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8C8DA">
      <w:pPr>
        <w:spacing w:line="360" w:lineRule="auto"/>
        <w:jc w:val="center"/>
        <w:rPr>
          <w:rFonts w:ascii="Times New Roman" w:hAnsi="Times New Roman" w:eastAsia="宋体" w:cs="Times New Roman"/>
          <w:sz w:val="44"/>
          <w:szCs w:val="44"/>
        </w:rPr>
      </w:pPr>
      <w:bookmarkStart w:id="0" w:name="OLE_LINK128"/>
      <w:bookmarkStart w:id="1" w:name="OLE_LINK129"/>
      <w:bookmarkStart w:id="170" w:name="_GoBack"/>
      <w:bookmarkEnd w:id="170"/>
    </w:p>
    <w:p w14:paraId="5A7E381F">
      <w:pPr>
        <w:spacing w:line="360" w:lineRule="auto"/>
        <w:jc w:val="center"/>
        <w:rPr>
          <w:rFonts w:ascii="Times New Roman" w:hAnsi="Times New Roman" w:eastAsia="宋体" w:cs="Times New Roman"/>
          <w:sz w:val="44"/>
          <w:szCs w:val="44"/>
        </w:rPr>
      </w:pPr>
    </w:p>
    <w:p w14:paraId="373BF0CD">
      <w:pPr>
        <w:spacing w:line="360" w:lineRule="auto"/>
        <w:jc w:val="center"/>
        <w:rPr>
          <w:rFonts w:ascii="Times New Roman" w:hAnsi="Times New Roman" w:eastAsia="宋体" w:cs="Times New Roman"/>
          <w:sz w:val="44"/>
          <w:szCs w:val="44"/>
        </w:rPr>
      </w:pPr>
    </w:p>
    <w:p w14:paraId="1191C5C3">
      <w:pPr>
        <w:spacing w:line="360" w:lineRule="auto"/>
        <w:jc w:val="center"/>
        <w:rPr>
          <w:rFonts w:ascii="Times New Roman" w:hAnsi="Times New Roman" w:eastAsia="宋体" w:cs="Times New Roman"/>
          <w:sz w:val="44"/>
          <w:szCs w:val="44"/>
        </w:rPr>
      </w:pPr>
    </w:p>
    <w:p w14:paraId="12EABECD">
      <w:pPr>
        <w:spacing w:line="360" w:lineRule="auto"/>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rPr>
        <w:t>富国裕丰回报混合型证券投资基金</w:t>
      </w:r>
    </w:p>
    <w:p w14:paraId="181234A9">
      <w:pPr>
        <w:spacing w:line="360" w:lineRule="auto"/>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rPr>
        <w:t>招募说明书</w:t>
      </w:r>
    </w:p>
    <w:p w14:paraId="0D7AF07E">
      <w:pPr>
        <w:spacing w:line="360" w:lineRule="auto"/>
        <w:jc w:val="center"/>
        <w:rPr>
          <w:rFonts w:ascii="Times New Roman" w:hAnsi="Times New Roman" w:eastAsia="宋体" w:cs="Times New Roman"/>
          <w:b/>
          <w:sz w:val="44"/>
          <w:szCs w:val="44"/>
        </w:rPr>
      </w:pPr>
    </w:p>
    <w:p w14:paraId="4068D4FC">
      <w:pPr>
        <w:spacing w:line="360" w:lineRule="auto"/>
        <w:jc w:val="center"/>
        <w:rPr>
          <w:rFonts w:ascii="Times New Roman" w:hAnsi="Times New Roman" w:eastAsia="宋体" w:cs="Times New Roman"/>
          <w:sz w:val="44"/>
          <w:szCs w:val="44"/>
        </w:rPr>
      </w:pPr>
    </w:p>
    <w:p w14:paraId="10BF9EC4">
      <w:pPr>
        <w:spacing w:line="360" w:lineRule="auto"/>
        <w:jc w:val="center"/>
        <w:rPr>
          <w:rFonts w:ascii="Times New Roman" w:hAnsi="Times New Roman" w:eastAsia="宋体" w:cs="Times New Roman"/>
          <w:sz w:val="44"/>
          <w:szCs w:val="44"/>
        </w:rPr>
      </w:pPr>
    </w:p>
    <w:p w14:paraId="223A892A">
      <w:pPr>
        <w:spacing w:line="360" w:lineRule="auto"/>
        <w:jc w:val="center"/>
        <w:rPr>
          <w:rFonts w:ascii="Times New Roman" w:hAnsi="Times New Roman" w:eastAsia="宋体" w:cs="Times New Roman"/>
          <w:sz w:val="44"/>
          <w:szCs w:val="44"/>
        </w:rPr>
      </w:pPr>
    </w:p>
    <w:p w14:paraId="3AACE06F">
      <w:pPr>
        <w:spacing w:line="360" w:lineRule="auto"/>
        <w:jc w:val="center"/>
        <w:rPr>
          <w:rFonts w:ascii="Times New Roman" w:hAnsi="Times New Roman" w:eastAsia="宋体" w:cs="Times New Roman"/>
          <w:sz w:val="44"/>
          <w:szCs w:val="44"/>
        </w:rPr>
      </w:pPr>
    </w:p>
    <w:p w14:paraId="152AC371">
      <w:pPr>
        <w:spacing w:line="360" w:lineRule="auto"/>
        <w:jc w:val="center"/>
        <w:rPr>
          <w:rFonts w:ascii="Times New Roman" w:hAnsi="Times New Roman" w:eastAsia="宋体" w:cs="Times New Roman"/>
          <w:sz w:val="44"/>
          <w:szCs w:val="44"/>
        </w:rPr>
      </w:pPr>
    </w:p>
    <w:p w14:paraId="2498739C">
      <w:pPr>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基金管理人：富国基金管理有限公司</w:t>
      </w:r>
    </w:p>
    <w:p w14:paraId="0797EBEF">
      <w:pPr>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基金托管人：招商银行股份有限公司</w:t>
      </w:r>
    </w:p>
    <w:p w14:paraId="6A42F581">
      <w:pPr>
        <w:spacing w:line="360" w:lineRule="auto"/>
        <w:jc w:val="center"/>
        <w:rPr>
          <w:rFonts w:ascii="Times New Roman" w:hAnsi="Times New Roman" w:eastAsia="宋体" w:cs="Times New Roman"/>
          <w:b/>
          <w:bCs/>
          <w:sz w:val="30"/>
          <w:szCs w:val="30"/>
        </w:rPr>
      </w:pPr>
    </w:p>
    <w:p w14:paraId="25D15338">
      <w:pPr>
        <w:spacing w:line="360" w:lineRule="auto"/>
        <w:jc w:val="center"/>
        <w:rPr>
          <w:rFonts w:ascii="Times New Roman" w:hAnsi="Times New Roman" w:eastAsia="宋体" w:cs="Times New Roman"/>
          <w:b/>
          <w:bCs/>
          <w:sz w:val="30"/>
          <w:szCs w:val="30"/>
        </w:rPr>
      </w:pPr>
    </w:p>
    <w:p w14:paraId="6A7260C2">
      <w:pPr>
        <w:spacing w:line="360" w:lineRule="auto"/>
        <w:jc w:val="center"/>
        <w:rPr>
          <w:rFonts w:ascii="Times New Roman" w:hAnsi="Times New Roman" w:eastAsia="宋体" w:cs="Times New Roman"/>
          <w:b/>
          <w:bCs/>
          <w:sz w:val="30"/>
          <w:szCs w:val="30"/>
        </w:rPr>
      </w:pPr>
    </w:p>
    <w:p w14:paraId="40F6F560">
      <w:pPr>
        <w:spacing w:line="360" w:lineRule="auto"/>
        <w:jc w:val="center"/>
        <w:rPr>
          <w:rFonts w:ascii="Times New Roman" w:hAnsi="Times New Roman" w:eastAsia="宋体" w:cs="Times New Roman"/>
          <w:b/>
          <w:bCs/>
          <w:sz w:val="30"/>
          <w:szCs w:val="30"/>
        </w:rPr>
      </w:pPr>
    </w:p>
    <w:p w14:paraId="5D304A3A">
      <w:pPr>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二零二</w:t>
      </w:r>
      <w:r>
        <w:rPr>
          <w:rFonts w:ascii="Times New Roman" w:hAnsi="Times New Roman" w:eastAsia="宋体" w:cs="Times New Roman"/>
          <w:b/>
          <w:bCs/>
          <w:sz w:val="30"/>
          <w:szCs w:val="30"/>
        </w:rPr>
        <w:t>六</w:t>
      </w:r>
      <w:r>
        <w:rPr>
          <w:rFonts w:hint="eastAsia" w:ascii="Times New Roman" w:hAnsi="Times New Roman" w:eastAsia="宋体" w:cs="Times New Roman"/>
          <w:b/>
          <w:bCs/>
          <w:sz w:val="30"/>
          <w:szCs w:val="30"/>
        </w:rPr>
        <w:t>年六月</w:t>
      </w:r>
    </w:p>
    <w:p w14:paraId="209C718F">
      <w:pPr>
        <w:widowControl/>
        <w:spacing w:line="360" w:lineRule="auto"/>
        <w:rPr>
          <w:rFonts w:ascii="Times New Roman" w:hAnsi="Times New Roman" w:eastAsia="宋体" w:cs="Times New Roman"/>
          <w:kern w:val="0"/>
          <w:sz w:val="30"/>
          <w:szCs w:val="30"/>
        </w:rPr>
      </w:pPr>
    </w:p>
    <w:p w14:paraId="245F3A54">
      <w:pPr>
        <w:widowControl/>
        <w:spacing w:line="360" w:lineRule="auto"/>
        <w:ind w:firstLine="480" w:firstLineChars="200"/>
        <w:rPr>
          <w:rFonts w:ascii="Times New Roman" w:hAnsi="Times New Roman" w:eastAsia="宋体" w:cs="Times New Roman"/>
          <w:kern w:val="0"/>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575" w:right="1826" w:bottom="1440" w:left="1620" w:header="851" w:footer="992" w:gutter="0"/>
          <w:pgNumType w:start="0"/>
          <w:cols w:space="425" w:num="1"/>
          <w:docGrid w:type="lines" w:linePitch="312" w:charSpace="0"/>
        </w:sectPr>
      </w:pPr>
    </w:p>
    <w:p w14:paraId="4364BB6A">
      <w:pPr>
        <w:keepNext/>
        <w:keepLines/>
        <w:spacing w:before="312" w:beforeLines="100" w:after="312" w:afterLines="100" w:line="360" w:lineRule="auto"/>
        <w:ind w:firstLine="960"/>
        <w:jc w:val="center"/>
        <w:outlineLvl w:val="0"/>
        <w:rPr>
          <w:rFonts w:ascii="Times New Roman" w:hAnsi="Times New Roman" w:eastAsia="宋体" w:cs="Times New Roman"/>
          <w:b/>
          <w:kern w:val="44"/>
          <w:sz w:val="32"/>
          <w:szCs w:val="20"/>
        </w:rPr>
        <w:sectPr>
          <w:headerReference r:id="rId9" w:type="default"/>
          <w:footerReference r:id="rId10" w:type="default"/>
          <w:type w:val="continuous"/>
          <w:pgSz w:w="11906" w:h="16838"/>
          <w:pgMar w:top="1440" w:right="1826" w:bottom="1440" w:left="1622" w:header="851" w:footer="992" w:gutter="0"/>
          <w:cols w:space="425" w:num="1"/>
          <w:docGrid w:type="lines" w:linePitch="312" w:charSpace="0"/>
        </w:sectPr>
      </w:pPr>
      <w:bookmarkStart w:id="2" w:name="_Toc450218554"/>
      <w:bookmarkStart w:id="3" w:name="_Toc68261814"/>
      <w:bookmarkStart w:id="4" w:name="_Toc468181941"/>
    </w:p>
    <w:p w14:paraId="2B21C599">
      <w:pPr>
        <w:keepNext/>
        <w:keepLines/>
        <w:spacing w:before="312" w:beforeLines="100" w:after="312" w:afterLines="100" w:line="360" w:lineRule="auto"/>
        <w:ind w:firstLine="960"/>
        <w:jc w:val="center"/>
        <w:outlineLvl w:val="0"/>
        <w:rPr>
          <w:rFonts w:ascii="Times New Roman" w:hAnsi="Times New Roman" w:eastAsia="宋体" w:cs="Times New Roman"/>
          <w:b/>
          <w:kern w:val="44"/>
          <w:sz w:val="32"/>
          <w:szCs w:val="20"/>
        </w:rPr>
      </w:pPr>
      <w:bookmarkStart w:id="5" w:name="_Toc213077618"/>
      <w:bookmarkStart w:id="6" w:name="_Toc25924"/>
      <w:bookmarkStart w:id="7" w:name="_Toc3987"/>
      <w:r>
        <w:rPr>
          <w:rFonts w:hint="eastAsia" w:ascii="Times New Roman" w:hAnsi="Times New Roman" w:eastAsia="宋体" w:cs="Times New Roman"/>
          <w:b/>
          <w:kern w:val="44"/>
          <w:sz w:val="32"/>
          <w:szCs w:val="20"/>
        </w:rPr>
        <w:t>重要提示</w:t>
      </w:r>
      <w:bookmarkEnd w:id="2"/>
      <w:bookmarkEnd w:id="3"/>
      <w:bookmarkEnd w:id="4"/>
      <w:bookmarkEnd w:id="5"/>
      <w:bookmarkEnd w:id="6"/>
      <w:bookmarkEnd w:id="7"/>
    </w:p>
    <w:p w14:paraId="49A659FF">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富国裕丰回报混合型证券投资基金（以下简称“本基金”）已于</w:t>
      </w:r>
      <w:r>
        <w:rPr>
          <w:rFonts w:ascii="Times New Roman" w:hAnsi="Times New Roman" w:eastAsia="宋体" w:cs="Times New Roman"/>
          <w:sz w:val="24"/>
          <w:szCs w:val="20"/>
        </w:rPr>
        <w:t>202</w:t>
      </w:r>
      <w:r>
        <w:rPr>
          <w:rFonts w:hint="eastAsia" w:ascii="Times New Roman" w:hAnsi="Times New Roman" w:eastAsia="宋体" w:cs="Times New Roman"/>
          <w:sz w:val="24"/>
          <w:szCs w:val="20"/>
        </w:rPr>
        <w:t>6年4月29日获得中国证监会准予注册的批复（证监许可【</w:t>
      </w:r>
      <w:r>
        <w:rPr>
          <w:rFonts w:ascii="Times New Roman" w:hAnsi="Times New Roman" w:eastAsia="宋体" w:cs="Times New Roman"/>
          <w:sz w:val="24"/>
          <w:szCs w:val="20"/>
        </w:rPr>
        <w:t>202</w:t>
      </w:r>
      <w:r>
        <w:rPr>
          <w:rFonts w:hint="eastAsia" w:ascii="Times New Roman" w:hAnsi="Times New Roman" w:eastAsia="宋体" w:cs="Times New Roman"/>
          <w:sz w:val="24"/>
          <w:szCs w:val="20"/>
        </w:rPr>
        <w:t>6】1048号《关于准予富国裕丰回报混合型证券投资基金注册的批复》）。</w:t>
      </w:r>
    </w:p>
    <w:p w14:paraId="0DD75632">
      <w:pPr>
        <w:spacing w:line="360" w:lineRule="auto"/>
        <w:ind w:firstLine="480" w:firstLineChars="200"/>
        <w:rPr>
          <w:rFonts w:ascii="Times New Roman" w:hAnsi="Times New Roman" w:eastAsia="宋体" w:cs="Times New Roman"/>
          <w:sz w:val="24"/>
          <w:szCs w:val="20"/>
        </w:rPr>
      </w:pPr>
      <w:bookmarkStart w:id="8" w:name="OLE_LINK81"/>
      <w:r>
        <w:rPr>
          <w:rFonts w:hint="eastAsia" w:ascii="Times New Roman" w:hAnsi="Times New Roman" w:eastAsia="宋体" w:cs="Times New Roman"/>
          <w:sz w:val="24"/>
          <w:szCs w:val="20"/>
        </w:rPr>
        <w:t>基金管理人保证本招募说明书的内容真实、准确、完整。本招募说明书经中国证监会注册，但</w:t>
      </w:r>
      <w:r>
        <w:rPr>
          <w:rFonts w:ascii="Times New Roman" w:hAnsi="Times New Roman" w:eastAsia="宋体" w:cs="Times New Roman"/>
          <w:sz w:val="24"/>
          <w:szCs w:val="20"/>
        </w:rPr>
        <w:t>中国证监会对本基金募集的</w:t>
      </w:r>
      <w:r>
        <w:rPr>
          <w:rFonts w:hint="eastAsia" w:ascii="Times New Roman" w:hAnsi="Times New Roman" w:eastAsia="宋体" w:cs="Times New Roman"/>
          <w:sz w:val="24"/>
          <w:szCs w:val="20"/>
        </w:rPr>
        <w:t>注册</w:t>
      </w:r>
      <w:r>
        <w:rPr>
          <w:rFonts w:ascii="Times New Roman" w:hAnsi="Times New Roman" w:eastAsia="宋体" w:cs="Times New Roman"/>
          <w:sz w:val="24"/>
          <w:szCs w:val="20"/>
        </w:rPr>
        <w:t>，并不表明其对本基金的</w:t>
      </w:r>
      <w:r>
        <w:rPr>
          <w:rFonts w:hint="eastAsia" w:ascii="Times New Roman" w:hAnsi="Times New Roman" w:eastAsia="宋体" w:cs="Times New Roman"/>
          <w:sz w:val="24"/>
          <w:szCs w:val="20"/>
        </w:rPr>
        <w:t>投资</w:t>
      </w:r>
      <w:r>
        <w:rPr>
          <w:rFonts w:ascii="Times New Roman" w:hAnsi="Times New Roman" w:eastAsia="宋体" w:cs="Times New Roman"/>
          <w:sz w:val="24"/>
          <w:szCs w:val="20"/>
        </w:rPr>
        <w:t>价值</w:t>
      </w:r>
      <w:r>
        <w:rPr>
          <w:rFonts w:hint="eastAsia" w:ascii="Times New Roman" w:hAnsi="Times New Roman" w:eastAsia="宋体" w:cs="Times New Roman"/>
          <w:sz w:val="24"/>
          <w:szCs w:val="20"/>
        </w:rPr>
        <w:t>、收益</w:t>
      </w:r>
      <w:r>
        <w:rPr>
          <w:rFonts w:ascii="Times New Roman" w:hAnsi="Times New Roman" w:eastAsia="宋体" w:cs="Times New Roman"/>
          <w:sz w:val="24"/>
          <w:szCs w:val="20"/>
        </w:rPr>
        <w:t>和</w:t>
      </w:r>
      <w:r>
        <w:rPr>
          <w:rFonts w:hint="eastAsia" w:ascii="Times New Roman" w:hAnsi="Times New Roman" w:eastAsia="宋体" w:cs="Times New Roman"/>
          <w:sz w:val="24"/>
          <w:szCs w:val="20"/>
        </w:rPr>
        <w:t>市场前景等</w:t>
      </w:r>
      <w:r>
        <w:rPr>
          <w:rFonts w:ascii="Times New Roman" w:hAnsi="Times New Roman" w:eastAsia="宋体" w:cs="Times New Roman"/>
          <w:sz w:val="24"/>
          <w:szCs w:val="20"/>
        </w:rPr>
        <w:t>做出实质性判断或保证，也不表明投资于本基金没有风险</w:t>
      </w:r>
      <w:r>
        <w:rPr>
          <w:rFonts w:hint="eastAsia" w:ascii="Times New Roman" w:hAnsi="Times New Roman" w:eastAsia="宋体" w:cs="Times New Roman"/>
          <w:sz w:val="24"/>
          <w:szCs w:val="20"/>
        </w:rPr>
        <w:t>。</w:t>
      </w:r>
    </w:p>
    <w:bookmarkEnd w:id="8"/>
    <w:p w14:paraId="19126561">
      <w:pPr>
        <w:spacing w:line="360" w:lineRule="auto"/>
        <w:ind w:firstLine="480" w:firstLineChars="200"/>
        <w:rPr>
          <w:rFonts w:hint="eastAsia" w:ascii="Times New Roman" w:hAnsi="宋体" w:eastAsia="宋体" w:cs="Times New Roman"/>
          <w:bCs/>
          <w:color w:val="000000"/>
          <w:sz w:val="24"/>
          <w:szCs w:val="24"/>
        </w:rPr>
      </w:pPr>
      <w:r>
        <w:rPr>
          <w:rFonts w:ascii="Times New Roman" w:hAnsi="宋体" w:eastAsia="宋体" w:cs="Times New Roman"/>
          <w:bCs/>
          <w:color w:val="000000"/>
          <w:sz w:val="24"/>
          <w:szCs w:val="24"/>
        </w:rPr>
        <w:t>本基金投资于证券、期货市场，基金净值会因为证券、期货市场波动等因素产生波动，</w:t>
      </w:r>
      <w:r>
        <w:rPr>
          <w:rFonts w:hint="eastAsia" w:ascii="Times New Roman" w:hAnsi="宋体" w:eastAsia="宋体" w:cs="Times New Roman"/>
          <w:bCs/>
          <w:color w:val="000000"/>
          <w:sz w:val="24"/>
          <w:szCs w:val="24"/>
        </w:rPr>
        <w:t>投资本基金风险详见招募说明书“风险揭示”章节，</w:t>
      </w:r>
      <w:r>
        <w:rPr>
          <w:rFonts w:ascii="Times New Roman" w:hAnsi="宋体" w:eastAsia="宋体" w:cs="Times New Roman"/>
          <w:bCs/>
          <w:color w:val="000000"/>
          <w:sz w:val="24"/>
          <w:szCs w:val="24"/>
        </w:rPr>
        <w:t>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14:paraId="71C7E9F7">
      <w:pPr>
        <w:spacing w:line="360" w:lineRule="auto"/>
        <w:ind w:firstLine="480" w:firstLineChars="200"/>
        <w:rPr>
          <w:rFonts w:ascii="Times New Roman" w:hAnsi="Times New Roman" w:eastAsia="宋体" w:cs="Times New Roman"/>
          <w:bCs/>
          <w:color w:val="000000"/>
          <w:sz w:val="24"/>
          <w:szCs w:val="24"/>
        </w:rPr>
      </w:pPr>
      <w:bookmarkStart w:id="9" w:name="OLE_LINK3"/>
      <w:bookmarkStart w:id="10" w:name="OLE_LINK1"/>
      <w:r>
        <w:rPr>
          <w:rFonts w:hint="eastAsia" w:ascii="Times New Roman" w:hAnsi="Times New Roman" w:eastAsia="宋体" w:cs="Times New Roman"/>
          <w:bCs/>
          <w:color w:val="000000"/>
          <w:sz w:val="24"/>
          <w:szCs w:val="24"/>
        </w:rPr>
        <w:t>本基金为混合型基金，其预期收益及预期风险水平低于股票型基金，高于债券型基金和货币市场基金。</w:t>
      </w:r>
      <w:bookmarkEnd w:id="9"/>
      <w:bookmarkEnd w:id="10"/>
    </w:p>
    <w:p w14:paraId="1D679D9F">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投资有风险，投资者认购（或申购）基金前，应认真阅读本招募说明书、</w:t>
      </w:r>
      <w:r>
        <w:rPr>
          <w:rFonts w:ascii="Times New Roman" w:hAnsi="Times New Roman" w:eastAsia="宋体" w:cs="Times New Roman"/>
          <w:sz w:val="24"/>
          <w:szCs w:val="20"/>
        </w:rPr>
        <w:t>基金合同</w:t>
      </w:r>
      <w:r>
        <w:rPr>
          <w:rFonts w:hint="eastAsia" w:ascii="Times New Roman" w:hAnsi="Times New Roman" w:eastAsia="宋体" w:cs="Times New Roman"/>
          <w:sz w:val="24"/>
          <w:szCs w:val="20"/>
        </w:rPr>
        <w:t>、基金产品资料概要</w:t>
      </w:r>
      <w:r>
        <w:rPr>
          <w:rFonts w:ascii="Times New Roman" w:hAnsi="Times New Roman" w:eastAsia="宋体" w:cs="Times New Roman"/>
          <w:sz w:val="24"/>
          <w:szCs w:val="20"/>
        </w:rPr>
        <w:t>等信息披露文件</w:t>
      </w:r>
      <w:r>
        <w:rPr>
          <w:rFonts w:hint="eastAsia" w:ascii="Times New Roman" w:hAnsi="Times New Roman" w:eastAsia="宋体" w:cs="Times New Roman"/>
          <w:sz w:val="24"/>
          <w:szCs w:val="20"/>
        </w:rPr>
        <w:t>，全面认识本基金产品的风险收益特征和产品特性，自主判断基金的投资价值，并根据自身的投资目的、投资期限、投资经验、资产状况等判断本基金是否和自身的风险承受能力相适应；投资者应充分考虑自身的风险承受能力，理性判断市场，对认购（或申购）基金的意愿、时机、数量等投资行为作出独立决策，获得基金投资收益，亦自行承担基金投资中出现的各类风险。</w:t>
      </w:r>
    </w:p>
    <w:p w14:paraId="2B169E07">
      <w:pPr>
        <w:spacing w:line="360" w:lineRule="auto"/>
        <w:ind w:firstLine="480" w:firstLineChars="200"/>
        <w:rPr>
          <w:rFonts w:ascii="Times New Roman" w:hAnsi="Times New Roman" w:eastAsia="宋体" w:cs="Times New Roman"/>
          <w:bCs/>
          <w:sz w:val="24"/>
          <w:szCs w:val="24"/>
        </w:rPr>
      </w:pPr>
      <w:bookmarkStart w:id="11" w:name="OLE_LINK72"/>
      <w:bookmarkStart w:id="12" w:name="OLE_LINK70"/>
      <w:r>
        <w:rPr>
          <w:rFonts w:hint="eastAsia" w:ascii="Times New Roman" w:hAnsi="Times New Roman" w:eastAsia="宋体" w:cs="Times New Roman"/>
          <w:bCs/>
          <w:sz w:val="24"/>
          <w:szCs w:val="24"/>
        </w:rPr>
        <w:t>本基金投资内地与香港股票市场交易互联互通机制允许买卖的规定范围内的香港联合交易所上市的股票（以下称“港股通标的股票”），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通标的股票或选择不将基金资产投资于港股通标的股票，基金资产并非必然投资港股通标的股票。</w:t>
      </w:r>
    </w:p>
    <w:p w14:paraId="1DB92E0A">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6427F1A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14:paraId="63226056">
      <w:pPr>
        <w:spacing w:line="360" w:lineRule="auto"/>
        <w:ind w:firstLine="480" w:firstLineChars="200"/>
        <w:rPr>
          <w:rFonts w:ascii="Times New Roman" w:hAnsi="Times New Roman" w:eastAsia="宋体" w:cs="Times New Roman"/>
          <w:sz w:val="24"/>
          <w:szCs w:val="20"/>
        </w:rPr>
      </w:pPr>
      <w:bookmarkStart w:id="13" w:name="OLE_LINK53"/>
      <w:r>
        <w:rPr>
          <w:rFonts w:hint="eastAsia" w:ascii="Times New Roman" w:hAnsi="Times New Roman" w:eastAsia="宋体" w:cs="Times New Roman"/>
          <w:sz w:val="24"/>
          <w:szCs w:val="20"/>
        </w:rPr>
        <w:t>为对冲信用风险，本基金可能投资于信用衍生品，信用衍生品的投资可能面临流动性风险、偿付风险以及价格波动风险等。</w:t>
      </w:r>
    </w:p>
    <w:p w14:paraId="7AB94179">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本基金可以投资于其他公开募集的基金，因此本基金所持有的基金的业绩表现、持有基金的基金管理人水平等因素将影响到本基金的基金业绩表现。</w:t>
      </w:r>
    </w:p>
    <w:bookmarkEnd w:id="11"/>
    <w:bookmarkEnd w:id="12"/>
    <w:bookmarkEnd w:id="13"/>
    <w:p w14:paraId="1F356DCB">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基金的过往业绩并不预示其未来表现。基金管理人管理的其他基金的业绩并不构成新基金业绩表现的保证。基金管理人依照恪尽职守、诚实信用、谨慎勤勉的原则管理和运用基金财产，但不保证基金一定盈利，也不保证最低收益。基金管理人提醒投资者基金投资的“买者自负”原则，在投资者作出投资决策后，基金运营状况与基金净值变化引致的投资风险，由投资者自行负责。</w:t>
      </w:r>
    </w:p>
    <w:p w14:paraId="5FC1C94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本基金单一投资者持有基金份额数不得达到或超过基金总份额的50%，但在基金运作过程中因基金份额赎回等情形导致被动达到或超过50%的情形除外。法律法规、监管机构另有规定的，从其规定</w:t>
      </w:r>
      <w:r>
        <w:rPr>
          <w:rFonts w:hint="eastAsia" w:ascii="Times New Roman" w:hAnsi="Times New Roman" w:eastAsia="宋体" w:cs="Times New Roman"/>
          <w:sz w:val="24"/>
          <w:szCs w:val="24"/>
        </w:rPr>
        <w:t>。</w:t>
      </w:r>
    </w:p>
    <w:p w14:paraId="285496E5">
      <w:pPr>
        <w:spacing w:line="360" w:lineRule="auto"/>
        <w:ind w:firstLine="480" w:firstLineChars="200"/>
        <w:rPr>
          <w:rFonts w:ascii="Times New Roman" w:hAnsi="Times New Roman" w:eastAsia="宋体" w:cs="Times New Roman"/>
          <w:bCs/>
          <w:sz w:val="24"/>
          <w:szCs w:val="20"/>
        </w:rPr>
      </w:pPr>
      <w:bookmarkStart w:id="14" w:name="OLE_LINK55"/>
      <w:bookmarkStart w:id="15" w:name="OLE_LINK54"/>
      <w:r>
        <w:rPr>
          <w:rFonts w:hint="eastAsia" w:ascii="Times New Roman" w:hAnsi="Times New Roman" w:eastAsia="宋体" w:cs="Times New Roman"/>
          <w:bCs/>
          <w:sz w:val="24"/>
          <w:szCs w:val="20"/>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r>
        <w:rPr>
          <w:rFonts w:hint="eastAsia" w:ascii="Times New Roman" w:hAnsi="Times New Roman" w:eastAsia="宋体" w:cs="Times New Roman"/>
          <w:sz w:val="24"/>
          <w:szCs w:val="20"/>
        </w:rPr>
        <w:t>。</w:t>
      </w:r>
    </w:p>
    <w:bookmarkEnd w:id="14"/>
    <w:bookmarkEnd w:id="15"/>
    <w:p w14:paraId="502D95B3">
      <w:pPr>
        <w:keepNext/>
        <w:keepLines/>
        <w:spacing w:before="312" w:beforeLines="100" w:after="312" w:afterLines="100" w:line="360" w:lineRule="auto"/>
        <w:jc w:val="center"/>
        <w:rPr>
          <w:rFonts w:ascii="Times New Roman" w:hAnsi="Times New Roman" w:eastAsia="宋体" w:cs="Times New Roman"/>
          <w:b/>
          <w:kern w:val="0"/>
          <w:sz w:val="32"/>
          <w:szCs w:val="20"/>
        </w:rPr>
      </w:pPr>
      <w:r>
        <w:rPr>
          <w:rFonts w:ascii="Times New Roman" w:hAnsi="Times New Roman" w:eastAsia="宋体" w:cs="Times New Roman"/>
          <w:b/>
          <w:kern w:val="0"/>
          <w:sz w:val="32"/>
          <w:szCs w:val="20"/>
        </w:rPr>
        <w:br w:type="page"/>
      </w:r>
      <w:bookmarkStart w:id="16" w:name="_Toc212033440"/>
      <w:bookmarkStart w:id="17" w:name="_Toc450218555"/>
      <w:bookmarkStart w:id="18" w:name="_Toc468181942"/>
      <w:bookmarkStart w:id="19" w:name="_Toc68200270"/>
      <w:bookmarkStart w:id="20" w:name="_Toc68261815"/>
      <w:bookmarkStart w:id="21" w:name="_Toc213077619"/>
      <w:bookmarkStart w:id="22" w:name="_Toc174109135"/>
      <w:bookmarkStart w:id="23" w:name="_Toc121491707"/>
      <w:bookmarkStart w:id="24" w:name="_Toc182316556"/>
      <w:bookmarkStart w:id="25" w:name="_Toc133593445"/>
      <w:bookmarkStart w:id="26" w:name="_Toc22210"/>
      <w:bookmarkStart w:id="27" w:name="_Toc203563319"/>
      <w:r>
        <w:rPr>
          <w:rFonts w:ascii="Times New Roman" w:hAnsi="Times New Roman" w:eastAsia="宋体" w:cs="Times New Roman"/>
          <w:b/>
          <w:kern w:val="0"/>
          <w:sz w:val="32"/>
          <w:szCs w:val="20"/>
        </w:rPr>
        <w:t>目 录</w:t>
      </w:r>
      <w:bookmarkEnd w:id="16"/>
      <w:bookmarkEnd w:id="17"/>
      <w:bookmarkEnd w:id="18"/>
      <w:bookmarkEnd w:id="19"/>
      <w:bookmarkEnd w:id="20"/>
      <w:bookmarkEnd w:id="21"/>
      <w:bookmarkEnd w:id="22"/>
      <w:bookmarkEnd w:id="23"/>
      <w:bookmarkEnd w:id="24"/>
      <w:bookmarkEnd w:id="25"/>
      <w:bookmarkEnd w:id="26"/>
      <w:bookmarkEnd w:id="27"/>
    </w:p>
    <w:p w14:paraId="71CEF484">
      <w:pPr>
        <w:pStyle w:val="32"/>
        <w:tabs>
          <w:tab w:val="right" w:leader="dot" w:pos="8458"/>
          <w:tab w:val="clear" w:pos="8450"/>
        </w:tabs>
        <w:rPr>
          <w:rFonts w:ascii="Times New Roman" w:hAnsi="Times New Roman"/>
        </w:rPr>
      </w:pPr>
      <w:bookmarkStart w:id="28" w:name="_Toc109537379"/>
      <w:r>
        <w:rPr>
          <w:rFonts w:ascii="Times New Roman" w:hAnsi="Times New Roman"/>
          <w:u w:val="single"/>
        </w:rPr>
        <w:fldChar w:fldCharType="begin"/>
      </w:r>
      <w:r>
        <w:rPr>
          <w:rFonts w:ascii="Times New Roman" w:hAnsi="Times New Roman" w:eastAsia="宋体"/>
          <w:bCs/>
          <w:u w:val="single"/>
        </w:rPr>
        <w:instrText xml:space="preserve"> TOC \o "1-1" \h \z \u </w:instrText>
      </w:r>
      <w:r>
        <w:rPr>
          <w:rFonts w:ascii="Times New Roman" w:hAnsi="Times New Roman"/>
          <w:u w:val="single"/>
        </w:rPr>
        <w:fldChar w:fldCharType="separate"/>
      </w:r>
      <w:r>
        <w:fldChar w:fldCharType="begin"/>
      </w:r>
      <w:r>
        <w:instrText xml:space="preserve"> HYPERLINK \l "_Toc25924" </w:instrText>
      </w:r>
      <w:r>
        <w:fldChar w:fldCharType="separate"/>
      </w:r>
      <w:r>
        <w:rPr>
          <w:rFonts w:hint="eastAsia" w:ascii="Times New Roman" w:hAnsi="Times New Roman" w:eastAsia="宋体"/>
          <w:kern w:val="44"/>
          <w:szCs w:val="20"/>
        </w:rPr>
        <w:t>重要提示</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_Toc25924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B8758E7">
      <w:pPr>
        <w:pStyle w:val="32"/>
        <w:tabs>
          <w:tab w:val="right" w:leader="dot" w:pos="8458"/>
          <w:tab w:val="clear" w:pos="8450"/>
        </w:tabs>
        <w:rPr>
          <w:rFonts w:ascii="Times New Roman" w:hAnsi="Times New Roman"/>
        </w:rPr>
      </w:pPr>
      <w:r>
        <w:fldChar w:fldCharType="begin"/>
      </w:r>
      <w:r>
        <w:instrText xml:space="preserve"> HYPERLINK \l "_Toc29578" </w:instrText>
      </w:r>
      <w:r>
        <w:fldChar w:fldCharType="separate"/>
      </w:r>
      <w:r>
        <w:rPr>
          <w:rFonts w:hint="eastAsia" w:ascii="Times New Roman" w:hAnsi="Times New Roman" w:eastAsia="宋体"/>
          <w:kern w:val="44"/>
          <w:szCs w:val="20"/>
        </w:rPr>
        <w:t>第一部分</w:t>
      </w:r>
      <w:r>
        <w:rPr>
          <w:rFonts w:ascii="Times New Roman" w:hAnsi="Times New Roman" w:eastAsia="宋体"/>
          <w:kern w:val="44"/>
          <w:szCs w:val="20"/>
        </w:rPr>
        <w:t xml:space="preserve">  </w:t>
      </w:r>
      <w:r>
        <w:rPr>
          <w:rFonts w:hint="eastAsia" w:ascii="Times New Roman" w:hAnsi="Times New Roman" w:eastAsia="宋体"/>
          <w:kern w:val="44"/>
          <w:szCs w:val="20"/>
        </w:rPr>
        <w:t>前言</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_Toc29578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26A4D98">
      <w:pPr>
        <w:pStyle w:val="32"/>
        <w:tabs>
          <w:tab w:val="right" w:leader="dot" w:pos="8458"/>
          <w:tab w:val="clear" w:pos="8450"/>
        </w:tabs>
        <w:rPr>
          <w:rFonts w:ascii="Times New Roman" w:hAnsi="Times New Roman"/>
        </w:rPr>
      </w:pPr>
      <w:r>
        <w:fldChar w:fldCharType="begin"/>
      </w:r>
      <w:r>
        <w:instrText xml:space="preserve"> HYPERLINK \l "_Toc30830" </w:instrText>
      </w:r>
      <w:r>
        <w:fldChar w:fldCharType="separate"/>
      </w:r>
      <w:r>
        <w:rPr>
          <w:rFonts w:ascii="Times New Roman" w:hAnsi="Times New Roman" w:eastAsia="宋体"/>
          <w:kern w:val="0"/>
          <w:szCs w:val="20"/>
        </w:rPr>
        <w:t>第二部分  释义</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_Toc30830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32F721F">
      <w:pPr>
        <w:pStyle w:val="32"/>
        <w:tabs>
          <w:tab w:val="right" w:leader="dot" w:pos="8458"/>
          <w:tab w:val="clear" w:pos="8450"/>
        </w:tabs>
        <w:rPr>
          <w:rFonts w:ascii="Times New Roman" w:hAnsi="Times New Roman"/>
        </w:rPr>
      </w:pPr>
      <w:r>
        <w:fldChar w:fldCharType="begin"/>
      </w:r>
      <w:r>
        <w:instrText xml:space="preserve"> HYPERLINK \l "_Toc19660" </w:instrText>
      </w:r>
      <w:r>
        <w:fldChar w:fldCharType="separate"/>
      </w:r>
      <w:r>
        <w:rPr>
          <w:rFonts w:hint="eastAsia" w:ascii="Times New Roman" w:hAnsi="Times New Roman" w:eastAsia="宋体"/>
          <w:kern w:val="0"/>
          <w:szCs w:val="20"/>
        </w:rPr>
        <w:t>第三部分</w:t>
      </w:r>
      <w:r>
        <w:rPr>
          <w:rFonts w:ascii="Times New Roman" w:hAnsi="Times New Roman" w:eastAsia="宋体"/>
          <w:kern w:val="0"/>
          <w:szCs w:val="20"/>
        </w:rPr>
        <w:t xml:space="preserve">  </w:t>
      </w:r>
      <w:r>
        <w:rPr>
          <w:rFonts w:hint="eastAsia" w:ascii="Times New Roman" w:hAnsi="Times New Roman" w:eastAsia="宋体"/>
          <w:kern w:val="0"/>
          <w:szCs w:val="20"/>
        </w:rPr>
        <w:t>基金管理人</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_Toc19660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0E39E80F">
      <w:pPr>
        <w:pStyle w:val="32"/>
        <w:tabs>
          <w:tab w:val="right" w:leader="dot" w:pos="8458"/>
          <w:tab w:val="clear" w:pos="8450"/>
        </w:tabs>
        <w:rPr>
          <w:rFonts w:ascii="Times New Roman" w:hAnsi="Times New Roman"/>
        </w:rPr>
      </w:pPr>
      <w:r>
        <w:fldChar w:fldCharType="begin"/>
      </w:r>
      <w:r>
        <w:instrText xml:space="preserve"> HYPERLINK \l "_Toc4096" </w:instrText>
      </w:r>
      <w:r>
        <w:fldChar w:fldCharType="separate"/>
      </w:r>
      <w:r>
        <w:rPr>
          <w:rFonts w:ascii="Times New Roman" w:hAnsi="Times New Roman" w:eastAsia="宋体"/>
          <w:kern w:val="0"/>
          <w:szCs w:val="20"/>
        </w:rPr>
        <w:t>第四部分  基金托管人</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_Toc4096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5E8834EE">
      <w:pPr>
        <w:pStyle w:val="32"/>
        <w:tabs>
          <w:tab w:val="right" w:leader="dot" w:pos="8458"/>
          <w:tab w:val="clear" w:pos="8450"/>
        </w:tabs>
        <w:rPr>
          <w:rFonts w:ascii="Times New Roman" w:hAnsi="Times New Roman"/>
        </w:rPr>
      </w:pPr>
      <w:r>
        <w:fldChar w:fldCharType="begin"/>
      </w:r>
      <w:r>
        <w:instrText xml:space="preserve"> HYPERLINK \l "_Toc2347" </w:instrText>
      </w:r>
      <w:r>
        <w:fldChar w:fldCharType="separate"/>
      </w:r>
      <w:r>
        <w:rPr>
          <w:rFonts w:hint="eastAsia" w:ascii="Times New Roman" w:hAnsi="Times New Roman" w:eastAsia="宋体"/>
          <w:kern w:val="44"/>
          <w:szCs w:val="20"/>
        </w:rPr>
        <w:t>第五部分</w:t>
      </w:r>
      <w:r>
        <w:rPr>
          <w:rFonts w:ascii="Times New Roman" w:hAnsi="Times New Roman" w:eastAsia="宋体"/>
          <w:kern w:val="44"/>
          <w:szCs w:val="20"/>
        </w:rPr>
        <w:t xml:space="preserve">  </w:t>
      </w:r>
      <w:r>
        <w:rPr>
          <w:rFonts w:hint="eastAsia" w:ascii="Times New Roman" w:hAnsi="Times New Roman" w:eastAsia="宋体"/>
          <w:kern w:val="44"/>
          <w:szCs w:val="20"/>
        </w:rPr>
        <w:t>相关服务机构</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_Toc2347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14:paraId="2A63721E">
      <w:pPr>
        <w:pStyle w:val="32"/>
        <w:tabs>
          <w:tab w:val="right" w:leader="dot" w:pos="8458"/>
          <w:tab w:val="clear" w:pos="8450"/>
        </w:tabs>
        <w:rPr>
          <w:rFonts w:ascii="Times New Roman" w:hAnsi="Times New Roman"/>
        </w:rPr>
      </w:pPr>
      <w:r>
        <w:fldChar w:fldCharType="begin"/>
      </w:r>
      <w:r>
        <w:instrText xml:space="preserve"> HYPERLINK \l "_Toc2627" </w:instrText>
      </w:r>
      <w:r>
        <w:fldChar w:fldCharType="separate"/>
      </w:r>
      <w:r>
        <w:rPr>
          <w:rFonts w:hint="eastAsia" w:ascii="Times New Roman" w:hAnsi="Times New Roman" w:eastAsia="宋体"/>
          <w:kern w:val="44"/>
          <w:szCs w:val="20"/>
        </w:rPr>
        <w:t>第六部分</w:t>
      </w:r>
      <w:r>
        <w:rPr>
          <w:rFonts w:ascii="Times New Roman" w:hAnsi="Times New Roman" w:eastAsia="宋体"/>
          <w:kern w:val="44"/>
          <w:szCs w:val="20"/>
        </w:rPr>
        <w:t xml:space="preserve">  </w:t>
      </w:r>
      <w:r>
        <w:rPr>
          <w:rFonts w:hint="eastAsia" w:ascii="Times New Roman" w:hAnsi="Times New Roman" w:eastAsia="宋体"/>
          <w:kern w:val="44"/>
          <w:szCs w:val="20"/>
        </w:rPr>
        <w:t>基金的募集</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_Toc2627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441DB2B4">
      <w:pPr>
        <w:pStyle w:val="32"/>
        <w:tabs>
          <w:tab w:val="right" w:leader="dot" w:pos="8458"/>
          <w:tab w:val="clear" w:pos="8450"/>
        </w:tabs>
        <w:rPr>
          <w:rFonts w:ascii="Times New Roman" w:hAnsi="Times New Roman"/>
        </w:rPr>
      </w:pPr>
      <w:r>
        <w:fldChar w:fldCharType="begin"/>
      </w:r>
      <w:r>
        <w:instrText xml:space="preserve"> HYPERLINK \l "_Toc25191" </w:instrText>
      </w:r>
      <w:r>
        <w:fldChar w:fldCharType="separate"/>
      </w:r>
      <w:r>
        <w:rPr>
          <w:rFonts w:hint="eastAsia" w:ascii="Times New Roman" w:hAnsi="Times New Roman" w:eastAsia="宋体"/>
          <w:kern w:val="0"/>
          <w:szCs w:val="20"/>
        </w:rPr>
        <w:t>第七部分</w:t>
      </w:r>
      <w:r>
        <w:rPr>
          <w:rFonts w:ascii="Times New Roman" w:hAnsi="Times New Roman" w:eastAsia="宋体"/>
          <w:kern w:val="0"/>
          <w:szCs w:val="20"/>
        </w:rPr>
        <w:t xml:space="preserve">  </w:t>
      </w:r>
      <w:r>
        <w:rPr>
          <w:rFonts w:hint="eastAsia" w:ascii="Times New Roman" w:hAnsi="Times New Roman" w:eastAsia="宋体"/>
          <w:kern w:val="0"/>
          <w:szCs w:val="20"/>
        </w:rPr>
        <w:t>基金合同的生效</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_Toc25191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425D7A02">
      <w:pPr>
        <w:pStyle w:val="32"/>
        <w:tabs>
          <w:tab w:val="right" w:leader="dot" w:pos="8458"/>
          <w:tab w:val="clear" w:pos="8450"/>
        </w:tabs>
        <w:rPr>
          <w:rFonts w:ascii="Times New Roman" w:hAnsi="Times New Roman"/>
        </w:rPr>
      </w:pPr>
      <w:r>
        <w:fldChar w:fldCharType="begin"/>
      </w:r>
      <w:r>
        <w:instrText xml:space="preserve"> HYPERLINK \l "_Toc9252" </w:instrText>
      </w:r>
      <w:r>
        <w:fldChar w:fldCharType="separate"/>
      </w:r>
      <w:r>
        <w:rPr>
          <w:rFonts w:hint="eastAsia" w:ascii="Times New Roman" w:hAnsi="Times New Roman" w:eastAsia="宋体"/>
          <w:kern w:val="44"/>
          <w:szCs w:val="20"/>
        </w:rPr>
        <w:t>第八部分</w:t>
      </w:r>
      <w:r>
        <w:rPr>
          <w:rFonts w:ascii="Times New Roman" w:hAnsi="Times New Roman" w:eastAsia="宋体"/>
          <w:kern w:val="44"/>
          <w:szCs w:val="20"/>
        </w:rPr>
        <w:t xml:space="preserve">  </w:t>
      </w:r>
      <w:r>
        <w:rPr>
          <w:rFonts w:hint="eastAsia" w:ascii="Times New Roman" w:hAnsi="Times New Roman" w:eastAsia="宋体"/>
          <w:kern w:val="44"/>
          <w:szCs w:val="20"/>
        </w:rPr>
        <w:t>基金份额的申购与赎回</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_Toc9252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171E77AB">
      <w:pPr>
        <w:pStyle w:val="32"/>
        <w:tabs>
          <w:tab w:val="right" w:leader="dot" w:pos="8458"/>
          <w:tab w:val="clear" w:pos="8450"/>
        </w:tabs>
        <w:rPr>
          <w:rFonts w:ascii="Times New Roman" w:hAnsi="Times New Roman"/>
        </w:rPr>
      </w:pPr>
      <w:r>
        <w:fldChar w:fldCharType="begin"/>
      </w:r>
      <w:r>
        <w:instrText xml:space="preserve"> HYPERLINK \l "_Toc11038" </w:instrText>
      </w:r>
      <w:r>
        <w:fldChar w:fldCharType="separate"/>
      </w:r>
      <w:r>
        <w:rPr>
          <w:rFonts w:hint="eastAsia" w:ascii="Times New Roman" w:hAnsi="Times New Roman" w:eastAsia="宋体"/>
          <w:kern w:val="0"/>
          <w:szCs w:val="20"/>
        </w:rPr>
        <w:t>第九部分</w:t>
      </w:r>
      <w:r>
        <w:rPr>
          <w:rFonts w:ascii="Times New Roman" w:hAnsi="Times New Roman" w:eastAsia="宋体"/>
          <w:kern w:val="0"/>
          <w:szCs w:val="20"/>
        </w:rPr>
        <w:t xml:space="preserve">  </w:t>
      </w:r>
      <w:r>
        <w:rPr>
          <w:rFonts w:hint="eastAsia" w:ascii="Times New Roman" w:hAnsi="Times New Roman" w:eastAsia="宋体"/>
          <w:kern w:val="0"/>
          <w:szCs w:val="20"/>
        </w:rPr>
        <w:t>基金的投资</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_Toc11038 \h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r>
        <w:rPr>
          <w:rFonts w:ascii="Times New Roman" w:hAnsi="Times New Roman"/>
        </w:rPr>
        <w:fldChar w:fldCharType="end"/>
      </w:r>
    </w:p>
    <w:p w14:paraId="06E1A5E7">
      <w:pPr>
        <w:pStyle w:val="32"/>
        <w:tabs>
          <w:tab w:val="right" w:leader="dot" w:pos="8458"/>
          <w:tab w:val="clear" w:pos="8450"/>
        </w:tabs>
        <w:rPr>
          <w:rFonts w:ascii="Times New Roman" w:hAnsi="Times New Roman"/>
        </w:rPr>
      </w:pPr>
      <w:r>
        <w:fldChar w:fldCharType="begin"/>
      </w:r>
      <w:r>
        <w:instrText xml:space="preserve"> HYPERLINK \l "_Toc29074" </w:instrText>
      </w:r>
      <w:r>
        <w:fldChar w:fldCharType="separate"/>
      </w:r>
      <w:r>
        <w:rPr>
          <w:rFonts w:hint="eastAsia" w:ascii="Times New Roman" w:hAnsi="Times New Roman" w:eastAsia="宋体"/>
          <w:kern w:val="44"/>
          <w:szCs w:val="20"/>
        </w:rPr>
        <w:t>第十部分</w:t>
      </w:r>
      <w:r>
        <w:rPr>
          <w:rFonts w:ascii="Times New Roman" w:hAnsi="Times New Roman" w:eastAsia="宋体"/>
          <w:kern w:val="44"/>
          <w:szCs w:val="20"/>
        </w:rPr>
        <w:t xml:space="preserve">  </w:t>
      </w:r>
      <w:r>
        <w:rPr>
          <w:rFonts w:hint="eastAsia" w:ascii="Times New Roman" w:hAnsi="Times New Roman" w:eastAsia="宋体"/>
          <w:kern w:val="44"/>
          <w:szCs w:val="20"/>
        </w:rPr>
        <w:t>基金的财产</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_Toc29074 \h </w:instrText>
      </w:r>
      <w:r>
        <w:rPr>
          <w:rFonts w:ascii="Times New Roman" w:hAnsi="Times New Roman"/>
        </w:rPr>
        <w:fldChar w:fldCharType="separate"/>
      </w:r>
      <w:r>
        <w:rPr>
          <w:rFonts w:ascii="Times New Roman" w:hAnsi="Times New Roman"/>
        </w:rPr>
        <w:t>67</w:t>
      </w:r>
      <w:r>
        <w:rPr>
          <w:rFonts w:ascii="Times New Roman" w:hAnsi="Times New Roman"/>
        </w:rPr>
        <w:fldChar w:fldCharType="end"/>
      </w:r>
      <w:r>
        <w:rPr>
          <w:rFonts w:ascii="Times New Roman" w:hAnsi="Times New Roman"/>
        </w:rPr>
        <w:fldChar w:fldCharType="end"/>
      </w:r>
    </w:p>
    <w:p w14:paraId="19A64D09">
      <w:pPr>
        <w:pStyle w:val="32"/>
        <w:tabs>
          <w:tab w:val="right" w:leader="dot" w:pos="8458"/>
          <w:tab w:val="clear" w:pos="8450"/>
        </w:tabs>
        <w:rPr>
          <w:rFonts w:ascii="Times New Roman" w:hAnsi="Times New Roman"/>
        </w:rPr>
      </w:pPr>
      <w:r>
        <w:fldChar w:fldCharType="begin"/>
      </w:r>
      <w:r>
        <w:instrText xml:space="preserve"> HYPERLINK \l "_Toc3134" </w:instrText>
      </w:r>
      <w:r>
        <w:fldChar w:fldCharType="separate"/>
      </w:r>
      <w:r>
        <w:rPr>
          <w:rFonts w:hint="eastAsia" w:ascii="Times New Roman" w:hAnsi="Times New Roman" w:eastAsia="宋体"/>
          <w:kern w:val="44"/>
          <w:szCs w:val="20"/>
        </w:rPr>
        <w:t>第十一部分</w:t>
      </w:r>
      <w:r>
        <w:rPr>
          <w:rFonts w:ascii="Times New Roman" w:hAnsi="Times New Roman" w:eastAsia="宋体"/>
          <w:kern w:val="44"/>
          <w:szCs w:val="20"/>
        </w:rPr>
        <w:t xml:space="preserve">  </w:t>
      </w:r>
      <w:r>
        <w:rPr>
          <w:rFonts w:hint="eastAsia" w:ascii="Times New Roman" w:hAnsi="Times New Roman" w:eastAsia="宋体"/>
          <w:kern w:val="44"/>
          <w:szCs w:val="20"/>
        </w:rPr>
        <w:t>基金资产估值</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_Toc3134 \h </w:instrText>
      </w:r>
      <w:r>
        <w:rPr>
          <w:rFonts w:ascii="Times New Roman" w:hAnsi="Times New Roman"/>
        </w:rPr>
        <w:fldChar w:fldCharType="separate"/>
      </w:r>
      <w:r>
        <w:rPr>
          <w:rFonts w:ascii="Times New Roman" w:hAnsi="Times New Roman"/>
        </w:rPr>
        <w:t>68</w:t>
      </w:r>
      <w:r>
        <w:rPr>
          <w:rFonts w:ascii="Times New Roman" w:hAnsi="Times New Roman"/>
        </w:rPr>
        <w:fldChar w:fldCharType="end"/>
      </w:r>
      <w:r>
        <w:rPr>
          <w:rFonts w:ascii="Times New Roman" w:hAnsi="Times New Roman"/>
        </w:rPr>
        <w:fldChar w:fldCharType="end"/>
      </w:r>
    </w:p>
    <w:p w14:paraId="1BE61C00">
      <w:pPr>
        <w:pStyle w:val="32"/>
        <w:tabs>
          <w:tab w:val="right" w:leader="dot" w:pos="8458"/>
          <w:tab w:val="clear" w:pos="8450"/>
        </w:tabs>
        <w:rPr>
          <w:rFonts w:ascii="Times New Roman" w:hAnsi="Times New Roman"/>
        </w:rPr>
      </w:pPr>
      <w:r>
        <w:fldChar w:fldCharType="begin"/>
      </w:r>
      <w:r>
        <w:instrText xml:space="preserve"> HYPERLINK \l "_Toc12687" </w:instrText>
      </w:r>
      <w:r>
        <w:fldChar w:fldCharType="separate"/>
      </w:r>
      <w:r>
        <w:rPr>
          <w:rFonts w:hint="eastAsia" w:ascii="Times New Roman" w:hAnsi="Times New Roman" w:eastAsia="宋体"/>
          <w:kern w:val="0"/>
          <w:szCs w:val="20"/>
        </w:rPr>
        <w:t>第十二部分</w:t>
      </w:r>
      <w:r>
        <w:rPr>
          <w:rFonts w:ascii="Times New Roman" w:hAnsi="Times New Roman" w:eastAsia="宋体"/>
          <w:kern w:val="0"/>
          <w:szCs w:val="20"/>
        </w:rPr>
        <w:t xml:space="preserve">  </w:t>
      </w:r>
      <w:r>
        <w:rPr>
          <w:rFonts w:hint="eastAsia" w:ascii="Times New Roman" w:hAnsi="Times New Roman" w:eastAsia="宋体"/>
          <w:kern w:val="0"/>
          <w:szCs w:val="20"/>
        </w:rPr>
        <w:t>基金的收益与分配</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_Toc12687 \h </w:instrText>
      </w:r>
      <w:r>
        <w:rPr>
          <w:rFonts w:ascii="Times New Roman" w:hAnsi="Times New Roman"/>
        </w:rPr>
        <w:fldChar w:fldCharType="separate"/>
      </w:r>
      <w:r>
        <w:rPr>
          <w:rFonts w:ascii="Times New Roman" w:hAnsi="Times New Roman"/>
        </w:rPr>
        <w:t>76</w:t>
      </w:r>
      <w:r>
        <w:rPr>
          <w:rFonts w:ascii="Times New Roman" w:hAnsi="Times New Roman"/>
        </w:rPr>
        <w:fldChar w:fldCharType="end"/>
      </w:r>
      <w:r>
        <w:rPr>
          <w:rFonts w:ascii="Times New Roman" w:hAnsi="Times New Roman"/>
        </w:rPr>
        <w:fldChar w:fldCharType="end"/>
      </w:r>
    </w:p>
    <w:p w14:paraId="65CCFBA6">
      <w:pPr>
        <w:pStyle w:val="32"/>
        <w:tabs>
          <w:tab w:val="right" w:leader="dot" w:pos="8458"/>
          <w:tab w:val="clear" w:pos="8450"/>
        </w:tabs>
        <w:rPr>
          <w:rFonts w:ascii="Times New Roman" w:hAnsi="Times New Roman"/>
        </w:rPr>
      </w:pPr>
      <w:r>
        <w:fldChar w:fldCharType="begin"/>
      </w:r>
      <w:r>
        <w:instrText xml:space="preserve"> HYPERLINK \l "_Toc25423" </w:instrText>
      </w:r>
      <w:r>
        <w:fldChar w:fldCharType="separate"/>
      </w:r>
      <w:r>
        <w:rPr>
          <w:rFonts w:hint="eastAsia" w:ascii="Times New Roman" w:hAnsi="Times New Roman" w:eastAsia="宋体"/>
          <w:kern w:val="0"/>
          <w:szCs w:val="20"/>
        </w:rPr>
        <w:t>第十三部分</w:t>
      </w:r>
      <w:r>
        <w:rPr>
          <w:rFonts w:ascii="Times New Roman" w:hAnsi="Times New Roman" w:eastAsia="宋体"/>
          <w:kern w:val="0"/>
          <w:szCs w:val="20"/>
        </w:rPr>
        <w:t xml:space="preserve">  </w:t>
      </w:r>
      <w:r>
        <w:rPr>
          <w:rFonts w:hint="eastAsia" w:ascii="Times New Roman" w:hAnsi="Times New Roman" w:eastAsia="宋体"/>
          <w:kern w:val="0"/>
          <w:szCs w:val="20"/>
        </w:rPr>
        <w:t>基金的费用与税收</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_Toc25423 \h </w:instrText>
      </w:r>
      <w:r>
        <w:rPr>
          <w:rFonts w:ascii="Times New Roman" w:hAnsi="Times New Roman"/>
        </w:rPr>
        <w:fldChar w:fldCharType="separate"/>
      </w:r>
      <w:r>
        <w:rPr>
          <w:rFonts w:ascii="Times New Roman" w:hAnsi="Times New Roman"/>
        </w:rPr>
        <w:t>78</w:t>
      </w:r>
      <w:r>
        <w:rPr>
          <w:rFonts w:ascii="Times New Roman" w:hAnsi="Times New Roman"/>
        </w:rPr>
        <w:fldChar w:fldCharType="end"/>
      </w:r>
      <w:r>
        <w:rPr>
          <w:rFonts w:ascii="Times New Roman" w:hAnsi="Times New Roman"/>
        </w:rPr>
        <w:fldChar w:fldCharType="end"/>
      </w:r>
    </w:p>
    <w:p w14:paraId="03DEEC5F">
      <w:pPr>
        <w:pStyle w:val="32"/>
        <w:tabs>
          <w:tab w:val="right" w:leader="dot" w:pos="8458"/>
          <w:tab w:val="clear" w:pos="8450"/>
        </w:tabs>
        <w:rPr>
          <w:rFonts w:ascii="Times New Roman" w:hAnsi="Times New Roman"/>
        </w:rPr>
      </w:pPr>
      <w:r>
        <w:fldChar w:fldCharType="begin"/>
      </w:r>
      <w:r>
        <w:instrText xml:space="preserve"> HYPERLINK \l "_Toc9191" </w:instrText>
      </w:r>
      <w:r>
        <w:fldChar w:fldCharType="separate"/>
      </w:r>
      <w:r>
        <w:rPr>
          <w:rFonts w:hint="eastAsia" w:ascii="Times New Roman" w:hAnsi="Times New Roman" w:eastAsia="宋体"/>
          <w:kern w:val="0"/>
          <w:szCs w:val="20"/>
        </w:rPr>
        <w:t>第十四部分</w:t>
      </w:r>
      <w:r>
        <w:rPr>
          <w:rFonts w:ascii="Times New Roman" w:hAnsi="Times New Roman" w:eastAsia="宋体"/>
          <w:kern w:val="0"/>
          <w:szCs w:val="20"/>
        </w:rPr>
        <w:t xml:space="preserve">  </w:t>
      </w:r>
      <w:r>
        <w:rPr>
          <w:rFonts w:hint="eastAsia" w:ascii="Times New Roman" w:hAnsi="Times New Roman" w:eastAsia="宋体"/>
          <w:kern w:val="0"/>
          <w:szCs w:val="20"/>
        </w:rPr>
        <w:t>基金的会计与审计</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_Toc9191 \h </w:instrText>
      </w:r>
      <w:r>
        <w:rPr>
          <w:rFonts w:ascii="Times New Roman" w:hAnsi="Times New Roman"/>
        </w:rPr>
        <w:fldChar w:fldCharType="separate"/>
      </w:r>
      <w:r>
        <w:rPr>
          <w:rFonts w:ascii="Times New Roman" w:hAnsi="Times New Roman"/>
        </w:rPr>
        <w:t>82</w:t>
      </w:r>
      <w:r>
        <w:rPr>
          <w:rFonts w:ascii="Times New Roman" w:hAnsi="Times New Roman"/>
        </w:rPr>
        <w:fldChar w:fldCharType="end"/>
      </w:r>
      <w:r>
        <w:rPr>
          <w:rFonts w:ascii="Times New Roman" w:hAnsi="Times New Roman"/>
        </w:rPr>
        <w:fldChar w:fldCharType="end"/>
      </w:r>
    </w:p>
    <w:p w14:paraId="1A1E9C8E">
      <w:pPr>
        <w:pStyle w:val="32"/>
        <w:tabs>
          <w:tab w:val="right" w:leader="dot" w:pos="8458"/>
          <w:tab w:val="clear" w:pos="8450"/>
        </w:tabs>
        <w:rPr>
          <w:rFonts w:ascii="Times New Roman" w:hAnsi="Times New Roman"/>
        </w:rPr>
      </w:pPr>
      <w:r>
        <w:fldChar w:fldCharType="begin"/>
      </w:r>
      <w:r>
        <w:instrText xml:space="preserve"> HYPERLINK \l "_Toc28609" </w:instrText>
      </w:r>
      <w:r>
        <w:fldChar w:fldCharType="separate"/>
      </w:r>
      <w:r>
        <w:rPr>
          <w:rFonts w:hint="eastAsia" w:ascii="Times New Roman" w:hAnsi="Times New Roman" w:eastAsia="宋体"/>
          <w:kern w:val="44"/>
          <w:szCs w:val="20"/>
        </w:rPr>
        <w:t>第十五部分</w:t>
      </w:r>
      <w:r>
        <w:rPr>
          <w:rFonts w:ascii="Times New Roman" w:hAnsi="Times New Roman" w:eastAsia="宋体"/>
          <w:kern w:val="44"/>
          <w:szCs w:val="20"/>
        </w:rPr>
        <w:t xml:space="preserve">  </w:t>
      </w:r>
      <w:r>
        <w:rPr>
          <w:rFonts w:hint="eastAsia" w:ascii="Times New Roman" w:hAnsi="Times New Roman" w:eastAsia="宋体"/>
          <w:kern w:val="44"/>
          <w:szCs w:val="20"/>
        </w:rPr>
        <w:t>基金的信息披露</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_Toc28609 \h </w:instrText>
      </w:r>
      <w:r>
        <w:rPr>
          <w:rFonts w:ascii="Times New Roman" w:hAnsi="Times New Roman"/>
        </w:rPr>
        <w:fldChar w:fldCharType="separate"/>
      </w:r>
      <w:r>
        <w:rPr>
          <w:rFonts w:ascii="Times New Roman" w:hAnsi="Times New Roman"/>
        </w:rPr>
        <w:t>83</w:t>
      </w:r>
      <w:r>
        <w:rPr>
          <w:rFonts w:ascii="Times New Roman" w:hAnsi="Times New Roman"/>
        </w:rPr>
        <w:fldChar w:fldCharType="end"/>
      </w:r>
      <w:r>
        <w:rPr>
          <w:rFonts w:ascii="Times New Roman" w:hAnsi="Times New Roman"/>
        </w:rPr>
        <w:fldChar w:fldCharType="end"/>
      </w:r>
    </w:p>
    <w:p w14:paraId="2368B53A">
      <w:pPr>
        <w:pStyle w:val="32"/>
        <w:tabs>
          <w:tab w:val="right" w:leader="dot" w:pos="8458"/>
          <w:tab w:val="clear" w:pos="8450"/>
        </w:tabs>
        <w:rPr>
          <w:rFonts w:ascii="Times New Roman" w:hAnsi="Times New Roman"/>
        </w:rPr>
      </w:pPr>
      <w:r>
        <w:fldChar w:fldCharType="begin"/>
      </w:r>
      <w:r>
        <w:instrText xml:space="preserve"> HYPERLINK \l "_Toc30141" </w:instrText>
      </w:r>
      <w:r>
        <w:fldChar w:fldCharType="separate"/>
      </w:r>
      <w:r>
        <w:rPr>
          <w:rFonts w:ascii="Times New Roman" w:hAnsi="Times New Roman" w:eastAsia="宋体"/>
          <w:kern w:val="0"/>
          <w:szCs w:val="20"/>
        </w:rPr>
        <w:t xml:space="preserve">第十六部分  </w:t>
      </w:r>
      <w:r>
        <w:rPr>
          <w:rFonts w:hint="eastAsia" w:ascii="Times New Roman" w:hAnsi="Times New Roman" w:eastAsia="宋体"/>
          <w:bCs/>
          <w:kern w:val="44"/>
          <w:szCs w:val="32"/>
        </w:rPr>
        <w:t>侧袋机制</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_Toc30141 \h </w:instrText>
      </w:r>
      <w:r>
        <w:rPr>
          <w:rFonts w:ascii="Times New Roman" w:hAnsi="Times New Roman"/>
        </w:rPr>
        <w:fldChar w:fldCharType="separate"/>
      </w:r>
      <w:r>
        <w:rPr>
          <w:rFonts w:ascii="Times New Roman" w:hAnsi="Times New Roman"/>
        </w:rPr>
        <w:t>91</w:t>
      </w:r>
      <w:r>
        <w:rPr>
          <w:rFonts w:ascii="Times New Roman" w:hAnsi="Times New Roman"/>
        </w:rPr>
        <w:fldChar w:fldCharType="end"/>
      </w:r>
      <w:r>
        <w:rPr>
          <w:rFonts w:ascii="Times New Roman" w:hAnsi="Times New Roman"/>
        </w:rPr>
        <w:fldChar w:fldCharType="end"/>
      </w:r>
    </w:p>
    <w:p w14:paraId="02FD2A0C">
      <w:pPr>
        <w:pStyle w:val="32"/>
        <w:tabs>
          <w:tab w:val="right" w:leader="dot" w:pos="8458"/>
          <w:tab w:val="clear" w:pos="8450"/>
        </w:tabs>
        <w:rPr>
          <w:rFonts w:ascii="Times New Roman" w:hAnsi="Times New Roman"/>
        </w:rPr>
      </w:pPr>
      <w:r>
        <w:fldChar w:fldCharType="begin"/>
      </w:r>
      <w:r>
        <w:instrText xml:space="preserve"> HYPERLINK \l "_Toc12250" </w:instrText>
      </w:r>
      <w:r>
        <w:fldChar w:fldCharType="separate"/>
      </w:r>
      <w:r>
        <w:rPr>
          <w:rFonts w:hint="eastAsia" w:ascii="Times New Roman" w:hAnsi="Times New Roman" w:eastAsia="宋体"/>
          <w:kern w:val="0"/>
          <w:szCs w:val="20"/>
        </w:rPr>
        <w:t>第十七部分</w:t>
      </w:r>
      <w:r>
        <w:rPr>
          <w:rFonts w:ascii="Times New Roman" w:hAnsi="Times New Roman" w:eastAsia="宋体"/>
          <w:kern w:val="0"/>
          <w:szCs w:val="20"/>
        </w:rPr>
        <w:t xml:space="preserve">  </w:t>
      </w:r>
      <w:r>
        <w:rPr>
          <w:rFonts w:hint="eastAsia" w:ascii="Times New Roman" w:hAnsi="Times New Roman" w:eastAsia="宋体"/>
          <w:kern w:val="0"/>
          <w:szCs w:val="20"/>
        </w:rPr>
        <w:t>风险揭示</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_Toc12250 \h </w:instrText>
      </w:r>
      <w:r>
        <w:rPr>
          <w:rFonts w:ascii="Times New Roman" w:hAnsi="Times New Roman"/>
        </w:rPr>
        <w:fldChar w:fldCharType="separate"/>
      </w:r>
      <w:r>
        <w:rPr>
          <w:rFonts w:ascii="Times New Roman" w:hAnsi="Times New Roman"/>
        </w:rPr>
        <w:t>94</w:t>
      </w:r>
      <w:r>
        <w:rPr>
          <w:rFonts w:ascii="Times New Roman" w:hAnsi="Times New Roman"/>
        </w:rPr>
        <w:fldChar w:fldCharType="end"/>
      </w:r>
      <w:r>
        <w:rPr>
          <w:rFonts w:ascii="Times New Roman" w:hAnsi="Times New Roman"/>
        </w:rPr>
        <w:fldChar w:fldCharType="end"/>
      </w:r>
    </w:p>
    <w:p w14:paraId="4542B5C6">
      <w:pPr>
        <w:pStyle w:val="32"/>
        <w:tabs>
          <w:tab w:val="right" w:leader="dot" w:pos="8458"/>
          <w:tab w:val="clear" w:pos="8450"/>
        </w:tabs>
        <w:rPr>
          <w:rFonts w:ascii="Times New Roman" w:hAnsi="Times New Roman"/>
        </w:rPr>
      </w:pPr>
      <w:r>
        <w:fldChar w:fldCharType="begin"/>
      </w:r>
      <w:r>
        <w:instrText xml:space="preserve"> HYPERLINK \l "_Toc17217" </w:instrText>
      </w:r>
      <w:r>
        <w:fldChar w:fldCharType="separate"/>
      </w:r>
      <w:r>
        <w:rPr>
          <w:rFonts w:hint="eastAsia" w:ascii="Times New Roman" w:hAnsi="Times New Roman" w:eastAsia="宋体"/>
          <w:kern w:val="0"/>
          <w:szCs w:val="20"/>
        </w:rPr>
        <w:t>第十八部分</w:t>
      </w:r>
      <w:r>
        <w:rPr>
          <w:rFonts w:ascii="Times New Roman" w:hAnsi="Times New Roman" w:eastAsia="宋体"/>
          <w:kern w:val="0"/>
          <w:szCs w:val="20"/>
        </w:rPr>
        <w:t xml:space="preserve">  </w:t>
      </w:r>
      <w:r>
        <w:rPr>
          <w:rFonts w:hint="eastAsia" w:ascii="Times New Roman" w:hAnsi="Times New Roman" w:eastAsia="宋体"/>
          <w:kern w:val="0"/>
          <w:szCs w:val="20"/>
        </w:rPr>
        <w:t>基金合同的变更、终止与基金财产的清算</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_Toc17217 \h </w:instrText>
      </w:r>
      <w:r>
        <w:rPr>
          <w:rFonts w:ascii="Times New Roman" w:hAnsi="Times New Roman"/>
        </w:rPr>
        <w:fldChar w:fldCharType="separate"/>
      </w:r>
      <w:r>
        <w:rPr>
          <w:rFonts w:ascii="Times New Roman" w:hAnsi="Times New Roman"/>
        </w:rPr>
        <w:t>110</w:t>
      </w:r>
      <w:r>
        <w:rPr>
          <w:rFonts w:ascii="Times New Roman" w:hAnsi="Times New Roman"/>
        </w:rPr>
        <w:fldChar w:fldCharType="end"/>
      </w:r>
      <w:r>
        <w:rPr>
          <w:rFonts w:ascii="Times New Roman" w:hAnsi="Times New Roman"/>
        </w:rPr>
        <w:fldChar w:fldCharType="end"/>
      </w:r>
    </w:p>
    <w:p w14:paraId="2B44353D">
      <w:pPr>
        <w:pStyle w:val="32"/>
        <w:tabs>
          <w:tab w:val="right" w:leader="dot" w:pos="8458"/>
          <w:tab w:val="clear" w:pos="8450"/>
        </w:tabs>
        <w:rPr>
          <w:rFonts w:ascii="Times New Roman" w:hAnsi="Times New Roman"/>
        </w:rPr>
      </w:pPr>
      <w:r>
        <w:fldChar w:fldCharType="begin"/>
      </w:r>
      <w:r>
        <w:instrText xml:space="preserve"> HYPERLINK \l "_Toc4610" </w:instrText>
      </w:r>
      <w:r>
        <w:fldChar w:fldCharType="separate"/>
      </w:r>
      <w:r>
        <w:rPr>
          <w:rFonts w:hint="eastAsia" w:ascii="Times New Roman" w:hAnsi="Times New Roman" w:eastAsia="宋体"/>
          <w:kern w:val="44"/>
          <w:szCs w:val="20"/>
        </w:rPr>
        <w:t>第十九部分</w:t>
      </w:r>
      <w:r>
        <w:rPr>
          <w:rFonts w:ascii="Times New Roman" w:hAnsi="Times New Roman" w:eastAsia="宋体"/>
          <w:kern w:val="44"/>
          <w:szCs w:val="20"/>
        </w:rPr>
        <w:t xml:space="preserve">  </w:t>
      </w:r>
      <w:r>
        <w:rPr>
          <w:rFonts w:hint="eastAsia" w:ascii="Times New Roman" w:hAnsi="Times New Roman" w:eastAsia="宋体"/>
          <w:kern w:val="44"/>
          <w:szCs w:val="20"/>
        </w:rPr>
        <w:t>基金合同的内容摘要</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_Toc4610 \h </w:instrText>
      </w:r>
      <w:r>
        <w:rPr>
          <w:rFonts w:ascii="Times New Roman" w:hAnsi="Times New Roman"/>
        </w:rPr>
        <w:fldChar w:fldCharType="separate"/>
      </w:r>
      <w:r>
        <w:rPr>
          <w:rFonts w:ascii="Times New Roman" w:hAnsi="Times New Roman"/>
        </w:rPr>
        <w:t>112</w:t>
      </w:r>
      <w:r>
        <w:rPr>
          <w:rFonts w:ascii="Times New Roman" w:hAnsi="Times New Roman"/>
        </w:rPr>
        <w:fldChar w:fldCharType="end"/>
      </w:r>
      <w:r>
        <w:rPr>
          <w:rFonts w:ascii="Times New Roman" w:hAnsi="Times New Roman"/>
        </w:rPr>
        <w:fldChar w:fldCharType="end"/>
      </w:r>
    </w:p>
    <w:p w14:paraId="72BB3A80">
      <w:pPr>
        <w:pStyle w:val="32"/>
        <w:tabs>
          <w:tab w:val="right" w:leader="dot" w:pos="8458"/>
          <w:tab w:val="clear" w:pos="8450"/>
        </w:tabs>
        <w:rPr>
          <w:rFonts w:ascii="Times New Roman" w:hAnsi="Times New Roman"/>
        </w:rPr>
      </w:pPr>
      <w:r>
        <w:fldChar w:fldCharType="begin"/>
      </w:r>
      <w:r>
        <w:instrText xml:space="preserve"> HYPERLINK \l "_Toc24652" </w:instrText>
      </w:r>
      <w:r>
        <w:fldChar w:fldCharType="separate"/>
      </w:r>
      <w:r>
        <w:rPr>
          <w:rFonts w:hint="eastAsia" w:ascii="Times New Roman" w:hAnsi="Times New Roman" w:eastAsia="宋体"/>
          <w:kern w:val="44"/>
          <w:szCs w:val="20"/>
        </w:rPr>
        <w:t>第二十部分</w:t>
      </w:r>
      <w:r>
        <w:rPr>
          <w:rFonts w:ascii="Times New Roman" w:hAnsi="Times New Roman" w:eastAsia="宋体"/>
          <w:kern w:val="44"/>
          <w:szCs w:val="20"/>
        </w:rPr>
        <w:t xml:space="preserve">  </w:t>
      </w:r>
      <w:r>
        <w:rPr>
          <w:rFonts w:hint="eastAsia" w:ascii="Times New Roman" w:hAnsi="Times New Roman" w:eastAsia="宋体"/>
          <w:kern w:val="44"/>
          <w:szCs w:val="20"/>
        </w:rPr>
        <w:t>基金托管协议的内容摘要</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_Toc24652 \h </w:instrText>
      </w:r>
      <w:r>
        <w:rPr>
          <w:rFonts w:ascii="Times New Roman" w:hAnsi="Times New Roman"/>
        </w:rPr>
        <w:fldChar w:fldCharType="separate"/>
      </w:r>
      <w:r>
        <w:rPr>
          <w:rFonts w:ascii="Times New Roman" w:hAnsi="Times New Roman"/>
        </w:rPr>
        <w:t>130</w:t>
      </w:r>
      <w:r>
        <w:rPr>
          <w:rFonts w:ascii="Times New Roman" w:hAnsi="Times New Roman"/>
        </w:rPr>
        <w:fldChar w:fldCharType="end"/>
      </w:r>
      <w:r>
        <w:rPr>
          <w:rFonts w:ascii="Times New Roman" w:hAnsi="Times New Roman"/>
        </w:rPr>
        <w:fldChar w:fldCharType="end"/>
      </w:r>
    </w:p>
    <w:p w14:paraId="13C03C6F">
      <w:pPr>
        <w:pStyle w:val="32"/>
        <w:tabs>
          <w:tab w:val="right" w:leader="dot" w:pos="8458"/>
          <w:tab w:val="clear" w:pos="8450"/>
        </w:tabs>
        <w:rPr>
          <w:rFonts w:ascii="Times New Roman" w:hAnsi="Times New Roman"/>
        </w:rPr>
      </w:pPr>
      <w:r>
        <w:fldChar w:fldCharType="begin"/>
      </w:r>
      <w:r>
        <w:instrText xml:space="preserve"> HYPERLINK \l "_Toc1404" </w:instrText>
      </w:r>
      <w:r>
        <w:fldChar w:fldCharType="separate"/>
      </w:r>
      <w:r>
        <w:rPr>
          <w:rFonts w:hint="eastAsia" w:ascii="Times New Roman" w:hAnsi="Times New Roman" w:eastAsia="宋体"/>
          <w:kern w:val="44"/>
          <w:szCs w:val="20"/>
        </w:rPr>
        <w:t>第二十一部分</w:t>
      </w:r>
      <w:r>
        <w:rPr>
          <w:rFonts w:ascii="Times New Roman" w:hAnsi="Times New Roman" w:eastAsia="宋体"/>
          <w:kern w:val="44"/>
          <w:szCs w:val="20"/>
        </w:rPr>
        <w:t xml:space="preserve">  </w:t>
      </w:r>
      <w:r>
        <w:rPr>
          <w:rFonts w:hint="eastAsia" w:ascii="Times New Roman" w:hAnsi="Times New Roman" w:eastAsia="宋体"/>
          <w:kern w:val="44"/>
          <w:szCs w:val="20"/>
        </w:rPr>
        <w:t>对基金份额持有人的服务</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_Toc1404 \h </w:instrText>
      </w:r>
      <w:r>
        <w:rPr>
          <w:rFonts w:ascii="Times New Roman" w:hAnsi="Times New Roman"/>
        </w:rPr>
        <w:fldChar w:fldCharType="separate"/>
      </w:r>
      <w:r>
        <w:rPr>
          <w:rFonts w:ascii="Times New Roman" w:hAnsi="Times New Roman"/>
        </w:rPr>
        <w:t>150</w:t>
      </w:r>
      <w:r>
        <w:rPr>
          <w:rFonts w:ascii="Times New Roman" w:hAnsi="Times New Roman"/>
        </w:rPr>
        <w:fldChar w:fldCharType="end"/>
      </w:r>
      <w:r>
        <w:rPr>
          <w:rFonts w:ascii="Times New Roman" w:hAnsi="Times New Roman"/>
        </w:rPr>
        <w:fldChar w:fldCharType="end"/>
      </w:r>
    </w:p>
    <w:p w14:paraId="50DB3295">
      <w:pPr>
        <w:pStyle w:val="32"/>
        <w:tabs>
          <w:tab w:val="right" w:leader="dot" w:pos="8458"/>
          <w:tab w:val="clear" w:pos="8450"/>
        </w:tabs>
        <w:rPr>
          <w:rFonts w:ascii="Times New Roman" w:hAnsi="Times New Roman"/>
        </w:rPr>
      </w:pPr>
      <w:r>
        <w:fldChar w:fldCharType="begin"/>
      </w:r>
      <w:r>
        <w:instrText xml:space="preserve"> HYPERLINK \l "_Toc26297" </w:instrText>
      </w:r>
      <w:r>
        <w:fldChar w:fldCharType="separate"/>
      </w:r>
      <w:r>
        <w:rPr>
          <w:rFonts w:hint="eastAsia" w:ascii="Times New Roman" w:hAnsi="Times New Roman" w:eastAsia="宋体"/>
          <w:kern w:val="0"/>
          <w:szCs w:val="20"/>
        </w:rPr>
        <w:t>第二十二部分</w:t>
      </w:r>
      <w:r>
        <w:rPr>
          <w:rFonts w:ascii="Times New Roman" w:hAnsi="Times New Roman" w:eastAsia="宋体"/>
          <w:kern w:val="0"/>
          <w:szCs w:val="20"/>
        </w:rPr>
        <w:t xml:space="preserve">  </w:t>
      </w:r>
      <w:r>
        <w:rPr>
          <w:rFonts w:hint="eastAsia" w:ascii="Times New Roman" w:hAnsi="Times New Roman" w:eastAsia="宋体"/>
          <w:kern w:val="0"/>
          <w:szCs w:val="20"/>
        </w:rPr>
        <w:t>招募说明书的存放及查阅方式</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_Toc26297 \h </w:instrText>
      </w:r>
      <w:r>
        <w:rPr>
          <w:rFonts w:ascii="Times New Roman" w:hAnsi="Times New Roman"/>
        </w:rPr>
        <w:fldChar w:fldCharType="separate"/>
      </w:r>
      <w:r>
        <w:rPr>
          <w:rFonts w:ascii="Times New Roman" w:hAnsi="Times New Roman"/>
        </w:rPr>
        <w:t>152</w:t>
      </w:r>
      <w:r>
        <w:rPr>
          <w:rFonts w:ascii="Times New Roman" w:hAnsi="Times New Roman"/>
        </w:rPr>
        <w:fldChar w:fldCharType="end"/>
      </w:r>
      <w:r>
        <w:rPr>
          <w:rFonts w:ascii="Times New Roman" w:hAnsi="Times New Roman"/>
        </w:rPr>
        <w:fldChar w:fldCharType="end"/>
      </w:r>
    </w:p>
    <w:p w14:paraId="04306A2E">
      <w:pPr>
        <w:pStyle w:val="32"/>
        <w:tabs>
          <w:tab w:val="right" w:leader="dot" w:pos="8458"/>
          <w:tab w:val="clear" w:pos="8450"/>
        </w:tabs>
        <w:rPr>
          <w:rFonts w:ascii="Times New Roman" w:hAnsi="Times New Roman"/>
        </w:rPr>
      </w:pPr>
      <w:r>
        <w:fldChar w:fldCharType="begin"/>
      </w:r>
      <w:r>
        <w:instrText xml:space="preserve"> HYPERLINK \l "_Toc3527" </w:instrText>
      </w:r>
      <w:r>
        <w:fldChar w:fldCharType="separate"/>
      </w:r>
      <w:r>
        <w:rPr>
          <w:rFonts w:hint="eastAsia" w:ascii="Times New Roman" w:hAnsi="Times New Roman" w:eastAsia="宋体"/>
          <w:kern w:val="0"/>
          <w:szCs w:val="20"/>
        </w:rPr>
        <w:t>第二十三部分</w:t>
      </w:r>
      <w:r>
        <w:rPr>
          <w:rFonts w:ascii="Times New Roman" w:hAnsi="Times New Roman" w:eastAsia="宋体"/>
          <w:kern w:val="0"/>
          <w:szCs w:val="20"/>
        </w:rPr>
        <w:t xml:space="preserve">  </w:t>
      </w:r>
      <w:r>
        <w:rPr>
          <w:rFonts w:hint="eastAsia" w:ascii="Times New Roman" w:hAnsi="Times New Roman" w:eastAsia="宋体"/>
          <w:kern w:val="0"/>
          <w:szCs w:val="20"/>
        </w:rPr>
        <w:t>备查文件</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_Toc3527 \h </w:instrText>
      </w:r>
      <w:r>
        <w:rPr>
          <w:rFonts w:ascii="Times New Roman" w:hAnsi="Times New Roman"/>
        </w:rPr>
        <w:fldChar w:fldCharType="separate"/>
      </w:r>
      <w:r>
        <w:rPr>
          <w:rFonts w:ascii="Times New Roman" w:hAnsi="Times New Roman"/>
        </w:rPr>
        <w:t>153</w:t>
      </w:r>
      <w:r>
        <w:rPr>
          <w:rFonts w:ascii="Times New Roman" w:hAnsi="Times New Roman"/>
        </w:rPr>
        <w:fldChar w:fldCharType="end"/>
      </w:r>
      <w:r>
        <w:rPr>
          <w:rFonts w:ascii="Times New Roman" w:hAnsi="Times New Roman"/>
        </w:rPr>
        <w:fldChar w:fldCharType="end"/>
      </w:r>
    </w:p>
    <w:p w14:paraId="50661757">
      <w:pPr>
        <w:tabs>
          <w:tab w:val="right" w:leader="dot" w:pos="8450"/>
        </w:tabs>
        <w:spacing w:line="360" w:lineRule="auto"/>
        <w:rPr>
          <w:rFonts w:hint="eastAsia" w:ascii="黑体" w:hAnsi="宋体" w:eastAsia="黑体" w:cs="Times New Roman"/>
          <w:b/>
          <w:sz w:val="24"/>
          <w:szCs w:val="20"/>
        </w:rPr>
      </w:pPr>
      <w:r>
        <w:rPr>
          <w:rFonts w:ascii="Times New Roman" w:hAnsi="Times New Roman" w:eastAsia="宋体" w:cs="Times New Roman"/>
          <w:bCs/>
          <w:sz w:val="24"/>
          <w:szCs w:val="24"/>
        </w:rPr>
        <w:fldChar w:fldCharType="end"/>
      </w:r>
      <w:bookmarkStart w:id="29" w:name="_Toc11660"/>
      <w:bookmarkStart w:id="30" w:name="_Toc390614981"/>
      <w:r>
        <w:rPr>
          <w:rFonts w:ascii="黑体" w:hAnsi="宋体" w:eastAsia="黑体" w:cs="Times New Roman"/>
          <w:sz w:val="24"/>
          <w:szCs w:val="24"/>
        </w:rPr>
        <w:br w:type="page"/>
      </w:r>
    </w:p>
    <w:p w14:paraId="779A3A05">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bookmarkStart w:id="31" w:name="_Toc213077620"/>
      <w:bookmarkStart w:id="32" w:name="_Toc8613"/>
      <w:bookmarkStart w:id="33" w:name="_Toc29578"/>
      <w:r>
        <w:rPr>
          <w:rFonts w:hint="eastAsia" w:ascii="Times New Roman" w:hAnsi="Times New Roman" w:eastAsia="宋体" w:cs="Times New Roman"/>
          <w:b/>
          <w:kern w:val="44"/>
          <w:sz w:val="32"/>
          <w:szCs w:val="20"/>
        </w:rPr>
        <w:t>第一部分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前言</w:t>
      </w:r>
      <w:bookmarkEnd w:id="28"/>
      <w:bookmarkEnd w:id="29"/>
      <w:bookmarkEnd w:id="30"/>
      <w:bookmarkEnd w:id="31"/>
      <w:bookmarkEnd w:id="32"/>
      <w:bookmarkEnd w:id="33"/>
    </w:p>
    <w:p w14:paraId="72B0D4B7">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的规定，以及《富国裕丰回报混合型证券投资基金基金合同》（以下简称“基金合同”或“《基金合同》”）编写。</w:t>
      </w:r>
    </w:p>
    <w:p w14:paraId="04DD56E9">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4"/>
        </w:rPr>
        <w:t>本招募说明书阐述</w:t>
      </w:r>
      <w:r>
        <w:rPr>
          <w:rFonts w:hint="eastAsia" w:ascii="Times New Roman" w:hAnsi="Times New Roman" w:eastAsia="宋体" w:cs="Times New Roman"/>
          <w:sz w:val="24"/>
          <w:szCs w:val="20"/>
        </w:rPr>
        <w:t>了富国裕丰回报混合型证券投资基金</w:t>
      </w:r>
      <w:r>
        <w:rPr>
          <w:rFonts w:hint="eastAsia" w:ascii="Times New Roman" w:hAnsi="Times New Roman" w:eastAsia="宋体" w:cs="Times New Roman"/>
          <w:sz w:val="24"/>
          <w:szCs w:val="24"/>
        </w:rPr>
        <w:t>的投资目标、策略、风险、费率等与投资者投资决策有关的全部必要事项，投资者在做出投资决策前应仔细阅读本招募说明书。</w:t>
      </w:r>
    </w:p>
    <w:p w14:paraId="3A5BE7C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本基金管理人承诺本招募说明书不存在任何虚假内容、误导性陈述或重大遗漏，并对其真实性、准确性、完整性承担法律责任。</w:t>
      </w:r>
    </w:p>
    <w:p w14:paraId="72D8CEC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基金是根据本招募说明书所载明的资料申请募集的。本招募说明书由富国基金管理有限公司解释。本基金管理人没有委托或授权任何其他人提供未在本招募说明书中载明的信息，或对本招募说明书做出任何解释或者说明。</w:t>
      </w:r>
    </w:p>
    <w:p w14:paraId="0280CB29">
      <w:pPr>
        <w:spacing w:line="360" w:lineRule="auto"/>
        <w:ind w:firstLine="480" w:firstLineChars="200"/>
        <w:rPr>
          <w:rFonts w:ascii="Times New Roman" w:hAnsi="Times New Roman" w:eastAsia="宋体" w:cs="Times New Roman"/>
          <w:b/>
          <w:kern w:val="0"/>
          <w:sz w:val="24"/>
          <w:szCs w:val="24"/>
        </w:rPr>
      </w:pPr>
      <w:r>
        <w:rPr>
          <w:rFonts w:hint="eastAsia" w:ascii="Times New Roman" w:hAnsi="Times New Roman" w:eastAsia="宋体" w:cs="Times New Roman"/>
          <w:sz w:val="24"/>
          <w:szCs w:val="24"/>
        </w:rPr>
        <w:t>本招募说明书根据本基金的基金合同编写，并经中国证监会注册。基金合同是约定基金合同当事人之间权利、义务的法律文件。如本招募说明书内容与基金合同有冲突或不一致之处，均以基金合同为准。基金投资者自依基金合同取得基金份额，即成为基金份额持有人和基金合同的当事人，其持有基金份额的行为本身即表明其对基金合同的承认和接受，并按照《基金法》、基金合同及其他有关规定享有权利、承担义务。基金份额持有人作为基金合同当事人并不以在基金合同上书面签章或签字为必要条件。基金投资者欲了解基金份额持有人的权利和义务，应详细查阅基金合同。</w:t>
      </w:r>
    </w:p>
    <w:p w14:paraId="21FE9FEA">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bookmarkStart w:id="34" w:name="_Toc109537380"/>
      <w:r>
        <w:rPr>
          <w:rFonts w:ascii="Times New Roman" w:hAnsi="Times New Roman" w:eastAsia="宋体" w:cs="Times New Roman"/>
          <w:b/>
          <w:kern w:val="0"/>
          <w:sz w:val="32"/>
          <w:szCs w:val="20"/>
        </w:rPr>
        <w:br w:type="page"/>
      </w:r>
      <w:bookmarkStart w:id="35" w:name="_Toc19592"/>
      <w:bookmarkStart w:id="36" w:name="_Toc21301"/>
      <w:bookmarkStart w:id="37" w:name="_Toc6617"/>
      <w:bookmarkStart w:id="38" w:name="_Toc2465"/>
      <w:bookmarkStart w:id="39" w:name="_Toc3224"/>
      <w:bookmarkStart w:id="40" w:name="_Toc22864"/>
      <w:bookmarkStart w:id="41" w:name="_Toc819"/>
      <w:bookmarkStart w:id="42" w:name="_Toc30830"/>
      <w:bookmarkStart w:id="43" w:name="_Toc390614982"/>
      <w:bookmarkStart w:id="44" w:name="_Toc7853"/>
      <w:bookmarkStart w:id="45" w:name="_Toc213077621"/>
      <w:bookmarkStart w:id="46" w:name="_Toc31551"/>
      <w:bookmarkStart w:id="47" w:name="_Toc15067"/>
      <w:bookmarkStart w:id="48" w:name="_Toc24860"/>
      <w:bookmarkStart w:id="49" w:name="_Toc13020"/>
      <w:r>
        <w:rPr>
          <w:rFonts w:ascii="Times New Roman" w:hAnsi="Times New Roman" w:eastAsia="宋体" w:cs="Times New Roman"/>
          <w:b/>
          <w:kern w:val="0"/>
          <w:sz w:val="32"/>
          <w:szCs w:val="20"/>
        </w:rPr>
        <w:t>第二部分  释义</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0499A71">
      <w:pPr>
        <w:spacing w:line="360" w:lineRule="auto"/>
        <w:ind w:firstLine="480" w:firstLineChars="200"/>
        <w:rPr>
          <w:rFonts w:ascii="Times New Roman" w:hAnsi="Times New Roman" w:eastAsia="宋体" w:cs="Times New Roman"/>
          <w:sz w:val="24"/>
          <w:szCs w:val="24"/>
        </w:rPr>
      </w:pPr>
      <w:bookmarkStart w:id="50" w:name="OLE_LINK52"/>
      <w:r>
        <w:rPr>
          <w:rFonts w:hint="eastAsia" w:ascii="Times New Roman" w:hAnsi="Times New Roman" w:eastAsia="宋体" w:cs="Times New Roman"/>
          <w:sz w:val="24"/>
          <w:szCs w:val="24"/>
        </w:rPr>
        <w:t>在本招募说明</w:t>
      </w:r>
      <w:r>
        <w:rPr>
          <w:rFonts w:ascii="Times New Roman" w:hAnsi="Times New Roman" w:eastAsia="宋体" w:cs="Times New Roman"/>
          <w:sz w:val="24"/>
          <w:szCs w:val="24"/>
        </w:rPr>
        <w:t>书</w:t>
      </w:r>
      <w:r>
        <w:rPr>
          <w:rFonts w:hint="eastAsia" w:ascii="Times New Roman" w:hAnsi="Times New Roman" w:eastAsia="宋体" w:cs="Times New Roman"/>
          <w:sz w:val="24"/>
          <w:szCs w:val="24"/>
        </w:rPr>
        <w:t>中，除非文意另有所指，下列词语或简称具有如下含义：</w:t>
      </w:r>
    </w:p>
    <w:p w14:paraId="62B6C80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1、基金或本基金：指富国裕丰回报混合型证券投资基金</w:t>
      </w:r>
    </w:p>
    <w:p w14:paraId="192397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2、基金管理人：指富国基金管理有限公司</w:t>
      </w:r>
    </w:p>
    <w:p w14:paraId="058600C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3、基金托管人：指招商银行股份有限公司</w:t>
      </w:r>
    </w:p>
    <w:p w14:paraId="00D7D58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4、基金合同：指《富国裕丰回报混合型证券投资基金基金合同》及对基金合同的任何有效修订和补充</w:t>
      </w:r>
    </w:p>
    <w:p w14:paraId="7327D8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5、托管协议：指基金管理人与基金托管人就本基金签订之《富国裕丰回报混合型证券投资基金托管协议》及对该托管协议的任何有效修订和补充</w:t>
      </w:r>
    </w:p>
    <w:p w14:paraId="5AA626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6、招募说明书或本招募说明书：指《富国裕丰回报混合型证券投资基金招募说明书》及其更新</w:t>
      </w:r>
    </w:p>
    <w:p w14:paraId="3327EF2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7、基金产品资料概要：指《富国裕丰回报混合型证券投资基金基金产品资料概要》及其更新</w:t>
      </w:r>
    </w:p>
    <w:p w14:paraId="1E0E9F9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8、基金份额发售公告：指《富国裕丰回报混合型证券投资基金基金份额发售公告》</w:t>
      </w:r>
    </w:p>
    <w:p w14:paraId="320DE17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9、法律法规：指中国现行有效并公布实施的法律、行政法规、规范性文件、司法解释、行政规章以及其他对基金合同当事人有约束力的决定、决议、通知等</w:t>
      </w:r>
    </w:p>
    <w:p w14:paraId="59904CA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0FD89C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11、《销售办法》：指中国证监会2020年8月28日颁布、同年10月1日实施的《公开募集证券投资基金销售机构监督管理办法》及颁布机关对其不时做出的修订</w:t>
      </w:r>
    </w:p>
    <w:p w14:paraId="03FD5B5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29A557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13、《运作办法》：指中国证监会2014年7月7日颁布、同年8月8日实施的《公开募集证券投资基金运作管理办法》及颁布机关对其不时做出的修订</w:t>
      </w:r>
    </w:p>
    <w:p w14:paraId="47201C4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14、《流动性风险管理规定》：指中国证监会2017年8月31日颁布、同年10月1日实施的《公开募集开放式证券投资基金流动性风险管理规定》及颁布机关对其不时做出的修订</w:t>
      </w:r>
    </w:p>
    <w:p w14:paraId="35E9804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15、《销售费用管理规定》：指中国证监会2025年12月31日颁布、2026年1月1日实施的《公开募集证券投资基金销售费用管理规定》及颁布机关对其不时做出的修订</w:t>
      </w:r>
    </w:p>
    <w:p w14:paraId="59EAC4E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、中国证监会：指中国证券监督管理委员会</w:t>
      </w:r>
    </w:p>
    <w:p w14:paraId="1E9103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7</w:t>
      </w:r>
      <w:r>
        <w:rPr>
          <w:rFonts w:hint="eastAsia" w:ascii="Times New Roman" w:hAnsi="Times New Roman" w:eastAsia="宋体" w:cs="Times New Roman"/>
          <w:bCs/>
          <w:sz w:val="24"/>
          <w:szCs w:val="24"/>
        </w:rPr>
        <w:t>、银行业监督管理机构：指中国人民银行和/或国家金融监督管理总局</w:t>
      </w:r>
    </w:p>
    <w:p w14:paraId="3C3D2B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、基金合同当事人：指受基金合同约束，根据基金合同享有权利并承担义务的法律主体，包括基金管理人、基金托管人和基金份额持有人</w:t>
      </w:r>
    </w:p>
    <w:p w14:paraId="11C7964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9</w:t>
      </w:r>
      <w:r>
        <w:rPr>
          <w:rFonts w:hint="eastAsia" w:ascii="Times New Roman" w:hAnsi="Times New Roman" w:eastAsia="宋体" w:cs="Times New Roman"/>
          <w:bCs/>
          <w:sz w:val="24"/>
          <w:szCs w:val="24"/>
        </w:rPr>
        <w:t>、个人投资者：指依据有关法律法规规定可投资于证券投资基金的自然人</w:t>
      </w:r>
    </w:p>
    <w:p w14:paraId="30DCB3A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20</w:t>
      </w:r>
      <w:r>
        <w:rPr>
          <w:rFonts w:hint="eastAsia" w:ascii="Times New Roman" w:hAnsi="Times New Roman" w:eastAsia="宋体" w:cs="Times New Roman"/>
          <w:bCs/>
          <w:sz w:val="24"/>
          <w:szCs w:val="24"/>
        </w:rPr>
        <w:t>、机构投资者：指依法可以投资证券投资基金的、在中华人民共和国境内合法登记并存续或经有关政府部门批准设立并存续的企业法人、事业法人、社会团体或其他组织</w:t>
      </w:r>
    </w:p>
    <w:p w14:paraId="1DE3E3C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4AA7382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、投资人、投资者：指个人投资者、机构投资者、合格境外投资者以及法律法规或中国证监会允许购买证券投资基金的其他投资者的合称</w:t>
      </w:r>
    </w:p>
    <w:p w14:paraId="0C21A2E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23</w:t>
      </w:r>
      <w:r>
        <w:rPr>
          <w:rFonts w:hint="eastAsia" w:ascii="Times New Roman" w:hAnsi="Times New Roman" w:eastAsia="宋体" w:cs="Times New Roman"/>
          <w:bCs/>
          <w:sz w:val="24"/>
          <w:szCs w:val="24"/>
        </w:rPr>
        <w:t>、基金份额持有人：指依基金合同和招募说明书合法取得基金份额的投资者</w:t>
      </w:r>
    </w:p>
    <w:p w14:paraId="0173725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、基金销售业务：指基金管理人或销售机构宣传推介基金，发售基金份额，办理基金份额的申购、赎回、转换、转托管及定期定额投资等业务</w:t>
      </w:r>
    </w:p>
    <w:p w14:paraId="44F6B8E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销售机构：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14:paraId="481FE6A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登记业务：指基金登记、存管、过户、清算和结算业务，具体内容包括投资者基金账户的建立和管理、基金份额登记、基金销售业务的确认、清算和结算、代理发放红利、建立并保管基金份额持有人名册和办理非交易过户等</w:t>
      </w:r>
    </w:p>
    <w:p w14:paraId="0ADFB8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7</w:t>
      </w:r>
      <w:r>
        <w:rPr>
          <w:rFonts w:hint="eastAsia" w:ascii="Times New Roman" w:hAnsi="Times New Roman" w:eastAsia="宋体" w:cs="Times New Roman"/>
          <w:bCs/>
          <w:sz w:val="24"/>
          <w:szCs w:val="24"/>
        </w:rPr>
        <w:t>、登记机构：指办理登记业务的机构。基金的登记机构为富国基金管理有限公司或接受富国基金管理有限公司委托代为办理登记业务的机构</w:t>
      </w:r>
    </w:p>
    <w:p w14:paraId="43A4DDC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、基金账户：指登记机构为投资者开立的、记录其持有的、基金管理人所管理的基金份额余额及其变动情况的账户</w:t>
      </w:r>
    </w:p>
    <w:p w14:paraId="26DE17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9</w:t>
      </w:r>
      <w:r>
        <w:rPr>
          <w:rFonts w:hint="eastAsia" w:ascii="Times New Roman" w:hAnsi="Times New Roman" w:eastAsia="宋体" w:cs="Times New Roman"/>
          <w:bCs/>
          <w:sz w:val="24"/>
          <w:szCs w:val="24"/>
        </w:rPr>
        <w:t>、基金交易账户：指销售机构为投资者开立的、记录投资者通过该销售机构办理认购、申购、赎回、转换、转托管及定期定额投资等业务而引起的基金份额变动及结余情况的账户</w:t>
      </w:r>
    </w:p>
    <w:p w14:paraId="312C166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30</w:t>
      </w:r>
      <w:r>
        <w:rPr>
          <w:rFonts w:hint="eastAsia" w:ascii="Times New Roman" w:hAnsi="Times New Roman" w:eastAsia="宋体" w:cs="Times New Roman"/>
          <w:bCs/>
          <w:sz w:val="24"/>
          <w:szCs w:val="24"/>
        </w:rPr>
        <w:t>、基金合同生效日：指基金募集达到法律法规规定及基金合同规定的条件，基金管理人向中国证监会办理基金备案手续完毕，并获得中国证监会书面确认的日期</w:t>
      </w:r>
    </w:p>
    <w:p w14:paraId="03644D5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、基金合同终止日：指基金合同规定的基金合同终止事由出现后，基金财产清算完毕，清算结果报中国证监会备案并予以公告的日期</w:t>
      </w:r>
    </w:p>
    <w:p w14:paraId="39F756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、基金募集期：指自基金份额发售之日起至发售结束之日止的期间，最长不得超过3个月</w:t>
      </w:r>
    </w:p>
    <w:p w14:paraId="60B1BA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、存续期：指基金合同生效至终止之间的不定期期限</w:t>
      </w:r>
    </w:p>
    <w:p w14:paraId="1D59905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、工作日：指上海证券交易所、深圳证券交易所的正常交易日</w:t>
      </w:r>
    </w:p>
    <w:p w14:paraId="10022E7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、T日：指销售机构在规定时间受理投资者申购、赎回或其他业务申请的开放日</w:t>
      </w:r>
    </w:p>
    <w:p w14:paraId="3EBD908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、T+n日：指自T日起第n个工作日（不包含T日），n为自然数</w:t>
      </w:r>
    </w:p>
    <w:p w14:paraId="095E6A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7</w:t>
      </w:r>
      <w:r>
        <w:rPr>
          <w:rFonts w:hint="eastAsia" w:ascii="Times New Roman" w:hAnsi="Times New Roman" w:eastAsia="宋体" w:cs="Times New Roman"/>
          <w:bCs/>
          <w:sz w:val="24"/>
          <w:szCs w:val="24"/>
        </w:rPr>
        <w:t>、开放日：指为投资者办理基金份额申购、赎回或其他业务的工作日（若本基金参与港股通交易且该工作日为非港股通交易日时，则本基金可以不开放申购和赎回等业务，具体以届时公告为准）</w:t>
      </w:r>
    </w:p>
    <w:p w14:paraId="061D1A9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、开放时间：指开放日基金接受申购、赎回或其他交易的时间段</w:t>
      </w:r>
    </w:p>
    <w:p w14:paraId="2591FA8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9</w:t>
      </w:r>
      <w:r>
        <w:rPr>
          <w:rFonts w:hint="eastAsia" w:ascii="Times New Roman" w:hAnsi="Times New Roman" w:eastAsia="宋体" w:cs="Times New Roman"/>
          <w:bCs/>
          <w:sz w:val="24"/>
          <w:szCs w:val="24"/>
        </w:rPr>
        <w:t>、《业务规则》：指《富国基金管理有限公司开放式基金业务规则》，是规范基金管理人所管理的开放式证券投资基金登记方面的业务规则，由基金管理人和投资者共同遵守</w:t>
      </w:r>
    </w:p>
    <w:p w14:paraId="6C338D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0</w:t>
      </w:r>
      <w:r>
        <w:rPr>
          <w:rFonts w:hint="eastAsia" w:ascii="Times New Roman" w:hAnsi="Times New Roman" w:eastAsia="宋体" w:cs="Times New Roman"/>
          <w:bCs/>
          <w:sz w:val="24"/>
          <w:szCs w:val="24"/>
        </w:rPr>
        <w:t>、认购：指在基金募集期内，投资者根据基金合同和招募说明书的规定申请购买基金份额的行为</w:t>
      </w:r>
    </w:p>
    <w:p w14:paraId="10B5FB4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、申购：指基金合同生效后，投资者根据基金合同和招募说明书的规定申请购买基金份额的行为</w:t>
      </w:r>
    </w:p>
    <w:p w14:paraId="307542A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、赎回：指基金合同生效后，基金份额持有人按基金合同和招募说明书规定的条件要求将基金份额兑换为现金的行为</w:t>
      </w:r>
    </w:p>
    <w:p w14:paraId="1D8C0B6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、基金转换：指基金份额持有人按照基金合同和基金管理人届时有效公告规定的条件，申请将其持有基金管理人管理的、某一类基金份额转换为基金管理人管理的其他基金份额的行为</w:t>
      </w:r>
    </w:p>
    <w:p w14:paraId="209DD0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、转托管：指基金份额持有人在本基金的不同销售机构之间实施的变更所持基金份额销售机构的操作</w:t>
      </w:r>
    </w:p>
    <w:p w14:paraId="615B2C0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、定期定额投资计划：指投资者通过有关销售机构提出申请，约定每期申购日、扣款金额及扣款方式，由销售机构于每期约定扣款日在投资者指定银行账户内自动完成扣款及受理基金申购申请的一种投资方式</w:t>
      </w:r>
    </w:p>
    <w:p w14:paraId="01B5D93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385A314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47</w:t>
      </w:r>
      <w:r>
        <w:rPr>
          <w:rFonts w:hint="eastAsia" w:ascii="Times New Roman" w:hAnsi="Times New Roman" w:eastAsia="宋体" w:cs="Times New Roman"/>
          <w:bCs/>
          <w:sz w:val="24"/>
          <w:szCs w:val="24"/>
        </w:rPr>
        <w:t>、元：指人民币元</w:t>
      </w:r>
    </w:p>
    <w:p w14:paraId="772129A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48</w:t>
      </w:r>
      <w:r>
        <w:rPr>
          <w:rFonts w:hint="eastAsia" w:ascii="Times New Roman" w:hAnsi="Times New Roman" w:eastAsia="宋体" w:cs="Times New Roman"/>
          <w:bCs/>
          <w:sz w:val="24"/>
          <w:szCs w:val="24"/>
        </w:rPr>
        <w:t>、基金收益：指基金投资所得红利、股息、债券利息、买卖证券价差、银行存款利息、已实现的其他合法收入及因运用基金财产带来的成本和费用的节约</w:t>
      </w:r>
    </w:p>
    <w:p w14:paraId="4E484A6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49</w:t>
      </w:r>
      <w:r>
        <w:rPr>
          <w:rFonts w:hint="eastAsia" w:ascii="Times New Roman" w:hAnsi="Times New Roman" w:eastAsia="宋体" w:cs="Times New Roman"/>
          <w:bCs/>
          <w:sz w:val="24"/>
          <w:szCs w:val="24"/>
        </w:rPr>
        <w:t>、基金资产总值：指基金拥有的各类有价证券、银行存款本息、基金应收款项、基金份额及其他资产的价值总和</w:t>
      </w:r>
    </w:p>
    <w:p w14:paraId="465C388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0</w:t>
      </w:r>
      <w:r>
        <w:rPr>
          <w:rFonts w:hint="eastAsia" w:ascii="Times New Roman" w:hAnsi="Times New Roman" w:eastAsia="宋体" w:cs="Times New Roman"/>
          <w:bCs/>
          <w:sz w:val="24"/>
          <w:szCs w:val="24"/>
        </w:rPr>
        <w:t>、基金资产净值：指基金资产总值减去基金负债后的价值</w:t>
      </w:r>
    </w:p>
    <w:p w14:paraId="5AF243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、基金份额净值：指估值日基金资产净值除以估值日基金份额总数</w:t>
      </w:r>
    </w:p>
    <w:p w14:paraId="1B21D8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、基金资产估值：指计算评估基金资产和负债的价值，以确定基金资产净值和基金份额净值的过程</w:t>
      </w:r>
    </w:p>
    <w:p w14:paraId="7C849CA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、销售服务费：指从基金财产中计提的，用于本基金市场推广、销售以及基金份额持有人服务的费用</w:t>
      </w:r>
    </w:p>
    <w:p w14:paraId="0679C1C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080AC6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207E6CA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、港股通：指内地投资者委托内地证券公司，经由内地证券交易所设立的证券交易服务公司，向香港联合交易所进行申报，买卖规定范围内的香港联合交易所上市的股票</w:t>
      </w:r>
    </w:p>
    <w:p w14:paraId="2D1C2F5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57</w:t>
      </w:r>
      <w:r>
        <w:rPr>
          <w:rFonts w:hint="eastAsia" w:ascii="Times New Roman" w:hAnsi="Times New Roman" w:eastAsia="宋体" w:cs="Times New Roman"/>
          <w:bCs/>
          <w:sz w:val="24"/>
          <w:szCs w:val="24"/>
        </w:rPr>
        <w:t>、信用衍生品：指符合证券交易所或银行间市场相关业务规则，专门用于管理信用风险的信用衍生工具</w:t>
      </w:r>
    </w:p>
    <w:p w14:paraId="2D511E8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58</w:t>
      </w:r>
      <w:r>
        <w:rPr>
          <w:rFonts w:hint="eastAsia" w:ascii="Times New Roman" w:hAnsi="Times New Roman" w:eastAsia="宋体" w:cs="Times New Roman"/>
          <w:bCs/>
          <w:sz w:val="24"/>
          <w:szCs w:val="24"/>
        </w:rPr>
        <w:t>、信用保护买方：亦称信用保护购买方，指接受信用风险保护的一方</w:t>
      </w:r>
    </w:p>
    <w:p w14:paraId="1C0D1FE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59</w:t>
      </w:r>
      <w:r>
        <w:rPr>
          <w:rFonts w:hint="eastAsia" w:ascii="Times New Roman" w:hAnsi="Times New Roman" w:eastAsia="宋体" w:cs="Times New Roman"/>
          <w:bCs/>
          <w:sz w:val="24"/>
          <w:szCs w:val="24"/>
        </w:rPr>
        <w:t>、信用保护卖方：亦称信用保护提供方，指提供信用风险保护的一方</w:t>
      </w:r>
    </w:p>
    <w:p w14:paraId="3E8D81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0</w:t>
      </w:r>
      <w:r>
        <w:rPr>
          <w:rFonts w:hint="eastAsia" w:ascii="Times New Roman" w:hAnsi="Times New Roman" w:eastAsia="宋体" w:cs="Times New Roman"/>
          <w:bCs/>
          <w:sz w:val="24"/>
          <w:szCs w:val="24"/>
        </w:rPr>
        <w:t>、名义本金：亦称交易名义本金，指一笔为信用衍生品交易提供信用风险保护的金额，各项支付和结算以此金额为计算基准</w:t>
      </w:r>
    </w:p>
    <w:p w14:paraId="55BCB8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43F776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、基金份额类别：指根据认购费、申购费、销售服务费收取方式的不同将基金份额分为不同的类别，各基金份额类别分别设置代码，分别计算和公告基金份额净值和基金份额累计净值</w:t>
      </w:r>
    </w:p>
    <w:p w14:paraId="077DA77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A类基金份额：指在投资者认/申购时收取认/申购费，在赎回时根据持有期限收取赎回费，但不再从本类别基金财产中计提销售服务费的一类基金份额，或简称“A类份额”；通过直销机构认（申）购A类份额的，不收取认（申）购费</w:t>
      </w:r>
    </w:p>
    <w:p w14:paraId="7A8F4C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C类基金份额：指在投资者认/申购时不收取认/申购费，但在赎回时根据持有期限收取赎回费且从本类别基金财产中计提并根据持有期限收取销售服务费的一类基金份额，或简称“C类份额”；通过直销机构认（申）购C类份额的，不收取销售服务费</w:t>
      </w:r>
    </w:p>
    <w:p w14:paraId="6663F49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3AC30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FBB8C8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67</w:t>
      </w:r>
      <w:r>
        <w:rPr>
          <w:rFonts w:hint="eastAsia" w:ascii="Times New Roman" w:hAnsi="Times New Roman" w:eastAsia="宋体" w:cs="Times New Roman"/>
          <w:bCs/>
          <w:sz w:val="24"/>
          <w:szCs w:val="24"/>
        </w:rPr>
        <w:t>、不可抗力：指基金合同当事人不能预见、不能避免且不能克服的客观事件</w:t>
      </w:r>
    </w:p>
    <w:p w14:paraId="790C01C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以上释义中涉及法律法规、业务规则的内容，法律法规、业务规则修订后，如适用本基金，相关内容以修订后法律法规、业务规则为准。</w:t>
      </w:r>
      <w:r>
        <w:rPr>
          <w:rFonts w:ascii="Times New Roman" w:hAnsi="Times New Roman" w:eastAsia="宋体" w:cs="Times New Roman"/>
          <w:bCs/>
          <w:sz w:val="24"/>
          <w:szCs w:val="24"/>
        </w:rPr>
        <w:br w:type="page"/>
      </w:r>
    </w:p>
    <w:bookmarkEnd w:id="50"/>
    <w:p w14:paraId="5CACC8C4">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bookmarkStart w:id="51" w:name="_Toc19660"/>
      <w:bookmarkStart w:id="52" w:name="_Toc24907"/>
      <w:bookmarkStart w:id="53" w:name="_Toc390614983"/>
      <w:bookmarkStart w:id="54" w:name="_Toc213077622"/>
      <w:bookmarkStart w:id="55" w:name="_Toc109537381"/>
      <w:r>
        <w:rPr>
          <w:rFonts w:hint="eastAsia" w:ascii="Times New Roman" w:hAnsi="Times New Roman" w:eastAsia="宋体" w:cs="Times New Roman"/>
          <w:b/>
          <w:kern w:val="0"/>
          <w:sz w:val="32"/>
          <w:szCs w:val="20"/>
        </w:rPr>
        <w:t>第三部分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基金管理人</w:t>
      </w:r>
      <w:bookmarkEnd w:id="51"/>
      <w:bookmarkEnd w:id="52"/>
      <w:bookmarkEnd w:id="53"/>
      <w:bookmarkEnd w:id="54"/>
    </w:p>
    <w:bookmarkEnd w:id="55"/>
    <w:p w14:paraId="6B9EFE1D">
      <w:pPr>
        <w:widowControl/>
        <w:spacing w:line="360" w:lineRule="auto"/>
        <w:ind w:firstLine="482" w:firstLineChars="200"/>
        <w:rPr>
          <w:rFonts w:ascii="Times New Roman" w:hAnsi="Times New Roman" w:eastAsia="宋体" w:cs="Times New Roman"/>
          <w:b/>
          <w:sz w:val="24"/>
          <w:szCs w:val="24"/>
        </w:rPr>
      </w:pPr>
      <w:bookmarkStart w:id="56" w:name="_Toc327457284"/>
      <w:bookmarkStart w:id="57" w:name="_Toc327457146"/>
      <w:bookmarkStart w:id="58" w:name="_Toc327457285"/>
      <w:bookmarkStart w:id="59" w:name="_Toc327457147"/>
      <w:bookmarkStart w:id="60" w:name="_Toc252963063"/>
      <w:r>
        <w:rPr>
          <w:rFonts w:hint="eastAsia" w:ascii="Times New Roman" w:hAnsi="Times New Roman" w:eastAsia="宋体" w:cs="Times New Roman"/>
          <w:b/>
          <w:sz w:val="24"/>
          <w:szCs w:val="24"/>
        </w:rPr>
        <w:t>一、基金管理人概况</w:t>
      </w:r>
      <w:bookmarkEnd w:id="56"/>
      <w:bookmarkEnd w:id="57"/>
    </w:p>
    <w:p w14:paraId="4D87827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名称：富国基金管理有限公司</w:t>
      </w:r>
    </w:p>
    <w:p w14:paraId="62A5DB3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注册地址：中国（上海）自由贸易试验区世纪大道1196号世纪汇办公楼二座27-30层</w:t>
      </w:r>
    </w:p>
    <w:p w14:paraId="0FD8873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办公地址：上海市浦东新区世纪大道1196号世纪汇二座27-30层</w:t>
      </w:r>
    </w:p>
    <w:p w14:paraId="00C8B4A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法定代表人：裴长江</w:t>
      </w:r>
    </w:p>
    <w:p w14:paraId="2EC6684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总经理：陈戈</w:t>
      </w:r>
    </w:p>
    <w:p w14:paraId="0C9BDCF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成立日期：1999年4月13日</w:t>
      </w:r>
    </w:p>
    <w:p w14:paraId="5279AFC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电话：（021）20361818</w:t>
      </w:r>
    </w:p>
    <w:p w14:paraId="21599A5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传真：（021）20361616</w:t>
      </w:r>
    </w:p>
    <w:p w14:paraId="05837F9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联系人：赵瑛</w:t>
      </w:r>
    </w:p>
    <w:p w14:paraId="20C3426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注册资本：5.2亿元人民币</w:t>
      </w:r>
    </w:p>
    <w:p w14:paraId="7DD6AB1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股权结构（截至2026年4月30日）：</w:t>
      </w:r>
    </w:p>
    <w:tbl>
      <w:tblPr>
        <w:tblStyle w:val="42"/>
        <w:tblW w:w="7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8"/>
        <w:gridCol w:w="4014"/>
      </w:tblGrid>
      <w:tr w14:paraId="54E5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2F6DF350">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股东名称</w:t>
            </w:r>
          </w:p>
        </w:tc>
        <w:tc>
          <w:tcPr>
            <w:tcW w:w="4014" w:type="dxa"/>
            <w:tcBorders>
              <w:top w:val="single" w:color="auto" w:sz="4" w:space="0"/>
              <w:left w:val="nil"/>
              <w:bottom w:val="single" w:color="auto" w:sz="4" w:space="0"/>
              <w:right w:val="single" w:color="auto" w:sz="4" w:space="0"/>
            </w:tcBorders>
          </w:tcPr>
          <w:p w14:paraId="281BFDD6">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出资比例</w:t>
            </w:r>
          </w:p>
        </w:tc>
      </w:tr>
      <w:tr w14:paraId="72C8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0A9B890B">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国泰海通证券股份有限公司</w:t>
            </w:r>
          </w:p>
        </w:tc>
        <w:tc>
          <w:tcPr>
            <w:tcW w:w="4014" w:type="dxa"/>
            <w:tcBorders>
              <w:top w:val="single" w:color="auto" w:sz="4" w:space="0"/>
              <w:left w:val="nil"/>
              <w:bottom w:val="single" w:color="auto" w:sz="4" w:space="0"/>
              <w:right w:val="single" w:color="auto" w:sz="4" w:space="0"/>
            </w:tcBorders>
          </w:tcPr>
          <w:p w14:paraId="0BE5325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27.775%</w:t>
            </w:r>
          </w:p>
        </w:tc>
      </w:tr>
      <w:tr w14:paraId="45C9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14636BE8">
            <w:pPr>
              <w:spacing w:line="360" w:lineRule="auto"/>
              <w:jc w:val="center"/>
              <w:rPr>
                <w:rFonts w:ascii="Times New Roman" w:hAnsi="Times New Roman" w:eastAsia="宋体" w:cs="Times New Roman"/>
                <w:sz w:val="24"/>
                <w:szCs w:val="24"/>
              </w:rPr>
            </w:pPr>
            <w:r>
              <w:rPr>
                <w:rFonts w:hint="eastAsia" w:ascii="Times New Roman" w:hAnsi="宋体" w:eastAsia="宋体" w:cs="Times New Roman"/>
                <w:sz w:val="24"/>
                <w:szCs w:val="24"/>
              </w:rPr>
              <w:t>申万宏源</w:t>
            </w:r>
            <w:r>
              <w:rPr>
                <w:rFonts w:ascii="Times New Roman" w:hAnsi="宋体" w:eastAsia="宋体" w:cs="Times New Roman"/>
                <w:sz w:val="24"/>
                <w:szCs w:val="24"/>
              </w:rPr>
              <w:t>证券有限公司</w:t>
            </w:r>
          </w:p>
        </w:tc>
        <w:tc>
          <w:tcPr>
            <w:tcW w:w="4014" w:type="dxa"/>
            <w:tcBorders>
              <w:top w:val="single" w:color="auto" w:sz="4" w:space="0"/>
              <w:left w:val="nil"/>
              <w:bottom w:val="single" w:color="auto" w:sz="4" w:space="0"/>
              <w:right w:val="single" w:color="auto" w:sz="4" w:space="0"/>
            </w:tcBorders>
          </w:tcPr>
          <w:p w14:paraId="452F61D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27.775%</w:t>
            </w:r>
          </w:p>
        </w:tc>
      </w:tr>
      <w:tr w14:paraId="661E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60801D03">
            <w:pPr>
              <w:spacing w:line="360" w:lineRule="auto"/>
              <w:jc w:val="center"/>
              <w:rPr>
                <w:rFonts w:ascii="Times New Roman" w:hAnsi="Times New Roman" w:eastAsia="宋体" w:cs="Times New Roman"/>
                <w:sz w:val="24"/>
                <w:szCs w:val="24"/>
              </w:rPr>
            </w:pPr>
            <w:r>
              <w:rPr>
                <w:rFonts w:ascii="Times New Roman" w:hAnsi="宋体" w:eastAsia="宋体" w:cs="Times New Roman"/>
                <w:sz w:val="24"/>
                <w:szCs w:val="24"/>
              </w:rPr>
              <w:t>加拿大蒙特利尔银行</w:t>
            </w:r>
          </w:p>
        </w:tc>
        <w:tc>
          <w:tcPr>
            <w:tcW w:w="4014" w:type="dxa"/>
            <w:tcBorders>
              <w:top w:val="single" w:color="auto" w:sz="4" w:space="0"/>
              <w:left w:val="nil"/>
              <w:bottom w:val="single" w:color="auto" w:sz="4" w:space="0"/>
              <w:right w:val="single" w:color="auto" w:sz="4" w:space="0"/>
            </w:tcBorders>
          </w:tcPr>
          <w:p w14:paraId="2DE5DB6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27.775%</w:t>
            </w:r>
          </w:p>
        </w:tc>
      </w:tr>
      <w:tr w14:paraId="7AA8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42E06CC2">
            <w:pPr>
              <w:spacing w:line="360" w:lineRule="auto"/>
              <w:jc w:val="center"/>
              <w:rPr>
                <w:rFonts w:ascii="Times New Roman" w:hAnsi="Times New Roman" w:eastAsia="宋体" w:cs="Times New Roman"/>
                <w:sz w:val="24"/>
                <w:szCs w:val="24"/>
              </w:rPr>
            </w:pPr>
            <w:r>
              <w:rPr>
                <w:rFonts w:hint="eastAsia" w:ascii="Times New Roman" w:hAnsi="宋体" w:eastAsia="宋体" w:cs="Times New Roman"/>
                <w:sz w:val="24"/>
                <w:szCs w:val="24"/>
              </w:rPr>
              <w:t>山东省金融资产管理股份有限公司</w:t>
            </w:r>
          </w:p>
        </w:tc>
        <w:tc>
          <w:tcPr>
            <w:tcW w:w="4014" w:type="dxa"/>
            <w:tcBorders>
              <w:top w:val="single" w:color="auto" w:sz="4" w:space="0"/>
              <w:left w:val="nil"/>
              <w:bottom w:val="single" w:color="auto" w:sz="4" w:space="0"/>
              <w:right w:val="single" w:color="auto" w:sz="4" w:space="0"/>
            </w:tcBorders>
          </w:tcPr>
          <w:p w14:paraId="36B9380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16.675%</w:t>
            </w:r>
          </w:p>
        </w:tc>
      </w:tr>
    </w:tbl>
    <w:p w14:paraId="1F2ADE83">
      <w:pPr>
        <w:widowControl/>
        <w:spacing w:line="360" w:lineRule="auto"/>
        <w:ind w:firstLine="482" w:firstLineChars="200"/>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二、主要人员情况</w:t>
      </w:r>
    </w:p>
    <w:p w14:paraId="4AA717D6">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1、董事会成员</w:t>
      </w:r>
    </w:p>
    <w:p w14:paraId="5FFCBE64">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裴长江先生，董事长，研究生学历。现任国泰海通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14:paraId="7E20E3E2">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方荣义先生，董事, 副董事长，博士，高级会计师。现任申万宏源集团股份有限公司和申万宏源证券有限公司党委副书记、执行董事，申万宏源证券有限公司工会主席；兼任中国证券业协会财务会计专业委员会副主任委员；兼任华东政法大学兼职/客座教授；兼任中国上市公司协会监事会专业委员会主任委员；兼任证通股份有限公司监事；兼任上海申万宏源公益基金会理事长。历任北京用友电子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国证券股份有限公司财务总监，申万宏源证券有限公司监事会主席、副总经理、执行委员会成员、财务总监、董事会秘书、首席风险官，申万宏源集团股份有限公司监事会主席，中国上市公司协会监事会专业委员会副主任委员。</w:t>
      </w:r>
    </w:p>
    <w:p w14:paraId="4ED341F9">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William Bamber先生，董事，硕士，特许金融分析师。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Corp Capital银行结构化产品主管，美国汇丰银行结构化产品部高级副总裁，美国贝尔斯登公司结构化权益类产品高级董事总经理，加拿大帝国商业银行结构化产品部全球负责人、董事总经理兼财富解决方案中心负责人，蒙特利尔银行环球资产管理联席首席执行官。</w:t>
      </w:r>
    </w:p>
    <w:p w14:paraId="1996C474">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吴斌先生，董事，研究生学历。现任国泰海通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14:paraId="47FB4532">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吴惠明先生，董事，研究生学历。现任申万宏源证券有限公司内核负责人、内核评审总部总经理。历任上海申银证券公司浦西管理总部交易部员工，申银万国证券股份有限公司经纪管理总部员工、办公室秘书、固定收益总部财务经理、党委办公室主任兼党委组织部副部长、人力资源总部副总经理，申万宏源证券有限公司党建工作部/党委办公室主任，申万宏源证券有限公司计划财务管理总部总经理。</w:t>
      </w:r>
    </w:p>
    <w:p w14:paraId="0D9A6BB4">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西班牙对外银行私人银行管理团队成员、亚洲零售银行助理副总裁、西班牙对外银行全球青年领导层培训生，上海复星高科技（集团）有限公司国际发展部执行总经理兼集团财富管理和私人银行委员会委员，蒙特利尔银行（中国）有限公司亚洲区战略发展总监，蒙特利尔银行（中国）有限公司董事总经理。</w:t>
      </w:r>
    </w:p>
    <w:p w14:paraId="78229860">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高峰先生，董事，研究生学历。现任山东省金融资产管理股份有限公司投资运营部部长。历任万隆亚洲会计师事务所有限公司山东分所职员，国富浩华会计师事务所有限公司山东分所职员，瑞华会计师事务所（特殊普通合伙）山东分所项目经理、注册会计师，山东省鲁信投资控股集团有限公司投资发展部（产权管理部）业务主管，山东省金融资产管理股份有限公司财务管理副部长（主持工作），财务管理部部长、投资运营部（审计部）部长。</w:t>
      </w:r>
    </w:p>
    <w:p w14:paraId="623C9FB9">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陈戈先生，董事，研究生学历。现任富国基金管理有限公司总经理。历任国泰君安证券有限责任公司研究所研究员，富国基金管理有限公司研究员、基金经理、研究部总经理、总经理助理、副总经理，2005年4月至2014年4月任富国天益价值证券投资基金基金经理。</w:t>
      </w:r>
    </w:p>
    <w:p w14:paraId="4AC857FE">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李彧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14:paraId="02E498AC">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何伟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兼企业融资部总监、总裁助理兼总裁办公室主任、副总裁；长城证券股份有限公司总裁兼任长城基金管理有限公司董事长；上海证券有限责任公司董事长。</w:t>
      </w:r>
    </w:p>
    <w:p w14:paraId="16C1B975">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許濬先生，独立董事，博士。现任香港大学经管学院教授、香港大学经管学院环球商业管理学硕士项目总监。历任香港科技大学管理学系助理教授，香港中文大学跨国商业学系副教授、管理学系教授，香港大学经管学院副院长。</w:t>
      </w:r>
    </w:p>
    <w:p w14:paraId="093ED0A1">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王叙果女士，独立董事，博士。现任南京审计大学金融学教授、硕士生导师，从事金融学教学科研工作。历任安徽铜陵财经专科学校（现铜陵学院）财金系讲师、副教授，南京审计学院副教授。</w:t>
      </w:r>
    </w:p>
    <w:p w14:paraId="49D67280">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2、监事会成员</w:t>
      </w:r>
    </w:p>
    <w:p w14:paraId="7C0EE7C3">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孟祥元先生，监事长，研究生学历。现任山东省鲁信投资控股集团有限公司投资发展部（基金管理部、战略规划部）部长。历任中国重汽集团济南桥箱有限公司职员，中国重型汽车有限公司证券部政策研究员，山东省鲁信投资控股集团有限公司产权管理部、投资发展部（产权管理部）一级职员、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14:paraId="62DE2DA2">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叶康先生，监事，博士。现任国泰海通证券股份有限公司财富管理委员会委员、资产配置部联席总经理。历任上海证券交易所博士后，海通证券股份有限公司销售交易总部网站策划及维护，柜台市场部员工、产品管理部副经理、产品管理部经理，云南分公司党总支书记、副总经理（主持工作）、总经理，金融产品部总经理。</w:t>
      </w:r>
    </w:p>
    <w:p w14:paraId="00897B31">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赵伟先生，监事，硕士。现任申万宏源证券有限公司法律合规总部副总经理、上海申银万国证券研究所有限公司风控负责人、合规负责人、申万宏源西部证券有限公司董事。历任申银万国证券股份有限公司崇明营业部员工、稽核总部审计部员工、合规与风险管理总部合规督导部经理，申万宏源证券有限公司合规与风险管理中心合规综合部业务董事、综合管理总部综合行政部经理、法律合规总部合规综合部经理、反洗钱部经理、法律合规总部总经理助理、申万宏源证券承销保荐有限责任公司监事、申万宏源西部证券有限公司监事。</w:t>
      </w:r>
    </w:p>
    <w:p w14:paraId="3547CA63">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黄晓先生，监事，硕士。现任蒙特利尔银行(中国)有限公司战略规划与市场部总监。历任加拿大帝国商业银行客户经理，诺基亚(中国)投资有限公司财务分析师，蒙特利尔银行(中国)有限公司战略规划与市场部经理，高级经理。</w:t>
      </w:r>
    </w:p>
    <w:p w14:paraId="1E2C0BAA">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高玲女士，监事，研究生学历。现任富国基金集中交易部风控总监兼资深风险管理经理。历任安永华明会计师事务所（特殊普通合伙）高级审计员，富国基金高级合规管理经理、合规稽核部合规稽核总监助理、高级风险管理经理、集中交易部风控总监助理、风控副总监。</w:t>
      </w:r>
    </w:p>
    <w:p w14:paraId="1AC8339E">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马兰女士，监事，研究生学历。现任富国基金营销管理部市场策略副总监兼高级市场策略经理。历任营销策划经理、高级营销策划经理、市场策略总监助理。</w:t>
      </w:r>
    </w:p>
    <w:p w14:paraId="0D70EEBC">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14:paraId="316A27F9">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马维娜女士，监事，本科学历。现任富国基金合规稽核部合规稽核总监兼资深法律合规经理。历任上海源泰律师事务所执业律师，嘉合基金管理有限公司法务，富国基金助理信息披露与法务员、高级法律合规经理、合规稽核部合规稽核总监助理、合规稽核部合规稽核副总监。</w:t>
      </w:r>
    </w:p>
    <w:p w14:paraId="508C3C1F">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3、督察长</w:t>
      </w:r>
    </w:p>
    <w:p w14:paraId="2EEB41BC">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赵瑛女士，研究生学历，硕士学位。曾任职于海通证券有限公司投资银行总部、国际业务部；上海国盛（集团）有限公司资产管理部、风险管理部；海通证券股份有限公司合规与风险管理总部；上海海通证券资产管理有限公司合规与风控部；2015年7月加入富国基金管理有限公司，历任监察稽核部总经理。现任富国基金管理有限公司督察长。</w:t>
      </w:r>
    </w:p>
    <w:p w14:paraId="1245A649">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4、经营管理层人员</w:t>
      </w:r>
    </w:p>
    <w:p w14:paraId="52DE0B48">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陈戈先生，总经理（简历请参见上述关于董事的介绍）。</w:t>
      </w:r>
    </w:p>
    <w:p w14:paraId="2B639D4D">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林志松先生，本科学历，工商管理硕士学位。曾任漳州进出口商品检验局秘书、晋江进出口商品检验局办事处负责人、厦门证券公司业务经理；1998年10月参与富国基金管理有限公司筹备，历任监察稽核部稽察员、高级稽察员、部门副经理、部门经理、督察长、首席信息官，现任富国基金管理有限公司副总经理。</w:t>
      </w:r>
    </w:p>
    <w:p w14:paraId="27966C24">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陆文佳女士，研究生学历，硕士学位。曾任中国建设银行上海市分行职员，华安基金管理有限公司市场总监、副营销总裁；2014年5月加入富国基金管理有限公司，现任富国基金管理有限公司副总经理。</w:t>
      </w:r>
    </w:p>
    <w:p w14:paraId="50BF5A66">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李笑薇女士，研究生学历，博士学位，高级经济师。曾任国家教委外资贷款办公室项目官员，摩根士丹利资本国际Barra公司（MSCI BARRA）BARRA股票风险评估部高级研究员，巴克莱国际投资管理公司（Barclays Global Investors）大中华主动股票投资总监、高级基金经理及高级研究员；2009年6月加入富国基金管理有限公司，历任基金经理、量化与海外投资部总经理、公司总经理助理，现任富国基金管理有限公司副总经理兼基金经理。</w:t>
      </w:r>
    </w:p>
    <w:p w14:paraId="57FBD32B">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朱少醒先生，研究生学历，博士学位。2000年6月加入富国基金管理有限公司，历任产品开发主管、基金经理助理、基金经理、研究部总经理、权益投资部总经理、公司总经理助理，现任富国基金管理有限公司副总经理兼基金经理。</w:t>
      </w:r>
    </w:p>
    <w:p w14:paraId="5FC2ED26">
      <w:pPr>
        <w:widowControl/>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李强先生，研究生学历，硕士学位，曾任苏州大学助教，上海银行信息技术部高级经理助理；自2014年3月加入富国基金管理有限公司，历任客服与电子商务部副总经理、信息技术部副总经理、信息技术部总经理、数字金融业务部副总经理；现任富国基金管理有限公司首席信息官兼信息技术部总经理。</w:t>
      </w:r>
    </w:p>
    <w:p w14:paraId="5410BB0C">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5、本基金基金经理</w:t>
      </w:r>
    </w:p>
    <w:p w14:paraId="20E498F2">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陈斯扬，硕士，曾任交银施罗德基金管理有限公司研究员、投资经理；自2016年10月加入富国基金管理有限公司，历任定量投资经理、定量基金经理；现任富国基金量化投资部债券投资总监助理兼定量基金经理。自2018年03月起任富国宝利增强债券型发起式证券投资基金基金经理；自2018年03月起任富国丰利增强债券型发起式证券投资基金基金经理；自2018年04月起任富国兴利增强债券型发起式证券投资基金基金经理；自2024年03月起任富国盛利增强债券型发起式证券投资基金基金经理；具有基金从业资格。</w:t>
      </w:r>
    </w:p>
    <w:p w14:paraId="7CCC50BB">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6、投资决策委员会成员</w:t>
      </w:r>
    </w:p>
    <w:p w14:paraId="45420773">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公司投委会成员：总经理陈戈，分管副总经理朱少醒，分管副总经理李笑薇。</w:t>
      </w:r>
    </w:p>
    <w:p w14:paraId="1124A7D0">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7、上述人员之间不存在近亲属关系。</w:t>
      </w:r>
    </w:p>
    <w:bookmarkEnd w:id="58"/>
    <w:bookmarkEnd w:id="59"/>
    <w:p w14:paraId="464692A8">
      <w:pPr>
        <w:widowControl/>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三、基金管理人的职责</w:t>
      </w:r>
    </w:p>
    <w:p w14:paraId="1C75046F">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1、依法募集资金，</w:t>
      </w:r>
      <w:r>
        <w:rPr>
          <w:rFonts w:hint="eastAsia" w:ascii="Times New Roman" w:hAnsi="Times New Roman" w:eastAsia="宋体" w:cs="Times New Roman"/>
          <w:sz w:val="24"/>
          <w:szCs w:val="24"/>
        </w:rPr>
        <w:t>办理或者委托经中国证监会认定的其他机构代为</w:t>
      </w:r>
      <w:r>
        <w:rPr>
          <w:rFonts w:ascii="Times New Roman" w:hAnsi="Times New Roman" w:eastAsia="宋体" w:cs="Times New Roman"/>
          <w:sz w:val="24"/>
          <w:szCs w:val="24"/>
        </w:rPr>
        <w:t>办理基金份额的发售</w:t>
      </w:r>
      <w:r>
        <w:rPr>
          <w:rFonts w:hint="eastAsia" w:ascii="Times New Roman" w:hAnsi="Times New Roman" w:eastAsia="宋体" w:cs="Times New Roman"/>
          <w:sz w:val="24"/>
          <w:szCs w:val="24"/>
        </w:rPr>
        <w:t>、</w:t>
      </w:r>
      <w:r>
        <w:rPr>
          <w:rFonts w:ascii="Times New Roman" w:hAnsi="Times New Roman" w:eastAsia="宋体" w:cs="Times New Roman"/>
          <w:sz w:val="24"/>
          <w:szCs w:val="24"/>
        </w:rPr>
        <w:t>申购</w:t>
      </w:r>
      <w:r>
        <w:rPr>
          <w:rFonts w:hint="eastAsia" w:ascii="Times New Roman" w:hAnsi="Times New Roman" w:eastAsia="宋体" w:cs="Times New Roman"/>
          <w:sz w:val="24"/>
          <w:szCs w:val="24"/>
        </w:rPr>
        <w:t>、</w:t>
      </w:r>
      <w:r>
        <w:rPr>
          <w:rFonts w:ascii="Times New Roman" w:hAnsi="Times New Roman" w:eastAsia="宋体" w:cs="Times New Roman"/>
          <w:sz w:val="24"/>
          <w:szCs w:val="24"/>
        </w:rPr>
        <w:t>赎回和登记事宜；</w:t>
      </w:r>
    </w:p>
    <w:p w14:paraId="5037E227">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2、办理基金备案手续；</w:t>
      </w:r>
    </w:p>
    <w:p w14:paraId="0AEBC51E">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3、对所管理的不同基金财产分别管理、分别记账，进行证券投资；</w:t>
      </w:r>
    </w:p>
    <w:p w14:paraId="11F5C64D">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4、按照基金合同的约定确定基金收益分配方案，及时向基金份额持有人分配收益；</w:t>
      </w:r>
    </w:p>
    <w:p w14:paraId="1CC52681">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5、进行基金会计核算并编制基金财务会计报告；</w:t>
      </w:r>
    </w:p>
    <w:p w14:paraId="5262F4FC">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6、编制季度报告、</w:t>
      </w:r>
      <w:r>
        <w:rPr>
          <w:rFonts w:hint="eastAsia" w:ascii="Times New Roman" w:hAnsi="Times New Roman" w:eastAsia="宋体" w:cs="Times New Roman"/>
          <w:sz w:val="24"/>
          <w:szCs w:val="24"/>
        </w:rPr>
        <w:t>中期</w:t>
      </w:r>
      <w:r>
        <w:rPr>
          <w:rFonts w:ascii="Times New Roman" w:hAnsi="Times New Roman" w:eastAsia="宋体" w:cs="Times New Roman"/>
          <w:sz w:val="24"/>
          <w:szCs w:val="24"/>
        </w:rPr>
        <w:t>报告和年度报告；</w:t>
      </w:r>
    </w:p>
    <w:p w14:paraId="395D4462">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7、计算并公告基金净值信息，确定</w:t>
      </w:r>
      <w:r>
        <w:rPr>
          <w:rFonts w:hint="eastAsia" w:ascii="Times New Roman" w:hAnsi="Times New Roman" w:eastAsia="宋体" w:cs="Times New Roman"/>
          <w:sz w:val="24"/>
          <w:szCs w:val="24"/>
        </w:rPr>
        <w:t>基金份额</w:t>
      </w:r>
      <w:r>
        <w:rPr>
          <w:rFonts w:ascii="Times New Roman" w:hAnsi="Times New Roman" w:eastAsia="宋体" w:cs="Times New Roman"/>
          <w:sz w:val="24"/>
          <w:szCs w:val="24"/>
        </w:rPr>
        <w:t>申购、赎回</w:t>
      </w:r>
      <w:r>
        <w:rPr>
          <w:rFonts w:hint="eastAsia" w:ascii="Times New Roman" w:hAnsi="Times New Roman" w:eastAsia="宋体" w:cs="Times New Roman"/>
          <w:sz w:val="24"/>
          <w:szCs w:val="24"/>
        </w:rPr>
        <w:t>价格</w:t>
      </w:r>
      <w:r>
        <w:rPr>
          <w:rFonts w:ascii="Times New Roman" w:hAnsi="Times New Roman" w:eastAsia="宋体" w:cs="Times New Roman"/>
          <w:sz w:val="24"/>
          <w:szCs w:val="24"/>
        </w:rPr>
        <w:t>；</w:t>
      </w:r>
    </w:p>
    <w:p w14:paraId="4A153F77">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8、办理与基金财产管理业务活动有关的信息披露事项；</w:t>
      </w:r>
    </w:p>
    <w:p w14:paraId="2C30863B">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9、按照规定召集基金份额持有人大会；</w:t>
      </w:r>
    </w:p>
    <w:p w14:paraId="5C9A62A5">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10、保存基金财产管理业务活动的记录、账册、报表和其他相关资料；</w:t>
      </w:r>
    </w:p>
    <w:p w14:paraId="29C72C49">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11、以基金管理人名义，代表基金份额持有人利益行使诉讼权利或者实施其他法律行为；</w:t>
      </w:r>
    </w:p>
    <w:p w14:paraId="58FAA5EA">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12、法律法规和中国证监会规定的或基金合同约定的其他职责。</w:t>
      </w:r>
    </w:p>
    <w:p w14:paraId="22BBE118">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四、基金管理人关于遵守法律法规的承诺</w:t>
      </w:r>
    </w:p>
    <w:p w14:paraId="1CB71C74">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基金管理人承诺不从事违反《中华人民共和国证券法》、《基金法》、《运作办法》、《销售办法》、《信息披露办法》等法律法规的行为，并承诺建立健全的内部控制制度，采取有效措施，防止违法行为的发生。</w:t>
      </w:r>
    </w:p>
    <w:p w14:paraId="37CB539A">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2、基金管理人承诺不从事以下违反《基金法》的行为，并承诺建立健全的内部风险控制制度，采取有效措施，防止下列行为的发生：</w:t>
      </w:r>
    </w:p>
    <w:p w14:paraId="0E52FD0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1）将基金管理人固有财产或者他人财产混同于基金财产从事证券投资；</w:t>
      </w:r>
    </w:p>
    <w:p w14:paraId="20C1FDB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2）不公平地对待管理的不同基金财产；</w:t>
      </w:r>
    </w:p>
    <w:p w14:paraId="4D2E245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3）利用基金财产</w:t>
      </w:r>
      <w:r>
        <w:rPr>
          <w:rFonts w:hint="eastAsia" w:ascii="Times New Roman" w:hAnsi="Times New Roman" w:eastAsia="宋体" w:cs="Times New Roman"/>
          <w:sz w:val="24"/>
          <w:szCs w:val="24"/>
        </w:rPr>
        <w:t>或者职务之便</w:t>
      </w:r>
      <w:r>
        <w:rPr>
          <w:rFonts w:ascii="Times New Roman" w:hAnsi="Times New Roman" w:eastAsia="宋体" w:cs="Times New Roman"/>
          <w:sz w:val="24"/>
          <w:szCs w:val="24"/>
        </w:rPr>
        <w:t>为基金份额持有人以外的第三人牟取利益；</w:t>
      </w:r>
    </w:p>
    <w:p w14:paraId="7E355B3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4）向基金份额持有人违规承诺收益或者承担损失；</w:t>
      </w:r>
    </w:p>
    <w:p w14:paraId="5FFA75D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（5）侵占、挪用基金财产；</w:t>
      </w:r>
    </w:p>
    <w:p w14:paraId="2686F5E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（6）泄露因职务便利获取的未公开信息、利用该信息从事或者明示、暗示他人从事相关的交易活动；</w:t>
      </w:r>
    </w:p>
    <w:p w14:paraId="22942EA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（7）玩忽职守，不按照规定履行职责；</w:t>
      </w:r>
    </w:p>
    <w:p w14:paraId="29CE9C0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ascii="Times New Roman" w:hAnsi="Times New Roman" w:eastAsia="宋体" w:cs="Times New Roman"/>
          <w:sz w:val="24"/>
          <w:szCs w:val="24"/>
        </w:rPr>
        <w:t>）法律、行政法规</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中国证监会规定禁止的其他行为。</w:t>
      </w:r>
    </w:p>
    <w:p w14:paraId="76458153">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3、基金管理人承诺加强人员管理，强化职业操守，督促和约束员工遵守国家有关法律、法规及行业规范，诚实信用、勤勉尽责，不从事以下活动：</w:t>
      </w:r>
    </w:p>
    <w:p w14:paraId="637F4EDA">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1）越权或违规经营；</w:t>
      </w:r>
    </w:p>
    <w:p w14:paraId="2600EB3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2）违反基金合同或托管协议；</w:t>
      </w:r>
    </w:p>
    <w:p w14:paraId="0C4C9E0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3）故意损害基金份额持有人或其他基金相关机构的合法权益；</w:t>
      </w:r>
    </w:p>
    <w:p w14:paraId="7256845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4）在向中国证监会报送的资料中弄虚作假；</w:t>
      </w:r>
    </w:p>
    <w:p w14:paraId="7C1F369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5）拒绝、干扰、阻挠或严重影响中国证监会依法监管；</w:t>
      </w:r>
    </w:p>
    <w:p w14:paraId="547D77B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6）玩忽职守、滥用职权，不按照规定履行职责；</w:t>
      </w:r>
    </w:p>
    <w:p w14:paraId="6C67CC3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7）违</w:t>
      </w:r>
      <w:r>
        <w:rPr>
          <w:rFonts w:hint="eastAsia" w:ascii="Times New Roman" w:hAnsi="Times New Roman" w:eastAsia="宋体" w:cs="Times New Roman"/>
          <w:sz w:val="24"/>
          <w:szCs w:val="24"/>
        </w:rPr>
        <w:t>反</w:t>
      </w:r>
      <w:r>
        <w:rPr>
          <w:rFonts w:ascii="Times New Roman" w:hAnsi="Times New Roman" w:eastAsia="宋体" w:cs="Times New Roman"/>
          <w:sz w:val="24"/>
          <w:szCs w:val="24"/>
        </w:rPr>
        <w:t>现行有效的有关法律、法规、规章、基金合同和中国证监会的有关规定，泄露在任职期间知悉的有关证券、基金的商业秘密、尚未依法公开的基金投资内容、基金投资计划等信息，或利用该信息从事或者明示、</w:t>
      </w:r>
      <w:r>
        <w:rPr>
          <w:rFonts w:hint="eastAsia" w:ascii="Times New Roman" w:hAnsi="Times New Roman" w:eastAsia="宋体" w:cs="Times New Roman"/>
          <w:sz w:val="24"/>
          <w:szCs w:val="24"/>
        </w:rPr>
        <w:t>暗示</w:t>
      </w:r>
      <w:r>
        <w:rPr>
          <w:rFonts w:ascii="Times New Roman" w:hAnsi="Times New Roman" w:eastAsia="宋体" w:cs="Times New Roman"/>
          <w:sz w:val="24"/>
          <w:szCs w:val="24"/>
        </w:rPr>
        <w:t>他人从事相关的交易活动；</w:t>
      </w:r>
    </w:p>
    <w:p w14:paraId="6511BD5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8）协助、接受委托或以其他任何形式为其他组织或个人进行证券交易；</w:t>
      </w:r>
    </w:p>
    <w:p w14:paraId="749A3D9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9）违反证券交易场所业务规则，利用对敲、倒仓等手段操纵市场价格，扰乱市场秩序；</w:t>
      </w:r>
    </w:p>
    <w:p w14:paraId="5C39115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10）贬损同行，以提高自己；</w:t>
      </w:r>
    </w:p>
    <w:p w14:paraId="145BD21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11）在公开信息披露和广告中故意含有虚假、误导、欺诈成分；</w:t>
      </w:r>
    </w:p>
    <w:p w14:paraId="219668E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12）以不正当手段谋求业务发展；</w:t>
      </w:r>
    </w:p>
    <w:p w14:paraId="224375D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13）有悖社会公德，损害证券投资基金从业人员形象；</w:t>
      </w:r>
    </w:p>
    <w:p w14:paraId="110D29C7">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14）其他法律、行政法规禁止的行为。</w:t>
      </w:r>
    </w:p>
    <w:p w14:paraId="41087B41">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五、基金管理人关于禁止性行为的承诺</w:t>
      </w:r>
    </w:p>
    <w:p w14:paraId="7D6D3CC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为维护基金份额持有人的合法权益，基金财产不得用于下列投资或者活动：</w:t>
      </w:r>
    </w:p>
    <w:p w14:paraId="62C1D27E">
      <w:pPr>
        <w:widowControl/>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、承销证券；</w:t>
      </w:r>
    </w:p>
    <w:p w14:paraId="40B52622">
      <w:pPr>
        <w:widowControl/>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、违反规定向他人贷款或者提供担保；</w:t>
      </w:r>
    </w:p>
    <w:p w14:paraId="0084B195">
      <w:pPr>
        <w:widowControl/>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、从事承担无限责任的投资；</w:t>
      </w:r>
    </w:p>
    <w:p w14:paraId="19DFF7AC">
      <w:pPr>
        <w:widowControl/>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、向其基金管理人、基金托管人出资；</w:t>
      </w:r>
    </w:p>
    <w:p w14:paraId="402D388F">
      <w:pPr>
        <w:widowControl/>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、从事内幕交易、操纵证券交易价格及其他不正当的证券交易活动；</w:t>
      </w:r>
    </w:p>
    <w:p w14:paraId="21DF8CD5">
      <w:pPr>
        <w:widowControl/>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、法律、行政法规和中国证监会规定禁止的其他活动。</w:t>
      </w:r>
    </w:p>
    <w:p w14:paraId="182A9AC7">
      <w:pPr>
        <w:widowControl/>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5807E23">
      <w:pPr>
        <w:widowControl/>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如</w:t>
      </w:r>
      <w:bookmarkStart w:id="61" w:name="_Hlk66464912"/>
      <w:r>
        <w:rPr>
          <w:rFonts w:hint="eastAsia" w:ascii="Times New Roman" w:hAnsi="Times New Roman" w:eastAsia="宋体" w:cs="Times New Roman"/>
          <w:bCs/>
          <w:sz w:val="24"/>
          <w:szCs w:val="24"/>
        </w:rPr>
        <w:t>法律法规或监管部门取消或调整上述禁止性规定，基金管理人在履行适当程序后，本基金可不受上述规定的限制或按调整后的规定执行，不需经基金份额持有人大会审议，但须提前公告</w:t>
      </w:r>
      <w:bookmarkEnd w:id="61"/>
      <w:r>
        <w:rPr>
          <w:rFonts w:hint="eastAsia" w:ascii="Times New Roman" w:hAnsi="Times New Roman" w:eastAsia="宋体" w:cs="Times New Roman"/>
          <w:bCs/>
          <w:sz w:val="24"/>
          <w:szCs w:val="24"/>
        </w:rPr>
        <w:t>。</w:t>
      </w:r>
    </w:p>
    <w:p w14:paraId="1D73E73F">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六、基金经理承诺</w:t>
      </w:r>
    </w:p>
    <w:p w14:paraId="027B3043">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1、依照有关法律法规和基金合同的规定，本着谨慎的原则为基金份额持有人谋取最大利益；</w:t>
      </w:r>
    </w:p>
    <w:p w14:paraId="4AF71BAF">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2、不利用职务之便为自己、受雇人或任何第三者谋取利益；</w:t>
      </w:r>
    </w:p>
    <w:p w14:paraId="04EDDBE7">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3、不违反现行有效的有关法律法规、基金合同和中国证监会的有关规定，泄露在任职期间知悉的有关证券、基金的商业秘密，尚未依法公开的基金投资内容、基金投资计划等信息，或利用该信息从事或者明示、</w:t>
      </w:r>
      <w:r>
        <w:rPr>
          <w:rFonts w:hint="eastAsia" w:ascii="Times New Roman" w:hAnsi="Times New Roman" w:eastAsia="宋体" w:cs="Times New Roman"/>
          <w:sz w:val="24"/>
          <w:szCs w:val="24"/>
        </w:rPr>
        <w:t>暗示</w:t>
      </w:r>
      <w:r>
        <w:rPr>
          <w:rFonts w:ascii="Times New Roman" w:hAnsi="Times New Roman" w:eastAsia="宋体" w:cs="Times New Roman"/>
          <w:sz w:val="24"/>
          <w:szCs w:val="24"/>
        </w:rPr>
        <w:t>他人从事相关的交易活动；</w:t>
      </w:r>
    </w:p>
    <w:p w14:paraId="3419D06F">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4、不以任何形式为其他组织或个人进行证券交易。</w:t>
      </w:r>
    </w:p>
    <w:p w14:paraId="5D5E0FE8">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七、基金管理人的风险管理体系和内部控制制度</w:t>
      </w:r>
    </w:p>
    <w:p w14:paraId="7C953276">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1、风险管理体系</w:t>
      </w:r>
    </w:p>
    <w:p w14:paraId="02BDCA63">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本基金在运作过程中面临的风险主要包括</w:t>
      </w:r>
      <w:r>
        <w:rPr>
          <w:rFonts w:hint="eastAsia" w:ascii="Times New Roman" w:hAnsi="Times New Roman" w:eastAsia="宋体" w:cs="Times New Roman"/>
          <w:sz w:val="24"/>
          <w:szCs w:val="24"/>
        </w:rPr>
        <w:t>特有风险、</w:t>
      </w:r>
      <w:r>
        <w:rPr>
          <w:rFonts w:ascii="Times New Roman" w:hAnsi="Times New Roman" w:eastAsia="宋体" w:cs="Times New Roman"/>
          <w:sz w:val="24"/>
          <w:szCs w:val="24"/>
        </w:rPr>
        <w:t>市场风险、流动性风险、管理风险、操作风险、合规性风险</w:t>
      </w:r>
      <w:r>
        <w:rPr>
          <w:rFonts w:hint="eastAsia" w:ascii="Times New Roman" w:hAnsi="Times New Roman" w:eastAsia="宋体" w:cs="Times New Roman"/>
          <w:sz w:val="24"/>
          <w:szCs w:val="24"/>
        </w:rPr>
        <w:t>、本基金法律文件风险收益特征表述与销售机构基金风险评价可能不一致的风险</w:t>
      </w:r>
      <w:r>
        <w:rPr>
          <w:rFonts w:ascii="Times New Roman" w:hAnsi="Times New Roman" w:eastAsia="宋体" w:cs="Times New Roman"/>
          <w:sz w:val="24"/>
          <w:szCs w:val="24"/>
        </w:rPr>
        <w:t>以及其他风险。</w:t>
      </w:r>
    </w:p>
    <w:p w14:paraId="4609F2A2">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针对上述各种风险，基金管理人建立了一套完整的风险管理体系，具体包括以下内容：</w:t>
      </w:r>
    </w:p>
    <w:p w14:paraId="06AE1350">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（1）建立风险管理环境。具体包括制定风险管理战略、目标，设置相应的组织机构，配备相应的人力资源与技术系统，设定风险管理的时间范围与空间范围等内容。</w:t>
      </w:r>
    </w:p>
    <w:p w14:paraId="5F27A21A">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（2）识别风险。辨识组织系统与业务流程中存在的风险以及风险存在的原因。</w:t>
      </w:r>
    </w:p>
    <w:p w14:paraId="0E82A893">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（3）分析风险。检查存在的控制措施，分析风险发生的可能性及其引起的后果。</w:t>
      </w:r>
    </w:p>
    <w:p w14:paraId="4589BCCF">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14:paraId="501D2DE3">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处理风险。将风险水平与既定的标准相对比，对于那些级别较低的风险，则承担它，但需加以监控。而对较为严重的风险，则实施一定的管理计划，对于一些后果极其严重的风险，则准备相应的应急处理措施。</w:t>
      </w:r>
    </w:p>
    <w:p w14:paraId="0A762B65">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（6）监视与检查。对已有的风险管理系统要监视及评价其管理绩效，在必要时加以改变。</w:t>
      </w:r>
    </w:p>
    <w:p w14:paraId="726B7191">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（7）报告与咨询。建立风险管理的报告系统，使公司股东、公司董事会、公司高级管理人员及监管部门了解公司风险管理状况，并寻求咨询意见。</w:t>
      </w:r>
    </w:p>
    <w:p w14:paraId="1EF0CA81">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2、内部控制制度</w:t>
      </w:r>
    </w:p>
    <w:p w14:paraId="16957009">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（1）内部控制的原则</w:t>
      </w:r>
    </w:p>
    <w:p w14:paraId="7DF7D372">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1 \* GB3 </w:instrText>
      </w:r>
      <w:r>
        <w:rPr>
          <w:rFonts w:ascii="Times New Roman" w:hAnsi="Times New Roman" w:eastAsia="宋体" w:cs="Times New Roman"/>
          <w:sz w:val="24"/>
          <w:szCs w:val="24"/>
        </w:rPr>
        <w:fldChar w:fldCharType="separate"/>
      </w:r>
      <w:r>
        <w:rPr>
          <w:rFonts w:ascii="宋体" w:hAnsi="宋体" w:eastAsia="宋体" w:cs="宋体"/>
          <w:sz w:val="24"/>
          <w:szCs w:val="24"/>
        </w:rPr>
        <w:t>①</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全面性原则。内部控制制度覆盖公司的各项业务、各个部门和各级人员，并渗透到决策、执行、监督、反馈等各个经营环节。</w:t>
      </w:r>
    </w:p>
    <w:p w14:paraId="2777B5E0">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2 \* GB3 </w:instrText>
      </w:r>
      <w:r>
        <w:rPr>
          <w:rFonts w:ascii="Times New Roman" w:hAnsi="Times New Roman" w:eastAsia="宋体" w:cs="Times New Roman"/>
          <w:sz w:val="24"/>
          <w:szCs w:val="24"/>
        </w:rPr>
        <w:fldChar w:fldCharType="separate"/>
      </w:r>
      <w:r>
        <w:rPr>
          <w:rFonts w:ascii="宋体" w:hAnsi="宋体" w:eastAsia="宋体" w:cs="宋体"/>
          <w:sz w:val="24"/>
          <w:szCs w:val="24"/>
        </w:rPr>
        <w:t>②</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独立性原则。公司设立独立的督察长与监察稽核</w:t>
      </w:r>
      <w:r>
        <w:rPr>
          <w:rFonts w:hint="eastAsia" w:ascii="Times New Roman" w:hAnsi="Times New Roman" w:eastAsia="宋体" w:cs="Times New Roman"/>
          <w:sz w:val="24"/>
          <w:szCs w:val="24"/>
        </w:rPr>
        <w:t>职能</w:t>
      </w:r>
      <w:r>
        <w:rPr>
          <w:rFonts w:ascii="Times New Roman" w:hAnsi="Times New Roman" w:eastAsia="宋体" w:cs="Times New Roman"/>
          <w:sz w:val="24"/>
          <w:szCs w:val="24"/>
        </w:rPr>
        <w:t>部门，并使它们保持高度的独立性与权威性。</w:t>
      </w:r>
    </w:p>
    <w:p w14:paraId="368916C9">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3 \* GB3 </w:instrText>
      </w:r>
      <w:r>
        <w:rPr>
          <w:rFonts w:ascii="Times New Roman" w:hAnsi="Times New Roman" w:eastAsia="宋体" w:cs="Times New Roman"/>
          <w:sz w:val="24"/>
          <w:szCs w:val="24"/>
        </w:rPr>
        <w:fldChar w:fldCharType="separate"/>
      </w:r>
      <w:r>
        <w:rPr>
          <w:rFonts w:ascii="宋体" w:hAnsi="宋体" w:eastAsia="宋体" w:cs="宋体"/>
          <w:sz w:val="24"/>
          <w:szCs w:val="24"/>
        </w:rPr>
        <w:t>③</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相互制约原则。公司部门和岗位的设置权责分明、相互牵制，并通过切实可行的相互制衡措施来消除内部控制中的盲点。</w:t>
      </w:r>
    </w:p>
    <w:p w14:paraId="443BF0A4">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4 \* GB3 </w:instrText>
      </w:r>
      <w:r>
        <w:rPr>
          <w:rFonts w:ascii="Times New Roman" w:hAnsi="Times New Roman" w:eastAsia="宋体" w:cs="Times New Roman"/>
          <w:sz w:val="24"/>
          <w:szCs w:val="24"/>
        </w:rPr>
        <w:fldChar w:fldCharType="separate"/>
      </w:r>
      <w:r>
        <w:rPr>
          <w:rFonts w:ascii="宋体" w:hAnsi="宋体" w:eastAsia="宋体" w:cs="宋体"/>
          <w:sz w:val="24"/>
          <w:szCs w:val="24"/>
        </w:rPr>
        <w:t>④</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重要性原则</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公司的发展必须建立在风险控制完善和稳固的基础上，内部风险控制与公司业务发展同等重要。</w:t>
      </w:r>
    </w:p>
    <w:p w14:paraId="4A8B9254">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（2）内部控制的主要内容</w:t>
      </w:r>
    </w:p>
    <w:p w14:paraId="677976AE">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1 \* GB3 </w:instrText>
      </w:r>
      <w:r>
        <w:rPr>
          <w:rFonts w:ascii="Times New Roman" w:hAnsi="Times New Roman" w:eastAsia="宋体" w:cs="Times New Roman"/>
          <w:sz w:val="24"/>
          <w:szCs w:val="24"/>
        </w:rPr>
        <w:fldChar w:fldCharType="separate"/>
      </w:r>
      <w:r>
        <w:rPr>
          <w:rFonts w:ascii="宋体" w:hAnsi="宋体" w:eastAsia="宋体" w:cs="宋体"/>
          <w:sz w:val="24"/>
          <w:szCs w:val="24"/>
        </w:rPr>
        <w:t>①</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控制环境</w:t>
      </w:r>
    </w:p>
    <w:p w14:paraId="39CAED11">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14:paraId="38F588AE">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14:paraId="3E895D71">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此外，公司设有督察长，全权负责公司的监察与稽核工作，对公司和基金运作的合法性、合规性及合理性进行全面检查与监督，参与公司风险控制工作，发生重大风险事件时向公司董事长和中国证监会报告。</w:t>
      </w:r>
    </w:p>
    <w:p w14:paraId="36D296E9">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2 \* GB3 </w:instrText>
      </w:r>
      <w:r>
        <w:rPr>
          <w:rFonts w:ascii="Times New Roman" w:hAnsi="Times New Roman" w:eastAsia="宋体" w:cs="Times New Roman"/>
          <w:sz w:val="24"/>
          <w:szCs w:val="24"/>
        </w:rPr>
        <w:fldChar w:fldCharType="separate"/>
      </w:r>
      <w:r>
        <w:rPr>
          <w:rFonts w:ascii="宋体" w:hAnsi="宋体" w:eastAsia="宋体" w:cs="宋体"/>
          <w:sz w:val="24"/>
          <w:szCs w:val="24"/>
        </w:rPr>
        <w:t>②</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风险评估</w:t>
      </w:r>
    </w:p>
    <w:p w14:paraId="47F440D6">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14:paraId="00682391">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3 \* GB3 </w:instrText>
      </w:r>
      <w:r>
        <w:rPr>
          <w:rFonts w:ascii="Times New Roman" w:hAnsi="Times New Roman" w:eastAsia="宋体" w:cs="Times New Roman"/>
          <w:sz w:val="24"/>
          <w:szCs w:val="24"/>
        </w:rPr>
        <w:fldChar w:fldCharType="separate"/>
      </w:r>
      <w:r>
        <w:rPr>
          <w:rFonts w:ascii="宋体" w:hAnsi="宋体" w:eastAsia="宋体" w:cs="宋体"/>
          <w:sz w:val="24"/>
          <w:szCs w:val="24"/>
        </w:rPr>
        <w:t>③</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操作控制</w:t>
      </w:r>
    </w:p>
    <w:p w14:paraId="362932A4">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14:paraId="65888390">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各业务部门内部工作岗位分工合理、职责明确，形成相互检查、相互制约的关系，以减少舞弊或差错发生的风险，各工作岗位均制定有相应的书面管理制度。</w:t>
      </w:r>
    </w:p>
    <w:p w14:paraId="412C0633">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在明确的岗位责任制度基础上，设置科学、合理、标准化的业务操作流程，每项业务操作有清晰、书面化的操作手册，同时，规定完备的处理手续，保存完整的业务记录，制定严格的检查、复核标准。</w:t>
      </w:r>
    </w:p>
    <w:p w14:paraId="50F6B907">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4 \* GB3 </w:instrText>
      </w:r>
      <w:r>
        <w:rPr>
          <w:rFonts w:ascii="Times New Roman" w:hAnsi="Times New Roman" w:eastAsia="宋体" w:cs="Times New Roman"/>
          <w:sz w:val="24"/>
          <w:szCs w:val="24"/>
        </w:rPr>
        <w:fldChar w:fldCharType="separate"/>
      </w:r>
      <w:r>
        <w:rPr>
          <w:rFonts w:ascii="宋体" w:hAnsi="宋体" w:eastAsia="宋体" w:cs="宋体"/>
          <w:sz w:val="24"/>
          <w:szCs w:val="24"/>
        </w:rPr>
        <w:t>④</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信息与沟通</w:t>
      </w:r>
    </w:p>
    <w:p w14:paraId="24252DF7">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公司建立了内部办公自动化信息系统与业务汇报体系，通过建立有效的信息交流渠道，保证公司员工及各级管理人员可以充分了解与其职责相关的信息，保证信息及时送达适当的人员进行处理。</w:t>
      </w:r>
    </w:p>
    <w:p w14:paraId="41613033">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5 \* GB3 </w:instrText>
      </w:r>
      <w:r>
        <w:rPr>
          <w:rFonts w:ascii="Times New Roman" w:hAnsi="Times New Roman" w:eastAsia="宋体" w:cs="Times New Roman"/>
          <w:sz w:val="24"/>
          <w:szCs w:val="24"/>
        </w:rPr>
        <w:fldChar w:fldCharType="separate"/>
      </w:r>
      <w:r>
        <w:rPr>
          <w:rFonts w:ascii="宋体" w:hAnsi="宋体" w:eastAsia="宋体" w:cs="宋体"/>
          <w:sz w:val="24"/>
          <w:szCs w:val="24"/>
        </w:rPr>
        <w:t>⑤</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监督与内部稽核</w:t>
      </w:r>
    </w:p>
    <w:p w14:paraId="4882FBB4">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基金管理人设立了独立于各业务部门的监察稽核</w:t>
      </w:r>
      <w:r>
        <w:rPr>
          <w:rFonts w:hint="eastAsia" w:ascii="Times New Roman" w:hAnsi="Times New Roman" w:eastAsia="宋体" w:cs="Times New Roman"/>
          <w:sz w:val="24"/>
          <w:szCs w:val="24"/>
        </w:rPr>
        <w:t>职能</w:t>
      </w:r>
      <w:r>
        <w:rPr>
          <w:rFonts w:ascii="Times New Roman" w:hAnsi="Times New Roman" w:eastAsia="宋体" w:cs="Times New Roman"/>
          <w:sz w:val="24"/>
          <w:szCs w:val="24"/>
        </w:rPr>
        <w:t>部</w:t>
      </w:r>
      <w:r>
        <w:rPr>
          <w:rFonts w:hint="eastAsia" w:ascii="Times New Roman" w:hAnsi="Times New Roman" w:eastAsia="宋体" w:cs="Times New Roman"/>
          <w:sz w:val="24"/>
          <w:szCs w:val="24"/>
        </w:rPr>
        <w:t>门</w:t>
      </w:r>
      <w:r>
        <w:rPr>
          <w:rFonts w:ascii="Times New Roman" w:hAnsi="Times New Roman" w:eastAsia="宋体" w:cs="Times New Roman"/>
          <w:sz w:val="24"/>
          <w:szCs w:val="24"/>
        </w:rPr>
        <w:t>，履行内部稽核职能，检查、评价公司内部控制制度合理性、完备性和有效性，监督公司内部控制制度的执行情况，揭示公司内部管理及基金运作中的风险，及时提出改进意见，促进公司内部管理制度有效地执行。内部稽核人员具有相对的独立性，监察稽核报告提交全体董事审阅并报送中国证监会。</w:t>
      </w:r>
    </w:p>
    <w:p w14:paraId="63FF06CC">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3、基金管理人关于内部控制的声明</w:t>
      </w:r>
    </w:p>
    <w:p w14:paraId="49B4BB37">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（1）基金管理人确知建立、实施和维持内部控制制度是基金管理人董事会及管理层的责任；</w:t>
      </w:r>
    </w:p>
    <w:p w14:paraId="357F1788">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（2）上述关于内部控制的披露真实、准确；</w:t>
      </w:r>
    </w:p>
    <w:p w14:paraId="67B67B1E">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（3）基金管理人承诺将根据市场环境的变化及公司的发展不断完善内部控制制度。</w:t>
      </w:r>
    </w:p>
    <w:p w14:paraId="5E9E2F5F">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bookmarkStart w:id="62" w:name="_Toc327457286"/>
      <w:bookmarkStart w:id="63" w:name="_Toc327457148"/>
      <w:r>
        <w:rPr>
          <w:rFonts w:ascii="Times New Roman" w:hAnsi="Times New Roman" w:eastAsia="宋体" w:cs="Times New Roman"/>
          <w:b/>
          <w:kern w:val="44"/>
          <w:sz w:val="24"/>
          <w:szCs w:val="20"/>
        </w:rPr>
        <w:br w:type="page"/>
      </w:r>
      <w:bookmarkEnd w:id="60"/>
      <w:bookmarkEnd w:id="62"/>
      <w:bookmarkEnd w:id="63"/>
      <w:bookmarkStart w:id="64" w:name="_Hlt81032341"/>
      <w:bookmarkEnd w:id="64"/>
      <w:bookmarkStart w:id="65" w:name="_Toc390614984"/>
      <w:bookmarkStart w:id="66" w:name="_Toc4096"/>
      <w:bookmarkStart w:id="67" w:name="_Toc213077623"/>
      <w:bookmarkStart w:id="68" w:name="_Toc12799"/>
      <w:bookmarkStart w:id="69" w:name="_Toc109537383"/>
      <w:r>
        <w:rPr>
          <w:rFonts w:ascii="Times New Roman" w:hAnsi="Times New Roman" w:eastAsia="宋体" w:cs="Times New Roman"/>
          <w:b/>
          <w:kern w:val="0"/>
          <w:sz w:val="32"/>
          <w:szCs w:val="20"/>
        </w:rPr>
        <w:t>第四部分  基金托管人</w:t>
      </w:r>
      <w:bookmarkEnd w:id="65"/>
      <w:bookmarkEnd w:id="66"/>
      <w:bookmarkEnd w:id="67"/>
      <w:bookmarkEnd w:id="68"/>
    </w:p>
    <w:p w14:paraId="4A29504E">
      <w:pPr>
        <w:spacing w:line="360" w:lineRule="auto"/>
        <w:ind w:firstLine="482"/>
        <w:rPr>
          <w:rFonts w:hint="eastAsia" w:ascii="宋体" w:hAnsi="宋体" w:eastAsia="宋体" w:cs="宋体"/>
          <w:b/>
          <w:sz w:val="24"/>
          <w:szCs w:val="24"/>
        </w:rPr>
      </w:pPr>
      <w:bookmarkStart w:id="70" w:name="_Toc116970834"/>
      <w:bookmarkStart w:id="71" w:name="_Toc116971120"/>
      <w:bookmarkStart w:id="72" w:name="_Toc116971000"/>
      <w:r>
        <w:rPr>
          <w:rFonts w:hint="eastAsia" w:ascii="宋体" w:hAnsi="宋体" w:eastAsia="宋体" w:cs="宋体"/>
          <w:b/>
          <w:kern w:val="0"/>
          <w:sz w:val="24"/>
          <w:szCs w:val="24"/>
        </w:rPr>
        <w:t>一、基金托管人概况</w:t>
      </w:r>
    </w:p>
    <w:p w14:paraId="5D39ECC0">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1、基本情况</w:t>
      </w:r>
    </w:p>
    <w:p w14:paraId="70873CD2">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名称：招商银行股份有限公司（以下简称“招商银行”）</w:t>
      </w:r>
    </w:p>
    <w:p w14:paraId="2F0ED678">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设立日期：1987年3月31日</w:t>
      </w:r>
    </w:p>
    <w:p w14:paraId="5FEC7D33">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注册地址：深圳市深南大道7088号招商银行大厦</w:t>
      </w:r>
    </w:p>
    <w:p w14:paraId="550FC947">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办公地址：深圳市深南大道7088号招商银行大厦</w:t>
      </w:r>
    </w:p>
    <w:p w14:paraId="2E4F0ED9">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注册资本：252.20亿元</w:t>
      </w:r>
    </w:p>
    <w:p w14:paraId="3FFB9798">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法定代表人：缪建民</w:t>
      </w:r>
    </w:p>
    <w:p w14:paraId="2F78C4A1">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行长：王良</w:t>
      </w:r>
    </w:p>
    <w:p w14:paraId="1C256AE7">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资产托管业务批准文号：证监基金字[2002]83号</w:t>
      </w:r>
    </w:p>
    <w:p w14:paraId="042746C1">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电话：4006195555</w:t>
      </w:r>
    </w:p>
    <w:p w14:paraId="778DFFED">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传真：0755-83195201</w:t>
      </w:r>
    </w:p>
    <w:p w14:paraId="3E85A30A">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资产托管部信息披露负责人：张姗</w:t>
      </w:r>
    </w:p>
    <w:p w14:paraId="7436EBC5">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2、发展概况   </w:t>
      </w:r>
    </w:p>
    <w:p w14:paraId="0E9B6F2D">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招商银行于1987年在深圳创建，是中国境内第一家完全由企业法人持股的股份制商业银行，成立38年来逐步发展成为沪港两地上市，拥有商业银行、金融租赁、基金管理、人寿保险、境外投行、消费金融、理财子公司等金融牌照的银行集团。成立以来，招商银行始终坚持服务立行、创新驱动、科技兴行、人才强行，以自身转型发展助力社会经济高质量发展，全力服务居民和企业客户财富增长、资产安全、资金融通。截至2025年12月31日，本集团总资产130,705.23亿元人民币，高级法下资本充足率18.24%，权重法下资本充足率15.00%。</w:t>
      </w:r>
    </w:p>
    <w:p w14:paraId="3E517541">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260人。2002年11月，经中国人民银行和中国证监会批准获得证券投资基金托管业务资格，成为国内第一家获得该项业务资格上市银行；2003年4月，正式办理基金托管业务。招商银行作为托管业务资质最全的商业银行之一，拥有证券投资基金托管资格、基本养老保险基金托管机构资格、受托投资管理托管业务托管资格、保险资金托管业务资格、企业年金基金托管业务资格、合格境外机构投资者托管（QFII）资格、合格境内机构投资者托管（QDII）资格、私募基金业务外包服务资格、存托凭证试点存托业务等业务资格。</w:t>
      </w:r>
    </w:p>
    <w:p w14:paraId="45901A36">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招商银行资产托管结合自身在托管行业深耕23年的专业能力和创新精神，推出“招商银行托管+”服务品牌，以“践行价值银行战略，致力于成为专业更精、科技更强、服务更佳的客户首选全球托管银行”品牌愿景为指引，以“值得信赖的专家、贴心服务的管家、让价值持续增加、客户的体验更佳”的“4+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6S”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72E689C0">
      <w:pPr>
        <w:spacing w:line="360" w:lineRule="auto"/>
        <w:ind w:firstLine="480"/>
        <w:rPr>
          <w:rFonts w:hint="eastAsia" w:ascii="宋体" w:hAnsi="宋体" w:eastAsia="宋体" w:cs="宋体"/>
          <w:kern w:val="30"/>
          <w:sz w:val="24"/>
          <w:szCs w:val="24"/>
        </w:rPr>
      </w:pPr>
      <w:r>
        <w:rPr>
          <w:rFonts w:hint="eastAsia" w:ascii="宋体" w:hAnsi="宋体" w:eastAsia="宋体" w:cs="宋体"/>
          <w:sz w:val="24"/>
          <w:szCs w:val="24"/>
        </w:rPr>
        <w:t>招商银行资产托管业务持续稳健发展，社会影响力不断提升,近年来获得业内各类奖项荣誉。2016年5月 “托管通”荣获《银行家》2016中国金融创新 “十佳金融产品创新奖”； 6月荣获《财资》“中国最佳托管银行奖”，成为国内唯一获得该奖项的托管银行；7月荣获中国资产管理“金贝奖”“最佳资产托管银行”、《21世纪经济报道》“2016最佳资产托管银行”。2017年5月荣获《亚洲银行家》“中国年度托管银行奖”；6月荣获《财资》“中国最佳托管银行奖”；“全功能网上托管银行2.0”荣获《银行家》2017中国金融创新“十佳金融产品创新奖”。2018年1月荣获中央国债登记结算有限责任公司“2017年度优秀资产托管机构”奖；同月，托管大数据平台风险管理系统荣获2016-2017年度银监会系统“金点子”方案一等奖，以及中央金融团工委、全国金融青联第五届“双提升”金点子方案二等奖；3月荣获《中国基金报》 “最佳基金托管银行”奖；5月荣获国际财经权威媒体《亚洲银行家》“中国年度托管银行奖”；12月荣获2018东方财富风云榜“2018年度最佳托管银行”、“20年最值得信赖托管银行”奖。2019年3月荣获《中国基金报》“2018年度最佳基金托管银行”奖；6月荣获《财资》“中国最佳托管机构”“中国最佳养老金托管机构”“中国最佳零售基金行政外包”三项大奖；12月荣获2019东方财富风云榜“2019年度最佳托管银行”奖。2020年1月，荣获中央国债登记结算有限责任公司“2019年度优秀资产托管机构”奖项；6月荣获《财资》“中国境内最佳托管机构”“最佳公募基金托管机构”“最佳公募基金行政外包机构”三项大奖；10月荣获《中国基金报》第二届中国公募基金英华奖“2019年度最佳基金托管银行”奖。2021年1月，荣获中央国债登记结算有限责任公司“2020年度优秀资产托管机构”奖项；同月荣获2020东方财富风云榜“2020年度最受欢迎托管银行”奖项；2021年10月，《证券时报》“2021年度杰出资产托管银行天玑奖”；2021年12月，荣获《中国基金报》第三届中国公募基金英华奖“2020年度最佳基金托管银行”；2022年1月荣获中央国债登记结算有限责任公司“2021年度优秀资产托管机构、估值业务杰出机构”奖项；9月荣获《财资》“中国最佳托管银行”“最佳公募基金托管银行”“最佳理财托管银行”三项大奖；12月荣获《证券时报》“2022年度杰出资产托管银行天玑奖”；2023年1月荣获中央国债登记结算有限责任公司“2022年度优秀资产托管机构”、银行间市场清算所股份有限公司“2022年度优秀托管机构”、全国银行间同业拆借中心“2022年度银行间本币市场托管业务市场创新奖”三项大奖；2023年4月，荣获《中国基金报》第二届中国基金业创新英华奖“托管创新奖”；2023年9月，荣获《中国基金报》中国基金业英华奖“公募基金25年基金托管示范银行（全国性股份行）”；2023年12月，荣获《东方财富风云榜》“2023年度托管银行风云奖”。2024年1月，荣获中央国债登记结算有限责任公司“2023年度优秀资产托管机构”、“2023年度估值业务杰出机构”、“2023年度债市领军机构”、“2023年度中债绿债指数优秀承销机构”四项大奖；2024年2月，荣获泰康养老保险股份有限公司“2023年度最佳年金托管合作伙伴”奖。2024年4月，荣获中国基金报“中国基金业英华奖-ETF20周年特别评选“优秀ETF托管人””奖。2024年6月，荣获上海清算所“2023年度优秀托管机构”奖。2024年8月，在《21世纪经济报道》主办的2024资产管理年会暨十七届21世纪【金贝】资产管理竞争力研究案例发布盛典上，“招商银行托管+”荣获“2024卓越影响力品牌”奖项；2024年9月，在2024财联社中国金融业“拓扑奖”评选中，荣获银行业务类奖项“2024年资产托管银行‘拓扑奖’”；2024年12月，荣获《中国证券报》“ETF金牛生态圈卓越托管机构（银行）奖”；2024年12月，荣获《2024东方财富风云际会》“年度托管银行风云奖”。2025年1月，荣获中央国债登记结算有限责任公司“2024年度优秀资产托管机构”奖项、上海清算所“2024年度优秀托管机构”奖项；2025年2月，荣获全国银行间同业拆借中心“2024年度市场创新业务机构”奖项；2025年3月，荣获《中国基金报》2025年指数生态圈英华典型案例“指数产品托管机构”奖项；2025年6月，荣获《亚洲银行家》“中国最佳托管银行”“中国最佳股份制托管银行”奖项。2025年8月，在《21世纪经济报道》主办的2025资产管理年会暨十八届21世纪【金贝】资产管理竞争力案例发布盛典上，“招商银行托管+”荣获“2025卓越影响力品牌”奖项。2025年12月，荣获《2025东方财富风云际会》“年度托管银行风云奖”。</w:t>
      </w:r>
    </w:p>
    <w:p w14:paraId="31892F7A">
      <w:pPr>
        <w:autoSpaceDE w:val="0"/>
        <w:autoSpaceDN w:val="0"/>
        <w:adjustRightInd w:val="0"/>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二、主要人员情况</w:t>
      </w:r>
    </w:p>
    <w:p w14:paraId="7578F8BC">
      <w:pPr>
        <w:spacing w:line="360" w:lineRule="auto"/>
        <w:ind w:firstLine="48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缪建民先生，招商银行董事长、非执行董事，2020年9月起担任招商银行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2436AD7C">
      <w:pPr>
        <w:spacing w:line="360" w:lineRule="auto"/>
        <w:ind w:firstLine="48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王良先生，招商银行党委书记、执行董事、行长。中国人民大学经济学硕士，高级经济师。1995年6月加入招商银行，历任招商银行北京分行行长助理、副行长、行长，2012年6月起历任招商银行行长助理、副行长、常务副行长，2022年5月起任招商银行党委书记，2022年6月起任招商银行行长。兼任招商银行香港上市相关事宜之授权代表、招银国际金融控股有限公司董事长、招银国际金融有限公司董事长、招商永隆银行董事长、招联消费金融有限公司副董事长、招商局金融控股有限公司董事、中国银行业协会中间业务专业委员会第四届主任、中国金融会计学会第六届常务理事、广东省第十四届人大代表。</w:t>
      </w:r>
    </w:p>
    <w:p w14:paraId="29586620">
      <w:pPr>
        <w:spacing w:line="360" w:lineRule="auto"/>
        <w:ind w:firstLine="48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王颖女士，招商银行副行长，南京大学政治经济学专业硕士，经济师。王颖女士1997年1月加入招商银行，历任招商银行北京分行行长助理、副行长，天津分行行长，深圳分行行长，招商银行行长助理。2023年11月起任招商银行副行长。</w:t>
      </w:r>
    </w:p>
    <w:p w14:paraId="4A27A03E">
      <w:pPr>
        <w:spacing w:line="360" w:lineRule="auto"/>
        <w:ind w:firstLine="480"/>
        <w:rPr>
          <w:rFonts w:hint="eastAsia" w:ascii="宋体" w:hAnsi="宋体" w:eastAsia="宋体" w:cs="宋体"/>
          <w:sz w:val="24"/>
          <w:szCs w:val="24"/>
        </w:rPr>
      </w:pPr>
      <w:r>
        <w:rPr>
          <w:rFonts w:hint="eastAsia" w:ascii="宋体" w:hAnsi="宋体" w:eastAsia="宋体" w:cs="宋体"/>
          <w:sz w:val="24"/>
          <w:szCs w:val="24"/>
          <w:shd w:val="clear" w:color="auto" w:fill="FFFFFF"/>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2021年10月起先后任招商银行资产托管部负责人、资产托管部总经理，具有20余年银行从业经验，在风险管理、信贷管理、公司金融、资产托管等领域有深入的研究和丰富的实务经验。</w:t>
      </w:r>
    </w:p>
    <w:p w14:paraId="5DD43CFF">
      <w:pPr>
        <w:autoSpaceDE w:val="0"/>
        <w:autoSpaceDN w:val="0"/>
        <w:adjustRightInd w:val="0"/>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三、基金托管业务经营情况</w:t>
      </w:r>
    </w:p>
    <w:p w14:paraId="3CDD7E37">
      <w:pPr>
        <w:widowControl/>
        <w:spacing w:before="75" w:after="75" w:line="360" w:lineRule="auto"/>
        <w:ind w:firstLine="480"/>
        <w:jc w:val="left"/>
        <w:rPr>
          <w:rFonts w:hint="eastAsia" w:ascii="宋体" w:hAnsi="宋体" w:eastAsia="宋体" w:cs="宋体"/>
          <w:sz w:val="24"/>
          <w:szCs w:val="24"/>
        </w:rPr>
      </w:pPr>
      <w:r>
        <w:rPr>
          <w:rFonts w:hint="eastAsia" w:ascii="宋体" w:hAnsi="宋体" w:eastAsia="宋体" w:cs="宋体"/>
          <w:kern w:val="0"/>
          <w:sz w:val="24"/>
          <w:szCs w:val="24"/>
        </w:rPr>
        <w:t>截至2025年12月31日，招商银行股份有限公司累计托管1759只证券投资基金。</w:t>
      </w:r>
    </w:p>
    <w:p w14:paraId="0E46B466">
      <w:pPr>
        <w:autoSpaceDE w:val="0"/>
        <w:autoSpaceDN w:val="0"/>
        <w:adjustRightInd w:val="0"/>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四、托管人的内部控制制度</w:t>
      </w:r>
    </w:p>
    <w:p w14:paraId="66CBD6F2">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1、内部控制目标</w:t>
      </w:r>
    </w:p>
    <w:p w14:paraId="34416590">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1DEEC486">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2、内部控制组织结构</w:t>
      </w:r>
    </w:p>
    <w:p w14:paraId="0F143FB8">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招商银行资产托管业务建立三级内部控制及风险防范体系：</w:t>
      </w:r>
    </w:p>
    <w:p w14:paraId="2A6AECF4">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一级内部控制及风险防范是在招商银行总行风险管控层面对风险进行预防和控制；总行风险管理部、法律合规部、审计部独立对资产托管业务进行评估监督，并提出内控提升管理建议。</w:t>
      </w:r>
    </w:p>
    <w:p w14:paraId="0560866C">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二级内部控制及风险防范是招商银行资产托管部设立风险合规管理相关团队，负责部门内部风险预防和控制，及时发现内部控制缺陷，提出整改方案，跟踪整改情况，并直接向部门总经理室报告。</w:t>
      </w:r>
    </w:p>
    <w:p w14:paraId="79E795FD">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三级内部控制及风险防范是招商银行资产托管部在设置专业岗位时，遵循内控制衡原则，视业务的风险程度制定相应监督制衡机制。</w:t>
      </w:r>
    </w:p>
    <w:p w14:paraId="4263D9E5">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3、内部控制原则</w:t>
      </w:r>
    </w:p>
    <w:p w14:paraId="095410DF">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（1）全面性原则。内部控制覆盖各项业务过程和操作环节、覆盖所有团队和岗位，并由全部人员参与。</w:t>
      </w:r>
    </w:p>
    <w:p w14:paraId="7ED46B5B">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（2）审慎性原则。托管组织体系的构成、内部管理制度的建立均以防范风险、审慎经营为出发点，体现“内控优先”的要求。</w:t>
      </w:r>
    </w:p>
    <w:p w14:paraId="01B065EB">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（3）独立性原则。招商银行资产托管部各团队、各岗位职责保持相对独立，不同托管资产之间、托管资产和自有资产之间相互分离。内部控制的检查、评价部门独立于内部控制的建立和执行部门。</w:t>
      </w:r>
    </w:p>
    <w:p w14:paraId="16225534">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5BD4E776">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（5）适应性原则。内部控制适应招商银行托管业务风险管理的需要，并能够随着托管业务经营战略、经营方针、经营理念等内部环境的变化和国家法律、法规、政策制度等外部环境的改变及时进行修订和完善。</w:t>
      </w:r>
    </w:p>
    <w:p w14:paraId="103AED36">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（6）防火墙原则。招商银行资产托管部办公场地与招商银行其他业务场地隔离，办公网和业务网物理分离，部门业务网和全行业务网防火墙策略分离，以达到风险防范的目的。 </w:t>
      </w:r>
    </w:p>
    <w:p w14:paraId="54636FD3">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（7）重要性原则。内部控制在实现全面控制的基础上，关注重要托管业务重要事项和高风险环节。</w:t>
      </w:r>
    </w:p>
    <w:p w14:paraId="426BDCA5">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（8）制衡性原则。内部控制能够实现在托管组织体系、机构设置、权责分配及业务流程等方面相互制约、相互监督，同时兼顾运营效率。</w:t>
      </w:r>
    </w:p>
    <w:p w14:paraId="47139203">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4、内部控制措施</w:t>
      </w:r>
    </w:p>
    <w:p w14:paraId="6962A7DD">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14:paraId="7E25C920">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（2）业务信息风险控制。招商银行资产托管部在数据传输和保存方面有严格的加密和备份措施，采用加密、直连方式传输数据，数据执行异地实时备份，所有的业务信息须经过严格的授权方能进行访问。</w:t>
      </w:r>
    </w:p>
    <w:p w14:paraId="22314EDD">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（3）客户资料风险控制。招商银行资产托管部对业务办理过程中获取的客户资料严格保密，除法律法规和其他有关规定、监管机构及审计要求外，不向任何机构、部门或个人泄露。</w:t>
      </w:r>
    </w:p>
    <w:p w14:paraId="778D2688">
      <w:pPr>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774CC801">
      <w:pPr>
        <w:spacing w:line="360" w:lineRule="auto"/>
        <w:ind w:firstLine="480"/>
        <w:rPr>
          <w:rFonts w:hint="eastAsia" w:ascii="宋体" w:hAnsi="宋体" w:eastAsia="宋体" w:cs="宋体"/>
          <w:sz w:val="24"/>
          <w:szCs w:val="24"/>
        </w:rPr>
      </w:pPr>
      <w:r>
        <w:rPr>
          <w:rFonts w:hint="eastAsia" w:ascii="宋体" w:hAnsi="宋体" w:eastAsia="宋体" w:cs="宋体"/>
          <w:kern w:val="0"/>
          <w:sz w:val="24"/>
          <w:szCs w:val="24"/>
        </w:rPr>
        <w:t>（5）人力资源控制。招商银行资产托管部通过建立良好的企业文化和员工培训、激励机制、加强人力资源管理及建立人才梯级队伍及人才储备机制，有效地进行人力资源管理。</w:t>
      </w:r>
    </w:p>
    <w:p w14:paraId="4E8F6B1C">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五、基金托管人对基金管理人运作基金进行监督的方法和程序</w:t>
      </w:r>
    </w:p>
    <w:p w14:paraId="52BC7EA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中华人民共和国证券投资基金法》《公开募集证券投资基金运作管理办法》等有关法律法规的规定及基金合同、托管协议的约定，对基金投资范围、投资比例、投资组合等情况的合法性、合规性进行监督和核查。</w:t>
      </w:r>
    </w:p>
    <w:p w14:paraId="6C9384D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5AB9ED58">
      <w:pPr>
        <w:widowControl/>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sz w:val="24"/>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r>
        <w:rPr>
          <w:rFonts w:ascii="Times New Roman" w:hAnsi="Times New Roman" w:eastAsia="宋体" w:cs="Times New Roman"/>
          <w:sz w:val="24"/>
          <w:szCs w:val="24"/>
        </w:rPr>
        <w:t> </w:t>
      </w:r>
    </w:p>
    <w:p w14:paraId="33ED424E">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r>
        <w:rPr>
          <w:rFonts w:ascii="Times New Roman" w:hAnsi="Times New Roman" w:eastAsia="宋体" w:cs="Times New Roman"/>
          <w:sz w:val="24"/>
          <w:szCs w:val="24"/>
        </w:rPr>
        <w:br w:type="page"/>
      </w:r>
      <w:bookmarkEnd w:id="70"/>
      <w:bookmarkEnd w:id="71"/>
      <w:bookmarkEnd w:id="72"/>
      <w:bookmarkStart w:id="73" w:name="_Toc2347"/>
      <w:bookmarkStart w:id="74" w:name="_Toc25895"/>
      <w:bookmarkStart w:id="75" w:name="_Toc390614985"/>
      <w:bookmarkStart w:id="76" w:name="_Toc213077624"/>
      <w:bookmarkStart w:id="77" w:name="_Toc327457184"/>
      <w:r>
        <w:rPr>
          <w:rFonts w:hint="eastAsia" w:ascii="Times New Roman" w:hAnsi="Times New Roman" w:eastAsia="宋体" w:cs="Times New Roman"/>
          <w:b/>
          <w:kern w:val="44"/>
          <w:sz w:val="32"/>
          <w:szCs w:val="20"/>
        </w:rPr>
        <w:t>第五部分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相关服务机构</w:t>
      </w:r>
      <w:bookmarkEnd w:id="73"/>
      <w:bookmarkEnd w:id="74"/>
      <w:bookmarkEnd w:id="75"/>
      <w:bookmarkEnd w:id="76"/>
    </w:p>
    <w:bookmarkEnd w:id="69"/>
    <w:bookmarkEnd w:id="77"/>
    <w:p w14:paraId="301577BD">
      <w:pPr>
        <w:widowControl/>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一</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基金份额发售机构</w:t>
      </w:r>
    </w:p>
    <w:p w14:paraId="429F597D">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1、直销机构</w:t>
      </w:r>
    </w:p>
    <w:p w14:paraId="7638E35A">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名称：富国基金管理有限公司</w:t>
      </w:r>
    </w:p>
    <w:p w14:paraId="7F76F6D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住所：中国（上海）自由贸易试验区世纪大道1196号世纪汇办公楼二座27-30层</w:t>
      </w:r>
    </w:p>
    <w:p w14:paraId="11E7AB5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办公地址：中国（上海）自由贸易试验区世纪大道1196号世纪汇办公楼二座27-30层</w:t>
      </w:r>
    </w:p>
    <w:p w14:paraId="7FA4BC0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法定代表人：裴长江</w:t>
      </w:r>
    </w:p>
    <w:p w14:paraId="6DCD9AA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总经理：陈戈</w:t>
      </w:r>
    </w:p>
    <w:p w14:paraId="03B2D15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成立日期：1999年4月13日</w:t>
      </w:r>
    </w:p>
    <w:p w14:paraId="7E14990A">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直销网点：直销中心</w:t>
      </w:r>
    </w:p>
    <w:p w14:paraId="7740109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直销中心地址：中国（上海）自由贸易试验区世纪大道1196号世纪汇二座27层</w:t>
      </w:r>
    </w:p>
    <w:p w14:paraId="6FC84EE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客户服务统一咨询电话：95105686、4008880688（全国统一，免长途话费）</w:t>
      </w:r>
    </w:p>
    <w:p w14:paraId="728912F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传真：021-</w:t>
      </w:r>
      <w:r>
        <w:rPr>
          <w:rFonts w:ascii="Times New Roman" w:hAnsi="Times New Roman" w:eastAsia="宋体" w:cs="Times New Roman"/>
          <w:sz w:val="24"/>
          <w:szCs w:val="24"/>
        </w:rPr>
        <w:t>20513177</w:t>
      </w:r>
    </w:p>
    <w:p w14:paraId="0FA8ABF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联系人：吕铭泽</w:t>
      </w:r>
    </w:p>
    <w:p w14:paraId="54D9619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公司网站：www.fullgoal.com.cn</w:t>
      </w:r>
    </w:p>
    <w:p w14:paraId="3282CA28">
      <w:pPr>
        <w:widowControl/>
        <w:spacing w:line="360" w:lineRule="auto"/>
        <w:ind w:left="48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代销</w:t>
      </w:r>
      <w:r>
        <w:rPr>
          <w:rFonts w:ascii="Times New Roman" w:hAnsi="Times New Roman" w:eastAsia="宋体" w:cs="Times New Roman"/>
          <w:sz w:val="24"/>
          <w:szCs w:val="24"/>
        </w:rPr>
        <w:t>机构</w:t>
      </w:r>
    </w:p>
    <w:p w14:paraId="1B0DF004">
      <w:pPr>
        <w:widowControl/>
        <w:spacing w:line="360" w:lineRule="auto"/>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名称：招商银行股份有限公司</w:t>
      </w:r>
    </w:p>
    <w:p w14:paraId="00BD857A">
      <w:pPr>
        <w:widowControl/>
        <w:spacing w:line="360" w:lineRule="auto"/>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注册地址：深圳市深南大道7088号招商银行大厦</w:t>
      </w:r>
    </w:p>
    <w:p w14:paraId="01B63965">
      <w:pPr>
        <w:widowControl/>
        <w:spacing w:line="360" w:lineRule="auto"/>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办公地址：深圳市深南大道7088号招商银行大厦</w:t>
      </w:r>
    </w:p>
    <w:p w14:paraId="46C48147">
      <w:pPr>
        <w:widowControl/>
        <w:spacing w:line="360" w:lineRule="auto"/>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法定代表人：缪建民</w:t>
      </w:r>
    </w:p>
    <w:p w14:paraId="7BA05EDC">
      <w:pPr>
        <w:widowControl/>
        <w:spacing w:line="360" w:lineRule="auto"/>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客户服务电话：95555</w:t>
      </w:r>
    </w:p>
    <w:p w14:paraId="37161516">
      <w:pPr>
        <w:widowControl/>
        <w:spacing w:line="360" w:lineRule="auto"/>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网址：</w:t>
      </w:r>
      <w:r>
        <w:rPr>
          <w:rFonts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"https://cmbchina.com/"</w:instrText>
      </w:r>
      <w:r>
        <w:rPr>
          <w:rFonts w:ascii="Times New Roman" w:hAnsi="Times New Roman" w:eastAsia="宋体" w:cs="Times New Roman"/>
          <w:sz w:val="24"/>
          <w:szCs w:val="24"/>
        </w:rPr>
        <w:fldChar w:fldCharType="separate"/>
      </w:r>
      <w:r>
        <w:rPr>
          <w:rStyle w:val="49"/>
          <w:rFonts w:hint="eastAsia" w:ascii="Times New Roman" w:hAnsi="Times New Roman" w:eastAsia="宋体" w:cs="Times New Roman"/>
          <w:sz w:val="24"/>
          <w:szCs w:val="24"/>
        </w:rPr>
        <w:t>https://cmbchina.com/</w:t>
      </w:r>
      <w:r>
        <w:rPr>
          <w:rFonts w:ascii="Times New Roman" w:hAnsi="Times New Roman" w:eastAsia="宋体" w:cs="Times New Roman"/>
          <w:sz w:val="24"/>
          <w:szCs w:val="24"/>
        </w:rPr>
        <w:fldChar w:fldCharType="end"/>
      </w:r>
    </w:p>
    <w:p w14:paraId="5E923F9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具体名单详见本基金份额发售公告或基金管理人网站。基金管理人可根据有关法律法规的要求，选择其它符合要求的机构销售本基金，并在基金管理人网站公示。</w:t>
      </w:r>
    </w:p>
    <w:p w14:paraId="2B9F5722">
      <w:pPr>
        <w:widowControl/>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登记机构</w:t>
      </w:r>
    </w:p>
    <w:p w14:paraId="1ADE78D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名称：富国基金管理有限公司</w:t>
      </w:r>
    </w:p>
    <w:p w14:paraId="63CD85A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住所：中国（上海）自由贸易试验区世纪大道1196号世纪汇办公楼二座27-30层</w:t>
      </w:r>
    </w:p>
    <w:p w14:paraId="5E8D131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办公地址：中国（上海）自由贸易试验区世纪大道1196号世纪汇办公楼二座27-30层</w:t>
      </w:r>
    </w:p>
    <w:p w14:paraId="65220E67">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法定代表人：裴长江</w:t>
      </w:r>
    </w:p>
    <w:p w14:paraId="668F7655">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成立日期：</w:t>
      </w:r>
      <w:r>
        <w:rPr>
          <w:rFonts w:ascii="Times New Roman" w:hAnsi="Times New Roman" w:eastAsia="宋体" w:cs="Times New Roman"/>
          <w:sz w:val="24"/>
          <w:szCs w:val="24"/>
        </w:rPr>
        <w:t>1999年4月13日</w:t>
      </w:r>
    </w:p>
    <w:p w14:paraId="28BB90D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电话：（</w:t>
      </w:r>
      <w:r>
        <w:rPr>
          <w:rFonts w:ascii="Times New Roman" w:hAnsi="Times New Roman" w:eastAsia="宋体" w:cs="Times New Roman"/>
          <w:sz w:val="24"/>
          <w:szCs w:val="24"/>
        </w:rPr>
        <w:t>021）20361818</w:t>
      </w:r>
    </w:p>
    <w:p w14:paraId="3EAF7805">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传真：（</w:t>
      </w:r>
      <w:r>
        <w:rPr>
          <w:rFonts w:ascii="Times New Roman" w:hAnsi="Times New Roman" w:eastAsia="宋体" w:cs="Times New Roman"/>
          <w:sz w:val="24"/>
          <w:szCs w:val="24"/>
        </w:rPr>
        <w:t>021）20361616</w:t>
      </w:r>
    </w:p>
    <w:p w14:paraId="6C9C2657">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联系人：徐慧</w:t>
      </w:r>
    </w:p>
    <w:p w14:paraId="3D77BF3B">
      <w:pPr>
        <w:widowControl/>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w:t>
      </w:r>
      <w:r>
        <w:rPr>
          <w:rFonts w:hint="eastAsia" w:ascii="Times New Roman" w:hAnsi="Times New Roman" w:eastAsia="宋体" w:cs="Times New Roman"/>
          <w:b/>
          <w:sz w:val="24"/>
          <w:szCs w:val="24"/>
        </w:rPr>
        <w:t>、出具法律意见书的律师事务所</w:t>
      </w:r>
    </w:p>
    <w:p w14:paraId="35F01C5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名称：上海市通力律师事务所</w:t>
      </w:r>
    </w:p>
    <w:p w14:paraId="577D052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住所：上海市银城中路68号时代金融中心19楼</w:t>
      </w:r>
    </w:p>
    <w:p w14:paraId="723AD20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办公地址：上海市银城中路68号时代金融中心19楼</w:t>
      </w:r>
    </w:p>
    <w:p w14:paraId="559826D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负责人：韩炯</w:t>
      </w:r>
    </w:p>
    <w:p w14:paraId="4917E1B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电话：（021）31358666</w:t>
      </w:r>
    </w:p>
    <w:p w14:paraId="343A5BB5">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传真：（021）31358600</w:t>
      </w:r>
    </w:p>
    <w:p w14:paraId="3DDCF3C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联系人：陈颖华</w:t>
      </w:r>
    </w:p>
    <w:p w14:paraId="4543E03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经办律师：陈颖华、王健</w:t>
      </w:r>
    </w:p>
    <w:p w14:paraId="57FDBABB">
      <w:pPr>
        <w:widowControl/>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四</w:t>
      </w:r>
      <w:r>
        <w:rPr>
          <w:rFonts w:hint="eastAsia" w:ascii="Times New Roman" w:hAnsi="Times New Roman" w:eastAsia="宋体" w:cs="Times New Roman"/>
          <w:b/>
          <w:sz w:val="24"/>
          <w:szCs w:val="24"/>
        </w:rPr>
        <w:t>、审计基金财产的会计师事务所</w:t>
      </w:r>
    </w:p>
    <w:p w14:paraId="3BF17179">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名称：德勤华永会计师事务所（特殊普通合伙）</w:t>
      </w:r>
    </w:p>
    <w:p w14:paraId="389B0B1F">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注册地址：上海市黄浦区延安东路222号30楼</w:t>
      </w:r>
    </w:p>
    <w:p w14:paraId="2F0667C6">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办公地址：上海市黄浦区延安东路222号30楼</w:t>
      </w:r>
    </w:p>
    <w:p w14:paraId="23C7E3A9">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执行事务合伙人：唐恋炯</w:t>
      </w:r>
    </w:p>
    <w:p w14:paraId="46757DDF">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联系电话：+86 21 61418888</w:t>
      </w:r>
    </w:p>
    <w:p w14:paraId="246AA5B0">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传真：+86 21 63350003</w:t>
      </w:r>
    </w:p>
    <w:p w14:paraId="2A6303F7">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联系人：汪芳、冯适</w:t>
      </w:r>
    </w:p>
    <w:p w14:paraId="339BE8F5">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经办注册会计师：汪芳、冯适</w:t>
      </w:r>
    </w:p>
    <w:p w14:paraId="7F44CAC1">
      <w:pPr>
        <w:spacing w:line="360" w:lineRule="auto"/>
        <w:ind w:firstLine="480" w:firstLineChars="200"/>
        <w:rPr>
          <w:rFonts w:ascii="Times New Roman" w:hAnsi="Times New Roman" w:eastAsia="宋体" w:cs="Times New Roman"/>
          <w:bCs/>
          <w:sz w:val="24"/>
          <w:szCs w:val="20"/>
        </w:rPr>
      </w:pPr>
      <w:r>
        <w:rPr>
          <w:rFonts w:ascii="Times New Roman" w:hAnsi="Times New Roman" w:eastAsia="宋体" w:cs="Times New Roman"/>
          <w:bCs/>
          <w:kern w:val="0"/>
          <w:sz w:val="24"/>
          <w:szCs w:val="20"/>
        </w:rPr>
        <w:br w:type="page"/>
      </w:r>
    </w:p>
    <w:p w14:paraId="0D234075">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bookmarkStart w:id="78" w:name="_Toc2627"/>
      <w:bookmarkStart w:id="79" w:name="_Toc390614986"/>
      <w:bookmarkStart w:id="80" w:name="_Toc20245"/>
      <w:bookmarkStart w:id="81" w:name="_Toc213077625"/>
      <w:r>
        <w:rPr>
          <w:rFonts w:hint="eastAsia" w:ascii="Times New Roman" w:hAnsi="Times New Roman" w:eastAsia="宋体" w:cs="Times New Roman"/>
          <w:b/>
          <w:kern w:val="44"/>
          <w:sz w:val="32"/>
          <w:szCs w:val="20"/>
        </w:rPr>
        <w:t>第六部分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基金的募集</w:t>
      </w:r>
      <w:bookmarkEnd w:id="78"/>
      <w:bookmarkEnd w:id="79"/>
      <w:bookmarkEnd w:id="80"/>
      <w:bookmarkEnd w:id="81"/>
    </w:p>
    <w:p w14:paraId="1C6C832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本基金由基金管理人依照《基金法》、《运作办法》、《销售办法》、《流动性风险管理规定》、基金合同及其他有关规定募集，募集申请经中国证监会</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26年4月29日证监许可【</w:t>
      </w:r>
      <w:r>
        <w:rPr>
          <w:rFonts w:ascii="Times New Roman" w:hAnsi="Times New Roman" w:eastAsia="宋体" w:cs="Times New Roman"/>
          <w:sz w:val="24"/>
          <w:szCs w:val="24"/>
        </w:rPr>
        <w:t>202</w:t>
      </w:r>
      <w:r>
        <w:rPr>
          <w:rFonts w:hint="eastAsia" w:ascii="Times New Roman" w:hAnsi="Times New Roman" w:eastAsia="宋体" w:cs="Times New Roman"/>
          <w:sz w:val="24"/>
          <w:szCs w:val="24"/>
        </w:rPr>
        <w:t>6】1048号文</w:t>
      </w:r>
      <w:r>
        <w:rPr>
          <w:rFonts w:ascii="Times New Roman" w:hAnsi="Times New Roman" w:eastAsia="宋体" w:cs="Times New Roman"/>
          <w:sz w:val="24"/>
          <w:szCs w:val="24"/>
        </w:rPr>
        <w:t>注册。</w:t>
      </w:r>
    </w:p>
    <w:p w14:paraId="09F1117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本基金的类别为混合型证券投资基金。</w:t>
      </w:r>
    </w:p>
    <w:p w14:paraId="0036E975">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本基金的运作方式为</w:t>
      </w:r>
      <w:r>
        <w:rPr>
          <w:rFonts w:ascii="Times New Roman" w:hAnsi="Times New Roman" w:eastAsia="宋体" w:cs="Times New Roman"/>
          <w:bCs/>
          <w:sz w:val="24"/>
          <w:szCs w:val="24"/>
        </w:rPr>
        <w:t>契约型开</w:t>
      </w:r>
      <w:r>
        <w:rPr>
          <w:rFonts w:hint="eastAsia" w:ascii="Times New Roman" w:hAnsi="Times New Roman" w:eastAsia="宋体" w:cs="Times New Roman"/>
          <w:bCs/>
          <w:sz w:val="24"/>
          <w:szCs w:val="24"/>
        </w:rPr>
        <w:t>放</w:t>
      </w:r>
      <w:r>
        <w:rPr>
          <w:rFonts w:ascii="Times New Roman" w:hAnsi="Times New Roman" w:eastAsia="宋体" w:cs="Times New Roman"/>
          <w:bCs/>
          <w:sz w:val="24"/>
          <w:szCs w:val="24"/>
        </w:rPr>
        <w:t>式</w:t>
      </w:r>
      <w:r>
        <w:rPr>
          <w:rFonts w:hint="eastAsia" w:ascii="Times New Roman" w:hAnsi="Times New Roman" w:eastAsia="宋体" w:cs="Times New Roman"/>
          <w:sz w:val="24"/>
          <w:szCs w:val="24"/>
        </w:rPr>
        <w:t>。</w:t>
      </w:r>
    </w:p>
    <w:p w14:paraId="55A6D2F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基金存续期限为不定期。</w:t>
      </w:r>
    </w:p>
    <w:p w14:paraId="7BF8470A">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w:t>
      </w:r>
      <w:r>
        <w:rPr>
          <w:rFonts w:ascii="Times New Roman" w:hAnsi="Times New Roman" w:eastAsia="宋体" w:cs="Times New Roman"/>
          <w:b/>
          <w:bCs/>
          <w:sz w:val="24"/>
          <w:szCs w:val="24"/>
        </w:rPr>
        <w:t>募集期</w:t>
      </w:r>
    </w:p>
    <w:p w14:paraId="7ECA35C7">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自基金份额发售之日起最长不得超过3个月，具体发售时间见基金份额发售公告。</w:t>
      </w:r>
    </w:p>
    <w:p w14:paraId="2E7E09E8">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基金管理人可根据基金销售情况在募集期限内适当延长或缩短基金发售时间，并及时公告。</w:t>
      </w:r>
    </w:p>
    <w:p w14:paraId="344ED170">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w:t>
      </w:r>
      <w:r>
        <w:rPr>
          <w:rFonts w:ascii="Times New Roman" w:hAnsi="Times New Roman" w:eastAsia="宋体" w:cs="Times New Roman"/>
          <w:b/>
          <w:bCs/>
          <w:sz w:val="24"/>
          <w:szCs w:val="24"/>
        </w:rPr>
        <w:t>发售对象</w:t>
      </w:r>
    </w:p>
    <w:p w14:paraId="4EC58C74">
      <w:pPr>
        <w:widowControl/>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符合法律法规规定的可投资于证券投资基金的个人投资者、机构投资者、合格境外投资者以及法律法规或中国证监会允许购买证券投资基金的其他投资者。</w:t>
      </w:r>
    </w:p>
    <w:p w14:paraId="1A544C44">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三、基金的最低募集份额总额和募集金额</w:t>
      </w:r>
    </w:p>
    <w:p w14:paraId="38FB4EC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本基金的最低募集份额总额为2亿份，最低募集金额为2亿元人民币。</w:t>
      </w:r>
    </w:p>
    <w:p w14:paraId="1C0A41D3">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发售方式</w:t>
      </w:r>
    </w:p>
    <w:p w14:paraId="508BF619">
      <w:pPr>
        <w:widowControl/>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通过各销售机构的基金销售网点公开发售，各销售机构的具体名单见基金份额发售公告及基金管理人网站。</w:t>
      </w:r>
    </w:p>
    <w:p w14:paraId="246CEAA3">
      <w:pPr>
        <w:widowControl/>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五、基金份额类别设置</w:t>
      </w:r>
    </w:p>
    <w:p w14:paraId="2EE88858">
      <w:pPr>
        <w:spacing w:line="360" w:lineRule="auto"/>
        <w:ind w:firstLine="480" w:firstLineChars="200"/>
        <w:rPr>
          <w:rFonts w:ascii="Times New Roman" w:hAnsi="Times New Roman" w:eastAsia="宋体" w:cs="Times New Roman"/>
          <w:bCs/>
          <w:sz w:val="24"/>
          <w:szCs w:val="24"/>
        </w:rPr>
      </w:pPr>
      <w:bookmarkStart w:id="82" w:name="OLE_LINK17"/>
      <w:bookmarkStart w:id="83" w:name="OLE_LINK15"/>
      <w:bookmarkStart w:id="84" w:name="OLE_LINK16"/>
      <w:r>
        <w:rPr>
          <w:rFonts w:hint="eastAsia" w:ascii="Times New Roman" w:hAnsi="Times New Roman" w:eastAsia="宋体" w:cs="Times New Roman"/>
          <w:bCs/>
          <w:sz w:val="24"/>
          <w:szCs w:val="24"/>
        </w:rPr>
        <w:t>本基金根据认购费、申购费、销售服务费等费率收费差异，将基金份额分为不同的类别，分别设置代码、分别计算和公告基金份额净值和基金份额累计净值。</w:t>
      </w:r>
    </w:p>
    <w:p w14:paraId="29C36E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基金份额类别包括A类基金份额和C类基金份额。A类基金份额是在投资者认/申购时收取认/申购费，在赎回时根据持有期限收取赎回费，但不再从本类别基金财产中计提销售服务费的一类基金份额；C类基金份额是在投资者认/申购时不收取认/申购费、但在赎回时根据持有期限收取赎回费且从本类别基金财产中计提并根据持有期限收取销售服务费的一类基金份额。</w:t>
      </w:r>
    </w:p>
    <w:p w14:paraId="4967EA1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投资者通过直销机构认（申）购本基金的，不收取认（申）购费、销售服务费。</w:t>
      </w:r>
    </w:p>
    <w:p w14:paraId="3B3622E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投资者在认购、申购基金份额时可自行选择基金份额类别。</w:t>
      </w:r>
    </w:p>
    <w:p w14:paraId="5D4922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bookmarkEnd w:id="82"/>
    <w:bookmarkEnd w:id="83"/>
    <w:bookmarkEnd w:id="84"/>
    <w:p w14:paraId="59C5A5F0">
      <w:pPr>
        <w:widowControl/>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六、认购原则</w:t>
      </w:r>
    </w:p>
    <w:p w14:paraId="0E7BD1C4">
      <w:pPr>
        <w:widowControl/>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、投资者认购时，需按销售机构规定的方式全额缴款</w:t>
      </w:r>
      <w:r>
        <w:rPr>
          <w:rFonts w:ascii="Times New Roman" w:hAnsi="Times New Roman" w:eastAsia="宋体" w:cs="Times New Roman"/>
          <w:bCs/>
          <w:sz w:val="24"/>
          <w:szCs w:val="24"/>
        </w:rPr>
        <w:t>。</w:t>
      </w:r>
    </w:p>
    <w:p w14:paraId="3F2AFD0F">
      <w:pPr>
        <w:widowControl/>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bCs/>
          <w:color w:val="000000"/>
          <w:sz w:val="24"/>
          <w:szCs w:val="24"/>
        </w:rPr>
        <w:t>投资者在募集期内可以多次认购基金份额，通过直销机构认购A类基金份额的不收取认购费，通过代销机构认购A类基金份额的认购费用按每笔A类基金份额的认购申请单独计算，但已受理的认购申请不允许撤销。</w:t>
      </w:r>
    </w:p>
    <w:p w14:paraId="428C4851">
      <w:pPr>
        <w:widowControl/>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szCs w:val="24"/>
        </w:rPr>
        <w:t>3、</w:t>
      </w:r>
      <w:bookmarkStart w:id="85" w:name="OLE_LINK71"/>
      <w:r>
        <w:rPr>
          <w:rFonts w:hint="eastAsia" w:ascii="Times New Roman" w:hAnsi="Times New Roman" w:eastAsia="宋体" w:cs="Times New Roman"/>
          <w:sz w:val="24"/>
          <w:szCs w:val="24"/>
        </w:rPr>
        <w:t>基金销售机构对认购申请的受理并不代表该申请一定成功，而仅代表销售机构确实接收到认购申请。认购申请的确认以登记机构的确认结果为准。对于认购申请及认购份额的确认情况，投资者应及时查询并妥善行使合法权利。如投资者怠于履行该项查询等各项义务，因此产生的损失由投资者自行承担</w:t>
      </w:r>
      <w:bookmarkEnd w:id="85"/>
      <w:r>
        <w:rPr>
          <w:rFonts w:hint="eastAsia" w:ascii="Times New Roman" w:hAnsi="Times New Roman" w:eastAsia="宋体" w:cs="Times New Roman"/>
          <w:sz w:val="24"/>
          <w:szCs w:val="24"/>
        </w:rPr>
        <w:t>。</w:t>
      </w:r>
    </w:p>
    <w:p w14:paraId="1ABF330E">
      <w:pPr>
        <w:widowControl/>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七、认购费用</w:t>
      </w:r>
    </w:p>
    <w:p w14:paraId="34165B94">
      <w:pPr>
        <w:widowControl/>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投资者通过直销机构认购本基金的，不收取认购费。</w:t>
      </w:r>
    </w:p>
    <w:p w14:paraId="58C41F25">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投资者通过代销机构认购本基金的，本基金A类基金份额收取认购费用，C类基金份额不收取认购费用。募集期内投资者可以多次认购本基金，A类基金份额的认购费用按每笔A类基金份额的认购申请单独计算。各销售机构销售的份额类别以其业务规定为准，敬请投资者留意。</w:t>
      </w:r>
    </w:p>
    <w:p w14:paraId="76EBBB3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通过代销机构认购本基金A类基金份额的认购费率具体如下：</w:t>
      </w:r>
    </w:p>
    <w:tbl>
      <w:tblPr>
        <w:tblStyle w:val="42"/>
        <w:tblW w:w="6035" w:type="dxa"/>
        <w:jc w:val="center"/>
        <w:tblLayout w:type="fixed"/>
        <w:tblCellMar>
          <w:top w:w="0" w:type="dxa"/>
          <w:left w:w="0" w:type="dxa"/>
          <w:bottom w:w="0" w:type="dxa"/>
          <w:right w:w="0" w:type="dxa"/>
        </w:tblCellMar>
      </w:tblPr>
      <w:tblGrid>
        <w:gridCol w:w="3174"/>
        <w:gridCol w:w="2861"/>
      </w:tblGrid>
      <w:tr w14:paraId="1A05E82E">
        <w:tblPrEx>
          <w:tblCellMar>
            <w:top w:w="0" w:type="dxa"/>
            <w:left w:w="0" w:type="dxa"/>
            <w:bottom w:w="0" w:type="dxa"/>
            <w:right w:w="0" w:type="dxa"/>
          </w:tblCellMar>
        </w:tblPrEx>
        <w:trPr>
          <w:trHeight w:val="244" w:hRule="atLeast"/>
          <w:jc w:val="center"/>
        </w:trPr>
        <w:tc>
          <w:tcPr>
            <w:tcW w:w="31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7AE31C">
            <w:pPr>
              <w:autoSpaceDE w:val="0"/>
              <w:autoSpaceDN w:val="0"/>
              <w:adjustRightInd w:val="0"/>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认购金额</w:t>
            </w:r>
            <w:r>
              <w:rPr>
                <w:rFonts w:ascii="Times New Roman" w:hAnsi="Times New Roman" w:eastAsia="宋体" w:cs="Times New Roman"/>
                <w:b/>
                <w:bCs/>
                <w:kern w:val="0"/>
                <w:sz w:val="24"/>
                <w:szCs w:val="24"/>
              </w:rPr>
              <w:t>M</w:t>
            </w:r>
            <w:r>
              <w:rPr>
                <w:rFonts w:hint="eastAsia" w:ascii="Times New Roman" w:hAnsi="Times New Roman" w:eastAsia="宋体" w:cs="Times New Roman"/>
                <w:b/>
                <w:bCs/>
                <w:kern w:val="0"/>
                <w:sz w:val="24"/>
                <w:szCs w:val="24"/>
              </w:rPr>
              <w:t>（含认购费）</w:t>
            </w:r>
          </w:p>
        </w:tc>
        <w:tc>
          <w:tcPr>
            <w:tcW w:w="286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1677BD2">
            <w:pPr>
              <w:jc w:val="center"/>
              <w:rPr>
                <w:rFonts w:ascii="Times New Roman" w:hAnsi="Times New Roman" w:eastAsia="宋体" w:cs="Times New Roman"/>
                <w:b/>
                <w:bCs/>
                <w:sz w:val="18"/>
                <w:szCs w:val="18"/>
              </w:rPr>
            </w:pPr>
            <w:r>
              <w:rPr>
                <w:rFonts w:hint="eastAsia" w:ascii="Times New Roman" w:hAnsi="Times New Roman" w:eastAsia="宋体" w:cs="Times New Roman"/>
                <w:b/>
                <w:bCs/>
                <w:kern w:val="0"/>
                <w:sz w:val="24"/>
                <w:szCs w:val="24"/>
              </w:rPr>
              <w:t>认购费率</w:t>
            </w:r>
          </w:p>
        </w:tc>
      </w:tr>
      <w:tr w14:paraId="391BB5B9">
        <w:tblPrEx>
          <w:tblCellMar>
            <w:top w:w="0" w:type="dxa"/>
            <w:left w:w="0" w:type="dxa"/>
            <w:bottom w:w="0" w:type="dxa"/>
            <w:right w:w="0" w:type="dxa"/>
          </w:tblCellMar>
        </w:tblPrEx>
        <w:trPr>
          <w:trHeight w:val="244" w:hRule="atLeast"/>
          <w:jc w:val="center"/>
        </w:trPr>
        <w:tc>
          <w:tcPr>
            <w:tcW w:w="31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A8EBB9">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M</w:t>
            </w:r>
            <w:r>
              <w:rPr>
                <w:rFonts w:ascii="宋体" w:hAnsi="宋体" w:eastAsia="宋体" w:cs="Times New Roman"/>
                <w:kern w:val="0"/>
                <w:sz w:val="24"/>
                <w:szCs w:val="24"/>
              </w:rPr>
              <w:t>＜</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00</w:t>
            </w:r>
            <w:r>
              <w:rPr>
                <w:rFonts w:ascii="宋体" w:hAnsi="宋体" w:eastAsia="宋体" w:cs="Times New Roman"/>
                <w:kern w:val="0"/>
                <w:sz w:val="24"/>
                <w:szCs w:val="24"/>
              </w:rPr>
              <w:t>万元</w:t>
            </w:r>
          </w:p>
        </w:tc>
        <w:tc>
          <w:tcPr>
            <w:tcW w:w="286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E680F32">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0.50%</w:t>
            </w:r>
          </w:p>
        </w:tc>
      </w:tr>
      <w:tr w14:paraId="23337C37">
        <w:tblPrEx>
          <w:tblCellMar>
            <w:top w:w="0" w:type="dxa"/>
            <w:left w:w="0" w:type="dxa"/>
            <w:bottom w:w="0" w:type="dxa"/>
            <w:right w:w="0" w:type="dxa"/>
          </w:tblCellMar>
        </w:tblPrEx>
        <w:trPr>
          <w:trHeight w:val="244" w:hRule="atLeast"/>
          <w:jc w:val="center"/>
        </w:trPr>
        <w:tc>
          <w:tcPr>
            <w:tcW w:w="31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1F5FD68">
            <w:pPr>
              <w:autoSpaceDE w:val="0"/>
              <w:autoSpaceDN w:val="0"/>
              <w:adjustRightInd w:val="0"/>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500万元≤M＜1000万元</w:t>
            </w:r>
          </w:p>
        </w:tc>
        <w:tc>
          <w:tcPr>
            <w:tcW w:w="286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50746CA">
            <w:pPr>
              <w:autoSpaceDE w:val="0"/>
              <w:autoSpaceDN w:val="0"/>
              <w:adjustRightInd w:val="0"/>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r>
              <w:rPr>
                <w:rFonts w:ascii="Times New Roman" w:hAnsi="Times New Roman" w:eastAsia="宋体" w:cs="Times New Roman"/>
                <w:kern w:val="0"/>
                <w:sz w:val="24"/>
                <w:szCs w:val="24"/>
              </w:rPr>
              <w:t>.40%</w:t>
            </w:r>
          </w:p>
        </w:tc>
      </w:tr>
      <w:tr w14:paraId="1046CFAF">
        <w:tblPrEx>
          <w:tblCellMar>
            <w:top w:w="0" w:type="dxa"/>
            <w:left w:w="0" w:type="dxa"/>
            <w:bottom w:w="0" w:type="dxa"/>
            <w:right w:w="0" w:type="dxa"/>
          </w:tblCellMar>
        </w:tblPrEx>
        <w:trPr>
          <w:trHeight w:val="244" w:hRule="atLeast"/>
          <w:jc w:val="center"/>
        </w:trPr>
        <w:tc>
          <w:tcPr>
            <w:tcW w:w="31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E66498">
            <w:pPr>
              <w:autoSpaceDE w:val="0"/>
              <w:autoSpaceDN w:val="0"/>
              <w:adjustRightInd w:val="0"/>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M≥</w:t>
            </w:r>
            <w:r>
              <w:rPr>
                <w:rFonts w:ascii="Times New Roman" w:hAnsi="Times New Roman" w:eastAsia="宋体" w:cs="Times New Roman"/>
                <w:kern w:val="0"/>
                <w:sz w:val="24"/>
                <w:szCs w:val="24"/>
              </w:rPr>
              <w:t>1000万元</w:t>
            </w:r>
          </w:p>
        </w:tc>
        <w:tc>
          <w:tcPr>
            <w:tcW w:w="286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DADD163">
            <w:pPr>
              <w:autoSpaceDE w:val="0"/>
              <w:autoSpaceDN w:val="0"/>
              <w:adjustRightInd w:val="0"/>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1000元/笔</w:t>
            </w:r>
          </w:p>
        </w:tc>
      </w:tr>
    </w:tbl>
    <w:p w14:paraId="079A24D9">
      <w:pPr>
        <w:autoSpaceDE w:val="0"/>
        <w:autoSpaceDN w:val="0"/>
        <w:adjustRightInd w:val="0"/>
        <w:spacing w:line="360" w:lineRule="auto"/>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sz w:val="24"/>
          <w:szCs w:val="24"/>
        </w:rPr>
        <w:t>A类基金份额的</w:t>
      </w:r>
      <w:r>
        <w:rPr>
          <w:rFonts w:ascii="Times New Roman" w:hAnsi="Times New Roman" w:eastAsia="宋体" w:cs="Times New Roman"/>
          <w:kern w:val="0"/>
          <w:sz w:val="24"/>
          <w:szCs w:val="24"/>
        </w:rPr>
        <w:t>认购费用用于本基金的市场推广、销售等募集期间发生的各项费用，不列入基金资产。</w:t>
      </w:r>
    </w:p>
    <w:p w14:paraId="3F845C1E">
      <w:pPr>
        <w:widowControl/>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4"/>
        </w:rPr>
        <w:t>认购期认购资金及利息的处理方式</w:t>
      </w:r>
    </w:p>
    <w:p w14:paraId="53CEC91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基金管理人应将基金募集期间募集的资金存入专门账户，在基金募集行为结束前，任何人不得动用。</w:t>
      </w:r>
      <w:r>
        <w:rPr>
          <w:rFonts w:hint="eastAsia" w:ascii="Times New Roman" w:hAnsi="Times New Roman" w:eastAsia="宋体" w:cs="Times New Roman"/>
          <w:sz w:val="24"/>
          <w:szCs w:val="24"/>
        </w:rPr>
        <w:t>有效认购款项在募集期间产生的利息将折算为相应类别的基金份额归基金份额持有人所有，其中利息转份额的具体数额以登记机构的记录为准。</w:t>
      </w:r>
    </w:p>
    <w:p w14:paraId="3F0510D5">
      <w:pPr>
        <w:widowControl/>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九、</w:t>
      </w:r>
      <w:r>
        <w:rPr>
          <w:rFonts w:ascii="Times New Roman" w:hAnsi="Times New Roman" w:eastAsia="宋体" w:cs="Times New Roman"/>
          <w:b/>
          <w:sz w:val="24"/>
          <w:szCs w:val="24"/>
        </w:rPr>
        <w:t>基金认购份额的计算</w:t>
      </w:r>
    </w:p>
    <w:p w14:paraId="40638BE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1、本基金基金份额发售面值为人民币1.00元。投资者通过直销机构认购本基金的，不收取认购费用。投资者通过代销机构认购本基金A类基金份额收取认购费用，认购C类基金份额不收取认购费用。</w:t>
      </w:r>
    </w:p>
    <w:p w14:paraId="45FBE70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2、基金认购采用金额认购的方式。</w:t>
      </w:r>
    </w:p>
    <w:p w14:paraId="6BDBC36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（1）若投资者通过直销机构认购本基金A类基金份额：</w:t>
      </w:r>
    </w:p>
    <w:p w14:paraId="68E40C8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认购份额＝（认购金额＋认购利息）/基金份额发售面值</w:t>
      </w:r>
    </w:p>
    <w:p w14:paraId="0FC257A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例：某投资者通过直销机构投资100,000元认购本基金A类基金份额，假定募集期产生的利息为55.00元，则可认购A类基金份额为：</w:t>
      </w:r>
    </w:p>
    <w:p w14:paraId="2DA9D17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认购份额＝（100,000＋55.00）/1.00＝100,055.00份</w:t>
      </w:r>
    </w:p>
    <w:p w14:paraId="66D5078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即：该投资者通过直销机构投资100,000元认购本基金A类基金份额，假定募集期产生的利息为55.00元，则可得到100,055.00份A类基金份额。</w:t>
      </w:r>
    </w:p>
    <w:p w14:paraId="4E0B8DB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（2）若投资者通过代销机构认购本基金A类基金份额：</w:t>
      </w:r>
    </w:p>
    <w:p w14:paraId="2C48661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基金的认购金额包括认购费用和净认购金额。</w:t>
      </w:r>
    </w:p>
    <w:p w14:paraId="70808A0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当认购费用适用比例费率时，认购份额的计算方法如下：</w:t>
      </w:r>
    </w:p>
    <w:p w14:paraId="0E3CA91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净认购金额＝认购金额/（1+认购费率）</w:t>
      </w:r>
    </w:p>
    <w:p w14:paraId="483033D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认购费用＝认购金额－净认购金额</w:t>
      </w:r>
    </w:p>
    <w:p w14:paraId="7C42BB4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认购份额＝（净认购金额+认购利息）/基金份额发售面值</w:t>
      </w:r>
    </w:p>
    <w:p w14:paraId="2717F87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当认购费用为固定金额时，认购份额的计算方法如下：</w:t>
      </w:r>
    </w:p>
    <w:p w14:paraId="5DA3234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认购费用＝固定金额</w:t>
      </w:r>
    </w:p>
    <w:p w14:paraId="568D29E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净认购金额＝认购金额－认购费用</w:t>
      </w:r>
    </w:p>
    <w:p w14:paraId="008DEF0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认购份额＝（净认购金额+认购利息）/基金份额发售面值</w:t>
      </w:r>
    </w:p>
    <w:p w14:paraId="601753B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例：某投资者通过代销机构投资100,000元认购本基金A类基金份额，则对应的认购费率为0.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0%，假定募集期产生的利息为55.00元，则可认购A类基金份额为：</w:t>
      </w:r>
    </w:p>
    <w:p w14:paraId="79F305C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净认购金额＝100,000/（1＋0.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0%）＝9</w:t>
      </w:r>
      <w:r>
        <w:rPr>
          <w:rFonts w:ascii="Times New Roman" w:hAnsi="Times New Roman" w:eastAsia="宋体" w:cs="Times New Roman"/>
          <w:sz w:val="24"/>
          <w:szCs w:val="24"/>
        </w:rPr>
        <w:t>9,502.49</w:t>
      </w:r>
      <w:r>
        <w:rPr>
          <w:rFonts w:hint="eastAsia" w:ascii="Times New Roman" w:hAnsi="Times New Roman" w:eastAsia="宋体" w:cs="Times New Roman"/>
          <w:sz w:val="24"/>
          <w:szCs w:val="24"/>
        </w:rPr>
        <w:t>元</w:t>
      </w:r>
    </w:p>
    <w:p w14:paraId="7B3132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认购费用＝100,000-9</w:t>
      </w:r>
      <w:r>
        <w:rPr>
          <w:rFonts w:ascii="Times New Roman" w:hAnsi="Times New Roman" w:eastAsia="宋体" w:cs="Times New Roman"/>
          <w:sz w:val="24"/>
          <w:szCs w:val="24"/>
        </w:rPr>
        <w:t>9,502.49</w:t>
      </w:r>
      <w:r>
        <w:rPr>
          <w:rFonts w:hint="eastAsia" w:ascii="Times New Roman" w:hAnsi="Times New Roman" w:eastAsia="宋体" w:cs="Times New Roman"/>
          <w:sz w:val="24"/>
          <w:szCs w:val="24"/>
        </w:rPr>
        <w:t>＝4</w:t>
      </w:r>
      <w:r>
        <w:rPr>
          <w:rFonts w:ascii="Times New Roman" w:hAnsi="Times New Roman" w:eastAsia="宋体" w:cs="Times New Roman"/>
          <w:sz w:val="24"/>
          <w:szCs w:val="24"/>
        </w:rPr>
        <w:t>97.51</w:t>
      </w:r>
      <w:r>
        <w:rPr>
          <w:rFonts w:hint="eastAsia" w:ascii="Times New Roman" w:hAnsi="Times New Roman" w:eastAsia="宋体" w:cs="Times New Roman"/>
          <w:sz w:val="24"/>
          <w:szCs w:val="24"/>
        </w:rPr>
        <w:t>元</w:t>
      </w:r>
    </w:p>
    <w:p w14:paraId="297113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认购份额＝（9</w:t>
      </w:r>
      <w:r>
        <w:rPr>
          <w:rFonts w:ascii="Times New Roman" w:hAnsi="Times New Roman" w:eastAsia="宋体" w:cs="Times New Roman"/>
          <w:sz w:val="24"/>
          <w:szCs w:val="24"/>
        </w:rPr>
        <w:t>9,502.49</w:t>
      </w:r>
      <w:r>
        <w:rPr>
          <w:rFonts w:hint="eastAsia" w:ascii="Times New Roman" w:hAnsi="Times New Roman" w:eastAsia="宋体" w:cs="Times New Roman"/>
          <w:sz w:val="24"/>
          <w:szCs w:val="24"/>
        </w:rPr>
        <w:t>＋55.00）/1.00＝9</w:t>
      </w:r>
      <w:r>
        <w:rPr>
          <w:rFonts w:ascii="Times New Roman" w:hAnsi="Times New Roman" w:eastAsia="宋体" w:cs="Times New Roman"/>
          <w:sz w:val="24"/>
          <w:szCs w:val="24"/>
        </w:rPr>
        <w:t>9,557.49</w:t>
      </w:r>
      <w:r>
        <w:rPr>
          <w:rFonts w:hint="eastAsia" w:ascii="Times New Roman" w:hAnsi="Times New Roman" w:eastAsia="宋体" w:cs="Times New Roman"/>
          <w:sz w:val="24"/>
          <w:szCs w:val="24"/>
        </w:rPr>
        <w:t>份</w:t>
      </w:r>
    </w:p>
    <w:p w14:paraId="720B9F3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即：该投资者通过代销机构投资100,000元认购本基金A类基金份额，则对应的认购费率为0.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0%，假定募集期产生的利息为55.00元，则可得到9</w:t>
      </w:r>
      <w:r>
        <w:rPr>
          <w:rFonts w:ascii="Times New Roman" w:hAnsi="Times New Roman" w:eastAsia="宋体" w:cs="Times New Roman"/>
          <w:sz w:val="24"/>
          <w:szCs w:val="24"/>
        </w:rPr>
        <w:t>9,557.49</w:t>
      </w:r>
      <w:r>
        <w:rPr>
          <w:rFonts w:hint="eastAsia" w:ascii="Times New Roman" w:hAnsi="Times New Roman" w:eastAsia="宋体" w:cs="Times New Roman"/>
          <w:sz w:val="24"/>
          <w:szCs w:val="24"/>
        </w:rPr>
        <w:t>份A类基金份额。</w:t>
      </w:r>
    </w:p>
    <w:p w14:paraId="42E71D7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）认购本基金C类基金份额时不收取认购费用，认购份额的计算方法如下：</w:t>
      </w:r>
    </w:p>
    <w:p w14:paraId="3762A2C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认购份额＝（认购金额＋认购利息）/基金份额发售面值</w:t>
      </w:r>
    </w:p>
    <w:p w14:paraId="5E0B240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例：某投资者投资10,000元认购本基金C类基金份额，假定募集期产生的利息为3.00元，则可认购C类基金份额为：</w:t>
      </w:r>
    </w:p>
    <w:p w14:paraId="6C72E14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认购份额＝（10,000＋3.00）/1.00＝10,003.00份</w:t>
      </w:r>
    </w:p>
    <w:p w14:paraId="0E3A84B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即：该投资者投资10,000元认购本基金C类基金份额，假定募集期产生的利息为3.00元，则可得到10,003.00份C类基金份额。</w:t>
      </w:r>
    </w:p>
    <w:p w14:paraId="760150D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）上述计算结果均按四舍五入方法，保留到小数点后2位，由此产生的收益或损失由基金财产承担。</w:t>
      </w:r>
    </w:p>
    <w:p w14:paraId="5B62818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十、</w:t>
      </w:r>
      <w:r>
        <w:rPr>
          <w:rFonts w:ascii="Times New Roman" w:hAnsi="Times New Roman" w:eastAsia="宋体" w:cs="Times New Roman"/>
          <w:b/>
          <w:sz w:val="24"/>
          <w:szCs w:val="24"/>
        </w:rPr>
        <w:t>基金认购金额的限制</w:t>
      </w:r>
    </w:p>
    <w:p w14:paraId="6D107DF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基金管理人规定，本基金的认购金额起点为人民币10元。</w:t>
      </w:r>
    </w:p>
    <w:p w14:paraId="2CBE8AE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投资者通过销售机构认购本基金时，除需满足基金管理人最低认购金额限制外，当销售机构设定的最低金额高于上述金额限制时，投资者还应遵循相关销售机构的业务规定。</w:t>
      </w:r>
    </w:p>
    <w:p w14:paraId="24E4D0D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基金管理人直销网点接受首次认购申请的最低金额为单笔人民币50,000元，追加认购的最低金额为单笔人民币20,000元。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10元，追加认购的单笔最低认购金额为人民币10元。</w:t>
      </w:r>
    </w:p>
    <w:p w14:paraId="792D602F">
      <w:pPr>
        <w:widowControl/>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十一、</w:t>
      </w:r>
      <w:r>
        <w:rPr>
          <w:rFonts w:ascii="Times New Roman" w:hAnsi="Times New Roman" w:eastAsia="宋体" w:cs="Times New Roman"/>
          <w:b/>
          <w:sz w:val="24"/>
          <w:szCs w:val="24"/>
        </w:rPr>
        <w:t>基金份额的认购和持有限额</w:t>
      </w:r>
    </w:p>
    <w:p w14:paraId="5CCFEA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2F59965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基金管理人可以对每个账户的认购和持有基金份额的限制进行调整，具体限制请参见相关公告。</w:t>
      </w:r>
    </w:p>
    <w:p w14:paraId="1A0A3D5F">
      <w:pPr>
        <w:spacing w:line="360" w:lineRule="auto"/>
        <w:ind w:firstLine="480" w:firstLineChars="200"/>
        <w:rPr>
          <w:rFonts w:ascii="Times New Roman" w:hAnsi="Times New Roman" w:eastAsia="宋体" w:cs="Times New Roman"/>
          <w:sz w:val="24"/>
          <w:szCs w:val="24"/>
        </w:rPr>
        <w:sectPr>
          <w:pgSz w:w="11906" w:h="16838"/>
          <w:pgMar w:top="1440" w:right="1826" w:bottom="1440" w:left="1622" w:header="851" w:footer="992" w:gutter="0"/>
          <w:cols w:space="425" w:num="1"/>
          <w:docGrid w:type="lines" w:linePitch="312" w:charSpace="0"/>
        </w:sectPr>
      </w:pPr>
    </w:p>
    <w:p w14:paraId="7CEC1869">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bookmarkStart w:id="86" w:name="_Toc28041"/>
      <w:bookmarkStart w:id="87" w:name="_Toc25191"/>
      <w:bookmarkStart w:id="88" w:name="_Toc213077626"/>
      <w:r>
        <w:rPr>
          <w:rFonts w:hint="eastAsia" w:ascii="Times New Roman" w:hAnsi="Times New Roman" w:eastAsia="宋体" w:cs="Times New Roman"/>
          <w:b/>
          <w:kern w:val="0"/>
          <w:sz w:val="32"/>
          <w:szCs w:val="20"/>
        </w:rPr>
        <w:t>第七部分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基金合同的生效</w:t>
      </w:r>
      <w:bookmarkEnd w:id="86"/>
      <w:bookmarkEnd w:id="87"/>
      <w:bookmarkEnd w:id="88"/>
    </w:p>
    <w:p w14:paraId="087172ED">
      <w:pPr>
        <w:spacing w:line="360" w:lineRule="auto"/>
        <w:ind w:firstLine="482" w:firstLineChars="200"/>
        <w:rPr>
          <w:rFonts w:ascii="Times New Roman" w:hAnsi="Times New Roman" w:eastAsia="宋体" w:cs="Times New Roman"/>
          <w:b/>
          <w:bCs/>
          <w:sz w:val="24"/>
          <w:szCs w:val="24"/>
        </w:rPr>
      </w:pPr>
      <w:bookmarkStart w:id="89" w:name="_Hlk68182508"/>
      <w:r>
        <w:rPr>
          <w:rFonts w:ascii="宋体" w:hAnsi="宋体" w:eastAsia="宋体" w:cs="Times New Roman"/>
          <w:b/>
          <w:bCs/>
          <w:sz w:val="24"/>
          <w:szCs w:val="24"/>
        </w:rPr>
        <w:t>一、基金备案的条件</w:t>
      </w:r>
    </w:p>
    <w:p w14:paraId="09A92A9D">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15FBBFD5">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5FB157C">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二、基金合同不能生效时募集资金的处理方式</w:t>
      </w:r>
    </w:p>
    <w:p w14:paraId="703F263E">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如果募集期限届满，未满足基金备案条件，基金管理人应当承担下列责任：</w:t>
      </w:r>
    </w:p>
    <w:p w14:paraId="41AB143B">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1、以其固有财产承担因募集行为而产生的债务和费用；</w:t>
      </w:r>
    </w:p>
    <w:p w14:paraId="5B33F113">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2、在基金募集期限届满后30日内返还投资者已交纳的款项，并加计银行同期活期存款利息；</w:t>
      </w:r>
    </w:p>
    <w:p w14:paraId="4C46F24F">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3、如基金募集失败，基金管理人、基金托管人及销售机构不得请求报酬。基金管理人、基金托管人和销售机构为基金募集支付之一切费用应由各方各自承担。</w:t>
      </w:r>
    </w:p>
    <w:p w14:paraId="58CA90B9">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三、基金存续期内的基金份额持有人数量和资产规模</w:t>
      </w:r>
    </w:p>
    <w:p w14:paraId="6007D304">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028F05E3">
      <w:pPr>
        <w:spacing w:line="360" w:lineRule="auto"/>
        <w:ind w:firstLine="480" w:firstLineChars="200"/>
        <w:rPr>
          <w:rFonts w:ascii="Times New Roman" w:hAnsi="Times New Roman" w:eastAsia="宋体" w:cs="Times New Roman"/>
          <w:szCs w:val="21"/>
        </w:rPr>
      </w:pPr>
      <w:r>
        <w:rPr>
          <w:rFonts w:hint="eastAsia" w:ascii="宋体" w:hAnsi="宋体" w:eastAsia="宋体" w:cs="Times New Roman"/>
          <w:bCs/>
          <w:sz w:val="24"/>
          <w:szCs w:val="24"/>
        </w:rPr>
        <w:t>法律法规或中国证监会另有规定时，从其规定。</w:t>
      </w:r>
    </w:p>
    <w:p w14:paraId="43E189C4">
      <w:pPr>
        <w:spacing w:line="360" w:lineRule="auto"/>
        <w:ind w:firstLine="480" w:firstLineChars="200"/>
        <w:rPr>
          <w:rFonts w:ascii="Times New Roman" w:hAnsi="Times New Roman" w:eastAsia="宋体" w:cs="Times New Roman"/>
          <w:bCs/>
          <w:sz w:val="24"/>
          <w:szCs w:val="24"/>
        </w:rPr>
      </w:pPr>
    </w:p>
    <w:bookmarkEnd w:id="89"/>
    <w:p w14:paraId="3E6EF5CE">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r>
        <w:rPr>
          <w:rFonts w:ascii="Times New Roman" w:hAnsi="Times New Roman" w:eastAsia="宋体" w:cs="Times New Roman"/>
          <w:b/>
          <w:bCs/>
          <w:kern w:val="44"/>
          <w:sz w:val="24"/>
          <w:szCs w:val="20"/>
        </w:rPr>
        <w:br w:type="page"/>
      </w:r>
      <w:bookmarkStart w:id="90" w:name="_Toc2602"/>
      <w:bookmarkStart w:id="91" w:name="_Toc9252"/>
      <w:bookmarkStart w:id="92" w:name="_Toc213077627"/>
      <w:bookmarkStart w:id="93" w:name="_Hlk58005583"/>
      <w:r>
        <w:rPr>
          <w:rFonts w:hint="eastAsia" w:ascii="Times New Roman" w:hAnsi="Times New Roman" w:eastAsia="宋体" w:cs="Times New Roman"/>
          <w:b/>
          <w:kern w:val="44"/>
          <w:sz w:val="32"/>
          <w:szCs w:val="20"/>
        </w:rPr>
        <w:t>第八部分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基金份额的申购与赎回</w:t>
      </w:r>
      <w:bookmarkEnd w:id="90"/>
      <w:bookmarkEnd w:id="91"/>
      <w:bookmarkEnd w:id="92"/>
    </w:p>
    <w:p w14:paraId="41D8A2E6">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一</w:t>
      </w:r>
      <w:r>
        <w:rPr>
          <w:rFonts w:ascii="宋体" w:hAnsi="宋体" w:eastAsia="宋体" w:cs="Times New Roman"/>
          <w:b/>
          <w:bCs/>
          <w:sz w:val="24"/>
          <w:szCs w:val="24"/>
        </w:rPr>
        <w:t>、申购和赎回场所</w:t>
      </w:r>
    </w:p>
    <w:p w14:paraId="2EEE1AD6">
      <w:pPr>
        <w:spacing w:line="360" w:lineRule="auto"/>
        <w:ind w:firstLine="480" w:firstLineChars="200"/>
        <w:rPr>
          <w:rFonts w:ascii="Times New Roman" w:hAnsi="Times New Roman" w:eastAsia="宋体" w:cs="Times New Roman"/>
          <w:bCs/>
          <w:szCs w:val="21"/>
        </w:rPr>
      </w:pPr>
      <w:r>
        <w:rPr>
          <w:rFonts w:ascii="宋体" w:hAnsi="宋体" w:eastAsia="宋体" w:cs="Times New Roman"/>
          <w:bCs/>
          <w:sz w:val="24"/>
          <w:szCs w:val="24"/>
        </w:rPr>
        <w:t>本基金的申购与赎回将通过销售机构进行。具体的销售</w:t>
      </w:r>
      <w:r>
        <w:rPr>
          <w:rFonts w:hint="eastAsia" w:ascii="宋体" w:hAnsi="宋体" w:eastAsia="宋体" w:cs="Times New Roman"/>
          <w:bCs/>
          <w:sz w:val="24"/>
          <w:szCs w:val="24"/>
        </w:rPr>
        <w:t>机构</w:t>
      </w:r>
      <w:r>
        <w:rPr>
          <w:rFonts w:ascii="宋体" w:hAnsi="宋体" w:eastAsia="宋体" w:cs="Times New Roman"/>
          <w:bCs/>
          <w:sz w:val="24"/>
          <w:szCs w:val="24"/>
        </w:rPr>
        <w:t>将由基金管理人在招募说明书</w:t>
      </w:r>
      <w:r>
        <w:rPr>
          <w:rFonts w:hint="eastAsia" w:ascii="宋体" w:hAnsi="宋体" w:eastAsia="宋体" w:cs="Times New Roman"/>
          <w:bCs/>
          <w:sz w:val="24"/>
          <w:szCs w:val="24"/>
        </w:rPr>
        <w:t>或其他相关公告</w:t>
      </w:r>
      <w:r>
        <w:rPr>
          <w:rFonts w:ascii="宋体" w:hAnsi="宋体" w:eastAsia="宋体" w:cs="Times New Roman"/>
          <w:bCs/>
          <w:sz w:val="24"/>
          <w:szCs w:val="24"/>
        </w:rPr>
        <w:t>中列明</w:t>
      </w:r>
      <w:r>
        <w:rPr>
          <w:rFonts w:hint="eastAsia" w:ascii="宋体" w:hAnsi="宋体" w:eastAsia="宋体" w:cs="Times New Roman"/>
          <w:bCs/>
          <w:sz w:val="24"/>
          <w:szCs w:val="24"/>
        </w:rPr>
        <w:t>，</w:t>
      </w:r>
      <w:r>
        <w:rPr>
          <w:rFonts w:ascii="宋体" w:hAnsi="宋体" w:eastAsia="宋体" w:cs="Times New Roman"/>
          <w:bCs/>
          <w:sz w:val="24"/>
          <w:szCs w:val="24"/>
        </w:rPr>
        <w:t>或在</w:t>
      </w:r>
      <w:r>
        <w:rPr>
          <w:rFonts w:hint="eastAsia" w:ascii="宋体" w:hAnsi="宋体" w:eastAsia="宋体" w:cs="Times New Roman"/>
          <w:bCs/>
          <w:sz w:val="24"/>
          <w:szCs w:val="24"/>
        </w:rPr>
        <w:t>基金管理人网站公示</w:t>
      </w:r>
      <w:r>
        <w:rPr>
          <w:rFonts w:ascii="宋体" w:hAnsi="宋体" w:eastAsia="宋体" w:cs="Times New Roman"/>
          <w:bCs/>
          <w:sz w:val="24"/>
          <w:szCs w:val="24"/>
        </w:rPr>
        <w:t>。基金管理人可根据情况变更或增减销售机构，</w:t>
      </w:r>
      <w:r>
        <w:rPr>
          <w:rFonts w:hint="eastAsia" w:ascii="宋体" w:hAnsi="宋体" w:eastAsia="宋体" w:cs="Times New Roman"/>
          <w:bCs/>
          <w:sz w:val="24"/>
          <w:szCs w:val="24"/>
        </w:rPr>
        <w:t>并在基金管理人网站公示</w:t>
      </w:r>
      <w:r>
        <w:rPr>
          <w:rFonts w:ascii="宋体" w:hAnsi="宋体" w:eastAsia="宋体" w:cs="Times New Roman"/>
          <w:bCs/>
          <w:sz w:val="24"/>
          <w:szCs w:val="24"/>
        </w:rPr>
        <w:t>。基金投资者应当</w:t>
      </w:r>
      <w:r>
        <w:rPr>
          <w:rFonts w:hint="eastAsia" w:ascii="宋体" w:hAnsi="宋体" w:eastAsia="宋体" w:cs="Times New Roman"/>
          <w:bCs/>
          <w:sz w:val="24"/>
          <w:szCs w:val="24"/>
        </w:rPr>
        <w:t>在</w:t>
      </w:r>
      <w:r>
        <w:rPr>
          <w:rFonts w:ascii="宋体" w:hAnsi="宋体" w:eastAsia="宋体" w:cs="Times New Roman"/>
          <w:bCs/>
          <w:sz w:val="24"/>
          <w:szCs w:val="24"/>
        </w:rPr>
        <w:t>销售机构办理基金销售业务的营业场所或按销售机构提供的其他方式办理基金份额的申购与赎回。</w:t>
      </w:r>
    </w:p>
    <w:p w14:paraId="7F884FF1">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二</w:t>
      </w:r>
      <w:r>
        <w:rPr>
          <w:rFonts w:ascii="宋体" w:hAnsi="宋体" w:eastAsia="宋体" w:cs="Times New Roman"/>
          <w:b/>
          <w:bCs/>
          <w:sz w:val="24"/>
          <w:szCs w:val="24"/>
        </w:rPr>
        <w:t>、申购和赎回的开放日及时间</w:t>
      </w:r>
    </w:p>
    <w:p w14:paraId="2B6FC65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宋体" w:hAnsi="宋体" w:eastAsia="宋体" w:cs="Times New Roman"/>
          <w:bCs/>
          <w:sz w:val="24"/>
          <w:szCs w:val="24"/>
        </w:rPr>
        <w:t>、</w:t>
      </w:r>
      <w:r>
        <w:rPr>
          <w:rFonts w:ascii="宋体" w:hAnsi="宋体" w:eastAsia="宋体" w:cs="Times New Roman"/>
          <w:bCs/>
          <w:sz w:val="24"/>
          <w:szCs w:val="24"/>
        </w:rPr>
        <w:t>开放日及开放时间</w:t>
      </w:r>
    </w:p>
    <w:p w14:paraId="7A18BFC2">
      <w:pPr>
        <w:spacing w:line="360" w:lineRule="auto"/>
        <w:ind w:firstLine="480" w:firstLineChars="200"/>
        <w:rPr>
          <w:rFonts w:ascii="Times New Roman" w:hAnsi="Times New Roman" w:eastAsia="宋体" w:cs="Times New Roman"/>
          <w:bCs/>
          <w:sz w:val="24"/>
          <w:szCs w:val="24"/>
        </w:rPr>
      </w:pPr>
      <w:bookmarkStart w:id="94" w:name="OLE_LINK80"/>
      <w:r>
        <w:rPr>
          <w:rFonts w:hint="eastAsia" w:ascii="宋体" w:hAnsi="宋体" w:eastAsia="宋体" w:cs="Times New Roman"/>
          <w:bCs/>
          <w:sz w:val="24"/>
          <w:szCs w:val="24"/>
        </w:rPr>
        <w:t>投资者在开放日办理基金份额的申购和赎回，具体办理时间为上海证券交易所、深圳证券交易所的正常交易日的交易时间（若本基金参与港股通交易且该工作日为非港股通交易日时，则本基金可以不开放申购和赎回等业务，具体以届时公告为准），但基金管理人根据法律法规、中国证监会的要求或基金合同的规定公告暂停申购、赎回时除外。开放日的具体业务办理时间在更新的招募说明书或相关公告中载明。</w:t>
      </w:r>
    </w:p>
    <w:bookmarkEnd w:id="94"/>
    <w:p w14:paraId="2281729C">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合同生效后，若出现不可抗力，或者新的证券/期货交易市场、证券/期货交易所交易时间变更、港股通交易规则变更、其他特殊情况或根据业务需要，基金管理人将视情况对前述开放日及开放时间进行相应的调整，但应在实施日前依照《信息披露办法》的有关规定在规定媒介上公告。</w:t>
      </w:r>
    </w:p>
    <w:p w14:paraId="5B168B5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宋体" w:hAnsi="宋体" w:eastAsia="宋体" w:cs="Times New Roman"/>
          <w:bCs/>
          <w:sz w:val="24"/>
          <w:szCs w:val="24"/>
        </w:rPr>
        <w:t>、</w:t>
      </w:r>
      <w:r>
        <w:rPr>
          <w:rFonts w:ascii="宋体" w:hAnsi="宋体" w:eastAsia="宋体" w:cs="Times New Roman"/>
          <w:bCs/>
          <w:sz w:val="24"/>
          <w:szCs w:val="24"/>
        </w:rPr>
        <w:t>申购、赎回开始日及业务办理时间</w:t>
      </w:r>
    </w:p>
    <w:p w14:paraId="0AEC32B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w:t>
      </w:r>
      <w:r>
        <w:rPr>
          <w:rFonts w:hint="eastAsia" w:ascii="宋体" w:hAnsi="宋体" w:eastAsia="宋体" w:cs="Times New Roman"/>
          <w:bCs/>
          <w:sz w:val="24"/>
          <w:szCs w:val="24"/>
        </w:rPr>
        <w:t>可根据实际情况依法决定本基金开始办理申购的具体日期</w:t>
      </w:r>
      <w:r>
        <w:rPr>
          <w:rFonts w:ascii="宋体" w:hAnsi="宋体" w:eastAsia="宋体" w:cs="Times New Roman"/>
          <w:bCs/>
          <w:sz w:val="24"/>
          <w:szCs w:val="24"/>
        </w:rPr>
        <w:t>，具体业务办理时间在</w:t>
      </w:r>
      <w:r>
        <w:rPr>
          <w:rFonts w:hint="eastAsia" w:ascii="宋体" w:hAnsi="宋体" w:eastAsia="宋体" w:cs="Times New Roman"/>
          <w:bCs/>
          <w:sz w:val="24"/>
          <w:szCs w:val="24"/>
        </w:rPr>
        <w:t>相关</w:t>
      </w:r>
      <w:r>
        <w:rPr>
          <w:rFonts w:ascii="宋体" w:hAnsi="宋体" w:eastAsia="宋体" w:cs="Times New Roman"/>
          <w:bCs/>
          <w:sz w:val="24"/>
          <w:szCs w:val="24"/>
        </w:rPr>
        <w:t>公告中规定。</w:t>
      </w:r>
    </w:p>
    <w:p w14:paraId="22627378">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基金管理人自基金合同生效之日起不超过</w:t>
      </w:r>
      <w:r>
        <w:rPr>
          <w:rFonts w:hint="eastAsia" w:ascii="Times New Roman" w:hAnsi="Times New Roman" w:eastAsia="宋体" w:cs="Times New Roman"/>
          <w:bCs/>
          <w:sz w:val="24"/>
          <w:szCs w:val="24"/>
        </w:rPr>
        <w:t>3</w:t>
      </w:r>
      <w:r>
        <w:rPr>
          <w:rFonts w:hint="eastAsia" w:ascii="宋体" w:hAnsi="宋体" w:eastAsia="宋体" w:cs="Times New Roman"/>
          <w:bCs/>
          <w:sz w:val="24"/>
          <w:szCs w:val="24"/>
        </w:rPr>
        <w:t>个月开始办理赎回，具体业务办理时间在赎回开始公告中规定。</w:t>
      </w:r>
    </w:p>
    <w:p w14:paraId="35F4860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在确定申购开始与赎回开始时间后，基金管理人应在申购、赎回开放日前依照《信息披露办法》的有关规定在规定媒介上公告申购与赎回的开始时间。</w:t>
      </w:r>
    </w:p>
    <w:p w14:paraId="00C6A6AB">
      <w:pPr>
        <w:spacing w:line="360" w:lineRule="auto"/>
        <w:ind w:firstLine="480" w:firstLineChars="200"/>
        <w:rPr>
          <w:rFonts w:ascii="Times New Roman" w:hAnsi="Times New Roman" w:eastAsia="宋体" w:cs="Times New Roman"/>
          <w:bCs/>
          <w:szCs w:val="21"/>
        </w:rPr>
      </w:pPr>
      <w:r>
        <w:rPr>
          <w:rFonts w:ascii="宋体" w:hAnsi="宋体" w:eastAsia="宋体" w:cs="Times New Roman"/>
          <w:bCs/>
          <w:sz w:val="24"/>
          <w:szCs w:val="24"/>
        </w:rPr>
        <w:t>基金管理人不得在基金合同约定之外的日期或者时间办理基金份额的申购</w:t>
      </w:r>
      <w:r>
        <w:rPr>
          <w:rFonts w:hint="eastAsia" w:ascii="宋体" w:hAnsi="宋体" w:eastAsia="宋体" w:cs="Times New Roman"/>
          <w:bCs/>
          <w:sz w:val="24"/>
          <w:szCs w:val="24"/>
        </w:rPr>
        <w:t>、</w:t>
      </w:r>
      <w:r>
        <w:rPr>
          <w:rFonts w:ascii="宋体" w:hAnsi="宋体" w:eastAsia="宋体" w:cs="Times New Roman"/>
          <w:bCs/>
          <w:sz w:val="24"/>
          <w:szCs w:val="24"/>
        </w:rPr>
        <w:t>赎回或者转换。投资者在基金合同约定之外的日期和时间提出申购、赎回或转换申请</w:t>
      </w:r>
      <w:r>
        <w:rPr>
          <w:rFonts w:hint="eastAsia" w:ascii="宋体" w:hAnsi="宋体" w:eastAsia="宋体" w:cs="Times New Roman"/>
          <w:bCs/>
          <w:sz w:val="24"/>
          <w:szCs w:val="24"/>
        </w:rPr>
        <w:t>且登记机构确认接受</w:t>
      </w:r>
      <w:r>
        <w:rPr>
          <w:rFonts w:ascii="宋体" w:hAnsi="宋体" w:eastAsia="宋体" w:cs="Times New Roman"/>
          <w:bCs/>
          <w:sz w:val="24"/>
          <w:szCs w:val="24"/>
        </w:rPr>
        <w:t>的，其基金份额申购、赎回价格为下一开放日</w:t>
      </w:r>
      <w:r>
        <w:rPr>
          <w:rFonts w:hint="eastAsia" w:ascii="宋体" w:hAnsi="宋体" w:eastAsia="宋体" w:cs="Times New Roman"/>
          <w:bCs/>
          <w:sz w:val="24"/>
          <w:szCs w:val="24"/>
        </w:rPr>
        <w:t>相应类别的</w:t>
      </w:r>
      <w:r>
        <w:rPr>
          <w:rFonts w:ascii="宋体" w:hAnsi="宋体" w:eastAsia="宋体" w:cs="Times New Roman"/>
          <w:bCs/>
          <w:sz w:val="24"/>
          <w:szCs w:val="24"/>
        </w:rPr>
        <w:t>基金份额申购、赎回的价格。</w:t>
      </w:r>
    </w:p>
    <w:p w14:paraId="5FF4A5B7">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三</w:t>
      </w:r>
      <w:r>
        <w:rPr>
          <w:rFonts w:ascii="宋体" w:hAnsi="宋体" w:eastAsia="宋体" w:cs="Times New Roman"/>
          <w:b/>
          <w:bCs/>
          <w:sz w:val="24"/>
          <w:szCs w:val="24"/>
        </w:rPr>
        <w:t>、申购与赎回的原则</w:t>
      </w:r>
    </w:p>
    <w:p w14:paraId="4786552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宋体" w:hAnsi="宋体" w:eastAsia="宋体" w:cs="Times New Roman"/>
          <w:bCs/>
          <w:sz w:val="24"/>
          <w:szCs w:val="24"/>
        </w:rPr>
        <w:t>、</w:t>
      </w:r>
      <w:r>
        <w:rPr>
          <w:rFonts w:hint="eastAsia" w:ascii="Times New Roman" w:hAnsi="Times New Roman" w:eastAsia="宋体" w:cs="Times New Roman"/>
          <w:bCs/>
          <w:sz w:val="24"/>
          <w:szCs w:val="24"/>
        </w:rPr>
        <w:t>“</w:t>
      </w:r>
      <w:r>
        <w:rPr>
          <w:rFonts w:ascii="宋体" w:hAnsi="宋体" w:eastAsia="宋体" w:cs="Times New Roman"/>
          <w:bCs/>
          <w:sz w:val="24"/>
          <w:szCs w:val="24"/>
        </w:rPr>
        <w:t>未知价</w:t>
      </w:r>
      <w:r>
        <w:rPr>
          <w:rFonts w:hint="eastAsia" w:ascii="宋体" w:hAnsi="宋体" w:eastAsia="宋体" w:cs="Times New Roman"/>
          <w:bCs/>
          <w:sz w:val="24"/>
          <w:szCs w:val="24"/>
        </w:rPr>
        <w:t>”</w:t>
      </w:r>
      <w:r>
        <w:rPr>
          <w:rFonts w:ascii="宋体" w:hAnsi="宋体" w:eastAsia="宋体" w:cs="Times New Roman"/>
          <w:bCs/>
          <w:sz w:val="24"/>
          <w:szCs w:val="24"/>
        </w:rPr>
        <w:t>原则，即申购、赎回价格以申请当日收市后计算的该类基金份额净值为基准进行计算；</w:t>
      </w:r>
    </w:p>
    <w:p w14:paraId="077D2E7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宋体" w:hAnsi="宋体" w:eastAsia="宋体" w:cs="Times New Roman"/>
          <w:bCs/>
          <w:sz w:val="24"/>
          <w:szCs w:val="24"/>
        </w:rPr>
        <w:t>、</w:t>
      </w:r>
      <w:r>
        <w:rPr>
          <w:rFonts w:hint="eastAsia" w:ascii="Times New Roman" w:hAnsi="Times New Roman" w:eastAsia="宋体" w:cs="Times New Roman"/>
          <w:bCs/>
          <w:sz w:val="24"/>
          <w:szCs w:val="24"/>
        </w:rPr>
        <w:t>“</w:t>
      </w:r>
      <w:r>
        <w:rPr>
          <w:rFonts w:ascii="宋体" w:hAnsi="宋体" w:eastAsia="宋体" w:cs="Times New Roman"/>
          <w:bCs/>
          <w:sz w:val="24"/>
          <w:szCs w:val="24"/>
        </w:rPr>
        <w:t>金额申购、份额赎回</w:t>
      </w:r>
      <w:r>
        <w:rPr>
          <w:rFonts w:hint="eastAsia" w:ascii="宋体" w:hAnsi="宋体" w:eastAsia="宋体" w:cs="Times New Roman"/>
          <w:bCs/>
          <w:sz w:val="24"/>
          <w:szCs w:val="24"/>
        </w:rPr>
        <w:t>”</w:t>
      </w:r>
      <w:r>
        <w:rPr>
          <w:rFonts w:ascii="宋体" w:hAnsi="宋体" w:eastAsia="宋体" w:cs="Times New Roman"/>
          <w:bCs/>
          <w:sz w:val="24"/>
          <w:szCs w:val="24"/>
        </w:rPr>
        <w:t>原则，即申购以金额申请，赎回以份额申请；</w:t>
      </w:r>
    </w:p>
    <w:p w14:paraId="686BF2F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宋体" w:hAnsi="宋体" w:eastAsia="宋体" w:cs="Times New Roman"/>
          <w:bCs/>
          <w:sz w:val="24"/>
          <w:szCs w:val="24"/>
        </w:rPr>
        <w:t>、</w:t>
      </w:r>
      <w:r>
        <w:rPr>
          <w:rFonts w:ascii="宋体" w:hAnsi="宋体" w:eastAsia="宋体" w:cs="Times New Roman"/>
          <w:bCs/>
          <w:sz w:val="24"/>
          <w:szCs w:val="24"/>
        </w:rPr>
        <w:t>当日的申购与赎回申请可以在基金管理人规定的时间以内撤销</w:t>
      </w:r>
      <w:r>
        <w:rPr>
          <w:rFonts w:hint="eastAsia" w:ascii="宋体" w:hAnsi="宋体" w:eastAsia="宋体" w:cs="Times New Roman"/>
          <w:bCs/>
          <w:sz w:val="24"/>
          <w:szCs w:val="24"/>
        </w:rPr>
        <w:t>，在当日业务办理时间结束后不得撤销；</w:t>
      </w:r>
    </w:p>
    <w:p w14:paraId="10545A2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宋体" w:hAnsi="宋体" w:eastAsia="宋体" w:cs="Times New Roman"/>
          <w:bCs/>
          <w:sz w:val="24"/>
          <w:szCs w:val="24"/>
        </w:rPr>
        <w:t>、</w:t>
      </w:r>
      <w:r>
        <w:rPr>
          <w:rFonts w:ascii="宋体" w:hAnsi="宋体" w:eastAsia="宋体" w:cs="Times New Roman"/>
          <w:bCs/>
          <w:sz w:val="24"/>
          <w:szCs w:val="24"/>
        </w:rPr>
        <w:t>赎回遵循</w:t>
      </w:r>
      <w:r>
        <w:rPr>
          <w:rFonts w:hint="eastAsia" w:ascii="宋体" w:hAnsi="宋体" w:eastAsia="宋体" w:cs="Times New Roman"/>
          <w:bCs/>
          <w:sz w:val="24"/>
          <w:szCs w:val="24"/>
        </w:rPr>
        <w:t>“</w:t>
      </w:r>
      <w:r>
        <w:rPr>
          <w:rFonts w:ascii="宋体" w:hAnsi="宋体" w:eastAsia="宋体" w:cs="Times New Roman"/>
          <w:bCs/>
          <w:sz w:val="24"/>
          <w:szCs w:val="24"/>
        </w:rPr>
        <w:t>先进先出</w:t>
      </w:r>
      <w:r>
        <w:rPr>
          <w:rFonts w:hint="eastAsia" w:ascii="宋体" w:hAnsi="宋体" w:eastAsia="宋体" w:cs="Times New Roman"/>
          <w:bCs/>
          <w:sz w:val="24"/>
          <w:szCs w:val="24"/>
        </w:rPr>
        <w:t>”</w:t>
      </w:r>
      <w:r>
        <w:rPr>
          <w:rFonts w:ascii="宋体" w:hAnsi="宋体" w:eastAsia="宋体" w:cs="Times New Roman"/>
          <w:bCs/>
          <w:sz w:val="24"/>
          <w:szCs w:val="24"/>
        </w:rPr>
        <w:t>原则，即按照投资者认购、申购的先后次序进行顺序赎回；</w:t>
      </w:r>
    </w:p>
    <w:p w14:paraId="0F143A8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ascii="宋体" w:hAnsi="宋体" w:eastAsia="宋体" w:cs="Times New Roman"/>
          <w:bCs/>
          <w:sz w:val="24"/>
          <w:szCs w:val="24"/>
        </w:rPr>
        <w:t>、投资者办理申购、赎回等业务时应提交的文件和办理手续、办理时间、处理规则等，在遵守基金合同和招募说明书规定的前提下，以各销售机构的具体规定为准；</w:t>
      </w:r>
    </w:p>
    <w:p w14:paraId="16162024">
      <w:pPr>
        <w:spacing w:line="360" w:lineRule="auto"/>
        <w:ind w:firstLine="480" w:firstLineChars="200"/>
        <w:rPr>
          <w:rFonts w:ascii="Times New Roman" w:hAnsi="Times New Roman" w:eastAsia="宋体" w:cs="Times New Roman"/>
          <w:b/>
          <w:sz w:val="24"/>
          <w:szCs w:val="24"/>
          <w:u w:val="single"/>
        </w:rPr>
      </w:pPr>
      <w:r>
        <w:rPr>
          <w:rFonts w:ascii="Times New Roman" w:hAnsi="Times New Roman" w:eastAsia="宋体" w:cs="Times New Roman"/>
          <w:bCs/>
          <w:sz w:val="24"/>
          <w:szCs w:val="24"/>
        </w:rPr>
        <w:t>6</w:t>
      </w:r>
      <w:r>
        <w:rPr>
          <w:rFonts w:ascii="宋体" w:hAnsi="宋体" w:eastAsia="宋体" w:cs="Times New Roman"/>
          <w:bCs/>
          <w:sz w:val="24"/>
          <w:szCs w:val="24"/>
        </w:rPr>
        <w:t>、办理申购、赎回业务时，应当遵循基金份额持有人利益优先原则</w:t>
      </w:r>
      <w:r>
        <w:rPr>
          <w:rFonts w:hint="eastAsia" w:ascii="宋体" w:hAnsi="宋体" w:eastAsia="宋体" w:cs="Times New Roman"/>
          <w:sz w:val="24"/>
          <w:szCs w:val="24"/>
        </w:rPr>
        <w:t>，确保投资者的合法权益不受损害并得到公平对待</w:t>
      </w:r>
      <w:r>
        <w:rPr>
          <w:rFonts w:hint="eastAsia" w:ascii="宋体" w:hAnsi="宋体" w:eastAsia="宋体" w:cs="Times New Roman"/>
          <w:bCs/>
          <w:sz w:val="24"/>
          <w:szCs w:val="24"/>
        </w:rPr>
        <w:t>。</w:t>
      </w:r>
    </w:p>
    <w:p w14:paraId="69DBC969">
      <w:pPr>
        <w:spacing w:line="360" w:lineRule="auto"/>
        <w:ind w:firstLine="480" w:firstLineChars="200"/>
        <w:rPr>
          <w:rFonts w:ascii="Times New Roman" w:hAnsi="Times New Roman" w:eastAsia="宋体" w:cs="Times New Roman"/>
          <w:bCs/>
          <w:szCs w:val="21"/>
        </w:rPr>
      </w:pPr>
      <w:r>
        <w:rPr>
          <w:rFonts w:ascii="宋体" w:hAnsi="宋体" w:eastAsia="宋体" w:cs="Times New Roman"/>
          <w:bCs/>
          <w:sz w:val="24"/>
          <w:szCs w:val="24"/>
        </w:rPr>
        <w:t>基金管理人可在</w:t>
      </w:r>
      <w:r>
        <w:rPr>
          <w:rFonts w:hint="eastAsia" w:ascii="宋体" w:hAnsi="宋体" w:eastAsia="宋体" w:cs="Times New Roman"/>
          <w:bCs/>
          <w:sz w:val="24"/>
          <w:szCs w:val="24"/>
        </w:rPr>
        <w:t>不违反</w:t>
      </w:r>
      <w:r>
        <w:rPr>
          <w:rFonts w:ascii="宋体" w:hAnsi="宋体" w:eastAsia="宋体" w:cs="Times New Roman"/>
          <w:bCs/>
          <w:sz w:val="24"/>
          <w:szCs w:val="24"/>
        </w:rPr>
        <w:t>法律法规的情况下，对上述原则进行调整。基金管理人必须在新规则开始实施前依照《信息披露办法》的有关规定在规定媒介上公告。</w:t>
      </w:r>
    </w:p>
    <w:p w14:paraId="2FCAB429">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四</w:t>
      </w:r>
      <w:r>
        <w:rPr>
          <w:rFonts w:ascii="宋体" w:hAnsi="宋体" w:eastAsia="宋体" w:cs="Times New Roman"/>
          <w:b/>
          <w:bCs/>
          <w:sz w:val="24"/>
          <w:szCs w:val="24"/>
        </w:rPr>
        <w:t>、申购与赎回的程序</w:t>
      </w:r>
    </w:p>
    <w:p w14:paraId="0E6E5BC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宋体" w:hAnsi="宋体" w:eastAsia="宋体" w:cs="Times New Roman"/>
          <w:bCs/>
          <w:sz w:val="24"/>
          <w:szCs w:val="24"/>
        </w:rPr>
        <w:t>、</w:t>
      </w:r>
      <w:r>
        <w:rPr>
          <w:rFonts w:ascii="宋体" w:hAnsi="宋体" w:eastAsia="宋体" w:cs="Times New Roman"/>
          <w:bCs/>
          <w:sz w:val="24"/>
          <w:szCs w:val="24"/>
        </w:rPr>
        <w:t>申购和赎回的申请方式</w:t>
      </w:r>
    </w:p>
    <w:p w14:paraId="3AC343FF">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投资者必须根据销售机构规定的程序，在开放日的具体业务办理时间内提出申购或赎回的申请。</w:t>
      </w:r>
    </w:p>
    <w:p w14:paraId="701466A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宋体" w:hAnsi="宋体" w:eastAsia="宋体" w:cs="Times New Roman"/>
          <w:bCs/>
          <w:sz w:val="24"/>
          <w:szCs w:val="24"/>
        </w:rPr>
        <w:t>、</w:t>
      </w:r>
      <w:r>
        <w:rPr>
          <w:rFonts w:ascii="宋体" w:hAnsi="宋体" w:eastAsia="宋体" w:cs="Times New Roman"/>
          <w:bCs/>
          <w:sz w:val="24"/>
          <w:szCs w:val="24"/>
        </w:rPr>
        <w:t>申购和赎回的款项支付</w:t>
      </w:r>
    </w:p>
    <w:p w14:paraId="59B2E66A">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投资者申购基金份额时，必须</w:t>
      </w:r>
      <w:r>
        <w:rPr>
          <w:rFonts w:hint="eastAsia" w:ascii="宋体" w:hAnsi="宋体" w:eastAsia="宋体" w:cs="Times New Roman"/>
          <w:bCs/>
          <w:sz w:val="24"/>
          <w:szCs w:val="24"/>
        </w:rPr>
        <w:t>在规定的时间内</w:t>
      </w:r>
      <w:r>
        <w:rPr>
          <w:rFonts w:ascii="宋体" w:hAnsi="宋体" w:eastAsia="宋体" w:cs="Times New Roman"/>
          <w:bCs/>
          <w:sz w:val="24"/>
          <w:szCs w:val="24"/>
        </w:rPr>
        <w:t>全额交付申购款项，</w:t>
      </w:r>
      <w:r>
        <w:rPr>
          <w:rFonts w:hint="eastAsia" w:ascii="宋体" w:hAnsi="宋体" w:eastAsia="宋体" w:cs="Times New Roman"/>
          <w:bCs/>
          <w:sz w:val="24"/>
          <w:szCs w:val="24"/>
        </w:rPr>
        <w:t>否则所提交的申购申请不成立。</w:t>
      </w:r>
      <w:r>
        <w:rPr>
          <w:rFonts w:ascii="宋体" w:hAnsi="宋体" w:eastAsia="宋体" w:cs="Times New Roman"/>
          <w:bCs/>
          <w:sz w:val="24"/>
          <w:szCs w:val="24"/>
        </w:rPr>
        <w:t>投资</w:t>
      </w:r>
      <w:r>
        <w:rPr>
          <w:rFonts w:hint="eastAsia" w:ascii="宋体" w:hAnsi="宋体" w:eastAsia="宋体" w:cs="Times New Roman"/>
          <w:bCs/>
          <w:sz w:val="24"/>
          <w:szCs w:val="24"/>
        </w:rPr>
        <w:t>者在规定的时间内全额</w:t>
      </w:r>
      <w:r>
        <w:rPr>
          <w:rFonts w:ascii="宋体" w:hAnsi="宋体" w:eastAsia="宋体" w:cs="Times New Roman"/>
          <w:bCs/>
          <w:sz w:val="24"/>
          <w:szCs w:val="24"/>
        </w:rPr>
        <w:t>交付</w:t>
      </w:r>
      <w:r>
        <w:rPr>
          <w:rFonts w:hint="eastAsia" w:ascii="宋体" w:hAnsi="宋体" w:eastAsia="宋体" w:cs="Times New Roman"/>
          <w:bCs/>
          <w:sz w:val="24"/>
          <w:szCs w:val="24"/>
        </w:rPr>
        <w:t>申购</w:t>
      </w:r>
      <w:r>
        <w:rPr>
          <w:rFonts w:ascii="宋体" w:hAnsi="宋体" w:eastAsia="宋体" w:cs="Times New Roman"/>
          <w:bCs/>
          <w:sz w:val="24"/>
          <w:szCs w:val="24"/>
        </w:rPr>
        <w:t>款项，申购成立；登记机构确认基金份额时，申购生效。</w:t>
      </w:r>
    </w:p>
    <w:p w14:paraId="3F3E50F1">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基金份额持有人递交赎回申请</w:t>
      </w:r>
      <w:r>
        <w:rPr>
          <w:rFonts w:hint="eastAsia" w:ascii="宋体" w:hAnsi="宋体" w:eastAsia="宋体" w:cs="Times New Roman"/>
          <w:bCs/>
          <w:sz w:val="24"/>
          <w:szCs w:val="24"/>
        </w:rPr>
        <w:t>，必须持有足够的基金份额余额，否则所提交的赎回申请不成立。基金份额持有人在规定的时间内递交赎回申请</w:t>
      </w:r>
      <w:r>
        <w:rPr>
          <w:rFonts w:ascii="宋体" w:hAnsi="宋体" w:eastAsia="宋体" w:cs="Times New Roman"/>
          <w:bCs/>
          <w:sz w:val="24"/>
          <w:szCs w:val="24"/>
        </w:rPr>
        <w:t>，赎回成立；登记机构确认赎回</w:t>
      </w:r>
      <w:r>
        <w:rPr>
          <w:rFonts w:hint="eastAsia" w:ascii="宋体" w:hAnsi="宋体" w:eastAsia="宋体" w:cs="Times New Roman"/>
          <w:bCs/>
          <w:sz w:val="24"/>
          <w:szCs w:val="24"/>
        </w:rPr>
        <w:t>申请</w:t>
      </w:r>
      <w:r>
        <w:rPr>
          <w:rFonts w:ascii="宋体" w:hAnsi="宋体" w:eastAsia="宋体" w:cs="Times New Roman"/>
          <w:bCs/>
          <w:sz w:val="24"/>
          <w:szCs w:val="24"/>
        </w:rPr>
        <w:t>时，赎回生效。</w:t>
      </w:r>
    </w:p>
    <w:p w14:paraId="54B3FE9F">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投资者</w:t>
      </w:r>
      <w:r>
        <w:rPr>
          <w:rFonts w:hint="eastAsia" w:ascii="Times New Roman" w:hAnsi="Times New Roman" w:eastAsia="宋体" w:cs="Times New Roman"/>
          <w:bCs/>
          <w:sz w:val="24"/>
          <w:szCs w:val="24"/>
        </w:rPr>
        <w:t>T</w:t>
      </w:r>
      <w:r>
        <w:rPr>
          <w:rFonts w:hint="eastAsia" w:ascii="宋体" w:hAnsi="宋体" w:eastAsia="宋体" w:cs="Times New Roman"/>
          <w:bCs/>
          <w:sz w:val="24"/>
          <w:szCs w:val="24"/>
        </w:rPr>
        <w:t>日</w:t>
      </w:r>
      <w:r>
        <w:rPr>
          <w:rFonts w:ascii="宋体" w:hAnsi="宋体" w:eastAsia="宋体" w:cs="Times New Roman"/>
          <w:bCs/>
          <w:sz w:val="24"/>
          <w:szCs w:val="24"/>
        </w:rPr>
        <w:t>赎回申请生效后</w:t>
      </w:r>
      <w:r>
        <w:rPr>
          <w:rFonts w:hint="eastAsia" w:ascii="宋体" w:hAnsi="宋体" w:eastAsia="宋体" w:cs="Times New Roman"/>
          <w:bCs/>
          <w:sz w:val="24"/>
          <w:szCs w:val="24"/>
        </w:rPr>
        <w:t>，</w:t>
      </w:r>
      <w:r>
        <w:rPr>
          <w:rFonts w:ascii="宋体" w:hAnsi="宋体" w:eastAsia="宋体" w:cs="Times New Roman"/>
          <w:bCs/>
          <w:sz w:val="24"/>
          <w:szCs w:val="24"/>
        </w:rPr>
        <w:t>基金管理人将在</w:t>
      </w:r>
      <w:r>
        <w:rPr>
          <w:rFonts w:ascii="Times New Roman" w:hAnsi="Times New Roman" w:eastAsia="宋体" w:cs="Times New Roman"/>
          <w:bCs/>
          <w:sz w:val="24"/>
          <w:szCs w:val="24"/>
        </w:rPr>
        <w:t>T</w:t>
      </w:r>
      <w:r>
        <w:rPr>
          <w:rFonts w:ascii="宋体" w:hAnsi="宋体" w:eastAsia="宋体" w:cs="Times New Roman"/>
          <w:bCs/>
          <w:sz w:val="24"/>
          <w:szCs w:val="24"/>
        </w:rPr>
        <w:t>＋</w:t>
      </w:r>
      <w:r>
        <w:rPr>
          <w:rFonts w:ascii="Times New Roman" w:hAnsi="Times New Roman" w:eastAsia="宋体" w:cs="Times New Roman"/>
          <w:bCs/>
          <w:sz w:val="24"/>
          <w:szCs w:val="24"/>
        </w:rPr>
        <w:t>7</w:t>
      </w:r>
      <w:r>
        <w:rPr>
          <w:rFonts w:ascii="宋体" w:hAnsi="宋体" w:eastAsia="宋体" w:cs="Times New Roman"/>
          <w:bCs/>
          <w:sz w:val="24"/>
          <w:szCs w:val="24"/>
        </w:rPr>
        <w:t>日</w:t>
      </w:r>
      <w:r>
        <w:rPr>
          <w:rFonts w:hint="eastAsia" w:ascii="宋体" w:hAnsi="宋体" w:eastAsia="宋体" w:cs="Times New Roman"/>
          <w:bCs/>
          <w:sz w:val="24"/>
          <w:szCs w:val="24"/>
        </w:rPr>
        <w:t>（</w:t>
      </w:r>
      <w:r>
        <w:rPr>
          <w:rFonts w:ascii="宋体" w:hAnsi="宋体" w:eastAsia="宋体" w:cs="Times New Roman"/>
          <w:bCs/>
          <w:sz w:val="24"/>
          <w:szCs w:val="24"/>
        </w:rPr>
        <w:t>包括该日</w:t>
      </w:r>
      <w:r>
        <w:rPr>
          <w:rFonts w:hint="eastAsia" w:ascii="宋体" w:hAnsi="宋体" w:eastAsia="宋体" w:cs="Times New Roman"/>
          <w:bCs/>
          <w:sz w:val="24"/>
          <w:szCs w:val="24"/>
        </w:rPr>
        <w:t>）</w:t>
      </w:r>
      <w:r>
        <w:rPr>
          <w:rFonts w:ascii="宋体" w:hAnsi="宋体" w:eastAsia="宋体" w:cs="Times New Roman"/>
          <w:bCs/>
          <w:sz w:val="24"/>
          <w:szCs w:val="24"/>
        </w:rPr>
        <w:t>内支付赎回款项。</w:t>
      </w:r>
      <w:r>
        <w:rPr>
          <w:rFonts w:hint="eastAsia" w:ascii="宋体" w:hAnsi="宋体" w:eastAsia="宋体" w:cs="Times New Roman"/>
          <w:bCs/>
          <w:sz w:val="24"/>
          <w:szCs w:val="24"/>
        </w:rPr>
        <w:t>遇交易所或交易市场数据传输延迟、通讯系统故障、银行数据交换系统故障、港股通交易系统故障或港股通资金交收规则限制</w:t>
      </w:r>
      <w:r>
        <w:rPr>
          <w:rFonts w:ascii="宋体" w:hAnsi="宋体" w:eastAsia="宋体" w:cs="Times New Roman"/>
          <w:bCs/>
          <w:sz w:val="24"/>
          <w:szCs w:val="24"/>
        </w:rPr>
        <w:t>或</w:t>
      </w:r>
      <w:r>
        <w:rPr>
          <w:rFonts w:hint="eastAsia" w:ascii="宋体" w:hAnsi="宋体" w:eastAsia="宋体" w:cs="Times New Roman"/>
          <w:bCs/>
          <w:sz w:val="24"/>
          <w:szCs w:val="24"/>
        </w:rPr>
        <w:t>其他非基金管理人及基金托管人所能控制的因素影响业务处理流程，则赎回款顺延至上述情形消除后划往投资者银行账户。</w:t>
      </w:r>
      <w:r>
        <w:rPr>
          <w:rFonts w:ascii="宋体" w:hAnsi="宋体" w:eastAsia="宋体" w:cs="Times New Roman"/>
          <w:bCs/>
          <w:sz w:val="24"/>
          <w:szCs w:val="24"/>
        </w:rPr>
        <w:t>在发生巨额赎回</w:t>
      </w:r>
      <w:r>
        <w:rPr>
          <w:rFonts w:hint="eastAsia" w:ascii="宋体" w:hAnsi="宋体" w:eastAsia="宋体" w:cs="Times New Roman"/>
          <w:bCs/>
          <w:sz w:val="24"/>
          <w:szCs w:val="24"/>
        </w:rPr>
        <w:t>或基金合同载明的其他暂停赎回或延缓支付赎回款项的情形</w:t>
      </w:r>
      <w:r>
        <w:rPr>
          <w:rFonts w:ascii="宋体" w:hAnsi="宋体" w:eastAsia="宋体" w:cs="Times New Roman"/>
          <w:bCs/>
          <w:sz w:val="24"/>
          <w:szCs w:val="24"/>
        </w:rPr>
        <w:t>时，款项的支付办法参照基金合同有关条款处理。</w:t>
      </w:r>
    </w:p>
    <w:p w14:paraId="183C0822">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基金管理人可以在法律法规和基金合同允许的范围内，对上述业务办理时间进行调整，</w:t>
      </w:r>
      <w:r>
        <w:rPr>
          <w:rFonts w:ascii="宋体" w:hAnsi="宋体" w:eastAsia="宋体" w:cs="Times New Roman"/>
          <w:bCs/>
          <w:sz w:val="24"/>
          <w:szCs w:val="24"/>
        </w:rPr>
        <w:t>基金管理人应</w:t>
      </w:r>
      <w:r>
        <w:rPr>
          <w:rFonts w:hint="eastAsia" w:ascii="宋体" w:hAnsi="宋体" w:eastAsia="宋体" w:cs="Times New Roman"/>
          <w:bCs/>
          <w:sz w:val="24"/>
          <w:szCs w:val="24"/>
        </w:rPr>
        <w:t>在调整实施前依照《信息披露办法》的有关规定在规定媒介上公告。</w:t>
      </w:r>
    </w:p>
    <w:p w14:paraId="5210C92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宋体" w:hAnsi="宋体" w:eastAsia="宋体" w:cs="Times New Roman"/>
          <w:bCs/>
          <w:sz w:val="24"/>
          <w:szCs w:val="24"/>
        </w:rPr>
        <w:t>、</w:t>
      </w:r>
      <w:r>
        <w:rPr>
          <w:rFonts w:ascii="宋体" w:hAnsi="宋体" w:eastAsia="宋体" w:cs="Times New Roman"/>
          <w:bCs/>
          <w:sz w:val="24"/>
          <w:szCs w:val="24"/>
        </w:rPr>
        <w:t>申购和赎回申请的确认</w:t>
      </w:r>
    </w:p>
    <w:p w14:paraId="6902D8D4">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基金管理人应以交易时间结束前受理</w:t>
      </w:r>
      <w:r>
        <w:rPr>
          <w:rFonts w:hint="eastAsia" w:ascii="宋体" w:hAnsi="宋体" w:eastAsia="宋体" w:cs="Times New Roman"/>
          <w:bCs/>
          <w:sz w:val="24"/>
          <w:szCs w:val="24"/>
        </w:rPr>
        <w:t>有效</w:t>
      </w:r>
      <w:r>
        <w:rPr>
          <w:rFonts w:ascii="宋体" w:hAnsi="宋体" w:eastAsia="宋体" w:cs="Times New Roman"/>
          <w:bCs/>
          <w:sz w:val="24"/>
          <w:szCs w:val="24"/>
        </w:rPr>
        <w:t>申购和赎回申请的当天作为申购或赎回申请日</w:t>
      </w:r>
      <w:r>
        <w:rPr>
          <w:rFonts w:hint="eastAsia" w:ascii="宋体" w:hAnsi="宋体" w:eastAsia="宋体" w:cs="Times New Roman"/>
          <w:bCs/>
          <w:sz w:val="24"/>
          <w:szCs w:val="24"/>
        </w:rPr>
        <w:t>（</w:t>
      </w:r>
      <w:r>
        <w:rPr>
          <w:rFonts w:ascii="Times New Roman" w:hAnsi="Times New Roman" w:eastAsia="宋体" w:cs="Times New Roman"/>
          <w:bCs/>
          <w:sz w:val="24"/>
          <w:szCs w:val="24"/>
        </w:rPr>
        <w:t>T</w:t>
      </w:r>
      <w:r>
        <w:rPr>
          <w:rFonts w:ascii="宋体" w:hAnsi="宋体" w:eastAsia="宋体" w:cs="Times New Roman"/>
          <w:bCs/>
          <w:sz w:val="24"/>
          <w:szCs w:val="24"/>
        </w:rPr>
        <w:t>日</w:t>
      </w:r>
      <w:r>
        <w:rPr>
          <w:rFonts w:hint="eastAsia" w:ascii="宋体" w:hAnsi="宋体" w:eastAsia="宋体" w:cs="Times New Roman"/>
          <w:bCs/>
          <w:sz w:val="24"/>
          <w:szCs w:val="24"/>
        </w:rPr>
        <w:t>）</w:t>
      </w:r>
      <w:r>
        <w:rPr>
          <w:rFonts w:ascii="宋体" w:hAnsi="宋体" w:eastAsia="宋体" w:cs="Times New Roman"/>
          <w:bCs/>
          <w:sz w:val="24"/>
          <w:szCs w:val="24"/>
        </w:rPr>
        <w:t>，在正常情况下，本基金登记机构在</w:t>
      </w:r>
      <w:r>
        <w:rPr>
          <w:rFonts w:ascii="Times New Roman" w:hAnsi="Times New Roman" w:eastAsia="宋体" w:cs="Times New Roman"/>
          <w:bCs/>
          <w:sz w:val="24"/>
          <w:szCs w:val="24"/>
        </w:rPr>
        <w:t>T+1</w:t>
      </w:r>
      <w:r>
        <w:rPr>
          <w:rFonts w:ascii="宋体" w:hAnsi="宋体" w:eastAsia="宋体" w:cs="Times New Roman"/>
          <w:bCs/>
          <w:sz w:val="24"/>
          <w:szCs w:val="24"/>
        </w:rPr>
        <w:t>日内对该交易的有效性进行确认。</w:t>
      </w:r>
      <w:r>
        <w:rPr>
          <w:rFonts w:ascii="Times New Roman" w:hAnsi="Times New Roman" w:eastAsia="宋体" w:cs="Times New Roman"/>
          <w:bCs/>
          <w:sz w:val="24"/>
          <w:szCs w:val="24"/>
        </w:rPr>
        <w:t>T</w:t>
      </w:r>
      <w:r>
        <w:rPr>
          <w:rFonts w:ascii="宋体" w:hAnsi="宋体" w:eastAsia="宋体" w:cs="Times New Roman"/>
          <w:bCs/>
          <w:sz w:val="24"/>
          <w:szCs w:val="24"/>
        </w:rPr>
        <w:t>日提交的有效申请，投资者</w:t>
      </w:r>
      <w:r>
        <w:rPr>
          <w:rFonts w:hint="eastAsia" w:ascii="宋体" w:hAnsi="宋体" w:eastAsia="宋体" w:cs="Times New Roman"/>
          <w:bCs/>
          <w:sz w:val="24"/>
          <w:szCs w:val="24"/>
        </w:rPr>
        <w:t>应在</w:t>
      </w:r>
      <w:r>
        <w:rPr>
          <w:rFonts w:ascii="Times New Roman" w:hAnsi="Times New Roman" w:eastAsia="宋体" w:cs="Times New Roman"/>
          <w:bCs/>
          <w:sz w:val="24"/>
          <w:szCs w:val="24"/>
        </w:rPr>
        <w:t>T+2</w:t>
      </w:r>
      <w:r>
        <w:rPr>
          <w:rFonts w:ascii="宋体" w:hAnsi="宋体" w:eastAsia="宋体" w:cs="Times New Roman"/>
          <w:bCs/>
          <w:sz w:val="24"/>
          <w:szCs w:val="24"/>
        </w:rPr>
        <w:t>日后</w:t>
      </w:r>
      <w:r>
        <w:rPr>
          <w:rFonts w:hint="eastAsia" w:ascii="宋体" w:hAnsi="宋体" w:eastAsia="宋体" w:cs="Times New Roman"/>
          <w:bCs/>
          <w:sz w:val="24"/>
          <w:szCs w:val="24"/>
        </w:rPr>
        <w:t>（</w:t>
      </w:r>
      <w:r>
        <w:rPr>
          <w:rFonts w:ascii="宋体" w:hAnsi="宋体" w:eastAsia="宋体" w:cs="Times New Roman"/>
          <w:bCs/>
          <w:sz w:val="24"/>
          <w:szCs w:val="24"/>
        </w:rPr>
        <w:t>包括该日</w:t>
      </w:r>
      <w:r>
        <w:rPr>
          <w:rFonts w:hint="eastAsia" w:ascii="宋体" w:hAnsi="宋体" w:eastAsia="宋体" w:cs="Times New Roman"/>
          <w:bCs/>
          <w:sz w:val="24"/>
          <w:szCs w:val="24"/>
        </w:rPr>
        <w:t>）及时</w:t>
      </w:r>
      <w:r>
        <w:rPr>
          <w:rFonts w:ascii="宋体" w:hAnsi="宋体" w:eastAsia="宋体" w:cs="Times New Roman"/>
          <w:bCs/>
          <w:sz w:val="24"/>
          <w:szCs w:val="24"/>
        </w:rPr>
        <w:t>到销售</w:t>
      </w:r>
      <w:r>
        <w:rPr>
          <w:rFonts w:hint="eastAsia" w:ascii="宋体" w:hAnsi="宋体" w:eastAsia="宋体" w:cs="Times New Roman"/>
          <w:bCs/>
          <w:sz w:val="24"/>
          <w:szCs w:val="24"/>
        </w:rPr>
        <w:t>机构</w:t>
      </w:r>
      <w:r>
        <w:rPr>
          <w:rFonts w:ascii="宋体" w:hAnsi="宋体" w:eastAsia="宋体" w:cs="Times New Roman"/>
          <w:bCs/>
          <w:sz w:val="24"/>
          <w:szCs w:val="24"/>
        </w:rPr>
        <w:t>或以销售机构规定的其他方式查询申请的确认情况。若申购不</w:t>
      </w:r>
      <w:r>
        <w:rPr>
          <w:rFonts w:hint="eastAsia" w:ascii="宋体" w:hAnsi="宋体" w:eastAsia="宋体" w:cs="Times New Roman"/>
          <w:bCs/>
          <w:sz w:val="24"/>
          <w:szCs w:val="24"/>
        </w:rPr>
        <w:t>成立或无效</w:t>
      </w:r>
      <w:r>
        <w:rPr>
          <w:rFonts w:ascii="宋体" w:hAnsi="宋体" w:eastAsia="宋体" w:cs="Times New Roman"/>
          <w:bCs/>
          <w:sz w:val="24"/>
          <w:szCs w:val="24"/>
        </w:rPr>
        <w:t>，则申购款项</w:t>
      </w:r>
      <w:r>
        <w:rPr>
          <w:rFonts w:hint="eastAsia" w:ascii="宋体" w:hAnsi="宋体" w:eastAsia="宋体" w:cs="Times New Roman"/>
          <w:bCs/>
          <w:sz w:val="24"/>
          <w:szCs w:val="24"/>
        </w:rPr>
        <w:t>本金</w:t>
      </w:r>
      <w:r>
        <w:rPr>
          <w:rFonts w:ascii="宋体" w:hAnsi="宋体" w:eastAsia="宋体" w:cs="Times New Roman"/>
          <w:bCs/>
          <w:sz w:val="24"/>
          <w:szCs w:val="24"/>
        </w:rPr>
        <w:t>退还给投资</w:t>
      </w:r>
      <w:r>
        <w:rPr>
          <w:rFonts w:hint="eastAsia" w:ascii="宋体" w:hAnsi="宋体" w:eastAsia="宋体" w:cs="Times New Roman"/>
          <w:bCs/>
          <w:sz w:val="24"/>
          <w:szCs w:val="24"/>
        </w:rPr>
        <w:t>者，基金管理人及基金托管人不承担该退回款项产生的利息等损失。因投资者未及时进行查询而造成的后果由其自行承担</w:t>
      </w:r>
      <w:r>
        <w:rPr>
          <w:rFonts w:ascii="宋体" w:hAnsi="宋体" w:eastAsia="宋体" w:cs="Times New Roman"/>
          <w:bCs/>
          <w:sz w:val="24"/>
          <w:szCs w:val="24"/>
        </w:rPr>
        <w:t>。</w:t>
      </w:r>
    </w:p>
    <w:p w14:paraId="2D45252B">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50AFA887">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基金管理人可以在法律法规允许的范围内对上述申购和赎回申请的确认时间进行调整，并在调整实施日前按照《信息披露办法》的有关规定在规定媒介上公告。</w:t>
      </w:r>
    </w:p>
    <w:p w14:paraId="7DE12EF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五、申购和赎回的数量限制</w:t>
      </w:r>
    </w:p>
    <w:p w14:paraId="42D29C9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、基金管理人规定，本基金单笔最低申购金额为人民币</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元，投资者通过销售机构申购本基金时，除需满足基金管理人最低申购金额限制外，当销售机构设定的最低金额高于上述金额限制时，投资者还应遵循相关销售机构的业务规定。</w:t>
      </w:r>
    </w:p>
    <w:p w14:paraId="24CEC40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直销网点单个账户首次申购的最低金额为人民币</w:t>
      </w:r>
      <w:r>
        <w:rPr>
          <w:rFonts w:ascii="Times New Roman" w:hAnsi="Times New Roman" w:eastAsia="宋体" w:cs="Times New Roman"/>
          <w:bCs/>
          <w:sz w:val="24"/>
          <w:szCs w:val="24"/>
        </w:rPr>
        <w:t>50,000</w:t>
      </w:r>
      <w:r>
        <w:rPr>
          <w:rFonts w:hint="eastAsia" w:ascii="Times New Roman" w:hAnsi="Times New Roman" w:eastAsia="宋体" w:cs="Times New Roman"/>
          <w:bCs/>
          <w:sz w:val="24"/>
          <w:szCs w:val="24"/>
        </w:rPr>
        <w:t>元，追加申购的最低金额为单笔人民币</w:t>
      </w:r>
      <w:r>
        <w:rPr>
          <w:rFonts w:ascii="Times New Roman" w:hAnsi="Times New Roman" w:eastAsia="宋体" w:cs="Times New Roman"/>
          <w:bCs/>
          <w:sz w:val="24"/>
          <w:szCs w:val="24"/>
        </w:rPr>
        <w:t>20,000</w:t>
      </w:r>
      <w:r>
        <w:rPr>
          <w:rFonts w:hint="eastAsia" w:ascii="Times New Roman" w:hAnsi="Times New Roman" w:eastAsia="宋体" w:cs="Times New Roman"/>
          <w:bCs/>
          <w:sz w:val="24"/>
          <w:szCs w:val="24"/>
        </w:rPr>
        <w:t>元；已在直销网点有该基金认购记录的投资者不受首次申购最低金额的限制。代销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人民币</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元。基金管理人可根据市场情况，调整本基金申购的最低金额。</w:t>
      </w:r>
    </w:p>
    <w:p w14:paraId="2B43BCC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投资者可多次申购，但单一投资者持有基金份额数不得达到或超过基金份额总数的50%（在基金运作过程中因基金份额赎回等情形导致被动达到或超过50%的情形除外）。</w:t>
      </w:r>
    </w:p>
    <w:p w14:paraId="60ACFB0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、基金份额持有人在销售机构赎回时，每次对本基金的赎回申请不得低于</w:t>
      </w:r>
      <w:r>
        <w:rPr>
          <w:rFonts w:ascii="Times New Roman" w:hAnsi="Times New Roman" w:eastAsia="宋体" w:cs="Times New Roman"/>
          <w:bCs/>
          <w:sz w:val="24"/>
          <w:szCs w:val="24"/>
        </w:rPr>
        <w:t>0.01</w:t>
      </w:r>
      <w:r>
        <w:rPr>
          <w:rFonts w:hint="eastAsia" w:ascii="Times New Roman" w:hAnsi="Times New Roman" w:eastAsia="宋体" w:cs="Times New Roman"/>
          <w:bCs/>
          <w:sz w:val="24"/>
          <w:szCs w:val="24"/>
        </w:rPr>
        <w:t>份基金份额。基金份额持有人赎回时或赎回后在销售机构（网点）保留的基金份额余额不足</w:t>
      </w:r>
      <w:r>
        <w:rPr>
          <w:rFonts w:ascii="Times New Roman" w:hAnsi="Times New Roman" w:eastAsia="宋体" w:cs="Times New Roman"/>
          <w:bCs/>
          <w:sz w:val="24"/>
          <w:szCs w:val="24"/>
        </w:rPr>
        <w:t>0.01</w:t>
      </w:r>
      <w:r>
        <w:rPr>
          <w:rFonts w:hint="eastAsia" w:ascii="Times New Roman" w:hAnsi="Times New Roman" w:eastAsia="宋体" w:cs="Times New Roman"/>
          <w:bCs/>
          <w:sz w:val="24"/>
          <w:szCs w:val="24"/>
        </w:rPr>
        <w:t>份的，在赎回时需一次全部申请赎回。但各销售机构对交易账户最低份额余额有其他规定的，以各销售机构的业务规定为准。</w:t>
      </w:r>
    </w:p>
    <w:p w14:paraId="6726F6E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3、基金管理人可以规定单个投资者累计持有的基金份额上限，具体规定请参见更新的招募说明书或相关公告。</w:t>
      </w:r>
    </w:p>
    <w:p w14:paraId="5CDA36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4、基金管理人可以规定单个投资者单日或单笔申购金额上限，具体规定请参见更新的招募说明书或相关公告。</w:t>
      </w:r>
    </w:p>
    <w:p w14:paraId="3A79575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、基金管理人有权规定本基金的总规模限额、单日申购金额限制、单日净申购比例上限，具体规定请参见更新的招募说明书或相关公告。</w:t>
      </w:r>
    </w:p>
    <w:p w14:paraId="5C17B3F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460CA8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7、基金管理人可在法律法规允许的情况下，调整上述规定申购金额和赎回份额的数量限制。基金管理人在调整实施前，依照《信息披露办法》的有关规定在规定媒介上公告。</w:t>
      </w:r>
    </w:p>
    <w:p w14:paraId="604659C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六、申购费用和赎回费用</w:t>
      </w:r>
    </w:p>
    <w:p w14:paraId="05F03FF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、申购费率</w:t>
      </w:r>
    </w:p>
    <w:p w14:paraId="6CD240B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投资者通过直销机构申购本基金A类基金份额的，不收取申购费。投资者通过代销机构申购本基金A类基金份额时，需交纳申购费用。投资者如果有多笔A类基金份额的申购，适用费率按单笔A类基金份额申购金额分别计算。C类基金份额不收取申购费用。各销售机构销售的份额类别以其业务规定为准，敬请投资者留意。</w:t>
      </w:r>
    </w:p>
    <w:p w14:paraId="590A8F5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通过代销机构申购本基金A类基金份额的申购费率具体如下：</w:t>
      </w:r>
    </w:p>
    <w:tbl>
      <w:tblPr>
        <w:tblStyle w:val="42"/>
        <w:tblW w:w="5949" w:type="dxa"/>
        <w:jc w:val="center"/>
        <w:tblLayout w:type="autofit"/>
        <w:tblCellMar>
          <w:top w:w="0" w:type="dxa"/>
          <w:left w:w="0" w:type="dxa"/>
          <w:bottom w:w="0" w:type="dxa"/>
          <w:right w:w="0" w:type="dxa"/>
        </w:tblCellMar>
      </w:tblPr>
      <w:tblGrid>
        <w:gridCol w:w="3256"/>
        <w:gridCol w:w="2673"/>
        <w:gridCol w:w="20"/>
      </w:tblGrid>
      <w:tr w14:paraId="23430863">
        <w:tblPrEx>
          <w:tblCellMar>
            <w:top w:w="0" w:type="dxa"/>
            <w:left w:w="0" w:type="dxa"/>
            <w:bottom w:w="0" w:type="dxa"/>
            <w:right w:w="0" w:type="dxa"/>
          </w:tblCellMar>
        </w:tblPrEx>
        <w:trPr>
          <w:trHeight w:val="507" w:hRule="atLeast"/>
          <w:jc w:val="center"/>
        </w:trPr>
        <w:tc>
          <w:tcPr>
            <w:tcW w:w="3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29E00A">
            <w:pPr>
              <w:autoSpaceDE w:val="0"/>
              <w:autoSpaceDN w:val="0"/>
              <w:adjustRightInd w:val="0"/>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申购金额</w:t>
            </w:r>
            <w:r>
              <w:rPr>
                <w:rFonts w:ascii="Times New Roman" w:hAnsi="Times New Roman" w:eastAsia="宋体" w:cs="Times New Roman"/>
                <w:b/>
                <w:bCs/>
                <w:kern w:val="0"/>
                <w:sz w:val="24"/>
                <w:szCs w:val="24"/>
              </w:rPr>
              <w:t>M</w:t>
            </w:r>
            <w:r>
              <w:rPr>
                <w:rFonts w:hint="eastAsia" w:ascii="Times New Roman" w:hAnsi="Times New Roman" w:eastAsia="宋体" w:cs="Times New Roman"/>
                <w:b/>
                <w:bCs/>
                <w:kern w:val="0"/>
                <w:sz w:val="24"/>
                <w:szCs w:val="24"/>
              </w:rPr>
              <w:t>（含申购费）</w:t>
            </w:r>
          </w:p>
        </w:tc>
        <w:tc>
          <w:tcPr>
            <w:tcW w:w="2693"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2849489">
            <w:pPr>
              <w:autoSpaceDE w:val="0"/>
              <w:autoSpaceDN w:val="0"/>
              <w:adjustRightInd w:val="0"/>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kern w:val="0"/>
                <w:sz w:val="24"/>
                <w:szCs w:val="24"/>
              </w:rPr>
              <w:t>申购费率</w:t>
            </w:r>
          </w:p>
        </w:tc>
      </w:tr>
      <w:tr w14:paraId="4530A891">
        <w:tblPrEx>
          <w:tblCellMar>
            <w:top w:w="0" w:type="dxa"/>
            <w:left w:w="0" w:type="dxa"/>
            <w:bottom w:w="0" w:type="dxa"/>
            <w:right w:w="0" w:type="dxa"/>
          </w:tblCellMar>
        </w:tblPrEx>
        <w:trPr>
          <w:trHeight w:val="507" w:hRule="atLeast"/>
          <w:jc w:val="center"/>
        </w:trPr>
        <w:tc>
          <w:tcPr>
            <w:tcW w:w="3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A595C8">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M</w:t>
            </w:r>
            <w:r>
              <w:rPr>
                <w:rFonts w:ascii="宋体" w:hAnsi="宋体" w:eastAsia="宋体" w:cs="Times New Roman"/>
                <w:kern w:val="0"/>
                <w:sz w:val="24"/>
                <w:szCs w:val="24"/>
              </w:rPr>
              <w:t>＜</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00</w:t>
            </w:r>
            <w:r>
              <w:rPr>
                <w:rFonts w:ascii="宋体" w:hAnsi="宋体" w:eastAsia="宋体" w:cs="Times New Roman"/>
                <w:kern w:val="0"/>
                <w:sz w:val="24"/>
                <w:szCs w:val="24"/>
              </w:rPr>
              <w:t>万元</w:t>
            </w:r>
          </w:p>
        </w:tc>
        <w:tc>
          <w:tcPr>
            <w:tcW w:w="2693"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46FEF0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0.50%</w:t>
            </w:r>
          </w:p>
        </w:tc>
      </w:tr>
      <w:tr w14:paraId="44FEC22E">
        <w:tblPrEx>
          <w:tblCellMar>
            <w:top w:w="0" w:type="dxa"/>
            <w:left w:w="0" w:type="dxa"/>
            <w:bottom w:w="0" w:type="dxa"/>
            <w:right w:w="0" w:type="dxa"/>
          </w:tblCellMar>
        </w:tblPrEx>
        <w:trPr>
          <w:trHeight w:val="507" w:hRule="atLeast"/>
          <w:jc w:val="center"/>
        </w:trPr>
        <w:tc>
          <w:tcPr>
            <w:tcW w:w="3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D79680">
            <w:pPr>
              <w:autoSpaceDE w:val="0"/>
              <w:autoSpaceDN w:val="0"/>
              <w:adjustRightInd w:val="0"/>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500万元≤M＜1000万元</w:t>
            </w:r>
          </w:p>
        </w:tc>
        <w:tc>
          <w:tcPr>
            <w:tcW w:w="2693"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B5655F">
            <w:pPr>
              <w:autoSpaceDE w:val="0"/>
              <w:autoSpaceDN w:val="0"/>
              <w:adjustRightInd w:val="0"/>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r>
              <w:rPr>
                <w:rFonts w:ascii="Times New Roman" w:hAnsi="Times New Roman" w:eastAsia="宋体" w:cs="Times New Roman"/>
                <w:kern w:val="0"/>
                <w:sz w:val="24"/>
                <w:szCs w:val="24"/>
              </w:rPr>
              <w:t>.40%</w:t>
            </w:r>
          </w:p>
        </w:tc>
      </w:tr>
      <w:tr w14:paraId="3216D070">
        <w:tblPrEx>
          <w:tblCellMar>
            <w:top w:w="0" w:type="dxa"/>
            <w:left w:w="0" w:type="dxa"/>
            <w:bottom w:w="0" w:type="dxa"/>
            <w:right w:w="0" w:type="dxa"/>
          </w:tblCellMar>
        </w:tblPrEx>
        <w:trPr>
          <w:gridAfter w:val="1"/>
          <w:wAfter w:w="20" w:type="dxa"/>
          <w:trHeight w:val="507" w:hRule="atLeast"/>
          <w:jc w:val="center"/>
        </w:trPr>
        <w:tc>
          <w:tcPr>
            <w:tcW w:w="3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2BF731">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M</w:t>
            </w: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000</w:t>
            </w:r>
            <w:r>
              <w:rPr>
                <w:rFonts w:ascii="宋体" w:hAnsi="宋体" w:eastAsia="宋体" w:cs="Times New Roman"/>
                <w:kern w:val="0"/>
                <w:sz w:val="24"/>
                <w:szCs w:val="24"/>
              </w:rPr>
              <w:t>万元</w:t>
            </w:r>
          </w:p>
        </w:tc>
        <w:tc>
          <w:tcPr>
            <w:tcW w:w="26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CB6F662">
            <w:pPr>
              <w:autoSpaceDE w:val="0"/>
              <w:autoSpaceDN w:val="0"/>
              <w:adjustRightInd w:val="0"/>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每笔1,000</w:t>
            </w:r>
            <w:r>
              <w:rPr>
                <w:rFonts w:hint="eastAsia" w:ascii="宋体" w:hAnsi="宋体" w:eastAsia="宋体" w:cs="Times New Roman"/>
                <w:kern w:val="0"/>
                <w:sz w:val="24"/>
                <w:szCs w:val="24"/>
              </w:rPr>
              <w:t>元</w:t>
            </w:r>
          </w:p>
        </w:tc>
      </w:tr>
    </w:tbl>
    <w:p w14:paraId="3047336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本基金A类基金份额的申购费用由</w:t>
      </w:r>
      <w:r>
        <w:rPr>
          <w:rFonts w:hint="eastAsia" w:ascii="Times New Roman" w:hAnsi="Times New Roman" w:eastAsia="宋体" w:cs="Times New Roman"/>
          <w:bCs/>
          <w:sz w:val="24"/>
          <w:szCs w:val="24"/>
        </w:rPr>
        <w:t>申购A类基金份额的</w:t>
      </w:r>
      <w:r>
        <w:rPr>
          <w:rFonts w:hint="eastAsia" w:ascii="Times New Roman" w:hAnsi="Times New Roman" w:eastAsia="宋体" w:cs="Times New Roman"/>
          <w:sz w:val="24"/>
          <w:szCs w:val="24"/>
        </w:rPr>
        <w:t>投资人承担，不列入基金财产，主要用于基金的市场推广、销售等各项费用。</w:t>
      </w:r>
    </w:p>
    <w:p w14:paraId="368CB52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、赎回费率</w:t>
      </w:r>
    </w:p>
    <w:p w14:paraId="4F0EDA8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本基金的赎回费用由赎回基金份额的基金份额持有人承担，在基金份额持有人赎回基金份额时收取。投资者赎回本基金所对应的赎回费率随持有时间递减。</w:t>
      </w:r>
    </w:p>
    <w:p w14:paraId="07E372AC">
      <w:pPr>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本基金A类、C类基金份额的赎回费率见下表：</w:t>
      </w:r>
    </w:p>
    <w:tbl>
      <w:tblPr>
        <w:tblStyle w:val="42"/>
        <w:tblW w:w="7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07"/>
        <w:gridCol w:w="3547"/>
      </w:tblGrid>
      <w:tr w14:paraId="54F0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38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B2F857">
            <w:pPr>
              <w:spacing w:line="360" w:lineRule="auto"/>
              <w:ind w:firstLine="482" w:firstLineChars="200"/>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持有期限（N</w:t>
            </w:r>
            <w:r>
              <w:rPr>
                <w:rFonts w:ascii="宋体" w:hAnsi="宋体" w:eastAsia="宋体" w:cs="Times New Roman"/>
                <w:b/>
                <w:bCs/>
                <w:sz w:val="24"/>
                <w:szCs w:val="24"/>
              </w:rPr>
              <w:t>）</w:t>
            </w:r>
          </w:p>
        </w:tc>
        <w:tc>
          <w:tcPr>
            <w:tcW w:w="354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BEE02DC">
            <w:pPr>
              <w:spacing w:line="360" w:lineRule="auto"/>
              <w:ind w:firstLine="482" w:firstLineChars="200"/>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赎回费率</w:t>
            </w:r>
          </w:p>
        </w:tc>
      </w:tr>
      <w:tr w14:paraId="553C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38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9B168F">
            <w:pPr>
              <w:spacing w:line="360" w:lineRule="auto"/>
              <w:ind w:firstLine="480" w:firstLineChars="200"/>
              <w:jc w:val="center"/>
              <w:rPr>
                <w:rFonts w:ascii="Times New Roman" w:hAnsi="Times New Roman" w:eastAsia="宋体" w:cs="Times New Roman"/>
                <w:bCs/>
                <w:sz w:val="24"/>
                <w:szCs w:val="24"/>
              </w:rPr>
            </w:pPr>
            <w:r>
              <w:rPr>
                <w:rFonts w:ascii="Times New Roman" w:hAnsi="Times New Roman" w:eastAsia="宋体" w:cs="Times New Roman"/>
                <w:sz w:val="24"/>
                <w:szCs w:val="24"/>
              </w:rPr>
              <w:t>N</w:t>
            </w:r>
            <w:r>
              <w:rPr>
                <w:rFonts w:ascii="宋体" w:hAnsi="宋体" w:eastAsia="宋体" w:cs="Times New Roman"/>
                <w:sz w:val="24"/>
                <w:szCs w:val="24"/>
              </w:rPr>
              <w:t>＜</w:t>
            </w:r>
            <w:r>
              <w:rPr>
                <w:rFonts w:ascii="Times New Roman" w:hAnsi="Times New Roman" w:eastAsia="宋体" w:cs="Times New Roman"/>
                <w:sz w:val="24"/>
                <w:szCs w:val="24"/>
              </w:rPr>
              <w:t>7</w:t>
            </w:r>
            <w:r>
              <w:rPr>
                <w:rFonts w:ascii="宋体" w:hAnsi="宋体" w:eastAsia="宋体" w:cs="Times New Roman"/>
                <w:sz w:val="24"/>
                <w:szCs w:val="24"/>
              </w:rPr>
              <w:t>日</w:t>
            </w:r>
          </w:p>
        </w:tc>
        <w:tc>
          <w:tcPr>
            <w:tcW w:w="354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6BBD38E6">
            <w:pPr>
              <w:spacing w:line="360" w:lineRule="auto"/>
              <w:ind w:firstLine="480" w:firstLineChars="200"/>
              <w:jc w:val="center"/>
              <w:rPr>
                <w:rFonts w:ascii="Times New Roman" w:hAnsi="Times New Roman" w:eastAsia="宋体" w:cs="Times New Roman"/>
                <w:bCs/>
                <w:sz w:val="24"/>
                <w:szCs w:val="24"/>
              </w:rPr>
            </w:pPr>
            <w:r>
              <w:rPr>
                <w:rFonts w:ascii="Times New Roman" w:hAnsi="Times New Roman" w:eastAsia="宋体" w:cs="Times New Roman"/>
                <w:sz w:val="24"/>
                <w:szCs w:val="24"/>
              </w:rPr>
              <w:t>1.50%</w:t>
            </w:r>
          </w:p>
        </w:tc>
      </w:tr>
      <w:tr w14:paraId="33AA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38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5D556F">
            <w:pPr>
              <w:spacing w:line="360" w:lineRule="auto"/>
              <w:ind w:firstLine="480" w:firstLineChars="200"/>
              <w:jc w:val="center"/>
              <w:rPr>
                <w:rFonts w:ascii="Times New Roman" w:hAnsi="Times New Roman" w:eastAsia="宋体" w:cs="Times New Roman"/>
                <w:bCs/>
                <w:sz w:val="24"/>
                <w:szCs w:val="24"/>
              </w:rPr>
            </w:pPr>
            <w:r>
              <w:rPr>
                <w:rFonts w:ascii="Times New Roman" w:hAnsi="Times New Roman" w:eastAsia="宋体" w:cs="Times New Roman"/>
                <w:sz w:val="24"/>
                <w:szCs w:val="24"/>
              </w:rPr>
              <w:t>7</w:t>
            </w:r>
            <w:r>
              <w:rPr>
                <w:rFonts w:ascii="宋体" w:hAnsi="宋体" w:eastAsia="宋体" w:cs="Times New Roman"/>
                <w:sz w:val="24"/>
                <w:szCs w:val="24"/>
              </w:rPr>
              <w:t>日</w:t>
            </w:r>
            <w:r>
              <w:rPr>
                <w:rFonts w:hint="eastAsia" w:ascii="宋体" w:hAnsi="宋体" w:eastAsia="宋体" w:cs="Times New Roman"/>
                <w:sz w:val="24"/>
                <w:szCs w:val="24"/>
              </w:rPr>
              <w:t>≤</w:t>
            </w:r>
            <w:r>
              <w:rPr>
                <w:rFonts w:ascii="Times New Roman" w:hAnsi="Times New Roman" w:eastAsia="宋体" w:cs="Times New Roman"/>
                <w:sz w:val="24"/>
                <w:szCs w:val="24"/>
              </w:rPr>
              <w:t>N</w:t>
            </w:r>
            <w:r>
              <w:rPr>
                <w:rFonts w:ascii="宋体" w:hAnsi="宋体" w:eastAsia="宋体" w:cs="Times New Roman"/>
                <w:sz w:val="24"/>
                <w:szCs w:val="24"/>
              </w:rPr>
              <w:t>＜</w:t>
            </w:r>
            <w:r>
              <w:rPr>
                <w:rFonts w:ascii="Times New Roman" w:hAnsi="Times New Roman" w:eastAsia="宋体" w:cs="Times New Roman"/>
                <w:sz w:val="24"/>
                <w:szCs w:val="24"/>
              </w:rPr>
              <w:t>30</w:t>
            </w:r>
            <w:r>
              <w:rPr>
                <w:rFonts w:ascii="宋体" w:hAnsi="宋体" w:eastAsia="宋体" w:cs="Times New Roman"/>
                <w:sz w:val="24"/>
                <w:szCs w:val="24"/>
              </w:rPr>
              <w:t>日</w:t>
            </w:r>
          </w:p>
        </w:tc>
        <w:tc>
          <w:tcPr>
            <w:tcW w:w="354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15A3456A">
            <w:pPr>
              <w:spacing w:line="360" w:lineRule="auto"/>
              <w:ind w:firstLine="480" w:firstLineChars="200"/>
              <w:jc w:val="center"/>
              <w:rPr>
                <w:rFonts w:ascii="Times New Roman" w:hAnsi="Times New Roman" w:eastAsia="宋体" w:cs="Times New Roman"/>
                <w:bCs/>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00</w:t>
            </w:r>
            <w:r>
              <w:rPr>
                <w:rFonts w:ascii="Times New Roman" w:hAnsi="Times New Roman" w:eastAsia="宋体" w:cs="Times New Roman"/>
                <w:sz w:val="24"/>
                <w:szCs w:val="24"/>
              </w:rPr>
              <w:t>%</w:t>
            </w:r>
          </w:p>
        </w:tc>
      </w:tr>
      <w:tr w14:paraId="7A44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38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059583">
            <w:pPr>
              <w:spacing w:line="360" w:lineRule="auto"/>
              <w:ind w:firstLine="480" w:firstLineChars="200"/>
              <w:jc w:val="center"/>
              <w:rPr>
                <w:rFonts w:ascii="Times New Roman" w:hAnsi="Times New Roman" w:eastAsia="宋体" w:cs="Times New Roman"/>
                <w:bCs/>
                <w:sz w:val="24"/>
                <w:szCs w:val="24"/>
              </w:rPr>
            </w:pPr>
            <w:r>
              <w:rPr>
                <w:rFonts w:ascii="Times New Roman" w:hAnsi="Times New Roman" w:eastAsia="宋体" w:cs="Times New Roman"/>
                <w:sz w:val="24"/>
                <w:szCs w:val="24"/>
              </w:rPr>
              <w:t>30</w:t>
            </w:r>
            <w:r>
              <w:rPr>
                <w:rFonts w:ascii="宋体" w:hAnsi="宋体" w:eastAsia="宋体" w:cs="Times New Roman"/>
                <w:sz w:val="24"/>
                <w:szCs w:val="24"/>
              </w:rPr>
              <w:t>日</w:t>
            </w:r>
            <w:r>
              <w:rPr>
                <w:rFonts w:hint="eastAsia" w:ascii="宋体" w:hAnsi="宋体" w:eastAsia="宋体" w:cs="Times New Roman"/>
                <w:sz w:val="24"/>
                <w:szCs w:val="24"/>
              </w:rPr>
              <w:t>≤</w:t>
            </w:r>
            <w:r>
              <w:rPr>
                <w:rFonts w:ascii="Times New Roman" w:hAnsi="Times New Roman" w:eastAsia="宋体" w:cs="Times New Roman"/>
                <w:sz w:val="24"/>
                <w:szCs w:val="24"/>
              </w:rPr>
              <w:t>N</w:t>
            </w:r>
            <w:r>
              <w:rPr>
                <w:rFonts w:ascii="宋体" w:hAnsi="宋体" w:eastAsia="宋体" w:cs="Times New Roman"/>
                <w:sz w:val="24"/>
                <w:szCs w:val="24"/>
              </w:rPr>
              <w:t>＜</w:t>
            </w:r>
            <w:r>
              <w:rPr>
                <w:rFonts w:ascii="Times New Roman" w:hAnsi="Times New Roman" w:eastAsia="宋体" w:cs="Times New Roman"/>
                <w:sz w:val="24"/>
                <w:szCs w:val="24"/>
              </w:rPr>
              <w:t>180日</w:t>
            </w:r>
          </w:p>
        </w:tc>
        <w:tc>
          <w:tcPr>
            <w:tcW w:w="354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0F458D26">
            <w:pPr>
              <w:spacing w:line="360" w:lineRule="auto"/>
              <w:ind w:firstLine="480" w:firstLineChars="200"/>
              <w:jc w:val="center"/>
              <w:rPr>
                <w:rFonts w:ascii="Times New Roman" w:hAnsi="Times New Roman" w:eastAsia="宋体" w:cs="Times New Roman"/>
                <w:bCs/>
                <w:sz w:val="24"/>
                <w:szCs w:val="24"/>
              </w:rPr>
            </w:pPr>
            <w:r>
              <w:rPr>
                <w:rFonts w:ascii="Times New Roman" w:hAnsi="Times New Roman" w:eastAsia="宋体" w:cs="Times New Roman"/>
                <w:sz w:val="24"/>
                <w:szCs w:val="24"/>
              </w:rPr>
              <w:t>0.50%</w:t>
            </w:r>
          </w:p>
        </w:tc>
      </w:tr>
      <w:tr w14:paraId="66B0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38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EF338C">
            <w:pPr>
              <w:spacing w:line="360" w:lineRule="auto"/>
              <w:ind w:firstLine="480" w:firstLineChars="200"/>
              <w:jc w:val="center"/>
              <w:rPr>
                <w:rFonts w:ascii="Times New Roman" w:hAnsi="Times New Roman" w:eastAsia="宋体" w:cs="Times New Roman"/>
                <w:bCs/>
                <w:sz w:val="24"/>
                <w:szCs w:val="24"/>
              </w:rPr>
            </w:pPr>
            <w:r>
              <w:rPr>
                <w:rFonts w:ascii="Times New Roman" w:hAnsi="Times New Roman" w:eastAsia="宋体" w:cs="Times New Roman"/>
                <w:sz w:val="24"/>
                <w:szCs w:val="24"/>
              </w:rPr>
              <w:t>N</w:t>
            </w:r>
            <w:r>
              <w:rPr>
                <w:rFonts w:hint="eastAsia" w:ascii="宋体" w:hAnsi="宋体" w:eastAsia="宋体" w:cs="Times New Roman"/>
                <w:sz w:val="24"/>
                <w:szCs w:val="24"/>
              </w:rPr>
              <w:t>≥</w:t>
            </w:r>
            <w:r>
              <w:rPr>
                <w:rFonts w:ascii="Times New Roman" w:hAnsi="Times New Roman" w:eastAsia="宋体" w:cs="Times New Roman"/>
                <w:sz w:val="24"/>
                <w:szCs w:val="24"/>
              </w:rPr>
              <w:t>180日</w:t>
            </w:r>
          </w:p>
        </w:tc>
        <w:tc>
          <w:tcPr>
            <w:tcW w:w="354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7A995075">
            <w:pPr>
              <w:spacing w:line="360" w:lineRule="auto"/>
              <w:ind w:firstLine="480" w:firstLineChars="200"/>
              <w:jc w:val="center"/>
              <w:rPr>
                <w:rFonts w:ascii="Times New Roman" w:hAnsi="Times New Roman" w:eastAsia="宋体" w:cs="Times New Roman"/>
                <w:bCs/>
                <w:sz w:val="24"/>
                <w:szCs w:val="24"/>
              </w:rPr>
            </w:pPr>
            <w:r>
              <w:rPr>
                <w:rFonts w:ascii="Times New Roman" w:hAnsi="Times New Roman" w:eastAsia="宋体" w:cs="Times New Roman"/>
                <w:sz w:val="24"/>
                <w:szCs w:val="24"/>
              </w:rPr>
              <w:t>0</w:t>
            </w:r>
          </w:p>
        </w:tc>
      </w:tr>
    </w:tbl>
    <w:p w14:paraId="1D3BA7D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（注：赎回份额持有时间的计算，以该份额自登记机构确认之日开始计算。）</w:t>
      </w:r>
    </w:p>
    <w:p w14:paraId="14A1DFA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投资者赎回基金份额产生的赎回费，将全额计入基金财产。</w:t>
      </w:r>
    </w:p>
    <w:p w14:paraId="210EFF7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3、基金管理人可以在基金合同约定的范围内调整费率或收费方式，并最迟应于新的费率或收费方式实施日前依照《信息披露办法》的有关规定在规定媒介上公告。</w:t>
      </w:r>
    </w:p>
    <w:p w14:paraId="576C19C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6924D58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、当本基金发生大额申购或赎回情形时，基金管理人可以采用摆动定价机制，以确保基金估值的公平性。具体处理原则与操作规范遵循相关法律法规以及监管部门、自律规则的规定。</w:t>
      </w:r>
    </w:p>
    <w:p w14:paraId="45219DA0">
      <w:pPr>
        <w:spacing w:line="360" w:lineRule="auto"/>
        <w:ind w:firstLine="482" w:firstLineChars="200"/>
        <w:rPr>
          <w:rFonts w:ascii="Times New Roman" w:hAnsi="Times New Roman" w:eastAsia="宋体" w:cs="Times New Roman"/>
          <w:b/>
          <w:sz w:val="24"/>
          <w:szCs w:val="24"/>
        </w:rPr>
      </w:pPr>
      <w:bookmarkStart w:id="95" w:name="_Toc79392613"/>
      <w:r>
        <w:rPr>
          <w:rFonts w:hint="eastAsia" w:ascii="Times New Roman" w:hAnsi="Times New Roman" w:eastAsia="宋体" w:cs="Times New Roman"/>
          <w:b/>
          <w:sz w:val="24"/>
          <w:szCs w:val="24"/>
        </w:rPr>
        <w:t>七、申购份额与赎回金额的计算</w:t>
      </w:r>
      <w:bookmarkEnd w:id="95"/>
    </w:p>
    <w:p w14:paraId="35A8D25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1、申购份额的计算</w:t>
      </w:r>
    </w:p>
    <w:p w14:paraId="289993C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（1）投资者申购本基金A类基金份额的计算方式</w:t>
      </w:r>
    </w:p>
    <w:p w14:paraId="26C6A95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1）若投资者通过直销机构申购本基金A类基金份额：</w:t>
      </w:r>
    </w:p>
    <w:p w14:paraId="2E5B07A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申购份额＝申购金额/申购日A类基金份额净值</w:t>
      </w:r>
    </w:p>
    <w:p w14:paraId="75409EF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例：某投资者通过直销机构投资50,000元申购本基金A类基金份额，假设申购当日A类基金份额净值为1.0400元，则其可得到的申购份额为：</w:t>
      </w:r>
    </w:p>
    <w:p w14:paraId="4B1ECCF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申购份额=50,000/1.0400=48,076.92份</w:t>
      </w:r>
    </w:p>
    <w:p w14:paraId="77A9B66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即：该投资者通过直销机构投资50,000元申购本基金A类基金份额，假设申购当日A类基金份额净值为1.0400元，则可得到48,076.92份A类基金份额。</w:t>
      </w:r>
    </w:p>
    <w:p w14:paraId="5F05AC9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2）若投资者通过代销机构申购本基金A类基金份额：</w:t>
      </w:r>
    </w:p>
    <w:p w14:paraId="77BC358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当申购费用适用比例费率时，申购份额的计算方法如下：</w:t>
      </w:r>
    </w:p>
    <w:p w14:paraId="0A5DD60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净申购金额＝申购金额/（1＋申购费率）</w:t>
      </w:r>
    </w:p>
    <w:p w14:paraId="4CE9AD7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申购费用＝申购金额－净申购金额</w:t>
      </w:r>
    </w:p>
    <w:p w14:paraId="3BB10BB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申购份额＝净申购金额/申购日A类基金份额净值</w:t>
      </w:r>
    </w:p>
    <w:p w14:paraId="121B68F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当申购费用为固定金额时，申购份额的计算方法如下：</w:t>
      </w:r>
    </w:p>
    <w:p w14:paraId="40976EE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申购费用＝固定金额</w:t>
      </w:r>
    </w:p>
    <w:p w14:paraId="0C86683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净申购金额＝申购金额－申购费用</w:t>
      </w:r>
    </w:p>
    <w:p w14:paraId="1B58C6B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申购份额＝净申购金额/申购日A类基金份额净值</w:t>
      </w:r>
    </w:p>
    <w:p w14:paraId="32F38EB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例：某投资者通过代销机构投资40,000元申购本基金A类基金份额，则对应的申购费率为0.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0%，假设申购当日A类基金份额净值为1.0400元，则其可得到的申购份额为：</w:t>
      </w:r>
    </w:p>
    <w:p w14:paraId="5EEA805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净申购金额=40,000/（1+0.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0%）=</w:t>
      </w:r>
      <w:r>
        <w:rPr>
          <w:rFonts w:ascii="Times New Roman" w:hAnsi="Times New Roman" w:eastAsia="宋体" w:cs="Times New Roman"/>
          <w:sz w:val="24"/>
          <w:szCs w:val="24"/>
        </w:rPr>
        <w:t>39,801.00</w:t>
      </w:r>
      <w:r>
        <w:rPr>
          <w:rFonts w:hint="eastAsia" w:ascii="Times New Roman" w:hAnsi="Times New Roman" w:eastAsia="宋体" w:cs="Times New Roman"/>
          <w:sz w:val="24"/>
          <w:szCs w:val="24"/>
        </w:rPr>
        <w:t>元</w:t>
      </w:r>
    </w:p>
    <w:p w14:paraId="4F6FA58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申购费用=40,000-</w:t>
      </w:r>
      <w:r>
        <w:rPr>
          <w:rFonts w:ascii="Times New Roman" w:hAnsi="Times New Roman" w:eastAsia="宋体" w:cs="Times New Roman"/>
          <w:sz w:val="24"/>
          <w:szCs w:val="24"/>
        </w:rPr>
        <w:t>39,801.00</w:t>
      </w:r>
      <w:r>
        <w:rPr>
          <w:rFonts w:hint="eastAsia" w:ascii="Times New Roman" w:hAnsi="Times New Roman" w:eastAsia="宋体" w:cs="Times New Roman"/>
          <w:sz w:val="24"/>
          <w:szCs w:val="24"/>
        </w:rPr>
        <w:t>=</w:t>
      </w:r>
      <w:r>
        <w:rPr>
          <w:rFonts w:ascii="Times New Roman" w:hAnsi="Times New Roman" w:eastAsia="宋体" w:cs="Times New Roman"/>
          <w:sz w:val="24"/>
          <w:szCs w:val="24"/>
        </w:rPr>
        <w:t>199.00</w:t>
      </w:r>
      <w:r>
        <w:rPr>
          <w:rFonts w:hint="eastAsia" w:ascii="Times New Roman" w:hAnsi="Times New Roman" w:eastAsia="宋体" w:cs="Times New Roman"/>
          <w:sz w:val="24"/>
          <w:szCs w:val="24"/>
        </w:rPr>
        <w:t>元</w:t>
      </w:r>
    </w:p>
    <w:p w14:paraId="0B196FD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申购份额=</w:t>
      </w:r>
      <w:r>
        <w:rPr>
          <w:rFonts w:ascii="Times New Roman" w:hAnsi="Times New Roman" w:eastAsia="宋体" w:cs="Times New Roman"/>
          <w:sz w:val="24"/>
          <w:szCs w:val="24"/>
        </w:rPr>
        <w:t>39,801.00</w:t>
      </w:r>
      <w:r>
        <w:rPr>
          <w:rFonts w:hint="eastAsia" w:ascii="Times New Roman" w:hAnsi="Times New Roman" w:eastAsia="宋体" w:cs="Times New Roman"/>
          <w:sz w:val="24"/>
          <w:szCs w:val="24"/>
        </w:rPr>
        <w:t>/1.0400=</w:t>
      </w:r>
      <w:r>
        <w:rPr>
          <w:rFonts w:ascii="Times New Roman" w:hAnsi="Times New Roman" w:eastAsia="宋体" w:cs="Times New Roman"/>
          <w:sz w:val="24"/>
          <w:szCs w:val="24"/>
        </w:rPr>
        <w:t>38,270.19</w:t>
      </w:r>
      <w:r>
        <w:rPr>
          <w:rFonts w:hint="eastAsia" w:ascii="Times New Roman" w:hAnsi="Times New Roman" w:eastAsia="宋体" w:cs="Times New Roman"/>
          <w:sz w:val="24"/>
          <w:szCs w:val="24"/>
        </w:rPr>
        <w:t>份</w:t>
      </w:r>
    </w:p>
    <w:p w14:paraId="0863CB8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即：该投资者通过代销机构投资40,000元申购本基金A类基金份额，则对应的申购费率为0.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0%，假设申购当日A类基金份额净值为1.0400元，则可得到</w:t>
      </w:r>
      <w:r>
        <w:rPr>
          <w:rFonts w:ascii="Times New Roman" w:hAnsi="Times New Roman" w:eastAsia="宋体" w:cs="Times New Roman"/>
          <w:sz w:val="24"/>
          <w:szCs w:val="24"/>
        </w:rPr>
        <w:t>38,270.19</w:t>
      </w:r>
      <w:r>
        <w:rPr>
          <w:rFonts w:hint="eastAsia" w:ascii="Times New Roman" w:hAnsi="Times New Roman" w:eastAsia="宋体" w:cs="Times New Roman"/>
          <w:sz w:val="24"/>
          <w:szCs w:val="24"/>
        </w:rPr>
        <w:t>份A类基金份额。</w:t>
      </w:r>
    </w:p>
    <w:p w14:paraId="37CC584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（2）申购本基金C类基金份额时不收取申购费用，申购份额计算方法如下：</w:t>
      </w:r>
    </w:p>
    <w:p w14:paraId="3563C1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申购份额=申购金额/申购日C类基金份额净值</w:t>
      </w:r>
    </w:p>
    <w:p w14:paraId="6D1D986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例：某投资者投资50,000元申购本基金C类基金份额，假设申购当日C类基金份额净值为1.2000元，则其可得到的申购份额为：</w:t>
      </w:r>
    </w:p>
    <w:p w14:paraId="134F2FB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申购份额=50,000/1.2000＝41,666.67份</w:t>
      </w:r>
    </w:p>
    <w:p w14:paraId="0AC1035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即：该投资者投资50,000元申购本基金C类基金份额，假设申购当日C类基金份额净值为1.2000元，则可得到41,666.67份C类基金份额。</w:t>
      </w:r>
    </w:p>
    <w:p w14:paraId="34BF70A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（3）上述计算结果均按四舍五入方法，保留到小数点后2位，由此产生的收益或损失由基金财产承担。</w:t>
      </w:r>
    </w:p>
    <w:p w14:paraId="2F52B61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2、赎回金额的计算</w:t>
      </w:r>
    </w:p>
    <w:p w14:paraId="131FE23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（1）投资者赎回本基金A类基金份额的计算方式</w:t>
      </w:r>
    </w:p>
    <w:p w14:paraId="49359C9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赎回总金额＝赎回份额×赎回当日A类基金份额净值</w:t>
      </w:r>
    </w:p>
    <w:p w14:paraId="28C4189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赎回费用＝赎回总金额×赎回费率</w:t>
      </w:r>
    </w:p>
    <w:p w14:paraId="05EFBE8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净赎回金额＝赎回总金额-赎回费用</w:t>
      </w:r>
    </w:p>
    <w:p w14:paraId="15149E8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例：某投资者在T日赎回10,000份A类基金份额，持有时间为30日，对应的赎回费率为0.50%，假设赎回当日A类基金份额净值为1.2500元，则其获得的净赎回金额计算如下：</w:t>
      </w:r>
    </w:p>
    <w:p w14:paraId="22ADF80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赎回总金额＝1.2500×10,000＝12,500.00元</w:t>
      </w:r>
    </w:p>
    <w:p w14:paraId="1C78A7D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赎回费用＝12,500.00×0.50%＝62.50元</w:t>
      </w:r>
    </w:p>
    <w:p w14:paraId="25975EB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净赎回金额＝12,500.00－62.50＝12,437.50元</w:t>
      </w:r>
    </w:p>
    <w:p w14:paraId="4EDAC190">
      <w:pPr>
        <w:spacing w:line="360" w:lineRule="auto"/>
        <w:ind w:firstLine="480" w:firstLineChars="200"/>
        <w:rPr>
          <w:rFonts w:hint="eastAsia" w:ascii="宋体" w:hAnsi="宋体" w:eastAsia="宋体" w:cs="Times New Roman"/>
          <w:sz w:val="24"/>
          <w:szCs w:val="24"/>
        </w:rPr>
      </w:pPr>
      <w:r>
        <w:rPr>
          <w:rFonts w:hint="eastAsia" w:ascii="Times New Roman" w:hAnsi="Times New Roman" w:eastAsia="宋体" w:cs="Times New Roman"/>
          <w:sz w:val="24"/>
          <w:szCs w:val="24"/>
        </w:rPr>
        <w:t>即：该投资者赎回10,000份A类基金份额，持有时间为30日，对应的赎回费率为0.50%，假设赎回当日A类基金份额净值为1.2500元，则其获得的净赎回金额为12,437.50元。</w:t>
      </w:r>
    </w:p>
    <w:p w14:paraId="7352A21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（2）投资者赎回本基金C类基金份额的计算方式</w:t>
      </w:r>
    </w:p>
    <w:p w14:paraId="4421AEC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1）若投资者赎回通过直销机构认购（申购）的C类基金份额：</w:t>
      </w:r>
    </w:p>
    <w:p w14:paraId="0DCE428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赎回总金额=赎回份额×赎回当日C类基金份额净值</w:t>
      </w:r>
    </w:p>
    <w:p w14:paraId="3CDC000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赎回费用＝赎回总金额×赎回费率</w:t>
      </w:r>
    </w:p>
    <w:p w14:paraId="5EF8E59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净赎回金额=赎回总金额-赎回费用+该笔赎回确认应返还的销售服务费</w:t>
      </w:r>
    </w:p>
    <w:p w14:paraId="43F1944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例：某投资者在T日赎回</w:t>
      </w:r>
      <w:r>
        <w:rPr>
          <w:rFonts w:hint="eastAsia" w:ascii="宋体" w:hAnsi="宋体" w:eastAsia="宋体" w:cs="Times New Roman"/>
          <w:sz w:val="24"/>
          <w:szCs w:val="24"/>
        </w:rPr>
        <w:t>通过直销机构认购（申购）的</w:t>
      </w:r>
      <w:r>
        <w:rPr>
          <w:rFonts w:hint="eastAsia" w:ascii="Times New Roman" w:hAnsi="Times New Roman" w:eastAsia="宋体" w:cs="Times New Roman"/>
          <w:sz w:val="24"/>
          <w:szCs w:val="24"/>
        </w:rPr>
        <w:t>10,000份C类基金份额，持有时间为200日，对应的赎回费率为0，假设赎回当日C类基金份额净值为1.2500元，若应返还的销售服务费为15元，则其获得的净赎回金额计算如下：</w:t>
      </w:r>
    </w:p>
    <w:p w14:paraId="7C115CB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赎回总金额＝1.2500×10,000＝12,500.00元</w:t>
      </w:r>
    </w:p>
    <w:p w14:paraId="7E04CBF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赎回费用＝12,500.00×0%=0.00元</w:t>
      </w:r>
    </w:p>
    <w:p w14:paraId="34E0536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净赎回金额=12,500.00－0.00+15.00=12,515.00元</w:t>
      </w:r>
    </w:p>
    <w:p w14:paraId="1A71B93B">
      <w:pPr>
        <w:spacing w:line="360" w:lineRule="auto"/>
        <w:ind w:firstLine="480" w:firstLineChars="200"/>
        <w:rPr>
          <w:rFonts w:hint="eastAsia" w:ascii="宋体" w:hAnsi="宋体" w:eastAsia="宋体" w:cs="Times New Roman"/>
          <w:sz w:val="24"/>
          <w:szCs w:val="24"/>
        </w:rPr>
      </w:pPr>
      <w:r>
        <w:rPr>
          <w:rFonts w:hint="eastAsia" w:ascii="Times New Roman" w:hAnsi="Times New Roman" w:eastAsia="宋体" w:cs="Times New Roman"/>
          <w:sz w:val="24"/>
          <w:szCs w:val="24"/>
        </w:rPr>
        <w:t>即：该投资者赎回</w:t>
      </w:r>
      <w:r>
        <w:rPr>
          <w:rFonts w:hint="eastAsia" w:ascii="宋体" w:hAnsi="宋体" w:eastAsia="宋体" w:cs="Times New Roman"/>
          <w:sz w:val="24"/>
          <w:szCs w:val="24"/>
        </w:rPr>
        <w:t>通过直销机构认购（申购）的</w:t>
      </w:r>
      <w:r>
        <w:rPr>
          <w:rFonts w:hint="eastAsia" w:ascii="Times New Roman" w:hAnsi="Times New Roman" w:eastAsia="宋体" w:cs="Times New Roman"/>
          <w:sz w:val="24"/>
          <w:szCs w:val="24"/>
        </w:rPr>
        <w:t>10,000份C类基金份额，持有时间为200日，对应的赎回费率为0，假设赎回当日C类基金份额净值为1.2500元，若应返还的销售服务费为15元，则其获得的净赎回金额为12,515.00元。</w:t>
      </w:r>
    </w:p>
    <w:p w14:paraId="7BA3428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2）若投资者赎回通过代销机构认购（申购）的C类基金份额：</w:t>
      </w:r>
    </w:p>
    <w:p w14:paraId="413BA4A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赎回总金额=赎回份额×赎回当日C类基金份额净值</w:t>
      </w:r>
    </w:p>
    <w:p w14:paraId="2827BD3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赎回费用＝赎回总金额×赎回费率</w:t>
      </w:r>
    </w:p>
    <w:p w14:paraId="17936D3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净赎回金额=赎回总金额-赎回费用+该笔赎回确认应返还的销售服务费（如有）</w:t>
      </w:r>
    </w:p>
    <w:p w14:paraId="0DD2406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该笔赎回是否涉及返还销售服务费的具体条件以对应份额持续持有期限是否超过一年（即365天，下同）为依据，具体以登记机构确认数据为准。</w:t>
      </w:r>
    </w:p>
    <w:p w14:paraId="48D1856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在T日赎回通过代销机构认购（申购）的10,000份C类基金份额，持有时间为200日（未满365日），对应的赎回费率为0，假设赎回当日C类基金份额净值为1.2500元，不涉及返还销售服务费，其获得的净赎回金额计算如下：</w:t>
      </w:r>
    </w:p>
    <w:p w14:paraId="1C4C620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赎回总金额＝1.2500×10,000＝12,500.00元</w:t>
      </w:r>
    </w:p>
    <w:p w14:paraId="4C88BD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赎回费用＝12,500.00×0%＝0.00元</w:t>
      </w:r>
    </w:p>
    <w:p w14:paraId="1E4F31C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净赎回金额=12,500.00-0.00=12,500.00元</w:t>
      </w:r>
    </w:p>
    <w:p w14:paraId="05263A5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即：该投资者赎回通过代销机构认购（申购）的10,000份C类基金份额，持有时间为200日（未满365日），对应的赎回费率为0，假设赎回当日C类基金份额净值为1.2500元，不涉及返还销售服务费，则其获得的净赎回金额为12,500.00元。</w:t>
      </w:r>
    </w:p>
    <w:p w14:paraId="7C595DC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例：某投资者在T日赎回</w:t>
      </w:r>
      <w:r>
        <w:rPr>
          <w:rFonts w:hint="eastAsia" w:ascii="宋体" w:hAnsi="宋体" w:eastAsia="宋体" w:cs="Times New Roman"/>
          <w:sz w:val="24"/>
          <w:szCs w:val="24"/>
        </w:rPr>
        <w:t>通过代销机构认购（申购）的</w:t>
      </w:r>
      <w:r>
        <w:rPr>
          <w:rFonts w:hint="eastAsia" w:ascii="Times New Roman" w:hAnsi="Times New Roman" w:eastAsia="宋体" w:cs="Times New Roman"/>
          <w:sz w:val="24"/>
          <w:szCs w:val="24"/>
        </w:rPr>
        <w:t>10,000份C类基金份额，持有时间为400日（超过365日），对应的赎回费率为0，假设赎回当日C类基金份额净值为1.2500元，若应返还的销售服务费为5.00元，其获得的净赎回金额计算如下：</w:t>
      </w:r>
    </w:p>
    <w:p w14:paraId="1E65B2D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赎回总金额＝1.2500×10,000＝12,500.00元</w:t>
      </w:r>
    </w:p>
    <w:p w14:paraId="5D75BA5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赎回费用＝12,500.00×0%＝0.00元</w:t>
      </w:r>
    </w:p>
    <w:p w14:paraId="5E6F61E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净赎回金额=12,500.00-0.00</w:t>
      </w:r>
      <w:r>
        <w:rPr>
          <w:rFonts w:ascii="Times New Roman" w:hAnsi="Times New Roman" w:eastAsia="宋体" w:cs="Times New Roman"/>
          <w:sz w:val="24"/>
          <w:szCs w:val="24"/>
        </w:rPr>
        <w:t>+5.00</w:t>
      </w:r>
      <w:r>
        <w:rPr>
          <w:rFonts w:hint="eastAsia" w:ascii="Times New Roman" w:hAnsi="Times New Roman" w:eastAsia="宋体" w:cs="Times New Roman"/>
          <w:sz w:val="24"/>
          <w:szCs w:val="24"/>
        </w:rPr>
        <w:t>=12,505.00元</w:t>
      </w:r>
    </w:p>
    <w:p w14:paraId="2071DD6A">
      <w:pPr>
        <w:spacing w:line="360" w:lineRule="auto"/>
        <w:ind w:firstLine="480" w:firstLineChars="200"/>
        <w:rPr>
          <w:rFonts w:hint="eastAsia" w:ascii="宋体" w:hAnsi="宋体" w:eastAsia="宋体" w:cs="Times New Roman"/>
          <w:sz w:val="24"/>
          <w:szCs w:val="24"/>
        </w:rPr>
      </w:pPr>
      <w:r>
        <w:rPr>
          <w:rFonts w:hint="eastAsia" w:ascii="Times New Roman" w:hAnsi="Times New Roman" w:eastAsia="宋体" w:cs="Times New Roman"/>
          <w:sz w:val="24"/>
          <w:szCs w:val="24"/>
        </w:rPr>
        <w:t>即：该投资者赎回</w:t>
      </w:r>
      <w:r>
        <w:rPr>
          <w:rFonts w:hint="eastAsia" w:ascii="宋体" w:hAnsi="宋体" w:eastAsia="宋体" w:cs="Times New Roman"/>
          <w:sz w:val="24"/>
          <w:szCs w:val="24"/>
        </w:rPr>
        <w:t>通过代销机构认购（申购）的</w:t>
      </w:r>
      <w:r>
        <w:rPr>
          <w:rFonts w:hint="eastAsia" w:ascii="Times New Roman" w:hAnsi="Times New Roman" w:eastAsia="宋体" w:cs="Times New Roman"/>
          <w:sz w:val="24"/>
          <w:szCs w:val="24"/>
        </w:rPr>
        <w:t>10,000份C类基金份额，持有时间为400日（超过365日），对应的赎回费率为0，假设赎回当日C类基金份额净值为1.2500元，若应返还的销售服务费为5.00元，则其获得的净赎回金额为12,505.00元。</w:t>
      </w:r>
    </w:p>
    <w:p w14:paraId="381A3322">
      <w:pPr>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（3）上述计算结果均按四舍五入方法，保留到小数点后2位，由此产生的收益或损失由基金财产承担。</w:t>
      </w:r>
    </w:p>
    <w:p w14:paraId="73C4647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如基金管理人根据法律法规或监管机构的要求，对相关费用的收取、返还方式有调整、更新的（不涉及费用收取条件、金额调整），则以届时更新的招募说明书或相关公告为准。</w:t>
      </w:r>
    </w:p>
    <w:p w14:paraId="7682620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3、本基金基金份额净值的计算</w:t>
      </w:r>
    </w:p>
    <w:p w14:paraId="02F81DCF">
      <w:pPr>
        <w:spacing w:line="360" w:lineRule="auto"/>
        <w:ind w:firstLine="480" w:firstLineChars="200"/>
        <w:rPr>
          <w:rFonts w:ascii="Times New Roman" w:hAnsi="Times New Roman" w:eastAsia="宋体" w:cs="Times New Roman"/>
          <w:bCs/>
          <w:sz w:val="24"/>
          <w:szCs w:val="24"/>
        </w:rPr>
      </w:pPr>
      <w:bookmarkStart w:id="96" w:name="OLE_LINK69"/>
      <w:r>
        <w:rPr>
          <w:rFonts w:hint="eastAsia" w:ascii="Times New Roman" w:hAnsi="Times New Roman" w:eastAsia="宋体" w:cs="Times New Roman"/>
          <w:bCs/>
          <w:sz w:val="24"/>
          <w:szCs w:val="24"/>
        </w:rPr>
        <w:t>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14:paraId="039C51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bookmarkEnd w:id="96"/>
    <w:p w14:paraId="3B639E8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4、申购份额的计算及余额的处理方式：</w:t>
      </w:r>
    </w:p>
    <w:p w14:paraId="77C5334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申购的有效份额为净申购金额除以当日的</w:t>
      </w:r>
      <w:r>
        <w:rPr>
          <w:rFonts w:hint="eastAsia" w:ascii="Times New Roman" w:hAnsi="Times New Roman" w:eastAsia="宋体" w:cs="Times New Roman"/>
          <w:bCs/>
          <w:sz w:val="24"/>
        </w:rPr>
        <w:t>该类</w:t>
      </w:r>
      <w:r>
        <w:rPr>
          <w:rFonts w:ascii="Times New Roman" w:hAnsi="Times New Roman" w:eastAsia="宋体" w:cs="Times New Roman"/>
          <w:bCs/>
          <w:sz w:val="24"/>
          <w:szCs w:val="24"/>
        </w:rPr>
        <w:t>基金份额净值，有效份额单位为份，上述计算结果均按四舍五入方法，保留到小数点后</w:t>
      </w: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位，由此产生的收益或损失由基金财产承担。</w:t>
      </w:r>
    </w:p>
    <w:p w14:paraId="634D6D4E">
      <w:pPr>
        <w:spacing w:line="360" w:lineRule="auto"/>
        <w:ind w:firstLine="480" w:firstLineChars="200"/>
        <w:rPr>
          <w:rFonts w:ascii="Times New Roman" w:hAnsi="Times New Roman" w:eastAsia="宋体" w:cs="Times New Roman"/>
          <w:sz w:val="24"/>
          <w:szCs w:val="24"/>
        </w:rPr>
      </w:pPr>
      <w:bookmarkStart w:id="97" w:name="OLE_LINK87"/>
      <w:r>
        <w:rPr>
          <w:rFonts w:ascii="Times New Roman" w:hAnsi="Times New Roman" w:eastAsia="宋体" w:cs="Times New Roman"/>
          <w:sz w:val="24"/>
          <w:szCs w:val="24"/>
        </w:rPr>
        <w:t>5</w:t>
      </w:r>
      <w:r>
        <w:rPr>
          <w:rFonts w:hint="eastAsia" w:ascii="Times New Roman" w:hAnsi="Times New Roman" w:eastAsia="宋体" w:cs="Times New Roman"/>
          <w:sz w:val="24"/>
          <w:szCs w:val="24"/>
        </w:rPr>
        <w:t>、赎回金额的计算及处理方式：</w:t>
      </w:r>
    </w:p>
    <w:p w14:paraId="0ED6A35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赎回金额为按实际确认的有效赎回份额乘以当日</w:t>
      </w:r>
      <w:r>
        <w:rPr>
          <w:rFonts w:hint="eastAsia" w:ascii="Times New Roman" w:hAnsi="Times New Roman" w:eastAsia="宋体" w:cs="Times New Roman"/>
          <w:bCs/>
          <w:sz w:val="24"/>
        </w:rPr>
        <w:t>该类</w:t>
      </w:r>
      <w:r>
        <w:rPr>
          <w:rFonts w:hint="eastAsia" w:ascii="Times New Roman" w:hAnsi="Times New Roman" w:eastAsia="宋体" w:cs="Times New Roman"/>
          <w:bCs/>
          <w:sz w:val="24"/>
          <w:szCs w:val="24"/>
        </w:rPr>
        <w:t>基金份额净值并扣除或加上相应的费用（如有），赎回金额单位为元。上述计算结果均按四舍五入方法，保留到小数点后</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位，由此产生的收益或损失由基金财产承担。</w:t>
      </w:r>
    </w:p>
    <w:bookmarkEnd w:id="97"/>
    <w:p w14:paraId="5B448E07">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八、</w:t>
      </w:r>
      <w:r>
        <w:rPr>
          <w:rFonts w:ascii="宋体" w:hAnsi="宋体" w:eastAsia="宋体" w:cs="Times New Roman"/>
          <w:b/>
          <w:bCs/>
          <w:sz w:val="24"/>
          <w:szCs w:val="24"/>
        </w:rPr>
        <w:t>拒绝或暂停申购的情形</w:t>
      </w:r>
    </w:p>
    <w:p w14:paraId="70098B71">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发生下列情况时，基金管理人可拒绝或暂停接受投资者的申购申请：</w:t>
      </w:r>
    </w:p>
    <w:p w14:paraId="3937534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宋体" w:hAnsi="宋体" w:eastAsia="宋体" w:cs="Times New Roman"/>
          <w:bCs/>
          <w:sz w:val="24"/>
          <w:szCs w:val="24"/>
        </w:rPr>
        <w:t>、</w:t>
      </w:r>
      <w:r>
        <w:rPr>
          <w:rFonts w:ascii="宋体" w:hAnsi="宋体" w:eastAsia="宋体" w:cs="Times New Roman"/>
          <w:bCs/>
          <w:sz w:val="24"/>
          <w:szCs w:val="24"/>
        </w:rPr>
        <w:t>因不可抗力导致基金无法正常运作。</w:t>
      </w:r>
    </w:p>
    <w:p w14:paraId="1A82B3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hint="eastAsia" w:ascii="宋体" w:hAnsi="宋体" w:eastAsia="宋体" w:cs="Times New Roman"/>
          <w:bCs/>
          <w:sz w:val="24"/>
          <w:szCs w:val="24"/>
        </w:rPr>
        <w:t>、发生基金合同规定的暂停基金资产估值情况时，基金管理人可暂停接受投资人的申购申请。</w:t>
      </w:r>
    </w:p>
    <w:p w14:paraId="233D12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宋体" w:hAnsi="宋体" w:eastAsia="宋体" w:cs="Times New Roman"/>
          <w:bCs/>
          <w:sz w:val="24"/>
          <w:szCs w:val="24"/>
        </w:rPr>
        <w:t>、证券、期货交易所或外汇市场交易时间非正常停市，或基金参与港股通交易且港股通暂停交易、外汇市场休市，导致基金管理人无法计算当日基金资产净值或无法进行证券/期货交易。</w:t>
      </w:r>
    </w:p>
    <w:p w14:paraId="78EDCBC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宋体" w:hAnsi="宋体" w:eastAsia="宋体" w:cs="Times New Roman"/>
          <w:bCs/>
          <w:sz w:val="24"/>
          <w:szCs w:val="24"/>
        </w:rPr>
        <w:t>、</w:t>
      </w:r>
      <w:r>
        <w:rPr>
          <w:rFonts w:ascii="宋体" w:hAnsi="宋体" w:eastAsia="宋体" w:cs="Times New Roman"/>
          <w:bCs/>
          <w:sz w:val="24"/>
          <w:szCs w:val="24"/>
        </w:rPr>
        <w:t>接受某笔或某些申购申请可能会影响或损害现有基金份额持有人利益时。</w:t>
      </w:r>
    </w:p>
    <w:p w14:paraId="55AEEC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ascii="宋体" w:hAnsi="宋体" w:eastAsia="宋体" w:cs="Times New Roman"/>
          <w:bCs/>
          <w:sz w:val="24"/>
          <w:szCs w:val="24"/>
        </w:rPr>
        <w:t>、基金管理人接受某笔或者某些申购申请有可能导致单一投资者持有基金份额的比例达到或者超过</w:t>
      </w:r>
      <w:r>
        <w:rPr>
          <w:rFonts w:hint="eastAsia" w:ascii="Times New Roman" w:hAnsi="Times New Roman" w:eastAsia="宋体" w:cs="Times New Roman"/>
          <w:bCs/>
          <w:sz w:val="24"/>
          <w:szCs w:val="24"/>
        </w:rPr>
        <w:t>50%</w:t>
      </w:r>
      <w:r>
        <w:rPr>
          <w:rFonts w:hint="eastAsia" w:ascii="宋体" w:hAnsi="宋体" w:eastAsia="宋体" w:cs="Times New Roman"/>
          <w:bCs/>
          <w:sz w:val="24"/>
          <w:szCs w:val="24"/>
        </w:rPr>
        <w:t>，或者变相规避</w:t>
      </w:r>
      <w:r>
        <w:rPr>
          <w:rFonts w:hint="eastAsia" w:ascii="Times New Roman" w:hAnsi="Times New Roman" w:eastAsia="宋体" w:cs="Times New Roman"/>
          <w:bCs/>
          <w:sz w:val="24"/>
          <w:szCs w:val="24"/>
        </w:rPr>
        <w:t>50%</w:t>
      </w:r>
      <w:r>
        <w:rPr>
          <w:rFonts w:hint="eastAsia" w:ascii="宋体" w:hAnsi="宋体" w:eastAsia="宋体" w:cs="Times New Roman"/>
          <w:bCs/>
          <w:sz w:val="24"/>
          <w:szCs w:val="24"/>
        </w:rPr>
        <w:t>集中度的情形时。</w:t>
      </w:r>
    </w:p>
    <w:p w14:paraId="32A5843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w:t>
      </w:r>
      <w:r>
        <w:rPr>
          <w:rFonts w:hint="eastAsia" w:ascii="宋体" w:hAnsi="宋体" w:eastAsia="宋体" w:cs="Times New Roman"/>
          <w:bCs/>
          <w:sz w:val="24"/>
          <w:szCs w:val="24"/>
        </w:rPr>
        <w:t>、</w:t>
      </w:r>
      <w:r>
        <w:rPr>
          <w:rFonts w:ascii="宋体" w:hAnsi="宋体" w:eastAsia="宋体" w:cs="Times New Roman"/>
          <w:bCs/>
          <w:sz w:val="24"/>
          <w:szCs w:val="24"/>
        </w:rPr>
        <w:t>基金资产规模过大，使基金管理人无法找到合适的投资品种，或其他可能对基金业绩产生负面影响，或发生其他损害现有基金份额持有人利益的情形。</w:t>
      </w:r>
    </w:p>
    <w:p w14:paraId="12CEA7E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宋体" w:hAnsi="宋体" w:eastAsia="宋体" w:cs="Times New Roman"/>
          <w:bCs/>
          <w:sz w:val="24"/>
          <w:szCs w:val="24"/>
        </w:rPr>
        <w:t>、基金管理人、基金托管人、基金销售机构或登记机构的异常情况导致基金销售系统、登记系统或基金会计系统无法正常运行。</w:t>
      </w:r>
    </w:p>
    <w:p w14:paraId="1D0BDB9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w:t>
      </w:r>
      <w:r>
        <w:rPr>
          <w:rFonts w:hint="eastAsia" w:ascii="宋体" w:hAnsi="宋体" w:eastAsia="宋体" w:cs="Times New Roman"/>
          <w:bCs/>
          <w:sz w:val="24"/>
          <w:szCs w:val="24"/>
        </w:rPr>
        <w:t>、当前一估值日基金资产净值</w:t>
      </w:r>
      <w:r>
        <w:rPr>
          <w:rFonts w:hint="eastAsia" w:ascii="Times New Roman" w:hAnsi="Times New Roman" w:eastAsia="宋体" w:cs="Times New Roman"/>
          <w:bCs/>
          <w:sz w:val="24"/>
          <w:szCs w:val="24"/>
        </w:rPr>
        <w:t>50%</w:t>
      </w:r>
      <w:r>
        <w:rPr>
          <w:rFonts w:hint="eastAsia" w:ascii="宋体" w:hAnsi="宋体" w:eastAsia="宋体" w:cs="Times New Roman"/>
          <w:bCs/>
          <w:sz w:val="24"/>
          <w:szCs w:val="24"/>
        </w:rPr>
        <w:t>以上的资产出现无可参考的活跃市场价格且采用估值技术仍导致公允价值存在重大不确定性时，经与基金托管人协商确认后，基金管理人应当暂停接受基金申购申请。</w:t>
      </w:r>
    </w:p>
    <w:p w14:paraId="6AF3790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基金参与港股通交易且港股通交易每日额度不足，或者港股通的业务规则发生重大变化，或者发生证券交易服务公司等机构认定的交易异常情况并决定暂停提供部分或者全部港股通服务，或者发生其他影响通过内地与香港股票市场交易互联互通机制进行正常交易的情形。</w:t>
      </w:r>
    </w:p>
    <w:p w14:paraId="19761D1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w:t>
      </w:r>
      <w:r>
        <w:rPr>
          <w:rFonts w:hint="eastAsia" w:ascii="宋体" w:hAnsi="宋体" w:eastAsia="宋体" w:cs="Times New Roman"/>
          <w:bCs/>
          <w:sz w:val="24"/>
          <w:szCs w:val="24"/>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6345D8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w:t>
      </w:r>
      <w:r>
        <w:rPr>
          <w:rFonts w:hint="eastAsia" w:ascii="宋体" w:hAnsi="宋体" w:eastAsia="宋体" w:cs="Times New Roman"/>
          <w:bCs/>
          <w:sz w:val="24"/>
          <w:szCs w:val="24"/>
        </w:rPr>
        <w:t>、</w:t>
      </w:r>
      <w:r>
        <w:rPr>
          <w:rFonts w:ascii="宋体" w:hAnsi="宋体" w:eastAsia="宋体" w:cs="Times New Roman"/>
          <w:bCs/>
          <w:sz w:val="24"/>
          <w:szCs w:val="24"/>
        </w:rPr>
        <w:t>法律法规规定或中国证监会认定的其他情形。</w:t>
      </w:r>
    </w:p>
    <w:p w14:paraId="099C6469">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发生上述</w:t>
      </w:r>
      <w:r>
        <w:rPr>
          <w:rFonts w:hint="eastAsia" w:ascii="宋体" w:hAnsi="宋体" w:eastAsia="宋体" w:cs="Times New Roman"/>
          <w:bCs/>
          <w:sz w:val="24"/>
          <w:szCs w:val="24"/>
        </w:rPr>
        <w:t>除第</w:t>
      </w:r>
      <w:r>
        <w:rPr>
          <w:rFonts w:hint="eastAsia" w:ascii="Times New Roman" w:hAnsi="Times New Roman" w:eastAsia="宋体" w:cs="Times New Roman"/>
          <w:bCs/>
          <w:sz w:val="24"/>
          <w:szCs w:val="24"/>
        </w:rPr>
        <w:t>4</w:t>
      </w:r>
      <w:r>
        <w:rPr>
          <w:rFonts w:hint="eastAsia" w:ascii="宋体" w:hAnsi="宋体" w:eastAsia="宋体" w:cs="Times New Roman"/>
          <w:bCs/>
          <w:sz w:val="24"/>
          <w:szCs w:val="24"/>
        </w:rPr>
        <w:t>、</w:t>
      </w:r>
      <w:r>
        <w:rPr>
          <w:rFonts w:hint="eastAsia" w:ascii="Times New Roman" w:hAnsi="Times New Roman" w:eastAsia="宋体" w:cs="Times New Roman"/>
          <w:bCs/>
          <w:sz w:val="24"/>
          <w:szCs w:val="24"/>
        </w:rPr>
        <w:t>5</w:t>
      </w:r>
      <w:r>
        <w:rPr>
          <w:rFonts w:hint="eastAsia" w:ascii="宋体" w:hAnsi="宋体" w:eastAsia="宋体" w:cs="Times New Roman"/>
          <w:bCs/>
          <w:sz w:val="24"/>
          <w:szCs w:val="24"/>
        </w:rPr>
        <w:t>、</w:t>
      </w:r>
      <w:r>
        <w:rPr>
          <w:rFonts w:hint="eastAsia" w:ascii="Times New Roman" w:hAnsi="Times New Roman" w:eastAsia="宋体" w:cs="Times New Roman"/>
          <w:bCs/>
          <w:sz w:val="24"/>
          <w:szCs w:val="24"/>
        </w:rPr>
        <w:t>10</w:t>
      </w:r>
      <w:r>
        <w:rPr>
          <w:rFonts w:ascii="宋体" w:hAnsi="宋体" w:eastAsia="宋体" w:cs="Times New Roman"/>
          <w:bCs/>
          <w:sz w:val="24"/>
          <w:szCs w:val="24"/>
        </w:rPr>
        <w:t>项</w:t>
      </w:r>
      <w:r>
        <w:rPr>
          <w:rFonts w:hint="eastAsia" w:ascii="宋体" w:hAnsi="宋体" w:eastAsia="宋体" w:cs="Times New Roman"/>
          <w:bCs/>
          <w:sz w:val="24"/>
          <w:szCs w:val="24"/>
        </w:rPr>
        <w:t>以外的</w:t>
      </w:r>
      <w:r>
        <w:rPr>
          <w:rFonts w:ascii="宋体" w:hAnsi="宋体" w:eastAsia="宋体" w:cs="Times New Roman"/>
          <w:bCs/>
          <w:sz w:val="24"/>
          <w:szCs w:val="24"/>
        </w:rPr>
        <w:t>暂停申购情形之一且基金管理人决定暂停接受投资</w:t>
      </w:r>
      <w:r>
        <w:rPr>
          <w:rFonts w:hint="eastAsia" w:ascii="宋体" w:hAnsi="宋体" w:eastAsia="宋体" w:cs="Times New Roman"/>
          <w:bCs/>
          <w:sz w:val="24"/>
          <w:szCs w:val="24"/>
        </w:rPr>
        <w:t>者的</w:t>
      </w:r>
      <w:r>
        <w:rPr>
          <w:rFonts w:ascii="宋体" w:hAnsi="宋体" w:eastAsia="宋体" w:cs="Times New Roman"/>
          <w:bCs/>
          <w:sz w:val="24"/>
          <w:szCs w:val="24"/>
        </w:rPr>
        <w:t>申购申请时，基金管理人应当根据有关规定在规定媒介上刊登暂停申购公告。</w:t>
      </w:r>
    </w:p>
    <w:p w14:paraId="4FC4BB61">
      <w:pPr>
        <w:spacing w:line="360" w:lineRule="auto"/>
        <w:ind w:firstLine="480" w:firstLineChars="200"/>
        <w:rPr>
          <w:rFonts w:ascii="Times New Roman" w:hAnsi="Times New Roman" w:eastAsia="宋体" w:cs="Times New Roman"/>
          <w:sz w:val="24"/>
          <w:szCs w:val="24"/>
        </w:rPr>
      </w:pPr>
      <w:r>
        <w:rPr>
          <w:rFonts w:ascii="宋体" w:hAnsi="宋体" w:eastAsia="宋体" w:cs="Times New Roman"/>
          <w:bCs/>
          <w:sz w:val="24"/>
          <w:szCs w:val="24"/>
        </w:rPr>
        <w:t>如果投资</w:t>
      </w:r>
      <w:r>
        <w:rPr>
          <w:rFonts w:hint="eastAsia" w:ascii="宋体" w:hAnsi="宋体" w:eastAsia="宋体" w:cs="Times New Roman"/>
          <w:bCs/>
          <w:sz w:val="24"/>
          <w:szCs w:val="24"/>
        </w:rPr>
        <w:t>者</w:t>
      </w:r>
      <w:r>
        <w:rPr>
          <w:rFonts w:ascii="宋体" w:hAnsi="宋体" w:eastAsia="宋体" w:cs="Times New Roman"/>
          <w:bCs/>
          <w:sz w:val="24"/>
          <w:szCs w:val="24"/>
        </w:rPr>
        <w:t>的申购申请被</w:t>
      </w:r>
      <w:r>
        <w:rPr>
          <w:rFonts w:hint="eastAsia" w:ascii="宋体" w:hAnsi="宋体" w:eastAsia="宋体" w:cs="Times New Roman"/>
          <w:bCs/>
          <w:sz w:val="24"/>
          <w:szCs w:val="24"/>
        </w:rPr>
        <w:t>全部或部分</w:t>
      </w:r>
      <w:r>
        <w:rPr>
          <w:rFonts w:ascii="宋体" w:hAnsi="宋体" w:eastAsia="宋体" w:cs="Times New Roman"/>
          <w:bCs/>
          <w:sz w:val="24"/>
          <w:szCs w:val="24"/>
        </w:rPr>
        <w:t>拒绝，被拒绝的申购款项</w:t>
      </w:r>
      <w:r>
        <w:rPr>
          <w:rFonts w:hint="eastAsia" w:ascii="宋体" w:hAnsi="宋体" w:eastAsia="宋体" w:cs="Times New Roman"/>
          <w:bCs/>
          <w:sz w:val="24"/>
          <w:szCs w:val="24"/>
        </w:rPr>
        <w:t>本金</w:t>
      </w:r>
      <w:r>
        <w:rPr>
          <w:rFonts w:ascii="宋体" w:hAnsi="宋体" w:eastAsia="宋体" w:cs="Times New Roman"/>
          <w:bCs/>
          <w:sz w:val="24"/>
          <w:szCs w:val="24"/>
        </w:rPr>
        <w:t>将退还给投资</w:t>
      </w:r>
      <w:r>
        <w:rPr>
          <w:rFonts w:hint="eastAsia" w:ascii="宋体" w:hAnsi="宋体" w:eastAsia="宋体" w:cs="Times New Roman"/>
          <w:bCs/>
          <w:sz w:val="24"/>
          <w:szCs w:val="24"/>
        </w:rPr>
        <w:t>者，基金管理人及基金托管人不承担该退回款项产生的利息等损失</w:t>
      </w:r>
      <w:r>
        <w:rPr>
          <w:rFonts w:ascii="宋体" w:hAnsi="宋体" w:eastAsia="宋体" w:cs="Times New Roman"/>
          <w:bCs/>
          <w:sz w:val="24"/>
          <w:szCs w:val="24"/>
        </w:rPr>
        <w:t>。在暂停申购的情况消除时，基金管理人应及时恢复申购业务的办理。</w:t>
      </w:r>
    </w:p>
    <w:p w14:paraId="49554AA9">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九、</w:t>
      </w:r>
      <w:r>
        <w:rPr>
          <w:rFonts w:ascii="宋体" w:hAnsi="宋体" w:eastAsia="宋体" w:cs="Times New Roman"/>
          <w:b/>
          <w:bCs/>
          <w:sz w:val="24"/>
          <w:szCs w:val="24"/>
        </w:rPr>
        <w:t>暂停赎回或延缓支付赎回款项的情形</w:t>
      </w:r>
    </w:p>
    <w:p w14:paraId="681E07BD">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发生下列情形时，基金管理人可暂停接受投资者的赎回申请或延缓支付赎回款项：</w:t>
      </w:r>
    </w:p>
    <w:p w14:paraId="631BCF6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宋体" w:hAnsi="宋体" w:eastAsia="宋体" w:cs="Times New Roman"/>
          <w:bCs/>
          <w:sz w:val="24"/>
          <w:szCs w:val="24"/>
        </w:rPr>
        <w:t>、</w:t>
      </w:r>
      <w:r>
        <w:rPr>
          <w:rFonts w:ascii="宋体" w:hAnsi="宋体" w:eastAsia="宋体" w:cs="Times New Roman"/>
          <w:bCs/>
          <w:sz w:val="24"/>
          <w:szCs w:val="24"/>
        </w:rPr>
        <w:t>因不可抗力导致基金无法正常运作或基金管理人不能支付赎回款项。</w:t>
      </w:r>
    </w:p>
    <w:p w14:paraId="3CF071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hint="eastAsia" w:ascii="宋体" w:hAnsi="宋体" w:eastAsia="宋体" w:cs="Times New Roman"/>
          <w:bCs/>
          <w:sz w:val="24"/>
          <w:szCs w:val="24"/>
        </w:rPr>
        <w:t>、发生基金合同规定的暂停基金资产估值情况时，基金管理人可暂停接受投资人的赎回申请或延缓支付赎回款项。</w:t>
      </w:r>
    </w:p>
    <w:p w14:paraId="6F4F137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宋体" w:hAnsi="宋体" w:eastAsia="宋体" w:cs="Times New Roman"/>
          <w:bCs/>
          <w:sz w:val="24"/>
          <w:szCs w:val="24"/>
        </w:rPr>
        <w:t>、证券、期货交易所或外汇市场交易时间非正常停市，或基金参与港股通交易且港股通暂停交易、外汇市场休市，导致基金管理人无法计算当日基金资产净值或无法进行证券/期货交易。</w:t>
      </w:r>
    </w:p>
    <w:p w14:paraId="47ABC1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宋体" w:hAnsi="宋体" w:eastAsia="宋体" w:cs="Times New Roman"/>
          <w:bCs/>
          <w:sz w:val="24"/>
          <w:szCs w:val="24"/>
        </w:rPr>
        <w:t>、</w:t>
      </w:r>
      <w:r>
        <w:rPr>
          <w:rFonts w:ascii="宋体" w:hAnsi="宋体" w:eastAsia="宋体" w:cs="Times New Roman"/>
          <w:bCs/>
          <w:sz w:val="24"/>
          <w:szCs w:val="24"/>
        </w:rPr>
        <w:t>连续两个或两个以上开放日发生巨额赎回。</w:t>
      </w:r>
    </w:p>
    <w:p w14:paraId="2335FC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ascii="宋体" w:hAnsi="宋体" w:eastAsia="宋体" w:cs="Times New Roman"/>
          <w:bCs/>
          <w:sz w:val="24"/>
          <w:szCs w:val="24"/>
        </w:rPr>
        <w:t>、发生继续接受赎回申请将损害现有基金份额持有人利益的情形</w:t>
      </w:r>
      <w:r>
        <w:rPr>
          <w:rFonts w:hint="eastAsia" w:ascii="宋体" w:hAnsi="宋体" w:eastAsia="宋体" w:cs="Times New Roman"/>
          <w:bCs/>
          <w:sz w:val="24"/>
          <w:szCs w:val="24"/>
        </w:rPr>
        <w:t>时，基金管理人可暂停接受基金份额持有人的赎回申请。</w:t>
      </w:r>
    </w:p>
    <w:p w14:paraId="6937158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w:t>
      </w:r>
      <w:r>
        <w:rPr>
          <w:rFonts w:ascii="宋体" w:hAnsi="宋体" w:eastAsia="宋体" w:cs="Times New Roman"/>
          <w:bCs/>
          <w:sz w:val="24"/>
          <w:szCs w:val="24"/>
        </w:rPr>
        <w:t>、当前一估值日基金资产净值</w:t>
      </w:r>
      <w:r>
        <w:rPr>
          <w:rFonts w:ascii="Times New Roman" w:hAnsi="Times New Roman" w:eastAsia="宋体" w:cs="Times New Roman"/>
          <w:bCs/>
          <w:sz w:val="24"/>
          <w:szCs w:val="24"/>
        </w:rPr>
        <w:t>50%</w:t>
      </w:r>
      <w:r>
        <w:rPr>
          <w:rFonts w:ascii="宋体" w:hAnsi="宋体" w:eastAsia="宋体" w:cs="Times New Roman"/>
          <w:bCs/>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14:paraId="0141CEE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宋体" w:hAnsi="宋体" w:eastAsia="宋体" w:cs="Times New Roman"/>
          <w:bCs/>
          <w:sz w:val="24"/>
          <w:szCs w:val="24"/>
        </w:rPr>
        <w:t>、</w:t>
      </w:r>
      <w:r>
        <w:rPr>
          <w:rFonts w:ascii="宋体" w:hAnsi="宋体" w:eastAsia="宋体" w:cs="Times New Roman"/>
          <w:bCs/>
          <w:sz w:val="24"/>
          <w:szCs w:val="24"/>
        </w:rPr>
        <w:t>法律法规规定或中国证监会认定的其他情形。</w:t>
      </w:r>
    </w:p>
    <w:p w14:paraId="54AB8594">
      <w:pPr>
        <w:spacing w:line="360" w:lineRule="auto"/>
        <w:ind w:firstLine="480" w:firstLineChars="200"/>
        <w:rPr>
          <w:rFonts w:ascii="Times New Roman" w:hAnsi="Times New Roman" w:eastAsia="宋体" w:cs="Times New Roman"/>
          <w:bCs/>
          <w:szCs w:val="21"/>
        </w:rPr>
      </w:pPr>
      <w:r>
        <w:rPr>
          <w:rFonts w:ascii="宋体" w:hAnsi="宋体" w:eastAsia="宋体" w:cs="Times New Roman"/>
          <w:bCs/>
          <w:sz w:val="24"/>
          <w:szCs w:val="24"/>
        </w:rPr>
        <w:t>发生上述情形之一且基金管理人决定暂停赎回或延缓支付赎回款项时，基金管理人应</w:t>
      </w:r>
      <w:r>
        <w:rPr>
          <w:rFonts w:hint="eastAsia" w:ascii="宋体" w:hAnsi="宋体" w:eastAsia="宋体" w:cs="Times New Roman"/>
          <w:bCs/>
          <w:sz w:val="24"/>
          <w:szCs w:val="24"/>
        </w:rPr>
        <w:t>按规定</w:t>
      </w:r>
      <w:r>
        <w:rPr>
          <w:rFonts w:ascii="宋体" w:hAnsi="宋体" w:eastAsia="宋体" w:cs="Times New Roman"/>
          <w:bCs/>
          <w:sz w:val="24"/>
          <w:szCs w:val="24"/>
        </w:rPr>
        <w:t>报中国证监会备案</w:t>
      </w:r>
      <w:r>
        <w:rPr>
          <w:rFonts w:hint="eastAsia" w:ascii="宋体" w:hAnsi="宋体" w:eastAsia="宋体" w:cs="Times New Roman"/>
          <w:bCs/>
          <w:sz w:val="24"/>
          <w:szCs w:val="24"/>
        </w:rPr>
        <w:t>，根据有关规定在规定媒介上刊登暂停赎回公告</w:t>
      </w:r>
      <w:r>
        <w:rPr>
          <w:rFonts w:ascii="宋体" w:hAnsi="宋体" w:eastAsia="宋体" w:cs="Times New Roman"/>
          <w:bCs/>
          <w:sz w:val="24"/>
          <w:szCs w:val="24"/>
        </w:rPr>
        <w:t>，已确认的赎回申请，基金管理人应足额支付；如暂时不能足额支付，应将可支付部分按单个账户申请量占申请总量的比例分配给赎回申请人，未支付部分可延期支付。若出现上述第</w:t>
      </w:r>
      <w:r>
        <w:rPr>
          <w:rFonts w:hint="eastAsia" w:ascii="Times New Roman" w:hAnsi="Times New Roman" w:eastAsia="宋体" w:cs="Times New Roman"/>
          <w:bCs/>
          <w:sz w:val="24"/>
          <w:szCs w:val="24"/>
        </w:rPr>
        <w:t>4</w:t>
      </w:r>
      <w:r>
        <w:rPr>
          <w:rFonts w:ascii="宋体" w:hAnsi="宋体" w:eastAsia="宋体" w:cs="Times New Roman"/>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3305CCD">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十、</w:t>
      </w:r>
      <w:r>
        <w:rPr>
          <w:rFonts w:ascii="宋体" w:hAnsi="宋体" w:eastAsia="宋体" w:cs="Times New Roman"/>
          <w:b/>
          <w:bCs/>
          <w:sz w:val="24"/>
          <w:szCs w:val="24"/>
        </w:rPr>
        <w:t>巨额赎回的情形及处理方式</w:t>
      </w:r>
    </w:p>
    <w:p w14:paraId="0165083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宋体" w:hAnsi="宋体" w:eastAsia="宋体" w:cs="Times New Roman"/>
          <w:bCs/>
          <w:sz w:val="24"/>
          <w:szCs w:val="24"/>
        </w:rPr>
        <w:t>、</w:t>
      </w:r>
      <w:r>
        <w:rPr>
          <w:rFonts w:ascii="宋体" w:hAnsi="宋体" w:eastAsia="宋体" w:cs="Times New Roman"/>
          <w:bCs/>
          <w:sz w:val="24"/>
          <w:szCs w:val="24"/>
        </w:rPr>
        <w:t>巨额赎回的认定</w:t>
      </w:r>
    </w:p>
    <w:p w14:paraId="1BF883AA">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若本基金单个开放日内的基金份额净赎回申请</w:t>
      </w:r>
      <w:r>
        <w:rPr>
          <w:rFonts w:hint="eastAsia" w:ascii="宋体" w:hAnsi="宋体" w:eastAsia="宋体" w:cs="Times New Roman"/>
          <w:bCs/>
          <w:sz w:val="24"/>
          <w:szCs w:val="24"/>
        </w:rPr>
        <w:t>（</w:t>
      </w:r>
      <w:r>
        <w:rPr>
          <w:rFonts w:ascii="宋体" w:hAnsi="宋体" w:eastAsia="宋体" w:cs="Times New Roman"/>
          <w:bCs/>
          <w:sz w:val="24"/>
          <w:szCs w:val="24"/>
        </w:rPr>
        <w:t>赎回申请份额总数加上基金转换中转出申请份额总数后扣除申购申请份额总数及基金转换中转入申请份额总数后的余额</w:t>
      </w:r>
      <w:r>
        <w:rPr>
          <w:rFonts w:hint="eastAsia" w:ascii="宋体" w:hAnsi="宋体" w:eastAsia="宋体" w:cs="Times New Roman"/>
          <w:bCs/>
          <w:sz w:val="24"/>
          <w:szCs w:val="24"/>
        </w:rPr>
        <w:t>）</w:t>
      </w:r>
      <w:r>
        <w:rPr>
          <w:rFonts w:ascii="宋体" w:hAnsi="宋体" w:eastAsia="宋体" w:cs="Times New Roman"/>
          <w:bCs/>
          <w:sz w:val="24"/>
          <w:szCs w:val="24"/>
        </w:rPr>
        <w:t>超过前一开放日的基金总份额的</w:t>
      </w:r>
      <w:r>
        <w:rPr>
          <w:rFonts w:ascii="Times New Roman" w:hAnsi="Times New Roman" w:eastAsia="宋体" w:cs="Times New Roman"/>
          <w:bCs/>
          <w:sz w:val="24"/>
          <w:szCs w:val="24"/>
        </w:rPr>
        <w:t>10</w:t>
      </w:r>
      <w:r>
        <w:rPr>
          <w:rFonts w:hint="eastAsia" w:ascii="Times New Roman" w:hAnsi="Times New Roman" w:eastAsia="宋体" w:cs="Times New Roman"/>
          <w:bCs/>
          <w:sz w:val="24"/>
          <w:szCs w:val="24"/>
        </w:rPr>
        <w:t>%</w:t>
      </w:r>
      <w:r>
        <w:rPr>
          <w:rFonts w:ascii="宋体" w:hAnsi="宋体" w:eastAsia="宋体" w:cs="Times New Roman"/>
          <w:bCs/>
          <w:sz w:val="24"/>
          <w:szCs w:val="24"/>
        </w:rPr>
        <w:t>，即认为是发生了巨额赎回。</w:t>
      </w:r>
    </w:p>
    <w:p w14:paraId="27DFE34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宋体" w:hAnsi="宋体" w:eastAsia="宋体" w:cs="Times New Roman"/>
          <w:bCs/>
          <w:sz w:val="24"/>
          <w:szCs w:val="24"/>
        </w:rPr>
        <w:t>、</w:t>
      </w:r>
      <w:r>
        <w:rPr>
          <w:rFonts w:ascii="宋体" w:hAnsi="宋体" w:eastAsia="宋体" w:cs="Times New Roman"/>
          <w:bCs/>
          <w:sz w:val="24"/>
          <w:szCs w:val="24"/>
        </w:rPr>
        <w:t>巨额赎回的处理方式</w:t>
      </w:r>
    </w:p>
    <w:p w14:paraId="531E196E">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当基金出现巨额赎回时，基金管理人可以根据基金当时的资产组合状况决定全额赎回</w:t>
      </w:r>
      <w:r>
        <w:rPr>
          <w:rFonts w:hint="eastAsia" w:ascii="宋体" w:hAnsi="宋体" w:eastAsia="宋体" w:cs="Times New Roman"/>
          <w:bCs/>
          <w:sz w:val="24"/>
          <w:szCs w:val="24"/>
        </w:rPr>
        <w:t>、</w:t>
      </w:r>
      <w:r>
        <w:rPr>
          <w:rFonts w:ascii="宋体" w:hAnsi="宋体" w:eastAsia="宋体" w:cs="Times New Roman"/>
          <w:bCs/>
          <w:sz w:val="24"/>
          <w:szCs w:val="24"/>
        </w:rPr>
        <w:t>部分延期赎回或暂停赎回。</w:t>
      </w:r>
    </w:p>
    <w:p w14:paraId="44C266DE">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1</w:t>
      </w:r>
      <w:r>
        <w:rPr>
          <w:rFonts w:ascii="宋体" w:hAnsi="宋体" w:eastAsia="宋体" w:cs="Times New Roman"/>
          <w:bCs/>
          <w:sz w:val="24"/>
          <w:szCs w:val="24"/>
        </w:rPr>
        <w:t>）全额赎回：当基金管理人认为有能力支付投资者的全部赎回申请时，按正常赎回程序执行。</w:t>
      </w:r>
    </w:p>
    <w:p w14:paraId="70F122F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hint="eastAsia" w:ascii="Times New Roman" w:hAnsi="Times New Roman" w:eastAsia="宋体" w:cs="Times New Roman"/>
          <w:bCs/>
          <w:sz w:val="24"/>
          <w:szCs w:val="24"/>
        </w:rPr>
        <w:t>2</w:t>
      </w:r>
      <w:r>
        <w:rPr>
          <w:rFonts w:ascii="宋体" w:hAnsi="宋体" w:eastAsia="宋体" w:cs="Times New Roman"/>
          <w:bCs/>
          <w:sz w:val="24"/>
          <w:szCs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ascii="Times New Roman" w:hAnsi="Times New Roman" w:eastAsia="宋体" w:cs="Times New Roman"/>
          <w:bCs/>
          <w:sz w:val="24"/>
          <w:szCs w:val="24"/>
        </w:rPr>
        <w:t>10%</w:t>
      </w:r>
      <w:r>
        <w:rPr>
          <w:rFonts w:hint="eastAsia" w:ascii="宋体" w:hAnsi="宋体" w:eastAsia="宋体" w:cs="Times New Roman"/>
          <w:bCs/>
          <w:sz w:val="24"/>
          <w:szCs w:val="24"/>
        </w:rPr>
        <w:t>的前</w:t>
      </w:r>
      <w:r>
        <w:rPr>
          <w:rFonts w:ascii="宋体" w:hAnsi="宋体" w:eastAsia="宋体" w:cs="Times New Roman"/>
          <w:bCs/>
          <w:sz w:val="24"/>
          <w:szCs w:val="24"/>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Pr>
          <w:rFonts w:hint="eastAsia" w:ascii="宋体" w:hAnsi="宋体" w:eastAsia="宋体" w:cs="Times New Roman"/>
          <w:bCs/>
          <w:sz w:val="24"/>
          <w:szCs w:val="24"/>
        </w:rPr>
        <w:t>者</w:t>
      </w:r>
      <w:r>
        <w:rPr>
          <w:rFonts w:ascii="宋体" w:hAnsi="宋体" w:eastAsia="宋体" w:cs="Times New Roman"/>
          <w:bCs/>
          <w:sz w:val="24"/>
          <w:szCs w:val="24"/>
        </w:rPr>
        <w:t>在提交赎回申请时未作明确选择，投资者未能赎回部分作自动延期赎回处理。</w:t>
      </w:r>
      <w:r>
        <w:rPr>
          <w:rFonts w:hint="eastAsia" w:ascii="宋体" w:hAnsi="宋体" w:eastAsia="宋体" w:cs="Times New Roman"/>
          <w:bCs/>
          <w:sz w:val="24"/>
          <w:szCs w:val="24"/>
        </w:rPr>
        <w:t>部分延期赎回不受单笔赎回最低份额的限制。</w:t>
      </w:r>
    </w:p>
    <w:p w14:paraId="6DD7798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7E5D3BFA">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3</w:t>
      </w:r>
      <w:r>
        <w:rPr>
          <w:rFonts w:ascii="宋体" w:hAnsi="宋体" w:eastAsia="宋体" w:cs="Times New Roman"/>
          <w:bCs/>
          <w:sz w:val="24"/>
          <w:szCs w:val="24"/>
        </w:rPr>
        <w:t>）暂停赎回：连续</w:t>
      </w:r>
      <w:r>
        <w:rPr>
          <w:rFonts w:hint="eastAsia" w:ascii="Times New Roman" w:hAnsi="Times New Roman" w:eastAsia="宋体" w:cs="Times New Roman"/>
          <w:bCs/>
          <w:sz w:val="24"/>
          <w:szCs w:val="24"/>
        </w:rPr>
        <w:t>2</w:t>
      </w:r>
      <w:r>
        <w:rPr>
          <w:rFonts w:hint="eastAsia" w:ascii="宋体" w:hAnsi="宋体" w:eastAsia="宋体" w:cs="Times New Roman"/>
          <w:bCs/>
          <w:sz w:val="24"/>
          <w:szCs w:val="24"/>
        </w:rPr>
        <w:t>个开放</w:t>
      </w:r>
      <w:r>
        <w:rPr>
          <w:rFonts w:ascii="宋体" w:hAnsi="宋体" w:eastAsia="宋体" w:cs="Times New Roman"/>
          <w:bCs/>
          <w:sz w:val="24"/>
          <w:szCs w:val="24"/>
        </w:rPr>
        <w:t>日以上</w:t>
      </w:r>
      <w:r>
        <w:rPr>
          <w:rFonts w:hint="eastAsia" w:ascii="宋体" w:hAnsi="宋体" w:eastAsia="宋体" w:cs="Times New Roman"/>
          <w:bCs/>
          <w:sz w:val="24"/>
          <w:szCs w:val="24"/>
        </w:rPr>
        <w:t>（</w:t>
      </w:r>
      <w:r>
        <w:rPr>
          <w:rFonts w:ascii="宋体" w:hAnsi="宋体" w:eastAsia="宋体" w:cs="Times New Roman"/>
          <w:bCs/>
          <w:sz w:val="24"/>
          <w:szCs w:val="24"/>
        </w:rPr>
        <w:t>含本数</w:t>
      </w:r>
      <w:r>
        <w:rPr>
          <w:rFonts w:hint="eastAsia" w:ascii="宋体" w:hAnsi="宋体" w:eastAsia="宋体" w:cs="Times New Roman"/>
          <w:bCs/>
          <w:sz w:val="24"/>
          <w:szCs w:val="24"/>
        </w:rPr>
        <w:t>）</w:t>
      </w:r>
      <w:r>
        <w:rPr>
          <w:rFonts w:ascii="宋体" w:hAnsi="宋体" w:eastAsia="宋体" w:cs="Times New Roman"/>
          <w:bCs/>
          <w:sz w:val="24"/>
          <w:szCs w:val="24"/>
        </w:rPr>
        <w:t>发生巨额赎回，如基金管理人认为有必要，可暂停接受基金的赎回申请；已经接受的赎回申请可以延缓支付赎回款项，但不得超过</w:t>
      </w:r>
      <w:r>
        <w:rPr>
          <w:rFonts w:ascii="Times New Roman" w:hAnsi="Times New Roman" w:eastAsia="宋体" w:cs="Times New Roman"/>
          <w:bCs/>
          <w:sz w:val="24"/>
          <w:szCs w:val="24"/>
        </w:rPr>
        <w:t>20</w:t>
      </w:r>
      <w:r>
        <w:rPr>
          <w:rFonts w:ascii="宋体" w:hAnsi="宋体" w:eastAsia="宋体" w:cs="Times New Roman"/>
          <w:bCs/>
          <w:sz w:val="24"/>
          <w:szCs w:val="24"/>
        </w:rPr>
        <w:t>个工作日，并应当在规定媒介上进行公告。</w:t>
      </w:r>
    </w:p>
    <w:p w14:paraId="59D2D83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宋体" w:hAnsi="宋体" w:eastAsia="宋体" w:cs="Times New Roman"/>
          <w:bCs/>
          <w:sz w:val="24"/>
          <w:szCs w:val="24"/>
        </w:rPr>
        <w:t>、</w:t>
      </w:r>
      <w:r>
        <w:rPr>
          <w:rFonts w:ascii="宋体" w:hAnsi="宋体" w:eastAsia="宋体" w:cs="Times New Roman"/>
          <w:bCs/>
          <w:sz w:val="24"/>
          <w:szCs w:val="24"/>
        </w:rPr>
        <w:t>巨额赎回的公告</w:t>
      </w:r>
    </w:p>
    <w:p w14:paraId="08BE5DBA">
      <w:pPr>
        <w:spacing w:line="360" w:lineRule="auto"/>
        <w:ind w:firstLine="480" w:firstLineChars="200"/>
        <w:rPr>
          <w:rFonts w:ascii="Times New Roman" w:hAnsi="Times New Roman" w:eastAsia="宋体" w:cs="Times New Roman"/>
          <w:bCs/>
          <w:szCs w:val="21"/>
        </w:rPr>
      </w:pPr>
      <w:r>
        <w:rPr>
          <w:rFonts w:ascii="宋体" w:hAnsi="宋体" w:eastAsia="宋体" w:cs="Times New Roman"/>
          <w:bCs/>
          <w:sz w:val="24"/>
          <w:szCs w:val="24"/>
        </w:rPr>
        <w:t>当发生上述</w:t>
      </w:r>
      <w:r>
        <w:rPr>
          <w:rFonts w:hint="eastAsia" w:ascii="宋体" w:hAnsi="宋体" w:eastAsia="宋体" w:cs="Times New Roman"/>
          <w:bCs/>
          <w:sz w:val="24"/>
          <w:szCs w:val="24"/>
        </w:rPr>
        <w:t>巨额</w:t>
      </w:r>
      <w:r>
        <w:rPr>
          <w:rFonts w:ascii="宋体" w:hAnsi="宋体" w:eastAsia="宋体" w:cs="Times New Roman"/>
          <w:bCs/>
          <w:sz w:val="24"/>
          <w:szCs w:val="24"/>
        </w:rPr>
        <w:t>赎回并延期办理时，基金管理人应当通过邮寄、传真或者招募说明书规定的其他方式在</w:t>
      </w:r>
      <w:r>
        <w:rPr>
          <w:rFonts w:hint="eastAsia" w:ascii="Times New Roman" w:hAnsi="Times New Roman" w:eastAsia="宋体" w:cs="Times New Roman"/>
          <w:bCs/>
          <w:sz w:val="24"/>
          <w:szCs w:val="24"/>
        </w:rPr>
        <w:t>3</w:t>
      </w:r>
      <w:r>
        <w:rPr>
          <w:rFonts w:ascii="宋体" w:hAnsi="宋体" w:eastAsia="宋体" w:cs="Times New Roman"/>
          <w:bCs/>
          <w:sz w:val="24"/>
          <w:szCs w:val="24"/>
        </w:rPr>
        <w:t>个交易日内通知基金份额持有人，说明有关处理方法，</w:t>
      </w:r>
      <w:r>
        <w:rPr>
          <w:rFonts w:hint="eastAsia" w:ascii="宋体" w:hAnsi="宋体" w:eastAsia="宋体" w:cs="Times New Roman"/>
          <w:bCs/>
          <w:sz w:val="24"/>
          <w:szCs w:val="24"/>
        </w:rPr>
        <w:t>并在</w:t>
      </w:r>
      <w:r>
        <w:rPr>
          <w:rFonts w:hint="eastAsia" w:ascii="Times New Roman" w:hAnsi="Times New Roman" w:eastAsia="宋体" w:cs="Times New Roman"/>
          <w:bCs/>
          <w:sz w:val="24"/>
          <w:szCs w:val="24"/>
        </w:rPr>
        <w:t>2</w:t>
      </w:r>
      <w:r>
        <w:rPr>
          <w:rFonts w:hint="eastAsia" w:ascii="宋体" w:hAnsi="宋体" w:eastAsia="宋体" w:cs="Times New Roman"/>
          <w:bCs/>
          <w:sz w:val="24"/>
          <w:szCs w:val="24"/>
        </w:rPr>
        <w:t>日内</w:t>
      </w:r>
      <w:r>
        <w:rPr>
          <w:rFonts w:ascii="宋体" w:hAnsi="宋体" w:eastAsia="宋体" w:cs="Times New Roman"/>
          <w:bCs/>
          <w:sz w:val="24"/>
          <w:szCs w:val="24"/>
        </w:rPr>
        <w:t>在规定媒介上刊登公告。</w:t>
      </w:r>
    </w:p>
    <w:p w14:paraId="0A1E5994">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十一</w:t>
      </w:r>
      <w:r>
        <w:rPr>
          <w:rFonts w:hint="eastAsia" w:ascii="宋体" w:hAnsi="宋体" w:eastAsia="宋体" w:cs="Times New Roman"/>
          <w:b/>
          <w:bCs/>
          <w:sz w:val="24"/>
          <w:szCs w:val="24"/>
        </w:rPr>
        <w:t>、</w:t>
      </w:r>
      <w:r>
        <w:rPr>
          <w:rFonts w:ascii="宋体" w:hAnsi="宋体" w:eastAsia="宋体" w:cs="Times New Roman"/>
          <w:b/>
          <w:bCs/>
          <w:sz w:val="24"/>
          <w:szCs w:val="24"/>
        </w:rPr>
        <w:t>暂停申购或赎回的公告和重新开放申购或赎回的公告</w:t>
      </w:r>
    </w:p>
    <w:p w14:paraId="495F2E4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宋体" w:hAnsi="宋体" w:eastAsia="宋体" w:cs="Times New Roman"/>
          <w:bCs/>
          <w:sz w:val="24"/>
          <w:szCs w:val="24"/>
        </w:rPr>
        <w:t>、</w:t>
      </w:r>
      <w:r>
        <w:rPr>
          <w:rFonts w:ascii="宋体" w:hAnsi="宋体" w:eastAsia="宋体" w:cs="Times New Roman"/>
          <w:bCs/>
          <w:sz w:val="24"/>
          <w:szCs w:val="24"/>
        </w:rPr>
        <w:t>发生上述暂停申购或赎回情况的，基金管理人应在规定期限内在规定媒介上刊登暂停公告。</w:t>
      </w:r>
    </w:p>
    <w:p w14:paraId="638007E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宋体" w:hAnsi="宋体" w:eastAsia="宋体" w:cs="Times New Roman"/>
          <w:bCs/>
          <w:sz w:val="24"/>
          <w:szCs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41BC1125">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十</w:t>
      </w:r>
      <w:r>
        <w:rPr>
          <w:rFonts w:hint="eastAsia" w:ascii="宋体" w:hAnsi="宋体" w:eastAsia="宋体" w:cs="Times New Roman"/>
          <w:b/>
          <w:bCs/>
          <w:sz w:val="24"/>
          <w:szCs w:val="24"/>
        </w:rPr>
        <w:t>二、</w:t>
      </w:r>
      <w:r>
        <w:rPr>
          <w:rFonts w:ascii="宋体" w:hAnsi="宋体" w:eastAsia="宋体" w:cs="Times New Roman"/>
          <w:b/>
          <w:bCs/>
          <w:sz w:val="24"/>
          <w:szCs w:val="24"/>
        </w:rPr>
        <w:t>基金转换</w:t>
      </w:r>
    </w:p>
    <w:p w14:paraId="66EA8551">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14:paraId="4E095C33">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十三、基金份额的转让</w:t>
      </w:r>
    </w:p>
    <w:p w14:paraId="58230052">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1D023ED">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十</w:t>
      </w:r>
      <w:r>
        <w:rPr>
          <w:rFonts w:hint="eastAsia" w:ascii="宋体" w:hAnsi="宋体" w:eastAsia="宋体" w:cs="Times New Roman"/>
          <w:b/>
          <w:bCs/>
          <w:sz w:val="24"/>
          <w:szCs w:val="24"/>
        </w:rPr>
        <w:t>四、</w:t>
      </w:r>
      <w:r>
        <w:rPr>
          <w:rFonts w:ascii="宋体" w:hAnsi="宋体" w:eastAsia="宋体" w:cs="Times New Roman"/>
          <w:b/>
          <w:bCs/>
          <w:sz w:val="24"/>
          <w:szCs w:val="24"/>
        </w:rPr>
        <w:t>基金的非交易过户</w:t>
      </w:r>
    </w:p>
    <w:p w14:paraId="38FF28A5">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基金的非交易过户是指基金登记机构受理继承、捐赠和司法强制执行</w:t>
      </w:r>
      <w:r>
        <w:rPr>
          <w:rFonts w:hint="eastAsia" w:ascii="宋体" w:hAnsi="宋体" w:eastAsia="宋体" w:cs="Times New Roman"/>
          <w:bCs/>
          <w:sz w:val="24"/>
          <w:szCs w:val="24"/>
        </w:rPr>
        <w:t>等情形</w:t>
      </w:r>
      <w:r>
        <w:rPr>
          <w:rFonts w:ascii="宋体" w:hAnsi="宋体" w:eastAsia="宋体" w:cs="Times New Roman"/>
          <w:bCs/>
          <w:sz w:val="24"/>
          <w:szCs w:val="24"/>
        </w:rPr>
        <w:t>而产生的非交易过户以及登记机构认可、符合法律法规的</w:t>
      </w:r>
      <w:r>
        <w:rPr>
          <w:rFonts w:hint="eastAsia" w:ascii="宋体" w:hAnsi="宋体" w:eastAsia="宋体" w:cs="Times New Roman"/>
          <w:bCs/>
          <w:sz w:val="24"/>
          <w:szCs w:val="24"/>
        </w:rPr>
        <w:t>其他</w:t>
      </w:r>
      <w:r>
        <w:rPr>
          <w:rFonts w:ascii="宋体" w:hAnsi="宋体" w:eastAsia="宋体" w:cs="Times New Roman"/>
          <w:bCs/>
          <w:sz w:val="24"/>
          <w:szCs w:val="24"/>
        </w:rPr>
        <w:t>非交易过户</w:t>
      </w:r>
      <w:r>
        <w:rPr>
          <w:rFonts w:hint="eastAsia" w:ascii="宋体" w:hAnsi="宋体" w:eastAsia="宋体" w:cs="Times New Roman"/>
          <w:bCs/>
          <w:sz w:val="24"/>
          <w:szCs w:val="24"/>
        </w:rPr>
        <w:t>，或者按照相关法律法规或国家有权机关要求的方式进行处理的行为</w:t>
      </w:r>
      <w:r>
        <w:rPr>
          <w:rFonts w:ascii="宋体" w:hAnsi="宋体" w:eastAsia="宋体" w:cs="Times New Roman"/>
          <w:bCs/>
          <w:sz w:val="24"/>
          <w:szCs w:val="24"/>
        </w:rPr>
        <w:t>。无论在上述何种情况下，接受划转的主体必须是依法可以持有本基金基金份额的投资者</w:t>
      </w:r>
      <w:r>
        <w:rPr>
          <w:rFonts w:hint="eastAsia" w:ascii="宋体" w:hAnsi="宋体" w:eastAsia="宋体" w:cs="Times New Roman"/>
          <w:bCs/>
          <w:sz w:val="24"/>
          <w:szCs w:val="24"/>
        </w:rPr>
        <w:t>或者是按照相关法律法规或国家有权机关要求的方式进行处理</w:t>
      </w:r>
      <w:r>
        <w:rPr>
          <w:rFonts w:ascii="宋体" w:hAnsi="宋体" w:eastAsia="宋体" w:cs="Times New Roman"/>
          <w:bCs/>
          <w:sz w:val="24"/>
          <w:szCs w:val="24"/>
        </w:rPr>
        <w:t>。</w:t>
      </w:r>
    </w:p>
    <w:p w14:paraId="2FC70AD9">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1F7F68F">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十</w:t>
      </w:r>
      <w:r>
        <w:rPr>
          <w:rFonts w:hint="eastAsia" w:ascii="宋体" w:hAnsi="宋体" w:eastAsia="宋体" w:cs="Times New Roman"/>
          <w:b/>
          <w:bCs/>
          <w:sz w:val="24"/>
          <w:szCs w:val="24"/>
        </w:rPr>
        <w:t>五、</w:t>
      </w:r>
      <w:r>
        <w:rPr>
          <w:rFonts w:ascii="宋体" w:hAnsi="宋体" w:eastAsia="宋体" w:cs="Times New Roman"/>
          <w:b/>
          <w:bCs/>
          <w:sz w:val="24"/>
          <w:szCs w:val="24"/>
        </w:rPr>
        <w:t>基金的转托管</w:t>
      </w:r>
    </w:p>
    <w:p w14:paraId="20BA899E">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基金份额持有人可办理已持有基金份额在不同销售机构之间的转托管，基金销售机构可以按照规定的标准收取转托管费。</w:t>
      </w:r>
    </w:p>
    <w:p w14:paraId="2F3E38AF">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十</w:t>
      </w:r>
      <w:r>
        <w:rPr>
          <w:rFonts w:hint="eastAsia" w:ascii="宋体" w:hAnsi="宋体" w:eastAsia="宋体" w:cs="Times New Roman"/>
          <w:b/>
          <w:bCs/>
          <w:sz w:val="24"/>
          <w:szCs w:val="24"/>
        </w:rPr>
        <w:t>六、</w:t>
      </w:r>
      <w:r>
        <w:rPr>
          <w:rFonts w:ascii="宋体" w:hAnsi="宋体" w:eastAsia="宋体" w:cs="Times New Roman"/>
          <w:b/>
          <w:bCs/>
          <w:sz w:val="24"/>
          <w:szCs w:val="24"/>
        </w:rPr>
        <w:t>定期定额投资计划</w:t>
      </w:r>
    </w:p>
    <w:p w14:paraId="01116A9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1432F49B">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十</w:t>
      </w:r>
      <w:r>
        <w:rPr>
          <w:rFonts w:hint="eastAsia" w:ascii="宋体" w:hAnsi="宋体" w:eastAsia="宋体" w:cs="Times New Roman"/>
          <w:b/>
          <w:bCs/>
          <w:sz w:val="24"/>
          <w:szCs w:val="24"/>
        </w:rPr>
        <w:t>七、</w:t>
      </w:r>
      <w:r>
        <w:rPr>
          <w:rFonts w:ascii="宋体" w:hAnsi="宋体" w:eastAsia="宋体" w:cs="Times New Roman"/>
          <w:b/>
          <w:bCs/>
          <w:sz w:val="24"/>
          <w:szCs w:val="24"/>
        </w:rPr>
        <w:t>基金</w:t>
      </w:r>
      <w:r>
        <w:rPr>
          <w:rFonts w:hint="eastAsia" w:ascii="宋体" w:hAnsi="宋体" w:eastAsia="宋体" w:cs="Times New Roman"/>
          <w:b/>
          <w:bCs/>
          <w:sz w:val="24"/>
          <w:szCs w:val="24"/>
        </w:rPr>
        <w:t>份额</w:t>
      </w:r>
      <w:r>
        <w:rPr>
          <w:rFonts w:ascii="宋体" w:hAnsi="宋体" w:eastAsia="宋体" w:cs="Times New Roman"/>
          <w:b/>
          <w:bCs/>
          <w:sz w:val="24"/>
          <w:szCs w:val="24"/>
        </w:rPr>
        <w:t>的冻结</w:t>
      </w:r>
      <w:r>
        <w:rPr>
          <w:rFonts w:hint="eastAsia" w:ascii="宋体" w:hAnsi="宋体" w:eastAsia="宋体" w:cs="Times New Roman"/>
          <w:b/>
          <w:bCs/>
          <w:sz w:val="24"/>
          <w:szCs w:val="24"/>
        </w:rPr>
        <w:t>、</w:t>
      </w:r>
      <w:r>
        <w:rPr>
          <w:rFonts w:ascii="宋体" w:hAnsi="宋体" w:eastAsia="宋体" w:cs="Times New Roman"/>
          <w:b/>
          <w:bCs/>
          <w:sz w:val="24"/>
          <w:szCs w:val="24"/>
        </w:rPr>
        <w:t>解冻</w:t>
      </w:r>
      <w:r>
        <w:rPr>
          <w:rFonts w:hint="eastAsia" w:ascii="宋体" w:hAnsi="宋体" w:eastAsia="宋体" w:cs="Times New Roman"/>
          <w:b/>
          <w:bCs/>
          <w:sz w:val="24"/>
          <w:szCs w:val="24"/>
        </w:rPr>
        <w:t>和质押</w:t>
      </w:r>
    </w:p>
    <w:p w14:paraId="01DE984F">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基金登记机构只受理国家有权机关依法要求的基金份额的冻结与解冻，以及登记机构认可、符合法律法规的其他情况下的冻结与解冻。</w:t>
      </w:r>
    </w:p>
    <w:p w14:paraId="5385BDF1">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基金账户或基金份额被冻结的，被冻结部分产生的权益一并冻结，被冻结部分份额仍然参与收益分配与支付。法律法规或监管部门另有规定的除外。</w:t>
      </w:r>
    </w:p>
    <w:p w14:paraId="4CD4A154">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如相关法律法规允许基金管理人办理基金份额的质押业务或其他基金业务，基金管理人将制定和实施相应的业务规则，并可收取一定的手续费。</w:t>
      </w:r>
    </w:p>
    <w:p w14:paraId="143DF35A">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十八、实施侧袋机制期间本基金的申购与赎回</w:t>
      </w:r>
    </w:p>
    <w:p w14:paraId="27AD8363">
      <w:pPr>
        <w:spacing w:line="360" w:lineRule="auto"/>
        <w:ind w:firstLine="480" w:firstLineChars="200"/>
        <w:rPr>
          <w:rFonts w:ascii="Times New Roman" w:hAnsi="Times New Roman" w:eastAsia="宋体" w:cs="Times New Roman"/>
          <w:szCs w:val="21"/>
        </w:rPr>
      </w:pPr>
      <w:r>
        <w:rPr>
          <w:rFonts w:hint="eastAsia" w:ascii="宋体" w:hAnsi="宋体" w:eastAsia="宋体" w:cs="Times New Roman"/>
          <w:bCs/>
          <w:sz w:val="24"/>
          <w:szCs w:val="24"/>
        </w:rPr>
        <w:t>本基金实施侧袋机制的，本基金的申购和赎回安排详见招募说明书“侧袋机制”部分的规定或相关公告。</w:t>
      </w:r>
    </w:p>
    <w:p w14:paraId="46962F93">
      <w:pPr>
        <w:spacing w:line="360" w:lineRule="auto"/>
        <w:ind w:firstLine="480" w:firstLineChars="200"/>
        <w:rPr>
          <w:rFonts w:ascii="Times New Roman" w:hAnsi="Times New Roman" w:eastAsia="宋体" w:cs="Times New Roman"/>
          <w:sz w:val="24"/>
          <w:szCs w:val="24"/>
        </w:rPr>
      </w:pPr>
    </w:p>
    <w:p w14:paraId="0AAC069A">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bookmarkStart w:id="98" w:name="_Hlt88820748"/>
      <w:bookmarkEnd w:id="98"/>
      <w:bookmarkStart w:id="99" w:name="_Toc11038"/>
      <w:bookmarkStart w:id="100" w:name="_Toc26172"/>
      <w:bookmarkStart w:id="101" w:name="_Toc213077628"/>
      <w:r>
        <w:rPr>
          <w:rFonts w:hint="eastAsia" w:ascii="Times New Roman" w:hAnsi="Times New Roman" w:eastAsia="宋体" w:cs="Times New Roman"/>
          <w:b/>
          <w:kern w:val="0"/>
          <w:sz w:val="32"/>
          <w:szCs w:val="20"/>
        </w:rPr>
        <w:t>第九部分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基金的投资</w:t>
      </w:r>
      <w:bookmarkEnd w:id="99"/>
      <w:bookmarkEnd w:id="100"/>
      <w:bookmarkEnd w:id="101"/>
    </w:p>
    <w:p w14:paraId="04860084">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一、投资目标</w:t>
      </w:r>
    </w:p>
    <w:p w14:paraId="23CE6EC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本基金在严格控制波动率的前提下，力争为基金份额持有人提供长期稳定和超越业绩比较基准的投资回报。</w:t>
      </w:r>
    </w:p>
    <w:p w14:paraId="417C327D">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二、投资范围</w:t>
      </w:r>
    </w:p>
    <w:p w14:paraId="46058CA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股指期货、股票期权、经中国证监会依法核准或注册的公开募集证券投资基金（包括全市场的股票型ETF、公开募集不动产投资信托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w:t>
      </w:r>
    </w:p>
    <w:p w14:paraId="5DF115D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如法律法规或监管机构以后允许基金投资其他品种，基金管理人在履行适当程序后，可以将其纳入投资范围。</w:t>
      </w:r>
    </w:p>
    <w:p w14:paraId="04E0B8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的投资组合比例为：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本基金持有其他基金，其市值不超过基金资产净值的10%。每个交易日日终在扣除股指期货合约、国债期货合约和股票期权合约需缴纳的交易保证金后，现金或者到期日在一年以内的政府债券不低于基金资产净值的5%，其中现金不包括结算备付金、存出保证金、应收申购款等。其中，计入上述权益类资产的混合型基金需符合下列两个条件之一：</w:t>
      </w:r>
    </w:p>
    <w:p w14:paraId="3C139C1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1、基金合同约定股票及存托凭证资产投资比例不低于基金资产60%的混合型基金；</w:t>
      </w:r>
    </w:p>
    <w:p w14:paraId="5758B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2、根据基金披露的定期报告，最近四个季度中任一季度股票及存托凭证资产占基金资产比例均不低于60%的混合型基金。</w:t>
      </w:r>
    </w:p>
    <w:p w14:paraId="50F580D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如果法律法规或监管机构变更投资品种的投资比例限制，基金管理人在履行适当程序后，可以调整上述投资品种的投资比例。</w:t>
      </w:r>
    </w:p>
    <w:p w14:paraId="755CCCE9">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三、投资策略</w:t>
      </w:r>
    </w:p>
    <w:p w14:paraId="25B24D9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本基金采取稳健灵活的投资策略，力求在有效控制风险的基础上，获得基金资产的稳定增值；同时根据对权益类市场的趋势研判适度参与股票资产投资，力求提高基金总体收益率。</w:t>
      </w:r>
    </w:p>
    <w:p w14:paraId="445814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（一）资产配置策略</w:t>
      </w:r>
    </w:p>
    <w:p w14:paraId="02282F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采取自上而下的方法对基金资产进行动态的整体资产配置和类属资产配置。在认真研判宏观经济运行状况和金融市场运行趋势的基础上，根据整体资产配置策略动态调整大类金融资产的比例；在充分分析债券市场环境及市场流动性的基础上，根据类属资产配置策略以确定基金资产在可转换债券、分离交易可转换债券、可交换债券、信用债、利率债、股票、基金之间的配置比例。</w:t>
      </w:r>
    </w:p>
    <w:p w14:paraId="5AA0F25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（二）债券等固定收益类资产的投资策略</w:t>
      </w:r>
    </w:p>
    <w:p w14:paraId="6B7DC26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在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14:paraId="5298EA1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1、久期控制是根据对宏观经济发展状况、金融市场运行特点等因素的分析确定组合的整体久期，有效的控制整体资产风险。</w:t>
      </w:r>
    </w:p>
    <w:p w14:paraId="4F59AFE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3EBDFD3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3、信用风险控制是基金管理人充分利用现有行业与公司研究力量，根据发债主体的经营状况和现金流等情况对其信用风险进行评估，以此作为品种选择的基本依据。</w:t>
      </w:r>
    </w:p>
    <w:p w14:paraId="19A73D8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4、跨市场套利根据不同债券市场间的运行规律和风险特性，构建和调整债券组合，提高投资收益，实现跨市场套利。</w:t>
      </w:r>
    </w:p>
    <w:p w14:paraId="3FF15AF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5、相对价值判断是根据对同类债券的相对价值判断，选择合适的交易时机，增持相对低估、价格将上升的债券，减持相对高估、价格将下降的债券。</w:t>
      </w:r>
    </w:p>
    <w:p w14:paraId="293C4CB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6、信用债投资策略</w:t>
      </w:r>
    </w:p>
    <w:p w14:paraId="0956DF4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左右市场的短期波动。</w:t>
      </w:r>
    </w:p>
    <w:p w14:paraId="64C1148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人将自上而下通过对宏观经济形势、基准利率走势、资金面状况、行业以及个券信用状况的研判，积极主动发掘收益充分覆盖风险，甚至在覆盖之余还存在超额收益的投资品种；同时通过行业及个券信用等级限定、久期控制等方式有效控制投资信用风险、利率风险以及流动性风险，以求得投资组合赢利性、安全性的中长期有效结合。</w:t>
      </w:r>
    </w:p>
    <w:p w14:paraId="05C3AA3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在投资信用债（含资产支持证券，下同）时遵守以下约定：本基金主动投资于信用债时的信用评级不低于AA+，其中，投资于信用评级为AAA的信用债的比例不低于信用债资产合计的50%；投资于信用评级为AA+的信用债的比例不高于信用债资产合计的50%。</w:t>
      </w:r>
    </w:p>
    <w:p w14:paraId="3E66BF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上述信用评级为债项评级，短期融资券、超短期融资券等短期信用债的信用评级依照评级机构出具的主体信用评级，本基金投资的信用债若无债项评级的，参照主体信用评级。本基金持有信用债期间，如果其信用评级下降不再符合前述标准，应在评级报告发布之日起3个月内调整至符合约定。本基金对信用债评级的认定参照基金管理人选定的评级机构出具的债券信用评级。</w:t>
      </w:r>
    </w:p>
    <w:p w14:paraId="06BB335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7、可转换债券（含分离交易可转换债券）及可交换债券投资策略</w:t>
      </w:r>
    </w:p>
    <w:p w14:paraId="56ADEC4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694EE8F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（三）动态收益增强策略</w:t>
      </w:r>
    </w:p>
    <w:p w14:paraId="134C1EE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在以上债券等固定收益类资产投资策略的基础上，本基金还将根据债券市场的动态变化，采取多种灵活的策略，力争获取超额收益。主要包括骑乘收益率曲线策略、息差策略等。</w:t>
      </w:r>
    </w:p>
    <w:p w14:paraId="6A4A4F3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1、骑乘收益率曲线策略</w:t>
      </w:r>
    </w:p>
    <w:p w14:paraId="3FCE063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骑乘收益率曲线策略是指当收益率曲线相对陡峭时，买入期限位于收益率曲线陡峭处的债券，也即收益率水平处于相对高位的债券，随着债券剩余期限缩短，债券的收益率水平将会较投资期初有所下降，通过债券收益率的下滑，获得资本利得收益。</w:t>
      </w:r>
    </w:p>
    <w:p w14:paraId="5DD2256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2、息差策略</w:t>
      </w:r>
    </w:p>
    <w:p w14:paraId="61F1D90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息差策略是指通过不断正回购融资并持续买入债券的操作，只要回购资金成本低于债券收益率，就可以达到杠杆放大的套利目标。</w:t>
      </w:r>
    </w:p>
    <w:p w14:paraId="1620B2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本基金将根据对市场回购利率走势的判断，适当地选择杠杆比率，谨慎地实施息差策略，提高投资组合的收益水平。</w:t>
      </w:r>
    </w:p>
    <w:p w14:paraId="7F6C85C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（四）股票投资策略</w:t>
      </w:r>
    </w:p>
    <w:p w14:paraId="015432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1、A股投资策略</w:t>
      </w:r>
    </w:p>
    <w:p w14:paraId="40BA03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在股票投资方面主要采用量化模型选股策略构建投资组合。本基金综合利用多种量化投资模型技术，通过多因子量化模型对股票超额回报进行预测，以对中国股票市场的长期研究为基础，结合前瞻性市场判断，用精研的多个因子捕捉市场有效性暂时缺失之处；通过人工智能选股模型动态调整因子模型，及时捕捉市场中短期的投资机会；通过风险预测模型和适当的控制措施，严格控制投资组合的预期投资风险，力求将投资组合的风险控制在目标范围内；利用交易成本模型考虑交易的市场冲击效应，在控制成本最低的基础上减少交易造成的负业绩影响。</w:t>
      </w:r>
    </w:p>
    <w:p w14:paraId="7E28DC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在投资组合构建完成后，本基金将充分考虑各种市场信息的变化情况，对投资组合进行相应调整，并根据市场的实际情况适当控制和调整组合的换手率。</w:t>
      </w:r>
    </w:p>
    <w:p w14:paraId="7EC4A9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2、港股通标的股票投资策略</w:t>
      </w:r>
    </w:p>
    <w:p w14:paraId="25BC8E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可通过内地与香港证券市场交易互联互通机制投资于香港股票市场。本基金将自下而上精选具有健康的商业模式、领先的行业竞争优势、良好的公司治理、广阔的发展空间、估值合理的港股通标的股票纳入本基金的股票投资组合。</w:t>
      </w:r>
    </w:p>
    <w:p w14:paraId="4DBF92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（五）基金投资策略</w:t>
      </w:r>
    </w:p>
    <w:p w14:paraId="49524BC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本基金可投资于全市场的股票型ETF、公募REITs，以及基金管理人旗下的股票型基金、计入权益类资产的混合型基金。</w:t>
      </w:r>
    </w:p>
    <w:p w14:paraId="7531239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14:paraId="792F816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对于权益类基金，本基金基于权益类基金投资目标的不同，将标的基金分为主动和被动两大类。其中，针对主动管理类基金，本基金从基金风格、业绩表现、稳定性、规模变化等多角度进行分析，主要参考基金规模、历史业绩、风险调整后的收益、风险控制指标等一系列量化指标对基金进行分析，选取出预期能够获得良好业绩的基金；针对被动管理类基金，本基金从标的指数表现、跟踪误差、超额收益、规模变化等多角度进行分析，选取出表现稳定，符合未来市场发展方向的基金。同时，本基金还将通过分析标的基金基金管理人的资产管理规模、投研文化、风险控制能力等因素，对标的基金的业绩稳定性、风险控制能力等方面进行筛选。</w:t>
      </w:r>
    </w:p>
    <w:p w14:paraId="2E84C1C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对于公募REITs，本基金将针对公募REITs的底层不动产所属的行业周期（供需结构、运营收入和资产价格波动等）以及其他可比投资资产项目的风险和预期收益率来判断公募REITs持有不动产项目当前的投资价值以及未来的发展空间，同时结合公募REITs流动性及估值等因素，研究并精选出具有较高投资价值的公募REITs进行投资。本基金根据投资策略需要或市场环境变化，可选择将部分基金资产投资于公募REITs，也可以选择不投资公募REITs。</w:t>
      </w:r>
    </w:p>
    <w:p w14:paraId="360BF73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本基金还将定期对投资组合进行回顾和动态调整，剔除不再符合筛选标准的标的基金，增加符合筛选标准的基金，以实现基金投资组合的优化。</w:t>
      </w:r>
    </w:p>
    <w:p w14:paraId="0418E59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（六）存托凭证投资策略</w:t>
      </w:r>
    </w:p>
    <w:p w14:paraId="4A2C59B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本基金将根据投资目标和股票投资策略，基于对基础证券投资价值的研究判断，进行存托凭证的投资。</w:t>
      </w:r>
    </w:p>
    <w:p w14:paraId="227AEAD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（七）国债期货投资策略</w:t>
      </w:r>
    </w:p>
    <w:p w14:paraId="608F41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投资国债期货将根据风险管理的原则，以套期保值为目的，结合对宏观经济形势和政策趋势的判断、对债券市场定性和定量的分析，对国债期货和现货基差、国债期货的流动性、波动水平等指标进行跟踪监控，在追求基金资产安全的基础上，力求实现基金资产的中长期稳定增值。</w:t>
      </w:r>
    </w:p>
    <w:p w14:paraId="72C6E8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（八）信用衍生品投资策略</w:t>
      </w:r>
    </w:p>
    <w:p w14:paraId="53C8BB5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6C7B53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（九）股指期货投资策略</w:t>
      </w:r>
    </w:p>
    <w:p w14:paraId="468023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3CDFA10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（十）股票期权投资策略</w:t>
      </w:r>
    </w:p>
    <w:p w14:paraId="6A3138B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14:paraId="3DDCAC3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未来，随着证券市场投资工具的发展和丰富，基金可在履行适当程序后，相应调整和更新相关投资策略。</w:t>
      </w:r>
    </w:p>
    <w:p w14:paraId="55C70980">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四、投资限制</w:t>
      </w:r>
    </w:p>
    <w:p w14:paraId="70E616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1、组合限制</w:t>
      </w:r>
    </w:p>
    <w:p w14:paraId="4606D6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基金的投资组合应遵循以下限制：</w:t>
      </w:r>
    </w:p>
    <w:p w14:paraId="0F648B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计入上述权益类资产的混合型基金需符合下列两个条件之一：</w:t>
      </w:r>
    </w:p>
    <w:p w14:paraId="1F4F0D4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1）基金合同约定股票及存托凭证资产投资比例不低于基金资产60%的混合型基金；</w:t>
      </w:r>
    </w:p>
    <w:p w14:paraId="36BCC3F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2）根据基金披露的定期报告，最近四个季度中任一季度股票及存托凭证资产占基金资产比例均不低于60%的混合型基金。</w:t>
      </w:r>
    </w:p>
    <w:p w14:paraId="02B7BC6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（2）本基金持有其他基金，其市值不超过基金资产净值的10%；</w:t>
      </w:r>
    </w:p>
    <w:p w14:paraId="5DC32F5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23FC868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（4）本基金持有一家公司发行的证券（同一家公司在内地和香港同时上市的A+H股合计计算，但不包括本基金所投资的基金份额），其市值不超过基金资产净值的10%；</w:t>
      </w:r>
    </w:p>
    <w:p w14:paraId="29C203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本基金管理人管理的全部基金持有一家公司发行的证券（同一家公司在内地和香港同时上市的A+H股合计计算，但不包括本基金所投资的基金份额），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13091A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（6）本基金投资于同一原始权益人的各类资产支持证券的比例，不得超过基金资产净值的10%；</w:t>
      </w:r>
    </w:p>
    <w:p w14:paraId="5F478E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（7）本基金持有的全部资产支持证券，其市值不得超过基金资产净值的20%；</w:t>
      </w:r>
    </w:p>
    <w:p w14:paraId="5726589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（8）本基金持有的同一（指同一信用级别）资产支持证券的比例，不得超过该资产支持证券规模的10%；</w:t>
      </w:r>
    </w:p>
    <w:p w14:paraId="7521AF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（9）本基金管理人管理的全部基金投资于同一原始权益人的各类资产支持证券，不得超过其各类资产支持证券合计规模的10%；</w:t>
      </w:r>
    </w:p>
    <w:p w14:paraId="28665E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（10）基金财产参与股票发行申购，本基金所申报的金额不超过本基金的总资产，本基金所申报的股票数量不超过拟发行股票公司本次发行股票的总量；</w:t>
      </w:r>
    </w:p>
    <w:p w14:paraId="7A4AF56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（11）本基金资产总值不得超过基金资产净值的140%；</w:t>
      </w:r>
    </w:p>
    <w:p w14:paraId="28B45E9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（12）本基金参与股指期货、国债期货交易，应当遵守下列要求：</w:t>
      </w:r>
    </w:p>
    <w:p w14:paraId="2A9E4E8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1）本基金在任何交易日日终，持有的买入股指期货合约价值，不得超过基金资产净值的10%；本基金在任何交易日日终，持有的买入国债期货合约价值，不得超过基金资产净值的15%；</w:t>
      </w:r>
    </w:p>
    <w:p w14:paraId="163772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6828C4F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3）本基金在任何交易日日终，持有的卖出股指期货合约价值不得超过本基金持有的股票总市值的20%；本基金在任何交易日日终，持有的卖出国债期货合约价值不得超过基金持有的债券总市值的30%；</w:t>
      </w:r>
    </w:p>
    <w:p w14:paraId="7F19457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078BE61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1D06C8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（13）本基金参与股票期权交易，应当遵守下列要求：</w:t>
      </w:r>
    </w:p>
    <w:p w14:paraId="28529FD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1）因未平仓的期权合约支付和收取的权利金总额不得超过基金资产净值的10%；</w:t>
      </w:r>
    </w:p>
    <w:p w14:paraId="04CAD1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2）开仓卖出认购期权的，应持有足额标的证券；开仓卖出认沽期权的，应持有合约行权所需的全额现金或交易所规则认可的可冲抵期权保证金的现金等价物；</w:t>
      </w:r>
    </w:p>
    <w:p w14:paraId="73D3DF8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3）未平仓的期权合约面值不得超过基金资产净值的20%。其中，合约面值按照行权价乘以合约乘数计算；</w:t>
      </w:r>
    </w:p>
    <w:p w14:paraId="223361E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（14）本基金不得持有信用保护卖方属性的信用衍生品，不得持有合约类信用衍生品，持有的信用衍生品的名义本金不得超过本基金对应受保护债券面值的100%；</w:t>
      </w:r>
    </w:p>
    <w:p w14:paraId="28400B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（15）本基金投资于同一信用保护卖方的各类信用衍生品的名义本金合计不得超过基金资产净值的10%；</w:t>
      </w:r>
    </w:p>
    <w:p w14:paraId="3BF5B3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因证券、期货市场波动、证券发行人合并、基金规模变动等基金管理人之外的因素致使基金不符合前述（14）、（15）所规定比例限制的，基金管理人应在3个月之内进行调整；</w:t>
      </w:r>
    </w:p>
    <w:p w14:paraId="5BE7353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16）本基金主动投资于流动性受限资产（含封闭运作基金、定期开放基金等）的市值合计不得超过本基金资产净值的15%；因证券市场波动、上市公司股票停牌、基金规模变动等基金管理人之外的因素致使基金不符合该比例限制的，基金管理人不得主动新增流动性受限资产的投资；</w:t>
      </w:r>
    </w:p>
    <w:p w14:paraId="4FF23CF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（17）本基金与私募类证券资管产品及中国证监会认定的其他主体为交易对手开展逆回购交易的，可接受质押品的资质要求应当与基金合同约定的投资范围保持一致；</w:t>
      </w:r>
    </w:p>
    <w:p w14:paraId="1B1A18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（18）本基金投资存托凭证的比例限制依照境内上市交易的股票执行；</w:t>
      </w:r>
    </w:p>
    <w:p w14:paraId="531DD8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（19）本基金管理人管理的全部基金（ETF联接基金除外）持有单只基金不得超过被投资基金净资产的20%，被投资基金净资产规模以最近定期报告披露的规模为准；</w:t>
      </w:r>
    </w:p>
    <w:p w14:paraId="3B14012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（20）本基金投资其他基金时，被投资基金的运作期限应当不少于1年，最近定期报告披露的基金净资产应当不低于1亿元。</w:t>
      </w:r>
    </w:p>
    <w:p w14:paraId="097C06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（21）本基金不得持有具有复杂、衍生品性质的基金份额，包括分级基金和中国证监会认定的其他基金份额；</w:t>
      </w:r>
    </w:p>
    <w:p w14:paraId="761B398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（22）本基金不得持有基金中基金；</w:t>
      </w:r>
    </w:p>
    <w:p w14:paraId="0D7AEB1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（23）本基金同业存单的投资比例占基金资产的比例不超过20%；</w:t>
      </w:r>
    </w:p>
    <w:p w14:paraId="3F991BA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（24）法律法规及中国证监会规定的和基金合同约定的其他投资限制。</w:t>
      </w:r>
    </w:p>
    <w:p w14:paraId="6FC5E69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因证券市场波动、基金规模变动等基金管理人之外的因素致使基金投资不符合上述（19）规定的投资比例的，基金管理人应当在20个交易日内进行调整，但中国证监会规定的特殊情形除外。除上述第（3）、（14）、（15）、（16）、（17）、（19）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62D5A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基金管理人应当自基金合同生效之日起6个月内使基金的投资组合比例符合基金合同的有关约定。在上述期间内，本基金的投资范围、投资策略应当符合基金合同的约定。</w:t>
      </w:r>
    </w:p>
    <w:p w14:paraId="64FA5F2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基金托管人对基金的投资的监督与检查自基金合同生效之日起开始。</w:t>
      </w:r>
    </w:p>
    <w:p w14:paraId="7421296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法律法规或监管部门取消或变更上述限制，如适用于本基金，基金管理人在履行适当程序后，则本基金投资不再受相关限制或以变更后的规定为准。</w:t>
      </w:r>
    </w:p>
    <w:p w14:paraId="373DD37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2、禁止行为</w:t>
      </w:r>
    </w:p>
    <w:p w14:paraId="59E588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为维护基金份额持有人的合法权益，基金财产不得用于下列投资或者活动：</w:t>
      </w:r>
    </w:p>
    <w:p w14:paraId="55B1251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（1）承销证券；</w:t>
      </w:r>
    </w:p>
    <w:p w14:paraId="07E867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（2）违反规定向他人贷款或者提供担保；</w:t>
      </w:r>
    </w:p>
    <w:p w14:paraId="79C54D8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（3）从事承担无限责任的投资；</w:t>
      </w:r>
    </w:p>
    <w:p w14:paraId="213D54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（4）向其基金管理人、基金托管人出资；</w:t>
      </w:r>
    </w:p>
    <w:p w14:paraId="48EDB4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（5）从事内幕交易、操纵证券交易价格及其他不正当的证券交易活动；</w:t>
      </w:r>
    </w:p>
    <w:p w14:paraId="6231480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（6）法律、行政法规和中国证监会规定禁止的其他活动。</w:t>
      </w:r>
    </w:p>
    <w:p w14:paraId="17A5AF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A5540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本基金投资基金管理人或基金管理人关联方管理的基金的情况，不属于前述重大关联交易，但是应当按照法律法规或监管规定的要求履行信息披露义务。</w:t>
      </w:r>
    </w:p>
    <w:p w14:paraId="7F8DFE8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如法律法规或监管部门取消或调整上述禁止性规定，基金管理人在履行适当程序后，本基金可不受上述规定的限制或按调整后的规定执行，不需经基金份额持有人大会审议，但须提前公告。</w:t>
      </w:r>
    </w:p>
    <w:p w14:paraId="056AEFC5">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五、业绩比较基准</w:t>
      </w:r>
    </w:p>
    <w:p w14:paraId="71F227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本基金业绩比较基准：中债综合全价（总值）指数收益率*80%+中证全指指数收益率*12%+恒生指数收益率*3%+活期存款基准利率*5%</w:t>
      </w:r>
    </w:p>
    <w:p w14:paraId="71D0784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1、业绩比较基准设定的原因</w:t>
      </w:r>
    </w:p>
    <w:p w14:paraId="65A25C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于基金投资范围以及预期投资的主要资产类别，本基金主要投资于债券、A股股票、港股通标的股票等资产，相应选取与之匹配的债券指数、A股指数、港股指数作为基准要素。同时基于基金对股票、存托凭证、股票型基金、混合型基金等权益类资产及可转换债券、分离交易可转债、可交换债券资产的合计投资比例为基金资产的10%-30%，投资于境内股票和A股ETF的比例不低于基金资产的10%，投资于港股通标的股票的比例不超过股票资产的50%等投资比例限制，以及预期的资产配置比例中枢，本基金将债券资产与股票资产所对应的基准要素权重分别设置为80%与15%，其中将股票资产中的A股股票与港股通标的股票所对应的基准要素权重分别设置为12%与3%。</w:t>
      </w:r>
    </w:p>
    <w:p w14:paraId="20CB78C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14:paraId="38E528C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中债综合全价（总值）指数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部分的业绩比较基准要素。</w:t>
      </w:r>
    </w:p>
    <w:p w14:paraId="4A5A6D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于基金投资目标、投资范围和投资策略，本基金根据权益类市场的趋势研判适度参与股票资产投资，精选基本面良好、有长期投资价值的优质企业，同时可投资于全市场的股票型ETF、公募REITs，以及基金管理人旗下的股票型基金、计入权益类资产的混合型基金，力求提高基金总体收益率。综合考虑基准指数与产品定位和投资风格的匹配度，同时兼顾考虑基准指数的表征性、认可度，以及指数盘别/市值覆盖、风格特征、行业与个股分布等，本基金选取中证全指指数和恒生指数分别作为A股股票和港股通股票部分的业绩比较基准要素。</w:t>
      </w:r>
    </w:p>
    <w:p w14:paraId="0A1D2B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中证全指指数由上海证券交易所、深圳证券交易所和北京证券交易所市场符合条件的股票和存托凭证组成样本，具有较高的市场代表性，反映上交所、深交所和北交所市场上市公司的整体表现，适合作为本基金A股股票部分的业绩比较基准要素。</w:t>
      </w:r>
    </w:p>
    <w:p w14:paraId="1C19C64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恒生指数由恒生指数有限公司编制，包括市值最大及成交最活跃，并在香港上市的股票，亦包括H股及红筹股，是反映香港股市价幅趋势最有影响的一种股价指数，适合作为本基金港股通股票部分的业绩比较基准要素。</w:t>
      </w:r>
    </w:p>
    <w:p w14:paraId="23D78AC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综上，本基金选取的业绩比较基准与基金投资目标、投资范围、投资策略、投资比例限制相匹配。</w:t>
      </w:r>
    </w:p>
    <w:p w14:paraId="1EF39BA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2、业绩比较基准要素的基本信息</w:t>
      </w:r>
    </w:p>
    <w:p w14:paraId="02A657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中债综合全价（总值）指数由中债金融估值中心有限公司编制发布，指数代码为CBA00203，指数具体信息详见中国债券信息网，网址：www.chinabond.com.cn。</w:t>
      </w:r>
    </w:p>
    <w:p w14:paraId="426BB5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中证全指指数由中证指数有限公司编制发布，指数代码为000985，指数具体信息详见中证指数有限公司网站，网址：www.csindex.com.cn。</w:t>
      </w:r>
    </w:p>
    <w:p w14:paraId="3915A99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恒生指数由恒生指数有限公司编制发布，指数代码为HSI，指数具体信息详见恒生指数有限公司网站，网址：www.hsi.com.hk/schi/。</w:t>
      </w:r>
    </w:p>
    <w:p w14:paraId="0F1856C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活期存款基准利率由中国人民银行公布，如果活期存款基准利率或利息税发生调整，则新的业绩比较基准将从调整当日起开始生效。</w:t>
      </w:r>
    </w:p>
    <w:p w14:paraId="33C513D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3、业绩比较基准的计算方法</w:t>
      </w:r>
    </w:p>
    <w:p w14:paraId="2A96DDE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业绩比较基准收益率的计算方法以每日收益率为基础，以时间加权为计算原则。本基金先分别计算业绩比较基准中中债综合全价（总值）指数、中证全指指数、恒生指数和活期存款基准利率的每日收益率，再按照预设权重比例计算当日组合要素基准的日收益率，并连乘每日收益率。其中，恒生指数收益率采用估值汇率进行调整，由港元计价折算为人民币计价后，再纳入计算。</w:t>
      </w:r>
    </w:p>
    <w:p w14:paraId="78CB7C4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4、管理投资偏离业绩比较基准的定性或定量方法</w:t>
      </w:r>
    </w:p>
    <w:p w14:paraId="316B5A5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管理人对基金实际投资与业绩比较基准的偏离情况进行动态跟踪与监测评估，监测指标主要包括合适的基金业绩表现类指标（波动率、超额收益等）；对于股票资产，可以采用股票仓位偏离等指标；对于债券资产，可以采用久期中枢等指标，以更好管理基金实际投资与业绩比较基准的偏离情况，从而在控制风险的基础上追求超越业绩比较基准的投资回报。</w:t>
      </w:r>
    </w:p>
    <w:p w14:paraId="7E760F2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122F361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5、未来可能变更业绩比较基准的情况和程序</w:t>
      </w:r>
    </w:p>
    <w:p w14:paraId="3839CBF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1C52BFD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2D9741C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（2）调整业绩比较基准的要素权重、更换相同或相近特征的要素等，使新业绩比较基准代表性更强，且符合相关法律法规规定的；</w:t>
      </w:r>
    </w:p>
    <w:p w14:paraId="1EC418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（3）中国证监会认可的其他情形。</w:t>
      </w:r>
    </w:p>
    <w:p w14:paraId="63D9E9F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业绩比较基准变更涉及以下情形的，基金管理人应当按照规定履行变更注册、召开基金份额持有人大会等程序，法律法规、中国证监会另有规定的除外：</w:t>
      </w:r>
    </w:p>
    <w:p w14:paraId="39F11EB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（1）基金投资目标、投资范围、投资策略、投资比例等拟进行重大调整，并变更业绩比较基准的；</w:t>
      </w:r>
    </w:p>
    <w:p w14:paraId="5F72D57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（2）其他对基金份额持有人利益产生重大实质性影响的情形。</w:t>
      </w:r>
    </w:p>
    <w:p w14:paraId="53755CD4">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六、风险收益特征</w:t>
      </w:r>
    </w:p>
    <w:p w14:paraId="58770CE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6A35E1BD">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七、基金管理人代表基金行使相关权利的处理原则及方法</w:t>
      </w:r>
    </w:p>
    <w:p w14:paraId="3021EC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1、有利于基金财产的安全与增值；</w:t>
      </w:r>
    </w:p>
    <w:p w14:paraId="2088FF5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2、基金管理人按照国家有关规定代表基金独立行使相关权利，保护基金份额持有人的利益；</w:t>
      </w:r>
    </w:p>
    <w:p w14:paraId="42B8FF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3、不谋求对上市公司经营管理的实质控制；</w:t>
      </w:r>
    </w:p>
    <w:p w14:paraId="4E2CE43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4、不通过关联交易为自身、雇员、授权代理人或任何存在利害关系的第三人牟取任何不当利益。</w:t>
      </w:r>
    </w:p>
    <w:p w14:paraId="2B3C4BCE">
      <w:pPr>
        <w:spacing w:line="360" w:lineRule="auto"/>
        <w:ind w:firstLine="482" w:firstLineChars="200"/>
        <w:rPr>
          <w:rFonts w:ascii="Times New Roman" w:hAnsi="Times New Roman" w:eastAsia="宋体" w:cs="Times New Roman"/>
          <w:b/>
          <w:sz w:val="24"/>
          <w:szCs w:val="24"/>
        </w:rPr>
      </w:pPr>
      <w:r>
        <w:rPr>
          <w:rFonts w:hint="eastAsia" w:ascii="宋体" w:hAnsi="宋体" w:eastAsia="宋体" w:cs="Times New Roman"/>
          <w:b/>
          <w:sz w:val="24"/>
          <w:szCs w:val="24"/>
        </w:rPr>
        <w:t>八、侧袋机制的实施和投资运作安排</w:t>
      </w:r>
    </w:p>
    <w:p w14:paraId="4334E34B">
      <w:pPr>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5F009CB2">
      <w:pPr>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侧袋机制实施期间，本部分约定的投资组合比例、投资策略、组合限制、业绩比较基准、风险收益特征等约定仅适用于主袋账户。</w:t>
      </w:r>
    </w:p>
    <w:p w14:paraId="35883A72">
      <w:pPr>
        <w:spacing w:line="360" w:lineRule="auto"/>
        <w:ind w:firstLine="480" w:firstLineChars="200"/>
        <w:rPr>
          <w:rFonts w:ascii="Times New Roman" w:hAnsi="Times New Roman" w:eastAsia="宋体" w:cs="Times New Roman"/>
          <w:szCs w:val="21"/>
        </w:rPr>
      </w:pPr>
      <w:r>
        <w:rPr>
          <w:rFonts w:hint="eastAsia" w:ascii="宋体" w:hAnsi="宋体" w:eastAsia="宋体" w:cs="Times New Roman"/>
          <w:sz w:val="24"/>
          <w:szCs w:val="24"/>
        </w:rPr>
        <w:t>侧袋账户的实施条件、实施程序、运作安排、投资安排、特定资产的处置变现和支付等对投资者权益有重大影响的事项详见招募说明书“侧袋机制”部分的规定。</w:t>
      </w:r>
    </w:p>
    <w:p w14:paraId="463702D4">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r>
        <w:rPr>
          <w:rFonts w:ascii="Times New Roman" w:hAnsi="Times New Roman" w:eastAsia="宋体" w:cs="Times New Roman"/>
          <w:b/>
          <w:kern w:val="44"/>
          <w:sz w:val="32"/>
          <w:szCs w:val="20"/>
        </w:rPr>
        <w:br w:type="page"/>
      </w:r>
      <w:bookmarkStart w:id="102" w:name="_Toc213077629"/>
      <w:bookmarkStart w:id="103" w:name="_Toc11858"/>
      <w:bookmarkStart w:id="104" w:name="_Toc29074"/>
      <w:r>
        <w:rPr>
          <w:rFonts w:hint="eastAsia" w:ascii="Times New Roman" w:hAnsi="Times New Roman" w:eastAsia="宋体" w:cs="Times New Roman"/>
          <w:b/>
          <w:kern w:val="44"/>
          <w:sz w:val="32"/>
          <w:szCs w:val="20"/>
        </w:rPr>
        <w:t>第十部分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基金的财产</w:t>
      </w:r>
      <w:bookmarkEnd w:id="102"/>
      <w:bookmarkEnd w:id="103"/>
      <w:bookmarkEnd w:id="104"/>
    </w:p>
    <w:p w14:paraId="47744992">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一、基金资产总值</w:t>
      </w:r>
    </w:p>
    <w:p w14:paraId="5337359D">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基金资产总值是指基金拥有的各类有价证券、银行存款本息、基金应收款项、基金份额以及其他资产的价值总和。</w:t>
      </w:r>
    </w:p>
    <w:p w14:paraId="08109E22">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二、基金资产净值</w:t>
      </w:r>
    </w:p>
    <w:p w14:paraId="008F2684">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基金资产净值是指基金资产总值减去基金负债后的价值</w:t>
      </w:r>
      <w:r>
        <w:rPr>
          <w:rFonts w:ascii="宋体" w:hAnsi="宋体" w:eastAsia="宋体" w:cs="Times New Roman"/>
          <w:bCs/>
          <w:sz w:val="24"/>
          <w:szCs w:val="24"/>
        </w:rPr>
        <w:t>。</w:t>
      </w:r>
    </w:p>
    <w:p w14:paraId="0EC55738">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三、基金财产的账户</w:t>
      </w:r>
    </w:p>
    <w:p w14:paraId="43AFBAD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479F91A0">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四、基金财产的保管和处分</w:t>
      </w:r>
    </w:p>
    <w:p w14:paraId="4FA27C3E">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7853D8D">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D971AB2">
      <w:pPr>
        <w:spacing w:line="360" w:lineRule="auto"/>
        <w:ind w:firstLine="480" w:firstLineChars="200"/>
        <w:rPr>
          <w:rFonts w:ascii="Times New Roman" w:hAnsi="Times New Roman" w:eastAsia="宋体" w:cs="Times New Roman"/>
          <w:bCs/>
          <w:sz w:val="24"/>
          <w:szCs w:val="24"/>
        </w:rPr>
      </w:pPr>
    </w:p>
    <w:p w14:paraId="68E7FBA6">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r>
        <w:rPr>
          <w:rFonts w:ascii="Times New Roman" w:hAnsi="Times New Roman" w:eastAsia="宋体" w:cs="Times New Roman"/>
          <w:b/>
          <w:kern w:val="0"/>
          <w:sz w:val="32"/>
          <w:szCs w:val="20"/>
        </w:rPr>
        <w:br w:type="page"/>
      </w:r>
      <w:bookmarkStart w:id="105" w:name="_Toc3134"/>
      <w:bookmarkStart w:id="106" w:name="_Toc10910"/>
      <w:bookmarkStart w:id="107" w:name="_Toc213077630"/>
      <w:r>
        <w:rPr>
          <w:rFonts w:hint="eastAsia" w:ascii="Times New Roman" w:hAnsi="Times New Roman" w:eastAsia="宋体" w:cs="Times New Roman"/>
          <w:b/>
          <w:kern w:val="44"/>
          <w:sz w:val="32"/>
          <w:szCs w:val="20"/>
        </w:rPr>
        <w:t>第十一部分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基金资产估值</w:t>
      </w:r>
      <w:bookmarkEnd w:id="105"/>
      <w:bookmarkEnd w:id="106"/>
      <w:bookmarkEnd w:id="107"/>
    </w:p>
    <w:p w14:paraId="26ADF91B">
      <w:pPr>
        <w:spacing w:line="360" w:lineRule="auto"/>
        <w:ind w:firstLine="482" w:firstLineChars="200"/>
        <w:rPr>
          <w:rFonts w:ascii="Times New Roman" w:hAnsi="Times New Roman" w:eastAsia="宋体" w:cs="Times New Roman"/>
          <w:b/>
          <w:bCs/>
          <w:sz w:val="24"/>
          <w:szCs w:val="24"/>
        </w:rPr>
      </w:pPr>
      <w:bookmarkStart w:id="108" w:name="_Hlk68189767"/>
      <w:r>
        <w:rPr>
          <w:rFonts w:ascii="宋体" w:hAnsi="宋体" w:eastAsia="宋体" w:cs="Times New Roman"/>
          <w:b/>
          <w:bCs/>
          <w:sz w:val="24"/>
          <w:szCs w:val="24"/>
        </w:rPr>
        <w:t>一、估值日</w:t>
      </w:r>
    </w:p>
    <w:p w14:paraId="7B3A4690">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本基金的估值日为本基金相关的证券、期货交易场所的交易日以及国家法律法规规定需要对外披露基金净值的非交易日。</w:t>
      </w:r>
    </w:p>
    <w:p w14:paraId="05B206A4">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二、估值对象</w:t>
      </w:r>
    </w:p>
    <w:p w14:paraId="19B56CAA">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基金所拥有的股票、存托凭证、基金份额、股指期货合约、国债期货合约、股票期权合约、信用衍生品、资产支持证券、债券和银行存款本息、应收款项、其它投资等资产及负债。</w:t>
      </w:r>
    </w:p>
    <w:p w14:paraId="60167A3E">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三、估值原则</w:t>
      </w:r>
    </w:p>
    <w:p w14:paraId="595C771C">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基金管理人在确定相关金融资产和金融负债的公允价值时，应符合《企业会计准则》、监管部门有关规定。</w:t>
      </w:r>
    </w:p>
    <w:p w14:paraId="4B525E2A">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1F347CD">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与上述投资品种</w:t>
      </w:r>
      <w:r>
        <w:rPr>
          <w:rFonts w:ascii="宋体" w:hAnsi="宋体" w:eastAsia="宋体" w:cs="Times New Roman"/>
          <w:sz w:val="24"/>
          <w:szCs w:val="24"/>
        </w:rPr>
        <w:t>相</w:t>
      </w:r>
      <w:r>
        <w:rPr>
          <w:rFonts w:hint="eastAsia" w:ascii="宋体" w:hAnsi="宋体" w:eastAsia="宋体" w:cs="Times New Roman"/>
          <w:sz w:val="24"/>
          <w:szCs w:val="24"/>
        </w:rPr>
        <w:t>同</w:t>
      </w:r>
      <w:r>
        <w:rPr>
          <w:rFonts w:hint="eastAsia" w:ascii="宋体" w:hAnsi="宋体" w:eastAsia="宋体" w:cs="Times New Roman"/>
          <w:bCs/>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D165571">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CD8C550">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（三）如经济环境发生重大变化或证券发行人发生影响证券价格的重大事件，使潜在估值调整对前一估值日的基金资产净值的影响在</w:t>
      </w:r>
      <w:r>
        <w:rPr>
          <w:rFonts w:hint="eastAsia" w:ascii="Times New Roman" w:hAnsi="Times New Roman" w:eastAsia="宋体" w:cs="Times New Roman"/>
          <w:bCs/>
          <w:sz w:val="24"/>
          <w:szCs w:val="24"/>
        </w:rPr>
        <w:t>0.25%</w:t>
      </w:r>
      <w:r>
        <w:rPr>
          <w:rFonts w:hint="eastAsia" w:ascii="宋体" w:hAnsi="宋体" w:eastAsia="宋体" w:cs="Times New Roman"/>
          <w:bCs/>
          <w:sz w:val="24"/>
          <w:szCs w:val="24"/>
        </w:rPr>
        <w:t>以上的，应对估值进行调整并确定公允价值。</w:t>
      </w:r>
    </w:p>
    <w:p w14:paraId="6316722A">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四、</w:t>
      </w:r>
      <w:r>
        <w:rPr>
          <w:rFonts w:ascii="宋体" w:hAnsi="宋体" w:eastAsia="宋体" w:cs="Times New Roman"/>
          <w:b/>
          <w:bCs/>
          <w:sz w:val="24"/>
          <w:szCs w:val="24"/>
        </w:rPr>
        <w:t>估值方法</w:t>
      </w:r>
    </w:p>
    <w:p w14:paraId="6F26A8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9295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2、处于未上市期间以及流通受限的有价证券应区分如下情况处理： </w:t>
      </w:r>
    </w:p>
    <w:p w14:paraId="0205A70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（1）送股、转增股、配股和公开增发的新股，按估值日在证券交易所挂牌的同一股票的估值方法估值；该日无交易的，以最近一日的市价（收盘价）估值；</w:t>
      </w:r>
    </w:p>
    <w:p w14:paraId="2DE6149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（2）首次公开发行未上市的股票，采用估值技术确定公允价值；</w:t>
      </w:r>
    </w:p>
    <w:p w14:paraId="6EB06B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1256A6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3、对于已上市或已挂牌转让的不含权固定收益品种，选取第三方估值基准服务机构提供的相应品种当日的估值全价进行估值。</w:t>
      </w:r>
    </w:p>
    <w:p w14:paraId="136EAD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4、对于已上市或已挂牌转让的含权固定收益品种，选取第三方估值基准服务机构提供的相应品种当日的唯一估值全价或推荐估值全价进行估值。</w:t>
      </w:r>
    </w:p>
    <w:p w14:paraId="1813612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3A81C98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01DFB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6、对于未上市或未挂牌转让且不存在活跃市场的固定收益品种，采用在当前情况下适用并且有足够可利用数据和其他信息支持的估值技术确定其公允价值。</w:t>
      </w:r>
    </w:p>
    <w:p w14:paraId="371366F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7、基金份额的估值</w:t>
      </w:r>
    </w:p>
    <w:p w14:paraId="7E61B0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（1）非上市基金的估值</w:t>
      </w:r>
    </w:p>
    <w:p w14:paraId="04BDF7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境内非货币市场基金按其估值日的份额净值估值。</w:t>
      </w:r>
    </w:p>
    <w:p w14:paraId="06D15AD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（2）上市基金的估值</w:t>
      </w:r>
    </w:p>
    <w:p w14:paraId="2895C56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1）ETF基金按其估值日的收盘价估值；</w:t>
      </w:r>
    </w:p>
    <w:p w14:paraId="14C343E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2）境内上市开放式基金（LOF）按其估值日的份额净值估值；</w:t>
      </w:r>
    </w:p>
    <w:p w14:paraId="2210F14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3）境内上市定期开放式基金、封闭式基金按其估值日的收盘价估值。</w:t>
      </w:r>
    </w:p>
    <w:p w14:paraId="7F05DE8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（3）如遇所投资基金不公布基金份额净值、进行折算或拆分、估值日无交易等特殊情况，基金管理人根据以下原则进行估值：</w:t>
      </w:r>
    </w:p>
    <w:p w14:paraId="1F36CCC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1）以所投资基金的基金份额净值估值的，若所投资基金与本基金估值频率一致但未公布估值日基金份额净值，按其最近公布的基金份额净值为基础估值；</w:t>
      </w:r>
    </w:p>
    <w:p w14:paraId="145B430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0C26BD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3）如果所投资基金前一估值日至估值日期间发生分红除权、折算或拆分，基金管理人应根据基金份额净值或收盘价、单位基金份额分红金额、折算拆分比例、持仓份额等因素合理确定公允价值。</w:t>
      </w:r>
    </w:p>
    <w:p w14:paraId="009B159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（4）当基金管理人认为所投资基金按上述第（1）至第（3）项进行估值存在不公允时，应与基金托管人协商一致采用合理的估值技术或估值标准确定其公允价值。</w:t>
      </w:r>
    </w:p>
    <w:p w14:paraId="3955AE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8、本基金投资股指期货合约、国债期货合约和股票期权合约，一般以估值当日结算价进行估值，估值当日无结算价的，且最近交易日后经济环境未发生重大变化的，采用最近交易日结算价估值。</w:t>
      </w:r>
    </w:p>
    <w:p w14:paraId="2719049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9</w:t>
      </w:r>
      <w:r>
        <w:rPr>
          <w:rFonts w:hint="eastAsia" w:ascii="Times New Roman" w:hAnsi="Times New Roman" w:eastAsia="宋体" w:cs="Times New Roman"/>
          <w:bCs/>
          <w:sz w:val="24"/>
          <w:szCs w:val="24"/>
        </w:rPr>
        <w:t>、本基金投资存托凭证的估值核算依照境内上市交易的股票执行。</w:t>
      </w:r>
    </w:p>
    <w:p w14:paraId="05D123B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10</w:t>
      </w:r>
      <w:r>
        <w:rPr>
          <w:rFonts w:hint="eastAsia" w:ascii="Times New Roman" w:hAnsi="Times New Roman" w:eastAsia="宋体" w:cs="Times New Roman"/>
          <w:bCs/>
          <w:sz w:val="24"/>
          <w:szCs w:val="24"/>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353F2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、同一证券同时在两个或两个以上市场交易的，按证券所处的市场分别估值。</w:t>
      </w:r>
    </w:p>
    <w:p w14:paraId="0691D6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、如有确凿证据表明按上述方法进行估值不能客观反映其公允价值的，基金管理人可根据具体情况与基金托管人商定后，按最能反映公允价值的价格估值。</w:t>
      </w:r>
    </w:p>
    <w:p w14:paraId="23EB3FC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、当发生大额申购或赎回情形时，基金管理人可以采用摆动定价机制，以确保基金估值的公平性。</w:t>
      </w:r>
    </w:p>
    <w:p w14:paraId="12FAC1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、估值计算中涉及港币对人民币汇率的，将依据下列信息提供机构所提供的汇率为基准：当日中国人民银行或其授权机构公布的人民币与港币的中间价，或其他可以反映公允价值的汇率。</w:t>
      </w:r>
    </w:p>
    <w:p w14:paraId="38DAA6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728953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、相关法律法规以及监管部门有强制规定的，从其规定。如有新增事项，按国家最新规定估值。</w:t>
      </w:r>
    </w:p>
    <w:p w14:paraId="2AF0CF5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34E580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1F94CDB5">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五</w:t>
      </w:r>
      <w:r>
        <w:rPr>
          <w:rFonts w:ascii="宋体" w:hAnsi="宋体" w:eastAsia="宋体" w:cs="Times New Roman"/>
          <w:b/>
          <w:bCs/>
          <w:sz w:val="24"/>
          <w:szCs w:val="24"/>
        </w:rPr>
        <w:t>、估值程序</w:t>
      </w:r>
    </w:p>
    <w:p w14:paraId="2AA44A4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7BC288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基金管理人于每个工作日计算基金资产净值及各类基金份额净值，经基金托管人复核无误后，按规定公告。</w:t>
      </w:r>
    </w:p>
    <w:p w14:paraId="70FA350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管理人应在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49D1AB8E">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六</w:t>
      </w:r>
      <w:r>
        <w:rPr>
          <w:rFonts w:ascii="宋体" w:hAnsi="宋体" w:eastAsia="宋体" w:cs="Times New Roman"/>
          <w:b/>
          <w:bCs/>
          <w:sz w:val="24"/>
          <w:szCs w:val="24"/>
        </w:rPr>
        <w:t>、估值错误的处理</w:t>
      </w:r>
    </w:p>
    <w:p w14:paraId="0BAF4839">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基金管理人和基金托管人将采取必要、适当、合理的措施确保基金资产估值的准确性、及时性。当任一类基金份额净值小数点后4位以内（含第4位）发生估值错误时，视为该类基金份额净值错误。</w:t>
      </w:r>
    </w:p>
    <w:p w14:paraId="5E7259D1">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基金合同的当事人应按照以下约定处理：</w:t>
      </w:r>
    </w:p>
    <w:p w14:paraId="63ECA015">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1、估值错误类型</w:t>
      </w:r>
    </w:p>
    <w:p w14:paraId="07C63AD2">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5ACB410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上述估值错误的主要类型包括但不限于：资料申报差错、数据传输差错、数据计算差错、系统故障差错、下达指令差错等。</w:t>
      </w:r>
    </w:p>
    <w:p w14:paraId="428BD42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2、估值错误处理原则</w:t>
      </w:r>
    </w:p>
    <w:p w14:paraId="0957F2F5">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E10595A">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（2）估值错误的责任方对有关当事人的直接损失负责，不对间接损失负责，并且仅对估值错误的有关直接当事人负责，不对第三方负责。</w:t>
      </w:r>
    </w:p>
    <w:p w14:paraId="24409BF4">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DAB935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（4）估值错误调整采用尽量恢复至假设未发生估值错误的正确情形的方式。</w:t>
      </w:r>
    </w:p>
    <w:p w14:paraId="1A40572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（5）按法律法规规定的其他原则处理估值错误。</w:t>
      </w:r>
    </w:p>
    <w:p w14:paraId="315D731A">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3、估值错误处理程序</w:t>
      </w:r>
    </w:p>
    <w:p w14:paraId="69157BCB">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估值错误被发现后，有关的当事人应当及时进行处理，处理的程序如下：</w:t>
      </w:r>
    </w:p>
    <w:p w14:paraId="783B024B">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（1）查明估值错误发生的原因，列明所有的当事人，并根据估值错误发生的原因确定估值错误的责任方；</w:t>
      </w:r>
    </w:p>
    <w:p w14:paraId="0AD3F880">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（2）根据估值错误处理原则或当事人协商的方法对因估值错误造成的损失进行评估；</w:t>
      </w:r>
    </w:p>
    <w:p w14:paraId="00F106B8">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（3）根据估值错误处理原则或当事人协商的方法由估值错误的责任方进行更正和赔偿损失；</w:t>
      </w:r>
    </w:p>
    <w:p w14:paraId="399B6782">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（4）根据估值错误处理的方法，需要修改基金登记机构交易数据的，由基金登记机构进行更正，并就估值错误的更正向有关当事人进行确认。</w:t>
      </w:r>
    </w:p>
    <w:p w14:paraId="19DEB594">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4、基金份额净值估值错误处理的方法如下：</w:t>
      </w:r>
    </w:p>
    <w:p w14:paraId="0FE8BB6C">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（1）任一类基金份额净值计算出现错误时，基金管理人应当立即予以纠正，通报基金托管人，并采取合理的措施防止损失进一步扩大。</w:t>
      </w:r>
    </w:p>
    <w:p w14:paraId="6E6ACABD">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（2）错误偏差达到该类基金份额净值的0.25%时，基金管理人应当通报基金托管人并报中国证监会备案；错误偏差达到该类基金份额净值的0.5%时，基金管理人应当公告，并报中国证监会备案。</w:t>
      </w:r>
    </w:p>
    <w:p w14:paraId="3FD7DB9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（3）当基金份额净值计算差错给基金和基金份额持有人造成损失需要进行赔偿时，基金管理人和基金托管人应根据实际情况界定双方承担的责任，经确认后按以下条款进行赔偿：</w:t>
      </w:r>
    </w:p>
    <w:p w14:paraId="57113B2D">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B181413">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75C6F7DD">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BEA104D">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④由于基金管理人提供的信息错误（包括但不限于基金申购或赎回金额等），进而导致基金份额净值计算错误而引起的基金份额持有人和基金财产的损失，由基金管理人负责赔付。</w:t>
      </w:r>
    </w:p>
    <w:p w14:paraId="0A4A6C0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（4）前述内容如法律法规或监管机关另有规定的，从其规定处理。如果行业另有通行做法，基金管理人和基金托管人应本着平等和保护基金份额持有人利益的原则进行协商。</w:t>
      </w:r>
    </w:p>
    <w:p w14:paraId="641EFC77">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七</w:t>
      </w:r>
      <w:r>
        <w:rPr>
          <w:rFonts w:ascii="宋体" w:hAnsi="宋体" w:eastAsia="宋体" w:cs="Times New Roman"/>
          <w:b/>
          <w:bCs/>
          <w:sz w:val="24"/>
          <w:szCs w:val="24"/>
        </w:rPr>
        <w:t>、暂停估值的情形</w:t>
      </w:r>
    </w:p>
    <w:p w14:paraId="13C85C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1、基金投资所涉及的证券、期货交易市场或外汇市场遇法定节假日或因其他原因暂停营业时；</w:t>
      </w:r>
    </w:p>
    <w:p w14:paraId="0899992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2、因不可抗力致使基金管理人、基金托管人无法准确评估基金资产价值时；</w:t>
      </w:r>
    </w:p>
    <w:p w14:paraId="0794F0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3、当特定资产占前一估值日基金资产净值50%以上的，经与基金托管人协商确认后，基金管理人应当暂停估值；</w:t>
      </w:r>
    </w:p>
    <w:p w14:paraId="77EB1DF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4、法律法规规定、中国证监会和基金合同认定的其他情形。</w:t>
      </w:r>
    </w:p>
    <w:p w14:paraId="11EA8313">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八</w:t>
      </w:r>
      <w:r>
        <w:rPr>
          <w:rFonts w:ascii="宋体" w:hAnsi="宋体" w:eastAsia="宋体" w:cs="Times New Roman"/>
          <w:b/>
          <w:bCs/>
          <w:sz w:val="24"/>
          <w:szCs w:val="24"/>
        </w:rPr>
        <w:t>、基金净值的确认</w:t>
      </w:r>
    </w:p>
    <w:p w14:paraId="6CB335A8">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规定予以公布。</w:t>
      </w:r>
    </w:p>
    <w:p w14:paraId="5515DE81">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九、特殊情形的处理</w:t>
      </w:r>
    </w:p>
    <w:p w14:paraId="4305E5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1、基金管理人或基金托管人按估值方法的第1</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项进行估值时，所造成的误差不作为基金资产估值错误处理；</w:t>
      </w:r>
    </w:p>
    <w:p w14:paraId="544A51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422D576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3、对于因税收规定调整或其他原因导致基金实际交纳税金与基金按照权责发生制进行估值的应交税金有差异的，相关估值调整不作为基金资产估值错误处理。</w:t>
      </w:r>
    </w:p>
    <w:p w14:paraId="607E2124">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十、实施侧袋机制期间的基金资产估值</w:t>
      </w:r>
    </w:p>
    <w:p w14:paraId="61CA5A69">
      <w:pPr>
        <w:spacing w:line="360" w:lineRule="auto"/>
        <w:ind w:firstLine="480" w:firstLineChars="200"/>
        <w:rPr>
          <w:rFonts w:ascii="Times New Roman" w:hAnsi="Times New Roman" w:eastAsia="宋体" w:cs="Times New Roman"/>
          <w:szCs w:val="21"/>
        </w:rPr>
      </w:pPr>
      <w:r>
        <w:rPr>
          <w:rFonts w:hint="eastAsia" w:ascii="宋体" w:hAnsi="宋体" w:eastAsia="宋体" w:cs="Times New Roman"/>
          <w:bCs/>
          <w:sz w:val="24"/>
          <w:szCs w:val="24"/>
        </w:rPr>
        <w:t>本基金实施侧袋机制的，应根据本部分的约定对主袋账户资产进行估值并披露主袋账户的基金净值信息，暂停披露侧袋账户份额净值。</w:t>
      </w:r>
    </w:p>
    <w:bookmarkEnd w:id="108"/>
    <w:p w14:paraId="2AFB6369">
      <w:pPr>
        <w:spacing w:line="360" w:lineRule="auto"/>
        <w:ind w:firstLine="480" w:firstLineChars="200"/>
        <w:rPr>
          <w:rFonts w:ascii="Times New Roman" w:hAnsi="Times New Roman" w:eastAsia="宋体" w:cs="Times New Roman"/>
          <w:bCs/>
          <w:sz w:val="24"/>
          <w:szCs w:val="24"/>
        </w:rPr>
      </w:pPr>
    </w:p>
    <w:p w14:paraId="092170E4">
      <w:pPr>
        <w:widowControl/>
        <w:jc w:val="left"/>
        <w:rPr>
          <w:rFonts w:ascii="Times New Roman" w:hAnsi="Times New Roman" w:eastAsia="宋体" w:cs="Times New Roman"/>
          <w:bCs/>
          <w:sz w:val="24"/>
          <w:szCs w:val="24"/>
        </w:rPr>
      </w:pPr>
      <w:r>
        <w:rPr>
          <w:rFonts w:ascii="Times New Roman" w:hAnsi="Times New Roman" w:eastAsia="宋体" w:cs="Times New Roman"/>
          <w:bCs/>
          <w:sz w:val="24"/>
          <w:szCs w:val="24"/>
        </w:rPr>
        <w:br w:type="page"/>
      </w:r>
    </w:p>
    <w:p w14:paraId="62F481B7">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bookmarkStart w:id="109" w:name="_Toc12687"/>
      <w:bookmarkStart w:id="110" w:name="_Toc15297"/>
      <w:bookmarkStart w:id="111" w:name="_Toc213077631"/>
      <w:r>
        <w:rPr>
          <w:rFonts w:hint="eastAsia" w:ascii="Times New Roman" w:hAnsi="Times New Roman" w:eastAsia="宋体" w:cs="Times New Roman"/>
          <w:b/>
          <w:kern w:val="0"/>
          <w:sz w:val="32"/>
          <w:szCs w:val="20"/>
        </w:rPr>
        <w:t>第十二部分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基金的收益与分配</w:t>
      </w:r>
      <w:bookmarkEnd w:id="109"/>
      <w:bookmarkEnd w:id="110"/>
      <w:bookmarkEnd w:id="111"/>
    </w:p>
    <w:p w14:paraId="59212DBC">
      <w:pPr>
        <w:spacing w:line="360" w:lineRule="auto"/>
        <w:ind w:firstLine="542" w:firstLineChars="225"/>
        <w:rPr>
          <w:rFonts w:ascii="Times New Roman" w:hAnsi="Times New Roman" w:eastAsia="宋体" w:cs="Times New Roman"/>
          <w:b/>
          <w:bCs/>
          <w:sz w:val="24"/>
          <w:szCs w:val="24"/>
        </w:rPr>
      </w:pPr>
      <w:r>
        <w:rPr>
          <w:rFonts w:ascii="宋体" w:hAnsi="宋体" w:eastAsia="宋体" w:cs="Times New Roman"/>
          <w:b/>
          <w:bCs/>
          <w:sz w:val="24"/>
          <w:szCs w:val="24"/>
        </w:rPr>
        <w:t>一、基金利润的构成</w:t>
      </w:r>
    </w:p>
    <w:p w14:paraId="68E4607C">
      <w:pPr>
        <w:spacing w:line="360" w:lineRule="auto"/>
        <w:ind w:firstLine="540" w:firstLineChars="225"/>
        <w:rPr>
          <w:rFonts w:ascii="Times New Roman" w:hAnsi="Times New Roman" w:eastAsia="宋体" w:cs="Times New Roman"/>
          <w:bCs/>
          <w:sz w:val="24"/>
          <w:szCs w:val="24"/>
        </w:rPr>
      </w:pPr>
      <w:r>
        <w:rPr>
          <w:rFonts w:ascii="宋体" w:hAnsi="宋体" w:eastAsia="宋体" w:cs="Times New Roman"/>
          <w:bCs/>
          <w:sz w:val="24"/>
          <w:szCs w:val="24"/>
        </w:rPr>
        <w:t>基金利润指基金利息收入、投资收益、公允价值变动收益和其他收入扣除相关费用后的余额，基金已实现收益指基金利润减去公允价值变动收益后的余额。</w:t>
      </w:r>
    </w:p>
    <w:p w14:paraId="1C565110">
      <w:pPr>
        <w:spacing w:line="360" w:lineRule="auto"/>
        <w:ind w:firstLine="542" w:firstLineChars="225"/>
        <w:rPr>
          <w:rFonts w:ascii="Times New Roman" w:hAnsi="Times New Roman" w:eastAsia="宋体" w:cs="Times New Roman"/>
          <w:b/>
          <w:bCs/>
          <w:sz w:val="24"/>
          <w:szCs w:val="24"/>
        </w:rPr>
      </w:pPr>
      <w:r>
        <w:rPr>
          <w:rFonts w:ascii="宋体" w:hAnsi="宋体" w:eastAsia="宋体" w:cs="Times New Roman"/>
          <w:b/>
          <w:bCs/>
          <w:sz w:val="24"/>
          <w:szCs w:val="24"/>
        </w:rPr>
        <w:t>二、基金可供分配利润</w:t>
      </w:r>
    </w:p>
    <w:p w14:paraId="36708863">
      <w:pPr>
        <w:spacing w:line="360" w:lineRule="auto"/>
        <w:ind w:firstLine="540" w:firstLineChars="225"/>
        <w:rPr>
          <w:rFonts w:ascii="Times New Roman" w:hAnsi="Times New Roman" w:eastAsia="宋体" w:cs="Times New Roman"/>
          <w:bCs/>
          <w:sz w:val="24"/>
          <w:szCs w:val="24"/>
        </w:rPr>
      </w:pPr>
      <w:r>
        <w:rPr>
          <w:rFonts w:ascii="宋体" w:hAnsi="宋体" w:eastAsia="宋体" w:cs="Times New Roman"/>
          <w:bCs/>
          <w:sz w:val="24"/>
          <w:szCs w:val="24"/>
        </w:rPr>
        <w:t>基金可供分配利润指截至收益分配基准日基金未分配利润与未分配利润中已实现收益的孰低数。</w:t>
      </w:r>
    </w:p>
    <w:p w14:paraId="162D12F0">
      <w:pPr>
        <w:spacing w:line="360" w:lineRule="auto"/>
        <w:ind w:firstLine="542" w:firstLineChars="225"/>
        <w:rPr>
          <w:rFonts w:ascii="Times New Roman" w:hAnsi="Times New Roman" w:eastAsia="宋体" w:cs="Times New Roman"/>
          <w:b/>
          <w:bCs/>
          <w:sz w:val="24"/>
          <w:szCs w:val="24"/>
        </w:rPr>
      </w:pPr>
      <w:r>
        <w:rPr>
          <w:rFonts w:ascii="宋体" w:hAnsi="宋体" w:eastAsia="宋体" w:cs="Times New Roman"/>
          <w:b/>
          <w:bCs/>
          <w:sz w:val="24"/>
          <w:szCs w:val="24"/>
        </w:rPr>
        <w:t>三、基金收益分配原则</w:t>
      </w:r>
    </w:p>
    <w:p w14:paraId="533B91EB">
      <w:pPr>
        <w:spacing w:line="360" w:lineRule="auto"/>
        <w:ind w:firstLine="540" w:firstLineChars="225"/>
        <w:rPr>
          <w:rFonts w:ascii="Times New Roman" w:hAnsi="Times New Roman" w:eastAsia="宋体" w:cs="Times New Roman"/>
          <w:bCs/>
          <w:sz w:val="24"/>
          <w:szCs w:val="24"/>
        </w:rPr>
      </w:pPr>
      <w:r>
        <w:rPr>
          <w:rFonts w:hint="eastAsia" w:ascii="Times New Roman" w:hAnsi="Times New Roman" w:eastAsia="宋体" w:cs="Times New Roman"/>
          <w:bCs/>
          <w:sz w:val="24"/>
          <w:szCs w:val="24"/>
        </w:rPr>
        <w:t>1、在符合有关基金分红条件的前提下，本基金可进行收益分配；若基金合同生效不满3个月，本基金可不进行收益分配；</w:t>
      </w:r>
    </w:p>
    <w:p w14:paraId="2F59C029">
      <w:pPr>
        <w:spacing w:line="360" w:lineRule="auto"/>
        <w:ind w:firstLine="540" w:firstLineChars="225"/>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2、本基金收益分配方式分两种：现金分红与红利再投资，投资者可选择现金红利或将现金红利自动转为相应类别的基金份额进行再投资；若投资者不选择，本基金默认的收益分配方式是现金分红；</w:t>
      </w:r>
    </w:p>
    <w:p w14:paraId="212DABEE">
      <w:pPr>
        <w:spacing w:line="360" w:lineRule="auto"/>
        <w:ind w:firstLine="540" w:firstLineChars="225"/>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3、基金收益分配后各类基金份额的基金份额净值不能低于面值；即基金收益分配基准日的各类基金份额净值减去每单位该类基金份额收益分配金额后不能低于面值；</w:t>
      </w:r>
    </w:p>
    <w:p w14:paraId="1CA349F3">
      <w:pPr>
        <w:spacing w:line="360" w:lineRule="auto"/>
        <w:ind w:firstLine="540" w:firstLineChars="225"/>
        <w:rPr>
          <w:rFonts w:ascii="Times New Roman" w:hAnsi="Times New Roman" w:eastAsia="宋体" w:cs="Times New Roman"/>
          <w:bCs/>
          <w:sz w:val="24"/>
          <w:szCs w:val="24"/>
        </w:rPr>
      </w:pPr>
      <w:r>
        <w:rPr>
          <w:rFonts w:hint="eastAsia" w:ascii="Times New Roman" w:hAnsi="Times New Roman" w:eastAsia="宋体" w:cs="Times New Roman"/>
          <w:bCs/>
          <w:sz w:val="24"/>
          <w:szCs w:val="24"/>
        </w:rPr>
        <w:t>4、本基金同一类别每一基金份额享有同等分配权，由于本基金A类基金份额不收取销售服务费，C类基金份额收取销售服务费，各基金份额类别对应的可供分配利润将有所不同；</w:t>
      </w:r>
    </w:p>
    <w:p w14:paraId="7BE97780">
      <w:pPr>
        <w:spacing w:line="360" w:lineRule="auto"/>
        <w:ind w:firstLine="540" w:firstLineChars="225"/>
        <w:rPr>
          <w:rFonts w:ascii="Times New Roman" w:hAnsi="Times New Roman" w:eastAsia="宋体" w:cs="Times New Roman"/>
          <w:bCs/>
          <w:sz w:val="24"/>
          <w:szCs w:val="24"/>
        </w:rPr>
      </w:pPr>
      <w:r>
        <w:rPr>
          <w:rFonts w:hint="eastAsia" w:ascii="Times New Roman" w:hAnsi="Times New Roman" w:eastAsia="宋体" w:cs="Times New Roman"/>
          <w:bCs/>
          <w:sz w:val="24"/>
          <w:szCs w:val="24"/>
        </w:rPr>
        <w:t>5、法律法规或监管机关另有规定的，从其规定。</w:t>
      </w:r>
    </w:p>
    <w:p w14:paraId="3F58B111">
      <w:pPr>
        <w:spacing w:line="360" w:lineRule="auto"/>
        <w:ind w:firstLine="540" w:firstLineChars="225"/>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遵守法律法规和监管部门的规定，且对基金份额持有人利益无实质性不利影响的前提下，基金管理人在履行适当程序后可对基金收益分配原则和支付方式进行调整，不需召开基金份额持有人大会，但应于变更实施日前在规定媒介公告。</w:t>
      </w:r>
    </w:p>
    <w:p w14:paraId="7C1CD486">
      <w:pPr>
        <w:spacing w:line="360" w:lineRule="auto"/>
        <w:ind w:firstLine="542" w:firstLineChars="225"/>
        <w:rPr>
          <w:rFonts w:ascii="Times New Roman" w:hAnsi="Times New Roman" w:eastAsia="宋体" w:cs="Times New Roman"/>
          <w:b/>
          <w:bCs/>
          <w:sz w:val="24"/>
          <w:szCs w:val="24"/>
        </w:rPr>
      </w:pPr>
      <w:r>
        <w:rPr>
          <w:rFonts w:ascii="宋体" w:hAnsi="宋体" w:eastAsia="宋体" w:cs="Times New Roman"/>
          <w:b/>
          <w:bCs/>
          <w:sz w:val="24"/>
          <w:szCs w:val="24"/>
        </w:rPr>
        <w:t>四、收益分配方案</w:t>
      </w:r>
    </w:p>
    <w:p w14:paraId="79120818">
      <w:pPr>
        <w:spacing w:line="360" w:lineRule="auto"/>
        <w:ind w:firstLine="540" w:firstLineChars="225"/>
        <w:rPr>
          <w:rFonts w:ascii="Times New Roman" w:hAnsi="Times New Roman" w:eastAsia="宋体" w:cs="Times New Roman"/>
          <w:bCs/>
          <w:sz w:val="24"/>
          <w:szCs w:val="24"/>
        </w:rPr>
      </w:pPr>
      <w:r>
        <w:rPr>
          <w:rFonts w:ascii="宋体" w:hAnsi="宋体" w:eastAsia="宋体" w:cs="Times New Roman"/>
          <w:bCs/>
          <w:sz w:val="24"/>
          <w:szCs w:val="24"/>
        </w:rPr>
        <w:t>基金收益分配方案中应载明截止收益分配基准日的可供分配利润、基金收益分配对象、分配时间、分配数额及比例、分配方式等内容。</w:t>
      </w:r>
    </w:p>
    <w:p w14:paraId="43CD84D1">
      <w:pPr>
        <w:spacing w:line="360" w:lineRule="auto"/>
        <w:ind w:firstLine="542" w:firstLineChars="225"/>
        <w:rPr>
          <w:rFonts w:ascii="Times New Roman" w:hAnsi="Times New Roman" w:eastAsia="宋体" w:cs="Times New Roman"/>
          <w:b/>
          <w:bCs/>
          <w:sz w:val="24"/>
          <w:szCs w:val="24"/>
        </w:rPr>
      </w:pPr>
      <w:r>
        <w:rPr>
          <w:rFonts w:ascii="宋体" w:hAnsi="宋体" w:eastAsia="宋体" w:cs="Times New Roman"/>
          <w:b/>
          <w:bCs/>
          <w:sz w:val="24"/>
          <w:szCs w:val="24"/>
        </w:rPr>
        <w:t>五、收益分配方案的确定、公告与实施</w:t>
      </w:r>
    </w:p>
    <w:p w14:paraId="3E6D28C2">
      <w:pPr>
        <w:spacing w:line="360" w:lineRule="auto"/>
        <w:ind w:firstLine="540" w:firstLineChars="225"/>
        <w:rPr>
          <w:rFonts w:ascii="Times New Roman" w:hAnsi="Times New Roman" w:eastAsia="宋体" w:cs="Times New Roman"/>
          <w:bCs/>
          <w:sz w:val="24"/>
          <w:szCs w:val="24"/>
        </w:rPr>
      </w:pPr>
      <w:r>
        <w:rPr>
          <w:rFonts w:ascii="宋体" w:hAnsi="宋体" w:eastAsia="宋体" w:cs="Times New Roman"/>
          <w:bCs/>
          <w:sz w:val="24"/>
          <w:szCs w:val="24"/>
        </w:rPr>
        <w:t>本基金收益分配方案由基金管理人拟定，并由基金托管人复核，</w:t>
      </w:r>
      <w:r>
        <w:rPr>
          <w:rFonts w:hint="eastAsia" w:ascii="宋体" w:hAnsi="宋体" w:eastAsia="宋体" w:cs="Times New Roman"/>
          <w:bCs/>
          <w:sz w:val="24"/>
          <w:szCs w:val="24"/>
        </w:rPr>
        <w:t>依照《信息披露办法》的有关规定</w:t>
      </w:r>
      <w:r>
        <w:rPr>
          <w:rFonts w:ascii="宋体" w:hAnsi="宋体" w:eastAsia="宋体" w:cs="Times New Roman"/>
          <w:bCs/>
          <w:sz w:val="24"/>
          <w:szCs w:val="24"/>
        </w:rPr>
        <w:t>在规定媒介公告。</w:t>
      </w:r>
    </w:p>
    <w:p w14:paraId="7CC1645A">
      <w:pPr>
        <w:spacing w:line="360" w:lineRule="auto"/>
        <w:ind w:firstLine="542" w:firstLineChars="225"/>
        <w:rPr>
          <w:rFonts w:ascii="Times New Roman" w:hAnsi="Times New Roman" w:eastAsia="宋体" w:cs="Times New Roman"/>
          <w:b/>
          <w:bCs/>
          <w:sz w:val="24"/>
          <w:szCs w:val="24"/>
        </w:rPr>
      </w:pPr>
      <w:r>
        <w:rPr>
          <w:rFonts w:ascii="宋体" w:hAnsi="宋体" w:eastAsia="宋体" w:cs="Times New Roman"/>
          <w:b/>
          <w:bCs/>
          <w:sz w:val="24"/>
          <w:szCs w:val="24"/>
        </w:rPr>
        <w:t>六、基金收益分配中发生的费用</w:t>
      </w:r>
    </w:p>
    <w:p w14:paraId="2233D4A5">
      <w:pPr>
        <w:spacing w:line="360" w:lineRule="auto"/>
        <w:ind w:firstLine="540" w:firstLineChars="225"/>
        <w:rPr>
          <w:rFonts w:ascii="Times New Roman" w:hAnsi="Times New Roman" w:eastAsia="宋体" w:cs="Times New Roman"/>
          <w:bCs/>
          <w:sz w:val="24"/>
          <w:szCs w:val="24"/>
        </w:rPr>
      </w:pPr>
      <w:r>
        <w:rPr>
          <w:rFonts w:ascii="宋体" w:hAnsi="宋体" w:eastAsia="宋体" w:cs="Times New Roman"/>
          <w:bCs/>
          <w:sz w:val="24"/>
          <w:szCs w:val="24"/>
        </w:rPr>
        <w:t>基金收益分配时所发生的银行转账或其他手续费用由投资者自行承担。</w:t>
      </w:r>
      <w:r>
        <w:rPr>
          <w:rFonts w:hint="eastAsia" w:ascii="宋体" w:hAnsi="宋体" w:eastAsia="宋体" w:cs="Times New Roman"/>
          <w:bCs/>
          <w:sz w:val="24"/>
          <w:szCs w:val="24"/>
        </w:rPr>
        <w:t>当投资者的现金红利小于一定金额，不足以支付银行转账或其他手续费用时，基金登记机构可将基金份额持有人的现金红利自动转为相应类别的基金份额。红利再投资的计算方法，依照《业务规则》执行。</w:t>
      </w:r>
    </w:p>
    <w:p w14:paraId="397192D6">
      <w:pPr>
        <w:spacing w:line="360" w:lineRule="auto"/>
        <w:ind w:firstLine="542" w:firstLineChars="225"/>
        <w:rPr>
          <w:rFonts w:ascii="Times New Roman" w:hAnsi="Times New Roman" w:eastAsia="宋体" w:cs="Times New Roman"/>
          <w:b/>
          <w:bCs/>
          <w:sz w:val="24"/>
          <w:szCs w:val="24"/>
        </w:rPr>
      </w:pPr>
      <w:r>
        <w:rPr>
          <w:rFonts w:hint="eastAsia" w:ascii="宋体" w:hAnsi="宋体" w:eastAsia="宋体" w:cs="Times New Roman"/>
          <w:b/>
          <w:bCs/>
          <w:sz w:val="24"/>
          <w:szCs w:val="24"/>
        </w:rPr>
        <w:t>七、实施侧袋机制期间的收益分配</w:t>
      </w:r>
    </w:p>
    <w:p w14:paraId="551AEDDD">
      <w:pPr>
        <w:spacing w:line="360" w:lineRule="auto"/>
        <w:ind w:firstLine="480" w:firstLineChars="200"/>
        <w:rPr>
          <w:rFonts w:ascii="Times New Roman" w:hAnsi="Times New Roman" w:eastAsia="宋体" w:cs="Times New Roman"/>
          <w:szCs w:val="21"/>
        </w:rPr>
      </w:pPr>
      <w:r>
        <w:rPr>
          <w:rFonts w:hint="eastAsia" w:ascii="宋体" w:hAnsi="宋体" w:eastAsia="宋体" w:cs="Times New Roman"/>
          <w:bCs/>
          <w:sz w:val="24"/>
          <w:szCs w:val="24"/>
        </w:rPr>
        <w:t>本基金实施侧袋机制的，侧袋账户不进行收益分配，详见招募说明书“侧袋机制”部分的规定。</w:t>
      </w:r>
    </w:p>
    <w:p w14:paraId="05241420">
      <w:pPr>
        <w:spacing w:line="360" w:lineRule="auto"/>
        <w:ind w:firstLine="540" w:firstLineChars="225"/>
        <w:rPr>
          <w:rFonts w:ascii="Times New Roman" w:hAnsi="Times New Roman" w:eastAsia="宋体" w:cs="Times New Roman"/>
          <w:sz w:val="24"/>
          <w:szCs w:val="20"/>
        </w:rPr>
      </w:pPr>
    </w:p>
    <w:p w14:paraId="5424C51F">
      <w:pPr>
        <w:spacing w:line="360" w:lineRule="auto"/>
        <w:ind w:firstLine="482" w:firstLineChars="200"/>
        <w:rPr>
          <w:rFonts w:ascii="Times New Roman" w:hAnsi="Times New Roman" w:eastAsia="宋体" w:cs="Times New Roman"/>
          <w:bCs/>
          <w:sz w:val="24"/>
          <w:szCs w:val="20"/>
        </w:rPr>
      </w:pPr>
      <w:r>
        <w:rPr>
          <w:rFonts w:ascii="Times New Roman" w:hAnsi="Times New Roman" w:eastAsia="宋体" w:cs="Times New Roman"/>
          <w:b/>
          <w:bCs/>
          <w:sz w:val="24"/>
          <w:szCs w:val="20"/>
        </w:rPr>
        <w:br w:type="page"/>
      </w:r>
    </w:p>
    <w:p w14:paraId="21AB2AA1">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bookmarkStart w:id="112" w:name="_Toc25423"/>
      <w:bookmarkStart w:id="113" w:name="_Toc11055"/>
      <w:bookmarkStart w:id="114" w:name="_Toc213077632"/>
      <w:r>
        <w:rPr>
          <w:rFonts w:hint="eastAsia" w:ascii="Times New Roman" w:hAnsi="Times New Roman" w:eastAsia="宋体" w:cs="Times New Roman"/>
          <w:b/>
          <w:kern w:val="0"/>
          <w:sz w:val="32"/>
          <w:szCs w:val="20"/>
        </w:rPr>
        <w:t>第十三部分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基金的费用与税收</w:t>
      </w:r>
      <w:bookmarkEnd w:id="112"/>
      <w:bookmarkEnd w:id="113"/>
      <w:bookmarkEnd w:id="114"/>
    </w:p>
    <w:p w14:paraId="3E8F1956">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一、基金费用的种类</w:t>
      </w:r>
    </w:p>
    <w:p w14:paraId="12CBD09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1、基金管理人的管理费；</w:t>
      </w:r>
    </w:p>
    <w:p w14:paraId="300DC3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2、基金托管人的托管费；</w:t>
      </w:r>
    </w:p>
    <w:p w14:paraId="1B20BA8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3、C类基金份额的销售服务费；</w:t>
      </w:r>
    </w:p>
    <w:p w14:paraId="51A179F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4、基金合同生效后与基金相关的信息披露费用；</w:t>
      </w:r>
    </w:p>
    <w:p w14:paraId="3AD071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5、基金合同生效后与基金相关的会计师费、律师费、诉讼费和仲裁费；</w:t>
      </w:r>
    </w:p>
    <w:p w14:paraId="699DA45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6、基金份额持有人大会费用；</w:t>
      </w:r>
    </w:p>
    <w:p w14:paraId="5FB599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7、基金的证券、期货、股票期权等交易、结算费用；</w:t>
      </w:r>
    </w:p>
    <w:p w14:paraId="54C361A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8、基金的银行汇划费用；</w:t>
      </w:r>
    </w:p>
    <w:p w14:paraId="6686A7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9、基金相关账户的开户和维护费用；</w:t>
      </w:r>
    </w:p>
    <w:p w14:paraId="56DB67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10、因投资港股通标的股票而产生的各项费用；</w:t>
      </w:r>
    </w:p>
    <w:p w14:paraId="6C6373B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11、基金投资其他基金产生的其他基金的销售费用，但法律法规禁止从基金财产中列支的除外；</w:t>
      </w:r>
    </w:p>
    <w:p w14:paraId="3A1B705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12</w:t>
      </w:r>
      <w:r>
        <w:rPr>
          <w:rFonts w:hint="eastAsia" w:ascii="Times New Roman" w:hAnsi="Times New Roman" w:eastAsia="宋体" w:cs="Times New Roman"/>
          <w:bCs/>
          <w:sz w:val="24"/>
          <w:szCs w:val="24"/>
        </w:rPr>
        <w:t>、按照国家有关规定和基金合同约定，可以在基金财产中列支的其他费用。</w:t>
      </w:r>
    </w:p>
    <w:p w14:paraId="49B1150A">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二、基金费用计提方法、计提标准和支付方式</w:t>
      </w:r>
    </w:p>
    <w:p w14:paraId="298108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1、基金管理人的管理费</w:t>
      </w:r>
    </w:p>
    <w:p w14:paraId="2D7869E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本基金对基金财产中持有的本基金管理人自身管理的基金部分不收取管理费。本基金的管理费按前一日除基金管理人管理的基金外的基金资产净值的0.80%年费率计提。管理费的计算方法如下：</w:t>
      </w:r>
    </w:p>
    <w:p w14:paraId="7F82E18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H＝E×0.80%÷当年天数</w:t>
      </w:r>
    </w:p>
    <w:p w14:paraId="5B123E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H为每日应计提的基金管理费</w:t>
      </w:r>
    </w:p>
    <w:p w14:paraId="66016AB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E为前一日的基金资产净值减去持有基金管理人管理基金的基金资产净值</w:t>
      </w:r>
    </w:p>
    <w:p w14:paraId="67E09B8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费每日计提，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p>
    <w:p w14:paraId="2EBC818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2、基金托管人的托管费</w:t>
      </w:r>
    </w:p>
    <w:p w14:paraId="082D11F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本基金对基金财产中持有的本基金托管人自身托管的基金部分不收取托管费。本基金的托管费按前一日除基金托管人托管的基金外的基金资产净值的0.20%的年费率计提。托管费的计算方法如下：</w:t>
      </w:r>
    </w:p>
    <w:p w14:paraId="441684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H＝E×0.20%÷当年天数</w:t>
      </w:r>
    </w:p>
    <w:p w14:paraId="2EE6DC1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H为每日应计提的基金托管费</w:t>
      </w:r>
    </w:p>
    <w:p w14:paraId="6995A51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E为前一日的基金资产净值减去持有基金托管人托管基金的基金资产净值</w:t>
      </w:r>
    </w:p>
    <w:p w14:paraId="1689AC9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w:t>
      </w:r>
    </w:p>
    <w:p w14:paraId="3AAEB64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3、C类基金份额的销售服务费</w:t>
      </w:r>
    </w:p>
    <w:p w14:paraId="3CF0F0C8">
      <w:pPr>
        <w:spacing w:line="360" w:lineRule="auto"/>
        <w:ind w:firstLine="480" w:firstLineChars="200"/>
        <w:rPr>
          <w:rFonts w:ascii="Times New Roman" w:hAnsi="Times New Roman" w:eastAsia="宋体" w:cs="Times New Roman"/>
          <w:bCs/>
          <w:sz w:val="24"/>
          <w:szCs w:val="24"/>
        </w:rPr>
      </w:pPr>
      <w:bookmarkStart w:id="115" w:name="OLE_LINK73"/>
      <w:bookmarkStart w:id="116" w:name="OLE_LINK74"/>
      <w:bookmarkStart w:id="117" w:name="OLE_LINK116"/>
      <w:bookmarkStart w:id="118" w:name="OLE_LINK115"/>
      <w:r>
        <w:rPr>
          <w:rFonts w:hint="eastAsia" w:ascii="Times New Roman" w:hAnsi="Times New Roman" w:eastAsia="宋体" w:cs="Times New Roman"/>
          <w:bCs/>
          <w:sz w:val="24"/>
          <w:szCs w:val="24"/>
        </w:rPr>
        <w:t>本基金基金份额分为不同的类别，适用不同的销售服务费率。其中，本基金A类基金份额不收取销售服务费，C类基金份额的销售服务费按前一日C类基金份额资产净值的0.40%的年费率计提。计算方法如下：</w:t>
      </w:r>
    </w:p>
    <w:p w14:paraId="0251FB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H＝E×0.40%÷当年天数</w:t>
      </w:r>
    </w:p>
    <w:p w14:paraId="1E399F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H为C类基金份额每日应计提的销售服务费</w:t>
      </w:r>
    </w:p>
    <w:p w14:paraId="239CDF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E为C类基金份额前一日的基金资产净值</w:t>
      </w:r>
    </w:p>
    <w:p w14:paraId="542C053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C类基金份额的销售服务费每日计提。</w:t>
      </w:r>
    </w:p>
    <w:p w14:paraId="37D1E1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（1）直销机构：</w:t>
      </w:r>
    </w:p>
    <w:p w14:paraId="09B9854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2D3997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若遇法定节假日、公休假或不可抗力等，支付日期顺延。</w:t>
      </w:r>
    </w:p>
    <w:p w14:paraId="156E67E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（2）代销机构：</w:t>
      </w:r>
    </w:p>
    <w:p w14:paraId="4793BC5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对于投资者通过代销机构认购（申购）且持续持有期限未超过一年（即365天，下同）的C类基金份额计提的销售服务费，逐日累计至每月月末，按月支付，由基金管理人向基金托管人发送基金销售服务费划款指令，基金托管人于次月前5个工作日内从基金财产中按照指定的账户路径一次性支付给基金管理人并由基金管理人代付给各基金销售机构。</w:t>
      </w:r>
    </w:p>
    <w:p w14:paraId="09AE1A4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7732A4C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若遇法定节假日、公休假或不可抗力等，支付日期顺延。如遇不可抗力原因，导致销售服务费无法按指定支付日期支付，应由基金管理人和基金托管人另行协商解决。</w:t>
      </w:r>
    </w:p>
    <w:p w14:paraId="6CE84CB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在不违反法律法规、基金合同的约定的情况下，基金管理人可根据基金实际运作情况和市场环境变化，经履行适当程序后，对本基金的销售服务费的计提或收取方式进行调整。</w:t>
      </w:r>
    </w:p>
    <w:p w14:paraId="26D4146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上述“一、基金费用的种类”中第4－12项费用，根据有关法规及相应协议规定，按费用实际支出金额列入当期费用，由基金托管人从基金财产中支付。基金综合费用水平请参见基金产品资料概要等文件。</w:t>
      </w:r>
    </w:p>
    <w:p w14:paraId="422C69E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人运用基金财产申购自身管理的基金的（ETF除外），应当通过直销渠道申购且不得收取申购费、赎回费（按照相关法规、基金招募说明书约定应当收取，并计入基金财产的赎回费用除外）、销售服务费等销售费用。</w:t>
      </w:r>
    </w:p>
    <w:bookmarkEnd w:id="115"/>
    <w:bookmarkEnd w:id="116"/>
    <w:p w14:paraId="3CE78142">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三、不列入基金费用的项目</w:t>
      </w:r>
    </w:p>
    <w:bookmarkEnd w:id="117"/>
    <w:bookmarkEnd w:id="118"/>
    <w:p w14:paraId="18569F9D">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下列费用不列入基金费用：</w:t>
      </w:r>
    </w:p>
    <w:p w14:paraId="4E360D52">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1、基金管理人和基金托管人因未履行或未完全履行义务导致的费用支出或基金财产的损失；</w:t>
      </w:r>
    </w:p>
    <w:p w14:paraId="0AA9E0FA">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2、基金管理人和基金托管人处理与基金运作无关的事项发生的费用；</w:t>
      </w:r>
    </w:p>
    <w:p w14:paraId="322896A9">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3、基金合同生效前的相关费用；</w:t>
      </w:r>
    </w:p>
    <w:p w14:paraId="5A28A1F1">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4、其他根据相关法律法规及中国证监会的有关规定不得列入基金费用的项目。</w:t>
      </w:r>
    </w:p>
    <w:p w14:paraId="63D97E81">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四、实施侧袋机制期间的基金费用</w:t>
      </w:r>
    </w:p>
    <w:p w14:paraId="29D7008B">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本基金实施侧袋机制的，与侧袋账户有关的费用可以从侧袋账户中列支，但应待侧袋账户资产变现后方可列支，有关费用可酌情收取或减免，但不得收取管理费，详见招募说明书“侧袋机制”部分的规定。</w:t>
      </w:r>
    </w:p>
    <w:p w14:paraId="383C9AA1">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五、</w:t>
      </w:r>
      <w:r>
        <w:rPr>
          <w:rFonts w:ascii="宋体" w:hAnsi="宋体" w:eastAsia="宋体" w:cs="Times New Roman"/>
          <w:b/>
          <w:bCs/>
          <w:sz w:val="24"/>
          <w:szCs w:val="24"/>
        </w:rPr>
        <w:t>基金税收</w:t>
      </w:r>
    </w:p>
    <w:p w14:paraId="0804ECEE">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本基金支付给基金管理人、基金托管人的各项费用均为含税价格，具体税率适用中国税务主管机关的规定。</w:t>
      </w:r>
    </w:p>
    <w:p w14:paraId="40022327">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本基金运作过程中涉及的各纳税主体，其纳税义务按国家税收法律、法规执行。</w:t>
      </w:r>
      <w:r>
        <w:rPr>
          <w:rFonts w:hint="eastAsia" w:ascii="宋体" w:hAnsi="宋体" w:eastAsia="宋体" w:cs="Times New Roman"/>
          <w:bCs/>
          <w:sz w:val="24"/>
          <w:szCs w:val="24"/>
        </w:rPr>
        <w:t>基金财产投资的相关税收，由基金份额持有人承担，基金管理人或者其他扣缴义务人按照国家有关税收征收的规定代扣代缴。</w:t>
      </w:r>
      <w:bookmarkStart w:id="119" w:name="_Hlt88827255"/>
      <w:bookmarkEnd w:id="119"/>
    </w:p>
    <w:p w14:paraId="2D0B6DF4">
      <w:pPr>
        <w:spacing w:line="360" w:lineRule="auto"/>
        <w:ind w:firstLine="480" w:firstLineChars="200"/>
        <w:rPr>
          <w:rFonts w:ascii="Times New Roman" w:hAnsi="Times New Roman" w:eastAsia="宋体" w:cs="Times New Roman"/>
          <w:bCs/>
          <w:sz w:val="24"/>
          <w:szCs w:val="20"/>
        </w:rPr>
      </w:pPr>
      <w:r>
        <w:rPr>
          <w:rFonts w:ascii="Times New Roman" w:hAnsi="Times New Roman" w:eastAsia="宋体" w:cs="Times New Roman"/>
          <w:bCs/>
          <w:sz w:val="24"/>
          <w:szCs w:val="20"/>
        </w:rPr>
        <w:br w:type="page"/>
      </w:r>
    </w:p>
    <w:p w14:paraId="2A85FADD">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bookmarkStart w:id="120" w:name="_Toc9191"/>
      <w:bookmarkStart w:id="121" w:name="_Toc213077633"/>
      <w:bookmarkStart w:id="122" w:name="_Toc5521"/>
      <w:r>
        <w:rPr>
          <w:rFonts w:hint="eastAsia" w:ascii="Times New Roman" w:hAnsi="Times New Roman" w:eastAsia="宋体" w:cs="Times New Roman"/>
          <w:b/>
          <w:kern w:val="0"/>
          <w:sz w:val="32"/>
          <w:szCs w:val="20"/>
        </w:rPr>
        <w:t>第十四部分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基金的会计与审计</w:t>
      </w:r>
      <w:bookmarkEnd w:id="120"/>
      <w:bookmarkEnd w:id="121"/>
      <w:bookmarkEnd w:id="122"/>
    </w:p>
    <w:p w14:paraId="70F5C63A">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一、基金会计政策</w:t>
      </w:r>
    </w:p>
    <w:p w14:paraId="1FC2860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1、基金管理人为本基金的基金会计责任方</w:t>
      </w:r>
      <w:r>
        <w:rPr>
          <w:rFonts w:hint="eastAsia" w:ascii="Times New Roman" w:hAnsi="Times New Roman" w:eastAsia="宋体" w:cs="Times New Roman"/>
          <w:bCs/>
          <w:sz w:val="24"/>
          <w:szCs w:val="24"/>
        </w:rPr>
        <w:t>，基金托管人承担复核责任</w:t>
      </w:r>
      <w:r>
        <w:rPr>
          <w:rFonts w:ascii="Times New Roman" w:hAnsi="Times New Roman" w:eastAsia="宋体" w:cs="Times New Roman"/>
          <w:bCs/>
          <w:sz w:val="24"/>
          <w:szCs w:val="24"/>
        </w:rPr>
        <w:t>；</w:t>
      </w:r>
    </w:p>
    <w:p w14:paraId="049C5DD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2、基金的会计年度为公历年度的1月1日至12月31日；基金首次募集的会计年度按如下原则：如果基金合同生效少于2个月，可以并入下一个会计年度</w:t>
      </w:r>
      <w:r>
        <w:rPr>
          <w:rFonts w:hint="eastAsia" w:ascii="Times New Roman" w:hAnsi="Times New Roman" w:eastAsia="宋体" w:cs="Times New Roman"/>
          <w:bCs/>
          <w:sz w:val="24"/>
          <w:szCs w:val="24"/>
        </w:rPr>
        <w:t>披露</w:t>
      </w:r>
      <w:r>
        <w:rPr>
          <w:rFonts w:ascii="Times New Roman" w:hAnsi="Times New Roman" w:eastAsia="宋体" w:cs="Times New Roman"/>
          <w:bCs/>
          <w:sz w:val="24"/>
          <w:szCs w:val="24"/>
        </w:rPr>
        <w:t>；</w:t>
      </w:r>
    </w:p>
    <w:p w14:paraId="7DC8A36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3、基金核算以人民币为记账本位币，以人民币元为记账单位；</w:t>
      </w:r>
    </w:p>
    <w:p w14:paraId="1532476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4、会计制度执行国家有关会计制度；</w:t>
      </w:r>
    </w:p>
    <w:p w14:paraId="44EA9D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5、本基金独立建账、独立核算；</w:t>
      </w:r>
    </w:p>
    <w:p w14:paraId="77BB4BF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6、基金管理人及基金托管人各自保留完整的会计账目、凭证并进行日常的会计核算，按照有关规定编制基金会计报表；</w:t>
      </w:r>
    </w:p>
    <w:p w14:paraId="675D71B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7、基金托管人每月与基金管理人就基金的会计核算、报表编制等进行核对并以书面方式确认。</w:t>
      </w:r>
    </w:p>
    <w:p w14:paraId="06E105A7">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二、基金的年度审计</w:t>
      </w:r>
    </w:p>
    <w:p w14:paraId="01A28EA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1、基金管理人聘请与基金管理人、基金托管人相互独立的</w:t>
      </w:r>
      <w:r>
        <w:rPr>
          <w:rFonts w:hint="eastAsia" w:ascii="Times New Roman" w:hAnsi="Times New Roman" w:eastAsia="宋体" w:cs="Times New Roman"/>
          <w:bCs/>
          <w:sz w:val="24"/>
          <w:szCs w:val="24"/>
        </w:rPr>
        <w:t>符合《中华人民共和国证券法》规定</w:t>
      </w:r>
      <w:r>
        <w:rPr>
          <w:rFonts w:ascii="Times New Roman" w:hAnsi="Times New Roman" w:eastAsia="宋体" w:cs="Times New Roman"/>
          <w:bCs/>
          <w:sz w:val="24"/>
          <w:szCs w:val="24"/>
        </w:rPr>
        <w:t>的会计师事务所及其注册会计师对本基金的年度财务报表进行审计。</w:t>
      </w:r>
    </w:p>
    <w:p w14:paraId="5447F6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2、会计师事务所更换经办注册会计师，应事先征得基金管理人同意。</w:t>
      </w:r>
    </w:p>
    <w:p w14:paraId="67B68EC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bookmarkStart w:id="123" w:name="_Hlt4221115"/>
      <w:bookmarkEnd w:id="123"/>
      <w:r>
        <w:rPr>
          <w:rFonts w:ascii="Times New Roman" w:hAnsi="Times New Roman" w:eastAsia="宋体" w:cs="Times New Roman"/>
          <w:bCs/>
          <w:sz w:val="24"/>
          <w:szCs w:val="24"/>
        </w:rPr>
        <w:t>基金管理人认为有充足理由更换会计师事务所，须通报基金托管人。更换会计师事务所需</w:t>
      </w:r>
      <w:r>
        <w:rPr>
          <w:rFonts w:hint="eastAsia" w:ascii="Times New Roman" w:hAnsi="Times New Roman" w:eastAsia="宋体" w:cs="Times New Roman"/>
          <w:bCs/>
          <w:sz w:val="24"/>
          <w:szCs w:val="24"/>
        </w:rPr>
        <w:t>按照《信息披露办法》的有关规定</w:t>
      </w:r>
      <w:r>
        <w:rPr>
          <w:rFonts w:ascii="Times New Roman" w:hAnsi="Times New Roman" w:eastAsia="宋体" w:cs="Times New Roman"/>
          <w:bCs/>
          <w:sz w:val="24"/>
          <w:szCs w:val="24"/>
        </w:rPr>
        <w:t>在</w:t>
      </w:r>
      <w:r>
        <w:rPr>
          <w:rFonts w:hint="eastAsia" w:ascii="Times New Roman" w:hAnsi="Times New Roman" w:eastAsia="宋体" w:cs="Times New Roman"/>
          <w:bCs/>
          <w:sz w:val="24"/>
          <w:szCs w:val="24"/>
        </w:rPr>
        <w:t>规定媒介</w:t>
      </w:r>
      <w:r>
        <w:rPr>
          <w:rFonts w:ascii="Times New Roman" w:hAnsi="Times New Roman" w:eastAsia="宋体" w:cs="Times New Roman"/>
          <w:bCs/>
          <w:sz w:val="24"/>
          <w:szCs w:val="24"/>
        </w:rPr>
        <w:t>公告。</w:t>
      </w:r>
    </w:p>
    <w:p w14:paraId="6190A051">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r>
        <w:rPr>
          <w:rFonts w:ascii="Times New Roman" w:hAnsi="Times New Roman" w:eastAsia="宋体" w:cs="Times New Roman"/>
          <w:b/>
          <w:kern w:val="0"/>
          <w:sz w:val="32"/>
          <w:szCs w:val="20"/>
        </w:rPr>
        <w:br w:type="page"/>
      </w:r>
      <w:bookmarkStart w:id="124" w:name="_Toc2262"/>
      <w:bookmarkStart w:id="125" w:name="_Toc213077634"/>
      <w:bookmarkStart w:id="126" w:name="_Toc28609"/>
      <w:r>
        <w:rPr>
          <w:rFonts w:hint="eastAsia" w:ascii="Times New Roman" w:hAnsi="Times New Roman" w:eastAsia="宋体" w:cs="Times New Roman"/>
          <w:b/>
          <w:kern w:val="44"/>
          <w:sz w:val="32"/>
          <w:szCs w:val="20"/>
        </w:rPr>
        <w:t>第十五部分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基金的信息披露</w:t>
      </w:r>
      <w:bookmarkEnd w:id="124"/>
      <w:bookmarkEnd w:id="125"/>
      <w:bookmarkEnd w:id="126"/>
    </w:p>
    <w:p w14:paraId="04632177">
      <w:pPr>
        <w:spacing w:line="360" w:lineRule="auto"/>
        <w:ind w:firstLine="482" w:firstLineChars="200"/>
        <w:rPr>
          <w:rFonts w:ascii="Times New Roman" w:hAnsi="Times New Roman" w:eastAsia="宋体" w:cs="Times New Roman"/>
          <w:bCs/>
          <w:sz w:val="24"/>
          <w:szCs w:val="24"/>
        </w:rPr>
      </w:pPr>
      <w:r>
        <w:rPr>
          <w:rFonts w:ascii="宋体" w:hAnsi="宋体" w:eastAsia="宋体" w:cs="Times New Roman"/>
          <w:b/>
          <w:bCs/>
          <w:sz w:val="24"/>
          <w:szCs w:val="24"/>
        </w:rPr>
        <w:t>一、本基金的信息披露应符合《基金法》、《运作办法》、《信息披露办法》、</w:t>
      </w:r>
      <w:r>
        <w:rPr>
          <w:rFonts w:hint="eastAsia" w:ascii="宋体" w:hAnsi="宋体" w:eastAsia="宋体" w:cs="Times New Roman"/>
          <w:b/>
          <w:bCs/>
          <w:sz w:val="24"/>
          <w:szCs w:val="24"/>
        </w:rPr>
        <w:t>《流动性风险管理规定》、</w:t>
      </w:r>
      <w:r>
        <w:rPr>
          <w:rFonts w:ascii="宋体" w:hAnsi="宋体" w:eastAsia="宋体" w:cs="Times New Roman"/>
          <w:b/>
          <w:bCs/>
          <w:sz w:val="24"/>
          <w:szCs w:val="24"/>
        </w:rPr>
        <w:t>基金合同及其他有关规定。</w:t>
      </w:r>
      <w:r>
        <w:rPr>
          <w:rFonts w:hint="eastAsia" w:ascii="宋体" w:hAnsi="宋体" w:eastAsia="宋体" w:cs="Times New Roman"/>
          <w:b/>
          <w:bCs/>
          <w:sz w:val="24"/>
          <w:szCs w:val="24"/>
        </w:rPr>
        <w:t>相关法律法规关于信息披露的披露方式、登载媒介、报备方式等规定发生变化时，本基金从其最新规定。</w:t>
      </w:r>
    </w:p>
    <w:p w14:paraId="6A078421">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二、信息披露义务人</w:t>
      </w:r>
    </w:p>
    <w:p w14:paraId="3D64E524">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本基金信息披露义务人包括基金管理人、基金托管人、召集基金份额持有人大会的基金份额持有人</w:t>
      </w:r>
      <w:r>
        <w:rPr>
          <w:rFonts w:hint="eastAsia" w:ascii="宋体" w:hAnsi="宋体" w:eastAsia="宋体" w:cs="Times New Roman"/>
          <w:bCs/>
          <w:sz w:val="24"/>
          <w:szCs w:val="24"/>
        </w:rPr>
        <w:t>及其日常机构（如有）等法律、行政法规</w:t>
      </w:r>
      <w:r>
        <w:rPr>
          <w:rFonts w:ascii="宋体" w:hAnsi="宋体" w:eastAsia="宋体" w:cs="Times New Roman"/>
          <w:bCs/>
          <w:sz w:val="24"/>
          <w:szCs w:val="24"/>
        </w:rPr>
        <w:t>和中国证监会规定的自然人、法人和</w:t>
      </w:r>
      <w:r>
        <w:rPr>
          <w:rFonts w:hint="eastAsia" w:ascii="宋体" w:hAnsi="宋体" w:eastAsia="宋体" w:cs="Times New Roman"/>
          <w:bCs/>
          <w:sz w:val="24"/>
          <w:szCs w:val="24"/>
        </w:rPr>
        <w:t>非法人</w:t>
      </w:r>
      <w:r>
        <w:rPr>
          <w:rFonts w:ascii="宋体" w:hAnsi="宋体" w:eastAsia="宋体" w:cs="Times New Roman"/>
          <w:bCs/>
          <w:sz w:val="24"/>
          <w:szCs w:val="24"/>
        </w:rPr>
        <w:t>组织。</w:t>
      </w:r>
    </w:p>
    <w:p w14:paraId="62B7794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本基金信息披露义务人</w:t>
      </w:r>
      <w:r>
        <w:rPr>
          <w:rFonts w:hint="eastAsia" w:ascii="宋体" w:hAnsi="宋体" w:eastAsia="宋体" w:cs="Times New Roman"/>
          <w:bCs/>
          <w:sz w:val="24"/>
          <w:szCs w:val="24"/>
        </w:rPr>
        <w:t>以保护基金份额持有人利益为根本出发点，</w:t>
      </w:r>
      <w:r>
        <w:rPr>
          <w:rFonts w:ascii="宋体" w:hAnsi="宋体" w:eastAsia="宋体" w:cs="Times New Roman"/>
          <w:bCs/>
          <w:sz w:val="24"/>
          <w:szCs w:val="24"/>
        </w:rPr>
        <w:t>按照法律法规和中国证监会的规定披露基金信息，并保证所披露信息的真实性、准确性</w:t>
      </w:r>
      <w:r>
        <w:rPr>
          <w:rFonts w:hint="eastAsia" w:ascii="宋体" w:hAnsi="宋体" w:eastAsia="宋体" w:cs="Times New Roman"/>
          <w:bCs/>
          <w:sz w:val="24"/>
          <w:szCs w:val="24"/>
        </w:rPr>
        <w:t>、</w:t>
      </w:r>
      <w:r>
        <w:rPr>
          <w:rFonts w:ascii="宋体" w:hAnsi="宋体" w:eastAsia="宋体" w:cs="Times New Roman"/>
          <w:bCs/>
          <w:sz w:val="24"/>
          <w:szCs w:val="24"/>
        </w:rPr>
        <w:t>完整性</w:t>
      </w:r>
      <w:r>
        <w:rPr>
          <w:rFonts w:hint="eastAsia" w:ascii="宋体" w:hAnsi="宋体" w:eastAsia="宋体" w:cs="Times New Roman"/>
          <w:bCs/>
          <w:sz w:val="24"/>
          <w:szCs w:val="24"/>
        </w:rPr>
        <w:t>、及时性、简明性和易得性</w:t>
      </w:r>
      <w:r>
        <w:rPr>
          <w:rFonts w:ascii="宋体" w:hAnsi="宋体" w:eastAsia="宋体" w:cs="Times New Roman"/>
          <w:bCs/>
          <w:sz w:val="24"/>
          <w:szCs w:val="24"/>
        </w:rPr>
        <w:t>。</w:t>
      </w:r>
    </w:p>
    <w:p w14:paraId="33B4ABE1">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本基金信息披露义务人应当在中国证监会规定时间内，将应予披露的基金信息通过</w:t>
      </w:r>
      <w:r>
        <w:rPr>
          <w:rFonts w:hint="eastAsia" w:ascii="宋体" w:hAnsi="宋体" w:eastAsia="宋体" w:cs="Times New Roman"/>
          <w:bCs/>
          <w:sz w:val="24"/>
          <w:szCs w:val="24"/>
        </w:rPr>
        <w:t>符合</w:t>
      </w:r>
      <w:r>
        <w:rPr>
          <w:rFonts w:ascii="宋体" w:hAnsi="宋体" w:eastAsia="宋体" w:cs="Times New Roman"/>
          <w:bCs/>
          <w:sz w:val="24"/>
          <w:szCs w:val="24"/>
        </w:rPr>
        <w:t>中国证监会</w:t>
      </w:r>
      <w:r>
        <w:rPr>
          <w:rFonts w:hint="eastAsia" w:ascii="宋体" w:hAnsi="宋体" w:eastAsia="宋体" w:cs="Times New Roman"/>
          <w:bCs/>
          <w:sz w:val="24"/>
          <w:szCs w:val="24"/>
        </w:rPr>
        <w:t>规定条件</w:t>
      </w:r>
      <w:r>
        <w:rPr>
          <w:rFonts w:ascii="宋体" w:hAnsi="宋体" w:eastAsia="宋体" w:cs="Times New Roman"/>
          <w:bCs/>
          <w:sz w:val="24"/>
          <w:szCs w:val="24"/>
        </w:rPr>
        <w:t>的</w:t>
      </w:r>
      <w:r>
        <w:rPr>
          <w:rFonts w:hint="eastAsia" w:ascii="宋体" w:hAnsi="宋体" w:eastAsia="宋体" w:cs="Times New Roman"/>
          <w:bCs/>
          <w:sz w:val="24"/>
          <w:szCs w:val="24"/>
        </w:rPr>
        <w:t>全国性报刊（以下简称</w:t>
      </w:r>
      <w:r>
        <w:rPr>
          <w:rFonts w:hint="eastAsia" w:ascii="Times New Roman" w:hAnsi="Times New Roman" w:eastAsia="宋体" w:cs="Times New Roman"/>
          <w:bCs/>
          <w:sz w:val="24"/>
          <w:szCs w:val="24"/>
        </w:rPr>
        <w:t>“规定报刊”）及《信息披露办法》规定的</w:t>
      </w:r>
      <w:r>
        <w:rPr>
          <w:rFonts w:ascii="宋体" w:hAnsi="宋体" w:eastAsia="宋体" w:cs="Times New Roman"/>
          <w:bCs/>
          <w:sz w:val="24"/>
          <w:szCs w:val="24"/>
        </w:rPr>
        <w:t>互联网网站（以下简称</w:t>
      </w:r>
      <w:r>
        <w:rPr>
          <w:rFonts w:hint="eastAsia" w:ascii="宋体" w:hAnsi="宋体" w:eastAsia="宋体" w:cs="Times New Roman"/>
          <w:bCs/>
          <w:sz w:val="24"/>
          <w:szCs w:val="24"/>
        </w:rPr>
        <w:t>“规定</w:t>
      </w:r>
      <w:r>
        <w:rPr>
          <w:rFonts w:ascii="宋体" w:hAnsi="宋体" w:eastAsia="宋体" w:cs="Times New Roman"/>
          <w:bCs/>
          <w:sz w:val="24"/>
          <w:szCs w:val="24"/>
        </w:rPr>
        <w:t>网站</w:t>
      </w:r>
      <w:r>
        <w:rPr>
          <w:rFonts w:hint="eastAsia" w:ascii="宋体" w:hAnsi="宋体" w:eastAsia="宋体" w:cs="Times New Roman"/>
          <w:bCs/>
          <w:sz w:val="24"/>
          <w:szCs w:val="24"/>
        </w:rPr>
        <w:t>”</w:t>
      </w:r>
      <w:r>
        <w:rPr>
          <w:rFonts w:ascii="宋体" w:hAnsi="宋体" w:eastAsia="宋体" w:cs="Times New Roman"/>
          <w:bCs/>
          <w:sz w:val="24"/>
          <w:szCs w:val="24"/>
        </w:rPr>
        <w:t>）等</w:t>
      </w:r>
      <w:r>
        <w:rPr>
          <w:rFonts w:hint="eastAsia" w:ascii="宋体" w:hAnsi="宋体" w:eastAsia="宋体" w:cs="Times New Roman"/>
          <w:bCs/>
          <w:sz w:val="24"/>
          <w:szCs w:val="24"/>
        </w:rPr>
        <w:t>媒介</w:t>
      </w:r>
      <w:r>
        <w:rPr>
          <w:rFonts w:ascii="宋体" w:hAnsi="宋体" w:eastAsia="宋体" w:cs="Times New Roman"/>
          <w:bCs/>
          <w:sz w:val="24"/>
          <w:szCs w:val="24"/>
        </w:rPr>
        <w:t>披露，并保证基金投资者能够按照基金合同约定的时间和方式查阅或者复制公开披露的信息资料。</w:t>
      </w:r>
    </w:p>
    <w:p w14:paraId="35329FB8">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三、本基金信息披露义务人承诺公开披露的基金信息，不得有下列行为：</w:t>
      </w:r>
    </w:p>
    <w:p w14:paraId="72262C8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宋体" w:hAnsi="宋体" w:eastAsia="宋体" w:cs="Times New Roman"/>
          <w:bCs/>
          <w:sz w:val="24"/>
          <w:szCs w:val="24"/>
        </w:rPr>
        <w:t>、虚假记载、误导性陈述或者重大遗漏；</w:t>
      </w:r>
    </w:p>
    <w:p w14:paraId="3D8763A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ascii="宋体" w:hAnsi="宋体" w:eastAsia="宋体" w:cs="Times New Roman"/>
          <w:bCs/>
          <w:sz w:val="24"/>
          <w:szCs w:val="24"/>
        </w:rPr>
        <w:t>、对证券</w:t>
      </w:r>
      <w:r>
        <w:rPr>
          <w:rFonts w:hint="eastAsia" w:ascii="宋体" w:hAnsi="宋体" w:eastAsia="宋体" w:cs="Times New Roman"/>
          <w:bCs/>
          <w:sz w:val="24"/>
          <w:szCs w:val="24"/>
        </w:rPr>
        <w:t>、期货、期权</w:t>
      </w:r>
      <w:r>
        <w:rPr>
          <w:rFonts w:ascii="宋体" w:hAnsi="宋体" w:eastAsia="宋体" w:cs="Times New Roman"/>
          <w:bCs/>
          <w:sz w:val="24"/>
          <w:szCs w:val="24"/>
        </w:rPr>
        <w:t>投资业绩进行预测；</w:t>
      </w:r>
    </w:p>
    <w:p w14:paraId="0E07D0D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ascii="宋体" w:hAnsi="宋体" w:eastAsia="宋体" w:cs="Times New Roman"/>
          <w:bCs/>
          <w:sz w:val="24"/>
          <w:szCs w:val="24"/>
        </w:rPr>
        <w:t>、违规承诺收益或者承担损失；</w:t>
      </w:r>
    </w:p>
    <w:p w14:paraId="5CE4B98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ascii="宋体" w:hAnsi="宋体" w:eastAsia="宋体" w:cs="Times New Roman"/>
          <w:bCs/>
          <w:sz w:val="24"/>
          <w:szCs w:val="24"/>
        </w:rPr>
        <w:t>、诋毁其他基金管理人、基金托管人或者基金销售机构；</w:t>
      </w:r>
    </w:p>
    <w:p w14:paraId="4DAD501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ascii="宋体" w:hAnsi="宋体" w:eastAsia="宋体" w:cs="Times New Roman"/>
          <w:bCs/>
          <w:sz w:val="24"/>
          <w:szCs w:val="24"/>
        </w:rPr>
        <w:t>、登载任何自然人、法人</w:t>
      </w:r>
      <w:r>
        <w:rPr>
          <w:rFonts w:hint="eastAsia" w:ascii="宋体" w:hAnsi="宋体" w:eastAsia="宋体" w:cs="Times New Roman"/>
          <w:bCs/>
          <w:sz w:val="24"/>
          <w:szCs w:val="24"/>
        </w:rPr>
        <w:t>和</w:t>
      </w:r>
      <w:r>
        <w:rPr>
          <w:rFonts w:ascii="宋体" w:hAnsi="宋体" w:eastAsia="宋体" w:cs="Times New Roman"/>
          <w:bCs/>
          <w:sz w:val="24"/>
          <w:szCs w:val="24"/>
        </w:rPr>
        <w:t>非法人组织的祝贺性、恭维性或推荐性的文字；</w:t>
      </w:r>
    </w:p>
    <w:p w14:paraId="0CE5A3F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w:t>
      </w:r>
      <w:r>
        <w:rPr>
          <w:rFonts w:ascii="宋体" w:hAnsi="宋体" w:eastAsia="宋体" w:cs="Times New Roman"/>
          <w:bCs/>
          <w:sz w:val="24"/>
          <w:szCs w:val="24"/>
        </w:rPr>
        <w:t>、中国证监会禁止的其他行为。</w:t>
      </w:r>
    </w:p>
    <w:p w14:paraId="60CF59D9">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四、本基金公开披露的信息应采用中文文本。同时采用外文文本的，基金信息披露义务人应保证</w:t>
      </w:r>
      <w:r>
        <w:rPr>
          <w:rFonts w:hint="eastAsia" w:ascii="宋体" w:hAnsi="宋体" w:eastAsia="宋体" w:cs="Times New Roman"/>
          <w:b/>
          <w:bCs/>
          <w:sz w:val="24"/>
          <w:szCs w:val="24"/>
        </w:rPr>
        <w:t>不同</w:t>
      </w:r>
      <w:r>
        <w:rPr>
          <w:rFonts w:ascii="宋体" w:hAnsi="宋体" w:eastAsia="宋体" w:cs="Times New Roman"/>
          <w:b/>
          <w:bCs/>
          <w:sz w:val="24"/>
          <w:szCs w:val="24"/>
        </w:rPr>
        <w:t>文本的内容一致。</w:t>
      </w:r>
      <w:r>
        <w:rPr>
          <w:rFonts w:hint="eastAsia" w:ascii="宋体" w:hAnsi="宋体" w:eastAsia="宋体" w:cs="Times New Roman"/>
          <w:b/>
          <w:bCs/>
          <w:sz w:val="24"/>
          <w:szCs w:val="24"/>
        </w:rPr>
        <w:t>不同</w:t>
      </w:r>
      <w:r>
        <w:rPr>
          <w:rFonts w:ascii="宋体" w:hAnsi="宋体" w:eastAsia="宋体" w:cs="Times New Roman"/>
          <w:b/>
          <w:bCs/>
          <w:sz w:val="24"/>
          <w:szCs w:val="24"/>
        </w:rPr>
        <w:t>文本之间发生歧义的，以中文文本为准。</w:t>
      </w:r>
    </w:p>
    <w:p w14:paraId="0DB6B8FF">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本基金公开披露的信息采用阿拉伯数字；除特别说明外，货币单位为人民币元。</w:t>
      </w:r>
    </w:p>
    <w:p w14:paraId="35E3B5FA">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五、公开披露的基金信息</w:t>
      </w:r>
    </w:p>
    <w:p w14:paraId="7BC8F92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公开披露的基金信息包括：</w:t>
      </w:r>
    </w:p>
    <w:p w14:paraId="680B5C5B">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（一）基金招募说明书、基金合同、基金托管协议</w:t>
      </w:r>
      <w:r>
        <w:rPr>
          <w:rFonts w:hint="eastAsia" w:ascii="宋体" w:hAnsi="宋体" w:eastAsia="宋体" w:cs="Times New Roman"/>
          <w:bCs/>
          <w:sz w:val="24"/>
          <w:szCs w:val="24"/>
        </w:rPr>
        <w:t>、基金产品资料概要</w:t>
      </w:r>
    </w:p>
    <w:p w14:paraId="16E2ED6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宋体" w:hAnsi="宋体" w:eastAsia="宋体" w:cs="Times New Roman"/>
          <w:bCs/>
          <w:sz w:val="24"/>
          <w:szCs w:val="24"/>
        </w:rPr>
        <w:t>、基金合同是界定基金合同当事人的各项权利、义务关系，明确基金份额持有人大会召开的规则及具体程序，说明基金产品的特性等涉及基金投资者重大利益的事项的法律文件。</w:t>
      </w:r>
    </w:p>
    <w:p w14:paraId="1ABA097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ascii="宋体" w:hAnsi="宋体" w:eastAsia="宋体" w:cs="Times New Roman"/>
          <w:bCs/>
          <w:sz w:val="24"/>
          <w:szCs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ascii="宋体" w:hAnsi="宋体" w:eastAsia="宋体" w:cs="Times New Roman"/>
          <w:bCs/>
          <w:sz w:val="24"/>
          <w:szCs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E0A08E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ascii="宋体" w:hAnsi="宋体" w:eastAsia="宋体" w:cs="Times New Roman"/>
          <w:bCs/>
          <w:sz w:val="24"/>
          <w:szCs w:val="24"/>
        </w:rPr>
        <w:t>、基金托管协议是界定基金托管人和基金管理人在基金财产保管及基金运作监督等活动中的权利、义务关系的法律文件。</w:t>
      </w:r>
    </w:p>
    <w:p w14:paraId="120444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宋体" w:hAnsi="宋体" w:eastAsia="宋体" w:cs="Times New Roman"/>
          <w:bCs/>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8BB769C">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基金募集申请经中国证监会</w:t>
      </w:r>
      <w:r>
        <w:rPr>
          <w:rFonts w:hint="eastAsia" w:ascii="宋体" w:hAnsi="宋体" w:eastAsia="宋体" w:cs="Times New Roman"/>
          <w:bCs/>
          <w:sz w:val="24"/>
          <w:szCs w:val="24"/>
        </w:rPr>
        <w:t>注册</w:t>
      </w:r>
      <w:r>
        <w:rPr>
          <w:rFonts w:ascii="宋体" w:hAnsi="宋体" w:eastAsia="宋体" w:cs="Times New Roman"/>
          <w:bCs/>
          <w:sz w:val="24"/>
          <w:szCs w:val="24"/>
        </w:rPr>
        <w:t>后，基金管理人在基金份额发售的</w:t>
      </w:r>
      <w:r>
        <w:rPr>
          <w:rFonts w:hint="eastAsia" w:ascii="宋体" w:hAnsi="宋体" w:eastAsia="宋体" w:cs="Times New Roman"/>
          <w:bCs/>
          <w:sz w:val="24"/>
          <w:szCs w:val="24"/>
        </w:rPr>
        <w:t>三</w:t>
      </w:r>
      <w:r>
        <w:rPr>
          <w:rFonts w:ascii="宋体" w:hAnsi="宋体" w:eastAsia="宋体" w:cs="Times New Roman"/>
          <w:bCs/>
          <w:sz w:val="24"/>
          <w:szCs w:val="24"/>
        </w:rPr>
        <w:t>日前，将</w:t>
      </w:r>
      <w:r>
        <w:rPr>
          <w:rFonts w:hint="eastAsia" w:ascii="宋体" w:hAnsi="宋体" w:eastAsia="宋体" w:cs="Times New Roman"/>
          <w:bCs/>
          <w:sz w:val="24"/>
          <w:szCs w:val="24"/>
        </w:rPr>
        <w:t>基金份额发售公告、</w:t>
      </w:r>
      <w:r>
        <w:rPr>
          <w:rFonts w:ascii="宋体" w:hAnsi="宋体" w:eastAsia="宋体" w:cs="Times New Roman"/>
          <w:bCs/>
          <w:sz w:val="24"/>
          <w:szCs w:val="24"/>
        </w:rPr>
        <w:t>基金招募说明书</w:t>
      </w:r>
      <w:r>
        <w:rPr>
          <w:rFonts w:hint="eastAsia" w:ascii="宋体" w:hAnsi="宋体" w:eastAsia="宋体" w:cs="Times New Roman"/>
          <w:bCs/>
          <w:sz w:val="24"/>
          <w:szCs w:val="24"/>
        </w:rPr>
        <w:t>提示性公告和</w:t>
      </w:r>
      <w:r>
        <w:rPr>
          <w:rFonts w:ascii="宋体" w:hAnsi="宋体" w:eastAsia="宋体" w:cs="Times New Roman"/>
          <w:bCs/>
          <w:sz w:val="24"/>
          <w:szCs w:val="24"/>
        </w:rPr>
        <w:t>基金合同</w:t>
      </w:r>
      <w:r>
        <w:rPr>
          <w:rFonts w:hint="eastAsia" w:ascii="宋体" w:hAnsi="宋体" w:eastAsia="宋体" w:cs="Times New Roman"/>
          <w:bCs/>
          <w:sz w:val="24"/>
          <w:szCs w:val="24"/>
        </w:rPr>
        <w:t>提示性公告</w:t>
      </w:r>
      <w:r>
        <w:rPr>
          <w:rFonts w:ascii="宋体" w:hAnsi="宋体" w:eastAsia="宋体" w:cs="Times New Roman"/>
          <w:bCs/>
          <w:sz w:val="24"/>
          <w:szCs w:val="24"/>
        </w:rPr>
        <w:t>登载在</w:t>
      </w:r>
      <w:r>
        <w:rPr>
          <w:rFonts w:hint="eastAsia" w:ascii="宋体" w:hAnsi="宋体" w:eastAsia="宋体" w:cs="Times New Roman"/>
          <w:bCs/>
          <w:sz w:val="24"/>
          <w:szCs w:val="24"/>
        </w:rPr>
        <w:t>规定报刊</w:t>
      </w:r>
      <w:r>
        <w:rPr>
          <w:rFonts w:ascii="宋体" w:hAnsi="宋体" w:eastAsia="宋体" w:cs="Times New Roman"/>
          <w:bCs/>
          <w:sz w:val="24"/>
          <w:szCs w:val="24"/>
        </w:rPr>
        <w:t>上</w:t>
      </w:r>
      <w:r>
        <w:rPr>
          <w:rFonts w:hint="eastAsia" w:ascii="宋体" w:hAnsi="宋体" w:eastAsia="宋体" w:cs="Times New Roman"/>
          <w:bCs/>
          <w:sz w:val="24"/>
          <w:szCs w:val="24"/>
        </w:rPr>
        <w:t>，将基金份额发售公告、基金招募说明书、基金产品资料概要、基金合同和基金托管协议登载在规定网站上，并将基金产品资料概要登载在基金销售机构网站或营业网点</w:t>
      </w:r>
      <w:r>
        <w:rPr>
          <w:rFonts w:ascii="宋体" w:hAnsi="宋体" w:eastAsia="宋体" w:cs="Times New Roman"/>
          <w:bCs/>
          <w:sz w:val="24"/>
          <w:szCs w:val="24"/>
        </w:rPr>
        <w:t>；基金托管人应当同时将基金合同、基金托管协议登载在</w:t>
      </w:r>
      <w:r>
        <w:rPr>
          <w:rFonts w:hint="eastAsia" w:ascii="宋体" w:hAnsi="宋体" w:eastAsia="宋体" w:cs="Times New Roman"/>
          <w:bCs/>
          <w:sz w:val="24"/>
          <w:szCs w:val="24"/>
        </w:rPr>
        <w:t>规定网站</w:t>
      </w:r>
      <w:r>
        <w:rPr>
          <w:rFonts w:ascii="宋体" w:hAnsi="宋体" w:eastAsia="宋体" w:cs="Times New Roman"/>
          <w:bCs/>
          <w:sz w:val="24"/>
          <w:szCs w:val="24"/>
        </w:rPr>
        <w:t>上。</w:t>
      </w:r>
    </w:p>
    <w:p w14:paraId="5AC22852">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（二）基金份额发售公告</w:t>
      </w:r>
    </w:p>
    <w:p w14:paraId="6591AFF9">
      <w:pPr>
        <w:spacing w:line="360" w:lineRule="auto"/>
        <w:ind w:firstLine="480" w:firstLineChars="200"/>
        <w:rPr>
          <w:rFonts w:hint="eastAsia" w:ascii="宋体" w:hAnsi="宋体" w:eastAsia="宋体" w:cs="Times New Roman"/>
          <w:bCs/>
          <w:sz w:val="24"/>
          <w:szCs w:val="24"/>
        </w:rPr>
      </w:pPr>
      <w:r>
        <w:rPr>
          <w:rFonts w:ascii="宋体" w:hAnsi="宋体" w:eastAsia="宋体" w:cs="Times New Roman"/>
          <w:bCs/>
          <w:sz w:val="24"/>
          <w:szCs w:val="24"/>
        </w:rPr>
        <w:t>基金管理人应当就基金份额发售的具体事宜编制基金份额发售公告，并在披露招募说明书的当日登载于规定媒介上。</w:t>
      </w:r>
    </w:p>
    <w:p w14:paraId="2118C9A9">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（三）基金合同生效公告</w:t>
      </w:r>
    </w:p>
    <w:p w14:paraId="4EFD28F1">
      <w:pPr>
        <w:spacing w:line="360" w:lineRule="auto"/>
        <w:ind w:firstLine="480" w:firstLineChars="200"/>
        <w:rPr>
          <w:rFonts w:hint="eastAsia" w:ascii="宋体" w:hAnsi="宋体" w:eastAsia="宋体" w:cs="Times New Roman"/>
          <w:bCs/>
          <w:sz w:val="24"/>
          <w:szCs w:val="24"/>
        </w:rPr>
      </w:pPr>
      <w:r>
        <w:rPr>
          <w:rFonts w:ascii="宋体" w:hAnsi="宋体" w:eastAsia="宋体" w:cs="Times New Roman"/>
          <w:bCs/>
          <w:sz w:val="24"/>
          <w:szCs w:val="24"/>
        </w:rPr>
        <w:t>基金管理人应当</w:t>
      </w:r>
      <w:r>
        <w:rPr>
          <w:rFonts w:hint="eastAsia" w:ascii="宋体" w:hAnsi="宋体" w:eastAsia="宋体" w:cs="Times New Roman"/>
          <w:bCs/>
          <w:sz w:val="24"/>
          <w:szCs w:val="24"/>
        </w:rPr>
        <w:t>在收到中国证监会确认文件的次日在规定媒介上登载基金合同生效公告。</w:t>
      </w:r>
    </w:p>
    <w:p w14:paraId="055FFF8B">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（四）基金净值信息</w:t>
      </w:r>
    </w:p>
    <w:p w14:paraId="4EDB3DA1">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基金合同生效后，在开始办理基金份额申购或者赎回前，基金管理人应当至少每周</w:t>
      </w:r>
      <w:r>
        <w:rPr>
          <w:rFonts w:hint="eastAsia" w:ascii="宋体" w:hAnsi="宋体" w:eastAsia="宋体" w:cs="Times New Roman"/>
          <w:bCs/>
          <w:sz w:val="24"/>
          <w:szCs w:val="24"/>
        </w:rPr>
        <w:t>在规定网站披露一次各类基金份额净值和各类基金份额累计净值。</w:t>
      </w:r>
    </w:p>
    <w:p w14:paraId="4BD823ED">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在开始办理基金份额申购或者赎回后，基金管理人应当在不晚于每个开放日的次日，通过</w:t>
      </w:r>
      <w:r>
        <w:rPr>
          <w:rFonts w:hint="eastAsia" w:ascii="宋体" w:hAnsi="宋体" w:eastAsia="宋体" w:cs="Times New Roman"/>
          <w:bCs/>
          <w:sz w:val="24"/>
          <w:szCs w:val="24"/>
        </w:rPr>
        <w:t>规定网站</w:t>
      </w:r>
      <w:r>
        <w:rPr>
          <w:rFonts w:ascii="宋体" w:hAnsi="宋体" w:eastAsia="宋体" w:cs="Times New Roman"/>
          <w:bCs/>
          <w:sz w:val="24"/>
          <w:szCs w:val="24"/>
        </w:rPr>
        <w:t>、基金</w:t>
      </w:r>
      <w:r>
        <w:rPr>
          <w:rFonts w:hint="eastAsia" w:ascii="宋体" w:hAnsi="宋体" w:eastAsia="宋体" w:cs="Times New Roman"/>
          <w:bCs/>
          <w:sz w:val="24"/>
          <w:szCs w:val="24"/>
        </w:rPr>
        <w:t>销售机构网站</w:t>
      </w:r>
      <w:r>
        <w:rPr>
          <w:rFonts w:ascii="宋体" w:hAnsi="宋体" w:eastAsia="宋体" w:cs="Times New Roman"/>
          <w:bCs/>
          <w:sz w:val="24"/>
          <w:szCs w:val="24"/>
        </w:rPr>
        <w:t>或营业</w:t>
      </w:r>
      <w:r>
        <w:rPr>
          <w:rFonts w:hint="eastAsia" w:ascii="宋体" w:hAnsi="宋体" w:eastAsia="宋体" w:cs="Times New Roman"/>
          <w:bCs/>
          <w:sz w:val="24"/>
          <w:szCs w:val="24"/>
        </w:rPr>
        <w:t>网点</w:t>
      </w:r>
      <w:r>
        <w:rPr>
          <w:rFonts w:ascii="宋体" w:hAnsi="宋体" w:eastAsia="宋体" w:cs="Times New Roman"/>
          <w:bCs/>
          <w:sz w:val="24"/>
          <w:szCs w:val="24"/>
        </w:rPr>
        <w:t>披露开放日的</w:t>
      </w:r>
      <w:r>
        <w:rPr>
          <w:rFonts w:hint="eastAsia" w:ascii="宋体" w:hAnsi="宋体" w:eastAsia="宋体" w:cs="Times New Roman"/>
          <w:bCs/>
          <w:sz w:val="24"/>
          <w:szCs w:val="24"/>
        </w:rPr>
        <w:t>各类</w:t>
      </w:r>
      <w:r>
        <w:rPr>
          <w:rFonts w:ascii="宋体" w:hAnsi="宋体" w:eastAsia="宋体" w:cs="Times New Roman"/>
          <w:bCs/>
          <w:sz w:val="24"/>
          <w:szCs w:val="24"/>
        </w:rPr>
        <w:t>基金份额净值和</w:t>
      </w:r>
      <w:r>
        <w:rPr>
          <w:rFonts w:hint="eastAsia" w:ascii="宋体" w:hAnsi="宋体" w:eastAsia="宋体" w:cs="Times New Roman"/>
          <w:bCs/>
          <w:sz w:val="24"/>
          <w:szCs w:val="24"/>
        </w:rPr>
        <w:t>各类</w:t>
      </w:r>
      <w:r>
        <w:rPr>
          <w:rFonts w:ascii="宋体" w:hAnsi="宋体" w:eastAsia="宋体" w:cs="Times New Roman"/>
          <w:bCs/>
          <w:sz w:val="24"/>
          <w:szCs w:val="24"/>
        </w:rPr>
        <w:t>基金份额累计净值。</w:t>
      </w:r>
    </w:p>
    <w:p w14:paraId="3DE71E27">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基金管理人应在不晚于半年度和年度最后一日的次日，在规定网站披露半年度和年度最后一日的各类基金份额净值和各类基金份额累计净值。</w:t>
      </w:r>
    </w:p>
    <w:p w14:paraId="667C9CF3">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（五）基金份额申购、赎回价格</w:t>
      </w:r>
    </w:p>
    <w:p w14:paraId="559E0DDD">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基金管理人应当在基金合同、招募说明书等信息披露文件上载明基金份额申购、赎回价格的计算方式及有关申购、赎回费率，并保证投资者能够在</w:t>
      </w:r>
      <w:r>
        <w:rPr>
          <w:rFonts w:hint="eastAsia" w:ascii="宋体" w:hAnsi="宋体" w:eastAsia="宋体" w:cs="Times New Roman"/>
          <w:bCs/>
          <w:sz w:val="24"/>
          <w:szCs w:val="24"/>
        </w:rPr>
        <w:t>基金销售机构网站或营业网点</w:t>
      </w:r>
      <w:r>
        <w:rPr>
          <w:rFonts w:ascii="宋体" w:hAnsi="宋体" w:eastAsia="宋体" w:cs="Times New Roman"/>
          <w:bCs/>
          <w:sz w:val="24"/>
          <w:szCs w:val="24"/>
        </w:rPr>
        <w:t>查阅或者复制前述信息资料。</w:t>
      </w:r>
    </w:p>
    <w:p w14:paraId="2B86AD3B">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（六）基金定期报告，包括基金年度报告、基金</w:t>
      </w:r>
      <w:r>
        <w:rPr>
          <w:rFonts w:hint="eastAsia" w:ascii="宋体" w:hAnsi="宋体" w:eastAsia="宋体" w:cs="Times New Roman"/>
          <w:bCs/>
          <w:sz w:val="24"/>
          <w:szCs w:val="24"/>
        </w:rPr>
        <w:t>中期</w:t>
      </w:r>
      <w:r>
        <w:rPr>
          <w:rFonts w:ascii="宋体" w:hAnsi="宋体" w:eastAsia="宋体" w:cs="Times New Roman"/>
          <w:bCs/>
          <w:sz w:val="24"/>
          <w:szCs w:val="24"/>
        </w:rPr>
        <w:t>报告和基金季度报告</w:t>
      </w:r>
    </w:p>
    <w:p w14:paraId="68B07105">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基金管理人应当在每年结束之日起</w:t>
      </w:r>
      <w:r>
        <w:rPr>
          <w:rFonts w:hint="eastAsia" w:ascii="宋体" w:hAnsi="宋体" w:eastAsia="宋体" w:cs="Times New Roman"/>
          <w:bCs/>
          <w:sz w:val="24"/>
          <w:szCs w:val="24"/>
        </w:rPr>
        <w:t>三个月</w:t>
      </w:r>
      <w:r>
        <w:rPr>
          <w:rFonts w:ascii="宋体" w:hAnsi="宋体" w:eastAsia="宋体" w:cs="Times New Roman"/>
          <w:bCs/>
          <w:sz w:val="24"/>
          <w:szCs w:val="24"/>
        </w:rPr>
        <w:t>内，编制完成基金年度报告，将年度报告登载</w:t>
      </w:r>
      <w:r>
        <w:rPr>
          <w:rFonts w:hint="eastAsia" w:ascii="宋体" w:hAnsi="宋体" w:eastAsia="宋体" w:cs="Times New Roman"/>
          <w:bCs/>
          <w:sz w:val="24"/>
          <w:szCs w:val="24"/>
        </w:rPr>
        <w:t>在规定网站</w:t>
      </w:r>
      <w:r>
        <w:rPr>
          <w:rFonts w:ascii="宋体" w:hAnsi="宋体" w:eastAsia="宋体" w:cs="Times New Roman"/>
          <w:bCs/>
          <w:sz w:val="24"/>
          <w:szCs w:val="24"/>
        </w:rPr>
        <w:t>上，并</w:t>
      </w:r>
      <w:r>
        <w:rPr>
          <w:rFonts w:hint="eastAsia" w:ascii="宋体" w:hAnsi="宋体" w:eastAsia="宋体" w:cs="Times New Roman"/>
          <w:bCs/>
          <w:sz w:val="24"/>
          <w:szCs w:val="24"/>
        </w:rPr>
        <w:t>将年度报告提示性公告登载在规定报刊上。基金年度报告中的财务会计报告应当经过符合《中华人民共和国证券法》规定的会计师事务所审计。</w:t>
      </w:r>
    </w:p>
    <w:p w14:paraId="53ECBCAF">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基金管理人应当在上半年结束之日起</w:t>
      </w:r>
      <w:r>
        <w:rPr>
          <w:rFonts w:hint="eastAsia" w:ascii="宋体" w:hAnsi="宋体" w:eastAsia="宋体" w:cs="Times New Roman"/>
          <w:bCs/>
          <w:sz w:val="24"/>
          <w:szCs w:val="24"/>
        </w:rPr>
        <w:t>两个月</w:t>
      </w:r>
      <w:r>
        <w:rPr>
          <w:rFonts w:ascii="宋体" w:hAnsi="宋体" w:eastAsia="宋体" w:cs="Times New Roman"/>
          <w:bCs/>
          <w:sz w:val="24"/>
          <w:szCs w:val="24"/>
        </w:rPr>
        <w:t>内，编制完成基金</w:t>
      </w:r>
      <w:r>
        <w:rPr>
          <w:rFonts w:hint="eastAsia" w:ascii="宋体" w:hAnsi="宋体" w:eastAsia="宋体" w:cs="Times New Roman"/>
          <w:bCs/>
          <w:sz w:val="24"/>
          <w:szCs w:val="24"/>
        </w:rPr>
        <w:t>中期</w:t>
      </w:r>
      <w:r>
        <w:rPr>
          <w:rFonts w:ascii="宋体" w:hAnsi="宋体" w:eastAsia="宋体" w:cs="Times New Roman"/>
          <w:bCs/>
          <w:sz w:val="24"/>
          <w:szCs w:val="24"/>
        </w:rPr>
        <w:t>报告，将</w:t>
      </w:r>
      <w:r>
        <w:rPr>
          <w:rFonts w:hint="eastAsia" w:ascii="宋体" w:hAnsi="宋体" w:eastAsia="宋体" w:cs="Times New Roman"/>
          <w:bCs/>
          <w:sz w:val="24"/>
          <w:szCs w:val="24"/>
        </w:rPr>
        <w:t>中期报告登载在规定网站上，并将中期报告提示性公告登载在规定报刊上。</w:t>
      </w:r>
    </w:p>
    <w:p w14:paraId="3C0F66AF">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基金管理人应当在季度结束之日起</w:t>
      </w:r>
      <w:r>
        <w:rPr>
          <w:rFonts w:ascii="Times New Roman" w:hAnsi="Times New Roman" w:eastAsia="宋体" w:cs="Times New Roman"/>
          <w:bCs/>
          <w:sz w:val="24"/>
          <w:szCs w:val="24"/>
        </w:rPr>
        <w:t>15</w:t>
      </w:r>
      <w:r>
        <w:rPr>
          <w:rFonts w:ascii="宋体" w:hAnsi="宋体" w:eastAsia="宋体" w:cs="Times New Roman"/>
          <w:bCs/>
          <w:sz w:val="24"/>
          <w:szCs w:val="24"/>
        </w:rPr>
        <w:t>个工作日内，编制完成基金季度报告，</w:t>
      </w:r>
      <w:r>
        <w:rPr>
          <w:rFonts w:hint="eastAsia" w:ascii="宋体" w:hAnsi="宋体" w:eastAsia="宋体" w:cs="Times New Roman"/>
          <w:bCs/>
          <w:sz w:val="24"/>
          <w:szCs w:val="24"/>
        </w:rPr>
        <w:t>将季度报告登载在规定网站上，并将季度报告提示性公告登载在规定报刊上</w:t>
      </w:r>
      <w:r>
        <w:rPr>
          <w:rFonts w:ascii="宋体" w:hAnsi="宋体" w:eastAsia="宋体" w:cs="Times New Roman"/>
          <w:bCs/>
          <w:sz w:val="24"/>
          <w:szCs w:val="24"/>
        </w:rPr>
        <w:t>。</w:t>
      </w:r>
    </w:p>
    <w:p w14:paraId="35E30AA3">
      <w:pPr>
        <w:spacing w:line="360" w:lineRule="auto"/>
        <w:ind w:firstLine="480" w:firstLineChars="200"/>
        <w:rPr>
          <w:rFonts w:hint="eastAsia" w:ascii="宋体" w:hAnsi="宋体" w:eastAsia="宋体" w:cs="Times New Roman"/>
          <w:bCs/>
          <w:sz w:val="24"/>
          <w:szCs w:val="24"/>
        </w:rPr>
      </w:pPr>
      <w:r>
        <w:rPr>
          <w:rFonts w:ascii="宋体" w:hAnsi="宋体" w:eastAsia="宋体" w:cs="Times New Roman"/>
          <w:bCs/>
          <w:sz w:val="24"/>
          <w:szCs w:val="24"/>
        </w:rPr>
        <w:t>基金合同生效不足</w:t>
      </w:r>
      <w:r>
        <w:rPr>
          <w:rFonts w:ascii="Times New Roman" w:hAnsi="Times New Roman" w:eastAsia="宋体" w:cs="Times New Roman"/>
          <w:bCs/>
          <w:sz w:val="24"/>
          <w:szCs w:val="24"/>
        </w:rPr>
        <w:t>2</w:t>
      </w:r>
      <w:r>
        <w:rPr>
          <w:rFonts w:ascii="宋体" w:hAnsi="宋体" w:eastAsia="宋体" w:cs="Times New Roman"/>
          <w:bCs/>
          <w:sz w:val="24"/>
          <w:szCs w:val="24"/>
        </w:rPr>
        <w:t>个月的，基金管理人可以不编制当期季度报告、</w:t>
      </w:r>
      <w:r>
        <w:rPr>
          <w:rFonts w:hint="eastAsia" w:ascii="宋体" w:hAnsi="宋体" w:eastAsia="宋体" w:cs="Times New Roman"/>
          <w:bCs/>
          <w:sz w:val="24"/>
          <w:szCs w:val="24"/>
        </w:rPr>
        <w:t>中期</w:t>
      </w:r>
      <w:r>
        <w:rPr>
          <w:rFonts w:ascii="宋体" w:hAnsi="宋体" w:eastAsia="宋体" w:cs="Times New Roman"/>
          <w:bCs/>
          <w:sz w:val="24"/>
          <w:szCs w:val="24"/>
        </w:rPr>
        <w:t>报告或者年度报告。</w:t>
      </w:r>
    </w:p>
    <w:p w14:paraId="614D4C56">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如报告期内出现单一投资者持有基金份额达到或超过基金总份额</w:t>
      </w:r>
      <w:r>
        <w:rPr>
          <w:rFonts w:ascii="Times New Roman" w:hAnsi="Times New Roman" w:eastAsia="宋体" w:cs="Times New Roman"/>
          <w:bCs/>
          <w:sz w:val="24"/>
          <w:szCs w:val="24"/>
        </w:rPr>
        <w:t>20%</w:t>
      </w:r>
      <w:r>
        <w:rPr>
          <w:rFonts w:ascii="宋体" w:hAnsi="宋体" w:eastAsia="宋体" w:cs="Times New Roman"/>
          <w:bCs/>
          <w:sz w:val="24"/>
          <w:szCs w:val="24"/>
        </w:rPr>
        <w:t>的情形，为保障其他投资者的权益，基金管理人至少应当在定期报告</w:t>
      </w:r>
      <w:r>
        <w:rPr>
          <w:rFonts w:hint="eastAsia" w:ascii="宋体" w:hAnsi="宋体" w:eastAsia="宋体" w:cs="Times New Roman"/>
          <w:bCs/>
          <w:sz w:val="24"/>
          <w:szCs w:val="24"/>
        </w:rPr>
        <w:t>“</w:t>
      </w:r>
      <w:r>
        <w:rPr>
          <w:rFonts w:ascii="宋体" w:hAnsi="宋体" w:eastAsia="宋体" w:cs="Times New Roman"/>
          <w:bCs/>
          <w:sz w:val="24"/>
          <w:szCs w:val="24"/>
        </w:rPr>
        <w:t>影响投资者决策的其他重要信息</w:t>
      </w:r>
      <w:r>
        <w:rPr>
          <w:rFonts w:hint="eastAsia" w:ascii="宋体" w:hAnsi="宋体" w:eastAsia="宋体" w:cs="Times New Roman"/>
          <w:bCs/>
          <w:sz w:val="24"/>
          <w:szCs w:val="24"/>
        </w:rPr>
        <w:t>”</w:t>
      </w:r>
      <w:r>
        <w:rPr>
          <w:rFonts w:ascii="宋体" w:hAnsi="宋体" w:eastAsia="宋体" w:cs="Times New Roman"/>
          <w:bCs/>
          <w:sz w:val="24"/>
          <w:szCs w:val="24"/>
        </w:rPr>
        <w:t>项下披露该投资者的类别、报告期末持有份额及占比、报告期内持有份额变化情况及本基金的特有风险，中国证监会认定的特殊情形除外。</w:t>
      </w:r>
    </w:p>
    <w:p w14:paraId="6D76750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基金管理人应当在基金年度报告和中期报告中披露基金组合资产情况及其流动性风险分析等。</w:t>
      </w:r>
    </w:p>
    <w:p w14:paraId="74747C0F">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（七）临时报告</w:t>
      </w:r>
    </w:p>
    <w:p w14:paraId="33C848A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本基金发生重大事件，有关信息披露义务人应当在</w:t>
      </w:r>
      <w:r>
        <w:rPr>
          <w:rFonts w:ascii="Times New Roman" w:hAnsi="Times New Roman" w:eastAsia="宋体" w:cs="Times New Roman"/>
          <w:bCs/>
          <w:sz w:val="24"/>
          <w:szCs w:val="24"/>
        </w:rPr>
        <w:t>2</w:t>
      </w:r>
      <w:r>
        <w:rPr>
          <w:rFonts w:ascii="宋体" w:hAnsi="宋体" w:eastAsia="宋体" w:cs="Times New Roman"/>
          <w:bCs/>
          <w:sz w:val="24"/>
          <w:szCs w:val="24"/>
        </w:rPr>
        <w:t>日内编制临时报告书，</w:t>
      </w:r>
      <w:r>
        <w:rPr>
          <w:rFonts w:hint="eastAsia" w:ascii="宋体" w:hAnsi="宋体" w:eastAsia="宋体" w:cs="Times New Roman"/>
          <w:bCs/>
          <w:sz w:val="24"/>
          <w:szCs w:val="24"/>
        </w:rPr>
        <w:t>并登载在规定报刊和规定网站上。</w:t>
      </w:r>
    </w:p>
    <w:p w14:paraId="25981C97">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前款所称重大事件，是指可能对基金份额持有人权益或者基金份额的价格产生重大影响的下列事件：</w:t>
      </w:r>
    </w:p>
    <w:p w14:paraId="578D923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宋体" w:hAnsi="宋体" w:eastAsia="宋体" w:cs="Times New Roman"/>
          <w:bCs/>
          <w:sz w:val="24"/>
          <w:szCs w:val="24"/>
        </w:rPr>
        <w:t>、基金份额持有人大会的召开</w:t>
      </w:r>
      <w:r>
        <w:rPr>
          <w:rFonts w:hint="eastAsia" w:ascii="宋体" w:hAnsi="宋体" w:eastAsia="宋体" w:cs="Times New Roman"/>
          <w:bCs/>
          <w:sz w:val="24"/>
          <w:szCs w:val="24"/>
        </w:rPr>
        <w:t>及决定的事项</w:t>
      </w:r>
      <w:r>
        <w:rPr>
          <w:rFonts w:ascii="宋体" w:hAnsi="宋体" w:eastAsia="宋体" w:cs="Times New Roman"/>
          <w:bCs/>
          <w:sz w:val="24"/>
          <w:szCs w:val="24"/>
        </w:rPr>
        <w:t>；</w:t>
      </w:r>
    </w:p>
    <w:p w14:paraId="6D300FA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ascii="宋体" w:hAnsi="宋体" w:eastAsia="宋体" w:cs="Times New Roman"/>
          <w:bCs/>
          <w:sz w:val="24"/>
          <w:szCs w:val="24"/>
        </w:rPr>
        <w:t>、基金合同终止</w:t>
      </w:r>
      <w:r>
        <w:rPr>
          <w:rFonts w:hint="eastAsia" w:ascii="宋体" w:hAnsi="宋体" w:eastAsia="宋体" w:cs="Times New Roman"/>
          <w:bCs/>
          <w:sz w:val="24"/>
          <w:szCs w:val="24"/>
        </w:rPr>
        <w:t>、</w:t>
      </w:r>
      <w:r>
        <w:rPr>
          <w:rFonts w:ascii="宋体" w:hAnsi="宋体" w:eastAsia="宋体" w:cs="Times New Roman"/>
          <w:bCs/>
          <w:sz w:val="24"/>
          <w:szCs w:val="24"/>
        </w:rPr>
        <w:t>基金清算；</w:t>
      </w:r>
    </w:p>
    <w:p w14:paraId="67D4EC7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ascii="宋体" w:hAnsi="宋体" w:eastAsia="宋体" w:cs="Times New Roman"/>
          <w:bCs/>
          <w:sz w:val="24"/>
          <w:szCs w:val="24"/>
        </w:rPr>
        <w:t>、转换基金运作方式</w:t>
      </w:r>
      <w:r>
        <w:rPr>
          <w:rFonts w:hint="eastAsia" w:ascii="宋体" w:hAnsi="宋体" w:eastAsia="宋体" w:cs="Times New Roman"/>
          <w:bCs/>
          <w:sz w:val="24"/>
          <w:szCs w:val="24"/>
        </w:rPr>
        <w:t>、</w:t>
      </w:r>
      <w:r>
        <w:rPr>
          <w:rFonts w:ascii="宋体" w:hAnsi="宋体" w:eastAsia="宋体" w:cs="Times New Roman"/>
          <w:bCs/>
          <w:sz w:val="24"/>
          <w:szCs w:val="24"/>
        </w:rPr>
        <w:t>基金合并；</w:t>
      </w:r>
    </w:p>
    <w:p w14:paraId="6E8105B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ascii="宋体" w:hAnsi="宋体" w:eastAsia="宋体" w:cs="Times New Roman"/>
          <w:bCs/>
          <w:sz w:val="24"/>
          <w:szCs w:val="24"/>
        </w:rPr>
        <w:t>、更换基金管理人、基金托管人</w:t>
      </w:r>
      <w:r>
        <w:rPr>
          <w:rFonts w:hint="eastAsia" w:ascii="宋体" w:hAnsi="宋体" w:eastAsia="宋体" w:cs="Times New Roman"/>
          <w:bCs/>
          <w:sz w:val="24"/>
          <w:szCs w:val="24"/>
        </w:rPr>
        <w:t>、基金份额登记机构，基金改聘会计师事务所</w:t>
      </w:r>
      <w:r>
        <w:rPr>
          <w:rFonts w:ascii="宋体" w:hAnsi="宋体" w:eastAsia="宋体" w:cs="Times New Roman"/>
          <w:bCs/>
          <w:sz w:val="24"/>
          <w:szCs w:val="24"/>
        </w:rPr>
        <w:t>；</w:t>
      </w:r>
    </w:p>
    <w:p w14:paraId="66C5584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ascii="宋体" w:hAnsi="宋体" w:eastAsia="宋体" w:cs="Times New Roman"/>
          <w:bCs/>
          <w:sz w:val="24"/>
          <w:szCs w:val="24"/>
        </w:rPr>
        <w:t>、</w:t>
      </w:r>
      <w:r>
        <w:rPr>
          <w:rFonts w:hint="eastAsia" w:ascii="宋体" w:hAnsi="宋体" w:eastAsia="宋体" w:cs="Times New Roman"/>
          <w:bCs/>
          <w:sz w:val="24"/>
          <w:szCs w:val="24"/>
        </w:rPr>
        <w:t>基金管理人委托基金服务机构代为办理基金的份额登记、核算、估值等事项，基金托管人委托基金服务机构代为办理基金的核算、估值、复核等事项；</w:t>
      </w:r>
    </w:p>
    <w:p w14:paraId="3BD8A6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hint="eastAsia" w:ascii="宋体" w:hAnsi="宋体" w:eastAsia="宋体" w:cs="Times New Roman"/>
          <w:bCs/>
          <w:sz w:val="24"/>
          <w:szCs w:val="24"/>
        </w:rPr>
        <w:t>、</w:t>
      </w:r>
      <w:r>
        <w:rPr>
          <w:rFonts w:ascii="宋体" w:hAnsi="宋体" w:eastAsia="宋体" w:cs="Times New Roman"/>
          <w:bCs/>
          <w:sz w:val="24"/>
          <w:szCs w:val="24"/>
        </w:rPr>
        <w:t>基金管理人、基金托管人的法定名称、住所发生变更；</w:t>
      </w:r>
    </w:p>
    <w:p w14:paraId="0177C53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w:t>
      </w:r>
      <w:r>
        <w:rPr>
          <w:rFonts w:ascii="宋体" w:hAnsi="宋体" w:eastAsia="宋体" w:cs="Times New Roman"/>
          <w:bCs/>
          <w:sz w:val="24"/>
          <w:szCs w:val="24"/>
        </w:rPr>
        <w:t>、基金管理人</w:t>
      </w:r>
      <w:r>
        <w:rPr>
          <w:rFonts w:hint="eastAsia" w:ascii="宋体" w:hAnsi="宋体" w:eastAsia="宋体" w:cs="Times New Roman"/>
          <w:bCs/>
          <w:sz w:val="24"/>
          <w:szCs w:val="24"/>
        </w:rPr>
        <w:t>变更持有百分之五以上股权的</w:t>
      </w:r>
      <w:r>
        <w:rPr>
          <w:rFonts w:ascii="宋体" w:hAnsi="宋体" w:eastAsia="宋体" w:cs="Times New Roman"/>
          <w:bCs/>
          <w:sz w:val="24"/>
          <w:szCs w:val="24"/>
        </w:rPr>
        <w:t>股东</w:t>
      </w:r>
      <w:r>
        <w:rPr>
          <w:rFonts w:hint="eastAsia" w:ascii="宋体" w:hAnsi="宋体" w:eastAsia="宋体" w:cs="Times New Roman"/>
          <w:bCs/>
          <w:sz w:val="24"/>
          <w:szCs w:val="24"/>
        </w:rPr>
        <w:t>、基金管理人的实际控制人变更</w:t>
      </w:r>
      <w:r>
        <w:rPr>
          <w:rFonts w:ascii="宋体" w:hAnsi="宋体" w:eastAsia="宋体" w:cs="Times New Roman"/>
          <w:bCs/>
          <w:sz w:val="24"/>
          <w:szCs w:val="24"/>
        </w:rPr>
        <w:t>；</w:t>
      </w:r>
    </w:p>
    <w:p w14:paraId="6AD533C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w:t>
      </w:r>
      <w:r>
        <w:rPr>
          <w:rFonts w:ascii="宋体" w:hAnsi="宋体" w:eastAsia="宋体" w:cs="Times New Roman"/>
          <w:bCs/>
          <w:sz w:val="24"/>
          <w:szCs w:val="24"/>
        </w:rPr>
        <w:t>、基金募集期延长</w:t>
      </w:r>
      <w:r>
        <w:rPr>
          <w:rFonts w:hint="eastAsia" w:ascii="宋体" w:hAnsi="宋体" w:eastAsia="宋体" w:cs="Times New Roman"/>
          <w:bCs/>
          <w:sz w:val="24"/>
          <w:szCs w:val="24"/>
        </w:rPr>
        <w:t>或提前结束募集</w:t>
      </w:r>
      <w:r>
        <w:rPr>
          <w:rFonts w:ascii="宋体" w:hAnsi="宋体" w:eastAsia="宋体" w:cs="Times New Roman"/>
          <w:bCs/>
          <w:sz w:val="24"/>
          <w:szCs w:val="24"/>
        </w:rPr>
        <w:t>；</w:t>
      </w:r>
    </w:p>
    <w:p w14:paraId="10305B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9</w:t>
      </w:r>
      <w:r>
        <w:rPr>
          <w:rFonts w:ascii="宋体" w:hAnsi="宋体" w:eastAsia="宋体" w:cs="Times New Roman"/>
          <w:bCs/>
          <w:sz w:val="24"/>
          <w:szCs w:val="24"/>
        </w:rPr>
        <w:t>、基金管理人的高级管理人员、基金经理和基金托管人</w:t>
      </w:r>
      <w:r>
        <w:rPr>
          <w:rFonts w:hint="eastAsia" w:ascii="宋体" w:hAnsi="宋体" w:eastAsia="宋体" w:cs="Times New Roman"/>
          <w:bCs/>
          <w:sz w:val="24"/>
          <w:szCs w:val="24"/>
        </w:rPr>
        <w:t>专门</w:t>
      </w:r>
      <w:r>
        <w:rPr>
          <w:rFonts w:ascii="宋体" w:hAnsi="宋体" w:eastAsia="宋体" w:cs="Times New Roman"/>
          <w:bCs/>
          <w:sz w:val="24"/>
          <w:szCs w:val="24"/>
        </w:rPr>
        <w:t>基金托管部门负责人发生变动；</w:t>
      </w:r>
    </w:p>
    <w:p w14:paraId="2A4516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10</w:t>
      </w:r>
      <w:r>
        <w:rPr>
          <w:rFonts w:ascii="宋体" w:hAnsi="宋体" w:eastAsia="宋体" w:cs="Times New Roman"/>
          <w:bCs/>
          <w:sz w:val="24"/>
          <w:szCs w:val="24"/>
        </w:rPr>
        <w:t>、基金管理人的董事在</w:t>
      </w:r>
      <w:r>
        <w:rPr>
          <w:rFonts w:hint="eastAsia" w:ascii="宋体" w:hAnsi="宋体" w:eastAsia="宋体" w:cs="Times New Roman"/>
          <w:bCs/>
          <w:sz w:val="24"/>
          <w:szCs w:val="24"/>
        </w:rPr>
        <w:t>最近</w:t>
      </w:r>
      <w:r>
        <w:rPr>
          <w:rFonts w:hint="eastAsia" w:ascii="Times New Roman" w:hAnsi="Times New Roman" w:eastAsia="宋体" w:cs="Times New Roman"/>
          <w:bCs/>
          <w:sz w:val="24"/>
          <w:szCs w:val="24"/>
        </w:rPr>
        <w:t>12</w:t>
      </w:r>
      <w:r>
        <w:rPr>
          <w:rFonts w:hint="eastAsia" w:ascii="宋体" w:hAnsi="宋体" w:eastAsia="宋体" w:cs="Times New Roman"/>
          <w:bCs/>
          <w:sz w:val="24"/>
          <w:szCs w:val="24"/>
        </w:rPr>
        <w:t>个月</w:t>
      </w:r>
      <w:r>
        <w:rPr>
          <w:rFonts w:ascii="宋体" w:hAnsi="宋体" w:eastAsia="宋体" w:cs="Times New Roman"/>
          <w:bCs/>
          <w:sz w:val="24"/>
          <w:szCs w:val="24"/>
        </w:rPr>
        <w:t>内变更超过百分之五十</w:t>
      </w:r>
      <w:r>
        <w:rPr>
          <w:rFonts w:hint="eastAsia" w:ascii="宋体" w:hAnsi="宋体" w:eastAsia="宋体" w:cs="Times New Roman"/>
          <w:bCs/>
          <w:sz w:val="24"/>
          <w:szCs w:val="24"/>
        </w:rPr>
        <w:t>，</w:t>
      </w:r>
      <w:r>
        <w:rPr>
          <w:rFonts w:ascii="宋体" w:hAnsi="宋体" w:eastAsia="宋体" w:cs="Times New Roman"/>
          <w:bCs/>
          <w:sz w:val="24"/>
          <w:szCs w:val="24"/>
        </w:rPr>
        <w:t>基金管理人、基金托管人专门基金托管部门的主要业务人员在</w:t>
      </w:r>
      <w:r>
        <w:rPr>
          <w:rFonts w:hint="eastAsia" w:ascii="宋体" w:hAnsi="宋体" w:eastAsia="宋体" w:cs="Times New Roman"/>
          <w:bCs/>
          <w:sz w:val="24"/>
          <w:szCs w:val="24"/>
        </w:rPr>
        <w:t>最近</w:t>
      </w:r>
      <w:r>
        <w:rPr>
          <w:rFonts w:hint="eastAsia" w:ascii="Times New Roman" w:hAnsi="Times New Roman" w:eastAsia="宋体" w:cs="Times New Roman"/>
          <w:bCs/>
          <w:sz w:val="24"/>
          <w:szCs w:val="24"/>
        </w:rPr>
        <w:t>12</w:t>
      </w:r>
      <w:r>
        <w:rPr>
          <w:rFonts w:hint="eastAsia" w:ascii="宋体" w:hAnsi="宋体" w:eastAsia="宋体" w:cs="Times New Roman"/>
          <w:bCs/>
          <w:sz w:val="24"/>
          <w:szCs w:val="24"/>
        </w:rPr>
        <w:t>个月</w:t>
      </w:r>
      <w:r>
        <w:rPr>
          <w:rFonts w:ascii="宋体" w:hAnsi="宋体" w:eastAsia="宋体" w:cs="Times New Roman"/>
          <w:bCs/>
          <w:sz w:val="24"/>
          <w:szCs w:val="24"/>
        </w:rPr>
        <w:t>内变动超过百分之三十；</w:t>
      </w:r>
    </w:p>
    <w:p w14:paraId="376CE7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11</w:t>
      </w:r>
      <w:r>
        <w:rPr>
          <w:rFonts w:ascii="宋体" w:hAnsi="宋体" w:eastAsia="宋体" w:cs="Times New Roman"/>
          <w:bCs/>
          <w:sz w:val="24"/>
          <w:szCs w:val="24"/>
        </w:rPr>
        <w:t>、涉及基金管理</w:t>
      </w:r>
      <w:r>
        <w:rPr>
          <w:rFonts w:hint="eastAsia" w:ascii="宋体" w:hAnsi="宋体" w:eastAsia="宋体" w:cs="Times New Roman"/>
          <w:bCs/>
          <w:sz w:val="24"/>
          <w:szCs w:val="24"/>
        </w:rPr>
        <w:t>业务</w:t>
      </w:r>
      <w:r>
        <w:rPr>
          <w:rFonts w:ascii="宋体" w:hAnsi="宋体" w:eastAsia="宋体" w:cs="Times New Roman"/>
          <w:bCs/>
          <w:sz w:val="24"/>
          <w:szCs w:val="24"/>
        </w:rPr>
        <w:t>、基金财产、基金托管业务的诉讼</w:t>
      </w:r>
      <w:r>
        <w:rPr>
          <w:rFonts w:hint="eastAsia" w:ascii="宋体" w:hAnsi="宋体" w:eastAsia="宋体" w:cs="Times New Roman"/>
          <w:bCs/>
          <w:sz w:val="24"/>
          <w:szCs w:val="24"/>
        </w:rPr>
        <w:t>或仲裁</w:t>
      </w:r>
      <w:r>
        <w:rPr>
          <w:rFonts w:ascii="宋体" w:hAnsi="宋体" w:eastAsia="宋体" w:cs="Times New Roman"/>
          <w:bCs/>
          <w:sz w:val="24"/>
          <w:szCs w:val="24"/>
        </w:rPr>
        <w:t>；</w:t>
      </w:r>
    </w:p>
    <w:p w14:paraId="67E93CE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12</w:t>
      </w:r>
      <w:r>
        <w:rPr>
          <w:rFonts w:ascii="宋体" w:hAnsi="宋体" w:eastAsia="宋体" w:cs="Times New Roman"/>
          <w:bCs/>
          <w:sz w:val="24"/>
          <w:szCs w:val="24"/>
        </w:rPr>
        <w:t>、基金管理人</w:t>
      </w:r>
      <w:r>
        <w:rPr>
          <w:rFonts w:hint="eastAsia" w:ascii="宋体" w:hAnsi="宋体" w:eastAsia="宋体" w:cs="Times New Roman"/>
          <w:bCs/>
          <w:sz w:val="24"/>
          <w:szCs w:val="24"/>
        </w:rPr>
        <w:t>或其</w:t>
      </w:r>
      <w:r>
        <w:rPr>
          <w:rFonts w:ascii="宋体" w:hAnsi="宋体" w:eastAsia="宋体" w:cs="Times New Roman"/>
          <w:bCs/>
          <w:sz w:val="24"/>
          <w:szCs w:val="24"/>
        </w:rPr>
        <w:t>高级管理人员、基金经理</w:t>
      </w:r>
      <w:r>
        <w:rPr>
          <w:rFonts w:hint="eastAsia" w:ascii="宋体" w:hAnsi="宋体" w:eastAsia="宋体" w:cs="Times New Roman"/>
          <w:bCs/>
          <w:sz w:val="24"/>
          <w:szCs w:val="24"/>
        </w:rPr>
        <w:t>因基金管理业务相关行为</w:t>
      </w:r>
      <w:r>
        <w:rPr>
          <w:rFonts w:ascii="宋体" w:hAnsi="宋体" w:eastAsia="宋体" w:cs="Times New Roman"/>
          <w:bCs/>
          <w:sz w:val="24"/>
          <w:szCs w:val="24"/>
        </w:rPr>
        <w:t>受到</w:t>
      </w:r>
      <w:r>
        <w:rPr>
          <w:rFonts w:hint="eastAsia" w:ascii="宋体" w:hAnsi="宋体" w:eastAsia="宋体" w:cs="Times New Roman"/>
          <w:bCs/>
          <w:sz w:val="24"/>
          <w:szCs w:val="24"/>
        </w:rPr>
        <w:t>重大</w:t>
      </w:r>
      <w:r>
        <w:rPr>
          <w:rFonts w:ascii="宋体" w:hAnsi="宋体" w:eastAsia="宋体" w:cs="Times New Roman"/>
          <w:bCs/>
          <w:sz w:val="24"/>
          <w:szCs w:val="24"/>
        </w:rPr>
        <w:t>行政处罚</w:t>
      </w:r>
      <w:r>
        <w:rPr>
          <w:rFonts w:hint="eastAsia" w:ascii="宋体" w:hAnsi="宋体" w:eastAsia="宋体" w:cs="Times New Roman"/>
          <w:bCs/>
          <w:sz w:val="24"/>
          <w:szCs w:val="24"/>
        </w:rPr>
        <w:t>、刑事处罚</w:t>
      </w:r>
      <w:r>
        <w:rPr>
          <w:rFonts w:ascii="宋体" w:hAnsi="宋体" w:eastAsia="宋体" w:cs="Times New Roman"/>
          <w:bCs/>
          <w:sz w:val="24"/>
          <w:szCs w:val="24"/>
        </w:rPr>
        <w:t>，基金托管人</w:t>
      </w:r>
      <w:r>
        <w:rPr>
          <w:rFonts w:hint="eastAsia" w:ascii="宋体" w:hAnsi="宋体" w:eastAsia="宋体" w:cs="Times New Roman"/>
          <w:bCs/>
          <w:sz w:val="24"/>
          <w:szCs w:val="24"/>
        </w:rPr>
        <w:t>或</w:t>
      </w:r>
      <w:r>
        <w:rPr>
          <w:rFonts w:ascii="宋体" w:hAnsi="宋体" w:eastAsia="宋体" w:cs="Times New Roman"/>
          <w:bCs/>
          <w:sz w:val="24"/>
          <w:szCs w:val="24"/>
        </w:rPr>
        <w:t>其专门基金托管部门负责人</w:t>
      </w:r>
      <w:r>
        <w:rPr>
          <w:rFonts w:hint="eastAsia" w:ascii="宋体" w:hAnsi="宋体" w:eastAsia="宋体" w:cs="Times New Roman"/>
          <w:bCs/>
          <w:sz w:val="24"/>
          <w:szCs w:val="24"/>
        </w:rPr>
        <w:t>因基金托管业务相关行为</w:t>
      </w:r>
      <w:r>
        <w:rPr>
          <w:rFonts w:ascii="宋体" w:hAnsi="宋体" w:eastAsia="宋体" w:cs="Times New Roman"/>
          <w:bCs/>
          <w:sz w:val="24"/>
          <w:szCs w:val="24"/>
        </w:rPr>
        <w:t>受到</w:t>
      </w:r>
      <w:r>
        <w:rPr>
          <w:rFonts w:hint="eastAsia" w:ascii="宋体" w:hAnsi="宋体" w:eastAsia="宋体" w:cs="Times New Roman"/>
          <w:bCs/>
          <w:sz w:val="24"/>
          <w:szCs w:val="24"/>
        </w:rPr>
        <w:t>重大</w:t>
      </w:r>
      <w:r>
        <w:rPr>
          <w:rFonts w:ascii="宋体" w:hAnsi="宋体" w:eastAsia="宋体" w:cs="Times New Roman"/>
          <w:bCs/>
          <w:sz w:val="24"/>
          <w:szCs w:val="24"/>
        </w:rPr>
        <w:t>行政处罚</w:t>
      </w:r>
      <w:r>
        <w:rPr>
          <w:rFonts w:hint="eastAsia" w:ascii="宋体" w:hAnsi="宋体" w:eastAsia="宋体" w:cs="Times New Roman"/>
          <w:bCs/>
          <w:sz w:val="24"/>
          <w:szCs w:val="24"/>
        </w:rPr>
        <w:t>、刑事处罚</w:t>
      </w:r>
      <w:r>
        <w:rPr>
          <w:rFonts w:ascii="宋体" w:hAnsi="宋体" w:eastAsia="宋体" w:cs="Times New Roman"/>
          <w:bCs/>
          <w:sz w:val="24"/>
          <w:szCs w:val="24"/>
        </w:rPr>
        <w:t>；</w:t>
      </w:r>
    </w:p>
    <w:p w14:paraId="79D37A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13</w:t>
      </w:r>
      <w:r>
        <w:rPr>
          <w:rFonts w:hint="eastAsia" w:ascii="宋体" w:hAnsi="宋体" w:eastAsia="宋体" w:cs="Times New Roman"/>
          <w:bCs/>
          <w:sz w:val="24"/>
          <w:szCs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11A425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14</w:t>
      </w:r>
      <w:r>
        <w:rPr>
          <w:rFonts w:ascii="宋体" w:hAnsi="宋体" w:eastAsia="宋体" w:cs="Times New Roman"/>
          <w:bCs/>
          <w:sz w:val="24"/>
          <w:szCs w:val="24"/>
        </w:rPr>
        <w:t>、基金收益分配事项；</w:t>
      </w:r>
    </w:p>
    <w:p w14:paraId="276EFA6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15</w:t>
      </w:r>
      <w:r>
        <w:rPr>
          <w:rFonts w:ascii="宋体" w:hAnsi="宋体" w:eastAsia="宋体" w:cs="Times New Roman"/>
          <w:bCs/>
          <w:sz w:val="24"/>
          <w:szCs w:val="24"/>
        </w:rPr>
        <w:t>、</w:t>
      </w:r>
      <w:r>
        <w:rPr>
          <w:rFonts w:hint="eastAsia" w:ascii="宋体" w:hAnsi="宋体" w:eastAsia="宋体" w:cs="Times New Roman"/>
          <w:bCs/>
          <w:sz w:val="24"/>
          <w:szCs w:val="24"/>
        </w:rPr>
        <w:t>管理费、托管费、申购费、赎回费、销售服务费等费用计提标准、计提方式和费率发生变更</w:t>
      </w:r>
      <w:r>
        <w:rPr>
          <w:rFonts w:ascii="宋体" w:hAnsi="宋体" w:eastAsia="宋体" w:cs="Times New Roman"/>
          <w:bCs/>
          <w:sz w:val="24"/>
          <w:szCs w:val="24"/>
        </w:rPr>
        <w:t>；</w:t>
      </w:r>
    </w:p>
    <w:p w14:paraId="678977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16、某一类基金份额净值估值错误达该类基金份额净值百分之零点五；</w:t>
      </w:r>
    </w:p>
    <w:p w14:paraId="1FCB44A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17</w:t>
      </w:r>
      <w:r>
        <w:rPr>
          <w:rFonts w:hint="eastAsia" w:ascii="宋体" w:hAnsi="宋体" w:eastAsia="宋体" w:cs="Times New Roman"/>
          <w:bCs/>
          <w:sz w:val="24"/>
          <w:szCs w:val="24"/>
        </w:rPr>
        <w:t>、本基金开始办理申购、赎回；</w:t>
      </w:r>
    </w:p>
    <w:p w14:paraId="5416587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18</w:t>
      </w:r>
      <w:r>
        <w:rPr>
          <w:rFonts w:hint="eastAsia" w:ascii="宋体" w:hAnsi="宋体" w:eastAsia="宋体" w:cs="Times New Roman"/>
          <w:bCs/>
          <w:sz w:val="24"/>
          <w:szCs w:val="24"/>
        </w:rPr>
        <w:t>、本基金暂停接受申购、赎回申请或重新接受申购、赎回申请；</w:t>
      </w:r>
    </w:p>
    <w:p w14:paraId="784BDEB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19</w:t>
      </w:r>
      <w:r>
        <w:rPr>
          <w:rFonts w:hint="eastAsia" w:ascii="宋体" w:hAnsi="宋体" w:eastAsia="宋体" w:cs="Times New Roman"/>
          <w:bCs/>
          <w:sz w:val="24"/>
          <w:szCs w:val="24"/>
        </w:rPr>
        <w:t>、调整基金份额类别的设置；</w:t>
      </w:r>
    </w:p>
    <w:p w14:paraId="11ABC9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0</w:t>
      </w:r>
      <w:r>
        <w:rPr>
          <w:rFonts w:hint="eastAsia" w:ascii="宋体" w:hAnsi="宋体" w:eastAsia="宋体" w:cs="Times New Roman"/>
          <w:bCs/>
          <w:sz w:val="24"/>
          <w:szCs w:val="24"/>
        </w:rPr>
        <w:t>、基金推出新业务或服务；</w:t>
      </w:r>
    </w:p>
    <w:p w14:paraId="064BF46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1</w:t>
      </w:r>
      <w:r>
        <w:rPr>
          <w:rFonts w:ascii="宋体" w:hAnsi="宋体" w:eastAsia="宋体" w:cs="Times New Roman"/>
          <w:bCs/>
          <w:sz w:val="24"/>
          <w:szCs w:val="24"/>
        </w:rPr>
        <w:t>、本基金发生巨额赎回并延期</w:t>
      </w:r>
      <w:r>
        <w:rPr>
          <w:rFonts w:hint="eastAsia" w:ascii="宋体" w:hAnsi="宋体" w:eastAsia="宋体" w:cs="Times New Roman"/>
          <w:bCs/>
          <w:sz w:val="24"/>
          <w:szCs w:val="24"/>
        </w:rPr>
        <w:t>办理</w:t>
      </w:r>
      <w:r>
        <w:rPr>
          <w:rFonts w:ascii="宋体" w:hAnsi="宋体" w:eastAsia="宋体" w:cs="Times New Roman"/>
          <w:bCs/>
          <w:sz w:val="24"/>
          <w:szCs w:val="24"/>
        </w:rPr>
        <w:t>；</w:t>
      </w:r>
    </w:p>
    <w:p w14:paraId="2AEAD0C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2</w:t>
      </w:r>
      <w:r>
        <w:rPr>
          <w:rFonts w:ascii="宋体" w:hAnsi="宋体" w:eastAsia="宋体" w:cs="Times New Roman"/>
          <w:bCs/>
          <w:sz w:val="24"/>
          <w:szCs w:val="24"/>
        </w:rPr>
        <w:t>、本基金连续发生巨额赎回并暂停接受赎回申请或延缓支付赎回款项；</w:t>
      </w:r>
    </w:p>
    <w:p w14:paraId="0D5759B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3</w:t>
      </w:r>
      <w:r>
        <w:rPr>
          <w:rFonts w:ascii="宋体" w:hAnsi="宋体" w:eastAsia="宋体" w:cs="Times New Roman"/>
          <w:bCs/>
          <w:sz w:val="24"/>
          <w:szCs w:val="24"/>
        </w:rPr>
        <w:t>、基金管理人采用摆动定价机制进行估值</w:t>
      </w:r>
      <w:r>
        <w:rPr>
          <w:rFonts w:hint="eastAsia" w:ascii="宋体" w:hAnsi="宋体" w:eastAsia="宋体" w:cs="Times New Roman"/>
          <w:bCs/>
          <w:sz w:val="24"/>
          <w:szCs w:val="24"/>
        </w:rPr>
        <w:t>；</w:t>
      </w:r>
    </w:p>
    <w:p w14:paraId="6B18FCD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24、</w:t>
      </w:r>
      <w:r>
        <w:rPr>
          <w:rFonts w:hint="eastAsia" w:ascii="宋体" w:hAnsi="宋体" w:eastAsia="宋体" w:cs="Times New Roman"/>
          <w:bCs/>
          <w:sz w:val="24"/>
          <w:szCs w:val="24"/>
        </w:rPr>
        <w:t>发生涉及基金申购、赎回事项调整或潜在影响投资者赎回等重大事项时；</w:t>
      </w:r>
    </w:p>
    <w:p w14:paraId="38A8DBF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25、基金信息披露义务人认为可能对基金份额持有人权益或者基金份额的价格产生重大影响的其他事项或中国证监会和基金合同规定的其他事项。</w:t>
      </w:r>
    </w:p>
    <w:p w14:paraId="410C3394">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（八）澄清公告</w:t>
      </w:r>
    </w:p>
    <w:p w14:paraId="0C23973A">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在基金合同存续期限内，任何公共</w:t>
      </w:r>
      <w:r>
        <w:rPr>
          <w:rFonts w:hint="eastAsia" w:ascii="宋体" w:hAnsi="宋体" w:eastAsia="宋体" w:cs="Times New Roman"/>
          <w:bCs/>
          <w:sz w:val="24"/>
          <w:szCs w:val="24"/>
        </w:rPr>
        <w:t>媒介</w:t>
      </w:r>
      <w:r>
        <w:rPr>
          <w:rFonts w:ascii="宋体" w:hAnsi="宋体" w:eastAsia="宋体" w:cs="Times New Roman"/>
          <w:bCs/>
          <w:sz w:val="24"/>
          <w:szCs w:val="24"/>
        </w:rPr>
        <w:t>中出现的或者在市场上流传的消息可能对基金份额价格产生误导性影响或者引起较大波动，</w:t>
      </w:r>
      <w:r>
        <w:rPr>
          <w:rFonts w:hint="eastAsia" w:ascii="宋体" w:hAnsi="宋体" w:eastAsia="宋体" w:cs="Times New Roman"/>
          <w:bCs/>
          <w:sz w:val="24"/>
          <w:szCs w:val="24"/>
        </w:rPr>
        <w:t>以及可能损害基金份额持有人权益的，</w:t>
      </w:r>
      <w:r>
        <w:rPr>
          <w:rFonts w:ascii="宋体" w:hAnsi="宋体" w:eastAsia="宋体" w:cs="Times New Roman"/>
          <w:bCs/>
          <w:sz w:val="24"/>
          <w:szCs w:val="24"/>
        </w:rPr>
        <w:t>相关信息披露义务人知悉后应当立即对该消息进行公开澄清。</w:t>
      </w:r>
    </w:p>
    <w:p w14:paraId="4C6D331C">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（九）清算报告</w:t>
      </w:r>
    </w:p>
    <w:p w14:paraId="144E8501">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35123F3">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hint="eastAsia" w:ascii="宋体" w:hAnsi="宋体" w:eastAsia="宋体" w:cs="Times New Roman"/>
          <w:bCs/>
          <w:sz w:val="24"/>
          <w:szCs w:val="24"/>
        </w:rPr>
        <w:t>十</w:t>
      </w:r>
      <w:r>
        <w:rPr>
          <w:rFonts w:ascii="宋体" w:hAnsi="宋体" w:eastAsia="宋体" w:cs="Times New Roman"/>
          <w:bCs/>
          <w:sz w:val="24"/>
          <w:szCs w:val="24"/>
        </w:rPr>
        <w:t>）基金份额持有人大会决议</w:t>
      </w:r>
    </w:p>
    <w:p w14:paraId="7ADCD7AC">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基金份额持有人大会决定的事项，应当依法报</w:t>
      </w:r>
      <w:r>
        <w:rPr>
          <w:rFonts w:hint="eastAsia" w:ascii="宋体" w:hAnsi="宋体" w:eastAsia="宋体" w:cs="Times New Roman"/>
          <w:bCs/>
          <w:sz w:val="24"/>
          <w:szCs w:val="24"/>
        </w:rPr>
        <w:t>中国证监会</w:t>
      </w:r>
      <w:r>
        <w:rPr>
          <w:rFonts w:ascii="宋体" w:hAnsi="宋体" w:eastAsia="宋体" w:cs="Times New Roman"/>
          <w:bCs/>
          <w:sz w:val="24"/>
          <w:szCs w:val="24"/>
        </w:rPr>
        <w:t>备案，并予以公告。</w:t>
      </w:r>
    </w:p>
    <w:p w14:paraId="054ADCBF">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（十一）实施侧袋机制期间的信息披露</w:t>
      </w:r>
    </w:p>
    <w:p w14:paraId="24033739">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本基金实施侧袋机制的，相关信息披露义务人应当根据法律法规、基金合同和招募说明书的规定进行信息披露，详见招募说明书“侧袋机制”部分的规定。</w:t>
      </w:r>
    </w:p>
    <w:p w14:paraId="2A6A4326">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（十二）</w:t>
      </w:r>
      <w:r>
        <w:rPr>
          <w:rFonts w:ascii="宋体" w:hAnsi="宋体" w:eastAsia="宋体" w:cs="Times New Roman"/>
          <w:bCs/>
          <w:sz w:val="24"/>
          <w:szCs w:val="24"/>
        </w:rPr>
        <w:t>中国证监会规定的其他信息</w:t>
      </w:r>
    </w:p>
    <w:p w14:paraId="499EE08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hint="eastAsia" w:ascii="宋体" w:hAnsi="宋体" w:eastAsia="宋体" w:cs="Times New Roman"/>
          <w:bCs/>
          <w:sz w:val="24"/>
          <w:szCs w:val="24"/>
        </w:rPr>
        <w:t>、投资资产支持证券的信息披露</w:t>
      </w:r>
    </w:p>
    <w:p w14:paraId="6F1929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本基金投资资产支持证券的，</w:t>
      </w:r>
      <w:r>
        <w:rPr>
          <w:rFonts w:hint="eastAsia" w:ascii="宋体" w:hAnsi="宋体" w:eastAsia="宋体" w:cs="Times New Roman"/>
          <w:bCs/>
          <w:sz w:val="24"/>
          <w:szCs w:val="24"/>
        </w:rPr>
        <w:t>基金管理人应在基金</w:t>
      </w:r>
      <w:r>
        <w:rPr>
          <w:rFonts w:ascii="宋体" w:hAnsi="宋体" w:eastAsia="宋体" w:cs="Times New Roman"/>
          <w:bCs/>
          <w:sz w:val="24"/>
          <w:szCs w:val="24"/>
        </w:rPr>
        <w:t>年度报告</w:t>
      </w:r>
      <w:r>
        <w:rPr>
          <w:rFonts w:hint="eastAsia" w:ascii="宋体" w:hAnsi="宋体" w:eastAsia="宋体" w:cs="Times New Roman"/>
          <w:bCs/>
          <w:sz w:val="24"/>
          <w:szCs w:val="24"/>
        </w:rPr>
        <w:t>及中期报告中披露其持有的资产支持证券总额、资产支持证券市值占基金净资产的比例和报告期内所有的资产支持证券明细。</w:t>
      </w:r>
    </w:p>
    <w:p w14:paraId="334FBC7D">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基金管理人应在基金季度报告中披露其持有的资产支持证券总额、资产支持证券市值占基金净资产的比例和报告期末按市值占基金净资产比例大小排序的前</w:t>
      </w:r>
      <w:r>
        <w:rPr>
          <w:rFonts w:hint="eastAsia" w:ascii="Times New Roman" w:hAnsi="Times New Roman" w:eastAsia="宋体" w:cs="Times New Roman"/>
          <w:bCs/>
          <w:sz w:val="24"/>
          <w:szCs w:val="24"/>
        </w:rPr>
        <w:t>10</w:t>
      </w:r>
      <w:r>
        <w:rPr>
          <w:rFonts w:hint="eastAsia" w:ascii="宋体" w:hAnsi="宋体" w:eastAsia="宋体" w:cs="Times New Roman"/>
          <w:bCs/>
          <w:sz w:val="24"/>
          <w:szCs w:val="24"/>
        </w:rPr>
        <w:t>名资产支持证券明细。</w:t>
      </w:r>
    </w:p>
    <w:p w14:paraId="14FECB39">
      <w:pPr>
        <w:spacing w:line="360" w:lineRule="auto"/>
        <w:ind w:firstLine="480" w:firstLineChars="200"/>
        <w:rPr>
          <w:rFonts w:hint="eastAsia" w:ascii="宋体" w:hAnsi="宋体" w:eastAsia="宋体" w:cs="Times New Roman"/>
          <w:bCs/>
          <w:sz w:val="24"/>
          <w:szCs w:val="24"/>
        </w:rPr>
      </w:pPr>
      <w:r>
        <w:rPr>
          <w:rFonts w:hint="eastAsia" w:ascii="Times New Roman" w:hAnsi="Times New Roman" w:eastAsia="宋体" w:cs="Times New Roman"/>
          <w:bCs/>
          <w:sz w:val="24"/>
          <w:szCs w:val="24"/>
        </w:rPr>
        <w:t>2</w:t>
      </w:r>
      <w:r>
        <w:rPr>
          <w:rFonts w:hint="eastAsia" w:ascii="宋体" w:hAnsi="宋体" w:eastAsia="宋体" w:cs="Times New Roman"/>
          <w:bCs/>
          <w:sz w:val="24"/>
          <w:szCs w:val="24"/>
        </w:rPr>
        <w:t>、投资股指期货和国债期货的信息披露</w:t>
      </w:r>
    </w:p>
    <w:p w14:paraId="0DC70BF2">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28220C45">
      <w:pPr>
        <w:spacing w:line="360" w:lineRule="auto"/>
        <w:ind w:firstLine="480" w:firstLineChars="200"/>
        <w:rPr>
          <w:rFonts w:hint="eastAsia" w:ascii="宋体" w:hAnsi="宋体" w:eastAsia="宋体" w:cs="Times New Roman"/>
          <w:bCs/>
          <w:sz w:val="24"/>
          <w:szCs w:val="24"/>
        </w:rPr>
      </w:pPr>
      <w:r>
        <w:rPr>
          <w:rFonts w:hint="eastAsia" w:ascii="Times New Roman" w:hAnsi="Times New Roman" w:eastAsia="宋体" w:cs="Times New Roman"/>
          <w:bCs/>
          <w:sz w:val="24"/>
          <w:szCs w:val="24"/>
        </w:rPr>
        <w:t>3</w:t>
      </w:r>
      <w:r>
        <w:rPr>
          <w:rFonts w:hint="eastAsia" w:ascii="宋体" w:hAnsi="宋体" w:eastAsia="宋体" w:cs="Times New Roman"/>
          <w:bCs/>
          <w:sz w:val="24"/>
          <w:szCs w:val="24"/>
        </w:rPr>
        <w:t>、投资股票期权的信息披露</w:t>
      </w:r>
    </w:p>
    <w:p w14:paraId="3D3D863D">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7C539D7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、参与港股通交易的信息披露</w:t>
      </w:r>
    </w:p>
    <w:p w14:paraId="2ECCA6C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本基金参与港股通交易的，基金管理人应在季度报告、中期报告、年度报告等定期报告和招募说明书（更新）等文件中披露本基金参与港股通交易的相关情况。</w:t>
      </w:r>
    </w:p>
    <w:p w14:paraId="2F2EA342">
      <w:pPr>
        <w:spacing w:line="360" w:lineRule="auto"/>
        <w:ind w:firstLine="480" w:firstLineChars="200"/>
        <w:rPr>
          <w:rFonts w:hint="eastAsia" w:ascii="宋体" w:hAnsi="宋体" w:eastAsia="宋体" w:cs="Times New Roman"/>
          <w:bCs/>
          <w:sz w:val="24"/>
          <w:szCs w:val="24"/>
        </w:rPr>
      </w:pPr>
      <w:r>
        <w:rPr>
          <w:rFonts w:ascii="Times New Roman" w:hAnsi="Times New Roman" w:eastAsia="宋体" w:cs="Times New Roman"/>
          <w:bCs/>
          <w:sz w:val="24"/>
          <w:szCs w:val="24"/>
        </w:rPr>
        <w:t>5</w:t>
      </w:r>
      <w:r>
        <w:rPr>
          <w:rFonts w:hint="eastAsia" w:ascii="宋体" w:hAnsi="宋体" w:eastAsia="宋体" w:cs="Times New Roman"/>
          <w:bCs/>
          <w:sz w:val="24"/>
          <w:szCs w:val="24"/>
        </w:rPr>
        <w:t>、投资基金份额的信息披露</w:t>
      </w:r>
    </w:p>
    <w:p w14:paraId="23873A14">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基金管理人应在季度报告、中期报告、年度报告等定期报告和招募说明书（更新）等文件中披露所持基金的以下相关情况，包括（1）投资政策、持仓情况、损益情况、净值披露时间等。（2）交易及持有基金产生的费用，包括申购费、赎回费、销售服务费、管理费、托管费等，招募说明书中应当列明计算方法并举例说明。（3）本基金持有的基金发生的重大影响事件，如转换运作方式、与其他基金合并、终止基金合同以及召开基金份额持有人大会等。（4）本基金投资于基金管理人以及基金管理人关联方所管理基金的情况。</w:t>
      </w:r>
    </w:p>
    <w:p w14:paraId="7C265A15">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6、投资存托凭证的信息披露</w:t>
      </w:r>
    </w:p>
    <w:p w14:paraId="665AD043">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本基金投资存托凭证的信息披露依照境内上市交易的股票执行。</w:t>
      </w:r>
    </w:p>
    <w:p w14:paraId="44F4854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w:t>
      </w:r>
      <w:r>
        <w:rPr>
          <w:rFonts w:hint="eastAsia" w:ascii="宋体" w:hAnsi="宋体" w:eastAsia="宋体" w:cs="Times New Roman"/>
          <w:bCs/>
          <w:sz w:val="24"/>
          <w:szCs w:val="24"/>
        </w:rPr>
        <w:t>、投资信用衍生品的信息披露</w:t>
      </w:r>
    </w:p>
    <w:p w14:paraId="73A93CE5">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3E920A10">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（十三）当相关法律法规关于上述信息披露的规定发生变化时，基金管理人将按最新规定进行信息披露</w:t>
      </w:r>
      <w:r>
        <w:rPr>
          <w:rFonts w:ascii="宋体" w:hAnsi="宋体" w:eastAsia="宋体" w:cs="Times New Roman"/>
          <w:bCs/>
          <w:sz w:val="24"/>
          <w:szCs w:val="24"/>
        </w:rPr>
        <w:t>。</w:t>
      </w:r>
    </w:p>
    <w:p w14:paraId="0398DECF">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六、信息披露事务管理</w:t>
      </w:r>
    </w:p>
    <w:p w14:paraId="1AA85A42">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基金管理人、基金托管人应当建立健全信息披露管理制度，指定</w:t>
      </w:r>
      <w:r>
        <w:rPr>
          <w:rFonts w:hint="eastAsia" w:ascii="宋体" w:hAnsi="宋体" w:eastAsia="宋体" w:cs="Times New Roman"/>
          <w:bCs/>
          <w:sz w:val="24"/>
          <w:szCs w:val="24"/>
        </w:rPr>
        <w:t>专门部门及高级管理人员</w:t>
      </w:r>
      <w:r>
        <w:rPr>
          <w:rFonts w:ascii="宋体" w:hAnsi="宋体" w:eastAsia="宋体" w:cs="Times New Roman"/>
          <w:bCs/>
          <w:sz w:val="24"/>
          <w:szCs w:val="24"/>
        </w:rPr>
        <w:t>负责管理信息披露事务。</w:t>
      </w:r>
    </w:p>
    <w:p w14:paraId="479B4C26">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基金信息披露义务人公开披露基金信息，应当符合中国证监会相关基金信息披露内容与格式准则</w:t>
      </w:r>
      <w:r>
        <w:rPr>
          <w:rFonts w:hint="eastAsia" w:ascii="宋体" w:hAnsi="宋体" w:eastAsia="宋体" w:cs="Times New Roman"/>
          <w:bCs/>
          <w:sz w:val="24"/>
          <w:szCs w:val="24"/>
        </w:rPr>
        <w:t>等法规</w:t>
      </w:r>
      <w:r>
        <w:rPr>
          <w:rFonts w:ascii="宋体" w:hAnsi="宋体" w:eastAsia="宋体" w:cs="Times New Roman"/>
          <w:bCs/>
          <w:sz w:val="24"/>
          <w:szCs w:val="24"/>
        </w:rPr>
        <w:t>的规定。</w:t>
      </w:r>
    </w:p>
    <w:p w14:paraId="2BC53429">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基金托管人应当按照相关法律法规、中国证监会的规定和基金合同的约定，对基金管理人编制的基金资产净值、各类基金份额净值、基金份额申购赎回</w:t>
      </w:r>
      <w:r>
        <w:rPr>
          <w:rFonts w:hint="eastAsia" w:ascii="宋体" w:hAnsi="宋体" w:eastAsia="宋体" w:cs="Times New Roman"/>
          <w:bCs/>
          <w:sz w:val="24"/>
          <w:szCs w:val="24"/>
        </w:rPr>
        <w:t>价格</w:t>
      </w:r>
      <w:r>
        <w:rPr>
          <w:rFonts w:ascii="宋体" w:hAnsi="宋体" w:eastAsia="宋体" w:cs="Times New Roman"/>
          <w:bCs/>
          <w:sz w:val="24"/>
          <w:szCs w:val="24"/>
        </w:rPr>
        <w:t>、基金定期报告</w:t>
      </w:r>
      <w:r>
        <w:rPr>
          <w:rFonts w:hint="eastAsia" w:ascii="宋体" w:hAnsi="宋体" w:eastAsia="宋体" w:cs="Times New Roman"/>
          <w:bCs/>
          <w:sz w:val="24"/>
          <w:szCs w:val="24"/>
        </w:rPr>
        <w:t>、</w:t>
      </w:r>
      <w:r>
        <w:rPr>
          <w:rFonts w:ascii="宋体" w:hAnsi="宋体" w:eastAsia="宋体" w:cs="Times New Roman"/>
          <w:bCs/>
          <w:sz w:val="24"/>
          <w:szCs w:val="24"/>
        </w:rPr>
        <w:t>更新的招募说明书</w:t>
      </w:r>
      <w:r>
        <w:rPr>
          <w:rFonts w:hint="eastAsia" w:ascii="宋体" w:hAnsi="宋体" w:eastAsia="宋体" w:cs="Times New Roman"/>
          <w:bCs/>
          <w:sz w:val="24"/>
          <w:szCs w:val="24"/>
        </w:rPr>
        <w:t>、基金产品资料概要、基金清算报告</w:t>
      </w:r>
      <w:r>
        <w:rPr>
          <w:rFonts w:ascii="宋体" w:hAnsi="宋体" w:eastAsia="宋体" w:cs="Times New Roman"/>
          <w:bCs/>
          <w:sz w:val="24"/>
          <w:szCs w:val="24"/>
        </w:rPr>
        <w:t>等公开披露的相关基金信息进行复核、审查，并向基金管理人</w:t>
      </w:r>
      <w:r>
        <w:rPr>
          <w:rFonts w:hint="eastAsia" w:ascii="宋体" w:hAnsi="宋体" w:eastAsia="宋体" w:cs="Times New Roman"/>
          <w:bCs/>
          <w:sz w:val="24"/>
          <w:szCs w:val="24"/>
        </w:rPr>
        <w:t>进行</w:t>
      </w:r>
      <w:r>
        <w:rPr>
          <w:rFonts w:ascii="宋体" w:hAnsi="宋体" w:eastAsia="宋体" w:cs="Times New Roman"/>
          <w:bCs/>
          <w:sz w:val="24"/>
          <w:szCs w:val="24"/>
        </w:rPr>
        <w:t>书面或者</w:t>
      </w:r>
      <w:r>
        <w:rPr>
          <w:rFonts w:hint="eastAsia" w:ascii="宋体" w:hAnsi="宋体" w:eastAsia="宋体" w:cs="Times New Roman"/>
          <w:bCs/>
          <w:sz w:val="24"/>
          <w:szCs w:val="24"/>
        </w:rPr>
        <w:t>电子</w:t>
      </w:r>
      <w:r>
        <w:rPr>
          <w:rFonts w:ascii="宋体" w:hAnsi="宋体" w:eastAsia="宋体" w:cs="Times New Roman"/>
          <w:bCs/>
          <w:sz w:val="24"/>
          <w:szCs w:val="24"/>
        </w:rPr>
        <w:t>确认。</w:t>
      </w:r>
    </w:p>
    <w:p w14:paraId="476EC104">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基金管理人、基金托管人应当在</w:t>
      </w:r>
      <w:r>
        <w:rPr>
          <w:rFonts w:hint="eastAsia" w:ascii="宋体" w:hAnsi="宋体" w:eastAsia="宋体" w:cs="Times New Roman"/>
          <w:bCs/>
          <w:sz w:val="24"/>
          <w:szCs w:val="24"/>
        </w:rPr>
        <w:t>规定报刊中选择一家报刊披露本基金的信息。基金管理人、基金托管人应当向中国证监会基金电子披露网站报送拟披露的基金信息，并保证相关报送信息的真实、准确、完整、及时。</w:t>
      </w:r>
    </w:p>
    <w:p w14:paraId="7EEF9229">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基金管理人、基金托管人除依法在规定媒介上披露信息外，还可以根据需要在其他公共</w:t>
      </w:r>
      <w:r>
        <w:rPr>
          <w:rFonts w:hint="eastAsia" w:ascii="宋体" w:hAnsi="宋体" w:eastAsia="宋体" w:cs="Times New Roman"/>
          <w:bCs/>
          <w:sz w:val="24"/>
          <w:szCs w:val="24"/>
        </w:rPr>
        <w:t>媒介</w:t>
      </w:r>
      <w:r>
        <w:rPr>
          <w:rFonts w:ascii="宋体" w:hAnsi="宋体" w:eastAsia="宋体" w:cs="Times New Roman"/>
          <w:bCs/>
          <w:sz w:val="24"/>
          <w:szCs w:val="24"/>
        </w:rPr>
        <w:t>披露信息，但是其他公共</w:t>
      </w:r>
      <w:r>
        <w:rPr>
          <w:rFonts w:hint="eastAsia" w:ascii="宋体" w:hAnsi="宋体" w:eastAsia="宋体" w:cs="Times New Roman"/>
          <w:bCs/>
          <w:sz w:val="24"/>
          <w:szCs w:val="24"/>
        </w:rPr>
        <w:t>媒介</w:t>
      </w:r>
      <w:r>
        <w:rPr>
          <w:rFonts w:ascii="宋体" w:hAnsi="宋体" w:eastAsia="宋体" w:cs="Times New Roman"/>
          <w:bCs/>
          <w:sz w:val="24"/>
          <w:szCs w:val="24"/>
        </w:rPr>
        <w:t>不得早于规定媒介披露信息，并且在不同媒介上披露同一信息的内容应当一致。</w:t>
      </w:r>
    </w:p>
    <w:p w14:paraId="47C73BAF">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1498E1A">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为基金信息披露义务人公开披露的基金信息出具审计报告、法律意见书的专业机构，应当制作工作底稿，并将相关档案至少保存到基金合同终止后</w:t>
      </w:r>
      <w:r>
        <w:rPr>
          <w:rFonts w:hint="eastAsia" w:ascii="Times New Roman" w:hAnsi="Times New Roman" w:eastAsia="宋体" w:cs="Times New Roman"/>
          <w:bCs/>
          <w:sz w:val="24"/>
          <w:szCs w:val="24"/>
        </w:rPr>
        <w:t>10</w:t>
      </w:r>
      <w:r>
        <w:rPr>
          <w:rFonts w:ascii="宋体" w:hAnsi="宋体" w:eastAsia="宋体" w:cs="Times New Roman"/>
          <w:bCs/>
          <w:sz w:val="24"/>
          <w:szCs w:val="24"/>
        </w:rPr>
        <w:t>年。</w:t>
      </w:r>
    </w:p>
    <w:p w14:paraId="3DDD5A01">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七、暂停或延迟信息披露的情形</w:t>
      </w:r>
    </w:p>
    <w:p w14:paraId="6FD2BB0B">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bCs/>
          <w:sz w:val="24"/>
          <w:szCs w:val="24"/>
        </w:rPr>
        <w:t>当出现下述情况时，基金管理人和基金托管人可暂停或延迟披露基金相关信息：</w:t>
      </w:r>
    </w:p>
    <w:p w14:paraId="025E77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1、基金投资所涉及的证券、期货交易市场或外汇市场遇法定节假日或因其他原因暂停营业时；</w:t>
      </w:r>
    </w:p>
    <w:p w14:paraId="7D13AAC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hint="eastAsia" w:ascii="宋体" w:hAnsi="宋体" w:eastAsia="宋体" w:cs="Times New Roman"/>
          <w:bCs/>
          <w:sz w:val="24"/>
          <w:szCs w:val="24"/>
        </w:rPr>
        <w:t>、因不可抗力致使基金管理人、基金托管人无法准确评估基金资产价值或无法进行信息披露时；</w:t>
      </w:r>
    </w:p>
    <w:p w14:paraId="768C4E8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宋体" w:hAnsi="宋体" w:eastAsia="宋体" w:cs="Times New Roman"/>
          <w:bCs/>
          <w:sz w:val="24"/>
          <w:szCs w:val="24"/>
        </w:rPr>
        <w:t>、当特定资产占前一估值日基金资产净值</w:t>
      </w:r>
      <w:r>
        <w:rPr>
          <w:rFonts w:hint="eastAsia" w:ascii="Times New Roman" w:hAnsi="Times New Roman" w:eastAsia="宋体" w:cs="Times New Roman"/>
          <w:bCs/>
          <w:sz w:val="24"/>
          <w:szCs w:val="24"/>
        </w:rPr>
        <w:t>50%</w:t>
      </w:r>
      <w:r>
        <w:rPr>
          <w:rFonts w:hint="eastAsia" w:ascii="宋体" w:hAnsi="宋体" w:eastAsia="宋体" w:cs="Times New Roman"/>
          <w:bCs/>
          <w:sz w:val="24"/>
          <w:szCs w:val="24"/>
        </w:rPr>
        <w:t>以上的，经与基金托管人协商确认后暂停估值的；</w:t>
      </w:r>
    </w:p>
    <w:p w14:paraId="7FAE13C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宋体" w:hAnsi="宋体" w:eastAsia="宋体" w:cs="Times New Roman"/>
          <w:bCs/>
          <w:sz w:val="24"/>
          <w:szCs w:val="24"/>
        </w:rPr>
        <w:t>、法律法规、基金合同或中国证监会规定的情况。</w:t>
      </w:r>
    </w:p>
    <w:p w14:paraId="54394E59">
      <w:pPr>
        <w:spacing w:line="360" w:lineRule="auto"/>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八</w:t>
      </w:r>
      <w:r>
        <w:rPr>
          <w:rFonts w:ascii="宋体" w:hAnsi="宋体" w:eastAsia="宋体" w:cs="Times New Roman"/>
          <w:b/>
          <w:bCs/>
          <w:sz w:val="24"/>
          <w:szCs w:val="24"/>
        </w:rPr>
        <w:t>、信息披露文件的存放与查阅</w:t>
      </w:r>
    </w:p>
    <w:p w14:paraId="357F87D2">
      <w:pPr>
        <w:spacing w:line="360" w:lineRule="auto"/>
        <w:ind w:firstLine="480" w:firstLineChars="200"/>
        <w:rPr>
          <w:rFonts w:ascii="Times New Roman" w:hAnsi="Times New Roman" w:eastAsia="宋体" w:cs="Times New Roman"/>
          <w:szCs w:val="21"/>
        </w:rPr>
      </w:pPr>
      <w:r>
        <w:rPr>
          <w:rFonts w:hint="eastAsia" w:ascii="宋体" w:hAnsi="宋体" w:eastAsia="宋体" w:cs="Times New Roman"/>
          <w:bCs/>
          <w:sz w:val="24"/>
          <w:szCs w:val="24"/>
        </w:rPr>
        <w:t>依法必须披露的信息发布后，基金管理人、基金托管人应当按照相关法律法规规定将信息置备于</w:t>
      </w:r>
      <w:r>
        <w:rPr>
          <w:rFonts w:ascii="宋体" w:hAnsi="宋体" w:eastAsia="宋体" w:cs="Times New Roman"/>
          <w:bCs/>
          <w:sz w:val="24"/>
          <w:szCs w:val="24"/>
        </w:rPr>
        <w:t>各自</w:t>
      </w:r>
      <w:r>
        <w:rPr>
          <w:rFonts w:hint="eastAsia" w:ascii="宋体" w:hAnsi="宋体" w:eastAsia="宋体" w:cs="Times New Roman"/>
          <w:bCs/>
          <w:sz w:val="24"/>
          <w:szCs w:val="24"/>
        </w:rPr>
        <w:t>住所，供社会公众查阅、复制。</w:t>
      </w:r>
    </w:p>
    <w:p w14:paraId="788A54CF">
      <w:pPr>
        <w:spacing w:line="360" w:lineRule="auto"/>
        <w:ind w:firstLine="480" w:firstLineChars="200"/>
        <w:rPr>
          <w:rFonts w:ascii="Times New Roman" w:hAnsi="Times New Roman" w:eastAsia="宋体" w:cs="Times New Roman"/>
          <w:bCs/>
          <w:sz w:val="24"/>
          <w:szCs w:val="24"/>
        </w:rPr>
      </w:pPr>
    </w:p>
    <w:bookmarkEnd w:id="93"/>
    <w:p w14:paraId="6DE47B03">
      <w:pPr>
        <w:keepNext/>
        <w:keepLines/>
        <w:spacing w:before="312" w:beforeLines="100" w:after="312" w:afterLines="100" w:line="360" w:lineRule="auto"/>
        <w:jc w:val="center"/>
        <w:outlineLvl w:val="0"/>
        <w:rPr>
          <w:rFonts w:hint="eastAsia" w:ascii="Times New Roman" w:hAnsi="宋体" w:eastAsia="宋体" w:cs="Times New Roman"/>
          <w:b/>
          <w:bCs/>
          <w:kern w:val="44"/>
          <w:sz w:val="32"/>
          <w:szCs w:val="32"/>
        </w:rPr>
      </w:pPr>
      <w:r>
        <w:rPr>
          <w:rFonts w:ascii="Times New Roman" w:hAnsi="Times New Roman" w:eastAsia="宋体" w:cs="Times New Roman"/>
          <w:b/>
          <w:kern w:val="0"/>
          <w:sz w:val="32"/>
          <w:szCs w:val="20"/>
        </w:rPr>
        <w:br w:type="page"/>
      </w:r>
      <w:bookmarkStart w:id="127" w:name="_Toc213077635"/>
      <w:bookmarkStart w:id="128" w:name="_Toc30141"/>
      <w:bookmarkStart w:id="129" w:name="_Toc17014"/>
      <w:r>
        <w:rPr>
          <w:rFonts w:ascii="Times New Roman" w:hAnsi="Times New Roman" w:eastAsia="宋体" w:cs="Times New Roman"/>
          <w:b/>
          <w:kern w:val="0"/>
          <w:sz w:val="32"/>
          <w:szCs w:val="20"/>
        </w:rPr>
        <w:t>第十六部分</w:t>
      </w:r>
      <w:r>
        <w:rPr>
          <w:rFonts w:hint="eastAsia" w:ascii="Times New Roman" w:hAnsi="Times New Roman" w:eastAsia="宋体" w:cs="Times New Roman"/>
          <w:b/>
          <w:kern w:val="0"/>
          <w:sz w:val="32"/>
          <w:szCs w:val="20"/>
        </w:rPr>
        <w:t xml:space="preserve"> </w:t>
      </w:r>
      <w:r>
        <w:rPr>
          <w:rFonts w:ascii="Times New Roman" w:hAnsi="Times New Roman" w:eastAsia="宋体" w:cs="Times New Roman"/>
          <w:b/>
          <w:kern w:val="0"/>
          <w:sz w:val="32"/>
          <w:szCs w:val="20"/>
        </w:rPr>
        <w:t xml:space="preserve"> </w:t>
      </w:r>
      <w:r>
        <w:rPr>
          <w:rFonts w:ascii="Times New Roman" w:hAnsi="宋体" w:eastAsia="宋体" w:cs="Times New Roman"/>
          <w:b/>
          <w:bCs/>
          <w:kern w:val="44"/>
          <w:sz w:val="32"/>
          <w:szCs w:val="32"/>
        </w:rPr>
        <w:t>侧袋机制</w:t>
      </w:r>
      <w:bookmarkEnd w:id="127"/>
      <w:bookmarkEnd w:id="128"/>
      <w:bookmarkEnd w:id="129"/>
    </w:p>
    <w:p w14:paraId="71501EF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一、侧袋机制的实施条件</w:t>
      </w:r>
    </w:p>
    <w:p w14:paraId="29C1EEA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当基金持有特定资产且存在或潜在</w:t>
      </w:r>
      <w:r>
        <w:rPr>
          <w:rFonts w:ascii="Times New Roman" w:hAnsi="Times New Roman" w:eastAsia="宋体" w:cs="Times New Roman"/>
          <w:sz w:val="24"/>
          <w:szCs w:val="24"/>
        </w:rPr>
        <w:t>大额</w:t>
      </w:r>
      <w:r>
        <w:rPr>
          <w:rFonts w:hint="eastAsia" w:ascii="Times New Roman" w:hAnsi="Times New Roman" w:eastAsia="宋体" w:cs="Times New Roman"/>
          <w:sz w:val="24"/>
          <w:szCs w:val="24"/>
        </w:rPr>
        <w:t>赎回申请时，根据最大限度保护基金份额持有人利益的原则，基金管理人经与基金托管人协商一致，并咨询会计师事务所意见后，可以依照法律法规及基金合同的约定启用侧袋机制</w:t>
      </w:r>
      <w:r>
        <w:rPr>
          <w:rFonts w:hint="eastAsia" w:ascii="Times New Roman" w:hAnsi="Times New Roman" w:eastAsia="宋体" w:cs="Times New Roman"/>
          <w:bCs/>
          <w:sz w:val="24"/>
          <w:szCs w:val="24"/>
        </w:rPr>
        <w:t>，无需召开基金份额持有人大会审议</w:t>
      </w:r>
      <w:r>
        <w:rPr>
          <w:rFonts w:hint="eastAsia" w:ascii="Times New Roman" w:hAnsi="Times New Roman" w:eastAsia="宋体" w:cs="Times New Roman"/>
          <w:sz w:val="24"/>
          <w:szCs w:val="24"/>
        </w:rPr>
        <w:t>。</w:t>
      </w:r>
    </w:p>
    <w:p w14:paraId="0FEE858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基金管理人应当在启用侧袋机制后及时发布临时公告，并及时聘请符合《中华人民共和国证券法》规定的会计师事务所进行审计并披露专项审计意见。</w:t>
      </w:r>
    </w:p>
    <w:p w14:paraId="4C84FFE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二、实施侧袋机制期间基金份额的申购与赎回</w:t>
      </w:r>
    </w:p>
    <w:p w14:paraId="255A30C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100E702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14F0650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%认定。</w:t>
      </w:r>
    </w:p>
    <w:p w14:paraId="65616D0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三、实施侧袋机制期间的基金投资</w:t>
      </w:r>
    </w:p>
    <w:p w14:paraId="659F8B9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侧袋机制实施期间，招募说明书“基金的投资”部分约定的</w:t>
      </w:r>
      <w:r>
        <w:rPr>
          <w:rFonts w:ascii="Times New Roman" w:hAnsi="Times New Roman" w:eastAsia="宋体" w:cs="Times New Roman"/>
          <w:sz w:val="24"/>
          <w:szCs w:val="24"/>
        </w:rPr>
        <w:t>投资组合比例</w:t>
      </w:r>
      <w:r>
        <w:rPr>
          <w:rFonts w:hint="eastAsia" w:ascii="Times New Roman" w:hAnsi="Times New Roman" w:eastAsia="宋体" w:cs="Times New Roman"/>
          <w:sz w:val="24"/>
          <w:szCs w:val="24"/>
        </w:rPr>
        <w:t>、投资策略、</w:t>
      </w:r>
      <w:r>
        <w:rPr>
          <w:rFonts w:ascii="Times New Roman" w:hAnsi="Times New Roman" w:eastAsia="宋体" w:cs="Times New Roman"/>
          <w:sz w:val="24"/>
          <w:szCs w:val="24"/>
        </w:rPr>
        <w:t>组合限制</w:t>
      </w:r>
      <w:r>
        <w:rPr>
          <w:rFonts w:hint="eastAsia" w:ascii="Times New Roman" w:hAnsi="Times New Roman" w:eastAsia="宋体" w:cs="Times New Roman"/>
          <w:sz w:val="24"/>
          <w:szCs w:val="24"/>
        </w:rPr>
        <w:t>、业绩比较基准、风险收益特征等约定仅适用于主袋账户。基金管理人计算各项投资运作指标和基金业绩指标时应当以主袋账户资产</w:t>
      </w:r>
      <w:r>
        <w:rPr>
          <w:rFonts w:hint="eastAsia" w:ascii="Times New Roman" w:hAnsi="Times New Roman" w:eastAsia="宋体" w:cs="Times New Roman"/>
          <w:bCs/>
          <w:sz w:val="24"/>
          <w:szCs w:val="24"/>
        </w:rPr>
        <w:t>为基准</w:t>
      </w:r>
      <w:r>
        <w:rPr>
          <w:rFonts w:hint="eastAsia" w:ascii="Times New Roman" w:hAnsi="Times New Roman" w:eastAsia="宋体" w:cs="Times New Roman"/>
          <w:sz w:val="24"/>
          <w:szCs w:val="24"/>
        </w:rPr>
        <w:t>。</w:t>
      </w:r>
    </w:p>
    <w:p w14:paraId="34BA091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基金管理人原则上应当在侧袋</w:t>
      </w:r>
      <w:r>
        <w:rPr>
          <w:rFonts w:ascii="Times New Roman" w:hAnsi="Times New Roman" w:eastAsia="宋体" w:cs="Times New Roman"/>
          <w:sz w:val="24"/>
          <w:szCs w:val="24"/>
        </w:rPr>
        <w:t>机制启用后20个交易日内完成对主袋账户投资组合的调整，</w:t>
      </w:r>
      <w:r>
        <w:rPr>
          <w:rFonts w:hint="eastAsia" w:ascii="Times New Roman" w:hAnsi="Times New Roman" w:eastAsia="宋体" w:cs="Times New Roman"/>
          <w:sz w:val="24"/>
          <w:szCs w:val="24"/>
        </w:rPr>
        <w:t>因资产流动性受限等中国证监会规定的情形除外。</w:t>
      </w:r>
    </w:p>
    <w:p w14:paraId="5FFBF29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基金管理人不得在侧袋账户中进行除特定资产处置变现以外的其他投资操作。</w:t>
      </w:r>
    </w:p>
    <w:p w14:paraId="5F96D4B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四、实施侧袋机制期间的基金估值与会计核算</w:t>
      </w:r>
    </w:p>
    <w:p w14:paraId="386B30FF">
      <w:pPr>
        <w:spacing w:line="360" w:lineRule="auto"/>
        <w:ind w:firstLine="480" w:firstLineChars="200"/>
        <w:rPr>
          <w:rFonts w:ascii="Times New Roman" w:hAnsi="Times New Roman" w:eastAsia="宋体" w:cs="Times New Roman"/>
          <w:sz w:val="24"/>
          <w:szCs w:val="24"/>
        </w:rPr>
      </w:pPr>
      <w:bookmarkStart w:id="130" w:name="OLE_LINK83"/>
      <w:bookmarkStart w:id="131" w:name="OLE_LINK82"/>
      <w:r>
        <w:rPr>
          <w:rFonts w:hint="eastAsia" w:ascii="Times New Roman" w:hAnsi="Times New Roman" w:eastAsia="宋体" w:cs="Times New Roman"/>
          <w:sz w:val="24"/>
          <w:szCs w:val="24"/>
        </w:rPr>
        <w:t>本基金实施侧袋机制的，基金管理人和基金托管人应对主袋账户资产进行估值并披露主袋账户的基金资产净值和基金份额净值，暂停披露侧袋账户基金份额净值。侧袋账户的会计核算应符合《企业会计准则》的相关要求。</w:t>
      </w:r>
    </w:p>
    <w:bookmarkEnd w:id="130"/>
    <w:bookmarkEnd w:id="131"/>
    <w:p w14:paraId="0343692D">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五、实施侧袋机制期间的基金费用</w:t>
      </w:r>
    </w:p>
    <w:p w14:paraId="4C26A23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1、本基金实施侧袋机制的，管理费、托管费和销售服务费等按主袋账户基金资产净值作为基数计提。</w:t>
      </w:r>
    </w:p>
    <w:p w14:paraId="0129DAA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、与侧袋账户有关的费用可从侧袋账户中列支，但应待侧袋账户资产变现后方可列支，有关费用可酌情收取或减免，但不得收取管理费。</w:t>
      </w:r>
    </w:p>
    <w:p w14:paraId="3DB6B5ED">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六、侧袋账户中特定资产的处置变现和支付</w:t>
      </w:r>
    </w:p>
    <w:p w14:paraId="256E1CD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0C553DF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3D363E9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侧袋账户资产全部完成变现并终止侧袋机制后，基金管理人应及时聘请符合《中华人民共和国证券法》规定的会计师事务所进行审计并披露专项审计意见。</w:t>
      </w:r>
    </w:p>
    <w:p w14:paraId="650BD9E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七、侧袋机制的信息披露</w:t>
      </w:r>
    </w:p>
    <w:p w14:paraId="12B2815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1、临时公告</w:t>
      </w:r>
    </w:p>
    <w:p w14:paraId="65183F4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在启用侧袋机制、处置特定资产、终止侧袋机制以及发生其他可能对投资者利益产生重大影响的事项后基金管理人应及时发布临时公告。</w:t>
      </w:r>
    </w:p>
    <w:p w14:paraId="6E40060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2、基金净值信息</w:t>
      </w:r>
    </w:p>
    <w:p w14:paraId="2934B4E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660BF05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3、定期报告</w:t>
      </w:r>
    </w:p>
    <w:p w14:paraId="730FC97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bookmarkStart w:id="132" w:name="_Hlk58013755"/>
    </w:p>
    <w:bookmarkEnd w:id="132"/>
    <w:p w14:paraId="3FB1ADBB">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经履行适当程序后，可直接对本部分内容进行修改和调整，无需召开基金份额持有人大会审议。</w:t>
      </w:r>
    </w:p>
    <w:p w14:paraId="1E62B960">
      <w:pPr>
        <w:widowControl/>
        <w:jc w:val="left"/>
        <w:rPr>
          <w:rFonts w:ascii="Times New Roman" w:hAnsi="Times New Roman" w:eastAsia="宋体" w:cs="Times New Roman"/>
          <w:sz w:val="18"/>
          <w:szCs w:val="18"/>
        </w:rPr>
      </w:pPr>
      <w:r>
        <w:rPr>
          <w:rFonts w:ascii="Times New Roman" w:hAnsi="Times New Roman" w:eastAsia="宋体" w:cs="Times New Roman"/>
          <w:sz w:val="18"/>
          <w:szCs w:val="18"/>
        </w:rPr>
        <w:br w:type="page"/>
      </w:r>
    </w:p>
    <w:p w14:paraId="4C6E5491">
      <w:pPr>
        <w:ind w:firstLine="360" w:firstLineChars="200"/>
        <w:rPr>
          <w:rFonts w:ascii="Times New Roman" w:hAnsi="Times New Roman" w:eastAsia="宋体" w:cs="Times New Roman"/>
          <w:sz w:val="18"/>
          <w:szCs w:val="18"/>
        </w:rPr>
      </w:pPr>
    </w:p>
    <w:p w14:paraId="3FAF1D76">
      <w:pPr>
        <w:keepNext/>
        <w:keepLines/>
        <w:spacing w:before="312" w:beforeLines="100" w:after="312" w:afterLines="100" w:line="360" w:lineRule="auto"/>
        <w:ind w:firstLine="960"/>
        <w:jc w:val="center"/>
        <w:outlineLvl w:val="0"/>
        <w:rPr>
          <w:rFonts w:ascii="Times New Roman" w:hAnsi="Times New Roman" w:eastAsia="宋体" w:cs="Times New Roman"/>
          <w:b/>
          <w:kern w:val="0"/>
          <w:sz w:val="32"/>
          <w:szCs w:val="20"/>
        </w:rPr>
      </w:pPr>
      <w:bookmarkStart w:id="133" w:name="_Toc12250"/>
      <w:bookmarkStart w:id="134" w:name="_Toc213077636"/>
      <w:bookmarkStart w:id="135" w:name="_Toc6970"/>
      <w:r>
        <w:rPr>
          <w:rFonts w:hint="eastAsia" w:ascii="Times New Roman" w:hAnsi="Times New Roman" w:eastAsia="宋体" w:cs="Times New Roman"/>
          <w:b/>
          <w:kern w:val="0"/>
          <w:sz w:val="32"/>
          <w:szCs w:val="20"/>
        </w:rPr>
        <w:t>第十七部分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风险揭示</w:t>
      </w:r>
      <w:bookmarkEnd w:id="133"/>
      <w:bookmarkEnd w:id="134"/>
      <w:bookmarkEnd w:id="135"/>
    </w:p>
    <w:p w14:paraId="3C0A0917">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一、投资于本基金的主要风险</w:t>
      </w:r>
    </w:p>
    <w:p w14:paraId="680B8D4C">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（一）特有风险</w:t>
      </w:r>
    </w:p>
    <w:p w14:paraId="1E38839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、本基金为</w:t>
      </w:r>
      <w:r>
        <w:rPr>
          <w:rFonts w:ascii="Times New Roman" w:hAnsi="Times New Roman" w:eastAsia="宋体" w:cs="Times New Roman"/>
          <w:bCs/>
          <w:sz w:val="24"/>
          <w:szCs w:val="24"/>
        </w:rPr>
        <w:t>混合</w:t>
      </w:r>
      <w:r>
        <w:rPr>
          <w:rFonts w:hint="eastAsia" w:ascii="Times New Roman" w:hAnsi="Times New Roman" w:eastAsia="宋体" w:cs="Times New Roman"/>
          <w:bCs/>
          <w:sz w:val="24"/>
          <w:szCs w:val="24"/>
        </w:rPr>
        <w:t>型基金，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本基金持有其他基金，其市值不超过基金资产净值的10%。每个交易日日终在扣除股指期货合约、国债期货合约和股票期权合约需缴纳的交易保证金后，现金或者到期日在一年以内的政府债券不低于基金资产净值的5%，其中现金不包括结算备付金、存出保证金、应收申购款等。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14:paraId="791BF4D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、股指期货投资风险</w:t>
      </w:r>
    </w:p>
    <w:p w14:paraId="408BD7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可投资股指期货，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4FC5375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、国债期货投资风险</w:t>
      </w:r>
    </w:p>
    <w:p w14:paraId="5BE8812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投资范围包括国债期货，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01AFCE1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、股票期权投资风险</w:t>
      </w:r>
    </w:p>
    <w:p w14:paraId="5082648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可投资股票期权，投资股票期权所面临的主要风险是衍生品价格波动带来的市场风险；衍生品基础资产交易量大于市场可报价的交易量而产生的流动性风险；衍生品合约价格和标的指数价格之间的价格差的波动所造成的基差风险；无法及时筹措资金满足建立或者维持衍生品合约头寸所要求的保证金而带来的保证金风险；交易对手不愿或无法履行契约而产生的信用风险；以及各类操作风险。</w:t>
      </w:r>
    </w:p>
    <w:p w14:paraId="3556976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、资产支持证券投资风险</w:t>
      </w:r>
    </w:p>
    <w:p w14:paraId="55FA785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可投资资产支持证券，资产支持证券是由受托机构发行的、代表特定目的信托的信托受益权份额。受托机构以信托财产为限向投资机构承担支付资产支持证券收益的义务，其支付主要来源于支持证券的资产池产生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益人出现违规违约时，本基金作为资产支持证券的持有人可能面临无法收取投资收益甚至损失本金的风险。资产支持证券的交易结构较为复杂，涉及众多交易方，虽然相关的交易文件对交易各方的权利和义务均有详细的规定，但是无法排除由于任何一方违约或发生重大不利变化导致投资者利益损失的风险。此外在资产支持证券的投资中基金管理人还面临现金流预测风险、操作风险等。当本基金投资的资产支持证券信用评级发生变动不再符合法规规定或基金合同约定时，基金管理人将需要在规定期限内完成调整，该调整也可能导致或有的变现损失。</w:t>
      </w:r>
    </w:p>
    <w:p w14:paraId="04E8B25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港股通标的股票投资风险</w:t>
      </w:r>
    </w:p>
    <w:p w14:paraId="6E0DDD83">
      <w:pPr>
        <w:spacing w:line="360" w:lineRule="auto"/>
        <w:ind w:firstLine="480" w:firstLineChars="200"/>
        <w:rPr>
          <w:rFonts w:ascii="Times New Roman" w:hAnsi="Times New Roman" w:eastAsia="宋体" w:cs="Times New Roman"/>
          <w:bCs/>
          <w:sz w:val="24"/>
          <w:szCs w:val="24"/>
        </w:rPr>
      </w:pPr>
      <w:bookmarkStart w:id="136" w:name="OLE_LINK85"/>
      <w:bookmarkStart w:id="137" w:name="OLE_LINK86"/>
      <w:r>
        <w:rPr>
          <w:rFonts w:hint="eastAsia" w:ascii="Times New Roman" w:hAnsi="Times New Roman" w:eastAsia="宋体" w:cs="Times New Roman"/>
          <w:bCs/>
          <w:sz w:val="24"/>
          <w:szCs w:val="24"/>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24F7CFB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（2）香港市场交易规则有别于内地A股市场规则，此外，在港股通下参与香港股票投资还将面临包括但不限于如下特殊风险：</w:t>
      </w:r>
    </w:p>
    <w:p w14:paraId="51E98E4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①香港市场实行T+0回转交易，且证券交易价格并无涨跌幅上下限的规定，因此每日涨跌幅空间相对较大，港股股价可能表现出比A股更为剧烈的股价波动。</w:t>
      </w:r>
    </w:p>
    <w:p w14:paraId="0803327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②只有内地和香港两地均为交易日的日期才为港股通交易日，在内地开市香港休市的情形下，港股通不能正常交易，港股通标的股票不能及时卖出，可能带来一定的流动性风险。</w:t>
      </w:r>
    </w:p>
    <w:bookmarkEnd w:id="136"/>
    <w:bookmarkEnd w:id="137"/>
    <w:p w14:paraId="7DB424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③香港出现香港联合交易所（以下简称“联交所”）规定的</w:t>
      </w:r>
      <w:r>
        <w:rPr>
          <w:rFonts w:ascii="Times New Roman" w:hAnsi="Times New Roman" w:eastAsia="宋体" w:cs="Times New Roman"/>
          <w:bCs/>
          <w:sz w:val="24"/>
          <w:szCs w:val="24"/>
        </w:rPr>
        <w:t>相关</w:t>
      </w:r>
      <w:r>
        <w:rPr>
          <w:rFonts w:hint="eastAsia" w:ascii="Times New Roman" w:hAnsi="Times New Roman" w:eastAsia="宋体" w:cs="Times New Roman"/>
          <w:bCs/>
          <w:sz w:val="24"/>
          <w:szCs w:val="24"/>
        </w:rPr>
        <w:t>情形时，联交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14:paraId="02DB97A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④本基金因港股通标的股票权益分派、转换、上市公司被收购等情形或者异常情况，所取得的港股通标的股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等所取得的非联交所上市证券，可以享有相关权益，但不得通过港股通买入或卖出。</w:t>
      </w:r>
    </w:p>
    <w:p w14:paraId="3D54BC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76CE741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⑥汇率风险。本基金可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故本基金投资港股通标的股票还面临汇率风险，汇率波动可能对基金的投资收益造成影响。</w:t>
      </w:r>
    </w:p>
    <w:p w14:paraId="6949D3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能通过港股通进行买入交易的风险。</w:t>
      </w:r>
    </w:p>
    <w:p w14:paraId="50357B3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（3）本基金可根据投资策略需要或不同配置地市场环境的变化，选择将部分基金资产投资于港股或选择不将基金资产投资于港股，基金资产并非必然投资港股。</w:t>
      </w:r>
    </w:p>
    <w:p w14:paraId="2EC4F23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w:t>
      </w:r>
      <w:r>
        <w:rPr>
          <w:rFonts w:hint="eastAsia" w:ascii="Times New Roman" w:hAnsi="Times New Roman" w:eastAsia="宋体" w:cs="Times New Roman"/>
          <w:bCs/>
          <w:sz w:val="24"/>
          <w:szCs w:val="24"/>
        </w:rPr>
        <w:t>、存托凭证投资风险</w:t>
      </w:r>
    </w:p>
    <w:p w14:paraId="548C8D1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若本基金投资存托凭证，在承担境内上市交易股票投资的共同风险外，还将承担与存托凭证、创新企业发行、境外发行人以及交易机制相关的特有风险，具体包括但不限于以下风险：</w:t>
      </w:r>
    </w:p>
    <w:p w14:paraId="2F0D30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（1）与存托凭证相关的风险</w:t>
      </w:r>
    </w:p>
    <w:p w14:paraId="2808931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存托凭证是新证券品种，由存托人签发、以境外证券为基础在中国境内发行，代表境外基础证券权益。存托凭证持有人实际享有的权益与境外基础证券持有人的权益虽然基本相当，但并不能等同于直接持有境外基础证券。</w:t>
      </w:r>
    </w:p>
    <w:p w14:paraId="6C0038C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基金买入或者持有红筹公司境内发行的存托凭证，即被视为自动加入存托协议，成为存托协议的当事人。存托协议可能通过红筹公司和存托人商议等方式进行修改，本基金无法单独要求红筹公司或者存托人对存托协议作出额外修改。</w:t>
      </w:r>
    </w:p>
    <w:p w14:paraId="5F8F90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3）本基金持有红筹公司存托凭证，不是红筹公司登记在册的股东，不能以股东身份直接行使股东权利；本基金仅能根据存托协议的约定，通过存托人享有并行使分红、投票等权利。</w:t>
      </w:r>
    </w:p>
    <w:p w14:paraId="219DAC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本基金生效。本基金可能无法对此行使表决权。</w:t>
      </w:r>
    </w:p>
    <w:p w14:paraId="38E644F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5）存托凭证存续期间，对应的基础证券等财产可能出现被质押、挪用、司法冻结、强制执行等情形，本基金可能存在失去应有权利的风险。</w:t>
      </w:r>
    </w:p>
    <w:p w14:paraId="74F1255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6）存托人可能向存托凭证持有人收取存托凭证相关费用。</w:t>
      </w:r>
    </w:p>
    <w:p w14:paraId="6231E0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存托凭证退市的，本基金可能面临存托人无法根据存托协议的约定卖出基础证券，本基金持有的存托凭证无法转到境内其他市场进行公开交易或者转让，存托人无法继续按照存托协议的约定为本基金提供相应服务等风险。</w:t>
      </w:r>
    </w:p>
    <w:p w14:paraId="2E85530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（2）与创新企业发行相关的风险</w:t>
      </w:r>
    </w:p>
    <w:p w14:paraId="4BCFB30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创新企业证券首次公开发行的价格可能高于公司每股净资产账面值，或者高于公司在境外其他市场公开发行的股票或者存托凭证的发行价格或者二级市场交易价格。</w:t>
      </w:r>
    </w:p>
    <w:p w14:paraId="7A14BC5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（3）与境外发行人相关的风险</w:t>
      </w:r>
    </w:p>
    <w:p w14:paraId="0889F51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2F8BBE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2）红筹公司可能仅在境内市场发行并上市较小规模的股票或者存托凭证，公司大部分或者绝大部分的表决权由境外股东等持有，基金作为境内投资者可能无法实际参与公司重大事务的决策。</w:t>
      </w:r>
    </w:p>
    <w:p w14:paraId="1F24BE8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3）基金作为红筹公司存托凭证的境内投资者可以依据境内《中华人民共和国证券法》提起证券诉讼，但境内投资者无法直接作为红筹公司境外注册地或者境外上市地的投资者，依据当地法律制度提起证券诉讼。</w:t>
      </w:r>
    </w:p>
    <w:p w14:paraId="5FAF2A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（4）与交易机制相关的风险</w:t>
      </w:r>
    </w:p>
    <w:p w14:paraId="5E0C8C5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1）境内外市场证券停复牌制度存在差异，红筹公司境内外上市的股票或者存托凭证可能出现在一个市场正常交易而在另一个市场实施停牌等现象。</w:t>
      </w:r>
    </w:p>
    <w:p w14:paraId="2270016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2）红筹公司在境外上市股票或存托凭证的价格可能因基本面变化、第三方研究报告观点、境内外交易机制差异、异常交易情形、做空机制等出现较大波动，可能对境内证券价格产生影响。</w:t>
      </w:r>
    </w:p>
    <w:p w14:paraId="3DF392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44370CA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4）本基金持有的红筹公司境内发行的证券，暂不允许转换为公司在境外发行的相同类别的股票或者存托凭证；本基金持有境内发行的存托凭证，暂不允许转换为境外基础证券。</w:t>
      </w:r>
    </w:p>
    <w:p w14:paraId="0EED869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、科创板股票投资风险</w:t>
      </w:r>
    </w:p>
    <w:p w14:paraId="4951F8F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基金资产可投资科创板股票，若本基金投资于科创板股票，会面临科创板机制下因投资标的、市场制度以及交易规则等差异带来的特有风险，包括但不限于： </w:t>
      </w:r>
    </w:p>
    <w:p w14:paraId="68CA1EC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（1）退市风险 </w:t>
      </w:r>
    </w:p>
    <w:p w14:paraId="2D0CD2A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1）科创板退市制度较主板更为严格，退市时间更短，退市速度更快； </w:t>
      </w:r>
    </w:p>
    <w:p w14:paraId="5FFB0AC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2）退市情形更多，新增市值低于规定标准、上市公司信息披露或者规范运作存在重大缺陷导致退市的情形； </w:t>
      </w:r>
    </w:p>
    <w:p w14:paraId="3CD8EB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3）执行标准更严，明显丧失持续经营能力，仅依赖与主业无关的贸易或者不具备商业实质的关联交易维持收入的上市公司可能会被退市； </w:t>
      </w:r>
    </w:p>
    <w:p w14:paraId="68DBE9B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4）不再设置暂停上市、恢复上市和重新上市环节，上市公司退市风险更大。</w:t>
      </w:r>
    </w:p>
    <w:p w14:paraId="57A14F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（2）市场风险 </w:t>
      </w:r>
    </w:p>
    <w:p w14:paraId="6261483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科创板企业相对集中于新一代信息技术、高端装备、新材料、新能源、节能环保及生物医药等高新技术产业和战略新兴产业，大多数企业为初创型公司，企业未来盈利、现金流、估值均存在不确定性，股票投资市场风险加大。科创板股票竞价交易设置较宽的涨跌幅限制，上市后的前5个交易日不设涨跌幅限制，其后涨跌幅限制为20%，科创板股票上市首日即可作为融资融券标的，可能导致较大的股票价格波动。</w:t>
      </w:r>
    </w:p>
    <w:p w14:paraId="491D025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（3）流动性风险 </w:t>
      </w:r>
    </w:p>
    <w:p w14:paraId="78EF5D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科创板投资门槛较高，科创板的投资者可能以机构投资者为主，整体流动性可能相对较弱。此外，科创板股票网下发行时，获配账户存在被随机抽中设置一定期限限售期的可能，基金存在无法及时变现及其他相关流动性风险。</w:t>
      </w:r>
    </w:p>
    <w:p w14:paraId="11D87E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（4）系统性风险 </w:t>
      </w:r>
    </w:p>
    <w:p w14:paraId="3989D92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科创板企业均为市场认可度较高的科技创新企业，在企业经营及盈利模式上存在趋同，所以科创板股票相关性较高，市场表现不佳时，系统性风险将更为显著。 </w:t>
      </w:r>
    </w:p>
    <w:p w14:paraId="785CC0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（5）政策风险 </w:t>
      </w:r>
    </w:p>
    <w:p w14:paraId="1962256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国家对高新技术产业扶持力度及重视程度的变化会对科创板企业带来较大影响，国际经济形势变化对战略新兴产业及科创板股票也会带来政策影响。</w:t>
      </w:r>
    </w:p>
    <w:p w14:paraId="6542C5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9</w:t>
      </w:r>
      <w:r>
        <w:rPr>
          <w:rFonts w:hint="eastAsia" w:ascii="Times New Roman" w:hAnsi="Times New Roman" w:eastAsia="宋体" w:cs="Times New Roman"/>
          <w:bCs/>
          <w:sz w:val="24"/>
          <w:szCs w:val="24"/>
        </w:rPr>
        <w:t>、信用衍生品投资风险</w:t>
      </w:r>
    </w:p>
    <w:p w14:paraId="4D8C7B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为对冲信用风险，本基金可能投资于信用衍生品，信用衍生品的投资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14:paraId="73AFE4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10、基金投资其他基金的风险</w:t>
      </w:r>
    </w:p>
    <w:p w14:paraId="3DE5F9A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针对基金投资，本基金投资于全市场的股票型 ETF 及基金管理人旗下的股票型基金、计入权益类资产的混合型基金。其中，计入权益类资产的混合型基金需符合下列两个条件之一：</w:t>
      </w:r>
    </w:p>
    <w:p w14:paraId="3AA745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1）基金合同约定股票及存托凭证资产投资比例不低于基金资产60%的混合型基金；</w:t>
      </w:r>
    </w:p>
    <w:p w14:paraId="3E3248C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2）根据基金披露的定期报告，最近四个季度中任一季度股票及存托凭证资产占基金资产比例均不低于60%的混合型基金。</w:t>
      </w:r>
    </w:p>
    <w:p w14:paraId="5982055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本基金除了承担投资其他基金的管理费、托管费和销售费用（其中申购本基金基金管理人自身管理的其他基金（ETF除外）应当通过直销渠道申购且不收取申购费、赎回费（不包括按照相关法规、基金招募说明书约定应当收取，并计入基金财产的赎回费用）、销售服务费等）外，还须承担本基金本身的管理费、托管费和销售费用（其中不收取基金财产中持有本基金管理人管理的其他基金部分的管理费、本基金托管人托管的其他基金部分的托管费），因此，本基金最终获取的回报与直接投资于其他基金获取的回报存在差异。</w:t>
      </w:r>
    </w:p>
    <w:p w14:paraId="6083BE1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11、公募REITs投资风险</w:t>
      </w:r>
    </w:p>
    <w:p w14:paraId="392017F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募REITs采用“公募基金+不动产资产支持证券”的产品结构，主要特点如下：一是公募REITs与投资股票或债券的公募基金具有不同的风险收益特征，80%以上基金资产投资于不动产资产支持证券，并持有其全部份额，基金通过不动产资产支持证券持有不动产项目公司全部股权，穿透取得不动产项目完全所有权或经营权利；二是公募REITs以获取不动产项目租金、收费等稳定现金流为主要目的，收益分配比例不低于合并后基金年度可供分配金额的90%；三是公募REITs采取封闭式运作，不开放申购与赎回，在证券交易所上市，使用场外基金账户认购的基金份额持有人需通过办理跨系统转托管业务方可参与证券交易所场内交易，亦可直接按证券交易所、登记机构规则参与基金通平台交易。</w:t>
      </w:r>
    </w:p>
    <w:p w14:paraId="1F449E5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投资公募REITs可能面临以下风险，包括但不限于：</w:t>
      </w:r>
    </w:p>
    <w:p w14:paraId="267A9B1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（1）基金价格波动风险</w:t>
      </w:r>
    </w:p>
    <w:p w14:paraId="489C79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募REITs大部分资产投资于不动产项目，具有权益属性，受经济环境、运营管理、基金扩募等因素影响，不动产项目市场价值及现金流情况可能发生变化，可能引起公募REITs价格波动，甚至存在不动产项目遭遇极端事件（如地震、台风等）发生较大损失而影响基金价格的风险。</w:t>
      </w:r>
    </w:p>
    <w:p w14:paraId="35DBD9C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（2）不动产项目运营风险</w:t>
      </w:r>
    </w:p>
    <w:p w14:paraId="4E3FB2F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募REITs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此外，公募REITs可直接或间接对外借款，存在不动产项目经营不达预期，基金无法偿还借款的风险。</w:t>
      </w:r>
    </w:p>
    <w:p w14:paraId="7CC2771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（3）不动产估值无法体现公允价值的风险</w:t>
      </w:r>
    </w:p>
    <w:p w14:paraId="4B60804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不动产的评估以收益法为主，收益法进行估价时需要测算收益期、测算未来收益、确定报酬率或者资本化率，并将未来收益折现为现值。由于不动产的评估值是基于相关假设条件测算得到的，估值技术和信息的局限性导致不动产的评估值并不代表对不动产真实的公允价值，也不构成未来可交易价格的保证。在不动产项目出售的过程中，可能出现成交价格低于估值的情形，对公募REITs财务状况造成不利影响。</w:t>
      </w:r>
    </w:p>
    <w:p w14:paraId="50252D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（4）基金份额交易价格折溢价风险</w:t>
      </w:r>
    </w:p>
    <w:p w14:paraId="3D3D699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募REITs基金合同生效后，将根据相关法律法规和证券交易所规定申请在交易所上市，在每个交易日的交易时间将根据相关交易规则确定交易价格，该交易价格可能受诸多因素影响；此外，公募REITs还将按照相关业务规则、基金合同约定进行估值并披露基金份额净值等信息。由于基金份额交易价格与基金份额净值形成机制以及影响因素不同，存在基金份额交易价格相对于基金份额净值折溢价的风险。</w:t>
      </w:r>
    </w:p>
    <w:p w14:paraId="7807BB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（5）流动性风险</w:t>
      </w:r>
    </w:p>
    <w:p w14:paraId="5BAF8B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募REITs采取封闭式运作，不开通申购赎回，只能在二级市场交易，存在流动性不足的风险。此外，公募REITs持有所投资的不动产资产支持证券的全部份额，如发生特殊情况需要处置不动产资产支持证券，可能会由于不动产资产支持证券流动性较弱而带来损失（如证券不能卖出或贬值出售等）。不动产资产支持证券通过项目公司持有的不动产可能会存在无法处置及变现的风险。</w:t>
      </w:r>
    </w:p>
    <w:p w14:paraId="787E6A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（6）终止上市风险</w:t>
      </w:r>
    </w:p>
    <w:p w14:paraId="24CF20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公募REITs运作过程中可能因触发法律法规或交易所规定的终止上市情形而终止上市，导致投资者无法在二级市场交易。</w:t>
      </w:r>
    </w:p>
    <w:p w14:paraId="391CBF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（7）政策调整风险</w:t>
      </w:r>
    </w:p>
    <w:p w14:paraId="1EE02F8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募REITs存在因相关法律法规修改或监管机构政策变更等基金管理人无法控制的因素的变化，使基金或投资者利益受到影响的风险，例如：公募REITs运作过程中可能涉及基金份额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198BBDF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（8）利益冲突风险</w:t>
      </w:r>
    </w:p>
    <w:p w14:paraId="210251A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募REITs基金管理人可能同时管理多只同类型的公募REITs；公募REITs基金管理人聘请的运营管理机构可能持有或为其他同类型的不动产项目提供运营管理服务；公募REITs原始权益人也可能持有或管理其他同类型的不动产项目等。由于上述情况，公募REITs的关联方可能与公募REITs 存在一定的利益冲突。</w:t>
      </w:r>
    </w:p>
    <w:p w14:paraId="2EFAE98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（9）公募REITs相关法律法规和交易所业务规则，可能根据市场情况进行修改，或者制定新的法律法规和业务规则，投资者应当及时予以关注和了解。</w:t>
      </w:r>
    </w:p>
    <w:p w14:paraId="1FC8549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w:t>
      </w:r>
      <w:r>
        <w:rPr>
          <w:rFonts w:ascii="Times New Roman" w:hAnsi="Times New Roman" w:eastAsia="宋体" w:cs="Times New Roman"/>
          <w:b/>
          <w:sz w:val="24"/>
          <w:szCs w:val="24"/>
        </w:rPr>
        <w:t>市场风险</w:t>
      </w:r>
    </w:p>
    <w:p w14:paraId="6360EE8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市场风险是指证券市场价格受到经济因素、政治因素、投资心理和交易制度等各种因素的影响而变化，导致收益水平存在的不确定性。市场风险主要包括：</w:t>
      </w:r>
    </w:p>
    <w:p w14:paraId="18AC9A0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政策风险</w:t>
      </w:r>
    </w:p>
    <w:p w14:paraId="309E9DB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因国家宏观政策（如货币政策、财政政策、行业政策、地区发展政策等）发生变化，导致市场价格波动而产生风险。</w:t>
      </w:r>
    </w:p>
    <w:p w14:paraId="501664A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经济周期风险</w:t>
      </w:r>
    </w:p>
    <w:p w14:paraId="061F4FD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随经济运行的周期性变化，证券市场的收益水平也呈周期性变化。基金投资于债券</w:t>
      </w:r>
      <w:r>
        <w:rPr>
          <w:rFonts w:hint="eastAsia" w:ascii="Times New Roman" w:hAnsi="Times New Roman" w:eastAsia="宋体" w:cs="Times New Roman"/>
          <w:bCs/>
          <w:sz w:val="24"/>
          <w:szCs w:val="24"/>
        </w:rPr>
        <w:t>与上市公司的股票</w:t>
      </w:r>
      <w:r>
        <w:rPr>
          <w:rFonts w:ascii="Times New Roman" w:hAnsi="Times New Roman" w:eastAsia="宋体" w:cs="Times New Roman"/>
          <w:bCs/>
          <w:sz w:val="24"/>
          <w:szCs w:val="24"/>
        </w:rPr>
        <w:t>，收益水平也会随之变化，从而产生风险。</w:t>
      </w:r>
    </w:p>
    <w:p w14:paraId="7A463B9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利率风险</w:t>
      </w:r>
    </w:p>
    <w:p w14:paraId="736956A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金融市场利率的波动会导致证券市场价格和收益率的变动。利率直接影响着债券的价格和收益率，影响着企业的融资成本和利润。基金投资于债券</w:t>
      </w:r>
      <w:r>
        <w:rPr>
          <w:rFonts w:hint="eastAsia" w:ascii="Times New Roman" w:hAnsi="Times New Roman" w:eastAsia="宋体" w:cs="Times New Roman"/>
          <w:bCs/>
          <w:sz w:val="24"/>
          <w:szCs w:val="24"/>
        </w:rPr>
        <w:t>和股票</w:t>
      </w:r>
      <w:r>
        <w:rPr>
          <w:rFonts w:ascii="Times New Roman" w:hAnsi="Times New Roman" w:eastAsia="宋体" w:cs="Times New Roman"/>
          <w:bCs/>
          <w:sz w:val="24"/>
          <w:szCs w:val="24"/>
        </w:rPr>
        <w:t>，其收益水平会受到利率变化的影响。</w:t>
      </w:r>
    </w:p>
    <w:p w14:paraId="2B2DA75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4、上市公司经营风险</w:t>
      </w:r>
    </w:p>
    <w:p w14:paraId="117AC0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D3BACA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信用风险</w:t>
      </w:r>
    </w:p>
    <w:p w14:paraId="655BABA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主要是指债务人的违约风险，若债务人经营不善，资不抵债，债权人可能会损失掉大部分的投资，这主要体现在企业债中。</w:t>
      </w:r>
    </w:p>
    <w:p w14:paraId="08D4305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购买力风险</w:t>
      </w:r>
    </w:p>
    <w:p w14:paraId="4F4EF57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基金的利润将主要通过现金形式来分配，而现金可能因为通货膨胀的影响而导致购买力下降，从而使基金的实际收益下降。</w:t>
      </w:r>
    </w:p>
    <w:p w14:paraId="232C704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债券收益率曲线风险</w:t>
      </w:r>
    </w:p>
    <w:p w14:paraId="7ADB887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债券收益率曲线风险是指与收益率曲线非平行移动有关的风险，单一的久期指标并不能充分反映这一风险的存在。</w:t>
      </w:r>
    </w:p>
    <w:p w14:paraId="53100E8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再投资风险</w:t>
      </w:r>
    </w:p>
    <w:p w14:paraId="2A0B543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0FA9F09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w:t>
      </w:r>
      <w:r>
        <w:rPr>
          <w:rFonts w:ascii="Times New Roman" w:hAnsi="Times New Roman" w:eastAsia="宋体" w:cs="Times New Roman"/>
          <w:bCs/>
          <w:sz w:val="24"/>
          <w:szCs w:val="24"/>
        </w:rPr>
        <w:t>波动性风险</w:t>
      </w:r>
    </w:p>
    <w:p w14:paraId="0580607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2901C698">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w:t>
      </w:r>
      <w:r>
        <w:rPr>
          <w:rFonts w:ascii="Times New Roman" w:hAnsi="Times New Roman" w:eastAsia="宋体" w:cs="Times New Roman"/>
          <w:b/>
          <w:bCs/>
          <w:sz w:val="24"/>
          <w:szCs w:val="24"/>
        </w:rPr>
        <w:t xml:space="preserve">流动性风险 </w:t>
      </w:r>
    </w:p>
    <w:p w14:paraId="442C776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1、拟投资市场、行业及资产的流动性风险评估</w:t>
      </w:r>
    </w:p>
    <w:p w14:paraId="78ECACF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）投资市场的流动性风险</w:t>
      </w:r>
    </w:p>
    <w:p w14:paraId="2AB53D3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主要投资于国内依法发行上市的股票、港股通标的股票、存托凭证、债券、资产支持证券、债券回购、银行存款、同业存单、现金等货币市场工具、股指期货、信用衍生品、国债期货、股票期权、经中国证监会依法核准或注册的公开募集证券投资基金（不含货币市场基金、QDII基金、香港互认基金、基金中基金和可投资其他基金的基金）等投资品种。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本基金持有其他基金，其市值不超过基金资产净值的10%。上述资产均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05F9BEE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（2）投资行业的流动性风险</w:t>
      </w:r>
    </w:p>
    <w:p w14:paraId="591D2A3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债券投资方面，本基金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在以上债券等固定收益类资产投资策略的基础上，本基金还将根据债券市场的动态变化，采取多种灵活的策略，力争获取超额收益。主要包括骑乘收益率曲线策略、息差策略等。</w:t>
      </w:r>
    </w:p>
    <w:p w14:paraId="4EE93D5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股票投资方面，本基金主要采用量化模型选股策略构建投资组合。本基金综合利用多种量化投资模型技术，通过多因子量化模型对股票超额回报进行预测，以对中国股票市场的长期研究为基础，结合前瞻性市场判断，用精研的多个因子捕捉市场有效性暂时缺失之处；通过人工智能选股模型动态调整因子模型，及时捕捉市场中短期的投资机会；通过风险预测模型和适当的控制措施，严格控制投资组合的预期投资风险，力求将投资组合的风险控制在目标范围内；利用交易成本模型考虑交易的市场冲击效应，在控制成本最低的基础上减少交易造成的负业绩影响。</w:t>
      </w:r>
    </w:p>
    <w:p w14:paraId="3F5871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投资方面，本基金可投资于全市场的股票型ETF、公募REITs，以及基金管理人旗下的股票型基金、计入权益类资产的混合型基金。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14:paraId="34BFC20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因此本基金在投资运作过程中的行业配置较为灵活，在综合考虑宏观因素及行业基本面的前提下进行配置，行业分散度较高，受到单一行业流动性风险的影响较小。</w:t>
      </w:r>
    </w:p>
    <w:p w14:paraId="64E350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（3）投资资产的流动性风险</w:t>
      </w:r>
    </w:p>
    <w:p w14:paraId="7F84EE4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本基金针对流动性较低资产（含封闭运作基金、定期开放基金等）的投资进行了严格的限制，以降低基金的流动性风险：本基金主动投资于流动性受限资产的市值合计不得超过基金资产净值的15%。</w:t>
      </w:r>
    </w:p>
    <w:p w14:paraId="29B6FFA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w:t>
      </w:r>
      <w:r>
        <w:rPr>
          <w:rFonts w:ascii="Times New Roman" w:hAnsi="Times New Roman" w:eastAsia="宋体" w:cs="Times New Roman"/>
          <w:bCs/>
          <w:sz w:val="24"/>
          <w:szCs w:val="24"/>
        </w:rPr>
        <w:t>为开放式基金</w:t>
      </w:r>
      <w:r>
        <w:rPr>
          <w:rFonts w:hint="eastAsia" w:ascii="Times New Roman" w:hAnsi="Times New Roman" w:eastAsia="宋体" w:cs="Times New Roman"/>
          <w:bCs/>
          <w:sz w:val="24"/>
          <w:szCs w:val="24"/>
        </w:rPr>
        <w:t>，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资者申购赎回特征和客户大额资金流向特征，以确定本基金在不同投资品种的配置比例，确保流动性充裕。</w:t>
      </w:r>
    </w:p>
    <w:p w14:paraId="6C7A70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2、本基金申购、赎回安排</w:t>
      </w:r>
    </w:p>
    <w:p w14:paraId="304B03F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人在开放日办理基金份额的申购和赎回。为切实保护存量基金份额持有人的合法权益，遵循基金份额持有人利益优先原则，本基金管理人将合理控制基金份额持有人集中度，审慎确认申购赎回业务申请，包括但不限于：</w:t>
      </w:r>
    </w:p>
    <w:p w14:paraId="48E4333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758D6A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（2）当发生大额申购或赎回情形时，基金管理人可以采用摆动定价机制，以确保基金估值的公平性。</w:t>
      </w:r>
    </w:p>
    <w:p w14:paraId="4D3F2A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本基金管理人对持续持有期少于7日的投资者收取不低于赎回金额1.5%的赎回费，对持续持有期满7日、少于30日的投资者收取不低于赎回金额1%的赎回费，对持续持有期满30日、少于180日的投资者收取不低于赎回金额0.5%的赎回费，并将上述赎回费全额计入基金财产。</w:t>
      </w:r>
    </w:p>
    <w:p w14:paraId="0B3EFC0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当前一估值日基金资产净值50%以上的资产出现无可参考的活跃市场价格且采用估值技术仍导致公允价值存在重大不确定性时，经与基金托管人协商确认后，基金管理人应当暂停接受基金申购申请、延缓支付赎回款项或暂停接受基金赎回申请。</w:t>
      </w:r>
    </w:p>
    <w:p w14:paraId="0A57E83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具体措施</w:t>
      </w:r>
      <w:r>
        <w:rPr>
          <w:rFonts w:hint="eastAsia" w:ascii="Times New Roman" w:hAnsi="Times New Roman" w:eastAsia="宋体" w:cs="Times New Roman"/>
          <w:bCs/>
          <w:sz w:val="24"/>
          <w:szCs w:val="24"/>
        </w:rPr>
        <w:t>详见本招募说明书“</w:t>
      </w:r>
      <w:r>
        <w:rPr>
          <w:rFonts w:hint="eastAsia" w:ascii="Times New Roman" w:hAnsi="Times New Roman" w:eastAsia="宋体" w:cs="Times New Roman"/>
          <w:sz w:val="24"/>
          <w:szCs w:val="24"/>
        </w:rPr>
        <w:t>基金份额的申购与赎回</w:t>
      </w:r>
      <w:r>
        <w:rPr>
          <w:rFonts w:hint="eastAsia" w:ascii="Times New Roman" w:hAnsi="Times New Roman" w:eastAsia="宋体" w:cs="Times New Roman"/>
          <w:bCs/>
          <w:sz w:val="24"/>
          <w:szCs w:val="24"/>
        </w:rPr>
        <w:t>”部分。</w:t>
      </w:r>
    </w:p>
    <w:p w14:paraId="69757FD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3、巨额赎回情形下流动性风险管理措施</w:t>
      </w:r>
    </w:p>
    <w:p w14:paraId="5BB65B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当本基金出现巨额赎回情形时，本基金管理人经内部决策后，将运用多种流动性风险管理工具对赎回申请进行适度调整，以应对流动性风险，保护基金份额持有人的利益，包括但不限于：</w:t>
      </w:r>
    </w:p>
    <w:p w14:paraId="7DEDD6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（1）全额赎回；</w:t>
      </w:r>
    </w:p>
    <w:p w14:paraId="2849762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（2）部分延期赎回</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w:t>
      </w:r>
    </w:p>
    <w:p w14:paraId="2545ED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（3）暂停赎回；</w:t>
      </w:r>
    </w:p>
    <w:p w14:paraId="06B78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（4）中国证监会认可的其他措施。</w:t>
      </w:r>
    </w:p>
    <w:p w14:paraId="49BA55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具体措施详见本招募说明书“基金份额的申购与赎回”部分。</w:t>
      </w:r>
    </w:p>
    <w:p w14:paraId="0C6E640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4、实施备用的流动性风险管理工具的情形、程序及对投资者的潜在影响</w:t>
      </w:r>
    </w:p>
    <w:p w14:paraId="0200C65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赎回申请、延缓支付赎回款项、暂停估值、收取短期赎回费、采用摆动定价机制、实施侧袋机制等流动性风险管理工具作为辅助措施。对于各类流动性风险管理工具的使用，基金管理人将对风险进行监测和评估，使用前与基金托管人协商一致。在实际运用各类流动性风险管理工具时，投资者的赎回申请、赎回款项支付等可能受到相应影响，亦有可能承担更高的申购、赎回成本。基金管理人将依照法律法规、基金合同等规定进行操作，保障基金份额持有人的合法权益。</w:t>
      </w:r>
    </w:p>
    <w:p w14:paraId="72C621B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、实施侧袋机制对投资者的影响</w:t>
      </w:r>
    </w:p>
    <w:p w14:paraId="3607699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投资者具体请参见招募说明书“侧袋机制”部分，详细了解本基金侧袋机制的情形及程序。</w:t>
      </w:r>
    </w:p>
    <w:p w14:paraId="556A414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6857644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7BAF2B6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基金管理人将根据主袋账户运作情况合理确定申购政策，因此实施侧袋机制后主袋账户份额存在暂停申购的可能。</w:t>
      </w:r>
    </w:p>
    <w:p w14:paraId="0A20AA9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223D4816">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操作风险</w:t>
      </w:r>
    </w:p>
    <w:p w14:paraId="240336A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相关当事人在业务各环节操作过程中，因内部控制存在缺陷或者人为因素造成操作失误或违反操作规程等引致的风险，例如，越权违规交易、会计部门欺诈、交易错误、IT系统故障等风险。</w:t>
      </w:r>
    </w:p>
    <w:p w14:paraId="2A557E04">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五</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 xml:space="preserve">管理风险 </w:t>
      </w:r>
    </w:p>
    <w:p w14:paraId="2CD019E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在基金管理运作过程中，基金管理人的知识、技能、经验、判断等主观因素会影响其对相关信息和经济形势、证券价格走势的判断，从而影响基金收益水平。</w:t>
      </w:r>
    </w:p>
    <w:p w14:paraId="467E5A1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2、在符合本基金投资理念的新型投资工具出现和发展后，如果投资于这些工具，基金可能会面临一些特殊的风险。</w:t>
      </w:r>
    </w:p>
    <w:p w14:paraId="7853979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3、对主要业务人员如基金经理的依赖可能产生的风险。</w:t>
      </w:r>
    </w:p>
    <w:p w14:paraId="39EAAD1B">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六</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 xml:space="preserve">合规性风险 </w:t>
      </w:r>
    </w:p>
    <w:p w14:paraId="7AFFC26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1、合规风险指基金管理或运作过程中，违反国家法律、法规的规定，或者违反基金合同有关规定的风险。</w:t>
      </w:r>
    </w:p>
    <w:p w14:paraId="40D1718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2、因基金业务快速发展而在制度建设、人员配备、内控制度建立等方面不完善而产生的风险。</w:t>
      </w:r>
    </w:p>
    <w:p w14:paraId="3DFC79B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3、因人为因素而产生的风险，如内幕交易、欺诈行为等产生的风险</w:t>
      </w:r>
      <w:r>
        <w:rPr>
          <w:rFonts w:ascii="Times New Roman" w:hAnsi="Times New Roman" w:eastAsia="宋体" w:cs="Times New Roman"/>
          <w:bCs/>
          <w:sz w:val="24"/>
          <w:szCs w:val="24"/>
        </w:rPr>
        <w:t>。</w:t>
      </w:r>
    </w:p>
    <w:p w14:paraId="19D74EFC">
      <w:pPr>
        <w:spacing w:line="360" w:lineRule="auto"/>
        <w:ind w:firstLine="482" w:firstLineChars="200"/>
        <w:rPr>
          <w:rFonts w:ascii="Times New Roman" w:hAnsi="Times New Roman" w:eastAsia="宋体" w:cs="Times New Roman"/>
          <w:b/>
          <w:bCs/>
          <w:sz w:val="18"/>
          <w:szCs w:val="18"/>
        </w:rPr>
      </w:pPr>
      <w:r>
        <w:rPr>
          <w:rFonts w:hint="eastAsia" w:ascii="Times New Roman" w:hAnsi="Times New Roman" w:eastAsia="宋体" w:cs="Times New Roman"/>
          <w:b/>
          <w:bCs/>
          <w:sz w:val="24"/>
          <w:szCs w:val="24"/>
        </w:rPr>
        <w:t>（七）本基金法律文件风险收益特征表述与销售机构基金风险评价可能不一致的风险</w:t>
      </w:r>
    </w:p>
    <w:p w14:paraId="73FDCE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基金合同、招募说明书等法律文件中涉及基金风险收益特征或风险状况的表述仅为主要基于基金投资方向与策略特点的概括性表述；而本基金各销售机构依据相关法律法规及内部评级标准，将基金产品按照风险由低到高顺序进行风险级别评定划分，其风险评级结果所依据的评价要素可能更多、范围更广，与本基金法律文件中的风险收益特征或风险状况表述并不必然一致或存在对应关系。</w:t>
      </w:r>
    </w:p>
    <w:p w14:paraId="6AEE6E0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同时，不同销售机构因其采取的具体评价标准和方法的差异，对同一产品风险级别的评定也可能各有不同；销售机构还可能根据监管要求、市场变化及基金实际运作情况等适时调整对本基金的风险评级。</w:t>
      </w:r>
    </w:p>
    <w:p w14:paraId="57FF0E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敬请投资者知悉，在购买本基金时按照销售机构的要求完成风险承受能力与产品风险之间的匹配检验，并须及时关注销售机构对于本基金风险评级的调整情况，自主作出投资决策。</w:t>
      </w:r>
    </w:p>
    <w:p w14:paraId="6ECFD140">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（八）基金管理人职责终止风险</w:t>
      </w:r>
    </w:p>
    <w:p w14:paraId="359B7C9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14:paraId="2907558B">
      <w:pPr>
        <w:spacing w:line="360" w:lineRule="auto"/>
        <w:ind w:firstLine="482" w:firstLineChars="200"/>
        <w:rPr>
          <w:rFonts w:ascii="Times New Roman" w:hAnsi="Times New Roman" w:eastAsia="宋体" w:cs="Times New Roman"/>
          <w:bCs/>
          <w:sz w:val="24"/>
          <w:szCs w:val="24"/>
        </w:rPr>
      </w:pP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九</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其他风险</w:t>
      </w:r>
    </w:p>
    <w:p w14:paraId="196981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不可抗力。战争、自然灾害等不可抗力可能导致基金资产的损失，影响基金收益水平，从而带来风险。基金管理人、基金托管人、证券/期货交易所、登记结算机构和销售机构等可能因不可抗力无法正常工作，从而影响基金的各项业务按正常时限完成，使投资人和基金份额持有人无法及时查询权益、进行日常交易以致利益受损。</w:t>
      </w:r>
    </w:p>
    <w:p w14:paraId="7F8D605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技术风险。在本基金的投资、交易、服务与后台运作等业务过程中，可能因为技术系统的故障或者差错而影响交易的正常进行或者导致投资者的利益受到影响。这种技术风险可能来自基金管理人、基金托管人、销售机构、证券/期货交易所、证券/期货登记结算机构等等。</w:t>
      </w:r>
    </w:p>
    <w:p w14:paraId="6DB668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3、金融市场危机、行业竞争、代理商违约、基金托管人违约等超出基金管理人自身直接控制能力之外的风险，也可能导致基金或者基金份额持有人利益受损。</w:t>
      </w:r>
    </w:p>
    <w:p w14:paraId="09C301F6">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二、</w:t>
      </w:r>
      <w:r>
        <w:rPr>
          <w:rFonts w:ascii="宋体" w:hAnsi="宋体" w:eastAsia="宋体" w:cs="Times New Roman"/>
          <w:b/>
          <w:bCs/>
          <w:sz w:val="24"/>
          <w:szCs w:val="24"/>
        </w:rPr>
        <w:t>声明</w:t>
      </w:r>
    </w:p>
    <w:p w14:paraId="192EED3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投资者</w:t>
      </w:r>
      <w:r>
        <w:rPr>
          <w:rFonts w:hint="eastAsia" w:ascii="宋体" w:hAnsi="宋体" w:eastAsia="宋体" w:cs="Times New Roman"/>
          <w:sz w:val="24"/>
          <w:szCs w:val="24"/>
        </w:rPr>
        <w:t>自主</w:t>
      </w:r>
      <w:r>
        <w:rPr>
          <w:rFonts w:ascii="宋体" w:hAnsi="宋体" w:eastAsia="宋体" w:cs="Times New Roman"/>
          <w:sz w:val="24"/>
          <w:szCs w:val="24"/>
        </w:rPr>
        <w:t>投资于本基金，须自行承担投资风险</w:t>
      </w:r>
      <w:r>
        <w:rPr>
          <w:rFonts w:hint="eastAsia" w:ascii="宋体" w:hAnsi="宋体" w:eastAsia="宋体" w:cs="Times New Roman"/>
          <w:sz w:val="24"/>
          <w:szCs w:val="24"/>
        </w:rPr>
        <w:t>。</w:t>
      </w:r>
    </w:p>
    <w:p w14:paraId="38504A2D">
      <w:pPr>
        <w:spacing w:line="360" w:lineRule="auto"/>
        <w:ind w:firstLine="480" w:firstLineChars="200"/>
        <w:rPr>
          <w:rFonts w:ascii="Times New Roman" w:hAnsi="Times New Roman" w:eastAsia="宋体" w:cs="Times New Roman"/>
          <w:bCs/>
          <w:sz w:val="24"/>
          <w:szCs w:val="24"/>
        </w:rPr>
      </w:pPr>
      <w:r>
        <w:rPr>
          <w:rFonts w:hint="eastAsia" w:ascii="宋体" w:hAnsi="宋体" w:eastAsia="宋体" w:cs="Times New Roman"/>
          <w:sz w:val="24"/>
          <w:szCs w:val="24"/>
        </w:rPr>
        <w:t>2、</w:t>
      </w:r>
      <w:r>
        <w:rPr>
          <w:rFonts w:ascii="宋体" w:hAnsi="宋体" w:eastAsia="宋体" w:cs="Times New Roman"/>
          <w:sz w:val="24"/>
          <w:szCs w:val="24"/>
        </w:rPr>
        <w:t>本基金通过基金管理人直销</w:t>
      </w:r>
      <w:r>
        <w:rPr>
          <w:rFonts w:hint="eastAsia" w:ascii="宋体" w:hAnsi="宋体" w:eastAsia="宋体" w:cs="Times New Roman"/>
          <w:sz w:val="24"/>
          <w:szCs w:val="24"/>
        </w:rPr>
        <w:t>机构</w:t>
      </w:r>
      <w:r>
        <w:rPr>
          <w:rFonts w:ascii="宋体" w:hAnsi="宋体" w:eastAsia="宋体" w:cs="Times New Roman"/>
          <w:sz w:val="24"/>
          <w:szCs w:val="24"/>
        </w:rPr>
        <w:t>和指定的</w:t>
      </w:r>
      <w:r>
        <w:rPr>
          <w:rFonts w:hint="eastAsia" w:ascii="宋体" w:hAnsi="宋体" w:eastAsia="宋体" w:cs="Times New Roman"/>
          <w:sz w:val="24"/>
          <w:szCs w:val="24"/>
        </w:rPr>
        <w:t>其他</w:t>
      </w:r>
      <w:r>
        <w:rPr>
          <w:rFonts w:ascii="宋体" w:hAnsi="宋体" w:eastAsia="宋体" w:cs="Times New Roman"/>
          <w:sz w:val="24"/>
          <w:szCs w:val="24"/>
        </w:rPr>
        <w:t>基金销</w:t>
      </w:r>
      <w:r>
        <w:rPr>
          <w:rFonts w:hint="eastAsia" w:ascii="宋体" w:hAnsi="宋体" w:eastAsia="宋体" w:cs="Times New Roman"/>
          <w:sz w:val="24"/>
          <w:szCs w:val="24"/>
        </w:rPr>
        <w:t>售</w:t>
      </w:r>
      <w:r>
        <w:rPr>
          <w:rFonts w:ascii="宋体" w:hAnsi="宋体" w:eastAsia="宋体" w:cs="Times New Roman"/>
          <w:sz w:val="24"/>
          <w:szCs w:val="24"/>
        </w:rPr>
        <w:t>机构公开发售，基金管理人与基金销</w:t>
      </w:r>
      <w:r>
        <w:rPr>
          <w:rFonts w:hint="eastAsia" w:ascii="宋体" w:hAnsi="宋体" w:eastAsia="宋体" w:cs="Times New Roman"/>
          <w:sz w:val="24"/>
          <w:szCs w:val="24"/>
        </w:rPr>
        <w:t>售</w:t>
      </w:r>
      <w:r>
        <w:rPr>
          <w:rFonts w:ascii="宋体" w:hAnsi="宋体" w:eastAsia="宋体" w:cs="Times New Roman"/>
          <w:sz w:val="24"/>
          <w:szCs w:val="24"/>
        </w:rPr>
        <w:t>机构都不保证其收益或本金安全。</w:t>
      </w:r>
    </w:p>
    <w:p w14:paraId="7B3A7457">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r>
        <w:rPr>
          <w:rFonts w:ascii="Times New Roman" w:hAnsi="Times New Roman" w:eastAsia="宋体" w:cs="Times New Roman"/>
          <w:b/>
          <w:kern w:val="44"/>
          <w:sz w:val="24"/>
          <w:szCs w:val="20"/>
        </w:rPr>
        <w:br w:type="page"/>
      </w:r>
      <w:bookmarkStart w:id="138" w:name="_Toc56"/>
      <w:bookmarkStart w:id="139" w:name="_Toc17217"/>
      <w:bookmarkStart w:id="140" w:name="_Toc213077637"/>
      <w:bookmarkStart w:id="141" w:name="_Hlk58005597"/>
      <w:r>
        <w:rPr>
          <w:rFonts w:hint="eastAsia" w:ascii="Times New Roman" w:hAnsi="Times New Roman" w:eastAsia="宋体" w:cs="Times New Roman"/>
          <w:b/>
          <w:kern w:val="0"/>
          <w:sz w:val="32"/>
          <w:szCs w:val="20"/>
        </w:rPr>
        <w:t>第十八部分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基金合同的变更、终止与基金财产的清算</w:t>
      </w:r>
      <w:bookmarkEnd w:id="138"/>
      <w:bookmarkEnd w:id="139"/>
      <w:bookmarkEnd w:id="140"/>
    </w:p>
    <w:p w14:paraId="0C8E1F33">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一、基金合同的变更</w:t>
      </w:r>
    </w:p>
    <w:p w14:paraId="434FA917">
      <w:pPr>
        <w:autoSpaceDE w:val="0"/>
        <w:autoSpaceDN w:val="0"/>
        <w:adjustRightIn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宋体" w:hAnsi="宋体" w:eastAsia="宋体" w:cs="Times New Roman"/>
          <w:bCs/>
          <w:sz w:val="24"/>
          <w:szCs w:val="24"/>
        </w:rPr>
        <w:t>、变更基金合同</w:t>
      </w:r>
      <w:r>
        <w:rPr>
          <w:rFonts w:hint="eastAsia" w:ascii="宋体" w:hAnsi="宋体" w:eastAsia="宋体" w:cs="Times New Roman"/>
          <w:bCs/>
          <w:sz w:val="24"/>
          <w:szCs w:val="24"/>
        </w:rPr>
        <w:t>涉及</w:t>
      </w:r>
      <w:r>
        <w:rPr>
          <w:rFonts w:ascii="宋体" w:hAnsi="宋体" w:eastAsia="宋体" w:cs="Times New Roman"/>
          <w:bCs/>
          <w:sz w:val="24"/>
          <w:szCs w:val="24"/>
        </w:rPr>
        <w:t>法律法规规定或</w:t>
      </w:r>
      <w:r>
        <w:rPr>
          <w:rFonts w:hint="eastAsia" w:ascii="宋体" w:hAnsi="宋体" w:eastAsia="宋体" w:cs="Times New Roman"/>
          <w:bCs/>
          <w:sz w:val="24"/>
          <w:szCs w:val="24"/>
        </w:rPr>
        <w:t>基金</w:t>
      </w:r>
      <w:r>
        <w:rPr>
          <w:rFonts w:ascii="宋体" w:hAnsi="宋体" w:eastAsia="宋体" w:cs="Times New Roman"/>
          <w:bCs/>
          <w:sz w:val="24"/>
          <w:szCs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216AEB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ascii="宋体" w:hAnsi="宋体" w:eastAsia="宋体" w:cs="Times New Roman"/>
          <w:bCs/>
          <w:sz w:val="24"/>
          <w:szCs w:val="24"/>
        </w:rPr>
        <w:t>、关于基金合同变更的基金份额持有人大会决议自生效后方可执行，自决议生效后两日内在规定媒介公告。</w:t>
      </w:r>
    </w:p>
    <w:p w14:paraId="1B39C11B">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二、基金合同的终止事由</w:t>
      </w:r>
    </w:p>
    <w:p w14:paraId="11B1F0BE">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有下列情形之一的，</w:t>
      </w:r>
      <w:r>
        <w:rPr>
          <w:rFonts w:hint="eastAsia" w:ascii="宋体" w:hAnsi="宋体" w:eastAsia="宋体" w:cs="Times New Roman"/>
          <w:bCs/>
          <w:sz w:val="24"/>
          <w:szCs w:val="24"/>
        </w:rPr>
        <w:t>经履行相关程序后，</w:t>
      </w:r>
      <w:r>
        <w:rPr>
          <w:rFonts w:ascii="宋体" w:hAnsi="宋体" w:eastAsia="宋体" w:cs="Times New Roman"/>
          <w:bCs/>
          <w:sz w:val="24"/>
          <w:szCs w:val="24"/>
        </w:rPr>
        <w:t>基金合同应当终止：</w:t>
      </w:r>
    </w:p>
    <w:p w14:paraId="726D6AE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宋体" w:hAnsi="宋体" w:eastAsia="宋体" w:cs="Times New Roman"/>
          <w:bCs/>
          <w:sz w:val="24"/>
          <w:szCs w:val="24"/>
        </w:rPr>
        <w:t>、基金份额持有人大会决定终止的；</w:t>
      </w:r>
    </w:p>
    <w:p w14:paraId="6AAA5357">
      <w:pPr>
        <w:spacing w:line="360" w:lineRule="auto"/>
        <w:ind w:firstLine="480" w:firstLineChars="200"/>
        <w:rPr>
          <w:rFonts w:hint="eastAsia" w:ascii="宋体" w:hAnsi="宋体" w:eastAsia="宋体" w:cs="Times New Roman"/>
          <w:bCs/>
          <w:sz w:val="24"/>
          <w:szCs w:val="24"/>
        </w:rPr>
      </w:pPr>
      <w:r>
        <w:rPr>
          <w:rFonts w:ascii="Times New Roman" w:hAnsi="Times New Roman" w:eastAsia="宋体" w:cs="Times New Roman"/>
          <w:bCs/>
          <w:sz w:val="24"/>
          <w:szCs w:val="24"/>
        </w:rPr>
        <w:t>2</w:t>
      </w:r>
      <w:r>
        <w:rPr>
          <w:rFonts w:ascii="宋体" w:hAnsi="宋体" w:eastAsia="宋体" w:cs="Times New Roman"/>
          <w:bCs/>
          <w:sz w:val="24"/>
          <w:szCs w:val="24"/>
        </w:rPr>
        <w:t>、基金管理人、基金托管人职责终止，在</w:t>
      </w:r>
      <w:r>
        <w:rPr>
          <w:rFonts w:ascii="Times New Roman" w:hAnsi="Times New Roman" w:eastAsia="宋体" w:cs="Times New Roman"/>
          <w:bCs/>
          <w:sz w:val="24"/>
          <w:szCs w:val="24"/>
        </w:rPr>
        <w:t>6</w:t>
      </w:r>
      <w:r>
        <w:rPr>
          <w:rFonts w:ascii="宋体" w:hAnsi="宋体" w:eastAsia="宋体" w:cs="Times New Roman"/>
          <w:bCs/>
          <w:sz w:val="24"/>
          <w:szCs w:val="24"/>
        </w:rPr>
        <w:t>个月内没有新基金管理人、新基金托管人承接的；</w:t>
      </w:r>
    </w:p>
    <w:p w14:paraId="3955F0C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3、基金合同约定的其他情形；</w:t>
      </w:r>
    </w:p>
    <w:p w14:paraId="3102ADD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、相关法律法规和中国证监会规定的其他情况。</w:t>
      </w:r>
    </w:p>
    <w:p w14:paraId="4ED365F2">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三、基金财产的清算</w:t>
      </w:r>
    </w:p>
    <w:p w14:paraId="1EFADD2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1、基金财产清算小组：自出现基金合同终止事由之日起30个工作日内成立基金财产清算小组，基金管理人或临时基金管理人组织基金财产清算小组并在中国证监会的监督下进行基金清算。</w:t>
      </w:r>
    </w:p>
    <w:p w14:paraId="19027AF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0F33CA6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ascii="宋体" w:hAnsi="宋体" w:eastAsia="宋体" w:cs="Times New Roman"/>
          <w:bCs/>
          <w:sz w:val="24"/>
          <w:szCs w:val="24"/>
        </w:rPr>
        <w:t>、基金财产清算小组职责：基金财产清算小组负责基金财产的保管、清理、估价、变现和分配。基金财产清算小组可以依法进行必要的民事活动。</w:t>
      </w:r>
    </w:p>
    <w:p w14:paraId="50E9344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ascii="宋体" w:hAnsi="宋体" w:eastAsia="宋体" w:cs="Times New Roman"/>
          <w:bCs/>
          <w:sz w:val="24"/>
          <w:szCs w:val="24"/>
        </w:rPr>
        <w:t>、基金财产清算程序：</w:t>
      </w:r>
    </w:p>
    <w:p w14:paraId="1D88481D">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1</w:t>
      </w:r>
      <w:r>
        <w:rPr>
          <w:rFonts w:ascii="宋体" w:hAnsi="宋体" w:eastAsia="宋体" w:cs="Times New Roman"/>
          <w:bCs/>
          <w:sz w:val="24"/>
          <w:szCs w:val="24"/>
        </w:rPr>
        <w:t>）基金合同终止情形出现时，由基金财产清算小组统一接管基金</w:t>
      </w:r>
      <w:r>
        <w:rPr>
          <w:rFonts w:hint="eastAsia" w:ascii="宋体" w:hAnsi="宋体" w:eastAsia="宋体" w:cs="Times New Roman"/>
          <w:bCs/>
          <w:sz w:val="24"/>
          <w:szCs w:val="24"/>
        </w:rPr>
        <w:t>财产</w:t>
      </w:r>
      <w:r>
        <w:rPr>
          <w:rFonts w:ascii="宋体" w:hAnsi="宋体" w:eastAsia="宋体" w:cs="Times New Roman"/>
          <w:bCs/>
          <w:sz w:val="24"/>
          <w:szCs w:val="24"/>
        </w:rPr>
        <w:t>；</w:t>
      </w:r>
    </w:p>
    <w:p w14:paraId="104347B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2</w:t>
      </w:r>
      <w:r>
        <w:rPr>
          <w:rFonts w:ascii="宋体" w:hAnsi="宋体" w:eastAsia="宋体" w:cs="Times New Roman"/>
          <w:bCs/>
          <w:sz w:val="24"/>
          <w:szCs w:val="24"/>
        </w:rPr>
        <w:t>）对基金财产和债权债务进行清理和确认；</w:t>
      </w:r>
    </w:p>
    <w:p w14:paraId="002326C1">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3</w:t>
      </w:r>
      <w:r>
        <w:rPr>
          <w:rFonts w:ascii="宋体" w:hAnsi="宋体" w:eastAsia="宋体" w:cs="Times New Roman"/>
          <w:bCs/>
          <w:sz w:val="24"/>
          <w:szCs w:val="24"/>
        </w:rPr>
        <w:t>）对基金财产进行估值和变现；</w:t>
      </w:r>
    </w:p>
    <w:p w14:paraId="5F926379">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4</w:t>
      </w:r>
      <w:r>
        <w:rPr>
          <w:rFonts w:ascii="宋体" w:hAnsi="宋体" w:eastAsia="宋体" w:cs="Times New Roman"/>
          <w:bCs/>
          <w:sz w:val="24"/>
          <w:szCs w:val="24"/>
        </w:rPr>
        <w:t>）制作清算报告；</w:t>
      </w:r>
    </w:p>
    <w:p w14:paraId="0DFEFCFE">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5</w:t>
      </w:r>
      <w:r>
        <w:rPr>
          <w:rFonts w:ascii="宋体" w:hAnsi="宋体" w:eastAsia="宋体" w:cs="Times New Roman"/>
          <w:bCs/>
          <w:sz w:val="24"/>
          <w:szCs w:val="24"/>
        </w:rPr>
        <w:t>）聘请会计师事务所对清算报告进行外部审计，聘请律师事务所对清算报告出具法律意见书；</w:t>
      </w:r>
    </w:p>
    <w:p w14:paraId="0A3C4A95">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6</w:t>
      </w:r>
      <w:r>
        <w:rPr>
          <w:rFonts w:ascii="宋体" w:hAnsi="宋体" w:eastAsia="宋体" w:cs="Times New Roman"/>
          <w:bCs/>
          <w:sz w:val="24"/>
          <w:szCs w:val="24"/>
        </w:rPr>
        <w:t>）将清算报告报中国证监会备案并公告</w:t>
      </w:r>
      <w:r>
        <w:rPr>
          <w:rFonts w:hint="eastAsia" w:ascii="宋体" w:hAnsi="宋体" w:eastAsia="宋体" w:cs="Times New Roman"/>
          <w:bCs/>
          <w:sz w:val="24"/>
          <w:szCs w:val="24"/>
        </w:rPr>
        <w:t>；</w:t>
      </w:r>
    </w:p>
    <w:p w14:paraId="4605F358">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w:t>
      </w:r>
      <w:r>
        <w:rPr>
          <w:rFonts w:ascii="Times New Roman" w:hAnsi="Times New Roman" w:eastAsia="宋体" w:cs="Times New Roman"/>
          <w:bCs/>
          <w:sz w:val="24"/>
          <w:szCs w:val="24"/>
        </w:rPr>
        <w:t>7</w:t>
      </w:r>
      <w:r>
        <w:rPr>
          <w:rFonts w:ascii="宋体" w:hAnsi="宋体" w:eastAsia="宋体" w:cs="Times New Roman"/>
          <w:bCs/>
          <w:sz w:val="24"/>
          <w:szCs w:val="24"/>
        </w:rPr>
        <w:t>）对基金</w:t>
      </w:r>
      <w:r>
        <w:rPr>
          <w:rFonts w:hint="eastAsia" w:ascii="宋体" w:hAnsi="宋体" w:eastAsia="宋体" w:cs="Times New Roman"/>
          <w:bCs/>
          <w:sz w:val="24"/>
          <w:szCs w:val="24"/>
        </w:rPr>
        <w:t>剩余</w:t>
      </w:r>
      <w:r>
        <w:rPr>
          <w:rFonts w:ascii="宋体" w:hAnsi="宋体" w:eastAsia="宋体" w:cs="Times New Roman"/>
          <w:bCs/>
          <w:sz w:val="24"/>
          <w:szCs w:val="24"/>
        </w:rPr>
        <w:t>财产进行分配</w:t>
      </w:r>
      <w:r>
        <w:rPr>
          <w:rFonts w:hint="eastAsia" w:ascii="宋体" w:hAnsi="宋体" w:eastAsia="宋体" w:cs="Times New Roman"/>
          <w:bCs/>
          <w:sz w:val="24"/>
          <w:szCs w:val="24"/>
        </w:rPr>
        <w:t>。</w:t>
      </w:r>
    </w:p>
    <w:p w14:paraId="6D55602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ascii="宋体" w:hAnsi="宋体" w:eastAsia="宋体" w:cs="Times New Roman"/>
          <w:bCs/>
          <w:sz w:val="24"/>
          <w:szCs w:val="24"/>
        </w:rPr>
        <w:t>、基金财产清算的期限为</w:t>
      </w:r>
      <w:r>
        <w:rPr>
          <w:rFonts w:hint="eastAsia" w:ascii="Times New Roman" w:hAnsi="Times New Roman" w:eastAsia="宋体" w:cs="Times New Roman"/>
          <w:bCs/>
          <w:sz w:val="24"/>
          <w:szCs w:val="24"/>
        </w:rPr>
        <w:t>6</w:t>
      </w:r>
      <w:r>
        <w:rPr>
          <w:rFonts w:ascii="宋体" w:hAnsi="宋体" w:eastAsia="宋体" w:cs="Times New Roman"/>
          <w:bCs/>
          <w:sz w:val="24"/>
          <w:szCs w:val="24"/>
        </w:rPr>
        <w:t>个月，但因本基金所持证券的流动性受到限制而不能及时变现的，清算期限相应顺延。</w:t>
      </w:r>
    </w:p>
    <w:p w14:paraId="7F572C5B">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四、清算费用</w:t>
      </w:r>
    </w:p>
    <w:p w14:paraId="4E4D9E10">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清算费用是指基金财产清算小组在进行基金财产清算过程中发生的所有合理费用，清算费用由基金财产清算小组优先从基金</w:t>
      </w:r>
      <w:r>
        <w:rPr>
          <w:rFonts w:hint="eastAsia" w:ascii="宋体" w:hAnsi="宋体" w:eastAsia="宋体" w:cs="Times New Roman"/>
          <w:bCs/>
          <w:sz w:val="24"/>
          <w:szCs w:val="24"/>
        </w:rPr>
        <w:t>剩余</w:t>
      </w:r>
      <w:r>
        <w:rPr>
          <w:rFonts w:ascii="宋体" w:hAnsi="宋体" w:eastAsia="宋体" w:cs="Times New Roman"/>
          <w:bCs/>
          <w:sz w:val="24"/>
          <w:szCs w:val="24"/>
        </w:rPr>
        <w:t>财产中支付。</w:t>
      </w:r>
    </w:p>
    <w:p w14:paraId="12B5A129">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五、基金财产清算剩余资产的分配</w:t>
      </w:r>
    </w:p>
    <w:p w14:paraId="5CF45119">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依据基金财产清算的分配方案，将基金财产清算后的全部剩余资产扣除基金财产清算费用、交纳所欠税款并清偿基金债务后，按基金份额持有人持有的各类基金份额比例进行分配。</w:t>
      </w:r>
    </w:p>
    <w:p w14:paraId="23D8168F">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六、基金财产清算的公告</w:t>
      </w:r>
    </w:p>
    <w:p w14:paraId="33E623B2">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清算过程中的有关重大事项须及时公告；基金财产清算报告经</w:t>
      </w:r>
      <w:r>
        <w:rPr>
          <w:rFonts w:hint="eastAsia" w:ascii="宋体" w:hAnsi="宋体" w:eastAsia="宋体" w:cs="Times New Roman"/>
          <w:bCs/>
          <w:sz w:val="24"/>
          <w:szCs w:val="24"/>
        </w:rPr>
        <w:t>符合《中华人民共和国证券法》规定的</w:t>
      </w:r>
      <w:r>
        <w:rPr>
          <w:rFonts w:ascii="宋体" w:hAnsi="宋体" w:eastAsia="宋体" w:cs="Times New Roman"/>
          <w:bCs/>
          <w:sz w:val="24"/>
          <w:szCs w:val="24"/>
        </w:rPr>
        <w:t>会计师事务所审计并由律师事务所出具法律意见书后</w:t>
      </w:r>
      <w:r>
        <w:rPr>
          <w:rFonts w:hint="eastAsia" w:ascii="宋体" w:hAnsi="宋体" w:eastAsia="宋体" w:cs="Times New Roman"/>
          <w:bCs/>
          <w:sz w:val="24"/>
          <w:szCs w:val="24"/>
        </w:rPr>
        <w:t>，由基金财产清算小组</w:t>
      </w:r>
      <w:r>
        <w:rPr>
          <w:rFonts w:ascii="宋体" w:hAnsi="宋体" w:eastAsia="宋体" w:cs="Times New Roman"/>
          <w:bCs/>
          <w:sz w:val="24"/>
          <w:szCs w:val="24"/>
        </w:rPr>
        <w:t>报中国证监会备案并公告。基金财产清算公告于基金财产清算报告报中国证监会备案后</w:t>
      </w:r>
      <w:r>
        <w:rPr>
          <w:rFonts w:ascii="Times New Roman" w:hAnsi="Times New Roman" w:eastAsia="宋体" w:cs="Times New Roman"/>
          <w:bCs/>
          <w:sz w:val="24"/>
          <w:szCs w:val="24"/>
        </w:rPr>
        <w:t>5</w:t>
      </w:r>
      <w:r>
        <w:rPr>
          <w:rFonts w:ascii="宋体" w:hAnsi="宋体" w:eastAsia="宋体" w:cs="Times New Roman"/>
          <w:bCs/>
          <w:sz w:val="24"/>
          <w:szCs w:val="24"/>
        </w:rPr>
        <w:t>个工作日内由基金财产清算小组进行公告</w:t>
      </w:r>
      <w:r>
        <w:rPr>
          <w:rFonts w:hint="eastAsia" w:ascii="宋体" w:hAnsi="宋体" w:eastAsia="宋体" w:cs="Times New Roman"/>
          <w:bCs/>
          <w:sz w:val="24"/>
          <w:szCs w:val="24"/>
        </w:rPr>
        <w:t>，基金财产清算小组应当将清算报告登载在规定网站上，并将清算报告提示性公告登载在规定报刊上</w:t>
      </w:r>
      <w:r>
        <w:rPr>
          <w:rFonts w:ascii="宋体" w:hAnsi="宋体" w:eastAsia="宋体" w:cs="Times New Roman"/>
          <w:bCs/>
          <w:sz w:val="24"/>
          <w:szCs w:val="24"/>
        </w:rPr>
        <w:t>。</w:t>
      </w:r>
    </w:p>
    <w:p w14:paraId="1EF442E6">
      <w:pPr>
        <w:spacing w:line="360" w:lineRule="auto"/>
        <w:ind w:firstLine="482" w:firstLineChars="200"/>
        <w:rPr>
          <w:rFonts w:ascii="Times New Roman" w:hAnsi="Times New Roman" w:eastAsia="宋体" w:cs="Times New Roman"/>
          <w:b/>
          <w:bCs/>
          <w:sz w:val="24"/>
          <w:szCs w:val="24"/>
        </w:rPr>
      </w:pPr>
      <w:r>
        <w:rPr>
          <w:rFonts w:ascii="宋体" w:hAnsi="宋体" w:eastAsia="宋体" w:cs="Times New Roman"/>
          <w:b/>
          <w:bCs/>
          <w:sz w:val="24"/>
          <w:szCs w:val="24"/>
        </w:rPr>
        <w:t>七、基金财产清算账册及文件的保存</w:t>
      </w:r>
    </w:p>
    <w:p w14:paraId="1BB7463A">
      <w:pPr>
        <w:spacing w:line="360" w:lineRule="auto"/>
        <w:ind w:firstLine="480" w:firstLineChars="200"/>
        <w:rPr>
          <w:rFonts w:ascii="Times New Roman" w:hAnsi="Times New Roman" w:eastAsia="宋体" w:cs="Times New Roman"/>
          <w:bCs/>
          <w:sz w:val="24"/>
          <w:szCs w:val="24"/>
        </w:rPr>
      </w:pPr>
      <w:r>
        <w:rPr>
          <w:rFonts w:ascii="宋体" w:hAnsi="宋体" w:eastAsia="宋体" w:cs="Times New Roman"/>
          <w:bCs/>
          <w:sz w:val="24"/>
          <w:szCs w:val="24"/>
        </w:rPr>
        <w:t>基金财产清算账册及有关文件由基金托管人保存</w:t>
      </w:r>
      <w:r>
        <w:rPr>
          <w:rFonts w:hint="eastAsia" w:ascii="宋体" w:hAnsi="宋体" w:eastAsia="宋体" w:cs="Times New Roman"/>
          <w:bCs/>
          <w:sz w:val="24"/>
          <w:szCs w:val="24"/>
        </w:rPr>
        <w:t>，保存期限不低于法律法规规定的期限。</w:t>
      </w:r>
    </w:p>
    <w:p w14:paraId="610DDC49">
      <w:pPr>
        <w:spacing w:line="360" w:lineRule="auto"/>
        <w:ind w:firstLine="480" w:firstLineChars="200"/>
        <w:rPr>
          <w:rFonts w:ascii="Times New Roman" w:hAnsi="Times New Roman" w:eastAsia="宋体" w:cs="Times New Roman"/>
          <w:bCs/>
          <w:sz w:val="24"/>
          <w:szCs w:val="24"/>
        </w:rPr>
      </w:pPr>
    </w:p>
    <w:p w14:paraId="6BC8C5B7">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r>
        <w:rPr>
          <w:rFonts w:ascii="Times New Roman" w:hAnsi="Times New Roman" w:eastAsia="宋体" w:cs="Times New Roman"/>
          <w:b/>
          <w:bCs/>
          <w:kern w:val="44"/>
          <w:sz w:val="24"/>
          <w:szCs w:val="20"/>
        </w:rPr>
        <w:br w:type="page"/>
      </w:r>
      <w:bookmarkEnd w:id="141"/>
      <w:bookmarkStart w:id="142" w:name="_Toc213077638"/>
      <w:bookmarkStart w:id="143" w:name="_Toc17106"/>
      <w:bookmarkStart w:id="144" w:name="_Toc4610"/>
      <w:r>
        <w:rPr>
          <w:rFonts w:hint="eastAsia" w:ascii="Times New Roman" w:hAnsi="Times New Roman" w:eastAsia="宋体" w:cs="Times New Roman"/>
          <w:b/>
          <w:kern w:val="44"/>
          <w:sz w:val="32"/>
          <w:szCs w:val="20"/>
        </w:rPr>
        <w:t>第十九部分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基金合同的内容摘要</w:t>
      </w:r>
      <w:bookmarkEnd w:id="142"/>
      <w:bookmarkEnd w:id="143"/>
      <w:bookmarkEnd w:id="144"/>
    </w:p>
    <w:p w14:paraId="1055FE96">
      <w:pPr>
        <w:spacing w:line="360" w:lineRule="auto"/>
        <w:ind w:firstLine="482" w:firstLineChars="200"/>
        <w:rPr>
          <w:rFonts w:ascii="Times New Roman" w:hAnsi="Times New Roman" w:eastAsia="宋体" w:cs="Times New Roman"/>
          <w:b/>
          <w:sz w:val="24"/>
          <w:szCs w:val="24"/>
        </w:rPr>
      </w:pPr>
      <w:bookmarkStart w:id="145" w:name="OLE_LINK78"/>
      <w:bookmarkStart w:id="146" w:name="OLE_LINK77"/>
      <w:r>
        <w:rPr>
          <w:rFonts w:ascii="Times New Roman" w:hAnsi="Times New Roman" w:eastAsia="宋体" w:cs="Times New Roman"/>
          <w:b/>
          <w:sz w:val="24"/>
          <w:szCs w:val="24"/>
        </w:rPr>
        <w:t>一、基金份额持有人、基金管理人和基金托管人的权利与义务</w:t>
      </w:r>
    </w:p>
    <w:p w14:paraId="4E1472C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（一）基金份额持有人的权利与义务</w:t>
      </w:r>
    </w:p>
    <w:p w14:paraId="0183C4D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3723145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除法律法规另有规定或基金合同另有约定外，同一类别每份基金份额具有同等的合法权益。</w:t>
      </w:r>
    </w:p>
    <w:p w14:paraId="57D03C3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1、根据《基金法》、《运作办法》及其他有关规定，基金份额持有人的权利包括但不限于：</w:t>
      </w:r>
    </w:p>
    <w:p w14:paraId="6AA259B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（1）分享基金财产收益；</w:t>
      </w:r>
    </w:p>
    <w:p w14:paraId="71590F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（2）参与分配清算后的剩余基金财产；</w:t>
      </w:r>
    </w:p>
    <w:p w14:paraId="00AD224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（3）依法转让或申请赎回其持有的基金份额；</w:t>
      </w:r>
    </w:p>
    <w:p w14:paraId="0D08592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（4）按照规定要求召开基金份额持有人大会或者召集基金份额持有人大会；</w:t>
      </w:r>
    </w:p>
    <w:p w14:paraId="14510D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（5）出席或者委派代表出席基金份额持有人大会，对基金份额持有人大会审议事项行使表决权；</w:t>
      </w:r>
    </w:p>
    <w:p w14:paraId="048C492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（6）查阅或者复制公开披露的基金信息资料；</w:t>
      </w:r>
    </w:p>
    <w:p w14:paraId="14DE67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（7）监督基金管理人的投资运作；</w:t>
      </w:r>
    </w:p>
    <w:p w14:paraId="333AEF4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（8）对基金管理人、基金托管人、基金服务机构损害其合法权益的行为依法提起诉讼或仲裁；</w:t>
      </w:r>
    </w:p>
    <w:p w14:paraId="76FB7B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（9）法律法规及中国证监会规定的和基金合同约定的其他权利。</w:t>
      </w:r>
    </w:p>
    <w:p w14:paraId="28ABD5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2、根据《基金法》、《运作办法》及其他有关规定，基金份额持有人的义务包括但不限于：</w:t>
      </w:r>
    </w:p>
    <w:p w14:paraId="6329C3B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（1）认真阅读并遵守基金合同、招募说明书、基金产品资料概要等信息披露文件；</w:t>
      </w:r>
    </w:p>
    <w:p w14:paraId="54475E1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（2）了解所投资基金产品，了解自身风险承受能力，自主判断基金的投资价值，自主做出投资决策，自行承担投资风险；</w:t>
      </w:r>
    </w:p>
    <w:p w14:paraId="50F15AD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（3）关注基金信息披露，及时行使权利和履行义务；</w:t>
      </w:r>
    </w:p>
    <w:p w14:paraId="5635E22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（4）交纳基金认购、申购款项及法律法规和基金合同所规定的费用；</w:t>
      </w:r>
    </w:p>
    <w:p w14:paraId="6C33123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（5）在其持有的基金份额范围内，承担基金亏损或者基金合同终止的有限责任；</w:t>
      </w:r>
    </w:p>
    <w:p w14:paraId="7E4FC74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（6）不从事任何有损基金及其他基金合同当事人合法权益的活动；</w:t>
      </w:r>
    </w:p>
    <w:p w14:paraId="559E2C6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（7）执行生效的基金份额持有人大会的决议；</w:t>
      </w:r>
    </w:p>
    <w:p w14:paraId="3019DA8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（8）返还在基金交易过程中因任何原因获得的不当得利；</w:t>
      </w:r>
    </w:p>
    <w:p w14:paraId="0E27A36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（9）法律法规及中国证监会规定的和基金合同约定的其他义务。</w:t>
      </w:r>
      <w:bookmarkStart w:id="147" w:name="_Hlt88825574"/>
      <w:bookmarkEnd w:id="147"/>
    </w:p>
    <w:p w14:paraId="21B4053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（二）基金管理人的权利与义务</w:t>
      </w:r>
    </w:p>
    <w:p w14:paraId="12394A0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1、根据《基金法》、《运作办法》及其他有关规定，基金管理人的权利包括但不限于：</w:t>
      </w:r>
    </w:p>
    <w:p w14:paraId="3AD8CA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（1）依法募集资金；</w:t>
      </w:r>
    </w:p>
    <w:p w14:paraId="29D2DFF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（2）自基金合同生效之日起，根据法律法规和基金合同独立运用并管理基金财产；</w:t>
      </w:r>
    </w:p>
    <w:p w14:paraId="19E62EB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（3）依照基金合同收取基金管理费以及法律法规规定或中国证监会批准的其他费用；</w:t>
      </w:r>
    </w:p>
    <w:p w14:paraId="2E9A05B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（4）销售基金份额；</w:t>
      </w:r>
    </w:p>
    <w:p w14:paraId="65DAB1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（5）按照规定召集基金份额持有人大会；</w:t>
      </w:r>
    </w:p>
    <w:p w14:paraId="11C7ED1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3DDF2DE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（7）在基金托管人更换时，提名新的基金托管人；</w:t>
      </w:r>
    </w:p>
    <w:p w14:paraId="35F0A04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（8）选择、更换基金销售机构，对基金销售机构的相关行为进行监督和处理；</w:t>
      </w:r>
    </w:p>
    <w:p w14:paraId="6B41A7D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（9）担任或委托其他符合条件的机构担任基金登记机构办理基金登记业务并获得基金合同规定的费用；</w:t>
      </w:r>
    </w:p>
    <w:p w14:paraId="50D00F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（10）依据基金合同及有关法律规定决定基金收益的分配方案；</w:t>
      </w:r>
    </w:p>
    <w:p w14:paraId="59002C5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（11）在基金合同约定的范围内，拒绝或暂停受理申购、赎回或转换申请；</w:t>
      </w:r>
    </w:p>
    <w:p w14:paraId="76B23B1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12）依照法律法规为基金的利益对被投资公司行使股东权利，为基金的利益行使因基金财产投资于证券、基金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p>
    <w:p w14:paraId="2E916B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（13）在法律法规允许的前提下，为基金的利益依法为基金进行融资；</w:t>
      </w:r>
    </w:p>
    <w:p w14:paraId="1BE607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（14）以基金管理人的名义，代表基金份额持有人的利益行使诉讼权利或者实施其他法律行为；</w:t>
      </w:r>
    </w:p>
    <w:p w14:paraId="62C3B0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（15）选择、更换律师事务所、会计师事务所、证券、期货经纪机构或其他为基金提供服务的外部机构；</w:t>
      </w:r>
    </w:p>
    <w:p w14:paraId="085DE6F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（16）在符合有关法律、法规的前提下，制订和调整有关基金认购、申购、赎回、转换、非交易过户、转托管、定期定额投资、收益分配等业务规则；</w:t>
      </w:r>
    </w:p>
    <w:p w14:paraId="15717C5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（17）法律法规及中国证监会规定的和基金合同约定的其他权利。</w:t>
      </w:r>
    </w:p>
    <w:p w14:paraId="3DBB4EA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2、根据《基金法》、《运作办法》及其他有关规定，基金管理人的义务包括但不限于：</w:t>
      </w:r>
    </w:p>
    <w:p w14:paraId="55C50F9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（1）依法募集资金，办理或者委托经中国证监会认定的其他机构代为办理基金份额的发售、申购、赎回和登记事宜；</w:t>
      </w:r>
    </w:p>
    <w:p w14:paraId="03F50E0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（2）办理基金备案手续；</w:t>
      </w:r>
    </w:p>
    <w:p w14:paraId="6B27A5B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（3）自基金合同生效之日起，以诚实信用、谨慎勤勉的原则管理和运用基金财产；</w:t>
      </w:r>
    </w:p>
    <w:p w14:paraId="6B0C42E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（4）配备足够的具有专业资格的人员进行基金投资分析、决策，以专业化的经营方式管理和运作基金财产；</w:t>
      </w:r>
    </w:p>
    <w:p w14:paraId="506F7C6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（5）建立健全内部风险控制、监察与稽核、财务管理及人事管理等制度，保证所管理的基金财产和基金管理人的财产相互独立，对所管理的不同基金分别管理，分别记账，进行证券、基金投资；</w:t>
      </w:r>
    </w:p>
    <w:p w14:paraId="60041ED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（6）除依据《基金法》、基金合同及其他有关规定外，不得利用基金财产为自己及任何第三人谋取利益，不得委托第三人运作基金财产；</w:t>
      </w:r>
    </w:p>
    <w:p w14:paraId="1920B48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（7）依法接受基金托管人的监督；</w:t>
      </w:r>
    </w:p>
    <w:p w14:paraId="16BAEB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（8）采取适当合理的措施使计算基金份额认购、申购、赎回和注销价格的方法符合基金合同等法律文件的规定，按有关规定计算并公告基金净值信息，确定基金份额申购、赎回的价格；</w:t>
      </w:r>
    </w:p>
    <w:p w14:paraId="1BD902A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（9）进行基金会计核算并编制基金财务会计报告；</w:t>
      </w:r>
    </w:p>
    <w:p w14:paraId="6F48B1B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（10）编制季度报告、中期报告和年度报告；</w:t>
      </w:r>
    </w:p>
    <w:p w14:paraId="52D59D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（11）严格按照《基金法》、基金合同及其他有关规定，履行信息披露及报告义务；</w:t>
      </w:r>
    </w:p>
    <w:p w14:paraId="67F60B8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12）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14:paraId="652623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（13）按基金合同的约定确定基金收益分配方案，及时向基金份额持有人分配基金收益；</w:t>
      </w:r>
    </w:p>
    <w:p w14:paraId="033261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（14）按规定受理申购与赎回申请，及时、足额支付赎回款项；</w:t>
      </w:r>
    </w:p>
    <w:p w14:paraId="3EDB44C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（15）依据《基金法》、基金合同及其他有关规定召集基金份额持有人大会或配合基金托管人、基金份额持有人依法召集基金份额持有人大会；</w:t>
      </w:r>
    </w:p>
    <w:p w14:paraId="7CE97E7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（16）按规定保存基金财产管理业务活动的会计账册、报表、记录和其他相关资料，保存时间不低于法律法规的规定；</w:t>
      </w:r>
    </w:p>
    <w:p w14:paraId="24A4E68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52DBB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（18）组织并参加基金财产清算小组，参与基金财产的保管、清理、估价、变现和分配；</w:t>
      </w:r>
    </w:p>
    <w:p w14:paraId="2675E5D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（19）面临解散、依法被撤销或者被依法宣告破产时，及时报告中国证监会并通知基金托管人；</w:t>
      </w:r>
    </w:p>
    <w:p w14:paraId="13FF1D2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（20）因违反基金合同导致基金财产的损失或损害基金份额持有人合法权益时，应当承担赔偿责任，其赔偿责任不因其退任而免除；</w:t>
      </w:r>
    </w:p>
    <w:p w14:paraId="3D0F50C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（21）监督基金托管人按法律法规和基金合同规定履行自己的义务，基金托管人违反基金合同造成基金财产损失时，基金管理人应为基金份额持有人利益向基金托管人追偿；</w:t>
      </w:r>
    </w:p>
    <w:p w14:paraId="0F9A4DF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（22）当基金管理人将其义务委托第三方处理时，应当对第三方处理有关基金事务的行为承担责任；</w:t>
      </w:r>
    </w:p>
    <w:p w14:paraId="2DAEB42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（23）以基金管理人名义，代表基金份额持有人利益行使诉讼权利或实施其他法律行为；</w:t>
      </w:r>
    </w:p>
    <w:p w14:paraId="2241524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3EFEEE3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（25）执行生效的基金份额持有人大会的决议；</w:t>
      </w:r>
    </w:p>
    <w:p w14:paraId="5504E40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（26）建立并保存基金份额持有人名册；</w:t>
      </w:r>
    </w:p>
    <w:p w14:paraId="37ACE80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（27）法律法规及中国证监会规定的和基金合同约定的其他义务。</w:t>
      </w:r>
      <w:bookmarkStart w:id="148" w:name="_Hlt88897298"/>
      <w:bookmarkEnd w:id="148"/>
    </w:p>
    <w:p w14:paraId="7F4DA483">
      <w:pPr>
        <w:spacing w:line="360" w:lineRule="auto"/>
        <w:ind w:firstLine="480" w:firstLineChars="200"/>
        <w:rPr>
          <w:rFonts w:ascii="Times New Roman" w:hAnsi="Times New Roman" w:eastAsia="宋体" w:cs="Times New Roman"/>
          <w:bCs/>
          <w:sz w:val="24"/>
          <w:szCs w:val="24"/>
        </w:rPr>
      </w:pPr>
      <w:bookmarkStart w:id="149" w:name="_Toc15118240"/>
      <w:r>
        <w:rPr>
          <w:rFonts w:ascii="Times New Roman" w:hAnsi="Times New Roman" w:eastAsia="宋体" w:cs="Times New Roman"/>
          <w:bCs/>
          <w:sz w:val="24"/>
          <w:szCs w:val="24"/>
        </w:rPr>
        <w:t>（三）基金托管人的权利与义务</w:t>
      </w:r>
      <w:bookmarkEnd w:id="149"/>
    </w:p>
    <w:p w14:paraId="60AD25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1、根据《基金法》、《运作办法》及其他有关规定，基金托管人的权利包括但不限于：</w:t>
      </w:r>
    </w:p>
    <w:p w14:paraId="6D7A3B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（1）自基金合同生效之日起，依法律法规和基金合同的规定安全保管基金财产；</w:t>
      </w:r>
    </w:p>
    <w:p w14:paraId="053BFE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（2）依基金合同约定获得基金托管费以及法律法规规定或监管部门批准的其他费用；</w:t>
      </w:r>
    </w:p>
    <w:p w14:paraId="699277A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3065A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（4）根据相关市场规则，为基金开设资金账户、证券账户等投资所需账户，为基金办理证券、基金交易资金清算；</w:t>
      </w:r>
    </w:p>
    <w:p w14:paraId="15B8962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（5）提议召开或召集基金份额持有人大会；</w:t>
      </w:r>
    </w:p>
    <w:p w14:paraId="65647D2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（6）在基金管理人更换时，提名新的基金管理人；</w:t>
      </w:r>
    </w:p>
    <w:p w14:paraId="5B22231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（7）法律法规及中国证监会规定的和基金合同约定的其他权利。</w:t>
      </w:r>
    </w:p>
    <w:p w14:paraId="47A95F6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2、根据《基金法》、《运作办法》及其他有关规定，基金托管人的义务包括但不限于：</w:t>
      </w:r>
    </w:p>
    <w:p w14:paraId="47BEE7A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（1）以诚实信用、勤勉尽责的原则持有并安全保管基金财产；</w:t>
      </w:r>
    </w:p>
    <w:p w14:paraId="01C9288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（2）设立专门的基金托管部门，具有符合要求的营业场所，配备足够的、合格的熟悉基金托管业务的专职人员，负责基金财产托管事宜；</w:t>
      </w:r>
    </w:p>
    <w:p w14:paraId="1D25052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044A7C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（4）除依据《基金法》、基金合同及其他有关规定外，不得利用基金财产为自己及任何第三人谋取利益，不得委托第三人托管基金财产；</w:t>
      </w:r>
    </w:p>
    <w:p w14:paraId="54E4732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（5）保管由基金管理人代表基金签订的与基金有关的重大合同及有关凭证；</w:t>
      </w:r>
    </w:p>
    <w:p w14:paraId="5B216E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（6）按规定开设基金财产的资金账户和证券账户等投资所需账户，按照基金合同的约定，根据基金管理人的投资指令，及时办理清算、交割事宜；</w:t>
      </w:r>
    </w:p>
    <w:p w14:paraId="2C9B5F4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保守基金商业秘密，除《基金法》、基金合同及其他有关规定另有规定外，在基金信息公开披露前予以保密，不得向他人泄露，但向监管机构、司法机关等有权机关提供，或因审计、法律等外部专业顾问要求提供的情况除外；</w:t>
      </w:r>
    </w:p>
    <w:p w14:paraId="5FA326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（8）复核、审查基金管理人计算的基金资产净值、各类基金份额净值、基金份额申购、赎回价格；</w:t>
      </w:r>
    </w:p>
    <w:p w14:paraId="10FF17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（9）办理与基金托管业务活动有关的信息披露事项；</w:t>
      </w:r>
    </w:p>
    <w:p w14:paraId="25394B2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206148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（11）保存基金托管业务活动的记录、账册、报表和其他相关资料，保存期限不少于法律法规的规定；</w:t>
      </w:r>
    </w:p>
    <w:p w14:paraId="5E4F54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（12）从基金管理人或其委托的登记机构处接收并保存基金份额持有人名册；</w:t>
      </w:r>
    </w:p>
    <w:p w14:paraId="245DB60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（13）按规定制作相关账册并与基金管理人核对；</w:t>
      </w:r>
    </w:p>
    <w:p w14:paraId="3A1C85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（14）依据基金管理人的指令或有关规定向基金份额持有人支付基金收益和赎回款项；</w:t>
      </w:r>
    </w:p>
    <w:p w14:paraId="733E501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（15）依据《基金法》、基金合同及其他有关规定，召集基金份额持有人大会或配合基金管理人、基金份额持有人依法召集基金份额持有人大会；</w:t>
      </w:r>
    </w:p>
    <w:p w14:paraId="389378D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（16）按照法律法规和基金合同的规定监督基金管理人的投资运作；</w:t>
      </w:r>
    </w:p>
    <w:p w14:paraId="0C8ECA8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（17）参加基金财产清算小组，参与基金财产的保管、清理、估价、变现和分配；</w:t>
      </w:r>
    </w:p>
    <w:p w14:paraId="5CFBBC3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（18）面临解散、依法被撤销或者被依法宣告破产时，及时报告中国证监会和银行业监督管理机构，并通知基金管理人；</w:t>
      </w:r>
    </w:p>
    <w:p w14:paraId="40712FE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（19）因违反基金合同导致基金财产损失时，应承担赔偿责任，其赔偿责任不因其退任而免除；</w:t>
      </w:r>
    </w:p>
    <w:p w14:paraId="514860A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（20）按规定监督基金管理人按法律法规和基金合同规定履行自己的义务，基金管理人因违反基金合同造成基金财产损失时，应为基金份额持有人利益向基金管理人追偿；</w:t>
      </w:r>
    </w:p>
    <w:p w14:paraId="60B1B4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（21）执行生效的基金份额持有人大会的决议；</w:t>
      </w:r>
    </w:p>
    <w:p w14:paraId="1C76A70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（22）法律法规及中国证监会规定的和基金合同约定的其他义务。</w:t>
      </w:r>
      <w:bookmarkStart w:id="150" w:name="_Toc523711670"/>
    </w:p>
    <w:bookmarkEnd w:id="150"/>
    <w:p w14:paraId="0EF2F44A">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二、基金份额持有人大会召集、议事及表决的程序和规则</w:t>
      </w:r>
    </w:p>
    <w:p w14:paraId="1992839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24CE0C7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本基金基金份额持有人大会不设日常机构。若未来本基金基金份额持有人大会成立日常机构，则按照届时有效的法律法规的规定执行。</w:t>
      </w:r>
    </w:p>
    <w:p w14:paraId="0FC22E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（一）召开事由</w:t>
      </w:r>
    </w:p>
    <w:p w14:paraId="2771EC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1、除法律法规、监管机构另有规定或基金合同另有约定的，当出现或需要决定下列事由之一的，应当召开基金份额持有人大会：</w:t>
      </w:r>
    </w:p>
    <w:p w14:paraId="589581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（1）终止基金合同；</w:t>
      </w:r>
    </w:p>
    <w:p w14:paraId="7A8BA6B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（2）更换基金管理人；</w:t>
      </w:r>
    </w:p>
    <w:p w14:paraId="5A86FA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（3）更换基金托管人；</w:t>
      </w:r>
    </w:p>
    <w:p w14:paraId="0755C83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（4）转换基金运作方式；</w:t>
      </w:r>
    </w:p>
    <w:p w14:paraId="00EDD5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（5）调整基金管理人、基金托管人的报酬标准或提高销售服务费率；</w:t>
      </w:r>
    </w:p>
    <w:p w14:paraId="3F13E22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（6）变更基金类别；</w:t>
      </w:r>
    </w:p>
    <w:p w14:paraId="78D7474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（7）本基金与其他基金的合并；</w:t>
      </w:r>
    </w:p>
    <w:p w14:paraId="75D78A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（8）变更基金投资目标、范围或策略；</w:t>
      </w:r>
    </w:p>
    <w:p w14:paraId="68F8744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（9）变更基金份额持有人大会程序；</w:t>
      </w:r>
    </w:p>
    <w:p w14:paraId="1E9239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（10）基金管理人或基金托管人要求召开基金份额持有人大会；</w:t>
      </w:r>
    </w:p>
    <w:p w14:paraId="6AC38EB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（11）单独或合计持有本基金总份额10%以上（含10%）基金份额的基金份额持有人（以基金管理人收到提议当日的基金份额计算，下同）就同一事项书面要求召开基金份额持有人大会；</w:t>
      </w:r>
    </w:p>
    <w:p w14:paraId="6B479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（12）对基金合同当事人权利和义务产生重大影响的其他事项；</w:t>
      </w:r>
    </w:p>
    <w:p w14:paraId="338E8FC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（13）法律法规、基金合同或中国证监会规定的其他应当召开基金份额持有人大会的事项。</w:t>
      </w:r>
    </w:p>
    <w:p w14:paraId="7F2EEFC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46B0A1D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（1）法律法规要求增加的基金费用的收取；</w:t>
      </w:r>
    </w:p>
    <w:p w14:paraId="013EAB1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（2）调整本基金的申购费率、调低销售服务费率或者变更收费方式；</w:t>
      </w:r>
    </w:p>
    <w:p w14:paraId="5C35C1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（3）调整基金份额类别的设置，或对基金份额分类办法及规则进行调整；</w:t>
      </w:r>
    </w:p>
    <w:p w14:paraId="1540F44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（4）因相应的法律法规发生变动而应当对基金合同进行修改；</w:t>
      </w:r>
    </w:p>
    <w:p w14:paraId="77E822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（5）对基金合同的修改对基金份额持有人利益无实质性不利影响或修改不涉及基金合同当事人权利义务关系发生重大变化；</w:t>
      </w:r>
    </w:p>
    <w:p w14:paraId="1F8753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（6）经履行适当程序后，基金推出新业务或服务；</w:t>
      </w:r>
    </w:p>
    <w:p w14:paraId="25A3598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（7）基金管理人、基金登记机构在法律法规规定或中国证监会许可的范围内调整或修改《业务规则》，包括但不限于有关基金认购、申购、赎回、转换、定期定额投资、基金交易、非交易过户、转托管等内容；</w:t>
      </w:r>
    </w:p>
    <w:p w14:paraId="06D6AC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在遵循本基金份额持有人利益优先原则的前提下，基金管理人代表本基金份额持有人的利益参与本基金所持有基金的基金份额持有人大会并行使相关的投票权利；或代表本基金的基金份额持有人提议召开或召集本基金所持基金的基金份额持有人大会；</w:t>
      </w:r>
    </w:p>
    <w:p w14:paraId="06AED6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（9）按照法律法规和基金合同规定不需召开基金份额持有人大会的其他情形。</w:t>
      </w:r>
    </w:p>
    <w:p w14:paraId="7C6BB91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（二）会议召集人及召集方式</w:t>
      </w:r>
    </w:p>
    <w:p w14:paraId="4BA9B8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1、除法律法规规定或基金合同另有约定外，基金份额持有人大会由基金管理人召集。</w:t>
      </w:r>
    </w:p>
    <w:p w14:paraId="491E73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2、基金管理人未按规定召集或不能召集时，由基金托管人召集。</w:t>
      </w:r>
    </w:p>
    <w:p w14:paraId="3037629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7CF2C7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1EA1F6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DC4BA5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6、基金份额持有人会议的召集人负责选择确定开会时间、地点、方式和权益登记日。</w:t>
      </w:r>
    </w:p>
    <w:p w14:paraId="0F2E883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（三）召开基金份额持有人大会的通知时间、通知内容、通知方式</w:t>
      </w:r>
    </w:p>
    <w:p w14:paraId="072C2D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1、召开基金份额持有人大会，召集人应于会议召开前30日，在规定媒介公告。基金份额持有人大会通知应至少载明以下内容：</w:t>
      </w:r>
    </w:p>
    <w:p w14:paraId="44E7BA7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（1）会议召开的时间、地点和会议形式；</w:t>
      </w:r>
    </w:p>
    <w:p w14:paraId="08E86E6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（2）会议拟审议的事项、议事程序和表决方式；</w:t>
      </w:r>
    </w:p>
    <w:p w14:paraId="57DF0CE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（3）有权出席基金份额持有人大会的基金份额持有人的权益登记日；</w:t>
      </w:r>
    </w:p>
    <w:p w14:paraId="22FDC9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（4）授权委托证明的内容要求（包括但不限于代理人身份，代理权限和代理有效期限等）、送达时间和地点；</w:t>
      </w:r>
    </w:p>
    <w:p w14:paraId="7D2696C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（5）会务常设联系人姓名及联系电话；</w:t>
      </w:r>
    </w:p>
    <w:p w14:paraId="4C72FAC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（6）出席会议者必须准备的文件和必须履行的手续；</w:t>
      </w:r>
    </w:p>
    <w:p w14:paraId="720B7D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（7）召集人需要通知的其他事项。</w:t>
      </w:r>
    </w:p>
    <w:p w14:paraId="3DE7308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93E082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BCBC13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（四）基金份额持有人出席会议的方式</w:t>
      </w:r>
    </w:p>
    <w:p w14:paraId="22BF6CC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基金份额持有人大会可通过现场开会方式、通讯开会方式或法律法规和监管机构允许的其他方式召开，会议的召开方式由会议召集人确定。</w:t>
      </w:r>
    </w:p>
    <w:p w14:paraId="24BC47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606A7A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85BD65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639B0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14:paraId="4E45433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在同时符合以下条件时，通讯开会的方式视为有效：</w:t>
      </w:r>
    </w:p>
    <w:p w14:paraId="5230B45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（1）会议召集人按基金合同约定公布会议通知后，在2个工作日内连续公布相关提示性公告；</w:t>
      </w:r>
    </w:p>
    <w:p w14:paraId="3183C7F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79A744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6B6C31D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0C1FC9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3、在法律法规和监管机构允许的情况下，本基金的基金份额持有人亦可采用其他书面或非书面方式授权其代理人出席基金份额持有人大会并行使表决权，具体方式在会议通知中列明。</w:t>
      </w:r>
    </w:p>
    <w:p w14:paraId="1D034E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2EDE9F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（五）议事内容与程序</w:t>
      </w:r>
    </w:p>
    <w:p w14:paraId="1C3555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1、议事内容及提案权</w:t>
      </w:r>
    </w:p>
    <w:p w14:paraId="4510FB1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77D31C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基金份额持有人大会的召集人发出召集会议的通知后，对原有提案的修改应当在基金份额持有人大会召开前及时公告。</w:t>
      </w:r>
    </w:p>
    <w:p w14:paraId="58EAFD9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基金份额持有人大会不得对未事先公告的议事内容进行表决。</w:t>
      </w:r>
    </w:p>
    <w:p w14:paraId="4A0ED44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2、议事程序</w:t>
      </w:r>
    </w:p>
    <w:p w14:paraId="35F2ACD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（1）现场开会</w:t>
      </w:r>
    </w:p>
    <w:p w14:paraId="39DE8AE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98399F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38B718C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（2）通讯开会</w:t>
      </w:r>
    </w:p>
    <w:p w14:paraId="633DBDD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在通讯开会的情况下，首先由召集人提前30日公布提案，在所通知的表决截止日期后2个工作日内在公证机关监督下由召集人统计全部有效表决，在公证机关监督下形成决议。</w:t>
      </w:r>
    </w:p>
    <w:p w14:paraId="52A9BCF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（六）表决</w:t>
      </w:r>
    </w:p>
    <w:p w14:paraId="54C46A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基金份额持有人所持每份基金份额有一票表决权。</w:t>
      </w:r>
    </w:p>
    <w:p w14:paraId="0E2A8E5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基金份额持有人大会决议分为一般决议和特别决议：</w:t>
      </w:r>
    </w:p>
    <w:p w14:paraId="11A2ECA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25DAF1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4F12D8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基金份额持有人大会采取记名方式进行投票表决。</w:t>
      </w:r>
    </w:p>
    <w:p w14:paraId="2114FD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D5A8C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基金份额持有人大会的各项提案或同一项提案内并列的各项议题应当分开审议、逐项表决。</w:t>
      </w:r>
    </w:p>
    <w:p w14:paraId="55CA065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在符合上述规则的前提下，具体规则以召集人发布的基金份额持有人大会通知为准。</w:t>
      </w:r>
    </w:p>
    <w:p w14:paraId="4262222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（七）计票</w:t>
      </w:r>
    </w:p>
    <w:p w14:paraId="49C517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1、现场开会</w:t>
      </w:r>
    </w:p>
    <w:p w14:paraId="2919A70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828800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（2）监票人应当在基金份额持有人表决后立即进行清点并由大会主持人当场公布计票结果。</w:t>
      </w:r>
    </w:p>
    <w:p w14:paraId="24C5060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5861B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（4）计票过程应由公证机关予以公证，基金管理人或基金托管人拒不出席大会的，不影响计票的效力。</w:t>
      </w:r>
    </w:p>
    <w:p w14:paraId="74E0BED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2、通讯开会</w:t>
      </w:r>
    </w:p>
    <w:p w14:paraId="6D056B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3FE1A1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（八）生效与公告</w:t>
      </w:r>
    </w:p>
    <w:p w14:paraId="463C874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基金份额持有人大会的决议，召集人应当自通过之日起5日内报中国证监会备案。</w:t>
      </w:r>
    </w:p>
    <w:p w14:paraId="1B1F7AB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基金份额持有人大会的决议自表决通过之日起生效。</w:t>
      </w:r>
    </w:p>
    <w:p w14:paraId="21B3FE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基金份额持有人大会决议自生效之日起2日内在规定媒介上公告。</w:t>
      </w:r>
    </w:p>
    <w:p w14:paraId="113DE2C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08F827F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九）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14:paraId="4C679EC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遵循本基金基金份额持有人利益优先原则的前提下，本基金的基金管理人可代表本基金的基金份额持有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法律法规或监管部门另有规定的从其规定。</w:t>
      </w:r>
    </w:p>
    <w:p w14:paraId="0E32B5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（十）实施侧袋机制期间基金份额持有人大会的特殊约定</w:t>
      </w:r>
    </w:p>
    <w:p w14:paraId="4A793A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7B9D9B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1、基金份额持有人行使提议权、召集权、提名权所需单独或合计代表相关基金份额10%以上（含10%）；</w:t>
      </w:r>
    </w:p>
    <w:p w14:paraId="1FE1331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2、现场开会的到会者在权益登记日代表的基金份额不少于本基金在权益登记日相关基金份额的二分之一（含二分之一）；</w:t>
      </w:r>
    </w:p>
    <w:p w14:paraId="1D72DB3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3、通讯开会的直接出具表决意见或授权他人代表出具表决意见的基金份额持有人所持有的基金份额不小于在权益登记日相关基金份额的二分之一（含二分之一）；</w:t>
      </w:r>
    </w:p>
    <w:p w14:paraId="5A51AF1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AB6EF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5、现场开会由出席大会的基金份额持有人和代理人所持表决权的二分之一以上（含二分之一）选举产生一名基金份额持有人作为该次基金份额持有人大会的主持人；</w:t>
      </w:r>
    </w:p>
    <w:p w14:paraId="271B76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6、一般决议须经参加大会的基金份额持有人或其代理人所持表决权的二分之一以上（含二分之一）通过；</w:t>
      </w:r>
    </w:p>
    <w:p w14:paraId="638F88D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7、特别决议应当经参加大会的基金份额持有人或其代理人所持表决权的三分之二以上（含三分之二）通过。</w:t>
      </w:r>
    </w:p>
    <w:p w14:paraId="1482349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228686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侧袋机制实施期间，关于基金份额持有人大会的相关规定以本节特殊约定内容为准，本节没有规定的适用本部分的相关规定。</w:t>
      </w:r>
    </w:p>
    <w:p w14:paraId="433B5386">
      <w:pPr>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bCs/>
          <w:sz w:val="24"/>
          <w:szCs w:val="24"/>
        </w:rPr>
        <w:t>（十一）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bookmarkStart w:id="151" w:name="_Hlt88820702"/>
      <w:bookmarkEnd w:id="151"/>
    </w:p>
    <w:p w14:paraId="5600166B">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三、基金合同变更和终止的事由、程序以及基金财产清算方式</w:t>
      </w:r>
    </w:p>
    <w:p w14:paraId="5C68DF6F">
      <w:pPr>
        <w:spacing w:line="360" w:lineRule="auto"/>
        <w:ind w:firstLine="480" w:firstLineChars="200"/>
        <w:rPr>
          <w:rFonts w:ascii="Times New Roman" w:hAnsi="Times New Roman" w:eastAsia="宋体" w:cs="Times New Roman"/>
          <w:bCs/>
          <w:sz w:val="24"/>
          <w:szCs w:val="24"/>
        </w:rPr>
      </w:pPr>
      <w:bookmarkStart w:id="152" w:name="_Toc79392639"/>
      <w:r>
        <w:rPr>
          <w:rFonts w:ascii="Times New Roman" w:hAnsi="Times New Roman" w:eastAsia="宋体" w:cs="Times New Roman"/>
          <w:bCs/>
          <w:sz w:val="24"/>
          <w:szCs w:val="24"/>
        </w:rPr>
        <w:t>（一）基金合同的变更</w:t>
      </w:r>
      <w:bookmarkEnd w:id="152"/>
    </w:p>
    <w:p w14:paraId="3E5099F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53051A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2、关于基金合同变更的基金份额持有人大会决议自生效后方可执行，自决议生效后两日内在规定媒介公告。</w:t>
      </w:r>
    </w:p>
    <w:p w14:paraId="19B87BB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（二）基金合同的终止事由</w:t>
      </w:r>
    </w:p>
    <w:p w14:paraId="556EB0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有下列情形之一的，经履行相关程序后，基金合同应当终止：</w:t>
      </w:r>
    </w:p>
    <w:p w14:paraId="1263341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1、基金份额持有人大会决定终止的；</w:t>
      </w:r>
    </w:p>
    <w:p w14:paraId="02D217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2、基金管理人、基金托管人职责终止，在6个月内没有新基金管理人、新基金托管人承接的；</w:t>
      </w:r>
    </w:p>
    <w:p w14:paraId="14B4645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3、基金合同约定的其他情形；</w:t>
      </w:r>
    </w:p>
    <w:p w14:paraId="6779A07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、相关法律法规和中国证监会规定的其他情况。</w:t>
      </w:r>
    </w:p>
    <w:p w14:paraId="400DC6A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（三）基金财产的清算</w:t>
      </w:r>
    </w:p>
    <w:p w14:paraId="6B8BC5B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1、基金财产清算小组：自出现基金合同终止事由之日起30个工作日内成立基金财产清算小组，基金管理人或临时基金管理人组织基金财产清算小组并在中国证监会的监督下进行基金清算。</w:t>
      </w:r>
    </w:p>
    <w:p w14:paraId="6C2C184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72AB405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3、基金财产清算小组职责：基金财产清算小组负责基金财产的保管、清理、估价、变现和分配。基金财产清算小组可以依法进行必要的民事活动。</w:t>
      </w:r>
    </w:p>
    <w:p w14:paraId="2ECF41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4、基金财产清算程序：</w:t>
      </w:r>
    </w:p>
    <w:p w14:paraId="5FFDE4F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（1）基金合同终止情形出现时，由基金财产清算小组统一接管基金财产；</w:t>
      </w:r>
    </w:p>
    <w:p w14:paraId="2A4669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（2）对基金财产和债权债务进行清理和确认；</w:t>
      </w:r>
    </w:p>
    <w:p w14:paraId="6A50A1F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（3）对基金财产进行估值和变现；</w:t>
      </w:r>
    </w:p>
    <w:p w14:paraId="32620FD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（4）制作清算报告；</w:t>
      </w:r>
    </w:p>
    <w:p w14:paraId="770785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（5）聘请会计师事务所对清算报告进行外部审计，聘请律师事务所对清算报告出具法律意见书；</w:t>
      </w:r>
    </w:p>
    <w:p w14:paraId="769F0E8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（6）将清算报告报中国证监会备案并公告；</w:t>
      </w:r>
    </w:p>
    <w:p w14:paraId="4EFCB64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（7）对基金剩余财产进行分配。</w:t>
      </w:r>
    </w:p>
    <w:p w14:paraId="4FEA3B1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5、基金财产清算的期限为6个月，但因本基金所持证券的流动性受到限制而不能及时变现的，清算期限相应顺延。</w:t>
      </w:r>
    </w:p>
    <w:p w14:paraId="67E9545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（四）清算费用</w:t>
      </w:r>
    </w:p>
    <w:p w14:paraId="7D5490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清算费用是指基金财产清算小组在进行基金财产清算过程中发生的所有合理费用，清算费用由基金财产清算小组优先从基金剩余财产中支付。</w:t>
      </w:r>
    </w:p>
    <w:p w14:paraId="3034854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（五）基金财产清算剩余资产的分配</w:t>
      </w:r>
    </w:p>
    <w:p w14:paraId="69E8CD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依据基金财产清算的分配方案，将基金财产清算后的全部剩余资产扣除基金财产清算费用、交纳所欠税款并清偿基金债务后，按基金份额持有人持有的各类基金份额比例进行分配。</w:t>
      </w:r>
    </w:p>
    <w:p w14:paraId="23142AE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（六）基金财产清算的公告</w:t>
      </w:r>
    </w:p>
    <w:p w14:paraId="57BE23C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46E5C0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（七）基金财产清算账册及文件的保存</w:t>
      </w:r>
    </w:p>
    <w:p w14:paraId="08CE871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基金财产清算账册及有关文件由基金托管人保存，保存期限不低于法律法规规定的期限</w:t>
      </w:r>
      <w:r>
        <w:rPr>
          <w:rFonts w:ascii="Times New Roman" w:hAnsi="Times New Roman" w:eastAsia="宋体" w:cs="Times New Roman"/>
          <w:bCs/>
          <w:sz w:val="24"/>
          <w:szCs w:val="24"/>
        </w:rPr>
        <w:t>。</w:t>
      </w:r>
    </w:p>
    <w:p w14:paraId="76213673">
      <w:pPr>
        <w:spacing w:line="360" w:lineRule="auto"/>
        <w:ind w:firstLine="482" w:firstLineChars="200"/>
        <w:rPr>
          <w:rFonts w:ascii="Times New Roman" w:hAnsi="Times New Roman" w:eastAsia="宋体" w:cs="Times New Roman"/>
          <w:b/>
          <w:sz w:val="24"/>
          <w:szCs w:val="24"/>
        </w:rPr>
      </w:pPr>
      <w:bookmarkStart w:id="153" w:name="_Hlk68192592"/>
      <w:r>
        <w:rPr>
          <w:rFonts w:ascii="Times New Roman" w:hAnsi="Times New Roman" w:eastAsia="宋体" w:cs="Times New Roman"/>
          <w:b/>
          <w:sz w:val="24"/>
          <w:szCs w:val="24"/>
        </w:rPr>
        <w:t>四、争议解决方式</w:t>
      </w:r>
    </w:p>
    <w:p w14:paraId="7332C359">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各方当事人同意，因基金合同而产生的或与基金合同有关的一切争议，如经友好协商未能解决的，均应提交深圳国际仲裁院，按照该院届时有效的仲裁规则进行仲裁，仲裁地点为深圳市。仲裁裁决是终局的，并对各方当事人具有约束力。除非仲裁裁决另有裁定，仲裁费用和律师费用由败诉方承担。</w:t>
      </w:r>
    </w:p>
    <w:p w14:paraId="7D7D2AF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争议处理期间，基金管理人和基金托管人应恪守各自的职责，继续忠实、勤勉、尽责地履行基金合同规定的义务，维护基金份额持有人的合法权益。</w:t>
      </w:r>
    </w:p>
    <w:p w14:paraId="0743CA2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基金合同受中国法律（为本基金合同之目的，不包括香港特别行政区、澳门特别行政区和台湾地区法律）管辖并从其解释。</w:t>
      </w:r>
    </w:p>
    <w:p w14:paraId="4EAEBA18">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五、基金合同存放地和投资者取得基金合同的方式</w:t>
      </w:r>
    </w:p>
    <w:p w14:paraId="2025FD97">
      <w:pPr>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基金合同可印制成册，供投资者在基金管理人、基金托管人、销售机构的办公场所和营业场所查阅。</w:t>
      </w:r>
      <w:bookmarkEnd w:id="153"/>
    </w:p>
    <w:bookmarkEnd w:id="145"/>
    <w:bookmarkEnd w:id="146"/>
    <w:p w14:paraId="6C7E5FA5">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r>
        <w:rPr>
          <w:rFonts w:ascii="Times New Roman" w:hAnsi="Times New Roman" w:eastAsia="宋体" w:cs="Times New Roman"/>
          <w:b/>
          <w:bCs/>
          <w:kern w:val="44"/>
          <w:sz w:val="24"/>
          <w:szCs w:val="20"/>
        </w:rPr>
        <w:br w:type="page"/>
      </w:r>
      <w:bookmarkStart w:id="154" w:name="_Toc10229"/>
      <w:bookmarkStart w:id="155" w:name="_Toc213077639"/>
      <w:bookmarkStart w:id="156" w:name="_Toc24652"/>
      <w:r>
        <w:rPr>
          <w:rFonts w:hint="eastAsia" w:ascii="Times New Roman" w:hAnsi="Times New Roman" w:eastAsia="宋体" w:cs="Times New Roman"/>
          <w:b/>
          <w:kern w:val="44"/>
          <w:sz w:val="32"/>
          <w:szCs w:val="20"/>
        </w:rPr>
        <w:t>第二十部分</w:t>
      </w:r>
      <w:r>
        <w:rPr>
          <w:rFonts w:ascii="Times New Roman" w:hAnsi="Times New Roman" w:eastAsia="宋体" w:cs="Times New Roman"/>
          <w:b/>
          <w:kern w:val="44"/>
          <w:sz w:val="32"/>
          <w:szCs w:val="20"/>
        </w:rPr>
        <w:t xml:space="preserve">  </w:t>
      </w:r>
      <w:bookmarkStart w:id="157" w:name="OLE_LINK105"/>
      <w:bookmarkStart w:id="158" w:name="OLE_LINK104"/>
      <w:r>
        <w:rPr>
          <w:rFonts w:hint="eastAsia" w:ascii="Times New Roman" w:hAnsi="Times New Roman" w:eastAsia="宋体" w:cs="Times New Roman"/>
          <w:b/>
          <w:kern w:val="44"/>
          <w:sz w:val="32"/>
          <w:szCs w:val="20"/>
        </w:rPr>
        <w:t>基金托管协议的内容摘要</w:t>
      </w:r>
      <w:bookmarkEnd w:id="154"/>
      <w:bookmarkEnd w:id="155"/>
      <w:bookmarkEnd w:id="156"/>
    </w:p>
    <w:p w14:paraId="47283C52">
      <w:pPr>
        <w:spacing w:line="360" w:lineRule="auto"/>
        <w:ind w:firstLine="48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一、基金托管协议当事人</w:t>
      </w:r>
    </w:p>
    <w:p w14:paraId="45ACF59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（一）基金管理人（也可称“资产管理人”）</w:t>
      </w:r>
    </w:p>
    <w:p w14:paraId="17574E9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名称：富国基金管理有限公司</w:t>
      </w:r>
    </w:p>
    <w:p w14:paraId="0B6FE14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住所：中国（上海）自由贸易试验区世纪大道1196号世纪汇办公楼二座27-30层</w:t>
      </w:r>
    </w:p>
    <w:p w14:paraId="5E2277D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办公地址：中国（上海）自由贸易试验区世纪大道1196号世纪汇办公楼二座27-30层</w:t>
      </w:r>
    </w:p>
    <w:p w14:paraId="6B5CA0D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邮政编码：200122</w:t>
      </w:r>
    </w:p>
    <w:p w14:paraId="5B9420B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法定代表人：裴长江</w:t>
      </w:r>
    </w:p>
    <w:p w14:paraId="5CB8E69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成立时间：1999年4月13日</w:t>
      </w:r>
    </w:p>
    <w:p w14:paraId="3C726F2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批准设立机关：中国证券监督管理委员会</w:t>
      </w:r>
    </w:p>
    <w:p w14:paraId="0D1F8F5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批准设立文号：证监基金字【1999】11号</w:t>
      </w:r>
    </w:p>
    <w:p w14:paraId="0ECA40A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组织形式：有限责任公司</w:t>
      </w:r>
    </w:p>
    <w:p w14:paraId="001F879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注册资本：5.2亿元人民币</w:t>
      </w:r>
    </w:p>
    <w:p w14:paraId="54A23AF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存续期间：持续经营</w:t>
      </w:r>
    </w:p>
    <w:p w14:paraId="6EBC367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经营范围：公开募集证券投资基金管理、基金销售、特定客户资产管理。</w:t>
      </w:r>
    </w:p>
    <w:p w14:paraId="4583938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（二）基金托管人（也可称“资产托管人”）</w:t>
      </w:r>
    </w:p>
    <w:p w14:paraId="63BFA9B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名称：招商银行股份有限公司(简称：“招商银行”)</w:t>
      </w:r>
    </w:p>
    <w:p w14:paraId="4ADF8FA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住所：深圳市深南大道7088号招商银行大厦</w:t>
      </w:r>
    </w:p>
    <w:p w14:paraId="7D95D06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办公地址：深圳市深南大道7088号招商银行大厦</w:t>
      </w:r>
    </w:p>
    <w:p w14:paraId="7768F31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邮政编码：518040</w:t>
      </w:r>
    </w:p>
    <w:p w14:paraId="10433E0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法定代表人：缪建民</w:t>
      </w:r>
    </w:p>
    <w:p w14:paraId="7EAF900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成立时间：1987年4月8日</w:t>
      </w:r>
    </w:p>
    <w:p w14:paraId="3035FFB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基金托管业务批准文号：证监基金字[2002]83号</w:t>
      </w:r>
    </w:p>
    <w:p w14:paraId="229FE3E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组织形式：股份有限公司</w:t>
      </w:r>
    </w:p>
    <w:p w14:paraId="6AF7C9C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注册资本：人民币252.20亿元</w:t>
      </w:r>
    </w:p>
    <w:p w14:paraId="3F04802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存续期间：持续经营</w:t>
      </w:r>
    </w:p>
    <w:p w14:paraId="1AB0AE03">
      <w:pPr>
        <w:spacing w:line="360" w:lineRule="auto"/>
        <w:ind w:firstLine="480" w:firstLineChars="200"/>
        <w:rPr>
          <w:rFonts w:hint="eastAsia" w:ascii="宋体" w:hAnsi="宋体" w:eastAsia="宋体" w:cs="Times New Roman"/>
          <w:sz w:val="24"/>
          <w:szCs w:val="24"/>
        </w:rPr>
      </w:pPr>
    </w:p>
    <w:p w14:paraId="07105B39">
      <w:pPr>
        <w:spacing w:line="360" w:lineRule="auto"/>
        <w:ind w:firstLine="482" w:firstLineChars="200"/>
        <w:rPr>
          <w:rFonts w:hint="eastAsia" w:ascii="Times New Roman" w:hAnsi="宋体" w:eastAsia="宋体" w:cs="Times New Roman"/>
          <w:sz w:val="24"/>
          <w:szCs w:val="24"/>
        </w:rPr>
      </w:pPr>
      <w:r>
        <w:rPr>
          <w:rFonts w:hint="eastAsia" w:ascii="Times New Roman" w:hAnsi="Times New Roman" w:eastAsia="宋体" w:cs="Times New Roman"/>
          <w:b/>
          <w:bCs/>
          <w:kern w:val="0"/>
          <w:sz w:val="24"/>
          <w:szCs w:val="24"/>
        </w:rPr>
        <w:t>二、基金托管人对基金管理人的业务监督和核查</w:t>
      </w:r>
      <w:bookmarkStart w:id="159" w:name="_Toc382819073"/>
    </w:p>
    <w:bookmarkEnd w:id="159"/>
    <w:p w14:paraId="0BA7F81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（一）基金托管人根据有关法律法规的规定以及《基金合同》的约定，对基金投资范围、投资比例、投资限制、关联方交易等进行监督。</w:t>
      </w:r>
    </w:p>
    <w:p w14:paraId="45E50F1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1.本基金的投资范围为：</w:t>
      </w:r>
    </w:p>
    <w:p w14:paraId="7F8036B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股指期货、股票期权、经中国证监会依法核准或注册的公开募集证券投资基金（包括全市场的股票型ETF、公开募集不动产投资信托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w:t>
      </w:r>
    </w:p>
    <w:p w14:paraId="74C13E5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如法律法规或监管机构以后允许基金投资其他品种，基金管理人在履行适当程序后，可以将其纳入投资范围。</w:t>
      </w:r>
    </w:p>
    <w:p w14:paraId="34815A4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2.本基金各类品种的投资比例、投资限制为：</w:t>
      </w:r>
    </w:p>
    <w:p w14:paraId="6172664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的投资组合比例为：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本基金持有其他基金，其市值不超过基金资产净值的10%。每个交易日日终在扣除股指期货合约、国债期货合约和股票期权合约需缴纳的交易保证金后，现金或者到期日在一年以内的政府债券不低于基金资产净值的5%，其中现金不包括结算备付金、存出保证金、应收申购款等。其中，计入上述权益类资产的混合型基金需符合下列两个条件之一：</w:t>
      </w:r>
    </w:p>
    <w:p w14:paraId="7CCAD35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1、基金合同约定股票及存托凭证资产投资比例不低于基金资产60%的混合型基金；</w:t>
      </w:r>
    </w:p>
    <w:p w14:paraId="0C1A7BC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2、根据基金披露的定期报告，最近四个季度中任一季度股票及存托凭证资产占基金资产比例均不低于60%的混合型基金。</w:t>
      </w:r>
    </w:p>
    <w:p w14:paraId="6F0AA28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如果法律法规或监管机构变更投资品种的投资比例限制，基金管理人在履行适当程序后，可以调整上述投资品种的投资比例。</w:t>
      </w:r>
    </w:p>
    <w:p w14:paraId="060937B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基金的投资组合应遵循以下限制：</w:t>
      </w:r>
    </w:p>
    <w:p w14:paraId="2AAA022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计入上述权益类资产的混合型基金需符合下列两个条件之一：</w:t>
      </w:r>
    </w:p>
    <w:p w14:paraId="57205F6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1）基金合同约定股票及存托凭证资产投资比例不低于基金资产60%的混合型基金；</w:t>
      </w:r>
    </w:p>
    <w:p w14:paraId="0FF84A0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2）根据基金披露的定期报告，最近四个季度中任一季度股票及存托凭证资产占基金资产比例均不低于60%的混合型基金。</w:t>
      </w:r>
    </w:p>
    <w:p w14:paraId="433CF26B">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（2）本基金持有其他基金，其市值不超过基金资产净值的10%；</w:t>
      </w:r>
    </w:p>
    <w:p w14:paraId="142CC0B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13EA487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（4）本基金持有一家公司发行的证券（同一家公司在内地和香港同时上市的A+H股合计计算，但不包括本基金所投资的基金份额），其市值不超过基金资产净值的10%；</w:t>
      </w:r>
    </w:p>
    <w:p w14:paraId="1DEB774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本基金管理人管理的全部基金持有一家公司发行的证券（同一家公司在内地和香港同时上市的A+H股合计计算，但不包括本基金所投资的基金份额），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6D4B4AB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（6）本基金投资于同一原始权益人的各类资产支持证券的比例，不得超过基金资产净值的10%；</w:t>
      </w:r>
    </w:p>
    <w:p w14:paraId="7C7E0E3E">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（7）本基金持有的全部资产支持证券，其市值不得超过基金资产净值的20%；</w:t>
      </w:r>
    </w:p>
    <w:p w14:paraId="0AF5508B">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（8）本基金持有的同一（指同一信用级别）资产支持证券的比例，不得超过该资产支持证券规模的10%；</w:t>
      </w:r>
    </w:p>
    <w:p w14:paraId="001FAD4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（9）本基金管理人管理的全部基金投资于同一原始权益人的各类资产支持证券，不得超过其各类资产支持证券合计规模的10%；</w:t>
      </w:r>
    </w:p>
    <w:p w14:paraId="5A46586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（10）基金财产参与股票发行申购，本基金所申报的金额不超过本基金的总资产，本基金所申报的股票数量不超过拟发行股票公司本次发行股票的总量；</w:t>
      </w:r>
    </w:p>
    <w:p w14:paraId="57BA2D5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（11）本基金资产总值不得超过基金资产净值的140%；</w:t>
      </w:r>
    </w:p>
    <w:p w14:paraId="1C69C37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（12）本基金参与股指期货、国债期货交易，应当遵守下列要求：</w:t>
      </w:r>
    </w:p>
    <w:p w14:paraId="207B63F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1）本基金在任何交易日日终，持有的买入股指期货合约价值，不得超过基金资产净值的10%；本基金在任何交易日日终，持有的买入国债期货合约价值，不得超过基金资产净值的15%；</w:t>
      </w:r>
    </w:p>
    <w:p w14:paraId="38B626F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3F01825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3）本基金在任何交易日日终，持有的卖出股指期货合约价值不得超过本基金持有的股票总市值的20%；本基金在任何交易日日终，持有的卖出国债期货合约价值不得超过基金持有的债券总市值的30%；</w:t>
      </w:r>
    </w:p>
    <w:p w14:paraId="37F2D8D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7A758CA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0AA155E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（13）本基金参与股票期权交易，应当遵守下列要求：</w:t>
      </w:r>
    </w:p>
    <w:p w14:paraId="6A6A6A1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1）因未平仓的期权合约支付和收取的权利金总额不得超过基金资产净值的10%；</w:t>
      </w:r>
    </w:p>
    <w:p w14:paraId="0F75045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2）开仓卖出认购期权的，应持有足额标的证券；开仓卖出认沽期权的，应持有合约行权所需的全额现金或交易所规则认可的可冲抵期权保证金的现金等价物；</w:t>
      </w:r>
    </w:p>
    <w:p w14:paraId="1735685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3）未平仓的期权合约面值不得超过基金资产净值的20%。其中，合约面值按照行权价乘以合约乘数计算；</w:t>
      </w:r>
    </w:p>
    <w:p w14:paraId="76F06B1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（14）本基金不得持有信用保护卖方属性的信用衍生品，不得持有合约类信用衍生品，持有的信用衍生品的名义本金不得超过本基金对应受保护债券面值的100%；</w:t>
      </w:r>
    </w:p>
    <w:p w14:paraId="0048D52E">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（15）本基金投资于同一信用保护卖方的各类信用衍生品的名义本金合计不得超过基金资产净值的10%；</w:t>
      </w:r>
    </w:p>
    <w:p w14:paraId="0527036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因证券、期货市场波动、证券发行人合并、基金规模变动等基金管理人之外的因素致使基金不符合前述（14）、（15）所规定比例限制的，基金管理人应在3个月之内进行调整；</w:t>
      </w:r>
    </w:p>
    <w:p w14:paraId="44B9668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16）本基金主动投资于流动性受限资产（含封闭运作基金、定期开放基金等）的市值合计不得超过本基金资产净值的15%；因证券市场波动、上市公司股票停牌、基金规模变动等基金管理人之外的因素致使基金不符合该比例限制的，基金管理人不得主动新增流动性受限资产的投资；</w:t>
      </w:r>
    </w:p>
    <w:p w14:paraId="179EF31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（17）本基金与私募类证券资管产品及中国证监会认定的其他主体为交易对手开展逆回购交易的，可接受质押品的资质要求应当与基金合同约定的投资范围保持一致；</w:t>
      </w:r>
    </w:p>
    <w:p w14:paraId="47DF925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（18）本基金投资存托凭证的比例限制依照境内上市交易的股票执行；</w:t>
      </w:r>
    </w:p>
    <w:p w14:paraId="66FDF22A">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（19）本基金管理人管理的全部基金（ETF联接基金除外）持有单只基金不得超过被投资基金净资产的20%，被投资基金净资产规模以最近定期报告披露的规模为准；</w:t>
      </w:r>
    </w:p>
    <w:p w14:paraId="374017F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（20）本基金投资其他基金时，被投资基金的运作期限应当不少于1年，最近定期报告披露的基金净资产应当不低于1亿元。</w:t>
      </w:r>
    </w:p>
    <w:p w14:paraId="30E3347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（21）本基金不得持有具有复杂、衍生品性质的基金份额，包括分级基金和中国证监会认定的其他基金份额；</w:t>
      </w:r>
    </w:p>
    <w:p w14:paraId="1761AB9B">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（22）本基金不得持有基金中基金；</w:t>
      </w:r>
    </w:p>
    <w:p w14:paraId="1901070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（23）本基金同业存单的投资比例占基金资产的比例不超过20%；</w:t>
      </w:r>
    </w:p>
    <w:p w14:paraId="5776F6A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（24）法律法规及中国证监会规定的和基金合同约定的其他投资限制。</w:t>
      </w:r>
    </w:p>
    <w:p w14:paraId="09E1221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因证券市场波动、基金规模变动等基金管理人之外的因素致使基金投资不符合上述（19）规定的投资比例的，基金管理人应当在20个交易日内进行调整，但中国证监会规定的特殊情形除外。除上述第（3）、（14）、（15）、（16）、（17）、（19）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CE663EA">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基金管理人应当自基金合同生效之日起6个月内使基金的投资组合比例符合基金合同的有关约定。在上述期间内，本基金的投资范围、投资策略应当符合基金合同的约定。</w:t>
      </w:r>
    </w:p>
    <w:p w14:paraId="4D93D66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基金托管人对基金的投资的监督与检查自基金合同生效之日起开始。</w:t>
      </w:r>
    </w:p>
    <w:p w14:paraId="3B94474B">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法律法规或监管部门取消或变更上述限制，如适用于本基金，基金管理人在履行适当程序后，则本基金投资不再受相关限制或以变更后的规定为准。</w:t>
      </w:r>
    </w:p>
    <w:p w14:paraId="427FCBFB">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3.本基金财产不得用于以下投资或者活动：</w:t>
      </w:r>
    </w:p>
    <w:p w14:paraId="3BC13DD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（1）承销证券；</w:t>
      </w:r>
    </w:p>
    <w:p w14:paraId="7F6D486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（2）违反规定向他人贷款或者提供担保；</w:t>
      </w:r>
    </w:p>
    <w:p w14:paraId="1E7F6A3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（3）从事承担无限责任的投资；</w:t>
      </w:r>
    </w:p>
    <w:p w14:paraId="191A8EE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（4）向其基金管理人、基金托管人出资；</w:t>
      </w:r>
    </w:p>
    <w:p w14:paraId="2AE831D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（5）从事内幕交易、操纵证券交易价格及其他不正当的证券交易活动；</w:t>
      </w:r>
    </w:p>
    <w:p w14:paraId="28CCF8B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（6）法律、行政法规和中国证监会规定禁止的其他活动。</w:t>
      </w:r>
    </w:p>
    <w:p w14:paraId="5A6E8F1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E748D4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本基金投资基金管理人或基金管理人关联方管理的基金的情况，不属于前述重大关联交易，但是应当按照法律法规或监管规定的要求履行信息披露义务。</w:t>
      </w:r>
    </w:p>
    <w:p w14:paraId="385C6C1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如法律法规或监管部门取消或调整上述禁止性规定，基金管理人在履行适当程序后，本基金可不受上述规定的限制或按调整后的规定执行，不需经基金份额持有人大会审议，但须提前公告。</w:t>
      </w:r>
    </w:p>
    <w:p w14:paraId="4CAB173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5AA5FAD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本基金投资银行存款应符合如下规定：</w:t>
      </w:r>
    </w:p>
    <w:p w14:paraId="2C95A30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 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039B82C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有关法律法规或监管部门制定或修改新的定期存款投资政策，基金管理人履行适当程序后，可相应调整投资组合限制的规定。</w:t>
      </w:r>
    </w:p>
    <w:p w14:paraId="7FF5F51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19C7A46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（1）基金管理人负责控制信用风险。信用风险主要包括存款银行的信用等级、存款银行的支付能力等涉及到存款银行选择方面的风险。因选择存款银行不当造成基金财产损失的，基金托管人不承担责任。</w:t>
      </w:r>
    </w:p>
    <w:p w14:paraId="1AFA0C5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管理人负责控制流动性风险。因控制不力而造成的损失，基金托管人不承担责任。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05B8E73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（3）基金管理人须加强内部风险控制制度的建设。如因基金管理人员工职务行为导致基金财产受到损失的，需由基金管理人承担由此造成的损失。</w:t>
      </w:r>
    </w:p>
    <w:p w14:paraId="218AC88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（4）基金管理人与基金托管人在开展基金存款业务时，应严格遵守《基金法》、《运作办法》等有关法律法规，以及国家有关账户管理、利率管理、支付结算等的各项规定。</w:t>
      </w:r>
    </w:p>
    <w:p w14:paraId="643BA89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（三）基金投资银行存款协议的签订、账户开设与管理、投资指令与资金划付、账目核对、到期兑付、提前支取</w:t>
      </w:r>
    </w:p>
    <w:p w14:paraId="5FBEFED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1.基金投资银行存款协议的签订</w:t>
      </w:r>
    </w:p>
    <w:p w14:paraId="3D429BF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3F65951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（2）基金托管人依据相关法规对《总体合作协议》和《存款协议书》的内容进行复核，审查存款银行资格等。</w:t>
      </w:r>
    </w:p>
    <w:p w14:paraId="3714743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26BAF69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6D92B07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2F885BC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1D35FB6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（7）基金管理人应在《存款协议书》中规定，因定期存款产生的存单不得被质押或以任何方式被抵押，不得用于转让和背书。</w:t>
      </w:r>
    </w:p>
    <w:p w14:paraId="3AFB2A1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2.基金投资银行存款时的账户开设与管理</w:t>
      </w:r>
    </w:p>
    <w:p w14:paraId="50897AC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（1）基金投资于银行存款时，基金管理人应当依据基金管理人与存款银行签订的《总体合作协议》、《存款协议书》等，以基金的名义在存款银行总行或授权分行指定的分支机构开立银行账户。</w:t>
      </w:r>
    </w:p>
    <w:p w14:paraId="4537413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（2）基金投资于银行存款时的预留印鉴由基金托管人保管和使用。</w:t>
      </w:r>
    </w:p>
    <w:p w14:paraId="73CE960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3.存款凭证传递、账目核对及到期兑付</w:t>
      </w:r>
    </w:p>
    <w:p w14:paraId="575F693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（1）存款证实书等存款凭证传递</w:t>
      </w:r>
    </w:p>
    <w:p w14:paraId="0253F31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69A1953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（2）存款凭证的遗失补办</w:t>
      </w:r>
    </w:p>
    <w:p w14:paraId="76E6535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存款凭证在邮寄过程中遗失的，由基金管理人向存款银行提出补办申请，基金管理人应督促存款银行尽快补办存款凭证，并按以上（1）的方式快递或上门交付至基金托管人，原存款凭证自动作废。</w:t>
      </w:r>
    </w:p>
    <w:p w14:paraId="7D184B2E">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（3）账目核对</w:t>
      </w:r>
    </w:p>
    <w:p w14:paraId="2809196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每个工作日，基金管理人应与基金托管人核对各项银行存款投资余额及应计利息。</w:t>
      </w:r>
    </w:p>
    <w:p w14:paraId="00212BD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应在《存款协议书》中规定，对于存期超过3个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14:paraId="139C78C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存款银行应配合基金托管人对存款凭证的询证，并在询证函上加盖存款银行公章寄送至基金托管人指定联系人。</w:t>
      </w:r>
    </w:p>
    <w:p w14:paraId="74D24CA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（4）到期兑付</w:t>
      </w:r>
    </w:p>
    <w:p w14:paraId="42D45DA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14:paraId="68197C6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34C63FC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存款协议书》约定利率和实际延期天数支付延期利息。</w:t>
      </w:r>
    </w:p>
    <w:p w14:paraId="34889BC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4.提前支取</w:t>
      </w:r>
    </w:p>
    <w:p w14:paraId="77CC811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如果在存款期限内，由于基金规模发生缩减的原因或者出于流动性管理的需要等原因，基金管理人可以提前支取全部或部分资金。</w:t>
      </w:r>
    </w:p>
    <w:p w14:paraId="7B808BB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提前支取的具体事项按照基金管理人与存款银行签订的《存款协议书》执行。</w:t>
      </w:r>
    </w:p>
    <w:p w14:paraId="0D7C04C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5.基金投资银行存款的监督</w:t>
      </w:r>
    </w:p>
    <w:p w14:paraId="69CF38E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托管人发现基金管理人在进行存款投资时有违反有关法律法规的规定及《基金合同》的约定的行为，应及时以书面形式通知基金管理人在限期内纠正。基金管理人对基金托管人通知的违规事项未能在限期内纠正的，基金托管人应报告中国证监会。基金托管人发现基金管理人有重大违规行为，应立即报告中国证监会，同时通知基金管理人在限期内纠正或拒绝结算，若因基金管理人拒不执行造成基金财产损失的，相关损失由基金管理人承担，基金托管人不承担赔偿责任。</w:t>
      </w:r>
    </w:p>
    <w:p w14:paraId="4DC6D91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608466FB">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负责对交易对手的资信控制，按银行间债券市场的交易规则进行交易，并负责解决因交易对手不履行合同而造成的纠纷。若未履约的交易对手在基金管理人确定的时间内仍未承担违约责任及其他相关法律责任的，基金管理人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损失和责任。</w:t>
      </w:r>
    </w:p>
    <w:p w14:paraId="526F9A8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（五）本基金投资流通受限证券，应遵守《关于基金投资非公开发行股票等流通受限证券有关问题的通知》等有关监管规定。</w:t>
      </w:r>
    </w:p>
    <w:p w14:paraId="1E8803B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 此处的流通受限证券与上文的流动性受限资产的定义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6304233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30C76EEA">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本基金不得投资未经中国证监会批准的非公开发行证券。</w:t>
      </w:r>
    </w:p>
    <w:p w14:paraId="6DF6C57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本基金不得投资有锁定期但锁定期不明确的证券。</w:t>
      </w:r>
    </w:p>
    <w:p w14:paraId="2F0385B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52D523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26B8ADB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负责管理本基金投资流通受限证券的流动性风险，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不承担赔偿责任。</w:t>
      </w:r>
    </w:p>
    <w:p w14:paraId="15EC871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2E06654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由于基金管理人未及时提供有关证券的具体的必要的信息，致使托管人无法审核认购指令而影响认购款项划拨的，基金托管人免于承担责任。</w:t>
      </w:r>
    </w:p>
    <w:p w14:paraId="46672C6E">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7F204C2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 基金管理人应在基金投资非公开发行股票后两个交易日内,在中国证监会规定媒介披露所投资非公开发行股票的名称、数量、总成本、账面价值，以及总成本和账面价值占基金资产净值的比例、锁定期等信息。</w:t>
      </w:r>
    </w:p>
    <w:p w14:paraId="151760D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（六）基金管理人应当对投资中期票据业务进行研究，认真评估中期票据投资业务的风险，本着审慎、勤勉尽责的原则进行中期票据的投资业务，并应符合法律法规及监管机构的相关规定。</w:t>
      </w:r>
    </w:p>
    <w:p w14:paraId="3CEB1A1B">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七）基金托管人根据有关法律法规的规定及《基金合同》的约定，对基金资产净值计算、各类基金份额净值计算、基金费用开支及收入确定、基金收益分配、相关信息披露、基金宣传推介材料中登载基金业绩表现数据等进行监督和核查。</w:t>
      </w:r>
    </w:p>
    <w:p w14:paraId="22555D4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3FE7E34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3E06F20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十）若基金托管人发现基金管理人依据交易程序已经生效的指令违反法律、行政法规和其他有关规定，或者违反基金合同约定的，应当立即通知基金管理人及时纠正，由此造成的损失由基金管理人承担，基金托管人在履行其及时通知义务后，予以免责。</w:t>
      </w:r>
    </w:p>
    <w:p w14:paraId="734C036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（十一）基金托管人发现基金管理人有重大违规行为，应及时报告中国证监会，同时通知基金管理人限期纠正。</w:t>
      </w:r>
    </w:p>
    <w:p w14:paraId="462AD15E">
      <w:pPr>
        <w:spacing w:line="360" w:lineRule="auto"/>
        <w:ind w:firstLine="482" w:firstLineChars="200"/>
        <w:rPr>
          <w:rFonts w:ascii="Times New Roman" w:hAnsi="Times New Roman" w:eastAsia="宋体" w:cs="Times New Roman"/>
          <w:bCs/>
          <w:kern w:val="0"/>
          <w:sz w:val="24"/>
          <w:szCs w:val="24"/>
        </w:rPr>
      </w:pPr>
      <w:r>
        <w:rPr>
          <w:rFonts w:hint="eastAsia" w:ascii="Times New Roman" w:hAnsi="Times New Roman" w:eastAsia="宋体" w:cs="Times New Roman"/>
          <w:b/>
          <w:bCs/>
          <w:kern w:val="0"/>
          <w:sz w:val="24"/>
          <w:szCs w:val="24"/>
        </w:rPr>
        <w:t>三、基金管理人对基金托管人的业务核查</w:t>
      </w:r>
    </w:p>
    <w:p w14:paraId="60E48FEA">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3B71FCA5">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1EF60A5A">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099A084B">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（四）基金管理人发现基金托管人有重大违规行为，应及时报告中国证监会，同时通知基金托管人限期纠正，并将纠正结果报告中国证监会。</w:t>
      </w:r>
    </w:p>
    <w:p w14:paraId="753CCEFA">
      <w:pPr>
        <w:spacing w:line="360"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四、基金财产保管</w:t>
      </w:r>
    </w:p>
    <w:p w14:paraId="17FC962F">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（一）基金财产保管的原则</w:t>
      </w:r>
    </w:p>
    <w:p w14:paraId="501A3535">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1.基金财产应独立于基金管理人、基金托管人的固有财产。</w:t>
      </w:r>
    </w:p>
    <w:p w14:paraId="18780B92">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2.基金托管人应安全保管基金财产。</w:t>
      </w:r>
    </w:p>
    <w:p w14:paraId="5060A74C">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3.基金托管人按照规定开设资金账户、证券账户等基金财产投资所需的相关账户。</w:t>
      </w:r>
    </w:p>
    <w:p w14:paraId="26FEDE7C">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4.基金托管人对所托管的不同基金财产分别设置账户，分账管理，独立核算，确保基金财产的完整与独立。</w:t>
      </w:r>
    </w:p>
    <w:p w14:paraId="1AAA06A7">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07CDF2B6">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给予必要的协助。</w:t>
      </w:r>
    </w:p>
    <w:p w14:paraId="02E4F2E2">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7.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24467583">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8.除依据法律法规和基金合同的规定外，基金托管人不得委托第三人托管基金财产。</w:t>
      </w:r>
    </w:p>
    <w:p w14:paraId="3E16D8EA">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（二）基金募集期间及募集资金的验资</w:t>
      </w:r>
    </w:p>
    <w:p w14:paraId="0D8C6DF1">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1.基金募集期间募集的资金应开立“基金募集专户”。该账户由基金管理人开立并管理。</w:t>
      </w:r>
    </w:p>
    <w:p w14:paraId="5F625D5D">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2名或2名以上中国注册会计师签字方为有效。</w:t>
      </w:r>
    </w:p>
    <w:p w14:paraId="5BA49612">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3.若基金募集期限届满，未能达到基金合同生效的条件，由基金管理人按规定办理退款等事宜，基金托管人应当予以必要的协助和配合。</w:t>
      </w:r>
    </w:p>
    <w:p w14:paraId="541E0FD9">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（三）基金资金账户的开立和管理</w:t>
      </w:r>
    </w:p>
    <w:p w14:paraId="2052D379">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托管人以本基金的名义在其营业机构开立基金的资金账户（也可称为“托管账户”），保管基金的银行存款，并根据基金管理人的指令办理资金收付。托管账户名称应为“富国裕丰回报混合型证券投资基金”（产品名称以中国证监会最后注册为准），预留印鉴为基金托管人印章。</w:t>
      </w:r>
    </w:p>
    <w:p w14:paraId="2487820E">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7D95164B">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3.基金资金账户的开立和管理应符合法律法规及银行业监督管理机构的有关规定。</w:t>
      </w:r>
    </w:p>
    <w:p w14:paraId="5B8538D3">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（四）基金证券账户和结算备付金账户的开立和管理</w:t>
      </w:r>
    </w:p>
    <w:p w14:paraId="20E1E0FA">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1.基金托管人在中国证券登记结算有限责任公司上海分公司、深圳分公司为基金开立基金托管人与基金联名的证券账户。</w:t>
      </w:r>
    </w:p>
    <w:p w14:paraId="1480A6FF">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69345C0">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3.基金证券账户的开立和证券账户卡的保管由基金托管人负责，账户资产的管理和运用由基金管理人负责。</w:t>
      </w:r>
    </w:p>
    <w:p w14:paraId="7AE7AAAB">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248B4CBF">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0F0C0126">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（五）债券托管账户的开设和管理</w:t>
      </w:r>
    </w:p>
    <w:p w14:paraId="5A94C666">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188C2EB8">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（六）其他账户的开立和管理</w:t>
      </w:r>
    </w:p>
    <w:p w14:paraId="54E8FF64">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管理人根据投资需要按照规定开立期货保证金账户及期货交易编码等，基金托管人按照规定开立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099A822A">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078028C7">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5AA91184">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3.法律法规等有关规定对相关账户的开立和管理另有规定的，从其规定办理。</w:t>
      </w:r>
    </w:p>
    <w:p w14:paraId="2311C9C6">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（七）基金财产投资的有关有价凭证等的保管</w:t>
      </w:r>
    </w:p>
    <w:p w14:paraId="7C767C14">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68831295">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（八）与基金财产有关的重大合同的保管</w:t>
      </w:r>
    </w:p>
    <w:p w14:paraId="076CE022">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由基金管理人代表基金签署的、与基金财产有关的重大合同的原件分别由基金管理人、基金托管人保管。除本协议另有规定外，基金管理人代表基金签署的与基金财产有关的重大合同应尽可能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应不少于法律法规的规定。</w:t>
      </w:r>
    </w:p>
    <w:p w14:paraId="518DDDDF">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Arial"/>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4A85A1EE">
      <w:pPr>
        <w:spacing w:line="360" w:lineRule="auto"/>
        <w:ind w:firstLine="472" w:firstLineChars="196"/>
        <w:rPr>
          <w:rFonts w:ascii="Times New Roman" w:hAnsi="Times New Roman" w:eastAsia="宋体" w:cs="Times New Roman"/>
          <w:bCs/>
          <w:kern w:val="0"/>
          <w:sz w:val="24"/>
          <w:szCs w:val="24"/>
        </w:rPr>
      </w:pPr>
      <w:r>
        <w:rPr>
          <w:rFonts w:hint="eastAsia" w:ascii="Times New Roman" w:hAnsi="Times New Roman" w:eastAsia="宋体" w:cs="Times New Roman"/>
          <w:b/>
          <w:bCs/>
          <w:kern w:val="0"/>
          <w:sz w:val="24"/>
          <w:szCs w:val="24"/>
        </w:rPr>
        <w:t>五、基金净值计算和会计核算</w:t>
      </w:r>
    </w:p>
    <w:p w14:paraId="4E69DD8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（一）基金资产净值的计算、复核与完成的时间及程序</w:t>
      </w:r>
    </w:p>
    <w:p w14:paraId="4E63F26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1.基金资产净值</w:t>
      </w:r>
    </w:p>
    <w:p w14:paraId="6B58723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基金资产净值是指基金资产总值减去基金负债后的价值。</w:t>
      </w:r>
    </w:p>
    <w:p w14:paraId="3B22F61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47485E5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基金管理人于每个工作日计算基金资产净值及各类基金份额净值，经基金托管人复核无误后，按规定公告。</w:t>
      </w:r>
    </w:p>
    <w:p w14:paraId="3E575AF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基金管理人应在每个工作日对基金资产估值。但基金管理人根据法律法规或基金合同的规定暂停估值时除外。</w:t>
      </w:r>
    </w:p>
    <w:p w14:paraId="3848794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2.复核程序</w:t>
      </w:r>
    </w:p>
    <w:p w14:paraId="4F61C60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基金管理人每个工作日对基金资产估值后，将各类基金份额净值结果发送基金托管人，经基金托管人复核无误后，由基金管理人按规定对外公布。</w:t>
      </w:r>
    </w:p>
    <w:p w14:paraId="74F6D29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3BF9886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（二）基金资产的估值</w:t>
      </w:r>
    </w:p>
    <w:p w14:paraId="6EF1BA9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基金管理人及基金托管人应当按照《基金合同》的约定进行估值。</w:t>
      </w:r>
    </w:p>
    <w:p w14:paraId="4A902C6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（三）基金份额净值错误的处理方式</w:t>
      </w:r>
    </w:p>
    <w:p w14:paraId="1803C3C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基金管理人及基金托管人应当按照《基金合同》的约定处理份额净值错误。</w:t>
      </w:r>
    </w:p>
    <w:p w14:paraId="637AA61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（四）基金会计制度</w:t>
      </w:r>
    </w:p>
    <w:p w14:paraId="7343E4A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按国家有关部门规定的会计制度执行。</w:t>
      </w:r>
    </w:p>
    <w:p w14:paraId="0EA6C78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（五）基金账册的建立</w:t>
      </w:r>
    </w:p>
    <w:p w14:paraId="2F40A9F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5EC4ECC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（六）基金财务报表与报告的编制和复核</w:t>
      </w:r>
    </w:p>
    <w:p w14:paraId="43BC60CA">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1.财务报表的编制</w:t>
      </w:r>
    </w:p>
    <w:p w14:paraId="2CD9FEB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基金财务报表由基金管理人编制，基金托管人复核。</w:t>
      </w:r>
    </w:p>
    <w:p w14:paraId="420CE049">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2.报表复核</w:t>
      </w:r>
    </w:p>
    <w:p w14:paraId="0305206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基金托管人在收到基金管理人编制的基金财务报表后，进行独立的复核。核对不符时，应及时通知基金管理人共同查出原因，进行调整，直至双方数据完全一致。</w:t>
      </w:r>
    </w:p>
    <w:p w14:paraId="76B88E4B">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3.财务报表的编制与复核时间安排</w:t>
      </w:r>
    </w:p>
    <w:p w14:paraId="2137B7A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基金托管人应当在每月结束后5个工作日内完成月度报表的编制及复核；在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法律法规的规定为准。基金年度报告中的财务会计报告应当经过符合《中华人民共和国证券法》规定的会计师事务所审计。基金合同生效不足两个月的，基金管理人可以不编制当期季度报告、中期报告或者年度报告。</w:t>
      </w:r>
    </w:p>
    <w:p w14:paraId="63E8571B">
      <w:pPr>
        <w:spacing w:line="360" w:lineRule="auto"/>
        <w:ind w:firstLine="480" w:firstLineChars="200"/>
        <w:rPr>
          <w:rFonts w:ascii="Times New Roman" w:hAnsi="Times New Roman" w:eastAsia="宋体" w:cs="Times New Roman"/>
          <w:b/>
          <w:bCs/>
          <w:kern w:val="0"/>
          <w:sz w:val="24"/>
          <w:szCs w:val="24"/>
        </w:rPr>
      </w:pPr>
      <w:r>
        <w:rPr>
          <w:rFonts w:hint="eastAsia" w:ascii="宋体" w:hAnsi="宋体" w:eastAsia="宋体" w:cs="Arial"/>
          <w:sz w:val="24"/>
          <w:szCs w:val="24"/>
        </w:rPr>
        <w:t>（七）在有需要时，基金管理人应每季度向基金托管人提供基金业绩比较基准的基础数据和编制结果。</w:t>
      </w:r>
    </w:p>
    <w:p w14:paraId="63628524">
      <w:pPr>
        <w:spacing w:line="360"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六、基金份额持有人名册的保管</w:t>
      </w:r>
    </w:p>
    <w:p w14:paraId="0C1C87DC">
      <w:pPr>
        <w:adjustRightInd w:val="0"/>
        <w:snapToGrid w:val="0"/>
        <w:spacing w:line="360" w:lineRule="auto"/>
        <w:ind w:firstLine="480" w:firstLineChars="200"/>
        <w:rPr>
          <w:rFonts w:hint="eastAsia" w:ascii="宋体" w:hAnsi="宋体" w:eastAsia="宋体" w:cs="Arial"/>
          <w:sz w:val="24"/>
          <w:szCs w:val="24"/>
        </w:rPr>
      </w:pPr>
      <w:bookmarkStart w:id="160" w:name="_Hlt112616834"/>
      <w:bookmarkEnd w:id="160"/>
      <w:r>
        <w:rPr>
          <w:rFonts w:hint="eastAsia" w:ascii="宋体" w:hAnsi="宋体" w:eastAsia="宋体" w:cs="Arial"/>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少于法律法规的规定。如不能妥善保管，则按相关法律法规承担责任。</w:t>
      </w:r>
    </w:p>
    <w:p w14:paraId="44D2A512">
      <w:pPr>
        <w:adjustRightInd w:val="0"/>
        <w:snapToGrid w:val="0"/>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在基金托管人要求或编制中期报告和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14:paraId="601381DF">
      <w:pPr>
        <w:spacing w:line="360"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七、适用法律</w:t>
      </w:r>
      <w:r>
        <w:rPr>
          <w:rFonts w:ascii="Times New Roman" w:hAnsi="Times New Roman" w:eastAsia="宋体" w:cs="Times New Roman"/>
          <w:b/>
          <w:bCs/>
          <w:kern w:val="0"/>
          <w:sz w:val="24"/>
          <w:szCs w:val="24"/>
        </w:rPr>
        <w:t>和</w:t>
      </w:r>
      <w:r>
        <w:rPr>
          <w:rFonts w:hint="eastAsia" w:ascii="Times New Roman" w:hAnsi="Times New Roman" w:eastAsia="宋体" w:cs="Times New Roman"/>
          <w:b/>
          <w:bCs/>
          <w:kern w:val="0"/>
          <w:sz w:val="24"/>
          <w:szCs w:val="24"/>
        </w:rPr>
        <w:t>争议解决</w:t>
      </w:r>
    </w:p>
    <w:p w14:paraId="3525C584">
      <w:pPr>
        <w:spacing w:line="360" w:lineRule="auto"/>
        <w:ind w:firstLine="482" w:firstLineChars="200"/>
        <w:rPr>
          <w:rFonts w:hint="eastAsia" w:ascii="宋体" w:hAnsi="宋体" w:eastAsia="宋体" w:cs="Arial"/>
          <w:b/>
          <w:bCs/>
          <w:sz w:val="24"/>
          <w:szCs w:val="24"/>
        </w:rPr>
      </w:pPr>
      <w:r>
        <w:rPr>
          <w:rFonts w:hint="eastAsia" w:ascii="宋体" w:hAnsi="宋体" w:eastAsia="宋体" w:cs="Arial"/>
          <w:b/>
          <w:bCs/>
          <w:sz w:val="24"/>
          <w:szCs w:val="24"/>
        </w:rPr>
        <w:t>双方当事人同意，因本协议而产生的或与基金合同有关的一切争议，如经友好协商未能解决的，均应提交深圳国际仲裁院，按照深圳国际仲裁院届时有效的仲裁规则进行仲裁，仲裁地点为深圳市。仲裁裁决是终局的，并对双方当事人具有约束力。除非仲裁裁决另有裁定，仲裁费用和律师费用由败诉方承担。</w:t>
      </w:r>
    </w:p>
    <w:p w14:paraId="051717F9">
      <w:pPr>
        <w:spacing w:line="360" w:lineRule="auto"/>
        <w:ind w:firstLine="482" w:firstLineChars="200"/>
        <w:rPr>
          <w:rFonts w:hint="eastAsia" w:ascii="宋体" w:hAnsi="宋体" w:eastAsia="宋体" w:cs="Arial"/>
          <w:b/>
          <w:bCs/>
          <w:sz w:val="24"/>
          <w:szCs w:val="24"/>
        </w:rPr>
      </w:pPr>
      <w:r>
        <w:rPr>
          <w:rFonts w:hint="eastAsia" w:ascii="宋体" w:hAnsi="宋体" w:eastAsia="宋体" w:cs="Arial"/>
          <w:b/>
          <w:bCs/>
          <w:sz w:val="24"/>
          <w:szCs w:val="24"/>
        </w:rPr>
        <w:t>争议处理期间，双方当事人应恪守基金管理人和基金托管人职责，各自继续忠实、勤勉、尽责地履行基金合同和本托管协议规定的义务，维护基金份额持有人的合法权益。</w:t>
      </w:r>
    </w:p>
    <w:p w14:paraId="705FF230">
      <w:pPr>
        <w:spacing w:line="360" w:lineRule="auto"/>
        <w:ind w:firstLine="482" w:firstLineChars="200"/>
        <w:rPr>
          <w:rFonts w:hint="eastAsia" w:ascii="宋体" w:hAnsi="宋体" w:eastAsia="宋体" w:cs="Arial"/>
          <w:b/>
          <w:bCs/>
          <w:sz w:val="24"/>
          <w:szCs w:val="24"/>
        </w:rPr>
      </w:pPr>
      <w:r>
        <w:rPr>
          <w:rFonts w:hint="eastAsia" w:ascii="宋体" w:hAnsi="宋体" w:eastAsia="宋体" w:cs="Arial"/>
          <w:b/>
          <w:bCs/>
          <w:sz w:val="24"/>
          <w:szCs w:val="24"/>
        </w:rPr>
        <w:t>本协议受中华人民共和国法律（为本托管协议之目的，不含港澳台立法）管辖并从其解释。</w:t>
      </w:r>
    </w:p>
    <w:p w14:paraId="2BDB1FFD">
      <w:pPr>
        <w:spacing w:line="360" w:lineRule="auto"/>
        <w:ind w:left="420" w:left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八、托管协议的变更、终止与基金财产的清算</w:t>
      </w:r>
    </w:p>
    <w:p w14:paraId="4FD97D0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（一）托管协议的变更程序</w:t>
      </w:r>
    </w:p>
    <w:p w14:paraId="659E1F2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本协议双方当事人经协商一致，可以对本协议进行修改。修改后的新协议，其内容不得与基金合同的规定有任何冲突。</w:t>
      </w:r>
    </w:p>
    <w:p w14:paraId="7E1D078E">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（二）基金托管协议终止的情形</w:t>
      </w:r>
    </w:p>
    <w:p w14:paraId="3AB7D93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1、《基金合同》终止；</w:t>
      </w:r>
    </w:p>
    <w:p w14:paraId="3A15960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2、基金托管人因解散、破产、撤销等事由，不能继续担任基金托管人的职务，而在6个月内无其他适当的托管机构承接其原有权利义务；</w:t>
      </w:r>
    </w:p>
    <w:p w14:paraId="6928A1F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3、基金管理人因解散、破产、撤销等事由，不能继续担任基金管理人的职务，而在6个月内无其他适当的基金管理公司承接其原有权利义务；</w:t>
      </w:r>
    </w:p>
    <w:p w14:paraId="56D984D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4、发生法律法规、中国证监会或《基金合同》规定的其他终止事项。</w:t>
      </w:r>
    </w:p>
    <w:p w14:paraId="71CB558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（三）基金财产的清算</w:t>
      </w:r>
    </w:p>
    <w:p w14:paraId="790C913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基金管理人与基金托管人按照《基金合同》的约定处理基金财产的清算。</w:t>
      </w:r>
    </w:p>
    <w:p w14:paraId="722C178A">
      <w:pPr>
        <w:jc w:val="left"/>
        <w:rPr>
          <w:rFonts w:ascii="Times New Roman" w:hAnsi="Times New Roman" w:eastAsia="宋体" w:cs="Times New Roman"/>
          <w:b/>
          <w:kern w:val="44"/>
          <w:sz w:val="32"/>
          <w:szCs w:val="20"/>
        </w:rPr>
      </w:pPr>
      <w:r>
        <w:rPr>
          <w:rFonts w:hint="eastAsia" w:ascii="Times New Roman" w:hAnsi="Times New Roman" w:eastAsia="宋体" w:cs="Times New Roman"/>
          <w:b/>
          <w:kern w:val="44"/>
          <w:sz w:val="32"/>
          <w:szCs w:val="20"/>
        </w:rPr>
        <w:br w:type="page"/>
      </w:r>
    </w:p>
    <w:bookmarkEnd w:id="157"/>
    <w:bookmarkEnd w:id="158"/>
    <w:p w14:paraId="208FEF43">
      <w:pPr>
        <w:keepNext/>
        <w:keepLines/>
        <w:spacing w:before="312" w:beforeLines="100" w:after="312" w:afterLines="100" w:line="360" w:lineRule="auto"/>
        <w:jc w:val="center"/>
        <w:outlineLvl w:val="0"/>
        <w:rPr>
          <w:rFonts w:ascii="Times New Roman" w:hAnsi="Times New Roman" w:eastAsia="宋体" w:cs="Times New Roman"/>
          <w:b/>
          <w:kern w:val="44"/>
          <w:sz w:val="32"/>
          <w:szCs w:val="20"/>
        </w:rPr>
      </w:pPr>
      <w:bookmarkStart w:id="161" w:name="_Toc213077640"/>
      <w:bookmarkStart w:id="162" w:name="_Toc1404"/>
      <w:bookmarkStart w:id="163" w:name="_Toc11429"/>
      <w:r>
        <w:rPr>
          <w:rFonts w:hint="eastAsia" w:ascii="Times New Roman" w:hAnsi="Times New Roman" w:eastAsia="宋体" w:cs="Times New Roman"/>
          <w:b/>
          <w:kern w:val="44"/>
          <w:sz w:val="32"/>
          <w:szCs w:val="20"/>
        </w:rPr>
        <w:t>第二十一部分</w:t>
      </w:r>
      <w:r>
        <w:rPr>
          <w:rFonts w:ascii="Times New Roman" w:hAnsi="Times New Roman" w:eastAsia="宋体" w:cs="Times New Roman"/>
          <w:b/>
          <w:kern w:val="44"/>
          <w:sz w:val="32"/>
          <w:szCs w:val="20"/>
        </w:rPr>
        <w:t xml:space="preserve">  </w:t>
      </w:r>
      <w:r>
        <w:rPr>
          <w:rFonts w:hint="eastAsia" w:ascii="Times New Roman" w:hAnsi="Times New Roman" w:eastAsia="宋体" w:cs="Times New Roman"/>
          <w:b/>
          <w:kern w:val="44"/>
          <w:sz w:val="32"/>
          <w:szCs w:val="20"/>
        </w:rPr>
        <w:t>对基金份额持有人的服务</w:t>
      </w:r>
      <w:bookmarkEnd w:id="161"/>
      <w:bookmarkEnd w:id="162"/>
      <w:bookmarkEnd w:id="163"/>
    </w:p>
    <w:p w14:paraId="4CDAA6F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基金管理人承诺为基金份额持有人提供一系列的服务。基金管理人将根据基金份额持有人的需要和市场的变化，增加或变更服务项目。主要服务内容如下：</w:t>
      </w:r>
    </w:p>
    <w:p w14:paraId="7B454D50">
      <w:pPr>
        <w:spacing w:line="360" w:lineRule="auto"/>
        <w:ind w:firstLine="482" w:firstLineChars="200"/>
        <w:rPr>
          <w:rFonts w:ascii="Times New Roman" w:hAnsi="Times New Roman" w:eastAsia="宋体" w:cs="Times New Roman"/>
          <w:b/>
          <w:bCs/>
          <w:sz w:val="24"/>
          <w:szCs w:val="24"/>
          <w:lang w:val="zh-CN"/>
        </w:rPr>
      </w:pPr>
      <w:r>
        <w:rPr>
          <w:rFonts w:hint="eastAsia" w:ascii="Times New Roman" w:hAnsi="Times New Roman" w:eastAsia="宋体" w:cs="Times New Roman"/>
          <w:b/>
          <w:bCs/>
          <w:sz w:val="24"/>
          <w:szCs w:val="24"/>
          <w:lang w:val="zh-CN"/>
        </w:rPr>
        <w:t>一、基金份额持有人交易资料服务</w:t>
      </w:r>
    </w:p>
    <w:p w14:paraId="2CB3FD9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投资者在交易申请被受理的</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个工作日后，可通过销售网点查询和打印交易确认单。基金管理人将根据持有人账单订制情况，向账单期内发生交易或账单期末仍持有本公司基金份额的基金份额持有人定期或不定期发送对账单。具体业务规则详见基金管理人网站公告或相关说明。</w:t>
      </w:r>
    </w:p>
    <w:p w14:paraId="101513C7">
      <w:pPr>
        <w:spacing w:line="360" w:lineRule="auto"/>
        <w:ind w:firstLine="482" w:firstLineChars="200"/>
        <w:rPr>
          <w:rFonts w:ascii="Times New Roman" w:hAnsi="Times New Roman" w:eastAsia="宋体" w:cs="Times New Roman"/>
          <w:bCs/>
          <w:sz w:val="24"/>
          <w:szCs w:val="24"/>
          <w:lang w:val="zh-CN"/>
        </w:rPr>
      </w:pPr>
      <w:r>
        <w:rPr>
          <w:rFonts w:hint="eastAsia" w:ascii="Times New Roman" w:hAnsi="Times New Roman" w:eastAsia="宋体" w:cs="Times New Roman"/>
          <w:b/>
          <w:bCs/>
          <w:sz w:val="24"/>
          <w:szCs w:val="24"/>
          <w:lang w:val="zh-CN"/>
        </w:rPr>
        <w:t>二、</w:t>
      </w:r>
      <w:r>
        <w:rPr>
          <w:rFonts w:ascii="Times New Roman" w:hAnsi="Times New Roman" w:eastAsia="宋体" w:cs="Times New Roman"/>
          <w:b/>
          <w:bCs/>
          <w:sz w:val="24"/>
          <w:szCs w:val="24"/>
          <w:lang w:val="zh-CN"/>
        </w:rPr>
        <w:t>网上交易</w:t>
      </w:r>
      <w:r>
        <w:rPr>
          <w:rFonts w:hint="eastAsia" w:ascii="Times New Roman" w:hAnsi="Times New Roman" w:eastAsia="宋体" w:cs="Times New Roman"/>
          <w:b/>
          <w:bCs/>
          <w:sz w:val="24"/>
          <w:szCs w:val="24"/>
          <w:lang w:val="zh-CN"/>
        </w:rPr>
        <w:t>、查询</w:t>
      </w:r>
      <w:r>
        <w:rPr>
          <w:rFonts w:ascii="Times New Roman" w:hAnsi="Times New Roman" w:eastAsia="宋体" w:cs="Times New Roman"/>
          <w:b/>
          <w:bCs/>
          <w:sz w:val="24"/>
          <w:szCs w:val="24"/>
          <w:lang w:val="zh-CN"/>
        </w:rPr>
        <w:t>服务</w:t>
      </w:r>
    </w:p>
    <w:p w14:paraId="13A485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除可通过基金管理人的直销网点和代销机构的代销网点办理申购、赎回等交易以及账户查询外，还可通过基金管理人的网站（www.fullgoal.com.cn）微信服务号（搜索“富国基金微管家”或“FullgoalWeFund”）、或客户端“富国富钱包”APP享受网上交易、查询服务。具体业务规则详见基金管理人网站公告或相关说明。</w:t>
      </w:r>
    </w:p>
    <w:p w14:paraId="299F48B1">
      <w:pPr>
        <w:spacing w:line="360" w:lineRule="auto"/>
        <w:ind w:firstLine="482" w:firstLineChars="200"/>
        <w:rPr>
          <w:rFonts w:ascii="Times New Roman" w:hAnsi="Times New Roman" w:eastAsia="宋体" w:cs="Times New Roman"/>
          <w:b/>
          <w:bCs/>
          <w:sz w:val="24"/>
          <w:szCs w:val="24"/>
          <w:lang w:val="zh-CN"/>
        </w:rPr>
      </w:pPr>
      <w:r>
        <w:rPr>
          <w:rFonts w:hint="eastAsia" w:ascii="Times New Roman" w:hAnsi="Times New Roman" w:eastAsia="宋体" w:cs="Times New Roman"/>
          <w:b/>
          <w:bCs/>
          <w:sz w:val="24"/>
          <w:szCs w:val="24"/>
          <w:lang w:val="zh-CN"/>
        </w:rPr>
        <w:t>三、</w:t>
      </w:r>
      <w:r>
        <w:rPr>
          <w:rFonts w:ascii="Times New Roman" w:hAnsi="Times New Roman" w:eastAsia="宋体" w:cs="Times New Roman"/>
          <w:b/>
          <w:bCs/>
          <w:sz w:val="24"/>
          <w:szCs w:val="24"/>
          <w:lang w:val="zh-CN"/>
        </w:rPr>
        <w:t>信息定制</w:t>
      </w:r>
      <w:r>
        <w:rPr>
          <w:rFonts w:hint="eastAsia" w:ascii="Times New Roman" w:hAnsi="Times New Roman" w:eastAsia="宋体" w:cs="Times New Roman"/>
          <w:b/>
          <w:bCs/>
          <w:sz w:val="24"/>
          <w:szCs w:val="24"/>
          <w:lang w:val="zh-CN"/>
        </w:rPr>
        <w:t>及资讯</w:t>
      </w:r>
      <w:r>
        <w:rPr>
          <w:rFonts w:ascii="Times New Roman" w:hAnsi="Times New Roman" w:eastAsia="宋体" w:cs="Times New Roman"/>
          <w:b/>
          <w:bCs/>
          <w:sz w:val="24"/>
          <w:szCs w:val="24"/>
          <w:lang w:val="zh-CN"/>
        </w:rPr>
        <w:t>服务</w:t>
      </w:r>
    </w:p>
    <w:p w14:paraId="5EB47A9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zh-CN"/>
        </w:rPr>
        <w:t>投资者</w:t>
      </w:r>
      <w:r>
        <w:rPr>
          <w:rFonts w:hint="eastAsia" w:ascii="Times New Roman" w:hAnsi="Times New Roman" w:eastAsia="宋体" w:cs="Times New Roman"/>
          <w:bCs/>
          <w:sz w:val="24"/>
          <w:szCs w:val="24"/>
        </w:rPr>
        <w:t>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新修改，以避免无法及时接收相关定制服务。</w:t>
      </w:r>
    </w:p>
    <w:p w14:paraId="4CCF5628">
      <w:pPr>
        <w:spacing w:line="360" w:lineRule="auto"/>
        <w:ind w:firstLine="482" w:firstLineChars="200"/>
        <w:rPr>
          <w:rFonts w:ascii="Times New Roman" w:hAnsi="Times New Roman" w:eastAsia="宋体" w:cs="Times New Roman"/>
          <w:b/>
          <w:bCs/>
          <w:sz w:val="24"/>
          <w:szCs w:val="24"/>
          <w:lang w:val="zh-CN"/>
        </w:rPr>
      </w:pPr>
      <w:r>
        <w:rPr>
          <w:rFonts w:hint="eastAsia" w:ascii="Times New Roman" w:hAnsi="Times New Roman" w:eastAsia="宋体" w:cs="Times New Roman"/>
          <w:b/>
          <w:bCs/>
          <w:sz w:val="24"/>
          <w:szCs w:val="24"/>
          <w:lang w:val="zh-CN"/>
        </w:rPr>
        <w:t>四、</w:t>
      </w:r>
      <w:r>
        <w:rPr>
          <w:rFonts w:ascii="Times New Roman" w:hAnsi="Times New Roman" w:eastAsia="宋体" w:cs="Times New Roman"/>
          <w:b/>
          <w:bCs/>
          <w:sz w:val="24"/>
          <w:szCs w:val="24"/>
          <w:lang w:val="zh-CN"/>
        </w:rPr>
        <w:t>网络在线服务</w:t>
      </w:r>
    </w:p>
    <w:p w14:paraId="492926E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投资者可通过基金管理人网站、微信公众号或客户端获得投资咨询、业务咨询、信息查询、信息定制、服务投诉及建议等多项在线服务。</w:t>
      </w:r>
    </w:p>
    <w:p w14:paraId="4AC74F9A">
      <w:pPr>
        <w:spacing w:line="360" w:lineRule="auto"/>
        <w:ind w:firstLine="482" w:firstLineChars="200"/>
        <w:rPr>
          <w:rFonts w:ascii="Times New Roman" w:hAnsi="Times New Roman" w:eastAsia="宋体" w:cs="Times New Roman"/>
          <w:b/>
          <w:bCs/>
          <w:sz w:val="24"/>
          <w:szCs w:val="24"/>
          <w:lang w:val="zh-CN"/>
        </w:rPr>
      </w:pPr>
      <w:r>
        <w:rPr>
          <w:rFonts w:hint="eastAsia" w:ascii="Times New Roman" w:hAnsi="Times New Roman" w:eastAsia="宋体" w:cs="Times New Roman"/>
          <w:b/>
          <w:bCs/>
          <w:sz w:val="24"/>
          <w:szCs w:val="24"/>
          <w:lang w:val="zh-CN"/>
        </w:rPr>
        <w:t>五、</w:t>
      </w:r>
      <w:r>
        <w:rPr>
          <w:rFonts w:ascii="Times New Roman" w:hAnsi="Times New Roman" w:eastAsia="宋体" w:cs="Times New Roman"/>
          <w:b/>
          <w:bCs/>
          <w:sz w:val="24"/>
          <w:szCs w:val="24"/>
          <w:lang w:val="zh-CN"/>
        </w:rPr>
        <w:t>客户服务中心电话服务</w:t>
      </w:r>
    </w:p>
    <w:p w14:paraId="5B45AA4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客户服务中心自动语音系统提供</w:t>
      </w:r>
      <w:r>
        <w:rPr>
          <w:rFonts w:ascii="Times New Roman" w:hAnsi="Times New Roman" w:eastAsia="宋体" w:cs="Times New Roman"/>
          <w:bCs/>
          <w:sz w:val="24"/>
          <w:szCs w:val="24"/>
        </w:rPr>
        <w:t>7×24</w:t>
      </w:r>
      <w:r>
        <w:rPr>
          <w:rFonts w:hint="eastAsia" w:ascii="Times New Roman" w:hAnsi="Times New Roman" w:eastAsia="宋体" w:cs="Times New Roman"/>
          <w:bCs/>
          <w:sz w:val="24"/>
          <w:szCs w:val="24"/>
        </w:rPr>
        <w:t>小时基金净值信息、账户交易情况、基金产品与服务等信息查询。</w:t>
      </w:r>
    </w:p>
    <w:p w14:paraId="1AA3204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客户服务中心人工坐席提供每周</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天、每天不少于</w:t>
      </w: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小时的座席服务，投资者可以通过该热线获得业务咨询、信息查询、服务投诉、信息定制、资料修改等专项服务，节假日除外。</w:t>
      </w:r>
    </w:p>
    <w:p w14:paraId="7F19B7CD">
      <w:pPr>
        <w:spacing w:line="360" w:lineRule="auto"/>
        <w:ind w:firstLine="482" w:firstLineChars="200"/>
        <w:rPr>
          <w:rFonts w:ascii="Times New Roman" w:hAnsi="Times New Roman" w:eastAsia="宋体" w:cs="Times New Roman"/>
          <w:b/>
          <w:bCs/>
          <w:sz w:val="24"/>
          <w:szCs w:val="24"/>
          <w:lang w:val="zh-CN"/>
        </w:rPr>
      </w:pPr>
      <w:r>
        <w:rPr>
          <w:rFonts w:hint="eastAsia" w:ascii="Times New Roman" w:hAnsi="Times New Roman" w:eastAsia="宋体" w:cs="Times New Roman"/>
          <w:b/>
          <w:bCs/>
          <w:sz w:val="24"/>
          <w:szCs w:val="24"/>
          <w:lang w:val="zh-CN"/>
        </w:rPr>
        <w:t>六、</w:t>
      </w:r>
      <w:r>
        <w:rPr>
          <w:rFonts w:ascii="Times New Roman" w:hAnsi="Times New Roman" w:eastAsia="宋体" w:cs="Times New Roman"/>
          <w:b/>
          <w:bCs/>
          <w:sz w:val="24"/>
          <w:szCs w:val="24"/>
          <w:lang w:val="zh-CN"/>
        </w:rPr>
        <w:t>客户投诉受理服务</w:t>
      </w:r>
    </w:p>
    <w:p w14:paraId="18AD314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可以通过各销售机构网点柜台、基金管理人网站投诉栏目、客户服务中心人工热线、在线客服、微客服、书信、电子邮件、短信、传真等多渠道对基金管理人和销售网点所提供的服务以及公司的政策规定提出投诉或意见。</w:t>
      </w:r>
    </w:p>
    <w:p w14:paraId="474849B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七、基金管理人个人信息保护政策</w:t>
      </w:r>
    </w:p>
    <w:p w14:paraId="3B417C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微信服务号（搜索“富国基金微管家”或“FullgoalWeFund”）、客户端“富国富钱包”APP查看《富国基金个人信息保护政策》，了解基金管理人处理个人信息的规则。</w:t>
      </w:r>
    </w:p>
    <w:p w14:paraId="5A41C96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八、基金管理人客户服务联络方式</w:t>
      </w:r>
    </w:p>
    <w:p w14:paraId="28D77E5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客户服务热线：</w:t>
      </w:r>
      <w:r>
        <w:rPr>
          <w:rFonts w:ascii="Times New Roman" w:hAnsi="Times New Roman" w:eastAsia="宋体" w:cs="Times New Roman"/>
          <w:bCs/>
          <w:sz w:val="24"/>
          <w:szCs w:val="24"/>
        </w:rPr>
        <w:t>95105686</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4008880688</w:t>
      </w:r>
      <w:r>
        <w:rPr>
          <w:rFonts w:hint="eastAsia" w:ascii="Times New Roman" w:hAnsi="Times New Roman" w:eastAsia="宋体" w:cs="Times New Roman"/>
          <w:bCs/>
          <w:sz w:val="24"/>
          <w:szCs w:val="24"/>
        </w:rPr>
        <w:t>（全国统一，免长途话费），工作时间内可转人工坐席。</w:t>
      </w:r>
    </w:p>
    <w:p w14:paraId="6E1652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客户服务传真：</w:t>
      </w:r>
      <w:r>
        <w:rPr>
          <w:rFonts w:ascii="Times New Roman" w:hAnsi="Times New Roman" w:eastAsia="宋体" w:cs="Times New Roman"/>
          <w:bCs/>
          <w:sz w:val="24"/>
          <w:szCs w:val="24"/>
        </w:rPr>
        <w:t>021-20513277</w:t>
      </w:r>
    </w:p>
    <w:p w14:paraId="6968E2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公司网址：</w:t>
      </w:r>
      <w:r>
        <w:rPr>
          <w:rFonts w:ascii="Times New Roman" w:hAnsi="Times New Roman" w:eastAsia="宋体" w:cs="Times New Roman"/>
          <w:sz w:val="24"/>
          <w:szCs w:val="24"/>
        </w:rPr>
        <w:t>http://www.fullgoal.com.cn</w:t>
      </w:r>
    </w:p>
    <w:p w14:paraId="77B6F0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电子信箱：</w:t>
      </w:r>
      <w:r>
        <w:rPr>
          <w:rFonts w:ascii="Times New Roman" w:hAnsi="Times New Roman" w:eastAsia="宋体" w:cs="Times New Roman"/>
          <w:sz w:val="24"/>
          <w:szCs w:val="24"/>
        </w:rPr>
        <w:t>public@fullgoal.com.cn</w:t>
      </w:r>
    </w:p>
    <w:p w14:paraId="402FEF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客服中心地址：中国（上海）自由贸易试验区世纪大道1196号世纪汇办公楼二座27层</w:t>
      </w:r>
    </w:p>
    <w:p w14:paraId="09FE72AB">
      <w:pPr>
        <w:spacing w:line="360" w:lineRule="auto"/>
        <w:ind w:firstLine="482" w:firstLineChars="200"/>
        <w:rPr>
          <w:rFonts w:ascii="Times New Roman" w:hAnsi="Times New Roman" w:eastAsia="宋体" w:cs="Times New Roman"/>
          <w:b/>
          <w:bCs/>
          <w:sz w:val="24"/>
          <w:szCs w:val="24"/>
          <w:lang w:val="zh-CN"/>
        </w:rPr>
      </w:pPr>
      <w:r>
        <w:rPr>
          <w:rFonts w:hint="eastAsia" w:ascii="Times New Roman" w:hAnsi="Times New Roman" w:eastAsia="宋体" w:cs="Times New Roman"/>
          <w:b/>
          <w:bCs/>
          <w:sz w:val="24"/>
          <w:szCs w:val="24"/>
          <w:lang w:val="zh-CN"/>
        </w:rPr>
        <w:t>九、如本招募说明书存在任何您</w:t>
      </w:r>
      <w:r>
        <w:rPr>
          <w:rFonts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zh-CN"/>
        </w:rPr>
        <w:t>贵机构无法理解的内容，请联系基金管理人客户服务中心热线，或通过电子邮件、传真、信件等方式联系基金管理人。请确保投资前，您</w:t>
      </w:r>
      <w:r>
        <w:rPr>
          <w:rFonts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zh-CN"/>
        </w:rPr>
        <w:t>贵机构已经全面理解了本招募说明书。</w:t>
      </w:r>
    </w:p>
    <w:p w14:paraId="0181C039">
      <w:pPr>
        <w:spacing w:line="360" w:lineRule="auto"/>
        <w:ind w:firstLine="482" w:firstLineChars="200"/>
        <w:rPr>
          <w:rFonts w:ascii="Times New Roman" w:hAnsi="Times New Roman" w:eastAsia="宋体" w:cs="Times New Roman"/>
          <w:b/>
          <w:bCs/>
          <w:sz w:val="24"/>
          <w:szCs w:val="24"/>
        </w:rPr>
      </w:pPr>
    </w:p>
    <w:p w14:paraId="69B803BA">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r>
        <w:rPr>
          <w:rFonts w:ascii="Times New Roman" w:hAnsi="Times New Roman" w:eastAsia="宋体" w:cs="Times New Roman"/>
          <w:b/>
          <w:kern w:val="0"/>
          <w:sz w:val="24"/>
          <w:szCs w:val="20"/>
        </w:rPr>
        <w:br w:type="page"/>
      </w:r>
      <w:bookmarkStart w:id="164" w:name="_Toc213077641"/>
      <w:bookmarkStart w:id="165" w:name="_Toc4471"/>
      <w:bookmarkStart w:id="166" w:name="_Toc26297"/>
      <w:r>
        <w:rPr>
          <w:rFonts w:hint="eastAsia" w:ascii="Times New Roman" w:hAnsi="Times New Roman" w:eastAsia="宋体" w:cs="Times New Roman"/>
          <w:b/>
          <w:kern w:val="0"/>
          <w:sz w:val="32"/>
          <w:szCs w:val="20"/>
        </w:rPr>
        <w:t>第二十二部分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招募说明书的存放及查阅方式</w:t>
      </w:r>
      <w:bookmarkEnd w:id="164"/>
      <w:bookmarkEnd w:id="165"/>
      <w:bookmarkEnd w:id="166"/>
    </w:p>
    <w:p w14:paraId="5373D92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招募说明书公布后，应当分别置备于</w:t>
      </w:r>
      <w:r>
        <w:rPr>
          <w:rFonts w:ascii="Times New Roman" w:hAnsi="Times New Roman" w:eastAsia="宋体" w:cs="Times New Roman"/>
          <w:sz w:val="24"/>
          <w:szCs w:val="24"/>
        </w:rPr>
        <w:t>基金管理人、基金托管人</w:t>
      </w:r>
      <w:r>
        <w:rPr>
          <w:rFonts w:ascii="Times New Roman" w:hAnsi="Times New Roman" w:eastAsia="宋体" w:cs="Times New Roman"/>
          <w:bCs/>
          <w:sz w:val="24"/>
          <w:szCs w:val="24"/>
        </w:rPr>
        <w:t>和基金销售机构的住所</w:t>
      </w:r>
      <w:r>
        <w:rPr>
          <w:rFonts w:hint="eastAsia" w:ascii="Times New Roman" w:hAnsi="Times New Roman" w:eastAsia="宋体" w:cs="Times New Roman"/>
          <w:sz w:val="24"/>
          <w:szCs w:val="24"/>
        </w:rPr>
        <w:t>，供公众查阅、复制。投资者在支付工本费后，可在合理时间内取得上述文件的复制件或复印件</w:t>
      </w:r>
      <w:r>
        <w:rPr>
          <w:rFonts w:ascii="Times New Roman" w:hAnsi="Times New Roman" w:eastAsia="宋体" w:cs="Times New Roman"/>
          <w:sz w:val="24"/>
          <w:szCs w:val="24"/>
        </w:rPr>
        <w:t>，但应以基金备查文件正本为准</w:t>
      </w:r>
      <w:r>
        <w:rPr>
          <w:rFonts w:hint="eastAsia" w:ascii="Times New Roman" w:hAnsi="Times New Roman" w:eastAsia="宋体" w:cs="Times New Roman"/>
          <w:sz w:val="24"/>
          <w:szCs w:val="24"/>
        </w:rPr>
        <w:t>。</w:t>
      </w:r>
    </w:p>
    <w:p w14:paraId="1E5F7A27">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sz w:val="24"/>
          <w:szCs w:val="24"/>
        </w:rPr>
        <w:t>基金管理人和基金托管人保证文本的内容与公告的内容完全一致。</w:t>
      </w:r>
    </w:p>
    <w:p w14:paraId="4FDDE5BC">
      <w:pPr>
        <w:widowControl/>
        <w:spacing w:line="360" w:lineRule="auto"/>
        <w:ind w:firstLine="480" w:firstLineChars="200"/>
        <w:rPr>
          <w:rFonts w:ascii="Times New Roman" w:hAnsi="Times New Roman" w:eastAsia="宋体" w:cs="Times New Roman"/>
          <w:kern w:val="0"/>
          <w:sz w:val="24"/>
          <w:szCs w:val="24"/>
        </w:rPr>
      </w:pPr>
    </w:p>
    <w:p w14:paraId="0EC346A6">
      <w:pPr>
        <w:keepNext/>
        <w:keepLines/>
        <w:spacing w:before="312" w:beforeLines="100" w:after="312" w:afterLines="100" w:line="360" w:lineRule="auto"/>
        <w:jc w:val="center"/>
        <w:outlineLvl w:val="0"/>
        <w:rPr>
          <w:rFonts w:ascii="Times New Roman" w:hAnsi="Times New Roman" w:eastAsia="宋体" w:cs="Times New Roman"/>
          <w:b/>
          <w:kern w:val="0"/>
          <w:sz w:val="32"/>
          <w:szCs w:val="20"/>
        </w:rPr>
      </w:pPr>
      <w:r>
        <w:rPr>
          <w:rFonts w:ascii="Times New Roman" w:hAnsi="Times New Roman" w:eastAsia="宋体" w:cs="Times New Roman"/>
          <w:b/>
          <w:kern w:val="0"/>
          <w:sz w:val="32"/>
          <w:szCs w:val="20"/>
        </w:rPr>
        <w:br w:type="page"/>
      </w:r>
      <w:bookmarkStart w:id="167" w:name="_Toc213077642"/>
      <w:bookmarkStart w:id="168" w:name="_Toc7373"/>
      <w:bookmarkStart w:id="169" w:name="_Toc3527"/>
      <w:r>
        <w:rPr>
          <w:rFonts w:hint="eastAsia" w:ascii="Times New Roman" w:hAnsi="Times New Roman" w:eastAsia="宋体" w:cs="Times New Roman"/>
          <w:b/>
          <w:kern w:val="0"/>
          <w:sz w:val="32"/>
          <w:szCs w:val="20"/>
        </w:rPr>
        <w:t>第二十三部分</w:t>
      </w:r>
      <w:r>
        <w:rPr>
          <w:rFonts w:ascii="Times New Roman" w:hAnsi="Times New Roman" w:eastAsia="宋体" w:cs="Times New Roman"/>
          <w:b/>
          <w:kern w:val="0"/>
          <w:sz w:val="32"/>
          <w:szCs w:val="20"/>
        </w:rPr>
        <w:t xml:space="preserve">  </w:t>
      </w:r>
      <w:r>
        <w:rPr>
          <w:rFonts w:hint="eastAsia" w:ascii="Times New Roman" w:hAnsi="Times New Roman" w:eastAsia="宋体" w:cs="Times New Roman"/>
          <w:b/>
          <w:kern w:val="0"/>
          <w:sz w:val="32"/>
          <w:szCs w:val="20"/>
        </w:rPr>
        <w:t>备查文件</w:t>
      </w:r>
      <w:bookmarkEnd w:id="167"/>
      <w:bookmarkEnd w:id="168"/>
      <w:bookmarkEnd w:id="169"/>
    </w:p>
    <w:p w14:paraId="747A109D">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以下备查文件存放在基金管理人、基金托管人的办公场所，在办公时间可供免费查阅。</w:t>
      </w:r>
    </w:p>
    <w:p w14:paraId="09DC4DBA">
      <w:pPr>
        <w:widowControl/>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w:t>
      </w:r>
      <w:r>
        <w:rPr>
          <w:rFonts w:ascii="Times New Roman" w:hAnsi="Times New Roman" w:eastAsia="宋体" w:cs="Times New Roman"/>
          <w:sz w:val="24"/>
          <w:szCs w:val="24"/>
        </w:rPr>
        <w:t>中国证监会准予</w:t>
      </w:r>
      <w:r>
        <w:rPr>
          <w:rFonts w:hint="eastAsia" w:ascii="Times New Roman" w:hAnsi="Times New Roman" w:eastAsia="宋体" w:cs="Times New Roman"/>
          <w:sz w:val="24"/>
          <w:szCs w:val="24"/>
        </w:rPr>
        <w:t>富国裕丰回报混合型证券投资基金</w:t>
      </w:r>
      <w:r>
        <w:rPr>
          <w:rFonts w:ascii="Times New Roman" w:hAnsi="Times New Roman" w:eastAsia="宋体" w:cs="Times New Roman"/>
          <w:sz w:val="24"/>
          <w:szCs w:val="24"/>
        </w:rPr>
        <w:t>募集</w:t>
      </w:r>
      <w:r>
        <w:rPr>
          <w:rFonts w:hint="eastAsia" w:ascii="Times New Roman" w:hAnsi="Times New Roman" w:eastAsia="宋体" w:cs="Times New Roman"/>
          <w:sz w:val="24"/>
          <w:szCs w:val="24"/>
        </w:rPr>
        <w:t>注册</w:t>
      </w:r>
      <w:r>
        <w:rPr>
          <w:rFonts w:ascii="Times New Roman" w:hAnsi="Times New Roman" w:eastAsia="宋体" w:cs="Times New Roman"/>
          <w:sz w:val="24"/>
          <w:szCs w:val="24"/>
        </w:rPr>
        <w:t>的文件</w:t>
      </w:r>
    </w:p>
    <w:p w14:paraId="639E8141">
      <w:pPr>
        <w:widowControl/>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（二）《</w:t>
      </w:r>
      <w:r>
        <w:rPr>
          <w:rFonts w:hint="eastAsia" w:ascii="Times New Roman" w:hAnsi="Times New Roman" w:eastAsia="宋体" w:cs="Times New Roman"/>
          <w:kern w:val="0"/>
          <w:sz w:val="24"/>
          <w:szCs w:val="24"/>
        </w:rPr>
        <w:t>富国裕丰回报混合型证券投资基金</w:t>
      </w:r>
      <w:r>
        <w:rPr>
          <w:rFonts w:ascii="Times New Roman" w:hAnsi="Times New Roman" w:eastAsia="宋体" w:cs="Times New Roman"/>
          <w:kern w:val="0"/>
          <w:sz w:val="24"/>
          <w:szCs w:val="24"/>
        </w:rPr>
        <w:t>基金合同》</w:t>
      </w:r>
    </w:p>
    <w:p w14:paraId="52D18CA7">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（三）《富国裕丰回报混合型证券投资基金</w:t>
      </w:r>
      <w:r>
        <w:rPr>
          <w:rFonts w:ascii="Times New Roman" w:hAnsi="Times New Roman" w:eastAsia="宋体" w:cs="Times New Roman"/>
          <w:kern w:val="0"/>
          <w:sz w:val="24"/>
          <w:szCs w:val="24"/>
        </w:rPr>
        <w:t>托管协议》</w:t>
      </w:r>
    </w:p>
    <w:p w14:paraId="4C0DCE0A">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（四）</w:t>
      </w:r>
      <w:r>
        <w:rPr>
          <w:rFonts w:ascii="Times New Roman" w:hAnsi="Times New Roman" w:eastAsia="宋体" w:cs="Times New Roman"/>
          <w:kern w:val="0"/>
          <w:sz w:val="24"/>
          <w:szCs w:val="24"/>
        </w:rPr>
        <w:t>基金管理人业务资格批件、营业执照</w:t>
      </w:r>
    </w:p>
    <w:p w14:paraId="48A63AA3">
      <w:pPr>
        <w:widowControl/>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（五）基金托管人业务资格批件、营业执照</w:t>
      </w:r>
    </w:p>
    <w:p w14:paraId="2C24535C">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（六）关于申请募集</w:t>
      </w:r>
      <w:r>
        <w:rPr>
          <w:rFonts w:hint="eastAsia" w:ascii="Times New Roman" w:hAnsi="Times New Roman" w:eastAsia="宋体" w:cs="Times New Roman"/>
          <w:kern w:val="0"/>
          <w:sz w:val="24"/>
          <w:szCs w:val="24"/>
        </w:rPr>
        <w:t>富国裕丰回报混合型证券投资基金之法律意见书</w:t>
      </w:r>
    </w:p>
    <w:p w14:paraId="089EC997">
      <w:pPr>
        <w:tabs>
          <w:tab w:val="left" w:pos="1501"/>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（七）中国证监会要求的其他文件</w:t>
      </w:r>
    </w:p>
    <w:p w14:paraId="4EA85F2D">
      <w:pPr>
        <w:widowControl/>
        <w:spacing w:line="360" w:lineRule="auto"/>
        <w:ind w:firstLine="480" w:firstLineChars="200"/>
        <w:rPr>
          <w:rFonts w:ascii="Times New Roman" w:hAnsi="Times New Roman" w:eastAsia="宋体" w:cs="Times New Roman"/>
          <w:kern w:val="0"/>
          <w:sz w:val="24"/>
          <w:szCs w:val="24"/>
        </w:rPr>
      </w:pPr>
    </w:p>
    <w:p w14:paraId="2C581977">
      <w:pPr>
        <w:spacing w:line="360" w:lineRule="auto"/>
        <w:ind w:firstLine="5280" w:firstLineChars="2200"/>
        <w:jc w:val="right"/>
        <w:rPr>
          <w:rFonts w:ascii="Times New Roman" w:hAnsi="Times New Roman" w:eastAsia="宋体" w:cs="Times New Roman"/>
          <w:sz w:val="24"/>
          <w:szCs w:val="24"/>
        </w:rPr>
      </w:pPr>
      <w:r>
        <w:rPr>
          <w:rFonts w:ascii="Times New Roman" w:hAnsi="Times New Roman" w:eastAsia="宋体" w:cs="Times New Roman"/>
          <w:sz w:val="24"/>
          <w:szCs w:val="24"/>
        </w:rPr>
        <w:t>富国基金管理有限公司</w:t>
      </w:r>
    </w:p>
    <w:p w14:paraId="4AD5B515">
      <w:pPr>
        <w:wordWrap w:val="0"/>
        <w:spacing w:line="36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2026年6月1日</w:t>
      </w:r>
    </w:p>
    <w:p w14:paraId="0390D215">
      <w:pPr>
        <w:wordWrap w:val="0"/>
        <w:spacing w:line="360" w:lineRule="auto"/>
        <w:ind w:firstLine="480" w:firstLineChars="200"/>
        <w:jc w:val="right"/>
        <w:rPr>
          <w:rFonts w:ascii="Times New Roman" w:hAnsi="Times New Roman" w:eastAsia="宋体" w:cs="Times New Roman"/>
          <w:sz w:val="24"/>
          <w:szCs w:val="24"/>
        </w:rPr>
      </w:pPr>
    </w:p>
    <w:p w14:paraId="65D80EDF">
      <w:pPr>
        <w:spacing w:line="360" w:lineRule="auto"/>
        <w:ind w:firstLine="480" w:firstLineChars="200"/>
        <w:rPr>
          <w:rFonts w:ascii="Times New Roman" w:hAnsi="Times New Roman" w:eastAsia="宋体" w:cs="Times New Roman"/>
          <w:sz w:val="24"/>
          <w:szCs w:val="24"/>
        </w:rPr>
      </w:pPr>
    </w:p>
    <w:p w14:paraId="2CBF7766">
      <w:pPr>
        <w:spacing w:line="360" w:lineRule="auto"/>
        <w:ind w:firstLine="480" w:firstLineChars="200"/>
        <w:rPr>
          <w:rFonts w:ascii="Times New Roman" w:hAnsi="Times New Roman" w:eastAsia="宋体" w:cs="Times New Roman"/>
          <w:sz w:val="24"/>
          <w:szCs w:val="24"/>
        </w:rPr>
      </w:pPr>
    </w:p>
    <w:p w14:paraId="48545D98">
      <w:pPr>
        <w:spacing w:line="360" w:lineRule="auto"/>
        <w:ind w:firstLine="480" w:firstLineChars="200"/>
        <w:rPr>
          <w:rFonts w:ascii="Times New Roman" w:hAnsi="Times New Roman" w:eastAsia="宋体" w:cs="Times New Roman"/>
          <w:sz w:val="24"/>
          <w:szCs w:val="24"/>
        </w:rPr>
      </w:pPr>
    </w:p>
    <w:p w14:paraId="67976C61">
      <w:pPr>
        <w:spacing w:line="360" w:lineRule="auto"/>
        <w:ind w:firstLine="480" w:firstLineChars="200"/>
        <w:rPr>
          <w:rFonts w:ascii="Times New Roman" w:hAnsi="Times New Roman" w:eastAsia="宋体" w:cs="Times New Roman"/>
          <w:sz w:val="24"/>
          <w:szCs w:val="24"/>
        </w:rPr>
      </w:pPr>
    </w:p>
    <w:p w14:paraId="3725AF1D">
      <w:pPr>
        <w:spacing w:line="360" w:lineRule="auto"/>
        <w:ind w:firstLine="480" w:firstLineChars="200"/>
        <w:rPr>
          <w:rFonts w:ascii="Times New Roman" w:hAnsi="Times New Roman" w:eastAsia="宋体" w:cs="Times New Roman"/>
          <w:sz w:val="24"/>
          <w:szCs w:val="24"/>
        </w:rPr>
      </w:pPr>
    </w:p>
    <w:p w14:paraId="3BBBB843">
      <w:pPr>
        <w:spacing w:line="360" w:lineRule="auto"/>
        <w:ind w:firstLine="480" w:firstLineChars="200"/>
        <w:rPr>
          <w:rFonts w:ascii="Times New Roman" w:hAnsi="Times New Roman" w:eastAsia="宋体" w:cs="Times New Roman"/>
          <w:sz w:val="24"/>
          <w:szCs w:val="24"/>
        </w:rPr>
      </w:pPr>
    </w:p>
    <w:p w14:paraId="2B98BC2E">
      <w:pPr>
        <w:spacing w:line="360" w:lineRule="auto"/>
        <w:rPr>
          <w:rFonts w:ascii="Times New Roman" w:hAnsi="Times New Roman" w:eastAsia="宋体" w:cs="Times New Roman"/>
          <w:sz w:val="24"/>
          <w:szCs w:val="24"/>
        </w:rPr>
      </w:pPr>
    </w:p>
    <w:bookmarkEnd w:id="0"/>
    <w:bookmarkEnd w:id="1"/>
    <w:p w14:paraId="1D780263"/>
    <w:sectPr>
      <w:footerReference r:id="rId11" w:type="default"/>
      <w:pgSz w:w="11906" w:h="16838"/>
      <w:pgMar w:top="1440" w:right="1826" w:bottom="1440" w:left="162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_GB2312">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五">
    <w:altName w:val="黑体"/>
    <w:panose1 w:val="00000000000000000000"/>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CECE">
    <w:pPr>
      <w:pStyle w:val="30"/>
      <w:framePr w:wrap="around" w:vAnchor="text" w:hAnchor="margin" w:xAlign="center" w:y="1"/>
      <w:ind w:firstLine="360"/>
      <w:rPr>
        <w:rStyle w:val="46"/>
        <w:color w:val="FFFFFF"/>
      </w:rPr>
    </w:pPr>
    <w:r>
      <w:rPr>
        <w:rStyle w:val="46"/>
        <w:color w:val="FFFFFF"/>
      </w:rPr>
      <w:fldChar w:fldCharType="begin"/>
    </w:r>
    <w:r>
      <w:rPr>
        <w:rStyle w:val="46"/>
        <w:color w:val="FFFFFF"/>
      </w:rPr>
      <w:instrText xml:space="preserve">PAGE  </w:instrText>
    </w:r>
    <w:r>
      <w:rPr>
        <w:rStyle w:val="46"/>
        <w:color w:val="FFFFFF"/>
      </w:rPr>
      <w:fldChar w:fldCharType="separate"/>
    </w:r>
    <w:r>
      <w:rPr>
        <w:rStyle w:val="46"/>
        <w:color w:val="FFFFFF"/>
      </w:rPr>
      <w:t>0</w:t>
    </w:r>
    <w:r>
      <w:rPr>
        <w:rStyle w:val="46"/>
        <w:color w:val="FFFFFF"/>
      </w:rPr>
      <w:fldChar w:fldCharType="end"/>
    </w:r>
  </w:p>
  <w:p w14:paraId="1713919A">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3454">
    <w:pPr>
      <w:pStyle w:val="30"/>
      <w:framePr w:wrap="around" w:vAnchor="text" w:hAnchor="margin" w:xAlign="center" w:y="1"/>
      <w:ind w:firstLine="360"/>
      <w:rPr>
        <w:rStyle w:val="46"/>
      </w:rPr>
    </w:pPr>
    <w:r>
      <w:rPr>
        <w:rStyle w:val="46"/>
      </w:rPr>
      <w:fldChar w:fldCharType="begin"/>
    </w:r>
    <w:r>
      <w:rPr>
        <w:rStyle w:val="46"/>
      </w:rPr>
      <w:instrText xml:space="preserve">PAGE  </w:instrText>
    </w:r>
    <w:r>
      <w:rPr>
        <w:rStyle w:val="46"/>
      </w:rPr>
      <w:fldChar w:fldCharType="end"/>
    </w:r>
  </w:p>
  <w:p w14:paraId="05684885">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9B03">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19609">
    <w:pPr>
      <w:pStyle w:val="30"/>
      <w:framePr w:wrap="around" w:vAnchor="text" w:hAnchor="margin" w:xAlign="center" w:y="1"/>
      <w:ind w:firstLine="360"/>
      <w:rPr>
        <w:rStyle w:val="46"/>
        <w:rFonts w:hint="eastAsia" w:ascii="宋体" w:hAnsi="宋体"/>
      </w:rPr>
    </w:pPr>
    <w:r>
      <w:rPr>
        <w:rStyle w:val="46"/>
        <w:rFonts w:ascii="宋体" w:hAnsi="宋体"/>
      </w:rPr>
      <w:fldChar w:fldCharType="begin"/>
    </w:r>
    <w:r>
      <w:rPr>
        <w:rStyle w:val="46"/>
        <w:rFonts w:ascii="宋体" w:hAnsi="宋体"/>
      </w:rPr>
      <w:instrText xml:space="preserve">PAGE  </w:instrText>
    </w:r>
    <w:r>
      <w:rPr>
        <w:rStyle w:val="46"/>
        <w:rFonts w:ascii="宋体" w:hAnsi="宋体"/>
      </w:rPr>
      <w:fldChar w:fldCharType="separate"/>
    </w:r>
    <w:r>
      <w:rPr>
        <w:rStyle w:val="46"/>
        <w:rFonts w:ascii="宋体" w:hAnsi="宋体"/>
      </w:rPr>
      <w:t>38</w:t>
    </w:r>
    <w:r>
      <w:rPr>
        <w:rStyle w:val="46"/>
        <w:rFonts w:ascii="宋体" w:hAnsi="宋体"/>
      </w:rPr>
      <w:fldChar w:fldCharType="end"/>
    </w:r>
  </w:p>
  <w:p w14:paraId="58059CBA">
    <w:pPr>
      <w:pStyle w:val="3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862158"/>
    </w:sdtPr>
    <w:sdtContent>
      <w:p w14:paraId="4516D880">
        <w:pPr>
          <w:pStyle w:val="30"/>
          <w:ind w:firstLine="360"/>
          <w:jc w:val="center"/>
        </w:pPr>
        <w:r>
          <w:fldChar w:fldCharType="begin"/>
        </w:r>
        <w:r>
          <w:instrText xml:space="preserve">PAGE   \* MERGEFORMAT</w:instrText>
        </w:r>
        <w:r>
          <w:fldChar w:fldCharType="separate"/>
        </w:r>
        <w:r>
          <w:rPr>
            <w:lang w:val="zh-CN"/>
          </w:rPr>
          <w:t>59</w:t>
        </w:r>
        <w:r>
          <w:rPr>
            <w:lang w:val="zh-CN"/>
          </w:rPr>
          <w:fldChar w:fldCharType="end"/>
        </w:r>
      </w:p>
    </w:sdtContent>
  </w:sdt>
  <w:p w14:paraId="187C7241">
    <w:pPr>
      <w:pStyle w:val="3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83B1">
    <w:pPr>
      <w:pStyle w:val="31"/>
      <w:tabs>
        <w:tab w:val="right" w:pos="8280"/>
      </w:tabs>
      <w:spacing w:line="160" w:lineRule="exact"/>
      <w:ind w:firstLine="360"/>
      <w:jc w:val="right"/>
    </w:pPr>
  </w:p>
  <w:p w14:paraId="5D34D964">
    <w:pPr>
      <w:pStyle w:val="31"/>
      <w:tabs>
        <w:tab w:val="right" w:pos="8280"/>
      </w:tabs>
      <w:spacing w:line="160" w:lineRule="exact"/>
      <w:ind w:firstLine="360"/>
      <w:jc w:val="right"/>
      <w:rPr>
        <w:rFonts w:hint="eastAsia" w:ascii="宋体" w:hAnsi="宋体"/>
      </w:rPr>
    </w:pPr>
  </w:p>
  <w:p w14:paraId="4F84C517">
    <w:pPr>
      <w:pStyle w:val="31"/>
      <w:tabs>
        <w:tab w:val="right" w:pos="8280"/>
      </w:tabs>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6D72">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2300">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7957">
    <w:pPr>
      <w:pStyle w:val="31"/>
      <w:jc w:val="left"/>
      <w:rPr>
        <w:rFonts w:ascii="华文行楷"/>
        <w:u w:val="single"/>
      </w:rPr>
    </w:pPr>
    <w:r>
      <w:rPr>
        <w:rFonts w:hint="eastAsia" w:ascii="华文行楷"/>
        <w:u w:val="single"/>
      </w:rPr>
      <w:t>富国裕丰回报混合型证券投资基金</w:t>
    </w:r>
    <w:r>
      <w:rPr>
        <w:rFonts w:ascii="华文行楷"/>
        <w:u w:val="single"/>
      </w:rPr>
      <w:ptab w:relativeTo="margin" w:alignment="center" w:leader="none"/>
    </w:r>
    <w:r>
      <w:rPr>
        <w:rFonts w:ascii="华文行楷"/>
        <w:u w:val="single"/>
      </w:rPr>
      <w:ptab w:relativeTo="margin" w:alignment="right" w:leader="none"/>
    </w:r>
    <w:r>
      <w:rPr>
        <w:rFonts w:hint="eastAsia" w:ascii="华文行楷"/>
        <w:u w:val="single"/>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91"/>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845599"/>
    <w:multiLevelType w:val="multilevel"/>
    <w:tmpl w:val="1B845599"/>
    <w:lvl w:ilvl="0" w:tentative="0">
      <w:start w:val="1"/>
      <w:numFmt w:val="chineseCountingThousand"/>
      <w:pStyle w:val="120"/>
      <w:suff w:val="nothing"/>
      <w:lvlText w:val="%1、"/>
      <w:lvlJc w:val="left"/>
      <w:pPr>
        <w:ind w:left="420" w:hanging="42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1" w:tentative="0">
      <w:start w:val="1"/>
      <w:numFmt w:val="lowerLetter"/>
      <w:lvlText w:val="%2)"/>
      <w:lvlJc w:val="left"/>
      <w:pPr>
        <w:ind w:left="-3271" w:hanging="420"/>
      </w:pPr>
    </w:lvl>
    <w:lvl w:ilvl="2" w:tentative="0">
      <w:start w:val="1"/>
      <w:numFmt w:val="lowerRoman"/>
      <w:lvlText w:val="%3."/>
      <w:lvlJc w:val="right"/>
      <w:pPr>
        <w:ind w:left="-2851" w:hanging="420"/>
      </w:pPr>
    </w:lvl>
    <w:lvl w:ilvl="3" w:tentative="0">
      <w:start w:val="1"/>
      <w:numFmt w:val="decimal"/>
      <w:lvlText w:val="%4."/>
      <w:lvlJc w:val="left"/>
      <w:pPr>
        <w:ind w:left="-2431" w:hanging="420"/>
      </w:pPr>
    </w:lvl>
    <w:lvl w:ilvl="4" w:tentative="0">
      <w:start w:val="1"/>
      <w:numFmt w:val="lowerLetter"/>
      <w:lvlText w:val="%5)"/>
      <w:lvlJc w:val="left"/>
      <w:pPr>
        <w:ind w:left="-2011" w:hanging="420"/>
      </w:pPr>
    </w:lvl>
    <w:lvl w:ilvl="5" w:tentative="0">
      <w:start w:val="1"/>
      <w:numFmt w:val="lowerRoman"/>
      <w:lvlText w:val="%6."/>
      <w:lvlJc w:val="right"/>
      <w:pPr>
        <w:ind w:left="-1591" w:hanging="420"/>
      </w:pPr>
    </w:lvl>
    <w:lvl w:ilvl="6" w:tentative="0">
      <w:start w:val="1"/>
      <w:numFmt w:val="decimal"/>
      <w:lvlText w:val="%7."/>
      <w:lvlJc w:val="left"/>
      <w:pPr>
        <w:ind w:left="-1171" w:hanging="420"/>
      </w:pPr>
    </w:lvl>
    <w:lvl w:ilvl="7" w:tentative="0">
      <w:start w:val="1"/>
      <w:numFmt w:val="lowerLetter"/>
      <w:lvlText w:val="%8)"/>
      <w:lvlJc w:val="left"/>
      <w:pPr>
        <w:ind w:left="-751" w:hanging="420"/>
      </w:pPr>
    </w:lvl>
    <w:lvl w:ilvl="8" w:tentative="0">
      <w:start w:val="1"/>
      <w:numFmt w:val="lowerRoman"/>
      <w:lvlText w:val="%9."/>
      <w:lvlJc w:val="right"/>
      <w:pPr>
        <w:ind w:left="-331" w:hanging="420"/>
      </w:pPr>
    </w:lvl>
  </w:abstractNum>
  <w:abstractNum w:abstractNumId="2">
    <w:nsid w:val="3549643A"/>
    <w:multiLevelType w:val="multilevel"/>
    <w:tmpl w:val="3549643A"/>
    <w:lvl w:ilvl="0" w:tentative="0">
      <w:start w:val="1"/>
      <w:numFmt w:val="decimal"/>
      <w:pStyle w:val="94"/>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48DC602A"/>
    <w:multiLevelType w:val="multilevel"/>
    <w:tmpl w:val="48DC602A"/>
    <w:lvl w:ilvl="0" w:tentative="0">
      <w:start w:val="1"/>
      <w:numFmt w:val="none"/>
      <w:suff w:val="nothing"/>
      <w:lvlText w:val=""/>
      <w:lvlJc w:val="left"/>
      <w:pPr>
        <w:ind w:left="0" w:firstLine="0"/>
      </w:pPr>
      <w:rPr>
        <w:rFonts w:hint="eastAsia" w:ascii="楷体_GB2312" w:eastAsia="@楷体_GB2312"/>
        <w:b/>
        <w:i w:val="0"/>
        <w:sz w:val="30"/>
      </w:rPr>
    </w:lvl>
    <w:lvl w:ilvl="1" w:tentative="0">
      <w:start w:val="1"/>
      <w:numFmt w:val="chineseCountingThousand"/>
      <w:suff w:val="nothing"/>
      <w:lvlText w:val="第%2章"/>
      <w:lvlJc w:val="left"/>
      <w:pPr>
        <w:ind w:left="0" w:firstLine="0"/>
      </w:pPr>
      <w:rPr>
        <w:rFonts w:hint="eastAsia" w:ascii="楷体_GB2312" w:eastAsia="@楷体_GB2312"/>
        <w:b/>
        <w:i w:val="0"/>
        <w:sz w:val="30"/>
      </w:rPr>
    </w:lvl>
    <w:lvl w:ilvl="2" w:tentative="0">
      <w:start w:val="1"/>
      <w:numFmt w:val="chineseCountingThousand"/>
      <w:suff w:val="nothing"/>
      <w:lvlText w:val="%3、"/>
      <w:lvlJc w:val="left"/>
      <w:pPr>
        <w:ind w:left="0" w:firstLine="0"/>
      </w:pPr>
      <w:rPr>
        <w:rFonts w:hint="eastAsia" w:ascii="楷体_GB2312" w:eastAsia="@楷体_GB2312"/>
        <w:b w:val="0"/>
        <w:i w:val="0"/>
        <w:sz w:val="28"/>
      </w:rPr>
    </w:lvl>
    <w:lvl w:ilvl="3" w:tentative="0">
      <w:start w:val="1"/>
      <w:numFmt w:val="chineseCountingThousand"/>
      <w:pStyle w:val="86"/>
      <w:suff w:val="nothing"/>
      <w:lvlText w:val="（%4）"/>
      <w:lvlJc w:val="left"/>
      <w:pPr>
        <w:ind w:left="0" w:firstLine="0"/>
      </w:pPr>
      <w:rPr>
        <w:rFonts w:hint="eastAsia" w:ascii="楷体_GB2312" w:eastAsia="@楷体_GB2312"/>
        <w:b w:val="0"/>
        <w:i w:val="0"/>
        <w:sz w:val="24"/>
      </w:rPr>
    </w:lvl>
    <w:lvl w:ilvl="4" w:tentative="0">
      <w:start w:val="1"/>
      <w:numFmt w:val="decimal"/>
      <w:suff w:val="nothing"/>
      <w:lvlText w:val="%5、"/>
      <w:lvlJc w:val="left"/>
      <w:pPr>
        <w:ind w:left="0" w:firstLine="0"/>
      </w:pPr>
      <w:rPr>
        <w:rFonts w:hint="default" w:ascii="Times New Roman" w:hAnsi="Times New Roman"/>
        <w:b w:val="0"/>
        <w:i w:val="0"/>
        <w:sz w:val="24"/>
      </w:rPr>
    </w:lvl>
    <w:lvl w:ilvl="5" w:tentative="0">
      <w:start w:val="1"/>
      <w:numFmt w:val="decimal"/>
      <w:suff w:val="nothing"/>
      <w:lvlText w:val="（%6）"/>
      <w:lvlJc w:val="left"/>
      <w:pPr>
        <w:ind w:left="0" w:firstLine="0"/>
      </w:pPr>
      <w:rPr>
        <w:rFonts w:hint="default" w:ascii="Times New Roman" w:hAnsi="Times New Roman"/>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FE147B6"/>
    <w:multiLevelType w:val="singleLevel"/>
    <w:tmpl w:val="6FE147B6"/>
    <w:lvl w:ilvl="0" w:tentative="0">
      <w:start w:val="1"/>
      <w:numFmt w:val="decimal"/>
      <w:pStyle w:val="89"/>
      <w:lvlText w:val="(%1)"/>
      <w:lvlJc w:val="left"/>
      <w:pPr>
        <w:tabs>
          <w:tab w:val="left" w:pos="360"/>
        </w:tabs>
        <w:ind w:left="0" w:firstLine="0"/>
      </w:pPr>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0NzYyYjI1OGUwMjNjMTMzZDE5MGI1OTNlNWM5YWQifQ=="/>
  </w:docVars>
  <w:rsids>
    <w:rsidRoot w:val="00C41CCC"/>
    <w:rsid w:val="0000023D"/>
    <w:rsid w:val="00003C20"/>
    <w:rsid w:val="00005D11"/>
    <w:rsid w:val="000074C1"/>
    <w:rsid w:val="00011DFD"/>
    <w:rsid w:val="00020188"/>
    <w:rsid w:val="00024528"/>
    <w:rsid w:val="000404A6"/>
    <w:rsid w:val="0004274F"/>
    <w:rsid w:val="00044C38"/>
    <w:rsid w:val="000516C4"/>
    <w:rsid w:val="00055FDF"/>
    <w:rsid w:val="0006092C"/>
    <w:rsid w:val="0006501B"/>
    <w:rsid w:val="0006578F"/>
    <w:rsid w:val="000676A0"/>
    <w:rsid w:val="00070F5E"/>
    <w:rsid w:val="00072B15"/>
    <w:rsid w:val="0008169B"/>
    <w:rsid w:val="000826A4"/>
    <w:rsid w:val="00083EF7"/>
    <w:rsid w:val="00085ABB"/>
    <w:rsid w:val="00092A17"/>
    <w:rsid w:val="00096B59"/>
    <w:rsid w:val="000A0E19"/>
    <w:rsid w:val="000A77BC"/>
    <w:rsid w:val="000B0869"/>
    <w:rsid w:val="000B4A74"/>
    <w:rsid w:val="000D36F9"/>
    <w:rsid w:val="000E55A3"/>
    <w:rsid w:val="000E5D65"/>
    <w:rsid w:val="000E5E66"/>
    <w:rsid w:val="000F1509"/>
    <w:rsid w:val="000F53E0"/>
    <w:rsid w:val="00100736"/>
    <w:rsid w:val="00100D18"/>
    <w:rsid w:val="0010490E"/>
    <w:rsid w:val="00104DC2"/>
    <w:rsid w:val="00110726"/>
    <w:rsid w:val="0011316B"/>
    <w:rsid w:val="001160C6"/>
    <w:rsid w:val="00116D30"/>
    <w:rsid w:val="00121464"/>
    <w:rsid w:val="00130174"/>
    <w:rsid w:val="00132B88"/>
    <w:rsid w:val="00134B32"/>
    <w:rsid w:val="0013567F"/>
    <w:rsid w:val="00135734"/>
    <w:rsid w:val="001408BC"/>
    <w:rsid w:val="00140DEB"/>
    <w:rsid w:val="00141C35"/>
    <w:rsid w:val="00150B8B"/>
    <w:rsid w:val="00153030"/>
    <w:rsid w:val="001571E7"/>
    <w:rsid w:val="001613F3"/>
    <w:rsid w:val="00174794"/>
    <w:rsid w:val="001773A5"/>
    <w:rsid w:val="00182CD5"/>
    <w:rsid w:val="001832E7"/>
    <w:rsid w:val="00183450"/>
    <w:rsid w:val="00184828"/>
    <w:rsid w:val="00187578"/>
    <w:rsid w:val="00193495"/>
    <w:rsid w:val="00193C58"/>
    <w:rsid w:val="00196B38"/>
    <w:rsid w:val="001A12C9"/>
    <w:rsid w:val="001A331B"/>
    <w:rsid w:val="001B1B29"/>
    <w:rsid w:val="001B4C8E"/>
    <w:rsid w:val="001B5F43"/>
    <w:rsid w:val="001C4419"/>
    <w:rsid w:val="001C62E7"/>
    <w:rsid w:val="001D28CD"/>
    <w:rsid w:val="001D4D53"/>
    <w:rsid w:val="001F032D"/>
    <w:rsid w:val="001F4DA8"/>
    <w:rsid w:val="001F5593"/>
    <w:rsid w:val="001F68CA"/>
    <w:rsid w:val="001F6A7F"/>
    <w:rsid w:val="0020062C"/>
    <w:rsid w:val="00202A04"/>
    <w:rsid w:val="00205181"/>
    <w:rsid w:val="002064A0"/>
    <w:rsid w:val="00207351"/>
    <w:rsid w:val="00207C67"/>
    <w:rsid w:val="002200E3"/>
    <w:rsid w:val="00221803"/>
    <w:rsid w:val="00221FC8"/>
    <w:rsid w:val="002230A6"/>
    <w:rsid w:val="00224C56"/>
    <w:rsid w:val="0022739B"/>
    <w:rsid w:val="00234199"/>
    <w:rsid w:val="00237B11"/>
    <w:rsid w:val="00242680"/>
    <w:rsid w:val="002448D7"/>
    <w:rsid w:val="00246D90"/>
    <w:rsid w:val="00247C0F"/>
    <w:rsid w:val="00252275"/>
    <w:rsid w:val="00254229"/>
    <w:rsid w:val="00254FA0"/>
    <w:rsid w:val="00255005"/>
    <w:rsid w:val="00255E2D"/>
    <w:rsid w:val="00263AEC"/>
    <w:rsid w:val="00267AE7"/>
    <w:rsid w:val="00270619"/>
    <w:rsid w:val="002708D5"/>
    <w:rsid w:val="002719EA"/>
    <w:rsid w:val="00272B06"/>
    <w:rsid w:val="002802A7"/>
    <w:rsid w:val="00280942"/>
    <w:rsid w:val="00280B60"/>
    <w:rsid w:val="00283088"/>
    <w:rsid w:val="0028382C"/>
    <w:rsid w:val="0028503D"/>
    <w:rsid w:val="00285227"/>
    <w:rsid w:val="002876B5"/>
    <w:rsid w:val="0029080C"/>
    <w:rsid w:val="0029183B"/>
    <w:rsid w:val="002A2E3B"/>
    <w:rsid w:val="002A3B18"/>
    <w:rsid w:val="002A67F1"/>
    <w:rsid w:val="002B079C"/>
    <w:rsid w:val="002B3D7C"/>
    <w:rsid w:val="002B4539"/>
    <w:rsid w:val="002B4973"/>
    <w:rsid w:val="002C131B"/>
    <w:rsid w:val="002C6E7D"/>
    <w:rsid w:val="002C736C"/>
    <w:rsid w:val="002C75A4"/>
    <w:rsid w:val="002D65DA"/>
    <w:rsid w:val="002E04EC"/>
    <w:rsid w:val="002E06D3"/>
    <w:rsid w:val="002E2B52"/>
    <w:rsid w:val="002E36E8"/>
    <w:rsid w:val="002E5E99"/>
    <w:rsid w:val="002F5616"/>
    <w:rsid w:val="00300C3A"/>
    <w:rsid w:val="00302199"/>
    <w:rsid w:val="0030363C"/>
    <w:rsid w:val="00304E99"/>
    <w:rsid w:val="00306BC3"/>
    <w:rsid w:val="00312BCF"/>
    <w:rsid w:val="00314759"/>
    <w:rsid w:val="003155CE"/>
    <w:rsid w:val="00325CC7"/>
    <w:rsid w:val="00331B96"/>
    <w:rsid w:val="00331D65"/>
    <w:rsid w:val="00332C4E"/>
    <w:rsid w:val="003334E4"/>
    <w:rsid w:val="0033416C"/>
    <w:rsid w:val="00334676"/>
    <w:rsid w:val="00336592"/>
    <w:rsid w:val="00341392"/>
    <w:rsid w:val="00342E1D"/>
    <w:rsid w:val="003435CD"/>
    <w:rsid w:val="00347278"/>
    <w:rsid w:val="003500A4"/>
    <w:rsid w:val="00350627"/>
    <w:rsid w:val="00354E17"/>
    <w:rsid w:val="00357047"/>
    <w:rsid w:val="003601F6"/>
    <w:rsid w:val="00363B15"/>
    <w:rsid w:val="003655A6"/>
    <w:rsid w:val="003705E5"/>
    <w:rsid w:val="0037082F"/>
    <w:rsid w:val="00371731"/>
    <w:rsid w:val="00371B7C"/>
    <w:rsid w:val="00372265"/>
    <w:rsid w:val="003738B4"/>
    <w:rsid w:val="0037722F"/>
    <w:rsid w:val="00377287"/>
    <w:rsid w:val="00380A56"/>
    <w:rsid w:val="00380C96"/>
    <w:rsid w:val="00381F0D"/>
    <w:rsid w:val="00383AE1"/>
    <w:rsid w:val="00392A2A"/>
    <w:rsid w:val="00392D11"/>
    <w:rsid w:val="003A0454"/>
    <w:rsid w:val="003A0B76"/>
    <w:rsid w:val="003A13BA"/>
    <w:rsid w:val="003B0FAF"/>
    <w:rsid w:val="003B25C2"/>
    <w:rsid w:val="003C20FF"/>
    <w:rsid w:val="003C57BD"/>
    <w:rsid w:val="003C7932"/>
    <w:rsid w:val="003D0C0E"/>
    <w:rsid w:val="003D3015"/>
    <w:rsid w:val="003D3B51"/>
    <w:rsid w:val="003E47F0"/>
    <w:rsid w:val="003F10B4"/>
    <w:rsid w:val="003F1268"/>
    <w:rsid w:val="003F1A8B"/>
    <w:rsid w:val="003F23E5"/>
    <w:rsid w:val="00406FB3"/>
    <w:rsid w:val="00416D0D"/>
    <w:rsid w:val="004252DE"/>
    <w:rsid w:val="004268CD"/>
    <w:rsid w:val="004305E9"/>
    <w:rsid w:val="00433B8A"/>
    <w:rsid w:val="00437C66"/>
    <w:rsid w:val="00444853"/>
    <w:rsid w:val="004504FA"/>
    <w:rsid w:val="00450AEE"/>
    <w:rsid w:val="00463263"/>
    <w:rsid w:val="004669A3"/>
    <w:rsid w:val="00466A3F"/>
    <w:rsid w:val="0046726C"/>
    <w:rsid w:val="0047251C"/>
    <w:rsid w:val="00474D1D"/>
    <w:rsid w:val="00477487"/>
    <w:rsid w:val="004811FE"/>
    <w:rsid w:val="00481547"/>
    <w:rsid w:val="004835A0"/>
    <w:rsid w:val="0048423F"/>
    <w:rsid w:val="0049088D"/>
    <w:rsid w:val="00491ED4"/>
    <w:rsid w:val="0049204E"/>
    <w:rsid w:val="00494EA9"/>
    <w:rsid w:val="004A181A"/>
    <w:rsid w:val="004B411A"/>
    <w:rsid w:val="004B6704"/>
    <w:rsid w:val="004C222B"/>
    <w:rsid w:val="004C2911"/>
    <w:rsid w:val="004C4D4A"/>
    <w:rsid w:val="004D09C4"/>
    <w:rsid w:val="004D1F64"/>
    <w:rsid w:val="004D5D65"/>
    <w:rsid w:val="004D7A12"/>
    <w:rsid w:val="004E1659"/>
    <w:rsid w:val="004E209C"/>
    <w:rsid w:val="004E5FA9"/>
    <w:rsid w:val="004E65E6"/>
    <w:rsid w:val="004E72D8"/>
    <w:rsid w:val="004F15E4"/>
    <w:rsid w:val="004F305A"/>
    <w:rsid w:val="00500378"/>
    <w:rsid w:val="00500A7C"/>
    <w:rsid w:val="005060C4"/>
    <w:rsid w:val="0051251C"/>
    <w:rsid w:val="00515B44"/>
    <w:rsid w:val="00521932"/>
    <w:rsid w:val="00521F4D"/>
    <w:rsid w:val="0052387B"/>
    <w:rsid w:val="005239CB"/>
    <w:rsid w:val="005351C5"/>
    <w:rsid w:val="00537912"/>
    <w:rsid w:val="005413AD"/>
    <w:rsid w:val="0054524F"/>
    <w:rsid w:val="00547D4A"/>
    <w:rsid w:val="0055434C"/>
    <w:rsid w:val="00555D47"/>
    <w:rsid w:val="00570EB7"/>
    <w:rsid w:val="005715AE"/>
    <w:rsid w:val="0057665E"/>
    <w:rsid w:val="0057789E"/>
    <w:rsid w:val="00581A31"/>
    <w:rsid w:val="005826E5"/>
    <w:rsid w:val="0058448D"/>
    <w:rsid w:val="00585F96"/>
    <w:rsid w:val="00590156"/>
    <w:rsid w:val="005906AE"/>
    <w:rsid w:val="00591F23"/>
    <w:rsid w:val="0059664F"/>
    <w:rsid w:val="005A0397"/>
    <w:rsid w:val="005A0F6A"/>
    <w:rsid w:val="005A2245"/>
    <w:rsid w:val="005A58D5"/>
    <w:rsid w:val="005A688D"/>
    <w:rsid w:val="005A74BA"/>
    <w:rsid w:val="005B0AA3"/>
    <w:rsid w:val="005B4818"/>
    <w:rsid w:val="005B5794"/>
    <w:rsid w:val="005B652A"/>
    <w:rsid w:val="005B72D8"/>
    <w:rsid w:val="005B7F9F"/>
    <w:rsid w:val="005C1E31"/>
    <w:rsid w:val="005C28AB"/>
    <w:rsid w:val="005E2FEC"/>
    <w:rsid w:val="005E46AA"/>
    <w:rsid w:val="005E69F0"/>
    <w:rsid w:val="005F1F4A"/>
    <w:rsid w:val="005F3155"/>
    <w:rsid w:val="005F5ED8"/>
    <w:rsid w:val="005F69E0"/>
    <w:rsid w:val="00601758"/>
    <w:rsid w:val="00613324"/>
    <w:rsid w:val="00613C68"/>
    <w:rsid w:val="00613EBE"/>
    <w:rsid w:val="0061461F"/>
    <w:rsid w:val="006179CD"/>
    <w:rsid w:val="0062022A"/>
    <w:rsid w:val="00620C2E"/>
    <w:rsid w:val="006253B7"/>
    <w:rsid w:val="00625515"/>
    <w:rsid w:val="006269CF"/>
    <w:rsid w:val="00626CC1"/>
    <w:rsid w:val="00630DD0"/>
    <w:rsid w:val="00636461"/>
    <w:rsid w:val="0063690D"/>
    <w:rsid w:val="006404F7"/>
    <w:rsid w:val="006475A6"/>
    <w:rsid w:val="00647FE3"/>
    <w:rsid w:val="00656D30"/>
    <w:rsid w:val="00657863"/>
    <w:rsid w:val="00660B4F"/>
    <w:rsid w:val="00664396"/>
    <w:rsid w:val="00676575"/>
    <w:rsid w:val="00676ADB"/>
    <w:rsid w:val="00676EA4"/>
    <w:rsid w:val="0069283B"/>
    <w:rsid w:val="006A152C"/>
    <w:rsid w:val="006A6174"/>
    <w:rsid w:val="006B1DE6"/>
    <w:rsid w:val="006B4286"/>
    <w:rsid w:val="006B5DD2"/>
    <w:rsid w:val="006C038B"/>
    <w:rsid w:val="006C571D"/>
    <w:rsid w:val="006C575A"/>
    <w:rsid w:val="006D3463"/>
    <w:rsid w:val="006D3988"/>
    <w:rsid w:val="006D67EE"/>
    <w:rsid w:val="006E3ABF"/>
    <w:rsid w:val="006E5B9F"/>
    <w:rsid w:val="006E5D0F"/>
    <w:rsid w:val="006E65C3"/>
    <w:rsid w:val="006E66CC"/>
    <w:rsid w:val="006E7BFD"/>
    <w:rsid w:val="006E7DA7"/>
    <w:rsid w:val="006F61C9"/>
    <w:rsid w:val="00703A6C"/>
    <w:rsid w:val="00711977"/>
    <w:rsid w:val="00713890"/>
    <w:rsid w:val="007144EC"/>
    <w:rsid w:val="007153D4"/>
    <w:rsid w:val="007170AB"/>
    <w:rsid w:val="007204EC"/>
    <w:rsid w:val="00722146"/>
    <w:rsid w:val="00723D41"/>
    <w:rsid w:val="007272EF"/>
    <w:rsid w:val="007318B0"/>
    <w:rsid w:val="00731DFA"/>
    <w:rsid w:val="00735378"/>
    <w:rsid w:val="0074323F"/>
    <w:rsid w:val="00745590"/>
    <w:rsid w:val="00745677"/>
    <w:rsid w:val="00751906"/>
    <w:rsid w:val="00754851"/>
    <w:rsid w:val="00755562"/>
    <w:rsid w:val="00755798"/>
    <w:rsid w:val="0076548D"/>
    <w:rsid w:val="007737D4"/>
    <w:rsid w:val="00777446"/>
    <w:rsid w:val="0078335F"/>
    <w:rsid w:val="0078469B"/>
    <w:rsid w:val="007901FF"/>
    <w:rsid w:val="007907D6"/>
    <w:rsid w:val="0079163E"/>
    <w:rsid w:val="007B0102"/>
    <w:rsid w:val="007B2508"/>
    <w:rsid w:val="007B2F4B"/>
    <w:rsid w:val="007B3D44"/>
    <w:rsid w:val="007B5424"/>
    <w:rsid w:val="007B58A9"/>
    <w:rsid w:val="007C0D0E"/>
    <w:rsid w:val="007C1F9D"/>
    <w:rsid w:val="007C217C"/>
    <w:rsid w:val="007D4BCE"/>
    <w:rsid w:val="007E0721"/>
    <w:rsid w:val="007E2314"/>
    <w:rsid w:val="007E78B6"/>
    <w:rsid w:val="007E7C32"/>
    <w:rsid w:val="007F0B9D"/>
    <w:rsid w:val="007F3454"/>
    <w:rsid w:val="00800EFD"/>
    <w:rsid w:val="00805997"/>
    <w:rsid w:val="00806936"/>
    <w:rsid w:val="0080783C"/>
    <w:rsid w:val="008142A1"/>
    <w:rsid w:val="008142E6"/>
    <w:rsid w:val="0081472E"/>
    <w:rsid w:val="00815317"/>
    <w:rsid w:val="00822894"/>
    <w:rsid w:val="00824C9E"/>
    <w:rsid w:val="008267F4"/>
    <w:rsid w:val="008269EA"/>
    <w:rsid w:val="008272BB"/>
    <w:rsid w:val="00831ADD"/>
    <w:rsid w:val="0083401C"/>
    <w:rsid w:val="008353E8"/>
    <w:rsid w:val="00835A60"/>
    <w:rsid w:val="008375C4"/>
    <w:rsid w:val="0084251C"/>
    <w:rsid w:val="008425E8"/>
    <w:rsid w:val="00851DA3"/>
    <w:rsid w:val="00855963"/>
    <w:rsid w:val="00862C99"/>
    <w:rsid w:val="00862F72"/>
    <w:rsid w:val="0086477B"/>
    <w:rsid w:val="00864E77"/>
    <w:rsid w:val="00865C2A"/>
    <w:rsid w:val="00866647"/>
    <w:rsid w:val="0088073D"/>
    <w:rsid w:val="00887F1C"/>
    <w:rsid w:val="00894367"/>
    <w:rsid w:val="008A489A"/>
    <w:rsid w:val="008B25F3"/>
    <w:rsid w:val="008B4A80"/>
    <w:rsid w:val="008B7068"/>
    <w:rsid w:val="008C2ABF"/>
    <w:rsid w:val="008C66ED"/>
    <w:rsid w:val="008D08F5"/>
    <w:rsid w:val="008D2FE2"/>
    <w:rsid w:val="008D4AA6"/>
    <w:rsid w:val="008E1F0D"/>
    <w:rsid w:val="008E4121"/>
    <w:rsid w:val="008E787E"/>
    <w:rsid w:val="008F29DD"/>
    <w:rsid w:val="008F6DAE"/>
    <w:rsid w:val="00904340"/>
    <w:rsid w:val="009057DD"/>
    <w:rsid w:val="009134A4"/>
    <w:rsid w:val="00915469"/>
    <w:rsid w:val="00924E19"/>
    <w:rsid w:val="0092759D"/>
    <w:rsid w:val="009275A7"/>
    <w:rsid w:val="00934102"/>
    <w:rsid w:val="00935C65"/>
    <w:rsid w:val="00942D32"/>
    <w:rsid w:val="00944364"/>
    <w:rsid w:val="00944A8E"/>
    <w:rsid w:val="0094574B"/>
    <w:rsid w:val="00946BAF"/>
    <w:rsid w:val="00947422"/>
    <w:rsid w:val="0095228F"/>
    <w:rsid w:val="009548A2"/>
    <w:rsid w:val="00956763"/>
    <w:rsid w:val="00957B0D"/>
    <w:rsid w:val="0096600D"/>
    <w:rsid w:val="00966A8F"/>
    <w:rsid w:val="00966FEE"/>
    <w:rsid w:val="009671E2"/>
    <w:rsid w:val="00967C8A"/>
    <w:rsid w:val="0097367C"/>
    <w:rsid w:val="00980859"/>
    <w:rsid w:val="00982206"/>
    <w:rsid w:val="0098442E"/>
    <w:rsid w:val="00986162"/>
    <w:rsid w:val="0099009A"/>
    <w:rsid w:val="00993276"/>
    <w:rsid w:val="0099397C"/>
    <w:rsid w:val="0099423B"/>
    <w:rsid w:val="009946C3"/>
    <w:rsid w:val="009959D0"/>
    <w:rsid w:val="00995CA5"/>
    <w:rsid w:val="009A03A2"/>
    <w:rsid w:val="009B74FD"/>
    <w:rsid w:val="009C2CA5"/>
    <w:rsid w:val="009C3C36"/>
    <w:rsid w:val="009D299C"/>
    <w:rsid w:val="009E03FC"/>
    <w:rsid w:val="009E05B4"/>
    <w:rsid w:val="009E25DC"/>
    <w:rsid w:val="009E37DF"/>
    <w:rsid w:val="009E601F"/>
    <w:rsid w:val="009F0E20"/>
    <w:rsid w:val="009F6BAD"/>
    <w:rsid w:val="009F74D9"/>
    <w:rsid w:val="00A01492"/>
    <w:rsid w:val="00A02187"/>
    <w:rsid w:val="00A027FC"/>
    <w:rsid w:val="00A03AE6"/>
    <w:rsid w:val="00A0721B"/>
    <w:rsid w:val="00A11926"/>
    <w:rsid w:val="00A13E7A"/>
    <w:rsid w:val="00A14388"/>
    <w:rsid w:val="00A15E87"/>
    <w:rsid w:val="00A20863"/>
    <w:rsid w:val="00A23588"/>
    <w:rsid w:val="00A23D3A"/>
    <w:rsid w:val="00A26210"/>
    <w:rsid w:val="00A2742E"/>
    <w:rsid w:val="00A308B4"/>
    <w:rsid w:val="00A31159"/>
    <w:rsid w:val="00A3477F"/>
    <w:rsid w:val="00A42339"/>
    <w:rsid w:val="00A4571F"/>
    <w:rsid w:val="00A53C0E"/>
    <w:rsid w:val="00A54E89"/>
    <w:rsid w:val="00A565A0"/>
    <w:rsid w:val="00A62A9C"/>
    <w:rsid w:val="00A64E60"/>
    <w:rsid w:val="00A76F80"/>
    <w:rsid w:val="00A8195A"/>
    <w:rsid w:val="00A83D03"/>
    <w:rsid w:val="00A85108"/>
    <w:rsid w:val="00A85450"/>
    <w:rsid w:val="00A9525F"/>
    <w:rsid w:val="00A979B3"/>
    <w:rsid w:val="00AA01E7"/>
    <w:rsid w:val="00AA75A2"/>
    <w:rsid w:val="00AA7DBC"/>
    <w:rsid w:val="00AB013F"/>
    <w:rsid w:val="00AB1227"/>
    <w:rsid w:val="00AB3564"/>
    <w:rsid w:val="00AB663C"/>
    <w:rsid w:val="00AC5AF3"/>
    <w:rsid w:val="00AC6C75"/>
    <w:rsid w:val="00AD5081"/>
    <w:rsid w:val="00AD6020"/>
    <w:rsid w:val="00AE2EB6"/>
    <w:rsid w:val="00AE2F8B"/>
    <w:rsid w:val="00AE459F"/>
    <w:rsid w:val="00AE5279"/>
    <w:rsid w:val="00AE5FBF"/>
    <w:rsid w:val="00AE7618"/>
    <w:rsid w:val="00AF7638"/>
    <w:rsid w:val="00B00C8E"/>
    <w:rsid w:val="00B07DD5"/>
    <w:rsid w:val="00B12918"/>
    <w:rsid w:val="00B12E36"/>
    <w:rsid w:val="00B13104"/>
    <w:rsid w:val="00B135B6"/>
    <w:rsid w:val="00B15B09"/>
    <w:rsid w:val="00B2061F"/>
    <w:rsid w:val="00B34FBD"/>
    <w:rsid w:val="00B35710"/>
    <w:rsid w:val="00B42C10"/>
    <w:rsid w:val="00B42E70"/>
    <w:rsid w:val="00B436BE"/>
    <w:rsid w:val="00B45D54"/>
    <w:rsid w:val="00B47BAC"/>
    <w:rsid w:val="00B47F8C"/>
    <w:rsid w:val="00B51FBD"/>
    <w:rsid w:val="00B52B4C"/>
    <w:rsid w:val="00B603C2"/>
    <w:rsid w:val="00B6082D"/>
    <w:rsid w:val="00B613C2"/>
    <w:rsid w:val="00B61CB2"/>
    <w:rsid w:val="00B6296F"/>
    <w:rsid w:val="00B648DC"/>
    <w:rsid w:val="00B64C2C"/>
    <w:rsid w:val="00B65E2B"/>
    <w:rsid w:val="00B6617B"/>
    <w:rsid w:val="00B7135B"/>
    <w:rsid w:val="00B71AEC"/>
    <w:rsid w:val="00B72D4F"/>
    <w:rsid w:val="00B72EC0"/>
    <w:rsid w:val="00B80D60"/>
    <w:rsid w:val="00B82DED"/>
    <w:rsid w:val="00B86CBB"/>
    <w:rsid w:val="00B91748"/>
    <w:rsid w:val="00B91A0F"/>
    <w:rsid w:val="00B97FD2"/>
    <w:rsid w:val="00BA04A5"/>
    <w:rsid w:val="00BA4CC3"/>
    <w:rsid w:val="00BB7878"/>
    <w:rsid w:val="00BC2237"/>
    <w:rsid w:val="00BC7325"/>
    <w:rsid w:val="00BD03E1"/>
    <w:rsid w:val="00BD6B81"/>
    <w:rsid w:val="00BE1CE4"/>
    <w:rsid w:val="00BE2D4B"/>
    <w:rsid w:val="00BF3B12"/>
    <w:rsid w:val="00BF593C"/>
    <w:rsid w:val="00BF71C9"/>
    <w:rsid w:val="00C03C63"/>
    <w:rsid w:val="00C120CC"/>
    <w:rsid w:val="00C129C7"/>
    <w:rsid w:val="00C16CDD"/>
    <w:rsid w:val="00C17583"/>
    <w:rsid w:val="00C20FF0"/>
    <w:rsid w:val="00C21EB1"/>
    <w:rsid w:val="00C23CCE"/>
    <w:rsid w:val="00C34EC7"/>
    <w:rsid w:val="00C41CCC"/>
    <w:rsid w:val="00C4311E"/>
    <w:rsid w:val="00C43A64"/>
    <w:rsid w:val="00C45ABB"/>
    <w:rsid w:val="00C4629D"/>
    <w:rsid w:val="00C47B75"/>
    <w:rsid w:val="00C51DA9"/>
    <w:rsid w:val="00C5535A"/>
    <w:rsid w:val="00C55CD3"/>
    <w:rsid w:val="00C64D0C"/>
    <w:rsid w:val="00C65846"/>
    <w:rsid w:val="00C659FA"/>
    <w:rsid w:val="00C672B4"/>
    <w:rsid w:val="00C701EF"/>
    <w:rsid w:val="00C7131F"/>
    <w:rsid w:val="00C717C0"/>
    <w:rsid w:val="00C7782D"/>
    <w:rsid w:val="00C80DED"/>
    <w:rsid w:val="00C82F92"/>
    <w:rsid w:val="00C83213"/>
    <w:rsid w:val="00C83F76"/>
    <w:rsid w:val="00C87B66"/>
    <w:rsid w:val="00C943F6"/>
    <w:rsid w:val="00CA37FB"/>
    <w:rsid w:val="00CB2D25"/>
    <w:rsid w:val="00CC16D6"/>
    <w:rsid w:val="00CC3AB1"/>
    <w:rsid w:val="00CC7755"/>
    <w:rsid w:val="00CD279C"/>
    <w:rsid w:val="00CD2C2F"/>
    <w:rsid w:val="00CD4DF9"/>
    <w:rsid w:val="00CD5728"/>
    <w:rsid w:val="00CE522C"/>
    <w:rsid w:val="00CE64F6"/>
    <w:rsid w:val="00CE6746"/>
    <w:rsid w:val="00CE7E73"/>
    <w:rsid w:val="00CF511E"/>
    <w:rsid w:val="00CF6683"/>
    <w:rsid w:val="00D00C71"/>
    <w:rsid w:val="00D01621"/>
    <w:rsid w:val="00D05602"/>
    <w:rsid w:val="00D0735D"/>
    <w:rsid w:val="00D10F13"/>
    <w:rsid w:val="00D12329"/>
    <w:rsid w:val="00D16346"/>
    <w:rsid w:val="00D20756"/>
    <w:rsid w:val="00D20EC6"/>
    <w:rsid w:val="00D222CD"/>
    <w:rsid w:val="00D229DD"/>
    <w:rsid w:val="00D2400B"/>
    <w:rsid w:val="00D24FC9"/>
    <w:rsid w:val="00D258DA"/>
    <w:rsid w:val="00D25DC6"/>
    <w:rsid w:val="00D326E5"/>
    <w:rsid w:val="00D32EEE"/>
    <w:rsid w:val="00D35E79"/>
    <w:rsid w:val="00D51620"/>
    <w:rsid w:val="00D54D35"/>
    <w:rsid w:val="00D57B8C"/>
    <w:rsid w:val="00D63439"/>
    <w:rsid w:val="00D64253"/>
    <w:rsid w:val="00D66704"/>
    <w:rsid w:val="00D67A3B"/>
    <w:rsid w:val="00D73997"/>
    <w:rsid w:val="00D755DE"/>
    <w:rsid w:val="00D75E9C"/>
    <w:rsid w:val="00D77A90"/>
    <w:rsid w:val="00D77B9D"/>
    <w:rsid w:val="00D80575"/>
    <w:rsid w:val="00D852C2"/>
    <w:rsid w:val="00D8581B"/>
    <w:rsid w:val="00D87F55"/>
    <w:rsid w:val="00D9255E"/>
    <w:rsid w:val="00DC1177"/>
    <w:rsid w:val="00DC277F"/>
    <w:rsid w:val="00DC27B0"/>
    <w:rsid w:val="00DD0CE8"/>
    <w:rsid w:val="00DD1EA3"/>
    <w:rsid w:val="00DD4707"/>
    <w:rsid w:val="00DD4B7B"/>
    <w:rsid w:val="00DD6B94"/>
    <w:rsid w:val="00DD71BB"/>
    <w:rsid w:val="00DE0FBC"/>
    <w:rsid w:val="00DE62AF"/>
    <w:rsid w:val="00E01377"/>
    <w:rsid w:val="00E03240"/>
    <w:rsid w:val="00E04B73"/>
    <w:rsid w:val="00E10A21"/>
    <w:rsid w:val="00E13364"/>
    <w:rsid w:val="00E15321"/>
    <w:rsid w:val="00E158D3"/>
    <w:rsid w:val="00E251D4"/>
    <w:rsid w:val="00E317D5"/>
    <w:rsid w:val="00E33CA9"/>
    <w:rsid w:val="00E37D31"/>
    <w:rsid w:val="00E433E4"/>
    <w:rsid w:val="00E46F26"/>
    <w:rsid w:val="00E520DF"/>
    <w:rsid w:val="00E521CA"/>
    <w:rsid w:val="00E54ABB"/>
    <w:rsid w:val="00E57037"/>
    <w:rsid w:val="00E67C97"/>
    <w:rsid w:val="00E769D1"/>
    <w:rsid w:val="00E76DC5"/>
    <w:rsid w:val="00E77D62"/>
    <w:rsid w:val="00E93042"/>
    <w:rsid w:val="00E93B80"/>
    <w:rsid w:val="00EB4E87"/>
    <w:rsid w:val="00EB51DA"/>
    <w:rsid w:val="00EB7C41"/>
    <w:rsid w:val="00EC178C"/>
    <w:rsid w:val="00EC1BE1"/>
    <w:rsid w:val="00ED1270"/>
    <w:rsid w:val="00ED35B0"/>
    <w:rsid w:val="00EE341E"/>
    <w:rsid w:val="00EE4890"/>
    <w:rsid w:val="00EE52C7"/>
    <w:rsid w:val="00EF0D7C"/>
    <w:rsid w:val="00EF4993"/>
    <w:rsid w:val="00EF643D"/>
    <w:rsid w:val="00F01741"/>
    <w:rsid w:val="00F024F3"/>
    <w:rsid w:val="00F03222"/>
    <w:rsid w:val="00F03F6E"/>
    <w:rsid w:val="00F04AF5"/>
    <w:rsid w:val="00F07FE1"/>
    <w:rsid w:val="00F12B4E"/>
    <w:rsid w:val="00F143D7"/>
    <w:rsid w:val="00F30115"/>
    <w:rsid w:val="00F3798F"/>
    <w:rsid w:val="00F47D9D"/>
    <w:rsid w:val="00F51977"/>
    <w:rsid w:val="00F61B09"/>
    <w:rsid w:val="00F722A4"/>
    <w:rsid w:val="00F7525E"/>
    <w:rsid w:val="00F753CA"/>
    <w:rsid w:val="00F75552"/>
    <w:rsid w:val="00F82E1D"/>
    <w:rsid w:val="00F84183"/>
    <w:rsid w:val="00F915A8"/>
    <w:rsid w:val="00F94D4F"/>
    <w:rsid w:val="00F9776A"/>
    <w:rsid w:val="00F97E1E"/>
    <w:rsid w:val="00FA3F5D"/>
    <w:rsid w:val="00FA4A98"/>
    <w:rsid w:val="00FA5E8C"/>
    <w:rsid w:val="00FA6B1A"/>
    <w:rsid w:val="00FA6FB8"/>
    <w:rsid w:val="00FB0211"/>
    <w:rsid w:val="00FB03A3"/>
    <w:rsid w:val="00FB142A"/>
    <w:rsid w:val="00FB1AFC"/>
    <w:rsid w:val="00FB319C"/>
    <w:rsid w:val="00FC16B0"/>
    <w:rsid w:val="00FC32DF"/>
    <w:rsid w:val="00FC6FDA"/>
    <w:rsid w:val="00FD4346"/>
    <w:rsid w:val="00FE1C3D"/>
    <w:rsid w:val="00FE53A4"/>
    <w:rsid w:val="00FF183E"/>
    <w:rsid w:val="00FF3E86"/>
    <w:rsid w:val="01BC6C17"/>
    <w:rsid w:val="021F693F"/>
    <w:rsid w:val="02A14120"/>
    <w:rsid w:val="04BC308F"/>
    <w:rsid w:val="06345D7F"/>
    <w:rsid w:val="06467E52"/>
    <w:rsid w:val="082B1C87"/>
    <w:rsid w:val="082E6064"/>
    <w:rsid w:val="083E54AD"/>
    <w:rsid w:val="0AAD02CE"/>
    <w:rsid w:val="0B63458E"/>
    <w:rsid w:val="0D156991"/>
    <w:rsid w:val="0DB92633"/>
    <w:rsid w:val="0DF97DF8"/>
    <w:rsid w:val="0DFA26A5"/>
    <w:rsid w:val="0F086C0F"/>
    <w:rsid w:val="10275F54"/>
    <w:rsid w:val="10A54D73"/>
    <w:rsid w:val="12C26387"/>
    <w:rsid w:val="13571650"/>
    <w:rsid w:val="13613B19"/>
    <w:rsid w:val="13E06132"/>
    <w:rsid w:val="140A39B3"/>
    <w:rsid w:val="15ED74D2"/>
    <w:rsid w:val="166F39CE"/>
    <w:rsid w:val="17E77F06"/>
    <w:rsid w:val="17E838C7"/>
    <w:rsid w:val="18413B86"/>
    <w:rsid w:val="18703323"/>
    <w:rsid w:val="19455D14"/>
    <w:rsid w:val="1A8E20E7"/>
    <w:rsid w:val="1B013140"/>
    <w:rsid w:val="1D7065FD"/>
    <w:rsid w:val="1EED2DCA"/>
    <w:rsid w:val="1F6D17A9"/>
    <w:rsid w:val="218D6A7F"/>
    <w:rsid w:val="22B94B5E"/>
    <w:rsid w:val="25207213"/>
    <w:rsid w:val="25C91106"/>
    <w:rsid w:val="25E31E9F"/>
    <w:rsid w:val="26306760"/>
    <w:rsid w:val="273D485E"/>
    <w:rsid w:val="28164551"/>
    <w:rsid w:val="28B10FAE"/>
    <w:rsid w:val="2ACB664C"/>
    <w:rsid w:val="2B8B753A"/>
    <w:rsid w:val="2C25638E"/>
    <w:rsid w:val="2C9256AF"/>
    <w:rsid w:val="2E4214F7"/>
    <w:rsid w:val="2F0A5D38"/>
    <w:rsid w:val="2F2E673D"/>
    <w:rsid w:val="2FBB13DF"/>
    <w:rsid w:val="2FBF59E8"/>
    <w:rsid w:val="30991CC7"/>
    <w:rsid w:val="31D22CC8"/>
    <w:rsid w:val="344D5C5B"/>
    <w:rsid w:val="34DA42C5"/>
    <w:rsid w:val="36147488"/>
    <w:rsid w:val="36CA184D"/>
    <w:rsid w:val="374D1918"/>
    <w:rsid w:val="38F670C6"/>
    <w:rsid w:val="39E003F7"/>
    <w:rsid w:val="3B9B1061"/>
    <w:rsid w:val="3D865143"/>
    <w:rsid w:val="3F5C64AF"/>
    <w:rsid w:val="3F5F7175"/>
    <w:rsid w:val="43E22196"/>
    <w:rsid w:val="44527C58"/>
    <w:rsid w:val="44AB4209"/>
    <w:rsid w:val="44AD5C7B"/>
    <w:rsid w:val="45405777"/>
    <w:rsid w:val="45F30543"/>
    <w:rsid w:val="46AE7377"/>
    <w:rsid w:val="46DB5763"/>
    <w:rsid w:val="46EB37B3"/>
    <w:rsid w:val="47F334C4"/>
    <w:rsid w:val="4A6E4BEC"/>
    <w:rsid w:val="4B3861BB"/>
    <w:rsid w:val="4D47109A"/>
    <w:rsid w:val="4E892EF3"/>
    <w:rsid w:val="4EAB0D3D"/>
    <w:rsid w:val="4F09192A"/>
    <w:rsid w:val="50E11A47"/>
    <w:rsid w:val="531D5B22"/>
    <w:rsid w:val="548C304E"/>
    <w:rsid w:val="54FD684E"/>
    <w:rsid w:val="55A4729B"/>
    <w:rsid w:val="56273EA0"/>
    <w:rsid w:val="56372C39"/>
    <w:rsid w:val="56BD2871"/>
    <w:rsid w:val="5A2E3FDC"/>
    <w:rsid w:val="5B166D51"/>
    <w:rsid w:val="5B8A7F58"/>
    <w:rsid w:val="5C4E4435"/>
    <w:rsid w:val="5CD46EA1"/>
    <w:rsid w:val="5D053507"/>
    <w:rsid w:val="5D3D1243"/>
    <w:rsid w:val="5DBF2270"/>
    <w:rsid w:val="5DCC15D6"/>
    <w:rsid w:val="5E503537"/>
    <w:rsid w:val="5EF17D12"/>
    <w:rsid w:val="5F152568"/>
    <w:rsid w:val="60C3444F"/>
    <w:rsid w:val="61310483"/>
    <w:rsid w:val="616C05A3"/>
    <w:rsid w:val="61DF509A"/>
    <w:rsid w:val="633078B0"/>
    <w:rsid w:val="641E4661"/>
    <w:rsid w:val="67E75E4C"/>
    <w:rsid w:val="69147B6C"/>
    <w:rsid w:val="698737E5"/>
    <w:rsid w:val="6AA35501"/>
    <w:rsid w:val="6ADB0EDF"/>
    <w:rsid w:val="6BE943FB"/>
    <w:rsid w:val="6FB62D04"/>
    <w:rsid w:val="6FF666B5"/>
    <w:rsid w:val="70A1107F"/>
    <w:rsid w:val="7178018F"/>
    <w:rsid w:val="72BB37F9"/>
    <w:rsid w:val="76B17382"/>
    <w:rsid w:val="790A5DD9"/>
    <w:rsid w:val="79B41898"/>
    <w:rsid w:val="7A607152"/>
    <w:rsid w:val="7BCC752E"/>
    <w:rsid w:val="7C456ECD"/>
    <w:rsid w:val="7D294C76"/>
    <w:rsid w:val="7E013534"/>
    <w:rsid w:val="7F56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0"/>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52"/>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53"/>
    <w:unhideWhenUsed/>
    <w:qFormat/>
    <w:uiPriority w:val="0"/>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54"/>
    <w:unhideWhenUsed/>
    <w:qFormat/>
    <w:uiPriority w:val="0"/>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55"/>
    <w:unhideWhenUsed/>
    <w:qFormat/>
    <w:uiPriority w:val="0"/>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56"/>
    <w:unhideWhenUsed/>
    <w:qFormat/>
    <w:uiPriority w:val="0"/>
    <w:pPr>
      <w:keepNext/>
      <w:keepLines/>
      <w:spacing w:before="40"/>
      <w:outlineLvl w:val="5"/>
    </w:pPr>
    <w:rPr>
      <w:rFonts w:cstheme="majorBidi"/>
      <w:b/>
      <w:bCs/>
      <w:color w:val="2E75B6" w:themeColor="accent1" w:themeShade="BF"/>
    </w:rPr>
  </w:style>
  <w:style w:type="paragraph" w:styleId="8">
    <w:name w:val="heading 7"/>
    <w:basedOn w:val="1"/>
    <w:next w:val="1"/>
    <w:link w:val="57"/>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8"/>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9"/>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List Number 2"/>
    <w:basedOn w:val="1"/>
    <w:qFormat/>
    <w:uiPriority w:val="0"/>
    <w:pPr>
      <w:tabs>
        <w:tab w:val="left" w:pos="780"/>
      </w:tabs>
      <w:spacing w:line="360" w:lineRule="auto"/>
      <w:ind w:left="780" w:leftChars="200" w:hanging="360" w:hangingChars="200"/>
    </w:pPr>
    <w:rPr>
      <w:rFonts w:ascii="Times New Roman" w:hAnsi="Times New Roman" w:eastAsia="宋体" w:cs="Times New Roman"/>
      <w:sz w:val="24"/>
      <w:szCs w:val="20"/>
    </w:rPr>
  </w:style>
  <w:style w:type="paragraph" w:styleId="12">
    <w:name w:val="List Bullet 4"/>
    <w:basedOn w:val="1"/>
    <w:qFormat/>
    <w:uiPriority w:val="0"/>
    <w:pPr>
      <w:tabs>
        <w:tab w:val="left" w:pos="1620"/>
      </w:tabs>
      <w:spacing w:line="360" w:lineRule="auto"/>
      <w:ind w:left="1620" w:leftChars="600" w:hanging="360" w:hangingChars="200"/>
    </w:pPr>
    <w:rPr>
      <w:rFonts w:ascii="Times New Roman" w:hAnsi="Times New Roman" w:eastAsia="宋体" w:cs="Times New Roman"/>
      <w:sz w:val="24"/>
      <w:szCs w:val="20"/>
    </w:rPr>
  </w:style>
  <w:style w:type="paragraph" w:styleId="13">
    <w:name w:val="List Number"/>
    <w:basedOn w:val="1"/>
    <w:qFormat/>
    <w:uiPriority w:val="0"/>
    <w:pPr>
      <w:tabs>
        <w:tab w:val="left" w:pos="360"/>
      </w:tabs>
      <w:spacing w:line="360" w:lineRule="auto"/>
      <w:ind w:left="360" w:hanging="360" w:hangingChars="200"/>
    </w:pPr>
    <w:rPr>
      <w:rFonts w:ascii="Times New Roman" w:hAnsi="Times New Roman" w:eastAsia="宋体" w:cs="Times New Roman"/>
      <w:sz w:val="24"/>
      <w:szCs w:val="20"/>
    </w:rPr>
  </w:style>
  <w:style w:type="paragraph" w:styleId="14">
    <w:name w:val="Normal Indent"/>
    <w:basedOn w:val="1"/>
    <w:qFormat/>
    <w:uiPriority w:val="0"/>
    <w:pPr>
      <w:spacing w:line="360" w:lineRule="auto"/>
      <w:ind w:firstLine="420" w:firstLineChars="200"/>
    </w:pPr>
    <w:rPr>
      <w:rFonts w:ascii="Times New Roman" w:hAnsi="Times New Roman" w:eastAsia="宋体" w:cs="Times New Roman"/>
      <w:sz w:val="24"/>
      <w:szCs w:val="24"/>
    </w:rPr>
  </w:style>
  <w:style w:type="paragraph" w:styleId="15">
    <w:name w:val="List Bullet"/>
    <w:basedOn w:val="1"/>
    <w:qFormat/>
    <w:uiPriority w:val="0"/>
    <w:pPr>
      <w:tabs>
        <w:tab w:val="left" w:pos="360"/>
      </w:tabs>
      <w:spacing w:line="360" w:lineRule="auto"/>
      <w:ind w:left="360" w:hanging="360" w:hangingChars="200"/>
    </w:pPr>
    <w:rPr>
      <w:rFonts w:ascii="Times New Roman" w:hAnsi="Times New Roman" w:eastAsia="宋体" w:cs="Times New Roman"/>
      <w:sz w:val="24"/>
      <w:szCs w:val="20"/>
    </w:rPr>
  </w:style>
  <w:style w:type="paragraph" w:styleId="16">
    <w:name w:val="Document Map"/>
    <w:basedOn w:val="1"/>
    <w:link w:val="72"/>
    <w:semiHidden/>
    <w:qFormat/>
    <w:uiPriority w:val="0"/>
    <w:pPr>
      <w:shd w:val="clear" w:color="auto" w:fill="000080"/>
      <w:spacing w:line="360" w:lineRule="auto"/>
      <w:ind w:firstLine="200" w:firstLineChars="200"/>
    </w:pPr>
    <w:rPr>
      <w:rFonts w:ascii="Times New Roman" w:hAnsi="Times New Roman" w:eastAsia="宋体" w:cs="Times New Roman"/>
      <w:sz w:val="24"/>
      <w:szCs w:val="24"/>
    </w:rPr>
  </w:style>
  <w:style w:type="paragraph" w:styleId="17">
    <w:name w:val="annotation text"/>
    <w:basedOn w:val="1"/>
    <w:link w:val="73"/>
    <w:qFormat/>
    <w:uiPriority w:val="0"/>
    <w:pPr>
      <w:spacing w:line="360" w:lineRule="auto"/>
      <w:ind w:firstLine="200" w:firstLineChars="200"/>
      <w:jc w:val="left"/>
    </w:pPr>
    <w:rPr>
      <w:rFonts w:ascii="Times New Roman" w:hAnsi="Times New Roman" w:eastAsia="宋体" w:cs="Times New Roman"/>
      <w:szCs w:val="24"/>
    </w:rPr>
  </w:style>
  <w:style w:type="paragraph" w:styleId="18">
    <w:name w:val="Body Text 3"/>
    <w:basedOn w:val="1"/>
    <w:link w:val="74"/>
    <w:qFormat/>
    <w:uiPriority w:val="0"/>
    <w:pPr>
      <w:spacing w:line="360" w:lineRule="auto"/>
      <w:ind w:firstLine="200" w:firstLineChars="200"/>
    </w:pPr>
    <w:rPr>
      <w:rFonts w:ascii="仿宋_GB2312" w:hAnsi="Arial" w:eastAsia="仿宋_GB2312" w:cs="Times New Roman"/>
      <w:sz w:val="24"/>
      <w:szCs w:val="24"/>
    </w:rPr>
  </w:style>
  <w:style w:type="paragraph" w:styleId="19">
    <w:name w:val="List Bullet 3"/>
    <w:basedOn w:val="1"/>
    <w:qFormat/>
    <w:uiPriority w:val="0"/>
    <w:pPr>
      <w:tabs>
        <w:tab w:val="left" w:pos="1200"/>
      </w:tabs>
      <w:spacing w:line="360" w:lineRule="auto"/>
      <w:ind w:left="1200" w:leftChars="400" w:hanging="360" w:hangingChars="200"/>
    </w:pPr>
    <w:rPr>
      <w:rFonts w:ascii="Times New Roman" w:hAnsi="Times New Roman" w:eastAsia="宋体" w:cs="Times New Roman"/>
      <w:sz w:val="24"/>
      <w:szCs w:val="20"/>
    </w:rPr>
  </w:style>
  <w:style w:type="paragraph" w:styleId="20">
    <w:name w:val="Body Text"/>
    <w:basedOn w:val="1"/>
    <w:link w:val="75"/>
    <w:qFormat/>
    <w:uiPriority w:val="0"/>
    <w:pPr>
      <w:spacing w:after="120" w:line="360" w:lineRule="auto"/>
      <w:ind w:firstLine="200" w:firstLineChars="200"/>
    </w:pPr>
    <w:rPr>
      <w:rFonts w:ascii="Times New Roman" w:hAnsi="Times New Roman" w:eastAsia="宋体" w:cs="Times New Roman"/>
      <w:szCs w:val="24"/>
    </w:rPr>
  </w:style>
  <w:style w:type="paragraph" w:styleId="21">
    <w:name w:val="Body Text Indent"/>
    <w:basedOn w:val="1"/>
    <w:link w:val="76"/>
    <w:qFormat/>
    <w:uiPriority w:val="0"/>
    <w:pPr>
      <w:widowControl/>
      <w:spacing w:line="360" w:lineRule="auto"/>
      <w:ind w:right="-178" w:rightChars="-85" w:firstLine="360" w:firstLineChars="150"/>
      <w:jc w:val="left"/>
    </w:pPr>
    <w:rPr>
      <w:rFonts w:ascii="宋体" w:hAnsi="宋体" w:eastAsia="宋体" w:cs="Times New Roman"/>
      <w:sz w:val="24"/>
      <w:szCs w:val="24"/>
    </w:rPr>
  </w:style>
  <w:style w:type="paragraph" w:styleId="22">
    <w:name w:val="List Number 3"/>
    <w:basedOn w:val="1"/>
    <w:qFormat/>
    <w:uiPriority w:val="0"/>
    <w:pPr>
      <w:tabs>
        <w:tab w:val="left" w:pos="1200"/>
      </w:tabs>
      <w:spacing w:line="360" w:lineRule="auto"/>
      <w:ind w:left="1200" w:leftChars="400" w:hanging="360" w:hangingChars="200"/>
    </w:pPr>
    <w:rPr>
      <w:rFonts w:ascii="Times New Roman" w:hAnsi="Times New Roman" w:eastAsia="宋体" w:cs="Times New Roman"/>
      <w:sz w:val="24"/>
      <w:szCs w:val="20"/>
    </w:rPr>
  </w:style>
  <w:style w:type="paragraph" w:styleId="23">
    <w:name w:val="List Bullet 2"/>
    <w:basedOn w:val="1"/>
    <w:qFormat/>
    <w:uiPriority w:val="0"/>
    <w:pPr>
      <w:tabs>
        <w:tab w:val="left" w:pos="780"/>
      </w:tabs>
      <w:spacing w:line="360" w:lineRule="auto"/>
      <w:ind w:left="780" w:leftChars="200" w:hanging="360" w:hangingChars="200"/>
    </w:pPr>
    <w:rPr>
      <w:rFonts w:ascii="Times New Roman" w:hAnsi="Times New Roman" w:eastAsia="宋体" w:cs="Times New Roman"/>
      <w:sz w:val="24"/>
      <w:szCs w:val="20"/>
    </w:rPr>
  </w:style>
  <w:style w:type="paragraph" w:styleId="24">
    <w:name w:val="Plain Text"/>
    <w:basedOn w:val="1"/>
    <w:link w:val="77"/>
    <w:qFormat/>
    <w:uiPriority w:val="99"/>
    <w:pPr>
      <w:widowControl/>
      <w:spacing w:line="360" w:lineRule="auto"/>
      <w:ind w:firstLine="200" w:firstLineChars="200"/>
      <w:jc w:val="left"/>
    </w:pPr>
    <w:rPr>
      <w:rFonts w:ascii="Courier New" w:hAnsi="Courier New" w:eastAsia="宋体" w:cs="Courier New"/>
      <w:kern w:val="0"/>
      <w:sz w:val="20"/>
      <w:szCs w:val="20"/>
    </w:rPr>
  </w:style>
  <w:style w:type="paragraph" w:styleId="25">
    <w:name w:val="List Bullet 5"/>
    <w:basedOn w:val="1"/>
    <w:qFormat/>
    <w:uiPriority w:val="0"/>
    <w:pPr>
      <w:tabs>
        <w:tab w:val="left" w:pos="2040"/>
      </w:tabs>
      <w:spacing w:line="360" w:lineRule="auto"/>
      <w:ind w:left="2040" w:leftChars="800" w:hanging="360" w:hangingChars="200"/>
    </w:pPr>
    <w:rPr>
      <w:rFonts w:ascii="Times New Roman" w:hAnsi="Times New Roman" w:eastAsia="宋体" w:cs="Times New Roman"/>
      <w:sz w:val="24"/>
      <w:szCs w:val="20"/>
    </w:rPr>
  </w:style>
  <w:style w:type="paragraph" w:styleId="26">
    <w:name w:val="List Number 4"/>
    <w:basedOn w:val="1"/>
    <w:qFormat/>
    <w:uiPriority w:val="0"/>
    <w:pPr>
      <w:tabs>
        <w:tab w:val="left" w:pos="1620"/>
      </w:tabs>
      <w:spacing w:line="360" w:lineRule="auto"/>
      <w:ind w:left="1620" w:leftChars="600" w:hanging="360" w:hangingChars="200"/>
    </w:pPr>
    <w:rPr>
      <w:rFonts w:ascii="Times New Roman" w:hAnsi="Times New Roman" w:eastAsia="宋体" w:cs="Times New Roman"/>
      <w:sz w:val="24"/>
      <w:szCs w:val="20"/>
    </w:rPr>
  </w:style>
  <w:style w:type="paragraph" w:styleId="27">
    <w:name w:val="Date"/>
    <w:basedOn w:val="1"/>
    <w:next w:val="1"/>
    <w:link w:val="78"/>
    <w:qFormat/>
    <w:uiPriority w:val="0"/>
    <w:pPr>
      <w:spacing w:line="360" w:lineRule="auto"/>
      <w:ind w:left="100" w:leftChars="2500" w:firstLine="200" w:firstLineChars="200"/>
    </w:pPr>
    <w:rPr>
      <w:rFonts w:ascii="Times New Roman" w:hAnsi="Times New Roman" w:eastAsia="宋体" w:cs="Times New Roman"/>
      <w:sz w:val="24"/>
      <w:szCs w:val="24"/>
    </w:rPr>
  </w:style>
  <w:style w:type="paragraph" w:styleId="28">
    <w:name w:val="Body Text Indent 2"/>
    <w:basedOn w:val="1"/>
    <w:link w:val="79"/>
    <w:qFormat/>
    <w:uiPriority w:val="0"/>
    <w:pPr>
      <w:widowControl/>
      <w:spacing w:before="100" w:beforeAutospacing="1" w:after="100" w:afterAutospacing="1" w:line="360" w:lineRule="auto"/>
      <w:ind w:right="-178" w:rightChars="-85" w:firstLine="480" w:firstLineChars="200"/>
      <w:outlineLvl w:val="0"/>
    </w:pPr>
    <w:rPr>
      <w:rFonts w:ascii="宋体" w:hAnsi="宋体" w:eastAsia="宋体" w:cs="Times New Roman"/>
      <w:color w:val="000000"/>
      <w:sz w:val="24"/>
      <w:szCs w:val="24"/>
    </w:rPr>
  </w:style>
  <w:style w:type="paragraph" w:styleId="29">
    <w:name w:val="Balloon Text"/>
    <w:basedOn w:val="1"/>
    <w:link w:val="71"/>
    <w:semiHidden/>
    <w:unhideWhenUsed/>
    <w:qFormat/>
    <w:uiPriority w:val="99"/>
    <w:pPr>
      <w:ind w:firstLine="200" w:firstLineChars="200"/>
    </w:pPr>
    <w:rPr>
      <w:rFonts w:ascii="Times New Roman" w:hAnsi="Times New Roman" w:eastAsia="宋体" w:cs="Times New Roman"/>
      <w:sz w:val="18"/>
      <w:szCs w:val="18"/>
    </w:rPr>
  </w:style>
  <w:style w:type="paragraph" w:styleId="30">
    <w:name w:val="footer"/>
    <w:basedOn w:val="1"/>
    <w:link w:val="70"/>
    <w:unhideWhenUsed/>
    <w:qFormat/>
    <w:uiPriority w:val="99"/>
    <w:pPr>
      <w:tabs>
        <w:tab w:val="center" w:pos="4153"/>
        <w:tab w:val="right" w:pos="8306"/>
      </w:tabs>
      <w:snapToGrid w:val="0"/>
      <w:jc w:val="left"/>
    </w:pPr>
    <w:rPr>
      <w:sz w:val="18"/>
      <w:szCs w:val="18"/>
    </w:rPr>
  </w:style>
  <w:style w:type="paragraph" w:styleId="31">
    <w:name w:val="header"/>
    <w:basedOn w:val="1"/>
    <w:link w:val="69"/>
    <w:unhideWhenUsed/>
    <w:qFormat/>
    <w:uiPriority w:val="99"/>
    <w:pP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8450"/>
      </w:tabs>
      <w:spacing w:line="360" w:lineRule="auto"/>
    </w:pPr>
    <w:rPr>
      <w:rFonts w:ascii="黑体" w:hAnsi="宋体" w:eastAsia="黑体" w:cs="Times New Roman"/>
      <w:sz w:val="24"/>
      <w:szCs w:val="24"/>
    </w:rPr>
  </w:style>
  <w:style w:type="paragraph" w:styleId="33">
    <w:name w:val="Subtitle"/>
    <w:basedOn w:val="1"/>
    <w:next w:val="1"/>
    <w:link w:val="61"/>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List Number 5"/>
    <w:basedOn w:val="1"/>
    <w:qFormat/>
    <w:uiPriority w:val="0"/>
    <w:pPr>
      <w:tabs>
        <w:tab w:val="left" w:pos="2040"/>
      </w:tabs>
      <w:spacing w:line="360" w:lineRule="auto"/>
      <w:ind w:left="2040" w:leftChars="800" w:hanging="360" w:hangingChars="200"/>
    </w:pPr>
    <w:rPr>
      <w:rFonts w:ascii="Times New Roman" w:hAnsi="Times New Roman" w:eastAsia="宋体" w:cs="Times New Roman"/>
      <w:sz w:val="24"/>
      <w:szCs w:val="20"/>
    </w:rPr>
  </w:style>
  <w:style w:type="paragraph" w:styleId="35">
    <w:name w:val="Body Text Indent 3"/>
    <w:basedOn w:val="1"/>
    <w:link w:val="80"/>
    <w:qFormat/>
    <w:uiPriority w:val="0"/>
    <w:pPr>
      <w:spacing w:after="120" w:line="360" w:lineRule="auto"/>
      <w:ind w:left="420" w:leftChars="200" w:firstLine="200" w:firstLineChars="200"/>
    </w:pPr>
    <w:rPr>
      <w:rFonts w:ascii="Times New Roman" w:hAnsi="Times New Roman" w:eastAsia="宋体" w:cs="Times New Roman"/>
      <w:sz w:val="16"/>
      <w:szCs w:val="16"/>
    </w:rPr>
  </w:style>
  <w:style w:type="paragraph" w:styleId="36">
    <w:name w:val="toc 2"/>
    <w:basedOn w:val="1"/>
    <w:next w:val="1"/>
    <w:semiHidden/>
    <w:qFormat/>
    <w:uiPriority w:val="0"/>
    <w:pPr>
      <w:spacing w:line="360" w:lineRule="auto"/>
      <w:ind w:left="420" w:leftChars="200" w:firstLine="200" w:firstLineChars="200"/>
    </w:pPr>
    <w:rPr>
      <w:rFonts w:ascii="Times New Roman" w:hAnsi="Times New Roman" w:eastAsia="宋体" w:cs="Times New Roman"/>
      <w:sz w:val="24"/>
      <w:szCs w:val="24"/>
    </w:rPr>
  </w:style>
  <w:style w:type="paragraph" w:styleId="37">
    <w:name w:val="Body Text 2"/>
    <w:basedOn w:val="1"/>
    <w:link w:val="81"/>
    <w:qFormat/>
    <w:uiPriority w:val="0"/>
    <w:pPr>
      <w:spacing w:line="360" w:lineRule="auto"/>
      <w:ind w:firstLine="200" w:firstLineChars="200"/>
    </w:pPr>
    <w:rPr>
      <w:rFonts w:ascii="Times New Roman" w:hAnsi="Times New Roman" w:eastAsia="宋体" w:cs="Times New Roman"/>
      <w:sz w:val="24"/>
      <w:szCs w:val="20"/>
    </w:rPr>
  </w:style>
  <w:style w:type="paragraph" w:styleId="38">
    <w:name w:val="Normal (Web)"/>
    <w:basedOn w:val="1"/>
    <w:qFormat/>
    <w:uiPriority w:val="0"/>
    <w:pPr>
      <w:widowControl/>
      <w:tabs>
        <w:tab w:val="left" w:pos="360"/>
      </w:tabs>
      <w:spacing w:before="100" w:beforeAutospacing="1" w:after="100" w:afterAutospacing="1" w:line="360" w:lineRule="auto"/>
      <w:ind w:firstLine="200" w:firstLineChars="200"/>
      <w:jc w:val="left"/>
    </w:pPr>
    <w:rPr>
      <w:rFonts w:ascii="Arial Unicode MS" w:hAnsi="Arial Unicode MS" w:eastAsia="Arial Unicode MS" w:cs="Arial Unicode MS"/>
      <w:kern w:val="0"/>
      <w:sz w:val="24"/>
      <w:szCs w:val="24"/>
    </w:rPr>
  </w:style>
  <w:style w:type="paragraph" w:styleId="39">
    <w:name w:val="Title"/>
    <w:basedOn w:val="1"/>
    <w:next w:val="1"/>
    <w:link w:val="6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40">
    <w:name w:val="annotation subject"/>
    <w:basedOn w:val="17"/>
    <w:next w:val="17"/>
    <w:link w:val="82"/>
    <w:semiHidden/>
    <w:qFormat/>
    <w:uiPriority w:val="0"/>
    <w:rPr>
      <w:b/>
      <w:bCs/>
    </w:rPr>
  </w:style>
  <w:style w:type="paragraph" w:styleId="41">
    <w:name w:val="Body Text First Indent"/>
    <w:basedOn w:val="20"/>
    <w:link w:val="83"/>
    <w:qFormat/>
    <w:uiPriority w:val="0"/>
    <w:pPr>
      <w:spacing w:line="300" w:lineRule="auto"/>
      <w:ind w:firstLine="425"/>
    </w:pPr>
    <w:rPr>
      <w:szCs w:val="20"/>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Typewriter"/>
    <w:qFormat/>
    <w:uiPriority w:val="0"/>
    <w:rPr>
      <w:rFonts w:ascii="宋体" w:hAnsi="宋体" w:eastAsia="宋体" w:cs="宋体"/>
      <w:sz w:val="24"/>
      <w:szCs w:val="24"/>
    </w:rPr>
  </w:style>
  <w:style w:type="character" w:styleId="49">
    <w:name w:val="Hyperlink"/>
    <w:qFormat/>
    <w:uiPriority w:val="99"/>
    <w:rPr>
      <w:color w:val="0000FF"/>
      <w:u w:val="single"/>
    </w:rPr>
  </w:style>
  <w:style w:type="character" w:styleId="50">
    <w:name w:val="annotation reference"/>
    <w:basedOn w:val="44"/>
    <w:qFormat/>
    <w:uiPriority w:val="99"/>
    <w:rPr>
      <w:sz w:val="21"/>
      <w:szCs w:val="21"/>
    </w:rPr>
  </w:style>
  <w:style w:type="character" w:customStyle="1" w:styleId="51">
    <w:name w:val="标题 1 字符"/>
    <w:basedOn w:val="44"/>
    <w:link w:val="2"/>
    <w:qFormat/>
    <w:uiPriority w:val="0"/>
    <w:rPr>
      <w:rFonts w:asciiTheme="majorHAnsi" w:hAnsiTheme="majorHAnsi" w:eastAsiaTheme="majorEastAsia" w:cstheme="majorBidi"/>
      <w:color w:val="2E75B6" w:themeColor="accent1" w:themeShade="BF"/>
      <w:sz w:val="48"/>
      <w:szCs w:val="48"/>
    </w:rPr>
  </w:style>
  <w:style w:type="character" w:customStyle="1" w:styleId="52">
    <w:name w:val="标题 2 字符"/>
    <w:basedOn w:val="44"/>
    <w:link w:val="3"/>
    <w:qFormat/>
    <w:uiPriority w:val="0"/>
    <w:rPr>
      <w:rFonts w:asciiTheme="majorHAnsi" w:hAnsiTheme="majorHAnsi" w:eastAsiaTheme="majorEastAsia" w:cstheme="majorBidi"/>
      <w:color w:val="2E75B6" w:themeColor="accent1" w:themeShade="BF"/>
      <w:sz w:val="40"/>
      <w:szCs w:val="40"/>
    </w:rPr>
  </w:style>
  <w:style w:type="character" w:customStyle="1" w:styleId="53">
    <w:name w:val="标题 3 字符"/>
    <w:basedOn w:val="44"/>
    <w:link w:val="4"/>
    <w:qFormat/>
    <w:uiPriority w:val="0"/>
    <w:rPr>
      <w:rFonts w:asciiTheme="majorHAnsi" w:hAnsiTheme="majorHAnsi" w:eastAsiaTheme="majorEastAsia" w:cstheme="majorBidi"/>
      <w:color w:val="2E75B6" w:themeColor="accent1" w:themeShade="BF"/>
      <w:sz w:val="32"/>
      <w:szCs w:val="32"/>
    </w:rPr>
  </w:style>
  <w:style w:type="character" w:customStyle="1" w:styleId="54">
    <w:name w:val="标题 4 字符"/>
    <w:basedOn w:val="44"/>
    <w:link w:val="5"/>
    <w:qFormat/>
    <w:uiPriority w:val="0"/>
    <w:rPr>
      <w:rFonts w:cstheme="majorBidi"/>
      <w:color w:val="2E75B6" w:themeColor="accent1" w:themeShade="BF"/>
      <w:sz w:val="28"/>
      <w:szCs w:val="28"/>
    </w:rPr>
  </w:style>
  <w:style w:type="character" w:customStyle="1" w:styleId="55">
    <w:name w:val="标题 5 字符"/>
    <w:basedOn w:val="44"/>
    <w:link w:val="6"/>
    <w:qFormat/>
    <w:uiPriority w:val="0"/>
    <w:rPr>
      <w:rFonts w:cstheme="majorBidi"/>
      <w:color w:val="2E75B6" w:themeColor="accent1" w:themeShade="BF"/>
      <w:sz w:val="24"/>
      <w:szCs w:val="24"/>
    </w:rPr>
  </w:style>
  <w:style w:type="character" w:customStyle="1" w:styleId="56">
    <w:name w:val="标题 6 字符"/>
    <w:basedOn w:val="44"/>
    <w:link w:val="7"/>
    <w:qFormat/>
    <w:uiPriority w:val="0"/>
    <w:rPr>
      <w:rFonts w:cstheme="majorBidi"/>
      <w:b/>
      <w:bCs/>
      <w:color w:val="2E75B6" w:themeColor="accent1" w:themeShade="BF"/>
    </w:rPr>
  </w:style>
  <w:style w:type="character" w:customStyle="1" w:styleId="57">
    <w:name w:val="标题 7 字符"/>
    <w:basedOn w:val="44"/>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58">
    <w:name w:val="标题 8 字符"/>
    <w:basedOn w:val="44"/>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59">
    <w:name w:val="标题 9 字符"/>
    <w:basedOn w:val="44"/>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0">
    <w:name w:val="标题 字符"/>
    <w:basedOn w:val="44"/>
    <w:link w:val="39"/>
    <w:qFormat/>
    <w:uiPriority w:val="0"/>
    <w:rPr>
      <w:rFonts w:asciiTheme="majorHAnsi" w:hAnsiTheme="majorHAnsi" w:eastAsiaTheme="majorEastAsia" w:cstheme="majorBidi"/>
      <w:spacing w:val="-10"/>
      <w:kern w:val="28"/>
      <w:sz w:val="56"/>
      <w:szCs w:val="56"/>
    </w:rPr>
  </w:style>
  <w:style w:type="character" w:customStyle="1" w:styleId="61">
    <w:name w:val="副标题 字符"/>
    <w:basedOn w:val="44"/>
    <w:link w:val="33"/>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2">
    <w:name w:val="Quote"/>
    <w:basedOn w:val="1"/>
    <w:next w:val="1"/>
    <w:link w:val="6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3">
    <w:name w:val="引用 字符"/>
    <w:basedOn w:val="44"/>
    <w:link w:val="62"/>
    <w:qFormat/>
    <w:uiPriority w:val="29"/>
    <w:rPr>
      <w:i/>
      <w:iCs/>
      <w:color w:val="404040" w:themeColor="text1" w:themeTint="BF"/>
      <w14:textFill>
        <w14:solidFill>
          <w14:schemeClr w14:val="tx1">
            <w14:lumMod w14:val="75000"/>
            <w14:lumOff w14:val="25000"/>
          </w14:schemeClr>
        </w14:solidFill>
      </w14:textFill>
    </w:rPr>
  </w:style>
  <w:style w:type="paragraph" w:styleId="64">
    <w:name w:val="List Paragraph"/>
    <w:basedOn w:val="1"/>
    <w:qFormat/>
    <w:uiPriority w:val="99"/>
    <w:pPr>
      <w:ind w:left="720"/>
      <w:contextualSpacing/>
    </w:pPr>
  </w:style>
  <w:style w:type="character" w:customStyle="1" w:styleId="65">
    <w:name w:val="明显强调1"/>
    <w:basedOn w:val="44"/>
    <w:qFormat/>
    <w:uiPriority w:val="21"/>
    <w:rPr>
      <w:i/>
      <w:iCs/>
      <w:color w:val="2E75B6" w:themeColor="accent1" w:themeShade="BF"/>
    </w:rPr>
  </w:style>
  <w:style w:type="paragraph" w:styleId="66">
    <w:name w:val="Intense Quote"/>
    <w:basedOn w:val="1"/>
    <w:next w:val="1"/>
    <w:link w:val="67"/>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67">
    <w:name w:val="明显引用 字符"/>
    <w:basedOn w:val="44"/>
    <w:link w:val="66"/>
    <w:qFormat/>
    <w:uiPriority w:val="30"/>
    <w:rPr>
      <w:i/>
      <w:iCs/>
      <w:color w:val="2E75B6" w:themeColor="accent1" w:themeShade="BF"/>
    </w:rPr>
  </w:style>
  <w:style w:type="character" w:customStyle="1" w:styleId="68">
    <w:name w:val="明显参考1"/>
    <w:basedOn w:val="44"/>
    <w:qFormat/>
    <w:uiPriority w:val="32"/>
    <w:rPr>
      <w:b/>
      <w:bCs/>
      <w:smallCaps/>
      <w:color w:val="2E75B6" w:themeColor="accent1" w:themeShade="BF"/>
      <w:spacing w:val="5"/>
    </w:rPr>
  </w:style>
  <w:style w:type="character" w:customStyle="1" w:styleId="69">
    <w:name w:val="页眉 字符"/>
    <w:basedOn w:val="44"/>
    <w:link w:val="31"/>
    <w:qFormat/>
    <w:uiPriority w:val="99"/>
    <w:rPr>
      <w:sz w:val="18"/>
      <w:szCs w:val="18"/>
    </w:rPr>
  </w:style>
  <w:style w:type="character" w:customStyle="1" w:styleId="70">
    <w:name w:val="页脚 字符"/>
    <w:basedOn w:val="44"/>
    <w:link w:val="30"/>
    <w:qFormat/>
    <w:uiPriority w:val="99"/>
    <w:rPr>
      <w:sz w:val="18"/>
      <w:szCs w:val="18"/>
    </w:rPr>
  </w:style>
  <w:style w:type="character" w:customStyle="1" w:styleId="71">
    <w:name w:val="批注框文本 字符"/>
    <w:basedOn w:val="44"/>
    <w:link w:val="29"/>
    <w:semiHidden/>
    <w:qFormat/>
    <w:uiPriority w:val="99"/>
    <w:rPr>
      <w:rFonts w:ascii="Times New Roman" w:hAnsi="Times New Roman" w:eastAsia="宋体" w:cs="Times New Roman"/>
      <w:sz w:val="18"/>
      <w:szCs w:val="18"/>
    </w:rPr>
  </w:style>
  <w:style w:type="character" w:customStyle="1" w:styleId="72">
    <w:name w:val="文档结构图 字符"/>
    <w:basedOn w:val="44"/>
    <w:link w:val="16"/>
    <w:semiHidden/>
    <w:qFormat/>
    <w:uiPriority w:val="0"/>
    <w:rPr>
      <w:rFonts w:ascii="Times New Roman" w:hAnsi="Times New Roman" w:eastAsia="宋体" w:cs="Times New Roman"/>
      <w:sz w:val="24"/>
      <w:szCs w:val="24"/>
      <w:shd w:val="clear" w:color="auto" w:fill="000080"/>
    </w:rPr>
  </w:style>
  <w:style w:type="character" w:customStyle="1" w:styleId="73">
    <w:name w:val="批注文字 字符"/>
    <w:basedOn w:val="44"/>
    <w:link w:val="17"/>
    <w:qFormat/>
    <w:uiPriority w:val="0"/>
    <w:rPr>
      <w:rFonts w:ascii="Times New Roman" w:hAnsi="Times New Roman" w:eastAsia="宋体" w:cs="Times New Roman"/>
      <w:szCs w:val="24"/>
    </w:rPr>
  </w:style>
  <w:style w:type="character" w:customStyle="1" w:styleId="74">
    <w:name w:val="正文文本 3 字符"/>
    <w:basedOn w:val="44"/>
    <w:link w:val="18"/>
    <w:qFormat/>
    <w:uiPriority w:val="0"/>
    <w:rPr>
      <w:rFonts w:ascii="仿宋_GB2312" w:hAnsi="Arial" w:eastAsia="仿宋_GB2312" w:cs="Times New Roman"/>
      <w:sz w:val="24"/>
      <w:szCs w:val="24"/>
    </w:rPr>
  </w:style>
  <w:style w:type="character" w:customStyle="1" w:styleId="75">
    <w:name w:val="正文文本 字符"/>
    <w:basedOn w:val="44"/>
    <w:link w:val="20"/>
    <w:qFormat/>
    <w:uiPriority w:val="0"/>
    <w:rPr>
      <w:rFonts w:ascii="Times New Roman" w:hAnsi="Times New Roman" w:eastAsia="宋体" w:cs="Times New Roman"/>
      <w:szCs w:val="24"/>
    </w:rPr>
  </w:style>
  <w:style w:type="character" w:customStyle="1" w:styleId="76">
    <w:name w:val="正文文本缩进 字符"/>
    <w:basedOn w:val="44"/>
    <w:link w:val="21"/>
    <w:qFormat/>
    <w:uiPriority w:val="0"/>
    <w:rPr>
      <w:rFonts w:ascii="宋体" w:hAnsi="宋体" w:eastAsia="宋体" w:cs="Times New Roman"/>
      <w:sz w:val="24"/>
      <w:szCs w:val="24"/>
    </w:rPr>
  </w:style>
  <w:style w:type="character" w:customStyle="1" w:styleId="77">
    <w:name w:val="纯文本 字符"/>
    <w:basedOn w:val="44"/>
    <w:link w:val="24"/>
    <w:qFormat/>
    <w:uiPriority w:val="99"/>
    <w:rPr>
      <w:rFonts w:ascii="Courier New" w:hAnsi="Courier New" w:eastAsia="宋体" w:cs="Courier New"/>
      <w:kern w:val="0"/>
      <w:sz w:val="20"/>
      <w:szCs w:val="20"/>
    </w:rPr>
  </w:style>
  <w:style w:type="character" w:customStyle="1" w:styleId="78">
    <w:name w:val="日期 字符"/>
    <w:basedOn w:val="44"/>
    <w:link w:val="27"/>
    <w:qFormat/>
    <w:uiPriority w:val="0"/>
    <w:rPr>
      <w:rFonts w:ascii="Times New Roman" w:hAnsi="Times New Roman" w:eastAsia="宋体" w:cs="Times New Roman"/>
      <w:sz w:val="24"/>
      <w:szCs w:val="24"/>
    </w:rPr>
  </w:style>
  <w:style w:type="character" w:customStyle="1" w:styleId="79">
    <w:name w:val="正文文本缩进 2 字符"/>
    <w:basedOn w:val="44"/>
    <w:link w:val="28"/>
    <w:qFormat/>
    <w:uiPriority w:val="0"/>
    <w:rPr>
      <w:rFonts w:ascii="宋体" w:hAnsi="宋体" w:eastAsia="宋体" w:cs="Times New Roman"/>
      <w:color w:val="000000"/>
      <w:sz w:val="24"/>
      <w:szCs w:val="24"/>
    </w:rPr>
  </w:style>
  <w:style w:type="character" w:customStyle="1" w:styleId="80">
    <w:name w:val="正文文本缩进 3 字符"/>
    <w:basedOn w:val="44"/>
    <w:link w:val="35"/>
    <w:qFormat/>
    <w:uiPriority w:val="0"/>
    <w:rPr>
      <w:rFonts w:ascii="Times New Roman" w:hAnsi="Times New Roman" w:eastAsia="宋体" w:cs="Times New Roman"/>
      <w:sz w:val="16"/>
      <w:szCs w:val="16"/>
    </w:rPr>
  </w:style>
  <w:style w:type="character" w:customStyle="1" w:styleId="81">
    <w:name w:val="正文文本 2 字符"/>
    <w:basedOn w:val="44"/>
    <w:link w:val="37"/>
    <w:qFormat/>
    <w:uiPriority w:val="0"/>
    <w:rPr>
      <w:rFonts w:ascii="Times New Roman" w:hAnsi="Times New Roman" w:eastAsia="宋体" w:cs="Times New Roman"/>
      <w:sz w:val="24"/>
      <w:szCs w:val="20"/>
    </w:rPr>
  </w:style>
  <w:style w:type="character" w:customStyle="1" w:styleId="82">
    <w:name w:val="批注主题 字符"/>
    <w:basedOn w:val="73"/>
    <w:link w:val="40"/>
    <w:semiHidden/>
    <w:qFormat/>
    <w:uiPriority w:val="0"/>
    <w:rPr>
      <w:rFonts w:ascii="Times New Roman" w:hAnsi="Times New Roman" w:eastAsia="宋体" w:cs="Times New Roman"/>
      <w:b/>
      <w:bCs/>
      <w:szCs w:val="24"/>
    </w:rPr>
  </w:style>
  <w:style w:type="character" w:customStyle="1" w:styleId="83">
    <w:name w:val="正文文本首行缩进 字符"/>
    <w:basedOn w:val="75"/>
    <w:link w:val="41"/>
    <w:qFormat/>
    <w:uiPriority w:val="0"/>
    <w:rPr>
      <w:rFonts w:ascii="Times New Roman" w:hAnsi="Times New Roman" w:eastAsia="宋体" w:cs="Times New Roman"/>
      <w:szCs w:val="20"/>
    </w:rPr>
  </w:style>
  <w:style w:type="paragraph" w:customStyle="1" w:styleId="84">
    <w:name w:val="xl22"/>
    <w:basedOn w:val="1"/>
    <w:qFormat/>
    <w:uiPriority w:val="0"/>
    <w:pPr>
      <w:widowControl/>
      <w:spacing w:before="100" w:beforeAutospacing="1" w:after="100" w:afterAutospacing="1" w:line="360" w:lineRule="auto"/>
      <w:ind w:firstLine="200" w:firstLineChars="200"/>
      <w:textAlignment w:val="top"/>
    </w:pPr>
    <w:rPr>
      <w:rFonts w:hint="eastAsia" w:ascii="宋体" w:hAnsi="宋体" w:eastAsia="宋体" w:cs="Arial Unicode MS"/>
      <w:kern w:val="0"/>
      <w:sz w:val="18"/>
      <w:szCs w:val="18"/>
    </w:rPr>
  </w:style>
  <w:style w:type="paragraph" w:customStyle="1" w:styleId="85">
    <w:name w:val="表格正文"/>
    <w:basedOn w:val="14"/>
    <w:qFormat/>
    <w:uiPriority w:val="0"/>
    <w:pPr>
      <w:spacing w:beforeLines="50"/>
      <w:ind w:firstLine="0" w:firstLineChars="0"/>
      <w:jc w:val="center"/>
    </w:pPr>
    <w:rPr>
      <w:szCs w:val="20"/>
    </w:rPr>
  </w:style>
  <w:style w:type="paragraph" w:customStyle="1" w:styleId="86">
    <w:name w:val="项目"/>
    <w:basedOn w:val="5"/>
    <w:qFormat/>
    <w:uiPriority w:val="0"/>
    <w:pPr>
      <w:numPr>
        <w:ilvl w:val="3"/>
        <w:numId w:val="1"/>
      </w:numPr>
      <w:snapToGrid w:val="0"/>
      <w:spacing w:before="120" w:after="120" w:line="360" w:lineRule="auto"/>
      <w:ind w:firstLine="200" w:firstLineChars="200"/>
    </w:pPr>
    <w:rPr>
      <w:rFonts w:ascii="Times New Roman" w:hAnsi="Times New Roman" w:eastAsia="楷体_GB2312" w:cs="Times New Roman"/>
      <w:bCs/>
      <w:color w:val="auto"/>
      <w:sz w:val="24"/>
      <w:szCs w:val="20"/>
    </w:rPr>
  </w:style>
  <w:style w:type="paragraph" w:customStyle="1" w:styleId="87">
    <w:name w:val="报告署名"/>
    <w:basedOn w:val="1"/>
    <w:next w:val="1"/>
    <w:qFormat/>
    <w:uiPriority w:val="0"/>
    <w:pPr>
      <w:spacing w:line="360" w:lineRule="auto"/>
      <w:ind w:firstLine="200" w:firstLineChars="200"/>
      <w:jc w:val="center"/>
    </w:pPr>
    <w:rPr>
      <w:rFonts w:ascii="宋体" w:hAnsi="宋体" w:eastAsia="宋体" w:cs="Times New Roman"/>
      <w:sz w:val="24"/>
      <w:szCs w:val="20"/>
    </w:rPr>
  </w:style>
  <w:style w:type="character" w:customStyle="1" w:styleId="88">
    <w:name w:val="big1"/>
    <w:qFormat/>
    <w:uiPriority w:val="0"/>
    <w:rPr>
      <w:spacing w:val="360"/>
      <w:sz w:val="22"/>
      <w:szCs w:val="22"/>
    </w:rPr>
  </w:style>
  <w:style w:type="paragraph" w:customStyle="1" w:styleId="89">
    <w:name w:val="列表2"/>
    <w:basedOn w:val="1"/>
    <w:next w:val="39"/>
    <w:qFormat/>
    <w:uiPriority w:val="0"/>
    <w:pPr>
      <w:numPr>
        <w:ilvl w:val="0"/>
        <w:numId w:val="2"/>
      </w:numPr>
      <w:tabs>
        <w:tab w:val="left" w:pos="1125"/>
        <w:tab w:val="clear" w:pos="360"/>
      </w:tabs>
      <w:spacing w:line="360" w:lineRule="auto"/>
      <w:ind w:left="1125" w:hanging="1125" w:firstLineChars="200"/>
    </w:pPr>
    <w:rPr>
      <w:rFonts w:ascii="宋体" w:hAnsi="Times New Roman" w:eastAsia="宋体" w:cs="Times New Roman"/>
      <w:sz w:val="24"/>
      <w:szCs w:val="20"/>
    </w:rPr>
  </w:style>
  <w:style w:type="character" w:customStyle="1" w:styleId="90">
    <w:name w:val="ten51"/>
    <w:qFormat/>
    <w:uiPriority w:val="0"/>
    <w:rPr>
      <w:sz w:val="21"/>
      <w:szCs w:val="21"/>
    </w:rPr>
  </w:style>
  <w:style w:type="paragraph" w:customStyle="1" w:styleId="91">
    <w:name w:val="编号正文2"/>
    <w:basedOn w:val="1"/>
    <w:qFormat/>
    <w:uiPriority w:val="0"/>
    <w:pPr>
      <w:numPr>
        <w:ilvl w:val="0"/>
        <w:numId w:val="3"/>
      </w:numPr>
      <w:autoSpaceDE w:val="0"/>
      <w:autoSpaceDN w:val="0"/>
      <w:adjustRightInd w:val="0"/>
      <w:spacing w:after="120" w:line="300" w:lineRule="auto"/>
      <w:ind w:firstLine="200" w:firstLineChars="200"/>
      <w:textAlignment w:val="baseline"/>
    </w:pPr>
    <w:rPr>
      <w:rFonts w:ascii="宋体" w:hAnsi="Times New Roman" w:eastAsia="宋体" w:cs="Times New Roman"/>
      <w:kern w:val="0"/>
      <w:sz w:val="24"/>
      <w:szCs w:val="20"/>
    </w:rPr>
  </w:style>
  <w:style w:type="character" w:customStyle="1" w:styleId="92">
    <w:name w:val="read"/>
    <w:basedOn w:val="44"/>
    <w:qFormat/>
    <w:uiPriority w:val="0"/>
  </w:style>
  <w:style w:type="paragraph" w:customStyle="1" w:styleId="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4">
    <w:name w:val="Char"/>
    <w:basedOn w:val="1"/>
    <w:qFormat/>
    <w:uiPriority w:val="0"/>
    <w:pPr>
      <w:numPr>
        <w:ilvl w:val="0"/>
        <w:numId w:val="4"/>
      </w:numPr>
      <w:tabs>
        <w:tab w:val="clear" w:pos="425"/>
      </w:tabs>
      <w:spacing w:line="360" w:lineRule="auto"/>
      <w:ind w:left="0" w:firstLine="0" w:firstLineChars="200"/>
    </w:pPr>
    <w:rPr>
      <w:rFonts w:ascii="Times New Roman" w:hAnsi="Times New Roman" w:eastAsia="宋体" w:cs="Times New Roman"/>
      <w:sz w:val="24"/>
      <w:szCs w:val="24"/>
    </w:rPr>
  </w:style>
  <w:style w:type="paragraph" w:customStyle="1" w:styleId="95">
    <w:name w:val="Char1 Char Char Char Char Char Char Char Char Char Char Char Char1 Char Char Char Char Char Char Char Char Char Char Char Char1 Char Char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6">
    <w:name w:val="Char Char Char Char Char Char Char"/>
    <w:basedOn w:val="1"/>
    <w:qFormat/>
    <w:uiPriority w:val="0"/>
    <w:pPr>
      <w:tabs>
        <w:tab w:val="left" w:pos="840"/>
      </w:tabs>
      <w:spacing w:line="360" w:lineRule="auto"/>
      <w:ind w:left="840" w:hanging="360" w:firstLineChars="200"/>
    </w:pPr>
    <w:rPr>
      <w:rFonts w:ascii="Times New Roman" w:hAnsi="Times New Roman" w:eastAsia="宋体" w:cs="Times New Roman"/>
      <w:sz w:val="24"/>
      <w:szCs w:val="24"/>
    </w:rPr>
  </w:style>
  <w:style w:type="paragraph" w:customStyle="1" w:styleId="97">
    <w:name w:val="默认段落字体 Para Char Char Char Char Char Char"/>
    <w:basedOn w:val="1"/>
    <w:qFormat/>
    <w:uiPriority w:val="0"/>
    <w:pPr>
      <w:tabs>
        <w:tab w:val="left" w:pos="840"/>
      </w:tabs>
      <w:spacing w:line="360" w:lineRule="auto"/>
      <w:ind w:left="840" w:hanging="360" w:firstLineChars="200"/>
    </w:pPr>
    <w:rPr>
      <w:rFonts w:ascii="Times New Roman" w:hAnsi="Times New Roman" w:eastAsia="宋体" w:cs="Times New Roman"/>
      <w:sz w:val="24"/>
      <w:szCs w:val="24"/>
    </w:rPr>
  </w:style>
  <w:style w:type="paragraph" w:customStyle="1" w:styleId="98">
    <w:name w:val="Char Char Char Char1 Char Char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9">
    <w:name w:val="列表1"/>
    <w:basedOn w:val="1"/>
    <w:next w:val="1"/>
    <w:qFormat/>
    <w:uiPriority w:val="0"/>
    <w:pPr>
      <w:tabs>
        <w:tab w:val="left" w:pos="644"/>
      </w:tabs>
      <w:spacing w:line="360" w:lineRule="auto"/>
      <w:ind w:left="567" w:hanging="283" w:firstLineChars="200"/>
    </w:pPr>
    <w:rPr>
      <w:rFonts w:ascii="Times New Roman" w:hAnsi="Times New Roman" w:eastAsia="宋体" w:cs="Times New Roman"/>
      <w:sz w:val="24"/>
      <w:szCs w:val="20"/>
    </w:rPr>
  </w:style>
  <w:style w:type="character" w:customStyle="1" w:styleId="100">
    <w:name w:val="unnamed11"/>
    <w:qFormat/>
    <w:uiPriority w:val="0"/>
    <w:rPr>
      <w:rFonts w:hint="eastAsia" w:ascii="宋体" w:hAnsi="宋体" w:eastAsia="宋体"/>
      <w:sz w:val="18"/>
      <w:szCs w:val="18"/>
    </w:rPr>
  </w:style>
  <w:style w:type="paragraph" w:customStyle="1" w:styleId="101">
    <w:name w:val="Char Char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02">
    <w:name w:val="Char2"/>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03">
    <w:name w:val="正文正文"/>
    <w:basedOn w:val="1"/>
    <w:qFormat/>
    <w:uiPriority w:val="0"/>
    <w:pPr>
      <w:spacing w:afterLines="25" w:line="360" w:lineRule="auto"/>
      <w:ind w:firstLine="200" w:firstLineChars="200"/>
    </w:pPr>
    <w:rPr>
      <w:rFonts w:ascii="Times New Roman" w:hAnsi="Times New Roman" w:eastAsia="宋体" w:cs="Times New Roman"/>
      <w:sz w:val="24"/>
      <w:szCs w:val="24"/>
    </w:rPr>
  </w:style>
  <w:style w:type="paragraph" w:customStyle="1" w:styleId="104">
    <w:name w:val="正文所"/>
    <w:basedOn w:val="1"/>
    <w:qFormat/>
    <w:uiPriority w:val="0"/>
    <w:pPr>
      <w:spacing w:line="360" w:lineRule="auto"/>
      <w:ind w:firstLine="420" w:firstLineChars="200"/>
    </w:pPr>
    <w:rPr>
      <w:rFonts w:ascii="宋体" w:hAnsi="Times New Roman" w:eastAsia="宋体" w:cs="Times New Roman"/>
      <w:sz w:val="24"/>
      <w:szCs w:val="20"/>
    </w:rPr>
  </w:style>
  <w:style w:type="paragraph" w:customStyle="1" w:styleId="105">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106">
    <w:name w:val="heigh1801"/>
    <w:qFormat/>
    <w:uiPriority w:val="0"/>
    <w:rPr>
      <w:rFonts w:eastAsia="宋体"/>
      <w:kern w:val="2"/>
      <w:sz w:val="24"/>
      <w:szCs w:val="24"/>
      <w:lang w:val="en-US" w:eastAsia="zh-CN" w:bidi="ar-SA"/>
    </w:rPr>
  </w:style>
  <w:style w:type="character" w:customStyle="1" w:styleId="107">
    <w:name w:val="EmailStyle73"/>
    <w:semiHidden/>
    <w:qFormat/>
    <w:uiPriority w:val="0"/>
    <w:rPr>
      <w:rFonts w:ascii="宋体" w:eastAsia="宋体"/>
      <w:color w:val="auto"/>
      <w:kern w:val="2"/>
      <w:sz w:val="20"/>
      <w:szCs w:val="20"/>
      <w:u w:val="none"/>
      <w:lang w:val="en-US" w:eastAsia="zh-CN" w:bidi="ar-SA"/>
    </w:rPr>
  </w:style>
  <w:style w:type="paragraph" w:customStyle="1" w:styleId="108">
    <w:name w:val="默认段落字体 Para Char Char Char Char Char Char Char"/>
    <w:basedOn w:val="1"/>
    <w:qFormat/>
    <w:uiPriority w:val="0"/>
    <w:pPr>
      <w:widowControl/>
      <w:spacing w:line="360" w:lineRule="auto"/>
      <w:ind w:firstLine="200" w:firstLineChars="200"/>
      <w:jc w:val="left"/>
    </w:pPr>
    <w:rPr>
      <w:rFonts w:ascii="Tahoma" w:hAnsi="Tahoma" w:eastAsia="宋体" w:cs="Times New Roman"/>
      <w:color w:val="000000"/>
      <w:kern w:val="0"/>
      <w:sz w:val="24"/>
      <w:szCs w:val="20"/>
    </w:rPr>
  </w:style>
  <w:style w:type="character" w:customStyle="1" w:styleId="109">
    <w:name w:val="eng1"/>
    <w:qFormat/>
    <w:uiPriority w:val="0"/>
    <w:rPr>
      <w:rFonts w:hint="default" w:ascii="Verdana" w:hAnsi="Verdana" w:cs="Arial"/>
      <w:sz w:val="15"/>
      <w:szCs w:val="15"/>
    </w:rPr>
  </w:style>
  <w:style w:type="paragraph" w:customStyle="1" w:styleId="110">
    <w:name w:val="列出段落1"/>
    <w:basedOn w:val="1"/>
    <w:qFormat/>
    <w:uiPriority w:val="34"/>
    <w:pPr>
      <w:spacing w:line="360" w:lineRule="auto"/>
      <w:ind w:firstLine="420" w:firstLineChars="200"/>
    </w:pPr>
    <w:rPr>
      <w:rFonts w:ascii="Times New Roman" w:hAnsi="Times New Roman" w:eastAsia="宋体" w:cs="Times New Roman"/>
      <w:sz w:val="24"/>
      <w:szCs w:val="24"/>
    </w:rPr>
  </w:style>
  <w:style w:type="paragraph" w:customStyle="1" w:styleId="111">
    <w:name w:val="unnamed1"/>
    <w:basedOn w:val="1"/>
    <w:qFormat/>
    <w:uiPriority w:val="0"/>
    <w:pPr>
      <w:spacing w:before="60" w:after="60" w:line="360" w:lineRule="auto"/>
      <w:ind w:left="15" w:right="15" w:firstLine="200" w:firstLineChars="200"/>
    </w:pPr>
    <w:rPr>
      <w:rFonts w:hint="eastAsia" w:ascii="宋体" w:hAnsi="宋体" w:eastAsia="宋体" w:cs="Times New Roman"/>
      <w:color w:val="000000"/>
      <w:sz w:val="18"/>
      <w:szCs w:val="18"/>
    </w:rPr>
  </w:style>
  <w:style w:type="paragraph" w:customStyle="1" w:styleId="11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13">
    <w:name w:val="合同正文"/>
    <w:basedOn w:val="1"/>
    <w:link w:val="114"/>
    <w:qFormat/>
    <w:uiPriority w:val="0"/>
    <w:pPr>
      <w:spacing w:line="360" w:lineRule="auto"/>
      <w:ind w:firstLine="200" w:firstLineChars="200"/>
    </w:pPr>
    <w:rPr>
      <w:rFonts w:ascii="Times New Roman" w:hAnsi="Times New Roman" w:eastAsia="宋体" w:cs="Times New Roman"/>
      <w:bCs/>
      <w:sz w:val="24"/>
      <w:szCs w:val="20"/>
    </w:rPr>
  </w:style>
  <w:style w:type="character" w:customStyle="1" w:styleId="114">
    <w:name w:val="合同正文 Char"/>
    <w:link w:val="113"/>
    <w:qFormat/>
    <w:uiPriority w:val="0"/>
    <w:rPr>
      <w:rFonts w:ascii="Times New Roman" w:hAnsi="Times New Roman" w:eastAsia="宋体" w:cs="Times New Roman"/>
      <w:bCs/>
      <w:sz w:val="24"/>
      <w:szCs w:val="20"/>
    </w:rPr>
  </w:style>
  <w:style w:type="paragraph" w:customStyle="1" w:styleId="115">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116">
    <w:name w:val="合同正文 Char Char"/>
    <w:qFormat/>
    <w:uiPriority w:val="0"/>
    <w:rPr>
      <w:bCs/>
      <w:kern w:val="2"/>
      <w:sz w:val="24"/>
    </w:rPr>
  </w:style>
  <w:style w:type="character" w:styleId="117">
    <w:name w:val="Placeholder Text"/>
    <w:basedOn w:val="44"/>
    <w:semiHidden/>
    <w:qFormat/>
    <w:uiPriority w:val="99"/>
    <w:rPr>
      <w:color w:val="808080"/>
    </w:rPr>
  </w:style>
  <w:style w:type="character" w:customStyle="1" w:styleId="118">
    <w:name w:val="disabled"/>
    <w:basedOn w:val="44"/>
    <w:qFormat/>
    <w:uiPriority w:val="0"/>
    <w:rPr>
      <w:color w:val="888888"/>
    </w:rPr>
  </w:style>
  <w:style w:type="paragraph" w:customStyle="1" w:styleId="119">
    <w:name w:val="修订3"/>
    <w:hidden/>
    <w:semiHidden/>
    <w:qFormat/>
    <w:uiPriority w:val="99"/>
    <w:rPr>
      <w:rFonts w:ascii="Times New Roman" w:hAnsi="Times New Roman" w:eastAsia="宋体" w:cs="Times New Roman"/>
      <w:kern w:val="2"/>
      <w:sz w:val="24"/>
      <w:szCs w:val="24"/>
      <w:lang w:val="en-US" w:eastAsia="zh-CN" w:bidi="ar-SA"/>
    </w:rPr>
  </w:style>
  <w:style w:type="paragraph" w:customStyle="1" w:styleId="120">
    <w:name w:val="样式 标题 2(一)(一)1 + 左侧:  0 厘米 段前: 13 磅"/>
    <w:basedOn w:val="3"/>
    <w:qFormat/>
    <w:uiPriority w:val="0"/>
    <w:pPr>
      <w:numPr>
        <w:ilvl w:val="0"/>
        <w:numId w:val="5"/>
      </w:numPr>
      <w:tabs>
        <w:tab w:val="left" w:pos="1182"/>
        <w:tab w:val="left" w:pos="2434"/>
      </w:tabs>
      <w:spacing w:beforeLines="100" w:afterLines="100" w:line="360" w:lineRule="auto"/>
    </w:pPr>
    <w:rPr>
      <w:rFonts w:ascii="Times New Roman" w:hAnsi="Times New Roman" w:eastAsia="宋体" w:cs="Arial"/>
      <w:b/>
      <w:bCs/>
      <w:color w:val="auto"/>
      <w:sz w:val="24"/>
      <w:szCs w:val="20"/>
    </w:rPr>
  </w:style>
  <w:style w:type="paragraph" w:customStyle="1" w:styleId="121">
    <w:name w:val="修订4"/>
    <w:hidden/>
    <w:semiHidden/>
    <w:qFormat/>
    <w:uiPriority w:val="99"/>
    <w:rPr>
      <w:rFonts w:ascii="Times New Roman" w:hAnsi="Times New Roman" w:eastAsia="宋体" w:cs="Times New Roman"/>
      <w:kern w:val="2"/>
      <w:sz w:val="24"/>
      <w:szCs w:val="24"/>
      <w:lang w:val="en-US" w:eastAsia="zh-CN" w:bidi="ar-SA"/>
    </w:rPr>
  </w:style>
  <w:style w:type="paragraph" w:customStyle="1" w:styleId="122">
    <w:name w:val="修订5"/>
    <w:hidden/>
    <w:semiHidden/>
    <w:qFormat/>
    <w:uiPriority w:val="99"/>
    <w:rPr>
      <w:rFonts w:ascii="Times New Roman" w:hAnsi="Times New Roman" w:eastAsia="宋体" w:cs="Times New Roman"/>
      <w:kern w:val="2"/>
      <w:sz w:val="24"/>
      <w:szCs w:val="24"/>
      <w:lang w:val="en-US" w:eastAsia="zh-CN" w:bidi="ar-SA"/>
    </w:rPr>
  </w:style>
  <w:style w:type="paragraph" w:customStyle="1" w:styleId="123">
    <w:name w:val="修订6"/>
    <w:hidden/>
    <w:semiHidden/>
    <w:qFormat/>
    <w:uiPriority w:val="99"/>
    <w:rPr>
      <w:rFonts w:ascii="Times New Roman" w:hAnsi="Times New Roman" w:eastAsia="宋体" w:cs="Times New Roman"/>
      <w:kern w:val="2"/>
      <w:sz w:val="24"/>
      <w:szCs w:val="24"/>
      <w:lang w:val="en-US" w:eastAsia="zh-CN" w:bidi="ar-SA"/>
    </w:rPr>
  </w:style>
  <w:style w:type="paragraph" w:customStyle="1" w:styleId="124">
    <w:name w:val="修订7"/>
    <w:hidden/>
    <w:semiHidden/>
    <w:qFormat/>
    <w:uiPriority w:val="99"/>
    <w:rPr>
      <w:rFonts w:ascii="Times New Roman" w:hAnsi="Times New Roman" w:eastAsia="宋体" w:cs="Times New Roman"/>
      <w:kern w:val="2"/>
      <w:sz w:val="24"/>
      <w:szCs w:val="24"/>
      <w:lang w:val="en-US" w:eastAsia="zh-CN" w:bidi="ar-SA"/>
    </w:rPr>
  </w:style>
  <w:style w:type="paragraph" w:customStyle="1" w:styleId="125">
    <w:name w:val="修订8"/>
    <w:hidden/>
    <w:semiHidden/>
    <w:qFormat/>
    <w:uiPriority w:val="99"/>
    <w:rPr>
      <w:rFonts w:ascii="Times New Roman" w:hAnsi="Times New Roman" w:eastAsia="宋体" w:cs="Times New Roman"/>
      <w:kern w:val="2"/>
      <w:sz w:val="24"/>
      <w:szCs w:val="24"/>
      <w:lang w:val="en-US" w:eastAsia="zh-CN" w:bidi="ar-SA"/>
    </w:rPr>
  </w:style>
  <w:style w:type="paragraph" w:customStyle="1" w:styleId="126">
    <w:name w:val="修订9"/>
    <w:hidden/>
    <w:semiHidden/>
    <w:qFormat/>
    <w:uiPriority w:val="99"/>
    <w:rPr>
      <w:rFonts w:ascii="Times New Roman" w:hAnsi="Times New Roman" w:eastAsia="宋体" w:cs="Times New Roman"/>
      <w:kern w:val="2"/>
      <w:sz w:val="24"/>
      <w:szCs w:val="24"/>
      <w:lang w:val="en-US" w:eastAsia="zh-CN" w:bidi="ar-SA"/>
    </w:rPr>
  </w:style>
  <w:style w:type="paragraph" w:customStyle="1" w:styleId="127">
    <w:name w:val="修订10"/>
    <w:hidden/>
    <w:unhideWhenUsed/>
    <w:qFormat/>
    <w:uiPriority w:val="99"/>
    <w:rPr>
      <w:rFonts w:ascii="Times New Roman" w:hAnsi="Times New Roman" w:eastAsia="宋体" w:cs="Times New Roman"/>
      <w:kern w:val="2"/>
      <w:sz w:val="24"/>
      <w:szCs w:val="24"/>
      <w:lang w:val="en-US" w:eastAsia="zh-CN" w:bidi="ar-SA"/>
    </w:rPr>
  </w:style>
  <w:style w:type="character" w:customStyle="1" w:styleId="128">
    <w:name w:val="15"/>
    <w:basedOn w:val="44"/>
    <w:qFormat/>
    <w:uiPriority w:val="0"/>
    <w:rPr>
      <w:rFonts w:hint="default" w:ascii="Times New Roman" w:hAnsi="Times New Roman" w:cs="Times New Roman"/>
    </w:rPr>
  </w:style>
  <w:style w:type="paragraph" w:customStyle="1" w:styleId="129">
    <w:name w:val="修订1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30">
    <w:name w:val="网格型1"/>
    <w:basedOn w:val="42"/>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修订1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2">
    <w:name w:val="修订13"/>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33">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修订1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5">
    <w:name w:val="修订1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6">
    <w:name w:val="修订1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7">
    <w:name w:val="修订1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8">
    <w:name w:val="修订1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9">
    <w:name w:val="修订1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0">
    <w:name w:val="未处理的提及1"/>
    <w:basedOn w:val="44"/>
    <w:semiHidden/>
    <w:unhideWhenUsed/>
    <w:qFormat/>
    <w:uiPriority w:val="99"/>
    <w:rPr>
      <w:color w:val="605E5C"/>
      <w:shd w:val="clear" w:color="auto" w:fill="E1DFDD"/>
    </w:rPr>
  </w:style>
  <w:style w:type="paragraph" w:customStyle="1" w:styleId="14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B7527-79D4-4563-B629-8A35FA5125DC}">
  <ds:schemaRefs/>
</ds:datastoreItem>
</file>

<file path=docProps/app.xml><?xml version="1.0" encoding="utf-8"?>
<Properties xmlns="http://schemas.openxmlformats.org/officeDocument/2006/extended-properties" xmlns:vt="http://schemas.openxmlformats.org/officeDocument/2006/docPropsVTypes">
  <Template>Normal</Template>
  <Pages>154</Pages>
  <Words>17278</Words>
  <Characters>98488</Characters>
  <Lines>820</Lines>
  <Paragraphs>231</Paragraphs>
  <TotalTime>90</TotalTime>
  <ScaleCrop>false</ScaleCrop>
  <LinksUpToDate>false</LinksUpToDate>
  <CharactersWithSpaces>115535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2026-01-26T01:14:00Z</dcterms:created>
  <dc:creator>YuanTai</dc:creator>
  <cp:lastModifiedBy>chenwenmin</cp:lastModifiedBy>
  <dcterms:modified xsi:type="dcterms:W3CDTF">2026-05-29T09:16:55Z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3E38D0FE14EA4796A877E4C971A08AA6</vt:lpwstr>
  </property>
</Properties>
</file>