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42447">
      <w:pPr>
        <w:adjustRightInd w:val="0"/>
        <w:snapToGrid w:val="0"/>
        <w:rPr>
          <w:rFonts w:hint="eastAsia" w:ascii="宋体" w:hAnsi="宋体"/>
          <w:szCs w:val="21"/>
        </w:rPr>
      </w:pPr>
      <w:bookmarkStart w:id="0" w:name="OLE_LINK13"/>
      <w:bookmarkStart w:id="1" w:name="_Hlk218853895"/>
    </w:p>
    <w:p w14:paraId="58C07A67">
      <w:pPr>
        <w:adjustRightInd w:val="0"/>
        <w:snapToGrid w:val="0"/>
        <w:rPr>
          <w:rFonts w:hint="eastAsia" w:ascii="宋体" w:hAnsi="宋体"/>
          <w:szCs w:val="21"/>
        </w:rPr>
      </w:pPr>
    </w:p>
    <w:p w14:paraId="6B24AD9D">
      <w:pPr>
        <w:adjustRightInd w:val="0"/>
        <w:snapToGrid w:val="0"/>
        <w:rPr>
          <w:rFonts w:hint="eastAsia" w:ascii="宋体" w:hAnsi="宋体"/>
          <w:szCs w:val="21"/>
        </w:rPr>
      </w:pPr>
    </w:p>
    <w:p w14:paraId="792544F6">
      <w:pPr>
        <w:spacing w:line="360" w:lineRule="auto"/>
        <w:jc w:val="center"/>
        <w:rPr>
          <w:b/>
          <w:sz w:val="52"/>
          <w:szCs w:val="20"/>
        </w:rPr>
      </w:pPr>
      <w:r>
        <w:rPr>
          <w:rFonts w:hint="eastAsia"/>
          <w:b/>
          <w:sz w:val="52"/>
          <w:szCs w:val="20"/>
        </w:rPr>
        <w:t>富国基金管理有限公司</w:t>
      </w:r>
    </w:p>
    <w:p w14:paraId="25D384FC">
      <w:pPr>
        <w:adjustRightInd w:val="0"/>
        <w:snapToGrid w:val="0"/>
        <w:rPr>
          <w:rFonts w:hint="eastAsia" w:ascii="宋体" w:hAnsi="宋体"/>
          <w:szCs w:val="21"/>
        </w:rPr>
      </w:pPr>
    </w:p>
    <w:p w14:paraId="3EA17583">
      <w:pPr>
        <w:adjustRightInd w:val="0"/>
        <w:snapToGrid w:val="0"/>
        <w:rPr>
          <w:rFonts w:hint="eastAsia" w:ascii="宋体" w:hAnsi="宋体"/>
          <w:szCs w:val="21"/>
        </w:rPr>
      </w:pPr>
    </w:p>
    <w:p w14:paraId="532604BF">
      <w:pPr>
        <w:adjustRightInd w:val="0"/>
        <w:snapToGrid w:val="0"/>
        <w:jc w:val="center"/>
        <w:rPr>
          <w:b/>
          <w:sz w:val="48"/>
          <w:szCs w:val="20"/>
        </w:rPr>
      </w:pPr>
      <w:bookmarkStart w:id="167" w:name="_GoBack"/>
      <w:r>
        <w:rPr>
          <w:rFonts w:hint="eastAsia"/>
          <w:b/>
          <w:sz w:val="48"/>
          <w:szCs w:val="20"/>
        </w:rPr>
        <w:t>富国裕丰回报混合型证券投资基金</w:t>
      </w:r>
    </w:p>
    <w:p w14:paraId="7490EB46">
      <w:pPr>
        <w:adjustRightInd w:val="0"/>
        <w:snapToGrid w:val="0"/>
        <w:jc w:val="center"/>
        <w:rPr>
          <w:b/>
          <w:sz w:val="48"/>
          <w:szCs w:val="20"/>
        </w:rPr>
      </w:pPr>
      <w:r>
        <w:rPr>
          <w:rFonts w:hint="eastAsia"/>
          <w:b/>
          <w:sz w:val="48"/>
          <w:szCs w:val="20"/>
        </w:rPr>
        <w:t>基金合同</w:t>
      </w:r>
      <w:bookmarkEnd w:id="167"/>
    </w:p>
    <w:p w14:paraId="769EDF1A">
      <w:pPr>
        <w:adjustRightInd w:val="0"/>
        <w:snapToGrid w:val="0"/>
        <w:rPr>
          <w:rFonts w:hint="eastAsia" w:ascii="宋体" w:hAnsi="宋体"/>
          <w:szCs w:val="21"/>
        </w:rPr>
      </w:pPr>
    </w:p>
    <w:p w14:paraId="47E1E041">
      <w:pPr>
        <w:adjustRightInd w:val="0"/>
        <w:snapToGrid w:val="0"/>
        <w:rPr>
          <w:rFonts w:hint="eastAsia" w:ascii="宋体" w:hAnsi="宋体"/>
          <w:szCs w:val="21"/>
        </w:rPr>
      </w:pPr>
    </w:p>
    <w:p w14:paraId="3F650889">
      <w:pPr>
        <w:adjustRightInd w:val="0"/>
        <w:snapToGrid w:val="0"/>
        <w:rPr>
          <w:rFonts w:hint="eastAsia" w:ascii="宋体" w:hAnsi="宋体"/>
          <w:szCs w:val="21"/>
        </w:rPr>
      </w:pPr>
    </w:p>
    <w:p w14:paraId="22055154">
      <w:pPr>
        <w:adjustRightInd w:val="0"/>
        <w:snapToGrid w:val="0"/>
        <w:rPr>
          <w:rFonts w:hint="eastAsia" w:ascii="宋体" w:hAnsi="宋体"/>
          <w:szCs w:val="21"/>
        </w:rPr>
      </w:pPr>
    </w:p>
    <w:p w14:paraId="410DCA06">
      <w:pPr>
        <w:adjustRightInd w:val="0"/>
        <w:snapToGrid w:val="0"/>
        <w:rPr>
          <w:rFonts w:hint="eastAsia" w:ascii="宋体" w:hAnsi="宋体"/>
          <w:szCs w:val="21"/>
        </w:rPr>
      </w:pPr>
    </w:p>
    <w:p w14:paraId="490C1F19">
      <w:pPr>
        <w:adjustRightInd w:val="0"/>
        <w:snapToGrid w:val="0"/>
        <w:rPr>
          <w:rFonts w:hint="eastAsia" w:ascii="宋体" w:hAnsi="宋体"/>
          <w:szCs w:val="21"/>
        </w:rPr>
      </w:pPr>
    </w:p>
    <w:p w14:paraId="7111D087">
      <w:pPr>
        <w:adjustRightInd w:val="0"/>
        <w:snapToGrid w:val="0"/>
        <w:rPr>
          <w:rFonts w:hint="eastAsia" w:ascii="宋体" w:hAnsi="宋体"/>
          <w:szCs w:val="21"/>
        </w:rPr>
      </w:pPr>
    </w:p>
    <w:p w14:paraId="5379D210">
      <w:pPr>
        <w:adjustRightInd w:val="0"/>
        <w:snapToGrid w:val="0"/>
        <w:rPr>
          <w:rFonts w:hint="eastAsia" w:ascii="宋体" w:hAnsi="宋体"/>
          <w:szCs w:val="21"/>
        </w:rPr>
      </w:pPr>
    </w:p>
    <w:p w14:paraId="037C95F2">
      <w:pPr>
        <w:adjustRightInd w:val="0"/>
        <w:snapToGrid w:val="0"/>
        <w:jc w:val="center"/>
        <w:rPr>
          <w:rFonts w:hint="eastAsia" w:ascii="宋体" w:hAnsi="宋体"/>
          <w:szCs w:val="21"/>
        </w:rPr>
      </w:pPr>
    </w:p>
    <w:p w14:paraId="5D910821">
      <w:pPr>
        <w:adjustRightInd w:val="0"/>
        <w:snapToGrid w:val="0"/>
        <w:jc w:val="center"/>
        <w:rPr>
          <w:rFonts w:hint="eastAsia" w:ascii="宋体" w:hAnsi="宋体"/>
          <w:szCs w:val="21"/>
        </w:rPr>
      </w:pPr>
    </w:p>
    <w:p w14:paraId="1FF1C211">
      <w:pPr>
        <w:adjustRightInd w:val="0"/>
        <w:snapToGrid w:val="0"/>
        <w:rPr>
          <w:rFonts w:hint="eastAsia" w:ascii="宋体" w:hAnsi="宋体"/>
          <w:szCs w:val="21"/>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5103"/>
      </w:tblGrid>
      <w:tr w14:paraId="64C2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18AEC51E">
            <w:pPr>
              <w:adjustRightInd w:val="0"/>
              <w:snapToGrid w:val="0"/>
              <w:jc w:val="right"/>
              <w:rPr>
                <w:b/>
                <w:sz w:val="36"/>
                <w:szCs w:val="20"/>
              </w:rPr>
            </w:pPr>
            <w:r>
              <w:rPr>
                <w:rFonts w:hint="eastAsia"/>
                <w:b/>
                <w:sz w:val="36"/>
                <w:szCs w:val="20"/>
              </w:rPr>
              <w:t>基金管理人：</w:t>
            </w:r>
          </w:p>
        </w:tc>
        <w:tc>
          <w:tcPr>
            <w:tcW w:w="5103" w:type="dxa"/>
          </w:tcPr>
          <w:p w14:paraId="03CCD98F">
            <w:pPr>
              <w:adjustRightInd w:val="0"/>
              <w:snapToGrid w:val="0"/>
              <w:rPr>
                <w:b/>
                <w:sz w:val="36"/>
                <w:szCs w:val="20"/>
              </w:rPr>
            </w:pPr>
            <w:r>
              <w:rPr>
                <w:rFonts w:hint="eastAsia"/>
                <w:b/>
                <w:sz w:val="36"/>
                <w:szCs w:val="20"/>
              </w:rPr>
              <w:t>富国基金管理有限公司</w:t>
            </w:r>
          </w:p>
        </w:tc>
      </w:tr>
      <w:tr w14:paraId="6314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23E242E3">
            <w:pPr>
              <w:adjustRightInd w:val="0"/>
              <w:snapToGrid w:val="0"/>
              <w:jc w:val="right"/>
              <w:rPr>
                <w:b/>
                <w:sz w:val="36"/>
                <w:szCs w:val="20"/>
              </w:rPr>
            </w:pPr>
            <w:r>
              <w:rPr>
                <w:rFonts w:hint="eastAsia"/>
                <w:b/>
                <w:sz w:val="36"/>
                <w:szCs w:val="20"/>
              </w:rPr>
              <w:t>基金托管人：</w:t>
            </w:r>
          </w:p>
        </w:tc>
        <w:tc>
          <w:tcPr>
            <w:tcW w:w="5103" w:type="dxa"/>
          </w:tcPr>
          <w:p w14:paraId="3A2CC87F">
            <w:pPr>
              <w:adjustRightInd w:val="0"/>
              <w:snapToGrid w:val="0"/>
              <w:jc w:val="left"/>
              <w:rPr>
                <w:b/>
                <w:sz w:val="36"/>
                <w:szCs w:val="20"/>
              </w:rPr>
            </w:pPr>
            <w:r>
              <w:rPr>
                <w:rFonts w:hint="eastAsia"/>
                <w:b/>
                <w:sz w:val="36"/>
                <w:szCs w:val="20"/>
              </w:rPr>
              <w:t>招商银行股份有限公司</w:t>
            </w:r>
          </w:p>
        </w:tc>
      </w:tr>
    </w:tbl>
    <w:p w14:paraId="22E4B130">
      <w:pPr>
        <w:adjustRightInd w:val="0"/>
        <w:snapToGrid w:val="0"/>
        <w:jc w:val="center"/>
        <w:rPr>
          <w:rFonts w:hint="eastAsia" w:ascii="宋体" w:hAnsi="宋体"/>
          <w:b/>
          <w:szCs w:val="21"/>
        </w:rPr>
      </w:pPr>
    </w:p>
    <w:p w14:paraId="3A6E4A57">
      <w:pPr>
        <w:adjustRightInd w:val="0"/>
        <w:snapToGrid w:val="0"/>
        <w:jc w:val="center"/>
        <w:rPr>
          <w:rFonts w:hint="eastAsia" w:ascii="宋体" w:hAnsi="宋体"/>
          <w:b/>
          <w:szCs w:val="21"/>
        </w:rPr>
      </w:pPr>
    </w:p>
    <w:p w14:paraId="3426C585">
      <w:pPr>
        <w:adjustRightInd w:val="0"/>
        <w:snapToGrid w:val="0"/>
        <w:jc w:val="center"/>
        <w:rPr>
          <w:rFonts w:hint="eastAsia" w:ascii="宋体" w:hAnsi="宋体"/>
          <w:b/>
          <w:szCs w:val="21"/>
        </w:rPr>
      </w:pPr>
    </w:p>
    <w:p w14:paraId="4E7457F5">
      <w:pPr>
        <w:adjustRightInd w:val="0"/>
        <w:snapToGrid w:val="0"/>
        <w:jc w:val="center"/>
        <w:rPr>
          <w:rFonts w:hint="eastAsia" w:ascii="宋体" w:hAnsi="宋体"/>
          <w:b/>
          <w:szCs w:val="21"/>
        </w:rPr>
      </w:pPr>
    </w:p>
    <w:p w14:paraId="605F2745">
      <w:pPr>
        <w:adjustRightInd w:val="0"/>
        <w:snapToGrid w:val="0"/>
        <w:jc w:val="center"/>
        <w:rPr>
          <w:rFonts w:ascii="宋体"/>
          <w:b/>
          <w:bCs/>
          <w:sz w:val="30"/>
          <w:szCs w:val="20"/>
        </w:rPr>
      </w:pPr>
      <w:r>
        <w:rPr>
          <w:rFonts w:hint="eastAsia" w:ascii="宋体"/>
          <w:b/>
          <w:bCs/>
          <w:sz w:val="30"/>
          <w:szCs w:val="20"/>
        </w:rPr>
        <w:t>二零二六年六月</w:t>
      </w:r>
    </w:p>
    <w:p w14:paraId="3D727708">
      <w:pPr>
        <w:adjustRightInd w:val="0"/>
        <w:snapToGrid w:val="0"/>
        <w:jc w:val="center"/>
        <w:rPr>
          <w:rFonts w:hint="eastAsia" w:ascii="宋体" w:hAnsi="宋体"/>
          <w:b/>
          <w:szCs w:val="21"/>
        </w:rPr>
      </w:pPr>
      <w:r>
        <w:rPr>
          <w:rFonts w:hint="eastAsia" w:ascii="宋体" w:hAnsi="宋体"/>
          <w:b/>
          <w:szCs w:val="21"/>
        </w:rPr>
        <w:t xml:space="preserve">        </w:t>
      </w:r>
    </w:p>
    <w:p w14:paraId="6B4D3623">
      <w:pPr>
        <w:adjustRightInd w:val="0"/>
        <w:snapToGrid w:val="0"/>
        <w:jc w:val="center"/>
        <w:rPr>
          <w:rFonts w:hint="eastAsia" w:ascii="宋体" w:hAnsi="宋体"/>
          <w:b/>
          <w:sz w:val="28"/>
          <w:szCs w:val="21"/>
        </w:rPr>
      </w:pPr>
    </w:p>
    <w:p w14:paraId="213A2924">
      <w:pPr>
        <w:adjustRightInd w:val="0"/>
        <w:snapToGrid w:val="0"/>
        <w:jc w:val="center"/>
        <w:rPr>
          <w:rFonts w:hint="eastAsia" w:ascii="宋体" w:hAnsi="宋体"/>
          <w:b/>
          <w:sz w:val="28"/>
          <w:szCs w:val="21"/>
        </w:rPr>
        <w:sectPr>
          <w:headerReference r:id="rId5" w:type="default"/>
          <w:footerReference r:id="rId6" w:type="default"/>
          <w:pgSz w:w="11906" w:h="16838"/>
          <w:pgMar w:top="1440" w:right="1797" w:bottom="1440" w:left="1797" w:header="851" w:footer="992" w:gutter="0"/>
          <w:pgNumType w:start="1"/>
          <w:cols w:space="425" w:num="1"/>
          <w:titlePg/>
          <w:docGrid w:type="lines" w:linePitch="326" w:charSpace="0"/>
        </w:sectPr>
      </w:pPr>
    </w:p>
    <w:p w14:paraId="0F4526DE">
      <w:pPr>
        <w:adjustRightInd w:val="0"/>
        <w:snapToGrid w:val="0"/>
        <w:jc w:val="center"/>
        <w:rPr>
          <w:rFonts w:hint="eastAsia" w:ascii="宋体" w:hAnsi="宋体"/>
          <w:b/>
          <w:sz w:val="28"/>
          <w:szCs w:val="21"/>
        </w:rPr>
      </w:pPr>
      <w:r>
        <w:rPr>
          <w:rFonts w:hint="eastAsia" w:ascii="宋体" w:hAnsi="宋体"/>
          <w:b/>
          <w:sz w:val="28"/>
          <w:szCs w:val="21"/>
        </w:rPr>
        <w:t>目   录</w:t>
      </w:r>
    </w:p>
    <w:p w14:paraId="04B46719">
      <w:pPr>
        <w:adjustRightInd w:val="0"/>
        <w:snapToGrid w:val="0"/>
        <w:jc w:val="center"/>
        <w:rPr>
          <w:rFonts w:hint="eastAsia" w:ascii="宋体" w:hAnsi="宋体"/>
          <w:szCs w:val="21"/>
        </w:rPr>
      </w:pPr>
      <w:r>
        <w:rPr>
          <w:rFonts w:hint="eastAsia" w:ascii="宋体" w:hAnsi="宋体"/>
          <w:szCs w:val="21"/>
        </w:rPr>
        <w:t xml:space="preserve"> </w:t>
      </w:r>
    </w:p>
    <w:p w14:paraId="1BEB5431">
      <w:pPr>
        <w:pStyle w:val="21"/>
        <w:spacing w:line="360" w:lineRule="auto"/>
        <w:rPr>
          <w:rFonts w:asciiTheme="minorHAnsi" w:hAnsiTheme="minorHAnsi" w:eastAsiaTheme="minorEastAsia" w:cstheme="minorBidi"/>
          <w:sz w:val="21"/>
          <w:szCs w:val="22"/>
        </w:rPr>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r>
        <w:fldChar w:fldCharType="begin"/>
      </w:r>
      <w:r>
        <w:instrText xml:space="preserve"> HYPERLINK \l "_Toc218514481" </w:instrText>
      </w:r>
      <w:r>
        <w:fldChar w:fldCharType="separate"/>
      </w:r>
      <w:r>
        <w:rPr>
          <w:rStyle w:val="31"/>
          <w:rFonts w:hint="eastAsia"/>
        </w:rPr>
        <w:t>第一部分 前言</w:t>
      </w:r>
      <w:r>
        <w:tab/>
      </w:r>
      <w:r>
        <w:fldChar w:fldCharType="begin"/>
      </w:r>
      <w:r>
        <w:instrText xml:space="preserve"> PAGEREF _Toc218514481 \h </w:instrText>
      </w:r>
      <w:r>
        <w:fldChar w:fldCharType="separate"/>
      </w:r>
      <w:r>
        <w:t>2</w:t>
      </w:r>
      <w:r>
        <w:fldChar w:fldCharType="end"/>
      </w:r>
      <w:r>
        <w:fldChar w:fldCharType="end"/>
      </w:r>
    </w:p>
    <w:p w14:paraId="2E09AF6C">
      <w:pPr>
        <w:pStyle w:val="21"/>
        <w:spacing w:line="360" w:lineRule="auto"/>
        <w:rPr>
          <w:rFonts w:asciiTheme="minorHAnsi" w:hAnsiTheme="minorHAnsi" w:eastAsiaTheme="minorEastAsia" w:cstheme="minorBidi"/>
          <w:sz w:val="21"/>
          <w:szCs w:val="22"/>
        </w:rPr>
      </w:pPr>
      <w:r>
        <w:fldChar w:fldCharType="begin"/>
      </w:r>
      <w:r>
        <w:instrText xml:space="preserve"> HYPERLINK \l "_Toc218514482" </w:instrText>
      </w:r>
      <w:r>
        <w:fldChar w:fldCharType="separate"/>
      </w:r>
      <w:r>
        <w:rPr>
          <w:rStyle w:val="31"/>
          <w:rFonts w:hint="eastAsia"/>
        </w:rPr>
        <w:t>第二部分 释义</w:t>
      </w:r>
      <w:r>
        <w:tab/>
      </w:r>
      <w:r>
        <w:fldChar w:fldCharType="begin"/>
      </w:r>
      <w:r>
        <w:instrText xml:space="preserve"> PAGEREF _Toc218514482 \h </w:instrText>
      </w:r>
      <w:r>
        <w:fldChar w:fldCharType="separate"/>
      </w:r>
      <w:r>
        <w:t>5</w:t>
      </w:r>
      <w:r>
        <w:fldChar w:fldCharType="end"/>
      </w:r>
      <w:r>
        <w:fldChar w:fldCharType="end"/>
      </w:r>
    </w:p>
    <w:p w14:paraId="449B90FC">
      <w:pPr>
        <w:pStyle w:val="21"/>
        <w:spacing w:line="360" w:lineRule="auto"/>
        <w:rPr>
          <w:rFonts w:asciiTheme="minorHAnsi" w:hAnsiTheme="minorHAnsi" w:eastAsiaTheme="minorEastAsia" w:cstheme="minorBidi"/>
          <w:sz w:val="21"/>
          <w:szCs w:val="22"/>
        </w:rPr>
      </w:pPr>
      <w:r>
        <w:fldChar w:fldCharType="begin"/>
      </w:r>
      <w:r>
        <w:instrText xml:space="preserve"> HYPERLINK \l "_Toc218514483" </w:instrText>
      </w:r>
      <w:r>
        <w:fldChar w:fldCharType="separate"/>
      </w:r>
      <w:r>
        <w:rPr>
          <w:rStyle w:val="31"/>
          <w:rFonts w:hint="eastAsia"/>
        </w:rPr>
        <w:t>第三部分 基金的基本情况</w:t>
      </w:r>
      <w:r>
        <w:tab/>
      </w:r>
      <w:r>
        <w:fldChar w:fldCharType="begin"/>
      </w:r>
      <w:r>
        <w:instrText xml:space="preserve"> PAGEREF _Toc218514483 \h </w:instrText>
      </w:r>
      <w:r>
        <w:fldChar w:fldCharType="separate"/>
      </w:r>
      <w:r>
        <w:t>11</w:t>
      </w:r>
      <w:r>
        <w:fldChar w:fldCharType="end"/>
      </w:r>
      <w:r>
        <w:fldChar w:fldCharType="end"/>
      </w:r>
    </w:p>
    <w:p w14:paraId="1F15E9B7">
      <w:pPr>
        <w:pStyle w:val="21"/>
        <w:spacing w:line="360" w:lineRule="auto"/>
        <w:rPr>
          <w:rFonts w:asciiTheme="minorHAnsi" w:hAnsiTheme="minorHAnsi" w:eastAsiaTheme="minorEastAsia" w:cstheme="minorBidi"/>
          <w:sz w:val="21"/>
          <w:szCs w:val="22"/>
        </w:rPr>
      </w:pPr>
      <w:r>
        <w:fldChar w:fldCharType="begin"/>
      </w:r>
      <w:r>
        <w:instrText xml:space="preserve"> HYPERLINK \l "_Toc218514484" </w:instrText>
      </w:r>
      <w:r>
        <w:fldChar w:fldCharType="separate"/>
      </w:r>
      <w:r>
        <w:rPr>
          <w:rStyle w:val="31"/>
          <w:rFonts w:hint="eastAsia"/>
        </w:rPr>
        <w:t>第四部分 基金份额的发售</w:t>
      </w:r>
      <w:r>
        <w:tab/>
      </w:r>
      <w:r>
        <w:fldChar w:fldCharType="begin"/>
      </w:r>
      <w:r>
        <w:instrText xml:space="preserve"> PAGEREF _Toc218514484 \h </w:instrText>
      </w:r>
      <w:r>
        <w:fldChar w:fldCharType="separate"/>
      </w:r>
      <w:r>
        <w:t>13</w:t>
      </w:r>
      <w:r>
        <w:fldChar w:fldCharType="end"/>
      </w:r>
      <w:r>
        <w:fldChar w:fldCharType="end"/>
      </w:r>
    </w:p>
    <w:p w14:paraId="26B3E6FA">
      <w:pPr>
        <w:pStyle w:val="21"/>
        <w:spacing w:line="360" w:lineRule="auto"/>
        <w:rPr>
          <w:rFonts w:asciiTheme="minorHAnsi" w:hAnsiTheme="minorHAnsi" w:eastAsiaTheme="minorEastAsia" w:cstheme="minorBidi"/>
          <w:sz w:val="21"/>
          <w:szCs w:val="22"/>
        </w:rPr>
      </w:pPr>
      <w:r>
        <w:fldChar w:fldCharType="begin"/>
      </w:r>
      <w:r>
        <w:instrText xml:space="preserve"> HYPERLINK \l "_Toc218514485" </w:instrText>
      </w:r>
      <w:r>
        <w:fldChar w:fldCharType="separate"/>
      </w:r>
      <w:r>
        <w:rPr>
          <w:rStyle w:val="31"/>
          <w:rFonts w:hint="eastAsia"/>
        </w:rPr>
        <w:t>第五部分 基金备案</w:t>
      </w:r>
      <w:r>
        <w:tab/>
      </w:r>
      <w:r>
        <w:fldChar w:fldCharType="begin"/>
      </w:r>
      <w:r>
        <w:instrText xml:space="preserve"> PAGEREF _Toc218514485 \h </w:instrText>
      </w:r>
      <w:r>
        <w:fldChar w:fldCharType="separate"/>
      </w:r>
      <w:r>
        <w:t>15</w:t>
      </w:r>
      <w:r>
        <w:fldChar w:fldCharType="end"/>
      </w:r>
      <w:r>
        <w:fldChar w:fldCharType="end"/>
      </w:r>
    </w:p>
    <w:p w14:paraId="5EB0C1F6">
      <w:pPr>
        <w:pStyle w:val="21"/>
        <w:spacing w:line="360" w:lineRule="auto"/>
        <w:rPr>
          <w:rFonts w:asciiTheme="minorHAnsi" w:hAnsiTheme="minorHAnsi" w:eastAsiaTheme="minorEastAsia" w:cstheme="minorBidi"/>
          <w:sz w:val="21"/>
          <w:szCs w:val="22"/>
        </w:rPr>
      </w:pPr>
      <w:r>
        <w:fldChar w:fldCharType="begin"/>
      </w:r>
      <w:r>
        <w:instrText xml:space="preserve"> HYPERLINK \l "_Toc218514486" </w:instrText>
      </w:r>
      <w:r>
        <w:fldChar w:fldCharType="separate"/>
      </w:r>
      <w:r>
        <w:rPr>
          <w:rStyle w:val="31"/>
          <w:rFonts w:hint="eastAsia"/>
        </w:rPr>
        <w:t>第六部分 基金份额的申购与赎回</w:t>
      </w:r>
      <w:r>
        <w:tab/>
      </w:r>
      <w:r>
        <w:fldChar w:fldCharType="begin"/>
      </w:r>
      <w:r>
        <w:instrText xml:space="preserve"> PAGEREF _Toc218514486 \h </w:instrText>
      </w:r>
      <w:r>
        <w:fldChar w:fldCharType="separate"/>
      </w:r>
      <w:r>
        <w:t>16</w:t>
      </w:r>
      <w:r>
        <w:fldChar w:fldCharType="end"/>
      </w:r>
      <w:r>
        <w:fldChar w:fldCharType="end"/>
      </w:r>
    </w:p>
    <w:p w14:paraId="3E0DDC99">
      <w:pPr>
        <w:pStyle w:val="21"/>
        <w:spacing w:line="360" w:lineRule="auto"/>
        <w:rPr>
          <w:rFonts w:asciiTheme="minorHAnsi" w:hAnsiTheme="minorHAnsi" w:eastAsiaTheme="minorEastAsia" w:cstheme="minorBidi"/>
          <w:sz w:val="21"/>
          <w:szCs w:val="22"/>
        </w:rPr>
      </w:pPr>
      <w:r>
        <w:fldChar w:fldCharType="begin"/>
      </w:r>
      <w:r>
        <w:instrText xml:space="preserve"> HYPERLINK \l "_Toc218514487" </w:instrText>
      </w:r>
      <w:r>
        <w:fldChar w:fldCharType="separate"/>
      </w:r>
      <w:r>
        <w:rPr>
          <w:rStyle w:val="31"/>
          <w:rFonts w:hint="eastAsia"/>
        </w:rPr>
        <w:t>第七部分 基金合同当事人及权利义务</w:t>
      </w:r>
      <w:r>
        <w:tab/>
      </w:r>
      <w:r>
        <w:fldChar w:fldCharType="begin"/>
      </w:r>
      <w:r>
        <w:instrText xml:space="preserve"> PAGEREF _Toc218514487 \h </w:instrText>
      </w:r>
      <w:r>
        <w:fldChar w:fldCharType="separate"/>
      </w:r>
      <w:r>
        <w:t>26</w:t>
      </w:r>
      <w:r>
        <w:fldChar w:fldCharType="end"/>
      </w:r>
      <w:r>
        <w:fldChar w:fldCharType="end"/>
      </w:r>
    </w:p>
    <w:p w14:paraId="34D4B871">
      <w:pPr>
        <w:pStyle w:val="21"/>
        <w:spacing w:line="360" w:lineRule="auto"/>
        <w:rPr>
          <w:rFonts w:asciiTheme="minorHAnsi" w:hAnsiTheme="minorHAnsi" w:eastAsiaTheme="minorEastAsia" w:cstheme="minorBidi"/>
          <w:sz w:val="21"/>
          <w:szCs w:val="22"/>
        </w:rPr>
      </w:pPr>
      <w:r>
        <w:fldChar w:fldCharType="begin"/>
      </w:r>
      <w:r>
        <w:instrText xml:space="preserve"> HYPERLINK \l "_Toc218514488" </w:instrText>
      </w:r>
      <w:r>
        <w:fldChar w:fldCharType="separate"/>
      </w:r>
      <w:r>
        <w:rPr>
          <w:rStyle w:val="31"/>
          <w:rFonts w:hint="eastAsia"/>
        </w:rPr>
        <w:t>第八部分 基金份额持有人大会</w:t>
      </w:r>
      <w:r>
        <w:tab/>
      </w:r>
      <w:r>
        <w:fldChar w:fldCharType="begin"/>
      </w:r>
      <w:r>
        <w:instrText xml:space="preserve"> PAGEREF _Toc218514488 \h </w:instrText>
      </w:r>
      <w:r>
        <w:fldChar w:fldCharType="separate"/>
      </w:r>
      <w:r>
        <w:t>34</w:t>
      </w:r>
      <w:r>
        <w:fldChar w:fldCharType="end"/>
      </w:r>
      <w:r>
        <w:fldChar w:fldCharType="end"/>
      </w:r>
    </w:p>
    <w:p w14:paraId="5FB49F3D">
      <w:pPr>
        <w:pStyle w:val="21"/>
        <w:spacing w:line="360" w:lineRule="auto"/>
        <w:rPr>
          <w:rFonts w:asciiTheme="minorHAnsi" w:hAnsiTheme="minorHAnsi" w:eastAsiaTheme="minorEastAsia" w:cstheme="minorBidi"/>
          <w:sz w:val="21"/>
          <w:szCs w:val="22"/>
        </w:rPr>
      </w:pPr>
      <w:r>
        <w:fldChar w:fldCharType="begin"/>
      </w:r>
      <w:r>
        <w:instrText xml:space="preserve"> HYPERLINK \l "_Toc218514489" </w:instrText>
      </w:r>
      <w:r>
        <w:fldChar w:fldCharType="separate"/>
      </w:r>
      <w:r>
        <w:rPr>
          <w:rStyle w:val="31"/>
          <w:rFonts w:hint="eastAsia"/>
        </w:rPr>
        <w:t>第九部分 基金管理人、基金托管人的更换条件和程序</w:t>
      </w:r>
      <w:r>
        <w:tab/>
      </w:r>
      <w:r>
        <w:fldChar w:fldCharType="begin"/>
      </w:r>
      <w:r>
        <w:instrText xml:space="preserve"> PAGEREF _Toc218514489 \h </w:instrText>
      </w:r>
      <w:r>
        <w:fldChar w:fldCharType="separate"/>
      </w:r>
      <w:r>
        <w:t>44</w:t>
      </w:r>
      <w:r>
        <w:fldChar w:fldCharType="end"/>
      </w:r>
      <w:r>
        <w:fldChar w:fldCharType="end"/>
      </w:r>
    </w:p>
    <w:p w14:paraId="2F4DDF59">
      <w:pPr>
        <w:pStyle w:val="21"/>
        <w:spacing w:line="360" w:lineRule="auto"/>
        <w:rPr>
          <w:rFonts w:asciiTheme="minorHAnsi" w:hAnsiTheme="minorHAnsi" w:eastAsiaTheme="minorEastAsia" w:cstheme="minorBidi"/>
          <w:sz w:val="21"/>
          <w:szCs w:val="22"/>
        </w:rPr>
      </w:pPr>
      <w:r>
        <w:fldChar w:fldCharType="begin"/>
      </w:r>
      <w:r>
        <w:instrText xml:space="preserve"> HYPERLINK \l "_Toc218514490" </w:instrText>
      </w:r>
      <w:r>
        <w:fldChar w:fldCharType="separate"/>
      </w:r>
      <w:r>
        <w:rPr>
          <w:rStyle w:val="31"/>
          <w:rFonts w:hint="eastAsia"/>
        </w:rPr>
        <w:t>第十部分 基金的托管</w:t>
      </w:r>
      <w:r>
        <w:tab/>
      </w:r>
      <w:r>
        <w:fldChar w:fldCharType="begin"/>
      </w:r>
      <w:r>
        <w:instrText xml:space="preserve"> PAGEREF _Toc218514490 \h </w:instrText>
      </w:r>
      <w:r>
        <w:fldChar w:fldCharType="separate"/>
      </w:r>
      <w:r>
        <w:t>47</w:t>
      </w:r>
      <w:r>
        <w:fldChar w:fldCharType="end"/>
      </w:r>
      <w:r>
        <w:fldChar w:fldCharType="end"/>
      </w:r>
    </w:p>
    <w:p w14:paraId="597E1A4B">
      <w:pPr>
        <w:pStyle w:val="21"/>
        <w:spacing w:line="360" w:lineRule="auto"/>
        <w:rPr>
          <w:rFonts w:asciiTheme="minorHAnsi" w:hAnsiTheme="minorHAnsi" w:eastAsiaTheme="minorEastAsia" w:cstheme="minorBidi"/>
          <w:sz w:val="21"/>
          <w:szCs w:val="22"/>
        </w:rPr>
      </w:pPr>
      <w:r>
        <w:fldChar w:fldCharType="begin"/>
      </w:r>
      <w:r>
        <w:instrText xml:space="preserve"> HYPERLINK \l "_Toc218514491" </w:instrText>
      </w:r>
      <w:r>
        <w:fldChar w:fldCharType="separate"/>
      </w:r>
      <w:r>
        <w:rPr>
          <w:rStyle w:val="31"/>
          <w:rFonts w:hint="eastAsia"/>
        </w:rPr>
        <w:t>第十一部分 基金份额的登记</w:t>
      </w:r>
      <w:r>
        <w:tab/>
      </w:r>
      <w:r>
        <w:fldChar w:fldCharType="begin"/>
      </w:r>
      <w:r>
        <w:instrText xml:space="preserve"> PAGEREF _Toc218514491 \h </w:instrText>
      </w:r>
      <w:r>
        <w:fldChar w:fldCharType="separate"/>
      </w:r>
      <w:r>
        <w:t>48</w:t>
      </w:r>
      <w:r>
        <w:fldChar w:fldCharType="end"/>
      </w:r>
      <w:r>
        <w:fldChar w:fldCharType="end"/>
      </w:r>
    </w:p>
    <w:p w14:paraId="55C39B97">
      <w:pPr>
        <w:pStyle w:val="21"/>
        <w:spacing w:line="360" w:lineRule="auto"/>
        <w:rPr>
          <w:rFonts w:asciiTheme="minorHAnsi" w:hAnsiTheme="minorHAnsi" w:eastAsiaTheme="minorEastAsia" w:cstheme="minorBidi"/>
          <w:sz w:val="21"/>
          <w:szCs w:val="22"/>
        </w:rPr>
      </w:pPr>
      <w:r>
        <w:fldChar w:fldCharType="begin"/>
      </w:r>
      <w:r>
        <w:instrText xml:space="preserve"> HYPERLINK \l "_Toc218514492" </w:instrText>
      </w:r>
      <w:r>
        <w:fldChar w:fldCharType="separate"/>
      </w:r>
      <w:r>
        <w:rPr>
          <w:rStyle w:val="31"/>
          <w:rFonts w:hint="eastAsia"/>
        </w:rPr>
        <w:t>第十二部分 基金的投资</w:t>
      </w:r>
      <w:r>
        <w:tab/>
      </w:r>
      <w:r>
        <w:fldChar w:fldCharType="begin"/>
      </w:r>
      <w:r>
        <w:instrText xml:space="preserve"> PAGEREF _Toc218514492 \h </w:instrText>
      </w:r>
      <w:r>
        <w:fldChar w:fldCharType="separate"/>
      </w:r>
      <w:r>
        <w:t>50</w:t>
      </w:r>
      <w:r>
        <w:fldChar w:fldCharType="end"/>
      </w:r>
      <w:r>
        <w:fldChar w:fldCharType="end"/>
      </w:r>
    </w:p>
    <w:p w14:paraId="4C34E2B8">
      <w:pPr>
        <w:pStyle w:val="21"/>
        <w:spacing w:line="360" w:lineRule="auto"/>
        <w:rPr>
          <w:rFonts w:asciiTheme="minorHAnsi" w:hAnsiTheme="minorHAnsi" w:eastAsiaTheme="minorEastAsia" w:cstheme="minorBidi"/>
          <w:sz w:val="21"/>
          <w:szCs w:val="22"/>
        </w:rPr>
      </w:pPr>
      <w:r>
        <w:fldChar w:fldCharType="begin"/>
      </w:r>
      <w:r>
        <w:instrText xml:space="preserve"> HYPERLINK \l "_Toc218514493" </w:instrText>
      </w:r>
      <w:r>
        <w:fldChar w:fldCharType="separate"/>
      </w:r>
      <w:r>
        <w:rPr>
          <w:rStyle w:val="31"/>
          <w:rFonts w:hint="eastAsia"/>
        </w:rPr>
        <w:t>第十三部分 基金的财产</w:t>
      </w:r>
      <w:r>
        <w:tab/>
      </w:r>
      <w:r>
        <w:fldChar w:fldCharType="begin"/>
      </w:r>
      <w:r>
        <w:instrText xml:space="preserve"> PAGEREF _Toc218514493 \h </w:instrText>
      </w:r>
      <w:r>
        <w:fldChar w:fldCharType="separate"/>
      </w:r>
      <w:r>
        <w:t>64</w:t>
      </w:r>
      <w:r>
        <w:fldChar w:fldCharType="end"/>
      </w:r>
      <w:r>
        <w:fldChar w:fldCharType="end"/>
      </w:r>
    </w:p>
    <w:p w14:paraId="23EA9825">
      <w:pPr>
        <w:pStyle w:val="21"/>
        <w:spacing w:line="360" w:lineRule="auto"/>
        <w:rPr>
          <w:rFonts w:asciiTheme="minorHAnsi" w:hAnsiTheme="minorHAnsi" w:eastAsiaTheme="minorEastAsia" w:cstheme="minorBidi"/>
          <w:sz w:val="21"/>
          <w:szCs w:val="22"/>
        </w:rPr>
      </w:pPr>
      <w:r>
        <w:fldChar w:fldCharType="begin"/>
      </w:r>
      <w:r>
        <w:instrText xml:space="preserve"> HYPERLINK \l "_Toc218514494" </w:instrText>
      </w:r>
      <w:r>
        <w:fldChar w:fldCharType="separate"/>
      </w:r>
      <w:r>
        <w:rPr>
          <w:rStyle w:val="31"/>
          <w:rFonts w:hint="eastAsia"/>
        </w:rPr>
        <w:t>第十四部分 基金资产估值</w:t>
      </w:r>
      <w:r>
        <w:tab/>
      </w:r>
      <w:r>
        <w:fldChar w:fldCharType="begin"/>
      </w:r>
      <w:r>
        <w:instrText xml:space="preserve"> PAGEREF _Toc218514494 \h </w:instrText>
      </w:r>
      <w:r>
        <w:fldChar w:fldCharType="separate"/>
      </w:r>
      <w:r>
        <w:t>65</w:t>
      </w:r>
      <w:r>
        <w:fldChar w:fldCharType="end"/>
      </w:r>
      <w:r>
        <w:fldChar w:fldCharType="end"/>
      </w:r>
    </w:p>
    <w:p w14:paraId="79DB7B1C">
      <w:pPr>
        <w:pStyle w:val="21"/>
        <w:spacing w:line="360" w:lineRule="auto"/>
        <w:rPr>
          <w:rFonts w:asciiTheme="minorHAnsi" w:hAnsiTheme="minorHAnsi" w:eastAsiaTheme="minorEastAsia" w:cstheme="minorBidi"/>
          <w:sz w:val="21"/>
          <w:szCs w:val="22"/>
        </w:rPr>
      </w:pPr>
      <w:r>
        <w:fldChar w:fldCharType="begin"/>
      </w:r>
      <w:r>
        <w:instrText xml:space="preserve"> HYPERLINK \l "_Toc218514495" </w:instrText>
      </w:r>
      <w:r>
        <w:fldChar w:fldCharType="separate"/>
      </w:r>
      <w:r>
        <w:rPr>
          <w:rStyle w:val="31"/>
          <w:rFonts w:hint="eastAsia"/>
        </w:rPr>
        <w:t>第十五部分 基金费用与税收</w:t>
      </w:r>
      <w:r>
        <w:tab/>
      </w:r>
      <w:r>
        <w:fldChar w:fldCharType="begin"/>
      </w:r>
      <w:r>
        <w:instrText xml:space="preserve"> PAGEREF _Toc218514495 \h </w:instrText>
      </w:r>
      <w:r>
        <w:fldChar w:fldCharType="separate"/>
      </w:r>
      <w:r>
        <w:t>73</w:t>
      </w:r>
      <w:r>
        <w:fldChar w:fldCharType="end"/>
      </w:r>
      <w:r>
        <w:fldChar w:fldCharType="end"/>
      </w:r>
    </w:p>
    <w:p w14:paraId="740EDFCC">
      <w:pPr>
        <w:pStyle w:val="21"/>
        <w:spacing w:line="360" w:lineRule="auto"/>
        <w:rPr>
          <w:rFonts w:asciiTheme="minorHAnsi" w:hAnsiTheme="minorHAnsi" w:eastAsiaTheme="minorEastAsia" w:cstheme="minorBidi"/>
          <w:sz w:val="21"/>
          <w:szCs w:val="22"/>
        </w:rPr>
      </w:pPr>
      <w:r>
        <w:fldChar w:fldCharType="begin"/>
      </w:r>
      <w:r>
        <w:instrText xml:space="preserve"> HYPERLINK \l "_Toc218514496" </w:instrText>
      </w:r>
      <w:r>
        <w:fldChar w:fldCharType="separate"/>
      </w:r>
      <w:r>
        <w:rPr>
          <w:rStyle w:val="31"/>
          <w:rFonts w:hint="eastAsia"/>
        </w:rPr>
        <w:t>第十六部分 基金的收益与分配</w:t>
      </w:r>
      <w:r>
        <w:tab/>
      </w:r>
      <w:r>
        <w:fldChar w:fldCharType="begin"/>
      </w:r>
      <w:r>
        <w:instrText xml:space="preserve"> PAGEREF _Toc218514496 \h </w:instrText>
      </w:r>
      <w:r>
        <w:fldChar w:fldCharType="separate"/>
      </w:r>
      <w:r>
        <w:t>77</w:t>
      </w:r>
      <w:r>
        <w:fldChar w:fldCharType="end"/>
      </w:r>
      <w:r>
        <w:fldChar w:fldCharType="end"/>
      </w:r>
    </w:p>
    <w:p w14:paraId="79AC9469">
      <w:pPr>
        <w:pStyle w:val="21"/>
        <w:spacing w:line="360" w:lineRule="auto"/>
        <w:rPr>
          <w:rFonts w:asciiTheme="minorHAnsi" w:hAnsiTheme="minorHAnsi" w:eastAsiaTheme="minorEastAsia" w:cstheme="minorBidi"/>
          <w:sz w:val="21"/>
          <w:szCs w:val="22"/>
        </w:rPr>
      </w:pPr>
      <w:r>
        <w:fldChar w:fldCharType="begin"/>
      </w:r>
      <w:r>
        <w:instrText xml:space="preserve"> HYPERLINK \l "_Toc218514497" </w:instrText>
      </w:r>
      <w:r>
        <w:fldChar w:fldCharType="separate"/>
      </w:r>
      <w:r>
        <w:rPr>
          <w:rStyle w:val="31"/>
          <w:rFonts w:hint="eastAsia"/>
        </w:rPr>
        <w:t>第十七部分 基金的会计与审计</w:t>
      </w:r>
      <w:r>
        <w:tab/>
      </w:r>
      <w:r>
        <w:fldChar w:fldCharType="begin"/>
      </w:r>
      <w:r>
        <w:instrText xml:space="preserve"> PAGEREF _Toc218514497 \h </w:instrText>
      </w:r>
      <w:r>
        <w:fldChar w:fldCharType="separate"/>
      </w:r>
      <w:r>
        <w:t>79</w:t>
      </w:r>
      <w:r>
        <w:fldChar w:fldCharType="end"/>
      </w:r>
      <w:r>
        <w:fldChar w:fldCharType="end"/>
      </w:r>
    </w:p>
    <w:p w14:paraId="6CC6715C">
      <w:pPr>
        <w:pStyle w:val="21"/>
        <w:spacing w:line="360" w:lineRule="auto"/>
        <w:rPr>
          <w:rFonts w:asciiTheme="minorHAnsi" w:hAnsiTheme="minorHAnsi" w:eastAsiaTheme="minorEastAsia" w:cstheme="minorBidi"/>
          <w:sz w:val="21"/>
          <w:szCs w:val="22"/>
        </w:rPr>
      </w:pPr>
      <w:r>
        <w:fldChar w:fldCharType="begin"/>
      </w:r>
      <w:r>
        <w:instrText xml:space="preserve"> HYPERLINK \l "_Toc218514498" </w:instrText>
      </w:r>
      <w:r>
        <w:fldChar w:fldCharType="separate"/>
      </w:r>
      <w:r>
        <w:rPr>
          <w:rStyle w:val="31"/>
          <w:rFonts w:hint="eastAsia"/>
        </w:rPr>
        <w:t>第十八部分 基金的信息披露</w:t>
      </w:r>
      <w:r>
        <w:tab/>
      </w:r>
      <w:r>
        <w:fldChar w:fldCharType="begin"/>
      </w:r>
      <w:r>
        <w:instrText xml:space="preserve"> PAGEREF _Toc218514498 \h </w:instrText>
      </w:r>
      <w:r>
        <w:fldChar w:fldCharType="separate"/>
      </w:r>
      <w:r>
        <w:t>80</w:t>
      </w:r>
      <w:r>
        <w:fldChar w:fldCharType="end"/>
      </w:r>
      <w:r>
        <w:fldChar w:fldCharType="end"/>
      </w:r>
    </w:p>
    <w:p w14:paraId="13F7C1F2">
      <w:pPr>
        <w:pStyle w:val="21"/>
        <w:spacing w:line="360" w:lineRule="auto"/>
        <w:rPr>
          <w:rFonts w:asciiTheme="minorHAnsi" w:hAnsiTheme="minorHAnsi" w:eastAsiaTheme="minorEastAsia" w:cstheme="minorBidi"/>
          <w:sz w:val="21"/>
          <w:szCs w:val="22"/>
        </w:rPr>
      </w:pPr>
      <w:r>
        <w:fldChar w:fldCharType="begin"/>
      </w:r>
      <w:r>
        <w:instrText xml:space="preserve"> HYPERLINK \l "_Toc218514499" </w:instrText>
      </w:r>
      <w:r>
        <w:fldChar w:fldCharType="separate"/>
      </w:r>
      <w:r>
        <w:rPr>
          <w:rStyle w:val="31"/>
          <w:rFonts w:hint="eastAsia"/>
        </w:rPr>
        <w:t>第十九部分 基金合同的变更、终止与基金财产的清算</w:t>
      </w:r>
      <w:r>
        <w:tab/>
      </w:r>
      <w:r>
        <w:fldChar w:fldCharType="begin"/>
      </w:r>
      <w:r>
        <w:instrText xml:space="preserve"> PAGEREF _Toc218514499 \h </w:instrText>
      </w:r>
      <w:r>
        <w:fldChar w:fldCharType="separate"/>
      </w:r>
      <w:r>
        <w:t>88</w:t>
      </w:r>
      <w:r>
        <w:fldChar w:fldCharType="end"/>
      </w:r>
      <w:r>
        <w:fldChar w:fldCharType="end"/>
      </w:r>
    </w:p>
    <w:p w14:paraId="22D82D91">
      <w:pPr>
        <w:pStyle w:val="21"/>
        <w:spacing w:line="360" w:lineRule="auto"/>
        <w:rPr>
          <w:rFonts w:asciiTheme="minorHAnsi" w:hAnsiTheme="minorHAnsi" w:eastAsiaTheme="minorEastAsia" w:cstheme="minorBidi"/>
          <w:sz w:val="21"/>
          <w:szCs w:val="22"/>
        </w:rPr>
      </w:pPr>
      <w:r>
        <w:fldChar w:fldCharType="begin"/>
      </w:r>
      <w:r>
        <w:instrText xml:space="preserve"> HYPERLINK \l "_Toc218514500" </w:instrText>
      </w:r>
      <w:r>
        <w:fldChar w:fldCharType="separate"/>
      </w:r>
      <w:r>
        <w:rPr>
          <w:rStyle w:val="31"/>
          <w:rFonts w:hint="eastAsia"/>
        </w:rPr>
        <w:t>第二十部分 违约责任</w:t>
      </w:r>
      <w:r>
        <w:tab/>
      </w:r>
      <w:r>
        <w:fldChar w:fldCharType="begin"/>
      </w:r>
      <w:r>
        <w:instrText xml:space="preserve"> PAGEREF _Toc218514500 \h </w:instrText>
      </w:r>
      <w:r>
        <w:fldChar w:fldCharType="separate"/>
      </w:r>
      <w:r>
        <w:t>90</w:t>
      </w:r>
      <w:r>
        <w:fldChar w:fldCharType="end"/>
      </w:r>
      <w:r>
        <w:fldChar w:fldCharType="end"/>
      </w:r>
    </w:p>
    <w:p w14:paraId="5A58E68C">
      <w:pPr>
        <w:pStyle w:val="21"/>
        <w:spacing w:line="360" w:lineRule="auto"/>
        <w:rPr>
          <w:rFonts w:asciiTheme="minorHAnsi" w:hAnsiTheme="minorHAnsi" w:eastAsiaTheme="minorEastAsia" w:cstheme="minorBidi"/>
          <w:sz w:val="21"/>
          <w:szCs w:val="22"/>
        </w:rPr>
      </w:pPr>
      <w:r>
        <w:fldChar w:fldCharType="begin"/>
      </w:r>
      <w:r>
        <w:instrText xml:space="preserve"> HYPERLINK \l "_Toc218514501" </w:instrText>
      </w:r>
      <w:r>
        <w:fldChar w:fldCharType="separate"/>
      </w:r>
      <w:r>
        <w:rPr>
          <w:rStyle w:val="31"/>
          <w:rFonts w:hint="eastAsia"/>
        </w:rPr>
        <w:t>第二十一部分 争议的处理和适用的法律</w:t>
      </w:r>
      <w:r>
        <w:tab/>
      </w:r>
      <w:r>
        <w:fldChar w:fldCharType="begin"/>
      </w:r>
      <w:r>
        <w:instrText xml:space="preserve"> PAGEREF _Toc218514501 \h </w:instrText>
      </w:r>
      <w:r>
        <w:fldChar w:fldCharType="separate"/>
      </w:r>
      <w:r>
        <w:t>91</w:t>
      </w:r>
      <w:r>
        <w:fldChar w:fldCharType="end"/>
      </w:r>
      <w:r>
        <w:fldChar w:fldCharType="end"/>
      </w:r>
    </w:p>
    <w:p w14:paraId="1F915EA8">
      <w:pPr>
        <w:pStyle w:val="21"/>
        <w:spacing w:line="360" w:lineRule="auto"/>
        <w:rPr>
          <w:rFonts w:asciiTheme="minorHAnsi" w:hAnsiTheme="minorHAnsi" w:eastAsiaTheme="minorEastAsia" w:cstheme="minorBidi"/>
          <w:sz w:val="21"/>
          <w:szCs w:val="22"/>
        </w:rPr>
      </w:pPr>
      <w:r>
        <w:fldChar w:fldCharType="begin"/>
      </w:r>
      <w:r>
        <w:instrText xml:space="preserve"> HYPERLINK \l "_Toc218514502" </w:instrText>
      </w:r>
      <w:r>
        <w:fldChar w:fldCharType="separate"/>
      </w:r>
      <w:r>
        <w:rPr>
          <w:rStyle w:val="31"/>
          <w:rFonts w:hint="eastAsia"/>
        </w:rPr>
        <w:t>第二十二部分 基金合同的效力</w:t>
      </w:r>
      <w:r>
        <w:tab/>
      </w:r>
      <w:r>
        <w:fldChar w:fldCharType="begin"/>
      </w:r>
      <w:r>
        <w:instrText xml:space="preserve"> PAGEREF _Toc218514502 \h </w:instrText>
      </w:r>
      <w:r>
        <w:fldChar w:fldCharType="separate"/>
      </w:r>
      <w:r>
        <w:t>92</w:t>
      </w:r>
      <w:r>
        <w:fldChar w:fldCharType="end"/>
      </w:r>
      <w:r>
        <w:fldChar w:fldCharType="end"/>
      </w:r>
    </w:p>
    <w:p w14:paraId="26E905AF">
      <w:pPr>
        <w:pStyle w:val="21"/>
        <w:spacing w:line="360" w:lineRule="auto"/>
        <w:rPr>
          <w:rFonts w:asciiTheme="minorHAnsi" w:hAnsiTheme="minorHAnsi" w:eastAsiaTheme="minorEastAsia" w:cstheme="minorBidi"/>
          <w:sz w:val="21"/>
          <w:szCs w:val="22"/>
        </w:rPr>
      </w:pPr>
      <w:r>
        <w:fldChar w:fldCharType="begin"/>
      </w:r>
      <w:r>
        <w:instrText xml:space="preserve"> HYPERLINK \l "_Toc218514503" </w:instrText>
      </w:r>
      <w:r>
        <w:fldChar w:fldCharType="separate"/>
      </w:r>
      <w:r>
        <w:rPr>
          <w:rStyle w:val="31"/>
          <w:rFonts w:hint="eastAsia"/>
        </w:rPr>
        <w:t>第二十三部分 其他事项</w:t>
      </w:r>
      <w:r>
        <w:tab/>
      </w:r>
      <w:r>
        <w:fldChar w:fldCharType="begin"/>
      </w:r>
      <w:r>
        <w:instrText xml:space="preserve"> PAGEREF _Toc218514503 \h </w:instrText>
      </w:r>
      <w:r>
        <w:fldChar w:fldCharType="separate"/>
      </w:r>
      <w:r>
        <w:t>93</w:t>
      </w:r>
      <w:r>
        <w:fldChar w:fldCharType="end"/>
      </w:r>
      <w:r>
        <w:fldChar w:fldCharType="end"/>
      </w:r>
    </w:p>
    <w:p w14:paraId="267BD603">
      <w:pPr>
        <w:pStyle w:val="21"/>
        <w:spacing w:line="360" w:lineRule="auto"/>
        <w:rPr>
          <w:rFonts w:hint="eastAsia" w:ascii="宋体" w:hAnsi="宋体"/>
        </w:rPr>
      </w:pPr>
      <w:r>
        <w:rPr>
          <w:rFonts w:ascii="宋体" w:hAnsi="宋体"/>
        </w:rPr>
        <w:fldChar w:fldCharType="end"/>
      </w:r>
      <w:r>
        <w:rPr>
          <w:rFonts w:ascii="宋体" w:hAnsi="宋体"/>
        </w:rPr>
        <w:br w:type="page"/>
      </w:r>
    </w:p>
    <w:p w14:paraId="77CDF5DF">
      <w:pPr>
        <w:pStyle w:val="2"/>
      </w:pPr>
      <w:bookmarkStart w:id="2" w:name="_Toc218514481"/>
      <w:bookmarkStart w:id="3" w:name="_Toc401668928"/>
      <w:bookmarkStart w:id="4" w:name="_Toc194741904"/>
      <w:r>
        <w:rPr>
          <w:rFonts w:hint="eastAsia"/>
        </w:rPr>
        <w:t>前言</w:t>
      </w:r>
      <w:bookmarkEnd w:id="2"/>
      <w:bookmarkEnd w:id="3"/>
      <w:bookmarkEnd w:id="4"/>
    </w:p>
    <w:p w14:paraId="335E6279"/>
    <w:p w14:paraId="46F49C8A">
      <w:pPr>
        <w:pStyle w:val="39"/>
        <w:numPr>
          <w:ilvl w:val="0"/>
          <w:numId w:val="4"/>
        </w:numPr>
        <w:spacing w:line="360" w:lineRule="auto"/>
        <w:ind w:left="0" w:firstLine="480"/>
        <w:rPr>
          <w:bCs/>
        </w:rPr>
      </w:pPr>
      <w:bookmarkStart w:id="5" w:name="_Toc123701389"/>
      <w:bookmarkStart w:id="6" w:name="_Toc32639"/>
      <w:bookmarkStart w:id="7" w:name="_Toc141703880"/>
      <w:bookmarkStart w:id="8" w:name="_Toc23386"/>
      <w:bookmarkStart w:id="9" w:name="_Toc30935"/>
      <w:bookmarkStart w:id="10" w:name="_Toc29629"/>
      <w:bookmarkStart w:id="11" w:name="_Toc123112268"/>
      <w:bookmarkStart w:id="12" w:name="_Toc6306"/>
      <w:bookmarkStart w:id="13" w:name="_Toc123112229"/>
      <w:bookmarkStart w:id="14" w:name="_Toc8727"/>
      <w:bookmarkStart w:id="15" w:name="_Toc15517"/>
      <w:bookmarkStart w:id="16" w:name="_Toc26897"/>
      <w:bookmarkStart w:id="17" w:name="_Toc4867"/>
      <w:bookmarkStart w:id="18" w:name="_Toc4966"/>
      <w:bookmarkStart w:id="19" w:name="_Toc233456271"/>
      <w:bookmarkStart w:id="20" w:name="_Toc139991730"/>
      <w:r>
        <w:rPr>
          <w:bCs/>
        </w:rPr>
        <w:t>订立本基金合同的目的、依据和原则</w:t>
      </w:r>
    </w:p>
    <w:p w14:paraId="31263925">
      <w:pPr>
        <w:pStyle w:val="39"/>
        <w:numPr>
          <w:ilvl w:val="0"/>
          <w:numId w:val="5"/>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226B0035">
      <w:pPr>
        <w:pStyle w:val="39"/>
        <w:numPr>
          <w:ilvl w:val="0"/>
          <w:numId w:val="5"/>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以下简称“《基金法》”</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以下简称“《运作办法》”</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以下简称“《销售办法》”</w:t>
      </w:r>
      <w:r>
        <w:rPr>
          <w:rFonts w:hint="eastAsia"/>
          <w:bCs/>
        </w:rPr>
        <w:t>）、</w:t>
      </w:r>
      <w:r>
        <w:rPr>
          <w:bCs/>
        </w:rPr>
        <w:t>《公开募集证券投资基金信息披露管理办法》</w:t>
      </w:r>
      <w:r>
        <w:rPr>
          <w:rFonts w:hint="eastAsia"/>
          <w:bCs/>
        </w:rPr>
        <w:t>（</w:t>
      </w:r>
      <w:r>
        <w:rPr>
          <w:bCs/>
        </w:rPr>
        <w:t>以下简称“《信息披露办法》”</w:t>
      </w:r>
      <w:r>
        <w:rPr>
          <w:rFonts w:hint="eastAsia"/>
          <w:bCs/>
        </w:rPr>
        <w:t>）</w:t>
      </w:r>
      <w:r>
        <w:rPr>
          <w:bCs/>
        </w:rPr>
        <w:t>、《公开募集开放式证券投资基金流动性风险管理规定》</w:t>
      </w:r>
      <w:bookmarkStart w:id="21" w:name="OLE_LINK30"/>
      <w:r>
        <w:rPr>
          <w:rFonts w:hint="eastAsia"/>
          <w:bCs/>
        </w:rPr>
        <w:t>（</w:t>
      </w:r>
      <w:r>
        <w:rPr>
          <w:bCs/>
        </w:rPr>
        <w:t>以下简称“《流动性风险</w:t>
      </w:r>
      <w:r>
        <w:rPr>
          <w:rFonts w:hint="eastAsia"/>
          <w:bCs/>
        </w:rPr>
        <w:t>管理</w:t>
      </w:r>
      <w:r>
        <w:rPr>
          <w:bCs/>
        </w:rPr>
        <w:t>规定》”</w:t>
      </w:r>
      <w:r>
        <w:rPr>
          <w:rFonts w:hint="eastAsia"/>
          <w:bCs/>
        </w:rPr>
        <w:t>）</w:t>
      </w:r>
      <w:bookmarkEnd w:id="21"/>
      <w:r>
        <w:rPr>
          <w:rFonts w:hint="eastAsia"/>
          <w:bCs/>
        </w:rPr>
        <w:t>、《公开募集证券投资基金销售费用管理规定》（</w:t>
      </w:r>
      <w:r>
        <w:rPr>
          <w:bCs/>
        </w:rPr>
        <w:t>以下简称“《</w:t>
      </w:r>
      <w:r>
        <w:rPr>
          <w:rFonts w:hint="eastAsia"/>
          <w:bCs/>
        </w:rPr>
        <w:t>销售费用管理</w:t>
      </w:r>
      <w:r>
        <w:rPr>
          <w:bCs/>
        </w:rPr>
        <w:t>规定》”</w:t>
      </w:r>
      <w:r>
        <w:rPr>
          <w:rFonts w:hint="eastAsia"/>
          <w:bCs/>
        </w:rPr>
        <w:t>）</w:t>
      </w:r>
      <w:r>
        <w:rPr>
          <w:bCs/>
        </w:rPr>
        <w:t>和其他有关法律法规。</w:t>
      </w:r>
    </w:p>
    <w:p w14:paraId="7DF3BAD4">
      <w:pPr>
        <w:pStyle w:val="39"/>
        <w:numPr>
          <w:ilvl w:val="0"/>
          <w:numId w:val="5"/>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0A536575">
      <w:pPr>
        <w:pStyle w:val="39"/>
        <w:numPr>
          <w:ilvl w:val="0"/>
          <w:numId w:val="4"/>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C67F885">
      <w:pPr>
        <w:spacing w:line="360" w:lineRule="auto"/>
        <w:ind w:firstLine="480" w:firstLineChars="20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自依本基金合同取得基金份额，即成为基金份额持有人和本基金合同的当事人，其持有基金份额的行为本身即表明其对基金合同的承认和接受。</w:t>
      </w:r>
    </w:p>
    <w:p w14:paraId="7BB5D6F0">
      <w:pPr>
        <w:pStyle w:val="39"/>
        <w:numPr>
          <w:ilvl w:val="0"/>
          <w:numId w:val="4"/>
        </w:numPr>
        <w:spacing w:line="360" w:lineRule="auto"/>
        <w:ind w:left="0" w:firstLine="480"/>
        <w:rPr>
          <w:bCs/>
        </w:rPr>
      </w:pPr>
      <w:r>
        <w:rPr>
          <w:rFonts w:hint="eastAsia"/>
          <w:bCs/>
        </w:rPr>
        <w:t>富国裕丰回报混合型证券投资基金</w:t>
      </w:r>
      <w:r>
        <w:rPr>
          <w:bCs/>
        </w:rPr>
        <w:t>由基金管理人依照《基金法》、基金合同及其他有关规定募集，并经中国证券监督管理委员会</w:t>
      </w:r>
      <w:r>
        <w:rPr>
          <w:rFonts w:hint="eastAsia"/>
          <w:bCs/>
        </w:rPr>
        <w:t>（</w:t>
      </w:r>
      <w:r>
        <w:rPr>
          <w:bCs/>
        </w:rPr>
        <w:t>以下简称“中国证监会”</w:t>
      </w:r>
      <w:r>
        <w:rPr>
          <w:rFonts w:hint="eastAsia"/>
          <w:bCs/>
        </w:rPr>
        <w:t>）注册</w:t>
      </w:r>
      <w:r>
        <w:rPr>
          <w:bCs/>
        </w:rPr>
        <w:t>。</w:t>
      </w:r>
    </w:p>
    <w:p w14:paraId="0A03A01D">
      <w:pPr>
        <w:spacing w:line="360" w:lineRule="auto"/>
        <w:ind w:firstLine="480" w:firstLineChars="20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482233CE">
      <w:pPr>
        <w:spacing w:line="360" w:lineRule="auto"/>
        <w:ind w:firstLine="480" w:firstLineChars="200"/>
      </w:pPr>
      <w:r>
        <w:rPr>
          <w:bCs/>
        </w:rPr>
        <w:t>基金管理人依照恪尽职守、诚实信用、谨慎勤勉的原则管理和运用基金财产，但不保证投资于本基金一定盈利，也不保证最低收益。</w:t>
      </w:r>
    </w:p>
    <w:p w14:paraId="632A334F">
      <w:pPr>
        <w:spacing w:line="360" w:lineRule="auto"/>
        <w:ind w:firstLine="480" w:firstLineChars="200"/>
      </w:pPr>
      <w:r>
        <w:rPr>
          <w:rFonts w:hint="eastAsia"/>
          <w:bCs/>
        </w:rPr>
        <w:t>投资者应当认真阅读基金招募说明书、基金合同、基金产品资料概要等信息披露文件，自主判断基金的投资价值，自主做出投资决策，自行承担投资风险。</w:t>
      </w:r>
    </w:p>
    <w:p w14:paraId="64FF56DB">
      <w:pPr>
        <w:pStyle w:val="39"/>
        <w:numPr>
          <w:ilvl w:val="0"/>
          <w:numId w:val="4"/>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32B404BF">
      <w:pPr>
        <w:pStyle w:val="39"/>
        <w:numPr>
          <w:ilvl w:val="0"/>
          <w:numId w:val="4"/>
        </w:numPr>
        <w:spacing w:line="360" w:lineRule="auto"/>
        <w:ind w:left="0" w:firstLine="480"/>
        <w:rPr>
          <w:bCs/>
        </w:rPr>
      </w:pPr>
      <w:r>
        <w:rPr>
          <w:rFonts w:hint="eastAsia"/>
          <w:bCs/>
        </w:rPr>
        <w:t>本基金按照中国法律法规成立并运作，若</w:t>
      </w:r>
      <w:r>
        <w:rPr>
          <w:bCs/>
        </w:rPr>
        <w:t>基金合同的内容与届时有效的法律法规的强制性规定不一致，应当以届时有效的法律法规的规定为准。</w:t>
      </w:r>
    </w:p>
    <w:p w14:paraId="3F26F086">
      <w:pPr>
        <w:pStyle w:val="39"/>
        <w:numPr>
          <w:ilvl w:val="0"/>
          <w:numId w:val="4"/>
        </w:numPr>
        <w:spacing w:line="360" w:lineRule="auto"/>
        <w:ind w:left="0" w:firstLine="480"/>
        <w:rPr>
          <w:bCs/>
        </w:rPr>
      </w:pPr>
      <w:r>
        <w:rPr>
          <w:rFonts w:hint="eastAsia"/>
          <w:bCs/>
        </w:rPr>
        <w:t>本基金投资内地与香港股票市场交易互联互通机制允许买卖的规定范围内的香港联合交易所上市的股票（以下称“港股通标的股票”），会面临港股通机制下因投资环境、投资标的、市场制度以及交易规则等差异带来的特有风险，包括港股市场股价波动较大的风险（港股市场实行</w:t>
      </w:r>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通标的股票或选择不将基金资产投资于港股通标的股票，基金资产并非必然投资港股通标的股票。</w:t>
      </w:r>
    </w:p>
    <w:p w14:paraId="53E6160D">
      <w:pPr>
        <w:pStyle w:val="39"/>
        <w:numPr>
          <w:ilvl w:val="0"/>
          <w:numId w:val="4"/>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3CE8D49A">
      <w:pPr>
        <w:pStyle w:val="39"/>
        <w:numPr>
          <w:ilvl w:val="0"/>
          <w:numId w:val="4"/>
        </w:numPr>
        <w:spacing w:line="360" w:lineRule="auto"/>
        <w:ind w:left="0" w:firstLine="480"/>
        <w:rPr>
          <w:bCs/>
        </w:rPr>
      </w:pPr>
      <w:r>
        <w:rPr>
          <w:rFonts w:hint="eastAsia"/>
          <w:bCs/>
        </w:rPr>
        <w:t>本基金可投资于科创板股票，若本基金投资于科创板股票，会面临科创板机制下因投资标的、市场制度以及交易规则等差异带来的特有风险，包括但不限于科创板上市公司股票价格波动较大的风险、流动性风险、退市风险等。</w:t>
      </w:r>
    </w:p>
    <w:p w14:paraId="4B30F6A8">
      <w:pPr>
        <w:pStyle w:val="39"/>
        <w:numPr>
          <w:ilvl w:val="0"/>
          <w:numId w:val="4"/>
        </w:numPr>
        <w:spacing w:line="360" w:lineRule="auto"/>
        <w:ind w:left="0" w:firstLine="480"/>
        <w:rPr>
          <w:bCs/>
        </w:rPr>
      </w:pPr>
      <w:r>
        <w:rPr>
          <w:rFonts w:hint="eastAsia"/>
          <w:bCs/>
        </w:rPr>
        <w:t>为对冲信用风险，本基金可能投资于信用衍生品，信用衍生品的投资可能面临流动性风险、偿付风险以及价格波动风险等。</w:t>
      </w:r>
    </w:p>
    <w:p w14:paraId="4F4B2938">
      <w:pPr>
        <w:pStyle w:val="39"/>
        <w:numPr>
          <w:ilvl w:val="0"/>
          <w:numId w:val="4"/>
        </w:numPr>
        <w:spacing w:line="360" w:lineRule="auto"/>
        <w:ind w:left="0" w:firstLine="480"/>
        <w:rPr>
          <w:bCs/>
        </w:rPr>
      </w:pPr>
      <w:r>
        <w:rPr>
          <w:rFonts w:hint="eastAsia"/>
          <w:bCs/>
        </w:rPr>
        <w:t>本基金可以投资于其他公开募集的基金，因此本基金所持有的基金的业绩表现、持有基金的基金管理人水平等因素将影响到本基金的基金业绩表现。</w:t>
      </w:r>
    </w:p>
    <w:p w14:paraId="30735549">
      <w:pPr>
        <w:pStyle w:val="39"/>
        <w:numPr>
          <w:ilvl w:val="0"/>
          <w:numId w:val="4"/>
        </w:numPr>
        <w:spacing w:line="360" w:lineRule="auto"/>
        <w:ind w:left="0" w:firstLine="480"/>
        <w:rPr>
          <w:bCs/>
        </w:rPr>
      </w:pPr>
      <w:r>
        <w:rPr>
          <w:rFonts w:hint="eastAsia"/>
          <w:bCs/>
        </w:rPr>
        <w:t>本基金单一投资者持有基金份额数不得达到或超过基金总份额的50%，但在基金运作过程中因基金份额赎回等情形导致被动达到或超过50%的情形除外。法律法规、监管机构另有规定的，从其规定。</w:t>
      </w:r>
    </w:p>
    <w:p w14:paraId="51BFBEEA">
      <w:pPr>
        <w:pStyle w:val="39"/>
        <w:numPr>
          <w:ilvl w:val="0"/>
          <w:numId w:val="4"/>
        </w:numPr>
        <w:spacing w:line="360" w:lineRule="auto"/>
        <w:ind w:left="0" w:firstLine="480"/>
        <w:rPr>
          <w:bCs/>
        </w:rPr>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40BF1E5">
      <w:pPr>
        <w:widowControl/>
        <w:spacing w:line="240" w:lineRule="auto"/>
        <w:jc w:val="left"/>
        <w:rPr>
          <w:b/>
          <w:bCs/>
          <w:kern w:val="0"/>
          <w:sz w:val="30"/>
          <w:szCs w:val="20"/>
        </w:rPr>
      </w:pPr>
      <w:bookmarkStart w:id="22" w:name="_Toc194741905"/>
      <w:bookmarkStart w:id="23" w:name="_Toc401668929"/>
      <w:r>
        <w:rPr>
          <w:kern w:val="0"/>
          <w:sz w:val="30"/>
          <w:szCs w:val="20"/>
        </w:rPr>
        <w:br w:type="page"/>
      </w:r>
    </w:p>
    <w:p w14:paraId="194BC4B2">
      <w:pPr>
        <w:pStyle w:val="2"/>
      </w:pPr>
      <w:bookmarkStart w:id="24" w:name="_Toc218514482"/>
      <w:r>
        <w:rPr>
          <w:rFonts w:hint="eastAsia"/>
        </w:rPr>
        <w:t>释义</w:t>
      </w:r>
      <w:bookmarkEnd w:id="22"/>
      <w:bookmarkEnd w:id="23"/>
      <w:bookmarkEnd w:id="24"/>
    </w:p>
    <w:p w14:paraId="0AC5A6BA"/>
    <w:p w14:paraId="5B99DAAD">
      <w:pPr>
        <w:spacing w:line="360" w:lineRule="auto"/>
        <w:ind w:firstLine="480" w:firstLineChars="200"/>
        <w:rPr>
          <w:bCs/>
        </w:rPr>
      </w:pPr>
      <w:r>
        <w:rPr>
          <w:bCs/>
        </w:rPr>
        <w:t>在本基金合同中，除非文意另有所指，下列词语或简称具有如下含义：</w:t>
      </w:r>
    </w:p>
    <w:p w14:paraId="38670606">
      <w:pPr>
        <w:pStyle w:val="39"/>
        <w:numPr>
          <w:ilvl w:val="0"/>
          <w:numId w:val="6"/>
        </w:numPr>
        <w:spacing w:line="360" w:lineRule="auto"/>
        <w:ind w:left="0" w:firstLine="480"/>
        <w:rPr>
          <w:bCs/>
        </w:rPr>
      </w:pPr>
      <w:r>
        <w:rPr>
          <w:bCs/>
        </w:rPr>
        <w:t>基金或本基金：指</w:t>
      </w:r>
      <w:r>
        <w:rPr>
          <w:rFonts w:hint="eastAsia"/>
          <w:bCs/>
        </w:rPr>
        <w:t>富国裕丰回报混合型证券投资基金</w:t>
      </w:r>
    </w:p>
    <w:p w14:paraId="635EF296">
      <w:pPr>
        <w:pStyle w:val="39"/>
        <w:numPr>
          <w:ilvl w:val="0"/>
          <w:numId w:val="6"/>
        </w:numPr>
        <w:spacing w:line="360" w:lineRule="auto"/>
        <w:ind w:left="0" w:firstLine="480"/>
        <w:rPr>
          <w:bCs/>
        </w:rPr>
      </w:pPr>
      <w:r>
        <w:rPr>
          <w:bCs/>
        </w:rPr>
        <w:t>基金管理人：指</w:t>
      </w:r>
      <w:r>
        <w:rPr>
          <w:rFonts w:hint="eastAsia"/>
          <w:bCs/>
        </w:rPr>
        <w:t>富国基金管理有限公司</w:t>
      </w:r>
    </w:p>
    <w:p w14:paraId="4C8D5F99">
      <w:pPr>
        <w:pStyle w:val="39"/>
        <w:numPr>
          <w:ilvl w:val="0"/>
          <w:numId w:val="6"/>
        </w:numPr>
        <w:spacing w:line="360" w:lineRule="auto"/>
        <w:ind w:left="0" w:firstLine="480"/>
        <w:rPr>
          <w:bCs/>
        </w:rPr>
      </w:pPr>
      <w:r>
        <w:rPr>
          <w:bCs/>
        </w:rPr>
        <w:t>基金托管人：指</w:t>
      </w:r>
      <w:r>
        <w:rPr>
          <w:rFonts w:hint="eastAsia"/>
          <w:bCs/>
        </w:rPr>
        <w:t>招商银行股份有限公司</w:t>
      </w:r>
    </w:p>
    <w:p w14:paraId="66995B21">
      <w:pPr>
        <w:pStyle w:val="39"/>
        <w:numPr>
          <w:ilvl w:val="0"/>
          <w:numId w:val="6"/>
        </w:numPr>
        <w:spacing w:line="360" w:lineRule="auto"/>
        <w:ind w:left="0" w:firstLine="480"/>
        <w:rPr>
          <w:bCs/>
        </w:rPr>
      </w:pPr>
      <w:r>
        <w:rPr>
          <w:bCs/>
        </w:rPr>
        <w:t>基金合同或本基金合同：指《</w:t>
      </w:r>
      <w:r>
        <w:rPr>
          <w:rFonts w:hint="eastAsia"/>
          <w:bCs/>
        </w:rPr>
        <w:t>富国裕丰回报混合型证券投资基金</w:t>
      </w:r>
      <w:r>
        <w:rPr>
          <w:bCs/>
        </w:rPr>
        <w:t>基金合同》及对本基金合同的任何有效修订和补充</w:t>
      </w:r>
    </w:p>
    <w:p w14:paraId="2449E612">
      <w:pPr>
        <w:pStyle w:val="39"/>
        <w:numPr>
          <w:ilvl w:val="0"/>
          <w:numId w:val="6"/>
        </w:numPr>
        <w:spacing w:line="360" w:lineRule="auto"/>
        <w:ind w:left="0" w:firstLine="480"/>
        <w:rPr>
          <w:bCs/>
        </w:rPr>
      </w:pPr>
      <w:r>
        <w:rPr>
          <w:bCs/>
        </w:rPr>
        <w:t>托管协议：指基金管理人与基金托管人就本基金签订之《</w:t>
      </w:r>
      <w:r>
        <w:rPr>
          <w:rFonts w:hint="eastAsia"/>
          <w:bCs/>
        </w:rPr>
        <w:t>富国裕丰回报混合型证券投资基金</w:t>
      </w:r>
      <w:r>
        <w:rPr>
          <w:bCs/>
        </w:rPr>
        <w:t>托管协议》及对该托管协议的任何有效修订和补充</w:t>
      </w:r>
    </w:p>
    <w:p w14:paraId="420BF54A">
      <w:pPr>
        <w:pStyle w:val="39"/>
        <w:numPr>
          <w:ilvl w:val="0"/>
          <w:numId w:val="6"/>
        </w:numPr>
        <w:spacing w:line="360" w:lineRule="auto"/>
        <w:ind w:left="0" w:firstLine="480"/>
        <w:rPr>
          <w:bCs/>
        </w:rPr>
      </w:pPr>
      <w:r>
        <w:rPr>
          <w:bCs/>
        </w:rPr>
        <w:t>招募说明书：指《</w:t>
      </w:r>
      <w:r>
        <w:rPr>
          <w:rFonts w:hint="eastAsia"/>
          <w:bCs/>
        </w:rPr>
        <w:t>富国裕丰回报混合型证券投资基金</w:t>
      </w:r>
      <w:r>
        <w:rPr>
          <w:bCs/>
        </w:rPr>
        <w:t>招募说明书》及其更新</w:t>
      </w:r>
    </w:p>
    <w:p w14:paraId="5FCDECED">
      <w:pPr>
        <w:pStyle w:val="39"/>
        <w:numPr>
          <w:ilvl w:val="0"/>
          <w:numId w:val="6"/>
        </w:numPr>
        <w:spacing w:line="360" w:lineRule="auto"/>
        <w:ind w:left="0" w:firstLine="480"/>
        <w:rPr>
          <w:bCs/>
        </w:rPr>
      </w:pPr>
      <w:r>
        <w:rPr>
          <w:rFonts w:hint="eastAsia"/>
          <w:bCs/>
        </w:rPr>
        <w:t>基金产品资料概要：指《富国裕丰回报混合型证券投资基金基金产品资料概要》及其更新</w:t>
      </w:r>
    </w:p>
    <w:p w14:paraId="7A072027">
      <w:pPr>
        <w:pStyle w:val="39"/>
        <w:numPr>
          <w:ilvl w:val="0"/>
          <w:numId w:val="6"/>
        </w:numPr>
        <w:spacing w:line="360" w:lineRule="auto"/>
        <w:ind w:left="0" w:firstLine="480"/>
        <w:rPr>
          <w:bCs/>
        </w:rPr>
      </w:pPr>
      <w:r>
        <w:rPr>
          <w:bCs/>
        </w:rPr>
        <w:t>基金份额发售公告：指《</w:t>
      </w:r>
      <w:r>
        <w:rPr>
          <w:rFonts w:hint="eastAsia"/>
          <w:bCs/>
        </w:rPr>
        <w:t>富国裕丰回报混合型证券投资基金</w:t>
      </w:r>
      <w:r>
        <w:rPr>
          <w:bCs/>
        </w:rPr>
        <w:t>基金份额发售公告》</w:t>
      </w:r>
    </w:p>
    <w:p w14:paraId="7E69731F">
      <w:pPr>
        <w:pStyle w:val="39"/>
        <w:numPr>
          <w:ilvl w:val="0"/>
          <w:numId w:val="6"/>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2E726F50">
      <w:pPr>
        <w:pStyle w:val="39"/>
        <w:numPr>
          <w:ilvl w:val="0"/>
          <w:numId w:val="6"/>
        </w:numPr>
        <w:spacing w:line="360" w:lineRule="auto"/>
        <w:ind w:left="0" w:firstLine="480"/>
        <w:rPr>
          <w:bCs/>
        </w:rPr>
      </w:pPr>
      <w:r>
        <w:rPr>
          <w:bCs/>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rPr>
        <w:t>正</w:t>
      </w:r>
      <w:r>
        <w:rPr>
          <w:bCs/>
        </w:rPr>
        <w:t>的《中华人民共和国证券投资基金法》及颁布机关对其不时做出的修订</w:t>
      </w:r>
    </w:p>
    <w:p w14:paraId="77251E0F">
      <w:pPr>
        <w:pStyle w:val="39"/>
        <w:numPr>
          <w:ilvl w:val="0"/>
          <w:numId w:val="6"/>
        </w:numPr>
        <w:spacing w:line="360" w:lineRule="auto"/>
        <w:ind w:left="0" w:firstLine="480"/>
        <w:rPr>
          <w:bCs/>
        </w:rPr>
      </w:pPr>
      <w:r>
        <w:rPr>
          <w:bCs/>
        </w:rPr>
        <w:t>《销售办法》：指中国证监会</w:t>
      </w:r>
      <w:r>
        <w:rPr>
          <w:rFonts w:hint="eastAsia"/>
          <w:bCs/>
        </w:rPr>
        <w:t>2020年8月28日</w:t>
      </w:r>
      <w:r>
        <w:rPr>
          <w:bCs/>
        </w:rPr>
        <w:t>颁布、同年</w:t>
      </w:r>
      <w:r>
        <w:rPr>
          <w:rFonts w:hint="eastAsia"/>
          <w:bCs/>
        </w:rPr>
        <w:t>10月1日</w:t>
      </w:r>
      <w:r>
        <w:rPr>
          <w:bCs/>
        </w:rPr>
        <w:t>实施的《</w:t>
      </w:r>
      <w:r>
        <w:rPr>
          <w:rFonts w:hint="eastAsia"/>
          <w:bCs/>
        </w:rPr>
        <w:t>公开募集证券投资基金销售机构监督管理办法</w:t>
      </w:r>
      <w:r>
        <w:rPr>
          <w:bCs/>
        </w:rPr>
        <w:t>》及颁布机关对其不时做出的修订</w:t>
      </w:r>
    </w:p>
    <w:p w14:paraId="65FF2905">
      <w:pPr>
        <w:pStyle w:val="39"/>
        <w:numPr>
          <w:ilvl w:val="0"/>
          <w:numId w:val="6"/>
        </w:numPr>
        <w:spacing w:line="360" w:lineRule="auto"/>
        <w:ind w:left="0" w:firstLine="480"/>
        <w:rPr>
          <w:bCs/>
        </w:rPr>
      </w:pPr>
      <w:r>
        <w:rPr>
          <w:bCs/>
        </w:rPr>
        <w:t>《信息披露办法》：</w:t>
      </w:r>
      <w:r>
        <w:rPr>
          <w:rFonts w:hint="eastAsia"/>
          <w:bCs/>
        </w:rPr>
        <w:t>指中国证监会2019年7月26日颁布、同年9月1日实施的，并经2020年3月20日中国证监会《关于修改部分证券期货规章的决定》修正的《公开募集证券投资基金信息披露管理办法》及颁布机关对其不时做出的修订</w:t>
      </w:r>
    </w:p>
    <w:p w14:paraId="08D5A386">
      <w:pPr>
        <w:pStyle w:val="39"/>
        <w:numPr>
          <w:ilvl w:val="0"/>
          <w:numId w:val="6"/>
        </w:numPr>
        <w:spacing w:line="360" w:lineRule="auto"/>
        <w:ind w:left="0" w:firstLine="480"/>
        <w:rPr>
          <w:bCs/>
        </w:rPr>
      </w:pPr>
      <w:r>
        <w:rPr>
          <w:bCs/>
        </w:rPr>
        <w:t>《运作办法》：指中国证监会20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07BFC402">
      <w:pPr>
        <w:pStyle w:val="39"/>
        <w:numPr>
          <w:ilvl w:val="0"/>
          <w:numId w:val="6"/>
        </w:numPr>
        <w:spacing w:line="360" w:lineRule="auto"/>
        <w:ind w:left="0" w:firstLine="480"/>
        <w:rPr>
          <w:bCs/>
        </w:rPr>
      </w:pPr>
      <w:r>
        <w:rPr>
          <w:bCs/>
        </w:rPr>
        <w:t>《流动性</w:t>
      </w:r>
      <w:r>
        <w:rPr>
          <w:rFonts w:hint="eastAsia"/>
          <w:bCs/>
        </w:rPr>
        <w:t>风险管理</w:t>
      </w:r>
      <w:r>
        <w:rPr>
          <w:bCs/>
        </w:rPr>
        <w:t>规定》：指中国证监会2017年8月31日颁布、同年10月1日实施的《公开募集开放式证券投资基金流动性风险管理规定》及颁布机关对其不时做出的修订</w:t>
      </w:r>
    </w:p>
    <w:p w14:paraId="06EF0514">
      <w:pPr>
        <w:pStyle w:val="39"/>
        <w:numPr>
          <w:ilvl w:val="0"/>
          <w:numId w:val="6"/>
        </w:numPr>
        <w:spacing w:line="360" w:lineRule="auto"/>
        <w:ind w:left="0" w:firstLine="480"/>
        <w:rPr>
          <w:bCs/>
        </w:rPr>
      </w:pPr>
      <w:r>
        <w:rPr>
          <w:rFonts w:hint="eastAsia"/>
          <w:bCs/>
        </w:rPr>
        <w:t>《销售费用管理规定》：指</w:t>
      </w:r>
      <w:r>
        <w:rPr>
          <w:bCs/>
        </w:rPr>
        <w:t>中国证监会20</w:t>
      </w:r>
      <w:r>
        <w:rPr>
          <w:rFonts w:hint="eastAsia"/>
          <w:bCs/>
        </w:rPr>
        <w:t>25</w:t>
      </w:r>
      <w:r>
        <w:rPr>
          <w:bCs/>
        </w:rPr>
        <w:t>年</w:t>
      </w:r>
      <w:r>
        <w:rPr>
          <w:rFonts w:hint="eastAsia"/>
          <w:bCs/>
        </w:rPr>
        <w:t>12</w:t>
      </w:r>
      <w:r>
        <w:rPr>
          <w:bCs/>
        </w:rPr>
        <w:t>月31日颁布、</w:t>
      </w:r>
      <w:r>
        <w:rPr>
          <w:rFonts w:hint="eastAsia"/>
          <w:bCs/>
        </w:rPr>
        <w:t>2026年</w:t>
      </w:r>
      <w:r>
        <w:rPr>
          <w:bCs/>
        </w:rPr>
        <w:t>1月1日实施的</w:t>
      </w:r>
      <w:r>
        <w:rPr>
          <w:rFonts w:hint="eastAsia"/>
          <w:bCs/>
        </w:rPr>
        <w:t>《公开募集证券投资基金销售费用管理规定》</w:t>
      </w:r>
      <w:r>
        <w:rPr>
          <w:bCs/>
        </w:rPr>
        <w:t>及颁布机关对其不时做出的修订</w:t>
      </w:r>
    </w:p>
    <w:p w14:paraId="1AA288FD">
      <w:pPr>
        <w:pStyle w:val="39"/>
        <w:numPr>
          <w:ilvl w:val="0"/>
          <w:numId w:val="6"/>
        </w:numPr>
        <w:spacing w:line="360" w:lineRule="auto"/>
        <w:ind w:left="0" w:firstLine="480"/>
        <w:rPr>
          <w:bCs/>
        </w:rPr>
      </w:pPr>
      <w:r>
        <w:rPr>
          <w:bCs/>
        </w:rPr>
        <w:t>中国证监会：指中国证券监督管理委员会</w:t>
      </w:r>
    </w:p>
    <w:p w14:paraId="686E18A4">
      <w:pPr>
        <w:pStyle w:val="39"/>
        <w:numPr>
          <w:ilvl w:val="0"/>
          <w:numId w:val="6"/>
        </w:numPr>
        <w:spacing w:line="360" w:lineRule="auto"/>
        <w:ind w:left="0" w:firstLine="480"/>
        <w:rPr>
          <w:bCs/>
        </w:rPr>
      </w:pPr>
      <w:r>
        <w:rPr>
          <w:bCs/>
        </w:rPr>
        <w:t>银行业监督管理机构：指中国人民银行和/或国家金融监督管理总局</w:t>
      </w:r>
    </w:p>
    <w:p w14:paraId="62B43766">
      <w:pPr>
        <w:pStyle w:val="39"/>
        <w:numPr>
          <w:ilvl w:val="0"/>
          <w:numId w:val="6"/>
        </w:numPr>
        <w:spacing w:line="360" w:lineRule="auto"/>
        <w:ind w:left="0" w:firstLine="480"/>
        <w:rPr>
          <w:bCs/>
        </w:rPr>
      </w:pPr>
      <w:r>
        <w:rPr>
          <w:bCs/>
        </w:rPr>
        <w:t>基金合同当事人：指受基金合同约束，根据基金合同享有权利并承担义务的法律主体，包括基金管理人、基金托管人和基金份额持有人</w:t>
      </w:r>
    </w:p>
    <w:p w14:paraId="36BE2C81">
      <w:pPr>
        <w:pStyle w:val="39"/>
        <w:numPr>
          <w:ilvl w:val="0"/>
          <w:numId w:val="6"/>
        </w:numPr>
        <w:spacing w:line="360" w:lineRule="auto"/>
        <w:ind w:left="0" w:firstLine="480"/>
        <w:rPr>
          <w:bCs/>
        </w:rPr>
      </w:pPr>
      <w:r>
        <w:rPr>
          <w:bCs/>
        </w:rPr>
        <w:t>个人投资者：指依据有关法律法规规定可投资于证券投资基金的自然人</w:t>
      </w:r>
    </w:p>
    <w:p w14:paraId="38BE32A5">
      <w:pPr>
        <w:pStyle w:val="39"/>
        <w:numPr>
          <w:ilvl w:val="0"/>
          <w:numId w:val="6"/>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73A9BF5A">
      <w:pPr>
        <w:pStyle w:val="39"/>
        <w:numPr>
          <w:ilvl w:val="0"/>
          <w:numId w:val="6"/>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521ED09D">
      <w:pPr>
        <w:pStyle w:val="39"/>
        <w:numPr>
          <w:ilvl w:val="0"/>
          <w:numId w:val="6"/>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合格境外投资者以及法律法规或中国证监会允许购买证券投资基金的其他投资</w:t>
      </w:r>
      <w:r>
        <w:rPr>
          <w:rFonts w:hint="eastAsia"/>
          <w:bCs/>
        </w:rPr>
        <w:t>者</w:t>
      </w:r>
      <w:r>
        <w:rPr>
          <w:bCs/>
        </w:rPr>
        <w:t>的合称</w:t>
      </w:r>
    </w:p>
    <w:p w14:paraId="0335E6B0">
      <w:pPr>
        <w:pStyle w:val="39"/>
        <w:numPr>
          <w:ilvl w:val="0"/>
          <w:numId w:val="6"/>
        </w:numPr>
        <w:spacing w:line="360" w:lineRule="auto"/>
        <w:ind w:left="0" w:firstLine="480"/>
        <w:rPr>
          <w:bCs/>
        </w:rPr>
      </w:pPr>
      <w:r>
        <w:rPr>
          <w:bCs/>
        </w:rPr>
        <w:t>基金份额持有人：指依基金合同和招募说明书合法取得基金份额的投资</w:t>
      </w:r>
      <w:r>
        <w:rPr>
          <w:rFonts w:hint="eastAsia"/>
          <w:bCs/>
        </w:rPr>
        <w:t>者</w:t>
      </w:r>
    </w:p>
    <w:p w14:paraId="45DFA4A3">
      <w:pPr>
        <w:pStyle w:val="39"/>
        <w:numPr>
          <w:ilvl w:val="0"/>
          <w:numId w:val="6"/>
        </w:numPr>
        <w:spacing w:line="360" w:lineRule="auto"/>
        <w:ind w:left="0" w:firstLine="480"/>
        <w:rPr>
          <w:bCs/>
        </w:rPr>
      </w:pPr>
      <w:r>
        <w:rPr>
          <w:bCs/>
        </w:rPr>
        <w:t>基金销售业务：指基金管理人或销售机构宣传推介基金，发售基金份额，办理基金份额的申购、赎回、转换、转托管及定期定额投资等业务</w:t>
      </w:r>
    </w:p>
    <w:p w14:paraId="2FBBCB9F">
      <w:pPr>
        <w:pStyle w:val="39"/>
        <w:numPr>
          <w:ilvl w:val="0"/>
          <w:numId w:val="6"/>
        </w:numPr>
        <w:spacing w:line="360" w:lineRule="auto"/>
        <w:ind w:left="0" w:firstLine="480"/>
        <w:rPr>
          <w:bCs/>
        </w:rPr>
      </w:pPr>
      <w:r>
        <w:rPr>
          <w:bCs/>
        </w:rPr>
        <w:t>销售机构：指</w:t>
      </w:r>
      <w:r>
        <w:rPr>
          <w:rFonts w:hint="eastAsia"/>
          <w:bCs/>
        </w:rPr>
        <w:t>富国</w:t>
      </w:r>
      <w:r>
        <w:rPr>
          <w:bCs/>
        </w:rPr>
        <w:t>基金</w:t>
      </w:r>
      <w:r>
        <w:rPr>
          <w:rFonts w:hint="eastAsia"/>
          <w:bCs/>
        </w:rPr>
        <w:t>管理有限</w:t>
      </w:r>
      <w:r>
        <w:rPr>
          <w:bCs/>
        </w:rPr>
        <w:t>公司</w:t>
      </w:r>
      <w:r>
        <w:rPr>
          <w:rFonts w:hint="eastAsia"/>
          <w:bCs/>
        </w:rPr>
        <w:t>（包括基金管理人设立的从事基金销售业务的子公司（如有），统称“直销机构”）</w:t>
      </w:r>
      <w:r>
        <w:rPr>
          <w:bCs/>
        </w:rPr>
        <w:t>以及符合《销售办法》和中国证监会规定的其他条件，取得基金</w:t>
      </w:r>
      <w:r>
        <w:rPr>
          <w:rFonts w:hint="eastAsia"/>
          <w:bCs/>
        </w:rPr>
        <w:t>销售</w:t>
      </w:r>
      <w:r>
        <w:rPr>
          <w:bCs/>
        </w:rPr>
        <w:t>业务资格并与基金管理人签订了基金销售服务协议，办理基金销售业务的机构</w:t>
      </w:r>
      <w:r>
        <w:rPr>
          <w:rFonts w:hint="eastAsia"/>
          <w:bCs/>
        </w:rPr>
        <w:t>（统称“代销机构”）</w:t>
      </w:r>
    </w:p>
    <w:p w14:paraId="527F6B67">
      <w:pPr>
        <w:pStyle w:val="39"/>
        <w:numPr>
          <w:ilvl w:val="0"/>
          <w:numId w:val="6"/>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和办理非交易过户</w:t>
      </w:r>
      <w:r>
        <w:rPr>
          <w:bCs/>
        </w:rPr>
        <w:t>等</w:t>
      </w:r>
    </w:p>
    <w:p w14:paraId="7D4823AF">
      <w:pPr>
        <w:pStyle w:val="39"/>
        <w:numPr>
          <w:ilvl w:val="0"/>
          <w:numId w:val="6"/>
        </w:numPr>
        <w:spacing w:line="360" w:lineRule="auto"/>
        <w:ind w:left="0" w:firstLine="480"/>
        <w:rPr>
          <w:bCs/>
        </w:rPr>
      </w:pPr>
      <w:r>
        <w:rPr>
          <w:bCs/>
        </w:rPr>
        <w:t>登记机构：指办理登记业务的机构。基金的登记机构为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538DE589">
      <w:pPr>
        <w:pStyle w:val="39"/>
        <w:numPr>
          <w:ilvl w:val="0"/>
          <w:numId w:val="6"/>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05ABA771">
      <w:pPr>
        <w:pStyle w:val="39"/>
        <w:numPr>
          <w:ilvl w:val="0"/>
          <w:numId w:val="6"/>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25435865">
      <w:pPr>
        <w:pStyle w:val="39"/>
        <w:numPr>
          <w:ilvl w:val="0"/>
          <w:numId w:val="6"/>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基金合同生效日：指基金募集达到法律法规规定及基金合同规定的条件，基金管理人向中国证监会办理基金备案手续完毕，并获得中国证监会书面确认的日期</w:t>
      </w:r>
    </w:p>
    <w:p w14:paraId="23A2D2F7">
      <w:pPr>
        <w:pStyle w:val="39"/>
        <w:numPr>
          <w:ilvl w:val="0"/>
          <w:numId w:val="6"/>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38841104">
      <w:pPr>
        <w:pStyle w:val="39"/>
        <w:numPr>
          <w:ilvl w:val="0"/>
          <w:numId w:val="6"/>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3D8DA4A3">
      <w:pPr>
        <w:pStyle w:val="39"/>
        <w:numPr>
          <w:ilvl w:val="0"/>
          <w:numId w:val="6"/>
        </w:numPr>
        <w:spacing w:line="360" w:lineRule="auto"/>
        <w:ind w:left="0" w:firstLine="480"/>
        <w:rPr>
          <w:bCs/>
        </w:rPr>
      </w:pPr>
      <w:r>
        <w:rPr>
          <w:bCs/>
        </w:rPr>
        <w:t>存续期：指基金合同生效至终止之间的不定期期限</w:t>
      </w:r>
    </w:p>
    <w:sdt>
      <w:sdtPr>
        <w:rPr>
          <w:rFonts w:hint="eastAsia"/>
          <w:bCs/>
        </w:rPr>
        <w:id w:val="1497306413"/>
        <w:placeholder>
          <w:docPart w:val="4B14412E35C9479482E0D77357291954"/>
        </w:placeholder>
      </w:sdtPr>
      <w:sdtEndPr>
        <w:rPr>
          <w:rFonts w:hint="eastAsia"/>
          <w:bCs/>
        </w:rPr>
      </w:sdtEndPr>
      <w:sdtContent>
        <w:p w14:paraId="7DF1E76A">
          <w:pPr>
            <w:pStyle w:val="39"/>
            <w:numPr>
              <w:ilvl w:val="0"/>
              <w:numId w:val="6"/>
            </w:numPr>
            <w:spacing w:line="360" w:lineRule="auto"/>
            <w:ind w:left="0" w:firstLine="480"/>
            <w:rPr>
              <w:bCs/>
            </w:rPr>
          </w:pPr>
          <w:r>
            <w:rPr>
              <w:bCs/>
            </w:rPr>
            <w:t>工作日：指上海证券交易所、深圳证券交易所的正常交易日</w:t>
          </w:r>
        </w:p>
      </w:sdtContent>
    </w:sdt>
    <w:p w14:paraId="4447C46B">
      <w:pPr>
        <w:pStyle w:val="39"/>
        <w:numPr>
          <w:ilvl w:val="0"/>
          <w:numId w:val="6"/>
        </w:numPr>
        <w:spacing w:line="360" w:lineRule="auto"/>
        <w:ind w:left="0" w:firstLine="480"/>
        <w:rPr>
          <w:bCs/>
        </w:rPr>
      </w:pPr>
      <w:r>
        <w:rPr>
          <w:bCs/>
        </w:rPr>
        <w:t>T日：指销售机构在规定时间受理投资</w:t>
      </w:r>
      <w:r>
        <w:rPr>
          <w:rFonts w:hint="eastAsia"/>
          <w:bCs/>
        </w:rPr>
        <w:t>者</w:t>
      </w:r>
      <w:r>
        <w:rPr>
          <w:bCs/>
        </w:rPr>
        <w:t>申购、赎回或其他业务申请的开放日</w:t>
      </w:r>
    </w:p>
    <w:p w14:paraId="104720E7">
      <w:pPr>
        <w:pStyle w:val="39"/>
        <w:numPr>
          <w:ilvl w:val="0"/>
          <w:numId w:val="6"/>
        </w:numPr>
        <w:spacing w:line="360" w:lineRule="auto"/>
        <w:ind w:left="0" w:firstLine="480"/>
        <w:rPr>
          <w:bCs/>
        </w:rPr>
      </w:pPr>
      <w:r>
        <w:rPr>
          <w:bCs/>
        </w:rPr>
        <w:t>T+n日：指自T日起第n个工作日</w:t>
      </w:r>
      <w:r>
        <w:rPr>
          <w:rFonts w:hint="eastAsia"/>
          <w:bCs/>
        </w:rPr>
        <w:t>（</w:t>
      </w:r>
      <w:r>
        <w:rPr>
          <w:bCs/>
        </w:rPr>
        <w:t>不包含T日</w:t>
      </w:r>
      <w:r>
        <w:rPr>
          <w:rFonts w:hint="eastAsia"/>
          <w:bCs/>
        </w:rPr>
        <w:t>），n为自然数</w:t>
      </w:r>
    </w:p>
    <w:p w14:paraId="13C60434">
      <w:pPr>
        <w:pStyle w:val="39"/>
        <w:numPr>
          <w:ilvl w:val="0"/>
          <w:numId w:val="6"/>
        </w:numPr>
        <w:spacing w:line="360" w:lineRule="auto"/>
        <w:ind w:left="0" w:firstLine="480"/>
        <w:rPr>
          <w:bCs/>
        </w:rPr>
      </w:pPr>
      <w:r>
        <w:rPr>
          <w:bCs/>
        </w:rPr>
        <w:t>开放日：指为投资者办理基金份额申购、赎回或其他业务的工作日</w:t>
      </w:r>
      <w:r>
        <w:rPr>
          <w:rFonts w:hint="eastAsia"/>
          <w:bCs/>
        </w:rPr>
        <w:t>（若本基金参与港股通交易且该工作日为非港股通交易日时，则本基金可以不开放申购和赎回等业务，具体以届时公告为准）</w:t>
      </w:r>
    </w:p>
    <w:p w14:paraId="2E9C00E7">
      <w:pPr>
        <w:pStyle w:val="39"/>
        <w:numPr>
          <w:ilvl w:val="0"/>
          <w:numId w:val="6"/>
        </w:numPr>
        <w:spacing w:line="360" w:lineRule="auto"/>
        <w:ind w:left="0" w:firstLine="480"/>
        <w:rPr>
          <w:bCs/>
        </w:rPr>
      </w:pPr>
      <w:r>
        <w:rPr>
          <w:bCs/>
        </w:rPr>
        <w:t>开放时间：指开放日基金接受申购、赎回或其他交易的时间段</w:t>
      </w:r>
    </w:p>
    <w:p w14:paraId="31DB78BB">
      <w:pPr>
        <w:pStyle w:val="39"/>
        <w:numPr>
          <w:ilvl w:val="0"/>
          <w:numId w:val="6"/>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4BB37D77">
      <w:pPr>
        <w:pStyle w:val="39"/>
        <w:numPr>
          <w:ilvl w:val="0"/>
          <w:numId w:val="6"/>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3FE12EC6">
      <w:pPr>
        <w:pStyle w:val="39"/>
        <w:numPr>
          <w:ilvl w:val="0"/>
          <w:numId w:val="6"/>
        </w:numPr>
        <w:spacing w:line="360" w:lineRule="auto"/>
        <w:ind w:left="0" w:firstLine="480"/>
        <w:rPr>
          <w:bCs/>
        </w:rPr>
      </w:pPr>
      <w:r>
        <w:rPr>
          <w:bCs/>
        </w:rPr>
        <w:t>申购：指基金合同生效后，投资</w:t>
      </w:r>
      <w:r>
        <w:rPr>
          <w:rFonts w:hint="eastAsia"/>
          <w:bCs/>
        </w:rPr>
        <w:t>者</w:t>
      </w:r>
      <w:r>
        <w:rPr>
          <w:bCs/>
        </w:rPr>
        <w:t>根据基金合同和招募说明书的规定申请购买基金份额的行为</w:t>
      </w:r>
    </w:p>
    <w:p w14:paraId="3CCC3507">
      <w:pPr>
        <w:pStyle w:val="39"/>
        <w:numPr>
          <w:ilvl w:val="0"/>
          <w:numId w:val="6"/>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011B11E2">
      <w:pPr>
        <w:pStyle w:val="39"/>
        <w:numPr>
          <w:ilvl w:val="0"/>
          <w:numId w:val="6"/>
        </w:numPr>
        <w:spacing w:line="360" w:lineRule="auto"/>
        <w:ind w:left="0" w:firstLine="480"/>
        <w:rPr>
          <w:bCs/>
        </w:rPr>
      </w:pPr>
      <w:r>
        <w:rPr>
          <w:bCs/>
        </w:rPr>
        <w:t>基金转换：指基金份额持有人按照本基金合同和基金管理人届时有效公告规定的条件，申请将其持有基金管理人管理的、某一类基金份额转换为基金管理人管理的其他基金份额的行为</w:t>
      </w:r>
    </w:p>
    <w:p w14:paraId="0689B165">
      <w:pPr>
        <w:pStyle w:val="39"/>
        <w:numPr>
          <w:ilvl w:val="0"/>
          <w:numId w:val="6"/>
        </w:numPr>
        <w:spacing w:line="360" w:lineRule="auto"/>
        <w:ind w:left="0" w:firstLine="480"/>
        <w:rPr>
          <w:bCs/>
        </w:rPr>
      </w:pPr>
      <w:r>
        <w:rPr>
          <w:bCs/>
        </w:rPr>
        <w:t>转托管：指基金份额持有人在本基金的不同销售机构之间实施的变更所持基金份额销售机构的操作</w:t>
      </w:r>
    </w:p>
    <w:p w14:paraId="6B671C33">
      <w:pPr>
        <w:pStyle w:val="39"/>
        <w:numPr>
          <w:ilvl w:val="0"/>
          <w:numId w:val="6"/>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6DB1B1D1">
      <w:pPr>
        <w:pStyle w:val="39"/>
        <w:numPr>
          <w:ilvl w:val="0"/>
          <w:numId w:val="6"/>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超过上一开放日基金总份额的10</w:t>
      </w:r>
      <w:r>
        <w:rPr>
          <w:rFonts w:hint="eastAsia"/>
          <w:bCs/>
        </w:rPr>
        <w:t>%</w:t>
      </w:r>
    </w:p>
    <w:p w14:paraId="54FF7F0F">
      <w:pPr>
        <w:pStyle w:val="39"/>
        <w:numPr>
          <w:ilvl w:val="0"/>
          <w:numId w:val="6"/>
        </w:numPr>
        <w:spacing w:line="360" w:lineRule="auto"/>
        <w:ind w:left="0" w:firstLine="480"/>
        <w:rPr>
          <w:bCs/>
        </w:rPr>
      </w:pPr>
      <w:r>
        <w:rPr>
          <w:bCs/>
        </w:rPr>
        <w:t>元：指人民币元</w:t>
      </w:r>
    </w:p>
    <w:p w14:paraId="68BA3E16">
      <w:pPr>
        <w:pStyle w:val="39"/>
        <w:numPr>
          <w:ilvl w:val="0"/>
          <w:numId w:val="6"/>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4BECB173">
      <w:pPr>
        <w:pStyle w:val="39"/>
        <w:numPr>
          <w:ilvl w:val="0"/>
          <w:numId w:val="6"/>
        </w:numPr>
        <w:spacing w:line="360" w:lineRule="auto"/>
        <w:ind w:left="0" w:firstLine="480"/>
        <w:rPr>
          <w:bCs/>
        </w:rPr>
      </w:pPr>
      <w:r>
        <w:rPr>
          <w:bCs/>
        </w:rPr>
        <w:t>基金资产总值：指基金拥有的各类有价证券、银行存款本息、基金应收</w:t>
      </w:r>
      <w:r>
        <w:rPr>
          <w:rFonts w:hint="eastAsia"/>
          <w:bCs/>
        </w:rPr>
        <w:t>款项、基金份额</w:t>
      </w:r>
      <w:r>
        <w:rPr>
          <w:bCs/>
        </w:rPr>
        <w:t>及其他资产的价值总和</w:t>
      </w:r>
    </w:p>
    <w:p w14:paraId="5260725A">
      <w:pPr>
        <w:pStyle w:val="39"/>
        <w:numPr>
          <w:ilvl w:val="0"/>
          <w:numId w:val="6"/>
        </w:numPr>
        <w:spacing w:line="360" w:lineRule="auto"/>
        <w:ind w:left="0" w:firstLine="480"/>
        <w:rPr>
          <w:bCs/>
        </w:rPr>
      </w:pPr>
      <w:r>
        <w:rPr>
          <w:bCs/>
        </w:rPr>
        <w:t>基金资产净值：指基金资产总值减去基金负债后的价值</w:t>
      </w:r>
    </w:p>
    <w:p w14:paraId="590FBDE9">
      <w:pPr>
        <w:pStyle w:val="39"/>
        <w:numPr>
          <w:ilvl w:val="0"/>
          <w:numId w:val="6"/>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4BF57DF8">
      <w:pPr>
        <w:pStyle w:val="39"/>
        <w:numPr>
          <w:ilvl w:val="0"/>
          <w:numId w:val="6"/>
        </w:numPr>
        <w:spacing w:line="360" w:lineRule="auto"/>
        <w:ind w:left="0" w:firstLine="480"/>
        <w:rPr>
          <w:bCs/>
        </w:rPr>
      </w:pPr>
      <w:r>
        <w:rPr>
          <w:bCs/>
        </w:rPr>
        <w:t>基金资产估值：指计算评估基金资产和负债的价值，以确定基金资产净值和基金份额净值的过程</w:t>
      </w:r>
    </w:p>
    <w:p w14:paraId="23EE6345">
      <w:pPr>
        <w:pStyle w:val="39"/>
        <w:numPr>
          <w:ilvl w:val="0"/>
          <w:numId w:val="6"/>
        </w:numPr>
        <w:spacing w:line="360" w:lineRule="auto"/>
        <w:ind w:left="0" w:firstLine="480"/>
        <w:rPr>
          <w:bCs/>
        </w:rPr>
      </w:pPr>
      <w:r>
        <w:rPr>
          <w:rFonts w:hint="eastAsia"/>
          <w:bCs/>
        </w:rPr>
        <w:t>销售服务费：指从基金财产中计提的，用于本基金市场推广、销售以及基金份额持有人服务的费用</w:t>
      </w:r>
    </w:p>
    <w:p w14:paraId="0B630F2F">
      <w:pPr>
        <w:pStyle w:val="39"/>
        <w:numPr>
          <w:ilvl w:val="0"/>
          <w:numId w:val="6"/>
        </w:numPr>
        <w:spacing w:line="360" w:lineRule="auto"/>
        <w:ind w:left="0" w:firstLine="480"/>
        <w:rPr>
          <w:bCs/>
        </w:rPr>
      </w:pPr>
      <w:r>
        <w:rPr>
          <w:rFonts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724A2BA1">
      <w:pPr>
        <w:pStyle w:val="39"/>
        <w:numPr>
          <w:ilvl w:val="0"/>
          <w:numId w:val="6"/>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278AA1D">
      <w:pPr>
        <w:pStyle w:val="39"/>
        <w:numPr>
          <w:ilvl w:val="0"/>
          <w:numId w:val="6"/>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0A22E04C">
      <w:pPr>
        <w:pStyle w:val="39"/>
        <w:numPr>
          <w:ilvl w:val="0"/>
          <w:numId w:val="6"/>
        </w:numPr>
        <w:spacing w:line="360" w:lineRule="auto"/>
        <w:ind w:left="0" w:firstLine="480"/>
        <w:rPr>
          <w:bCs/>
        </w:rPr>
      </w:pPr>
      <w:r>
        <w:rPr>
          <w:rFonts w:hint="eastAsia"/>
          <w:bCs/>
        </w:rPr>
        <w:t>信用衍生品：指符合证券交易所或银行间市场相关业务规则，专门用于管理信用风险的信用衍生工具</w:t>
      </w:r>
    </w:p>
    <w:p w14:paraId="77037B34">
      <w:pPr>
        <w:pStyle w:val="39"/>
        <w:numPr>
          <w:ilvl w:val="0"/>
          <w:numId w:val="6"/>
        </w:numPr>
        <w:spacing w:line="360" w:lineRule="auto"/>
        <w:ind w:left="0" w:firstLine="480"/>
        <w:rPr>
          <w:bCs/>
        </w:rPr>
      </w:pPr>
      <w:r>
        <w:rPr>
          <w:rFonts w:hint="eastAsia"/>
          <w:bCs/>
        </w:rPr>
        <w:t>信用保护买方：亦称信用保护购买方，指接受信用风险保护的一方</w:t>
      </w:r>
    </w:p>
    <w:p w14:paraId="5B9A718D">
      <w:pPr>
        <w:pStyle w:val="39"/>
        <w:numPr>
          <w:ilvl w:val="0"/>
          <w:numId w:val="6"/>
        </w:numPr>
        <w:spacing w:line="360" w:lineRule="auto"/>
        <w:ind w:left="0" w:firstLine="480"/>
        <w:rPr>
          <w:bCs/>
        </w:rPr>
      </w:pPr>
      <w:r>
        <w:rPr>
          <w:rFonts w:hint="eastAsia"/>
          <w:bCs/>
        </w:rPr>
        <w:t>信用保护卖方：亦称信用保护提供方，指提供信用风险保护的一方</w:t>
      </w:r>
    </w:p>
    <w:p w14:paraId="4F030B35">
      <w:pPr>
        <w:pStyle w:val="39"/>
        <w:numPr>
          <w:ilvl w:val="0"/>
          <w:numId w:val="6"/>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42D1DA0E">
      <w:pPr>
        <w:pStyle w:val="39"/>
        <w:numPr>
          <w:ilvl w:val="0"/>
          <w:numId w:val="6"/>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07A710D9">
      <w:pPr>
        <w:pStyle w:val="39"/>
        <w:numPr>
          <w:ilvl w:val="0"/>
          <w:numId w:val="6"/>
        </w:numPr>
        <w:spacing w:line="360" w:lineRule="auto"/>
        <w:ind w:left="0" w:firstLine="480"/>
        <w:rPr>
          <w:bCs/>
        </w:rPr>
      </w:pP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2F3E0C6E">
      <w:pPr>
        <w:pStyle w:val="39"/>
        <w:numPr>
          <w:ilvl w:val="0"/>
          <w:numId w:val="6"/>
        </w:numPr>
        <w:spacing w:line="360" w:lineRule="auto"/>
        <w:ind w:left="0" w:firstLine="480"/>
        <w:rPr>
          <w:bCs/>
        </w:rPr>
      </w:pPr>
      <w:r>
        <w:rPr>
          <w:rFonts w:hint="eastAsia"/>
          <w:bCs/>
        </w:rPr>
        <w:t>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7A6FA941">
      <w:pPr>
        <w:pStyle w:val="39"/>
        <w:numPr>
          <w:ilvl w:val="0"/>
          <w:numId w:val="6"/>
        </w:numPr>
        <w:spacing w:line="360" w:lineRule="auto"/>
        <w:ind w:left="0" w:firstLine="480"/>
        <w:rPr>
          <w:bCs/>
        </w:rPr>
      </w:pPr>
      <w:bookmarkStart w:id="25" w:name="OLE_LINK14"/>
      <w:bookmarkStart w:id="26" w:name="OLE_LINK15"/>
      <w:r>
        <w:rPr>
          <w:rFonts w:hint="eastAsia"/>
          <w:bCs/>
        </w:rPr>
        <w:t>C类基金份额：指</w:t>
      </w:r>
      <w:bookmarkStart w:id="27" w:name="OLE_LINK10"/>
      <w:r>
        <w:rPr>
          <w:rFonts w:hint="eastAsia"/>
          <w:bCs/>
        </w:rPr>
        <w:t>在投资者认/申购时不收取认/申购费，但在赎回时根据持有期限收取赎回费且从本类别基金财产中计提并根据持有期限收取销售服务费的一类基金份额，或简称“C类份额”</w:t>
      </w:r>
      <w:bookmarkEnd w:id="27"/>
      <w:r>
        <w:rPr>
          <w:rFonts w:hint="eastAsia"/>
          <w:bCs/>
        </w:rPr>
        <w:t>；通过直销机构认（申）购C类份额的，不收取销售服务费</w:t>
      </w:r>
    </w:p>
    <w:bookmarkEnd w:id="25"/>
    <w:bookmarkEnd w:id="26"/>
    <w:p w14:paraId="7B63584B">
      <w:pPr>
        <w:pStyle w:val="39"/>
        <w:numPr>
          <w:ilvl w:val="0"/>
          <w:numId w:val="6"/>
        </w:numPr>
        <w:spacing w:line="360" w:lineRule="auto"/>
        <w:ind w:left="0" w:firstLine="480"/>
        <w:rPr>
          <w:bCs/>
        </w:rPr>
      </w:pP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D3F257D">
      <w:pPr>
        <w:pStyle w:val="39"/>
        <w:numPr>
          <w:ilvl w:val="0"/>
          <w:numId w:val="6"/>
        </w:numPr>
        <w:spacing w:line="360" w:lineRule="auto"/>
        <w:ind w:left="0" w:firstLine="480"/>
        <w:rPr>
          <w:bCs/>
        </w:rPr>
      </w:pP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A8E0A25">
      <w:pPr>
        <w:pStyle w:val="39"/>
        <w:numPr>
          <w:ilvl w:val="0"/>
          <w:numId w:val="6"/>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66281032">
      <w:pPr>
        <w:spacing w:line="360" w:lineRule="auto"/>
        <w:ind w:firstLine="480" w:firstLineChars="200"/>
      </w:pPr>
      <w:r>
        <w:rPr>
          <w:rFonts w:hint="eastAsia"/>
          <w:bCs/>
        </w:rPr>
        <w:t>以上释义中涉及法律法规、业务规则的内容，法律法规、业务规则修订后，如适用本基金，相关内容以修订后法律法规、业务规则为准。</w:t>
      </w:r>
    </w:p>
    <w:p w14:paraId="2A023771">
      <w:pPr>
        <w:widowControl/>
        <w:spacing w:line="240" w:lineRule="auto"/>
        <w:jc w:val="left"/>
        <w:rPr>
          <w:b/>
          <w:bCs/>
          <w:kern w:val="0"/>
          <w:sz w:val="30"/>
          <w:szCs w:val="20"/>
        </w:rPr>
      </w:pPr>
      <w:bookmarkStart w:id="28" w:name="_Toc401668931"/>
      <w:r>
        <w:rPr>
          <w:kern w:val="0"/>
          <w:sz w:val="30"/>
          <w:szCs w:val="20"/>
        </w:rPr>
        <w:br w:type="page"/>
      </w:r>
    </w:p>
    <w:p w14:paraId="3215A565">
      <w:pPr>
        <w:pStyle w:val="2"/>
      </w:pPr>
      <w:bookmarkStart w:id="29" w:name="_Toc218514483"/>
      <w:r>
        <w:rPr>
          <w:rFonts w:hint="eastAsia"/>
        </w:rPr>
        <w:t>基金的基本情况</w:t>
      </w:r>
      <w:bookmarkEnd w:id="28"/>
      <w:bookmarkEnd w:id="29"/>
    </w:p>
    <w:p w14:paraId="0376E824"/>
    <w:p w14:paraId="03B45565">
      <w:pPr>
        <w:spacing w:line="360" w:lineRule="auto"/>
        <w:ind w:firstLine="480" w:firstLineChars="200"/>
        <w:rPr>
          <w:bCs/>
        </w:rPr>
      </w:pPr>
      <w:bookmarkStart w:id="30" w:name="_Toc79392573"/>
      <w:r>
        <w:rPr>
          <w:bCs/>
        </w:rPr>
        <w:t>一、基金名称</w:t>
      </w:r>
      <w:bookmarkEnd w:id="30"/>
    </w:p>
    <w:p w14:paraId="383CAC87">
      <w:pPr>
        <w:spacing w:line="360" w:lineRule="auto"/>
        <w:ind w:firstLine="480" w:firstLineChars="200"/>
        <w:rPr>
          <w:bCs/>
        </w:rPr>
      </w:pPr>
      <w:r>
        <w:rPr>
          <w:rFonts w:hint="eastAsia"/>
          <w:bCs/>
        </w:rPr>
        <w:t>富国裕丰回报混合型证券投资基金</w:t>
      </w:r>
    </w:p>
    <w:p w14:paraId="0AB390A9">
      <w:pPr>
        <w:spacing w:line="360" w:lineRule="auto"/>
        <w:ind w:firstLine="480" w:firstLineChars="200"/>
        <w:rPr>
          <w:bCs/>
        </w:rPr>
      </w:pPr>
    </w:p>
    <w:p w14:paraId="25C1602A">
      <w:pPr>
        <w:spacing w:line="360" w:lineRule="auto"/>
        <w:ind w:firstLine="480" w:firstLineChars="200"/>
        <w:rPr>
          <w:bCs/>
        </w:rPr>
      </w:pPr>
      <w:bookmarkStart w:id="31" w:name="_Toc79392574"/>
      <w:r>
        <w:rPr>
          <w:bCs/>
        </w:rPr>
        <w:t>二、基金的类别</w:t>
      </w:r>
      <w:bookmarkEnd w:id="31"/>
    </w:p>
    <w:p w14:paraId="0692EAA7">
      <w:pPr>
        <w:spacing w:line="360" w:lineRule="auto"/>
        <w:ind w:firstLine="480" w:firstLineChars="200"/>
        <w:rPr>
          <w:bCs/>
        </w:rPr>
      </w:pPr>
      <w:r>
        <w:rPr>
          <w:rFonts w:hint="eastAsia"/>
          <w:bCs/>
        </w:rPr>
        <w:t>混合型</w:t>
      </w:r>
      <w:r>
        <w:rPr>
          <w:bCs/>
        </w:rPr>
        <w:t>证券投资基金</w:t>
      </w:r>
    </w:p>
    <w:p w14:paraId="4D40AF68">
      <w:pPr>
        <w:spacing w:line="360" w:lineRule="auto"/>
        <w:ind w:left="873" w:leftChars="257" w:hanging="256"/>
        <w:rPr>
          <w:bCs/>
        </w:rPr>
      </w:pPr>
    </w:p>
    <w:p w14:paraId="4595FF19">
      <w:pPr>
        <w:spacing w:line="360" w:lineRule="auto"/>
        <w:ind w:firstLine="480" w:firstLineChars="200"/>
        <w:rPr>
          <w:bCs/>
        </w:rPr>
      </w:pPr>
      <w:bookmarkStart w:id="32" w:name="_Toc79392575"/>
      <w:r>
        <w:rPr>
          <w:bCs/>
        </w:rPr>
        <w:t>三、基金的运作方式</w:t>
      </w:r>
    </w:p>
    <w:p w14:paraId="26684584">
      <w:pPr>
        <w:spacing w:line="360" w:lineRule="auto"/>
        <w:ind w:firstLine="480"/>
        <w:rPr>
          <w:bCs/>
        </w:rPr>
      </w:pPr>
      <w:r>
        <w:rPr>
          <w:bCs/>
        </w:rPr>
        <w:t>契约型开放式</w:t>
      </w:r>
    </w:p>
    <w:p w14:paraId="093F8DDB">
      <w:pPr>
        <w:spacing w:line="360" w:lineRule="auto"/>
        <w:ind w:firstLine="480"/>
        <w:rPr>
          <w:bCs/>
        </w:rPr>
      </w:pPr>
    </w:p>
    <w:p w14:paraId="6631C72C">
      <w:pPr>
        <w:spacing w:line="360" w:lineRule="auto"/>
        <w:ind w:firstLine="480" w:firstLineChars="200"/>
        <w:rPr>
          <w:bCs/>
        </w:rPr>
      </w:pPr>
      <w:r>
        <w:rPr>
          <w:bCs/>
        </w:rPr>
        <w:t>四、基金的投资目标</w:t>
      </w:r>
      <w:bookmarkEnd w:id="32"/>
    </w:p>
    <w:p w14:paraId="1EB2E12A">
      <w:pPr>
        <w:spacing w:line="360" w:lineRule="auto"/>
        <w:ind w:firstLine="480" w:firstLineChars="200"/>
        <w:rPr>
          <w:bCs/>
        </w:rPr>
      </w:pPr>
      <w:r>
        <w:rPr>
          <w:rFonts w:hint="eastAsia"/>
          <w:bCs/>
        </w:rPr>
        <w:t>本基金在严格控制波动率的前提下，力争为基金份额持有人提供长期稳定和超越业绩比较基准的投资回报。</w:t>
      </w:r>
    </w:p>
    <w:p w14:paraId="4F74DD9A">
      <w:pPr>
        <w:pStyle w:val="17"/>
        <w:ind w:left="480"/>
        <w:rPr>
          <w:bCs/>
        </w:rPr>
      </w:pPr>
    </w:p>
    <w:p w14:paraId="51663283">
      <w:pPr>
        <w:spacing w:line="360" w:lineRule="auto"/>
        <w:ind w:firstLine="480" w:firstLineChars="200"/>
        <w:rPr>
          <w:bCs/>
        </w:rPr>
      </w:pPr>
      <w:bookmarkStart w:id="33" w:name="_Toc79392576"/>
      <w:r>
        <w:rPr>
          <w:bCs/>
        </w:rPr>
        <w:t>五、基金的最低募集份额总额</w:t>
      </w:r>
      <w:bookmarkEnd w:id="33"/>
      <w:r>
        <w:rPr>
          <w:rFonts w:hint="eastAsia"/>
          <w:bCs/>
        </w:rPr>
        <w:t>和募集金额</w:t>
      </w:r>
    </w:p>
    <w:p w14:paraId="58ACB610">
      <w:pPr>
        <w:spacing w:line="360" w:lineRule="auto"/>
        <w:ind w:firstLine="480" w:firstLineChars="200"/>
        <w:rPr>
          <w:bCs/>
        </w:rPr>
      </w:pPr>
      <w:r>
        <w:rPr>
          <w:bCs/>
        </w:rPr>
        <w:t>本基金的最低募集份额总额为2亿份</w:t>
      </w:r>
      <w:r>
        <w:rPr>
          <w:rFonts w:hint="eastAsia"/>
          <w:bCs/>
        </w:rPr>
        <w:t>，最低募集金额为2亿元人民币</w:t>
      </w:r>
      <w:r>
        <w:rPr>
          <w:bCs/>
        </w:rPr>
        <w:t>。</w:t>
      </w:r>
    </w:p>
    <w:p w14:paraId="74D161EB">
      <w:pPr>
        <w:spacing w:line="360" w:lineRule="auto"/>
        <w:ind w:firstLine="480" w:firstLineChars="200"/>
        <w:rPr>
          <w:bCs/>
        </w:rPr>
      </w:pPr>
    </w:p>
    <w:p w14:paraId="1FA679F8">
      <w:pPr>
        <w:spacing w:line="360" w:lineRule="auto"/>
        <w:ind w:firstLine="480" w:firstLineChars="200"/>
        <w:rPr>
          <w:bCs/>
        </w:rPr>
      </w:pPr>
      <w:bookmarkStart w:id="34" w:name="_Toc79392577"/>
      <w:r>
        <w:rPr>
          <w:bCs/>
        </w:rPr>
        <w:t>六、基金份额</w:t>
      </w:r>
      <w:r>
        <w:rPr>
          <w:rFonts w:hint="eastAsia"/>
          <w:bCs/>
        </w:rPr>
        <w:t>发售</w:t>
      </w:r>
      <w:r>
        <w:rPr>
          <w:bCs/>
        </w:rPr>
        <w:t>面值</w:t>
      </w:r>
      <w:bookmarkEnd w:id="34"/>
      <w:r>
        <w:rPr>
          <w:bCs/>
        </w:rPr>
        <w:t>和认购费用</w:t>
      </w:r>
    </w:p>
    <w:p w14:paraId="50A1F3D6">
      <w:pPr>
        <w:spacing w:line="360" w:lineRule="auto"/>
        <w:ind w:firstLine="480"/>
        <w:rPr>
          <w:bCs/>
        </w:rPr>
      </w:pPr>
      <w:r>
        <w:rPr>
          <w:bCs/>
        </w:rPr>
        <w:t>本基金基金份额发售面值为人民币1.00元。</w:t>
      </w:r>
    </w:p>
    <w:p w14:paraId="34F3B757">
      <w:pPr>
        <w:autoSpaceDE w:val="0"/>
        <w:autoSpaceDN w:val="0"/>
        <w:adjustRightInd w:val="0"/>
        <w:spacing w:line="360" w:lineRule="auto"/>
        <w:ind w:firstLine="480" w:firstLineChars="200"/>
        <w:jc w:val="left"/>
        <w:rPr>
          <w:bCs/>
        </w:rPr>
      </w:pPr>
      <w:r>
        <w:rPr>
          <w:rFonts w:hint="eastAsia"/>
          <w:bCs/>
        </w:rPr>
        <w:t>投资者通过直销机构认购本基金的，不收取认购费、销售服务费。</w:t>
      </w:r>
    </w:p>
    <w:p w14:paraId="7014434A">
      <w:pPr>
        <w:autoSpaceDE w:val="0"/>
        <w:autoSpaceDN w:val="0"/>
        <w:adjustRightInd w:val="0"/>
        <w:spacing w:line="360" w:lineRule="auto"/>
        <w:ind w:firstLine="480" w:firstLineChars="200"/>
        <w:jc w:val="left"/>
        <w:rPr>
          <w:bCs/>
        </w:rPr>
      </w:pPr>
      <w:r>
        <w:rPr>
          <w:rFonts w:hint="eastAsia"/>
          <w:bCs/>
        </w:rPr>
        <w:t>投资者通过代销机构认购本基金的，A类基金份额</w:t>
      </w:r>
      <w:r>
        <w:rPr>
          <w:bCs/>
        </w:rPr>
        <w:t>认购费率按招募说明书及基金产品资料概要的规定执行</w:t>
      </w:r>
      <w:r>
        <w:rPr>
          <w:rFonts w:hint="eastAsia"/>
          <w:bCs/>
        </w:rPr>
        <w:t>，C类基金份额不收取认购费</w:t>
      </w:r>
      <w:r>
        <w:rPr>
          <w:bCs/>
        </w:rPr>
        <w:t>。</w:t>
      </w:r>
    </w:p>
    <w:p w14:paraId="546652F6">
      <w:pPr>
        <w:autoSpaceDE w:val="0"/>
        <w:autoSpaceDN w:val="0"/>
        <w:adjustRightInd w:val="0"/>
        <w:spacing w:line="360" w:lineRule="auto"/>
        <w:ind w:firstLine="480" w:firstLineChars="200"/>
        <w:jc w:val="left"/>
        <w:rPr>
          <w:bCs/>
        </w:rPr>
      </w:pPr>
    </w:p>
    <w:p w14:paraId="7489828D">
      <w:pPr>
        <w:spacing w:line="360" w:lineRule="auto"/>
        <w:ind w:firstLine="480" w:firstLineChars="200"/>
        <w:rPr>
          <w:bCs/>
        </w:rPr>
      </w:pPr>
      <w:bookmarkStart w:id="35" w:name="_Toc79392578"/>
      <w:r>
        <w:rPr>
          <w:bCs/>
        </w:rPr>
        <w:t>七、基金存续期限</w:t>
      </w:r>
      <w:bookmarkEnd w:id="35"/>
    </w:p>
    <w:p w14:paraId="5A625D99">
      <w:pPr>
        <w:spacing w:line="360" w:lineRule="auto"/>
        <w:ind w:firstLine="480" w:firstLineChars="200"/>
        <w:rPr>
          <w:bCs/>
        </w:rPr>
      </w:pPr>
      <w:r>
        <w:rPr>
          <w:bCs/>
        </w:rPr>
        <w:t>不定期</w:t>
      </w:r>
    </w:p>
    <w:p w14:paraId="0AAD9286">
      <w:pPr>
        <w:spacing w:line="360" w:lineRule="auto"/>
        <w:ind w:firstLine="480" w:firstLineChars="200"/>
        <w:rPr>
          <w:bCs/>
        </w:rPr>
      </w:pPr>
    </w:p>
    <w:p w14:paraId="3FDACD49">
      <w:pPr>
        <w:spacing w:line="360" w:lineRule="auto"/>
        <w:ind w:firstLine="480"/>
        <w:rPr>
          <w:bCs/>
        </w:rPr>
      </w:pPr>
      <w:bookmarkStart w:id="36" w:name="OLE_LINK12"/>
      <w:bookmarkStart w:id="37" w:name="OLE_LINK11"/>
      <w:r>
        <w:rPr>
          <w:bCs/>
        </w:rPr>
        <w:t>八、</w:t>
      </w:r>
      <w:r>
        <w:rPr>
          <w:rFonts w:hint="eastAsia"/>
          <w:bCs/>
        </w:rPr>
        <w:t>基金份额类别设置</w:t>
      </w:r>
    </w:p>
    <w:bookmarkEnd w:id="36"/>
    <w:bookmarkEnd w:id="37"/>
    <w:p w14:paraId="4802429C">
      <w:pPr>
        <w:spacing w:line="360" w:lineRule="auto"/>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09E7A65B">
      <w:pPr>
        <w:spacing w:line="360" w:lineRule="auto"/>
        <w:ind w:firstLine="480"/>
        <w:rPr>
          <w:bCs/>
        </w:rPr>
      </w:pPr>
      <w:bookmarkStart w:id="38" w:name="OLE_LINK16"/>
      <w:bookmarkStart w:id="39" w:name="OLE_LINK17"/>
      <w:r>
        <w:rPr>
          <w:rFonts w:hint="eastAsia"/>
          <w:bCs/>
        </w:rPr>
        <w:t>本基金基金份额类别包括A类基金份额和C类基金份额。A类基金份额是在投资者认/申购时收取认/申购费，在赎回时根据持有期限收取赎回费，但不再从本类别基金财产中计提销售服务费的一类基金份额；C类基金份额是在投资者认/申购时不收取认/申购费、但在赎回时根据持有期限收取赎回费且从本类别基金财产中计提并根据持有期限收取销售服务费的一类基金份额。</w:t>
      </w:r>
    </w:p>
    <w:p w14:paraId="19C23364">
      <w:pPr>
        <w:spacing w:line="360" w:lineRule="auto"/>
        <w:ind w:firstLine="480"/>
        <w:rPr>
          <w:bCs/>
        </w:rPr>
      </w:pPr>
      <w:r>
        <w:rPr>
          <w:rFonts w:hint="eastAsia"/>
          <w:bCs/>
        </w:rPr>
        <w:t>投资者通过直销机构认（申）购本基金的，不收取认（申）购费、销售服务费。</w:t>
      </w:r>
    </w:p>
    <w:bookmarkEnd w:id="38"/>
    <w:bookmarkEnd w:id="39"/>
    <w:p w14:paraId="4A3A3934">
      <w:pPr>
        <w:spacing w:line="360" w:lineRule="auto"/>
        <w:ind w:firstLine="480"/>
        <w:rPr>
          <w:bCs/>
        </w:rPr>
      </w:pPr>
      <w:r>
        <w:rPr>
          <w:rFonts w:hint="eastAsia"/>
          <w:bCs/>
        </w:rPr>
        <w:t>有关基金份额类别的具体设置、费率水平等由基金管理人确定，并在招募说明书中列明。</w:t>
      </w:r>
    </w:p>
    <w:p w14:paraId="36B14A5F">
      <w:pPr>
        <w:spacing w:line="360" w:lineRule="auto"/>
        <w:ind w:firstLine="480"/>
        <w:rPr>
          <w:bCs/>
        </w:rPr>
      </w:pPr>
      <w:r>
        <w:rPr>
          <w:rFonts w:hint="eastAsia"/>
          <w:bCs/>
        </w:rPr>
        <w:t>投资者在认购、申购基金份额时可自行选择基金份额类别。</w:t>
      </w:r>
    </w:p>
    <w:p w14:paraId="4A7EE71E">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0175441E">
      <w:pPr>
        <w:adjustRightInd w:val="0"/>
        <w:snapToGrid w:val="0"/>
        <w:spacing w:line="360" w:lineRule="auto"/>
        <w:ind w:firstLine="480" w:firstLineChars="200"/>
        <w:rPr>
          <w:rFonts w:hint="eastAsia" w:ascii="宋体" w:hAnsi="宋体"/>
          <w:szCs w:val="21"/>
        </w:rPr>
      </w:pPr>
    </w:p>
    <w:p w14:paraId="0AC2DAB0">
      <w:pPr>
        <w:widowControl/>
        <w:spacing w:line="240" w:lineRule="auto"/>
        <w:jc w:val="left"/>
        <w:rPr>
          <w:b/>
          <w:bCs/>
          <w:kern w:val="0"/>
          <w:sz w:val="30"/>
          <w:szCs w:val="20"/>
        </w:rPr>
      </w:pPr>
      <w:r>
        <w:rPr>
          <w:kern w:val="0"/>
          <w:sz w:val="30"/>
          <w:szCs w:val="20"/>
        </w:rPr>
        <w:br w:type="page"/>
      </w:r>
    </w:p>
    <w:p w14:paraId="704C56B8">
      <w:pPr>
        <w:pStyle w:val="2"/>
      </w:pPr>
      <w:bookmarkStart w:id="40" w:name="_Toc218514484"/>
      <w:r>
        <w:rPr>
          <w:rFonts w:hint="eastAsia"/>
        </w:rPr>
        <w:t>基金份额的发售</w:t>
      </w:r>
      <w:bookmarkEnd w:id="40"/>
    </w:p>
    <w:p w14:paraId="3BA7D2CF"/>
    <w:p w14:paraId="304F181B">
      <w:pPr>
        <w:spacing w:line="360" w:lineRule="auto"/>
        <w:ind w:firstLine="480" w:firstLineChars="200"/>
        <w:rPr>
          <w:bCs/>
        </w:rPr>
      </w:pPr>
      <w:r>
        <w:rPr>
          <w:bCs/>
        </w:rPr>
        <w:t>一、基金份额的发售时间、发售方式、发售对象</w:t>
      </w:r>
    </w:p>
    <w:p w14:paraId="655C9388">
      <w:pPr>
        <w:spacing w:line="360" w:lineRule="auto"/>
        <w:ind w:firstLine="480" w:firstLineChars="200"/>
        <w:rPr>
          <w:bCs/>
        </w:rPr>
      </w:pPr>
      <w:r>
        <w:rPr>
          <w:bCs/>
        </w:rPr>
        <w:t>1、发售时间</w:t>
      </w:r>
    </w:p>
    <w:p w14:paraId="2B94AC70">
      <w:pPr>
        <w:spacing w:line="360" w:lineRule="auto"/>
        <w:ind w:firstLine="480" w:firstLineChars="200"/>
        <w:rPr>
          <w:bCs/>
        </w:rPr>
      </w:pPr>
      <w:r>
        <w:rPr>
          <w:bCs/>
        </w:rPr>
        <w:t>自基金份额发售之日起最长不得超过</w:t>
      </w:r>
      <w:r>
        <w:rPr>
          <w:rFonts w:hint="eastAsia"/>
          <w:bCs/>
        </w:rPr>
        <w:t>3</w:t>
      </w:r>
      <w:r>
        <w:rPr>
          <w:bCs/>
        </w:rPr>
        <w:t>个月，具体发售时间见基金份额发售公告。</w:t>
      </w:r>
    </w:p>
    <w:p w14:paraId="01A80AF9">
      <w:pPr>
        <w:spacing w:line="360" w:lineRule="auto"/>
        <w:ind w:firstLine="480" w:firstLineChars="200"/>
        <w:rPr>
          <w:bCs/>
        </w:rPr>
      </w:pPr>
      <w:r>
        <w:rPr>
          <w:bCs/>
        </w:rPr>
        <w:t>2、发售方式</w:t>
      </w:r>
    </w:p>
    <w:p w14:paraId="26B9B479">
      <w:pPr>
        <w:spacing w:line="360" w:lineRule="auto"/>
        <w:ind w:firstLine="480" w:firstLineChars="200"/>
        <w:rPr>
          <w:bCs/>
        </w:rPr>
      </w:pPr>
      <w:r>
        <w:rPr>
          <w:bCs/>
        </w:rPr>
        <w:t>通过各销售机构的基金销售网点公开发售，各销售机构的具体名单见</w:t>
      </w:r>
      <w:r>
        <w:rPr>
          <w:rFonts w:hint="eastAsia"/>
          <w:bCs/>
        </w:rPr>
        <w:t>基金份额发售公告及基金管理人网站</w:t>
      </w:r>
      <w:r>
        <w:rPr>
          <w:bCs/>
        </w:rPr>
        <w:t>。</w:t>
      </w:r>
    </w:p>
    <w:p w14:paraId="3D4D3A69">
      <w:pPr>
        <w:spacing w:line="360" w:lineRule="auto"/>
        <w:ind w:firstLine="480" w:firstLineChars="200"/>
        <w:rPr>
          <w:bCs/>
        </w:rPr>
      </w:pPr>
      <w:r>
        <w:rPr>
          <w:bCs/>
        </w:rPr>
        <w:t>3、发售对象</w:t>
      </w:r>
    </w:p>
    <w:p w14:paraId="56C692D1">
      <w:pPr>
        <w:spacing w:line="360" w:lineRule="auto"/>
        <w:ind w:firstLine="480" w:firstLineChars="20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w:t>
      </w:r>
      <w:r>
        <w:rPr>
          <w:rFonts w:hint="eastAsia"/>
          <w:bCs/>
        </w:rPr>
        <w:t>者。</w:t>
      </w:r>
    </w:p>
    <w:p w14:paraId="1AFB34CB">
      <w:pPr>
        <w:spacing w:line="360" w:lineRule="auto"/>
        <w:ind w:firstLine="480" w:firstLineChars="200"/>
        <w:rPr>
          <w:bCs/>
        </w:rPr>
      </w:pPr>
      <w:r>
        <w:rPr>
          <w:bCs/>
        </w:rPr>
        <w:t>二、基金份额的认购</w:t>
      </w:r>
    </w:p>
    <w:p w14:paraId="3225138F">
      <w:pPr>
        <w:spacing w:line="360" w:lineRule="auto"/>
        <w:ind w:firstLine="480" w:firstLineChars="200"/>
        <w:rPr>
          <w:bCs/>
        </w:rPr>
      </w:pPr>
      <w:r>
        <w:rPr>
          <w:bCs/>
        </w:rPr>
        <w:t>1、认购费用</w:t>
      </w:r>
    </w:p>
    <w:p w14:paraId="15786DEC">
      <w:pPr>
        <w:spacing w:line="360" w:lineRule="auto"/>
        <w:ind w:firstLine="480" w:firstLineChars="200"/>
        <w:rPr>
          <w:bCs/>
        </w:rPr>
      </w:pPr>
      <w:r>
        <w:rPr>
          <w:rFonts w:hint="eastAsia"/>
          <w:bCs/>
        </w:rPr>
        <w:t>投资者通过直销机构认购本基金的，不收取认购费。</w:t>
      </w:r>
    </w:p>
    <w:p w14:paraId="536C172F">
      <w:pPr>
        <w:spacing w:line="360" w:lineRule="auto"/>
        <w:ind w:firstLine="480" w:firstLineChars="200"/>
        <w:rPr>
          <w:bCs/>
        </w:rPr>
      </w:pPr>
      <w:r>
        <w:rPr>
          <w:rFonts w:hint="eastAsia"/>
          <w:bCs/>
        </w:rPr>
        <w:t>投资者通过代销机构认购</w:t>
      </w:r>
      <w:r>
        <w:rPr>
          <w:bCs/>
        </w:rPr>
        <w:t>本基金的</w:t>
      </w:r>
      <w:r>
        <w:rPr>
          <w:rFonts w:hint="eastAsia"/>
          <w:bCs/>
        </w:rPr>
        <w:t>，A类基金份额</w:t>
      </w:r>
      <w:r>
        <w:rPr>
          <w:bCs/>
        </w:rPr>
        <w:t>的认购费率由基金管理人决定，并在招募说明书</w:t>
      </w:r>
      <w:r>
        <w:rPr>
          <w:rFonts w:hint="eastAsia"/>
          <w:bCs/>
        </w:rPr>
        <w:t>及基金产品资料概要</w:t>
      </w:r>
      <w:r>
        <w:rPr>
          <w:bCs/>
        </w:rPr>
        <w:t>中列示</w:t>
      </w:r>
      <w:r>
        <w:rPr>
          <w:rFonts w:hint="eastAsia"/>
          <w:bCs/>
        </w:rPr>
        <w:t>，C类基金份额不收取认购费</w:t>
      </w:r>
      <w:r>
        <w:rPr>
          <w:bCs/>
        </w:rPr>
        <w:t>。</w:t>
      </w:r>
      <w:r>
        <w:rPr>
          <w:rFonts w:hint="eastAsia"/>
          <w:bCs/>
        </w:rPr>
        <w:t>A类</w:t>
      </w:r>
      <w:r>
        <w:rPr>
          <w:bCs/>
        </w:rPr>
        <w:t>基金份额的认购费用不列入基金财产。</w:t>
      </w:r>
    </w:p>
    <w:p w14:paraId="74C255CA">
      <w:pPr>
        <w:spacing w:line="360" w:lineRule="auto"/>
        <w:ind w:firstLine="480" w:firstLineChars="200"/>
        <w:rPr>
          <w:bCs/>
        </w:rPr>
      </w:pPr>
      <w:r>
        <w:rPr>
          <w:bCs/>
        </w:rPr>
        <w:t>2、募集期利息的处理方式</w:t>
      </w:r>
    </w:p>
    <w:p w14:paraId="5E621FEA">
      <w:pPr>
        <w:spacing w:line="360" w:lineRule="auto"/>
        <w:ind w:firstLine="480" w:firstLineChars="200"/>
        <w:rPr>
          <w:bCs/>
        </w:rPr>
      </w:pPr>
      <w:r>
        <w:rPr>
          <w:bCs/>
        </w:rPr>
        <w:t>有效认购款项在募集期间产生的利息将折算为</w:t>
      </w:r>
      <w:r>
        <w:rPr>
          <w:rFonts w:hint="eastAsia"/>
          <w:bCs/>
        </w:rPr>
        <w:t>相应类别的</w:t>
      </w:r>
      <w:r>
        <w:rPr>
          <w:bCs/>
        </w:rPr>
        <w:t>基金份额归基金份额持有人所有，其中利息转份额</w:t>
      </w:r>
      <w:r>
        <w:rPr>
          <w:rFonts w:hint="eastAsia"/>
          <w:bCs/>
        </w:rPr>
        <w:t>的具体数额</w:t>
      </w:r>
      <w:r>
        <w:rPr>
          <w:bCs/>
        </w:rPr>
        <w:t>以登记机构的记录为准。</w:t>
      </w:r>
    </w:p>
    <w:p w14:paraId="756F45D2">
      <w:pPr>
        <w:spacing w:line="360" w:lineRule="auto"/>
        <w:ind w:firstLine="480" w:firstLineChars="200"/>
        <w:rPr>
          <w:bCs/>
        </w:rPr>
      </w:pPr>
      <w:r>
        <w:rPr>
          <w:bCs/>
        </w:rPr>
        <w:t>3、基金认购份额的计算</w:t>
      </w:r>
    </w:p>
    <w:p w14:paraId="48D6861F">
      <w:pPr>
        <w:spacing w:line="360" w:lineRule="auto"/>
        <w:ind w:firstLine="480" w:firstLineChars="200"/>
        <w:rPr>
          <w:bCs/>
        </w:rPr>
      </w:pPr>
      <w:r>
        <w:rPr>
          <w:bCs/>
        </w:rPr>
        <w:t>基金认购份额具体的计算方法在招募说明书中列示。</w:t>
      </w:r>
    </w:p>
    <w:p w14:paraId="68E41E6A">
      <w:pPr>
        <w:spacing w:line="360" w:lineRule="auto"/>
        <w:ind w:firstLine="480" w:firstLineChars="200"/>
        <w:rPr>
          <w:bCs/>
        </w:rPr>
      </w:pPr>
      <w:r>
        <w:rPr>
          <w:bCs/>
        </w:rPr>
        <w:t>4</w:t>
      </w:r>
      <w:r>
        <w:rPr>
          <w:rFonts w:hint="eastAsia"/>
          <w:bCs/>
        </w:rPr>
        <w:t>、基金</w:t>
      </w:r>
      <w:r>
        <w:rPr>
          <w:bCs/>
        </w:rPr>
        <w:t>认购份额余额的处理方式</w:t>
      </w:r>
    </w:p>
    <w:p w14:paraId="126FA978">
      <w:pPr>
        <w:spacing w:line="360" w:lineRule="auto"/>
        <w:ind w:firstLine="480" w:firstLineChars="200"/>
        <w:rPr>
          <w:bCs/>
        </w:rPr>
      </w:pPr>
      <w:r>
        <w:rPr>
          <w:rFonts w:hint="eastAsia"/>
          <w:bCs/>
        </w:rPr>
        <w:t>基金认购份额余额的处理方式在招募说明书中列示。</w:t>
      </w:r>
    </w:p>
    <w:p w14:paraId="60C515B7">
      <w:pPr>
        <w:spacing w:line="360" w:lineRule="auto"/>
        <w:ind w:firstLine="480" w:firstLineChars="200"/>
        <w:rPr>
          <w:bCs/>
        </w:rPr>
      </w:pPr>
      <w:r>
        <w:rPr>
          <w:rFonts w:hint="eastAsia"/>
          <w:bCs/>
        </w:rPr>
        <w:t>5、认购申请的确认</w:t>
      </w:r>
    </w:p>
    <w:p w14:paraId="03DF055F">
      <w:pPr>
        <w:spacing w:line="360" w:lineRule="auto"/>
        <w:ind w:firstLine="480" w:firstLineChars="200"/>
        <w:rPr>
          <w:bCs/>
        </w:rPr>
      </w:pPr>
      <w:r>
        <w:rPr>
          <w:rFonts w:hint="eastAsia"/>
          <w:bCs/>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如投资者怠于履行该项查询等各项义务，因此产生的损失由投资者自行承担。</w:t>
      </w:r>
    </w:p>
    <w:p w14:paraId="1DDDB29B">
      <w:pPr>
        <w:spacing w:line="360" w:lineRule="auto"/>
        <w:ind w:firstLine="480" w:firstLineChars="200"/>
        <w:rPr>
          <w:bCs/>
        </w:rPr>
      </w:pPr>
      <w:r>
        <w:rPr>
          <w:bCs/>
        </w:rPr>
        <w:t>三</w:t>
      </w:r>
      <w:r>
        <w:rPr>
          <w:rFonts w:hint="eastAsia"/>
          <w:bCs/>
        </w:rPr>
        <w:t>、</w:t>
      </w:r>
      <w:r>
        <w:rPr>
          <w:bCs/>
        </w:rPr>
        <w:t>基金份额认购金额的限制</w:t>
      </w:r>
    </w:p>
    <w:p w14:paraId="5D199469">
      <w:pPr>
        <w:spacing w:line="360" w:lineRule="auto"/>
        <w:ind w:firstLine="480" w:firstLineChars="200"/>
        <w:rPr>
          <w:bCs/>
        </w:rPr>
      </w:pPr>
      <w:r>
        <w:rPr>
          <w:bCs/>
        </w:rPr>
        <w:t>1</w:t>
      </w:r>
      <w:r>
        <w:rPr>
          <w:rFonts w:hint="eastAsia"/>
          <w:bCs/>
        </w:rPr>
        <w:t>、</w:t>
      </w:r>
      <w:r>
        <w:rPr>
          <w:bCs/>
        </w:rPr>
        <w:t>投资者认购时，需按销售机构规定的方式全额缴款。</w:t>
      </w:r>
    </w:p>
    <w:p w14:paraId="395F7183">
      <w:pPr>
        <w:spacing w:line="360" w:lineRule="auto"/>
        <w:ind w:firstLine="480" w:firstLineChars="20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1D92819D">
      <w:pPr>
        <w:spacing w:line="360" w:lineRule="auto"/>
        <w:ind w:firstLine="480" w:firstLineChars="20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18832167">
      <w:pPr>
        <w:spacing w:line="360" w:lineRule="auto"/>
        <w:ind w:firstLine="480" w:firstLineChars="200"/>
        <w:rPr>
          <w:bCs/>
        </w:rPr>
      </w:pPr>
      <w:r>
        <w:rPr>
          <w:bCs/>
        </w:rPr>
        <w:t>4、</w:t>
      </w:r>
      <w:r>
        <w:rPr>
          <w:rFonts w:hint="eastAsia"/>
          <w:bCs/>
        </w:rPr>
        <w:t>投资者在募集期内可以多次认购基金份额，A类基金份额的认购费用按每笔A类基金份额的认购申请单独计算，但已受理的认购申请不允许撤销。</w:t>
      </w:r>
    </w:p>
    <w:p w14:paraId="79A53D30">
      <w:pPr>
        <w:spacing w:line="360" w:lineRule="auto"/>
        <w:ind w:firstLine="480" w:firstLineChars="200"/>
        <w:rPr>
          <w:bCs/>
        </w:rPr>
      </w:pPr>
      <w:r>
        <w:rPr>
          <w:rFonts w:hint="eastAsia"/>
          <w:bCs/>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5329534C">
      <w:pPr>
        <w:widowControl/>
        <w:spacing w:line="240" w:lineRule="auto"/>
        <w:jc w:val="left"/>
        <w:rPr>
          <w:b/>
          <w:bCs/>
          <w:kern w:val="0"/>
          <w:sz w:val="30"/>
          <w:szCs w:val="20"/>
        </w:rPr>
      </w:pPr>
      <w:r>
        <w:rPr>
          <w:kern w:val="0"/>
          <w:sz w:val="30"/>
          <w:szCs w:val="20"/>
        </w:rPr>
        <w:br w:type="page"/>
      </w:r>
    </w:p>
    <w:p w14:paraId="736D63FF">
      <w:pPr>
        <w:pStyle w:val="2"/>
      </w:pPr>
      <w:bookmarkStart w:id="41" w:name="_Toc218514485"/>
      <w:r>
        <w:rPr>
          <w:rFonts w:hint="eastAsia"/>
        </w:rPr>
        <w:t>基金备案</w:t>
      </w:r>
      <w:bookmarkEnd w:id="41"/>
    </w:p>
    <w:p w14:paraId="46A2223A"/>
    <w:p w14:paraId="5507D6D2">
      <w:pPr>
        <w:spacing w:line="360" w:lineRule="auto"/>
        <w:ind w:firstLine="480" w:firstLineChars="200"/>
        <w:rPr>
          <w:bCs/>
        </w:rPr>
      </w:pPr>
      <w:r>
        <w:rPr>
          <w:bCs/>
        </w:rPr>
        <w:t>一、基金备案的条件</w:t>
      </w:r>
    </w:p>
    <w:p w14:paraId="28C928A2">
      <w:pPr>
        <w:spacing w:line="360" w:lineRule="auto"/>
        <w:ind w:firstLine="480" w:firstLineChars="20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亿份，基金募集金额不少于</w:t>
      </w:r>
      <w:r>
        <w:rPr>
          <w:rFonts w:hint="eastAsia"/>
          <w:bCs/>
        </w:rPr>
        <w:t>2</w:t>
      </w:r>
      <w:r>
        <w:rPr>
          <w:bCs/>
        </w:rPr>
        <w:t>亿元人民币且基金认购人数不少于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4828895F">
      <w:pPr>
        <w:spacing w:line="360" w:lineRule="auto"/>
        <w:ind w:firstLine="480" w:firstLineChars="20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62AD608">
      <w:pPr>
        <w:spacing w:line="360" w:lineRule="auto"/>
        <w:ind w:firstLine="480" w:firstLineChars="200"/>
        <w:rPr>
          <w:bCs/>
        </w:rPr>
      </w:pPr>
      <w:r>
        <w:rPr>
          <w:bCs/>
        </w:rPr>
        <w:t>二、基金合同不能生效时募集资金的处理方式</w:t>
      </w:r>
    </w:p>
    <w:p w14:paraId="4461C68D">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760ADA4C">
      <w:pPr>
        <w:spacing w:line="360" w:lineRule="auto"/>
        <w:ind w:firstLine="480"/>
        <w:rPr>
          <w:bCs/>
        </w:rPr>
      </w:pPr>
      <w:r>
        <w:rPr>
          <w:bCs/>
        </w:rPr>
        <w:t>1、以其固有财产承担因募集行为而产生的债务和费用；</w:t>
      </w:r>
    </w:p>
    <w:p w14:paraId="196595F7">
      <w:pPr>
        <w:spacing w:line="360" w:lineRule="auto"/>
        <w:ind w:firstLine="480" w:firstLineChars="20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6936DE0C">
      <w:pPr>
        <w:spacing w:line="360" w:lineRule="auto"/>
        <w:ind w:firstLine="480" w:firstLineChars="20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78F170D6">
      <w:pPr>
        <w:spacing w:line="360" w:lineRule="auto"/>
        <w:ind w:firstLine="480" w:firstLineChars="200"/>
        <w:rPr>
          <w:bCs/>
        </w:rPr>
      </w:pPr>
      <w:r>
        <w:rPr>
          <w:bCs/>
        </w:rPr>
        <w:t>三、基金存续期内的基金份额持有人数量和资产规模</w:t>
      </w:r>
    </w:p>
    <w:p w14:paraId="6182B2F5">
      <w:pPr>
        <w:spacing w:line="360" w:lineRule="auto"/>
        <w:ind w:firstLine="480" w:firstLineChars="200"/>
        <w:rPr>
          <w:bCs/>
        </w:rPr>
      </w:pPr>
      <w:r>
        <w:rPr>
          <w:rFonts w:hint="eastAsia"/>
          <w:bCs/>
        </w:rPr>
        <w:t>基金合同</w:t>
      </w:r>
      <w:r>
        <w:rPr>
          <w:rFonts w:hint="eastAsia"/>
        </w:rPr>
        <w:t>生效后，</w:t>
      </w:r>
      <w:r>
        <w:rPr>
          <w:rFonts w:hint="eastAsia"/>
          <w:bCs/>
        </w:rPr>
        <w:t>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6E184C86">
      <w:pPr>
        <w:spacing w:line="360" w:lineRule="auto"/>
        <w:ind w:firstLine="480" w:firstLineChars="200"/>
        <w:rPr>
          <w:bCs/>
        </w:rPr>
      </w:pPr>
      <w:r>
        <w:rPr>
          <w:bCs/>
        </w:rPr>
        <w:t>法律法规</w:t>
      </w:r>
      <w:r>
        <w:rPr>
          <w:rFonts w:hint="eastAsia"/>
          <w:bCs/>
        </w:rPr>
        <w:t>或中国证监会</w:t>
      </w:r>
      <w:r>
        <w:rPr>
          <w:bCs/>
        </w:rPr>
        <w:t>另有规定时，从其规定。</w:t>
      </w:r>
    </w:p>
    <w:p w14:paraId="1506D16B">
      <w:pPr>
        <w:pStyle w:val="2"/>
      </w:pPr>
      <w:bookmarkStart w:id="42" w:name="_Toc218514486"/>
      <w:r>
        <w:rPr>
          <w:rFonts w:hint="eastAsia"/>
        </w:rPr>
        <w:t>基金份额的申购与赎回</w:t>
      </w:r>
      <w:bookmarkEnd w:id="42"/>
    </w:p>
    <w:p w14:paraId="419CA00E"/>
    <w:p w14:paraId="30B51D0B">
      <w:pPr>
        <w:pStyle w:val="39"/>
        <w:numPr>
          <w:ilvl w:val="0"/>
          <w:numId w:val="7"/>
        </w:numPr>
        <w:spacing w:line="360" w:lineRule="auto"/>
        <w:ind w:left="0" w:firstLine="480"/>
        <w:rPr>
          <w:bCs/>
        </w:rPr>
      </w:pPr>
      <w:r>
        <w:rPr>
          <w:bCs/>
        </w:rPr>
        <w:t>申购和赎回场所</w:t>
      </w:r>
    </w:p>
    <w:p w14:paraId="2F27EE50">
      <w:pPr>
        <w:spacing w:line="360" w:lineRule="auto"/>
        <w:ind w:firstLine="480" w:firstLineChars="20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29EE3932">
      <w:pPr>
        <w:pStyle w:val="39"/>
        <w:numPr>
          <w:ilvl w:val="0"/>
          <w:numId w:val="7"/>
        </w:numPr>
        <w:spacing w:line="360" w:lineRule="auto"/>
        <w:ind w:left="0" w:firstLine="480"/>
        <w:rPr>
          <w:bCs/>
        </w:rPr>
      </w:pPr>
      <w:r>
        <w:rPr>
          <w:bCs/>
        </w:rPr>
        <w:t>申购和赎回的开放日及时间</w:t>
      </w:r>
    </w:p>
    <w:p w14:paraId="33150D9B">
      <w:pPr>
        <w:spacing w:line="360" w:lineRule="auto"/>
        <w:ind w:firstLine="480" w:firstLineChars="200"/>
        <w:rPr>
          <w:bCs/>
        </w:rPr>
      </w:pPr>
      <w:r>
        <w:rPr>
          <w:bCs/>
        </w:rPr>
        <w:t>1</w:t>
      </w:r>
      <w:r>
        <w:rPr>
          <w:rFonts w:hint="eastAsia"/>
          <w:bCs/>
        </w:rPr>
        <w:t>、</w:t>
      </w:r>
      <w:r>
        <w:rPr>
          <w:bCs/>
        </w:rPr>
        <w:t>开放日及开放时间</w:t>
      </w:r>
    </w:p>
    <w:p w14:paraId="49B7B000">
      <w:pPr>
        <w:spacing w:line="360" w:lineRule="auto"/>
        <w:ind w:firstLine="480" w:firstLineChars="20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26E7CEC9">
      <w:pPr>
        <w:spacing w:line="360" w:lineRule="auto"/>
        <w:ind w:firstLine="480" w:firstLineChars="20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、港股通交易规则变更、</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25F4C63E">
      <w:pPr>
        <w:spacing w:line="360" w:lineRule="auto"/>
        <w:ind w:firstLine="480" w:firstLineChars="200"/>
        <w:rPr>
          <w:bCs/>
        </w:rPr>
      </w:pPr>
      <w:r>
        <w:rPr>
          <w:bCs/>
        </w:rPr>
        <w:t>2</w:t>
      </w:r>
      <w:r>
        <w:rPr>
          <w:rFonts w:hint="eastAsia"/>
          <w:bCs/>
        </w:rPr>
        <w:t>、</w:t>
      </w:r>
      <w:r>
        <w:rPr>
          <w:bCs/>
        </w:rPr>
        <w:t>申购、赎回开始日及业务办理时间</w:t>
      </w:r>
    </w:p>
    <w:p w14:paraId="3A660E78">
      <w:pPr>
        <w:spacing w:line="360" w:lineRule="auto"/>
        <w:ind w:firstLine="480" w:firstLineChars="20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相关</w:t>
      </w:r>
      <w:r>
        <w:rPr>
          <w:bCs/>
        </w:rPr>
        <w:t>公告中规定。</w:t>
      </w:r>
    </w:p>
    <w:p w14:paraId="7845D22E">
      <w:pPr>
        <w:spacing w:line="360" w:lineRule="auto"/>
        <w:ind w:firstLine="480" w:firstLineChars="200"/>
        <w:rPr>
          <w:bCs/>
        </w:rPr>
      </w:pPr>
      <w:r>
        <w:rPr>
          <w:bCs/>
        </w:rPr>
        <w:t>基金管理人自基金合同生效之日起不超过</w:t>
      </w:r>
      <w:r>
        <w:rPr>
          <w:rFonts w:hint="eastAsia"/>
          <w:bCs/>
        </w:rPr>
        <w:t>3个月</w:t>
      </w:r>
      <w:r>
        <w:rPr>
          <w:bCs/>
        </w:rPr>
        <w:t>开始办理赎回，具体业务办理时间在赎回开始公告中规定。</w:t>
      </w:r>
    </w:p>
    <w:p w14:paraId="299D1E95">
      <w:pPr>
        <w:spacing w:line="360" w:lineRule="auto"/>
        <w:ind w:firstLine="480" w:firstLineChars="200"/>
        <w:rPr>
          <w:bCs/>
        </w:rPr>
      </w:pPr>
      <w:r>
        <w:rPr>
          <w:bCs/>
        </w:rPr>
        <w:t>在确定申购开始与赎回开始时间后，基金管理人应在申购、赎回开放日前依照《信息披露办法》的有关规定在规定媒介上公告申购与赎回的开始时间。</w:t>
      </w:r>
    </w:p>
    <w:p w14:paraId="0BAAF4F3">
      <w:pPr>
        <w:spacing w:line="360" w:lineRule="auto"/>
        <w:ind w:firstLine="480" w:firstLineChars="20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赎回或者转换。投资者在基金合同约定之外的日期和时间提出申购、赎回或转换申请</w:t>
      </w:r>
      <w:r>
        <w:rPr>
          <w:rFonts w:hint="eastAsia"/>
          <w:bCs/>
        </w:rPr>
        <w:t>且登记机构确认接受</w:t>
      </w:r>
      <w:r>
        <w:rPr>
          <w:bCs/>
        </w:rPr>
        <w:t>的，其基金份额申购、赎回价格为下一开放日</w:t>
      </w:r>
      <w:r>
        <w:rPr>
          <w:rFonts w:hint="eastAsia"/>
          <w:bCs/>
        </w:rPr>
        <w:t>相应类别的</w:t>
      </w:r>
      <w:r>
        <w:rPr>
          <w:bCs/>
        </w:rPr>
        <w:t>基金份额申购、赎回的价格。</w:t>
      </w:r>
    </w:p>
    <w:p w14:paraId="3883D84F">
      <w:pPr>
        <w:pStyle w:val="39"/>
        <w:numPr>
          <w:ilvl w:val="0"/>
          <w:numId w:val="7"/>
        </w:numPr>
        <w:spacing w:line="360" w:lineRule="auto"/>
        <w:ind w:left="0" w:firstLine="480"/>
        <w:rPr>
          <w:bCs/>
        </w:rPr>
      </w:pPr>
      <w:r>
        <w:rPr>
          <w:bCs/>
        </w:rPr>
        <w:t>申购与赎回的原则</w:t>
      </w:r>
    </w:p>
    <w:p w14:paraId="350E13DC">
      <w:pPr>
        <w:spacing w:line="360" w:lineRule="auto"/>
        <w:ind w:firstLine="480" w:firstLineChars="200"/>
        <w:rPr>
          <w:bCs/>
        </w:rPr>
      </w:pPr>
      <w:r>
        <w:rPr>
          <w:bCs/>
        </w:rPr>
        <w:t>1</w:t>
      </w:r>
      <w:r>
        <w:rPr>
          <w:rFonts w:hint="eastAsia"/>
          <w:bCs/>
        </w:rPr>
        <w:t>、“</w:t>
      </w:r>
      <w:r>
        <w:rPr>
          <w:bCs/>
        </w:rPr>
        <w:t>未知价</w:t>
      </w:r>
      <w:r>
        <w:rPr>
          <w:rFonts w:hint="eastAsia"/>
          <w:bCs/>
        </w:rPr>
        <w:t>”</w:t>
      </w:r>
      <w:r>
        <w:rPr>
          <w:bCs/>
        </w:rPr>
        <w:t>原则，即申购、赎回价格以申请当日收市后计算的该类基金份额净值为基准进行计算；</w:t>
      </w:r>
    </w:p>
    <w:p w14:paraId="781CAB7F">
      <w:pPr>
        <w:spacing w:line="360" w:lineRule="auto"/>
        <w:ind w:firstLine="480" w:firstLineChars="20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7EEC1966">
      <w:pPr>
        <w:spacing w:line="360" w:lineRule="auto"/>
        <w:ind w:firstLine="480" w:firstLineChars="20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42975E68">
      <w:pPr>
        <w:spacing w:line="360" w:lineRule="auto"/>
        <w:ind w:firstLine="480" w:firstLineChars="20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440D9B77">
      <w:pPr>
        <w:spacing w:line="360" w:lineRule="auto"/>
        <w:ind w:firstLine="480" w:firstLineChars="20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5911FC58">
      <w:pPr>
        <w:spacing w:line="360" w:lineRule="auto"/>
        <w:ind w:firstLine="480" w:firstLineChars="20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220AAD30">
      <w:pPr>
        <w:spacing w:line="360" w:lineRule="auto"/>
        <w:ind w:firstLine="480" w:firstLineChars="20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0EA2CF86">
      <w:pPr>
        <w:pStyle w:val="39"/>
        <w:numPr>
          <w:ilvl w:val="0"/>
          <w:numId w:val="7"/>
        </w:numPr>
        <w:spacing w:line="360" w:lineRule="auto"/>
        <w:ind w:left="0" w:firstLine="480"/>
        <w:rPr>
          <w:bCs/>
        </w:rPr>
      </w:pPr>
      <w:r>
        <w:rPr>
          <w:bCs/>
        </w:rPr>
        <w:t>申购与赎回的程序</w:t>
      </w:r>
    </w:p>
    <w:p w14:paraId="17000D4A">
      <w:pPr>
        <w:spacing w:line="360" w:lineRule="auto"/>
        <w:ind w:firstLine="480" w:firstLineChars="200"/>
        <w:rPr>
          <w:bCs/>
        </w:rPr>
      </w:pPr>
      <w:r>
        <w:rPr>
          <w:bCs/>
        </w:rPr>
        <w:t>1</w:t>
      </w:r>
      <w:r>
        <w:rPr>
          <w:rFonts w:hint="eastAsia"/>
          <w:bCs/>
        </w:rPr>
        <w:t>、</w:t>
      </w:r>
      <w:r>
        <w:rPr>
          <w:bCs/>
        </w:rPr>
        <w:t>申购和赎回的申请方式</w:t>
      </w:r>
    </w:p>
    <w:p w14:paraId="780A9FE7">
      <w:pPr>
        <w:spacing w:line="360" w:lineRule="auto"/>
        <w:ind w:firstLine="480" w:firstLineChars="200"/>
        <w:rPr>
          <w:bCs/>
        </w:rPr>
      </w:pPr>
      <w:r>
        <w:rPr>
          <w:bCs/>
        </w:rPr>
        <w:t>投资者必须根据销售机构规定的程序，在开放日的具体业务办理时间内提出申购或赎回的申请。</w:t>
      </w:r>
    </w:p>
    <w:p w14:paraId="4AA560D2">
      <w:pPr>
        <w:spacing w:line="360" w:lineRule="auto"/>
        <w:ind w:firstLine="480" w:firstLineChars="200"/>
        <w:rPr>
          <w:bCs/>
        </w:rPr>
      </w:pPr>
      <w:r>
        <w:rPr>
          <w:bCs/>
        </w:rPr>
        <w:t>2</w:t>
      </w:r>
      <w:r>
        <w:rPr>
          <w:rFonts w:hint="eastAsia"/>
          <w:bCs/>
        </w:rPr>
        <w:t>、</w:t>
      </w:r>
      <w:r>
        <w:rPr>
          <w:bCs/>
        </w:rPr>
        <w:t>申购和赎回的款项支付</w:t>
      </w:r>
    </w:p>
    <w:p w14:paraId="45803487">
      <w:pPr>
        <w:spacing w:line="360" w:lineRule="auto"/>
        <w:ind w:firstLine="480" w:firstLineChars="20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626BE985">
      <w:pPr>
        <w:spacing w:line="360" w:lineRule="auto"/>
        <w:ind w:firstLine="480" w:firstLineChars="20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，赎回成立；登记机构确认赎回申请时，赎回生效。</w:t>
      </w:r>
    </w:p>
    <w:p w14:paraId="60EA8249">
      <w:pPr>
        <w:spacing w:line="360" w:lineRule="auto"/>
        <w:ind w:firstLine="480" w:firstLineChars="20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1F9504BC">
      <w:pPr>
        <w:spacing w:line="360" w:lineRule="auto"/>
        <w:ind w:firstLine="480" w:firstLineChars="20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32E36E73">
      <w:pPr>
        <w:spacing w:line="360" w:lineRule="auto"/>
        <w:ind w:firstLine="480" w:firstLineChars="200"/>
        <w:rPr>
          <w:bCs/>
        </w:rPr>
      </w:pPr>
      <w:r>
        <w:rPr>
          <w:bCs/>
        </w:rPr>
        <w:t>3</w:t>
      </w:r>
      <w:r>
        <w:rPr>
          <w:rFonts w:hint="eastAsia"/>
          <w:bCs/>
        </w:rPr>
        <w:t>、</w:t>
      </w:r>
      <w:r>
        <w:rPr>
          <w:bCs/>
        </w:rPr>
        <w:t>申购和赎回申请的确认</w:t>
      </w:r>
    </w:p>
    <w:p w14:paraId="5A10F68F">
      <w:pPr>
        <w:spacing w:line="360" w:lineRule="auto"/>
        <w:ind w:firstLine="480" w:firstLineChars="20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57CFC269">
      <w:pPr>
        <w:spacing w:line="360" w:lineRule="auto"/>
        <w:ind w:firstLine="480" w:firstLineChars="20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586216A7">
      <w:pPr>
        <w:spacing w:line="360" w:lineRule="auto"/>
        <w:ind w:firstLine="480" w:firstLineChars="20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460BDCB5">
      <w:pPr>
        <w:pStyle w:val="39"/>
        <w:numPr>
          <w:ilvl w:val="0"/>
          <w:numId w:val="7"/>
        </w:numPr>
        <w:spacing w:line="360" w:lineRule="auto"/>
        <w:ind w:left="0" w:firstLine="480"/>
        <w:rPr>
          <w:bCs/>
        </w:rPr>
      </w:pPr>
      <w:r>
        <w:rPr>
          <w:bCs/>
        </w:rPr>
        <w:t>申购和赎回的数量限制</w:t>
      </w:r>
    </w:p>
    <w:p w14:paraId="501EF600">
      <w:pPr>
        <w:spacing w:line="360" w:lineRule="auto"/>
        <w:ind w:firstLine="480" w:firstLineChars="20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4ED04D91">
      <w:pPr>
        <w:spacing w:line="360" w:lineRule="auto"/>
        <w:ind w:firstLine="480" w:firstLineChars="200"/>
        <w:rPr>
          <w:bCs/>
        </w:rPr>
      </w:pPr>
      <w:r>
        <w:rPr>
          <w:bCs/>
        </w:rPr>
        <w:t>2</w:t>
      </w:r>
      <w:r>
        <w:rPr>
          <w:rFonts w:hint="eastAsia"/>
          <w:bCs/>
        </w:rPr>
        <w:t>、</w:t>
      </w:r>
      <w:r>
        <w:rPr>
          <w:bCs/>
        </w:rPr>
        <w:t>基金管理人可以规定投资者每个基金交易账户的最低基金份额余额，具体规定请参见招募说明书</w:t>
      </w:r>
      <w:r>
        <w:rPr>
          <w:rFonts w:hint="eastAsia"/>
          <w:bCs/>
        </w:rPr>
        <w:t>或相关公告</w:t>
      </w:r>
      <w:r>
        <w:rPr>
          <w:bCs/>
        </w:rPr>
        <w:t>。</w:t>
      </w:r>
    </w:p>
    <w:p w14:paraId="283C9F46">
      <w:pPr>
        <w:spacing w:line="360" w:lineRule="auto"/>
        <w:ind w:firstLine="480" w:firstLineChars="20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38B713FA">
      <w:pPr>
        <w:spacing w:line="360" w:lineRule="auto"/>
        <w:ind w:firstLine="480" w:firstLineChars="200"/>
        <w:rPr>
          <w:bCs/>
        </w:rPr>
      </w:pPr>
      <w:r>
        <w:rPr>
          <w:rFonts w:hint="eastAsia"/>
          <w:bCs/>
        </w:rPr>
        <w:t>4、基金管理人可以规定单个投资者单日或单笔申购金额上限，具体规定请参见招募说明书或相关公告。</w:t>
      </w:r>
    </w:p>
    <w:p w14:paraId="6286259A">
      <w:pPr>
        <w:spacing w:line="360" w:lineRule="auto"/>
        <w:ind w:firstLine="480" w:firstLineChars="200"/>
        <w:rPr>
          <w:bCs/>
        </w:rPr>
      </w:pPr>
      <w:r>
        <w:rPr>
          <w:rFonts w:hint="eastAsia"/>
          <w:bCs/>
        </w:rPr>
        <w:t>5、基金管理人</w:t>
      </w:r>
      <w:r>
        <w:rPr>
          <w:bCs/>
        </w:rPr>
        <w:t>有权</w:t>
      </w:r>
      <w:r>
        <w:rPr>
          <w:rFonts w:hint="eastAsia"/>
          <w:bCs/>
        </w:rPr>
        <w:t>规定本基金的总规模限额、单日申购金额限制、单日净申购比例上限，具体规定请参见招募说明书或相关公告。</w:t>
      </w:r>
    </w:p>
    <w:p w14:paraId="4F5D5F3C">
      <w:pPr>
        <w:spacing w:line="360" w:lineRule="auto"/>
        <w:ind w:firstLine="480" w:firstLineChars="200"/>
        <w:rPr>
          <w:bCs/>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C1B55EA">
      <w:pPr>
        <w:spacing w:line="360" w:lineRule="auto"/>
        <w:ind w:firstLine="480" w:firstLineChars="200"/>
        <w:rPr>
          <w:bCs/>
        </w:rPr>
      </w:pPr>
      <w:r>
        <w:rPr>
          <w:rFonts w:hint="eastAsia"/>
          <w:bCs/>
        </w:rPr>
        <w:t>7、</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4FBBD909">
      <w:pPr>
        <w:pStyle w:val="39"/>
        <w:numPr>
          <w:ilvl w:val="0"/>
          <w:numId w:val="7"/>
        </w:numPr>
        <w:spacing w:line="360" w:lineRule="auto"/>
        <w:ind w:left="0" w:firstLine="480"/>
        <w:rPr>
          <w:bCs/>
        </w:rPr>
      </w:pPr>
      <w:r>
        <w:rPr>
          <w:bCs/>
        </w:rPr>
        <w:t>申购和赎回的价格、费用及其用途</w:t>
      </w:r>
    </w:p>
    <w:p w14:paraId="7481FEBD">
      <w:pPr>
        <w:pStyle w:val="39"/>
        <w:numPr>
          <w:ilvl w:val="0"/>
          <w:numId w:val="8"/>
        </w:numPr>
        <w:spacing w:line="360" w:lineRule="auto"/>
        <w:ind w:left="0" w:firstLine="480"/>
        <w:rPr>
          <w:bCs/>
        </w:rPr>
      </w:pPr>
      <w:r>
        <w:rPr>
          <w:rFonts w:hint="eastAsia"/>
          <w:bCs/>
        </w:rPr>
        <w:t>本基金各类基金份额净值的计算，均保留到小数点后</w:t>
      </w:r>
      <w:r>
        <w:rPr>
          <w:bCs/>
        </w:rPr>
        <w:t>4</w:t>
      </w:r>
      <w:r>
        <w:rPr>
          <w:rFonts w:hint="eastAsia"/>
          <w:bCs/>
        </w:rPr>
        <w:t>位，小数点后第</w:t>
      </w:r>
      <w:r>
        <w:rPr>
          <w:bCs/>
        </w:rPr>
        <w:t>5</w:t>
      </w:r>
      <w:r>
        <w:rPr>
          <w:rFonts w:hint="eastAsia"/>
          <w:bCs/>
        </w:rPr>
        <w:t>位四舍五入，由此产生的收益或损失由基金财产承担。</w:t>
      </w:r>
      <w:r>
        <w:rPr>
          <w:bCs/>
        </w:rPr>
        <w:t>T</w:t>
      </w:r>
      <w:r>
        <w:rPr>
          <w:rFonts w:hint="eastAsia"/>
          <w:bCs/>
        </w:rPr>
        <w:t>日的各类基金份额净值在当天收市后计算，并在</w:t>
      </w:r>
      <w:r>
        <w:rPr>
          <w:bCs/>
        </w:rPr>
        <w:t>T+1</w:t>
      </w:r>
      <w:r>
        <w:rPr>
          <w:rFonts w:hint="eastAsia"/>
          <w:bCs/>
        </w:rPr>
        <w:t>日内公告。遇特殊情况，经履行适当程序，可以适当延迟计算或公告。</w:t>
      </w:r>
    </w:p>
    <w:p w14:paraId="3A169C03">
      <w:pPr>
        <w:spacing w:line="360" w:lineRule="auto"/>
        <w:ind w:firstLine="480" w:firstLineChars="20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06BE29A">
      <w:pPr>
        <w:pStyle w:val="39"/>
        <w:numPr>
          <w:ilvl w:val="0"/>
          <w:numId w:val="8"/>
        </w:numPr>
        <w:spacing w:line="360" w:lineRule="auto"/>
        <w:ind w:left="0" w:firstLine="480"/>
        <w:rPr>
          <w:bCs/>
        </w:rPr>
      </w:pPr>
      <w:r>
        <w:rPr>
          <w:bCs/>
        </w:rPr>
        <w:t>申购份额的计算及余额的处理方式</w:t>
      </w:r>
    </w:p>
    <w:p w14:paraId="524AB1A3">
      <w:pPr>
        <w:spacing w:line="360" w:lineRule="auto"/>
        <w:ind w:firstLine="480" w:firstLineChars="200"/>
        <w:rPr>
          <w:bCs/>
        </w:rPr>
      </w:pPr>
      <w:r>
        <w:rPr>
          <w:rFonts w:hint="eastAsia"/>
          <w:bCs/>
        </w:rPr>
        <w:t>本基金申购份额的计算及余额的处理方式在招募说明书中列示。</w:t>
      </w:r>
    </w:p>
    <w:p w14:paraId="15E0FAAD">
      <w:pPr>
        <w:spacing w:line="360" w:lineRule="auto"/>
        <w:ind w:firstLine="480" w:firstLineChars="200"/>
        <w:rPr>
          <w:bCs/>
        </w:rPr>
      </w:pPr>
      <w:r>
        <w:rPr>
          <w:rFonts w:hint="eastAsia"/>
          <w:bCs/>
        </w:rPr>
        <w:t>投资者通过直销机构申购本基金的，不收取申购费。</w:t>
      </w:r>
    </w:p>
    <w:p w14:paraId="72FD7252">
      <w:pPr>
        <w:pStyle w:val="39"/>
        <w:numPr>
          <w:ilvl w:val="0"/>
          <w:numId w:val="8"/>
        </w:numPr>
        <w:spacing w:line="360" w:lineRule="auto"/>
        <w:ind w:left="0" w:firstLine="480"/>
        <w:rPr>
          <w:bCs/>
        </w:rPr>
      </w:pPr>
      <w:r>
        <w:rPr>
          <w:bCs/>
        </w:rPr>
        <w:t>赎回金额的计算及处理方式</w:t>
      </w:r>
    </w:p>
    <w:p w14:paraId="0017ABD4">
      <w:pPr>
        <w:spacing w:line="360" w:lineRule="auto"/>
        <w:ind w:firstLine="480" w:firstLineChars="200"/>
        <w:rPr>
          <w:bCs/>
        </w:rPr>
      </w:pPr>
      <w:r>
        <w:rPr>
          <w:rFonts w:hint="eastAsia"/>
          <w:bCs/>
        </w:rPr>
        <w:t>本基金赎回金额的计算及处理方式在招募说明书中列示。</w:t>
      </w:r>
    </w:p>
    <w:p w14:paraId="27279732">
      <w:pPr>
        <w:pStyle w:val="39"/>
        <w:numPr>
          <w:ilvl w:val="0"/>
          <w:numId w:val="8"/>
        </w:numPr>
        <w:spacing w:line="360" w:lineRule="auto"/>
        <w:ind w:left="0" w:firstLine="480"/>
        <w:rPr>
          <w:bCs/>
        </w:rPr>
      </w:pPr>
      <w:r>
        <w:rPr>
          <w:rFonts w:hint="eastAsia"/>
          <w:bCs/>
        </w:rPr>
        <w:t>投资者通过代销机构申购本基金的，A类基金份额的</w:t>
      </w:r>
      <w:r>
        <w:rPr>
          <w:bCs/>
        </w:rPr>
        <w:t>申购费用由申购</w:t>
      </w:r>
      <w:r>
        <w:rPr>
          <w:rFonts w:hint="eastAsia"/>
          <w:bCs/>
        </w:rPr>
        <w:t>A类基金份额的</w:t>
      </w:r>
      <w:r>
        <w:rPr>
          <w:bCs/>
        </w:rPr>
        <w:t>投资</w:t>
      </w:r>
      <w:r>
        <w:rPr>
          <w:rFonts w:hint="eastAsia"/>
          <w:bCs/>
        </w:rPr>
        <w:t>者</w:t>
      </w:r>
      <w:r>
        <w:rPr>
          <w:bCs/>
        </w:rPr>
        <w:t>承担，不列入基金财产。</w:t>
      </w:r>
      <w:r>
        <w:rPr>
          <w:rFonts w:hint="eastAsia"/>
          <w:bCs/>
        </w:rPr>
        <w:t>C类基金份额不收取申购费用</w:t>
      </w:r>
      <w:r>
        <w:rPr>
          <w:bCs/>
        </w:rPr>
        <w:t>。</w:t>
      </w:r>
    </w:p>
    <w:p w14:paraId="34E00EF7">
      <w:pPr>
        <w:pStyle w:val="39"/>
        <w:numPr>
          <w:ilvl w:val="0"/>
          <w:numId w:val="8"/>
        </w:numPr>
        <w:spacing w:line="360" w:lineRule="auto"/>
        <w:ind w:left="0" w:firstLine="480"/>
        <w:rPr>
          <w:bCs/>
        </w:rPr>
      </w:pPr>
      <w:r>
        <w:rPr>
          <w:rFonts w:hint="eastAsia"/>
          <w:bCs/>
        </w:rPr>
        <w:t>本基金A类基金份额和C类基金份额的</w:t>
      </w:r>
      <w:r>
        <w:rPr>
          <w:bCs/>
        </w:rPr>
        <w:t>赎回费用由赎回基金份额的基金份额持有人承担，在基金份额持有人赎回基金份额时收取。</w:t>
      </w:r>
      <w:r>
        <w:rPr>
          <w:rFonts w:hint="eastAsia"/>
          <w:bCs/>
        </w:rPr>
        <w:t>投资者赎回基金份额产生的赎回费，应当全额计入基金财产。赎回费率依照相关法律法规设定，具体见招募说明书的规定。</w:t>
      </w:r>
    </w:p>
    <w:p w14:paraId="12AAEAE2">
      <w:pPr>
        <w:pStyle w:val="39"/>
        <w:numPr>
          <w:ilvl w:val="0"/>
          <w:numId w:val="8"/>
        </w:numPr>
        <w:spacing w:line="360" w:lineRule="auto"/>
        <w:ind w:left="0" w:firstLine="480"/>
        <w:rPr>
          <w:bCs/>
        </w:rPr>
      </w:pPr>
      <w:r>
        <w:rPr>
          <w:rFonts w:hint="eastAsia"/>
          <w:bCs/>
        </w:rPr>
        <w:t>投资者通过代销机构申购本基金A类基金份额需交纳申购费用，申购本基金C类基金份额不需交纳申购费用。</w:t>
      </w:r>
      <w:r>
        <w:rPr>
          <w:bCs/>
        </w:rPr>
        <w:t>本基金A</w:t>
      </w:r>
      <w:r>
        <w:rPr>
          <w:rFonts w:hint="eastAsia"/>
          <w:bCs/>
        </w:rPr>
        <w:t>类基金份额</w:t>
      </w:r>
      <w:r>
        <w:rPr>
          <w:bCs/>
        </w:rPr>
        <w:t>的申购费率、</w:t>
      </w:r>
      <w:r>
        <w:rPr>
          <w:rFonts w:hint="eastAsia"/>
          <w:bCs/>
        </w:rPr>
        <w:t>A类基金份额和C类基金份额</w:t>
      </w:r>
      <w:r>
        <w:rPr>
          <w:bCs/>
        </w:rPr>
        <w:t>申购份额具体的计算方法、赎回费率、赎回金额具体的计算方法和收费方式由基金管理人根据基金合同的规定确定，并在招募说明书</w:t>
      </w:r>
      <w:r>
        <w:rPr>
          <w:rFonts w:hint="eastAsia"/>
          <w:bCs/>
        </w:rPr>
        <w:t>或相关公告</w:t>
      </w:r>
      <w:r>
        <w:rPr>
          <w:bCs/>
        </w:rPr>
        <w:t>中列示。基金管理人可以在基金合同约定的范围内调整费率或收费方式，并最迟应于新的费率或收费方式实施日前依照《信息披露办法》的有关规定在规定媒介上公告。</w:t>
      </w:r>
    </w:p>
    <w:p w14:paraId="4FE69930">
      <w:pPr>
        <w:pStyle w:val="39"/>
        <w:numPr>
          <w:ilvl w:val="0"/>
          <w:numId w:val="8"/>
        </w:numPr>
        <w:spacing w:line="360" w:lineRule="auto"/>
        <w:ind w:left="0" w:firstLine="48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w:t>
      </w:r>
      <w:bookmarkStart w:id="43" w:name="_Hlk218626166"/>
      <w:r>
        <w:rPr>
          <w:rFonts w:hint="eastAsia"/>
          <w:bCs/>
        </w:rPr>
        <w:t>（赎回费除外）</w:t>
      </w:r>
      <w:bookmarkEnd w:id="43"/>
      <w:r>
        <w:rPr>
          <w:rFonts w:hint="eastAsia"/>
          <w:bCs/>
        </w:rPr>
        <w:t>，或针对特定渠道、特定投资群体开展有差别的费率优惠活动（赎回费除外）。</w:t>
      </w:r>
    </w:p>
    <w:p w14:paraId="5C8FB5EE">
      <w:pPr>
        <w:pStyle w:val="39"/>
        <w:numPr>
          <w:ilvl w:val="0"/>
          <w:numId w:val="8"/>
        </w:numPr>
        <w:spacing w:line="360" w:lineRule="auto"/>
        <w:ind w:left="0" w:firstLine="480"/>
        <w:rPr>
          <w:bCs/>
        </w:rPr>
      </w:pPr>
      <w:r>
        <w:rPr>
          <w:bCs/>
        </w:rPr>
        <w:t>当本基金发生大额申购或赎回情形时，基金管理人可以采用摆动定价机制</w:t>
      </w:r>
      <w:r>
        <w:rPr>
          <w:rFonts w:hint="eastAsia"/>
          <w:bCs/>
        </w:rPr>
        <w:t>，</w:t>
      </w:r>
      <w:r>
        <w:rPr>
          <w:bCs/>
        </w:rPr>
        <w:t>以确保基金估值的公平性。具体处理原则与操作规范遵循相关法律法规以及监管部门、自律规则的规定。</w:t>
      </w:r>
    </w:p>
    <w:p w14:paraId="10435018">
      <w:pPr>
        <w:pStyle w:val="39"/>
        <w:numPr>
          <w:ilvl w:val="0"/>
          <w:numId w:val="7"/>
        </w:numPr>
        <w:spacing w:line="360" w:lineRule="auto"/>
        <w:ind w:left="0" w:firstLine="480"/>
        <w:rPr>
          <w:bCs/>
        </w:rPr>
      </w:pPr>
      <w:r>
        <w:rPr>
          <w:bCs/>
        </w:rPr>
        <w:t>拒绝或暂停申购的情形</w:t>
      </w:r>
    </w:p>
    <w:p w14:paraId="01645A07">
      <w:pPr>
        <w:spacing w:line="360" w:lineRule="auto"/>
        <w:ind w:firstLine="480" w:firstLineChars="200"/>
        <w:rPr>
          <w:bCs/>
        </w:rPr>
      </w:pPr>
      <w:r>
        <w:rPr>
          <w:bCs/>
        </w:rPr>
        <w:t>发生下列情况时，基金管理人可拒绝或暂停接受投资者的申购申请：</w:t>
      </w:r>
    </w:p>
    <w:p w14:paraId="01DE5F97">
      <w:pPr>
        <w:pStyle w:val="39"/>
        <w:numPr>
          <w:ilvl w:val="0"/>
          <w:numId w:val="9"/>
        </w:numPr>
        <w:spacing w:line="360" w:lineRule="auto"/>
        <w:ind w:left="0" w:firstLine="480"/>
        <w:rPr>
          <w:bCs/>
        </w:rPr>
      </w:pPr>
      <w:r>
        <w:rPr>
          <w:bCs/>
        </w:rPr>
        <w:t>因不可抗力导致基金无法正常运作。</w:t>
      </w:r>
    </w:p>
    <w:p w14:paraId="4B05DB4E">
      <w:pPr>
        <w:pStyle w:val="39"/>
        <w:numPr>
          <w:ilvl w:val="0"/>
          <w:numId w:val="9"/>
        </w:numPr>
        <w:spacing w:line="360" w:lineRule="auto"/>
        <w:ind w:left="0" w:firstLine="480"/>
        <w:rPr>
          <w:bCs/>
        </w:rPr>
      </w:pPr>
      <w:r>
        <w:rPr>
          <w:rFonts w:hint="eastAsia"/>
          <w:bCs/>
        </w:rPr>
        <w:t>发生基金合同规定的暂停基金资产估值情况时，基金管理人可暂停接受投资人的申购申请。</w:t>
      </w:r>
    </w:p>
    <w:p w14:paraId="3ABB0E32">
      <w:pPr>
        <w:pStyle w:val="39"/>
        <w:numPr>
          <w:ilvl w:val="0"/>
          <w:numId w:val="9"/>
        </w:numPr>
        <w:spacing w:line="360" w:lineRule="auto"/>
        <w:ind w:left="0" w:firstLine="480"/>
        <w:rPr>
          <w:bCs/>
        </w:rPr>
      </w:pPr>
      <w:r>
        <w:rPr>
          <w:bCs/>
        </w:rPr>
        <w:t>证券</w:t>
      </w:r>
      <w:r>
        <w:rPr>
          <w:rFonts w:hint="eastAsia"/>
          <w:bCs/>
        </w:rPr>
        <w:t>、期货</w:t>
      </w:r>
      <w:r>
        <w:rPr>
          <w:bCs/>
        </w:rPr>
        <w:t>交易所</w:t>
      </w:r>
      <w:r>
        <w:rPr>
          <w:rFonts w:hint="eastAsia"/>
          <w:bCs/>
        </w:rPr>
        <w:t>或外汇市场</w:t>
      </w:r>
      <w:r>
        <w:rPr>
          <w:bCs/>
        </w:rPr>
        <w:t>交易时间非正常停市，</w:t>
      </w:r>
      <w:r>
        <w:rPr>
          <w:rFonts w:hint="eastAsia"/>
          <w:bCs/>
        </w:rPr>
        <w:t>或基金参与港股通交易且港股通暂停交易、外汇市场休市，</w:t>
      </w:r>
      <w:r>
        <w:rPr>
          <w:bCs/>
        </w:rPr>
        <w:t>导致基金管理人无法计算当日基金资产净值</w:t>
      </w:r>
      <w:r>
        <w:rPr>
          <w:rFonts w:hint="eastAsia"/>
          <w:bCs/>
        </w:rPr>
        <w:t>或无法进行证券</w:t>
      </w:r>
      <w:r>
        <w:rPr>
          <w:rFonts w:hint="eastAsia"/>
          <w:bCs/>
          <w:szCs w:val="20"/>
        </w:rPr>
        <w:t>/期货</w:t>
      </w:r>
      <w:r>
        <w:rPr>
          <w:rFonts w:hint="eastAsia"/>
          <w:bCs/>
        </w:rPr>
        <w:t>交易</w:t>
      </w:r>
      <w:r>
        <w:rPr>
          <w:bCs/>
        </w:rPr>
        <w:t>。</w:t>
      </w:r>
    </w:p>
    <w:p w14:paraId="1F27E8DD">
      <w:pPr>
        <w:pStyle w:val="39"/>
        <w:numPr>
          <w:ilvl w:val="0"/>
          <w:numId w:val="9"/>
        </w:numPr>
        <w:spacing w:line="360" w:lineRule="auto"/>
        <w:ind w:left="0" w:firstLine="480"/>
        <w:rPr>
          <w:bCs/>
        </w:rPr>
      </w:pPr>
      <w:bookmarkStart w:id="44" w:name="_Hlt70481650"/>
      <w:bookmarkEnd w:id="44"/>
      <w:r>
        <w:rPr>
          <w:bCs/>
        </w:rPr>
        <w:t>接受某笔或某些申购申请可能会影响或损害现有基金份额持有人利益时。</w:t>
      </w:r>
    </w:p>
    <w:p w14:paraId="591D3449">
      <w:pPr>
        <w:pStyle w:val="39"/>
        <w:numPr>
          <w:ilvl w:val="0"/>
          <w:numId w:val="9"/>
        </w:numPr>
        <w:spacing w:line="360" w:lineRule="auto"/>
        <w:ind w:left="0" w:firstLine="480"/>
        <w:rPr>
          <w:bCs/>
        </w:rPr>
      </w:pPr>
      <w:r>
        <w:rPr>
          <w:rFonts w:hint="eastAsia"/>
          <w:bCs/>
        </w:rPr>
        <w:t>基金管理人接受某笔或者某些申购申请有可能导致单一投资者持有基金份额的比例达到或者超过50%，或者变相规避50%集中度的情形时。</w:t>
      </w:r>
    </w:p>
    <w:p w14:paraId="506BB1BB">
      <w:pPr>
        <w:pStyle w:val="39"/>
        <w:numPr>
          <w:ilvl w:val="0"/>
          <w:numId w:val="9"/>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4E8E2B46">
      <w:pPr>
        <w:pStyle w:val="39"/>
        <w:numPr>
          <w:ilvl w:val="0"/>
          <w:numId w:val="9"/>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3F1EFC30">
      <w:pPr>
        <w:pStyle w:val="39"/>
        <w:numPr>
          <w:ilvl w:val="0"/>
          <w:numId w:val="9"/>
        </w:numPr>
        <w:spacing w:line="360" w:lineRule="auto"/>
        <w:ind w:left="0" w:firstLine="480"/>
        <w:rPr>
          <w:bCs/>
        </w:rPr>
      </w:pP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22BD9C86">
      <w:pPr>
        <w:pStyle w:val="39"/>
        <w:numPr>
          <w:ilvl w:val="0"/>
          <w:numId w:val="9"/>
        </w:numPr>
        <w:spacing w:line="360" w:lineRule="auto"/>
        <w:ind w:left="0" w:firstLine="480"/>
        <w:rPr>
          <w:bCs/>
        </w:rPr>
      </w:pPr>
      <w:r>
        <w:rPr>
          <w:rFonts w:hint="eastAsia"/>
          <w:bCs/>
        </w:rPr>
        <w:t>基金参与港股通交易且港股通交易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5F2A8769">
      <w:pPr>
        <w:pStyle w:val="39"/>
        <w:numPr>
          <w:ilvl w:val="0"/>
          <w:numId w:val="9"/>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7D99B2F7">
      <w:pPr>
        <w:pStyle w:val="39"/>
        <w:numPr>
          <w:ilvl w:val="0"/>
          <w:numId w:val="9"/>
        </w:numPr>
        <w:spacing w:line="360" w:lineRule="auto"/>
        <w:ind w:left="0" w:firstLine="480"/>
        <w:rPr>
          <w:bCs/>
        </w:rPr>
      </w:pPr>
      <w:r>
        <w:rPr>
          <w:bCs/>
        </w:rPr>
        <w:t>法律法规规定或中国证监会认定的其他情形。</w:t>
      </w:r>
    </w:p>
    <w:p w14:paraId="0C73962F">
      <w:pPr>
        <w:spacing w:line="360" w:lineRule="auto"/>
        <w:ind w:firstLine="480" w:firstLineChars="200"/>
        <w:rPr>
          <w:bCs/>
        </w:rPr>
      </w:pPr>
      <w:r>
        <w:rPr>
          <w:bCs/>
        </w:rPr>
        <w:t>发生上述</w:t>
      </w:r>
      <w:r>
        <w:rPr>
          <w:rFonts w:hint="eastAsia"/>
          <w:bCs/>
        </w:rPr>
        <w:t>除第4、5、1</w:t>
      </w:r>
      <w:r>
        <w:rPr>
          <w:bCs/>
        </w:rPr>
        <w:t>0项</w:t>
      </w:r>
      <w:r>
        <w:rPr>
          <w:rFonts w:hint="eastAsia"/>
          <w:bCs/>
        </w:rPr>
        <w:t>以外的</w:t>
      </w:r>
      <w:r>
        <w:rPr>
          <w:bCs/>
        </w:rPr>
        <w:t>暂停申购情形之一且基金管理人决定暂停接受投资</w:t>
      </w:r>
      <w:r>
        <w:rPr>
          <w:rFonts w:hint="eastAsia"/>
          <w:bCs/>
        </w:rPr>
        <w:t>者的</w:t>
      </w:r>
      <w:r>
        <w:rPr>
          <w:bCs/>
        </w:rPr>
        <w:t>申购申请时，基金管理人应当根据有关规定在规定媒介上刊登暂停申购公告。</w:t>
      </w:r>
    </w:p>
    <w:p w14:paraId="495544A4">
      <w:pPr>
        <w:spacing w:line="360" w:lineRule="auto"/>
        <w:ind w:firstLine="480" w:firstLineChars="20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673730ED">
      <w:pPr>
        <w:pStyle w:val="39"/>
        <w:numPr>
          <w:ilvl w:val="0"/>
          <w:numId w:val="7"/>
        </w:numPr>
        <w:spacing w:line="360" w:lineRule="auto"/>
        <w:ind w:left="0" w:firstLine="480"/>
        <w:rPr>
          <w:bCs/>
        </w:rPr>
      </w:pPr>
      <w:r>
        <w:rPr>
          <w:bCs/>
        </w:rPr>
        <w:t>暂停赎回或延缓支付赎回款项的情形</w:t>
      </w:r>
    </w:p>
    <w:p w14:paraId="4B5CDCC6">
      <w:pPr>
        <w:spacing w:line="360" w:lineRule="auto"/>
        <w:ind w:firstLine="480" w:firstLineChars="200"/>
        <w:rPr>
          <w:bCs/>
        </w:rPr>
      </w:pPr>
      <w:r>
        <w:rPr>
          <w:bCs/>
        </w:rPr>
        <w:t>发生下列情形时，基金管理人可暂停接受投资者的赎回申请或延缓支付赎回款项：</w:t>
      </w:r>
    </w:p>
    <w:p w14:paraId="448E6841">
      <w:pPr>
        <w:pStyle w:val="39"/>
        <w:numPr>
          <w:ilvl w:val="0"/>
          <w:numId w:val="10"/>
        </w:numPr>
        <w:spacing w:line="360" w:lineRule="auto"/>
        <w:ind w:left="0" w:firstLine="480"/>
        <w:rPr>
          <w:bCs/>
        </w:rPr>
      </w:pPr>
      <w:r>
        <w:rPr>
          <w:bCs/>
        </w:rPr>
        <w:t>因不可抗力导致基金无法正常运作或基金管理人不能支付赎回款项。</w:t>
      </w:r>
    </w:p>
    <w:p w14:paraId="264254AA">
      <w:pPr>
        <w:pStyle w:val="39"/>
        <w:numPr>
          <w:ilvl w:val="0"/>
          <w:numId w:val="10"/>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59B6C96F">
      <w:pPr>
        <w:pStyle w:val="39"/>
        <w:numPr>
          <w:ilvl w:val="0"/>
          <w:numId w:val="10"/>
        </w:numPr>
        <w:spacing w:line="360" w:lineRule="auto"/>
        <w:ind w:left="0" w:firstLine="480"/>
        <w:rPr>
          <w:bCs/>
        </w:rPr>
      </w:pPr>
      <w:r>
        <w:rPr>
          <w:bCs/>
        </w:rPr>
        <w:t>证券</w:t>
      </w:r>
      <w:r>
        <w:rPr>
          <w:rFonts w:hint="eastAsia"/>
          <w:bCs/>
        </w:rPr>
        <w:t>、期货</w:t>
      </w:r>
      <w:r>
        <w:rPr>
          <w:bCs/>
        </w:rPr>
        <w:t>交易所</w:t>
      </w:r>
      <w:r>
        <w:rPr>
          <w:rFonts w:hint="eastAsia"/>
          <w:bCs/>
        </w:rPr>
        <w:t>或外汇市场</w:t>
      </w:r>
      <w:r>
        <w:rPr>
          <w:bCs/>
        </w:rPr>
        <w:t>交易时间非正常停市，</w:t>
      </w:r>
      <w:r>
        <w:rPr>
          <w:rFonts w:hint="eastAsia"/>
          <w:bCs/>
        </w:rPr>
        <w:t>或基金参与港股通交易且港股通暂停交易、外汇市场休市，</w:t>
      </w:r>
      <w:r>
        <w:rPr>
          <w:bCs/>
        </w:rPr>
        <w:t>导致基金管理人无法计算当日基金资产</w:t>
      </w:r>
      <w:bookmarkStart w:id="45" w:name="_Hlt152500890"/>
      <w:r>
        <w:rPr>
          <w:bCs/>
        </w:rPr>
        <w:t>净值</w:t>
      </w:r>
      <w:r>
        <w:rPr>
          <w:rFonts w:hint="eastAsia"/>
          <w:bCs/>
        </w:rPr>
        <w:t>或无法进行证券</w:t>
      </w:r>
      <w:r>
        <w:rPr>
          <w:rFonts w:hint="eastAsia"/>
          <w:bCs/>
          <w:szCs w:val="20"/>
        </w:rPr>
        <w:t>/期货</w:t>
      </w:r>
      <w:r>
        <w:rPr>
          <w:rFonts w:hint="eastAsia"/>
          <w:bCs/>
        </w:rPr>
        <w:t>交易</w:t>
      </w:r>
      <w:r>
        <w:rPr>
          <w:bCs/>
        </w:rPr>
        <w:t>。</w:t>
      </w:r>
    </w:p>
    <w:p w14:paraId="545A92B2">
      <w:pPr>
        <w:pStyle w:val="39"/>
        <w:numPr>
          <w:ilvl w:val="0"/>
          <w:numId w:val="10"/>
        </w:numPr>
        <w:spacing w:line="360" w:lineRule="auto"/>
        <w:ind w:left="0" w:firstLine="480"/>
        <w:rPr>
          <w:bCs/>
        </w:rPr>
      </w:pPr>
      <w:r>
        <w:rPr>
          <w:bCs/>
        </w:rPr>
        <w:t>连续两个或两个以上开放日发生巨额赎回。</w:t>
      </w:r>
    </w:p>
    <w:p w14:paraId="31BA9BAB">
      <w:pPr>
        <w:pStyle w:val="39"/>
        <w:numPr>
          <w:ilvl w:val="0"/>
          <w:numId w:val="10"/>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5EF2C344">
      <w:pPr>
        <w:pStyle w:val="39"/>
        <w:numPr>
          <w:ilvl w:val="0"/>
          <w:numId w:val="10"/>
        </w:numPr>
        <w:spacing w:line="360" w:lineRule="auto"/>
        <w:ind w:left="0" w:firstLine="480"/>
        <w:rPr>
          <w:bCs/>
        </w:rPr>
      </w:pPr>
      <w:r>
        <w:rPr>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45"/>
    <w:p w14:paraId="2239E0DF">
      <w:pPr>
        <w:pStyle w:val="39"/>
        <w:numPr>
          <w:ilvl w:val="0"/>
          <w:numId w:val="10"/>
        </w:numPr>
        <w:spacing w:line="360" w:lineRule="auto"/>
        <w:ind w:left="0" w:firstLine="480"/>
        <w:rPr>
          <w:bCs/>
        </w:rPr>
      </w:pPr>
      <w:r>
        <w:rPr>
          <w:bCs/>
        </w:rPr>
        <w:t>法律法规规定或中国证监会认定的其他情形。</w:t>
      </w:r>
    </w:p>
    <w:p w14:paraId="21748456">
      <w:pPr>
        <w:spacing w:line="360" w:lineRule="auto"/>
        <w:ind w:firstLine="480" w:firstLineChars="200"/>
        <w:rPr>
          <w:bCs/>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0E0588FF">
      <w:pPr>
        <w:pStyle w:val="39"/>
        <w:numPr>
          <w:ilvl w:val="0"/>
          <w:numId w:val="7"/>
        </w:numPr>
        <w:spacing w:line="360" w:lineRule="auto"/>
        <w:ind w:left="0" w:firstLine="480"/>
        <w:rPr>
          <w:bCs/>
        </w:rPr>
      </w:pPr>
      <w:r>
        <w:rPr>
          <w:bCs/>
        </w:rPr>
        <w:t>巨额赎回的情形及处理方式</w:t>
      </w:r>
    </w:p>
    <w:p w14:paraId="0565697E">
      <w:pPr>
        <w:spacing w:line="360" w:lineRule="auto"/>
        <w:ind w:firstLine="480" w:firstLineChars="200"/>
        <w:rPr>
          <w:bCs/>
        </w:rPr>
      </w:pPr>
      <w:r>
        <w:rPr>
          <w:bCs/>
        </w:rPr>
        <w:t>1</w:t>
      </w:r>
      <w:r>
        <w:rPr>
          <w:rFonts w:hint="eastAsia"/>
          <w:bCs/>
        </w:rPr>
        <w:t>、</w:t>
      </w:r>
      <w:r>
        <w:rPr>
          <w:bCs/>
        </w:rPr>
        <w:t>巨额赎回的认定</w:t>
      </w:r>
    </w:p>
    <w:p w14:paraId="1E8CCBDC">
      <w:pPr>
        <w:spacing w:line="360" w:lineRule="auto"/>
        <w:ind w:firstLine="480" w:firstLineChars="20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1A757C88">
      <w:pPr>
        <w:spacing w:line="360" w:lineRule="auto"/>
        <w:ind w:firstLine="480" w:firstLineChars="200"/>
        <w:rPr>
          <w:bCs/>
        </w:rPr>
      </w:pPr>
      <w:r>
        <w:rPr>
          <w:bCs/>
        </w:rPr>
        <w:t>2</w:t>
      </w:r>
      <w:r>
        <w:rPr>
          <w:rFonts w:hint="eastAsia"/>
          <w:bCs/>
        </w:rPr>
        <w:t>、</w:t>
      </w:r>
      <w:r>
        <w:rPr>
          <w:bCs/>
        </w:rPr>
        <w:t>巨额赎回的处理方式</w:t>
      </w:r>
    </w:p>
    <w:p w14:paraId="28373D6E">
      <w:pPr>
        <w:spacing w:line="360" w:lineRule="auto"/>
        <w:ind w:firstLine="480" w:firstLineChars="200"/>
        <w:rPr>
          <w:bCs/>
        </w:rPr>
      </w:pPr>
      <w:r>
        <w:rPr>
          <w:bCs/>
        </w:rPr>
        <w:t>当基金出现巨额赎回时，基金管理人可以根据基金当时的资产组合状况决定全额赎回</w:t>
      </w:r>
      <w:r>
        <w:rPr>
          <w:rFonts w:hint="eastAsia"/>
          <w:bCs/>
        </w:rPr>
        <w:t>、</w:t>
      </w:r>
      <w:r>
        <w:rPr>
          <w:bCs/>
        </w:rPr>
        <w:t>部分延期赎回或暂停赎回。</w:t>
      </w:r>
    </w:p>
    <w:p w14:paraId="6A3C7E7F">
      <w:pPr>
        <w:pStyle w:val="39"/>
        <w:numPr>
          <w:ilvl w:val="1"/>
          <w:numId w:val="11"/>
        </w:numPr>
        <w:spacing w:line="360" w:lineRule="auto"/>
        <w:ind w:left="0" w:firstLine="480"/>
        <w:rPr>
          <w:bCs/>
        </w:rPr>
      </w:pPr>
      <w:r>
        <w:rPr>
          <w:bCs/>
        </w:rPr>
        <w:t>全额赎回：当基金管理人认为有能力支付投资者的全部赎回申请时，按正常赎回程序执行。</w:t>
      </w:r>
    </w:p>
    <w:p w14:paraId="2DCDD0AA">
      <w:pPr>
        <w:pStyle w:val="39"/>
        <w:numPr>
          <w:ilvl w:val="1"/>
          <w:numId w:val="11"/>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4BCACD45">
      <w:pPr>
        <w:spacing w:line="360" w:lineRule="auto"/>
        <w:ind w:firstLine="480" w:firstLineChars="20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3E319CCB">
      <w:pPr>
        <w:pStyle w:val="39"/>
        <w:numPr>
          <w:ilvl w:val="1"/>
          <w:numId w:val="11"/>
        </w:numPr>
        <w:spacing w:line="360" w:lineRule="auto"/>
        <w:ind w:left="0" w:firstLine="480"/>
        <w:rPr>
          <w:bCs/>
        </w:rPr>
      </w:pPr>
      <w:r>
        <w:rPr>
          <w:bCs/>
        </w:rPr>
        <w:t>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1058F197">
      <w:pPr>
        <w:spacing w:line="360" w:lineRule="auto"/>
        <w:ind w:firstLine="480" w:firstLineChars="200"/>
        <w:rPr>
          <w:bCs/>
        </w:rPr>
      </w:pPr>
      <w:r>
        <w:rPr>
          <w:bCs/>
        </w:rPr>
        <w:t>3</w:t>
      </w:r>
      <w:r>
        <w:rPr>
          <w:rFonts w:hint="eastAsia"/>
          <w:bCs/>
        </w:rPr>
        <w:t>、</w:t>
      </w:r>
      <w:r>
        <w:rPr>
          <w:bCs/>
        </w:rPr>
        <w:t>巨额赎回的公告</w:t>
      </w:r>
    </w:p>
    <w:p w14:paraId="3F38D92A">
      <w:pPr>
        <w:spacing w:line="360" w:lineRule="auto"/>
        <w:ind w:firstLine="480" w:firstLineChars="20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并在2日内</w:t>
      </w:r>
      <w:r>
        <w:rPr>
          <w:bCs/>
        </w:rPr>
        <w:t>在规定媒介上刊登公告。</w:t>
      </w:r>
    </w:p>
    <w:p w14:paraId="02EFF9A7">
      <w:pPr>
        <w:pStyle w:val="39"/>
        <w:numPr>
          <w:ilvl w:val="0"/>
          <w:numId w:val="7"/>
        </w:numPr>
        <w:spacing w:line="360" w:lineRule="auto"/>
        <w:ind w:left="0" w:firstLine="480"/>
        <w:rPr>
          <w:bCs/>
        </w:rPr>
      </w:pPr>
      <w:r>
        <w:rPr>
          <w:bCs/>
        </w:rPr>
        <w:t>暂停申购或赎回的公告和重新开放申购或赎回的公告</w:t>
      </w:r>
    </w:p>
    <w:p w14:paraId="4B492388">
      <w:pPr>
        <w:spacing w:line="360" w:lineRule="auto"/>
        <w:ind w:firstLine="480" w:firstLineChars="200"/>
        <w:rPr>
          <w:bCs/>
        </w:rPr>
      </w:pPr>
      <w:r>
        <w:rPr>
          <w:bCs/>
        </w:rPr>
        <w:t>1</w:t>
      </w:r>
      <w:r>
        <w:rPr>
          <w:rFonts w:hint="eastAsia"/>
          <w:bCs/>
        </w:rPr>
        <w:t>、</w:t>
      </w:r>
      <w:r>
        <w:rPr>
          <w:bCs/>
        </w:rPr>
        <w:t>发生上述暂停申购或赎回情况的，基金管理人应在规定期限内在规定媒介上刊登暂停公告。</w:t>
      </w:r>
    </w:p>
    <w:p w14:paraId="4FE4E429">
      <w:pPr>
        <w:spacing w:line="360" w:lineRule="auto"/>
        <w:ind w:firstLine="480" w:firstLineChars="20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B11DBE1">
      <w:pPr>
        <w:pStyle w:val="39"/>
        <w:numPr>
          <w:ilvl w:val="0"/>
          <w:numId w:val="7"/>
        </w:numPr>
        <w:spacing w:line="360" w:lineRule="auto"/>
        <w:ind w:left="0" w:firstLine="480"/>
        <w:rPr>
          <w:bCs/>
        </w:rPr>
      </w:pPr>
      <w:r>
        <w:rPr>
          <w:bCs/>
        </w:rPr>
        <w:t>基金转换</w:t>
      </w:r>
    </w:p>
    <w:p w14:paraId="172CF832">
      <w:pPr>
        <w:spacing w:line="360" w:lineRule="auto"/>
        <w:ind w:firstLine="480" w:firstLineChars="200"/>
        <w:rPr>
          <w:bCs/>
        </w:rPr>
      </w:pPr>
      <w:r>
        <w:rPr>
          <w:bCs/>
        </w:rPr>
        <w:t>基金管理人可以根据相关法律法规以及本基金合同的规定决定开办</w:t>
      </w:r>
      <w:r>
        <w:rPr>
          <w:rFonts w:hint="eastAsia"/>
          <w:bCs/>
        </w:rPr>
        <w:t>基金</w:t>
      </w:r>
      <w:r>
        <w:rPr>
          <w:bCs/>
        </w:rPr>
        <w:t>转换业务，基金转换可以收取一定的转换费，相关规则由基金管理人届时根据相关法律法规及本基金合同的规定制定并公告，并提前告知基金托管人与相关机构。</w:t>
      </w:r>
    </w:p>
    <w:p w14:paraId="333A4525">
      <w:pPr>
        <w:pStyle w:val="39"/>
        <w:numPr>
          <w:ilvl w:val="0"/>
          <w:numId w:val="7"/>
        </w:numPr>
        <w:spacing w:line="360" w:lineRule="auto"/>
        <w:ind w:left="0" w:firstLine="480"/>
        <w:rPr>
          <w:bCs/>
        </w:rPr>
      </w:pPr>
      <w:r>
        <w:rPr>
          <w:rFonts w:hint="eastAsia"/>
          <w:bCs/>
        </w:rPr>
        <w:t>基金份额的转让</w:t>
      </w:r>
    </w:p>
    <w:p w14:paraId="5D7B7202">
      <w:pPr>
        <w:spacing w:line="360" w:lineRule="auto"/>
        <w:ind w:firstLine="480" w:firstLineChars="20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3D1A133">
      <w:pPr>
        <w:pStyle w:val="39"/>
        <w:numPr>
          <w:ilvl w:val="0"/>
          <w:numId w:val="7"/>
        </w:numPr>
        <w:spacing w:line="360" w:lineRule="auto"/>
        <w:ind w:left="0" w:firstLine="480"/>
        <w:rPr>
          <w:bCs/>
        </w:rPr>
      </w:pPr>
      <w:r>
        <w:rPr>
          <w:bCs/>
        </w:rPr>
        <w:t>基金的非交易过户</w:t>
      </w:r>
    </w:p>
    <w:p w14:paraId="7C21FFA2">
      <w:pPr>
        <w:spacing w:line="360" w:lineRule="auto"/>
        <w:ind w:firstLine="480" w:firstLineChars="20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3F58EF73">
      <w:pPr>
        <w:spacing w:line="360" w:lineRule="auto"/>
        <w:ind w:firstLine="480" w:firstLineChars="200"/>
        <w:rPr>
          <w:bCs/>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1E6E385">
      <w:pPr>
        <w:pStyle w:val="39"/>
        <w:numPr>
          <w:ilvl w:val="0"/>
          <w:numId w:val="7"/>
        </w:numPr>
        <w:spacing w:line="360" w:lineRule="auto"/>
        <w:ind w:left="0" w:firstLine="480"/>
        <w:rPr>
          <w:bCs/>
        </w:rPr>
      </w:pPr>
      <w:r>
        <w:rPr>
          <w:bCs/>
        </w:rPr>
        <w:t>基金的转托管</w:t>
      </w:r>
    </w:p>
    <w:p w14:paraId="21B34FDE">
      <w:pPr>
        <w:spacing w:line="360" w:lineRule="auto"/>
        <w:ind w:firstLine="480" w:firstLineChars="200"/>
        <w:rPr>
          <w:bCs/>
        </w:rPr>
      </w:pPr>
      <w:r>
        <w:rPr>
          <w:bCs/>
        </w:rPr>
        <w:t>基金份额持有人可办理已持有基金份额在不同销售机构之间的转托管，基金销售机构可以按照规定的标准收取转托管费。</w:t>
      </w:r>
    </w:p>
    <w:p w14:paraId="770BB65C">
      <w:pPr>
        <w:pStyle w:val="39"/>
        <w:numPr>
          <w:ilvl w:val="0"/>
          <w:numId w:val="7"/>
        </w:numPr>
        <w:spacing w:line="360" w:lineRule="auto"/>
        <w:ind w:left="0" w:firstLine="480"/>
        <w:rPr>
          <w:bCs/>
        </w:rPr>
      </w:pPr>
      <w:r>
        <w:rPr>
          <w:bCs/>
        </w:rPr>
        <w:t>定期定额投资计划</w:t>
      </w:r>
    </w:p>
    <w:p w14:paraId="175FE8E7">
      <w:pPr>
        <w:spacing w:line="360" w:lineRule="auto"/>
        <w:ind w:firstLine="480" w:firstLineChars="20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55769499">
      <w:pPr>
        <w:pStyle w:val="39"/>
        <w:numPr>
          <w:ilvl w:val="0"/>
          <w:numId w:val="7"/>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412F91A4">
      <w:pPr>
        <w:spacing w:line="360" w:lineRule="auto"/>
        <w:ind w:firstLine="480" w:firstLineChars="200"/>
        <w:rPr>
          <w:bCs/>
        </w:rPr>
      </w:pPr>
      <w:r>
        <w:rPr>
          <w:bCs/>
        </w:rPr>
        <w:t>基金登记机构只受理国家有权机关依法要求的基金份额的冻结与解冻，以及登记机构认可、符合法律法规的其他情况下的冻结与解冻。</w:t>
      </w:r>
    </w:p>
    <w:p w14:paraId="58F3152C">
      <w:pPr>
        <w:spacing w:line="360" w:lineRule="auto"/>
        <w:ind w:firstLine="480" w:firstLineChars="200"/>
        <w:rPr>
          <w:bCs/>
        </w:rPr>
      </w:pPr>
      <w:r>
        <w:rPr>
          <w:rFonts w:hint="eastAsia"/>
          <w:bCs/>
        </w:rPr>
        <w:t>基金账户或基金份额被冻结的，被冻结部分产生的权益一并冻结，被冻结部分份额仍然参与收益分配与支付。法律法规或监管部门另有规定的除外。</w:t>
      </w:r>
    </w:p>
    <w:p w14:paraId="0080159A">
      <w:pPr>
        <w:spacing w:line="360" w:lineRule="auto"/>
        <w:ind w:firstLine="480" w:firstLineChars="200"/>
        <w:rPr>
          <w:bCs/>
        </w:rPr>
      </w:pPr>
      <w:r>
        <w:rPr>
          <w:rFonts w:hint="eastAsia"/>
          <w:bCs/>
        </w:rPr>
        <w:t>如相关法律法规允许基金管理人办理基金份额的质押业务或其他基金业务，基金管理人将制定和实施相应的业务规则，并可收取一定的手续费。</w:t>
      </w:r>
    </w:p>
    <w:p w14:paraId="4CC9558A">
      <w:pPr>
        <w:pStyle w:val="39"/>
        <w:numPr>
          <w:ilvl w:val="0"/>
          <w:numId w:val="7"/>
        </w:numPr>
        <w:spacing w:line="360" w:lineRule="auto"/>
        <w:ind w:left="0" w:firstLine="480"/>
        <w:rPr>
          <w:bCs/>
        </w:rPr>
      </w:pPr>
      <w:r>
        <w:rPr>
          <w:rFonts w:hint="eastAsia"/>
          <w:bCs/>
        </w:rPr>
        <w:t>实施侧袋机制期间本基金的申购与赎回</w:t>
      </w:r>
    </w:p>
    <w:p w14:paraId="62E3697F">
      <w:pPr>
        <w:spacing w:line="360" w:lineRule="auto"/>
        <w:ind w:firstLine="480" w:firstLineChars="200"/>
        <w:rPr>
          <w:bCs/>
        </w:rPr>
      </w:pPr>
      <w:r>
        <w:rPr>
          <w:rFonts w:hint="eastAsia"/>
          <w:bCs/>
        </w:rPr>
        <w:t>本基金实施侧袋机制的，本基金的申购和赎回安排详见招募说明书或相关公告。</w:t>
      </w:r>
    </w:p>
    <w:p w14:paraId="495314B0"/>
    <w:p w14:paraId="134D7ED4">
      <w:pPr>
        <w:widowControl/>
        <w:spacing w:line="240" w:lineRule="auto"/>
        <w:jc w:val="left"/>
        <w:rPr>
          <w:b/>
          <w:bCs/>
          <w:kern w:val="0"/>
          <w:sz w:val="30"/>
          <w:szCs w:val="20"/>
        </w:rPr>
      </w:pPr>
      <w:bookmarkStart w:id="46" w:name="_Toc401668935"/>
      <w:r>
        <w:rPr>
          <w:kern w:val="0"/>
          <w:sz w:val="30"/>
          <w:szCs w:val="20"/>
        </w:rPr>
        <w:br w:type="page"/>
      </w:r>
    </w:p>
    <w:p w14:paraId="1F074B28">
      <w:pPr>
        <w:pStyle w:val="2"/>
      </w:pPr>
      <w:bookmarkStart w:id="47" w:name="_Toc218514487"/>
      <w:r>
        <w:rPr>
          <w:rFonts w:hint="eastAsia"/>
        </w:rPr>
        <w:t>基金合同当事人及权利义务</w:t>
      </w:r>
      <w:bookmarkEnd w:id="46"/>
      <w:bookmarkEnd w:id="47"/>
    </w:p>
    <w:p w14:paraId="75DB0396"/>
    <w:p w14:paraId="6E258B53">
      <w:pPr>
        <w:spacing w:line="360" w:lineRule="auto"/>
        <w:ind w:firstLine="480" w:firstLineChars="200"/>
        <w:rPr>
          <w:bCs/>
        </w:rPr>
      </w:pPr>
      <w:bookmarkStart w:id="48" w:name="_Toc523711668"/>
      <w:bookmarkStart w:id="49" w:name="_Toc57530239"/>
      <w:bookmarkStart w:id="50" w:name="_Toc15118234"/>
      <w:bookmarkStart w:id="51" w:name="_Toc79392580"/>
      <w:r>
        <w:rPr>
          <w:bCs/>
        </w:rPr>
        <w:t>一、基金</w:t>
      </w:r>
      <w:bookmarkEnd w:id="48"/>
      <w:r>
        <w:rPr>
          <w:bCs/>
        </w:rPr>
        <w:t>管理人</w:t>
      </w:r>
      <w:bookmarkEnd w:id="49"/>
      <w:bookmarkEnd w:id="50"/>
      <w:bookmarkEnd w:id="51"/>
    </w:p>
    <w:p w14:paraId="315ED67B">
      <w:pPr>
        <w:spacing w:line="360" w:lineRule="auto"/>
        <w:ind w:firstLine="480" w:firstLineChars="200"/>
        <w:rPr>
          <w:bCs/>
        </w:rPr>
      </w:pPr>
      <w:bookmarkStart w:id="52" w:name="_Toc15118235"/>
      <w:r>
        <w:rPr>
          <w:bCs/>
        </w:rPr>
        <w:t>（一）基金管理人简况</w:t>
      </w:r>
      <w:bookmarkEnd w:id="52"/>
    </w:p>
    <w:p w14:paraId="1E56F2BE">
      <w:pPr>
        <w:spacing w:line="360" w:lineRule="auto"/>
        <w:ind w:firstLine="480" w:firstLineChars="200"/>
        <w:rPr>
          <w:bCs/>
        </w:rPr>
      </w:pPr>
      <w:bookmarkStart w:id="53" w:name="_Toc15118236"/>
      <w:bookmarkStart w:id="54" w:name="_Toc15118237"/>
      <w:r>
        <w:rPr>
          <w:bCs/>
        </w:rPr>
        <w:t>名称：</w:t>
      </w:r>
      <w:bookmarkEnd w:id="53"/>
      <w:r>
        <w:rPr>
          <w:rFonts w:hint="eastAsia"/>
          <w:bCs/>
        </w:rPr>
        <w:t>富国基金管理有限公司</w:t>
      </w:r>
    </w:p>
    <w:p w14:paraId="08AB367F">
      <w:pPr>
        <w:spacing w:line="360" w:lineRule="auto"/>
        <w:ind w:firstLine="480" w:firstLineChars="200"/>
        <w:rPr>
          <w:bCs/>
        </w:rPr>
      </w:pPr>
      <w:r>
        <w:rPr>
          <w:bCs/>
        </w:rPr>
        <w:t>住所：</w:t>
      </w:r>
      <w:r>
        <w:rPr>
          <w:rFonts w:hint="eastAsia"/>
          <w:bCs/>
        </w:rPr>
        <w:t>中国（上海）自由贸易试验区世纪大道1196号世纪汇办公楼二座27-30层</w:t>
      </w:r>
    </w:p>
    <w:p w14:paraId="2B5666F4">
      <w:pPr>
        <w:spacing w:line="360" w:lineRule="auto"/>
        <w:ind w:firstLine="480" w:firstLineChars="200"/>
        <w:rPr>
          <w:bCs/>
        </w:rPr>
      </w:pPr>
      <w:r>
        <w:rPr>
          <w:bCs/>
        </w:rPr>
        <w:t>法定代表人：</w:t>
      </w:r>
      <w:r>
        <w:rPr>
          <w:rFonts w:hint="eastAsia"/>
          <w:bCs/>
        </w:rPr>
        <w:t>裴长江</w:t>
      </w:r>
    </w:p>
    <w:p w14:paraId="2CB856B0">
      <w:pPr>
        <w:spacing w:line="360" w:lineRule="auto"/>
        <w:ind w:firstLine="480" w:firstLineChars="200"/>
        <w:rPr>
          <w:bCs/>
        </w:rPr>
      </w:pPr>
      <w:r>
        <w:rPr>
          <w:bCs/>
        </w:rPr>
        <w:t>设立日期：</w:t>
      </w:r>
      <w:r>
        <w:rPr>
          <w:rFonts w:hint="eastAsia"/>
          <w:bCs/>
        </w:rPr>
        <w:t>1999年4月13日</w:t>
      </w:r>
    </w:p>
    <w:p w14:paraId="36E272AF">
      <w:pPr>
        <w:spacing w:line="360" w:lineRule="auto"/>
        <w:ind w:firstLine="480" w:firstLineChars="200"/>
        <w:rPr>
          <w:bCs/>
        </w:rPr>
      </w:pPr>
      <w:r>
        <w:rPr>
          <w:bCs/>
        </w:rPr>
        <w:t>批准设立机关及批准设立文号：</w:t>
      </w:r>
      <w:r>
        <w:rPr>
          <w:rFonts w:hint="eastAsia"/>
          <w:bCs/>
        </w:rPr>
        <w:t>中国证券监督管理委员会证监基金字【1999】11号</w:t>
      </w:r>
    </w:p>
    <w:p w14:paraId="285667C3">
      <w:pPr>
        <w:spacing w:line="360" w:lineRule="auto"/>
        <w:ind w:firstLine="480" w:firstLineChars="200"/>
        <w:rPr>
          <w:bCs/>
        </w:rPr>
      </w:pPr>
      <w:r>
        <w:rPr>
          <w:bCs/>
        </w:rPr>
        <w:t>组织形式：</w:t>
      </w:r>
      <w:r>
        <w:rPr>
          <w:rFonts w:hint="eastAsia"/>
          <w:bCs/>
        </w:rPr>
        <w:t>有限责任公司</w:t>
      </w:r>
    </w:p>
    <w:p w14:paraId="15D7628F">
      <w:pPr>
        <w:spacing w:line="360" w:lineRule="auto"/>
        <w:ind w:firstLine="480" w:firstLineChars="200"/>
        <w:rPr>
          <w:bCs/>
        </w:rPr>
      </w:pPr>
      <w:r>
        <w:rPr>
          <w:bCs/>
        </w:rPr>
        <w:t>注册资本：</w:t>
      </w:r>
      <w:r>
        <w:rPr>
          <w:rFonts w:hint="eastAsia"/>
          <w:bCs/>
        </w:rPr>
        <w:t>人民币5.2亿元</w:t>
      </w:r>
    </w:p>
    <w:p w14:paraId="02ECBCB4">
      <w:pPr>
        <w:spacing w:line="360" w:lineRule="auto"/>
        <w:ind w:firstLine="480" w:firstLineChars="200"/>
        <w:rPr>
          <w:bCs/>
        </w:rPr>
      </w:pPr>
      <w:r>
        <w:rPr>
          <w:bCs/>
        </w:rPr>
        <w:t>存续期限：</w:t>
      </w:r>
      <w:r>
        <w:rPr>
          <w:rFonts w:hint="eastAsia"/>
          <w:bCs/>
        </w:rPr>
        <w:t>持续经营</w:t>
      </w:r>
    </w:p>
    <w:p w14:paraId="4F0FF412">
      <w:pPr>
        <w:spacing w:line="360" w:lineRule="auto"/>
        <w:ind w:firstLine="480" w:firstLineChars="200"/>
        <w:rPr>
          <w:bCs/>
        </w:rPr>
      </w:pPr>
      <w:r>
        <w:rPr>
          <w:bCs/>
        </w:rPr>
        <w:t>联系电话：021-20361818</w:t>
      </w:r>
    </w:p>
    <w:p w14:paraId="3213369A">
      <w:pPr>
        <w:spacing w:line="360" w:lineRule="auto"/>
        <w:ind w:firstLine="480" w:firstLineChars="200"/>
        <w:rPr>
          <w:bCs/>
        </w:rPr>
      </w:pPr>
      <w:r>
        <w:rPr>
          <w:bCs/>
        </w:rPr>
        <w:t>（二）基金管理人的权利与义务</w:t>
      </w:r>
      <w:bookmarkEnd w:id="54"/>
    </w:p>
    <w:p w14:paraId="2622772E">
      <w:pPr>
        <w:spacing w:line="360" w:lineRule="auto"/>
        <w:ind w:firstLine="480" w:firstLineChars="200"/>
        <w:rPr>
          <w:bCs/>
        </w:rPr>
      </w:pPr>
      <w:r>
        <w:rPr>
          <w:bCs/>
        </w:rPr>
        <w:t>1、根据《基金法》、《运作办法》及其他有关规定，基金管理人的权利包括但不限于：</w:t>
      </w:r>
    </w:p>
    <w:p w14:paraId="1342F342">
      <w:pPr>
        <w:spacing w:line="360" w:lineRule="auto"/>
        <w:ind w:firstLine="480" w:firstLineChars="200"/>
        <w:rPr>
          <w:bCs/>
        </w:rPr>
      </w:pPr>
      <w:r>
        <w:rPr>
          <w:bCs/>
        </w:rPr>
        <w:t>（1）依法募集</w:t>
      </w:r>
      <w:r>
        <w:rPr>
          <w:rFonts w:hint="eastAsia"/>
          <w:bCs/>
        </w:rPr>
        <w:t>资</w:t>
      </w:r>
      <w:r>
        <w:rPr>
          <w:bCs/>
        </w:rPr>
        <w:t>金；</w:t>
      </w:r>
    </w:p>
    <w:p w14:paraId="0A7AF2C3">
      <w:pPr>
        <w:spacing w:line="360" w:lineRule="auto"/>
        <w:ind w:firstLine="480" w:firstLineChars="200"/>
        <w:rPr>
          <w:bCs/>
        </w:rPr>
      </w:pPr>
      <w:r>
        <w:rPr>
          <w:bCs/>
        </w:rPr>
        <w:t>（2）自基金合同生效之日起，根据法律法规和基金合同独立运用并管理基金财产；</w:t>
      </w:r>
    </w:p>
    <w:p w14:paraId="29BFD6C4">
      <w:pPr>
        <w:spacing w:line="360" w:lineRule="auto"/>
        <w:ind w:firstLine="480" w:firstLineChars="200"/>
        <w:rPr>
          <w:bCs/>
        </w:rPr>
      </w:pPr>
      <w:r>
        <w:rPr>
          <w:bCs/>
        </w:rPr>
        <w:t>（3）依照基金合同收取基金管理费以及法律法规规定或中国证监会批准的其他费用；</w:t>
      </w:r>
    </w:p>
    <w:p w14:paraId="3F9EF252">
      <w:pPr>
        <w:spacing w:line="360" w:lineRule="auto"/>
        <w:ind w:firstLine="480" w:firstLineChars="200"/>
        <w:rPr>
          <w:bCs/>
        </w:rPr>
      </w:pPr>
      <w:r>
        <w:rPr>
          <w:bCs/>
        </w:rPr>
        <w:t>（4）销售基金份额；</w:t>
      </w:r>
    </w:p>
    <w:p w14:paraId="4FC31AD1">
      <w:pPr>
        <w:spacing w:line="360" w:lineRule="auto"/>
        <w:ind w:firstLine="480" w:firstLineChars="200"/>
        <w:rPr>
          <w:bCs/>
        </w:rPr>
      </w:pPr>
      <w:r>
        <w:rPr>
          <w:bCs/>
        </w:rPr>
        <w:t>（5）</w:t>
      </w:r>
      <w:bookmarkStart w:id="55" w:name="_Hlt88896155"/>
      <w:r>
        <w:rPr>
          <w:rFonts w:hint="eastAsia"/>
          <w:bCs/>
        </w:rPr>
        <w:t>按照规定</w:t>
      </w:r>
      <w:r>
        <w:rPr>
          <w:bCs/>
        </w:rPr>
        <w:t>召集</w:t>
      </w:r>
      <w:bookmarkEnd w:id="55"/>
      <w:r>
        <w:rPr>
          <w:bCs/>
        </w:rPr>
        <w:t>基金份额持有人大会；</w:t>
      </w:r>
    </w:p>
    <w:p w14:paraId="0AE89467">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1791EA0B">
      <w:pPr>
        <w:spacing w:line="360" w:lineRule="auto"/>
        <w:ind w:firstLine="480" w:firstLineChars="200"/>
        <w:rPr>
          <w:bCs/>
        </w:rPr>
      </w:pPr>
      <w:r>
        <w:rPr>
          <w:bCs/>
        </w:rPr>
        <w:t>（7）在基金托管人更换时，提名新的基金托管人；</w:t>
      </w:r>
    </w:p>
    <w:p w14:paraId="53CC6B6E">
      <w:pPr>
        <w:spacing w:line="440" w:lineRule="atLeast"/>
        <w:ind w:firstLine="480" w:firstLineChars="200"/>
        <w:rPr>
          <w:bCs/>
        </w:rPr>
      </w:pPr>
      <w:r>
        <w:rPr>
          <w:bCs/>
        </w:rPr>
        <w:t>（8）选择、更换基金销售机构，对基金销售机构的相关行为进行监督和处理；</w:t>
      </w:r>
    </w:p>
    <w:p w14:paraId="64424715">
      <w:pPr>
        <w:spacing w:line="440" w:lineRule="atLeast"/>
        <w:ind w:firstLine="480" w:firstLineChars="200"/>
        <w:rPr>
          <w:bCs/>
        </w:rPr>
      </w:pPr>
      <w:r>
        <w:rPr>
          <w:bCs/>
        </w:rPr>
        <w:t>（9）担任或委托其他符合条件的机构担任基金登记机构办理基金登记业务并获得基金合同规定的费用；</w:t>
      </w:r>
    </w:p>
    <w:p w14:paraId="5DADCE96">
      <w:pPr>
        <w:spacing w:line="440" w:lineRule="atLeast"/>
        <w:ind w:firstLine="480" w:firstLineChars="200"/>
        <w:rPr>
          <w:bCs/>
        </w:rPr>
      </w:pPr>
      <w:r>
        <w:rPr>
          <w:bCs/>
        </w:rPr>
        <w:t>（10）依据基金合同及有关法律规定决定基金收益的分配方案；</w:t>
      </w:r>
    </w:p>
    <w:p w14:paraId="6FDB4826">
      <w:pPr>
        <w:spacing w:line="440" w:lineRule="atLeast"/>
        <w:ind w:firstLine="480" w:firstLineChars="200"/>
        <w:rPr>
          <w:bCs/>
        </w:rPr>
      </w:pPr>
      <w:r>
        <w:rPr>
          <w:bCs/>
        </w:rPr>
        <w:t>（11）在基金合同约定的范围内，拒绝或暂停受理申购</w:t>
      </w:r>
      <w:r>
        <w:rPr>
          <w:rFonts w:hint="eastAsia"/>
          <w:bCs/>
        </w:rPr>
        <w:t>、</w:t>
      </w:r>
      <w:r>
        <w:rPr>
          <w:bCs/>
        </w:rPr>
        <w:t>赎回</w:t>
      </w:r>
      <w:r>
        <w:rPr>
          <w:rFonts w:hint="eastAsia"/>
          <w:bCs/>
        </w:rPr>
        <w:t>或转换</w:t>
      </w:r>
      <w:r>
        <w:rPr>
          <w:bCs/>
        </w:rPr>
        <w:t>申请；</w:t>
      </w:r>
    </w:p>
    <w:p w14:paraId="4A6BDD14">
      <w:pPr>
        <w:spacing w:line="440" w:lineRule="atLeast"/>
        <w:ind w:firstLine="480" w:firstLineChars="200"/>
        <w:rPr>
          <w:bCs/>
        </w:rPr>
      </w:pPr>
      <w:r>
        <w:rPr>
          <w:bCs/>
        </w:rPr>
        <w:t>（12）依照法律法规为基金的利益对被投资公司行使股东权利，为基金的利益行使因基金财产投资于证券</w:t>
      </w:r>
      <w:r>
        <w:rPr>
          <w:rFonts w:hint="eastAsia"/>
          <w:bCs/>
        </w:rPr>
        <w:t>、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p>
    <w:p w14:paraId="270D2B19">
      <w:pPr>
        <w:spacing w:line="440" w:lineRule="atLeast"/>
        <w:ind w:firstLine="480" w:firstLineChars="200"/>
        <w:rPr>
          <w:bCs/>
        </w:rPr>
      </w:pPr>
      <w:r>
        <w:rPr>
          <w:bCs/>
        </w:rPr>
        <w:t>（13）在法律法规允许的前提下，为基金的利益依法为基金进行融资；</w:t>
      </w:r>
    </w:p>
    <w:p w14:paraId="3F3B27F6">
      <w:pPr>
        <w:spacing w:line="440" w:lineRule="atLeast"/>
        <w:ind w:firstLine="480" w:firstLineChars="200"/>
        <w:rPr>
          <w:bCs/>
        </w:rPr>
      </w:pPr>
      <w:r>
        <w:rPr>
          <w:bCs/>
        </w:rPr>
        <w:t>（14）以基金管理人的名义，代表基金份额持有人的利益行使诉讼权利或者实施其他法律行为；</w:t>
      </w:r>
    </w:p>
    <w:p w14:paraId="5B78E5F4">
      <w:pPr>
        <w:spacing w:line="440" w:lineRule="atLeast"/>
        <w:ind w:firstLine="480" w:firstLineChars="200"/>
        <w:rPr>
          <w:bCs/>
        </w:rPr>
      </w:pPr>
      <w:r>
        <w:rPr>
          <w:bCs/>
        </w:rPr>
        <w:t>（15）选择、更换律师事务所、会计师事务所、证券</w:t>
      </w:r>
      <w:r>
        <w:rPr>
          <w:rFonts w:hint="eastAsia"/>
          <w:bCs/>
        </w:rPr>
        <w:t>、期货</w:t>
      </w:r>
      <w:r>
        <w:rPr>
          <w:bCs/>
        </w:rPr>
        <w:t>经纪</w:t>
      </w:r>
      <w:r>
        <w:rPr>
          <w:rFonts w:hint="eastAsia"/>
          <w:bCs/>
        </w:rPr>
        <w:t>机构</w:t>
      </w:r>
      <w:r>
        <w:rPr>
          <w:bCs/>
        </w:rPr>
        <w:t>或其他为基金提供服务的外部机构；</w:t>
      </w:r>
      <w:r>
        <w:rPr>
          <w:rFonts w:hint="eastAsia"/>
          <w:bCs/>
        </w:rPr>
        <w:t xml:space="preserve"> </w:t>
      </w:r>
    </w:p>
    <w:p w14:paraId="2B635D65">
      <w:pPr>
        <w:spacing w:line="440" w:lineRule="atLeast"/>
        <w:ind w:firstLine="480" w:firstLineChars="200"/>
        <w:rPr>
          <w:bCs/>
        </w:rPr>
      </w:pPr>
      <w:r>
        <w:rPr>
          <w:bCs/>
        </w:rPr>
        <w:t>（16）在符合有关法律、法规的前提下，制订和调整有关基金认购、申购、赎回、转换</w:t>
      </w:r>
      <w:r>
        <w:rPr>
          <w:rFonts w:hint="eastAsia"/>
          <w:bCs/>
        </w:rPr>
        <w:t>、</w:t>
      </w:r>
      <w:r>
        <w:rPr>
          <w:bCs/>
        </w:rPr>
        <w:t>非交易过户</w:t>
      </w:r>
      <w:r>
        <w:rPr>
          <w:rFonts w:hint="eastAsia"/>
          <w:bCs/>
        </w:rPr>
        <w:t>、转托管、定期定额投资、收益分配等</w:t>
      </w:r>
      <w:r>
        <w:rPr>
          <w:bCs/>
        </w:rPr>
        <w:t>业务规则；</w:t>
      </w:r>
    </w:p>
    <w:p w14:paraId="1E02B726">
      <w:pPr>
        <w:spacing w:line="440" w:lineRule="atLeast"/>
        <w:ind w:firstLine="480" w:firstLineChars="200"/>
        <w:rPr>
          <w:bCs/>
        </w:rPr>
      </w:pPr>
      <w:r>
        <w:rPr>
          <w:bCs/>
        </w:rPr>
        <w:t>（17）法律法规及中国证监会规定的和基金合同约定的其他权利。</w:t>
      </w:r>
    </w:p>
    <w:p w14:paraId="6938DCE8">
      <w:pPr>
        <w:spacing w:line="440" w:lineRule="atLeast"/>
        <w:ind w:firstLine="480" w:firstLineChars="200"/>
        <w:rPr>
          <w:bCs/>
        </w:rPr>
      </w:pPr>
      <w:r>
        <w:rPr>
          <w:bCs/>
        </w:rPr>
        <w:t>2、根据《基金法》、《运作办法》及其他有关规定，基金管理人的义务包括但不限于：</w:t>
      </w:r>
    </w:p>
    <w:p w14:paraId="457FA1A6">
      <w:pPr>
        <w:spacing w:line="440" w:lineRule="atLeast"/>
        <w:ind w:firstLine="480" w:firstLineChars="200"/>
        <w:rPr>
          <w:bCs/>
        </w:rPr>
      </w:pPr>
      <w:bookmarkStart w:id="56" w:name="_Toc523711669"/>
      <w:r>
        <w:rPr>
          <w:bCs/>
        </w:rPr>
        <w:t>（1）依法募集</w:t>
      </w:r>
      <w:r>
        <w:rPr>
          <w:rFonts w:hint="eastAsia"/>
          <w:bCs/>
        </w:rPr>
        <w:t>资</w:t>
      </w:r>
      <w:r>
        <w:rPr>
          <w:bCs/>
        </w:rPr>
        <w:t>金，办理或者委托经中国证监会认定的其他机构代为办理基金份额的发售、申购、赎回和登记事宜；</w:t>
      </w:r>
    </w:p>
    <w:p w14:paraId="4C693053">
      <w:pPr>
        <w:spacing w:line="440" w:lineRule="atLeast"/>
        <w:ind w:firstLine="480" w:firstLineChars="200"/>
        <w:rPr>
          <w:bCs/>
        </w:rPr>
      </w:pPr>
      <w:r>
        <w:rPr>
          <w:bCs/>
        </w:rPr>
        <w:t>（2）办理基金备案手续；</w:t>
      </w:r>
    </w:p>
    <w:p w14:paraId="7A6FC3E1">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2CBA85E0">
      <w:pPr>
        <w:spacing w:line="440" w:lineRule="atLeast"/>
        <w:ind w:firstLine="480" w:firstLineChars="200"/>
        <w:rPr>
          <w:bCs/>
        </w:rPr>
      </w:pPr>
      <w:r>
        <w:rPr>
          <w:bCs/>
        </w:rPr>
        <w:t>（4）配备足够的具有专业资格的人员进行基金投资分析、决策，以专业化的经营方式管理和运作基金财产；</w:t>
      </w:r>
    </w:p>
    <w:p w14:paraId="0AAEB506">
      <w:pPr>
        <w:spacing w:line="440" w:lineRule="atLeast"/>
        <w:ind w:firstLine="480" w:firstLineChars="200"/>
        <w:rPr>
          <w:bCs/>
        </w:rPr>
      </w:pPr>
      <w:r>
        <w:rPr>
          <w:bCs/>
        </w:rPr>
        <w:t>（5）建立健全内部风险控制、监察与稽核、财务管理及人事管理等制度，保证所管理的基金财产和基金管理人的财产相互独立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w:t>
      </w:r>
      <w:r>
        <w:rPr>
          <w:rFonts w:hint="eastAsia"/>
          <w:bCs/>
        </w:rPr>
        <w:t>、基金</w:t>
      </w:r>
      <w:r>
        <w:rPr>
          <w:bCs/>
        </w:rPr>
        <w:t>投资；</w:t>
      </w:r>
    </w:p>
    <w:p w14:paraId="6B636811">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bookmarkStart w:id="57" w:name="_Hlt88897298"/>
      <w:bookmarkEnd w:id="57"/>
    </w:p>
    <w:p w14:paraId="5F9C398D">
      <w:pPr>
        <w:spacing w:line="360" w:lineRule="auto"/>
        <w:ind w:firstLine="480" w:firstLineChars="200"/>
        <w:rPr>
          <w:bCs/>
        </w:rPr>
      </w:pPr>
      <w:r>
        <w:rPr>
          <w:bCs/>
        </w:rPr>
        <w:t>（7）依法接受基金托管人的监督；</w:t>
      </w:r>
    </w:p>
    <w:p w14:paraId="0758CD4A">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74C8350B">
      <w:pPr>
        <w:spacing w:line="360" w:lineRule="auto"/>
        <w:ind w:firstLine="480" w:firstLineChars="200"/>
        <w:rPr>
          <w:bCs/>
        </w:rPr>
      </w:pPr>
      <w:r>
        <w:rPr>
          <w:bCs/>
        </w:rPr>
        <w:t>（9）进行基金会计核算并编制基金财务会计报告；</w:t>
      </w:r>
    </w:p>
    <w:p w14:paraId="3FA7EACC">
      <w:pPr>
        <w:spacing w:line="360" w:lineRule="auto"/>
        <w:ind w:firstLine="480" w:firstLineChars="200"/>
        <w:rPr>
          <w:bCs/>
        </w:rPr>
      </w:pPr>
      <w:r>
        <w:rPr>
          <w:bCs/>
        </w:rPr>
        <w:t>（10）编制季度报告、</w:t>
      </w:r>
      <w:r>
        <w:rPr>
          <w:rFonts w:hint="eastAsia"/>
          <w:bCs/>
        </w:rPr>
        <w:t>中期报告和年度报告</w:t>
      </w:r>
      <w:r>
        <w:rPr>
          <w:bCs/>
        </w:rPr>
        <w:t>；</w:t>
      </w:r>
    </w:p>
    <w:p w14:paraId="27E75B11">
      <w:pPr>
        <w:spacing w:line="360" w:lineRule="auto"/>
        <w:ind w:firstLine="480" w:firstLineChars="200"/>
        <w:rPr>
          <w:bCs/>
        </w:rPr>
      </w:pPr>
      <w:r>
        <w:rPr>
          <w:bCs/>
        </w:rPr>
        <w:t>（11）严格按照《基金法》、基金合同及其他有关规定，履行信息披露及报告义务；</w:t>
      </w:r>
    </w:p>
    <w:p w14:paraId="719D7589">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40B30B38">
      <w:pPr>
        <w:spacing w:line="360" w:lineRule="auto"/>
        <w:ind w:firstLine="480" w:firstLineChars="200"/>
        <w:rPr>
          <w:bCs/>
        </w:rPr>
      </w:pPr>
      <w:r>
        <w:rPr>
          <w:bCs/>
        </w:rPr>
        <w:t>（13）按基金合同的约定确定基金收益分配方案，及时向基金份额持有人分配基金收益；</w:t>
      </w:r>
    </w:p>
    <w:p w14:paraId="2FC24653">
      <w:pPr>
        <w:spacing w:line="360" w:lineRule="auto"/>
        <w:ind w:firstLine="480" w:firstLineChars="200"/>
        <w:rPr>
          <w:bCs/>
        </w:rPr>
      </w:pPr>
      <w:r>
        <w:rPr>
          <w:bCs/>
        </w:rPr>
        <w:t>（14）按规定受理申购与赎回申请，及时、足额支付赎回款项；</w:t>
      </w:r>
    </w:p>
    <w:p w14:paraId="4B10B5F8">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5B21C070">
      <w:pPr>
        <w:spacing w:line="360" w:lineRule="auto"/>
        <w:ind w:firstLine="480" w:firstLineChars="200"/>
        <w:rPr>
          <w:bCs/>
        </w:rPr>
      </w:pPr>
      <w:r>
        <w:rPr>
          <w:bCs/>
        </w:rPr>
        <w:t>（16）按规定保存基金财产管理业务活动的会计账册、报表、记录和其他相关资料</w:t>
      </w:r>
      <w:r>
        <w:rPr>
          <w:rFonts w:hint="eastAsia"/>
          <w:bCs/>
        </w:rPr>
        <w:t>，保存时间不低于法律法规的规定</w:t>
      </w:r>
      <w:r>
        <w:rPr>
          <w:bCs/>
        </w:rPr>
        <w:t>；</w:t>
      </w:r>
    </w:p>
    <w:p w14:paraId="38E05E42">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28CCE17">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3ECB001A">
      <w:pPr>
        <w:spacing w:line="360" w:lineRule="auto"/>
        <w:ind w:firstLine="480" w:firstLineChars="200"/>
        <w:rPr>
          <w:bCs/>
        </w:rPr>
      </w:pPr>
      <w:r>
        <w:rPr>
          <w:bCs/>
        </w:rPr>
        <w:t>（19）面临解散、依法被撤销或者被依法宣告破产时，及时报告中国证监会并通知基金托管人；</w:t>
      </w:r>
    </w:p>
    <w:p w14:paraId="0CCFC4AF">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19B91BE2">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6D6F6A51">
      <w:pPr>
        <w:spacing w:line="360" w:lineRule="auto"/>
        <w:ind w:firstLine="480" w:firstLineChars="200"/>
        <w:rPr>
          <w:bCs/>
        </w:rPr>
      </w:pPr>
      <w:r>
        <w:rPr>
          <w:bCs/>
        </w:rPr>
        <w:t>（22）当基金管理人将其义务委托第三方处理时，应当对第三方处理有关基金事务的行为承担责任；</w:t>
      </w:r>
    </w:p>
    <w:p w14:paraId="664E8EA0">
      <w:pPr>
        <w:spacing w:line="360" w:lineRule="auto"/>
        <w:ind w:firstLine="480" w:firstLineChars="200"/>
        <w:rPr>
          <w:bCs/>
        </w:rPr>
      </w:pPr>
      <w:r>
        <w:rPr>
          <w:bCs/>
        </w:rPr>
        <w:t>（23）以基金管理人名义，代表基金份额持有人利益行使诉讼权利或实施其他法律行为；</w:t>
      </w:r>
    </w:p>
    <w:p w14:paraId="6EC26ADC">
      <w:pPr>
        <w:spacing w:line="360" w:lineRule="auto"/>
        <w:ind w:firstLine="480" w:firstLineChars="200"/>
        <w:rPr>
          <w:bCs/>
        </w:rPr>
      </w:pPr>
      <w:r>
        <w:rPr>
          <w:bCs/>
        </w:rPr>
        <w:t>（24）基金管理人在募集期间未能达到基金</w:t>
      </w:r>
      <w:bookmarkStart w:id="58" w:name="_Hlt88823209"/>
      <w:bookmarkEnd w:id="58"/>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338A78DA">
      <w:pPr>
        <w:spacing w:line="360" w:lineRule="auto"/>
        <w:ind w:firstLine="480" w:firstLineChars="200"/>
        <w:rPr>
          <w:bCs/>
        </w:rPr>
      </w:pPr>
      <w:r>
        <w:rPr>
          <w:bCs/>
        </w:rPr>
        <w:t>（25）执行生效的基金份额持有人大会的</w:t>
      </w:r>
      <w:r>
        <w:rPr>
          <w:rFonts w:hint="eastAsia"/>
          <w:bCs/>
        </w:rPr>
        <w:t>决议</w:t>
      </w:r>
      <w:r>
        <w:rPr>
          <w:bCs/>
        </w:rPr>
        <w:t>；</w:t>
      </w:r>
    </w:p>
    <w:p w14:paraId="624B11A5">
      <w:pPr>
        <w:spacing w:line="360" w:lineRule="auto"/>
        <w:ind w:firstLine="480" w:firstLineChars="200"/>
        <w:rPr>
          <w:bCs/>
        </w:rPr>
      </w:pPr>
      <w:r>
        <w:rPr>
          <w:bCs/>
        </w:rPr>
        <w:t>（26）建立并保存基金份额持有人名册；</w:t>
      </w:r>
    </w:p>
    <w:p w14:paraId="74F0C799">
      <w:pPr>
        <w:spacing w:line="360" w:lineRule="auto"/>
        <w:ind w:firstLine="480" w:firstLineChars="200"/>
        <w:rPr>
          <w:bCs/>
        </w:rPr>
      </w:pPr>
      <w:r>
        <w:rPr>
          <w:bCs/>
        </w:rPr>
        <w:t>（27）法律法规及中国证监会规定的和基金合同约定的其他义务。</w:t>
      </w:r>
    </w:p>
    <w:p w14:paraId="54261E8F">
      <w:pPr>
        <w:spacing w:line="360" w:lineRule="auto"/>
        <w:ind w:firstLine="480" w:firstLineChars="200"/>
        <w:rPr>
          <w:bCs/>
        </w:rPr>
      </w:pPr>
      <w:bookmarkStart w:id="59" w:name="_Toc57530240"/>
      <w:bookmarkStart w:id="60" w:name="_Toc79392581"/>
      <w:bookmarkStart w:id="61" w:name="_Toc15118238"/>
      <w:r>
        <w:rPr>
          <w:bCs/>
        </w:rPr>
        <w:t>二、基金托管人</w:t>
      </w:r>
      <w:bookmarkEnd w:id="56"/>
      <w:bookmarkEnd w:id="59"/>
      <w:bookmarkEnd w:id="60"/>
      <w:bookmarkEnd w:id="61"/>
    </w:p>
    <w:p w14:paraId="556F3608">
      <w:pPr>
        <w:spacing w:line="360" w:lineRule="auto"/>
        <w:ind w:firstLine="480" w:firstLineChars="200"/>
        <w:rPr>
          <w:bCs/>
        </w:rPr>
      </w:pPr>
      <w:bookmarkStart w:id="62" w:name="_Toc15118239"/>
      <w:r>
        <w:rPr>
          <w:bCs/>
        </w:rPr>
        <w:t>（一）基金托管人简况</w:t>
      </w:r>
      <w:bookmarkEnd w:id="62"/>
    </w:p>
    <w:p w14:paraId="7CE52272">
      <w:pPr>
        <w:spacing w:line="360" w:lineRule="auto"/>
        <w:ind w:firstLine="480" w:firstLineChars="200"/>
        <w:rPr>
          <w:bCs/>
        </w:rPr>
      </w:pPr>
      <w:r>
        <w:rPr>
          <w:rFonts w:hint="eastAsia"/>
          <w:bCs/>
        </w:rPr>
        <w:t>名称：招商银行股份有限公司</w:t>
      </w:r>
    </w:p>
    <w:p w14:paraId="7D6766D9">
      <w:pPr>
        <w:spacing w:line="360" w:lineRule="auto"/>
        <w:ind w:firstLine="480" w:firstLineChars="200"/>
        <w:rPr>
          <w:bCs/>
        </w:rPr>
      </w:pPr>
      <w:r>
        <w:rPr>
          <w:rFonts w:hint="eastAsia"/>
          <w:bCs/>
        </w:rPr>
        <w:t>住所：深圳市福田区深南大道7088号招商银行大厦</w:t>
      </w:r>
    </w:p>
    <w:p w14:paraId="02E1815B">
      <w:pPr>
        <w:spacing w:line="360" w:lineRule="auto"/>
        <w:ind w:firstLine="480" w:firstLineChars="200"/>
        <w:rPr>
          <w:bCs/>
        </w:rPr>
      </w:pPr>
      <w:r>
        <w:rPr>
          <w:rFonts w:hint="eastAsia"/>
          <w:bCs/>
        </w:rPr>
        <w:t>办公地址：深圳市福田区深南大道7088号招商银行大厦</w:t>
      </w:r>
    </w:p>
    <w:p w14:paraId="202C308A">
      <w:pPr>
        <w:spacing w:line="360" w:lineRule="auto"/>
        <w:ind w:firstLine="480" w:firstLineChars="200"/>
        <w:rPr>
          <w:bCs/>
        </w:rPr>
      </w:pPr>
      <w:r>
        <w:rPr>
          <w:rFonts w:hint="eastAsia"/>
          <w:bCs/>
        </w:rPr>
        <w:t>邮政编码：518040</w:t>
      </w:r>
    </w:p>
    <w:p w14:paraId="5A4EE59E">
      <w:pPr>
        <w:spacing w:line="360" w:lineRule="auto"/>
        <w:ind w:firstLine="480" w:firstLineChars="200"/>
        <w:rPr>
          <w:bCs/>
        </w:rPr>
      </w:pPr>
      <w:r>
        <w:rPr>
          <w:rFonts w:hint="eastAsia"/>
          <w:bCs/>
        </w:rPr>
        <w:t>法定代表人：缪建民</w:t>
      </w:r>
    </w:p>
    <w:p w14:paraId="1FCBB3D2">
      <w:pPr>
        <w:spacing w:line="360" w:lineRule="auto"/>
        <w:ind w:firstLine="480" w:firstLineChars="200"/>
        <w:rPr>
          <w:bCs/>
        </w:rPr>
      </w:pPr>
      <w:r>
        <w:rPr>
          <w:rFonts w:hint="eastAsia"/>
          <w:bCs/>
        </w:rPr>
        <w:t>成立时间：1987年4月8日</w:t>
      </w:r>
    </w:p>
    <w:p w14:paraId="64BE3576">
      <w:pPr>
        <w:spacing w:line="360" w:lineRule="auto"/>
        <w:ind w:firstLine="480" w:firstLineChars="200"/>
        <w:rPr>
          <w:bCs/>
        </w:rPr>
      </w:pPr>
      <w:r>
        <w:rPr>
          <w:rFonts w:hint="eastAsia"/>
          <w:bCs/>
        </w:rPr>
        <w:t>基金托管业务批准文号：证监基金字[2002]83号</w:t>
      </w:r>
    </w:p>
    <w:p w14:paraId="7015D637">
      <w:pPr>
        <w:spacing w:line="360" w:lineRule="auto"/>
        <w:ind w:firstLine="480" w:firstLineChars="200"/>
        <w:rPr>
          <w:bCs/>
        </w:rPr>
      </w:pPr>
      <w:r>
        <w:rPr>
          <w:rFonts w:hint="eastAsia"/>
          <w:bCs/>
        </w:rPr>
        <w:t>组织形式：股份有限公司</w:t>
      </w:r>
    </w:p>
    <w:p w14:paraId="10C800D5">
      <w:pPr>
        <w:spacing w:line="360" w:lineRule="auto"/>
        <w:ind w:firstLine="480" w:firstLineChars="200"/>
        <w:rPr>
          <w:bCs/>
        </w:rPr>
      </w:pPr>
      <w:r>
        <w:rPr>
          <w:rFonts w:hint="eastAsia"/>
          <w:bCs/>
        </w:rPr>
        <w:t>注册资本：人民币252.20亿元</w:t>
      </w:r>
    </w:p>
    <w:p w14:paraId="245CAE36">
      <w:pPr>
        <w:spacing w:line="360" w:lineRule="auto"/>
        <w:ind w:firstLine="480" w:firstLineChars="200"/>
        <w:rPr>
          <w:bCs/>
        </w:rPr>
      </w:pPr>
      <w:r>
        <w:rPr>
          <w:rFonts w:hint="eastAsia"/>
          <w:bCs/>
        </w:rPr>
        <w:t>存续期间：持续经营</w:t>
      </w:r>
    </w:p>
    <w:p w14:paraId="129420DE">
      <w:pPr>
        <w:spacing w:line="360" w:lineRule="auto"/>
        <w:ind w:firstLine="480" w:firstLineChars="200"/>
        <w:rPr>
          <w:bCs/>
        </w:rPr>
      </w:pPr>
      <w:bookmarkStart w:id="63" w:name="_Toc15118240"/>
      <w:r>
        <w:rPr>
          <w:bCs/>
        </w:rPr>
        <w:t>（二）基金托管人的权利与义务</w:t>
      </w:r>
      <w:bookmarkEnd w:id="63"/>
    </w:p>
    <w:p w14:paraId="57BD908E">
      <w:pPr>
        <w:spacing w:line="360" w:lineRule="auto"/>
        <w:ind w:firstLine="480" w:firstLineChars="200"/>
        <w:rPr>
          <w:bCs/>
        </w:rPr>
      </w:pPr>
      <w:r>
        <w:rPr>
          <w:bCs/>
        </w:rPr>
        <w:t>1、根据《基金法》、《运作办法》及其他有关规定，基金托管人的权利包括但不限于：</w:t>
      </w:r>
    </w:p>
    <w:p w14:paraId="1E5F825C">
      <w:pPr>
        <w:spacing w:line="360" w:lineRule="auto"/>
        <w:ind w:firstLine="480" w:firstLineChars="200"/>
        <w:rPr>
          <w:bCs/>
        </w:rPr>
      </w:pPr>
      <w:r>
        <w:rPr>
          <w:bCs/>
        </w:rPr>
        <w:t>（1）自基金合同生效之日起，依法律法规和基金合同的规定安全保管基金财产；</w:t>
      </w:r>
    </w:p>
    <w:p w14:paraId="5118D70B">
      <w:pPr>
        <w:spacing w:line="360" w:lineRule="auto"/>
        <w:ind w:firstLine="480" w:firstLineChars="200"/>
        <w:rPr>
          <w:bCs/>
        </w:rPr>
      </w:pPr>
      <w:r>
        <w:rPr>
          <w:bCs/>
        </w:rPr>
        <w:t>（2）依基金合同约定获得基金托管费以及法律法规规定或监管部门批准的其他费用；</w:t>
      </w:r>
    </w:p>
    <w:p w14:paraId="40FE8FBF">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0DD688F">
      <w:pPr>
        <w:spacing w:line="360" w:lineRule="auto"/>
        <w:ind w:firstLine="480" w:firstLineChars="200"/>
        <w:rPr>
          <w:bCs/>
        </w:rPr>
      </w:pPr>
      <w:r>
        <w:rPr>
          <w:bCs/>
        </w:rPr>
        <w:t>（4）根据相关市场规则，为基金开设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、基金</w:t>
      </w:r>
      <w:r>
        <w:rPr>
          <w:bCs/>
        </w:rPr>
        <w:t>交易资金清算</w:t>
      </w:r>
      <w:r>
        <w:rPr>
          <w:rFonts w:hint="eastAsia"/>
          <w:bCs/>
        </w:rPr>
        <w:t>；</w:t>
      </w:r>
    </w:p>
    <w:p w14:paraId="4900E514">
      <w:pPr>
        <w:spacing w:line="360" w:lineRule="auto"/>
        <w:ind w:firstLine="480" w:firstLineChars="200"/>
        <w:rPr>
          <w:bCs/>
        </w:rPr>
      </w:pPr>
      <w:r>
        <w:rPr>
          <w:bCs/>
        </w:rPr>
        <w:t>（5）提议召开或召集基金份额持有人大会；</w:t>
      </w:r>
    </w:p>
    <w:p w14:paraId="426113C6">
      <w:pPr>
        <w:spacing w:line="360" w:lineRule="auto"/>
        <w:ind w:firstLine="480" w:firstLineChars="200"/>
        <w:rPr>
          <w:bCs/>
        </w:rPr>
      </w:pPr>
      <w:r>
        <w:rPr>
          <w:bCs/>
        </w:rPr>
        <w:t>（6）在基金管理人更换时，提名新的基金管理人；</w:t>
      </w:r>
    </w:p>
    <w:p w14:paraId="21405A43">
      <w:pPr>
        <w:spacing w:line="360" w:lineRule="auto"/>
        <w:ind w:firstLine="480" w:firstLineChars="200"/>
        <w:rPr>
          <w:bCs/>
        </w:rPr>
      </w:pPr>
      <w:r>
        <w:rPr>
          <w:bCs/>
        </w:rPr>
        <w:t>（7）</w:t>
      </w:r>
      <w:r>
        <w:rPr>
          <w:rFonts w:hint="eastAsia"/>
          <w:bCs/>
        </w:rPr>
        <w:t>法律法规及中国证监会规定的和基金合同约定的其他</w:t>
      </w:r>
      <w:r>
        <w:rPr>
          <w:bCs/>
        </w:rPr>
        <w:t>权利。</w:t>
      </w:r>
    </w:p>
    <w:p w14:paraId="3CD3932F">
      <w:pPr>
        <w:spacing w:line="360" w:lineRule="auto"/>
        <w:ind w:firstLine="480" w:firstLineChars="200"/>
        <w:rPr>
          <w:bCs/>
        </w:rPr>
      </w:pPr>
      <w:r>
        <w:rPr>
          <w:bCs/>
        </w:rPr>
        <w:t>2、根据《基金法》、《运作办法》及其他有关规定，基金托管人的义务包括但不限于：</w:t>
      </w:r>
    </w:p>
    <w:p w14:paraId="1BC2398F">
      <w:pPr>
        <w:spacing w:line="360" w:lineRule="auto"/>
        <w:ind w:firstLine="480" w:firstLineChars="200"/>
        <w:rPr>
          <w:bCs/>
        </w:rPr>
      </w:pPr>
      <w:r>
        <w:rPr>
          <w:bCs/>
        </w:rPr>
        <w:t>（1）以诚实信用、勤勉尽责的原则持有并安全保管基金财产；</w:t>
      </w:r>
    </w:p>
    <w:p w14:paraId="0526E15E">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3FA09263">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E1CC57F">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00D15156">
      <w:pPr>
        <w:spacing w:line="360" w:lineRule="auto"/>
        <w:ind w:firstLine="480" w:firstLineChars="200"/>
        <w:rPr>
          <w:bCs/>
        </w:rPr>
      </w:pPr>
      <w:r>
        <w:rPr>
          <w:bCs/>
        </w:rPr>
        <w:t>（5）保管由基金管理人代表基金签订的与基金有关的重大合同及有关凭证；</w:t>
      </w:r>
    </w:p>
    <w:p w14:paraId="792A0C8E">
      <w:pPr>
        <w:spacing w:line="360" w:lineRule="auto"/>
        <w:ind w:firstLine="480" w:firstLineChars="200"/>
        <w:rPr>
          <w:bCs/>
        </w:rPr>
      </w:pPr>
      <w:r>
        <w:rPr>
          <w:bCs/>
        </w:rPr>
        <w:t>（6）按规定开设基金财产的资金账户和证券账户</w:t>
      </w:r>
      <w:r>
        <w:rPr>
          <w:rFonts w:hint="eastAsia"/>
          <w:bCs/>
        </w:rPr>
        <w:t>等投资所需账户，</w:t>
      </w:r>
      <w:r>
        <w:rPr>
          <w:bCs/>
        </w:rPr>
        <w:t>按照基金合同的约定，根据基金管理人的投资指令，及时办理清算、交割事宜；</w:t>
      </w:r>
    </w:p>
    <w:p w14:paraId="5D30AC41">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2F4D2AFB">
      <w:pPr>
        <w:spacing w:line="360" w:lineRule="auto"/>
        <w:ind w:firstLine="480" w:firstLineChars="200"/>
        <w:rPr>
          <w:bCs/>
        </w:rPr>
      </w:pPr>
      <w:r>
        <w:rPr>
          <w:bCs/>
        </w:rPr>
        <w:t>（8）复核、审查基金管理人计算的基金资产净值、各类</w:t>
      </w:r>
      <w:r>
        <w:rPr>
          <w:rFonts w:hint="eastAsia"/>
          <w:bCs/>
        </w:rPr>
        <w:t>基金份额净值、</w:t>
      </w:r>
      <w:r>
        <w:rPr>
          <w:bCs/>
        </w:rPr>
        <w:t>基金份额申购、赎回价格；</w:t>
      </w:r>
    </w:p>
    <w:p w14:paraId="3E76B234">
      <w:pPr>
        <w:spacing w:line="360" w:lineRule="auto"/>
        <w:ind w:firstLine="480" w:firstLineChars="200"/>
        <w:rPr>
          <w:bCs/>
        </w:rPr>
      </w:pPr>
      <w:r>
        <w:rPr>
          <w:bCs/>
        </w:rPr>
        <w:t>（9）办理与基金托管业务活动有关的信息披露事项；</w:t>
      </w:r>
    </w:p>
    <w:p w14:paraId="6A9F589E">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7E179C88">
      <w:pPr>
        <w:spacing w:line="360" w:lineRule="auto"/>
        <w:ind w:firstLine="480" w:firstLineChars="200"/>
        <w:rPr>
          <w:bCs/>
        </w:rPr>
      </w:pPr>
      <w:r>
        <w:rPr>
          <w:bCs/>
        </w:rPr>
        <w:t>（11）保存基金托管业务活动的记录、账册、报表和其他相关资料</w:t>
      </w:r>
      <w:r>
        <w:rPr>
          <w:rFonts w:hint="eastAsia"/>
          <w:bCs/>
        </w:rPr>
        <w:t>，保存期限不少于法律法规的规定；</w:t>
      </w:r>
    </w:p>
    <w:p w14:paraId="6ADD0643">
      <w:pPr>
        <w:spacing w:line="360" w:lineRule="auto"/>
        <w:ind w:firstLine="480" w:firstLineChars="200"/>
        <w:rPr>
          <w:bCs/>
        </w:rPr>
      </w:pPr>
      <w:r>
        <w:rPr>
          <w:bCs/>
        </w:rPr>
        <w:t>（12）</w:t>
      </w:r>
      <w:r>
        <w:rPr>
          <w:rFonts w:hint="eastAsia"/>
          <w:bCs/>
        </w:rPr>
        <w:t>从基金管理人或其委托的登记机构处接收并保存</w:t>
      </w:r>
      <w:r>
        <w:rPr>
          <w:bCs/>
        </w:rPr>
        <w:t>基金份额持有人名册；</w:t>
      </w:r>
    </w:p>
    <w:p w14:paraId="3C463818">
      <w:pPr>
        <w:spacing w:line="360" w:lineRule="auto"/>
        <w:ind w:firstLine="480" w:firstLineChars="200"/>
        <w:rPr>
          <w:bCs/>
        </w:rPr>
      </w:pPr>
      <w:r>
        <w:rPr>
          <w:bCs/>
        </w:rPr>
        <w:t>（13）按规定制作相关账册并与基金管理人核对；</w:t>
      </w:r>
    </w:p>
    <w:p w14:paraId="6CE2BF04">
      <w:pPr>
        <w:spacing w:line="360" w:lineRule="auto"/>
        <w:ind w:firstLine="480" w:firstLineChars="200"/>
        <w:rPr>
          <w:bCs/>
        </w:rPr>
      </w:pPr>
      <w:r>
        <w:rPr>
          <w:bCs/>
        </w:rPr>
        <w:t>（14）依据基金管理人的指令或有关规定向基金份额持有人支付基金收益和赎回款项；</w:t>
      </w:r>
    </w:p>
    <w:p w14:paraId="51C6F589">
      <w:pPr>
        <w:spacing w:line="360" w:lineRule="auto"/>
        <w:ind w:firstLine="480" w:firstLineChars="200"/>
        <w:rPr>
          <w:bCs/>
        </w:rPr>
      </w:pPr>
      <w:r>
        <w:rPr>
          <w:bCs/>
        </w:rPr>
        <w:t>（15）依据《基金法》、基金合同及其他有关规定，召集基金份额持有人大会或配合</w:t>
      </w:r>
      <w:r>
        <w:rPr>
          <w:rFonts w:hint="eastAsia"/>
          <w:bCs/>
        </w:rPr>
        <w:t>基金管理人、</w:t>
      </w:r>
      <w:r>
        <w:rPr>
          <w:bCs/>
        </w:rPr>
        <w:t>基金份额持有人依法召集基金份额持有人大会；</w:t>
      </w:r>
    </w:p>
    <w:p w14:paraId="58C676FD">
      <w:pPr>
        <w:spacing w:line="360" w:lineRule="auto"/>
        <w:ind w:firstLine="480" w:firstLineChars="200"/>
        <w:rPr>
          <w:bCs/>
        </w:rPr>
      </w:pPr>
      <w:r>
        <w:rPr>
          <w:bCs/>
        </w:rPr>
        <w:t>（16）按照法律法规和基金合同的规定监督基金管理人的投资运作；</w:t>
      </w:r>
    </w:p>
    <w:p w14:paraId="50CFA92B">
      <w:pPr>
        <w:spacing w:line="360" w:lineRule="auto"/>
        <w:ind w:firstLine="480" w:firstLineChars="200"/>
        <w:rPr>
          <w:bCs/>
        </w:rPr>
      </w:pPr>
      <w:r>
        <w:rPr>
          <w:bCs/>
        </w:rPr>
        <w:t>（17）参加基金财产清算小组，参与基金财产的保管、清理、估价、变现和分配；</w:t>
      </w:r>
    </w:p>
    <w:p w14:paraId="4999A79E">
      <w:pPr>
        <w:spacing w:line="360" w:lineRule="auto"/>
        <w:ind w:firstLine="480" w:firstLineChars="200"/>
        <w:rPr>
          <w:bCs/>
        </w:rPr>
      </w:pPr>
      <w:r>
        <w:rPr>
          <w:bCs/>
        </w:rPr>
        <w:t>（18）面临解散、依法被撤销或者被依法宣告破产时，及时报告中国证监会和银行业监督管理机构，并通知基金管理人；</w:t>
      </w:r>
    </w:p>
    <w:p w14:paraId="26C03FCD">
      <w:pPr>
        <w:spacing w:line="360" w:lineRule="auto"/>
        <w:ind w:firstLine="480" w:firstLineChars="200"/>
        <w:rPr>
          <w:bCs/>
        </w:rPr>
      </w:pPr>
      <w:r>
        <w:rPr>
          <w:bCs/>
        </w:rPr>
        <w:t>（19）因违反基金合同导致基金财产损失时，应承担赔偿责任，其赔偿责任不因其退任而免除；</w:t>
      </w:r>
    </w:p>
    <w:p w14:paraId="385C686D">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bookmarkStart w:id="64" w:name="_Hlt88825668"/>
      <w:bookmarkEnd w:id="64"/>
      <w:r>
        <w:rPr>
          <w:bCs/>
        </w:rPr>
        <w:t>；</w:t>
      </w:r>
    </w:p>
    <w:p w14:paraId="4C1EE5FA">
      <w:pPr>
        <w:spacing w:line="360" w:lineRule="auto"/>
        <w:ind w:firstLine="480" w:firstLineChars="200"/>
        <w:rPr>
          <w:bCs/>
        </w:rPr>
      </w:pPr>
      <w:r>
        <w:rPr>
          <w:bCs/>
        </w:rPr>
        <w:t>（21）执行生效的基金份额持有人大会的</w:t>
      </w:r>
      <w:r>
        <w:rPr>
          <w:rFonts w:hint="eastAsia"/>
          <w:bCs/>
        </w:rPr>
        <w:t>决议</w:t>
      </w:r>
      <w:r>
        <w:rPr>
          <w:bCs/>
        </w:rPr>
        <w:t>；</w:t>
      </w:r>
    </w:p>
    <w:p w14:paraId="5869937E">
      <w:pPr>
        <w:spacing w:line="360" w:lineRule="auto"/>
        <w:ind w:firstLine="480" w:firstLineChars="200"/>
        <w:rPr>
          <w:bCs/>
        </w:rPr>
      </w:pPr>
      <w:r>
        <w:rPr>
          <w:bCs/>
        </w:rPr>
        <w:t>（22）</w:t>
      </w:r>
      <w:bookmarkStart w:id="65" w:name="_Toc523711670"/>
      <w:r>
        <w:rPr>
          <w:bCs/>
        </w:rPr>
        <w:t>法律法规及中国证监会规定的和基金合同约定的其他义务。</w:t>
      </w:r>
    </w:p>
    <w:bookmarkEnd w:id="65"/>
    <w:p w14:paraId="654C2349">
      <w:pPr>
        <w:spacing w:line="360" w:lineRule="auto"/>
        <w:ind w:firstLine="480" w:firstLineChars="200"/>
        <w:rPr>
          <w:bCs/>
        </w:rPr>
      </w:pPr>
      <w:bookmarkStart w:id="66" w:name="_Toc79392582"/>
      <w:r>
        <w:rPr>
          <w:bCs/>
        </w:rPr>
        <w:t>三、基金份额持有人</w:t>
      </w:r>
      <w:bookmarkEnd w:id="66"/>
    </w:p>
    <w:p w14:paraId="34F2918B">
      <w:pPr>
        <w:spacing w:line="360" w:lineRule="auto"/>
        <w:ind w:firstLine="480" w:firstLineChars="200"/>
        <w:rPr>
          <w:bCs/>
        </w:rPr>
      </w:pPr>
      <w:r>
        <w:rPr>
          <w:bCs/>
        </w:rPr>
        <w:t>基金投资者</w:t>
      </w:r>
      <w:r>
        <w:rPr>
          <w:rFonts w:hint="eastAsia"/>
          <w:bCs/>
        </w:rPr>
        <w:t>持有</w:t>
      </w:r>
      <w:r>
        <w:rPr>
          <w:bCs/>
        </w:rPr>
        <w:t>本基金</w:t>
      </w:r>
      <w:bookmarkStart w:id="67" w:name="_Hlt88899909"/>
      <w:bookmarkEnd w:id="67"/>
      <w:r>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58C65C28">
      <w:pPr>
        <w:spacing w:line="360" w:lineRule="auto"/>
        <w:ind w:firstLine="480" w:firstLineChars="200"/>
        <w:rPr>
          <w:bCs/>
        </w:rPr>
      </w:pPr>
      <w:r>
        <w:rPr>
          <w:rFonts w:hint="eastAsia"/>
          <w:bCs/>
        </w:rPr>
        <w:t>除法律法规另有规定或基金合同另有约定外，同一类别每份基金份额具有同等的合法权益。</w:t>
      </w:r>
    </w:p>
    <w:p w14:paraId="4CCA627E">
      <w:pPr>
        <w:spacing w:line="360" w:lineRule="auto"/>
        <w:ind w:firstLine="480" w:firstLineChars="200"/>
        <w:rPr>
          <w:bCs/>
        </w:rPr>
      </w:pPr>
      <w:r>
        <w:rPr>
          <w:bCs/>
        </w:rPr>
        <w:t>1、根据《基金法》、《运作办法》及其他有关规定，基金份额持有人的权利包括但不限于：</w:t>
      </w:r>
    </w:p>
    <w:p w14:paraId="0B314E33">
      <w:pPr>
        <w:spacing w:line="360" w:lineRule="auto"/>
        <w:ind w:firstLine="480" w:firstLineChars="200"/>
        <w:rPr>
          <w:bCs/>
        </w:rPr>
      </w:pPr>
      <w:r>
        <w:rPr>
          <w:bCs/>
        </w:rPr>
        <w:t>（1）分享基金财产收益；</w:t>
      </w:r>
    </w:p>
    <w:p w14:paraId="7D91A682">
      <w:pPr>
        <w:spacing w:line="360" w:lineRule="auto"/>
        <w:ind w:firstLine="480" w:firstLineChars="200"/>
        <w:rPr>
          <w:bCs/>
        </w:rPr>
      </w:pPr>
      <w:r>
        <w:rPr>
          <w:bCs/>
        </w:rPr>
        <w:t>（2）参与分配清算后的剩余基金财产；</w:t>
      </w:r>
      <w:bookmarkStart w:id="68" w:name="_Hlt88825574"/>
      <w:bookmarkEnd w:id="68"/>
    </w:p>
    <w:p w14:paraId="57ADBAF7">
      <w:pPr>
        <w:spacing w:line="360" w:lineRule="auto"/>
        <w:ind w:firstLine="480" w:firstLineChars="200"/>
        <w:rPr>
          <w:bCs/>
        </w:rPr>
      </w:pPr>
      <w:r>
        <w:rPr>
          <w:bCs/>
        </w:rPr>
        <w:t>（3）</w:t>
      </w:r>
      <w:r>
        <w:rPr>
          <w:rFonts w:hint="eastAsia"/>
          <w:bCs/>
        </w:rPr>
        <w:t>依法转让或申请赎回</w:t>
      </w:r>
      <w:r>
        <w:rPr>
          <w:bCs/>
        </w:rPr>
        <w:t>其持有的基金份额；</w:t>
      </w:r>
    </w:p>
    <w:p w14:paraId="3EEA8BBE">
      <w:pPr>
        <w:spacing w:line="360" w:lineRule="auto"/>
        <w:ind w:firstLine="480" w:firstLineChars="200"/>
        <w:rPr>
          <w:bCs/>
        </w:rPr>
      </w:pPr>
      <w:r>
        <w:rPr>
          <w:bCs/>
        </w:rPr>
        <w:t>（4）按照规定要求召开基金份额持有人大会或者召集基金份额持有人大会；</w:t>
      </w:r>
    </w:p>
    <w:p w14:paraId="46FFD516">
      <w:pPr>
        <w:spacing w:line="360" w:lineRule="auto"/>
        <w:ind w:firstLine="480" w:firstLineChars="200"/>
        <w:rPr>
          <w:bCs/>
        </w:rPr>
      </w:pPr>
      <w:r>
        <w:rPr>
          <w:bCs/>
        </w:rPr>
        <w:t>（5）出席或者委派代表出席基金份额持有人大会，对基金份额持有人大会审议事项行使表决权；</w:t>
      </w:r>
    </w:p>
    <w:p w14:paraId="5F9E7765">
      <w:pPr>
        <w:spacing w:line="360" w:lineRule="auto"/>
        <w:ind w:firstLine="480" w:firstLineChars="200"/>
        <w:rPr>
          <w:bCs/>
        </w:rPr>
      </w:pPr>
      <w:r>
        <w:rPr>
          <w:bCs/>
        </w:rPr>
        <w:t>（6）查阅或者复制公开披露的基金信息资料；</w:t>
      </w:r>
    </w:p>
    <w:p w14:paraId="5D5745B1">
      <w:pPr>
        <w:spacing w:line="360" w:lineRule="auto"/>
        <w:ind w:firstLine="480" w:firstLineChars="200"/>
        <w:rPr>
          <w:bCs/>
        </w:rPr>
      </w:pPr>
      <w:r>
        <w:rPr>
          <w:bCs/>
        </w:rPr>
        <w:t>（7）监督基金管理人的投资运作；</w:t>
      </w:r>
    </w:p>
    <w:p w14:paraId="781975A2">
      <w:pPr>
        <w:spacing w:line="360" w:lineRule="auto"/>
        <w:ind w:firstLine="480" w:firstLineChars="200"/>
        <w:rPr>
          <w:bCs/>
        </w:rPr>
      </w:pPr>
      <w:r>
        <w:rPr>
          <w:bCs/>
        </w:rPr>
        <w:t>（8）对基金管理人、基金托管人、基金</w:t>
      </w:r>
      <w:r>
        <w:rPr>
          <w:rFonts w:hint="eastAsia"/>
          <w:bCs/>
        </w:rPr>
        <w:t>服务</w:t>
      </w:r>
      <w:r>
        <w:rPr>
          <w:bCs/>
        </w:rPr>
        <w:t>机构损害其合法权益的行为依法提起诉讼或仲裁；</w:t>
      </w:r>
    </w:p>
    <w:p w14:paraId="03C2BBFF">
      <w:pPr>
        <w:spacing w:line="360" w:lineRule="auto"/>
        <w:ind w:firstLine="480" w:firstLineChars="200"/>
        <w:rPr>
          <w:bCs/>
        </w:rPr>
      </w:pPr>
      <w:r>
        <w:rPr>
          <w:bCs/>
        </w:rPr>
        <w:t>（9）法律法规及中国证监会规定的和基金合同约定的其他权利。</w:t>
      </w:r>
    </w:p>
    <w:p w14:paraId="60B2C7BA">
      <w:pPr>
        <w:spacing w:line="360" w:lineRule="auto"/>
        <w:ind w:firstLine="480" w:firstLineChars="200"/>
        <w:rPr>
          <w:bCs/>
        </w:rPr>
      </w:pPr>
      <w:r>
        <w:rPr>
          <w:bCs/>
        </w:rPr>
        <w:t>2、根据《基金法》、《运作办法》及其他有关规定，基金份额持有人的义务包括但不限于：</w:t>
      </w:r>
    </w:p>
    <w:p w14:paraId="45A51D36">
      <w:pPr>
        <w:pStyle w:val="39"/>
        <w:numPr>
          <w:ilvl w:val="1"/>
          <w:numId w:val="12"/>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6A5E7702">
      <w:pPr>
        <w:pStyle w:val="39"/>
        <w:numPr>
          <w:ilvl w:val="1"/>
          <w:numId w:val="12"/>
        </w:numPr>
        <w:spacing w:line="360" w:lineRule="auto"/>
        <w:ind w:left="0" w:firstLine="480"/>
        <w:rPr>
          <w:bCs/>
        </w:rPr>
      </w:pPr>
      <w:r>
        <w:rPr>
          <w:bCs/>
        </w:rPr>
        <w:t>了解所投资基金产品，了解自身风险承受能力，自主判断基金的投资价值，自主做出投资决策，自行承担投资风险；</w:t>
      </w:r>
    </w:p>
    <w:p w14:paraId="45087220">
      <w:pPr>
        <w:pStyle w:val="39"/>
        <w:numPr>
          <w:ilvl w:val="1"/>
          <w:numId w:val="12"/>
        </w:numPr>
        <w:spacing w:line="360" w:lineRule="auto"/>
        <w:ind w:left="0" w:firstLine="480"/>
        <w:rPr>
          <w:bCs/>
        </w:rPr>
      </w:pPr>
      <w:r>
        <w:rPr>
          <w:bCs/>
        </w:rPr>
        <w:t>关注基金信息披露，及时行使权利和履行义务；</w:t>
      </w:r>
    </w:p>
    <w:p w14:paraId="700F0CC4">
      <w:pPr>
        <w:pStyle w:val="39"/>
        <w:numPr>
          <w:ilvl w:val="1"/>
          <w:numId w:val="12"/>
        </w:numPr>
        <w:spacing w:line="360" w:lineRule="auto"/>
        <w:ind w:left="0" w:firstLine="480"/>
        <w:rPr>
          <w:bCs/>
        </w:rPr>
      </w:pPr>
      <w:r>
        <w:rPr>
          <w:rFonts w:hint="eastAsia"/>
          <w:bCs/>
        </w:rPr>
        <w:t>交纳</w:t>
      </w:r>
      <w:r>
        <w:rPr>
          <w:bCs/>
        </w:rPr>
        <w:t>基金认购、申购款项及法律法规和基金合同所规定的费用；</w:t>
      </w:r>
    </w:p>
    <w:p w14:paraId="0C699E90">
      <w:pPr>
        <w:pStyle w:val="39"/>
        <w:numPr>
          <w:ilvl w:val="1"/>
          <w:numId w:val="12"/>
        </w:numPr>
        <w:spacing w:line="360" w:lineRule="auto"/>
        <w:ind w:left="0" w:firstLine="480"/>
        <w:rPr>
          <w:bCs/>
        </w:rPr>
      </w:pPr>
      <w:r>
        <w:rPr>
          <w:bCs/>
        </w:rPr>
        <w:t>在其持有的基金份额范围内，承担基金亏损或者基金合同终止的有限责任；</w:t>
      </w:r>
    </w:p>
    <w:p w14:paraId="4AF4A865">
      <w:pPr>
        <w:pStyle w:val="39"/>
        <w:numPr>
          <w:ilvl w:val="1"/>
          <w:numId w:val="12"/>
        </w:numPr>
        <w:spacing w:line="360" w:lineRule="auto"/>
        <w:ind w:left="0" w:firstLine="480"/>
        <w:rPr>
          <w:bCs/>
        </w:rPr>
      </w:pPr>
      <w:r>
        <w:rPr>
          <w:bCs/>
        </w:rPr>
        <w:t>不从事任何有损基金及其他基金合同当事人合法权益的活动；</w:t>
      </w:r>
    </w:p>
    <w:p w14:paraId="26ECF95E">
      <w:pPr>
        <w:pStyle w:val="39"/>
        <w:numPr>
          <w:ilvl w:val="1"/>
          <w:numId w:val="12"/>
        </w:numPr>
        <w:spacing w:line="360" w:lineRule="auto"/>
        <w:ind w:left="0" w:firstLine="480"/>
        <w:rPr>
          <w:bCs/>
        </w:rPr>
      </w:pPr>
      <w:r>
        <w:rPr>
          <w:bCs/>
        </w:rPr>
        <w:t>执行生效的基金份额持有人大会的</w:t>
      </w:r>
      <w:r>
        <w:rPr>
          <w:rFonts w:hint="eastAsia"/>
          <w:bCs/>
        </w:rPr>
        <w:t>决议</w:t>
      </w:r>
      <w:r>
        <w:rPr>
          <w:bCs/>
        </w:rPr>
        <w:t>；</w:t>
      </w:r>
    </w:p>
    <w:p w14:paraId="6C275A58">
      <w:pPr>
        <w:pStyle w:val="39"/>
        <w:numPr>
          <w:ilvl w:val="1"/>
          <w:numId w:val="12"/>
        </w:numPr>
        <w:spacing w:line="360" w:lineRule="auto"/>
        <w:ind w:left="0" w:firstLine="480"/>
        <w:rPr>
          <w:bCs/>
        </w:rPr>
      </w:pPr>
      <w:r>
        <w:rPr>
          <w:bCs/>
        </w:rPr>
        <w:t>返还在基金交易过程中因任何原因获得的不当得利；</w:t>
      </w:r>
    </w:p>
    <w:p w14:paraId="3CC1E1F2">
      <w:pPr>
        <w:pStyle w:val="39"/>
        <w:numPr>
          <w:ilvl w:val="1"/>
          <w:numId w:val="12"/>
        </w:numPr>
        <w:spacing w:line="360" w:lineRule="auto"/>
        <w:ind w:left="0" w:firstLine="480"/>
        <w:rPr>
          <w:bCs/>
        </w:rPr>
      </w:pPr>
      <w:r>
        <w:rPr>
          <w:bCs/>
        </w:rPr>
        <w:t>法律法规及中国证监会规定的和基金合同约定的其他义务。</w:t>
      </w:r>
    </w:p>
    <w:p w14:paraId="7505E40B">
      <w:pPr>
        <w:widowControl/>
        <w:spacing w:line="240" w:lineRule="auto"/>
        <w:jc w:val="left"/>
        <w:rPr>
          <w:b/>
          <w:bCs/>
          <w:kern w:val="0"/>
          <w:sz w:val="30"/>
          <w:szCs w:val="20"/>
        </w:rPr>
      </w:pPr>
      <w:r>
        <w:rPr>
          <w:kern w:val="0"/>
          <w:sz w:val="30"/>
          <w:szCs w:val="20"/>
        </w:rPr>
        <w:br w:type="page"/>
      </w:r>
    </w:p>
    <w:p w14:paraId="7E0A5FBF">
      <w:pPr>
        <w:pStyle w:val="2"/>
      </w:pPr>
      <w:bookmarkStart w:id="69" w:name="_Toc218514488"/>
      <w:r>
        <w:rPr>
          <w:rFonts w:hint="eastAsia"/>
        </w:rPr>
        <w:t>基金份额持有人大会</w:t>
      </w:r>
      <w:bookmarkEnd w:id="69"/>
    </w:p>
    <w:p w14:paraId="6F081600"/>
    <w:p w14:paraId="2440E255">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683792BF">
      <w:pPr>
        <w:spacing w:line="360" w:lineRule="auto"/>
        <w:ind w:firstLine="480" w:firstLineChars="200"/>
        <w:rPr>
          <w:bCs/>
        </w:rPr>
      </w:pPr>
      <w:r>
        <w:rPr>
          <w:rFonts w:hint="eastAsia"/>
          <w:bCs/>
        </w:rPr>
        <w:t>本基金基金份额持有人大会不设日常机构。若未来本基金基金份额持有人大会成立日常机构，则按照届时有效的法律法规的规定执行。</w:t>
      </w:r>
    </w:p>
    <w:p w14:paraId="3705883F">
      <w:pPr>
        <w:spacing w:line="360" w:lineRule="auto"/>
        <w:ind w:firstLine="480" w:firstLineChars="200"/>
        <w:rPr>
          <w:bCs/>
        </w:rPr>
      </w:pPr>
      <w:bookmarkStart w:id="70" w:name="_Toc15641220"/>
      <w:bookmarkStart w:id="71" w:name="_Toc79392584"/>
      <w:bookmarkStart w:id="72" w:name="_Toc57530243"/>
      <w:r>
        <w:rPr>
          <w:bCs/>
        </w:rPr>
        <w:t>一、召开事由</w:t>
      </w:r>
      <w:bookmarkEnd w:id="70"/>
      <w:bookmarkEnd w:id="71"/>
      <w:bookmarkEnd w:id="72"/>
    </w:p>
    <w:p w14:paraId="6A48B113">
      <w:pPr>
        <w:spacing w:line="360" w:lineRule="auto"/>
        <w:ind w:firstLine="480" w:firstLineChars="200"/>
        <w:rPr>
          <w:bCs/>
        </w:rPr>
      </w:pPr>
      <w:r>
        <w:rPr>
          <w:bCs/>
        </w:rPr>
        <w:t>1、</w:t>
      </w:r>
      <w:r>
        <w:rPr>
          <w:rFonts w:hint="eastAsia"/>
          <w:bCs/>
        </w:rPr>
        <w:t>除法律法规、监管机构另有规定或基金合同另有约定的，</w:t>
      </w:r>
      <w:r>
        <w:rPr>
          <w:bCs/>
        </w:rPr>
        <w:t>当出现或需要决定下列事由之一的，应当召开基金份额持有人大会：</w:t>
      </w:r>
    </w:p>
    <w:p w14:paraId="01BE1E17">
      <w:pPr>
        <w:spacing w:line="440" w:lineRule="atLeast"/>
        <w:ind w:firstLine="480" w:firstLineChars="200"/>
        <w:rPr>
          <w:bCs/>
        </w:rPr>
      </w:pPr>
      <w:r>
        <w:rPr>
          <w:bCs/>
        </w:rPr>
        <w:t>（1）终止基金合同；</w:t>
      </w:r>
    </w:p>
    <w:p w14:paraId="75951951">
      <w:pPr>
        <w:spacing w:line="440" w:lineRule="atLeast"/>
        <w:ind w:firstLine="480" w:firstLineChars="200"/>
        <w:rPr>
          <w:bCs/>
        </w:rPr>
      </w:pPr>
      <w:r>
        <w:rPr>
          <w:bCs/>
        </w:rPr>
        <w:t>（2）更换基金管理人；</w:t>
      </w:r>
    </w:p>
    <w:p w14:paraId="73F924C6">
      <w:pPr>
        <w:spacing w:line="440" w:lineRule="atLeast"/>
        <w:ind w:firstLine="480" w:firstLineChars="200"/>
        <w:rPr>
          <w:bCs/>
        </w:rPr>
      </w:pPr>
      <w:r>
        <w:rPr>
          <w:bCs/>
        </w:rPr>
        <w:t>（3）更换基金托管人；</w:t>
      </w:r>
    </w:p>
    <w:p w14:paraId="3804A383">
      <w:pPr>
        <w:spacing w:line="440" w:lineRule="atLeast"/>
        <w:ind w:firstLine="480" w:firstLineChars="200"/>
        <w:rPr>
          <w:bCs/>
        </w:rPr>
      </w:pPr>
      <w:r>
        <w:rPr>
          <w:bCs/>
        </w:rPr>
        <w:t>（4）转换基金运作方式；</w:t>
      </w:r>
    </w:p>
    <w:p w14:paraId="25019B81">
      <w:pPr>
        <w:spacing w:line="440" w:lineRule="atLeast"/>
        <w:ind w:firstLine="480" w:firstLineChars="200"/>
        <w:rPr>
          <w:bCs/>
        </w:rPr>
      </w:pPr>
      <w:r>
        <w:rPr>
          <w:bCs/>
        </w:rPr>
        <w:t>（5）</w:t>
      </w:r>
      <w:r>
        <w:rPr>
          <w:rFonts w:hint="eastAsia"/>
          <w:bCs/>
        </w:rPr>
        <w:t>调整</w:t>
      </w:r>
      <w:r>
        <w:rPr>
          <w:bCs/>
        </w:rPr>
        <w:t>基金管理人、基金托管人的报酬标准</w:t>
      </w:r>
      <w:r>
        <w:rPr>
          <w:rFonts w:hint="eastAsia"/>
          <w:bCs/>
        </w:rPr>
        <w:t>或</w:t>
      </w:r>
      <w:r>
        <w:rPr>
          <w:bCs/>
        </w:rPr>
        <w:t>提高销售服务费率；</w:t>
      </w:r>
    </w:p>
    <w:p w14:paraId="49B75F35">
      <w:pPr>
        <w:spacing w:line="440" w:lineRule="atLeast"/>
        <w:ind w:firstLine="480" w:firstLineChars="200"/>
        <w:rPr>
          <w:bCs/>
        </w:rPr>
      </w:pPr>
      <w:r>
        <w:rPr>
          <w:bCs/>
        </w:rPr>
        <w:t>（6）变更基金类别；</w:t>
      </w:r>
    </w:p>
    <w:p w14:paraId="1ACC48B3">
      <w:pPr>
        <w:spacing w:line="440" w:lineRule="atLeast"/>
        <w:ind w:firstLine="480" w:firstLineChars="200"/>
        <w:rPr>
          <w:bCs/>
        </w:rPr>
      </w:pPr>
      <w:r>
        <w:rPr>
          <w:bCs/>
        </w:rPr>
        <w:t>（7）本基金与其他基金的合并；</w:t>
      </w:r>
    </w:p>
    <w:p w14:paraId="2A0DC9B4">
      <w:pPr>
        <w:spacing w:line="440" w:lineRule="atLeast"/>
        <w:ind w:firstLine="480" w:firstLineChars="200"/>
        <w:rPr>
          <w:bCs/>
        </w:rPr>
      </w:pPr>
      <w:r>
        <w:rPr>
          <w:bCs/>
        </w:rPr>
        <w:t>（8）变更基金投资目标、范围或策略；</w:t>
      </w:r>
    </w:p>
    <w:p w14:paraId="6DFFCD96">
      <w:pPr>
        <w:spacing w:line="440" w:lineRule="atLeast"/>
        <w:ind w:firstLine="480" w:firstLineChars="200"/>
        <w:rPr>
          <w:bCs/>
        </w:rPr>
      </w:pPr>
      <w:r>
        <w:rPr>
          <w:bCs/>
        </w:rPr>
        <w:t>（9）变更基金份额持有人大会程序；</w:t>
      </w:r>
    </w:p>
    <w:p w14:paraId="097EF379">
      <w:pPr>
        <w:spacing w:line="440" w:lineRule="atLeast"/>
        <w:ind w:firstLine="480" w:firstLineChars="200"/>
        <w:rPr>
          <w:bCs/>
        </w:rPr>
      </w:pPr>
      <w:r>
        <w:rPr>
          <w:bCs/>
        </w:rPr>
        <w:t>（10）基金管理人或基金托管人要求召开基金份额持有人大会；</w:t>
      </w:r>
    </w:p>
    <w:p w14:paraId="664F25B9">
      <w:pPr>
        <w:spacing w:line="440" w:lineRule="atLeast"/>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05670FF7">
      <w:pPr>
        <w:spacing w:line="440" w:lineRule="atLeast"/>
        <w:ind w:firstLine="480" w:firstLineChars="200"/>
        <w:rPr>
          <w:bCs/>
        </w:rPr>
      </w:pPr>
      <w:r>
        <w:rPr>
          <w:bCs/>
        </w:rPr>
        <w:t>（12）对基金</w:t>
      </w:r>
      <w:r>
        <w:rPr>
          <w:rFonts w:hint="eastAsia"/>
          <w:bCs/>
        </w:rPr>
        <w:t>合同</w:t>
      </w:r>
      <w:r>
        <w:rPr>
          <w:bCs/>
        </w:rPr>
        <w:t>当事人权利和义务产生重大影响的其他事项；</w:t>
      </w:r>
    </w:p>
    <w:p w14:paraId="5DDC1D78">
      <w:pPr>
        <w:spacing w:line="440" w:lineRule="atLeast"/>
        <w:ind w:firstLine="480" w:firstLineChars="200"/>
        <w:rPr>
          <w:bCs/>
        </w:rPr>
      </w:pPr>
      <w:r>
        <w:rPr>
          <w:bCs/>
        </w:rPr>
        <w:t>（13）法律法规、基金合同或中国证监会规定的其他应当召开基金份额持有人大会的事项。</w:t>
      </w:r>
    </w:p>
    <w:p w14:paraId="60635AE9">
      <w:pPr>
        <w:spacing w:line="360" w:lineRule="auto"/>
        <w:ind w:firstLine="480" w:firstLineChars="200"/>
        <w:rPr>
          <w:bCs/>
        </w:rPr>
      </w:pPr>
      <w:r>
        <w:rPr>
          <w:bCs/>
        </w:rPr>
        <w:t>2、</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5EA38013">
      <w:pPr>
        <w:pStyle w:val="39"/>
        <w:numPr>
          <w:ilvl w:val="1"/>
          <w:numId w:val="13"/>
        </w:numPr>
        <w:spacing w:line="360" w:lineRule="auto"/>
        <w:ind w:left="0" w:firstLine="567" w:firstLineChars="0"/>
        <w:rPr>
          <w:bCs/>
        </w:rPr>
      </w:pPr>
      <w:r>
        <w:rPr>
          <w:rFonts w:hint="eastAsia"/>
          <w:bCs/>
        </w:rPr>
        <w:t>法律法规要求增加的基金费用的收取；</w:t>
      </w:r>
    </w:p>
    <w:p w14:paraId="4175342A">
      <w:pPr>
        <w:pStyle w:val="39"/>
        <w:numPr>
          <w:ilvl w:val="1"/>
          <w:numId w:val="13"/>
        </w:numPr>
        <w:spacing w:line="360" w:lineRule="auto"/>
        <w:ind w:left="0" w:firstLine="567" w:firstLineChars="0"/>
        <w:rPr>
          <w:bCs/>
        </w:rPr>
      </w:pPr>
      <w:r>
        <w:rPr>
          <w:bCs/>
        </w:rPr>
        <w:t>调整本基金的申购费率、</w:t>
      </w:r>
      <w:r>
        <w:rPr>
          <w:rFonts w:hint="eastAsia"/>
          <w:bCs/>
        </w:rPr>
        <w:t>调低销售服务费率或者变更收费方式</w:t>
      </w:r>
      <w:r>
        <w:rPr>
          <w:bCs/>
        </w:rPr>
        <w:t>；</w:t>
      </w:r>
    </w:p>
    <w:p w14:paraId="265F9D2A">
      <w:pPr>
        <w:pStyle w:val="39"/>
        <w:numPr>
          <w:ilvl w:val="1"/>
          <w:numId w:val="13"/>
        </w:numPr>
        <w:spacing w:line="360" w:lineRule="auto"/>
        <w:ind w:left="0" w:firstLine="567" w:firstLineChars="0"/>
        <w:rPr>
          <w:bCs/>
        </w:rPr>
      </w:pPr>
      <w:r>
        <w:rPr>
          <w:rFonts w:hint="eastAsia"/>
          <w:bCs/>
        </w:rPr>
        <w:t>调整基金份额类别的设置，或对基金份额分类办法及规则进行调整；</w:t>
      </w:r>
    </w:p>
    <w:p w14:paraId="3D1D29D4">
      <w:pPr>
        <w:pStyle w:val="39"/>
        <w:numPr>
          <w:ilvl w:val="1"/>
          <w:numId w:val="13"/>
        </w:numPr>
        <w:spacing w:line="360" w:lineRule="auto"/>
        <w:ind w:left="0" w:firstLine="567" w:firstLineChars="0"/>
        <w:rPr>
          <w:bCs/>
        </w:rPr>
      </w:pPr>
      <w:r>
        <w:rPr>
          <w:bCs/>
        </w:rPr>
        <w:t>因相应的法律法规发生变动而应当对基金合同进行修改；</w:t>
      </w:r>
    </w:p>
    <w:p w14:paraId="22DA8521">
      <w:pPr>
        <w:pStyle w:val="39"/>
        <w:numPr>
          <w:ilvl w:val="1"/>
          <w:numId w:val="13"/>
        </w:numPr>
        <w:spacing w:line="360" w:lineRule="auto"/>
        <w:ind w:left="0" w:firstLine="567" w:firstLineChars="0"/>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34321808">
      <w:pPr>
        <w:pStyle w:val="39"/>
        <w:numPr>
          <w:ilvl w:val="1"/>
          <w:numId w:val="13"/>
        </w:numPr>
        <w:spacing w:line="360" w:lineRule="auto"/>
        <w:ind w:left="0" w:firstLine="567" w:firstLineChars="0"/>
        <w:rPr>
          <w:bCs/>
        </w:rPr>
      </w:pPr>
      <w:r>
        <w:rPr>
          <w:bCs/>
        </w:rPr>
        <w:t>经履行适当程序后</w:t>
      </w:r>
      <w:r>
        <w:rPr>
          <w:rFonts w:hint="eastAsia"/>
          <w:bCs/>
        </w:rPr>
        <w:t>，基金推出新业务或服务；</w:t>
      </w:r>
    </w:p>
    <w:p w14:paraId="00D0CAF8">
      <w:pPr>
        <w:pStyle w:val="39"/>
        <w:numPr>
          <w:ilvl w:val="1"/>
          <w:numId w:val="13"/>
        </w:numPr>
        <w:spacing w:line="360" w:lineRule="auto"/>
        <w:ind w:left="0" w:firstLine="567" w:firstLineChars="0"/>
        <w:rPr>
          <w:bCs/>
        </w:rPr>
      </w:pPr>
      <w:r>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201955DE">
      <w:pPr>
        <w:pStyle w:val="39"/>
        <w:numPr>
          <w:ilvl w:val="1"/>
          <w:numId w:val="13"/>
        </w:numPr>
        <w:spacing w:line="360" w:lineRule="auto"/>
        <w:ind w:left="0" w:firstLine="567" w:firstLineChars="0"/>
        <w:rPr>
          <w:bCs/>
        </w:rPr>
      </w:pPr>
      <w:r>
        <w:rPr>
          <w:rFonts w:hint="eastAsia"/>
          <w:bCs/>
        </w:rPr>
        <w:t>在遵循本基金份额持有人利益优先原则的前提下，基金管理人代表本基金份额持有人的利益参与本基金所持有基金的基金份额持有人大会并行使相关的投票权利；或代表本基金的基金份额持有人提议召开或召集本基金所持基金的基金份额持有人大会；</w:t>
      </w:r>
    </w:p>
    <w:p w14:paraId="61555EC3">
      <w:pPr>
        <w:pStyle w:val="39"/>
        <w:numPr>
          <w:ilvl w:val="1"/>
          <w:numId w:val="13"/>
        </w:numPr>
        <w:spacing w:line="360" w:lineRule="auto"/>
        <w:ind w:left="0" w:firstLine="567" w:firstLineChars="0"/>
        <w:rPr>
          <w:bCs/>
        </w:rPr>
      </w:pPr>
      <w:r>
        <w:rPr>
          <w:bCs/>
        </w:rPr>
        <w:t>按照法律法规和基金合同规定不需召开基金份额持有人大会的其他情形。</w:t>
      </w:r>
    </w:p>
    <w:p w14:paraId="232157A0">
      <w:pPr>
        <w:spacing w:line="360" w:lineRule="auto"/>
        <w:ind w:firstLine="480" w:firstLineChars="200"/>
        <w:rPr>
          <w:bCs/>
        </w:rPr>
      </w:pPr>
      <w:r>
        <w:rPr>
          <w:bCs/>
        </w:rPr>
        <w:t>二</w:t>
      </w:r>
      <w:bookmarkStart w:id="73" w:name="_Toc79392585"/>
      <w:bookmarkStart w:id="74" w:name="_Toc57530244"/>
      <w:bookmarkStart w:id="75" w:name="_Toc15641221"/>
      <w:r>
        <w:rPr>
          <w:bCs/>
        </w:rPr>
        <w:t>、会议召集人及召集方式</w:t>
      </w:r>
      <w:bookmarkEnd w:id="73"/>
      <w:bookmarkEnd w:id="74"/>
      <w:bookmarkEnd w:id="75"/>
    </w:p>
    <w:p w14:paraId="512B6778">
      <w:pPr>
        <w:spacing w:line="360" w:lineRule="auto"/>
        <w:ind w:firstLine="480" w:firstLineChars="200"/>
        <w:rPr>
          <w:bCs/>
        </w:rPr>
      </w:pPr>
      <w:bookmarkStart w:id="76" w:name="_Toc15641222"/>
      <w:bookmarkStart w:id="77" w:name="_Toc57530245"/>
      <w:r>
        <w:rPr>
          <w:bCs/>
        </w:rPr>
        <w:t>1、除法律法规规定或基金合同另有约定外，基金份额持有人大会由基金管理人召集</w:t>
      </w:r>
      <w:r>
        <w:rPr>
          <w:rFonts w:hint="eastAsia"/>
          <w:bCs/>
        </w:rPr>
        <w:t>。</w:t>
      </w:r>
    </w:p>
    <w:p w14:paraId="092D5857">
      <w:pPr>
        <w:spacing w:line="360" w:lineRule="auto"/>
        <w:ind w:firstLine="480" w:firstLineChars="200"/>
        <w:rPr>
          <w:bCs/>
        </w:rPr>
      </w:pPr>
      <w:r>
        <w:rPr>
          <w:bCs/>
        </w:rPr>
        <w:t>2、基金管理人未按规定召集或不能</w:t>
      </w:r>
      <w:r>
        <w:rPr>
          <w:rFonts w:hint="eastAsia"/>
          <w:bCs/>
        </w:rPr>
        <w:t>召集</w:t>
      </w:r>
      <w:r>
        <w:rPr>
          <w:bCs/>
        </w:rPr>
        <w:t>时，由基金托管人召集</w:t>
      </w:r>
      <w:r>
        <w:rPr>
          <w:rFonts w:hint="eastAsia"/>
          <w:bCs/>
        </w:rPr>
        <w:t>。</w:t>
      </w:r>
    </w:p>
    <w:p w14:paraId="2BA2AABE">
      <w:pPr>
        <w:spacing w:line="360" w:lineRule="auto"/>
        <w:ind w:firstLine="480" w:firstLineChars="200"/>
        <w:rPr>
          <w:bCs/>
        </w:rPr>
      </w:pPr>
      <w:r>
        <w:rPr>
          <w:bCs/>
        </w:rPr>
        <w:t>3、基金托管人认为有必要召开基金份额持有人大会的，应当向基金管理人提出书面提议。基金管理人应当自收到书面提议之日起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起60</w:t>
      </w:r>
      <w:r>
        <w:rPr>
          <w:bCs/>
        </w:rPr>
        <w:t>日内召开；基金管理人决定不召集，基金托管人仍认为有必要召开的，应当由基金托管人自行召集，并自出具书面决定之日起60日内召开并告知基金管理人，基金管理人应当配合。</w:t>
      </w:r>
    </w:p>
    <w:p w14:paraId="1A7D0A26">
      <w:pPr>
        <w:spacing w:line="360" w:lineRule="auto"/>
        <w:ind w:firstLine="480" w:firstLineChars="200"/>
        <w:rPr>
          <w:bCs/>
        </w:rPr>
      </w:pPr>
      <w:r>
        <w:rPr>
          <w:bCs/>
        </w:rPr>
        <w:t>4、代表基金份额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日内决定是否召集，并书面告知提出提议的基金份额持有人代表和基金管理人；基金托管人决定召集的，应当自出具书面决定之日起60日内召开并告知基金管理人，基金管理人应当配合。</w:t>
      </w:r>
    </w:p>
    <w:p w14:paraId="49FB2673">
      <w:pPr>
        <w:spacing w:line="360" w:lineRule="auto"/>
        <w:ind w:firstLine="480" w:firstLineChars="200"/>
        <w:rPr>
          <w:bCs/>
        </w:rPr>
      </w:pPr>
      <w:r>
        <w:rPr>
          <w:bCs/>
        </w:rPr>
        <w:t>5、代表基金份额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42FEF107">
      <w:pPr>
        <w:spacing w:line="360" w:lineRule="auto"/>
        <w:ind w:firstLine="480" w:firstLineChars="200"/>
        <w:rPr>
          <w:bCs/>
        </w:rPr>
      </w:pPr>
      <w:r>
        <w:rPr>
          <w:bCs/>
        </w:rPr>
        <w:t>6、基金份额持有人会议的召集人负责选择确定开会时间、地点、方式和权益登记日。</w:t>
      </w:r>
    </w:p>
    <w:p w14:paraId="49717EEC">
      <w:pPr>
        <w:spacing w:line="360" w:lineRule="auto"/>
        <w:ind w:firstLine="480" w:firstLineChars="200"/>
        <w:rPr>
          <w:bCs/>
        </w:rPr>
      </w:pPr>
      <w:bookmarkStart w:id="78" w:name="_Toc79392586"/>
      <w:r>
        <w:rPr>
          <w:bCs/>
        </w:rPr>
        <w:t>三、召开基金份额持有人大会的通知时间、通知内容、通知方式</w:t>
      </w:r>
      <w:bookmarkEnd w:id="76"/>
      <w:bookmarkEnd w:id="77"/>
      <w:bookmarkEnd w:id="78"/>
    </w:p>
    <w:p w14:paraId="221EF45C">
      <w:pPr>
        <w:spacing w:line="360" w:lineRule="auto"/>
        <w:ind w:firstLine="480" w:firstLineChars="200"/>
        <w:rPr>
          <w:bCs/>
        </w:rPr>
      </w:pPr>
      <w:r>
        <w:rPr>
          <w:bCs/>
        </w:rPr>
        <w:t>1、召开基金份额持有人大会，召集人应于会议召开前</w:t>
      </w:r>
      <w:r>
        <w:rPr>
          <w:rFonts w:hint="eastAsia"/>
          <w:bCs/>
        </w:rPr>
        <w:t>30</w:t>
      </w:r>
      <w:r>
        <w:rPr>
          <w:bCs/>
        </w:rPr>
        <w:t>日，在规定媒介公告。基金份额持有人大会通知应至少载明以下内容：</w:t>
      </w:r>
    </w:p>
    <w:p w14:paraId="189131FC">
      <w:pPr>
        <w:spacing w:line="360" w:lineRule="auto"/>
        <w:ind w:firstLine="480" w:firstLineChars="200"/>
        <w:rPr>
          <w:bCs/>
        </w:rPr>
      </w:pPr>
      <w:r>
        <w:rPr>
          <w:bCs/>
        </w:rPr>
        <w:t>（1）会议召开的时间、地点和会议形式；</w:t>
      </w:r>
    </w:p>
    <w:p w14:paraId="15374BBE">
      <w:pPr>
        <w:spacing w:line="360" w:lineRule="auto"/>
        <w:ind w:firstLine="480" w:firstLineChars="200"/>
        <w:rPr>
          <w:bCs/>
        </w:rPr>
      </w:pPr>
      <w:r>
        <w:rPr>
          <w:bCs/>
        </w:rPr>
        <w:t>（2）会议拟审议的事项、议事程序和表决方式；</w:t>
      </w:r>
    </w:p>
    <w:p w14:paraId="05617E89">
      <w:pPr>
        <w:spacing w:line="360" w:lineRule="auto"/>
        <w:ind w:firstLine="480" w:firstLineChars="200"/>
        <w:rPr>
          <w:bCs/>
        </w:rPr>
      </w:pPr>
      <w:r>
        <w:rPr>
          <w:bCs/>
        </w:rPr>
        <w:t>（3）有权出席基金份额持有人大会的基金份额持有人的权益登记日；</w:t>
      </w:r>
    </w:p>
    <w:p w14:paraId="083FFE54">
      <w:pPr>
        <w:spacing w:line="360" w:lineRule="auto"/>
        <w:ind w:firstLine="480" w:firstLineChars="200"/>
        <w:rPr>
          <w:bCs/>
        </w:rPr>
      </w:pPr>
      <w:r>
        <w:rPr>
          <w:bCs/>
        </w:rPr>
        <w:t>（4）授权委托证明的内容要求（包括但不限于代理人身份，代理权限和代理有效期限等）、送达时间和地点</w:t>
      </w:r>
      <w:r>
        <w:rPr>
          <w:rFonts w:hint="eastAsia"/>
          <w:bCs/>
        </w:rPr>
        <w:t>；</w:t>
      </w:r>
    </w:p>
    <w:p w14:paraId="1A0C849B">
      <w:pPr>
        <w:spacing w:line="360" w:lineRule="auto"/>
        <w:ind w:firstLine="480" w:firstLineChars="200"/>
        <w:rPr>
          <w:bCs/>
        </w:rPr>
      </w:pPr>
      <w:r>
        <w:rPr>
          <w:bCs/>
        </w:rPr>
        <w:t>（5）会务常设联系人姓名及联系电话；</w:t>
      </w:r>
    </w:p>
    <w:p w14:paraId="6D47E89A">
      <w:pPr>
        <w:spacing w:line="360" w:lineRule="auto"/>
        <w:ind w:firstLine="480" w:firstLineChars="200"/>
        <w:rPr>
          <w:bCs/>
        </w:rPr>
      </w:pPr>
      <w:r>
        <w:rPr>
          <w:bCs/>
        </w:rPr>
        <w:t>（6）出席会议者必须准备的文件和必须履行的手续；</w:t>
      </w:r>
    </w:p>
    <w:p w14:paraId="7AB341EB">
      <w:pPr>
        <w:spacing w:line="360" w:lineRule="auto"/>
        <w:ind w:firstLine="480" w:firstLineChars="200"/>
        <w:rPr>
          <w:bCs/>
        </w:rPr>
      </w:pPr>
      <w:r>
        <w:rPr>
          <w:bCs/>
        </w:rPr>
        <w:t>（7）召集人需要通知的其他事项。</w:t>
      </w:r>
    </w:p>
    <w:p w14:paraId="49F4DCD1">
      <w:pPr>
        <w:spacing w:line="360" w:lineRule="auto"/>
        <w:ind w:firstLine="480" w:firstLineChars="200"/>
        <w:rPr>
          <w:bCs/>
        </w:rPr>
      </w:pPr>
      <w:r>
        <w:rPr>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1C80EEC">
      <w:pPr>
        <w:spacing w:line="360" w:lineRule="auto"/>
        <w:ind w:firstLine="480" w:firstLineChars="200"/>
        <w:rPr>
          <w:bCs/>
        </w:rPr>
      </w:pPr>
      <w:r>
        <w:rPr>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F15B24">
      <w:pPr>
        <w:spacing w:line="360" w:lineRule="auto"/>
        <w:ind w:firstLine="480" w:firstLineChars="200"/>
        <w:rPr>
          <w:bCs/>
        </w:rPr>
      </w:pPr>
      <w:bookmarkStart w:id="79" w:name="_Toc79392587"/>
      <w:bookmarkStart w:id="80" w:name="_Toc15641223"/>
      <w:bookmarkStart w:id="81" w:name="_Toc57530246"/>
      <w:r>
        <w:rPr>
          <w:bCs/>
        </w:rPr>
        <w:t>四、基金份额持有人出席会议的方式</w:t>
      </w:r>
      <w:bookmarkEnd w:id="79"/>
      <w:bookmarkEnd w:id="80"/>
      <w:bookmarkEnd w:id="81"/>
    </w:p>
    <w:p w14:paraId="00421AAC">
      <w:pPr>
        <w:spacing w:line="360" w:lineRule="auto"/>
        <w:ind w:firstLine="480" w:firstLineChars="20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0305DA82">
      <w:pPr>
        <w:spacing w:line="360" w:lineRule="auto"/>
        <w:ind w:firstLine="480" w:firstLineChars="200"/>
        <w:rPr>
          <w:bCs/>
        </w:rPr>
      </w:pPr>
      <w:r>
        <w:rPr>
          <w:bCs/>
        </w:rPr>
        <w:t>1、现场开会。由基金份额持有人本人出席或以代理投票授权委托证明委派代表出席，现场开会时基金管理人和基金托管人的授权代表应当列席基金份额持有人大会，基金管理人或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129C632C">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495502F">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F31DED9">
      <w:pPr>
        <w:spacing w:line="360" w:lineRule="auto"/>
        <w:ind w:firstLine="480" w:firstLineChars="200"/>
        <w:rPr>
          <w:bCs/>
        </w:rPr>
      </w:pPr>
      <w:r>
        <w:rPr>
          <w:bCs/>
        </w:rPr>
        <w:t>2、通讯开会。通讯开会系指基金份额持有人将其对表决事项的投票以书面形式</w:t>
      </w:r>
      <w:r>
        <w:rPr>
          <w:rFonts w:hint="eastAsia"/>
          <w:bCs/>
        </w:rPr>
        <w:t>或会议通知载明的其他方式</w:t>
      </w:r>
      <w:r>
        <w:rPr>
          <w:bCs/>
        </w:rPr>
        <w:t>在表决</w:t>
      </w:r>
      <w:r>
        <w:rPr>
          <w:rFonts w:hint="eastAsia"/>
          <w:bCs/>
        </w:rPr>
        <w:t>截止</w:t>
      </w:r>
      <w:r>
        <w:rPr>
          <w:bCs/>
        </w:rPr>
        <w:t>日以前送达至召集人指定的地址。通讯开会应以书面方式</w:t>
      </w:r>
      <w:r>
        <w:rPr>
          <w:rFonts w:hint="eastAsia"/>
          <w:bCs/>
        </w:rPr>
        <w:t>或会议通知载明的其他方式</w:t>
      </w:r>
      <w:r>
        <w:rPr>
          <w:bCs/>
        </w:rPr>
        <w:t>进行表决。</w:t>
      </w:r>
    </w:p>
    <w:p w14:paraId="773EFCC3">
      <w:pPr>
        <w:spacing w:line="360" w:lineRule="auto"/>
        <w:ind w:firstLine="480" w:firstLineChars="200"/>
        <w:rPr>
          <w:bCs/>
        </w:rPr>
      </w:pPr>
      <w:r>
        <w:rPr>
          <w:bCs/>
        </w:rPr>
        <w:t>在同时符合以下条件时，通讯开会的方式视为有效：</w:t>
      </w:r>
    </w:p>
    <w:p w14:paraId="4673C9C3">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631020AB">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CC2305C">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40C63D5F">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102D3A69">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322679E7">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91F6FC2">
      <w:pPr>
        <w:spacing w:line="360" w:lineRule="auto"/>
        <w:ind w:firstLine="480" w:firstLineChars="200"/>
        <w:rPr>
          <w:bCs/>
        </w:rPr>
      </w:pPr>
      <w:bookmarkStart w:id="82" w:name="_Toc15641224"/>
      <w:bookmarkStart w:id="83" w:name="_Toc79392588"/>
      <w:bookmarkStart w:id="84" w:name="_Toc57530247"/>
      <w:r>
        <w:rPr>
          <w:bCs/>
        </w:rPr>
        <w:t>五、议事内容与程序</w:t>
      </w:r>
      <w:bookmarkEnd w:id="82"/>
      <w:bookmarkEnd w:id="83"/>
      <w:bookmarkEnd w:id="84"/>
    </w:p>
    <w:p w14:paraId="160F1AFA">
      <w:pPr>
        <w:spacing w:line="360" w:lineRule="auto"/>
        <w:ind w:firstLine="480" w:firstLineChars="200"/>
        <w:rPr>
          <w:bCs/>
        </w:rPr>
      </w:pPr>
      <w:r>
        <w:rPr>
          <w:bCs/>
        </w:rPr>
        <w:t>1、议事内容及提案权</w:t>
      </w:r>
    </w:p>
    <w:p w14:paraId="5C8AB6D2">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0947380">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6A1FCDD7">
      <w:pPr>
        <w:spacing w:line="360" w:lineRule="auto"/>
        <w:ind w:firstLine="480" w:firstLineChars="200"/>
        <w:rPr>
          <w:bCs/>
        </w:rPr>
      </w:pPr>
      <w:r>
        <w:rPr>
          <w:bCs/>
        </w:rPr>
        <w:t>基金份额持有人大会不得对未事先公告的议事内容进行表决。</w:t>
      </w:r>
    </w:p>
    <w:p w14:paraId="612890DD">
      <w:pPr>
        <w:spacing w:line="360" w:lineRule="auto"/>
        <w:ind w:firstLine="480" w:firstLineChars="200"/>
        <w:rPr>
          <w:bCs/>
        </w:rPr>
      </w:pPr>
      <w:r>
        <w:rPr>
          <w:bCs/>
        </w:rPr>
        <w:t>2、议事程序</w:t>
      </w:r>
    </w:p>
    <w:p w14:paraId="6C4A4D5E">
      <w:pPr>
        <w:spacing w:line="360" w:lineRule="auto"/>
        <w:ind w:firstLine="480" w:firstLineChars="200"/>
        <w:rPr>
          <w:bCs/>
        </w:rPr>
      </w:pPr>
      <w:r>
        <w:rPr>
          <w:bCs/>
        </w:rPr>
        <w:t>（1）现场开会</w:t>
      </w:r>
    </w:p>
    <w:p w14:paraId="7986FC3E">
      <w:pPr>
        <w:spacing w:line="360" w:lineRule="auto"/>
        <w:ind w:firstLine="480" w:firstLineChars="20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4A87C258">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5537927E">
      <w:pPr>
        <w:spacing w:line="360" w:lineRule="auto"/>
        <w:ind w:firstLine="480" w:firstLineChars="200"/>
        <w:rPr>
          <w:bCs/>
        </w:rPr>
      </w:pPr>
      <w:r>
        <w:rPr>
          <w:bCs/>
        </w:rPr>
        <w:t>（2）通讯开会</w:t>
      </w:r>
    </w:p>
    <w:p w14:paraId="4FFBD486">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0B14EFFA">
      <w:pPr>
        <w:spacing w:line="360" w:lineRule="auto"/>
        <w:ind w:firstLine="480" w:firstLineChars="200"/>
        <w:rPr>
          <w:bCs/>
        </w:rPr>
      </w:pPr>
      <w:bookmarkStart w:id="85" w:name="_Toc79392589"/>
      <w:bookmarkStart w:id="86" w:name="_Toc57530248"/>
      <w:bookmarkStart w:id="87" w:name="_Toc15641225"/>
      <w:r>
        <w:rPr>
          <w:bCs/>
        </w:rPr>
        <w:t>六、表决</w:t>
      </w:r>
      <w:bookmarkEnd w:id="85"/>
      <w:bookmarkEnd w:id="86"/>
      <w:bookmarkEnd w:id="87"/>
    </w:p>
    <w:p w14:paraId="3D46EE63">
      <w:pPr>
        <w:spacing w:line="360" w:lineRule="auto"/>
        <w:ind w:firstLine="480" w:firstLineChars="200"/>
        <w:rPr>
          <w:bCs/>
        </w:rPr>
      </w:pPr>
      <w:r>
        <w:rPr>
          <w:bCs/>
        </w:rPr>
        <w:t>基金份额持有人所持每份基金份额有一票表决权。</w:t>
      </w:r>
    </w:p>
    <w:p w14:paraId="65341804">
      <w:pPr>
        <w:spacing w:line="360" w:lineRule="auto"/>
        <w:ind w:firstLine="480" w:firstLineChars="200"/>
        <w:rPr>
          <w:bCs/>
        </w:rPr>
      </w:pPr>
      <w:r>
        <w:rPr>
          <w:bCs/>
        </w:rPr>
        <w:t>基金份额持有人大会决议分为一般决议和特别决议：</w:t>
      </w:r>
    </w:p>
    <w:p w14:paraId="1A8A394E">
      <w:pPr>
        <w:spacing w:line="360" w:lineRule="auto"/>
        <w:ind w:firstLine="480" w:firstLineChars="200"/>
        <w:rPr>
          <w:bCs/>
        </w:rPr>
      </w:pPr>
      <w:r>
        <w:rPr>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3C535BC">
      <w:pPr>
        <w:spacing w:line="360" w:lineRule="auto"/>
        <w:ind w:firstLine="480" w:firstLineChars="200"/>
        <w:rPr>
          <w:bCs/>
        </w:rPr>
      </w:pPr>
      <w:r>
        <w:rPr>
          <w:bCs/>
        </w:rPr>
        <w:t>2、特别决议，特别决议应当经参加大会的基金份额持有人或其代理人所持表决权的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88" w:name="_Hlk100224890"/>
      <w:r>
        <w:rPr>
          <w:rFonts w:hint="eastAsia"/>
          <w:bCs/>
        </w:rPr>
        <w:t>法律法规、监管机构另有规定或</w:t>
      </w:r>
      <w:bookmarkEnd w:id="88"/>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7FAB4350">
      <w:pPr>
        <w:spacing w:line="360" w:lineRule="auto"/>
        <w:ind w:firstLine="480" w:firstLineChars="200"/>
        <w:rPr>
          <w:bCs/>
        </w:rPr>
      </w:pPr>
      <w:r>
        <w:rPr>
          <w:bCs/>
        </w:rPr>
        <w:t>基金份额持有人大会采取记名方式进行投票表决。</w:t>
      </w:r>
    </w:p>
    <w:p w14:paraId="684241FB">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50EA2601">
      <w:pPr>
        <w:spacing w:line="360" w:lineRule="auto"/>
        <w:ind w:firstLine="480" w:firstLineChars="200"/>
        <w:rPr>
          <w:bCs/>
        </w:rPr>
      </w:pPr>
      <w:r>
        <w:rPr>
          <w:bCs/>
        </w:rPr>
        <w:t>基金份额持有人大会的各项提案或同一项提案内并列的各项议题应当分开审议、逐项表决。</w:t>
      </w:r>
    </w:p>
    <w:p w14:paraId="41C0DCD0">
      <w:pPr>
        <w:spacing w:line="360" w:lineRule="auto"/>
        <w:ind w:firstLine="480" w:firstLineChars="200"/>
        <w:rPr>
          <w:bCs/>
        </w:rPr>
      </w:pPr>
      <w:r>
        <w:rPr>
          <w:rFonts w:hint="eastAsia"/>
          <w:bCs/>
        </w:rPr>
        <w:t>在符合上述规则的前提下，具体规则以召集人发布的基金份额持有人大会通知为准。</w:t>
      </w:r>
    </w:p>
    <w:p w14:paraId="1EE3F959">
      <w:pPr>
        <w:spacing w:line="360" w:lineRule="auto"/>
        <w:ind w:firstLine="480" w:firstLineChars="200"/>
        <w:rPr>
          <w:bCs/>
        </w:rPr>
      </w:pPr>
      <w:bookmarkStart w:id="89" w:name="_Toc57530249"/>
      <w:bookmarkStart w:id="90" w:name="_Toc79392590"/>
      <w:bookmarkStart w:id="91" w:name="_Toc15641226"/>
      <w:r>
        <w:rPr>
          <w:bCs/>
        </w:rPr>
        <w:t>七、计票</w:t>
      </w:r>
      <w:bookmarkEnd w:id="89"/>
      <w:bookmarkEnd w:id="90"/>
      <w:bookmarkEnd w:id="91"/>
    </w:p>
    <w:p w14:paraId="2AE18062">
      <w:pPr>
        <w:spacing w:line="360" w:lineRule="auto"/>
        <w:ind w:firstLine="480" w:firstLineChars="200"/>
        <w:rPr>
          <w:bCs/>
        </w:rPr>
      </w:pPr>
      <w:r>
        <w:rPr>
          <w:bCs/>
        </w:rPr>
        <w:t>1、现场开会</w:t>
      </w:r>
    </w:p>
    <w:p w14:paraId="2806FA28">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EB7A01B">
      <w:pPr>
        <w:spacing w:line="360" w:lineRule="auto"/>
        <w:ind w:firstLine="480" w:firstLineChars="200"/>
        <w:rPr>
          <w:bCs/>
        </w:rPr>
      </w:pPr>
      <w:r>
        <w:rPr>
          <w:bCs/>
        </w:rPr>
        <w:t>（2）监票人应当在基金份额持有人表决后立即进行清点并由大会主持人当场公布计票结果。</w:t>
      </w:r>
    </w:p>
    <w:p w14:paraId="558601E6">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103C972">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5953DBAD">
      <w:pPr>
        <w:spacing w:line="360" w:lineRule="auto"/>
        <w:ind w:firstLine="480" w:firstLineChars="200"/>
        <w:rPr>
          <w:bCs/>
        </w:rPr>
      </w:pPr>
      <w:r>
        <w:rPr>
          <w:bCs/>
        </w:rPr>
        <w:t>2、通讯开会</w:t>
      </w:r>
    </w:p>
    <w:p w14:paraId="011F5DB5">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92" w:name="_Toc79392591"/>
      <w:bookmarkStart w:id="93" w:name="_Toc15641227"/>
      <w:bookmarkStart w:id="94" w:name="_Toc57530250"/>
      <w:r>
        <w:rPr>
          <w:bCs/>
        </w:rPr>
        <w:t>。基金管理人或基金托管人拒派代表对表决意见的计票进行监督的，不影响计票和表决结果。</w:t>
      </w:r>
    </w:p>
    <w:p w14:paraId="2B5AA4C6">
      <w:pPr>
        <w:spacing w:line="360" w:lineRule="auto"/>
        <w:ind w:firstLine="480" w:firstLineChars="200"/>
        <w:rPr>
          <w:bCs/>
        </w:rPr>
      </w:pPr>
      <w:r>
        <w:rPr>
          <w:bCs/>
        </w:rPr>
        <w:t>八、生效与公告</w:t>
      </w:r>
      <w:bookmarkEnd w:id="92"/>
      <w:bookmarkEnd w:id="93"/>
      <w:bookmarkEnd w:id="94"/>
    </w:p>
    <w:p w14:paraId="4F70065D">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17B0F93D">
      <w:pPr>
        <w:spacing w:line="360" w:lineRule="auto"/>
        <w:ind w:firstLine="480" w:firstLineChars="200"/>
        <w:rPr>
          <w:bCs/>
        </w:rPr>
      </w:pPr>
      <w:r>
        <w:rPr>
          <w:bCs/>
        </w:rPr>
        <w:t>基金份额持有人大会的决议自表决通过之日起生效。</w:t>
      </w:r>
    </w:p>
    <w:p w14:paraId="7B56540D">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95" w:name="_Hlt88820702"/>
      <w:bookmarkEnd w:id="95"/>
    </w:p>
    <w:p w14:paraId="39E36E16">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44152BA5">
      <w:pPr>
        <w:spacing w:line="360" w:lineRule="auto"/>
        <w:ind w:firstLine="480" w:firstLineChars="200"/>
        <w:rPr>
          <w:bCs/>
        </w:rPr>
      </w:pPr>
      <w:r>
        <w:rPr>
          <w:rFonts w:hint="eastAsia"/>
          <w:bCs/>
        </w:rPr>
        <w:t>九、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无需事先召开本基金的基金份额持有人大会。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7B383AA5">
      <w:pPr>
        <w:spacing w:line="360" w:lineRule="auto"/>
        <w:ind w:firstLine="480" w:firstLineChars="200"/>
        <w:rPr>
          <w:bCs/>
        </w:rPr>
      </w:pPr>
      <w:r>
        <w:rPr>
          <w:rFonts w:hint="eastAsia"/>
          <w:bCs/>
        </w:rPr>
        <w:t>在遵循本基金基金份额持有人利益优先原则的前提下，本基金的基金管理人可代表本基金的基金份额持有人提议召开或召集本基金所持基金的基金份额持有人大会，无需事先召开本基金的基金份额持有人大会。投资者持有本基金基金份额的行为即视为同意本基金管理人代表本基金的基金份额持有人提议召开或召集本基金所持基金的基金份额持有人大会。法律法规或监管部门另有规定的从其规定。</w:t>
      </w:r>
    </w:p>
    <w:p w14:paraId="6503031A">
      <w:pPr>
        <w:spacing w:line="360" w:lineRule="auto"/>
        <w:ind w:firstLine="480" w:firstLineChars="200"/>
        <w:rPr>
          <w:bCs/>
        </w:rPr>
      </w:pPr>
      <w:r>
        <w:rPr>
          <w:rFonts w:hint="eastAsia"/>
          <w:bCs/>
        </w:rPr>
        <w:t>十、实施侧袋机制期间基金份额持有人大会的特殊约定</w:t>
      </w:r>
    </w:p>
    <w:p w14:paraId="3F9AF6BB">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6F82832">
      <w:pPr>
        <w:spacing w:line="360" w:lineRule="auto"/>
        <w:ind w:firstLine="480" w:firstLineChars="200"/>
        <w:rPr>
          <w:bCs/>
        </w:rPr>
      </w:pPr>
      <w:r>
        <w:rPr>
          <w:rFonts w:hint="eastAsia"/>
          <w:bCs/>
        </w:rPr>
        <w:t>1、基金份额持有人行使提议权、召集权、提名权所需单独或合计代表相关基金份额10%以上（含10%）；</w:t>
      </w:r>
    </w:p>
    <w:p w14:paraId="692ACBD8">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29DB1AD3">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55A0E612">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8A71D14">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5E134841">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24C7C41A">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1EBACECC">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F9C282B">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24BE0570">
      <w:pPr>
        <w:spacing w:line="360" w:lineRule="auto"/>
        <w:ind w:firstLine="480" w:firstLineChars="200"/>
      </w:pPr>
      <w:r>
        <w:rPr>
          <w:rFonts w:hint="eastAsia"/>
          <w:bCs/>
        </w:rPr>
        <w:t>十一、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28E3716E">
      <w:pPr>
        <w:widowControl/>
        <w:spacing w:line="240" w:lineRule="auto"/>
        <w:jc w:val="left"/>
        <w:rPr>
          <w:b/>
          <w:bCs/>
          <w:kern w:val="0"/>
          <w:sz w:val="30"/>
          <w:szCs w:val="20"/>
        </w:rPr>
      </w:pPr>
      <w:r>
        <w:rPr>
          <w:kern w:val="0"/>
          <w:sz w:val="30"/>
          <w:szCs w:val="20"/>
        </w:rPr>
        <w:br w:type="page"/>
      </w:r>
    </w:p>
    <w:p w14:paraId="38835756">
      <w:pPr>
        <w:pStyle w:val="2"/>
      </w:pPr>
      <w:bookmarkStart w:id="96" w:name="_Toc218514489"/>
      <w:r>
        <w:rPr>
          <w:rFonts w:hint="eastAsia"/>
        </w:rPr>
        <w:t>基金管理人、基金托管人的更换条件和程序</w:t>
      </w:r>
      <w:bookmarkEnd w:id="96"/>
    </w:p>
    <w:p w14:paraId="21BA57EF"/>
    <w:p w14:paraId="04CC2F90">
      <w:pPr>
        <w:spacing w:line="360" w:lineRule="auto"/>
        <w:ind w:firstLine="480" w:firstLineChars="200"/>
        <w:rPr>
          <w:bCs/>
          <w:szCs w:val="20"/>
        </w:rPr>
      </w:pPr>
      <w:bookmarkStart w:id="97" w:name="_Toc57530252"/>
      <w:bookmarkStart w:id="98" w:name="_Toc79392593"/>
      <w:bookmarkStart w:id="99" w:name="_Toc15118245"/>
      <w:r>
        <w:rPr>
          <w:bCs/>
          <w:szCs w:val="20"/>
        </w:rPr>
        <w:t>一、基金管理人和基金托管人职责终止的情形</w:t>
      </w:r>
      <w:bookmarkEnd w:id="97"/>
      <w:bookmarkEnd w:id="98"/>
      <w:bookmarkEnd w:id="99"/>
    </w:p>
    <w:p w14:paraId="28496295">
      <w:pPr>
        <w:spacing w:line="360" w:lineRule="auto"/>
        <w:ind w:firstLine="480" w:firstLineChars="200"/>
        <w:rPr>
          <w:bCs/>
          <w:szCs w:val="20"/>
        </w:rPr>
      </w:pPr>
      <w:bookmarkStart w:id="100" w:name="_Toc22005971"/>
      <w:r>
        <w:rPr>
          <w:bCs/>
          <w:szCs w:val="20"/>
        </w:rPr>
        <w:t>（一）基金管理人职责终止的情形</w:t>
      </w:r>
      <w:bookmarkEnd w:id="100"/>
    </w:p>
    <w:p w14:paraId="2257BB9B">
      <w:pPr>
        <w:spacing w:line="360" w:lineRule="auto"/>
        <w:ind w:firstLine="480" w:firstLineChars="200"/>
        <w:rPr>
          <w:bCs/>
          <w:szCs w:val="20"/>
        </w:rPr>
      </w:pPr>
      <w:r>
        <w:rPr>
          <w:bCs/>
          <w:szCs w:val="20"/>
        </w:rPr>
        <w:t>有下列情形之一的，基金管理人职责终止：</w:t>
      </w:r>
    </w:p>
    <w:p w14:paraId="1AC4FC1B">
      <w:pPr>
        <w:spacing w:line="360" w:lineRule="auto"/>
        <w:ind w:firstLine="480" w:firstLineChars="200"/>
        <w:rPr>
          <w:bCs/>
          <w:szCs w:val="20"/>
        </w:rPr>
      </w:pPr>
      <w:r>
        <w:rPr>
          <w:bCs/>
          <w:szCs w:val="20"/>
        </w:rPr>
        <w:t>1、被依法取消基金管理资格；</w:t>
      </w:r>
    </w:p>
    <w:p w14:paraId="120866A3">
      <w:pPr>
        <w:spacing w:line="360" w:lineRule="auto"/>
        <w:ind w:firstLine="480" w:firstLineChars="200"/>
        <w:rPr>
          <w:bCs/>
          <w:szCs w:val="20"/>
        </w:rPr>
      </w:pPr>
      <w:r>
        <w:rPr>
          <w:bCs/>
          <w:szCs w:val="20"/>
        </w:rPr>
        <w:t>2、被基金份额持有人大会解任；</w:t>
      </w:r>
    </w:p>
    <w:p w14:paraId="675631FC">
      <w:pPr>
        <w:spacing w:line="360" w:lineRule="auto"/>
        <w:ind w:firstLine="480" w:firstLineChars="200"/>
        <w:rPr>
          <w:bCs/>
          <w:szCs w:val="20"/>
        </w:rPr>
      </w:pPr>
      <w:r>
        <w:rPr>
          <w:bCs/>
          <w:szCs w:val="20"/>
        </w:rPr>
        <w:t>3、依法解散、被依法撤销或被依法宣告破产；</w:t>
      </w:r>
    </w:p>
    <w:p w14:paraId="70C88848">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58211609">
      <w:pPr>
        <w:spacing w:line="360" w:lineRule="auto"/>
        <w:ind w:firstLine="480" w:firstLineChars="200"/>
        <w:rPr>
          <w:bCs/>
          <w:szCs w:val="20"/>
        </w:rPr>
      </w:pPr>
      <w:bookmarkStart w:id="101" w:name="_Toc22005972"/>
      <w:r>
        <w:rPr>
          <w:bCs/>
          <w:szCs w:val="20"/>
        </w:rPr>
        <w:t>（二）基金托管人职责终止的情形</w:t>
      </w:r>
      <w:bookmarkEnd w:id="101"/>
    </w:p>
    <w:p w14:paraId="0857360F">
      <w:pPr>
        <w:spacing w:line="360" w:lineRule="auto"/>
        <w:ind w:firstLine="480" w:firstLineChars="200"/>
        <w:rPr>
          <w:bCs/>
          <w:szCs w:val="20"/>
        </w:rPr>
      </w:pPr>
      <w:r>
        <w:rPr>
          <w:bCs/>
          <w:szCs w:val="20"/>
        </w:rPr>
        <w:t>有下列情形之一的，基金托管人职责终止：</w:t>
      </w:r>
    </w:p>
    <w:p w14:paraId="14C18850">
      <w:pPr>
        <w:spacing w:line="360" w:lineRule="auto"/>
        <w:ind w:firstLine="480" w:firstLineChars="200"/>
        <w:rPr>
          <w:bCs/>
          <w:szCs w:val="20"/>
        </w:rPr>
      </w:pPr>
      <w:r>
        <w:rPr>
          <w:bCs/>
          <w:szCs w:val="20"/>
        </w:rPr>
        <w:t>1、被依法取消基金托管资格；</w:t>
      </w:r>
    </w:p>
    <w:p w14:paraId="5F9714A4">
      <w:pPr>
        <w:spacing w:line="360" w:lineRule="auto"/>
        <w:ind w:firstLine="480" w:firstLineChars="200"/>
        <w:rPr>
          <w:bCs/>
          <w:szCs w:val="20"/>
        </w:rPr>
      </w:pPr>
      <w:r>
        <w:rPr>
          <w:bCs/>
          <w:szCs w:val="20"/>
        </w:rPr>
        <w:t>2、被基金份额持有人大会解任；</w:t>
      </w:r>
    </w:p>
    <w:p w14:paraId="41FFBE88">
      <w:pPr>
        <w:spacing w:line="360" w:lineRule="auto"/>
        <w:ind w:firstLine="480" w:firstLineChars="200"/>
        <w:rPr>
          <w:bCs/>
          <w:szCs w:val="20"/>
        </w:rPr>
      </w:pPr>
      <w:r>
        <w:rPr>
          <w:bCs/>
          <w:szCs w:val="20"/>
        </w:rPr>
        <w:t>3、依法解散、被依法撤销或被依法宣告破产；</w:t>
      </w:r>
    </w:p>
    <w:p w14:paraId="0B3D30EA">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458A3BC0">
      <w:pPr>
        <w:spacing w:line="360" w:lineRule="auto"/>
        <w:ind w:firstLine="480" w:firstLineChars="200"/>
        <w:rPr>
          <w:bCs/>
          <w:szCs w:val="20"/>
        </w:rPr>
      </w:pPr>
      <w:bookmarkStart w:id="102" w:name="_Toc15118246"/>
      <w:bookmarkStart w:id="103" w:name="_Toc79392594"/>
      <w:bookmarkStart w:id="104" w:name="_Toc57530253"/>
      <w:r>
        <w:rPr>
          <w:bCs/>
          <w:szCs w:val="20"/>
        </w:rPr>
        <w:t>二、基金管理人和基金托管人的更换程序</w:t>
      </w:r>
      <w:bookmarkEnd w:id="102"/>
      <w:bookmarkEnd w:id="103"/>
      <w:bookmarkEnd w:id="104"/>
    </w:p>
    <w:p w14:paraId="63231E2C">
      <w:pPr>
        <w:spacing w:line="360" w:lineRule="auto"/>
        <w:ind w:firstLine="480" w:firstLineChars="200"/>
        <w:rPr>
          <w:bCs/>
          <w:szCs w:val="20"/>
        </w:rPr>
      </w:pPr>
      <w:bookmarkStart w:id="105" w:name="_Toc22005974"/>
      <w:r>
        <w:rPr>
          <w:bCs/>
          <w:szCs w:val="20"/>
        </w:rPr>
        <w:t>（一）基金管理人的更换程序</w:t>
      </w:r>
      <w:bookmarkEnd w:id="105"/>
    </w:p>
    <w:p w14:paraId="55496DA0">
      <w:pPr>
        <w:spacing w:line="360" w:lineRule="auto"/>
        <w:ind w:firstLine="480" w:firstLineChars="200"/>
        <w:rPr>
          <w:bCs/>
          <w:szCs w:val="20"/>
        </w:rPr>
      </w:pPr>
      <w:r>
        <w:rPr>
          <w:bCs/>
          <w:szCs w:val="20"/>
        </w:rPr>
        <w:t>1、提名：</w:t>
      </w:r>
      <w:r>
        <w:rPr>
          <w:rFonts w:hint="eastAsia"/>
          <w:bCs/>
          <w:szCs w:val="20"/>
        </w:rPr>
        <w:t>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7CFF85B0">
      <w:pPr>
        <w:spacing w:line="360" w:lineRule="auto"/>
        <w:ind w:firstLine="480" w:firstLineChars="200"/>
        <w:rPr>
          <w:bCs/>
          <w:szCs w:val="20"/>
        </w:rPr>
      </w:pPr>
      <w:r>
        <w:rPr>
          <w:bCs/>
          <w:szCs w:val="20"/>
        </w:rPr>
        <w:t>2、决议：基金份额持有人大会在基金管理人职责终止后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14:paraId="71B8A6B9">
      <w:pPr>
        <w:spacing w:line="360" w:lineRule="auto"/>
        <w:ind w:firstLine="480" w:firstLineChars="200"/>
        <w:rPr>
          <w:bCs/>
          <w:szCs w:val="20"/>
        </w:rPr>
      </w:pPr>
      <w:bookmarkStart w:id="106" w:name="OLE_LINK18"/>
      <w:r>
        <w:rPr>
          <w:bCs/>
          <w:szCs w:val="20"/>
        </w:rPr>
        <w:t>3、临时基金管理人：新任基金管理人产生之前，</w:t>
      </w:r>
      <w:r>
        <w:rPr>
          <w:rFonts w:hint="eastAsia"/>
          <w:bCs/>
          <w:szCs w:val="20"/>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bCs/>
          <w:szCs w:val="20"/>
        </w:rPr>
        <w:t>由中国证监会指定临时基金管理人；</w:t>
      </w:r>
    </w:p>
    <w:bookmarkEnd w:id="106"/>
    <w:p w14:paraId="783FB769">
      <w:pPr>
        <w:spacing w:line="360" w:lineRule="auto"/>
        <w:ind w:firstLine="480" w:firstLineChars="200"/>
        <w:rPr>
          <w:bCs/>
          <w:szCs w:val="20"/>
        </w:rPr>
      </w:pPr>
      <w:r>
        <w:rPr>
          <w:bCs/>
          <w:szCs w:val="20"/>
        </w:rPr>
        <w:t>4、</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14:paraId="3F6C24FD">
      <w:pPr>
        <w:spacing w:line="360" w:lineRule="auto"/>
        <w:ind w:firstLine="480" w:firstLineChars="200"/>
        <w:rPr>
          <w:bCs/>
          <w:szCs w:val="20"/>
        </w:rPr>
      </w:pPr>
      <w:r>
        <w:rPr>
          <w:bCs/>
          <w:szCs w:val="20"/>
        </w:rPr>
        <w:t>5、公告：基金管理人更换后，由基金托管人在更换基金管理人的基金份额持有人大会决议生效后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32D3E2D7">
      <w:pPr>
        <w:spacing w:line="360" w:lineRule="auto"/>
        <w:ind w:firstLine="480" w:firstLineChars="200"/>
        <w:rPr>
          <w:bCs/>
          <w:szCs w:val="20"/>
        </w:rPr>
      </w:pPr>
      <w:r>
        <w:rPr>
          <w:bCs/>
          <w:szCs w:val="20"/>
        </w:rPr>
        <w:t>6、交接</w:t>
      </w:r>
      <w:r>
        <w:rPr>
          <w:rFonts w:hint="eastAsia"/>
          <w:bCs/>
          <w:szCs w:val="20"/>
        </w:rPr>
        <w:t>与责任划分</w:t>
      </w:r>
      <w:r>
        <w:rPr>
          <w:bCs/>
          <w:szCs w:val="20"/>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和净值。基金管理人、临时基金管理人、新任基金管理人应对各自履职行为依法承担责任</w:t>
      </w:r>
      <w:r>
        <w:rPr>
          <w:bCs/>
          <w:szCs w:val="20"/>
        </w:rPr>
        <w:t>；</w:t>
      </w:r>
    </w:p>
    <w:p w14:paraId="05B21F49">
      <w:pPr>
        <w:spacing w:line="360" w:lineRule="auto"/>
        <w:ind w:firstLine="480" w:firstLineChars="200"/>
        <w:rPr>
          <w:bCs/>
          <w:szCs w:val="20"/>
        </w:rPr>
      </w:pPr>
      <w:r>
        <w:rPr>
          <w:bCs/>
          <w:szCs w:val="20"/>
        </w:rPr>
        <w:t>7、审计：基金管理人职责终止的，应当按照法律法规规定聘请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1D66EA72">
      <w:pPr>
        <w:spacing w:line="360" w:lineRule="auto"/>
        <w:ind w:firstLine="480" w:firstLineChars="200"/>
        <w:rPr>
          <w:bCs/>
          <w:szCs w:val="20"/>
        </w:rPr>
      </w:pPr>
      <w:r>
        <w:rPr>
          <w:bCs/>
          <w:szCs w:val="20"/>
        </w:rPr>
        <w:t>8、基金名称变更：基金管理人更换后，如果原任或新任基金管理人要求，应按其要求替换或删除基金名称中与</w:t>
      </w:r>
      <w:r>
        <w:rPr>
          <w:rFonts w:hint="eastAsia"/>
          <w:bCs/>
          <w:szCs w:val="20"/>
        </w:rPr>
        <w:t>原任</w:t>
      </w:r>
      <w:r>
        <w:rPr>
          <w:bCs/>
          <w:szCs w:val="20"/>
        </w:rPr>
        <w:t>基金管理人有关的名称字样。</w:t>
      </w:r>
    </w:p>
    <w:p w14:paraId="103CD05D">
      <w:pPr>
        <w:spacing w:line="360" w:lineRule="auto"/>
        <w:ind w:firstLine="480" w:firstLineChars="200"/>
        <w:rPr>
          <w:bCs/>
          <w:szCs w:val="20"/>
        </w:rPr>
      </w:pPr>
      <w:bookmarkStart w:id="107" w:name="_Toc22005975"/>
      <w:r>
        <w:rPr>
          <w:bCs/>
          <w:szCs w:val="20"/>
        </w:rPr>
        <w:t>（二）基金托管人的更换程序</w:t>
      </w:r>
      <w:bookmarkEnd w:id="107"/>
    </w:p>
    <w:p w14:paraId="08123510">
      <w:pPr>
        <w:spacing w:line="360" w:lineRule="auto"/>
        <w:ind w:firstLine="480" w:firstLineChars="200"/>
        <w:rPr>
          <w:bCs/>
          <w:szCs w:val="20"/>
        </w:rPr>
      </w:pPr>
      <w:r>
        <w:rPr>
          <w:bCs/>
          <w:szCs w:val="20"/>
        </w:rPr>
        <w:t>1、提名：新任基金托管人由基金管理人或由单独或合计持有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14:paraId="3D8A5FE9">
      <w:pPr>
        <w:spacing w:line="360" w:lineRule="auto"/>
        <w:ind w:firstLine="480" w:firstLineChars="200"/>
        <w:rPr>
          <w:bCs/>
          <w:szCs w:val="20"/>
        </w:rPr>
      </w:pPr>
      <w:r>
        <w:rPr>
          <w:bCs/>
          <w:szCs w:val="20"/>
        </w:rPr>
        <w:t>2、决议：基金份额持有人大会在基金托管人职责终止后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14:paraId="008E30DC">
      <w:pPr>
        <w:spacing w:line="360" w:lineRule="auto"/>
        <w:ind w:firstLine="480" w:firstLineChars="200"/>
        <w:rPr>
          <w:bCs/>
          <w:szCs w:val="20"/>
        </w:rPr>
      </w:pPr>
      <w:r>
        <w:rPr>
          <w:bCs/>
          <w:szCs w:val="20"/>
        </w:rPr>
        <w:t>3、临时基金托管人：新任基金托管人产生之前，由中国证监会指定临时基金托管人；</w:t>
      </w:r>
    </w:p>
    <w:p w14:paraId="69F518C6">
      <w:pPr>
        <w:spacing w:line="360" w:lineRule="auto"/>
        <w:ind w:firstLine="480" w:firstLineChars="200"/>
        <w:rPr>
          <w:bCs/>
          <w:szCs w:val="20"/>
        </w:rPr>
      </w:pPr>
      <w:r>
        <w:rPr>
          <w:bCs/>
          <w:szCs w:val="20"/>
        </w:rPr>
        <w:t>4、</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14:paraId="7AC44E40">
      <w:pPr>
        <w:spacing w:line="360" w:lineRule="auto"/>
        <w:ind w:firstLine="480" w:firstLineChars="200"/>
        <w:rPr>
          <w:bCs/>
          <w:szCs w:val="20"/>
        </w:rPr>
      </w:pPr>
      <w:r>
        <w:rPr>
          <w:bCs/>
          <w:szCs w:val="20"/>
        </w:rPr>
        <w:t>5、公告：基金托管人更换后，由基金管理人在更换基金托管人的基金份额持有人大会决议生效后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57FAEF40">
      <w:pPr>
        <w:spacing w:line="360" w:lineRule="auto"/>
        <w:ind w:firstLine="480" w:firstLineChars="200"/>
        <w:rPr>
          <w:bCs/>
          <w:szCs w:val="20"/>
        </w:rPr>
      </w:pPr>
      <w:r>
        <w:rPr>
          <w:bCs/>
          <w:szCs w:val="20"/>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Cs w:val="20"/>
        </w:rPr>
        <w:t>或临时基金托管人</w:t>
      </w:r>
      <w:r>
        <w:rPr>
          <w:bCs/>
          <w:szCs w:val="20"/>
        </w:rPr>
        <w:t>与基金管理人核对基金资产总值</w:t>
      </w:r>
      <w:r>
        <w:rPr>
          <w:rFonts w:hint="eastAsia"/>
          <w:bCs/>
          <w:szCs w:val="20"/>
        </w:rPr>
        <w:t>和净值</w:t>
      </w:r>
      <w:r>
        <w:rPr>
          <w:bCs/>
          <w:szCs w:val="20"/>
        </w:rPr>
        <w:t>；</w:t>
      </w:r>
    </w:p>
    <w:p w14:paraId="50B949C8">
      <w:pPr>
        <w:spacing w:line="360" w:lineRule="auto"/>
        <w:ind w:firstLine="480" w:firstLineChars="200"/>
        <w:rPr>
          <w:bCs/>
          <w:szCs w:val="20"/>
        </w:rPr>
      </w:pPr>
      <w:r>
        <w:rPr>
          <w:bCs/>
          <w:szCs w:val="20"/>
        </w:rPr>
        <w:t>7、审计：基金托管人职责终止的，应当按照法律法规规定聘请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6F506E32">
      <w:pPr>
        <w:spacing w:line="360" w:lineRule="auto"/>
        <w:ind w:firstLine="480" w:firstLineChars="200"/>
        <w:rPr>
          <w:bCs/>
          <w:szCs w:val="20"/>
        </w:rPr>
      </w:pPr>
      <w:bookmarkStart w:id="108" w:name="_Toc1357"/>
      <w:r>
        <w:rPr>
          <w:bCs/>
          <w:szCs w:val="20"/>
        </w:rPr>
        <w:t>（三）基金管理人与基金托管人同时更换的条件和程序</w:t>
      </w:r>
      <w:bookmarkEnd w:id="108"/>
    </w:p>
    <w:p w14:paraId="7BA06D9F">
      <w:pPr>
        <w:spacing w:line="360" w:lineRule="auto"/>
        <w:ind w:firstLine="480" w:firstLineChars="20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14:paraId="549A5789">
      <w:pPr>
        <w:spacing w:line="360" w:lineRule="auto"/>
        <w:ind w:firstLine="480" w:firstLineChars="200"/>
        <w:rPr>
          <w:bCs/>
          <w:szCs w:val="20"/>
        </w:rPr>
      </w:pPr>
      <w:r>
        <w:rPr>
          <w:bCs/>
          <w:szCs w:val="20"/>
        </w:rPr>
        <w:t>2</w:t>
      </w:r>
      <w:r>
        <w:rPr>
          <w:rFonts w:hint="eastAsia"/>
          <w:bCs/>
          <w:szCs w:val="20"/>
        </w:rPr>
        <w:t>、</w:t>
      </w:r>
      <w:r>
        <w:rPr>
          <w:bCs/>
          <w:szCs w:val="20"/>
        </w:rPr>
        <w:t>基金管理人和基金托管人的更换分别按上述程序进行；</w:t>
      </w:r>
    </w:p>
    <w:p w14:paraId="401CF677">
      <w:pPr>
        <w:spacing w:line="360" w:lineRule="auto"/>
        <w:ind w:firstLine="480" w:firstLineChars="200"/>
        <w:rPr>
          <w:bCs/>
          <w:szCs w:val="20"/>
        </w:rPr>
      </w:pPr>
      <w:r>
        <w:rPr>
          <w:bCs/>
          <w:szCs w:val="20"/>
        </w:rPr>
        <w:t>3</w:t>
      </w:r>
      <w:r>
        <w:rPr>
          <w:rFonts w:hint="eastAsia"/>
          <w:bCs/>
          <w:szCs w:val="20"/>
        </w:rPr>
        <w:t>、</w:t>
      </w:r>
      <w:r>
        <w:rPr>
          <w:bCs/>
          <w:szCs w:val="20"/>
        </w:rPr>
        <w:t>公告：新任基金管理人和新任基金托管人应在更换基金管理人和基金托管人的基金份额持有人大会决议</w:t>
      </w:r>
      <w:r>
        <w:rPr>
          <w:rFonts w:hint="eastAsia"/>
          <w:bCs/>
          <w:szCs w:val="20"/>
        </w:rPr>
        <w:t>生效</w:t>
      </w:r>
      <w:r>
        <w:rPr>
          <w:bCs/>
          <w:szCs w:val="20"/>
        </w:rPr>
        <w:t>后2日内在规定媒介上联合公告。</w:t>
      </w:r>
    </w:p>
    <w:p w14:paraId="322808F3">
      <w:pPr>
        <w:spacing w:line="360" w:lineRule="auto"/>
        <w:ind w:firstLine="480" w:firstLineChars="200"/>
        <w:rPr>
          <w:bCs/>
          <w:szCs w:val="20"/>
        </w:rPr>
      </w:pPr>
      <w:r>
        <w:rPr>
          <w:rFonts w:hint="eastAsia"/>
          <w:bCs/>
          <w:szCs w:val="20"/>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14:paraId="44EC2453">
      <w:pPr>
        <w:spacing w:line="360" w:lineRule="auto"/>
        <w:ind w:firstLine="480" w:firstLineChars="200"/>
        <w:rPr>
          <w:bCs/>
          <w:szCs w:val="20"/>
        </w:rPr>
      </w:pPr>
      <w:r>
        <w:rPr>
          <w:rFonts w:hint="eastAsia"/>
          <w:bCs/>
          <w:szCs w:val="20"/>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23A5A05">
      <w:pPr>
        <w:widowControl/>
        <w:spacing w:line="240" w:lineRule="auto"/>
        <w:jc w:val="left"/>
        <w:rPr>
          <w:b/>
          <w:kern w:val="0"/>
          <w:sz w:val="30"/>
          <w:szCs w:val="20"/>
        </w:rPr>
      </w:pPr>
      <w:bookmarkStart w:id="109" w:name="_Toc194741907"/>
      <w:r>
        <w:rPr>
          <w:bCs/>
          <w:kern w:val="0"/>
          <w:sz w:val="30"/>
          <w:szCs w:val="20"/>
        </w:rPr>
        <w:br w:type="page"/>
      </w:r>
    </w:p>
    <w:p w14:paraId="039C51CE">
      <w:pPr>
        <w:pStyle w:val="2"/>
      </w:pPr>
      <w:bookmarkStart w:id="110" w:name="_Toc218514490"/>
      <w:r>
        <w:rPr>
          <w:rFonts w:hint="eastAsia"/>
        </w:rPr>
        <w:t>基金的托管</w:t>
      </w:r>
      <w:bookmarkEnd w:id="110"/>
    </w:p>
    <w:p w14:paraId="1EFAF31A"/>
    <w:p w14:paraId="1C4CE6D1">
      <w:pPr>
        <w:spacing w:line="360" w:lineRule="auto"/>
        <w:ind w:firstLine="480" w:firstLineChars="200"/>
        <w:rPr>
          <w:bCs/>
          <w:szCs w:val="20"/>
        </w:rPr>
      </w:pPr>
      <w:r>
        <w:rPr>
          <w:bCs/>
          <w:szCs w:val="20"/>
        </w:rPr>
        <w:t>基金托管人和基金管理人按照《基金法》、基金合同及其他有关规定订立托管协议。</w:t>
      </w:r>
    </w:p>
    <w:p w14:paraId="4D3FA682">
      <w:pPr>
        <w:spacing w:line="360" w:lineRule="auto"/>
        <w:ind w:firstLine="480" w:firstLineChars="20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DE3A71D"/>
    <w:p w14:paraId="418ECDDD">
      <w:pPr>
        <w:widowControl/>
        <w:spacing w:line="240" w:lineRule="auto"/>
        <w:jc w:val="left"/>
        <w:rPr>
          <w:b/>
          <w:kern w:val="0"/>
          <w:sz w:val="30"/>
          <w:szCs w:val="20"/>
        </w:rPr>
      </w:pPr>
      <w:bookmarkStart w:id="111" w:name="_Toc401668937"/>
      <w:r>
        <w:rPr>
          <w:bCs/>
          <w:kern w:val="0"/>
          <w:sz w:val="30"/>
          <w:szCs w:val="20"/>
        </w:rPr>
        <w:br w:type="page"/>
      </w:r>
    </w:p>
    <w:p w14:paraId="1E7C7852">
      <w:pPr>
        <w:pStyle w:val="2"/>
      </w:pPr>
      <w:bookmarkStart w:id="112" w:name="_Toc218514491"/>
      <w:r>
        <w:rPr>
          <w:rFonts w:hint="eastAsia"/>
        </w:rPr>
        <w:t>基金份额的登记</w:t>
      </w:r>
      <w:bookmarkEnd w:id="111"/>
      <w:bookmarkEnd w:id="112"/>
    </w:p>
    <w:p w14:paraId="28209DE2"/>
    <w:p w14:paraId="0655B482">
      <w:pPr>
        <w:spacing w:line="360" w:lineRule="auto"/>
        <w:ind w:firstLine="480" w:firstLineChars="200"/>
        <w:rPr>
          <w:bCs/>
        </w:rPr>
      </w:pPr>
      <w:r>
        <w:rPr>
          <w:bCs/>
        </w:rPr>
        <w:t>一、基金份额的登记业务</w:t>
      </w:r>
    </w:p>
    <w:p w14:paraId="20FA84B1">
      <w:pPr>
        <w:spacing w:line="360" w:lineRule="auto"/>
        <w:ind w:firstLine="480" w:firstLineChars="20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45C14D3F">
      <w:pPr>
        <w:spacing w:line="360" w:lineRule="auto"/>
        <w:ind w:firstLine="480" w:firstLineChars="200"/>
        <w:rPr>
          <w:bCs/>
        </w:rPr>
      </w:pPr>
      <w:r>
        <w:rPr>
          <w:bCs/>
        </w:rPr>
        <w:t>二、基金登记业务办理机构</w:t>
      </w:r>
    </w:p>
    <w:p w14:paraId="23BD46A6">
      <w:pPr>
        <w:spacing w:line="360" w:lineRule="auto"/>
        <w:ind w:firstLine="480" w:firstLineChars="200"/>
        <w:rPr>
          <w:bCs/>
        </w:rPr>
      </w:pPr>
      <w:r>
        <w:rPr>
          <w:bCs/>
        </w:rPr>
        <w:t>本基金的登记业务由基金管理人或基金管理人委托的其他符合条件的机构办理</w:t>
      </w:r>
      <w:r>
        <w:rPr>
          <w:rFonts w:hint="eastAsia"/>
          <w:bCs/>
        </w:rPr>
        <w:t>，但基金管理人依法应当承担的责任不因委托而免除</w:t>
      </w:r>
      <w:r>
        <w:rPr>
          <w:bCs/>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F4C2333">
      <w:pPr>
        <w:spacing w:line="360" w:lineRule="auto"/>
        <w:ind w:firstLine="480" w:firstLineChars="200"/>
        <w:rPr>
          <w:bCs/>
        </w:rPr>
      </w:pPr>
      <w:r>
        <w:rPr>
          <w:bCs/>
        </w:rPr>
        <w:t>三、基金登记机构的权利</w:t>
      </w:r>
      <w:bookmarkStart w:id="113" w:name="_Hlt88820748"/>
      <w:bookmarkEnd w:id="113"/>
    </w:p>
    <w:p w14:paraId="16EF2DA7">
      <w:pPr>
        <w:spacing w:line="360" w:lineRule="auto"/>
        <w:ind w:firstLine="480" w:firstLineChars="200"/>
        <w:rPr>
          <w:bCs/>
        </w:rPr>
      </w:pPr>
      <w:r>
        <w:rPr>
          <w:bCs/>
        </w:rPr>
        <w:t>基金登记机构享有以下权利：</w:t>
      </w:r>
    </w:p>
    <w:p w14:paraId="70B71623">
      <w:pPr>
        <w:spacing w:line="360" w:lineRule="auto"/>
        <w:ind w:firstLine="480" w:firstLineChars="200"/>
        <w:rPr>
          <w:bCs/>
        </w:rPr>
      </w:pPr>
      <w:r>
        <w:rPr>
          <w:bCs/>
        </w:rPr>
        <w:t>1、取得登记费；</w:t>
      </w:r>
    </w:p>
    <w:p w14:paraId="3AD93EF1">
      <w:pPr>
        <w:spacing w:line="360" w:lineRule="auto"/>
        <w:ind w:firstLine="480" w:firstLineChars="200"/>
        <w:rPr>
          <w:bCs/>
        </w:rPr>
      </w:pPr>
      <w:r>
        <w:rPr>
          <w:bCs/>
        </w:rPr>
        <w:t>2、建立和管理投资者基金账户；</w:t>
      </w:r>
    </w:p>
    <w:p w14:paraId="3B5071B4">
      <w:pPr>
        <w:spacing w:line="360" w:lineRule="auto"/>
        <w:ind w:firstLine="480" w:firstLineChars="200"/>
        <w:rPr>
          <w:bCs/>
        </w:rPr>
      </w:pPr>
      <w:r>
        <w:rPr>
          <w:bCs/>
        </w:rPr>
        <w:t>3、保管基金份额持有人开户资料、交易资料、基金份额持有人名册等；</w:t>
      </w:r>
    </w:p>
    <w:p w14:paraId="1826CB2D">
      <w:pPr>
        <w:spacing w:line="360" w:lineRule="auto"/>
        <w:ind w:firstLine="480" w:firstLineChars="200"/>
        <w:rPr>
          <w:bCs/>
        </w:rPr>
      </w:pPr>
      <w:r>
        <w:rPr>
          <w:bCs/>
        </w:rPr>
        <w:t>4、在法律法规允许的范围内，对登记业务的办理时间及规则进行调整，并依照有关规定于开始实施前在规定媒介上公告；</w:t>
      </w:r>
    </w:p>
    <w:p w14:paraId="234D4D73">
      <w:pPr>
        <w:spacing w:line="360" w:lineRule="auto"/>
        <w:ind w:firstLine="480" w:firstLineChars="200"/>
        <w:rPr>
          <w:bCs/>
        </w:rPr>
      </w:pPr>
      <w:r>
        <w:rPr>
          <w:bCs/>
        </w:rPr>
        <w:t>5、</w:t>
      </w:r>
      <w:r>
        <w:rPr>
          <w:rFonts w:hint="eastAsia"/>
          <w:bCs/>
        </w:rPr>
        <w:t>法律法规及中国证监会规定的和基金合同约定的其他</w:t>
      </w:r>
      <w:r>
        <w:rPr>
          <w:bCs/>
        </w:rPr>
        <w:t>权利。</w:t>
      </w:r>
    </w:p>
    <w:p w14:paraId="67A0EEEB">
      <w:pPr>
        <w:spacing w:line="360" w:lineRule="auto"/>
        <w:ind w:firstLine="480" w:firstLineChars="200"/>
        <w:rPr>
          <w:bCs/>
        </w:rPr>
      </w:pPr>
      <w:r>
        <w:rPr>
          <w:bCs/>
        </w:rPr>
        <w:t>四、基金登记机构的义务</w:t>
      </w:r>
    </w:p>
    <w:p w14:paraId="23FAABC7">
      <w:pPr>
        <w:spacing w:line="360" w:lineRule="auto"/>
        <w:ind w:firstLine="480" w:firstLineChars="200"/>
        <w:rPr>
          <w:bCs/>
        </w:rPr>
      </w:pPr>
      <w:r>
        <w:rPr>
          <w:bCs/>
        </w:rPr>
        <w:t>基金登记机构承担以下义务：</w:t>
      </w:r>
    </w:p>
    <w:p w14:paraId="629CB52D">
      <w:pPr>
        <w:spacing w:line="360" w:lineRule="auto"/>
        <w:ind w:firstLine="480" w:firstLineChars="200"/>
        <w:rPr>
          <w:bCs/>
        </w:rPr>
      </w:pPr>
      <w:r>
        <w:rPr>
          <w:bCs/>
        </w:rPr>
        <w:t>1、配备足够的专业人员办理本基金基金份额的登记业务；</w:t>
      </w:r>
    </w:p>
    <w:p w14:paraId="30DF6EEB">
      <w:pPr>
        <w:spacing w:line="360" w:lineRule="auto"/>
        <w:ind w:firstLine="480" w:firstLineChars="200"/>
        <w:rPr>
          <w:bCs/>
        </w:rPr>
      </w:pPr>
      <w:r>
        <w:rPr>
          <w:bCs/>
        </w:rPr>
        <w:t>2、严格按照法律法规规定和基金合同约定的条件办理本基金基金份额的登记业务；</w:t>
      </w:r>
    </w:p>
    <w:p w14:paraId="06AEF29C">
      <w:pPr>
        <w:spacing w:line="360" w:lineRule="auto"/>
        <w:ind w:firstLine="480" w:firstLineChars="200"/>
        <w:rPr>
          <w:bCs/>
        </w:rPr>
      </w:pPr>
      <w:r>
        <w:rPr>
          <w:bCs/>
        </w:rPr>
        <w:t>3、妥善保存登记数据，并将基金份额持有人名称、身份信息及基金份额明细等数据备份至中国证监会认定的机构。其保存期限自基金账户销户之日起不得少于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009DF7DC">
      <w:pPr>
        <w:spacing w:line="360" w:lineRule="auto"/>
        <w:ind w:firstLine="480" w:firstLineChars="200"/>
        <w:rPr>
          <w:bCs/>
        </w:rPr>
      </w:pPr>
      <w:r>
        <w:rPr>
          <w:bCs/>
        </w:rPr>
        <w:t>4、对基金份额持有人的基金账户信息负有保密义务，因违反该保密义务对投资者或基金带来的损失，须承担相应的赔偿责任，但司法强制检查情形及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473A5457">
      <w:pPr>
        <w:spacing w:line="360" w:lineRule="auto"/>
        <w:ind w:firstLine="480" w:firstLineChars="200"/>
        <w:rPr>
          <w:bCs/>
        </w:rPr>
      </w:pPr>
      <w:r>
        <w:rPr>
          <w:bCs/>
        </w:rPr>
        <w:t>5、按基金合同及招募说明书规定为投资者办理非交易过户业务、提供其他必要的服务；</w:t>
      </w:r>
    </w:p>
    <w:p w14:paraId="23C267E6">
      <w:pPr>
        <w:spacing w:line="360" w:lineRule="auto"/>
        <w:ind w:firstLine="480" w:firstLineChars="200"/>
        <w:rPr>
          <w:bCs/>
        </w:rPr>
      </w:pPr>
      <w:r>
        <w:rPr>
          <w:bCs/>
        </w:rPr>
        <w:t>6、接受基金管理人的监督；</w:t>
      </w:r>
    </w:p>
    <w:p w14:paraId="74189CC5">
      <w:pPr>
        <w:spacing w:line="360" w:lineRule="auto"/>
        <w:ind w:firstLine="480" w:firstLineChars="200"/>
      </w:pPr>
      <w:r>
        <w:rPr>
          <w:bCs/>
        </w:rPr>
        <w:t>7、</w:t>
      </w:r>
      <w:r>
        <w:rPr>
          <w:rFonts w:hint="eastAsia"/>
          <w:bCs/>
        </w:rPr>
        <w:t>法律法规及中国证监会规定的和基金合同约定的其他</w:t>
      </w:r>
      <w:r>
        <w:rPr>
          <w:bCs/>
        </w:rPr>
        <w:t>义务。</w:t>
      </w:r>
    </w:p>
    <w:p w14:paraId="6F4336F0">
      <w:pPr>
        <w:widowControl/>
        <w:spacing w:line="240" w:lineRule="auto"/>
        <w:jc w:val="left"/>
        <w:rPr>
          <w:b/>
          <w:kern w:val="0"/>
          <w:sz w:val="30"/>
          <w:szCs w:val="20"/>
        </w:rPr>
      </w:pPr>
      <w:bookmarkStart w:id="114" w:name="_Toc401668938"/>
      <w:r>
        <w:rPr>
          <w:bCs/>
          <w:kern w:val="0"/>
          <w:sz w:val="30"/>
          <w:szCs w:val="20"/>
        </w:rPr>
        <w:br w:type="page"/>
      </w:r>
    </w:p>
    <w:p w14:paraId="009F7B52">
      <w:pPr>
        <w:pStyle w:val="2"/>
      </w:pPr>
      <w:bookmarkStart w:id="115" w:name="_Toc218514492"/>
      <w:r>
        <w:rPr>
          <w:rFonts w:hint="eastAsia"/>
        </w:rPr>
        <w:t>基金的投资</w:t>
      </w:r>
      <w:bookmarkEnd w:id="114"/>
      <w:bookmarkEnd w:id="115"/>
    </w:p>
    <w:p w14:paraId="014A9C16"/>
    <w:p w14:paraId="26529A50">
      <w:pPr>
        <w:spacing w:line="360" w:lineRule="auto"/>
        <w:ind w:firstLine="480" w:firstLineChars="200"/>
        <w:rPr>
          <w:bCs/>
        </w:rPr>
      </w:pPr>
      <w:r>
        <w:rPr>
          <w:bCs/>
        </w:rPr>
        <w:t>一、投资目标</w:t>
      </w:r>
    </w:p>
    <w:p w14:paraId="49F6B561">
      <w:pPr>
        <w:spacing w:line="360" w:lineRule="auto"/>
        <w:ind w:firstLine="480" w:firstLineChars="200"/>
        <w:rPr>
          <w:bCs/>
        </w:rPr>
      </w:pPr>
      <w:r>
        <w:rPr>
          <w:rFonts w:hint="eastAsia"/>
          <w:bCs/>
        </w:rPr>
        <w:t>本基金在严格控制波动率的前提下，力争为基金份额持有人提供长期稳定和超越业绩比较基准的投资回报。</w:t>
      </w:r>
    </w:p>
    <w:p w14:paraId="18993247">
      <w:pPr>
        <w:spacing w:line="360" w:lineRule="auto"/>
        <w:ind w:firstLine="480" w:firstLineChars="200"/>
        <w:rPr>
          <w:bCs/>
        </w:rPr>
      </w:pPr>
      <w:r>
        <w:rPr>
          <w:bCs/>
        </w:rPr>
        <w:t>二、投资范围</w:t>
      </w:r>
    </w:p>
    <w:p w14:paraId="213C9A43">
      <w:pPr>
        <w:spacing w:line="360" w:lineRule="auto"/>
        <w:ind w:firstLine="480"/>
        <w:rPr>
          <w:bCs/>
        </w:rPr>
      </w:pPr>
      <w:bookmarkStart w:id="116" w:name="OLE_LINK31"/>
      <w:bookmarkStart w:id="117" w:name="OLE_LINK32"/>
      <w:r>
        <w:rPr>
          <w:rFonts w:hint="eastAsia"/>
          <w:bCs/>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包括全市场的股票型ETF、公开募集不动产投资信托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25C176CB">
      <w:pPr>
        <w:spacing w:line="360" w:lineRule="auto"/>
        <w:ind w:firstLine="480"/>
      </w:pPr>
      <w:r>
        <w:rPr>
          <w:rFonts w:hint="eastAsia"/>
          <w:bCs/>
        </w:rPr>
        <w:t>如法律法规或监管机构以后允许基金投资其他品种，基金管理人在履行适当程序后，可以将其纳入投资范围。</w:t>
      </w:r>
    </w:p>
    <w:p w14:paraId="5308E75E">
      <w:pPr>
        <w:spacing w:line="360" w:lineRule="auto"/>
        <w:ind w:firstLine="480"/>
        <w:rPr>
          <w:bCs/>
        </w:rPr>
      </w:pPr>
      <w:bookmarkStart w:id="118" w:name="OLE_LINK19"/>
      <w:r>
        <w:rPr>
          <w:bCs/>
        </w:rPr>
        <w:t>基金的投资组合比例为：</w:t>
      </w:r>
      <w:bookmarkStart w:id="119" w:name="OLE_LINK5"/>
      <w:r>
        <w:rPr>
          <w:rFonts w:hint="eastAsia"/>
          <w:bCs/>
        </w:rPr>
        <w:t>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其中，计入上述权益类资产的混合型基金需符合下列两个条件之一：</w:t>
      </w:r>
    </w:p>
    <w:p w14:paraId="17A0D1B3">
      <w:pPr>
        <w:spacing w:line="360" w:lineRule="auto"/>
        <w:ind w:firstLine="480"/>
        <w:rPr>
          <w:bCs/>
        </w:rPr>
      </w:pPr>
      <w:r>
        <w:rPr>
          <w:rFonts w:hint="eastAsia"/>
          <w:bCs/>
        </w:rPr>
        <w:t>1、基金合同约定股票及存托凭证资产投资比例不低于基金资产60%的混合型基金；</w:t>
      </w:r>
    </w:p>
    <w:p w14:paraId="0F997D9F">
      <w:pPr>
        <w:spacing w:line="360" w:lineRule="auto"/>
        <w:ind w:firstLine="480"/>
        <w:rPr>
          <w:bCs/>
        </w:rPr>
      </w:pPr>
      <w:r>
        <w:rPr>
          <w:rFonts w:hint="eastAsia"/>
          <w:bCs/>
        </w:rPr>
        <w:t>2、根据基金披露的定期报告，最近四个季度中任一季度股票及存托凭证资产占基金资产比例均不低于60%的混合型基金。</w:t>
      </w:r>
    </w:p>
    <w:p w14:paraId="6914638D">
      <w:pPr>
        <w:spacing w:line="360" w:lineRule="auto"/>
        <w:ind w:firstLine="480"/>
        <w:rPr>
          <w:bCs/>
        </w:rPr>
      </w:pPr>
      <w:r>
        <w:rPr>
          <w:rFonts w:hint="eastAsia"/>
          <w:bCs/>
        </w:rPr>
        <w:t>如果法律法规或监管机构变更投资品种的投资比例限制，基金管理人在履行适当程序后，可以调整上述投资品种的投资比例。</w:t>
      </w:r>
      <w:bookmarkEnd w:id="118"/>
      <w:bookmarkEnd w:id="119"/>
    </w:p>
    <w:p w14:paraId="4E3BFDFA">
      <w:pPr>
        <w:spacing w:line="360" w:lineRule="auto"/>
        <w:ind w:firstLine="480" w:firstLineChars="200"/>
        <w:rPr>
          <w:bCs/>
        </w:rPr>
      </w:pPr>
      <w:r>
        <w:rPr>
          <w:bCs/>
        </w:rPr>
        <w:t>三、投资策略</w:t>
      </w:r>
    </w:p>
    <w:bookmarkEnd w:id="116"/>
    <w:bookmarkEnd w:id="117"/>
    <w:p w14:paraId="6C29AF9D">
      <w:pPr>
        <w:spacing w:line="360" w:lineRule="auto"/>
        <w:ind w:firstLine="480" w:firstLineChars="200"/>
        <w:rPr>
          <w:bCs/>
        </w:rPr>
      </w:pPr>
      <w:bookmarkStart w:id="120" w:name="OLE_LINK29"/>
      <w:r>
        <w:rPr>
          <w:rFonts w:hint="eastAsia"/>
          <w:bCs/>
        </w:rPr>
        <w:t>本基金采取稳健灵活的投资策略，力求在有效控制风险的基础上，获得基金资产的稳定增值；同时根据对权益类市场的趋势研判适度参与股票资产投资，力求提高基金总体收益率。</w:t>
      </w:r>
    </w:p>
    <w:p w14:paraId="1642FD2B">
      <w:pPr>
        <w:spacing w:line="360" w:lineRule="auto"/>
        <w:ind w:firstLine="480" w:firstLineChars="200"/>
        <w:rPr>
          <w:bCs/>
        </w:rPr>
      </w:pPr>
      <w:r>
        <w:rPr>
          <w:rFonts w:hint="eastAsia"/>
          <w:bCs/>
        </w:rPr>
        <w:t>（一）资产配置策略</w:t>
      </w:r>
    </w:p>
    <w:p w14:paraId="22F71A16">
      <w:pPr>
        <w:spacing w:line="360" w:lineRule="auto"/>
        <w:ind w:firstLine="480" w:firstLineChars="200"/>
        <w:rPr>
          <w:bCs/>
        </w:rPr>
      </w:pPr>
      <w:r>
        <w:rPr>
          <w:rFonts w:hint="eastAsia"/>
          <w:bCs/>
        </w:rPr>
        <w:t>本基金采取自上而下的方法对基金资产进行动态的整体资产配置和类属资产配置。在认真研判宏观经济运行状况和金融市场运行趋势的基础上，根据整体资产配置策略动态调整大类金融资产的比例；在充分分析债券市场环境及市场流动性的基础上，根据类属资产配置策略以确定基金资产在可转换债券、分离交易可转换债券、可交换债券、信用债、利率债、股票、基金之间的配置比例。</w:t>
      </w:r>
    </w:p>
    <w:p w14:paraId="7CB0920F">
      <w:pPr>
        <w:spacing w:line="360" w:lineRule="auto"/>
        <w:ind w:firstLine="480" w:firstLineChars="200"/>
        <w:rPr>
          <w:bCs/>
        </w:rPr>
      </w:pPr>
      <w:r>
        <w:rPr>
          <w:rFonts w:hint="eastAsia"/>
          <w:bCs/>
        </w:rPr>
        <w:t>（二）债券等固定收益类资产的投资策略</w:t>
      </w:r>
    </w:p>
    <w:p w14:paraId="1CE04203">
      <w:pPr>
        <w:spacing w:line="360" w:lineRule="auto"/>
        <w:ind w:firstLine="480" w:firstLineChars="200"/>
        <w:rPr>
          <w:bCs/>
        </w:rPr>
      </w:pPr>
      <w:r>
        <w:rPr>
          <w:rFonts w:hint="eastAsia"/>
          <w:bCs/>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14:paraId="62512A9B">
      <w:pPr>
        <w:spacing w:line="360" w:lineRule="auto"/>
        <w:ind w:firstLine="480" w:firstLineChars="200"/>
        <w:rPr>
          <w:bCs/>
        </w:rPr>
      </w:pPr>
      <w:r>
        <w:rPr>
          <w:rFonts w:hint="eastAsia"/>
          <w:bCs/>
        </w:rPr>
        <w:t>1、久期控制是根据对宏观经济发展状况、金融市场运行特点等因素的分析确定组合的整体久期，有效的控制整体资产风险。</w:t>
      </w:r>
    </w:p>
    <w:p w14:paraId="5EDC5B04">
      <w:pPr>
        <w:spacing w:line="360" w:lineRule="auto"/>
        <w:ind w:firstLine="480" w:firstLineChars="20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469C9912">
      <w:pPr>
        <w:spacing w:line="360" w:lineRule="auto"/>
        <w:ind w:firstLine="480" w:firstLineChars="200"/>
        <w:rPr>
          <w:bCs/>
        </w:rPr>
      </w:pPr>
      <w:r>
        <w:rPr>
          <w:rFonts w:hint="eastAsia"/>
          <w:bCs/>
        </w:rPr>
        <w:t>3、信用风险控制是基金管理人充分利用现有行业与公司研究力量，根据发债主体的经营状况和现金流等情况对其信用风险进行评估，以此作为品种选择的基本依据。</w:t>
      </w:r>
    </w:p>
    <w:p w14:paraId="00A9219B">
      <w:pPr>
        <w:spacing w:line="360" w:lineRule="auto"/>
        <w:ind w:firstLine="480" w:firstLineChars="200"/>
        <w:rPr>
          <w:bCs/>
        </w:rPr>
      </w:pPr>
      <w:r>
        <w:rPr>
          <w:rFonts w:hint="eastAsia"/>
          <w:bCs/>
        </w:rPr>
        <w:t>4、跨市场套利根据不同债券市场间的运行规律和风险特性，构建和调整债券组合，提高投资收益，实现跨市场套利。</w:t>
      </w:r>
    </w:p>
    <w:p w14:paraId="737AF785">
      <w:pPr>
        <w:spacing w:line="360" w:lineRule="auto"/>
        <w:ind w:firstLine="480" w:firstLineChars="200"/>
        <w:rPr>
          <w:bCs/>
        </w:rPr>
      </w:pPr>
      <w:r>
        <w:rPr>
          <w:rFonts w:hint="eastAsia"/>
          <w:bCs/>
        </w:rPr>
        <w:t>5、相对价值判断是根据对同类债券的相对价值判断，选择合适的交易时机，增持相对低估、价格将上升的债券，减持相对高估、价格将下降的债券。</w:t>
      </w:r>
    </w:p>
    <w:p w14:paraId="4F769CB5">
      <w:pPr>
        <w:spacing w:line="360" w:lineRule="auto"/>
        <w:ind w:firstLine="480" w:firstLineChars="200"/>
        <w:rPr>
          <w:bCs/>
        </w:rPr>
      </w:pPr>
      <w:r>
        <w:rPr>
          <w:rFonts w:hint="eastAsia"/>
          <w:bCs/>
        </w:rPr>
        <w:t>6、信用债投资策略</w:t>
      </w:r>
    </w:p>
    <w:p w14:paraId="1466A6A5">
      <w:pPr>
        <w:spacing w:line="360" w:lineRule="auto"/>
        <w:ind w:firstLine="480" w:firstLineChars="20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14:paraId="4113C815">
      <w:pPr>
        <w:spacing w:line="360" w:lineRule="auto"/>
        <w:ind w:firstLine="480" w:firstLineChars="200"/>
        <w:rPr>
          <w:bCs/>
        </w:rPr>
      </w:pPr>
      <w:r>
        <w:rPr>
          <w:rFonts w:hint="eastAsia"/>
          <w:bCs/>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14:paraId="38019A69">
      <w:pPr>
        <w:spacing w:line="360" w:lineRule="auto"/>
        <w:ind w:firstLine="480" w:firstLineChars="200"/>
        <w:rPr>
          <w:bCs/>
        </w:rPr>
      </w:pPr>
      <w:r>
        <w:rPr>
          <w:rFonts w:hint="eastAsia"/>
          <w:bCs/>
        </w:rPr>
        <w:t>本基金在投资信用债（含资产支持证券，下同）时遵守以下约定：本基金主动投资于信用债时的信用评级不低于AA+，其中，投资于信用评级为AAA的信用债的比例不低于信用债资产合计的50%；投资于信用评级为AA+的信用债的比例不高于信用债资产合计的50%。</w:t>
      </w:r>
    </w:p>
    <w:p w14:paraId="308D6EF5">
      <w:pPr>
        <w:spacing w:line="360" w:lineRule="auto"/>
        <w:ind w:firstLine="480" w:firstLineChars="200"/>
        <w:rPr>
          <w:bCs/>
        </w:rPr>
      </w:pPr>
      <w:r>
        <w:rPr>
          <w:rFonts w:hint="eastAsia"/>
          <w:bCs/>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3个月内调整至符合约定。本基金对信用债评级的认定参照基金管理人选定的评级机构出具的债券信用评级。</w:t>
      </w:r>
    </w:p>
    <w:p w14:paraId="3CE68B6A">
      <w:pPr>
        <w:spacing w:line="360" w:lineRule="auto"/>
        <w:ind w:firstLine="480" w:firstLineChars="200"/>
        <w:rPr>
          <w:bCs/>
        </w:rPr>
      </w:pPr>
      <w:r>
        <w:rPr>
          <w:rFonts w:hint="eastAsia"/>
          <w:bCs/>
        </w:rPr>
        <w:t>7、可转换债券（含分离交易可转换债券）及可交换债券投资策略</w:t>
      </w:r>
    </w:p>
    <w:p w14:paraId="4913C559">
      <w:pPr>
        <w:spacing w:line="360" w:lineRule="auto"/>
        <w:ind w:firstLine="480" w:firstLineChars="20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72511FCC">
      <w:pPr>
        <w:spacing w:line="360" w:lineRule="auto"/>
        <w:ind w:firstLine="480" w:firstLineChars="200"/>
        <w:rPr>
          <w:bCs/>
        </w:rPr>
      </w:pPr>
      <w:r>
        <w:rPr>
          <w:rFonts w:hint="eastAsia"/>
          <w:bCs/>
        </w:rPr>
        <w:t>（三）动态收益增强策略</w:t>
      </w:r>
    </w:p>
    <w:p w14:paraId="2D3DBA57">
      <w:pPr>
        <w:spacing w:line="360" w:lineRule="auto"/>
        <w:ind w:firstLine="480" w:firstLineChars="200"/>
        <w:rPr>
          <w:bCs/>
        </w:rPr>
      </w:pPr>
      <w:r>
        <w:rPr>
          <w:rFonts w:hint="eastAsia"/>
          <w:bCs/>
        </w:rPr>
        <w:t>在以上债券等固定收益类资产投资策略的基础上，本基金还将根据债券市场的动态变化，采取多种灵活的策略，力争获取超额收益。主要包括骑乘收益率曲线策略、息差策略等。</w:t>
      </w:r>
    </w:p>
    <w:p w14:paraId="34225E5E">
      <w:pPr>
        <w:spacing w:line="360" w:lineRule="auto"/>
        <w:ind w:firstLine="480" w:firstLineChars="200"/>
        <w:rPr>
          <w:bCs/>
        </w:rPr>
      </w:pPr>
      <w:r>
        <w:rPr>
          <w:rFonts w:hint="eastAsia"/>
          <w:bCs/>
        </w:rPr>
        <w:t>1、骑乘收益率曲线策略</w:t>
      </w:r>
    </w:p>
    <w:p w14:paraId="258B0FEC">
      <w:pPr>
        <w:spacing w:line="360" w:lineRule="auto"/>
        <w:ind w:firstLine="480" w:firstLineChars="200"/>
        <w:rPr>
          <w:bCs/>
        </w:rPr>
      </w:pPr>
      <w:r>
        <w:rPr>
          <w:rFonts w:hint="eastAsia"/>
          <w:bCs/>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14:paraId="62EE870E">
      <w:pPr>
        <w:spacing w:line="360" w:lineRule="auto"/>
        <w:ind w:firstLine="480" w:firstLineChars="200"/>
        <w:rPr>
          <w:bCs/>
        </w:rPr>
      </w:pPr>
      <w:r>
        <w:rPr>
          <w:rFonts w:hint="eastAsia"/>
          <w:bCs/>
        </w:rPr>
        <w:t>2、息差策略</w:t>
      </w:r>
    </w:p>
    <w:p w14:paraId="73C0185F">
      <w:pPr>
        <w:spacing w:line="360" w:lineRule="auto"/>
        <w:ind w:firstLine="480" w:firstLineChars="200"/>
        <w:rPr>
          <w:bCs/>
        </w:rPr>
      </w:pPr>
      <w:r>
        <w:rPr>
          <w:rFonts w:hint="eastAsia"/>
          <w:bCs/>
        </w:rPr>
        <w:t>息差策略是指通过不断正回购融资并持续买入债券的操作，只要回购资金成本低于债券收益率，就可以达到杠杆放大的套利目标。</w:t>
      </w:r>
    </w:p>
    <w:p w14:paraId="2B73F11E">
      <w:pPr>
        <w:spacing w:line="360" w:lineRule="auto"/>
        <w:ind w:firstLine="480" w:firstLineChars="200"/>
        <w:rPr>
          <w:bCs/>
        </w:rPr>
      </w:pPr>
      <w:r>
        <w:rPr>
          <w:rFonts w:hint="eastAsia"/>
          <w:bCs/>
        </w:rPr>
        <w:t>本基金将根据对市场回购利率走势的判断，适当地选择杠杆比率，谨慎地实施息差策略，提高投资组合的收益水平。</w:t>
      </w:r>
    </w:p>
    <w:p w14:paraId="19F5E870">
      <w:pPr>
        <w:spacing w:line="360" w:lineRule="auto"/>
        <w:ind w:firstLine="480" w:firstLineChars="200"/>
        <w:rPr>
          <w:bCs/>
        </w:rPr>
      </w:pPr>
      <w:r>
        <w:rPr>
          <w:rFonts w:hint="eastAsia"/>
          <w:bCs/>
        </w:rPr>
        <w:t>（四）股票投资策略</w:t>
      </w:r>
    </w:p>
    <w:p w14:paraId="09E2D0AE">
      <w:pPr>
        <w:spacing w:line="360" w:lineRule="auto"/>
        <w:ind w:firstLine="480" w:firstLineChars="200"/>
        <w:rPr>
          <w:bCs/>
        </w:rPr>
      </w:pPr>
      <w:r>
        <w:rPr>
          <w:rFonts w:hint="eastAsia"/>
          <w:bCs/>
        </w:rPr>
        <w:t>1、A股投资策略</w:t>
      </w:r>
    </w:p>
    <w:p w14:paraId="7125CD8A">
      <w:pPr>
        <w:spacing w:line="360" w:lineRule="auto"/>
        <w:ind w:firstLine="480" w:firstLineChars="200"/>
        <w:rPr>
          <w:bCs/>
        </w:rPr>
      </w:pPr>
      <w:r>
        <w:rPr>
          <w:rFonts w:hint="eastAsia"/>
          <w:bCs/>
        </w:rPr>
        <w:t>本基金在股票投资方面主要采用量化模型选股策略构建投资组合。本基金综合利用多种量化投资模型技术，通过多因子量化模型对股票超额回报进行预测，以对中国股票市场的长期研究为基础，结合前瞻性市场判断，用精研的多个因子捕捉市场有效性暂时缺失之处；通过人工智能选股模型动态调整因子模型，及时捕捉市场中短期的投资机会；通过风险预测模型和适当的控制措施，严格控制投资组合的预期投资风险，力求将投资组合的风险控制在目标范围内；利用交易成本模型考虑交易的市场冲击效应，在控制成本最低的基础上减少交易造成的负业绩影响。</w:t>
      </w:r>
    </w:p>
    <w:p w14:paraId="459C0D6A">
      <w:pPr>
        <w:spacing w:line="360" w:lineRule="auto"/>
        <w:ind w:firstLine="480" w:firstLineChars="200"/>
        <w:rPr>
          <w:bCs/>
        </w:rPr>
      </w:pPr>
      <w:r>
        <w:rPr>
          <w:rFonts w:hint="eastAsia"/>
          <w:bCs/>
        </w:rPr>
        <w:t>在投资组合构建完成后，本基金将充分考虑各种市场信息的变化情况，对投资组合进行相应调整，并根据市场的实际情况适当控制和调整组合的换手率。</w:t>
      </w:r>
    </w:p>
    <w:p w14:paraId="0EBB69E3">
      <w:pPr>
        <w:spacing w:line="360" w:lineRule="auto"/>
        <w:ind w:firstLine="480" w:firstLineChars="200"/>
        <w:rPr>
          <w:bCs/>
        </w:rPr>
      </w:pPr>
      <w:r>
        <w:rPr>
          <w:rFonts w:hint="eastAsia"/>
          <w:bCs/>
        </w:rPr>
        <w:t>2、港股通标的股票投资策略</w:t>
      </w:r>
    </w:p>
    <w:p w14:paraId="46D9DCCA">
      <w:pPr>
        <w:spacing w:line="360" w:lineRule="auto"/>
        <w:ind w:firstLine="480" w:firstLineChars="200"/>
        <w:rPr>
          <w:bCs/>
        </w:rPr>
      </w:pPr>
      <w:r>
        <w:rPr>
          <w:rFonts w:hint="eastAsia"/>
          <w:bCs/>
        </w:rPr>
        <w:t>本基金可通过内地与香港证券市场交易互联互通机制投资于香港股票市场。本基金将自下而上精选具有健康的商业模式、领先的行业竞争优势、良好的公司治理、广阔的发展空间、估值合理的港股通标的股票纳入本基金的股票投资组合。</w:t>
      </w:r>
    </w:p>
    <w:p w14:paraId="2EF81B7C">
      <w:pPr>
        <w:spacing w:line="360" w:lineRule="auto"/>
        <w:ind w:firstLine="480" w:firstLineChars="200"/>
        <w:rPr>
          <w:bCs/>
        </w:rPr>
      </w:pPr>
      <w:r>
        <w:rPr>
          <w:rFonts w:hint="eastAsia"/>
          <w:bCs/>
        </w:rPr>
        <w:t>（五）基金投资策略</w:t>
      </w:r>
    </w:p>
    <w:p w14:paraId="7F431F50">
      <w:pPr>
        <w:spacing w:line="360" w:lineRule="auto"/>
        <w:ind w:firstLine="480" w:firstLineChars="200"/>
        <w:rPr>
          <w:bCs/>
        </w:rPr>
      </w:pPr>
      <w:r>
        <w:rPr>
          <w:rFonts w:hint="eastAsia"/>
          <w:bCs/>
        </w:rPr>
        <w:t>本基金可投资于全市场的股票型ETF、公募REITs，以及基金管理人旗下的股票型基金、计入权益类资产的混合型基金。</w:t>
      </w:r>
    </w:p>
    <w:p w14:paraId="4D1533E7">
      <w:pPr>
        <w:spacing w:line="360" w:lineRule="auto"/>
        <w:ind w:firstLine="480" w:firstLineChars="200"/>
        <w:rPr>
          <w:bCs/>
        </w:rPr>
      </w:pPr>
      <w:r>
        <w:rPr>
          <w:rFonts w:hint="eastAsia"/>
          <w:bCs/>
        </w:rPr>
        <w:t>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w:t>
      </w:r>
    </w:p>
    <w:p w14:paraId="4174F7DD">
      <w:pPr>
        <w:spacing w:line="360" w:lineRule="auto"/>
        <w:ind w:firstLine="480" w:firstLineChars="200"/>
        <w:rPr>
          <w:bCs/>
        </w:rPr>
      </w:pPr>
      <w:r>
        <w:rPr>
          <w:rFonts w:hint="eastAsia"/>
          <w:bCs/>
        </w:rPr>
        <w:t>对于权益类基金，本基金基于权益类基金投资目标的不同，将标的基金分为主动和被动两大类。其中，针对主动管理类基金，本基金从基金风格、业绩表现、稳定性、规模变化等多角度进行分析，主要参考基金规模、历史业绩、风险调整后的收益、风险控制指标等一系列量化指标对基金进行分析，选取出预期能够获得良好业绩的基金；针对被动管理类基金，本基金从标的指数表现、跟踪误差、超额收益、规模变化等多角度进行分析，选取出表现稳定，符合未来市场发展方向的基金。同时，本基金还将通过分析标的基金基金管理人的资产管理规模、投研文化、风险控制能力等因素，对标的基金的业绩稳定性、风险控制能力等方面进行筛选。</w:t>
      </w:r>
    </w:p>
    <w:p w14:paraId="3F55B60C">
      <w:pPr>
        <w:spacing w:line="360" w:lineRule="auto"/>
        <w:ind w:firstLine="480" w:firstLineChars="200"/>
        <w:rPr>
          <w:bCs/>
        </w:rPr>
      </w:pPr>
      <w:r>
        <w:rPr>
          <w:rFonts w:hint="eastAsia"/>
          <w:bCs/>
        </w:rPr>
        <w:t>对于公募REITs，本基金将针对公募REITs的底层不动产所属的行业周期（供需结构、运营收入和资产价格波动等）以及其他可比投资资产项目的风险和预期收益率来判断公募REITs持有不动产项目当前的投资价值以及未来的发展空间，同时结合公募REITs流动性及估值等因素，研究并精选出具有较高投资价值的公募REITs进行投资。本基金根据投资策略需要或市场环境变化，可选择将部分基金资产投资于公募REITs，也可以选择不投资公募REITs。</w:t>
      </w:r>
    </w:p>
    <w:p w14:paraId="5635BF41">
      <w:pPr>
        <w:spacing w:line="360" w:lineRule="auto"/>
        <w:ind w:firstLine="480" w:firstLineChars="200"/>
        <w:rPr>
          <w:bCs/>
        </w:rPr>
      </w:pPr>
      <w:r>
        <w:rPr>
          <w:rFonts w:hint="eastAsia"/>
          <w:bCs/>
        </w:rPr>
        <w:t>本基金还将定期对投资组合进行回顾和动态调整，剔除不再符合筛选标准的标的基金，增加符合筛选标准的基金，以实现基金投资组合的优化。</w:t>
      </w:r>
    </w:p>
    <w:p w14:paraId="66F6F2BC">
      <w:pPr>
        <w:spacing w:line="360" w:lineRule="auto"/>
        <w:ind w:firstLine="480" w:firstLineChars="200"/>
        <w:rPr>
          <w:bCs/>
        </w:rPr>
      </w:pPr>
      <w:r>
        <w:rPr>
          <w:rFonts w:hint="eastAsia"/>
          <w:bCs/>
        </w:rPr>
        <w:t>（六）存托凭证投资策略</w:t>
      </w:r>
    </w:p>
    <w:p w14:paraId="2ACAF322">
      <w:pPr>
        <w:spacing w:line="360" w:lineRule="auto"/>
        <w:ind w:firstLine="480" w:firstLineChars="200"/>
        <w:rPr>
          <w:bCs/>
        </w:rPr>
      </w:pPr>
      <w:r>
        <w:rPr>
          <w:rFonts w:hint="eastAsia"/>
          <w:bCs/>
        </w:rPr>
        <w:t>本基金将根据投资目标和股票投资策略，基于对基础证券投资价值的研究判断，进行存托凭证的投资。</w:t>
      </w:r>
    </w:p>
    <w:p w14:paraId="46DE3B37">
      <w:pPr>
        <w:spacing w:line="360" w:lineRule="auto"/>
        <w:ind w:firstLine="480" w:firstLineChars="200"/>
        <w:rPr>
          <w:bCs/>
        </w:rPr>
      </w:pPr>
      <w:r>
        <w:rPr>
          <w:rFonts w:hint="eastAsia"/>
          <w:bCs/>
        </w:rPr>
        <w:t>（七）国债期货投资策略</w:t>
      </w:r>
    </w:p>
    <w:p w14:paraId="56927AFB">
      <w:pPr>
        <w:spacing w:line="360" w:lineRule="auto"/>
        <w:ind w:firstLine="480" w:firstLineChars="20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在追求基金资产安全的基础上，力求实现基金资产的中长期稳定增值。</w:t>
      </w:r>
    </w:p>
    <w:p w14:paraId="4C84CC65">
      <w:pPr>
        <w:spacing w:line="360" w:lineRule="auto"/>
        <w:ind w:firstLine="480" w:firstLineChars="200"/>
        <w:rPr>
          <w:bCs/>
        </w:rPr>
      </w:pPr>
      <w:r>
        <w:rPr>
          <w:rFonts w:hint="eastAsia"/>
          <w:bCs/>
        </w:rPr>
        <w:t>（八）信用衍生品投资策略</w:t>
      </w:r>
    </w:p>
    <w:p w14:paraId="1DA21709">
      <w:pPr>
        <w:spacing w:line="360" w:lineRule="auto"/>
        <w:ind w:firstLine="480" w:firstLineChars="20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E5A6DA9">
      <w:pPr>
        <w:spacing w:line="360" w:lineRule="auto"/>
        <w:ind w:firstLine="480" w:firstLineChars="200"/>
        <w:rPr>
          <w:bCs/>
        </w:rPr>
      </w:pPr>
      <w:r>
        <w:rPr>
          <w:rFonts w:hint="eastAsia"/>
          <w:bCs/>
        </w:rPr>
        <w:t>（九）股指期货投资策略</w:t>
      </w:r>
    </w:p>
    <w:p w14:paraId="1E2DF1D8">
      <w:pPr>
        <w:spacing w:line="360" w:lineRule="auto"/>
        <w:ind w:firstLine="480" w:firstLineChars="20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63A3B246">
      <w:pPr>
        <w:spacing w:line="360" w:lineRule="auto"/>
        <w:ind w:firstLine="480" w:firstLineChars="200"/>
        <w:rPr>
          <w:bCs/>
        </w:rPr>
      </w:pPr>
      <w:r>
        <w:rPr>
          <w:rFonts w:hint="eastAsia"/>
          <w:bCs/>
        </w:rPr>
        <w:t>（十）股票期权投资策略</w:t>
      </w:r>
    </w:p>
    <w:p w14:paraId="19FB1A39">
      <w:pPr>
        <w:spacing w:line="360" w:lineRule="auto"/>
        <w:ind w:firstLine="480" w:firstLineChars="20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1586FD4A">
      <w:pPr>
        <w:spacing w:line="360" w:lineRule="auto"/>
        <w:ind w:firstLine="480" w:firstLineChars="200"/>
        <w:rPr>
          <w:bCs/>
        </w:rPr>
      </w:pPr>
      <w:r>
        <w:rPr>
          <w:rFonts w:hint="eastAsia"/>
          <w:bCs/>
        </w:rPr>
        <w:t>未来，随着证券市场投资工具的发展和丰富，基金可在履行适当程序后，相应调整和更新相关投资策略。</w:t>
      </w:r>
    </w:p>
    <w:bookmarkEnd w:id="120"/>
    <w:p w14:paraId="59C718EF">
      <w:pPr>
        <w:spacing w:line="360" w:lineRule="auto"/>
        <w:ind w:firstLine="480" w:firstLineChars="200"/>
        <w:rPr>
          <w:bCs/>
        </w:rPr>
      </w:pPr>
      <w:r>
        <w:rPr>
          <w:bCs/>
        </w:rPr>
        <w:t>四、投资限制</w:t>
      </w:r>
    </w:p>
    <w:p w14:paraId="46147D56">
      <w:pPr>
        <w:spacing w:line="360" w:lineRule="auto"/>
        <w:ind w:firstLine="480" w:firstLineChars="200"/>
        <w:rPr>
          <w:bCs/>
        </w:rPr>
      </w:pPr>
      <w:r>
        <w:rPr>
          <w:bCs/>
        </w:rPr>
        <w:t>1、组合限制</w:t>
      </w:r>
    </w:p>
    <w:p w14:paraId="1B193764">
      <w:pPr>
        <w:spacing w:line="360" w:lineRule="auto"/>
        <w:ind w:firstLine="480" w:firstLineChars="200"/>
        <w:rPr>
          <w:bCs/>
        </w:rPr>
      </w:pPr>
      <w:r>
        <w:rPr>
          <w:bCs/>
        </w:rPr>
        <w:t>基金的投资组合应遵循以下限制：</w:t>
      </w:r>
    </w:p>
    <w:p w14:paraId="3546F70E">
      <w:pPr>
        <w:spacing w:line="360" w:lineRule="auto"/>
        <w:ind w:firstLine="480" w:firstLineChars="200"/>
        <w:rPr>
          <w:bCs/>
        </w:rPr>
      </w:pPr>
      <w:r>
        <w:rPr>
          <w:rFonts w:hint="eastAsia"/>
          <w:bCs/>
        </w:rPr>
        <w:t>（1）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计入上述权益类资产的混合型基金需符合下列两个条件之一：</w:t>
      </w:r>
    </w:p>
    <w:p w14:paraId="7E80ACDF">
      <w:pPr>
        <w:spacing w:line="360" w:lineRule="auto"/>
        <w:ind w:firstLine="480" w:firstLineChars="200"/>
        <w:rPr>
          <w:bCs/>
        </w:rPr>
      </w:pPr>
      <w:r>
        <w:rPr>
          <w:rFonts w:hint="eastAsia"/>
          <w:bCs/>
        </w:rPr>
        <w:t>1）基金合同约定股票及存托凭证资产投资比例不低于基金资产60%的混合型基金；</w:t>
      </w:r>
    </w:p>
    <w:p w14:paraId="2974F095">
      <w:pPr>
        <w:spacing w:line="360" w:lineRule="auto"/>
        <w:ind w:firstLine="480" w:firstLineChars="200"/>
        <w:rPr>
          <w:bCs/>
        </w:rPr>
      </w:pPr>
      <w:r>
        <w:rPr>
          <w:rFonts w:hint="eastAsia"/>
          <w:bCs/>
        </w:rPr>
        <w:t>2）根据基金披露的定期报告，最近四个季度中任一季度股票及存托凭证资产占基金资产比例均不低于60%的混合型基金。</w:t>
      </w:r>
    </w:p>
    <w:p w14:paraId="063E4A7E">
      <w:pPr>
        <w:spacing w:line="360" w:lineRule="auto"/>
        <w:ind w:firstLine="480" w:firstLineChars="200"/>
        <w:rPr>
          <w:bCs/>
        </w:rPr>
      </w:pPr>
      <w:r>
        <w:rPr>
          <w:rFonts w:hint="eastAsia"/>
          <w:bCs/>
        </w:rPr>
        <w:t>（2）本基金持有其他基金，其市值不超过基金资产净值的10%；</w:t>
      </w:r>
    </w:p>
    <w:p w14:paraId="1EBC6665">
      <w:pPr>
        <w:spacing w:line="360" w:lineRule="auto"/>
        <w:ind w:firstLine="480" w:firstLineChars="200"/>
        <w:rPr>
          <w:bCs/>
        </w:rPr>
      </w:pPr>
      <w:r>
        <w:rPr>
          <w:rFonts w:hint="eastAsia"/>
          <w:bCs/>
        </w:rPr>
        <w:t>（3）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3CB0E105">
      <w:pPr>
        <w:spacing w:line="360" w:lineRule="auto"/>
        <w:ind w:firstLine="480" w:firstLineChars="200"/>
        <w:rPr>
          <w:bCs/>
        </w:rPr>
      </w:pPr>
      <w:r>
        <w:rPr>
          <w:rFonts w:hint="eastAsia"/>
          <w:bCs/>
        </w:rPr>
        <w:t>（4）本基金持有一家公司发行的证券（同一家公司在内地和香港同时上市的A+H股合计计算，但不包括本基金所投资的基金份额），其市值不超过基金资产净值的10%；</w:t>
      </w:r>
    </w:p>
    <w:p w14:paraId="68B55CB9">
      <w:pPr>
        <w:spacing w:line="360" w:lineRule="auto"/>
        <w:ind w:firstLine="480" w:firstLineChars="200"/>
        <w:rPr>
          <w:bCs/>
        </w:rPr>
      </w:pPr>
      <w:r>
        <w:rPr>
          <w:rFonts w:hint="eastAsia"/>
          <w:bCs/>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10B3123B">
      <w:pPr>
        <w:spacing w:line="360" w:lineRule="auto"/>
        <w:ind w:firstLine="480" w:firstLineChars="200"/>
        <w:rPr>
          <w:bCs/>
        </w:rPr>
      </w:pPr>
      <w:r>
        <w:rPr>
          <w:rFonts w:hint="eastAsia"/>
          <w:bCs/>
        </w:rPr>
        <w:t>（6）本基金投资于同一原始权益人的各类资产支持证券的比例，不得超过基金资产净值的10%；</w:t>
      </w:r>
    </w:p>
    <w:p w14:paraId="40CF1FED">
      <w:pPr>
        <w:spacing w:line="360" w:lineRule="auto"/>
        <w:ind w:firstLine="480" w:firstLineChars="200"/>
        <w:rPr>
          <w:bCs/>
        </w:rPr>
      </w:pPr>
      <w:r>
        <w:rPr>
          <w:rFonts w:hint="eastAsia"/>
          <w:bCs/>
        </w:rPr>
        <w:t>（7）本基金持有的全部资产支持证券，其市值不得超过基金资产净值的20%；</w:t>
      </w:r>
    </w:p>
    <w:p w14:paraId="65088D4E">
      <w:pPr>
        <w:spacing w:line="360" w:lineRule="auto"/>
        <w:ind w:firstLine="480" w:firstLineChars="200"/>
        <w:rPr>
          <w:bCs/>
        </w:rPr>
      </w:pPr>
      <w:r>
        <w:rPr>
          <w:rFonts w:hint="eastAsia"/>
          <w:bCs/>
        </w:rPr>
        <w:t>（8）本基金持有的同一（指同一信用级别）资产支持证券的比例，不得超过该资产支持证券规模的10%；</w:t>
      </w:r>
    </w:p>
    <w:p w14:paraId="1421CABF">
      <w:pPr>
        <w:spacing w:line="360" w:lineRule="auto"/>
        <w:ind w:firstLine="480" w:firstLineChars="200"/>
        <w:rPr>
          <w:bCs/>
        </w:rPr>
      </w:pPr>
      <w:r>
        <w:rPr>
          <w:rFonts w:hint="eastAsia"/>
          <w:bCs/>
        </w:rPr>
        <w:t>（9）本基金管理人管理的全部基金投资于同一原始权益人的各类资产支持证券，不得超过其各类资产支持证券合计规模的10%；</w:t>
      </w:r>
    </w:p>
    <w:p w14:paraId="6F6BB9F4">
      <w:pPr>
        <w:spacing w:line="360" w:lineRule="auto"/>
        <w:ind w:firstLine="480" w:firstLineChars="200"/>
        <w:rPr>
          <w:bCs/>
        </w:rPr>
      </w:pPr>
      <w:r>
        <w:rPr>
          <w:rFonts w:hint="eastAsia"/>
          <w:bCs/>
        </w:rPr>
        <w:t>（10）基金财产参与股票发行申购，本基金所申报的金额不超过本基金的总资产，本基金所申报的股票数量不超过拟发行股票公司本次发行股票的总量；</w:t>
      </w:r>
    </w:p>
    <w:p w14:paraId="12C9CB2A">
      <w:pPr>
        <w:spacing w:line="360" w:lineRule="auto"/>
        <w:ind w:firstLine="480" w:firstLineChars="200"/>
        <w:rPr>
          <w:bCs/>
        </w:rPr>
      </w:pPr>
      <w:r>
        <w:rPr>
          <w:rFonts w:hint="eastAsia"/>
          <w:bCs/>
        </w:rPr>
        <w:t>（11）本基金资产总值不得超过基金资产净值的140%；</w:t>
      </w:r>
    </w:p>
    <w:p w14:paraId="6283D81B">
      <w:pPr>
        <w:spacing w:line="360" w:lineRule="auto"/>
        <w:ind w:firstLine="480" w:firstLineChars="200"/>
        <w:rPr>
          <w:bCs/>
        </w:rPr>
      </w:pPr>
      <w:r>
        <w:rPr>
          <w:rFonts w:hint="eastAsia"/>
          <w:bCs/>
        </w:rPr>
        <w:t>（12）本基金参与股指期货、国债期货交易，应当遵守下列要求：</w:t>
      </w:r>
    </w:p>
    <w:p w14:paraId="77067971">
      <w:pPr>
        <w:spacing w:line="360" w:lineRule="auto"/>
        <w:ind w:firstLine="480" w:firstLineChars="200"/>
        <w:rPr>
          <w:bCs/>
        </w:rPr>
      </w:pPr>
      <w:r>
        <w:rPr>
          <w:rFonts w:hint="eastAsia"/>
          <w:bCs/>
        </w:rPr>
        <w:t>1）本基金在任何交易日日终，持有的买入股指期货合约价值，不得超过基金资产净值的</w:t>
      </w:r>
      <w:r>
        <w:rPr>
          <w:bCs/>
        </w:rPr>
        <w:t>10%</w:t>
      </w:r>
      <w:r>
        <w:rPr>
          <w:rFonts w:hint="eastAsia"/>
          <w:bCs/>
        </w:rPr>
        <w:t>；本基金在任何交易日日终，持有的买入国债期货合约价值，不得超过基金资产净值的15%；</w:t>
      </w:r>
    </w:p>
    <w:p w14:paraId="4E6DEAFF">
      <w:pPr>
        <w:spacing w:line="360" w:lineRule="auto"/>
        <w:ind w:firstLine="480" w:firstLineChars="20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69DD17B8">
      <w:pPr>
        <w:spacing w:line="360" w:lineRule="auto"/>
        <w:ind w:firstLine="480" w:firstLineChars="200"/>
        <w:rPr>
          <w:bCs/>
        </w:rPr>
      </w:pPr>
      <w:r>
        <w:rPr>
          <w:rFonts w:hint="eastAsia"/>
          <w:bCs/>
        </w:rPr>
        <w:t>3）本基金在任何交易日日终，持有的卖出股指期货合约价值不得超过本基金持有的股票总市值的</w:t>
      </w:r>
      <w:r>
        <w:rPr>
          <w:bCs/>
        </w:rPr>
        <w:t>20%</w:t>
      </w:r>
      <w:r>
        <w:rPr>
          <w:rFonts w:hint="eastAsia"/>
          <w:bCs/>
        </w:rPr>
        <w:t>；本基金在任何交易日日终，持有的卖出国债期货合约价值不得超过基金持有的债券总市值的30%；</w:t>
      </w:r>
    </w:p>
    <w:p w14:paraId="61E3DAF0">
      <w:pPr>
        <w:spacing w:line="360" w:lineRule="auto"/>
        <w:ind w:firstLine="480" w:firstLineChars="20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D531502">
      <w:pPr>
        <w:spacing w:line="360" w:lineRule="auto"/>
        <w:ind w:firstLine="480" w:firstLineChars="200"/>
        <w:rPr>
          <w:bCs/>
        </w:rPr>
      </w:pPr>
      <w:r>
        <w:rPr>
          <w:rFonts w:hint="eastAsia"/>
          <w:bCs/>
        </w:rPr>
        <w:t>5）本基金在任何交易日内交易（不包括平仓）的股指期货合约的成交金额不得超过上一交易日基金资产净值的</w:t>
      </w:r>
      <w:r>
        <w:rPr>
          <w:bCs/>
        </w:rPr>
        <w:t>20%</w:t>
      </w:r>
      <w:r>
        <w:rPr>
          <w:rFonts w:hint="eastAsia"/>
          <w:bCs/>
        </w:rPr>
        <w:t>；本基金在任何交易日内交易（不包括平仓）的国债期货合约的成交金额不得超过上一交易日基金资产净值的30%；</w:t>
      </w:r>
    </w:p>
    <w:p w14:paraId="7759D62C">
      <w:pPr>
        <w:spacing w:line="360" w:lineRule="auto"/>
        <w:ind w:firstLine="480" w:firstLineChars="200"/>
        <w:rPr>
          <w:bCs/>
        </w:rPr>
      </w:pPr>
      <w:r>
        <w:rPr>
          <w:rFonts w:hint="eastAsia"/>
          <w:bCs/>
        </w:rPr>
        <w:t>（13）本基金参与股票期权交易，应当遵守下列要求：</w:t>
      </w:r>
    </w:p>
    <w:p w14:paraId="4C7A5E47">
      <w:pPr>
        <w:spacing w:line="360" w:lineRule="auto"/>
        <w:ind w:firstLine="480" w:firstLineChars="200"/>
        <w:rPr>
          <w:bCs/>
        </w:rPr>
      </w:pPr>
      <w:r>
        <w:rPr>
          <w:rFonts w:hint="eastAsia"/>
          <w:bCs/>
        </w:rPr>
        <w:t>1）因未平仓的期权合约支付和收取的权利金总额不得超过基金资产净值的10%；</w:t>
      </w:r>
    </w:p>
    <w:p w14:paraId="0D7FB338">
      <w:pPr>
        <w:spacing w:line="360" w:lineRule="auto"/>
        <w:ind w:firstLine="480" w:firstLineChars="200"/>
        <w:rPr>
          <w:bCs/>
        </w:rPr>
      </w:pPr>
      <w:r>
        <w:rPr>
          <w:rFonts w:hint="eastAsia"/>
          <w:bCs/>
        </w:rPr>
        <w:t>2）开仓卖出认购期权的，应持有足额标的证券；开仓卖出认沽期权的，应持有合约行权所需的全额现金或交易所规则认可的可冲抵期权保证金的现金等价物；</w:t>
      </w:r>
    </w:p>
    <w:p w14:paraId="770B349F">
      <w:pPr>
        <w:spacing w:line="360" w:lineRule="auto"/>
        <w:ind w:firstLine="480" w:firstLineChars="200"/>
        <w:rPr>
          <w:bCs/>
        </w:rPr>
      </w:pPr>
      <w:r>
        <w:rPr>
          <w:rFonts w:hint="eastAsia"/>
          <w:bCs/>
        </w:rPr>
        <w:t>3）未平仓的期权合约面值不得超过基金资产净值的20%。其中，合约面值按照行权价乘以合约乘数计算；</w:t>
      </w:r>
    </w:p>
    <w:p w14:paraId="03EEAA55">
      <w:pPr>
        <w:spacing w:line="360" w:lineRule="auto"/>
        <w:ind w:firstLine="480" w:firstLineChars="200"/>
        <w:rPr>
          <w:bCs/>
        </w:rPr>
      </w:pPr>
      <w:r>
        <w:rPr>
          <w:rFonts w:hint="eastAsia"/>
          <w:bCs/>
        </w:rPr>
        <w:t>（14）本基金不得持有信用保护卖方属性的信用衍生品，不得持有合约类信用衍生品，持有的信用衍生品的名义本金不得超过本基金对应受保护债券面值的100%；</w:t>
      </w:r>
    </w:p>
    <w:p w14:paraId="76092803">
      <w:pPr>
        <w:spacing w:line="360" w:lineRule="auto"/>
        <w:ind w:firstLine="480" w:firstLineChars="200"/>
        <w:rPr>
          <w:bCs/>
        </w:rPr>
      </w:pPr>
      <w:r>
        <w:rPr>
          <w:rFonts w:hint="eastAsia"/>
          <w:bCs/>
        </w:rPr>
        <w:t>（15）本基金投资于同一信用保护卖方的各类信用衍生品的名义本金合计不得超过基金资产净值的10%；</w:t>
      </w:r>
    </w:p>
    <w:p w14:paraId="5850F094">
      <w:pPr>
        <w:spacing w:line="360" w:lineRule="auto"/>
        <w:ind w:firstLine="480" w:firstLineChars="200"/>
        <w:rPr>
          <w:bCs/>
        </w:rPr>
      </w:pPr>
      <w:r>
        <w:rPr>
          <w:rFonts w:hint="eastAsia"/>
          <w:bCs/>
        </w:rPr>
        <w:t>因证券、期货市场波动、证券发行人合并、基金规模变动等基金管理人之外的因素致使基金不符合前述（14）、（15）所规定比例限制的，基金管理人应在3个月之内进行调整；</w:t>
      </w:r>
    </w:p>
    <w:p w14:paraId="342A306A">
      <w:pPr>
        <w:spacing w:line="360" w:lineRule="auto"/>
        <w:ind w:firstLine="480" w:firstLineChars="200"/>
        <w:rPr>
          <w:bCs/>
        </w:rPr>
      </w:pPr>
      <w:r>
        <w:rPr>
          <w:rFonts w:hint="eastAsia"/>
          <w:bCs/>
        </w:rPr>
        <w:t>（16）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51901365">
      <w:pPr>
        <w:spacing w:line="360" w:lineRule="auto"/>
        <w:ind w:firstLine="480" w:firstLineChars="200"/>
        <w:rPr>
          <w:bCs/>
        </w:rPr>
      </w:pPr>
      <w:r>
        <w:rPr>
          <w:rFonts w:hint="eastAsia"/>
          <w:bCs/>
        </w:rPr>
        <w:t>（17）本基金与私募类证券资管产品及中国证监会认定的其他主体为交易对手开展逆回购交易的，可接受质押品的资质要求应当与基金合同约定的投资范围保持一致；</w:t>
      </w:r>
    </w:p>
    <w:p w14:paraId="1F44EF12">
      <w:pPr>
        <w:spacing w:line="360" w:lineRule="auto"/>
        <w:ind w:firstLine="480" w:firstLineChars="200"/>
        <w:rPr>
          <w:bCs/>
        </w:rPr>
      </w:pPr>
      <w:r>
        <w:rPr>
          <w:rFonts w:hint="eastAsia"/>
          <w:bCs/>
        </w:rPr>
        <w:t>（18）本基金投资存托凭证的比例限制依照境内上市交易的股票执行；</w:t>
      </w:r>
    </w:p>
    <w:p w14:paraId="3294562A">
      <w:pPr>
        <w:spacing w:line="360" w:lineRule="auto"/>
        <w:ind w:firstLine="480" w:firstLineChars="200"/>
        <w:rPr>
          <w:bCs/>
        </w:rPr>
      </w:pPr>
      <w:r>
        <w:rPr>
          <w:rFonts w:hint="eastAsia"/>
          <w:bCs/>
        </w:rPr>
        <w:t>（19）本基金管理人管理的全部基金（ETF联接基金除外）持有单只基金不得超过被投资基金净资产的20%，被投资基金净资产规模以最近定期报告披露的规模为准；</w:t>
      </w:r>
    </w:p>
    <w:p w14:paraId="7FBA4DD0">
      <w:pPr>
        <w:spacing w:line="360" w:lineRule="auto"/>
        <w:ind w:firstLine="480" w:firstLineChars="200"/>
        <w:rPr>
          <w:bCs/>
        </w:rPr>
      </w:pPr>
      <w:r>
        <w:rPr>
          <w:rFonts w:hint="eastAsia"/>
          <w:bCs/>
        </w:rPr>
        <w:t>（20）本基金投资其他基金时，被投资基金的运作期限应当不少于1年，最近定期报告披露的基金净资产应当不低于1亿元。</w:t>
      </w:r>
    </w:p>
    <w:p w14:paraId="01402435">
      <w:pPr>
        <w:spacing w:line="360" w:lineRule="auto"/>
        <w:ind w:firstLine="480" w:firstLineChars="200"/>
        <w:rPr>
          <w:bCs/>
        </w:rPr>
      </w:pPr>
      <w:r>
        <w:rPr>
          <w:rFonts w:hint="eastAsia"/>
          <w:bCs/>
        </w:rPr>
        <w:t>（21）本基金不得持有具有复杂、衍生品性质的基金份额，包括分级基金和中国证监会认定的其他基金份额；</w:t>
      </w:r>
    </w:p>
    <w:p w14:paraId="5D7EEB96">
      <w:pPr>
        <w:spacing w:line="360" w:lineRule="auto"/>
        <w:ind w:firstLine="480" w:firstLineChars="200"/>
        <w:rPr>
          <w:bCs/>
        </w:rPr>
      </w:pPr>
      <w:r>
        <w:rPr>
          <w:rFonts w:hint="eastAsia"/>
          <w:bCs/>
        </w:rPr>
        <w:t>（22）本基金不得持有基金中基金；</w:t>
      </w:r>
    </w:p>
    <w:p w14:paraId="07636DEF">
      <w:pPr>
        <w:spacing w:line="360" w:lineRule="auto"/>
        <w:ind w:firstLine="480" w:firstLineChars="200"/>
        <w:rPr>
          <w:bCs/>
        </w:rPr>
      </w:pPr>
      <w:r>
        <w:rPr>
          <w:rFonts w:hint="eastAsia"/>
          <w:bCs/>
        </w:rPr>
        <w:t>（23）本基金同业存单的投资比例占基金资产的比例不超过20%；</w:t>
      </w:r>
    </w:p>
    <w:p w14:paraId="29482C7C">
      <w:pPr>
        <w:spacing w:line="360" w:lineRule="auto"/>
        <w:ind w:firstLine="480" w:firstLineChars="200"/>
        <w:rPr>
          <w:bCs/>
        </w:rPr>
      </w:pPr>
      <w:r>
        <w:rPr>
          <w:rFonts w:hint="eastAsia"/>
          <w:bCs/>
        </w:rPr>
        <w:t>（24）法律法规及中国证监会规定的和基金合同约定的其他投资限制。</w:t>
      </w:r>
    </w:p>
    <w:p w14:paraId="50DF57B4">
      <w:pPr>
        <w:spacing w:line="360" w:lineRule="auto"/>
        <w:ind w:firstLine="480" w:firstLineChars="200"/>
        <w:rPr>
          <w:bCs/>
        </w:rPr>
      </w:pPr>
      <w:r>
        <w:rPr>
          <w:rFonts w:hint="eastAsia"/>
          <w:bCs/>
        </w:rPr>
        <w:t>因证券市场波动、基金规模变动等基金管理人之外的因素致使基金投资不符合上述（19）规定的投资比例的，基金管理人应当在20个交易日内进行调整，但中国证监会规定的特殊情形除外。除上述第（3）、（14）、（15）、（16）、（17）、（19）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334793F">
      <w:pPr>
        <w:spacing w:line="360" w:lineRule="auto"/>
        <w:ind w:firstLine="480" w:firstLineChars="20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p>
    <w:p w14:paraId="2F1C2C19">
      <w:pPr>
        <w:spacing w:line="360" w:lineRule="auto"/>
        <w:ind w:firstLine="480" w:firstLineChars="200"/>
        <w:rPr>
          <w:bCs/>
        </w:rPr>
      </w:pPr>
      <w:r>
        <w:rPr>
          <w:rFonts w:hint="eastAsia"/>
          <w:bCs/>
        </w:rPr>
        <w:t>基金托管人对基金的投资的监督与检查自本基金合同生效之日起开始。</w:t>
      </w:r>
    </w:p>
    <w:p w14:paraId="0A2A07AA">
      <w:pPr>
        <w:spacing w:line="360" w:lineRule="auto"/>
        <w:ind w:firstLine="480" w:firstLineChars="200"/>
        <w:rPr>
          <w:bCs/>
        </w:rPr>
      </w:pPr>
      <w:r>
        <w:rPr>
          <w:rFonts w:hint="eastAsia"/>
          <w:bCs/>
        </w:rPr>
        <w:t>法律法规或监管部门取消或变更上述限制，如适用于本基金，基金管理人在履行适当程序后，则本基金投资不再受相关限制或以变更后的规定为准。</w:t>
      </w:r>
    </w:p>
    <w:p w14:paraId="028DA179">
      <w:pPr>
        <w:spacing w:line="360" w:lineRule="auto"/>
        <w:ind w:firstLine="480" w:firstLineChars="200"/>
        <w:rPr>
          <w:bCs/>
        </w:rPr>
      </w:pPr>
      <w:r>
        <w:rPr>
          <w:bCs/>
        </w:rPr>
        <w:t>2</w:t>
      </w:r>
      <w:r>
        <w:rPr>
          <w:rFonts w:hint="eastAsia"/>
          <w:bCs/>
        </w:rPr>
        <w:t>、</w:t>
      </w:r>
      <w:r>
        <w:rPr>
          <w:bCs/>
        </w:rPr>
        <w:t>禁止行为</w:t>
      </w:r>
    </w:p>
    <w:p w14:paraId="0E784673">
      <w:pPr>
        <w:spacing w:line="360" w:lineRule="auto"/>
        <w:ind w:firstLine="480" w:firstLineChars="200"/>
        <w:rPr>
          <w:bCs/>
        </w:rPr>
      </w:pPr>
      <w:r>
        <w:rPr>
          <w:bCs/>
        </w:rPr>
        <w:t>为维护基金份额持有人的合法权益，基金财产不得用于下列投资或者活动：</w:t>
      </w:r>
    </w:p>
    <w:p w14:paraId="373352B1">
      <w:pPr>
        <w:spacing w:line="360" w:lineRule="auto"/>
        <w:ind w:firstLine="480" w:firstLineChars="200"/>
        <w:rPr>
          <w:bCs/>
        </w:rPr>
      </w:pPr>
      <w:r>
        <w:rPr>
          <w:bCs/>
        </w:rPr>
        <w:t>（1）承销证券；</w:t>
      </w:r>
    </w:p>
    <w:p w14:paraId="46F82186">
      <w:pPr>
        <w:spacing w:line="360" w:lineRule="auto"/>
        <w:ind w:firstLine="480" w:firstLineChars="200"/>
        <w:rPr>
          <w:bCs/>
        </w:rPr>
      </w:pPr>
      <w:r>
        <w:rPr>
          <w:bCs/>
        </w:rPr>
        <w:t>（</w:t>
      </w:r>
      <w:r>
        <w:rPr>
          <w:rFonts w:hint="eastAsia"/>
          <w:bCs/>
        </w:rPr>
        <w:t>2</w:t>
      </w:r>
      <w:r>
        <w:rPr>
          <w:bCs/>
        </w:rPr>
        <w:t>）</w:t>
      </w:r>
      <w:r>
        <w:rPr>
          <w:rFonts w:hint="eastAsia"/>
          <w:bCs/>
        </w:rPr>
        <w:t>违反规定</w:t>
      </w:r>
      <w:r>
        <w:rPr>
          <w:bCs/>
        </w:rPr>
        <w:t>向他人贷款或者提供担保；</w:t>
      </w:r>
    </w:p>
    <w:p w14:paraId="382AE7A0">
      <w:pPr>
        <w:spacing w:line="360" w:lineRule="auto"/>
        <w:ind w:firstLine="480" w:firstLineChars="200"/>
        <w:rPr>
          <w:bCs/>
        </w:rPr>
      </w:pPr>
      <w:r>
        <w:rPr>
          <w:bCs/>
        </w:rPr>
        <w:t>（</w:t>
      </w:r>
      <w:r>
        <w:rPr>
          <w:rFonts w:hint="eastAsia"/>
          <w:bCs/>
        </w:rPr>
        <w:t>3</w:t>
      </w:r>
      <w:r>
        <w:rPr>
          <w:bCs/>
        </w:rPr>
        <w:t>）从事承担无限责任的投资；</w:t>
      </w:r>
    </w:p>
    <w:p w14:paraId="0A5626FD">
      <w:pPr>
        <w:spacing w:line="360" w:lineRule="auto"/>
        <w:ind w:firstLine="480" w:firstLineChars="200"/>
        <w:rPr>
          <w:bCs/>
        </w:rPr>
      </w:pPr>
      <w:r>
        <w:rPr>
          <w:bCs/>
        </w:rPr>
        <w:t>（</w:t>
      </w:r>
      <w:r>
        <w:rPr>
          <w:rFonts w:hint="eastAsia"/>
          <w:bCs/>
        </w:rPr>
        <w:t>4</w:t>
      </w:r>
      <w:r>
        <w:rPr>
          <w:bCs/>
        </w:rPr>
        <w:t>）向</w:t>
      </w:r>
      <w:r>
        <w:rPr>
          <w:rFonts w:hint="eastAsia"/>
          <w:bCs/>
        </w:rPr>
        <w:t>其</w:t>
      </w:r>
      <w:r>
        <w:rPr>
          <w:bCs/>
        </w:rPr>
        <w:t>基金管理人、基金托管人出资；</w:t>
      </w:r>
    </w:p>
    <w:p w14:paraId="262272A8">
      <w:pPr>
        <w:spacing w:line="360" w:lineRule="auto"/>
        <w:ind w:firstLine="480" w:firstLineChars="200"/>
        <w:rPr>
          <w:bCs/>
        </w:rPr>
      </w:pPr>
      <w:r>
        <w:rPr>
          <w:rFonts w:hint="eastAsia"/>
          <w:bCs/>
        </w:rPr>
        <w:t>（5）</w:t>
      </w:r>
      <w:r>
        <w:rPr>
          <w:bCs/>
        </w:rPr>
        <w:t>从事内幕交易、操纵证券交易价格及其他不正当的证券交易活动；</w:t>
      </w:r>
    </w:p>
    <w:p w14:paraId="12955A18">
      <w:pPr>
        <w:spacing w:line="360" w:lineRule="auto"/>
        <w:ind w:firstLine="480" w:firstLineChars="200"/>
        <w:rPr>
          <w:bCs/>
        </w:rPr>
      </w:pPr>
      <w:r>
        <w:rPr>
          <w:bCs/>
        </w:rPr>
        <w:t>（</w:t>
      </w:r>
      <w:r>
        <w:rPr>
          <w:rFonts w:hint="eastAsia"/>
          <w:bCs/>
        </w:rPr>
        <w:t>6</w:t>
      </w:r>
      <w:r>
        <w:rPr>
          <w:bCs/>
        </w:rPr>
        <w:t>）法律</w:t>
      </w:r>
      <w:r>
        <w:rPr>
          <w:rFonts w:hint="eastAsia"/>
          <w:bCs/>
        </w:rPr>
        <w:t>、行政法规和</w:t>
      </w:r>
      <w:r>
        <w:rPr>
          <w:bCs/>
        </w:rPr>
        <w:t>中国证监会规定禁止的其他</w:t>
      </w:r>
      <w:r>
        <w:rPr>
          <w:rFonts w:hint="eastAsia"/>
          <w:bCs/>
        </w:rPr>
        <w:t>活动。</w:t>
      </w:r>
    </w:p>
    <w:p w14:paraId="06AE1401">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3BCB14C8">
      <w:pPr>
        <w:spacing w:line="360" w:lineRule="auto"/>
        <w:ind w:firstLine="480" w:firstLineChars="200"/>
        <w:rPr>
          <w:bCs/>
        </w:rPr>
      </w:pPr>
      <w:r>
        <w:rPr>
          <w:rFonts w:hint="eastAsia"/>
          <w:bCs/>
        </w:rPr>
        <w:t>本基金投资基金管理人或基金管理人关联方管理的基金的情况，不属于前述重大关联交易，但是应当按照法律法规或监管规定的要求履行信息披露义务。</w:t>
      </w:r>
    </w:p>
    <w:p w14:paraId="5F421033">
      <w:pPr>
        <w:spacing w:line="360" w:lineRule="auto"/>
        <w:ind w:firstLine="480" w:firstLineChars="20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04746A52">
      <w:pPr>
        <w:spacing w:line="360" w:lineRule="auto"/>
        <w:ind w:firstLine="480" w:firstLineChars="200"/>
        <w:rPr>
          <w:bCs/>
        </w:rPr>
      </w:pPr>
      <w:r>
        <w:rPr>
          <w:bCs/>
        </w:rPr>
        <w:t>五、业绩比较基准</w:t>
      </w:r>
    </w:p>
    <w:p w14:paraId="02EC99EE">
      <w:pPr>
        <w:spacing w:line="360" w:lineRule="auto"/>
        <w:ind w:firstLine="480" w:firstLineChars="200"/>
        <w:rPr>
          <w:bCs/>
        </w:rPr>
      </w:pPr>
      <w:r>
        <w:rPr>
          <w:rFonts w:hint="eastAsia"/>
          <w:bCs/>
        </w:rPr>
        <w:t>本基金业绩比较基准：中债综合全价（总值）指数收益率*80%+中证全指指数收益率*12%+恒生指数收益率*3%+活期存款基准利率*5%</w:t>
      </w:r>
    </w:p>
    <w:p w14:paraId="22310DF5">
      <w:pPr>
        <w:spacing w:line="360" w:lineRule="auto"/>
        <w:ind w:firstLine="480" w:firstLineChars="200"/>
        <w:rPr>
          <w:bCs/>
        </w:rPr>
      </w:pPr>
      <w:r>
        <w:rPr>
          <w:rFonts w:hint="eastAsia"/>
          <w:bCs/>
        </w:rPr>
        <w:t>1、业绩比较基准设定的原因</w:t>
      </w:r>
    </w:p>
    <w:p w14:paraId="4EF1359D">
      <w:pPr>
        <w:spacing w:line="360" w:lineRule="auto"/>
        <w:ind w:firstLine="480" w:firstLineChars="200"/>
        <w:rPr>
          <w:bCs/>
        </w:rPr>
      </w:pPr>
      <w:r>
        <w:rPr>
          <w:rFonts w:hint="eastAsia"/>
          <w:bCs/>
        </w:rPr>
        <w:t>（1）基于基金投资范围以及预期投资的主要资产类别，本基金主要投资于债券、A股股票、港股通标的股票等资产，相应选取与之匹配的债券指数、A股指数、港股指数作为基准要素。同时基于基金对股票、存托凭证、股票型基金、混合型基金等权益类资产及可转换债券、分离交易可转债、可交换债券资产的合计投资比例为基金资产的10%-30%，投资于境内股票和A股ETF的比例不低于基金资产的10%，投资于港股通标的股票的比例不超过股票资产的50%等投资比例限制，以及预期的资产配置比例中枢，本基金将债券资产与股票资产所对应的基准要素权重分别设置为80%与15%，其中将股票资产中的A股股票与港股通标的股票所对应的基准要素权重分别设置为12%与3%。</w:t>
      </w:r>
    </w:p>
    <w:p w14:paraId="16A2A390">
      <w:pPr>
        <w:spacing w:line="360" w:lineRule="auto"/>
        <w:ind w:firstLine="480" w:firstLineChars="200"/>
        <w:rPr>
          <w:bCs/>
        </w:rPr>
      </w:pPr>
      <w:r>
        <w:rPr>
          <w:rFonts w:hint="eastAsia"/>
          <w:bCs/>
        </w:rPr>
        <w:t>（2）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78698D19">
      <w:pPr>
        <w:spacing w:line="360" w:lineRule="auto"/>
        <w:ind w:firstLine="480" w:firstLineChars="200"/>
        <w:rPr>
          <w:bCs/>
        </w:rPr>
      </w:pPr>
      <w:r>
        <w:rPr>
          <w:rFonts w:hint="eastAsia"/>
          <w:bCs/>
        </w:rPr>
        <w:t>中债综合全价（总值）指数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部分的业绩比较基准要素。</w:t>
      </w:r>
    </w:p>
    <w:p w14:paraId="0456E45B">
      <w:pPr>
        <w:spacing w:line="360" w:lineRule="auto"/>
        <w:ind w:firstLine="480" w:firstLineChars="200"/>
        <w:rPr>
          <w:bCs/>
        </w:rPr>
      </w:pPr>
      <w:r>
        <w:rPr>
          <w:rFonts w:hint="eastAsia"/>
          <w:bCs/>
        </w:rPr>
        <w:t>（3）基于基金投资目标、投资范围和投资策略，本基金根据权益类市场的趋势研判适度参与股票资产投资，精选基本面良好、有长期投资价值的优质企业，同时可投资于全市场的股票型ETF、公募REITs，以及基金管理人旗下的股票型基金、计入权益类资产的混合型基金，力求提高基金总体收益率。综合考虑基准指数与产品定位和投资风格的匹配度，同时兼顾考虑基准指数的表征性、认可度，以及指数盘别/市值覆盖、风格特征、行业与个股分布等，本基金选取中证全指指数和恒生指数分别作为A股股票和港股通股票部分的业绩比较基准要素。</w:t>
      </w:r>
    </w:p>
    <w:p w14:paraId="14833CAC">
      <w:pPr>
        <w:spacing w:line="360" w:lineRule="auto"/>
        <w:ind w:firstLine="480" w:firstLineChars="200"/>
        <w:rPr>
          <w:bCs/>
        </w:rPr>
      </w:pPr>
      <w:r>
        <w:rPr>
          <w:rFonts w:hint="eastAsia"/>
          <w:bCs/>
        </w:rPr>
        <w:t>中证全指指数由上海证券交易所、深圳证券交易所和北京证券交易所市场符合条件的股票和存托凭证组成样本，具有较高的市场代表性，反映上交所、深交所和北交所市场上市公司的整体表现，适合作为本基金A股股票部分的业绩比较基准要素。</w:t>
      </w:r>
    </w:p>
    <w:p w14:paraId="09BB3C26">
      <w:pPr>
        <w:spacing w:line="360" w:lineRule="auto"/>
        <w:ind w:firstLine="480" w:firstLineChars="200"/>
        <w:rPr>
          <w:bCs/>
        </w:rPr>
      </w:pPr>
      <w:r>
        <w:rPr>
          <w:rFonts w:hint="eastAsia"/>
          <w:bCs/>
        </w:rPr>
        <w:t>恒生指数由恒生指数有限公司编制，包括市值最大及成交最活跃，并在香港上市的股票，亦包括H股及红筹股，是反映香港股市价幅趋势最有影响的一种股价指数，适合作为本基金港股通股票部分的业绩比较基准要素。</w:t>
      </w:r>
    </w:p>
    <w:p w14:paraId="6EFF30FA">
      <w:pPr>
        <w:spacing w:line="360" w:lineRule="auto"/>
        <w:ind w:firstLine="480" w:firstLineChars="200"/>
        <w:rPr>
          <w:bCs/>
        </w:rPr>
      </w:pPr>
      <w:r>
        <w:rPr>
          <w:rFonts w:hint="eastAsia"/>
          <w:bCs/>
        </w:rPr>
        <w:t>综上，本基金选取的业绩比较基准与基金投资目标、投资范围、投资策略、投资比例限制相匹配。</w:t>
      </w:r>
    </w:p>
    <w:p w14:paraId="4F06E958">
      <w:pPr>
        <w:spacing w:line="360" w:lineRule="auto"/>
        <w:ind w:firstLine="480" w:firstLineChars="200"/>
        <w:rPr>
          <w:bCs/>
        </w:rPr>
      </w:pPr>
      <w:r>
        <w:rPr>
          <w:rFonts w:hint="eastAsia"/>
          <w:bCs/>
        </w:rPr>
        <w:t>2、业绩比较基准要素的基本信息</w:t>
      </w:r>
    </w:p>
    <w:p w14:paraId="5732BEFE">
      <w:pPr>
        <w:spacing w:line="360" w:lineRule="auto"/>
        <w:ind w:firstLine="480" w:firstLineChars="200"/>
        <w:rPr>
          <w:bCs/>
        </w:rPr>
      </w:pPr>
      <w:r>
        <w:rPr>
          <w:rFonts w:hint="eastAsia"/>
          <w:bCs/>
        </w:rPr>
        <w:t>中债综合全价（总值）指数由中债金融估值中心有限公司编制发布，指数代码为CBA00203，指数具体信息详见中国债券信息网，网址：www.chinabond.com.cn。</w:t>
      </w:r>
    </w:p>
    <w:p w14:paraId="50D5F0F0">
      <w:pPr>
        <w:spacing w:line="360" w:lineRule="auto"/>
        <w:ind w:firstLine="480" w:firstLineChars="200"/>
        <w:rPr>
          <w:bCs/>
        </w:rPr>
      </w:pPr>
      <w:r>
        <w:rPr>
          <w:rFonts w:hint="eastAsia"/>
          <w:bCs/>
        </w:rPr>
        <w:t>中证全指指数由中证指数有限公司编制发布，指数代码为000985，指数具体信息详见中证指数有限公司网站，网址：www.csindex.com.cn。</w:t>
      </w:r>
    </w:p>
    <w:p w14:paraId="3A88F8C9">
      <w:pPr>
        <w:spacing w:line="360" w:lineRule="auto"/>
        <w:ind w:firstLine="480" w:firstLineChars="200"/>
        <w:rPr>
          <w:bCs/>
        </w:rPr>
      </w:pPr>
      <w:r>
        <w:rPr>
          <w:rFonts w:hint="eastAsia"/>
          <w:bCs/>
        </w:rPr>
        <w:t>恒生指数由恒生指数有限公司编制发布，指数代码为HSI，指数具体信息详见恒生指数有限公司网站，网址：www.hsi.com.hk/schi/。</w:t>
      </w:r>
    </w:p>
    <w:p w14:paraId="33BD0971">
      <w:pPr>
        <w:spacing w:line="360" w:lineRule="auto"/>
        <w:ind w:firstLine="480" w:firstLineChars="200"/>
        <w:rPr>
          <w:bCs/>
        </w:rPr>
      </w:pPr>
      <w:r>
        <w:rPr>
          <w:rFonts w:hint="eastAsia"/>
          <w:bCs/>
        </w:rPr>
        <w:t>活期存款基准利率由中国人民银行公布，如果活期存款基准利率或利息税发生调整，则新的业绩比较基准将从调整当日起开始生效。</w:t>
      </w:r>
    </w:p>
    <w:p w14:paraId="76200665">
      <w:pPr>
        <w:spacing w:line="360" w:lineRule="auto"/>
        <w:ind w:firstLine="480" w:firstLineChars="200"/>
        <w:rPr>
          <w:bCs/>
        </w:rPr>
      </w:pPr>
      <w:r>
        <w:rPr>
          <w:rFonts w:hint="eastAsia"/>
          <w:bCs/>
        </w:rPr>
        <w:t>3、业绩比较基准的计算方法</w:t>
      </w:r>
    </w:p>
    <w:p w14:paraId="45A2426F">
      <w:pPr>
        <w:spacing w:line="360" w:lineRule="auto"/>
        <w:ind w:firstLine="480" w:firstLineChars="200"/>
        <w:rPr>
          <w:bCs/>
        </w:rPr>
      </w:pPr>
      <w:r>
        <w:rPr>
          <w:rFonts w:hint="eastAsia"/>
          <w:bCs/>
        </w:rPr>
        <w:t>本基金业绩比较基准收益率的计算方法以每日收益率为基础，以时间加权为计算原则。本基金先分别计算业绩比较基准中中债综合全价（总值）指数、中证全指指数、恒生指数和活期存款基准利率的每日收益率，再按照预设权重比例计算当日组合要素基准的日收益率，并连乘每日收益率。其中，恒生指数收益率采用估值汇率进行调整，由港元计价折算为人民币计价后，再纳入计算。</w:t>
      </w:r>
    </w:p>
    <w:p w14:paraId="7CDB6BF8">
      <w:pPr>
        <w:spacing w:line="360" w:lineRule="auto"/>
        <w:ind w:firstLine="480" w:firstLineChars="200"/>
        <w:rPr>
          <w:bCs/>
        </w:rPr>
      </w:pPr>
      <w:r>
        <w:rPr>
          <w:rFonts w:hint="eastAsia"/>
          <w:bCs/>
        </w:rPr>
        <w:t>4、管理投资偏离业绩比较基准的定性或定量方法</w:t>
      </w:r>
    </w:p>
    <w:p w14:paraId="08CA0C86">
      <w:pPr>
        <w:spacing w:line="360" w:lineRule="auto"/>
        <w:ind w:firstLine="480" w:firstLineChars="200"/>
        <w:rPr>
          <w:bCs/>
        </w:rPr>
      </w:pPr>
      <w:r>
        <w:rPr>
          <w:rFonts w:hint="eastAsia"/>
          <w:bCs/>
        </w:rPr>
        <w:t>本基金管理人对基金实际投资与业绩比较基准的偏离情况进行动态跟踪与监测评估，监测指标主要包括合适的基金业绩表现类指标（波动率、超额收益等）；对于股票资产，可以采用股票仓位偏离等指标；对于债券资产，可以采用久期中枢等指标，以更好管理基金实际投资与业绩比较基准的偏离情况，从而在控制风险的基础上追求超越业绩比较基准的投资回报。</w:t>
      </w:r>
    </w:p>
    <w:p w14:paraId="4A4F14DF">
      <w:pPr>
        <w:spacing w:line="360" w:lineRule="auto"/>
        <w:ind w:firstLine="480" w:firstLineChars="200"/>
        <w:rPr>
          <w:bCs/>
        </w:rPr>
      </w:pPr>
      <w:r>
        <w:rPr>
          <w:rFonts w:hint="eastAsia"/>
          <w:bCs/>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56E07E96">
      <w:pPr>
        <w:spacing w:line="360" w:lineRule="auto"/>
        <w:ind w:firstLine="480" w:firstLineChars="200"/>
        <w:rPr>
          <w:bCs/>
        </w:rPr>
      </w:pPr>
      <w:r>
        <w:rPr>
          <w:rFonts w:hint="eastAsia"/>
          <w:bCs/>
        </w:rPr>
        <w:t>5、未来可能变更业绩比较基准的情况和程序</w:t>
      </w:r>
    </w:p>
    <w:p w14:paraId="7D651695">
      <w:pPr>
        <w:spacing w:line="360" w:lineRule="auto"/>
        <w:ind w:firstLine="480" w:firstLineChars="200"/>
        <w:rPr>
          <w:bCs/>
        </w:rPr>
      </w:pPr>
      <w:r>
        <w:rPr>
          <w:rFonts w:hint="eastAsia"/>
          <w:bCs/>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A204705">
      <w:pPr>
        <w:spacing w:line="360" w:lineRule="auto"/>
        <w:ind w:firstLine="480" w:firstLineChars="200"/>
        <w:rPr>
          <w:bCs/>
        </w:rPr>
      </w:pPr>
      <w:r>
        <w:rPr>
          <w:rFonts w:hint="eastAsia"/>
          <w:bCs/>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3514C14">
      <w:pPr>
        <w:spacing w:line="360" w:lineRule="auto"/>
        <w:ind w:firstLine="480" w:firstLineChars="200"/>
        <w:rPr>
          <w:bCs/>
        </w:rPr>
      </w:pPr>
      <w:r>
        <w:rPr>
          <w:rFonts w:hint="eastAsia"/>
          <w:bCs/>
        </w:rPr>
        <w:t>（2）调整业绩比较基准的要素权重、更换相同或相近特征的要素等，使新业绩比较基准代表性更强，且符合相关法律法规规定的；</w:t>
      </w:r>
    </w:p>
    <w:p w14:paraId="50E07D1F">
      <w:pPr>
        <w:spacing w:line="360" w:lineRule="auto"/>
        <w:ind w:firstLine="480" w:firstLineChars="200"/>
        <w:rPr>
          <w:bCs/>
        </w:rPr>
      </w:pPr>
      <w:r>
        <w:rPr>
          <w:rFonts w:hint="eastAsia"/>
          <w:bCs/>
        </w:rPr>
        <w:t>（3）中国证监会认可的其他情形。</w:t>
      </w:r>
    </w:p>
    <w:p w14:paraId="4F2CF0A4">
      <w:pPr>
        <w:spacing w:line="360" w:lineRule="auto"/>
        <w:ind w:firstLine="480" w:firstLineChars="200"/>
        <w:rPr>
          <w:bCs/>
        </w:rPr>
      </w:pPr>
      <w:r>
        <w:rPr>
          <w:rFonts w:hint="eastAsia"/>
          <w:bCs/>
        </w:rPr>
        <w:t>业绩比较基准变更涉及以下情形的，基金管理人应当按照规定履行变更注册、召开基金份额持有人大会等程序，法律法规、中国证监会另有规定的除外：</w:t>
      </w:r>
    </w:p>
    <w:p w14:paraId="0A18B061">
      <w:pPr>
        <w:spacing w:line="360" w:lineRule="auto"/>
        <w:ind w:firstLine="480" w:firstLineChars="200"/>
        <w:rPr>
          <w:bCs/>
        </w:rPr>
      </w:pPr>
      <w:r>
        <w:rPr>
          <w:rFonts w:hint="eastAsia"/>
          <w:bCs/>
        </w:rPr>
        <w:t>（1）基金投资目标、投资范围、投资策略、投资比例等拟进行重大调整，并变更业绩比较基准的；</w:t>
      </w:r>
    </w:p>
    <w:p w14:paraId="284C696E">
      <w:pPr>
        <w:spacing w:line="360" w:lineRule="auto"/>
        <w:ind w:firstLine="480" w:firstLineChars="200"/>
        <w:rPr>
          <w:bCs/>
        </w:rPr>
      </w:pPr>
      <w:r>
        <w:rPr>
          <w:rFonts w:hint="eastAsia"/>
          <w:bCs/>
        </w:rPr>
        <w:t>（2）其他对基金份额持有人利益产生重大实质性影响的情形。</w:t>
      </w:r>
    </w:p>
    <w:p w14:paraId="6D32E1CB">
      <w:pPr>
        <w:spacing w:line="360" w:lineRule="auto"/>
        <w:ind w:firstLine="480" w:firstLineChars="200"/>
        <w:rPr>
          <w:bCs/>
        </w:rPr>
      </w:pPr>
      <w:r>
        <w:rPr>
          <w:rFonts w:hint="eastAsia"/>
          <w:bCs/>
        </w:rPr>
        <w:t>六、</w:t>
      </w:r>
      <w:r>
        <w:rPr>
          <w:bCs/>
        </w:rPr>
        <w:t>风险收益特征</w:t>
      </w:r>
    </w:p>
    <w:p w14:paraId="540D2B1F">
      <w:pPr>
        <w:spacing w:line="360" w:lineRule="auto"/>
        <w:ind w:firstLine="480" w:firstLineChars="200"/>
        <w:rPr>
          <w:bCs/>
          <w:color w:val="000000"/>
        </w:rPr>
      </w:pPr>
      <w:r>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183C2034">
      <w:pPr>
        <w:spacing w:line="360" w:lineRule="auto"/>
        <w:ind w:firstLine="480" w:firstLineChars="200"/>
        <w:rPr>
          <w:bCs/>
        </w:rPr>
      </w:pPr>
      <w:r>
        <w:rPr>
          <w:bCs/>
        </w:rPr>
        <w:t>七、基金管理人代表基金行使</w:t>
      </w:r>
      <w:r>
        <w:rPr>
          <w:rFonts w:hint="eastAsia"/>
          <w:bCs/>
        </w:rPr>
        <w:t>相关</w:t>
      </w:r>
      <w:r>
        <w:rPr>
          <w:bCs/>
        </w:rPr>
        <w:t>权利的处理原则及方法</w:t>
      </w:r>
    </w:p>
    <w:p w14:paraId="55AC197F">
      <w:pPr>
        <w:spacing w:line="360" w:lineRule="auto"/>
        <w:ind w:firstLine="480" w:firstLineChars="200"/>
        <w:rPr>
          <w:bCs/>
        </w:rPr>
      </w:pPr>
      <w:r>
        <w:rPr>
          <w:rFonts w:hint="eastAsia"/>
          <w:bCs/>
        </w:rPr>
        <w:t>1、有利于基金财产的安全与增值；</w:t>
      </w:r>
    </w:p>
    <w:p w14:paraId="465AF63A">
      <w:pPr>
        <w:spacing w:line="360" w:lineRule="auto"/>
        <w:ind w:firstLine="480" w:firstLineChars="200"/>
        <w:rPr>
          <w:bCs/>
        </w:rPr>
      </w:pPr>
      <w:r>
        <w:rPr>
          <w:rFonts w:hint="eastAsia"/>
          <w:bCs/>
        </w:rPr>
        <w:t>2</w:t>
      </w:r>
      <w:r>
        <w:rPr>
          <w:bCs/>
        </w:rPr>
        <w:t>、基金管理人按照国家有关规定代表基金独立行使</w:t>
      </w:r>
      <w:r>
        <w:rPr>
          <w:rFonts w:hint="eastAsia"/>
          <w:bCs/>
        </w:rPr>
        <w:t>相关</w:t>
      </w:r>
      <w:r>
        <w:rPr>
          <w:bCs/>
        </w:rPr>
        <w:t>权利，保护基金份额持有人的利益；</w:t>
      </w:r>
    </w:p>
    <w:p w14:paraId="2AA4E7C9">
      <w:pPr>
        <w:spacing w:line="360" w:lineRule="auto"/>
        <w:ind w:firstLine="480" w:firstLineChars="200"/>
        <w:rPr>
          <w:bCs/>
        </w:rPr>
      </w:pPr>
      <w:r>
        <w:rPr>
          <w:rFonts w:hint="eastAsia"/>
          <w:bCs/>
        </w:rPr>
        <w:t>3</w:t>
      </w:r>
      <w:r>
        <w:rPr>
          <w:bCs/>
        </w:rPr>
        <w:t>、不谋求对上市公司</w:t>
      </w:r>
      <w:r>
        <w:rPr>
          <w:rFonts w:hint="eastAsia"/>
          <w:bCs/>
        </w:rPr>
        <w:t>经营管理的实质控制</w:t>
      </w:r>
      <w:r>
        <w:rPr>
          <w:bCs/>
        </w:rPr>
        <w:t>；</w:t>
      </w:r>
    </w:p>
    <w:p w14:paraId="135CE642">
      <w:pPr>
        <w:spacing w:line="360" w:lineRule="auto"/>
        <w:ind w:firstLine="480" w:firstLineChars="200"/>
        <w:rPr>
          <w:bCs/>
        </w:rPr>
      </w:pPr>
      <w:r>
        <w:rPr>
          <w:bCs/>
        </w:rPr>
        <w:t>4、不通过关联交易为自身、雇员、授权代理人或任何存在利害关系的第三人牟取任何不当利益。</w:t>
      </w:r>
    </w:p>
    <w:p w14:paraId="6DFA3C74">
      <w:pPr>
        <w:spacing w:line="360" w:lineRule="auto"/>
        <w:ind w:firstLine="480" w:firstLineChars="200"/>
      </w:pPr>
      <w:r>
        <w:rPr>
          <w:rFonts w:hint="eastAsia"/>
        </w:rPr>
        <w:t>八、侧袋机制的实施和投资运作安排</w:t>
      </w:r>
    </w:p>
    <w:p w14:paraId="33EE1D1C">
      <w:pPr>
        <w:spacing w:line="360" w:lineRule="auto"/>
        <w:ind w:firstLine="480" w:firstLineChars="20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50DF9576">
      <w:pPr>
        <w:spacing w:line="360" w:lineRule="auto"/>
        <w:ind w:firstLine="480" w:firstLineChars="200"/>
      </w:pPr>
      <w:r>
        <w:rPr>
          <w:rFonts w:hint="eastAsia"/>
        </w:rPr>
        <w:t>侧袋机制实施期间，本部分约定的投资组合比例、投资策略、组合限制、业绩比较基准、风险收益特征等约定仅适用于主袋账户。</w:t>
      </w:r>
    </w:p>
    <w:p w14:paraId="16F5E1FD">
      <w:pPr>
        <w:spacing w:line="360" w:lineRule="auto"/>
        <w:ind w:firstLine="480" w:firstLineChars="200"/>
      </w:pPr>
      <w:r>
        <w:rPr>
          <w:rFonts w:hint="eastAsia"/>
        </w:rPr>
        <w:t>侧袋账户的实施条件、实施程序、运作安排、投资安排、特定资产的处置变现和支付等对投资者权益有重大影响的事项详见招募说明书的规定。</w:t>
      </w:r>
    </w:p>
    <w:p w14:paraId="20385DE1">
      <w:pPr>
        <w:widowControl/>
        <w:spacing w:line="240" w:lineRule="auto"/>
        <w:jc w:val="left"/>
        <w:rPr>
          <w:b/>
          <w:kern w:val="0"/>
          <w:sz w:val="30"/>
          <w:szCs w:val="20"/>
        </w:rPr>
      </w:pPr>
      <w:bookmarkStart w:id="121" w:name="_Toc401668940"/>
      <w:r>
        <w:rPr>
          <w:bCs/>
          <w:kern w:val="0"/>
          <w:sz w:val="30"/>
          <w:szCs w:val="20"/>
        </w:rPr>
        <w:br w:type="page"/>
      </w:r>
    </w:p>
    <w:p w14:paraId="2D76375D">
      <w:pPr>
        <w:pStyle w:val="2"/>
      </w:pPr>
      <w:bookmarkStart w:id="122" w:name="_Toc218514493"/>
      <w:r>
        <w:rPr>
          <w:rFonts w:hint="eastAsia"/>
        </w:rPr>
        <w:t>基金的财产</w:t>
      </w:r>
      <w:bookmarkEnd w:id="121"/>
      <w:bookmarkEnd w:id="122"/>
    </w:p>
    <w:p w14:paraId="2B36AE39"/>
    <w:p w14:paraId="6BC68677">
      <w:pPr>
        <w:spacing w:line="360" w:lineRule="auto"/>
        <w:ind w:firstLine="480" w:firstLineChars="200"/>
        <w:rPr>
          <w:bCs/>
        </w:rPr>
      </w:pPr>
      <w:r>
        <w:rPr>
          <w:bCs/>
        </w:rPr>
        <w:t>一、基金资产总值</w:t>
      </w:r>
    </w:p>
    <w:p w14:paraId="3A216131">
      <w:pPr>
        <w:spacing w:line="360" w:lineRule="auto"/>
        <w:ind w:firstLine="480" w:firstLineChars="200"/>
        <w:rPr>
          <w:bCs/>
        </w:rPr>
      </w:pPr>
      <w:r>
        <w:rPr>
          <w:bCs/>
        </w:rPr>
        <w:t>基金资产总值是指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收款项、基金份额</w:t>
      </w:r>
      <w:r>
        <w:rPr>
          <w:bCs/>
        </w:rPr>
        <w:t>以及其他</w:t>
      </w:r>
      <w:r>
        <w:rPr>
          <w:rFonts w:hint="eastAsia"/>
          <w:bCs/>
        </w:rPr>
        <w:t>资产</w:t>
      </w:r>
      <w:r>
        <w:rPr>
          <w:bCs/>
        </w:rPr>
        <w:t>的价值总和。</w:t>
      </w:r>
    </w:p>
    <w:p w14:paraId="2D9A6640">
      <w:pPr>
        <w:spacing w:line="360" w:lineRule="auto"/>
        <w:ind w:firstLine="480" w:firstLineChars="200"/>
        <w:rPr>
          <w:bCs/>
        </w:rPr>
      </w:pPr>
      <w:r>
        <w:rPr>
          <w:bCs/>
        </w:rPr>
        <w:t>二、基金资产净值</w:t>
      </w:r>
    </w:p>
    <w:p w14:paraId="175169BD">
      <w:pPr>
        <w:spacing w:line="360" w:lineRule="auto"/>
        <w:ind w:firstLine="480" w:firstLineChars="200"/>
        <w:rPr>
          <w:bCs/>
        </w:rPr>
      </w:pPr>
      <w:r>
        <w:rPr>
          <w:bCs/>
        </w:rPr>
        <w:t>基金资产净值是指基金资产总值减去基金负债后的价值。</w:t>
      </w:r>
    </w:p>
    <w:p w14:paraId="29522BE3">
      <w:pPr>
        <w:spacing w:line="360" w:lineRule="auto"/>
        <w:ind w:firstLine="480" w:firstLineChars="200"/>
        <w:rPr>
          <w:bCs/>
        </w:rPr>
      </w:pPr>
      <w:r>
        <w:rPr>
          <w:bCs/>
        </w:rPr>
        <w:t>三、基金财产的账户</w:t>
      </w:r>
    </w:p>
    <w:p w14:paraId="506A6E18">
      <w:pPr>
        <w:spacing w:line="360" w:lineRule="auto"/>
        <w:ind w:firstLine="480" w:firstLineChars="20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。开立的基金专用账户与基金管理人、基金托管人、基金销售机构和基金登记机构自有的财产账户以及其他基金财产账户相独立。</w:t>
      </w:r>
      <w:bookmarkStart w:id="123" w:name="_Hlt88841837"/>
      <w:bookmarkEnd w:id="123"/>
    </w:p>
    <w:p w14:paraId="6EEC4748">
      <w:pPr>
        <w:spacing w:line="360" w:lineRule="auto"/>
        <w:ind w:firstLine="480" w:firstLineChars="200"/>
        <w:rPr>
          <w:bCs/>
        </w:rPr>
      </w:pPr>
      <w:r>
        <w:rPr>
          <w:bCs/>
        </w:rPr>
        <w:t>四、基金财产的保管和处分</w:t>
      </w:r>
      <w:bookmarkStart w:id="124" w:name="_Hlt88900062"/>
      <w:bookmarkEnd w:id="124"/>
    </w:p>
    <w:p w14:paraId="79779368">
      <w:pPr>
        <w:spacing w:line="360" w:lineRule="auto"/>
        <w:ind w:firstLine="480" w:firstLineChars="200"/>
        <w:rPr>
          <w:bCs/>
        </w:rPr>
      </w:pPr>
      <w:r>
        <w:rPr>
          <w:bCs/>
        </w:rPr>
        <w:t>本基金财产独立于基金管理人、基金托管人和基金</w:t>
      </w:r>
      <w:r>
        <w:rPr>
          <w:rFonts w:hint="eastAsia"/>
          <w:bCs/>
        </w:rPr>
        <w:t>销售</w:t>
      </w:r>
      <w:r>
        <w:rPr>
          <w:bCs/>
        </w:rPr>
        <w:t>机构的财产，并由基金托管人保管。基金管理人、基金托管人</w:t>
      </w:r>
      <w:r>
        <w:rPr>
          <w:rFonts w:hint="eastAsia"/>
          <w:bCs/>
        </w:rPr>
        <w:t>、</w:t>
      </w:r>
      <w:r>
        <w:rPr>
          <w:bCs/>
        </w:rPr>
        <w:t>基金登记机构和基金销售机构以其自有的财产承担其自身的法律责任，其债权人不得对本基金财产行使请求冻结、扣押或其他权利。除依法律法规和基金合同的规定处分外，基金财产不得被处分。</w:t>
      </w:r>
    </w:p>
    <w:p w14:paraId="7B5EFF87">
      <w:pPr>
        <w:spacing w:line="360" w:lineRule="auto"/>
        <w:ind w:firstLine="480" w:firstLineChars="200"/>
      </w:pPr>
      <w:r>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67DDCE7">
      <w:pPr>
        <w:widowControl/>
        <w:spacing w:line="240" w:lineRule="auto"/>
        <w:jc w:val="left"/>
        <w:rPr>
          <w:b/>
          <w:kern w:val="0"/>
          <w:sz w:val="30"/>
          <w:szCs w:val="20"/>
        </w:rPr>
      </w:pPr>
      <w:bookmarkStart w:id="125" w:name="_Toc194741917"/>
      <w:bookmarkStart w:id="126" w:name="_Toc401668944"/>
      <w:r>
        <w:rPr>
          <w:bCs/>
          <w:kern w:val="0"/>
          <w:sz w:val="30"/>
          <w:szCs w:val="20"/>
        </w:rPr>
        <w:br w:type="page"/>
      </w:r>
    </w:p>
    <w:p w14:paraId="25902AF7">
      <w:pPr>
        <w:pStyle w:val="2"/>
      </w:pPr>
      <w:bookmarkStart w:id="127" w:name="_Toc218514494"/>
      <w:r>
        <w:rPr>
          <w:rFonts w:hint="eastAsia"/>
        </w:rPr>
        <w:t>基金资产估值</w:t>
      </w:r>
      <w:bookmarkEnd w:id="125"/>
      <w:bookmarkEnd w:id="126"/>
      <w:bookmarkEnd w:id="127"/>
    </w:p>
    <w:p w14:paraId="26CCFD2E"/>
    <w:p w14:paraId="21199113">
      <w:pPr>
        <w:spacing w:line="360" w:lineRule="auto"/>
        <w:ind w:firstLine="480" w:firstLineChars="200"/>
        <w:rPr>
          <w:bCs/>
        </w:rPr>
      </w:pPr>
      <w:r>
        <w:rPr>
          <w:bCs/>
        </w:rPr>
        <w:t>一、估值日</w:t>
      </w:r>
    </w:p>
    <w:p w14:paraId="6CDF44B1">
      <w:pPr>
        <w:spacing w:line="360" w:lineRule="auto"/>
        <w:ind w:firstLine="480" w:firstLineChars="20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4C5B1C62">
      <w:pPr>
        <w:spacing w:line="360" w:lineRule="auto"/>
        <w:ind w:firstLine="480" w:firstLineChars="200"/>
        <w:rPr>
          <w:bCs/>
        </w:rPr>
      </w:pPr>
      <w:r>
        <w:rPr>
          <w:bCs/>
        </w:rPr>
        <w:t>二、估值对象</w:t>
      </w:r>
    </w:p>
    <w:p w14:paraId="5E5CAC99">
      <w:pPr>
        <w:spacing w:line="360" w:lineRule="auto"/>
        <w:ind w:firstLine="480" w:firstLineChars="200"/>
        <w:rPr>
          <w:bCs/>
        </w:rPr>
      </w:pPr>
      <w:r>
        <w:rPr>
          <w:bCs/>
        </w:rPr>
        <w:t>基金所拥有的股票、存托凭证</w:t>
      </w:r>
      <w:r>
        <w:rPr>
          <w:rFonts w:hint="eastAsia"/>
          <w:bCs/>
        </w:rPr>
        <w:t>、基金份额、股指期货合约、国债期货合约、股票期权合约、信用衍生品、资产支持证券、</w:t>
      </w:r>
      <w:r>
        <w:rPr>
          <w:bCs/>
        </w:rPr>
        <w:t>债券和银行存款本息、应收款项、其</w:t>
      </w:r>
      <w:r>
        <w:rPr>
          <w:rFonts w:hint="eastAsia"/>
          <w:bCs/>
        </w:rPr>
        <w:t>它</w:t>
      </w:r>
      <w:r>
        <w:rPr>
          <w:bCs/>
        </w:rPr>
        <w:t>投资等资产及负债。</w:t>
      </w:r>
    </w:p>
    <w:p w14:paraId="245650FC">
      <w:pPr>
        <w:spacing w:line="360" w:lineRule="auto"/>
        <w:ind w:firstLine="480" w:firstLineChars="200"/>
        <w:rPr>
          <w:bCs/>
        </w:rPr>
      </w:pPr>
      <w:r>
        <w:rPr>
          <w:rFonts w:hint="eastAsia"/>
          <w:bCs/>
        </w:rPr>
        <w:t>三、估值原则</w:t>
      </w:r>
    </w:p>
    <w:p w14:paraId="1E6DA080">
      <w:pPr>
        <w:spacing w:line="360" w:lineRule="auto"/>
        <w:ind w:firstLine="480" w:firstLineChars="200"/>
        <w:rPr>
          <w:bCs/>
        </w:rPr>
      </w:pPr>
      <w:r>
        <w:rPr>
          <w:rFonts w:hint="eastAsia"/>
          <w:bCs/>
        </w:rPr>
        <w:t>基金管理人在确定相关金融资产和金融负债的公允价值时，应符合《企业会计准则》、监管部门有关规定。</w:t>
      </w:r>
    </w:p>
    <w:p w14:paraId="6EB316E1">
      <w:pPr>
        <w:spacing w:line="360" w:lineRule="auto"/>
        <w:ind w:firstLine="480" w:firstLineChars="20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781A168">
      <w:pPr>
        <w:spacing w:line="360" w:lineRule="auto"/>
        <w:ind w:firstLine="480" w:firstLineChars="20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31A13BB">
      <w:pPr>
        <w:spacing w:line="360" w:lineRule="auto"/>
        <w:ind w:firstLine="480" w:firstLineChars="20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A73DDED">
      <w:pPr>
        <w:spacing w:line="360" w:lineRule="auto"/>
        <w:ind w:firstLine="480" w:firstLineChars="20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5A15A3A3">
      <w:pPr>
        <w:spacing w:line="360" w:lineRule="auto"/>
        <w:ind w:firstLine="480" w:firstLineChars="200"/>
        <w:rPr>
          <w:bCs/>
        </w:rPr>
      </w:pPr>
      <w:r>
        <w:rPr>
          <w:rFonts w:hint="eastAsia"/>
          <w:bCs/>
        </w:rPr>
        <w:t>四、</w:t>
      </w:r>
      <w:r>
        <w:rPr>
          <w:bCs/>
        </w:rPr>
        <w:t>估值方法</w:t>
      </w:r>
    </w:p>
    <w:p w14:paraId="0B339C8E">
      <w:pPr>
        <w:pStyle w:val="39"/>
        <w:numPr>
          <w:ilvl w:val="0"/>
          <w:numId w:val="14"/>
        </w:numPr>
        <w:spacing w:line="360" w:lineRule="auto"/>
        <w:ind w:left="0" w:firstLine="480"/>
        <w:rPr>
          <w:bCs/>
        </w:rPr>
      </w:pPr>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099C1F">
      <w:pPr>
        <w:pStyle w:val="39"/>
        <w:numPr>
          <w:ilvl w:val="0"/>
          <w:numId w:val="14"/>
        </w:numPr>
        <w:spacing w:line="360" w:lineRule="auto"/>
        <w:ind w:left="0" w:firstLine="480"/>
        <w:rPr>
          <w:bCs/>
        </w:rPr>
      </w:pPr>
      <w:r>
        <w:rPr>
          <w:rFonts w:hint="eastAsia"/>
          <w:bCs/>
        </w:rPr>
        <w:t xml:space="preserve">处于未上市期间以及流通受限的有价证券应区分如下情况处理： </w:t>
      </w:r>
    </w:p>
    <w:p w14:paraId="49B7355E">
      <w:pPr>
        <w:spacing w:line="360" w:lineRule="auto"/>
        <w:ind w:firstLine="480" w:firstLineChars="200"/>
        <w:rPr>
          <w:bCs/>
        </w:rPr>
      </w:pPr>
      <w:r>
        <w:rPr>
          <w:rFonts w:hint="eastAsia"/>
          <w:bCs/>
        </w:rPr>
        <w:t>（1）送股、转增股、配股和公开增发的新股，按估值日在证券交易所挂牌的同一股票的估值方法估值；该日无交易的，以最近一日的市价（收盘价）估值；</w:t>
      </w:r>
    </w:p>
    <w:p w14:paraId="14872467">
      <w:pPr>
        <w:spacing w:line="360" w:lineRule="auto"/>
        <w:ind w:firstLine="480" w:firstLineChars="200"/>
        <w:rPr>
          <w:bCs/>
        </w:rPr>
      </w:pPr>
      <w:r>
        <w:rPr>
          <w:rFonts w:hint="eastAsia"/>
          <w:bCs/>
        </w:rPr>
        <w:t>（2）首次公开发行未上市的股票，采用估值技术确定公允价值；</w:t>
      </w:r>
    </w:p>
    <w:p w14:paraId="1F8C4150">
      <w:pPr>
        <w:spacing w:line="360" w:lineRule="auto"/>
        <w:ind w:firstLine="480" w:firstLineChars="20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2B24EE3">
      <w:pPr>
        <w:pStyle w:val="39"/>
        <w:numPr>
          <w:ilvl w:val="0"/>
          <w:numId w:val="14"/>
        </w:numPr>
        <w:spacing w:line="360" w:lineRule="auto"/>
        <w:ind w:left="0" w:firstLine="480"/>
        <w:rPr>
          <w:bCs/>
        </w:rPr>
      </w:pPr>
      <w:r>
        <w:rPr>
          <w:rFonts w:hint="eastAsia"/>
          <w:bCs/>
        </w:rPr>
        <w:t>对于已上市或已挂牌转让的不含权固定收益品种，选取第三方估值基准服务机构提供的相应品种当日的估值全价进行估值。</w:t>
      </w:r>
    </w:p>
    <w:p w14:paraId="6D893679">
      <w:pPr>
        <w:pStyle w:val="39"/>
        <w:numPr>
          <w:ilvl w:val="0"/>
          <w:numId w:val="14"/>
        </w:numPr>
        <w:spacing w:line="360" w:lineRule="auto"/>
        <w:ind w:left="0" w:firstLine="480"/>
        <w:rPr>
          <w:bCs/>
        </w:rPr>
      </w:pPr>
      <w:r>
        <w:rPr>
          <w:rFonts w:hint="eastAsia"/>
          <w:bCs/>
        </w:rPr>
        <w:t>对于已上市或已挂牌转让的含权固定收益品种，选取第三方估值基准服务机构提供的相应品种当日的唯一估值全价或推荐估值全价进行估值。</w:t>
      </w:r>
    </w:p>
    <w:p w14:paraId="43FBC242">
      <w:pPr>
        <w:spacing w:line="360" w:lineRule="auto"/>
        <w:ind w:firstLine="480" w:firstLineChars="20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2C583306">
      <w:pPr>
        <w:pStyle w:val="39"/>
        <w:numPr>
          <w:ilvl w:val="0"/>
          <w:numId w:val="14"/>
        </w:numPr>
        <w:spacing w:line="360" w:lineRule="auto"/>
        <w:ind w:left="0" w:firstLine="480"/>
        <w:rPr>
          <w:bCs/>
        </w:rPr>
      </w:pPr>
      <w:r>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EAA26E0">
      <w:pPr>
        <w:pStyle w:val="39"/>
        <w:numPr>
          <w:ilvl w:val="0"/>
          <w:numId w:val="14"/>
        </w:numPr>
        <w:spacing w:line="360" w:lineRule="auto"/>
        <w:ind w:left="0" w:firstLine="48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4A6D774F">
      <w:pPr>
        <w:pStyle w:val="39"/>
        <w:numPr>
          <w:ilvl w:val="0"/>
          <w:numId w:val="14"/>
        </w:numPr>
        <w:spacing w:line="360" w:lineRule="auto"/>
        <w:ind w:left="0" w:firstLine="480"/>
        <w:rPr>
          <w:bCs/>
        </w:rPr>
      </w:pPr>
      <w:r>
        <w:rPr>
          <w:rFonts w:hint="eastAsia"/>
          <w:bCs/>
        </w:rPr>
        <w:t>基金份额的估值</w:t>
      </w:r>
    </w:p>
    <w:p w14:paraId="6486E504">
      <w:pPr>
        <w:spacing w:line="360" w:lineRule="auto"/>
        <w:ind w:firstLine="480" w:firstLineChars="200"/>
        <w:rPr>
          <w:bCs/>
        </w:rPr>
      </w:pPr>
      <w:r>
        <w:rPr>
          <w:rFonts w:hint="eastAsia"/>
          <w:bCs/>
        </w:rPr>
        <w:t>（1）非上市基金的估值</w:t>
      </w:r>
    </w:p>
    <w:p w14:paraId="260CCA0F">
      <w:pPr>
        <w:spacing w:line="360" w:lineRule="auto"/>
        <w:ind w:firstLine="480" w:firstLineChars="200"/>
        <w:rPr>
          <w:bCs/>
        </w:rPr>
      </w:pPr>
      <w:r>
        <w:rPr>
          <w:rFonts w:hint="eastAsia"/>
          <w:bCs/>
        </w:rPr>
        <w:t>境内非货币市场基金按其估值日的份额净值估值。</w:t>
      </w:r>
    </w:p>
    <w:p w14:paraId="53B061BD">
      <w:pPr>
        <w:spacing w:line="360" w:lineRule="auto"/>
        <w:ind w:firstLine="480" w:firstLineChars="200"/>
        <w:rPr>
          <w:bCs/>
        </w:rPr>
      </w:pPr>
      <w:r>
        <w:rPr>
          <w:rFonts w:hint="eastAsia"/>
          <w:bCs/>
        </w:rPr>
        <w:t>（2）上市基金的估值</w:t>
      </w:r>
    </w:p>
    <w:p w14:paraId="30A263A8">
      <w:pPr>
        <w:spacing w:line="360" w:lineRule="auto"/>
        <w:ind w:firstLine="480" w:firstLineChars="200"/>
        <w:rPr>
          <w:bCs/>
        </w:rPr>
      </w:pPr>
      <w:r>
        <w:rPr>
          <w:rFonts w:hint="eastAsia"/>
          <w:bCs/>
        </w:rPr>
        <w:t>1）ETF基金按其估值日的收盘价估值；</w:t>
      </w:r>
    </w:p>
    <w:p w14:paraId="60D5EF42">
      <w:pPr>
        <w:spacing w:line="360" w:lineRule="auto"/>
        <w:ind w:firstLine="480" w:firstLineChars="200"/>
        <w:rPr>
          <w:bCs/>
        </w:rPr>
      </w:pPr>
      <w:r>
        <w:rPr>
          <w:rFonts w:hint="eastAsia"/>
          <w:bCs/>
        </w:rPr>
        <w:t>2）境内上市开放式基金（LOF）按其估值日的份额净值估值；</w:t>
      </w:r>
    </w:p>
    <w:p w14:paraId="0A489EE8">
      <w:pPr>
        <w:spacing w:line="360" w:lineRule="auto"/>
        <w:ind w:firstLine="480" w:firstLineChars="200"/>
        <w:rPr>
          <w:bCs/>
        </w:rPr>
      </w:pPr>
      <w:r>
        <w:rPr>
          <w:rFonts w:hint="eastAsia"/>
          <w:bCs/>
        </w:rPr>
        <w:t>3）境内上市定期开放式基金、封闭式基金按其估值日的收盘价估值。</w:t>
      </w:r>
    </w:p>
    <w:p w14:paraId="1F04DB49">
      <w:pPr>
        <w:spacing w:line="360" w:lineRule="auto"/>
        <w:ind w:firstLine="480" w:firstLineChars="200"/>
        <w:rPr>
          <w:bCs/>
        </w:rPr>
      </w:pPr>
      <w:r>
        <w:rPr>
          <w:rFonts w:hint="eastAsia"/>
          <w:bCs/>
        </w:rPr>
        <w:t>（3）如遇所投资基金不公布基金份额净值、进行折算或拆分、估值日无交易等特殊情况，基金管理人根据以下原则进行估值：</w:t>
      </w:r>
    </w:p>
    <w:p w14:paraId="185D516B">
      <w:pPr>
        <w:spacing w:line="360" w:lineRule="auto"/>
        <w:ind w:firstLine="480" w:firstLineChars="200"/>
        <w:rPr>
          <w:bCs/>
        </w:rPr>
      </w:pPr>
      <w:r>
        <w:rPr>
          <w:rFonts w:hint="eastAsia"/>
          <w:bCs/>
        </w:rPr>
        <w:t>1）以所投资基金的基金份额净值估值的，若所投资基金与本基金估值频率一致但未公布估值日基金份额净值，按其最近公布的基金份额净值为基础估值；</w:t>
      </w:r>
    </w:p>
    <w:p w14:paraId="4F093DCD">
      <w:pPr>
        <w:spacing w:line="360" w:lineRule="auto"/>
        <w:ind w:firstLine="480" w:firstLineChars="200"/>
        <w:rPr>
          <w:bCs/>
        </w:rPr>
      </w:pPr>
      <w:r>
        <w:rPr>
          <w:rFonts w:hint="eastAsia"/>
          <w:bCs/>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094C9B3">
      <w:pPr>
        <w:spacing w:line="360" w:lineRule="auto"/>
        <w:ind w:firstLine="480" w:firstLineChars="200"/>
        <w:rPr>
          <w:bCs/>
        </w:rPr>
      </w:pPr>
      <w:r>
        <w:rPr>
          <w:rFonts w:hint="eastAsia"/>
          <w:bCs/>
        </w:rPr>
        <w:t>3）如果所投资基金前一估值日至估值日期间发生分红除权、折算或拆分，基金管理人应根据基金份额净值或收盘价、单位基金份额分红金额、折算拆分比例、持仓份额等因素合理确定公允价值。</w:t>
      </w:r>
    </w:p>
    <w:p w14:paraId="570AA4E7">
      <w:pPr>
        <w:spacing w:line="360" w:lineRule="auto"/>
        <w:ind w:firstLine="480" w:firstLineChars="200"/>
        <w:rPr>
          <w:bCs/>
        </w:rPr>
      </w:pPr>
      <w:r>
        <w:rPr>
          <w:rFonts w:hint="eastAsia"/>
          <w:bCs/>
        </w:rPr>
        <w:t>（4）当基金管理人认为所投资基金按上述第（1）至第（3）项进行估值存在不公允时，应与基金托管人协商一致采用合理的估值技术或估值标准确定其公允价值。</w:t>
      </w:r>
    </w:p>
    <w:p w14:paraId="70A233F7">
      <w:pPr>
        <w:pStyle w:val="39"/>
        <w:numPr>
          <w:ilvl w:val="0"/>
          <w:numId w:val="14"/>
        </w:numPr>
        <w:spacing w:line="360" w:lineRule="auto"/>
        <w:ind w:left="0" w:firstLine="480"/>
        <w:rPr>
          <w:bCs/>
        </w:rPr>
      </w:pPr>
      <w:r>
        <w:rPr>
          <w:rFonts w:hint="eastAsia"/>
          <w:bCs/>
        </w:rPr>
        <w:t>本基金投资股指期货合约、国债期货合约和股票期权合约，一般以估值当日结算价进行估值，估值当日无结算价的，且最近交易日后经济环境未发生重大变化的，采用最近交易日结算价估值。</w:t>
      </w:r>
    </w:p>
    <w:p w14:paraId="19B08DB5">
      <w:pPr>
        <w:pStyle w:val="39"/>
        <w:numPr>
          <w:ilvl w:val="0"/>
          <w:numId w:val="14"/>
        </w:numPr>
        <w:spacing w:line="360" w:lineRule="auto"/>
        <w:ind w:left="0" w:firstLine="480"/>
        <w:rPr>
          <w:bCs/>
        </w:rPr>
      </w:pPr>
      <w:bookmarkStart w:id="128" w:name="OLE_LINK21"/>
      <w:r>
        <w:rPr>
          <w:rFonts w:hint="eastAsia"/>
          <w:bCs/>
        </w:rPr>
        <w:t>本基金投资存托凭证的估值核算依照境内上市交易的股票执行。</w:t>
      </w:r>
    </w:p>
    <w:p w14:paraId="25391FB7">
      <w:pPr>
        <w:pStyle w:val="39"/>
        <w:numPr>
          <w:ilvl w:val="0"/>
          <w:numId w:val="14"/>
        </w:numPr>
        <w:spacing w:line="360" w:lineRule="auto"/>
        <w:ind w:left="0" w:firstLine="48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58080E4C">
      <w:pPr>
        <w:pStyle w:val="39"/>
        <w:numPr>
          <w:ilvl w:val="0"/>
          <w:numId w:val="14"/>
        </w:numPr>
        <w:spacing w:line="360" w:lineRule="auto"/>
        <w:ind w:left="0" w:firstLine="480"/>
        <w:rPr>
          <w:bCs/>
        </w:rPr>
      </w:pPr>
      <w:r>
        <w:rPr>
          <w:rFonts w:hint="eastAsia"/>
          <w:bCs/>
        </w:rPr>
        <w:t>同一证券同时在两个或两个以上市场交易的，按证券所处的市场分别估值。</w:t>
      </w:r>
    </w:p>
    <w:p w14:paraId="080F522B">
      <w:pPr>
        <w:pStyle w:val="39"/>
        <w:numPr>
          <w:ilvl w:val="0"/>
          <w:numId w:val="14"/>
        </w:numPr>
        <w:spacing w:line="360" w:lineRule="auto"/>
        <w:ind w:left="0" w:firstLine="480"/>
        <w:rPr>
          <w:bCs/>
        </w:rPr>
      </w:pPr>
      <w:r>
        <w:rPr>
          <w:rFonts w:hint="eastAsia"/>
          <w:bCs/>
        </w:rPr>
        <w:t>如有确凿证据表明按上述方法进行估值不能客观反映其公允价值的，基金管理人可根据具体情况与基金托管人商定后，按最能反映公允价值的价格估值。</w:t>
      </w:r>
    </w:p>
    <w:p w14:paraId="4ED00341">
      <w:pPr>
        <w:pStyle w:val="39"/>
        <w:numPr>
          <w:ilvl w:val="0"/>
          <w:numId w:val="14"/>
        </w:numPr>
        <w:spacing w:line="360" w:lineRule="auto"/>
        <w:ind w:left="0" w:firstLine="480"/>
        <w:rPr>
          <w:bCs/>
        </w:rPr>
      </w:pPr>
      <w:r>
        <w:rPr>
          <w:rFonts w:hint="eastAsia"/>
          <w:bCs/>
        </w:rPr>
        <w:t>当发生大额申购或赎回情形时，基金管理人可以采用摆动定价机制，以确保基金估值的公平性。</w:t>
      </w:r>
    </w:p>
    <w:p w14:paraId="1D19A0F8">
      <w:pPr>
        <w:pStyle w:val="39"/>
        <w:numPr>
          <w:ilvl w:val="0"/>
          <w:numId w:val="14"/>
        </w:numPr>
        <w:spacing w:line="360" w:lineRule="auto"/>
        <w:ind w:left="0" w:firstLine="480"/>
        <w:rPr>
          <w:bCs/>
        </w:rPr>
      </w:pPr>
      <w:r>
        <w:rPr>
          <w:rFonts w:hint="eastAsia"/>
          <w:bCs/>
        </w:rPr>
        <w:t>估值计算中涉及港币对人民币汇率的，将依据下列信息提供机构所提供的汇率为基准：当日中国人民银行或其授权机构公布的人民币与港币的中间价，</w:t>
      </w:r>
      <w:r>
        <w:rPr>
          <w:bCs/>
        </w:rPr>
        <w:t>或其他可以反映公允价值的汇率</w:t>
      </w:r>
      <w:r>
        <w:rPr>
          <w:rFonts w:hint="eastAsia"/>
          <w:bCs/>
        </w:rPr>
        <w:t>。</w:t>
      </w:r>
    </w:p>
    <w:p w14:paraId="76E7D8D9">
      <w:pPr>
        <w:pStyle w:val="39"/>
        <w:numPr>
          <w:ilvl w:val="0"/>
          <w:numId w:val="14"/>
        </w:numPr>
        <w:spacing w:line="360" w:lineRule="auto"/>
        <w:ind w:left="0" w:firstLine="48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7770521">
      <w:pPr>
        <w:pStyle w:val="39"/>
        <w:numPr>
          <w:ilvl w:val="0"/>
          <w:numId w:val="14"/>
        </w:numPr>
        <w:spacing w:line="360" w:lineRule="auto"/>
        <w:ind w:left="0" w:firstLine="480"/>
        <w:rPr>
          <w:bCs/>
        </w:rPr>
      </w:pPr>
      <w:r>
        <w:rPr>
          <w:rFonts w:hint="eastAsia"/>
          <w:bCs/>
        </w:rPr>
        <w:t>相关法律法规以及监管部门有强制规定的，从其规定。如有新增事项，按国家最新规定估值。</w:t>
      </w:r>
    </w:p>
    <w:bookmarkEnd w:id="128"/>
    <w:p w14:paraId="6C0C860C">
      <w:pPr>
        <w:spacing w:line="360" w:lineRule="auto"/>
        <w:ind w:firstLine="480" w:firstLineChars="200"/>
        <w:rPr>
          <w:bCs/>
        </w:rPr>
      </w:pPr>
      <w:bookmarkStart w:id="129" w:name="OLE_LINK22"/>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377F6A01">
      <w:pPr>
        <w:spacing w:line="360" w:lineRule="auto"/>
        <w:ind w:firstLine="480" w:firstLineChars="200"/>
        <w:rPr>
          <w:bCs/>
        </w:rPr>
      </w:pPr>
      <w:bookmarkStart w:id="130" w:name="OLE_LINK37"/>
      <w:r>
        <w:rPr>
          <w:rFonts w:hint="eastAsia"/>
          <w:bCs/>
        </w:rPr>
        <w:t>根据有关法律法规，基金净值</w:t>
      </w:r>
      <w:bookmarkStart w:id="131" w:name="OLE_LINK38"/>
      <w:bookmarkStart w:id="132" w:name="OLE_LINK39"/>
      <w:r>
        <w:rPr>
          <w:rFonts w:hint="eastAsia"/>
          <w:bCs/>
        </w:rPr>
        <w:t>信息</w:t>
      </w:r>
      <w:bookmarkEnd w:id="131"/>
      <w:bookmarkEnd w:id="132"/>
      <w:r>
        <w:rPr>
          <w:rFonts w:hint="eastAsia"/>
          <w:bCs/>
        </w:rPr>
        <w:t>计算和基金会计核算的义务由基金管理人承担。本基金的基金会计责任方由基金管理人担任，</w:t>
      </w:r>
      <w:bookmarkStart w:id="133" w:name="OLE_LINK41"/>
      <w:bookmarkStart w:id="134" w:name="OLE_LINK40"/>
      <w:r>
        <w:rPr>
          <w:rFonts w:hint="eastAsia"/>
          <w:bCs/>
        </w:rPr>
        <w:t>基金托管人承担复核责任，</w:t>
      </w:r>
      <w:bookmarkEnd w:id="133"/>
      <w:bookmarkEnd w:id="134"/>
      <w:r>
        <w:rPr>
          <w:rFonts w:hint="eastAsia"/>
          <w:bCs/>
        </w:rPr>
        <w:t>因此，就与本基金有关的会计问题，如经相关各方在平等基础上充分讨论后，仍无法达成一致的意见，按照基金管理人对基金净值信息的计算结果对外予以公布。</w:t>
      </w:r>
    </w:p>
    <w:bookmarkEnd w:id="129"/>
    <w:bookmarkEnd w:id="130"/>
    <w:p w14:paraId="2E1274B7">
      <w:pPr>
        <w:spacing w:line="360" w:lineRule="auto"/>
        <w:ind w:firstLine="480" w:firstLineChars="200"/>
        <w:rPr>
          <w:bCs/>
        </w:rPr>
      </w:pPr>
      <w:r>
        <w:rPr>
          <w:rFonts w:hint="eastAsia"/>
          <w:bCs/>
        </w:rPr>
        <w:t>五</w:t>
      </w:r>
      <w:r>
        <w:rPr>
          <w:bCs/>
        </w:rPr>
        <w:t>、估值程序</w:t>
      </w:r>
    </w:p>
    <w:p w14:paraId="15146DD8">
      <w:pPr>
        <w:spacing w:line="360" w:lineRule="auto"/>
        <w:ind w:firstLine="480" w:firstLineChars="200"/>
        <w:rPr>
          <w:bCs/>
        </w:rPr>
      </w:pPr>
      <w:r>
        <w:rPr>
          <w:bCs/>
        </w:rPr>
        <w:t>1、</w:t>
      </w:r>
      <w:bookmarkStart w:id="135" w:name="OLE_LINK36"/>
      <w:r>
        <w:rPr>
          <w:bCs/>
        </w:rPr>
        <w:t>各类基金份额净值是按照每个工作日闭市后，该类基金资产净值除以当日该类基金份额的余额数量计算，均精确到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p w14:paraId="4BC6B762">
      <w:pPr>
        <w:spacing w:line="360" w:lineRule="auto"/>
        <w:ind w:firstLine="480" w:firstLineChars="200"/>
        <w:rPr>
          <w:bCs/>
        </w:rPr>
      </w:pPr>
      <w:r>
        <w:rPr>
          <w:rFonts w:hint="eastAsia"/>
          <w:bCs/>
        </w:rPr>
        <w:t>基金管理人于</w:t>
      </w:r>
      <w:r>
        <w:rPr>
          <w:bCs/>
        </w:rPr>
        <w:t>每个工作日计算基金资产净值及各类基金份额净值，</w:t>
      </w:r>
      <w:r>
        <w:rPr>
          <w:rFonts w:hint="eastAsia"/>
          <w:bCs/>
        </w:rPr>
        <w:t>经基金托管人复核无误后，</w:t>
      </w:r>
      <w:r>
        <w:rPr>
          <w:bCs/>
        </w:rPr>
        <w:t>按规定公告。</w:t>
      </w:r>
    </w:p>
    <w:p w14:paraId="2176021F">
      <w:pPr>
        <w:spacing w:line="360" w:lineRule="auto"/>
        <w:ind w:firstLine="480" w:firstLineChars="200"/>
        <w:rPr>
          <w:bCs/>
        </w:rPr>
      </w:pPr>
      <w:r>
        <w:rPr>
          <w:bCs/>
        </w:rPr>
        <w:t>2、基金管理人应在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rPr>
        <w:t>按规定</w:t>
      </w:r>
      <w:r>
        <w:rPr>
          <w:bCs/>
        </w:rPr>
        <w:t>对外公布。</w:t>
      </w:r>
    </w:p>
    <w:bookmarkEnd w:id="135"/>
    <w:p w14:paraId="473C18BB">
      <w:pPr>
        <w:spacing w:line="360" w:lineRule="auto"/>
        <w:ind w:firstLine="480" w:firstLineChars="200"/>
        <w:rPr>
          <w:bCs/>
        </w:rPr>
      </w:pPr>
      <w:r>
        <w:rPr>
          <w:rFonts w:hint="eastAsia"/>
          <w:bCs/>
        </w:rPr>
        <w:t>六</w:t>
      </w:r>
      <w:r>
        <w:rPr>
          <w:bCs/>
        </w:rPr>
        <w:t>、估值错误的处理</w:t>
      </w:r>
    </w:p>
    <w:p w14:paraId="678DA3FC">
      <w:pPr>
        <w:spacing w:line="360" w:lineRule="auto"/>
        <w:ind w:firstLine="480" w:firstLineChars="200"/>
        <w:rPr>
          <w:bCs/>
        </w:rPr>
      </w:pPr>
      <w:r>
        <w:rPr>
          <w:bCs/>
        </w:rPr>
        <w:t>基金管理人和基金托管人将采取必要、适当、合理的措施确保基金资产估值的准确性、及时性。当任一类基金份额净值小数点后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发生估值错误时，视为该类基金份额净值错误。</w:t>
      </w:r>
    </w:p>
    <w:p w14:paraId="3FD8E386">
      <w:pPr>
        <w:spacing w:line="360" w:lineRule="auto"/>
        <w:ind w:firstLine="480" w:firstLineChars="200"/>
        <w:rPr>
          <w:bCs/>
        </w:rPr>
      </w:pPr>
      <w:r>
        <w:rPr>
          <w:bCs/>
        </w:rPr>
        <w:t>本基金合同的当事人应按照以下约定处理：</w:t>
      </w:r>
    </w:p>
    <w:p w14:paraId="7E9D5182">
      <w:pPr>
        <w:spacing w:line="360" w:lineRule="auto"/>
        <w:ind w:firstLine="480" w:firstLineChars="200"/>
        <w:rPr>
          <w:bCs/>
        </w:rPr>
      </w:pPr>
      <w:r>
        <w:rPr>
          <w:bCs/>
        </w:rPr>
        <w:t>1、估值错误类型</w:t>
      </w:r>
    </w:p>
    <w:p w14:paraId="744CF384">
      <w:pPr>
        <w:spacing w:line="360" w:lineRule="auto"/>
        <w:ind w:firstLine="480" w:firstLineChars="200"/>
        <w:rPr>
          <w:bCs/>
        </w:rPr>
      </w:pPr>
      <w:r>
        <w:rPr>
          <w:bCs/>
        </w:rPr>
        <w:t>本基金运作过程中，如果由于基金管理人或基金托管人</w:t>
      </w:r>
      <w:r>
        <w:rPr>
          <w:rFonts w:hint="eastAsia"/>
          <w:bCs/>
        </w:rPr>
        <w:t>、</w:t>
      </w:r>
      <w:r>
        <w:rPr>
          <w:bCs/>
        </w:rPr>
        <w:t>或登记机构、或销售机构、或投资者自身的过错造成估值错误，导致其他当事人遭受损失的，过错的责任人应当对由于该估值错误遭受损失当事人</w:t>
      </w:r>
      <w:r>
        <w:rPr>
          <w:rFonts w:hint="eastAsia"/>
          <w:bCs/>
        </w:rPr>
        <w:t>（</w:t>
      </w:r>
      <w:r>
        <w:rPr>
          <w:bCs/>
        </w:rPr>
        <w:t>“受损方”</w:t>
      </w:r>
      <w:r>
        <w:rPr>
          <w:rFonts w:hint="eastAsia"/>
          <w:bCs/>
        </w:rPr>
        <w:t>）</w:t>
      </w:r>
      <w:r>
        <w:rPr>
          <w:bCs/>
        </w:rPr>
        <w:t>的直接损失按下述“估值错误处理原则”给予赔偿，承担赔偿责任。</w:t>
      </w:r>
    </w:p>
    <w:p w14:paraId="47270291">
      <w:pPr>
        <w:spacing w:line="360" w:lineRule="auto"/>
        <w:ind w:firstLine="480" w:firstLineChars="200"/>
        <w:rPr>
          <w:bCs/>
        </w:rPr>
      </w:pPr>
      <w:r>
        <w:rPr>
          <w:bCs/>
        </w:rPr>
        <w:t>上述估值错误的主要类型包括但不限于：资料申报差错、数据传输差错、数据计算差错、系统故障差错、下达指令差错等。</w:t>
      </w:r>
    </w:p>
    <w:p w14:paraId="3E9A5901">
      <w:pPr>
        <w:spacing w:line="360" w:lineRule="auto"/>
        <w:ind w:firstLine="480" w:firstLineChars="200"/>
        <w:rPr>
          <w:bCs/>
        </w:rPr>
      </w:pPr>
      <w:r>
        <w:rPr>
          <w:bCs/>
        </w:rPr>
        <w:t>2、估值错误处理原则</w:t>
      </w:r>
    </w:p>
    <w:p w14:paraId="42555D85">
      <w:pPr>
        <w:spacing w:line="360" w:lineRule="auto"/>
        <w:ind w:firstLine="480" w:firstLineChars="20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FF18F35">
      <w:pPr>
        <w:spacing w:line="360" w:lineRule="auto"/>
        <w:ind w:firstLine="480" w:firstLineChars="20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510FC091">
      <w:pPr>
        <w:spacing w:line="360" w:lineRule="auto"/>
        <w:ind w:firstLine="480" w:firstLineChars="20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rPr>
        <w:t>（</w:t>
      </w:r>
      <w:r>
        <w:rPr>
          <w:bCs/>
        </w:rPr>
        <w:t>“受损方”</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45B4C1F">
      <w:pPr>
        <w:spacing w:line="360" w:lineRule="auto"/>
        <w:ind w:firstLine="480" w:firstLineChars="200"/>
        <w:rPr>
          <w:bCs/>
        </w:rPr>
      </w:pPr>
      <w:r>
        <w:rPr>
          <w:bCs/>
        </w:rPr>
        <w:t>（</w:t>
      </w:r>
      <w:r>
        <w:rPr>
          <w:rFonts w:hint="eastAsia"/>
          <w:bCs/>
        </w:rPr>
        <w:t>4</w:t>
      </w:r>
      <w:r>
        <w:rPr>
          <w:bCs/>
        </w:rPr>
        <w:t>）估值错误调整采用尽量恢复至假设未发生估值错误的正确情形的方式。</w:t>
      </w:r>
    </w:p>
    <w:p w14:paraId="1D842C1D">
      <w:pPr>
        <w:spacing w:line="360" w:lineRule="auto"/>
        <w:ind w:firstLine="480" w:firstLineChars="200"/>
        <w:rPr>
          <w:bCs/>
        </w:rPr>
      </w:pPr>
      <w:r>
        <w:rPr>
          <w:rFonts w:hint="eastAsia"/>
          <w:bCs/>
        </w:rPr>
        <w:t>（5）按法律法规规定的其他原则处理估值错误。</w:t>
      </w:r>
    </w:p>
    <w:p w14:paraId="729D08C2">
      <w:pPr>
        <w:spacing w:line="360" w:lineRule="auto"/>
        <w:ind w:firstLine="480" w:firstLineChars="200"/>
        <w:rPr>
          <w:bCs/>
        </w:rPr>
      </w:pPr>
      <w:r>
        <w:rPr>
          <w:bCs/>
        </w:rPr>
        <w:t>3、估值错误处理程序</w:t>
      </w:r>
    </w:p>
    <w:p w14:paraId="0D65EB79">
      <w:pPr>
        <w:spacing w:line="360" w:lineRule="auto"/>
        <w:ind w:firstLine="480" w:firstLineChars="200"/>
        <w:rPr>
          <w:bCs/>
        </w:rPr>
      </w:pPr>
      <w:r>
        <w:rPr>
          <w:bCs/>
        </w:rPr>
        <w:t>估值错误被发现后，有关的当事人应当及时进行处理，处理的程序如下：</w:t>
      </w:r>
    </w:p>
    <w:p w14:paraId="1A073123">
      <w:pPr>
        <w:spacing w:line="360" w:lineRule="auto"/>
        <w:ind w:firstLine="480" w:firstLineChars="200"/>
        <w:rPr>
          <w:bCs/>
        </w:rPr>
      </w:pPr>
      <w:r>
        <w:rPr>
          <w:bCs/>
        </w:rPr>
        <w:t>（1）查明估值错误发生的原因，列明所有的当事人，并根据估值错误发生的原因确定估值错误的责任方；</w:t>
      </w:r>
    </w:p>
    <w:p w14:paraId="20F4DDB0">
      <w:pPr>
        <w:spacing w:line="360" w:lineRule="auto"/>
        <w:ind w:firstLine="480" w:firstLineChars="200"/>
        <w:rPr>
          <w:bCs/>
        </w:rPr>
      </w:pPr>
      <w:r>
        <w:rPr>
          <w:bCs/>
        </w:rPr>
        <w:t>（</w:t>
      </w:r>
      <w:r>
        <w:rPr>
          <w:rFonts w:hint="eastAsia"/>
          <w:bCs/>
        </w:rPr>
        <w:t>2</w:t>
      </w:r>
      <w:r>
        <w:rPr>
          <w:bCs/>
        </w:rPr>
        <w:t>）根据估值错误处理原则或当事人协商的方法对因估值错误造成的损失进行评估；</w:t>
      </w:r>
    </w:p>
    <w:p w14:paraId="6CE977D6">
      <w:pPr>
        <w:spacing w:line="360" w:lineRule="auto"/>
        <w:ind w:firstLine="480" w:firstLineChars="200"/>
        <w:rPr>
          <w:bCs/>
        </w:rPr>
      </w:pPr>
      <w:r>
        <w:rPr>
          <w:bCs/>
        </w:rPr>
        <w:t>（</w:t>
      </w:r>
      <w:r>
        <w:rPr>
          <w:rFonts w:hint="eastAsia"/>
          <w:bCs/>
        </w:rPr>
        <w:t>3</w:t>
      </w:r>
      <w:r>
        <w:rPr>
          <w:bCs/>
        </w:rPr>
        <w:t>）根据估值错误处理原则或当事人协商的方法由估值错误的责任方进行更正和赔偿损失；</w:t>
      </w:r>
    </w:p>
    <w:p w14:paraId="53A730D8">
      <w:pPr>
        <w:spacing w:line="360" w:lineRule="auto"/>
        <w:ind w:firstLine="480" w:firstLineChars="20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5009C215">
      <w:pPr>
        <w:spacing w:line="360" w:lineRule="auto"/>
        <w:ind w:firstLine="480" w:firstLineChars="200"/>
        <w:rPr>
          <w:bCs/>
        </w:rPr>
      </w:pPr>
      <w:r>
        <w:rPr>
          <w:bCs/>
        </w:rPr>
        <w:t>4、基金份额净值估值错误处理的方法如下：</w:t>
      </w:r>
    </w:p>
    <w:p w14:paraId="216783E3">
      <w:pPr>
        <w:spacing w:line="360" w:lineRule="auto"/>
        <w:ind w:firstLine="480" w:firstLineChars="200"/>
        <w:rPr>
          <w:bCs/>
        </w:rPr>
      </w:pPr>
      <w:r>
        <w:rPr>
          <w:bCs/>
        </w:rPr>
        <w:t>（1）</w:t>
      </w:r>
      <w:r>
        <w:rPr>
          <w:rFonts w:hint="eastAsia"/>
          <w:bCs/>
        </w:rPr>
        <w:t>任一类</w:t>
      </w:r>
      <w:r>
        <w:rPr>
          <w:bCs/>
        </w:rPr>
        <w:t>基金份额净值计算出现错误时，基金管理人应当立即予以纠正，通报基金托管人，并采取合理的措施防止损失进一步扩大。</w:t>
      </w:r>
    </w:p>
    <w:p w14:paraId="1B3B504B">
      <w:pPr>
        <w:spacing w:line="360" w:lineRule="auto"/>
        <w:ind w:firstLine="480" w:firstLineChars="200"/>
        <w:rPr>
          <w:bCs/>
        </w:rPr>
      </w:pPr>
      <w:r>
        <w:rPr>
          <w:bCs/>
        </w:rPr>
        <w:t>（</w:t>
      </w:r>
      <w:r>
        <w:rPr>
          <w:rFonts w:hint="eastAsia"/>
          <w:bCs/>
        </w:rPr>
        <w:t>2</w:t>
      </w:r>
      <w:r>
        <w:rPr>
          <w:bCs/>
        </w:rPr>
        <w:t>）错误偏差达到该类基金份额净值的0.25%时，基金管理人应当通报基金托管人并报中国证监会备案；错误偏差达到该类基金份额净值的0.5%时，基金管理人应当</w:t>
      </w:r>
      <w:r>
        <w:rPr>
          <w:rFonts w:hint="eastAsia"/>
          <w:bCs/>
        </w:rPr>
        <w:t>公告，并报中国证监会备案</w:t>
      </w:r>
      <w:r>
        <w:rPr>
          <w:bCs/>
        </w:rPr>
        <w:t>。</w:t>
      </w:r>
    </w:p>
    <w:p w14:paraId="4D8402E5">
      <w:pPr>
        <w:spacing w:line="360" w:lineRule="auto"/>
        <w:ind w:firstLine="480" w:firstLineChars="200"/>
        <w:rPr>
          <w:bCs/>
        </w:rPr>
      </w:pPr>
      <w:r>
        <w:rPr>
          <w:bCs/>
        </w:rPr>
        <w:t>（</w:t>
      </w:r>
      <w:r>
        <w:rPr>
          <w:rFonts w:hint="eastAsia"/>
          <w:bCs/>
        </w:rPr>
        <w:t>3</w:t>
      </w:r>
      <w:r>
        <w:rPr>
          <w:bCs/>
        </w:rPr>
        <w:t>）</w:t>
      </w:r>
      <w:r>
        <w:rPr>
          <w:rFonts w:hint="eastAsia"/>
          <w:bCs/>
        </w:rPr>
        <w:t>当基金份额净值计算差错给基金和基金份额持有人造成损失需要进行赔偿时，基金管理人和基金托管人应根据实际情况界定双方承担的责任，经确认后按以下条款进行赔偿：</w:t>
      </w:r>
    </w:p>
    <w:p w14:paraId="5C6FE721">
      <w:pPr>
        <w:spacing w:line="360" w:lineRule="auto"/>
        <w:ind w:firstLine="480" w:firstLineChars="200"/>
        <w:rPr>
          <w:bCs/>
        </w:rPr>
      </w:pPr>
      <w:bookmarkStart w:id="136" w:name="_Hlk194323278"/>
      <w:r>
        <w:rPr>
          <w:rFonts w:hint="eastAsia"/>
          <w:bCs/>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C02B1F5">
      <w:pPr>
        <w:spacing w:line="360" w:lineRule="auto"/>
        <w:ind w:firstLine="480" w:firstLineChars="200"/>
        <w:rPr>
          <w:bCs/>
        </w:rPr>
      </w:pPr>
      <w:r>
        <w:rPr>
          <w:rFonts w:hint="eastAsia"/>
          <w:bCs/>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E71DD19">
      <w:pPr>
        <w:spacing w:line="360" w:lineRule="auto"/>
        <w:ind w:firstLine="480" w:firstLineChars="200"/>
        <w:rPr>
          <w:bCs/>
        </w:rPr>
      </w:pPr>
      <w:r>
        <w:rPr>
          <w:rFonts w:hint="eastAsia"/>
          <w:bCs/>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13BBA70">
      <w:pPr>
        <w:spacing w:line="360" w:lineRule="auto"/>
        <w:ind w:firstLine="480" w:firstLineChars="200"/>
        <w:rPr>
          <w:bCs/>
        </w:rPr>
      </w:pPr>
      <w:r>
        <w:rPr>
          <w:rFonts w:hint="eastAsia"/>
          <w:bCs/>
        </w:rPr>
        <w:t>④由于基金管理人提供的信息错误（包括但不限于基金申购或赎回金额等），进而导致基金份额净值计算错误而引起的基金份额持有人和基金财产的损失，由基金管理人负责赔付。</w:t>
      </w:r>
    </w:p>
    <w:bookmarkEnd w:id="136"/>
    <w:p w14:paraId="3B6C1090">
      <w:pPr>
        <w:spacing w:line="360" w:lineRule="auto"/>
        <w:ind w:firstLine="480" w:firstLineChars="200"/>
        <w:rPr>
          <w:bCs/>
        </w:rPr>
      </w:pPr>
      <w:r>
        <w:rPr>
          <w:rFonts w:hint="eastAsia"/>
          <w:bCs/>
        </w:rPr>
        <w:t>（4）前述内容如法律法规或监管机关另有规定的，从其规定处理。如果行业另有通行做法，基金管理人和基金托管人应本着平等和保护基金份额持有人利益的原则进行协商。</w:t>
      </w:r>
    </w:p>
    <w:p w14:paraId="3BC42ECB">
      <w:pPr>
        <w:spacing w:line="360" w:lineRule="auto"/>
        <w:ind w:firstLine="480" w:firstLineChars="200"/>
        <w:rPr>
          <w:bCs/>
        </w:rPr>
      </w:pPr>
      <w:r>
        <w:rPr>
          <w:rFonts w:hint="eastAsia"/>
          <w:bCs/>
        </w:rPr>
        <w:t>七</w:t>
      </w:r>
      <w:r>
        <w:rPr>
          <w:bCs/>
        </w:rPr>
        <w:t>、暂停估值的情形</w:t>
      </w:r>
    </w:p>
    <w:p w14:paraId="7043EA59">
      <w:pPr>
        <w:spacing w:line="360" w:lineRule="auto"/>
        <w:ind w:firstLine="480" w:firstLineChars="200"/>
        <w:rPr>
          <w:bCs/>
        </w:rPr>
      </w:pPr>
      <w:r>
        <w:rPr>
          <w:bCs/>
        </w:rPr>
        <w:t>1、基金投资所涉及的证券</w:t>
      </w:r>
      <w:r>
        <w:rPr>
          <w:rFonts w:hint="eastAsia"/>
          <w:bCs/>
        </w:rPr>
        <w:t>、期货</w:t>
      </w:r>
      <w:r>
        <w:rPr>
          <w:bCs/>
        </w:rPr>
        <w:t>交易市场或外汇市场遇法定节假日或因其他原因暂停营业时；</w:t>
      </w:r>
    </w:p>
    <w:p w14:paraId="788258E8">
      <w:pPr>
        <w:spacing w:line="360" w:lineRule="auto"/>
        <w:ind w:firstLine="480" w:firstLineChars="200"/>
        <w:rPr>
          <w:bCs/>
        </w:rPr>
      </w:pPr>
      <w:r>
        <w:rPr>
          <w:bCs/>
        </w:rPr>
        <w:t>2、因不可抗力致使基金管理人、基金托管人无法准确评估基金资产价值时；</w:t>
      </w:r>
    </w:p>
    <w:p w14:paraId="3B99B0CC">
      <w:pPr>
        <w:spacing w:line="360" w:lineRule="auto"/>
        <w:ind w:firstLine="480" w:firstLineChars="200"/>
        <w:rPr>
          <w:bCs/>
        </w:rPr>
      </w:pPr>
      <w:r>
        <w:rPr>
          <w:rFonts w:hint="eastAsia"/>
          <w:bCs/>
        </w:rPr>
        <w:t>3、当特定资产占前一估值日基金资产净值50%以上的，</w:t>
      </w:r>
      <w:r>
        <w:rPr>
          <w:bCs/>
        </w:rPr>
        <w:t>经与基金托管人协商</w:t>
      </w:r>
      <w:r>
        <w:rPr>
          <w:rFonts w:hint="eastAsia"/>
          <w:bCs/>
        </w:rPr>
        <w:t>确认后</w:t>
      </w:r>
      <w:r>
        <w:rPr>
          <w:bCs/>
        </w:rPr>
        <w:t>，基金管理人应当暂停估值</w:t>
      </w:r>
      <w:r>
        <w:rPr>
          <w:rFonts w:hint="eastAsia"/>
          <w:bCs/>
        </w:rPr>
        <w:t>；</w:t>
      </w:r>
    </w:p>
    <w:p w14:paraId="122046F9">
      <w:pPr>
        <w:spacing w:line="360" w:lineRule="auto"/>
        <w:ind w:firstLine="480" w:firstLineChars="20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p w14:paraId="7B4F6F28">
      <w:pPr>
        <w:spacing w:line="360" w:lineRule="auto"/>
        <w:ind w:firstLine="480" w:firstLineChars="200"/>
        <w:rPr>
          <w:bCs/>
        </w:rPr>
      </w:pPr>
      <w:r>
        <w:rPr>
          <w:rFonts w:hint="eastAsia"/>
          <w:bCs/>
        </w:rPr>
        <w:t>八</w:t>
      </w:r>
      <w:r>
        <w:rPr>
          <w:bCs/>
        </w:rPr>
        <w:t>、基金净值的确认</w:t>
      </w:r>
    </w:p>
    <w:p w14:paraId="31685448">
      <w:pPr>
        <w:spacing w:line="360" w:lineRule="auto"/>
        <w:ind w:firstLine="480" w:firstLineChars="200"/>
        <w:rPr>
          <w:bCs/>
        </w:rPr>
      </w:pPr>
      <w:r>
        <w:rPr>
          <w:bCs/>
        </w:rPr>
        <w:t>基金资产净值和各类基金份额净值由基金管理人负责计算，基金托管人负责进行复核。基金管理人应于每个</w:t>
      </w:r>
      <w:r>
        <w:rPr>
          <w:rFonts w:hint="eastAsia"/>
          <w:bCs/>
        </w:rPr>
        <w:t>工作日</w:t>
      </w:r>
      <w:r>
        <w:rPr>
          <w:bCs/>
        </w:rPr>
        <w:t>交易结束后计算当日的基金资产净值和各类基金份额净值并发送给基金托管人。基金托管人对净值计算结果复核确认后发送给基金管理人，由基金管理人对基金净值</w:t>
      </w:r>
      <w:r>
        <w:rPr>
          <w:rFonts w:hint="eastAsia"/>
          <w:bCs/>
        </w:rPr>
        <w:t>按规定</w:t>
      </w:r>
      <w:r>
        <w:rPr>
          <w:bCs/>
        </w:rPr>
        <w:t>予以公布。</w:t>
      </w:r>
    </w:p>
    <w:p w14:paraId="71B575A2">
      <w:pPr>
        <w:spacing w:line="360" w:lineRule="auto"/>
        <w:ind w:firstLine="480" w:firstLineChars="200"/>
        <w:rPr>
          <w:bCs/>
        </w:rPr>
      </w:pPr>
      <w:r>
        <w:rPr>
          <w:rFonts w:hint="eastAsia"/>
          <w:bCs/>
        </w:rPr>
        <w:t>九、特殊情形的处理</w:t>
      </w:r>
    </w:p>
    <w:p w14:paraId="596EC50E">
      <w:pPr>
        <w:spacing w:line="360" w:lineRule="auto"/>
        <w:ind w:firstLine="480" w:firstLineChars="200"/>
        <w:rPr>
          <w:bCs/>
        </w:rPr>
      </w:pPr>
      <w:r>
        <w:rPr>
          <w:rFonts w:hint="eastAsia"/>
          <w:bCs/>
        </w:rPr>
        <w:t>1、基金管理人或基金托管人按估值方法的第12项进行估值时，所造成的误差不作为基金资产估值错误处理；</w:t>
      </w:r>
    </w:p>
    <w:p w14:paraId="24F64A1D">
      <w:pPr>
        <w:spacing w:line="360" w:lineRule="auto"/>
        <w:ind w:firstLine="480" w:firstLineChars="200"/>
        <w:rPr>
          <w:bCs/>
        </w:rPr>
      </w:pPr>
      <w:r>
        <w:rPr>
          <w:rFonts w:hint="eastAsia"/>
          <w:bCs/>
        </w:rPr>
        <w:t>2、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785F5A8">
      <w:pPr>
        <w:spacing w:line="360" w:lineRule="auto"/>
        <w:ind w:firstLine="480" w:firstLineChars="20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092DED93">
      <w:pPr>
        <w:spacing w:line="360" w:lineRule="auto"/>
        <w:ind w:firstLine="480" w:firstLineChars="200"/>
        <w:rPr>
          <w:bCs/>
        </w:rPr>
      </w:pPr>
      <w:r>
        <w:rPr>
          <w:rFonts w:hint="eastAsia"/>
          <w:bCs/>
        </w:rPr>
        <w:t>十、实施侧袋机制期间的基金资产估值</w:t>
      </w:r>
    </w:p>
    <w:p w14:paraId="41FFD514">
      <w:pPr>
        <w:spacing w:line="360" w:lineRule="auto"/>
        <w:ind w:firstLine="480" w:firstLineChars="200"/>
      </w:pPr>
      <w:r>
        <w:rPr>
          <w:rFonts w:hint="eastAsia"/>
          <w:bCs/>
        </w:rPr>
        <w:t>本基金实施侧袋机制的，应根据本部分的约定对主袋账户资产进行估值并披露主袋账户的基金净值信息，暂停披露侧袋账户份额净值。</w:t>
      </w:r>
    </w:p>
    <w:p w14:paraId="0E9E2E58">
      <w:pPr>
        <w:widowControl/>
        <w:spacing w:line="240" w:lineRule="auto"/>
        <w:jc w:val="left"/>
        <w:rPr>
          <w:b/>
          <w:kern w:val="0"/>
          <w:sz w:val="30"/>
          <w:szCs w:val="20"/>
        </w:rPr>
      </w:pPr>
      <w:bookmarkStart w:id="137" w:name="_Toc401668945"/>
      <w:bookmarkStart w:id="138" w:name="_Toc194741918"/>
      <w:r>
        <w:rPr>
          <w:bCs/>
          <w:kern w:val="0"/>
          <w:sz w:val="30"/>
          <w:szCs w:val="20"/>
        </w:rPr>
        <w:br w:type="page"/>
      </w:r>
    </w:p>
    <w:p w14:paraId="6564A3C8">
      <w:pPr>
        <w:pStyle w:val="2"/>
      </w:pPr>
      <w:bookmarkStart w:id="139" w:name="_Toc218514495"/>
      <w:r>
        <w:rPr>
          <w:rFonts w:hint="eastAsia"/>
        </w:rPr>
        <w:t>基金费用与税收</w:t>
      </w:r>
      <w:bookmarkEnd w:id="137"/>
      <w:bookmarkEnd w:id="138"/>
      <w:bookmarkEnd w:id="139"/>
    </w:p>
    <w:p w14:paraId="60EC2A3D">
      <w:pPr>
        <w:spacing w:line="360" w:lineRule="auto"/>
        <w:rPr>
          <w:bCs/>
        </w:rPr>
      </w:pPr>
    </w:p>
    <w:p w14:paraId="5F1D464B">
      <w:pPr>
        <w:spacing w:line="360" w:lineRule="auto"/>
        <w:ind w:firstLine="480" w:firstLineChars="200"/>
        <w:rPr>
          <w:bCs/>
        </w:rPr>
      </w:pPr>
      <w:r>
        <w:rPr>
          <w:bCs/>
        </w:rPr>
        <w:t>一、基金费用的种类</w:t>
      </w:r>
    </w:p>
    <w:p w14:paraId="0B268BB1">
      <w:pPr>
        <w:pStyle w:val="39"/>
        <w:numPr>
          <w:ilvl w:val="0"/>
          <w:numId w:val="15"/>
        </w:numPr>
        <w:spacing w:line="360" w:lineRule="auto"/>
        <w:ind w:left="0" w:firstLine="480"/>
        <w:rPr>
          <w:bCs/>
        </w:rPr>
      </w:pPr>
      <w:bookmarkStart w:id="140" w:name="OLE_LINK23"/>
      <w:r>
        <w:rPr>
          <w:bCs/>
        </w:rPr>
        <w:t>基金管理人的管理费；</w:t>
      </w:r>
    </w:p>
    <w:p w14:paraId="60C9CCA2">
      <w:pPr>
        <w:pStyle w:val="39"/>
        <w:numPr>
          <w:ilvl w:val="0"/>
          <w:numId w:val="15"/>
        </w:numPr>
        <w:spacing w:line="360" w:lineRule="auto"/>
        <w:ind w:left="0" w:firstLine="480"/>
        <w:rPr>
          <w:bCs/>
        </w:rPr>
      </w:pPr>
      <w:r>
        <w:rPr>
          <w:bCs/>
        </w:rPr>
        <w:t>基金托管人的托管费；</w:t>
      </w:r>
    </w:p>
    <w:p w14:paraId="38BC4532">
      <w:pPr>
        <w:pStyle w:val="39"/>
        <w:numPr>
          <w:ilvl w:val="0"/>
          <w:numId w:val="15"/>
        </w:numPr>
        <w:spacing w:line="360" w:lineRule="auto"/>
        <w:ind w:left="0" w:firstLine="480"/>
        <w:rPr>
          <w:bCs/>
        </w:rPr>
      </w:pPr>
      <w:r>
        <w:rPr>
          <w:rFonts w:hint="eastAsia"/>
          <w:bCs/>
        </w:rPr>
        <w:t>C类基金份额的销售服务费；</w:t>
      </w:r>
    </w:p>
    <w:p w14:paraId="29B76555">
      <w:pPr>
        <w:pStyle w:val="39"/>
        <w:numPr>
          <w:ilvl w:val="0"/>
          <w:numId w:val="15"/>
        </w:numPr>
        <w:spacing w:line="360" w:lineRule="auto"/>
        <w:ind w:left="0" w:firstLine="480"/>
        <w:rPr>
          <w:bCs/>
        </w:rPr>
      </w:pPr>
      <w:r>
        <w:rPr>
          <w:bCs/>
        </w:rPr>
        <w:t>基金合同生效后与基金相关的信息披露费用；</w:t>
      </w:r>
    </w:p>
    <w:p w14:paraId="7BB7435E">
      <w:pPr>
        <w:pStyle w:val="39"/>
        <w:numPr>
          <w:ilvl w:val="0"/>
          <w:numId w:val="15"/>
        </w:numPr>
        <w:spacing w:line="360" w:lineRule="auto"/>
        <w:ind w:left="0" w:firstLine="48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40A07704">
      <w:pPr>
        <w:pStyle w:val="39"/>
        <w:numPr>
          <w:ilvl w:val="0"/>
          <w:numId w:val="15"/>
        </w:numPr>
        <w:spacing w:line="360" w:lineRule="auto"/>
        <w:ind w:left="0" w:firstLine="480"/>
        <w:rPr>
          <w:bCs/>
        </w:rPr>
      </w:pPr>
      <w:r>
        <w:rPr>
          <w:bCs/>
        </w:rPr>
        <w:t>基金份额持有人大会费用；</w:t>
      </w:r>
    </w:p>
    <w:p w14:paraId="6702B6AF">
      <w:pPr>
        <w:pStyle w:val="39"/>
        <w:numPr>
          <w:ilvl w:val="0"/>
          <w:numId w:val="15"/>
        </w:numPr>
        <w:spacing w:line="360" w:lineRule="auto"/>
        <w:ind w:left="0" w:firstLine="480"/>
        <w:rPr>
          <w:bCs/>
        </w:rPr>
      </w:pPr>
      <w:r>
        <w:rPr>
          <w:bCs/>
        </w:rPr>
        <w:t>基金的证券</w:t>
      </w:r>
      <w:r>
        <w:rPr>
          <w:rFonts w:hint="eastAsia"/>
          <w:bCs/>
        </w:rPr>
        <w:t>、期货、股票期权等</w:t>
      </w:r>
      <w:r>
        <w:rPr>
          <w:bCs/>
        </w:rPr>
        <w:t>交易</w:t>
      </w:r>
      <w:r>
        <w:rPr>
          <w:rFonts w:hint="eastAsia"/>
          <w:bCs/>
        </w:rPr>
        <w:t>、结算</w:t>
      </w:r>
      <w:r>
        <w:rPr>
          <w:bCs/>
        </w:rPr>
        <w:t>费用；</w:t>
      </w:r>
    </w:p>
    <w:p w14:paraId="6E27366E">
      <w:pPr>
        <w:pStyle w:val="39"/>
        <w:numPr>
          <w:ilvl w:val="0"/>
          <w:numId w:val="15"/>
        </w:numPr>
        <w:spacing w:line="360" w:lineRule="auto"/>
        <w:ind w:left="0" w:firstLine="480"/>
        <w:rPr>
          <w:bCs/>
        </w:rPr>
      </w:pPr>
      <w:r>
        <w:rPr>
          <w:bCs/>
        </w:rPr>
        <w:t>基金的银行汇划费用；</w:t>
      </w:r>
    </w:p>
    <w:p w14:paraId="71601883">
      <w:pPr>
        <w:pStyle w:val="39"/>
        <w:numPr>
          <w:ilvl w:val="0"/>
          <w:numId w:val="15"/>
        </w:numPr>
        <w:spacing w:line="360" w:lineRule="auto"/>
        <w:ind w:left="0" w:firstLine="480"/>
        <w:rPr>
          <w:bCs/>
        </w:rPr>
      </w:pPr>
      <w:r>
        <w:rPr>
          <w:rFonts w:hint="eastAsia"/>
          <w:bCs/>
        </w:rPr>
        <w:t>基金相关账户的开户和维护费用；</w:t>
      </w:r>
    </w:p>
    <w:p w14:paraId="0E9951DA">
      <w:pPr>
        <w:pStyle w:val="39"/>
        <w:numPr>
          <w:ilvl w:val="0"/>
          <w:numId w:val="15"/>
        </w:numPr>
        <w:spacing w:line="360" w:lineRule="auto"/>
        <w:ind w:left="0" w:firstLine="480"/>
        <w:rPr>
          <w:bCs/>
        </w:rPr>
      </w:pPr>
      <w:r>
        <w:rPr>
          <w:rFonts w:hint="eastAsia"/>
          <w:bCs/>
        </w:rPr>
        <w:t>因投资港股通标的股票而产生的各项费用；</w:t>
      </w:r>
    </w:p>
    <w:p w14:paraId="0A92D7B9">
      <w:pPr>
        <w:pStyle w:val="39"/>
        <w:numPr>
          <w:ilvl w:val="0"/>
          <w:numId w:val="15"/>
        </w:numPr>
        <w:spacing w:line="360" w:lineRule="auto"/>
        <w:ind w:left="0" w:firstLine="480"/>
        <w:rPr>
          <w:bCs/>
        </w:rPr>
      </w:pPr>
      <w:r>
        <w:rPr>
          <w:rFonts w:hint="eastAsia"/>
          <w:bCs/>
        </w:rPr>
        <w:t>基金投资其他基金产生的其他基金的销售费用，但法律法规禁止从基金财产中列支的除外；</w:t>
      </w:r>
    </w:p>
    <w:p w14:paraId="2AE5E034">
      <w:pPr>
        <w:pStyle w:val="39"/>
        <w:numPr>
          <w:ilvl w:val="0"/>
          <w:numId w:val="15"/>
        </w:numPr>
        <w:spacing w:line="360" w:lineRule="auto"/>
        <w:ind w:left="0" w:firstLine="480"/>
        <w:rPr>
          <w:bCs/>
        </w:rPr>
      </w:pPr>
      <w:r>
        <w:rPr>
          <w:bCs/>
        </w:rPr>
        <w:t>按照国家有关规定和基金合同约定，可以在基金财产中列支的其他费用。</w:t>
      </w:r>
    </w:p>
    <w:bookmarkEnd w:id="140"/>
    <w:p w14:paraId="4FD6F3B8">
      <w:pPr>
        <w:spacing w:line="360" w:lineRule="auto"/>
        <w:ind w:firstLine="480" w:firstLineChars="200"/>
        <w:rPr>
          <w:bCs/>
        </w:rPr>
      </w:pPr>
      <w:r>
        <w:rPr>
          <w:bCs/>
        </w:rPr>
        <w:t>二、基金费用计提方法、计提标准和支付方式</w:t>
      </w:r>
    </w:p>
    <w:p w14:paraId="0450C8F7">
      <w:pPr>
        <w:spacing w:line="360" w:lineRule="auto"/>
        <w:ind w:firstLine="480" w:firstLineChars="200"/>
        <w:rPr>
          <w:bCs/>
        </w:rPr>
      </w:pPr>
      <w:r>
        <w:rPr>
          <w:bCs/>
        </w:rPr>
        <w:t>1、基金管理人的管理费</w:t>
      </w:r>
    </w:p>
    <w:p w14:paraId="76079285">
      <w:pPr>
        <w:spacing w:line="360" w:lineRule="auto"/>
        <w:ind w:firstLine="480" w:firstLineChars="200"/>
        <w:rPr>
          <w:bCs/>
        </w:rPr>
      </w:pPr>
      <w:r>
        <w:rPr>
          <w:rFonts w:hint="eastAsia"/>
          <w:bCs/>
        </w:rPr>
        <w:t>本基金对基金财产中持有的本基金管理人自身管理的基金部分不收取管理费。本基金的管理费按前一日除基金管理人管理的基金外的基金资产净值的0.80%年费率计提。管理费的计算方法如下：</w:t>
      </w:r>
    </w:p>
    <w:p w14:paraId="1B8CE557">
      <w:pPr>
        <w:spacing w:line="360" w:lineRule="auto"/>
        <w:ind w:firstLine="480" w:firstLineChars="200"/>
        <w:rPr>
          <w:bCs/>
        </w:rPr>
      </w:pPr>
      <w:r>
        <w:rPr>
          <w:rFonts w:hint="eastAsia"/>
          <w:bCs/>
        </w:rPr>
        <w:t>H＝E×0.80%÷当年天数</w:t>
      </w:r>
    </w:p>
    <w:p w14:paraId="0746F92D">
      <w:pPr>
        <w:spacing w:line="360" w:lineRule="auto"/>
        <w:ind w:firstLine="480" w:firstLineChars="200"/>
        <w:rPr>
          <w:bCs/>
        </w:rPr>
      </w:pPr>
      <w:r>
        <w:rPr>
          <w:rFonts w:hint="eastAsia"/>
          <w:bCs/>
        </w:rPr>
        <w:t>H为每日应计提的基金管理费</w:t>
      </w:r>
    </w:p>
    <w:p w14:paraId="48D1DA29">
      <w:pPr>
        <w:spacing w:line="360" w:lineRule="auto"/>
        <w:ind w:firstLine="480" w:firstLineChars="200"/>
        <w:rPr>
          <w:bCs/>
        </w:rPr>
      </w:pPr>
      <w:r>
        <w:rPr>
          <w:rFonts w:hint="eastAsia"/>
          <w:bCs/>
        </w:rPr>
        <w:t>E为前一日的基金资产净值减去持有基金管理人管理基金的基金资产净值</w:t>
      </w:r>
    </w:p>
    <w:p w14:paraId="0CBCBD81">
      <w:pPr>
        <w:spacing w:line="360" w:lineRule="auto"/>
        <w:ind w:firstLine="480" w:firstLineChars="200"/>
        <w:rPr>
          <w:bCs/>
        </w:rPr>
      </w:pPr>
      <w:r>
        <w:rPr>
          <w:rFonts w:hint="eastAsia"/>
          <w:bCs/>
        </w:rPr>
        <w:t>基金管理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743D3FFF">
      <w:pPr>
        <w:spacing w:line="360" w:lineRule="auto"/>
        <w:ind w:firstLine="480" w:firstLineChars="200"/>
        <w:rPr>
          <w:bCs/>
        </w:rPr>
      </w:pPr>
      <w:r>
        <w:rPr>
          <w:bCs/>
        </w:rPr>
        <w:t>2、基金托管人的托管费</w:t>
      </w:r>
    </w:p>
    <w:p w14:paraId="186D731B">
      <w:pPr>
        <w:spacing w:line="360" w:lineRule="auto"/>
        <w:ind w:firstLine="480" w:firstLineChars="200"/>
        <w:rPr>
          <w:bCs/>
        </w:rPr>
      </w:pPr>
      <w:bookmarkStart w:id="141" w:name="OLE_LINK45"/>
      <w:r>
        <w:rPr>
          <w:rFonts w:hint="eastAsia"/>
          <w:bCs/>
        </w:rPr>
        <w:t>本基金对基金财产中持有的本基金托管人自身托管的基金部分不收取托管费。本基金的托管费按前一日除基金托管人托管的基金外的基金资产净值的0.20%的年费率计提。托管费的计算方法如下：</w:t>
      </w:r>
    </w:p>
    <w:p w14:paraId="39E59E43">
      <w:pPr>
        <w:spacing w:line="360" w:lineRule="auto"/>
        <w:ind w:firstLine="480" w:firstLineChars="200"/>
        <w:rPr>
          <w:bCs/>
        </w:rPr>
      </w:pPr>
      <w:r>
        <w:rPr>
          <w:rFonts w:hint="eastAsia"/>
          <w:bCs/>
        </w:rPr>
        <w:t>H＝E×0.</w:t>
      </w:r>
      <w:r>
        <w:rPr>
          <w:bCs/>
        </w:rPr>
        <w:t>20</w:t>
      </w:r>
      <w:r>
        <w:rPr>
          <w:rFonts w:hint="eastAsia"/>
          <w:bCs/>
        </w:rPr>
        <w:t>%÷当年天数</w:t>
      </w:r>
    </w:p>
    <w:p w14:paraId="38F546CF">
      <w:pPr>
        <w:spacing w:line="360" w:lineRule="auto"/>
        <w:ind w:firstLine="480" w:firstLineChars="200"/>
        <w:rPr>
          <w:bCs/>
        </w:rPr>
      </w:pPr>
      <w:r>
        <w:rPr>
          <w:rFonts w:hint="eastAsia"/>
          <w:bCs/>
        </w:rPr>
        <w:t>H为每日应计提的基金托管费</w:t>
      </w:r>
    </w:p>
    <w:p w14:paraId="21FEEE89">
      <w:pPr>
        <w:spacing w:line="360" w:lineRule="auto"/>
        <w:ind w:firstLine="480" w:firstLineChars="200"/>
        <w:rPr>
          <w:bCs/>
        </w:rPr>
      </w:pPr>
      <w:r>
        <w:rPr>
          <w:rFonts w:hint="eastAsia"/>
          <w:bCs/>
        </w:rPr>
        <w:t>E为前一日的基金资产净值减去持有基金托管人托管基金的基金资产净值</w:t>
      </w:r>
    </w:p>
    <w:p w14:paraId="27D2DA55">
      <w:pPr>
        <w:spacing w:line="360" w:lineRule="auto"/>
        <w:ind w:firstLine="480" w:firstLineChars="200"/>
        <w:rPr>
          <w:bCs/>
        </w:rPr>
      </w:pPr>
      <w:r>
        <w:rPr>
          <w:rFonts w:hint="eastAsia"/>
          <w:bCs/>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p>
    <w:bookmarkEnd w:id="141"/>
    <w:p w14:paraId="5DFD4D3B">
      <w:pPr>
        <w:spacing w:line="360" w:lineRule="auto"/>
        <w:ind w:firstLine="480" w:firstLineChars="200"/>
        <w:rPr>
          <w:bCs/>
        </w:rPr>
      </w:pPr>
      <w:r>
        <w:rPr>
          <w:rFonts w:hint="eastAsia"/>
          <w:bCs/>
        </w:rPr>
        <w:t>3、C类基金份额的销售服务费</w:t>
      </w:r>
    </w:p>
    <w:p w14:paraId="5988AC5F">
      <w:pPr>
        <w:spacing w:line="360" w:lineRule="auto"/>
        <w:ind w:firstLine="480" w:firstLineChars="200"/>
        <w:rPr>
          <w:bCs/>
        </w:rPr>
      </w:pPr>
      <w:r>
        <w:rPr>
          <w:rFonts w:hint="eastAsia"/>
          <w:bCs/>
        </w:rPr>
        <w:t>本基金基金份额分为不同的类别，适用不同的销售服务费率。其中，本基金A类基金份额不收取销售服务费，C类基金份额的销售服务费按前一日C类基金份额资产净值的0.40%的年费率计提。计算方法如下：</w:t>
      </w:r>
    </w:p>
    <w:p w14:paraId="6B498D7A">
      <w:pPr>
        <w:spacing w:line="360" w:lineRule="auto"/>
        <w:ind w:firstLine="480" w:firstLineChars="200"/>
        <w:rPr>
          <w:bCs/>
        </w:rPr>
      </w:pPr>
      <w:r>
        <w:rPr>
          <w:rFonts w:hint="eastAsia"/>
          <w:bCs/>
        </w:rPr>
        <w:t>H＝E×0.40%÷当年天数</w:t>
      </w:r>
    </w:p>
    <w:p w14:paraId="7FC580C5">
      <w:pPr>
        <w:spacing w:line="360" w:lineRule="auto"/>
        <w:ind w:firstLine="480" w:firstLineChars="200"/>
        <w:rPr>
          <w:bCs/>
        </w:rPr>
      </w:pPr>
      <w:r>
        <w:rPr>
          <w:rFonts w:hint="eastAsia"/>
          <w:bCs/>
        </w:rPr>
        <w:t>H为C类基金份额每日应计提的销售服务费</w:t>
      </w:r>
    </w:p>
    <w:p w14:paraId="41B8480D">
      <w:pPr>
        <w:spacing w:line="360" w:lineRule="auto"/>
        <w:ind w:firstLine="480" w:firstLineChars="200"/>
        <w:rPr>
          <w:bCs/>
        </w:rPr>
      </w:pPr>
      <w:r>
        <w:rPr>
          <w:rFonts w:hint="eastAsia"/>
          <w:bCs/>
        </w:rPr>
        <w:t>E为C类基金份额前一日的基金资产净值</w:t>
      </w:r>
    </w:p>
    <w:p w14:paraId="1B6B74FF">
      <w:pPr>
        <w:spacing w:line="360" w:lineRule="auto"/>
        <w:ind w:firstLine="480" w:firstLineChars="200"/>
        <w:rPr>
          <w:bCs/>
        </w:rPr>
      </w:pPr>
      <w:bookmarkStart w:id="142" w:name="_Hlk218854612"/>
      <w:r>
        <w:rPr>
          <w:rFonts w:hint="eastAsia"/>
          <w:bCs/>
        </w:rPr>
        <w:t>C类基金份额的销售服务费每日计提。</w:t>
      </w:r>
    </w:p>
    <w:p w14:paraId="04740B7E">
      <w:pPr>
        <w:spacing w:line="360" w:lineRule="auto"/>
        <w:ind w:firstLine="480" w:firstLineChars="200"/>
        <w:rPr>
          <w:bCs/>
        </w:rPr>
      </w:pPr>
      <w:r>
        <w:rPr>
          <w:rFonts w:hint="eastAsia"/>
          <w:bCs/>
        </w:rPr>
        <w:t>（1）直销机构：</w:t>
      </w:r>
    </w:p>
    <w:p w14:paraId="72E9A4BB">
      <w:pPr>
        <w:spacing w:line="360" w:lineRule="auto"/>
        <w:ind w:firstLine="480" w:firstLineChars="200"/>
        <w:rPr>
          <w:bCs/>
        </w:rPr>
      </w:pPr>
      <w:r>
        <w:rPr>
          <w:rFonts w:hint="eastAsia"/>
          <w:bCs/>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C5ED9F3">
      <w:pPr>
        <w:spacing w:line="360" w:lineRule="auto"/>
        <w:ind w:firstLine="480" w:firstLineChars="200"/>
        <w:rPr>
          <w:bCs/>
        </w:rPr>
      </w:pPr>
      <w:r>
        <w:rPr>
          <w:rFonts w:hint="eastAsia"/>
          <w:bCs/>
        </w:rPr>
        <w:t>若遇法定节假日、公休假或不可抗力等，支付日期顺延。</w:t>
      </w:r>
    </w:p>
    <w:p w14:paraId="08619079">
      <w:pPr>
        <w:spacing w:line="360" w:lineRule="auto"/>
        <w:ind w:firstLine="480" w:firstLineChars="200"/>
        <w:rPr>
          <w:bCs/>
        </w:rPr>
      </w:pPr>
      <w:r>
        <w:rPr>
          <w:rFonts w:hint="eastAsia"/>
          <w:bCs/>
        </w:rPr>
        <w:t>（2）代销机构：</w:t>
      </w:r>
    </w:p>
    <w:p w14:paraId="21F03339">
      <w:pPr>
        <w:spacing w:line="360" w:lineRule="auto"/>
        <w:ind w:firstLine="480" w:firstLineChars="200"/>
        <w:rPr>
          <w:bCs/>
        </w:rPr>
      </w:pPr>
      <w:r>
        <w:rPr>
          <w:rFonts w:hint="eastAsia"/>
          <w:bCs/>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前5个工作日内从基金财产中按照指定的账户路径一次性支付给基金管理人并由基金管理人代付给各基金销售机构。</w:t>
      </w:r>
    </w:p>
    <w:p w14:paraId="16E9CD34">
      <w:pPr>
        <w:spacing w:line="360" w:lineRule="auto"/>
        <w:ind w:firstLine="480" w:firstLineChars="200"/>
        <w:rPr>
          <w:bCs/>
        </w:rPr>
      </w:pPr>
      <w:r>
        <w:rPr>
          <w:rFonts w:hint="eastAsia"/>
          <w:bCs/>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271FFE9">
      <w:pPr>
        <w:spacing w:line="360" w:lineRule="auto"/>
        <w:ind w:firstLine="480" w:firstLineChars="200"/>
        <w:rPr>
          <w:bCs/>
        </w:rPr>
      </w:pPr>
      <w:r>
        <w:rPr>
          <w:rFonts w:hint="eastAsia"/>
          <w:bCs/>
        </w:rPr>
        <w:t>若遇法定节假日、公休假或不可抗力等，支付日期顺延。如遇不可抗力原因，导致销售服务费无法按指定支付日期支付，应由基金管理人和基金托管人另行协商解决。</w:t>
      </w:r>
    </w:p>
    <w:p w14:paraId="7147BD48">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bookmarkEnd w:id="142"/>
    </w:p>
    <w:p w14:paraId="1ABA4781">
      <w:pPr>
        <w:spacing w:line="360" w:lineRule="auto"/>
        <w:ind w:firstLine="480" w:firstLineChars="200"/>
        <w:rPr>
          <w:bCs/>
        </w:rPr>
      </w:pPr>
      <w:r>
        <w:rPr>
          <w:bCs/>
        </w:rPr>
        <w:t>上述“一、基金费用的种类</w:t>
      </w:r>
      <w:r>
        <w:rPr>
          <w:rFonts w:hint="eastAsia"/>
          <w:bCs/>
        </w:rPr>
        <w:t>”</w:t>
      </w:r>
      <w:r>
        <w:rPr>
          <w:bCs/>
        </w:rPr>
        <w:t>中第4－12项费用，根据有关法规及相应协议规定，按费用实际支出金额列入当期费用，由基金托管人从基金财产中支付。</w:t>
      </w:r>
      <w:bookmarkStart w:id="143" w:name="_Hlk218854620"/>
      <w:r>
        <w:rPr>
          <w:rFonts w:hint="eastAsia"/>
          <w:bCs/>
        </w:rPr>
        <w:t>基金综合费用水平请参见基金产品资料概要等文件。</w:t>
      </w:r>
      <w:bookmarkEnd w:id="143"/>
    </w:p>
    <w:p w14:paraId="3018ED0F">
      <w:pPr>
        <w:spacing w:line="360" w:lineRule="auto"/>
        <w:ind w:firstLine="480" w:firstLineChars="200"/>
        <w:rPr>
          <w:bCs/>
        </w:rPr>
      </w:pPr>
      <w:r>
        <w:rPr>
          <w:rFonts w:hint="eastAsia"/>
          <w:bCs/>
        </w:rPr>
        <w:t>基金管理人运用基金财产申购自身管理的基金的（ETF除外），应当通过直销渠道申购且不得收取申购费、赎回费（按照相关法规、基金招募说明书约定应当收取，并计入基金财产的赎回费用除外）、销售服务费等销售费用。</w:t>
      </w:r>
    </w:p>
    <w:p w14:paraId="7755D0A3">
      <w:pPr>
        <w:spacing w:line="360" w:lineRule="auto"/>
        <w:ind w:firstLine="480" w:firstLineChars="200"/>
        <w:rPr>
          <w:bCs/>
        </w:rPr>
      </w:pPr>
      <w:r>
        <w:rPr>
          <w:bCs/>
        </w:rPr>
        <w:t>三、不列入基金费用的项目</w:t>
      </w:r>
    </w:p>
    <w:p w14:paraId="323206EF">
      <w:pPr>
        <w:spacing w:line="360" w:lineRule="auto"/>
        <w:ind w:firstLine="480" w:firstLineChars="200"/>
        <w:rPr>
          <w:bCs/>
        </w:rPr>
      </w:pPr>
      <w:r>
        <w:rPr>
          <w:bCs/>
        </w:rPr>
        <w:t>下列费用不列入基金费用：</w:t>
      </w:r>
    </w:p>
    <w:p w14:paraId="4440D345">
      <w:pPr>
        <w:spacing w:line="360" w:lineRule="auto"/>
        <w:ind w:firstLine="480" w:firstLineChars="200"/>
        <w:rPr>
          <w:bCs/>
        </w:rPr>
      </w:pPr>
      <w:r>
        <w:rPr>
          <w:bCs/>
        </w:rPr>
        <w:t>1、基金管理人和基金托管人因未履行或未完全履行义务导致的费用支出或基金财产的损失；</w:t>
      </w:r>
    </w:p>
    <w:p w14:paraId="05F5CCBF">
      <w:pPr>
        <w:spacing w:line="360" w:lineRule="auto"/>
        <w:ind w:firstLine="480" w:firstLineChars="200"/>
        <w:rPr>
          <w:bCs/>
        </w:rPr>
      </w:pPr>
      <w:r>
        <w:rPr>
          <w:bCs/>
        </w:rPr>
        <w:t>2、基金管理人和基金托管人处理与基金运作无关的事项发生的费用；</w:t>
      </w:r>
    </w:p>
    <w:p w14:paraId="41BC6439">
      <w:pPr>
        <w:spacing w:line="360" w:lineRule="auto"/>
        <w:ind w:firstLine="480" w:firstLineChars="200"/>
        <w:rPr>
          <w:bCs/>
        </w:rPr>
      </w:pPr>
      <w:r>
        <w:rPr>
          <w:bCs/>
        </w:rPr>
        <w:t>3、基金合同生效前的相关费用；</w:t>
      </w:r>
    </w:p>
    <w:p w14:paraId="735DB852">
      <w:pPr>
        <w:spacing w:line="360" w:lineRule="auto"/>
        <w:ind w:firstLine="480" w:firstLineChars="200"/>
        <w:rPr>
          <w:bCs/>
        </w:rPr>
      </w:pPr>
      <w:r>
        <w:rPr>
          <w:bCs/>
        </w:rPr>
        <w:t>4、其他根据相关法律法规及中国证监会的有关规定不得列入基金费用的项目。</w:t>
      </w:r>
      <w:bookmarkStart w:id="144" w:name="_Hlt88827255"/>
      <w:bookmarkEnd w:id="144"/>
    </w:p>
    <w:p w14:paraId="6D7504EB">
      <w:pPr>
        <w:spacing w:line="360" w:lineRule="auto"/>
        <w:ind w:firstLine="480" w:firstLineChars="200"/>
        <w:rPr>
          <w:bCs/>
        </w:rPr>
      </w:pPr>
      <w:r>
        <w:rPr>
          <w:rFonts w:hint="eastAsia"/>
          <w:bCs/>
        </w:rPr>
        <w:t>四、实施侧袋机制期间的基金费用</w:t>
      </w:r>
    </w:p>
    <w:p w14:paraId="3D4A9133">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本基金实施侧袋机制的，与侧袋账户有关的费用可以从侧袋账户中列支，但应待侧袋账户资产变现后方可列支，有关费用可酌情收取或减免，但不得收取管理费，详见招募说明书的规定。</w:t>
      </w:r>
    </w:p>
    <w:p w14:paraId="70B125AB">
      <w:pPr>
        <w:spacing w:line="360" w:lineRule="auto"/>
        <w:ind w:firstLine="480" w:firstLineChars="200"/>
        <w:rPr>
          <w:bCs/>
        </w:rPr>
      </w:pPr>
      <w:r>
        <w:rPr>
          <w:rFonts w:hint="eastAsia"/>
          <w:bCs/>
        </w:rPr>
        <w:t>五、</w:t>
      </w:r>
      <w:r>
        <w:rPr>
          <w:bCs/>
        </w:rPr>
        <w:t>基金税收</w:t>
      </w:r>
    </w:p>
    <w:p w14:paraId="56FF10A6">
      <w:pPr>
        <w:spacing w:line="360" w:lineRule="auto"/>
        <w:ind w:firstLine="480" w:firstLineChars="200"/>
        <w:rPr>
          <w:bCs/>
        </w:rPr>
      </w:pPr>
      <w:r>
        <w:rPr>
          <w:rFonts w:hint="eastAsia"/>
          <w:bCs/>
        </w:rPr>
        <w:t>本基金支付给管理人、托管人的各项费用均为含税价格，具体税率适用中国税务主管机关的规定。</w:t>
      </w:r>
    </w:p>
    <w:p w14:paraId="122E9024">
      <w:pPr>
        <w:spacing w:line="360" w:lineRule="auto"/>
        <w:ind w:firstLine="480" w:firstLineChars="200"/>
        <w:rPr>
          <w:bCs/>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1F5C74C5">
      <w:pPr>
        <w:spacing w:line="360" w:lineRule="auto"/>
        <w:ind w:firstLine="480" w:firstLineChars="200"/>
        <w:rPr>
          <w:bCs/>
          <w:u w:val="single"/>
        </w:rPr>
      </w:pPr>
    </w:p>
    <w:p w14:paraId="38F86C2E"/>
    <w:p w14:paraId="2D5AE68C">
      <w:pPr>
        <w:widowControl/>
        <w:spacing w:line="240" w:lineRule="auto"/>
        <w:jc w:val="left"/>
        <w:rPr>
          <w:b/>
          <w:kern w:val="0"/>
          <w:sz w:val="30"/>
          <w:szCs w:val="20"/>
        </w:rPr>
      </w:pPr>
      <w:bookmarkStart w:id="145" w:name="_Toc194741919"/>
      <w:bookmarkStart w:id="146" w:name="_Toc401668946"/>
      <w:r>
        <w:rPr>
          <w:bCs/>
          <w:kern w:val="0"/>
          <w:sz w:val="30"/>
          <w:szCs w:val="20"/>
        </w:rPr>
        <w:br w:type="page"/>
      </w:r>
    </w:p>
    <w:p w14:paraId="134B476D">
      <w:pPr>
        <w:pStyle w:val="2"/>
      </w:pPr>
      <w:bookmarkStart w:id="147" w:name="_Toc218514496"/>
      <w:r>
        <w:rPr>
          <w:rFonts w:hint="eastAsia"/>
        </w:rPr>
        <w:t>基金的收益与分配</w:t>
      </w:r>
      <w:bookmarkEnd w:id="145"/>
      <w:bookmarkEnd w:id="146"/>
      <w:bookmarkEnd w:id="147"/>
    </w:p>
    <w:p w14:paraId="49FFEDC6"/>
    <w:p w14:paraId="7A51A236">
      <w:pPr>
        <w:spacing w:line="360" w:lineRule="auto"/>
        <w:ind w:firstLine="540" w:firstLineChars="225"/>
        <w:rPr>
          <w:bCs/>
        </w:rPr>
      </w:pPr>
      <w:r>
        <w:rPr>
          <w:bCs/>
        </w:rPr>
        <w:t>一、基金利润的构成</w:t>
      </w:r>
    </w:p>
    <w:p w14:paraId="28C8F74A">
      <w:pPr>
        <w:spacing w:line="360" w:lineRule="auto"/>
        <w:ind w:firstLine="540" w:firstLineChars="225"/>
        <w:rPr>
          <w:bCs/>
        </w:rPr>
      </w:pPr>
      <w:r>
        <w:rPr>
          <w:bCs/>
        </w:rPr>
        <w:t>基金利润指基金利息收入、投资收益、公允价值变动收益和其他收入扣除相关费用后的余额，基金已实现收益指基金利润减去公允价值变动收益后的余额。</w:t>
      </w:r>
    </w:p>
    <w:p w14:paraId="40C3AD85">
      <w:pPr>
        <w:spacing w:line="360" w:lineRule="auto"/>
        <w:ind w:firstLine="540" w:firstLineChars="225"/>
        <w:rPr>
          <w:bCs/>
        </w:rPr>
      </w:pPr>
      <w:r>
        <w:rPr>
          <w:bCs/>
        </w:rPr>
        <w:t>二、基金可供分配利润</w:t>
      </w:r>
    </w:p>
    <w:p w14:paraId="2DE4A6C7">
      <w:pPr>
        <w:spacing w:line="360" w:lineRule="auto"/>
        <w:ind w:firstLine="540" w:firstLineChars="225"/>
        <w:rPr>
          <w:bCs/>
        </w:rPr>
      </w:pPr>
      <w:r>
        <w:rPr>
          <w:bCs/>
        </w:rPr>
        <w:t>基金可供分配利润指截至收益分配基准日基金未分配利润与未分配利润中已实现收益的孰低数。</w:t>
      </w:r>
    </w:p>
    <w:p w14:paraId="37DEE381">
      <w:pPr>
        <w:spacing w:line="360" w:lineRule="auto"/>
        <w:ind w:firstLine="540" w:firstLineChars="225"/>
        <w:rPr>
          <w:bCs/>
        </w:rPr>
      </w:pPr>
      <w:r>
        <w:rPr>
          <w:bCs/>
        </w:rPr>
        <w:t>三、基金收益分配原则</w:t>
      </w:r>
    </w:p>
    <w:p w14:paraId="2B8DB25E">
      <w:pPr>
        <w:pStyle w:val="39"/>
        <w:numPr>
          <w:ilvl w:val="0"/>
          <w:numId w:val="16"/>
        </w:numPr>
        <w:spacing w:line="360" w:lineRule="auto"/>
        <w:ind w:firstLineChars="0"/>
        <w:jc w:val="left"/>
        <w:rPr>
          <w:bCs/>
        </w:rPr>
      </w:pPr>
      <w:r>
        <w:rPr>
          <w:rFonts w:hint="eastAsia"/>
          <w:bCs/>
        </w:rPr>
        <w:t>在符合有关基金分红条件的前提下，本基金可进行收益分配；若基金合同生效不满3个月，本基金可不进行收益分配；</w:t>
      </w:r>
    </w:p>
    <w:p w14:paraId="76008BAC">
      <w:pPr>
        <w:pStyle w:val="39"/>
        <w:numPr>
          <w:ilvl w:val="0"/>
          <w:numId w:val="16"/>
        </w:numPr>
        <w:spacing w:line="360" w:lineRule="auto"/>
        <w:ind w:firstLineChars="0"/>
        <w:jc w:val="left"/>
        <w:rPr>
          <w:bCs/>
        </w:rPr>
      </w:pPr>
      <w:r>
        <w:rPr>
          <w:rFonts w:hint="eastAsia"/>
          <w:bCs/>
        </w:rPr>
        <w:t>本基金收益分配方式分两种：现金分红与红利再投资，投资者可选择现金红利或将现金红利自动转为相应类别的基金份额进行再投资；若投资者不选择，本基金默认的收益分配方式是现金分红；</w:t>
      </w:r>
    </w:p>
    <w:p w14:paraId="0DFB4949">
      <w:pPr>
        <w:pStyle w:val="39"/>
        <w:numPr>
          <w:ilvl w:val="0"/>
          <w:numId w:val="16"/>
        </w:numPr>
        <w:spacing w:line="360" w:lineRule="auto"/>
        <w:ind w:firstLineChars="0"/>
        <w:jc w:val="left"/>
        <w:rPr>
          <w:bCs/>
        </w:rPr>
      </w:pPr>
      <w:r>
        <w:rPr>
          <w:rFonts w:hint="eastAsia"/>
          <w:bCs/>
        </w:rPr>
        <w:t>基金收益分配后各类基金份额的基金份额净值不能低于面值；即基金收益分配基准日的各类基金份额净值减去每单位该类基金份额收益分配金额后不能低于面值；</w:t>
      </w:r>
    </w:p>
    <w:p w14:paraId="7C373C79">
      <w:pPr>
        <w:pStyle w:val="39"/>
        <w:numPr>
          <w:ilvl w:val="0"/>
          <w:numId w:val="16"/>
        </w:numPr>
        <w:spacing w:line="360" w:lineRule="auto"/>
        <w:ind w:firstLineChars="0"/>
        <w:jc w:val="left"/>
        <w:rPr>
          <w:bCs/>
        </w:rPr>
      </w:pPr>
      <w:r>
        <w:rPr>
          <w:rFonts w:hint="eastAsia"/>
          <w:bCs/>
        </w:rPr>
        <w:t>本基金同一类别每一基金份额享有同等分配权，由于本基金A类基金份额不收取销售服务费，C类基金份额收取销售服务费，各基金份额类别对应的可供分配利润将有所不同；</w:t>
      </w:r>
    </w:p>
    <w:p w14:paraId="07CA9329">
      <w:pPr>
        <w:pStyle w:val="39"/>
        <w:numPr>
          <w:ilvl w:val="0"/>
          <w:numId w:val="16"/>
        </w:numPr>
        <w:spacing w:line="360" w:lineRule="auto"/>
        <w:ind w:firstLineChars="0"/>
        <w:jc w:val="left"/>
        <w:rPr>
          <w:bCs/>
        </w:rPr>
      </w:pPr>
      <w:r>
        <w:rPr>
          <w:rFonts w:hint="eastAsia"/>
          <w:bCs/>
        </w:rPr>
        <w:t>法律法规或监管机关另有规定的，从其规定。</w:t>
      </w:r>
    </w:p>
    <w:p w14:paraId="7DBDDCA5">
      <w:pPr>
        <w:spacing w:line="360" w:lineRule="auto"/>
        <w:ind w:firstLine="540" w:firstLineChars="225"/>
        <w:rPr>
          <w:bCs/>
        </w:rPr>
      </w:pPr>
      <w:r>
        <w:rPr>
          <w:rFonts w:hint="eastAsia"/>
          <w:bCs/>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14:paraId="7D37D9EA">
      <w:pPr>
        <w:spacing w:line="360" w:lineRule="auto"/>
        <w:ind w:firstLine="540" w:firstLineChars="225"/>
        <w:rPr>
          <w:bCs/>
        </w:rPr>
      </w:pPr>
      <w:r>
        <w:rPr>
          <w:bCs/>
        </w:rPr>
        <w:t>四、收益分配方案</w:t>
      </w:r>
    </w:p>
    <w:p w14:paraId="62AFDF9E">
      <w:pPr>
        <w:spacing w:line="360" w:lineRule="auto"/>
        <w:ind w:firstLine="540" w:firstLineChars="225"/>
        <w:rPr>
          <w:bCs/>
        </w:rPr>
      </w:pPr>
      <w:r>
        <w:rPr>
          <w:bCs/>
        </w:rPr>
        <w:t>基金收益分配方案中应载明截止收益分配基准日的可供分配利润、基金收益分配对象、分配时间、分配数额及比例、分配方式等内容。</w:t>
      </w:r>
    </w:p>
    <w:p w14:paraId="102299AD">
      <w:pPr>
        <w:spacing w:line="360" w:lineRule="auto"/>
        <w:ind w:firstLine="540" w:firstLineChars="225"/>
        <w:rPr>
          <w:bCs/>
        </w:rPr>
      </w:pPr>
      <w:r>
        <w:rPr>
          <w:bCs/>
        </w:rPr>
        <w:t>五、收益分配方案的确定、公告与实施</w:t>
      </w:r>
    </w:p>
    <w:p w14:paraId="1A6E3D32">
      <w:pPr>
        <w:spacing w:line="360" w:lineRule="auto"/>
        <w:ind w:firstLine="540" w:firstLineChars="225"/>
        <w:rPr>
          <w:bCs/>
        </w:rPr>
      </w:pPr>
      <w:r>
        <w:rPr>
          <w:bCs/>
        </w:rPr>
        <w:t>本基金收益分配方案由基金管理人拟定，并由基金托管人复核，</w:t>
      </w:r>
      <w:r>
        <w:rPr>
          <w:rFonts w:hint="eastAsia"/>
          <w:bCs/>
        </w:rPr>
        <w:t>依照《信息披露办法》的有关规定</w:t>
      </w:r>
      <w:r>
        <w:rPr>
          <w:bCs/>
        </w:rPr>
        <w:t>在规定媒介公告。</w:t>
      </w:r>
    </w:p>
    <w:p w14:paraId="122E5540">
      <w:pPr>
        <w:spacing w:line="360" w:lineRule="auto"/>
        <w:ind w:firstLine="540" w:firstLineChars="225"/>
        <w:rPr>
          <w:bCs/>
        </w:rPr>
      </w:pPr>
      <w:r>
        <w:rPr>
          <w:bCs/>
        </w:rPr>
        <w:t>六、基金收益分配中发生的费用</w:t>
      </w:r>
    </w:p>
    <w:p w14:paraId="16892090">
      <w:pPr>
        <w:spacing w:line="360" w:lineRule="auto"/>
        <w:ind w:firstLine="540" w:firstLineChars="225"/>
        <w:rPr>
          <w:bCs/>
        </w:rPr>
      </w:pPr>
      <w:r>
        <w:rPr>
          <w:bCs/>
        </w:rPr>
        <w:t>基金收益分配时所发生的银行转账或其他手续费用由投资者自行承担。</w:t>
      </w:r>
      <w:r>
        <w:rPr>
          <w:rFonts w:hint="eastAsia"/>
          <w:bCs/>
        </w:rPr>
        <w:t>当投资者的现金红利小于一定金额，不足以支付银行转账或其他手续费用时，基金登记机构可将基金份额持有人的现金红利自动转为相应类别的基金份额。红利再投资的计算方法，依照《业务规则》执行。</w:t>
      </w:r>
    </w:p>
    <w:p w14:paraId="25B30383">
      <w:pPr>
        <w:spacing w:line="360" w:lineRule="auto"/>
        <w:ind w:firstLine="540" w:firstLineChars="225"/>
        <w:rPr>
          <w:bCs/>
        </w:rPr>
      </w:pPr>
      <w:r>
        <w:rPr>
          <w:rFonts w:hint="eastAsia"/>
          <w:bCs/>
        </w:rPr>
        <w:t>七、实施侧袋机制期间的收益分配</w:t>
      </w:r>
    </w:p>
    <w:p w14:paraId="5F9A9234">
      <w:pPr>
        <w:spacing w:line="360" w:lineRule="auto"/>
        <w:ind w:firstLine="540" w:firstLineChars="225"/>
      </w:pPr>
      <w:r>
        <w:rPr>
          <w:rFonts w:hint="eastAsia"/>
          <w:bCs/>
        </w:rPr>
        <w:t>本基金实施侧袋机制的，侧袋账户不进行收益分配，详见招募说明书的规定。</w:t>
      </w:r>
    </w:p>
    <w:p w14:paraId="47E7B805">
      <w:pPr>
        <w:widowControl/>
        <w:spacing w:line="240" w:lineRule="auto"/>
        <w:jc w:val="left"/>
        <w:rPr>
          <w:b/>
          <w:kern w:val="0"/>
          <w:sz w:val="30"/>
          <w:szCs w:val="20"/>
        </w:rPr>
      </w:pPr>
      <w:r>
        <w:rPr>
          <w:bCs/>
          <w:kern w:val="0"/>
          <w:sz w:val="30"/>
          <w:szCs w:val="20"/>
        </w:rPr>
        <w:br w:type="page"/>
      </w:r>
    </w:p>
    <w:p w14:paraId="1F8B7D92">
      <w:pPr>
        <w:pStyle w:val="2"/>
      </w:pPr>
      <w:bookmarkStart w:id="148" w:name="_Toc218514497"/>
      <w:r>
        <w:rPr>
          <w:rFonts w:hint="eastAsia"/>
        </w:rPr>
        <w:t>基金的会计与审计</w:t>
      </w:r>
      <w:bookmarkEnd w:id="148"/>
    </w:p>
    <w:p w14:paraId="455D1724"/>
    <w:p w14:paraId="1F4D9666">
      <w:pPr>
        <w:spacing w:line="360" w:lineRule="auto"/>
        <w:ind w:firstLine="480" w:firstLineChars="200"/>
        <w:rPr>
          <w:bCs/>
        </w:rPr>
      </w:pPr>
      <w:r>
        <w:rPr>
          <w:bCs/>
        </w:rPr>
        <w:t>一、基金会计政策</w:t>
      </w:r>
    </w:p>
    <w:p w14:paraId="7E8F841E">
      <w:pPr>
        <w:spacing w:line="360" w:lineRule="auto"/>
        <w:ind w:firstLine="480" w:firstLineChars="200"/>
        <w:rPr>
          <w:bCs/>
        </w:rPr>
      </w:pPr>
      <w:r>
        <w:rPr>
          <w:bCs/>
        </w:rPr>
        <w:t>1、基金管理人为本基金的基金会计责任方</w:t>
      </w:r>
      <w:r>
        <w:rPr>
          <w:rFonts w:hint="eastAsia"/>
          <w:bCs/>
        </w:rPr>
        <w:t>，基金托管人承担复核责任</w:t>
      </w:r>
      <w:r>
        <w:rPr>
          <w:bCs/>
        </w:rPr>
        <w:t>；</w:t>
      </w:r>
    </w:p>
    <w:p w14:paraId="62CC7486">
      <w:pPr>
        <w:spacing w:line="360" w:lineRule="auto"/>
        <w:ind w:firstLine="480" w:firstLineChars="200"/>
        <w:rPr>
          <w:bCs/>
        </w:rPr>
      </w:pPr>
      <w:r>
        <w:rPr>
          <w:bCs/>
        </w:rPr>
        <w:t>2、基金的会计年度为公历年度的1月1日至12月31日；基金首次募集的会计年度按如下原则：如果基金合同生效少于2个月，可以并入下一个会计年度</w:t>
      </w:r>
      <w:r>
        <w:rPr>
          <w:rFonts w:hint="eastAsia"/>
          <w:bCs/>
        </w:rPr>
        <w:t>披露</w:t>
      </w:r>
      <w:r>
        <w:rPr>
          <w:bCs/>
        </w:rPr>
        <w:t>；</w:t>
      </w:r>
    </w:p>
    <w:p w14:paraId="589F1BCF">
      <w:pPr>
        <w:spacing w:line="360" w:lineRule="auto"/>
        <w:ind w:firstLine="480" w:firstLineChars="200"/>
        <w:rPr>
          <w:bCs/>
        </w:rPr>
      </w:pPr>
      <w:r>
        <w:rPr>
          <w:bCs/>
        </w:rPr>
        <w:t>3、基金核算以人民币为记账本位币，以人民币元为记账单位；</w:t>
      </w:r>
    </w:p>
    <w:p w14:paraId="6AFAB9F3">
      <w:pPr>
        <w:spacing w:line="360" w:lineRule="auto"/>
        <w:ind w:firstLine="480" w:firstLineChars="200"/>
        <w:rPr>
          <w:bCs/>
        </w:rPr>
      </w:pPr>
      <w:r>
        <w:rPr>
          <w:bCs/>
        </w:rPr>
        <w:t>4、会计制度执行国家有关会计制度；</w:t>
      </w:r>
    </w:p>
    <w:p w14:paraId="2FBC92BE">
      <w:pPr>
        <w:spacing w:line="360" w:lineRule="auto"/>
        <w:ind w:firstLine="480" w:firstLineChars="200"/>
        <w:rPr>
          <w:bCs/>
        </w:rPr>
      </w:pPr>
      <w:r>
        <w:rPr>
          <w:bCs/>
        </w:rPr>
        <w:t>5、本基金独立建账、独立核算；</w:t>
      </w:r>
    </w:p>
    <w:p w14:paraId="7056596A">
      <w:pPr>
        <w:spacing w:line="360" w:lineRule="auto"/>
        <w:ind w:firstLine="480" w:firstLineChars="200"/>
        <w:rPr>
          <w:bCs/>
        </w:rPr>
      </w:pPr>
      <w:r>
        <w:rPr>
          <w:bCs/>
        </w:rPr>
        <w:t>6、基金管理人及基金托管人各自保留完整的会计账目、凭证并进行日常的会计核算，按照有关规定编制基金会计报表；</w:t>
      </w:r>
    </w:p>
    <w:p w14:paraId="3BB121E8">
      <w:pPr>
        <w:spacing w:line="360" w:lineRule="auto"/>
        <w:ind w:firstLine="480" w:firstLineChars="200"/>
        <w:rPr>
          <w:bCs/>
        </w:rPr>
      </w:pPr>
      <w:r>
        <w:rPr>
          <w:bCs/>
        </w:rPr>
        <w:t>7、基金托管人每月与基金管理人就基金的会计核算、报表编制等进行核对并以书面方式确认。</w:t>
      </w:r>
    </w:p>
    <w:p w14:paraId="156E986D">
      <w:pPr>
        <w:spacing w:line="360" w:lineRule="auto"/>
        <w:ind w:firstLine="480" w:firstLineChars="200"/>
        <w:rPr>
          <w:bCs/>
        </w:rPr>
      </w:pPr>
      <w:r>
        <w:rPr>
          <w:bCs/>
        </w:rPr>
        <w:t>二、基金的年度审计</w:t>
      </w:r>
    </w:p>
    <w:p w14:paraId="4EDA4A97">
      <w:pPr>
        <w:spacing w:line="360" w:lineRule="auto"/>
        <w:ind w:firstLine="480" w:firstLineChars="200"/>
        <w:rPr>
          <w:bCs/>
        </w:rPr>
      </w:pPr>
      <w:r>
        <w:rPr>
          <w:bCs/>
        </w:rPr>
        <w:t>1、基金管理人聘请与基金管理人、基金托管人相互独立的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276C5727">
      <w:pPr>
        <w:spacing w:line="360" w:lineRule="auto"/>
        <w:ind w:firstLine="480" w:firstLineChars="200"/>
        <w:rPr>
          <w:bCs/>
        </w:rPr>
      </w:pPr>
      <w:r>
        <w:rPr>
          <w:bCs/>
        </w:rPr>
        <w:t>2、会计师事务所更换经办注册会计师，应事先征得基金管理人同意。</w:t>
      </w:r>
    </w:p>
    <w:p w14:paraId="025833E9">
      <w:pPr>
        <w:spacing w:line="360" w:lineRule="auto"/>
        <w:ind w:firstLine="480" w:firstLineChars="200"/>
        <w:rPr>
          <w:bCs/>
        </w:rPr>
      </w:pPr>
      <w:r>
        <w:rPr>
          <w:bCs/>
        </w:rPr>
        <w:t>3、</w:t>
      </w:r>
      <w:bookmarkStart w:id="149" w:name="_Hlt4221115"/>
      <w:bookmarkEnd w:id="149"/>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0CCC22BA">
      <w:pPr>
        <w:widowControl/>
        <w:spacing w:line="240" w:lineRule="auto"/>
        <w:jc w:val="left"/>
        <w:rPr>
          <w:b/>
          <w:kern w:val="0"/>
          <w:sz w:val="30"/>
          <w:szCs w:val="20"/>
        </w:rPr>
      </w:pPr>
      <w:bookmarkStart w:id="150" w:name="_Toc401668947"/>
      <w:bookmarkStart w:id="151" w:name="_Toc194741920"/>
      <w:r>
        <w:rPr>
          <w:bCs/>
          <w:kern w:val="0"/>
          <w:sz w:val="30"/>
          <w:szCs w:val="20"/>
        </w:rPr>
        <w:br w:type="page"/>
      </w:r>
    </w:p>
    <w:p w14:paraId="0E5CEC14">
      <w:pPr>
        <w:pStyle w:val="2"/>
      </w:pPr>
      <w:bookmarkStart w:id="152" w:name="_Toc218514498"/>
      <w:r>
        <w:rPr>
          <w:rFonts w:hint="eastAsia"/>
        </w:rPr>
        <w:t>基金的信息披露</w:t>
      </w:r>
      <w:bookmarkEnd w:id="150"/>
      <w:bookmarkEnd w:id="151"/>
      <w:bookmarkEnd w:id="152"/>
    </w:p>
    <w:p w14:paraId="1DD96FB5"/>
    <w:p w14:paraId="399F430A">
      <w:pPr>
        <w:spacing w:line="360" w:lineRule="auto"/>
        <w:ind w:firstLine="480" w:firstLineChars="20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2DDBB562">
      <w:pPr>
        <w:spacing w:line="360" w:lineRule="auto"/>
        <w:ind w:firstLine="480" w:firstLineChars="200"/>
        <w:rPr>
          <w:bCs/>
        </w:rPr>
      </w:pPr>
      <w:r>
        <w:rPr>
          <w:bCs/>
        </w:rPr>
        <w:t>二、信息披露义务人</w:t>
      </w:r>
    </w:p>
    <w:p w14:paraId="60CA2B32">
      <w:pPr>
        <w:spacing w:line="360" w:lineRule="auto"/>
        <w:ind w:firstLine="480" w:firstLineChars="20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46E7F8A7">
      <w:pPr>
        <w:spacing w:line="360" w:lineRule="auto"/>
        <w:ind w:firstLine="480" w:firstLineChars="20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4C3AF031">
      <w:pPr>
        <w:spacing w:line="360" w:lineRule="auto"/>
        <w:ind w:firstLine="480" w:firstLineChars="200"/>
        <w:rPr>
          <w:bCs/>
        </w:rPr>
      </w:pPr>
      <w:r>
        <w:rPr>
          <w:bCs/>
        </w:rPr>
        <w:t>本基金信息披露义务人应当在中国证监会规定时间内，将应予披露的基金信息通过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0C1D5342">
      <w:pPr>
        <w:spacing w:line="360" w:lineRule="auto"/>
        <w:ind w:firstLine="480" w:firstLineChars="200"/>
        <w:rPr>
          <w:bCs/>
        </w:rPr>
      </w:pPr>
      <w:r>
        <w:rPr>
          <w:bCs/>
        </w:rPr>
        <w:t>三、本基金信息披露义务人承诺公开披露的基金信息，不得有下列行为：</w:t>
      </w:r>
    </w:p>
    <w:p w14:paraId="5C0FBB14">
      <w:pPr>
        <w:spacing w:line="360" w:lineRule="auto"/>
        <w:ind w:firstLine="480" w:firstLineChars="200"/>
        <w:rPr>
          <w:bCs/>
        </w:rPr>
      </w:pPr>
      <w:r>
        <w:rPr>
          <w:bCs/>
        </w:rPr>
        <w:t>1、虚假记载、误导性陈述或者重大遗漏；</w:t>
      </w:r>
    </w:p>
    <w:p w14:paraId="6288DFA1">
      <w:pPr>
        <w:spacing w:line="360" w:lineRule="auto"/>
        <w:ind w:firstLine="480" w:firstLineChars="200"/>
        <w:rPr>
          <w:bCs/>
        </w:rPr>
      </w:pPr>
      <w:r>
        <w:rPr>
          <w:bCs/>
        </w:rPr>
        <w:t>2、对证券</w:t>
      </w:r>
      <w:r>
        <w:rPr>
          <w:rFonts w:hint="eastAsia"/>
          <w:bCs/>
        </w:rPr>
        <w:t>、期货、期权</w:t>
      </w:r>
      <w:r>
        <w:rPr>
          <w:bCs/>
        </w:rPr>
        <w:t>投资业绩进行预测；</w:t>
      </w:r>
    </w:p>
    <w:p w14:paraId="37F81CDF">
      <w:pPr>
        <w:spacing w:line="360" w:lineRule="auto"/>
        <w:ind w:firstLine="480" w:firstLineChars="200"/>
        <w:rPr>
          <w:bCs/>
        </w:rPr>
      </w:pPr>
      <w:r>
        <w:rPr>
          <w:bCs/>
        </w:rPr>
        <w:t>3、违规承诺收益或者承担损失；</w:t>
      </w:r>
    </w:p>
    <w:p w14:paraId="44787ABE">
      <w:pPr>
        <w:spacing w:line="360" w:lineRule="auto"/>
        <w:ind w:firstLine="480" w:firstLineChars="200"/>
        <w:rPr>
          <w:bCs/>
        </w:rPr>
      </w:pPr>
      <w:r>
        <w:rPr>
          <w:bCs/>
        </w:rPr>
        <w:t>4、诋毁其他基金管理人、基金托管人或者基金销售机构；</w:t>
      </w:r>
    </w:p>
    <w:p w14:paraId="5D099BCB">
      <w:pPr>
        <w:spacing w:line="360" w:lineRule="auto"/>
        <w:ind w:firstLine="480" w:firstLineChars="200"/>
        <w:rPr>
          <w:bCs/>
        </w:rPr>
      </w:pPr>
      <w:r>
        <w:rPr>
          <w:bCs/>
        </w:rPr>
        <w:t>5、登载任何自然人、法人</w:t>
      </w:r>
      <w:r>
        <w:rPr>
          <w:rFonts w:hint="eastAsia"/>
          <w:bCs/>
        </w:rPr>
        <w:t>和</w:t>
      </w:r>
      <w:r>
        <w:rPr>
          <w:bCs/>
        </w:rPr>
        <w:t>非法人组织的祝贺性、恭维性或推荐性的文字；</w:t>
      </w:r>
    </w:p>
    <w:p w14:paraId="54AAB39B">
      <w:pPr>
        <w:spacing w:line="360" w:lineRule="auto"/>
        <w:ind w:firstLine="480" w:firstLineChars="200"/>
        <w:rPr>
          <w:bCs/>
        </w:rPr>
      </w:pPr>
      <w:r>
        <w:rPr>
          <w:bCs/>
        </w:rPr>
        <w:t>6、中国证监会禁止的其他行为。</w:t>
      </w:r>
    </w:p>
    <w:p w14:paraId="33B91AA0">
      <w:pPr>
        <w:spacing w:line="360" w:lineRule="auto"/>
        <w:ind w:firstLine="480" w:firstLineChars="20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5F3F3361">
      <w:pPr>
        <w:spacing w:line="360" w:lineRule="auto"/>
        <w:ind w:firstLine="480" w:firstLineChars="200"/>
        <w:rPr>
          <w:bCs/>
        </w:rPr>
      </w:pPr>
      <w:r>
        <w:rPr>
          <w:bCs/>
        </w:rPr>
        <w:t>本基金公开披露的信息采用阿拉伯数字；除特别说明外，货币单位为人民币元。</w:t>
      </w:r>
    </w:p>
    <w:p w14:paraId="16A3067A">
      <w:pPr>
        <w:spacing w:line="360" w:lineRule="auto"/>
        <w:ind w:firstLine="480" w:firstLineChars="200"/>
        <w:rPr>
          <w:bCs/>
        </w:rPr>
      </w:pPr>
      <w:r>
        <w:rPr>
          <w:bCs/>
        </w:rPr>
        <w:t>五、公开披露的基金信息</w:t>
      </w:r>
    </w:p>
    <w:p w14:paraId="073C41ED">
      <w:pPr>
        <w:spacing w:line="360" w:lineRule="auto"/>
        <w:ind w:firstLine="480" w:firstLineChars="200"/>
        <w:rPr>
          <w:bCs/>
        </w:rPr>
      </w:pPr>
      <w:r>
        <w:rPr>
          <w:bCs/>
        </w:rPr>
        <w:t>公开披露的基金信息包括：</w:t>
      </w:r>
    </w:p>
    <w:p w14:paraId="2DB9DF24">
      <w:pPr>
        <w:spacing w:line="360" w:lineRule="auto"/>
        <w:ind w:firstLine="480" w:firstLineChars="200"/>
        <w:rPr>
          <w:bCs/>
        </w:rPr>
      </w:pPr>
      <w:r>
        <w:rPr>
          <w:bCs/>
        </w:rPr>
        <w:t>（一）基金招募说明书、基金合同、基金托管协议</w:t>
      </w:r>
      <w:r>
        <w:rPr>
          <w:rFonts w:hint="eastAsia"/>
          <w:bCs/>
        </w:rPr>
        <w:t>、基金产品资料概要</w:t>
      </w:r>
    </w:p>
    <w:p w14:paraId="4EB22AD7">
      <w:pPr>
        <w:spacing w:line="360" w:lineRule="auto"/>
        <w:ind w:firstLine="480" w:firstLineChars="200"/>
        <w:rPr>
          <w:bCs/>
        </w:rPr>
      </w:pPr>
      <w:r>
        <w:rPr>
          <w:bCs/>
        </w:rPr>
        <w:t>1、基金合同是界定基金合同当事人的各项权利、义务关系，明确基金份额持有人大会召开的规则及具体程序，说明基金产品的特性等涉及基金投资者重大利益的事项的法律文件。</w:t>
      </w:r>
    </w:p>
    <w:p w14:paraId="24224DE1">
      <w:pPr>
        <w:spacing w:line="360" w:lineRule="auto"/>
        <w:ind w:firstLine="480" w:firstLineChars="200"/>
        <w:rPr>
          <w:bCs/>
        </w:rPr>
      </w:pPr>
      <w:r>
        <w:rPr>
          <w:bCs/>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312670F">
      <w:pPr>
        <w:spacing w:line="360" w:lineRule="auto"/>
        <w:ind w:firstLine="480" w:firstLineChars="200"/>
        <w:rPr>
          <w:bCs/>
        </w:rPr>
      </w:pPr>
      <w:r>
        <w:rPr>
          <w:bCs/>
        </w:rPr>
        <w:t>3、基金托管协议是界定基金托管人和基金管理人在基金财产保管及基金运作监督等活动中的权利、义务关系的法律文件。</w:t>
      </w:r>
    </w:p>
    <w:p w14:paraId="04089EBE">
      <w:pPr>
        <w:spacing w:line="360" w:lineRule="auto"/>
        <w:ind w:firstLine="480" w:firstLineChars="20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9BE8EE7">
      <w:pPr>
        <w:spacing w:line="360" w:lineRule="auto"/>
        <w:ind w:firstLine="480" w:firstLineChars="200"/>
        <w:rPr>
          <w:bCs/>
        </w:rPr>
      </w:pPr>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7E7D1060">
      <w:pPr>
        <w:spacing w:line="360" w:lineRule="auto"/>
        <w:ind w:firstLine="480" w:firstLineChars="200"/>
        <w:rPr>
          <w:bCs/>
        </w:rPr>
      </w:pPr>
      <w:r>
        <w:rPr>
          <w:bCs/>
        </w:rPr>
        <w:t>（二）基金份额发售公告</w:t>
      </w:r>
    </w:p>
    <w:p w14:paraId="1EEA38A0">
      <w:pPr>
        <w:spacing w:line="360" w:lineRule="auto"/>
        <w:ind w:firstLine="480" w:firstLineChars="200"/>
        <w:rPr>
          <w:bCs/>
        </w:rPr>
      </w:pPr>
      <w:r>
        <w:rPr>
          <w:bCs/>
        </w:rPr>
        <w:t>基金管理人应当就基金份额发售的具体事宜编制基金份额发售公告，并在披露招募说明书的当日登载于规定媒介上。</w:t>
      </w:r>
    </w:p>
    <w:p w14:paraId="1A8B0E72">
      <w:pPr>
        <w:spacing w:line="360" w:lineRule="auto"/>
        <w:ind w:firstLine="480" w:firstLineChars="200"/>
        <w:rPr>
          <w:bCs/>
        </w:rPr>
      </w:pPr>
      <w:r>
        <w:rPr>
          <w:bCs/>
        </w:rPr>
        <w:t>（三）基金合同生效公告</w:t>
      </w:r>
    </w:p>
    <w:p w14:paraId="63B5E75B">
      <w:pPr>
        <w:spacing w:line="360" w:lineRule="auto"/>
        <w:ind w:firstLine="480" w:firstLineChars="200"/>
        <w:rPr>
          <w:bCs/>
        </w:rPr>
      </w:pPr>
      <w:r>
        <w:rPr>
          <w:bCs/>
        </w:rPr>
        <w:t>基金管理人应当</w:t>
      </w:r>
      <w:r>
        <w:rPr>
          <w:rFonts w:hint="eastAsia"/>
          <w:bCs/>
        </w:rPr>
        <w:t>在收到中国证监会确认文件的次日在规定媒介上登载基金合同生效公告。</w:t>
      </w:r>
    </w:p>
    <w:p w14:paraId="547973E3">
      <w:pPr>
        <w:spacing w:line="360" w:lineRule="auto"/>
        <w:ind w:firstLine="480" w:firstLineChars="200"/>
        <w:rPr>
          <w:bCs/>
        </w:rPr>
      </w:pPr>
      <w:r>
        <w:rPr>
          <w:bCs/>
        </w:rPr>
        <w:t>（四）基金净值信息</w:t>
      </w:r>
    </w:p>
    <w:p w14:paraId="525F9F89">
      <w:pPr>
        <w:spacing w:line="360" w:lineRule="auto"/>
        <w:ind w:firstLine="480" w:firstLineChars="20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39781CF7">
      <w:pPr>
        <w:spacing w:line="360" w:lineRule="auto"/>
        <w:ind w:firstLine="480" w:firstLineChars="20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基金份额净值和各类基金份额累计净值。</w:t>
      </w:r>
    </w:p>
    <w:p w14:paraId="4FFC1389">
      <w:pPr>
        <w:spacing w:line="360" w:lineRule="auto"/>
        <w:ind w:firstLine="480" w:firstLineChars="200"/>
        <w:rPr>
          <w:bCs/>
        </w:rPr>
      </w:pPr>
      <w:r>
        <w:rPr>
          <w:rFonts w:hint="eastAsia"/>
          <w:bCs/>
        </w:rPr>
        <w:t>基金管理人应在不晚于半年度和年度最后一日的次日，在规定网站披露半年度和年度最后一日的各类基金份额净值和各类基金份额累计净值。</w:t>
      </w:r>
    </w:p>
    <w:p w14:paraId="14864683">
      <w:pPr>
        <w:spacing w:line="360" w:lineRule="auto"/>
        <w:ind w:firstLine="480" w:firstLineChars="200"/>
        <w:rPr>
          <w:bCs/>
        </w:rPr>
      </w:pPr>
      <w:r>
        <w:rPr>
          <w:bCs/>
        </w:rPr>
        <w:t>（五）基金份额申购、赎回价格</w:t>
      </w:r>
    </w:p>
    <w:p w14:paraId="7E4BDDF6">
      <w:pPr>
        <w:spacing w:line="360" w:lineRule="auto"/>
        <w:ind w:firstLine="480" w:firstLineChars="200"/>
        <w:rPr>
          <w:bCs/>
        </w:rPr>
      </w:pPr>
      <w:r>
        <w:rPr>
          <w:bCs/>
        </w:rPr>
        <w:t>基金管理人应当在基金合同、招募说明书等信息披露文件上载明基金份额申购、赎回价格的计算方式及有关申购、赎回费率，并保证投资者能够在</w:t>
      </w:r>
      <w:r>
        <w:rPr>
          <w:rFonts w:hint="eastAsia"/>
          <w:bCs/>
        </w:rPr>
        <w:t>基金销售机构网站或营业网点</w:t>
      </w:r>
      <w:r>
        <w:rPr>
          <w:bCs/>
        </w:rPr>
        <w:t>查阅或者复制前述信息资料。</w:t>
      </w:r>
    </w:p>
    <w:p w14:paraId="3F8F266C">
      <w:pPr>
        <w:spacing w:line="360" w:lineRule="auto"/>
        <w:ind w:firstLine="480" w:firstLineChars="200"/>
        <w:rPr>
          <w:bCs/>
        </w:rPr>
      </w:pPr>
      <w:r>
        <w:rPr>
          <w:bCs/>
        </w:rPr>
        <w:t>（六）基金定期报告，包括基金年度报告、基金</w:t>
      </w:r>
      <w:r>
        <w:rPr>
          <w:rFonts w:hint="eastAsia"/>
          <w:bCs/>
        </w:rPr>
        <w:t>中期</w:t>
      </w:r>
      <w:r>
        <w:rPr>
          <w:bCs/>
        </w:rPr>
        <w:t>报告和基金季度报告</w:t>
      </w:r>
    </w:p>
    <w:p w14:paraId="71C1C10B">
      <w:pPr>
        <w:spacing w:line="360" w:lineRule="auto"/>
        <w:ind w:firstLine="480" w:firstLineChars="20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将年度报告提示性公告登载在规定报刊上。基金年度报告中的财务会计报告应当经过符合《中华人民共和国证券法》规定的会计师事务所审计。</w:t>
      </w:r>
    </w:p>
    <w:p w14:paraId="3117AB99">
      <w:pPr>
        <w:spacing w:line="360" w:lineRule="auto"/>
        <w:ind w:firstLine="480" w:firstLineChars="20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741ED5EF">
      <w:pPr>
        <w:spacing w:line="360" w:lineRule="auto"/>
        <w:ind w:firstLine="480" w:firstLineChars="200"/>
        <w:rPr>
          <w:bCs/>
        </w:rPr>
      </w:pPr>
      <w:r>
        <w:rPr>
          <w:bCs/>
        </w:rPr>
        <w:t>基金管理人应当在季度结束之日起15个工作日内，编制完成基金季度报告，</w:t>
      </w:r>
      <w:r>
        <w:rPr>
          <w:rFonts w:hint="eastAsia"/>
          <w:bCs/>
        </w:rPr>
        <w:t>将季度报告登载在规定网站上，并将季度报告提示性公告登载在规定报刊上</w:t>
      </w:r>
      <w:r>
        <w:rPr>
          <w:bCs/>
        </w:rPr>
        <w:t>。</w:t>
      </w:r>
    </w:p>
    <w:p w14:paraId="5E022B5B">
      <w:pPr>
        <w:spacing w:line="360" w:lineRule="auto"/>
        <w:ind w:firstLine="480" w:firstLineChars="200"/>
        <w:rPr>
          <w:bCs/>
        </w:rPr>
      </w:pPr>
      <w:r>
        <w:rPr>
          <w:bCs/>
        </w:rPr>
        <w:t>基金合同生效不足2个月的，基金管理人可以不编制当期季度报告、</w:t>
      </w:r>
      <w:r>
        <w:rPr>
          <w:rFonts w:hint="eastAsia"/>
          <w:bCs/>
        </w:rPr>
        <w:t>中期</w:t>
      </w:r>
      <w:r>
        <w:rPr>
          <w:bCs/>
        </w:rPr>
        <w:t>报告或者年度报告。</w:t>
      </w:r>
    </w:p>
    <w:p w14:paraId="144633E1">
      <w:pPr>
        <w:spacing w:line="360" w:lineRule="auto"/>
        <w:ind w:firstLine="480" w:firstLineChars="200"/>
        <w:rPr>
          <w:bCs/>
        </w:rPr>
      </w:pPr>
      <w:r>
        <w:rPr>
          <w:bCs/>
        </w:rPr>
        <w:t>如报告期内出现单一投资者持有基金份额达到或超过基金总份额20%的情形，为保障其他投资者的权益，基金管理人至少应当在定期报告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22E4A6B2">
      <w:pPr>
        <w:spacing w:line="360" w:lineRule="auto"/>
        <w:ind w:firstLine="480" w:firstLineChars="200"/>
        <w:rPr>
          <w:bCs/>
        </w:rPr>
      </w:pPr>
      <w:r>
        <w:rPr>
          <w:bCs/>
        </w:rPr>
        <w:t>基金管理人应当在基金年度报告和</w:t>
      </w:r>
      <w:r>
        <w:rPr>
          <w:rFonts w:hint="eastAsia"/>
          <w:bCs/>
        </w:rPr>
        <w:t>中期</w:t>
      </w:r>
      <w:r>
        <w:rPr>
          <w:bCs/>
        </w:rPr>
        <w:t>报告中披露基金组合资产情况及其流动性风险分析等。</w:t>
      </w:r>
    </w:p>
    <w:p w14:paraId="2A179F79">
      <w:pPr>
        <w:spacing w:line="360" w:lineRule="auto"/>
        <w:ind w:firstLine="480" w:firstLineChars="200"/>
        <w:rPr>
          <w:bCs/>
        </w:rPr>
      </w:pPr>
      <w:r>
        <w:rPr>
          <w:bCs/>
        </w:rPr>
        <w:t>（七）临时报告</w:t>
      </w:r>
    </w:p>
    <w:p w14:paraId="674DB7FA">
      <w:pPr>
        <w:spacing w:line="360" w:lineRule="auto"/>
        <w:ind w:firstLine="480" w:firstLineChars="200"/>
        <w:rPr>
          <w:bCs/>
        </w:rPr>
      </w:pPr>
      <w:r>
        <w:rPr>
          <w:bCs/>
        </w:rPr>
        <w:t>本基金发生重大事件，有关信息披露义务人应当在2日内编制临时报告书，</w:t>
      </w:r>
      <w:r>
        <w:rPr>
          <w:rFonts w:hint="eastAsia"/>
          <w:bCs/>
        </w:rPr>
        <w:t>并登载在规定报刊和规定网站上。</w:t>
      </w:r>
    </w:p>
    <w:p w14:paraId="2B97D58D">
      <w:pPr>
        <w:spacing w:line="360" w:lineRule="auto"/>
        <w:ind w:firstLine="480" w:firstLineChars="200"/>
        <w:rPr>
          <w:bCs/>
        </w:rPr>
      </w:pPr>
      <w:r>
        <w:rPr>
          <w:bCs/>
        </w:rPr>
        <w:t>前款所称重大事件，是指可能对基金份额持有人权益或者基金份额的价格产生重大影响的下列事件：</w:t>
      </w:r>
    </w:p>
    <w:p w14:paraId="7AE852FE">
      <w:pPr>
        <w:pStyle w:val="39"/>
        <w:numPr>
          <w:ilvl w:val="0"/>
          <w:numId w:val="17"/>
        </w:numPr>
        <w:spacing w:line="360" w:lineRule="auto"/>
        <w:ind w:left="0" w:firstLine="480"/>
        <w:rPr>
          <w:bCs/>
        </w:rPr>
      </w:pPr>
      <w:r>
        <w:rPr>
          <w:bCs/>
        </w:rPr>
        <w:t>基金份额持有人大会的召开</w:t>
      </w:r>
      <w:r>
        <w:rPr>
          <w:rFonts w:hint="eastAsia"/>
          <w:bCs/>
        </w:rPr>
        <w:t>及决定的事项</w:t>
      </w:r>
      <w:r>
        <w:rPr>
          <w:bCs/>
        </w:rPr>
        <w:t>；</w:t>
      </w:r>
    </w:p>
    <w:p w14:paraId="3DC4D322">
      <w:pPr>
        <w:pStyle w:val="39"/>
        <w:numPr>
          <w:ilvl w:val="0"/>
          <w:numId w:val="17"/>
        </w:numPr>
        <w:spacing w:line="360" w:lineRule="auto"/>
        <w:ind w:left="0" w:firstLine="480"/>
        <w:rPr>
          <w:bCs/>
        </w:rPr>
      </w:pPr>
      <w:r>
        <w:rPr>
          <w:bCs/>
        </w:rPr>
        <w:t>基金合同终止</w:t>
      </w:r>
      <w:r>
        <w:rPr>
          <w:rFonts w:hint="eastAsia"/>
          <w:bCs/>
        </w:rPr>
        <w:t>、</w:t>
      </w:r>
      <w:r>
        <w:rPr>
          <w:bCs/>
        </w:rPr>
        <w:t>基金清算；</w:t>
      </w:r>
    </w:p>
    <w:p w14:paraId="42E498BE">
      <w:pPr>
        <w:pStyle w:val="39"/>
        <w:numPr>
          <w:ilvl w:val="0"/>
          <w:numId w:val="17"/>
        </w:numPr>
        <w:spacing w:line="360" w:lineRule="auto"/>
        <w:ind w:left="0" w:firstLine="480"/>
        <w:rPr>
          <w:bCs/>
        </w:rPr>
      </w:pPr>
      <w:r>
        <w:rPr>
          <w:bCs/>
        </w:rPr>
        <w:t>转换基金运作方式</w:t>
      </w:r>
      <w:r>
        <w:rPr>
          <w:rFonts w:hint="eastAsia"/>
          <w:bCs/>
        </w:rPr>
        <w:t>、</w:t>
      </w:r>
      <w:r>
        <w:rPr>
          <w:bCs/>
        </w:rPr>
        <w:t>基金合并；</w:t>
      </w:r>
    </w:p>
    <w:p w14:paraId="56C47F3F">
      <w:pPr>
        <w:pStyle w:val="39"/>
        <w:numPr>
          <w:ilvl w:val="0"/>
          <w:numId w:val="17"/>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4B528601">
      <w:pPr>
        <w:pStyle w:val="39"/>
        <w:numPr>
          <w:ilvl w:val="0"/>
          <w:numId w:val="17"/>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37EBA057">
      <w:pPr>
        <w:pStyle w:val="39"/>
        <w:numPr>
          <w:ilvl w:val="0"/>
          <w:numId w:val="17"/>
        </w:numPr>
        <w:spacing w:line="360" w:lineRule="auto"/>
        <w:ind w:left="0" w:firstLine="480"/>
        <w:rPr>
          <w:bCs/>
        </w:rPr>
      </w:pPr>
      <w:r>
        <w:rPr>
          <w:bCs/>
        </w:rPr>
        <w:t>基金管理人、基金托管人的法定名称、住所发生变更；</w:t>
      </w:r>
    </w:p>
    <w:p w14:paraId="65730A7C">
      <w:pPr>
        <w:pStyle w:val="39"/>
        <w:numPr>
          <w:ilvl w:val="0"/>
          <w:numId w:val="17"/>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096631EF">
      <w:pPr>
        <w:pStyle w:val="39"/>
        <w:numPr>
          <w:ilvl w:val="0"/>
          <w:numId w:val="17"/>
        </w:numPr>
        <w:spacing w:line="360" w:lineRule="auto"/>
        <w:ind w:left="0" w:firstLine="480"/>
        <w:rPr>
          <w:bCs/>
        </w:rPr>
      </w:pPr>
      <w:r>
        <w:rPr>
          <w:bCs/>
        </w:rPr>
        <w:t>基金募集期延长</w:t>
      </w:r>
      <w:r>
        <w:rPr>
          <w:rFonts w:hint="eastAsia"/>
          <w:bCs/>
        </w:rPr>
        <w:t>或提前结束募集</w:t>
      </w:r>
      <w:r>
        <w:rPr>
          <w:bCs/>
        </w:rPr>
        <w:t>；</w:t>
      </w:r>
    </w:p>
    <w:p w14:paraId="30964D1B">
      <w:pPr>
        <w:pStyle w:val="39"/>
        <w:numPr>
          <w:ilvl w:val="0"/>
          <w:numId w:val="17"/>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1118CFE4">
      <w:pPr>
        <w:pStyle w:val="39"/>
        <w:numPr>
          <w:ilvl w:val="0"/>
          <w:numId w:val="17"/>
        </w:numPr>
        <w:spacing w:line="360" w:lineRule="auto"/>
        <w:ind w:left="0" w:firstLine="480"/>
        <w:rPr>
          <w:bCs/>
        </w:rPr>
      </w:pPr>
      <w:r>
        <w:rPr>
          <w:bCs/>
        </w:rPr>
        <w:t>基金管理人的董事在</w:t>
      </w:r>
      <w:r>
        <w:rPr>
          <w:rFonts w:hint="eastAsia"/>
          <w:bCs/>
        </w:rPr>
        <w:t>最近12个月</w:t>
      </w:r>
      <w:r>
        <w:rPr>
          <w:bCs/>
        </w:rPr>
        <w:t>内变更超过百分之五十</w:t>
      </w:r>
      <w:r>
        <w:rPr>
          <w:rFonts w:hint="eastAsia"/>
          <w:bCs/>
        </w:rPr>
        <w:t>，</w:t>
      </w:r>
      <w:r>
        <w:rPr>
          <w:bCs/>
        </w:rPr>
        <w:t>基金管理人、基金托管人专门基金托管部门的主要业务人员在</w:t>
      </w:r>
      <w:r>
        <w:rPr>
          <w:rFonts w:hint="eastAsia"/>
          <w:bCs/>
        </w:rPr>
        <w:t>最近12个月</w:t>
      </w:r>
      <w:r>
        <w:rPr>
          <w:bCs/>
        </w:rPr>
        <w:t>内变动超过百分之三十；</w:t>
      </w:r>
    </w:p>
    <w:p w14:paraId="7FEC1173">
      <w:pPr>
        <w:pStyle w:val="39"/>
        <w:numPr>
          <w:ilvl w:val="0"/>
          <w:numId w:val="17"/>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1E666EC0">
      <w:pPr>
        <w:pStyle w:val="39"/>
        <w:numPr>
          <w:ilvl w:val="0"/>
          <w:numId w:val="17"/>
        </w:numPr>
        <w:spacing w:line="360" w:lineRule="auto"/>
        <w:ind w:left="0" w:firstLine="480"/>
        <w:rPr>
          <w:bCs/>
        </w:rPr>
      </w:pPr>
      <w:r>
        <w:rPr>
          <w:bCs/>
        </w:rPr>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5AB38CE5">
      <w:pPr>
        <w:pStyle w:val="39"/>
        <w:numPr>
          <w:ilvl w:val="0"/>
          <w:numId w:val="17"/>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5312288">
      <w:pPr>
        <w:pStyle w:val="39"/>
        <w:numPr>
          <w:ilvl w:val="0"/>
          <w:numId w:val="17"/>
        </w:numPr>
        <w:spacing w:line="360" w:lineRule="auto"/>
        <w:ind w:left="0" w:firstLine="480"/>
        <w:rPr>
          <w:bCs/>
        </w:rPr>
      </w:pPr>
      <w:r>
        <w:rPr>
          <w:bCs/>
        </w:rPr>
        <w:t>基金收益分配事项；</w:t>
      </w:r>
    </w:p>
    <w:p w14:paraId="3906801E">
      <w:pPr>
        <w:pStyle w:val="39"/>
        <w:numPr>
          <w:ilvl w:val="0"/>
          <w:numId w:val="17"/>
        </w:numPr>
        <w:spacing w:line="360" w:lineRule="auto"/>
        <w:ind w:left="0" w:firstLine="480"/>
        <w:rPr>
          <w:bCs/>
        </w:rPr>
      </w:pPr>
      <w:r>
        <w:rPr>
          <w:rFonts w:hint="eastAsia"/>
          <w:bCs/>
        </w:rPr>
        <w:t>管理费、托管费、申购费、赎回费、销售服务费等费用计提标准、计提方式和费率发生变更</w:t>
      </w:r>
      <w:r>
        <w:rPr>
          <w:bCs/>
        </w:rPr>
        <w:t>；</w:t>
      </w:r>
    </w:p>
    <w:p w14:paraId="496DC807">
      <w:pPr>
        <w:pStyle w:val="39"/>
        <w:numPr>
          <w:ilvl w:val="0"/>
          <w:numId w:val="17"/>
        </w:numPr>
        <w:spacing w:line="360" w:lineRule="auto"/>
        <w:ind w:left="0" w:firstLine="480"/>
        <w:rPr>
          <w:bCs/>
        </w:rPr>
      </w:pPr>
      <w:r>
        <w:rPr>
          <w:bCs/>
        </w:rPr>
        <w:t>某一类基金份额净值估值错误达该类基金份额净值百分之零点五；</w:t>
      </w:r>
    </w:p>
    <w:p w14:paraId="139F992D">
      <w:pPr>
        <w:pStyle w:val="39"/>
        <w:numPr>
          <w:ilvl w:val="0"/>
          <w:numId w:val="17"/>
        </w:numPr>
        <w:spacing w:line="360" w:lineRule="auto"/>
        <w:ind w:left="0" w:firstLine="480"/>
        <w:rPr>
          <w:bCs/>
        </w:rPr>
      </w:pPr>
      <w:r>
        <w:rPr>
          <w:rFonts w:hint="eastAsia"/>
          <w:bCs/>
        </w:rPr>
        <w:t>本基金开始办理申购、赎回；</w:t>
      </w:r>
    </w:p>
    <w:p w14:paraId="6CC404A6">
      <w:pPr>
        <w:pStyle w:val="39"/>
        <w:numPr>
          <w:ilvl w:val="0"/>
          <w:numId w:val="17"/>
        </w:numPr>
        <w:spacing w:line="360" w:lineRule="auto"/>
        <w:ind w:left="0" w:firstLine="480"/>
        <w:rPr>
          <w:bCs/>
        </w:rPr>
      </w:pPr>
      <w:r>
        <w:rPr>
          <w:rFonts w:hint="eastAsia"/>
          <w:bCs/>
        </w:rPr>
        <w:t>本基金暂停接受申购、赎回申请或重新接受申购、赎回申请；</w:t>
      </w:r>
    </w:p>
    <w:p w14:paraId="36F34213">
      <w:pPr>
        <w:pStyle w:val="39"/>
        <w:numPr>
          <w:ilvl w:val="0"/>
          <w:numId w:val="17"/>
        </w:numPr>
        <w:spacing w:line="360" w:lineRule="auto"/>
        <w:ind w:left="0" w:firstLine="480"/>
        <w:rPr>
          <w:bCs/>
        </w:rPr>
      </w:pPr>
      <w:r>
        <w:rPr>
          <w:rFonts w:hint="eastAsia"/>
          <w:bCs/>
        </w:rPr>
        <w:t>调整基金份额类别的设置；</w:t>
      </w:r>
    </w:p>
    <w:p w14:paraId="2D3AB0CA">
      <w:pPr>
        <w:pStyle w:val="39"/>
        <w:numPr>
          <w:ilvl w:val="0"/>
          <w:numId w:val="17"/>
        </w:numPr>
        <w:spacing w:line="360" w:lineRule="auto"/>
        <w:ind w:left="0" w:firstLine="480"/>
        <w:rPr>
          <w:bCs/>
        </w:rPr>
      </w:pPr>
      <w:r>
        <w:rPr>
          <w:rFonts w:hint="eastAsia"/>
          <w:bCs/>
        </w:rPr>
        <w:t>基金推出新业务或服务；</w:t>
      </w:r>
    </w:p>
    <w:p w14:paraId="3F9CFFB6">
      <w:pPr>
        <w:pStyle w:val="39"/>
        <w:numPr>
          <w:ilvl w:val="0"/>
          <w:numId w:val="17"/>
        </w:numPr>
        <w:spacing w:line="360" w:lineRule="auto"/>
        <w:ind w:left="0" w:firstLine="480"/>
        <w:rPr>
          <w:bCs/>
        </w:rPr>
      </w:pPr>
      <w:r>
        <w:rPr>
          <w:bCs/>
        </w:rPr>
        <w:t>本基金发生巨额赎回并延期</w:t>
      </w:r>
      <w:r>
        <w:rPr>
          <w:rFonts w:hint="eastAsia"/>
          <w:bCs/>
        </w:rPr>
        <w:t>办理</w:t>
      </w:r>
      <w:r>
        <w:rPr>
          <w:bCs/>
        </w:rPr>
        <w:t>；</w:t>
      </w:r>
    </w:p>
    <w:p w14:paraId="050ACA27">
      <w:pPr>
        <w:pStyle w:val="39"/>
        <w:numPr>
          <w:ilvl w:val="0"/>
          <w:numId w:val="17"/>
        </w:numPr>
        <w:spacing w:line="360" w:lineRule="auto"/>
        <w:ind w:left="0" w:firstLine="480"/>
        <w:rPr>
          <w:bCs/>
        </w:rPr>
      </w:pPr>
      <w:r>
        <w:rPr>
          <w:bCs/>
        </w:rPr>
        <w:t>本基金连续发生巨额赎回并暂停接受赎回申请或延缓支付赎回款项；</w:t>
      </w:r>
    </w:p>
    <w:p w14:paraId="09F9F644">
      <w:pPr>
        <w:pStyle w:val="39"/>
        <w:numPr>
          <w:ilvl w:val="0"/>
          <w:numId w:val="17"/>
        </w:numPr>
        <w:spacing w:line="360" w:lineRule="auto"/>
        <w:ind w:left="0" w:firstLine="480"/>
        <w:rPr>
          <w:bCs/>
        </w:rPr>
      </w:pPr>
      <w:r>
        <w:rPr>
          <w:bCs/>
        </w:rPr>
        <w:t>基金管理人采用摆动定价机制进行估值</w:t>
      </w:r>
      <w:r>
        <w:rPr>
          <w:rFonts w:hint="eastAsia"/>
          <w:bCs/>
        </w:rPr>
        <w:t>；</w:t>
      </w:r>
    </w:p>
    <w:p w14:paraId="556935BD">
      <w:pPr>
        <w:pStyle w:val="39"/>
        <w:numPr>
          <w:ilvl w:val="0"/>
          <w:numId w:val="17"/>
        </w:numPr>
        <w:spacing w:line="360" w:lineRule="auto"/>
        <w:ind w:left="0" w:firstLine="480"/>
        <w:rPr>
          <w:bCs/>
        </w:rPr>
      </w:pPr>
      <w:r>
        <w:rPr>
          <w:rFonts w:hint="eastAsia"/>
          <w:bCs/>
        </w:rPr>
        <w:t>发生涉及基金申购、赎回事项调整或潜在影响投资者赎回等重大事项时；</w:t>
      </w:r>
    </w:p>
    <w:p w14:paraId="403F85DA">
      <w:pPr>
        <w:pStyle w:val="39"/>
        <w:numPr>
          <w:ilvl w:val="0"/>
          <w:numId w:val="17"/>
        </w:numPr>
        <w:spacing w:line="360" w:lineRule="auto"/>
        <w:ind w:left="0" w:firstLine="480"/>
        <w:rPr>
          <w:bCs/>
        </w:rPr>
      </w:pPr>
      <w:r>
        <w:rPr>
          <w:rFonts w:hint="eastAsia"/>
          <w:bCs/>
        </w:rPr>
        <w:t>基金信息披露义务人认为可能对基金份额持有人权益或者基金份额的价格产生重大影响的其他事项或中国证监会和基金合同规定的其他事项。</w:t>
      </w:r>
    </w:p>
    <w:p w14:paraId="5FFECF24">
      <w:pPr>
        <w:spacing w:line="360" w:lineRule="auto"/>
        <w:ind w:firstLine="480" w:firstLineChars="200"/>
        <w:rPr>
          <w:bCs/>
        </w:rPr>
      </w:pPr>
      <w:r>
        <w:rPr>
          <w:bCs/>
        </w:rPr>
        <w:t>（八）澄清公告</w:t>
      </w:r>
    </w:p>
    <w:p w14:paraId="4D5D74D7">
      <w:pPr>
        <w:spacing w:line="360" w:lineRule="auto"/>
        <w:ind w:firstLine="480" w:firstLineChars="20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15583101">
      <w:pPr>
        <w:spacing w:line="360" w:lineRule="auto"/>
        <w:ind w:firstLine="480" w:firstLineChars="200"/>
        <w:rPr>
          <w:bCs/>
        </w:rPr>
      </w:pPr>
      <w:r>
        <w:rPr>
          <w:rFonts w:hint="eastAsia"/>
          <w:bCs/>
        </w:rPr>
        <w:t>（九）清算报告</w:t>
      </w:r>
    </w:p>
    <w:p w14:paraId="735C9F1E">
      <w:pPr>
        <w:spacing w:line="360" w:lineRule="auto"/>
        <w:ind w:firstLine="480" w:firstLineChars="20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3514519">
      <w:pPr>
        <w:spacing w:line="360" w:lineRule="auto"/>
        <w:ind w:firstLine="480" w:firstLineChars="200"/>
        <w:rPr>
          <w:bCs/>
        </w:rPr>
      </w:pPr>
      <w:r>
        <w:rPr>
          <w:bCs/>
        </w:rPr>
        <w:t>（</w:t>
      </w:r>
      <w:r>
        <w:rPr>
          <w:rFonts w:hint="eastAsia"/>
          <w:bCs/>
        </w:rPr>
        <w:t>十</w:t>
      </w:r>
      <w:r>
        <w:rPr>
          <w:bCs/>
        </w:rPr>
        <w:t>）基金份额持有人大会决议</w:t>
      </w:r>
    </w:p>
    <w:p w14:paraId="1FD4AC05">
      <w:pPr>
        <w:spacing w:line="360" w:lineRule="auto"/>
        <w:ind w:firstLine="480" w:firstLineChars="200"/>
        <w:rPr>
          <w:bCs/>
        </w:rPr>
      </w:pPr>
      <w:r>
        <w:rPr>
          <w:bCs/>
        </w:rPr>
        <w:t>基金份额持有人大会决定的事项，应当依法报</w:t>
      </w:r>
      <w:r>
        <w:rPr>
          <w:rFonts w:hint="eastAsia"/>
          <w:bCs/>
        </w:rPr>
        <w:t>中国证监会</w:t>
      </w:r>
      <w:r>
        <w:rPr>
          <w:bCs/>
        </w:rPr>
        <w:t>备案，并予以公告。</w:t>
      </w:r>
    </w:p>
    <w:p w14:paraId="3CD810C9">
      <w:pPr>
        <w:spacing w:line="360" w:lineRule="auto"/>
        <w:ind w:firstLine="480" w:firstLineChars="200"/>
        <w:rPr>
          <w:bCs/>
        </w:rPr>
      </w:pPr>
      <w:r>
        <w:rPr>
          <w:rFonts w:hint="eastAsia"/>
          <w:bCs/>
        </w:rPr>
        <w:t>（十一）实施侧袋机制期间的信息</w:t>
      </w:r>
      <w:bookmarkStart w:id="153" w:name="OLE_LINK43"/>
      <w:bookmarkStart w:id="154" w:name="OLE_LINK42"/>
      <w:r>
        <w:rPr>
          <w:rFonts w:hint="eastAsia"/>
          <w:bCs/>
        </w:rPr>
        <w:t>披露</w:t>
      </w:r>
      <w:bookmarkEnd w:id="153"/>
      <w:bookmarkEnd w:id="154"/>
    </w:p>
    <w:p w14:paraId="4808C81C">
      <w:pPr>
        <w:spacing w:line="360" w:lineRule="auto"/>
        <w:ind w:firstLine="480" w:firstLineChars="200"/>
        <w:rPr>
          <w:bCs/>
        </w:rPr>
      </w:pPr>
      <w:r>
        <w:rPr>
          <w:rFonts w:hint="eastAsia"/>
          <w:bCs/>
        </w:rPr>
        <w:t>本基金实施侧袋机制的，相关信息披露义务人应当根据法律法规、基金合同和招募说明书的规定进行信息披露，详见招募说明书的规定。</w:t>
      </w:r>
    </w:p>
    <w:p w14:paraId="13F1B2E4">
      <w:pPr>
        <w:spacing w:line="360" w:lineRule="auto"/>
        <w:ind w:firstLine="480" w:firstLineChars="200"/>
        <w:rPr>
          <w:bCs/>
        </w:rPr>
      </w:pPr>
      <w:r>
        <w:rPr>
          <w:rFonts w:hint="eastAsia"/>
          <w:bCs/>
        </w:rPr>
        <w:t>（十二）</w:t>
      </w:r>
      <w:r>
        <w:rPr>
          <w:bCs/>
        </w:rPr>
        <w:t>中国证监会规定的其他信息</w:t>
      </w:r>
    </w:p>
    <w:p w14:paraId="3A688AB4">
      <w:pPr>
        <w:pStyle w:val="39"/>
        <w:numPr>
          <w:ilvl w:val="0"/>
          <w:numId w:val="18"/>
        </w:numPr>
        <w:spacing w:line="360" w:lineRule="auto"/>
        <w:ind w:firstLineChars="0"/>
        <w:rPr>
          <w:bCs/>
        </w:rPr>
      </w:pPr>
      <w:r>
        <w:rPr>
          <w:rFonts w:hint="eastAsia"/>
          <w:bCs/>
        </w:rPr>
        <w:t>投资资产支持证券的信息披露</w:t>
      </w:r>
    </w:p>
    <w:p w14:paraId="579DE5DE">
      <w:pPr>
        <w:spacing w:line="360" w:lineRule="auto"/>
        <w:ind w:firstLine="480" w:firstLineChars="20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5F88649E">
      <w:pPr>
        <w:spacing w:line="360" w:lineRule="auto"/>
        <w:ind w:firstLine="480" w:firstLineChars="20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0E88DB9E">
      <w:pPr>
        <w:pStyle w:val="39"/>
        <w:numPr>
          <w:ilvl w:val="0"/>
          <w:numId w:val="18"/>
        </w:numPr>
        <w:spacing w:line="360" w:lineRule="auto"/>
        <w:ind w:firstLineChars="0"/>
        <w:rPr>
          <w:bCs/>
        </w:rPr>
      </w:pPr>
      <w:r>
        <w:rPr>
          <w:rFonts w:hint="eastAsia"/>
          <w:bCs/>
        </w:rPr>
        <w:t>投资股指期货和国债期货的信息披露</w:t>
      </w:r>
    </w:p>
    <w:p w14:paraId="335DE430">
      <w:pPr>
        <w:spacing w:line="360" w:lineRule="auto"/>
        <w:ind w:firstLine="480" w:firstLineChars="20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3407CA39">
      <w:pPr>
        <w:pStyle w:val="39"/>
        <w:numPr>
          <w:ilvl w:val="0"/>
          <w:numId w:val="18"/>
        </w:numPr>
        <w:spacing w:line="360" w:lineRule="auto"/>
        <w:ind w:firstLineChars="0"/>
        <w:rPr>
          <w:bCs/>
        </w:rPr>
      </w:pPr>
      <w:r>
        <w:rPr>
          <w:rFonts w:hint="eastAsia"/>
          <w:bCs/>
        </w:rPr>
        <w:t>投资股票期权的信息披露</w:t>
      </w:r>
    </w:p>
    <w:p w14:paraId="29E5BCCF">
      <w:pPr>
        <w:spacing w:line="360" w:lineRule="auto"/>
        <w:ind w:firstLine="480" w:firstLineChars="20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6D890B57">
      <w:pPr>
        <w:pStyle w:val="39"/>
        <w:numPr>
          <w:ilvl w:val="0"/>
          <w:numId w:val="18"/>
        </w:numPr>
        <w:spacing w:line="360" w:lineRule="auto"/>
        <w:ind w:firstLineChars="0"/>
        <w:rPr>
          <w:bCs/>
        </w:rPr>
      </w:pPr>
      <w:r>
        <w:rPr>
          <w:rFonts w:hint="eastAsia"/>
          <w:bCs/>
        </w:rPr>
        <w:t>参与港股通交易的信息披露</w:t>
      </w:r>
    </w:p>
    <w:p w14:paraId="3D850703">
      <w:pPr>
        <w:spacing w:line="360" w:lineRule="auto"/>
        <w:ind w:firstLine="480" w:firstLineChars="200"/>
        <w:rPr>
          <w:bCs/>
        </w:rPr>
      </w:pPr>
      <w:r>
        <w:rPr>
          <w:rFonts w:hint="eastAsia"/>
          <w:bCs/>
        </w:rPr>
        <w:t>本基金参与港股通交易的，基金管理人应在季度报告、中期报告、年度报告等定期报告和招募说明书（更新）等文件中披露本基金参与港股通交易的相关情况。</w:t>
      </w:r>
    </w:p>
    <w:p w14:paraId="73EB6DE7">
      <w:pPr>
        <w:pStyle w:val="39"/>
        <w:numPr>
          <w:ilvl w:val="0"/>
          <w:numId w:val="18"/>
        </w:numPr>
        <w:spacing w:line="360" w:lineRule="auto"/>
        <w:ind w:firstLineChars="0"/>
        <w:rPr>
          <w:bCs/>
        </w:rPr>
      </w:pPr>
      <w:r>
        <w:rPr>
          <w:rFonts w:hint="eastAsia"/>
          <w:bCs/>
        </w:rPr>
        <w:t>投资基金份额的信息披露</w:t>
      </w:r>
    </w:p>
    <w:p w14:paraId="77D2B09C">
      <w:pPr>
        <w:spacing w:line="360" w:lineRule="auto"/>
        <w:ind w:firstLine="480" w:firstLineChars="200"/>
        <w:rPr>
          <w:bCs/>
        </w:rPr>
      </w:pPr>
      <w:r>
        <w:rPr>
          <w:rFonts w:hint="eastAsia"/>
          <w:bCs/>
        </w:rPr>
        <w:t>基金管理人应在季度报告、中期报告、年度报告等定期报告和招募说明书（更新）等文件中披露所持基金的以下相关情况，包括（1）投资政策、持仓情况、损益情况、净值披露时间等。（2）交易及持有基金产生的费用，包括申购费、赎回费、销售服务费、管理费、托管费等，招募说明书中应当列明计算方法并举例说明。（3）本基金持有的基金发生的重大影响事件，如转换运作方式、与其他基金合并、终止基金合同以及召开基金份额持有人大会等。（4）本基金投资于基金管理人以及基金管理人关联方所管理基金的情况。</w:t>
      </w:r>
    </w:p>
    <w:p w14:paraId="336AC20D">
      <w:pPr>
        <w:pStyle w:val="39"/>
        <w:numPr>
          <w:ilvl w:val="0"/>
          <w:numId w:val="18"/>
        </w:numPr>
        <w:spacing w:line="360" w:lineRule="auto"/>
        <w:ind w:firstLineChars="0"/>
        <w:rPr>
          <w:bCs/>
        </w:rPr>
      </w:pPr>
      <w:r>
        <w:rPr>
          <w:rFonts w:hint="eastAsia"/>
          <w:bCs/>
        </w:rPr>
        <w:t>投资存托凭证的信息披露</w:t>
      </w:r>
    </w:p>
    <w:p w14:paraId="21A33CE6">
      <w:pPr>
        <w:spacing w:line="360" w:lineRule="auto"/>
        <w:ind w:firstLine="480" w:firstLineChars="200"/>
        <w:rPr>
          <w:bCs/>
        </w:rPr>
      </w:pPr>
      <w:r>
        <w:rPr>
          <w:rFonts w:hint="eastAsia"/>
          <w:bCs/>
        </w:rPr>
        <w:t>本基金投资存托凭证的信息披露依照境内上市交易的股票执行。</w:t>
      </w:r>
    </w:p>
    <w:p w14:paraId="0E6404AC">
      <w:pPr>
        <w:pStyle w:val="39"/>
        <w:numPr>
          <w:ilvl w:val="0"/>
          <w:numId w:val="18"/>
        </w:numPr>
        <w:spacing w:line="360" w:lineRule="auto"/>
        <w:ind w:firstLineChars="0"/>
        <w:rPr>
          <w:bCs/>
        </w:rPr>
      </w:pPr>
      <w:r>
        <w:rPr>
          <w:rFonts w:hint="eastAsia"/>
          <w:bCs/>
        </w:rPr>
        <w:t>投资信用衍生品的信息披露</w:t>
      </w:r>
    </w:p>
    <w:p w14:paraId="2E13E80B">
      <w:pPr>
        <w:spacing w:line="360" w:lineRule="auto"/>
        <w:ind w:firstLine="480" w:firstLineChars="20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4CB9B241">
      <w:pPr>
        <w:spacing w:line="360" w:lineRule="auto"/>
        <w:ind w:firstLine="480" w:firstLineChars="200"/>
        <w:rPr>
          <w:bCs/>
        </w:rPr>
      </w:pPr>
      <w:r>
        <w:rPr>
          <w:rFonts w:hint="eastAsia"/>
          <w:bCs/>
        </w:rPr>
        <w:t>（十三）当相关法律法规关于上述信息披露的规定发生变化时，基金管理人将按最新规定进行信息披露</w:t>
      </w:r>
      <w:r>
        <w:rPr>
          <w:bCs/>
        </w:rPr>
        <w:t>。</w:t>
      </w:r>
    </w:p>
    <w:p w14:paraId="0AF853AA">
      <w:pPr>
        <w:spacing w:line="360" w:lineRule="auto"/>
        <w:ind w:firstLine="480" w:firstLineChars="200"/>
        <w:rPr>
          <w:bCs/>
        </w:rPr>
      </w:pPr>
      <w:r>
        <w:rPr>
          <w:bCs/>
        </w:rPr>
        <w:t>六、信息披露事务管理</w:t>
      </w:r>
    </w:p>
    <w:p w14:paraId="73AE5162">
      <w:pPr>
        <w:spacing w:line="360" w:lineRule="auto"/>
        <w:ind w:firstLine="480" w:firstLineChars="200"/>
        <w:rPr>
          <w:bCs/>
        </w:rPr>
      </w:pPr>
      <w:r>
        <w:rPr>
          <w:bCs/>
        </w:rPr>
        <w:t>基金管理人、基金托管人应当建立健全信息披露管理制度，指定</w:t>
      </w:r>
      <w:r>
        <w:rPr>
          <w:rFonts w:hint="eastAsia"/>
          <w:bCs/>
        </w:rPr>
        <w:t>专门部门及高级管理人员</w:t>
      </w:r>
      <w:r>
        <w:rPr>
          <w:bCs/>
        </w:rPr>
        <w:t>负责管理信息披露事务。</w:t>
      </w:r>
    </w:p>
    <w:p w14:paraId="01751863">
      <w:pPr>
        <w:spacing w:line="360" w:lineRule="auto"/>
        <w:ind w:firstLine="480" w:firstLineChars="200"/>
        <w:rPr>
          <w:bCs/>
        </w:rPr>
      </w:pPr>
      <w:r>
        <w:rPr>
          <w:bCs/>
        </w:rPr>
        <w:t>基金信息披露义务人公开披露基金信息，应当符合中国证监会相关基金信息披露内容与格式准则</w:t>
      </w:r>
      <w:r>
        <w:rPr>
          <w:rFonts w:hint="eastAsia"/>
          <w:bCs/>
        </w:rPr>
        <w:t>等法规</w:t>
      </w:r>
      <w:r>
        <w:rPr>
          <w:bCs/>
        </w:rPr>
        <w:t>的规定。</w:t>
      </w:r>
    </w:p>
    <w:p w14:paraId="04354424">
      <w:pPr>
        <w:spacing w:line="360" w:lineRule="auto"/>
        <w:ind w:firstLine="480" w:firstLineChars="200"/>
        <w:rPr>
          <w:bCs/>
        </w:rPr>
      </w:pPr>
      <w:r>
        <w:rPr>
          <w:bCs/>
        </w:rPr>
        <w:t>基金托管人应当按照相关法律法规、中国证监会的规定和基金合同的约定，对基金管理人编制的基金资产净值、各类基金份额净值、基金份额申购赎回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0A83D912">
      <w:pPr>
        <w:spacing w:line="360" w:lineRule="auto"/>
        <w:ind w:firstLine="480" w:firstLineChars="20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7F2B4B27">
      <w:pPr>
        <w:spacing w:line="360" w:lineRule="auto"/>
        <w:ind w:firstLine="480" w:firstLineChars="20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3AEF2045">
      <w:pPr>
        <w:spacing w:line="360" w:lineRule="auto"/>
        <w:ind w:firstLine="480" w:firstLineChars="20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2B5C1ED">
      <w:pPr>
        <w:spacing w:line="360" w:lineRule="auto"/>
        <w:ind w:firstLine="480" w:firstLineChars="200"/>
        <w:rPr>
          <w:bCs/>
        </w:rPr>
      </w:pPr>
      <w:r>
        <w:rPr>
          <w:bCs/>
        </w:rPr>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11DD3FD2">
      <w:pPr>
        <w:spacing w:line="360" w:lineRule="auto"/>
        <w:ind w:firstLine="480" w:firstLineChars="200"/>
        <w:rPr>
          <w:bCs/>
        </w:rPr>
      </w:pPr>
      <w:bookmarkStart w:id="155" w:name="OLE_LINK44"/>
      <w:r>
        <w:rPr>
          <w:rFonts w:hint="eastAsia"/>
          <w:bCs/>
        </w:rPr>
        <w:t>七、暂停或延迟信息披露的情形</w:t>
      </w:r>
    </w:p>
    <w:p w14:paraId="6FE620E6">
      <w:pPr>
        <w:spacing w:line="360" w:lineRule="auto"/>
        <w:ind w:firstLine="480" w:firstLineChars="200"/>
        <w:rPr>
          <w:bCs/>
        </w:rPr>
      </w:pPr>
      <w:r>
        <w:rPr>
          <w:rFonts w:hint="eastAsia"/>
          <w:bCs/>
        </w:rPr>
        <w:t>当出现下述情况时，基金管理人和基金托管人可暂停或延迟披露基金相关信息：</w:t>
      </w:r>
    </w:p>
    <w:p w14:paraId="6A88FE94">
      <w:pPr>
        <w:spacing w:line="360" w:lineRule="auto"/>
        <w:ind w:firstLine="480" w:firstLineChars="200"/>
        <w:rPr>
          <w:bCs/>
        </w:rPr>
      </w:pPr>
      <w:r>
        <w:rPr>
          <w:rFonts w:hint="eastAsia"/>
          <w:bCs/>
        </w:rPr>
        <w:t>1、基金投资所涉及的证券、期货交易市场</w:t>
      </w:r>
      <w:r>
        <w:rPr>
          <w:bCs/>
        </w:rPr>
        <w:t>或外汇市场</w:t>
      </w:r>
      <w:r>
        <w:rPr>
          <w:rFonts w:hint="eastAsia"/>
          <w:bCs/>
        </w:rPr>
        <w:t>遇法定节假日或因其他原因暂停交易时；</w:t>
      </w:r>
    </w:p>
    <w:p w14:paraId="249B6AAE">
      <w:pPr>
        <w:spacing w:line="360" w:lineRule="auto"/>
        <w:ind w:firstLine="480" w:firstLineChars="200"/>
        <w:rPr>
          <w:bCs/>
        </w:rPr>
      </w:pPr>
      <w:r>
        <w:rPr>
          <w:rFonts w:hint="eastAsia"/>
          <w:bCs/>
        </w:rPr>
        <w:t>2、因不可抗力致使基金管理人、基金托管人无法准确评估基金资产价值或无法进行信息披露时；</w:t>
      </w:r>
    </w:p>
    <w:p w14:paraId="795852CC">
      <w:pPr>
        <w:spacing w:line="360" w:lineRule="auto"/>
        <w:ind w:firstLine="480" w:firstLineChars="200"/>
        <w:rPr>
          <w:bCs/>
        </w:rPr>
      </w:pPr>
      <w:r>
        <w:rPr>
          <w:rFonts w:hint="eastAsia"/>
          <w:bCs/>
        </w:rPr>
        <w:t>3、当特定资产占前一估值日基金资产净值50%以上的，经与基金托管人协商确认后暂停估值的；</w:t>
      </w:r>
    </w:p>
    <w:p w14:paraId="4C6D6826">
      <w:pPr>
        <w:spacing w:line="360" w:lineRule="auto"/>
        <w:ind w:firstLine="480" w:firstLineChars="200"/>
        <w:rPr>
          <w:bCs/>
        </w:rPr>
      </w:pPr>
      <w:r>
        <w:rPr>
          <w:rFonts w:hint="eastAsia"/>
          <w:bCs/>
        </w:rPr>
        <w:t>4、法律法规、基金合同或中国证监会规定的情况。</w:t>
      </w:r>
    </w:p>
    <w:bookmarkEnd w:id="155"/>
    <w:p w14:paraId="1C416661">
      <w:pPr>
        <w:spacing w:line="360" w:lineRule="auto"/>
        <w:ind w:firstLine="480" w:firstLineChars="200"/>
        <w:rPr>
          <w:bCs/>
        </w:rPr>
      </w:pPr>
      <w:r>
        <w:rPr>
          <w:rFonts w:hint="eastAsia"/>
          <w:bCs/>
        </w:rPr>
        <w:t>八</w:t>
      </w:r>
      <w:r>
        <w:rPr>
          <w:bCs/>
        </w:rPr>
        <w:t>、信息披露文件的存放与查阅</w:t>
      </w:r>
    </w:p>
    <w:p w14:paraId="14015249">
      <w:pPr>
        <w:spacing w:line="360" w:lineRule="auto"/>
        <w:ind w:firstLine="480" w:firstLineChars="20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11BE7318">
      <w:pPr>
        <w:widowControl/>
        <w:spacing w:line="240" w:lineRule="auto"/>
        <w:jc w:val="left"/>
        <w:rPr>
          <w:b/>
          <w:kern w:val="0"/>
          <w:sz w:val="30"/>
          <w:szCs w:val="20"/>
        </w:rPr>
      </w:pPr>
      <w:r>
        <w:rPr>
          <w:bCs/>
          <w:kern w:val="0"/>
          <w:sz w:val="30"/>
          <w:szCs w:val="20"/>
        </w:rPr>
        <w:br w:type="page"/>
      </w:r>
    </w:p>
    <w:p w14:paraId="52521883">
      <w:pPr>
        <w:pStyle w:val="2"/>
      </w:pPr>
      <w:bookmarkStart w:id="156" w:name="_Toc218514499"/>
      <w:r>
        <w:rPr>
          <w:rFonts w:hint="eastAsia"/>
        </w:rPr>
        <w:t>基金合同的变更、终止与基金财产的清算</w:t>
      </w:r>
      <w:bookmarkEnd w:id="156"/>
    </w:p>
    <w:p w14:paraId="32834DA8"/>
    <w:p w14:paraId="7246E75E">
      <w:pPr>
        <w:spacing w:line="360" w:lineRule="auto"/>
        <w:ind w:firstLine="480" w:firstLineChars="200"/>
        <w:rPr>
          <w:bCs/>
        </w:rPr>
      </w:pPr>
      <w:bookmarkStart w:id="157" w:name="_Toc79392639"/>
      <w:r>
        <w:rPr>
          <w:bCs/>
        </w:rPr>
        <w:t>一、基金合同的变更</w:t>
      </w:r>
      <w:bookmarkEnd w:id="157"/>
    </w:p>
    <w:p w14:paraId="2526E9FA">
      <w:pPr>
        <w:autoSpaceDE w:val="0"/>
        <w:autoSpaceDN w:val="0"/>
        <w:adjustRightInd w:val="0"/>
        <w:spacing w:line="360" w:lineRule="auto"/>
        <w:ind w:firstLine="480" w:firstLineChars="200"/>
        <w:jc w:val="left"/>
        <w:rPr>
          <w:bCs/>
        </w:rPr>
      </w:pPr>
      <w:r>
        <w:rPr>
          <w:bCs/>
        </w:rPr>
        <w:t>1、变更基金合同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0EAD3CA">
      <w:pPr>
        <w:spacing w:line="360" w:lineRule="auto"/>
        <w:ind w:firstLine="480" w:firstLineChars="200"/>
        <w:rPr>
          <w:bCs/>
        </w:rPr>
      </w:pPr>
      <w:r>
        <w:rPr>
          <w:bCs/>
        </w:rPr>
        <w:t>2、关于基金合同变更的基金份额持有人大会决议自生效后方可执行，自决议生效后两日内在规定媒介公告。</w:t>
      </w:r>
    </w:p>
    <w:p w14:paraId="2BCBE086">
      <w:pPr>
        <w:spacing w:line="360" w:lineRule="auto"/>
        <w:ind w:firstLine="480" w:firstLineChars="200"/>
        <w:rPr>
          <w:bCs/>
        </w:rPr>
      </w:pPr>
      <w:r>
        <w:rPr>
          <w:bCs/>
        </w:rPr>
        <w:t>二、基金合同的终止事由</w:t>
      </w:r>
    </w:p>
    <w:p w14:paraId="47713CFC">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5E3D7440">
      <w:pPr>
        <w:pStyle w:val="39"/>
        <w:numPr>
          <w:ilvl w:val="0"/>
          <w:numId w:val="19"/>
        </w:numPr>
        <w:spacing w:line="360" w:lineRule="auto"/>
        <w:ind w:left="0" w:firstLine="480"/>
        <w:rPr>
          <w:bCs/>
        </w:rPr>
      </w:pPr>
      <w:r>
        <w:rPr>
          <w:bCs/>
        </w:rPr>
        <w:t>基金份额持有人大会决定终止的；</w:t>
      </w:r>
    </w:p>
    <w:p w14:paraId="76A199E2">
      <w:pPr>
        <w:pStyle w:val="39"/>
        <w:numPr>
          <w:ilvl w:val="0"/>
          <w:numId w:val="19"/>
        </w:numPr>
        <w:spacing w:line="360" w:lineRule="auto"/>
        <w:ind w:left="0" w:firstLine="480"/>
        <w:rPr>
          <w:bCs/>
        </w:rPr>
      </w:pPr>
      <w:r>
        <w:rPr>
          <w:bCs/>
        </w:rPr>
        <w:t>基金管理人、基金托管人职责终止，在6个月内没有新基金管理人、新基金托管人承接的；</w:t>
      </w:r>
    </w:p>
    <w:p w14:paraId="30995CC0">
      <w:pPr>
        <w:pStyle w:val="39"/>
        <w:numPr>
          <w:ilvl w:val="0"/>
          <w:numId w:val="19"/>
        </w:numPr>
        <w:spacing w:line="360" w:lineRule="auto"/>
        <w:ind w:left="0" w:firstLine="480"/>
        <w:rPr>
          <w:bCs/>
        </w:rPr>
      </w:pPr>
      <w:r>
        <w:rPr>
          <w:bCs/>
        </w:rPr>
        <w:t>基金合同约定的其他情形；</w:t>
      </w:r>
    </w:p>
    <w:p w14:paraId="06881017">
      <w:pPr>
        <w:pStyle w:val="39"/>
        <w:numPr>
          <w:ilvl w:val="0"/>
          <w:numId w:val="19"/>
        </w:numPr>
        <w:spacing w:line="360" w:lineRule="auto"/>
        <w:ind w:left="0" w:firstLine="480"/>
        <w:rPr>
          <w:bCs/>
        </w:rPr>
      </w:pPr>
      <w:r>
        <w:rPr>
          <w:bCs/>
        </w:rPr>
        <w:t>相关法律法规和中国证监会规定的其他情况。</w:t>
      </w:r>
    </w:p>
    <w:p w14:paraId="2CDDE9C5">
      <w:pPr>
        <w:spacing w:line="360" w:lineRule="auto"/>
        <w:ind w:firstLine="480" w:firstLineChars="200"/>
        <w:rPr>
          <w:bCs/>
        </w:rPr>
      </w:pPr>
      <w:r>
        <w:rPr>
          <w:bCs/>
        </w:rPr>
        <w:t>三、基金财产的清算</w:t>
      </w:r>
    </w:p>
    <w:p w14:paraId="585DF2DF">
      <w:pPr>
        <w:spacing w:line="360" w:lineRule="auto"/>
        <w:ind w:firstLine="480" w:firstLineChars="200"/>
        <w:rPr>
          <w:bCs/>
        </w:rPr>
      </w:pPr>
      <w:r>
        <w:rPr>
          <w:bCs/>
        </w:rPr>
        <w:t>1、基金财产清算小组：自出现基金合同终止事由之日起30个工作日内成立基金财产清算小组，基金管理人或临时基金管理人组织基金财产清算小组并在中国证监会的监督下进行基金清算。</w:t>
      </w:r>
    </w:p>
    <w:p w14:paraId="2622001E">
      <w:pPr>
        <w:spacing w:line="360" w:lineRule="auto"/>
        <w:ind w:firstLine="480" w:firstLineChars="200"/>
        <w:rPr>
          <w:bCs/>
        </w:rPr>
      </w:pPr>
      <w:r>
        <w:rPr>
          <w:bCs/>
        </w:rPr>
        <w:t>2、基金财产清算小组组成：基金财产清算小组成员</w:t>
      </w:r>
      <w:r>
        <w:rPr>
          <w:rFonts w:hint="eastAsia"/>
          <w:bCs/>
        </w:rPr>
        <w:t>由</w:t>
      </w:r>
      <w:r>
        <w:rPr>
          <w:bCs/>
        </w:rPr>
        <w:t>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016B4230">
      <w:pPr>
        <w:spacing w:line="360" w:lineRule="auto"/>
        <w:ind w:firstLine="480" w:firstLineChars="200"/>
        <w:rPr>
          <w:bCs/>
        </w:rPr>
      </w:pPr>
      <w:r>
        <w:rPr>
          <w:bCs/>
        </w:rPr>
        <w:t>3、基金财产清算小组职责：基金财产清算小组负责基金财产的保管、清理、估价、变现和分配。基金财产清算小组可以依法进行必要的民事活动。</w:t>
      </w:r>
    </w:p>
    <w:p w14:paraId="0AD6E343">
      <w:pPr>
        <w:spacing w:line="360" w:lineRule="auto"/>
        <w:ind w:firstLine="480" w:firstLineChars="200"/>
        <w:rPr>
          <w:bCs/>
        </w:rPr>
      </w:pPr>
      <w:r>
        <w:rPr>
          <w:bCs/>
        </w:rPr>
        <w:t>4、基金财产清算程序：</w:t>
      </w:r>
    </w:p>
    <w:p w14:paraId="70D9412D">
      <w:pPr>
        <w:spacing w:line="360" w:lineRule="auto"/>
        <w:ind w:firstLine="480" w:firstLineChars="200"/>
        <w:rPr>
          <w:bCs/>
        </w:rPr>
      </w:pPr>
      <w:r>
        <w:rPr>
          <w:bCs/>
        </w:rPr>
        <w:t>（1）基金合同终止情形出现时，由基金财产清算小组统一接管基金</w:t>
      </w:r>
      <w:r>
        <w:rPr>
          <w:rFonts w:hint="eastAsia"/>
          <w:bCs/>
        </w:rPr>
        <w:t>财产</w:t>
      </w:r>
      <w:r>
        <w:rPr>
          <w:bCs/>
        </w:rPr>
        <w:t>；</w:t>
      </w:r>
    </w:p>
    <w:p w14:paraId="59A65DC2">
      <w:pPr>
        <w:spacing w:line="360" w:lineRule="auto"/>
        <w:ind w:firstLine="480" w:firstLineChars="200"/>
        <w:rPr>
          <w:bCs/>
        </w:rPr>
      </w:pPr>
      <w:r>
        <w:rPr>
          <w:bCs/>
        </w:rPr>
        <w:t>（2）对基金财产和债权债务进行清理和确认；</w:t>
      </w:r>
    </w:p>
    <w:p w14:paraId="5E67CE31">
      <w:pPr>
        <w:spacing w:line="360" w:lineRule="auto"/>
        <w:ind w:firstLine="480" w:firstLineChars="200"/>
        <w:rPr>
          <w:bCs/>
        </w:rPr>
      </w:pPr>
      <w:r>
        <w:rPr>
          <w:bCs/>
        </w:rPr>
        <w:t>（3）对基金财产进行估值和变现；</w:t>
      </w:r>
    </w:p>
    <w:p w14:paraId="4F5E0B29">
      <w:pPr>
        <w:spacing w:line="360" w:lineRule="auto"/>
        <w:ind w:firstLine="480" w:firstLineChars="200"/>
        <w:rPr>
          <w:bCs/>
        </w:rPr>
      </w:pPr>
      <w:r>
        <w:rPr>
          <w:bCs/>
        </w:rPr>
        <w:t>（4）制作清算报告；</w:t>
      </w:r>
    </w:p>
    <w:p w14:paraId="65DF0A2B">
      <w:pPr>
        <w:spacing w:line="360" w:lineRule="auto"/>
        <w:ind w:firstLine="480" w:firstLineChars="200"/>
        <w:rPr>
          <w:bCs/>
        </w:rPr>
      </w:pPr>
      <w:r>
        <w:rPr>
          <w:bCs/>
        </w:rPr>
        <w:t>（5）聘请会计师事务所对清算报告进行外部审计，聘请律师事务所对清算报告出具法律意见书；</w:t>
      </w:r>
    </w:p>
    <w:p w14:paraId="38961180">
      <w:pPr>
        <w:spacing w:line="360" w:lineRule="auto"/>
        <w:ind w:firstLine="480" w:firstLineChars="200"/>
        <w:rPr>
          <w:bCs/>
        </w:rPr>
      </w:pPr>
      <w:r>
        <w:rPr>
          <w:bCs/>
        </w:rPr>
        <w:t>（6）将清算报告报中国证监会备案并公告</w:t>
      </w:r>
      <w:r>
        <w:rPr>
          <w:rFonts w:hint="eastAsia"/>
          <w:bCs/>
        </w:rPr>
        <w:t>；</w:t>
      </w:r>
    </w:p>
    <w:p w14:paraId="702A3B55">
      <w:pPr>
        <w:spacing w:line="360" w:lineRule="auto"/>
        <w:ind w:firstLine="480" w:firstLineChars="200"/>
        <w:rPr>
          <w:bCs/>
        </w:rPr>
      </w:pPr>
      <w:r>
        <w:rPr>
          <w:bCs/>
        </w:rPr>
        <w:t>（7）对基金</w:t>
      </w:r>
      <w:r>
        <w:rPr>
          <w:rFonts w:hint="eastAsia"/>
          <w:bCs/>
        </w:rPr>
        <w:t>剩余</w:t>
      </w:r>
      <w:r>
        <w:rPr>
          <w:bCs/>
        </w:rPr>
        <w:t>财产进行分配</w:t>
      </w:r>
      <w:r>
        <w:rPr>
          <w:rFonts w:hint="eastAsia"/>
          <w:bCs/>
        </w:rPr>
        <w:t>。</w:t>
      </w:r>
    </w:p>
    <w:p w14:paraId="1F3311EF">
      <w:pPr>
        <w:spacing w:line="360" w:lineRule="auto"/>
        <w:ind w:firstLine="480" w:firstLineChars="200"/>
        <w:rPr>
          <w:bCs/>
        </w:rPr>
      </w:pPr>
      <w:r>
        <w:rPr>
          <w:bCs/>
        </w:rPr>
        <w:t>5、基金财产清算的期限为</w:t>
      </w:r>
      <w:r>
        <w:rPr>
          <w:rFonts w:hint="eastAsia"/>
          <w:bCs/>
        </w:rPr>
        <w:t>6</w:t>
      </w:r>
      <w:r>
        <w:rPr>
          <w:bCs/>
        </w:rPr>
        <w:t>个月，但因本基金所持证券的流动性受到限制而不能及时变现的，清算期限相应顺延。</w:t>
      </w:r>
    </w:p>
    <w:p w14:paraId="0543C097">
      <w:pPr>
        <w:spacing w:line="360" w:lineRule="auto"/>
        <w:ind w:firstLine="480" w:firstLineChars="200"/>
        <w:rPr>
          <w:bCs/>
        </w:rPr>
      </w:pPr>
      <w:r>
        <w:rPr>
          <w:bCs/>
        </w:rPr>
        <w:t>四、清算费用</w:t>
      </w:r>
    </w:p>
    <w:p w14:paraId="13400E44">
      <w:pPr>
        <w:spacing w:line="360" w:lineRule="auto"/>
        <w:ind w:firstLine="480" w:firstLineChars="200"/>
        <w:rPr>
          <w:bCs/>
        </w:rPr>
      </w:pPr>
      <w:r>
        <w:rPr>
          <w:bCs/>
        </w:rPr>
        <w:t>清算费用是指基金财产清算小组在进行基金财产清算过程中发生的所有合理费用，清算费用由基金财产清算小组优先从基金剩余财产中支付。</w:t>
      </w:r>
    </w:p>
    <w:p w14:paraId="1B6FFD07">
      <w:pPr>
        <w:spacing w:line="360" w:lineRule="auto"/>
        <w:ind w:firstLine="480" w:firstLineChars="200"/>
        <w:rPr>
          <w:bCs/>
        </w:rPr>
      </w:pPr>
      <w:r>
        <w:rPr>
          <w:bCs/>
        </w:rPr>
        <w:t>五、基金财产清算剩余资产的分配</w:t>
      </w:r>
    </w:p>
    <w:p w14:paraId="1CDD21C0">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w:t>
      </w:r>
      <w:r>
        <w:rPr>
          <w:rFonts w:hint="eastAsia"/>
          <w:bCs/>
        </w:rPr>
        <w:t>各类</w:t>
      </w:r>
      <w:r>
        <w:rPr>
          <w:bCs/>
        </w:rPr>
        <w:t>基金份额比例进行分配。</w:t>
      </w:r>
    </w:p>
    <w:p w14:paraId="3D08086D">
      <w:pPr>
        <w:spacing w:line="360" w:lineRule="auto"/>
        <w:ind w:firstLine="480" w:firstLineChars="200"/>
        <w:rPr>
          <w:bCs/>
        </w:rPr>
      </w:pPr>
      <w:r>
        <w:rPr>
          <w:bCs/>
        </w:rPr>
        <w:t>六、基金财产清算的公告</w:t>
      </w:r>
    </w:p>
    <w:p w14:paraId="783807C6">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188F3064">
      <w:pPr>
        <w:spacing w:line="360" w:lineRule="auto"/>
        <w:ind w:firstLine="480" w:firstLineChars="200"/>
        <w:rPr>
          <w:bCs/>
        </w:rPr>
      </w:pPr>
      <w:r>
        <w:rPr>
          <w:bCs/>
        </w:rPr>
        <w:t>七、基金财产清算账册及文件的保存</w:t>
      </w:r>
    </w:p>
    <w:p w14:paraId="484030BD">
      <w:pPr>
        <w:spacing w:line="360" w:lineRule="auto"/>
        <w:ind w:firstLine="480" w:firstLineChars="200"/>
      </w:pPr>
      <w:r>
        <w:rPr>
          <w:bCs/>
        </w:rPr>
        <w:t>基金财产清算账册及有关文件由基金托管人保存</w:t>
      </w:r>
      <w:r>
        <w:rPr>
          <w:rFonts w:hint="eastAsia"/>
          <w:bCs/>
        </w:rPr>
        <w:t>，保存期限不低于法律法规规定的期限。</w:t>
      </w:r>
    </w:p>
    <w:p w14:paraId="619A9647">
      <w:pPr>
        <w:widowControl/>
        <w:spacing w:line="240" w:lineRule="auto"/>
        <w:jc w:val="left"/>
        <w:rPr>
          <w:b/>
          <w:kern w:val="0"/>
          <w:sz w:val="30"/>
          <w:szCs w:val="20"/>
        </w:rPr>
      </w:pPr>
      <w:bookmarkStart w:id="158" w:name="_Toc401668951"/>
      <w:r>
        <w:rPr>
          <w:bCs/>
          <w:kern w:val="0"/>
          <w:sz w:val="30"/>
          <w:szCs w:val="20"/>
        </w:rPr>
        <w:br w:type="page"/>
      </w:r>
    </w:p>
    <w:p w14:paraId="028416E9">
      <w:pPr>
        <w:pStyle w:val="2"/>
      </w:pPr>
      <w:bookmarkStart w:id="159" w:name="_Toc218514500"/>
      <w:r>
        <w:rPr>
          <w:rFonts w:hint="eastAsia"/>
        </w:rPr>
        <w:t>违约责任</w:t>
      </w:r>
      <w:bookmarkEnd w:id="158"/>
      <w:bookmarkEnd w:id="159"/>
    </w:p>
    <w:p w14:paraId="206F9873"/>
    <w:p w14:paraId="74384945">
      <w:pPr>
        <w:spacing w:line="360" w:lineRule="auto"/>
        <w:ind w:firstLine="480" w:firstLineChars="20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2E5FD693">
      <w:pPr>
        <w:spacing w:line="360" w:lineRule="auto"/>
        <w:ind w:firstLine="480" w:firstLineChars="200"/>
        <w:rPr>
          <w:bCs/>
          <w:szCs w:val="20"/>
        </w:rPr>
      </w:pPr>
      <w:r>
        <w:rPr>
          <w:bCs/>
          <w:szCs w:val="20"/>
        </w:rPr>
        <w:t>1、不可抗力；</w:t>
      </w:r>
    </w:p>
    <w:p w14:paraId="2DB79EA5">
      <w:pPr>
        <w:spacing w:line="360" w:lineRule="auto"/>
        <w:ind w:firstLine="480" w:firstLineChars="200"/>
        <w:rPr>
          <w:bCs/>
          <w:szCs w:val="20"/>
        </w:rPr>
      </w:pPr>
      <w:r>
        <w:rPr>
          <w:bCs/>
          <w:szCs w:val="20"/>
        </w:rPr>
        <w:t>2、基金管理人和/或基金托管人按照当时有效的法律法规或中国证监会的规定作为或不作为而造成的损失等；</w:t>
      </w:r>
    </w:p>
    <w:p w14:paraId="784DE03A">
      <w:pPr>
        <w:spacing w:line="360" w:lineRule="auto"/>
        <w:ind w:firstLine="480" w:firstLineChars="200"/>
        <w:rPr>
          <w:bCs/>
          <w:szCs w:val="20"/>
        </w:rPr>
      </w:pPr>
      <w:r>
        <w:rPr>
          <w:bCs/>
          <w:szCs w:val="20"/>
        </w:rPr>
        <w:t>3、基金管理人由于按照基金合同规定的投资原则行使或不行使其投资权而造成的损失等。</w:t>
      </w:r>
    </w:p>
    <w:p w14:paraId="5EA00B6D">
      <w:pPr>
        <w:spacing w:line="360" w:lineRule="auto"/>
        <w:ind w:firstLine="480" w:firstLineChars="20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CE34644">
      <w:pPr>
        <w:spacing w:line="360" w:lineRule="auto"/>
        <w:ind w:firstLine="480" w:firstLineChars="200"/>
        <w:rPr>
          <w:bCs/>
          <w:szCs w:val="20"/>
        </w:rPr>
      </w:pPr>
      <w:r>
        <w:rPr>
          <w:bCs/>
          <w:szCs w:val="20"/>
        </w:rPr>
        <w:t>三、由于基金管理人、基金托管人不可控制的因素导致业务出现差错，基金管理人和基金托管人虽然已经采取必要、适当、合理的措施进行检查，但是未能发现错误</w:t>
      </w:r>
      <w:r>
        <w:rPr>
          <w:rFonts w:hint="eastAsia"/>
          <w:bCs/>
          <w:szCs w:val="20"/>
        </w:rPr>
        <w:t>或虽然发现但因前述原因而无法更正</w:t>
      </w:r>
      <w:r>
        <w:rPr>
          <w:bCs/>
          <w:szCs w:val="20"/>
        </w:rPr>
        <w:t>的，由此造成基金财产或投资人损失，基金管理人和基金托管人免除赔偿责任。但是基金管理人和基金托管人应积极采取必要的措施减轻或消除由此造成的影响。</w:t>
      </w:r>
    </w:p>
    <w:p w14:paraId="760B673B"/>
    <w:p w14:paraId="2E843C0B">
      <w:pPr>
        <w:widowControl/>
        <w:spacing w:line="240" w:lineRule="auto"/>
        <w:jc w:val="left"/>
        <w:rPr>
          <w:b/>
          <w:kern w:val="0"/>
          <w:sz w:val="30"/>
          <w:szCs w:val="20"/>
        </w:rPr>
      </w:pPr>
      <w:bookmarkStart w:id="160" w:name="_Toc401668952"/>
      <w:r>
        <w:rPr>
          <w:bCs/>
          <w:kern w:val="0"/>
          <w:sz w:val="30"/>
          <w:szCs w:val="20"/>
        </w:rPr>
        <w:br w:type="page"/>
      </w:r>
    </w:p>
    <w:p w14:paraId="22004458">
      <w:pPr>
        <w:pStyle w:val="2"/>
      </w:pPr>
      <w:bookmarkStart w:id="161" w:name="_Toc218514501"/>
      <w:r>
        <w:rPr>
          <w:rFonts w:hint="eastAsia"/>
        </w:rPr>
        <w:t>争议的处理</w:t>
      </w:r>
      <w:bookmarkEnd w:id="160"/>
      <w:r>
        <w:rPr>
          <w:rFonts w:hint="eastAsia"/>
        </w:rPr>
        <w:t>和适用的法律</w:t>
      </w:r>
      <w:bookmarkEnd w:id="161"/>
    </w:p>
    <w:p w14:paraId="7B009293"/>
    <w:p w14:paraId="60041174">
      <w:pPr>
        <w:spacing w:line="360" w:lineRule="auto"/>
        <w:ind w:firstLine="482" w:firstLineChars="200"/>
        <w:rPr>
          <w:b/>
          <w:bCs/>
        </w:rPr>
      </w:pPr>
      <w:r>
        <w:rPr>
          <w:rFonts w:hint="eastAsia"/>
          <w:b/>
          <w:bCs/>
        </w:rPr>
        <w:t>各方当事人同意，因基金合同而产生的或与基金合同有关的一切争议，如经友好协商未能解决的，均应提交深圳国际仲裁院，按照该院届时有效的仲裁规则进行仲裁，仲裁地点为深圳市。仲裁裁决是终局的，并对各方当事人具有约束力。除非仲裁裁决另有裁定，仲裁费用和律师费用由败诉方承担。</w:t>
      </w:r>
    </w:p>
    <w:p w14:paraId="171E7951">
      <w:pPr>
        <w:spacing w:line="360" w:lineRule="auto"/>
        <w:ind w:firstLine="482" w:firstLineChars="200"/>
        <w:rPr>
          <w:b/>
          <w:bCs/>
        </w:rPr>
      </w:pPr>
      <w:r>
        <w:rPr>
          <w:rFonts w:hint="eastAsia"/>
          <w:b/>
          <w:bCs/>
        </w:rPr>
        <w:t>争议处理期间，基金管理人和基金托管人应恪守各自的职责，继续忠实、勤勉、尽责地履行基金合同规定的义务，维护基金份额持有人的合法权益。</w:t>
      </w:r>
    </w:p>
    <w:p w14:paraId="0720DAAB">
      <w:pPr>
        <w:spacing w:line="360" w:lineRule="auto"/>
        <w:ind w:firstLine="482" w:firstLineChars="200"/>
      </w:pPr>
      <w:r>
        <w:rPr>
          <w:rFonts w:hint="eastAsia"/>
          <w:b/>
          <w:bCs/>
        </w:rPr>
        <w:t>基金合同受中国法律（为本基金合同之目的，不包括香港特别行政区、澳门特别行政区和台湾地区法律）管辖并从其解释。</w:t>
      </w:r>
    </w:p>
    <w:p w14:paraId="1271751E">
      <w:pPr>
        <w:widowControl/>
        <w:spacing w:line="240" w:lineRule="auto"/>
        <w:jc w:val="left"/>
        <w:rPr>
          <w:b/>
          <w:kern w:val="0"/>
          <w:sz w:val="30"/>
          <w:szCs w:val="20"/>
        </w:rPr>
      </w:pPr>
      <w:bookmarkStart w:id="162" w:name="_Toc401668949"/>
      <w:bookmarkStart w:id="163" w:name="_Toc277321602"/>
      <w:bookmarkStart w:id="164" w:name="_Toc68943962"/>
      <w:r>
        <w:rPr>
          <w:bCs/>
          <w:kern w:val="0"/>
          <w:sz w:val="30"/>
          <w:szCs w:val="20"/>
        </w:rPr>
        <w:br w:type="page"/>
      </w:r>
    </w:p>
    <w:p w14:paraId="25A6ACB5">
      <w:pPr>
        <w:pStyle w:val="2"/>
      </w:pPr>
      <w:bookmarkStart w:id="165" w:name="_Toc218514502"/>
      <w:r>
        <w:rPr>
          <w:rFonts w:hint="eastAsia"/>
        </w:rPr>
        <w:t>基金合同的</w:t>
      </w:r>
      <w:bookmarkEnd w:id="162"/>
      <w:bookmarkEnd w:id="163"/>
      <w:r>
        <w:rPr>
          <w:rFonts w:hint="eastAsia"/>
        </w:rPr>
        <w:t>效力</w:t>
      </w:r>
      <w:bookmarkEnd w:id="164"/>
      <w:bookmarkEnd w:id="165"/>
    </w:p>
    <w:p w14:paraId="063C6710"/>
    <w:p w14:paraId="564A72FB">
      <w:pPr>
        <w:spacing w:line="360" w:lineRule="auto"/>
        <w:ind w:firstLine="480" w:firstLineChars="200"/>
        <w:rPr>
          <w:bCs/>
          <w:szCs w:val="20"/>
        </w:rPr>
      </w:pPr>
      <w:r>
        <w:rPr>
          <w:bCs/>
          <w:szCs w:val="20"/>
        </w:rPr>
        <w:t>基金合同是约定</w:t>
      </w:r>
      <w:r>
        <w:rPr>
          <w:rFonts w:hint="eastAsia"/>
          <w:bCs/>
          <w:szCs w:val="20"/>
        </w:rPr>
        <w:t>基金合同当事人</w:t>
      </w:r>
      <w:r>
        <w:rPr>
          <w:bCs/>
          <w:szCs w:val="20"/>
        </w:rPr>
        <w:t>之间权利义务关系的法律文件。</w:t>
      </w:r>
    </w:p>
    <w:p w14:paraId="0129DA6F">
      <w:pPr>
        <w:spacing w:line="360" w:lineRule="auto"/>
        <w:ind w:firstLine="480" w:firstLineChars="200"/>
        <w:rPr>
          <w:bCs/>
          <w:szCs w:val="20"/>
        </w:rPr>
      </w:pPr>
      <w:r>
        <w:rPr>
          <w:bCs/>
          <w:szCs w:val="20"/>
        </w:rPr>
        <w:t>1、基金合同经基金管理人、基金托管人双方盖章以及双方法定代表人或授权代表签字或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3DAD803C">
      <w:pPr>
        <w:spacing w:line="360" w:lineRule="auto"/>
        <w:ind w:firstLine="480" w:firstLineChars="200"/>
        <w:rPr>
          <w:bCs/>
          <w:szCs w:val="20"/>
        </w:rPr>
      </w:pPr>
      <w:r>
        <w:rPr>
          <w:bCs/>
          <w:szCs w:val="20"/>
        </w:rPr>
        <w:t>2、基金合同的有效期自其生效之日起至基金财产清算结果报中国证监会</w:t>
      </w:r>
      <w:r>
        <w:rPr>
          <w:rFonts w:hint="eastAsia"/>
          <w:bCs/>
          <w:szCs w:val="20"/>
        </w:rPr>
        <w:t>备案</w:t>
      </w:r>
      <w:r>
        <w:rPr>
          <w:bCs/>
          <w:szCs w:val="20"/>
        </w:rPr>
        <w:t>并公告之日止。</w:t>
      </w:r>
    </w:p>
    <w:p w14:paraId="441D4235">
      <w:pPr>
        <w:spacing w:line="360" w:lineRule="auto"/>
        <w:ind w:firstLine="480" w:firstLineChars="200"/>
        <w:rPr>
          <w:bCs/>
          <w:szCs w:val="20"/>
        </w:rPr>
      </w:pPr>
      <w:r>
        <w:rPr>
          <w:bCs/>
          <w:szCs w:val="20"/>
        </w:rPr>
        <w:t>3、基金合同自生效之日起对包括基金管理人、基金托管人和基金份额持有人在内的基金合同各方当事人具有同等的法律约束力。</w:t>
      </w:r>
    </w:p>
    <w:p w14:paraId="3181CA57">
      <w:pPr>
        <w:spacing w:line="360" w:lineRule="auto"/>
        <w:ind w:firstLine="480" w:firstLineChars="200"/>
        <w:rPr>
          <w:bCs/>
          <w:szCs w:val="20"/>
        </w:rPr>
      </w:pPr>
      <w:r>
        <w:rPr>
          <w:bCs/>
          <w:szCs w:val="20"/>
        </w:rPr>
        <w:t>4、基金合同正本一式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5B3C3256">
      <w:pPr>
        <w:spacing w:line="360" w:lineRule="auto"/>
        <w:ind w:firstLine="480" w:firstLineChars="200"/>
        <w:rPr>
          <w:bCs/>
          <w:szCs w:val="20"/>
        </w:rPr>
      </w:pPr>
      <w:r>
        <w:rPr>
          <w:bCs/>
          <w:szCs w:val="20"/>
        </w:rPr>
        <w:t>5、基金合同可印制成册，供投资者在基金管理人、基金托管人、销售机构的办公场所和营业场所查阅。</w:t>
      </w:r>
    </w:p>
    <w:p w14:paraId="2F63F911">
      <w:pPr>
        <w:adjustRightInd w:val="0"/>
        <w:snapToGrid w:val="0"/>
        <w:ind w:firstLine="480"/>
        <w:rPr>
          <w:rFonts w:hint="eastAsia" w:ascii="宋体" w:hAnsi="宋体"/>
          <w:szCs w:val="21"/>
        </w:rPr>
      </w:pPr>
    </w:p>
    <w:p w14:paraId="2956C344">
      <w:pPr>
        <w:widowControl/>
        <w:spacing w:line="240" w:lineRule="auto"/>
        <w:jc w:val="left"/>
        <w:rPr>
          <w:b/>
          <w:kern w:val="0"/>
          <w:sz w:val="30"/>
          <w:szCs w:val="20"/>
        </w:rPr>
      </w:pPr>
      <w:r>
        <w:rPr>
          <w:bCs/>
          <w:kern w:val="0"/>
          <w:sz w:val="30"/>
          <w:szCs w:val="20"/>
        </w:rPr>
        <w:br w:type="page"/>
      </w:r>
    </w:p>
    <w:p w14:paraId="008DC320">
      <w:pPr>
        <w:pStyle w:val="2"/>
      </w:pPr>
      <w:bookmarkStart w:id="166" w:name="_Toc218514503"/>
      <w:r>
        <w:rPr>
          <w:rFonts w:hint="eastAsia"/>
        </w:rPr>
        <w:t>其他事项</w:t>
      </w:r>
      <w:bookmarkEnd w:id="166"/>
    </w:p>
    <w:p w14:paraId="598357AC"/>
    <w:p w14:paraId="1EC75268">
      <w:pPr>
        <w:spacing w:line="360" w:lineRule="auto"/>
        <w:ind w:firstLine="480" w:firstLineChars="200"/>
        <w:rPr>
          <w:rFonts w:hint="eastAsia" w:ascii="宋体" w:hAnsi="宋体"/>
          <w:szCs w:val="20"/>
        </w:rPr>
      </w:pPr>
      <w:r>
        <w:rPr>
          <w:rFonts w:hint="eastAsia" w:ascii="宋体" w:hAnsi="宋体"/>
          <w:szCs w:val="20"/>
        </w:rPr>
        <w:t>基金合同如有未尽事宜，由基金合同当事人各方按有关法律法规协商解决。</w:t>
      </w:r>
    </w:p>
    <w:bookmarkEnd w:id="0"/>
    <w:bookmarkEnd w:id="109"/>
    <w:p w14:paraId="5FB11474">
      <w:pPr>
        <w:widowControl/>
        <w:spacing w:line="360" w:lineRule="auto"/>
        <w:jc w:val="left"/>
        <w:rPr>
          <w:rFonts w:hint="eastAsia" w:ascii="宋体" w:hAnsi="宋体"/>
          <w:b/>
          <w:szCs w:val="21"/>
        </w:rPr>
      </w:pPr>
    </w:p>
    <w:p w14:paraId="0B5CFDB4">
      <w:pPr>
        <w:widowControl/>
        <w:spacing w:line="240" w:lineRule="auto"/>
        <w:jc w:val="left"/>
        <w:rPr>
          <w:rFonts w:hint="eastAsia" w:ascii="宋体" w:hAnsi="宋体"/>
          <w:b/>
          <w:szCs w:val="21"/>
        </w:rPr>
      </w:pPr>
      <w:r>
        <w:rPr>
          <w:rFonts w:ascii="宋体" w:hAnsi="宋体"/>
          <w:b/>
          <w:szCs w:val="21"/>
        </w:rPr>
        <w:br w:type="page"/>
      </w:r>
    </w:p>
    <w:p w14:paraId="097D8B15">
      <w:pPr>
        <w:spacing w:line="360" w:lineRule="auto"/>
        <w:rPr>
          <w:rFonts w:hint="eastAsia" w:ascii="宋体" w:hAnsi="宋体"/>
          <w:bCs/>
          <w:szCs w:val="20"/>
        </w:rPr>
      </w:pPr>
      <w:r>
        <w:rPr>
          <w:rFonts w:hint="eastAsia" w:ascii="宋体" w:hAnsi="宋体"/>
          <w:bCs/>
          <w:szCs w:val="20"/>
        </w:rPr>
        <w:t>本页无正文，为《富国裕丰回报混合型证券投资基金基金合同》的签字盖章页。</w:t>
      </w:r>
    </w:p>
    <w:p w14:paraId="304D49F2">
      <w:pPr>
        <w:spacing w:line="360" w:lineRule="auto"/>
        <w:ind w:firstLine="480" w:firstLineChars="200"/>
        <w:rPr>
          <w:rFonts w:hint="eastAsia" w:ascii="宋体" w:hAnsi="宋体"/>
          <w:bCs/>
          <w:szCs w:val="20"/>
        </w:rPr>
      </w:pPr>
    </w:p>
    <w:p w14:paraId="201A8DED">
      <w:pPr>
        <w:spacing w:line="360" w:lineRule="auto"/>
        <w:ind w:firstLine="480" w:firstLineChars="200"/>
        <w:rPr>
          <w:rFonts w:hint="eastAsia" w:ascii="宋体" w:hAnsi="宋体"/>
          <w:bCs/>
          <w:szCs w:val="20"/>
        </w:rPr>
      </w:pPr>
    </w:p>
    <w:p w14:paraId="35C37BBD">
      <w:pPr>
        <w:spacing w:line="360" w:lineRule="auto"/>
        <w:ind w:firstLine="480" w:firstLineChars="200"/>
        <w:rPr>
          <w:rFonts w:hint="eastAsia" w:ascii="宋体" w:hAnsi="宋体"/>
          <w:bCs/>
          <w:szCs w:val="20"/>
        </w:rPr>
      </w:pPr>
    </w:p>
    <w:p w14:paraId="276ED5CE">
      <w:pPr>
        <w:spacing w:line="360" w:lineRule="auto"/>
        <w:ind w:firstLine="480" w:firstLineChars="200"/>
        <w:rPr>
          <w:rFonts w:hint="eastAsia" w:ascii="宋体" w:hAnsi="宋体"/>
          <w:bCs/>
          <w:szCs w:val="20"/>
        </w:rPr>
      </w:pPr>
      <w:r>
        <w:rPr>
          <w:rFonts w:hint="eastAsia" w:ascii="宋体" w:hAnsi="宋体"/>
          <w:bCs/>
          <w:szCs w:val="20"/>
        </w:rPr>
        <w:t>基金管理人：富国基金管理有限公司（章）</w:t>
      </w:r>
    </w:p>
    <w:p w14:paraId="620D1900">
      <w:pPr>
        <w:spacing w:line="360" w:lineRule="auto"/>
        <w:ind w:firstLine="480" w:firstLineChars="200"/>
        <w:rPr>
          <w:rFonts w:hint="eastAsia" w:ascii="宋体" w:hAnsi="宋体"/>
          <w:bCs/>
          <w:szCs w:val="20"/>
        </w:rPr>
      </w:pPr>
    </w:p>
    <w:p w14:paraId="2B84F4AF">
      <w:pPr>
        <w:spacing w:line="360" w:lineRule="auto"/>
        <w:ind w:firstLine="480" w:firstLineChars="200"/>
        <w:rPr>
          <w:rFonts w:hint="eastAsia" w:ascii="宋体" w:hAnsi="宋体"/>
          <w:bCs/>
          <w:szCs w:val="20"/>
        </w:rPr>
      </w:pPr>
    </w:p>
    <w:p w14:paraId="26ABB5B1">
      <w:pPr>
        <w:spacing w:line="360" w:lineRule="auto"/>
        <w:ind w:firstLine="480" w:firstLineChars="200"/>
        <w:rPr>
          <w:rFonts w:hint="eastAsia" w:ascii="宋体" w:hAnsi="宋体"/>
          <w:bCs/>
          <w:szCs w:val="20"/>
        </w:rPr>
      </w:pPr>
      <w:r>
        <w:rPr>
          <w:rFonts w:hint="eastAsia" w:ascii="宋体" w:hAnsi="宋体"/>
          <w:bCs/>
          <w:szCs w:val="20"/>
        </w:rPr>
        <w:t>法定代表人或授权代表：（签字或签章）</w:t>
      </w:r>
    </w:p>
    <w:p w14:paraId="24661228">
      <w:pPr>
        <w:spacing w:line="360" w:lineRule="auto"/>
        <w:ind w:firstLine="480" w:firstLineChars="200"/>
        <w:rPr>
          <w:rFonts w:hint="eastAsia" w:ascii="宋体" w:hAnsi="宋体"/>
          <w:bCs/>
          <w:szCs w:val="20"/>
        </w:rPr>
      </w:pPr>
    </w:p>
    <w:p w14:paraId="7AD34D9D">
      <w:pPr>
        <w:spacing w:line="360" w:lineRule="auto"/>
        <w:ind w:firstLine="480" w:firstLineChars="200"/>
        <w:rPr>
          <w:rFonts w:hint="eastAsia" w:ascii="宋体" w:hAnsi="宋体"/>
          <w:bCs/>
          <w:szCs w:val="20"/>
        </w:rPr>
      </w:pPr>
    </w:p>
    <w:p w14:paraId="17556C02">
      <w:pPr>
        <w:spacing w:line="360" w:lineRule="auto"/>
        <w:ind w:firstLine="480" w:firstLineChars="200"/>
        <w:rPr>
          <w:rFonts w:hint="eastAsia" w:ascii="宋体" w:hAnsi="宋体"/>
          <w:bCs/>
          <w:szCs w:val="20"/>
        </w:rPr>
      </w:pPr>
    </w:p>
    <w:p w14:paraId="431D58D3">
      <w:pPr>
        <w:spacing w:line="360" w:lineRule="auto"/>
        <w:ind w:firstLine="480" w:firstLineChars="200"/>
        <w:rPr>
          <w:rFonts w:hint="eastAsia" w:ascii="宋体" w:hAnsi="宋体"/>
          <w:bCs/>
          <w:szCs w:val="20"/>
        </w:rPr>
      </w:pPr>
    </w:p>
    <w:p w14:paraId="57E57729">
      <w:pPr>
        <w:spacing w:line="360" w:lineRule="auto"/>
        <w:ind w:firstLine="480" w:firstLineChars="200"/>
        <w:rPr>
          <w:rFonts w:hint="eastAsia" w:ascii="宋体" w:hAnsi="宋体"/>
          <w:bCs/>
          <w:szCs w:val="20"/>
        </w:rPr>
      </w:pPr>
    </w:p>
    <w:p w14:paraId="191937F0">
      <w:pPr>
        <w:spacing w:line="360" w:lineRule="auto"/>
        <w:ind w:firstLine="480" w:firstLineChars="200"/>
        <w:rPr>
          <w:rFonts w:hint="eastAsia" w:ascii="宋体" w:hAnsi="宋体"/>
          <w:bCs/>
          <w:szCs w:val="20"/>
        </w:rPr>
      </w:pPr>
      <w:r>
        <w:rPr>
          <w:rFonts w:hint="eastAsia" w:ascii="宋体" w:hAnsi="宋体"/>
          <w:bCs/>
          <w:szCs w:val="20"/>
        </w:rPr>
        <w:t>基金托管人：招商银行股份有限公司（章）</w:t>
      </w:r>
    </w:p>
    <w:p w14:paraId="7783B612">
      <w:pPr>
        <w:spacing w:line="360" w:lineRule="auto"/>
        <w:ind w:firstLine="480" w:firstLineChars="200"/>
        <w:rPr>
          <w:rFonts w:hint="eastAsia" w:ascii="宋体" w:hAnsi="宋体"/>
          <w:bCs/>
          <w:szCs w:val="20"/>
        </w:rPr>
      </w:pPr>
    </w:p>
    <w:p w14:paraId="12ECC01C">
      <w:pPr>
        <w:spacing w:line="360" w:lineRule="auto"/>
        <w:ind w:firstLine="480" w:firstLineChars="200"/>
        <w:rPr>
          <w:rFonts w:hint="eastAsia" w:ascii="宋体" w:hAnsi="宋体"/>
          <w:bCs/>
          <w:szCs w:val="20"/>
        </w:rPr>
      </w:pPr>
    </w:p>
    <w:p w14:paraId="1F92B77C">
      <w:pPr>
        <w:spacing w:line="360" w:lineRule="auto"/>
        <w:ind w:firstLine="480" w:firstLineChars="200"/>
        <w:rPr>
          <w:rFonts w:hint="eastAsia" w:ascii="宋体" w:hAnsi="宋体"/>
          <w:bCs/>
          <w:szCs w:val="20"/>
        </w:rPr>
      </w:pPr>
      <w:r>
        <w:rPr>
          <w:rFonts w:hint="eastAsia" w:ascii="宋体" w:hAnsi="宋体"/>
          <w:bCs/>
          <w:szCs w:val="20"/>
        </w:rPr>
        <w:t>法定代表人或授权代表：（签字或签章）</w:t>
      </w:r>
    </w:p>
    <w:p w14:paraId="5A95C432">
      <w:pPr>
        <w:spacing w:line="360" w:lineRule="auto"/>
        <w:ind w:firstLine="480" w:firstLineChars="200"/>
        <w:rPr>
          <w:rFonts w:hint="eastAsia" w:ascii="宋体" w:hAnsi="宋体"/>
          <w:bCs/>
          <w:szCs w:val="20"/>
        </w:rPr>
      </w:pPr>
    </w:p>
    <w:p w14:paraId="3E949C30">
      <w:pPr>
        <w:spacing w:line="360" w:lineRule="auto"/>
        <w:ind w:firstLine="480" w:firstLineChars="200"/>
        <w:rPr>
          <w:rFonts w:hint="eastAsia" w:ascii="宋体" w:hAnsi="宋体"/>
          <w:bCs/>
          <w:szCs w:val="20"/>
        </w:rPr>
      </w:pPr>
    </w:p>
    <w:p w14:paraId="6638B819">
      <w:pPr>
        <w:spacing w:line="360" w:lineRule="auto"/>
        <w:ind w:firstLine="480" w:firstLineChars="200"/>
        <w:rPr>
          <w:rFonts w:hint="eastAsia" w:ascii="宋体" w:hAnsi="宋体"/>
          <w:bCs/>
          <w:szCs w:val="20"/>
        </w:rPr>
      </w:pPr>
    </w:p>
    <w:p w14:paraId="28FB8F0B">
      <w:pPr>
        <w:spacing w:line="360" w:lineRule="auto"/>
        <w:ind w:firstLine="480" w:firstLineChars="200"/>
        <w:rPr>
          <w:rFonts w:hint="eastAsia" w:ascii="宋体" w:hAnsi="宋体"/>
          <w:bCs/>
          <w:szCs w:val="20"/>
        </w:rPr>
      </w:pPr>
    </w:p>
    <w:p w14:paraId="55AB6B6B">
      <w:pPr>
        <w:spacing w:line="360" w:lineRule="auto"/>
        <w:ind w:firstLine="480" w:firstLineChars="200"/>
        <w:rPr>
          <w:rFonts w:hint="eastAsia" w:ascii="宋体" w:hAnsi="宋体"/>
          <w:bCs/>
          <w:szCs w:val="20"/>
        </w:rPr>
      </w:pPr>
    </w:p>
    <w:p w14:paraId="2C44BA38">
      <w:pPr>
        <w:spacing w:line="360" w:lineRule="auto"/>
        <w:ind w:firstLine="480" w:firstLineChars="200"/>
        <w:rPr>
          <w:rFonts w:hint="eastAsia" w:ascii="宋体" w:hAnsi="宋体"/>
          <w:bCs/>
          <w:szCs w:val="20"/>
        </w:rPr>
      </w:pPr>
    </w:p>
    <w:p w14:paraId="63A8C1B8">
      <w:pPr>
        <w:spacing w:line="360" w:lineRule="auto"/>
        <w:ind w:firstLine="480" w:firstLineChars="200"/>
        <w:rPr>
          <w:rFonts w:hint="eastAsia" w:ascii="宋体" w:hAnsi="宋体"/>
          <w:bCs/>
          <w:szCs w:val="20"/>
        </w:rPr>
      </w:pPr>
    </w:p>
    <w:p w14:paraId="5C1CA5B4">
      <w:pPr>
        <w:spacing w:line="360" w:lineRule="auto"/>
        <w:ind w:firstLine="480" w:firstLineChars="200"/>
        <w:rPr>
          <w:rFonts w:hint="eastAsia" w:ascii="宋体" w:hAnsi="宋体"/>
          <w:bCs/>
          <w:szCs w:val="20"/>
        </w:rPr>
      </w:pPr>
      <w:r>
        <w:rPr>
          <w:rFonts w:hint="eastAsia" w:ascii="宋体" w:hAnsi="宋体"/>
          <w:bCs/>
          <w:szCs w:val="20"/>
        </w:rPr>
        <w:t>签订地点：</w:t>
      </w:r>
    </w:p>
    <w:p w14:paraId="520DDFE1">
      <w:pPr>
        <w:spacing w:line="360" w:lineRule="auto"/>
        <w:ind w:firstLine="480" w:firstLineChars="200"/>
        <w:rPr>
          <w:rFonts w:hint="eastAsia" w:ascii="宋体" w:hAnsi="宋体"/>
          <w:b/>
          <w:szCs w:val="21"/>
        </w:rPr>
      </w:pPr>
      <w:r>
        <w:rPr>
          <w:rFonts w:hint="eastAsia" w:ascii="宋体" w:hAnsi="宋体"/>
          <w:bCs/>
          <w:szCs w:val="20"/>
        </w:rPr>
        <w:t>签订日：    年  月  日</w:t>
      </w:r>
    </w:p>
    <w:bookmarkEnd w:id="1"/>
    <w:p w14:paraId="1C34EBD0">
      <w:pPr>
        <w:widowControl/>
        <w:spacing w:line="360" w:lineRule="auto"/>
        <w:jc w:val="left"/>
        <w:rPr>
          <w:rFonts w:hint="eastAsia" w:ascii="宋体" w:hAnsi="宋体"/>
          <w:b/>
          <w:szCs w:val="21"/>
        </w:rPr>
      </w:pPr>
    </w:p>
    <w:sectPr>
      <w:footerReference r:id="rId7" w:type="default"/>
      <w:pgSz w:w="11906" w:h="16838"/>
      <w:pgMar w:top="1440" w:right="1797" w:bottom="1440" w:left="1797"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423222"/>
    </w:sdtPr>
    <w:sdtContent>
      <w:p w14:paraId="1F35E29D">
        <w:pPr>
          <w:pStyle w:val="19"/>
          <w:jc w:val="center"/>
        </w:pPr>
        <w:r>
          <w:fldChar w:fldCharType="begin"/>
        </w:r>
        <w:r>
          <w:instrText xml:space="preserve">PAGE   \* MERGEFORMAT</w:instrText>
        </w:r>
        <w:r>
          <w:fldChar w:fldCharType="separate"/>
        </w:r>
        <w:r>
          <w:rPr>
            <w:lang w:val="zh-CN"/>
          </w:rPr>
          <w:t>4</w:t>
        </w:r>
        <w:r>
          <w:fldChar w:fldCharType="end"/>
        </w:r>
      </w:p>
    </w:sdtContent>
  </w:sdt>
  <w:p w14:paraId="71436E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8681510"/>
    </w:sdtPr>
    <w:sdtContent>
      <w:p w14:paraId="0A586DD1">
        <w:pPr>
          <w:pStyle w:val="19"/>
          <w:jc w:val="center"/>
        </w:pPr>
        <w:r>
          <w:fldChar w:fldCharType="begin"/>
        </w:r>
        <w:r>
          <w:instrText xml:space="preserve">PAGE   \* MERGEFORMAT</w:instrText>
        </w:r>
        <w:r>
          <w:fldChar w:fldCharType="separate"/>
        </w:r>
        <w:r>
          <w:rPr>
            <w:lang w:val="zh-CN"/>
          </w:rPr>
          <w:t>101</w:t>
        </w:r>
        <w:r>
          <w:fldChar w:fldCharType="end"/>
        </w:r>
      </w:p>
    </w:sdtContent>
  </w:sdt>
  <w:p w14:paraId="37D92F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4AC7">
    <w:pPr>
      <w:pStyle w:val="20"/>
      <w:rPr>
        <w:rFonts w:hint="eastAsia" w:ascii="宋体" w:hAnsi="宋体"/>
      </w:rPr>
    </w:pPr>
    <w:sdt>
      <w:sdtPr>
        <w:rPr>
          <w:rFonts w:hint="eastAsia" w:ascii="宋体" w:hAnsi="宋体"/>
        </w:rPr>
        <w:alias w:val="产品全称"/>
        <w:tag w:val="~XBF08600"/>
        <w:id w:val="890229190"/>
        <w:placeholder>
          <w:docPart w:val="F2638E321964429D93DE928A77594DBA"/>
        </w:placeholder>
        <w:text/>
      </w:sdtPr>
      <w:sdtEndPr>
        <w:rPr>
          <w:rFonts w:hint="eastAsia" w:ascii="宋体" w:hAnsi="宋体"/>
        </w:rPr>
      </w:sdtEndPr>
      <w:sdtContent>
        <w:r>
          <w:rPr>
            <w:rFonts w:hint="eastAsia" w:ascii="宋体" w:hAnsi="宋体"/>
          </w:rPr>
          <w:t>富国裕丰回报混合型证券投资基金</w:t>
        </w:r>
      </w:sdtContent>
    </w:sdt>
    <w:r>
      <w:rPr>
        <w:rFonts w:hint="eastAsia" w:ascii="宋体" w:hAnsi="宋体"/>
      </w:rPr>
      <w:t xml:space="preserve"> </w:t>
    </w:r>
    <w:r>
      <w:rPr>
        <w:rFonts w:ascii="宋体" w:hAnsi="宋体"/>
      </w:rPr>
      <w:t xml:space="preserve">                                            </w:t>
    </w:r>
    <w:r>
      <w:rPr>
        <w:rFonts w:hint="eastAsia" w:ascii="宋体" w:hAnsi="宋体"/>
      </w:rPr>
      <w:t xml:space="preserve">        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905EA"/>
    <w:multiLevelType w:val="multilevel"/>
    <w:tmpl w:val="02C905EA"/>
    <w:lvl w:ilvl="0" w:tentative="0">
      <w:start w:val="1"/>
      <w:numFmt w:val="decimal"/>
      <w:suff w:val="nothing"/>
      <w:lvlText w:val="%1、"/>
      <w:lvlJc w:val="left"/>
      <w:pPr>
        <w:ind w:left="6432" w:hanging="420"/>
      </w:pPr>
      <w:rPr>
        <w:rFonts w:hint="eastAsia"/>
      </w:rPr>
    </w:lvl>
    <w:lvl w:ilvl="1" w:tentative="0">
      <w:start w:val="1"/>
      <w:numFmt w:val="lowerLetter"/>
      <w:lvlText w:val="%2)"/>
      <w:lvlJc w:val="left"/>
      <w:pPr>
        <w:ind w:left="6538" w:hanging="420"/>
      </w:pPr>
    </w:lvl>
    <w:lvl w:ilvl="2" w:tentative="0">
      <w:start w:val="1"/>
      <w:numFmt w:val="lowerRoman"/>
      <w:lvlText w:val="%3."/>
      <w:lvlJc w:val="right"/>
      <w:pPr>
        <w:ind w:left="6958" w:hanging="420"/>
      </w:pPr>
    </w:lvl>
    <w:lvl w:ilvl="3" w:tentative="0">
      <w:start w:val="1"/>
      <w:numFmt w:val="decimal"/>
      <w:lvlText w:val="%4."/>
      <w:lvlJc w:val="left"/>
      <w:pPr>
        <w:ind w:left="7378" w:hanging="420"/>
      </w:pPr>
    </w:lvl>
    <w:lvl w:ilvl="4" w:tentative="0">
      <w:start w:val="1"/>
      <w:numFmt w:val="lowerLetter"/>
      <w:lvlText w:val="%5)"/>
      <w:lvlJc w:val="left"/>
      <w:pPr>
        <w:ind w:left="7798" w:hanging="420"/>
      </w:pPr>
    </w:lvl>
    <w:lvl w:ilvl="5" w:tentative="0">
      <w:start w:val="1"/>
      <w:numFmt w:val="lowerRoman"/>
      <w:lvlText w:val="%6."/>
      <w:lvlJc w:val="right"/>
      <w:pPr>
        <w:ind w:left="8218" w:hanging="420"/>
      </w:pPr>
    </w:lvl>
    <w:lvl w:ilvl="6" w:tentative="0">
      <w:start w:val="1"/>
      <w:numFmt w:val="decimal"/>
      <w:lvlText w:val="%7."/>
      <w:lvlJc w:val="left"/>
      <w:pPr>
        <w:ind w:left="8638" w:hanging="420"/>
      </w:pPr>
    </w:lvl>
    <w:lvl w:ilvl="7" w:tentative="0">
      <w:start w:val="1"/>
      <w:numFmt w:val="lowerLetter"/>
      <w:lvlText w:val="%8)"/>
      <w:lvlJc w:val="left"/>
      <w:pPr>
        <w:ind w:left="9058" w:hanging="420"/>
      </w:pPr>
    </w:lvl>
    <w:lvl w:ilvl="8" w:tentative="0">
      <w:start w:val="1"/>
      <w:numFmt w:val="lowerRoman"/>
      <w:lvlText w:val="%9."/>
      <w:lvlJc w:val="right"/>
      <w:pPr>
        <w:ind w:left="9478" w:hanging="420"/>
      </w:pPr>
    </w:lvl>
  </w:abstractNum>
  <w:abstractNum w:abstractNumId="1">
    <w:nsid w:val="09E717DB"/>
    <w:multiLevelType w:val="multilevel"/>
    <w:tmpl w:val="09E717DB"/>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85E0A9B"/>
    <w:multiLevelType w:val="multilevel"/>
    <w:tmpl w:val="185E0A9B"/>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pStyle w:val="4"/>
      <w:suff w:val="space"/>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BEA2469"/>
    <w:multiLevelType w:val="multilevel"/>
    <w:tmpl w:val="1BEA2469"/>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697"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24368CA"/>
    <w:multiLevelType w:val="multilevel"/>
    <w:tmpl w:val="324368C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5">
    <w:nsid w:val="39D67778"/>
    <w:multiLevelType w:val="multilevel"/>
    <w:tmpl w:val="39D67778"/>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6">
    <w:nsid w:val="3C5E24DD"/>
    <w:multiLevelType w:val="multilevel"/>
    <w:tmpl w:val="3C5E24DD"/>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7">
    <w:nsid w:val="3F47422C"/>
    <w:multiLevelType w:val="multilevel"/>
    <w:tmpl w:val="3F47422C"/>
    <w:lvl w:ilvl="0" w:tentative="0">
      <w:start w:val="1"/>
      <w:numFmt w:val="decimal"/>
      <w:suff w:val="nothing"/>
      <w:lvlText w:val="%1、"/>
      <w:lvlJc w:val="left"/>
      <w:pPr>
        <w:ind w:left="1214" w:hanging="420"/>
      </w:pPr>
      <w:rPr>
        <w:rFonts w:hint="eastAsia"/>
      </w:rPr>
    </w:lvl>
    <w:lvl w:ilvl="1" w:tentative="0">
      <w:start w:val="1"/>
      <w:numFmt w:val="decimal"/>
      <w:lvlText w:val="（%2）"/>
      <w:lvlJc w:val="left"/>
      <w:pPr>
        <w:ind w:left="1620" w:hanging="720"/>
      </w:pPr>
      <w:rPr>
        <w:rFonts w:hint="default"/>
      </w:rPr>
    </w:lvl>
    <w:lvl w:ilvl="2" w:tentative="0">
      <w:start w:val="1"/>
      <w:numFmt w:val="japaneseCounting"/>
      <w:lvlText w:val="（%3）"/>
      <w:lvlJc w:val="left"/>
      <w:pPr>
        <w:ind w:left="2040" w:hanging="7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1BF7685"/>
    <w:multiLevelType w:val="multilevel"/>
    <w:tmpl w:val="41BF7685"/>
    <w:lvl w:ilvl="0" w:tentative="0">
      <w:start w:val="1"/>
      <w:numFmt w:val="decimal"/>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9">
    <w:nsid w:val="445A7E3F"/>
    <w:multiLevelType w:val="multilevel"/>
    <w:tmpl w:val="445A7E3F"/>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0F92EE6"/>
    <w:multiLevelType w:val="multilevel"/>
    <w:tmpl w:val="50F92EE6"/>
    <w:lvl w:ilvl="0" w:tentative="0">
      <w:start w:val="1"/>
      <w:numFmt w:val="chineseCountingThousand"/>
      <w:lvlText w:val="%1、"/>
      <w:lvlJc w:val="left"/>
      <w:pPr>
        <w:ind w:left="425" w:hanging="425"/>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chineseCountingThousand"/>
      <w:pStyle w:val="3"/>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5125E01"/>
    <w:multiLevelType w:val="multilevel"/>
    <w:tmpl w:val="55125E01"/>
    <w:lvl w:ilvl="0" w:tentative="0">
      <w:start w:val="1"/>
      <w:numFmt w:val="chineseCountingThousand"/>
      <w:pStyle w:val="2"/>
      <w:suff w:val="space"/>
      <w:lvlText w:val="第%1部分"/>
      <w:lvlJc w:val="left"/>
      <w:pPr>
        <w:ind w:left="6380"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6F00762"/>
    <w:multiLevelType w:val="multilevel"/>
    <w:tmpl w:val="56F00762"/>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214"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A5E0E75"/>
    <w:multiLevelType w:val="multilevel"/>
    <w:tmpl w:val="5A5E0E75"/>
    <w:lvl w:ilvl="0" w:tentative="0">
      <w:start w:val="1"/>
      <w:numFmt w:val="decimal"/>
      <w:lvlText w:val="（%1）"/>
      <w:lvlJc w:val="left"/>
      <w:pPr>
        <w:ind w:left="900" w:hanging="420"/>
      </w:pPr>
      <w:rPr>
        <w:rFonts w:hint="eastAsia"/>
      </w:rPr>
    </w:lvl>
    <w:lvl w:ilvl="1" w:tentative="0">
      <w:start w:val="1"/>
      <w:numFmt w:val="decimal"/>
      <w:lvlText w:val="（%2）"/>
      <w:lvlJc w:val="left"/>
      <w:pPr>
        <w:ind w:left="354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C0430F9"/>
    <w:multiLevelType w:val="multilevel"/>
    <w:tmpl w:val="6C0430F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627788F"/>
    <w:multiLevelType w:val="multilevel"/>
    <w:tmpl w:val="7627788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6">
    <w:nsid w:val="7688135F"/>
    <w:multiLevelType w:val="multilevel"/>
    <w:tmpl w:val="7688135F"/>
    <w:lvl w:ilvl="0" w:tentative="0">
      <w:start w:val="1"/>
      <w:numFmt w:val="decimal"/>
      <w:lvlText w:val="%1、"/>
      <w:lvlJc w:val="left"/>
      <w:pPr>
        <w:ind w:left="0" w:firstLine="476"/>
      </w:pPr>
      <w:rPr>
        <w:rFonts w:hint="default"/>
        <w:lang w:val="en-US"/>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7">
    <w:nsid w:val="7708384F"/>
    <w:multiLevelType w:val="multilevel"/>
    <w:tmpl w:val="7708384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8">
    <w:nsid w:val="78B46C3B"/>
    <w:multiLevelType w:val="multilevel"/>
    <w:tmpl w:val="78B46C3B"/>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1"/>
  </w:num>
  <w:num w:numId="2">
    <w:abstractNumId w:val="10"/>
  </w:num>
  <w:num w:numId="3">
    <w:abstractNumId w:val="2"/>
  </w:num>
  <w:num w:numId="4">
    <w:abstractNumId w:val="18"/>
  </w:num>
  <w:num w:numId="5">
    <w:abstractNumId w:val="7"/>
  </w:num>
  <w:num w:numId="6">
    <w:abstractNumId w:val="5"/>
  </w:num>
  <w:num w:numId="7">
    <w:abstractNumId w:val="9"/>
  </w:num>
  <w:num w:numId="8">
    <w:abstractNumId w:val="4"/>
  </w:num>
  <w:num w:numId="9">
    <w:abstractNumId w:val="17"/>
  </w:num>
  <w:num w:numId="10">
    <w:abstractNumId w:val="0"/>
  </w:num>
  <w:num w:numId="11">
    <w:abstractNumId w:val="12"/>
  </w:num>
  <w:num w:numId="12">
    <w:abstractNumId w:val="3"/>
  </w:num>
  <w:num w:numId="13">
    <w:abstractNumId w:val="13"/>
  </w:num>
  <w:num w:numId="14">
    <w:abstractNumId w:val="6"/>
  </w:num>
  <w:num w:numId="15">
    <w:abstractNumId w:val="8"/>
  </w:num>
  <w:num w:numId="16">
    <w:abstractNumId w:val="16"/>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5年10月10日至2025年10月10日"/>
    <w:docVar w:name="THISENDDATE" w:val="2025年10月10日"/>
    <w:docVar w:name="THISSTARTDATE" w:val="2025年10月10日"/>
  </w:docVars>
  <w:rsids>
    <w:rsidRoot w:val="00750C72"/>
    <w:rsid w:val="00000242"/>
    <w:rsid w:val="00000457"/>
    <w:rsid w:val="00000E37"/>
    <w:rsid w:val="0000110D"/>
    <w:rsid w:val="0000142D"/>
    <w:rsid w:val="00002C9A"/>
    <w:rsid w:val="00003CFB"/>
    <w:rsid w:val="00003EC9"/>
    <w:rsid w:val="00005682"/>
    <w:rsid w:val="00006FAA"/>
    <w:rsid w:val="0000773E"/>
    <w:rsid w:val="000077FF"/>
    <w:rsid w:val="0001056B"/>
    <w:rsid w:val="000112F5"/>
    <w:rsid w:val="00011CFE"/>
    <w:rsid w:val="00011F00"/>
    <w:rsid w:val="00013053"/>
    <w:rsid w:val="0001567A"/>
    <w:rsid w:val="000156E4"/>
    <w:rsid w:val="000158D8"/>
    <w:rsid w:val="00017116"/>
    <w:rsid w:val="0002049D"/>
    <w:rsid w:val="000205DF"/>
    <w:rsid w:val="0002088E"/>
    <w:rsid w:val="00021E8A"/>
    <w:rsid w:val="00021F6E"/>
    <w:rsid w:val="00021FA7"/>
    <w:rsid w:val="00022178"/>
    <w:rsid w:val="00022E5B"/>
    <w:rsid w:val="000231FB"/>
    <w:rsid w:val="0002341B"/>
    <w:rsid w:val="00023F42"/>
    <w:rsid w:val="00024C4A"/>
    <w:rsid w:val="00024DC6"/>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41486"/>
    <w:rsid w:val="00041693"/>
    <w:rsid w:val="00041795"/>
    <w:rsid w:val="00041906"/>
    <w:rsid w:val="00042E77"/>
    <w:rsid w:val="000453F5"/>
    <w:rsid w:val="000455A4"/>
    <w:rsid w:val="00045B99"/>
    <w:rsid w:val="00045E6D"/>
    <w:rsid w:val="00045E87"/>
    <w:rsid w:val="00047014"/>
    <w:rsid w:val="00050041"/>
    <w:rsid w:val="0005013C"/>
    <w:rsid w:val="0005146A"/>
    <w:rsid w:val="00051CD7"/>
    <w:rsid w:val="00052CA7"/>
    <w:rsid w:val="00054D39"/>
    <w:rsid w:val="00054F99"/>
    <w:rsid w:val="0005524F"/>
    <w:rsid w:val="0005576C"/>
    <w:rsid w:val="00055900"/>
    <w:rsid w:val="00056738"/>
    <w:rsid w:val="000568D4"/>
    <w:rsid w:val="000569AA"/>
    <w:rsid w:val="000600EE"/>
    <w:rsid w:val="000602CC"/>
    <w:rsid w:val="000603F5"/>
    <w:rsid w:val="00060BC4"/>
    <w:rsid w:val="000616B7"/>
    <w:rsid w:val="00061978"/>
    <w:rsid w:val="00061F1A"/>
    <w:rsid w:val="0006200D"/>
    <w:rsid w:val="0006234F"/>
    <w:rsid w:val="00062C8F"/>
    <w:rsid w:val="00062DAB"/>
    <w:rsid w:val="00063641"/>
    <w:rsid w:val="00064302"/>
    <w:rsid w:val="00064A52"/>
    <w:rsid w:val="00064C25"/>
    <w:rsid w:val="00066654"/>
    <w:rsid w:val="000673C4"/>
    <w:rsid w:val="00067932"/>
    <w:rsid w:val="00067E29"/>
    <w:rsid w:val="00070346"/>
    <w:rsid w:val="00070C9C"/>
    <w:rsid w:val="0007173E"/>
    <w:rsid w:val="0007200E"/>
    <w:rsid w:val="000726D5"/>
    <w:rsid w:val="00074ACE"/>
    <w:rsid w:val="0007612B"/>
    <w:rsid w:val="00076C3D"/>
    <w:rsid w:val="00077648"/>
    <w:rsid w:val="00082096"/>
    <w:rsid w:val="00082175"/>
    <w:rsid w:val="00082987"/>
    <w:rsid w:val="000840F0"/>
    <w:rsid w:val="00084A49"/>
    <w:rsid w:val="00084DAE"/>
    <w:rsid w:val="00084F46"/>
    <w:rsid w:val="00086C3A"/>
    <w:rsid w:val="000873ED"/>
    <w:rsid w:val="0008796E"/>
    <w:rsid w:val="00090300"/>
    <w:rsid w:val="00090462"/>
    <w:rsid w:val="0009047D"/>
    <w:rsid w:val="00090C41"/>
    <w:rsid w:val="00090F2B"/>
    <w:rsid w:val="00091926"/>
    <w:rsid w:val="0009196D"/>
    <w:rsid w:val="00091C01"/>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89"/>
    <w:rsid w:val="000A065F"/>
    <w:rsid w:val="000A0DD1"/>
    <w:rsid w:val="000A1087"/>
    <w:rsid w:val="000A2EC4"/>
    <w:rsid w:val="000A385F"/>
    <w:rsid w:val="000A4D42"/>
    <w:rsid w:val="000A5CC0"/>
    <w:rsid w:val="000A647C"/>
    <w:rsid w:val="000A77F2"/>
    <w:rsid w:val="000A7C30"/>
    <w:rsid w:val="000A7FBD"/>
    <w:rsid w:val="000B0267"/>
    <w:rsid w:val="000B0ADC"/>
    <w:rsid w:val="000B1365"/>
    <w:rsid w:val="000B2B7A"/>
    <w:rsid w:val="000B44F4"/>
    <w:rsid w:val="000B567C"/>
    <w:rsid w:val="000B5BDA"/>
    <w:rsid w:val="000B62D6"/>
    <w:rsid w:val="000B6E8B"/>
    <w:rsid w:val="000B7AB3"/>
    <w:rsid w:val="000C037F"/>
    <w:rsid w:val="000C0AA0"/>
    <w:rsid w:val="000C2ADF"/>
    <w:rsid w:val="000C3097"/>
    <w:rsid w:val="000C3660"/>
    <w:rsid w:val="000C3D06"/>
    <w:rsid w:val="000C4B65"/>
    <w:rsid w:val="000C4D86"/>
    <w:rsid w:val="000C565C"/>
    <w:rsid w:val="000C690C"/>
    <w:rsid w:val="000C71AC"/>
    <w:rsid w:val="000C76EE"/>
    <w:rsid w:val="000C7EDC"/>
    <w:rsid w:val="000D1C67"/>
    <w:rsid w:val="000D1FAD"/>
    <w:rsid w:val="000D318C"/>
    <w:rsid w:val="000D341F"/>
    <w:rsid w:val="000D45A0"/>
    <w:rsid w:val="000D53F5"/>
    <w:rsid w:val="000D6800"/>
    <w:rsid w:val="000D736E"/>
    <w:rsid w:val="000D7F80"/>
    <w:rsid w:val="000D7FF2"/>
    <w:rsid w:val="000E0820"/>
    <w:rsid w:val="000E3B64"/>
    <w:rsid w:val="000E5135"/>
    <w:rsid w:val="000E53A7"/>
    <w:rsid w:val="000E6521"/>
    <w:rsid w:val="000E65F4"/>
    <w:rsid w:val="000E7F6F"/>
    <w:rsid w:val="000F0327"/>
    <w:rsid w:val="000F0527"/>
    <w:rsid w:val="000F1FFB"/>
    <w:rsid w:val="000F2BA1"/>
    <w:rsid w:val="000F2FEA"/>
    <w:rsid w:val="000F3A6B"/>
    <w:rsid w:val="000F4902"/>
    <w:rsid w:val="000F5152"/>
    <w:rsid w:val="000F5560"/>
    <w:rsid w:val="000F56AB"/>
    <w:rsid w:val="000F605D"/>
    <w:rsid w:val="000F6077"/>
    <w:rsid w:val="000F66E3"/>
    <w:rsid w:val="000F6B40"/>
    <w:rsid w:val="000F772F"/>
    <w:rsid w:val="000F7FCB"/>
    <w:rsid w:val="001019EA"/>
    <w:rsid w:val="00102D7B"/>
    <w:rsid w:val="00103478"/>
    <w:rsid w:val="001045E8"/>
    <w:rsid w:val="00104B67"/>
    <w:rsid w:val="001053A9"/>
    <w:rsid w:val="00105803"/>
    <w:rsid w:val="001065F0"/>
    <w:rsid w:val="00106931"/>
    <w:rsid w:val="00106E2D"/>
    <w:rsid w:val="00107317"/>
    <w:rsid w:val="00107C16"/>
    <w:rsid w:val="00110971"/>
    <w:rsid w:val="00110F6C"/>
    <w:rsid w:val="001122B0"/>
    <w:rsid w:val="0011328F"/>
    <w:rsid w:val="001138A8"/>
    <w:rsid w:val="0011412F"/>
    <w:rsid w:val="00114219"/>
    <w:rsid w:val="001144A8"/>
    <w:rsid w:val="0011497F"/>
    <w:rsid w:val="00114FAF"/>
    <w:rsid w:val="00115085"/>
    <w:rsid w:val="0011588A"/>
    <w:rsid w:val="00115A72"/>
    <w:rsid w:val="00115E2E"/>
    <w:rsid w:val="00116028"/>
    <w:rsid w:val="001161AD"/>
    <w:rsid w:val="0011754F"/>
    <w:rsid w:val="00121B23"/>
    <w:rsid w:val="001221E3"/>
    <w:rsid w:val="0012293B"/>
    <w:rsid w:val="00123D80"/>
    <w:rsid w:val="0012454E"/>
    <w:rsid w:val="001247E8"/>
    <w:rsid w:val="0012484D"/>
    <w:rsid w:val="00124868"/>
    <w:rsid w:val="00124AB9"/>
    <w:rsid w:val="00125261"/>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451B"/>
    <w:rsid w:val="00134A8B"/>
    <w:rsid w:val="00135066"/>
    <w:rsid w:val="0013523C"/>
    <w:rsid w:val="001353A2"/>
    <w:rsid w:val="001357E8"/>
    <w:rsid w:val="00135EAE"/>
    <w:rsid w:val="001362B4"/>
    <w:rsid w:val="00137019"/>
    <w:rsid w:val="001370DF"/>
    <w:rsid w:val="00137810"/>
    <w:rsid w:val="001406BE"/>
    <w:rsid w:val="00140A9A"/>
    <w:rsid w:val="00141554"/>
    <w:rsid w:val="00141FE7"/>
    <w:rsid w:val="0014213D"/>
    <w:rsid w:val="00143EF5"/>
    <w:rsid w:val="0014454A"/>
    <w:rsid w:val="00144C55"/>
    <w:rsid w:val="00144EC9"/>
    <w:rsid w:val="001454B6"/>
    <w:rsid w:val="001459A1"/>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5FC"/>
    <w:rsid w:val="001557EF"/>
    <w:rsid w:val="00155BBB"/>
    <w:rsid w:val="00155C73"/>
    <w:rsid w:val="0015667E"/>
    <w:rsid w:val="001572C3"/>
    <w:rsid w:val="0015735D"/>
    <w:rsid w:val="001608A1"/>
    <w:rsid w:val="00160B2F"/>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62A9"/>
    <w:rsid w:val="00176378"/>
    <w:rsid w:val="00180E13"/>
    <w:rsid w:val="00181853"/>
    <w:rsid w:val="00181B28"/>
    <w:rsid w:val="001832ED"/>
    <w:rsid w:val="00183394"/>
    <w:rsid w:val="00183A0E"/>
    <w:rsid w:val="00183C2A"/>
    <w:rsid w:val="00184429"/>
    <w:rsid w:val="001846E6"/>
    <w:rsid w:val="00184C18"/>
    <w:rsid w:val="001863B6"/>
    <w:rsid w:val="00187182"/>
    <w:rsid w:val="001877DD"/>
    <w:rsid w:val="0018795B"/>
    <w:rsid w:val="001900FE"/>
    <w:rsid w:val="001908BE"/>
    <w:rsid w:val="001911E2"/>
    <w:rsid w:val="0019121C"/>
    <w:rsid w:val="001918A7"/>
    <w:rsid w:val="00191999"/>
    <w:rsid w:val="00193084"/>
    <w:rsid w:val="00194FDD"/>
    <w:rsid w:val="00195AE2"/>
    <w:rsid w:val="001960F9"/>
    <w:rsid w:val="00196334"/>
    <w:rsid w:val="00196D3C"/>
    <w:rsid w:val="00197209"/>
    <w:rsid w:val="001A0462"/>
    <w:rsid w:val="001A0B69"/>
    <w:rsid w:val="001A1050"/>
    <w:rsid w:val="001A10C8"/>
    <w:rsid w:val="001A1FEB"/>
    <w:rsid w:val="001A21E2"/>
    <w:rsid w:val="001A2C38"/>
    <w:rsid w:val="001A3313"/>
    <w:rsid w:val="001A3391"/>
    <w:rsid w:val="001A3994"/>
    <w:rsid w:val="001A4A95"/>
    <w:rsid w:val="001A5548"/>
    <w:rsid w:val="001A5FDE"/>
    <w:rsid w:val="001A606B"/>
    <w:rsid w:val="001A6493"/>
    <w:rsid w:val="001A69AC"/>
    <w:rsid w:val="001A6DF1"/>
    <w:rsid w:val="001A703F"/>
    <w:rsid w:val="001A76B2"/>
    <w:rsid w:val="001A7FDE"/>
    <w:rsid w:val="001B0CBD"/>
    <w:rsid w:val="001B1762"/>
    <w:rsid w:val="001B1C67"/>
    <w:rsid w:val="001B2869"/>
    <w:rsid w:val="001B2918"/>
    <w:rsid w:val="001B29E4"/>
    <w:rsid w:val="001B2DB5"/>
    <w:rsid w:val="001B320F"/>
    <w:rsid w:val="001B3A5B"/>
    <w:rsid w:val="001B4D13"/>
    <w:rsid w:val="001B4D40"/>
    <w:rsid w:val="001B5E25"/>
    <w:rsid w:val="001B692E"/>
    <w:rsid w:val="001C033E"/>
    <w:rsid w:val="001C04CD"/>
    <w:rsid w:val="001C04ED"/>
    <w:rsid w:val="001C0CC5"/>
    <w:rsid w:val="001C2184"/>
    <w:rsid w:val="001C3185"/>
    <w:rsid w:val="001C3DF4"/>
    <w:rsid w:val="001C41E2"/>
    <w:rsid w:val="001C5986"/>
    <w:rsid w:val="001C698F"/>
    <w:rsid w:val="001C7264"/>
    <w:rsid w:val="001C734B"/>
    <w:rsid w:val="001C7411"/>
    <w:rsid w:val="001D0E59"/>
    <w:rsid w:val="001D1284"/>
    <w:rsid w:val="001D19DA"/>
    <w:rsid w:val="001D2228"/>
    <w:rsid w:val="001D35A9"/>
    <w:rsid w:val="001D3A59"/>
    <w:rsid w:val="001D3E8F"/>
    <w:rsid w:val="001D401C"/>
    <w:rsid w:val="001D4B3F"/>
    <w:rsid w:val="001D4DEB"/>
    <w:rsid w:val="001D570E"/>
    <w:rsid w:val="001D5C69"/>
    <w:rsid w:val="001D68A4"/>
    <w:rsid w:val="001D694B"/>
    <w:rsid w:val="001D6BA4"/>
    <w:rsid w:val="001D73B8"/>
    <w:rsid w:val="001E0A5C"/>
    <w:rsid w:val="001E2089"/>
    <w:rsid w:val="001E388F"/>
    <w:rsid w:val="001E408A"/>
    <w:rsid w:val="001E4588"/>
    <w:rsid w:val="001E47E7"/>
    <w:rsid w:val="001E5003"/>
    <w:rsid w:val="001E5867"/>
    <w:rsid w:val="001E5F67"/>
    <w:rsid w:val="001E6105"/>
    <w:rsid w:val="001E658C"/>
    <w:rsid w:val="001E6982"/>
    <w:rsid w:val="001E6B4D"/>
    <w:rsid w:val="001E72DD"/>
    <w:rsid w:val="001E7A99"/>
    <w:rsid w:val="001F0B98"/>
    <w:rsid w:val="001F269C"/>
    <w:rsid w:val="001F2D4C"/>
    <w:rsid w:val="001F34EF"/>
    <w:rsid w:val="001F43B5"/>
    <w:rsid w:val="001F471D"/>
    <w:rsid w:val="001F5D4A"/>
    <w:rsid w:val="001F696B"/>
    <w:rsid w:val="001F6AF1"/>
    <w:rsid w:val="001F7C7F"/>
    <w:rsid w:val="002000CD"/>
    <w:rsid w:val="002003A1"/>
    <w:rsid w:val="00200B97"/>
    <w:rsid w:val="00200D19"/>
    <w:rsid w:val="00200D38"/>
    <w:rsid w:val="00202804"/>
    <w:rsid w:val="00202836"/>
    <w:rsid w:val="00202CD8"/>
    <w:rsid w:val="00202DA3"/>
    <w:rsid w:val="00203425"/>
    <w:rsid w:val="00203EEC"/>
    <w:rsid w:val="002041DA"/>
    <w:rsid w:val="00204745"/>
    <w:rsid w:val="00205EEF"/>
    <w:rsid w:val="00207520"/>
    <w:rsid w:val="002075C4"/>
    <w:rsid w:val="002115D4"/>
    <w:rsid w:val="0021182D"/>
    <w:rsid w:val="0021186A"/>
    <w:rsid w:val="00211E91"/>
    <w:rsid w:val="00212C64"/>
    <w:rsid w:val="00212FB0"/>
    <w:rsid w:val="00214366"/>
    <w:rsid w:val="00214783"/>
    <w:rsid w:val="002154F0"/>
    <w:rsid w:val="00216352"/>
    <w:rsid w:val="002164CF"/>
    <w:rsid w:val="00217807"/>
    <w:rsid w:val="00217ABC"/>
    <w:rsid w:val="00220C3F"/>
    <w:rsid w:val="00220CD8"/>
    <w:rsid w:val="002215C7"/>
    <w:rsid w:val="002216B7"/>
    <w:rsid w:val="00222BFC"/>
    <w:rsid w:val="00223430"/>
    <w:rsid w:val="00223D83"/>
    <w:rsid w:val="00223E54"/>
    <w:rsid w:val="002245C6"/>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873"/>
    <w:rsid w:val="00236C2F"/>
    <w:rsid w:val="002405ED"/>
    <w:rsid w:val="00240FDA"/>
    <w:rsid w:val="0024106C"/>
    <w:rsid w:val="00241142"/>
    <w:rsid w:val="00242C11"/>
    <w:rsid w:val="00243483"/>
    <w:rsid w:val="00243FB3"/>
    <w:rsid w:val="00244039"/>
    <w:rsid w:val="002443B1"/>
    <w:rsid w:val="00245B4A"/>
    <w:rsid w:val="00245CD7"/>
    <w:rsid w:val="00246BC7"/>
    <w:rsid w:val="0024749A"/>
    <w:rsid w:val="00247C14"/>
    <w:rsid w:val="00247D12"/>
    <w:rsid w:val="00251608"/>
    <w:rsid w:val="00252083"/>
    <w:rsid w:val="002531B2"/>
    <w:rsid w:val="00253517"/>
    <w:rsid w:val="0025437B"/>
    <w:rsid w:val="00254C84"/>
    <w:rsid w:val="00254F55"/>
    <w:rsid w:val="00255825"/>
    <w:rsid w:val="00256CA7"/>
    <w:rsid w:val="00257991"/>
    <w:rsid w:val="00257FC9"/>
    <w:rsid w:val="00260054"/>
    <w:rsid w:val="00260112"/>
    <w:rsid w:val="002601D1"/>
    <w:rsid w:val="0026083D"/>
    <w:rsid w:val="0026254A"/>
    <w:rsid w:val="0026519A"/>
    <w:rsid w:val="00265367"/>
    <w:rsid w:val="00265893"/>
    <w:rsid w:val="002661FB"/>
    <w:rsid w:val="002664FE"/>
    <w:rsid w:val="00266687"/>
    <w:rsid w:val="0026692B"/>
    <w:rsid w:val="00266F22"/>
    <w:rsid w:val="00270AAE"/>
    <w:rsid w:val="00271FB5"/>
    <w:rsid w:val="002723D2"/>
    <w:rsid w:val="00272781"/>
    <w:rsid w:val="00273C73"/>
    <w:rsid w:val="00274C70"/>
    <w:rsid w:val="00274ED3"/>
    <w:rsid w:val="00275CF2"/>
    <w:rsid w:val="0027627F"/>
    <w:rsid w:val="00276965"/>
    <w:rsid w:val="0027703F"/>
    <w:rsid w:val="00277E5D"/>
    <w:rsid w:val="0028091F"/>
    <w:rsid w:val="00280B3F"/>
    <w:rsid w:val="00281016"/>
    <w:rsid w:val="0028210D"/>
    <w:rsid w:val="00284BC5"/>
    <w:rsid w:val="00285125"/>
    <w:rsid w:val="00286202"/>
    <w:rsid w:val="00286F26"/>
    <w:rsid w:val="00287C67"/>
    <w:rsid w:val="00287E24"/>
    <w:rsid w:val="0029021F"/>
    <w:rsid w:val="00290467"/>
    <w:rsid w:val="00290CA4"/>
    <w:rsid w:val="00290FE7"/>
    <w:rsid w:val="00291D68"/>
    <w:rsid w:val="002920FC"/>
    <w:rsid w:val="0029333D"/>
    <w:rsid w:val="00293C9F"/>
    <w:rsid w:val="00294390"/>
    <w:rsid w:val="00294DAE"/>
    <w:rsid w:val="0029545C"/>
    <w:rsid w:val="00295E1B"/>
    <w:rsid w:val="00296666"/>
    <w:rsid w:val="00296C08"/>
    <w:rsid w:val="0029766F"/>
    <w:rsid w:val="002A06F5"/>
    <w:rsid w:val="002A2369"/>
    <w:rsid w:val="002A2524"/>
    <w:rsid w:val="002A2FDA"/>
    <w:rsid w:val="002A35CF"/>
    <w:rsid w:val="002A477B"/>
    <w:rsid w:val="002A6BB9"/>
    <w:rsid w:val="002A773C"/>
    <w:rsid w:val="002A7FAA"/>
    <w:rsid w:val="002B0676"/>
    <w:rsid w:val="002B06B5"/>
    <w:rsid w:val="002B13FF"/>
    <w:rsid w:val="002B1ED0"/>
    <w:rsid w:val="002B3D3E"/>
    <w:rsid w:val="002B3D3F"/>
    <w:rsid w:val="002B3D7E"/>
    <w:rsid w:val="002C034A"/>
    <w:rsid w:val="002C12F9"/>
    <w:rsid w:val="002C1508"/>
    <w:rsid w:val="002C1DD9"/>
    <w:rsid w:val="002C1F57"/>
    <w:rsid w:val="002C1FFC"/>
    <w:rsid w:val="002C2053"/>
    <w:rsid w:val="002C2A40"/>
    <w:rsid w:val="002C2EF4"/>
    <w:rsid w:val="002C35F6"/>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5106"/>
    <w:rsid w:val="002D5D4D"/>
    <w:rsid w:val="002D6A9C"/>
    <w:rsid w:val="002E0759"/>
    <w:rsid w:val="002E0907"/>
    <w:rsid w:val="002E0E61"/>
    <w:rsid w:val="002E1846"/>
    <w:rsid w:val="002E1D48"/>
    <w:rsid w:val="002E2C16"/>
    <w:rsid w:val="002E32C2"/>
    <w:rsid w:val="002E46F4"/>
    <w:rsid w:val="002E6539"/>
    <w:rsid w:val="002E6D1C"/>
    <w:rsid w:val="002E7BF8"/>
    <w:rsid w:val="002E7E5E"/>
    <w:rsid w:val="002E7E70"/>
    <w:rsid w:val="002F241F"/>
    <w:rsid w:val="002F3820"/>
    <w:rsid w:val="002F3D23"/>
    <w:rsid w:val="002F4726"/>
    <w:rsid w:val="002F47C4"/>
    <w:rsid w:val="002F5A2B"/>
    <w:rsid w:val="002F5E27"/>
    <w:rsid w:val="002F60D6"/>
    <w:rsid w:val="0030045D"/>
    <w:rsid w:val="00300A5C"/>
    <w:rsid w:val="00300B92"/>
    <w:rsid w:val="0030106F"/>
    <w:rsid w:val="00301C74"/>
    <w:rsid w:val="00302086"/>
    <w:rsid w:val="003028FA"/>
    <w:rsid w:val="00302CFB"/>
    <w:rsid w:val="00303492"/>
    <w:rsid w:val="00303B0D"/>
    <w:rsid w:val="00303F71"/>
    <w:rsid w:val="0030503C"/>
    <w:rsid w:val="00305548"/>
    <w:rsid w:val="00305BC2"/>
    <w:rsid w:val="0030677E"/>
    <w:rsid w:val="00306A1F"/>
    <w:rsid w:val="00306F54"/>
    <w:rsid w:val="003070F8"/>
    <w:rsid w:val="00310652"/>
    <w:rsid w:val="00311A42"/>
    <w:rsid w:val="00311C13"/>
    <w:rsid w:val="00311F0C"/>
    <w:rsid w:val="00311FBE"/>
    <w:rsid w:val="00312535"/>
    <w:rsid w:val="00312AE4"/>
    <w:rsid w:val="00312BB1"/>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CF1"/>
    <w:rsid w:val="00323F98"/>
    <w:rsid w:val="00326242"/>
    <w:rsid w:val="00327777"/>
    <w:rsid w:val="00330203"/>
    <w:rsid w:val="003304CB"/>
    <w:rsid w:val="003308A0"/>
    <w:rsid w:val="00330ACF"/>
    <w:rsid w:val="00331B96"/>
    <w:rsid w:val="00333C5C"/>
    <w:rsid w:val="003341D5"/>
    <w:rsid w:val="00335790"/>
    <w:rsid w:val="00335DFF"/>
    <w:rsid w:val="0034092D"/>
    <w:rsid w:val="00341B6E"/>
    <w:rsid w:val="00341E5E"/>
    <w:rsid w:val="0034214A"/>
    <w:rsid w:val="0034459E"/>
    <w:rsid w:val="00344E0E"/>
    <w:rsid w:val="00344ED7"/>
    <w:rsid w:val="00345F98"/>
    <w:rsid w:val="00346236"/>
    <w:rsid w:val="00346F80"/>
    <w:rsid w:val="003470EE"/>
    <w:rsid w:val="00351413"/>
    <w:rsid w:val="0035149D"/>
    <w:rsid w:val="0035177D"/>
    <w:rsid w:val="00351A8E"/>
    <w:rsid w:val="0035254C"/>
    <w:rsid w:val="00353435"/>
    <w:rsid w:val="00353C15"/>
    <w:rsid w:val="0035542C"/>
    <w:rsid w:val="0035675D"/>
    <w:rsid w:val="00356862"/>
    <w:rsid w:val="00356BDE"/>
    <w:rsid w:val="00356C74"/>
    <w:rsid w:val="00356DF3"/>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27B6"/>
    <w:rsid w:val="0037365D"/>
    <w:rsid w:val="00374181"/>
    <w:rsid w:val="003749AC"/>
    <w:rsid w:val="00374C5D"/>
    <w:rsid w:val="00374C68"/>
    <w:rsid w:val="003758C0"/>
    <w:rsid w:val="00376049"/>
    <w:rsid w:val="00377329"/>
    <w:rsid w:val="003779BE"/>
    <w:rsid w:val="003806E4"/>
    <w:rsid w:val="003809BE"/>
    <w:rsid w:val="00380B4D"/>
    <w:rsid w:val="00381A2A"/>
    <w:rsid w:val="003821FE"/>
    <w:rsid w:val="003822F4"/>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D00"/>
    <w:rsid w:val="00390CF4"/>
    <w:rsid w:val="00391FB2"/>
    <w:rsid w:val="003925DA"/>
    <w:rsid w:val="00392EA7"/>
    <w:rsid w:val="003930F0"/>
    <w:rsid w:val="0039355B"/>
    <w:rsid w:val="00393C99"/>
    <w:rsid w:val="00393E73"/>
    <w:rsid w:val="00394287"/>
    <w:rsid w:val="003943AB"/>
    <w:rsid w:val="00394814"/>
    <w:rsid w:val="00394C22"/>
    <w:rsid w:val="0039542C"/>
    <w:rsid w:val="00395C0F"/>
    <w:rsid w:val="00396E9A"/>
    <w:rsid w:val="00397275"/>
    <w:rsid w:val="003A1412"/>
    <w:rsid w:val="003A1C00"/>
    <w:rsid w:val="003A2C3B"/>
    <w:rsid w:val="003A322B"/>
    <w:rsid w:val="003A35EB"/>
    <w:rsid w:val="003A3A12"/>
    <w:rsid w:val="003A47D4"/>
    <w:rsid w:val="003A484B"/>
    <w:rsid w:val="003A489E"/>
    <w:rsid w:val="003A58C1"/>
    <w:rsid w:val="003A6D85"/>
    <w:rsid w:val="003A7069"/>
    <w:rsid w:val="003A72C8"/>
    <w:rsid w:val="003B0DDA"/>
    <w:rsid w:val="003B0F9E"/>
    <w:rsid w:val="003B0FA4"/>
    <w:rsid w:val="003B102A"/>
    <w:rsid w:val="003B1170"/>
    <w:rsid w:val="003B11B3"/>
    <w:rsid w:val="003B2534"/>
    <w:rsid w:val="003B2546"/>
    <w:rsid w:val="003B3C9F"/>
    <w:rsid w:val="003B470B"/>
    <w:rsid w:val="003B4972"/>
    <w:rsid w:val="003B4CDA"/>
    <w:rsid w:val="003B5F06"/>
    <w:rsid w:val="003B71F4"/>
    <w:rsid w:val="003B7C5F"/>
    <w:rsid w:val="003C0559"/>
    <w:rsid w:val="003C0F1E"/>
    <w:rsid w:val="003C1345"/>
    <w:rsid w:val="003C145E"/>
    <w:rsid w:val="003C1710"/>
    <w:rsid w:val="003C1A95"/>
    <w:rsid w:val="003C23EC"/>
    <w:rsid w:val="003C279E"/>
    <w:rsid w:val="003C3F15"/>
    <w:rsid w:val="003C47F6"/>
    <w:rsid w:val="003C589C"/>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7B1"/>
    <w:rsid w:val="003E16AF"/>
    <w:rsid w:val="003E2B57"/>
    <w:rsid w:val="003E30ED"/>
    <w:rsid w:val="003E346A"/>
    <w:rsid w:val="003E35FC"/>
    <w:rsid w:val="003E3671"/>
    <w:rsid w:val="003E4878"/>
    <w:rsid w:val="003E4B0E"/>
    <w:rsid w:val="003E5288"/>
    <w:rsid w:val="003E6B36"/>
    <w:rsid w:val="003E7779"/>
    <w:rsid w:val="003E7E57"/>
    <w:rsid w:val="003E7F9D"/>
    <w:rsid w:val="003F04A2"/>
    <w:rsid w:val="003F0C6F"/>
    <w:rsid w:val="003F1159"/>
    <w:rsid w:val="003F1573"/>
    <w:rsid w:val="003F1E73"/>
    <w:rsid w:val="003F1F9B"/>
    <w:rsid w:val="003F1FE9"/>
    <w:rsid w:val="003F3BF3"/>
    <w:rsid w:val="003F5383"/>
    <w:rsid w:val="003F53EE"/>
    <w:rsid w:val="003F575E"/>
    <w:rsid w:val="003F5E86"/>
    <w:rsid w:val="003F5F97"/>
    <w:rsid w:val="003F63D0"/>
    <w:rsid w:val="003F7762"/>
    <w:rsid w:val="00400A9A"/>
    <w:rsid w:val="0040125E"/>
    <w:rsid w:val="00401707"/>
    <w:rsid w:val="0040176B"/>
    <w:rsid w:val="00402BF9"/>
    <w:rsid w:val="00403919"/>
    <w:rsid w:val="004047F7"/>
    <w:rsid w:val="00404825"/>
    <w:rsid w:val="0040504D"/>
    <w:rsid w:val="004051B4"/>
    <w:rsid w:val="004053FC"/>
    <w:rsid w:val="0040657F"/>
    <w:rsid w:val="004065E6"/>
    <w:rsid w:val="00406CDB"/>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624E"/>
    <w:rsid w:val="00416B40"/>
    <w:rsid w:val="00417237"/>
    <w:rsid w:val="00417F2D"/>
    <w:rsid w:val="004203C7"/>
    <w:rsid w:val="0042045A"/>
    <w:rsid w:val="0042068B"/>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34CE"/>
    <w:rsid w:val="00433AD6"/>
    <w:rsid w:val="00434ED0"/>
    <w:rsid w:val="004363C6"/>
    <w:rsid w:val="00436B26"/>
    <w:rsid w:val="004374D7"/>
    <w:rsid w:val="0043761B"/>
    <w:rsid w:val="004377B5"/>
    <w:rsid w:val="00437BB1"/>
    <w:rsid w:val="00437BD0"/>
    <w:rsid w:val="004403AB"/>
    <w:rsid w:val="00441545"/>
    <w:rsid w:val="004419D8"/>
    <w:rsid w:val="00441D5E"/>
    <w:rsid w:val="00441DE8"/>
    <w:rsid w:val="0044237E"/>
    <w:rsid w:val="00442650"/>
    <w:rsid w:val="00442ACB"/>
    <w:rsid w:val="00443009"/>
    <w:rsid w:val="00443150"/>
    <w:rsid w:val="00443156"/>
    <w:rsid w:val="004438C1"/>
    <w:rsid w:val="00444700"/>
    <w:rsid w:val="00444CEA"/>
    <w:rsid w:val="00445172"/>
    <w:rsid w:val="0044579D"/>
    <w:rsid w:val="00445EE9"/>
    <w:rsid w:val="004461F9"/>
    <w:rsid w:val="0044790C"/>
    <w:rsid w:val="00447A5C"/>
    <w:rsid w:val="00450741"/>
    <w:rsid w:val="00450A99"/>
    <w:rsid w:val="00450B38"/>
    <w:rsid w:val="00451117"/>
    <w:rsid w:val="00451476"/>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DFA"/>
    <w:rsid w:val="00462E14"/>
    <w:rsid w:val="00463290"/>
    <w:rsid w:val="004641B2"/>
    <w:rsid w:val="0046589F"/>
    <w:rsid w:val="004667AF"/>
    <w:rsid w:val="004668BF"/>
    <w:rsid w:val="00466D85"/>
    <w:rsid w:val="00467A65"/>
    <w:rsid w:val="004706D8"/>
    <w:rsid w:val="00470ADD"/>
    <w:rsid w:val="004710FA"/>
    <w:rsid w:val="00471407"/>
    <w:rsid w:val="00471429"/>
    <w:rsid w:val="00472206"/>
    <w:rsid w:val="00472659"/>
    <w:rsid w:val="0047615A"/>
    <w:rsid w:val="004765C7"/>
    <w:rsid w:val="00477B25"/>
    <w:rsid w:val="00477E91"/>
    <w:rsid w:val="00477FB3"/>
    <w:rsid w:val="00480AF8"/>
    <w:rsid w:val="00481AA2"/>
    <w:rsid w:val="00481B84"/>
    <w:rsid w:val="004824C9"/>
    <w:rsid w:val="0048252D"/>
    <w:rsid w:val="004827BA"/>
    <w:rsid w:val="00483691"/>
    <w:rsid w:val="004841B3"/>
    <w:rsid w:val="004842FE"/>
    <w:rsid w:val="00485F15"/>
    <w:rsid w:val="004864CB"/>
    <w:rsid w:val="00486658"/>
    <w:rsid w:val="0048756E"/>
    <w:rsid w:val="004875DF"/>
    <w:rsid w:val="00487672"/>
    <w:rsid w:val="004907BE"/>
    <w:rsid w:val="00490F3F"/>
    <w:rsid w:val="00490F5C"/>
    <w:rsid w:val="004910BD"/>
    <w:rsid w:val="00492732"/>
    <w:rsid w:val="00493596"/>
    <w:rsid w:val="00493D50"/>
    <w:rsid w:val="00493F97"/>
    <w:rsid w:val="00494150"/>
    <w:rsid w:val="00494C12"/>
    <w:rsid w:val="004958AB"/>
    <w:rsid w:val="004961FE"/>
    <w:rsid w:val="004967EA"/>
    <w:rsid w:val="00496931"/>
    <w:rsid w:val="00497FA8"/>
    <w:rsid w:val="004A051E"/>
    <w:rsid w:val="004A0AFD"/>
    <w:rsid w:val="004A0D60"/>
    <w:rsid w:val="004A1696"/>
    <w:rsid w:val="004A169E"/>
    <w:rsid w:val="004A31DB"/>
    <w:rsid w:val="004A48B7"/>
    <w:rsid w:val="004A4AE1"/>
    <w:rsid w:val="004A4DAA"/>
    <w:rsid w:val="004A58DE"/>
    <w:rsid w:val="004A5FB5"/>
    <w:rsid w:val="004A66A0"/>
    <w:rsid w:val="004A66AC"/>
    <w:rsid w:val="004A7E98"/>
    <w:rsid w:val="004B0D3E"/>
    <w:rsid w:val="004B1456"/>
    <w:rsid w:val="004B157E"/>
    <w:rsid w:val="004B167C"/>
    <w:rsid w:val="004B1E5D"/>
    <w:rsid w:val="004B2ECD"/>
    <w:rsid w:val="004B2FAE"/>
    <w:rsid w:val="004B395A"/>
    <w:rsid w:val="004B3B4D"/>
    <w:rsid w:val="004B6077"/>
    <w:rsid w:val="004B6BE9"/>
    <w:rsid w:val="004B6EF3"/>
    <w:rsid w:val="004B7102"/>
    <w:rsid w:val="004B735A"/>
    <w:rsid w:val="004B7F39"/>
    <w:rsid w:val="004C170F"/>
    <w:rsid w:val="004C1B98"/>
    <w:rsid w:val="004C28CD"/>
    <w:rsid w:val="004C2D4E"/>
    <w:rsid w:val="004C3371"/>
    <w:rsid w:val="004C348E"/>
    <w:rsid w:val="004C38DB"/>
    <w:rsid w:val="004C5731"/>
    <w:rsid w:val="004C5CDB"/>
    <w:rsid w:val="004D14A9"/>
    <w:rsid w:val="004D1F64"/>
    <w:rsid w:val="004D33C1"/>
    <w:rsid w:val="004D3E54"/>
    <w:rsid w:val="004D56B9"/>
    <w:rsid w:val="004D6E92"/>
    <w:rsid w:val="004D7596"/>
    <w:rsid w:val="004E09E1"/>
    <w:rsid w:val="004E0DD6"/>
    <w:rsid w:val="004E16BE"/>
    <w:rsid w:val="004E1D75"/>
    <w:rsid w:val="004E270D"/>
    <w:rsid w:val="004E3296"/>
    <w:rsid w:val="004E3DA5"/>
    <w:rsid w:val="004E3DE0"/>
    <w:rsid w:val="004E4360"/>
    <w:rsid w:val="004E44D8"/>
    <w:rsid w:val="004E4B40"/>
    <w:rsid w:val="004E5E3D"/>
    <w:rsid w:val="004E5ECD"/>
    <w:rsid w:val="004E6CFE"/>
    <w:rsid w:val="004E7861"/>
    <w:rsid w:val="004F0FA2"/>
    <w:rsid w:val="004F2990"/>
    <w:rsid w:val="004F2FFF"/>
    <w:rsid w:val="004F3094"/>
    <w:rsid w:val="004F3208"/>
    <w:rsid w:val="004F4691"/>
    <w:rsid w:val="004F46D6"/>
    <w:rsid w:val="004F5836"/>
    <w:rsid w:val="004F63F0"/>
    <w:rsid w:val="004F6809"/>
    <w:rsid w:val="004F6D81"/>
    <w:rsid w:val="004F6E6B"/>
    <w:rsid w:val="004F7256"/>
    <w:rsid w:val="004F7AFB"/>
    <w:rsid w:val="00500BE8"/>
    <w:rsid w:val="005012CE"/>
    <w:rsid w:val="005020FC"/>
    <w:rsid w:val="00502B86"/>
    <w:rsid w:val="00502FEB"/>
    <w:rsid w:val="005031D8"/>
    <w:rsid w:val="00503E22"/>
    <w:rsid w:val="0050574F"/>
    <w:rsid w:val="005064E7"/>
    <w:rsid w:val="005072E8"/>
    <w:rsid w:val="005077BB"/>
    <w:rsid w:val="00507ADD"/>
    <w:rsid w:val="00507AF7"/>
    <w:rsid w:val="00507E45"/>
    <w:rsid w:val="005100FA"/>
    <w:rsid w:val="00510490"/>
    <w:rsid w:val="005120EB"/>
    <w:rsid w:val="005129C1"/>
    <w:rsid w:val="005143D2"/>
    <w:rsid w:val="005144C1"/>
    <w:rsid w:val="00516113"/>
    <w:rsid w:val="00516254"/>
    <w:rsid w:val="00516363"/>
    <w:rsid w:val="00516707"/>
    <w:rsid w:val="00516AFD"/>
    <w:rsid w:val="00516E7E"/>
    <w:rsid w:val="005174D0"/>
    <w:rsid w:val="0051763D"/>
    <w:rsid w:val="00521D18"/>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5BB"/>
    <w:rsid w:val="0053376C"/>
    <w:rsid w:val="0053387F"/>
    <w:rsid w:val="0053448F"/>
    <w:rsid w:val="00534961"/>
    <w:rsid w:val="00534C72"/>
    <w:rsid w:val="0053528A"/>
    <w:rsid w:val="00535CF1"/>
    <w:rsid w:val="00537547"/>
    <w:rsid w:val="00537D48"/>
    <w:rsid w:val="00540402"/>
    <w:rsid w:val="00540448"/>
    <w:rsid w:val="00540D8A"/>
    <w:rsid w:val="00541A4D"/>
    <w:rsid w:val="00542B10"/>
    <w:rsid w:val="00542D1D"/>
    <w:rsid w:val="00544DD1"/>
    <w:rsid w:val="00545033"/>
    <w:rsid w:val="005460A9"/>
    <w:rsid w:val="005467EC"/>
    <w:rsid w:val="0054788F"/>
    <w:rsid w:val="00547E02"/>
    <w:rsid w:val="005506DD"/>
    <w:rsid w:val="00550951"/>
    <w:rsid w:val="0055133A"/>
    <w:rsid w:val="00551619"/>
    <w:rsid w:val="005518F0"/>
    <w:rsid w:val="00552ED0"/>
    <w:rsid w:val="00553685"/>
    <w:rsid w:val="0055384B"/>
    <w:rsid w:val="00553BB5"/>
    <w:rsid w:val="0055533D"/>
    <w:rsid w:val="00555DFC"/>
    <w:rsid w:val="00557E45"/>
    <w:rsid w:val="00560C05"/>
    <w:rsid w:val="00560DEB"/>
    <w:rsid w:val="00561E5E"/>
    <w:rsid w:val="005620D3"/>
    <w:rsid w:val="00562F37"/>
    <w:rsid w:val="00563007"/>
    <w:rsid w:val="00564449"/>
    <w:rsid w:val="005651C3"/>
    <w:rsid w:val="00566355"/>
    <w:rsid w:val="0056721F"/>
    <w:rsid w:val="00567844"/>
    <w:rsid w:val="005679A4"/>
    <w:rsid w:val="00567DED"/>
    <w:rsid w:val="00570247"/>
    <w:rsid w:val="00570368"/>
    <w:rsid w:val="00570BD3"/>
    <w:rsid w:val="00570E77"/>
    <w:rsid w:val="0057120D"/>
    <w:rsid w:val="00571257"/>
    <w:rsid w:val="005716CA"/>
    <w:rsid w:val="00571ED9"/>
    <w:rsid w:val="00572A93"/>
    <w:rsid w:val="00573913"/>
    <w:rsid w:val="005745F0"/>
    <w:rsid w:val="0057497A"/>
    <w:rsid w:val="00574B14"/>
    <w:rsid w:val="00576FF5"/>
    <w:rsid w:val="005772A9"/>
    <w:rsid w:val="005775B1"/>
    <w:rsid w:val="005800C2"/>
    <w:rsid w:val="00580343"/>
    <w:rsid w:val="0058133B"/>
    <w:rsid w:val="00581498"/>
    <w:rsid w:val="005822F2"/>
    <w:rsid w:val="00583AB7"/>
    <w:rsid w:val="00584095"/>
    <w:rsid w:val="005841CE"/>
    <w:rsid w:val="00584FD7"/>
    <w:rsid w:val="00585B28"/>
    <w:rsid w:val="00586202"/>
    <w:rsid w:val="00586D89"/>
    <w:rsid w:val="00587285"/>
    <w:rsid w:val="00590657"/>
    <w:rsid w:val="00592C54"/>
    <w:rsid w:val="00593B47"/>
    <w:rsid w:val="00594E66"/>
    <w:rsid w:val="00594F1B"/>
    <w:rsid w:val="00595607"/>
    <w:rsid w:val="00595AB3"/>
    <w:rsid w:val="00595B9C"/>
    <w:rsid w:val="00595E26"/>
    <w:rsid w:val="00596353"/>
    <w:rsid w:val="005969E4"/>
    <w:rsid w:val="00596C1D"/>
    <w:rsid w:val="005A00DD"/>
    <w:rsid w:val="005A0539"/>
    <w:rsid w:val="005A0587"/>
    <w:rsid w:val="005A05B1"/>
    <w:rsid w:val="005A08A7"/>
    <w:rsid w:val="005A0C29"/>
    <w:rsid w:val="005A10B6"/>
    <w:rsid w:val="005A1F04"/>
    <w:rsid w:val="005A245D"/>
    <w:rsid w:val="005A257F"/>
    <w:rsid w:val="005A3F0E"/>
    <w:rsid w:val="005A4F09"/>
    <w:rsid w:val="005A4F4D"/>
    <w:rsid w:val="005A536C"/>
    <w:rsid w:val="005A6550"/>
    <w:rsid w:val="005A7D31"/>
    <w:rsid w:val="005B0B59"/>
    <w:rsid w:val="005B0C1B"/>
    <w:rsid w:val="005B18B7"/>
    <w:rsid w:val="005B1C4F"/>
    <w:rsid w:val="005B4702"/>
    <w:rsid w:val="005B495D"/>
    <w:rsid w:val="005B4CA5"/>
    <w:rsid w:val="005B4D40"/>
    <w:rsid w:val="005B4DB1"/>
    <w:rsid w:val="005B600D"/>
    <w:rsid w:val="005B62F5"/>
    <w:rsid w:val="005B6BF6"/>
    <w:rsid w:val="005B7752"/>
    <w:rsid w:val="005B7902"/>
    <w:rsid w:val="005C004B"/>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7DF7"/>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48E3"/>
    <w:rsid w:val="005E5040"/>
    <w:rsid w:val="005E61BF"/>
    <w:rsid w:val="005E698C"/>
    <w:rsid w:val="005E6D92"/>
    <w:rsid w:val="005E77E2"/>
    <w:rsid w:val="005E7D48"/>
    <w:rsid w:val="005F02C2"/>
    <w:rsid w:val="005F16FE"/>
    <w:rsid w:val="005F18A2"/>
    <w:rsid w:val="005F1F35"/>
    <w:rsid w:val="005F3304"/>
    <w:rsid w:val="005F33BB"/>
    <w:rsid w:val="005F34A8"/>
    <w:rsid w:val="005F3614"/>
    <w:rsid w:val="005F3BBD"/>
    <w:rsid w:val="005F4359"/>
    <w:rsid w:val="005F5FE2"/>
    <w:rsid w:val="005F6062"/>
    <w:rsid w:val="005F6E7A"/>
    <w:rsid w:val="005F726B"/>
    <w:rsid w:val="005F79EA"/>
    <w:rsid w:val="005F7B71"/>
    <w:rsid w:val="005F7EA6"/>
    <w:rsid w:val="00600037"/>
    <w:rsid w:val="00601E65"/>
    <w:rsid w:val="00602748"/>
    <w:rsid w:val="006033F7"/>
    <w:rsid w:val="006040A0"/>
    <w:rsid w:val="006046B7"/>
    <w:rsid w:val="006049FA"/>
    <w:rsid w:val="00604B88"/>
    <w:rsid w:val="00604D2E"/>
    <w:rsid w:val="006053B8"/>
    <w:rsid w:val="0060553E"/>
    <w:rsid w:val="00605CAC"/>
    <w:rsid w:val="00605F4C"/>
    <w:rsid w:val="00607A86"/>
    <w:rsid w:val="00607E84"/>
    <w:rsid w:val="006102A5"/>
    <w:rsid w:val="00610321"/>
    <w:rsid w:val="00610541"/>
    <w:rsid w:val="0061083C"/>
    <w:rsid w:val="00610A60"/>
    <w:rsid w:val="00610FF2"/>
    <w:rsid w:val="006119C7"/>
    <w:rsid w:val="006129A0"/>
    <w:rsid w:val="00613526"/>
    <w:rsid w:val="0061465E"/>
    <w:rsid w:val="006147F3"/>
    <w:rsid w:val="00614897"/>
    <w:rsid w:val="00614D96"/>
    <w:rsid w:val="006158EC"/>
    <w:rsid w:val="006160AD"/>
    <w:rsid w:val="00617A05"/>
    <w:rsid w:val="00617EAF"/>
    <w:rsid w:val="00620A2D"/>
    <w:rsid w:val="00622098"/>
    <w:rsid w:val="0062332E"/>
    <w:rsid w:val="0062376B"/>
    <w:rsid w:val="00625E62"/>
    <w:rsid w:val="00625E8C"/>
    <w:rsid w:val="00626C28"/>
    <w:rsid w:val="00626E63"/>
    <w:rsid w:val="00627237"/>
    <w:rsid w:val="00627E51"/>
    <w:rsid w:val="006305C4"/>
    <w:rsid w:val="00630662"/>
    <w:rsid w:val="006316B1"/>
    <w:rsid w:val="00632519"/>
    <w:rsid w:val="00632DD1"/>
    <w:rsid w:val="006341C3"/>
    <w:rsid w:val="006345DC"/>
    <w:rsid w:val="0063550B"/>
    <w:rsid w:val="00636489"/>
    <w:rsid w:val="00637123"/>
    <w:rsid w:val="0063744F"/>
    <w:rsid w:val="006379D6"/>
    <w:rsid w:val="00640107"/>
    <w:rsid w:val="006407CC"/>
    <w:rsid w:val="006409B9"/>
    <w:rsid w:val="00640A5C"/>
    <w:rsid w:val="00640FC4"/>
    <w:rsid w:val="006410C7"/>
    <w:rsid w:val="00641473"/>
    <w:rsid w:val="006414AC"/>
    <w:rsid w:val="0064245C"/>
    <w:rsid w:val="00642E49"/>
    <w:rsid w:val="00644401"/>
    <w:rsid w:val="00644728"/>
    <w:rsid w:val="00645047"/>
    <w:rsid w:val="00645A45"/>
    <w:rsid w:val="00645B79"/>
    <w:rsid w:val="00645CE7"/>
    <w:rsid w:val="00646D59"/>
    <w:rsid w:val="006475D5"/>
    <w:rsid w:val="006500EC"/>
    <w:rsid w:val="00650EC7"/>
    <w:rsid w:val="00650F2A"/>
    <w:rsid w:val="00651C7E"/>
    <w:rsid w:val="00651E1C"/>
    <w:rsid w:val="00652195"/>
    <w:rsid w:val="0065285B"/>
    <w:rsid w:val="00652A4F"/>
    <w:rsid w:val="006542B1"/>
    <w:rsid w:val="006544DC"/>
    <w:rsid w:val="00654CED"/>
    <w:rsid w:val="00654ED5"/>
    <w:rsid w:val="006550D0"/>
    <w:rsid w:val="006551A1"/>
    <w:rsid w:val="00655C3D"/>
    <w:rsid w:val="0065680E"/>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193"/>
    <w:rsid w:val="00667D21"/>
    <w:rsid w:val="006701F6"/>
    <w:rsid w:val="006704E6"/>
    <w:rsid w:val="00670B77"/>
    <w:rsid w:val="00671026"/>
    <w:rsid w:val="00672480"/>
    <w:rsid w:val="0067276B"/>
    <w:rsid w:val="00673946"/>
    <w:rsid w:val="00673A75"/>
    <w:rsid w:val="00673F45"/>
    <w:rsid w:val="00674215"/>
    <w:rsid w:val="006749EE"/>
    <w:rsid w:val="00674B6D"/>
    <w:rsid w:val="00676546"/>
    <w:rsid w:val="00676931"/>
    <w:rsid w:val="006770D0"/>
    <w:rsid w:val="0067755A"/>
    <w:rsid w:val="00677C80"/>
    <w:rsid w:val="0068080E"/>
    <w:rsid w:val="00680FBD"/>
    <w:rsid w:val="00681C94"/>
    <w:rsid w:val="006822C9"/>
    <w:rsid w:val="00682817"/>
    <w:rsid w:val="0068376E"/>
    <w:rsid w:val="00683B74"/>
    <w:rsid w:val="00683CF9"/>
    <w:rsid w:val="00684106"/>
    <w:rsid w:val="006847C5"/>
    <w:rsid w:val="00684A32"/>
    <w:rsid w:val="00686B1F"/>
    <w:rsid w:val="00686BB6"/>
    <w:rsid w:val="00687A64"/>
    <w:rsid w:val="00687C3B"/>
    <w:rsid w:val="00690479"/>
    <w:rsid w:val="006919B5"/>
    <w:rsid w:val="00691C2F"/>
    <w:rsid w:val="00692597"/>
    <w:rsid w:val="00692E8A"/>
    <w:rsid w:val="0069322B"/>
    <w:rsid w:val="00693393"/>
    <w:rsid w:val="00693A8D"/>
    <w:rsid w:val="00693C8F"/>
    <w:rsid w:val="0069432F"/>
    <w:rsid w:val="00694B82"/>
    <w:rsid w:val="00694E36"/>
    <w:rsid w:val="0069503C"/>
    <w:rsid w:val="0069532A"/>
    <w:rsid w:val="00695DB5"/>
    <w:rsid w:val="00695EAA"/>
    <w:rsid w:val="00696F34"/>
    <w:rsid w:val="006972D2"/>
    <w:rsid w:val="00697AE2"/>
    <w:rsid w:val="00697E56"/>
    <w:rsid w:val="006A028F"/>
    <w:rsid w:val="006A0401"/>
    <w:rsid w:val="006A04E4"/>
    <w:rsid w:val="006A0974"/>
    <w:rsid w:val="006A0D14"/>
    <w:rsid w:val="006A0D41"/>
    <w:rsid w:val="006A12C2"/>
    <w:rsid w:val="006A14B0"/>
    <w:rsid w:val="006A1744"/>
    <w:rsid w:val="006A1978"/>
    <w:rsid w:val="006A28A9"/>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5524"/>
    <w:rsid w:val="006B584A"/>
    <w:rsid w:val="006B58A3"/>
    <w:rsid w:val="006B769E"/>
    <w:rsid w:val="006B7EAB"/>
    <w:rsid w:val="006C0620"/>
    <w:rsid w:val="006C069B"/>
    <w:rsid w:val="006C0814"/>
    <w:rsid w:val="006C091A"/>
    <w:rsid w:val="006C10E9"/>
    <w:rsid w:val="006C1159"/>
    <w:rsid w:val="006C170C"/>
    <w:rsid w:val="006C1AFB"/>
    <w:rsid w:val="006C1E2C"/>
    <w:rsid w:val="006C275D"/>
    <w:rsid w:val="006C2CC5"/>
    <w:rsid w:val="006C3F03"/>
    <w:rsid w:val="006C4052"/>
    <w:rsid w:val="006C40C0"/>
    <w:rsid w:val="006C6881"/>
    <w:rsid w:val="006C7EB9"/>
    <w:rsid w:val="006D0F77"/>
    <w:rsid w:val="006D0FE8"/>
    <w:rsid w:val="006D241B"/>
    <w:rsid w:val="006D271A"/>
    <w:rsid w:val="006D27CC"/>
    <w:rsid w:val="006D2CDC"/>
    <w:rsid w:val="006D2DB5"/>
    <w:rsid w:val="006D2EE9"/>
    <w:rsid w:val="006D3325"/>
    <w:rsid w:val="006D4304"/>
    <w:rsid w:val="006D4616"/>
    <w:rsid w:val="006D4CCB"/>
    <w:rsid w:val="006D4F3B"/>
    <w:rsid w:val="006D5187"/>
    <w:rsid w:val="006D553D"/>
    <w:rsid w:val="006D5665"/>
    <w:rsid w:val="006D5DEF"/>
    <w:rsid w:val="006D621F"/>
    <w:rsid w:val="006D6C7E"/>
    <w:rsid w:val="006D6F11"/>
    <w:rsid w:val="006D7936"/>
    <w:rsid w:val="006E0452"/>
    <w:rsid w:val="006E0C0C"/>
    <w:rsid w:val="006E0D35"/>
    <w:rsid w:val="006E0F0B"/>
    <w:rsid w:val="006E0F18"/>
    <w:rsid w:val="006E1382"/>
    <w:rsid w:val="006E139A"/>
    <w:rsid w:val="006E157D"/>
    <w:rsid w:val="006E1B25"/>
    <w:rsid w:val="006E31CD"/>
    <w:rsid w:val="006E3359"/>
    <w:rsid w:val="006E3ABF"/>
    <w:rsid w:val="006E3C74"/>
    <w:rsid w:val="006E3E70"/>
    <w:rsid w:val="006E3EB0"/>
    <w:rsid w:val="006E3EFD"/>
    <w:rsid w:val="006E3F3C"/>
    <w:rsid w:val="006E57D2"/>
    <w:rsid w:val="006E6491"/>
    <w:rsid w:val="006E7B43"/>
    <w:rsid w:val="006E7C91"/>
    <w:rsid w:val="006E7F7C"/>
    <w:rsid w:val="006F179B"/>
    <w:rsid w:val="006F1F45"/>
    <w:rsid w:val="006F27F7"/>
    <w:rsid w:val="006F3697"/>
    <w:rsid w:val="006F5229"/>
    <w:rsid w:val="006F533D"/>
    <w:rsid w:val="006F5670"/>
    <w:rsid w:val="006F60D4"/>
    <w:rsid w:val="006F60E0"/>
    <w:rsid w:val="006F7457"/>
    <w:rsid w:val="006F77D9"/>
    <w:rsid w:val="00700921"/>
    <w:rsid w:val="007013C3"/>
    <w:rsid w:val="00701EF2"/>
    <w:rsid w:val="00703A46"/>
    <w:rsid w:val="007041FE"/>
    <w:rsid w:val="0070469C"/>
    <w:rsid w:val="007065E2"/>
    <w:rsid w:val="0070764E"/>
    <w:rsid w:val="007078D4"/>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203AF"/>
    <w:rsid w:val="00720502"/>
    <w:rsid w:val="007215D2"/>
    <w:rsid w:val="007217CE"/>
    <w:rsid w:val="00721E38"/>
    <w:rsid w:val="00722DB5"/>
    <w:rsid w:val="00723826"/>
    <w:rsid w:val="00724C5F"/>
    <w:rsid w:val="00725CA5"/>
    <w:rsid w:val="0072790E"/>
    <w:rsid w:val="00727AB6"/>
    <w:rsid w:val="0073047D"/>
    <w:rsid w:val="007317C2"/>
    <w:rsid w:val="00731C00"/>
    <w:rsid w:val="00732847"/>
    <w:rsid w:val="00732C0E"/>
    <w:rsid w:val="00733576"/>
    <w:rsid w:val="00733E3A"/>
    <w:rsid w:val="0073432A"/>
    <w:rsid w:val="00734AD7"/>
    <w:rsid w:val="00736701"/>
    <w:rsid w:val="00737FD4"/>
    <w:rsid w:val="00743391"/>
    <w:rsid w:val="0074410C"/>
    <w:rsid w:val="00744532"/>
    <w:rsid w:val="0074493F"/>
    <w:rsid w:val="00744C83"/>
    <w:rsid w:val="0074513A"/>
    <w:rsid w:val="00745240"/>
    <w:rsid w:val="00745E30"/>
    <w:rsid w:val="00745E42"/>
    <w:rsid w:val="00745FBA"/>
    <w:rsid w:val="007466CD"/>
    <w:rsid w:val="00747454"/>
    <w:rsid w:val="00747FE0"/>
    <w:rsid w:val="00750C29"/>
    <w:rsid w:val="00750C72"/>
    <w:rsid w:val="00750D2F"/>
    <w:rsid w:val="00752F5A"/>
    <w:rsid w:val="00753B83"/>
    <w:rsid w:val="00754443"/>
    <w:rsid w:val="00754A9A"/>
    <w:rsid w:val="00754EA9"/>
    <w:rsid w:val="007552B8"/>
    <w:rsid w:val="00755994"/>
    <w:rsid w:val="00755D51"/>
    <w:rsid w:val="00756C95"/>
    <w:rsid w:val="007572CE"/>
    <w:rsid w:val="007574FE"/>
    <w:rsid w:val="00757ADD"/>
    <w:rsid w:val="00760401"/>
    <w:rsid w:val="007612E0"/>
    <w:rsid w:val="00761D1D"/>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287A"/>
    <w:rsid w:val="00773BBB"/>
    <w:rsid w:val="007741EF"/>
    <w:rsid w:val="00774AA0"/>
    <w:rsid w:val="00774B70"/>
    <w:rsid w:val="007779C7"/>
    <w:rsid w:val="00781C68"/>
    <w:rsid w:val="00783247"/>
    <w:rsid w:val="00783B1F"/>
    <w:rsid w:val="00783DFF"/>
    <w:rsid w:val="0078560E"/>
    <w:rsid w:val="00790065"/>
    <w:rsid w:val="00790084"/>
    <w:rsid w:val="00790518"/>
    <w:rsid w:val="00791054"/>
    <w:rsid w:val="007924E9"/>
    <w:rsid w:val="00792961"/>
    <w:rsid w:val="00792CDE"/>
    <w:rsid w:val="00793CFB"/>
    <w:rsid w:val="00794079"/>
    <w:rsid w:val="007945C4"/>
    <w:rsid w:val="00794731"/>
    <w:rsid w:val="00795FC5"/>
    <w:rsid w:val="007962E0"/>
    <w:rsid w:val="00796770"/>
    <w:rsid w:val="00796AA9"/>
    <w:rsid w:val="0079727E"/>
    <w:rsid w:val="00797476"/>
    <w:rsid w:val="007A0031"/>
    <w:rsid w:val="007A0728"/>
    <w:rsid w:val="007A07BC"/>
    <w:rsid w:val="007A09B2"/>
    <w:rsid w:val="007A0C24"/>
    <w:rsid w:val="007A1235"/>
    <w:rsid w:val="007A18BE"/>
    <w:rsid w:val="007A18E2"/>
    <w:rsid w:val="007A1BA4"/>
    <w:rsid w:val="007A1DAB"/>
    <w:rsid w:val="007A1E2A"/>
    <w:rsid w:val="007A228E"/>
    <w:rsid w:val="007A348D"/>
    <w:rsid w:val="007A3937"/>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12A8"/>
    <w:rsid w:val="007C2712"/>
    <w:rsid w:val="007C3116"/>
    <w:rsid w:val="007C3C5F"/>
    <w:rsid w:val="007C56DD"/>
    <w:rsid w:val="007C5C8A"/>
    <w:rsid w:val="007C6356"/>
    <w:rsid w:val="007C6651"/>
    <w:rsid w:val="007C6B04"/>
    <w:rsid w:val="007C740D"/>
    <w:rsid w:val="007C7D58"/>
    <w:rsid w:val="007C7F71"/>
    <w:rsid w:val="007D1B16"/>
    <w:rsid w:val="007D280F"/>
    <w:rsid w:val="007D2893"/>
    <w:rsid w:val="007D304D"/>
    <w:rsid w:val="007D3E67"/>
    <w:rsid w:val="007D3FD3"/>
    <w:rsid w:val="007D43AC"/>
    <w:rsid w:val="007D444E"/>
    <w:rsid w:val="007D4DE4"/>
    <w:rsid w:val="007D4F44"/>
    <w:rsid w:val="007D5459"/>
    <w:rsid w:val="007D5D0F"/>
    <w:rsid w:val="007D72DD"/>
    <w:rsid w:val="007D76D9"/>
    <w:rsid w:val="007D7BF7"/>
    <w:rsid w:val="007E0E2E"/>
    <w:rsid w:val="007E1773"/>
    <w:rsid w:val="007E1BA5"/>
    <w:rsid w:val="007E2830"/>
    <w:rsid w:val="007E2B39"/>
    <w:rsid w:val="007E3228"/>
    <w:rsid w:val="007E33D1"/>
    <w:rsid w:val="007E3457"/>
    <w:rsid w:val="007E36A2"/>
    <w:rsid w:val="007E3B2C"/>
    <w:rsid w:val="007E40D5"/>
    <w:rsid w:val="007E4B3D"/>
    <w:rsid w:val="007E5823"/>
    <w:rsid w:val="007E5D4C"/>
    <w:rsid w:val="007E60AD"/>
    <w:rsid w:val="007E6417"/>
    <w:rsid w:val="007E6EEC"/>
    <w:rsid w:val="007E6FD0"/>
    <w:rsid w:val="007E7431"/>
    <w:rsid w:val="007E7862"/>
    <w:rsid w:val="007F00A1"/>
    <w:rsid w:val="007F0EEE"/>
    <w:rsid w:val="007F1A8E"/>
    <w:rsid w:val="007F21AC"/>
    <w:rsid w:val="007F33AE"/>
    <w:rsid w:val="007F3616"/>
    <w:rsid w:val="007F3E6C"/>
    <w:rsid w:val="007F4D1A"/>
    <w:rsid w:val="007F59E0"/>
    <w:rsid w:val="007F5A8B"/>
    <w:rsid w:val="007F6855"/>
    <w:rsid w:val="007F6D8E"/>
    <w:rsid w:val="007F78A8"/>
    <w:rsid w:val="007F7FE6"/>
    <w:rsid w:val="00800AEF"/>
    <w:rsid w:val="00801038"/>
    <w:rsid w:val="00801834"/>
    <w:rsid w:val="00801D7E"/>
    <w:rsid w:val="00802A2F"/>
    <w:rsid w:val="0080384A"/>
    <w:rsid w:val="00804074"/>
    <w:rsid w:val="00804537"/>
    <w:rsid w:val="00804B56"/>
    <w:rsid w:val="00805A7A"/>
    <w:rsid w:val="008063AF"/>
    <w:rsid w:val="008064E3"/>
    <w:rsid w:val="00806832"/>
    <w:rsid w:val="00806B48"/>
    <w:rsid w:val="00807A50"/>
    <w:rsid w:val="00807B64"/>
    <w:rsid w:val="00810D3B"/>
    <w:rsid w:val="008127F4"/>
    <w:rsid w:val="008129EC"/>
    <w:rsid w:val="0081341D"/>
    <w:rsid w:val="00814203"/>
    <w:rsid w:val="0081431E"/>
    <w:rsid w:val="00814B3B"/>
    <w:rsid w:val="00815C7D"/>
    <w:rsid w:val="008165F1"/>
    <w:rsid w:val="00817925"/>
    <w:rsid w:val="0082031A"/>
    <w:rsid w:val="008211DA"/>
    <w:rsid w:val="008215A1"/>
    <w:rsid w:val="00822220"/>
    <w:rsid w:val="0082242F"/>
    <w:rsid w:val="008224C9"/>
    <w:rsid w:val="00823291"/>
    <w:rsid w:val="00823363"/>
    <w:rsid w:val="0082394D"/>
    <w:rsid w:val="00823F57"/>
    <w:rsid w:val="00824D5B"/>
    <w:rsid w:val="00825180"/>
    <w:rsid w:val="00825881"/>
    <w:rsid w:val="008258E9"/>
    <w:rsid w:val="00825C0D"/>
    <w:rsid w:val="00825D68"/>
    <w:rsid w:val="00827A6A"/>
    <w:rsid w:val="0083021F"/>
    <w:rsid w:val="00830670"/>
    <w:rsid w:val="0083090B"/>
    <w:rsid w:val="00831AD8"/>
    <w:rsid w:val="00831E9F"/>
    <w:rsid w:val="008320AF"/>
    <w:rsid w:val="00832C6F"/>
    <w:rsid w:val="00833016"/>
    <w:rsid w:val="00833678"/>
    <w:rsid w:val="00833FA7"/>
    <w:rsid w:val="00834002"/>
    <w:rsid w:val="00834EAC"/>
    <w:rsid w:val="008352C8"/>
    <w:rsid w:val="008353D2"/>
    <w:rsid w:val="00835AC3"/>
    <w:rsid w:val="00835D8D"/>
    <w:rsid w:val="00835F7B"/>
    <w:rsid w:val="00836D2F"/>
    <w:rsid w:val="00836F50"/>
    <w:rsid w:val="00837374"/>
    <w:rsid w:val="00837E2A"/>
    <w:rsid w:val="00840F46"/>
    <w:rsid w:val="008418C6"/>
    <w:rsid w:val="00841B61"/>
    <w:rsid w:val="0084242A"/>
    <w:rsid w:val="008430D5"/>
    <w:rsid w:val="00843A93"/>
    <w:rsid w:val="00844386"/>
    <w:rsid w:val="00844E9A"/>
    <w:rsid w:val="00844EE3"/>
    <w:rsid w:val="0084645E"/>
    <w:rsid w:val="00847054"/>
    <w:rsid w:val="00847D83"/>
    <w:rsid w:val="00850267"/>
    <w:rsid w:val="008505AF"/>
    <w:rsid w:val="00850625"/>
    <w:rsid w:val="00850BB5"/>
    <w:rsid w:val="00851C8F"/>
    <w:rsid w:val="008535E7"/>
    <w:rsid w:val="00853E5D"/>
    <w:rsid w:val="00855262"/>
    <w:rsid w:val="008558B8"/>
    <w:rsid w:val="00855B32"/>
    <w:rsid w:val="0085698B"/>
    <w:rsid w:val="00856E1D"/>
    <w:rsid w:val="00856EF8"/>
    <w:rsid w:val="008579D2"/>
    <w:rsid w:val="0086051F"/>
    <w:rsid w:val="008616C6"/>
    <w:rsid w:val="00862440"/>
    <w:rsid w:val="008628AD"/>
    <w:rsid w:val="00862D3A"/>
    <w:rsid w:val="00863BAF"/>
    <w:rsid w:val="00863E1D"/>
    <w:rsid w:val="00863F8F"/>
    <w:rsid w:val="0086429D"/>
    <w:rsid w:val="00865487"/>
    <w:rsid w:val="00866701"/>
    <w:rsid w:val="008667D6"/>
    <w:rsid w:val="008673AD"/>
    <w:rsid w:val="00867481"/>
    <w:rsid w:val="00870702"/>
    <w:rsid w:val="008711FF"/>
    <w:rsid w:val="00872E3B"/>
    <w:rsid w:val="008736C5"/>
    <w:rsid w:val="00875421"/>
    <w:rsid w:val="0087553E"/>
    <w:rsid w:val="0087555B"/>
    <w:rsid w:val="00875740"/>
    <w:rsid w:val="008767DC"/>
    <w:rsid w:val="008804C6"/>
    <w:rsid w:val="008806D9"/>
    <w:rsid w:val="00880B39"/>
    <w:rsid w:val="00880F88"/>
    <w:rsid w:val="00881A5D"/>
    <w:rsid w:val="00881E72"/>
    <w:rsid w:val="00882489"/>
    <w:rsid w:val="00882CF9"/>
    <w:rsid w:val="00884C8C"/>
    <w:rsid w:val="00884D6C"/>
    <w:rsid w:val="00884E01"/>
    <w:rsid w:val="0088546F"/>
    <w:rsid w:val="00885672"/>
    <w:rsid w:val="00887736"/>
    <w:rsid w:val="008879DC"/>
    <w:rsid w:val="0089058F"/>
    <w:rsid w:val="0089167D"/>
    <w:rsid w:val="00891773"/>
    <w:rsid w:val="00892137"/>
    <w:rsid w:val="00892AAE"/>
    <w:rsid w:val="00893EC9"/>
    <w:rsid w:val="00894329"/>
    <w:rsid w:val="008948CD"/>
    <w:rsid w:val="00894B9C"/>
    <w:rsid w:val="00894E6D"/>
    <w:rsid w:val="0089553F"/>
    <w:rsid w:val="00896280"/>
    <w:rsid w:val="008975E7"/>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5DF"/>
    <w:rsid w:val="008B0A81"/>
    <w:rsid w:val="008B0BFB"/>
    <w:rsid w:val="008B1240"/>
    <w:rsid w:val="008B15FD"/>
    <w:rsid w:val="008B1661"/>
    <w:rsid w:val="008B1FE7"/>
    <w:rsid w:val="008B502A"/>
    <w:rsid w:val="008B6409"/>
    <w:rsid w:val="008C0957"/>
    <w:rsid w:val="008C0AFC"/>
    <w:rsid w:val="008C0BF5"/>
    <w:rsid w:val="008C0D69"/>
    <w:rsid w:val="008C1570"/>
    <w:rsid w:val="008C1E2A"/>
    <w:rsid w:val="008C1FF7"/>
    <w:rsid w:val="008C347B"/>
    <w:rsid w:val="008C371A"/>
    <w:rsid w:val="008C4276"/>
    <w:rsid w:val="008C4B3E"/>
    <w:rsid w:val="008C524D"/>
    <w:rsid w:val="008C5C97"/>
    <w:rsid w:val="008C6183"/>
    <w:rsid w:val="008C63C1"/>
    <w:rsid w:val="008C6AB7"/>
    <w:rsid w:val="008D05F7"/>
    <w:rsid w:val="008D07AE"/>
    <w:rsid w:val="008D1370"/>
    <w:rsid w:val="008D151F"/>
    <w:rsid w:val="008D19D2"/>
    <w:rsid w:val="008D1FF9"/>
    <w:rsid w:val="008D3FED"/>
    <w:rsid w:val="008D47C7"/>
    <w:rsid w:val="008D6159"/>
    <w:rsid w:val="008D6731"/>
    <w:rsid w:val="008D71A0"/>
    <w:rsid w:val="008D76E2"/>
    <w:rsid w:val="008D7C41"/>
    <w:rsid w:val="008E0E4E"/>
    <w:rsid w:val="008E2134"/>
    <w:rsid w:val="008E27B6"/>
    <w:rsid w:val="008E28C1"/>
    <w:rsid w:val="008E3828"/>
    <w:rsid w:val="008E406D"/>
    <w:rsid w:val="008E4DA4"/>
    <w:rsid w:val="008E667A"/>
    <w:rsid w:val="008E7446"/>
    <w:rsid w:val="008F01DC"/>
    <w:rsid w:val="008F079B"/>
    <w:rsid w:val="008F0EFD"/>
    <w:rsid w:val="008F15EE"/>
    <w:rsid w:val="008F16A4"/>
    <w:rsid w:val="008F1712"/>
    <w:rsid w:val="008F205B"/>
    <w:rsid w:val="008F30EF"/>
    <w:rsid w:val="008F3909"/>
    <w:rsid w:val="008F42E8"/>
    <w:rsid w:val="008F4F06"/>
    <w:rsid w:val="008F58F1"/>
    <w:rsid w:val="008F730A"/>
    <w:rsid w:val="008F7A76"/>
    <w:rsid w:val="00902DB2"/>
    <w:rsid w:val="009032FA"/>
    <w:rsid w:val="00903485"/>
    <w:rsid w:val="009034F9"/>
    <w:rsid w:val="00903BCC"/>
    <w:rsid w:val="00903D90"/>
    <w:rsid w:val="009041C3"/>
    <w:rsid w:val="009042DE"/>
    <w:rsid w:val="00905FFD"/>
    <w:rsid w:val="00906790"/>
    <w:rsid w:val="0090726D"/>
    <w:rsid w:val="0091076A"/>
    <w:rsid w:val="00911149"/>
    <w:rsid w:val="00912A46"/>
    <w:rsid w:val="009149CA"/>
    <w:rsid w:val="00915987"/>
    <w:rsid w:val="00916793"/>
    <w:rsid w:val="00917E36"/>
    <w:rsid w:val="009203EA"/>
    <w:rsid w:val="009204E9"/>
    <w:rsid w:val="00922A2C"/>
    <w:rsid w:val="00923589"/>
    <w:rsid w:val="0092372B"/>
    <w:rsid w:val="00923BB7"/>
    <w:rsid w:val="00924D0E"/>
    <w:rsid w:val="00924E41"/>
    <w:rsid w:val="00924ECA"/>
    <w:rsid w:val="0092570B"/>
    <w:rsid w:val="009258BD"/>
    <w:rsid w:val="00926249"/>
    <w:rsid w:val="00926B66"/>
    <w:rsid w:val="00926E42"/>
    <w:rsid w:val="00926F4F"/>
    <w:rsid w:val="009307B3"/>
    <w:rsid w:val="009317EE"/>
    <w:rsid w:val="00931AEE"/>
    <w:rsid w:val="00931DC4"/>
    <w:rsid w:val="009331AC"/>
    <w:rsid w:val="009334C0"/>
    <w:rsid w:val="0093357A"/>
    <w:rsid w:val="00934E73"/>
    <w:rsid w:val="009351E8"/>
    <w:rsid w:val="00935EA8"/>
    <w:rsid w:val="009360DC"/>
    <w:rsid w:val="00936E93"/>
    <w:rsid w:val="009373E1"/>
    <w:rsid w:val="00937AE3"/>
    <w:rsid w:val="00937F20"/>
    <w:rsid w:val="0094038B"/>
    <w:rsid w:val="00940600"/>
    <w:rsid w:val="00940C7C"/>
    <w:rsid w:val="0094115E"/>
    <w:rsid w:val="009412BC"/>
    <w:rsid w:val="00941869"/>
    <w:rsid w:val="00942145"/>
    <w:rsid w:val="009424B5"/>
    <w:rsid w:val="00944CF0"/>
    <w:rsid w:val="0094500E"/>
    <w:rsid w:val="009452AD"/>
    <w:rsid w:val="00946EAB"/>
    <w:rsid w:val="00951925"/>
    <w:rsid w:val="00952411"/>
    <w:rsid w:val="009535AC"/>
    <w:rsid w:val="00953695"/>
    <w:rsid w:val="00954201"/>
    <w:rsid w:val="009543F5"/>
    <w:rsid w:val="0095541E"/>
    <w:rsid w:val="00955CA7"/>
    <w:rsid w:val="00956530"/>
    <w:rsid w:val="00956C49"/>
    <w:rsid w:val="0095733C"/>
    <w:rsid w:val="00957360"/>
    <w:rsid w:val="00960D0F"/>
    <w:rsid w:val="00961075"/>
    <w:rsid w:val="00961822"/>
    <w:rsid w:val="00961F5E"/>
    <w:rsid w:val="0096250E"/>
    <w:rsid w:val="00963C41"/>
    <w:rsid w:val="00964AFD"/>
    <w:rsid w:val="00964E60"/>
    <w:rsid w:val="009659E4"/>
    <w:rsid w:val="00966128"/>
    <w:rsid w:val="00966870"/>
    <w:rsid w:val="00966F94"/>
    <w:rsid w:val="009702AD"/>
    <w:rsid w:val="00970C64"/>
    <w:rsid w:val="00970FEC"/>
    <w:rsid w:val="0097162D"/>
    <w:rsid w:val="009720F6"/>
    <w:rsid w:val="00972133"/>
    <w:rsid w:val="009722D9"/>
    <w:rsid w:val="009733FC"/>
    <w:rsid w:val="009735EF"/>
    <w:rsid w:val="00974606"/>
    <w:rsid w:val="00974BAA"/>
    <w:rsid w:val="00975DDE"/>
    <w:rsid w:val="00976F32"/>
    <w:rsid w:val="00980070"/>
    <w:rsid w:val="00981915"/>
    <w:rsid w:val="00983074"/>
    <w:rsid w:val="009841CE"/>
    <w:rsid w:val="0098698C"/>
    <w:rsid w:val="00986E41"/>
    <w:rsid w:val="00986ECB"/>
    <w:rsid w:val="00987746"/>
    <w:rsid w:val="009935E2"/>
    <w:rsid w:val="0099413C"/>
    <w:rsid w:val="0099445B"/>
    <w:rsid w:val="00994866"/>
    <w:rsid w:val="00995330"/>
    <w:rsid w:val="00995691"/>
    <w:rsid w:val="009960CE"/>
    <w:rsid w:val="00997DB3"/>
    <w:rsid w:val="009A0E32"/>
    <w:rsid w:val="009A10C1"/>
    <w:rsid w:val="009A16E8"/>
    <w:rsid w:val="009A18E2"/>
    <w:rsid w:val="009A1B83"/>
    <w:rsid w:val="009A1CF1"/>
    <w:rsid w:val="009A2742"/>
    <w:rsid w:val="009A306B"/>
    <w:rsid w:val="009A312C"/>
    <w:rsid w:val="009A35DC"/>
    <w:rsid w:val="009A3E7B"/>
    <w:rsid w:val="009A414F"/>
    <w:rsid w:val="009A4452"/>
    <w:rsid w:val="009A5622"/>
    <w:rsid w:val="009A5A6D"/>
    <w:rsid w:val="009A75C6"/>
    <w:rsid w:val="009A7745"/>
    <w:rsid w:val="009A789A"/>
    <w:rsid w:val="009A79AD"/>
    <w:rsid w:val="009B097E"/>
    <w:rsid w:val="009B0CFA"/>
    <w:rsid w:val="009B0DA9"/>
    <w:rsid w:val="009B13BC"/>
    <w:rsid w:val="009B1B3F"/>
    <w:rsid w:val="009B1CE2"/>
    <w:rsid w:val="009B1FF3"/>
    <w:rsid w:val="009B2594"/>
    <w:rsid w:val="009B5AF7"/>
    <w:rsid w:val="009B5EDA"/>
    <w:rsid w:val="009B6157"/>
    <w:rsid w:val="009B6B80"/>
    <w:rsid w:val="009B77ED"/>
    <w:rsid w:val="009C0039"/>
    <w:rsid w:val="009C12BE"/>
    <w:rsid w:val="009C1A93"/>
    <w:rsid w:val="009C21E2"/>
    <w:rsid w:val="009C26B5"/>
    <w:rsid w:val="009C6065"/>
    <w:rsid w:val="009C6105"/>
    <w:rsid w:val="009C6346"/>
    <w:rsid w:val="009C6C41"/>
    <w:rsid w:val="009C71E1"/>
    <w:rsid w:val="009D04D2"/>
    <w:rsid w:val="009D0C54"/>
    <w:rsid w:val="009D1400"/>
    <w:rsid w:val="009D14DC"/>
    <w:rsid w:val="009D2DB2"/>
    <w:rsid w:val="009D322E"/>
    <w:rsid w:val="009D4806"/>
    <w:rsid w:val="009D49B6"/>
    <w:rsid w:val="009D4F2F"/>
    <w:rsid w:val="009D5585"/>
    <w:rsid w:val="009D5682"/>
    <w:rsid w:val="009D59B1"/>
    <w:rsid w:val="009D5B52"/>
    <w:rsid w:val="009D6BD4"/>
    <w:rsid w:val="009D75A2"/>
    <w:rsid w:val="009D7A1B"/>
    <w:rsid w:val="009D7AFB"/>
    <w:rsid w:val="009E123C"/>
    <w:rsid w:val="009E219F"/>
    <w:rsid w:val="009E238F"/>
    <w:rsid w:val="009E276C"/>
    <w:rsid w:val="009E282E"/>
    <w:rsid w:val="009E2A40"/>
    <w:rsid w:val="009E328A"/>
    <w:rsid w:val="009E36DA"/>
    <w:rsid w:val="009E3CAA"/>
    <w:rsid w:val="009E409D"/>
    <w:rsid w:val="009E44EC"/>
    <w:rsid w:val="009E4E32"/>
    <w:rsid w:val="009E5AA9"/>
    <w:rsid w:val="009E5C54"/>
    <w:rsid w:val="009E61A4"/>
    <w:rsid w:val="009E664D"/>
    <w:rsid w:val="009E6942"/>
    <w:rsid w:val="009E76CD"/>
    <w:rsid w:val="009E7D98"/>
    <w:rsid w:val="009F01AC"/>
    <w:rsid w:val="009F0555"/>
    <w:rsid w:val="009F06E7"/>
    <w:rsid w:val="009F0E2F"/>
    <w:rsid w:val="009F139D"/>
    <w:rsid w:val="009F1E60"/>
    <w:rsid w:val="009F2270"/>
    <w:rsid w:val="009F23BA"/>
    <w:rsid w:val="009F2745"/>
    <w:rsid w:val="009F2DCE"/>
    <w:rsid w:val="009F2E22"/>
    <w:rsid w:val="009F3064"/>
    <w:rsid w:val="009F48E2"/>
    <w:rsid w:val="009F5AD7"/>
    <w:rsid w:val="009F5C6E"/>
    <w:rsid w:val="009F5FA0"/>
    <w:rsid w:val="009F604F"/>
    <w:rsid w:val="009F61FB"/>
    <w:rsid w:val="009F69E3"/>
    <w:rsid w:val="009F6F06"/>
    <w:rsid w:val="009F7DB3"/>
    <w:rsid w:val="00A00B2E"/>
    <w:rsid w:val="00A00C72"/>
    <w:rsid w:val="00A017BD"/>
    <w:rsid w:val="00A0188F"/>
    <w:rsid w:val="00A018DE"/>
    <w:rsid w:val="00A01EF4"/>
    <w:rsid w:val="00A0204B"/>
    <w:rsid w:val="00A02364"/>
    <w:rsid w:val="00A02759"/>
    <w:rsid w:val="00A028DC"/>
    <w:rsid w:val="00A03A10"/>
    <w:rsid w:val="00A04141"/>
    <w:rsid w:val="00A05CB3"/>
    <w:rsid w:val="00A062B0"/>
    <w:rsid w:val="00A07631"/>
    <w:rsid w:val="00A078ED"/>
    <w:rsid w:val="00A07A4D"/>
    <w:rsid w:val="00A10EDB"/>
    <w:rsid w:val="00A11170"/>
    <w:rsid w:val="00A12D67"/>
    <w:rsid w:val="00A13223"/>
    <w:rsid w:val="00A134C4"/>
    <w:rsid w:val="00A13A09"/>
    <w:rsid w:val="00A141E3"/>
    <w:rsid w:val="00A143D1"/>
    <w:rsid w:val="00A144DF"/>
    <w:rsid w:val="00A14B18"/>
    <w:rsid w:val="00A1594B"/>
    <w:rsid w:val="00A164EF"/>
    <w:rsid w:val="00A16D70"/>
    <w:rsid w:val="00A1778B"/>
    <w:rsid w:val="00A17B25"/>
    <w:rsid w:val="00A17DD6"/>
    <w:rsid w:val="00A203C8"/>
    <w:rsid w:val="00A20597"/>
    <w:rsid w:val="00A21F89"/>
    <w:rsid w:val="00A21FC2"/>
    <w:rsid w:val="00A22582"/>
    <w:rsid w:val="00A22B9E"/>
    <w:rsid w:val="00A22C16"/>
    <w:rsid w:val="00A23184"/>
    <w:rsid w:val="00A245B0"/>
    <w:rsid w:val="00A24761"/>
    <w:rsid w:val="00A24E59"/>
    <w:rsid w:val="00A24FD6"/>
    <w:rsid w:val="00A25B3D"/>
    <w:rsid w:val="00A25C4B"/>
    <w:rsid w:val="00A25EAA"/>
    <w:rsid w:val="00A265B7"/>
    <w:rsid w:val="00A266C6"/>
    <w:rsid w:val="00A26D03"/>
    <w:rsid w:val="00A27929"/>
    <w:rsid w:val="00A30ACA"/>
    <w:rsid w:val="00A31726"/>
    <w:rsid w:val="00A33138"/>
    <w:rsid w:val="00A34607"/>
    <w:rsid w:val="00A35B7D"/>
    <w:rsid w:val="00A3621C"/>
    <w:rsid w:val="00A36984"/>
    <w:rsid w:val="00A370BA"/>
    <w:rsid w:val="00A37399"/>
    <w:rsid w:val="00A37869"/>
    <w:rsid w:val="00A37C0C"/>
    <w:rsid w:val="00A4075E"/>
    <w:rsid w:val="00A40D8A"/>
    <w:rsid w:val="00A40E65"/>
    <w:rsid w:val="00A41930"/>
    <w:rsid w:val="00A42864"/>
    <w:rsid w:val="00A42BBE"/>
    <w:rsid w:val="00A43871"/>
    <w:rsid w:val="00A43C6F"/>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3AC"/>
    <w:rsid w:val="00A5475A"/>
    <w:rsid w:val="00A548D6"/>
    <w:rsid w:val="00A5558F"/>
    <w:rsid w:val="00A55963"/>
    <w:rsid w:val="00A55AA1"/>
    <w:rsid w:val="00A55CBA"/>
    <w:rsid w:val="00A55FC3"/>
    <w:rsid w:val="00A56612"/>
    <w:rsid w:val="00A56A06"/>
    <w:rsid w:val="00A60670"/>
    <w:rsid w:val="00A60C72"/>
    <w:rsid w:val="00A60FFC"/>
    <w:rsid w:val="00A6177A"/>
    <w:rsid w:val="00A63838"/>
    <w:rsid w:val="00A64059"/>
    <w:rsid w:val="00A64CC8"/>
    <w:rsid w:val="00A67B50"/>
    <w:rsid w:val="00A70958"/>
    <w:rsid w:val="00A71244"/>
    <w:rsid w:val="00A72588"/>
    <w:rsid w:val="00A7554E"/>
    <w:rsid w:val="00A75633"/>
    <w:rsid w:val="00A75FD6"/>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AF5"/>
    <w:rsid w:val="00A85577"/>
    <w:rsid w:val="00A8586A"/>
    <w:rsid w:val="00A85994"/>
    <w:rsid w:val="00A86343"/>
    <w:rsid w:val="00A86463"/>
    <w:rsid w:val="00A879BD"/>
    <w:rsid w:val="00A879CC"/>
    <w:rsid w:val="00A87E1F"/>
    <w:rsid w:val="00A90756"/>
    <w:rsid w:val="00A90C5D"/>
    <w:rsid w:val="00A90FC0"/>
    <w:rsid w:val="00A926D4"/>
    <w:rsid w:val="00A92DD0"/>
    <w:rsid w:val="00A93909"/>
    <w:rsid w:val="00A94E58"/>
    <w:rsid w:val="00A964D0"/>
    <w:rsid w:val="00A9690F"/>
    <w:rsid w:val="00AA00D7"/>
    <w:rsid w:val="00AA075B"/>
    <w:rsid w:val="00AA191A"/>
    <w:rsid w:val="00AA1AE5"/>
    <w:rsid w:val="00AA1B6A"/>
    <w:rsid w:val="00AA1BB7"/>
    <w:rsid w:val="00AA1CE2"/>
    <w:rsid w:val="00AA2061"/>
    <w:rsid w:val="00AA2275"/>
    <w:rsid w:val="00AA25FD"/>
    <w:rsid w:val="00AA41B5"/>
    <w:rsid w:val="00AA5511"/>
    <w:rsid w:val="00AA5F30"/>
    <w:rsid w:val="00AA62D7"/>
    <w:rsid w:val="00AA6C09"/>
    <w:rsid w:val="00AA6DEB"/>
    <w:rsid w:val="00AA740F"/>
    <w:rsid w:val="00AB11D3"/>
    <w:rsid w:val="00AB13AB"/>
    <w:rsid w:val="00AB13D0"/>
    <w:rsid w:val="00AB151C"/>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CB"/>
    <w:rsid w:val="00AD0788"/>
    <w:rsid w:val="00AD13FD"/>
    <w:rsid w:val="00AD2E9E"/>
    <w:rsid w:val="00AD4C79"/>
    <w:rsid w:val="00AD5C13"/>
    <w:rsid w:val="00AD5DCC"/>
    <w:rsid w:val="00AD6873"/>
    <w:rsid w:val="00AD71A3"/>
    <w:rsid w:val="00AD7CF4"/>
    <w:rsid w:val="00AE041D"/>
    <w:rsid w:val="00AE0B4D"/>
    <w:rsid w:val="00AE1CF9"/>
    <w:rsid w:val="00AE3A9E"/>
    <w:rsid w:val="00AE40FE"/>
    <w:rsid w:val="00AE4F47"/>
    <w:rsid w:val="00AE4F85"/>
    <w:rsid w:val="00AE64D0"/>
    <w:rsid w:val="00AE6617"/>
    <w:rsid w:val="00AE67AA"/>
    <w:rsid w:val="00AE6837"/>
    <w:rsid w:val="00AE78AE"/>
    <w:rsid w:val="00AE7EBF"/>
    <w:rsid w:val="00AF08F8"/>
    <w:rsid w:val="00AF1127"/>
    <w:rsid w:val="00AF123A"/>
    <w:rsid w:val="00AF2034"/>
    <w:rsid w:val="00AF2E7B"/>
    <w:rsid w:val="00AF373E"/>
    <w:rsid w:val="00AF4A8A"/>
    <w:rsid w:val="00AF5686"/>
    <w:rsid w:val="00AF6AFC"/>
    <w:rsid w:val="00B00040"/>
    <w:rsid w:val="00B000B7"/>
    <w:rsid w:val="00B00340"/>
    <w:rsid w:val="00B0046B"/>
    <w:rsid w:val="00B00783"/>
    <w:rsid w:val="00B00B4A"/>
    <w:rsid w:val="00B00D49"/>
    <w:rsid w:val="00B0232C"/>
    <w:rsid w:val="00B02715"/>
    <w:rsid w:val="00B02B59"/>
    <w:rsid w:val="00B02E74"/>
    <w:rsid w:val="00B03133"/>
    <w:rsid w:val="00B03220"/>
    <w:rsid w:val="00B032B4"/>
    <w:rsid w:val="00B04563"/>
    <w:rsid w:val="00B04728"/>
    <w:rsid w:val="00B05E50"/>
    <w:rsid w:val="00B05FDF"/>
    <w:rsid w:val="00B064D1"/>
    <w:rsid w:val="00B06F6A"/>
    <w:rsid w:val="00B07AD3"/>
    <w:rsid w:val="00B10EA4"/>
    <w:rsid w:val="00B11EA4"/>
    <w:rsid w:val="00B1202E"/>
    <w:rsid w:val="00B127AB"/>
    <w:rsid w:val="00B13410"/>
    <w:rsid w:val="00B13CC2"/>
    <w:rsid w:val="00B150DC"/>
    <w:rsid w:val="00B1638A"/>
    <w:rsid w:val="00B17616"/>
    <w:rsid w:val="00B20548"/>
    <w:rsid w:val="00B21817"/>
    <w:rsid w:val="00B21B3F"/>
    <w:rsid w:val="00B21BE8"/>
    <w:rsid w:val="00B22443"/>
    <w:rsid w:val="00B23239"/>
    <w:rsid w:val="00B24329"/>
    <w:rsid w:val="00B247D0"/>
    <w:rsid w:val="00B2562A"/>
    <w:rsid w:val="00B25731"/>
    <w:rsid w:val="00B25A06"/>
    <w:rsid w:val="00B25E75"/>
    <w:rsid w:val="00B264CC"/>
    <w:rsid w:val="00B279F3"/>
    <w:rsid w:val="00B27DD7"/>
    <w:rsid w:val="00B27E9C"/>
    <w:rsid w:val="00B27FCA"/>
    <w:rsid w:val="00B30161"/>
    <w:rsid w:val="00B30402"/>
    <w:rsid w:val="00B31230"/>
    <w:rsid w:val="00B31400"/>
    <w:rsid w:val="00B3212C"/>
    <w:rsid w:val="00B32625"/>
    <w:rsid w:val="00B32786"/>
    <w:rsid w:val="00B328E6"/>
    <w:rsid w:val="00B32C24"/>
    <w:rsid w:val="00B3320E"/>
    <w:rsid w:val="00B33213"/>
    <w:rsid w:val="00B337E5"/>
    <w:rsid w:val="00B33E0E"/>
    <w:rsid w:val="00B34D5A"/>
    <w:rsid w:val="00B35379"/>
    <w:rsid w:val="00B3565B"/>
    <w:rsid w:val="00B35C60"/>
    <w:rsid w:val="00B36297"/>
    <w:rsid w:val="00B36EB3"/>
    <w:rsid w:val="00B370AF"/>
    <w:rsid w:val="00B372FF"/>
    <w:rsid w:val="00B37319"/>
    <w:rsid w:val="00B375E3"/>
    <w:rsid w:val="00B406D8"/>
    <w:rsid w:val="00B408CD"/>
    <w:rsid w:val="00B4379A"/>
    <w:rsid w:val="00B43D41"/>
    <w:rsid w:val="00B43D55"/>
    <w:rsid w:val="00B44ED6"/>
    <w:rsid w:val="00B45127"/>
    <w:rsid w:val="00B46672"/>
    <w:rsid w:val="00B500FF"/>
    <w:rsid w:val="00B5043F"/>
    <w:rsid w:val="00B51E18"/>
    <w:rsid w:val="00B52255"/>
    <w:rsid w:val="00B53848"/>
    <w:rsid w:val="00B54E04"/>
    <w:rsid w:val="00B5568C"/>
    <w:rsid w:val="00B576BC"/>
    <w:rsid w:val="00B57DD8"/>
    <w:rsid w:val="00B6035E"/>
    <w:rsid w:val="00B60555"/>
    <w:rsid w:val="00B60C74"/>
    <w:rsid w:val="00B615C7"/>
    <w:rsid w:val="00B6283C"/>
    <w:rsid w:val="00B63B57"/>
    <w:rsid w:val="00B64CE7"/>
    <w:rsid w:val="00B64FAE"/>
    <w:rsid w:val="00B665EA"/>
    <w:rsid w:val="00B66E34"/>
    <w:rsid w:val="00B67809"/>
    <w:rsid w:val="00B67FC6"/>
    <w:rsid w:val="00B700CA"/>
    <w:rsid w:val="00B708D9"/>
    <w:rsid w:val="00B7151E"/>
    <w:rsid w:val="00B716FB"/>
    <w:rsid w:val="00B71720"/>
    <w:rsid w:val="00B71728"/>
    <w:rsid w:val="00B7232D"/>
    <w:rsid w:val="00B723C5"/>
    <w:rsid w:val="00B723FB"/>
    <w:rsid w:val="00B7270C"/>
    <w:rsid w:val="00B727B5"/>
    <w:rsid w:val="00B7294F"/>
    <w:rsid w:val="00B72CCE"/>
    <w:rsid w:val="00B72D4F"/>
    <w:rsid w:val="00B73686"/>
    <w:rsid w:val="00B73BFD"/>
    <w:rsid w:val="00B7426A"/>
    <w:rsid w:val="00B74ED6"/>
    <w:rsid w:val="00B75B68"/>
    <w:rsid w:val="00B8063A"/>
    <w:rsid w:val="00B81969"/>
    <w:rsid w:val="00B828DA"/>
    <w:rsid w:val="00B82D75"/>
    <w:rsid w:val="00B82DC8"/>
    <w:rsid w:val="00B82EF8"/>
    <w:rsid w:val="00B834DE"/>
    <w:rsid w:val="00B8417E"/>
    <w:rsid w:val="00B86006"/>
    <w:rsid w:val="00B87D91"/>
    <w:rsid w:val="00B910AD"/>
    <w:rsid w:val="00B9142C"/>
    <w:rsid w:val="00B91820"/>
    <w:rsid w:val="00B918EF"/>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35B"/>
    <w:rsid w:val="00BA6776"/>
    <w:rsid w:val="00BA6DB5"/>
    <w:rsid w:val="00BA7300"/>
    <w:rsid w:val="00BB184F"/>
    <w:rsid w:val="00BB1910"/>
    <w:rsid w:val="00BB2078"/>
    <w:rsid w:val="00BB2118"/>
    <w:rsid w:val="00BB2131"/>
    <w:rsid w:val="00BB2292"/>
    <w:rsid w:val="00BB2689"/>
    <w:rsid w:val="00BB29CD"/>
    <w:rsid w:val="00BB3451"/>
    <w:rsid w:val="00BB39AC"/>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EEB"/>
    <w:rsid w:val="00BD6EE4"/>
    <w:rsid w:val="00BD77B5"/>
    <w:rsid w:val="00BD77C0"/>
    <w:rsid w:val="00BE1116"/>
    <w:rsid w:val="00BE15AB"/>
    <w:rsid w:val="00BE1A8C"/>
    <w:rsid w:val="00BE2A3F"/>
    <w:rsid w:val="00BE3794"/>
    <w:rsid w:val="00BE43FD"/>
    <w:rsid w:val="00BE6919"/>
    <w:rsid w:val="00BE781D"/>
    <w:rsid w:val="00BE78BF"/>
    <w:rsid w:val="00BF0262"/>
    <w:rsid w:val="00BF040C"/>
    <w:rsid w:val="00BF0484"/>
    <w:rsid w:val="00BF04C2"/>
    <w:rsid w:val="00BF04D7"/>
    <w:rsid w:val="00BF077A"/>
    <w:rsid w:val="00BF08C6"/>
    <w:rsid w:val="00BF0B3C"/>
    <w:rsid w:val="00BF1067"/>
    <w:rsid w:val="00BF13EE"/>
    <w:rsid w:val="00BF1DDB"/>
    <w:rsid w:val="00BF254D"/>
    <w:rsid w:val="00BF2635"/>
    <w:rsid w:val="00BF2743"/>
    <w:rsid w:val="00BF4E58"/>
    <w:rsid w:val="00BF4EC9"/>
    <w:rsid w:val="00BF5633"/>
    <w:rsid w:val="00C01DEF"/>
    <w:rsid w:val="00C02502"/>
    <w:rsid w:val="00C02BD2"/>
    <w:rsid w:val="00C03EC1"/>
    <w:rsid w:val="00C059DC"/>
    <w:rsid w:val="00C05E30"/>
    <w:rsid w:val="00C06677"/>
    <w:rsid w:val="00C074D0"/>
    <w:rsid w:val="00C1031E"/>
    <w:rsid w:val="00C1062B"/>
    <w:rsid w:val="00C1095E"/>
    <w:rsid w:val="00C1135A"/>
    <w:rsid w:val="00C11E78"/>
    <w:rsid w:val="00C120F3"/>
    <w:rsid w:val="00C1217E"/>
    <w:rsid w:val="00C12487"/>
    <w:rsid w:val="00C12709"/>
    <w:rsid w:val="00C12894"/>
    <w:rsid w:val="00C1298B"/>
    <w:rsid w:val="00C13FB4"/>
    <w:rsid w:val="00C14504"/>
    <w:rsid w:val="00C14ED5"/>
    <w:rsid w:val="00C15D61"/>
    <w:rsid w:val="00C16008"/>
    <w:rsid w:val="00C162C2"/>
    <w:rsid w:val="00C168D3"/>
    <w:rsid w:val="00C16A75"/>
    <w:rsid w:val="00C16F9A"/>
    <w:rsid w:val="00C1708D"/>
    <w:rsid w:val="00C177B8"/>
    <w:rsid w:val="00C17CA3"/>
    <w:rsid w:val="00C17D02"/>
    <w:rsid w:val="00C17D46"/>
    <w:rsid w:val="00C20146"/>
    <w:rsid w:val="00C20213"/>
    <w:rsid w:val="00C208D3"/>
    <w:rsid w:val="00C208DB"/>
    <w:rsid w:val="00C210D6"/>
    <w:rsid w:val="00C22AA3"/>
    <w:rsid w:val="00C257D1"/>
    <w:rsid w:val="00C2643D"/>
    <w:rsid w:val="00C26560"/>
    <w:rsid w:val="00C26A57"/>
    <w:rsid w:val="00C26B84"/>
    <w:rsid w:val="00C305BC"/>
    <w:rsid w:val="00C30A20"/>
    <w:rsid w:val="00C30CE9"/>
    <w:rsid w:val="00C318E5"/>
    <w:rsid w:val="00C319DF"/>
    <w:rsid w:val="00C32712"/>
    <w:rsid w:val="00C33879"/>
    <w:rsid w:val="00C34B5A"/>
    <w:rsid w:val="00C35407"/>
    <w:rsid w:val="00C35C95"/>
    <w:rsid w:val="00C35E3C"/>
    <w:rsid w:val="00C35F65"/>
    <w:rsid w:val="00C366B9"/>
    <w:rsid w:val="00C36935"/>
    <w:rsid w:val="00C37006"/>
    <w:rsid w:val="00C37030"/>
    <w:rsid w:val="00C4088C"/>
    <w:rsid w:val="00C41186"/>
    <w:rsid w:val="00C43534"/>
    <w:rsid w:val="00C43A3E"/>
    <w:rsid w:val="00C43C3C"/>
    <w:rsid w:val="00C44121"/>
    <w:rsid w:val="00C457F2"/>
    <w:rsid w:val="00C4615F"/>
    <w:rsid w:val="00C461D1"/>
    <w:rsid w:val="00C471A7"/>
    <w:rsid w:val="00C47B1F"/>
    <w:rsid w:val="00C51A61"/>
    <w:rsid w:val="00C522A6"/>
    <w:rsid w:val="00C522EB"/>
    <w:rsid w:val="00C52EA6"/>
    <w:rsid w:val="00C53BCD"/>
    <w:rsid w:val="00C5494B"/>
    <w:rsid w:val="00C56385"/>
    <w:rsid w:val="00C5770D"/>
    <w:rsid w:val="00C606D4"/>
    <w:rsid w:val="00C608FC"/>
    <w:rsid w:val="00C6104A"/>
    <w:rsid w:val="00C61418"/>
    <w:rsid w:val="00C6191A"/>
    <w:rsid w:val="00C61ADD"/>
    <w:rsid w:val="00C61F2E"/>
    <w:rsid w:val="00C6248B"/>
    <w:rsid w:val="00C63795"/>
    <w:rsid w:val="00C6515A"/>
    <w:rsid w:val="00C660C6"/>
    <w:rsid w:val="00C672EE"/>
    <w:rsid w:val="00C67558"/>
    <w:rsid w:val="00C67B9C"/>
    <w:rsid w:val="00C67BD6"/>
    <w:rsid w:val="00C7070A"/>
    <w:rsid w:val="00C70F24"/>
    <w:rsid w:val="00C717C0"/>
    <w:rsid w:val="00C7180D"/>
    <w:rsid w:val="00C723A9"/>
    <w:rsid w:val="00C725B5"/>
    <w:rsid w:val="00C72754"/>
    <w:rsid w:val="00C72CA8"/>
    <w:rsid w:val="00C73572"/>
    <w:rsid w:val="00C7390A"/>
    <w:rsid w:val="00C75353"/>
    <w:rsid w:val="00C75EF3"/>
    <w:rsid w:val="00C75FA3"/>
    <w:rsid w:val="00C779FC"/>
    <w:rsid w:val="00C80986"/>
    <w:rsid w:val="00C81296"/>
    <w:rsid w:val="00C819CF"/>
    <w:rsid w:val="00C81BA2"/>
    <w:rsid w:val="00C81BE0"/>
    <w:rsid w:val="00C82677"/>
    <w:rsid w:val="00C853C5"/>
    <w:rsid w:val="00C85AD3"/>
    <w:rsid w:val="00C86858"/>
    <w:rsid w:val="00C870B3"/>
    <w:rsid w:val="00C87741"/>
    <w:rsid w:val="00C87F8C"/>
    <w:rsid w:val="00C9158A"/>
    <w:rsid w:val="00C917F3"/>
    <w:rsid w:val="00C93079"/>
    <w:rsid w:val="00C93179"/>
    <w:rsid w:val="00C93B10"/>
    <w:rsid w:val="00C9453D"/>
    <w:rsid w:val="00C94689"/>
    <w:rsid w:val="00C95715"/>
    <w:rsid w:val="00C9787F"/>
    <w:rsid w:val="00C97D0F"/>
    <w:rsid w:val="00CA149E"/>
    <w:rsid w:val="00CA52BF"/>
    <w:rsid w:val="00CA5C67"/>
    <w:rsid w:val="00CA6107"/>
    <w:rsid w:val="00CA651F"/>
    <w:rsid w:val="00CA6A89"/>
    <w:rsid w:val="00CA7B58"/>
    <w:rsid w:val="00CA7BA9"/>
    <w:rsid w:val="00CB06E1"/>
    <w:rsid w:val="00CB154C"/>
    <w:rsid w:val="00CB1B8D"/>
    <w:rsid w:val="00CB1FE8"/>
    <w:rsid w:val="00CB3372"/>
    <w:rsid w:val="00CB3B9D"/>
    <w:rsid w:val="00CB4A23"/>
    <w:rsid w:val="00CB4F1B"/>
    <w:rsid w:val="00CB5245"/>
    <w:rsid w:val="00CB6DAC"/>
    <w:rsid w:val="00CB765A"/>
    <w:rsid w:val="00CC0ADB"/>
    <w:rsid w:val="00CC2005"/>
    <w:rsid w:val="00CC3633"/>
    <w:rsid w:val="00CC58D6"/>
    <w:rsid w:val="00CC5D24"/>
    <w:rsid w:val="00CC6023"/>
    <w:rsid w:val="00CC63AC"/>
    <w:rsid w:val="00CC6658"/>
    <w:rsid w:val="00CC72BF"/>
    <w:rsid w:val="00CC780F"/>
    <w:rsid w:val="00CC7816"/>
    <w:rsid w:val="00CC7E86"/>
    <w:rsid w:val="00CD0007"/>
    <w:rsid w:val="00CD0825"/>
    <w:rsid w:val="00CD08DC"/>
    <w:rsid w:val="00CD0F3F"/>
    <w:rsid w:val="00CD1245"/>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1079"/>
    <w:rsid w:val="00CE1241"/>
    <w:rsid w:val="00CE1D45"/>
    <w:rsid w:val="00CE38C3"/>
    <w:rsid w:val="00CE44F3"/>
    <w:rsid w:val="00CE526B"/>
    <w:rsid w:val="00CE53B3"/>
    <w:rsid w:val="00CE54C6"/>
    <w:rsid w:val="00CE5623"/>
    <w:rsid w:val="00CE599D"/>
    <w:rsid w:val="00CE5EF6"/>
    <w:rsid w:val="00CE6964"/>
    <w:rsid w:val="00CE6B3D"/>
    <w:rsid w:val="00CF1293"/>
    <w:rsid w:val="00CF14B8"/>
    <w:rsid w:val="00CF15AB"/>
    <w:rsid w:val="00CF16DD"/>
    <w:rsid w:val="00CF27DE"/>
    <w:rsid w:val="00CF27EF"/>
    <w:rsid w:val="00CF2C34"/>
    <w:rsid w:val="00CF2F7D"/>
    <w:rsid w:val="00CF381C"/>
    <w:rsid w:val="00CF38C6"/>
    <w:rsid w:val="00CF4A1A"/>
    <w:rsid w:val="00CF5E99"/>
    <w:rsid w:val="00CF6B65"/>
    <w:rsid w:val="00CF6D30"/>
    <w:rsid w:val="00D006FB"/>
    <w:rsid w:val="00D00CBE"/>
    <w:rsid w:val="00D013B2"/>
    <w:rsid w:val="00D01DDF"/>
    <w:rsid w:val="00D01ED5"/>
    <w:rsid w:val="00D0278B"/>
    <w:rsid w:val="00D0284E"/>
    <w:rsid w:val="00D02BCC"/>
    <w:rsid w:val="00D055AF"/>
    <w:rsid w:val="00D05AFE"/>
    <w:rsid w:val="00D05C54"/>
    <w:rsid w:val="00D05DA4"/>
    <w:rsid w:val="00D0791E"/>
    <w:rsid w:val="00D10060"/>
    <w:rsid w:val="00D10BEE"/>
    <w:rsid w:val="00D10C43"/>
    <w:rsid w:val="00D11C02"/>
    <w:rsid w:val="00D11FB8"/>
    <w:rsid w:val="00D12BFF"/>
    <w:rsid w:val="00D12E39"/>
    <w:rsid w:val="00D135D9"/>
    <w:rsid w:val="00D13A46"/>
    <w:rsid w:val="00D13D40"/>
    <w:rsid w:val="00D13DA5"/>
    <w:rsid w:val="00D143CD"/>
    <w:rsid w:val="00D14405"/>
    <w:rsid w:val="00D14757"/>
    <w:rsid w:val="00D14B23"/>
    <w:rsid w:val="00D151C1"/>
    <w:rsid w:val="00D1765F"/>
    <w:rsid w:val="00D205EF"/>
    <w:rsid w:val="00D20F70"/>
    <w:rsid w:val="00D21376"/>
    <w:rsid w:val="00D22F4E"/>
    <w:rsid w:val="00D2329A"/>
    <w:rsid w:val="00D23B6F"/>
    <w:rsid w:val="00D26EB5"/>
    <w:rsid w:val="00D30B53"/>
    <w:rsid w:val="00D30CF2"/>
    <w:rsid w:val="00D3178C"/>
    <w:rsid w:val="00D32E7E"/>
    <w:rsid w:val="00D33FBB"/>
    <w:rsid w:val="00D34C80"/>
    <w:rsid w:val="00D3507B"/>
    <w:rsid w:val="00D35E60"/>
    <w:rsid w:val="00D35F4E"/>
    <w:rsid w:val="00D378CF"/>
    <w:rsid w:val="00D40659"/>
    <w:rsid w:val="00D40671"/>
    <w:rsid w:val="00D4067F"/>
    <w:rsid w:val="00D420F6"/>
    <w:rsid w:val="00D458CB"/>
    <w:rsid w:val="00D459F9"/>
    <w:rsid w:val="00D45AAC"/>
    <w:rsid w:val="00D46010"/>
    <w:rsid w:val="00D4606E"/>
    <w:rsid w:val="00D46600"/>
    <w:rsid w:val="00D46F85"/>
    <w:rsid w:val="00D5015C"/>
    <w:rsid w:val="00D507E0"/>
    <w:rsid w:val="00D507E6"/>
    <w:rsid w:val="00D50984"/>
    <w:rsid w:val="00D5116C"/>
    <w:rsid w:val="00D51520"/>
    <w:rsid w:val="00D51819"/>
    <w:rsid w:val="00D51877"/>
    <w:rsid w:val="00D52EFB"/>
    <w:rsid w:val="00D531DA"/>
    <w:rsid w:val="00D53B26"/>
    <w:rsid w:val="00D55D82"/>
    <w:rsid w:val="00D6065E"/>
    <w:rsid w:val="00D6090A"/>
    <w:rsid w:val="00D60F99"/>
    <w:rsid w:val="00D616FC"/>
    <w:rsid w:val="00D617A8"/>
    <w:rsid w:val="00D61B94"/>
    <w:rsid w:val="00D6373B"/>
    <w:rsid w:val="00D63818"/>
    <w:rsid w:val="00D63871"/>
    <w:rsid w:val="00D64203"/>
    <w:rsid w:val="00D64244"/>
    <w:rsid w:val="00D65193"/>
    <w:rsid w:val="00D65973"/>
    <w:rsid w:val="00D65B76"/>
    <w:rsid w:val="00D6683B"/>
    <w:rsid w:val="00D66B43"/>
    <w:rsid w:val="00D66CC9"/>
    <w:rsid w:val="00D671A4"/>
    <w:rsid w:val="00D6738F"/>
    <w:rsid w:val="00D67D22"/>
    <w:rsid w:val="00D70185"/>
    <w:rsid w:val="00D70E45"/>
    <w:rsid w:val="00D71451"/>
    <w:rsid w:val="00D71898"/>
    <w:rsid w:val="00D72CA0"/>
    <w:rsid w:val="00D73FAB"/>
    <w:rsid w:val="00D74A7F"/>
    <w:rsid w:val="00D74C6F"/>
    <w:rsid w:val="00D74E66"/>
    <w:rsid w:val="00D756F3"/>
    <w:rsid w:val="00D75DAA"/>
    <w:rsid w:val="00D80887"/>
    <w:rsid w:val="00D8157D"/>
    <w:rsid w:val="00D8185A"/>
    <w:rsid w:val="00D81C90"/>
    <w:rsid w:val="00D81E30"/>
    <w:rsid w:val="00D824AA"/>
    <w:rsid w:val="00D828E6"/>
    <w:rsid w:val="00D8293E"/>
    <w:rsid w:val="00D836F6"/>
    <w:rsid w:val="00D838CE"/>
    <w:rsid w:val="00D844F6"/>
    <w:rsid w:val="00D84AEA"/>
    <w:rsid w:val="00D84D9E"/>
    <w:rsid w:val="00D85207"/>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F29"/>
    <w:rsid w:val="00DA0079"/>
    <w:rsid w:val="00DA10E5"/>
    <w:rsid w:val="00DA18E9"/>
    <w:rsid w:val="00DA1F45"/>
    <w:rsid w:val="00DA26E0"/>
    <w:rsid w:val="00DA30D9"/>
    <w:rsid w:val="00DA3DF2"/>
    <w:rsid w:val="00DA4666"/>
    <w:rsid w:val="00DA523B"/>
    <w:rsid w:val="00DA59E2"/>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44C9"/>
    <w:rsid w:val="00DB52E0"/>
    <w:rsid w:val="00DB68C6"/>
    <w:rsid w:val="00DB6B24"/>
    <w:rsid w:val="00DB6F24"/>
    <w:rsid w:val="00DC1EDF"/>
    <w:rsid w:val="00DC23E2"/>
    <w:rsid w:val="00DC44C6"/>
    <w:rsid w:val="00DC45F1"/>
    <w:rsid w:val="00DC482A"/>
    <w:rsid w:val="00DC522A"/>
    <w:rsid w:val="00DC5F1D"/>
    <w:rsid w:val="00DC625B"/>
    <w:rsid w:val="00DC6588"/>
    <w:rsid w:val="00DC7114"/>
    <w:rsid w:val="00DC7186"/>
    <w:rsid w:val="00DC786C"/>
    <w:rsid w:val="00DC79B6"/>
    <w:rsid w:val="00DC7BBD"/>
    <w:rsid w:val="00DD0309"/>
    <w:rsid w:val="00DD0328"/>
    <w:rsid w:val="00DD03CF"/>
    <w:rsid w:val="00DD0921"/>
    <w:rsid w:val="00DD0B99"/>
    <w:rsid w:val="00DD114A"/>
    <w:rsid w:val="00DD11AC"/>
    <w:rsid w:val="00DD13EE"/>
    <w:rsid w:val="00DD145D"/>
    <w:rsid w:val="00DD1C6E"/>
    <w:rsid w:val="00DD294F"/>
    <w:rsid w:val="00DD29E7"/>
    <w:rsid w:val="00DD3024"/>
    <w:rsid w:val="00DD4AA5"/>
    <w:rsid w:val="00DD4E10"/>
    <w:rsid w:val="00DD5384"/>
    <w:rsid w:val="00DD5FDF"/>
    <w:rsid w:val="00DD687D"/>
    <w:rsid w:val="00DD75D5"/>
    <w:rsid w:val="00DE0765"/>
    <w:rsid w:val="00DE0CC7"/>
    <w:rsid w:val="00DE0CFA"/>
    <w:rsid w:val="00DE16B6"/>
    <w:rsid w:val="00DE18BA"/>
    <w:rsid w:val="00DE1A71"/>
    <w:rsid w:val="00DE2DFB"/>
    <w:rsid w:val="00DE32EB"/>
    <w:rsid w:val="00DE68B0"/>
    <w:rsid w:val="00DE6AC0"/>
    <w:rsid w:val="00DE73F0"/>
    <w:rsid w:val="00DF02B1"/>
    <w:rsid w:val="00DF05A7"/>
    <w:rsid w:val="00DF0738"/>
    <w:rsid w:val="00DF1B14"/>
    <w:rsid w:val="00DF2069"/>
    <w:rsid w:val="00DF277E"/>
    <w:rsid w:val="00DF2E1A"/>
    <w:rsid w:val="00DF33EA"/>
    <w:rsid w:val="00DF3F52"/>
    <w:rsid w:val="00DF7720"/>
    <w:rsid w:val="00DF7B6B"/>
    <w:rsid w:val="00DF7B82"/>
    <w:rsid w:val="00E002F8"/>
    <w:rsid w:val="00E00CC1"/>
    <w:rsid w:val="00E010C7"/>
    <w:rsid w:val="00E01282"/>
    <w:rsid w:val="00E012D0"/>
    <w:rsid w:val="00E01B25"/>
    <w:rsid w:val="00E01D9D"/>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0B04"/>
    <w:rsid w:val="00E126BB"/>
    <w:rsid w:val="00E1304D"/>
    <w:rsid w:val="00E13195"/>
    <w:rsid w:val="00E1342F"/>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3B0"/>
    <w:rsid w:val="00E27F06"/>
    <w:rsid w:val="00E301A2"/>
    <w:rsid w:val="00E301BB"/>
    <w:rsid w:val="00E318E0"/>
    <w:rsid w:val="00E31CC8"/>
    <w:rsid w:val="00E326B6"/>
    <w:rsid w:val="00E32A01"/>
    <w:rsid w:val="00E32FA4"/>
    <w:rsid w:val="00E33F5C"/>
    <w:rsid w:val="00E35D9B"/>
    <w:rsid w:val="00E3639E"/>
    <w:rsid w:val="00E36777"/>
    <w:rsid w:val="00E37137"/>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2128"/>
    <w:rsid w:val="00E521CC"/>
    <w:rsid w:val="00E524EE"/>
    <w:rsid w:val="00E52811"/>
    <w:rsid w:val="00E52FC0"/>
    <w:rsid w:val="00E5310A"/>
    <w:rsid w:val="00E53523"/>
    <w:rsid w:val="00E53977"/>
    <w:rsid w:val="00E55CAF"/>
    <w:rsid w:val="00E56366"/>
    <w:rsid w:val="00E563ED"/>
    <w:rsid w:val="00E56B46"/>
    <w:rsid w:val="00E56CE4"/>
    <w:rsid w:val="00E56D72"/>
    <w:rsid w:val="00E57575"/>
    <w:rsid w:val="00E57B17"/>
    <w:rsid w:val="00E57EE5"/>
    <w:rsid w:val="00E605DB"/>
    <w:rsid w:val="00E61032"/>
    <w:rsid w:val="00E611EE"/>
    <w:rsid w:val="00E615CC"/>
    <w:rsid w:val="00E615DE"/>
    <w:rsid w:val="00E61BC7"/>
    <w:rsid w:val="00E6202E"/>
    <w:rsid w:val="00E63165"/>
    <w:rsid w:val="00E63548"/>
    <w:rsid w:val="00E63714"/>
    <w:rsid w:val="00E63AF8"/>
    <w:rsid w:val="00E64320"/>
    <w:rsid w:val="00E64E9A"/>
    <w:rsid w:val="00E6504B"/>
    <w:rsid w:val="00E6534C"/>
    <w:rsid w:val="00E655DD"/>
    <w:rsid w:val="00E6561E"/>
    <w:rsid w:val="00E65B8A"/>
    <w:rsid w:val="00E6623D"/>
    <w:rsid w:val="00E66488"/>
    <w:rsid w:val="00E66915"/>
    <w:rsid w:val="00E673FE"/>
    <w:rsid w:val="00E706FB"/>
    <w:rsid w:val="00E70E42"/>
    <w:rsid w:val="00E716CF"/>
    <w:rsid w:val="00E719BB"/>
    <w:rsid w:val="00E71CE9"/>
    <w:rsid w:val="00E730F1"/>
    <w:rsid w:val="00E74C0A"/>
    <w:rsid w:val="00E767C7"/>
    <w:rsid w:val="00E767DE"/>
    <w:rsid w:val="00E80EEC"/>
    <w:rsid w:val="00E814AD"/>
    <w:rsid w:val="00E81991"/>
    <w:rsid w:val="00E8269B"/>
    <w:rsid w:val="00E83E2D"/>
    <w:rsid w:val="00E84657"/>
    <w:rsid w:val="00E85B28"/>
    <w:rsid w:val="00E86756"/>
    <w:rsid w:val="00E86978"/>
    <w:rsid w:val="00E872D5"/>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E6E"/>
    <w:rsid w:val="00EA1D92"/>
    <w:rsid w:val="00EA1E43"/>
    <w:rsid w:val="00EA1E71"/>
    <w:rsid w:val="00EA2429"/>
    <w:rsid w:val="00EA29F2"/>
    <w:rsid w:val="00EA40B0"/>
    <w:rsid w:val="00EA4842"/>
    <w:rsid w:val="00EA4A43"/>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076F"/>
    <w:rsid w:val="00EC1526"/>
    <w:rsid w:val="00EC1F6C"/>
    <w:rsid w:val="00EC2ADE"/>
    <w:rsid w:val="00EC3D7F"/>
    <w:rsid w:val="00EC4311"/>
    <w:rsid w:val="00EC5199"/>
    <w:rsid w:val="00EC53A0"/>
    <w:rsid w:val="00EC727B"/>
    <w:rsid w:val="00EC75D0"/>
    <w:rsid w:val="00ED0644"/>
    <w:rsid w:val="00ED09D7"/>
    <w:rsid w:val="00ED17E5"/>
    <w:rsid w:val="00ED19BB"/>
    <w:rsid w:val="00ED2C77"/>
    <w:rsid w:val="00ED3B95"/>
    <w:rsid w:val="00ED3BBE"/>
    <w:rsid w:val="00ED3EB0"/>
    <w:rsid w:val="00ED481F"/>
    <w:rsid w:val="00ED53FA"/>
    <w:rsid w:val="00ED7452"/>
    <w:rsid w:val="00ED7709"/>
    <w:rsid w:val="00ED7720"/>
    <w:rsid w:val="00EE123E"/>
    <w:rsid w:val="00EE1371"/>
    <w:rsid w:val="00EE1A73"/>
    <w:rsid w:val="00EE1FF8"/>
    <w:rsid w:val="00EE236C"/>
    <w:rsid w:val="00EE2A01"/>
    <w:rsid w:val="00EE37F5"/>
    <w:rsid w:val="00EE4770"/>
    <w:rsid w:val="00EE4F8E"/>
    <w:rsid w:val="00EE5E46"/>
    <w:rsid w:val="00EE6145"/>
    <w:rsid w:val="00EE6717"/>
    <w:rsid w:val="00EE6765"/>
    <w:rsid w:val="00EE71B0"/>
    <w:rsid w:val="00EE7A3C"/>
    <w:rsid w:val="00EF046F"/>
    <w:rsid w:val="00EF1648"/>
    <w:rsid w:val="00EF1761"/>
    <w:rsid w:val="00EF199D"/>
    <w:rsid w:val="00EF1C28"/>
    <w:rsid w:val="00EF1E5D"/>
    <w:rsid w:val="00EF22F5"/>
    <w:rsid w:val="00EF2A42"/>
    <w:rsid w:val="00EF40A2"/>
    <w:rsid w:val="00EF4614"/>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55AE"/>
    <w:rsid w:val="00F06508"/>
    <w:rsid w:val="00F06ABA"/>
    <w:rsid w:val="00F06CB6"/>
    <w:rsid w:val="00F0767B"/>
    <w:rsid w:val="00F07E7A"/>
    <w:rsid w:val="00F11DB6"/>
    <w:rsid w:val="00F12158"/>
    <w:rsid w:val="00F126DF"/>
    <w:rsid w:val="00F130C8"/>
    <w:rsid w:val="00F1424C"/>
    <w:rsid w:val="00F14372"/>
    <w:rsid w:val="00F149C3"/>
    <w:rsid w:val="00F152B8"/>
    <w:rsid w:val="00F1534B"/>
    <w:rsid w:val="00F15902"/>
    <w:rsid w:val="00F164C5"/>
    <w:rsid w:val="00F16A8A"/>
    <w:rsid w:val="00F16E9E"/>
    <w:rsid w:val="00F17507"/>
    <w:rsid w:val="00F17E13"/>
    <w:rsid w:val="00F213E5"/>
    <w:rsid w:val="00F21E28"/>
    <w:rsid w:val="00F21EA8"/>
    <w:rsid w:val="00F22246"/>
    <w:rsid w:val="00F22A48"/>
    <w:rsid w:val="00F22C2F"/>
    <w:rsid w:val="00F2305E"/>
    <w:rsid w:val="00F2323B"/>
    <w:rsid w:val="00F2448E"/>
    <w:rsid w:val="00F24651"/>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2EE4"/>
    <w:rsid w:val="00F33B90"/>
    <w:rsid w:val="00F340D5"/>
    <w:rsid w:val="00F34C5D"/>
    <w:rsid w:val="00F369E3"/>
    <w:rsid w:val="00F37C1E"/>
    <w:rsid w:val="00F37D6E"/>
    <w:rsid w:val="00F37FBE"/>
    <w:rsid w:val="00F41005"/>
    <w:rsid w:val="00F417C2"/>
    <w:rsid w:val="00F429B4"/>
    <w:rsid w:val="00F42A54"/>
    <w:rsid w:val="00F431B6"/>
    <w:rsid w:val="00F43E4F"/>
    <w:rsid w:val="00F44962"/>
    <w:rsid w:val="00F45258"/>
    <w:rsid w:val="00F45EE0"/>
    <w:rsid w:val="00F465CD"/>
    <w:rsid w:val="00F46AF8"/>
    <w:rsid w:val="00F47906"/>
    <w:rsid w:val="00F47A05"/>
    <w:rsid w:val="00F47C02"/>
    <w:rsid w:val="00F505D7"/>
    <w:rsid w:val="00F50C2E"/>
    <w:rsid w:val="00F50D78"/>
    <w:rsid w:val="00F510CB"/>
    <w:rsid w:val="00F514B4"/>
    <w:rsid w:val="00F514C8"/>
    <w:rsid w:val="00F51941"/>
    <w:rsid w:val="00F529B6"/>
    <w:rsid w:val="00F52A40"/>
    <w:rsid w:val="00F52B2F"/>
    <w:rsid w:val="00F52CEF"/>
    <w:rsid w:val="00F53836"/>
    <w:rsid w:val="00F53DEB"/>
    <w:rsid w:val="00F53E23"/>
    <w:rsid w:val="00F54408"/>
    <w:rsid w:val="00F547B9"/>
    <w:rsid w:val="00F54ACC"/>
    <w:rsid w:val="00F54E46"/>
    <w:rsid w:val="00F56B99"/>
    <w:rsid w:val="00F571E2"/>
    <w:rsid w:val="00F6238D"/>
    <w:rsid w:val="00F62F69"/>
    <w:rsid w:val="00F6374F"/>
    <w:rsid w:val="00F63A1C"/>
    <w:rsid w:val="00F63BD1"/>
    <w:rsid w:val="00F649BC"/>
    <w:rsid w:val="00F64A9D"/>
    <w:rsid w:val="00F64B5E"/>
    <w:rsid w:val="00F650BE"/>
    <w:rsid w:val="00F66643"/>
    <w:rsid w:val="00F66A1A"/>
    <w:rsid w:val="00F67D72"/>
    <w:rsid w:val="00F67FD7"/>
    <w:rsid w:val="00F67FF4"/>
    <w:rsid w:val="00F71708"/>
    <w:rsid w:val="00F72AF8"/>
    <w:rsid w:val="00F7314F"/>
    <w:rsid w:val="00F73160"/>
    <w:rsid w:val="00F73161"/>
    <w:rsid w:val="00F73411"/>
    <w:rsid w:val="00F74052"/>
    <w:rsid w:val="00F7431F"/>
    <w:rsid w:val="00F749BC"/>
    <w:rsid w:val="00F750EC"/>
    <w:rsid w:val="00F7602A"/>
    <w:rsid w:val="00F761B4"/>
    <w:rsid w:val="00F76EC4"/>
    <w:rsid w:val="00F77C0B"/>
    <w:rsid w:val="00F80A83"/>
    <w:rsid w:val="00F81662"/>
    <w:rsid w:val="00F81F61"/>
    <w:rsid w:val="00F8226E"/>
    <w:rsid w:val="00F83B28"/>
    <w:rsid w:val="00F83E14"/>
    <w:rsid w:val="00F84302"/>
    <w:rsid w:val="00F8473B"/>
    <w:rsid w:val="00F848C9"/>
    <w:rsid w:val="00F849F5"/>
    <w:rsid w:val="00F84AB8"/>
    <w:rsid w:val="00F852D8"/>
    <w:rsid w:val="00F857F1"/>
    <w:rsid w:val="00F85CEF"/>
    <w:rsid w:val="00F91CC3"/>
    <w:rsid w:val="00F91D21"/>
    <w:rsid w:val="00F92156"/>
    <w:rsid w:val="00F9285C"/>
    <w:rsid w:val="00F93034"/>
    <w:rsid w:val="00F9366D"/>
    <w:rsid w:val="00F94FFC"/>
    <w:rsid w:val="00F95923"/>
    <w:rsid w:val="00F95E9B"/>
    <w:rsid w:val="00F95EAE"/>
    <w:rsid w:val="00F96B65"/>
    <w:rsid w:val="00F9700A"/>
    <w:rsid w:val="00F97353"/>
    <w:rsid w:val="00F9746F"/>
    <w:rsid w:val="00FA03C4"/>
    <w:rsid w:val="00FA1F17"/>
    <w:rsid w:val="00FA3FDB"/>
    <w:rsid w:val="00FA432F"/>
    <w:rsid w:val="00FA4E75"/>
    <w:rsid w:val="00FA501B"/>
    <w:rsid w:val="00FA6F1C"/>
    <w:rsid w:val="00FA73EF"/>
    <w:rsid w:val="00FB117A"/>
    <w:rsid w:val="00FB2D16"/>
    <w:rsid w:val="00FB3BEB"/>
    <w:rsid w:val="00FB40C8"/>
    <w:rsid w:val="00FB4658"/>
    <w:rsid w:val="00FB6907"/>
    <w:rsid w:val="00FB6DC2"/>
    <w:rsid w:val="00FB7644"/>
    <w:rsid w:val="00FC16B0"/>
    <w:rsid w:val="00FC172D"/>
    <w:rsid w:val="00FC1D1A"/>
    <w:rsid w:val="00FC352B"/>
    <w:rsid w:val="00FC38D0"/>
    <w:rsid w:val="00FC3991"/>
    <w:rsid w:val="00FC464B"/>
    <w:rsid w:val="00FC5226"/>
    <w:rsid w:val="00FC59AE"/>
    <w:rsid w:val="00FC5AA2"/>
    <w:rsid w:val="00FC6727"/>
    <w:rsid w:val="00FC67B9"/>
    <w:rsid w:val="00FC6AA5"/>
    <w:rsid w:val="00FC77AF"/>
    <w:rsid w:val="00FD092A"/>
    <w:rsid w:val="00FD0944"/>
    <w:rsid w:val="00FD0A0C"/>
    <w:rsid w:val="00FD0A60"/>
    <w:rsid w:val="00FD0B75"/>
    <w:rsid w:val="00FD0EFB"/>
    <w:rsid w:val="00FD31DF"/>
    <w:rsid w:val="00FD3F46"/>
    <w:rsid w:val="00FD4135"/>
    <w:rsid w:val="00FD44C2"/>
    <w:rsid w:val="00FD46DD"/>
    <w:rsid w:val="00FD4DA2"/>
    <w:rsid w:val="00FD685E"/>
    <w:rsid w:val="00FD6DAC"/>
    <w:rsid w:val="00FD7A50"/>
    <w:rsid w:val="00FD7D68"/>
    <w:rsid w:val="00FE0AF7"/>
    <w:rsid w:val="00FE1F25"/>
    <w:rsid w:val="00FE2CA8"/>
    <w:rsid w:val="00FE31C2"/>
    <w:rsid w:val="00FE3558"/>
    <w:rsid w:val="00FE3559"/>
    <w:rsid w:val="00FE6673"/>
    <w:rsid w:val="00FE723F"/>
    <w:rsid w:val="00FF192A"/>
    <w:rsid w:val="00FF1EC9"/>
    <w:rsid w:val="00FF3D13"/>
    <w:rsid w:val="00FF3F3A"/>
    <w:rsid w:val="00FF527C"/>
    <w:rsid w:val="00FF5C1E"/>
    <w:rsid w:val="00FF609D"/>
    <w:rsid w:val="00FF6A23"/>
    <w:rsid w:val="01D251A9"/>
    <w:rsid w:val="02AF64A8"/>
    <w:rsid w:val="03561058"/>
    <w:rsid w:val="05F550A1"/>
    <w:rsid w:val="067332FF"/>
    <w:rsid w:val="09C36515"/>
    <w:rsid w:val="0AD0395C"/>
    <w:rsid w:val="0B1F3205"/>
    <w:rsid w:val="0C28585B"/>
    <w:rsid w:val="0D76206D"/>
    <w:rsid w:val="105E51EA"/>
    <w:rsid w:val="108C58F8"/>
    <w:rsid w:val="13B73A9E"/>
    <w:rsid w:val="13FC5163"/>
    <w:rsid w:val="167304E2"/>
    <w:rsid w:val="18880CD0"/>
    <w:rsid w:val="18C807CD"/>
    <w:rsid w:val="19272AC9"/>
    <w:rsid w:val="1984376F"/>
    <w:rsid w:val="1B704118"/>
    <w:rsid w:val="1B7E43A7"/>
    <w:rsid w:val="1C89497A"/>
    <w:rsid w:val="1D0E1F9C"/>
    <w:rsid w:val="1D1C0A6A"/>
    <w:rsid w:val="1DAD5CC1"/>
    <w:rsid w:val="1DB35F1C"/>
    <w:rsid w:val="1DD939D5"/>
    <w:rsid w:val="20165AC4"/>
    <w:rsid w:val="20637DFD"/>
    <w:rsid w:val="21EB0234"/>
    <w:rsid w:val="28347496"/>
    <w:rsid w:val="2B0D2030"/>
    <w:rsid w:val="2B917E94"/>
    <w:rsid w:val="2D296D9C"/>
    <w:rsid w:val="2D946DE9"/>
    <w:rsid w:val="2F5D134C"/>
    <w:rsid w:val="2FB9045A"/>
    <w:rsid w:val="30881602"/>
    <w:rsid w:val="30D26635"/>
    <w:rsid w:val="313831DF"/>
    <w:rsid w:val="33D47A42"/>
    <w:rsid w:val="342F2CCE"/>
    <w:rsid w:val="34D4401C"/>
    <w:rsid w:val="35101F5D"/>
    <w:rsid w:val="35EB6A05"/>
    <w:rsid w:val="362C1AE2"/>
    <w:rsid w:val="363B5922"/>
    <w:rsid w:val="36A12CD9"/>
    <w:rsid w:val="36CB4A75"/>
    <w:rsid w:val="37834D82"/>
    <w:rsid w:val="384A5127"/>
    <w:rsid w:val="3C2A03C4"/>
    <w:rsid w:val="3C7B61E8"/>
    <w:rsid w:val="3CC629BB"/>
    <w:rsid w:val="3F1F5FBC"/>
    <w:rsid w:val="3F5E6431"/>
    <w:rsid w:val="40AD20A7"/>
    <w:rsid w:val="41941A91"/>
    <w:rsid w:val="4229039A"/>
    <w:rsid w:val="43D11487"/>
    <w:rsid w:val="45EC0586"/>
    <w:rsid w:val="470D10BD"/>
    <w:rsid w:val="47224D0F"/>
    <w:rsid w:val="4885090C"/>
    <w:rsid w:val="4A3C72A2"/>
    <w:rsid w:val="4A5D62CA"/>
    <w:rsid w:val="4A924504"/>
    <w:rsid w:val="4C2E020A"/>
    <w:rsid w:val="4CC93D8F"/>
    <w:rsid w:val="50A80A4C"/>
    <w:rsid w:val="53FC4963"/>
    <w:rsid w:val="54022F2A"/>
    <w:rsid w:val="54FA0574"/>
    <w:rsid w:val="56FF73EF"/>
    <w:rsid w:val="575937EA"/>
    <w:rsid w:val="575D5EB3"/>
    <w:rsid w:val="581E086C"/>
    <w:rsid w:val="58207CCA"/>
    <w:rsid w:val="59726A6D"/>
    <w:rsid w:val="5E434E62"/>
    <w:rsid w:val="601D2913"/>
    <w:rsid w:val="606F03C5"/>
    <w:rsid w:val="614F0245"/>
    <w:rsid w:val="62EC0759"/>
    <w:rsid w:val="63AA1E11"/>
    <w:rsid w:val="645E1E53"/>
    <w:rsid w:val="67E2642D"/>
    <w:rsid w:val="683F0B86"/>
    <w:rsid w:val="69B02460"/>
    <w:rsid w:val="69FC40F4"/>
    <w:rsid w:val="6A004155"/>
    <w:rsid w:val="6AFB162F"/>
    <w:rsid w:val="6C57499B"/>
    <w:rsid w:val="6C850D89"/>
    <w:rsid w:val="6CD30E0D"/>
    <w:rsid w:val="6D122E50"/>
    <w:rsid w:val="6E0E1C9B"/>
    <w:rsid w:val="6E7F656B"/>
    <w:rsid w:val="705F156B"/>
    <w:rsid w:val="708B063F"/>
    <w:rsid w:val="70FF50A4"/>
    <w:rsid w:val="71790E60"/>
    <w:rsid w:val="72DA1FD9"/>
    <w:rsid w:val="75DC0FDC"/>
    <w:rsid w:val="766878D1"/>
    <w:rsid w:val="76E745F7"/>
    <w:rsid w:val="7A2404A6"/>
    <w:rsid w:val="7A682D9E"/>
    <w:rsid w:val="7ABC5FE4"/>
    <w:rsid w:val="7B311A28"/>
    <w:rsid w:val="7B7A33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5"/>
    <w:qFormat/>
    <w:uiPriority w:val="0"/>
    <w:pPr>
      <w:keepNext/>
      <w:keepLines/>
      <w:numPr>
        <w:ilvl w:val="0"/>
        <w:numId w:val="1"/>
      </w:numPr>
      <w:adjustRightInd w:val="0"/>
      <w:snapToGrid w:val="0"/>
      <w:spacing w:line="360" w:lineRule="auto"/>
      <w:ind w:left="425"/>
      <w:jc w:val="center"/>
      <w:outlineLvl w:val="0"/>
    </w:pPr>
    <w:rPr>
      <w:b/>
      <w:bCs/>
      <w:kern w:val="0"/>
      <w:sz w:val="30"/>
      <w:szCs w:val="20"/>
    </w:rPr>
  </w:style>
  <w:style w:type="paragraph" w:styleId="3">
    <w:name w:val="heading 2"/>
    <w:basedOn w:val="1"/>
    <w:next w:val="1"/>
    <w:qFormat/>
    <w:uiPriority w:val="0"/>
    <w:pPr>
      <w:numPr>
        <w:ilvl w:val="1"/>
        <w:numId w:val="2"/>
      </w:numPr>
      <w:adjustRightInd w:val="0"/>
      <w:snapToGrid w:val="0"/>
      <w:outlineLvl w:val="1"/>
    </w:pPr>
    <w:rPr>
      <w:rFonts w:asciiTheme="minorEastAsia" w:hAnsiTheme="minorEastAsia" w:eastAsiaTheme="minorEastAsia"/>
      <w:szCs w:val="21"/>
    </w:rPr>
  </w:style>
  <w:style w:type="paragraph" w:styleId="4">
    <w:name w:val="heading 3"/>
    <w:basedOn w:val="5"/>
    <w:next w:val="1"/>
    <w:qFormat/>
    <w:uiPriority w:val="0"/>
    <w:pPr>
      <w:numPr>
        <w:ilvl w:val="2"/>
        <w:numId w:val="3"/>
      </w:numPr>
      <w:snapToGrid w:val="0"/>
      <w:spacing w:line="300" w:lineRule="auto"/>
      <w:ind w:left="0" w:firstLine="567" w:firstLineChars="0"/>
      <w:outlineLvl w:val="2"/>
    </w:pPr>
    <w:rPr>
      <w:rFonts w:asciiTheme="minorEastAsia" w:hAnsiTheme="minorEastAsia" w:eastAsiaTheme="minorEastAsia"/>
      <w:szCs w:val="21"/>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qFormat/>
    <w:uiPriority w:val="0"/>
    <w:pPr>
      <w:keepNext/>
      <w:keepLines/>
      <w:spacing w:before="240" w:after="64" w:line="320" w:lineRule="auto"/>
      <w:outlineLvl w:val="6"/>
    </w:pPr>
    <w:rPr>
      <w:b/>
      <w:bCs/>
    </w:rPr>
  </w:style>
  <w:style w:type="paragraph" w:styleId="10">
    <w:name w:val="heading 8"/>
    <w:basedOn w:val="1"/>
    <w:next w:val="1"/>
    <w:qFormat/>
    <w:uiPriority w:val="0"/>
    <w:pPr>
      <w:keepNext/>
      <w:keepLines/>
      <w:spacing w:before="240" w:after="64" w:line="320" w:lineRule="auto"/>
      <w:outlineLvl w:val="7"/>
    </w:pPr>
    <w:rPr>
      <w:rFonts w:ascii="Arial" w:hAnsi="Arial" w:eastAsia="黑体"/>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5">
    <w:name w:val="正文所"/>
    <w:basedOn w:val="1"/>
    <w:qFormat/>
    <w:uiPriority w:val="0"/>
    <w:pPr>
      <w:spacing w:line="360" w:lineRule="auto"/>
      <w:ind w:firstLine="420" w:firstLineChars="200"/>
    </w:pPr>
    <w:rPr>
      <w:rFonts w:ascii="宋体"/>
      <w:szCs w:val="20"/>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pPr>
      <w:jc w:val="left"/>
    </w:pPr>
  </w:style>
  <w:style w:type="paragraph" w:styleId="14">
    <w:name w:val="Body Text"/>
    <w:basedOn w:val="1"/>
    <w:link w:val="53"/>
    <w:semiHidden/>
    <w:unhideWhenUsed/>
    <w:qFormat/>
    <w:uiPriority w:val="0"/>
    <w:pPr>
      <w:spacing w:after="120"/>
    </w:pPr>
  </w:style>
  <w:style w:type="paragraph" w:styleId="15">
    <w:name w:val="Body Text Indent"/>
    <w:basedOn w:val="1"/>
    <w:qFormat/>
    <w:uiPriority w:val="0"/>
    <w:pPr>
      <w:spacing w:line="360" w:lineRule="auto"/>
      <w:ind w:firstLine="420" w:firstLineChars="200"/>
    </w:pPr>
    <w:rPr>
      <w:color w:val="000000"/>
      <w:szCs w:val="21"/>
    </w:rPr>
  </w:style>
  <w:style w:type="paragraph" w:styleId="16">
    <w:name w:val="Date"/>
    <w:basedOn w:val="1"/>
    <w:next w:val="1"/>
    <w:qFormat/>
    <w:uiPriority w:val="0"/>
    <w:rPr>
      <w:sz w:val="28"/>
      <w:szCs w:val="20"/>
    </w:rPr>
  </w:style>
  <w:style w:type="paragraph" w:styleId="17">
    <w:name w:val="Body Text Indent 2"/>
    <w:basedOn w:val="1"/>
    <w:link w:val="48"/>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1260"/>
        <w:tab w:val="right" w:leader="dot" w:pos="8647"/>
      </w:tabs>
      <w:adjustRightInd w:val="0"/>
      <w:snapToGrid w:val="0"/>
    </w:pPr>
  </w:style>
  <w:style w:type="paragraph" w:styleId="22">
    <w:name w:val="footnote text"/>
    <w:basedOn w:val="1"/>
    <w:link w:val="46"/>
    <w:qFormat/>
    <w:uiPriority w:val="0"/>
    <w:pPr>
      <w:snapToGrid w:val="0"/>
      <w:jc w:val="left"/>
    </w:pPr>
    <w:rPr>
      <w:sz w:val="18"/>
      <w:szCs w:val="18"/>
    </w:rPr>
  </w:style>
  <w:style w:type="paragraph" w:styleId="23">
    <w:name w:val="toc 2"/>
    <w:basedOn w:val="1"/>
    <w:next w:val="1"/>
    <w:semiHidden/>
    <w:qFormat/>
    <w:uiPriority w:val="0"/>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5">
    <w:name w:val="annotation subject"/>
    <w:basedOn w:val="13"/>
    <w:next w:val="13"/>
    <w:semiHidden/>
    <w:qFormat/>
    <w:uiPriority w:val="0"/>
    <w:rPr>
      <w:b/>
      <w:bCs/>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paragraph" w:customStyle="1" w:styleId="34">
    <w:name w:val="默认段落字体 Para Char"/>
    <w:basedOn w:val="1"/>
    <w:qFormat/>
    <w:uiPriority w:val="0"/>
    <w:pPr>
      <w:tabs>
        <w:tab w:val="left" w:pos="360"/>
      </w:tabs>
      <w:spacing w:before="312" w:after="312" w:line="360" w:lineRule="auto"/>
    </w:pPr>
  </w:style>
  <w:style w:type="paragraph" w:customStyle="1" w:styleId="35">
    <w:name w:val="Char Char Char Char"/>
    <w:basedOn w:val="1"/>
    <w:qFormat/>
    <w:uiPriority w:val="0"/>
    <w:pPr>
      <w:tabs>
        <w:tab w:val="left" w:pos="360"/>
      </w:tabs>
      <w:adjustRightInd w:val="0"/>
      <w:textAlignment w:val="baseline"/>
    </w:pPr>
    <w:rPr>
      <w:szCs w:val="20"/>
    </w:rPr>
  </w:style>
  <w:style w:type="character" w:customStyle="1" w:styleId="36">
    <w:name w:val="批注文字 字符1"/>
    <w:link w:val="13"/>
    <w:qFormat/>
    <w:uiPriority w:val="0"/>
    <w:rPr>
      <w:rFonts w:eastAsia="宋体"/>
      <w:kern w:val="2"/>
      <w:sz w:val="21"/>
      <w:szCs w:val="24"/>
      <w:lang w:val="en-US" w:eastAsia="zh-CN" w:bidi="ar-SA"/>
    </w:rPr>
  </w:style>
  <w:style w:type="paragraph" w:customStyle="1" w:styleId="37">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8">
    <w:name w:val="Char Char1"/>
    <w:qFormat/>
    <w:locked/>
    <w:uiPriority w:val="0"/>
    <w:rPr>
      <w:rFonts w:ascii="宋体" w:hAnsi="宋体" w:eastAsia="宋体"/>
      <w:kern w:val="2"/>
      <w:sz w:val="21"/>
      <w:szCs w:val="24"/>
      <w:lang w:val="en-US" w:eastAsia="zh-CN" w:bidi="ar-SA"/>
    </w:rPr>
  </w:style>
  <w:style w:type="paragraph" w:styleId="39">
    <w:name w:val="List Paragraph"/>
    <w:basedOn w:val="1"/>
    <w:qFormat/>
    <w:uiPriority w:val="99"/>
    <w:pPr>
      <w:ind w:firstLine="420" w:firstLineChars="200"/>
    </w:pPr>
  </w:style>
  <w:style w:type="paragraph" w:styleId="40">
    <w:name w:val="No Spacing"/>
    <w:qFormat/>
    <w:uiPriority w:val="1"/>
    <w:pPr>
      <w:widowControl w:val="0"/>
      <w:adjustRightInd w:val="0"/>
      <w:snapToGrid w:val="0"/>
      <w:jc w:val="both"/>
    </w:pPr>
    <w:rPr>
      <w:rFonts w:ascii="Times New Roman" w:hAnsi="Times New Roman" w:eastAsia="华文宋体" w:cs="Times New Roman"/>
      <w:kern w:val="2"/>
      <w:sz w:val="24"/>
      <w:szCs w:val="24"/>
      <w:lang w:val="en-US" w:eastAsia="zh-CN" w:bidi="ar-SA"/>
    </w:rPr>
  </w:style>
  <w:style w:type="character" w:customStyle="1" w:styleId="41">
    <w:name w:val="页脚 字符"/>
    <w:basedOn w:val="28"/>
    <w:link w:val="19"/>
    <w:qFormat/>
    <w:uiPriority w:val="99"/>
    <w:rPr>
      <w:rFonts w:eastAsia="华文宋体"/>
      <w:kern w:val="2"/>
      <w:sz w:val="18"/>
      <w:szCs w:val="18"/>
    </w:rPr>
  </w:style>
  <w:style w:type="character" w:customStyle="1" w:styleId="42">
    <w:name w:val="批注文字 字符"/>
    <w:qFormat/>
    <w:uiPriority w:val="99"/>
    <w:rPr>
      <w:kern w:val="2"/>
      <w:sz w:val="21"/>
      <w:szCs w:val="24"/>
    </w:rPr>
  </w:style>
  <w:style w:type="paragraph" w:customStyle="1" w:styleId="4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4">
    <w:name w:val="修订1"/>
    <w:hidden/>
    <w:semiHidden/>
    <w:qFormat/>
    <w:uiPriority w:val="99"/>
    <w:rPr>
      <w:rFonts w:ascii="Times New Roman" w:hAnsi="Times New Roman" w:eastAsia="华文宋体" w:cs="Times New Roman"/>
      <w:kern w:val="2"/>
      <w:sz w:val="24"/>
      <w:szCs w:val="24"/>
      <w:lang w:val="en-US" w:eastAsia="zh-CN" w:bidi="ar-SA"/>
    </w:rPr>
  </w:style>
  <w:style w:type="character" w:customStyle="1" w:styleId="45">
    <w:name w:val="标题 1 字符"/>
    <w:basedOn w:val="28"/>
    <w:link w:val="2"/>
    <w:qFormat/>
    <w:uiPriority w:val="0"/>
    <w:rPr>
      <w:b/>
      <w:bCs/>
      <w:sz w:val="30"/>
    </w:rPr>
  </w:style>
  <w:style w:type="character" w:customStyle="1" w:styleId="46">
    <w:name w:val="脚注文本 字符"/>
    <w:basedOn w:val="28"/>
    <w:link w:val="22"/>
    <w:qFormat/>
    <w:uiPriority w:val="0"/>
    <w:rPr>
      <w:rFonts w:eastAsia="华文宋体"/>
      <w:kern w:val="2"/>
      <w:sz w:val="18"/>
      <w:szCs w:val="18"/>
    </w:rPr>
  </w:style>
  <w:style w:type="character" w:styleId="47">
    <w:name w:val="Placeholder Text"/>
    <w:basedOn w:val="28"/>
    <w:semiHidden/>
    <w:qFormat/>
    <w:uiPriority w:val="99"/>
    <w:rPr>
      <w:color w:val="808080"/>
    </w:rPr>
  </w:style>
  <w:style w:type="character" w:customStyle="1" w:styleId="48">
    <w:name w:val="正文文本缩进 2 字符"/>
    <w:basedOn w:val="28"/>
    <w:link w:val="17"/>
    <w:qFormat/>
    <w:uiPriority w:val="0"/>
    <w:rPr>
      <w:kern w:val="2"/>
      <w:sz w:val="24"/>
      <w:szCs w:val="24"/>
    </w:rPr>
  </w:style>
  <w:style w:type="table" w:customStyle="1" w:styleId="49">
    <w:name w:val="网格型1"/>
    <w:basedOn w:val="26"/>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51">
    <w:name w:val="页眉 字符"/>
    <w:basedOn w:val="28"/>
    <w:link w:val="20"/>
    <w:qFormat/>
    <w:uiPriority w:val="99"/>
    <w:rPr>
      <w:kern w:val="2"/>
      <w:sz w:val="18"/>
      <w:szCs w:val="18"/>
    </w:rPr>
  </w:style>
  <w:style w:type="paragraph" w:customStyle="1" w:styleId="52">
    <w:name w:val="修订3"/>
    <w:hidden/>
    <w:unhideWhenUsed/>
    <w:qFormat/>
    <w:uiPriority w:val="99"/>
    <w:rPr>
      <w:rFonts w:ascii="Times New Roman" w:hAnsi="Times New Roman" w:eastAsia="宋体" w:cs="Times New Roman"/>
      <w:kern w:val="2"/>
      <w:sz w:val="24"/>
      <w:szCs w:val="24"/>
      <w:lang w:val="en-US" w:eastAsia="zh-CN" w:bidi="ar-SA"/>
    </w:rPr>
  </w:style>
  <w:style w:type="character" w:customStyle="1" w:styleId="53">
    <w:name w:val="正文文本 字符"/>
    <w:basedOn w:val="28"/>
    <w:link w:val="14"/>
    <w:semiHidden/>
    <w:qFormat/>
    <w:uiPriority w:val="0"/>
    <w:rPr>
      <w:kern w:val="2"/>
      <w:sz w:val="24"/>
      <w:szCs w:val="24"/>
    </w:rPr>
  </w:style>
  <w:style w:type="character" w:customStyle="1" w:styleId="54">
    <w:name w:val="未处理的提及1"/>
    <w:basedOn w:val="28"/>
    <w:semiHidden/>
    <w:unhideWhenUsed/>
    <w:qFormat/>
    <w:uiPriority w:val="99"/>
    <w:rPr>
      <w:color w:val="605E5C"/>
      <w:shd w:val="clear" w:color="auto" w:fill="E1DFDD"/>
    </w:rPr>
  </w:style>
  <w:style w:type="paragraph" w:customStyle="1" w:styleId="55">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56">
    <w:name w:val="修订5"/>
    <w:hidden/>
    <w:unhideWhenUsed/>
    <w:qFormat/>
    <w:uiPriority w:val="99"/>
    <w:rPr>
      <w:rFonts w:ascii="Times New Roman" w:hAnsi="Times New Roman" w:eastAsia="宋体" w:cs="Times New Roman"/>
      <w:kern w:val="2"/>
      <w:sz w:val="24"/>
      <w:szCs w:val="24"/>
      <w:lang w:val="en-US" w:eastAsia="zh-CN" w:bidi="ar-SA"/>
    </w:rPr>
  </w:style>
  <w:style w:type="paragraph" w:customStyle="1" w:styleId="57">
    <w:name w:val="修订6"/>
    <w:hidden/>
    <w:unhideWhenUsed/>
    <w:qFormat/>
    <w:uiPriority w:val="99"/>
    <w:rPr>
      <w:rFonts w:ascii="Times New Roman" w:hAnsi="Times New Roman" w:eastAsia="宋体" w:cs="Times New Roman"/>
      <w:kern w:val="2"/>
      <w:sz w:val="24"/>
      <w:szCs w:val="24"/>
      <w:lang w:val="en-US" w:eastAsia="zh-CN" w:bidi="ar-SA"/>
    </w:rPr>
  </w:style>
  <w:style w:type="paragraph" w:customStyle="1" w:styleId="58">
    <w:name w:val="修订7"/>
    <w:hidden/>
    <w:unhideWhenUsed/>
    <w:qFormat/>
    <w:uiPriority w:val="99"/>
    <w:rPr>
      <w:rFonts w:ascii="Times New Roman" w:hAnsi="Times New Roman" w:eastAsia="宋体" w:cs="Times New Roman"/>
      <w:kern w:val="2"/>
      <w:sz w:val="24"/>
      <w:szCs w:val="24"/>
      <w:lang w:val="en-US" w:eastAsia="zh-CN" w:bidi="ar-SA"/>
    </w:rPr>
  </w:style>
  <w:style w:type="paragraph" w:customStyle="1" w:styleId="59">
    <w:name w:val="修订8"/>
    <w:hidden/>
    <w:unhideWhenUsed/>
    <w:qFormat/>
    <w:uiPriority w:val="99"/>
    <w:rPr>
      <w:rFonts w:ascii="Times New Roman" w:hAnsi="Times New Roman" w:eastAsia="宋体" w:cs="Times New Roman"/>
      <w:kern w:val="2"/>
      <w:sz w:val="24"/>
      <w:szCs w:val="24"/>
      <w:lang w:val="en-US" w:eastAsia="zh-CN" w:bidi="ar-SA"/>
    </w:rPr>
  </w:style>
  <w:style w:type="paragraph" w:customStyle="1" w:styleId="60">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638E321964429D93DE928A77594DBA"/>
        <w:style w:val=""/>
        <w:category>
          <w:name w:val="常规"/>
          <w:gallery w:val="placeholder"/>
        </w:category>
        <w:types>
          <w:type w:val="bbPlcHdr"/>
        </w:types>
        <w:behaviors>
          <w:behavior w:val="content"/>
        </w:behaviors>
        <w:description w:val=""/>
        <w:guid w:val="{63C51E9A-884D-48DE-9930-4D4E856A13CC}"/>
      </w:docPartPr>
      <w:docPartBody>
        <w:p w14:paraId="754E787E">
          <w:pPr>
            <w:pStyle w:val="5"/>
            <w:rPr>
              <w:rFonts w:hint="eastAsia"/>
            </w:rPr>
          </w:pPr>
          <w:r>
            <w:rPr>
              <w:rStyle w:val="4"/>
              <w:rFonts w:hint="eastAsia"/>
            </w:rPr>
            <w:t>单击此处输入文字。</w:t>
          </w:r>
        </w:p>
      </w:docPartBody>
    </w:docPart>
    <w:docPart>
      <w:docPartPr>
        <w:name w:val="4B14412E35C9479482E0D77357291954"/>
        <w:style w:val=""/>
        <w:category>
          <w:name w:val="常规"/>
          <w:gallery w:val="placeholder"/>
        </w:category>
        <w:types>
          <w:type w:val="bbPlcHdr"/>
        </w:types>
        <w:behaviors>
          <w:behavior w:val="content"/>
        </w:behaviors>
        <w:description w:val=""/>
        <w:guid w:val="{6501E279-F1AA-484B-BDA3-009AF6076392}"/>
      </w:docPartPr>
      <w:docPartBody>
        <w:p w14:paraId="37A00FC8">
          <w:pPr>
            <w:pStyle w:val="6"/>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24"/>
    <w:rsid w:val="00016AA0"/>
    <w:rsid w:val="00035628"/>
    <w:rsid w:val="000407C3"/>
    <w:rsid w:val="000632DB"/>
    <w:rsid w:val="00091C01"/>
    <w:rsid w:val="000A37B4"/>
    <w:rsid w:val="000C373E"/>
    <w:rsid w:val="0011412F"/>
    <w:rsid w:val="001C033E"/>
    <w:rsid w:val="001C1156"/>
    <w:rsid w:val="001C3185"/>
    <w:rsid w:val="001F04CB"/>
    <w:rsid w:val="00202C45"/>
    <w:rsid w:val="002476B6"/>
    <w:rsid w:val="00280ACC"/>
    <w:rsid w:val="002924FF"/>
    <w:rsid w:val="002C753E"/>
    <w:rsid w:val="0030782B"/>
    <w:rsid w:val="00331B96"/>
    <w:rsid w:val="00363701"/>
    <w:rsid w:val="00374181"/>
    <w:rsid w:val="00380B4D"/>
    <w:rsid w:val="003C3F4E"/>
    <w:rsid w:val="003D7EEF"/>
    <w:rsid w:val="003E5321"/>
    <w:rsid w:val="00440B2D"/>
    <w:rsid w:val="004825D8"/>
    <w:rsid w:val="0050217B"/>
    <w:rsid w:val="00505F83"/>
    <w:rsid w:val="00570368"/>
    <w:rsid w:val="00570D61"/>
    <w:rsid w:val="00594419"/>
    <w:rsid w:val="005E48E3"/>
    <w:rsid w:val="00674016"/>
    <w:rsid w:val="00697E56"/>
    <w:rsid w:val="006A495B"/>
    <w:rsid w:val="006C6CC2"/>
    <w:rsid w:val="006E3ABF"/>
    <w:rsid w:val="00776406"/>
    <w:rsid w:val="007B39D6"/>
    <w:rsid w:val="007C2DBE"/>
    <w:rsid w:val="008131C9"/>
    <w:rsid w:val="0082643A"/>
    <w:rsid w:val="008505AF"/>
    <w:rsid w:val="008506E5"/>
    <w:rsid w:val="008C371A"/>
    <w:rsid w:val="008C6595"/>
    <w:rsid w:val="008D19D2"/>
    <w:rsid w:val="008D33EE"/>
    <w:rsid w:val="00907361"/>
    <w:rsid w:val="009310B1"/>
    <w:rsid w:val="00934F15"/>
    <w:rsid w:val="00987867"/>
    <w:rsid w:val="009A6C63"/>
    <w:rsid w:val="009B2594"/>
    <w:rsid w:val="009C1D84"/>
    <w:rsid w:val="009C4C7B"/>
    <w:rsid w:val="00A14B18"/>
    <w:rsid w:val="00A479B9"/>
    <w:rsid w:val="00A47B7A"/>
    <w:rsid w:val="00A92FF5"/>
    <w:rsid w:val="00AA1BB7"/>
    <w:rsid w:val="00AB1C8A"/>
    <w:rsid w:val="00AB3013"/>
    <w:rsid w:val="00AE586F"/>
    <w:rsid w:val="00AE64CD"/>
    <w:rsid w:val="00B5090A"/>
    <w:rsid w:val="00B72D4F"/>
    <w:rsid w:val="00B97D91"/>
    <w:rsid w:val="00BA1624"/>
    <w:rsid w:val="00BA4756"/>
    <w:rsid w:val="00C05A4F"/>
    <w:rsid w:val="00C12984"/>
    <w:rsid w:val="00C44DF9"/>
    <w:rsid w:val="00C63EF1"/>
    <w:rsid w:val="00C717C0"/>
    <w:rsid w:val="00CF224B"/>
    <w:rsid w:val="00CF69BE"/>
    <w:rsid w:val="00D22BF3"/>
    <w:rsid w:val="00D53B26"/>
    <w:rsid w:val="00D64FEF"/>
    <w:rsid w:val="00D65888"/>
    <w:rsid w:val="00D901BC"/>
    <w:rsid w:val="00D95D07"/>
    <w:rsid w:val="00DE16B6"/>
    <w:rsid w:val="00DE7999"/>
    <w:rsid w:val="00E206C2"/>
    <w:rsid w:val="00E56745"/>
    <w:rsid w:val="00E767C7"/>
    <w:rsid w:val="00F21E28"/>
    <w:rsid w:val="00F741FD"/>
    <w:rsid w:val="00F74A2C"/>
    <w:rsid w:val="00FC16B0"/>
    <w:rsid w:val="00FC4133"/>
    <w:rsid w:val="00FD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F2638E321964429D93DE928A77594D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B14412E35C9479482E0D7735729195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3F10-8652-48AA-8AE3-0FF8656AED87}">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Template>
  <Company>ICBC</Company>
  <Pages>95</Pages>
  <Words>9465</Words>
  <Characters>53953</Characters>
  <Lines>449</Lines>
  <Paragraphs>126</Paragraphs>
  <TotalTime>44</TotalTime>
  <ScaleCrop>false</ScaleCrop>
  <LinksUpToDate>false</LinksUpToDate>
  <CharactersWithSpaces>63292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2025-10-28T10:23:00Z</dcterms:created>
  <dc:creator>陆秋楠</dc:creator>
  <cp:lastModifiedBy>chenwenmin</cp:lastModifiedBy>
  <cp:lastPrinted>2021-04-08T01:26:00Z</cp:lastPrinted>
  <dcterms:modified xsi:type="dcterms:W3CDTF">2026-05-29T08:49:20Z</dcterms:modified>
  <dc:subject>1183184</dc:subject>
  <dc:title>富国数字经济混合型证券投资基金合同(公募临时公告)</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39398479E1194E9586B74060024CE91C_13</vt:lpwstr>
  </property>
</Properties>
</file>