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E00368">
      <w:pPr>
        <w:jc w:val="center"/>
        <w:rPr>
          <w:rFonts w:hint="eastAsia"/>
        </w:rPr>
      </w:pPr>
      <w:bookmarkStart w:id="0" w:name="_Toc510201001"/>
      <w:bookmarkEnd w:id="0"/>
      <w:r>
        <w:rPr>
          <w:rFonts w:hint="eastAsia" w:cs="Times New Roman"/>
          <w:b/>
          <w:sz w:val="28"/>
          <w:szCs w:val="28"/>
        </w:rPr>
        <w:t>融通新材料混合型发起式证券投资基金(C类份额)</w:t>
      </w:r>
      <w:r>
        <w:rPr>
          <w:rFonts w:hint="eastAsia" w:cs="Times New Roman"/>
          <w:b/>
          <w:sz w:val="28"/>
          <w:szCs w:val="28"/>
        </w:rPr>
        <w:br w:type="textWrapping"/>
      </w:r>
      <w:r>
        <w:rPr>
          <w:rFonts w:hint="eastAsia" w:cs="Times New Roman"/>
          <w:b/>
          <w:sz w:val="28"/>
          <w:szCs w:val="28"/>
        </w:rPr>
        <w:t>基金产品资料概要</w:t>
      </w:r>
    </w:p>
    <w:p w14:paraId="78EF90CF">
      <w:pPr>
        <w:spacing w:line="360" w:lineRule="auto"/>
        <w:ind w:firstLine="1920" w:firstLineChars="800"/>
        <w:jc w:val="right"/>
        <w:rPr>
          <w:rFonts w:hint="eastAsia"/>
        </w:rPr>
      </w:pPr>
      <w:r>
        <w:rPr>
          <w:rFonts w:hint="eastAsia"/>
          <w:bCs/>
          <w:sz w:val="24"/>
          <w:szCs w:val="30"/>
        </w:rPr>
        <w:t>编制日期：202</w:t>
      </w:r>
      <w:r>
        <w:rPr>
          <w:bCs/>
          <w:sz w:val="24"/>
          <w:szCs w:val="30"/>
        </w:rPr>
        <w:t>6</w:t>
      </w:r>
      <w:r>
        <w:rPr>
          <w:rFonts w:hint="eastAsia"/>
          <w:bCs/>
          <w:sz w:val="24"/>
          <w:szCs w:val="30"/>
        </w:rPr>
        <w:t>年5月</w:t>
      </w:r>
      <w:r>
        <w:rPr>
          <w:rFonts w:hint="eastAsia"/>
          <w:bCs/>
          <w:sz w:val="24"/>
          <w:szCs w:val="30"/>
          <w:lang w:val="en-US" w:eastAsia="zh-CN"/>
        </w:rPr>
        <w:t>12</w:t>
      </w:r>
      <w:r>
        <w:rPr>
          <w:rFonts w:hint="eastAsia"/>
          <w:bCs/>
          <w:sz w:val="24"/>
          <w:szCs w:val="30"/>
        </w:rPr>
        <w:t>日</w:t>
      </w:r>
    </w:p>
    <w:p w14:paraId="199341D9">
      <w:pPr>
        <w:spacing w:line="360" w:lineRule="auto"/>
        <w:jc w:val="center"/>
        <w:rPr>
          <w:rFonts w:hint="eastAsia"/>
        </w:rPr>
      </w:pPr>
      <w:r>
        <w:rPr>
          <w:rFonts w:hint="eastAsia"/>
          <w:bCs/>
          <w:sz w:val="24"/>
          <w:szCs w:val="30"/>
        </w:rPr>
        <w:t>送出日期：202</w:t>
      </w:r>
      <w:r>
        <w:rPr>
          <w:bCs/>
          <w:sz w:val="24"/>
          <w:szCs w:val="30"/>
        </w:rPr>
        <w:t>6</w:t>
      </w:r>
      <w:r>
        <w:rPr>
          <w:rFonts w:hint="eastAsia"/>
          <w:bCs/>
          <w:sz w:val="24"/>
          <w:szCs w:val="30"/>
        </w:rPr>
        <w:t>年5月1</w:t>
      </w:r>
      <w:r>
        <w:rPr>
          <w:rFonts w:hint="eastAsia"/>
          <w:bCs/>
          <w:sz w:val="24"/>
          <w:szCs w:val="30"/>
          <w:lang w:val="en-US" w:eastAsia="zh-CN"/>
        </w:rPr>
        <w:t>3</w:t>
      </w:r>
      <w:r>
        <w:rPr>
          <w:rFonts w:hint="eastAsia"/>
          <w:bCs/>
          <w:sz w:val="24"/>
          <w:szCs w:val="30"/>
        </w:rPr>
        <w:t>日</w:t>
      </w:r>
    </w:p>
    <w:p w14:paraId="4151E3FE">
      <w:pPr>
        <w:spacing w:line="360" w:lineRule="auto"/>
        <w:jc w:val="center"/>
        <w:rPr>
          <w:rFonts w:hint="eastAsia" w:cs="Times New Roman"/>
          <w:b/>
          <w:sz w:val="24"/>
          <w:szCs w:val="24"/>
        </w:rPr>
      </w:pPr>
      <w:r>
        <w:rPr>
          <w:rFonts w:hint="eastAsia" w:cs="Times New Roman"/>
          <w:b/>
          <w:sz w:val="24"/>
          <w:szCs w:val="24"/>
        </w:rPr>
        <w:t xml:space="preserve">本概要提供本基金的重要信息，是招募说明书的一部分。 </w:t>
      </w:r>
    </w:p>
    <w:p w14:paraId="7DA47005">
      <w:pPr>
        <w:spacing w:line="360" w:lineRule="auto"/>
        <w:jc w:val="center"/>
        <w:rPr>
          <w:rFonts w:hint="eastAsia" w:cs="Times New Roman"/>
          <w:b/>
          <w:sz w:val="24"/>
          <w:szCs w:val="24"/>
        </w:rPr>
      </w:pPr>
      <w:r>
        <w:rPr>
          <w:rFonts w:hint="eastAsia" w:cs="Times New Roman"/>
          <w:b/>
          <w:sz w:val="24"/>
          <w:szCs w:val="24"/>
        </w:rPr>
        <w:t xml:space="preserve">作出投资决定前，请阅读完整的招募说明书等销售文件。 </w:t>
      </w:r>
    </w:p>
    <w:p w14:paraId="286A6D79">
      <w:pPr>
        <w:pStyle w:val="50"/>
        <w:spacing w:before="156" w:line="312" w:lineRule="exact"/>
        <w:rPr>
          <w:rFonts w:hint="eastAsia" w:hAnsi="宋体"/>
          <w:szCs w:val="44"/>
        </w:rPr>
      </w:pPr>
      <w:bookmarkStart w:id="1" w:name="_Toc37433211"/>
      <w:bookmarkStart w:id="2" w:name="_Toc34758519"/>
      <w:bookmarkStart w:id="3" w:name="_Toc513295846"/>
      <w:bookmarkStart w:id="4" w:name="_Toc512519480"/>
      <w:bookmarkStart w:id="5" w:name="_Toc17897936"/>
      <w:bookmarkStart w:id="6" w:name="_Toc513295892"/>
      <w:bookmarkStart w:id="7" w:name="_Toc438646451"/>
      <w:bookmarkStart w:id="8" w:name="_Toc490050000"/>
      <w:bookmarkStart w:id="9" w:name="_Toc481075046"/>
      <w:bookmarkStart w:id="10" w:name="_Toc34841028"/>
      <w:bookmarkStart w:id="11" w:name="_Toc17898178"/>
      <w:bookmarkStart w:id="12" w:name="m01_01"/>
      <w:bookmarkStart w:id="13" w:name="_Toc194311890"/>
      <w:bookmarkStart w:id="14" w:name="m101"/>
      <w:r>
        <w:rPr>
          <w:rFonts w:hint="eastAsia" w:hAnsi="宋体"/>
        </w:rPr>
        <w:t>产品概况</w:t>
      </w:r>
      <w:bookmarkEnd w:id="1"/>
      <w:r>
        <w:rPr>
          <w:rFonts w:hint="eastAsia" w:hAnsi="宋体"/>
          <w:szCs w:val="44"/>
        </w:rPr>
        <w:t xml:space="preserve"> </w:t>
      </w:r>
    </w:p>
    <w:tbl>
      <w:tblPr>
        <w:tblStyle w:val="22"/>
        <w:tblW w:w="4900"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6"/>
        <w:gridCol w:w="2783"/>
        <w:gridCol w:w="2371"/>
        <w:gridCol w:w="2784"/>
      </w:tblGrid>
      <w:tr w14:paraId="439B4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7"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F685F7">
            <w:pPr>
              <w:rPr>
                <w:rFonts w:hint="eastAsia"/>
                <w:szCs w:val="24"/>
                <w:lang w:eastAsia="zh-Hans"/>
              </w:rPr>
            </w:pPr>
            <w:bookmarkStart w:id="15" w:name="m04_01_02_tab"/>
            <w:r>
              <w:rPr>
                <w:rFonts w:hint="eastAsia"/>
                <w:b/>
                <w:szCs w:val="24"/>
              </w:rPr>
              <w:t>基金简称</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7E0164">
            <w:pPr>
              <w:rPr>
                <w:rFonts w:hint="eastAsia"/>
                <w:szCs w:val="24"/>
                <w:lang w:eastAsia="zh-Hans"/>
              </w:rPr>
            </w:pPr>
            <w:r>
              <w:rPr>
                <w:rFonts w:hint="eastAsia"/>
                <w:szCs w:val="24"/>
              </w:rPr>
              <w:t>融通新材料混合发起式</w:t>
            </w:r>
            <w:r>
              <w:rPr>
                <w:rFonts w:hint="eastAsia"/>
                <w:szCs w:val="24"/>
                <w:lang w:eastAsia="zh-Hans"/>
              </w:rPr>
              <w:t xml:space="preserve"> </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0816B2">
            <w:pPr>
              <w:rPr>
                <w:rFonts w:hint="eastAsia"/>
                <w:szCs w:val="24"/>
                <w:lang w:eastAsia="zh-Hans"/>
              </w:rPr>
            </w:pPr>
            <w:r>
              <w:rPr>
                <w:rFonts w:hint="eastAsia"/>
                <w:b/>
                <w:szCs w:val="24"/>
              </w:rPr>
              <w:t>基金代码</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5B7B71">
            <w:pPr>
              <w:rPr>
                <w:rFonts w:hint="eastAsia"/>
                <w:szCs w:val="24"/>
                <w:lang w:eastAsia="zh-Hans"/>
              </w:rPr>
            </w:pPr>
            <w:r>
              <w:rPr>
                <w:rFonts w:hint="eastAsia"/>
                <w:szCs w:val="24"/>
              </w:rPr>
              <w:t>02725</w:t>
            </w:r>
            <w:r>
              <w:rPr>
                <w:szCs w:val="24"/>
              </w:rPr>
              <w:t>2</w:t>
            </w:r>
          </w:p>
        </w:tc>
      </w:tr>
      <w:tr w14:paraId="7DA1F6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7"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79C664">
            <w:pPr>
              <w:rPr>
                <w:rFonts w:hint="eastAsia"/>
                <w:szCs w:val="24"/>
                <w:lang w:eastAsia="zh-Hans"/>
              </w:rPr>
            </w:pPr>
            <w:r>
              <w:rPr>
                <w:rFonts w:hint="eastAsia"/>
                <w:b/>
                <w:szCs w:val="24"/>
              </w:rPr>
              <w:t>下属基金简称</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BCB195">
            <w:pPr>
              <w:rPr>
                <w:rFonts w:hint="eastAsia"/>
                <w:szCs w:val="24"/>
                <w:lang w:eastAsia="zh-Hans"/>
              </w:rPr>
            </w:pPr>
            <w:r>
              <w:rPr>
                <w:rFonts w:hint="eastAsia"/>
                <w:szCs w:val="24"/>
              </w:rPr>
              <w:t>融通新材料混合发起式</w:t>
            </w:r>
            <w:r>
              <w:rPr>
                <w:szCs w:val="24"/>
              </w:rPr>
              <w:t>C</w:t>
            </w:r>
            <w:r>
              <w:rPr>
                <w:rFonts w:hint="eastAsia"/>
                <w:szCs w:val="24"/>
                <w:lang w:eastAsia="zh-Hans"/>
              </w:rPr>
              <w:t xml:space="preserve"> </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F5975E">
            <w:pPr>
              <w:rPr>
                <w:rFonts w:hint="eastAsia"/>
                <w:szCs w:val="24"/>
                <w:lang w:eastAsia="zh-Hans"/>
              </w:rPr>
            </w:pPr>
            <w:r>
              <w:rPr>
                <w:rFonts w:hint="eastAsia"/>
                <w:b/>
                <w:szCs w:val="24"/>
              </w:rPr>
              <w:t>下属基金交易代码</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BCBCC0">
            <w:pPr>
              <w:rPr>
                <w:rFonts w:hint="eastAsia"/>
                <w:szCs w:val="24"/>
                <w:lang w:eastAsia="zh-Hans"/>
              </w:rPr>
            </w:pPr>
            <w:r>
              <w:rPr>
                <w:szCs w:val="24"/>
              </w:rPr>
              <w:t>02</w:t>
            </w:r>
            <w:r>
              <w:rPr>
                <w:rFonts w:hint="eastAsia"/>
                <w:szCs w:val="24"/>
              </w:rPr>
              <w:t>7253</w:t>
            </w:r>
            <w:r>
              <w:rPr>
                <w:rFonts w:hint="eastAsia"/>
                <w:szCs w:val="24"/>
                <w:lang w:eastAsia="zh-Hans"/>
              </w:rPr>
              <w:t xml:space="preserve"> </w:t>
            </w:r>
          </w:p>
        </w:tc>
      </w:tr>
      <w:tr w14:paraId="708CDD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6D1F4B">
            <w:pPr>
              <w:rPr>
                <w:rFonts w:hint="eastAsia"/>
                <w:szCs w:val="24"/>
                <w:lang w:eastAsia="zh-Hans"/>
              </w:rPr>
            </w:pPr>
            <w:r>
              <w:rPr>
                <w:rFonts w:hint="eastAsia"/>
                <w:b/>
                <w:szCs w:val="24"/>
                <w:lang w:eastAsia="zh-Hans"/>
              </w:rPr>
              <w:t>基金管理人</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565416">
            <w:pPr>
              <w:rPr>
                <w:rFonts w:hint="eastAsia"/>
              </w:rPr>
            </w:pPr>
            <w:r>
              <w:rPr>
                <w:rFonts w:hint="eastAsia"/>
                <w:szCs w:val="24"/>
                <w:lang w:eastAsia="zh-Hans"/>
              </w:rPr>
              <w:t>融通基金管理有限公司</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E4DA02">
            <w:pPr>
              <w:rPr>
                <w:rFonts w:hint="eastAsia"/>
                <w:szCs w:val="24"/>
                <w:lang w:eastAsia="zh-Hans"/>
              </w:rPr>
            </w:pPr>
            <w:r>
              <w:rPr>
                <w:rFonts w:hint="eastAsia"/>
                <w:b/>
                <w:szCs w:val="24"/>
                <w:lang w:eastAsia="zh-Hans"/>
              </w:rPr>
              <w:t>基金托管人</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8C6F0B">
            <w:pPr>
              <w:rPr>
                <w:rFonts w:hint="eastAsia"/>
              </w:rPr>
            </w:pPr>
            <w:r>
              <w:rPr>
                <w:rFonts w:hint="eastAsia"/>
                <w:szCs w:val="24"/>
                <w:lang w:eastAsia="zh-Hans"/>
              </w:rPr>
              <w:t>宁波银行股份有限公司</w:t>
            </w:r>
          </w:p>
        </w:tc>
      </w:tr>
      <w:tr w14:paraId="126FFC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1C3AEB">
            <w:pPr>
              <w:rPr>
                <w:rFonts w:hint="eastAsia"/>
                <w:szCs w:val="24"/>
                <w:lang w:eastAsia="zh-Hans"/>
              </w:rPr>
            </w:pPr>
            <w:r>
              <w:rPr>
                <w:rFonts w:hint="eastAsia"/>
                <w:b/>
                <w:szCs w:val="24"/>
                <w:lang w:eastAsia="zh-Hans"/>
              </w:rPr>
              <w:t>基金合同生效日</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0D3B56">
            <w:pPr>
              <w:rPr>
                <w:rFonts w:hint="eastAsia"/>
              </w:rPr>
            </w:pPr>
            <w:r>
              <w:rPr>
                <w:rFonts w:hint="eastAsia"/>
                <w:szCs w:val="24"/>
                <w:lang w:eastAsia="zh-Hans"/>
              </w:rPr>
              <w:t>-</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AA36A6">
            <w:pPr>
              <w:rPr>
                <w:rFonts w:hint="eastAsia"/>
                <w:szCs w:val="24"/>
                <w:lang w:eastAsia="zh-Hans"/>
              </w:rPr>
            </w:pPr>
            <w:r>
              <w:rPr>
                <w:rFonts w:hint="eastAsia"/>
                <w:b/>
                <w:szCs w:val="24"/>
                <w:lang w:eastAsia="zh-Hans"/>
              </w:rPr>
              <w:t>上市交易所及上市日期</w:t>
            </w:r>
            <w:r>
              <w:rPr>
                <w:rFonts w:hint="eastAsia"/>
                <w:szCs w:val="24"/>
                <w:lang w:eastAsia="zh-Hans"/>
              </w:rPr>
              <w:t xml:space="preserve"> </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FF4111">
            <w:pPr>
              <w:rPr>
                <w:rFonts w:hint="eastAsia"/>
              </w:rPr>
            </w:pPr>
            <w:r>
              <w:rPr>
                <w:rFonts w:hint="eastAsia"/>
                <w:szCs w:val="24"/>
                <w:lang w:eastAsia="zh-Hans"/>
              </w:rPr>
              <w:t>-</w:t>
            </w:r>
          </w:p>
        </w:tc>
      </w:tr>
      <w:tr w14:paraId="59A564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47AC99">
            <w:pPr>
              <w:rPr>
                <w:rFonts w:hint="eastAsia"/>
                <w:szCs w:val="24"/>
                <w:lang w:eastAsia="zh-Hans"/>
              </w:rPr>
            </w:pPr>
            <w:r>
              <w:rPr>
                <w:rFonts w:hint="eastAsia"/>
                <w:b/>
                <w:szCs w:val="24"/>
                <w:lang w:eastAsia="zh-Hans"/>
              </w:rPr>
              <w:t>基金类型</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B55DDE">
            <w:pPr>
              <w:rPr>
                <w:rFonts w:hint="eastAsia"/>
              </w:rPr>
            </w:pPr>
            <w:r>
              <w:rPr>
                <w:rFonts w:hint="eastAsia"/>
                <w:szCs w:val="24"/>
                <w:lang w:eastAsia="zh-Hans"/>
              </w:rPr>
              <w:t>混合型</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DF0A41">
            <w:pPr>
              <w:rPr>
                <w:rFonts w:hint="eastAsia"/>
                <w:szCs w:val="24"/>
                <w:lang w:eastAsia="zh-Hans"/>
              </w:rPr>
            </w:pPr>
            <w:r>
              <w:rPr>
                <w:rFonts w:hint="eastAsia"/>
                <w:b/>
                <w:szCs w:val="24"/>
                <w:lang w:eastAsia="zh-Hans"/>
              </w:rPr>
              <w:t>交易币种</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993C26">
            <w:pPr>
              <w:rPr>
                <w:rFonts w:hint="eastAsia"/>
              </w:rPr>
            </w:pPr>
            <w:r>
              <w:rPr>
                <w:rFonts w:hint="eastAsia"/>
                <w:szCs w:val="24"/>
                <w:lang w:eastAsia="zh-Hans"/>
              </w:rPr>
              <w:t>人民币</w:t>
            </w:r>
          </w:p>
        </w:tc>
      </w:tr>
      <w:tr w14:paraId="79A6EA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003104">
            <w:pPr>
              <w:rPr>
                <w:rFonts w:hint="eastAsia"/>
                <w:szCs w:val="24"/>
                <w:lang w:eastAsia="zh-Hans"/>
              </w:rPr>
            </w:pPr>
            <w:r>
              <w:rPr>
                <w:rFonts w:hint="eastAsia"/>
                <w:b/>
                <w:szCs w:val="24"/>
                <w:lang w:eastAsia="zh-Hans"/>
              </w:rPr>
              <w:t>运作方式</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65422A">
            <w:pPr>
              <w:rPr>
                <w:rFonts w:hint="eastAsia"/>
              </w:rPr>
            </w:pPr>
            <w:r>
              <w:rPr>
                <w:rFonts w:hint="eastAsia"/>
                <w:szCs w:val="24"/>
                <w:lang w:eastAsia="zh-Hans"/>
              </w:rPr>
              <w:t>普通开放式</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A82BAF">
            <w:pPr>
              <w:rPr>
                <w:rFonts w:hint="eastAsia"/>
                <w:szCs w:val="24"/>
                <w:lang w:eastAsia="zh-Hans"/>
              </w:rPr>
            </w:pPr>
            <w:r>
              <w:rPr>
                <w:rFonts w:hint="eastAsia"/>
                <w:b/>
                <w:szCs w:val="24"/>
                <w:lang w:eastAsia="zh-Hans"/>
              </w:rPr>
              <w:t>开放频率</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A0BE06">
            <w:pPr>
              <w:rPr>
                <w:rFonts w:hint="eastAsia"/>
              </w:rPr>
            </w:pPr>
            <w:r>
              <w:rPr>
                <w:rFonts w:hint="eastAsia"/>
                <w:szCs w:val="24"/>
                <w:lang w:eastAsia="zh-Hans"/>
              </w:rPr>
              <w:t>每个开放日</w:t>
            </w:r>
          </w:p>
        </w:tc>
      </w:tr>
      <w:tr w14:paraId="2322AC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95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710128">
            <w:pPr>
              <w:rPr>
                <w:rFonts w:hint="eastAsia"/>
                <w:szCs w:val="24"/>
                <w:lang w:eastAsia="zh-Hans"/>
              </w:rPr>
            </w:pPr>
            <w:r>
              <w:rPr>
                <w:rFonts w:hint="eastAsia"/>
                <w:b/>
                <w:szCs w:val="24"/>
                <w:lang w:eastAsia="zh-Hans"/>
              </w:rPr>
              <w:t>基金经理</w:t>
            </w:r>
            <w:r>
              <w:rPr>
                <w:rFonts w:hint="eastAsia"/>
                <w:szCs w:val="24"/>
                <w:lang w:eastAsia="zh-Hans"/>
              </w:rPr>
              <w:t xml:space="preserve"> </w:t>
            </w:r>
          </w:p>
        </w:tc>
        <w:tc>
          <w:tcPr>
            <w:tcW w:w="298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461719">
            <w:pPr>
              <w:rPr>
                <w:rFonts w:hint="eastAsia"/>
              </w:rPr>
            </w:pPr>
            <w:r>
              <w:rPr>
                <w:rFonts w:hint="eastAsia"/>
                <w:szCs w:val="24"/>
              </w:rPr>
              <w:t>李文海</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F1036F">
            <w:pPr>
              <w:rPr>
                <w:rFonts w:hint="eastAsia"/>
                <w:szCs w:val="24"/>
                <w:lang w:eastAsia="zh-Hans"/>
              </w:rPr>
            </w:pPr>
            <w:r>
              <w:rPr>
                <w:rFonts w:hint="eastAsia"/>
                <w:b/>
                <w:szCs w:val="24"/>
                <w:lang w:eastAsia="zh-Hans"/>
              </w:rPr>
              <w:t>开始担任本基金基金经理的日期</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1D7BC9">
            <w:pPr>
              <w:rPr>
                <w:rFonts w:hint="eastAsia"/>
              </w:rPr>
            </w:pPr>
            <w:r>
              <w:rPr>
                <w:rFonts w:hint="eastAsia"/>
                <w:szCs w:val="24"/>
                <w:lang w:eastAsia="zh-Hans"/>
              </w:rPr>
              <w:t>-</w:t>
            </w:r>
          </w:p>
        </w:tc>
      </w:tr>
      <w:tr w14:paraId="7AD337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14:paraId="04380CF8">
            <w:pPr>
              <w:widowControl/>
              <w:jc w:val="left"/>
              <w:rPr>
                <w:rFonts w:hint="eastAsia"/>
                <w:szCs w:val="24"/>
                <w:lang w:eastAsia="zh-Hans"/>
              </w:rPr>
            </w:pPr>
          </w:p>
        </w:tc>
        <w:tc>
          <w:tcPr>
            <w:tcW w:w="6008" w:type="dxa"/>
            <w:vMerge w:val="continue"/>
            <w:tcBorders>
              <w:top w:val="single" w:color="auto" w:sz="4" w:space="0"/>
              <w:left w:val="single" w:color="auto" w:sz="4" w:space="0"/>
              <w:bottom w:val="single" w:color="auto" w:sz="4" w:space="0"/>
              <w:right w:val="single" w:color="auto" w:sz="4" w:space="0"/>
            </w:tcBorders>
            <w:vAlign w:val="center"/>
          </w:tcPr>
          <w:p w14:paraId="75562C28">
            <w:pPr>
              <w:widowControl/>
              <w:jc w:val="left"/>
              <w:rPr>
                <w:rFonts w:hint="eastAsia"/>
              </w:rPr>
            </w:pP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E8DEDD">
            <w:pPr>
              <w:rPr>
                <w:rFonts w:hint="eastAsia"/>
                <w:szCs w:val="24"/>
                <w:lang w:eastAsia="zh-Hans"/>
              </w:rPr>
            </w:pPr>
            <w:r>
              <w:rPr>
                <w:rFonts w:hint="eastAsia"/>
                <w:b/>
                <w:szCs w:val="24"/>
                <w:lang w:eastAsia="zh-Hans"/>
              </w:rPr>
              <w:t>证券从业日期</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BA8027">
            <w:pPr>
              <w:rPr>
                <w:rFonts w:hint="eastAsia"/>
              </w:rPr>
            </w:pPr>
            <w:r>
              <w:rPr>
                <w:rFonts w:hint="eastAsia"/>
                <w:szCs w:val="24"/>
                <w:lang w:eastAsia="zh-Hans"/>
              </w:rPr>
              <w:t>20</w:t>
            </w:r>
            <w:r>
              <w:rPr>
                <w:rFonts w:hint="eastAsia"/>
                <w:szCs w:val="24"/>
              </w:rPr>
              <w:t>17</w:t>
            </w:r>
            <w:r>
              <w:rPr>
                <w:rFonts w:hint="eastAsia"/>
                <w:szCs w:val="24"/>
                <w:lang w:eastAsia="zh-Hans"/>
              </w:rPr>
              <w:t>年</w:t>
            </w:r>
            <w:r>
              <w:rPr>
                <w:rFonts w:hint="eastAsia"/>
                <w:szCs w:val="24"/>
              </w:rPr>
              <w:t>7</w:t>
            </w:r>
            <w:r>
              <w:rPr>
                <w:rFonts w:hint="eastAsia"/>
                <w:szCs w:val="24"/>
                <w:lang w:eastAsia="zh-Hans"/>
              </w:rPr>
              <w:t>月</w:t>
            </w:r>
            <w:r>
              <w:rPr>
                <w:szCs w:val="24"/>
                <w:lang w:eastAsia="zh-Hans"/>
              </w:rPr>
              <w:t>4</w:t>
            </w:r>
            <w:r>
              <w:rPr>
                <w:rFonts w:hint="eastAsia"/>
                <w:szCs w:val="24"/>
                <w:lang w:eastAsia="zh-Hans"/>
              </w:rPr>
              <w:t>日</w:t>
            </w:r>
          </w:p>
        </w:tc>
      </w:tr>
      <w:tr w14:paraId="6800A3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F2DFBD">
            <w:pPr>
              <w:rPr>
                <w:rFonts w:hint="eastAsia"/>
                <w:szCs w:val="24"/>
                <w:lang w:eastAsia="zh-Hans"/>
              </w:rPr>
            </w:pPr>
            <w:r>
              <w:rPr>
                <w:rFonts w:hint="eastAsia"/>
                <w:b/>
                <w:szCs w:val="24"/>
                <w:lang w:eastAsia="zh-Hans"/>
              </w:rPr>
              <w:t>其他</w:t>
            </w:r>
            <w:r>
              <w:rPr>
                <w:rFonts w:hint="eastAsia"/>
                <w:szCs w:val="24"/>
                <w:lang w:eastAsia="zh-Hans"/>
              </w:rPr>
              <w:t xml:space="preserve"> </w:t>
            </w:r>
          </w:p>
        </w:tc>
        <w:tc>
          <w:tcPr>
            <w:tcW w:w="552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7E0131">
            <w:pPr>
              <w:rPr>
                <w:rFonts w:hint="eastAsia"/>
              </w:rPr>
            </w:pPr>
            <w:r>
              <w:rPr>
                <w:rFonts w:hint="eastAsia"/>
                <w:szCs w:val="24"/>
                <w:lang w:eastAsia="zh-Hans"/>
              </w:rPr>
              <w:t>基金合同生效之日起三年后的对应日（若无对应日则顺延至下一日），若本基金资产净值低于两亿元，基金合同自动终止，且不得通过召开基金份额持有人大会的方式延续基金合同期限。若届时的法律法规或中国证监会规定发生变化，上述终止规定被取消、更改或补充，则本基金可以参照届时有效的法律法规或中国证监会规定执行。</w:t>
            </w:r>
          </w:p>
        </w:tc>
      </w:tr>
    </w:tbl>
    <w:p w14:paraId="7B7DB7F1">
      <w:pPr>
        <w:pStyle w:val="50"/>
        <w:spacing w:before="156" w:line="312" w:lineRule="exact"/>
        <w:rPr>
          <w:rFonts w:hint="eastAsia" w:hAnsi="宋体"/>
        </w:rPr>
      </w:pPr>
      <w:bookmarkStart w:id="16" w:name="_Toc37433212"/>
      <w:bookmarkStart w:id="17" w:name="_Toc34841030"/>
      <w:bookmarkStart w:id="18" w:name="_Toc34758521"/>
      <w:bookmarkStart w:id="19" w:name="m401_tab"/>
      <w:bookmarkStart w:id="20" w:name="m401"/>
      <w:bookmarkStart w:id="21" w:name="m07_04_13_00"/>
      <w:bookmarkStart w:id="22" w:name="_Toc513295847"/>
      <w:bookmarkStart w:id="23" w:name="_Toc17897938"/>
      <w:bookmarkStart w:id="24" w:name="_Toc512519481"/>
      <w:bookmarkStart w:id="25" w:name="_Toc481075049"/>
      <w:bookmarkStart w:id="26" w:name="_Toc438646455"/>
      <w:bookmarkStart w:id="27" w:name="m201"/>
      <w:bookmarkStart w:id="28" w:name="m201_01"/>
      <w:bookmarkStart w:id="29" w:name="m07_04_07_09_tab"/>
      <w:bookmarkStart w:id="30" w:name="m07_04_07_09"/>
      <w:bookmarkStart w:id="31" w:name="_Toc438646452"/>
      <w:bookmarkStart w:id="32" w:name="_Toc17897937"/>
      <w:bookmarkStart w:id="33" w:name="_Toc481075047"/>
      <w:bookmarkStart w:id="34" w:name="_Toc512519482"/>
      <w:bookmarkStart w:id="35" w:name="_Toc17898180"/>
      <w:bookmarkStart w:id="36" w:name="_Toc513295894"/>
      <w:bookmarkStart w:id="37" w:name="_Toc17898179"/>
      <w:bookmarkStart w:id="38" w:name="_Toc513295893"/>
      <w:bookmarkStart w:id="39" w:name="_Toc490050001"/>
      <w:bookmarkStart w:id="40" w:name="_Toc490050003"/>
      <w:bookmarkStart w:id="41" w:name="_Toc513295848"/>
      <w:r>
        <w:rPr>
          <w:rFonts w:hint="eastAsia" w:hAnsi="宋体"/>
        </w:rPr>
        <w:t>基金投资与净值表现</w:t>
      </w:r>
      <w:bookmarkEnd w:id="16"/>
      <w:r>
        <w:rPr>
          <w:rFonts w:hint="eastAsia" w:hAnsi="宋体"/>
        </w:rPr>
        <w:t xml:space="preserve"> </w:t>
      </w:r>
    </w:p>
    <w:p w14:paraId="21068BCB">
      <w:pPr>
        <w:pStyle w:val="51"/>
        <w:spacing w:before="156" w:line="312" w:lineRule="exact"/>
        <w:rPr>
          <w:rFonts w:hint="eastAsia" w:hAnsi="宋体"/>
          <w:sz w:val="21"/>
        </w:rPr>
      </w:pPr>
      <w:bookmarkStart w:id="42" w:name="_Toc37433213"/>
      <w:bookmarkStart w:id="43" w:name="_Toc17897939"/>
      <w:bookmarkStart w:id="44" w:name="_Toc34841031"/>
      <w:bookmarkStart w:id="45" w:name="_Toc513295849"/>
      <w:bookmarkStart w:id="46" w:name="_Toc34758522"/>
      <w:bookmarkStart w:id="47" w:name="_Toc513295895"/>
      <w:bookmarkStart w:id="48" w:name="_Toc490050004"/>
      <w:bookmarkStart w:id="49" w:name="_Toc438646456"/>
      <w:bookmarkStart w:id="50" w:name="_Toc17898181"/>
      <w:bookmarkStart w:id="51" w:name="_Toc481075050"/>
      <w:bookmarkStart w:id="52" w:name="_Toc512519483"/>
      <w:r>
        <w:rPr>
          <w:rFonts w:hint="eastAsia" w:hAnsi="宋体"/>
          <w:sz w:val="21"/>
        </w:rPr>
        <w:t>投资目标与投资策略</w:t>
      </w:r>
      <w:bookmarkEnd w:id="42"/>
      <w:r>
        <w:rPr>
          <w:rFonts w:hint="eastAsia" w:hAnsi="宋体"/>
          <w:sz w:val="21"/>
        </w:rPr>
        <w:t xml:space="preserve"> </w:t>
      </w:r>
    </w:p>
    <w:tbl>
      <w:tblPr>
        <w:tblStyle w:val="22"/>
        <w:tblW w:w="5000"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784"/>
        <w:gridCol w:w="8179"/>
      </w:tblGrid>
      <w:tr w14:paraId="37B2A0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7"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2DAC50">
            <w:pPr>
              <w:rPr>
                <w:rFonts w:hint="eastAsia"/>
                <w:szCs w:val="24"/>
                <w:lang w:eastAsia="zh-Hans"/>
              </w:rPr>
            </w:pPr>
            <w:r>
              <w:rPr>
                <w:rFonts w:hint="eastAsia" w:ascii="Times New Roman" w:hAnsi="Times New Roman"/>
                <w:b/>
              </w:rPr>
              <w:t>投资目标</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382A10">
            <w:pPr>
              <w:spacing w:line="312" w:lineRule="exact"/>
              <w:rPr>
                <w:rFonts w:hint="eastAsia"/>
                <w:szCs w:val="24"/>
                <w:lang w:eastAsia="zh-Hans"/>
              </w:rPr>
            </w:pPr>
            <w:r>
              <w:rPr>
                <w:rFonts w:hint="eastAsia"/>
                <w:szCs w:val="24"/>
              </w:rPr>
              <w:t>本基金精选新材料主题的优质证券进行中长期投资，在合理控制风险并保持基金资产良好流动性的前提下，力争实现基金资产的长期增值。</w:t>
            </w:r>
          </w:p>
        </w:tc>
      </w:tr>
      <w:tr w14:paraId="3A4614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6"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B3C0D5">
            <w:pPr>
              <w:rPr>
                <w:rFonts w:hint="eastAsia"/>
                <w:szCs w:val="24"/>
                <w:lang w:eastAsia="zh-Hans"/>
              </w:rPr>
            </w:pPr>
            <w:bookmarkStart w:id="53" w:name="m02_02_tab"/>
            <w:r>
              <w:rPr>
                <w:rFonts w:hint="eastAsia" w:ascii="Times New Roman" w:hAnsi="Times New Roman"/>
                <w:b/>
                <w:color w:val="373A3C"/>
                <w:szCs w:val="21"/>
                <w:shd w:val="clear" w:color="auto" w:fill="FFFFFF"/>
              </w:rPr>
              <w:t>投资范围</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E7443F">
            <w:pPr>
              <w:spacing w:line="312" w:lineRule="exact"/>
              <w:rPr>
                <w:rFonts w:hint="eastAsia"/>
                <w:szCs w:val="24"/>
                <w:lang w:eastAsia="zh-Hans"/>
              </w:rPr>
            </w:pPr>
            <w:r>
              <w:rPr>
                <w:rFonts w:hint="eastAsia"/>
                <w:szCs w:val="24"/>
                <w:lang w:eastAsia="zh-Hans"/>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5B3212F4">
            <w:pPr>
              <w:spacing w:line="312" w:lineRule="exact"/>
              <w:rPr>
                <w:rFonts w:hint="eastAsia"/>
                <w:szCs w:val="24"/>
                <w:lang w:eastAsia="zh-Hans"/>
              </w:rPr>
            </w:pPr>
            <w:r>
              <w:rPr>
                <w:rFonts w:hint="eastAsia"/>
                <w:szCs w:val="24"/>
                <w:lang w:eastAsia="zh-Hans"/>
              </w:rPr>
              <w:t>如法律法规或监管机构以后允许基金投资其他品种，基金管理人在履行适当程序后，可以将其纳入投资范围。</w:t>
            </w:r>
          </w:p>
          <w:p w14:paraId="2B0E1467">
            <w:pPr>
              <w:spacing w:line="312" w:lineRule="exact"/>
              <w:rPr>
                <w:rFonts w:hint="eastAsia"/>
                <w:szCs w:val="24"/>
                <w:lang w:eastAsia="zh-Hans"/>
              </w:rPr>
            </w:pPr>
            <w:r>
              <w:rPr>
                <w:rFonts w:hint="eastAsia"/>
                <w:szCs w:val="24"/>
                <w:lang w:eastAsia="zh-Hans"/>
              </w:rPr>
              <w:t>基金的投资组合比例为：本基金股票资产（含存托凭证）占基金资产的比例为60%-95%（其中投资于港股通标的股票占本基金股票资产的比例为0%-50%）；投资于本基金界定的新材料主题相关证券资产占非现金基金资产的比例不低于80%；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0216A860">
            <w:pPr>
              <w:spacing w:line="312" w:lineRule="exact"/>
              <w:rPr>
                <w:rFonts w:hint="eastAsia"/>
              </w:rPr>
            </w:pPr>
            <w:r>
              <w:rPr>
                <w:rFonts w:hint="eastAsia"/>
                <w:szCs w:val="24"/>
                <w:lang w:eastAsia="zh-Hans"/>
              </w:rPr>
              <w:t>如法律法规或中国证监会变更投资品种的投资比例限制，基金管理人在履行适当程序后，可以调整上述投资品种的投资比例。</w:t>
            </w:r>
          </w:p>
        </w:tc>
      </w:tr>
      <w:tr w14:paraId="43A450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8325D4">
            <w:pPr>
              <w:rPr>
                <w:rFonts w:hint="eastAsia"/>
                <w:szCs w:val="24"/>
                <w:lang w:eastAsia="zh-Hans"/>
              </w:rPr>
            </w:pPr>
            <w:r>
              <w:rPr>
                <w:rFonts w:hint="eastAsia" w:ascii="Times New Roman" w:hAnsi="Times New Roman"/>
                <w:b/>
              </w:rPr>
              <w:t>主要投资策略</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4F134E">
            <w:pPr>
              <w:spacing w:line="312" w:lineRule="exact"/>
              <w:rPr>
                <w:rFonts w:hint="eastAsia"/>
                <w:szCs w:val="24"/>
              </w:rPr>
            </w:pPr>
            <w:r>
              <w:rPr>
                <w:rFonts w:hint="eastAsia"/>
                <w:szCs w:val="24"/>
                <w:lang w:eastAsia="zh-Hans"/>
              </w:rPr>
              <w:t>本基金主要投资</w:t>
            </w:r>
            <w:r>
              <w:rPr>
                <w:rFonts w:hint="eastAsia"/>
                <w:szCs w:val="24"/>
              </w:rPr>
              <w:t>新材料</w:t>
            </w:r>
            <w:r>
              <w:rPr>
                <w:rFonts w:hint="eastAsia"/>
                <w:szCs w:val="24"/>
                <w:lang w:eastAsia="zh-Hans"/>
              </w:rPr>
              <w:t>主题证券，本基金投资策略主要包括</w:t>
            </w:r>
            <w:r>
              <w:rPr>
                <w:rFonts w:hint="eastAsia"/>
                <w:szCs w:val="24"/>
              </w:rPr>
              <w:t>大类</w:t>
            </w:r>
            <w:r>
              <w:rPr>
                <w:rFonts w:hint="eastAsia"/>
                <w:szCs w:val="24"/>
                <w:lang w:eastAsia="zh-Hans"/>
              </w:rPr>
              <w:t>资产配置策略、股票投资策略、债券投资策略、资产支持证券投资策略、股指期货交易策略、国债期货</w:t>
            </w:r>
            <w:r>
              <w:rPr>
                <w:rFonts w:hint="eastAsia"/>
                <w:szCs w:val="24"/>
              </w:rPr>
              <w:t>交易</w:t>
            </w:r>
            <w:r>
              <w:rPr>
                <w:rFonts w:hint="eastAsia"/>
                <w:szCs w:val="24"/>
                <w:lang w:eastAsia="zh-Hans"/>
              </w:rPr>
              <w:t xml:space="preserve">策略等部分。 </w:t>
            </w:r>
          </w:p>
        </w:tc>
      </w:tr>
      <w:tr w14:paraId="5D0810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A8B5CC">
            <w:pPr>
              <w:rPr>
                <w:rFonts w:hint="eastAsia"/>
                <w:szCs w:val="24"/>
                <w:lang w:eastAsia="zh-Hans"/>
              </w:rPr>
            </w:pPr>
            <w:r>
              <w:rPr>
                <w:rFonts w:hint="eastAsia" w:ascii="Times New Roman" w:hAnsi="Times New Roman"/>
                <w:b/>
              </w:rPr>
              <w:t>业绩比较基准</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530C35">
            <w:pPr>
              <w:spacing w:line="312" w:lineRule="exact"/>
              <w:rPr>
                <w:rFonts w:hint="eastAsia"/>
              </w:rPr>
            </w:pPr>
            <w:r>
              <w:rPr>
                <w:rFonts w:hint="eastAsia"/>
                <w:szCs w:val="24"/>
                <w:lang w:eastAsia="zh-Hans"/>
              </w:rPr>
              <w:t>中证新材料主题指数收益率×65%+中证港股通综合指数（港元）收益率×15%+中债-综合全价（总值）指数收益率×20%</w:t>
            </w:r>
          </w:p>
        </w:tc>
      </w:tr>
      <w:tr w14:paraId="38F8D0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6"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6C7C73">
            <w:pPr>
              <w:rPr>
                <w:rFonts w:hint="eastAsia"/>
                <w:szCs w:val="24"/>
                <w:lang w:eastAsia="zh-Hans"/>
              </w:rPr>
            </w:pPr>
            <w:r>
              <w:rPr>
                <w:rFonts w:hint="eastAsia"/>
                <w:b/>
                <w:szCs w:val="24"/>
                <w:lang w:eastAsia="zh-Hans"/>
              </w:rPr>
              <w:t>风险收益特征</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EF0BBC">
            <w:pPr>
              <w:spacing w:line="312" w:lineRule="exact"/>
              <w:rPr>
                <w:rFonts w:hint="eastAsia"/>
                <w:szCs w:val="24"/>
                <w:lang w:eastAsia="zh-Hans"/>
              </w:rPr>
            </w:pPr>
            <w:r>
              <w:rPr>
                <w:rFonts w:hint="eastAsia"/>
                <w:szCs w:val="24"/>
                <w:lang w:eastAsia="zh-Hans"/>
              </w:rPr>
              <w:t>本基金为混合型基金，其预期收益及预期风险水平高于债券型基金和货币市场基金，低于股票型基金。</w:t>
            </w:r>
          </w:p>
          <w:p w14:paraId="7AA221D5">
            <w:pPr>
              <w:spacing w:line="312" w:lineRule="exact"/>
              <w:rPr>
                <w:rFonts w:hint="eastAsia"/>
              </w:rPr>
            </w:pPr>
            <w:r>
              <w:rPr>
                <w:rFonts w:hint="eastAsia"/>
                <w:szCs w:val="24"/>
                <w:lang w:eastAsia="zh-Hans"/>
              </w:rPr>
              <w:t>本基金可投资港股通标的股票，除了需要承担与内地证券投资基金类似的市场波动风险等一般投资风险之外，还会面临港股通机制下因投资环境、投资标的、市场制度以及交易规则等差异带来的特有风险。</w:t>
            </w:r>
          </w:p>
        </w:tc>
      </w:tr>
    </w:tbl>
    <w:p w14:paraId="3C50984C">
      <w:pPr>
        <w:pStyle w:val="51"/>
        <w:spacing w:before="156" w:line="312" w:lineRule="exact"/>
        <w:rPr>
          <w:rFonts w:hint="eastAsia" w:hAnsi="宋体"/>
          <w:sz w:val="21"/>
        </w:rPr>
      </w:pPr>
      <w:bookmarkStart w:id="54" w:name="_Toc37433214"/>
      <w:bookmarkStart w:id="55" w:name="_Toc490050005"/>
      <w:bookmarkStart w:id="56" w:name="_Toc438646457"/>
      <w:bookmarkStart w:id="57" w:name="_Toc513465658"/>
      <w:bookmarkStart w:id="58" w:name="_Toc512519484"/>
      <w:bookmarkStart w:id="59" w:name="_Toc481075051"/>
      <w:r>
        <w:rPr>
          <w:rFonts w:hint="eastAsia" w:hAnsi="宋体"/>
          <w:sz w:val="21"/>
        </w:rPr>
        <w:t>投资组合资产配置图表/区域配置图表</w:t>
      </w:r>
      <w:bookmarkEnd w:id="54"/>
      <w:r>
        <w:rPr>
          <w:rFonts w:hint="eastAsia" w:hAnsi="宋体"/>
          <w:sz w:val="21"/>
        </w:rPr>
        <w:t xml:space="preserve"> </w:t>
      </w:r>
    </w:p>
    <w:p w14:paraId="7AEF5E98">
      <w:pPr>
        <w:pStyle w:val="51"/>
        <w:spacing w:before="156" w:line="312" w:lineRule="exact"/>
        <w:rPr>
          <w:rFonts w:hint="eastAsia" w:hAnsi="宋体"/>
          <w:sz w:val="21"/>
        </w:rPr>
      </w:pPr>
      <w:bookmarkStart w:id="60" w:name="_Toc17898200"/>
      <w:bookmarkStart w:id="61" w:name="_Toc481075069"/>
      <w:bookmarkStart w:id="62" w:name="_Toc438646470"/>
      <w:bookmarkStart w:id="63" w:name="_Toc37433215"/>
      <w:bookmarkStart w:id="64" w:name="_Toc512519501"/>
      <w:bookmarkStart w:id="65" w:name="_Toc34758531"/>
      <w:bookmarkStart w:id="66" w:name="_Toc34841040"/>
      <w:bookmarkStart w:id="67" w:name="_Toc513295861"/>
      <w:bookmarkStart w:id="68" w:name="m502"/>
      <w:bookmarkStart w:id="69" w:name="_Toc513295913"/>
      <w:bookmarkStart w:id="70" w:name="_Toc490050022"/>
      <w:bookmarkStart w:id="71" w:name="_Toc17897952"/>
      <w:bookmarkStart w:id="72" w:name="m504"/>
      <w:bookmarkStart w:id="73" w:name="_Toc481075053"/>
      <w:bookmarkStart w:id="74" w:name="_Toc506208214"/>
      <w:bookmarkStart w:id="75" w:name="_Toc17898185"/>
      <w:bookmarkStart w:id="76" w:name="_Toc512519485"/>
      <w:bookmarkStart w:id="77" w:name="_Toc490050007"/>
      <w:bookmarkStart w:id="78" w:name="_Toc497398101"/>
      <w:bookmarkStart w:id="79" w:name="_Toc485300223"/>
      <w:bookmarkStart w:id="80" w:name="m03_03"/>
      <w:bookmarkStart w:id="81" w:name="_Toc481075052"/>
      <w:bookmarkStart w:id="82" w:name="_Toc490050006"/>
      <w:bookmarkStart w:id="83" w:name="_Toc17897941"/>
      <w:bookmarkStart w:id="84" w:name="_Toc247616208"/>
      <w:bookmarkStart w:id="85" w:name="_Toc244948694"/>
      <w:bookmarkStart w:id="86" w:name="_Toc433036679"/>
      <w:bookmarkStart w:id="87" w:name="_Toc512519486"/>
      <w:bookmarkStart w:id="88" w:name="_Toc452398732"/>
      <w:bookmarkStart w:id="89" w:name="_Toc454983260"/>
      <w:bookmarkStart w:id="90" w:name="_Toc453852604"/>
      <w:bookmarkStart w:id="91" w:name="_Toc245003735"/>
      <w:bookmarkStart w:id="92" w:name="m501"/>
      <w:r>
        <w:rPr>
          <w:rFonts w:hint="eastAsia" w:hAnsi="宋体"/>
          <w:sz w:val="21"/>
        </w:rPr>
        <w:t>自基金合同生效以来基金每年的净值增长率及与同期业绩比较基准的比较图</w:t>
      </w:r>
      <w:bookmarkEnd w:id="60"/>
      <w:bookmarkEnd w:id="61"/>
      <w:bookmarkEnd w:id="62"/>
      <w:bookmarkEnd w:id="63"/>
      <w:bookmarkEnd w:id="64"/>
      <w:bookmarkEnd w:id="65"/>
      <w:bookmarkEnd w:id="66"/>
      <w:bookmarkEnd w:id="67"/>
      <w:bookmarkEnd w:id="68"/>
      <w:bookmarkEnd w:id="69"/>
      <w:bookmarkEnd w:id="70"/>
      <w:bookmarkEnd w:id="71"/>
      <w:bookmarkEnd w:id="72"/>
      <w:r>
        <w:rPr>
          <w:rFonts w:hint="eastAsia" w:hAnsi="宋体"/>
          <w:sz w:val="21"/>
        </w:rPr>
        <w:t xml:space="preserve"> </w:t>
      </w:r>
    </w:p>
    <w:p w14:paraId="4C0CD5E5">
      <w:pPr>
        <w:pStyle w:val="50"/>
        <w:spacing w:before="156" w:line="312" w:lineRule="exact"/>
        <w:rPr>
          <w:rFonts w:hint="eastAsia" w:hAnsi="宋体"/>
        </w:rPr>
      </w:pPr>
      <w:bookmarkStart w:id="93" w:name="_Toc374332121"/>
      <w:r>
        <w:rPr>
          <w:rFonts w:hint="eastAsia" w:hAnsi="宋体"/>
        </w:rPr>
        <w:t>投资本基金涉及的费用</w:t>
      </w:r>
      <w:bookmarkEnd w:id="93"/>
      <w:r>
        <w:rPr>
          <w:rFonts w:hint="eastAsia" w:hAnsi="宋体"/>
        </w:rPr>
        <w:t xml:space="preserve"> </w:t>
      </w:r>
    </w:p>
    <w:p w14:paraId="23768297">
      <w:pPr>
        <w:pStyle w:val="51"/>
        <w:spacing w:before="156" w:line="312" w:lineRule="exact"/>
        <w:rPr>
          <w:rFonts w:hint="eastAsia" w:hAnsi="宋体"/>
          <w:sz w:val="21"/>
        </w:rPr>
      </w:pPr>
      <w:bookmarkStart w:id="94" w:name="_Toc374332131"/>
      <w:r>
        <w:rPr>
          <w:rFonts w:hint="eastAsia" w:hAnsi="宋体"/>
          <w:sz w:val="21"/>
        </w:rPr>
        <w:t>基金销售相关费用</w:t>
      </w:r>
      <w:bookmarkEnd w:id="94"/>
      <w:r>
        <w:rPr>
          <w:rFonts w:hint="eastAsia" w:hAnsi="宋体"/>
          <w:sz w:val="21"/>
        </w:rPr>
        <w:t xml:space="preserve"> </w:t>
      </w:r>
    </w:p>
    <w:p w14:paraId="147CB0E0">
      <w:pPr>
        <w:spacing w:line="312" w:lineRule="exact"/>
        <w:rPr>
          <w:rFonts w:hint="eastAsia"/>
        </w:rPr>
      </w:pPr>
      <w:bookmarkStart w:id="95" w:name="m04_02"/>
      <w:r>
        <w:rPr>
          <w:rFonts w:hint="eastAsia"/>
          <w:szCs w:val="21"/>
        </w:rPr>
        <w:t>以下费用在认购/申购/赎回基金过程中收取：</w:t>
      </w:r>
      <w:r>
        <w:rPr>
          <w:rFonts w:hint="eastAsia"/>
        </w:rPr>
        <w:t xml:space="preserve"> </w:t>
      </w:r>
    </w:p>
    <w:tbl>
      <w:tblPr>
        <w:tblStyle w:val="22"/>
        <w:tblW w:w="5000"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675"/>
        <w:gridCol w:w="4084"/>
        <w:gridCol w:w="4204"/>
      </w:tblGrid>
      <w:tr w14:paraId="001EA1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1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9A48EF">
            <w:pPr>
              <w:spacing w:line="280" w:lineRule="exact"/>
              <w:jc w:val="center"/>
              <w:rPr>
                <w:rFonts w:hint="eastAsia"/>
                <w:b/>
                <w:bCs/>
                <w:szCs w:val="21"/>
              </w:rPr>
            </w:pPr>
            <w:r>
              <w:rPr>
                <w:rFonts w:hint="eastAsia"/>
                <w:b/>
                <w:bCs/>
                <w:szCs w:val="21"/>
              </w:rPr>
              <w:t xml:space="preserve">费用类型 </w:t>
            </w:r>
          </w:p>
        </w:tc>
        <w:tc>
          <w:tcPr>
            <w:tcW w:w="28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FECBE35">
            <w:pPr>
              <w:spacing w:line="280" w:lineRule="exact"/>
              <w:jc w:val="center"/>
              <w:rPr>
                <w:rFonts w:hint="eastAsia"/>
                <w:b/>
                <w:bCs/>
                <w:szCs w:val="21"/>
              </w:rPr>
            </w:pPr>
            <w:r>
              <w:rPr>
                <w:rFonts w:hint="eastAsia"/>
                <w:b/>
                <w:bCs/>
                <w:szCs w:val="21"/>
              </w:rPr>
              <w:t xml:space="preserve">份额（S）或金额（M） </w:t>
            </w:r>
          </w:p>
          <w:p w14:paraId="4849D8BC">
            <w:pPr>
              <w:spacing w:line="280" w:lineRule="exact"/>
              <w:jc w:val="center"/>
              <w:rPr>
                <w:rFonts w:hint="eastAsia"/>
                <w:b/>
                <w:bCs/>
                <w:szCs w:val="21"/>
              </w:rPr>
            </w:pPr>
            <w:r>
              <w:rPr>
                <w:rFonts w:hint="eastAsia"/>
                <w:b/>
                <w:bCs/>
                <w:szCs w:val="21"/>
              </w:rPr>
              <w:t>/</w:t>
            </w:r>
            <w:bookmarkStart w:id="101" w:name="_GoBack"/>
            <w:bookmarkEnd w:id="101"/>
            <w:r>
              <w:rPr>
                <w:rFonts w:hint="eastAsia"/>
                <w:b/>
                <w:bCs/>
                <w:szCs w:val="21"/>
              </w:rPr>
              <w:t xml:space="preserve">持有期限（N） </w:t>
            </w:r>
          </w:p>
        </w:tc>
        <w:tc>
          <w:tcPr>
            <w:tcW w:w="29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40C8A33">
            <w:pPr>
              <w:spacing w:line="280" w:lineRule="exact"/>
              <w:jc w:val="center"/>
              <w:rPr>
                <w:rFonts w:hint="eastAsia"/>
                <w:b/>
                <w:bCs/>
                <w:szCs w:val="21"/>
              </w:rPr>
            </w:pPr>
            <w:r>
              <w:rPr>
                <w:rFonts w:hint="eastAsia"/>
                <w:b/>
                <w:bCs/>
                <w:szCs w:val="21"/>
              </w:rPr>
              <w:t xml:space="preserve">收费方式/费率 </w:t>
            </w:r>
          </w:p>
        </w:tc>
      </w:tr>
      <w:tr w14:paraId="02D06A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1186"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322905C1">
            <w:pPr>
              <w:spacing w:line="280" w:lineRule="exact"/>
              <w:jc w:val="center"/>
              <w:rPr>
                <w:rFonts w:hint="eastAsia"/>
                <w:b/>
                <w:bCs/>
                <w:szCs w:val="21"/>
              </w:rPr>
            </w:pPr>
            <w:r>
              <w:rPr>
                <w:rFonts w:hint="eastAsia"/>
                <w:b/>
                <w:bCs/>
                <w:szCs w:val="21"/>
              </w:rPr>
              <w:t xml:space="preserve">赎回费 </w:t>
            </w:r>
          </w:p>
        </w:tc>
        <w:tc>
          <w:tcPr>
            <w:tcW w:w="76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ACE7AEE">
            <w:pPr>
              <w:spacing w:line="280" w:lineRule="exact"/>
              <w:jc w:val="center"/>
              <w:rPr>
                <w:rFonts w:hint="eastAsia"/>
                <w:szCs w:val="21"/>
              </w:rPr>
            </w:pPr>
            <w:r>
              <w:rPr>
                <w:rFonts w:hint="eastAsia"/>
                <w:kern w:val="0"/>
                <w:szCs w:val="21"/>
              </w:rPr>
              <w:t>N＜7日</w:t>
            </w:r>
            <w:r>
              <w:rPr>
                <w:rFonts w:hint="eastAsia"/>
                <w:szCs w:val="21"/>
              </w:rPr>
              <w:t xml:space="preserve"> </w:t>
            </w:r>
          </w:p>
        </w:tc>
        <w:tc>
          <w:tcPr>
            <w:tcW w:w="156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E4EDF12">
            <w:pPr>
              <w:spacing w:line="280" w:lineRule="exact"/>
              <w:jc w:val="center"/>
              <w:rPr>
                <w:rFonts w:hint="eastAsia"/>
                <w:szCs w:val="21"/>
              </w:rPr>
            </w:pPr>
            <w:r>
              <w:rPr>
                <w:rFonts w:hint="eastAsia"/>
                <w:kern w:val="0"/>
                <w:szCs w:val="21"/>
              </w:rPr>
              <w:t>1.50%</w:t>
            </w:r>
            <w:r>
              <w:rPr>
                <w:rFonts w:hint="eastAsia"/>
                <w:szCs w:val="21"/>
              </w:rPr>
              <w:t xml:space="preserve"> </w:t>
            </w:r>
          </w:p>
        </w:tc>
      </w:tr>
      <w:tr w14:paraId="513DF2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1186" w:type="dxa"/>
            <w:vMerge w:val="continue"/>
            <w:tcBorders>
              <w:top w:val="nil"/>
              <w:left w:val="single" w:color="auto" w:sz="4" w:space="0"/>
              <w:bottom w:val="single" w:color="auto" w:sz="4" w:space="0"/>
              <w:right w:val="single" w:color="auto" w:sz="4" w:space="0"/>
            </w:tcBorders>
            <w:vAlign w:val="center"/>
          </w:tcPr>
          <w:p w14:paraId="10930D8B">
            <w:pPr>
              <w:widowControl/>
              <w:jc w:val="left"/>
              <w:rPr>
                <w:rFonts w:hint="eastAsia"/>
                <w:b/>
                <w:bCs/>
                <w:szCs w:val="21"/>
              </w:rPr>
            </w:pPr>
          </w:p>
        </w:tc>
        <w:tc>
          <w:tcPr>
            <w:tcW w:w="76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47B3AD4">
            <w:pPr>
              <w:spacing w:line="280" w:lineRule="exact"/>
              <w:jc w:val="center"/>
              <w:rPr>
                <w:rFonts w:hint="eastAsia"/>
                <w:szCs w:val="21"/>
              </w:rPr>
            </w:pPr>
            <w:r>
              <w:rPr>
                <w:rFonts w:hint="eastAsia"/>
                <w:kern w:val="0"/>
                <w:szCs w:val="21"/>
              </w:rPr>
              <w:t>7日≤N＜30日</w:t>
            </w:r>
            <w:r>
              <w:rPr>
                <w:rFonts w:hint="eastAsia"/>
                <w:szCs w:val="21"/>
              </w:rPr>
              <w:t xml:space="preserve"> </w:t>
            </w:r>
          </w:p>
        </w:tc>
        <w:tc>
          <w:tcPr>
            <w:tcW w:w="156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68CC3BD">
            <w:pPr>
              <w:spacing w:line="280" w:lineRule="exact"/>
              <w:jc w:val="center"/>
              <w:rPr>
                <w:rFonts w:hint="eastAsia"/>
                <w:szCs w:val="21"/>
              </w:rPr>
            </w:pPr>
            <w:r>
              <w:rPr>
                <w:kern w:val="0"/>
                <w:szCs w:val="21"/>
              </w:rPr>
              <w:t>1.00</w:t>
            </w:r>
            <w:r>
              <w:rPr>
                <w:rFonts w:hint="eastAsia"/>
                <w:kern w:val="0"/>
                <w:szCs w:val="21"/>
              </w:rPr>
              <w:t>%</w:t>
            </w:r>
            <w:r>
              <w:rPr>
                <w:rFonts w:hint="eastAsia"/>
                <w:szCs w:val="21"/>
              </w:rPr>
              <w:t xml:space="preserve"> </w:t>
            </w:r>
          </w:p>
        </w:tc>
      </w:tr>
      <w:tr w14:paraId="4AA137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1186" w:type="dxa"/>
            <w:vMerge w:val="continue"/>
            <w:tcBorders>
              <w:top w:val="nil"/>
              <w:left w:val="single" w:color="auto" w:sz="4" w:space="0"/>
              <w:bottom w:val="single" w:color="auto" w:sz="4" w:space="0"/>
              <w:right w:val="single" w:color="auto" w:sz="4" w:space="0"/>
            </w:tcBorders>
            <w:vAlign w:val="center"/>
          </w:tcPr>
          <w:p w14:paraId="50953424">
            <w:pPr>
              <w:widowControl/>
              <w:jc w:val="left"/>
              <w:rPr>
                <w:rFonts w:hint="eastAsia"/>
                <w:b/>
                <w:bCs/>
                <w:szCs w:val="21"/>
              </w:rPr>
            </w:pPr>
          </w:p>
        </w:tc>
        <w:tc>
          <w:tcPr>
            <w:tcW w:w="76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6FE24DE">
            <w:pPr>
              <w:spacing w:line="280" w:lineRule="exact"/>
              <w:jc w:val="center"/>
              <w:rPr>
                <w:rFonts w:hint="eastAsia"/>
                <w:kern w:val="0"/>
                <w:szCs w:val="21"/>
              </w:rPr>
            </w:pPr>
            <w:r>
              <w:rPr>
                <w:kern w:val="0"/>
                <w:szCs w:val="21"/>
              </w:rPr>
              <w:t>30日≤N＜180日</w:t>
            </w:r>
          </w:p>
        </w:tc>
        <w:tc>
          <w:tcPr>
            <w:tcW w:w="156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ED91FAE">
            <w:pPr>
              <w:spacing w:line="280" w:lineRule="exact"/>
              <w:jc w:val="center"/>
              <w:rPr>
                <w:rFonts w:hint="eastAsia"/>
                <w:kern w:val="0"/>
                <w:szCs w:val="21"/>
              </w:rPr>
            </w:pPr>
            <w:r>
              <w:rPr>
                <w:kern w:val="0"/>
                <w:szCs w:val="21"/>
              </w:rPr>
              <w:t>0.50%</w:t>
            </w:r>
          </w:p>
        </w:tc>
      </w:tr>
      <w:tr w14:paraId="3F35E5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1186" w:type="dxa"/>
            <w:vMerge w:val="continue"/>
            <w:tcBorders>
              <w:top w:val="nil"/>
              <w:left w:val="single" w:color="auto" w:sz="4" w:space="0"/>
              <w:bottom w:val="single" w:color="auto" w:sz="4" w:space="0"/>
              <w:right w:val="single" w:color="auto" w:sz="4" w:space="0"/>
            </w:tcBorders>
            <w:vAlign w:val="center"/>
          </w:tcPr>
          <w:p w14:paraId="25DCA777">
            <w:pPr>
              <w:widowControl/>
              <w:jc w:val="left"/>
              <w:rPr>
                <w:rFonts w:hint="eastAsia"/>
                <w:b/>
                <w:bCs/>
                <w:szCs w:val="21"/>
              </w:rPr>
            </w:pPr>
          </w:p>
        </w:tc>
        <w:tc>
          <w:tcPr>
            <w:tcW w:w="76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D113D26">
            <w:pPr>
              <w:spacing w:line="280" w:lineRule="exact"/>
              <w:jc w:val="center"/>
              <w:rPr>
                <w:rFonts w:hint="eastAsia"/>
                <w:szCs w:val="21"/>
              </w:rPr>
            </w:pPr>
            <w:r>
              <w:rPr>
                <w:rFonts w:hint="eastAsia"/>
                <w:kern w:val="0"/>
                <w:szCs w:val="21"/>
              </w:rPr>
              <w:t>N≥</w:t>
            </w:r>
            <w:r>
              <w:rPr>
                <w:kern w:val="0"/>
                <w:szCs w:val="21"/>
              </w:rPr>
              <w:t>180</w:t>
            </w:r>
            <w:r>
              <w:rPr>
                <w:rFonts w:hint="eastAsia"/>
                <w:kern w:val="0"/>
                <w:szCs w:val="21"/>
              </w:rPr>
              <w:t>日</w:t>
            </w:r>
            <w:r>
              <w:rPr>
                <w:rFonts w:hint="eastAsia"/>
                <w:szCs w:val="21"/>
              </w:rPr>
              <w:t xml:space="preserve"> </w:t>
            </w:r>
          </w:p>
        </w:tc>
        <w:tc>
          <w:tcPr>
            <w:tcW w:w="156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963A822">
            <w:pPr>
              <w:spacing w:line="280" w:lineRule="exact"/>
              <w:jc w:val="center"/>
              <w:rPr>
                <w:rFonts w:hint="eastAsia"/>
                <w:szCs w:val="21"/>
              </w:rPr>
            </w:pPr>
            <w:r>
              <w:rPr>
                <w:rFonts w:hint="eastAsia"/>
                <w:kern w:val="0"/>
                <w:szCs w:val="21"/>
              </w:rPr>
              <w:t>0</w:t>
            </w:r>
            <w:r>
              <w:rPr>
                <w:rFonts w:hint="eastAsia"/>
                <w:szCs w:val="21"/>
              </w:rPr>
              <w:t xml:space="preserve"> </w:t>
            </w:r>
          </w:p>
        </w:tc>
      </w:tr>
    </w:tbl>
    <w:p w14:paraId="11A71FB0">
      <w:pPr>
        <w:spacing w:line="360" w:lineRule="auto"/>
        <w:jc w:val="left"/>
        <w:rPr>
          <w:rFonts w:hint="eastAsia"/>
          <w:kern w:val="0"/>
          <w:sz w:val="28"/>
        </w:rPr>
      </w:pPr>
      <w:r>
        <w:rPr>
          <w:rFonts w:hint="eastAsia"/>
          <w:b/>
          <w:color w:val="000000"/>
          <w:szCs w:val="16"/>
        </w:rPr>
        <w:t>认购费</w:t>
      </w:r>
      <w:r>
        <w:rPr>
          <w:rFonts w:hint="eastAsia"/>
          <w:kern w:val="0"/>
          <w:sz w:val="28"/>
        </w:rPr>
        <w:t xml:space="preserve"> </w:t>
      </w:r>
    </w:p>
    <w:p w14:paraId="537758F6">
      <w:pPr>
        <w:spacing w:line="312" w:lineRule="exact"/>
        <w:rPr>
          <w:rFonts w:hint="eastAsia"/>
        </w:rPr>
      </w:pPr>
      <w:r>
        <w:rPr>
          <w:rFonts w:hint="eastAsia"/>
          <w:szCs w:val="21"/>
          <w:lang w:eastAsia="zh-Hans"/>
        </w:rPr>
        <w:t>本基金C类基金份额不收取认购费用。</w:t>
      </w:r>
      <w:r>
        <w:rPr>
          <w:rFonts w:hint="eastAsia"/>
        </w:rPr>
        <w:t xml:space="preserve"> </w:t>
      </w:r>
    </w:p>
    <w:p w14:paraId="249CADC9">
      <w:pPr>
        <w:spacing w:line="360" w:lineRule="auto"/>
        <w:jc w:val="left"/>
        <w:rPr>
          <w:rFonts w:hint="eastAsia"/>
          <w:kern w:val="0"/>
          <w:sz w:val="28"/>
        </w:rPr>
      </w:pPr>
      <w:r>
        <w:rPr>
          <w:rFonts w:hint="eastAsia"/>
          <w:b/>
          <w:color w:val="000000"/>
        </w:rPr>
        <w:t>申购费</w:t>
      </w:r>
      <w:r>
        <w:rPr>
          <w:rFonts w:hint="eastAsia"/>
          <w:kern w:val="0"/>
          <w:sz w:val="28"/>
        </w:rPr>
        <w:t xml:space="preserve"> </w:t>
      </w:r>
    </w:p>
    <w:p w14:paraId="29C3B862">
      <w:pPr>
        <w:spacing w:line="312" w:lineRule="exact"/>
        <w:rPr>
          <w:rFonts w:hint="eastAsia"/>
        </w:rPr>
      </w:pPr>
      <w:r>
        <w:rPr>
          <w:rFonts w:hint="eastAsia"/>
          <w:szCs w:val="21"/>
          <w:lang w:eastAsia="zh-Hans"/>
        </w:rPr>
        <w:t>本基金C类基金份额不收取申购费用。</w:t>
      </w:r>
      <w:r>
        <w:rPr>
          <w:rFonts w:hint="eastAsia"/>
        </w:rPr>
        <w:t xml:space="preserve"> </w:t>
      </w:r>
    </w:p>
    <w:p w14:paraId="54856290">
      <w:pPr>
        <w:spacing w:line="360" w:lineRule="auto"/>
        <w:jc w:val="left"/>
        <w:rPr>
          <w:rFonts w:hint="eastAsia"/>
          <w:kern w:val="0"/>
          <w:sz w:val="28"/>
        </w:rPr>
      </w:pPr>
      <w:r>
        <w:rPr>
          <w:rFonts w:hint="eastAsia"/>
          <w:b/>
          <w:color w:val="000000"/>
        </w:rPr>
        <w:t>赎回费</w:t>
      </w:r>
      <w:r>
        <w:rPr>
          <w:rFonts w:hint="eastAsia"/>
          <w:kern w:val="0"/>
          <w:sz w:val="28"/>
        </w:rPr>
        <w:t xml:space="preserve"> </w:t>
      </w:r>
    </w:p>
    <w:p w14:paraId="1C231BC9">
      <w:pPr>
        <w:spacing w:line="312" w:lineRule="exact"/>
        <w:rPr>
          <w:rFonts w:hint="eastAsia"/>
        </w:rPr>
      </w:pPr>
      <w:r>
        <w:rPr>
          <w:rFonts w:hint="eastAsia"/>
          <w:szCs w:val="21"/>
          <w:lang w:eastAsia="zh-Hans"/>
        </w:rPr>
        <w:t>对于中国证监会认可的其他基金份额，基金管理人可以根据产品投资运作特点另行约定赎回费收取标准。</w:t>
      </w:r>
    </w:p>
    <w:p w14:paraId="09EDAFF6">
      <w:pPr>
        <w:pStyle w:val="51"/>
        <w:spacing w:before="156" w:line="312" w:lineRule="exact"/>
        <w:rPr>
          <w:rFonts w:hint="eastAsia" w:hAnsi="宋体"/>
          <w:sz w:val="21"/>
        </w:rPr>
      </w:pPr>
      <w:bookmarkStart w:id="96" w:name="_Toc374332141"/>
      <w:r>
        <w:rPr>
          <w:rFonts w:hint="eastAsia" w:hAnsi="宋体"/>
          <w:sz w:val="21"/>
        </w:rPr>
        <w:t>基金运作相关费用</w:t>
      </w:r>
      <w:bookmarkEnd w:id="96"/>
      <w:r>
        <w:rPr>
          <w:rFonts w:hint="eastAsia" w:hAnsi="宋体"/>
          <w:sz w:val="21"/>
        </w:rPr>
        <w:t xml:space="preserve"> </w:t>
      </w:r>
    </w:p>
    <w:p w14:paraId="7E841DD8">
      <w:pPr>
        <w:spacing w:line="312" w:lineRule="exact"/>
        <w:rPr>
          <w:rFonts w:hint="eastAsia"/>
        </w:rPr>
      </w:pPr>
      <w:r>
        <w:rPr>
          <w:rFonts w:hint="eastAsia"/>
          <w:szCs w:val="21"/>
        </w:rPr>
        <w:t>以下费用将从基金资产中扣除：</w:t>
      </w:r>
      <w:r>
        <w:rPr>
          <w:rFonts w:hint="eastAsia"/>
        </w:rPr>
        <w:t xml:space="preserve"> </w:t>
      </w:r>
    </w:p>
    <w:tbl>
      <w:tblPr>
        <w:tblStyle w:val="22"/>
        <w:tblW w:w="4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7"/>
        <w:gridCol w:w="3255"/>
        <w:gridCol w:w="3255"/>
      </w:tblGrid>
      <w:tr w14:paraId="05EB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1765" w:type="dxa"/>
            <w:tcMar>
              <w:top w:w="0" w:type="dxa"/>
              <w:left w:w="108" w:type="dxa"/>
              <w:bottom w:w="0" w:type="dxa"/>
              <w:right w:w="108" w:type="dxa"/>
            </w:tcMar>
            <w:vAlign w:val="center"/>
          </w:tcPr>
          <w:p w14:paraId="2D79F17D">
            <w:pPr>
              <w:rPr>
                <w:rFonts w:ascii="Times New Roman" w:hAnsi="Times New Roman" w:cs="Times New Roman"/>
                <w:szCs w:val="24"/>
              </w:rPr>
            </w:pPr>
            <w:r>
              <w:rPr>
                <w:rFonts w:hint="eastAsia" w:ascii="Times New Roman" w:hAnsi="Times New Roman" w:cs="Times New Roman"/>
                <w:b/>
                <w:szCs w:val="24"/>
              </w:rPr>
              <w:t>费用类别</w:t>
            </w:r>
            <w:r>
              <w:rPr>
                <w:rFonts w:hint="eastAsia" w:ascii="Times New Roman" w:hAnsi="Times New Roman" w:cs="Times New Roman"/>
                <w:b/>
                <w:szCs w:val="24"/>
                <w:lang w:eastAsia="zh-Hans"/>
              </w:rPr>
              <w:t xml:space="preserve"> </w:t>
            </w:r>
          </w:p>
        </w:tc>
        <w:tc>
          <w:tcPr>
            <w:tcW w:w="3215" w:type="dxa"/>
            <w:vAlign w:val="center"/>
          </w:tcPr>
          <w:p w14:paraId="3A32125D">
            <w:pPr>
              <w:jc w:val="center"/>
              <w:rPr>
                <w:rFonts w:ascii="Times New Roman" w:hAnsi="Times New Roman" w:cs="Times New Roman"/>
                <w:szCs w:val="24"/>
              </w:rPr>
            </w:pPr>
            <w:r>
              <w:rPr>
                <w:rFonts w:hint="eastAsia" w:ascii="Times New Roman" w:hAnsi="Times New Roman" w:cs="Times New Roman"/>
                <w:b/>
                <w:szCs w:val="24"/>
              </w:rPr>
              <w:t>收费方式/年费率或金额</w:t>
            </w:r>
            <w:r>
              <w:rPr>
                <w:rFonts w:hint="eastAsia" w:ascii="Times New Roman" w:hAnsi="Times New Roman" w:cs="Times New Roman"/>
                <w:b/>
                <w:szCs w:val="24"/>
                <w:lang w:eastAsia="zh-Hans"/>
              </w:rPr>
              <w:t xml:space="preserve"> </w:t>
            </w:r>
          </w:p>
        </w:tc>
        <w:tc>
          <w:tcPr>
            <w:tcW w:w="3215" w:type="dxa"/>
          </w:tcPr>
          <w:p w14:paraId="2DF75E57">
            <w:pPr>
              <w:jc w:val="center"/>
              <w:rPr>
                <w:rFonts w:ascii="Times New Roman" w:hAnsi="Times New Roman" w:cs="Times New Roman"/>
                <w:b/>
                <w:szCs w:val="24"/>
              </w:rPr>
            </w:pPr>
            <w:r>
              <w:rPr>
                <w:rFonts w:hint="eastAsia" w:ascii="Times New Roman" w:hAnsi="Times New Roman" w:cs="Times New Roman"/>
                <w:b/>
                <w:szCs w:val="24"/>
              </w:rPr>
              <w:t>收取方</w:t>
            </w:r>
          </w:p>
        </w:tc>
      </w:tr>
      <w:tr w14:paraId="749D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765" w:type="dxa"/>
            <w:tcMar>
              <w:top w:w="0" w:type="dxa"/>
              <w:left w:w="108" w:type="dxa"/>
              <w:bottom w:w="0" w:type="dxa"/>
              <w:right w:w="108" w:type="dxa"/>
            </w:tcMar>
            <w:vAlign w:val="center"/>
          </w:tcPr>
          <w:p w14:paraId="23777BDE">
            <w:pPr>
              <w:rPr>
                <w:rFonts w:ascii="Times New Roman" w:hAnsi="Times New Roman" w:cs="Times New Roman"/>
                <w:szCs w:val="24"/>
              </w:rPr>
            </w:pPr>
            <w:r>
              <w:rPr>
                <w:rFonts w:hint="eastAsia" w:ascii="Times New Roman" w:hAnsi="Times New Roman" w:cs="Times New Roman"/>
                <w:b/>
                <w:szCs w:val="24"/>
              </w:rPr>
              <w:t>管理费</w:t>
            </w:r>
            <w:r>
              <w:rPr>
                <w:rFonts w:hint="eastAsia" w:ascii="Times New Roman" w:hAnsi="Times New Roman" w:cs="Times New Roman"/>
                <w:szCs w:val="24"/>
                <w:lang w:eastAsia="zh-Hans"/>
              </w:rPr>
              <w:t xml:space="preserve"> </w:t>
            </w:r>
          </w:p>
        </w:tc>
        <w:tc>
          <w:tcPr>
            <w:tcW w:w="3215" w:type="dxa"/>
            <w:tcMar>
              <w:top w:w="0" w:type="dxa"/>
              <w:left w:w="108" w:type="dxa"/>
              <w:bottom w:w="0" w:type="dxa"/>
              <w:right w:w="108" w:type="dxa"/>
            </w:tcMar>
            <w:vAlign w:val="center"/>
          </w:tcPr>
          <w:p w14:paraId="39D7AAB9">
            <w:pPr>
              <w:jc w:val="center"/>
              <w:rPr>
                <w:rFonts w:ascii="Times New Roman" w:hAnsi="Times New Roman" w:cs="Times New Roman"/>
                <w:szCs w:val="24"/>
              </w:rPr>
            </w:pPr>
            <w:r>
              <w:rPr>
                <w:rFonts w:ascii="Times New Roman" w:hAnsi="Times New Roman" w:cs="Times New Roman"/>
                <w:szCs w:val="24"/>
                <w:lang w:eastAsia="zh-Hans"/>
              </w:rPr>
              <w:t>1.20</w:t>
            </w:r>
            <w:r>
              <w:rPr>
                <w:rFonts w:hint="eastAsia" w:ascii="Times New Roman" w:hAnsi="Times New Roman" w:cs="Times New Roman"/>
                <w:szCs w:val="24"/>
              </w:rPr>
              <w:t>%</w:t>
            </w:r>
          </w:p>
        </w:tc>
        <w:tc>
          <w:tcPr>
            <w:tcW w:w="3215" w:type="dxa"/>
          </w:tcPr>
          <w:p w14:paraId="21BD4217">
            <w:pPr>
              <w:jc w:val="center"/>
              <w:rPr>
                <w:rFonts w:ascii="Times New Roman" w:hAnsi="Times New Roman" w:cs="Times New Roman"/>
                <w:szCs w:val="24"/>
                <w:lang w:eastAsia="zh-Hans"/>
              </w:rPr>
            </w:pPr>
            <w:r>
              <w:rPr>
                <w:rFonts w:hint="eastAsia" w:ascii="Times New Roman" w:hAnsi="Times New Roman" w:cs="Times New Roman"/>
                <w:szCs w:val="24"/>
                <w:lang w:eastAsia="zh-Hans"/>
              </w:rPr>
              <w:t>基金管理人和销售机构</w:t>
            </w:r>
          </w:p>
        </w:tc>
      </w:tr>
      <w:tr w14:paraId="7130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1765" w:type="dxa"/>
            <w:tcMar>
              <w:top w:w="0" w:type="dxa"/>
              <w:left w:w="108" w:type="dxa"/>
              <w:bottom w:w="0" w:type="dxa"/>
              <w:right w:w="108" w:type="dxa"/>
            </w:tcMar>
            <w:vAlign w:val="center"/>
          </w:tcPr>
          <w:p w14:paraId="4FA388F5">
            <w:pPr>
              <w:rPr>
                <w:rFonts w:ascii="Times New Roman" w:hAnsi="Times New Roman" w:cs="Times New Roman"/>
                <w:szCs w:val="24"/>
              </w:rPr>
            </w:pPr>
            <w:r>
              <w:rPr>
                <w:rFonts w:hint="eastAsia" w:ascii="Times New Roman" w:hAnsi="Times New Roman" w:cs="Times New Roman"/>
                <w:b/>
                <w:szCs w:val="24"/>
              </w:rPr>
              <w:t>托管费</w:t>
            </w:r>
            <w:r>
              <w:rPr>
                <w:rFonts w:hint="eastAsia" w:ascii="Times New Roman" w:hAnsi="Times New Roman" w:cs="Times New Roman"/>
                <w:szCs w:val="24"/>
                <w:lang w:eastAsia="zh-Hans"/>
              </w:rPr>
              <w:t xml:space="preserve"> </w:t>
            </w:r>
          </w:p>
        </w:tc>
        <w:tc>
          <w:tcPr>
            <w:tcW w:w="3215" w:type="dxa"/>
            <w:tcMar>
              <w:top w:w="0" w:type="dxa"/>
              <w:left w:w="108" w:type="dxa"/>
              <w:bottom w:w="0" w:type="dxa"/>
              <w:right w:w="108" w:type="dxa"/>
            </w:tcMar>
            <w:vAlign w:val="center"/>
          </w:tcPr>
          <w:p w14:paraId="4FCA0189">
            <w:pPr>
              <w:jc w:val="center"/>
              <w:rPr>
                <w:rFonts w:ascii="Times New Roman" w:hAnsi="Times New Roman" w:cs="Times New Roman"/>
                <w:szCs w:val="24"/>
              </w:rPr>
            </w:pPr>
            <w:r>
              <w:rPr>
                <w:rFonts w:ascii="Times New Roman" w:hAnsi="Times New Roman" w:cs="Times New Roman"/>
                <w:szCs w:val="24"/>
                <w:lang w:eastAsia="zh-Hans"/>
              </w:rPr>
              <w:t>0.20</w:t>
            </w:r>
            <w:r>
              <w:rPr>
                <w:rFonts w:hint="eastAsia" w:ascii="Times New Roman" w:hAnsi="Times New Roman" w:cs="Times New Roman"/>
                <w:szCs w:val="24"/>
              </w:rPr>
              <w:t>%</w:t>
            </w:r>
          </w:p>
        </w:tc>
        <w:tc>
          <w:tcPr>
            <w:tcW w:w="3215" w:type="dxa"/>
          </w:tcPr>
          <w:p w14:paraId="13A9B924">
            <w:pPr>
              <w:jc w:val="center"/>
              <w:rPr>
                <w:rFonts w:ascii="Times New Roman" w:hAnsi="Times New Roman" w:cs="Times New Roman"/>
                <w:szCs w:val="24"/>
                <w:lang w:eastAsia="zh-Hans"/>
              </w:rPr>
            </w:pPr>
            <w:r>
              <w:rPr>
                <w:rFonts w:hint="eastAsia" w:ascii="Times New Roman" w:hAnsi="Times New Roman" w:cs="Times New Roman"/>
                <w:szCs w:val="24"/>
                <w:lang w:eastAsia="zh-Hans"/>
              </w:rPr>
              <w:t>基金托管人</w:t>
            </w:r>
          </w:p>
        </w:tc>
      </w:tr>
      <w:tr w14:paraId="3E5A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765" w:type="dxa"/>
            <w:tcMar>
              <w:top w:w="0" w:type="dxa"/>
              <w:left w:w="108" w:type="dxa"/>
              <w:bottom w:w="0" w:type="dxa"/>
              <w:right w:w="108" w:type="dxa"/>
            </w:tcMar>
            <w:vAlign w:val="center"/>
          </w:tcPr>
          <w:p w14:paraId="68242F56">
            <w:pPr>
              <w:rPr>
                <w:rFonts w:ascii="Times New Roman" w:hAnsi="Times New Roman" w:cs="Times New Roman"/>
                <w:b/>
                <w:szCs w:val="24"/>
              </w:rPr>
            </w:pPr>
            <w:r>
              <w:rPr>
                <w:rFonts w:hint="eastAsia" w:ascii="Times New Roman" w:hAnsi="Times New Roman" w:cs="Times New Roman"/>
                <w:b/>
                <w:szCs w:val="24"/>
              </w:rPr>
              <w:t>销售服务费</w:t>
            </w:r>
          </w:p>
        </w:tc>
        <w:tc>
          <w:tcPr>
            <w:tcW w:w="3215" w:type="dxa"/>
            <w:tcMar>
              <w:top w:w="0" w:type="dxa"/>
              <w:left w:w="108" w:type="dxa"/>
              <w:bottom w:w="0" w:type="dxa"/>
              <w:right w:w="108" w:type="dxa"/>
            </w:tcMar>
            <w:vAlign w:val="center"/>
          </w:tcPr>
          <w:p w14:paraId="4F38F5D8">
            <w:pPr>
              <w:jc w:val="center"/>
              <w:rPr>
                <w:rFonts w:ascii="Times New Roman" w:hAnsi="Times New Roman" w:cs="Times New Roman"/>
                <w:szCs w:val="24"/>
              </w:rPr>
            </w:pPr>
            <w:r>
              <w:rPr>
                <w:rFonts w:ascii="Times New Roman" w:hAnsi="Times New Roman" w:cs="Times New Roman"/>
                <w:szCs w:val="24"/>
              </w:rPr>
              <w:t>0.40%</w:t>
            </w:r>
          </w:p>
        </w:tc>
        <w:tc>
          <w:tcPr>
            <w:tcW w:w="3215" w:type="dxa"/>
            <w:vAlign w:val="center"/>
          </w:tcPr>
          <w:p w14:paraId="573C461F">
            <w:pPr>
              <w:jc w:val="center"/>
              <w:rPr>
                <w:rFonts w:ascii="Times New Roman" w:hAnsi="Times New Roman" w:cs="Times New Roman"/>
                <w:szCs w:val="24"/>
                <w:lang w:eastAsia="zh-Hans"/>
              </w:rPr>
            </w:pPr>
            <w:r>
              <w:rPr>
                <w:rFonts w:hint="eastAsia" w:ascii="Times New Roman" w:hAnsi="Times New Roman" w:cs="Times New Roman"/>
                <w:szCs w:val="24"/>
                <w:lang w:eastAsia="zh-Hans"/>
              </w:rPr>
              <w:t>销售机构</w:t>
            </w:r>
          </w:p>
        </w:tc>
      </w:tr>
      <w:tr w14:paraId="3933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1765" w:type="dxa"/>
            <w:tcMar>
              <w:top w:w="0" w:type="dxa"/>
              <w:left w:w="108" w:type="dxa"/>
              <w:bottom w:w="0" w:type="dxa"/>
              <w:right w:w="108" w:type="dxa"/>
            </w:tcMar>
            <w:vAlign w:val="center"/>
          </w:tcPr>
          <w:p w14:paraId="40669A34">
            <w:pPr>
              <w:rPr>
                <w:rFonts w:ascii="Times New Roman" w:hAnsi="Times New Roman" w:cs="Times New Roman"/>
                <w:b/>
                <w:szCs w:val="24"/>
              </w:rPr>
            </w:pPr>
            <w:r>
              <w:rPr>
                <w:rFonts w:hint="eastAsia" w:ascii="Times New Roman" w:hAnsi="Times New Roman" w:cs="Times New Roman"/>
                <w:b/>
                <w:szCs w:val="24"/>
              </w:rPr>
              <w:t>审计</w:t>
            </w:r>
            <w:r>
              <w:rPr>
                <w:rFonts w:ascii="Times New Roman" w:hAnsi="Times New Roman" w:cs="Times New Roman"/>
                <w:b/>
                <w:szCs w:val="24"/>
              </w:rPr>
              <w:t>费用</w:t>
            </w:r>
          </w:p>
        </w:tc>
        <w:tc>
          <w:tcPr>
            <w:tcW w:w="3215" w:type="dxa"/>
            <w:tcMar>
              <w:top w:w="0" w:type="dxa"/>
              <w:left w:w="108" w:type="dxa"/>
              <w:bottom w:w="0" w:type="dxa"/>
              <w:right w:w="108" w:type="dxa"/>
            </w:tcMar>
            <w:vAlign w:val="center"/>
          </w:tcPr>
          <w:p w14:paraId="3B36A4D1">
            <w:pPr>
              <w:jc w:val="center"/>
              <w:rPr>
                <w:rFonts w:ascii="Times New Roman" w:hAnsi="Times New Roman" w:cs="Times New Roman"/>
                <w:szCs w:val="24"/>
                <w:lang w:eastAsia="zh-Hans"/>
              </w:rPr>
            </w:pPr>
            <w:r>
              <w:rPr>
                <w:rFonts w:hint="eastAsia" w:ascii="Times New Roman" w:hAnsi="Times New Roman" w:cs="Times New Roman"/>
                <w:szCs w:val="24"/>
              </w:rPr>
              <w:t>-</w:t>
            </w:r>
          </w:p>
        </w:tc>
        <w:tc>
          <w:tcPr>
            <w:tcW w:w="3215" w:type="dxa"/>
            <w:vAlign w:val="center"/>
          </w:tcPr>
          <w:p w14:paraId="3A5DBD4B">
            <w:pPr>
              <w:jc w:val="center"/>
              <w:rPr>
                <w:rFonts w:ascii="Times New Roman" w:hAnsi="Times New Roman" w:cs="Times New Roman"/>
                <w:szCs w:val="24"/>
                <w:lang w:eastAsia="zh-Hans"/>
              </w:rPr>
            </w:pPr>
            <w:r>
              <w:rPr>
                <w:rFonts w:hint="eastAsia" w:ascii="Times New Roman" w:hAnsi="Times New Roman" w:cs="Times New Roman"/>
                <w:szCs w:val="24"/>
                <w:lang w:eastAsia="zh-Hans"/>
              </w:rPr>
              <w:t>会计师</w:t>
            </w:r>
            <w:r>
              <w:rPr>
                <w:rFonts w:ascii="Times New Roman" w:hAnsi="Times New Roman" w:cs="Times New Roman"/>
                <w:szCs w:val="24"/>
                <w:lang w:eastAsia="zh-Hans"/>
              </w:rPr>
              <w:t>事务所</w:t>
            </w:r>
          </w:p>
        </w:tc>
      </w:tr>
      <w:tr w14:paraId="0503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765" w:type="dxa"/>
            <w:tcMar>
              <w:top w:w="0" w:type="dxa"/>
              <w:left w:w="108" w:type="dxa"/>
              <w:bottom w:w="0" w:type="dxa"/>
              <w:right w:w="108" w:type="dxa"/>
            </w:tcMar>
            <w:vAlign w:val="center"/>
          </w:tcPr>
          <w:p w14:paraId="102C2B60">
            <w:pPr>
              <w:rPr>
                <w:rFonts w:ascii="Times New Roman" w:hAnsi="Times New Roman" w:cs="Times New Roman"/>
                <w:b/>
                <w:szCs w:val="24"/>
              </w:rPr>
            </w:pPr>
            <w:r>
              <w:rPr>
                <w:rFonts w:hint="eastAsia" w:ascii="Times New Roman" w:hAnsi="Times New Roman" w:cs="Times New Roman"/>
                <w:b/>
                <w:szCs w:val="24"/>
              </w:rPr>
              <w:t>信息披露</w:t>
            </w:r>
            <w:r>
              <w:rPr>
                <w:rFonts w:ascii="Times New Roman" w:hAnsi="Times New Roman" w:cs="Times New Roman"/>
                <w:b/>
                <w:szCs w:val="24"/>
              </w:rPr>
              <w:t>费</w:t>
            </w:r>
          </w:p>
        </w:tc>
        <w:tc>
          <w:tcPr>
            <w:tcW w:w="3215" w:type="dxa"/>
            <w:tcMar>
              <w:top w:w="0" w:type="dxa"/>
              <w:left w:w="108" w:type="dxa"/>
              <w:bottom w:w="0" w:type="dxa"/>
              <w:right w:w="108" w:type="dxa"/>
            </w:tcMar>
            <w:vAlign w:val="center"/>
          </w:tcPr>
          <w:p w14:paraId="0988C3BE">
            <w:pPr>
              <w:jc w:val="center"/>
              <w:rPr>
                <w:rFonts w:ascii="Times New Roman" w:hAnsi="Times New Roman" w:cs="Times New Roman"/>
                <w:szCs w:val="24"/>
                <w:lang w:eastAsia="zh-Hans"/>
              </w:rPr>
            </w:pPr>
            <w:r>
              <w:rPr>
                <w:rFonts w:hint="eastAsia" w:ascii="Times New Roman" w:hAnsi="Times New Roman" w:cs="Times New Roman"/>
                <w:szCs w:val="24"/>
              </w:rPr>
              <w:t>-</w:t>
            </w:r>
          </w:p>
        </w:tc>
        <w:tc>
          <w:tcPr>
            <w:tcW w:w="3215" w:type="dxa"/>
            <w:vAlign w:val="center"/>
          </w:tcPr>
          <w:p w14:paraId="5EC9F689">
            <w:pPr>
              <w:jc w:val="center"/>
              <w:rPr>
                <w:rFonts w:ascii="Times New Roman" w:hAnsi="Times New Roman" w:cs="Times New Roman"/>
                <w:szCs w:val="24"/>
                <w:lang w:eastAsia="zh-Hans"/>
              </w:rPr>
            </w:pPr>
            <w:r>
              <w:rPr>
                <w:rFonts w:hint="eastAsia" w:ascii="Times New Roman" w:hAnsi="Times New Roman" w:cs="Times New Roman"/>
                <w:szCs w:val="24"/>
                <w:lang w:eastAsia="zh-Hans"/>
              </w:rPr>
              <w:t>规定</w:t>
            </w:r>
            <w:r>
              <w:rPr>
                <w:rFonts w:ascii="Times New Roman" w:hAnsi="Times New Roman" w:cs="Times New Roman"/>
                <w:szCs w:val="24"/>
                <w:lang w:eastAsia="zh-Hans"/>
              </w:rPr>
              <w:t>披露</w:t>
            </w:r>
            <w:r>
              <w:rPr>
                <w:rFonts w:hint="eastAsia" w:ascii="Times New Roman" w:hAnsi="Times New Roman" w:cs="Times New Roman"/>
                <w:szCs w:val="24"/>
                <w:lang w:eastAsia="zh-Hans"/>
              </w:rPr>
              <w:t>报刊</w:t>
            </w:r>
          </w:p>
        </w:tc>
      </w:tr>
      <w:tr w14:paraId="6CDA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1765" w:type="dxa"/>
            <w:tcMar>
              <w:top w:w="0" w:type="dxa"/>
              <w:left w:w="108" w:type="dxa"/>
              <w:bottom w:w="0" w:type="dxa"/>
              <w:right w:w="108" w:type="dxa"/>
            </w:tcMar>
            <w:vAlign w:val="center"/>
          </w:tcPr>
          <w:p w14:paraId="7DF13D49">
            <w:pPr>
              <w:rPr>
                <w:rFonts w:ascii="Times New Roman" w:hAnsi="Times New Roman" w:cs="Times New Roman"/>
                <w:b/>
                <w:szCs w:val="24"/>
              </w:rPr>
            </w:pPr>
            <w:r>
              <w:rPr>
                <w:rFonts w:hint="eastAsia" w:ascii="Times New Roman" w:hAnsi="Times New Roman" w:cs="Times New Roman"/>
                <w:b/>
                <w:szCs w:val="24"/>
              </w:rPr>
              <w:t>其他费用</w:t>
            </w:r>
          </w:p>
        </w:tc>
        <w:tc>
          <w:tcPr>
            <w:tcW w:w="6430" w:type="dxa"/>
            <w:gridSpan w:val="2"/>
            <w:tcMar>
              <w:top w:w="0" w:type="dxa"/>
              <w:left w:w="108" w:type="dxa"/>
              <w:bottom w:w="0" w:type="dxa"/>
              <w:right w:w="108" w:type="dxa"/>
            </w:tcMar>
            <w:vAlign w:val="center"/>
          </w:tcPr>
          <w:p w14:paraId="2AC91A06">
            <w:pPr>
              <w:jc w:val="left"/>
              <w:rPr>
                <w:rFonts w:ascii="Times New Roman" w:hAnsi="Times New Roman" w:cs="Times New Roman"/>
                <w:szCs w:val="24"/>
              </w:rPr>
            </w:pPr>
            <w:r>
              <w:rPr>
                <w:rFonts w:hint="eastAsia" w:ascii="Times New Roman" w:hAnsi="Times New Roman" w:cs="Times New Roman"/>
                <w:szCs w:val="24"/>
              </w:rPr>
              <w:t>按照国家有关规定和《基金合同》约定，可以在基金财产中列支的其他费用按实际发生额从基金资产扣除。</w:t>
            </w:r>
          </w:p>
          <w:p w14:paraId="7FF81F6F">
            <w:pPr>
              <w:jc w:val="left"/>
              <w:rPr>
                <w:rFonts w:hint="eastAsia" w:ascii="方正仿宋简体" w:hAnsi="方正仿宋简体" w:cs="方正仿宋简体"/>
                <w:iCs/>
                <w:sz w:val="22"/>
                <w:szCs w:val="22"/>
              </w:rPr>
            </w:pPr>
            <w:r>
              <w:rPr>
                <w:rFonts w:hint="eastAsia" w:ascii="Times New Roman" w:hAnsi="Times New Roman" w:cs="Times New Roman"/>
                <w:szCs w:val="24"/>
              </w:rPr>
              <w:t>费用类别详见本基金《基金合同》及《招募说明书》或其更新。</w:t>
            </w:r>
          </w:p>
        </w:tc>
      </w:tr>
      <w:bookmarkEnd w:id="15"/>
      <w:bookmarkEnd w:id="53"/>
    </w:tbl>
    <w:p w14:paraId="2325EF11">
      <w:pPr>
        <w:spacing w:line="312" w:lineRule="exact"/>
        <w:ind w:firstLine="420" w:firstLineChars="200"/>
        <w:rPr>
          <w:rFonts w:hint="eastAsia"/>
          <w:szCs w:val="21"/>
        </w:rPr>
      </w:pPr>
      <w:r>
        <w:rPr>
          <w:rFonts w:hint="eastAsia"/>
          <w:szCs w:val="21"/>
        </w:rPr>
        <w:t>注：1、</w:t>
      </w:r>
      <w:r>
        <w:rPr>
          <w:rFonts w:hint="eastAsia"/>
          <w:szCs w:val="21"/>
          <w:lang w:eastAsia="zh-Hans"/>
        </w:rPr>
        <w:t>本基金交易证券、基金等产生的费用和税负，按实际发生额从基金资产扣除</w:t>
      </w:r>
      <w:bookmarkEnd w:id="95"/>
      <w:r>
        <w:rPr>
          <w:rFonts w:hint="eastAsia"/>
          <w:szCs w:val="21"/>
        </w:rPr>
        <w:t>。</w:t>
      </w:r>
    </w:p>
    <w:p w14:paraId="1ACF3BC0">
      <w:pPr>
        <w:spacing w:line="312" w:lineRule="exact"/>
        <w:ind w:firstLine="420" w:firstLineChars="200"/>
        <w:rPr>
          <w:rFonts w:hint="eastAsia"/>
        </w:rPr>
      </w:pPr>
      <w:r>
        <w:rPr>
          <w:szCs w:val="21"/>
        </w:rPr>
        <w:t xml:space="preserve">    2</w:t>
      </w:r>
      <w:r>
        <w:rPr>
          <w:rFonts w:hint="eastAsia"/>
          <w:szCs w:val="21"/>
        </w:rPr>
        <w:t>、上表中的</w:t>
      </w:r>
      <w:r>
        <w:rPr>
          <w:szCs w:val="21"/>
        </w:rPr>
        <w:t>销售服务费</w:t>
      </w:r>
      <w:r>
        <w:rPr>
          <w:rFonts w:hint="eastAsia"/>
          <w:szCs w:val="21"/>
        </w:rPr>
        <w:t>适用于投资者通过直销机构以外的其他销售机构认购</w:t>
      </w:r>
      <w:r>
        <w:rPr>
          <w:szCs w:val="21"/>
        </w:rPr>
        <w:t>/申购</w:t>
      </w:r>
      <w:r>
        <w:rPr>
          <w:rFonts w:hint="eastAsia"/>
          <w:szCs w:val="21"/>
        </w:rPr>
        <w:t>且持续持有期限未超过一年（即</w:t>
      </w:r>
      <w:r>
        <w:rPr>
          <w:szCs w:val="21"/>
        </w:rPr>
        <w:t>365天，下同）的C类基金份额</w:t>
      </w:r>
      <w:r>
        <w:rPr>
          <w:rFonts w:hint="eastAsia"/>
          <w:szCs w:val="21"/>
        </w:rPr>
        <w:t>。对于投资者通过直销机构认购</w:t>
      </w:r>
      <w:r>
        <w:rPr>
          <w:szCs w:val="21"/>
        </w:rPr>
        <w:t>/申购的C类基金份额，计提的销售服务费将在投资者赎回相应基金份额或基金合同终止时随赎回款或清算款一并返还给投资者；对于投资者通过其他销售机构认购/申购的C类基金份额，持续持有期限超过一年继续计提的销售服务费将在投资者赎回相应基金份额或基金合同终止时随赎回款或清算款一并返还给投资者。</w:t>
      </w:r>
    </w:p>
    <w:p w14:paraId="21F437EC">
      <w:pPr>
        <w:pStyle w:val="50"/>
        <w:spacing w:before="156" w:line="312" w:lineRule="exact"/>
        <w:rPr>
          <w:rFonts w:hint="eastAsia" w:hAnsi="宋体"/>
        </w:rPr>
      </w:pPr>
      <w:bookmarkStart w:id="97" w:name="_Toc374332122"/>
      <w:r>
        <w:rPr>
          <w:rFonts w:hint="eastAsia" w:hAnsi="宋体"/>
        </w:rPr>
        <w:t>风险揭示与重要提示</w:t>
      </w:r>
      <w:bookmarkEnd w:id="17"/>
      <w:bookmarkEnd w:id="18"/>
      <w:bookmarkEnd w:id="97"/>
      <w:r>
        <w:rPr>
          <w:rFonts w:hint="eastAsia" w:hAnsi="宋体"/>
        </w:rPr>
        <w:t xml:space="preserve"> </w:t>
      </w:r>
    </w:p>
    <w:p w14:paraId="31122923">
      <w:pPr>
        <w:pStyle w:val="51"/>
        <w:spacing w:before="156" w:line="312" w:lineRule="exact"/>
        <w:rPr>
          <w:rFonts w:hint="eastAsia" w:hAnsi="宋体"/>
          <w:sz w:val="21"/>
        </w:rPr>
      </w:pPr>
      <w:bookmarkStart w:id="98" w:name="_Toc374332132"/>
      <w:r>
        <w:rPr>
          <w:rFonts w:hint="eastAsia" w:hAnsi="宋体"/>
          <w:sz w:val="21"/>
        </w:rPr>
        <w:t>风险揭示</w:t>
      </w:r>
      <w:bookmarkEnd w:id="43"/>
      <w:bookmarkEnd w:id="44"/>
      <w:bookmarkEnd w:id="45"/>
      <w:bookmarkEnd w:id="46"/>
      <w:bookmarkEnd w:id="47"/>
      <w:bookmarkEnd w:id="48"/>
      <w:bookmarkEnd w:id="49"/>
      <w:bookmarkEnd w:id="50"/>
      <w:bookmarkEnd w:id="51"/>
      <w:bookmarkEnd w:id="52"/>
      <w:bookmarkEnd w:id="98"/>
      <w:r>
        <w:rPr>
          <w:rFonts w:hint="eastAsia" w:hAnsi="宋体"/>
          <w:sz w:val="21"/>
        </w:rPr>
        <w:t xml:space="preserve"> </w:t>
      </w:r>
    </w:p>
    <w:p w14:paraId="20C0DEDF">
      <w:pPr>
        <w:spacing w:line="312" w:lineRule="exact"/>
        <w:ind w:firstLine="420" w:firstLineChars="200"/>
        <w:rPr>
          <w:rFonts w:hint="eastAsia"/>
          <w:lang w:eastAsia="zh-Hans"/>
        </w:rPr>
      </w:pPr>
      <w:r>
        <w:rPr>
          <w:rFonts w:hint="eastAsia"/>
          <w:lang w:eastAsia="zh-Hans"/>
        </w:rPr>
        <w:t>本基金不提供任何保证。投资者可能损失投资本金。</w:t>
      </w:r>
      <w:r>
        <w:rPr>
          <w:rFonts w:hint="eastAsia"/>
          <w:lang w:eastAsia="zh-Hans"/>
        </w:rPr>
        <w:br w:type="textWrapping"/>
      </w:r>
      <w:r>
        <w:rPr>
          <w:rFonts w:hint="eastAsia"/>
          <w:lang w:eastAsia="zh-Hans"/>
        </w:rPr>
        <w:t>　　投资有风险，投资者购买基金时应认真阅读本基金的《招募说明书》等销售文件。</w:t>
      </w:r>
      <w:r>
        <w:rPr>
          <w:rFonts w:hint="eastAsia"/>
          <w:lang w:eastAsia="zh-Hans"/>
        </w:rPr>
        <w:br w:type="textWrapping"/>
      </w:r>
      <w:r>
        <w:rPr>
          <w:rFonts w:hint="eastAsia"/>
          <w:lang w:eastAsia="zh-Hans"/>
        </w:rPr>
        <w:t>　　本基金面临的主要风险因素包括：市场风险（含政策风险、经济周期风险、利率风险、上市公司经营风险、通货膨胀风险、债券收益率曲线变动的风险、再投资风险）、信用风险、管理风险、流动性风险、操作和技术风险、合规性风险、特定风险、本基金法律文件风险收益特征表述与销售机构基金风险评价可能不一致的风险和其他风险。</w:t>
      </w:r>
      <w:r>
        <w:rPr>
          <w:rFonts w:hint="eastAsia"/>
          <w:lang w:eastAsia="zh-Hans"/>
        </w:rPr>
        <w:br w:type="textWrapping"/>
      </w:r>
      <w:r>
        <w:rPr>
          <w:rFonts w:hint="eastAsia"/>
          <w:lang w:eastAsia="zh-Hans"/>
        </w:rPr>
        <w:t>　　本基金特定风险包括：</w:t>
      </w:r>
      <w:r>
        <w:rPr>
          <w:rFonts w:hint="eastAsia"/>
          <w:lang w:eastAsia="zh-Hans"/>
        </w:rPr>
        <w:br w:type="textWrapping"/>
      </w:r>
      <w:r>
        <w:rPr>
          <w:rFonts w:hint="eastAsia"/>
          <w:lang w:eastAsia="zh-Hans"/>
        </w:rPr>
        <w:t>　　</w:t>
      </w:r>
      <w:r>
        <w:rPr>
          <w:lang w:eastAsia="zh-Hans"/>
        </w:rPr>
        <w:t>1、大类资产配置风险</w:t>
      </w:r>
    </w:p>
    <w:p w14:paraId="2232E738">
      <w:pPr>
        <w:spacing w:line="312" w:lineRule="exact"/>
        <w:ind w:firstLine="420" w:firstLineChars="200"/>
        <w:rPr>
          <w:rFonts w:hint="eastAsia"/>
          <w:lang w:eastAsia="zh-Hans"/>
        </w:rPr>
      </w:pPr>
      <w:r>
        <w:rPr>
          <w:rFonts w:hint="eastAsia"/>
          <w:lang w:eastAsia="zh-Hans"/>
        </w:rPr>
        <w:t>本基金为混合型证券投资基金，本基金股票资产（含存托凭证）占基金资产的比例为60%-95%，存在大类资产配置风险，有可能因为受到经济周期、市场环境或基金管理人能力等因素的影响，导致基金的大类资产配置比例偏离最优化水平，给基金投资组合的绩效带来风险。</w:t>
      </w:r>
      <w:r>
        <w:rPr>
          <w:rFonts w:hint="eastAsia"/>
          <w:lang w:eastAsia="zh-Hans"/>
        </w:rPr>
        <w:br w:type="textWrapping"/>
      </w:r>
      <w:r>
        <w:rPr>
          <w:rFonts w:hint="eastAsia"/>
          <w:lang w:eastAsia="zh-Hans"/>
        </w:rPr>
        <w:t>　　</w:t>
      </w:r>
      <w:r>
        <w:rPr>
          <w:lang w:eastAsia="zh-Hans"/>
        </w:rPr>
        <w:t>2、港股通标的股票投资风险</w:t>
      </w:r>
    </w:p>
    <w:p w14:paraId="15DD1524">
      <w:pPr>
        <w:spacing w:line="312" w:lineRule="exact"/>
        <w:ind w:firstLine="420" w:firstLineChars="200"/>
        <w:rPr>
          <w:rFonts w:hint="eastAsia"/>
          <w:lang w:eastAsia="zh-Hans"/>
        </w:rPr>
      </w:pPr>
      <w:r>
        <w:rPr>
          <w:rFonts w:hint="eastAsia"/>
          <w:lang w:eastAsia="zh-Hans"/>
        </w:rPr>
        <w:t>本基金投资范围包括港股通标的股票，如本基金投资于港股通标的股票，除与其他投资于内地市场股票的基金所面临的共同风险外，本基金还面临港股通机制下因投资环境、投资者结构、投资标的构成、市场制度以及交易规则等差异所带来的特有风险。</w:t>
      </w:r>
      <w:r>
        <w:rPr>
          <w:rFonts w:hint="eastAsia"/>
          <w:lang w:eastAsia="zh-Hans"/>
        </w:rPr>
        <w:br w:type="textWrapping"/>
      </w:r>
      <w:r>
        <w:rPr>
          <w:rFonts w:hint="eastAsia"/>
          <w:lang w:eastAsia="zh-Hans"/>
        </w:rPr>
        <w:t>　</w:t>
      </w:r>
      <w:r>
        <w:rPr>
          <w:rFonts w:hint="eastAsia"/>
        </w:rPr>
        <w:t xml:space="preserve"> </w:t>
      </w:r>
      <w:r>
        <w:t xml:space="preserve"> </w:t>
      </w:r>
      <w:r>
        <w:rPr>
          <w:lang w:eastAsia="zh-Hans"/>
        </w:rPr>
        <w:t>3、参与期货交易的风险</w:t>
      </w:r>
    </w:p>
    <w:p w14:paraId="5D80D457">
      <w:pPr>
        <w:spacing w:line="312" w:lineRule="exact"/>
        <w:ind w:firstLine="420" w:firstLineChars="200"/>
        <w:rPr>
          <w:rFonts w:hint="eastAsia"/>
          <w:lang w:eastAsia="zh-Hans"/>
        </w:rPr>
      </w:pPr>
      <w:r>
        <w:rPr>
          <w:rFonts w:hint="eastAsia"/>
          <w:lang w:eastAsia="zh-Hans"/>
        </w:rPr>
        <w:t>本基金可参与股指期货、国债期货交易，股指期货、国债期货作为金融衍生品，主要存在市场风险、流动性风险、基差风险、保证金风险、信用风险和操作风险。</w:t>
      </w:r>
      <w:r>
        <w:rPr>
          <w:rFonts w:hint="eastAsia"/>
          <w:lang w:eastAsia="zh-Hans"/>
        </w:rPr>
        <w:br w:type="textWrapping"/>
      </w:r>
      <w:r>
        <w:rPr>
          <w:rFonts w:hint="eastAsia"/>
          <w:lang w:eastAsia="zh-Hans"/>
        </w:rPr>
        <w:t>　　</w:t>
      </w:r>
      <w:r>
        <w:rPr>
          <w:lang w:eastAsia="zh-Hans"/>
        </w:rPr>
        <w:t>4、资产支持证券的投资风险</w:t>
      </w:r>
    </w:p>
    <w:p w14:paraId="325EF006">
      <w:pPr>
        <w:spacing w:line="312" w:lineRule="exact"/>
        <w:ind w:firstLine="420" w:firstLineChars="200"/>
        <w:rPr>
          <w:rFonts w:hint="eastAsia"/>
          <w:lang w:eastAsia="zh-Hans"/>
        </w:rPr>
      </w:pPr>
      <w:r>
        <w:rPr>
          <w:rFonts w:hint="eastAsia"/>
          <w:lang w:eastAsia="zh-Hans"/>
        </w:rPr>
        <w:t>本基金可投资于资产支持证券，可能面临利率风险、流动性风险、现金流预测风险。</w:t>
      </w:r>
      <w:r>
        <w:rPr>
          <w:rFonts w:hint="eastAsia"/>
          <w:lang w:eastAsia="zh-Hans"/>
        </w:rPr>
        <w:br w:type="textWrapping"/>
      </w:r>
      <w:r>
        <w:rPr>
          <w:rFonts w:hint="eastAsia"/>
          <w:lang w:eastAsia="zh-Hans"/>
        </w:rPr>
        <w:t>　　</w:t>
      </w:r>
      <w:r>
        <w:rPr>
          <w:lang w:eastAsia="zh-Hans"/>
        </w:rPr>
        <w:t>5、流通受限证券的投资风险</w:t>
      </w:r>
    </w:p>
    <w:p w14:paraId="7F2AF33D">
      <w:pPr>
        <w:spacing w:line="312" w:lineRule="exact"/>
        <w:ind w:firstLine="420" w:firstLineChars="200"/>
        <w:rPr>
          <w:rFonts w:hint="eastAsia"/>
          <w:lang w:eastAsia="zh-Hans"/>
        </w:rPr>
      </w:pPr>
      <w:r>
        <w:rPr>
          <w:rFonts w:hint="eastAsia"/>
          <w:lang w:eastAsia="zh-Hans"/>
        </w:rPr>
        <w:t>本基金的投资范围包括非公开发行股票等流通受限证券，由于流通受限证券具有锁定期，存在潜在的流动性风险。</w:t>
      </w:r>
      <w:r>
        <w:rPr>
          <w:rFonts w:hint="eastAsia"/>
          <w:lang w:eastAsia="zh-Hans"/>
        </w:rPr>
        <w:br w:type="textWrapping"/>
      </w:r>
      <w:r>
        <w:rPr>
          <w:rFonts w:hint="eastAsia"/>
          <w:lang w:eastAsia="zh-Hans"/>
        </w:rPr>
        <w:t>　　</w:t>
      </w:r>
      <w:r>
        <w:rPr>
          <w:lang w:eastAsia="zh-Hans"/>
        </w:rPr>
        <w:t>6、存托凭证的投资风险</w:t>
      </w:r>
    </w:p>
    <w:p w14:paraId="2DC25BEE">
      <w:pPr>
        <w:spacing w:line="312" w:lineRule="exact"/>
        <w:ind w:firstLine="420" w:firstLineChars="200"/>
        <w:rPr>
          <w:rFonts w:hint="eastAsia"/>
          <w:lang w:eastAsia="zh-Hans"/>
        </w:rPr>
      </w:pPr>
      <w:r>
        <w:rPr>
          <w:rFonts w:hint="eastAsia"/>
          <w:lang w:eastAsia="zh-Hans"/>
        </w:rPr>
        <w:t>本基金的投资范围包括存托凭证，可能面临存托凭证价格大幅波动甚至出现较大亏损的风险，以及与存托凭证发行机制相关的风险。</w:t>
      </w:r>
      <w:r>
        <w:rPr>
          <w:rFonts w:hint="eastAsia"/>
          <w:lang w:eastAsia="zh-Hans"/>
        </w:rPr>
        <w:br w:type="textWrapping"/>
      </w:r>
      <w:r>
        <w:rPr>
          <w:rFonts w:hint="eastAsia"/>
          <w:lang w:eastAsia="zh-Hans"/>
        </w:rPr>
        <w:t>　　</w:t>
      </w:r>
      <w:r>
        <w:rPr>
          <w:lang w:eastAsia="zh-Hans"/>
        </w:rPr>
        <w:t>7、科创板股票的投资风险</w:t>
      </w:r>
    </w:p>
    <w:p w14:paraId="144D7B2D">
      <w:pPr>
        <w:spacing w:line="312" w:lineRule="exact"/>
        <w:ind w:firstLine="420" w:firstLineChars="200"/>
        <w:rPr>
          <w:rFonts w:hint="eastAsia"/>
          <w:lang w:eastAsia="zh-Hans"/>
        </w:rPr>
      </w:pPr>
      <w:r>
        <w:rPr>
          <w:rFonts w:hint="eastAsia"/>
          <w:lang w:eastAsia="zh-Hans"/>
        </w:rPr>
        <w:t xml:space="preserve">本基金的投资范围包括科创板股票，可能面临科创板机制下因投资标的、市场制度以及交易规则等差异带来的特有风险，包括股价波动风险、流动性风险、退市风险和投资集中风险等。 </w:t>
      </w:r>
    </w:p>
    <w:p w14:paraId="5026191C">
      <w:pPr>
        <w:spacing w:line="312" w:lineRule="exact"/>
        <w:ind w:firstLine="420" w:firstLineChars="200"/>
        <w:rPr>
          <w:rFonts w:hint="eastAsia"/>
        </w:rPr>
      </w:pPr>
      <w:r>
        <w:rPr>
          <w:rFonts w:hint="eastAsia"/>
        </w:rPr>
        <w:t>8、基金投资特定品种可能引起的风险</w:t>
      </w:r>
    </w:p>
    <w:p w14:paraId="609E24E8">
      <w:pPr>
        <w:spacing w:line="312" w:lineRule="exact"/>
        <w:ind w:firstLine="420" w:firstLineChars="200"/>
        <w:rPr>
          <w:rFonts w:hint="eastAsia"/>
          <w:lang w:eastAsia="zh-Hans"/>
        </w:rPr>
      </w:pPr>
      <w:r>
        <w:rPr>
          <w:rFonts w:hint="eastAsia"/>
          <w:lang w:eastAsia="zh-Hans"/>
        </w:rPr>
        <w:t>本基金投资于本基金界定的新材料主题相关证券资产占非现金基金资产的比例不低于80%。本基金投资于新材料主题相关证券，受宏观经济环境、行业周期、产业政策和公司自身经营状况等因素的影响，该类证券的特定风险即成为本基金及投资者主要面对的投资风险。</w:t>
      </w:r>
    </w:p>
    <w:p w14:paraId="7B7B2C49">
      <w:pPr>
        <w:spacing w:line="312" w:lineRule="exact"/>
        <w:ind w:firstLine="420" w:firstLineChars="200"/>
        <w:rPr>
          <w:rFonts w:hint="eastAsia"/>
          <w:lang w:eastAsia="zh-Hans"/>
        </w:rPr>
      </w:pPr>
      <w:r>
        <w:rPr>
          <w:rFonts w:hint="eastAsia"/>
        </w:rPr>
        <w:t>9</w:t>
      </w:r>
      <w:r>
        <w:rPr>
          <w:lang w:eastAsia="zh-Hans"/>
        </w:rPr>
        <w:t>、基金终止清盘的风险</w:t>
      </w:r>
    </w:p>
    <w:p w14:paraId="3F5EDC8A">
      <w:pPr>
        <w:spacing w:line="312" w:lineRule="exact"/>
        <w:ind w:firstLine="420" w:firstLineChars="200"/>
        <w:rPr>
          <w:rFonts w:hint="eastAsia"/>
          <w:lang w:eastAsia="zh-Hans"/>
        </w:rPr>
      </w:pPr>
      <w:r>
        <w:rPr>
          <w:rFonts w:hint="eastAsia"/>
          <w:lang w:eastAsia="zh-Hans"/>
        </w:rPr>
        <w:t>基金合同生效之日起三年后的对应日（若无对应日则顺延至下一日），若本基金资产净值低于两亿元，基金合同自动终止，且不得通过召开基金份额持有人大会的方式延续基金合同期限，投资人将面临基金终止清盘的风险。</w:t>
      </w:r>
    </w:p>
    <w:p w14:paraId="353F62E4">
      <w:pPr>
        <w:spacing w:line="312" w:lineRule="exact"/>
        <w:ind w:firstLine="420" w:firstLineChars="200"/>
        <w:rPr>
          <w:rFonts w:hint="eastAsia"/>
          <w:lang w:eastAsia="zh-Hans"/>
        </w:rPr>
      </w:pPr>
      <w:r>
        <w:rPr>
          <w:rFonts w:hint="eastAsia"/>
        </w:rPr>
        <w:t>10</w:t>
      </w:r>
      <w:r>
        <w:rPr>
          <w:lang w:eastAsia="zh-Hans"/>
        </w:rPr>
        <w:t>、本基金对于投资者通过直销机构认购/申购的C类基金份额计提的销售服务费，以及投资者通过其他销售机构认购/申购且持续持有期限超过一年的C类基金份额继续计提的销售服务费采取“先收后返”模式，投资者实际收到的赎回款项或清算款项的金额可能与按披露的该类基金份额净值计算的结果存在差异。投资者的实际赎回金额和清算资金以登记机构确认数据为准。</w:t>
      </w:r>
    </w:p>
    <w:p w14:paraId="5BC1869D">
      <w:pPr>
        <w:pStyle w:val="51"/>
        <w:spacing w:before="156" w:line="312" w:lineRule="exact"/>
        <w:rPr>
          <w:rFonts w:hint="eastAsia" w:hAnsi="宋体"/>
          <w:sz w:val="21"/>
        </w:rPr>
      </w:pPr>
      <w:bookmarkStart w:id="99" w:name="_Toc374332142"/>
      <w:r>
        <w:rPr>
          <w:rFonts w:hint="eastAsia" w:hAnsi="宋体"/>
          <w:sz w:val="21"/>
        </w:rPr>
        <w:t>重要提示</w:t>
      </w:r>
      <w:bookmarkEnd w:id="55"/>
      <w:bookmarkEnd w:id="56"/>
      <w:bookmarkEnd w:id="57"/>
      <w:bookmarkEnd w:id="58"/>
      <w:bookmarkEnd w:id="5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9"/>
      <w:r>
        <w:rPr>
          <w:rFonts w:hint="eastAsia" w:hAnsi="宋体"/>
          <w:sz w:val="21"/>
        </w:rPr>
        <w:t xml:space="preserve"> </w:t>
      </w:r>
    </w:p>
    <w:p w14:paraId="2A56214F">
      <w:pPr>
        <w:spacing w:line="312" w:lineRule="exact"/>
        <w:ind w:firstLine="420" w:firstLineChars="200"/>
        <w:rPr>
          <w:rFonts w:hint="eastAsia"/>
          <w:b/>
          <w:lang w:eastAsia="zh-Hans"/>
        </w:rPr>
      </w:pPr>
      <w:r>
        <w:rPr>
          <w:rFonts w:hint="eastAsia"/>
          <w:lang w:eastAsia="zh-Hans"/>
        </w:rPr>
        <w:t>中国证监会对本基金募集的注册，并不表明其对本基金的价值和收益作出实质性判断或保证，也不表明投资于本基金没有风险。</w:t>
      </w:r>
      <w:r>
        <w:rPr>
          <w:rFonts w:hint="eastAsia"/>
          <w:lang w:eastAsia="zh-Hans"/>
        </w:rPr>
        <w:br w:type="textWrapping"/>
      </w:r>
      <w:r>
        <w:rPr>
          <w:rFonts w:hint="eastAsia"/>
          <w:lang w:eastAsia="zh-Hans"/>
        </w:rPr>
        <w:t>　　基金管理人依照恪尽职守、诚实信用、谨慎勤勉的原则管理和运用基金财产，但不保证基金一定盈利，也不保证最低收益。</w:t>
      </w:r>
      <w:r>
        <w:rPr>
          <w:rFonts w:hint="eastAsia"/>
          <w:lang w:eastAsia="zh-Hans"/>
        </w:rPr>
        <w:br w:type="textWrapping"/>
      </w:r>
      <w:r>
        <w:rPr>
          <w:rFonts w:hint="eastAsia"/>
          <w:lang w:eastAsia="zh-Hans"/>
        </w:rPr>
        <w:t>　　基金投资者自依基金合同取得基金份额，即成为基金份额持有人和基金合同的当事人。</w:t>
      </w:r>
      <w:r>
        <w:rPr>
          <w:rFonts w:hint="eastAsia"/>
          <w:lang w:eastAsia="zh-Hans"/>
        </w:rPr>
        <w:br w:type="textWrapping"/>
      </w:r>
      <w:r>
        <w:rPr>
          <w:rFonts w:hint="eastAsia"/>
          <w:lang w:eastAsia="zh-Hans"/>
        </w:rPr>
        <w:t>　　销售机构（包括直销机构和其他销售机构）对基金产品进行风险评价，不同的销售机构采用的评价方法不同，因此不同销售机构对基金的风险等级评价结果可能存在不同，且销售机构的风险评价结果与本基金法律文件的风险收益特征表述也可能不一致。</w:t>
      </w:r>
      <w:r>
        <w:rPr>
          <w:rFonts w:hint="eastAsia"/>
          <w:lang w:eastAsia="zh-Hans"/>
        </w:rPr>
        <w:br w:type="textWrapping"/>
      </w:r>
      <w:r>
        <w:rPr>
          <w:rFonts w:hint="eastAsia"/>
          <w:lang w:eastAsia="zh-Hans"/>
        </w:rPr>
        <w:t>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hint="eastAsia"/>
          <w:lang w:eastAsia="zh-Hans"/>
        </w:rPr>
        <w:br w:type="textWrapping"/>
      </w:r>
      <w:r>
        <w:rPr>
          <w:rFonts w:hint="eastAsia"/>
          <w:lang w:eastAsia="zh-Hans"/>
        </w:rPr>
        <w:t>　　</w:t>
      </w:r>
      <w:r>
        <w:rPr>
          <w:rFonts w:hint="eastAsia"/>
          <w:b/>
          <w:lang w:eastAsia="zh-Hans"/>
        </w:rPr>
        <w:t xml:space="preserve">另请投资者注意：因《基金合同》而产生的或与《基金合同》有关的一切争议，如经友好协商未能解决的，任何一方均应将争议提交中国国际经济贸易仲裁委员会，仲裁地点为北京市，按照中国国际经济贸易仲裁委员会届时有效的仲裁规则进行仲裁。仲裁裁决是终局的，对各方当事人均有约束力。除非仲裁裁决另有规定，仲裁费用由败诉方承担。 </w:t>
      </w:r>
    </w:p>
    <w:bookmarkEnd w:id="92"/>
    <w:p w14:paraId="4548993C">
      <w:pPr>
        <w:pStyle w:val="50"/>
        <w:spacing w:before="156" w:line="312" w:lineRule="exact"/>
        <w:rPr>
          <w:rFonts w:hint="eastAsia" w:hAnsi="宋体"/>
          <w:szCs w:val="44"/>
        </w:rPr>
      </w:pPr>
      <w:bookmarkStart w:id="100" w:name="_Toc374332111"/>
      <w:r>
        <w:rPr>
          <w:rFonts w:hint="eastAsia" w:hAnsi="宋体"/>
        </w:rPr>
        <w:t>其他资料查询方式</w:t>
      </w:r>
      <w:bookmarkEnd w:id="100"/>
      <w:r>
        <w:rPr>
          <w:rFonts w:hint="eastAsia" w:hAnsi="宋体"/>
          <w:szCs w:val="44"/>
        </w:rPr>
        <w:t xml:space="preserve"> </w:t>
      </w:r>
      <w:bookmarkEnd w:id="2"/>
      <w:bookmarkEnd w:id="3"/>
      <w:bookmarkEnd w:id="4"/>
      <w:bookmarkEnd w:id="5"/>
      <w:bookmarkEnd w:id="6"/>
      <w:bookmarkEnd w:id="7"/>
      <w:bookmarkEnd w:id="8"/>
      <w:bookmarkEnd w:id="9"/>
      <w:bookmarkEnd w:id="10"/>
      <w:bookmarkEnd w:id="11"/>
    </w:p>
    <w:p w14:paraId="0D2B5BDB">
      <w:pPr>
        <w:spacing w:line="312" w:lineRule="exact"/>
        <w:ind w:firstLine="420" w:firstLineChars="200"/>
        <w:rPr>
          <w:rFonts w:hint="eastAsia"/>
          <w:lang w:eastAsia="zh-Hans"/>
        </w:rPr>
      </w:pPr>
      <w:r>
        <w:rPr>
          <w:rFonts w:hint="eastAsia"/>
          <w:lang w:eastAsia="zh-Hans"/>
        </w:rPr>
        <w:t>以下资料详见基金管理人网站www.rtfund.com，客服电话400-883-8088（免长途话费）。</w:t>
      </w:r>
      <w:r>
        <w:rPr>
          <w:rFonts w:hint="eastAsia"/>
          <w:lang w:eastAsia="zh-Hans"/>
        </w:rPr>
        <w:br w:type="textWrapping"/>
      </w:r>
      <w:r>
        <w:rPr>
          <w:rFonts w:hint="eastAsia"/>
          <w:lang w:eastAsia="zh-Hans"/>
        </w:rPr>
        <w:t>　　基金合同、托管协议、招募说明书</w:t>
      </w:r>
      <w:r>
        <w:rPr>
          <w:rFonts w:hint="eastAsia"/>
          <w:lang w:eastAsia="zh-Hans"/>
        </w:rPr>
        <w:br w:type="textWrapping"/>
      </w:r>
      <w:r>
        <w:rPr>
          <w:rFonts w:hint="eastAsia"/>
          <w:lang w:eastAsia="zh-Hans"/>
        </w:rPr>
        <w:t>　　定期报告，包括基金季度报告、中期报告和年度报告</w:t>
      </w:r>
      <w:r>
        <w:rPr>
          <w:rFonts w:hint="eastAsia"/>
          <w:lang w:eastAsia="zh-Hans"/>
        </w:rPr>
        <w:br w:type="textWrapping"/>
      </w:r>
      <w:r>
        <w:rPr>
          <w:rFonts w:hint="eastAsia"/>
          <w:lang w:eastAsia="zh-Hans"/>
        </w:rPr>
        <w:t>　　基金份额净值</w:t>
      </w:r>
      <w:r>
        <w:rPr>
          <w:rFonts w:hint="eastAsia"/>
          <w:lang w:eastAsia="zh-Hans"/>
        </w:rPr>
        <w:br w:type="textWrapping"/>
      </w:r>
      <w:r>
        <w:rPr>
          <w:rFonts w:hint="eastAsia"/>
          <w:lang w:eastAsia="zh-Hans"/>
        </w:rPr>
        <w:t>　　基金销售机构及联系方式</w:t>
      </w:r>
      <w:r>
        <w:rPr>
          <w:rFonts w:hint="eastAsia"/>
          <w:lang w:eastAsia="zh-Hans"/>
        </w:rPr>
        <w:br w:type="textWrapping"/>
      </w:r>
      <w:r>
        <w:rPr>
          <w:rFonts w:hint="eastAsia"/>
          <w:lang w:eastAsia="zh-Hans"/>
        </w:rPr>
        <w:t>　　其他重要资料</w:t>
      </w:r>
      <w:bookmarkEnd w:id="12"/>
      <w:bookmarkEnd w:id="13"/>
      <w:bookmarkEnd w:id="1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lang w:eastAsia="zh-Hans"/>
        </w:rPr>
        <w:t xml:space="preserve"> </w:t>
      </w:r>
    </w:p>
    <w:sectPr>
      <w:headerReference r:id="rId4" w:type="first"/>
      <w:footerReference r:id="rId6" w:type="first"/>
      <w:headerReference r:id="rId3" w:type="default"/>
      <w:footerReference r:id="rId5" w:type="default"/>
      <w:pgSz w:w="11907" w:h="16839"/>
      <w:pgMar w:top="1440" w:right="1080" w:bottom="1440" w:left="10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Arial Unicode MS">
    <w:altName w:val="DejaVu Sans"/>
    <w:panose1 w:val="020B0604020202020204"/>
    <w:charset w:val="86"/>
    <w:family w:val="swiss"/>
    <w:pitch w:val="default"/>
    <w:sig w:usb0="00000000" w:usb1="00000000" w:usb2="0000003F" w:usb3="00000000" w:csb0="003F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061B">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Pr>
        <w:sz w:val="18"/>
        <w:szCs w:val="18"/>
      </w:rPr>
      <w:t>3</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0A9E">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Pr>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页</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12792">
    <w:pPr>
      <w:pStyle w:val="14"/>
      <w:jc w:val="right"/>
      <w:rPr>
        <w:rFonts w:hint="eastAsia"/>
      </w:rPr>
    </w:pPr>
    <w:r>
      <w:rPr>
        <w:rFonts w:hint="eastAsia"/>
      </w:rPr>
      <w:t>融通新材料混合型发起式证券投资基金(C类份额)基金产品资料概要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CB0D5">
    <w:pPr>
      <w:pStyle w:val="14"/>
      <w:jc w:val="right"/>
      <w:rPr>
        <w:rFonts w:hint="eastAsia"/>
      </w:rPr>
    </w:pPr>
    <w:r>
      <w:rPr>
        <w:rFonts w:hint="eastAsia"/>
      </w:rPr>
      <w:t>融通新材料混合型发起式证券投资基金(C类份额)基金产品资料概要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D73EE"/>
    <w:multiLevelType w:val="multilevel"/>
    <w:tmpl w:val="547D73EE"/>
    <w:lvl w:ilvl="0" w:tentative="0">
      <w:start w:val="1"/>
      <w:numFmt w:val="chineseCountingThousand"/>
      <w:pStyle w:val="50"/>
      <w:lvlText w:val="%1、"/>
      <w:lvlJc w:val="left"/>
      <w:pPr>
        <w:ind w:left="425" w:hanging="425"/>
      </w:pPr>
      <w:rPr>
        <w:sz w:val="21"/>
        <w:szCs w:val="21"/>
      </w:rPr>
    </w:lvl>
    <w:lvl w:ilvl="1" w:tentative="0">
      <w:start w:val="1"/>
      <w:numFmt w:val="chineseCountingThousand"/>
      <w:pStyle w:val="51"/>
      <w:lvlText w:val="(%2)"/>
      <w:lvlJc w:val="left"/>
      <w:pPr>
        <w:ind w:left="454" w:hanging="454"/>
      </w:pPr>
      <w:rPr>
        <w:sz w:val="21"/>
      </w:rPr>
    </w:lvl>
    <w:lvl w:ilvl="2" w:tentative="0">
      <w:start w:val="1"/>
      <w:numFmt w:val="decimal"/>
      <w:pStyle w:val="60"/>
      <w:suff w:val="space"/>
      <w:lvlText w:val="%1.%2.%3"/>
      <w:lvlJc w:val="left"/>
      <w:pPr>
        <w:ind w:left="1050" w:hanging="624"/>
      </w:pPr>
      <w:rPr>
        <w:sz w:val="24"/>
        <w:szCs w:val="24"/>
      </w:rPr>
    </w:lvl>
    <w:lvl w:ilvl="3" w:tentative="0">
      <w:start w:val="1"/>
      <w:numFmt w:val="decimal"/>
      <w:pStyle w:val="58"/>
      <w:suff w:val="space"/>
      <w:lvlText w:val="%1.%2.%3.%4"/>
      <w:lvlJc w:val="left"/>
      <w:pPr>
        <w:ind w:left="794" w:hanging="794"/>
      </w:pPr>
    </w:lvl>
    <w:lvl w:ilvl="4" w:tentative="0">
      <w:start w:val="1"/>
      <w:numFmt w:val="decimal"/>
      <w:pStyle w:val="52"/>
      <w:suff w:val="space"/>
      <w:lvlText w:val="%1.%2.%3.%4.%5"/>
      <w:lvlJc w:val="left"/>
      <w:pPr>
        <w:ind w:left="1021" w:hanging="1021"/>
      </w:pPr>
    </w:lvl>
    <w:lvl w:ilvl="5" w:tentative="0">
      <w:start w:val="1"/>
      <w:numFmt w:val="decimal"/>
      <w:pStyle w:val="45"/>
      <w:suff w:val="space"/>
      <w:lvlText w:val="%1.%2.%3.%4.%5.%6"/>
      <w:lvlJc w:val="left"/>
      <w:pPr>
        <w:ind w:left="1021" w:hanging="1021"/>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84"/>
    <w:rsid w:val="00006CAD"/>
    <w:rsid w:val="00016406"/>
    <w:rsid w:val="00045341"/>
    <w:rsid w:val="000651BB"/>
    <w:rsid w:val="00087057"/>
    <w:rsid w:val="000A4419"/>
    <w:rsid w:val="000A5A5D"/>
    <w:rsid w:val="000E7292"/>
    <w:rsid w:val="001009F5"/>
    <w:rsid w:val="001C14E9"/>
    <w:rsid w:val="001C6700"/>
    <w:rsid w:val="0020234A"/>
    <w:rsid w:val="00215129"/>
    <w:rsid w:val="00232356"/>
    <w:rsid w:val="00237C05"/>
    <w:rsid w:val="002502CE"/>
    <w:rsid w:val="00263997"/>
    <w:rsid w:val="00270459"/>
    <w:rsid w:val="003379E8"/>
    <w:rsid w:val="00395331"/>
    <w:rsid w:val="00436C5A"/>
    <w:rsid w:val="004F089D"/>
    <w:rsid w:val="00505176"/>
    <w:rsid w:val="00511CAA"/>
    <w:rsid w:val="00512EDC"/>
    <w:rsid w:val="00553465"/>
    <w:rsid w:val="00572EC2"/>
    <w:rsid w:val="00581B8E"/>
    <w:rsid w:val="00586482"/>
    <w:rsid w:val="005E7788"/>
    <w:rsid w:val="00640AA4"/>
    <w:rsid w:val="00657AE7"/>
    <w:rsid w:val="00665BDD"/>
    <w:rsid w:val="006A6CDB"/>
    <w:rsid w:val="006D27EC"/>
    <w:rsid w:val="006F3395"/>
    <w:rsid w:val="00722284"/>
    <w:rsid w:val="0075219A"/>
    <w:rsid w:val="00756C98"/>
    <w:rsid w:val="0079420F"/>
    <w:rsid w:val="00830217"/>
    <w:rsid w:val="00897B35"/>
    <w:rsid w:val="00905193"/>
    <w:rsid w:val="00911E01"/>
    <w:rsid w:val="00943DC5"/>
    <w:rsid w:val="009829F8"/>
    <w:rsid w:val="009A13B8"/>
    <w:rsid w:val="009B1958"/>
    <w:rsid w:val="009B20CC"/>
    <w:rsid w:val="009D07E4"/>
    <w:rsid w:val="00A0275C"/>
    <w:rsid w:val="00A20924"/>
    <w:rsid w:val="00A30FE6"/>
    <w:rsid w:val="00AA1C7C"/>
    <w:rsid w:val="00AA43B0"/>
    <w:rsid w:val="00AD7934"/>
    <w:rsid w:val="00AE4784"/>
    <w:rsid w:val="00B83340"/>
    <w:rsid w:val="00BB3403"/>
    <w:rsid w:val="00C0293A"/>
    <w:rsid w:val="00C65FA9"/>
    <w:rsid w:val="00C66F16"/>
    <w:rsid w:val="00C85B08"/>
    <w:rsid w:val="00CC269E"/>
    <w:rsid w:val="00CD286E"/>
    <w:rsid w:val="00D240A9"/>
    <w:rsid w:val="00D665A1"/>
    <w:rsid w:val="00D70A8F"/>
    <w:rsid w:val="00D71B49"/>
    <w:rsid w:val="00DA2F7C"/>
    <w:rsid w:val="00E102A1"/>
    <w:rsid w:val="00E16C9B"/>
    <w:rsid w:val="00E87E1C"/>
    <w:rsid w:val="00E93CD7"/>
    <w:rsid w:val="00EC1ABE"/>
    <w:rsid w:val="00ED1231"/>
    <w:rsid w:val="00EE7C5D"/>
    <w:rsid w:val="00EF713C"/>
    <w:rsid w:val="00F2001E"/>
    <w:rsid w:val="00F6739E"/>
    <w:rsid w:val="00F713B0"/>
    <w:rsid w:val="6DAE7D22"/>
    <w:rsid w:val="7DBF0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lang w:val="en-US" w:eastAsia="zh-CN" w:bidi="ar-SA"/>
    </w:rPr>
  </w:style>
  <w:style w:type="paragraph" w:styleId="2">
    <w:name w:val="heading 1"/>
    <w:basedOn w:val="1"/>
    <w:next w:val="1"/>
    <w:link w:val="76"/>
    <w:qFormat/>
    <w:uiPriority w:val="9"/>
    <w:pPr>
      <w:keepNext/>
      <w:keepLines/>
      <w:spacing w:before="340" w:after="330" w:line="576" w:lineRule="auto"/>
      <w:outlineLvl w:val="0"/>
    </w:pPr>
    <w:rPr>
      <w:b/>
      <w:bCs/>
      <w:kern w:val="44"/>
      <w:sz w:val="44"/>
      <w:szCs w:val="44"/>
      <w:lang w:val="zh-CN" w:eastAsia="zh-CN"/>
    </w:rPr>
  </w:style>
  <w:style w:type="paragraph" w:styleId="3">
    <w:name w:val="heading 2"/>
    <w:basedOn w:val="1"/>
    <w:next w:val="1"/>
    <w:link w:val="77"/>
    <w:qFormat/>
    <w:uiPriority w:val="9"/>
    <w:pPr>
      <w:keepNext/>
      <w:keepLines/>
      <w:spacing w:before="260" w:after="260" w:line="408" w:lineRule="auto"/>
      <w:outlineLvl w:val="1"/>
    </w:pPr>
    <w:rPr>
      <w:rFonts w:ascii="Cambria" w:hAnsi="Cambria"/>
      <w:b/>
      <w:bCs/>
      <w:kern w:val="0"/>
      <w:sz w:val="32"/>
      <w:szCs w:val="32"/>
      <w:lang w:val="zh-CN" w:eastAsia="zh-CN"/>
    </w:rPr>
  </w:style>
  <w:style w:type="paragraph" w:styleId="4">
    <w:name w:val="heading 3"/>
    <w:basedOn w:val="1"/>
    <w:next w:val="1"/>
    <w:link w:val="78"/>
    <w:qFormat/>
    <w:uiPriority w:val="9"/>
    <w:pPr>
      <w:keepNext/>
      <w:keepLines/>
      <w:spacing w:before="260" w:after="260" w:line="408" w:lineRule="auto"/>
      <w:outlineLvl w:val="2"/>
    </w:pPr>
    <w:rPr>
      <w:b/>
      <w:bCs/>
      <w:kern w:val="0"/>
      <w:sz w:val="32"/>
      <w:szCs w:val="32"/>
      <w:lang w:val="zh-CN" w:eastAsia="zh-CN"/>
    </w:rPr>
  </w:style>
  <w:style w:type="paragraph" w:styleId="5">
    <w:name w:val="heading 4"/>
    <w:basedOn w:val="1"/>
    <w:next w:val="1"/>
    <w:link w:val="79"/>
    <w:qFormat/>
    <w:uiPriority w:val="0"/>
    <w:pPr>
      <w:keepNext/>
      <w:keepLines/>
      <w:spacing w:before="240" w:after="290" w:line="372" w:lineRule="auto"/>
      <w:outlineLvl w:val="3"/>
    </w:pPr>
    <w:rPr>
      <w:rFonts w:ascii="Cambria" w:hAnsi="Cambria"/>
      <w:b/>
      <w:bCs/>
      <w:kern w:val="0"/>
      <w:sz w:val="24"/>
      <w:szCs w:val="24"/>
      <w:lang w:val="zh-CN" w:eastAsia="zh-CN"/>
    </w:rPr>
  </w:style>
  <w:style w:type="paragraph" w:styleId="6">
    <w:name w:val="heading 5"/>
    <w:basedOn w:val="1"/>
    <w:next w:val="1"/>
    <w:link w:val="88"/>
    <w:semiHidden/>
    <w:unhideWhenUsed/>
    <w:qFormat/>
    <w:uiPriority w:val="9"/>
    <w:pPr>
      <w:keepNext/>
      <w:keepLines/>
      <w:spacing w:before="240" w:after="290" w:line="372" w:lineRule="auto"/>
      <w:outlineLvl w:val="4"/>
    </w:pPr>
    <w:rPr>
      <w:b/>
      <w:bCs/>
      <w:sz w:val="24"/>
      <w:szCs w:val="24"/>
    </w:rPr>
  </w:style>
  <w:style w:type="paragraph" w:styleId="7">
    <w:name w:val="heading 6"/>
    <w:basedOn w:val="1"/>
    <w:next w:val="1"/>
    <w:link w:val="89"/>
    <w:semiHidden/>
    <w:unhideWhenUsed/>
    <w:qFormat/>
    <w:uiPriority w:val="9"/>
    <w:pPr>
      <w:keepNext/>
      <w:keepLines/>
      <w:spacing w:before="240" w:after="64" w:line="312" w:lineRule="auto"/>
      <w:outlineLvl w:val="5"/>
    </w:pPr>
    <w:rPr>
      <w:rFonts w:asciiTheme="majorHAnsi" w:hAnsiTheme="majorHAnsi" w:eastAsiaTheme="majorEastAsia" w:cstheme="majorBidi"/>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86"/>
    <w:qFormat/>
    <w:uiPriority w:val="0"/>
    <w:pPr>
      <w:shd w:val="clear" w:color="auto" w:fill="000080"/>
    </w:pPr>
  </w:style>
  <w:style w:type="paragraph" w:styleId="9">
    <w:name w:val="annotation text"/>
    <w:basedOn w:val="1"/>
    <w:link w:val="93"/>
    <w:semiHidden/>
    <w:unhideWhenUsed/>
    <w:qFormat/>
    <w:uiPriority w:val="99"/>
    <w:pPr>
      <w:jc w:val="left"/>
    </w:pPr>
  </w:style>
  <w:style w:type="paragraph" w:styleId="10">
    <w:name w:val="toc 3"/>
    <w:basedOn w:val="1"/>
    <w:next w:val="1"/>
    <w:autoRedefine/>
    <w:semiHidden/>
    <w:unhideWhenUsed/>
    <w:qFormat/>
    <w:uiPriority w:val="39"/>
  </w:style>
  <w:style w:type="paragraph" w:styleId="11">
    <w:name w:val="Date"/>
    <w:basedOn w:val="1"/>
    <w:next w:val="1"/>
    <w:link w:val="85"/>
    <w:qFormat/>
    <w:uiPriority w:val="0"/>
    <w:rPr>
      <w:sz w:val="32"/>
      <w:lang w:val="zh-CN" w:eastAsia="zh-CN"/>
    </w:rPr>
  </w:style>
  <w:style w:type="paragraph" w:styleId="12">
    <w:name w:val="Balloon Text"/>
    <w:basedOn w:val="1"/>
    <w:link w:val="87"/>
    <w:semiHidden/>
    <w:unhideWhenUsed/>
    <w:qFormat/>
    <w:uiPriority w:val="99"/>
    <w:rPr>
      <w:sz w:val="18"/>
      <w:szCs w:val="18"/>
    </w:rPr>
  </w:style>
  <w:style w:type="paragraph" w:styleId="13">
    <w:name w:val="footer"/>
    <w:basedOn w:val="1"/>
    <w:link w:val="82"/>
    <w:qFormat/>
    <w:uiPriority w:val="99"/>
    <w:pPr>
      <w:tabs>
        <w:tab w:val="center" w:pos="4153"/>
        <w:tab w:val="right" w:pos="8306"/>
      </w:tabs>
      <w:snapToGrid w:val="0"/>
      <w:jc w:val="left"/>
    </w:pPr>
    <w:rPr>
      <w:sz w:val="18"/>
      <w:szCs w:val="18"/>
    </w:rPr>
  </w:style>
  <w:style w:type="paragraph" w:styleId="14">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pPr>
      <w:tabs>
        <w:tab w:val="right" w:leader="dot" w:pos="8835"/>
      </w:tabs>
    </w:pPr>
  </w:style>
  <w:style w:type="paragraph" w:styleId="16">
    <w:name w:val="Subtitle"/>
    <w:basedOn w:val="3"/>
    <w:next w:val="4"/>
    <w:link w:val="84"/>
    <w:qFormat/>
    <w:uiPriority w:val="0"/>
    <w:pPr>
      <w:spacing w:before="240" w:after="60" w:line="312" w:lineRule="auto"/>
      <w:jc w:val="left"/>
    </w:pPr>
    <w:rPr>
      <w:bCs w:val="0"/>
      <w:kern w:val="24"/>
      <w:sz w:val="24"/>
    </w:rPr>
  </w:style>
  <w:style w:type="paragraph" w:styleId="17">
    <w:name w:val="footnote text"/>
    <w:basedOn w:val="1"/>
    <w:link w:val="80"/>
    <w:qFormat/>
    <w:uiPriority w:val="0"/>
    <w:pPr>
      <w:snapToGrid w:val="0"/>
      <w:jc w:val="left"/>
    </w:pPr>
    <w:rPr>
      <w:sz w:val="18"/>
      <w:szCs w:val="18"/>
    </w:rPr>
  </w:style>
  <w:style w:type="paragraph" w:styleId="18">
    <w:name w:val="toc 2"/>
    <w:basedOn w:val="1"/>
    <w:next w:val="1"/>
    <w:autoRedefine/>
    <w:semiHidden/>
    <w:unhideWhenUsed/>
    <w:qFormat/>
    <w:uiPriority w:val="39"/>
    <w:pPr>
      <w:tabs>
        <w:tab w:val="right" w:leader="dot" w:pos="8834"/>
      </w:tabs>
      <w:ind w:left="210"/>
      <w:jc w:val="left"/>
    </w:pPr>
    <w:rPr>
      <w:rFonts w:cs="Times New Roman" w:asciiTheme="minorEastAsia" w:hAnsiTheme="minorEastAsia" w:eastAsiaTheme="minorEastAsia"/>
      <w:szCs w:val="21"/>
      <w:lang w:val="zh-CN" w:eastAsia="zh-CN"/>
    </w:rPr>
  </w:style>
  <w:style w:type="paragraph" w:styleId="19">
    <w:name w:val="Normal (Web)"/>
    <w:basedOn w:val="1"/>
    <w:qFormat/>
    <w:uiPriority w:val="0"/>
    <w:pPr>
      <w:widowControl/>
      <w:spacing w:before="100" w:beforeAutospacing="1" w:after="100" w:afterAutospacing="1"/>
      <w:jc w:val="left"/>
    </w:pPr>
    <w:rPr>
      <w:kern w:val="0"/>
      <w:sz w:val="24"/>
    </w:rPr>
  </w:style>
  <w:style w:type="paragraph" w:styleId="20">
    <w:name w:val="Title"/>
    <w:basedOn w:val="2"/>
    <w:next w:val="3"/>
    <w:link w:val="83"/>
    <w:qFormat/>
    <w:uiPriority w:val="10"/>
    <w:pPr>
      <w:keepNext w:val="0"/>
      <w:keepLines w:val="0"/>
      <w:spacing w:before="240" w:after="60" w:line="240" w:lineRule="auto"/>
      <w:jc w:val="center"/>
    </w:pPr>
    <w:rPr>
      <w:rFonts w:ascii="Cambria" w:hAnsi="Cambria"/>
      <w:kern w:val="0"/>
      <w:sz w:val="32"/>
      <w:szCs w:val="32"/>
    </w:rPr>
  </w:style>
  <w:style w:type="paragraph" w:styleId="21">
    <w:name w:val="annotation subject"/>
    <w:basedOn w:val="9"/>
    <w:next w:val="9"/>
    <w:link w:val="94"/>
    <w:semiHidden/>
    <w:unhideWhenUsed/>
    <w:qFormat/>
    <w:uiPriority w:val="99"/>
    <w:rPr>
      <w:b/>
      <w:bCs/>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basedOn w:val="24"/>
    <w:semiHidden/>
    <w:unhideWhenUsed/>
    <w:qFormat/>
    <w:uiPriority w:val="99"/>
    <w:rPr>
      <w:color w:val="0000FF"/>
      <w:u w:val="single"/>
    </w:rPr>
  </w:style>
  <w:style w:type="character" w:styleId="27">
    <w:name w:val="annotation reference"/>
    <w:basedOn w:val="24"/>
    <w:semiHidden/>
    <w:unhideWhenUsed/>
    <w:qFormat/>
    <w:uiPriority w:val="99"/>
    <w:rPr>
      <w:sz w:val="21"/>
      <w:szCs w:val="21"/>
    </w:rPr>
  </w:style>
  <w:style w:type="character" w:styleId="28">
    <w:name w:val="footnote reference"/>
    <w:qFormat/>
    <w:uiPriority w:val="0"/>
    <w:rPr>
      <w:vertAlign w:val="superscript"/>
    </w:rPr>
  </w:style>
  <w:style w:type="character" w:customStyle="1" w:styleId="29">
    <w:name w:val="标题 1 字符"/>
    <w:basedOn w:val="24"/>
    <w:qFormat/>
    <w:locked/>
    <w:uiPriority w:val="9"/>
    <w:rPr>
      <w:b/>
      <w:bCs/>
      <w:kern w:val="44"/>
      <w:sz w:val="44"/>
      <w:szCs w:val="44"/>
    </w:rPr>
  </w:style>
  <w:style w:type="character" w:customStyle="1" w:styleId="30">
    <w:name w:val="标题 2 字符"/>
    <w:basedOn w:val="24"/>
    <w:qFormat/>
    <w:locked/>
    <w:uiPriority w:val="9"/>
    <w:rPr>
      <w:rFonts w:hint="default" w:asciiTheme="majorHAnsi" w:hAnsiTheme="majorHAnsi" w:eastAsiaTheme="majorEastAsia" w:cstheme="majorBidi"/>
      <w:b/>
      <w:bCs/>
      <w:kern w:val="2"/>
      <w:sz w:val="32"/>
      <w:szCs w:val="32"/>
    </w:rPr>
  </w:style>
  <w:style w:type="character" w:customStyle="1" w:styleId="31">
    <w:name w:val="标题 3 字符"/>
    <w:basedOn w:val="24"/>
    <w:qFormat/>
    <w:locked/>
    <w:uiPriority w:val="9"/>
    <w:rPr>
      <w:b/>
      <w:bCs/>
      <w:kern w:val="2"/>
      <w:sz w:val="32"/>
      <w:szCs w:val="32"/>
    </w:rPr>
  </w:style>
  <w:style w:type="character" w:customStyle="1" w:styleId="32">
    <w:name w:val="标题 4 字符"/>
    <w:basedOn w:val="24"/>
    <w:qFormat/>
    <w:locked/>
    <w:uiPriority w:val="0"/>
    <w:rPr>
      <w:rFonts w:hint="default" w:asciiTheme="majorHAnsi" w:hAnsiTheme="majorHAnsi" w:eastAsiaTheme="majorEastAsia" w:cstheme="majorBidi"/>
      <w:b/>
      <w:bCs/>
      <w:kern w:val="2"/>
      <w:sz w:val="24"/>
      <w:szCs w:val="24"/>
    </w:rPr>
  </w:style>
  <w:style w:type="character" w:customStyle="1" w:styleId="33">
    <w:name w:val="标题 5 字符"/>
    <w:basedOn w:val="24"/>
    <w:semiHidden/>
    <w:qFormat/>
    <w:uiPriority w:val="9"/>
    <w:rPr>
      <w:rFonts w:cs="宋体"/>
      <w:b/>
      <w:bCs/>
      <w:kern w:val="2"/>
      <w:sz w:val="28"/>
      <w:szCs w:val="28"/>
    </w:rPr>
  </w:style>
  <w:style w:type="character" w:customStyle="1" w:styleId="34">
    <w:name w:val="标题 6 字符"/>
    <w:basedOn w:val="24"/>
    <w:semiHidden/>
    <w:qFormat/>
    <w:uiPriority w:val="9"/>
    <w:rPr>
      <w:rFonts w:asciiTheme="majorHAnsi" w:hAnsiTheme="majorHAnsi" w:eastAsiaTheme="majorEastAsia" w:cstheme="majorBidi"/>
      <w:b/>
      <w:bCs/>
      <w:kern w:val="2"/>
      <w:sz w:val="24"/>
      <w:szCs w:val="24"/>
    </w:rPr>
  </w:style>
  <w:style w:type="paragraph" w:customStyle="1" w:styleId="35">
    <w:name w:val="msonormal"/>
    <w:basedOn w:val="1"/>
    <w:qFormat/>
    <w:uiPriority w:val="0"/>
    <w:pPr>
      <w:widowControl/>
      <w:spacing w:before="100" w:beforeAutospacing="1" w:after="100" w:afterAutospacing="1"/>
      <w:jc w:val="left"/>
    </w:pPr>
    <w:rPr>
      <w:kern w:val="0"/>
      <w:sz w:val="24"/>
    </w:rPr>
  </w:style>
  <w:style w:type="character" w:customStyle="1" w:styleId="36">
    <w:name w:val="脚注文本 字符"/>
    <w:basedOn w:val="24"/>
    <w:qFormat/>
    <w:locked/>
    <w:uiPriority w:val="0"/>
    <w:rPr>
      <w:kern w:val="2"/>
      <w:sz w:val="18"/>
      <w:szCs w:val="18"/>
    </w:rPr>
  </w:style>
  <w:style w:type="character" w:customStyle="1" w:styleId="37">
    <w:name w:val="页眉 字符"/>
    <w:basedOn w:val="24"/>
    <w:qFormat/>
    <w:locked/>
    <w:uiPriority w:val="99"/>
    <w:rPr>
      <w:kern w:val="2"/>
      <w:sz w:val="18"/>
      <w:szCs w:val="18"/>
    </w:rPr>
  </w:style>
  <w:style w:type="character" w:customStyle="1" w:styleId="38">
    <w:name w:val="页脚 字符"/>
    <w:basedOn w:val="24"/>
    <w:qFormat/>
    <w:locked/>
    <w:uiPriority w:val="99"/>
    <w:rPr>
      <w:kern w:val="2"/>
      <w:sz w:val="18"/>
      <w:szCs w:val="18"/>
    </w:rPr>
  </w:style>
  <w:style w:type="character" w:customStyle="1" w:styleId="39">
    <w:name w:val="标题 字符"/>
    <w:basedOn w:val="24"/>
    <w:qFormat/>
    <w:locked/>
    <w:uiPriority w:val="10"/>
    <w:rPr>
      <w:rFonts w:hint="default" w:asciiTheme="majorHAnsi" w:hAnsiTheme="majorHAnsi" w:eastAsiaTheme="majorEastAsia" w:cstheme="majorBidi"/>
      <w:b/>
      <w:bCs/>
      <w:kern w:val="2"/>
      <w:sz w:val="32"/>
      <w:szCs w:val="32"/>
    </w:rPr>
  </w:style>
  <w:style w:type="character" w:customStyle="1" w:styleId="40">
    <w:name w:val="副标题 字符"/>
    <w:basedOn w:val="24"/>
    <w:qFormat/>
    <w:locked/>
    <w:uiPriority w:val="0"/>
    <w:rPr>
      <w:rFonts w:hint="default" w:asciiTheme="minorHAnsi" w:hAnsiTheme="minorHAnsi" w:eastAsiaTheme="minorEastAsia" w:cstheme="minorBidi"/>
      <w:b/>
      <w:bCs/>
      <w:kern w:val="24"/>
      <w:sz w:val="32"/>
      <w:szCs w:val="32"/>
    </w:rPr>
  </w:style>
  <w:style w:type="character" w:customStyle="1" w:styleId="41">
    <w:name w:val="日期 字符"/>
    <w:basedOn w:val="24"/>
    <w:qFormat/>
    <w:locked/>
    <w:uiPriority w:val="0"/>
    <w:rPr>
      <w:kern w:val="2"/>
      <w:sz w:val="21"/>
    </w:rPr>
  </w:style>
  <w:style w:type="character" w:customStyle="1" w:styleId="42">
    <w:name w:val="文档结构图 字符"/>
    <w:basedOn w:val="24"/>
    <w:qFormat/>
    <w:locked/>
    <w:uiPriority w:val="0"/>
    <w:rPr>
      <w:rFonts w:hint="eastAsia" w:ascii="Microsoft YaHei UI" w:hAnsi="Microsoft YaHei UI" w:eastAsia="Microsoft YaHei UI"/>
      <w:kern w:val="2"/>
      <w:sz w:val="18"/>
      <w:szCs w:val="18"/>
    </w:rPr>
  </w:style>
  <w:style w:type="character" w:customStyle="1" w:styleId="43">
    <w:name w:val="批注框文本 字符"/>
    <w:basedOn w:val="24"/>
    <w:semiHidden/>
    <w:qFormat/>
    <w:locked/>
    <w:uiPriority w:val="99"/>
    <w:rPr>
      <w:kern w:val="2"/>
      <w:sz w:val="18"/>
      <w:szCs w:val="18"/>
    </w:rPr>
  </w:style>
  <w:style w:type="paragraph" w:customStyle="1" w:styleId="44">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45">
    <w:name w:val="XBRLTitle6"/>
    <w:basedOn w:val="16"/>
    <w:next w:val="5"/>
    <w:qFormat/>
    <w:uiPriority w:val="0"/>
    <w:pPr>
      <w:numPr>
        <w:ilvl w:val="5"/>
        <w:numId w:val="1"/>
      </w:numPr>
      <w:spacing w:before="0" w:beforeLines="50" w:after="0" w:line="240" w:lineRule="auto"/>
      <w:outlineLvl w:val="9"/>
    </w:pPr>
    <w:rPr>
      <w:bCs/>
    </w:rPr>
  </w:style>
  <w:style w:type="paragraph" w:customStyle="1" w:styleId="46">
    <w:name w:val="次标题"/>
    <w:basedOn w:val="4"/>
    <w:next w:val="1"/>
    <w:qFormat/>
    <w:uiPriority w:val="0"/>
    <w:pPr>
      <w:spacing w:before="120" w:after="120"/>
      <w:jc w:val="left"/>
    </w:pPr>
    <w:rPr>
      <w:sz w:val="21"/>
    </w:rPr>
  </w:style>
  <w:style w:type="paragraph" w:customStyle="1" w:styleId="47">
    <w:name w:val="XBRL标题6"/>
    <w:basedOn w:val="16"/>
    <w:next w:val="5"/>
    <w:qFormat/>
    <w:uiPriority w:val="0"/>
    <w:pPr>
      <w:spacing w:before="0" w:beforeLines="50" w:after="0" w:line="240" w:lineRule="auto"/>
      <w:outlineLvl w:val="9"/>
    </w:pPr>
    <w:rPr>
      <w:bCs/>
    </w:rPr>
  </w:style>
  <w:style w:type="paragraph" w:customStyle="1" w:styleId="48">
    <w:name w:val="XBRL标题2"/>
    <w:basedOn w:val="16"/>
    <w:next w:val="5"/>
    <w:qFormat/>
    <w:uiPriority w:val="0"/>
    <w:pPr>
      <w:spacing w:before="0" w:beforeLines="50" w:after="0" w:line="240" w:lineRule="auto"/>
    </w:pPr>
    <w:rPr>
      <w:bCs/>
    </w:rPr>
  </w:style>
  <w:style w:type="paragraph" w:customStyle="1" w:styleId="49">
    <w:name w:val="XBRL标题3"/>
    <w:basedOn w:val="16"/>
    <w:next w:val="5"/>
    <w:qFormat/>
    <w:uiPriority w:val="0"/>
    <w:pPr>
      <w:spacing w:before="0" w:beforeLines="50" w:after="0" w:line="240" w:lineRule="auto"/>
      <w:outlineLvl w:val="9"/>
    </w:pPr>
    <w:rPr>
      <w:bCs/>
    </w:rPr>
  </w:style>
  <w:style w:type="paragraph" w:customStyle="1" w:styleId="50">
    <w:name w:val="XBRLTitle1"/>
    <w:basedOn w:val="2"/>
    <w:next w:val="3"/>
    <w:qFormat/>
    <w:uiPriority w:val="0"/>
    <w:pPr>
      <w:keepNext w:val="0"/>
      <w:keepLines w:val="0"/>
      <w:numPr>
        <w:ilvl w:val="0"/>
        <w:numId w:val="1"/>
      </w:numPr>
      <w:spacing w:before="0" w:beforeLines="50" w:after="0" w:line="240" w:lineRule="auto"/>
      <w:jc w:val="left"/>
    </w:pPr>
    <w:rPr>
      <w:rFonts w:hAnsi="Cambria"/>
      <w:sz w:val="21"/>
      <w:szCs w:val="32"/>
    </w:rPr>
  </w:style>
  <w:style w:type="paragraph" w:customStyle="1" w:styleId="51">
    <w:name w:val="XBRLTitle2"/>
    <w:basedOn w:val="16"/>
    <w:next w:val="5"/>
    <w:qFormat/>
    <w:uiPriority w:val="0"/>
    <w:pPr>
      <w:keepNext w:val="0"/>
      <w:keepLines w:val="0"/>
      <w:numPr>
        <w:ilvl w:val="1"/>
        <w:numId w:val="1"/>
      </w:numPr>
      <w:spacing w:before="0" w:beforeLines="50" w:after="0" w:line="240" w:lineRule="auto"/>
    </w:pPr>
    <w:rPr>
      <w:rFonts w:ascii="宋体"/>
      <w:bCs/>
    </w:rPr>
  </w:style>
  <w:style w:type="paragraph" w:customStyle="1" w:styleId="52">
    <w:name w:val="XBRLTitle5"/>
    <w:basedOn w:val="16"/>
    <w:next w:val="5"/>
    <w:qFormat/>
    <w:uiPriority w:val="0"/>
    <w:pPr>
      <w:numPr>
        <w:ilvl w:val="4"/>
        <w:numId w:val="1"/>
      </w:numPr>
      <w:spacing w:before="0" w:beforeLines="50" w:after="0" w:line="240" w:lineRule="auto"/>
      <w:outlineLvl w:val="9"/>
    </w:pPr>
    <w:rPr>
      <w:bCs/>
    </w:rPr>
  </w:style>
  <w:style w:type="paragraph" w:customStyle="1" w:styleId="53">
    <w:name w:val="Char"/>
    <w:basedOn w:val="1"/>
    <w:qFormat/>
    <w:uiPriority w:val="0"/>
  </w:style>
  <w:style w:type="paragraph" w:customStyle="1" w:styleId="54">
    <w:name w:val="Char Char Char Char Char Char1 Char Char Char"/>
    <w:basedOn w:val="1"/>
    <w:qFormat/>
    <w:uiPriority w:val="0"/>
    <w:pPr>
      <w:autoSpaceDE w:val="0"/>
      <w:autoSpaceDN w:val="0"/>
      <w:adjustRightInd w:val="0"/>
      <w:jc w:val="left"/>
    </w:pPr>
  </w:style>
  <w:style w:type="paragraph" w:customStyle="1" w:styleId="55">
    <w:name w:val="XBRL标题1"/>
    <w:basedOn w:val="2"/>
    <w:next w:val="3"/>
    <w:qFormat/>
    <w:uiPriority w:val="0"/>
    <w:pPr>
      <w:spacing w:before="0" w:beforeLines="50" w:after="0" w:line="240" w:lineRule="auto"/>
      <w:jc w:val="center"/>
    </w:pPr>
    <w:rPr>
      <w:rFonts w:ascii="Cambria" w:hAnsi="Cambria"/>
      <w:sz w:val="24"/>
    </w:rPr>
  </w:style>
  <w:style w:type="paragraph" w:customStyle="1" w:styleId="56">
    <w:name w:val="XBRL标题5"/>
    <w:basedOn w:val="16"/>
    <w:next w:val="5"/>
    <w:qFormat/>
    <w:uiPriority w:val="0"/>
    <w:pPr>
      <w:spacing w:before="0" w:beforeLines="50" w:after="0" w:line="240" w:lineRule="auto"/>
      <w:outlineLvl w:val="9"/>
    </w:pPr>
    <w:rPr>
      <w:bCs/>
    </w:rPr>
  </w:style>
  <w:style w:type="paragraph" w:customStyle="1" w:styleId="57">
    <w:name w:val="XBRL标题4"/>
    <w:basedOn w:val="16"/>
    <w:next w:val="5"/>
    <w:qFormat/>
    <w:uiPriority w:val="0"/>
    <w:pPr>
      <w:spacing w:before="0" w:beforeLines="50" w:after="0" w:line="240" w:lineRule="auto"/>
      <w:outlineLvl w:val="9"/>
    </w:pPr>
    <w:rPr>
      <w:bCs/>
    </w:rPr>
  </w:style>
  <w:style w:type="paragraph" w:customStyle="1" w:styleId="58">
    <w:name w:val="XBRLTitle4"/>
    <w:basedOn w:val="16"/>
    <w:next w:val="5"/>
    <w:qFormat/>
    <w:uiPriority w:val="0"/>
    <w:pPr>
      <w:numPr>
        <w:ilvl w:val="3"/>
        <w:numId w:val="1"/>
      </w:numPr>
      <w:spacing w:before="0" w:beforeLines="50" w:after="0" w:line="240" w:lineRule="auto"/>
      <w:outlineLvl w:val="9"/>
    </w:pPr>
    <w:rPr>
      <w:bCs/>
    </w:rPr>
  </w:style>
  <w:style w:type="paragraph" w:customStyle="1" w:styleId="5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60">
    <w:name w:val="XBRLTitle3"/>
    <w:basedOn w:val="16"/>
    <w:next w:val="5"/>
    <w:autoRedefine/>
    <w:qFormat/>
    <w:uiPriority w:val="0"/>
    <w:pPr>
      <w:keepNext w:val="0"/>
      <w:keepLines w:val="0"/>
      <w:numPr>
        <w:ilvl w:val="2"/>
        <w:numId w:val="1"/>
      </w:numPr>
      <w:spacing w:before="0" w:beforeLines="50" w:after="0" w:line="360" w:lineRule="auto"/>
      <w:ind w:left="0" w:firstLine="0"/>
      <w:outlineLvl w:val="9"/>
    </w:pPr>
    <w:rPr>
      <w:rFonts w:ascii="宋体"/>
      <w:bCs/>
    </w:rPr>
  </w:style>
  <w:style w:type="paragraph" w:customStyle="1" w:styleId="61">
    <w:name w:val="Default"/>
    <w:basedOn w:val="1"/>
    <w:qFormat/>
    <w:uiPriority w:val="0"/>
    <w:pPr>
      <w:autoSpaceDE w:val="0"/>
      <w:autoSpaceDN w:val="0"/>
      <w:adjustRightInd w:val="0"/>
      <w:jc w:val="left"/>
    </w:pPr>
    <w:rPr>
      <w:rFonts w:ascii="仿宋" w:hAnsi="仿宋" w:eastAsia="仿宋"/>
      <w:color w:val="000000"/>
      <w:kern w:val="0"/>
      <w:sz w:val="24"/>
      <w:szCs w:val="24"/>
    </w:rPr>
  </w:style>
  <w:style w:type="character" w:customStyle="1" w:styleId="62">
    <w:name w:val="标题 1 Char"/>
    <w:basedOn w:val="24"/>
    <w:qFormat/>
    <w:locked/>
    <w:uiPriority w:val="9"/>
    <w:rPr>
      <w:b/>
      <w:bCs/>
      <w:kern w:val="44"/>
      <w:sz w:val="44"/>
      <w:szCs w:val="44"/>
    </w:rPr>
  </w:style>
  <w:style w:type="character" w:customStyle="1" w:styleId="63">
    <w:name w:val="标题 2 Char"/>
    <w:basedOn w:val="24"/>
    <w:qFormat/>
    <w:locked/>
    <w:uiPriority w:val="9"/>
    <w:rPr>
      <w:rFonts w:hint="default" w:asciiTheme="majorHAnsi" w:hAnsiTheme="majorHAnsi" w:eastAsiaTheme="majorEastAsia" w:cstheme="majorBidi"/>
      <w:b/>
      <w:bCs/>
      <w:kern w:val="2"/>
      <w:sz w:val="32"/>
      <w:szCs w:val="32"/>
    </w:rPr>
  </w:style>
  <w:style w:type="character" w:customStyle="1" w:styleId="64">
    <w:name w:val="标题 3 Char"/>
    <w:basedOn w:val="24"/>
    <w:qFormat/>
    <w:locked/>
    <w:uiPriority w:val="9"/>
    <w:rPr>
      <w:b/>
      <w:bCs/>
      <w:kern w:val="2"/>
      <w:sz w:val="32"/>
      <w:szCs w:val="32"/>
    </w:rPr>
  </w:style>
  <w:style w:type="character" w:customStyle="1" w:styleId="65">
    <w:name w:val="标题 4 Char"/>
    <w:basedOn w:val="24"/>
    <w:qFormat/>
    <w:locked/>
    <w:uiPriority w:val="0"/>
    <w:rPr>
      <w:rFonts w:hint="default" w:asciiTheme="majorHAnsi" w:hAnsiTheme="majorHAnsi" w:eastAsiaTheme="majorEastAsia" w:cstheme="majorBidi"/>
      <w:b/>
      <w:bCs/>
      <w:kern w:val="2"/>
      <w:sz w:val="24"/>
      <w:szCs w:val="24"/>
    </w:rPr>
  </w:style>
  <w:style w:type="character" w:customStyle="1" w:styleId="66">
    <w:name w:val="标题 5 Char"/>
    <w:basedOn w:val="24"/>
    <w:semiHidden/>
    <w:qFormat/>
    <w:locked/>
    <w:uiPriority w:val="9"/>
    <w:rPr>
      <w:b/>
      <w:bCs/>
      <w:kern w:val="2"/>
      <w:sz w:val="24"/>
      <w:szCs w:val="24"/>
    </w:rPr>
  </w:style>
  <w:style w:type="character" w:customStyle="1" w:styleId="67">
    <w:name w:val="标题 6 Char"/>
    <w:basedOn w:val="24"/>
    <w:semiHidden/>
    <w:locked/>
    <w:uiPriority w:val="9"/>
    <w:rPr>
      <w:rFonts w:hint="default" w:asciiTheme="majorHAnsi" w:hAnsiTheme="majorHAnsi" w:eastAsiaTheme="majorEastAsia" w:cstheme="majorBidi"/>
      <w:b/>
      <w:bCs/>
      <w:kern w:val="2"/>
      <w:sz w:val="24"/>
      <w:szCs w:val="24"/>
    </w:rPr>
  </w:style>
  <w:style w:type="character" w:customStyle="1" w:styleId="68">
    <w:name w:val="脚注文本 Char"/>
    <w:basedOn w:val="24"/>
    <w:locked/>
    <w:uiPriority w:val="0"/>
    <w:rPr>
      <w:kern w:val="2"/>
      <w:sz w:val="18"/>
      <w:szCs w:val="18"/>
    </w:rPr>
  </w:style>
  <w:style w:type="character" w:customStyle="1" w:styleId="69">
    <w:name w:val="页眉 Char"/>
    <w:basedOn w:val="24"/>
    <w:locked/>
    <w:uiPriority w:val="99"/>
    <w:rPr>
      <w:kern w:val="2"/>
      <w:sz w:val="18"/>
      <w:szCs w:val="18"/>
    </w:rPr>
  </w:style>
  <w:style w:type="character" w:customStyle="1" w:styleId="70">
    <w:name w:val="页脚 Char"/>
    <w:basedOn w:val="24"/>
    <w:locked/>
    <w:uiPriority w:val="99"/>
    <w:rPr>
      <w:kern w:val="2"/>
      <w:sz w:val="18"/>
      <w:szCs w:val="18"/>
    </w:rPr>
  </w:style>
  <w:style w:type="character" w:customStyle="1" w:styleId="71">
    <w:name w:val="标题 Char"/>
    <w:basedOn w:val="24"/>
    <w:locked/>
    <w:uiPriority w:val="10"/>
    <w:rPr>
      <w:rFonts w:hint="default" w:asciiTheme="majorHAnsi" w:hAnsiTheme="majorHAnsi" w:cstheme="majorBidi"/>
      <w:b/>
      <w:bCs/>
      <w:kern w:val="2"/>
      <w:sz w:val="32"/>
      <w:szCs w:val="32"/>
    </w:rPr>
  </w:style>
  <w:style w:type="character" w:customStyle="1" w:styleId="72">
    <w:name w:val="副标题 Char"/>
    <w:basedOn w:val="24"/>
    <w:locked/>
    <w:uiPriority w:val="0"/>
    <w:rPr>
      <w:rFonts w:hint="default" w:asciiTheme="majorHAnsi" w:hAnsiTheme="majorHAnsi" w:cstheme="majorBidi"/>
      <w:b/>
      <w:bCs/>
      <w:kern w:val="24"/>
      <w:sz w:val="32"/>
      <w:szCs w:val="32"/>
    </w:rPr>
  </w:style>
  <w:style w:type="character" w:customStyle="1" w:styleId="73">
    <w:name w:val="日期 Char"/>
    <w:basedOn w:val="24"/>
    <w:locked/>
    <w:uiPriority w:val="0"/>
    <w:rPr>
      <w:kern w:val="2"/>
      <w:sz w:val="21"/>
    </w:rPr>
  </w:style>
  <w:style w:type="character" w:customStyle="1" w:styleId="74">
    <w:name w:val="文档结构图 Char"/>
    <w:basedOn w:val="24"/>
    <w:locked/>
    <w:uiPriority w:val="0"/>
    <w:rPr>
      <w:rFonts w:hint="eastAsia" w:ascii="宋体" w:hAnsi="宋体" w:eastAsia="宋体"/>
      <w:kern w:val="2"/>
      <w:sz w:val="18"/>
      <w:szCs w:val="18"/>
    </w:rPr>
  </w:style>
  <w:style w:type="character" w:customStyle="1" w:styleId="75">
    <w:name w:val="批注框文本 Char"/>
    <w:basedOn w:val="24"/>
    <w:semiHidden/>
    <w:locked/>
    <w:uiPriority w:val="99"/>
    <w:rPr>
      <w:kern w:val="2"/>
      <w:sz w:val="18"/>
      <w:szCs w:val="18"/>
    </w:rPr>
  </w:style>
  <w:style w:type="character" w:customStyle="1" w:styleId="76">
    <w:name w:val="标题 1 字符1"/>
    <w:link w:val="2"/>
    <w:locked/>
    <w:uiPriority w:val="9"/>
    <w:rPr>
      <w:b/>
      <w:bCs/>
      <w:kern w:val="44"/>
      <w:sz w:val="44"/>
      <w:szCs w:val="44"/>
    </w:rPr>
  </w:style>
  <w:style w:type="character" w:customStyle="1" w:styleId="77">
    <w:name w:val="标题 2 字符1"/>
    <w:link w:val="3"/>
    <w:locked/>
    <w:uiPriority w:val="9"/>
    <w:rPr>
      <w:rFonts w:hint="default" w:ascii="Cambria" w:hAnsi="Cambria" w:eastAsia="宋体" w:cs="宋体"/>
      <w:b/>
      <w:bCs/>
      <w:sz w:val="32"/>
      <w:szCs w:val="32"/>
    </w:rPr>
  </w:style>
  <w:style w:type="character" w:customStyle="1" w:styleId="78">
    <w:name w:val="标题 3 字符1"/>
    <w:link w:val="4"/>
    <w:locked/>
    <w:uiPriority w:val="9"/>
    <w:rPr>
      <w:b/>
      <w:bCs/>
      <w:sz w:val="32"/>
      <w:szCs w:val="32"/>
    </w:rPr>
  </w:style>
  <w:style w:type="character" w:customStyle="1" w:styleId="79">
    <w:name w:val="标题 4 字符1"/>
    <w:link w:val="5"/>
    <w:semiHidden/>
    <w:locked/>
    <w:uiPriority w:val="0"/>
    <w:rPr>
      <w:rFonts w:hint="default" w:ascii="Cambria" w:hAnsi="Cambria" w:eastAsia="宋体" w:cs="宋体"/>
      <w:b/>
      <w:bCs/>
      <w:sz w:val="24"/>
      <w:szCs w:val="24"/>
    </w:rPr>
  </w:style>
  <w:style w:type="character" w:customStyle="1" w:styleId="80">
    <w:name w:val="脚注文本 字符1"/>
    <w:basedOn w:val="24"/>
    <w:link w:val="17"/>
    <w:locked/>
    <w:uiPriority w:val="0"/>
    <w:rPr>
      <w:kern w:val="2"/>
      <w:sz w:val="18"/>
      <w:szCs w:val="18"/>
    </w:rPr>
  </w:style>
  <w:style w:type="character" w:customStyle="1" w:styleId="81">
    <w:name w:val="页眉 字符2"/>
    <w:basedOn w:val="24"/>
    <w:link w:val="14"/>
    <w:locked/>
    <w:uiPriority w:val="0"/>
    <w:rPr>
      <w:kern w:val="2"/>
      <w:sz w:val="18"/>
      <w:szCs w:val="18"/>
    </w:rPr>
  </w:style>
  <w:style w:type="character" w:customStyle="1" w:styleId="82">
    <w:name w:val="页脚 字符1"/>
    <w:basedOn w:val="24"/>
    <w:link w:val="13"/>
    <w:locked/>
    <w:uiPriority w:val="99"/>
    <w:rPr>
      <w:kern w:val="2"/>
      <w:sz w:val="18"/>
      <w:szCs w:val="18"/>
    </w:rPr>
  </w:style>
  <w:style w:type="character" w:customStyle="1" w:styleId="83">
    <w:name w:val="标题 字符1"/>
    <w:link w:val="20"/>
    <w:locked/>
    <w:uiPriority w:val="10"/>
    <w:rPr>
      <w:rFonts w:hint="default" w:ascii="Cambria" w:hAnsi="Cambria" w:cs="宋体"/>
      <w:b/>
      <w:bCs/>
      <w:sz w:val="32"/>
      <w:szCs w:val="32"/>
    </w:rPr>
  </w:style>
  <w:style w:type="character" w:customStyle="1" w:styleId="84">
    <w:name w:val="副标题 字符1"/>
    <w:link w:val="16"/>
    <w:locked/>
    <w:uiPriority w:val="0"/>
    <w:rPr>
      <w:rFonts w:hint="default" w:ascii="Cambria" w:hAnsi="Cambria" w:eastAsia="宋体" w:cs="宋体"/>
      <w:b/>
      <w:kern w:val="24"/>
      <w:sz w:val="24"/>
      <w:szCs w:val="32"/>
    </w:rPr>
  </w:style>
  <w:style w:type="character" w:customStyle="1" w:styleId="85">
    <w:name w:val="日期 字符1"/>
    <w:link w:val="11"/>
    <w:locked/>
    <w:uiPriority w:val="0"/>
    <w:rPr>
      <w:rFonts w:hint="eastAsia" w:ascii="宋体" w:hAnsi="宋体" w:eastAsia="宋体"/>
      <w:kern w:val="2"/>
      <w:sz w:val="32"/>
    </w:rPr>
  </w:style>
  <w:style w:type="character" w:customStyle="1" w:styleId="86">
    <w:name w:val="文档结构图 字符1"/>
    <w:basedOn w:val="24"/>
    <w:link w:val="8"/>
    <w:locked/>
    <w:uiPriority w:val="0"/>
    <w:rPr>
      <w:rFonts w:hint="eastAsia" w:ascii="宋体" w:hAnsi="宋体" w:eastAsia="宋体"/>
      <w:kern w:val="2"/>
      <w:sz w:val="18"/>
      <w:szCs w:val="18"/>
    </w:rPr>
  </w:style>
  <w:style w:type="character" w:customStyle="1" w:styleId="87">
    <w:name w:val="批注框文本 字符1"/>
    <w:basedOn w:val="24"/>
    <w:link w:val="12"/>
    <w:semiHidden/>
    <w:locked/>
    <w:uiPriority w:val="99"/>
    <w:rPr>
      <w:kern w:val="2"/>
      <w:sz w:val="18"/>
      <w:szCs w:val="18"/>
    </w:rPr>
  </w:style>
  <w:style w:type="character" w:customStyle="1" w:styleId="88">
    <w:name w:val="标题 5 字符1"/>
    <w:basedOn w:val="24"/>
    <w:link w:val="6"/>
    <w:semiHidden/>
    <w:locked/>
    <w:uiPriority w:val="9"/>
    <w:rPr>
      <w:b/>
      <w:bCs/>
      <w:kern w:val="2"/>
      <w:sz w:val="24"/>
      <w:szCs w:val="24"/>
    </w:rPr>
  </w:style>
  <w:style w:type="character" w:customStyle="1" w:styleId="89">
    <w:name w:val="标题 6 字符1"/>
    <w:basedOn w:val="24"/>
    <w:link w:val="7"/>
    <w:semiHidden/>
    <w:locked/>
    <w:uiPriority w:val="9"/>
    <w:rPr>
      <w:rFonts w:hint="default" w:asciiTheme="majorHAnsi" w:hAnsiTheme="majorHAnsi" w:eastAsiaTheme="majorEastAsia" w:cstheme="majorBidi"/>
      <w:b/>
      <w:bCs/>
      <w:kern w:val="2"/>
      <w:sz w:val="24"/>
      <w:szCs w:val="24"/>
    </w:rPr>
  </w:style>
  <w:style w:type="character" w:customStyle="1" w:styleId="90">
    <w:name w:val="页眉 字符1"/>
    <w:basedOn w:val="24"/>
    <w:locked/>
    <w:uiPriority w:val="0"/>
    <w:rPr>
      <w:kern w:val="2"/>
      <w:sz w:val="18"/>
      <w:szCs w:val="18"/>
    </w:rPr>
  </w:style>
  <w:style w:type="paragraph" w:customStyle="1" w:styleId="91">
    <w:name w:val="removednode"/>
    <w:basedOn w:val="1"/>
    <w:uiPriority w:val="0"/>
    <w:pPr>
      <w:widowControl/>
      <w:spacing w:before="100" w:beforeAutospacing="1" w:after="100" w:afterAutospacing="1"/>
      <w:jc w:val="left"/>
    </w:pPr>
    <w:rPr>
      <w:kern w:val="0"/>
      <w:sz w:val="24"/>
    </w:rPr>
  </w:style>
  <w:style w:type="character" w:customStyle="1" w:styleId="92">
    <w:name w:val="页眉 Char1"/>
    <w:basedOn w:val="24"/>
    <w:locked/>
    <w:uiPriority w:val="0"/>
    <w:rPr>
      <w:kern w:val="2"/>
      <w:sz w:val="18"/>
      <w:szCs w:val="18"/>
    </w:rPr>
  </w:style>
  <w:style w:type="character" w:customStyle="1" w:styleId="93">
    <w:name w:val="批注文字 字符"/>
    <w:basedOn w:val="24"/>
    <w:link w:val="9"/>
    <w:semiHidden/>
    <w:uiPriority w:val="99"/>
    <w:rPr>
      <w:rFonts w:cs="宋体"/>
      <w:kern w:val="2"/>
      <w:sz w:val="21"/>
    </w:rPr>
  </w:style>
  <w:style w:type="character" w:customStyle="1" w:styleId="94">
    <w:name w:val="批注主题 字符"/>
    <w:basedOn w:val="93"/>
    <w:link w:val="21"/>
    <w:semiHidden/>
    <w:uiPriority w:val="99"/>
    <w:rPr>
      <w:rFonts w:cs="宋体"/>
      <w:b/>
      <w:bCs/>
      <w:kern w:val="2"/>
      <w:sz w:val="21"/>
    </w:rPr>
  </w:style>
  <w:style w:type="paragraph" w:customStyle="1" w:styleId="95">
    <w:name w:val="Revision"/>
    <w:hidden/>
    <w:semiHidden/>
    <w:uiPriority w:val="99"/>
    <w:rPr>
      <w:rFonts w:ascii="宋体" w:hAnsi="宋体"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802D8549-0F5A-4F65-BB4F-ECAFB85F9A3D}">
  <ds:schemaRefs/>
</ds:datastoreItem>
</file>

<file path=docProps/app.xml><?xml version="1.0" encoding="utf-8"?>
<Properties xmlns="http://schemas.openxmlformats.org/officeDocument/2006/extended-properties" xmlns:vt="http://schemas.openxmlformats.org/officeDocument/2006/docPropsVTypes">
  <Template>Normal</Template>
  <Pages>4</Pages>
  <Words>1070</Words>
  <Characters>6104</Characters>
  <Lines>50</Lines>
  <Paragraphs>14</Paragraphs>
  <TotalTime>7</TotalTime>
  <ScaleCrop>false</ScaleCrop>
  <LinksUpToDate>false</LinksUpToDate>
  <CharactersWithSpaces>7160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2026-04-23T00:30:00Z</dcterms:created>
  <dc:creator>yss</dc:creator>
  <cp:lastModifiedBy>gaoyn05</cp:lastModifiedBy>
  <dcterms:modified xsi:type="dcterms:W3CDTF">2026-05-11T17:13:37Z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07741111DD16E1E4C19D016A9EFFB721_43</vt:lpwstr>
  </property>
</Properties>
</file>