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FD98">
      <w:pPr>
        <w:tabs>
          <w:tab w:val="left" w:pos="6660"/>
        </w:tabs>
        <w:spacing w:line="360" w:lineRule="auto"/>
        <w:jc w:val="left"/>
        <w:rPr>
          <w:bCs/>
          <w:sz w:val="44"/>
        </w:rPr>
      </w:pPr>
    </w:p>
    <w:p w14:paraId="5E1B9FEF">
      <w:pPr>
        <w:spacing w:line="360" w:lineRule="auto"/>
        <w:jc w:val="center"/>
        <w:rPr>
          <w:bCs/>
          <w:sz w:val="24"/>
        </w:rPr>
      </w:pPr>
    </w:p>
    <w:p w14:paraId="64D38D5B">
      <w:pPr>
        <w:jc w:val="center"/>
        <w:rPr>
          <w:b/>
          <w:sz w:val="50"/>
          <w:szCs w:val="50"/>
        </w:rPr>
      </w:pPr>
    </w:p>
    <w:p w14:paraId="22E2CDBA">
      <w:pPr>
        <w:jc w:val="center"/>
        <w:rPr>
          <w:b/>
          <w:sz w:val="50"/>
          <w:szCs w:val="50"/>
        </w:rPr>
      </w:pPr>
    </w:p>
    <w:p w14:paraId="71FB2119">
      <w:pPr>
        <w:jc w:val="center"/>
        <w:rPr>
          <w:b/>
          <w:sz w:val="50"/>
          <w:szCs w:val="50"/>
        </w:rPr>
      </w:pPr>
    </w:p>
    <w:p w14:paraId="4A31B5B1">
      <w:pPr>
        <w:jc w:val="center"/>
        <w:rPr>
          <w:b/>
          <w:sz w:val="50"/>
          <w:szCs w:val="50"/>
        </w:rPr>
      </w:pPr>
      <w:r>
        <w:rPr>
          <w:rFonts w:hint="eastAsia"/>
          <w:b/>
          <w:sz w:val="50"/>
          <w:szCs w:val="50"/>
        </w:rPr>
        <w:t>融通新材料混合型发起式</w:t>
      </w:r>
    </w:p>
    <w:p w14:paraId="701419A5">
      <w:pPr>
        <w:jc w:val="center"/>
        <w:rPr>
          <w:b/>
          <w:sz w:val="50"/>
          <w:szCs w:val="50"/>
        </w:rPr>
      </w:pPr>
      <w:r>
        <w:rPr>
          <w:rFonts w:hint="eastAsia"/>
          <w:b/>
          <w:sz w:val="50"/>
          <w:szCs w:val="50"/>
        </w:rPr>
        <w:t>证券投资基金</w:t>
      </w:r>
    </w:p>
    <w:p w14:paraId="4E28C0AF">
      <w:pPr>
        <w:jc w:val="center"/>
        <w:rPr>
          <w:b/>
          <w:sz w:val="50"/>
          <w:szCs w:val="50"/>
        </w:rPr>
      </w:pPr>
      <w:r>
        <w:rPr>
          <w:rFonts w:hint="eastAsia"/>
          <w:b/>
          <w:sz w:val="50"/>
          <w:szCs w:val="50"/>
        </w:rPr>
        <w:t>招募说明书</w:t>
      </w:r>
    </w:p>
    <w:p w14:paraId="0C74C93A">
      <w:pPr>
        <w:jc w:val="center"/>
        <w:rPr>
          <w:b/>
          <w:sz w:val="52"/>
        </w:rPr>
      </w:pPr>
    </w:p>
    <w:p w14:paraId="77586CC4">
      <w:pPr>
        <w:jc w:val="center"/>
        <w:rPr>
          <w:b/>
          <w:sz w:val="52"/>
        </w:rPr>
      </w:pPr>
    </w:p>
    <w:p w14:paraId="16518BF9">
      <w:pPr>
        <w:jc w:val="center"/>
        <w:rPr>
          <w:b/>
          <w:sz w:val="52"/>
        </w:rPr>
      </w:pPr>
    </w:p>
    <w:p w14:paraId="5173912B">
      <w:pPr>
        <w:jc w:val="center"/>
        <w:rPr>
          <w:b/>
          <w:sz w:val="52"/>
        </w:rPr>
      </w:pPr>
    </w:p>
    <w:p w14:paraId="599503EC">
      <w:pPr>
        <w:jc w:val="center"/>
        <w:rPr>
          <w:b/>
          <w:sz w:val="36"/>
        </w:rPr>
      </w:pPr>
      <w:bookmarkStart w:id="0" w:name="_Toc123112263"/>
      <w:bookmarkStart w:id="1" w:name="_Toc123112224"/>
      <w:bookmarkStart w:id="2" w:name="_Toc123701383"/>
      <w:bookmarkStart w:id="3" w:name="_Toc139991726"/>
      <w:bookmarkStart w:id="4" w:name="_Toc139992301"/>
      <w:r>
        <w:rPr>
          <w:rFonts w:hint="eastAsia"/>
          <w:b/>
          <w:sz w:val="36"/>
        </w:rPr>
        <w:t>基金管理人：</w:t>
      </w:r>
      <w:bookmarkEnd w:id="0"/>
      <w:bookmarkEnd w:id="1"/>
      <w:bookmarkEnd w:id="2"/>
      <w:bookmarkEnd w:id="3"/>
      <w:bookmarkEnd w:id="4"/>
      <w:r>
        <w:rPr>
          <w:rFonts w:hint="eastAsia"/>
          <w:b/>
          <w:sz w:val="36"/>
        </w:rPr>
        <w:t>融通基金管理有限公司</w:t>
      </w:r>
    </w:p>
    <w:p w14:paraId="44C464C1">
      <w:pPr>
        <w:jc w:val="center"/>
        <w:rPr>
          <w:b/>
          <w:sz w:val="36"/>
        </w:rPr>
      </w:pPr>
      <w:bookmarkStart w:id="5" w:name="_Toc123701384"/>
      <w:bookmarkStart w:id="6" w:name="_Toc123112264"/>
      <w:bookmarkStart w:id="7" w:name="_Toc123112225"/>
      <w:bookmarkStart w:id="8" w:name="_Toc139992302"/>
      <w:bookmarkStart w:id="9" w:name="_Toc139991727"/>
      <w:r>
        <w:rPr>
          <w:rFonts w:hint="eastAsia"/>
          <w:b/>
          <w:sz w:val="36"/>
        </w:rPr>
        <w:t>基金托管人：</w:t>
      </w:r>
      <w:bookmarkEnd w:id="5"/>
      <w:bookmarkEnd w:id="6"/>
      <w:bookmarkEnd w:id="7"/>
      <w:bookmarkEnd w:id="8"/>
      <w:bookmarkEnd w:id="9"/>
      <w:r>
        <w:rPr>
          <w:rFonts w:hint="eastAsia"/>
          <w:b/>
          <w:sz w:val="36"/>
        </w:rPr>
        <w:t>宁波银行股份有限公司</w:t>
      </w:r>
    </w:p>
    <w:p w14:paraId="3D5A08CB">
      <w:pPr>
        <w:jc w:val="center"/>
        <w:rPr>
          <w:bCs/>
          <w:sz w:val="32"/>
        </w:rPr>
      </w:pPr>
    </w:p>
    <w:p w14:paraId="421034EE">
      <w:pPr>
        <w:jc w:val="center"/>
        <w:rPr>
          <w:bCs/>
          <w:sz w:val="28"/>
        </w:rPr>
      </w:pPr>
      <w:bookmarkStart w:id="10" w:name="_Toc123112227"/>
      <w:bookmarkStart w:id="11" w:name="_Toc123701386"/>
      <w:bookmarkStart w:id="12" w:name="_Toc123112266"/>
      <w:bookmarkStart w:id="13" w:name="_Toc139991729"/>
    </w:p>
    <w:p w14:paraId="02CB587F">
      <w:pPr>
        <w:jc w:val="center"/>
        <w:rPr>
          <w:b/>
          <w:bCs/>
          <w:sz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r>
        <w:rPr>
          <w:rFonts w:hint="eastAsia"/>
          <w:b/>
          <w:bCs/>
          <w:sz w:val="30"/>
        </w:rPr>
        <w:t>二〇二六年五月</w:t>
      </w:r>
    </w:p>
    <w:p w14:paraId="4E0E9EEF">
      <w:pPr>
        <w:spacing w:line="360" w:lineRule="auto"/>
        <w:ind w:firstLine="480" w:firstLineChars="200"/>
        <w:rPr>
          <w:sz w:val="24"/>
          <w:szCs w:val="24"/>
        </w:rPr>
      </w:pPr>
      <w:r>
        <w:rPr>
          <w:rFonts w:hint="eastAsia"/>
          <w:sz w:val="24"/>
          <w:szCs w:val="24"/>
        </w:rPr>
        <w:t>融通新材料混合型发起式证券投资基金（</w:t>
      </w:r>
      <w:r>
        <w:rPr>
          <w:sz w:val="24"/>
          <w:szCs w:val="24"/>
        </w:rPr>
        <w:t>以下简称</w:t>
      </w:r>
      <w:r>
        <w:rPr>
          <w:rFonts w:hint="eastAsia"/>
          <w:sz w:val="24"/>
          <w:szCs w:val="24"/>
        </w:rPr>
        <w:t>“</w:t>
      </w:r>
      <w:r>
        <w:rPr>
          <w:sz w:val="24"/>
          <w:szCs w:val="24"/>
        </w:rPr>
        <w:t>本基金</w:t>
      </w:r>
      <w:r>
        <w:rPr>
          <w:rFonts w:hint="eastAsia"/>
          <w:sz w:val="24"/>
          <w:szCs w:val="24"/>
        </w:rPr>
        <w:t>”）</w:t>
      </w:r>
      <w:r>
        <w:rPr>
          <w:sz w:val="24"/>
          <w:szCs w:val="24"/>
        </w:rPr>
        <w:t>经中国证券监督管理委员会（以下简称</w:t>
      </w:r>
      <w:r>
        <w:rPr>
          <w:rFonts w:hint="eastAsia"/>
          <w:sz w:val="24"/>
          <w:szCs w:val="24"/>
        </w:rPr>
        <w:t>“</w:t>
      </w:r>
      <w:r>
        <w:rPr>
          <w:sz w:val="24"/>
          <w:szCs w:val="24"/>
        </w:rPr>
        <w:t>中国证监会</w:t>
      </w:r>
      <w:r>
        <w:rPr>
          <w:rFonts w:hint="eastAsia"/>
          <w:sz w:val="24"/>
          <w:szCs w:val="24"/>
        </w:rPr>
        <w:t>”</w:t>
      </w:r>
      <w:r>
        <w:rPr>
          <w:sz w:val="24"/>
          <w:szCs w:val="24"/>
        </w:rPr>
        <w:t>）</w:t>
      </w:r>
      <w:r>
        <w:rPr>
          <w:rFonts w:hint="eastAsia"/>
          <w:sz w:val="24"/>
          <w:szCs w:val="24"/>
        </w:rPr>
        <w:t>2026年4月1日证监许可</w:t>
      </w:r>
      <w:r>
        <w:rPr>
          <w:sz w:val="24"/>
          <w:szCs w:val="24"/>
        </w:rPr>
        <w:t>[</w:t>
      </w:r>
      <w:r>
        <w:rPr>
          <w:rFonts w:hint="eastAsia"/>
          <w:sz w:val="24"/>
          <w:szCs w:val="24"/>
        </w:rPr>
        <w:t>2026</w:t>
      </w:r>
      <w:r>
        <w:rPr>
          <w:sz w:val="24"/>
          <w:szCs w:val="24"/>
        </w:rPr>
        <w:t>]</w:t>
      </w:r>
      <w:r>
        <w:rPr>
          <w:rFonts w:hint="eastAsia"/>
          <w:sz w:val="24"/>
          <w:szCs w:val="24"/>
        </w:rPr>
        <w:t>693号文准予募集注册。</w:t>
      </w:r>
    </w:p>
    <w:p w14:paraId="21F40368">
      <w:pPr>
        <w:spacing w:line="360" w:lineRule="auto"/>
        <w:jc w:val="center"/>
        <w:rPr>
          <w:bCs/>
          <w:sz w:val="24"/>
          <w:szCs w:val="24"/>
        </w:rPr>
      </w:pPr>
    </w:p>
    <w:p w14:paraId="29336953">
      <w:pPr>
        <w:spacing w:line="360" w:lineRule="auto"/>
        <w:jc w:val="center"/>
        <w:rPr>
          <w:b/>
          <w:bCs/>
          <w:sz w:val="24"/>
          <w:szCs w:val="24"/>
        </w:rPr>
      </w:pPr>
      <w:r>
        <w:rPr>
          <w:rFonts w:hint="eastAsia"/>
          <w:b/>
          <w:bCs/>
          <w:sz w:val="24"/>
          <w:szCs w:val="24"/>
        </w:rPr>
        <w:t>重要提示</w:t>
      </w:r>
    </w:p>
    <w:p w14:paraId="345C6600">
      <w:pPr>
        <w:spacing w:line="360" w:lineRule="auto"/>
        <w:ind w:firstLine="480" w:firstLineChars="200"/>
        <w:rPr>
          <w:sz w:val="24"/>
          <w:szCs w:val="24"/>
        </w:rPr>
      </w:pPr>
      <w:r>
        <w:rPr>
          <w:rFonts w:hint="eastAsia"/>
          <w:sz w:val="24"/>
          <w:szCs w:val="24"/>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r>
        <w:rPr>
          <w:rFonts w:hint="eastAsia"/>
          <w:bCs/>
          <w:sz w:val="24"/>
          <w:szCs w:val="24"/>
        </w:rPr>
        <w:t>。</w:t>
      </w:r>
    </w:p>
    <w:p w14:paraId="57C1E777">
      <w:pPr>
        <w:spacing w:line="360" w:lineRule="auto"/>
        <w:ind w:firstLine="480" w:firstLineChars="200"/>
        <w:rPr>
          <w:sz w:val="24"/>
          <w:szCs w:val="24"/>
        </w:rPr>
      </w:pPr>
      <w:r>
        <w:rPr>
          <w:rFonts w:hint="eastAsia"/>
          <w:sz w:val="24"/>
          <w:szCs w:val="24"/>
        </w:rPr>
        <w:t>投资有风险，投资人在认购或申购本基金前应认真阅读本基金的招募说明书、基金合同和基金产品资料概要等信息披露文件，自主判断基金的投资价值，自主做出投资决策，自行承担投资风险。</w:t>
      </w:r>
    </w:p>
    <w:p w14:paraId="44D9956D">
      <w:pPr>
        <w:spacing w:line="360" w:lineRule="auto"/>
        <w:ind w:firstLine="480" w:firstLineChars="200"/>
        <w:rPr>
          <w:sz w:val="24"/>
          <w:szCs w:val="24"/>
        </w:rPr>
      </w:pPr>
      <w:r>
        <w:rPr>
          <w:rFonts w:hint="eastAsia"/>
          <w:sz w:val="24"/>
          <w:szCs w:val="24"/>
        </w:rPr>
        <w:t>证券投资基金是一种长期投资工具，其主要功能是分散投资，降低投资单一证券所带来的个别风险。基金投资不同于银行储蓄和债券等能够提供固定收益预期的金融工具，投资人购买基金，既可能按其持有份额分享基金投资所产生的收益，也可能承担基金投资所带来的损失。</w:t>
      </w:r>
    </w:p>
    <w:p w14:paraId="6A463E3A">
      <w:pPr>
        <w:spacing w:line="360" w:lineRule="auto"/>
        <w:ind w:firstLine="480" w:firstLineChars="200"/>
        <w:rPr>
          <w:sz w:val="24"/>
          <w:szCs w:val="24"/>
        </w:rPr>
      </w:pPr>
      <w:r>
        <w:rPr>
          <w:rFonts w:hint="eastAsia"/>
          <w:bCs/>
          <w:sz w:val="24"/>
        </w:rPr>
        <w:t>本基金为混合型基金，其预期收益及预期风险水平高于债券型基金和货币市场基金，低于股票型基金。</w:t>
      </w:r>
    </w:p>
    <w:p w14:paraId="23CE29CA">
      <w:pPr>
        <w:spacing w:line="360" w:lineRule="auto"/>
        <w:ind w:firstLine="480" w:firstLineChars="200"/>
        <w:rPr>
          <w:sz w:val="24"/>
          <w:szCs w:val="24"/>
        </w:rPr>
      </w:pPr>
      <w:r>
        <w:rPr>
          <w:rFonts w:hint="eastAsia"/>
          <w:sz w:val="24"/>
          <w:szCs w:val="24"/>
        </w:rPr>
        <w:t>本基金投资范围中包含港股通标的股票。本基金投资内地与香港股票市场交易互联互通机制</w:t>
      </w:r>
      <w:r>
        <w:rPr>
          <w:rFonts w:hint="eastAsia"/>
          <w:bCs/>
          <w:sz w:val="24"/>
        </w:rPr>
        <w:t>（以下简称“港股通机制”）</w:t>
      </w:r>
      <w:r>
        <w:rPr>
          <w:rFonts w:hint="eastAsia"/>
          <w:sz w:val="24"/>
          <w:szCs w:val="24"/>
        </w:rPr>
        <w:t>允许买卖的规定范围内的香港联合交易所上市的股票（以下简称“港股通标的股票”）的，将承担港股通机制下因投资环境、投资标的、市场制度以及交易规则等差异带来的特有风险，包括港股市场股价波动较大的风险（港股市场实行</w:t>
      </w:r>
      <w:r>
        <w:rPr>
          <w:sz w:val="24"/>
          <w:szCs w:val="24"/>
        </w:rPr>
        <w:t>T+0</w:t>
      </w:r>
      <w:r>
        <w:rPr>
          <w:rFonts w:hint="eastAsia"/>
          <w:sz w:val="24"/>
          <w:szCs w:val="24"/>
        </w:rPr>
        <w:t>回转交易，且对个股不设涨跌幅限制，港股股价可能表现出比</w:t>
      </w:r>
      <w:r>
        <w:rPr>
          <w:sz w:val="24"/>
          <w:szCs w:val="24"/>
        </w:rPr>
        <w:t>A</w:t>
      </w:r>
      <w:r>
        <w:rPr>
          <w:rFonts w:hint="eastAsia"/>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招募说明书的“风险揭示”章节的具体内容。本基金可根据投资策略需要或市场环境的变化，选择将部分基金资产投资于港股或选择不将基金资产投资于港股，基金资产并非必然投资港股。</w:t>
      </w:r>
    </w:p>
    <w:p w14:paraId="3725E162">
      <w:pPr>
        <w:spacing w:line="360" w:lineRule="auto"/>
        <w:ind w:firstLine="480" w:firstLineChars="200"/>
        <w:rPr>
          <w:sz w:val="24"/>
          <w:szCs w:val="24"/>
        </w:rPr>
      </w:pPr>
      <w:r>
        <w:rPr>
          <w:rFonts w:hint="eastAsia"/>
          <w:sz w:val="24"/>
          <w:szCs w:val="24"/>
        </w:rPr>
        <w:t>本基金的投资范围包括资产支持证券，可能面临利率风险、流动性风险、现金流预测风险等。具体内容见本招募说明书“风险揭示”章节。</w:t>
      </w:r>
    </w:p>
    <w:p w14:paraId="43442C84">
      <w:pPr>
        <w:spacing w:line="360" w:lineRule="auto"/>
        <w:ind w:firstLine="480" w:firstLineChars="200"/>
        <w:rPr>
          <w:sz w:val="24"/>
          <w:szCs w:val="24"/>
        </w:rPr>
      </w:pPr>
      <w:r>
        <w:rPr>
          <w:rFonts w:hint="eastAsia"/>
          <w:sz w:val="24"/>
          <w:szCs w:val="24"/>
        </w:rPr>
        <w:t>本基金的投资范围包括股指期货、国债期货，可能面临市场风险、流动性风险、基差风险、保证金风险、信用风险和操作风险等。具体内容见本招募说明书</w:t>
      </w:r>
      <w:r>
        <w:rPr>
          <w:sz w:val="24"/>
          <w:szCs w:val="24"/>
        </w:rPr>
        <w:t>“</w:t>
      </w:r>
      <w:r>
        <w:rPr>
          <w:rFonts w:hint="eastAsia"/>
          <w:sz w:val="24"/>
          <w:szCs w:val="24"/>
        </w:rPr>
        <w:t>风险揭示</w:t>
      </w:r>
      <w:r>
        <w:rPr>
          <w:sz w:val="24"/>
          <w:szCs w:val="24"/>
        </w:rPr>
        <w:t>”</w:t>
      </w:r>
      <w:r>
        <w:rPr>
          <w:rFonts w:hint="eastAsia"/>
          <w:sz w:val="24"/>
          <w:szCs w:val="24"/>
        </w:rPr>
        <w:t>章节。</w:t>
      </w:r>
    </w:p>
    <w:p w14:paraId="296C9B79">
      <w:pPr>
        <w:spacing w:line="360" w:lineRule="auto"/>
        <w:ind w:firstLine="480" w:firstLineChars="200"/>
        <w:rPr>
          <w:sz w:val="24"/>
          <w:szCs w:val="24"/>
        </w:rPr>
      </w:pPr>
      <w:r>
        <w:rPr>
          <w:rFonts w:hint="eastAsia"/>
          <w:sz w:val="24"/>
          <w:szCs w:val="24"/>
        </w:rPr>
        <w:t>本基金的投资范围包括存托凭证，可能面临存托凭证价格大幅波动甚至出现较大亏损的风险，以及与存托凭证发行机制相关的风险。具体内容见本招募说明书“风险揭示”章节。</w:t>
      </w:r>
    </w:p>
    <w:p w14:paraId="46952A6D">
      <w:pPr>
        <w:spacing w:line="360" w:lineRule="auto"/>
        <w:ind w:firstLine="480" w:firstLineChars="200"/>
        <w:rPr>
          <w:bCs/>
          <w:sz w:val="24"/>
        </w:rPr>
      </w:pPr>
      <w:r>
        <w:rPr>
          <w:rFonts w:hint="eastAsia"/>
          <w:bCs/>
          <w:sz w:val="24"/>
        </w:rPr>
        <w:t>本基金的投资范围包括科创板股票，可能面临科创板机制下因投资标的、市场制度以及交易规则等差异带来的特有风险，包括股价波动风险、流动性风险、退市风险和投资集中风险等。</w:t>
      </w:r>
      <w:r>
        <w:rPr>
          <w:rFonts w:hint="eastAsia"/>
          <w:sz w:val="24"/>
          <w:szCs w:val="24"/>
        </w:rPr>
        <w:t>具体内容见</w:t>
      </w:r>
      <w:r>
        <w:rPr>
          <w:rFonts w:hint="eastAsia"/>
          <w:bCs/>
          <w:sz w:val="24"/>
        </w:rPr>
        <w:t>本招募说明书</w:t>
      </w:r>
      <w:r>
        <w:rPr>
          <w:rFonts w:hint="eastAsia"/>
          <w:sz w:val="24"/>
          <w:szCs w:val="24"/>
        </w:rPr>
        <w:t>“风险揭示”章节</w:t>
      </w:r>
      <w:r>
        <w:rPr>
          <w:rFonts w:hint="eastAsia"/>
          <w:bCs/>
          <w:sz w:val="24"/>
        </w:rPr>
        <w:t>。</w:t>
      </w:r>
    </w:p>
    <w:p w14:paraId="63897DA6">
      <w:pPr>
        <w:spacing w:line="360" w:lineRule="auto"/>
        <w:ind w:firstLine="480" w:firstLineChars="200"/>
        <w:rPr>
          <w:sz w:val="24"/>
          <w:szCs w:val="24"/>
        </w:rPr>
      </w:pPr>
      <w:r>
        <w:rPr>
          <w:rFonts w:hint="eastAsia"/>
          <w:sz w:val="24"/>
          <w:szCs w:val="24"/>
        </w:rPr>
        <w:t>投资人购买本基金并不等于将资金作为存款存放在银行或存款类金融机构。投资人应当认真阅读基金合同、招募说明书和基金产品资料概要等基金法律文件，了解基金的风险收益特征，根据自身的投资目的、投资期限、投资经验、资产状况等判断基金是否和自身的风险承受能力相适应，并通过基金管理人或基金管理人委托的具有基金销售业务资格的其他机构认购（或申购）本基金。投资人在获得基金投资收益的同时，亦承担基金投资中出现的各类风险，可能包括：市场风险、信用风险、管理风险、流动性风险、操作和技术风险、合规性风险、本基金特定风险、本基金法律文件风险收益特征表述与销售机构基金风险评价可能不一致的风险以及其他风险等。</w:t>
      </w:r>
    </w:p>
    <w:p w14:paraId="2CA63248">
      <w:pPr>
        <w:spacing w:line="360" w:lineRule="auto"/>
        <w:ind w:firstLine="480" w:firstLineChars="200"/>
        <w:rPr>
          <w:sz w:val="24"/>
          <w:szCs w:val="24"/>
        </w:rPr>
      </w:pPr>
      <w:r>
        <w:rPr>
          <w:rFonts w:hint="eastAsia"/>
          <w:sz w:val="24"/>
          <w:szCs w:val="24"/>
        </w:rPr>
        <w:t>基金管理人依照恪尽职守、诚实信用、谨慎勤勉的原则管理和运用基金财产，但不保证投资于本基金一定盈利，也不保证最低收益。</w:t>
      </w:r>
    </w:p>
    <w:p w14:paraId="7EE3B9FC">
      <w:pPr>
        <w:spacing w:line="360" w:lineRule="auto"/>
        <w:ind w:firstLine="480" w:firstLineChars="200"/>
        <w:rPr>
          <w:sz w:val="24"/>
          <w:szCs w:val="24"/>
        </w:rPr>
      </w:pPr>
      <w:r>
        <w:rPr>
          <w:sz w:val="24"/>
          <w:szCs w:val="24"/>
        </w:rPr>
        <w:t>基金的过往业绩并不预示其未来表现，</w:t>
      </w:r>
      <w:r>
        <w:rPr>
          <w:rFonts w:hint="eastAsia"/>
          <w:sz w:val="24"/>
          <w:szCs w:val="24"/>
        </w:rPr>
        <w:t>基金管理人管理的其他基金的业绩并不构成对本基金业绩表现的保证。基金管理人提醒投资人注意基金投资的</w:t>
      </w:r>
      <w:r>
        <w:rPr>
          <w:sz w:val="24"/>
          <w:szCs w:val="24"/>
        </w:rPr>
        <w:t>“</w:t>
      </w:r>
      <w:r>
        <w:rPr>
          <w:rFonts w:hint="eastAsia"/>
          <w:sz w:val="24"/>
          <w:szCs w:val="24"/>
        </w:rPr>
        <w:t>买者自负</w:t>
      </w:r>
      <w:r>
        <w:rPr>
          <w:sz w:val="24"/>
          <w:szCs w:val="24"/>
        </w:rPr>
        <w:t>”</w:t>
      </w:r>
      <w:r>
        <w:rPr>
          <w:rFonts w:hint="eastAsia"/>
          <w:sz w:val="24"/>
          <w:szCs w:val="24"/>
        </w:rPr>
        <w:t>原则，在作出投资决策后，基金运营状况与基金净值变化引致的投资风险，由投资人自行负担。</w:t>
      </w:r>
    </w:p>
    <w:p w14:paraId="016303D8">
      <w:pPr>
        <w:spacing w:line="360" w:lineRule="auto"/>
        <w:ind w:firstLine="480" w:firstLineChars="200"/>
        <w:rPr>
          <w:sz w:val="24"/>
          <w:szCs w:val="24"/>
        </w:rPr>
      </w:pPr>
      <w:r>
        <w:rPr>
          <w:rFonts w:hint="eastAsia"/>
          <w:sz w:val="24"/>
          <w:szCs w:val="24"/>
        </w:rPr>
        <w:t>本基金单一投资者</w:t>
      </w:r>
      <w:r>
        <w:rPr>
          <w:rFonts w:hint="eastAsia"/>
          <w:bCs/>
          <w:sz w:val="24"/>
        </w:rPr>
        <w:t>（基金管理人、基金管理人高级管理人员或基金经理等人员作为发起资金提供方除外）</w:t>
      </w:r>
      <w:r>
        <w:rPr>
          <w:rFonts w:hint="eastAsia"/>
          <w:sz w:val="24"/>
          <w:szCs w:val="24"/>
        </w:rPr>
        <w:t>持有基金份额数不得达到或超过基金份额总数的50%，但在基金运作过程中因基金份额赎回等情形导致被动达到或超过50%的除外。</w:t>
      </w:r>
    </w:p>
    <w:p w14:paraId="4E971C5B">
      <w:pPr>
        <w:spacing w:line="360" w:lineRule="auto"/>
        <w:ind w:firstLine="480" w:firstLineChars="200"/>
        <w:rPr>
          <w:sz w:val="24"/>
          <w:szCs w:val="24"/>
        </w:rPr>
      </w:pPr>
    </w:p>
    <w:p w14:paraId="1627B351">
      <w:pPr>
        <w:spacing w:line="360" w:lineRule="auto"/>
        <w:ind w:firstLine="480" w:firstLineChars="200"/>
        <w:rPr>
          <w:bCs/>
          <w:sz w:val="24"/>
          <w:szCs w:val="24"/>
        </w:rPr>
        <w:sectPr>
          <w:headerReference r:id="rId9" w:type="first"/>
          <w:footerReference r:id="rId10" w:type="default"/>
          <w:pgSz w:w="11906" w:h="16838"/>
          <w:pgMar w:top="1440" w:right="1800" w:bottom="1440" w:left="1800" w:header="851" w:footer="992" w:gutter="0"/>
          <w:pgNumType w:start="1"/>
          <w:cols w:space="720" w:num="1"/>
          <w:docGrid w:type="lines" w:linePitch="312" w:charSpace="0"/>
        </w:sectPr>
      </w:pPr>
    </w:p>
    <w:p w14:paraId="0C16EAB8">
      <w:pPr>
        <w:spacing w:line="360" w:lineRule="auto"/>
        <w:jc w:val="center"/>
        <w:rPr>
          <w:b/>
          <w:bCs/>
          <w:sz w:val="24"/>
          <w:szCs w:val="24"/>
        </w:rPr>
      </w:pPr>
      <w:r>
        <w:rPr>
          <w:b/>
          <w:bCs/>
          <w:sz w:val="24"/>
          <w:szCs w:val="24"/>
        </w:rPr>
        <w:t>目    录</w:t>
      </w:r>
      <w:bookmarkEnd w:id="10"/>
      <w:bookmarkEnd w:id="11"/>
      <w:bookmarkEnd w:id="12"/>
      <w:bookmarkEnd w:id="13"/>
    </w:p>
    <w:p w14:paraId="66374279">
      <w:pPr>
        <w:spacing w:line="360" w:lineRule="auto"/>
        <w:ind w:firstLine="420" w:firstLineChars="200"/>
        <w:rPr>
          <w:szCs w:val="24"/>
        </w:rPr>
      </w:pPr>
      <w:bookmarkStart w:id="14" w:name="_Toc32639"/>
      <w:bookmarkStart w:id="15" w:name="_Toc4966"/>
      <w:bookmarkStart w:id="16" w:name="_Toc26897"/>
      <w:bookmarkStart w:id="17" w:name="_Toc11660"/>
      <w:bookmarkStart w:id="18" w:name="_Toc8727"/>
      <w:bookmarkStart w:id="19" w:name="_Toc139991730"/>
      <w:bookmarkStart w:id="20" w:name="_Toc29629"/>
      <w:bookmarkStart w:id="21" w:name="_Toc30935"/>
      <w:bookmarkStart w:id="22" w:name="_Toc6306"/>
      <w:bookmarkStart w:id="23" w:name="_Toc4867"/>
      <w:bookmarkStart w:id="24" w:name="_Toc15517"/>
      <w:bookmarkStart w:id="25" w:name="_Toc23386"/>
      <w:bookmarkStart w:id="26" w:name="_Toc141703880"/>
      <w:bookmarkStart w:id="27" w:name="_Toc123112229"/>
      <w:bookmarkStart w:id="28" w:name="_Toc123701389"/>
      <w:bookmarkStart w:id="29" w:name="_Toc123112268"/>
      <w:bookmarkStart w:id="30" w:name="_Toc233456271"/>
    </w:p>
    <w:p w14:paraId="70FE0D8C">
      <w:pPr>
        <w:pStyle w:val="17"/>
        <w:rPr>
          <w:rFonts w:asciiTheme="minorHAnsi" w:hAnsiTheme="minorHAnsi" w:eastAsiaTheme="minorEastAsia" w:cstheme="minorBidi"/>
          <w:sz w:val="22"/>
          <w:szCs w:val="24"/>
          <w14:ligatures w14:val="standardContextual"/>
        </w:rPr>
      </w:pPr>
      <w:r>
        <w:rPr>
          <w:sz w:val="24"/>
          <w:szCs w:val="24"/>
        </w:rPr>
        <w:fldChar w:fldCharType="begin"/>
      </w:r>
      <w:r>
        <w:rPr>
          <w:sz w:val="24"/>
          <w:szCs w:val="24"/>
        </w:rPr>
        <w:instrText xml:space="preserve"> TOC \o "1-1" \h \z \u </w:instrText>
      </w:r>
      <w:r>
        <w:rPr>
          <w:sz w:val="24"/>
          <w:szCs w:val="24"/>
        </w:rPr>
        <w:fldChar w:fldCharType="separate"/>
      </w:r>
      <w:r>
        <w:fldChar w:fldCharType="begin"/>
      </w:r>
      <w:r>
        <w:instrText xml:space="preserve"> HYPERLINK \l "_Toc216103534" </w:instrText>
      </w:r>
      <w:r>
        <w:fldChar w:fldCharType="separate"/>
      </w:r>
      <w:r>
        <w:rPr>
          <w:rStyle w:val="30"/>
          <w:rFonts w:hint="eastAsia"/>
        </w:rPr>
        <w:t>第一部分  绪言</w:t>
      </w:r>
      <w:r>
        <w:rPr>
          <w:rFonts w:hint="eastAsia"/>
        </w:rPr>
        <w:tab/>
      </w:r>
      <w:r>
        <w:rPr>
          <w:rFonts w:hint="eastAsia"/>
        </w:rPr>
        <w:fldChar w:fldCharType="begin"/>
      </w:r>
      <w:r>
        <w:rPr>
          <w:rFonts w:hint="eastAsia"/>
        </w:rPr>
        <w:instrText xml:space="preserve"> </w:instrText>
      </w:r>
      <w:r>
        <w:instrText xml:space="preserve">PAGEREF _Toc216103534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D5A9BC9">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"_Toc216103535" </w:instrText>
      </w:r>
      <w:r>
        <w:fldChar w:fldCharType="separate"/>
      </w:r>
      <w:r>
        <w:rPr>
          <w:rStyle w:val="30"/>
          <w:rFonts w:hint="eastAsia"/>
        </w:rPr>
        <w:t>第二部分  释义</w:t>
      </w:r>
      <w:r>
        <w:rPr>
          <w:rFonts w:hint="eastAsia"/>
        </w:rPr>
        <w:tab/>
      </w:r>
      <w:r>
        <w:rPr>
          <w:rFonts w:hint="eastAsia"/>
        </w:rPr>
        <w:fldChar w:fldCharType="begin"/>
      </w:r>
      <w:r>
        <w:rPr>
          <w:rFonts w:hint="eastAsia"/>
        </w:rPr>
        <w:instrText xml:space="preserve"> </w:instrText>
      </w:r>
      <w:r>
        <w:instrText xml:space="preserve">PAGEREF _Toc216103535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174575">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"_Toc216103536" </w:instrText>
      </w:r>
      <w:r>
        <w:fldChar w:fldCharType="separate"/>
      </w:r>
      <w:r>
        <w:rPr>
          <w:rStyle w:val="30"/>
          <w:rFonts w:hint="eastAsia"/>
        </w:rPr>
        <w:t>第三部分  基金管理人</w:t>
      </w:r>
      <w:r>
        <w:rPr>
          <w:rFonts w:hint="eastAsia"/>
        </w:rPr>
        <w:tab/>
      </w:r>
      <w:r>
        <w:rPr>
          <w:rFonts w:hint="eastAsia"/>
        </w:rPr>
        <w:fldChar w:fldCharType="begin"/>
      </w:r>
      <w:r>
        <w:rPr>
          <w:rFonts w:hint="eastAsia"/>
        </w:rPr>
        <w:instrText xml:space="preserve"> </w:instrText>
      </w:r>
      <w:r>
        <w:instrText xml:space="preserve">PAGEREF _Toc216103536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FD098BC">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"_Toc216103537" </w:instrText>
      </w:r>
      <w:r>
        <w:fldChar w:fldCharType="separate"/>
      </w:r>
      <w:r>
        <w:rPr>
          <w:rStyle w:val="30"/>
          <w:rFonts w:hint="eastAsia"/>
        </w:rPr>
        <w:t>第四部分  基金托管人</w:t>
      </w:r>
      <w:r>
        <w:rPr>
          <w:rFonts w:hint="eastAsia"/>
        </w:rPr>
        <w:tab/>
      </w:r>
      <w:r>
        <w:rPr>
          <w:rFonts w:hint="eastAsia"/>
        </w:rPr>
        <w:fldChar w:fldCharType="begin"/>
      </w:r>
      <w:r>
        <w:rPr>
          <w:rFonts w:hint="eastAsia"/>
        </w:rPr>
        <w:instrText xml:space="preserve"> </w:instrText>
      </w:r>
      <w:r>
        <w:instrText xml:space="preserve">PAGEREF _Toc216103537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0802841">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"_Toc216103538" </w:instrText>
      </w:r>
      <w:r>
        <w:fldChar w:fldCharType="separate"/>
      </w:r>
      <w:r>
        <w:rPr>
          <w:rStyle w:val="30"/>
          <w:rFonts w:hint="eastAsia"/>
        </w:rPr>
        <w:t>第五部分  相关服务机构</w:t>
      </w:r>
      <w:r>
        <w:rPr>
          <w:rFonts w:hint="eastAsia"/>
        </w:rPr>
        <w:tab/>
      </w:r>
      <w:r>
        <w:rPr>
          <w:rFonts w:hint="eastAsia"/>
        </w:rPr>
        <w:fldChar w:fldCharType="begin"/>
      </w:r>
      <w:r>
        <w:rPr>
          <w:rFonts w:hint="eastAsia"/>
        </w:rPr>
        <w:instrText xml:space="preserve"> </w:instrText>
      </w:r>
      <w:r>
        <w:instrText xml:space="preserve">PAGEREF _Toc216103538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7F953C25">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"_Toc216103539" </w:instrText>
      </w:r>
      <w:r>
        <w:fldChar w:fldCharType="separate"/>
      </w:r>
      <w:r>
        <w:rPr>
          <w:rStyle w:val="30"/>
          <w:rFonts w:hint="eastAsia"/>
        </w:rPr>
        <w:t>第六部分  基金的募集</w:t>
      </w:r>
      <w:r>
        <w:rPr>
          <w:rFonts w:hint="eastAsia"/>
        </w:rPr>
        <w:tab/>
      </w:r>
      <w:r>
        <w:rPr>
          <w:rFonts w:hint="eastAsia"/>
        </w:rPr>
        <w:fldChar w:fldCharType="begin"/>
      </w:r>
      <w:r>
        <w:rPr>
          <w:rFonts w:hint="eastAsia"/>
        </w:rPr>
        <w:instrText xml:space="preserve"> </w:instrText>
      </w:r>
      <w:r>
        <w:instrText xml:space="preserve">PAGEREF _Toc216103539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1B31656F">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"_Toc216103540" </w:instrText>
      </w:r>
      <w:r>
        <w:fldChar w:fldCharType="separate"/>
      </w:r>
      <w:r>
        <w:rPr>
          <w:rStyle w:val="30"/>
          <w:rFonts w:hint="eastAsia"/>
        </w:rPr>
        <w:t>第七部分  基金合同的生效</w:t>
      </w:r>
      <w:r>
        <w:rPr>
          <w:rFonts w:hint="eastAsia"/>
        </w:rPr>
        <w:tab/>
      </w:r>
      <w:r>
        <w:rPr>
          <w:rFonts w:hint="eastAsia"/>
        </w:rPr>
        <w:fldChar w:fldCharType="begin"/>
      </w:r>
      <w:r>
        <w:rPr>
          <w:rFonts w:hint="eastAsia"/>
        </w:rPr>
        <w:instrText xml:space="preserve"> </w:instrText>
      </w:r>
      <w:r>
        <w:instrText xml:space="preserve">PAGEREF _Toc216103540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510D0EE4">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"_Toc216103541" </w:instrText>
      </w:r>
      <w:r>
        <w:fldChar w:fldCharType="separate"/>
      </w:r>
      <w:r>
        <w:rPr>
          <w:rStyle w:val="30"/>
          <w:rFonts w:hint="eastAsia"/>
        </w:rPr>
        <w:t>第八部分  基金份额的申购与赎回</w:t>
      </w:r>
      <w:r>
        <w:rPr>
          <w:rFonts w:hint="eastAsia"/>
        </w:rPr>
        <w:tab/>
      </w:r>
      <w:r>
        <w:rPr>
          <w:rFonts w:hint="eastAsia"/>
        </w:rPr>
        <w:fldChar w:fldCharType="begin"/>
      </w:r>
      <w:r>
        <w:rPr>
          <w:rFonts w:hint="eastAsia"/>
        </w:rPr>
        <w:instrText xml:space="preserve"> </w:instrText>
      </w:r>
      <w:r>
        <w:instrText xml:space="preserve">PAGEREF _Toc216103541 \h</w:instrText>
      </w:r>
      <w:r>
        <w:rPr>
          <w:rFonts w:hint="eastAsia"/>
        </w:rPr>
        <w:instrText xml:space="preserve"> </w:instrText>
      </w:r>
      <w:r>
        <w:rPr>
          <w:rFonts w:hint="eastAsia"/>
        </w:rPr>
        <w:fldChar w:fldCharType="separate"/>
      </w:r>
      <w:r>
        <w:t>35</w:t>
      </w:r>
      <w:r>
        <w:rPr>
          <w:rFonts w:hint="eastAsia"/>
        </w:rPr>
        <w:fldChar w:fldCharType="end"/>
      </w:r>
      <w:r>
        <w:rPr>
          <w:rFonts w:hint="eastAsia"/>
        </w:rPr>
        <w:fldChar w:fldCharType="end"/>
      </w:r>
    </w:p>
    <w:p w14:paraId="7D012A2D">
      <w:pPr>
        <w:pStyle w:val="17"/>
        <w:rPr>
          <w:rFonts w:asciiTheme="minorHAnsi" w:hAnsiTheme="minorHAnsi" w:eastAsiaTheme="minorEastAsia" w:cstheme="minorBidi"/>
          <w:sz w:val="22"/>
          <w:szCs w:val="24"/>
          <w14:ligatures w14:val="standardContextual"/>
        </w:rPr>
      </w:pPr>
      <w:r>
        <w:fldChar w:fldCharType="begin"/>
      </w:r>
      <w:r>
        <w:instrText xml:space="preserve"> HYPERLINK \l "_Toc216103542" </w:instrText>
      </w:r>
      <w:r>
        <w:fldChar w:fldCharType="separate"/>
      </w:r>
      <w:r>
        <w:rPr>
          <w:rStyle w:val="30"/>
          <w:rFonts w:hint="eastAsia"/>
        </w:rPr>
        <w:t>第九部分  基金的投资</w:t>
      </w:r>
      <w:r>
        <w:rPr>
          <w:rFonts w:hint="eastAsia"/>
        </w:rPr>
        <w:tab/>
      </w:r>
      <w:r>
        <w:rPr>
          <w:rFonts w:hint="eastAsia"/>
        </w:rPr>
        <w:fldChar w:fldCharType="begin"/>
      </w:r>
      <w:r>
        <w:rPr>
          <w:rFonts w:hint="eastAsia"/>
        </w:rPr>
        <w:instrText xml:space="preserve"> </w:instrText>
      </w:r>
      <w:r>
        <w:instrText xml:space="preserve">PAGEREF _Toc216103542 \h</w:instrText>
      </w:r>
      <w:r>
        <w:rPr>
          <w:rFonts w:hint="eastAsia"/>
        </w:rPr>
        <w:instrText xml:space="preserve"> </w:instrText>
      </w:r>
      <w:r>
        <w:rPr>
          <w:rFonts w:hint="eastAsia"/>
        </w:rPr>
        <w:fldChar w:fldCharType="separate"/>
      </w:r>
      <w:r>
        <w:t>48</w:t>
      </w:r>
      <w:r>
        <w:rPr>
          <w:rFonts w:hint="eastAsia"/>
        </w:rPr>
        <w:fldChar w:fldCharType="end"/>
      </w:r>
      <w:r>
        <w:rPr>
          <w:rFonts w:hint="eastAsia"/>
        </w:rPr>
        <w:fldChar w:fldCharType="end"/>
      </w:r>
    </w:p>
    <w:p w14:paraId="30BBE906">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"_Toc216103543"</w:instrText>
      </w:r>
      <w:r>
        <w:fldChar w:fldCharType="separate"/>
      </w:r>
      <w:r>
        <w:rPr>
          <w:rStyle w:val="30"/>
          <w:rFonts w:hint="eastAsia"/>
        </w:rPr>
        <w:t>第十部分  基金的财产</w:t>
      </w:r>
      <w:r>
        <w:rPr>
          <w:rFonts w:hint="eastAsia"/>
        </w:rPr>
        <w:tab/>
      </w:r>
      <w:r>
        <w:rPr>
          <w:rFonts w:hint="eastAsia"/>
        </w:rPr>
        <w:fldChar w:fldCharType="begin"/>
      </w:r>
      <w:r>
        <w:rPr>
          <w:rFonts w:hint="eastAsia"/>
        </w:rPr>
        <w:instrText xml:space="preserve"> </w:instrText>
      </w:r>
      <w:r>
        <w:instrText xml:space="preserve">PAGEREF _Toc216103543 \h</w:instrText>
      </w:r>
      <w:r>
        <w:rPr>
          <w:rFonts w:hint="eastAsia"/>
        </w:rPr>
        <w:instrText xml:space="preserve"> </w:instrText>
      </w:r>
      <w:r>
        <w:rPr>
          <w:rFonts w:hint="eastAsia"/>
        </w:rPr>
        <w:fldChar w:fldCharType="separate"/>
      </w:r>
      <w:r>
        <w:t>60</w:t>
      </w:r>
      <w:r>
        <w:rPr>
          <w:rFonts w:hint="eastAsia"/>
        </w:rPr>
        <w:fldChar w:fldCharType="end"/>
      </w:r>
      <w:r>
        <w:fldChar w:fldCharType="end"/>
      </w:r>
    </w:p>
    <w:p w14:paraId="33E75B94">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"_Toc216103544"</w:instrText>
      </w:r>
      <w:r>
        <w:fldChar w:fldCharType="separate"/>
      </w:r>
      <w:r>
        <w:rPr>
          <w:rStyle w:val="30"/>
          <w:rFonts w:hint="eastAsia"/>
        </w:rPr>
        <w:t>第十一部分  基金资产的估值</w:t>
      </w:r>
      <w:r>
        <w:rPr>
          <w:rFonts w:hint="eastAsia"/>
        </w:rPr>
        <w:tab/>
      </w:r>
      <w:r>
        <w:rPr>
          <w:rFonts w:hint="eastAsia"/>
        </w:rPr>
        <w:fldChar w:fldCharType="begin"/>
      </w:r>
      <w:r>
        <w:rPr>
          <w:rFonts w:hint="eastAsia"/>
        </w:rPr>
        <w:instrText xml:space="preserve"> </w:instrText>
      </w:r>
      <w:r>
        <w:instrText xml:space="preserve">PAGEREF _Toc216103544 \h</w:instrText>
      </w:r>
      <w:r>
        <w:rPr>
          <w:rFonts w:hint="eastAsia"/>
        </w:rPr>
        <w:instrText xml:space="preserve"> </w:instrText>
      </w:r>
      <w:r>
        <w:rPr>
          <w:rFonts w:hint="eastAsia"/>
        </w:rPr>
        <w:fldChar w:fldCharType="separate"/>
      </w:r>
      <w:r>
        <w:t>61</w:t>
      </w:r>
      <w:r>
        <w:rPr>
          <w:rFonts w:hint="eastAsia"/>
        </w:rPr>
        <w:fldChar w:fldCharType="end"/>
      </w:r>
      <w:r>
        <w:fldChar w:fldCharType="end"/>
      </w:r>
    </w:p>
    <w:p w14:paraId="4DB112C8">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"_Toc216103545"</w:instrText>
      </w:r>
      <w:r>
        <w:fldChar w:fldCharType="separate"/>
      </w:r>
      <w:r>
        <w:rPr>
          <w:rStyle w:val="30"/>
          <w:rFonts w:hint="eastAsia"/>
        </w:rPr>
        <w:t>第十二部分  基金的收益与分配</w:t>
      </w:r>
      <w:r>
        <w:rPr>
          <w:rFonts w:hint="eastAsia"/>
        </w:rPr>
        <w:tab/>
      </w:r>
      <w:r>
        <w:rPr>
          <w:rFonts w:hint="eastAsia"/>
        </w:rPr>
        <w:fldChar w:fldCharType="begin"/>
      </w:r>
      <w:r>
        <w:rPr>
          <w:rFonts w:hint="eastAsia"/>
        </w:rPr>
        <w:instrText xml:space="preserve"> </w:instrText>
      </w:r>
      <w:r>
        <w:instrText xml:space="preserve">PAGEREF _Toc216103545 \h</w:instrText>
      </w:r>
      <w:r>
        <w:rPr>
          <w:rFonts w:hint="eastAsia"/>
        </w:rPr>
        <w:instrText xml:space="preserve"> </w:instrText>
      </w:r>
      <w:r>
        <w:rPr>
          <w:rFonts w:hint="eastAsia"/>
        </w:rPr>
        <w:fldChar w:fldCharType="separate"/>
      </w:r>
      <w:r>
        <w:t>68</w:t>
      </w:r>
      <w:r>
        <w:rPr>
          <w:rFonts w:hint="eastAsia"/>
        </w:rPr>
        <w:fldChar w:fldCharType="end"/>
      </w:r>
      <w:r>
        <w:fldChar w:fldCharType="end"/>
      </w:r>
    </w:p>
    <w:p w14:paraId="1D2A7094">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"_Toc216103546"</w:instrText>
      </w:r>
      <w:r>
        <w:fldChar w:fldCharType="separate"/>
      </w:r>
      <w:r>
        <w:rPr>
          <w:rStyle w:val="30"/>
          <w:rFonts w:hint="eastAsia"/>
        </w:rPr>
        <w:t>第十三部分  基金的费用与税收</w:t>
      </w:r>
      <w:r>
        <w:rPr>
          <w:rFonts w:hint="eastAsia"/>
        </w:rPr>
        <w:tab/>
      </w:r>
      <w:r>
        <w:rPr>
          <w:rFonts w:hint="eastAsia"/>
        </w:rPr>
        <w:fldChar w:fldCharType="begin"/>
      </w:r>
      <w:r>
        <w:rPr>
          <w:rFonts w:hint="eastAsia"/>
        </w:rPr>
        <w:instrText xml:space="preserve"> </w:instrText>
      </w:r>
      <w:r>
        <w:instrText xml:space="preserve">PAGEREF _Toc216103546 \h</w:instrText>
      </w:r>
      <w:r>
        <w:rPr>
          <w:rFonts w:hint="eastAsia"/>
        </w:rPr>
        <w:instrText xml:space="preserve"> </w:instrText>
      </w:r>
      <w:r>
        <w:rPr>
          <w:rFonts w:hint="eastAsia"/>
        </w:rPr>
        <w:fldChar w:fldCharType="separate"/>
      </w:r>
      <w:r>
        <w:t>70</w:t>
      </w:r>
      <w:r>
        <w:rPr>
          <w:rFonts w:hint="eastAsia"/>
        </w:rPr>
        <w:fldChar w:fldCharType="end"/>
      </w:r>
      <w:r>
        <w:fldChar w:fldCharType="end"/>
      </w:r>
    </w:p>
    <w:p w14:paraId="002DA327">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"_Toc216103547"</w:instrText>
      </w:r>
      <w:r>
        <w:fldChar w:fldCharType="separate"/>
      </w:r>
      <w:r>
        <w:rPr>
          <w:rStyle w:val="30"/>
          <w:rFonts w:hint="eastAsia"/>
        </w:rPr>
        <w:t>第十四部分  基金的会计与审计</w:t>
      </w:r>
      <w:r>
        <w:rPr>
          <w:rFonts w:hint="eastAsia"/>
        </w:rPr>
        <w:tab/>
      </w:r>
      <w:r>
        <w:rPr>
          <w:rFonts w:hint="eastAsia"/>
        </w:rPr>
        <w:fldChar w:fldCharType="begin"/>
      </w:r>
      <w:r>
        <w:rPr>
          <w:rFonts w:hint="eastAsia"/>
        </w:rPr>
        <w:instrText xml:space="preserve"> </w:instrText>
      </w:r>
      <w:r>
        <w:instrText xml:space="preserve">PAGEREF _Toc216103547 \h</w:instrText>
      </w:r>
      <w:r>
        <w:rPr>
          <w:rFonts w:hint="eastAsia"/>
        </w:rPr>
        <w:instrText xml:space="preserve"> </w:instrText>
      </w:r>
      <w:r>
        <w:rPr>
          <w:rFonts w:hint="eastAsia"/>
        </w:rPr>
        <w:fldChar w:fldCharType="separate"/>
      </w:r>
      <w:r>
        <w:t>73</w:t>
      </w:r>
      <w:r>
        <w:rPr>
          <w:rFonts w:hint="eastAsia"/>
        </w:rPr>
        <w:fldChar w:fldCharType="end"/>
      </w:r>
      <w:r>
        <w:fldChar w:fldCharType="end"/>
      </w:r>
    </w:p>
    <w:p w14:paraId="71D8CA49">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"_Toc216103548"</w:instrText>
      </w:r>
      <w:r>
        <w:fldChar w:fldCharType="separate"/>
      </w:r>
      <w:r>
        <w:rPr>
          <w:rStyle w:val="30"/>
          <w:rFonts w:hint="eastAsia"/>
        </w:rPr>
        <w:t>第十五部分  基金的信息披露</w:t>
      </w:r>
      <w:r>
        <w:rPr>
          <w:rFonts w:hint="eastAsia"/>
        </w:rPr>
        <w:tab/>
      </w:r>
      <w:r>
        <w:rPr>
          <w:rFonts w:hint="eastAsia"/>
        </w:rPr>
        <w:fldChar w:fldCharType="begin"/>
      </w:r>
      <w:r>
        <w:rPr>
          <w:rFonts w:hint="eastAsia"/>
        </w:rPr>
        <w:instrText xml:space="preserve"> </w:instrText>
      </w:r>
      <w:r>
        <w:instrText xml:space="preserve">PAGEREF _Toc216103548 \h</w:instrText>
      </w:r>
      <w:r>
        <w:rPr>
          <w:rFonts w:hint="eastAsia"/>
        </w:rPr>
        <w:instrText xml:space="preserve"> </w:instrText>
      </w:r>
      <w:r>
        <w:rPr>
          <w:rFonts w:hint="eastAsia"/>
        </w:rPr>
        <w:fldChar w:fldCharType="separate"/>
      </w:r>
      <w:r>
        <w:t>74</w:t>
      </w:r>
      <w:r>
        <w:rPr>
          <w:rFonts w:hint="eastAsia"/>
        </w:rPr>
        <w:fldChar w:fldCharType="end"/>
      </w:r>
      <w:r>
        <w:fldChar w:fldCharType="end"/>
      </w:r>
    </w:p>
    <w:p w14:paraId="24D5386D">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"_Toc216103549"</w:instrText>
      </w:r>
      <w:r>
        <w:fldChar w:fldCharType="separate"/>
      </w:r>
      <w:r>
        <w:rPr>
          <w:rStyle w:val="30"/>
          <w:rFonts w:hint="eastAsia"/>
          <w:kern w:val="44"/>
        </w:rPr>
        <w:t>第十六部分  侧袋机制</w:t>
      </w:r>
      <w:r>
        <w:rPr>
          <w:rFonts w:hint="eastAsia"/>
        </w:rPr>
        <w:tab/>
      </w:r>
      <w:r>
        <w:rPr>
          <w:rFonts w:hint="eastAsia"/>
        </w:rPr>
        <w:fldChar w:fldCharType="begin"/>
      </w:r>
      <w:r>
        <w:rPr>
          <w:rFonts w:hint="eastAsia"/>
        </w:rPr>
        <w:instrText xml:space="preserve"> </w:instrText>
      </w:r>
      <w:r>
        <w:instrText xml:space="preserve">PAGEREF _Toc216103549 \h</w:instrText>
      </w:r>
      <w:r>
        <w:rPr>
          <w:rFonts w:hint="eastAsia"/>
        </w:rPr>
        <w:instrText xml:space="preserve"> </w:instrText>
      </w:r>
      <w:r>
        <w:rPr>
          <w:rFonts w:hint="eastAsia"/>
        </w:rPr>
        <w:fldChar w:fldCharType="separate"/>
      </w:r>
      <w:r>
        <w:t>81</w:t>
      </w:r>
      <w:r>
        <w:rPr>
          <w:rFonts w:hint="eastAsia"/>
        </w:rPr>
        <w:fldChar w:fldCharType="end"/>
      </w:r>
      <w:r>
        <w:fldChar w:fldCharType="end"/>
      </w:r>
    </w:p>
    <w:p w14:paraId="22E270A9">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"_Toc216103550"</w:instrText>
      </w:r>
      <w:r>
        <w:fldChar w:fldCharType="separate"/>
      </w:r>
      <w:r>
        <w:rPr>
          <w:rStyle w:val="30"/>
          <w:rFonts w:hint="eastAsia"/>
        </w:rPr>
        <w:t>第十七部分  风险揭示</w:t>
      </w:r>
      <w:r>
        <w:rPr>
          <w:rFonts w:hint="eastAsia"/>
        </w:rPr>
        <w:tab/>
      </w:r>
      <w:r>
        <w:rPr>
          <w:rFonts w:hint="eastAsia"/>
        </w:rPr>
        <w:fldChar w:fldCharType="begin"/>
      </w:r>
      <w:r>
        <w:rPr>
          <w:rFonts w:hint="eastAsia"/>
        </w:rPr>
        <w:instrText xml:space="preserve"> </w:instrText>
      </w:r>
      <w:r>
        <w:instrText xml:space="preserve">PAGEREF _Toc216103550 \h</w:instrText>
      </w:r>
      <w:r>
        <w:rPr>
          <w:rFonts w:hint="eastAsia"/>
        </w:rPr>
        <w:instrText xml:space="preserve"> </w:instrText>
      </w:r>
      <w:r>
        <w:rPr>
          <w:rFonts w:hint="eastAsia"/>
        </w:rPr>
        <w:fldChar w:fldCharType="separate"/>
      </w:r>
      <w:r>
        <w:t>84</w:t>
      </w:r>
      <w:r>
        <w:rPr>
          <w:rFonts w:hint="eastAsia"/>
        </w:rPr>
        <w:fldChar w:fldCharType="end"/>
      </w:r>
      <w:r>
        <w:fldChar w:fldCharType="end"/>
      </w:r>
    </w:p>
    <w:p w14:paraId="6408CCAC">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"_Toc216103551"</w:instrText>
      </w:r>
      <w:r>
        <w:fldChar w:fldCharType="separate"/>
      </w:r>
      <w:r>
        <w:rPr>
          <w:rStyle w:val="30"/>
          <w:rFonts w:hint="eastAsia"/>
        </w:rPr>
        <w:t>第十八部分  基金合同的变更、终止与基金财产的清算</w:t>
      </w:r>
      <w:r>
        <w:rPr>
          <w:rFonts w:hint="eastAsia"/>
        </w:rPr>
        <w:tab/>
      </w:r>
      <w:r>
        <w:rPr>
          <w:rFonts w:hint="eastAsia"/>
        </w:rPr>
        <w:fldChar w:fldCharType="begin"/>
      </w:r>
      <w:r>
        <w:rPr>
          <w:rFonts w:hint="eastAsia"/>
        </w:rPr>
        <w:instrText xml:space="preserve"> </w:instrText>
      </w:r>
      <w:r>
        <w:instrText xml:space="preserve">PAGEREF _Toc216103551 \h</w:instrText>
      </w:r>
      <w:r>
        <w:rPr>
          <w:rFonts w:hint="eastAsia"/>
        </w:rPr>
        <w:instrText xml:space="preserve"> </w:instrText>
      </w:r>
      <w:r>
        <w:rPr>
          <w:rFonts w:hint="eastAsia"/>
        </w:rPr>
        <w:fldChar w:fldCharType="separate"/>
      </w:r>
      <w:r>
        <w:t>97</w:t>
      </w:r>
      <w:r>
        <w:rPr>
          <w:rFonts w:hint="eastAsia"/>
        </w:rPr>
        <w:fldChar w:fldCharType="end"/>
      </w:r>
      <w:r>
        <w:fldChar w:fldCharType="end"/>
      </w:r>
    </w:p>
    <w:p w14:paraId="40A0D50D">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"_Toc216103552"</w:instrText>
      </w:r>
      <w:r>
        <w:fldChar w:fldCharType="separate"/>
      </w:r>
      <w:r>
        <w:rPr>
          <w:rStyle w:val="30"/>
          <w:rFonts w:hint="eastAsia"/>
        </w:rPr>
        <w:t>第十九部分  基金合同的内容摘要</w:t>
      </w:r>
      <w:r>
        <w:rPr>
          <w:rFonts w:hint="eastAsia"/>
        </w:rPr>
        <w:tab/>
      </w:r>
      <w:r>
        <w:rPr>
          <w:rFonts w:hint="eastAsia"/>
        </w:rPr>
        <w:fldChar w:fldCharType="begin"/>
      </w:r>
      <w:r>
        <w:rPr>
          <w:rFonts w:hint="eastAsia"/>
        </w:rPr>
        <w:instrText xml:space="preserve"> </w:instrText>
      </w:r>
      <w:r>
        <w:instrText xml:space="preserve">PAGEREF _Toc216103552 \h</w:instrText>
      </w:r>
      <w:r>
        <w:rPr>
          <w:rFonts w:hint="eastAsia"/>
        </w:rPr>
        <w:instrText xml:space="preserve"> </w:instrText>
      </w:r>
      <w:r>
        <w:rPr>
          <w:rFonts w:hint="eastAsia"/>
        </w:rPr>
        <w:fldChar w:fldCharType="separate"/>
      </w:r>
      <w:r>
        <w:t>99</w:t>
      </w:r>
      <w:r>
        <w:rPr>
          <w:rFonts w:hint="eastAsia"/>
        </w:rPr>
        <w:fldChar w:fldCharType="end"/>
      </w:r>
      <w:r>
        <w:fldChar w:fldCharType="end"/>
      </w:r>
    </w:p>
    <w:p w14:paraId="751A2325">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"_Toc216103553"</w:instrText>
      </w:r>
      <w:r>
        <w:fldChar w:fldCharType="separate"/>
      </w:r>
      <w:r>
        <w:rPr>
          <w:rStyle w:val="30"/>
          <w:rFonts w:hint="eastAsia"/>
        </w:rPr>
        <w:t>第二十部分  基金托管协议的内容摘要</w:t>
      </w:r>
      <w:r>
        <w:rPr>
          <w:rFonts w:hint="eastAsia"/>
        </w:rPr>
        <w:tab/>
      </w:r>
      <w:r>
        <w:rPr>
          <w:rFonts w:hint="eastAsia"/>
        </w:rPr>
        <w:fldChar w:fldCharType="begin"/>
      </w:r>
      <w:r>
        <w:rPr>
          <w:rFonts w:hint="eastAsia"/>
        </w:rPr>
        <w:instrText xml:space="preserve"> </w:instrText>
      </w:r>
      <w:r>
        <w:instrText xml:space="preserve">PAGEREF _Toc216103553 \h</w:instrText>
      </w:r>
      <w:r>
        <w:rPr>
          <w:rFonts w:hint="eastAsia"/>
        </w:rPr>
        <w:instrText xml:space="preserve"> </w:instrText>
      </w:r>
      <w:r>
        <w:rPr>
          <w:rFonts w:hint="eastAsia"/>
        </w:rPr>
        <w:fldChar w:fldCharType="separate"/>
      </w:r>
      <w:r>
        <w:t>116</w:t>
      </w:r>
      <w:r>
        <w:rPr>
          <w:rFonts w:hint="eastAsia"/>
        </w:rPr>
        <w:fldChar w:fldCharType="end"/>
      </w:r>
      <w:r>
        <w:fldChar w:fldCharType="end"/>
      </w:r>
    </w:p>
    <w:p w14:paraId="06C330F7">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"_Toc216103554"</w:instrText>
      </w:r>
      <w:r>
        <w:fldChar w:fldCharType="separate"/>
      </w:r>
      <w:r>
        <w:rPr>
          <w:rStyle w:val="30"/>
          <w:rFonts w:hint="eastAsia"/>
        </w:rPr>
        <w:t>第二十一部分  对基金份额持有人的服务</w:t>
      </w:r>
      <w:r>
        <w:rPr>
          <w:rFonts w:hint="eastAsia"/>
        </w:rPr>
        <w:tab/>
      </w:r>
      <w:r>
        <w:rPr>
          <w:rFonts w:hint="eastAsia"/>
        </w:rPr>
        <w:fldChar w:fldCharType="begin"/>
      </w:r>
      <w:r>
        <w:rPr>
          <w:rFonts w:hint="eastAsia"/>
        </w:rPr>
        <w:instrText xml:space="preserve"> </w:instrText>
      </w:r>
      <w:r>
        <w:instrText xml:space="preserve">PAGEREF _Toc216103554 \h</w:instrText>
      </w:r>
      <w:r>
        <w:rPr>
          <w:rFonts w:hint="eastAsia"/>
        </w:rPr>
        <w:instrText xml:space="preserve"> </w:instrText>
      </w:r>
      <w:r>
        <w:rPr>
          <w:rFonts w:hint="eastAsia"/>
        </w:rPr>
        <w:fldChar w:fldCharType="separate"/>
      </w:r>
      <w:r>
        <w:t>134</w:t>
      </w:r>
      <w:r>
        <w:rPr>
          <w:rFonts w:hint="eastAsia"/>
        </w:rPr>
        <w:fldChar w:fldCharType="end"/>
      </w:r>
      <w:r>
        <w:fldChar w:fldCharType="end"/>
      </w:r>
    </w:p>
    <w:p w14:paraId="093A2436">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"_Toc216103555"</w:instrText>
      </w:r>
      <w:r>
        <w:fldChar w:fldCharType="separate"/>
      </w:r>
      <w:r>
        <w:rPr>
          <w:rStyle w:val="30"/>
          <w:rFonts w:hint="eastAsia"/>
        </w:rPr>
        <w:t>第二十二部分  招募说明书的存放及查阅方式</w:t>
      </w:r>
      <w:r>
        <w:rPr>
          <w:rFonts w:hint="eastAsia"/>
        </w:rPr>
        <w:tab/>
      </w:r>
      <w:r>
        <w:rPr>
          <w:rFonts w:hint="eastAsia"/>
        </w:rPr>
        <w:fldChar w:fldCharType="begin"/>
      </w:r>
      <w:r>
        <w:rPr>
          <w:rFonts w:hint="eastAsia"/>
        </w:rPr>
        <w:instrText xml:space="preserve"> </w:instrText>
      </w:r>
      <w:r>
        <w:instrText xml:space="preserve">PAGEREF _Toc216103555 \h</w:instrText>
      </w:r>
      <w:r>
        <w:rPr>
          <w:rFonts w:hint="eastAsia"/>
        </w:rPr>
        <w:instrText xml:space="preserve"> </w:instrText>
      </w:r>
      <w:r>
        <w:rPr>
          <w:rFonts w:hint="eastAsia"/>
        </w:rPr>
        <w:fldChar w:fldCharType="separate"/>
      </w:r>
      <w:r>
        <w:t>136</w:t>
      </w:r>
      <w:r>
        <w:rPr>
          <w:rFonts w:hint="eastAsia"/>
        </w:rPr>
        <w:fldChar w:fldCharType="end"/>
      </w:r>
      <w:r>
        <w:fldChar w:fldCharType="end"/>
      </w:r>
    </w:p>
    <w:p w14:paraId="168BF31A">
      <w:pPr>
        <w:pStyle w:val="17"/>
        <w:rPr>
          <w:rFonts w:asciiTheme="minorHAnsi" w:hAnsiTheme="minorHAnsi" w:eastAsiaTheme="minorEastAsia" w:cstheme="minorBidi"/>
          <w:sz w:val="22"/>
          <w:szCs w:val="24"/>
          <w14:ligatures w14:val="standardContextual"/>
        </w:rPr>
      </w:pPr>
      <w:r>
        <w:fldChar w:fldCharType="begin"/>
      </w:r>
      <w:r>
        <w:instrText xml:space="preserve">HYPERLINK \l "_Toc216103556"</w:instrText>
      </w:r>
      <w:r>
        <w:fldChar w:fldCharType="separate"/>
      </w:r>
      <w:r>
        <w:rPr>
          <w:rStyle w:val="30"/>
          <w:rFonts w:hint="eastAsia"/>
          <w:bCs/>
        </w:rPr>
        <w:t>第二十三部分  备查文件</w:t>
      </w:r>
      <w:r>
        <w:rPr>
          <w:rFonts w:hint="eastAsia"/>
        </w:rPr>
        <w:tab/>
      </w:r>
      <w:r>
        <w:rPr>
          <w:rFonts w:hint="eastAsia"/>
        </w:rPr>
        <w:fldChar w:fldCharType="begin"/>
      </w:r>
      <w:r>
        <w:rPr>
          <w:rFonts w:hint="eastAsia"/>
        </w:rPr>
        <w:instrText xml:space="preserve"> </w:instrText>
      </w:r>
      <w:r>
        <w:instrText xml:space="preserve">PAGEREF _Toc216103556 \h</w:instrText>
      </w:r>
      <w:r>
        <w:rPr>
          <w:rFonts w:hint="eastAsia"/>
        </w:rPr>
        <w:instrText xml:space="preserve"> </w:instrText>
      </w:r>
      <w:r>
        <w:rPr>
          <w:rFonts w:hint="eastAsia"/>
        </w:rPr>
        <w:fldChar w:fldCharType="separate"/>
      </w:r>
      <w:r>
        <w:t>137</w:t>
      </w:r>
      <w:r>
        <w:rPr>
          <w:rFonts w:hint="eastAsia"/>
        </w:rPr>
        <w:fldChar w:fldCharType="end"/>
      </w:r>
      <w:r>
        <w:fldChar w:fldCharType="end"/>
      </w:r>
    </w:p>
    <w:p w14:paraId="11F9EADD">
      <w:pPr>
        <w:spacing w:line="360" w:lineRule="auto"/>
        <w:rPr>
          <w:sz w:val="24"/>
          <w:szCs w:val="24"/>
        </w:rPr>
        <w:sectPr>
          <w:footerReference r:id="rId11" w:type="default"/>
          <w:pgSz w:w="11906" w:h="16838"/>
          <w:pgMar w:top="1440" w:right="1800" w:bottom="1440" w:left="1800" w:header="851" w:footer="992" w:gutter="0"/>
          <w:pgNumType w:start="1"/>
          <w:cols w:space="720" w:num="1"/>
          <w:docGrid w:type="lines" w:linePitch="312" w:charSpace="0"/>
        </w:sectPr>
      </w:pPr>
      <w:r>
        <w:rPr>
          <w:sz w:val="24"/>
          <w:szCs w:val="24"/>
        </w:rPr>
        <w:fldChar w:fldCharType="end"/>
      </w:r>
    </w:p>
    <w:p w14:paraId="3BB3DF86">
      <w:pPr>
        <w:pStyle w:val="2"/>
        <w:spacing w:before="0" w:after="0"/>
        <w:jc w:val="center"/>
        <w:rPr>
          <w:rFonts w:ascii="Times New Roman"/>
          <w:color w:val="auto"/>
          <w:szCs w:val="24"/>
        </w:rPr>
      </w:pPr>
      <w:bookmarkStart w:id="31" w:name="_Toc345339056"/>
      <w:bookmarkStart w:id="32" w:name="_Toc48032538"/>
      <w:bookmarkStart w:id="33" w:name="_Toc326752125"/>
      <w:bookmarkStart w:id="34" w:name="_Toc216103534"/>
      <w:r>
        <w:rPr>
          <w:rFonts w:ascii="Times New Roman"/>
          <w:color w:val="auto"/>
          <w:szCs w:val="24"/>
        </w:rPr>
        <w:t xml:space="preserve">第一部分  </w:t>
      </w:r>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Times New Roman"/>
          <w:color w:val="auto"/>
          <w:szCs w:val="24"/>
        </w:rPr>
        <w:t>绪</w:t>
      </w:r>
      <w:r>
        <w:rPr>
          <w:rFonts w:ascii="Times New Roman"/>
          <w:color w:val="auto"/>
          <w:szCs w:val="24"/>
        </w:rPr>
        <w:t>言</w:t>
      </w:r>
      <w:bookmarkEnd w:id="31"/>
      <w:bookmarkEnd w:id="32"/>
      <w:bookmarkEnd w:id="33"/>
      <w:bookmarkEnd w:id="34"/>
    </w:p>
    <w:p w14:paraId="7E92FD34">
      <w:pPr>
        <w:spacing w:line="360" w:lineRule="auto"/>
        <w:rPr>
          <w:bCs/>
          <w:sz w:val="24"/>
          <w:szCs w:val="24"/>
        </w:rPr>
      </w:pPr>
      <w:bookmarkStart w:id="35" w:name="_Toc139991731"/>
    </w:p>
    <w:bookmarkEnd w:id="27"/>
    <w:bookmarkEnd w:id="28"/>
    <w:bookmarkEnd w:id="29"/>
    <w:bookmarkEnd w:id="35"/>
    <w:p w14:paraId="6808B8D0">
      <w:pPr>
        <w:spacing w:line="360" w:lineRule="auto"/>
        <w:ind w:firstLine="480" w:firstLineChars="200"/>
        <w:rPr>
          <w:sz w:val="24"/>
          <w:szCs w:val="24"/>
        </w:rPr>
      </w:pPr>
      <w:bookmarkStart w:id="36" w:name="_Toc258829399"/>
      <w:r>
        <w:rPr>
          <w:rFonts w:hint="eastAsia"/>
          <w:sz w:val="24"/>
          <w:szCs w:val="24"/>
        </w:rPr>
        <w:t>本招募说明书依据《中华人民共和国民法典》、《中华人民共和国证券投资基金法》（以下简称“《基金法》”）、《公开募集证券投资基金信息披露管理办法》（以下简称“《信息披露办法》”）、《公开募集证券投资基金运作管理办法》（以下简称“《运作办法》”）、《</w:t>
      </w:r>
      <w:r>
        <w:rPr>
          <w:bCs/>
          <w:sz w:val="24"/>
        </w:rPr>
        <w:t>公开募集证券投资基金销售机构监督管理办法</w:t>
      </w:r>
      <w:r>
        <w:rPr>
          <w:rFonts w:hint="eastAsia"/>
          <w:sz w:val="24"/>
          <w:szCs w:val="24"/>
        </w:rPr>
        <w:t>》（以下简称“《销售办法》”）、《公开募集开放式证券投资基金流动性风险管理规定》（以下简称“《流动性风险管理规定》”）等有关法律法规及《融通新材料混合型发起式证券投资基金基金合同》（以下简称“基金合同”或“《基金合同》”）编写。</w:t>
      </w:r>
    </w:p>
    <w:p w14:paraId="31A6E665">
      <w:pPr>
        <w:spacing w:line="360" w:lineRule="auto"/>
        <w:ind w:firstLine="480" w:firstLineChars="200"/>
        <w:rPr>
          <w:sz w:val="24"/>
          <w:szCs w:val="24"/>
        </w:rPr>
      </w:pPr>
      <w:r>
        <w:rPr>
          <w:rFonts w:hint="eastAsia"/>
          <w:sz w:val="24"/>
          <w:szCs w:val="24"/>
        </w:rPr>
        <w:t>本招募说明书阐述了融通新材料混合型发起式证券投资基金（以下简称“本基金”或“基金”）的投资目标、策略、风险、费率等与投资人投资决策有关的全部必要事项，投资人在做出投资决策前应仔细阅读本招募说明书。</w:t>
      </w:r>
    </w:p>
    <w:p w14:paraId="6AE17A92">
      <w:pPr>
        <w:spacing w:line="360" w:lineRule="auto"/>
        <w:ind w:firstLine="480" w:firstLineChars="200"/>
        <w:rPr>
          <w:sz w:val="24"/>
          <w:szCs w:val="24"/>
        </w:rPr>
      </w:pPr>
      <w:r>
        <w:rPr>
          <w:rFonts w:hint="eastAsia"/>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做出任何解释或者说明。</w:t>
      </w:r>
    </w:p>
    <w:p w14:paraId="6728109F">
      <w:pPr>
        <w:spacing w:line="360" w:lineRule="auto"/>
        <w:ind w:firstLine="480" w:firstLineChars="200"/>
        <w:rPr>
          <w:sz w:val="24"/>
          <w:szCs w:val="24"/>
        </w:rPr>
      </w:pPr>
      <w:r>
        <w:rPr>
          <w:rFonts w:hint="eastAsia"/>
          <w:sz w:val="24"/>
          <w:szCs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7129F06">
      <w:pPr>
        <w:pStyle w:val="2"/>
        <w:spacing w:before="0" w:after="0"/>
        <w:jc w:val="center"/>
        <w:rPr>
          <w:rFonts w:ascii="Times New Roman"/>
          <w:color w:val="auto"/>
          <w:szCs w:val="24"/>
        </w:rPr>
      </w:pPr>
      <w:r>
        <w:rPr>
          <w:rFonts w:ascii="Times New Roman"/>
          <w:b w:val="0"/>
          <w:bCs/>
          <w:color w:val="auto"/>
          <w:kern w:val="44"/>
          <w:szCs w:val="24"/>
        </w:rPr>
        <w:br w:type="page"/>
      </w:r>
      <w:bookmarkStart w:id="37" w:name="_Toc22864"/>
      <w:bookmarkStart w:id="38" w:name="_Toc345339057"/>
      <w:bookmarkStart w:id="39" w:name="_Toc2465"/>
      <w:bookmarkStart w:id="40" w:name="_Toc24860"/>
      <w:bookmarkStart w:id="41" w:name="_Toc21301"/>
      <w:bookmarkStart w:id="42" w:name="_Toc48032539"/>
      <w:bookmarkStart w:id="43" w:name="_Toc326752126"/>
      <w:bookmarkStart w:id="44" w:name="_Toc3224"/>
      <w:bookmarkStart w:id="45" w:name="_Toc31551"/>
      <w:bookmarkStart w:id="46" w:name="_Toc19592"/>
      <w:bookmarkStart w:id="47" w:name="_Toc819"/>
      <w:bookmarkStart w:id="48" w:name="_Toc6617"/>
      <w:bookmarkStart w:id="49" w:name="_Toc216103535"/>
      <w:bookmarkStart w:id="50" w:name="_Toc15067"/>
      <w:bookmarkStart w:id="51" w:name="_Toc13020"/>
      <w:r>
        <w:rPr>
          <w:rFonts w:ascii="Times New Roman"/>
          <w:color w:val="auto"/>
          <w:szCs w:val="24"/>
        </w:rPr>
        <w:t>第二部分  释义</w:t>
      </w:r>
      <w:bookmarkEnd w:id="3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06B54EF">
      <w:pPr>
        <w:spacing w:line="360" w:lineRule="auto"/>
        <w:ind w:firstLine="480" w:firstLineChars="200"/>
        <w:rPr>
          <w:sz w:val="24"/>
          <w:szCs w:val="24"/>
        </w:rPr>
      </w:pPr>
    </w:p>
    <w:p w14:paraId="60A65806">
      <w:pPr>
        <w:spacing w:line="360" w:lineRule="auto"/>
        <w:ind w:firstLine="480" w:firstLineChars="200"/>
        <w:rPr>
          <w:sz w:val="24"/>
          <w:szCs w:val="24"/>
        </w:rPr>
      </w:pPr>
      <w:bookmarkStart w:id="52" w:name="_Hlk93052332"/>
      <w:r>
        <w:rPr>
          <w:rFonts w:hint="eastAsia"/>
          <w:sz w:val="24"/>
          <w:szCs w:val="24"/>
        </w:rPr>
        <w:t>在本招募说明书中，除非文意另有所指，下列词语或简称具有如下含义：</w:t>
      </w:r>
    </w:p>
    <w:p w14:paraId="688BBA1D">
      <w:pPr>
        <w:spacing w:line="360" w:lineRule="auto"/>
        <w:ind w:firstLine="480" w:firstLineChars="200"/>
        <w:rPr>
          <w:sz w:val="24"/>
          <w:szCs w:val="24"/>
        </w:rPr>
      </w:pPr>
      <w:r>
        <w:rPr>
          <w:rFonts w:hint="eastAsia"/>
          <w:sz w:val="24"/>
          <w:szCs w:val="24"/>
        </w:rPr>
        <w:t>1、基金或本基金：指融通新材料混合型发起式证券投资基金</w:t>
      </w:r>
    </w:p>
    <w:p w14:paraId="536FE5DE">
      <w:pPr>
        <w:spacing w:line="360" w:lineRule="auto"/>
        <w:ind w:firstLine="480" w:firstLineChars="200"/>
        <w:rPr>
          <w:sz w:val="24"/>
          <w:szCs w:val="24"/>
        </w:rPr>
      </w:pPr>
      <w:r>
        <w:rPr>
          <w:rFonts w:hint="eastAsia"/>
          <w:sz w:val="24"/>
          <w:szCs w:val="24"/>
        </w:rPr>
        <w:t>2、基金管理人：指融通基金管理有限公司</w:t>
      </w:r>
    </w:p>
    <w:p w14:paraId="06D24EBE">
      <w:pPr>
        <w:spacing w:line="360" w:lineRule="auto"/>
        <w:ind w:firstLine="480" w:firstLineChars="200"/>
        <w:rPr>
          <w:sz w:val="24"/>
          <w:szCs w:val="24"/>
        </w:rPr>
      </w:pPr>
      <w:r>
        <w:rPr>
          <w:rFonts w:hint="eastAsia"/>
          <w:sz w:val="24"/>
          <w:szCs w:val="24"/>
        </w:rPr>
        <w:t>3、基金托管人：指宁波银行股份有限公司</w:t>
      </w:r>
    </w:p>
    <w:p w14:paraId="4D238160">
      <w:pPr>
        <w:spacing w:line="360" w:lineRule="auto"/>
        <w:ind w:firstLine="480" w:firstLineChars="200"/>
        <w:rPr>
          <w:bCs/>
          <w:sz w:val="24"/>
        </w:rPr>
      </w:pPr>
      <w:r>
        <w:rPr>
          <w:bCs/>
          <w:sz w:val="24"/>
        </w:rPr>
        <w:t>4、证券经纪商：指为本基金提供证券经纪服务的证券公司</w:t>
      </w:r>
    </w:p>
    <w:p w14:paraId="66271C1C">
      <w:pPr>
        <w:spacing w:line="360" w:lineRule="auto"/>
        <w:ind w:firstLine="480" w:firstLineChars="200"/>
        <w:rPr>
          <w:sz w:val="24"/>
          <w:szCs w:val="24"/>
        </w:rPr>
      </w:pPr>
      <w:r>
        <w:rPr>
          <w:sz w:val="24"/>
          <w:szCs w:val="24"/>
        </w:rPr>
        <w:t>5</w:t>
      </w:r>
      <w:r>
        <w:rPr>
          <w:rFonts w:hint="eastAsia"/>
          <w:sz w:val="24"/>
          <w:szCs w:val="24"/>
        </w:rPr>
        <w:t>、基金合同或《基金合同》：指《融通新材料混合型发起式证券投资基金基金合同》及对基金合同的任何有效修订和补充</w:t>
      </w:r>
    </w:p>
    <w:p w14:paraId="056E4F05">
      <w:pPr>
        <w:spacing w:line="360" w:lineRule="auto"/>
        <w:ind w:firstLine="480" w:firstLineChars="200"/>
        <w:rPr>
          <w:sz w:val="24"/>
          <w:szCs w:val="24"/>
        </w:rPr>
      </w:pPr>
      <w:r>
        <w:rPr>
          <w:sz w:val="24"/>
          <w:szCs w:val="24"/>
        </w:rPr>
        <w:t>6</w:t>
      </w:r>
      <w:r>
        <w:rPr>
          <w:rFonts w:hint="eastAsia"/>
          <w:sz w:val="24"/>
          <w:szCs w:val="24"/>
        </w:rPr>
        <w:t>、托管协议：指基金管理人与基金托管人就本基金签订之《融通新材料混合型发起式证券投资基金托管协议》及对该托管协议的任何有效修订和补充</w:t>
      </w:r>
    </w:p>
    <w:p w14:paraId="73DA150E">
      <w:pPr>
        <w:spacing w:line="360" w:lineRule="auto"/>
        <w:ind w:firstLine="480" w:firstLineChars="200"/>
        <w:rPr>
          <w:sz w:val="24"/>
          <w:szCs w:val="24"/>
        </w:rPr>
      </w:pPr>
      <w:r>
        <w:rPr>
          <w:sz w:val="24"/>
          <w:szCs w:val="24"/>
        </w:rPr>
        <w:t>7</w:t>
      </w:r>
      <w:r>
        <w:rPr>
          <w:rFonts w:hint="eastAsia"/>
          <w:sz w:val="24"/>
          <w:szCs w:val="24"/>
        </w:rPr>
        <w:t>、招募说明书或</w:t>
      </w:r>
      <w:r>
        <w:rPr>
          <w:sz w:val="24"/>
          <w:szCs w:val="24"/>
        </w:rPr>
        <w:t>本招募说明书</w:t>
      </w:r>
      <w:r>
        <w:rPr>
          <w:rFonts w:hint="eastAsia"/>
          <w:sz w:val="24"/>
          <w:szCs w:val="24"/>
        </w:rPr>
        <w:t>：指《融通新材料混合型发起式证券投资基金招募说明书》及其更新</w:t>
      </w:r>
    </w:p>
    <w:p w14:paraId="1066BAAB">
      <w:pPr>
        <w:spacing w:line="360" w:lineRule="auto"/>
        <w:ind w:firstLine="480" w:firstLineChars="200"/>
        <w:rPr>
          <w:sz w:val="24"/>
          <w:szCs w:val="24"/>
        </w:rPr>
      </w:pPr>
      <w:r>
        <w:rPr>
          <w:sz w:val="24"/>
          <w:szCs w:val="24"/>
        </w:rPr>
        <w:t>8</w:t>
      </w:r>
      <w:r>
        <w:rPr>
          <w:rFonts w:hint="eastAsia"/>
          <w:sz w:val="24"/>
          <w:szCs w:val="24"/>
        </w:rPr>
        <w:t>、基金份额发售公告：指《融通新材料混合型发起式证券投资基金基金份额发售公告》</w:t>
      </w:r>
    </w:p>
    <w:p w14:paraId="5013D9E8">
      <w:pPr>
        <w:spacing w:line="360" w:lineRule="auto"/>
        <w:ind w:firstLine="480" w:firstLineChars="200"/>
        <w:rPr>
          <w:sz w:val="24"/>
          <w:szCs w:val="24"/>
        </w:rPr>
      </w:pPr>
      <w:r>
        <w:rPr>
          <w:sz w:val="24"/>
          <w:szCs w:val="24"/>
        </w:rPr>
        <w:t>9</w:t>
      </w:r>
      <w:r>
        <w:rPr>
          <w:rFonts w:hint="eastAsia"/>
          <w:sz w:val="24"/>
          <w:szCs w:val="24"/>
        </w:rPr>
        <w:t>、基金产品资料概要：指《融通新材料混合型发起式证券投资基金基金产品资料概要》及其更新</w:t>
      </w:r>
    </w:p>
    <w:p w14:paraId="249B846E">
      <w:pPr>
        <w:spacing w:line="360" w:lineRule="auto"/>
        <w:ind w:firstLine="480" w:firstLineChars="200"/>
        <w:rPr>
          <w:bCs/>
          <w:sz w:val="24"/>
        </w:rPr>
      </w:pPr>
      <w:r>
        <w:rPr>
          <w:bCs/>
          <w:sz w:val="24"/>
        </w:rPr>
        <w:t>10、《证券经纪服务协议》：指基金管理人与证券经纪商以及基金托管人三方签订的证券经纪服务协议及对该服务协议的任何有效修订和补充</w:t>
      </w:r>
    </w:p>
    <w:p w14:paraId="7D34400E">
      <w:pPr>
        <w:spacing w:line="360" w:lineRule="auto"/>
        <w:ind w:firstLine="480" w:firstLineChars="200"/>
        <w:rPr>
          <w:sz w:val="24"/>
          <w:szCs w:val="24"/>
        </w:rPr>
      </w:pPr>
      <w:r>
        <w:rPr>
          <w:sz w:val="24"/>
          <w:szCs w:val="24"/>
        </w:rPr>
        <w:t>11</w:t>
      </w:r>
      <w:r>
        <w:rPr>
          <w:rFonts w:hint="eastAsia"/>
          <w:sz w:val="24"/>
          <w:szCs w:val="24"/>
        </w:rPr>
        <w:t>、法律法规：指中国现行有效并公布实施的法律、行政法规、规范性文件、司法解释、行政规章以及其他对基金合同当事人有约束力的决定、决议、通知等</w:t>
      </w:r>
    </w:p>
    <w:p w14:paraId="588A5FF5">
      <w:pPr>
        <w:spacing w:line="360" w:lineRule="auto"/>
        <w:ind w:firstLine="480" w:firstLineChars="200"/>
        <w:rPr>
          <w:sz w:val="24"/>
          <w:szCs w:val="24"/>
        </w:rPr>
      </w:pPr>
      <w:r>
        <w:rPr>
          <w:rFonts w:hint="eastAsia"/>
          <w:sz w:val="24"/>
          <w:szCs w:val="24"/>
        </w:rPr>
        <w:t>1</w:t>
      </w:r>
      <w:r>
        <w:rPr>
          <w:sz w:val="24"/>
          <w:szCs w:val="24"/>
        </w:rPr>
        <w:t>2</w:t>
      </w:r>
      <w:r>
        <w:rPr>
          <w:rFonts w:hint="eastAsia"/>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4F90120B">
      <w:pPr>
        <w:spacing w:line="360" w:lineRule="auto"/>
        <w:ind w:firstLine="480" w:firstLineChars="200"/>
        <w:rPr>
          <w:sz w:val="24"/>
          <w:szCs w:val="24"/>
        </w:rPr>
      </w:pPr>
      <w:r>
        <w:rPr>
          <w:rFonts w:hint="eastAsia"/>
          <w:sz w:val="24"/>
          <w:szCs w:val="24"/>
        </w:rPr>
        <w:t>1</w:t>
      </w:r>
      <w:r>
        <w:rPr>
          <w:sz w:val="24"/>
          <w:szCs w:val="24"/>
        </w:rPr>
        <w:t>3</w:t>
      </w:r>
      <w:r>
        <w:rPr>
          <w:rFonts w:hint="eastAsia"/>
          <w:sz w:val="24"/>
          <w:szCs w:val="24"/>
        </w:rPr>
        <w:t>、《销售办法》：</w:t>
      </w:r>
      <w:r>
        <w:rPr>
          <w:rFonts w:hint="eastAsia"/>
          <w:bCs/>
          <w:sz w:val="24"/>
        </w:rPr>
        <w:t>指中国证监会2020年8月28日颁布、同年10月1日实施的《公开募集证券投资基金销售机构监督管理办法》及颁布机关对其不时做出的修订</w:t>
      </w:r>
    </w:p>
    <w:p w14:paraId="65111A3E">
      <w:pPr>
        <w:spacing w:line="360" w:lineRule="auto"/>
        <w:ind w:firstLine="480" w:firstLineChars="200"/>
        <w:rPr>
          <w:sz w:val="24"/>
          <w:szCs w:val="24"/>
        </w:rPr>
      </w:pPr>
      <w:r>
        <w:rPr>
          <w:rFonts w:hint="eastAsia"/>
          <w:sz w:val="24"/>
          <w:szCs w:val="24"/>
        </w:rPr>
        <w:t>1</w:t>
      </w:r>
      <w:r>
        <w:rPr>
          <w:sz w:val="24"/>
          <w:szCs w:val="24"/>
        </w:rPr>
        <w:t>4</w:t>
      </w:r>
      <w:r>
        <w:rPr>
          <w:rFonts w:hint="eastAsia"/>
          <w:sz w:val="24"/>
          <w:szCs w:val="24"/>
        </w:rPr>
        <w:t>、《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5C28AC17">
      <w:pPr>
        <w:spacing w:line="360" w:lineRule="auto"/>
        <w:ind w:firstLine="480" w:firstLineChars="200"/>
        <w:rPr>
          <w:sz w:val="24"/>
          <w:szCs w:val="24"/>
        </w:rPr>
      </w:pPr>
      <w:r>
        <w:rPr>
          <w:rFonts w:hint="eastAsia"/>
          <w:sz w:val="24"/>
          <w:szCs w:val="24"/>
        </w:rPr>
        <w:t>1</w:t>
      </w:r>
      <w:r>
        <w:rPr>
          <w:sz w:val="24"/>
          <w:szCs w:val="24"/>
        </w:rPr>
        <w:t>5</w:t>
      </w:r>
      <w:r>
        <w:rPr>
          <w:rFonts w:hint="eastAsia"/>
          <w:sz w:val="24"/>
          <w:szCs w:val="24"/>
        </w:rPr>
        <w:t>、《运作办法》：指中国证监会2014年7月7日颁布、同年8月8日实施的《公开募集证券投资基金运作管理办法》及颁布机关对其不时做出的修订</w:t>
      </w:r>
    </w:p>
    <w:p w14:paraId="1F5ED9F4">
      <w:pPr>
        <w:spacing w:line="360" w:lineRule="auto"/>
        <w:ind w:firstLine="480" w:firstLineChars="200"/>
        <w:rPr>
          <w:sz w:val="24"/>
          <w:szCs w:val="24"/>
        </w:rPr>
      </w:pPr>
      <w:r>
        <w:rPr>
          <w:rFonts w:hint="eastAsia"/>
          <w:sz w:val="24"/>
          <w:szCs w:val="24"/>
        </w:rPr>
        <w:t>1</w:t>
      </w:r>
      <w:r>
        <w:rPr>
          <w:sz w:val="24"/>
          <w:szCs w:val="24"/>
        </w:rPr>
        <w:t>6</w:t>
      </w:r>
      <w:r>
        <w:rPr>
          <w:rFonts w:hint="eastAsia"/>
          <w:sz w:val="24"/>
          <w:szCs w:val="24"/>
        </w:rPr>
        <w:t>、《流动性风险管理规定》：指中国证监会2017年8月31日颁布、同年10月1日实施的《公开募集开放式证券投资基金流动性风险管理规定》及颁布机关对其不时做出的修订</w:t>
      </w:r>
    </w:p>
    <w:p w14:paraId="14DC3930">
      <w:pPr>
        <w:spacing w:line="360" w:lineRule="auto"/>
        <w:ind w:firstLine="480" w:firstLineChars="200"/>
        <w:rPr>
          <w:sz w:val="24"/>
          <w:szCs w:val="24"/>
        </w:rPr>
      </w:pPr>
      <w:r>
        <w:rPr>
          <w:rFonts w:hint="eastAsia"/>
          <w:sz w:val="24"/>
          <w:szCs w:val="24"/>
        </w:rPr>
        <w:t>1</w:t>
      </w:r>
      <w:r>
        <w:rPr>
          <w:sz w:val="24"/>
          <w:szCs w:val="24"/>
        </w:rPr>
        <w:t>7</w:t>
      </w:r>
      <w:r>
        <w:rPr>
          <w:rFonts w:hint="eastAsia"/>
          <w:sz w:val="24"/>
          <w:szCs w:val="24"/>
        </w:rPr>
        <w:t>、中国证监会：指中国证券监督管理委员会</w:t>
      </w:r>
    </w:p>
    <w:p w14:paraId="5F8AAE38">
      <w:pPr>
        <w:spacing w:line="360" w:lineRule="auto"/>
        <w:ind w:firstLine="480" w:firstLineChars="200"/>
        <w:rPr>
          <w:sz w:val="24"/>
          <w:szCs w:val="24"/>
        </w:rPr>
      </w:pPr>
      <w:r>
        <w:rPr>
          <w:rFonts w:hint="eastAsia"/>
          <w:sz w:val="24"/>
          <w:szCs w:val="24"/>
        </w:rPr>
        <w:t>1</w:t>
      </w:r>
      <w:r>
        <w:rPr>
          <w:sz w:val="24"/>
          <w:szCs w:val="24"/>
        </w:rPr>
        <w:t>8</w:t>
      </w:r>
      <w:r>
        <w:rPr>
          <w:rFonts w:hint="eastAsia"/>
          <w:sz w:val="24"/>
          <w:szCs w:val="24"/>
        </w:rPr>
        <w:t>、银行业监督管理机构：指中国人民银行和/或</w:t>
      </w:r>
      <w:r>
        <w:rPr>
          <w:rFonts w:hint="eastAsia"/>
          <w:bCs/>
          <w:sz w:val="24"/>
        </w:rPr>
        <w:t>国家金融监督管理总局</w:t>
      </w:r>
    </w:p>
    <w:p w14:paraId="664A74A1">
      <w:pPr>
        <w:spacing w:line="360" w:lineRule="auto"/>
        <w:ind w:firstLine="480" w:firstLineChars="200"/>
        <w:rPr>
          <w:sz w:val="24"/>
          <w:szCs w:val="24"/>
        </w:rPr>
      </w:pPr>
      <w:r>
        <w:rPr>
          <w:rFonts w:hint="eastAsia"/>
          <w:sz w:val="24"/>
          <w:szCs w:val="24"/>
        </w:rPr>
        <w:t>1</w:t>
      </w:r>
      <w:r>
        <w:rPr>
          <w:sz w:val="24"/>
          <w:szCs w:val="24"/>
        </w:rPr>
        <w:t>9</w:t>
      </w:r>
      <w:r>
        <w:rPr>
          <w:rFonts w:hint="eastAsia"/>
          <w:sz w:val="24"/>
          <w:szCs w:val="24"/>
        </w:rPr>
        <w:t>、基金合同当事人：指受基金合同约束，根据基金合同享有权利并承担义务的法律主体，包括基金管理人、基金托管人和基金份额持有人</w:t>
      </w:r>
    </w:p>
    <w:p w14:paraId="51693FF8">
      <w:pPr>
        <w:spacing w:line="360" w:lineRule="auto"/>
        <w:ind w:firstLine="480" w:firstLineChars="200"/>
        <w:rPr>
          <w:sz w:val="24"/>
          <w:szCs w:val="24"/>
        </w:rPr>
      </w:pPr>
      <w:r>
        <w:rPr>
          <w:sz w:val="24"/>
          <w:szCs w:val="24"/>
        </w:rPr>
        <w:t>20</w:t>
      </w:r>
      <w:r>
        <w:rPr>
          <w:rFonts w:hint="eastAsia"/>
          <w:sz w:val="24"/>
          <w:szCs w:val="24"/>
        </w:rPr>
        <w:t>、个人投资者：指依据有关法律法规规定可投资于证券投资基金的自然人</w:t>
      </w:r>
    </w:p>
    <w:p w14:paraId="4DC7F41F">
      <w:pPr>
        <w:spacing w:line="360" w:lineRule="auto"/>
        <w:ind w:firstLine="480" w:firstLineChars="200"/>
        <w:rPr>
          <w:sz w:val="24"/>
          <w:szCs w:val="24"/>
        </w:rPr>
      </w:pPr>
      <w:r>
        <w:rPr>
          <w:sz w:val="24"/>
          <w:szCs w:val="24"/>
        </w:rPr>
        <w:t>21</w:t>
      </w:r>
      <w:r>
        <w:rPr>
          <w:rFonts w:hint="eastAsia"/>
          <w:sz w:val="24"/>
          <w:szCs w:val="24"/>
        </w:rPr>
        <w:t>、机构投资者：指依法可以投资证券投资基金的、在中华人民共和国境内合法登记并存续或经有关政府部门批准设立并存续的企业法人、事业法人、社会团体或其他组织</w:t>
      </w:r>
    </w:p>
    <w:p w14:paraId="0AED19BD">
      <w:pPr>
        <w:spacing w:line="360" w:lineRule="auto"/>
        <w:ind w:firstLine="480" w:firstLineChars="200"/>
        <w:rPr>
          <w:sz w:val="24"/>
          <w:szCs w:val="24"/>
        </w:rPr>
      </w:pPr>
      <w:r>
        <w:rPr>
          <w:rFonts w:hint="eastAsia"/>
          <w:sz w:val="24"/>
          <w:szCs w:val="24"/>
        </w:rPr>
        <w:t>2</w:t>
      </w:r>
      <w:r>
        <w:rPr>
          <w:sz w:val="24"/>
          <w:szCs w:val="24"/>
        </w:rPr>
        <w:t>2</w:t>
      </w:r>
      <w:r>
        <w:rPr>
          <w:rFonts w:hint="eastAsia"/>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5011E48">
      <w:pPr>
        <w:spacing w:line="360" w:lineRule="auto"/>
        <w:ind w:firstLine="480" w:firstLineChars="200"/>
        <w:rPr>
          <w:sz w:val="24"/>
          <w:szCs w:val="24"/>
        </w:rPr>
      </w:pPr>
      <w:r>
        <w:rPr>
          <w:rFonts w:hint="eastAsia"/>
          <w:sz w:val="24"/>
          <w:szCs w:val="24"/>
        </w:rPr>
        <w:t>2</w:t>
      </w:r>
      <w:r>
        <w:rPr>
          <w:sz w:val="24"/>
          <w:szCs w:val="24"/>
        </w:rPr>
        <w:t>3</w:t>
      </w:r>
      <w:r>
        <w:rPr>
          <w:rFonts w:hint="eastAsia"/>
          <w:sz w:val="24"/>
          <w:szCs w:val="24"/>
        </w:rPr>
        <w:t>、投资人、投资者：指个人投资者、机构投资者、合格境外投资者</w:t>
      </w:r>
      <w:r>
        <w:rPr>
          <w:rFonts w:hint="eastAsia"/>
          <w:bCs/>
          <w:sz w:val="24"/>
        </w:rPr>
        <w:t>、发起资金提供方</w:t>
      </w:r>
      <w:r>
        <w:rPr>
          <w:rFonts w:hint="eastAsia"/>
          <w:sz w:val="24"/>
          <w:szCs w:val="24"/>
        </w:rPr>
        <w:t>以及法律法规或中国证监会允许购买证券投资基金的其他投资人的合称</w:t>
      </w:r>
    </w:p>
    <w:p w14:paraId="56F399F4">
      <w:pPr>
        <w:spacing w:line="360" w:lineRule="auto"/>
        <w:ind w:firstLine="480" w:firstLineChars="200"/>
        <w:rPr>
          <w:sz w:val="24"/>
          <w:szCs w:val="24"/>
        </w:rPr>
      </w:pPr>
      <w:r>
        <w:rPr>
          <w:rFonts w:hint="eastAsia"/>
          <w:sz w:val="24"/>
          <w:szCs w:val="24"/>
        </w:rPr>
        <w:t>2</w:t>
      </w:r>
      <w:r>
        <w:rPr>
          <w:sz w:val="24"/>
          <w:szCs w:val="24"/>
        </w:rPr>
        <w:t>4</w:t>
      </w:r>
      <w:r>
        <w:rPr>
          <w:rFonts w:hint="eastAsia"/>
          <w:sz w:val="24"/>
          <w:szCs w:val="24"/>
        </w:rPr>
        <w:t>、基金份额持有人：指依基金合同和招募说明书合法取得基金份额的投资人</w:t>
      </w:r>
    </w:p>
    <w:p w14:paraId="5A6611C3">
      <w:pPr>
        <w:spacing w:line="360" w:lineRule="auto"/>
        <w:ind w:firstLine="480" w:firstLineChars="200"/>
        <w:rPr>
          <w:sz w:val="24"/>
          <w:szCs w:val="24"/>
        </w:rPr>
      </w:pPr>
      <w:r>
        <w:rPr>
          <w:rFonts w:hint="eastAsia"/>
          <w:sz w:val="24"/>
          <w:szCs w:val="24"/>
        </w:rPr>
        <w:t>2</w:t>
      </w:r>
      <w:r>
        <w:rPr>
          <w:sz w:val="24"/>
          <w:szCs w:val="24"/>
        </w:rPr>
        <w:t>5</w:t>
      </w:r>
      <w:r>
        <w:rPr>
          <w:rFonts w:hint="eastAsia"/>
          <w:sz w:val="24"/>
          <w:szCs w:val="24"/>
        </w:rPr>
        <w:t>、基金销售业务：指基金管理人或销售机构宣传推介基金，发售基金份额，办理基金份额的申购、赎回、转换、转托管及定期定额投资等业务</w:t>
      </w:r>
    </w:p>
    <w:p w14:paraId="18C443CD">
      <w:pPr>
        <w:spacing w:line="360" w:lineRule="auto"/>
        <w:ind w:firstLine="480" w:firstLineChars="200"/>
        <w:rPr>
          <w:sz w:val="24"/>
          <w:szCs w:val="24"/>
        </w:rPr>
      </w:pPr>
      <w:r>
        <w:rPr>
          <w:rFonts w:hint="eastAsia"/>
          <w:sz w:val="24"/>
          <w:szCs w:val="24"/>
        </w:rPr>
        <w:t>2</w:t>
      </w:r>
      <w:r>
        <w:rPr>
          <w:sz w:val="24"/>
          <w:szCs w:val="24"/>
        </w:rPr>
        <w:t>6</w:t>
      </w:r>
      <w:r>
        <w:rPr>
          <w:rFonts w:hint="eastAsia"/>
          <w:sz w:val="24"/>
          <w:szCs w:val="24"/>
        </w:rPr>
        <w:t>、销售机构：指融通基金管理有限公司以及符合《销售办法》和中国证监会规定的其他条件，取得基金销售业务资格并与基金管理人签订了基金销售服务协议，办理基金销售业务的机构</w:t>
      </w:r>
    </w:p>
    <w:p w14:paraId="3C69E0C5">
      <w:pPr>
        <w:spacing w:line="360" w:lineRule="auto"/>
        <w:ind w:firstLine="480" w:firstLineChars="200"/>
        <w:rPr>
          <w:bCs/>
          <w:sz w:val="24"/>
        </w:rPr>
      </w:pPr>
      <w:r>
        <w:rPr>
          <w:rFonts w:hint="eastAsia"/>
          <w:sz w:val="24"/>
          <w:szCs w:val="24"/>
        </w:rPr>
        <w:t>2</w:t>
      </w:r>
      <w:r>
        <w:rPr>
          <w:sz w:val="24"/>
          <w:szCs w:val="24"/>
        </w:rPr>
        <w:t>7</w:t>
      </w:r>
      <w:r>
        <w:rPr>
          <w:rFonts w:hint="eastAsia"/>
          <w:sz w:val="24"/>
          <w:szCs w:val="24"/>
        </w:rPr>
        <w:t>、</w:t>
      </w:r>
      <w:r>
        <w:rPr>
          <w:rFonts w:hint="eastAsia"/>
          <w:bCs/>
          <w:sz w:val="24"/>
        </w:rPr>
        <w:t>基金销售网点：指基金管理人的直销中心及基金销售机构的销售网点</w:t>
      </w:r>
    </w:p>
    <w:p w14:paraId="44E0C27A">
      <w:pPr>
        <w:spacing w:line="360" w:lineRule="auto"/>
        <w:ind w:firstLine="480" w:firstLineChars="200"/>
        <w:rPr>
          <w:sz w:val="24"/>
          <w:szCs w:val="24"/>
        </w:rPr>
      </w:pPr>
      <w:r>
        <w:rPr>
          <w:rFonts w:hint="eastAsia"/>
          <w:bCs/>
          <w:sz w:val="24"/>
        </w:rPr>
        <w:t>2</w:t>
      </w:r>
      <w:r>
        <w:rPr>
          <w:bCs/>
          <w:sz w:val="24"/>
        </w:rPr>
        <w:t>8</w:t>
      </w:r>
      <w:r>
        <w:rPr>
          <w:rFonts w:hint="eastAsia"/>
          <w:bCs/>
          <w:sz w:val="24"/>
        </w:rPr>
        <w:t>、</w:t>
      </w:r>
      <w:r>
        <w:rPr>
          <w:rFonts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D91A526">
      <w:pPr>
        <w:spacing w:line="360" w:lineRule="auto"/>
        <w:ind w:firstLine="480" w:firstLineChars="200"/>
        <w:rPr>
          <w:sz w:val="24"/>
          <w:szCs w:val="24"/>
        </w:rPr>
      </w:pPr>
      <w:r>
        <w:rPr>
          <w:rFonts w:hint="eastAsia"/>
          <w:sz w:val="24"/>
          <w:szCs w:val="24"/>
        </w:rPr>
        <w:t>2</w:t>
      </w:r>
      <w:r>
        <w:rPr>
          <w:sz w:val="24"/>
          <w:szCs w:val="24"/>
        </w:rPr>
        <w:t>9</w:t>
      </w:r>
      <w:r>
        <w:rPr>
          <w:rFonts w:hint="eastAsia"/>
          <w:sz w:val="24"/>
          <w:szCs w:val="24"/>
        </w:rPr>
        <w:t>、登记机构：指办理登记业务的机构。基金的登记机构为融通基金管理有限公司或接受融通基金管理有限公司委托代为办理登记业务的机构</w:t>
      </w:r>
    </w:p>
    <w:p w14:paraId="5779930C">
      <w:pPr>
        <w:spacing w:line="360" w:lineRule="auto"/>
        <w:ind w:firstLine="480" w:firstLineChars="200"/>
        <w:rPr>
          <w:sz w:val="24"/>
          <w:szCs w:val="24"/>
        </w:rPr>
      </w:pPr>
      <w:r>
        <w:rPr>
          <w:sz w:val="24"/>
          <w:szCs w:val="24"/>
        </w:rPr>
        <w:t>30</w:t>
      </w:r>
      <w:r>
        <w:rPr>
          <w:rFonts w:hint="eastAsia"/>
          <w:sz w:val="24"/>
          <w:szCs w:val="24"/>
        </w:rPr>
        <w:t>、基金账户：指登记机构为投资人开立的、记录其持有的、基金管理人所管理的基金份额余额及其变动情况的账户</w:t>
      </w:r>
    </w:p>
    <w:p w14:paraId="6E0B1118">
      <w:pPr>
        <w:spacing w:line="360" w:lineRule="auto"/>
        <w:ind w:firstLine="480" w:firstLineChars="200"/>
        <w:rPr>
          <w:sz w:val="24"/>
          <w:szCs w:val="24"/>
        </w:rPr>
      </w:pPr>
      <w:r>
        <w:rPr>
          <w:sz w:val="24"/>
          <w:szCs w:val="24"/>
        </w:rPr>
        <w:t>31</w:t>
      </w:r>
      <w:r>
        <w:rPr>
          <w:rFonts w:hint="eastAsia"/>
          <w:sz w:val="24"/>
          <w:szCs w:val="24"/>
        </w:rPr>
        <w:t>、基金交易账户：指销售机构为投资人开立的、记录投资人通过该销售机构办理认购、申购、赎回、转换、转托管及定期定额投资等业务而引起基金份额变动及结余情况的账户</w:t>
      </w:r>
    </w:p>
    <w:p w14:paraId="399BA87A">
      <w:pPr>
        <w:spacing w:line="360" w:lineRule="auto"/>
        <w:ind w:firstLine="480" w:firstLineChars="200"/>
        <w:rPr>
          <w:sz w:val="24"/>
          <w:szCs w:val="24"/>
        </w:rPr>
      </w:pPr>
      <w:r>
        <w:rPr>
          <w:sz w:val="24"/>
          <w:szCs w:val="24"/>
        </w:rPr>
        <w:t>32</w:t>
      </w:r>
      <w:r>
        <w:rPr>
          <w:rFonts w:hint="eastAsia"/>
          <w:sz w:val="24"/>
          <w:szCs w:val="24"/>
        </w:rPr>
        <w:t>、基金合同生效日：指基金募集达到法律法规规定及基金合同规定的条件，基金管理人向中国证监会办理基金备案手续完毕，并获得中国证监会书面确认的日期</w:t>
      </w:r>
    </w:p>
    <w:p w14:paraId="239B1362">
      <w:pPr>
        <w:spacing w:line="360" w:lineRule="auto"/>
        <w:ind w:firstLine="480" w:firstLineChars="200"/>
        <w:rPr>
          <w:sz w:val="24"/>
          <w:szCs w:val="24"/>
        </w:rPr>
      </w:pPr>
      <w:r>
        <w:rPr>
          <w:rFonts w:hint="eastAsia"/>
          <w:sz w:val="24"/>
          <w:szCs w:val="24"/>
        </w:rPr>
        <w:t>3</w:t>
      </w:r>
      <w:r>
        <w:rPr>
          <w:sz w:val="24"/>
          <w:szCs w:val="24"/>
        </w:rPr>
        <w:t>3</w:t>
      </w:r>
      <w:r>
        <w:rPr>
          <w:rFonts w:hint="eastAsia"/>
          <w:sz w:val="24"/>
          <w:szCs w:val="24"/>
        </w:rPr>
        <w:t>、基金合同终止日：指基金合同规定的基金合同终止事由出现后，基金财产清算完毕，清算结果报中国证监会备案并予以公告的日期</w:t>
      </w:r>
    </w:p>
    <w:p w14:paraId="0F435FE2">
      <w:pPr>
        <w:spacing w:line="360" w:lineRule="auto"/>
        <w:ind w:firstLine="480" w:firstLineChars="200"/>
        <w:rPr>
          <w:sz w:val="24"/>
          <w:szCs w:val="24"/>
        </w:rPr>
      </w:pPr>
      <w:r>
        <w:rPr>
          <w:rFonts w:hint="eastAsia"/>
          <w:sz w:val="24"/>
          <w:szCs w:val="24"/>
        </w:rPr>
        <w:t>3</w:t>
      </w:r>
      <w:r>
        <w:rPr>
          <w:sz w:val="24"/>
          <w:szCs w:val="24"/>
        </w:rPr>
        <w:t>4</w:t>
      </w:r>
      <w:r>
        <w:rPr>
          <w:rFonts w:hint="eastAsia"/>
          <w:sz w:val="24"/>
          <w:szCs w:val="24"/>
        </w:rPr>
        <w:t>、基金募集期：指自基金份额发售之日起至发售结束之日止的期间，最长不得超过3个月</w:t>
      </w:r>
    </w:p>
    <w:p w14:paraId="26C22D4E">
      <w:pPr>
        <w:spacing w:line="360" w:lineRule="auto"/>
        <w:ind w:firstLine="480" w:firstLineChars="200"/>
        <w:rPr>
          <w:sz w:val="24"/>
          <w:szCs w:val="24"/>
        </w:rPr>
      </w:pPr>
      <w:r>
        <w:rPr>
          <w:rFonts w:hint="eastAsia"/>
          <w:sz w:val="24"/>
          <w:szCs w:val="24"/>
        </w:rPr>
        <w:t>3</w:t>
      </w:r>
      <w:r>
        <w:rPr>
          <w:sz w:val="24"/>
          <w:szCs w:val="24"/>
        </w:rPr>
        <w:t>5</w:t>
      </w:r>
      <w:r>
        <w:rPr>
          <w:rFonts w:hint="eastAsia"/>
          <w:sz w:val="24"/>
          <w:szCs w:val="24"/>
        </w:rPr>
        <w:t>、存续期：指基金合同生效至终止之间的不定期期限</w:t>
      </w:r>
    </w:p>
    <w:p w14:paraId="0250D8C4">
      <w:pPr>
        <w:spacing w:line="360" w:lineRule="auto"/>
        <w:ind w:firstLine="480" w:firstLineChars="200"/>
        <w:rPr>
          <w:sz w:val="24"/>
          <w:szCs w:val="24"/>
        </w:rPr>
      </w:pPr>
      <w:r>
        <w:rPr>
          <w:rFonts w:hint="eastAsia"/>
          <w:sz w:val="24"/>
          <w:szCs w:val="24"/>
        </w:rPr>
        <w:t>3</w:t>
      </w:r>
      <w:r>
        <w:rPr>
          <w:sz w:val="24"/>
          <w:szCs w:val="24"/>
        </w:rPr>
        <w:t>6</w:t>
      </w:r>
      <w:r>
        <w:rPr>
          <w:rFonts w:hint="eastAsia"/>
          <w:sz w:val="24"/>
          <w:szCs w:val="24"/>
        </w:rPr>
        <w:t>、工作日：指上海证券交易所、深圳证券交易所的正常交易日</w:t>
      </w:r>
    </w:p>
    <w:p w14:paraId="729878FE">
      <w:pPr>
        <w:spacing w:line="360" w:lineRule="auto"/>
        <w:ind w:firstLine="480" w:firstLineChars="200"/>
        <w:rPr>
          <w:bCs/>
          <w:sz w:val="24"/>
        </w:rPr>
      </w:pPr>
      <w:r>
        <w:rPr>
          <w:rFonts w:hint="eastAsia"/>
          <w:sz w:val="24"/>
          <w:szCs w:val="24"/>
        </w:rPr>
        <w:t>3</w:t>
      </w:r>
      <w:r>
        <w:rPr>
          <w:sz w:val="24"/>
          <w:szCs w:val="24"/>
        </w:rPr>
        <w:t>7</w:t>
      </w:r>
      <w:r>
        <w:rPr>
          <w:rFonts w:hint="eastAsia"/>
          <w:sz w:val="24"/>
          <w:szCs w:val="24"/>
        </w:rPr>
        <w:t>、</w:t>
      </w:r>
      <w:r>
        <w:rPr>
          <w:rFonts w:hint="eastAsia"/>
          <w:bCs/>
          <w:sz w:val="24"/>
        </w:rPr>
        <w:t>港股通交易日：指上海证券交易所、深圳证券交易所、香港联合交易所的正常交易，且能够满足结算安排的共同交易日。港股通交易日的具体安排，由上海证券交易所、深圳证券交易所的证券交易服务公司对市场公布</w:t>
      </w:r>
    </w:p>
    <w:p w14:paraId="5E66A568">
      <w:pPr>
        <w:spacing w:line="360" w:lineRule="auto"/>
        <w:ind w:firstLine="480" w:firstLineChars="200"/>
        <w:rPr>
          <w:sz w:val="24"/>
          <w:szCs w:val="24"/>
        </w:rPr>
      </w:pPr>
      <w:r>
        <w:rPr>
          <w:rFonts w:hint="eastAsia"/>
          <w:bCs/>
          <w:sz w:val="24"/>
        </w:rPr>
        <w:t>3</w:t>
      </w:r>
      <w:r>
        <w:rPr>
          <w:bCs/>
          <w:sz w:val="24"/>
        </w:rPr>
        <w:t>8</w:t>
      </w:r>
      <w:r>
        <w:rPr>
          <w:rFonts w:hint="eastAsia"/>
          <w:bCs/>
          <w:sz w:val="24"/>
        </w:rPr>
        <w:t>、</w:t>
      </w:r>
      <w:r>
        <w:rPr>
          <w:rFonts w:hint="eastAsia"/>
          <w:sz w:val="24"/>
          <w:szCs w:val="24"/>
        </w:rPr>
        <w:t>T日：指销售机构在规定时间受理投资人申购、赎回或其他业务申请的开放日</w:t>
      </w:r>
    </w:p>
    <w:p w14:paraId="22E45E60">
      <w:pPr>
        <w:spacing w:line="360" w:lineRule="auto"/>
        <w:ind w:firstLine="480" w:firstLineChars="200"/>
        <w:rPr>
          <w:sz w:val="24"/>
          <w:szCs w:val="24"/>
        </w:rPr>
      </w:pPr>
      <w:r>
        <w:rPr>
          <w:rFonts w:hint="eastAsia"/>
          <w:sz w:val="24"/>
          <w:szCs w:val="24"/>
        </w:rPr>
        <w:t>3</w:t>
      </w:r>
      <w:r>
        <w:rPr>
          <w:sz w:val="24"/>
          <w:szCs w:val="24"/>
        </w:rPr>
        <w:t>9</w:t>
      </w:r>
      <w:r>
        <w:rPr>
          <w:rFonts w:hint="eastAsia"/>
          <w:sz w:val="24"/>
          <w:szCs w:val="24"/>
        </w:rPr>
        <w:t>、T+n日：指自T日起第n个工作日（不包含T日），n为自然数</w:t>
      </w:r>
    </w:p>
    <w:p w14:paraId="2E054951">
      <w:pPr>
        <w:spacing w:line="360" w:lineRule="auto"/>
        <w:ind w:firstLine="480" w:firstLineChars="200"/>
        <w:rPr>
          <w:sz w:val="24"/>
          <w:szCs w:val="24"/>
        </w:rPr>
      </w:pPr>
      <w:r>
        <w:rPr>
          <w:sz w:val="24"/>
          <w:szCs w:val="24"/>
        </w:rPr>
        <w:t>40</w:t>
      </w:r>
      <w:r>
        <w:rPr>
          <w:rFonts w:hint="eastAsia"/>
          <w:sz w:val="24"/>
          <w:szCs w:val="24"/>
        </w:rPr>
        <w:t>、开放日：指为投资人办理基金份额申购、赎回或其他业务的工作日（若本基金参与港股通交易且该工作日为非港股通交易日时，则基金管理人可根据实际情况决定本基金是否开放申购、赎回及转换业务，具体以届时提前发布的公告为准）</w:t>
      </w:r>
    </w:p>
    <w:p w14:paraId="1BDA63FF">
      <w:pPr>
        <w:spacing w:line="360" w:lineRule="auto"/>
        <w:ind w:firstLine="480" w:firstLineChars="200"/>
        <w:rPr>
          <w:sz w:val="24"/>
          <w:szCs w:val="24"/>
        </w:rPr>
      </w:pPr>
      <w:r>
        <w:rPr>
          <w:sz w:val="24"/>
          <w:szCs w:val="24"/>
        </w:rPr>
        <w:t>41</w:t>
      </w:r>
      <w:r>
        <w:rPr>
          <w:rFonts w:hint="eastAsia"/>
          <w:sz w:val="24"/>
          <w:szCs w:val="24"/>
        </w:rPr>
        <w:t>、开放时间：指开放日基金接受申购、赎回或其他交易的时间段</w:t>
      </w:r>
    </w:p>
    <w:p w14:paraId="243AF0A0">
      <w:pPr>
        <w:spacing w:line="360" w:lineRule="auto"/>
        <w:ind w:firstLine="480" w:firstLineChars="200"/>
        <w:rPr>
          <w:sz w:val="24"/>
          <w:szCs w:val="24"/>
        </w:rPr>
      </w:pPr>
      <w:r>
        <w:rPr>
          <w:sz w:val="24"/>
          <w:szCs w:val="24"/>
        </w:rPr>
        <w:t>42</w:t>
      </w:r>
      <w:r>
        <w:rPr>
          <w:rFonts w:hint="eastAsia"/>
          <w:sz w:val="24"/>
          <w:szCs w:val="24"/>
        </w:rPr>
        <w:t>、《业务规则》：指《融通基金管理有限公司开放式基金业务规则》，是规范基金管理人所管理的开放式证券投资基金登记方面的业务规则，由基金管理人和投资人共同遵守</w:t>
      </w:r>
    </w:p>
    <w:p w14:paraId="042DEC71">
      <w:pPr>
        <w:spacing w:line="360" w:lineRule="auto"/>
        <w:ind w:firstLine="480" w:firstLineChars="200"/>
        <w:rPr>
          <w:sz w:val="24"/>
          <w:szCs w:val="24"/>
        </w:rPr>
      </w:pPr>
      <w:r>
        <w:rPr>
          <w:sz w:val="24"/>
          <w:szCs w:val="24"/>
        </w:rPr>
        <w:t>43</w:t>
      </w:r>
      <w:r>
        <w:rPr>
          <w:rFonts w:hint="eastAsia"/>
          <w:sz w:val="24"/>
          <w:szCs w:val="24"/>
        </w:rPr>
        <w:t>、认购：指在基金募集期内，投资人根据基金合同和招募说明书的规定申请购买基金份额的行为</w:t>
      </w:r>
    </w:p>
    <w:p w14:paraId="70D45502">
      <w:pPr>
        <w:spacing w:line="360" w:lineRule="auto"/>
        <w:ind w:firstLine="480" w:firstLineChars="200"/>
        <w:rPr>
          <w:sz w:val="24"/>
          <w:szCs w:val="24"/>
        </w:rPr>
      </w:pPr>
      <w:r>
        <w:rPr>
          <w:rFonts w:hint="eastAsia"/>
          <w:sz w:val="24"/>
          <w:szCs w:val="24"/>
        </w:rPr>
        <w:t>4</w:t>
      </w:r>
      <w:r>
        <w:rPr>
          <w:sz w:val="24"/>
          <w:szCs w:val="24"/>
        </w:rPr>
        <w:t>4</w:t>
      </w:r>
      <w:r>
        <w:rPr>
          <w:rFonts w:hint="eastAsia"/>
          <w:sz w:val="24"/>
          <w:szCs w:val="24"/>
        </w:rPr>
        <w:t>、申购：指基金合同生效后，投资人根据基金合同和招募说明书的规定申请购买基金份额的行为</w:t>
      </w:r>
    </w:p>
    <w:p w14:paraId="1CCE2324">
      <w:pPr>
        <w:spacing w:line="360" w:lineRule="auto"/>
        <w:ind w:firstLine="480" w:firstLineChars="200"/>
        <w:rPr>
          <w:sz w:val="24"/>
          <w:szCs w:val="24"/>
        </w:rPr>
      </w:pPr>
      <w:r>
        <w:rPr>
          <w:rFonts w:hint="eastAsia"/>
          <w:sz w:val="24"/>
          <w:szCs w:val="24"/>
        </w:rPr>
        <w:t>4</w:t>
      </w:r>
      <w:r>
        <w:rPr>
          <w:sz w:val="24"/>
          <w:szCs w:val="24"/>
        </w:rPr>
        <w:t>5</w:t>
      </w:r>
      <w:r>
        <w:rPr>
          <w:rFonts w:hint="eastAsia"/>
          <w:sz w:val="24"/>
          <w:szCs w:val="24"/>
        </w:rPr>
        <w:t>、赎回：指基金合同生效后，基金份额持有人按基金合同和招募说明书规定的条件要求将基金份额兑换为现金的行为</w:t>
      </w:r>
    </w:p>
    <w:p w14:paraId="2B26E7D5">
      <w:pPr>
        <w:spacing w:line="360" w:lineRule="auto"/>
        <w:ind w:firstLine="480" w:firstLineChars="200"/>
        <w:rPr>
          <w:sz w:val="24"/>
          <w:szCs w:val="24"/>
        </w:rPr>
      </w:pPr>
      <w:r>
        <w:rPr>
          <w:rFonts w:hint="eastAsia"/>
          <w:sz w:val="24"/>
          <w:szCs w:val="24"/>
        </w:rPr>
        <w:t>4</w:t>
      </w:r>
      <w:r>
        <w:rPr>
          <w:sz w:val="24"/>
          <w:szCs w:val="24"/>
        </w:rPr>
        <w:t>6</w:t>
      </w:r>
      <w:r>
        <w:rPr>
          <w:rFonts w:hint="eastAsia"/>
          <w:sz w:val="24"/>
          <w:szCs w:val="24"/>
        </w:rPr>
        <w:t>、基金转换：指基金份额持有人按照基金合同和基金管理人届时有效公告规定的条件，申请将其持有基金管理人管理的、某一基金的基金份额转换为</w:t>
      </w:r>
      <w:r>
        <w:rPr>
          <w:rFonts w:hint="eastAsia"/>
          <w:bCs/>
          <w:sz w:val="24"/>
        </w:rPr>
        <w:t>该基金其他份额（如有）或</w:t>
      </w:r>
      <w:r>
        <w:rPr>
          <w:rFonts w:hint="eastAsia"/>
          <w:sz w:val="24"/>
          <w:szCs w:val="24"/>
        </w:rPr>
        <w:t>基金管理人管理的其他基金基金份额的行为</w:t>
      </w:r>
    </w:p>
    <w:p w14:paraId="0E98A25C">
      <w:pPr>
        <w:spacing w:line="360" w:lineRule="auto"/>
        <w:ind w:firstLine="480" w:firstLineChars="200"/>
        <w:rPr>
          <w:sz w:val="24"/>
          <w:szCs w:val="24"/>
        </w:rPr>
      </w:pPr>
      <w:r>
        <w:rPr>
          <w:rFonts w:hint="eastAsia"/>
          <w:sz w:val="24"/>
          <w:szCs w:val="24"/>
        </w:rPr>
        <w:t>4</w:t>
      </w:r>
      <w:r>
        <w:rPr>
          <w:sz w:val="24"/>
          <w:szCs w:val="24"/>
        </w:rPr>
        <w:t>7</w:t>
      </w:r>
      <w:r>
        <w:rPr>
          <w:rFonts w:hint="eastAsia"/>
          <w:sz w:val="24"/>
          <w:szCs w:val="24"/>
        </w:rPr>
        <w:t>、转托管：指基金份额持有人在本基金的不同销售机构之间实施的变更所持基金份额销售机构的操作</w:t>
      </w:r>
    </w:p>
    <w:p w14:paraId="10995DF2">
      <w:pPr>
        <w:spacing w:line="360" w:lineRule="auto"/>
        <w:ind w:firstLine="480" w:firstLineChars="200"/>
        <w:rPr>
          <w:sz w:val="24"/>
          <w:szCs w:val="24"/>
        </w:rPr>
      </w:pPr>
      <w:r>
        <w:rPr>
          <w:rFonts w:hint="eastAsia"/>
          <w:sz w:val="24"/>
          <w:szCs w:val="24"/>
        </w:rPr>
        <w:t>4</w:t>
      </w:r>
      <w:r>
        <w:rPr>
          <w:sz w:val="24"/>
          <w:szCs w:val="24"/>
        </w:rPr>
        <w:t>8</w:t>
      </w:r>
      <w:r>
        <w:rPr>
          <w:rFonts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6B5BB11">
      <w:pPr>
        <w:spacing w:line="360" w:lineRule="auto"/>
        <w:ind w:firstLine="480" w:firstLineChars="200"/>
        <w:rPr>
          <w:sz w:val="24"/>
          <w:szCs w:val="24"/>
        </w:rPr>
      </w:pPr>
      <w:r>
        <w:rPr>
          <w:rFonts w:hint="eastAsia"/>
          <w:sz w:val="24"/>
          <w:szCs w:val="24"/>
        </w:rPr>
        <w:t>4</w:t>
      </w:r>
      <w:r>
        <w:rPr>
          <w:sz w:val="24"/>
          <w:szCs w:val="24"/>
        </w:rPr>
        <w:t>9</w:t>
      </w:r>
      <w:r>
        <w:rPr>
          <w:rFonts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64D6772E">
      <w:pPr>
        <w:spacing w:line="360" w:lineRule="auto"/>
        <w:ind w:firstLine="480" w:firstLineChars="200"/>
        <w:rPr>
          <w:sz w:val="24"/>
          <w:szCs w:val="24"/>
        </w:rPr>
      </w:pPr>
      <w:r>
        <w:rPr>
          <w:sz w:val="24"/>
          <w:szCs w:val="24"/>
        </w:rPr>
        <w:t>50</w:t>
      </w:r>
      <w:r>
        <w:rPr>
          <w:rFonts w:hint="eastAsia"/>
          <w:sz w:val="24"/>
          <w:szCs w:val="24"/>
        </w:rPr>
        <w:t>、元：指人民币元</w:t>
      </w:r>
    </w:p>
    <w:p w14:paraId="12A71128">
      <w:pPr>
        <w:spacing w:line="360" w:lineRule="auto"/>
        <w:ind w:firstLine="480" w:firstLineChars="200"/>
        <w:rPr>
          <w:sz w:val="24"/>
          <w:szCs w:val="24"/>
        </w:rPr>
      </w:pPr>
      <w:r>
        <w:rPr>
          <w:sz w:val="24"/>
          <w:szCs w:val="24"/>
        </w:rPr>
        <w:t>51</w:t>
      </w:r>
      <w:r>
        <w:rPr>
          <w:rFonts w:hint="eastAsia"/>
          <w:sz w:val="24"/>
          <w:szCs w:val="24"/>
        </w:rPr>
        <w:t>、基金收益：指基金投资所得红利、股息、债券利息、买卖证券价差、银行存款利息、已实现的其他合法收入及因运用基金财产带来的成本和费用的节约</w:t>
      </w:r>
    </w:p>
    <w:p w14:paraId="2E49DF29">
      <w:pPr>
        <w:spacing w:line="360" w:lineRule="auto"/>
        <w:ind w:firstLine="480" w:firstLineChars="200"/>
        <w:rPr>
          <w:sz w:val="24"/>
          <w:szCs w:val="24"/>
        </w:rPr>
      </w:pPr>
      <w:r>
        <w:rPr>
          <w:sz w:val="24"/>
          <w:szCs w:val="24"/>
        </w:rPr>
        <w:t>52</w:t>
      </w:r>
      <w:r>
        <w:rPr>
          <w:rFonts w:hint="eastAsia"/>
          <w:sz w:val="24"/>
          <w:szCs w:val="24"/>
        </w:rPr>
        <w:t>、基金资产总值：指基金拥有的各类有价证券、银行存款本息、期货合约、基金应收</w:t>
      </w:r>
      <w:r>
        <w:rPr>
          <w:rFonts w:hint="eastAsia"/>
          <w:bCs/>
          <w:sz w:val="24"/>
        </w:rPr>
        <w:t>款项</w:t>
      </w:r>
      <w:r>
        <w:rPr>
          <w:rFonts w:hint="eastAsia"/>
          <w:sz w:val="24"/>
          <w:szCs w:val="24"/>
        </w:rPr>
        <w:t>及其他资产的价值总和</w:t>
      </w:r>
    </w:p>
    <w:p w14:paraId="6302E123">
      <w:pPr>
        <w:spacing w:line="360" w:lineRule="auto"/>
        <w:ind w:firstLine="480" w:firstLineChars="200"/>
        <w:rPr>
          <w:sz w:val="24"/>
          <w:szCs w:val="24"/>
        </w:rPr>
      </w:pPr>
      <w:r>
        <w:rPr>
          <w:sz w:val="24"/>
          <w:szCs w:val="24"/>
        </w:rPr>
        <w:t>53</w:t>
      </w:r>
      <w:r>
        <w:rPr>
          <w:rFonts w:hint="eastAsia"/>
          <w:sz w:val="24"/>
          <w:szCs w:val="24"/>
        </w:rPr>
        <w:t>、基金资产净值：指基金资产总值减去基金负债后的价值</w:t>
      </w:r>
    </w:p>
    <w:p w14:paraId="0083F33B">
      <w:pPr>
        <w:spacing w:line="360" w:lineRule="auto"/>
        <w:ind w:firstLine="480" w:firstLineChars="200"/>
        <w:rPr>
          <w:sz w:val="24"/>
          <w:szCs w:val="24"/>
        </w:rPr>
      </w:pPr>
      <w:r>
        <w:rPr>
          <w:rFonts w:hint="eastAsia"/>
          <w:sz w:val="24"/>
          <w:szCs w:val="24"/>
        </w:rPr>
        <w:t>5</w:t>
      </w:r>
      <w:r>
        <w:rPr>
          <w:sz w:val="24"/>
          <w:szCs w:val="24"/>
        </w:rPr>
        <w:t>4</w:t>
      </w:r>
      <w:r>
        <w:rPr>
          <w:rFonts w:hint="eastAsia"/>
          <w:sz w:val="24"/>
          <w:szCs w:val="24"/>
        </w:rPr>
        <w:t>、基金份额净值：指计算日基金资产净值除以计算日基金份额总数</w:t>
      </w:r>
    </w:p>
    <w:p w14:paraId="6116C70B">
      <w:pPr>
        <w:spacing w:line="360" w:lineRule="auto"/>
        <w:ind w:firstLine="480" w:firstLineChars="200"/>
        <w:rPr>
          <w:sz w:val="24"/>
          <w:szCs w:val="24"/>
        </w:rPr>
      </w:pPr>
      <w:r>
        <w:rPr>
          <w:rFonts w:hint="eastAsia"/>
          <w:sz w:val="24"/>
          <w:szCs w:val="24"/>
        </w:rPr>
        <w:t>5</w:t>
      </w:r>
      <w:r>
        <w:rPr>
          <w:sz w:val="24"/>
          <w:szCs w:val="24"/>
        </w:rPr>
        <w:t>5</w:t>
      </w:r>
      <w:r>
        <w:rPr>
          <w:rFonts w:hint="eastAsia"/>
          <w:sz w:val="24"/>
          <w:szCs w:val="24"/>
        </w:rPr>
        <w:t>、基金资产估值：指计算评估基金资产和负债的价值，以确定基金资产净值和基金份额净值的过程</w:t>
      </w:r>
    </w:p>
    <w:p w14:paraId="41DEDC12">
      <w:pPr>
        <w:spacing w:line="360" w:lineRule="auto"/>
        <w:ind w:firstLine="480" w:firstLineChars="200"/>
        <w:rPr>
          <w:sz w:val="24"/>
          <w:szCs w:val="24"/>
        </w:rPr>
      </w:pPr>
      <w:r>
        <w:rPr>
          <w:rFonts w:hint="eastAsia"/>
          <w:sz w:val="24"/>
          <w:szCs w:val="24"/>
        </w:rPr>
        <w:t>5</w:t>
      </w:r>
      <w:r>
        <w:rPr>
          <w:sz w:val="24"/>
          <w:szCs w:val="24"/>
        </w:rPr>
        <w:t>6</w:t>
      </w:r>
      <w:r>
        <w:rPr>
          <w:rFonts w:hint="eastAsia"/>
          <w:sz w:val="24"/>
          <w:szCs w:val="24"/>
        </w:rPr>
        <w:t>、基金份额的类别：本基金根据认购费、申购费、销售服务费收取方式等不同，将基金份额分为不同的类别</w:t>
      </w:r>
    </w:p>
    <w:p w14:paraId="1DAD7323">
      <w:pPr>
        <w:spacing w:line="360" w:lineRule="auto"/>
        <w:ind w:firstLine="480" w:firstLineChars="200"/>
        <w:rPr>
          <w:sz w:val="24"/>
          <w:szCs w:val="24"/>
        </w:rPr>
      </w:pPr>
      <w:r>
        <w:rPr>
          <w:rFonts w:hint="eastAsia"/>
          <w:sz w:val="24"/>
          <w:szCs w:val="24"/>
        </w:rPr>
        <w:t>5</w:t>
      </w:r>
      <w:r>
        <w:rPr>
          <w:sz w:val="24"/>
          <w:szCs w:val="24"/>
        </w:rPr>
        <w:t>7</w:t>
      </w:r>
      <w:r>
        <w:rPr>
          <w:rFonts w:hint="eastAsia"/>
          <w:sz w:val="24"/>
          <w:szCs w:val="24"/>
        </w:rPr>
        <w:t>、A类基金份额：</w:t>
      </w:r>
      <w:bookmarkStart w:id="53" w:name="_Hlk219289270"/>
      <w:r>
        <w:rPr>
          <w:rFonts w:hint="eastAsia"/>
          <w:sz w:val="24"/>
          <w:szCs w:val="24"/>
        </w:rPr>
        <w:t>指在投资者</w:t>
      </w:r>
      <w:r>
        <w:rPr>
          <w:rFonts w:hint="eastAsia"/>
          <w:bCs/>
          <w:kern w:val="0"/>
          <w:sz w:val="24"/>
          <w:szCs w:val="24"/>
          <w:lang w:bidi="en-US"/>
        </w:rPr>
        <w:t>通过直销机构以外的其他销售机构</w:t>
      </w:r>
      <w:r>
        <w:rPr>
          <w:rFonts w:hint="eastAsia"/>
          <w:sz w:val="24"/>
          <w:szCs w:val="24"/>
        </w:rPr>
        <w:t>认购/申购时收取认购费/申购费，但不从本类别基金资产中计提销售服务费的基金份额</w:t>
      </w:r>
      <w:r>
        <w:rPr>
          <w:rFonts w:hint="eastAsia"/>
          <w:bCs/>
          <w:sz w:val="24"/>
        </w:rPr>
        <w:t>类别</w:t>
      </w:r>
      <w:r>
        <w:rPr>
          <w:rFonts w:hint="eastAsia"/>
          <w:bCs/>
          <w:kern w:val="0"/>
          <w:sz w:val="24"/>
          <w:szCs w:val="24"/>
          <w:lang w:bidi="en-US"/>
        </w:rPr>
        <w:t>；投资者通过直销机构认购/申购时不收取认购费/申购费</w:t>
      </w:r>
      <w:bookmarkEnd w:id="53"/>
    </w:p>
    <w:p w14:paraId="0711F5D4">
      <w:pPr>
        <w:spacing w:line="360" w:lineRule="auto"/>
        <w:ind w:firstLine="480" w:firstLineChars="200"/>
        <w:rPr>
          <w:bCs/>
          <w:sz w:val="24"/>
        </w:rPr>
      </w:pPr>
      <w:r>
        <w:rPr>
          <w:rFonts w:hint="eastAsia"/>
          <w:sz w:val="24"/>
          <w:szCs w:val="24"/>
        </w:rPr>
        <w:t>5</w:t>
      </w:r>
      <w:r>
        <w:rPr>
          <w:sz w:val="24"/>
          <w:szCs w:val="24"/>
        </w:rPr>
        <w:t>8</w:t>
      </w:r>
      <w:r>
        <w:rPr>
          <w:rFonts w:hint="eastAsia"/>
          <w:sz w:val="24"/>
          <w:szCs w:val="24"/>
        </w:rPr>
        <w:t>、C类基金份额：</w:t>
      </w:r>
      <w:bookmarkStart w:id="54" w:name="_Hlk219289286"/>
      <w:r>
        <w:rPr>
          <w:rFonts w:hint="eastAsia"/>
          <w:sz w:val="24"/>
          <w:szCs w:val="24"/>
        </w:rPr>
        <w:t>指</w:t>
      </w:r>
      <w:r>
        <w:rPr>
          <w:bCs/>
          <w:kern w:val="0"/>
          <w:sz w:val="24"/>
          <w:szCs w:val="24"/>
          <w:lang w:bidi="en-US"/>
        </w:rPr>
        <w:t>在投资者认购/申购时</w:t>
      </w:r>
      <w:r>
        <w:rPr>
          <w:rFonts w:hint="eastAsia"/>
          <w:sz w:val="24"/>
          <w:szCs w:val="24"/>
        </w:rPr>
        <w:t>不收取认购费/申购费，而从</w:t>
      </w:r>
      <w:r>
        <w:rPr>
          <w:rFonts w:hint="eastAsia"/>
          <w:bCs/>
          <w:kern w:val="0"/>
          <w:sz w:val="24"/>
          <w:szCs w:val="24"/>
          <w:lang w:bidi="en-US"/>
        </w:rPr>
        <w:t>直销机构以外的其他销售机构保有的</w:t>
      </w:r>
      <w:r>
        <w:rPr>
          <w:rFonts w:hint="eastAsia"/>
          <w:sz w:val="24"/>
          <w:szCs w:val="24"/>
        </w:rPr>
        <w:t>本类别基金资产中</w:t>
      </w:r>
      <w:r>
        <w:rPr>
          <w:rFonts w:hint="eastAsia"/>
          <w:bCs/>
          <w:sz w:val="24"/>
        </w:rPr>
        <w:t>收取</w:t>
      </w:r>
      <w:r>
        <w:rPr>
          <w:rFonts w:hint="eastAsia"/>
          <w:sz w:val="24"/>
          <w:szCs w:val="24"/>
        </w:rPr>
        <w:t>销售服务费的基金份额</w:t>
      </w:r>
      <w:r>
        <w:rPr>
          <w:rFonts w:hint="eastAsia"/>
          <w:bCs/>
          <w:sz w:val="24"/>
        </w:rPr>
        <w:t>类别</w:t>
      </w:r>
      <w:r>
        <w:rPr>
          <w:rFonts w:hint="eastAsia"/>
          <w:bCs/>
          <w:kern w:val="0"/>
          <w:sz w:val="24"/>
          <w:szCs w:val="24"/>
          <w:lang w:bidi="en-US"/>
        </w:rPr>
        <w:t>；其中，对于投资者通过直销机构认购/申购的C类基金份额，计提的销售服务费将在投资者赎回相应基金份额或基金合同终止时随赎回款或清算款一并返还给投资者；对于投资者通过其他销售机构认购/申购的C类基金份额，</w:t>
      </w:r>
      <w:r>
        <w:rPr>
          <w:bCs/>
          <w:kern w:val="0"/>
          <w:sz w:val="24"/>
          <w:szCs w:val="24"/>
          <w:lang w:bidi="en-US"/>
        </w:rPr>
        <w:t>持续持有期限超过一年</w:t>
      </w:r>
      <w:r>
        <w:rPr>
          <w:rFonts w:hint="eastAsia"/>
          <w:bCs/>
          <w:kern w:val="0"/>
          <w:sz w:val="24"/>
          <w:szCs w:val="24"/>
          <w:lang w:bidi="en-US"/>
        </w:rPr>
        <w:t>继续计提的销售服务费将在投资者赎回相应基金份额或基金合同终止时随赎回款或清算款一并返还给投资者</w:t>
      </w:r>
      <w:bookmarkEnd w:id="54"/>
    </w:p>
    <w:p w14:paraId="4305B9B0">
      <w:pPr>
        <w:spacing w:line="360" w:lineRule="auto"/>
        <w:ind w:firstLine="480" w:firstLineChars="200"/>
        <w:rPr>
          <w:sz w:val="24"/>
          <w:szCs w:val="24"/>
        </w:rPr>
      </w:pPr>
      <w:r>
        <w:rPr>
          <w:rFonts w:hint="eastAsia"/>
          <w:sz w:val="24"/>
          <w:szCs w:val="24"/>
        </w:rPr>
        <w:t>5</w:t>
      </w:r>
      <w:r>
        <w:rPr>
          <w:sz w:val="24"/>
          <w:szCs w:val="24"/>
        </w:rPr>
        <w:t>9</w:t>
      </w:r>
      <w:r>
        <w:rPr>
          <w:rFonts w:hint="eastAsia"/>
          <w:sz w:val="24"/>
          <w:szCs w:val="24"/>
        </w:rPr>
        <w:t>、</w:t>
      </w:r>
      <w:r>
        <w:rPr>
          <w:rFonts w:hint="eastAsia"/>
          <w:bCs/>
          <w:sz w:val="24"/>
        </w:rPr>
        <w:t>港股通</w:t>
      </w:r>
      <w:r>
        <w:rPr>
          <w:rFonts w:hint="eastAsia"/>
          <w:sz w:val="24"/>
          <w:szCs w:val="24"/>
        </w:rPr>
        <w:t>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4DB16F4D">
      <w:pPr>
        <w:spacing w:line="360" w:lineRule="auto"/>
        <w:ind w:firstLine="480" w:firstLineChars="200"/>
        <w:rPr>
          <w:sz w:val="24"/>
          <w:szCs w:val="24"/>
        </w:rPr>
      </w:pPr>
      <w:r>
        <w:rPr>
          <w:sz w:val="24"/>
          <w:szCs w:val="24"/>
        </w:rPr>
        <w:t>60</w:t>
      </w:r>
      <w:r>
        <w:rPr>
          <w:rFonts w:hint="eastAsia"/>
          <w:sz w:val="24"/>
          <w:szCs w:val="24"/>
        </w:rPr>
        <w:t>、沪港通：包括沪股通和沪港通下的港股通。沪股通，是指投资者委托香港经纪商，经由香港联合交易所在上海设立的证券交易服务公司，向上海证券交易所进行申报（买卖盘传递），买卖沪港通规定范围内的上海证券交易所上市的股票。沪港通下的港股通，是指投资者委托内地证券公司，经由上海证券交易所在香港设立的证券交易服务公司，向香港联合交易所进行申报（买卖盘传递），买卖沪港通规定范围内的香港联合交易所上市的股票</w:t>
      </w:r>
    </w:p>
    <w:p w14:paraId="2B07B910">
      <w:pPr>
        <w:spacing w:line="360" w:lineRule="auto"/>
        <w:ind w:firstLine="480" w:firstLineChars="200"/>
        <w:rPr>
          <w:sz w:val="24"/>
          <w:szCs w:val="24"/>
        </w:rPr>
      </w:pPr>
      <w:r>
        <w:rPr>
          <w:sz w:val="24"/>
          <w:szCs w:val="24"/>
        </w:rPr>
        <w:t>61</w:t>
      </w:r>
      <w:r>
        <w:rPr>
          <w:rFonts w:hint="eastAsia"/>
          <w:sz w:val="24"/>
          <w:szCs w:val="24"/>
        </w:rPr>
        <w:t>、深港通：包括深股通和深港通下的港股通。深股通，是指投资者委托香港经纪商，经由香港联合交易所在深圳设立的证券交易服务公司，向深圳证券交易所进行申报（买卖盘传递），买卖深港通规定范围内的深圳证券交易所上市的股票。深港通下的港股通，是指投资者委托内地证券公司，经由深圳证券交易所在香港设立的证券交易服务公司，向香港联合交易所进行申报（买卖盘传递），买卖深港通规定范围内的香港联合交易所上市的股票</w:t>
      </w:r>
    </w:p>
    <w:p w14:paraId="6253575A">
      <w:pPr>
        <w:spacing w:line="360" w:lineRule="auto"/>
        <w:ind w:firstLine="480" w:firstLineChars="200"/>
        <w:rPr>
          <w:sz w:val="24"/>
          <w:szCs w:val="24"/>
        </w:rPr>
      </w:pPr>
      <w:r>
        <w:rPr>
          <w:sz w:val="24"/>
          <w:szCs w:val="24"/>
        </w:rPr>
        <w:t>62</w:t>
      </w:r>
      <w:r>
        <w:rPr>
          <w:rFonts w:hint="eastAsia"/>
          <w:sz w:val="24"/>
          <w:szCs w:val="24"/>
        </w:rPr>
        <w:t>、港股通：包括沪港通下的港股通和深港通下的港股通</w:t>
      </w:r>
    </w:p>
    <w:p w14:paraId="324B0EE8">
      <w:pPr>
        <w:spacing w:line="360" w:lineRule="auto"/>
        <w:ind w:firstLine="480" w:firstLineChars="200"/>
        <w:rPr>
          <w:sz w:val="24"/>
          <w:szCs w:val="24"/>
        </w:rPr>
      </w:pPr>
      <w:r>
        <w:rPr>
          <w:sz w:val="24"/>
          <w:szCs w:val="24"/>
        </w:rPr>
        <w:t>63</w:t>
      </w:r>
      <w:r>
        <w:rPr>
          <w:rFonts w:hint="eastAsia"/>
          <w:sz w:val="24"/>
          <w:szCs w:val="24"/>
        </w:rPr>
        <w:t>、规定媒介：指符合中国证监会规定条件的用以进行信息披露的全国性报刊及《信息披露办法》规定的互联网网站（包括基金管理人网站、基金托管人网站、中国证监会基金电子信息披露网站）等媒介</w:t>
      </w:r>
    </w:p>
    <w:p w14:paraId="0487B3C0">
      <w:pPr>
        <w:spacing w:line="360" w:lineRule="auto"/>
        <w:ind w:firstLine="480" w:firstLineChars="200"/>
        <w:rPr>
          <w:sz w:val="24"/>
          <w:szCs w:val="24"/>
        </w:rPr>
      </w:pPr>
      <w:r>
        <w:rPr>
          <w:rFonts w:hint="eastAsia"/>
          <w:sz w:val="24"/>
          <w:szCs w:val="24"/>
        </w:rPr>
        <w:t>6</w:t>
      </w:r>
      <w:r>
        <w:rPr>
          <w:sz w:val="24"/>
          <w:szCs w:val="24"/>
        </w:rPr>
        <w:t>4</w:t>
      </w:r>
      <w:r>
        <w:rPr>
          <w:rFonts w:hint="eastAsia"/>
          <w:sz w:val="24"/>
          <w:szCs w:val="24"/>
        </w:rPr>
        <w:t>、销售服务费：指从基金财产中收取的，用于本基金市场推广、销售以及基金份额持有人服务的费用</w:t>
      </w:r>
    </w:p>
    <w:p w14:paraId="65077B94">
      <w:pPr>
        <w:spacing w:line="360" w:lineRule="auto"/>
        <w:ind w:firstLine="480" w:firstLineChars="200"/>
        <w:rPr>
          <w:sz w:val="24"/>
          <w:szCs w:val="24"/>
        </w:rPr>
      </w:pPr>
      <w:r>
        <w:rPr>
          <w:rFonts w:hint="eastAsia"/>
          <w:sz w:val="24"/>
          <w:szCs w:val="24"/>
        </w:rPr>
        <w:t>6</w:t>
      </w:r>
      <w:r>
        <w:rPr>
          <w:sz w:val="24"/>
          <w:szCs w:val="24"/>
        </w:rPr>
        <w:t>5</w:t>
      </w:r>
      <w:r>
        <w:rPr>
          <w:rFonts w:hint="eastAsia"/>
          <w:sz w:val="24"/>
          <w:szCs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B1CCAC2">
      <w:pPr>
        <w:spacing w:line="360" w:lineRule="auto"/>
        <w:ind w:firstLine="480" w:firstLineChars="200"/>
        <w:rPr>
          <w:sz w:val="24"/>
          <w:szCs w:val="24"/>
        </w:rPr>
      </w:pPr>
      <w:r>
        <w:rPr>
          <w:rFonts w:hint="eastAsia"/>
          <w:sz w:val="24"/>
          <w:szCs w:val="24"/>
        </w:rPr>
        <w:t>6</w:t>
      </w:r>
      <w:r>
        <w:rPr>
          <w:sz w:val="24"/>
          <w:szCs w:val="24"/>
        </w:rPr>
        <w:t>6</w:t>
      </w:r>
      <w:r>
        <w:rPr>
          <w:rFonts w:hint="eastAsia"/>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A9B6731">
      <w:pPr>
        <w:spacing w:line="360" w:lineRule="auto"/>
        <w:ind w:firstLine="480" w:firstLineChars="200"/>
        <w:rPr>
          <w:sz w:val="24"/>
          <w:szCs w:val="24"/>
        </w:rPr>
      </w:pPr>
      <w:r>
        <w:rPr>
          <w:rFonts w:hint="eastAsia"/>
          <w:sz w:val="24"/>
          <w:szCs w:val="24"/>
        </w:rPr>
        <w:t>6</w:t>
      </w:r>
      <w:r>
        <w:rPr>
          <w:sz w:val="24"/>
          <w:szCs w:val="24"/>
        </w:rPr>
        <w:t>7</w:t>
      </w:r>
      <w:r>
        <w:rPr>
          <w:rFonts w:hint="eastAsia"/>
          <w:sz w:val="24"/>
          <w:szCs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6D2A03C">
      <w:pPr>
        <w:spacing w:line="360" w:lineRule="auto"/>
        <w:ind w:firstLine="480" w:firstLineChars="200"/>
        <w:rPr>
          <w:sz w:val="24"/>
          <w:szCs w:val="24"/>
        </w:rPr>
      </w:pPr>
      <w:r>
        <w:rPr>
          <w:rFonts w:hint="eastAsia"/>
          <w:sz w:val="24"/>
          <w:szCs w:val="24"/>
        </w:rPr>
        <w:t>6</w:t>
      </w:r>
      <w:r>
        <w:rPr>
          <w:sz w:val="24"/>
          <w:szCs w:val="24"/>
        </w:rPr>
        <w:t>8</w:t>
      </w:r>
      <w:r>
        <w:rPr>
          <w:rFonts w:hint="eastAsia"/>
          <w:sz w:val="24"/>
          <w:szCs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95A0B0C">
      <w:pPr>
        <w:spacing w:line="360" w:lineRule="auto"/>
        <w:ind w:firstLine="480" w:firstLineChars="200"/>
        <w:rPr>
          <w:bCs/>
          <w:sz w:val="24"/>
        </w:rPr>
      </w:pPr>
      <w:r>
        <w:rPr>
          <w:bCs/>
          <w:sz w:val="24"/>
        </w:rPr>
        <w:t>69</w:t>
      </w:r>
      <w:r>
        <w:rPr>
          <w:rFonts w:hint="eastAsia"/>
          <w:bCs/>
          <w:sz w:val="24"/>
        </w:rPr>
        <w:t>、发起资金：指用于认购本基金且来源于基金管理人股东资金或基金管理人固有资金、基金管理人高级管理人员或基金经理（指基金管理人员工中依法具有基金经理资格者，包括但可能不限于本基金的基金经理，下同）等人员参与认购的资金。发起资金认购本基金的金额不低于1000万元，且发起资金认购的基金份额持有期限自基金合同生效之日起不低于三年，法律法规、中国证监会另有规定的除外</w:t>
      </w:r>
    </w:p>
    <w:p w14:paraId="2E667865">
      <w:pPr>
        <w:spacing w:line="360" w:lineRule="auto"/>
        <w:ind w:firstLine="480" w:firstLineChars="200"/>
        <w:rPr>
          <w:bCs/>
          <w:sz w:val="24"/>
        </w:rPr>
      </w:pPr>
      <w:r>
        <w:rPr>
          <w:bCs/>
          <w:sz w:val="24"/>
        </w:rPr>
        <w:t>70</w:t>
      </w:r>
      <w:r>
        <w:rPr>
          <w:rFonts w:hint="eastAsia"/>
          <w:bCs/>
          <w:sz w:val="24"/>
        </w:rPr>
        <w:t>、发起资金提供方：以发起资金认购本基金且承诺以发起资金认购的基金份额持有期限自基金合同生效之日起不少于三年的基金管理人的股东、基金管理人、基金管理人高级管理人员或基金经理等人员</w:t>
      </w:r>
    </w:p>
    <w:p w14:paraId="2C25748A">
      <w:pPr>
        <w:spacing w:line="360" w:lineRule="auto"/>
        <w:ind w:firstLine="480" w:firstLineChars="200"/>
        <w:rPr>
          <w:sz w:val="24"/>
          <w:szCs w:val="24"/>
        </w:rPr>
      </w:pPr>
      <w:r>
        <w:rPr>
          <w:bCs/>
          <w:sz w:val="24"/>
        </w:rPr>
        <w:t>71</w:t>
      </w:r>
      <w:r>
        <w:rPr>
          <w:rFonts w:hint="eastAsia"/>
          <w:bCs/>
          <w:sz w:val="24"/>
        </w:rPr>
        <w:t>、</w:t>
      </w:r>
      <w:r>
        <w:rPr>
          <w:rFonts w:hint="eastAsia"/>
          <w:sz w:val="24"/>
          <w:szCs w:val="24"/>
        </w:rPr>
        <w:t>不可抗力：指基金合同当事人不能预见、不能避免且不能克服的客观事件</w:t>
      </w:r>
    </w:p>
    <w:bookmarkEnd w:id="52"/>
    <w:p w14:paraId="33F48E4D">
      <w:pPr>
        <w:pStyle w:val="2"/>
        <w:spacing w:before="0" w:after="0"/>
        <w:jc w:val="center"/>
        <w:rPr>
          <w:rFonts w:ascii="Times New Roman"/>
          <w:color w:val="auto"/>
          <w:szCs w:val="24"/>
        </w:rPr>
      </w:pPr>
      <w:r>
        <w:rPr>
          <w:rFonts w:ascii="Times New Roman"/>
          <w:b w:val="0"/>
          <w:bCs/>
          <w:color w:val="auto"/>
          <w:szCs w:val="24"/>
        </w:rPr>
        <w:br w:type="page"/>
      </w:r>
      <w:bookmarkStart w:id="55" w:name="_Toc5246"/>
      <w:bookmarkStart w:id="56" w:name="_Toc326752127"/>
      <w:bookmarkStart w:id="57" w:name="_Toc345339058"/>
      <w:bookmarkStart w:id="58" w:name="_Toc216103536"/>
      <w:bookmarkStart w:id="59" w:name="_Toc48032540"/>
      <w:bookmarkStart w:id="60" w:name="_Toc22708"/>
      <w:bookmarkStart w:id="61" w:name="_Toc20318"/>
      <w:bookmarkStart w:id="62" w:name="_Toc733"/>
      <w:bookmarkStart w:id="63" w:name="_Toc24571"/>
      <w:bookmarkStart w:id="64" w:name="_Toc20627"/>
      <w:bookmarkStart w:id="65" w:name="_Toc13288"/>
      <w:bookmarkStart w:id="66" w:name="_Toc545"/>
      <w:bookmarkStart w:id="67" w:name="_Toc18631"/>
      <w:bookmarkStart w:id="68" w:name="_Toc6149"/>
      <w:bookmarkStart w:id="69" w:name="_Toc6683"/>
      <w:bookmarkStart w:id="70" w:name="_Toc233456272"/>
      <w:bookmarkStart w:id="71" w:name="_Toc258829400"/>
      <w:r>
        <w:rPr>
          <w:rFonts w:ascii="Times New Roman"/>
          <w:color w:val="auto"/>
          <w:szCs w:val="24"/>
        </w:rPr>
        <w:t>第三部分  基金</w:t>
      </w:r>
      <w:bookmarkEnd w:id="55"/>
      <w:r>
        <w:rPr>
          <w:rFonts w:hint="eastAsia" w:ascii="Times New Roman"/>
          <w:color w:val="auto"/>
          <w:szCs w:val="24"/>
        </w:rPr>
        <w:t>管理人</w:t>
      </w:r>
      <w:bookmarkEnd w:id="56"/>
      <w:bookmarkEnd w:id="57"/>
      <w:bookmarkEnd w:id="58"/>
      <w:bookmarkEnd w:id="59"/>
    </w:p>
    <w:p w14:paraId="4803F457">
      <w:pPr>
        <w:spacing w:line="360" w:lineRule="auto"/>
        <w:rPr>
          <w:sz w:val="24"/>
          <w:szCs w:val="24"/>
        </w:rPr>
      </w:pPr>
    </w:p>
    <w:p w14:paraId="5AC19BAC">
      <w:pPr>
        <w:spacing w:line="360" w:lineRule="auto"/>
        <w:ind w:firstLine="480" w:firstLineChars="200"/>
        <w:rPr>
          <w:sz w:val="24"/>
          <w:szCs w:val="24"/>
        </w:rPr>
      </w:pPr>
      <w:bookmarkStart w:id="72" w:name="OLE_LINK5"/>
      <w:r>
        <w:rPr>
          <w:rFonts w:hint="eastAsia"/>
          <w:sz w:val="24"/>
          <w:szCs w:val="24"/>
        </w:rPr>
        <w:t>一、基金管理人概况</w:t>
      </w:r>
    </w:p>
    <w:p w14:paraId="507E0F2B">
      <w:pPr>
        <w:spacing w:line="360" w:lineRule="auto"/>
        <w:ind w:firstLine="480" w:firstLineChars="200"/>
        <w:rPr>
          <w:sz w:val="24"/>
          <w:szCs w:val="24"/>
        </w:rPr>
      </w:pPr>
      <w:r>
        <w:rPr>
          <w:rFonts w:hint="eastAsia"/>
          <w:sz w:val="24"/>
          <w:szCs w:val="24"/>
        </w:rPr>
        <w:t>名称：融通基金管理有限公司</w:t>
      </w:r>
    </w:p>
    <w:p w14:paraId="0F18BDDD">
      <w:pPr>
        <w:spacing w:line="360" w:lineRule="auto"/>
        <w:ind w:firstLine="480" w:firstLineChars="200"/>
        <w:rPr>
          <w:sz w:val="24"/>
          <w:szCs w:val="24"/>
        </w:rPr>
      </w:pPr>
      <w:r>
        <w:rPr>
          <w:rFonts w:hint="eastAsia"/>
          <w:sz w:val="24"/>
          <w:szCs w:val="24"/>
        </w:rPr>
        <w:t>住所：深圳市南山区粤海街道海珠社区海德三道1066号深创投广场41层、42层</w:t>
      </w:r>
    </w:p>
    <w:p w14:paraId="43388793">
      <w:pPr>
        <w:spacing w:line="360" w:lineRule="auto"/>
        <w:ind w:firstLine="480" w:firstLineChars="200"/>
        <w:rPr>
          <w:sz w:val="24"/>
          <w:szCs w:val="24"/>
        </w:rPr>
      </w:pPr>
      <w:r>
        <w:rPr>
          <w:rFonts w:hint="eastAsia"/>
          <w:sz w:val="24"/>
          <w:szCs w:val="24"/>
        </w:rPr>
        <w:t>设立日期：2001年5月22日</w:t>
      </w:r>
    </w:p>
    <w:p w14:paraId="6AB5E665">
      <w:pPr>
        <w:spacing w:line="360" w:lineRule="auto"/>
        <w:ind w:firstLine="480" w:firstLineChars="200"/>
        <w:rPr>
          <w:sz w:val="24"/>
          <w:szCs w:val="24"/>
        </w:rPr>
      </w:pPr>
      <w:r>
        <w:rPr>
          <w:rFonts w:hint="eastAsia"/>
          <w:sz w:val="24"/>
          <w:szCs w:val="24"/>
        </w:rPr>
        <w:t>法定代表人：张威</w:t>
      </w:r>
    </w:p>
    <w:p w14:paraId="5F54A248">
      <w:pPr>
        <w:spacing w:line="360" w:lineRule="auto"/>
        <w:ind w:firstLine="480" w:firstLineChars="200"/>
        <w:rPr>
          <w:sz w:val="24"/>
          <w:szCs w:val="24"/>
        </w:rPr>
      </w:pPr>
      <w:r>
        <w:rPr>
          <w:rFonts w:hint="eastAsia"/>
          <w:sz w:val="24"/>
          <w:szCs w:val="24"/>
        </w:rPr>
        <w:t>办公地址：深圳市南山区粤海街道海珠社区海德三道1066号深创投广场41层、42层</w:t>
      </w:r>
    </w:p>
    <w:p w14:paraId="4CE28C15">
      <w:pPr>
        <w:spacing w:line="360" w:lineRule="auto"/>
        <w:ind w:firstLine="480" w:firstLineChars="200"/>
        <w:rPr>
          <w:sz w:val="24"/>
          <w:szCs w:val="24"/>
        </w:rPr>
      </w:pPr>
      <w:r>
        <w:rPr>
          <w:rFonts w:hint="eastAsia"/>
          <w:sz w:val="24"/>
          <w:szCs w:val="24"/>
        </w:rPr>
        <w:t>电话：（021）3842488</w:t>
      </w:r>
      <w:r>
        <w:rPr>
          <w:sz w:val="24"/>
          <w:szCs w:val="24"/>
        </w:rPr>
        <w:t>1</w:t>
      </w:r>
    </w:p>
    <w:p w14:paraId="2A24D8FF">
      <w:pPr>
        <w:spacing w:line="360" w:lineRule="auto"/>
        <w:ind w:firstLine="480" w:firstLineChars="200"/>
        <w:rPr>
          <w:sz w:val="24"/>
          <w:szCs w:val="24"/>
        </w:rPr>
      </w:pPr>
      <w:r>
        <w:rPr>
          <w:rFonts w:hint="eastAsia"/>
          <w:sz w:val="24"/>
          <w:szCs w:val="24"/>
        </w:rPr>
        <w:t>联系人：刘宏</w:t>
      </w:r>
    </w:p>
    <w:p w14:paraId="62A58088">
      <w:pPr>
        <w:spacing w:line="360" w:lineRule="auto"/>
        <w:ind w:firstLine="480" w:firstLineChars="200"/>
        <w:rPr>
          <w:sz w:val="24"/>
          <w:szCs w:val="24"/>
        </w:rPr>
      </w:pPr>
      <w:r>
        <w:rPr>
          <w:rFonts w:hint="eastAsia"/>
          <w:sz w:val="24"/>
          <w:szCs w:val="24"/>
        </w:rPr>
        <w:t>注册资本：12500万元人民币</w:t>
      </w:r>
    </w:p>
    <w:p w14:paraId="0240CFB4">
      <w:pPr>
        <w:spacing w:line="360" w:lineRule="auto"/>
        <w:ind w:firstLine="480" w:firstLineChars="200"/>
        <w:rPr>
          <w:sz w:val="24"/>
          <w:szCs w:val="24"/>
        </w:rPr>
      </w:pPr>
      <w:r>
        <w:rPr>
          <w:rFonts w:hint="eastAsia"/>
          <w:sz w:val="24"/>
          <w:szCs w:val="24"/>
        </w:rPr>
        <w:t>股权结构：诚通证券股份有限公司60%、奥明资产管理有限公司（Amova Asset Management Co.,Ltd.）40%。</w:t>
      </w:r>
    </w:p>
    <w:p w14:paraId="0B6CEE42">
      <w:pPr>
        <w:spacing w:line="360" w:lineRule="auto"/>
        <w:ind w:firstLine="480" w:firstLineChars="200"/>
        <w:rPr>
          <w:sz w:val="24"/>
          <w:szCs w:val="24"/>
        </w:rPr>
      </w:pPr>
      <w:r>
        <w:rPr>
          <w:rFonts w:hint="eastAsia"/>
          <w:sz w:val="24"/>
          <w:szCs w:val="24"/>
        </w:rPr>
        <w:t>二、主要人员情况</w:t>
      </w:r>
    </w:p>
    <w:p w14:paraId="030619F4">
      <w:pPr>
        <w:spacing w:line="360" w:lineRule="auto"/>
        <w:ind w:firstLine="480" w:firstLineChars="200"/>
        <w:rPr>
          <w:sz w:val="24"/>
          <w:szCs w:val="24"/>
        </w:rPr>
      </w:pPr>
      <w:bookmarkStart w:id="73" w:name="_Hlk219289385"/>
      <w:r>
        <w:rPr>
          <w:rFonts w:hint="eastAsia"/>
          <w:sz w:val="24"/>
          <w:szCs w:val="24"/>
        </w:rPr>
        <w:t>1、现任董事情况</w:t>
      </w:r>
    </w:p>
    <w:p w14:paraId="1C1E657B">
      <w:pPr>
        <w:spacing w:line="360" w:lineRule="auto"/>
        <w:ind w:firstLine="480" w:firstLineChars="200"/>
        <w:rPr>
          <w:sz w:val="24"/>
          <w:szCs w:val="24"/>
        </w:rPr>
      </w:pPr>
      <w:r>
        <w:rPr>
          <w:rFonts w:hint="eastAsia"/>
          <w:sz w:val="24"/>
          <w:szCs w:val="24"/>
        </w:rPr>
        <w:t>董事长张威先生，经济学博士，现任诚通证券股份有限公司党委书记、董事长，曾任中国诚通控股集团有限公司金融管理部总经理、诚通基金管理有限公司董事、中企大象金融信息服务有限公司董事长、诚通商业保理有限公司董事长、南航国际融资租赁有限公司副董事长、诚通保险经纪（上海）有限公司执行董事兼总经理、东兴证券股份有限公司监事。2</w:t>
      </w:r>
      <w:r>
        <w:rPr>
          <w:sz w:val="24"/>
          <w:szCs w:val="24"/>
        </w:rPr>
        <w:t>022</w:t>
      </w:r>
      <w:r>
        <w:rPr>
          <w:rFonts w:hint="eastAsia"/>
          <w:sz w:val="24"/>
          <w:szCs w:val="24"/>
        </w:rPr>
        <w:t>年5月起至今，任公司董事长。</w:t>
      </w:r>
    </w:p>
    <w:p w14:paraId="5527F03C">
      <w:pPr>
        <w:spacing w:line="360" w:lineRule="auto"/>
        <w:ind w:firstLine="480" w:firstLineChars="200"/>
        <w:rPr>
          <w:sz w:val="24"/>
          <w:szCs w:val="24"/>
        </w:rPr>
      </w:pPr>
      <w:r>
        <w:rPr>
          <w:rFonts w:hint="eastAsia"/>
          <w:sz w:val="24"/>
          <w:szCs w:val="24"/>
        </w:rPr>
        <w:t>独立董事李曙光先生，法学博士，现任中国政法大学教授、中国政法大学破产法与企业重组研究中心主任、中国法学会理事、中国法学会经济法研究会学术委员会副主任、最高人民法院应用法学研究所研究员、中国经济体制改革研究会研究员、中国银行间交易商协会法律专业委员会特别顾问，兼任五矿发展股份有限公司独立董事、大悦城控股集团股份有限公司独立董事、中华联合财产保险股份有限公司独立董事、北京仲裁委员会委员、中信信托有限公司独立董事。2</w:t>
      </w:r>
      <w:r>
        <w:rPr>
          <w:sz w:val="24"/>
          <w:szCs w:val="24"/>
        </w:rPr>
        <w:t>022</w:t>
      </w:r>
      <w:r>
        <w:rPr>
          <w:rFonts w:hint="eastAsia"/>
          <w:sz w:val="24"/>
          <w:szCs w:val="24"/>
        </w:rPr>
        <w:t>年7月起至今，任公司独立董事。</w:t>
      </w:r>
    </w:p>
    <w:p w14:paraId="78380263">
      <w:pPr>
        <w:spacing w:line="360" w:lineRule="auto"/>
        <w:ind w:firstLine="480" w:firstLineChars="200"/>
        <w:rPr>
          <w:sz w:val="24"/>
          <w:szCs w:val="24"/>
        </w:rPr>
      </w:pPr>
      <w:r>
        <w:rPr>
          <w:rFonts w:hint="eastAsia"/>
          <w:sz w:val="24"/>
          <w:szCs w:val="24"/>
        </w:rPr>
        <w:t>独立董事宗文龙先生，会计学博士，现任中央财经大学会计学院教授，兼任中视传媒股份有限公司独立董事、大唐国际发电股份有限公司独立董事、中海油能源发展股份有限公司独立董事，曾任长春税务学院讲师。2</w:t>
      </w:r>
      <w:r>
        <w:rPr>
          <w:sz w:val="24"/>
          <w:szCs w:val="24"/>
        </w:rPr>
        <w:t>022</w:t>
      </w:r>
      <w:r>
        <w:rPr>
          <w:rFonts w:hint="eastAsia"/>
          <w:sz w:val="24"/>
          <w:szCs w:val="24"/>
        </w:rPr>
        <w:t>年7月起至今，任公司独立董事。</w:t>
      </w:r>
    </w:p>
    <w:p w14:paraId="17C092F1">
      <w:pPr>
        <w:spacing w:line="360" w:lineRule="auto"/>
        <w:ind w:firstLine="480" w:firstLineChars="200"/>
        <w:rPr>
          <w:sz w:val="24"/>
          <w:szCs w:val="24"/>
        </w:rPr>
      </w:pPr>
      <w:r>
        <w:rPr>
          <w:rFonts w:hint="eastAsia"/>
          <w:sz w:val="24"/>
          <w:szCs w:val="24"/>
        </w:rPr>
        <w:t>独立董事席德应先生，工商管理硕士，兼任中国人寿财产保险股份有限公司独立董事、复星保德信人寿保险有限公司独立董事，曾任中国工商银行总行资金营运部副总经理、中国工商银行机构金融业务部总经理、中国工商银行战略管理与投资者管理部资深专家及专职派出董事等职务。2022年7月起至今，任公司独立董事。</w:t>
      </w:r>
    </w:p>
    <w:p w14:paraId="3469F1D9">
      <w:pPr>
        <w:spacing w:line="360" w:lineRule="auto"/>
        <w:ind w:firstLine="480" w:firstLineChars="200"/>
        <w:rPr>
          <w:sz w:val="24"/>
          <w:szCs w:val="24"/>
        </w:rPr>
      </w:pPr>
      <w:r>
        <w:rPr>
          <w:rFonts w:hint="eastAsia"/>
          <w:sz w:val="24"/>
          <w:szCs w:val="24"/>
        </w:rPr>
        <w:t>董事罗小平先生，工商管理硕士，曾任北京歌华传媒集团有限责任公司董事、诚通证券股份有限公司董事、诚通基金管理有限公司董事、国海海工资产管理有限公司监事、诚通商业保理有限公司董事、中国物流股份有限公司董事、中国诚通香港有限公司董事、东兴证券股份有限公司监事、中国诚通控股集团有限公司战略发展中心总监、中国诚通控股集团有限公司派出董事、中华企业咨询有限公司执行总裁、华夏证券有限公司投资银行部门总经理等职务。2</w:t>
      </w:r>
      <w:r>
        <w:rPr>
          <w:sz w:val="24"/>
          <w:szCs w:val="24"/>
        </w:rPr>
        <w:t>022</w:t>
      </w:r>
      <w:r>
        <w:rPr>
          <w:rFonts w:hint="eastAsia"/>
          <w:sz w:val="24"/>
          <w:szCs w:val="24"/>
        </w:rPr>
        <w:t>年7月起至今，任公司董事。</w:t>
      </w:r>
    </w:p>
    <w:p w14:paraId="7DB7CB96">
      <w:pPr>
        <w:spacing w:line="360" w:lineRule="auto"/>
        <w:ind w:firstLine="480" w:firstLineChars="200"/>
        <w:rPr>
          <w:sz w:val="24"/>
          <w:szCs w:val="24"/>
        </w:rPr>
      </w:pPr>
      <w:r>
        <w:rPr>
          <w:rFonts w:hint="eastAsia"/>
          <w:sz w:val="24"/>
          <w:szCs w:val="24"/>
        </w:rPr>
        <w:t>董事江涛先生，经济学硕士，现任融通基金管理有限公司常务副总经理兼融通国际资产管理有限公司总经理，曾任交通银行安徽省分行国际业务部副总经理、交通银行东京分行国际部总经理、交通银行安徽省分行个人金融部总经理、融通基金管理有限公司北京分公司副总经理、融通基金管理有限公司上海分公司总经理、圆信永丰基金管理有限公司副总经理。2023年4月至今，任公司董事。</w:t>
      </w:r>
    </w:p>
    <w:p w14:paraId="0F0A3BF2">
      <w:pPr>
        <w:spacing w:line="360" w:lineRule="auto"/>
        <w:ind w:firstLine="480" w:firstLineChars="200"/>
        <w:rPr>
          <w:sz w:val="24"/>
          <w:szCs w:val="24"/>
        </w:rPr>
      </w:pPr>
      <w:r>
        <w:rPr>
          <w:sz w:val="24"/>
          <w:szCs w:val="24"/>
        </w:rPr>
        <w:t>董事Allen Yan（颜锡廉）先生，工商管理硕士，</w:t>
      </w:r>
      <w:r>
        <w:rPr>
          <w:rFonts w:hint="eastAsia"/>
          <w:sz w:val="24"/>
          <w:szCs w:val="24"/>
        </w:rPr>
        <w:t>现任奥明资产管理有限公司专务执行役员兼CFO、战略规划负责人，</w:t>
      </w:r>
      <w:r>
        <w:rPr>
          <w:sz w:val="24"/>
          <w:szCs w:val="24"/>
        </w:rPr>
        <w:t>曾任</w:t>
      </w:r>
      <w:r>
        <w:rPr>
          <w:rFonts w:hint="eastAsia"/>
          <w:sz w:val="24"/>
          <w:szCs w:val="24"/>
        </w:rPr>
        <w:t>奥明资产管理有限公司部长，富达投资公司(日本东京)经理，</w:t>
      </w:r>
      <w:r>
        <w:rPr>
          <w:sz w:val="24"/>
          <w:szCs w:val="24"/>
        </w:rPr>
        <w:t>富达投资公司（美国波士顿）分析员</w:t>
      </w:r>
      <w:r>
        <w:rPr>
          <w:rFonts w:hint="eastAsia"/>
          <w:sz w:val="24"/>
          <w:szCs w:val="24"/>
        </w:rPr>
        <w:t>，融通基金管理有限公司常务副总经理、首席信息官,融通国际资产管理有限公司总经理</w:t>
      </w:r>
      <w:r>
        <w:rPr>
          <w:sz w:val="24"/>
          <w:szCs w:val="24"/>
        </w:rPr>
        <w:t>。2015</w:t>
      </w:r>
      <w:r>
        <w:rPr>
          <w:rFonts w:hint="eastAsia"/>
          <w:sz w:val="24"/>
          <w:szCs w:val="24"/>
        </w:rPr>
        <w:t>年6月至今，任公司董事。</w:t>
      </w:r>
    </w:p>
    <w:p w14:paraId="16AA6F89">
      <w:pPr>
        <w:spacing w:line="360" w:lineRule="auto"/>
        <w:ind w:firstLine="480" w:firstLineChars="200"/>
        <w:rPr>
          <w:sz w:val="24"/>
          <w:szCs w:val="24"/>
        </w:rPr>
      </w:pPr>
      <w:r>
        <w:rPr>
          <w:rFonts w:hint="eastAsia"/>
          <w:sz w:val="24"/>
          <w:szCs w:val="24"/>
        </w:rPr>
        <w:t>董事商小虎先生，经济学博士，现任融通基金管理有限公司总经理，曾任上海社会科学院研究助理、和昇投资咨询（上海）有限公司研究员、上海国鑫投资发展有限公司投资经理、鼎通投资有限公司（香港）投资部副总经理、中银国际证券股份有限公司资产管理部副总经理、融通基金管理有限公司投资总监、上海禧弘私募基金管理有限公司总经理兼投资总监、融通基金管理有限公司副总经理。2024年10月起，任公司董事。</w:t>
      </w:r>
    </w:p>
    <w:p w14:paraId="56B642A1">
      <w:pPr>
        <w:spacing w:line="360" w:lineRule="auto"/>
        <w:ind w:firstLine="480" w:firstLineChars="200"/>
        <w:rPr>
          <w:sz w:val="24"/>
          <w:szCs w:val="24"/>
        </w:rPr>
      </w:pPr>
      <w:r>
        <w:rPr>
          <w:rFonts w:hint="eastAsia"/>
          <w:sz w:val="24"/>
          <w:szCs w:val="24"/>
        </w:rPr>
        <w:t>2、公司高级管理人员情况</w:t>
      </w:r>
    </w:p>
    <w:p w14:paraId="34488B06">
      <w:pPr>
        <w:spacing w:line="360" w:lineRule="auto"/>
        <w:ind w:firstLine="480" w:firstLineChars="200"/>
        <w:rPr>
          <w:sz w:val="24"/>
          <w:szCs w:val="24"/>
        </w:rPr>
      </w:pPr>
      <w:r>
        <w:rPr>
          <w:rFonts w:hint="eastAsia"/>
          <w:sz w:val="24"/>
          <w:szCs w:val="24"/>
        </w:rPr>
        <w:t>总经理商小虎先生，经济学博士，曾任上海社会科学院研究助理、和昇投资咨询（上海）有限公司研究员、上海国鑫投资发展有限公司投资经理、鼎通投资有限公司（香港）投资部副总经理、中银国际证券股份有限公司资产管理部副总经理、融通基金管理有限公司投资总监、上海禧弘私募基金管理有限公司总经理兼投资总监、融通基金管理有限公司副总经理。2024年10月起，任公司总经理。</w:t>
      </w:r>
    </w:p>
    <w:p w14:paraId="5E0A2864">
      <w:pPr>
        <w:spacing w:line="360" w:lineRule="auto"/>
        <w:ind w:firstLine="480" w:firstLineChars="200"/>
        <w:rPr>
          <w:sz w:val="24"/>
          <w:szCs w:val="24"/>
        </w:rPr>
      </w:pPr>
      <w:r>
        <w:rPr>
          <w:rFonts w:hint="eastAsia"/>
          <w:sz w:val="24"/>
          <w:szCs w:val="24"/>
        </w:rPr>
        <w:t>常务副总经理江涛先生，经济学硕士，曾任交通银行安徽省分行国际业务部副总经理、交通银行东京分行国际部总经理、交通银行安徽省分行个人金融部总经理、融通基金管理有限公司北京分公司副总经理、融通基金管理有限公司上海分公司总经理、圆信永丰基金管理有限公司副总经理。2022年12月至今，任公司常务副总经理兼融通国际资产管理有限公司总经理。</w:t>
      </w:r>
    </w:p>
    <w:p w14:paraId="46BC5B8B">
      <w:pPr>
        <w:spacing w:line="360" w:lineRule="auto"/>
        <w:ind w:firstLine="480" w:firstLineChars="200"/>
        <w:rPr>
          <w:sz w:val="24"/>
          <w:szCs w:val="24"/>
        </w:rPr>
      </w:pPr>
      <w:r>
        <w:rPr>
          <w:rFonts w:hint="eastAsia"/>
          <w:sz w:val="24"/>
          <w:szCs w:val="24"/>
        </w:rPr>
        <w:t>副总经理杜国彦先生，管理学硕士，曾任大通证券太原东缉虎营营业部市场总监、中国国际期货经纪有限公司交易助理、华安基金北京分公司高级投资顾问、华安基金北方机构部总监、华安基金机构一部总监。2023年3月至今，任公司副总经理。</w:t>
      </w:r>
    </w:p>
    <w:p w14:paraId="4310CDD2">
      <w:pPr>
        <w:spacing w:line="360" w:lineRule="auto"/>
        <w:ind w:firstLine="480" w:firstLineChars="200"/>
        <w:rPr>
          <w:sz w:val="24"/>
          <w:szCs w:val="24"/>
        </w:rPr>
      </w:pPr>
      <w:r>
        <w:rPr>
          <w:rFonts w:hint="eastAsia"/>
          <w:sz w:val="24"/>
          <w:szCs w:val="24"/>
        </w:rPr>
        <w:t>副总经理张民先生，经济学硕士，曾任山东鲁能发展集团职员、中国农业发展银行科员、国联证券有限责任公司投行部高级经理、中信建投证券有限责任公司固收部高级经理、中国保险业监督管理委员会科员、中信建投证券股份有限公司资本市场部总监、华夏银行股份有限公司金融市场部投资室负责人、恒丰银行股份有限公司资产管理部总经理、中信建投基金管理有限公司特定资产管理部总经理、平安银行股份有限公司北京分行副行长。2024年1月至今，任公司副总经理。</w:t>
      </w:r>
    </w:p>
    <w:p w14:paraId="76B4C176">
      <w:pPr>
        <w:spacing w:line="360" w:lineRule="auto"/>
        <w:ind w:firstLine="480" w:firstLineChars="200"/>
        <w:rPr>
          <w:sz w:val="24"/>
          <w:szCs w:val="24"/>
        </w:rPr>
      </w:pPr>
      <w:r>
        <w:rPr>
          <w:rFonts w:hint="eastAsia"/>
          <w:sz w:val="24"/>
          <w:szCs w:val="24"/>
        </w:rPr>
        <w:t>督察长方毅祖先生，经济学博士。曾任广州市商业银行员工，广东证监局副主任科员、主任科员、副处长，九州证券股份有限公司广东分公司党支部书记、总经理，新时代证券股份有限公司总经理助理兼合规管理部行政负责人，诚通证券股份有限公司合规管理部行政负责人、法律事务部总经理。2025年12月至今，任公司督察长。</w:t>
      </w:r>
    </w:p>
    <w:p w14:paraId="7F41EAB4">
      <w:pPr>
        <w:spacing w:line="360" w:lineRule="auto"/>
        <w:ind w:firstLine="480" w:firstLineChars="200"/>
        <w:rPr>
          <w:sz w:val="24"/>
          <w:szCs w:val="24"/>
        </w:rPr>
      </w:pPr>
      <w:r>
        <w:rPr>
          <w:rFonts w:hint="eastAsia"/>
          <w:sz w:val="24"/>
          <w:szCs w:val="24"/>
        </w:rPr>
        <w:t>首席信息官高翔先生，计算机及应用本科，曾任中信建投基金管理有限公司副总经理、首席信息官，元达信资本管理（北京）有限公司执行监事，大成基金管理有限公司信息技术部总监，鹏华基金管理有限公司信息技术部总监，华夏证券深圳分公司电脑部业务主办、系统分析师（部门副经理级），深圳蛇口新欣软件产品有限公司开发三部程序员、高级程序员。2023年1月至今，任公司首席信息官。</w:t>
      </w:r>
    </w:p>
    <w:bookmarkEnd w:id="72"/>
    <w:p w14:paraId="1ED5FD52">
      <w:pPr>
        <w:spacing w:line="360" w:lineRule="auto"/>
        <w:ind w:firstLine="480" w:firstLineChars="200"/>
        <w:rPr>
          <w:sz w:val="24"/>
          <w:szCs w:val="24"/>
        </w:rPr>
      </w:pPr>
      <w:r>
        <w:rPr>
          <w:rFonts w:hint="eastAsia"/>
          <w:sz w:val="24"/>
          <w:szCs w:val="24"/>
        </w:rPr>
        <w:t>3、</w:t>
      </w:r>
      <w:r>
        <w:rPr>
          <w:sz w:val="24"/>
          <w:szCs w:val="24"/>
        </w:rPr>
        <w:t>本基金拟任基金经理</w:t>
      </w:r>
    </w:p>
    <w:p w14:paraId="1263E512">
      <w:pPr>
        <w:spacing w:line="360" w:lineRule="auto"/>
        <w:ind w:firstLine="480" w:firstLineChars="200"/>
        <w:rPr>
          <w:sz w:val="24"/>
          <w:szCs w:val="24"/>
        </w:rPr>
      </w:pPr>
      <w:r>
        <w:rPr>
          <w:rFonts w:hint="eastAsia"/>
          <w:sz w:val="24"/>
          <w:szCs w:val="24"/>
        </w:rPr>
        <w:t xml:space="preserve">李文海先生，清华大学理学硕士，9年证券、基金行业从业经历，具有基金从业资格。2017年7月加入融通基金管理有限公司，曾任行业研究员。现任融通产业趋势精选混合型证券投资基金基金经理（2023年5月9日起至今）、融通成长30灵活配置混合型证券投资基金基金经理（2024年10月17日起至今）。 </w:t>
      </w:r>
    </w:p>
    <w:p w14:paraId="1D579272">
      <w:pPr>
        <w:spacing w:line="360" w:lineRule="auto"/>
        <w:ind w:firstLine="480" w:firstLineChars="200"/>
        <w:rPr>
          <w:sz w:val="24"/>
          <w:szCs w:val="24"/>
        </w:rPr>
      </w:pPr>
      <w:r>
        <w:rPr>
          <w:rFonts w:hint="eastAsia"/>
          <w:sz w:val="24"/>
          <w:szCs w:val="24"/>
        </w:rPr>
        <w:t>4、</w:t>
      </w:r>
      <w:r>
        <w:rPr>
          <w:sz w:val="24"/>
          <w:szCs w:val="24"/>
        </w:rPr>
        <w:t>基金管理人投资决策委员会成员</w:t>
      </w:r>
    </w:p>
    <w:p w14:paraId="66D0D6DC">
      <w:pPr>
        <w:spacing w:line="360" w:lineRule="auto"/>
        <w:ind w:firstLine="480" w:firstLineChars="200"/>
        <w:rPr>
          <w:sz w:val="24"/>
          <w:szCs w:val="24"/>
        </w:rPr>
      </w:pPr>
      <w:r>
        <w:rPr>
          <w:rFonts w:hint="eastAsia"/>
          <w:sz w:val="24"/>
          <w:szCs w:val="24"/>
        </w:rPr>
        <w:t>公司权益公募基金投资决策委员会成员：公司权益投资总监、基金经理万民远先生，权益投资部副总经理（主持工作）、基金经理李进先生，权益研究部副总经理（主持工作）、基金经理刘安坤先生，权益研究部副总经理、基金经理何龙先生，首席经济学家、资产配置部（战略发展部）总经理李少君先生，风险管理部总经理任飞先生。</w:t>
      </w:r>
    </w:p>
    <w:p w14:paraId="74CF9D52">
      <w:pPr>
        <w:spacing w:line="360" w:lineRule="auto"/>
        <w:ind w:firstLine="480" w:firstLineChars="200"/>
        <w:rPr>
          <w:sz w:val="24"/>
          <w:szCs w:val="24"/>
        </w:rPr>
      </w:pPr>
      <w:r>
        <w:rPr>
          <w:rFonts w:hint="eastAsia"/>
          <w:sz w:val="24"/>
          <w:szCs w:val="24"/>
        </w:rPr>
        <w:t>公司固定收益公募基金投资决策委员会成员：公司副总经理张民先生，固定收益投资部总经理、基金经理王超先生，固定收益研究部副总经理（主持工作）、基金经理李皓先生，风险管理部总经理任飞先生。</w:t>
      </w:r>
    </w:p>
    <w:p w14:paraId="5BD3461A">
      <w:pPr>
        <w:spacing w:line="360" w:lineRule="auto"/>
        <w:ind w:firstLine="480" w:firstLineChars="200"/>
        <w:rPr>
          <w:sz w:val="24"/>
          <w:szCs w:val="24"/>
        </w:rPr>
      </w:pPr>
      <w:r>
        <w:rPr>
          <w:rFonts w:hint="eastAsia"/>
          <w:sz w:val="24"/>
          <w:szCs w:val="24"/>
        </w:rPr>
        <w:t>公司宏观与大类资产配置决策委员会：公司总经理商小虎先生，公司副总经理张民先生，公司权益投资总监、基金经理万民远先生，权益投资部副总经理（主持工作）、基金经理李进先生，权益研究部副总经理（主持工作）、基金经理刘安坤先生，权益研究部副总经理、基金经理何龙先生，指数与量化投资部总经理何天翔先生，固定收益投资部总经理、基金经理王超先生，固定收益研究部副总经理（主持工作）、基金经理李皓先生，国际业务部副总经理（主持工作）谢益灵先生，首席经济学家、资产配置部（战略发展部）总经理李少君先生，风险管理部总经理任飞先生。</w:t>
      </w:r>
      <w:bookmarkEnd w:id="73"/>
    </w:p>
    <w:p w14:paraId="00C5E376">
      <w:pPr>
        <w:spacing w:line="360" w:lineRule="auto"/>
        <w:ind w:firstLine="480" w:firstLineChars="200"/>
        <w:rPr>
          <w:sz w:val="24"/>
          <w:szCs w:val="24"/>
        </w:rPr>
      </w:pPr>
      <w:r>
        <w:rPr>
          <w:rFonts w:hint="eastAsia"/>
          <w:sz w:val="24"/>
          <w:szCs w:val="24"/>
        </w:rPr>
        <w:t>5、上述人员之间均不存在近亲属关系。</w:t>
      </w:r>
    </w:p>
    <w:p w14:paraId="42B3D96B">
      <w:pPr>
        <w:spacing w:line="360" w:lineRule="auto"/>
        <w:ind w:firstLine="480" w:firstLineChars="200"/>
        <w:rPr>
          <w:sz w:val="24"/>
          <w:szCs w:val="24"/>
        </w:rPr>
      </w:pPr>
      <w:bookmarkStart w:id="74" w:name="_Toc79392577"/>
      <w:r>
        <w:rPr>
          <w:rFonts w:hint="eastAsia"/>
          <w:sz w:val="24"/>
          <w:szCs w:val="24"/>
        </w:rPr>
        <w:t>三、基金</w:t>
      </w:r>
      <w:bookmarkEnd w:id="74"/>
      <w:r>
        <w:rPr>
          <w:rFonts w:hint="eastAsia"/>
          <w:sz w:val="24"/>
          <w:szCs w:val="24"/>
        </w:rPr>
        <w:t>管理人的职责</w:t>
      </w:r>
    </w:p>
    <w:p w14:paraId="08A8B684">
      <w:pPr>
        <w:spacing w:line="360" w:lineRule="auto"/>
        <w:ind w:firstLine="480" w:firstLineChars="200"/>
        <w:rPr>
          <w:sz w:val="24"/>
          <w:szCs w:val="24"/>
        </w:rPr>
      </w:pPr>
      <w:bookmarkStart w:id="75" w:name="OLE_LINK2"/>
      <w:bookmarkStart w:id="76" w:name="OLE_LINK3"/>
      <w:bookmarkStart w:id="77" w:name="_Hlk93052477"/>
      <w:r>
        <w:rPr>
          <w:rFonts w:hint="eastAsia"/>
          <w:sz w:val="24"/>
          <w:szCs w:val="24"/>
        </w:rPr>
        <w:t>1、依法募集资金，办理或者委托经中国证监会认定的其他机构办理基金份额的发售、申购、赎回和登记事宜；</w:t>
      </w:r>
    </w:p>
    <w:p w14:paraId="4B6EA052">
      <w:pPr>
        <w:spacing w:line="360" w:lineRule="auto"/>
        <w:ind w:firstLine="480" w:firstLineChars="200"/>
        <w:rPr>
          <w:sz w:val="24"/>
          <w:szCs w:val="24"/>
        </w:rPr>
      </w:pPr>
      <w:r>
        <w:rPr>
          <w:rFonts w:hint="eastAsia"/>
          <w:sz w:val="24"/>
          <w:szCs w:val="24"/>
        </w:rPr>
        <w:t>2、办理基金备案手续；</w:t>
      </w:r>
    </w:p>
    <w:p w14:paraId="6E0956BB">
      <w:pPr>
        <w:spacing w:line="360" w:lineRule="auto"/>
        <w:ind w:firstLine="480" w:firstLineChars="200"/>
        <w:rPr>
          <w:sz w:val="24"/>
          <w:szCs w:val="24"/>
        </w:rPr>
      </w:pPr>
      <w:r>
        <w:rPr>
          <w:rFonts w:hint="eastAsia"/>
          <w:sz w:val="24"/>
          <w:szCs w:val="24"/>
        </w:rPr>
        <w:t>3、自《基金合同》生效之日起，以诚实信用、谨慎勤勉的原则管理和运用基金财产；</w:t>
      </w:r>
    </w:p>
    <w:p w14:paraId="7751482E">
      <w:pPr>
        <w:spacing w:line="360" w:lineRule="auto"/>
        <w:ind w:firstLine="480" w:firstLineChars="200"/>
        <w:rPr>
          <w:sz w:val="24"/>
          <w:szCs w:val="24"/>
        </w:rPr>
      </w:pPr>
      <w:r>
        <w:rPr>
          <w:rFonts w:hint="eastAsia"/>
          <w:sz w:val="24"/>
          <w:szCs w:val="24"/>
        </w:rPr>
        <w:t>4、配备足够的具有专业资格的人员进行基金投资分析、决策，以专业化的经营方式管理和运作基金财产；</w:t>
      </w:r>
    </w:p>
    <w:p w14:paraId="044AFD7B">
      <w:pPr>
        <w:spacing w:line="360" w:lineRule="auto"/>
        <w:ind w:firstLine="480" w:firstLineChars="200"/>
        <w:rPr>
          <w:sz w:val="24"/>
          <w:szCs w:val="24"/>
        </w:rPr>
      </w:pPr>
      <w:r>
        <w:rPr>
          <w:rFonts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4BEB1965">
      <w:pPr>
        <w:spacing w:line="360" w:lineRule="auto"/>
        <w:ind w:firstLine="480" w:firstLineChars="200"/>
        <w:rPr>
          <w:sz w:val="24"/>
          <w:szCs w:val="24"/>
        </w:rPr>
      </w:pPr>
      <w:r>
        <w:rPr>
          <w:rFonts w:hint="eastAsia"/>
          <w:sz w:val="24"/>
          <w:szCs w:val="24"/>
        </w:rPr>
        <w:t>6、除依据《基金法》、《基金合同》及其他有关规定外，不得利用基金财产为自己及任何第三人谋取利益，不得委托第三人运作基金财产；</w:t>
      </w:r>
    </w:p>
    <w:p w14:paraId="153A1CFF">
      <w:pPr>
        <w:spacing w:line="360" w:lineRule="auto"/>
        <w:ind w:firstLine="480" w:firstLineChars="200"/>
        <w:rPr>
          <w:sz w:val="24"/>
          <w:szCs w:val="24"/>
        </w:rPr>
      </w:pPr>
      <w:r>
        <w:rPr>
          <w:rFonts w:hint="eastAsia"/>
          <w:sz w:val="24"/>
          <w:szCs w:val="24"/>
        </w:rPr>
        <w:t>7、依法接受基金托管人的监督；</w:t>
      </w:r>
    </w:p>
    <w:p w14:paraId="71772C4A">
      <w:pPr>
        <w:spacing w:line="360" w:lineRule="auto"/>
        <w:ind w:firstLine="480" w:firstLineChars="200"/>
        <w:rPr>
          <w:sz w:val="24"/>
          <w:szCs w:val="24"/>
        </w:rPr>
      </w:pPr>
      <w:r>
        <w:rPr>
          <w:rFonts w:hint="eastAsia"/>
          <w:sz w:val="24"/>
          <w:szCs w:val="24"/>
        </w:rPr>
        <w:t>8、采取适当合理的措施使计算基金份额认购、申购、赎回和注销价格的方法符合《基金合同》等法律文件的规定，按有关规定计算并公告基金净值信息，确定基金份额申购、赎回的价格；</w:t>
      </w:r>
    </w:p>
    <w:p w14:paraId="03EB01EE">
      <w:pPr>
        <w:spacing w:line="360" w:lineRule="auto"/>
        <w:ind w:firstLine="480" w:firstLineChars="200"/>
        <w:rPr>
          <w:sz w:val="24"/>
          <w:szCs w:val="24"/>
        </w:rPr>
      </w:pPr>
      <w:r>
        <w:rPr>
          <w:rFonts w:hint="eastAsia"/>
          <w:sz w:val="24"/>
          <w:szCs w:val="24"/>
        </w:rPr>
        <w:t>9、进行基金会计核算并编制基金财务会计报告；</w:t>
      </w:r>
    </w:p>
    <w:p w14:paraId="69B5C26D">
      <w:pPr>
        <w:spacing w:line="360" w:lineRule="auto"/>
        <w:ind w:firstLine="480" w:firstLineChars="200"/>
        <w:rPr>
          <w:sz w:val="24"/>
          <w:szCs w:val="24"/>
        </w:rPr>
      </w:pPr>
      <w:r>
        <w:rPr>
          <w:rFonts w:hint="eastAsia"/>
          <w:sz w:val="24"/>
          <w:szCs w:val="24"/>
        </w:rPr>
        <w:t>10、编制季度报告、中期报告和年度报告；</w:t>
      </w:r>
    </w:p>
    <w:p w14:paraId="7CF0CDEC">
      <w:pPr>
        <w:spacing w:line="360" w:lineRule="auto"/>
        <w:ind w:firstLine="480" w:firstLineChars="200"/>
        <w:rPr>
          <w:sz w:val="24"/>
          <w:szCs w:val="24"/>
        </w:rPr>
      </w:pPr>
      <w:r>
        <w:rPr>
          <w:rFonts w:hint="eastAsia"/>
          <w:sz w:val="24"/>
          <w:szCs w:val="24"/>
        </w:rPr>
        <w:t>11、严格按照《基金法》、《基金合同》及其他有关规定，履行信息披露及报告义务；</w:t>
      </w:r>
    </w:p>
    <w:p w14:paraId="3D18E061">
      <w:pPr>
        <w:spacing w:line="360" w:lineRule="auto"/>
        <w:ind w:firstLine="480" w:firstLineChars="200"/>
        <w:rPr>
          <w:sz w:val="24"/>
          <w:szCs w:val="24"/>
        </w:rPr>
      </w:pPr>
      <w:r>
        <w:rPr>
          <w:rFonts w:hint="eastAsia"/>
          <w:sz w:val="24"/>
          <w:szCs w:val="24"/>
        </w:rPr>
        <w:t>12、保守基金商业秘密，不泄露基金投资计划、投资意向等。除《基金法》、《基金合同》及其他有关规定另有规定外，在基金信息公开披露前应予保密，不向他人泄露</w:t>
      </w:r>
      <w:r>
        <w:rPr>
          <w:rFonts w:hint="eastAsia"/>
          <w:bCs/>
          <w:sz w:val="24"/>
        </w:rPr>
        <w:t>，但</w:t>
      </w:r>
      <w:r>
        <w:rPr>
          <w:rFonts w:hint="eastAsia"/>
          <w:bCs/>
          <w:color w:val="000000" w:themeColor="text1"/>
          <w:sz w:val="24"/>
          <w:szCs w:val="24"/>
          <w14:textFill>
            <w14:solidFill>
              <w14:schemeClr w14:val="tx1"/>
            </w14:solidFill>
          </w14:textFill>
        </w:rPr>
        <w:t>依法向监管机构、司法机关提供及因</w:t>
      </w:r>
      <w:r>
        <w:rPr>
          <w:rFonts w:hint="eastAsia"/>
          <w:bCs/>
          <w:sz w:val="24"/>
        </w:rPr>
        <w:t>审计、法律等外部专业顾问机构需要而提供的情况除外</w:t>
      </w:r>
      <w:r>
        <w:rPr>
          <w:rFonts w:hint="eastAsia"/>
          <w:sz w:val="24"/>
          <w:szCs w:val="24"/>
        </w:rPr>
        <w:t>；</w:t>
      </w:r>
    </w:p>
    <w:p w14:paraId="7E64B6A3">
      <w:pPr>
        <w:spacing w:line="360" w:lineRule="auto"/>
        <w:ind w:firstLine="480" w:firstLineChars="200"/>
        <w:rPr>
          <w:sz w:val="24"/>
          <w:szCs w:val="24"/>
        </w:rPr>
      </w:pPr>
      <w:r>
        <w:rPr>
          <w:rFonts w:hint="eastAsia"/>
          <w:sz w:val="24"/>
          <w:szCs w:val="24"/>
        </w:rPr>
        <w:t>13、按《基金合同》的约定确定基金收益分配方案，及时向基金份额持有人分配基金收益；</w:t>
      </w:r>
    </w:p>
    <w:p w14:paraId="78BF7D67">
      <w:pPr>
        <w:spacing w:line="360" w:lineRule="auto"/>
        <w:ind w:firstLine="480" w:firstLineChars="200"/>
        <w:rPr>
          <w:sz w:val="24"/>
          <w:szCs w:val="24"/>
        </w:rPr>
      </w:pPr>
      <w:r>
        <w:rPr>
          <w:rFonts w:hint="eastAsia"/>
          <w:sz w:val="24"/>
          <w:szCs w:val="24"/>
        </w:rPr>
        <w:t>14、按规定受理申购与赎回申请，及时、足额支付赎回款项；</w:t>
      </w:r>
    </w:p>
    <w:p w14:paraId="653AD1BA">
      <w:pPr>
        <w:spacing w:line="360" w:lineRule="auto"/>
        <w:ind w:firstLine="480" w:firstLineChars="200"/>
        <w:rPr>
          <w:sz w:val="24"/>
          <w:szCs w:val="24"/>
        </w:rPr>
      </w:pPr>
      <w:r>
        <w:rPr>
          <w:rFonts w:hint="eastAsia"/>
          <w:sz w:val="24"/>
          <w:szCs w:val="24"/>
        </w:rPr>
        <w:t>15、依据《基金法》、《基金合同》及其他有关规定召集基金份额持有人大会或配合基金托管人、基金份额持有人依法召集基金份额持有人大会；</w:t>
      </w:r>
    </w:p>
    <w:p w14:paraId="1C8CA969">
      <w:pPr>
        <w:spacing w:line="360" w:lineRule="auto"/>
        <w:ind w:firstLine="480" w:firstLineChars="200"/>
        <w:rPr>
          <w:sz w:val="24"/>
          <w:szCs w:val="24"/>
        </w:rPr>
      </w:pPr>
      <w:r>
        <w:rPr>
          <w:rFonts w:hint="eastAsia"/>
          <w:sz w:val="24"/>
          <w:szCs w:val="24"/>
        </w:rPr>
        <w:t>16、按规定保存基金财产管理业务活动的会计账册、报表、记录和其他相关资料不低于法律法规规定的最低期限；</w:t>
      </w:r>
    </w:p>
    <w:p w14:paraId="5B4BD6A4">
      <w:pPr>
        <w:spacing w:line="360" w:lineRule="auto"/>
        <w:ind w:firstLine="480" w:firstLineChars="200"/>
        <w:rPr>
          <w:sz w:val="24"/>
          <w:szCs w:val="24"/>
        </w:rPr>
      </w:pPr>
      <w:r>
        <w:rPr>
          <w:rFonts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77645F2">
      <w:pPr>
        <w:spacing w:line="360" w:lineRule="auto"/>
        <w:ind w:firstLine="480" w:firstLineChars="200"/>
        <w:rPr>
          <w:sz w:val="24"/>
          <w:szCs w:val="24"/>
        </w:rPr>
      </w:pPr>
      <w:r>
        <w:rPr>
          <w:rFonts w:hint="eastAsia"/>
          <w:sz w:val="24"/>
          <w:szCs w:val="24"/>
        </w:rPr>
        <w:t>18、组织并参加基金财产清算小组，参与基金财产的保管、清理、估价、变现和分配；</w:t>
      </w:r>
    </w:p>
    <w:p w14:paraId="5F660BC3">
      <w:pPr>
        <w:spacing w:line="360" w:lineRule="auto"/>
        <w:ind w:firstLine="480" w:firstLineChars="200"/>
        <w:rPr>
          <w:sz w:val="24"/>
          <w:szCs w:val="24"/>
        </w:rPr>
      </w:pPr>
      <w:r>
        <w:rPr>
          <w:rFonts w:hint="eastAsia"/>
          <w:sz w:val="24"/>
          <w:szCs w:val="24"/>
        </w:rPr>
        <w:t>19、面临解散、依法被撤销或者被依法宣告破产时，及时报告中国证监会并通知基金托管人；</w:t>
      </w:r>
    </w:p>
    <w:p w14:paraId="68DE102E">
      <w:pPr>
        <w:spacing w:line="360" w:lineRule="auto"/>
        <w:ind w:firstLine="480" w:firstLineChars="200"/>
        <w:rPr>
          <w:sz w:val="24"/>
          <w:szCs w:val="24"/>
        </w:rPr>
      </w:pPr>
      <w:r>
        <w:rPr>
          <w:rFonts w:hint="eastAsia"/>
          <w:sz w:val="24"/>
          <w:szCs w:val="24"/>
        </w:rPr>
        <w:t>20、因违反《基金合同》导致基金财产的损失或损害基金份额持有人合法权益时，应当承担赔偿责任，其赔偿责任不因其退任而免除；</w:t>
      </w:r>
    </w:p>
    <w:p w14:paraId="2A1F9479">
      <w:pPr>
        <w:spacing w:line="360" w:lineRule="auto"/>
        <w:ind w:firstLine="480" w:firstLineChars="200"/>
        <w:rPr>
          <w:sz w:val="24"/>
          <w:szCs w:val="24"/>
        </w:rPr>
      </w:pPr>
      <w:r>
        <w:rPr>
          <w:rFonts w:hint="eastAsia"/>
          <w:sz w:val="24"/>
          <w:szCs w:val="24"/>
        </w:rPr>
        <w:t>21、监督基金托管人按法律法规和《基金合同》规定履行自己的义务，基金托管人违反《基金合同》造成基金财产损失时，基金管理人应为基金份额持有人利益向基金托管人追偿；</w:t>
      </w:r>
    </w:p>
    <w:p w14:paraId="188F9EAE">
      <w:pPr>
        <w:spacing w:line="360" w:lineRule="auto"/>
        <w:ind w:firstLine="480" w:firstLineChars="200"/>
        <w:rPr>
          <w:sz w:val="24"/>
          <w:szCs w:val="24"/>
        </w:rPr>
      </w:pPr>
      <w:r>
        <w:rPr>
          <w:rFonts w:hint="eastAsia"/>
          <w:sz w:val="24"/>
          <w:szCs w:val="24"/>
        </w:rPr>
        <w:t>22、当基金管理人将其义务委托第三方处理时，应当对第三方处理有关基金事务的行为承担责任；</w:t>
      </w:r>
    </w:p>
    <w:p w14:paraId="58C73FF1">
      <w:pPr>
        <w:spacing w:line="360" w:lineRule="auto"/>
        <w:ind w:firstLine="480" w:firstLineChars="200"/>
        <w:rPr>
          <w:sz w:val="24"/>
          <w:szCs w:val="24"/>
        </w:rPr>
      </w:pPr>
      <w:r>
        <w:rPr>
          <w:sz w:val="24"/>
          <w:szCs w:val="24"/>
        </w:rPr>
        <w:t>23</w:t>
      </w:r>
      <w:r>
        <w:rPr>
          <w:rFonts w:hint="eastAsia"/>
          <w:sz w:val="24"/>
          <w:szCs w:val="24"/>
        </w:rPr>
        <w:t>、以基金管理人名义，代表基金份额持有人利益行使诉讼权利或实施其他法律行为；</w:t>
      </w:r>
    </w:p>
    <w:p w14:paraId="6EECEC5F">
      <w:pPr>
        <w:spacing w:line="360" w:lineRule="auto"/>
        <w:ind w:firstLine="480" w:firstLineChars="200"/>
        <w:rPr>
          <w:sz w:val="24"/>
          <w:szCs w:val="24"/>
        </w:rPr>
      </w:pPr>
      <w:r>
        <w:rPr>
          <w:rFonts w:hint="eastAsia"/>
          <w:sz w:val="24"/>
          <w:szCs w:val="24"/>
        </w:rPr>
        <w:t>24、基金在募集期间未能达到基金的备案条件，《基金合同》不能生效，基金管理人承担全部募集费用，将已募集资金并加计银行同期活期存款利息在基金募集期结束后30日内退还基金认购人；</w:t>
      </w:r>
    </w:p>
    <w:p w14:paraId="1234E0F7">
      <w:pPr>
        <w:spacing w:line="360" w:lineRule="auto"/>
        <w:ind w:firstLine="480" w:firstLineChars="200"/>
        <w:rPr>
          <w:sz w:val="24"/>
          <w:szCs w:val="24"/>
        </w:rPr>
      </w:pPr>
      <w:r>
        <w:rPr>
          <w:rFonts w:hint="eastAsia"/>
          <w:sz w:val="24"/>
          <w:szCs w:val="24"/>
        </w:rPr>
        <w:t>25、执行生效的基金份额持有人大会的决议；</w:t>
      </w:r>
    </w:p>
    <w:p w14:paraId="11A71F4D">
      <w:pPr>
        <w:spacing w:line="360" w:lineRule="auto"/>
        <w:ind w:firstLine="480" w:firstLineChars="200"/>
        <w:rPr>
          <w:sz w:val="24"/>
          <w:szCs w:val="24"/>
        </w:rPr>
      </w:pPr>
      <w:r>
        <w:rPr>
          <w:rFonts w:hint="eastAsia"/>
          <w:sz w:val="24"/>
          <w:szCs w:val="24"/>
        </w:rPr>
        <w:t>26、建立并保存基金份额持有人名册；</w:t>
      </w:r>
    </w:p>
    <w:p w14:paraId="53688FF5">
      <w:pPr>
        <w:spacing w:line="360" w:lineRule="auto"/>
        <w:ind w:firstLine="480" w:firstLineChars="200"/>
        <w:rPr>
          <w:sz w:val="24"/>
          <w:szCs w:val="24"/>
        </w:rPr>
      </w:pPr>
      <w:r>
        <w:rPr>
          <w:rFonts w:hint="eastAsia"/>
          <w:sz w:val="24"/>
          <w:szCs w:val="24"/>
        </w:rPr>
        <w:t>27、法律法规及中国证监会规定的和《基金合同》约定的其他义务。</w:t>
      </w:r>
      <w:bookmarkEnd w:id="75"/>
      <w:bookmarkEnd w:id="76"/>
    </w:p>
    <w:bookmarkEnd w:id="77"/>
    <w:p w14:paraId="6D6792AD">
      <w:pPr>
        <w:spacing w:line="360" w:lineRule="auto"/>
        <w:ind w:firstLine="480" w:firstLineChars="200"/>
        <w:rPr>
          <w:sz w:val="24"/>
          <w:szCs w:val="24"/>
        </w:rPr>
      </w:pPr>
      <w:r>
        <w:rPr>
          <w:rFonts w:hint="eastAsia"/>
          <w:sz w:val="24"/>
          <w:szCs w:val="24"/>
        </w:rPr>
        <w:t>四、基金管理人关于遵守法律法规的承诺</w:t>
      </w:r>
    </w:p>
    <w:p w14:paraId="3972ED89">
      <w:pPr>
        <w:spacing w:line="360" w:lineRule="auto"/>
        <w:ind w:firstLine="480" w:firstLineChars="200"/>
        <w:rPr>
          <w:sz w:val="24"/>
          <w:szCs w:val="24"/>
        </w:rPr>
      </w:pPr>
      <w:r>
        <w:rPr>
          <w:sz w:val="24"/>
          <w:szCs w:val="24"/>
        </w:rPr>
        <w:t>1</w:t>
      </w:r>
      <w:r>
        <w:rPr>
          <w:rFonts w:hint="eastAsia"/>
          <w:sz w:val="24"/>
          <w:szCs w:val="24"/>
        </w:rPr>
        <w:t>、基金管理人承诺不从事违反《中华人民共和国证券法》的行为，并承诺建立健全的内部控制制度，采取有效措施，防止违反《中华人民共和国证券法》行为的发生；</w:t>
      </w:r>
    </w:p>
    <w:p w14:paraId="090F6FD3">
      <w:pPr>
        <w:spacing w:line="360" w:lineRule="auto"/>
        <w:ind w:firstLine="480" w:firstLineChars="200"/>
        <w:rPr>
          <w:sz w:val="24"/>
          <w:szCs w:val="24"/>
        </w:rPr>
      </w:pPr>
      <w:r>
        <w:rPr>
          <w:sz w:val="24"/>
          <w:szCs w:val="24"/>
        </w:rPr>
        <w:t>2</w:t>
      </w:r>
      <w:r>
        <w:rPr>
          <w:rFonts w:hint="eastAsia"/>
          <w:sz w:val="24"/>
          <w:szCs w:val="24"/>
        </w:rPr>
        <w:t>、基金管理人承诺不从事以下违反《基金法》的行为，并承诺建立健全的内部风险控制制度，采取有效措施，防止下列行为的发生：</w:t>
      </w:r>
    </w:p>
    <w:p w14:paraId="304196F8">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）将其固有财产或者他人财产混同于基金财产从事证券投资；</w:t>
      </w:r>
    </w:p>
    <w:p w14:paraId="5F496D1A">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）不公平地对待其管理的不同基金财产；</w:t>
      </w:r>
    </w:p>
    <w:p w14:paraId="1EEB6373">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）利用基金财产或者职务之便为基金份额持有人以外的人牟取利益；</w:t>
      </w:r>
    </w:p>
    <w:p w14:paraId="475306EC">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）向基金份额持有人违规承诺收益或者承担损失；</w:t>
      </w:r>
    </w:p>
    <w:p w14:paraId="573D64E6">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）侵占、挪用基金财产；</w:t>
      </w:r>
    </w:p>
    <w:p w14:paraId="6954AB3C">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）泄露因职务便利获取的未公开信息、利用该信息从事或者明示、暗示他人从事相关的交易活动；</w:t>
      </w:r>
    </w:p>
    <w:p w14:paraId="703A1B46">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）玩忽职守，不按照规定履行职责；</w:t>
      </w:r>
    </w:p>
    <w:p w14:paraId="00353DA7">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）法律、行政法规和中国证监会规定禁止的其他行为。</w:t>
      </w:r>
    </w:p>
    <w:p w14:paraId="158ACE77">
      <w:pPr>
        <w:spacing w:line="360" w:lineRule="auto"/>
        <w:ind w:firstLine="480" w:firstLineChars="200"/>
        <w:rPr>
          <w:sz w:val="24"/>
          <w:szCs w:val="24"/>
        </w:rPr>
      </w:pPr>
      <w:r>
        <w:rPr>
          <w:sz w:val="24"/>
          <w:szCs w:val="24"/>
        </w:rPr>
        <w:t>3</w:t>
      </w:r>
      <w:r>
        <w:rPr>
          <w:rFonts w:hint="eastAsia"/>
          <w:sz w:val="24"/>
          <w:szCs w:val="24"/>
        </w:rPr>
        <w:t>、基金管理人承诺加强人员管理，强化职业操守，督促和约束员工遵守国家有关法律、法规及行业规范，诚实信用、勤勉尽责，不从事以下活动：</w:t>
      </w:r>
    </w:p>
    <w:p w14:paraId="091F77D0">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）越权或违规经营；</w:t>
      </w:r>
    </w:p>
    <w:p w14:paraId="17441A79">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）违反基金合同或托管协议；</w:t>
      </w:r>
    </w:p>
    <w:p w14:paraId="2AB84A90">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）故意损害基金份额持有人或其他基金相关机构的合法权益；</w:t>
      </w:r>
    </w:p>
    <w:p w14:paraId="7B114198">
      <w:pPr>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）在向中国证监会报送的资料中弄虚作假；</w:t>
      </w:r>
    </w:p>
    <w:p w14:paraId="600E5AFA">
      <w:pPr>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）拒绝、干扰、阻挠或严重影响中国证监会依法监管；</w:t>
      </w:r>
    </w:p>
    <w:p w14:paraId="21C52547">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）玩忽职守、滥用职权；</w:t>
      </w:r>
    </w:p>
    <w:p w14:paraId="2333E352">
      <w:pPr>
        <w:spacing w:line="360" w:lineRule="auto"/>
        <w:ind w:firstLine="480" w:firstLineChars="200"/>
        <w:rPr>
          <w:sz w:val="24"/>
          <w:szCs w:val="24"/>
        </w:rPr>
      </w:pPr>
      <w:r>
        <w:rPr>
          <w:rFonts w:hint="eastAsia"/>
          <w:sz w:val="24"/>
          <w:szCs w:val="24"/>
        </w:rPr>
        <w:t>（</w:t>
      </w:r>
      <w:r>
        <w:rPr>
          <w:sz w:val="24"/>
          <w:szCs w:val="24"/>
        </w:rPr>
        <w:t>7</w:t>
      </w:r>
      <w:r>
        <w:rPr>
          <w:rFonts w:hint="eastAsia"/>
          <w:sz w:val="24"/>
          <w:szCs w:val="24"/>
        </w:rPr>
        <w:t>）泄露在任职期间知悉的有关证券、基金的商业秘密、尚未依法公开的基金投资内容、基金投资计划等信息；</w:t>
      </w:r>
    </w:p>
    <w:p w14:paraId="18A4820E">
      <w:pPr>
        <w:spacing w:line="360" w:lineRule="auto"/>
        <w:ind w:firstLine="480" w:firstLineChars="200"/>
        <w:rPr>
          <w:sz w:val="24"/>
          <w:szCs w:val="24"/>
        </w:rPr>
      </w:pPr>
      <w:r>
        <w:rPr>
          <w:rFonts w:hint="eastAsia"/>
          <w:sz w:val="24"/>
          <w:szCs w:val="24"/>
        </w:rPr>
        <w:t>（</w:t>
      </w:r>
      <w:r>
        <w:rPr>
          <w:sz w:val="24"/>
          <w:szCs w:val="24"/>
        </w:rPr>
        <w:t>8</w:t>
      </w:r>
      <w:r>
        <w:rPr>
          <w:rFonts w:hint="eastAsia"/>
          <w:sz w:val="24"/>
          <w:szCs w:val="24"/>
        </w:rPr>
        <w:t>）除按基金管理人制度进行基金运作投资外，直接或间接进行其他股票投资；</w:t>
      </w:r>
    </w:p>
    <w:p w14:paraId="7A1E0E93">
      <w:pPr>
        <w:spacing w:line="360" w:lineRule="auto"/>
        <w:ind w:firstLine="480" w:firstLineChars="200"/>
        <w:rPr>
          <w:sz w:val="24"/>
          <w:szCs w:val="24"/>
        </w:rPr>
      </w:pPr>
      <w:r>
        <w:rPr>
          <w:rFonts w:hint="eastAsia"/>
          <w:sz w:val="24"/>
          <w:szCs w:val="24"/>
        </w:rPr>
        <w:t>（</w:t>
      </w:r>
      <w:r>
        <w:rPr>
          <w:sz w:val="24"/>
          <w:szCs w:val="24"/>
        </w:rPr>
        <w:t>9</w:t>
      </w:r>
      <w:r>
        <w:rPr>
          <w:rFonts w:hint="eastAsia"/>
          <w:sz w:val="24"/>
          <w:szCs w:val="24"/>
        </w:rPr>
        <w:t>）协助、接受委托或以其他任何形式为其他组织或个人进行证券交易；</w:t>
      </w:r>
    </w:p>
    <w:p w14:paraId="6E222625">
      <w:pPr>
        <w:spacing w:line="360" w:lineRule="auto"/>
        <w:ind w:firstLine="480" w:firstLineChars="200"/>
        <w:rPr>
          <w:sz w:val="24"/>
          <w:szCs w:val="24"/>
        </w:rPr>
      </w:pPr>
      <w:r>
        <w:rPr>
          <w:rFonts w:hint="eastAsia"/>
          <w:sz w:val="24"/>
          <w:szCs w:val="24"/>
        </w:rPr>
        <w:t>（</w:t>
      </w:r>
      <w:r>
        <w:rPr>
          <w:sz w:val="24"/>
          <w:szCs w:val="24"/>
        </w:rPr>
        <w:t>10</w:t>
      </w:r>
      <w:r>
        <w:rPr>
          <w:rFonts w:hint="eastAsia"/>
          <w:sz w:val="24"/>
          <w:szCs w:val="24"/>
        </w:rPr>
        <w:t>）违反证券交易场所业务规则，利用对敲、对倒和倒仓等手段操纵市场价格，扰乱市场秩序；</w:t>
      </w:r>
    </w:p>
    <w:p w14:paraId="2F1E4650">
      <w:pPr>
        <w:spacing w:line="360" w:lineRule="auto"/>
        <w:ind w:firstLine="480" w:firstLineChars="200"/>
        <w:rPr>
          <w:sz w:val="24"/>
          <w:szCs w:val="24"/>
        </w:rPr>
      </w:pPr>
      <w:r>
        <w:rPr>
          <w:rFonts w:hint="eastAsia"/>
          <w:sz w:val="24"/>
          <w:szCs w:val="24"/>
        </w:rPr>
        <w:t>（</w:t>
      </w:r>
      <w:r>
        <w:rPr>
          <w:sz w:val="24"/>
          <w:szCs w:val="24"/>
        </w:rPr>
        <w:t>11</w:t>
      </w:r>
      <w:r>
        <w:rPr>
          <w:rFonts w:hint="eastAsia"/>
          <w:sz w:val="24"/>
          <w:szCs w:val="24"/>
        </w:rPr>
        <w:t>）贬损同行，以提高自己；</w:t>
      </w:r>
    </w:p>
    <w:p w14:paraId="377C420E">
      <w:pPr>
        <w:spacing w:line="360" w:lineRule="auto"/>
        <w:ind w:firstLine="480" w:firstLineChars="200"/>
        <w:rPr>
          <w:sz w:val="24"/>
          <w:szCs w:val="24"/>
        </w:rPr>
      </w:pPr>
      <w:r>
        <w:rPr>
          <w:rFonts w:hint="eastAsia"/>
          <w:sz w:val="24"/>
          <w:szCs w:val="24"/>
        </w:rPr>
        <w:t>（</w:t>
      </w:r>
      <w:r>
        <w:rPr>
          <w:sz w:val="24"/>
          <w:szCs w:val="24"/>
        </w:rPr>
        <w:t>12</w:t>
      </w:r>
      <w:r>
        <w:rPr>
          <w:rFonts w:hint="eastAsia"/>
          <w:sz w:val="24"/>
          <w:szCs w:val="24"/>
        </w:rPr>
        <w:t>）在公开信息披露和广告中故意含有虚假、误导、欺诈成分；</w:t>
      </w:r>
    </w:p>
    <w:p w14:paraId="34FEE881">
      <w:pPr>
        <w:spacing w:line="360" w:lineRule="auto"/>
        <w:ind w:firstLine="480" w:firstLineChars="200"/>
        <w:rPr>
          <w:sz w:val="24"/>
          <w:szCs w:val="24"/>
        </w:rPr>
      </w:pPr>
      <w:r>
        <w:rPr>
          <w:rFonts w:hint="eastAsia"/>
          <w:sz w:val="24"/>
          <w:szCs w:val="24"/>
        </w:rPr>
        <w:t>（</w:t>
      </w:r>
      <w:r>
        <w:rPr>
          <w:sz w:val="24"/>
          <w:szCs w:val="24"/>
        </w:rPr>
        <w:t>13</w:t>
      </w:r>
      <w:r>
        <w:rPr>
          <w:rFonts w:hint="eastAsia"/>
          <w:sz w:val="24"/>
          <w:szCs w:val="24"/>
        </w:rPr>
        <w:t>）以不正当手段谋求业务发展；</w:t>
      </w:r>
    </w:p>
    <w:p w14:paraId="322A7967">
      <w:pPr>
        <w:spacing w:line="360" w:lineRule="auto"/>
        <w:ind w:firstLine="480" w:firstLineChars="200"/>
        <w:rPr>
          <w:sz w:val="24"/>
          <w:szCs w:val="24"/>
        </w:rPr>
      </w:pPr>
      <w:r>
        <w:rPr>
          <w:rFonts w:hint="eastAsia"/>
          <w:sz w:val="24"/>
          <w:szCs w:val="24"/>
        </w:rPr>
        <w:t>（</w:t>
      </w:r>
      <w:r>
        <w:rPr>
          <w:sz w:val="24"/>
          <w:szCs w:val="24"/>
        </w:rPr>
        <w:t>14</w:t>
      </w:r>
      <w:r>
        <w:rPr>
          <w:rFonts w:hint="eastAsia"/>
          <w:sz w:val="24"/>
          <w:szCs w:val="24"/>
        </w:rPr>
        <w:t>）有悖社会公德，损害证券投资基金人员形象；</w:t>
      </w:r>
    </w:p>
    <w:p w14:paraId="22802469">
      <w:pPr>
        <w:spacing w:line="360" w:lineRule="auto"/>
        <w:ind w:firstLine="480" w:firstLineChars="200"/>
        <w:rPr>
          <w:sz w:val="24"/>
          <w:szCs w:val="24"/>
        </w:rPr>
      </w:pPr>
      <w:r>
        <w:rPr>
          <w:rFonts w:hint="eastAsia"/>
          <w:sz w:val="24"/>
          <w:szCs w:val="24"/>
        </w:rPr>
        <w:t>（</w:t>
      </w:r>
      <w:r>
        <w:rPr>
          <w:sz w:val="24"/>
          <w:szCs w:val="24"/>
        </w:rPr>
        <w:t>15</w:t>
      </w:r>
      <w:r>
        <w:rPr>
          <w:rFonts w:hint="eastAsia"/>
          <w:sz w:val="24"/>
          <w:szCs w:val="24"/>
        </w:rPr>
        <w:t>）其他法律、行政法规禁止的行为。</w:t>
      </w:r>
    </w:p>
    <w:p w14:paraId="29018844">
      <w:pPr>
        <w:spacing w:line="360" w:lineRule="auto"/>
        <w:ind w:firstLine="480" w:firstLineChars="200"/>
        <w:rPr>
          <w:sz w:val="24"/>
          <w:szCs w:val="24"/>
        </w:rPr>
      </w:pPr>
      <w:r>
        <w:rPr>
          <w:rFonts w:hint="eastAsia"/>
          <w:sz w:val="24"/>
          <w:szCs w:val="24"/>
        </w:rPr>
        <w:t>五、基金管理人关于禁止性行为的承诺</w:t>
      </w:r>
    </w:p>
    <w:p w14:paraId="3AD5746A">
      <w:pPr>
        <w:spacing w:line="360" w:lineRule="auto"/>
        <w:ind w:firstLine="480" w:firstLineChars="200"/>
        <w:rPr>
          <w:sz w:val="24"/>
          <w:szCs w:val="24"/>
        </w:rPr>
      </w:pPr>
      <w:r>
        <w:rPr>
          <w:rFonts w:hint="eastAsia"/>
          <w:sz w:val="24"/>
          <w:szCs w:val="24"/>
        </w:rPr>
        <w:t>为维护基金份额持有人的合法权益，基金财产不得用于下列投资或者活动：</w:t>
      </w:r>
    </w:p>
    <w:p w14:paraId="29DFECF0">
      <w:pPr>
        <w:spacing w:line="360" w:lineRule="auto"/>
        <w:ind w:firstLine="480" w:firstLineChars="200"/>
        <w:rPr>
          <w:sz w:val="24"/>
          <w:szCs w:val="24"/>
        </w:rPr>
      </w:pPr>
      <w:bookmarkStart w:id="78" w:name="_Hlk93052552"/>
      <w:r>
        <w:rPr>
          <w:rFonts w:hint="eastAsia"/>
          <w:sz w:val="24"/>
          <w:szCs w:val="24"/>
        </w:rPr>
        <w:t>1、承销证券；</w:t>
      </w:r>
    </w:p>
    <w:p w14:paraId="0E917248">
      <w:pPr>
        <w:spacing w:line="360" w:lineRule="auto"/>
        <w:ind w:firstLine="480" w:firstLineChars="200"/>
        <w:rPr>
          <w:sz w:val="24"/>
          <w:szCs w:val="24"/>
        </w:rPr>
      </w:pPr>
      <w:r>
        <w:rPr>
          <w:rFonts w:hint="eastAsia"/>
          <w:sz w:val="24"/>
          <w:szCs w:val="24"/>
        </w:rPr>
        <w:t>2、违反规定向他人贷款或者提供担保；</w:t>
      </w:r>
    </w:p>
    <w:p w14:paraId="7CD9E561">
      <w:pPr>
        <w:spacing w:line="360" w:lineRule="auto"/>
        <w:ind w:firstLine="480" w:firstLineChars="200"/>
        <w:rPr>
          <w:sz w:val="24"/>
          <w:szCs w:val="24"/>
        </w:rPr>
      </w:pPr>
      <w:r>
        <w:rPr>
          <w:rFonts w:hint="eastAsia"/>
          <w:sz w:val="24"/>
          <w:szCs w:val="24"/>
        </w:rPr>
        <w:t>3、从事承担无限责任的投资；</w:t>
      </w:r>
    </w:p>
    <w:p w14:paraId="4E41C767">
      <w:pPr>
        <w:spacing w:line="360" w:lineRule="auto"/>
        <w:ind w:firstLine="480" w:firstLineChars="200"/>
        <w:rPr>
          <w:sz w:val="24"/>
          <w:szCs w:val="24"/>
        </w:rPr>
      </w:pPr>
      <w:r>
        <w:rPr>
          <w:rFonts w:hint="eastAsia"/>
          <w:sz w:val="24"/>
          <w:szCs w:val="24"/>
        </w:rPr>
        <w:t>4、买卖其他基金份额，但是中国证监会另有规定的除外；</w:t>
      </w:r>
    </w:p>
    <w:p w14:paraId="4C8B9C59">
      <w:pPr>
        <w:spacing w:line="360" w:lineRule="auto"/>
        <w:ind w:firstLine="480" w:firstLineChars="200"/>
        <w:rPr>
          <w:sz w:val="24"/>
          <w:szCs w:val="24"/>
        </w:rPr>
      </w:pPr>
      <w:r>
        <w:rPr>
          <w:rFonts w:hint="eastAsia"/>
          <w:sz w:val="24"/>
          <w:szCs w:val="24"/>
        </w:rPr>
        <w:t>5、向其基金管理人、基金托管人出资；</w:t>
      </w:r>
    </w:p>
    <w:p w14:paraId="22F9EBAF">
      <w:pPr>
        <w:spacing w:line="360" w:lineRule="auto"/>
        <w:ind w:firstLine="480" w:firstLineChars="200"/>
        <w:rPr>
          <w:sz w:val="24"/>
          <w:szCs w:val="24"/>
        </w:rPr>
      </w:pPr>
      <w:r>
        <w:rPr>
          <w:rFonts w:hint="eastAsia"/>
          <w:sz w:val="24"/>
          <w:szCs w:val="24"/>
        </w:rPr>
        <w:t>6、从事内幕交易、操纵证券交易价格及其他不正当的证券交易活动；</w:t>
      </w:r>
    </w:p>
    <w:p w14:paraId="68D35AE2">
      <w:pPr>
        <w:spacing w:line="360" w:lineRule="auto"/>
        <w:ind w:firstLine="480" w:firstLineChars="200"/>
        <w:rPr>
          <w:sz w:val="24"/>
          <w:szCs w:val="24"/>
        </w:rPr>
      </w:pPr>
      <w:r>
        <w:rPr>
          <w:rFonts w:hint="eastAsia"/>
          <w:sz w:val="24"/>
          <w:szCs w:val="24"/>
        </w:rPr>
        <w:t>7、法律、行政法规和中国证监会规定禁止的其他活动。</w:t>
      </w:r>
    </w:p>
    <w:p w14:paraId="0F5286CB">
      <w:pPr>
        <w:spacing w:line="360" w:lineRule="auto"/>
        <w:ind w:firstLine="480" w:firstLineChars="200"/>
        <w:rPr>
          <w:sz w:val="24"/>
          <w:szCs w:val="24"/>
        </w:rPr>
      </w:pPr>
      <w:r>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C09C26E">
      <w:pPr>
        <w:spacing w:line="360" w:lineRule="auto"/>
        <w:ind w:firstLine="480" w:firstLineChars="200"/>
        <w:rPr>
          <w:sz w:val="24"/>
          <w:szCs w:val="24"/>
        </w:rPr>
      </w:pPr>
      <w:r>
        <w:rPr>
          <w:rFonts w:hint="eastAsia"/>
          <w:sz w:val="24"/>
          <w:szCs w:val="24"/>
        </w:rPr>
        <w:t>法律、行政法规或监管部门取消或调整上述禁止性规定，如适用于本基金，基金管理人在履行适当程序后，则本基金投资不再受相关限制或按照调整后的规定执行。</w:t>
      </w:r>
    </w:p>
    <w:bookmarkEnd w:id="78"/>
    <w:p w14:paraId="4D74E800">
      <w:pPr>
        <w:spacing w:line="360" w:lineRule="auto"/>
        <w:ind w:firstLine="480" w:firstLineChars="200"/>
        <w:rPr>
          <w:sz w:val="24"/>
          <w:szCs w:val="24"/>
        </w:rPr>
      </w:pPr>
      <w:r>
        <w:rPr>
          <w:rFonts w:hint="eastAsia"/>
          <w:sz w:val="24"/>
          <w:szCs w:val="24"/>
        </w:rPr>
        <w:t>六、基金经理承诺</w:t>
      </w:r>
    </w:p>
    <w:p w14:paraId="18F53386">
      <w:pPr>
        <w:spacing w:line="360" w:lineRule="auto"/>
        <w:ind w:firstLine="480" w:firstLineChars="200"/>
        <w:rPr>
          <w:sz w:val="24"/>
          <w:szCs w:val="24"/>
        </w:rPr>
      </w:pPr>
      <w:r>
        <w:rPr>
          <w:sz w:val="24"/>
          <w:szCs w:val="24"/>
        </w:rPr>
        <w:t>1</w:t>
      </w:r>
      <w:r>
        <w:rPr>
          <w:rFonts w:hint="eastAsia"/>
          <w:sz w:val="24"/>
          <w:szCs w:val="24"/>
        </w:rPr>
        <w:t>、依照有关法律、法规和基金合同的规定，本着谨慎的原则为基金份额持有人谋取最大利益；</w:t>
      </w:r>
    </w:p>
    <w:p w14:paraId="11C66842">
      <w:pPr>
        <w:spacing w:line="360" w:lineRule="auto"/>
        <w:ind w:firstLine="480" w:firstLineChars="200"/>
        <w:rPr>
          <w:sz w:val="24"/>
          <w:szCs w:val="24"/>
        </w:rPr>
      </w:pPr>
      <w:r>
        <w:rPr>
          <w:sz w:val="24"/>
          <w:szCs w:val="24"/>
        </w:rPr>
        <w:t>2</w:t>
      </w:r>
      <w:r>
        <w:rPr>
          <w:rFonts w:hint="eastAsia"/>
          <w:sz w:val="24"/>
          <w:szCs w:val="24"/>
        </w:rPr>
        <w:t>、不能利用职务之便为自己、受雇人或任何第三者谋取利益；</w:t>
      </w:r>
    </w:p>
    <w:p w14:paraId="039A77E2">
      <w:pPr>
        <w:spacing w:line="360" w:lineRule="auto"/>
        <w:ind w:firstLine="480" w:firstLineChars="200"/>
        <w:rPr>
          <w:sz w:val="24"/>
          <w:szCs w:val="24"/>
        </w:rPr>
      </w:pPr>
      <w:r>
        <w:rPr>
          <w:sz w:val="24"/>
          <w:szCs w:val="24"/>
        </w:rPr>
        <w:t>3</w:t>
      </w:r>
      <w:r>
        <w:rPr>
          <w:rFonts w:hint="eastAsia"/>
          <w:sz w:val="24"/>
          <w:szCs w:val="24"/>
        </w:rPr>
        <w:t>、不泄露在任职期间知悉的有关证券、基金的商业秘密，尚未依法公开的基金投资内容、基金投资计划等信息；</w:t>
      </w:r>
    </w:p>
    <w:p w14:paraId="57F5CCA7">
      <w:pPr>
        <w:spacing w:line="360" w:lineRule="auto"/>
        <w:ind w:firstLine="480" w:firstLineChars="200"/>
        <w:rPr>
          <w:sz w:val="24"/>
          <w:szCs w:val="24"/>
        </w:rPr>
      </w:pPr>
      <w:r>
        <w:rPr>
          <w:sz w:val="24"/>
          <w:szCs w:val="24"/>
        </w:rPr>
        <w:t>4</w:t>
      </w:r>
      <w:r>
        <w:rPr>
          <w:rFonts w:hint="eastAsia"/>
          <w:sz w:val="24"/>
          <w:szCs w:val="24"/>
        </w:rPr>
        <w:t>、不以任何形式为其他组织或个人进行证券交易。</w:t>
      </w:r>
    </w:p>
    <w:p w14:paraId="0BB8FB50">
      <w:pPr>
        <w:spacing w:line="360" w:lineRule="auto"/>
        <w:ind w:firstLine="480" w:firstLineChars="200"/>
        <w:rPr>
          <w:sz w:val="24"/>
          <w:szCs w:val="24"/>
        </w:rPr>
      </w:pPr>
      <w:r>
        <w:rPr>
          <w:rFonts w:hint="eastAsia"/>
          <w:sz w:val="24"/>
          <w:szCs w:val="24"/>
        </w:rPr>
        <w:t>七、基金管理人的内部控制制度</w:t>
      </w:r>
    </w:p>
    <w:p w14:paraId="528DDAF8">
      <w:pPr>
        <w:spacing w:line="360" w:lineRule="auto"/>
        <w:ind w:firstLine="480" w:firstLineChars="200"/>
        <w:rPr>
          <w:sz w:val="24"/>
          <w:szCs w:val="24"/>
        </w:rPr>
      </w:pPr>
      <w:r>
        <w:rPr>
          <w:sz w:val="24"/>
          <w:szCs w:val="24"/>
        </w:rPr>
        <w:t>1</w:t>
      </w:r>
      <w:r>
        <w:rPr>
          <w:rFonts w:hint="eastAsia"/>
          <w:sz w:val="24"/>
          <w:szCs w:val="24"/>
        </w:rPr>
        <w:t>、内部控制制度概述</w:t>
      </w:r>
    </w:p>
    <w:p w14:paraId="27162AB2">
      <w:pPr>
        <w:spacing w:line="360" w:lineRule="auto"/>
        <w:ind w:firstLine="480" w:firstLineChars="200"/>
        <w:rPr>
          <w:sz w:val="24"/>
          <w:szCs w:val="24"/>
        </w:rPr>
      </w:pPr>
      <w:r>
        <w:rPr>
          <w:rFonts w:hint="eastAsia"/>
          <w:sz w:val="24"/>
          <w:szCs w:val="24"/>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1870B6E6">
      <w:pPr>
        <w:spacing w:line="360" w:lineRule="auto"/>
        <w:ind w:firstLine="480" w:firstLineChars="200"/>
        <w:rPr>
          <w:sz w:val="24"/>
          <w:szCs w:val="24"/>
        </w:rPr>
      </w:pPr>
      <w:r>
        <w:rPr>
          <w:rFonts w:hint="eastAsia"/>
          <w:sz w:val="24"/>
          <w:szCs w:val="24"/>
        </w:rPr>
        <w:t>内部控制制度是指公司为实现内部控制目标而建立的一系列组织机制、管理方法、操作程序与控制措施的总称。内部控制制度由内部控制大纲、基本管理制度、部门业务规章等组成。</w:t>
      </w:r>
    </w:p>
    <w:p w14:paraId="37254CED">
      <w:pPr>
        <w:spacing w:line="360" w:lineRule="auto"/>
        <w:ind w:firstLine="480" w:firstLineChars="200"/>
        <w:rPr>
          <w:sz w:val="24"/>
          <w:szCs w:val="24"/>
        </w:rPr>
      </w:pPr>
      <w:r>
        <w:rPr>
          <w:rFonts w:hint="eastAsia"/>
          <w:sz w:val="24"/>
          <w:szCs w:val="24"/>
        </w:rPr>
        <w:t>公司内部控制大纲是对公司章程规定的内控原则的细化和展开，是对各项基本管理制度的总揽和指导，内部控制大纲明确了内控目标、内控原则、控制环境、内控措施等内容。</w:t>
      </w:r>
    </w:p>
    <w:p w14:paraId="2D0502DB">
      <w:pPr>
        <w:spacing w:line="360" w:lineRule="auto"/>
        <w:ind w:firstLine="480" w:firstLineChars="200"/>
        <w:rPr>
          <w:sz w:val="24"/>
          <w:szCs w:val="24"/>
        </w:rPr>
      </w:pPr>
      <w:r>
        <w:rPr>
          <w:rFonts w:hint="eastAsia"/>
          <w:sz w:val="24"/>
          <w:szCs w:val="24"/>
        </w:rPr>
        <w:t>基本管理制度包括内部会计控制制度、风险控制制度、投资管理制度、监察稽核制度、基金会计制度、信息披露制度、信息技术管理制度、资料档案管理制度、业绩评估考核制度和紧急应变制度等。</w:t>
      </w:r>
    </w:p>
    <w:p w14:paraId="344B4E78">
      <w:pPr>
        <w:spacing w:line="360" w:lineRule="auto"/>
        <w:ind w:firstLine="480" w:firstLineChars="200"/>
        <w:rPr>
          <w:sz w:val="24"/>
          <w:szCs w:val="24"/>
        </w:rPr>
      </w:pPr>
      <w:r>
        <w:rPr>
          <w:rFonts w:hint="eastAsia"/>
          <w:sz w:val="24"/>
          <w:szCs w:val="24"/>
        </w:rPr>
        <w:t>部门业务规章是在基本管理制度的基础上，对各部门的主要职责、岗位设置、岗位责任、操作守则等的具体说明。</w:t>
      </w:r>
    </w:p>
    <w:p w14:paraId="480E334D">
      <w:pPr>
        <w:spacing w:line="360" w:lineRule="auto"/>
        <w:ind w:firstLine="480" w:firstLineChars="200"/>
        <w:rPr>
          <w:sz w:val="24"/>
          <w:szCs w:val="24"/>
        </w:rPr>
      </w:pPr>
      <w:r>
        <w:rPr>
          <w:sz w:val="24"/>
          <w:szCs w:val="24"/>
        </w:rPr>
        <w:t>2</w:t>
      </w:r>
      <w:r>
        <w:rPr>
          <w:rFonts w:hint="eastAsia"/>
          <w:sz w:val="24"/>
          <w:szCs w:val="24"/>
        </w:rPr>
        <w:t>、内部控制原则</w:t>
      </w:r>
    </w:p>
    <w:p w14:paraId="63D2E56A">
      <w:pPr>
        <w:spacing w:line="360" w:lineRule="auto"/>
        <w:ind w:firstLine="480" w:firstLineChars="200"/>
        <w:rPr>
          <w:sz w:val="24"/>
          <w:szCs w:val="24"/>
        </w:rPr>
      </w:pPr>
      <w:r>
        <w:rPr>
          <w:rFonts w:hint="eastAsia"/>
          <w:sz w:val="24"/>
          <w:szCs w:val="24"/>
        </w:rPr>
        <w:t>健全性原则。内部控制机制必须覆盖公司的各项业务、各个部门或机构和各级人员，并涵盖到决策、执行、监督、反馈等各个运作环节。</w:t>
      </w:r>
    </w:p>
    <w:p w14:paraId="2CB8088C">
      <w:pPr>
        <w:spacing w:line="360" w:lineRule="auto"/>
        <w:ind w:firstLine="480" w:firstLineChars="200"/>
        <w:rPr>
          <w:sz w:val="24"/>
          <w:szCs w:val="24"/>
        </w:rPr>
      </w:pPr>
      <w:r>
        <w:rPr>
          <w:rFonts w:hint="eastAsia"/>
          <w:sz w:val="24"/>
          <w:szCs w:val="24"/>
        </w:rPr>
        <w:t>有效性原则。通过科学的内控手段和方法，建立合理的内控程序，维护内控制度的有效执行。</w:t>
      </w:r>
    </w:p>
    <w:p w14:paraId="2B2CB20F">
      <w:pPr>
        <w:spacing w:line="360" w:lineRule="auto"/>
        <w:ind w:firstLine="480" w:firstLineChars="200"/>
        <w:rPr>
          <w:sz w:val="24"/>
          <w:szCs w:val="24"/>
        </w:rPr>
      </w:pPr>
      <w:r>
        <w:rPr>
          <w:rFonts w:hint="eastAsia"/>
          <w:sz w:val="24"/>
          <w:szCs w:val="24"/>
        </w:rPr>
        <w:t>独立性原则。公司各机构、部门和岗位在职能上应当保持相对独立，公司基金资产、自有资产、其他资产的运作应当分离。</w:t>
      </w:r>
    </w:p>
    <w:p w14:paraId="6CB7C310">
      <w:pPr>
        <w:spacing w:line="360" w:lineRule="auto"/>
        <w:ind w:firstLine="480" w:firstLineChars="200"/>
        <w:rPr>
          <w:sz w:val="24"/>
          <w:szCs w:val="24"/>
        </w:rPr>
      </w:pPr>
      <w:r>
        <w:rPr>
          <w:rFonts w:hint="eastAsia"/>
          <w:sz w:val="24"/>
          <w:szCs w:val="24"/>
        </w:rPr>
        <w:t>相互制约原则。公司内部部门和岗位的设置必须权责分明、相互制衡，并通过切实可行的措施来实行。</w:t>
      </w:r>
    </w:p>
    <w:p w14:paraId="60C31FF1">
      <w:pPr>
        <w:spacing w:line="360" w:lineRule="auto"/>
        <w:ind w:firstLine="480" w:firstLineChars="200"/>
        <w:rPr>
          <w:sz w:val="24"/>
          <w:szCs w:val="24"/>
        </w:rPr>
      </w:pPr>
      <w:r>
        <w:rPr>
          <w:rFonts w:hint="eastAsia"/>
          <w:sz w:val="24"/>
          <w:szCs w:val="24"/>
        </w:rPr>
        <w:t>成本效益原则。公司应充分发挥各机构、各部门及各级员工的工作积极性，运用科学化的方法尽量降低经营运作成本，提高经济效益，以合理的控制成本达到最佳的内部控制效果。</w:t>
      </w:r>
    </w:p>
    <w:p w14:paraId="38AD4661">
      <w:pPr>
        <w:spacing w:line="360" w:lineRule="auto"/>
        <w:ind w:firstLine="480" w:firstLineChars="200"/>
        <w:rPr>
          <w:sz w:val="24"/>
          <w:szCs w:val="24"/>
        </w:rPr>
      </w:pPr>
      <w:r>
        <w:rPr>
          <w:sz w:val="24"/>
          <w:szCs w:val="24"/>
        </w:rPr>
        <w:t>3</w:t>
      </w:r>
      <w:r>
        <w:rPr>
          <w:rFonts w:hint="eastAsia"/>
          <w:sz w:val="24"/>
          <w:szCs w:val="24"/>
        </w:rPr>
        <w:t>、主要内部控制制度</w:t>
      </w:r>
    </w:p>
    <w:p w14:paraId="6A71CB4E">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）内部会计控制制度</w:t>
      </w:r>
    </w:p>
    <w:p w14:paraId="2A9167E6">
      <w:pPr>
        <w:spacing w:line="360" w:lineRule="auto"/>
        <w:ind w:firstLine="480" w:firstLineChars="200"/>
        <w:rPr>
          <w:sz w:val="24"/>
          <w:szCs w:val="24"/>
        </w:rPr>
      </w:pPr>
      <w:r>
        <w:rPr>
          <w:rFonts w:hint="eastAsia"/>
          <w:sz w:val="24"/>
          <w:szCs w:val="24"/>
        </w:rPr>
        <w:t>公司依据《中华人民共和国会计法》、《证券投资基金会计核算业务指引》、《企业财务通则》等国家有关法律、法规制订了基金会计制度、公司财务会计制度、会计工作操作流程和会计岗位职责，并针对各个风险控制点建立严密的会计系统控制。</w:t>
      </w:r>
    </w:p>
    <w:p w14:paraId="274B9FFF">
      <w:pPr>
        <w:spacing w:line="360" w:lineRule="auto"/>
        <w:ind w:firstLine="480" w:firstLineChars="200"/>
        <w:rPr>
          <w:sz w:val="24"/>
          <w:szCs w:val="24"/>
        </w:rPr>
      </w:pPr>
      <w:r>
        <w:rPr>
          <w:rFonts w:hint="eastAsia"/>
          <w:sz w:val="24"/>
          <w:szCs w:val="24"/>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1B45D161">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）风险管理控制制度</w:t>
      </w:r>
    </w:p>
    <w:p w14:paraId="607E449D">
      <w:pPr>
        <w:spacing w:line="360" w:lineRule="auto"/>
        <w:ind w:firstLine="480" w:firstLineChars="200"/>
        <w:rPr>
          <w:sz w:val="24"/>
          <w:szCs w:val="24"/>
        </w:rPr>
      </w:pPr>
      <w:r>
        <w:rPr>
          <w:rFonts w:hint="eastAsia"/>
          <w:sz w:val="24"/>
          <w:szCs w:val="24"/>
        </w:rPr>
        <w:t>风险控制制度由合规与风险管理委员会组织各部门制定，风险控制制度由风险控制的目标和原则、风险控制的机构设置、风险控制的程序、风险类型的界定、风险控制的主要措施、风险控制的具体制度、风险控制制度的监督与评价等部分组成。</w:t>
      </w:r>
    </w:p>
    <w:p w14:paraId="671B14B9">
      <w:pPr>
        <w:spacing w:line="360" w:lineRule="auto"/>
        <w:ind w:firstLine="480" w:firstLineChars="200"/>
        <w:rPr>
          <w:sz w:val="24"/>
          <w:szCs w:val="24"/>
        </w:rPr>
      </w:pPr>
      <w:r>
        <w:rPr>
          <w:rFonts w:hint="eastAsia"/>
          <w:sz w:val="24"/>
          <w:szCs w:val="24"/>
        </w:rPr>
        <w:t>风险控制的具体制度主要包括投资风险管理制度、交易风险管理制度、财务风险控制制度以及岗位分离制度、防火墙制度、岗位职责、反馈制度、保密制度、员工行为准则等程序性风险管理制度。</w:t>
      </w:r>
    </w:p>
    <w:p w14:paraId="14F6E74F">
      <w:pPr>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）监察稽核制度</w:t>
      </w:r>
    </w:p>
    <w:p w14:paraId="5F147CF7">
      <w:pPr>
        <w:spacing w:line="360" w:lineRule="auto"/>
        <w:ind w:firstLine="480" w:firstLineChars="200"/>
        <w:rPr>
          <w:sz w:val="24"/>
          <w:szCs w:val="24"/>
        </w:rPr>
      </w:pPr>
      <w:r>
        <w:rPr>
          <w:rFonts w:hint="eastAsia"/>
          <w:sz w:val="24"/>
          <w:szCs w:val="24"/>
        </w:rPr>
        <w:t>公司设立督察长，负责监察稽核工作，督察长由总经理提名，经董事会聘任，报中国证监会核准。</w:t>
      </w:r>
    </w:p>
    <w:p w14:paraId="300B0392">
      <w:pPr>
        <w:spacing w:line="360" w:lineRule="auto"/>
        <w:ind w:firstLine="480" w:firstLineChars="200"/>
        <w:rPr>
          <w:sz w:val="24"/>
          <w:szCs w:val="24"/>
        </w:rPr>
      </w:pPr>
      <w:r>
        <w:rPr>
          <w:rFonts w:hint="eastAsia"/>
          <w:sz w:val="24"/>
          <w:szCs w:val="24"/>
        </w:rPr>
        <w:t>除应当回避的情况外，督察长可以列席公司任何会议，调阅公司相关档案，就内部控制制度的执行情况独立地履行检查、评价、报告、建议职能。督察长应当定期和不定期向董事会报告公司内部控制执行情况，董事会应当对督察长的报告进行审议。</w:t>
      </w:r>
    </w:p>
    <w:p w14:paraId="3194CAD6">
      <w:pPr>
        <w:spacing w:line="360" w:lineRule="auto"/>
        <w:ind w:firstLine="480" w:firstLineChars="200"/>
        <w:rPr>
          <w:sz w:val="24"/>
          <w:szCs w:val="24"/>
        </w:rPr>
      </w:pPr>
      <w:r>
        <w:rPr>
          <w:rFonts w:hint="eastAsia"/>
          <w:sz w:val="24"/>
          <w:szCs w:val="24"/>
        </w:rPr>
        <w:t>公司设立监察稽核部门，具体执行监察稽核工作。公司配备了充足合格的监察稽核人员，明确规定了监察稽核部门及内部各岗位的职责和工作流程。</w:t>
      </w:r>
    </w:p>
    <w:p w14:paraId="34364291">
      <w:pPr>
        <w:spacing w:line="360" w:lineRule="auto"/>
        <w:ind w:firstLine="480" w:firstLineChars="200"/>
        <w:rPr>
          <w:sz w:val="24"/>
          <w:szCs w:val="24"/>
        </w:rPr>
      </w:pPr>
      <w:r>
        <w:rPr>
          <w:rFonts w:hint="eastAsia"/>
          <w:sz w:val="24"/>
          <w:szCs w:val="24"/>
        </w:rPr>
        <w:t>监察稽核制度包括内部监察稽核管理办法、内部监察稽核工作准则等。通过这些制度的建立，检查公司各业务部门和人员遵守有关法律、法规和规章的有关情况；检查公司各业务部门和人员执行公司内部控制制度、各项管理制度和业务规章的情况。</w:t>
      </w:r>
    </w:p>
    <w:p w14:paraId="20A491D0">
      <w:pPr>
        <w:spacing w:line="360" w:lineRule="auto"/>
        <w:ind w:firstLine="480" w:firstLineChars="200"/>
        <w:rPr>
          <w:sz w:val="24"/>
          <w:szCs w:val="24"/>
        </w:rPr>
      </w:pPr>
      <w:r>
        <w:rPr>
          <w:sz w:val="24"/>
          <w:szCs w:val="24"/>
        </w:rPr>
        <w:t>4</w:t>
      </w:r>
      <w:r>
        <w:rPr>
          <w:rFonts w:hint="eastAsia"/>
          <w:sz w:val="24"/>
          <w:szCs w:val="24"/>
        </w:rPr>
        <w:t>、基金管理人关于内部控制制度的声明</w:t>
      </w:r>
    </w:p>
    <w:p w14:paraId="647AA9EF">
      <w:pPr>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）基金管理人承诺以上关于内部控制制度的披露真实、准确；</w:t>
      </w:r>
    </w:p>
    <w:p w14:paraId="50D619B4">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）基金管理人承诺根据市场变化和基金管理人发展不断完善内部合规控制。</w:t>
      </w:r>
    </w:p>
    <w:p w14:paraId="40A4ED1A">
      <w:pPr>
        <w:pStyle w:val="2"/>
        <w:spacing w:before="0" w:after="0"/>
        <w:jc w:val="center"/>
        <w:rPr>
          <w:rFonts w:ascii="Times New Roman"/>
          <w:color w:val="auto"/>
          <w:szCs w:val="24"/>
        </w:rPr>
      </w:pPr>
      <w:r>
        <w:rPr>
          <w:rFonts w:ascii="Times New Roman"/>
          <w:b w:val="0"/>
          <w:bCs/>
          <w:color w:val="auto"/>
          <w:szCs w:val="24"/>
        </w:rPr>
        <w:br w:type="page"/>
      </w:r>
      <w:bookmarkStart w:id="79" w:name="_Toc326752128"/>
      <w:bookmarkStart w:id="80" w:name="_Toc345339059"/>
      <w:bookmarkStart w:id="81" w:name="_Toc216103537"/>
      <w:bookmarkStart w:id="82" w:name="_Toc48032541"/>
      <w:r>
        <w:rPr>
          <w:rFonts w:hint="eastAsia" w:ascii="Times New Roman"/>
          <w:color w:val="auto"/>
          <w:szCs w:val="24"/>
        </w:rPr>
        <w:t>第四部分</w:t>
      </w:r>
      <w:r>
        <w:rPr>
          <w:rFonts w:ascii="Times New Roman"/>
          <w:color w:val="auto"/>
          <w:szCs w:val="24"/>
        </w:rPr>
        <w:t xml:space="preserve">  </w:t>
      </w:r>
      <w:r>
        <w:rPr>
          <w:rFonts w:hint="eastAsia" w:ascii="Times New Roman"/>
          <w:color w:val="auto"/>
          <w:szCs w:val="24"/>
        </w:rPr>
        <w:t>基金托管人</w:t>
      </w:r>
      <w:bookmarkEnd w:id="79"/>
      <w:bookmarkEnd w:id="80"/>
      <w:bookmarkEnd w:id="81"/>
      <w:bookmarkEnd w:id="82"/>
    </w:p>
    <w:p w14:paraId="1228C8B4">
      <w:pPr>
        <w:spacing w:line="360" w:lineRule="auto"/>
        <w:ind w:firstLine="480" w:firstLineChars="200"/>
        <w:rPr>
          <w:sz w:val="24"/>
          <w:szCs w:val="24"/>
        </w:rPr>
      </w:pPr>
    </w:p>
    <w:p w14:paraId="41A85517">
      <w:pPr>
        <w:spacing w:line="360" w:lineRule="auto"/>
        <w:ind w:firstLine="480" w:firstLineChars="200"/>
        <w:rPr>
          <w:sz w:val="24"/>
          <w:szCs w:val="24"/>
        </w:rPr>
      </w:pPr>
      <w:bookmarkStart w:id="83" w:name="基本人员情况"/>
      <w:r>
        <w:rPr>
          <w:rFonts w:hint="eastAsia"/>
          <w:sz w:val="24"/>
          <w:szCs w:val="24"/>
        </w:rPr>
        <w:t>一、基金托管人情况</w:t>
      </w:r>
    </w:p>
    <w:p w14:paraId="71D539EE">
      <w:pPr>
        <w:spacing w:line="360" w:lineRule="auto"/>
        <w:ind w:firstLine="480" w:firstLineChars="200"/>
        <w:rPr>
          <w:sz w:val="24"/>
          <w:szCs w:val="24"/>
        </w:rPr>
      </w:pPr>
      <w:r>
        <w:rPr>
          <w:rFonts w:hint="eastAsia"/>
          <w:sz w:val="24"/>
          <w:szCs w:val="24"/>
        </w:rPr>
        <w:t>（一）基金托管人概况</w:t>
      </w:r>
    </w:p>
    <w:p w14:paraId="1C1C52DA">
      <w:pPr>
        <w:adjustRightInd w:val="0"/>
        <w:snapToGrid w:val="0"/>
        <w:spacing w:line="360" w:lineRule="auto"/>
        <w:ind w:firstLine="480" w:firstLineChars="200"/>
        <w:rPr>
          <w:rFonts w:ascii="宋体" w:hAnsi="宋体" w:cs="Arial"/>
          <w:sz w:val="24"/>
        </w:rPr>
      </w:pPr>
      <w:bookmarkStart w:id="84" w:name="_Hlk181950583"/>
      <w:r>
        <w:rPr>
          <w:rFonts w:hint="eastAsia" w:ascii="宋体" w:hAnsi="宋体" w:cs="Arial"/>
          <w:sz w:val="24"/>
        </w:rPr>
        <w:t>名称：宁波银行股份有限公司</w:t>
      </w:r>
    </w:p>
    <w:p w14:paraId="05A3448C">
      <w:pPr>
        <w:adjustRightInd w:val="0"/>
        <w:snapToGrid w:val="0"/>
        <w:spacing w:line="360" w:lineRule="auto"/>
        <w:ind w:firstLine="480" w:firstLineChars="200"/>
        <w:rPr>
          <w:rFonts w:ascii="宋体" w:hAnsi="宋体" w:cs="Arial"/>
          <w:sz w:val="24"/>
        </w:rPr>
      </w:pPr>
      <w:r>
        <w:rPr>
          <w:rFonts w:hint="eastAsia" w:ascii="宋体" w:hAnsi="宋体" w:cs="Arial"/>
          <w:sz w:val="24"/>
        </w:rPr>
        <w:t>住所：浙江省宁波市宁东路345号</w:t>
      </w:r>
    </w:p>
    <w:p w14:paraId="6389700C">
      <w:pPr>
        <w:adjustRightInd w:val="0"/>
        <w:snapToGrid w:val="0"/>
        <w:spacing w:line="360" w:lineRule="auto"/>
        <w:ind w:firstLine="480" w:firstLineChars="200"/>
        <w:rPr>
          <w:rFonts w:ascii="宋体" w:hAnsi="宋体" w:cs="Arial"/>
          <w:sz w:val="24"/>
        </w:rPr>
      </w:pPr>
      <w:r>
        <w:rPr>
          <w:rFonts w:hint="eastAsia" w:ascii="宋体" w:hAnsi="宋体" w:cs="Arial"/>
          <w:sz w:val="24"/>
        </w:rPr>
        <w:t>办公地址：浙江省宁波市宁东路345号</w:t>
      </w:r>
    </w:p>
    <w:p w14:paraId="2A9C5740">
      <w:pPr>
        <w:adjustRightInd w:val="0"/>
        <w:snapToGrid w:val="0"/>
        <w:spacing w:line="360" w:lineRule="auto"/>
        <w:ind w:firstLine="480" w:firstLineChars="200"/>
        <w:rPr>
          <w:rFonts w:ascii="宋体" w:hAnsi="宋体" w:cs="Arial"/>
          <w:sz w:val="24"/>
        </w:rPr>
      </w:pPr>
      <w:r>
        <w:rPr>
          <w:rFonts w:hint="eastAsia" w:ascii="宋体" w:hAnsi="宋体" w:cs="Arial"/>
          <w:sz w:val="24"/>
        </w:rPr>
        <w:t>法定代表人：陆华裕</w:t>
      </w:r>
    </w:p>
    <w:p w14:paraId="4ACBF263">
      <w:pPr>
        <w:adjustRightInd w:val="0"/>
        <w:snapToGrid w:val="0"/>
        <w:spacing w:line="360" w:lineRule="auto"/>
        <w:ind w:firstLine="480" w:firstLineChars="200"/>
        <w:rPr>
          <w:rFonts w:ascii="宋体" w:hAnsi="宋体" w:cs="Arial"/>
          <w:sz w:val="24"/>
        </w:rPr>
      </w:pPr>
      <w:r>
        <w:rPr>
          <w:rFonts w:hint="eastAsia" w:ascii="宋体" w:hAnsi="宋体" w:cs="Arial"/>
          <w:sz w:val="24"/>
        </w:rPr>
        <w:t>注册日期：1997年4月10日</w:t>
      </w:r>
    </w:p>
    <w:p w14:paraId="0D1EAC64">
      <w:pPr>
        <w:adjustRightInd w:val="0"/>
        <w:snapToGrid w:val="0"/>
        <w:spacing w:line="360" w:lineRule="auto"/>
        <w:ind w:firstLine="480" w:firstLineChars="200"/>
        <w:rPr>
          <w:rFonts w:ascii="宋体" w:hAnsi="宋体" w:cs="Arial"/>
          <w:sz w:val="24"/>
        </w:rPr>
      </w:pPr>
      <w:r>
        <w:rPr>
          <w:rFonts w:hint="eastAsia" w:ascii="宋体" w:hAnsi="宋体" w:cs="Arial"/>
          <w:sz w:val="24"/>
        </w:rPr>
        <w:t>批准设立机关和批准设立文号：中国银监会，银监复[2007]64号</w:t>
      </w:r>
    </w:p>
    <w:p w14:paraId="6CC8256F">
      <w:pPr>
        <w:adjustRightInd w:val="0"/>
        <w:snapToGrid w:val="0"/>
        <w:spacing w:line="360" w:lineRule="auto"/>
        <w:ind w:firstLine="480" w:firstLineChars="200"/>
        <w:rPr>
          <w:rFonts w:ascii="宋体" w:hAnsi="宋体" w:cs="Arial"/>
          <w:sz w:val="24"/>
        </w:rPr>
      </w:pPr>
      <w:r>
        <w:rPr>
          <w:rFonts w:hint="eastAsia" w:ascii="宋体" w:hAnsi="宋体" w:cs="Arial"/>
          <w:sz w:val="24"/>
        </w:rPr>
        <w:t>组织形式：股份有限公司</w:t>
      </w:r>
    </w:p>
    <w:p w14:paraId="5550FA80">
      <w:pPr>
        <w:adjustRightInd w:val="0"/>
        <w:snapToGrid w:val="0"/>
        <w:spacing w:line="360" w:lineRule="auto"/>
        <w:ind w:firstLine="480" w:firstLineChars="200"/>
        <w:rPr>
          <w:rFonts w:ascii="宋体" w:hAnsi="宋体" w:cs="Arial"/>
          <w:sz w:val="24"/>
        </w:rPr>
      </w:pPr>
      <w:r>
        <w:rPr>
          <w:rFonts w:hint="eastAsia" w:ascii="宋体" w:hAnsi="宋体" w:cs="Arial"/>
          <w:sz w:val="24"/>
        </w:rPr>
        <w:t>注册资本：人民币陆拾陆亿零叁佰伍拾玖万零柒佰玖拾贰元整</w:t>
      </w:r>
    </w:p>
    <w:p w14:paraId="1EA6DEFD">
      <w:pPr>
        <w:adjustRightInd w:val="0"/>
        <w:snapToGrid w:val="0"/>
        <w:spacing w:line="360" w:lineRule="auto"/>
        <w:ind w:firstLine="480" w:firstLineChars="200"/>
        <w:rPr>
          <w:rFonts w:ascii="宋体" w:hAnsi="宋体" w:cs="Arial"/>
          <w:sz w:val="24"/>
        </w:rPr>
      </w:pPr>
      <w:r>
        <w:rPr>
          <w:rFonts w:hint="eastAsia" w:ascii="宋体" w:hAnsi="宋体" w:cs="Arial"/>
          <w:sz w:val="24"/>
        </w:rPr>
        <w:t>存续期间：持续经营</w:t>
      </w:r>
    </w:p>
    <w:p w14:paraId="02C54543">
      <w:pPr>
        <w:adjustRightInd w:val="0"/>
        <w:snapToGrid w:val="0"/>
        <w:spacing w:line="360" w:lineRule="auto"/>
        <w:ind w:firstLine="480" w:firstLineChars="200"/>
        <w:rPr>
          <w:sz w:val="24"/>
        </w:rPr>
      </w:pPr>
      <w:r>
        <w:rPr>
          <w:rFonts w:hint="eastAsia"/>
          <w:sz w:val="24"/>
        </w:rPr>
        <w:t>基金托管资格批文及文号：证监许可</w:t>
      </w:r>
      <w:r>
        <w:rPr>
          <w:rFonts w:hint="eastAsia" w:ascii="宋体" w:hAnsi="宋体" w:cs="Arial"/>
          <w:sz w:val="24"/>
        </w:rPr>
        <w:t>[</w:t>
      </w:r>
      <w:r>
        <w:rPr>
          <w:rFonts w:hint="eastAsia"/>
          <w:sz w:val="24"/>
        </w:rPr>
        <w:t>2012</w:t>
      </w:r>
      <w:r>
        <w:rPr>
          <w:rFonts w:hint="eastAsia" w:ascii="宋体" w:hAnsi="宋体" w:cs="Arial"/>
          <w:sz w:val="24"/>
        </w:rPr>
        <w:t>]</w:t>
      </w:r>
      <w:r>
        <w:rPr>
          <w:rFonts w:hint="eastAsia"/>
          <w:sz w:val="24"/>
        </w:rPr>
        <w:t>1432号</w:t>
      </w:r>
    </w:p>
    <w:p w14:paraId="64FEDB67">
      <w:pPr>
        <w:adjustRightInd w:val="0"/>
        <w:snapToGrid w:val="0"/>
        <w:spacing w:line="360" w:lineRule="auto"/>
        <w:ind w:firstLine="480" w:firstLineChars="200"/>
        <w:rPr>
          <w:sz w:val="24"/>
        </w:rPr>
      </w:pPr>
      <w:r>
        <w:rPr>
          <w:rFonts w:hint="eastAsia"/>
          <w:sz w:val="24"/>
        </w:rPr>
        <w:t>托管部门联系人：王海燕</w:t>
      </w:r>
    </w:p>
    <w:p w14:paraId="2033E3E0">
      <w:pPr>
        <w:spacing w:line="360" w:lineRule="auto"/>
        <w:ind w:firstLine="480" w:firstLineChars="200"/>
        <w:rPr>
          <w:sz w:val="24"/>
        </w:rPr>
      </w:pPr>
      <w:r>
        <w:rPr>
          <w:rFonts w:hint="eastAsia"/>
          <w:sz w:val="24"/>
        </w:rPr>
        <w:t>电话：0574-89103171</w:t>
      </w:r>
      <w:bookmarkEnd w:id="84"/>
    </w:p>
    <w:p w14:paraId="01B9D09C">
      <w:pPr>
        <w:spacing w:line="360" w:lineRule="auto"/>
        <w:ind w:firstLine="480" w:firstLineChars="200"/>
        <w:rPr>
          <w:sz w:val="24"/>
          <w:szCs w:val="24"/>
        </w:rPr>
      </w:pPr>
      <w:r>
        <w:rPr>
          <w:rFonts w:hint="eastAsia"/>
          <w:sz w:val="24"/>
          <w:szCs w:val="24"/>
        </w:rPr>
        <w:t>（二）主要人员情况</w:t>
      </w:r>
    </w:p>
    <w:p w14:paraId="1128B49F">
      <w:pPr>
        <w:spacing w:line="360" w:lineRule="auto"/>
        <w:ind w:firstLine="480" w:firstLineChars="200"/>
        <w:rPr>
          <w:sz w:val="24"/>
          <w:szCs w:val="24"/>
        </w:rPr>
      </w:pPr>
      <w:r>
        <w:rPr>
          <w:rFonts w:hint="eastAsia"/>
          <w:sz w:val="24"/>
          <w:szCs w:val="24"/>
        </w:rPr>
        <w:t>截至2026年3月底，宁波银行资产托管部共有员工126人，所有员工拥有大学本科及以上学历。</w:t>
      </w:r>
    </w:p>
    <w:p w14:paraId="0C2F90C2">
      <w:pPr>
        <w:spacing w:line="360" w:lineRule="auto"/>
        <w:ind w:firstLine="480" w:firstLineChars="200"/>
        <w:rPr>
          <w:sz w:val="24"/>
          <w:szCs w:val="24"/>
        </w:rPr>
      </w:pPr>
      <w:r>
        <w:rPr>
          <w:rFonts w:hint="eastAsia"/>
          <w:sz w:val="24"/>
          <w:szCs w:val="24"/>
        </w:rPr>
        <w:t>（三）基金托管业务经营情况</w:t>
      </w:r>
    </w:p>
    <w:p w14:paraId="17D11608">
      <w:pPr>
        <w:spacing w:line="360" w:lineRule="auto"/>
        <w:ind w:firstLine="480" w:firstLineChars="200"/>
        <w:rPr>
          <w:sz w:val="24"/>
          <w:szCs w:val="24"/>
        </w:rPr>
      </w:pPr>
      <w:r>
        <w:rPr>
          <w:rFonts w:hint="eastAsia"/>
          <w:sz w:val="24"/>
          <w:szCs w:val="24"/>
        </w:rPr>
        <w:t>作为中国大陆托管服务的先行者，宁波银行自2012年获得证券投资基金资产托管的资格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丰富和成熟的产品线。拥有包括证券投资基金、信托资产、ＱＤＩＩ资产、股权投资基金、证券公司集合资产管理计划、证券公司定向资产管理计划、基金公司特定客户资产管理等门类齐全的托管产品体系，同时在国内率先开展绩效评估、风险管理等增值服务，可以为各类客户提供个性化的托管服务。</w:t>
      </w:r>
    </w:p>
    <w:p w14:paraId="72D1E6F0">
      <w:pPr>
        <w:spacing w:line="360" w:lineRule="auto"/>
        <w:ind w:firstLine="480" w:firstLineChars="200"/>
        <w:rPr>
          <w:sz w:val="24"/>
          <w:szCs w:val="24"/>
        </w:rPr>
      </w:pPr>
      <w:r>
        <w:rPr>
          <w:rFonts w:hint="eastAsia"/>
          <w:sz w:val="24"/>
          <w:szCs w:val="24"/>
        </w:rPr>
        <w:t>截至2026年3月底，宁波银行共托管142只证券投资基金，证券投资基金托管规模2120.63亿元。</w:t>
      </w:r>
    </w:p>
    <w:p w14:paraId="79865757">
      <w:pPr>
        <w:spacing w:line="360" w:lineRule="auto"/>
        <w:ind w:firstLine="480" w:firstLineChars="200"/>
        <w:rPr>
          <w:sz w:val="24"/>
          <w:szCs w:val="24"/>
        </w:rPr>
      </w:pPr>
      <w:r>
        <w:rPr>
          <w:rFonts w:hint="eastAsia"/>
          <w:sz w:val="24"/>
          <w:szCs w:val="24"/>
        </w:rPr>
        <w:t>（四）基金托管人的职责</w:t>
      </w:r>
    </w:p>
    <w:p w14:paraId="31D19992">
      <w:pPr>
        <w:spacing w:line="360" w:lineRule="auto"/>
        <w:ind w:firstLine="480" w:firstLineChars="200"/>
        <w:rPr>
          <w:sz w:val="24"/>
          <w:szCs w:val="24"/>
        </w:rPr>
      </w:pPr>
      <w:r>
        <w:rPr>
          <w:rFonts w:hint="eastAsia"/>
          <w:sz w:val="24"/>
          <w:szCs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基金托管人根据有关法律法规的规定及基金合同的约定，对基金投资、融资比例进行监督。</w:t>
      </w:r>
    </w:p>
    <w:p w14:paraId="50FD3E58">
      <w:pPr>
        <w:spacing w:line="360" w:lineRule="auto"/>
        <w:ind w:firstLine="480" w:firstLineChars="200"/>
        <w:rPr>
          <w:sz w:val="24"/>
          <w:szCs w:val="24"/>
        </w:rPr>
      </w:pPr>
      <w:r>
        <w:rPr>
          <w:rFonts w:hint="eastAsia"/>
          <w:sz w:val="24"/>
          <w:szCs w:val="24"/>
        </w:rPr>
        <w:t>基金托管人通过事后监督方式对基金管理人基金投资禁止行为和关联交易进行监督。根据法律法规有关基金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14:paraId="1E4D9AAD">
      <w:pPr>
        <w:spacing w:line="360" w:lineRule="auto"/>
        <w:ind w:firstLine="480" w:firstLineChars="200"/>
        <w:rPr>
          <w:sz w:val="24"/>
          <w:szCs w:val="24"/>
        </w:rPr>
      </w:pPr>
      <w:r>
        <w:rPr>
          <w:rFonts w:hint="eastAsia"/>
          <w:sz w:val="24"/>
          <w:szCs w:val="24"/>
        </w:rPr>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w:t>
      </w:r>
    </w:p>
    <w:p w14:paraId="2233971F">
      <w:pPr>
        <w:spacing w:line="360" w:lineRule="auto"/>
        <w:ind w:firstLine="480" w:firstLineChars="200"/>
        <w:rPr>
          <w:sz w:val="24"/>
          <w:szCs w:val="24"/>
        </w:rPr>
      </w:pPr>
      <w:r>
        <w:rPr>
          <w:rFonts w:hint="eastAsia"/>
          <w:sz w:val="24"/>
          <w:szCs w:val="24"/>
        </w:rPr>
        <w:t>（五）基金托管人的内部控制制度</w:t>
      </w:r>
    </w:p>
    <w:p w14:paraId="3039438C">
      <w:pPr>
        <w:spacing w:line="360" w:lineRule="auto"/>
        <w:ind w:firstLine="480" w:firstLineChars="200"/>
        <w:rPr>
          <w:sz w:val="24"/>
          <w:szCs w:val="24"/>
        </w:rPr>
      </w:pPr>
      <w:r>
        <w:rPr>
          <w:rFonts w:hint="eastAsia"/>
          <w:sz w:val="24"/>
          <w:szCs w:val="24"/>
        </w:rPr>
        <w:t>1、内部风险控制目标</w:t>
      </w:r>
    </w:p>
    <w:p w14:paraId="1FE1300C">
      <w:pPr>
        <w:spacing w:line="360" w:lineRule="auto"/>
        <w:ind w:firstLine="480" w:firstLineChars="200"/>
        <w:rPr>
          <w:sz w:val="24"/>
          <w:szCs w:val="24"/>
        </w:rPr>
      </w:pPr>
      <w:r>
        <w:rPr>
          <w:rFonts w:hint="eastAsia"/>
          <w:sz w:val="24"/>
          <w:szCs w:val="24"/>
        </w:rPr>
        <w:t>强化内部管理，保障国家的金融方针政策及相关法律法规贯彻执行，保证自觉合规依法经营，形成一个运作规范化、管理科学化、监控制度化的内控体系，保障业务正常运行，维护基金份额持有人及基金托管人的合法权益。</w:t>
      </w:r>
    </w:p>
    <w:p w14:paraId="1CFCFC33">
      <w:pPr>
        <w:spacing w:line="360" w:lineRule="auto"/>
        <w:ind w:firstLine="480" w:firstLineChars="200"/>
        <w:rPr>
          <w:sz w:val="24"/>
          <w:szCs w:val="24"/>
        </w:rPr>
      </w:pPr>
      <w:r>
        <w:rPr>
          <w:rFonts w:hint="eastAsia"/>
          <w:sz w:val="24"/>
          <w:szCs w:val="24"/>
        </w:rPr>
        <w:t>2、内部风险控制组织结构</w:t>
      </w:r>
    </w:p>
    <w:p w14:paraId="30640114">
      <w:pPr>
        <w:spacing w:line="360" w:lineRule="auto"/>
        <w:ind w:firstLine="480" w:firstLineChars="200"/>
        <w:rPr>
          <w:sz w:val="24"/>
          <w:szCs w:val="24"/>
        </w:rPr>
      </w:pPr>
      <w:r>
        <w:rPr>
          <w:rFonts w:hint="eastAsia"/>
          <w:sz w:val="24"/>
          <w:szCs w:val="24"/>
        </w:rPr>
        <w:t>由宁波银行总行审计部和资产托管部内设的审计内控部门构成。资产托管部内部设置专门审计内控部门，配备专职稽核监察人员，在总经理的直接领导下，依照有关法律规章，对业务的运行独立行使稽核监察职权。</w:t>
      </w:r>
    </w:p>
    <w:p w14:paraId="078A19DC">
      <w:pPr>
        <w:spacing w:line="360" w:lineRule="auto"/>
        <w:ind w:firstLine="480" w:firstLineChars="200"/>
        <w:rPr>
          <w:sz w:val="24"/>
          <w:szCs w:val="24"/>
        </w:rPr>
      </w:pPr>
      <w:r>
        <w:rPr>
          <w:rFonts w:hint="eastAsia"/>
          <w:sz w:val="24"/>
          <w:szCs w:val="24"/>
        </w:rPr>
        <w:t>3、内部风险控制原则</w:t>
      </w:r>
    </w:p>
    <w:p w14:paraId="580ECC3C">
      <w:pPr>
        <w:spacing w:line="360" w:lineRule="auto"/>
        <w:ind w:firstLine="480" w:firstLineChars="200"/>
        <w:rPr>
          <w:sz w:val="24"/>
          <w:szCs w:val="24"/>
        </w:rPr>
      </w:pPr>
      <w:r>
        <w:rPr>
          <w:rFonts w:hint="eastAsia"/>
          <w:sz w:val="24"/>
          <w:szCs w:val="24"/>
        </w:rPr>
        <w:t>（1）合法性原则：必须符合国家及监管部门的法律法规和各项制度并贯穿于托管业务经营管理活动的始终。</w:t>
      </w:r>
    </w:p>
    <w:p w14:paraId="4ABE064B">
      <w:pPr>
        <w:spacing w:line="360" w:lineRule="auto"/>
        <w:ind w:firstLine="480" w:firstLineChars="200"/>
        <w:rPr>
          <w:sz w:val="24"/>
          <w:szCs w:val="24"/>
        </w:rPr>
      </w:pPr>
      <w:r>
        <w:rPr>
          <w:rFonts w:hint="eastAsia"/>
          <w:sz w:val="24"/>
          <w:szCs w:val="24"/>
        </w:rPr>
        <w:t>（2）完整性原则：一切业务、管理活动的发生都必须有相应的规范程序和监督制约；监督制约必须渗透到托管业务的全过程和各个操作环节，覆盖到基金托管部所有的部门、岗位和人员。</w:t>
      </w:r>
    </w:p>
    <w:p w14:paraId="770445AE">
      <w:pPr>
        <w:spacing w:line="360" w:lineRule="auto"/>
        <w:ind w:firstLine="480" w:firstLineChars="200"/>
        <w:rPr>
          <w:sz w:val="24"/>
          <w:szCs w:val="24"/>
        </w:rPr>
      </w:pPr>
      <w:r>
        <w:rPr>
          <w:rFonts w:hint="eastAsia"/>
          <w:sz w:val="24"/>
          <w:szCs w:val="24"/>
        </w:rPr>
        <w:t>（3）及时性原则：托管业务经营活动必须在发生时能准确及时地记录；按照“内控优先”的原则，新设机构或新增业务品种时，必须做到已建立相关的规章制度。</w:t>
      </w:r>
    </w:p>
    <w:p w14:paraId="79F22DA0">
      <w:pPr>
        <w:spacing w:line="360" w:lineRule="auto"/>
        <w:ind w:firstLine="480" w:firstLineChars="200"/>
        <w:rPr>
          <w:sz w:val="24"/>
          <w:szCs w:val="24"/>
        </w:rPr>
      </w:pPr>
      <w:r>
        <w:rPr>
          <w:rFonts w:hint="eastAsia"/>
          <w:sz w:val="24"/>
          <w:szCs w:val="24"/>
        </w:rPr>
        <w:t>（4）审慎性原则：必须实现防范风险、审慎经营，保证基金财产的安全与完整。</w:t>
      </w:r>
    </w:p>
    <w:p w14:paraId="5ACD586C">
      <w:pPr>
        <w:spacing w:line="360" w:lineRule="auto"/>
        <w:ind w:firstLine="480" w:firstLineChars="200"/>
        <w:rPr>
          <w:sz w:val="24"/>
          <w:szCs w:val="24"/>
        </w:rPr>
      </w:pPr>
      <w:r>
        <w:rPr>
          <w:rFonts w:hint="eastAsia"/>
          <w:sz w:val="24"/>
          <w:szCs w:val="24"/>
        </w:rPr>
        <w:t>（5）有效性原则：必须根据国家政策、法律及宁波银行经营管理的发展变化进行适时修订；必须保证制度的全面落实执行，不得有任何空间、时限及人员的例外。</w:t>
      </w:r>
    </w:p>
    <w:p w14:paraId="12C60679">
      <w:pPr>
        <w:spacing w:line="360" w:lineRule="auto"/>
        <w:ind w:firstLine="480" w:firstLineChars="200"/>
        <w:rPr>
          <w:sz w:val="24"/>
          <w:szCs w:val="24"/>
        </w:rPr>
      </w:pPr>
      <w:r>
        <w:rPr>
          <w:rFonts w:hint="eastAsia"/>
          <w:sz w:val="24"/>
          <w:szCs w:val="24"/>
        </w:rPr>
        <w:t>（6）独立性原则：设立专门履行基金托管人职责的管理部门；直接的操作人员和控制人员必须相对独立、适当分开；基金托管部内部设置独立的负责审计内控部门专责内控制度的检查。</w:t>
      </w:r>
    </w:p>
    <w:p w14:paraId="51F2FE43">
      <w:pPr>
        <w:spacing w:line="360" w:lineRule="auto"/>
        <w:ind w:firstLine="480" w:firstLineChars="200"/>
        <w:rPr>
          <w:sz w:val="24"/>
          <w:szCs w:val="24"/>
        </w:rPr>
      </w:pPr>
      <w:r>
        <w:rPr>
          <w:rFonts w:hint="eastAsia"/>
          <w:sz w:val="24"/>
          <w:szCs w:val="24"/>
        </w:rPr>
        <w:t>（六）基金托管人对基金管理人运作基金进行监督的方法和程序</w:t>
      </w:r>
    </w:p>
    <w:p w14:paraId="721133EB">
      <w:pPr>
        <w:spacing w:line="360" w:lineRule="auto"/>
        <w:ind w:firstLine="480" w:firstLineChars="200"/>
        <w:rPr>
          <w:sz w:val="24"/>
          <w:szCs w:val="24"/>
        </w:rPr>
      </w:pPr>
      <w:r>
        <w:rPr>
          <w:rFonts w:hint="eastAsia"/>
          <w:sz w:val="24"/>
          <w:szCs w:val="24"/>
        </w:rPr>
        <w:t>1、监督方法</w:t>
      </w:r>
    </w:p>
    <w:p w14:paraId="1901A793">
      <w:pPr>
        <w:spacing w:line="360" w:lineRule="auto"/>
        <w:ind w:firstLine="480" w:firstLineChars="200"/>
        <w:rPr>
          <w:sz w:val="24"/>
          <w:szCs w:val="24"/>
        </w:rPr>
      </w:pPr>
      <w:r>
        <w:rPr>
          <w:rFonts w:hint="eastAsia"/>
          <w:sz w:val="24"/>
          <w:szCs w:val="24"/>
        </w:rPr>
        <w:t>依照《基金法》及其配套法规和基金合同的约定，监督所托管基金的投资运作。利用“基金投资监督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6F8666C6">
      <w:pPr>
        <w:spacing w:line="360" w:lineRule="auto"/>
        <w:ind w:firstLine="480" w:firstLineChars="200"/>
        <w:rPr>
          <w:sz w:val="24"/>
          <w:szCs w:val="24"/>
        </w:rPr>
      </w:pPr>
      <w:r>
        <w:rPr>
          <w:rFonts w:hint="eastAsia"/>
          <w:sz w:val="24"/>
          <w:szCs w:val="24"/>
        </w:rPr>
        <w:t>2、监督流程</w:t>
      </w:r>
    </w:p>
    <w:p w14:paraId="1221B8DD">
      <w:pPr>
        <w:spacing w:line="360" w:lineRule="auto"/>
        <w:ind w:firstLine="480" w:firstLineChars="200"/>
        <w:rPr>
          <w:sz w:val="24"/>
          <w:szCs w:val="24"/>
        </w:rPr>
      </w:pPr>
      <w:r>
        <w:rPr>
          <w:rFonts w:hint="eastAsia"/>
          <w:sz w:val="24"/>
          <w:szCs w:val="24"/>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32BD9E5F">
      <w:pPr>
        <w:spacing w:line="360" w:lineRule="auto"/>
        <w:ind w:firstLine="480" w:firstLineChars="200"/>
        <w:rPr>
          <w:sz w:val="24"/>
          <w:szCs w:val="24"/>
        </w:rPr>
      </w:pPr>
      <w:r>
        <w:rPr>
          <w:rFonts w:hint="eastAsia"/>
          <w:sz w:val="24"/>
          <w:szCs w:val="24"/>
        </w:rPr>
        <w:t>（2）收到基金管理人的划款指令后，对涉及各基金的投资范围、投资对象及交易对手等内容进行合法合规性监督。</w:t>
      </w:r>
    </w:p>
    <w:p w14:paraId="2F71832C">
      <w:pPr>
        <w:spacing w:line="360" w:lineRule="auto"/>
        <w:ind w:firstLine="480" w:firstLineChars="200"/>
        <w:rPr>
          <w:sz w:val="24"/>
          <w:szCs w:val="24"/>
        </w:rPr>
      </w:pPr>
      <w:r>
        <w:rPr>
          <w:rFonts w:hint="eastAsia"/>
          <w:sz w:val="24"/>
          <w:szCs w:val="24"/>
        </w:rPr>
        <w:t>（3）根据基金投资运作监督情况，定期编写基金投资运作监督报告，对各基金投资运作的合法合规性、投资独立性和风格显著性等方面进行评价，报送中国证监会。</w:t>
      </w:r>
    </w:p>
    <w:p w14:paraId="30C1EE9A">
      <w:pPr>
        <w:spacing w:line="360" w:lineRule="auto"/>
        <w:ind w:firstLine="480" w:firstLineChars="200"/>
        <w:rPr>
          <w:sz w:val="24"/>
          <w:szCs w:val="24"/>
        </w:rPr>
      </w:pPr>
      <w:r>
        <w:rPr>
          <w:rFonts w:hint="eastAsia"/>
          <w:sz w:val="24"/>
          <w:szCs w:val="24"/>
        </w:rPr>
        <w:t>（4）通过技术或非技术手段发现基金涉嫌违规交易，电话或书面要求基金管理人进行解释或举证，并及时报告中国证监会。</w:t>
      </w:r>
    </w:p>
    <w:bookmarkEnd w:id="83"/>
    <w:p w14:paraId="1AEB4597">
      <w:pPr>
        <w:spacing w:line="360" w:lineRule="auto"/>
        <w:ind w:firstLine="480" w:firstLineChars="200"/>
        <w:rPr>
          <w:sz w:val="24"/>
          <w:szCs w:val="24"/>
        </w:rPr>
      </w:pPr>
      <w:r>
        <w:rPr>
          <w:sz w:val="24"/>
          <w:szCs w:val="24"/>
        </w:rPr>
        <w:br w:type="page"/>
      </w:r>
    </w:p>
    <w:p w14:paraId="4ED97BCF">
      <w:pPr>
        <w:pStyle w:val="2"/>
        <w:spacing w:before="0" w:after="0"/>
        <w:jc w:val="center"/>
        <w:rPr>
          <w:rFonts w:ascii="Times New Roman"/>
          <w:color w:val="auto"/>
          <w:szCs w:val="24"/>
        </w:rPr>
      </w:pPr>
      <w:bookmarkStart w:id="85" w:name="_Toc345339060"/>
      <w:bookmarkStart w:id="86" w:name="_Toc48032542"/>
      <w:bookmarkStart w:id="87" w:name="_Toc326752129"/>
      <w:bookmarkStart w:id="88" w:name="_Toc216103538"/>
      <w:r>
        <w:rPr>
          <w:rFonts w:hint="eastAsia" w:ascii="Times New Roman"/>
          <w:color w:val="auto"/>
          <w:szCs w:val="24"/>
        </w:rPr>
        <w:t>第五部分</w:t>
      </w:r>
      <w:r>
        <w:rPr>
          <w:rFonts w:ascii="Times New Roman"/>
          <w:color w:val="auto"/>
          <w:szCs w:val="24"/>
        </w:rPr>
        <w:t xml:space="preserve">  </w:t>
      </w:r>
      <w:r>
        <w:rPr>
          <w:rFonts w:hint="eastAsia" w:ascii="Times New Roman"/>
          <w:color w:val="auto"/>
          <w:szCs w:val="24"/>
        </w:rPr>
        <w:t>相关服务机构</w:t>
      </w:r>
      <w:bookmarkEnd w:id="85"/>
      <w:bookmarkEnd w:id="86"/>
      <w:bookmarkEnd w:id="87"/>
      <w:bookmarkEnd w:id="88"/>
    </w:p>
    <w:p w14:paraId="086F98C2">
      <w:pPr>
        <w:spacing w:line="360" w:lineRule="auto"/>
        <w:ind w:firstLine="480"/>
        <w:rPr>
          <w:bCs/>
          <w:sz w:val="24"/>
          <w:szCs w:val="24"/>
        </w:rPr>
      </w:pPr>
    </w:p>
    <w:p w14:paraId="3C43F4D0">
      <w:pPr>
        <w:spacing w:line="360" w:lineRule="auto"/>
        <w:ind w:firstLine="480" w:firstLineChars="200"/>
        <w:rPr>
          <w:sz w:val="24"/>
          <w:szCs w:val="24"/>
        </w:rPr>
      </w:pPr>
      <w:r>
        <w:rPr>
          <w:rFonts w:hint="eastAsia"/>
          <w:sz w:val="24"/>
          <w:szCs w:val="24"/>
        </w:rPr>
        <w:t>一、基金份额发售机构</w:t>
      </w:r>
    </w:p>
    <w:p w14:paraId="16139B18">
      <w:pPr>
        <w:spacing w:line="360" w:lineRule="auto"/>
        <w:ind w:firstLine="480" w:firstLineChars="200"/>
        <w:rPr>
          <w:sz w:val="24"/>
          <w:szCs w:val="24"/>
        </w:rPr>
      </w:pPr>
      <w:r>
        <w:rPr>
          <w:rFonts w:hint="eastAsia"/>
          <w:sz w:val="24"/>
          <w:szCs w:val="24"/>
        </w:rPr>
        <w:t>（一）</w:t>
      </w:r>
      <w:r>
        <w:rPr>
          <w:sz w:val="24"/>
          <w:szCs w:val="24"/>
        </w:rPr>
        <w:t>直销机构</w:t>
      </w:r>
    </w:p>
    <w:p w14:paraId="09319ECB">
      <w:pPr>
        <w:spacing w:line="360" w:lineRule="auto"/>
        <w:ind w:firstLine="480" w:firstLineChars="200"/>
        <w:rPr>
          <w:sz w:val="24"/>
          <w:szCs w:val="24"/>
        </w:rPr>
      </w:pPr>
      <w:r>
        <w:rPr>
          <w:rFonts w:hint="eastAsia"/>
          <w:sz w:val="24"/>
          <w:szCs w:val="24"/>
        </w:rPr>
        <w:t>1、融通基金管理有限公司</w:t>
      </w:r>
    </w:p>
    <w:p w14:paraId="4FA598A1">
      <w:pPr>
        <w:spacing w:line="360" w:lineRule="auto"/>
        <w:ind w:firstLine="480" w:firstLineChars="200"/>
        <w:rPr>
          <w:sz w:val="24"/>
          <w:szCs w:val="24"/>
        </w:rPr>
      </w:pPr>
      <w:r>
        <w:rPr>
          <w:rFonts w:hint="eastAsia"/>
          <w:sz w:val="24"/>
          <w:szCs w:val="24"/>
        </w:rPr>
        <w:t>办公地址：深圳市南山区粤海街道海珠社区海德三道1066号深创投广场41层、42层</w:t>
      </w:r>
    </w:p>
    <w:p w14:paraId="1EDD2BE3">
      <w:pPr>
        <w:spacing w:line="360" w:lineRule="auto"/>
        <w:ind w:firstLine="480" w:firstLineChars="200"/>
        <w:rPr>
          <w:sz w:val="24"/>
          <w:szCs w:val="24"/>
        </w:rPr>
      </w:pPr>
      <w:r>
        <w:rPr>
          <w:rFonts w:hint="eastAsia"/>
          <w:sz w:val="24"/>
          <w:szCs w:val="24"/>
        </w:rPr>
        <w:t>邮政编码：</w:t>
      </w:r>
      <w:r>
        <w:rPr>
          <w:sz w:val="24"/>
          <w:szCs w:val="24"/>
        </w:rPr>
        <w:t>518054</w:t>
      </w:r>
    </w:p>
    <w:p w14:paraId="25E95D50">
      <w:pPr>
        <w:spacing w:line="360" w:lineRule="auto"/>
        <w:ind w:firstLine="480" w:firstLineChars="200"/>
        <w:rPr>
          <w:sz w:val="24"/>
          <w:szCs w:val="24"/>
        </w:rPr>
      </w:pPr>
      <w:r>
        <w:rPr>
          <w:rFonts w:hint="eastAsia"/>
          <w:sz w:val="24"/>
          <w:szCs w:val="24"/>
        </w:rPr>
        <w:t>联系人：陈思辰</w:t>
      </w:r>
    </w:p>
    <w:p w14:paraId="04AD823C">
      <w:pPr>
        <w:spacing w:line="360" w:lineRule="auto"/>
        <w:ind w:firstLine="480" w:firstLineChars="200"/>
        <w:rPr>
          <w:sz w:val="24"/>
          <w:szCs w:val="24"/>
        </w:rPr>
      </w:pPr>
      <w:r>
        <w:rPr>
          <w:rFonts w:hint="eastAsia"/>
          <w:sz w:val="24"/>
          <w:szCs w:val="24"/>
        </w:rPr>
        <w:t>联系电话：（</w:t>
      </w:r>
      <w:r>
        <w:rPr>
          <w:sz w:val="24"/>
          <w:szCs w:val="24"/>
        </w:rPr>
        <w:t>0755</w:t>
      </w:r>
      <w:r>
        <w:rPr>
          <w:rFonts w:hint="eastAsia"/>
          <w:sz w:val="24"/>
          <w:szCs w:val="24"/>
        </w:rPr>
        <w:t>）</w:t>
      </w:r>
      <w:r>
        <w:rPr>
          <w:sz w:val="24"/>
          <w:szCs w:val="24"/>
        </w:rPr>
        <w:t>26948034</w:t>
      </w:r>
    </w:p>
    <w:p w14:paraId="0F69E5CE">
      <w:pPr>
        <w:spacing w:line="360" w:lineRule="auto"/>
        <w:ind w:firstLine="480" w:firstLineChars="200"/>
        <w:rPr>
          <w:sz w:val="24"/>
          <w:szCs w:val="24"/>
        </w:rPr>
      </w:pPr>
      <w:r>
        <w:rPr>
          <w:rFonts w:hint="eastAsia"/>
          <w:sz w:val="24"/>
          <w:szCs w:val="24"/>
        </w:rPr>
        <w:t>传真：（0755）26935139</w:t>
      </w:r>
    </w:p>
    <w:p w14:paraId="6CA1D78A">
      <w:pPr>
        <w:spacing w:line="360" w:lineRule="auto"/>
        <w:ind w:firstLine="480" w:firstLineChars="200"/>
        <w:rPr>
          <w:sz w:val="24"/>
          <w:szCs w:val="24"/>
        </w:rPr>
      </w:pPr>
      <w:r>
        <w:rPr>
          <w:rFonts w:hint="eastAsia"/>
          <w:sz w:val="24"/>
          <w:szCs w:val="24"/>
        </w:rPr>
        <w:t>客户服务中心电话：</w:t>
      </w:r>
      <w:r>
        <w:rPr>
          <w:sz w:val="24"/>
          <w:szCs w:val="24"/>
        </w:rPr>
        <w:t>400-883-8088</w:t>
      </w:r>
      <w:r>
        <w:rPr>
          <w:rFonts w:hint="eastAsia"/>
          <w:sz w:val="24"/>
          <w:szCs w:val="24"/>
        </w:rPr>
        <w:t>（免长途通话费用）、（</w:t>
      </w:r>
      <w:r>
        <w:rPr>
          <w:sz w:val="24"/>
          <w:szCs w:val="24"/>
        </w:rPr>
        <w:t>0755</w:t>
      </w:r>
      <w:r>
        <w:rPr>
          <w:rFonts w:hint="eastAsia"/>
          <w:sz w:val="24"/>
          <w:szCs w:val="24"/>
        </w:rPr>
        <w:t>）</w:t>
      </w:r>
      <w:r>
        <w:rPr>
          <w:sz w:val="24"/>
          <w:szCs w:val="24"/>
        </w:rPr>
        <w:t>26948088</w:t>
      </w:r>
    </w:p>
    <w:p w14:paraId="17D6C2D2">
      <w:pPr>
        <w:spacing w:line="360" w:lineRule="auto"/>
        <w:ind w:firstLine="480" w:firstLineChars="200"/>
        <w:rPr>
          <w:sz w:val="24"/>
          <w:szCs w:val="24"/>
        </w:rPr>
      </w:pPr>
      <w:r>
        <w:rPr>
          <w:rFonts w:hint="eastAsia"/>
          <w:sz w:val="24"/>
          <w:szCs w:val="24"/>
        </w:rPr>
        <w:t>2、融通基金管理有限公司北京分公司</w:t>
      </w:r>
    </w:p>
    <w:p w14:paraId="24FCA52B">
      <w:pPr>
        <w:spacing w:line="360" w:lineRule="auto"/>
        <w:ind w:firstLine="480" w:firstLineChars="200"/>
        <w:rPr>
          <w:sz w:val="24"/>
          <w:szCs w:val="24"/>
        </w:rPr>
      </w:pPr>
      <w:r>
        <w:rPr>
          <w:rFonts w:hint="eastAsia"/>
          <w:sz w:val="24"/>
          <w:szCs w:val="24"/>
        </w:rPr>
        <w:t>办公地址：北京市朝阳区东三环北路27号楼10层（09）1002</w:t>
      </w:r>
    </w:p>
    <w:p w14:paraId="0B5922EA">
      <w:pPr>
        <w:spacing w:line="360" w:lineRule="auto"/>
        <w:ind w:firstLine="480" w:firstLineChars="200"/>
        <w:rPr>
          <w:sz w:val="24"/>
          <w:szCs w:val="24"/>
        </w:rPr>
      </w:pPr>
      <w:r>
        <w:rPr>
          <w:rFonts w:hint="eastAsia"/>
          <w:sz w:val="24"/>
          <w:szCs w:val="24"/>
        </w:rPr>
        <w:t>邮政编码：</w:t>
      </w:r>
      <w:r>
        <w:rPr>
          <w:sz w:val="24"/>
          <w:szCs w:val="24"/>
        </w:rPr>
        <w:t>100020</w:t>
      </w:r>
    </w:p>
    <w:p w14:paraId="759D18A3">
      <w:pPr>
        <w:spacing w:line="360" w:lineRule="auto"/>
        <w:ind w:firstLine="480" w:firstLineChars="200"/>
        <w:rPr>
          <w:sz w:val="24"/>
          <w:szCs w:val="24"/>
        </w:rPr>
      </w:pPr>
      <w:r>
        <w:rPr>
          <w:rFonts w:hint="eastAsia"/>
          <w:sz w:val="24"/>
          <w:szCs w:val="24"/>
        </w:rPr>
        <w:t>联系人：鲁婷</w:t>
      </w:r>
    </w:p>
    <w:p w14:paraId="26C716CF">
      <w:pPr>
        <w:spacing w:line="360" w:lineRule="auto"/>
        <w:ind w:firstLine="480" w:firstLineChars="200"/>
        <w:rPr>
          <w:sz w:val="24"/>
          <w:szCs w:val="24"/>
        </w:rPr>
      </w:pPr>
      <w:r>
        <w:rPr>
          <w:rFonts w:hint="eastAsia"/>
          <w:sz w:val="24"/>
          <w:szCs w:val="24"/>
        </w:rPr>
        <w:t>联系电话：（</w:t>
      </w:r>
      <w:r>
        <w:rPr>
          <w:sz w:val="24"/>
          <w:szCs w:val="24"/>
        </w:rPr>
        <w:t>010</w:t>
      </w:r>
      <w:r>
        <w:rPr>
          <w:rFonts w:hint="eastAsia"/>
          <w:sz w:val="24"/>
          <w:szCs w:val="24"/>
        </w:rPr>
        <w:t>）</w:t>
      </w:r>
      <w:r>
        <w:rPr>
          <w:sz w:val="24"/>
          <w:szCs w:val="24"/>
        </w:rPr>
        <w:t>66190967</w:t>
      </w:r>
    </w:p>
    <w:p w14:paraId="3EC2C4C3">
      <w:pPr>
        <w:spacing w:line="360" w:lineRule="auto"/>
        <w:ind w:firstLine="480" w:firstLineChars="200"/>
        <w:rPr>
          <w:sz w:val="24"/>
          <w:szCs w:val="24"/>
        </w:rPr>
      </w:pPr>
      <w:r>
        <w:rPr>
          <w:rFonts w:hint="eastAsia"/>
          <w:sz w:val="24"/>
          <w:szCs w:val="24"/>
        </w:rPr>
        <w:t>传真：（</w:t>
      </w:r>
      <w:r>
        <w:rPr>
          <w:sz w:val="24"/>
          <w:szCs w:val="24"/>
        </w:rPr>
        <w:t>010</w:t>
      </w:r>
      <w:r>
        <w:rPr>
          <w:rFonts w:hint="eastAsia"/>
          <w:sz w:val="24"/>
          <w:szCs w:val="24"/>
        </w:rPr>
        <w:t>）</w:t>
      </w:r>
      <w:r>
        <w:rPr>
          <w:sz w:val="24"/>
          <w:szCs w:val="24"/>
        </w:rPr>
        <w:t>88091635</w:t>
      </w:r>
    </w:p>
    <w:p w14:paraId="51034435">
      <w:pPr>
        <w:spacing w:line="360" w:lineRule="auto"/>
        <w:ind w:firstLine="480" w:firstLineChars="200"/>
        <w:rPr>
          <w:sz w:val="24"/>
          <w:szCs w:val="24"/>
        </w:rPr>
      </w:pPr>
      <w:r>
        <w:rPr>
          <w:rFonts w:hint="eastAsia"/>
          <w:sz w:val="24"/>
          <w:szCs w:val="24"/>
        </w:rPr>
        <w:t>3、融通基金管理有限公司上海分公司</w:t>
      </w:r>
    </w:p>
    <w:p w14:paraId="055C7728">
      <w:pPr>
        <w:spacing w:line="360" w:lineRule="auto"/>
        <w:ind w:firstLine="480" w:firstLineChars="200"/>
        <w:rPr>
          <w:sz w:val="24"/>
          <w:szCs w:val="24"/>
        </w:rPr>
      </w:pPr>
      <w:r>
        <w:rPr>
          <w:rFonts w:hint="eastAsia"/>
          <w:sz w:val="24"/>
          <w:szCs w:val="24"/>
        </w:rPr>
        <w:t>办公地址：上海市浦东新区银城中路</w:t>
      </w:r>
      <w:r>
        <w:rPr>
          <w:sz w:val="24"/>
          <w:szCs w:val="24"/>
        </w:rPr>
        <w:t>501</w:t>
      </w:r>
      <w:r>
        <w:rPr>
          <w:rFonts w:hint="eastAsia"/>
          <w:sz w:val="24"/>
          <w:szCs w:val="24"/>
        </w:rPr>
        <w:t>号上海中心大厦</w:t>
      </w:r>
      <w:r>
        <w:rPr>
          <w:sz w:val="24"/>
          <w:szCs w:val="24"/>
        </w:rPr>
        <w:t>34</w:t>
      </w:r>
      <w:r>
        <w:rPr>
          <w:rFonts w:hint="eastAsia"/>
          <w:sz w:val="24"/>
          <w:szCs w:val="24"/>
        </w:rPr>
        <w:t>层</w:t>
      </w:r>
      <w:r>
        <w:rPr>
          <w:sz w:val="24"/>
          <w:szCs w:val="24"/>
        </w:rPr>
        <w:t>3405</w:t>
      </w:r>
      <w:r>
        <w:rPr>
          <w:rFonts w:hint="eastAsia"/>
          <w:sz w:val="24"/>
          <w:szCs w:val="24"/>
        </w:rPr>
        <w:t>号</w:t>
      </w:r>
    </w:p>
    <w:p w14:paraId="4753DB19">
      <w:pPr>
        <w:spacing w:line="360" w:lineRule="auto"/>
        <w:ind w:firstLine="480" w:firstLineChars="200"/>
        <w:rPr>
          <w:sz w:val="24"/>
          <w:szCs w:val="24"/>
        </w:rPr>
      </w:pPr>
      <w:r>
        <w:rPr>
          <w:rFonts w:hint="eastAsia"/>
          <w:sz w:val="24"/>
          <w:szCs w:val="24"/>
        </w:rPr>
        <w:t>邮政编码：</w:t>
      </w:r>
      <w:r>
        <w:rPr>
          <w:sz w:val="24"/>
          <w:szCs w:val="24"/>
        </w:rPr>
        <w:t>200120</w:t>
      </w:r>
    </w:p>
    <w:p w14:paraId="7709364E">
      <w:pPr>
        <w:spacing w:line="360" w:lineRule="auto"/>
        <w:ind w:firstLine="480" w:firstLineChars="200"/>
        <w:rPr>
          <w:sz w:val="24"/>
          <w:szCs w:val="24"/>
        </w:rPr>
      </w:pPr>
      <w:r>
        <w:rPr>
          <w:rFonts w:hint="eastAsia"/>
          <w:sz w:val="24"/>
          <w:szCs w:val="24"/>
        </w:rPr>
        <w:t>联系人：王诗期</w:t>
      </w:r>
    </w:p>
    <w:p w14:paraId="37754194">
      <w:pPr>
        <w:spacing w:line="360" w:lineRule="auto"/>
        <w:ind w:firstLine="480" w:firstLineChars="200"/>
        <w:rPr>
          <w:sz w:val="24"/>
          <w:szCs w:val="24"/>
        </w:rPr>
      </w:pPr>
      <w:r>
        <w:rPr>
          <w:rFonts w:hint="eastAsia"/>
          <w:sz w:val="24"/>
          <w:szCs w:val="24"/>
        </w:rPr>
        <w:t>联系电话：（</w:t>
      </w:r>
      <w:r>
        <w:rPr>
          <w:sz w:val="24"/>
          <w:szCs w:val="24"/>
        </w:rPr>
        <w:t>021</w:t>
      </w:r>
      <w:r>
        <w:rPr>
          <w:rFonts w:hint="eastAsia"/>
          <w:sz w:val="24"/>
          <w:szCs w:val="24"/>
        </w:rPr>
        <w:t>）38424888转4985</w:t>
      </w:r>
    </w:p>
    <w:p w14:paraId="28618C54">
      <w:pPr>
        <w:spacing w:line="360" w:lineRule="auto"/>
        <w:ind w:firstLine="480" w:firstLineChars="200"/>
        <w:rPr>
          <w:sz w:val="24"/>
          <w:szCs w:val="24"/>
        </w:rPr>
      </w:pPr>
      <w:r>
        <w:rPr>
          <w:rFonts w:hint="eastAsia"/>
          <w:bCs/>
          <w:sz w:val="24"/>
          <w:szCs w:val="24"/>
        </w:rPr>
        <w:t>传真：（</w:t>
      </w:r>
      <w:r>
        <w:rPr>
          <w:bCs/>
          <w:sz w:val="24"/>
          <w:szCs w:val="24"/>
        </w:rPr>
        <w:t>021</w:t>
      </w:r>
      <w:r>
        <w:rPr>
          <w:rFonts w:hint="eastAsia"/>
          <w:bCs/>
          <w:sz w:val="24"/>
          <w:szCs w:val="24"/>
        </w:rPr>
        <w:t>）</w:t>
      </w:r>
      <w:r>
        <w:rPr>
          <w:bCs/>
          <w:sz w:val="24"/>
          <w:szCs w:val="24"/>
        </w:rPr>
        <w:t>38424884</w:t>
      </w:r>
    </w:p>
    <w:p w14:paraId="415149E2">
      <w:pPr>
        <w:spacing w:line="360" w:lineRule="auto"/>
        <w:ind w:firstLine="480" w:firstLineChars="200"/>
        <w:rPr>
          <w:sz w:val="24"/>
          <w:szCs w:val="24"/>
        </w:rPr>
      </w:pPr>
      <w:r>
        <w:rPr>
          <w:rFonts w:hint="eastAsia"/>
          <w:sz w:val="24"/>
          <w:szCs w:val="24"/>
        </w:rPr>
        <w:t>4、融通基金管理有限公司网上直销</w:t>
      </w:r>
    </w:p>
    <w:p w14:paraId="668C34FF">
      <w:pPr>
        <w:spacing w:line="360" w:lineRule="auto"/>
        <w:ind w:firstLine="480" w:firstLineChars="200"/>
        <w:rPr>
          <w:sz w:val="24"/>
          <w:szCs w:val="24"/>
        </w:rPr>
      </w:pPr>
      <w:r>
        <w:rPr>
          <w:rFonts w:hint="eastAsia"/>
          <w:sz w:val="24"/>
          <w:szCs w:val="24"/>
        </w:rPr>
        <w:t>网址：</w:t>
      </w:r>
      <w:r>
        <w:rPr>
          <w:sz w:val="24"/>
          <w:szCs w:val="24"/>
        </w:rPr>
        <w:t>www.rtfund.com</w:t>
      </w:r>
    </w:p>
    <w:p w14:paraId="2BDA08EF">
      <w:pPr>
        <w:spacing w:line="360" w:lineRule="auto"/>
        <w:ind w:firstLine="480" w:firstLineChars="200"/>
        <w:rPr>
          <w:sz w:val="24"/>
          <w:szCs w:val="24"/>
        </w:rPr>
      </w:pPr>
      <w:r>
        <w:rPr>
          <w:rFonts w:hint="eastAsia"/>
          <w:sz w:val="24"/>
          <w:szCs w:val="24"/>
        </w:rPr>
        <w:t>办公地址：深圳市南山区粤海街道海珠社区海德三道1066号深创投广场41层、42层</w:t>
      </w:r>
    </w:p>
    <w:p w14:paraId="66957AAF">
      <w:pPr>
        <w:spacing w:line="360" w:lineRule="auto"/>
        <w:ind w:firstLine="480" w:firstLineChars="200"/>
        <w:rPr>
          <w:sz w:val="24"/>
          <w:szCs w:val="24"/>
        </w:rPr>
      </w:pPr>
      <w:r>
        <w:rPr>
          <w:rFonts w:hint="eastAsia"/>
          <w:sz w:val="24"/>
          <w:szCs w:val="24"/>
        </w:rPr>
        <w:t>邮政编码：</w:t>
      </w:r>
      <w:r>
        <w:rPr>
          <w:sz w:val="24"/>
          <w:szCs w:val="24"/>
        </w:rPr>
        <w:t>518054</w:t>
      </w:r>
    </w:p>
    <w:p w14:paraId="0F907ED1">
      <w:pPr>
        <w:spacing w:line="360" w:lineRule="auto"/>
        <w:ind w:firstLine="480" w:firstLineChars="200"/>
        <w:rPr>
          <w:sz w:val="24"/>
          <w:szCs w:val="24"/>
        </w:rPr>
      </w:pPr>
      <w:r>
        <w:rPr>
          <w:rFonts w:hint="eastAsia"/>
          <w:sz w:val="24"/>
          <w:szCs w:val="24"/>
        </w:rPr>
        <w:t>联系人：殷洁</w:t>
      </w:r>
    </w:p>
    <w:p w14:paraId="355DD957">
      <w:pPr>
        <w:spacing w:line="360" w:lineRule="auto"/>
        <w:ind w:firstLine="480" w:firstLineChars="200"/>
        <w:rPr>
          <w:sz w:val="24"/>
          <w:szCs w:val="24"/>
        </w:rPr>
      </w:pPr>
      <w:r>
        <w:rPr>
          <w:rFonts w:hint="eastAsia"/>
          <w:sz w:val="24"/>
          <w:szCs w:val="24"/>
        </w:rPr>
        <w:t>联系电话：（</w:t>
      </w:r>
      <w:r>
        <w:rPr>
          <w:sz w:val="24"/>
          <w:szCs w:val="24"/>
        </w:rPr>
        <w:t>0755</w:t>
      </w:r>
      <w:r>
        <w:rPr>
          <w:rFonts w:hint="eastAsia"/>
          <w:sz w:val="24"/>
          <w:szCs w:val="24"/>
        </w:rPr>
        <w:t>）</w:t>
      </w:r>
      <w:r>
        <w:rPr>
          <w:sz w:val="24"/>
          <w:szCs w:val="24"/>
        </w:rPr>
        <w:t>26947856</w:t>
      </w:r>
    </w:p>
    <w:p w14:paraId="6C67A808">
      <w:pPr>
        <w:spacing w:line="360" w:lineRule="auto"/>
        <w:ind w:firstLine="480" w:firstLineChars="200"/>
        <w:rPr>
          <w:sz w:val="24"/>
          <w:szCs w:val="24"/>
        </w:rPr>
      </w:pPr>
      <w:r>
        <w:rPr>
          <w:rFonts w:hint="eastAsia"/>
          <w:bCs/>
          <w:sz w:val="24"/>
          <w:szCs w:val="24"/>
        </w:rPr>
        <w:t>传真：（</w:t>
      </w:r>
      <w:r>
        <w:rPr>
          <w:bCs/>
          <w:sz w:val="24"/>
          <w:szCs w:val="24"/>
        </w:rPr>
        <w:t>0755</w:t>
      </w:r>
      <w:r>
        <w:rPr>
          <w:rFonts w:hint="eastAsia"/>
          <w:bCs/>
          <w:sz w:val="24"/>
          <w:szCs w:val="24"/>
        </w:rPr>
        <w:t>）</w:t>
      </w:r>
      <w:r>
        <w:rPr>
          <w:bCs/>
          <w:sz w:val="24"/>
          <w:szCs w:val="24"/>
        </w:rPr>
        <w:t>26935039</w:t>
      </w:r>
    </w:p>
    <w:p w14:paraId="5FA63B68">
      <w:pPr>
        <w:spacing w:line="360" w:lineRule="auto"/>
        <w:ind w:firstLine="480" w:firstLineChars="200"/>
        <w:rPr>
          <w:sz w:val="24"/>
          <w:szCs w:val="24"/>
        </w:rPr>
      </w:pPr>
      <w:r>
        <w:rPr>
          <w:rFonts w:hint="eastAsia"/>
          <w:sz w:val="24"/>
          <w:szCs w:val="24"/>
        </w:rPr>
        <w:t>（二）其他销售</w:t>
      </w:r>
      <w:r>
        <w:rPr>
          <w:sz w:val="24"/>
          <w:szCs w:val="24"/>
        </w:rPr>
        <w:t>机构</w:t>
      </w:r>
    </w:p>
    <w:p w14:paraId="0741F268">
      <w:pPr>
        <w:spacing w:line="360" w:lineRule="auto"/>
        <w:ind w:firstLine="480" w:firstLineChars="200"/>
        <w:rPr>
          <w:sz w:val="24"/>
          <w:szCs w:val="24"/>
        </w:rPr>
      </w:pPr>
      <w:bookmarkStart w:id="89" w:name="baidusnap4"/>
      <w:bookmarkEnd w:id="89"/>
      <w:r>
        <w:rPr>
          <w:rFonts w:hint="eastAsia"/>
          <w:sz w:val="24"/>
          <w:szCs w:val="24"/>
        </w:rPr>
        <w:t>1、其他基金销售机构详见基金份额发售公告以及基金管理人网站的公示。</w:t>
      </w:r>
    </w:p>
    <w:p w14:paraId="07FD294C">
      <w:pPr>
        <w:spacing w:line="360" w:lineRule="auto"/>
        <w:ind w:firstLine="480" w:firstLineChars="200"/>
        <w:rPr>
          <w:sz w:val="24"/>
          <w:szCs w:val="24"/>
        </w:rPr>
      </w:pPr>
      <w:r>
        <w:rPr>
          <w:rFonts w:hint="eastAsia"/>
          <w:sz w:val="24"/>
          <w:szCs w:val="24"/>
        </w:rPr>
        <w:t>2、基金管理人可根据有关法律法规的要求，变更现有销售机构或选择其他符合要求的机构销售本基金，并在基金管理人</w:t>
      </w:r>
      <w:r>
        <w:rPr>
          <w:sz w:val="24"/>
          <w:szCs w:val="24"/>
        </w:rPr>
        <w:t>网站公示</w:t>
      </w:r>
      <w:r>
        <w:rPr>
          <w:rFonts w:hint="eastAsia"/>
          <w:sz w:val="24"/>
          <w:szCs w:val="24"/>
        </w:rPr>
        <w:t>。</w:t>
      </w:r>
    </w:p>
    <w:p w14:paraId="1625EDDA">
      <w:pPr>
        <w:spacing w:line="360" w:lineRule="auto"/>
        <w:ind w:firstLine="480" w:firstLineChars="200"/>
        <w:rPr>
          <w:sz w:val="24"/>
          <w:szCs w:val="24"/>
        </w:rPr>
      </w:pPr>
      <w:r>
        <w:rPr>
          <w:rFonts w:hint="eastAsia"/>
          <w:sz w:val="24"/>
          <w:szCs w:val="24"/>
        </w:rPr>
        <w:t>二、登记机构</w:t>
      </w:r>
    </w:p>
    <w:p w14:paraId="4822823C">
      <w:pPr>
        <w:spacing w:line="360" w:lineRule="auto"/>
        <w:ind w:firstLine="480" w:firstLineChars="200"/>
        <w:rPr>
          <w:sz w:val="24"/>
          <w:szCs w:val="24"/>
        </w:rPr>
      </w:pPr>
      <w:r>
        <w:rPr>
          <w:rFonts w:hint="eastAsia"/>
          <w:sz w:val="24"/>
          <w:szCs w:val="24"/>
        </w:rPr>
        <w:t>名称：</w:t>
      </w:r>
      <w:r>
        <w:rPr>
          <w:sz w:val="24"/>
          <w:szCs w:val="24"/>
        </w:rPr>
        <w:t>融通基金管理有限公司</w:t>
      </w:r>
    </w:p>
    <w:p w14:paraId="6EEB20EB">
      <w:pPr>
        <w:spacing w:line="360" w:lineRule="auto"/>
        <w:ind w:firstLine="480" w:firstLineChars="200"/>
        <w:rPr>
          <w:sz w:val="24"/>
          <w:szCs w:val="24"/>
        </w:rPr>
      </w:pPr>
      <w:r>
        <w:rPr>
          <w:rFonts w:hint="eastAsia"/>
          <w:sz w:val="24"/>
          <w:szCs w:val="24"/>
        </w:rPr>
        <w:t>住所：深圳市南山区粤海街道海珠社区海德三道1066号深创投广场41层、42层</w:t>
      </w:r>
    </w:p>
    <w:p w14:paraId="4D5AD181">
      <w:pPr>
        <w:spacing w:line="360" w:lineRule="auto"/>
        <w:ind w:firstLine="480" w:firstLineChars="200"/>
        <w:rPr>
          <w:sz w:val="24"/>
          <w:szCs w:val="24"/>
        </w:rPr>
      </w:pPr>
      <w:r>
        <w:rPr>
          <w:rFonts w:hint="eastAsia"/>
          <w:sz w:val="24"/>
          <w:szCs w:val="24"/>
        </w:rPr>
        <w:t>办公地址：深圳市南山区粤海街道海珠社区海德三道1066号深创投广场41层、42层</w:t>
      </w:r>
    </w:p>
    <w:p w14:paraId="30241EB3">
      <w:pPr>
        <w:spacing w:line="360" w:lineRule="auto"/>
        <w:ind w:firstLine="480" w:firstLineChars="200"/>
        <w:rPr>
          <w:sz w:val="24"/>
          <w:szCs w:val="24"/>
        </w:rPr>
      </w:pPr>
      <w:r>
        <w:rPr>
          <w:rFonts w:hint="eastAsia"/>
          <w:sz w:val="24"/>
          <w:szCs w:val="24"/>
        </w:rPr>
        <w:t>设立日期：</w:t>
      </w:r>
      <w:r>
        <w:rPr>
          <w:sz w:val="24"/>
          <w:szCs w:val="24"/>
        </w:rPr>
        <w:t>2001</w:t>
      </w:r>
      <w:r>
        <w:rPr>
          <w:rFonts w:hint="eastAsia"/>
          <w:sz w:val="24"/>
          <w:szCs w:val="24"/>
        </w:rPr>
        <w:t>年</w:t>
      </w:r>
      <w:r>
        <w:rPr>
          <w:sz w:val="24"/>
          <w:szCs w:val="24"/>
        </w:rPr>
        <w:t>5</w:t>
      </w:r>
      <w:r>
        <w:rPr>
          <w:rFonts w:hint="eastAsia"/>
          <w:sz w:val="24"/>
          <w:szCs w:val="24"/>
        </w:rPr>
        <w:t>月</w:t>
      </w:r>
      <w:r>
        <w:rPr>
          <w:sz w:val="24"/>
          <w:szCs w:val="24"/>
        </w:rPr>
        <w:t>22</w:t>
      </w:r>
      <w:r>
        <w:rPr>
          <w:rFonts w:hint="eastAsia"/>
          <w:sz w:val="24"/>
          <w:szCs w:val="24"/>
        </w:rPr>
        <w:t>日</w:t>
      </w:r>
    </w:p>
    <w:p w14:paraId="74BA94E3">
      <w:pPr>
        <w:spacing w:line="360" w:lineRule="auto"/>
        <w:ind w:firstLine="480" w:firstLineChars="200"/>
        <w:rPr>
          <w:sz w:val="24"/>
          <w:szCs w:val="24"/>
        </w:rPr>
      </w:pPr>
      <w:r>
        <w:rPr>
          <w:rFonts w:hint="eastAsia"/>
          <w:sz w:val="24"/>
          <w:szCs w:val="24"/>
        </w:rPr>
        <w:t>法定代表人：张威</w:t>
      </w:r>
    </w:p>
    <w:p w14:paraId="34EEBCD4">
      <w:pPr>
        <w:spacing w:line="360" w:lineRule="auto"/>
        <w:ind w:firstLine="480" w:firstLineChars="200"/>
        <w:rPr>
          <w:sz w:val="24"/>
          <w:szCs w:val="24"/>
        </w:rPr>
      </w:pPr>
      <w:r>
        <w:rPr>
          <w:rFonts w:hint="eastAsia"/>
          <w:sz w:val="24"/>
          <w:szCs w:val="24"/>
        </w:rPr>
        <w:t>电话：（</w:t>
      </w:r>
      <w:r>
        <w:rPr>
          <w:sz w:val="24"/>
          <w:szCs w:val="24"/>
        </w:rPr>
        <w:t>0755</w:t>
      </w:r>
      <w:r>
        <w:rPr>
          <w:rFonts w:hint="eastAsia"/>
          <w:sz w:val="24"/>
          <w:szCs w:val="24"/>
        </w:rPr>
        <w:t>）</w:t>
      </w:r>
      <w:r>
        <w:rPr>
          <w:sz w:val="24"/>
          <w:szCs w:val="24"/>
        </w:rPr>
        <w:t>26948075</w:t>
      </w:r>
    </w:p>
    <w:p w14:paraId="45CEEE4D">
      <w:pPr>
        <w:spacing w:line="360" w:lineRule="auto"/>
        <w:ind w:firstLine="480" w:firstLineChars="200"/>
        <w:rPr>
          <w:sz w:val="24"/>
          <w:szCs w:val="24"/>
        </w:rPr>
      </w:pPr>
      <w:r>
        <w:rPr>
          <w:sz w:val="24"/>
          <w:szCs w:val="24"/>
        </w:rPr>
        <w:t>联系人：</w:t>
      </w:r>
      <w:r>
        <w:rPr>
          <w:rFonts w:hint="eastAsia"/>
          <w:sz w:val="24"/>
          <w:szCs w:val="24"/>
        </w:rPr>
        <w:t>杜嘉</w:t>
      </w:r>
    </w:p>
    <w:p w14:paraId="2E98DF48">
      <w:pPr>
        <w:spacing w:line="360" w:lineRule="auto"/>
        <w:ind w:firstLine="480" w:firstLineChars="200"/>
        <w:rPr>
          <w:sz w:val="24"/>
          <w:szCs w:val="24"/>
        </w:rPr>
      </w:pPr>
      <w:r>
        <w:rPr>
          <w:rFonts w:hint="eastAsia"/>
          <w:sz w:val="24"/>
          <w:szCs w:val="24"/>
        </w:rPr>
        <w:t>三、出具法律意见书的律师事务所</w:t>
      </w:r>
    </w:p>
    <w:p w14:paraId="39BAA8CB">
      <w:pPr>
        <w:spacing w:line="360" w:lineRule="auto"/>
        <w:ind w:firstLine="480" w:firstLineChars="200"/>
        <w:rPr>
          <w:sz w:val="24"/>
          <w:szCs w:val="24"/>
        </w:rPr>
      </w:pPr>
      <w:r>
        <w:rPr>
          <w:rFonts w:hint="eastAsia"/>
          <w:sz w:val="24"/>
          <w:szCs w:val="24"/>
        </w:rPr>
        <w:t>名称：北京大成（上海）律师事务所</w:t>
      </w:r>
    </w:p>
    <w:p w14:paraId="48EA5334">
      <w:pPr>
        <w:spacing w:line="360" w:lineRule="auto"/>
        <w:ind w:firstLine="480" w:firstLineChars="200"/>
        <w:rPr>
          <w:sz w:val="24"/>
          <w:szCs w:val="24"/>
        </w:rPr>
      </w:pPr>
      <w:r>
        <w:rPr>
          <w:rFonts w:hint="eastAsia"/>
          <w:sz w:val="24"/>
          <w:szCs w:val="24"/>
        </w:rPr>
        <w:t>住所：上海市浦东新区世纪大道100号上海环球金融中心9、24、25楼</w:t>
      </w:r>
    </w:p>
    <w:p w14:paraId="6086DB77">
      <w:pPr>
        <w:spacing w:line="360" w:lineRule="auto"/>
        <w:ind w:firstLine="480" w:firstLineChars="200"/>
        <w:rPr>
          <w:sz w:val="24"/>
          <w:szCs w:val="24"/>
        </w:rPr>
      </w:pPr>
      <w:r>
        <w:rPr>
          <w:rFonts w:hint="eastAsia"/>
          <w:sz w:val="24"/>
          <w:szCs w:val="24"/>
        </w:rPr>
        <w:t>办公地址：上海市浦东新区世纪大道100号上海环球金融中心9、24、25楼</w:t>
      </w:r>
    </w:p>
    <w:p w14:paraId="309E3B73">
      <w:pPr>
        <w:spacing w:line="360" w:lineRule="auto"/>
        <w:ind w:firstLine="480" w:firstLineChars="200"/>
        <w:rPr>
          <w:sz w:val="24"/>
          <w:szCs w:val="24"/>
        </w:rPr>
      </w:pPr>
      <w:r>
        <w:rPr>
          <w:rFonts w:hint="eastAsia"/>
          <w:sz w:val="24"/>
          <w:szCs w:val="24"/>
        </w:rPr>
        <w:t>负责人：陈俊</w:t>
      </w:r>
    </w:p>
    <w:p w14:paraId="415B6EBD">
      <w:pPr>
        <w:spacing w:line="360" w:lineRule="auto"/>
        <w:ind w:firstLine="480" w:firstLineChars="200"/>
        <w:rPr>
          <w:sz w:val="24"/>
          <w:szCs w:val="24"/>
        </w:rPr>
      </w:pPr>
      <w:r>
        <w:rPr>
          <w:rFonts w:hint="eastAsia"/>
          <w:sz w:val="24"/>
          <w:szCs w:val="24"/>
        </w:rPr>
        <w:t>经办律师：邓炜、王家璐</w:t>
      </w:r>
    </w:p>
    <w:p w14:paraId="6BB418D5">
      <w:pPr>
        <w:spacing w:line="360" w:lineRule="auto"/>
        <w:ind w:firstLine="480" w:firstLineChars="200"/>
        <w:rPr>
          <w:sz w:val="24"/>
          <w:szCs w:val="24"/>
        </w:rPr>
      </w:pPr>
      <w:r>
        <w:rPr>
          <w:rFonts w:hint="eastAsia"/>
          <w:sz w:val="24"/>
          <w:szCs w:val="24"/>
        </w:rPr>
        <w:t>电话：（021）38722421</w:t>
      </w:r>
    </w:p>
    <w:p w14:paraId="77298ADA">
      <w:pPr>
        <w:spacing w:line="360" w:lineRule="auto"/>
        <w:ind w:firstLine="480" w:firstLineChars="200"/>
        <w:rPr>
          <w:sz w:val="24"/>
          <w:szCs w:val="24"/>
        </w:rPr>
      </w:pPr>
      <w:r>
        <w:rPr>
          <w:rFonts w:hint="eastAsia"/>
          <w:sz w:val="24"/>
          <w:szCs w:val="24"/>
        </w:rPr>
        <w:t>传真：（021）58786866</w:t>
      </w:r>
    </w:p>
    <w:p w14:paraId="0FC0C78E">
      <w:pPr>
        <w:spacing w:line="360" w:lineRule="auto"/>
        <w:ind w:firstLine="480" w:firstLineChars="200"/>
        <w:rPr>
          <w:sz w:val="24"/>
          <w:szCs w:val="24"/>
        </w:rPr>
      </w:pPr>
      <w:r>
        <w:rPr>
          <w:rFonts w:hint="eastAsia"/>
          <w:sz w:val="24"/>
          <w:szCs w:val="24"/>
        </w:rPr>
        <w:t>联系人：邓炜</w:t>
      </w:r>
    </w:p>
    <w:p w14:paraId="71B45DE3">
      <w:pPr>
        <w:spacing w:line="360" w:lineRule="auto"/>
        <w:ind w:firstLine="480" w:firstLineChars="200"/>
        <w:rPr>
          <w:sz w:val="24"/>
          <w:szCs w:val="24"/>
        </w:rPr>
      </w:pPr>
      <w:r>
        <w:rPr>
          <w:rFonts w:hint="eastAsia"/>
          <w:sz w:val="24"/>
          <w:szCs w:val="24"/>
        </w:rPr>
        <w:t>四、审计基金财产的会计师事务所</w:t>
      </w:r>
    </w:p>
    <w:p w14:paraId="2F82BC5C">
      <w:pPr>
        <w:spacing w:line="360" w:lineRule="auto"/>
        <w:ind w:firstLine="480" w:firstLineChars="200"/>
        <w:rPr>
          <w:sz w:val="24"/>
          <w:szCs w:val="24"/>
        </w:rPr>
      </w:pPr>
      <w:r>
        <w:rPr>
          <w:rFonts w:hint="eastAsia"/>
          <w:sz w:val="24"/>
          <w:szCs w:val="24"/>
        </w:rPr>
        <w:t>名称：安永华明会计师事务所（特殊普通合伙）</w:t>
      </w:r>
    </w:p>
    <w:p w14:paraId="4580E8AB">
      <w:pPr>
        <w:spacing w:line="360" w:lineRule="auto"/>
        <w:ind w:firstLine="480" w:firstLineChars="200"/>
        <w:rPr>
          <w:sz w:val="24"/>
          <w:szCs w:val="24"/>
        </w:rPr>
      </w:pPr>
      <w:r>
        <w:rPr>
          <w:rFonts w:hint="eastAsia"/>
          <w:sz w:val="24"/>
          <w:szCs w:val="24"/>
        </w:rPr>
        <w:t>住所：北京市东城区东长安街1号东方广场安永大楼17层01-12室</w:t>
      </w:r>
    </w:p>
    <w:p w14:paraId="7D6ABA64">
      <w:pPr>
        <w:spacing w:line="360" w:lineRule="auto"/>
        <w:ind w:firstLine="480" w:firstLineChars="200"/>
        <w:rPr>
          <w:sz w:val="24"/>
          <w:szCs w:val="24"/>
        </w:rPr>
      </w:pPr>
      <w:r>
        <w:rPr>
          <w:rFonts w:hint="eastAsia"/>
          <w:sz w:val="24"/>
          <w:szCs w:val="24"/>
        </w:rPr>
        <w:t>办公地址：北京市东城区东长安街1号东方广场安永大楼17层01-12室</w:t>
      </w:r>
    </w:p>
    <w:p w14:paraId="027D791B">
      <w:pPr>
        <w:spacing w:line="360" w:lineRule="auto"/>
        <w:ind w:firstLine="480" w:firstLineChars="200"/>
        <w:rPr>
          <w:sz w:val="24"/>
          <w:szCs w:val="24"/>
        </w:rPr>
      </w:pPr>
      <w:r>
        <w:rPr>
          <w:rFonts w:hint="eastAsia"/>
          <w:sz w:val="24"/>
          <w:szCs w:val="24"/>
        </w:rPr>
        <w:t>执行事务合伙人：毛鞍宁</w:t>
      </w:r>
    </w:p>
    <w:p w14:paraId="229BAE24">
      <w:pPr>
        <w:spacing w:line="360" w:lineRule="auto"/>
        <w:ind w:firstLine="480" w:firstLineChars="200"/>
        <w:rPr>
          <w:sz w:val="24"/>
          <w:szCs w:val="24"/>
        </w:rPr>
      </w:pPr>
      <w:r>
        <w:rPr>
          <w:rFonts w:hint="eastAsia"/>
          <w:sz w:val="24"/>
          <w:szCs w:val="24"/>
        </w:rPr>
        <w:t>电话：0755-25028288</w:t>
      </w:r>
    </w:p>
    <w:p w14:paraId="497470CC">
      <w:pPr>
        <w:spacing w:line="360" w:lineRule="auto"/>
        <w:ind w:firstLine="480" w:firstLineChars="200"/>
        <w:rPr>
          <w:sz w:val="24"/>
          <w:szCs w:val="24"/>
        </w:rPr>
      </w:pPr>
      <w:r>
        <w:rPr>
          <w:rFonts w:hint="eastAsia"/>
          <w:sz w:val="24"/>
          <w:szCs w:val="24"/>
        </w:rPr>
        <w:t>传真：0755-25026188</w:t>
      </w:r>
    </w:p>
    <w:p w14:paraId="13182B29">
      <w:pPr>
        <w:spacing w:line="360" w:lineRule="auto"/>
        <w:ind w:firstLine="480" w:firstLineChars="200"/>
        <w:rPr>
          <w:sz w:val="24"/>
          <w:szCs w:val="24"/>
        </w:rPr>
      </w:pPr>
      <w:r>
        <w:rPr>
          <w:rFonts w:hint="eastAsia"/>
          <w:sz w:val="24"/>
          <w:szCs w:val="24"/>
        </w:rPr>
        <w:t>联系人：林恩丽</w:t>
      </w:r>
    </w:p>
    <w:p w14:paraId="213C90B3">
      <w:pPr>
        <w:spacing w:line="360" w:lineRule="auto"/>
        <w:ind w:firstLine="480" w:firstLineChars="200"/>
        <w:rPr>
          <w:sz w:val="24"/>
          <w:szCs w:val="24"/>
        </w:rPr>
      </w:pPr>
      <w:r>
        <w:rPr>
          <w:rFonts w:hint="eastAsia"/>
          <w:sz w:val="24"/>
          <w:szCs w:val="24"/>
        </w:rPr>
        <w:t>经办注册会计师：高鹤、林恩丽</w:t>
      </w:r>
      <w:r>
        <w:rPr>
          <w:b/>
          <w:szCs w:val="24"/>
        </w:rPr>
        <w:br w:type="page"/>
      </w:r>
    </w:p>
    <w:bookmarkEnd w:id="60"/>
    <w:bookmarkEnd w:id="61"/>
    <w:bookmarkEnd w:id="62"/>
    <w:bookmarkEnd w:id="63"/>
    <w:bookmarkEnd w:id="64"/>
    <w:bookmarkEnd w:id="65"/>
    <w:bookmarkEnd w:id="66"/>
    <w:bookmarkEnd w:id="67"/>
    <w:bookmarkEnd w:id="68"/>
    <w:bookmarkEnd w:id="69"/>
    <w:p w14:paraId="2B87DD79">
      <w:pPr>
        <w:pStyle w:val="2"/>
        <w:spacing w:before="0" w:after="0"/>
        <w:jc w:val="center"/>
        <w:rPr>
          <w:rFonts w:ascii="Times New Roman"/>
          <w:color w:val="auto"/>
          <w:szCs w:val="24"/>
        </w:rPr>
      </w:pPr>
      <w:bookmarkStart w:id="90" w:name="_Hlt88031774"/>
      <w:bookmarkEnd w:id="90"/>
      <w:bookmarkStart w:id="91" w:name="_Toc48032543"/>
      <w:bookmarkStart w:id="92" w:name="_Toc216103539"/>
      <w:bookmarkStart w:id="93" w:name="_Toc428880367"/>
      <w:r>
        <w:rPr>
          <w:rFonts w:ascii="Times New Roman"/>
          <w:color w:val="auto"/>
          <w:szCs w:val="24"/>
        </w:rPr>
        <w:t>第</w:t>
      </w:r>
      <w:r>
        <w:rPr>
          <w:rFonts w:hint="eastAsia" w:ascii="Times New Roman"/>
          <w:color w:val="auto"/>
          <w:szCs w:val="24"/>
        </w:rPr>
        <w:t>六</w:t>
      </w:r>
      <w:r>
        <w:rPr>
          <w:rFonts w:ascii="Times New Roman"/>
          <w:color w:val="auto"/>
          <w:szCs w:val="24"/>
        </w:rPr>
        <w:t>部分  基金的</w:t>
      </w:r>
      <w:r>
        <w:rPr>
          <w:rFonts w:hint="eastAsia" w:ascii="Times New Roman"/>
          <w:color w:val="auto"/>
          <w:szCs w:val="24"/>
        </w:rPr>
        <w:t>募集</w:t>
      </w:r>
      <w:bookmarkEnd w:id="91"/>
      <w:bookmarkEnd w:id="92"/>
      <w:bookmarkEnd w:id="93"/>
    </w:p>
    <w:p w14:paraId="16483883">
      <w:pPr>
        <w:spacing w:line="360" w:lineRule="auto"/>
        <w:ind w:firstLine="480" w:firstLineChars="200"/>
        <w:rPr>
          <w:bCs/>
          <w:kern w:val="44"/>
          <w:sz w:val="24"/>
          <w:szCs w:val="24"/>
        </w:rPr>
      </w:pPr>
    </w:p>
    <w:p w14:paraId="6BACACFD">
      <w:pPr>
        <w:spacing w:line="360" w:lineRule="auto"/>
        <w:ind w:firstLine="480" w:firstLineChars="200"/>
        <w:rPr>
          <w:sz w:val="24"/>
          <w:szCs w:val="24"/>
        </w:rPr>
      </w:pPr>
      <w:r>
        <w:rPr>
          <w:rFonts w:hint="eastAsia"/>
          <w:sz w:val="24"/>
          <w:szCs w:val="24"/>
        </w:rPr>
        <w:t>一、基金募集的依据</w:t>
      </w:r>
    </w:p>
    <w:p w14:paraId="5A7556FA">
      <w:pPr>
        <w:spacing w:line="360" w:lineRule="auto"/>
        <w:ind w:firstLine="480" w:firstLineChars="200"/>
        <w:rPr>
          <w:sz w:val="24"/>
          <w:szCs w:val="24"/>
        </w:rPr>
      </w:pPr>
      <w:r>
        <w:rPr>
          <w:rFonts w:hint="eastAsia"/>
          <w:sz w:val="24"/>
          <w:szCs w:val="24"/>
        </w:rPr>
        <w:t>本基金由基金管理人依照《基金法》、《运作办法》、《销售办法》、基金合同及其他法律法规的有关规定，经2026年4月1日中国证监会证监许可</w:t>
      </w:r>
      <w:r>
        <w:rPr>
          <w:sz w:val="24"/>
          <w:szCs w:val="24"/>
        </w:rPr>
        <w:t>[</w:t>
      </w:r>
      <w:r>
        <w:rPr>
          <w:rFonts w:hint="eastAsia"/>
          <w:sz w:val="24"/>
          <w:szCs w:val="24"/>
        </w:rPr>
        <w:t>2026</w:t>
      </w:r>
      <w:r>
        <w:rPr>
          <w:sz w:val="24"/>
          <w:szCs w:val="24"/>
        </w:rPr>
        <w:t>]</w:t>
      </w:r>
      <w:r>
        <w:rPr>
          <w:rFonts w:hint="eastAsia"/>
          <w:sz w:val="24"/>
          <w:szCs w:val="24"/>
        </w:rPr>
        <w:t>693号文准予募集注册。</w:t>
      </w:r>
    </w:p>
    <w:p w14:paraId="62969267">
      <w:pPr>
        <w:spacing w:line="360" w:lineRule="auto"/>
        <w:ind w:firstLine="480" w:firstLineChars="200"/>
        <w:rPr>
          <w:sz w:val="24"/>
          <w:szCs w:val="24"/>
        </w:rPr>
      </w:pPr>
      <w:r>
        <w:rPr>
          <w:rFonts w:hint="eastAsia"/>
          <w:sz w:val="24"/>
          <w:szCs w:val="24"/>
        </w:rPr>
        <w:t>二、基金类别与运作方式</w:t>
      </w:r>
    </w:p>
    <w:p w14:paraId="457B749A">
      <w:pPr>
        <w:spacing w:line="360" w:lineRule="auto"/>
        <w:ind w:firstLine="480" w:firstLineChars="200"/>
        <w:rPr>
          <w:sz w:val="24"/>
          <w:szCs w:val="24"/>
        </w:rPr>
      </w:pPr>
      <w:r>
        <w:rPr>
          <w:rFonts w:hint="eastAsia"/>
          <w:sz w:val="24"/>
          <w:szCs w:val="24"/>
        </w:rPr>
        <w:t>本基金的类别为混合型证券投资基金。</w:t>
      </w:r>
    </w:p>
    <w:p w14:paraId="2C35031A">
      <w:pPr>
        <w:spacing w:line="360" w:lineRule="auto"/>
        <w:ind w:firstLine="480" w:firstLineChars="200"/>
        <w:rPr>
          <w:sz w:val="24"/>
          <w:szCs w:val="24"/>
        </w:rPr>
      </w:pPr>
      <w:r>
        <w:rPr>
          <w:rFonts w:hint="eastAsia"/>
          <w:sz w:val="24"/>
          <w:szCs w:val="24"/>
        </w:rPr>
        <w:t>本基金的运作方式为契约型开放式。</w:t>
      </w:r>
    </w:p>
    <w:p w14:paraId="08C4B70B">
      <w:pPr>
        <w:spacing w:line="360" w:lineRule="auto"/>
        <w:ind w:firstLine="480" w:firstLineChars="200"/>
        <w:rPr>
          <w:sz w:val="24"/>
          <w:szCs w:val="24"/>
        </w:rPr>
      </w:pPr>
      <w:r>
        <w:rPr>
          <w:rFonts w:hint="eastAsia"/>
          <w:sz w:val="24"/>
          <w:szCs w:val="24"/>
        </w:rPr>
        <w:t>三、基金存续期限</w:t>
      </w:r>
    </w:p>
    <w:p w14:paraId="7DAED61E">
      <w:pPr>
        <w:spacing w:line="360" w:lineRule="auto"/>
        <w:ind w:firstLine="480" w:firstLineChars="200"/>
        <w:rPr>
          <w:sz w:val="24"/>
          <w:szCs w:val="24"/>
        </w:rPr>
      </w:pPr>
      <w:r>
        <w:rPr>
          <w:rFonts w:hint="eastAsia"/>
          <w:sz w:val="24"/>
          <w:szCs w:val="24"/>
        </w:rPr>
        <w:t>不定期。</w:t>
      </w:r>
    </w:p>
    <w:p w14:paraId="375934C9">
      <w:pPr>
        <w:spacing w:line="360" w:lineRule="auto"/>
        <w:ind w:firstLine="480" w:firstLineChars="200"/>
        <w:rPr>
          <w:sz w:val="24"/>
          <w:szCs w:val="24"/>
        </w:rPr>
      </w:pPr>
      <w:r>
        <w:rPr>
          <w:rFonts w:hint="eastAsia"/>
          <w:sz w:val="24"/>
          <w:szCs w:val="24"/>
        </w:rPr>
        <w:t>四、募集方式</w:t>
      </w:r>
    </w:p>
    <w:p w14:paraId="744ACE78">
      <w:pPr>
        <w:spacing w:line="360" w:lineRule="auto"/>
        <w:ind w:firstLine="480" w:firstLineChars="200"/>
        <w:rPr>
          <w:sz w:val="24"/>
          <w:szCs w:val="24"/>
        </w:rPr>
      </w:pPr>
      <w:r>
        <w:rPr>
          <w:rFonts w:hint="eastAsia"/>
          <w:sz w:val="24"/>
          <w:szCs w:val="24"/>
        </w:rPr>
        <w:t>通过各销售机构的基金销售网点公开发售或按基金管理人、销售机构提供的其他方式发售，各销售机构的具体名单见基金份额发售公告以及基金管理人网站的公示</w:t>
      </w:r>
      <w:r>
        <w:rPr>
          <w:sz w:val="24"/>
          <w:szCs w:val="24"/>
        </w:rPr>
        <w:t>。</w:t>
      </w:r>
    </w:p>
    <w:p w14:paraId="74119536">
      <w:pPr>
        <w:spacing w:line="360" w:lineRule="auto"/>
        <w:ind w:firstLine="480" w:firstLineChars="200"/>
        <w:rPr>
          <w:sz w:val="24"/>
          <w:szCs w:val="24"/>
          <w:lang w:val="en-GB"/>
        </w:rPr>
      </w:pPr>
      <w:r>
        <w:rPr>
          <w:rFonts w:hint="eastAsia"/>
          <w:sz w:val="24"/>
          <w:szCs w:val="24"/>
          <w:lang w:val="en-GB"/>
        </w:rPr>
        <w:t>基金管理人有权决定本基金各类基金份额的发售安排，具体规定见基金份额发售公告或相关公告。</w:t>
      </w:r>
    </w:p>
    <w:p w14:paraId="74DFCE6C">
      <w:pPr>
        <w:spacing w:line="360" w:lineRule="auto"/>
        <w:ind w:firstLine="480" w:firstLineChars="200"/>
        <w:rPr>
          <w:sz w:val="24"/>
          <w:szCs w:val="24"/>
        </w:rPr>
      </w:pPr>
      <w:r>
        <w:rPr>
          <w:rFonts w:hint="eastAsia"/>
          <w:sz w:val="24"/>
          <w:szCs w:val="24"/>
        </w:rPr>
        <w:t>五、募集期限</w:t>
      </w:r>
    </w:p>
    <w:p w14:paraId="48FEF6C0">
      <w:pPr>
        <w:spacing w:line="360" w:lineRule="auto"/>
        <w:ind w:firstLine="480" w:firstLineChars="200"/>
        <w:rPr>
          <w:sz w:val="24"/>
          <w:szCs w:val="24"/>
        </w:rPr>
      </w:pPr>
      <w:r>
        <w:rPr>
          <w:rFonts w:hint="eastAsia"/>
          <w:sz w:val="24"/>
          <w:szCs w:val="24"/>
        </w:rPr>
        <w:t>自基金份额发售之日起最长不得超过</w:t>
      </w:r>
      <w:r>
        <w:rPr>
          <w:sz w:val="24"/>
          <w:szCs w:val="24"/>
        </w:rPr>
        <w:t>3</w:t>
      </w:r>
      <w:r>
        <w:rPr>
          <w:rFonts w:hint="eastAsia"/>
          <w:sz w:val="24"/>
          <w:szCs w:val="24"/>
        </w:rPr>
        <w:t>个月，具体发售时间见基金份额发售公告。</w:t>
      </w:r>
    </w:p>
    <w:p w14:paraId="784D04C7">
      <w:pPr>
        <w:spacing w:line="360" w:lineRule="auto"/>
        <w:ind w:firstLine="480" w:firstLineChars="200"/>
        <w:rPr>
          <w:sz w:val="24"/>
          <w:szCs w:val="24"/>
        </w:rPr>
      </w:pPr>
      <w:r>
        <w:rPr>
          <w:rFonts w:hint="eastAsia"/>
          <w:sz w:val="24"/>
          <w:szCs w:val="24"/>
        </w:rPr>
        <w:t>六、基金的最低募集金额</w:t>
      </w:r>
    </w:p>
    <w:p w14:paraId="3DBD4F1D">
      <w:pPr>
        <w:spacing w:line="360" w:lineRule="auto"/>
        <w:ind w:firstLine="480" w:firstLineChars="200"/>
        <w:rPr>
          <w:bCs/>
          <w:sz w:val="24"/>
        </w:rPr>
      </w:pPr>
      <w:r>
        <w:rPr>
          <w:rFonts w:hint="eastAsia"/>
          <w:bCs/>
          <w:sz w:val="24"/>
        </w:rPr>
        <w:t>本基金为发起式基金，发起资金认购本基金的金额合计不低于1000万元人民币，发起资金认购的基金份额持有期限自基金合同生效之日起不低于三年。如相关法律法规以及监管部门有新规定的，从其规定。</w:t>
      </w:r>
    </w:p>
    <w:p w14:paraId="2290D917">
      <w:pPr>
        <w:spacing w:line="360" w:lineRule="auto"/>
        <w:ind w:firstLine="480" w:firstLineChars="200"/>
        <w:rPr>
          <w:sz w:val="24"/>
          <w:szCs w:val="24"/>
        </w:rPr>
      </w:pPr>
      <w:r>
        <w:rPr>
          <w:rFonts w:hint="eastAsia"/>
          <w:sz w:val="24"/>
          <w:szCs w:val="24"/>
        </w:rPr>
        <w:t>本基金发起资金的认购情况见基金合同生效公告或基金管理人届时发布的公告。</w:t>
      </w:r>
    </w:p>
    <w:p w14:paraId="29E4FAC2">
      <w:pPr>
        <w:spacing w:line="360" w:lineRule="auto"/>
        <w:ind w:firstLine="480" w:firstLineChars="200"/>
        <w:rPr>
          <w:sz w:val="24"/>
          <w:szCs w:val="24"/>
        </w:rPr>
      </w:pPr>
      <w:r>
        <w:rPr>
          <w:rFonts w:hint="eastAsia"/>
          <w:sz w:val="24"/>
          <w:szCs w:val="24"/>
        </w:rPr>
        <w:t>七、募集对象</w:t>
      </w:r>
    </w:p>
    <w:p w14:paraId="5074AF2E">
      <w:pPr>
        <w:spacing w:line="360" w:lineRule="auto"/>
        <w:ind w:firstLine="480" w:firstLineChars="200"/>
        <w:rPr>
          <w:sz w:val="24"/>
          <w:szCs w:val="24"/>
        </w:rPr>
      </w:pPr>
      <w:r>
        <w:rPr>
          <w:rFonts w:hint="eastAsia"/>
          <w:sz w:val="24"/>
          <w:szCs w:val="24"/>
        </w:rPr>
        <w:t>符合法律法规规定的可投资于证券投资基金的个人投资者、机构投资者、</w:t>
      </w:r>
      <w:r>
        <w:rPr>
          <w:rFonts w:hint="eastAsia"/>
          <w:bCs/>
          <w:sz w:val="24"/>
        </w:rPr>
        <w:t>合格境外投资者、发起资金提供方</w:t>
      </w:r>
      <w:r>
        <w:rPr>
          <w:rFonts w:hint="eastAsia"/>
          <w:sz w:val="24"/>
          <w:szCs w:val="24"/>
        </w:rPr>
        <w:t>以及法律法规或中国证监会允许购买证券投资基金的其他投资人。</w:t>
      </w:r>
    </w:p>
    <w:p w14:paraId="27715539">
      <w:pPr>
        <w:spacing w:line="360" w:lineRule="auto"/>
        <w:ind w:firstLine="480" w:firstLineChars="200"/>
        <w:rPr>
          <w:sz w:val="24"/>
          <w:szCs w:val="24"/>
        </w:rPr>
      </w:pPr>
      <w:r>
        <w:rPr>
          <w:rFonts w:hint="eastAsia"/>
          <w:sz w:val="24"/>
          <w:szCs w:val="24"/>
        </w:rPr>
        <w:t>八、基金份额的类别</w:t>
      </w:r>
    </w:p>
    <w:p w14:paraId="5DD43EA3">
      <w:pPr>
        <w:spacing w:line="360" w:lineRule="auto"/>
        <w:ind w:firstLine="480" w:firstLineChars="200"/>
        <w:rPr>
          <w:bCs/>
          <w:sz w:val="24"/>
        </w:rPr>
      </w:pPr>
      <w:r>
        <w:rPr>
          <w:bCs/>
          <w:sz w:val="24"/>
        </w:rPr>
        <w:t>本基金将基金份额分为不同的类别。在投资者</w:t>
      </w:r>
      <w:r>
        <w:rPr>
          <w:rFonts w:hint="eastAsia"/>
          <w:bCs/>
          <w:sz w:val="24"/>
        </w:rPr>
        <w:t>通过直销机构以外的其他销售机构</w:t>
      </w:r>
      <w:r>
        <w:rPr>
          <w:bCs/>
          <w:sz w:val="24"/>
        </w:rPr>
        <w:t>认购/申购时收取认购费/申购费</w:t>
      </w:r>
      <w:r>
        <w:rPr>
          <w:rFonts w:hint="eastAsia"/>
          <w:bCs/>
          <w:sz w:val="24"/>
        </w:rPr>
        <w:t>，</w:t>
      </w:r>
      <w:r>
        <w:rPr>
          <w:bCs/>
          <w:sz w:val="24"/>
        </w:rPr>
        <w:t>但不从本类别基金资产中计提销售服务费的基金份额，称为A类基金份额；</w:t>
      </w:r>
      <w:r>
        <w:rPr>
          <w:rFonts w:hint="eastAsia"/>
          <w:bCs/>
          <w:sz w:val="24"/>
        </w:rPr>
        <w:t>投资者通过直销机构认购/申购A类基金份额时不收取认购费/申购费。在投资者认购/申购时</w:t>
      </w:r>
      <w:r>
        <w:rPr>
          <w:bCs/>
          <w:sz w:val="24"/>
        </w:rPr>
        <w:t>不收取认购费</w:t>
      </w:r>
      <w:r>
        <w:rPr>
          <w:rFonts w:hint="eastAsia"/>
          <w:bCs/>
          <w:sz w:val="24"/>
        </w:rPr>
        <w:t>/</w:t>
      </w:r>
      <w:r>
        <w:rPr>
          <w:bCs/>
          <w:sz w:val="24"/>
        </w:rPr>
        <w:t>申购费，而从</w:t>
      </w:r>
      <w:r>
        <w:rPr>
          <w:rFonts w:hint="eastAsia"/>
          <w:bCs/>
          <w:sz w:val="24"/>
        </w:rPr>
        <w:t>直销机构以外的其他销售机构保有的</w:t>
      </w:r>
      <w:r>
        <w:rPr>
          <w:bCs/>
          <w:sz w:val="24"/>
        </w:rPr>
        <w:t>本类别基金资产中</w:t>
      </w:r>
      <w:r>
        <w:rPr>
          <w:rFonts w:hint="eastAsia"/>
          <w:bCs/>
          <w:sz w:val="24"/>
        </w:rPr>
        <w:t>收取</w:t>
      </w:r>
      <w:r>
        <w:rPr>
          <w:bCs/>
          <w:sz w:val="24"/>
        </w:rPr>
        <w:t>销售服务费的基金份额，称为C类基金份额</w:t>
      </w:r>
      <w:r>
        <w:rPr>
          <w:rFonts w:hint="eastAsia"/>
          <w:bCs/>
          <w:sz w:val="24"/>
          <w:szCs w:val="24"/>
          <w:lang w:bidi="en-US"/>
        </w:rPr>
        <w:t>（其中，对于投资者通过直销机构认购/申购的C类基金份额，计提的销售服务费将在投资者赎回相应基金份额或基金合同终止时随赎回款或清算款一并返还给投资者；对于投资者通过其他销售机构认购/申购的C类基金份额，持续持有期限超过一年继续计提的销售服务费将在投资者赎回相应基金份额或基金合同终止时随赎回款或清算款一并返还给投资者）</w:t>
      </w:r>
      <w:r>
        <w:rPr>
          <w:bCs/>
          <w:sz w:val="24"/>
        </w:rPr>
        <w:t>。</w:t>
      </w:r>
    </w:p>
    <w:p w14:paraId="3C747832">
      <w:pPr>
        <w:spacing w:line="360" w:lineRule="auto"/>
        <w:ind w:firstLine="480" w:firstLineChars="200"/>
        <w:rPr>
          <w:bCs/>
          <w:sz w:val="24"/>
        </w:rPr>
      </w:pPr>
      <w:r>
        <w:rPr>
          <w:rFonts w:hint="eastAsia"/>
          <w:bCs/>
          <w:sz w:val="24"/>
        </w:rPr>
        <w:t>如未来基金管理人设立基金销售子公司，其可参照基金管理人直销机构，销售本基金A类基金份额不收取认购费/申购费、销售本基金C类基金份额不收取销售服务费，具体请见基金管理人或其销售子公司届时发布的相关公告。</w:t>
      </w:r>
    </w:p>
    <w:p w14:paraId="2BAFF23A">
      <w:pPr>
        <w:spacing w:line="360" w:lineRule="auto"/>
        <w:ind w:firstLine="480" w:firstLineChars="200"/>
        <w:rPr>
          <w:sz w:val="24"/>
          <w:szCs w:val="24"/>
        </w:rPr>
      </w:pPr>
      <w:r>
        <w:rPr>
          <w:rFonts w:hint="eastAsia"/>
          <w:sz w:val="24"/>
          <w:szCs w:val="24"/>
        </w:rPr>
        <w:t>本基金A类和C类基金份额分别设置代码。由于基金费用的不同，本基金A类基金份额和C类基金份额将分别计算并公告基金份额净值。投资者在认购/申购基金份额时可自行选择基金份额类别。</w:t>
      </w:r>
    </w:p>
    <w:p w14:paraId="17EC554B">
      <w:pPr>
        <w:spacing w:line="360" w:lineRule="auto"/>
        <w:ind w:firstLine="480" w:firstLineChars="200"/>
        <w:rPr>
          <w:sz w:val="24"/>
          <w:szCs w:val="24"/>
        </w:rPr>
      </w:pPr>
      <w:r>
        <w:rPr>
          <w:rFonts w:hint="eastAsia"/>
          <w:sz w:val="24"/>
          <w:szCs w:val="24"/>
        </w:rPr>
        <w:t>根据基金销售情况，基金管理人可在</w:t>
      </w:r>
      <w:r>
        <w:rPr>
          <w:rFonts w:hint="eastAsia"/>
          <w:bCs/>
          <w:sz w:val="24"/>
        </w:rPr>
        <w:t>不违反法律法规、《基金合同》且</w:t>
      </w:r>
      <w:r>
        <w:rPr>
          <w:rFonts w:hint="eastAsia"/>
          <w:sz w:val="24"/>
          <w:szCs w:val="24"/>
        </w:rPr>
        <w:t>不损害已有基金份额持有人权益的情况下，在履行适当程序后，增加新的基金份额类别、停止现有基金份额类别的销售、调整基金份额类别设置或对基金份额分类办法及规则进行调整等，无需召开基金份额持有人大会，但调整实施前基金管理人需及时公告。</w:t>
      </w:r>
    </w:p>
    <w:p w14:paraId="6090D6E4">
      <w:pPr>
        <w:spacing w:line="360" w:lineRule="auto"/>
        <w:ind w:firstLine="480" w:firstLineChars="200"/>
        <w:rPr>
          <w:sz w:val="24"/>
          <w:szCs w:val="24"/>
        </w:rPr>
      </w:pPr>
      <w:r>
        <w:rPr>
          <w:rFonts w:hint="eastAsia"/>
          <w:sz w:val="24"/>
          <w:szCs w:val="24"/>
        </w:rPr>
        <w:t>九、基金份额发售面值、认购费用及认购份额的计算</w:t>
      </w:r>
    </w:p>
    <w:p w14:paraId="2F90CEF5">
      <w:pPr>
        <w:spacing w:line="360" w:lineRule="auto"/>
        <w:ind w:firstLine="480" w:firstLineChars="200"/>
        <w:rPr>
          <w:sz w:val="24"/>
          <w:szCs w:val="24"/>
        </w:rPr>
      </w:pPr>
      <w:r>
        <w:rPr>
          <w:sz w:val="24"/>
          <w:szCs w:val="24"/>
        </w:rPr>
        <w:t>1</w:t>
      </w:r>
      <w:r>
        <w:rPr>
          <w:rFonts w:hint="eastAsia"/>
          <w:sz w:val="24"/>
          <w:szCs w:val="24"/>
        </w:rPr>
        <w:t>、本基金基金份额发售面值为人民币</w:t>
      </w:r>
      <w:r>
        <w:rPr>
          <w:sz w:val="24"/>
          <w:szCs w:val="24"/>
        </w:rPr>
        <w:t>1.00</w:t>
      </w:r>
      <w:r>
        <w:rPr>
          <w:rFonts w:hint="eastAsia"/>
          <w:sz w:val="24"/>
          <w:szCs w:val="24"/>
        </w:rPr>
        <w:t>元，按面值发售。</w:t>
      </w:r>
    </w:p>
    <w:p w14:paraId="61605695">
      <w:pPr>
        <w:spacing w:line="360" w:lineRule="auto"/>
        <w:ind w:firstLine="480" w:firstLineChars="200"/>
        <w:rPr>
          <w:sz w:val="24"/>
          <w:szCs w:val="24"/>
        </w:rPr>
      </w:pPr>
      <w:r>
        <w:rPr>
          <w:sz w:val="24"/>
          <w:szCs w:val="24"/>
        </w:rPr>
        <w:t>2</w:t>
      </w:r>
      <w:r>
        <w:rPr>
          <w:rFonts w:hint="eastAsia"/>
          <w:sz w:val="24"/>
          <w:szCs w:val="24"/>
        </w:rPr>
        <w:t>、</w:t>
      </w:r>
      <w:bookmarkStart w:id="94" w:name="_Hlk219207590"/>
      <w:r>
        <w:rPr>
          <w:rFonts w:hint="eastAsia"/>
          <w:sz w:val="24"/>
          <w:szCs w:val="24"/>
        </w:rPr>
        <w:t>认购费用</w:t>
      </w:r>
      <w:bookmarkEnd w:id="94"/>
    </w:p>
    <w:p w14:paraId="6356B6E1">
      <w:pPr>
        <w:spacing w:line="360" w:lineRule="auto"/>
        <w:ind w:firstLine="480" w:firstLineChars="200"/>
        <w:rPr>
          <w:sz w:val="24"/>
          <w:szCs w:val="24"/>
        </w:rPr>
      </w:pPr>
      <w:r>
        <w:rPr>
          <w:rFonts w:hint="eastAsia"/>
          <w:bCs/>
          <w:sz w:val="24"/>
        </w:rPr>
        <w:t>投资者通过直销机构认购本基金A类基金份额不收取认购费用，通过直销机构以外的其他销售机构（以下简称“其他销售机构”）认购本基金A类基金份额在认购时收取认购费用；C类</w:t>
      </w:r>
      <w:r>
        <w:rPr>
          <w:bCs/>
          <w:sz w:val="24"/>
        </w:rPr>
        <w:t>基金份额不收取认购费</w:t>
      </w:r>
      <w:r>
        <w:rPr>
          <w:rFonts w:hint="eastAsia"/>
          <w:bCs/>
          <w:sz w:val="24"/>
        </w:rPr>
        <w:t>用。本基金对投资者通过其他销售机构认购A类基金份额设置级差费率，认购费用采用前端收费模式。募集期投资者可以多次认购本基金A类基金份额，认购费按每笔认购申请单独计算。</w:t>
      </w:r>
    </w:p>
    <w:p w14:paraId="47926472">
      <w:pPr>
        <w:spacing w:line="360" w:lineRule="auto"/>
        <w:ind w:firstLine="480" w:firstLineChars="200"/>
      </w:pPr>
      <w:r>
        <w:rPr>
          <w:rFonts w:hint="eastAsia"/>
          <w:sz w:val="24"/>
          <w:szCs w:val="24"/>
        </w:rPr>
        <w:t>通过</w:t>
      </w:r>
      <w:r>
        <w:rPr>
          <w:rFonts w:hint="eastAsia"/>
          <w:bCs/>
          <w:sz w:val="24"/>
        </w:rPr>
        <w:t>其他销售机构</w:t>
      </w:r>
      <w:r>
        <w:rPr>
          <w:rFonts w:hint="eastAsia"/>
          <w:sz w:val="24"/>
          <w:szCs w:val="24"/>
        </w:rPr>
        <w:t>认购A类基金份额的具体费率如下表：</w:t>
      </w:r>
    </w:p>
    <w:tbl>
      <w:tblPr>
        <w:tblStyle w:val="25"/>
        <w:tblW w:w="6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3118"/>
      </w:tblGrid>
      <w:tr w14:paraId="4B9B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29CCAC8F">
            <w:pPr>
              <w:widowControl/>
              <w:spacing w:line="360" w:lineRule="auto"/>
              <w:ind w:firstLine="200"/>
              <w:jc w:val="center"/>
              <w:rPr>
                <w:rFonts w:cs="宋体"/>
                <w:color w:val="000000"/>
                <w:kern w:val="0"/>
                <w:sz w:val="24"/>
              </w:rPr>
            </w:pPr>
            <w:r>
              <w:rPr>
                <w:rFonts w:hint="eastAsia" w:cs="宋体"/>
                <w:color w:val="000000"/>
                <w:kern w:val="0"/>
                <w:sz w:val="24"/>
              </w:rPr>
              <w:t>认购金额（</w:t>
            </w:r>
            <w:r>
              <w:rPr>
                <w:color w:val="000000"/>
                <w:kern w:val="0"/>
                <w:sz w:val="24"/>
              </w:rPr>
              <w:t>M</w:t>
            </w:r>
            <w:r>
              <w:rPr>
                <w:rFonts w:hint="eastAsia" w:cs="宋体"/>
                <w:color w:val="000000"/>
                <w:kern w:val="0"/>
                <w:sz w:val="24"/>
              </w:rPr>
              <w:t>）</w:t>
            </w:r>
          </w:p>
        </w:tc>
        <w:tc>
          <w:tcPr>
            <w:tcW w:w="3118" w:type="dxa"/>
            <w:vAlign w:val="center"/>
          </w:tcPr>
          <w:p w14:paraId="32B177E8">
            <w:pPr>
              <w:widowControl/>
              <w:spacing w:line="360" w:lineRule="auto"/>
              <w:ind w:firstLine="200"/>
              <w:jc w:val="center"/>
              <w:rPr>
                <w:rFonts w:cs="宋体"/>
                <w:color w:val="000000"/>
                <w:kern w:val="0"/>
                <w:sz w:val="24"/>
              </w:rPr>
            </w:pPr>
            <w:r>
              <w:rPr>
                <w:rFonts w:hint="eastAsia" w:cs="宋体"/>
                <w:color w:val="000000"/>
                <w:kern w:val="0"/>
                <w:sz w:val="24"/>
              </w:rPr>
              <w:t>A</w:t>
            </w:r>
            <w:r>
              <w:rPr>
                <w:rFonts w:cs="宋体"/>
                <w:color w:val="000000"/>
                <w:kern w:val="0"/>
                <w:sz w:val="24"/>
              </w:rPr>
              <w:t>类基金份额的</w:t>
            </w:r>
            <w:r>
              <w:rPr>
                <w:rFonts w:hint="eastAsia" w:cs="宋体"/>
                <w:color w:val="000000"/>
                <w:kern w:val="0"/>
                <w:sz w:val="24"/>
              </w:rPr>
              <w:t>认购费率</w:t>
            </w:r>
          </w:p>
        </w:tc>
      </w:tr>
      <w:tr w14:paraId="6890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70FE83FE">
            <w:pPr>
              <w:widowControl/>
              <w:spacing w:line="360" w:lineRule="auto"/>
              <w:ind w:firstLine="200"/>
              <w:jc w:val="center"/>
              <w:rPr>
                <w:rFonts w:cs="宋体"/>
                <w:color w:val="000000"/>
                <w:kern w:val="0"/>
                <w:sz w:val="24"/>
              </w:rPr>
            </w:pPr>
            <w:r>
              <w:rPr>
                <w:rFonts w:cs="宋体"/>
                <w:color w:val="000000"/>
                <w:kern w:val="0"/>
                <w:sz w:val="24"/>
              </w:rPr>
              <w:t>M</w:t>
            </w:r>
            <w:r>
              <w:rPr>
                <w:rFonts w:hint="eastAsia" w:cs="宋体"/>
                <w:color w:val="000000"/>
                <w:kern w:val="0"/>
                <w:sz w:val="24"/>
              </w:rPr>
              <w:t>＜</w:t>
            </w:r>
            <w:r>
              <w:rPr>
                <w:rFonts w:cs="宋体"/>
                <w:color w:val="000000"/>
                <w:kern w:val="0"/>
                <w:sz w:val="24"/>
              </w:rPr>
              <w:t>100</w:t>
            </w:r>
            <w:r>
              <w:rPr>
                <w:rFonts w:hint="eastAsia" w:cs="宋体"/>
                <w:color w:val="000000"/>
                <w:kern w:val="0"/>
                <w:sz w:val="24"/>
              </w:rPr>
              <w:t>万元</w:t>
            </w:r>
          </w:p>
        </w:tc>
        <w:tc>
          <w:tcPr>
            <w:tcW w:w="3118" w:type="dxa"/>
            <w:vAlign w:val="center"/>
          </w:tcPr>
          <w:p w14:paraId="4AB334C1">
            <w:pPr>
              <w:widowControl/>
              <w:spacing w:line="360" w:lineRule="auto"/>
              <w:ind w:firstLine="200"/>
              <w:jc w:val="center"/>
              <w:rPr>
                <w:rFonts w:cs="宋体"/>
                <w:color w:val="000000"/>
                <w:kern w:val="0"/>
                <w:sz w:val="24"/>
              </w:rPr>
            </w:pPr>
            <w:r>
              <w:rPr>
                <w:rFonts w:cs="宋体"/>
                <w:color w:val="000000"/>
                <w:kern w:val="0"/>
                <w:sz w:val="24"/>
              </w:rPr>
              <w:t>0.80%</w:t>
            </w:r>
          </w:p>
        </w:tc>
      </w:tr>
      <w:tr w14:paraId="01D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0DA58ADA">
            <w:pPr>
              <w:widowControl/>
              <w:spacing w:line="360" w:lineRule="auto"/>
              <w:ind w:firstLine="200"/>
              <w:jc w:val="center"/>
              <w:rPr>
                <w:rFonts w:cs="宋体"/>
                <w:color w:val="000000"/>
                <w:kern w:val="0"/>
                <w:sz w:val="24"/>
              </w:rPr>
            </w:pPr>
            <w:r>
              <w:rPr>
                <w:rFonts w:cs="宋体"/>
                <w:color w:val="000000"/>
                <w:kern w:val="0"/>
                <w:sz w:val="24"/>
              </w:rPr>
              <w:t>100</w:t>
            </w:r>
            <w:r>
              <w:rPr>
                <w:rFonts w:hint="eastAsia" w:cs="宋体"/>
                <w:color w:val="000000"/>
                <w:kern w:val="0"/>
                <w:sz w:val="24"/>
              </w:rPr>
              <w:t>万元≤</w:t>
            </w:r>
            <w:r>
              <w:rPr>
                <w:rFonts w:cs="宋体"/>
                <w:color w:val="000000"/>
                <w:kern w:val="0"/>
                <w:sz w:val="24"/>
              </w:rPr>
              <w:t>M</w:t>
            </w:r>
            <w:r>
              <w:rPr>
                <w:rFonts w:hint="eastAsia" w:cs="宋体"/>
                <w:color w:val="000000"/>
                <w:kern w:val="0"/>
                <w:sz w:val="24"/>
              </w:rPr>
              <w:t>＜</w:t>
            </w:r>
            <w:r>
              <w:rPr>
                <w:rFonts w:cs="宋体"/>
                <w:color w:val="000000"/>
                <w:kern w:val="0"/>
                <w:sz w:val="24"/>
              </w:rPr>
              <w:t>200</w:t>
            </w:r>
            <w:r>
              <w:rPr>
                <w:rFonts w:hint="eastAsia" w:cs="宋体"/>
                <w:color w:val="000000"/>
                <w:kern w:val="0"/>
                <w:sz w:val="24"/>
              </w:rPr>
              <w:t>万元</w:t>
            </w:r>
          </w:p>
        </w:tc>
        <w:tc>
          <w:tcPr>
            <w:tcW w:w="3118" w:type="dxa"/>
            <w:vAlign w:val="center"/>
          </w:tcPr>
          <w:p w14:paraId="53C480DE">
            <w:pPr>
              <w:widowControl/>
              <w:spacing w:line="360" w:lineRule="auto"/>
              <w:ind w:firstLine="200"/>
              <w:jc w:val="center"/>
              <w:rPr>
                <w:rFonts w:cs="宋体"/>
                <w:color w:val="000000"/>
                <w:kern w:val="0"/>
                <w:sz w:val="24"/>
              </w:rPr>
            </w:pPr>
            <w:r>
              <w:rPr>
                <w:rFonts w:cs="宋体"/>
                <w:color w:val="000000"/>
                <w:kern w:val="0"/>
                <w:sz w:val="24"/>
              </w:rPr>
              <w:t>0.60%</w:t>
            </w:r>
          </w:p>
        </w:tc>
      </w:tr>
      <w:tr w14:paraId="2076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574E34F9">
            <w:pPr>
              <w:widowControl/>
              <w:spacing w:line="360" w:lineRule="auto"/>
              <w:ind w:firstLine="200"/>
              <w:jc w:val="center"/>
              <w:rPr>
                <w:rFonts w:cs="宋体"/>
                <w:color w:val="000000"/>
                <w:kern w:val="0"/>
                <w:sz w:val="24"/>
              </w:rPr>
            </w:pPr>
            <w:r>
              <w:rPr>
                <w:rFonts w:cs="宋体"/>
                <w:color w:val="000000"/>
                <w:kern w:val="0"/>
                <w:sz w:val="24"/>
              </w:rPr>
              <w:t>200</w:t>
            </w:r>
            <w:r>
              <w:rPr>
                <w:rFonts w:hint="eastAsia" w:cs="宋体"/>
                <w:color w:val="000000"/>
                <w:kern w:val="0"/>
                <w:sz w:val="24"/>
              </w:rPr>
              <w:t>万元≤</w:t>
            </w:r>
            <w:r>
              <w:rPr>
                <w:rFonts w:cs="宋体"/>
                <w:color w:val="000000"/>
                <w:kern w:val="0"/>
                <w:sz w:val="24"/>
              </w:rPr>
              <w:t>M</w:t>
            </w:r>
            <w:r>
              <w:rPr>
                <w:rFonts w:hint="eastAsia" w:cs="宋体"/>
                <w:color w:val="000000"/>
                <w:kern w:val="0"/>
                <w:sz w:val="24"/>
              </w:rPr>
              <w:t>＜</w:t>
            </w:r>
            <w:r>
              <w:rPr>
                <w:rFonts w:cs="宋体"/>
                <w:color w:val="000000"/>
                <w:kern w:val="0"/>
                <w:sz w:val="24"/>
              </w:rPr>
              <w:t>500</w:t>
            </w:r>
            <w:r>
              <w:rPr>
                <w:rFonts w:hint="eastAsia" w:cs="宋体"/>
                <w:color w:val="000000"/>
                <w:kern w:val="0"/>
                <w:sz w:val="24"/>
              </w:rPr>
              <w:t>万元</w:t>
            </w:r>
          </w:p>
        </w:tc>
        <w:tc>
          <w:tcPr>
            <w:tcW w:w="3118" w:type="dxa"/>
            <w:vAlign w:val="center"/>
          </w:tcPr>
          <w:p w14:paraId="1E458314">
            <w:pPr>
              <w:widowControl/>
              <w:spacing w:line="360" w:lineRule="auto"/>
              <w:ind w:firstLine="200"/>
              <w:jc w:val="center"/>
              <w:rPr>
                <w:rFonts w:cs="宋体"/>
                <w:color w:val="000000"/>
                <w:kern w:val="0"/>
                <w:sz w:val="24"/>
              </w:rPr>
            </w:pPr>
            <w:r>
              <w:rPr>
                <w:rFonts w:cs="宋体"/>
                <w:color w:val="000000"/>
                <w:kern w:val="0"/>
                <w:sz w:val="24"/>
              </w:rPr>
              <w:t>0.40%</w:t>
            </w:r>
          </w:p>
        </w:tc>
      </w:tr>
      <w:tr w14:paraId="35BC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65B195AD">
            <w:pPr>
              <w:widowControl/>
              <w:spacing w:line="360" w:lineRule="auto"/>
              <w:ind w:firstLine="200"/>
              <w:jc w:val="center"/>
              <w:rPr>
                <w:rFonts w:cs="宋体"/>
                <w:color w:val="000000"/>
                <w:kern w:val="0"/>
                <w:sz w:val="24"/>
              </w:rPr>
            </w:pPr>
            <w:r>
              <w:rPr>
                <w:rFonts w:cs="宋体"/>
                <w:color w:val="000000"/>
                <w:kern w:val="0"/>
                <w:sz w:val="24"/>
              </w:rPr>
              <w:t>M</w:t>
            </w:r>
            <w:r>
              <w:rPr>
                <w:rFonts w:hint="eastAsia" w:cs="宋体"/>
                <w:color w:val="000000"/>
                <w:kern w:val="0"/>
                <w:sz w:val="24"/>
              </w:rPr>
              <w:t>≥</w:t>
            </w:r>
            <w:r>
              <w:rPr>
                <w:rFonts w:cs="宋体"/>
                <w:color w:val="000000"/>
                <w:kern w:val="0"/>
                <w:sz w:val="24"/>
              </w:rPr>
              <w:t>500</w:t>
            </w:r>
            <w:r>
              <w:rPr>
                <w:rFonts w:hint="eastAsia" w:cs="宋体"/>
                <w:color w:val="000000"/>
                <w:kern w:val="0"/>
                <w:sz w:val="24"/>
              </w:rPr>
              <w:t>万元</w:t>
            </w:r>
          </w:p>
        </w:tc>
        <w:tc>
          <w:tcPr>
            <w:tcW w:w="3118" w:type="dxa"/>
            <w:vAlign w:val="center"/>
          </w:tcPr>
          <w:p w14:paraId="27DDDD27">
            <w:pPr>
              <w:widowControl/>
              <w:spacing w:line="360" w:lineRule="auto"/>
              <w:ind w:firstLine="200"/>
              <w:jc w:val="center"/>
              <w:rPr>
                <w:rFonts w:cs="宋体"/>
                <w:color w:val="000000"/>
                <w:kern w:val="0"/>
                <w:sz w:val="24"/>
              </w:rPr>
            </w:pPr>
            <w:r>
              <w:rPr>
                <w:rFonts w:hint="eastAsia" w:cs="宋体"/>
                <w:color w:val="000000"/>
                <w:kern w:val="0"/>
                <w:sz w:val="24"/>
              </w:rPr>
              <w:t>单笔</w:t>
            </w:r>
            <w:r>
              <w:rPr>
                <w:rFonts w:cs="宋体"/>
                <w:color w:val="000000"/>
                <w:kern w:val="0"/>
                <w:sz w:val="24"/>
              </w:rPr>
              <w:t>1000</w:t>
            </w:r>
            <w:r>
              <w:rPr>
                <w:rFonts w:hint="eastAsia" w:cs="宋体"/>
                <w:color w:val="000000"/>
                <w:kern w:val="0"/>
                <w:sz w:val="24"/>
              </w:rPr>
              <w:t>元</w:t>
            </w:r>
          </w:p>
        </w:tc>
      </w:tr>
    </w:tbl>
    <w:p w14:paraId="3AFBBB84">
      <w:pPr>
        <w:spacing w:line="360" w:lineRule="auto"/>
        <w:ind w:firstLine="480" w:firstLineChars="200"/>
        <w:rPr>
          <w:sz w:val="24"/>
          <w:szCs w:val="24"/>
        </w:rPr>
      </w:pPr>
      <w:r>
        <w:rPr>
          <w:rFonts w:hint="eastAsia"/>
          <w:sz w:val="24"/>
          <w:szCs w:val="24"/>
        </w:rPr>
        <w:t>基金认购费用不列入基金财产，主要用于基金的市场推广、销售和登记等募集期间发生的相关费用。</w:t>
      </w:r>
    </w:p>
    <w:p w14:paraId="66559762">
      <w:pPr>
        <w:spacing w:line="360" w:lineRule="auto"/>
        <w:ind w:firstLine="480" w:firstLineChars="200"/>
        <w:rPr>
          <w:sz w:val="24"/>
          <w:szCs w:val="24"/>
        </w:rPr>
      </w:pPr>
      <w:r>
        <w:rPr>
          <w:sz w:val="24"/>
          <w:szCs w:val="24"/>
        </w:rPr>
        <w:t>3</w:t>
      </w:r>
      <w:r>
        <w:rPr>
          <w:rFonts w:hint="eastAsia"/>
          <w:sz w:val="24"/>
          <w:szCs w:val="24"/>
        </w:rPr>
        <w:t>、认购份额的计算</w:t>
      </w:r>
    </w:p>
    <w:p w14:paraId="626AD5CF">
      <w:pPr>
        <w:spacing w:line="360" w:lineRule="auto"/>
        <w:ind w:firstLine="480" w:firstLineChars="200"/>
        <w:rPr>
          <w:sz w:val="24"/>
          <w:szCs w:val="24"/>
        </w:rPr>
      </w:pPr>
      <w:r>
        <w:rPr>
          <w:rFonts w:hint="eastAsia"/>
          <w:sz w:val="24"/>
          <w:szCs w:val="24"/>
        </w:rPr>
        <w:t>（1）基金认购采用金额认购的方式。</w:t>
      </w:r>
    </w:p>
    <w:p w14:paraId="67D3C27A">
      <w:pPr>
        <w:spacing w:line="360" w:lineRule="auto"/>
        <w:ind w:firstLine="480" w:firstLineChars="200"/>
        <w:rPr>
          <w:sz w:val="24"/>
          <w:szCs w:val="24"/>
        </w:rPr>
      </w:pPr>
      <w:r>
        <w:rPr>
          <w:rFonts w:hint="eastAsia"/>
          <w:sz w:val="24"/>
          <w:szCs w:val="24"/>
        </w:rPr>
        <w:t>1）若投资者通过直销机构认购A类基金份额，不收取认购费用，其认购份额的计算公式为：</w:t>
      </w:r>
    </w:p>
    <w:p w14:paraId="41D8B57C">
      <w:pPr>
        <w:spacing w:line="360" w:lineRule="auto"/>
        <w:ind w:firstLine="480" w:firstLineChars="200"/>
        <w:rPr>
          <w:sz w:val="24"/>
          <w:szCs w:val="24"/>
        </w:rPr>
      </w:pPr>
      <w:r>
        <w:rPr>
          <w:rFonts w:hint="eastAsia"/>
          <w:sz w:val="24"/>
          <w:szCs w:val="24"/>
        </w:rPr>
        <w:t>认购份额＝（认购金额＋认购利息）/基金份额发售面值</w:t>
      </w:r>
    </w:p>
    <w:p w14:paraId="31B736DB">
      <w:pPr>
        <w:spacing w:line="360" w:lineRule="auto"/>
        <w:ind w:firstLine="480" w:firstLineChars="200"/>
        <w:rPr>
          <w:sz w:val="24"/>
          <w:szCs w:val="24"/>
        </w:rPr>
      </w:pPr>
      <w:r>
        <w:rPr>
          <w:rFonts w:hint="eastAsia"/>
          <w:sz w:val="24"/>
          <w:szCs w:val="24"/>
        </w:rPr>
        <w:t>例：某投资者通过直销机构投资100,000元认购本基金A类基金份额，假设该笔认购按照100%比例全部予以确认，假设该笔认购在认购期间产生的利息为</w:t>
      </w:r>
      <w:r>
        <w:rPr>
          <w:sz w:val="24"/>
          <w:szCs w:val="24"/>
        </w:rPr>
        <w:t>50</w:t>
      </w:r>
      <w:r>
        <w:rPr>
          <w:rFonts w:hint="eastAsia"/>
          <w:sz w:val="24"/>
          <w:szCs w:val="24"/>
        </w:rPr>
        <w:t>元。则其可得到的认购份额为：</w:t>
      </w:r>
    </w:p>
    <w:p w14:paraId="5CC03D1C">
      <w:pPr>
        <w:spacing w:line="360" w:lineRule="auto"/>
        <w:ind w:firstLine="480" w:firstLineChars="200"/>
        <w:rPr>
          <w:sz w:val="24"/>
          <w:szCs w:val="24"/>
        </w:rPr>
      </w:pPr>
      <w:r>
        <w:rPr>
          <w:rFonts w:hint="eastAsia"/>
          <w:sz w:val="24"/>
          <w:szCs w:val="24"/>
        </w:rPr>
        <w:t>认购份额＝（100,000＋</w:t>
      </w:r>
      <w:r>
        <w:rPr>
          <w:sz w:val="24"/>
          <w:szCs w:val="24"/>
        </w:rPr>
        <w:t>50</w:t>
      </w:r>
      <w:r>
        <w:rPr>
          <w:rFonts w:hint="eastAsia"/>
          <w:sz w:val="24"/>
          <w:szCs w:val="24"/>
        </w:rPr>
        <w:t>）/1.00＝100,0</w:t>
      </w:r>
      <w:r>
        <w:rPr>
          <w:sz w:val="24"/>
          <w:szCs w:val="24"/>
        </w:rPr>
        <w:t>5</w:t>
      </w:r>
      <w:r>
        <w:rPr>
          <w:rFonts w:hint="eastAsia"/>
          <w:sz w:val="24"/>
          <w:szCs w:val="24"/>
        </w:rPr>
        <w:t>0.00份</w:t>
      </w:r>
    </w:p>
    <w:p w14:paraId="55F534EF">
      <w:pPr>
        <w:spacing w:line="360" w:lineRule="auto"/>
        <w:ind w:firstLine="480" w:firstLineChars="200"/>
        <w:rPr>
          <w:sz w:val="24"/>
          <w:szCs w:val="24"/>
        </w:rPr>
      </w:pPr>
      <w:r>
        <w:rPr>
          <w:rFonts w:hint="eastAsia"/>
          <w:sz w:val="24"/>
          <w:szCs w:val="24"/>
        </w:rPr>
        <w:t>即：投资者通过直销机构投资100,000元认购本基金A类基金份额，假设该笔认购按照100%比例全部予以确认，假设该笔认购在认购期间产生的利息为</w:t>
      </w:r>
      <w:r>
        <w:rPr>
          <w:sz w:val="24"/>
          <w:szCs w:val="24"/>
        </w:rPr>
        <w:t>50</w:t>
      </w:r>
      <w:r>
        <w:rPr>
          <w:rFonts w:hint="eastAsia"/>
          <w:sz w:val="24"/>
          <w:szCs w:val="24"/>
        </w:rPr>
        <w:t>元，则其可得到100,0</w:t>
      </w:r>
      <w:r>
        <w:rPr>
          <w:sz w:val="24"/>
          <w:szCs w:val="24"/>
        </w:rPr>
        <w:t>5</w:t>
      </w:r>
      <w:r>
        <w:rPr>
          <w:rFonts w:hint="eastAsia"/>
          <w:sz w:val="24"/>
          <w:szCs w:val="24"/>
        </w:rPr>
        <w:t>0.00份A类基金份额。</w:t>
      </w:r>
    </w:p>
    <w:p w14:paraId="7C9D8209">
      <w:pPr>
        <w:spacing w:line="360" w:lineRule="auto"/>
        <w:ind w:firstLine="480" w:firstLineChars="200"/>
        <w:rPr>
          <w:sz w:val="24"/>
          <w:szCs w:val="24"/>
        </w:rPr>
      </w:pPr>
      <w:r>
        <w:rPr>
          <w:sz w:val="24"/>
          <w:szCs w:val="24"/>
        </w:rPr>
        <w:t>2</w:t>
      </w:r>
      <w:r>
        <w:rPr>
          <w:rFonts w:hint="eastAsia"/>
          <w:sz w:val="24"/>
          <w:szCs w:val="24"/>
        </w:rPr>
        <w:t>）若投资者通过其他销售机构认购A类基金份额，认购金额包括认购费用和净认购金额：</w:t>
      </w:r>
    </w:p>
    <w:p w14:paraId="419281A4">
      <w:pPr>
        <w:spacing w:line="360" w:lineRule="auto"/>
        <w:ind w:firstLine="420" w:firstLineChars="200"/>
        <w:rPr>
          <w:sz w:val="24"/>
          <w:szCs w:val="24"/>
        </w:rPr>
      </w:pPr>
      <w:r>
        <w:rPr>
          <w:rFonts w:hint="eastAsia"/>
        </w:rPr>
        <w:t>①</w:t>
      </w:r>
      <w:r>
        <w:rPr>
          <w:rFonts w:hint="eastAsia"/>
          <w:sz w:val="24"/>
          <w:szCs w:val="24"/>
        </w:rPr>
        <w:t>当投资者选择认购A类基金份额且认购费用适用比例费率时，其认购份额的计算公式为：</w:t>
      </w:r>
    </w:p>
    <w:p w14:paraId="2C84397C">
      <w:pPr>
        <w:spacing w:line="360" w:lineRule="auto"/>
        <w:ind w:firstLine="480" w:firstLineChars="200"/>
        <w:rPr>
          <w:sz w:val="24"/>
          <w:szCs w:val="24"/>
        </w:rPr>
      </w:pPr>
      <w:r>
        <w:rPr>
          <w:rFonts w:hint="eastAsia"/>
          <w:sz w:val="24"/>
          <w:szCs w:val="24"/>
        </w:rPr>
        <w:t>净认购金额=认购金额/（1+认购费率）</w:t>
      </w:r>
    </w:p>
    <w:p w14:paraId="679E19C5">
      <w:pPr>
        <w:spacing w:line="360" w:lineRule="auto"/>
        <w:ind w:firstLine="480" w:firstLineChars="200"/>
        <w:rPr>
          <w:sz w:val="24"/>
          <w:szCs w:val="24"/>
        </w:rPr>
      </w:pPr>
      <w:r>
        <w:rPr>
          <w:rFonts w:hint="eastAsia"/>
          <w:sz w:val="24"/>
          <w:szCs w:val="24"/>
        </w:rPr>
        <w:t>认购费用=认购金额－净认购金额</w:t>
      </w:r>
    </w:p>
    <w:p w14:paraId="374F7E99">
      <w:pPr>
        <w:spacing w:line="360" w:lineRule="auto"/>
        <w:ind w:firstLine="480" w:firstLineChars="200"/>
        <w:rPr>
          <w:sz w:val="24"/>
          <w:szCs w:val="24"/>
        </w:rPr>
      </w:pPr>
      <w:r>
        <w:rPr>
          <w:rFonts w:hint="eastAsia"/>
          <w:sz w:val="24"/>
          <w:szCs w:val="24"/>
        </w:rPr>
        <w:t>认购份额=（净认购金额+认购利息）/基金份额发售面值</w:t>
      </w:r>
    </w:p>
    <w:p w14:paraId="7FB879DC">
      <w:pPr>
        <w:spacing w:line="360" w:lineRule="auto"/>
        <w:ind w:firstLine="480" w:firstLineChars="200"/>
        <w:rPr>
          <w:sz w:val="24"/>
          <w:szCs w:val="24"/>
        </w:rPr>
      </w:pPr>
      <w:r>
        <w:rPr>
          <w:rFonts w:hint="eastAsia"/>
          <w:sz w:val="24"/>
          <w:szCs w:val="24"/>
        </w:rPr>
        <w:t>②当投资者选择认购A类基金份额且认购费用适用固定金额时，其认购份额的计算公式为：</w:t>
      </w:r>
    </w:p>
    <w:p w14:paraId="6327FBA9">
      <w:pPr>
        <w:spacing w:line="360" w:lineRule="auto"/>
        <w:ind w:firstLine="480" w:firstLineChars="200"/>
        <w:rPr>
          <w:sz w:val="24"/>
          <w:szCs w:val="24"/>
        </w:rPr>
      </w:pPr>
      <w:r>
        <w:rPr>
          <w:rFonts w:hint="eastAsia"/>
          <w:sz w:val="24"/>
          <w:szCs w:val="24"/>
        </w:rPr>
        <w:t>净认购金额=认购金额-固定金额</w:t>
      </w:r>
    </w:p>
    <w:p w14:paraId="0FEE5D49">
      <w:pPr>
        <w:spacing w:line="360" w:lineRule="auto"/>
        <w:ind w:firstLine="480" w:firstLineChars="200"/>
        <w:rPr>
          <w:sz w:val="24"/>
          <w:szCs w:val="24"/>
        </w:rPr>
      </w:pPr>
      <w:r>
        <w:rPr>
          <w:rFonts w:hint="eastAsia"/>
          <w:sz w:val="24"/>
          <w:szCs w:val="24"/>
        </w:rPr>
        <w:t>认购费用=固定金额</w:t>
      </w:r>
    </w:p>
    <w:p w14:paraId="467D79A8">
      <w:pPr>
        <w:spacing w:line="360" w:lineRule="auto"/>
        <w:ind w:firstLine="480" w:firstLineChars="200"/>
        <w:rPr>
          <w:sz w:val="24"/>
          <w:szCs w:val="24"/>
        </w:rPr>
      </w:pPr>
      <w:r>
        <w:rPr>
          <w:rFonts w:hint="eastAsia"/>
          <w:sz w:val="24"/>
          <w:szCs w:val="24"/>
        </w:rPr>
        <w:t>认购份额=（净认购金额+认购利息）/基金份额发售面值</w:t>
      </w:r>
    </w:p>
    <w:p w14:paraId="2B5586DA">
      <w:pPr>
        <w:spacing w:line="360" w:lineRule="auto"/>
        <w:ind w:firstLine="480" w:firstLineChars="200"/>
        <w:rPr>
          <w:sz w:val="24"/>
          <w:szCs w:val="24"/>
        </w:rPr>
      </w:pPr>
      <w:r>
        <w:rPr>
          <w:rFonts w:hint="eastAsia"/>
          <w:sz w:val="24"/>
          <w:szCs w:val="24"/>
        </w:rPr>
        <w:t>例：某投资者通过其他销售机构投资</w:t>
      </w:r>
      <w:r>
        <w:rPr>
          <w:sz w:val="24"/>
          <w:szCs w:val="24"/>
        </w:rPr>
        <w:t>100,000</w:t>
      </w:r>
      <w:r>
        <w:rPr>
          <w:rFonts w:hint="eastAsia"/>
          <w:sz w:val="24"/>
          <w:szCs w:val="24"/>
        </w:rPr>
        <w:t>元认购本基金A</w:t>
      </w:r>
      <w:r>
        <w:rPr>
          <w:sz w:val="24"/>
          <w:szCs w:val="24"/>
        </w:rPr>
        <w:t>类基金份额</w:t>
      </w:r>
      <w:r>
        <w:rPr>
          <w:rFonts w:hint="eastAsia"/>
          <w:sz w:val="24"/>
          <w:szCs w:val="24"/>
        </w:rPr>
        <w:t>，假设该笔认购按照</w:t>
      </w:r>
      <w:r>
        <w:rPr>
          <w:sz w:val="24"/>
          <w:szCs w:val="24"/>
        </w:rPr>
        <w:t>100%</w:t>
      </w:r>
      <w:r>
        <w:rPr>
          <w:rFonts w:hint="eastAsia"/>
          <w:sz w:val="24"/>
          <w:szCs w:val="24"/>
        </w:rPr>
        <w:t>比例全部予以确认，其对应认购费率为0.80</w:t>
      </w:r>
      <w:r>
        <w:rPr>
          <w:sz w:val="24"/>
          <w:szCs w:val="24"/>
        </w:rPr>
        <w:t>%</w:t>
      </w:r>
      <w:r>
        <w:rPr>
          <w:rFonts w:hint="eastAsia"/>
          <w:sz w:val="24"/>
          <w:szCs w:val="24"/>
        </w:rPr>
        <w:t>，假设该笔认购在认购期间产生的利息为</w:t>
      </w:r>
      <w:r>
        <w:rPr>
          <w:sz w:val="24"/>
          <w:szCs w:val="24"/>
        </w:rPr>
        <w:t>50</w:t>
      </w:r>
      <w:r>
        <w:rPr>
          <w:rFonts w:hint="eastAsia"/>
          <w:sz w:val="24"/>
          <w:szCs w:val="24"/>
        </w:rPr>
        <w:t>元，则其可得到的认购份额为：</w:t>
      </w:r>
    </w:p>
    <w:p w14:paraId="0B23113F">
      <w:pPr>
        <w:spacing w:line="360" w:lineRule="auto"/>
        <w:ind w:firstLine="480" w:firstLineChars="200"/>
        <w:rPr>
          <w:sz w:val="24"/>
          <w:szCs w:val="24"/>
        </w:rPr>
      </w:pPr>
      <w:r>
        <w:rPr>
          <w:rFonts w:hint="eastAsia"/>
          <w:sz w:val="24"/>
          <w:szCs w:val="24"/>
        </w:rPr>
        <w:t>净认购金额＝</w:t>
      </w:r>
      <w:r>
        <w:rPr>
          <w:sz w:val="24"/>
          <w:szCs w:val="24"/>
        </w:rPr>
        <w:t>100,000/</w:t>
      </w:r>
      <w:r>
        <w:rPr>
          <w:rFonts w:hint="eastAsia"/>
          <w:sz w:val="24"/>
          <w:szCs w:val="24"/>
        </w:rPr>
        <w:t>（</w:t>
      </w:r>
      <w:r>
        <w:rPr>
          <w:sz w:val="24"/>
          <w:szCs w:val="24"/>
        </w:rPr>
        <w:t>1+</w:t>
      </w:r>
      <w:r>
        <w:rPr>
          <w:rFonts w:hint="eastAsia"/>
          <w:sz w:val="24"/>
          <w:szCs w:val="24"/>
        </w:rPr>
        <w:t>0.80</w:t>
      </w:r>
      <w:r>
        <w:rPr>
          <w:sz w:val="24"/>
          <w:szCs w:val="24"/>
        </w:rPr>
        <w:t>%</w:t>
      </w:r>
      <w:r>
        <w:rPr>
          <w:rFonts w:hint="eastAsia"/>
          <w:sz w:val="24"/>
          <w:szCs w:val="24"/>
        </w:rPr>
        <w:t>）＝</w:t>
      </w:r>
      <w:r>
        <w:rPr>
          <w:sz w:val="24"/>
          <w:szCs w:val="24"/>
        </w:rPr>
        <w:t>9</w:t>
      </w:r>
      <w:r>
        <w:rPr>
          <w:rFonts w:hint="eastAsia"/>
          <w:sz w:val="24"/>
          <w:szCs w:val="24"/>
        </w:rPr>
        <w:t>9</w:t>
      </w:r>
      <w:r>
        <w:rPr>
          <w:sz w:val="24"/>
          <w:szCs w:val="24"/>
        </w:rPr>
        <w:t>,</w:t>
      </w:r>
      <w:r>
        <w:rPr>
          <w:rFonts w:hint="eastAsia"/>
          <w:sz w:val="24"/>
          <w:szCs w:val="24"/>
        </w:rPr>
        <w:t>206.35元</w:t>
      </w:r>
    </w:p>
    <w:p w14:paraId="5B594C44">
      <w:pPr>
        <w:spacing w:line="360" w:lineRule="auto"/>
        <w:ind w:firstLine="480" w:firstLineChars="200"/>
        <w:rPr>
          <w:sz w:val="24"/>
          <w:szCs w:val="24"/>
        </w:rPr>
      </w:pPr>
      <w:r>
        <w:rPr>
          <w:rFonts w:hint="eastAsia"/>
          <w:sz w:val="24"/>
          <w:szCs w:val="24"/>
        </w:rPr>
        <w:t>认购费用＝</w:t>
      </w:r>
      <w:r>
        <w:rPr>
          <w:sz w:val="24"/>
          <w:szCs w:val="24"/>
        </w:rPr>
        <w:t>100,000</w:t>
      </w:r>
      <w:r>
        <w:rPr>
          <w:rFonts w:hint="eastAsia"/>
          <w:sz w:val="24"/>
          <w:szCs w:val="24"/>
        </w:rPr>
        <w:t>－</w:t>
      </w:r>
      <w:r>
        <w:rPr>
          <w:sz w:val="24"/>
          <w:szCs w:val="24"/>
        </w:rPr>
        <w:t>9</w:t>
      </w:r>
      <w:r>
        <w:rPr>
          <w:rFonts w:hint="eastAsia"/>
          <w:sz w:val="24"/>
          <w:szCs w:val="24"/>
        </w:rPr>
        <w:t>9</w:t>
      </w:r>
      <w:r>
        <w:rPr>
          <w:sz w:val="24"/>
          <w:szCs w:val="24"/>
        </w:rPr>
        <w:t>,</w:t>
      </w:r>
      <w:r>
        <w:rPr>
          <w:rFonts w:hint="eastAsia"/>
          <w:sz w:val="24"/>
          <w:szCs w:val="24"/>
        </w:rPr>
        <w:t>206.35＝793.65元</w:t>
      </w:r>
    </w:p>
    <w:p w14:paraId="0BCFB741">
      <w:pPr>
        <w:spacing w:line="360" w:lineRule="auto"/>
        <w:ind w:firstLine="480" w:firstLineChars="200"/>
        <w:rPr>
          <w:sz w:val="24"/>
          <w:szCs w:val="24"/>
        </w:rPr>
      </w:pPr>
      <w:r>
        <w:rPr>
          <w:rFonts w:hint="eastAsia"/>
          <w:sz w:val="24"/>
          <w:szCs w:val="24"/>
        </w:rPr>
        <w:t>认购份额＝（</w:t>
      </w:r>
      <w:r>
        <w:rPr>
          <w:sz w:val="24"/>
          <w:szCs w:val="24"/>
        </w:rPr>
        <w:t>9</w:t>
      </w:r>
      <w:r>
        <w:rPr>
          <w:rFonts w:hint="eastAsia"/>
          <w:sz w:val="24"/>
          <w:szCs w:val="24"/>
        </w:rPr>
        <w:t>9</w:t>
      </w:r>
      <w:r>
        <w:rPr>
          <w:sz w:val="24"/>
          <w:szCs w:val="24"/>
        </w:rPr>
        <w:t>,</w:t>
      </w:r>
      <w:r>
        <w:rPr>
          <w:rFonts w:hint="eastAsia"/>
          <w:sz w:val="24"/>
          <w:szCs w:val="24"/>
        </w:rPr>
        <w:t>206.35＋</w:t>
      </w:r>
      <w:r>
        <w:rPr>
          <w:sz w:val="24"/>
          <w:szCs w:val="24"/>
        </w:rPr>
        <w:t>50</w:t>
      </w:r>
      <w:r>
        <w:rPr>
          <w:rFonts w:hint="eastAsia"/>
          <w:sz w:val="24"/>
          <w:szCs w:val="24"/>
        </w:rPr>
        <w:t>）</w:t>
      </w:r>
      <w:r>
        <w:rPr>
          <w:sz w:val="24"/>
          <w:szCs w:val="24"/>
        </w:rPr>
        <w:t>/1.00=</w:t>
      </w:r>
      <w:r>
        <w:rPr>
          <w:rFonts w:hint="eastAsia"/>
          <w:sz w:val="24"/>
          <w:szCs w:val="24"/>
        </w:rPr>
        <w:t>99,256.35份</w:t>
      </w:r>
    </w:p>
    <w:p w14:paraId="3AB5F754">
      <w:pPr>
        <w:spacing w:line="360" w:lineRule="auto"/>
        <w:ind w:firstLine="480" w:firstLineChars="200"/>
        <w:rPr>
          <w:sz w:val="24"/>
          <w:szCs w:val="24"/>
        </w:rPr>
      </w:pPr>
      <w:r>
        <w:rPr>
          <w:rFonts w:hint="eastAsia"/>
          <w:sz w:val="24"/>
          <w:szCs w:val="24"/>
        </w:rPr>
        <w:t>即：投资者通过其他销售机构投资</w:t>
      </w:r>
      <w:r>
        <w:rPr>
          <w:sz w:val="24"/>
          <w:szCs w:val="24"/>
        </w:rPr>
        <w:t>100,000</w:t>
      </w:r>
      <w:r>
        <w:rPr>
          <w:rFonts w:hint="eastAsia"/>
          <w:sz w:val="24"/>
          <w:szCs w:val="24"/>
        </w:rPr>
        <w:t>元认购本基金A类</w:t>
      </w:r>
      <w:r>
        <w:rPr>
          <w:sz w:val="24"/>
          <w:szCs w:val="24"/>
        </w:rPr>
        <w:t>基金份额</w:t>
      </w:r>
      <w:r>
        <w:rPr>
          <w:rFonts w:hint="eastAsia"/>
          <w:sz w:val="24"/>
          <w:szCs w:val="24"/>
        </w:rPr>
        <w:t>，假设该笔认购按照</w:t>
      </w:r>
      <w:r>
        <w:rPr>
          <w:sz w:val="24"/>
          <w:szCs w:val="24"/>
        </w:rPr>
        <w:t>100%</w:t>
      </w:r>
      <w:r>
        <w:rPr>
          <w:rFonts w:hint="eastAsia"/>
          <w:sz w:val="24"/>
          <w:szCs w:val="24"/>
        </w:rPr>
        <w:t>比例全部予以确认，对应认购费率为0.80</w:t>
      </w:r>
      <w:r>
        <w:rPr>
          <w:sz w:val="24"/>
          <w:szCs w:val="24"/>
        </w:rPr>
        <w:t>%</w:t>
      </w:r>
      <w:r>
        <w:rPr>
          <w:rFonts w:hint="eastAsia"/>
          <w:sz w:val="24"/>
          <w:szCs w:val="24"/>
        </w:rPr>
        <w:t>，假设该笔认购在认购期间产生的利息为</w:t>
      </w:r>
      <w:r>
        <w:rPr>
          <w:sz w:val="24"/>
          <w:szCs w:val="24"/>
        </w:rPr>
        <w:t>50</w:t>
      </w:r>
      <w:r>
        <w:rPr>
          <w:rFonts w:hint="eastAsia"/>
          <w:sz w:val="24"/>
          <w:szCs w:val="24"/>
        </w:rPr>
        <w:t>元，可得到99,256.35份A类基金份额。</w:t>
      </w:r>
    </w:p>
    <w:p w14:paraId="3838E111">
      <w:pPr>
        <w:spacing w:line="360" w:lineRule="auto"/>
        <w:ind w:firstLine="480" w:firstLineChars="200"/>
        <w:rPr>
          <w:sz w:val="24"/>
          <w:szCs w:val="24"/>
        </w:rPr>
      </w:pPr>
      <w:r>
        <w:rPr>
          <w:rFonts w:hint="eastAsia"/>
          <w:sz w:val="24"/>
          <w:szCs w:val="24"/>
        </w:rPr>
        <w:t>3）当投资者选择认购C类基金份额时，其认购份额的计算公式为：</w:t>
      </w:r>
    </w:p>
    <w:p w14:paraId="791F1586">
      <w:pPr>
        <w:spacing w:line="360" w:lineRule="auto"/>
        <w:ind w:firstLine="480" w:firstLineChars="200"/>
        <w:rPr>
          <w:sz w:val="24"/>
          <w:szCs w:val="24"/>
        </w:rPr>
      </w:pPr>
      <w:r>
        <w:rPr>
          <w:rFonts w:hint="eastAsia"/>
          <w:sz w:val="24"/>
          <w:szCs w:val="24"/>
        </w:rPr>
        <w:t>认购份额＝（认购金额＋认购利息）/基金份额发售面值</w:t>
      </w:r>
    </w:p>
    <w:p w14:paraId="71DE2CA0">
      <w:pPr>
        <w:spacing w:line="360" w:lineRule="auto"/>
        <w:ind w:firstLine="480" w:firstLineChars="200"/>
        <w:rPr>
          <w:sz w:val="24"/>
          <w:szCs w:val="24"/>
        </w:rPr>
      </w:pPr>
      <w:r>
        <w:rPr>
          <w:rFonts w:hint="eastAsia"/>
          <w:sz w:val="24"/>
          <w:szCs w:val="24"/>
        </w:rPr>
        <w:t>例</w:t>
      </w:r>
      <w:r>
        <w:rPr>
          <w:sz w:val="24"/>
          <w:szCs w:val="24"/>
        </w:rPr>
        <w:t>：</w:t>
      </w:r>
      <w:r>
        <w:rPr>
          <w:rFonts w:hint="eastAsia"/>
          <w:sz w:val="24"/>
          <w:szCs w:val="24"/>
        </w:rPr>
        <w:t>某投资者投资100,000元认购本基金C类基金份额，假设该笔认购按照100%比例全部予以确认，假设该笔认购在认购期间产生的利息为50元，则其可得到的认购份额为：</w:t>
      </w:r>
    </w:p>
    <w:p w14:paraId="7362F187">
      <w:pPr>
        <w:spacing w:line="360" w:lineRule="auto"/>
        <w:ind w:firstLine="480" w:firstLineChars="200"/>
        <w:rPr>
          <w:sz w:val="24"/>
          <w:szCs w:val="24"/>
        </w:rPr>
      </w:pPr>
      <w:r>
        <w:rPr>
          <w:rFonts w:hint="eastAsia"/>
          <w:sz w:val="24"/>
          <w:szCs w:val="24"/>
        </w:rPr>
        <w:t>认购份额＝（100,000＋50）/1.00=100,050.00份</w:t>
      </w:r>
    </w:p>
    <w:p w14:paraId="35D8CE8A">
      <w:pPr>
        <w:spacing w:line="360" w:lineRule="auto"/>
        <w:ind w:firstLine="480" w:firstLineChars="200"/>
        <w:rPr>
          <w:sz w:val="24"/>
          <w:szCs w:val="24"/>
        </w:rPr>
      </w:pPr>
      <w:r>
        <w:rPr>
          <w:rFonts w:hint="eastAsia"/>
          <w:sz w:val="24"/>
          <w:szCs w:val="24"/>
        </w:rPr>
        <w:t>即：投资者投资100,000元认购本基金C类基金份额，假设该笔认购按照100%比例全部予以确认，假设该笔认购在认购期间产生的利息为50元，则其可得到100,050.00份</w:t>
      </w:r>
      <w:r>
        <w:rPr>
          <w:sz w:val="24"/>
          <w:szCs w:val="24"/>
        </w:rPr>
        <w:t>C类基金份额</w:t>
      </w:r>
      <w:r>
        <w:rPr>
          <w:rFonts w:hint="eastAsia"/>
          <w:sz w:val="24"/>
          <w:szCs w:val="24"/>
        </w:rPr>
        <w:t>。</w:t>
      </w:r>
    </w:p>
    <w:p w14:paraId="59785FC5">
      <w:pPr>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认购份额的计算中，涉及基金份额的计算结果均保留到小数点后两位，小数点两位以后的部分四舍五入，涉及金额的计算结果均按四舍五入方法，保留到小数点后两位，由此误差产生的收益或损失由基金财产承担。</w:t>
      </w:r>
    </w:p>
    <w:p w14:paraId="79FEE806">
      <w:pPr>
        <w:spacing w:line="360" w:lineRule="auto"/>
        <w:ind w:firstLine="480" w:firstLineChars="200"/>
        <w:rPr>
          <w:sz w:val="24"/>
          <w:szCs w:val="24"/>
        </w:rPr>
      </w:pPr>
      <w:r>
        <w:rPr>
          <w:rFonts w:hint="eastAsia"/>
          <w:sz w:val="24"/>
          <w:szCs w:val="24"/>
        </w:rPr>
        <w:t>十、投资人对本基金的认购</w:t>
      </w:r>
    </w:p>
    <w:p w14:paraId="431817C1">
      <w:pPr>
        <w:spacing w:line="360" w:lineRule="auto"/>
        <w:ind w:firstLine="480" w:firstLineChars="200"/>
        <w:rPr>
          <w:sz w:val="24"/>
          <w:szCs w:val="24"/>
        </w:rPr>
      </w:pPr>
      <w:r>
        <w:rPr>
          <w:sz w:val="24"/>
          <w:szCs w:val="24"/>
        </w:rPr>
        <w:t>1</w:t>
      </w:r>
      <w:r>
        <w:rPr>
          <w:rFonts w:hint="eastAsia"/>
          <w:sz w:val="24"/>
          <w:szCs w:val="24"/>
        </w:rPr>
        <w:t>、认购时间安排</w:t>
      </w:r>
    </w:p>
    <w:p w14:paraId="0E541E68">
      <w:pPr>
        <w:spacing w:line="360" w:lineRule="auto"/>
        <w:ind w:firstLine="480" w:firstLineChars="200"/>
        <w:rPr>
          <w:sz w:val="24"/>
          <w:szCs w:val="24"/>
        </w:rPr>
      </w:pPr>
      <w:r>
        <w:rPr>
          <w:rFonts w:hint="eastAsia"/>
          <w:sz w:val="24"/>
          <w:szCs w:val="24"/>
        </w:rPr>
        <w:t>投资人认购本基金的具体业务办理时间见基金份额发售公告。</w:t>
      </w:r>
    </w:p>
    <w:p w14:paraId="4C1F46B6">
      <w:pPr>
        <w:spacing w:line="360" w:lineRule="auto"/>
        <w:ind w:firstLine="480" w:firstLineChars="200"/>
        <w:rPr>
          <w:sz w:val="24"/>
          <w:szCs w:val="24"/>
        </w:rPr>
      </w:pPr>
      <w:r>
        <w:rPr>
          <w:sz w:val="24"/>
          <w:szCs w:val="24"/>
        </w:rPr>
        <w:t>2</w:t>
      </w:r>
      <w:r>
        <w:rPr>
          <w:rFonts w:hint="eastAsia"/>
          <w:sz w:val="24"/>
          <w:szCs w:val="24"/>
        </w:rPr>
        <w:t>、投资人认购本基金应提交的文件和办理的手续</w:t>
      </w:r>
    </w:p>
    <w:p w14:paraId="66E8802B">
      <w:pPr>
        <w:spacing w:line="360" w:lineRule="auto"/>
        <w:ind w:firstLine="480" w:firstLineChars="200"/>
        <w:rPr>
          <w:sz w:val="24"/>
          <w:szCs w:val="24"/>
        </w:rPr>
      </w:pPr>
      <w:r>
        <w:rPr>
          <w:rFonts w:hint="eastAsia"/>
          <w:sz w:val="24"/>
          <w:szCs w:val="24"/>
        </w:rPr>
        <w:t>投资人认购本基金应提交的文件和办理的手续见基金份额发售公告。</w:t>
      </w:r>
    </w:p>
    <w:p w14:paraId="0089D97A">
      <w:pPr>
        <w:spacing w:line="360" w:lineRule="auto"/>
        <w:ind w:firstLine="480" w:firstLineChars="200"/>
        <w:rPr>
          <w:sz w:val="24"/>
          <w:szCs w:val="24"/>
        </w:rPr>
      </w:pPr>
      <w:r>
        <w:rPr>
          <w:sz w:val="24"/>
          <w:szCs w:val="24"/>
        </w:rPr>
        <w:t>3</w:t>
      </w:r>
      <w:r>
        <w:rPr>
          <w:rFonts w:hint="eastAsia"/>
          <w:sz w:val="24"/>
          <w:szCs w:val="24"/>
        </w:rPr>
        <w:t>、认购的方式及确认</w:t>
      </w:r>
    </w:p>
    <w:p w14:paraId="4368C75B">
      <w:pPr>
        <w:spacing w:line="360" w:lineRule="auto"/>
        <w:ind w:firstLine="480" w:firstLineChars="200"/>
        <w:rPr>
          <w:sz w:val="24"/>
          <w:szCs w:val="24"/>
        </w:rPr>
      </w:pPr>
      <w:r>
        <w:rPr>
          <w:rFonts w:hint="eastAsia"/>
          <w:sz w:val="24"/>
          <w:szCs w:val="24"/>
        </w:rPr>
        <w:t>投资人认购时，需按销售机构规定的方式全额缴款。</w:t>
      </w:r>
    </w:p>
    <w:p w14:paraId="25B4C414">
      <w:pPr>
        <w:spacing w:line="360" w:lineRule="auto"/>
        <w:ind w:firstLine="480" w:firstLineChars="200"/>
        <w:rPr>
          <w:sz w:val="24"/>
          <w:szCs w:val="24"/>
        </w:rPr>
      </w:pPr>
      <w:r>
        <w:rPr>
          <w:rFonts w:hint="eastAsia"/>
          <w:sz w:val="24"/>
          <w:szCs w:val="24"/>
        </w:rPr>
        <w:t>投资人在募集期内可以多次认购基金份额，A类基金份额的认购费按每笔认购申请单独计算。认购申请一经受理不得撤销。</w:t>
      </w:r>
    </w:p>
    <w:p w14:paraId="22D3064A">
      <w:pPr>
        <w:spacing w:line="360" w:lineRule="auto"/>
        <w:ind w:firstLine="480" w:firstLineChars="200"/>
        <w:rPr>
          <w:sz w:val="24"/>
          <w:szCs w:val="24"/>
        </w:rPr>
      </w:pPr>
      <w:r>
        <w:rPr>
          <w:rFonts w:hint="eastAsia"/>
          <w:sz w:val="24"/>
          <w:szCs w:val="24"/>
        </w:rPr>
        <w:t>4、认购申请的确认</w:t>
      </w:r>
    </w:p>
    <w:p w14:paraId="14A50241">
      <w:pPr>
        <w:spacing w:line="360" w:lineRule="auto"/>
        <w:ind w:firstLine="480" w:firstLineChars="200"/>
        <w:rPr>
          <w:sz w:val="24"/>
          <w:szCs w:val="24"/>
        </w:rPr>
      </w:pPr>
      <w:r>
        <w:rPr>
          <w:rFonts w:hint="eastAsia"/>
          <w:sz w:val="24"/>
          <w:szCs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人自行承担。</w:t>
      </w:r>
    </w:p>
    <w:p w14:paraId="19542206">
      <w:pPr>
        <w:spacing w:line="360" w:lineRule="auto"/>
        <w:ind w:firstLine="480" w:firstLineChars="200"/>
        <w:rPr>
          <w:sz w:val="24"/>
          <w:szCs w:val="24"/>
        </w:rPr>
      </w:pPr>
      <w:r>
        <w:rPr>
          <w:rFonts w:hint="eastAsia"/>
          <w:sz w:val="24"/>
          <w:szCs w:val="24"/>
        </w:rPr>
        <w:t>投资人在</w:t>
      </w:r>
      <w:r>
        <w:rPr>
          <w:sz w:val="24"/>
          <w:szCs w:val="24"/>
        </w:rPr>
        <w:t>T</w:t>
      </w:r>
      <w:r>
        <w:rPr>
          <w:rFonts w:hint="eastAsia"/>
          <w:sz w:val="24"/>
          <w:szCs w:val="24"/>
        </w:rPr>
        <w:t>日规定时间内提交的认购申请，应于</w:t>
      </w:r>
      <w:r>
        <w:rPr>
          <w:sz w:val="24"/>
          <w:szCs w:val="24"/>
        </w:rPr>
        <w:t>T+2</w:t>
      </w:r>
      <w:r>
        <w:rPr>
          <w:rFonts w:hint="eastAsia"/>
          <w:sz w:val="24"/>
          <w:szCs w:val="24"/>
        </w:rPr>
        <w:t>日（包括该日）后及时在原申请网点或通过基金管理人的客户服务中心查询认购申请是否被成功受理。</w:t>
      </w:r>
    </w:p>
    <w:p w14:paraId="4BAA12AD">
      <w:pPr>
        <w:spacing w:line="360" w:lineRule="auto"/>
        <w:ind w:firstLine="480" w:firstLineChars="200"/>
        <w:rPr>
          <w:sz w:val="24"/>
          <w:szCs w:val="24"/>
        </w:rPr>
      </w:pPr>
      <w:r>
        <w:rPr>
          <w:rFonts w:hint="eastAsia"/>
          <w:sz w:val="24"/>
          <w:szCs w:val="24"/>
        </w:rPr>
        <w:t>投资人应于基金合同生效后及时在原申请网点或通过基金管理人的客户服务中心查询认购份额的确认情况。</w:t>
      </w:r>
    </w:p>
    <w:p w14:paraId="569B5029">
      <w:pPr>
        <w:spacing w:line="360" w:lineRule="auto"/>
        <w:ind w:firstLine="480" w:firstLineChars="200"/>
        <w:rPr>
          <w:sz w:val="24"/>
          <w:szCs w:val="24"/>
        </w:rPr>
      </w:pPr>
      <w:r>
        <w:rPr>
          <w:sz w:val="24"/>
          <w:szCs w:val="24"/>
        </w:rPr>
        <w:t>5</w:t>
      </w:r>
      <w:r>
        <w:rPr>
          <w:rFonts w:hint="eastAsia"/>
          <w:sz w:val="24"/>
          <w:szCs w:val="24"/>
        </w:rPr>
        <w:t>、认购的限额</w:t>
      </w:r>
    </w:p>
    <w:p w14:paraId="1F5F2284">
      <w:pPr>
        <w:spacing w:line="360" w:lineRule="auto"/>
        <w:ind w:firstLine="480" w:firstLineChars="200"/>
        <w:rPr>
          <w:sz w:val="24"/>
          <w:szCs w:val="24"/>
        </w:rPr>
      </w:pPr>
      <w:r>
        <w:rPr>
          <w:rFonts w:hint="eastAsia"/>
          <w:sz w:val="24"/>
          <w:szCs w:val="24"/>
        </w:rPr>
        <w:t>投资者通过其他销售机构和直销机构网上直销认购本基金，单笔最低认购金额（含认购费，如有）为1元，各销售机构对认购限额及交易级差有规定的以各销售机构的业务规则为准。通过直销机构直销柜台认购本基金，首次认购最低金额为10万元，追加认购单笔最低金额为10万元。</w:t>
      </w:r>
    </w:p>
    <w:p w14:paraId="1FBBF1D4">
      <w:pPr>
        <w:spacing w:line="360" w:lineRule="auto"/>
        <w:ind w:firstLine="480" w:firstLineChars="200"/>
        <w:rPr>
          <w:sz w:val="24"/>
          <w:szCs w:val="24"/>
        </w:rPr>
      </w:pPr>
      <w:r>
        <w:rPr>
          <w:rFonts w:hint="eastAsia"/>
          <w:sz w:val="24"/>
          <w:szCs w:val="24"/>
        </w:rPr>
        <w:t>本基金对单个基金份额持有人不设置累计认购金额和基金份额持有上限的限制。</w:t>
      </w:r>
    </w:p>
    <w:p w14:paraId="08391D9F">
      <w:pPr>
        <w:spacing w:line="360" w:lineRule="auto"/>
        <w:ind w:firstLine="480" w:firstLineChars="200"/>
        <w:rPr>
          <w:sz w:val="24"/>
          <w:szCs w:val="24"/>
        </w:rPr>
      </w:pPr>
      <w:r>
        <w:rPr>
          <w:rFonts w:hint="eastAsia"/>
          <w:sz w:val="24"/>
          <w:szCs w:val="24"/>
        </w:rPr>
        <w:t>如本基金单个投资人</w:t>
      </w:r>
      <w:r>
        <w:rPr>
          <w:rFonts w:hint="eastAsia"/>
          <w:bCs/>
          <w:sz w:val="24"/>
        </w:rPr>
        <w:t>（基金管理人、基金管理人高级管理人员或基金经理等人员作为发起资金提供方除外）</w:t>
      </w:r>
      <w:r>
        <w:rPr>
          <w:rFonts w:hint="eastAsia"/>
          <w:sz w:val="24"/>
          <w:szCs w:val="24"/>
        </w:rPr>
        <w:t>累计认购的基金份额数达到或者超过基金总份额的</w:t>
      </w:r>
      <w:r>
        <w:rPr>
          <w:sz w:val="24"/>
          <w:szCs w:val="24"/>
        </w:rPr>
        <w:t>50%</w:t>
      </w:r>
      <w:r>
        <w:rPr>
          <w:rFonts w:hint="eastAsia"/>
          <w:sz w:val="24"/>
          <w:szCs w:val="24"/>
        </w:rPr>
        <w:t>，基金管理人可以采取比例确认等方式对该投资人的认购申请进行限制。基金管理人接受某笔或者某些认购申请有可能导致投资者变相规避前述</w:t>
      </w:r>
      <w:r>
        <w:rPr>
          <w:sz w:val="24"/>
          <w:szCs w:val="24"/>
        </w:rPr>
        <w:t>50%</w:t>
      </w:r>
      <w:r>
        <w:rPr>
          <w:rFonts w:hint="eastAsia"/>
          <w:sz w:val="24"/>
          <w:szCs w:val="24"/>
        </w:rPr>
        <w:t>比例要求的，基金管理人有权拒绝该等全部或者部分认购申请。投资人认购的基金份额数以基金合同生效后登记机构的确认为准。</w:t>
      </w:r>
    </w:p>
    <w:p w14:paraId="12321ACE">
      <w:pPr>
        <w:spacing w:line="360" w:lineRule="auto"/>
        <w:ind w:firstLine="480" w:firstLineChars="200"/>
        <w:rPr>
          <w:sz w:val="24"/>
          <w:szCs w:val="24"/>
        </w:rPr>
      </w:pPr>
      <w:r>
        <w:rPr>
          <w:rFonts w:hint="eastAsia"/>
          <w:sz w:val="24"/>
          <w:szCs w:val="24"/>
        </w:rPr>
        <w:t>基金管理人可根据市场情况，调整认购金额等数量限制，基金管理人必须最迟在调整实施前依照《信息披露办法》的有关规定在规定媒介上刊登公告。</w:t>
      </w:r>
    </w:p>
    <w:p w14:paraId="273B1399">
      <w:pPr>
        <w:spacing w:line="360" w:lineRule="auto"/>
        <w:ind w:firstLine="480" w:firstLineChars="200"/>
        <w:rPr>
          <w:sz w:val="24"/>
          <w:szCs w:val="24"/>
        </w:rPr>
      </w:pPr>
      <w:r>
        <w:rPr>
          <w:rFonts w:hint="eastAsia"/>
          <w:sz w:val="24"/>
          <w:szCs w:val="24"/>
        </w:rPr>
        <w:t>十一、募集资金利息的处理</w:t>
      </w:r>
    </w:p>
    <w:p w14:paraId="206BA85B">
      <w:pPr>
        <w:spacing w:line="360" w:lineRule="auto"/>
        <w:ind w:firstLine="480" w:firstLineChars="200"/>
        <w:rPr>
          <w:sz w:val="24"/>
          <w:szCs w:val="24"/>
        </w:rPr>
      </w:pPr>
      <w:bookmarkStart w:id="95" w:name="OLE_LINK4"/>
      <w:r>
        <w:rPr>
          <w:rFonts w:hint="eastAsia"/>
          <w:sz w:val="24"/>
          <w:szCs w:val="24"/>
        </w:rPr>
        <w:t>有效认购款项在募集期间产生的利息将折算为相应类别的基金份额归基金份额持有人所有，其中利息转份额</w:t>
      </w:r>
      <w:r>
        <w:rPr>
          <w:rFonts w:hint="eastAsia"/>
          <w:bCs/>
          <w:sz w:val="24"/>
        </w:rPr>
        <w:t>的具体数额</w:t>
      </w:r>
      <w:r>
        <w:rPr>
          <w:rFonts w:hint="eastAsia"/>
          <w:sz w:val="24"/>
          <w:szCs w:val="24"/>
        </w:rPr>
        <w:t>以登记机构的记录为准。</w:t>
      </w:r>
    </w:p>
    <w:bookmarkEnd w:id="95"/>
    <w:p w14:paraId="5D266161">
      <w:pPr>
        <w:spacing w:line="360" w:lineRule="auto"/>
        <w:ind w:firstLine="480" w:firstLineChars="200"/>
        <w:rPr>
          <w:sz w:val="24"/>
          <w:szCs w:val="24"/>
        </w:rPr>
      </w:pPr>
      <w:r>
        <w:rPr>
          <w:rFonts w:hint="eastAsia"/>
          <w:sz w:val="24"/>
          <w:szCs w:val="24"/>
        </w:rPr>
        <w:t>十二、基金募集期间募集的资金存入专门账户，在基金募集行为结束前，任何人不得动用。</w:t>
      </w:r>
    </w:p>
    <w:p w14:paraId="2472BA87">
      <w:pPr>
        <w:pStyle w:val="2"/>
        <w:spacing w:before="0" w:after="0"/>
        <w:jc w:val="center"/>
        <w:rPr>
          <w:rFonts w:ascii="Times New Roman"/>
        </w:rPr>
      </w:pPr>
      <w:r>
        <w:rPr>
          <w:rFonts w:ascii="Times New Roman"/>
        </w:rPr>
        <w:br w:type="page"/>
      </w:r>
      <w:bookmarkStart w:id="96" w:name="_Toc428880368"/>
      <w:bookmarkStart w:id="97" w:name="_Toc48032544"/>
      <w:bookmarkStart w:id="98" w:name="_Toc216103540"/>
      <w:r>
        <w:rPr>
          <w:rFonts w:hint="eastAsia" w:ascii="Times New Roman"/>
          <w:color w:val="auto"/>
          <w:szCs w:val="24"/>
        </w:rPr>
        <w:t>第七部分</w:t>
      </w:r>
      <w:r>
        <w:rPr>
          <w:rFonts w:ascii="Times New Roman"/>
          <w:color w:val="auto"/>
          <w:szCs w:val="24"/>
        </w:rPr>
        <w:t xml:space="preserve">  </w:t>
      </w:r>
      <w:r>
        <w:rPr>
          <w:rFonts w:hint="eastAsia" w:ascii="Times New Roman"/>
          <w:color w:val="auto"/>
          <w:szCs w:val="24"/>
        </w:rPr>
        <w:t>基金合同的生效</w:t>
      </w:r>
      <w:bookmarkEnd w:id="96"/>
      <w:bookmarkEnd w:id="97"/>
      <w:bookmarkEnd w:id="98"/>
    </w:p>
    <w:p w14:paraId="606AA349">
      <w:pPr>
        <w:spacing w:line="360" w:lineRule="auto"/>
        <w:ind w:firstLine="480"/>
        <w:rPr>
          <w:sz w:val="24"/>
          <w:szCs w:val="24"/>
        </w:rPr>
      </w:pPr>
    </w:p>
    <w:p w14:paraId="760703FA">
      <w:pPr>
        <w:spacing w:line="360" w:lineRule="auto"/>
        <w:ind w:firstLine="480"/>
        <w:rPr>
          <w:sz w:val="24"/>
          <w:szCs w:val="24"/>
        </w:rPr>
      </w:pPr>
      <w:bookmarkStart w:id="99" w:name="_Hlk93053390"/>
      <w:bookmarkStart w:id="100" w:name="OLE_LINK6"/>
      <w:r>
        <w:rPr>
          <w:rFonts w:hint="eastAsia"/>
          <w:sz w:val="24"/>
          <w:szCs w:val="24"/>
        </w:rPr>
        <w:t>一、基金备案的条件</w:t>
      </w:r>
    </w:p>
    <w:p w14:paraId="06309392">
      <w:pPr>
        <w:spacing w:line="360" w:lineRule="auto"/>
        <w:ind w:firstLine="480"/>
        <w:rPr>
          <w:sz w:val="24"/>
          <w:szCs w:val="24"/>
        </w:rPr>
      </w:pPr>
      <w:r>
        <w:rPr>
          <w:rFonts w:hint="eastAsia"/>
          <w:sz w:val="24"/>
          <w:szCs w:val="24"/>
        </w:rPr>
        <w:t>本基金自基金份额发售之日起3个月内，</w:t>
      </w:r>
      <w:r>
        <w:rPr>
          <w:rFonts w:hint="eastAsia"/>
          <w:bCs/>
          <w:sz w:val="24"/>
        </w:rPr>
        <w:t>在发起资金提供方认购本基金的总金额不少于1000万元，且承诺其发起资金认购的基金份额持有期限自基金合同生效之日起不少于3年的条件下，基金募集期届满或基金管理人依据法律法规及招募说明书可以决定停止基金发售，并在10日内聘请法定验资机构验资，验资机构应在验资报告中对发起资金提供方及其持有份额进行专门说明。基金管理人</w:t>
      </w:r>
      <w:r>
        <w:rPr>
          <w:rFonts w:hint="eastAsia"/>
          <w:sz w:val="24"/>
          <w:szCs w:val="24"/>
        </w:rPr>
        <w:t>自收到验资报告之日起10日内，向中国证监会办理基金备案手续。</w:t>
      </w:r>
    </w:p>
    <w:p w14:paraId="109A045C">
      <w:pPr>
        <w:spacing w:line="360" w:lineRule="auto"/>
        <w:ind w:firstLine="480"/>
        <w:rPr>
          <w:sz w:val="24"/>
          <w:szCs w:val="24"/>
        </w:rPr>
      </w:pPr>
      <w:r>
        <w:rPr>
          <w:rFonts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FA5F95C">
      <w:pPr>
        <w:spacing w:line="360" w:lineRule="auto"/>
        <w:ind w:firstLine="480"/>
        <w:rPr>
          <w:sz w:val="24"/>
          <w:szCs w:val="24"/>
        </w:rPr>
      </w:pPr>
      <w:r>
        <w:rPr>
          <w:rFonts w:hint="eastAsia"/>
          <w:sz w:val="24"/>
          <w:szCs w:val="24"/>
        </w:rPr>
        <w:t>二、基金合同不能生效时募集资金的处理方式</w:t>
      </w:r>
    </w:p>
    <w:p w14:paraId="1D5C4A9D">
      <w:pPr>
        <w:spacing w:line="360" w:lineRule="auto"/>
        <w:ind w:firstLine="480"/>
        <w:rPr>
          <w:sz w:val="24"/>
          <w:szCs w:val="24"/>
        </w:rPr>
      </w:pPr>
      <w:r>
        <w:rPr>
          <w:rFonts w:hint="eastAsia"/>
          <w:sz w:val="24"/>
          <w:szCs w:val="24"/>
        </w:rPr>
        <w:t>如果</w:t>
      </w:r>
      <w:r>
        <w:rPr>
          <w:rFonts w:hint="eastAsia"/>
          <w:bCs/>
          <w:sz w:val="24"/>
        </w:rPr>
        <w:t>本基金</w:t>
      </w:r>
      <w:r>
        <w:rPr>
          <w:rFonts w:hint="eastAsia"/>
          <w:sz w:val="24"/>
          <w:szCs w:val="24"/>
        </w:rPr>
        <w:t>募集期限届满，未满足基金备案条件，基金管理人应当承担下列责任：</w:t>
      </w:r>
    </w:p>
    <w:p w14:paraId="78A73D2D">
      <w:pPr>
        <w:spacing w:line="360" w:lineRule="auto"/>
        <w:ind w:firstLine="480"/>
        <w:rPr>
          <w:sz w:val="24"/>
          <w:szCs w:val="24"/>
        </w:rPr>
      </w:pPr>
      <w:r>
        <w:rPr>
          <w:rFonts w:hint="eastAsia"/>
          <w:sz w:val="24"/>
          <w:szCs w:val="24"/>
        </w:rPr>
        <w:t>1、以其固有财产承担因募集行为而产生的债务和费用；</w:t>
      </w:r>
    </w:p>
    <w:p w14:paraId="42E2E6E0">
      <w:pPr>
        <w:spacing w:line="360" w:lineRule="auto"/>
        <w:ind w:firstLine="480"/>
        <w:rPr>
          <w:sz w:val="24"/>
          <w:szCs w:val="24"/>
        </w:rPr>
      </w:pPr>
      <w:r>
        <w:rPr>
          <w:rFonts w:hint="eastAsia"/>
          <w:sz w:val="24"/>
          <w:szCs w:val="24"/>
        </w:rPr>
        <w:t>2、在基金募集期限届满后30日内返还投资者已缴纳的款项，并加计银行同期活期存款利息；</w:t>
      </w:r>
    </w:p>
    <w:p w14:paraId="15BFFF36">
      <w:pPr>
        <w:spacing w:line="360" w:lineRule="auto"/>
        <w:ind w:firstLine="480"/>
        <w:rPr>
          <w:sz w:val="24"/>
          <w:szCs w:val="24"/>
        </w:rPr>
      </w:pPr>
      <w:r>
        <w:rPr>
          <w:rFonts w:hint="eastAsia"/>
          <w:sz w:val="24"/>
          <w:szCs w:val="24"/>
        </w:rPr>
        <w:t>3、如基金募集失败，基金管理人、基金托管人及销售机构不得请求报酬。基金管理人、基金托管人和销售机构为基金募集支付之一切费用应由各方各自承担。</w:t>
      </w:r>
    </w:p>
    <w:p w14:paraId="01AE7A4F">
      <w:pPr>
        <w:spacing w:line="360" w:lineRule="auto"/>
        <w:ind w:firstLine="480"/>
        <w:rPr>
          <w:sz w:val="24"/>
          <w:szCs w:val="24"/>
        </w:rPr>
      </w:pPr>
      <w:r>
        <w:rPr>
          <w:rFonts w:hint="eastAsia"/>
          <w:sz w:val="24"/>
          <w:szCs w:val="24"/>
        </w:rPr>
        <w:t>三、基金存续期内的基金份额持有人数量和资产规模</w:t>
      </w:r>
    </w:p>
    <w:p w14:paraId="1D96EB50">
      <w:pPr>
        <w:spacing w:line="360" w:lineRule="auto"/>
        <w:ind w:firstLine="480"/>
        <w:rPr>
          <w:sz w:val="24"/>
          <w:szCs w:val="24"/>
        </w:rPr>
      </w:pPr>
      <w:r>
        <w:rPr>
          <w:rFonts w:hint="eastAsia"/>
          <w:bCs/>
          <w:sz w:val="24"/>
        </w:rPr>
        <w:t>基金合同生效之日起三年后的对应日（若无对应日则顺延至下一日），若本基金资产净值低于两亿元，基金合同自动终止，且不得通过召开基金份额持有人大会的方式延续基金合同期限。若届时的法律法规或中国证监会规定发生变化，上述终止规定被取消、更改或补充，则本基金可以参照届时有效的法律法规或中国证监会规定执行。基金合同生效之日起满三年后继续存续的，基金存续期间，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14:paraId="41CE21E6">
      <w:pPr>
        <w:spacing w:line="360" w:lineRule="auto"/>
        <w:ind w:firstLine="480" w:firstLineChars="200"/>
        <w:rPr>
          <w:sz w:val="24"/>
          <w:szCs w:val="24"/>
        </w:rPr>
      </w:pPr>
      <w:r>
        <w:rPr>
          <w:rFonts w:hint="eastAsia"/>
          <w:sz w:val="24"/>
          <w:szCs w:val="24"/>
        </w:rPr>
        <w:t>法律法规或监管部门另有规定时，从其规定。</w:t>
      </w:r>
    </w:p>
    <w:bookmarkEnd w:id="99"/>
    <w:p w14:paraId="1BF74A20">
      <w:pPr>
        <w:spacing w:line="360" w:lineRule="auto"/>
        <w:ind w:firstLine="480" w:firstLineChars="200"/>
        <w:rPr>
          <w:sz w:val="24"/>
          <w:szCs w:val="24"/>
        </w:rPr>
      </w:pPr>
    </w:p>
    <w:bookmarkEnd w:id="100"/>
    <w:p w14:paraId="78E371BB">
      <w:pPr>
        <w:pStyle w:val="2"/>
        <w:spacing w:before="0" w:after="0"/>
        <w:jc w:val="center"/>
        <w:rPr>
          <w:rFonts w:ascii="Times New Roman"/>
          <w:color w:val="auto"/>
          <w:szCs w:val="24"/>
        </w:rPr>
      </w:pPr>
      <w:r>
        <w:rPr>
          <w:rFonts w:ascii="Times New Roman"/>
          <w:b w:val="0"/>
          <w:bCs/>
          <w:color w:val="auto"/>
          <w:kern w:val="44"/>
          <w:szCs w:val="24"/>
        </w:rPr>
        <w:br w:type="page"/>
      </w:r>
      <w:bookmarkStart w:id="101" w:name="_Toc10463"/>
      <w:bookmarkStart w:id="102" w:name="_Toc48649707"/>
      <w:bookmarkStart w:id="103" w:name="_Toc216103541"/>
      <w:bookmarkStart w:id="104" w:name="_Toc48032545"/>
      <w:bookmarkStart w:id="105" w:name="_Toc1270"/>
      <w:bookmarkStart w:id="106" w:name="_Toc98560352"/>
      <w:bookmarkStart w:id="107" w:name="_Toc4003"/>
      <w:bookmarkStart w:id="108" w:name="_Toc141703886"/>
      <w:bookmarkStart w:id="109" w:name="_Toc326752133"/>
      <w:bookmarkStart w:id="110" w:name="_Toc23261"/>
      <w:bookmarkStart w:id="111" w:name="_Toc79392606"/>
      <w:bookmarkStart w:id="112" w:name="_Toc11081"/>
      <w:bookmarkStart w:id="113" w:name="_Toc345339064"/>
      <w:bookmarkStart w:id="114" w:name="_Toc123102453"/>
      <w:bookmarkStart w:id="115" w:name="_Toc139991736"/>
      <w:bookmarkStart w:id="116" w:name="_Toc20733"/>
      <w:bookmarkStart w:id="117" w:name="_Toc123051452"/>
      <w:bookmarkStart w:id="118" w:name="_Toc610"/>
      <w:bookmarkStart w:id="119" w:name="_Toc7920"/>
      <w:bookmarkStart w:id="120" w:name="_Toc23822"/>
      <w:bookmarkStart w:id="121" w:name="_Toc17244"/>
      <w:bookmarkStart w:id="122" w:name="_Toc1427"/>
      <w:bookmarkStart w:id="123" w:name="_Toc123112234"/>
      <w:r>
        <w:rPr>
          <w:rFonts w:ascii="Times New Roman"/>
          <w:color w:val="auto"/>
          <w:szCs w:val="24"/>
        </w:rPr>
        <w:t>第</w:t>
      </w:r>
      <w:r>
        <w:rPr>
          <w:rFonts w:hint="eastAsia" w:ascii="Times New Roman"/>
          <w:color w:val="auto"/>
          <w:szCs w:val="24"/>
        </w:rPr>
        <w:t>八</w:t>
      </w:r>
      <w:r>
        <w:rPr>
          <w:rFonts w:ascii="Times New Roman"/>
          <w:color w:val="auto"/>
          <w:szCs w:val="24"/>
        </w:rPr>
        <w:t>部分  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88F1768">
      <w:pPr>
        <w:spacing w:line="360" w:lineRule="auto"/>
        <w:ind w:firstLine="540"/>
        <w:rPr>
          <w:bCs/>
          <w:sz w:val="24"/>
          <w:szCs w:val="24"/>
        </w:rPr>
      </w:pPr>
    </w:p>
    <w:p w14:paraId="3481D004">
      <w:pPr>
        <w:spacing w:line="360" w:lineRule="auto"/>
        <w:ind w:firstLine="480" w:firstLineChars="200"/>
        <w:rPr>
          <w:sz w:val="24"/>
          <w:szCs w:val="24"/>
        </w:rPr>
      </w:pPr>
      <w:bookmarkStart w:id="124" w:name="_Hlk93053428"/>
      <w:r>
        <w:rPr>
          <w:rFonts w:hint="eastAsia"/>
          <w:sz w:val="24"/>
          <w:szCs w:val="24"/>
        </w:rPr>
        <w:t>一</w:t>
      </w:r>
      <w:r>
        <w:rPr>
          <w:sz w:val="24"/>
          <w:szCs w:val="24"/>
        </w:rPr>
        <w:t>、申购和赎回场所</w:t>
      </w:r>
    </w:p>
    <w:p w14:paraId="7315FE1F">
      <w:pPr>
        <w:spacing w:line="360" w:lineRule="auto"/>
        <w:ind w:firstLine="480" w:firstLineChars="200"/>
        <w:rPr>
          <w:sz w:val="24"/>
          <w:szCs w:val="24"/>
        </w:rPr>
      </w:pPr>
      <w:r>
        <w:rPr>
          <w:bCs/>
          <w:sz w:val="24"/>
        </w:rPr>
        <w:t>本基金的申购与赎回将通过销售机构进行。具体的销售</w:t>
      </w:r>
      <w:r>
        <w:rPr>
          <w:rFonts w:hint="eastAsia"/>
          <w:bCs/>
          <w:sz w:val="24"/>
        </w:rPr>
        <w:t>机构</w:t>
      </w:r>
      <w:r>
        <w:rPr>
          <w:bCs/>
          <w:sz w:val="24"/>
        </w:rPr>
        <w:t>将由基金管理人在相关公告中列明。基金管理人可根据情况变更或增减销售机构</w:t>
      </w:r>
      <w:r>
        <w:rPr>
          <w:rFonts w:hint="eastAsia"/>
          <w:bCs/>
          <w:sz w:val="24"/>
        </w:rPr>
        <w:t>，</w:t>
      </w:r>
      <w:r>
        <w:rPr>
          <w:bCs/>
          <w:sz w:val="24"/>
        </w:rPr>
        <w:t>并</w:t>
      </w:r>
      <w:r>
        <w:rPr>
          <w:rFonts w:hint="eastAsia"/>
          <w:bCs/>
          <w:sz w:val="24"/>
        </w:rPr>
        <w:t>在基金管理人网站公示</w:t>
      </w:r>
      <w:r>
        <w:rPr>
          <w:bCs/>
          <w:sz w:val="24"/>
        </w:rPr>
        <w:t>。基金投资者应当</w:t>
      </w:r>
      <w:r>
        <w:rPr>
          <w:rFonts w:hint="eastAsia"/>
          <w:bCs/>
          <w:sz w:val="24"/>
        </w:rPr>
        <w:t>在销售机构办理基金销售业务的营业场所或按销售机构提供的其他方式办理基金份额的申购与赎回。</w:t>
      </w:r>
    </w:p>
    <w:p w14:paraId="2DC2CED8">
      <w:pPr>
        <w:spacing w:line="360" w:lineRule="auto"/>
        <w:ind w:firstLine="480" w:firstLineChars="200"/>
        <w:rPr>
          <w:sz w:val="24"/>
          <w:szCs w:val="24"/>
        </w:rPr>
      </w:pPr>
      <w:r>
        <w:rPr>
          <w:rFonts w:hint="eastAsia"/>
          <w:sz w:val="24"/>
          <w:szCs w:val="24"/>
        </w:rPr>
        <w:t>二</w:t>
      </w:r>
      <w:r>
        <w:rPr>
          <w:sz w:val="24"/>
          <w:szCs w:val="24"/>
        </w:rPr>
        <w:t>、申购和赎回的开放日及时间</w:t>
      </w:r>
    </w:p>
    <w:p w14:paraId="2585F762">
      <w:pPr>
        <w:spacing w:line="360" w:lineRule="auto"/>
        <w:ind w:firstLine="480" w:firstLineChars="200"/>
        <w:rPr>
          <w:sz w:val="24"/>
          <w:szCs w:val="24"/>
        </w:rPr>
      </w:pPr>
      <w:r>
        <w:rPr>
          <w:sz w:val="24"/>
          <w:szCs w:val="24"/>
        </w:rPr>
        <w:t>1</w:t>
      </w:r>
      <w:r>
        <w:rPr>
          <w:rFonts w:hint="eastAsia"/>
          <w:sz w:val="24"/>
          <w:szCs w:val="24"/>
        </w:rPr>
        <w:t>、</w:t>
      </w:r>
      <w:r>
        <w:rPr>
          <w:sz w:val="24"/>
          <w:szCs w:val="24"/>
        </w:rPr>
        <w:t>开放日及开放时间</w:t>
      </w:r>
    </w:p>
    <w:p w14:paraId="1F7025F2">
      <w:pPr>
        <w:spacing w:line="360" w:lineRule="auto"/>
        <w:ind w:firstLine="480" w:firstLineChars="200"/>
        <w:rPr>
          <w:sz w:val="24"/>
          <w:szCs w:val="24"/>
        </w:rPr>
      </w:pPr>
      <w:r>
        <w:rPr>
          <w:rFonts w:hint="eastAsia"/>
          <w:sz w:val="24"/>
          <w:szCs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基金合同的规定公告暂停申购、赎回时除外。</w:t>
      </w:r>
      <w:r>
        <w:rPr>
          <w:rFonts w:hint="eastAsia"/>
          <w:bCs/>
          <w:sz w:val="24"/>
        </w:rPr>
        <w:t>开放日的具体业务办理时间在相关公告中载明。</w:t>
      </w:r>
    </w:p>
    <w:p w14:paraId="2C6C895C">
      <w:pPr>
        <w:spacing w:line="360" w:lineRule="auto"/>
        <w:ind w:firstLine="480" w:firstLineChars="200"/>
        <w:rPr>
          <w:sz w:val="24"/>
          <w:szCs w:val="24"/>
        </w:rPr>
      </w:pPr>
      <w:r>
        <w:rPr>
          <w:rFonts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5ADE5D18">
      <w:pPr>
        <w:spacing w:line="360" w:lineRule="auto"/>
        <w:ind w:firstLine="480" w:firstLineChars="200"/>
        <w:rPr>
          <w:sz w:val="24"/>
          <w:szCs w:val="24"/>
        </w:rPr>
      </w:pPr>
      <w:r>
        <w:rPr>
          <w:sz w:val="24"/>
          <w:szCs w:val="24"/>
        </w:rPr>
        <w:t>2</w:t>
      </w:r>
      <w:r>
        <w:rPr>
          <w:rFonts w:hint="eastAsia"/>
          <w:sz w:val="24"/>
          <w:szCs w:val="24"/>
        </w:rPr>
        <w:t>、</w:t>
      </w:r>
      <w:r>
        <w:rPr>
          <w:sz w:val="24"/>
          <w:szCs w:val="24"/>
        </w:rPr>
        <w:t>申购、赎回开始日及业务办理时间</w:t>
      </w:r>
    </w:p>
    <w:p w14:paraId="1FA65749">
      <w:pPr>
        <w:spacing w:line="360" w:lineRule="auto"/>
        <w:ind w:firstLine="480" w:firstLineChars="200"/>
        <w:rPr>
          <w:sz w:val="24"/>
          <w:szCs w:val="24"/>
        </w:rPr>
      </w:pPr>
      <w:r>
        <w:rPr>
          <w:rFonts w:hint="eastAsia"/>
          <w:sz w:val="24"/>
          <w:szCs w:val="24"/>
        </w:rPr>
        <w:t>基金管理人</w:t>
      </w:r>
      <w:r>
        <w:rPr>
          <w:rFonts w:hint="eastAsia"/>
          <w:bCs/>
          <w:sz w:val="24"/>
        </w:rPr>
        <w:t>可根据实际情况依法决定本基金</w:t>
      </w:r>
      <w:r>
        <w:rPr>
          <w:rFonts w:hint="eastAsia"/>
          <w:sz w:val="24"/>
          <w:szCs w:val="24"/>
        </w:rPr>
        <w:t>开始办理申购</w:t>
      </w:r>
      <w:r>
        <w:rPr>
          <w:rFonts w:hint="eastAsia"/>
          <w:bCs/>
          <w:sz w:val="24"/>
        </w:rPr>
        <w:t>的具体日期</w:t>
      </w:r>
      <w:r>
        <w:rPr>
          <w:rFonts w:hint="eastAsia"/>
          <w:sz w:val="24"/>
          <w:szCs w:val="24"/>
        </w:rPr>
        <w:t>，具体业务办理时间在申购开始</w:t>
      </w:r>
      <w:r>
        <w:rPr>
          <w:rFonts w:hint="eastAsia"/>
          <w:bCs/>
          <w:sz w:val="24"/>
        </w:rPr>
        <w:t>公告及相关业务</w:t>
      </w:r>
      <w:r>
        <w:rPr>
          <w:rFonts w:hint="eastAsia"/>
          <w:sz w:val="24"/>
          <w:szCs w:val="24"/>
        </w:rPr>
        <w:t>公告中规定。</w:t>
      </w:r>
    </w:p>
    <w:p w14:paraId="4B6F3EC5">
      <w:pPr>
        <w:spacing w:line="360" w:lineRule="auto"/>
        <w:ind w:firstLine="480" w:firstLineChars="200"/>
        <w:rPr>
          <w:sz w:val="24"/>
          <w:szCs w:val="24"/>
        </w:rPr>
      </w:pPr>
      <w:r>
        <w:rPr>
          <w:rFonts w:hint="eastAsia"/>
          <w:sz w:val="24"/>
          <w:szCs w:val="24"/>
        </w:rPr>
        <w:t>基金管理人自基金合同生效之日起不超过3个月开始办理赎回，具体业务办理时间在赎回开始</w:t>
      </w:r>
      <w:r>
        <w:rPr>
          <w:rFonts w:hint="eastAsia"/>
          <w:bCs/>
          <w:sz w:val="24"/>
        </w:rPr>
        <w:t>公告及相关业务</w:t>
      </w:r>
      <w:r>
        <w:rPr>
          <w:rFonts w:hint="eastAsia"/>
          <w:sz w:val="24"/>
          <w:szCs w:val="24"/>
        </w:rPr>
        <w:t>公告中规定。</w:t>
      </w:r>
    </w:p>
    <w:p w14:paraId="05C7EEB3">
      <w:pPr>
        <w:spacing w:line="360" w:lineRule="auto"/>
        <w:ind w:firstLine="480" w:firstLineChars="20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621D086A">
      <w:pPr>
        <w:spacing w:line="360" w:lineRule="auto"/>
        <w:ind w:firstLine="480" w:firstLineChars="20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0ED8BDFA">
      <w:pPr>
        <w:spacing w:line="360" w:lineRule="auto"/>
        <w:ind w:firstLine="480" w:firstLineChars="200"/>
        <w:rPr>
          <w:sz w:val="24"/>
          <w:szCs w:val="24"/>
        </w:rPr>
      </w:pPr>
      <w:r>
        <w:rPr>
          <w:rFonts w:hint="eastAsia"/>
          <w:sz w:val="24"/>
          <w:szCs w:val="24"/>
        </w:rPr>
        <w:t>三</w:t>
      </w:r>
      <w:r>
        <w:rPr>
          <w:sz w:val="24"/>
          <w:szCs w:val="24"/>
        </w:rPr>
        <w:t>、申购与赎回的原则</w:t>
      </w:r>
    </w:p>
    <w:p w14:paraId="2BFCCFC7">
      <w:pPr>
        <w:spacing w:line="360" w:lineRule="auto"/>
        <w:ind w:firstLine="480" w:firstLineChars="200"/>
        <w:rPr>
          <w:sz w:val="24"/>
          <w:szCs w:val="24"/>
        </w:rPr>
      </w:pPr>
      <w:r>
        <w:rPr>
          <w:rFonts w:hint="eastAsia"/>
          <w:sz w:val="24"/>
          <w:szCs w:val="24"/>
        </w:rPr>
        <w:t>1、“未知价”原则，即申购、赎回价格以申请当日收市后计算的各类</w:t>
      </w:r>
      <w:r>
        <w:rPr>
          <w:bCs/>
          <w:sz w:val="24"/>
        </w:rPr>
        <w:t>基金份额</w:t>
      </w:r>
      <w:r>
        <w:rPr>
          <w:rFonts w:hint="eastAsia"/>
          <w:bCs/>
          <w:sz w:val="24"/>
        </w:rPr>
        <w:t>的</w:t>
      </w:r>
      <w:r>
        <w:rPr>
          <w:rFonts w:hint="eastAsia"/>
          <w:sz w:val="24"/>
          <w:szCs w:val="24"/>
        </w:rPr>
        <w:t>基金份额净值为基准进行计算；</w:t>
      </w:r>
    </w:p>
    <w:p w14:paraId="1CBBC25D">
      <w:pPr>
        <w:spacing w:line="360" w:lineRule="auto"/>
        <w:ind w:firstLine="480" w:firstLineChars="200"/>
        <w:rPr>
          <w:sz w:val="24"/>
          <w:szCs w:val="24"/>
        </w:rPr>
      </w:pPr>
      <w:r>
        <w:rPr>
          <w:rFonts w:hint="eastAsia"/>
          <w:sz w:val="24"/>
          <w:szCs w:val="24"/>
        </w:rPr>
        <w:t>2、“金额申购、份额赎回”原则，即申购以金额申请，赎回以份额申请；</w:t>
      </w:r>
    </w:p>
    <w:p w14:paraId="6A1C1EAF">
      <w:pPr>
        <w:spacing w:line="360" w:lineRule="auto"/>
        <w:ind w:firstLine="480" w:firstLineChars="200"/>
        <w:rPr>
          <w:sz w:val="24"/>
          <w:szCs w:val="24"/>
        </w:rPr>
      </w:pPr>
      <w:r>
        <w:rPr>
          <w:rFonts w:hint="eastAsia"/>
          <w:sz w:val="24"/>
          <w:szCs w:val="24"/>
        </w:rPr>
        <w:t>3、当日的申购与赎回申请可以在基金管理人规定的时间以内撤销，在当日的业务办理时间结束后不得撤销；</w:t>
      </w:r>
    </w:p>
    <w:p w14:paraId="53D2028E">
      <w:pPr>
        <w:spacing w:line="360" w:lineRule="auto"/>
        <w:ind w:firstLine="480" w:firstLineChars="200"/>
        <w:rPr>
          <w:sz w:val="24"/>
          <w:szCs w:val="24"/>
        </w:rPr>
      </w:pPr>
      <w:r>
        <w:rPr>
          <w:rFonts w:hint="eastAsia"/>
          <w:sz w:val="24"/>
          <w:szCs w:val="24"/>
        </w:rPr>
        <w:t>4、赎回遵循“先进先出”原则，即按照投资人认购、申购的先后次序进行顺序赎回；</w:t>
      </w:r>
    </w:p>
    <w:p w14:paraId="3AB8D967">
      <w:pPr>
        <w:spacing w:line="360" w:lineRule="auto"/>
        <w:ind w:firstLine="480" w:firstLineChars="200"/>
        <w:rPr>
          <w:sz w:val="24"/>
          <w:szCs w:val="24"/>
        </w:rPr>
      </w:pPr>
      <w:r>
        <w:rPr>
          <w:rFonts w:hint="eastAsia"/>
          <w:sz w:val="24"/>
          <w:szCs w:val="24"/>
        </w:rPr>
        <w:t>5、办理申购、赎回业务时，应当遵循基金份额持有人利益优先原则，确保投资者的合法权益不受损害并得到公平对待。</w:t>
      </w:r>
    </w:p>
    <w:p w14:paraId="607919C2">
      <w:pPr>
        <w:spacing w:line="360" w:lineRule="auto"/>
        <w:ind w:firstLine="480" w:firstLineChars="20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20DE2369">
      <w:pPr>
        <w:spacing w:line="360" w:lineRule="auto"/>
        <w:ind w:firstLine="480" w:firstLineChars="200"/>
        <w:rPr>
          <w:sz w:val="24"/>
          <w:szCs w:val="24"/>
        </w:rPr>
      </w:pPr>
      <w:r>
        <w:rPr>
          <w:rFonts w:hint="eastAsia"/>
          <w:sz w:val="24"/>
          <w:szCs w:val="24"/>
        </w:rPr>
        <w:t>四</w:t>
      </w:r>
      <w:r>
        <w:rPr>
          <w:sz w:val="24"/>
          <w:szCs w:val="24"/>
        </w:rPr>
        <w:t>、申购与赎回的程序</w:t>
      </w:r>
    </w:p>
    <w:p w14:paraId="05013742">
      <w:pPr>
        <w:spacing w:line="360" w:lineRule="auto"/>
        <w:ind w:firstLine="480" w:firstLineChars="200"/>
        <w:rPr>
          <w:sz w:val="24"/>
          <w:szCs w:val="24"/>
        </w:rPr>
      </w:pPr>
      <w:r>
        <w:rPr>
          <w:rFonts w:hint="eastAsia"/>
          <w:sz w:val="24"/>
          <w:szCs w:val="24"/>
        </w:rPr>
        <w:t>1、申购和赎回的申请方式</w:t>
      </w:r>
    </w:p>
    <w:p w14:paraId="1AB196BA">
      <w:pPr>
        <w:spacing w:line="360" w:lineRule="auto"/>
        <w:ind w:firstLine="480" w:firstLineChars="200"/>
        <w:rPr>
          <w:sz w:val="24"/>
          <w:szCs w:val="24"/>
        </w:rPr>
      </w:pPr>
      <w:r>
        <w:rPr>
          <w:rFonts w:hint="eastAsia"/>
          <w:sz w:val="24"/>
          <w:szCs w:val="24"/>
        </w:rPr>
        <w:t>投资人必须根据销售机构规定的程序，在开放日的具体业务办理时间内提出申购或赎回的申请。</w:t>
      </w:r>
    </w:p>
    <w:p w14:paraId="29F01671">
      <w:pPr>
        <w:spacing w:line="360" w:lineRule="auto"/>
        <w:ind w:firstLine="480" w:firstLineChars="200"/>
        <w:rPr>
          <w:sz w:val="24"/>
          <w:szCs w:val="24"/>
        </w:rPr>
      </w:pPr>
      <w:r>
        <w:rPr>
          <w:rFonts w:hint="eastAsia"/>
          <w:sz w:val="24"/>
          <w:szCs w:val="24"/>
        </w:rPr>
        <w:t>2、申购和赎回的款项支付</w:t>
      </w:r>
    </w:p>
    <w:p w14:paraId="7A99C1B7">
      <w:pPr>
        <w:spacing w:line="360" w:lineRule="auto"/>
        <w:ind w:firstLine="480" w:firstLineChars="200"/>
        <w:rPr>
          <w:sz w:val="24"/>
          <w:szCs w:val="24"/>
        </w:rPr>
      </w:pPr>
      <w:r>
        <w:rPr>
          <w:rFonts w:hint="eastAsia"/>
          <w:sz w:val="24"/>
          <w:szCs w:val="24"/>
        </w:rPr>
        <w:t>投资人申购基金份额时，必须全额交付申购款项，投资人交付申购款项，申购成立；基金份额登记机构确认基金份额时，申购生效。</w:t>
      </w:r>
    </w:p>
    <w:p w14:paraId="77A9936C">
      <w:pPr>
        <w:spacing w:line="360" w:lineRule="auto"/>
        <w:ind w:firstLine="480" w:firstLineChars="200"/>
        <w:rPr>
          <w:sz w:val="24"/>
          <w:szCs w:val="24"/>
        </w:rPr>
      </w:pPr>
      <w:r>
        <w:rPr>
          <w:rFonts w:hint="eastAsia"/>
          <w:sz w:val="24"/>
          <w:szCs w:val="24"/>
        </w:rPr>
        <w:t>基金份额持有人递交赎回申请，赎回成立；基金份额登记机构确认赎回时，赎回生效。投资者赎回申请生效后，基金管理人将在T＋7日（包括该日）内支付赎回款项。在发生巨额赎回或基金合同约定的延缓支付赎回款项的情形时，款项的支付办法参照基金合同有关条款处理。</w:t>
      </w:r>
    </w:p>
    <w:p w14:paraId="3F897F82">
      <w:pPr>
        <w:spacing w:line="360" w:lineRule="auto"/>
        <w:ind w:firstLine="480" w:firstLineChars="200"/>
        <w:rPr>
          <w:sz w:val="24"/>
          <w:szCs w:val="24"/>
        </w:rPr>
      </w:pPr>
      <w:r>
        <w:rPr>
          <w:rFonts w:hint="eastAsia"/>
          <w:sz w:val="24"/>
          <w:szCs w:val="24"/>
        </w:rPr>
        <w:t>遇证券/期货交易所或交易市场数据传输延迟、通讯系统故障、银行数据交换系统故障、国家外汇局相关规定变更、港股通交易系统或港股通资金交收规则限制或其他非基金管理人及基金托管人所能控制的因素影响业务处理流程，则赎回款项划付时间相应顺延。</w:t>
      </w:r>
    </w:p>
    <w:p w14:paraId="18ED8003">
      <w:pPr>
        <w:spacing w:line="360" w:lineRule="auto"/>
        <w:ind w:firstLine="480" w:firstLineChars="200"/>
        <w:rPr>
          <w:sz w:val="24"/>
          <w:szCs w:val="24"/>
        </w:rPr>
      </w:pPr>
      <w:r>
        <w:rPr>
          <w:rFonts w:hint="eastAsia"/>
          <w:sz w:val="24"/>
          <w:szCs w:val="24"/>
        </w:rPr>
        <w:t>3、申购和赎回申请的确认</w:t>
      </w:r>
    </w:p>
    <w:p w14:paraId="6A54A823">
      <w:pPr>
        <w:spacing w:line="360" w:lineRule="auto"/>
        <w:ind w:firstLine="480" w:firstLineChars="200"/>
        <w:rPr>
          <w:sz w:val="24"/>
          <w:szCs w:val="24"/>
        </w:rPr>
      </w:pPr>
      <w:r>
        <w:rPr>
          <w:rFonts w:hint="eastAsia"/>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w:t>
      </w:r>
      <w:r>
        <w:rPr>
          <w:sz w:val="24"/>
          <w:szCs w:val="24"/>
        </w:rPr>
        <w:t>或</w:t>
      </w:r>
      <w:r>
        <w:rPr>
          <w:rFonts w:hint="eastAsia"/>
          <w:sz w:val="24"/>
          <w:szCs w:val="24"/>
        </w:rPr>
        <w:t>无效，则申购款项退还给投资人。</w:t>
      </w:r>
    </w:p>
    <w:p w14:paraId="4CC337A2">
      <w:pPr>
        <w:spacing w:line="360" w:lineRule="auto"/>
        <w:ind w:firstLine="480" w:firstLineChars="200"/>
        <w:rPr>
          <w:sz w:val="24"/>
          <w:szCs w:val="24"/>
        </w:rPr>
      </w:pPr>
      <w:r>
        <w:rPr>
          <w:rFonts w:hint="eastAsia"/>
          <w:sz w:val="24"/>
          <w:szCs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w:t>
      </w:r>
    </w:p>
    <w:p w14:paraId="783A116C">
      <w:pPr>
        <w:spacing w:line="360" w:lineRule="auto"/>
        <w:ind w:firstLine="480" w:firstLineChars="200"/>
        <w:rPr>
          <w:sz w:val="24"/>
          <w:szCs w:val="24"/>
        </w:rPr>
      </w:pPr>
      <w:r>
        <w:rPr>
          <w:rFonts w:hint="eastAsia"/>
          <w:sz w:val="24"/>
          <w:szCs w:val="24"/>
        </w:rPr>
        <w:t>基金管理人可以在法律法规允许的范围内，对上述申购和赎回申请的确认时间进行调整，并在调整实施日前按照《信息披露办法》的有关规定在规定媒介上公告。</w:t>
      </w:r>
    </w:p>
    <w:p w14:paraId="66BB58B0">
      <w:pPr>
        <w:spacing w:line="360" w:lineRule="auto"/>
        <w:ind w:firstLine="480" w:firstLineChars="200"/>
        <w:rPr>
          <w:sz w:val="24"/>
          <w:szCs w:val="24"/>
        </w:rPr>
      </w:pPr>
      <w:r>
        <w:rPr>
          <w:rFonts w:hint="eastAsia"/>
          <w:sz w:val="24"/>
          <w:szCs w:val="24"/>
        </w:rPr>
        <w:t>五</w:t>
      </w:r>
      <w:r>
        <w:rPr>
          <w:sz w:val="24"/>
          <w:szCs w:val="24"/>
        </w:rPr>
        <w:t>、申购和赎回的数量限制</w:t>
      </w:r>
    </w:p>
    <w:p w14:paraId="3C464CE7">
      <w:pPr>
        <w:spacing w:line="360" w:lineRule="auto"/>
        <w:ind w:firstLine="480" w:firstLineChars="200"/>
        <w:rPr>
          <w:sz w:val="24"/>
          <w:szCs w:val="24"/>
        </w:rPr>
      </w:pPr>
      <w:r>
        <w:rPr>
          <w:sz w:val="24"/>
          <w:szCs w:val="24"/>
        </w:rPr>
        <w:t>1</w:t>
      </w:r>
      <w:r>
        <w:rPr>
          <w:rFonts w:hint="eastAsia"/>
          <w:sz w:val="24"/>
          <w:szCs w:val="24"/>
        </w:rPr>
        <w:t>、投资者通过其他销售机构和直销机构网上直销申购本基金，单笔最低申购金额（含申购费，如有）为</w:t>
      </w:r>
      <w:r>
        <w:rPr>
          <w:sz w:val="24"/>
          <w:szCs w:val="24"/>
        </w:rPr>
        <w:t>1</w:t>
      </w:r>
      <w:r>
        <w:rPr>
          <w:rFonts w:hint="eastAsia"/>
          <w:sz w:val="24"/>
          <w:szCs w:val="24"/>
        </w:rPr>
        <w:t>元，各销售机构对申购限额及交易级差有规定的，以各销售机构的业务规则为准。通过直销机构直销柜台申购本基金，首次申购最低金额为</w:t>
      </w:r>
      <w:r>
        <w:rPr>
          <w:sz w:val="24"/>
          <w:szCs w:val="24"/>
        </w:rPr>
        <w:t>10万</w:t>
      </w:r>
      <w:r>
        <w:rPr>
          <w:rFonts w:hint="eastAsia"/>
          <w:sz w:val="24"/>
          <w:szCs w:val="24"/>
        </w:rPr>
        <w:t>元，追加申购单笔最低金额为</w:t>
      </w:r>
      <w:r>
        <w:rPr>
          <w:sz w:val="24"/>
          <w:szCs w:val="24"/>
        </w:rPr>
        <w:t>10万</w:t>
      </w:r>
      <w:r>
        <w:rPr>
          <w:rFonts w:hint="eastAsia"/>
          <w:sz w:val="24"/>
          <w:szCs w:val="24"/>
        </w:rPr>
        <w:t>元。</w:t>
      </w:r>
    </w:p>
    <w:p w14:paraId="70010225">
      <w:pPr>
        <w:spacing w:line="360" w:lineRule="auto"/>
        <w:ind w:firstLine="480" w:firstLineChars="200"/>
        <w:rPr>
          <w:sz w:val="24"/>
          <w:szCs w:val="24"/>
        </w:rPr>
      </w:pPr>
      <w:r>
        <w:rPr>
          <w:sz w:val="24"/>
          <w:szCs w:val="24"/>
        </w:rPr>
        <w:t>2</w:t>
      </w:r>
      <w:r>
        <w:rPr>
          <w:rFonts w:hint="eastAsia"/>
          <w:sz w:val="24"/>
          <w:szCs w:val="24"/>
        </w:rPr>
        <w:t>、投资者可将其基金交易账户中持有的全部或部分基金份额赎回，单笔赎回的最低份额为</w:t>
      </w:r>
      <w:r>
        <w:rPr>
          <w:sz w:val="24"/>
          <w:szCs w:val="24"/>
        </w:rPr>
        <w:t>1</w:t>
      </w:r>
      <w:r>
        <w:rPr>
          <w:rFonts w:hint="eastAsia"/>
          <w:sz w:val="24"/>
          <w:szCs w:val="24"/>
        </w:rPr>
        <w:t>份（如账户在销售机构托管的该基金份额不足1份时，则必须一次性赎回该基金全部份额）；若某笔赎回将导致投资者在该销售机构托管的本基金份额余额不足</w:t>
      </w:r>
      <w:r>
        <w:rPr>
          <w:sz w:val="24"/>
          <w:szCs w:val="24"/>
        </w:rPr>
        <w:t>1</w:t>
      </w:r>
      <w:r>
        <w:rPr>
          <w:rFonts w:hint="eastAsia"/>
          <w:sz w:val="24"/>
          <w:szCs w:val="24"/>
        </w:rPr>
        <w:t>份时，基金管理人有权将投资者在该销售机构托管的本基金剩余份额一次性全部赎回。各销售机构对赎回份额限制有其他规定的，需同时遵守该销售机构的相关规定。</w:t>
      </w:r>
    </w:p>
    <w:p w14:paraId="71BC498A">
      <w:pPr>
        <w:spacing w:line="360" w:lineRule="auto"/>
        <w:ind w:firstLine="480" w:firstLineChars="200"/>
        <w:rPr>
          <w:sz w:val="24"/>
          <w:szCs w:val="24"/>
        </w:rPr>
      </w:pPr>
      <w:r>
        <w:rPr>
          <w:rFonts w:hint="eastAsia"/>
          <w:sz w:val="24"/>
          <w:szCs w:val="24"/>
        </w:rPr>
        <w:t>3、基金管理人可以规定单个投资人累计持有的基金份额上限，具体规定请参见基金管理人届时发布的相关公告。</w:t>
      </w:r>
    </w:p>
    <w:p w14:paraId="5F5E15F6">
      <w:pPr>
        <w:spacing w:line="360" w:lineRule="auto"/>
        <w:ind w:firstLine="480" w:firstLineChars="200"/>
        <w:rPr>
          <w:sz w:val="24"/>
          <w:szCs w:val="24"/>
        </w:rPr>
      </w:pPr>
      <w:r>
        <w:rPr>
          <w:sz w:val="24"/>
          <w:szCs w:val="24"/>
        </w:rPr>
        <w:t>4</w:t>
      </w:r>
      <w:r>
        <w:rPr>
          <w:rFonts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Cs/>
          <w:sz w:val="24"/>
          <w:szCs w:val="24"/>
        </w:rPr>
        <w:t>基金管理人基于投资运作与风险控制的需要，可采取上述措施对基金规模予以控制。具体见基金管理人相关公告</w:t>
      </w:r>
      <w:r>
        <w:rPr>
          <w:rFonts w:hint="eastAsia"/>
          <w:sz w:val="24"/>
          <w:szCs w:val="24"/>
        </w:rPr>
        <w:t>。</w:t>
      </w:r>
    </w:p>
    <w:p w14:paraId="377D6EAF">
      <w:pPr>
        <w:spacing w:line="360" w:lineRule="auto"/>
        <w:ind w:firstLine="480" w:firstLineChars="200"/>
        <w:rPr>
          <w:sz w:val="24"/>
          <w:szCs w:val="24"/>
        </w:rPr>
      </w:pPr>
      <w:r>
        <w:rPr>
          <w:rFonts w:hint="eastAsia"/>
          <w:sz w:val="24"/>
          <w:szCs w:val="24"/>
        </w:rPr>
        <w:t>5、基金管理人可在法律法规允许的情况下，调整上述规定申购金额和赎回份额等数量限制。基金管理人必须在调整实施前依照《信息披露办法》的有关规定在规定媒介上公告。</w:t>
      </w:r>
    </w:p>
    <w:bookmarkEnd w:id="124"/>
    <w:p w14:paraId="620C1420">
      <w:pPr>
        <w:spacing w:line="360" w:lineRule="auto"/>
        <w:ind w:firstLine="480" w:firstLineChars="200"/>
        <w:rPr>
          <w:sz w:val="24"/>
          <w:szCs w:val="24"/>
        </w:rPr>
      </w:pPr>
      <w:r>
        <w:rPr>
          <w:rFonts w:hint="eastAsia"/>
          <w:sz w:val="24"/>
          <w:szCs w:val="24"/>
        </w:rPr>
        <w:t>六</w:t>
      </w:r>
      <w:r>
        <w:rPr>
          <w:sz w:val="24"/>
          <w:szCs w:val="24"/>
        </w:rPr>
        <w:t>、申购和赎回的价格、费用及其用途</w:t>
      </w:r>
    </w:p>
    <w:p w14:paraId="046D06B1">
      <w:pPr>
        <w:spacing w:line="360" w:lineRule="auto"/>
        <w:ind w:firstLine="480" w:firstLineChars="200"/>
        <w:rPr>
          <w:bCs/>
          <w:sz w:val="24"/>
          <w:szCs w:val="24"/>
        </w:rPr>
      </w:pPr>
      <w:r>
        <w:rPr>
          <w:rFonts w:hint="eastAsia"/>
          <w:bCs/>
          <w:sz w:val="24"/>
          <w:szCs w:val="24"/>
        </w:rPr>
        <w:t>1、本基金各类</w:t>
      </w:r>
      <w:r>
        <w:rPr>
          <w:bCs/>
          <w:sz w:val="24"/>
        </w:rPr>
        <w:t>基金</w:t>
      </w:r>
      <w:r>
        <w:rPr>
          <w:rFonts w:hint="eastAsia"/>
          <w:bCs/>
          <w:sz w:val="24"/>
        </w:rPr>
        <w:t>份额的</w:t>
      </w:r>
      <w:r>
        <w:rPr>
          <w:rFonts w:hint="eastAsia"/>
          <w:bCs/>
          <w:sz w:val="24"/>
          <w:szCs w:val="24"/>
        </w:rPr>
        <w:t>基金份额净值的计算，均保留到小数点后4位，小数点后第5位四舍五入，由此产生的收益或损失由基金财产承担。T日的各类</w:t>
      </w:r>
      <w:r>
        <w:rPr>
          <w:bCs/>
          <w:sz w:val="24"/>
        </w:rPr>
        <w:t>基金</w:t>
      </w:r>
      <w:r>
        <w:rPr>
          <w:rFonts w:hint="eastAsia"/>
          <w:bCs/>
          <w:sz w:val="24"/>
        </w:rPr>
        <w:t>份额的</w:t>
      </w:r>
      <w:r>
        <w:rPr>
          <w:rFonts w:hint="eastAsia"/>
          <w:bCs/>
          <w:sz w:val="24"/>
          <w:szCs w:val="24"/>
        </w:rPr>
        <w:t>基金份额净值在当天收市后计算，并在T+1日内公告。遇特殊情况，经履行适当程序，可以适当延迟计算或公告。</w:t>
      </w:r>
    </w:p>
    <w:p w14:paraId="65A65977">
      <w:pPr>
        <w:spacing w:line="360" w:lineRule="auto"/>
        <w:ind w:firstLine="480" w:firstLineChars="200"/>
        <w:rPr>
          <w:sz w:val="24"/>
          <w:szCs w:val="24"/>
        </w:rPr>
      </w:pPr>
      <w:r>
        <w:rPr>
          <w:sz w:val="24"/>
          <w:szCs w:val="24"/>
        </w:rPr>
        <w:t>2</w:t>
      </w:r>
      <w:r>
        <w:rPr>
          <w:rFonts w:hint="eastAsia"/>
          <w:sz w:val="24"/>
          <w:szCs w:val="24"/>
        </w:rPr>
        <w:t>、申购费用</w:t>
      </w:r>
    </w:p>
    <w:p w14:paraId="5A41DF63">
      <w:pPr>
        <w:spacing w:line="360" w:lineRule="auto"/>
        <w:ind w:firstLine="480" w:firstLineChars="200"/>
        <w:rPr>
          <w:bCs/>
          <w:sz w:val="24"/>
        </w:rPr>
      </w:pPr>
      <w:r>
        <w:rPr>
          <w:rFonts w:hint="eastAsia"/>
          <w:bCs/>
          <w:kern w:val="0"/>
          <w:sz w:val="24"/>
          <w:szCs w:val="24"/>
          <w:lang w:bidi="en-US"/>
        </w:rPr>
        <w:t>投资者通过直销机构申购本基金A类基金份额不收取申购费用，通过直销机构以外的其他销售机构（以下简称“其他销售机构”）申购</w:t>
      </w:r>
      <w:r>
        <w:rPr>
          <w:rFonts w:hint="eastAsia"/>
          <w:bCs/>
          <w:sz w:val="24"/>
        </w:rPr>
        <w:t>本</w:t>
      </w:r>
      <w:r>
        <w:rPr>
          <w:bCs/>
          <w:sz w:val="24"/>
        </w:rPr>
        <w:t>基金A类基金份额的</w:t>
      </w:r>
      <w:r>
        <w:rPr>
          <w:rFonts w:hint="eastAsia"/>
          <w:bCs/>
          <w:sz w:val="24"/>
        </w:rPr>
        <w:t>，</w:t>
      </w:r>
      <w:r>
        <w:rPr>
          <w:bCs/>
          <w:sz w:val="24"/>
        </w:rPr>
        <w:t>申购费用由</w:t>
      </w:r>
      <w:r>
        <w:rPr>
          <w:rFonts w:hint="eastAsia"/>
          <w:bCs/>
          <w:sz w:val="24"/>
        </w:rPr>
        <w:t>申购</w:t>
      </w:r>
      <w:r>
        <w:rPr>
          <w:rFonts w:hint="eastAsia"/>
          <w:bCs/>
          <w:sz w:val="24"/>
          <w:lang w:eastAsia="zh-Hans"/>
        </w:rPr>
        <w:t>A类基金份额的</w:t>
      </w:r>
      <w:r>
        <w:rPr>
          <w:bCs/>
          <w:sz w:val="24"/>
        </w:rPr>
        <w:t>投资</w:t>
      </w:r>
      <w:r>
        <w:rPr>
          <w:rFonts w:hint="eastAsia"/>
          <w:bCs/>
          <w:sz w:val="24"/>
        </w:rPr>
        <w:t>者</w:t>
      </w:r>
      <w:r>
        <w:rPr>
          <w:bCs/>
          <w:sz w:val="24"/>
        </w:rPr>
        <w:t>承担，不列入基金财产</w:t>
      </w:r>
      <w:r>
        <w:rPr>
          <w:rFonts w:hint="eastAsia"/>
          <w:bCs/>
          <w:sz w:val="24"/>
        </w:rPr>
        <w:t>，主要用于本基金的市场推广、销售、注册登记等相关费用。本基金</w:t>
      </w:r>
      <w:r>
        <w:rPr>
          <w:bCs/>
          <w:sz w:val="24"/>
        </w:rPr>
        <w:t>C类基金份额</w:t>
      </w:r>
      <w:r>
        <w:rPr>
          <w:rFonts w:hint="eastAsia"/>
          <w:bCs/>
          <w:sz w:val="24"/>
        </w:rPr>
        <w:t>不</w:t>
      </w:r>
      <w:r>
        <w:rPr>
          <w:bCs/>
          <w:sz w:val="24"/>
        </w:rPr>
        <w:t>收取申购费用。</w:t>
      </w:r>
    </w:p>
    <w:p w14:paraId="2DAA35E5">
      <w:pPr>
        <w:spacing w:line="360" w:lineRule="auto"/>
        <w:ind w:firstLine="480" w:firstLineChars="200"/>
        <w:rPr>
          <w:sz w:val="24"/>
          <w:szCs w:val="24"/>
        </w:rPr>
      </w:pPr>
      <w:r>
        <w:rPr>
          <w:rFonts w:hint="eastAsia"/>
          <w:sz w:val="24"/>
          <w:szCs w:val="24"/>
        </w:rPr>
        <w:t>通过其他销售机构申购本基金A类基金份额的申购费用在投资者申购A类基金份额时收取。本基金对A类基金份额的申购设置级差费率，申购费用采用前端收费模式。如果投资者多次申购本基金A类基金份额，申购费适用单笔申购金额所对应的费率。</w:t>
      </w:r>
    </w:p>
    <w:p w14:paraId="4A63D350">
      <w:pPr>
        <w:spacing w:line="360" w:lineRule="auto"/>
        <w:ind w:firstLine="480" w:firstLineChars="200"/>
        <w:rPr>
          <w:sz w:val="24"/>
          <w:szCs w:val="24"/>
        </w:rPr>
      </w:pPr>
      <w:r>
        <w:rPr>
          <w:sz w:val="24"/>
          <w:szCs w:val="24"/>
        </w:rPr>
        <w:t>通过其他销售机构申购A类基金份额的</w:t>
      </w:r>
      <w:r>
        <w:rPr>
          <w:rFonts w:hint="eastAsia"/>
          <w:sz w:val="24"/>
          <w:szCs w:val="24"/>
        </w:rPr>
        <w:t>具体</w:t>
      </w:r>
      <w:r>
        <w:rPr>
          <w:sz w:val="24"/>
          <w:szCs w:val="24"/>
        </w:rPr>
        <w:t>费率</w:t>
      </w:r>
      <w:r>
        <w:rPr>
          <w:rFonts w:hint="eastAsia"/>
          <w:sz w:val="24"/>
          <w:szCs w:val="24"/>
        </w:rPr>
        <w:t>如</w:t>
      </w:r>
      <w:r>
        <w:rPr>
          <w:sz w:val="24"/>
          <w:szCs w:val="24"/>
        </w:rPr>
        <w:t>下表：</w:t>
      </w:r>
    </w:p>
    <w:tbl>
      <w:tblPr>
        <w:tblStyle w:val="25"/>
        <w:tblW w:w="6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1"/>
        <w:gridCol w:w="3118"/>
      </w:tblGrid>
      <w:tr w14:paraId="091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18B55071">
            <w:pPr>
              <w:widowControl/>
              <w:spacing w:line="360" w:lineRule="auto"/>
              <w:ind w:firstLine="200"/>
              <w:jc w:val="center"/>
              <w:rPr>
                <w:rFonts w:cs="宋体"/>
                <w:color w:val="000000"/>
                <w:kern w:val="0"/>
                <w:sz w:val="24"/>
              </w:rPr>
            </w:pPr>
            <w:r>
              <w:rPr>
                <w:rFonts w:hint="eastAsia" w:cs="宋体"/>
                <w:color w:val="000000"/>
                <w:kern w:val="0"/>
                <w:sz w:val="24"/>
              </w:rPr>
              <w:t>申购金额（</w:t>
            </w:r>
            <w:r>
              <w:rPr>
                <w:color w:val="000000"/>
                <w:kern w:val="0"/>
                <w:sz w:val="24"/>
              </w:rPr>
              <w:t>M</w:t>
            </w:r>
            <w:r>
              <w:rPr>
                <w:rFonts w:hint="eastAsia" w:cs="宋体"/>
                <w:color w:val="000000"/>
                <w:kern w:val="0"/>
                <w:sz w:val="24"/>
              </w:rPr>
              <w:t>）</w:t>
            </w:r>
          </w:p>
        </w:tc>
        <w:tc>
          <w:tcPr>
            <w:tcW w:w="3118" w:type="dxa"/>
            <w:vAlign w:val="center"/>
          </w:tcPr>
          <w:p w14:paraId="5A002775">
            <w:pPr>
              <w:widowControl/>
              <w:spacing w:line="360" w:lineRule="auto"/>
              <w:ind w:firstLine="200"/>
              <w:jc w:val="center"/>
              <w:rPr>
                <w:rFonts w:cs="宋体"/>
                <w:color w:val="000000"/>
                <w:kern w:val="0"/>
                <w:sz w:val="24"/>
              </w:rPr>
            </w:pPr>
            <w:r>
              <w:rPr>
                <w:rFonts w:hint="eastAsia" w:cs="宋体"/>
                <w:color w:val="000000"/>
                <w:kern w:val="0"/>
                <w:sz w:val="24"/>
              </w:rPr>
              <w:t>A</w:t>
            </w:r>
            <w:r>
              <w:rPr>
                <w:rFonts w:cs="宋体"/>
                <w:color w:val="000000"/>
                <w:kern w:val="0"/>
                <w:sz w:val="24"/>
              </w:rPr>
              <w:t>类基金份额的</w:t>
            </w:r>
            <w:r>
              <w:rPr>
                <w:rFonts w:hint="eastAsia" w:cs="宋体"/>
                <w:color w:val="000000"/>
                <w:kern w:val="0"/>
                <w:sz w:val="24"/>
              </w:rPr>
              <w:t>申购费率</w:t>
            </w:r>
          </w:p>
        </w:tc>
      </w:tr>
      <w:tr w14:paraId="6C19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652C06E1">
            <w:pPr>
              <w:widowControl/>
              <w:spacing w:line="360" w:lineRule="auto"/>
              <w:ind w:firstLine="200"/>
              <w:jc w:val="center"/>
              <w:rPr>
                <w:rFonts w:cs="宋体"/>
                <w:color w:val="000000"/>
                <w:kern w:val="0"/>
                <w:sz w:val="24"/>
              </w:rPr>
            </w:pPr>
            <w:r>
              <w:rPr>
                <w:rFonts w:cs="宋体"/>
                <w:color w:val="000000"/>
                <w:kern w:val="0"/>
                <w:sz w:val="24"/>
              </w:rPr>
              <w:t>M</w:t>
            </w:r>
            <w:r>
              <w:rPr>
                <w:rFonts w:hint="eastAsia" w:cs="宋体"/>
                <w:color w:val="000000"/>
                <w:kern w:val="0"/>
                <w:sz w:val="24"/>
              </w:rPr>
              <w:t>＜</w:t>
            </w:r>
            <w:r>
              <w:rPr>
                <w:rFonts w:cs="宋体"/>
                <w:color w:val="000000"/>
                <w:kern w:val="0"/>
                <w:sz w:val="24"/>
              </w:rPr>
              <w:t>100</w:t>
            </w:r>
            <w:r>
              <w:rPr>
                <w:rFonts w:hint="eastAsia" w:cs="宋体"/>
                <w:color w:val="000000"/>
                <w:kern w:val="0"/>
                <w:sz w:val="24"/>
              </w:rPr>
              <w:t>万元</w:t>
            </w:r>
          </w:p>
        </w:tc>
        <w:tc>
          <w:tcPr>
            <w:tcW w:w="3118" w:type="dxa"/>
            <w:vAlign w:val="center"/>
          </w:tcPr>
          <w:p w14:paraId="643EFD5E">
            <w:pPr>
              <w:widowControl/>
              <w:spacing w:line="360" w:lineRule="auto"/>
              <w:ind w:firstLine="200"/>
              <w:jc w:val="center"/>
              <w:rPr>
                <w:rFonts w:cs="宋体"/>
                <w:color w:val="000000"/>
                <w:kern w:val="0"/>
                <w:sz w:val="24"/>
              </w:rPr>
            </w:pPr>
            <w:r>
              <w:rPr>
                <w:rFonts w:cs="宋体"/>
                <w:color w:val="000000"/>
                <w:kern w:val="0"/>
                <w:sz w:val="24"/>
              </w:rPr>
              <w:t>0.80%</w:t>
            </w:r>
          </w:p>
        </w:tc>
      </w:tr>
      <w:tr w14:paraId="06B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3BA09F42">
            <w:pPr>
              <w:widowControl/>
              <w:spacing w:line="360" w:lineRule="auto"/>
              <w:ind w:firstLine="200"/>
              <w:jc w:val="center"/>
              <w:rPr>
                <w:rFonts w:cs="宋体"/>
                <w:color w:val="000000"/>
                <w:kern w:val="0"/>
                <w:sz w:val="24"/>
              </w:rPr>
            </w:pPr>
            <w:r>
              <w:rPr>
                <w:rFonts w:cs="宋体"/>
                <w:color w:val="000000"/>
                <w:kern w:val="0"/>
                <w:sz w:val="24"/>
              </w:rPr>
              <w:t>100</w:t>
            </w:r>
            <w:r>
              <w:rPr>
                <w:rFonts w:hint="eastAsia" w:cs="宋体"/>
                <w:color w:val="000000"/>
                <w:kern w:val="0"/>
                <w:sz w:val="24"/>
              </w:rPr>
              <w:t>万元≤</w:t>
            </w:r>
            <w:r>
              <w:rPr>
                <w:rFonts w:cs="宋体"/>
                <w:color w:val="000000"/>
                <w:kern w:val="0"/>
                <w:sz w:val="24"/>
              </w:rPr>
              <w:t>M</w:t>
            </w:r>
            <w:r>
              <w:rPr>
                <w:rFonts w:hint="eastAsia" w:cs="宋体"/>
                <w:color w:val="000000"/>
                <w:kern w:val="0"/>
                <w:sz w:val="24"/>
              </w:rPr>
              <w:t>＜</w:t>
            </w:r>
            <w:r>
              <w:rPr>
                <w:rFonts w:cs="宋体"/>
                <w:color w:val="000000"/>
                <w:kern w:val="0"/>
                <w:sz w:val="24"/>
              </w:rPr>
              <w:t>200</w:t>
            </w:r>
            <w:r>
              <w:rPr>
                <w:rFonts w:hint="eastAsia" w:cs="宋体"/>
                <w:color w:val="000000"/>
                <w:kern w:val="0"/>
                <w:sz w:val="24"/>
              </w:rPr>
              <w:t>万元</w:t>
            </w:r>
          </w:p>
        </w:tc>
        <w:tc>
          <w:tcPr>
            <w:tcW w:w="3118" w:type="dxa"/>
            <w:vAlign w:val="center"/>
          </w:tcPr>
          <w:p w14:paraId="6F8F2616">
            <w:pPr>
              <w:widowControl/>
              <w:spacing w:line="360" w:lineRule="auto"/>
              <w:ind w:firstLine="200"/>
              <w:jc w:val="center"/>
              <w:rPr>
                <w:rFonts w:cs="宋体"/>
                <w:color w:val="000000"/>
                <w:kern w:val="0"/>
                <w:sz w:val="24"/>
              </w:rPr>
            </w:pPr>
            <w:r>
              <w:rPr>
                <w:rFonts w:cs="宋体"/>
                <w:color w:val="000000"/>
                <w:kern w:val="0"/>
                <w:sz w:val="24"/>
              </w:rPr>
              <w:t>0.60%</w:t>
            </w:r>
          </w:p>
        </w:tc>
      </w:tr>
      <w:tr w14:paraId="4E14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034FE6B1">
            <w:pPr>
              <w:widowControl/>
              <w:spacing w:line="360" w:lineRule="auto"/>
              <w:ind w:firstLine="200"/>
              <w:jc w:val="center"/>
              <w:rPr>
                <w:rFonts w:cs="宋体"/>
                <w:color w:val="000000"/>
                <w:kern w:val="0"/>
                <w:sz w:val="24"/>
              </w:rPr>
            </w:pPr>
            <w:r>
              <w:rPr>
                <w:rFonts w:cs="宋体"/>
                <w:color w:val="000000"/>
                <w:kern w:val="0"/>
                <w:sz w:val="24"/>
              </w:rPr>
              <w:t>200</w:t>
            </w:r>
            <w:r>
              <w:rPr>
                <w:rFonts w:hint="eastAsia" w:cs="宋体"/>
                <w:color w:val="000000"/>
                <w:kern w:val="0"/>
                <w:sz w:val="24"/>
              </w:rPr>
              <w:t>万元≤</w:t>
            </w:r>
            <w:r>
              <w:rPr>
                <w:rFonts w:cs="宋体"/>
                <w:color w:val="000000"/>
                <w:kern w:val="0"/>
                <w:sz w:val="24"/>
              </w:rPr>
              <w:t>M</w:t>
            </w:r>
            <w:r>
              <w:rPr>
                <w:rFonts w:hint="eastAsia" w:cs="宋体"/>
                <w:color w:val="000000"/>
                <w:kern w:val="0"/>
                <w:sz w:val="24"/>
              </w:rPr>
              <w:t>＜</w:t>
            </w:r>
            <w:r>
              <w:rPr>
                <w:rFonts w:cs="宋体"/>
                <w:color w:val="000000"/>
                <w:kern w:val="0"/>
                <w:sz w:val="24"/>
              </w:rPr>
              <w:t>500</w:t>
            </w:r>
            <w:r>
              <w:rPr>
                <w:rFonts w:hint="eastAsia" w:cs="宋体"/>
                <w:color w:val="000000"/>
                <w:kern w:val="0"/>
                <w:sz w:val="24"/>
              </w:rPr>
              <w:t>万元</w:t>
            </w:r>
          </w:p>
        </w:tc>
        <w:tc>
          <w:tcPr>
            <w:tcW w:w="3118" w:type="dxa"/>
            <w:vAlign w:val="center"/>
          </w:tcPr>
          <w:p w14:paraId="7BCAD06B">
            <w:pPr>
              <w:widowControl/>
              <w:spacing w:line="360" w:lineRule="auto"/>
              <w:ind w:firstLine="200"/>
              <w:jc w:val="center"/>
              <w:rPr>
                <w:rFonts w:cs="宋体"/>
                <w:color w:val="000000"/>
                <w:kern w:val="0"/>
                <w:sz w:val="24"/>
              </w:rPr>
            </w:pPr>
            <w:r>
              <w:rPr>
                <w:rFonts w:cs="宋体"/>
                <w:color w:val="000000"/>
                <w:kern w:val="0"/>
                <w:sz w:val="24"/>
              </w:rPr>
              <w:t>0.40%</w:t>
            </w:r>
          </w:p>
        </w:tc>
      </w:tr>
      <w:tr w14:paraId="525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371" w:type="dxa"/>
            <w:vAlign w:val="center"/>
          </w:tcPr>
          <w:p w14:paraId="04DF9E31">
            <w:pPr>
              <w:widowControl/>
              <w:spacing w:line="360" w:lineRule="auto"/>
              <w:ind w:firstLine="200"/>
              <w:jc w:val="center"/>
              <w:rPr>
                <w:rFonts w:cs="宋体"/>
                <w:color w:val="000000"/>
                <w:kern w:val="0"/>
                <w:sz w:val="24"/>
              </w:rPr>
            </w:pPr>
            <w:r>
              <w:rPr>
                <w:rFonts w:cs="宋体"/>
                <w:color w:val="000000"/>
                <w:kern w:val="0"/>
                <w:sz w:val="24"/>
              </w:rPr>
              <w:t>M</w:t>
            </w:r>
            <w:r>
              <w:rPr>
                <w:rFonts w:hint="eastAsia" w:cs="宋体"/>
                <w:color w:val="000000"/>
                <w:kern w:val="0"/>
                <w:sz w:val="24"/>
              </w:rPr>
              <w:t>≥</w:t>
            </w:r>
            <w:r>
              <w:rPr>
                <w:rFonts w:cs="宋体"/>
                <w:color w:val="000000"/>
                <w:kern w:val="0"/>
                <w:sz w:val="24"/>
              </w:rPr>
              <w:t>500</w:t>
            </w:r>
            <w:r>
              <w:rPr>
                <w:rFonts w:hint="eastAsia" w:cs="宋体"/>
                <w:color w:val="000000"/>
                <w:kern w:val="0"/>
                <w:sz w:val="24"/>
              </w:rPr>
              <w:t>万元</w:t>
            </w:r>
          </w:p>
        </w:tc>
        <w:tc>
          <w:tcPr>
            <w:tcW w:w="3118" w:type="dxa"/>
            <w:vAlign w:val="center"/>
          </w:tcPr>
          <w:p w14:paraId="0865C81F">
            <w:pPr>
              <w:widowControl/>
              <w:spacing w:line="360" w:lineRule="auto"/>
              <w:ind w:firstLine="200"/>
              <w:jc w:val="center"/>
              <w:rPr>
                <w:rFonts w:cs="宋体"/>
                <w:color w:val="000000"/>
                <w:kern w:val="0"/>
                <w:sz w:val="24"/>
              </w:rPr>
            </w:pPr>
            <w:r>
              <w:rPr>
                <w:rFonts w:hint="eastAsia" w:cs="宋体"/>
                <w:color w:val="000000"/>
                <w:kern w:val="0"/>
                <w:sz w:val="24"/>
              </w:rPr>
              <w:t>单笔</w:t>
            </w:r>
            <w:r>
              <w:rPr>
                <w:rFonts w:cs="宋体"/>
                <w:color w:val="000000"/>
                <w:kern w:val="0"/>
                <w:sz w:val="24"/>
              </w:rPr>
              <w:t>1000</w:t>
            </w:r>
            <w:r>
              <w:rPr>
                <w:rFonts w:hint="eastAsia" w:cs="宋体"/>
                <w:color w:val="000000"/>
                <w:kern w:val="0"/>
                <w:sz w:val="24"/>
              </w:rPr>
              <w:t>元</w:t>
            </w:r>
          </w:p>
        </w:tc>
      </w:tr>
    </w:tbl>
    <w:p w14:paraId="0CA74816">
      <w:pPr>
        <w:spacing w:line="360" w:lineRule="auto"/>
        <w:ind w:firstLine="480" w:firstLineChars="200"/>
        <w:rPr>
          <w:sz w:val="24"/>
          <w:szCs w:val="24"/>
        </w:rPr>
      </w:pPr>
      <w:r>
        <w:rPr>
          <w:sz w:val="24"/>
          <w:szCs w:val="24"/>
        </w:rPr>
        <w:t>3</w:t>
      </w:r>
      <w:r>
        <w:rPr>
          <w:rFonts w:hint="eastAsia"/>
          <w:sz w:val="24"/>
          <w:szCs w:val="24"/>
        </w:rPr>
        <w:t>、申购份额的计算及余额的处理方式</w:t>
      </w:r>
    </w:p>
    <w:p w14:paraId="5255B6E6">
      <w:pPr>
        <w:spacing w:line="360" w:lineRule="auto"/>
        <w:ind w:firstLine="480" w:firstLineChars="200"/>
        <w:rPr>
          <w:sz w:val="24"/>
          <w:szCs w:val="24"/>
        </w:rPr>
      </w:pPr>
      <w:r>
        <w:rPr>
          <w:rFonts w:hint="eastAsia"/>
          <w:sz w:val="24"/>
          <w:szCs w:val="24"/>
        </w:rPr>
        <w:t>基金申购采用金额申购的方式。</w:t>
      </w:r>
    </w:p>
    <w:p w14:paraId="738C87DE">
      <w:pPr>
        <w:spacing w:line="360" w:lineRule="auto"/>
        <w:ind w:firstLine="480" w:firstLineChars="200"/>
        <w:rPr>
          <w:sz w:val="24"/>
          <w:szCs w:val="24"/>
        </w:rPr>
      </w:pPr>
      <w:r>
        <w:rPr>
          <w:rFonts w:hint="eastAsia"/>
          <w:sz w:val="24"/>
          <w:szCs w:val="24"/>
        </w:rPr>
        <w:t>（1）若投资者通过直销机构申购A类基金份额，不收取申购费用。申购份额的计算方法如下：</w:t>
      </w:r>
    </w:p>
    <w:p w14:paraId="7145449C">
      <w:pPr>
        <w:spacing w:line="360" w:lineRule="auto"/>
        <w:ind w:firstLine="480" w:firstLineChars="200"/>
        <w:rPr>
          <w:sz w:val="24"/>
          <w:szCs w:val="24"/>
        </w:rPr>
      </w:pPr>
      <w:r>
        <w:rPr>
          <w:rFonts w:hint="eastAsia"/>
          <w:sz w:val="24"/>
          <w:szCs w:val="24"/>
        </w:rPr>
        <w:t>申购份额＝申购金额/申购当日A类基金份额的基金份额净值</w:t>
      </w:r>
    </w:p>
    <w:p w14:paraId="09660358">
      <w:pPr>
        <w:spacing w:line="360" w:lineRule="auto"/>
        <w:ind w:firstLine="480" w:firstLineChars="200"/>
        <w:rPr>
          <w:sz w:val="24"/>
          <w:szCs w:val="24"/>
        </w:rPr>
      </w:pPr>
      <w:r>
        <w:rPr>
          <w:rFonts w:hint="eastAsia"/>
          <w:sz w:val="24"/>
          <w:szCs w:val="24"/>
        </w:rPr>
        <w:t>例：某投资者通过直销机构投资100,000元申购本基金A类基金份额，假设申购当日A类基金份额的基金份额净值为1.0500元且该笔申购按照100%比例全部予以确认，则可得到的申购份额为：</w:t>
      </w:r>
    </w:p>
    <w:p w14:paraId="299B0563">
      <w:pPr>
        <w:spacing w:line="360" w:lineRule="auto"/>
        <w:ind w:firstLine="480" w:firstLineChars="200"/>
        <w:rPr>
          <w:sz w:val="24"/>
          <w:szCs w:val="24"/>
        </w:rPr>
      </w:pPr>
      <w:r>
        <w:rPr>
          <w:rFonts w:hint="eastAsia"/>
          <w:sz w:val="24"/>
          <w:szCs w:val="24"/>
        </w:rPr>
        <w:t>申购份额＝100,000/1.0500＝95,238</w:t>
      </w:r>
      <w:r>
        <w:rPr>
          <w:sz w:val="24"/>
          <w:szCs w:val="24"/>
        </w:rPr>
        <w:t>.10</w:t>
      </w:r>
      <w:r>
        <w:rPr>
          <w:rFonts w:hint="eastAsia"/>
          <w:sz w:val="24"/>
          <w:szCs w:val="24"/>
        </w:rPr>
        <w:t>份</w:t>
      </w:r>
    </w:p>
    <w:p w14:paraId="3B2A6634">
      <w:pPr>
        <w:spacing w:line="360" w:lineRule="auto"/>
        <w:ind w:firstLine="480" w:firstLineChars="200"/>
        <w:rPr>
          <w:sz w:val="24"/>
          <w:szCs w:val="24"/>
        </w:rPr>
      </w:pPr>
      <w:r>
        <w:rPr>
          <w:rFonts w:hint="eastAsia"/>
          <w:sz w:val="24"/>
          <w:szCs w:val="24"/>
        </w:rPr>
        <w:t>即：投资者通过直销机构投资100,000元申购本基金A类基金份额，假设申购当日A类基金份额的基金份额净值为1.0500元且该笔申购按照100%比例全部予以确认，则可得到95,238</w:t>
      </w:r>
      <w:r>
        <w:rPr>
          <w:sz w:val="24"/>
          <w:szCs w:val="24"/>
        </w:rPr>
        <w:t>.10</w:t>
      </w:r>
      <w:r>
        <w:rPr>
          <w:rFonts w:hint="eastAsia"/>
          <w:sz w:val="24"/>
          <w:szCs w:val="24"/>
        </w:rPr>
        <w:t>份A类基金份额。</w:t>
      </w:r>
    </w:p>
    <w:p w14:paraId="08852573">
      <w:pPr>
        <w:spacing w:line="360" w:lineRule="auto"/>
        <w:ind w:firstLine="480" w:firstLineChars="200"/>
        <w:rPr>
          <w:sz w:val="24"/>
          <w:szCs w:val="24"/>
        </w:rPr>
      </w:pPr>
      <w:r>
        <w:rPr>
          <w:rFonts w:hint="eastAsia"/>
          <w:sz w:val="24"/>
          <w:szCs w:val="24"/>
        </w:rPr>
        <w:t>（2）若投资者通过其他销售机构申购A类基金份额，申购金额包括申购费用和净申购金额：</w:t>
      </w:r>
    </w:p>
    <w:p w14:paraId="76FA5BC1">
      <w:pPr>
        <w:spacing w:line="360" w:lineRule="auto"/>
        <w:ind w:firstLine="480" w:firstLineChars="200"/>
        <w:rPr>
          <w:sz w:val="24"/>
          <w:szCs w:val="24"/>
        </w:rPr>
      </w:pPr>
      <w:r>
        <w:rPr>
          <w:rFonts w:hint="eastAsia"/>
          <w:sz w:val="24"/>
          <w:szCs w:val="24"/>
        </w:rPr>
        <w:t>1）当投资者选择申购A类基金份额，且申购费率适用比例费率时，申购份额的计算方法如下：</w:t>
      </w:r>
    </w:p>
    <w:p w14:paraId="7D9EF70B">
      <w:pPr>
        <w:spacing w:line="360" w:lineRule="auto"/>
        <w:ind w:firstLine="480" w:firstLineChars="200"/>
        <w:rPr>
          <w:sz w:val="24"/>
          <w:szCs w:val="24"/>
        </w:rPr>
      </w:pPr>
      <w:r>
        <w:rPr>
          <w:rFonts w:hint="eastAsia"/>
          <w:sz w:val="24"/>
          <w:szCs w:val="24"/>
        </w:rPr>
        <w:t>净申购金额=申购金额/（1＋申购费率）</w:t>
      </w:r>
    </w:p>
    <w:p w14:paraId="56784B9E">
      <w:pPr>
        <w:spacing w:line="360" w:lineRule="auto"/>
        <w:ind w:firstLine="480" w:firstLineChars="200"/>
        <w:rPr>
          <w:sz w:val="24"/>
          <w:szCs w:val="24"/>
        </w:rPr>
      </w:pPr>
      <w:r>
        <w:rPr>
          <w:rFonts w:hint="eastAsia"/>
          <w:sz w:val="24"/>
          <w:szCs w:val="24"/>
        </w:rPr>
        <w:t>申购费用=申购金额-净申购金额</w:t>
      </w:r>
    </w:p>
    <w:p w14:paraId="5FF9D885">
      <w:pPr>
        <w:spacing w:line="360" w:lineRule="auto"/>
        <w:ind w:firstLine="480" w:firstLineChars="200"/>
        <w:rPr>
          <w:sz w:val="24"/>
          <w:szCs w:val="24"/>
        </w:rPr>
      </w:pPr>
      <w:r>
        <w:rPr>
          <w:rFonts w:hint="eastAsia"/>
          <w:sz w:val="24"/>
          <w:szCs w:val="24"/>
        </w:rPr>
        <w:t>申购份额=净申购金额/申购当日A类基金份额的基金份额净值</w:t>
      </w:r>
    </w:p>
    <w:p w14:paraId="0EF44448">
      <w:pPr>
        <w:spacing w:line="360" w:lineRule="auto"/>
        <w:ind w:firstLine="480" w:firstLineChars="200"/>
        <w:rPr>
          <w:sz w:val="24"/>
          <w:szCs w:val="24"/>
        </w:rPr>
      </w:pPr>
      <w:r>
        <w:rPr>
          <w:rFonts w:hint="eastAsia"/>
          <w:sz w:val="24"/>
          <w:szCs w:val="24"/>
        </w:rPr>
        <w:t>2）当投资者选择申购A类基金份额，且申购费率适用固定金额时，申购份额的计算方法如下：</w:t>
      </w:r>
    </w:p>
    <w:p w14:paraId="4BEC2917">
      <w:pPr>
        <w:spacing w:line="360" w:lineRule="auto"/>
        <w:ind w:firstLine="480" w:firstLineChars="200"/>
        <w:rPr>
          <w:sz w:val="24"/>
          <w:szCs w:val="24"/>
        </w:rPr>
      </w:pPr>
      <w:r>
        <w:rPr>
          <w:rFonts w:hint="eastAsia"/>
          <w:sz w:val="24"/>
          <w:szCs w:val="24"/>
        </w:rPr>
        <w:t>净申购金额=申购金额-固定金额</w:t>
      </w:r>
    </w:p>
    <w:p w14:paraId="3DF13444">
      <w:pPr>
        <w:spacing w:line="360" w:lineRule="auto"/>
        <w:ind w:firstLine="480" w:firstLineChars="200"/>
        <w:rPr>
          <w:sz w:val="24"/>
          <w:szCs w:val="24"/>
        </w:rPr>
      </w:pPr>
      <w:r>
        <w:rPr>
          <w:rFonts w:hint="eastAsia"/>
          <w:sz w:val="24"/>
          <w:szCs w:val="24"/>
        </w:rPr>
        <w:t>申购费用=固定金额</w:t>
      </w:r>
    </w:p>
    <w:p w14:paraId="696EF788">
      <w:pPr>
        <w:spacing w:line="360" w:lineRule="auto"/>
        <w:ind w:firstLine="480" w:firstLineChars="200"/>
        <w:rPr>
          <w:sz w:val="24"/>
          <w:szCs w:val="24"/>
        </w:rPr>
      </w:pPr>
      <w:r>
        <w:rPr>
          <w:rFonts w:hint="eastAsia"/>
          <w:sz w:val="24"/>
          <w:szCs w:val="24"/>
        </w:rPr>
        <w:t>申购份额=净申购金额/申购当日A类基金份额的基金份额净值</w:t>
      </w:r>
    </w:p>
    <w:p w14:paraId="1023EF76">
      <w:pPr>
        <w:spacing w:line="360" w:lineRule="auto"/>
        <w:ind w:firstLine="480" w:firstLineChars="200"/>
        <w:rPr>
          <w:sz w:val="24"/>
          <w:szCs w:val="24"/>
        </w:rPr>
      </w:pPr>
      <w:r>
        <w:rPr>
          <w:rFonts w:hint="eastAsia"/>
          <w:sz w:val="24"/>
          <w:szCs w:val="24"/>
        </w:rPr>
        <w:t>例：某投资者通过其他销售机构投资</w:t>
      </w:r>
      <w:r>
        <w:rPr>
          <w:sz w:val="24"/>
          <w:szCs w:val="24"/>
        </w:rPr>
        <w:t>100,000</w:t>
      </w:r>
      <w:r>
        <w:rPr>
          <w:rFonts w:hint="eastAsia"/>
          <w:sz w:val="24"/>
          <w:szCs w:val="24"/>
        </w:rPr>
        <w:t>元申购本基金A</w:t>
      </w:r>
      <w:r>
        <w:rPr>
          <w:sz w:val="24"/>
          <w:szCs w:val="24"/>
        </w:rPr>
        <w:t>类基金份额</w:t>
      </w:r>
      <w:r>
        <w:rPr>
          <w:rFonts w:hint="eastAsia"/>
          <w:sz w:val="24"/>
          <w:szCs w:val="24"/>
        </w:rPr>
        <w:t>，假设申购当日A类基金份额的基金份额净值为</w:t>
      </w:r>
      <w:r>
        <w:rPr>
          <w:sz w:val="24"/>
          <w:szCs w:val="24"/>
        </w:rPr>
        <w:t>1.0500</w:t>
      </w:r>
      <w:r>
        <w:rPr>
          <w:rFonts w:hint="eastAsia"/>
          <w:sz w:val="24"/>
          <w:szCs w:val="24"/>
        </w:rPr>
        <w:t>元且该笔申购按照</w:t>
      </w:r>
      <w:r>
        <w:rPr>
          <w:sz w:val="24"/>
          <w:szCs w:val="24"/>
        </w:rPr>
        <w:t>100%</w:t>
      </w:r>
      <w:r>
        <w:rPr>
          <w:rFonts w:hint="eastAsia"/>
          <w:sz w:val="24"/>
          <w:szCs w:val="24"/>
        </w:rPr>
        <w:t>比例全部予以确认，其对应申购费率为0.80</w:t>
      </w:r>
      <w:r>
        <w:rPr>
          <w:sz w:val="24"/>
          <w:szCs w:val="24"/>
        </w:rPr>
        <w:t>%</w:t>
      </w:r>
      <w:r>
        <w:rPr>
          <w:rFonts w:hint="eastAsia"/>
          <w:sz w:val="24"/>
          <w:szCs w:val="24"/>
        </w:rPr>
        <w:t>，则</w:t>
      </w:r>
      <w:r>
        <w:rPr>
          <w:rFonts w:hint="eastAsia"/>
          <w:sz w:val="24"/>
        </w:rPr>
        <w:t>其</w:t>
      </w:r>
      <w:r>
        <w:rPr>
          <w:rFonts w:hint="eastAsia"/>
          <w:sz w:val="24"/>
          <w:szCs w:val="24"/>
        </w:rPr>
        <w:t>可得到的申购份额为：</w:t>
      </w:r>
    </w:p>
    <w:p w14:paraId="4DA63C76">
      <w:pPr>
        <w:spacing w:line="360" w:lineRule="auto"/>
        <w:ind w:firstLine="480" w:firstLineChars="200"/>
        <w:rPr>
          <w:sz w:val="24"/>
          <w:szCs w:val="24"/>
        </w:rPr>
      </w:pPr>
      <w:r>
        <w:rPr>
          <w:rFonts w:hint="eastAsia"/>
          <w:sz w:val="24"/>
          <w:szCs w:val="24"/>
        </w:rPr>
        <w:t>净申购金额＝</w:t>
      </w:r>
      <w:r>
        <w:rPr>
          <w:sz w:val="24"/>
          <w:szCs w:val="24"/>
        </w:rPr>
        <w:t>100,000/</w:t>
      </w:r>
      <w:r>
        <w:rPr>
          <w:rFonts w:hint="eastAsia"/>
          <w:sz w:val="24"/>
          <w:szCs w:val="24"/>
        </w:rPr>
        <w:t>（</w:t>
      </w:r>
      <w:r>
        <w:rPr>
          <w:sz w:val="24"/>
          <w:szCs w:val="24"/>
        </w:rPr>
        <w:t>1+</w:t>
      </w:r>
      <w:r>
        <w:rPr>
          <w:rFonts w:hint="eastAsia"/>
          <w:sz w:val="24"/>
          <w:szCs w:val="24"/>
        </w:rPr>
        <w:t>0.80</w:t>
      </w:r>
      <w:r>
        <w:rPr>
          <w:sz w:val="24"/>
          <w:szCs w:val="24"/>
        </w:rPr>
        <w:t>%</w:t>
      </w:r>
      <w:r>
        <w:rPr>
          <w:rFonts w:hint="eastAsia"/>
          <w:sz w:val="24"/>
          <w:szCs w:val="24"/>
        </w:rPr>
        <w:t>）＝</w:t>
      </w:r>
      <w:r>
        <w:rPr>
          <w:sz w:val="24"/>
          <w:szCs w:val="24"/>
        </w:rPr>
        <w:t>9</w:t>
      </w:r>
      <w:r>
        <w:rPr>
          <w:rFonts w:hint="eastAsia"/>
          <w:sz w:val="24"/>
          <w:szCs w:val="24"/>
        </w:rPr>
        <w:t>9</w:t>
      </w:r>
      <w:r>
        <w:rPr>
          <w:sz w:val="24"/>
          <w:szCs w:val="24"/>
        </w:rPr>
        <w:t>,</w:t>
      </w:r>
      <w:r>
        <w:rPr>
          <w:rFonts w:hint="eastAsia"/>
          <w:sz w:val="24"/>
          <w:szCs w:val="24"/>
        </w:rPr>
        <w:t>206</w:t>
      </w:r>
      <w:r>
        <w:rPr>
          <w:sz w:val="24"/>
          <w:szCs w:val="24"/>
        </w:rPr>
        <w:t>.</w:t>
      </w:r>
      <w:r>
        <w:rPr>
          <w:rFonts w:hint="eastAsia"/>
          <w:sz w:val="24"/>
          <w:szCs w:val="24"/>
        </w:rPr>
        <w:t>35元</w:t>
      </w:r>
    </w:p>
    <w:p w14:paraId="7D6A565A">
      <w:pPr>
        <w:spacing w:line="360" w:lineRule="auto"/>
        <w:ind w:firstLine="480" w:firstLineChars="200"/>
        <w:rPr>
          <w:sz w:val="24"/>
          <w:szCs w:val="24"/>
        </w:rPr>
      </w:pPr>
      <w:r>
        <w:rPr>
          <w:rFonts w:hint="eastAsia"/>
          <w:sz w:val="24"/>
          <w:szCs w:val="24"/>
        </w:rPr>
        <w:t>申购费用＝</w:t>
      </w:r>
      <w:r>
        <w:rPr>
          <w:sz w:val="24"/>
          <w:szCs w:val="24"/>
        </w:rPr>
        <w:t>100,000</w:t>
      </w:r>
      <w:r>
        <w:rPr>
          <w:rFonts w:hint="eastAsia"/>
          <w:sz w:val="24"/>
          <w:szCs w:val="24"/>
        </w:rPr>
        <w:t>－</w:t>
      </w:r>
      <w:r>
        <w:rPr>
          <w:sz w:val="24"/>
          <w:szCs w:val="24"/>
        </w:rPr>
        <w:t>9</w:t>
      </w:r>
      <w:r>
        <w:rPr>
          <w:rFonts w:hint="eastAsia"/>
          <w:sz w:val="24"/>
          <w:szCs w:val="24"/>
        </w:rPr>
        <w:t>9</w:t>
      </w:r>
      <w:r>
        <w:rPr>
          <w:sz w:val="24"/>
          <w:szCs w:val="24"/>
        </w:rPr>
        <w:t>,</w:t>
      </w:r>
      <w:r>
        <w:rPr>
          <w:rFonts w:hint="eastAsia"/>
          <w:sz w:val="24"/>
          <w:szCs w:val="24"/>
        </w:rPr>
        <w:t>206</w:t>
      </w:r>
      <w:r>
        <w:rPr>
          <w:sz w:val="24"/>
          <w:szCs w:val="24"/>
        </w:rPr>
        <w:t>.</w:t>
      </w:r>
      <w:r>
        <w:rPr>
          <w:rFonts w:hint="eastAsia"/>
          <w:sz w:val="24"/>
          <w:szCs w:val="24"/>
        </w:rPr>
        <w:t>35＝793.65元</w:t>
      </w:r>
    </w:p>
    <w:p w14:paraId="737FB294">
      <w:pPr>
        <w:spacing w:line="360" w:lineRule="auto"/>
        <w:ind w:firstLine="480" w:firstLineChars="200"/>
        <w:rPr>
          <w:sz w:val="24"/>
          <w:szCs w:val="24"/>
        </w:rPr>
      </w:pPr>
      <w:r>
        <w:rPr>
          <w:rFonts w:hint="eastAsia"/>
          <w:sz w:val="24"/>
          <w:szCs w:val="24"/>
        </w:rPr>
        <w:t>申购份额＝</w:t>
      </w:r>
      <w:r>
        <w:rPr>
          <w:sz w:val="24"/>
          <w:szCs w:val="24"/>
        </w:rPr>
        <w:t>9</w:t>
      </w:r>
      <w:r>
        <w:rPr>
          <w:rFonts w:hint="eastAsia"/>
          <w:sz w:val="24"/>
          <w:szCs w:val="24"/>
        </w:rPr>
        <w:t>9</w:t>
      </w:r>
      <w:r>
        <w:rPr>
          <w:sz w:val="24"/>
          <w:szCs w:val="24"/>
        </w:rPr>
        <w:t>,</w:t>
      </w:r>
      <w:r>
        <w:rPr>
          <w:rFonts w:hint="eastAsia"/>
          <w:sz w:val="24"/>
          <w:szCs w:val="24"/>
        </w:rPr>
        <w:t>206</w:t>
      </w:r>
      <w:r>
        <w:rPr>
          <w:sz w:val="24"/>
          <w:szCs w:val="24"/>
        </w:rPr>
        <w:t>.</w:t>
      </w:r>
      <w:r>
        <w:rPr>
          <w:rFonts w:hint="eastAsia"/>
          <w:sz w:val="24"/>
          <w:szCs w:val="24"/>
        </w:rPr>
        <w:t>35</w:t>
      </w:r>
      <w:r>
        <w:rPr>
          <w:sz w:val="24"/>
          <w:szCs w:val="24"/>
        </w:rPr>
        <w:t>/1.0500</w:t>
      </w:r>
      <w:r>
        <w:rPr>
          <w:rFonts w:hint="eastAsia"/>
          <w:sz w:val="24"/>
          <w:szCs w:val="24"/>
        </w:rPr>
        <w:t>＝</w:t>
      </w:r>
      <w:r>
        <w:rPr>
          <w:sz w:val="24"/>
          <w:szCs w:val="24"/>
        </w:rPr>
        <w:t>9</w:t>
      </w:r>
      <w:r>
        <w:rPr>
          <w:rFonts w:hint="eastAsia"/>
          <w:sz w:val="24"/>
          <w:szCs w:val="24"/>
        </w:rPr>
        <w:t>4</w:t>
      </w:r>
      <w:r>
        <w:rPr>
          <w:sz w:val="24"/>
          <w:szCs w:val="24"/>
        </w:rPr>
        <w:t>,</w:t>
      </w:r>
      <w:r>
        <w:rPr>
          <w:rFonts w:hint="eastAsia"/>
          <w:sz w:val="24"/>
          <w:szCs w:val="24"/>
        </w:rPr>
        <w:t>482.24份</w:t>
      </w:r>
    </w:p>
    <w:p w14:paraId="04F2C996">
      <w:pPr>
        <w:spacing w:line="360" w:lineRule="auto"/>
        <w:ind w:firstLine="480" w:firstLineChars="200"/>
        <w:rPr>
          <w:sz w:val="24"/>
          <w:szCs w:val="24"/>
        </w:rPr>
      </w:pPr>
      <w:r>
        <w:rPr>
          <w:rFonts w:hint="eastAsia"/>
          <w:sz w:val="24"/>
          <w:szCs w:val="24"/>
        </w:rPr>
        <w:t>即：投资者通过其他销售机构投资</w:t>
      </w:r>
      <w:r>
        <w:rPr>
          <w:sz w:val="24"/>
          <w:szCs w:val="24"/>
        </w:rPr>
        <w:t>100,000</w:t>
      </w:r>
      <w:r>
        <w:rPr>
          <w:rFonts w:hint="eastAsia"/>
          <w:sz w:val="24"/>
          <w:szCs w:val="24"/>
        </w:rPr>
        <w:t>元申购本基金A</w:t>
      </w:r>
      <w:r>
        <w:rPr>
          <w:sz w:val="24"/>
          <w:szCs w:val="24"/>
        </w:rPr>
        <w:t>类基金份额</w:t>
      </w:r>
      <w:r>
        <w:rPr>
          <w:rFonts w:hint="eastAsia"/>
          <w:sz w:val="24"/>
          <w:szCs w:val="24"/>
        </w:rPr>
        <w:t>，对应申购费率为0.80</w:t>
      </w:r>
      <w:r>
        <w:rPr>
          <w:sz w:val="24"/>
          <w:szCs w:val="24"/>
        </w:rPr>
        <w:t>%</w:t>
      </w:r>
      <w:r>
        <w:rPr>
          <w:rFonts w:hint="eastAsia"/>
          <w:sz w:val="24"/>
          <w:szCs w:val="24"/>
        </w:rPr>
        <w:t>，假设申购当日A类基金份额的基金份额净值为</w:t>
      </w:r>
      <w:r>
        <w:rPr>
          <w:sz w:val="24"/>
          <w:szCs w:val="24"/>
        </w:rPr>
        <w:t>1.0500</w:t>
      </w:r>
      <w:r>
        <w:rPr>
          <w:rFonts w:hint="eastAsia"/>
          <w:sz w:val="24"/>
          <w:szCs w:val="24"/>
        </w:rPr>
        <w:t>元且该笔申购按照</w:t>
      </w:r>
      <w:r>
        <w:rPr>
          <w:sz w:val="24"/>
          <w:szCs w:val="24"/>
        </w:rPr>
        <w:t>100%</w:t>
      </w:r>
      <w:r>
        <w:rPr>
          <w:rFonts w:hint="eastAsia"/>
          <w:sz w:val="24"/>
          <w:szCs w:val="24"/>
        </w:rPr>
        <w:t>比例全部予以确认，则可得到</w:t>
      </w:r>
      <w:r>
        <w:rPr>
          <w:sz w:val="24"/>
          <w:szCs w:val="24"/>
        </w:rPr>
        <w:t>9</w:t>
      </w:r>
      <w:r>
        <w:rPr>
          <w:rFonts w:hint="eastAsia"/>
          <w:sz w:val="24"/>
          <w:szCs w:val="24"/>
        </w:rPr>
        <w:t>4</w:t>
      </w:r>
      <w:r>
        <w:rPr>
          <w:sz w:val="24"/>
          <w:szCs w:val="24"/>
        </w:rPr>
        <w:t>,</w:t>
      </w:r>
      <w:r>
        <w:rPr>
          <w:rFonts w:hint="eastAsia"/>
          <w:sz w:val="24"/>
          <w:szCs w:val="24"/>
        </w:rPr>
        <w:t>482.24份A</w:t>
      </w:r>
      <w:r>
        <w:rPr>
          <w:sz w:val="24"/>
          <w:szCs w:val="24"/>
        </w:rPr>
        <w:t>类</w:t>
      </w:r>
      <w:r>
        <w:rPr>
          <w:rFonts w:hint="eastAsia"/>
          <w:sz w:val="24"/>
          <w:szCs w:val="24"/>
        </w:rPr>
        <w:t>基金份额。</w:t>
      </w:r>
    </w:p>
    <w:p w14:paraId="4C8C4DC5">
      <w:pPr>
        <w:spacing w:line="360" w:lineRule="auto"/>
        <w:ind w:firstLine="480" w:firstLineChars="200"/>
        <w:rPr>
          <w:sz w:val="24"/>
        </w:rPr>
      </w:pPr>
      <w:r>
        <w:rPr>
          <w:rFonts w:hint="eastAsia"/>
          <w:sz w:val="24"/>
        </w:rPr>
        <w:t>（3）当投资者申购C类基金份额时，申购份额的计算方法如下：</w:t>
      </w:r>
    </w:p>
    <w:p w14:paraId="457FA19B">
      <w:pPr>
        <w:spacing w:line="360" w:lineRule="auto"/>
        <w:ind w:firstLine="480" w:firstLineChars="200"/>
        <w:rPr>
          <w:sz w:val="24"/>
        </w:rPr>
      </w:pPr>
      <w:r>
        <w:rPr>
          <w:rFonts w:hint="eastAsia"/>
          <w:sz w:val="24"/>
        </w:rPr>
        <w:t>申购份额＝申购金额/申购当日C类基金份额的基金份额净值</w:t>
      </w:r>
    </w:p>
    <w:p w14:paraId="712C2FAB">
      <w:pPr>
        <w:spacing w:line="360" w:lineRule="auto"/>
        <w:ind w:firstLine="480" w:firstLineChars="200"/>
        <w:rPr>
          <w:sz w:val="24"/>
        </w:rPr>
      </w:pPr>
      <w:r>
        <w:rPr>
          <w:rFonts w:hint="eastAsia"/>
          <w:sz w:val="24"/>
        </w:rPr>
        <w:t>例：某投资者投资100,000元申购本基金C类基金份额，假设申购当日C类基金份额的基金份额净值为1.0600元且该笔申购按照100%比例全部予以确认，则其可得到的申购份额计算如下：</w:t>
      </w:r>
    </w:p>
    <w:p w14:paraId="472DAB75">
      <w:pPr>
        <w:spacing w:line="360" w:lineRule="auto"/>
        <w:ind w:firstLine="480" w:firstLineChars="200"/>
        <w:rPr>
          <w:sz w:val="24"/>
        </w:rPr>
      </w:pPr>
      <w:r>
        <w:rPr>
          <w:rFonts w:hint="eastAsia"/>
          <w:sz w:val="24"/>
        </w:rPr>
        <w:t>申购份额=100,000/1.0600=94,339.62份</w:t>
      </w:r>
    </w:p>
    <w:p w14:paraId="3E17768E">
      <w:pPr>
        <w:spacing w:line="360" w:lineRule="auto"/>
        <w:ind w:firstLine="480" w:firstLineChars="200"/>
        <w:rPr>
          <w:sz w:val="24"/>
        </w:rPr>
      </w:pPr>
      <w:r>
        <w:rPr>
          <w:rFonts w:hint="eastAsia"/>
          <w:sz w:val="24"/>
        </w:rPr>
        <w:t>即：投资者投资100,000元申购本基金C类基金份额，假设申购当日C类基金份额</w:t>
      </w:r>
      <w:r>
        <w:rPr>
          <w:rFonts w:hint="eastAsia"/>
          <w:sz w:val="24"/>
          <w:szCs w:val="24"/>
        </w:rPr>
        <w:t>的基金份额</w:t>
      </w:r>
      <w:r>
        <w:rPr>
          <w:rFonts w:hint="eastAsia"/>
          <w:sz w:val="24"/>
        </w:rPr>
        <w:t>净值为1.0600元且该笔申购按照100%比例全部予以确认，则可得到94,339.62份C类基金份额。</w:t>
      </w:r>
    </w:p>
    <w:p w14:paraId="63C77DED">
      <w:pPr>
        <w:spacing w:line="360" w:lineRule="auto"/>
        <w:ind w:firstLine="480" w:firstLineChars="200"/>
        <w:rPr>
          <w:sz w:val="24"/>
        </w:rPr>
      </w:pPr>
      <w:r>
        <w:rPr>
          <w:rFonts w:hint="eastAsia"/>
          <w:sz w:val="24"/>
        </w:rPr>
        <w:t>申购的有效份额为净申购金额除以当日相应</w:t>
      </w:r>
      <w:r>
        <w:rPr>
          <w:sz w:val="24"/>
        </w:rPr>
        <w:t>类别</w:t>
      </w:r>
      <w:r>
        <w:rPr>
          <w:rFonts w:hint="eastAsia"/>
          <w:sz w:val="24"/>
        </w:rPr>
        <w:t>的基金份额净值，有效份额单位为份，上述计算结果均按四舍五入方法，保留到小数点后2位，由此产生的收益或损失由基金财产承担。</w:t>
      </w:r>
    </w:p>
    <w:p w14:paraId="252BF144">
      <w:pPr>
        <w:spacing w:line="360" w:lineRule="auto"/>
        <w:ind w:firstLine="480" w:firstLineChars="200"/>
        <w:rPr>
          <w:sz w:val="24"/>
        </w:rPr>
      </w:pPr>
      <w:r>
        <w:rPr>
          <w:rFonts w:hint="eastAsia"/>
          <w:sz w:val="24"/>
        </w:rPr>
        <w:t>4、</w:t>
      </w:r>
      <w:r>
        <w:rPr>
          <w:sz w:val="24"/>
        </w:rPr>
        <w:t>赎回费用</w:t>
      </w:r>
    </w:p>
    <w:p w14:paraId="3283DDA4">
      <w:pPr>
        <w:spacing w:line="360" w:lineRule="auto"/>
        <w:ind w:firstLine="480" w:firstLineChars="200"/>
        <w:jc w:val="left"/>
        <w:rPr>
          <w:sz w:val="24"/>
        </w:rPr>
      </w:pPr>
      <w:r>
        <w:rPr>
          <w:rFonts w:hint="eastAsia"/>
          <w:sz w:val="24"/>
          <w:szCs w:val="24"/>
        </w:rPr>
        <w:t>本基金A类和C类基金份额均收取赎回费用，适用相同的赎回费率。赎回费用由赎回基金份额的基金份额持有人承担，在基金份额持有人赎回基金份额时收取。赎回费用全额计入基金财产。</w:t>
      </w:r>
      <w:r>
        <w:rPr>
          <w:rFonts w:hint="eastAsia"/>
          <w:sz w:val="24"/>
        </w:rPr>
        <w:t>本基金的赎回费率随赎回基金份额持有期限的增加而递减，具体费率如下：</w:t>
      </w:r>
    </w:p>
    <w:tbl>
      <w:tblPr>
        <w:tblStyle w:val="25"/>
        <w:tblW w:w="5077" w:type="dxa"/>
        <w:tblInd w:w="1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2468"/>
      </w:tblGrid>
      <w:tr w14:paraId="0679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2609" w:type="dxa"/>
            <w:tcBorders>
              <w:top w:val="single" w:color="auto" w:sz="4" w:space="0"/>
              <w:left w:val="single" w:color="auto" w:sz="4" w:space="0"/>
              <w:bottom w:val="single" w:color="auto" w:sz="4" w:space="0"/>
              <w:right w:val="single" w:color="auto" w:sz="4" w:space="0"/>
            </w:tcBorders>
            <w:vAlign w:val="center"/>
          </w:tcPr>
          <w:p w14:paraId="3238F00F">
            <w:pPr>
              <w:spacing w:line="360" w:lineRule="auto"/>
              <w:jc w:val="center"/>
              <w:rPr>
                <w:sz w:val="24"/>
              </w:rPr>
            </w:pPr>
            <w:r>
              <w:rPr>
                <w:rFonts w:hint="eastAsia"/>
                <w:sz w:val="24"/>
              </w:rPr>
              <w:t>持有期限（</w:t>
            </w:r>
            <w:r>
              <w:rPr>
                <w:sz w:val="24"/>
              </w:rPr>
              <w:t>N</w:t>
            </w:r>
            <w:r>
              <w:rPr>
                <w:rFonts w:hint="eastAsia"/>
                <w:sz w:val="24"/>
              </w:rPr>
              <w:t>）</w:t>
            </w:r>
          </w:p>
        </w:tc>
        <w:tc>
          <w:tcPr>
            <w:tcW w:w="2468" w:type="dxa"/>
            <w:tcBorders>
              <w:top w:val="single" w:color="auto" w:sz="4" w:space="0"/>
              <w:left w:val="single" w:color="auto" w:sz="4" w:space="0"/>
              <w:bottom w:val="single" w:color="auto" w:sz="4" w:space="0"/>
              <w:right w:val="single" w:color="auto" w:sz="4" w:space="0"/>
            </w:tcBorders>
            <w:vAlign w:val="center"/>
          </w:tcPr>
          <w:p w14:paraId="4D5E4431">
            <w:pPr>
              <w:spacing w:line="360" w:lineRule="auto"/>
              <w:jc w:val="center"/>
              <w:rPr>
                <w:sz w:val="24"/>
              </w:rPr>
            </w:pPr>
            <w:r>
              <w:rPr>
                <w:rFonts w:hint="eastAsia"/>
                <w:sz w:val="24"/>
              </w:rPr>
              <w:t>赎回费率</w:t>
            </w:r>
          </w:p>
        </w:tc>
      </w:tr>
      <w:tr w14:paraId="6B9E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2609" w:type="dxa"/>
            <w:vAlign w:val="center"/>
          </w:tcPr>
          <w:p w14:paraId="5499B8A1">
            <w:pPr>
              <w:spacing w:line="360" w:lineRule="auto"/>
              <w:jc w:val="center"/>
              <w:rPr>
                <w:sz w:val="24"/>
              </w:rPr>
            </w:pPr>
            <w:r>
              <w:rPr>
                <w:sz w:val="24"/>
              </w:rPr>
              <w:t>N</w:t>
            </w:r>
            <w:r>
              <w:rPr>
                <w:rFonts w:hint="eastAsia"/>
                <w:sz w:val="24"/>
              </w:rPr>
              <w:t>＜</w:t>
            </w:r>
            <w:r>
              <w:rPr>
                <w:sz w:val="24"/>
              </w:rPr>
              <w:t>7</w:t>
            </w:r>
            <w:r>
              <w:rPr>
                <w:rFonts w:hint="eastAsia"/>
                <w:sz w:val="24"/>
              </w:rPr>
              <w:t>日</w:t>
            </w:r>
          </w:p>
        </w:tc>
        <w:tc>
          <w:tcPr>
            <w:tcW w:w="2468" w:type="dxa"/>
            <w:vAlign w:val="center"/>
          </w:tcPr>
          <w:p w14:paraId="11E0D18F">
            <w:pPr>
              <w:spacing w:line="360" w:lineRule="auto"/>
              <w:jc w:val="center"/>
              <w:rPr>
                <w:sz w:val="24"/>
              </w:rPr>
            </w:pPr>
            <w:r>
              <w:rPr>
                <w:sz w:val="24"/>
              </w:rPr>
              <w:t>1.50%</w:t>
            </w:r>
          </w:p>
        </w:tc>
      </w:tr>
      <w:tr w14:paraId="26A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2609" w:type="dxa"/>
            <w:vAlign w:val="center"/>
          </w:tcPr>
          <w:p w14:paraId="131E8841">
            <w:pPr>
              <w:spacing w:line="360" w:lineRule="auto"/>
              <w:jc w:val="center"/>
              <w:rPr>
                <w:sz w:val="24"/>
              </w:rPr>
            </w:pPr>
            <w:r>
              <w:rPr>
                <w:sz w:val="24"/>
              </w:rPr>
              <w:t>7</w:t>
            </w:r>
            <w:r>
              <w:rPr>
                <w:rFonts w:hint="eastAsia"/>
                <w:sz w:val="24"/>
              </w:rPr>
              <w:t>日≤</w:t>
            </w:r>
            <w:r>
              <w:rPr>
                <w:sz w:val="24"/>
              </w:rPr>
              <w:t>N</w:t>
            </w:r>
            <w:r>
              <w:rPr>
                <w:rFonts w:hint="eastAsia"/>
                <w:sz w:val="24"/>
              </w:rPr>
              <w:t>＜</w:t>
            </w:r>
            <w:r>
              <w:rPr>
                <w:sz w:val="24"/>
              </w:rPr>
              <w:t>30</w:t>
            </w:r>
            <w:r>
              <w:rPr>
                <w:rFonts w:hint="eastAsia"/>
                <w:sz w:val="24"/>
              </w:rPr>
              <w:t>日</w:t>
            </w:r>
          </w:p>
        </w:tc>
        <w:tc>
          <w:tcPr>
            <w:tcW w:w="2468" w:type="dxa"/>
            <w:vAlign w:val="center"/>
          </w:tcPr>
          <w:p w14:paraId="11E12BE1">
            <w:pPr>
              <w:spacing w:line="360" w:lineRule="auto"/>
              <w:jc w:val="center"/>
              <w:rPr>
                <w:sz w:val="24"/>
              </w:rPr>
            </w:pPr>
            <w:r>
              <w:rPr>
                <w:sz w:val="24"/>
              </w:rPr>
              <w:t>1.00%</w:t>
            </w:r>
          </w:p>
        </w:tc>
      </w:tr>
      <w:tr w14:paraId="0804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2609" w:type="dxa"/>
            <w:vAlign w:val="center"/>
          </w:tcPr>
          <w:p w14:paraId="720297C0">
            <w:pPr>
              <w:spacing w:line="360" w:lineRule="auto"/>
              <w:jc w:val="center"/>
              <w:rPr>
                <w:sz w:val="24"/>
              </w:rPr>
            </w:pPr>
            <w:r>
              <w:rPr>
                <w:sz w:val="24"/>
              </w:rPr>
              <w:t>30</w:t>
            </w:r>
            <w:r>
              <w:rPr>
                <w:rFonts w:hint="eastAsia"/>
                <w:sz w:val="24"/>
              </w:rPr>
              <w:t>日≤</w:t>
            </w:r>
            <w:r>
              <w:rPr>
                <w:sz w:val="24"/>
              </w:rPr>
              <w:t>N</w:t>
            </w:r>
            <w:r>
              <w:rPr>
                <w:rFonts w:hint="eastAsia"/>
                <w:sz w:val="24"/>
              </w:rPr>
              <w:t>＜</w:t>
            </w:r>
            <w:r>
              <w:rPr>
                <w:sz w:val="24"/>
              </w:rPr>
              <w:t>180</w:t>
            </w:r>
            <w:r>
              <w:rPr>
                <w:rFonts w:hint="eastAsia"/>
                <w:sz w:val="24"/>
              </w:rPr>
              <w:t>日</w:t>
            </w:r>
          </w:p>
        </w:tc>
        <w:tc>
          <w:tcPr>
            <w:tcW w:w="2468" w:type="dxa"/>
            <w:vAlign w:val="center"/>
          </w:tcPr>
          <w:p w14:paraId="35A2BF1F">
            <w:pPr>
              <w:spacing w:line="360" w:lineRule="auto"/>
              <w:jc w:val="center"/>
              <w:rPr>
                <w:sz w:val="24"/>
              </w:rPr>
            </w:pPr>
            <w:r>
              <w:rPr>
                <w:sz w:val="24"/>
              </w:rPr>
              <w:t>0.50%</w:t>
            </w:r>
          </w:p>
        </w:tc>
      </w:tr>
      <w:tr w14:paraId="7698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2609" w:type="dxa"/>
            <w:vAlign w:val="center"/>
          </w:tcPr>
          <w:p w14:paraId="674E599C">
            <w:pPr>
              <w:spacing w:line="360" w:lineRule="auto"/>
              <w:jc w:val="center"/>
              <w:rPr>
                <w:sz w:val="24"/>
              </w:rPr>
            </w:pPr>
            <w:r>
              <w:rPr>
                <w:bCs/>
                <w:sz w:val="24"/>
                <w:szCs w:val="21"/>
              </w:rPr>
              <w:t>N</w:t>
            </w:r>
            <w:r>
              <w:rPr>
                <w:rFonts w:hint="eastAsia"/>
                <w:sz w:val="24"/>
                <w:szCs w:val="24"/>
              </w:rPr>
              <w:t>≥</w:t>
            </w:r>
            <w:r>
              <w:rPr>
                <w:sz w:val="24"/>
              </w:rPr>
              <w:t>180</w:t>
            </w:r>
            <w:r>
              <w:rPr>
                <w:rFonts w:hint="eastAsia"/>
                <w:sz w:val="24"/>
              </w:rPr>
              <w:t>日</w:t>
            </w:r>
          </w:p>
        </w:tc>
        <w:tc>
          <w:tcPr>
            <w:tcW w:w="2468" w:type="dxa"/>
            <w:vAlign w:val="center"/>
          </w:tcPr>
          <w:p w14:paraId="0CBB646E">
            <w:pPr>
              <w:spacing w:line="360" w:lineRule="auto"/>
              <w:jc w:val="center"/>
              <w:rPr>
                <w:sz w:val="24"/>
              </w:rPr>
            </w:pPr>
            <w:r>
              <w:rPr>
                <w:sz w:val="24"/>
              </w:rPr>
              <w:t>0</w:t>
            </w:r>
          </w:p>
        </w:tc>
      </w:tr>
    </w:tbl>
    <w:p w14:paraId="4679D894">
      <w:pPr>
        <w:spacing w:line="360" w:lineRule="auto"/>
        <w:ind w:firstLine="480" w:firstLineChars="200"/>
        <w:rPr>
          <w:sz w:val="24"/>
          <w:szCs w:val="24"/>
        </w:rPr>
      </w:pPr>
      <w:r>
        <w:rPr>
          <w:rFonts w:hint="eastAsia"/>
          <w:sz w:val="24"/>
          <w:szCs w:val="24"/>
        </w:rPr>
        <w:t>对于中国证监会认可的其他基金份额，基金管理人可以根据产品投资运作特点另行约定赎回费收取标准。</w:t>
      </w:r>
    </w:p>
    <w:p w14:paraId="3551B505">
      <w:pPr>
        <w:spacing w:line="360" w:lineRule="auto"/>
        <w:ind w:firstLine="480" w:firstLineChars="200"/>
        <w:rPr>
          <w:sz w:val="24"/>
          <w:szCs w:val="24"/>
        </w:rPr>
      </w:pPr>
      <w:r>
        <w:rPr>
          <w:rFonts w:hint="eastAsia"/>
          <w:sz w:val="24"/>
          <w:szCs w:val="24"/>
        </w:rPr>
        <w:t>赎回份额持有时间的计算，以该份额在登记机构的登记日开始计算。</w:t>
      </w:r>
    </w:p>
    <w:p w14:paraId="3ABE9625">
      <w:pPr>
        <w:spacing w:line="360" w:lineRule="auto"/>
        <w:ind w:firstLine="480" w:firstLineChars="200"/>
        <w:rPr>
          <w:sz w:val="24"/>
        </w:rPr>
      </w:pPr>
      <w:r>
        <w:rPr>
          <w:rFonts w:hint="eastAsia"/>
          <w:bCs/>
          <w:sz w:val="24"/>
        </w:rPr>
        <w:t>对于投资者通过直销机构认购/申购的C类基金份额，计提的销售服务费（如有）将在投资者赎回相应基金份额时随赎回款一并返还给投资者；对于投资者通过其他销售机构认购/申购的C类基金份额，持续持有期限超过一年继续计提的销售服务费（如有）将在投资者赎回相应基金份额时随赎回款一并返还给投资者。</w:t>
      </w:r>
    </w:p>
    <w:p w14:paraId="2F835CF9">
      <w:pPr>
        <w:spacing w:line="360" w:lineRule="auto"/>
        <w:ind w:firstLine="480" w:firstLineChars="200"/>
        <w:rPr>
          <w:sz w:val="24"/>
          <w:szCs w:val="24"/>
        </w:rPr>
      </w:pPr>
      <w:r>
        <w:rPr>
          <w:sz w:val="24"/>
          <w:szCs w:val="24"/>
        </w:rPr>
        <w:t>5</w:t>
      </w:r>
      <w:r>
        <w:rPr>
          <w:rFonts w:hint="eastAsia"/>
          <w:sz w:val="24"/>
          <w:szCs w:val="24"/>
        </w:rPr>
        <w:t>、赎回金额的计算及处理方式</w:t>
      </w:r>
    </w:p>
    <w:p w14:paraId="5D929000">
      <w:pPr>
        <w:spacing w:line="360" w:lineRule="auto"/>
        <w:ind w:firstLine="480" w:firstLineChars="200"/>
        <w:rPr>
          <w:sz w:val="24"/>
          <w:szCs w:val="24"/>
        </w:rPr>
      </w:pPr>
      <w:r>
        <w:rPr>
          <w:rFonts w:hint="eastAsia"/>
          <w:sz w:val="24"/>
          <w:szCs w:val="24"/>
        </w:rPr>
        <w:t>基金赎回采用份额赎回方式，赎回价格以赎回当日（T日）该类基金份额的基金份额净值为基准进行计算，赎回金额计算方法如下：</w:t>
      </w:r>
    </w:p>
    <w:p w14:paraId="5AAB3E25">
      <w:pPr>
        <w:spacing w:line="360" w:lineRule="auto"/>
        <w:ind w:firstLine="480" w:firstLineChars="200"/>
        <w:rPr>
          <w:sz w:val="24"/>
          <w:szCs w:val="24"/>
        </w:rPr>
      </w:pPr>
      <w:r>
        <w:rPr>
          <w:rFonts w:hint="eastAsia"/>
          <w:sz w:val="24"/>
          <w:szCs w:val="24"/>
        </w:rPr>
        <w:t>赎回总金额＝赎回份额×赎回当日该类基金份额的基金份额净值</w:t>
      </w:r>
    </w:p>
    <w:p w14:paraId="767BEBBA">
      <w:pPr>
        <w:spacing w:line="360" w:lineRule="auto"/>
        <w:ind w:firstLine="480" w:firstLineChars="200"/>
        <w:rPr>
          <w:sz w:val="24"/>
          <w:szCs w:val="24"/>
        </w:rPr>
      </w:pPr>
      <w:r>
        <w:rPr>
          <w:rFonts w:hint="eastAsia"/>
          <w:sz w:val="24"/>
          <w:szCs w:val="24"/>
        </w:rPr>
        <w:t>赎回费用＝赎回总金额×赎回费率</w:t>
      </w:r>
    </w:p>
    <w:p w14:paraId="0B0F3A0E">
      <w:pPr>
        <w:spacing w:line="360" w:lineRule="auto"/>
        <w:ind w:firstLine="480" w:firstLineChars="200"/>
        <w:rPr>
          <w:sz w:val="24"/>
          <w:szCs w:val="24"/>
        </w:rPr>
      </w:pPr>
      <w:r>
        <w:rPr>
          <w:rFonts w:hint="eastAsia"/>
          <w:sz w:val="24"/>
          <w:szCs w:val="24"/>
        </w:rPr>
        <w:t>赎回金额＝赎回总金额－赎回费用</w:t>
      </w:r>
    </w:p>
    <w:p w14:paraId="6232EBBF">
      <w:pPr>
        <w:spacing w:line="360" w:lineRule="auto"/>
        <w:ind w:firstLine="480" w:firstLineChars="200"/>
        <w:rPr>
          <w:sz w:val="24"/>
          <w:szCs w:val="24"/>
        </w:rPr>
      </w:pPr>
      <w:r>
        <w:rPr>
          <w:rFonts w:hint="eastAsia"/>
          <w:sz w:val="24"/>
          <w:szCs w:val="24"/>
        </w:rPr>
        <w:t>赎回金额为按实际确认的有效赎回份额乘以当日相应类别的基金份额净值并扣除相应的费用，赎回金额单位为元。上述计算结果均按四舍五入方法，保留到小数点后2位，由此产生的收益或损失由基金财产承担。</w:t>
      </w:r>
    </w:p>
    <w:p w14:paraId="568AF539">
      <w:pPr>
        <w:spacing w:line="360" w:lineRule="auto"/>
        <w:ind w:firstLine="480" w:firstLineChars="200"/>
        <w:rPr>
          <w:sz w:val="24"/>
          <w:szCs w:val="24"/>
        </w:rPr>
      </w:pPr>
      <w:r>
        <w:rPr>
          <w:rFonts w:hint="eastAsia"/>
          <w:sz w:val="24"/>
          <w:szCs w:val="24"/>
        </w:rPr>
        <w:t>例：假定</w:t>
      </w:r>
      <w:r>
        <w:rPr>
          <w:sz w:val="24"/>
          <w:szCs w:val="24"/>
        </w:rPr>
        <w:t>T</w:t>
      </w:r>
      <w:r>
        <w:rPr>
          <w:rFonts w:hint="eastAsia"/>
          <w:sz w:val="24"/>
          <w:szCs w:val="24"/>
        </w:rPr>
        <w:t>日本基金的A类基金份额的基金份额净值为</w:t>
      </w:r>
      <w:r>
        <w:rPr>
          <w:sz w:val="24"/>
          <w:szCs w:val="24"/>
        </w:rPr>
        <w:t>1.2130</w:t>
      </w:r>
      <w:r>
        <w:rPr>
          <w:rFonts w:hint="eastAsia"/>
          <w:sz w:val="24"/>
          <w:szCs w:val="24"/>
        </w:rPr>
        <w:t>元，投资者赎回</w:t>
      </w:r>
      <w:r>
        <w:rPr>
          <w:sz w:val="24"/>
          <w:szCs w:val="24"/>
        </w:rPr>
        <w:t>100,000</w:t>
      </w:r>
      <w:r>
        <w:rPr>
          <w:rFonts w:hint="eastAsia"/>
          <w:sz w:val="24"/>
          <w:szCs w:val="24"/>
        </w:rPr>
        <w:t>份A类基金份额，持有期限为</w:t>
      </w:r>
      <w:r>
        <w:rPr>
          <w:sz w:val="24"/>
          <w:szCs w:val="24"/>
        </w:rPr>
        <w:t>98</w:t>
      </w:r>
      <w:r>
        <w:rPr>
          <w:rFonts w:hint="eastAsia"/>
          <w:sz w:val="24"/>
          <w:szCs w:val="24"/>
        </w:rPr>
        <w:t>日，对应的赎回费率为</w:t>
      </w:r>
      <w:r>
        <w:rPr>
          <w:sz w:val="24"/>
          <w:szCs w:val="24"/>
        </w:rPr>
        <w:t>0.50%</w:t>
      </w:r>
      <w:r>
        <w:rPr>
          <w:rFonts w:hint="eastAsia"/>
          <w:sz w:val="24"/>
          <w:szCs w:val="24"/>
        </w:rPr>
        <w:t>，则其可得到的赎回金额为：</w:t>
      </w:r>
    </w:p>
    <w:p w14:paraId="2BEE68B2">
      <w:pPr>
        <w:spacing w:line="360" w:lineRule="auto"/>
        <w:ind w:firstLine="480" w:firstLineChars="200"/>
        <w:rPr>
          <w:sz w:val="24"/>
          <w:szCs w:val="24"/>
        </w:rPr>
      </w:pPr>
      <w:r>
        <w:rPr>
          <w:rFonts w:hint="eastAsia"/>
          <w:sz w:val="24"/>
          <w:szCs w:val="24"/>
        </w:rPr>
        <w:t>赎回总金额＝</w:t>
      </w:r>
      <w:r>
        <w:rPr>
          <w:sz w:val="24"/>
          <w:szCs w:val="24"/>
        </w:rPr>
        <w:t>100,000</w:t>
      </w:r>
      <w:r>
        <w:rPr>
          <w:rFonts w:hint="eastAsia"/>
          <w:sz w:val="24"/>
          <w:szCs w:val="24"/>
        </w:rPr>
        <w:t>×</w:t>
      </w:r>
      <w:r>
        <w:rPr>
          <w:sz w:val="24"/>
          <w:szCs w:val="24"/>
        </w:rPr>
        <w:t>1.2130</w:t>
      </w:r>
      <w:r>
        <w:rPr>
          <w:rFonts w:hint="eastAsia"/>
          <w:sz w:val="24"/>
          <w:szCs w:val="24"/>
        </w:rPr>
        <w:t>＝</w:t>
      </w:r>
      <w:r>
        <w:rPr>
          <w:sz w:val="24"/>
          <w:szCs w:val="24"/>
        </w:rPr>
        <w:t>121,300.00</w:t>
      </w:r>
      <w:r>
        <w:rPr>
          <w:rFonts w:hint="eastAsia"/>
          <w:sz w:val="24"/>
          <w:szCs w:val="24"/>
        </w:rPr>
        <w:t>元</w:t>
      </w:r>
    </w:p>
    <w:p w14:paraId="74333819">
      <w:pPr>
        <w:spacing w:line="360" w:lineRule="auto"/>
        <w:ind w:firstLine="480" w:firstLineChars="200"/>
        <w:rPr>
          <w:sz w:val="24"/>
          <w:szCs w:val="24"/>
        </w:rPr>
      </w:pPr>
      <w:r>
        <w:rPr>
          <w:rFonts w:hint="eastAsia"/>
          <w:sz w:val="24"/>
          <w:szCs w:val="24"/>
        </w:rPr>
        <w:t>赎回费用＝</w:t>
      </w:r>
      <w:r>
        <w:rPr>
          <w:sz w:val="24"/>
          <w:szCs w:val="24"/>
        </w:rPr>
        <w:t>121,300.00</w:t>
      </w:r>
      <w:r>
        <w:rPr>
          <w:rFonts w:hint="eastAsia"/>
          <w:sz w:val="24"/>
          <w:szCs w:val="24"/>
        </w:rPr>
        <w:t>×</w:t>
      </w:r>
      <w:r>
        <w:rPr>
          <w:sz w:val="24"/>
          <w:szCs w:val="24"/>
        </w:rPr>
        <w:t>0.50%</w:t>
      </w:r>
      <w:r>
        <w:rPr>
          <w:rFonts w:hint="eastAsia"/>
          <w:sz w:val="24"/>
          <w:szCs w:val="24"/>
        </w:rPr>
        <w:t>＝</w:t>
      </w:r>
      <w:r>
        <w:rPr>
          <w:sz w:val="24"/>
          <w:szCs w:val="24"/>
        </w:rPr>
        <w:t>606.50</w:t>
      </w:r>
      <w:r>
        <w:rPr>
          <w:rFonts w:hint="eastAsia"/>
          <w:sz w:val="24"/>
          <w:szCs w:val="24"/>
        </w:rPr>
        <w:t>元</w:t>
      </w:r>
    </w:p>
    <w:p w14:paraId="6BFC0334">
      <w:pPr>
        <w:spacing w:line="360" w:lineRule="auto"/>
        <w:ind w:firstLine="480" w:firstLineChars="200"/>
        <w:rPr>
          <w:sz w:val="24"/>
          <w:szCs w:val="24"/>
        </w:rPr>
      </w:pPr>
      <w:r>
        <w:rPr>
          <w:rFonts w:hint="eastAsia"/>
          <w:sz w:val="24"/>
          <w:szCs w:val="24"/>
        </w:rPr>
        <w:t>赎回金额＝</w:t>
      </w:r>
      <w:r>
        <w:rPr>
          <w:sz w:val="24"/>
          <w:szCs w:val="24"/>
        </w:rPr>
        <w:t>121,300.00</w:t>
      </w:r>
      <w:r>
        <w:rPr>
          <w:rFonts w:hint="eastAsia"/>
          <w:sz w:val="24"/>
          <w:szCs w:val="24"/>
        </w:rPr>
        <w:t>－</w:t>
      </w:r>
      <w:r>
        <w:rPr>
          <w:sz w:val="24"/>
          <w:szCs w:val="24"/>
        </w:rPr>
        <w:t>606.50</w:t>
      </w:r>
      <w:r>
        <w:rPr>
          <w:rFonts w:hint="eastAsia"/>
          <w:sz w:val="24"/>
          <w:szCs w:val="24"/>
        </w:rPr>
        <w:t>＝</w:t>
      </w:r>
      <w:r>
        <w:rPr>
          <w:sz w:val="24"/>
          <w:szCs w:val="24"/>
        </w:rPr>
        <w:t>120,693.50</w:t>
      </w:r>
      <w:r>
        <w:rPr>
          <w:rFonts w:hint="eastAsia"/>
          <w:sz w:val="24"/>
          <w:szCs w:val="24"/>
        </w:rPr>
        <w:t>元</w:t>
      </w:r>
    </w:p>
    <w:p w14:paraId="3E13BFED">
      <w:pPr>
        <w:spacing w:line="360" w:lineRule="auto"/>
        <w:ind w:firstLine="480" w:firstLineChars="200"/>
        <w:rPr>
          <w:sz w:val="24"/>
          <w:szCs w:val="24"/>
        </w:rPr>
      </w:pPr>
      <w:r>
        <w:rPr>
          <w:rFonts w:hint="eastAsia"/>
          <w:sz w:val="24"/>
          <w:szCs w:val="24"/>
        </w:rPr>
        <w:t>即：投资者赎回本基金</w:t>
      </w:r>
      <w:r>
        <w:rPr>
          <w:sz w:val="24"/>
          <w:szCs w:val="24"/>
        </w:rPr>
        <w:t>100,000</w:t>
      </w:r>
      <w:r>
        <w:rPr>
          <w:rFonts w:hint="eastAsia"/>
          <w:sz w:val="24"/>
          <w:szCs w:val="24"/>
        </w:rPr>
        <w:t>份A类基金份额，持有期限为</w:t>
      </w:r>
      <w:r>
        <w:rPr>
          <w:sz w:val="24"/>
          <w:szCs w:val="24"/>
        </w:rPr>
        <w:t>98</w:t>
      </w:r>
      <w:r>
        <w:rPr>
          <w:rFonts w:hint="eastAsia"/>
          <w:sz w:val="24"/>
          <w:szCs w:val="24"/>
        </w:rPr>
        <w:t>日，假设赎回当日A类基金份额的基金份额净值是</w:t>
      </w:r>
      <w:r>
        <w:rPr>
          <w:sz w:val="24"/>
          <w:szCs w:val="24"/>
        </w:rPr>
        <w:t>1.2130</w:t>
      </w:r>
      <w:r>
        <w:rPr>
          <w:rFonts w:hint="eastAsia"/>
          <w:sz w:val="24"/>
          <w:szCs w:val="24"/>
        </w:rPr>
        <w:t>元，则其可得到的赎回金额为</w:t>
      </w:r>
      <w:r>
        <w:rPr>
          <w:sz w:val="24"/>
          <w:szCs w:val="24"/>
        </w:rPr>
        <w:t>120,693.50</w:t>
      </w:r>
      <w:r>
        <w:rPr>
          <w:rFonts w:hint="eastAsia"/>
          <w:sz w:val="24"/>
          <w:szCs w:val="24"/>
        </w:rPr>
        <w:t>元。</w:t>
      </w:r>
    </w:p>
    <w:p w14:paraId="16B6BF71">
      <w:pPr>
        <w:spacing w:line="360" w:lineRule="auto"/>
        <w:ind w:firstLine="480" w:firstLineChars="200"/>
        <w:rPr>
          <w:sz w:val="24"/>
          <w:szCs w:val="24"/>
        </w:rPr>
      </w:pPr>
      <w:r>
        <w:rPr>
          <w:rFonts w:hint="eastAsia"/>
          <w:sz w:val="24"/>
          <w:szCs w:val="24"/>
        </w:rPr>
        <w:t>例：假定T日本基金的C类基金份额的基金份额净值为1.2130元，投资者赎回100,000份C类基金份额，持有期限为200日，对应的赎回费率为0，则其可得到的赎回金额为：</w:t>
      </w:r>
    </w:p>
    <w:p w14:paraId="7BDB0B71">
      <w:pPr>
        <w:spacing w:line="360" w:lineRule="auto"/>
        <w:ind w:firstLine="480" w:firstLineChars="200"/>
        <w:rPr>
          <w:sz w:val="24"/>
          <w:szCs w:val="24"/>
        </w:rPr>
      </w:pPr>
      <w:r>
        <w:rPr>
          <w:rFonts w:hint="eastAsia"/>
          <w:sz w:val="24"/>
          <w:szCs w:val="24"/>
        </w:rPr>
        <w:t>赎回总金额＝100,000×1.2130＝121,300.00元</w:t>
      </w:r>
    </w:p>
    <w:p w14:paraId="1D52F380">
      <w:pPr>
        <w:spacing w:line="360" w:lineRule="auto"/>
        <w:ind w:firstLine="480" w:firstLineChars="200"/>
        <w:rPr>
          <w:sz w:val="24"/>
          <w:szCs w:val="24"/>
        </w:rPr>
      </w:pPr>
      <w:r>
        <w:rPr>
          <w:rFonts w:hint="eastAsia"/>
          <w:sz w:val="24"/>
          <w:szCs w:val="24"/>
        </w:rPr>
        <w:t>赎回费用＝121,300.00×0＝0.00元</w:t>
      </w:r>
    </w:p>
    <w:p w14:paraId="12543C4F">
      <w:pPr>
        <w:spacing w:line="360" w:lineRule="auto"/>
        <w:ind w:firstLine="480" w:firstLineChars="200"/>
        <w:rPr>
          <w:sz w:val="24"/>
          <w:szCs w:val="24"/>
        </w:rPr>
      </w:pPr>
      <w:r>
        <w:rPr>
          <w:rFonts w:hint="eastAsia"/>
          <w:sz w:val="24"/>
          <w:szCs w:val="24"/>
        </w:rPr>
        <w:t>赎回金额＝121,300.00－0.00＝121,300.00元</w:t>
      </w:r>
    </w:p>
    <w:p w14:paraId="449A6F20">
      <w:pPr>
        <w:spacing w:line="360" w:lineRule="auto"/>
        <w:ind w:firstLine="480" w:firstLineChars="200"/>
        <w:rPr>
          <w:sz w:val="24"/>
          <w:szCs w:val="24"/>
        </w:rPr>
      </w:pPr>
      <w:r>
        <w:rPr>
          <w:rFonts w:hint="eastAsia"/>
          <w:sz w:val="24"/>
          <w:szCs w:val="24"/>
        </w:rPr>
        <w:t>即：投资者赎回本基金100,000份C类基金份额，持有期限为200日，假设赎回当日C类基金份额的基金份额净值是1.2130元，则其可得到的赎回金额为121,300.00元。</w:t>
      </w:r>
    </w:p>
    <w:p w14:paraId="73A602F3">
      <w:pPr>
        <w:spacing w:line="360" w:lineRule="auto"/>
        <w:ind w:firstLine="480" w:firstLineChars="200"/>
        <w:rPr>
          <w:sz w:val="24"/>
          <w:szCs w:val="24"/>
        </w:rPr>
      </w:pPr>
      <w:r>
        <w:rPr>
          <w:sz w:val="24"/>
          <w:szCs w:val="24"/>
        </w:rPr>
        <w:t>6</w:t>
      </w:r>
      <w:r>
        <w:rPr>
          <w:rFonts w:hint="eastAsia"/>
          <w:sz w:val="24"/>
          <w:szCs w:val="24"/>
        </w:rPr>
        <w:t>、基金管理人可以在基金合同约定的范围内调整费率或收费方式，并最迟应于新的费率或收费方式实施日前依照《信息披露办法》的有关规定在规定媒介上公告。</w:t>
      </w:r>
    </w:p>
    <w:p w14:paraId="42CC2CCC">
      <w:pPr>
        <w:spacing w:line="360" w:lineRule="auto"/>
        <w:ind w:firstLine="480" w:firstLineChars="200"/>
        <w:rPr>
          <w:sz w:val="24"/>
          <w:szCs w:val="24"/>
        </w:rPr>
      </w:pPr>
      <w:r>
        <w:rPr>
          <w:rFonts w:hint="eastAsia"/>
          <w:sz w:val="24"/>
          <w:szCs w:val="24"/>
        </w:rPr>
        <w:t>7、当本基金发生大额申购或赎回情形时，基金管理人可以采用摆动定价机制，以确保基金估值的公平性。具体处理原则与操作规范遵循相关法律法规以及监管部门、自律规则的规定。</w:t>
      </w:r>
    </w:p>
    <w:p w14:paraId="379B2CE7">
      <w:pPr>
        <w:spacing w:line="360" w:lineRule="auto"/>
        <w:ind w:firstLine="480" w:firstLineChars="200"/>
        <w:rPr>
          <w:bCs/>
          <w:kern w:val="0"/>
          <w:sz w:val="24"/>
          <w:szCs w:val="24"/>
          <w:lang w:bidi="en-US"/>
        </w:rPr>
      </w:pPr>
      <w:r>
        <w:rPr>
          <w:rFonts w:hint="eastAsia"/>
          <w:sz w:val="24"/>
          <w:szCs w:val="24"/>
        </w:rPr>
        <w:t>8、基金管理人可以在不违背法律法规规定及《基金合同》约定且对基金份额持有人无实质性不利影响的情形下，根据市场情况制定基金促销计划，定期或不定期地开展基金促销活动。在基金促销活动期间，按相关监管部门要求履行必要手续后，基金管理人可以</w:t>
      </w:r>
      <w:r>
        <w:rPr>
          <w:bCs/>
          <w:kern w:val="0"/>
          <w:sz w:val="24"/>
          <w:szCs w:val="24"/>
          <w:lang w:bidi="en-US"/>
        </w:rPr>
        <w:t>适当调低基金申购费率</w:t>
      </w:r>
      <w:r>
        <w:rPr>
          <w:rFonts w:hint="eastAsia"/>
          <w:bCs/>
          <w:kern w:val="0"/>
          <w:sz w:val="24"/>
          <w:szCs w:val="24"/>
          <w:lang w:bidi="en-US"/>
        </w:rPr>
        <w:t>和基金销售服务费率</w:t>
      </w:r>
      <w:r>
        <w:rPr>
          <w:bCs/>
          <w:kern w:val="0"/>
          <w:sz w:val="24"/>
          <w:szCs w:val="24"/>
          <w:lang w:bidi="en-US"/>
        </w:rPr>
        <w:t>，并进行公告</w:t>
      </w:r>
      <w:r>
        <w:rPr>
          <w:rFonts w:hint="eastAsia"/>
          <w:bCs/>
          <w:sz w:val="24"/>
        </w:rPr>
        <w:t>。</w:t>
      </w:r>
    </w:p>
    <w:p w14:paraId="6E5EAA0D">
      <w:pPr>
        <w:spacing w:line="360" w:lineRule="auto"/>
        <w:ind w:firstLine="480" w:firstLineChars="200"/>
        <w:rPr>
          <w:sz w:val="24"/>
          <w:szCs w:val="24"/>
        </w:rPr>
      </w:pPr>
      <w:bookmarkStart w:id="125" w:name="_Hlk93054694"/>
      <w:r>
        <w:rPr>
          <w:rFonts w:hint="eastAsia"/>
          <w:sz w:val="24"/>
          <w:szCs w:val="24"/>
        </w:rPr>
        <w:t>七、拒绝或暂停申购的情形</w:t>
      </w:r>
    </w:p>
    <w:p w14:paraId="40AEA44B">
      <w:pPr>
        <w:spacing w:line="360" w:lineRule="auto"/>
        <w:ind w:firstLine="480" w:firstLineChars="200"/>
        <w:rPr>
          <w:sz w:val="24"/>
          <w:szCs w:val="24"/>
        </w:rPr>
      </w:pPr>
      <w:r>
        <w:rPr>
          <w:rFonts w:hint="eastAsia"/>
          <w:sz w:val="24"/>
          <w:szCs w:val="24"/>
        </w:rPr>
        <w:t>发生下列情况时，基金管理人可拒绝或暂停接受投资人的申购申请：</w:t>
      </w:r>
    </w:p>
    <w:p w14:paraId="06E1968F">
      <w:pPr>
        <w:spacing w:line="360" w:lineRule="auto"/>
        <w:ind w:firstLine="480" w:firstLineChars="200"/>
        <w:rPr>
          <w:sz w:val="24"/>
          <w:szCs w:val="24"/>
        </w:rPr>
      </w:pPr>
      <w:r>
        <w:rPr>
          <w:rFonts w:hint="eastAsia"/>
          <w:sz w:val="24"/>
          <w:szCs w:val="24"/>
        </w:rPr>
        <w:t>1、因不可抗力导致基金无法正常运作。</w:t>
      </w:r>
    </w:p>
    <w:p w14:paraId="1759A01A">
      <w:pPr>
        <w:spacing w:line="360" w:lineRule="auto"/>
        <w:ind w:firstLine="480" w:firstLineChars="200"/>
        <w:rPr>
          <w:sz w:val="24"/>
          <w:szCs w:val="24"/>
        </w:rPr>
      </w:pPr>
      <w:r>
        <w:rPr>
          <w:rFonts w:hint="eastAsia"/>
          <w:sz w:val="24"/>
          <w:szCs w:val="24"/>
        </w:rPr>
        <w:t>2、发生基金合同规定的暂停基金资产估值情况。</w:t>
      </w:r>
    </w:p>
    <w:p w14:paraId="645FC91B">
      <w:pPr>
        <w:spacing w:line="360" w:lineRule="auto"/>
        <w:ind w:firstLine="480" w:firstLineChars="200"/>
        <w:rPr>
          <w:sz w:val="24"/>
          <w:szCs w:val="24"/>
        </w:rPr>
      </w:pPr>
      <w:r>
        <w:rPr>
          <w:rFonts w:hint="eastAsia"/>
          <w:sz w:val="24"/>
          <w:szCs w:val="24"/>
        </w:rPr>
        <w:t>3、证券/期货交易所</w:t>
      </w:r>
      <w:r>
        <w:rPr>
          <w:rFonts w:hint="eastAsia"/>
          <w:bCs/>
          <w:sz w:val="24"/>
        </w:rPr>
        <w:t>或外汇市场</w:t>
      </w:r>
      <w:r>
        <w:rPr>
          <w:rFonts w:hint="eastAsia"/>
          <w:sz w:val="24"/>
          <w:szCs w:val="24"/>
        </w:rPr>
        <w:t>交易时间非正常停市或港股通临时停市，导致基金管理人无法计算当日基金资产净值。</w:t>
      </w:r>
    </w:p>
    <w:p w14:paraId="49B2EB79">
      <w:pPr>
        <w:spacing w:line="360" w:lineRule="auto"/>
        <w:ind w:firstLine="480" w:firstLineChars="200"/>
        <w:rPr>
          <w:sz w:val="24"/>
          <w:szCs w:val="24"/>
        </w:rPr>
      </w:pPr>
      <w:r>
        <w:rPr>
          <w:rFonts w:hint="eastAsia"/>
          <w:sz w:val="24"/>
          <w:szCs w:val="24"/>
        </w:rPr>
        <w:t>4、</w:t>
      </w:r>
      <w:r>
        <w:rPr>
          <w:rFonts w:hint="eastAsia"/>
          <w:bCs/>
          <w:sz w:val="24"/>
          <w:szCs w:val="24"/>
        </w:rPr>
        <w:t>基金管理人</w:t>
      </w:r>
      <w:r>
        <w:rPr>
          <w:rFonts w:hint="eastAsia"/>
          <w:sz w:val="24"/>
          <w:szCs w:val="24"/>
        </w:rPr>
        <w:t>接受某笔或某些申购申请可能会影响或损害现有基金份额持有人利益或对存量基金份额持有人利益构成潜在重大不利影响时。</w:t>
      </w:r>
    </w:p>
    <w:p w14:paraId="7000528D">
      <w:pPr>
        <w:spacing w:line="360" w:lineRule="auto"/>
        <w:ind w:firstLine="480" w:firstLineChars="200"/>
        <w:rPr>
          <w:sz w:val="24"/>
          <w:szCs w:val="24"/>
        </w:rPr>
      </w:pPr>
      <w:r>
        <w:rPr>
          <w:rFonts w:hint="eastAsia"/>
          <w:sz w:val="24"/>
          <w:szCs w:val="24"/>
        </w:rPr>
        <w:t>5、基金资产规模过大，使基金管理人无法找到合适的投资品种，或其他可能对基金业绩产生负面影响，或发生其他损害现有基金份额持有人利益的情形。</w:t>
      </w:r>
    </w:p>
    <w:p w14:paraId="576BE402">
      <w:pPr>
        <w:spacing w:line="360" w:lineRule="auto"/>
        <w:ind w:firstLine="480" w:firstLineChars="200"/>
        <w:rPr>
          <w:sz w:val="24"/>
          <w:szCs w:val="24"/>
        </w:rPr>
      </w:pPr>
      <w:r>
        <w:rPr>
          <w:rFonts w:hint="eastAsia"/>
          <w:sz w:val="24"/>
          <w:szCs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6116F312">
      <w:pPr>
        <w:spacing w:line="360" w:lineRule="auto"/>
        <w:ind w:firstLine="480" w:firstLineChars="200"/>
        <w:rPr>
          <w:sz w:val="24"/>
          <w:szCs w:val="24"/>
        </w:rPr>
      </w:pPr>
      <w:r>
        <w:rPr>
          <w:rFonts w:hint="eastAsia"/>
          <w:sz w:val="24"/>
          <w:szCs w:val="24"/>
        </w:rPr>
        <w:t>7、基金管理人接受某笔或者某些申购申请有可能导致单一投资者</w:t>
      </w:r>
      <w:r>
        <w:rPr>
          <w:rFonts w:hint="eastAsia"/>
          <w:bCs/>
          <w:sz w:val="24"/>
        </w:rPr>
        <w:t>（基金管理人、基金管理人高级管理人员或基金经理等人员作为发起资金提供方除外）</w:t>
      </w:r>
      <w:r>
        <w:rPr>
          <w:rFonts w:hint="eastAsia"/>
          <w:sz w:val="24"/>
          <w:szCs w:val="24"/>
        </w:rPr>
        <w:t>持有基金份额的比例达到或者超过50%，或者变相规避50%集中度的情形。</w:t>
      </w:r>
    </w:p>
    <w:p w14:paraId="4877EB48">
      <w:pPr>
        <w:spacing w:line="360" w:lineRule="auto"/>
        <w:ind w:firstLine="480" w:firstLineChars="200"/>
        <w:rPr>
          <w:sz w:val="24"/>
          <w:szCs w:val="24"/>
        </w:rPr>
      </w:pPr>
      <w:r>
        <w:rPr>
          <w:rFonts w:hint="eastAsia"/>
          <w:sz w:val="24"/>
          <w:szCs w:val="24"/>
        </w:rPr>
        <w:t>8、基金管理人、基金托管人、基金销售机构或登记机构的异常情况导致基金销售系统、基金登记结算系统、基金会计系统或证券登记系统无法正常运行。</w:t>
      </w:r>
    </w:p>
    <w:p w14:paraId="3B89F8A8">
      <w:pPr>
        <w:spacing w:line="360" w:lineRule="auto"/>
        <w:ind w:firstLine="480" w:firstLineChars="200"/>
        <w:rPr>
          <w:sz w:val="24"/>
          <w:szCs w:val="24"/>
        </w:rPr>
      </w:pPr>
      <w:r>
        <w:rPr>
          <w:rFonts w:hint="eastAsia"/>
          <w:sz w:val="24"/>
          <w:szCs w:val="24"/>
        </w:rPr>
        <w:t>9、当申购申请超过基金管理人设定的单一投资者申购金额上限、基金单日净申购比例上限或基金总规模的。</w:t>
      </w:r>
    </w:p>
    <w:p w14:paraId="37151428">
      <w:pPr>
        <w:spacing w:line="360" w:lineRule="auto"/>
        <w:ind w:firstLine="480" w:firstLineChars="200"/>
        <w:rPr>
          <w:sz w:val="24"/>
          <w:szCs w:val="24"/>
        </w:rPr>
      </w:pPr>
      <w:r>
        <w:rPr>
          <w:sz w:val="24"/>
          <w:szCs w:val="24"/>
        </w:rPr>
        <w:t>10</w:t>
      </w:r>
      <w:r>
        <w:rPr>
          <w:rFonts w:hint="eastAsia"/>
          <w:sz w:val="24"/>
          <w:szCs w:val="24"/>
        </w:rPr>
        <w:t>、基金参与港股通交易且港股通交易每日额度不足。</w:t>
      </w:r>
    </w:p>
    <w:p w14:paraId="3EB3152D">
      <w:pPr>
        <w:spacing w:line="360" w:lineRule="auto"/>
        <w:ind w:firstLine="480" w:firstLineChars="200"/>
        <w:rPr>
          <w:sz w:val="24"/>
          <w:szCs w:val="24"/>
        </w:rPr>
      </w:pPr>
      <w:r>
        <w:rPr>
          <w:rFonts w:hint="eastAsia"/>
          <w:sz w:val="24"/>
          <w:szCs w:val="24"/>
        </w:rPr>
        <w:t>1</w:t>
      </w:r>
      <w:r>
        <w:rPr>
          <w:sz w:val="24"/>
          <w:szCs w:val="24"/>
        </w:rPr>
        <w:t>1</w:t>
      </w:r>
      <w:r>
        <w:rPr>
          <w:rFonts w:hint="eastAsia"/>
          <w:sz w:val="24"/>
          <w:szCs w:val="24"/>
        </w:rPr>
        <w:t>、法律法规规定或中国证监会认定的其他情形。</w:t>
      </w:r>
    </w:p>
    <w:p w14:paraId="77404699">
      <w:pPr>
        <w:spacing w:line="360" w:lineRule="auto"/>
        <w:ind w:firstLine="480" w:firstLineChars="200"/>
        <w:rPr>
          <w:sz w:val="24"/>
          <w:szCs w:val="24"/>
        </w:rPr>
      </w:pPr>
      <w:r>
        <w:rPr>
          <w:rFonts w:hint="eastAsia"/>
          <w:sz w:val="24"/>
          <w:szCs w:val="24"/>
        </w:rPr>
        <w:t>发生上述第1、2、3、5、6、8、10、1</w:t>
      </w:r>
      <w:r>
        <w:rPr>
          <w:sz w:val="24"/>
          <w:szCs w:val="24"/>
        </w:rPr>
        <w:t>1</w:t>
      </w:r>
      <w:r>
        <w:rPr>
          <w:rFonts w:hint="eastAsia"/>
          <w:sz w:val="24"/>
          <w:szCs w:val="24"/>
        </w:rPr>
        <w:t>项暂停申购情形之一且基金管理人决定暂停接受投资人申购申请时，基金管理人应当根据有关规定在规定媒介上刊登暂停申购公告。如果投资人的申购申请全部或部分被拒绝的，被拒绝的申购款项将退还给投资人。在暂停申购的情况消除时，基金管理人应及时恢复申购业务的办理。</w:t>
      </w:r>
      <w:r>
        <w:rPr>
          <w:rFonts w:hint="eastAsia"/>
          <w:bCs/>
          <w:sz w:val="24"/>
        </w:rPr>
        <w:t>当发生上述第7、9项情形时，基金管理人可以采取比例确认等方式对该投资人的申购申请进行限制，基金管理人有权拒绝该等全部或者部分申购申请。如果法律法规、监管要求调整导致上述第7项内容取消或变更的，基金管理人在履行适当程序后，可修改上述内容，不需召开基金份额持有人大会。</w:t>
      </w:r>
    </w:p>
    <w:p w14:paraId="77E140F5">
      <w:pPr>
        <w:spacing w:line="360" w:lineRule="auto"/>
        <w:ind w:firstLine="480" w:firstLineChars="200"/>
        <w:rPr>
          <w:sz w:val="24"/>
          <w:szCs w:val="24"/>
        </w:rPr>
      </w:pPr>
      <w:bookmarkStart w:id="126" w:name="_Hlt70481650"/>
      <w:bookmarkEnd w:id="126"/>
      <w:r>
        <w:rPr>
          <w:rFonts w:hint="eastAsia"/>
          <w:sz w:val="24"/>
          <w:szCs w:val="24"/>
        </w:rPr>
        <w:t>八、</w:t>
      </w:r>
      <w:r>
        <w:rPr>
          <w:sz w:val="24"/>
          <w:szCs w:val="24"/>
        </w:rPr>
        <w:t>暂停赎回或延缓支付赎回款项的情形</w:t>
      </w:r>
    </w:p>
    <w:p w14:paraId="1785EE11">
      <w:pPr>
        <w:spacing w:line="360" w:lineRule="auto"/>
        <w:ind w:firstLine="480" w:firstLineChars="200"/>
        <w:rPr>
          <w:sz w:val="24"/>
          <w:szCs w:val="24"/>
        </w:rPr>
      </w:pPr>
      <w:r>
        <w:rPr>
          <w:rFonts w:hint="eastAsia"/>
          <w:sz w:val="24"/>
          <w:szCs w:val="24"/>
        </w:rPr>
        <w:t>发生下列情形时，基金管理人可暂停接受投资人的赎回申请或延缓支付赎回款项：</w:t>
      </w:r>
    </w:p>
    <w:p w14:paraId="080ACDC8">
      <w:pPr>
        <w:spacing w:line="360" w:lineRule="auto"/>
        <w:ind w:firstLine="480" w:firstLineChars="200"/>
        <w:rPr>
          <w:sz w:val="24"/>
          <w:szCs w:val="24"/>
        </w:rPr>
      </w:pPr>
      <w:r>
        <w:rPr>
          <w:rFonts w:hint="eastAsia"/>
          <w:sz w:val="24"/>
          <w:szCs w:val="24"/>
        </w:rPr>
        <w:t>1、因不可抗力导致基金管理人不能支付赎回款项。</w:t>
      </w:r>
    </w:p>
    <w:p w14:paraId="21852FB3">
      <w:pPr>
        <w:spacing w:line="360" w:lineRule="auto"/>
        <w:ind w:firstLine="480" w:firstLineChars="200"/>
        <w:rPr>
          <w:sz w:val="24"/>
          <w:szCs w:val="24"/>
        </w:rPr>
      </w:pPr>
      <w:r>
        <w:rPr>
          <w:rFonts w:hint="eastAsia"/>
          <w:sz w:val="24"/>
          <w:szCs w:val="24"/>
        </w:rPr>
        <w:t>2、发生基金合同规定的暂停基金资产估值情况。</w:t>
      </w:r>
    </w:p>
    <w:p w14:paraId="0D83A8CB">
      <w:pPr>
        <w:spacing w:line="360" w:lineRule="auto"/>
        <w:ind w:firstLine="480" w:firstLineChars="200"/>
        <w:rPr>
          <w:sz w:val="24"/>
          <w:szCs w:val="24"/>
        </w:rPr>
      </w:pPr>
      <w:r>
        <w:rPr>
          <w:rFonts w:hint="eastAsia"/>
          <w:sz w:val="24"/>
          <w:szCs w:val="24"/>
        </w:rPr>
        <w:t>3、证券/期货交易所或外汇市场交易时间非正常停市或港股通临时停市，导致基金管理人无法计算当日基金资产净值。</w:t>
      </w:r>
    </w:p>
    <w:p w14:paraId="0EEF2128">
      <w:pPr>
        <w:spacing w:line="360" w:lineRule="auto"/>
        <w:ind w:firstLine="480" w:firstLineChars="200"/>
        <w:rPr>
          <w:sz w:val="24"/>
          <w:szCs w:val="24"/>
        </w:rPr>
      </w:pPr>
      <w:r>
        <w:rPr>
          <w:rFonts w:hint="eastAsia"/>
          <w:sz w:val="24"/>
          <w:szCs w:val="24"/>
        </w:rPr>
        <w:t>4、连续两个或两个以上开放日发生巨额赎回。</w:t>
      </w:r>
    </w:p>
    <w:p w14:paraId="06D7B1DC">
      <w:pPr>
        <w:spacing w:line="360" w:lineRule="auto"/>
        <w:ind w:firstLine="480" w:firstLineChars="200"/>
        <w:rPr>
          <w:sz w:val="24"/>
          <w:szCs w:val="24"/>
        </w:rPr>
      </w:pPr>
      <w:r>
        <w:rPr>
          <w:rFonts w:hint="eastAsia"/>
          <w:sz w:val="24"/>
          <w:szCs w:val="24"/>
        </w:rPr>
        <w:t>5、发生继续接受赎回申请将损害现有基金份额持有人利益的情形。</w:t>
      </w:r>
    </w:p>
    <w:p w14:paraId="1BCEEC7D">
      <w:pPr>
        <w:spacing w:line="360" w:lineRule="auto"/>
        <w:ind w:firstLine="480" w:firstLineChars="200"/>
        <w:rPr>
          <w:sz w:val="24"/>
          <w:szCs w:val="24"/>
        </w:rPr>
      </w:pPr>
      <w:r>
        <w:rPr>
          <w:rFonts w:hint="eastAsia"/>
          <w:sz w:val="24"/>
          <w:szCs w:val="24"/>
        </w:rPr>
        <w:t>6、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14:paraId="6C532749">
      <w:pPr>
        <w:spacing w:line="360" w:lineRule="auto"/>
        <w:ind w:firstLine="480" w:firstLineChars="200"/>
        <w:rPr>
          <w:sz w:val="24"/>
          <w:szCs w:val="24"/>
        </w:rPr>
      </w:pPr>
      <w:r>
        <w:rPr>
          <w:rFonts w:hint="eastAsia"/>
          <w:sz w:val="24"/>
          <w:szCs w:val="24"/>
        </w:rPr>
        <w:t>7、法律法规规定或中国证监会认定的其他情形。</w:t>
      </w:r>
    </w:p>
    <w:p w14:paraId="4D171E58">
      <w:pPr>
        <w:spacing w:line="360" w:lineRule="auto"/>
        <w:ind w:firstLine="480" w:firstLineChars="200"/>
        <w:rPr>
          <w:sz w:val="24"/>
          <w:szCs w:val="24"/>
        </w:rPr>
      </w:pPr>
      <w:r>
        <w:rPr>
          <w:rFonts w:hint="eastAsia"/>
          <w:sz w:val="24"/>
          <w:szCs w:val="24"/>
        </w:rPr>
        <w:t>发生上述情形之一</w:t>
      </w:r>
      <w:r>
        <w:rPr>
          <w:rFonts w:hint="eastAsia"/>
          <w:bCs/>
          <w:sz w:val="24"/>
        </w:rPr>
        <w:t>（第4项除外）</w:t>
      </w:r>
      <w:r>
        <w:rPr>
          <w:rFonts w:hint="eastAsia"/>
          <w:sz w:val="24"/>
          <w:szCs w:val="24"/>
        </w:rPr>
        <w:t>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AF3F582">
      <w:pPr>
        <w:spacing w:line="360" w:lineRule="auto"/>
        <w:ind w:firstLine="480" w:firstLineChars="200"/>
        <w:rPr>
          <w:sz w:val="24"/>
          <w:szCs w:val="24"/>
        </w:rPr>
      </w:pPr>
      <w:r>
        <w:rPr>
          <w:rFonts w:hint="eastAsia"/>
          <w:sz w:val="24"/>
          <w:szCs w:val="24"/>
        </w:rPr>
        <w:t>九、</w:t>
      </w:r>
      <w:r>
        <w:rPr>
          <w:sz w:val="24"/>
          <w:szCs w:val="24"/>
        </w:rPr>
        <w:t>巨额赎回的情形及处理方式</w:t>
      </w:r>
    </w:p>
    <w:p w14:paraId="4C1E200B">
      <w:pPr>
        <w:spacing w:line="360" w:lineRule="auto"/>
        <w:ind w:firstLine="480" w:firstLineChars="200"/>
        <w:rPr>
          <w:sz w:val="24"/>
          <w:szCs w:val="24"/>
        </w:rPr>
      </w:pPr>
      <w:r>
        <w:rPr>
          <w:rFonts w:hint="eastAsia"/>
          <w:sz w:val="24"/>
          <w:szCs w:val="24"/>
        </w:rPr>
        <w:t>1、巨额赎回的认定</w:t>
      </w:r>
    </w:p>
    <w:p w14:paraId="3AC01918">
      <w:pPr>
        <w:spacing w:line="360" w:lineRule="auto"/>
        <w:ind w:firstLine="480" w:firstLineChars="200"/>
        <w:rPr>
          <w:sz w:val="24"/>
          <w:szCs w:val="24"/>
        </w:rPr>
      </w:pPr>
      <w:r>
        <w:rPr>
          <w:rFonts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768F720D">
      <w:pPr>
        <w:spacing w:line="360" w:lineRule="auto"/>
        <w:ind w:firstLine="480" w:firstLineChars="200"/>
        <w:rPr>
          <w:sz w:val="24"/>
          <w:szCs w:val="24"/>
        </w:rPr>
      </w:pPr>
      <w:r>
        <w:rPr>
          <w:rFonts w:hint="eastAsia"/>
          <w:sz w:val="24"/>
          <w:szCs w:val="24"/>
        </w:rPr>
        <w:t>2、巨额赎回的处理方式</w:t>
      </w:r>
    </w:p>
    <w:p w14:paraId="78174FBC">
      <w:pPr>
        <w:spacing w:line="360" w:lineRule="auto"/>
        <w:ind w:firstLine="480" w:firstLineChars="200"/>
        <w:rPr>
          <w:sz w:val="24"/>
          <w:szCs w:val="24"/>
        </w:rPr>
      </w:pPr>
      <w:r>
        <w:rPr>
          <w:rFonts w:hint="eastAsia"/>
          <w:sz w:val="24"/>
          <w:szCs w:val="24"/>
        </w:rPr>
        <w:t>当基金出现巨额赎回时，基金管理人可以根据基金当时的资产组合状况决定全额赎回、部分延期赎回</w:t>
      </w:r>
      <w:r>
        <w:rPr>
          <w:rFonts w:hint="eastAsia"/>
          <w:bCs/>
          <w:sz w:val="24"/>
        </w:rPr>
        <w:t>或暂停赎回</w:t>
      </w:r>
      <w:r>
        <w:rPr>
          <w:rFonts w:hint="eastAsia"/>
          <w:sz w:val="24"/>
          <w:szCs w:val="24"/>
        </w:rPr>
        <w:t>。</w:t>
      </w:r>
    </w:p>
    <w:p w14:paraId="315AD89B">
      <w:pPr>
        <w:spacing w:line="360" w:lineRule="auto"/>
        <w:ind w:firstLine="480" w:firstLineChars="200"/>
        <w:rPr>
          <w:sz w:val="24"/>
          <w:szCs w:val="24"/>
        </w:rPr>
      </w:pPr>
      <w:r>
        <w:rPr>
          <w:rFonts w:hint="eastAsia"/>
          <w:sz w:val="24"/>
          <w:szCs w:val="24"/>
        </w:rPr>
        <w:t>（1）全额赎回：当基金管理人认为有能力支付投资人的全部赎回申请时，按正常赎回程序执行。</w:t>
      </w:r>
    </w:p>
    <w:p w14:paraId="05348F26">
      <w:pPr>
        <w:spacing w:line="360" w:lineRule="auto"/>
        <w:ind w:firstLine="480" w:firstLineChars="200"/>
        <w:rPr>
          <w:sz w:val="24"/>
          <w:szCs w:val="24"/>
        </w:rPr>
      </w:pPr>
      <w:r>
        <w:rPr>
          <w:rFonts w:hint="eastAsia"/>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部分延期赎回不受单笔赎回最低份额的限制。</w:t>
      </w:r>
    </w:p>
    <w:p w14:paraId="4C645A4E">
      <w:pPr>
        <w:spacing w:line="360" w:lineRule="auto"/>
        <w:ind w:firstLine="480" w:firstLineChars="200"/>
        <w:rPr>
          <w:sz w:val="24"/>
          <w:szCs w:val="24"/>
        </w:rPr>
      </w:pPr>
      <w:r>
        <w:rPr>
          <w:rFonts w:hint="eastAsia"/>
          <w:sz w:val="24"/>
          <w:szCs w:val="24"/>
        </w:rPr>
        <w:t>（3）本基金发生巨额赎回时，对于单个基金份额持有人当日超过上一开放日基金总份额30%以上的赎回申请，基金管理人可以延期办理。延期办理部分的赎回申请将与下一开放日赎回申请一并处理，无优先权并以下一开放日的该</w:t>
      </w:r>
      <w:r>
        <w:rPr>
          <w:sz w:val="24"/>
          <w:szCs w:val="24"/>
        </w:rPr>
        <w:t>类别</w:t>
      </w:r>
      <w:r>
        <w:rPr>
          <w:rFonts w:hint="eastAsia"/>
          <w:sz w:val="24"/>
          <w:szCs w:val="24"/>
        </w:rPr>
        <w:t>基金份额净值为基础计算赎回金额，以此类推，直到全部赎回为止。对于该基金份额持有人未超过上述比例的部分，基金管理人有权根据上述“（1）全额赎回”或“（2）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低份额的限制。</w:t>
      </w:r>
    </w:p>
    <w:p w14:paraId="40E93056">
      <w:pPr>
        <w:spacing w:line="360" w:lineRule="auto"/>
        <w:ind w:firstLine="480" w:firstLineChars="200"/>
        <w:rPr>
          <w:sz w:val="24"/>
          <w:szCs w:val="24"/>
        </w:rPr>
      </w:pPr>
      <w:r>
        <w:rPr>
          <w:rFonts w:hint="eastAsia"/>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4CF03074">
      <w:pPr>
        <w:spacing w:line="360" w:lineRule="auto"/>
        <w:ind w:firstLine="480" w:firstLineChars="200"/>
        <w:rPr>
          <w:sz w:val="24"/>
          <w:szCs w:val="24"/>
        </w:rPr>
      </w:pPr>
      <w:r>
        <w:rPr>
          <w:rFonts w:hint="eastAsia"/>
          <w:sz w:val="24"/>
          <w:szCs w:val="24"/>
        </w:rPr>
        <w:t>3、巨额赎回的公告</w:t>
      </w:r>
    </w:p>
    <w:p w14:paraId="357FAA7B">
      <w:pPr>
        <w:spacing w:line="360" w:lineRule="auto"/>
        <w:ind w:firstLine="480" w:firstLineChars="200"/>
        <w:rPr>
          <w:sz w:val="24"/>
          <w:szCs w:val="24"/>
        </w:rPr>
      </w:pPr>
      <w:r>
        <w:rPr>
          <w:rFonts w:hint="eastAsia"/>
          <w:sz w:val="24"/>
          <w:szCs w:val="24"/>
        </w:rPr>
        <w:t>当发生上述巨额赎回并且基金管理人依据“（2）部分延期赎回”进行延期办理时，基金管理人应当通过邮寄、传真或者招募说明书规定的其他方式在3个交易日内通知基金份额持有人，说明有关处理方法，并在2日内在规定媒介上刊登公告。</w:t>
      </w:r>
    </w:p>
    <w:p w14:paraId="7DBC1070">
      <w:pPr>
        <w:spacing w:line="360" w:lineRule="auto"/>
        <w:ind w:firstLine="480" w:firstLineChars="200"/>
        <w:rPr>
          <w:sz w:val="24"/>
          <w:szCs w:val="24"/>
        </w:rPr>
      </w:pPr>
      <w:r>
        <w:rPr>
          <w:rFonts w:hint="eastAsia"/>
          <w:sz w:val="24"/>
          <w:szCs w:val="24"/>
        </w:rPr>
        <w:t>十、暂停申购或赎回的公告和重新开放申购或赎回的公告</w:t>
      </w:r>
    </w:p>
    <w:p w14:paraId="32CF9E23">
      <w:pPr>
        <w:spacing w:line="360" w:lineRule="auto"/>
        <w:ind w:firstLine="480" w:firstLineChars="200"/>
        <w:rPr>
          <w:sz w:val="24"/>
          <w:szCs w:val="24"/>
        </w:rPr>
      </w:pPr>
      <w:r>
        <w:rPr>
          <w:rFonts w:hint="eastAsia"/>
          <w:sz w:val="24"/>
          <w:szCs w:val="24"/>
        </w:rPr>
        <w:t>1、发生上述暂停申购或赎回情况的，基金管理人应在规定期限内在规定媒介上刊登暂停公告。</w:t>
      </w:r>
    </w:p>
    <w:p w14:paraId="61F26B85">
      <w:pPr>
        <w:spacing w:line="360" w:lineRule="auto"/>
        <w:ind w:firstLine="480" w:firstLineChars="200"/>
        <w:rPr>
          <w:sz w:val="24"/>
          <w:szCs w:val="24"/>
        </w:rPr>
      </w:pPr>
      <w:r>
        <w:rPr>
          <w:rFonts w:hint="eastAsia"/>
          <w:sz w:val="24"/>
          <w:szCs w:val="24"/>
        </w:rPr>
        <w:t>2、如发生暂停的时间为1日，基金管理人应于重新开放日，在规定媒介上刊登基金重新开放申购或赎回公告，并公布最近1个估值日的各类</w:t>
      </w:r>
      <w:r>
        <w:rPr>
          <w:bCs/>
          <w:sz w:val="24"/>
        </w:rPr>
        <w:t>基金</w:t>
      </w:r>
      <w:r>
        <w:rPr>
          <w:rFonts w:hint="eastAsia"/>
          <w:bCs/>
          <w:sz w:val="24"/>
        </w:rPr>
        <w:t>份额的</w:t>
      </w:r>
      <w:r>
        <w:rPr>
          <w:rFonts w:hint="eastAsia"/>
          <w:sz w:val="24"/>
          <w:szCs w:val="24"/>
        </w:rPr>
        <w:t>基金份额净值。</w:t>
      </w:r>
    </w:p>
    <w:p w14:paraId="2C13C01C">
      <w:pPr>
        <w:spacing w:line="360" w:lineRule="auto"/>
        <w:ind w:firstLine="480" w:firstLineChars="200"/>
        <w:rPr>
          <w:sz w:val="24"/>
          <w:szCs w:val="24"/>
        </w:rPr>
      </w:pPr>
      <w:r>
        <w:rPr>
          <w:rFonts w:hint="eastAsia"/>
          <w:sz w:val="24"/>
          <w:szCs w:val="24"/>
        </w:rPr>
        <w:t>3、如发生暂停的时间超过1日，基金管理人可以根据暂停申购或赎回的时间，依照《信息披露办法》的有关规定，最迟于重新开放日在规定媒介上刊登重新开放申购或赎回的公告，并公布最近1个估值日的各类</w:t>
      </w:r>
      <w:r>
        <w:rPr>
          <w:bCs/>
          <w:sz w:val="24"/>
        </w:rPr>
        <w:t>基金</w:t>
      </w:r>
      <w:r>
        <w:rPr>
          <w:rFonts w:hint="eastAsia"/>
          <w:bCs/>
          <w:sz w:val="24"/>
        </w:rPr>
        <w:t>份额的</w:t>
      </w:r>
      <w:r>
        <w:rPr>
          <w:rFonts w:hint="eastAsia"/>
          <w:sz w:val="24"/>
          <w:szCs w:val="24"/>
        </w:rPr>
        <w:t>基金份额净值；也可以根据实际情况在暂停公告中明确重新开放申购或赎回的时间，届时不再另行发布重新开放的公告。</w:t>
      </w:r>
    </w:p>
    <w:p w14:paraId="0CBDB024">
      <w:pPr>
        <w:spacing w:line="360" w:lineRule="auto"/>
        <w:ind w:firstLine="480" w:firstLineChars="200"/>
        <w:rPr>
          <w:sz w:val="24"/>
          <w:szCs w:val="24"/>
        </w:rPr>
      </w:pPr>
      <w:r>
        <w:rPr>
          <w:rFonts w:hint="eastAsia"/>
          <w:sz w:val="24"/>
          <w:szCs w:val="24"/>
        </w:rPr>
        <w:t>十一、基金转换</w:t>
      </w:r>
    </w:p>
    <w:p w14:paraId="641B10DE">
      <w:pPr>
        <w:spacing w:line="360" w:lineRule="auto"/>
        <w:ind w:firstLine="480" w:firstLineChars="200"/>
        <w:rPr>
          <w:sz w:val="24"/>
          <w:szCs w:val="24"/>
        </w:rPr>
      </w:pPr>
      <w:r>
        <w:rPr>
          <w:rFonts w:hint="eastAsia"/>
          <w:sz w:val="24"/>
          <w:szCs w:val="24"/>
        </w:rPr>
        <w:t>基金管理人可以根据相关法律法规以及基金合同的规定决定开办本基金</w:t>
      </w:r>
      <w:r>
        <w:rPr>
          <w:rFonts w:hint="eastAsia"/>
          <w:bCs/>
          <w:sz w:val="24"/>
        </w:rPr>
        <w:t>的基金</w:t>
      </w:r>
      <w:r>
        <w:rPr>
          <w:rFonts w:hint="eastAsia"/>
          <w:sz w:val="24"/>
          <w:szCs w:val="24"/>
        </w:rPr>
        <w:t>转换业务，基金转换可以收取一定的转换费</w:t>
      </w:r>
      <w:r>
        <w:rPr>
          <w:rFonts w:hint="eastAsia"/>
          <w:bCs/>
          <w:sz w:val="24"/>
        </w:rPr>
        <w:t>用</w:t>
      </w:r>
      <w:r>
        <w:rPr>
          <w:rFonts w:hint="eastAsia"/>
          <w:sz w:val="24"/>
          <w:szCs w:val="24"/>
        </w:rPr>
        <w:t>，相关规则由基金管理人届时根据相关法律法规及基金合同的规定制定并公告，并提前告知基金托管人与相关机构。</w:t>
      </w:r>
    </w:p>
    <w:p w14:paraId="5CD9043A">
      <w:pPr>
        <w:spacing w:line="360" w:lineRule="auto"/>
        <w:ind w:firstLine="480" w:firstLineChars="200"/>
        <w:rPr>
          <w:sz w:val="24"/>
          <w:szCs w:val="24"/>
        </w:rPr>
      </w:pPr>
      <w:r>
        <w:rPr>
          <w:rFonts w:hint="eastAsia"/>
          <w:sz w:val="24"/>
          <w:szCs w:val="24"/>
        </w:rPr>
        <w:t>十二、基金的非交易过户</w:t>
      </w:r>
    </w:p>
    <w:p w14:paraId="0C841CE2">
      <w:pPr>
        <w:spacing w:line="360" w:lineRule="auto"/>
        <w:ind w:firstLine="480" w:firstLineChars="200"/>
        <w:rPr>
          <w:sz w:val="24"/>
          <w:szCs w:val="24"/>
        </w:rPr>
      </w:pPr>
      <w:r>
        <w:rPr>
          <w:rFonts w:hint="eastAsia"/>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354CE96">
      <w:pPr>
        <w:spacing w:line="360" w:lineRule="auto"/>
        <w:ind w:firstLine="480" w:firstLineChars="200"/>
        <w:rPr>
          <w:sz w:val="24"/>
          <w:szCs w:val="24"/>
        </w:rPr>
      </w:pPr>
      <w:r>
        <w:rPr>
          <w:rFonts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7862B15">
      <w:pPr>
        <w:spacing w:line="360" w:lineRule="auto"/>
        <w:ind w:firstLine="480" w:firstLineChars="200"/>
        <w:rPr>
          <w:sz w:val="24"/>
          <w:szCs w:val="24"/>
        </w:rPr>
      </w:pPr>
      <w:r>
        <w:rPr>
          <w:rFonts w:hint="eastAsia"/>
          <w:sz w:val="24"/>
          <w:szCs w:val="24"/>
        </w:rPr>
        <w:t>十三、基金的转托管</w:t>
      </w:r>
    </w:p>
    <w:p w14:paraId="612F8F41">
      <w:pPr>
        <w:spacing w:line="360" w:lineRule="auto"/>
        <w:ind w:firstLine="480" w:firstLineChars="200"/>
        <w:rPr>
          <w:sz w:val="24"/>
          <w:szCs w:val="24"/>
        </w:rPr>
      </w:pPr>
      <w:r>
        <w:rPr>
          <w:rFonts w:hint="eastAsia"/>
          <w:sz w:val="24"/>
          <w:szCs w:val="24"/>
        </w:rPr>
        <w:t>基金份额持有人可办理已持有基金份额在不同销售机构之间的转托管，基金销售机构可以按照规定的标准收取转托管费。</w:t>
      </w:r>
    </w:p>
    <w:p w14:paraId="7897AD84">
      <w:pPr>
        <w:spacing w:line="360" w:lineRule="auto"/>
        <w:ind w:firstLine="480" w:firstLineChars="200"/>
        <w:rPr>
          <w:sz w:val="24"/>
          <w:szCs w:val="24"/>
        </w:rPr>
      </w:pPr>
      <w:r>
        <w:rPr>
          <w:rFonts w:hint="eastAsia"/>
          <w:sz w:val="24"/>
          <w:szCs w:val="24"/>
        </w:rPr>
        <w:t>十四、定期定额投资计划</w:t>
      </w:r>
    </w:p>
    <w:p w14:paraId="6DE89949">
      <w:pPr>
        <w:spacing w:line="360" w:lineRule="auto"/>
        <w:ind w:firstLine="480" w:firstLineChars="200"/>
        <w:rPr>
          <w:sz w:val="24"/>
          <w:szCs w:val="24"/>
        </w:rPr>
      </w:pPr>
      <w:r>
        <w:rPr>
          <w:rFonts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F4D7AEF">
      <w:pPr>
        <w:spacing w:line="360" w:lineRule="auto"/>
        <w:ind w:firstLine="480" w:firstLineChars="200"/>
        <w:rPr>
          <w:sz w:val="24"/>
          <w:szCs w:val="24"/>
        </w:rPr>
      </w:pPr>
      <w:r>
        <w:rPr>
          <w:rFonts w:hint="eastAsia"/>
          <w:sz w:val="24"/>
          <w:szCs w:val="24"/>
        </w:rPr>
        <w:t>十五、基金份额的冻结、解冻、质押</w:t>
      </w:r>
      <w:r>
        <w:rPr>
          <w:rFonts w:hint="eastAsia"/>
          <w:bCs/>
          <w:sz w:val="24"/>
        </w:rPr>
        <w:t>和其他基金业务</w:t>
      </w:r>
    </w:p>
    <w:p w14:paraId="2A71EE94">
      <w:pPr>
        <w:spacing w:line="360" w:lineRule="auto"/>
        <w:ind w:firstLine="480" w:firstLineChars="200"/>
        <w:rPr>
          <w:sz w:val="24"/>
          <w:szCs w:val="24"/>
        </w:rPr>
      </w:pPr>
      <w:r>
        <w:rPr>
          <w:rFonts w:hint="eastAsia"/>
          <w:sz w:val="24"/>
          <w:szCs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或监管部门另有规定的除外。</w:t>
      </w:r>
    </w:p>
    <w:p w14:paraId="6FDA6FBE">
      <w:pPr>
        <w:spacing w:line="360" w:lineRule="auto"/>
        <w:ind w:firstLine="480" w:firstLineChars="200"/>
        <w:rPr>
          <w:sz w:val="24"/>
          <w:szCs w:val="24"/>
        </w:rPr>
      </w:pPr>
      <w:r>
        <w:rPr>
          <w:rFonts w:hint="eastAsia"/>
          <w:sz w:val="24"/>
          <w:szCs w:val="24"/>
        </w:rPr>
        <w:t>如相关法律法规允许基金管理人办理基金份额的质押业务或其他基金业务，基金管理人可制定和实施相应的业务规则。</w:t>
      </w:r>
    </w:p>
    <w:p w14:paraId="29FDACE8">
      <w:pPr>
        <w:spacing w:line="360" w:lineRule="auto"/>
        <w:ind w:firstLine="480" w:firstLineChars="200"/>
        <w:rPr>
          <w:sz w:val="24"/>
          <w:szCs w:val="24"/>
        </w:rPr>
      </w:pPr>
      <w:r>
        <w:rPr>
          <w:rFonts w:hint="eastAsia"/>
          <w:sz w:val="24"/>
          <w:szCs w:val="24"/>
        </w:rPr>
        <w:t>十六、基金份额的转让</w:t>
      </w:r>
    </w:p>
    <w:p w14:paraId="03DF14E1">
      <w:pPr>
        <w:spacing w:line="360" w:lineRule="auto"/>
        <w:ind w:firstLine="480" w:firstLineChars="200"/>
        <w:rPr>
          <w:sz w:val="24"/>
          <w:szCs w:val="24"/>
        </w:rPr>
      </w:pPr>
      <w:r>
        <w:rPr>
          <w:rFonts w:hint="eastAsia"/>
          <w:sz w:val="24"/>
          <w:szCs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2030B1FD">
      <w:pPr>
        <w:spacing w:line="360" w:lineRule="auto"/>
        <w:ind w:firstLine="480" w:firstLineChars="200"/>
        <w:rPr>
          <w:sz w:val="24"/>
          <w:szCs w:val="24"/>
        </w:rPr>
      </w:pPr>
      <w:r>
        <w:rPr>
          <w:rFonts w:hint="eastAsia"/>
          <w:sz w:val="24"/>
          <w:szCs w:val="24"/>
        </w:rPr>
        <w:t>十七、实施侧袋机制期间本基金的申购与赎回</w:t>
      </w:r>
    </w:p>
    <w:p w14:paraId="0728FDDF">
      <w:pPr>
        <w:spacing w:line="360" w:lineRule="auto"/>
        <w:ind w:firstLine="480" w:firstLineChars="200"/>
        <w:rPr>
          <w:sz w:val="24"/>
          <w:szCs w:val="24"/>
        </w:rPr>
      </w:pPr>
      <w:r>
        <w:rPr>
          <w:rFonts w:hint="eastAsia"/>
          <w:sz w:val="24"/>
          <w:szCs w:val="24"/>
        </w:rPr>
        <w:t>本基金实施侧袋机制的，本基金的申购和赎回安排详见招募说明书“侧袋机制”部分的规定或相关公告。</w:t>
      </w:r>
    </w:p>
    <w:bookmarkEnd w:id="125"/>
    <w:p w14:paraId="4AA00803">
      <w:pPr>
        <w:pStyle w:val="2"/>
        <w:spacing w:before="0" w:after="0"/>
        <w:jc w:val="center"/>
        <w:rPr>
          <w:rFonts w:ascii="Times New Roman"/>
          <w:color w:val="auto"/>
          <w:szCs w:val="24"/>
        </w:rPr>
      </w:pPr>
      <w:r>
        <w:rPr>
          <w:rFonts w:ascii="Times New Roman"/>
          <w:b w:val="0"/>
          <w:bCs/>
          <w:color w:val="auto"/>
          <w:szCs w:val="24"/>
        </w:rPr>
        <w:br w:type="page"/>
      </w:r>
      <w:bookmarkStart w:id="127" w:name="_Hlt55355235"/>
      <w:bookmarkEnd w:id="127"/>
      <w:bookmarkStart w:id="128" w:name="_Hlt88825574"/>
      <w:bookmarkEnd w:id="128"/>
      <w:bookmarkStart w:id="129" w:name="_Hlt88897298"/>
      <w:bookmarkEnd w:id="129"/>
      <w:bookmarkStart w:id="130" w:name="_Hlt88820748"/>
      <w:bookmarkEnd w:id="130"/>
      <w:bookmarkStart w:id="131" w:name="_Toc3601"/>
      <w:bookmarkStart w:id="132" w:name="_Toc141703887"/>
      <w:bookmarkStart w:id="133" w:name="_Toc16859"/>
      <w:bookmarkStart w:id="134" w:name="_Toc123102454"/>
      <w:bookmarkStart w:id="135" w:name="_Toc31653"/>
      <w:bookmarkStart w:id="136" w:name="_Toc123112235"/>
      <w:bookmarkStart w:id="137" w:name="_Toc6405"/>
      <w:bookmarkStart w:id="138" w:name="_Toc29251"/>
      <w:bookmarkStart w:id="139" w:name="_Toc31644"/>
      <w:bookmarkStart w:id="140" w:name="_Toc14835"/>
      <w:bookmarkStart w:id="141" w:name="_Toc139991737"/>
      <w:bookmarkStart w:id="142" w:name="_Toc12245"/>
      <w:bookmarkStart w:id="143" w:name="_Toc15143"/>
      <w:bookmarkStart w:id="144" w:name="_Toc98560353"/>
      <w:bookmarkStart w:id="145" w:name="_Toc26207"/>
      <w:bookmarkStart w:id="146" w:name="_Toc123051453"/>
      <w:bookmarkStart w:id="147" w:name="_Toc31235"/>
      <w:bookmarkStart w:id="148" w:name="_Toc216103542"/>
      <w:bookmarkStart w:id="149" w:name="_Toc13343"/>
      <w:bookmarkStart w:id="150" w:name="_Toc345339065"/>
      <w:bookmarkStart w:id="151" w:name="_Toc2981"/>
      <w:bookmarkStart w:id="152" w:name="_Toc11395"/>
      <w:bookmarkStart w:id="153" w:name="_Toc3872"/>
      <w:bookmarkStart w:id="154" w:name="_Toc16437"/>
      <w:bookmarkStart w:id="155" w:name="_Toc5477"/>
      <w:bookmarkStart w:id="156" w:name="_Toc11351"/>
      <w:bookmarkStart w:id="157" w:name="_Toc326752134"/>
      <w:bookmarkStart w:id="158" w:name="_Toc578"/>
      <w:bookmarkStart w:id="159" w:name="_Toc21917"/>
      <w:bookmarkStart w:id="160" w:name="_Toc22538"/>
      <w:bookmarkStart w:id="161" w:name="_Toc48032546"/>
      <w:bookmarkStart w:id="162" w:name="_Toc801"/>
      <w:r>
        <w:rPr>
          <w:rFonts w:ascii="Times New Roman"/>
          <w:color w:val="auto"/>
          <w:szCs w:val="24"/>
        </w:rPr>
        <w:t>第</w:t>
      </w:r>
      <w:r>
        <w:rPr>
          <w:rFonts w:hint="eastAsia" w:ascii="Times New Roman"/>
          <w:color w:val="auto"/>
          <w:szCs w:val="24"/>
        </w:rPr>
        <w:t>九</w:t>
      </w:r>
      <w:r>
        <w:rPr>
          <w:rFonts w:ascii="Times New Roman"/>
          <w:color w:val="auto"/>
          <w:szCs w:val="24"/>
        </w:rPr>
        <w:t>部分  基金</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Times New Roman"/>
          <w:color w:val="auto"/>
          <w:szCs w:val="24"/>
        </w:rPr>
        <w:t>的投资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3" w:name="_Toc79392580"/>
      <w:bookmarkStart w:id="164" w:name="_Toc15118234"/>
      <w:bookmarkStart w:id="165" w:name="_Toc57530239"/>
      <w:bookmarkStart w:id="166" w:name="_Toc523711668"/>
    </w:p>
    <w:p w14:paraId="7860372C">
      <w:pPr>
        <w:spacing w:line="360" w:lineRule="auto"/>
        <w:ind w:firstLine="480" w:firstLineChars="200"/>
        <w:rPr>
          <w:bCs/>
          <w:sz w:val="24"/>
          <w:szCs w:val="24"/>
        </w:rPr>
      </w:pPr>
    </w:p>
    <w:p w14:paraId="1E319C41">
      <w:pPr>
        <w:spacing w:line="360" w:lineRule="auto"/>
        <w:ind w:firstLine="480" w:firstLineChars="200"/>
        <w:rPr>
          <w:bCs/>
          <w:sz w:val="24"/>
        </w:rPr>
      </w:pPr>
      <w:bookmarkStart w:id="167" w:name="_Hlk93054751"/>
      <w:r>
        <w:rPr>
          <w:rFonts w:hint="eastAsia"/>
          <w:bCs/>
          <w:sz w:val="24"/>
        </w:rPr>
        <w:t>一、投资目标</w:t>
      </w:r>
    </w:p>
    <w:p w14:paraId="70443A75">
      <w:pPr>
        <w:spacing w:line="360" w:lineRule="auto"/>
        <w:ind w:firstLine="480" w:firstLineChars="200"/>
        <w:rPr>
          <w:sz w:val="24"/>
        </w:rPr>
      </w:pPr>
      <w:r>
        <w:rPr>
          <w:rFonts w:hint="eastAsia"/>
          <w:bCs/>
          <w:sz w:val="24"/>
        </w:rPr>
        <w:t>本基金精选新材料主题的优质证券进行中长期投资，在合理控制风险并保持基金资产良好流动性的前提下，力争实现基金资产的长期增值。</w:t>
      </w:r>
    </w:p>
    <w:p w14:paraId="04839A56">
      <w:pPr>
        <w:spacing w:line="360" w:lineRule="auto"/>
        <w:ind w:firstLine="480" w:firstLineChars="200"/>
        <w:rPr>
          <w:bCs/>
          <w:sz w:val="24"/>
        </w:rPr>
      </w:pPr>
      <w:r>
        <w:rPr>
          <w:rFonts w:hint="eastAsia"/>
          <w:bCs/>
          <w:sz w:val="24"/>
        </w:rPr>
        <w:t>二、投资范围</w:t>
      </w:r>
    </w:p>
    <w:p w14:paraId="47C48439">
      <w:pPr>
        <w:spacing w:line="360" w:lineRule="auto"/>
        <w:ind w:firstLine="480" w:firstLineChars="20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59115446">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08DAEBE8">
      <w:pPr>
        <w:spacing w:line="360" w:lineRule="auto"/>
        <w:ind w:firstLine="480" w:firstLineChars="200"/>
        <w:rPr>
          <w:bCs/>
          <w:sz w:val="24"/>
        </w:rPr>
      </w:pPr>
      <w:r>
        <w:rPr>
          <w:rFonts w:hint="eastAsia"/>
          <w:bCs/>
          <w:sz w:val="24"/>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5198DB07">
      <w:pPr>
        <w:spacing w:line="360" w:lineRule="auto"/>
        <w:ind w:firstLine="480" w:firstLineChars="200"/>
        <w:rPr>
          <w:bCs/>
          <w:sz w:val="24"/>
        </w:rPr>
      </w:pPr>
      <w:r>
        <w:rPr>
          <w:rFonts w:hint="eastAsia"/>
          <w:bCs/>
          <w:sz w:val="24"/>
        </w:rPr>
        <w:t>如法律法规或中国证监会变更投资品种的投资比例限制，基金管理人在履行适当程序后，可以调整上述投资品种的投资比例。</w:t>
      </w:r>
    </w:p>
    <w:p w14:paraId="70177AC6">
      <w:pPr>
        <w:spacing w:line="360" w:lineRule="auto"/>
        <w:ind w:firstLine="480" w:firstLineChars="200"/>
        <w:rPr>
          <w:bCs/>
          <w:sz w:val="24"/>
        </w:rPr>
      </w:pPr>
      <w:r>
        <w:rPr>
          <w:rFonts w:hint="eastAsia"/>
          <w:bCs/>
          <w:sz w:val="24"/>
        </w:rPr>
        <w:t>三、投资策略</w:t>
      </w:r>
    </w:p>
    <w:p w14:paraId="4FCDF8F6">
      <w:pPr>
        <w:spacing w:line="360" w:lineRule="auto"/>
        <w:ind w:firstLine="480" w:firstLineChars="200"/>
        <w:rPr>
          <w:bCs/>
          <w:sz w:val="24"/>
        </w:rPr>
      </w:pPr>
      <w:r>
        <w:rPr>
          <w:rFonts w:hint="eastAsia"/>
          <w:bCs/>
          <w:sz w:val="24"/>
        </w:rPr>
        <w:t>（一）新材料主题的界定</w:t>
      </w:r>
    </w:p>
    <w:p w14:paraId="2BD4D919">
      <w:pPr>
        <w:spacing w:line="360" w:lineRule="auto"/>
        <w:ind w:firstLine="480" w:firstLineChars="200"/>
        <w:rPr>
          <w:bCs/>
          <w:sz w:val="24"/>
        </w:rPr>
      </w:pPr>
      <w:r>
        <w:rPr>
          <w:rFonts w:hint="eastAsia"/>
          <w:bCs/>
          <w:sz w:val="24"/>
        </w:rPr>
        <w:t>新材料是指新出现的或正在发展的具有优异性能或特殊功能的材料，或是传统材料改进后性能明显提高或产生新功能的材料。具体范围参考工业和信息化部发布的《重点新材料首批次应用示范指导目录（2024年版）》及其更新，主要包括：1）先进基础材料：先进钢铁材料、先进有色金属、先进化工材料、先进无机非金属材料；2）关键战略材料：高性能纤维及复合材料、稀土功能材料、先进半导体材料和新型显示材料、新型能源材料、生物医用及生物降解材料；3）前沿材料：3D打印有机硅材料、石墨烯散热材料、实用化超导材料；4）《重点新材料首批次应用示范指导目录（2024年版）》及其更新包含的其他新材料。</w:t>
      </w:r>
    </w:p>
    <w:p w14:paraId="1F9964DB">
      <w:pPr>
        <w:spacing w:line="360" w:lineRule="auto"/>
        <w:ind w:firstLine="480" w:firstLineChars="200"/>
        <w:rPr>
          <w:bCs/>
          <w:sz w:val="24"/>
        </w:rPr>
      </w:pPr>
      <w:r>
        <w:rPr>
          <w:rFonts w:hint="eastAsia"/>
          <w:bCs/>
          <w:sz w:val="24"/>
        </w:rPr>
        <w:t>本基金界定的新材料主题公司为：</w:t>
      </w:r>
    </w:p>
    <w:p w14:paraId="5ABEF80E">
      <w:pPr>
        <w:spacing w:line="360" w:lineRule="auto"/>
        <w:ind w:firstLine="480" w:firstLineChars="200"/>
        <w:rPr>
          <w:bCs/>
          <w:sz w:val="24"/>
        </w:rPr>
      </w:pPr>
      <w:r>
        <w:rPr>
          <w:rFonts w:hint="eastAsia"/>
          <w:bCs/>
          <w:sz w:val="24"/>
        </w:rPr>
        <w:t>从事新材料研发、生产，或主营业务提供的产品或服务隶属于新材料产业的公司，按照申万一级行业，重点分布于电力设备、电子、基础化工、国防军工、石油石化、有色金属、钢铁、煤炭、建材等行业。</w:t>
      </w:r>
    </w:p>
    <w:p w14:paraId="6B3F0A66">
      <w:pPr>
        <w:spacing w:line="360" w:lineRule="auto"/>
        <w:ind w:firstLine="480" w:firstLineChars="200"/>
        <w:rPr>
          <w:bCs/>
          <w:sz w:val="24"/>
        </w:rPr>
      </w:pPr>
      <w:r>
        <w:rPr>
          <w:rFonts w:hint="eastAsia"/>
          <w:bCs/>
          <w:sz w:val="24"/>
        </w:rPr>
        <w:t>本基金将对新材料主题相关行业及上市公司进行密切跟踪，未来随着科技进步及商业模式发展，新材料行业的外延将可能会不断扩大，相关上市公司的范围也会相应改变。届时基金管理人在履行适当程序后，可以对新材料主题相关领域及公司的界定进行动态更新，并在更新的招募说明书中公告。</w:t>
      </w:r>
    </w:p>
    <w:p w14:paraId="6C7ED8AC">
      <w:pPr>
        <w:spacing w:line="360" w:lineRule="auto"/>
        <w:ind w:firstLine="480" w:firstLineChars="200"/>
        <w:rPr>
          <w:bCs/>
          <w:sz w:val="24"/>
        </w:rPr>
      </w:pPr>
      <w:r>
        <w:rPr>
          <w:rFonts w:hint="eastAsia"/>
          <w:bCs/>
          <w:sz w:val="24"/>
        </w:rPr>
        <w:t>（二）大类资产配置策略</w:t>
      </w:r>
    </w:p>
    <w:p w14:paraId="594B34CC">
      <w:pPr>
        <w:spacing w:line="360" w:lineRule="auto"/>
        <w:ind w:firstLine="480" w:firstLineChars="200"/>
        <w:rPr>
          <w:bCs/>
          <w:sz w:val="24"/>
        </w:rPr>
      </w:pPr>
      <w:r>
        <w:rPr>
          <w:rFonts w:hint="eastAsia"/>
          <w:bCs/>
          <w:sz w:val="24"/>
        </w:rPr>
        <w:t>在大类资产配置中，本基金综合运用定性和定量的分析手段，在对宏观经济因素进行充分研究的基础上，判断宏观经济周期所处阶段。本基金将依据经济周期理论，结合对证券市场的系统性风险以及未来一段时期内各大类资产风险和预期收益率的评估，制定本基金在股票、债券、现金等大类资产之间的配置比例。</w:t>
      </w:r>
    </w:p>
    <w:p w14:paraId="353548C2">
      <w:pPr>
        <w:spacing w:line="360" w:lineRule="auto"/>
        <w:ind w:firstLine="480" w:firstLineChars="200"/>
        <w:rPr>
          <w:bCs/>
          <w:sz w:val="24"/>
        </w:rPr>
      </w:pPr>
      <w:r>
        <w:rPr>
          <w:rFonts w:hint="eastAsia"/>
          <w:bCs/>
          <w:sz w:val="24"/>
        </w:rPr>
        <w:t>本基金对股票等权益类、债券等固定收益类和现金资产分布进行实时监控，根据经济运行周期变动、货币供应、市场利率变化、市场估值、证券市场变化等因素以及对基金的风险评估进行灵活调整。在各类资产中，根据其参与市场基本要素的变动，调整各类资产在基金投资组合中的比例。</w:t>
      </w:r>
    </w:p>
    <w:p w14:paraId="5834FB5D">
      <w:pPr>
        <w:spacing w:line="360" w:lineRule="auto"/>
        <w:ind w:firstLine="480" w:firstLineChars="200"/>
        <w:rPr>
          <w:bCs/>
          <w:sz w:val="24"/>
        </w:rPr>
      </w:pPr>
      <w:r>
        <w:rPr>
          <w:rFonts w:hint="eastAsia"/>
          <w:bCs/>
          <w:sz w:val="24"/>
        </w:rPr>
        <w:t>（三）股票投资策略</w:t>
      </w:r>
    </w:p>
    <w:p w14:paraId="039C042B">
      <w:pPr>
        <w:spacing w:line="360" w:lineRule="auto"/>
        <w:ind w:firstLine="480" w:firstLineChars="200"/>
        <w:rPr>
          <w:bCs/>
          <w:sz w:val="24"/>
        </w:rPr>
      </w:pPr>
      <w:r>
        <w:rPr>
          <w:rFonts w:hint="eastAsia"/>
          <w:bCs/>
          <w:sz w:val="24"/>
        </w:rPr>
        <w:t>1、个股精选策略</w:t>
      </w:r>
    </w:p>
    <w:p w14:paraId="13588FE2">
      <w:pPr>
        <w:spacing w:line="360" w:lineRule="auto"/>
        <w:ind w:firstLine="480" w:firstLineChars="200"/>
        <w:rPr>
          <w:bCs/>
          <w:sz w:val="24"/>
        </w:rPr>
      </w:pPr>
      <w:r>
        <w:rPr>
          <w:rFonts w:hint="eastAsia"/>
          <w:bCs/>
          <w:sz w:val="24"/>
        </w:rPr>
        <w:t>本基金将根据新材料主题的范畴选出备选投资标的，在此基础上，本基金将从上市公司基本面状况，财务状况和股票估值三方面对备选投资标的进行分析，并将股票流动性作为投资组合构建的重要考虑因素：</w:t>
      </w:r>
    </w:p>
    <w:p w14:paraId="479495A9">
      <w:pPr>
        <w:spacing w:line="360" w:lineRule="auto"/>
        <w:ind w:firstLine="480" w:firstLineChars="200"/>
        <w:rPr>
          <w:bCs/>
          <w:sz w:val="24"/>
        </w:rPr>
      </w:pPr>
      <w:r>
        <w:rPr>
          <w:rFonts w:hint="eastAsia"/>
          <w:bCs/>
          <w:sz w:val="24"/>
        </w:rPr>
        <w:t>（1）上市公司基本面状况分析</w:t>
      </w:r>
    </w:p>
    <w:p w14:paraId="2A3E55F4">
      <w:pPr>
        <w:spacing w:line="360" w:lineRule="auto"/>
        <w:ind w:firstLine="480" w:firstLineChars="200"/>
        <w:rPr>
          <w:bCs/>
          <w:sz w:val="24"/>
        </w:rPr>
      </w:pPr>
      <w:r>
        <w:rPr>
          <w:rFonts w:hint="eastAsia"/>
          <w:bCs/>
          <w:sz w:val="24"/>
        </w:rPr>
        <w:t>行业地位方面，选择在产业链上有稳固地位，行业壁垒高的上市公司；技术研发方面，通过对公司产品和研发团队的判断，选择有竞争优势，具备创新技术的公司；公司治理结构方面，选择管理层优秀，公司治理结构规范，有清晰的竞争战略，人员激励到位的公司。</w:t>
      </w:r>
    </w:p>
    <w:p w14:paraId="34743826">
      <w:pPr>
        <w:spacing w:line="360" w:lineRule="auto"/>
        <w:ind w:firstLine="480" w:firstLineChars="200"/>
        <w:rPr>
          <w:bCs/>
          <w:sz w:val="24"/>
        </w:rPr>
      </w:pPr>
      <w:r>
        <w:rPr>
          <w:rFonts w:hint="eastAsia"/>
          <w:bCs/>
          <w:sz w:val="24"/>
        </w:rPr>
        <w:t>（2）上市公司财务状况分析</w:t>
      </w:r>
    </w:p>
    <w:p w14:paraId="699AE0B8">
      <w:pPr>
        <w:spacing w:line="360" w:lineRule="auto"/>
        <w:ind w:firstLine="480" w:firstLineChars="200"/>
        <w:rPr>
          <w:bCs/>
          <w:sz w:val="24"/>
        </w:rPr>
      </w:pPr>
      <w:r>
        <w:rPr>
          <w:rFonts w:hint="eastAsia"/>
          <w:bCs/>
          <w:sz w:val="24"/>
        </w:rPr>
        <w:t>本基金的财务分析偏重于公司的成长性分析。本基金通过对财务报告提供的信息，系统性地分析企业的经营情况，重点关注上市公司的盈利能力、经营效率，业务成长能力、持续经营能力、资金杠杆水平以及现金流管理水平，对公司做出综合分析和评价，预测公司未来的盈利能力，挑选出有优良财务状况的上市公司股票。</w:t>
      </w:r>
    </w:p>
    <w:p w14:paraId="75ABE7A7">
      <w:pPr>
        <w:spacing w:line="360" w:lineRule="auto"/>
        <w:ind w:firstLine="480" w:firstLineChars="200"/>
        <w:rPr>
          <w:bCs/>
          <w:sz w:val="24"/>
        </w:rPr>
      </w:pPr>
      <w:r>
        <w:rPr>
          <w:rFonts w:hint="eastAsia"/>
          <w:bCs/>
          <w:sz w:val="24"/>
        </w:rPr>
        <w:t>（3）上市公司股票估值分析</w:t>
      </w:r>
    </w:p>
    <w:p w14:paraId="5EE2F8B0">
      <w:pPr>
        <w:spacing w:line="360" w:lineRule="auto"/>
        <w:ind w:firstLine="480" w:firstLineChars="200"/>
        <w:rPr>
          <w:bCs/>
          <w:sz w:val="24"/>
        </w:rPr>
      </w:pPr>
      <w:r>
        <w:rPr>
          <w:rFonts w:hint="eastAsia"/>
          <w:bCs/>
          <w:sz w:val="24"/>
        </w:rPr>
        <w:t>本基金将采用多种指标对股票进行估值分析。包括盈利性指标（市盈率、市销率等）、增长性指标（销售收入增长率，净利润增长率等）以及其他指标对公司股票进行多方面的评估。本基金同时将公司市值与行业竞争对手，未来市场成长空间进行多维度对比。基于以上的综合评估，确定本基金的重点备选投资对象，从中选择最具有投资吸引力的股票构建投资组合。</w:t>
      </w:r>
    </w:p>
    <w:p w14:paraId="446B5E11">
      <w:pPr>
        <w:spacing w:line="360" w:lineRule="auto"/>
        <w:ind w:firstLine="480" w:firstLineChars="200"/>
        <w:rPr>
          <w:bCs/>
          <w:sz w:val="24"/>
        </w:rPr>
      </w:pPr>
      <w:r>
        <w:rPr>
          <w:rFonts w:hint="eastAsia"/>
          <w:bCs/>
          <w:sz w:val="24"/>
        </w:rPr>
        <w:t>2、港股通标的股票投资策略</w:t>
      </w:r>
    </w:p>
    <w:p w14:paraId="66047BC1">
      <w:pPr>
        <w:spacing w:line="360" w:lineRule="auto"/>
        <w:ind w:firstLine="480" w:firstLineChars="200"/>
        <w:rPr>
          <w:bCs/>
          <w:sz w:val="24"/>
        </w:rPr>
      </w:pPr>
      <w:r>
        <w:rPr>
          <w:rFonts w:hint="eastAsia"/>
          <w:bCs/>
          <w:sz w:val="24"/>
        </w:rPr>
        <w:t>本基金可通过内地与香港股票市场交易互联互通机制投资于香港股票市场。本基金主要在新材料领域相关上市公司投资机会凸显且对应H股具有估值优势时，通过港股通参与相应的港股投资。此外，本基金将对港股通标的股票进行系统性分析，结合香港股票市场情况，重点投资于港股通标的股票范围内处于合理价位的具备核心竞争力的上市公司股票。</w:t>
      </w:r>
    </w:p>
    <w:p w14:paraId="550C8330">
      <w:pPr>
        <w:spacing w:line="360" w:lineRule="auto"/>
        <w:ind w:firstLine="480" w:firstLineChars="200"/>
        <w:rPr>
          <w:bCs/>
          <w:sz w:val="24"/>
        </w:rPr>
      </w:pPr>
      <w:r>
        <w:rPr>
          <w:rFonts w:hint="eastAsia"/>
          <w:bCs/>
          <w:sz w:val="24"/>
        </w:rPr>
        <w:t>3、存托凭证投资策略</w:t>
      </w:r>
    </w:p>
    <w:p w14:paraId="5C11ADBD">
      <w:pPr>
        <w:spacing w:line="360" w:lineRule="auto"/>
        <w:ind w:firstLine="480" w:firstLineChars="200"/>
        <w:rPr>
          <w:bCs/>
          <w:sz w:val="24"/>
        </w:rPr>
      </w:pPr>
      <w:r>
        <w:rPr>
          <w:rFonts w:hint="eastAsia"/>
          <w:bCs/>
          <w:sz w:val="24"/>
        </w:rPr>
        <w:t>本基金投资存托凭证的策略依照上述境内上市交易的股票投资策略执行。</w:t>
      </w:r>
    </w:p>
    <w:p w14:paraId="2D431BAE">
      <w:pPr>
        <w:spacing w:line="360" w:lineRule="auto"/>
        <w:ind w:firstLine="480" w:firstLineChars="200"/>
        <w:rPr>
          <w:bCs/>
          <w:sz w:val="24"/>
        </w:rPr>
      </w:pPr>
      <w:r>
        <w:rPr>
          <w:rFonts w:hint="eastAsia"/>
          <w:bCs/>
          <w:sz w:val="24"/>
        </w:rPr>
        <w:t>（四）债券投资策略</w:t>
      </w:r>
    </w:p>
    <w:p w14:paraId="0289AAE5">
      <w:pPr>
        <w:spacing w:line="360" w:lineRule="auto"/>
        <w:ind w:firstLine="480" w:firstLineChars="200"/>
        <w:rPr>
          <w:bCs/>
          <w:sz w:val="24"/>
        </w:rPr>
      </w:pPr>
      <w:r>
        <w:rPr>
          <w:rFonts w:hint="eastAsia"/>
          <w:bCs/>
          <w:sz w:val="24"/>
        </w:rPr>
        <w:t>1、投资方法</w:t>
      </w:r>
    </w:p>
    <w:p w14:paraId="766DCE02">
      <w:pPr>
        <w:spacing w:line="360" w:lineRule="auto"/>
        <w:ind w:firstLine="480" w:firstLineChars="200"/>
        <w:rPr>
          <w:bCs/>
          <w:sz w:val="24"/>
        </w:rPr>
      </w:pPr>
      <w:r>
        <w:rPr>
          <w:rFonts w:hint="eastAsia"/>
          <w:bCs/>
          <w:sz w:val="24"/>
        </w:rPr>
        <w:t>本基金在严格的风险控制和确保基金资产流动性的前提下，在系统性分析研究的基础上，适时合理地利用现有的央行票据、中期票据、国债、企业债等投资工具，配合套利策略的积极运用，追求低风险下的稳健收益。</w:t>
      </w:r>
    </w:p>
    <w:p w14:paraId="6D85131E">
      <w:pPr>
        <w:spacing w:line="360" w:lineRule="auto"/>
        <w:ind w:firstLine="480" w:firstLineChars="200"/>
        <w:rPr>
          <w:bCs/>
          <w:sz w:val="24"/>
        </w:rPr>
      </w:pPr>
      <w:r>
        <w:rPr>
          <w:rFonts w:hint="eastAsia"/>
          <w:bCs/>
          <w:sz w:val="24"/>
        </w:rPr>
        <w:t>此外，本基金还将采用债券类属配置策略调整在不同债券投资品种之间的配置比例，采用个券选择策略在正确拟合收益率曲线的基础上，及时发现偏离市场收益率的债券，选择投资于定价低估的债券品种，并通过回购套利以及跨市场、跨品种套利等策略提高收益。</w:t>
      </w:r>
    </w:p>
    <w:p w14:paraId="253B6880">
      <w:pPr>
        <w:spacing w:line="360" w:lineRule="auto"/>
        <w:ind w:firstLine="480" w:firstLineChars="200"/>
        <w:rPr>
          <w:bCs/>
          <w:sz w:val="24"/>
        </w:rPr>
      </w:pPr>
      <w:r>
        <w:rPr>
          <w:rFonts w:hint="eastAsia"/>
          <w:bCs/>
          <w:sz w:val="24"/>
        </w:rPr>
        <w:t>2、可转换债券、可交换债券投资策略</w:t>
      </w:r>
    </w:p>
    <w:p w14:paraId="7324C10D">
      <w:pPr>
        <w:spacing w:line="360" w:lineRule="auto"/>
        <w:ind w:firstLine="480" w:firstLineChars="200"/>
        <w:rPr>
          <w:bCs/>
          <w:sz w:val="24"/>
        </w:rPr>
      </w:pPr>
      <w:r>
        <w:rPr>
          <w:rFonts w:hint="eastAsia"/>
          <w:bCs/>
          <w:sz w:val="24"/>
        </w:rPr>
        <w:t>基金管理人着重对可转换债券、可交换债券对应的基础股票的分析与研究，同时兼顾其债券价值和转换期权价值，对那些有着较强的盈利能力或成长潜力的上市公司的可转换债券、可交换债券进行重点投资。基金管理人将对可转换债券、可交换债券对应的基础股票的基本面进行分析，包括所处行业的景气度、成长性、核心竞争力等，并参考同类公司的估值水平，研判发行公司的投资价值；基于对利率水平、票息率及派息频率、信用风险等因素的分析，判断其债券投资价值；采用期权定价模型，估算可转换债券、可交换债券的转换期权价值。综合以上因素，对可转换债券、可交换债券进行定价分析，制定可转换债券、可交换债券的投资策略。</w:t>
      </w:r>
    </w:p>
    <w:p w14:paraId="640F05A8">
      <w:pPr>
        <w:spacing w:line="360" w:lineRule="auto"/>
        <w:ind w:firstLine="480" w:firstLineChars="200"/>
        <w:rPr>
          <w:bCs/>
          <w:sz w:val="24"/>
        </w:rPr>
      </w:pPr>
      <w:r>
        <w:rPr>
          <w:rFonts w:hint="eastAsia"/>
          <w:bCs/>
          <w:sz w:val="24"/>
        </w:rPr>
        <w:t>（五）资产支持证券投资策略</w:t>
      </w:r>
    </w:p>
    <w:p w14:paraId="2F58FAA3">
      <w:pPr>
        <w:spacing w:line="360" w:lineRule="auto"/>
        <w:ind w:firstLine="480" w:firstLineChars="200"/>
        <w:rPr>
          <w:bCs/>
          <w:sz w:val="24"/>
        </w:rPr>
      </w:pPr>
      <w:r>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03941BAE">
      <w:pPr>
        <w:spacing w:line="360" w:lineRule="auto"/>
        <w:ind w:firstLine="480" w:firstLineChars="200"/>
        <w:rPr>
          <w:bCs/>
          <w:sz w:val="24"/>
        </w:rPr>
      </w:pPr>
      <w:r>
        <w:rPr>
          <w:rFonts w:hint="eastAsia"/>
          <w:bCs/>
          <w:sz w:val="24"/>
        </w:rPr>
        <w:t>（六）股指期货交易策略</w:t>
      </w:r>
    </w:p>
    <w:p w14:paraId="63F69B3B">
      <w:pPr>
        <w:spacing w:line="360" w:lineRule="auto"/>
        <w:ind w:firstLine="480" w:firstLineChars="200"/>
        <w:rPr>
          <w:bCs/>
          <w:sz w:val="24"/>
        </w:rPr>
      </w:pPr>
      <w:r>
        <w:rPr>
          <w:rFonts w:hint="eastAsia"/>
          <w:bCs/>
          <w:sz w:val="24"/>
        </w:rPr>
        <w:t>本基金将根据风险管理的原则，以套期保值为目的，有选择地参与股指期货交易。套期保值将主要采用流动性好、交易活跃的期货合约。本基金在进行股指期货交易时，将通过对证券市场和期货市场运行趋势的研究，并结合股指期货的定价模型寻求其合理的估值水平。本基金管理人将充分考虑股指期货的收益性、流动性及风险特征，通过资产配置、品种选择，谨慎进行投资，以降低投资组合的整体风险。</w:t>
      </w:r>
    </w:p>
    <w:p w14:paraId="06AE090B">
      <w:pPr>
        <w:spacing w:line="360" w:lineRule="auto"/>
        <w:ind w:firstLine="480" w:firstLineChars="200"/>
        <w:rPr>
          <w:bCs/>
          <w:sz w:val="24"/>
        </w:rPr>
      </w:pPr>
      <w:r>
        <w:rPr>
          <w:rFonts w:hint="eastAsia"/>
          <w:bCs/>
          <w:sz w:val="24"/>
        </w:rPr>
        <w:t>（七）国债期货交易策略</w:t>
      </w:r>
    </w:p>
    <w:p w14:paraId="5D9D9FF8">
      <w:pPr>
        <w:spacing w:line="360" w:lineRule="auto"/>
        <w:ind w:firstLine="480" w:firstLineChars="200"/>
        <w:rPr>
          <w:bCs/>
          <w:sz w:val="24"/>
        </w:rPr>
      </w:pPr>
      <w:r>
        <w:rPr>
          <w:rFonts w:hint="eastAsia"/>
          <w:bCs/>
          <w:sz w:val="24"/>
        </w:rPr>
        <w:t>本基金的国债期货交易将以风险管理为原则，以套期保值为目的，适度运用国债期货，提高投资组合的运作效率。基金管理人将按照相关法律法规的规定，结合国债现货市场和期货市场的波动性、流动性等情况，通过多头或空头套期保值等策略进行操作，获取超额收益。</w:t>
      </w:r>
    </w:p>
    <w:p w14:paraId="030ED70C">
      <w:pPr>
        <w:widowControl/>
        <w:tabs>
          <w:tab w:val="left" w:pos="420"/>
          <w:tab w:val="left" w:pos="720"/>
          <w:tab w:val="left" w:pos="900"/>
        </w:tabs>
        <w:adjustRightInd w:val="0"/>
        <w:snapToGrid w:val="0"/>
        <w:spacing w:line="360" w:lineRule="auto"/>
        <w:ind w:firstLine="470" w:firstLineChars="196"/>
        <w:rPr>
          <w:bCs/>
          <w:sz w:val="24"/>
        </w:rPr>
      </w:pPr>
      <w:r>
        <w:rPr>
          <w:rFonts w:hint="eastAsia"/>
          <w:bCs/>
          <w:sz w:val="24"/>
        </w:rPr>
        <w:t>在法律法规许可时，本基金可基于谨慎原则运用其他相关金融工具对投资组合进行管理。</w:t>
      </w:r>
    </w:p>
    <w:p w14:paraId="6B5C94B0">
      <w:pPr>
        <w:spacing w:line="360" w:lineRule="auto"/>
        <w:ind w:firstLine="480" w:firstLineChars="200"/>
        <w:rPr>
          <w:bCs/>
          <w:sz w:val="24"/>
        </w:rPr>
      </w:pPr>
      <w:r>
        <w:rPr>
          <w:rFonts w:hint="eastAsia"/>
          <w:bCs/>
          <w:sz w:val="24"/>
        </w:rPr>
        <w:t>四、投资限制</w:t>
      </w:r>
    </w:p>
    <w:p w14:paraId="59C12005">
      <w:pPr>
        <w:spacing w:line="360" w:lineRule="auto"/>
        <w:ind w:firstLine="480" w:firstLineChars="200"/>
        <w:rPr>
          <w:bCs/>
          <w:sz w:val="24"/>
        </w:rPr>
      </w:pPr>
      <w:r>
        <w:rPr>
          <w:rFonts w:hint="eastAsia"/>
          <w:bCs/>
          <w:sz w:val="24"/>
        </w:rPr>
        <w:t>1、组合限制</w:t>
      </w:r>
    </w:p>
    <w:p w14:paraId="60F648F0">
      <w:pPr>
        <w:spacing w:line="360" w:lineRule="auto"/>
        <w:ind w:firstLine="480" w:firstLineChars="200"/>
        <w:rPr>
          <w:bCs/>
          <w:sz w:val="24"/>
        </w:rPr>
      </w:pPr>
      <w:r>
        <w:rPr>
          <w:rFonts w:hint="eastAsia"/>
          <w:bCs/>
          <w:sz w:val="24"/>
        </w:rPr>
        <w:t>基金的投资组合应遵循以下限制：</w:t>
      </w:r>
    </w:p>
    <w:p w14:paraId="63591952">
      <w:pPr>
        <w:spacing w:line="360" w:lineRule="auto"/>
        <w:ind w:firstLine="480" w:firstLineChars="200"/>
        <w:rPr>
          <w:bCs/>
          <w:sz w:val="24"/>
        </w:rPr>
      </w:pPr>
      <w:r>
        <w:rPr>
          <w:rFonts w:hint="eastAsia"/>
          <w:bCs/>
          <w:sz w:val="24"/>
        </w:rPr>
        <w:t>（1）本基金股票资产（含存托凭证）占基金资产的比例为60%-95%（其中投资于港股通标的股票占本基金股票资产的比例为0%-50%）；本基金投资于本基金界定的新材料主题相关证券资产占非现金基金资产的比例不低于80%；</w:t>
      </w:r>
    </w:p>
    <w:p w14:paraId="6C2D3B79">
      <w:pPr>
        <w:spacing w:line="360" w:lineRule="auto"/>
        <w:ind w:firstLine="480" w:firstLineChars="200"/>
        <w:rPr>
          <w:bCs/>
          <w:sz w:val="24"/>
        </w:rPr>
      </w:pPr>
      <w:r>
        <w:rPr>
          <w:rFonts w:hint="eastAsia"/>
          <w:bCs/>
          <w:sz w:val="24"/>
        </w:rPr>
        <w:t>（2）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1E4F8540">
      <w:pPr>
        <w:spacing w:line="360" w:lineRule="auto"/>
        <w:ind w:firstLine="480" w:firstLineChars="200"/>
        <w:rPr>
          <w:bCs/>
          <w:sz w:val="24"/>
        </w:rPr>
      </w:pPr>
      <w:r>
        <w:rPr>
          <w:rFonts w:hint="eastAsia"/>
          <w:bCs/>
          <w:sz w:val="24"/>
        </w:rPr>
        <w:t>（3）本基金持有一家公司发行的证券，其市值（同一家公司在境内和香港同时上市的，A+H股合计计算）不超过基金资产净值的10%；</w:t>
      </w:r>
    </w:p>
    <w:p w14:paraId="6BB79820">
      <w:pPr>
        <w:spacing w:line="360" w:lineRule="auto"/>
        <w:ind w:firstLine="480" w:firstLineChars="200"/>
        <w:rPr>
          <w:bCs/>
          <w:sz w:val="24"/>
        </w:rPr>
      </w:pPr>
      <w:r>
        <w:rPr>
          <w:rFonts w:hint="eastAsia"/>
          <w:bCs/>
          <w:sz w:val="24"/>
        </w:rPr>
        <w:t>（4）本基金管理人管理的全部基金持有一家公司发行的证券（同一家公司在境内和香港同时上市的，A+H股合计计算），不超过该证券的10%；</w:t>
      </w:r>
    </w:p>
    <w:p w14:paraId="7D540672">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1B884950">
      <w:pPr>
        <w:spacing w:line="360" w:lineRule="auto"/>
        <w:ind w:firstLine="480" w:firstLineChars="200"/>
        <w:rPr>
          <w:bCs/>
          <w:sz w:val="24"/>
        </w:rPr>
      </w:pPr>
      <w:r>
        <w:rPr>
          <w:rFonts w:hint="eastAsia"/>
          <w:bCs/>
          <w:sz w:val="24"/>
        </w:rPr>
        <w:t>（6）本基金持有的全部资产支持证券，其市值不得超过基金资产净值的20%；</w:t>
      </w:r>
    </w:p>
    <w:p w14:paraId="56714C51">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5389997D">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60D236FC">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7B9454EF">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048B4A8A">
      <w:pPr>
        <w:spacing w:line="360" w:lineRule="auto"/>
        <w:ind w:firstLine="480" w:firstLineChars="200"/>
        <w:rPr>
          <w:bCs/>
          <w:sz w:val="24"/>
        </w:rPr>
      </w:pPr>
      <w:r>
        <w:rPr>
          <w:rFonts w:hint="eastAsia"/>
          <w:bCs/>
          <w:sz w:val="24"/>
        </w:rPr>
        <w:t>（11）本基金参与股指期货交易，需遵守下列投资比例限制：</w:t>
      </w:r>
    </w:p>
    <w:p w14:paraId="6EB75165">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14:paraId="09BA718D">
      <w:pPr>
        <w:spacing w:line="360" w:lineRule="auto"/>
        <w:ind w:firstLine="480" w:firstLineChars="200"/>
        <w:rPr>
          <w:bCs/>
          <w:sz w:val="24"/>
        </w:rPr>
      </w:pPr>
      <w:r>
        <w:rPr>
          <w:rFonts w:hint="eastAsia"/>
          <w:bCs/>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50A2EA64">
      <w:pPr>
        <w:spacing w:line="360" w:lineRule="auto"/>
        <w:ind w:firstLine="480" w:firstLineChars="200"/>
        <w:rPr>
          <w:bCs/>
          <w:sz w:val="24"/>
        </w:rPr>
      </w:pPr>
      <w:r>
        <w:rPr>
          <w:rFonts w:hint="eastAsia"/>
          <w:bCs/>
          <w:sz w:val="24"/>
        </w:rPr>
        <w:t>3）本基金在任何交易日日终，持有的卖出股指期货合约价值不得超过本基金持有的股票总市值的20%；</w:t>
      </w:r>
    </w:p>
    <w:p w14:paraId="1506D2B3">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14:paraId="41CDE4BC">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14:paraId="12CCD39F">
      <w:pPr>
        <w:spacing w:line="360" w:lineRule="auto"/>
        <w:ind w:firstLine="480" w:firstLineChars="200"/>
        <w:rPr>
          <w:bCs/>
          <w:sz w:val="24"/>
        </w:rPr>
      </w:pPr>
      <w:r>
        <w:rPr>
          <w:rFonts w:hint="eastAsia"/>
          <w:bCs/>
          <w:sz w:val="24"/>
        </w:rPr>
        <w:t>（1</w:t>
      </w:r>
      <w:r>
        <w:rPr>
          <w:bCs/>
          <w:sz w:val="24"/>
        </w:rPr>
        <w:t>2</w:t>
      </w:r>
      <w:r>
        <w:rPr>
          <w:rFonts w:hint="eastAsia"/>
          <w:bCs/>
          <w:sz w:val="24"/>
        </w:rPr>
        <w:t>）本基金参与国债期货交易，需遵守下列投资比例限制：</w:t>
      </w:r>
    </w:p>
    <w:p w14:paraId="56DF2DA3">
      <w:pPr>
        <w:spacing w:line="360" w:lineRule="auto"/>
        <w:ind w:firstLine="480" w:firstLineChars="200"/>
        <w:rPr>
          <w:bCs/>
          <w:sz w:val="24"/>
        </w:rPr>
      </w:pPr>
      <w:r>
        <w:rPr>
          <w:rFonts w:hint="eastAsia"/>
          <w:bCs/>
          <w:sz w:val="24"/>
        </w:rPr>
        <w:t>1）本基金在任何交易日日终，持有的买入国债期货合约价值，不得超过基金资产净值的15%；</w:t>
      </w:r>
    </w:p>
    <w:p w14:paraId="4AE6ACDE">
      <w:pPr>
        <w:spacing w:line="360" w:lineRule="auto"/>
        <w:ind w:firstLine="480" w:firstLineChars="200"/>
        <w:rPr>
          <w:bCs/>
          <w:sz w:val="24"/>
        </w:rPr>
      </w:pPr>
      <w:r>
        <w:rPr>
          <w:rFonts w:hint="eastAsia"/>
          <w:bCs/>
          <w:sz w:val="24"/>
        </w:rPr>
        <w:t>2）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0E8294A5">
      <w:pPr>
        <w:spacing w:line="360" w:lineRule="auto"/>
        <w:ind w:firstLine="480" w:firstLineChars="200"/>
        <w:rPr>
          <w:bCs/>
          <w:sz w:val="24"/>
        </w:rPr>
      </w:pPr>
      <w:r>
        <w:rPr>
          <w:rFonts w:hint="eastAsia"/>
          <w:bCs/>
          <w:sz w:val="24"/>
        </w:rPr>
        <w:t>3）本基金在任何交易日日终，持有的卖出国债期货合约价值不得超过基金持有的债券总市值的30%；</w:t>
      </w:r>
    </w:p>
    <w:p w14:paraId="428D492B">
      <w:pPr>
        <w:spacing w:line="360" w:lineRule="auto"/>
        <w:ind w:firstLine="480" w:firstLineChars="20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413CDE8C">
      <w:pPr>
        <w:spacing w:line="360" w:lineRule="auto"/>
        <w:ind w:firstLine="480" w:firstLineChars="200"/>
        <w:rPr>
          <w:bCs/>
          <w:sz w:val="24"/>
        </w:rPr>
      </w:pPr>
      <w:r>
        <w:rPr>
          <w:rFonts w:hint="eastAsia"/>
          <w:bCs/>
          <w:sz w:val="24"/>
        </w:rPr>
        <w:t>5）本基金在任何交易日内交易（不包括平仓）的国债期货合约的成交金额不得超过上一交易日基金资产净值的30%；</w:t>
      </w:r>
    </w:p>
    <w:p w14:paraId="5732783A">
      <w:pPr>
        <w:spacing w:line="360" w:lineRule="auto"/>
        <w:ind w:firstLine="480" w:firstLineChars="200"/>
        <w:rPr>
          <w:bCs/>
          <w:sz w:val="24"/>
        </w:rPr>
      </w:pPr>
      <w:r>
        <w:rPr>
          <w:rFonts w:hint="eastAsia"/>
          <w:bCs/>
          <w:sz w:val="24"/>
        </w:rPr>
        <w:t>（1</w:t>
      </w:r>
      <w:r>
        <w:rPr>
          <w:bCs/>
          <w:sz w:val="24"/>
        </w:rPr>
        <w:t>3</w:t>
      </w:r>
      <w:r>
        <w:rPr>
          <w:rFonts w:hint="eastAsia"/>
          <w:bCs/>
          <w:sz w:val="24"/>
        </w:rPr>
        <w:t>）本基金管理人管理的全部开放式基金（包括开放式基金以及处于开放期的定期开放基金）持有一家上市公司发行的可流通股票，不得超过该上市公司可流通股票的15%；</w:t>
      </w:r>
    </w:p>
    <w:p w14:paraId="463B1AF8">
      <w:pPr>
        <w:spacing w:line="360" w:lineRule="auto"/>
        <w:ind w:firstLine="480" w:firstLineChars="200"/>
        <w:rPr>
          <w:bCs/>
          <w:sz w:val="24"/>
        </w:rPr>
      </w:pPr>
      <w:r>
        <w:rPr>
          <w:rFonts w:hint="eastAsia"/>
          <w:bCs/>
          <w:sz w:val="24"/>
        </w:rPr>
        <w:t>（1</w:t>
      </w:r>
      <w:r>
        <w:rPr>
          <w:bCs/>
          <w:sz w:val="24"/>
        </w:rPr>
        <w:t>4</w:t>
      </w:r>
      <w:r>
        <w:rPr>
          <w:rFonts w:hint="eastAsia"/>
          <w:bCs/>
          <w:sz w:val="24"/>
        </w:rPr>
        <w:t>）本基金管理人管理的全部投资组合持有一家上市公司发行的可流通股票，不得超过该上市公司可流通股票的30%；</w:t>
      </w:r>
    </w:p>
    <w:p w14:paraId="64866406">
      <w:pPr>
        <w:spacing w:line="360" w:lineRule="auto"/>
        <w:ind w:firstLine="480" w:firstLineChars="200"/>
        <w:rPr>
          <w:bCs/>
          <w:sz w:val="24"/>
        </w:rPr>
      </w:pPr>
      <w:r>
        <w:rPr>
          <w:rFonts w:hint="eastAsia"/>
          <w:bCs/>
          <w:sz w:val="24"/>
        </w:rPr>
        <w:t>（1</w:t>
      </w:r>
      <w:r>
        <w:rPr>
          <w:bCs/>
          <w:sz w:val="24"/>
        </w:rPr>
        <w:t>5</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2B82268">
      <w:pPr>
        <w:spacing w:line="360" w:lineRule="auto"/>
        <w:ind w:firstLine="480" w:firstLineChars="200"/>
        <w:rPr>
          <w:bCs/>
          <w:sz w:val="24"/>
        </w:rPr>
      </w:pP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3D0CBCA8">
      <w:pPr>
        <w:spacing w:line="360" w:lineRule="auto"/>
        <w:ind w:firstLine="480" w:firstLineChars="200"/>
        <w:rPr>
          <w:bCs/>
          <w:sz w:val="24"/>
        </w:rPr>
      </w:pP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2CAE60CF">
      <w:pPr>
        <w:spacing w:line="360" w:lineRule="auto"/>
        <w:ind w:firstLine="480" w:firstLineChars="200"/>
        <w:rPr>
          <w:bCs/>
          <w:sz w:val="24"/>
        </w:rPr>
      </w:pPr>
      <w:r>
        <w:rPr>
          <w:rFonts w:hint="eastAsia"/>
          <w:bCs/>
          <w:sz w:val="24"/>
        </w:rPr>
        <w:t>（</w:t>
      </w:r>
      <w:r>
        <w:rPr>
          <w:bCs/>
          <w:sz w:val="24"/>
        </w:rPr>
        <w:t>18</w:t>
      </w:r>
      <w:r>
        <w:rPr>
          <w:rFonts w:hint="eastAsia"/>
          <w:bCs/>
          <w:sz w:val="24"/>
        </w:rPr>
        <w:t>）本基金资产总值不超过基金资产净值的140%；</w:t>
      </w:r>
    </w:p>
    <w:p w14:paraId="38C4AEA1">
      <w:pPr>
        <w:spacing w:line="360" w:lineRule="auto"/>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6C6C30A0">
      <w:pPr>
        <w:spacing w:line="360" w:lineRule="auto"/>
        <w:ind w:firstLine="480" w:firstLineChars="200"/>
        <w:rPr>
          <w:bCs/>
          <w:sz w:val="24"/>
        </w:rPr>
      </w:pPr>
      <w:r>
        <w:rPr>
          <w:rFonts w:hint="eastAsia"/>
          <w:bCs/>
          <w:sz w:val="24"/>
        </w:rPr>
        <w:t>除上述第（2）、（9）、（1</w:t>
      </w:r>
      <w:r>
        <w:rPr>
          <w:bCs/>
          <w:sz w:val="24"/>
        </w:rPr>
        <w:t>5</w:t>
      </w:r>
      <w:r>
        <w:rPr>
          <w:rFonts w:hint="eastAsia"/>
          <w:bCs/>
          <w:sz w:val="24"/>
        </w:rPr>
        <w:t>）、（1</w:t>
      </w:r>
      <w:r>
        <w:rPr>
          <w:bCs/>
          <w:sz w:val="24"/>
        </w:rPr>
        <w:t>6</w:t>
      </w:r>
      <w:r>
        <w:rPr>
          <w:rFonts w:hint="eastAsia"/>
          <w:bCs/>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D9257AC">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23A2A8A">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4C7ECDCB">
      <w:pPr>
        <w:spacing w:line="360" w:lineRule="auto"/>
        <w:ind w:firstLine="480" w:firstLineChars="200"/>
        <w:rPr>
          <w:bCs/>
          <w:sz w:val="24"/>
        </w:rPr>
      </w:pPr>
      <w:r>
        <w:rPr>
          <w:rFonts w:hint="eastAsia"/>
          <w:bCs/>
          <w:sz w:val="24"/>
        </w:rPr>
        <w:t>2、禁止行为</w:t>
      </w:r>
    </w:p>
    <w:p w14:paraId="37A9C089">
      <w:pPr>
        <w:spacing w:line="360" w:lineRule="auto"/>
        <w:ind w:firstLine="480" w:firstLineChars="200"/>
        <w:rPr>
          <w:bCs/>
          <w:sz w:val="24"/>
        </w:rPr>
      </w:pPr>
      <w:r>
        <w:rPr>
          <w:rFonts w:hint="eastAsia"/>
          <w:bCs/>
          <w:sz w:val="24"/>
        </w:rPr>
        <w:t>为维护基金份额持有人的合法权益，基金财产不得用于下列投资或者活动：</w:t>
      </w:r>
    </w:p>
    <w:p w14:paraId="064C0ECE">
      <w:pPr>
        <w:spacing w:line="360" w:lineRule="auto"/>
        <w:ind w:firstLine="480" w:firstLineChars="200"/>
        <w:rPr>
          <w:bCs/>
          <w:sz w:val="24"/>
        </w:rPr>
      </w:pPr>
      <w:r>
        <w:rPr>
          <w:rFonts w:hint="eastAsia"/>
          <w:bCs/>
          <w:sz w:val="24"/>
        </w:rPr>
        <w:t>（1）承销证券；</w:t>
      </w:r>
    </w:p>
    <w:p w14:paraId="2EE0AFCE">
      <w:pPr>
        <w:spacing w:line="360" w:lineRule="auto"/>
        <w:ind w:firstLine="480" w:firstLineChars="200"/>
        <w:rPr>
          <w:bCs/>
          <w:sz w:val="24"/>
        </w:rPr>
      </w:pPr>
      <w:r>
        <w:rPr>
          <w:rFonts w:hint="eastAsia"/>
          <w:bCs/>
          <w:sz w:val="24"/>
        </w:rPr>
        <w:t>（2）违反规定向他人贷款或者提供担保；</w:t>
      </w:r>
    </w:p>
    <w:p w14:paraId="7CC549CC">
      <w:pPr>
        <w:spacing w:line="360" w:lineRule="auto"/>
        <w:ind w:firstLine="480" w:firstLineChars="200"/>
        <w:rPr>
          <w:bCs/>
          <w:sz w:val="24"/>
        </w:rPr>
      </w:pPr>
      <w:r>
        <w:rPr>
          <w:rFonts w:hint="eastAsia"/>
          <w:bCs/>
          <w:sz w:val="24"/>
        </w:rPr>
        <w:t>（3）从事承担无限责任的投资；</w:t>
      </w:r>
    </w:p>
    <w:p w14:paraId="37AD20C1">
      <w:pPr>
        <w:spacing w:line="360" w:lineRule="auto"/>
        <w:ind w:firstLine="480" w:firstLineChars="200"/>
        <w:rPr>
          <w:bCs/>
          <w:sz w:val="24"/>
        </w:rPr>
      </w:pPr>
      <w:r>
        <w:rPr>
          <w:rFonts w:hint="eastAsia"/>
          <w:bCs/>
          <w:sz w:val="24"/>
        </w:rPr>
        <w:t>（4）买卖其他基金份额，但是中国证监会另有规定的除外；</w:t>
      </w:r>
    </w:p>
    <w:p w14:paraId="07CE5985">
      <w:pPr>
        <w:spacing w:line="360" w:lineRule="auto"/>
        <w:ind w:firstLine="480" w:firstLineChars="200"/>
        <w:rPr>
          <w:bCs/>
          <w:sz w:val="24"/>
        </w:rPr>
      </w:pPr>
      <w:r>
        <w:rPr>
          <w:rFonts w:hint="eastAsia"/>
          <w:bCs/>
          <w:sz w:val="24"/>
        </w:rPr>
        <w:t>（5）向其基金管理人、基金托管人出资；</w:t>
      </w:r>
    </w:p>
    <w:p w14:paraId="124CE8C9">
      <w:pPr>
        <w:spacing w:line="360" w:lineRule="auto"/>
        <w:ind w:firstLine="480" w:firstLineChars="200"/>
        <w:rPr>
          <w:bCs/>
          <w:sz w:val="24"/>
        </w:rPr>
      </w:pPr>
      <w:r>
        <w:rPr>
          <w:rFonts w:hint="eastAsia"/>
          <w:bCs/>
          <w:sz w:val="24"/>
        </w:rPr>
        <w:t>（6）从事内幕交易、操纵证券交易价格及其他不正当的证券交易活动；</w:t>
      </w:r>
    </w:p>
    <w:p w14:paraId="2B8B139A">
      <w:pPr>
        <w:spacing w:line="360" w:lineRule="auto"/>
        <w:ind w:firstLine="480" w:firstLineChars="200"/>
        <w:rPr>
          <w:bCs/>
          <w:sz w:val="24"/>
        </w:rPr>
      </w:pPr>
      <w:r>
        <w:rPr>
          <w:rFonts w:hint="eastAsia"/>
          <w:bCs/>
          <w:sz w:val="24"/>
        </w:rPr>
        <w:t>（7）法律、行政法规和中国证监会规定禁止的其他活动。</w:t>
      </w:r>
    </w:p>
    <w:p w14:paraId="117BD7B6">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0F0FA6">
      <w:pPr>
        <w:spacing w:line="360" w:lineRule="auto"/>
        <w:ind w:firstLine="480" w:firstLineChars="20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77D8256C">
      <w:pPr>
        <w:spacing w:line="360" w:lineRule="auto"/>
        <w:ind w:firstLine="480" w:firstLineChars="200"/>
        <w:rPr>
          <w:bCs/>
          <w:sz w:val="24"/>
        </w:rPr>
      </w:pPr>
      <w:r>
        <w:rPr>
          <w:rFonts w:hint="eastAsia"/>
          <w:bCs/>
          <w:sz w:val="24"/>
        </w:rPr>
        <w:t>五、业绩比较基准</w:t>
      </w:r>
    </w:p>
    <w:p w14:paraId="3A20A36F">
      <w:pPr>
        <w:spacing w:line="360" w:lineRule="auto"/>
        <w:ind w:firstLine="480" w:firstLineChars="200"/>
        <w:rPr>
          <w:sz w:val="24"/>
        </w:rPr>
      </w:pPr>
      <w:r>
        <w:rPr>
          <w:sz w:val="24"/>
        </w:rPr>
        <w:t>本基金业绩比较基准为</w:t>
      </w:r>
      <w:r>
        <w:rPr>
          <w:rFonts w:hint="eastAsia"/>
          <w:sz w:val="24"/>
        </w:rPr>
        <w:t>：中证新材料主题指数收益率×65%+中证港股通综合指数（港元）收益率×15%+中债-综合全价（总值）指数收益率×20%。</w:t>
      </w:r>
    </w:p>
    <w:p w14:paraId="27ABC09E">
      <w:pPr>
        <w:spacing w:line="360" w:lineRule="auto"/>
        <w:ind w:firstLine="480" w:firstLineChars="200"/>
        <w:rPr>
          <w:bCs/>
          <w:sz w:val="24"/>
        </w:rPr>
      </w:pPr>
      <w:r>
        <w:rPr>
          <w:rFonts w:hint="eastAsia"/>
          <w:bCs/>
          <w:sz w:val="24"/>
        </w:rPr>
        <w:t>1、业绩比较基准设定的原因</w:t>
      </w:r>
    </w:p>
    <w:p w14:paraId="03093F99">
      <w:pPr>
        <w:spacing w:line="360" w:lineRule="auto"/>
        <w:ind w:firstLine="480" w:firstLineChars="200"/>
        <w:rPr>
          <w:bCs/>
          <w:sz w:val="24"/>
        </w:rPr>
      </w:pPr>
      <w:r>
        <w:rPr>
          <w:rFonts w:hint="eastAsia"/>
          <w:bCs/>
          <w:sz w:val="24"/>
        </w:rPr>
        <w:t>（1）基于本基金投资范围以及预期投资的主要资产类别，本基金主要投资于A股股票、港股通标的股票、债券等资产，相应选取与之匹配的A股指数、港股通指数与债券指数作为基准要素；同时基于本基金股票资产（含存托凭证）占基金资产的比例为60%-95%（其中投资于港股通标的股票占本基金股票资产的比例为0%-50%）、投资于本基金界定的新材料主题相关证券资产占非现金基金资产的比例不低于80%等投资比例限制，以及预期的资产配置比例，本基金将股票资产与债券资产所对应的基准要素权重分别设置为</w:t>
      </w:r>
      <w:r>
        <w:rPr>
          <w:bCs/>
          <w:sz w:val="24"/>
        </w:rPr>
        <w:t>80</w:t>
      </w:r>
      <w:r>
        <w:rPr>
          <w:rFonts w:hint="eastAsia"/>
          <w:bCs/>
          <w:sz w:val="24"/>
        </w:rPr>
        <w:t>%与</w:t>
      </w:r>
      <w:r>
        <w:rPr>
          <w:bCs/>
          <w:sz w:val="24"/>
        </w:rPr>
        <w:t>20</w:t>
      </w:r>
      <w:r>
        <w:rPr>
          <w:rFonts w:hint="eastAsia"/>
          <w:bCs/>
          <w:sz w:val="24"/>
        </w:rPr>
        <w:t>%，其中将股票资产中的A股股票与港股通标的股票所对应的基准要素权重分别设置为65%与15%。</w:t>
      </w:r>
    </w:p>
    <w:p w14:paraId="14D98E07">
      <w:pPr>
        <w:spacing w:line="360" w:lineRule="auto"/>
        <w:ind w:firstLine="480" w:firstLineChars="200"/>
        <w:rPr>
          <w:bCs/>
          <w:sz w:val="24"/>
        </w:rPr>
      </w:pPr>
      <w:r>
        <w:rPr>
          <w:rFonts w:hint="eastAsia"/>
          <w:bCs/>
          <w:sz w:val="24"/>
        </w:rPr>
        <w:t>（2）基于本基金投资目标、投资范围和投资策略，本基金的股票资产主要投向新材料主题相关公司，并臻选新材料主题的优质证券进行中长期投资，在合理控制风险并保持基金资产良好流动性的前提下，力争实现基金资产的长期增值。综合考虑基准指数与产品定位、投资风格与主题库的匹配度，同时兼顾考虑基准指数的表征性、认可度，以及指数主题界定、市值覆盖、行业与个股分布等，本基金选取</w:t>
      </w:r>
      <w:r>
        <w:rPr>
          <w:rFonts w:hint="eastAsia"/>
          <w:sz w:val="24"/>
        </w:rPr>
        <w:t>中证新材料主题指数</w:t>
      </w:r>
      <w:r>
        <w:rPr>
          <w:rFonts w:hint="eastAsia"/>
          <w:bCs/>
          <w:sz w:val="24"/>
        </w:rPr>
        <w:t>和</w:t>
      </w:r>
      <w:r>
        <w:rPr>
          <w:rFonts w:hint="eastAsia"/>
          <w:sz w:val="24"/>
        </w:rPr>
        <w:t>中证港股通综合指数</w:t>
      </w:r>
      <w:r>
        <w:rPr>
          <w:rFonts w:hint="eastAsia"/>
          <w:bCs/>
          <w:sz w:val="24"/>
        </w:rPr>
        <w:t>（港元）分别作为A股和港股通标的股票部分的基准要素，具体情况如下：</w:t>
      </w:r>
    </w:p>
    <w:p w14:paraId="792A53EB">
      <w:pPr>
        <w:spacing w:line="360" w:lineRule="auto"/>
        <w:ind w:firstLine="480" w:firstLineChars="200"/>
        <w:rPr>
          <w:bCs/>
          <w:sz w:val="24"/>
        </w:rPr>
      </w:pPr>
      <w:r>
        <w:rPr>
          <w:rFonts w:hint="eastAsia"/>
          <w:bCs/>
          <w:sz w:val="24"/>
        </w:rPr>
        <w:t>中证新材料主题指数由中证指数有限公司编制，</w:t>
      </w:r>
      <w:r>
        <w:rPr>
          <w:bCs/>
          <w:sz w:val="24"/>
        </w:rPr>
        <w:t>选取50只业务涉及先进钢铁、有色金属、化工、无机非金属等基础材料以及关键战略材料等新材料领域的上市公司证券作为指数样本，以反映</w:t>
      </w:r>
      <w:r>
        <w:rPr>
          <w:rFonts w:hint="eastAsia"/>
          <w:bCs/>
          <w:sz w:val="24"/>
        </w:rPr>
        <w:t>A股</w:t>
      </w:r>
      <w:r>
        <w:rPr>
          <w:bCs/>
          <w:sz w:val="24"/>
        </w:rPr>
        <w:t>新材料主题上市公司证券的整体表现</w:t>
      </w:r>
      <w:r>
        <w:rPr>
          <w:rFonts w:hint="eastAsia"/>
          <w:bCs/>
          <w:sz w:val="24"/>
        </w:rPr>
        <w:t>，适合作为本基金A股股票部分的业绩比较基准要素。</w:t>
      </w:r>
    </w:p>
    <w:p w14:paraId="67E26A1C">
      <w:pPr>
        <w:spacing w:line="360" w:lineRule="auto"/>
        <w:ind w:firstLine="480" w:firstLineChars="200"/>
        <w:rPr>
          <w:bCs/>
          <w:sz w:val="24"/>
        </w:rPr>
      </w:pPr>
      <w:r>
        <w:rPr>
          <w:rFonts w:hint="eastAsia"/>
          <w:sz w:val="24"/>
        </w:rPr>
        <w:t>中证港股通综合指数（港元）</w:t>
      </w:r>
      <w:r>
        <w:rPr>
          <w:rFonts w:hint="eastAsia"/>
          <w:bCs/>
          <w:sz w:val="24"/>
        </w:rPr>
        <w:t>选取符合港股通资格的上市公司证券作为样本，以反映港股通范围内上市公司的整体表现，适合作为本基金港股通标的股票部分的业绩比较基准要素。</w:t>
      </w:r>
    </w:p>
    <w:p w14:paraId="740DAB3B">
      <w:pPr>
        <w:spacing w:line="360" w:lineRule="auto"/>
        <w:ind w:firstLine="480" w:firstLineChars="200"/>
        <w:rPr>
          <w:bCs/>
          <w:sz w:val="24"/>
        </w:rPr>
      </w:pPr>
      <w:r>
        <w:rPr>
          <w:rFonts w:hint="eastAsia"/>
          <w:bCs/>
          <w:sz w:val="24"/>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4B6EE853">
      <w:pPr>
        <w:spacing w:line="360" w:lineRule="auto"/>
        <w:ind w:firstLine="480" w:firstLineChars="200"/>
        <w:rPr>
          <w:bCs/>
          <w:sz w:val="24"/>
        </w:rPr>
      </w:pPr>
      <w:r>
        <w:rPr>
          <w:rFonts w:hint="eastAsia"/>
          <w:bCs/>
          <w:sz w:val="24"/>
        </w:rPr>
        <w:t>中债-综合全价（总值）指数由在境内债券市场公开发行的国债、政策性银行债券、商业银行债券、中期票据、短期融资券、企业债、公司债等成份券组成，反映境内人民币债券市场整体表现，适合作为本基金债券部分的业绩比较基准要素。</w:t>
      </w:r>
    </w:p>
    <w:p w14:paraId="78D39596">
      <w:pPr>
        <w:spacing w:line="360" w:lineRule="auto"/>
        <w:ind w:firstLine="480" w:firstLineChars="200"/>
        <w:rPr>
          <w:bCs/>
          <w:sz w:val="24"/>
        </w:rPr>
      </w:pPr>
      <w:r>
        <w:rPr>
          <w:rFonts w:hint="eastAsia"/>
          <w:bCs/>
          <w:sz w:val="24"/>
        </w:rPr>
        <w:t>综上，本基金选取的业绩比较基准与基金投资目标、投资范围、投资策略、投资比例限制相匹配。</w:t>
      </w:r>
    </w:p>
    <w:p w14:paraId="681E88BC">
      <w:pPr>
        <w:spacing w:line="360" w:lineRule="auto"/>
        <w:ind w:firstLine="480" w:firstLineChars="200"/>
        <w:rPr>
          <w:bCs/>
          <w:sz w:val="24"/>
        </w:rPr>
      </w:pPr>
      <w:r>
        <w:rPr>
          <w:rFonts w:hint="eastAsia"/>
          <w:bCs/>
          <w:sz w:val="24"/>
        </w:rPr>
        <w:t>2、业绩比较基准要素的基本信息</w:t>
      </w:r>
    </w:p>
    <w:p w14:paraId="76708E34">
      <w:pPr>
        <w:spacing w:line="360" w:lineRule="auto"/>
        <w:ind w:firstLine="480" w:firstLineChars="200"/>
        <w:rPr>
          <w:bCs/>
          <w:sz w:val="24"/>
        </w:rPr>
      </w:pPr>
      <w:r>
        <w:rPr>
          <w:rFonts w:hint="eastAsia"/>
          <w:bCs/>
          <w:sz w:val="24"/>
        </w:rPr>
        <w:t>中证新材料主题指数由中证指数有限公司编制发布，指数代码为H30597.CSI，指数具体信息详见中证指数有限公司网站，网址：www.csindex.com.cn。</w:t>
      </w:r>
    </w:p>
    <w:p w14:paraId="570C4F09">
      <w:pPr>
        <w:spacing w:line="360" w:lineRule="auto"/>
        <w:ind w:firstLine="480" w:firstLineChars="200"/>
        <w:rPr>
          <w:bCs/>
          <w:sz w:val="24"/>
        </w:rPr>
      </w:pPr>
      <w:r>
        <w:rPr>
          <w:rFonts w:hint="eastAsia"/>
          <w:sz w:val="24"/>
        </w:rPr>
        <w:t>中证港股通综合指数</w:t>
      </w:r>
      <w:r>
        <w:rPr>
          <w:rFonts w:hint="eastAsia"/>
          <w:bCs/>
          <w:sz w:val="24"/>
        </w:rPr>
        <w:t>（港元）由中证指数有限公司编制发布，指数代码为930930.CSI，指数具体信息详见中证指数有限公司网站，网址：www.csindex.com.cn。</w:t>
      </w:r>
    </w:p>
    <w:p w14:paraId="0E40E6B6">
      <w:pPr>
        <w:spacing w:line="360" w:lineRule="auto"/>
        <w:ind w:firstLine="480" w:firstLineChars="200"/>
        <w:rPr>
          <w:bCs/>
          <w:sz w:val="24"/>
        </w:rPr>
      </w:pPr>
      <w:r>
        <w:rPr>
          <w:rFonts w:hint="eastAsia"/>
          <w:bCs/>
          <w:sz w:val="24"/>
        </w:rPr>
        <w:t>中债-综合全价（总值）指数由中债金融估值中心有限公司编制发布，指数代码为CBA00203.CS，指数具体信息详见中国债券信息网，网址：www.chinabond.com.cn。</w:t>
      </w:r>
    </w:p>
    <w:p w14:paraId="6ADF90CF">
      <w:pPr>
        <w:spacing w:line="360" w:lineRule="auto"/>
        <w:ind w:firstLine="480" w:firstLineChars="200"/>
        <w:rPr>
          <w:bCs/>
          <w:sz w:val="24"/>
        </w:rPr>
      </w:pPr>
      <w:r>
        <w:rPr>
          <w:rFonts w:hint="eastAsia"/>
          <w:bCs/>
          <w:sz w:val="24"/>
        </w:rPr>
        <w:t>3、业绩比较基准的计算方法</w:t>
      </w:r>
    </w:p>
    <w:p w14:paraId="1DC333FC">
      <w:pPr>
        <w:spacing w:line="360" w:lineRule="auto"/>
        <w:ind w:firstLine="480" w:firstLineChars="200"/>
        <w:rPr>
          <w:bCs/>
          <w:sz w:val="24"/>
        </w:rPr>
      </w:pPr>
      <w:r>
        <w:rPr>
          <w:rFonts w:hint="eastAsia"/>
          <w:bCs/>
          <w:sz w:val="24"/>
        </w:rPr>
        <w:t>本基金业绩比较基准收益率的计算方法以每日收益率为基础，以时间加权为计算原则。本基金先分别计算业绩比较基准中中证新材料主题指数、</w:t>
      </w:r>
      <w:r>
        <w:rPr>
          <w:rFonts w:hint="eastAsia"/>
          <w:sz w:val="24"/>
        </w:rPr>
        <w:t>中证港股通综合指数</w:t>
      </w:r>
      <w:r>
        <w:rPr>
          <w:rFonts w:hint="eastAsia"/>
          <w:bCs/>
          <w:sz w:val="24"/>
        </w:rPr>
        <w:t>（港元）、中债-综合全价（总值）指数的每日收益率，再按照预设权重比例计算当日组合要素基准的日收益率，并连乘每日收益率。其中，</w:t>
      </w:r>
      <w:r>
        <w:rPr>
          <w:rFonts w:hint="eastAsia"/>
          <w:sz w:val="24"/>
        </w:rPr>
        <w:t>中证港股通综合指数</w:t>
      </w:r>
      <w:r>
        <w:rPr>
          <w:rFonts w:hint="eastAsia"/>
          <w:bCs/>
          <w:sz w:val="24"/>
        </w:rPr>
        <w:t>收益率采用估值汇率进行调整，由港元计价折算为人民币计价后，再纳入计算。</w:t>
      </w:r>
    </w:p>
    <w:p w14:paraId="64AE1BD8">
      <w:pPr>
        <w:spacing w:line="360" w:lineRule="auto"/>
        <w:ind w:firstLine="480" w:firstLineChars="200"/>
        <w:rPr>
          <w:bCs/>
          <w:sz w:val="24"/>
        </w:rPr>
      </w:pPr>
      <w:r>
        <w:rPr>
          <w:rFonts w:hint="eastAsia"/>
          <w:bCs/>
          <w:sz w:val="24"/>
        </w:rPr>
        <w:t>4、管理投资偏离业绩比较基准的定性或定量方法</w:t>
      </w:r>
    </w:p>
    <w:p w14:paraId="066F0A62">
      <w:pPr>
        <w:spacing w:line="360" w:lineRule="auto"/>
        <w:ind w:firstLine="480" w:firstLineChars="200"/>
        <w:rPr>
          <w:bCs/>
          <w:sz w:val="24"/>
        </w:rPr>
      </w:pPr>
      <w:r>
        <w:rPr>
          <w:rFonts w:hint="eastAsia"/>
          <w:bCs/>
          <w:sz w:val="24"/>
        </w:rPr>
        <w:t>本基金管理人对基金实际投资与业绩比较基准的偏离情况进行动态跟踪与监测评估，监测指标主要包括基金业绩表现类指标（信息比率、跟踪误差、超额收益等）；对于股票资产，可以采用股票配置偏离限额（仓位、行业或风格结构偏离等）、基准成份券覆盖率、主动比率等指标；对于债券资产，可以采用久期中枢、信用风险暴露集中度、含权资产（如有）仓位与结构、最大回撤等指标，以更好管理基金实际投资与业绩比较基准的偏离情况，保持主要配置新材料主题的上市公司，从而在合理控制风险并保持基金资产良好流动性的前提下，力争实现基金资产的长期增值。</w:t>
      </w:r>
    </w:p>
    <w:p w14:paraId="6CEE0E11">
      <w:pPr>
        <w:spacing w:line="360" w:lineRule="auto"/>
        <w:ind w:firstLine="480" w:firstLineChars="200"/>
        <w:rPr>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039E926C">
      <w:pPr>
        <w:spacing w:line="360" w:lineRule="auto"/>
        <w:ind w:firstLine="480" w:firstLineChars="200"/>
        <w:rPr>
          <w:bCs/>
          <w:sz w:val="24"/>
        </w:rPr>
      </w:pPr>
      <w:r>
        <w:rPr>
          <w:rFonts w:hint="eastAsia"/>
          <w:bCs/>
          <w:sz w:val="24"/>
        </w:rPr>
        <w:t>5、未来可能变更业绩比较基准的情况和程序</w:t>
      </w:r>
    </w:p>
    <w:p w14:paraId="7563F09A">
      <w:pPr>
        <w:spacing w:line="360" w:lineRule="auto"/>
        <w:ind w:firstLine="480" w:firstLineChars="200"/>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16124D11">
      <w:pPr>
        <w:spacing w:line="360" w:lineRule="auto"/>
        <w:ind w:firstLine="480" w:firstLineChars="200"/>
        <w:rPr>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723483C">
      <w:pPr>
        <w:spacing w:line="360" w:lineRule="auto"/>
        <w:ind w:firstLine="480" w:firstLineChars="200"/>
        <w:rPr>
          <w:bCs/>
          <w:sz w:val="24"/>
        </w:rPr>
      </w:pPr>
      <w:r>
        <w:rPr>
          <w:rFonts w:hint="eastAsia"/>
          <w:bCs/>
          <w:sz w:val="24"/>
        </w:rPr>
        <w:t>（2）调整业绩比较基准的要素权重、更换相同或相近特征的要素等，使新业绩比较基准代表性更强，且符合相关法律法规规定的；</w:t>
      </w:r>
    </w:p>
    <w:p w14:paraId="7F971570">
      <w:pPr>
        <w:spacing w:line="360" w:lineRule="auto"/>
        <w:ind w:firstLine="480" w:firstLineChars="200"/>
        <w:rPr>
          <w:bCs/>
          <w:sz w:val="24"/>
        </w:rPr>
      </w:pPr>
      <w:r>
        <w:rPr>
          <w:rFonts w:hint="eastAsia"/>
          <w:bCs/>
          <w:sz w:val="24"/>
        </w:rPr>
        <w:t>（</w:t>
      </w:r>
      <w:r>
        <w:rPr>
          <w:bCs/>
          <w:sz w:val="24"/>
        </w:rPr>
        <w:t>3</w:t>
      </w:r>
      <w:r>
        <w:rPr>
          <w:rFonts w:hint="eastAsia"/>
          <w:bCs/>
          <w:sz w:val="24"/>
        </w:rPr>
        <w:t>）中国证监会认可的其他情形。</w:t>
      </w:r>
    </w:p>
    <w:p w14:paraId="621E5C40">
      <w:pPr>
        <w:spacing w:line="360" w:lineRule="auto"/>
        <w:ind w:firstLine="480" w:firstLineChars="200"/>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41C5F91D">
      <w:pPr>
        <w:spacing w:line="360" w:lineRule="auto"/>
        <w:ind w:firstLine="480" w:firstLineChars="200"/>
        <w:rPr>
          <w:bCs/>
          <w:sz w:val="24"/>
        </w:rPr>
      </w:pPr>
      <w:r>
        <w:rPr>
          <w:rFonts w:hint="eastAsia"/>
          <w:bCs/>
          <w:sz w:val="24"/>
        </w:rPr>
        <w:t>（1）基金投资目标、投资范围、投资策略、投资比例等拟进行重大调整，并变更业绩比较基准的；</w:t>
      </w:r>
    </w:p>
    <w:p w14:paraId="62F29CA8">
      <w:pPr>
        <w:spacing w:line="360" w:lineRule="auto"/>
        <w:ind w:firstLine="480" w:firstLineChars="200"/>
        <w:rPr>
          <w:bCs/>
          <w:sz w:val="24"/>
        </w:rPr>
      </w:pPr>
      <w:r>
        <w:rPr>
          <w:rFonts w:hint="eastAsia"/>
          <w:bCs/>
          <w:sz w:val="24"/>
        </w:rPr>
        <w:t>（2）其他对基金份额持有人利益产生重大实质性影响的情形。</w:t>
      </w:r>
    </w:p>
    <w:p w14:paraId="761E0851">
      <w:pPr>
        <w:spacing w:line="360" w:lineRule="auto"/>
        <w:ind w:firstLine="480" w:firstLineChars="200"/>
        <w:rPr>
          <w:bCs/>
          <w:sz w:val="24"/>
        </w:rPr>
      </w:pPr>
      <w:r>
        <w:rPr>
          <w:rFonts w:hint="eastAsia"/>
          <w:bCs/>
          <w:sz w:val="24"/>
        </w:rPr>
        <w:t>六、风险收益特征</w:t>
      </w:r>
    </w:p>
    <w:p w14:paraId="7931FC44">
      <w:pPr>
        <w:spacing w:line="360" w:lineRule="auto"/>
        <w:ind w:firstLine="480" w:firstLineChars="200"/>
        <w:rPr>
          <w:bCs/>
          <w:sz w:val="24"/>
        </w:rPr>
      </w:pPr>
      <w:r>
        <w:rPr>
          <w:rFonts w:hint="eastAsia"/>
          <w:bCs/>
          <w:sz w:val="24"/>
        </w:rPr>
        <w:t>本基金为混合型基金，其预期收益及预期风险水平高于债券型基金和货币市场基金，低于股票型基金。</w:t>
      </w:r>
    </w:p>
    <w:p w14:paraId="0DA7ABD3">
      <w:pPr>
        <w:spacing w:line="360" w:lineRule="auto"/>
        <w:ind w:firstLine="480" w:firstLineChars="200"/>
        <w:rPr>
          <w:bCs/>
          <w:sz w:val="24"/>
        </w:rPr>
      </w:pPr>
      <w:r>
        <w:rPr>
          <w:rFonts w:hint="eastAsia"/>
          <w:bCs/>
          <w:sz w:val="24"/>
        </w:rPr>
        <w:t>本基金可投资港股通标的股票，除了需要承担与内地证券投资基金类似的市场波动风险等一般投资风险之外，还会面临港股通机制下因投资环境、投资标的、市场制度以及交易规则等差异带来的特有风险。</w:t>
      </w:r>
    </w:p>
    <w:p w14:paraId="74777F83">
      <w:pPr>
        <w:spacing w:line="360" w:lineRule="auto"/>
        <w:ind w:firstLine="480" w:firstLineChars="200"/>
        <w:rPr>
          <w:bCs/>
          <w:sz w:val="24"/>
        </w:rPr>
      </w:pPr>
      <w:r>
        <w:rPr>
          <w:rFonts w:hint="eastAsia"/>
          <w:bCs/>
          <w:sz w:val="24"/>
        </w:rPr>
        <w:t>七、基金管理人代表基金行使股东或债权人权利的处理原则及方法</w:t>
      </w:r>
    </w:p>
    <w:p w14:paraId="2763B7D5">
      <w:pPr>
        <w:spacing w:line="360" w:lineRule="auto"/>
        <w:ind w:firstLine="480" w:firstLineChars="200"/>
        <w:rPr>
          <w:bCs/>
          <w:sz w:val="24"/>
        </w:rPr>
      </w:pPr>
      <w:r>
        <w:rPr>
          <w:rFonts w:hint="eastAsia"/>
          <w:bCs/>
          <w:sz w:val="24"/>
        </w:rPr>
        <w:t>1、基金管理人按照国家有关规定代表基金独立行使股东或债权人权利，保护基金份额持有人的利益；</w:t>
      </w:r>
    </w:p>
    <w:p w14:paraId="379027F1">
      <w:pPr>
        <w:spacing w:line="360" w:lineRule="auto"/>
        <w:ind w:firstLine="480" w:firstLineChars="200"/>
        <w:rPr>
          <w:bCs/>
          <w:sz w:val="24"/>
        </w:rPr>
      </w:pPr>
      <w:r>
        <w:rPr>
          <w:rFonts w:hint="eastAsia"/>
          <w:bCs/>
          <w:sz w:val="24"/>
        </w:rPr>
        <w:t>2、不谋求对上市公司的控股；</w:t>
      </w:r>
    </w:p>
    <w:p w14:paraId="30591FEB">
      <w:pPr>
        <w:spacing w:line="360" w:lineRule="auto"/>
        <w:ind w:firstLine="480" w:firstLineChars="200"/>
        <w:rPr>
          <w:bCs/>
          <w:sz w:val="24"/>
        </w:rPr>
      </w:pPr>
      <w:r>
        <w:rPr>
          <w:rFonts w:hint="eastAsia"/>
          <w:bCs/>
          <w:sz w:val="24"/>
        </w:rPr>
        <w:t>3、有利于基金财产的安全与增值；</w:t>
      </w:r>
    </w:p>
    <w:p w14:paraId="662A4C44">
      <w:pPr>
        <w:spacing w:line="360" w:lineRule="auto"/>
        <w:ind w:firstLine="480" w:firstLineChars="200"/>
        <w:rPr>
          <w:bCs/>
          <w:sz w:val="24"/>
        </w:rPr>
      </w:pPr>
      <w:r>
        <w:rPr>
          <w:rFonts w:hint="eastAsia"/>
          <w:bCs/>
          <w:sz w:val="24"/>
        </w:rPr>
        <w:t>4、不通过关联交易为自身、雇员、授权代理人或任何存在利害关系的第三人牟取任何不当利益。</w:t>
      </w:r>
    </w:p>
    <w:p w14:paraId="7FBCBAFE">
      <w:pPr>
        <w:spacing w:line="360" w:lineRule="auto"/>
        <w:ind w:firstLine="480" w:firstLineChars="200"/>
        <w:rPr>
          <w:bCs/>
          <w:sz w:val="24"/>
        </w:rPr>
      </w:pPr>
      <w:r>
        <w:rPr>
          <w:rFonts w:hint="eastAsia"/>
          <w:bCs/>
          <w:sz w:val="24"/>
        </w:rPr>
        <w:t>八、侧袋机制的实施和投资运作安排</w:t>
      </w:r>
    </w:p>
    <w:p w14:paraId="065EB0DE">
      <w:pPr>
        <w:spacing w:line="360" w:lineRule="auto"/>
        <w:ind w:firstLine="480" w:firstLineChars="200"/>
        <w:rPr>
          <w:bCs/>
          <w:sz w:val="24"/>
        </w:rPr>
      </w:pPr>
      <w:r>
        <w:rPr>
          <w:rFonts w:hint="eastAsia"/>
          <w:bCs/>
          <w:sz w:val="24"/>
        </w:rPr>
        <w:t>当基金持有特定资产且存在或潜在</w:t>
      </w:r>
      <w:r>
        <w:rPr>
          <w:rFonts w:hint="eastAsia"/>
          <w:sz w:val="24"/>
        </w:rPr>
        <w:t>大额</w:t>
      </w:r>
      <w:r>
        <w:rPr>
          <w:rFonts w:hint="eastAsia"/>
          <w:bCs/>
          <w:sz w:val="24"/>
        </w:rPr>
        <w:t>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9B3DB3C">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03EE7B8B">
      <w:pPr>
        <w:spacing w:line="360" w:lineRule="auto"/>
        <w:ind w:firstLine="480" w:firstLineChars="200"/>
        <w:rPr>
          <w:sz w:val="24"/>
          <w:szCs w:val="24"/>
        </w:rPr>
      </w:pPr>
      <w:r>
        <w:rPr>
          <w:rFonts w:hint="eastAsia"/>
          <w:bCs/>
          <w:sz w:val="24"/>
        </w:rPr>
        <w:t>侧袋账户的实施条件、实施程序、运作安排、投资安排、特定资产的处置变现和支付等对投资者权益有重大影响的事项详见招募说明书“侧袋机制”部分的规定。</w:t>
      </w:r>
      <w:bookmarkEnd w:id="163"/>
      <w:bookmarkEnd w:id="164"/>
      <w:bookmarkEnd w:id="165"/>
      <w:bookmarkEnd w:id="166"/>
      <w:bookmarkEnd w:id="167"/>
    </w:p>
    <w:p w14:paraId="6F0648F4">
      <w:pPr>
        <w:pStyle w:val="2"/>
        <w:spacing w:before="0" w:after="0"/>
        <w:jc w:val="center"/>
        <w:rPr>
          <w:rFonts w:ascii="Times New Roman"/>
          <w:color w:val="auto"/>
          <w:szCs w:val="24"/>
        </w:rPr>
      </w:pPr>
      <w:r>
        <w:rPr>
          <w:rFonts w:ascii="Times New Roman"/>
          <w:b w:val="0"/>
          <w:bCs/>
          <w:kern w:val="44"/>
          <w:szCs w:val="24"/>
        </w:rPr>
        <w:br w:type="page"/>
      </w:r>
      <w:bookmarkStart w:id="168" w:name="_Toc92662704"/>
      <w:bookmarkStart w:id="169" w:name="_Toc93226145"/>
      <w:bookmarkStart w:id="170" w:name="_Toc345339066"/>
      <w:bookmarkStart w:id="171" w:name="_Toc128310496"/>
      <w:bookmarkStart w:id="172" w:name="_Toc29561"/>
      <w:bookmarkStart w:id="173" w:name="_Toc32030"/>
      <w:bookmarkStart w:id="174" w:name="_Toc20102"/>
      <w:bookmarkStart w:id="175" w:name="_Toc48032547"/>
      <w:bookmarkStart w:id="176" w:name="_Toc326752135"/>
      <w:bookmarkStart w:id="177" w:name="_Toc3054"/>
      <w:bookmarkStart w:id="178" w:name="_Toc18000"/>
      <w:bookmarkStart w:id="179" w:name="_Toc21642"/>
      <w:bookmarkStart w:id="180" w:name="_Toc141703893"/>
      <w:bookmarkStart w:id="181" w:name="_Toc139991743"/>
      <w:bookmarkStart w:id="182" w:name="_Toc216103543"/>
      <w:bookmarkStart w:id="183" w:name="_Toc26114"/>
      <w:bookmarkStart w:id="184" w:name="_Toc13819"/>
      <w:bookmarkStart w:id="185" w:name="_Toc20782"/>
      <w:bookmarkStart w:id="186" w:name="_Toc24474"/>
      <w:bookmarkStart w:id="187" w:name="_Toc31611"/>
      <w:r>
        <w:rPr>
          <w:rFonts w:ascii="Times New Roman"/>
          <w:color w:val="auto"/>
          <w:szCs w:val="24"/>
        </w:rPr>
        <w:t>第十部分  基金</w:t>
      </w:r>
      <w:bookmarkEnd w:id="168"/>
      <w:bookmarkEnd w:id="169"/>
      <w:r>
        <w:rPr>
          <w:rFonts w:ascii="Times New Roman"/>
          <w:color w:val="auto"/>
          <w:szCs w:val="24"/>
        </w:rPr>
        <w:t>的财产</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F29A117">
      <w:pPr>
        <w:spacing w:line="360" w:lineRule="auto"/>
        <w:ind w:firstLine="480" w:firstLineChars="200"/>
        <w:rPr>
          <w:bCs/>
          <w:sz w:val="24"/>
          <w:szCs w:val="24"/>
        </w:rPr>
      </w:pPr>
    </w:p>
    <w:p w14:paraId="5B15D149">
      <w:pPr>
        <w:spacing w:line="360" w:lineRule="auto"/>
        <w:ind w:firstLine="480" w:firstLineChars="200"/>
        <w:rPr>
          <w:bCs/>
          <w:sz w:val="24"/>
        </w:rPr>
      </w:pPr>
      <w:bookmarkStart w:id="188" w:name="_Hlk93056891"/>
      <w:r>
        <w:rPr>
          <w:rFonts w:hint="eastAsia"/>
          <w:bCs/>
          <w:sz w:val="24"/>
        </w:rPr>
        <w:t>一、基金资产总值</w:t>
      </w:r>
    </w:p>
    <w:p w14:paraId="6F0AC6DE">
      <w:pPr>
        <w:spacing w:line="360" w:lineRule="auto"/>
        <w:ind w:firstLine="480" w:firstLineChars="200"/>
        <w:rPr>
          <w:bCs/>
          <w:sz w:val="24"/>
        </w:rPr>
      </w:pPr>
      <w:r>
        <w:rPr>
          <w:rFonts w:hint="eastAsia"/>
          <w:bCs/>
          <w:sz w:val="24"/>
        </w:rPr>
        <w:t>基金资产总值是指购买的各类证券及票据价值、银行存款本息、期货合约和基金应收款项以及其他投资所形成的价值总和。</w:t>
      </w:r>
    </w:p>
    <w:p w14:paraId="0B7C1B54">
      <w:pPr>
        <w:spacing w:line="360" w:lineRule="auto"/>
        <w:ind w:firstLine="480" w:firstLineChars="200"/>
        <w:rPr>
          <w:bCs/>
          <w:sz w:val="24"/>
        </w:rPr>
      </w:pPr>
      <w:r>
        <w:rPr>
          <w:rFonts w:hint="eastAsia"/>
          <w:bCs/>
          <w:sz w:val="24"/>
        </w:rPr>
        <w:t>二、基金资产净值</w:t>
      </w:r>
    </w:p>
    <w:p w14:paraId="33310F8D">
      <w:pPr>
        <w:spacing w:line="360" w:lineRule="auto"/>
        <w:ind w:firstLine="480" w:firstLineChars="200"/>
        <w:rPr>
          <w:bCs/>
          <w:sz w:val="24"/>
        </w:rPr>
      </w:pPr>
      <w:r>
        <w:rPr>
          <w:rFonts w:hint="eastAsia"/>
          <w:bCs/>
          <w:sz w:val="24"/>
        </w:rPr>
        <w:t>基金资产净值是指基金资产总值减去基金负债后的价值。</w:t>
      </w:r>
    </w:p>
    <w:p w14:paraId="7C2E6A3D">
      <w:pPr>
        <w:spacing w:line="360" w:lineRule="auto"/>
        <w:ind w:firstLine="480" w:firstLineChars="200"/>
        <w:rPr>
          <w:bCs/>
          <w:sz w:val="24"/>
        </w:rPr>
      </w:pPr>
      <w:r>
        <w:rPr>
          <w:rFonts w:hint="eastAsia"/>
          <w:bCs/>
          <w:sz w:val="24"/>
        </w:rPr>
        <w:t>三、基金财产的账户</w:t>
      </w:r>
    </w:p>
    <w:p w14:paraId="1BAE9415">
      <w:pPr>
        <w:spacing w:line="360" w:lineRule="auto"/>
        <w:ind w:firstLine="480" w:firstLineChars="200"/>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373AF17">
      <w:pPr>
        <w:spacing w:line="360" w:lineRule="auto"/>
        <w:ind w:firstLine="480" w:firstLineChars="200"/>
        <w:rPr>
          <w:bCs/>
          <w:sz w:val="24"/>
        </w:rPr>
      </w:pPr>
      <w:r>
        <w:rPr>
          <w:rFonts w:hint="eastAsia"/>
          <w:bCs/>
          <w:sz w:val="24"/>
        </w:rPr>
        <w:t>四、基金财产的保管和处分</w:t>
      </w:r>
    </w:p>
    <w:p w14:paraId="5810C771">
      <w:pPr>
        <w:spacing w:line="360" w:lineRule="auto"/>
        <w:ind w:firstLine="480" w:firstLineChars="200"/>
        <w:rPr>
          <w:bCs/>
          <w:sz w:val="24"/>
        </w:rPr>
      </w:pPr>
      <w:r>
        <w:rPr>
          <w:rFonts w:hint="eastAsia"/>
          <w:bCs/>
          <w:sz w:val="24"/>
        </w:rPr>
        <w:t>本基金财产独立于基金管理人、基金托管人、证券经纪商和基金销售机构的财产，并由基金托管人保管。基金管理人、基金托管人、基金登记机构、证券经纪商和基金销售机构以其自有的财产承担其自身的法律责任，其债权人不得对本基金财产行使请求冻结、扣押或其他权利。除依法律法规和《基金合同》的规定处分外，基金财产不得被处分。</w:t>
      </w:r>
    </w:p>
    <w:p w14:paraId="16C01BD6">
      <w:pPr>
        <w:spacing w:line="360" w:lineRule="auto"/>
        <w:ind w:firstLine="480" w:firstLineChars="200"/>
        <w:rPr>
          <w:sz w:val="24"/>
          <w:szCs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bookmarkEnd w:id="188"/>
    <w:p w14:paraId="62F895CA">
      <w:pPr>
        <w:pStyle w:val="2"/>
        <w:spacing w:before="0" w:after="0"/>
        <w:jc w:val="center"/>
        <w:rPr>
          <w:rFonts w:ascii="Times New Roman"/>
          <w:color w:val="auto"/>
          <w:szCs w:val="24"/>
        </w:rPr>
      </w:pPr>
      <w:bookmarkStart w:id="189" w:name="_Hlt88841837"/>
      <w:bookmarkEnd w:id="189"/>
      <w:bookmarkStart w:id="190" w:name="_Hlt88900062"/>
      <w:bookmarkEnd w:id="190"/>
      <w:r>
        <w:rPr>
          <w:rFonts w:ascii="Times New Roman"/>
          <w:b w:val="0"/>
          <w:bCs/>
          <w:color w:val="auto"/>
          <w:kern w:val="44"/>
          <w:szCs w:val="24"/>
        </w:rPr>
        <w:br w:type="page"/>
      </w:r>
      <w:bookmarkStart w:id="191" w:name="_Toc48032548"/>
      <w:bookmarkStart w:id="192" w:name="_Toc326752136"/>
      <w:bookmarkStart w:id="193" w:name="_Toc27832"/>
      <w:bookmarkStart w:id="194" w:name="_Toc31917"/>
      <w:bookmarkStart w:id="195" w:name="_Toc19714"/>
      <w:bookmarkStart w:id="196" w:name="_Toc17782"/>
      <w:bookmarkStart w:id="197" w:name="_Toc871"/>
      <w:bookmarkStart w:id="198" w:name="_Toc7802"/>
      <w:bookmarkStart w:id="199" w:name="_Toc2623"/>
      <w:bookmarkStart w:id="200" w:name="_Toc345339067"/>
      <w:bookmarkStart w:id="201" w:name="_Toc216103544"/>
      <w:bookmarkStart w:id="202" w:name="_Toc141703894"/>
      <w:bookmarkStart w:id="203" w:name="_Toc139991744"/>
      <w:r>
        <w:rPr>
          <w:rFonts w:ascii="Times New Roman"/>
          <w:color w:val="auto"/>
          <w:szCs w:val="24"/>
        </w:rPr>
        <w:t>第十</w:t>
      </w:r>
      <w:r>
        <w:rPr>
          <w:rFonts w:hint="eastAsia" w:ascii="Times New Roman"/>
          <w:color w:val="auto"/>
          <w:szCs w:val="24"/>
        </w:rPr>
        <w:t>一</w:t>
      </w:r>
      <w:r>
        <w:rPr>
          <w:rFonts w:ascii="Times New Roman"/>
          <w:color w:val="auto"/>
          <w:szCs w:val="24"/>
        </w:rPr>
        <w:t>部分  基金资产</w:t>
      </w:r>
      <w:r>
        <w:rPr>
          <w:rFonts w:hint="eastAsia" w:ascii="Times New Roman"/>
          <w:color w:val="auto"/>
          <w:szCs w:val="24"/>
        </w:rPr>
        <w:t>的</w:t>
      </w:r>
      <w:r>
        <w:rPr>
          <w:rFonts w:ascii="Times New Roman"/>
          <w:color w:val="auto"/>
          <w:szCs w:val="24"/>
        </w:rPr>
        <w:t>估值</w:t>
      </w:r>
      <w:bookmarkEnd w:id="191"/>
      <w:bookmarkEnd w:id="192"/>
      <w:bookmarkEnd w:id="193"/>
      <w:bookmarkEnd w:id="194"/>
      <w:bookmarkEnd w:id="195"/>
      <w:bookmarkEnd w:id="196"/>
      <w:bookmarkEnd w:id="197"/>
      <w:bookmarkEnd w:id="198"/>
      <w:bookmarkEnd w:id="199"/>
      <w:bookmarkEnd w:id="200"/>
      <w:bookmarkEnd w:id="201"/>
    </w:p>
    <w:p w14:paraId="7597574C">
      <w:pPr>
        <w:spacing w:line="360" w:lineRule="auto"/>
        <w:ind w:firstLine="480" w:firstLineChars="200"/>
        <w:rPr>
          <w:sz w:val="24"/>
          <w:szCs w:val="24"/>
        </w:rPr>
      </w:pPr>
    </w:p>
    <w:p w14:paraId="49FCF48C">
      <w:pPr>
        <w:spacing w:line="360" w:lineRule="auto"/>
        <w:ind w:firstLine="480" w:firstLineChars="200"/>
        <w:rPr>
          <w:bCs/>
          <w:sz w:val="24"/>
        </w:rPr>
      </w:pPr>
      <w:bookmarkStart w:id="204" w:name="_Hlk93056935"/>
      <w:r>
        <w:rPr>
          <w:rFonts w:hint="eastAsia"/>
          <w:bCs/>
          <w:sz w:val="24"/>
        </w:rPr>
        <w:t>一、估值日</w:t>
      </w:r>
    </w:p>
    <w:p w14:paraId="083E751B">
      <w:pPr>
        <w:spacing w:line="360" w:lineRule="auto"/>
        <w:ind w:firstLine="480" w:firstLineChars="200"/>
        <w:rPr>
          <w:bCs/>
          <w:sz w:val="24"/>
        </w:rPr>
      </w:pPr>
      <w:r>
        <w:rPr>
          <w:rFonts w:hint="eastAsia"/>
          <w:bCs/>
          <w:sz w:val="24"/>
        </w:rPr>
        <w:t>本基金的估值日为本基金相关的证券交易场所的交易日以及国家法律法规规定需要对外披露基金净值的非交易日。</w:t>
      </w:r>
    </w:p>
    <w:p w14:paraId="5F1F42E8">
      <w:pPr>
        <w:spacing w:line="360" w:lineRule="auto"/>
        <w:ind w:firstLine="480" w:firstLineChars="200"/>
        <w:rPr>
          <w:bCs/>
          <w:sz w:val="24"/>
        </w:rPr>
      </w:pPr>
      <w:r>
        <w:rPr>
          <w:rFonts w:hint="eastAsia"/>
          <w:bCs/>
          <w:sz w:val="24"/>
        </w:rPr>
        <w:t>二、估值对象</w:t>
      </w:r>
    </w:p>
    <w:p w14:paraId="4D569DAA">
      <w:pPr>
        <w:spacing w:line="360" w:lineRule="auto"/>
        <w:ind w:firstLine="480" w:firstLineChars="200"/>
        <w:rPr>
          <w:bCs/>
          <w:sz w:val="24"/>
        </w:rPr>
      </w:pPr>
      <w:r>
        <w:rPr>
          <w:rFonts w:hint="eastAsia"/>
          <w:bCs/>
          <w:sz w:val="24"/>
        </w:rPr>
        <w:t>基金所拥有的股票、债券和银行存款本息、应收款项、期货合约、其它投资等资产及负债。</w:t>
      </w:r>
    </w:p>
    <w:p w14:paraId="0EEB655E">
      <w:pPr>
        <w:spacing w:line="360" w:lineRule="auto"/>
        <w:ind w:firstLine="480" w:firstLineChars="200"/>
        <w:rPr>
          <w:bCs/>
          <w:sz w:val="24"/>
        </w:rPr>
      </w:pPr>
      <w:r>
        <w:rPr>
          <w:rFonts w:hint="eastAsia"/>
          <w:bCs/>
          <w:sz w:val="24"/>
        </w:rPr>
        <w:t>三、估值原则</w:t>
      </w:r>
    </w:p>
    <w:p w14:paraId="779C7C1F">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49529B36">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1193A77">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FE4A486">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188727C">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2A9CE121">
      <w:pPr>
        <w:spacing w:line="360" w:lineRule="auto"/>
        <w:ind w:firstLine="480" w:firstLineChars="200"/>
        <w:rPr>
          <w:bCs/>
          <w:sz w:val="24"/>
        </w:rPr>
      </w:pPr>
      <w:r>
        <w:rPr>
          <w:rFonts w:hint="eastAsia"/>
          <w:bCs/>
          <w:sz w:val="24"/>
        </w:rPr>
        <w:t>四、估值方法</w:t>
      </w:r>
    </w:p>
    <w:p w14:paraId="5F757FE9">
      <w:pPr>
        <w:spacing w:line="360" w:lineRule="auto"/>
        <w:ind w:firstLine="480" w:firstLineChars="200"/>
        <w:rPr>
          <w:bCs/>
          <w:sz w:val="24"/>
        </w:rPr>
      </w:pPr>
      <w:r>
        <w:rPr>
          <w:bCs/>
          <w:sz w:val="24"/>
        </w:rPr>
        <w:t>1、</w:t>
      </w:r>
      <w:r>
        <w:rPr>
          <w:rFonts w:hint="eastAsia"/>
          <w:bCs/>
          <w:sz w:val="24"/>
        </w:rPr>
        <w:t>股票的估值方法</w:t>
      </w:r>
    </w:p>
    <w:p w14:paraId="39B8EE14">
      <w:pPr>
        <w:spacing w:line="360" w:lineRule="auto"/>
        <w:ind w:firstLine="480" w:firstLineChars="200"/>
        <w:rPr>
          <w:bCs/>
          <w:sz w:val="24"/>
        </w:rPr>
      </w:pPr>
      <w:r>
        <w:rPr>
          <w:rFonts w:hint="eastAsia"/>
          <w:bCs/>
          <w:sz w:val="24"/>
        </w:rPr>
        <w:t>（1）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14:paraId="06924658">
      <w:pPr>
        <w:spacing w:line="360" w:lineRule="auto"/>
        <w:ind w:firstLine="480" w:firstLineChars="200"/>
        <w:rPr>
          <w:bCs/>
          <w:sz w:val="24"/>
        </w:rPr>
      </w:pPr>
      <w:r>
        <w:rPr>
          <w:rFonts w:hint="eastAsia"/>
          <w:bCs/>
          <w:sz w:val="24"/>
        </w:rPr>
        <w:t>（2）未上市股票的估值</w:t>
      </w:r>
    </w:p>
    <w:p w14:paraId="34A13F9D">
      <w:pPr>
        <w:spacing w:line="360" w:lineRule="auto"/>
        <w:ind w:firstLine="480" w:firstLineChars="200"/>
        <w:rPr>
          <w:bCs/>
          <w:sz w:val="24"/>
        </w:rPr>
      </w:pPr>
      <w:r>
        <w:rPr>
          <w:rFonts w:hint="eastAsia"/>
          <w:bCs/>
          <w:sz w:val="24"/>
        </w:rPr>
        <w:t>1）首次发行未上市的股票，采用估值技术确定公允价值，在估值技术难以可靠计量公允价值的情况下，按成本价估值；</w:t>
      </w:r>
    </w:p>
    <w:p w14:paraId="291232DE">
      <w:pPr>
        <w:spacing w:line="360" w:lineRule="auto"/>
        <w:ind w:firstLine="480" w:firstLineChars="200"/>
        <w:rPr>
          <w:bCs/>
          <w:sz w:val="24"/>
        </w:rPr>
      </w:pPr>
      <w:r>
        <w:rPr>
          <w:bCs/>
          <w:sz w:val="24"/>
        </w:rPr>
        <w:t>2</w:t>
      </w:r>
      <w:r>
        <w:rPr>
          <w:rFonts w:hint="eastAsia"/>
          <w:bCs/>
          <w:sz w:val="24"/>
        </w:rPr>
        <w:t>）非公开发行、首次公开发行股票时公司股东公开发售以及通过大宗交易取得的有明确锁定期的股票，按监管机构或行业协会有关规定确定公允价值；</w:t>
      </w:r>
    </w:p>
    <w:p w14:paraId="3A363768">
      <w:pPr>
        <w:spacing w:line="360" w:lineRule="auto"/>
        <w:ind w:firstLine="480" w:firstLineChars="200"/>
        <w:rPr>
          <w:bCs/>
          <w:sz w:val="24"/>
        </w:rPr>
      </w:pPr>
      <w:r>
        <w:rPr>
          <w:rFonts w:hint="eastAsia"/>
          <w:bCs/>
          <w:sz w:val="24"/>
        </w:rPr>
        <w:t>3）送股、转增股、配股和公开增发新股等发行未上市的股票，按估值日在证券交易所上市的同一股票的收盘价进行估值。</w:t>
      </w:r>
    </w:p>
    <w:p w14:paraId="4CF85291">
      <w:pPr>
        <w:spacing w:line="360" w:lineRule="auto"/>
        <w:ind w:firstLine="480" w:firstLineChars="200"/>
        <w:rPr>
          <w:bCs/>
          <w:sz w:val="24"/>
        </w:rPr>
      </w:pPr>
      <w:r>
        <w:rPr>
          <w:rFonts w:hint="eastAsia"/>
          <w:bCs/>
          <w:sz w:val="24"/>
        </w:rPr>
        <w:t>2、固定收益品种的估值方法</w:t>
      </w:r>
    </w:p>
    <w:p w14:paraId="6D8470F2">
      <w:pPr>
        <w:spacing w:line="360" w:lineRule="auto"/>
        <w:ind w:firstLine="480" w:firstLineChars="200"/>
        <w:rPr>
          <w:bCs/>
          <w:sz w:val="24"/>
        </w:rPr>
      </w:pPr>
      <w:r>
        <w:rPr>
          <w:rFonts w:hint="eastAsia"/>
          <w:bCs/>
          <w:sz w:val="24"/>
        </w:rPr>
        <w:t>（1）</w:t>
      </w:r>
      <w:r>
        <w:rPr>
          <w:rFonts w:hint="eastAsia"/>
          <w:sz w:val="24"/>
        </w:rPr>
        <w:t>对于已上市或已挂牌转让的不含权固定收益品种</w:t>
      </w:r>
      <w:r>
        <w:rPr>
          <w:rFonts w:hint="eastAsia"/>
          <w:bCs/>
          <w:sz w:val="24"/>
        </w:rPr>
        <w:t>（基金合同另有规定的除外），</w:t>
      </w:r>
      <w:r>
        <w:rPr>
          <w:rFonts w:hint="eastAsia"/>
          <w:sz w:val="24"/>
        </w:rPr>
        <w:t>选取第三方估值基准服务机构提供的相应品种当日的估值全价</w:t>
      </w:r>
      <w:r>
        <w:rPr>
          <w:rFonts w:hint="eastAsia"/>
          <w:bCs/>
          <w:sz w:val="24"/>
        </w:rPr>
        <w:t>。</w:t>
      </w:r>
    </w:p>
    <w:p w14:paraId="0CEDDFD0">
      <w:pPr>
        <w:spacing w:line="360" w:lineRule="auto"/>
        <w:ind w:firstLine="480" w:firstLineChars="200"/>
        <w:rPr>
          <w:sz w:val="24"/>
        </w:rPr>
      </w:pPr>
      <w:r>
        <w:rPr>
          <w:rFonts w:hint="eastAsia"/>
          <w:bCs/>
          <w:sz w:val="24"/>
        </w:rPr>
        <w:t>（2）</w:t>
      </w:r>
      <w:r>
        <w:rPr>
          <w:rFonts w:hint="eastAsia"/>
          <w:sz w:val="24"/>
        </w:rPr>
        <w:t>对于已上市或已挂牌转让的含权固定收益品种</w:t>
      </w:r>
      <w:r>
        <w:rPr>
          <w:rFonts w:hint="eastAsia"/>
          <w:bCs/>
          <w:sz w:val="24"/>
        </w:rPr>
        <w:t>（基金合同另有规定的除外），</w:t>
      </w:r>
      <w:r>
        <w:rPr>
          <w:rFonts w:hint="eastAsia"/>
          <w:sz w:val="24"/>
        </w:rPr>
        <w:t>选取第三方估值基准服务机构提供的相应品种当日的唯一估值全价或推荐估值全价</w:t>
      </w:r>
      <w:r>
        <w:rPr>
          <w:rFonts w:hint="eastAsia"/>
          <w:bCs/>
          <w:sz w:val="24"/>
        </w:rPr>
        <w:t>。</w:t>
      </w:r>
    </w:p>
    <w:p w14:paraId="1CAFF79F">
      <w:pPr>
        <w:spacing w:line="360" w:lineRule="auto"/>
        <w:ind w:firstLine="480" w:firstLineChars="200"/>
        <w:rPr>
          <w:bCs/>
          <w:sz w:val="24"/>
        </w:rPr>
      </w:pPr>
      <w:r>
        <w:rPr>
          <w:rFonts w:hint="eastAsia"/>
          <w:bCs/>
          <w:sz w:val="24"/>
        </w:rPr>
        <w:t>（3）</w:t>
      </w:r>
      <w:r>
        <w:rPr>
          <w:rFonts w:hint="eastAsia"/>
          <w:sz w:val="24"/>
        </w:rPr>
        <w:t>对于含投资者回售权的固定收益品种，行使回售权的，在回售登记日至实际收款日期间选取第三方估值基准服务机构提供的相应品种的唯一估值全价或推荐估值全价</w:t>
      </w:r>
      <w:r>
        <w:rPr>
          <w:rFonts w:hint="eastAsia"/>
          <w:bCs/>
          <w:sz w:val="24"/>
        </w:rPr>
        <w:t>，同时应充分考虑发行人的信用风险变化对公允价值的影响。</w:t>
      </w:r>
      <w:r>
        <w:rPr>
          <w:rFonts w:hint="eastAsia"/>
          <w:sz w:val="24"/>
        </w:rPr>
        <w:t>回售登记期截止日（含当日）后未行使回售权的按照长待偿期所对应的价格进行估值</w:t>
      </w:r>
      <w:r>
        <w:rPr>
          <w:rFonts w:hint="eastAsia"/>
          <w:bCs/>
          <w:sz w:val="24"/>
        </w:rPr>
        <w:t>。</w:t>
      </w:r>
    </w:p>
    <w:p w14:paraId="25BB4610">
      <w:pPr>
        <w:spacing w:line="360" w:lineRule="auto"/>
        <w:ind w:firstLine="480" w:firstLineChars="200"/>
        <w:rPr>
          <w:bCs/>
          <w:sz w:val="24"/>
        </w:rPr>
      </w:pPr>
      <w:r>
        <w:rPr>
          <w:rFonts w:hint="eastAsia"/>
          <w:bCs/>
          <w:sz w:val="24"/>
        </w:rPr>
        <w:t>（4）</w:t>
      </w:r>
      <w:r>
        <w:rPr>
          <w:rFonts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w:t>
      </w:r>
      <w:r>
        <w:rPr>
          <w:rFonts w:hint="eastAsia"/>
          <w:bCs/>
          <w:sz w:val="24"/>
        </w:rPr>
        <w:t>税前</w:t>
      </w:r>
      <w:r>
        <w:rPr>
          <w:rFonts w:hint="eastAsia"/>
          <w:sz w:val="24"/>
        </w:rPr>
        <w:t>应计利息作为估值全价</w:t>
      </w:r>
      <w:r>
        <w:rPr>
          <w:rFonts w:hint="eastAsia"/>
          <w:bCs/>
          <w:sz w:val="24"/>
        </w:rPr>
        <w:t>。</w:t>
      </w:r>
    </w:p>
    <w:p w14:paraId="1C7B893D">
      <w:pPr>
        <w:spacing w:line="360" w:lineRule="auto"/>
        <w:ind w:firstLine="480" w:firstLineChars="200"/>
        <w:rPr>
          <w:bCs/>
          <w:sz w:val="24"/>
        </w:rPr>
      </w:pPr>
      <w:r>
        <w:rPr>
          <w:rFonts w:hint="eastAsia"/>
          <w:bCs/>
          <w:sz w:val="24"/>
        </w:rPr>
        <w:t>（5）</w:t>
      </w:r>
      <w:r>
        <w:rPr>
          <w:rFonts w:hint="eastAsia"/>
          <w:sz w:val="24"/>
        </w:rPr>
        <w:t>对于未上市或未挂牌转让且不存在活跃市场的固定收益品种，应采用在当前情况下适用并且有足够可利用数据和其他信息支持的估值技术确定其公允价值</w:t>
      </w:r>
      <w:r>
        <w:rPr>
          <w:rFonts w:hint="eastAsia"/>
          <w:bCs/>
          <w:sz w:val="24"/>
        </w:rPr>
        <w:t>。</w:t>
      </w:r>
    </w:p>
    <w:p w14:paraId="4A4CB031">
      <w:pPr>
        <w:spacing w:line="360" w:lineRule="auto"/>
        <w:ind w:firstLine="480" w:firstLineChars="200"/>
        <w:rPr>
          <w:bCs/>
          <w:sz w:val="24"/>
        </w:rPr>
      </w:pPr>
      <w:r>
        <w:rPr>
          <w:bCs/>
          <w:sz w:val="24"/>
        </w:rPr>
        <w:t>3</w:t>
      </w:r>
      <w:r>
        <w:rPr>
          <w:rFonts w:hint="eastAsia"/>
          <w:bCs/>
          <w:sz w:val="24"/>
        </w:rPr>
        <w:t>、存款的估值方法</w:t>
      </w:r>
    </w:p>
    <w:p w14:paraId="7B102921">
      <w:pPr>
        <w:spacing w:line="360" w:lineRule="auto"/>
        <w:ind w:firstLine="480" w:firstLineChars="200"/>
        <w:rPr>
          <w:bCs/>
          <w:sz w:val="24"/>
        </w:rPr>
      </w:pPr>
      <w:r>
        <w:rPr>
          <w:rFonts w:hint="eastAsia"/>
          <w:bCs/>
          <w:sz w:val="24"/>
        </w:rPr>
        <w:t>持有的银行定期存款或通知存款以本金列示，按协议或合同利率逐日确认利息收入。</w:t>
      </w:r>
    </w:p>
    <w:p w14:paraId="3606D551">
      <w:pPr>
        <w:spacing w:line="360" w:lineRule="auto"/>
        <w:ind w:firstLine="480" w:firstLineChars="200"/>
        <w:rPr>
          <w:bCs/>
          <w:sz w:val="24"/>
        </w:rPr>
      </w:pPr>
      <w:r>
        <w:rPr>
          <w:bCs/>
          <w:sz w:val="24"/>
        </w:rPr>
        <w:t>4</w:t>
      </w:r>
      <w:r>
        <w:rPr>
          <w:rFonts w:hint="eastAsia"/>
          <w:bCs/>
          <w:sz w:val="24"/>
        </w:rPr>
        <w:t>、期货合约的估值方法</w:t>
      </w:r>
    </w:p>
    <w:p w14:paraId="3F3267DB">
      <w:pPr>
        <w:spacing w:line="360" w:lineRule="auto"/>
        <w:ind w:firstLine="480" w:firstLineChars="20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0BC717D3">
      <w:pPr>
        <w:spacing w:line="360" w:lineRule="auto"/>
        <w:ind w:firstLine="480" w:firstLineChars="200"/>
        <w:rPr>
          <w:bCs/>
          <w:sz w:val="24"/>
        </w:rPr>
      </w:pPr>
      <w:r>
        <w:rPr>
          <w:bCs/>
          <w:sz w:val="24"/>
        </w:rPr>
        <w:t>5</w:t>
      </w:r>
      <w:r>
        <w:rPr>
          <w:rFonts w:hint="eastAsia"/>
          <w:bCs/>
          <w:sz w:val="24"/>
        </w:rPr>
        <w:t>、本基金投资存托凭证的估值核算依照境内上市交易的股票执行。</w:t>
      </w:r>
    </w:p>
    <w:p w14:paraId="6FE9B644">
      <w:pPr>
        <w:spacing w:line="360" w:lineRule="auto"/>
        <w:ind w:firstLine="480" w:firstLineChars="200"/>
        <w:rPr>
          <w:bCs/>
          <w:sz w:val="24"/>
        </w:rPr>
      </w:pPr>
      <w:r>
        <w:rPr>
          <w:bCs/>
          <w:sz w:val="24"/>
        </w:rPr>
        <w:t>6</w:t>
      </w:r>
      <w:r>
        <w:rPr>
          <w:rFonts w:hint="eastAsia"/>
          <w:bCs/>
          <w:sz w:val="24"/>
        </w:rPr>
        <w:t>、同一证券同时在两个或两个以上市场交易的，按证券所处的市场分别估值。</w:t>
      </w:r>
    </w:p>
    <w:p w14:paraId="74024CE1">
      <w:pPr>
        <w:spacing w:line="360" w:lineRule="auto"/>
        <w:ind w:firstLine="480" w:firstLineChars="200"/>
        <w:rPr>
          <w:bCs/>
          <w:sz w:val="24"/>
        </w:rPr>
      </w:pPr>
      <w:r>
        <w:rPr>
          <w:bCs/>
          <w:sz w:val="24"/>
        </w:rPr>
        <w:t>7</w:t>
      </w:r>
      <w:r>
        <w:rPr>
          <w:rFonts w:hint="eastAsia"/>
          <w:bCs/>
          <w:sz w:val="24"/>
        </w:rPr>
        <w:t>、人民币对相关货币的汇率根据届时相关法律法规及监管机构的要求确定汇率来源，如法律法规及监管机构无相关规定，基金管理人与基金托管人协商一致后确定本基金的估值汇率来源。</w:t>
      </w:r>
    </w:p>
    <w:p w14:paraId="174C4F73">
      <w:pPr>
        <w:spacing w:line="360" w:lineRule="auto"/>
        <w:ind w:firstLine="480" w:firstLineChars="200"/>
        <w:rPr>
          <w:bCs/>
          <w:sz w:val="24"/>
        </w:rPr>
      </w:pPr>
      <w:r>
        <w:rPr>
          <w:bCs/>
          <w:sz w:val="24"/>
        </w:rPr>
        <w:t>8</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5909E0E">
      <w:pPr>
        <w:spacing w:line="360" w:lineRule="auto"/>
        <w:ind w:firstLine="480" w:firstLineChars="200"/>
        <w:rPr>
          <w:bCs/>
          <w:sz w:val="24"/>
        </w:rPr>
      </w:pPr>
      <w:r>
        <w:rPr>
          <w:bCs/>
          <w:sz w:val="24"/>
        </w:rPr>
        <w:t>9</w:t>
      </w:r>
      <w:r>
        <w:rPr>
          <w:rFonts w:hint="eastAsia"/>
          <w:bCs/>
          <w:sz w:val="24"/>
        </w:rPr>
        <w:t>、本基金可以采用第三方估值机构按照上述公允价值确定原则提供的估值价格数据。</w:t>
      </w:r>
    </w:p>
    <w:p w14:paraId="780C7086">
      <w:pPr>
        <w:spacing w:line="360" w:lineRule="auto"/>
        <w:ind w:firstLine="480" w:firstLineChars="200"/>
      </w:pPr>
      <w:r>
        <w:rPr>
          <w:bCs/>
          <w:sz w:val="24"/>
        </w:rPr>
        <w:t>10</w:t>
      </w:r>
      <w:r>
        <w:rPr>
          <w:rFonts w:hint="eastAsia"/>
          <w:bCs/>
          <w:sz w:val="24"/>
        </w:rPr>
        <w:t>、如有确凿证据表明按上述方法进行估值不能客观反映其公允价值的，基金管理人可根据具体情况与基金托管人商定后，按最能反映公允价值的价格估值。</w:t>
      </w:r>
    </w:p>
    <w:p w14:paraId="1045C509">
      <w:pPr>
        <w:spacing w:line="360" w:lineRule="auto"/>
        <w:ind w:firstLine="480" w:firstLineChars="200"/>
        <w:rPr>
          <w:sz w:val="24"/>
        </w:rPr>
      </w:pPr>
      <w:r>
        <w:rPr>
          <w:bCs/>
          <w:sz w:val="24"/>
        </w:rPr>
        <w:t>11、当</w:t>
      </w:r>
      <w:r>
        <w:rPr>
          <w:rFonts w:hint="eastAsia"/>
          <w:bCs/>
          <w:sz w:val="24"/>
        </w:rPr>
        <w:t>本基金</w:t>
      </w:r>
      <w:r>
        <w:rPr>
          <w:bCs/>
          <w:sz w:val="24"/>
        </w:rPr>
        <w:t>发生大额申购或赎回情形时，基金管理人可以采用摆动定价机制，以确保基金估值的公平性。</w:t>
      </w:r>
    </w:p>
    <w:p w14:paraId="5FA4A397">
      <w:pPr>
        <w:spacing w:line="360" w:lineRule="auto"/>
        <w:ind w:firstLine="480" w:firstLineChars="200"/>
        <w:rPr>
          <w:bCs/>
          <w:sz w:val="24"/>
        </w:rPr>
      </w:pPr>
      <w:r>
        <w:rPr>
          <w:rFonts w:hint="eastAsia"/>
          <w:bCs/>
          <w:sz w:val="24"/>
        </w:rPr>
        <w:t>1</w:t>
      </w:r>
      <w:r>
        <w:rPr>
          <w:bCs/>
          <w:sz w:val="24"/>
        </w:rPr>
        <w:t>2</w:t>
      </w:r>
      <w:r>
        <w:rPr>
          <w:rFonts w:hint="eastAsia"/>
          <w:bCs/>
          <w:sz w:val="24"/>
        </w:rPr>
        <w:t>、相关法律法规以及监管部门有强制规定的，从其规定。如有新增事项，按国家最新规定估值。</w:t>
      </w:r>
    </w:p>
    <w:p w14:paraId="4A24AFF9">
      <w:pPr>
        <w:spacing w:line="360" w:lineRule="auto"/>
        <w:ind w:firstLine="480" w:firstLineChars="200"/>
        <w:rPr>
          <w:rStyle w:val="35"/>
          <w:bCs/>
          <w:sz w:val="24"/>
        </w:rPr>
      </w:pPr>
      <w:r>
        <w:rPr>
          <w:rStyle w:val="35"/>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C7FAE4F">
      <w:pPr>
        <w:spacing w:line="360" w:lineRule="auto"/>
        <w:ind w:firstLine="480" w:firstLineChars="20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p w14:paraId="494EF825">
      <w:pPr>
        <w:spacing w:line="360" w:lineRule="auto"/>
        <w:ind w:firstLine="480" w:firstLineChars="200"/>
        <w:rPr>
          <w:bCs/>
          <w:sz w:val="24"/>
        </w:rPr>
      </w:pPr>
      <w:bookmarkStart w:id="205" w:name="OLE_LINK8"/>
      <w:r>
        <w:rPr>
          <w:rFonts w:hint="eastAsia"/>
          <w:bCs/>
          <w:sz w:val="24"/>
        </w:rPr>
        <w:t>五、估值程序</w:t>
      </w:r>
    </w:p>
    <w:p w14:paraId="75928F8F">
      <w:pPr>
        <w:spacing w:line="360" w:lineRule="auto"/>
        <w:ind w:firstLine="480" w:firstLineChars="200"/>
        <w:rPr>
          <w:bCs/>
          <w:sz w:val="24"/>
        </w:rPr>
      </w:pPr>
      <w:r>
        <w:rPr>
          <w:rFonts w:hint="eastAsia"/>
          <w:bCs/>
          <w:sz w:val="24"/>
        </w:rPr>
        <w:t>1、各类基金份额的基金份额净值是按照每个估值日闭市后，A类或C类</w:t>
      </w:r>
      <w:r>
        <w:rPr>
          <w:bCs/>
          <w:sz w:val="24"/>
        </w:rPr>
        <w:t>基金份额</w:t>
      </w:r>
      <w:r>
        <w:rPr>
          <w:rFonts w:hint="eastAsia"/>
          <w:bCs/>
          <w:sz w:val="24"/>
        </w:rPr>
        <w:t>的基金资产净值除以当日A类或C类基金份额的余额数量计算，各类</w:t>
      </w:r>
      <w:r>
        <w:rPr>
          <w:bCs/>
          <w:sz w:val="24"/>
        </w:rPr>
        <w:t>基金份额</w:t>
      </w:r>
      <w:r>
        <w:rPr>
          <w:rFonts w:hint="eastAsia"/>
          <w:bCs/>
          <w:sz w:val="24"/>
        </w:rPr>
        <w:t>的基金份额净值均精确到0.0001元，小数点后第5位四舍五入，由此产生的误差计入基金财产。基金管理人可以设立大额赎回情形下的净值精度应急调整机制。国家另有规定的，从其规定。</w:t>
      </w:r>
    </w:p>
    <w:p w14:paraId="129A6547">
      <w:pPr>
        <w:spacing w:line="360" w:lineRule="auto"/>
        <w:ind w:firstLine="480" w:firstLineChars="200"/>
        <w:rPr>
          <w:bCs/>
          <w:sz w:val="24"/>
        </w:rPr>
      </w:pPr>
      <w:r>
        <w:rPr>
          <w:rFonts w:hint="eastAsia"/>
          <w:bCs/>
          <w:sz w:val="24"/>
        </w:rPr>
        <w:t>基金管理人每个估值日计算基金资产净值及各类</w:t>
      </w:r>
      <w:r>
        <w:rPr>
          <w:bCs/>
          <w:sz w:val="24"/>
        </w:rPr>
        <w:t>基金份额</w:t>
      </w:r>
      <w:r>
        <w:rPr>
          <w:rFonts w:hint="eastAsia"/>
          <w:bCs/>
          <w:sz w:val="24"/>
        </w:rPr>
        <w:t>的基金份额净值，并按规定公告。</w:t>
      </w:r>
    </w:p>
    <w:p w14:paraId="482BFFE0">
      <w:pPr>
        <w:spacing w:line="360" w:lineRule="auto"/>
        <w:ind w:firstLine="480" w:firstLineChars="200"/>
        <w:rPr>
          <w:bCs/>
          <w:sz w:val="24"/>
        </w:rPr>
      </w:pPr>
      <w:r>
        <w:rPr>
          <w:rFonts w:hint="eastAsia"/>
          <w:bCs/>
          <w:sz w:val="24"/>
        </w:rPr>
        <w:t>2、基金管理人应每个估值日对基金资产估值，但基金管理人根据法律法规或基金合同的规定暂停估值时除外。基金管理人每个估值日对基金资产估值后，将各类</w:t>
      </w:r>
      <w:r>
        <w:rPr>
          <w:bCs/>
          <w:sz w:val="24"/>
        </w:rPr>
        <w:t>基金份额</w:t>
      </w:r>
      <w:r>
        <w:rPr>
          <w:rFonts w:hint="eastAsia"/>
          <w:bCs/>
          <w:sz w:val="24"/>
        </w:rPr>
        <w:t>的基金份额净值结果发送基金托管人，经基金托管人复核无误后，由基金管理人依据基金合同和相关法律法规的规定对外公布。</w:t>
      </w:r>
    </w:p>
    <w:p w14:paraId="5B041F39">
      <w:pPr>
        <w:spacing w:line="360" w:lineRule="auto"/>
        <w:ind w:firstLine="480" w:firstLineChars="200"/>
        <w:rPr>
          <w:bCs/>
          <w:sz w:val="24"/>
        </w:rPr>
      </w:pPr>
      <w:r>
        <w:rPr>
          <w:rFonts w:hint="eastAsia"/>
          <w:bCs/>
          <w:sz w:val="24"/>
        </w:rPr>
        <w:t>六、估值错误的处理</w:t>
      </w:r>
    </w:p>
    <w:p w14:paraId="482EA84C">
      <w:pPr>
        <w:spacing w:line="360" w:lineRule="auto"/>
        <w:ind w:firstLine="480" w:firstLineChars="200"/>
        <w:rPr>
          <w:bCs/>
          <w:sz w:val="24"/>
        </w:rPr>
      </w:pPr>
      <w:r>
        <w:rPr>
          <w:rFonts w:hint="eastAsia"/>
          <w:bCs/>
          <w:sz w:val="24"/>
        </w:rPr>
        <w:t>基金管理人和基金托管人将采取必要、适当、合理的措施确保基金资产估值的准确性、及时性。当某一类基金份额净值小数点后4位以内（含第4位）发生估值错误时，视为该类基金份额净值错误。</w:t>
      </w:r>
    </w:p>
    <w:p w14:paraId="40FB363D">
      <w:pPr>
        <w:spacing w:line="360" w:lineRule="auto"/>
        <w:ind w:firstLine="480" w:firstLineChars="200"/>
        <w:rPr>
          <w:bCs/>
          <w:sz w:val="24"/>
        </w:rPr>
      </w:pPr>
      <w:r>
        <w:rPr>
          <w:rFonts w:hint="eastAsia"/>
          <w:bCs/>
          <w:sz w:val="24"/>
        </w:rPr>
        <w:t>基金合同的当事人应按照以下约定处理：</w:t>
      </w:r>
    </w:p>
    <w:p w14:paraId="005C98B5">
      <w:pPr>
        <w:spacing w:line="360" w:lineRule="auto"/>
        <w:ind w:firstLine="480" w:firstLineChars="200"/>
        <w:rPr>
          <w:bCs/>
          <w:sz w:val="24"/>
        </w:rPr>
      </w:pPr>
      <w:r>
        <w:rPr>
          <w:rFonts w:hint="eastAsia"/>
          <w:bCs/>
          <w:sz w:val="24"/>
        </w:rPr>
        <w:t>1、估值错误类型</w:t>
      </w:r>
    </w:p>
    <w:p w14:paraId="7B5B035C">
      <w:pPr>
        <w:spacing w:line="360" w:lineRule="auto"/>
        <w:ind w:firstLine="480" w:firstLineChars="200"/>
        <w:rPr>
          <w:bCs/>
          <w:sz w:val="24"/>
        </w:rPr>
      </w:pPr>
      <w:r>
        <w:rPr>
          <w:rFonts w:hint="eastAsia"/>
          <w:bCs/>
          <w:sz w:val="24"/>
        </w:rPr>
        <w:t>本基金运作过程中，如果由于基金管理人或基金托管人、或登记机构、或销售机构、或证券经纪商、或投资人自身的过错造成估值错误，导致其他当事人遭受损失的，过错的责任人应当对由于该估值错误遭受损失当事人（“受损方”）的直接损失按下述“估值错误处理原则”给予赔偿，承担赔偿责任。</w:t>
      </w:r>
    </w:p>
    <w:p w14:paraId="6D9CD5AF">
      <w:pPr>
        <w:spacing w:line="360" w:lineRule="auto"/>
        <w:ind w:firstLine="480" w:firstLineChars="200"/>
        <w:rPr>
          <w:bCs/>
          <w:sz w:val="24"/>
        </w:rPr>
      </w:pPr>
      <w:r>
        <w:rPr>
          <w:rFonts w:hint="eastAsia"/>
          <w:bCs/>
          <w:sz w:val="24"/>
        </w:rPr>
        <w:t>上述估值错误的主要类型包括但不限于：资料申报差错、数据传输差错、数据计算差错、系统故障差错、下达指令差错等。</w:t>
      </w:r>
    </w:p>
    <w:p w14:paraId="34BE8D24">
      <w:pPr>
        <w:spacing w:line="360" w:lineRule="auto"/>
        <w:ind w:firstLine="480" w:firstLineChars="200"/>
        <w:rPr>
          <w:bCs/>
          <w:sz w:val="24"/>
        </w:rPr>
      </w:pPr>
      <w:r>
        <w:rPr>
          <w:rFonts w:hint="eastAsia"/>
          <w:bCs/>
          <w:sz w:val="24"/>
        </w:rPr>
        <w:t>对于因技术原因引起的差错，若系同行业现有技术水平无法预见、无法避免、无法抗拒，则属不可抗力，按照下述规定执行。</w:t>
      </w:r>
    </w:p>
    <w:p w14:paraId="0D396D95">
      <w:pPr>
        <w:spacing w:line="360" w:lineRule="auto"/>
        <w:ind w:firstLine="480" w:firstLineChars="200"/>
        <w:rPr>
          <w:bCs/>
          <w:sz w:val="24"/>
        </w:rPr>
      </w:pPr>
      <w:r>
        <w:rPr>
          <w:rFonts w:hint="eastAsia"/>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6F2D95E3">
      <w:pPr>
        <w:spacing w:line="360" w:lineRule="auto"/>
        <w:ind w:firstLine="480" w:firstLineChars="200"/>
        <w:rPr>
          <w:bCs/>
          <w:sz w:val="24"/>
        </w:rPr>
      </w:pPr>
      <w:r>
        <w:rPr>
          <w:rFonts w:hint="eastAsia"/>
          <w:bCs/>
          <w:sz w:val="24"/>
        </w:rPr>
        <w:t>2、估值错误处理原则</w:t>
      </w:r>
    </w:p>
    <w:p w14:paraId="42DC1E79">
      <w:pPr>
        <w:spacing w:line="360" w:lineRule="auto"/>
        <w:ind w:firstLine="480" w:firstLineChars="200"/>
        <w:rPr>
          <w:bCs/>
          <w:sz w:val="24"/>
        </w:rPr>
      </w:pPr>
      <w:r>
        <w:rPr>
          <w:rFonts w:hint="eastAsia"/>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189EF49">
      <w:pPr>
        <w:spacing w:line="360" w:lineRule="auto"/>
        <w:ind w:firstLine="480" w:firstLineChars="200"/>
        <w:rPr>
          <w:bCs/>
          <w:sz w:val="24"/>
        </w:rPr>
      </w:pPr>
      <w:r>
        <w:rPr>
          <w:rFonts w:hint="eastAsia"/>
          <w:bCs/>
          <w:sz w:val="24"/>
        </w:rPr>
        <w:t>（2）估值错误的责任方对有关当事人的直接损失负责，不对间接损失负责，并且仅对估值错误的有关直接当事人负责，不对第三方负责。</w:t>
      </w:r>
    </w:p>
    <w:p w14:paraId="73AD8980">
      <w:pPr>
        <w:spacing w:line="360" w:lineRule="auto"/>
        <w:ind w:firstLine="480" w:firstLineChars="200"/>
        <w:rPr>
          <w:bCs/>
          <w:sz w:val="24"/>
        </w:rPr>
      </w:pPr>
      <w:r>
        <w:rPr>
          <w:rFonts w:hint="eastAsia"/>
          <w:bCs/>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380E65D">
      <w:pPr>
        <w:spacing w:line="360" w:lineRule="auto"/>
        <w:ind w:firstLine="480" w:firstLineChars="200"/>
        <w:rPr>
          <w:bCs/>
          <w:sz w:val="24"/>
        </w:rPr>
      </w:pPr>
      <w:r>
        <w:rPr>
          <w:rFonts w:hint="eastAsia"/>
          <w:bCs/>
          <w:sz w:val="24"/>
        </w:rPr>
        <w:t>（4）估值错误调整采用尽量恢复至假设未发生估值错误的正确情形的方式。</w:t>
      </w:r>
    </w:p>
    <w:p w14:paraId="63126928">
      <w:pPr>
        <w:spacing w:line="360" w:lineRule="auto"/>
        <w:ind w:firstLine="480" w:firstLineChars="200"/>
        <w:rPr>
          <w:bCs/>
          <w:sz w:val="24"/>
        </w:rPr>
      </w:pPr>
      <w:r>
        <w:rPr>
          <w:rFonts w:hint="eastAsia"/>
          <w:bCs/>
          <w:sz w:val="24"/>
        </w:rPr>
        <w:t>3、估值错误处理程序</w:t>
      </w:r>
    </w:p>
    <w:p w14:paraId="54590889">
      <w:pPr>
        <w:spacing w:line="360" w:lineRule="auto"/>
        <w:ind w:firstLine="480" w:firstLineChars="200"/>
        <w:rPr>
          <w:bCs/>
          <w:sz w:val="24"/>
        </w:rPr>
      </w:pPr>
      <w:r>
        <w:rPr>
          <w:rFonts w:hint="eastAsia"/>
          <w:bCs/>
          <w:sz w:val="24"/>
        </w:rPr>
        <w:t>估值错误被发现后，有关的当事人应当及时进行处理，处理的程序如下：</w:t>
      </w:r>
    </w:p>
    <w:p w14:paraId="76A943E9">
      <w:pPr>
        <w:spacing w:line="360" w:lineRule="auto"/>
        <w:ind w:firstLine="480" w:firstLineChars="200"/>
        <w:rPr>
          <w:bCs/>
          <w:sz w:val="24"/>
        </w:rPr>
      </w:pPr>
      <w:r>
        <w:rPr>
          <w:rFonts w:hint="eastAsia"/>
          <w:bCs/>
          <w:sz w:val="24"/>
        </w:rPr>
        <w:t>（1）查明估值错误发生的原因，列明所有的当事人，并根据估值错误发生的原因确定估值错误的责任方；</w:t>
      </w:r>
    </w:p>
    <w:p w14:paraId="569F412C">
      <w:pPr>
        <w:spacing w:line="360" w:lineRule="auto"/>
        <w:ind w:firstLine="480" w:firstLineChars="200"/>
        <w:rPr>
          <w:bCs/>
          <w:sz w:val="24"/>
        </w:rPr>
      </w:pPr>
      <w:r>
        <w:rPr>
          <w:rFonts w:hint="eastAsia"/>
          <w:bCs/>
          <w:sz w:val="24"/>
        </w:rPr>
        <w:t>（2）根据估值错误处理原则或当事人协商的方法对因估值错误造成的损失进行评估；</w:t>
      </w:r>
    </w:p>
    <w:p w14:paraId="369414D2">
      <w:pPr>
        <w:spacing w:line="360" w:lineRule="auto"/>
        <w:ind w:firstLine="480" w:firstLineChars="200"/>
        <w:rPr>
          <w:bCs/>
          <w:sz w:val="24"/>
        </w:rPr>
      </w:pPr>
      <w:r>
        <w:rPr>
          <w:rFonts w:hint="eastAsia"/>
          <w:bCs/>
          <w:sz w:val="24"/>
        </w:rPr>
        <w:t>（3）根据估值错误处理原则或当事人协商的方法由估值错误的责任方进行更正和赔偿损失；</w:t>
      </w:r>
    </w:p>
    <w:p w14:paraId="69EF7BFA">
      <w:pPr>
        <w:spacing w:line="360" w:lineRule="auto"/>
        <w:ind w:firstLine="480" w:firstLineChars="200"/>
        <w:rPr>
          <w:bCs/>
          <w:sz w:val="24"/>
        </w:rPr>
      </w:pPr>
      <w:r>
        <w:rPr>
          <w:rFonts w:hint="eastAsia"/>
          <w:bCs/>
          <w:sz w:val="24"/>
        </w:rPr>
        <w:t>（4）根据估值错误处理的方法，需要修改基金登记机构交易数据的，由基金登记机构进行更正，并就估值错误的更正向有关当事人进行确认。</w:t>
      </w:r>
    </w:p>
    <w:p w14:paraId="23740ECC">
      <w:pPr>
        <w:spacing w:line="360" w:lineRule="auto"/>
        <w:ind w:firstLine="480" w:firstLineChars="200"/>
        <w:rPr>
          <w:bCs/>
          <w:sz w:val="24"/>
        </w:rPr>
      </w:pPr>
      <w:r>
        <w:rPr>
          <w:rFonts w:hint="eastAsia"/>
          <w:bCs/>
          <w:sz w:val="24"/>
        </w:rPr>
        <w:t>4、基金份额净值估值错误处理的方法如下：</w:t>
      </w:r>
    </w:p>
    <w:p w14:paraId="36686DF2">
      <w:pPr>
        <w:spacing w:line="360" w:lineRule="auto"/>
        <w:ind w:firstLine="480" w:firstLineChars="200"/>
        <w:rPr>
          <w:bCs/>
          <w:sz w:val="24"/>
        </w:rPr>
      </w:pPr>
      <w:r>
        <w:rPr>
          <w:rFonts w:hint="eastAsia"/>
          <w:bCs/>
          <w:sz w:val="24"/>
        </w:rPr>
        <w:t>（1）基金份额净值计算出现错误时，基金管理人应当立即予以纠正，通报基金托管人，并采取合理的措施防止损失进一步扩大。</w:t>
      </w:r>
    </w:p>
    <w:p w14:paraId="5F4E9B7A">
      <w:pPr>
        <w:spacing w:line="360" w:lineRule="auto"/>
        <w:ind w:firstLine="480" w:firstLineChars="200"/>
        <w:rPr>
          <w:bCs/>
          <w:sz w:val="24"/>
        </w:rPr>
      </w:pPr>
      <w:r>
        <w:rPr>
          <w:rFonts w:hint="eastAsia"/>
          <w:bCs/>
          <w:sz w:val="24"/>
        </w:rPr>
        <w:t>（2）任一类错误偏差达到该类基金份额净值的0.25%时，基金管理人应当通报基金托管人并报中国证监会备案；任一类错误偏差达到该类基金份额净值的0.5</w:t>
      </w:r>
      <w:r>
        <w:rPr>
          <w:bCs/>
          <w:sz w:val="24"/>
        </w:rPr>
        <w:t>0</w:t>
      </w:r>
      <w:r>
        <w:rPr>
          <w:rFonts w:hint="eastAsia"/>
          <w:bCs/>
          <w:sz w:val="24"/>
        </w:rPr>
        <w:t>%时，基金管理人应当公告，并报中国证监会备案。</w:t>
      </w:r>
    </w:p>
    <w:p w14:paraId="65AF8ADC">
      <w:pPr>
        <w:spacing w:line="360" w:lineRule="auto"/>
        <w:ind w:firstLine="480" w:firstLineChars="200"/>
        <w:rPr>
          <w:bCs/>
          <w:sz w:val="24"/>
        </w:rPr>
      </w:pPr>
      <w:r>
        <w:rPr>
          <w:rFonts w:hint="eastAsia"/>
          <w:bCs/>
          <w:sz w:val="24"/>
        </w:rPr>
        <w:t>（3）前述内容如法律法规或监管机关另有规定的，从其规定处理。如果行业另有通行做法，基金管理人和基金托管人应本着平等和保护基金份额持有人利益的原则进行协商。</w:t>
      </w:r>
    </w:p>
    <w:p w14:paraId="1A6EF736">
      <w:pPr>
        <w:spacing w:line="360" w:lineRule="auto"/>
        <w:ind w:firstLine="480" w:firstLineChars="200"/>
        <w:rPr>
          <w:bCs/>
          <w:sz w:val="24"/>
        </w:rPr>
      </w:pPr>
      <w:r>
        <w:rPr>
          <w:rFonts w:hint="eastAsia"/>
          <w:bCs/>
          <w:sz w:val="24"/>
        </w:rPr>
        <w:t>七、暂停估值的情形</w:t>
      </w:r>
    </w:p>
    <w:p w14:paraId="2E0E8B90">
      <w:pPr>
        <w:spacing w:line="360" w:lineRule="auto"/>
        <w:ind w:firstLine="480" w:firstLineChars="200"/>
        <w:rPr>
          <w:bCs/>
          <w:sz w:val="24"/>
        </w:rPr>
      </w:pPr>
      <w:r>
        <w:rPr>
          <w:rFonts w:hint="eastAsia"/>
          <w:bCs/>
          <w:sz w:val="24"/>
        </w:rPr>
        <w:t>1、基金投资所涉及的证券/期货交易市场或外汇市场遇法定节假日或因其他原因暂停营业时；</w:t>
      </w:r>
    </w:p>
    <w:p w14:paraId="7F0CEEF2">
      <w:pPr>
        <w:spacing w:line="360" w:lineRule="auto"/>
        <w:ind w:firstLine="480" w:firstLineChars="200"/>
        <w:rPr>
          <w:bCs/>
          <w:sz w:val="24"/>
        </w:rPr>
      </w:pPr>
      <w:r>
        <w:rPr>
          <w:rFonts w:hint="eastAsia"/>
          <w:bCs/>
          <w:sz w:val="24"/>
        </w:rPr>
        <w:t>2、因不可抗力致使基金管理人、基金托管人无法准确评估基金资产价值时；</w:t>
      </w:r>
    </w:p>
    <w:p w14:paraId="2E37BFBD">
      <w:pPr>
        <w:spacing w:line="360" w:lineRule="auto"/>
        <w:ind w:firstLine="480" w:firstLineChars="200"/>
        <w:rPr>
          <w:bCs/>
          <w:sz w:val="24"/>
        </w:rPr>
      </w:pPr>
      <w:r>
        <w:rPr>
          <w:rFonts w:hint="eastAsia"/>
          <w:bCs/>
          <w:sz w:val="24"/>
        </w:rPr>
        <w:t>3、当特定资产占前一估值日基金资产净值50%以上的</w:t>
      </w:r>
      <w:r>
        <w:rPr>
          <w:bCs/>
          <w:sz w:val="24"/>
        </w:rPr>
        <w:t>，</w:t>
      </w:r>
      <w:r>
        <w:rPr>
          <w:rFonts w:hint="eastAsia"/>
          <w:bCs/>
          <w:sz w:val="24"/>
        </w:rPr>
        <w:t>经与基金托管人协商确认后，基金管理人应当暂停估值；</w:t>
      </w:r>
    </w:p>
    <w:p w14:paraId="2BC37906">
      <w:pPr>
        <w:spacing w:line="360" w:lineRule="auto"/>
        <w:ind w:firstLine="480" w:firstLineChars="200"/>
        <w:rPr>
          <w:bCs/>
          <w:sz w:val="24"/>
        </w:rPr>
      </w:pPr>
      <w:r>
        <w:rPr>
          <w:rFonts w:hint="eastAsia"/>
          <w:bCs/>
          <w:sz w:val="24"/>
        </w:rPr>
        <w:t>4、中国证监会和基金合同认定的其他情形。</w:t>
      </w:r>
    </w:p>
    <w:p w14:paraId="050699F9">
      <w:pPr>
        <w:spacing w:line="360" w:lineRule="auto"/>
        <w:ind w:firstLine="480" w:firstLineChars="200"/>
        <w:rPr>
          <w:bCs/>
          <w:sz w:val="24"/>
        </w:rPr>
      </w:pPr>
      <w:r>
        <w:rPr>
          <w:rFonts w:hint="eastAsia"/>
          <w:bCs/>
          <w:sz w:val="24"/>
        </w:rPr>
        <w:t>八、基金净值的确认</w:t>
      </w:r>
    </w:p>
    <w:p w14:paraId="694DA12C">
      <w:pPr>
        <w:spacing w:line="360" w:lineRule="auto"/>
        <w:ind w:firstLine="480" w:firstLineChars="200"/>
        <w:rPr>
          <w:bCs/>
          <w:sz w:val="24"/>
        </w:rPr>
      </w:pPr>
      <w:r>
        <w:rPr>
          <w:rFonts w:hint="eastAsia"/>
          <w:bCs/>
          <w:sz w:val="24"/>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依据基金合同和相关法律法规的规定对基金净值予以公布。</w:t>
      </w:r>
    </w:p>
    <w:p w14:paraId="622D0C45">
      <w:pPr>
        <w:spacing w:line="360" w:lineRule="auto"/>
        <w:ind w:firstLine="480" w:firstLineChars="200"/>
        <w:rPr>
          <w:bCs/>
          <w:sz w:val="24"/>
        </w:rPr>
      </w:pPr>
      <w:r>
        <w:rPr>
          <w:rFonts w:hint="eastAsia"/>
          <w:bCs/>
          <w:sz w:val="24"/>
        </w:rPr>
        <w:t>九、特殊情形的处理</w:t>
      </w:r>
    </w:p>
    <w:p w14:paraId="753C937F">
      <w:pPr>
        <w:spacing w:line="360" w:lineRule="auto"/>
        <w:ind w:firstLine="480" w:firstLineChars="200"/>
        <w:rPr>
          <w:bCs/>
          <w:sz w:val="24"/>
        </w:rPr>
      </w:pPr>
      <w:r>
        <w:rPr>
          <w:rFonts w:hint="eastAsia"/>
          <w:bCs/>
          <w:sz w:val="24"/>
        </w:rPr>
        <w:t>1、基金管理人或基金托管人按估值方法的第10项进行估值时，所造成的误差不作为基金资产估值错误处理；</w:t>
      </w:r>
    </w:p>
    <w:p w14:paraId="2FF36693">
      <w:pPr>
        <w:spacing w:line="360" w:lineRule="auto"/>
        <w:ind w:firstLine="480" w:firstLineChars="200"/>
        <w:rPr>
          <w:bCs/>
          <w:sz w:val="24"/>
        </w:rPr>
      </w:pPr>
      <w:r>
        <w:rPr>
          <w:rFonts w:hint="eastAsia"/>
          <w:bCs/>
          <w:sz w:val="24"/>
        </w:rPr>
        <w:t>2、由于不可抗力原因，或由于证券/期货交易所、登记机构、证券/期货经纪商及存款银行等第三方机构发送的数据错误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7B2DD8F">
      <w:pPr>
        <w:spacing w:line="360" w:lineRule="auto"/>
        <w:ind w:firstLine="480" w:firstLineChars="200"/>
        <w:rPr>
          <w:bCs/>
          <w:sz w:val="24"/>
        </w:rPr>
      </w:pPr>
      <w:r>
        <w:rPr>
          <w:rFonts w:hint="eastAsia"/>
          <w:bCs/>
          <w:sz w:val="24"/>
        </w:rPr>
        <w:t>十、实施侧袋机制期间的基金资产估值</w:t>
      </w:r>
    </w:p>
    <w:p w14:paraId="13EA8DB8">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bookmarkEnd w:id="204"/>
    <w:p w14:paraId="284B8C5C">
      <w:pPr>
        <w:pStyle w:val="2"/>
        <w:spacing w:before="0" w:after="0"/>
        <w:jc w:val="center"/>
        <w:rPr>
          <w:rFonts w:ascii="Times New Roman"/>
          <w:b w:val="0"/>
          <w:bCs/>
          <w:color w:val="auto"/>
          <w:kern w:val="44"/>
          <w:szCs w:val="24"/>
        </w:rPr>
      </w:pPr>
      <w:r>
        <w:rPr>
          <w:rFonts w:ascii="Times New Roman"/>
          <w:b w:val="0"/>
          <w:bCs/>
          <w:color w:val="auto"/>
          <w:sz w:val="30"/>
        </w:rPr>
        <w:br w:type="page"/>
      </w:r>
      <w:bookmarkEnd w:id="202"/>
      <w:bookmarkEnd w:id="203"/>
      <w:bookmarkEnd w:id="205"/>
      <w:bookmarkStart w:id="206" w:name="_Toc216103545"/>
      <w:bookmarkStart w:id="207" w:name="_Toc48032549"/>
      <w:bookmarkStart w:id="208" w:name="_Toc345339068"/>
      <w:bookmarkStart w:id="209" w:name="_Toc32046"/>
      <w:bookmarkStart w:id="210" w:name="_Toc32227"/>
      <w:bookmarkStart w:id="211" w:name="_Toc24601"/>
      <w:bookmarkStart w:id="212" w:name="_Toc32041"/>
      <w:bookmarkStart w:id="213" w:name="_Toc19752"/>
      <w:bookmarkStart w:id="214" w:name="_Toc139991745"/>
      <w:bookmarkStart w:id="215" w:name="_Toc141703895"/>
      <w:bookmarkStart w:id="216" w:name="_Toc12105"/>
      <w:bookmarkStart w:id="217" w:name="_Toc3365"/>
      <w:bookmarkStart w:id="218" w:name="_Toc13987"/>
      <w:bookmarkStart w:id="219" w:name="_Toc6493"/>
      <w:bookmarkStart w:id="220" w:name="_Toc15779"/>
      <w:bookmarkStart w:id="221" w:name="_Toc19706"/>
      <w:r>
        <w:rPr>
          <w:rFonts w:ascii="Times New Roman"/>
          <w:color w:val="auto"/>
          <w:szCs w:val="24"/>
        </w:rPr>
        <w:t>第十</w:t>
      </w:r>
      <w:r>
        <w:rPr>
          <w:rFonts w:hint="eastAsia" w:ascii="Times New Roman"/>
          <w:color w:val="auto"/>
          <w:szCs w:val="24"/>
        </w:rPr>
        <w:t>二</w:t>
      </w:r>
      <w:r>
        <w:rPr>
          <w:rFonts w:ascii="Times New Roman"/>
          <w:color w:val="auto"/>
          <w:szCs w:val="24"/>
        </w:rPr>
        <w:t>部分  基金的收益</w:t>
      </w:r>
      <w:r>
        <w:rPr>
          <w:rFonts w:hint="eastAsia" w:ascii="Times New Roman"/>
          <w:color w:val="auto"/>
          <w:szCs w:val="24"/>
        </w:rPr>
        <w:t>与</w:t>
      </w:r>
      <w:r>
        <w:rPr>
          <w:rFonts w:ascii="Times New Roman"/>
          <w:color w:val="auto"/>
          <w:szCs w:val="24"/>
        </w:rPr>
        <w:t>分配</w:t>
      </w:r>
      <w:bookmarkEnd w:id="206"/>
      <w:bookmarkEnd w:id="207"/>
      <w:bookmarkEnd w:id="208"/>
    </w:p>
    <w:p w14:paraId="755467F5">
      <w:pPr>
        <w:rPr>
          <w:bCs/>
        </w:rPr>
      </w:pPr>
    </w:p>
    <w:p w14:paraId="4225073B">
      <w:pPr>
        <w:spacing w:line="360" w:lineRule="auto"/>
        <w:ind w:firstLine="480" w:firstLineChars="200"/>
        <w:rPr>
          <w:bCs/>
          <w:sz w:val="24"/>
        </w:rPr>
      </w:pPr>
      <w:bookmarkStart w:id="222" w:name="_Hlk93057315"/>
      <w:r>
        <w:rPr>
          <w:rFonts w:hint="eastAsia"/>
          <w:bCs/>
          <w:sz w:val="24"/>
        </w:rPr>
        <w:t>一、基金利润的构成</w:t>
      </w:r>
    </w:p>
    <w:p w14:paraId="21934B8F">
      <w:pPr>
        <w:spacing w:line="360" w:lineRule="auto"/>
        <w:ind w:firstLine="480" w:firstLineChars="20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2AC680B8">
      <w:pPr>
        <w:spacing w:line="360" w:lineRule="auto"/>
        <w:ind w:firstLine="480" w:firstLineChars="200"/>
        <w:rPr>
          <w:bCs/>
          <w:sz w:val="24"/>
        </w:rPr>
      </w:pPr>
      <w:r>
        <w:rPr>
          <w:rFonts w:hint="eastAsia"/>
          <w:bCs/>
          <w:sz w:val="24"/>
        </w:rPr>
        <w:t>二、基金可供分配利润</w:t>
      </w:r>
    </w:p>
    <w:p w14:paraId="1C44EF88">
      <w:pPr>
        <w:spacing w:line="360" w:lineRule="auto"/>
        <w:ind w:firstLine="480" w:firstLineChars="200"/>
        <w:rPr>
          <w:bCs/>
          <w:sz w:val="24"/>
        </w:rPr>
      </w:pPr>
      <w:r>
        <w:rPr>
          <w:rFonts w:hint="eastAsia"/>
          <w:bCs/>
          <w:sz w:val="24"/>
        </w:rPr>
        <w:t>基金可供分配利润指截至收益分配基准日基金未分配利润与未分配利润中已实现收益的孰低数。</w:t>
      </w:r>
    </w:p>
    <w:p w14:paraId="1BA60256">
      <w:pPr>
        <w:spacing w:line="360" w:lineRule="auto"/>
        <w:ind w:firstLine="480" w:firstLineChars="200"/>
        <w:rPr>
          <w:bCs/>
          <w:sz w:val="24"/>
        </w:rPr>
      </w:pPr>
      <w:r>
        <w:rPr>
          <w:rFonts w:hint="eastAsia"/>
          <w:bCs/>
          <w:sz w:val="24"/>
        </w:rPr>
        <w:t>三、基金收益分配原则</w:t>
      </w:r>
    </w:p>
    <w:p w14:paraId="4AB44D1F">
      <w:pPr>
        <w:spacing w:line="360" w:lineRule="auto"/>
        <w:ind w:firstLine="480" w:firstLineChars="200"/>
        <w:rPr>
          <w:bCs/>
          <w:sz w:val="24"/>
        </w:rPr>
      </w:pPr>
      <w:r>
        <w:rPr>
          <w:rFonts w:hint="eastAsia"/>
          <w:bCs/>
          <w:sz w:val="24"/>
        </w:rPr>
        <w:t>1、在符合有关基金分红条件的前提下，基金管理人可以根据实际情况进行收益分配，具体分配方案以公告为准；</w:t>
      </w:r>
    </w:p>
    <w:p w14:paraId="01FF7ABA">
      <w:pPr>
        <w:spacing w:line="360" w:lineRule="auto"/>
        <w:ind w:firstLine="480" w:firstLineChars="200"/>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4113EA97">
      <w:pPr>
        <w:spacing w:line="360" w:lineRule="auto"/>
        <w:ind w:firstLine="480" w:firstLineChars="200"/>
        <w:rPr>
          <w:bCs/>
          <w:sz w:val="24"/>
        </w:rPr>
      </w:pPr>
      <w:r>
        <w:rPr>
          <w:rFonts w:hint="eastAsia"/>
          <w:bCs/>
          <w:sz w:val="24"/>
        </w:rPr>
        <w:t>3、基金收益分配后每一类别基金份额净值不能低于面值，即基金收益分配基准日的某一类基金份额净值减去该类别每单位基金份额收益分配金额后不能低于面值；</w:t>
      </w:r>
    </w:p>
    <w:p w14:paraId="341B8577">
      <w:pPr>
        <w:spacing w:line="360" w:lineRule="auto"/>
        <w:ind w:firstLine="480" w:firstLineChars="200"/>
        <w:rPr>
          <w:bCs/>
          <w:sz w:val="24"/>
        </w:rPr>
      </w:pPr>
      <w:r>
        <w:rPr>
          <w:rFonts w:hint="eastAsia"/>
          <w:bCs/>
          <w:sz w:val="24"/>
        </w:rPr>
        <w:t>4、本基金各类基金份额在费用收取上不同，其对应的可分配收益可能有所不同。同一类别每份基金份额享有同等分配权；</w:t>
      </w:r>
    </w:p>
    <w:p w14:paraId="1EDBF236">
      <w:pPr>
        <w:spacing w:line="360" w:lineRule="auto"/>
        <w:ind w:firstLine="480" w:firstLineChars="200"/>
        <w:rPr>
          <w:bCs/>
          <w:sz w:val="24"/>
        </w:rPr>
      </w:pPr>
      <w:r>
        <w:rPr>
          <w:rFonts w:hint="eastAsia"/>
          <w:bCs/>
          <w:sz w:val="24"/>
        </w:rPr>
        <w:t>5、法律法规或监管机关另有规定的，从其规定。</w:t>
      </w:r>
    </w:p>
    <w:p w14:paraId="76E7BC22">
      <w:pPr>
        <w:spacing w:line="360" w:lineRule="auto"/>
        <w:ind w:firstLine="480" w:firstLineChars="200"/>
        <w:rPr>
          <w:bCs/>
          <w:sz w:val="24"/>
        </w:rPr>
      </w:pPr>
      <w:r>
        <w:rPr>
          <w:rFonts w:hint="eastAsia"/>
          <w:bCs/>
          <w:sz w:val="24"/>
        </w:rPr>
        <w:t>在不违反法律法规且对基金份额持有人利益无实质性不利影响的前提下，基金管理人经与基金托管人协商一致，履行适当程序后可对基金收益分配原则进行调整，并于变更实施日前在规定媒介公告。</w:t>
      </w:r>
    </w:p>
    <w:p w14:paraId="33295F3C">
      <w:pPr>
        <w:spacing w:line="360" w:lineRule="auto"/>
        <w:ind w:firstLine="480" w:firstLineChars="200"/>
        <w:rPr>
          <w:bCs/>
          <w:sz w:val="24"/>
        </w:rPr>
      </w:pPr>
      <w:r>
        <w:rPr>
          <w:rFonts w:hint="eastAsia"/>
          <w:bCs/>
          <w:sz w:val="24"/>
        </w:rPr>
        <w:t>四、收益分配方案</w:t>
      </w:r>
    </w:p>
    <w:p w14:paraId="55375670">
      <w:pPr>
        <w:spacing w:line="360" w:lineRule="auto"/>
        <w:ind w:firstLine="480" w:firstLineChars="200"/>
        <w:rPr>
          <w:bCs/>
          <w:sz w:val="24"/>
        </w:rPr>
      </w:pPr>
      <w:r>
        <w:rPr>
          <w:rFonts w:hint="eastAsia"/>
          <w:bCs/>
          <w:sz w:val="24"/>
        </w:rPr>
        <w:t>基金收益分配方案中应载明截至收益分配基准日的可供分配利润、基金收益分配对象、分配时间、分配数额及比例、分配方式等内容。</w:t>
      </w:r>
    </w:p>
    <w:p w14:paraId="46FBF821">
      <w:pPr>
        <w:spacing w:line="360" w:lineRule="auto"/>
        <w:ind w:firstLine="480" w:firstLineChars="200"/>
        <w:rPr>
          <w:bCs/>
          <w:sz w:val="24"/>
        </w:rPr>
      </w:pPr>
      <w:r>
        <w:rPr>
          <w:rFonts w:hint="eastAsia"/>
          <w:bCs/>
          <w:sz w:val="24"/>
        </w:rPr>
        <w:t>五、收益分配方案的确定、公告与实施</w:t>
      </w:r>
    </w:p>
    <w:p w14:paraId="4B6AE3FA">
      <w:pPr>
        <w:spacing w:line="360" w:lineRule="auto"/>
        <w:ind w:firstLine="480" w:firstLineChars="200"/>
        <w:rPr>
          <w:bCs/>
          <w:sz w:val="24"/>
        </w:rPr>
      </w:pPr>
      <w:r>
        <w:rPr>
          <w:rFonts w:hint="eastAsia"/>
          <w:bCs/>
          <w:sz w:val="24"/>
        </w:rPr>
        <w:t>本基金收益分配方案由基金管理人拟定，并由基金托管人复核，基金管理人应依照《信息披露办法》的有关规定</w:t>
      </w:r>
      <w:r>
        <w:rPr>
          <w:bCs/>
          <w:sz w:val="24"/>
        </w:rPr>
        <w:t>在规定媒介公告。</w:t>
      </w:r>
    </w:p>
    <w:p w14:paraId="5EB8CD6D">
      <w:pPr>
        <w:spacing w:line="360" w:lineRule="auto"/>
        <w:ind w:firstLine="480" w:firstLineChars="200"/>
        <w:rPr>
          <w:bCs/>
          <w:sz w:val="24"/>
        </w:rPr>
      </w:pPr>
      <w:r>
        <w:rPr>
          <w:rFonts w:hint="eastAsia"/>
          <w:bCs/>
          <w:sz w:val="24"/>
        </w:rPr>
        <w:t>六、基金收益分配中发生的费用</w:t>
      </w:r>
    </w:p>
    <w:p w14:paraId="72ADC61B">
      <w:pPr>
        <w:spacing w:line="360" w:lineRule="auto"/>
        <w:ind w:firstLine="480" w:firstLineChars="20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F95EF26">
      <w:pPr>
        <w:spacing w:line="360" w:lineRule="auto"/>
        <w:ind w:firstLine="480" w:firstLineChars="200"/>
        <w:rPr>
          <w:sz w:val="24"/>
          <w:szCs w:val="24"/>
        </w:rPr>
      </w:pPr>
      <w:r>
        <w:rPr>
          <w:rFonts w:hint="eastAsia"/>
          <w:sz w:val="24"/>
          <w:szCs w:val="24"/>
        </w:rPr>
        <w:t>七、实施侧袋机制期间的收益分配</w:t>
      </w:r>
    </w:p>
    <w:p w14:paraId="060449AB">
      <w:pPr>
        <w:spacing w:line="360" w:lineRule="auto"/>
        <w:ind w:firstLine="480" w:firstLineChars="200"/>
        <w:rPr>
          <w:sz w:val="24"/>
          <w:szCs w:val="24"/>
        </w:rPr>
      </w:pPr>
      <w:r>
        <w:rPr>
          <w:rFonts w:hint="eastAsia"/>
          <w:sz w:val="24"/>
          <w:szCs w:val="24"/>
        </w:rPr>
        <w:t>本基金实施侧袋机制的，侧袋账户不进行收益分配。</w:t>
      </w:r>
    </w:p>
    <w:bookmarkEnd w:id="222"/>
    <w:p w14:paraId="6D8AD5D2">
      <w:pPr>
        <w:pStyle w:val="2"/>
        <w:spacing w:before="0" w:after="0"/>
        <w:jc w:val="center"/>
        <w:rPr>
          <w:rFonts w:ascii="Times New Roman"/>
          <w:color w:val="auto"/>
          <w:szCs w:val="24"/>
        </w:rPr>
      </w:pPr>
      <w:r>
        <w:rPr>
          <w:rFonts w:ascii="Times New Roman"/>
          <w:color w:val="auto"/>
          <w:szCs w:val="24"/>
        </w:rPr>
        <w:br w:type="page"/>
      </w:r>
      <w:bookmarkStart w:id="223" w:name="_Toc48032550"/>
      <w:bookmarkStart w:id="224" w:name="_Toc345339069"/>
      <w:bookmarkStart w:id="225" w:name="_Toc216103546"/>
      <w:r>
        <w:rPr>
          <w:rFonts w:ascii="Times New Roman"/>
          <w:color w:val="auto"/>
          <w:szCs w:val="24"/>
        </w:rPr>
        <w:t>第十</w:t>
      </w:r>
      <w:r>
        <w:rPr>
          <w:rFonts w:hint="eastAsia" w:ascii="Times New Roman"/>
          <w:color w:val="auto"/>
          <w:szCs w:val="24"/>
        </w:rPr>
        <w:t>三</w:t>
      </w:r>
      <w:r>
        <w:rPr>
          <w:rFonts w:ascii="Times New Roman"/>
          <w:color w:val="auto"/>
          <w:szCs w:val="24"/>
        </w:rPr>
        <w:t>部分  基金</w:t>
      </w:r>
      <w:r>
        <w:rPr>
          <w:rFonts w:hint="eastAsia" w:ascii="Times New Roman"/>
          <w:color w:val="auto"/>
          <w:szCs w:val="24"/>
        </w:rPr>
        <w:t>的</w:t>
      </w:r>
      <w:r>
        <w:rPr>
          <w:rFonts w:ascii="Times New Roman"/>
          <w:color w:val="auto"/>
          <w:szCs w:val="24"/>
        </w:rPr>
        <w:t>费用与税收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3"/>
      <w:bookmarkEnd w:id="224"/>
      <w:bookmarkEnd w:id="225"/>
    </w:p>
    <w:p w14:paraId="0239DC0B">
      <w:pPr>
        <w:spacing w:line="360" w:lineRule="auto"/>
        <w:ind w:firstLine="480" w:firstLineChars="200"/>
        <w:rPr>
          <w:bCs/>
          <w:sz w:val="24"/>
        </w:rPr>
      </w:pPr>
    </w:p>
    <w:p w14:paraId="00BB4421">
      <w:pPr>
        <w:spacing w:line="360" w:lineRule="auto"/>
        <w:ind w:firstLine="480" w:firstLineChars="200"/>
        <w:rPr>
          <w:bCs/>
          <w:sz w:val="24"/>
        </w:rPr>
      </w:pPr>
      <w:bookmarkStart w:id="226" w:name="_Hlk93057369"/>
      <w:r>
        <w:rPr>
          <w:rFonts w:hint="eastAsia"/>
          <w:bCs/>
          <w:sz w:val="24"/>
        </w:rPr>
        <w:t>一、基金费用的种类</w:t>
      </w:r>
    </w:p>
    <w:p w14:paraId="2B3146F6">
      <w:pPr>
        <w:spacing w:line="360" w:lineRule="auto"/>
        <w:ind w:firstLine="480" w:firstLineChars="200"/>
        <w:rPr>
          <w:bCs/>
          <w:sz w:val="24"/>
        </w:rPr>
      </w:pPr>
      <w:r>
        <w:rPr>
          <w:rFonts w:hint="eastAsia"/>
          <w:bCs/>
          <w:sz w:val="24"/>
        </w:rPr>
        <w:t>1、基金管理人的管理费；</w:t>
      </w:r>
    </w:p>
    <w:p w14:paraId="1C7C12D8">
      <w:pPr>
        <w:spacing w:line="360" w:lineRule="auto"/>
        <w:ind w:firstLine="480" w:firstLineChars="200"/>
        <w:rPr>
          <w:bCs/>
          <w:sz w:val="24"/>
        </w:rPr>
      </w:pPr>
      <w:r>
        <w:rPr>
          <w:rFonts w:hint="eastAsia"/>
          <w:bCs/>
          <w:sz w:val="24"/>
        </w:rPr>
        <w:t>2、基金托管人的托管费；</w:t>
      </w:r>
    </w:p>
    <w:p w14:paraId="5EEBBA1A">
      <w:pPr>
        <w:spacing w:line="360" w:lineRule="auto"/>
        <w:ind w:firstLine="480" w:firstLineChars="200"/>
        <w:rPr>
          <w:bCs/>
          <w:sz w:val="24"/>
        </w:rPr>
      </w:pPr>
      <w:r>
        <w:rPr>
          <w:rFonts w:hint="eastAsia"/>
          <w:bCs/>
          <w:sz w:val="24"/>
        </w:rPr>
        <w:t>3、C类基金份额的销售服务费；</w:t>
      </w:r>
    </w:p>
    <w:p w14:paraId="144F6089">
      <w:pPr>
        <w:spacing w:line="360" w:lineRule="auto"/>
        <w:ind w:firstLine="480" w:firstLineChars="200"/>
        <w:rPr>
          <w:bCs/>
          <w:sz w:val="24"/>
        </w:rPr>
      </w:pPr>
      <w:r>
        <w:rPr>
          <w:rFonts w:hint="eastAsia"/>
          <w:bCs/>
          <w:sz w:val="24"/>
        </w:rPr>
        <w:t>4、《基金合同》生效后与基金相关的信息披露费用；</w:t>
      </w:r>
    </w:p>
    <w:p w14:paraId="443724E9">
      <w:pPr>
        <w:spacing w:line="360" w:lineRule="auto"/>
        <w:ind w:firstLine="480" w:firstLineChars="200"/>
        <w:rPr>
          <w:bCs/>
          <w:sz w:val="24"/>
        </w:rPr>
      </w:pPr>
      <w:r>
        <w:rPr>
          <w:rFonts w:hint="eastAsia"/>
          <w:bCs/>
          <w:sz w:val="24"/>
        </w:rPr>
        <w:t>5、《基金合同》生效后与基金相关的会计师费、律师费、仲裁费和诉讼费；</w:t>
      </w:r>
    </w:p>
    <w:p w14:paraId="128FE0E1">
      <w:pPr>
        <w:spacing w:line="360" w:lineRule="auto"/>
        <w:ind w:firstLine="480" w:firstLineChars="200"/>
        <w:rPr>
          <w:bCs/>
          <w:sz w:val="24"/>
        </w:rPr>
      </w:pPr>
      <w:r>
        <w:rPr>
          <w:rFonts w:hint="eastAsia"/>
          <w:bCs/>
          <w:sz w:val="24"/>
        </w:rPr>
        <w:t>6、基金份额持有人大会费用；</w:t>
      </w:r>
    </w:p>
    <w:p w14:paraId="34B2D03C">
      <w:pPr>
        <w:spacing w:line="360" w:lineRule="auto"/>
        <w:ind w:firstLine="480" w:firstLineChars="200"/>
        <w:rPr>
          <w:bCs/>
          <w:sz w:val="24"/>
        </w:rPr>
      </w:pPr>
      <w:r>
        <w:rPr>
          <w:rFonts w:hint="eastAsia"/>
          <w:bCs/>
          <w:sz w:val="24"/>
        </w:rPr>
        <w:t>7、基金的证券/期货交易费用；</w:t>
      </w:r>
    </w:p>
    <w:p w14:paraId="4AEB65FD">
      <w:pPr>
        <w:spacing w:line="360" w:lineRule="auto"/>
        <w:ind w:firstLine="480" w:firstLineChars="200"/>
        <w:rPr>
          <w:bCs/>
          <w:sz w:val="24"/>
        </w:rPr>
      </w:pPr>
      <w:r>
        <w:rPr>
          <w:rFonts w:hint="eastAsia"/>
          <w:bCs/>
          <w:sz w:val="24"/>
        </w:rPr>
        <w:t>8、基金的银行汇划费用；</w:t>
      </w:r>
    </w:p>
    <w:p w14:paraId="43B46CBB">
      <w:pPr>
        <w:spacing w:line="360" w:lineRule="auto"/>
        <w:ind w:firstLine="480" w:firstLineChars="200"/>
        <w:rPr>
          <w:bCs/>
          <w:sz w:val="24"/>
        </w:rPr>
      </w:pPr>
      <w:r>
        <w:rPr>
          <w:rFonts w:hint="eastAsia"/>
          <w:bCs/>
          <w:sz w:val="24"/>
        </w:rPr>
        <w:t>9、基金的账户开户费用、账户维护费用；</w:t>
      </w:r>
    </w:p>
    <w:p w14:paraId="7BBC2942">
      <w:pPr>
        <w:spacing w:line="360" w:lineRule="auto"/>
        <w:ind w:firstLine="480" w:firstLineChars="200"/>
        <w:rPr>
          <w:bCs/>
          <w:sz w:val="24"/>
        </w:rPr>
      </w:pPr>
      <w:r>
        <w:rPr>
          <w:rFonts w:hint="eastAsia"/>
          <w:bCs/>
          <w:sz w:val="24"/>
        </w:rPr>
        <w:t>10、因投资港股通标的股票而产生的各项合理费用；</w:t>
      </w:r>
    </w:p>
    <w:p w14:paraId="7C87B552">
      <w:pPr>
        <w:spacing w:line="360" w:lineRule="auto"/>
        <w:ind w:firstLine="480" w:firstLineChars="200"/>
        <w:rPr>
          <w:bCs/>
          <w:sz w:val="24"/>
        </w:rPr>
      </w:pPr>
      <w:r>
        <w:rPr>
          <w:rFonts w:hint="eastAsia"/>
          <w:bCs/>
          <w:sz w:val="24"/>
        </w:rPr>
        <w:t>11、按照国家有关规定和《基金合同》约定，可以在基金财产中列支的其他费用。</w:t>
      </w:r>
    </w:p>
    <w:p w14:paraId="7D43FDCD">
      <w:pPr>
        <w:spacing w:line="360" w:lineRule="auto"/>
        <w:ind w:firstLine="480" w:firstLineChars="200"/>
        <w:rPr>
          <w:bCs/>
          <w:sz w:val="24"/>
        </w:rPr>
      </w:pPr>
      <w:r>
        <w:rPr>
          <w:rFonts w:hint="eastAsia"/>
          <w:bCs/>
          <w:sz w:val="24"/>
        </w:rPr>
        <w:t>二、基金费用计提方法、计提标准和支付方式</w:t>
      </w:r>
    </w:p>
    <w:p w14:paraId="346C9AC8">
      <w:pPr>
        <w:spacing w:line="360" w:lineRule="auto"/>
        <w:ind w:firstLine="480" w:firstLineChars="200"/>
        <w:rPr>
          <w:bCs/>
          <w:sz w:val="24"/>
        </w:rPr>
      </w:pPr>
      <w:r>
        <w:rPr>
          <w:rFonts w:hint="eastAsia"/>
          <w:bCs/>
          <w:sz w:val="24"/>
        </w:rPr>
        <w:t>1、基金管理人的管理费</w:t>
      </w:r>
    </w:p>
    <w:p w14:paraId="457AC77E">
      <w:pPr>
        <w:spacing w:line="360" w:lineRule="auto"/>
        <w:ind w:firstLine="480" w:firstLineChars="200"/>
        <w:rPr>
          <w:bCs/>
          <w:sz w:val="24"/>
        </w:rPr>
      </w:pPr>
      <w:r>
        <w:rPr>
          <w:rFonts w:hint="eastAsia"/>
          <w:bCs/>
          <w:sz w:val="24"/>
        </w:rPr>
        <w:t>本基金的管理费按前一日基金资产净值的</w:t>
      </w:r>
      <w:r>
        <w:rPr>
          <w:bCs/>
          <w:sz w:val="24"/>
        </w:rPr>
        <w:t>1.20</w:t>
      </w:r>
      <w:r>
        <w:rPr>
          <w:rFonts w:hint="eastAsia"/>
          <w:bCs/>
          <w:sz w:val="24"/>
        </w:rPr>
        <w:t>%的年费率计提。管理费的计算方法如下：</w:t>
      </w:r>
    </w:p>
    <w:p w14:paraId="124408A3">
      <w:pPr>
        <w:spacing w:line="360" w:lineRule="auto"/>
        <w:ind w:firstLine="480" w:firstLineChars="200"/>
        <w:rPr>
          <w:bCs/>
          <w:sz w:val="24"/>
        </w:rPr>
      </w:pPr>
      <w:r>
        <w:rPr>
          <w:rFonts w:hint="eastAsia"/>
          <w:bCs/>
          <w:sz w:val="24"/>
        </w:rPr>
        <w:t>H＝E×</w:t>
      </w:r>
      <w:r>
        <w:rPr>
          <w:bCs/>
          <w:sz w:val="24"/>
        </w:rPr>
        <w:t>1.20</w:t>
      </w:r>
      <w:r>
        <w:rPr>
          <w:rFonts w:hint="eastAsia"/>
          <w:bCs/>
          <w:sz w:val="24"/>
        </w:rPr>
        <w:t>%÷当年天数</w:t>
      </w:r>
    </w:p>
    <w:p w14:paraId="570C2337">
      <w:pPr>
        <w:spacing w:line="360" w:lineRule="auto"/>
        <w:ind w:firstLine="480" w:firstLineChars="200"/>
        <w:rPr>
          <w:bCs/>
          <w:sz w:val="24"/>
        </w:rPr>
      </w:pPr>
      <w:r>
        <w:rPr>
          <w:rFonts w:hint="eastAsia"/>
          <w:bCs/>
          <w:sz w:val="24"/>
        </w:rPr>
        <w:t>H为每日应计提的基金管理费</w:t>
      </w:r>
    </w:p>
    <w:p w14:paraId="07AFD232">
      <w:pPr>
        <w:spacing w:line="360" w:lineRule="auto"/>
        <w:ind w:firstLine="480" w:firstLineChars="200"/>
        <w:rPr>
          <w:bCs/>
          <w:sz w:val="24"/>
        </w:rPr>
      </w:pPr>
      <w:r>
        <w:rPr>
          <w:rFonts w:hint="eastAsia"/>
          <w:bCs/>
          <w:sz w:val="24"/>
        </w:rPr>
        <w:t>E为前一日的基金资产净值</w:t>
      </w:r>
    </w:p>
    <w:p w14:paraId="7F1F7A23">
      <w:pPr>
        <w:spacing w:line="360" w:lineRule="auto"/>
        <w:ind w:firstLine="480" w:firstLineChars="200"/>
        <w:rPr>
          <w:bCs/>
          <w:sz w:val="24"/>
        </w:rPr>
      </w:pPr>
      <w:r>
        <w:rPr>
          <w:rFonts w:hint="eastAsia"/>
          <w:bCs/>
          <w:sz w:val="24"/>
        </w:rPr>
        <w:t>基金管理费每日计提，逐日累计至每个月月末，按月支付。由基金托管人根据与基金管理人核对一致的财务数据，自动在次月初5个工作日内按照指定的账户路径进行支付，基金管理人无需再出具资金划拨指令。若遇法定节假日、休息日或不可抗力致使无法按时支付等，支付日期顺延。</w:t>
      </w:r>
    </w:p>
    <w:p w14:paraId="759D96D5">
      <w:pPr>
        <w:spacing w:line="360" w:lineRule="auto"/>
        <w:ind w:firstLine="480" w:firstLineChars="200"/>
        <w:rPr>
          <w:bCs/>
          <w:sz w:val="24"/>
        </w:rPr>
      </w:pPr>
      <w:r>
        <w:rPr>
          <w:rFonts w:hint="eastAsia"/>
          <w:bCs/>
          <w:sz w:val="24"/>
        </w:rPr>
        <w:t>2、基金托管人的托管费</w:t>
      </w:r>
    </w:p>
    <w:p w14:paraId="39B06EFA">
      <w:pPr>
        <w:spacing w:line="360" w:lineRule="auto"/>
        <w:ind w:firstLine="480" w:firstLineChars="20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409E4191">
      <w:pPr>
        <w:spacing w:line="360" w:lineRule="auto"/>
        <w:ind w:firstLine="480" w:firstLineChars="200"/>
        <w:rPr>
          <w:bCs/>
          <w:sz w:val="24"/>
        </w:rPr>
      </w:pPr>
      <w:r>
        <w:rPr>
          <w:rFonts w:hint="eastAsia"/>
          <w:bCs/>
          <w:sz w:val="24"/>
        </w:rPr>
        <w:t>H＝E×</w:t>
      </w:r>
      <w:r>
        <w:rPr>
          <w:bCs/>
          <w:sz w:val="24"/>
        </w:rPr>
        <w:t>0.20</w:t>
      </w:r>
      <w:r>
        <w:rPr>
          <w:rFonts w:hint="eastAsia"/>
          <w:bCs/>
          <w:sz w:val="24"/>
        </w:rPr>
        <w:t>%÷当年天数</w:t>
      </w:r>
    </w:p>
    <w:p w14:paraId="12461BDD">
      <w:pPr>
        <w:spacing w:line="360" w:lineRule="auto"/>
        <w:ind w:firstLine="480" w:firstLineChars="200"/>
        <w:rPr>
          <w:bCs/>
          <w:sz w:val="24"/>
        </w:rPr>
      </w:pPr>
      <w:r>
        <w:rPr>
          <w:rFonts w:hint="eastAsia"/>
          <w:bCs/>
          <w:sz w:val="24"/>
        </w:rPr>
        <w:t>H为每日应计提的基金托管费</w:t>
      </w:r>
    </w:p>
    <w:p w14:paraId="26A7AC01">
      <w:pPr>
        <w:spacing w:line="360" w:lineRule="auto"/>
        <w:ind w:firstLine="480" w:firstLineChars="200"/>
        <w:rPr>
          <w:bCs/>
          <w:sz w:val="24"/>
        </w:rPr>
      </w:pPr>
      <w:r>
        <w:rPr>
          <w:rFonts w:hint="eastAsia"/>
          <w:bCs/>
          <w:sz w:val="24"/>
        </w:rPr>
        <w:t>E为前一日的基金资产净值</w:t>
      </w:r>
    </w:p>
    <w:p w14:paraId="097E571E">
      <w:pPr>
        <w:spacing w:line="360" w:lineRule="auto"/>
        <w:ind w:firstLine="480" w:firstLineChars="200"/>
        <w:rPr>
          <w:bCs/>
          <w:sz w:val="24"/>
        </w:rPr>
      </w:pPr>
      <w:bookmarkStart w:id="227" w:name="_Hlk214373748"/>
      <w:r>
        <w:rPr>
          <w:rFonts w:hint="eastAsia"/>
          <w:bCs/>
          <w:sz w:val="24"/>
        </w:rPr>
        <w:t>基金托管费每日计提，逐日累计至每个月月末，按月支付。由基金托管人根据与基金管理人核对一致的财务数据，自动在次月初5个工作日内按照指定的账户路径进行支付，基金管理人无需再出具资金划拨指令。若遇法定节假日、休息日或不可抗力致使无法按时支付等，支付日期顺延。</w:t>
      </w:r>
      <w:bookmarkEnd w:id="227"/>
    </w:p>
    <w:p w14:paraId="4EE0C894">
      <w:pPr>
        <w:spacing w:line="360" w:lineRule="auto"/>
        <w:ind w:firstLine="480" w:firstLineChars="200"/>
        <w:rPr>
          <w:bCs/>
          <w:sz w:val="24"/>
        </w:rPr>
      </w:pPr>
      <w:r>
        <w:rPr>
          <w:rFonts w:hint="eastAsia"/>
          <w:bCs/>
          <w:sz w:val="24"/>
        </w:rPr>
        <w:t>3、C类基金份额的销售服务费</w:t>
      </w:r>
    </w:p>
    <w:p w14:paraId="333B5911">
      <w:pPr>
        <w:spacing w:line="360" w:lineRule="auto"/>
        <w:ind w:firstLine="480" w:firstLineChars="200"/>
        <w:rPr>
          <w:bCs/>
          <w:sz w:val="24"/>
        </w:rPr>
      </w:pPr>
      <w:r>
        <w:rPr>
          <w:rFonts w:hint="eastAsia"/>
          <w:bCs/>
          <w:sz w:val="24"/>
        </w:rPr>
        <w:t>本基金A类基金份额不收取销售服务费，C类基金份额的销售服务费年费率为0.40%。本基金销售服务费按前一日C类基金份额基金资产净值的</w:t>
      </w:r>
      <w:r>
        <w:rPr>
          <w:bCs/>
          <w:sz w:val="24"/>
        </w:rPr>
        <w:t>0.</w:t>
      </w:r>
      <w:r>
        <w:rPr>
          <w:rFonts w:hint="eastAsia"/>
          <w:bCs/>
          <w:sz w:val="24"/>
        </w:rPr>
        <w:t>40%的年费率计提。C类基金份额的销售服务费计算方法如下：</w:t>
      </w:r>
    </w:p>
    <w:p w14:paraId="6A2CE29F">
      <w:pPr>
        <w:spacing w:line="360" w:lineRule="auto"/>
        <w:ind w:firstLine="480" w:firstLineChars="200"/>
        <w:rPr>
          <w:bCs/>
          <w:sz w:val="24"/>
        </w:rPr>
      </w:pPr>
      <w:r>
        <w:rPr>
          <w:rFonts w:hint="eastAsia"/>
          <w:bCs/>
          <w:sz w:val="24"/>
        </w:rPr>
        <w:t>H＝E×</w:t>
      </w:r>
      <w:r>
        <w:rPr>
          <w:bCs/>
          <w:sz w:val="24"/>
        </w:rPr>
        <w:t>0.</w:t>
      </w:r>
      <w:r>
        <w:rPr>
          <w:rFonts w:hint="eastAsia"/>
          <w:bCs/>
          <w:sz w:val="24"/>
        </w:rPr>
        <w:t>40%÷当年天数</w:t>
      </w:r>
    </w:p>
    <w:p w14:paraId="256FCA46">
      <w:pPr>
        <w:spacing w:line="360" w:lineRule="auto"/>
        <w:ind w:firstLine="480" w:firstLineChars="200"/>
        <w:rPr>
          <w:bCs/>
          <w:sz w:val="24"/>
        </w:rPr>
      </w:pPr>
      <w:r>
        <w:rPr>
          <w:rFonts w:hint="eastAsia"/>
          <w:bCs/>
          <w:sz w:val="24"/>
        </w:rPr>
        <w:t>H为C类基金份额每日应计提的销售服务费</w:t>
      </w:r>
    </w:p>
    <w:p w14:paraId="7DFE46B1">
      <w:pPr>
        <w:spacing w:line="360" w:lineRule="auto"/>
        <w:ind w:firstLine="480" w:firstLineChars="200"/>
        <w:rPr>
          <w:bCs/>
          <w:sz w:val="24"/>
        </w:rPr>
      </w:pPr>
      <w:r>
        <w:rPr>
          <w:rFonts w:hint="eastAsia"/>
          <w:bCs/>
          <w:sz w:val="24"/>
        </w:rPr>
        <w:t>E为C类基金份额前一日的基金资产净值</w:t>
      </w:r>
    </w:p>
    <w:p w14:paraId="50C64BCC">
      <w:pPr>
        <w:spacing w:line="360" w:lineRule="auto"/>
        <w:ind w:firstLine="480" w:firstLineChars="200"/>
        <w:rPr>
          <w:sz w:val="24"/>
        </w:rPr>
      </w:pPr>
      <w:r>
        <w:rPr>
          <w:rFonts w:hint="eastAsia"/>
          <w:sz w:val="24"/>
        </w:rPr>
        <w:t>（1）基金管理人直销机构：</w:t>
      </w:r>
    </w:p>
    <w:p w14:paraId="6256AC98">
      <w:pPr>
        <w:spacing w:line="360" w:lineRule="auto"/>
        <w:ind w:firstLine="480" w:firstLineChars="200"/>
        <w:rPr>
          <w:sz w:val="24"/>
        </w:rPr>
      </w:pPr>
      <w:r>
        <w:rPr>
          <w:rFonts w:hint="eastAsia"/>
          <w:sz w:val="24"/>
        </w:rPr>
        <w:t>对于C类基金份额计提的销售服务费，在投资者赎回基金份额或基金合同终止时，随赎回款或清算款一并返还给投资者。</w:t>
      </w:r>
    </w:p>
    <w:p w14:paraId="0E39434D">
      <w:pPr>
        <w:spacing w:line="360" w:lineRule="auto"/>
        <w:ind w:firstLine="480" w:firstLineChars="200"/>
        <w:rPr>
          <w:sz w:val="24"/>
        </w:rPr>
      </w:pPr>
      <w:bookmarkStart w:id="228" w:name="_Hlk219225300"/>
      <w:r>
        <w:rPr>
          <w:rFonts w:hint="eastAsia"/>
          <w:sz w:val="24"/>
        </w:rPr>
        <w:t>如未来基金管理人设立基金销售子公司，其可参照基金管理人直销机构，销售本基金C类基金份额不收取销售服务费，具体请见基金管理人或其销售子公司届时发布的相关公告。</w:t>
      </w:r>
      <w:bookmarkEnd w:id="228"/>
      <w:r>
        <w:rPr>
          <w:rFonts w:hint="eastAsia"/>
          <w:sz w:val="24"/>
        </w:rPr>
        <w:t xml:space="preserve"> </w:t>
      </w:r>
    </w:p>
    <w:p w14:paraId="12747539">
      <w:pPr>
        <w:spacing w:line="360" w:lineRule="auto"/>
        <w:ind w:firstLine="480" w:firstLineChars="200"/>
        <w:rPr>
          <w:bCs/>
          <w:sz w:val="24"/>
        </w:rPr>
      </w:pPr>
      <w:r>
        <w:rPr>
          <w:rFonts w:hint="eastAsia"/>
          <w:bCs/>
          <w:sz w:val="24"/>
        </w:rPr>
        <w:t>（2）其他销售机构：</w:t>
      </w:r>
    </w:p>
    <w:p w14:paraId="18C1BA51">
      <w:pPr>
        <w:spacing w:line="360" w:lineRule="auto"/>
        <w:ind w:firstLine="480" w:firstLineChars="200"/>
        <w:rPr>
          <w:sz w:val="24"/>
        </w:rPr>
      </w:pPr>
      <w:r>
        <w:rPr>
          <w:rFonts w:hint="eastAsia"/>
          <w:bCs/>
          <w:sz w:val="24"/>
        </w:rPr>
        <w:t>对于投资者持续持有期限未超过一年（即365天，下同）的C类基金份额计提的销售服务费，</w:t>
      </w:r>
      <w:r>
        <w:rPr>
          <w:rFonts w:hint="eastAsia"/>
          <w:sz w:val="24"/>
        </w:rPr>
        <w:t>销售服务费每日计</w:t>
      </w:r>
      <w:r>
        <w:rPr>
          <w:rFonts w:hint="eastAsia"/>
          <w:bCs/>
          <w:sz w:val="24"/>
        </w:rPr>
        <w:t>提</w:t>
      </w:r>
      <w:r>
        <w:rPr>
          <w:rFonts w:hint="eastAsia"/>
          <w:sz w:val="24"/>
        </w:rPr>
        <w:t>，逐日累计至每</w:t>
      </w:r>
      <w:r>
        <w:rPr>
          <w:rFonts w:hint="eastAsia"/>
          <w:bCs/>
          <w:sz w:val="24"/>
        </w:rPr>
        <w:t>个</w:t>
      </w:r>
      <w:r>
        <w:rPr>
          <w:rFonts w:hint="eastAsia"/>
          <w:sz w:val="24"/>
        </w:rPr>
        <w:t>月月末，按月支付。</w:t>
      </w:r>
      <w:bookmarkStart w:id="229" w:name="_Hlk218433638"/>
      <w:r>
        <w:rPr>
          <w:rFonts w:hint="eastAsia"/>
          <w:bCs/>
          <w:kern w:val="0"/>
          <w:sz w:val="24"/>
          <w:szCs w:val="24"/>
          <w:lang w:bidi="en-US"/>
        </w:rPr>
        <w:t>对于确认为基金财产支付的销售服务费，</w:t>
      </w:r>
      <w:bookmarkEnd w:id="229"/>
      <w:r>
        <w:rPr>
          <w:rFonts w:hint="eastAsia"/>
          <w:sz w:val="24"/>
        </w:rPr>
        <w:t>由基金托管人根据与基金管理人核对一致的财务数据，</w:t>
      </w:r>
      <w:r>
        <w:rPr>
          <w:rFonts w:hint="eastAsia"/>
          <w:bCs/>
          <w:sz w:val="24"/>
        </w:rPr>
        <w:t>自动在</w:t>
      </w:r>
      <w:r>
        <w:rPr>
          <w:rFonts w:hint="eastAsia"/>
          <w:sz w:val="24"/>
        </w:rPr>
        <w:t>次月</w:t>
      </w:r>
      <w:r>
        <w:rPr>
          <w:rFonts w:hint="eastAsia"/>
          <w:bCs/>
          <w:sz w:val="24"/>
        </w:rPr>
        <w:t>初</w:t>
      </w:r>
      <w:r>
        <w:rPr>
          <w:rFonts w:hint="eastAsia"/>
          <w:sz w:val="24"/>
        </w:rPr>
        <w:t>5个工作日内按照指定的账户路径进行支付，基金管理人无需再出具资金划拨指令。</w:t>
      </w:r>
      <w:r>
        <w:rPr>
          <w:rFonts w:hint="eastAsia"/>
          <w:bCs/>
          <w:sz w:val="24"/>
        </w:rPr>
        <w:t>销售服务费由注册登记机构代收，注册登记机构收到后按相关合同规定支付给基金销售机构。</w:t>
      </w:r>
      <w:r>
        <w:rPr>
          <w:rFonts w:hint="eastAsia"/>
          <w:sz w:val="24"/>
        </w:rPr>
        <w:t>若遇法定节假日、休息日或不可抗力致使无法按时支付等，支付日期顺延。</w:t>
      </w:r>
    </w:p>
    <w:p w14:paraId="5B156827">
      <w:pPr>
        <w:spacing w:line="360" w:lineRule="auto"/>
        <w:ind w:firstLine="480" w:firstLineChars="200"/>
        <w:rPr>
          <w:bCs/>
          <w:sz w:val="24"/>
        </w:rPr>
      </w:pPr>
      <w:r>
        <w:rPr>
          <w:rFonts w:hint="eastAsia"/>
          <w:bCs/>
          <w:sz w:val="24"/>
        </w:rPr>
        <w:t>对于持续持有期限超过一年的C类基金份额继续计提的销售服务费，在投资者赎回该笔基金份额或基金合同终止时，随赎回款或清算款一并返还给投资者。</w:t>
      </w:r>
    </w:p>
    <w:p w14:paraId="27DBE63E">
      <w:pPr>
        <w:spacing w:line="360" w:lineRule="auto"/>
        <w:ind w:firstLine="480" w:firstLineChars="200"/>
        <w:rPr>
          <w:bCs/>
          <w:sz w:val="24"/>
        </w:rPr>
      </w:pPr>
      <w:r>
        <w:rPr>
          <w:rFonts w:hint="eastAsia" w:ascii="宋体" w:cs="宋体"/>
          <w:kern w:val="0"/>
          <w:sz w:val="24"/>
          <w:szCs w:val="24"/>
        </w:rPr>
        <w:t>其中，持续持有期限为自基金合同生效日（针对募集期内认购的基金份额）（含）或该笔份额申购、转入确认日（含）起，至赎回、转出确认日（不含）或基金合同终止情形发生日下一日（不含）的期间。</w:t>
      </w:r>
    </w:p>
    <w:p w14:paraId="6C1CD517">
      <w:pPr>
        <w:spacing w:line="360" w:lineRule="auto"/>
        <w:ind w:firstLine="480" w:firstLineChars="200"/>
        <w:rPr>
          <w:bCs/>
          <w:sz w:val="24"/>
        </w:rPr>
      </w:pPr>
      <w:r>
        <w:rPr>
          <w:rFonts w:hint="eastAsia"/>
          <w:bCs/>
          <w:sz w:val="24"/>
        </w:rPr>
        <w:t>上述“一、基金费用的种类”中第4－11项费用，根据有关法规及相应协议规定，按费用实际支出金额列入当期费用，由基金托管人从基金财产中支付。</w:t>
      </w:r>
    </w:p>
    <w:p w14:paraId="2927CB05">
      <w:pPr>
        <w:spacing w:line="360" w:lineRule="auto"/>
        <w:ind w:firstLine="480" w:firstLineChars="200"/>
        <w:rPr>
          <w:bCs/>
          <w:sz w:val="24"/>
        </w:rPr>
      </w:pPr>
      <w:r>
        <w:rPr>
          <w:rFonts w:hint="eastAsia"/>
          <w:bCs/>
          <w:sz w:val="24"/>
        </w:rPr>
        <w:t>三、不列入基金费用的项目</w:t>
      </w:r>
    </w:p>
    <w:p w14:paraId="76A43570">
      <w:pPr>
        <w:spacing w:line="360" w:lineRule="auto"/>
        <w:ind w:firstLine="480" w:firstLineChars="200"/>
        <w:rPr>
          <w:bCs/>
          <w:sz w:val="24"/>
        </w:rPr>
      </w:pPr>
      <w:r>
        <w:rPr>
          <w:rFonts w:hint="eastAsia"/>
          <w:bCs/>
          <w:sz w:val="24"/>
        </w:rPr>
        <w:t>下列费用不列入基金费用：</w:t>
      </w:r>
    </w:p>
    <w:p w14:paraId="14A2F37D">
      <w:pPr>
        <w:spacing w:line="360" w:lineRule="auto"/>
        <w:ind w:firstLine="480" w:firstLineChars="200"/>
        <w:rPr>
          <w:bCs/>
          <w:sz w:val="24"/>
        </w:rPr>
      </w:pPr>
      <w:r>
        <w:rPr>
          <w:rFonts w:hint="eastAsia"/>
          <w:bCs/>
          <w:sz w:val="24"/>
        </w:rPr>
        <w:t>1、基金管理人和基金托管人因未履行或未完全履行义务导致的费用支出或基金财产的损失；</w:t>
      </w:r>
    </w:p>
    <w:p w14:paraId="4A63C82B">
      <w:pPr>
        <w:spacing w:line="360" w:lineRule="auto"/>
        <w:ind w:firstLine="480" w:firstLineChars="200"/>
        <w:rPr>
          <w:bCs/>
          <w:sz w:val="24"/>
        </w:rPr>
      </w:pPr>
      <w:r>
        <w:rPr>
          <w:rFonts w:hint="eastAsia"/>
          <w:bCs/>
          <w:sz w:val="24"/>
        </w:rPr>
        <w:t>2、基金管理人和基金托管人处理与基金运作无关的事项发生的费用；</w:t>
      </w:r>
    </w:p>
    <w:p w14:paraId="7102F794">
      <w:pPr>
        <w:spacing w:line="360" w:lineRule="auto"/>
        <w:ind w:firstLine="480" w:firstLineChars="200"/>
        <w:rPr>
          <w:bCs/>
          <w:sz w:val="24"/>
        </w:rPr>
      </w:pPr>
      <w:r>
        <w:rPr>
          <w:rFonts w:hint="eastAsia"/>
          <w:bCs/>
          <w:sz w:val="24"/>
        </w:rPr>
        <w:t>3、《基金合同》生效前的相关费用；</w:t>
      </w:r>
    </w:p>
    <w:p w14:paraId="19E0E06E">
      <w:pPr>
        <w:spacing w:line="360" w:lineRule="auto"/>
        <w:ind w:firstLine="480" w:firstLineChars="200"/>
        <w:rPr>
          <w:bCs/>
          <w:sz w:val="24"/>
        </w:rPr>
      </w:pPr>
      <w:r>
        <w:rPr>
          <w:rFonts w:hint="eastAsia"/>
          <w:bCs/>
          <w:sz w:val="24"/>
        </w:rPr>
        <w:t>4、其他根据相关法律法规及中国证监会的有关规定不得列入基金费用的项目。</w:t>
      </w:r>
    </w:p>
    <w:p w14:paraId="630E9295">
      <w:pPr>
        <w:spacing w:line="360" w:lineRule="auto"/>
        <w:ind w:firstLine="480" w:firstLineChars="200"/>
        <w:rPr>
          <w:bCs/>
          <w:sz w:val="24"/>
        </w:rPr>
      </w:pPr>
      <w:r>
        <w:rPr>
          <w:rFonts w:hint="eastAsia"/>
          <w:bCs/>
          <w:sz w:val="24"/>
        </w:rPr>
        <w:t>四、实施侧袋机制期间的基金费用</w:t>
      </w:r>
    </w:p>
    <w:p w14:paraId="411A47EE">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本基金实施侧袋机制的，与侧袋账户有关的费用可以从侧袋账户中列支，但应待侧袋账户资产变现后方可列支，有关费用可酌情收取或减免，但不得收取管理费，详见招募说明书“侧袋机制”部分的规定。</w:t>
      </w:r>
    </w:p>
    <w:p w14:paraId="28463B39">
      <w:pPr>
        <w:spacing w:line="360" w:lineRule="auto"/>
        <w:ind w:firstLine="480" w:firstLineChars="200"/>
        <w:rPr>
          <w:bCs/>
          <w:sz w:val="24"/>
        </w:rPr>
      </w:pPr>
      <w:r>
        <w:rPr>
          <w:rFonts w:hint="eastAsia"/>
          <w:bCs/>
          <w:sz w:val="24"/>
        </w:rPr>
        <w:t>五、基金税收</w:t>
      </w:r>
    </w:p>
    <w:p w14:paraId="295AB14E">
      <w:pPr>
        <w:spacing w:line="360" w:lineRule="auto"/>
        <w:ind w:firstLine="480" w:firstLineChars="20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226"/>
    <w:p w14:paraId="1750CEA3">
      <w:pPr>
        <w:spacing w:line="360" w:lineRule="auto"/>
        <w:ind w:firstLine="480" w:firstLineChars="200"/>
        <w:rPr>
          <w:bCs/>
          <w:sz w:val="24"/>
        </w:rPr>
      </w:pPr>
    </w:p>
    <w:p w14:paraId="1213F9C4">
      <w:pPr>
        <w:pStyle w:val="2"/>
        <w:spacing w:before="0" w:after="0"/>
        <w:jc w:val="center"/>
        <w:rPr>
          <w:rFonts w:ascii="Times New Roman"/>
          <w:color w:val="auto"/>
          <w:szCs w:val="24"/>
        </w:rPr>
      </w:pPr>
      <w:bookmarkStart w:id="230" w:name="_Hlt88827255"/>
      <w:bookmarkEnd w:id="230"/>
      <w:bookmarkStart w:id="231" w:name="_Toc139991746"/>
      <w:bookmarkStart w:id="232" w:name="_Toc22552"/>
      <w:bookmarkStart w:id="233" w:name="_Toc128310499"/>
      <w:bookmarkStart w:id="234" w:name="_Toc141703896"/>
      <w:bookmarkStart w:id="235" w:name="_Toc93226149"/>
      <w:bookmarkStart w:id="236" w:name="_Toc92662707"/>
      <w:r>
        <w:rPr>
          <w:rFonts w:ascii="Times New Roman"/>
          <w:b w:val="0"/>
          <w:bCs/>
          <w:color w:val="auto"/>
          <w:kern w:val="44"/>
          <w:szCs w:val="24"/>
        </w:rPr>
        <w:br w:type="page"/>
      </w:r>
      <w:bookmarkEnd w:id="231"/>
      <w:bookmarkEnd w:id="232"/>
      <w:bookmarkEnd w:id="233"/>
      <w:bookmarkEnd w:id="234"/>
      <w:bookmarkEnd w:id="235"/>
      <w:bookmarkEnd w:id="236"/>
      <w:bookmarkStart w:id="237" w:name="_Toc345339070"/>
      <w:bookmarkStart w:id="238" w:name="_Toc216103547"/>
      <w:bookmarkStart w:id="239" w:name="_Toc48032551"/>
      <w:bookmarkStart w:id="240" w:name="_Toc326752139"/>
      <w:bookmarkStart w:id="241" w:name="_Toc139991747"/>
      <w:bookmarkStart w:id="242" w:name="_Toc23859"/>
      <w:bookmarkStart w:id="243" w:name="_Toc28961"/>
      <w:bookmarkStart w:id="244" w:name="_Toc31736"/>
      <w:bookmarkStart w:id="245" w:name="_Toc93226150"/>
      <w:bookmarkStart w:id="246" w:name="_Toc128310500"/>
      <w:bookmarkStart w:id="247" w:name="_Toc18747"/>
      <w:bookmarkStart w:id="248" w:name="_Toc21206"/>
      <w:bookmarkStart w:id="249" w:name="_Toc29695"/>
      <w:bookmarkStart w:id="250" w:name="_Toc10894"/>
      <w:bookmarkStart w:id="251" w:name="_Toc13255"/>
      <w:bookmarkStart w:id="252" w:name="_Toc17499"/>
      <w:bookmarkStart w:id="253" w:name="_Toc1043"/>
      <w:bookmarkStart w:id="254" w:name="_Toc92662708"/>
      <w:bookmarkStart w:id="255" w:name="_Toc18007"/>
      <w:bookmarkStart w:id="256" w:name="_Toc141703897"/>
      <w:r>
        <w:rPr>
          <w:rFonts w:hint="eastAsia" w:ascii="Times New Roman"/>
          <w:color w:val="auto"/>
          <w:szCs w:val="24"/>
        </w:rPr>
        <w:t>第十四部分</w:t>
      </w:r>
      <w:r>
        <w:rPr>
          <w:rFonts w:ascii="Times New Roman"/>
          <w:color w:val="auto"/>
          <w:szCs w:val="24"/>
        </w:rPr>
        <w:t xml:space="preserve">  </w:t>
      </w:r>
      <w:r>
        <w:rPr>
          <w:rFonts w:hint="eastAsia" w:ascii="Times New Roman"/>
          <w:color w:val="auto"/>
          <w:szCs w:val="24"/>
        </w:rPr>
        <w:t>基金的会计与审计</w:t>
      </w:r>
      <w:bookmarkEnd w:id="237"/>
      <w:bookmarkEnd w:id="238"/>
      <w:bookmarkEnd w:id="239"/>
    </w:p>
    <w:p w14:paraId="236190AC">
      <w:pPr>
        <w:spacing w:line="360" w:lineRule="auto"/>
        <w:ind w:firstLine="480" w:firstLineChars="200"/>
        <w:rPr>
          <w:sz w:val="24"/>
          <w:szCs w:val="24"/>
        </w:rPr>
      </w:pPr>
    </w:p>
    <w:p w14:paraId="70F7E05C">
      <w:pPr>
        <w:spacing w:line="360" w:lineRule="auto"/>
        <w:ind w:firstLine="480" w:firstLineChars="200"/>
        <w:rPr>
          <w:bCs/>
          <w:sz w:val="24"/>
        </w:rPr>
      </w:pPr>
      <w:bookmarkStart w:id="257" w:name="_Hlk93057404"/>
      <w:r>
        <w:rPr>
          <w:rFonts w:hint="eastAsia"/>
          <w:bCs/>
          <w:sz w:val="24"/>
        </w:rPr>
        <w:t>一、基金会计政策</w:t>
      </w:r>
    </w:p>
    <w:p w14:paraId="70672D5E">
      <w:pPr>
        <w:spacing w:line="360" w:lineRule="auto"/>
        <w:ind w:firstLine="480" w:firstLineChars="200"/>
        <w:rPr>
          <w:bCs/>
          <w:sz w:val="24"/>
        </w:rPr>
      </w:pPr>
      <w:r>
        <w:rPr>
          <w:rFonts w:hint="eastAsia"/>
          <w:bCs/>
          <w:sz w:val="24"/>
        </w:rPr>
        <w:t>1、基金管理人为本基金的基金会计责任方；</w:t>
      </w:r>
    </w:p>
    <w:p w14:paraId="41446A68">
      <w:pPr>
        <w:spacing w:line="360" w:lineRule="auto"/>
        <w:ind w:firstLine="480" w:firstLineChars="200"/>
        <w:rPr>
          <w:bCs/>
          <w:sz w:val="24"/>
        </w:rPr>
      </w:pPr>
      <w:r>
        <w:rPr>
          <w:rFonts w:hint="eastAsia"/>
          <w:bCs/>
          <w:sz w:val="24"/>
        </w:rPr>
        <w:t>2、基金的会计年度为公历年度的1月1日至12月31日；基金首次募集的会计年度按如下原则：如果《基金合同》生效少于2个月，可以并入下一个会计年度披露；</w:t>
      </w:r>
    </w:p>
    <w:p w14:paraId="78B2E9F9">
      <w:pPr>
        <w:spacing w:line="360" w:lineRule="auto"/>
        <w:ind w:firstLine="480" w:firstLineChars="200"/>
        <w:rPr>
          <w:bCs/>
          <w:sz w:val="24"/>
        </w:rPr>
      </w:pPr>
      <w:r>
        <w:rPr>
          <w:rFonts w:hint="eastAsia"/>
          <w:bCs/>
          <w:sz w:val="24"/>
        </w:rPr>
        <w:t>3、基金核算以人民币为记账本位币，以人民币元为记账单位；</w:t>
      </w:r>
    </w:p>
    <w:p w14:paraId="02C6FFA1">
      <w:pPr>
        <w:spacing w:line="360" w:lineRule="auto"/>
        <w:ind w:firstLine="480" w:firstLineChars="200"/>
        <w:rPr>
          <w:bCs/>
          <w:sz w:val="24"/>
        </w:rPr>
      </w:pPr>
      <w:r>
        <w:rPr>
          <w:rFonts w:hint="eastAsia"/>
          <w:bCs/>
          <w:sz w:val="24"/>
        </w:rPr>
        <w:t>4、会计制度执行国家有关会计制度；</w:t>
      </w:r>
    </w:p>
    <w:p w14:paraId="274974DE">
      <w:pPr>
        <w:spacing w:line="360" w:lineRule="auto"/>
        <w:ind w:firstLine="480" w:firstLineChars="200"/>
        <w:rPr>
          <w:bCs/>
          <w:sz w:val="24"/>
        </w:rPr>
      </w:pPr>
      <w:r>
        <w:rPr>
          <w:rFonts w:hint="eastAsia"/>
          <w:bCs/>
          <w:sz w:val="24"/>
        </w:rPr>
        <w:t>5、本基金独立建账、独立核算；</w:t>
      </w:r>
    </w:p>
    <w:p w14:paraId="48153707">
      <w:pPr>
        <w:spacing w:line="360" w:lineRule="auto"/>
        <w:ind w:firstLine="480" w:firstLineChars="200"/>
        <w:rPr>
          <w:bCs/>
          <w:sz w:val="24"/>
        </w:rPr>
      </w:pPr>
      <w:r>
        <w:rPr>
          <w:rFonts w:hint="eastAsia"/>
          <w:bCs/>
          <w:sz w:val="24"/>
        </w:rPr>
        <w:t>6、基金管理人及基金托管人各自保留完整的会计账目、凭证并进行日常的会计核算，按照有关规定编制基金会计报表；</w:t>
      </w:r>
    </w:p>
    <w:p w14:paraId="70ECD1DF">
      <w:pPr>
        <w:spacing w:line="360" w:lineRule="auto"/>
        <w:ind w:firstLine="480" w:firstLineChars="200"/>
        <w:rPr>
          <w:bCs/>
          <w:sz w:val="24"/>
        </w:rPr>
      </w:pPr>
      <w:r>
        <w:rPr>
          <w:rFonts w:hint="eastAsia"/>
          <w:bCs/>
          <w:sz w:val="24"/>
        </w:rPr>
        <w:t>7、基金托管人每月与基金管理人就基金的会计核算、报表编制等进行核对并确认。</w:t>
      </w:r>
    </w:p>
    <w:p w14:paraId="483C390B">
      <w:pPr>
        <w:spacing w:line="360" w:lineRule="auto"/>
        <w:ind w:firstLine="480" w:firstLineChars="200"/>
        <w:rPr>
          <w:bCs/>
          <w:sz w:val="24"/>
        </w:rPr>
      </w:pPr>
      <w:r>
        <w:rPr>
          <w:rFonts w:hint="eastAsia"/>
          <w:bCs/>
          <w:sz w:val="24"/>
        </w:rPr>
        <w:t>二、基金的年度审计</w:t>
      </w:r>
    </w:p>
    <w:p w14:paraId="49653D87">
      <w:pPr>
        <w:spacing w:line="360" w:lineRule="auto"/>
        <w:ind w:firstLine="480" w:firstLineChars="200"/>
        <w:rPr>
          <w:bCs/>
          <w:sz w:val="24"/>
        </w:rPr>
      </w:pPr>
      <w:r>
        <w:rPr>
          <w:rFonts w:hint="eastAsia"/>
          <w:bCs/>
          <w:sz w:val="24"/>
        </w:rPr>
        <w:t>1、基金管理人聘请与基金管理人、基金托管人相互独立的符合《中华人民共和国证券法》规定的会计师事务所及其注册会计师对本基金的年度财务报表进行审计。</w:t>
      </w:r>
    </w:p>
    <w:p w14:paraId="4BF63869">
      <w:pPr>
        <w:spacing w:line="360" w:lineRule="auto"/>
        <w:ind w:firstLine="480" w:firstLineChars="200"/>
        <w:rPr>
          <w:bCs/>
          <w:sz w:val="24"/>
        </w:rPr>
      </w:pPr>
      <w:r>
        <w:rPr>
          <w:rFonts w:hint="eastAsia"/>
          <w:bCs/>
          <w:sz w:val="24"/>
        </w:rPr>
        <w:t>2、会计师事务所更换经办注册会计师，应事先征得基金管理人同意。</w:t>
      </w:r>
    </w:p>
    <w:p w14:paraId="3FDF0237">
      <w:pPr>
        <w:spacing w:line="360" w:lineRule="auto"/>
        <w:ind w:firstLine="480" w:firstLineChars="200"/>
        <w:rPr>
          <w:sz w:val="24"/>
          <w:szCs w:val="24"/>
        </w:rPr>
      </w:pPr>
      <w:r>
        <w:rPr>
          <w:rFonts w:hint="eastAsia"/>
          <w:bCs/>
          <w:sz w:val="24"/>
        </w:rPr>
        <w:t>3、基金管理人认为有充足理由更换会计师事务所，须通报基金托管人。更换会计师事务所需依照《信息披露办法》的有关规定在规定媒介公告。</w:t>
      </w:r>
      <w:bookmarkEnd w:id="257"/>
    </w:p>
    <w:p w14:paraId="6964CB4C">
      <w:pPr>
        <w:pStyle w:val="2"/>
        <w:spacing w:before="0" w:after="0"/>
        <w:jc w:val="center"/>
        <w:rPr>
          <w:rFonts w:ascii="Times New Roman"/>
          <w:color w:val="auto"/>
          <w:sz w:val="30"/>
        </w:rPr>
      </w:pPr>
      <w:r>
        <w:rPr>
          <w:rFonts w:ascii="Times New Roman"/>
          <w:color w:val="auto"/>
          <w:szCs w:val="24"/>
        </w:rPr>
        <w:br w:type="page"/>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Start w:id="258" w:name="_Toc216103548"/>
      <w:bookmarkStart w:id="259" w:name="_Toc48032552"/>
      <w:bookmarkStart w:id="260" w:name="_Toc345339071"/>
      <w:r>
        <w:rPr>
          <w:rFonts w:hint="eastAsia" w:ascii="Times New Roman"/>
          <w:color w:val="auto"/>
        </w:rPr>
        <w:t>第十五部分</w:t>
      </w:r>
      <w:r>
        <w:rPr>
          <w:rFonts w:ascii="Times New Roman"/>
          <w:color w:val="auto"/>
        </w:rPr>
        <w:t xml:space="preserve">  </w:t>
      </w:r>
      <w:r>
        <w:rPr>
          <w:rFonts w:hint="eastAsia" w:ascii="Times New Roman"/>
          <w:color w:val="auto"/>
        </w:rPr>
        <w:t>基金的信息披露</w:t>
      </w:r>
      <w:bookmarkEnd w:id="258"/>
      <w:bookmarkEnd w:id="259"/>
      <w:bookmarkEnd w:id="260"/>
    </w:p>
    <w:p w14:paraId="5AD82236">
      <w:pPr>
        <w:spacing w:line="360" w:lineRule="auto"/>
        <w:ind w:firstLine="480" w:firstLineChars="200"/>
        <w:rPr>
          <w:sz w:val="24"/>
          <w:szCs w:val="24"/>
        </w:rPr>
      </w:pPr>
    </w:p>
    <w:p w14:paraId="30A55845">
      <w:pPr>
        <w:spacing w:line="360" w:lineRule="auto"/>
        <w:ind w:firstLine="480" w:firstLineChars="200"/>
        <w:rPr>
          <w:bCs/>
          <w:sz w:val="24"/>
        </w:rPr>
      </w:pPr>
      <w:bookmarkStart w:id="261" w:name="_Hlk93057449"/>
      <w:r>
        <w:rPr>
          <w:rFonts w:hint="eastAsia"/>
          <w:bCs/>
          <w:sz w:val="24"/>
        </w:rPr>
        <w:t>一、本基金的信息披露应符合《基金法》、《运作办法》、《信息披露办法》、《流动性风险管理规定》、《基金合同》及其他有关规定。相关法律法规对信息披露的披露方式、登载媒介、报备方式等规定发生变化时，本基金从其最新规定。</w:t>
      </w:r>
    </w:p>
    <w:p w14:paraId="5238230F">
      <w:pPr>
        <w:spacing w:line="360" w:lineRule="auto"/>
        <w:ind w:firstLine="480" w:firstLineChars="200"/>
        <w:rPr>
          <w:bCs/>
          <w:sz w:val="24"/>
        </w:rPr>
      </w:pPr>
      <w:r>
        <w:rPr>
          <w:rFonts w:hint="eastAsia"/>
          <w:bCs/>
          <w:sz w:val="24"/>
        </w:rPr>
        <w:t>二、信息披露义务人</w:t>
      </w:r>
    </w:p>
    <w:p w14:paraId="4EA5E80A">
      <w:pPr>
        <w:spacing w:line="360" w:lineRule="auto"/>
        <w:ind w:firstLine="480" w:firstLineChars="200"/>
        <w:rPr>
          <w:bCs/>
          <w:sz w:val="24"/>
        </w:rPr>
      </w:pPr>
      <w:r>
        <w:rPr>
          <w:rFonts w:hint="eastAsia"/>
          <w:bCs/>
          <w:sz w:val="24"/>
        </w:rPr>
        <w:t>本基金信息披露义务人包括基金管理人、基金托管人、召集基金份额持有人大会的基金份额持有人及其日常机构（如有）等法律、行政法规和中国证监会规定的自然人、法人和非法人组织。</w:t>
      </w:r>
    </w:p>
    <w:p w14:paraId="4DC3AF8F">
      <w:pPr>
        <w:spacing w:line="360" w:lineRule="auto"/>
        <w:ind w:firstLine="480" w:firstLineChars="20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6732D850">
      <w:pPr>
        <w:spacing w:line="360" w:lineRule="auto"/>
        <w:ind w:firstLine="480" w:firstLineChars="20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4A16D53">
      <w:pPr>
        <w:spacing w:line="360" w:lineRule="auto"/>
        <w:ind w:firstLine="480" w:firstLineChars="200"/>
        <w:rPr>
          <w:bCs/>
          <w:sz w:val="24"/>
        </w:rPr>
      </w:pPr>
      <w:r>
        <w:rPr>
          <w:rFonts w:hint="eastAsia"/>
          <w:bCs/>
          <w:sz w:val="24"/>
        </w:rPr>
        <w:t>三、本基金信息披露义务人承诺公开披露的基金信息，不得有下列行为：</w:t>
      </w:r>
    </w:p>
    <w:p w14:paraId="5FEBD115">
      <w:pPr>
        <w:spacing w:line="360" w:lineRule="auto"/>
        <w:ind w:firstLine="480" w:firstLineChars="200"/>
        <w:rPr>
          <w:bCs/>
          <w:sz w:val="24"/>
        </w:rPr>
      </w:pPr>
      <w:r>
        <w:rPr>
          <w:rFonts w:hint="eastAsia"/>
          <w:bCs/>
          <w:sz w:val="24"/>
        </w:rPr>
        <w:t>1、虚假记载、误导性陈述或者重大遗漏；</w:t>
      </w:r>
    </w:p>
    <w:p w14:paraId="74C0FADA">
      <w:pPr>
        <w:spacing w:line="360" w:lineRule="auto"/>
        <w:ind w:firstLine="480" w:firstLineChars="200"/>
        <w:rPr>
          <w:bCs/>
          <w:sz w:val="24"/>
        </w:rPr>
      </w:pPr>
      <w:r>
        <w:rPr>
          <w:rFonts w:hint="eastAsia"/>
          <w:bCs/>
          <w:sz w:val="24"/>
        </w:rPr>
        <w:t>2、对证券投资业绩进行预测；</w:t>
      </w:r>
    </w:p>
    <w:p w14:paraId="2A647070">
      <w:pPr>
        <w:spacing w:line="360" w:lineRule="auto"/>
        <w:ind w:firstLine="480" w:firstLineChars="200"/>
        <w:rPr>
          <w:bCs/>
          <w:sz w:val="24"/>
        </w:rPr>
      </w:pPr>
      <w:r>
        <w:rPr>
          <w:rFonts w:hint="eastAsia"/>
          <w:bCs/>
          <w:sz w:val="24"/>
        </w:rPr>
        <w:t>3、违规承诺收益或者承担损失；</w:t>
      </w:r>
    </w:p>
    <w:p w14:paraId="6A3A3A3F">
      <w:pPr>
        <w:spacing w:line="360" w:lineRule="auto"/>
        <w:ind w:firstLine="480" w:firstLineChars="200"/>
        <w:rPr>
          <w:bCs/>
          <w:sz w:val="24"/>
        </w:rPr>
      </w:pPr>
      <w:r>
        <w:rPr>
          <w:rFonts w:hint="eastAsia"/>
          <w:bCs/>
          <w:sz w:val="24"/>
        </w:rPr>
        <w:t>4、诋毁其他基金管理人、基金托管人或者基金销售机构；</w:t>
      </w:r>
    </w:p>
    <w:p w14:paraId="56D9809E">
      <w:pPr>
        <w:spacing w:line="360" w:lineRule="auto"/>
        <w:ind w:firstLine="480" w:firstLineChars="200"/>
        <w:rPr>
          <w:bCs/>
          <w:sz w:val="24"/>
        </w:rPr>
      </w:pPr>
      <w:r>
        <w:rPr>
          <w:rFonts w:hint="eastAsia"/>
          <w:bCs/>
          <w:sz w:val="24"/>
        </w:rPr>
        <w:t>5、登载任何自然人、法人和非法人组织的祝贺性、恭维性或推荐性的文字；</w:t>
      </w:r>
    </w:p>
    <w:p w14:paraId="7127FF4B">
      <w:pPr>
        <w:spacing w:line="360" w:lineRule="auto"/>
        <w:ind w:firstLine="480" w:firstLineChars="200"/>
        <w:rPr>
          <w:bCs/>
          <w:sz w:val="24"/>
        </w:rPr>
      </w:pPr>
      <w:r>
        <w:rPr>
          <w:rFonts w:hint="eastAsia"/>
          <w:bCs/>
          <w:sz w:val="24"/>
        </w:rPr>
        <w:t>6、法律、行政法规和中国证监会规定禁止的其他行为。</w:t>
      </w:r>
    </w:p>
    <w:p w14:paraId="2679CE8B">
      <w:pPr>
        <w:spacing w:line="360" w:lineRule="auto"/>
        <w:ind w:firstLine="480" w:firstLineChars="200"/>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29F56C5C">
      <w:pPr>
        <w:spacing w:line="360" w:lineRule="auto"/>
        <w:ind w:firstLine="480" w:firstLineChars="200"/>
        <w:rPr>
          <w:bCs/>
          <w:sz w:val="24"/>
        </w:rPr>
      </w:pPr>
      <w:r>
        <w:rPr>
          <w:rFonts w:hint="eastAsia"/>
          <w:bCs/>
          <w:sz w:val="24"/>
        </w:rPr>
        <w:t>本基金公开披露的信息采用阿拉伯数字；除特别说明外，货币单位为人民币元。</w:t>
      </w:r>
    </w:p>
    <w:p w14:paraId="474AD24C">
      <w:pPr>
        <w:spacing w:line="360" w:lineRule="auto"/>
        <w:ind w:firstLine="480" w:firstLineChars="200"/>
        <w:rPr>
          <w:bCs/>
          <w:sz w:val="24"/>
        </w:rPr>
      </w:pPr>
      <w:r>
        <w:rPr>
          <w:rFonts w:hint="eastAsia"/>
          <w:bCs/>
          <w:sz w:val="24"/>
        </w:rPr>
        <w:t>五、公开披露的基金信息</w:t>
      </w:r>
    </w:p>
    <w:p w14:paraId="1C729563">
      <w:pPr>
        <w:spacing w:line="360" w:lineRule="auto"/>
        <w:ind w:firstLine="480" w:firstLineChars="200"/>
        <w:rPr>
          <w:bCs/>
          <w:sz w:val="24"/>
        </w:rPr>
      </w:pPr>
      <w:r>
        <w:rPr>
          <w:rFonts w:hint="eastAsia"/>
          <w:bCs/>
          <w:sz w:val="24"/>
        </w:rPr>
        <w:t>公开披露的基金信息包括：</w:t>
      </w:r>
    </w:p>
    <w:p w14:paraId="72D9C064">
      <w:pPr>
        <w:spacing w:line="360" w:lineRule="auto"/>
        <w:ind w:firstLine="480" w:firstLineChars="200"/>
        <w:rPr>
          <w:bCs/>
          <w:sz w:val="24"/>
        </w:rPr>
      </w:pPr>
      <w:r>
        <w:rPr>
          <w:rFonts w:hint="eastAsia"/>
          <w:bCs/>
          <w:sz w:val="24"/>
        </w:rPr>
        <w:t>（一）基金招募说明书、《基金合同》、基金托管协议、基金产品资料概要</w:t>
      </w:r>
    </w:p>
    <w:p w14:paraId="26B6BCD5">
      <w:pPr>
        <w:spacing w:line="360" w:lineRule="auto"/>
        <w:ind w:firstLine="480" w:firstLineChars="200"/>
        <w:rPr>
          <w:bCs/>
          <w:sz w:val="24"/>
        </w:rPr>
      </w:pPr>
      <w:r>
        <w:rPr>
          <w:rFonts w:hint="eastAsia"/>
          <w:bCs/>
          <w:sz w:val="24"/>
        </w:rPr>
        <w:t>1、《基金合同》是界定《基金合同》当事人的各项权利、义务关系，明确基金份额持有人大会召开的规则及具体程序，说明基金产品的特性等涉及基金投资者重大利益的事项的法律文件。</w:t>
      </w:r>
    </w:p>
    <w:p w14:paraId="4B76FEA3">
      <w:pPr>
        <w:spacing w:line="360" w:lineRule="auto"/>
        <w:ind w:firstLine="480" w:firstLineChars="200"/>
        <w:rPr>
          <w:bCs/>
          <w:sz w:val="24"/>
        </w:rPr>
      </w:pPr>
      <w:r>
        <w:rPr>
          <w:rFonts w:hint="eastAsia"/>
          <w:bCs/>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F138317">
      <w:pPr>
        <w:spacing w:line="360" w:lineRule="auto"/>
        <w:ind w:firstLine="480" w:firstLineChars="200"/>
        <w:rPr>
          <w:bCs/>
          <w:sz w:val="24"/>
        </w:rPr>
      </w:pPr>
      <w:r>
        <w:rPr>
          <w:rFonts w:hint="eastAsia"/>
          <w:bCs/>
          <w:sz w:val="24"/>
        </w:rPr>
        <w:t>3、基金托管协议是界定基金托管人和基金管理人在基金财产保管及基金运作监督等活动中的权利、义务关系的法律文件。</w:t>
      </w:r>
    </w:p>
    <w:p w14:paraId="1A98D4F6">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42E9F68">
      <w:pPr>
        <w:spacing w:line="360" w:lineRule="auto"/>
        <w:ind w:firstLine="480" w:firstLineChars="20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BA641E8">
      <w:pPr>
        <w:spacing w:line="360" w:lineRule="auto"/>
        <w:ind w:firstLine="480" w:firstLineChars="200"/>
        <w:rPr>
          <w:bCs/>
          <w:sz w:val="24"/>
        </w:rPr>
      </w:pPr>
      <w:r>
        <w:rPr>
          <w:rFonts w:hint="eastAsia"/>
          <w:bCs/>
          <w:sz w:val="24"/>
        </w:rPr>
        <w:t>（二）基金份额发售公告</w:t>
      </w:r>
    </w:p>
    <w:p w14:paraId="743B3520">
      <w:pPr>
        <w:spacing w:line="360" w:lineRule="auto"/>
        <w:ind w:firstLine="480" w:firstLineChars="200"/>
        <w:rPr>
          <w:bCs/>
          <w:sz w:val="24"/>
        </w:rPr>
      </w:pPr>
      <w:r>
        <w:rPr>
          <w:rFonts w:hint="eastAsia"/>
          <w:bCs/>
          <w:sz w:val="24"/>
        </w:rPr>
        <w:t>基金管理人应当就基金份额发售的具体事宜编制基金份额发售公告，并在披露招募说明书的当日登载于规定媒介上。</w:t>
      </w:r>
    </w:p>
    <w:p w14:paraId="1E71F048">
      <w:pPr>
        <w:spacing w:line="360" w:lineRule="auto"/>
        <w:ind w:firstLine="480" w:firstLineChars="200"/>
        <w:rPr>
          <w:bCs/>
          <w:sz w:val="24"/>
        </w:rPr>
      </w:pPr>
      <w:r>
        <w:rPr>
          <w:rFonts w:hint="eastAsia"/>
          <w:bCs/>
          <w:sz w:val="24"/>
        </w:rPr>
        <w:t>（三）《基金合同》生效公告</w:t>
      </w:r>
    </w:p>
    <w:p w14:paraId="141BC41D">
      <w:pPr>
        <w:spacing w:line="360" w:lineRule="auto"/>
        <w:ind w:firstLine="480" w:firstLineChars="200"/>
        <w:rPr>
          <w:bCs/>
          <w:sz w:val="24"/>
        </w:rPr>
      </w:pPr>
      <w:r>
        <w:rPr>
          <w:rFonts w:hint="eastAsia"/>
          <w:bCs/>
          <w:sz w:val="24"/>
        </w:rPr>
        <w:t>基金管理人应当在收到中国证监会确认文件的次日在规定媒介上登载《基金合同》生效公告。</w:t>
      </w:r>
    </w:p>
    <w:p w14:paraId="083F4ABB">
      <w:pPr>
        <w:spacing w:line="360" w:lineRule="auto"/>
        <w:ind w:firstLine="480" w:firstLineChars="200"/>
        <w:rPr>
          <w:bCs/>
          <w:sz w:val="24"/>
        </w:rPr>
      </w:pPr>
      <w:r>
        <w:rPr>
          <w:rFonts w:hint="eastAsia"/>
          <w:bCs/>
          <w:sz w:val="24"/>
        </w:rPr>
        <w:t>基金合同生效公告中将说明基金募集情况及发起资金提供方持有的基金份额、承诺持有的期限等情况。</w:t>
      </w:r>
    </w:p>
    <w:p w14:paraId="7F229244">
      <w:pPr>
        <w:spacing w:line="360" w:lineRule="auto"/>
        <w:ind w:firstLine="480" w:firstLineChars="200"/>
        <w:rPr>
          <w:bCs/>
          <w:sz w:val="24"/>
        </w:rPr>
      </w:pPr>
      <w:r>
        <w:rPr>
          <w:rFonts w:hint="eastAsia"/>
          <w:bCs/>
          <w:sz w:val="24"/>
        </w:rPr>
        <w:t>（四）基金净值信息</w:t>
      </w:r>
    </w:p>
    <w:p w14:paraId="6C522C97">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w:t>
      </w:r>
      <w:r>
        <w:rPr>
          <w:rFonts w:hint="eastAsia"/>
          <w:bCs/>
          <w:sz w:val="24"/>
        </w:rPr>
        <w:t>各类基金份额的</w:t>
      </w:r>
      <w:r>
        <w:rPr>
          <w:bCs/>
          <w:sz w:val="24"/>
        </w:rPr>
        <w:t>基金份额净值</w:t>
      </w:r>
      <w:r>
        <w:rPr>
          <w:rFonts w:hint="eastAsia"/>
          <w:bCs/>
          <w:sz w:val="24"/>
        </w:rPr>
        <w:t>和基金份额累计净值。</w:t>
      </w:r>
    </w:p>
    <w:p w14:paraId="2785A0A8">
      <w:pPr>
        <w:spacing w:line="360" w:lineRule="auto"/>
        <w:ind w:firstLine="480" w:firstLineChars="20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在开始办理基金份额申购或者赎回后，基金管理人应当在不晚于每个开放日的次日，通过规定网站、基金销售机构网站或者营业网点披露开放日的各类基金份额的基金份额净值和基金份额累计净值。</w:t>
      </w:r>
    </w:p>
    <w:p w14:paraId="4C7113FD">
      <w:pPr>
        <w:spacing w:line="360" w:lineRule="auto"/>
        <w:ind w:firstLine="480" w:firstLineChars="200"/>
        <w:rPr>
          <w:bCs/>
          <w:sz w:val="24"/>
        </w:rPr>
      </w:pPr>
      <w:r>
        <w:rPr>
          <w:rFonts w:hint="eastAsia"/>
          <w:bCs/>
          <w:sz w:val="24"/>
        </w:rPr>
        <w:t>基金管理人应当在不晚于半年度和年度最后一日的次日，在规定网站披露半年度和年度最后一日的各类基金份额的基金份额净值和基金份额累计净值。</w:t>
      </w:r>
    </w:p>
    <w:p w14:paraId="2918AB47">
      <w:pPr>
        <w:spacing w:line="360" w:lineRule="auto"/>
        <w:ind w:firstLine="480" w:firstLineChars="200"/>
        <w:rPr>
          <w:bCs/>
          <w:sz w:val="24"/>
        </w:rPr>
      </w:pPr>
      <w:r>
        <w:rPr>
          <w:rFonts w:hint="eastAsia"/>
          <w:bCs/>
          <w:sz w:val="24"/>
        </w:rPr>
        <w:t>（五）基金份额申购、赎回价格</w:t>
      </w:r>
    </w:p>
    <w:p w14:paraId="326F7885">
      <w:pPr>
        <w:spacing w:line="360" w:lineRule="auto"/>
        <w:ind w:firstLine="480" w:firstLineChars="200"/>
        <w:rPr>
          <w:bCs/>
          <w:sz w:val="24"/>
        </w:rPr>
      </w:pPr>
      <w:r>
        <w:rPr>
          <w:rFonts w:hint="eastAsia"/>
          <w:bCs/>
          <w:sz w:val="24"/>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796F42DB">
      <w:pPr>
        <w:spacing w:line="360" w:lineRule="auto"/>
        <w:ind w:firstLine="480" w:firstLineChars="200"/>
        <w:rPr>
          <w:bCs/>
          <w:sz w:val="24"/>
        </w:rPr>
      </w:pPr>
      <w:r>
        <w:rPr>
          <w:rFonts w:hint="eastAsia"/>
          <w:bCs/>
          <w:sz w:val="24"/>
        </w:rPr>
        <w:t>（六）基金定期报告，包括基金年度报告、基金中期报告和基金季度报告</w:t>
      </w:r>
    </w:p>
    <w:p w14:paraId="3C64C2C5">
      <w:pPr>
        <w:spacing w:line="360" w:lineRule="auto"/>
        <w:ind w:firstLine="480" w:firstLineChars="20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090D91C">
      <w:pPr>
        <w:spacing w:line="360" w:lineRule="auto"/>
        <w:ind w:firstLine="480" w:firstLineChars="20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4FE5BCF8">
      <w:pPr>
        <w:spacing w:line="360" w:lineRule="auto"/>
        <w:ind w:firstLine="480" w:firstLineChars="200"/>
        <w:rPr>
          <w:bCs/>
          <w:sz w:val="24"/>
        </w:rPr>
      </w:pPr>
      <w:r>
        <w:rPr>
          <w:rFonts w:hint="eastAsia"/>
          <w:bCs/>
          <w:sz w:val="24"/>
        </w:rPr>
        <w:t>基金管理人应当在季度结束之日起15个工作日内，编制完成基金季度报告，将季度报告登载在规定网站上，并将季度报告提示性公告登载在规定报刊上。</w:t>
      </w:r>
    </w:p>
    <w:p w14:paraId="3B8F5FF8">
      <w:pPr>
        <w:spacing w:line="360" w:lineRule="auto"/>
        <w:ind w:firstLine="480" w:firstLineChars="200"/>
        <w:rPr>
          <w:bCs/>
          <w:sz w:val="24"/>
        </w:rPr>
      </w:pPr>
      <w:r>
        <w:rPr>
          <w:rFonts w:hint="eastAsia"/>
          <w:bCs/>
          <w:sz w:val="24"/>
        </w:rPr>
        <w:t>《基金合同》生效不足2个月的，基金管理人可以不编制当期季度报告、中期报告或者年度报告。</w:t>
      </w:r>
    </w:p>
    <w:p w14:paraId="0661854A">
      <w:pPr>
        <w:spacing w:line="360" w:lineRule="auto"/>
        <w:ind w:firstLine="480" w:firstLineChars="200"/>
        <w:rPr>
          <w:bCs/>
          <w:sz w:val="24"/>
        </w:rPr>
      </w:pPr>
      <w:r>
        <w:rPr>
          <w:rFonts w:hint="eastAsia"/>
          <w:bCs/>
          <w:sz w:val="24"/>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66431357">
      <w:pPr>
        <w:spacing w:line="360" w:lineRule="auto"/>
        <w:ind w:firstLine="480" w:firstLineChars="200"/>
        <w:rPr>
          <w:bCs/>
          <w:sz w:val="24"/>
        </w:rPr>
      </w:pPr>
      <w:r>
        <w:rPr>
          <w:rFonts w:hint="eastAsia"/>
          <w:bCs/>
          <w:sz w:val="24"/>
        </w:rPr>
        <w:t>基金管理人应当在基金年度报告和中期报告中披露基金组合资产情况及其流动性风险分析等。</w:t>
      </w:r>
    </w:p>
    <w:p w14:paraId="3649D7EF">
      <w:pPr>
        <w:spacing w:line="360" w:lineRule="auto"/>
        <w:ind w:firstLine="480" w:firstLineChars="200"/>
        <w:rPr>
          <w:bCs/>
          <w:sz w:val="24"/>
        </w:rPr>
      </w:pPr>
      <w:r>
        <w:rPr>
          <w:rFonts w:hint="eastAsia"/>
          <w:sz w:val="24"/>
        </w:rPr>
        <w:t>基金管理人应在年度报告、中期报告、季度报告中分别披露发起资金提供方持有本基金份额、期限及期间的变动等情况。</w:t>
      </w:r>
    </w:p>
    <w:p w14:paraId="49EDB1CF">
      <w:pPr>
        <w:spacing w:line="360" w:lineRule="auto"/>
        <w:ind w:firstLine="480" w:firstLineChars="200"/>
        <w:rPr>
          <w:bCs/>
          <w:sz w:val="24"/>
        </w:rPr>
      </w:pPr>
      <w:r>
        <w:rPr>
          <w:rFonts w:hint="eastAsia"/>
          <w:bCs/>
          <w:sz w:val="24"/>
        </w:rPr>
        <w:t>（七）临时报告</w:t>
      </w:r>
    </w:p>
    <w:p w14:paraId="3ECB1EB4">
      <w:pPr>
        <w:spacing w:line="360" w:lineRule="auto"/>
        <w:ind w:firstLine="480" w:firstLineChars="200"/>
        <w:rPr>
          <w:bCs/>
          <w:sz w:val="24"/>
        </w:rPr>
      </w:pPr>
      <w:r>
        <w:rPr>
          <w:rFonts w:hint="eastAsia"/>
          <w:bCs/>
          <w:sz w:val="24"/>
        </w:rPr>
        <w:t>本基金发生重大事件，有关信息披露义务人应当在2日内编制临时报告书，并登载在规定报刊和规定网站上。</w:t>
      </w:r>
    </w:p>
    <w:p w14:paraId="1165A454">
      <w:pPr>
        <w:spacing w:line="360" w:lineRule="auto"/>
        <w:ind w:firstLine="480" w:firstLineChars="200"/>
        <w:rPr>
          <w:bCs/>
          <w:sz w:val="24"/>
        </w:rPr>
      </w:pPr>
      <w:r>
        <w:rPr>
          <w:rFonts w:hint="eastAsia"/>
          <w:bCs/>
          <w:sz w:val="24"/>
        </w:rPr>
        <w:t>前款所称重大事件，是指可能对基金份额持有人权益或者基金份额的价格产生重大影响的下列事件：</w:t>
      </w:r>
    </w:p>
    <w:p w14:paraId="035DE231">
      <w:pPr>
        <w:spacing w:line="360" w:lineRule="auto"/>
        <w:ind w:firstLine="480" w:firstLineChars="200"/>
        <w:rPr>
          <w:bCs/>
          <w:sz w:val="24"/>
        </w:rPr>
      </w:pPr>
      <w:r>
        <w:rPr>
          <w:rFonts w:hint="eastAsia"/>
          <w:bCs/>
          <w:sz w:val="24"/>
        </w:rPr>
        <w:t>1、基金份额持有人大会的召开及决定的事项；</w:t>
      </w:r>
    </w:p>
    <w:p w14:paraId="43BB23B4">
      <w:pPr>
        <w:spacing w:line="360" w:lineRule="auto"/>
        <w:ind w:firstLine="480" w:firstLineChars="200"/>
        <w:rPr>
          <w:bCs/>
          <w:sz w:val="24"/>
        </w:rPr>
      </w:pPr>
      <w:r>
        <w:rPr>
          <w:rFonts w:hint="eastAsia"/>
          <w:bCs/>
          <w:sz w:val="24"/>
        </w:rPr>
        <w:t>2、《基金合同》终止、基金清算；</w:t>
      </w:r>
    </w:p>
    <w:p w14:paraId="7D55892D">
      <w:pPr>
        <w:spacing w:line="360" w:lineRule="auto"/>
        <w:ind w:firstLine="480" w:firstLineChars="200"/>
        <w:rPr>
          <w:bCs/>
          <w:sz w:val="24"/>
        </w:rPr>
      </w:pPr>
      <w:r>
        <w:rPr>
          <w:rFonts w:hint="eastAsia"/>
          <w:bCs/>
          <w:sz w:val="24"/>
        </w:rPr>
        <w:t>3、转换基金运作方式、基金合并；</w:t>
      </w:r>
    </w:p>
    <w:p w14:paraId="557C8CEA">
      <w:pPr>
        <w:spacing w:line="360" w:lineRule="auto"/>
        <w:ind w:firstLine="480" w:firstLineChars="200"/>
        <w:rPr>
          <w:bCs/>
          <w:sz w:val="24"/>
        </w:rPr>
      </w:pPr>
      <w:r>
        <w:rPr>
          <w:rFonts w:hint="eastAsia"/>
          <w:bCs/>
          <w:sz w:val="24"/>
        </w:rPr>
        <w:t>4、更换基金管理人、基金托管人、基金份额登记机构，基金改聘会计师事务所；</w:t>
      </w:r>
    </w:p>
    <w:p w14:paraId="2636D9BB">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14:paraId="214BA3EA">
      <w:pPr>
        <w:spacing w:line="360" w:lineRule="auto"/>
        <w:ind w:firstLine="480" w:firstLineChars="200"/>
        <w:rPr>
          <w:bCs/>
          <w:sz w:val="24"/>
        </w:rPr>
      </w:pPr>
      <w:r>
        <w:rPr>
          <w:rFonts w:hint="eastAsia"/>
          <w:bCs/>
          <w:sz w:val="24"/>
        </w:rPr>
        <w:t>6、基金管理人、基金托管人的法定名称、住所发生变更；</w:t>
      </w:r>
    </w:p>
    <w:p w14:paraId="6DDC1EB3">
      <w:pPr>
        <w:spacing w:line="360" w:lineRule="auto"/>
        <w:ind w:firstLine="480" w:firstLineChars="200"/>
        <w:rPr>
          <w:bCs/>
          <w:sz w:val="24"/>
        </w:rPr>
      </w:pPr>
      <w:r>
        <w:rPr>
          <w:rFonts w:hint="eastAsia"/>
          <w:bCs/>
          <w:sz w:val="24"/>
        </w:rPr>
        <w:t>7、基金管理人变更持有百分之五以上股权的股东、基金管理人的实际控制人变更；</w:t>
      </w:r>
    </w:p>
    <w:p w14:paraId="309298F0">
      <w:pPr>
        <w:spacing w:line="360" w:lineRule="auto"/>
        <w:ind w:firstLine="480" w:firstLineChars="200"/>
        <w:rPr>
          <w:bCs/>
          <w:sz w:val="24"/>
        </w:rPr>
      </w:pPr>
      <w:r>
        <w:rPr>
          <w:rFonts w:hint="eastAsia"/>
          <w:bCs/>
          <w:sz w:val="24"/>
        </w:rPr>
        <w:t>8、基金募集期延长或提前结束募集；</w:t>
      </w:r>
    </w:p>
    <w:p w14:paraId="0301F5D9">
      <w:pPr>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7D414452">
      <w:pPr>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4BE6EA5D">
      <w:pPr>
        <w:spacing w:line="360" w:lineRule="auto"/>
        <w:ind w:firstLine="480" w:firstLineChars="200"/>
        <w:rPr>
          <w:bCs/>
          <w:sz w:val="24"/>
        </w:rPr>
      </w:pPr>
      <w:r>
        <w:rPr>
          <w:rFonts w:hint="eastAsia"/>
          <w:bCs/>
          <w:sz w:val="24"/>
        </w:rPr>
        <w:t>11、涉及基金财产、基金管理业务、基金托管业务的诉讼或者仲裁；</w:t>
      </w:r>
    </w:p>
    <w:p w14:paraId="74B9C3D4">
      <w:pPr>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159A9840">
      <w:pPr>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6CF8905">
      <w:pPr>
        <w:spacing w:line="360" w:lineRule="auto"/>
        <w:ind w:firstLine="480" w:firstLineChars="200"/>
        <w:rPr>
          <w:bCs/>
          <w:sz w:val="24"/>
        </w:rPr>
      </w:pPr>
      <w:r>
        <w:rPr>
          <w:rFonts w:hint="eastAsia"/>
          <w:bCs/>
          <w:sz w:val="24"/>
        </w:rPr>
        <w:t>14、基金收益分配事项；</w:t>
      </w:r>
    </w:p>
    <w:p w14:paraId="42C86061">
      <w:pPr>
        <w:spacing w:line="360" w:lineRule="auto"/>
        <w:ind w:firstLine="480" w:firstLineChars="200"/>
        <w:rPr>
          <w:bCs/>
          <w:sz w:val="24"/>
        </w:rPr>
      </w:pPr>
      <w:r>
        <w:rPr>
          <w:rFonts w:hint="eastAsia"/>
          <w:bCs/>
          <w:sz w:val="24"/>
        </w:rPr>
        <w:t>15、管理费、托管费、申购费、赎回费、销售服务费等费用计提标准、计提方式和费率发生变更；</w:t>
      </w:r>
    </w:p>
    <w:p w14:paraId="1C2641BB">
      <w:pPr>
        <w:spacing w:line="360" w:lineRule="auto"/>
        <w:ind w:firstLine="480" w:firstLineChars="200"/>
        <w:rPr>
          <w:bCs/>
          <w:sz w:val="24"/>
        </w:rPr>
      </w:pPr>
      <w:r>
        <w:rPr>
          <w:rFonts w:hint="eastAsia"/>
          <w:bCs/>
          <w:sz w:val="24"/>
        </w:rPr>
        <w:t>16、某一类基金份额净值计价错误达该类基金份额净值百分之零点五；</w:t>
      </w:r>
    </w:p>
    <w:p w14:paraId="02B46A45">
      <w:pPr>
        <w:spacing w:line="360" w:lineRule="auto"/>
        <w:ind w:firstLine="480" w:firstLineChars="200"/>
        <w:rPr>
          <w:bCs/>
          <w:sz w:val="24"/>
        </w:rPr>
      </w:pPr>
      <w:r>
        <w:rPr>
          <w:rFonts w:hint="eastAsia"/>
          <w:bCs/>
          <w:sz w:val="24"/>
        </w:rPr>
        <w:t>17、本基金开始办理申购、赎回；</w:t>
      </w:r>
    </w:p>
    <w:p w14:paraId="5E5D898B">
      <w:pPr>
        <w:spacing w:line="360" w:lineRule="auto"/>
        <w:ind w:firstLine="480" w:firstLineChars="200"/>
        <w:rPr>
          <w:bCs/>
          <w:sz w:val="24"/>
        </w:rPr>
      </w:pPr>
      <w:r>
        <w:rPr>
          <w:rFonts w:hint="eastAsia"/>
          <w:bCs/>
          <w:sz w:val="24"/>
        </w:rPr>
        <w:t>18、本基金发生巨额赎回并延期办理；</w:t>
      </w:r>
    </w:p>
    <w:p w14:paraId="45728758">
      <w:pPr>
        <w:spacing w:line="360" w:lineRule="auto"/>
        <w:ind w:firstLine="480" w:firstLineChars="200"/>
        <w:rPr>
          <w:bCs/>
          <w:sz w:val="24"/>
        </w:rPr>
      </w:pPr>
      <w:r>
        <w:rPr>
          <w:rFonts w:hint="eastAsia"/>
          <w:bCs/>
          <w:sz w:val="24"/>
        </w:rPr>
        <w:t>19、本基金连续发生巨额赎回并暂停接受赎回申请或延缓支付赎回款项；</w:t>
      </w:r>
    </w:p>
    <w:p w14:paraId="55BF1063">
      <w:pPr>
        <w:spacing w:line="360" w:lineRule="auto"/>
        <w:ind w:firstLine="480" w:firstLineChars="200"/>
        <w:rPr>
          <w:bCs/>
          <w:sz w:val="24"/>
        </w:rPr>
      </w:pPr>
      <w:r>
        <w:rPr>
          <w:rFonts w:hint="eastAsia"/>
          <w:bCs/>
          <w:sz w:val="24"/>
        </w:rPr>
        <w:t>20、本基金暂停接受申购、赎回申请或者重新接受申购、赎回申请；</w:t>
      </w:r>
    </w:p>
    <w:p w14:paraId="1DE48281">
      <w:pPr>
        <w:spacing w:line="360" w:lineRule="auto"/>
        <w:ind w:firstLine="480" w:firstLineChars="200"/>
        <w:rPr>
          <w:bCs/>
          <w:sz w:val="24"/>
        </w:rPr>
      </w:pPr>
      <w:r>
        <w:rPr>
          <w:rFonts w:hint="eastAsia"/>
          <w:bCs/>
          <w:sz w:val="24"/>
        </w:rPr>
        <w:t>21、发生涉及基金申购、赎回事项调整或潜在影响投资者赎回等重大事项时；</w:t>
      </w:r>
    </w:p>
    <w:p w14:paraId="626F4EDA">
      <w:pPr>
        <w:spacing w:line="360" w:lineRule="auto"/>
        <w:ind w:firstLine="480" w:firstLineChars="200"/>
        <w:rPr>
          <w:bCs/>
          <w:sz w:val="24"/>
        </w:rPr>
      </w:pPr>
      <w:r>
        <w:rPr>
          <w:rFonts w:hint="eastAsia"/>
          <w:bCs/>
          <w:sz w:val="24"/>
        </w:rPr>
        <w:t>22、基金管理人采用摆动定价机制进行估值；</w:t>
      </w:r>
    </w:p>
    <w:p w14:paraId="6330DFAE">
      <w:pPr>
        <w:spacing w:line="360" w:lineRule="auto"/>
        <w:ind w:firstLine="480" w:firstLineChars="200"/>
        <w:rPr>
          <w:bCs/>
          <w:sz w:val="24"/>
        </w:rPr>
      </w:pPr>
      <w:r>
        <w:rPr>
          <w:rFonts w:hint="eastAsia"/>
          <w:bCs/>
          <w:sz w:val="24"/>
        </w:rPr>
        <w:t>23、本基金调整基金份额类别的设置；</w:t>
      </w:r>
    </w:p>
    <w:p w14:paraId="6501F1EC">
      <w:pPr>
        <w:spacing w:line="360" w:lineRule="auto"/>
        <w:ind w:firstLine="480" w:firstLineChars="200"/>
        <w:rPr>
          <w:bCs/>
          <w:sz w:val="24"/>
        </w:rPr>
      </w:pPr>
      <w:r>
        <w:rPr>
          <w:bCs/>
          <w:sz w:val="24"/>
        </w:rPr>
        <w:t>24</w:t>
      </w:r>
      <w:r>
        <w:rPr>
          <w:rFonts w:hint="eastAsia"/>
          <w:bCs/>
          <w:sz w:val="24"/>
        </w:rPr>
        <w:t>、基金推出新业务或服务；</w:t>
      </w:r>
    </w:p>
    <w:p w14:paraId="16AAD12A">
      <w:pPr>
        <w:spacing w:line="360" w:lineRule="auto"/>
        <w:ind w:firstLine="480" w:firstLineChars="20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、基金信息披露义务人认为可能对基金份额持有人权益或者基金份额的价格产生重大影响的其他事项、中国证监会规定或基金合同约定的其他事项。</w:t>
      </w:r>
    </w:p>
    <w:p w14:paraId="3226F759">
      <w:pPr>
        <w:spacing w:line="360" w:lineRule="auto"/>
        <w:ind w:firstLine="480" w:firstLineChars="200"/>
        <w:rPr>
          <w:bCs/>
          <w:sz w:val="24"/>
        </w:rPr>
      </w:pPr>
      <w:r>
        <w:rPr>
          <w:rFonts w:hint="eastAsia"/>
          <w:bCs/>
          <w:sz w:val="24"/>
        </w:rPr>
        <w:t>（八）澄清公告</w:t>
      </w:r>
    </w:p>
    <w:p w14:paraId="1BEBE8ED">
      <w:pPr>
        <w:spacing w:line="360" w:lineRule="auto"/>
        <w:ind w:firstLine="480" w:firstLineChars="20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4538C89">
      <w:pPr>
        <w:spacing w:line="360" w:lineRule="auto"/>
        <w:ind w:firstLine="480" w:firstLineChars="200"/>
        <w:rPr>
          <w:bCs/>
          <w:sz w:val="24"/>
        </w:rPr>
      </w:pPr>
      <w:r>
        <w:rPr>
          <w:rFonts w:hint="eastAsia"/>
          <w:bCs/>
          <w:sz w:val="24"/>
        </w:rPr>
        <w:t>（九）基金份额持有人大会决议</w:t>
      </w:r>
    </w:p>
    <w:p w14:paraId="544345B3">
      <w:pPr>
        <w:spacing w:line="360" w:lineRule="auto"/>
        <w:ind w:firstLine="480" w:firstLineChars="200"/>
        <w:rPr>
          <w:bCs/>
          <w:sz w:val="24"/>
        </w:rPr>
      </w:pPr>
      <w:r>
        <w:rPr>
          <w:rFonts w:hint="eastAsia"/>
          <w:bCs/>
          <w:sz w:val="24"/>
        </w:rPr>
        <w:t>基金份额持有人大会决定的事项，应当依法报中国证监会备案，并予以公告。</w:t>
      </w:r>
    </w:p>
    <w:p w14:paraId="33D5CD61">
      <w:pPr>
        <w:spacing w:line="360" w:lineRule="auto"/>
        <w:ind w:firstLine="480" w:firstLineChars="200"/>
        <w:rPr>
          <w:bCs/>
          <w:sz w:val="24"/>
        </w:rPr>
      </w:pPr>
      <w:r>
        <w:rPr>
          <w:rFonts w:hint="eastAsia"/>
          <w:bCs/>
          <w:sz w:val="24"/>
        </w:rPr>
        <w:t>（十）参与股指期货交易的信息披露</w:t>
      </w:r>
    </w:p>
    <w:p w14:paraId="2C34C48D">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7F65258B">
      <w:pPr>
        <w:spacing w:line="360" w:lineRule="auto"/>
        <w:ind w:firstLine="480" w:firstLineChars="200"/>
        <w:rPr>
          <w:bCs/>
          <w:sz w:val="24"/>
        </w:rPr>
      </w:pPr>
      <w:r>
        <w:rPr>
          <w:rFonts w:hint="eastAsia"/>
          <w:bCs/>
          <w:sz w:val="24"/>
        </w:rPr>
        <w:t>（十一）参与国债期货交易的信息披露</w:t>
      </w:r>
    </w:p>
    <w:p w14:paraId="665E3AE8">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4806C866">
      <w:pPr>
        <w:spacing w:line="360" w:lineRule="auto"/>
        <w:ind w:firstLine="480" w:firstLineChars="200"/>
        <w:rPr>
          <w:bCs/>
          <w:sz w:val="24"/>
        </w:rPr>
      </w:pPr>
      <w:r>
        <w:rPr>
          <w:rFonts w:hint="eastAsia"/>
          <w:bCs/>
          <w:sz w:val="24"/>
        </w:rPr>
        <w:t>（十二）投资资产支持证券的信息披露</w:t>
      </w:r>
    </w:p>
    <w:p w14:paraId="4742BD08">
      <w:pPr>
        <w:spacing w:line="360" w:lineRule="auto"/>
        <w:ind w:firstLine="480" w:firstLineChars="200"/>
        <w:rPr>
          <w:bCs/>
          <w:sz w:val="24"/>
        </w:rPr>
      </w:pPr>
      <w:r>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65ABCC9">
      <w:pPr>
        <w:spacing w:line="360" w:lineRule="auto"/>
        <w:ind w:firstLine="480" w:firstLineChars="200"/>
        <w:rPr>
          <w:bCs/>
          <w:sz w:val="24"/>
        </w:rPr>
      </w:pPr>
      <w:r>
        <w:rPr>
          <w:rFonts w:hint="eastAsia"/>
          <w:bCs/>
          <w:sz w:val="24"/>
        </w:rPr>
        <w:t>（十三）基金投资流通受限证券的信息披露</w:t>
      </w:r>
    </w:p>
    <w:p w14:paraId="420965E7">
      <w:pPr>
        <w:spacing w:line="360" w:lineRule="auto"/>
        <w:ind w:firstLine="480" w:firstLineChars="200"/>
        <w:rPr>
          <w:bCs/>
          <w:sz w:val="24"/>
        </w:rPr>
      </w:pPr>
      <w:r>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7D97248F">
      <w:pPr>
        <w:spacing w:line="360" w:lineRule="auto"/>
        <w:ind w:firstLine="480" w:firstLineChars="200"/>
        <w:rPr>
          <w:bCs/>
          <w:sz w:val="24"/>
        </w:rPr>
      </w:pPr>
      <w:r>
        <w:rPr>
          <w:rFonts w:hint="eastAsia"/>
          <w:bCs/>
          <w:sz w:val="24"/>
        </w:rPr>
        <w:t>（十四）基金投资港股通标的股票的信息披露</w:t>
      </w:r>
    </w:p>
    <w:p w14:paraId="2A627364">
      <w:pPr>
        <w:spacing w:line="360" w:lineRule="auto"/>
        <w:ind w:firstLine="480" w:firstLineChars="200"/>
        <w:rPr>
          <w:bCs/>
          <w:sz w:val="24"/>
        </w:rPr>
      </w:pPr>
      <w:r>
        <w:rPr>
          <w:rFonts w:hint="eastAsia"/>
          <w:bCs/>
          <w:sz w:val="24"/>
        </w:rPr>
        <w:t>基金管理人应当在基金季度报告、基金中期报告、基金年度报告等定期报告和招募说明书（更新）等文件中披露本基金参与港股通交易的相关情况。</w:t>
      </w:r>
    </w:p>
    <w:p w14:paraId="1DF19D78">
      <w:pPr>
        <w:spacing w:line="360" w:lineRule="auto"/>
        <w:ind w:firstLine="480" w:firstLineChars="200"/>
        <w:rPr>
          <w:bCs/>
          <w:sz w:val="24"/>
        </w:rPr>
      </w:pPr>
      <w:r>
        <w:rPr>
          <w:rFonts w:hint="eastAsia"/>
          <w:bCs/>
          <w:sz w:val="24"/>
        </w:rPr>
        <w:t>（十五）清算报告</w:t>
      </w:r>
    </w:p>
    <w:p w14:paraId="5932CBC6">
      <w:pPr>
        <w:spacing w:line="360" w:lineRule="auto"/>
        <w:ind w:firstLine="480" w:firstLineChars="20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0CC05A34">
      <w:pPr>
        <w:spacing w:line="360" w:lineRule="auto"/>
        <w:ind w:firstLine="480" w:firstLineChars="200"/>
        <w:rPr>
          <w:bCs/>
          <w:sz w:val="24"/>
        </w:rPr>
      </w:pPr>
      <w:r>
        <w:rPr>
          <w:rFonts w:hint="eastAsia"/>
          <w:bCs/>
          <w:sz w:val="24"/>
        </w:rPr>
        <w:t>（十六）实施侧袋机制期间的信息披露</w:t>
      </w:r>
    </w:p>
    <w:p w14:paraId="4A512640">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本基金实施侧袋机制的，相关信息披露义务人应当根据法律法规、基金合同和招募说明书的规定进行信息披露，详见招募说明书“侧袋机制”部分的规定。</w:t>
      </w:r>
    </w:p>
    <w:p w14:paraId="26354948">
      <w:pPr>
        <w:spacing w:line="360" w:lineRule="auto"/>
        <w:ind w:firstLine="480" w:firstLineChars="200"/>
        <w:rPr>
          <w:bCs/>
          <w:sz w:val="24"/>
        </w:rPr>
      </w:pPr>
      <w:r>
        <w:rPr>
          <w:rFonts w:hint="eastAsia"/>
          <w:bCs/>
          <w:sz w:val="24"/>
        </w:rPr>
        <w:t>（十七）中国证监会规定的其他信息。</w:t>
      </w:r>
    </w:p>
    <w:p w14:paraId="65491570">
      <w:pPr>
        <w:spacing w:line="360" w:lineRule="auto"/>
        <w:ind w:firstLine="480" w:firstLineChars="200"/>
        <w:rPr>
          <w:bCs/>
          <w:sz w:val="24"/>
        </w:rPr>
      </w:pPr>
      <w:r>
        <w:rPr>
          <w:rFonts w:hint="eastAsia"/>
          <w:bCs/>
          <w:sz w:val="24"/>
        </w:rPr>
        <w:t>六、信息披露事务管理</w:t>
      </w:r>
    </w:p>
    <w:p w14:paraId="3FC85210">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14:paraId="03010AA1">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基金信息披露义务人公开披露基金信息，应当符合中国证监会相关基金信息披露内容与格式准则等法规的规定。</w:t>
      </w:r>
    </w:p>
    <w:p w14:paraId="5A017BA8">
      <w:pPr>
        <w:spacing w:line="360" w:lineRule="auto"/>
        <w:ind w:firstLine="480" w:firstLineChars="200"/>
        <w:rPr>
          <w:bCs/>
          <w:sz w:val="24"/>
        </w:rPr>
      </w:pPr>
      <w:r>
        <w:rPr>
          <w:rFonts w:hint="eastAsia"/>
          <w:bCs/>
          <w:sz w:val="24"/>
        </w:rPr>
        <w:t>基金托管人应当按照相关法律法规、中国证监会的规定和《基金合同》的约定，对基金管理人编制的基金资产净值、各类</w:t>
      </w:r>
      <w:r>
        <w:rPr>
          <w:bCs/>
          <w:sz w:val="24"/>
        </w:rPr>
        <w:t>基金</w:t>
      </w:r>
      <w:r>
        <w:rPr>
          <w:rFonts w:hint="eastAsia"/>
          <w:bCs/>
          <w:sz w:val="24"/>
        </w:rPr>
        <w:t>份额的基金份额净值、基金份额申购赎回价格、基金定期报告、更新的招募说明书、基金产品资料概要、基金清算报告等公开披露的相关基金信息进行复核、审查，并向基金管理人进行书面或电子确认。</w:t>
      </w:r>
    </w:p>
    <w:p w14:paraId="05F1CC94">
      <w:pPr>
        <w:spacing w:line="360" w:lineRule="auto"/>
        <w:ind w:firstLine="480" w:firstLineChars="200"/>
        <w:rPr>
          <w:bCs/>
          <w:sz w:val="24"/>
        </w:rPr>
      </w:pPr>
      <w:r>
        <w:rPr>
          <w:rFonts w:hint="eastAsia"/>
          <w:bCs/>
          <w:sz w:val="24"/>
        </w:rPr>
        <w:t>基金管理人、基金托管人应当在规定报刊中选择一家报刊披露本基金信息。基金管理人、基金托管人应当向中国证监会基金电子信息披露网站报送拟披露的基金信息，并保证相关报送信息的真实、准确、完整、及时。</w:t>
      </w:r>
    </w:p>
    <w:p w14:paraId="28420D81">
      <w:pPr>
        <w:spacing w:line="360" w:lineRule="auto"/>
        <w:ind w:firstLine="480" w:firstLineChars="20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90CC923">
      <w:pPr>
        <w:spacing w:line="360" w:lineRule="auto"/>
        <w:ind w:firstLine="480" w:firstLineChars="200"/>
        <w:rPr>
          <w:bCs/>
          <w:sz w:val="24"/>
        </w:rPr>
      </w:pPr>
      <w:r>
        <w:rPr>
          <w:rFonts w:hint="eastAsia"/>
          <w:bCs/>
          <w:sz w:val="24"/>
        </w:rPr>
        <w:t>为基金信息披露义务人公开披露的基金信息出具审计报告、法律意见书的专业机构，应当制作工作底稿，并将相关档案至少保存到《基金合同》终止后10年。</w:t>
      </w:r>
    </w:p>
    <w:p w14:paraId="4A8CEAD4">
      <w:pPr>
        <w:spacing w:line="360" w:lineRule="auto"/>
        <w:ind w:firstLine="480" w:firstLineChars="200"/>
        <w:rPr>
          <w:bCs/>
          <w:sz w:val="24"/>
        </w:rPr>
      </w:pPr>
      <w:r>
        <w:rPr>
          <w:rFonts w:hint="eastAsia"/>
          <w:bCs/>
          <w:sz w:val="24"/>
        </w:rPr>
        <w:t>七、信息披露文件的存放与查阅</w:t>
      </w:r>
    </w:p>
    <w:p w14:paraId="1B1999D0">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依法必须披露的信息发布后，基金管理人、基金托管人应当按照相关法律法规规定将信息置备于各自住所，供社会公众查阅、复制。</w:t>
      </w:r>
    </w:p>
    <w:p w14:paraId="402E8F63">
      <w:pPr>
        <w:spacing w:line="360" w:lineRule="auto"/>
        <w:ind w:firstLine="480" w:firstLineChars="200"/>
        <w:rPr>
          <w:bCs/>
          <w:sz w:val="24"/>
        </w:rPr>
      </w:pPr>
      <w:r>
        <w:rPr>
          <w:rFonts w:hint="eastAsia"/>
          <w:bCs/>
          <w:sz w:val="24"/>
        </w:rPr>
        <w:t>八、暂停或延迟信息披露的情形</w:t>
      </w:r>
    </w:p>
    <w:p w14:paraId="553FA61A">
      <w:pPr>
        <w:spacing w:line="360" w:lineRule="auto"/>
        <w:ind w:firstLine="480" w:firstLineChars="200"/>
        <w:rPr>
          <w:bCs/>
          <w:sz w:val="24"/>
        </w:rPr>
      </w:pPr>
      <w:r>
        <w:rPr>
          <w:rFonts w:hint="eastAsia"/>
          <w:bCs/>
          <w:sz w:val="24"/>
        </w:rPr>
        <w:t>当出现下述情况时，基金管理人和基金托管人可暂停或延迟披露基金相关信息：</w:t>
      </w:r>
    </w:p>
    <w:p w14:paraId="05D404D2">
      <w:pPr>
        <w:spacing w:line="360" w:lineRule="auto"/>
        <w:ind w:firstLine="480" w:firstLineChars="200"/>
        <w:rPr>
          <w:bCs/>
          <w:sz w:val="24"/>
        </w:rPr>
      </w:pPr>
      <w:r>
        <w:rPr>
          <w:rFonts w:hint="eastAsia"/>
          <w:bCs/>
          <w:sz w:val="24"/>
        </w:rPr>
        <w:t>1、不可抗力；</w:t>
      </w:r>
    </w:p>
    <w:p w14:paraId="31C9A9CE">
      <w:pPr>
        <w:spacing w:line="360" w:lineRule="auto"/>
        <w:ind w:firstLine="480" w:firstLineChars="200"/>
        <w:rPr>
          <w:bCs/>
          <w:sz w:val="24"/>
        </w:rPr>
      </w:pPr>
      <w:r>
        <w:rPr>
          <w:rFonts w:hint="eastAsia"/>
          <w:bCs/>
          <w:sz w:val="24"/>
        </w:rPr>
        <w:t>2、发生暂停估值的情形；</w:t>
      </w:r>
    </w:p>
    <w:p w14:paraId="2084228C">
      <w:pPr>
        <w:spacing w:line="360" w:lineRule="auto"/>
        <w:ind w:firstLine="480" w:firstLineChars="200"/>
        <w:rPr>
          <w:sz w:val="24"/>
          <w:szCs w:val="24"/>
        </w:rPr>
      </w:pPr>
      <w:r>
        <w:rPr>
          <w:rFonts w:hint="eastAsia"/>
          <w:bCs/>
          <w:sz w:val="24"/>
        </w:rPr>
        <w:t>3、法律法规规定、中国证监会或基金合同认定的其他情形。</w:t>
      </w:r>
    </w:p>
    <w:bookmarkEnd w:id="261"/>
    <w:p w14:paraId="082E1F1E">
      <w:pPr>
        <w:pStyle w:val="2"/>
        <w:spacing w:before="0" w:after="0"/>
        <w:jc w:val="center"/>
        <w:rPr>
          <w:rFonts w:ascii="Times New Roman"/>
          <w:b w:val="0"/>
          <w:bCs/>
          <w:color w:val="auto"/>
          <w:kern w:val="44"/>
          <w:szCs w:val="24"/>
        </w:rPr>
      </w:pPr>
      <w:r>
        <w:rPr>
          <w:rFonts w:ascii="Times New Roman"/>
          <w:b w:val="0"/>
          <w:bCs/>
          <w:color w:val="auto"/>
          <w:kern w:val="44"/>
          <w:szCs w:val="24"/>
        </w:rPr>
        <w:br w:type="page"/>
      </w:r>
      <w:bookmarkStart w:id="262" w:name="_Toc11113"/>
      <w:bookmarkStart w:id="263" w:name="_Toc326752141"/>
      <w:bookmarkStart w:id="264" w:name="_Toc345339072"/>
      <w:bookmarkStart w:id="265" w:name="_Toc6237"/>
      <w:bookmarkStart w:id="266" w:name="_Toc139991749"/>
      <w:bookmarkStart w:id="267" w:name="_Toc8059"/>
      <w:bookmarkStart w:id="268" w:name="_Toc27464"/>
      <w:bookmarkStart w:id="269" w:name="_Toc7170"/>
      <w:bookmarkStart w:id="270" w:name="_Toc10006"/>
      <w:bookmarkStart w:id="271" w:name="_Toc98560364"/>
      <w:bookmarkStart w:id="272" w:name="_Toc8049"/>
      <w:bookmarkStart w:id="273" w:name="_Toc22978"/>
      <w:bookmarkStart w:id="274" w:name="_Toc29891"/>
      <w:bookmarkStart w:id="275" w:name="_Toc141703899"/>
      <w:bookmarkStart w:id="276" w:name="_Toc123102466"/>
      <w:bookmarkStart w:id="277" w:name="_Toc9005"/>
      <w:bookmarkStart w:id="278" w:name="_Toc25647"/>
      <w:bookmarkStart w:id="279" w:name="_Toc123112247"/>
      <w:bookmarkStart w:id="280" w:name="_Toc123051465"/>
    </w:p>
    <w:p w14:paraId="6C6C7599">
      <w:pPr>
        <w:pStyle w:val="2"/>
        <w:spacing w:before="0" w:after="0"/>
        <w:jc w:val="center"/>
        <w:rPr>
          <w:rFonts w:ascii="Times New Roman"/>
          <w:color w:val="auto"/>
          <w:kern w:val="44"/>
          <w:szCs w:val="24"/>
        </w:rPr>
      </w:pPr>
      <w:bookmarkStart w:id="281" w:name="_Toc48032553"/>
      <w:bookmarkStart w:id="282" w:name="_Toc216103549"/>
      <w:r>
        <w:rPr>
          <w:rFonts w:hint="eastAsia" w:ascii="Times New Roman"/>
          <w:color w:val="auto"/>
          <w:kern w:val="44"/>
          <w:szCs w:val="24"/>
        </w:rPr>
        <w:t xml:space="preserve">第十六部分 </w:t>
      </w:r>
      <w:r>
        <w:rPr>
          <w:rFonts w:ascii="Times New Roman"/>
          <w:color w:val="auto"/>
          <w:kern w:val="44"/>
          <w:szCs w:val="24"/>
        </w:rPr>
        <w:t xml:space="preserve"> </w:t>
      </w:r>
      <w:r>
        <w:rPr>
          <w:rFonts w:hint="eastAsia" w:ascii="Times New Roman"/>
          <w:color w:val="auto"/>
          <w:kern w:val="44"/>
          <w:szCs w:val="24"/>
        </w:rPr>
        <w:t>侧袋机制</w:t>
      </w:r>
      <w:bookmarkEnd w:id="281"/>
      <w:bookmarkEnd w:id="282"/>
    </w:p>
    <w:p w14:paraId="17E85529"/>
    <w:p w14:paraId="4717D2FF">
      <w:pPr>
        <w:spacing w:line="360" w:lineRule="auto"/>
        <w:ind w:firstLine="480" w:firstLineChars="200"/>
        <w:rPr>
          <w:sz w:val="24"/>
          <w:szCs w:val="24"/>
        </w:rPr>
      </w:pPr>
      <w:r>
        <w:rPr>
          <w:rFonts w:hint="eastAsia"/>
          <w:sz w:val="24"/>
          <w:szCs w:val="24"/>
        </w:rPr>
        <w:t>一、侧袋机制的实施条件</w:t>
      </w:r>
    </w:p>
    <w:p w14:paraId="780656F3">
      <w:pPr>
        <w:spacing w:line="360" w:lineRule="auto"/>
        <w:ind w:firstLine="480" w:firstLineChars="200"/>
        <w:rPr>
          <w:sz w:val="24"/>
          <w:szCs w:val="24"/>
        </w:rPr>
      </w:pPr>
      <w:r>
        <w:rPr>
          <w:rFonts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642B213">
      <w:pPr>
        <w:spacing w:line="360" w:lineRule="auto"/>
        <w:ind w:firstLine="480" w:firstLineChars="200"/>
        <w:rPr>
          <w:sz w:val="24"/>
          <w:szCs w:val="24"/>
        </w:rPr>
      </w:pPr>
      <w:r>
        <w:rPr>
          <w:rFonts w:hint="eastAsia"/>
          <w:sz w:val="24"/>
          <w:szCs w:val="24"/>
        </w:rPr>
        <w:t>基金管理人应当在启用侧袋机制后及时发布临时公告，并及时聘请符合《中华人民共和国</w:t>
      </w:r>
      <w:bookmarkStart w:id="283" w:name="OLE_LINK1"/>
      <w:r>
        <w:rPr>
          <w:rFonts w:hint="eastAsia"/>
          <w:sz w:val="24"/>
          <w:szCs w:val="24"/>
        </w:rPr>
        <w:t>证券法</w:t>
      </w:r>
      <w:bookmarkEnd w:id="283"/>
      <w:r>
        <w:rPr>
          <w:rFonts w:hint="eastAsia"/>
          <w:sz w:val="24"/>
          <w:szCs w:val="24"/>
        </w:rPr>
        <w:t>》规定的会计师事务所进行审计并披露专项审计意见。</w:t>
      </w:r>
    </w:p>
    <w:p w14:paraId="67B637E0">
      <w:pPr>
        <w:spacing w:line="360" w:lineRule="auto"/>
        <w:ind w:firstLine="480" w:firstLineChars="200"/>
        <w:rPr>
          <w:sz w:val="24"/>
          <w:szCs w:val="24"/>
        </w:rPr>
      </w:pPr>
      <w:r>
        <w:rPr>
          <w:rFonts w:hint="eastAsia"/>
          <w:sz w:val="24"/>
          <w:szCs w:val="24"/>
        </w:rPr>
        <w:t>二、实施侧袋机制期间基金份额的申购与赎回</w:t>
      </w:r>
    </w:p>
    <w:p w14:paraId="548A7653">
      <w:pPr>
        <w:spacing w:line="360" w:lineRule="auto"/>
        <w:ind w:firstLine="480" w:firstLineChars="200"/>
        <w:rPr>
          <w:sz w:val="24"/>
          <w:szCs w:val="24"/>
        </w:rPr>
      </w:pPr>
      <w:r>
        <w:rPr>
          <w:rFonts w:hint="eastAsia"/>
          <w:sz w:val="24"/>
          <w:szCs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5EEA21D8">
      <w:pPr>
        <w:spacing w:line="360" w:lineRule="auto"/>
        <w:ind w:firstLine="480" w:firstLineChars="200"/>
        <w:rPr>
          <w:sz w:val="24"/>
          <w:szCs w:val="24"/>
        </w:rPr>
      </w:pPr>
      <w:r>
        <w:rPr>
          <w:rFonts w:hint="eastAsia"/>
          <w:sz w:val="24"/>
          <w:szCs w:val="24"/>
        </w:rPr>
        <w:t>2、实施侧袋机制期间，基金管理人不办理侧袋账户份额的申购、赎回和转换；同时，基金管理人按照基金合同和招募说明书的约定办理主袋账户份额的赎回，并根据主袋账户运作情况确定是否暂停申购。</w:t>
      </w:r>
    </w:p>
    <w:p w14:paraId="5721578D">
      <w:pPr>
        <w:spacing w:line="360" w:lineRule="auto"/>
        <w:ind w:firstLine="480" w:firstLineChars="200"/>
        <w:rPr>
          <w:sz w:val="24"/>
          <w:szCs w:val="24"/>
        </w:rPr>
      </w:pPr>
      <w:r>
        <w:rPr>
          <w:rFonts w:hint="eastAsia"/>
          <w:sz w:val="24"/>
          <w:szCs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35288E45">
      <w:pPr>
        <w:spacing w:line="360" w:lineRule="auto"/>
        <w:ind w:firstLine="480" w:firstLineChars="200"/>
        <w:rPr>
          <w:sz w:val="24"/>
          <w:szCs w:val="24"/>
        </w:rPr>
      </w:pPr>
      <w:r>
        <w:rPr>
          <w:rFonts w:hint="eastAsia"/>
          <w:sz w:val="24"/>
          <w:szCs w:val="24"/>
        </w:rPr>
        <w:t>三、实施侧袋机制期间的基金投资</w:t>
      </w:r>
    </w:p>
    <w:p w14:paraId="6FE6C2EE">
      <w:pPr>
        <w:spacing w:line="360" w:lineRule="auto"/>
        <w:ind w:firstLine="480" w:firstLineChars="200"/>
        <w:rPr>
          <w:sz w:val="24"/>
          <w:szCs w:val="24"/>
        </w:rPr>
      </w:pPr>
      <w:r>
        <w:rPr>
          <w:rFonts w:hint="eastAsia"/>
          <w:sz w:val="24"/>
          <w:szCs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02D12AD0">
      <w:pPr>
        <w:spacing w:line="360" w:lineRule="auto"/>
        <w:ind w:firstLine="480" w:firstLineChars="200"/>
        <w:rPr>
          <w:sz w:val="24"/>
          <w:szCs w:val="24"/>
        </w:rPr>
      </w:pPr>
      <w:r>
        <w:rPr>
          <w:rFonts w:hint="eastAsia"/>
          <w:sz w:val="24"/>
          <w:szCs w:val="24"/>
        </w:rPr>
        <w:t>基金管理人原则上应当在侧袋机制启用后20个交易日内完成对主袋账户投资组合的调整，因资产流动性受限等中国证监会规定的情形除外。</w:t>
      </w:r>
    </w:p>
    <w:p w14:paraId="2D6414E7">
      <w:pPr>
        <w:spacing w:line="360" w:lineRule="auto"/>
        <w:ind w:firstLine="480" w:firstLineChars="200"/>
        <w:rPr>
          <w:sz w:val="24"/>
          <w:szCs w:val="24"/>
        </w:rPr>
      </w:pPr>
      <w:r>
        <w:rPr>
          <w:rFonts w:hint="eastAsia"/>
          <w:sz w:val="24"/>
          <w:szCs w:val="24"/>
        </w:rPr>
        <w:t>基金管理人不得在侧袋账户中进行除特定资产处置变现以外的其他投资操作。</w:t>
      </w:r>
    </w:p>
    <w:p w14:paraId="7382A341">
      <w:pPr>
        <w:spacing w:line="360" w:lineRule="auto"/>
        <w:ind w:firstLine="480" w:firstLineChars="200"/>
        <w:rPr>
          <w:sz w:val="24"/>
          <w:szCs w:val="24"/>
        </w:rPr>
      </w:pPr>
      <w:r>
        <w:rPr>
          <w:rFonts w:hint="eastAsia"/>
          <w:sz w:val="24"/>
          <w:szCs w:val="24"/>
        </w:rPr>
        <w:t>四、实施侧袋机制期间的基金估值</w:t>
      </w:r>
    </w:p>
    <w:p w14:paraId="75BDF470">
      <w:pPr>
        <w:spacing w:line="360" w:lineRule="auto"/>
        <w:ind w:firstLine="480" w:firstLineChars="200"/>
        <w:rPr>
          <w:sz w:val="24"/>
          <w:szCs w:val="24"/>
        </w:rPr>
      </w:pPr>
      <w:r>
        <w:rPr>
          <w:rFonts w:hint="eastAsia"/>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13576866">
      <w:pPr>
        <w:spacing w:line="360" w:lineRule="auto"/>
        <w:ind w:firstLine="480" w:firstLineChars="200"/>
        <w:rPr>
          <w:sz w:val="24"/>
          <w:szCs w:val="24"/>
        </w:rPr>
      </w:pPr>
      <w:r>
        <w:rPr>
          <w:rFonts w:hint="eastAsia"/>
          <w:sz w:val="24"/>
          <w:szCs w:val="24"/>
        </w:rPr>
        <w:t>五、实施侧袋机制期间的基金费用</w:t>
      </w:r>
    </w:p>
    <w:p w14:paraId="1B4CC056">
      <w:pPr>
        <w:spacing w:line="360" w:lineRule="auto"/>
        <w:ind w:firstLine="480" w:firstLineChars="200"/>
        <w:rPr>
          <w:sz w:val="24"/>
          <w:szCs w:val="24"/>
        </w:rPr>
      </w:pPr>
      <w:r>
        <w:rPr>
          <w:rFonts w:hint="eastAsia"/>
          <w:sz w:val="24"/>
          <w:szCs w:val="24"/>
        </w:rPr>
        <w:t>1、本基金实施侧袋机制的，管理费、托管费、销售服务费按主袋账户基金资产净值作为基数计提。</w:t>
      </w:r>
    </w:p>
    <w:p w14:paraId="6A7B6E51">
      <w:pPr>
        <w:spacing w:line="360" w:lineRule="auto"/>
        <w:ind w:firstLine="480" w:firstLineChars="200"/>
        <w:rPr>
          <w:sz w:val="24"/>
          <w:szCs w:val="24"/>
        </w:rPr>
      </w:pPr>
      <w:r>
        <w:rPr>
          <w:rFonts w:hint="eastAsia"/>
          <w:sz w:val="24"/>
          <w:szCs w:val="24"/>
        </w:rPr>
        <w:t>2、与侧袋账户有关的费用可从侧袋账户中列支，但应待侧袋账户资产变现后方可列支，有关费用可酌情收取或减免，但不得收取管理费。</w:t>
      </w:r>
    </w:p>
    <w:p w14:paraId="1C4419C8">
      <w:pPr>
        <w:spacing w:line="360" w:lineRule="auto"/>
        <w:ind w:firstLine="480" w:firstLineChars="200"/>
        <w:rPr>
          <w:sz w:val="24"/>
          <w:szCs w:val="24"/>
        </w:rPr>
      </w:pPr>
      <w:r>
        <w:rPr>
          <w:rFonts w:hint="eastAsia"/>
          <w:sz w:val="24"/>
          <w:szCs w:val="24"/>
        </w:rPr>
        <w:t>六、侧袋账户中特定资产的处置变现和支付</w:t>
      </w:r>
    </w:p>
    <w:p w14:paraId="7B9DC6E6">
      <w:pPr>
        <w:spacing w:line="360" w:lineRule="auto"/>
        <w:ind w:firstLine="480" w:firstLineChars="200"/>
        <w:rPr>
          <w:sz w:val="24"/>
          <w:szCs w:val="24"/>
        </w:rPr>
      </w:pPr>
      <w:r>
        <w:rPr>
          <w:rFonts w:hint="eastAsia"/>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6EE45D10">
      <w:pPr>
        <w:spacing w:line="360" w:lineRule="auto"/>
        <w:ind w:firstLine="480" w:firstLineChars="200"/>
        <w:rPr>
          <w:sz w:val="24"/>
          <w:szCs w:val="24"/>
        </w:rPr>
      </w:pPr>
      <w:r>
        <w:rPr>
          <w:rFonts w:hint="eastAsia"/>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49D3243A">
      <w:pPr>
        <w:spacing w:line="360" w:lineRule="auto"/>
        <w:ind w:firstLine="480" w:firstLineChars="200"/>
        <w:rPr>
          <w:sz w:val="24"/>
          <w:szCs w:val="24"/>
        </w:rPr>
      </w:pPr>
      <w:r>
        <w:rPr>
          <w:rFonts w:hint="eastAsia"/>
          <w:sz w:val="24"/>
          <w:szCs w:val="24"/>
        </w:rPr>
        <w:t>侧袋账户资产全部完成变现并终止侧袋机制后，基金管理人应及时聘请符合《中华人民共和国证券法》规定的会计师事务所进行审计并披露专项审计意见。</w:t>
      </w:r>
    </w:p>
    <w:p w14:paraId="442190D3">
      <w:pPr>
        <w:spacing w:line="360" w:lineRule="auto"/>
        <w:ind w:firstLine="480" w:firstLineChars="200"/>
        <w:rPr>
          <w:sz w:val="24"/>
          <w:szCs w:val="24"/>
        </w:rPr>
      </w:pPr>
      <w:r>
        <w:rPr>
          <w:rFonts w:hint="eastAsia"/>
          <w:sz w:val="24"/>
          <w:szCs w:val="24"/>
        </w:rPr>
        <w:t>七、侧袋机制的信息披露</w:t>
      </w:r>
    </w:p>
    <w:p w14:paraId="56BDBAA1">
      <w:pPr>
        <w:spacing w:line="360" w:lineRule="auto"/>
        <w:ind w:firstLine="480" w:firstLineChars="200"/>
        <w:rPr>
          <w:sz w:val="24"/>
          <w:szCs w:val="24"/>
        </w:rPr>
      </w:pPr>
      <w:r>
        <w:rPr>
          <w:rFonts w:hint="eastAsia"/>
          <w:sz w:val="24"/>
          <w:szCs w:val="24"/>
        </w:rPr>
        <w:t>1、临时公告</w:t>
      </w:r>
    </w:p>
    <w:p w14:paraId="47AD935F">
      <w:pPr>
        <w:spacing w:line="360" w:lineRule="auto"/>
        <w:ind w:firstLine="480" w:firstLineChars="200"/>
        <w:rPr>
          <w:sz w:val="24"/>
          <w:szCs w:val="24"/>
        </w:rPr>
      </w:pPr>
      <w:r>
        <w:rPr>
          <w:rFonts w:hint="eastAsia"/>
          <w:sz w:val="24"/>
          <w:szCs w:val="24"/>
        </w:rPr>
        <w:t>在启用侧袋机制、处置特定资产、终止侧袋机制以及发生其他可能对投资者利益产生重大影响的事项后基金管理人应及时发布临时公告。</w:t>
      </w:r>
    </w:p>
    <w:p w14:paraId="68FB7807">
      <w:pPr>
        <w:spacing w:line="360" w:lineRule="auto"/>
        <w:ind w:firstLine="480" w:firstLineChars="200"/>
        <w:rPr>
          <w:sz w:val="24"/>
          <w:szCs w:val="24"/>
        </w:rPr>
      </w:pPr>
      <w:r>
        <w:rPr>
          <w:rFonts w:hint="eastAsia"/>
          <w:sz w:val="24"/>
          <w:szCs w:val="24"/>
        </w:rPr>
        <w:t>2、基金净值信息</w:t>
      </w:r>
    </w:p>
    <w:p w14:paraId="1238A08D">
      <w:pPr>
        <w:spacing w:line="360" w:lineRule="auto"/>
        <w:ind w:firstLine="480" w:firstLineChars="200"/>
        <w:rPr>
          <w:sz w:val="24"/>
          <w:szCs w:val="24"/>
        </w:rPr>
      </w:pPr>
      <w:r>
        <w:rPr>
          <w:rFonts w:hint="eastAsia"/>
          <w:sz w:val="24"/>
          <w:szCs w:val="24"/>
        </w:rPr>
        <w:t>基金管理人应按照招募说明书“基金的信息披露”部分规定的基金净值信息披露方式和频率披露主袋账户份额的各类基金份额的基金份额净值和基金份额累计净值。实施侧袋机制期间本基金暂停披露侧袋账户份额净值和份额累计净值。</w:t>
      </w:r>
    </w:p>
    <w:p w14:paraId="21740C4E">
      <w:pPr>
        <w:spacing w:line="360" w:lineRule="auto"/>
        <w:ind w:firstLine="480" w:firstLineChars="200"/>
        <w:rPr>
          <w:sz w:val="24"/>
          <w:szCs w:val="24"/>
        </w:rPr>
      </w:pPr>
      <w:r>
        <w:rPr>
          <w:rFonts w:hint="eastAsia"/>
          <w:sz w:val="24"/>
          <w:szCs w:val="24"/>
        </w:rPr>
        <w:t>3、定期报告</w:t>
      </w:r>
    </w:p>
    <w:p w14:paraId="7C08BFF5">
      <w:pPr>
        <w:spacing w:line="360" w:lineRule="auto"/>
        <w:ind w:firstLine="480" w:firstLineChars="200"/>
        <w:rPr>
          <w:sz w:val="24"/>
          <w:szCs w:val="24"/>
        </w:rPr>
      </w:pPr>
      <w:r>
        <w:rPr>
          <w:rFonts w:hint="eastAsia"/>
          <w:sz w:val="24"/>
          <w:szCs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76B91FF9">
      <w:pPr>
        <w:spacing w:line="360" w:lineRule="auto"/>
        <w:ind w:firstLine="480" w:firstLineChars="200"/>
        <w:rPr>
          <w:sz w:val="24"/>
          <w:szCs w:val="24"/>
        </w:rPr>
      </w:pPr>
      <w:r>
        <w:rPr>
          <w:rFonts w:hint="eastAsia"/>
          <w:sz w:val="24"/>
          <w:szCs w:val="24"/>
        </w:rPr>
        <w:t>八、本部分关于侧袋机制的相关规定，凡是直接引用法律法规的部分，如将来法律法规修改导致相关内容被取消或变更的，基金管理人经与基金托管人协商一致并履行适当程序后，可直接对本部分内容进行修改和调整，无需召开基金份额持有人大会审议。</w:t>
      </w:r>
    </w:p>
    <w:p w14:paraId="370C8AF8">
      <w:pPr>
        <w:spacing w:line="360" w:lineRule="auto"/>
        <w:ind w:firstLine="480" w:firstLineChars="200"/>
        <w:rPr>
          <w:sz w:val="24"/>
          <w:szCs w:val="24"/>
        </w:rPr>
      </w:pPr>
    </w:p>
    <w:p w14:paraId="773C1B24">
      <w:pPr>
        <w:widowControl/>
        <w:jc w:val="left"/>
      </w:pPr>
      <w:r>
        <w:br w:type="page"/>
      </w:r>
    </w:p>
    <w:p w14:paraId="57EA261E">
      <w:pPr>
        <w:pStyle w:val="2"/>
        <w:spacing w:before="0" w:after="0"/>
        <w:jc w:val="center"/>
        <w:rPr>
          <w:rFonts w:ascii="Times New Roman"/>
          <w:color w:val="auto"/>
          <w:szCs w:val="24"/>
        </w:rPr>
      </w:pPr>
      <w:bookmarkStart w:id="284" w:name="_Toc216103550"/>
      <w:bookmarkStart w:id="285" w:name="_Toc48032554"/>
      <w:r>
        <w:rPr>
          <w:rFonts w:hint="eastAsia" w:ascii="Times New Roman"/>
          <w:color w:val="auto"/>
          <w:szCs w:val="24"/>
        </w:rPr>
        <w:t>第十七部分</w:t>
      </w:r>
      <w:r>
        <w:rPr>
          <w:rFonts w:ascii="Times New Roman"/>
          <w:color w:val="auto"/>
          <w:szCs w:val="24"/>
        </w:rPr>
        <w:t xml:space="preserve">  </w:t>
      </w:r>
      <w:bookmarkEnd w:id="262"/>
      <w:r>
        <w:rPr>
          <w:rFonts w:hint="eastAsia" w:ascii="Times New Roman"/>
          <w:color w:val="auto"/>
          <w:szCs w:val="24"/>
        </w:rPr>
        <w:t>风险揭示</w:t>
      </w:r>
      <w:bookmarkEnd w:id="263"/>
      <w:bookmarkEnd w:id="264"/>
      <w:bookmarkEnd w:id="284"/>
      <w:bookmarkEnd w:id="285"/>
    </w:p>
    <w:p w14:paraId="4CC5386C">
      <w:pPr>
        <w:spacing w:line="360" w:lineRule="auto"/>
        <w:ind w:firstLine="480" w:firstLineChars="200"/>
        <w:rPr>
          <w:sz w:val="24"/>
          <w:szCs w:val="24"/>
        </w:rPr>
      </w:pPr>
    </w:p>
    <w:p w14:paraId="451253D0">
      <w:pPr>
        <w:spacing w:line="360" w:lineRule="auto"/>
        <w:ind w:firstLine="480" w:firstLineChars="200"/>
        <w:rPr>
          <w:sz w:val="24"/>
          <w:szCs w:val="24"/>
        </w:rPr>
      </w:pPr>
      <w:r>
        <w:rPr>
          <w:rFonts w:hint="eastAsia"/>
          <w:sz w:val="24"/>
          <w:szCs w:val="24"/>
        </w:rPr>
        <w:t>一、市场风险</w:t>
      </w:r>
    </w:p>
    <w:p w14:paraId="6B261E76">
      <w:pPr>
        <w:spacing w:line="360" w:lineRule="auto"/>
        <w:ind w:firstLine="480" w:firstLineChars="200"/>
        <w:rPr>
          <w:sz w:val="24"/>
          <w:szCs w:val="24"/>
        </w:rPr>
      </w:pPr>
      <w:r>
        <w:rPr>
          <w:rFonts w:hint="eastAsia"/>
          <w:sz w:val="24"/>
          <w:szCs w:val="24"/>
        </w:rPr>
        <w:t>1、政策风险</w:t>
      </w:r>
    </w:p>
    <w:p w14:paraId="306B9525">
      <w:pPr>
        <w:spacing w:line="360" w:lineRule="auto"/>
        <w:ind w:firstLine="480" w:firstLineChars="200"/>
        <w:rPr>
          <w:sz w:val="24"/>
          <w:szCs w:val="24"/>
        </w:rPr>
      </w:pPr>
      <w:r>
        <w:rPr>
          <w:rFonts w:hint="eastAsia"/>
          <w:sz w:val="24"/>
          <w:szCs w:val="24"/>
        </w:rPr>
        <w:t>因财政政策、货币政策、产业政策、地区发展政策等国家宏观政策发生变化，导致市场价格波动，影响基金收益而产生风险。</w:t>
      </w:r>
    </w:p>
    <w:p w14:paraId="2A458515">
      <w:pPr>
        <w:spacing w:line="360" w:lineRule="auto"/>
        <w:ind w:firstLine="480" w:firstLineChars="200"/>
        <w:rPr>
          <w:sz w:val="24"/>
          <w:szCs w:val="24"/>
        </w:rPr>
      </w:pPr>
      <w:r>
        <w:rPr>
          <w:rFonts w:hint="eastAsia"/>
          <w:sz w:val="24"/>
          <w:szCs w:val="24"/>
        </w:rPr>
        <w:t>2、经济周期风险</w:t>
      </w:r>
    </w:p>
    <w:p w14:paraId="480F4BE6">
      <w:pPr>
        <w:spacing w:line="360" w:lineRule="auto"/>
        <w:ind w:firstLine="480" w:firstLineChars="200"/>
        <w:rPr>
          <w:sz w:val="24"/>
          <w:szCs w:val="24"/>
        </w:rPr>
      </w:pPr>
      <w:r>
        <w:rPr>
          <w:rFonts w:hint="eastAsia"/>
          <w:sz w:val="24"/>
          <w:szCs w:val="24"/>
        </w:rPr>
        <w:t>随着经济运行的周期性变化，证券市场的收益水平也呈周期性变化，基金投资的收益水平也会随之变化，从而产生风险。</w:t>
      </w:r>
    </w:p>
    <w:p w14:paraId="0DDF8528">
      <w:pPr>
        <w:spacing w:line="360" w:lineRule="auto"/>
        <w:ind w:firstLine="480" w:firstLineChars="200"/>
        <w:rPr>
          <w:sz w:val="24"/>
          <w:szCs w:val="24"/>
        </w:rPr>
      </w:pPr>
      <w:r>
        <w:rPr>
          <w:rFonts w:hint="eastAsia"/>
          <w:sz w:val="24"/>
          <w:szCs w:val="24"/>
        </w:rPr>
        <w:t>3、利率风险</w:t>
      </w:r>
    </w:p>
    <w:p w14:paraId="530417C3">
      <w:pPr>
        <w:spacing w:line="360" w:lineRule="auto"/>
        <w:ind w:firstLine="480" w:firstLineChars="200"/>
        <w:rPr>
          <w:sz w:val="24"/>
          <w:szCs w:val="24"/>
        </w:rPr>
      </w:pPr>
      <w:r>
        <w:rPr>
          <w:rFonts w:hint="eastAsia"/>
          <w:sz w:val="24"/>
          <w:szCs w:val="24"/>
        </w:rPr>
        <w:t>金融市场利率的波动会导致证券市场价格和收益率的变动。利率直接影响着债券的价格和收益率，影响着企业的融资成本和利润。基金投资于债券和股票，其收益水平可能会受到利率变化的影响。</w:t>
      </w:r>
    </w:p>
    <w:p w14:paraId="5F107193">
      <w:pPr>
        <w:spacing w:line="360" w:lineRule="auto"/>
        <w:ind w:firstLine="480" w:firstLineChars="200"/>
        <w:rPr>
          <w:sz w:val="24"/>
          <w:szCs w:val="24"/>
        </w:rPr>
      </w:pPr>
      <w:r>
        <w:rPr>
          <w:rFonts w:hint="eastAsia"/>
          <w:sz w:val="24"/>
          <w:szCs w:val="24"/>
        </w:rPr>
        <w:t>4、上市公司经营风险</w:t>
      </w:r>
    </w:p>
    <w:p w14:paraId="14E1F729">
      <w:pPr>
        <w:spacing w:line="360" w:lineRule="auto"/>
        <w:ind w:firstLine="480" w:firstLineChars="200"/>
        <w:rPr>
          <w:sz w:val="24"/>
          <w:szCs w:val="24"/>
        </w:rPr>
      </w:pPr>
      <w:r>
        <w:rPr>
          <w:rFonts w:hint="eastAsia"/>
          <w:sz w:val="24"/>
          <w:szCs w:val="24"/>
        </w:rPr>
        <w:t>上市公司的经营状况受多种因素的影响，如管理能力、行业竞争、市场前景、技术更新、财务状况、新产品研究开发等都会导致公司盈利发生变化。如果基金所投资的上市公司经营不善，其股票价格可能下跌，或者能够用于分配的利润减少，使基金投资收益下降。上市公司还可能出现难以预见的变化。虽然基金可以通过投资多样化来分散这种非系统风险，但不能完全避免。</w:t>
      </w:r>
    </w:p>
    <w:p w14:paraId="3BD3A2CE">
      <w:pPr>
        <w:spacing w:line="360" w:lineRule="auto"/>
        <w:ind w:firstLine="480" w:firstLineChars="200"/>
        <w:rPr>
          <w:sz w:val="24"/>
          <w:szCs w:val="24"/>
        </w:rPr>
      </w:pPr>
      <w:r>
        <w:rPr>
          <w:rFonts w:hint="eastAsia"/>
          <w:sz w:val="24"/>
          <w:szCs w:val="24"/>
        </w:rPr>
        <w:t>5、通货膨胀风险</w:t>
      </w:r>
    </w:p>
    <w:p w14:paraId="41199A8B">
      <w:pPr>
        <w:spacing w:line="360" w:lineRule="auto"/>
        <w:ind w:firstLine="480" w:firstLineChars="200"/>
        <w:rPr>
          <w:sz w:val="24"/>
          <w:szCs w:val="24"/>
        </w:rPr>
      </w:pPr>
      <w:r>
        <w:rPr>
          <w:rFonts w:hint="eastAsia"/>
          <w:sz w:val="24"/>
          <w:szCs w:val="24"/>
        </w:rPr>
        <w:t>基金投资的目的是基金资产的保值增值，如果发生通货膨胀，基金投资于证券所获得的收益可能会被通货膨胀抵消，从而影响基金资产的保值增值。</w:t>
      </w:r>
    </w:p>
    <w:p w14:paraId="0E4A9AF2">
      <w:pPr>
        <w:spacing w:line="360" w:lineRule="auto"/>
        <w:ind w:firstLine="480" w:firstLineChars="200"/>
        <w:rPr>
          <w:sz w:val="24"/>
          <w:szCs w:val="24"/>
        </w:rPr>
      </w:pPr>
      <w:r>
        <w:rPr>
          <w:rFonts w:hint="eastAsia"/>
          <w:sz w:val="24"/>
          <w:szCs w:val="24"/>
        </w:rPr>
        <w:t>6、债券收益率曲线变动的风险</w:t>
      </w:r>
    </w:p>
    <w:p w14:paraId="5F26DE39">
      <w:pPr>
        <w:spacing w:line="360" w:lineRule="auto"/>
        <w:ind w:firstLine="480" w:firstLineChars="200"/>
        <w:rPr>
          <w:sz w:val="24"/>
          <w:szCs w:val="24"/>
        </w:rPr>
      </w:pPr>
      <w:r>
        <w:rPr>
          <w:rFonts w:hint="eastAsia"/>
          <w:sz w:val="24"/>
          <w:szCs w:val="24"/>
        </w:rPr>
        <w:t>债券收益率曲线变动风险是指与收益率曲线非平行移动有关的风险，单一的久期指标并不能充分反映这一风险的存在。</w:t>
      </w:r>
    </w:p>
    <w:p w14:paraId="71282644">
      <w:pPr>
        <w:spacing w:line="360" w:lineRule="auto"/>
        <w:ind w:firstLine="480" w:firstLineChars="200"/>
        <w:rPr>
          <w:sz w:val="24"/>
          <w:szCs w:val="24"/>
        </w:rPr>
      </w:pPr>
      <w:r>
        <w:rPr>
          <w:rFonts w:hint="eastAsia"/>
          <w:sz w:val="24"/>
          <w:szCs w:val="24"/>
        </w:rPr>
        <w:t>7、再投资风险</w:t>
      </w:r>
    </w:p>
    <w:p w14:paraId="2C50FEAF">
      <w:pPr>
        <w:spacing w:line="360" w:lineRule="auto"/>
        <w:ind w:firstLine="480" w:firstLineChars="200"/>
        <w:rPr>
          <w:sz w:val="24"/>
          <w:szCs w:val="24"/>
        </w:rPr>
      </w:pPr>
      <w:r>
        <w:rPr>
          <w:rFonts w:hint="eastAsia"/>
          <w:sz w:val="24"/>
          <w:szCs w:val="24"/>
        </w:rPr>
        <w:t>市场利率下降将影响固定收益类证券利息收入的再投资收益率，这与利率上升所带来的价格风险互为消长。</w:t>
      </w:r>
    </w:p>
    <w:p w14:paraId="3A473C57">
      <w:pPr>
        <w:spacing w:line="360" w:lineRule="auto"/>
        <w:ind w:firstLine="480" w:firstLineChars="200"/>
        <w:rPr>
          <w:sz w:val="24"/>
          <w:szCs w:val="24"/>
        </w:rPr>
      </w:pPr>
      <w:r>
        <w:rPr>
          <w:rFonts w:hint="eastAsia"/>
          <w:sz w:val="24"/>
          <w:szCs w:val="24"/>
        </w:rPr>
        <w:t>二、信用风险</w:t>
      </w:r>
    </w:p>
    <w:p w14:paraId="59E2BB5B">
      <w:pPr>
        <w:spacing w:line="360" w:lineRule="auto"/>
        <w:ind w:firstLine="480" w:firstLineChars="200"/>
        <w:rPr>
          <w:sz w:val="24"/>
          <w:szCs w:val="24"/>
        </w:rPr>
      </w:pPr>
      <w:r>
        <w:rPr>
          <w:rFonts w:hint="eastAsia"/>
          <w:sz w:val="24"/>
          <w:szCs w:val="24"/>
        </w:rPr>
        <w:t>信用风险指由于交易对手或债务人无法按照约定交割资产而导致基金资产损失的风险，主要指违约风险。本基金的信用风险分析主要针对债券资产，具体包括以下几个方面：</w:t>
      </w:r>
    </w:p>
    <w:p w14:paraId="6A3A8585">
      <w:pPr>
        <w:spacing w:line="360" w:lineRule="auto"/>
        <w:ind w:firstLine="480" w:firstLineChars="200"/>
        <w:rPr>
          <w:sz w:val="24"/>
          <w:szCs w:val="24"/>
        </w:rPr>
      </w:pPr>
      <w:r>
        <w:rPr>
          <w:rFonts w:hint="eastAsia"/>
          <w:sz w:val="24"/>
          <w:szCs w:val="24"/>
        </w:rPr>
        <w:t>1、债券发行人出现违约，无法支付到期本息引起的损失。</w:t>
      </w:r>
    </w:p>
    <w:p w14:paraId="62213BFF">
      <w:pPr>
        <w:spacing w:line="360" w:lineRule="auto"/>
        <w:ind w:firstLine="480" w:firstLineChars="200"/>
        <w:rPr>
          <w:sz w:val="24"/>
          <w:szCs w:val="24"/>
        </w:rPr>
      </w:pPr>
      <w:r>
        <w:rPr>
          <w:rFonts w:hint="eastAsia"/>
          <w:sz w:val="24"/>
          <w:szCs w:val="24"/>
        </w:rPr>
        <w:t>2、债券发行人信用评级下降导致的个券价格下跌损失。</w:t>
      </w:r>
    </w:p>
    <w:p w14:paraId="30078911">
      <w:pPr>
        <w:spacing w:line="360" w:lineRule="auto"/>
        <w:ind w:firstLine="480" w:firstLineChars="200"/>
        <w:rPr>
          <w:sz w:val="24"/>
          <w:szCs w:val="24"/>
        </w:rPr>
      </w:pPr>
      <w:r>
        <w:rPr>
          <w:rFonts w:hint="eastAsia"/>
          <w:sz w:val="24"/>
          <w:szCs w:val="24"/>
        </w:rPr>
        <w:t>3、交易对手出现违约或违规投资操作而引起的损失。</w:t>
      </w:r>
    </w:p>
    <w:p w14:paraId="2C222C71">
      <w:pPr>
        <w:spacing w:line="360" w:lineRule="auto"/>
        <w:ind w:firstLine="480" w:firstLineChars="200"/>
        <w:rPr>
          <w:sz w:val="24"/>
          <w:szCs w:val="24"/>
        </w:rPr>
      </w:pPr>
      <w:r>
        <w:rPr>
          <w:rFonts w:hint="eastAsia"/>
          <w:sz w:val="24"/>
          <w:szCs w:val="24"/>
        </w:rPr>
        <w:t>三、管理风险</w:t>
      </w:r>
    </w:p>
    <w:p w14:paraId="360FA7AB">
      <w:pPr>
        <w:spacing w:line="360" w:lineRule="auto"/>
        <w:ind w:firstLine="480" w:firstLineChars="200"/>
        <w:rPr>
          <w:sz w:val="24"/>
          <w:szCs w:val="24"/>
        </w:rPr>
      </w:pPr>
      <w:r>
        <w:rPr>
          <w:rFonts w:hint="eastAsia"/>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11A022F1">
      <w:pPr>
        <w:spacing w:line="360" w:lineRule="auto"/>
        <w:ind w:firstLine="480" w:firstLineChars="200"/>
        <w:rPr>
          <w:sz w:val="24"/>
          <w:szCs w:val="24"/>
        </w:rPr>
      </w:pPr>
      <w:r>
        <w:rPr>
          <w:rFonts w:hint="eastAsia"/>
          <w:sz w:val="24"/>
          <w:szCs w:val="24"/>
        </w:rPr>
        <w:t>四</w:t>
      </w:r>
      <w:r>
        <w:rPr>
          <w:sz w:val="24"/>
          <w:szCs w:val="24"/>
        </w:rPr>
        <w:t>、流动性风险</w:t>
      </w:r>
    </w:p>
    <w:p w14:paraId="47692688">
      <w:pPr>
        <w:spacing w:line="360" w:lineRule="auto"/>
        <w:ind w:firstLine="480" w:firstLineChars="200"/>
        <w:rPr>
          <w:sz w:val="24"/>
          <w:szCs w:val="24"/>
        </w:rPr>
      </w:pPr>
      <w:r>
        <w:rPr>
          <w:rFonts w:hint="eastAsia"/>
          <w:sz w:val="24"/>
          <w:szCs w:val="24"/>
        </w:rPr>
        <w:t>我国证券市场作为新兴转轨市场，市场整体流动性风险较高。基金投资组合中的各类金融工具会因各种原因面临较高的流动性风险，使证券交易的执行难度提高，买入成本或变现成本增加。此外，基金投资者的赎回需求可能造成基金仓位调整和资产变现困难，加剧流动性风险。</w:t>
      </w:r>
    </w:p>
    <w:p w14:paraId="27F804FA">
      <w:pPr>
        <w:spacing w:line="360" w:lineRule="auto"/>
        <w:ind w:firstLine="480" w:firstLineChars="200"/>
        <w:rPr>
          <w:sz w:val="24"/>
          <w:szCs w:val="24"/>
        </w:rPr>
      </w:pPr>
      <w:r>
        <w:rPr>
          <w:rFonts w:hint="eastAsia"/>
          <w:sz w:val="24"/>
          <w:szCs w:val="24"/>
        </w:rPr>
        <w:t>为了克服流动性风险，本基金将基于特定的风险控制目标进行分散化和多元化的资产配置的基础上，通过一系列风险控制指标加强对流动性风险的跟踪、防范和控制，但基金管理人并不保证完全避免此类风险。</w:t>
      </w:r>
    </w:p>
    <w:p w14:paraId="70E3AEED">
      <w:pPr>
        <w:spacing w:line="360" w:lineRule="auto"/>
        <w:ind w:firstLine="480" w:firstLineChars="200"/>
        <w:rPr>
          <w:sz w:val="24"/>
          <w:szCs w:val="24"/>
        </w:rPr>
      </w:pPr>
      <w:r>
        <w:rPr>
          <w:rFonts w:hint="eastAsia"/>
          <w:sz w:val="24"/>
          <w:szCs w:val="24"/>
        </w:rPr>
        <w:t>1、本基金的申购、赎回安排</w:t>
      </w:r>
    </w:p>
    <w:p w14:paraId="69BABE92">
      <w:pPr>
        <w:spacing w:line="360" w:lineRule="auto"/>
        <w:ind w:firstLine="480" w:firstLineChars="200"/>
        <w:rPr>
          <w:bCs/>
          <w:sz w:val="24"/>
        </w:rPr>
      </w:pPr>
      <w:bookmarkStart w:id="286" w:name="_Hlk93057745"/>
      <w:r>
        <w:rPr>
          <w:rFonts w:hint="eastAsia"/>
          <w:sz w:val="24"/>
          <w:szCs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开放申购、赎回及转换业务，具体以届时提前发布的公告为准），但基金管理人根据法律法规、中国证监会的要求或基金合同的规定公告暂停申购、赎回时除外。</w:t>
      </w:r>
      <w:bookmarkEnd w:id="286"/>
      <w:r>
        <w:rPr>
          <w:rFonts w:hint="eastAsia"/>
          <w:sz w:val="24"/>
          <w:szCs w:val="24"/>
        </w:rPr>
        <w:t>开放日的具体业务办理时间在相关公告中载明。</w:t>
      </w:r>
      <w:r>
        <w:rPr>
          <w:rFonts w:hint="eastAsia"/>
          <w:bCs/>
          <w:sz w:val="24"/>
        </w:rPr>
        <w:t>本基金的其他申购、赎回安排详见本招募说明书“基金份额的申购与赎回”章节，请投资者注意本基金的申购赎回安排和相应的流动性风险，合理安排投资计划。</w:t>
      </w:r>
    </w:p>
    <w:p w14:paraId="3C2DC646">
      <w:pPr>
        <w:spacing w:line="360" w:lineRule="auto"/>
        <w:ind w:firstLine="480" w:firstLineChars="200"/>
        <w:rPr>
          <w:bCs/>
          <w:sz w:val="24"/>
        </w:rPr>
      </w:pPr>
      <w:r>
        <w:rPr>
          <w:rFonts w:hint="eastAsia"/>
          <w:bCs/>
          <w:sz w:val="24"/>
        </w:rPr>
        <w:t>2、拟投资市场、行业及资产的流动性风险评估</w:t>
      </w:r>
    </w:p>
    <w:p w14:paraId="431C4019">
      <w:pPr>
        <w:spacing w:line="360" w:lineRule="auto"/>
        <w:ind w:firstLine="480" w:firstLineChars="200"/>
        <w:rPr>
          <w:bCs/>
          <w:sz w:val="24"/>
        </w:rPr>
      </w:pPr>
      <w:r>
        <w:rPr>
          <w:rFonts w:hint="eastAsia"/>
          <w:bCs/>
          <w:sz w:val="24"/>
        </w:rPr>
        <w:t>本基金的投资市场主要为证券交易所、全国银行间债券市场等流动性较好的规范型交易场所，主要投资对象为国内依法发行上市的股票（含主板、创业板、科创板及其他依法发行上市的股票</w:t>
      </w:r>
      <w:r>
        <w:rPr>
          <w:rFonts w:hint="eastAsia"/>
          <w:sz w:val="24"/>
        </w:rPr>
        <w:t>、</w:t>
      </w:r>
      <w:r>
        <w:rPr>
          <w:bCs/>
          <w:sz w:val="24"/>
        </w:rPr>
        <w:t>存托凭证</w:t>
      </w:r>
      <w:r>
        <w:rPr>
          <w:rFonts w:hint="eastAsia"/>
          <w:bCs/>
          <w:sz w:val="24"/>
        </w:rPr>
        <w:t>）、港股通标的股票、债券等。同时本基金基于分散投资的原则在行业和个券选择方面坚持分散化投资原则，未有高集中度的特征；本基金在投资过程中，将备选投资标的的流动性作为重要考虑因素，不以流动性受限证券为主要投资方向，明确规定主动投资于流动性受限资产的市值合计不得超过基金资产净值的15%。综合评估在正常市场环境下本基金的流动性风险适中，可满足投资者日常申购赎回的要求。</w:t>
      </w:r>
    </w:p>
    <w:p w14:paraId="2DD3E2AA">
      <w:pPr>
        <w:spacing w:line="360" w:lineRule="auto"/>
        <w:ind w:firstLine="480" w:firstLineChars="200"/>
        <w:rPr>
          <w:bCs/>
          <w:sz w:val="24"/>
        </w:rPr>
      </w:pPr>
      <w:r>
        <w:rPr>
          <w:rFonts w:hint="eastAsia"/>
          <w:bCs/>
          <w:sz w:val="24"/>
        </w:rPr>
        <w:t>3、巨额赎回情形下的流动性风险管理措施</w:t>
      </w:r>
    </w:p>
    <w:p w14:paraId="34AB5698">
      <w:pPr>
        <w:spacing w:line="360" w:lineRule="auto"/>
        <w:ind w:firstLine="480" w:firstLineChars="20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2C25DFF5">
      <w:pPr>
        <w:spacing w:line="360" w:lineRule="auto"/>
        <w:ind w:firstLine="480" w:firstLineChars="200"/>
        <w:rPr>
          <w:bCs/>
          <w:sz w:val="24"/>
        </w:rPr>
      </w:pPr>
      <w:bookmarkStart w:id="287" w:name="_Hlk93057981"/>
      <w:r>
        <w:rPr>
          <w:rFonts w:hint="eastAsia"/>
          <w:bCs/>
          <w:sz w:val="24"/>
        </w:rPr>
        <w:t>当基金出现巨额赎回时，基金管理人可以根据基金当时的资产组合状况决定全额赎回、部分延期赎回或暂停赎回。</w:t>
      </w:r>
    </w:p>
    <w:p w14:paraId="440D9292">
      <w:pPr>
        <w:spacing w:line="360" w:lineRule="auto"/>
        <w:ind w:firstLine="480" w:firstLineChars="200"/>
        <w:rPr>
          <w:bCs/>
          <w:sz w:val="24"/>
        </w:rPr>
      </w:pPr>
      <w:r>
        <w:rPr>
          <w:rFonts w:hint="eastAsia"/>
          <w:bCs/>
          <w:sz w:val="24"/>
        </w:rPr>
        <w:t>（1）全额赎回：当基金管理人认为有能力支付投资人的全部赎回申请时，按正常赎回程序执行。</w:t>
      </w:r>
    </w:p>
    <w:p w14:paraId="57BCB957">
      <w:pPr>
        <w:spacing w:line="360" w:lineRule="auto"/>
        <w:ind w:firstLine="480" w:firstLineChars="200"/>
        <w:rPr>
          <w:bCs/>
          <w:sz w:val="24"/>
        </w:rPr>
      </w:pPr>
      <w:r>
        <w:rPr>
          <w:rFonts w:hint="eastAsia"/>
          <w:bCs/>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别基金份额净值为基础计算赎回金额，以此类推，直到全部赎回为止。如投资人在提交赎回申请时未作明确选择，投资人未能赎回部分作自动延期赎回处理。部分延期赎回不受单笔赎回最低份额的限制。</w:t>
      </w:r>
    </w:p>
    <w:p w14:paraId="7E1F1153">
      <w:pPr>
        <w:spacing w:line="360" w:lineRule="auto"/>
        <w:ind w:firstLine="480" w:firstLineChars="200"/>
        <w:rPr>
          <w:bCs/>
          <w:sz w:val="24"/>
        </w:rPr>
      </w:pPr>
      <w:r>
        <w:rPr>
          <w:rFonts w:hint="eastAsia"/>
          <w:bCs/>
          <w:sz w:val="24"/>
        </w:rPr>
        <w:t>（3）本基金发生巨额赎回时，对于单个基金份额持有人当日超过上一开放日基金总份额30%以上的赎回申请，基金管理人可以延期办理。延期办理部分的赎回申请将与下一开放日赎回申请一并处理，无优先权并以下一开放日的该类别基金份额净值为基础计算赎回金额，以此类推，直到全部赎回为止。对于该基金份额持有人未超过上述比例的部分，基金管理人有权根据上述“（1）全额赎回”或“（2）部分延期赎回”的约定方式与其他基金份额持有人的赎回申请一并办理。但是，如该基金份额持有人在提交赎回申请时选择取消赎回，则其当日未受理的部分赎回申请将被撤销，选择延期赎回的，当日未办理的赎回申请，将转入下一开放日继续赎回，直到全部赎回为止。如投资人在提交赎回申请时未作明确选择，投资人未能赎回部分作自动延期赎回处理。部分延期赎回不受单笔赎回最低份额的限制。</w:t>
      </w:r>
    </w:p>
    <w:p w14:paraId="08E88B60">
      <w:pPr>
        <w:spacing w:line="360" w:lineRule="auto"/>
        <w:ind w:firstLine="480" w:firstLineChars="200"/>
        <w:rPr>
          <w:sz w:val="24"/>
          <w:szCs w:val="24"/>
        </w:rPr>
      </w:pPr>
      <w:r>
        <w:rPr>
          <w:rFonts w:hint="eastAsia"/>
          <w:bCs/>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bookmarkEnd w:id="287"/>
    </w:p>
    <w:p w14:paraId="5C379CD8">
      <w:pPr>
        <w:spacing w:line="360" w:lineRule="auto"/>
        <w:ind w:firstLine="480" w:firstLineChars="200"/>
        <w:rPr>
          <w:sz w:val="24"/>
          <w:szCs w:val="24"/>
        </w:rPr>
      </w:pPr>
      <w:r>
        <w:rPr>
          <w:rFonts w:hint="eastAsia"/>
          <w:sz w:val="24"/>
          <w:szCs w:val="24"/>
        </w:rPr>
        <w:t>4、实施备用的流动性风险管理工具的情形、程序及对投资者潜在的影响</w:t>
      </w:r>
    </w:p>
    <w:p w14:paraId="5C88E26F">
      <w:pPr>
        <w:spacing w:line="360" w:lineRule="auto"/>
        <w:ind w:firstLine="480" w:firstLineChars="200"/>
        <w:rPr>
          <w:sz w:val="24"/>
          <w:szCs w:val="24"/>
        </w:rPr>
      </w:pPr>
      <w:r>
        <w:rPr>
          <w:rFonts w:hint="eastAsia"/>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暂停基金估值、摆动定价、实施侧袋机制等流动性风险管理工具作为辅助措施。对于各类流动性风险管理工具的使用，基金管理人将依照严格审批、审慎决策的原则，及时有效地对风险进行监测和评估。各种工具实施的情形、程序及对投资者的潜在影响如下：</w:t>
      </w:r>
    </w:p>
    <w:p w14:paraId="0A639F9C">
      <w:pPr>
        <w:spacing w:line="360" w:lineRule="auto"/>
        <w:ind w:firstLine="480" w:firstLineChars="200"/>
        <w:rPr>
          <w:sz w:val="24"/>
          <w:szCs w:val="24"/>
        </w:rPr>
      </w:pPr>
      <w:r>
        <w:rPr>
          <w:rFonts w:hint="eastAsia"/>
          <w:sz w:val="24"/>
          <w:szCs w:val="24"/>
        </w:rPr>
        <w:t>（1）延期办理巨额赎回申请的</w:t>
      </w:r>
      <w:r>
        <w:rPr>
          <w:sz w:val="24"/>
          <w:szCs w:val="24"/>
        </w:rPr>
        <w:t>情形</w:t>
      </w:r>
    </w:p>
    <w:p w14:paraId="2AEECAA3">
      <w:pPr>
        <w:spacing w:line="360" w:lineRule="auto"/>
        <w:ind w:firstLine="480" w:firstLineChars="200"/>
        <w:rPr>
          <w:sz w:val="24"/>
          <w:szCs w:val="24"/>
        </w:rPr>
      </w:pPr>
      <w:r>
        <w:rPr>
          <w:rFonts w:hint="eastAsia"/>
          <w:sz w:val="24"/>
          <w:szCs w:val="24"/>
        </w:rPr>
        <w:t>具体请参见招募说明书“第八部分 基金份额的申购与赎回”之“九、巨额赎回的情形及处理方式”，详细了解本基金延期办理巨额赎回申请的情形及程序。若本基金延期办理巨额赎回申请，投资者将面临无法全部赎回或无法及时获得赎回资金的风险，投资者未能赎回的基金份额还将面临净值波动的风险。</w:t>
      </w:r>
    </w:p>
    <w:p w14:paraId="25E09413">
      <w:pPr>
        <w:spacing w:line="360" w:lineRule="auto"/>
        <w:ind w:firstLine="480" w:firstLineChars="200"/>
        <w:rPr>
          <w:bCs/>
          <w:sz w:val="24"/>
        </w:rPr>
      </w:pPr>
      <w:r>
        <w:rPr>
          <w:rFonts w:hint="eastAsia"/>
          <w:bCs/>
          <w:sz w:val="24"/>
        </w:rPr>
        <w:t>（</w:t>
      </w:r>
      <w:r>
        <w:rPr>
          <w:bCs/>
          <w:sz w:val="24"/>
        </w:rPr>
        <w:t>2</w:t>
      </w:r>
      <w:r>
        <w:rPr>
          <w:rFonts w:hint="eastAsia"/>
          <w:bCs/>
          <w:sz w:val="24"/>
        </w:rPr>
        <w:t>）暂停赎回或延缓支付赎回款项的情形</w:t>
      </w:r>
    </w:p>
    <w:p w14:paraId="339D73F8">
      <w:pPr>
        <w:spacing w:line="360" w:lineRule="auto"/>
        <w:ind w:firstLine="480" w:firstLineChars="200"/>
        <w:rPr>
          <w:bCs/>
          <w:sz w:val="24"/>
        </w:rPr>
      </w:pPr>
      <w:bookmarkStart w:id="288" w:name="_Hlk93058078"/>
      <w:r>
        <w:rPr>
          <w:rFonts w:hint="eastAsia"/>
          <w:bCs/>
          <w:sz w:val="24"/>
        </w:rPr>
        <w:t>发生下列情形时，基金管理人可暂停接受投资人的赎回申请或延缓支付赎回款项：</w:t>
      </w:r>
    </w:p>
    <w:p w14:paraId="3A76CD7B">
      <w:pPr>
        <w:spacing w:line="360" w:lineRule="auto"/>
        <w:ind w:firstLine="480" w:firstLineChars="200"/>
        <w:rPr>
          <w:bCs/>
          <w:sz w:val="24"/>
        </w:rPr>
      </w:pPr>
      <w:r>
        <w:rPr>
          <w:bCs/>
          <w:sz w:val="24"/>
        </w:rPr>
        <w:t>1</w:t>
      </w:r>
      <w:r>
        <w:rPr>
          <w:rFonts w:hint="eastAsia"/>
          <w:bCs/>
          <w:sz w:val="24"/>
        </w:rPr>
        <w:t>）因不可抗力导致基金管理人不能支付赎回款项。</w:t>
      </w:r>
    </w:p>
    <w:p w14:paraId="7AB5C019">
      <w:pPr>
        <w:spacing w:line="360" w:lineRule="auto"/>
        <w:ind w:firstLine="480" w:firstLineChars="200"/>
        <w:rPr>
          <w:bCs/>
          <w:sz w:val="24"/>
        </w:rPr>
      </w:pPr>
      <w:r>
        <w:rPr>
          <w:bCs/>
          <w:sz w:val="24"/>
        </w:rPr>
        <w:t>2</w:t>
      </w:r>
      <w:r>
        <w:rPr>
          <w:rFonts w:hint="eastAsia"/>
          <w:bCs/>
          <w:sz w:val="24"/>
        </w:rPr>
        <w:t>）发生基金合同规定的暂停基金资产估值情况。</w:t>
      </w:r>
    </w:p>
    <w:p w14:paraId="299765CF">
      <w:pPr>
        <w:spacing w:line="360" w:lineRule="auto"/>
        <w:ind w:firstLine="480" w:firstLineChars="200"/>
        <w:rPr>
          <w:bCs/>
          <w:sz w:val="24"/>
        </w:rPr>
      </w:pPr>
      <w:r>
        <w:rPr>
          <w:bCs/>
          <w:sz w:val="24"/>
        </w:rPr>
        <w:t>3</w:t>
      </w:r>
      <w:r>
        <w:rPr>
          <w:rFonts w:hint="eastAsia"/>
          <w:bCs/>
          <w:sz w:val="24"/>
        </w:rPr>
        <w:t>）证券/期货交易所或外汇市场交易时间非正常停市或港股通临时停市，导致基金管理人无法计算当日基金资产净值。</w:t>
      </w:r>
    </w:p>
    <w:p w14:paraId="3029913D">
      <w:pPr>
        <w:spacing w:line="360" w:lineRule="auto"/>
        <w:ind w:firstLine="480" w:firstLineChars="200"/>
        <w:rPr>
          <w:bCs/>
          <w:sz w:val="24"/>
        </w:rPr>
      </w:pPr>
      <w:r>
        <w:rPr>
          <w:bCs/>
          <w:sz w:val="24"/>
        </w:rPr>
        <w:t>4</w:t>
      </w:r>
      <w:r>
        <w:rPr>
          <w:rFonts w:hint="eastAsia"/>
          <w:bCs/>
          <w:sz w:val="24"/>
        </w:rPr>
        <w:t>）连续两个或两个以上开放日发生巨额赎回。</w:t>
      </w:r>
    </w:p>
    <w:p w14:paraId="45B59F3C">
      <w:pPr>
        <w:spacing w:line="360" w:lineRule="auto"/>
        <w:ind w:firstLine="480" w:firstLineChars="200"/>
        <w:rPr>
          <w:bCs/>
          <w:sz w:val="24"/>
        </w:rPr>
      </w:pPr>
      <w:r>
        <w:rPr>
          <w:bCs/>
          <w:sz w:val="24"/>
        </w:rPr>
        <w:t>5</w:t>
      </w:r>
      <w:r>
        <w:rPr>
          <w:rFonts w:hint="eastAsia"/>
          <w:bCs/>
          <w:sz w:val="24"/>
        </w:rPr>
        <w:t>）发生继续接受赎回申请将损害现有基金份额持有人利益的情形。</w:t>
      </w:r>
    </w:p>
    <w:p w14:paraId="63AAA4F9">
      <w:pPr>
        <w:spacing w:line="360" w:lineRule="auto"/>
        <w:ind w:firstLine="480" w:firstLineChars="200"/>
        <w:rPr>
          <w:bCs/>
          <w:sz w:val="24"/>
        </w:rPr>
      </w:pPr>
      <w:r>
        <w:rPr>
          <w:bCs/>
          <w:sz w:val="24"/>
        </w:rPr>
        <w:t>6</w:t>
      </w:r>
      <w:r>
        <w:rPr>
          <w:rFonts w:hint="eastAsia"/>
          <w:bCs/>
          <w:sz w:val="24"/>
        </w:rPr>
        <w:t>）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14:paraId="2487DF0B">
      <w:pPr>
        <w:spacing w:line="360" w:lineRule="auto"/>
        <w:ind w:firstLine="480" w:firstLineChars="200"/>
        <w:rPr>
          <w:bCs/>
          <w:sz w:val="24"/>
        </w:rPr>
      </w:pPr>
      <w:r>
        <w:rPr>
          <w:bCs/>
          <w:sz w:val="24"/>
        </w:rPr>
        <w:t>7</w:t>
      </w:r>
      <w:r>
        <w:rPr>
          <w:rFonts w:hint="eastAsia"/>
          <w:bCs/>
          <w:sz w:val="24"/>
        </w:rPr>
        <w:t>）法律法规规定或中国证监会认定的其他情形。</w:t>
      </w:r>
    </w:p>
    <w:p w14:paraId="0B8462C5">
      <w:pPr>
        <w:spacing w:line="360" w:lineRule="auto"/>
        <w:ind w:firstLine="480" w:firstLineChars="200"/>
        <w:rPr>
          <w:bCs/>
          <w:sz w:val="24"/>
        </w:rPr>
      </w:pPr>
      <w:r>
        <w:rPr>
          <w:rFonts w:hint="eastAsia"/>
          <w:bCs/>
          <w:sz w:val="24"/>
        </w:rPr>
        <w:t>发生上述情形之一（第4）项除外）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bookmarkEnd w:id="288"/>
    <w:p w14:paraId="70CDD4C3">
      <w:pPr>
        <w:spacing w:line="360" w:lineRule="auto"/>
        <w:ind w:firstLine="480" w:firstLineChars="200"/>
        <w:rPr>
          <w:bCs/>
          <w:sz w:val="24"/>
        </w:rPr>
      </w:pPr>
      <w:r>
        <w:rPr>
          <w:rFonts w:hint="eastAsia"/>
          <w:bCs/>
          <w:sz w:val="24"/>
        </w:rPr>
        <w:t>（</w:t>
      </w:r>
      <w:r>
        <w:rPr>
          <w:bCs/>
          <w:sz w:val="24"/>
        </w:rPr>
        <w:t>3</w:t>
      </w:r>
      <w:r>
        <w:rPr>
          <w:rFonts w:hint="eastAsia"/>
          <w:bCs/>
          <w:sz w:val="24"/>
        </w:rPr>
        <w:t>）收取</w:t>
      </w:r>
      <w:r>
        <w:rPr>
          <w:bCs/>
          <w:sz w:val="24"/>
        </w:rPr>
        <w:t>短期赎回费</w:t>
      </w:r>
    </w:p>
    <w:p w14:paraId="23683BB2">
      <w:pPr>
        <w:spacing w:line="360" w:lineRule="auto"/>
        <w:ind w:firstLine="480" w:firstLineChars="200"/>
        <w:rPr>
          <w:sz w:val="24"/>
          <w:szCs w:val="24"/>
        </w:rPr>
      </w:pPr>
      <w:r>
        <w:rPr>
          <w:rFonts w:hint="eastAsia"/>
          <w:sz w:val="24"/>
          <w:szCs w:val="24"/>
        </w:rPr>
        <w:t>对持续持有期限少于7日的基金份额持有人，将收取不少于1.5%的赎回费，并将上述赎回费全额归入基金财产。</w:t>
      </w:r>
    </w:p>
    <w:p w14:paraId="70C6E311">
      <w:pPr>
        <w:spacing w:line="360" w:lineRule="auto"/>
        <w:ind w:firstLine="480" w:firstLineChars="200"/>
        <w:rPr>
          <w:sz w:val="24"/>
          <w:szCs w:val="24"/>
        </w:rPr>
      </w:pPr>
      <w:r>
        <w:rPr>
          <w:rFonts w:hint="eastAsia"/>
          <w:sz w:val="24"/>
          <w:szCs w:val="24"/>
        </w:rPr>
        <w:t>敬请投资者留意因基金份额持有期限较短而在基金份额赎回时被收取较高赎回费的风险。</w:t>
      </w:r>
    </w:p>
    <w:p w14:paraId="1902075A">
      <w:pPr>
        <w:pStyle w:val="63"/>
        <w:shd w:val="clear" w:color="auto" w:fill="FFFFFF"/>
        <w:spacing w:before="0" w:beforeAutospacing="0" w:after="0" w:afterAutospacing="0" w:line="360" w:lineRule="auto"/>
        <w:ind w:firstLine="480" w:firstLineChars="200"/>
        <w:jc w:val="both"/>
        <w:rPr>
          <w:rFonts w:ascii="Times New Roman" w:hAnsi="Times New Roman"/>
          <w:color w:val="000000"/>
          <w:sz w:val="21"/>
        </w:rPr>
      </w:pPr>
      <w:r>
        <w:rPr>
          <w:rStyle w:val="62"/>
          <w:rFonts w:hint="eastAsia" w:ascii="Times New Roman" w:hAnsi="Times New Roman"/>
          <w:color w:val="000000"/>
        </w:rPr>
        <w:t>（</w:t>
      </w:r>
      <w:r>
        <w:rPr>
          <w:rStyle w:val="62"/>
          <w:rFonts w:ascii="Times New Roman" w:hAnsi="Times New Roman"/>
          <w:color w:val="000000"/>
        </w:rPr>
        <w:t>4</w:t>
      </w:r>
      <w:r>
        <w:rPr>
          <w:rStyle w:val="62"/>
          <w:rFonts w:hint="eastAsia" w:ascii="Times New Roman" w:hAnsi="Times New Roman"/>
          <w:color w:val="000000"/>
        </w:rPr>
        <w:t>）暂停估值的情形</w:t>
      </w:r>
    </w:p>
    <w:p w14:paraId="7DE0CB0D">
      <w:pPr>
        <w:spacing w:line="360" w:lineRule="auto"/>
        <w:ind w:firstLine="480" w:firstLineChars="200"/>
        <w:rPr>
          <w:bCs/>
          <w:sz w:val="24"/>
        </w:rPr>
      </w:pPr>
      <w:bookmarkStart w:id="289" w:name="_Hlk93058162"/>
      <w:r>
        <w:rPr>
          <w:bCs/>
          <w:sz w:val="24"/>
        </w:rPr>
        <w:t>1</w:t>
      </w:r>
      <w:r>
        <w:rPr>
          <w:rFonts w:hint="eastAsia"/>
          <w:bCs/>
          <w:sz w:val="24"/>
        </w:rPr>
        <w:t>）基金投资所涉及的证券/期货交易市场或外汇市场遇法定节假日或因其他原因暂停营业时；</w:t>
      </w:r>
    </w:p>
    <w:p w14:paraId="33DABD3D">
      <w:pPr>
        <w:spacing w:line="360" w:lineRule="auto"/>
        <w:ind w:firstLine="480" w:firstLineChars="200"/>
        <w:rPr>
          <w:bCs/>
          <w:sz w:val="24"/>
        </w:rPr>
      </w:pPr>
      <w:r>
        <w:rPr>
          <w:bCs/>
          <w:sz w:val="24"/>
        </w:rPr>
        <w:t>2</w:t>
      </w:r>
      <w:r>
        <w:rPr>
          <w:rFonts w:hint="eastAsia"/>
          <w:bCs/>
          <w:sz w:val="24"/>
        </w:rPr>
        <w:t>）因不可抗力致使基金管理人、基金托管人无法准确评估基金资产价值时；</w:t>
      </w:r>
    </w:p>
    <w:p w14:paraId="699AAF64">
      <w:pPr>
        <w:spacing w:line="360" w:lineRule="auto"/>
        <w:ind w:firstLine="480" w:firstLineChars="200"/>
        <w:rPr>
          <w:bCs/>
          <w:sz w:val="24"/>
        </w:rPr>
      </w:pPr>
      <w:r>
        <w:rPr>
          <w:bCs/>
          <w:sz w:val="24"/>
        </w:rPr>
        <w:t>3</w:t>
      </w:r>
      <w:r>
        <w:rPr>
          <w:rFonts w:hint="eastAsia"/>
          <w:bCs/>
          <w:sz w:val="24"/>
        </w:rPr>
        <w:t>）当特定资产占前一估值日基金资产净值50%以上的</w:t>
      </w:r>
      <w:r>
        <w:rPr>
          <w:bCs/>
          <w:sz w:val="24"/>
        </w:rPr>
        <w:t>，</w:t>
      </w:r>
      <w:r>
        <w:rPr>
          <w:rFonts w:hint="eastAsia"/>
          <w:bCs/>
          <w:sz w:val="24"/>
        </w:rPr>
        <w:t>经与基金托管人协商确认后，基金管理人应当暂停估值；</w:t>
      </w:r>
    </w:p>
    <w:p w14:paraId="6E476E2F">
      <w:pPr>
        <w:spacing w:line="360" w:lineRule="auto"/>
        <w:ind w:firstLine="480" w:firstLineChars="200"/>
        <w:rPr>
          <w:bCs/>
          <w:sz w:val="24"/>
        </w:rPr>
      </w:pPr>
      <w:r>
        <w:rPr>
          <w:bCs/>
          <w:sz w:val="24"/>
        </w:rPr>
        <w:t>4</w:t>
      </w:r>
      <w:r>
        <w:rPr>
          <w:rFonts w:hint="eastAsia"/>
          <w:bCs/>
          <w:sz w:val="24"/>
        </w:rPr>
        <w:t>）中国证监会和基金合同认定的其他情形。</w:t>
      </w:r>
    </w:p>
    <w:bookmarkEnd w:id="289"/>
    <w:p w14:paraId="455AFFA1">
      <w:pPr>
        <w:spacing w:line="360" w:lineRule="auto"/>
        <w:ind w:firstLine="480" w:firstLineChars="200"/>
        <w:rPr>
          <w:bCs/>
          <w:sz w:val="24"/>
        </w:rPr>
      </w:pPr>
      <w:r>
        <w:rPr>
          <w:rFonts w:hint="eastAsia"/>
          <w:sz w:val="24"/>
          <w:szCs w:val="24"/>
        </w:rPr>
        <w:t>敬请投资者留意本基金发生暂停估值情形时无法正常进行申购和赎回的风险。</w:t>
      </w:r>
    </w:p>
    <w:p w14:paraId="4F0D9562">
      <w:pPr>
        <w:spacing w:line="360" w:lineRule="auto"/>
        <w:ind w:firstLine="480" w:firstLineChars="200"/>
        <w:rPr>
          <w:bCs/>
          <w:sz w:val="24"/>
        </w:rPr>
      </w:pPr>
      <w:r>
        <w:rPr>
          <w:rFonts w:hint="eastAsia"/>
          <w:bCs/>
          <w:sz w:val="24"/>
        </w:rPr>
        <w:t>（</w:t>
      </w:r>
      <w:r>
        <w:rPr>
          <w:bCs/>
          <w:sz w:val="24"/>
        </w:rPr>
        <w:t>5</w:t>
      </w:r>
      <w:r>
        <w:rPr>
          <w:rFonts w:hint="eastAsia"/>
          <w:bCs/>
          <w:sz w:val="24"/>
        </w:rPr>
        <w:t>）摆动定价</w:t>
      </w:r>
    </w:p>
    <w:p w14:paraId="5728BEE5">
      <w:pPr>
        <w:spacing w:line="360" w:lineRule="auto"/>
        <w:ind w:firstLine="480" w:firstLineChars="200"/>
        <w:rPr>
          <w:bCs/>
          <w:sz w:val="24"/>
        </w:rPr>
      </w:pP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51303F6A">
      <w:pPr>
        <w:spacing w:line="360" w:lineRule="auto"/>
        <w:ind w:firstLine="480" w:firstLineChars="200"/>
        <w:rPr>
          <w:sz w:val="24"/>
          <w:szCs w:val="24"/>
        </w:rPr>
      </w:pPr>
      <w:r>
        <w:rPr>
          <w:rFonts w:hint="eastAsia"/>
          <w:sz w:val="24"/>
          <w:szCs w:val="24"/>
        </w:rPr>
        <w:t>敬请投资者留意本基金</w:t>
      </w:r>
      <w:r>
        <w:rPr>
          <w:rFonts w:hint="eastAsia"/>
          <w:bCs/>
          <w:sz w:val="24"/>
        </w:rPr>
        <w:t>发生大额申购或赎回情形时采用摆动定价机制</w:t>
      </w:r>
      <w:r>
        <w:rPr>
          <w:rFonts w:hint="eastAsia"/>
          <w:sz w:val="24"/>
          <w:szCs w:val="24"/>
        </w:rPr>
        <w:t>的风险。</w:t>
      </w:r>
    </w:p>
    <w:p w14:paraId="42FDB8BF">
      <w:pPr>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）侧袋机制</w:t>
      </w:r>
    </w:p>
    <w:p w14:paraId="1AA55F2A">
      <w:pPr>
        <w:spacing w:line="360" w:lineRule="auto"/>
        <w:ind w:firstLine="480" w:firstLineChars="200"/>
        <w:rPr>
          <w:sz w:val="24"/>
          <w:szCs w:val="24"/>
        </w:rPr>
      </w:pPr>
      <w:r>
        <w:rPr>
          <w:rFonts w:hint="eastAsia"/>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554097B0">
      <w:pPr>
        <w:spacing w:line="360" w:lineRule="auto"/>
        <w:ind w:firstLine="480" w:firstLineChars="200"/>
        <w:rPr>
          <w:sz w:val="24"/>
          <w:szCs w:val="24"/>
        </w:rPr>
      </w:pPr>
      <w:r>
        <w:rPr>
          <w:rFonts w:hint="eastAsia"/>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A081514">
      <w:pPr>
        <w:spacing w:line="360" w:lineRule="auto"/>
        <w:ind w:firstLine="480" w:firstLineChars="200"/>
        <w:rPr>
          <w:sz w:val="24"/>
          <w:szCs w:val="24"/>
        </w:rPr>
      </w:pPr>
      <w:r>
        <w:rPr>
          <w:rFonts w:hint="eastAsia"/>
          <w:sz w:val="24"/>
          <w:szCs w:val="24"/>
        </w:rPr>
        <w:t>基金管理人将根据主袋账户运作情况合理确定申购政策，因此实施侧袋机制后主袋账户份额存在暂停申购的可能。</w:t>
      </w:r>
    </w:p>
    <w:p w14:paraId="131D6773">
      <w:pPr>
        <w:spacing w:line="360" w:lineRule="auto"/>
        <w:ind w:firstLine="480" w:firstLineChars="200"/>
        <w:rPr>
          <w:sz w:val="24"/>
          <w:szCs w:val="24"/>
        </w:rPr>
      </w:pPr>
      <w:r>
        <w:rPr>
          <w:rFonts w:hint="eastAsia"/>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6A166FAE">
      <w:pPr>
        <w:spacing w:line="360" w:lineRule="auto"/>
        <w:ind w:firstLine="480" w:firstLineChars="200"/>
        <w:rPr>
          <w:bCs/>
          <w:sz w:val="24"/>
        </w:rPr>
      </w:pPr>
      <w:r>
        <w:rPr>
          <w:rFonts w:hint="eastAsia"/>
          <w:bCs/>
          <w:sz w:val="24"/>
        </w:rPr>
        <w:t>五、操作和技术风险</w:t>
      </w:r>
    </w:p>
    <w:p w14:paraId="79C75C4B">
      <w:pPr>
        <w:spacing w:line="360" w:lineRule="auto"/>
        <w:ind w:firstLine="480" w:firstLineChars="200"/>
        <w:rPr>
          <w:bCs/>
          <w:sz w:val="24"/>
        </w:rPr>
      </w:pPr>
      <w:r>
        <w:rPr>
          <w:rFonts w:hint="eastAsia"/>
          <w:bCs/>
          <w:sz w:val="24"/>
        </w:rPr>
        <w:t>基金的相关当事人在各业务环节的操作过程中，可能因内部控制不到位或者人为因素造成操作失误或违反操作规程而引致风险，如越权交易、内幕交易、交易错误和欺诈等。</w:t>
      </w:r>
    </w:p>
    <w:p w14:paraId="702CB3A3">
      <w:pPr>
        <w:spacing w:line="360" w:lineRule="auto"/>
        <w:ind w:firstLine="480" w:firstLineChars="200"/>
        <w:rPr>
          <w:bCs/>
          <w:sz w:val="24"/>
        </w:rPr>
      </w:pPr>
      <w:r>
        <w:rPr>
          <w:rFonts w:hint="eastAsia"/>
          <w:bCs/>
          <w:sz w:val="24"/>
        </w:rPr>
        <w:t>此外，在基金的后台运作中，可能因为技术系统的故障或者差错而影响交易的正常进行甚至导致基金份额持有人利益受到影响。这种技术风险可能来自基金管理人、基金托管人、登记机构、销售机构、证券交易所和证券登记结算机构等。</w:t>
      </w:r>
    </w:p>
    <w:p w14:paraId="7DF460EF">
      <w:pPr>
        <w:spacing w:line="360" w:lineRule="auto"/>
        <w:ind w:firstLine="480" w:firstLineChars="200"/>
        <w:rPr>
          <w:bCs/>
          <w:sz w:val="24"/>
        </w:rPr>
      </w:pPr>
      <w:r>
        <w:rPr>
          <w:rFonts w:hint="eastAsia"/>
          <w:bCs/>
          <w:sz w:val="24"/>
        </w:rPr>
        <w:t>六、合规性风险</w:t>
      </w:r>
    </w:p>
    <w:p w14:paraId="2337A03F">
      <w:pPr>
        <w:spacing w:line="360" w:lineRule="auto"/>
        <w:ind w:firstLine="480" w:firstLineChars="200"/>
        <w:rPr>
          <w:bCs/>
          <w:sz w:val="24"/>
        </w:rPr>
      </w:pPr>
      <w:r>
        <w:rPr>
          <w:rFonts w:hint="eastAsia"/>
          <w:bCs/>
          <w:sz w:val="24"/>
        </w:rPr>
        <w:t>指基金管理或运作过程中，违反国家法律法规或基金合同有关规定的风险。</w:t>
      </w:r>
    </w:p>
    <w:p w14:paraId="280B4843">
      <w:pPr>
        <w:spacing w:line="360" w:lineRule="auto"/>
        <w:ind w:firstLine="480" w:firstLineChars="200"/>
        <w:rPr>
          <w:sz w:val="24"/>
          <w:szCs w:val="24"/>
        </w:rPr>
      </w:pPr>
      <w:r>
        <w:rPr>
          <w:rFonts w:hint="eastAsia"/>
          <w:sz w:val="24"/>
          <w:szCs w:val="24"/>
        </w:rPr>
        <w:t>七、本基金特定风险</w:t>
      </w:r>
    </w:p>
    <w:p w14:paraId="53DFEEBB">
      <w:pPr>
        <w:spacing w:line="360" w:lineRule="auto"/>
        <w:ind w:firstLine="480" w:firstLineChars="200"/>
        <w:rPr>
          <w:sz w:val="24"/>
          <w:szCs w:val="24"/>
        </w:rPr>
      </w:pPr>
      <w:r>
        <w:rPr>
          <w:rFonts w:hint="eastAsia"/>
          <w:sz w:val="24"/>
          <w:szCs w:val="24"/>
        </w:rPr>
        <w:t>1、大类资产配置风险</w:t>
      </w:r>
    </w:p>
    <w:p w14:paraId="50D66535">
      <w:pPr>
        <w:spacing w:line="360" w:lineRule="auto"/>
        <w:ind w:firstLine="480" w:firstLineChars="200"/>
        <w:rPr>
          <w:sz w:val="24"/>
          <w:szCs w:val="24"/>
        </w:rPr>
      </w:pPr>
      <w:r>
        <w:rPr>
          <w:rFonts w:hint="eastAsia"/>
          <w:sz w:val="24"/>
          <w:szCs w:val="24"/>
        </w:rPr>
        <w:t>本基金为混合型证券投资基金，</w:t>
      </w:r>
      <w:r>
        <w:rPr>
          <w:rFonts w:hint="eastAsia"/>
          <w:bCs/>
          <w:sz w:val="24"/>
        </w:rPr>
        <w:t>本基金股票资产（含存托凭证）占基金资产的比例为</w:t>
      </w:r>
      <w:r>
        <w:rPr>
          <w:bCs/>
          <w:sz w:val="24"/>
        </w:rPr>
        <w:t>60</w:t>
      </w:r>
      <w:r>
        <w:rPr>
          <w:rFonts w:hint="eastAsia"/>
          <w:bCs/>
          <w:sz w:val="24"/>
        </w:rPr>
        <w:t>%-</w:t>
      </w:r>
      <w:r>
        <w:rPr>
          <w:bCs/>
          <w:sz w:val="24"/>
        </w:rPr>
        <w:t>95</w:t>
      </w:r>
      <w:r>
        <w:rPr>
          <w:rFonts w:hint="eastAsia"/>
          <w:bCs/>
          <w:sz w:val="24"/>
        </w:rPr>
        <w:t>%，</w:t>
      </w:r>
      <w:r>
        <w:rPr>
          <w:rFonts w:hint="eastAsia"/>
          <w:sz w:val="24"/>
          <w:szCs w:val="24"/>
        </w:rPr>
        <w:t>存在大类资产配置风险，有可能因为受到经济周期、市场环境或基金管理人能力等因素的影响，导致基金的大类资产配置比例偏离最优化水平，给基金投资组合的绩效带来风险。</w:t>
      </w:r>
    </w:p>
    <w:p w14:paraId="4BF583F6">
      <w:pPr>
        <w:spacing w:line="360" w:lineRule="auto"/>
        <w:ind w:firstLine="480" w:firstLineChars="200"/>
        <w:rPr>
          <w:sz w:val="24"/>
          <w:szCs w:val="24"/>
        </w:rPr>
      </w:pPr>
      <w:r>
        <w:rPr>
          <w:rFonts w:hint="eastAsia"/>
          <w:sz w:val="24"/>
          <w:szCs w:val="24"/>
        </w:rPr>
        <w:t>2、港股通标的股票投资风险</w:t>
      </w:r>
    </w:p>
    <w:p w14:paraId="24D448D0">
      <w:pPr>
        <w:spacing w:line="360" w:lineRule="auto"/>
        <w:ind w:firstLine="480" w:firstLineChars="200"/>
        <w:rPr>
          <w:sz w:val="24"/>
          <w:szCs w:val="24"/>
        </w:rPr>
      </w:pPr>
      <w:r>
        <w:rPr>
          <w:rFonts w:hint="eastAsia"/>
          <w:sz w:val="24"/>
          <w:szCs w:val="24"/>
        </w:rPr>
        <w:t>本基金投资范围包括港股通标的股票，如本基金投资于港股通标的股票，除与其他投资于内地市场股票的基金所面临的共同风险外，本基金还面临港股通机制下因投资环境、投资者结构、投资标的构成、市场制度以及交易规则等差异所带来的特有风险，包括但不限于：</w:t>
      </w:r>
    </w:p>
    <w:p w14:paraId="7EFA223C">
      <w:pPr>
        <w:spacing w:line="360" w:lineRule="auto"/>
        <w:ind w:firstLine="480" w:firstLineChars="200"/>
        <w:rPr>
          <w:sz w:val="24"/>
          <w:szCs w:val="24"/>
        </w:rPr>
      </w:pPr>
      <w:r>
        <w:rPr>
          <w:rFonts w:hint="eastAsia"/>
          <w:sz w:val="24"/>
          <w:szCs w:val="24"/>
        </w:rPr>
        <w:t>（1）市场联动的风险</w:t>
      </w:r>
    </w:p>
    <w:p w14:paraId="5D004D5C">
      <w:pPr>
        <w:spacing w:line="360" w:lineRule="auto"/>
        <w:ind w:firstLine="480" w:firstLineChars="200"/>
        <w:rPr>
          <w:sz w:val="24"/>
          <w:szCs w:val="24"/>
        </w:rPr>
      </w:pPr>
      <w:r>
        <w:rPr>
          <w:rFonts w:hint="eastAsia"/>
          <w:sz w:val="24"/>
          <w:szCs w:val="24"/>
        </w:rPr>
        <w:t>与内地A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w:t>
      </w:r>
    </w:p>
    <w:p w14:paraId="6FA49C1C">
      <w:pPr>
        <w:spacing w:line="360" w:lineRule="auto"/>
        <w:ind w:firstLine="480" w:firstLineChars="200"/>
        <w:rPr>
          <w:sz w:val="24"/>
          <w:szCs w:val="24"/>
        </w:rPr>
      </w:pPr>
      <w:r>
        <w:rPr>
          <w:rFonts w:hint="eastAsia"/>
          <w:sz w:val="24"/>
          <w:szCs w:val="24"/>
        </w:rPr>
        <w:t>（2）股价波动的风险</w:t>
      </w:r>
    </w:p>
    <w:p w14:paraId="1905C846">
      <w:pPr>
        <w:spacing w:line="360" w:lineRule="auto"/>
        <w:ind w:firstLine="480" w:firstLineChars="200"/>
        <w:rPr>
          <w:sz w:val="24"/>
          <w:szCs w:val="24"/>
        </w:rPr>
      </w:pPr>
      <w:r>
        <w:rPr>
          <w:rFonts w:hint="eastAsia"/>
          <w:sz w:val="24"/>
          <w:szCs w:val="24"/>
        </w:rPr>
        <w:t>港股市场实行T+0回转交易机制（即当日买入的股票，在交收前可以于当日卖出），同时对个股不设涨跌幅限制，加之香港市场结构性产品和衍生品种类相对丰富以及做空机制的存在，港股股价受到意外事件影响可能表现出比A股更为剧烈的股价波动，本基金持仓的波动风险可能相对较大。</w:t>
      </w:r>
    </w:p>
    <w:p w14:paraId="0DE0E0B4">
      <w:pPr>
        <w:spacing w:line="360" w:lineRule="auto"/>
        <w:ind w:firstLine="480" w:firstLineChars="200"/>
        <w:rPr>
          <w:sz w:val="24"/>
          <w:szCs w:val="24"/>
        </w:rPr>
      </w:pPr>
      <w:r>
        <w:rPr>
          <w:rFonts w:hint="eastAsia"/>
          <w:sz w:val="24"/>
          <w:szCs w:val="24"/>
        </w:rPr>
        <w:t>（3）汇率风险</w:t>
      </w:r>
    </w:p>
    <w:p w14:paraId="07190082">
      <w:pPr>
        <w:spacing w:line="360" w:lineRule="auto"/>
        <w:ind w:firstLine="480" w:firstLineChars="200"/>
        <w:rPr>
          <w:sz w:val="24"/>
          <w:szCs w:val="24"/>
        </w:rPr>
      </w:pPr>
      <w:r>
        <w:rPr>
          <w:rFonts w:hint="eastAsia"/>
          <w:sz w:val="24"/>
          <w:szCs w:val="24"/>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w:t>
      </w:r>
    </w:p>
    <w:p w14:paraId="653527A8">
      <w:pPr>
        <w:spacing w:line="360" w:lineRule="auto"/>
        <w:ind w:firstLine="480" w:firstLineChars="200"/>
        <w:rPr>
          <w:sz w:val="24"/>
          <w:szCs w:val="24"/>
        </w:rPr>
      </w:pPr>
      <w:r>
        <w:rPr>
          <w:rFonts w:hint="eastAsia"/>
          <w:sz w:val="24"/>
          <w:szCs w:val="24"/>
        </w:rPr>
        <w:t>另外本基金对港股买卖每日结算中所采用的报价汇率可能存在报价差异，本基金可能需额外承担买卖结算汇率报价点差所带来的损失；同时根据港股通的规则设定，本基金在每日买卖港股申请时将参考汇率买入/卖出价冻结相应的资金，该参考汇率买入价和卖出价设定上存在比例差异，以抵御该日汇率波动而带来的结算风险，本基金将因此而遭遇资金被额外占用进而降低基金投资效率的风险。</w:t>
      </w:r>
    </w:p>
    <w:p w14:paraId="433F4D38">
      <w:pPr>
        <w:spacing w:line="360" w:lineRule="auto"/>
        <w:ind w:firstLine="480" w:firstLineChars="200"/>
        <w:rPr>
          <w:sz w:val="24"/>
          <w:szCs w:val="24"/>
        </w:rPr>
      </w:pPr>
      <w:r>
        <w:rPr>
          <w:rFonts w:hint="eastAsia"/>
          <w:sz w:val="24"/>
          <w:szCs w:val="24"/>
        </w:rPr>
        <w:t>（4）港股通额度限制</w:t>
      </w:r>
    </w:p>
    <w:p w14:paraId="6E823A7A">
      <w:pPr>
        <w:spacing w:line="360" w:lineRule="auto"/>
        <w:ind w:firstLine="480" w:firstLineChars="200"/>
        <w:rPr>
          <w:sz w:val="24"/>
          <w:szCs w:val="24"/>
        </w:rPr>
      </w:pPr>
      <w:r>
        <w:rPr>
          <w:rFonts w:hint="eastAsia"/>
          <w:sz w:val="24"/>
          <w:szCs w:val="24"/>
        </w:rPr>
        <w:t>现行的港股通规则，对港股通设有每日额度上限的限制；本基金可能因为港股通市场每日额度不足，而不能买入看好之投资标的进而错失投资机会的风险。</w:t>
      </w:r>
    </w:p>
    <w:p w14:paraId="150A520F">
      <w:pPr>
        <w:spacing w:line="360" w:lineRule="auto"/>
        <w:ind w:firstLine="480" w:firstLineChars="200"/>
        <w:rPr>
          <w:sz w:val="24"/>
          <w:szCs w:val="24"/>
        </w:rPr>
      </w:pPr>
      <w:r>
        <w:rPr>
          <w:rFonts w:hint="eastAsia"/>
          <w:sz w:val="24"/>
          <w:szCs w:val="24"/>
        </w:rPr>
        <w:t>（5）港股通可投资标的范围调整带来的风险</w:t>
      </w:r>
    </w:p>
    <w:p w14:paraId="47FAC71D">
      <w:pPr>
        <w:spacing w:line="360" w:lineRule="auto"/>
        <w:ind w:firstLine="480" w:firstLineChars="200"/>
        <w:rPr>
          <w:sz w:val="24"/>
          <w:szCs w:val="24"/>
        </w:rPr>
      </w:pPr>
      <w:r>
        <w:rPr>
          <w:rFonts w:hint="eastAsia"/>
          <w:sz w:val="24"/>
          <w:szCs w:val="24"/>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及时买入看好的投资标的，而错失投资机会的风险。</w:t>
      </w:r>
    </w:p>
    <w:p w14:paraId="7AB5902E">
      <w:pPr>
        <w:spacing w:line="360" w:lineRule="auto"/>
        <w:ind w:firstLine="480" w:firstLineChars="200"/>
        <w:rPr>
          <w:sz w:val="24"/>
          <w:szCs w:val="24"/>
        </w:rPr>
      </w:pPr>
      <w:r>
        <w:rPr>
          <w:rFonts w:hint="eastAsia"/>
          <w:sz w:val="24"/>
          <w:szCs w:val="24"/>
        </w:rPr>
        <w:t>（6）港股通交易日设定的风险</w:t>
      </w:r>
    </w:p>
    <w:p w14:paraId="22691D17">
      <w:pPr>
        <w:spacing w:line="360" w:lineRule="auto"/>
        <w:ind w:firstLine="480" w:firstLineChars="200"/>
        <w:rPr>
          <w:sz w:val="24"/>
          <w:szCs w:val="24"/>
        </w:rPr>
      </w:pPr>
      <w:r>
        <w:rPr>
          <w:rFonts w:hint="eastAsia"/>
          <w:sz w:val="24"/>
          <w:szCs w:val="24"/>
        </w:rPr>
        <w:t>根据现行的港股通规则，只有内地与香港两地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358DAFE2">
      <w:pPr>
        <w:spacing w:line="360" w:lineRule="auto"/>
        <w:ind w:firstLine="480" w:firstLineChars="200"/>
        <w:rPr>
          <w:sz w:val="24"/>
          <w:szCs w:val="24"/>
        </w:rPr>
      </w:pPr>
      <w:r>
        <w:rPr>
          <w:rFonts w:hint="eastAsia"/>
          <w:sz w:val="24"/>
          <w:szCs w:val="24"/>
        </w:rPr>
        <w:t>（7）交收制度带来的基金流动性风险</w:t>
      </w:r>
    </w:p>
    <w:p w14:paraId="17A1313E">
      <w:pPr>
        <w:spacing w:line="360" w:lineRule="auto"/>
        <w:ind w:firstLine="480" w:firstLineChars="200"/>
        <w:rPr>
          <w:sz w:val="24"/>
          <w:szCs w:val="24"/>
        </w:rPr>
      </w:pPr>
      <w:r>
        <w:rPr>
          <w:rFonts w:hint="eastAsia"/>
          <w:sz w:val="24"/>
          <w:szCs w:val="24"/>
        </w:rPr>
        <w:t>由于香港市场实行T+2日（T日买卖股票，资金和股票在T+2日才进行交收）的交收安排，本基金在T日（港股通交易日）卖出股票，T+2日（港股通交易日，即为卖出当日之后第二个港股通交易日）才能在香港市场完成清算交收，卖出的资金在T+3日才能回到人民币资金账户。因此交收制度的不同以及港股通交易日的设定原因，本基金可能面临卖出港股后资金不能及时到账，而造成支付赎回款日期比正常情况延后而给投资者带来流动性风险。</w:t>
      </w:r>
    </w:p>
    <w:p w14:paraId="1DEADD95">
      <w:pPr>
        <w:spacing w:line="360" w:lineRule="auto"/>
        <w:ind w:firstLine="480" w:firstLineChars="200"/>
        <w:rPr>
          <w:sz w:val="24"/>
          <w:szCs w:val="24"/>
        </w:rPr>
      </w:pPr>
      <w:r>
        <w:rPr>
          <w:rFonts w:hint="eastAsia"/>
          <w:sz w:val="24"/>
          <w:szCs w:val="24"/>
        </w:rPr>
        <w:t>（8）港股通下对公司行为的处理规则带来的风险</w:t>
      </w:r>
    </w:p>
    <w:p w14:paraId="56437099">
      <w:pPr>
        <w:spacing w:line="360" w:lineRule="auto"/>
        <w:ind w:firstLine="480" w:firstLineChars="200"/>
        <w:rPr>
          <w:sz w:val="24"/>
          <w:szCs w:val="24"/>
        </w:rPr>
      </w:pPr>
      <w:r>
        <w:rPr>
          <w:rFonts w:hint="eastAsia"/>
          <w:sz w:val="24"/>
          <w:szCs w:val="24"/>
        </w:rPr>
        <w:t>根据现行的港股通规则，本基金因所持港股通股票权益分派、转换、上市公司被收购等情形或者异常情况，所取得的港股通股票以外的香港联交所上市证券，只能通过港股通卖出，但不得买入；因港股通股票权益分派或者转换等情形取得的香港联交所上市股票的认购权利在联交所上市的，可以通过港股通卖出，但不得行权；因港股通股票权益分派、转换或者上市公司被收购等所取得的非联交所上市证券，可以享有相关权益，但不得通过港股通买入或卖出。</w:t>
      </w:r>
    </w:p>
    <w:p w14:paraId="744384C1">
      <w:pPr>
        <w:spacing w:line="360" w:lineRule="auto"/>
        <w:ind w:firstLine="480" w:firstLineChars="200"/>
        <w:rPr>
          <w:sz w:val="24"/>
          <w:szCs w:val="24"/>
        </w:rPr>
      </w:pPr>
      <w:r>
        <w:rPr>
          <w:rFonts w:hint="eastAsia"/>
          <w:sz w:val="24"/>
          <w:szCs w:val="24"/>
        </w:rPr>
        <w:t>因上述规则，本基金存在利益得不到最大化甚至受损的风险。</w:t>
      </w:r>
    </w:p>
    <w:p w14:paraId="5D48E4E2">
      <w:pPr>
        <w:spacing w:line="360" w:lineRule="auto"/>
        <w:ind w:firstLine="480" w:firstLineChars="200"/>
        <w:rPr>
          <w:sz w:val="24"/>
          <w:szCs w:val="24"/>
        </w:rPr>
      </w:pPr>
      <w:r>
        <w:rPr>
          <w:rFonts w:hint="eastAsia"/>
          <w:sz w:val="24"/>
          <w:szCs w:val="24"/>
        </w:rPr>
        <w:t>（9）香港联合交易所停牌、退市等制度性差异带来的风险</w:t>
      </w:r>
    </w:p>
    <w:p w14:paraId="5081AD35">
      <w:pPr>
        <w:spacing w:line="360" w:lineRule="auto"/>
        <w:ind w:firstLine="480" w:firstLineChars="200"/>
        <w:rPr>
          <w:sz w:val="24"/>
          <w:szCs w:val="24"/>
        </w:rPr>
      </w:pPr>
      <w:r>
        <w:rPr>
          <w:rFonts w:hint="eastAsia"/>
          <w:sz w:val="24"/>
          <w:szCs w:val="24"/>
        </w:rPr>
        <w:t>香港联交所规定，在交易所认为所要求的停牌合理而且必要时，上市公司方可采取停牌措施。此外，不同于内地A股市场的停牌制度，联交所对停牌的具体时长并没有量化规定，只是确定了“尽量缩短停牌时间”的原则；同时与A股市场对存在退市可能的上市公司根据其财务状况在证券简称前加入相应标记（例如，ST及*ST等标记）以警示投资者风险的做法不同，在香港联交所市场没有风险警示板，联交所采用非量化的退市标准且在上市公司退市过程中拥有相对较大的主导权，使得联交所上市公司的退市情形较A股市场相对复杂。</w:t>
      </w:r>
    </w:p>
    <w:p w14:paraId="19DEB4CE">
      <w:pPr>
        <w:spacing w:line="360" w:lineRule="auto"/>
        <w:ind w:firstLine="480" w:firstLineChars="200"/>
        <w:rPr>
          <w:sz w:val="24"/>
          <w:szCs w:val="24"/>
        </w:rPr>
      </w:pPr>
      <w:r>
        <w:rPr>
          <w:rFonts w:hint="eastAsia"/>
          <w:sz w:val="24"/>
          <w:szCs w:val="24"/>
        </w:rPr>
        <w:t>因该等制度性差异，本基金可能存在因所持个股遭遇非预期性的停牌甚至退市而给基金带来损失的风险。</w:t>
      </w:r>
    </w:p>
    <w:p w14:paraId="0FCB018E">
      <w:pPr>
        <w:spacing w:line="360" w:lineRule="auto"/>
        <w:ind w:firstLine="480" w:firstLineChars="200"/>
        <w:rPr>
          <w:sz w:val="24"/>
          <w:szCs w:val="24"/>
        </w:rPr>
      </w:pPr>
      <w:r>
        <w:rPr>
          <w:rFonts w:hint="eastAsia"/>
          <w:sz w:val="24"/>
          <w:szCs w:val="24"/>
        </w:rPr>
        <w:t>（10）港股通规则变动带来的风险</w:t>
      </w:r>
    </w:p>
    <w:p w14:paraId="7A075955">
      <w:pPr>
        <w:spacing w:line="360" w:lineRule="auto"/>
        <w:ind w:firstLine="480" w:firstLineChars="200"/>
        <w:rPr>
          <w:sz w:val="24"/>
          <w:szCs w:val="24"/>
        </w:rPr>
      </w:pPr>
      <w:r>
        <w:rPr>
          <w:rFonts w:hint="eastAsia"/>
          <w:sz w:val="24"/>
          <w:szCs w:val="24"/>
        </w:rPr>
        <w:t>本基金是在港股通机制和规则下参与香港联交所证券的投资，受港股通规则的限制和影响；本基金存在因港股通规则变动而带来基金投资受阻或所持资产组合价值发生波动的风险。</w:t>
      </w:r>
    </w:p>
    <w:p w14:paraId="06FB0D4A">
      <w:pPr>
        <w:spacing w:line="360" w:lineRule="auto"/>
        <w:ind w:firstLine="480" w:firstLineChars="200"/>
        <w:rPr>
          <w:sz w:val="24"/>
          <w:szCs w:val="24"/>
        </w:rPr>
      </w:pPr>
      <w:r>
        <w:rPr>
          <w:rFonts w:hint="eastAsia"/>
          <w:sz w:val="24"/>
          <w:szCs w:val="24"/>
        </w:rPr>
        <w:t>（11）其他可能的风险</w:t>
      </w:r>
    </w:p>
    <w:p w14:paraId="683989A7">
      <w:pPr>
        <w:spacing w:line="360" w:lineRule="auto"/>
        <w:ind w:firstLine="480" w:firstLineChars="200"/>
        <w:rPr>
          <w:sz w:val="24"/>
          <w:szCs w:val="24"/>
        </w:rPr>
      </w:pPr>
      <w:r>
        <w:rPr>
          <w:rFonts w:hint="eastAsia"/>
          <w:sz w:val="24"/>
          <w:szCs w:val="24"/>
        </w:rPr>
        <w:t>除上述显著风险外，本基金参与港股通投资，还可能面临的其他风险，包括但不限于：</w:t>
      </w:r>
    </w:p>
    <w:p w14:paraId="0262A73C">
      <w:pPr>
        <w:spacing w:line="360" w:lineRule="auto"/>
        <w:ind w:firstLine="480" w:firstLineChars="200"/>
        <w:rPr>
          <w:sz w:val="24"/>
          <w:szCs w:val="24"/>
        </w:rPr>
      </w:pPr>
      <w:r>
        <w:rPr>
          <w:rFonts w:hint="eastAsia"/>
          <w:sz w:val="24"/>
          <w:szCs w:val="24"/>
        </w:rPr>
        <w:t>1）除因股票交易而发生的佣金、交易征费、交易费、交易系统费、印花税、过户费等税费外，在不进行交易时也可能要继续缴纳证券组合费等项费用，本基金存在因费用估算不准而导致账户透支的风险；</w:t>
      </w:r>
    </w:p>
    <w:p w14:paraId="1DB65AED">
      <w:pPr>
        <w:spacing w:line="360" w:lineRule="auto"/>
        <w:ind w:firstLine="480" w:firstLineChars="200"/>
        <w:rPr>
          <w:sz w:val="24"/>
          <w:szCs w:val="24"/>
        </w:rPr>
      </w:pPr>
      <w:r>
        <w:rPr>
          <w:rFonts w:hint="eastAsia"/>
          <w:sz w:val="24"/>
          <w:szCs w:val="24"/>
        </w:rPr>
        <w:t>2）在香港市场，部分中小市值港股成交量相对较少，流动较为缺乏，本基金投资此类股票可能因缺乏交易对手而面临个股流动性风险；</w:t>
      </w:r>
    </w:p>
    <w:p w14:paraId="77CAFD6E">
      <w:pPr>
        <w:spacing w:line="360" w:lineRule="auto"/>
        <w:ind w:firstLine="480" w:firstLineChars="200"/>
        <w:rPr>
          <w:sz w:val="24"/>
          <w:szCs w:val="24"/>
        </w:rPr>
      </w:pPr>
      <w:r>
        <w:rPr>
          <w:rFonts w:hint="eastAsia"/>
          <w:sz w:val="24"/>
          <w:szCs w:val="24"/>
        </w:rPr>
        <w:t>3）在本基金参与港股通交易中若香港联交所与内地交易所的证券交易服务公司之间的报盘系统或者通信链路出现故障，可能导致15分钟以上不能申报和撤销申报的交易中断风险；</w:t>
      </w:r>
    </w:p>
    <w:p w14:paraId="416952CE">
      <w:pPr>
        <w:spacing w:line="360" w:lineRule="auto"/>
        <w:ind w:firstLine="480" w:firstLineChars="200"/>
        <w:rPr>
          <w:sz w:val="24"/>
          <w:szCs w:val="24"/>
        </w:rPr>
      </w:pPr>
      <w:r>
        <w:rPr>
          <w:rFonts w:hint="eastAsia"/>
          <w:sz w:val="24"/>
          <w:szCs w:val="24"/>
        </w:rPr>
        <w:t>4）存在港股通香港结算机构因极端情况下无法交付证券和资金的结算风险；另外港股通境内结算实施分级结算原则，本基金可能面临以下风险：（一）因结算参与人未完成与中国结算的集中交收，导致本基金应收资金或证券被暂不交付或处置；（二）结算参与人对本基金出现交收违约导致本基金未能取得应收证券或资金；（三）结算参与人向中国结算发送的有关本基金的证券划付指令有误的导致本基金权益受损；（四）其他因结算参与人未遵守相关业务规则导致本基金利益受到损害的情况。</w:t>
      </w:r>
    </w:p>
    <w:p w14:paraId="009A8DC5">
      <w:pPr>
        <w:spacing w:line="360" w:lineRule="auto"/>
        <w:ind w:firstLine="480" w:firstLineChars="200"/>
        <w:rPr>
          <w:sz w:val="24"/>
          <w:szCs w:val="24"/>
        </w:rPr>
      </w:pPr>
      <w:r>
        <w:rPr>
          <w:sz w:val="24"/>
          <w:szCs w:val="24"/>
        </w:rPr>
        <w:t>3</w:t>
      </w:r>
      <w:r>
        <w:rPr>
          <w:rFonts w:hint="eastAsia"/>
          <w:sz w:val="24"/>
          <w:szCs w:val="24"/>
        </w:rPr>
        <w:t>、参与期货交易的风险</w:t>
      </w:r>
    </w:p>
    <w:p w14:paraId="443D6561">
      <w:pPr>
        <w:spacing w:line="360" w:lineRule="auto"/>
        <w:ind w:firstLine="480" w:firstLineChars="200"/>
        <w:rPr>
          <w:sz w:val="24"/>
          <w:szCs w:val="24"/>
        </w:rPr>
      </w:pPr>
      <w:r>
        <w:rPr>
          <w:sz w:val="24"/>
          <w:szCs w:val="24"/>
        </w:rPr>
        <w:t>本基金可</w:t>
      </w:r>
      <w:r>
        <w:rPr>
          <w:rFonts w:hint="eastAsia"/>
          <w:sz w:val="24"/>
          <w:szCs w:val="24"/>
        </w:rPr>
        <w:t>参与</w:t>
      </w:r>
      <w:r>
        <w:rPr>
          <w:sz w:val="24"/>
          <w:szCs w:val="24"/>
        </w:rPr>
        <w:t>股指期货</w:t>
      </w:r>
      <w:r>
        <w:rPr>
          <w:rFonts w:hint="eastAsia"/>
          <w:sz w:val="24"/>
          <w:szCs w:val="24"/>
        </w:rPr>
        <w:t>、国债期货交易</w:t>
      </w:r>
      <w:r>
        <w:rPr>
          <w:sz w:val="24"/>
          <w:szCs w:val="24"/>
        </w:rPr>
        <w:t>，股指期货</w:t>
      </w:r>
      <w:r>
        <w:rPr>
          <w:rFonts w:hint="eastAsia"/>
          <w:sz w:val="24"/>
          <w:szCs w:val="24"/>
        </w:rPr>
        <w:t>、国债期货</w:t>
      </w:r>
      <w:r>
        <w:rPr>
          <w:sz w:val="24"/>
          <w:szCs w:val="24"/>
        </w:rPr>
        <w:t>作为金融衍生品，主要存在以下风险：</w:t>
      </w:r>
    </w:p>
    <w:p w14:paraId="02671787">
      <w:pPr>
        <w:spacing w:line="360" w:lineRule="auto"/>
        <w:ind w:firstLine="480" w:firstLineChars="200"/>
        <w:rPr>
          <w:sz w:val="24"/>
          <w:szCs w:val="24"/>
        </w:rPr>
      </w:pPr>
      <w:r>
        <w:rPr>
          <w:rFonts w:hint="eastAsia"/>
          <w:sz w:val="24"/>
          <w:szCs w:val="24"/>
        </w:rPr>
        <w:t>（1）</w:t>
      </w:r>
      <w:r>
        <w:rPr>
          <w:sz w:val="24"/>
          <w:szCs w:val="24"/>
        </w:rPr>
        <w:t>市场风险：是指由于股指期货</w:t>
      </w:r>
      <w:r>
        <w:rPr>
          <w:rFonts w:hint="eastAsia"/>
          <w:sz w:val="24"/>
          <w:szCs w:val="24"/>
        </w:rPr>
        <w:t>、国债期货</w:t>
      </w:r>
      <w:r>
        <w:rPr>
          <w:sz w:val="24"/>
          <w:szCs w:val="24"/>
        </w:rPr>
        <w:t>价格变动而给投资者带来的风险。</w:t>
      </w:r>
    </w:p>
    <w:p w14:paraId="47FE5A74">
      <w:pPr>
        <w:spacing w:line="360" w:lineRule="auto"/>
        <w:ind w:firstLine="480" w:firstLineChars="200"/>
        <w:rPr>
          <w:sz w:val="24"/>
          <w:szCs w:val="24"/>
        </w:rPr>
      </w:pPr>
      <w:r>
        <w:rPr>
          <w:rFonts w:hint="eastAsia"/>
          <w:sz w:val="24"/>
          <w:szCs w:val="24"/>
        </w:rPr>
        <w:t>（2）</w:t>
      </w:r>
      <w:r>
        <w:rPr>
          <w:sz w:val="24"/>
          <w:szCs w:val="24"/>
        </w:rPr>
        <w:t>流动性风险：是指由于股指期货</w:t>
      </w:r>
      <w:r>
        <w:rPr>
          <w:rFonts w:hint="eastAsia"/>
          <w:sz w:val="24"/>
          <w:szCs w:val="24"/>
        </w:rPr>
        <w:t>、国债期货</w:t>
      </w:r>
      <w:r>
        <w:rPr>
          <w:sz w:val="24"/>
          <w:szCs w:val="24"/>
        </w:rPr>
        <w:t>合约无法及时变现所带来的风险。</w:t>
      </w:r>
    </w:p>
    <w:p w14:paraId="03E0E7C4">
      <w:pPr>
        <w:spacing w:line="360" w:lineRule="auto"/>
        <w:ind w:firstLine="480" w:firstLineChars="200"/>
        <w:rPr>
          <w:sz w:val="24"/>
          <w:szCs w:val="24"/>
        </w:rPr>
      </w:pPr>
      <w:r>
        <w:rPr>
          <w:rFonts w:hint="eastAsia"/>
          <w:sz w:val="24"/>
          <w:szCs w:val="24"/>
        </w:rPr>
        <w:t>（3）</w:t>
      </w:r>
      <w:r>
        <w:rPr>
          <w:sz w:val="24"/>
          <w:szCs w:val="24"/>
        </w:rPr>
        <w:t>基差风险：是指股指期货</w:t>
      </w:r>
      <w:r>
        <w:rPr>
          <w:rFonts w:hint="eastAsia"/>
          <w:sz w:val="24"/>
          <w:szCs w:val="24"/>
        </w:rPr>
        <w:t>、国债期货</w:t>
      </w:r>
      <w:r>
        <w:rPr>
          <w:sz w:val="24"/>
          <w:szCs w:val="24"/>
        </w:rPr>
        <w:t>合约价格和</w:t>
      </w:r>
      <w:r>
        <w:rPr>
          <w:rFonts w:hint="eastAsia"/>
          <w:sz w:val="24"/>
          <w:szCs w:val="24"/>
        </w:rPr>
        <w:t>合约标的</w:t>
      </w:r>
      <w:r>
        <w:rPr>
          <w:sz w:val="24"/>
          <w:szCs w:val="24"/>
        </w:rPr>
        <w:t>价格之间的价格差的波动所造成的风险。</w:t>
      </w:r>
    </w:p>
    <w:p w14:paraId="66280997">
      <w:pPr>
        <w:spacing w:line="360" w:lineRule="auto"/>
        <w:ind w:firstLine="480" w:firstLineChars="200"/>
        <w:rPr>
          <w:sz w:val="24"/>
          <w:szCs w:val="24"/>
        </w:rPr>
      </w:pPr>
      <w:r>
        <w:rPr>
          <w:rFonts w:hint="eastAsia"/>
          <w:sz w:val="24"/>
          <w:szCs w:val="24"/>
        </w:rPr>
        <w:t>（4）</w:t>
      </w:r>
      <w:r>
        <w:rPr>
          <w:sz w:val="24"/>
          <w:szCs w:val="24"/>
        </w:rPr>
        <w:t>保证金风险：是指由于无法及时筹措资金满足建立或者维持股指期货</w:t>
      </w:r>
      <w:r>
        <w:rPr>
          <w:rFonts w:hint="eastAsia"/>
          <w:sz w:val="24"/>
          <w:szCs w:val="24"/>
        </w:rPr>
        <w:t>、国债期货</w:t>
      </w:r>
      <w:r>
        <w:rPr>
          <w:sz w:val="24"/>
          <w:szCs w:val="24"/>
        </w:rPr>
        <w:t>合约头寸所要求的保证金而带来的风险。</w:t>
      </w:r>
    </w:p>
    <w:p w14:paraId="2904D952">
      <w:pPr>
        <w:spacing w:line="360" w:lineRule="auto"/>
        <w:ind w:firstLine="480" w:firstLineChars="200"/>
        <w:rPr>
          <w:sz w:val="24"/>
          <w:szCs w:val="24"/>
        </w:rPr>
      </w:pPr>
      <w:r>
        <w:rPr>
          <w:rFonts w:hint="eastAsia"/>
          <w:sz w:val="24"/>
          <w:szCs w:val="24"/>
        </w:rPr>
        <w:t>（5）</w:t>
      </w:r>
      <w:r>
        <w:rPr>
          <w:sz w:val="24"/>
          <w:szCs w:val="24"/>
        </w:rPr>
        <w:t>信用风险：是指期货经纪公司违约而产生损失的风险。</w:t>
      </w:r>
    </w:p>
    <w:p w14:paraId="3A11F51B">
      <w:pPr>
        <w:spacing w:line="360" w:lineRule="auto"/>
        <w:ind w:firstLine="480" w:firstLineChars="200"/>
        <w:rPr>
          <w:sz w:val="24"/>
          <w:szCs w:val="24"/>
        </w:rPr>
      </w:pPr>
      <w:r>
        <w:rPr>
          <w:rFonts w:hint="eastAsia"/>
          <w:sz w:val="24"/>
          <w:szCs w:val="24"/>
        </w:rPr>
        <w:t>（6）</w:t>
      </w:r>
      <w:r>
        <w:rPr>
          <w:sz w:val="24"/>
          <w:szCs w:val="24"/>
        </w:rPr>
        <w:t>操作风险：是指由于内部流程的不完善，业务人员出现差错或者疏漏，或者系统出现故障等原因造成损失的风险。</w:t>
      </w:r>
    </w:p>
    <w:p w14:paraId="5DF4F03D">
      <w:pPr>
        <w:spacing w:line="360" w:lineRule="auto"/>
        <w:ind w:firstLine="480" w:firstLineChars="200"/>
        <w:rPr>
          <w:sz w:val="24"/>
          <w:szCs w:val="24"/>
        </w:rPr>
      </w:pPr>
      <w:r>
        <w:rPr>
          <w:sz w:val="24"/>
          <w:szCs w:val="24"/>
        </w:rPr>
        <w:t>4</w:t>
      </w:r>
      <w:r>
        <w:rPr>
          <w:rFonts w:hint="eastAsia"/>
          <w:sz w:val="24"/>
          <w:szCs w:val="24"/>
        </w:rPr>
        <w:t>、资产支持证券的投资风险</w:t>
      </w:r>
    </w:p>
    <w:p w14:paraId="18B12F6D">
      <w:pPr>
        <w:spacing w:line="360" w:lineRule="auto"/>
        <w:ind w:firstLine="480" w:firstLineChars="200"/>
        <w:rPr>
          <w:sz w:val="24"/>
          <w:szCs w:val="24"/>
        </w:rPr>
      </w:pPr>
      <w:r>
        <w:rPr>
          <w:rFonts w:hint="eastAsia"/>
          <w:sz w:val="24"/>
          <w:szCs w:val="24"/>
        </w:rPr>
        <w:t>本基金可投资于资产支持证券，可能面临利率风险、流动性风险、现金流预测风险。利率风险是指市场利率将随宏观经济环境的变化而波动，利率波动可能会影响资产支持证券收益。流动性风险是指在交易对手有限的情况下，资产支持证券持有人将面临无法在合理的时间内以公允价格出售资产支持证券而遭受损失的风险。资产支持证券的还款来源为基础资产未来现金流，现金流预测风险是指由于对基础资产的现金流预测发生偏差导致的资产支持证券本息无法按期或足额偿还的风险。</w:t>
      </w:r>
    </w:p>
    <w:p w14:paraId="60752537">
      <w:pPr>
        <w:spacing w:line="360" w:lineRule="auto"/>
        <w:ind w:firstLine="480" w:firstLineChars="200"/>
        <w:rPr>
          <w:sz w:val="24"/>
          <w:szCs w:val="24"/>
        </w:rPr>
      </w:pPr>
      <w:r>
        <w:rPr>
          <w:sz w:val="24"/>
          <w:szCs w:val="24"/>
        </w:rPr>
        <w:t>5</w:t>
      </w:r>
      <w:r>
        <w:rPr>
          <w:rFonts w:hint="eastAsia"/>
          <w:sz w:val="24"/>
          <w:szCs w:val="24"/>
        </w:rPr>
        <w:t>、流通受限证券的投资风险</w:t>
      </w:r>
    </w:p>
    <w:p w14:paraId="092186CD">
      <w:pPr>
        <w:spacing w:line="360" w:lineRule="auto"/>
        <w:ind w:firstLine="480" w:firstLineChars="200"/>
        <w:rPr>
          <w:sz w:val="24"/>
          <w:szCs w:val="24"/>
        </w:rPr>
      </w:pPr>
      <w:r>
        <w:rPr>
          <w:rFonts w:hint="eastAsia"/>
          <w:sz w:val="24"/>
          <w:szCs w:val="24"/>
        </w:rPr>
        <w:t>本基金的投资范围包括非公开发行股票等流通受限证券，由于流通受限证券具有锁定期，存在潜在的流动性风险。因此可能在本基金需要变现资产时，受流动性的限制，本基金短期内无法卖出所持有的流通受限证券，由此可能给基金净值带来不利影响或损失。</w:t>
      </w:r>
      <w:r>
        <w:rPr>
          <w:sz w:val="24"/>
          <w:szCs w:val="24"/>
        </w:rPr>
        <w:t>敬请投资者关注相关风险</w:t>
      </w:r>
      <w:r>
        <w:rPr>
          <w:rFonts w:hint="eastAsia"/>
          <w:sz w:val="24"/>
          <w:szCs w:val="24"/>
        </w:rPr>
        <w:t>。</w:t>
      </w:r>
    </w:p>
    <w:p w14:paraId="663D1573">
      <w:pPr>
        <w:spacing w:line="360" w:lineRule="auto"/>
        <w:ind w:firstLine="480" w:firstLineChars="200"/>
        <w:rPr>
          <w:sz w:val="24"/>
          <w:szCs w:val="24"/>
        </w:rPr>
      </w:pPr>
      <w:r>
        <w:rPr>
          <w:sz w:val="24"/>
          <w:szCs w:val="24"/>
        </w:rPr>
        <w:t>6</w:t>
      </w:r>
      <w:r>
        <w:rPr>
          <w:rFonts w:hint="eastAsia"/>
          <w:sz w:val="24"/>
          <w:szCs w:val="24"/>
        </w:rPr>
        <w:t>、存托凭证的投资风险</w:t>
      </w:r>
    </w:p>
    <w:p w14:paraId="506CD8B5">
      <w:pPr>
        <w:spacing w:line="360" w:lineRule="auto"/>
        <w:ind w:firstLine="480" w:firstLineChars="200"/>
        <w:rPr>
          <w:sz w:val="24"/>
          <w:szCs w:val="24"/>
        </w:rPr>
      </w:pPr>
      <w:r>
        <w:rPr>
          <w:rFonts w:hint="eastAsia"/>
          <w:sz w:val="24"/>
          <w:szCs w:val="24"/>
        </w:rPr>
        <w:t>本基金的投资范围包括存托凭证，可能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AC28239">
      <w:pPr>
        <w:spacing w:line="360" w:lineRule="auto"/>
        <w:ind w:firstLine="480" w:firstLineChars="200"/>
        <w:rPr>
          <w:sz w:val="24"/>
          <w:szCs w:val="24"/>
        </w:rPr>
      </w:pPr>
      <w:r>
        <w:rPr>
          <w:sz w:val="24"/>
          <w:szCs w:val="24"/>
        </w:rPr>
        <w:t>7</w:t>
      </w:r>
      <w:r>
        <w:rPr>
          <w:rFonts w:hint="eastAsia"/>
          <w:sz w:val="24"/>
          <w:szCs w:val="24"/>
        </w:rPr>
        <w:t>、科创板股票的投资风险</w:t>
      </w:r>
    </w:p>
    <w:p w14:paraId="130AC92F">
      <w:pPr>
        <w:spacing w:line="360" w:lineRule="auto"/>
        <w:ind w:firstLine="480" w:firstLineChars="200"/>
        <w:rPr>
          <w:sz w:val="24"/>
          <w:szCs w:val="24"/>
        </w:rPr>
      </w:pPr>
      <w:r>
        <w:rPr>
          <w:rFonts w:hint="eastAsia"/>
          <w:sz w:val="24"/>
          <w:szCs w:val="24"/>
        </w:rPr>
        <w:t>本基金的投资范围包括科创板股票，可能面临科创板机制下因投资标的、市场制度以及交易规则等差异带来的特有风险，包括股价波动风险、流动性风险、退市风险和投资集中风险等。</w:t>
      </w:r>
    </w:p>
    <w:p w14:paraId="1FD4C8F2">
      <w:pPr>
        <w:spacing w:line="360" w:lineRule="auto"/>
        <w:ind w:firstLine="480" w:firstLineChars="200"/>
        <w:rPr>
          <w:sz w:val="24"/>
          <w:szCs w:val="24"/>
        </w:rPr>
      </w:pPr>
      <w:r>
        <w:rPr>
          <w:rFonts w:hint="eastAsia"/>
          <w:sz w:val="24"/>
          <w:szCs w:val="24"/>
        </w:rPr>
        <w:t>（1）股价波动风险</w:t>
      </w:r>
    </w:p>
    <w:p w14:paraId="412DC095">
      <w:pPr>
        <w:spacing w:line="360" w:lineRule="auto"/>
        <w:ind w:firstLine="480" w:firstLineChars="200"/>
        <w:rPr>
          <w:sz w:val="24"/>
          <w:szCs w:val="24"/>
        </w:rPr>
      </w:pPr>
      <w:r>
        <w:rPr>
          <w:rFonts w:hint="eastAsia"/>
          <w:sz w:val="24"/>
          <w:szCs w:val="24"/>
        </w:rPr>
        <w:t>科创板对个股每日涨跌幅限制为20%，且新股上市后的前5个交易日不设置涨跌幅限制，股价可能表现出比A股其他板块更为剧烈的波动。</w:t>
      </w:r>
    </w:p>
    <w:p w14:paraId="1341F7B6">
      <w:pPr>
        <w:spacing w:line="360" w:lineRule="auto"/>
        <w:ind w:firstLine="480" w:firstLineChars="200"/>
        <w:rPr>
          <w:sz w:val="24"/>
          <w:szCs w:val="24"/>
        </w:rPr>
      </w:pPr>
      <w:r>
        <w:rPr>
          <w:rFonts w:hint="eastAsia"/>
          <w:sz w:val="24"/>
          <w:szCs w:val="24"/>
        </w:rPr>
        <w:t>（2）流动性风险</w:t>
      </w:r>
    </w:p>
    <w:p w14:paraId="64C8C3F4">
      <w:pPr>
        <w:spacing w:line="360" w:lineRule="auto"/>
        <w:ind w:firstLine="480" w:firstLineChars="200"/>
        <w:rPr>
          <w:sz w:val="24"/>
          <w:szCs w:val="24"/>
        </w:rPr>
      </w:pPr>
      <w:r>
        <w:rPr>
          <w:rFonts w:hint="eastAsia"/>
          <w:sz w:val="24"/>
          <w:szCs w:val="24"/>
        </w:rPr>
        <w:t>科创板投资者门槛较高，流动性可能弱于A股其他板块。科创板机构投资者占比较大，投资者可能在特定阶段对科创板个股形成一致性预期，存在基金持有股票无法正常成交的风险。</w:t>
      </w:r>
    </w:p>
    <w:p w14:paraId="05124262">
      <w:pPr>
        <w:spacing w:line="360" w:lineRule="auto"/>
        <w:ind w:firstLine="480" w:firstLineChars="200"/>
        <w:rPr>
          <w:sz w:val="24"/>
          <w:szCs w:val="24"/>
        </w:rPr>
      </w:pPr>
      <w:r>
        <w:rPr>
          <w:rFonts w:hint="eastAsia"/>
          <w:sz w:val="24"/>
          <w:szCs w:val="24"/>
        </w:rPr>
        <w:t>（3）退市风险</w:t>
      </w:r>
    </w:p>
    <w:p w14:paraId="28895BCE">
      <w:pPr>
        <w:spacing w:line="360" w:lineRule="auto"/>
        <w:ind w:firstLine="480" w:firstLineChars="200"/>
        <w:rPr>
          <w:sz w:val="24"/>
          <w:szCs w:val="24"/>
        </w:rPr>
      </w:pPr>
      <w:r>
        <w:rPr>
          <w:rFonts w:hint="eastAsia"/>
          <w:sz w:val="24"/>
          <w:szCs w:val="24"/>
        </w:rPr>
        <w:t>科创板执行比A股其他板块更为严格的退市标准，且退市程序存在一定差别。因此上市公司退市风险更大，可能会对基金净值产生不利影响。</w:t>
      </w:r>
    </w:p>
    <w:p w14:paraId="3893BC23">
      <w:pPr>
        <w:spacing w:line="360" w:lineRule="auto"/>
        <w:ind w:firstLine="480" w:firstLineChars="200"/>
        <w:rPr>
          <w:sz w:val="24"/>
          <w:szCs w:val="24"/>
        </w:rPr>
      </w:pPr>
      <w:r>
        <w:rPr>
          <w:rFonts w:hint="eastAsia"/>
          <w:sz w:val="24"/>
          <w:szCs w:val="24"/>
        </w:rPr>
        <w:t>（4）投资集中风险</w:t>
      </w:r>
    </w:p>
    <w:p w14:paraId="16A55D70">
      <w:pPr>
        <w:spacing w:line="360" w:lineRule="auto"/>
        <w:ind w:firstLine="480" w:firstLineChars="200"/>
        <w:rPr>
          <w:sz w:val="24"/>
          <w:szCs w:val="24"/>
        </w:rPr>
      </w:pPr>
      <w:r>
        <w:rPr>
          <w:rFonts w:hint="eastAsia"/>
          <w:sz w:val="24"/>
          <w:szCs w:val="24"/>
        </w:rPr>
        <w:t>因科创板上市公司的商业模式、盈利模式等可能存在一定的相似性，因此持仓股票股价存在同向波动的可能，从而产生对基金净值不利的影响。</w:t>
      </w:r>
    </w:p>
    <w:p w14:paraId="60FE598B">
      <w:pPr>
        <w:spacing w:line="360" w:lineRule="auto"/>
        <w:ind w:firstLine="480" w:firstLineChars="200"/>
        <w:rPr>
          <w:sz w:val="24"/>
          <w:szCs w:val="24"/>
        </w:rPr>
      </w:pPr>
      <w:r>
        <w:rPr>
          <w:rFonts w:hint="eastAsia"/>
          <w:sz w:val="24"/>
          <w:szCs w:val="24"/>
        </w:rPr>
        <w:t>8、基金投资特定品种可能引起的风险</w:t>
      </w:r>
    </w:p>
    <w:p w14:paraId="18BE0AC1">
      <w:pPr>
        <w:spacing w:line="360" w:lineRule="auto"/>
        <w:ind w:firstLine="480" w:firstLineChars="200"/>
        <w:rPr>
          <w:sz w:val="24"/>
          <w:szCs w:val="24"/>
        </w:rPr>
      </w:pPr>
      <w:r>
        <w:rPr>
          <w:rFonts w:hint="eastAsia"/>
          <w:sz w:val="24"/>
          <w:szCs w:val="24"/>
        </w:rPr>
        <w:t>本基金投资于本基金界定的新材料主题相关证券资产占非现金基金资产的比例不低于80%。本基金投资于新材料主题相关证券，受宏观经济环境、行业周期、产业政策和公司自身经营状况等因素的影响，该类证券的特定风险即成为本基金及投资者主要面对的投资风险。</w:t>
      </w:r>
    </w:p>
    <w:p w14:paraId="4DAF5F1C">
      <w:pPr>
        <w:spacing w:line="360" w:lineRule="auto"/>
        <w:ind w:firstLine="480" w:firstLineChars="200"/>
        <w:rPr>
          <w:sz w:val="24"/>
          <w:szCs w:val="24"/>
        </w:rPr>
      </w:pPr>
      <w:r>
        <w:rPr>
          <w:sz w:val="24"/>
          <w:szCs w:val="24"/>
        </w:rPr>
        <w:t>9</w:t>
      </w:r>
      <w:r>
        <w:rPr>
          <w:rFonts w:hint="eastAsia"/>
          <w:sz w:val="24"/>
          <w:szCs w:val="24"/>
        </w:rPr>
        <w:t>、基金终止清盘的风险</w:t>
      </w:r>
    </w:p>
    <w:p w14:paraId="5BE09C92">
      <w:pPr>
        <w:spacing w:line="360" w:lineRule="auto"/>
        <w:ind w:firstLine="480" w:firstLineChars="200"/>
        <w:rPr>
          <w:sz w:val="24"/>
          <w:szCs w:val="24"/>
        </w:rPr>
      </w:pPr>
      <w:r>
        <w:rPr>
          <w:rFonts w:hint="eastAsia"/>
          <w:sz w:val="24"/>
          <w:szCs w:val="24"/>
        </w:rPr>
        <w:t>基金合同生效之日起三年后的对应日（若无对应日则顺延至下一日），若本基金资产净值低于两亿元，基金合同自动终止，且不得通过召开基金份额持有人大会的方式延续基金合同期限，投资人将面临基金终止清盘的风险。</w:t>
      </w:r>
    </w:p>
    <w:p w14:paraId="3BEDB0C2">
      <w:pPr>
        <w:spacing w:line="360" w:lineRule="auto"/>
        <w:ind w:firstLine="480" w:firstLineChars="200"/>
        <w:rPr>
          <w:sz w:val="24"/>
          <w:szCs w:val="24"/>
          <w:lang w:val="zh-CN"/>
        </w:rPr>
      </w:pPr>
      <w:r>
        <w:rPr>
          <w:rFonts w:hint="eastAsia"/>
          <w:sz w:val="24"/>
          <w:szCs w:val="24"/>
        </w:rPr>
        <w:t>10、本基金对于投资者通过直销机构认购/申购的C类基金份额计提的销售服务费，以及投资者通过其他销售机构认购/申购且持续持有期限超过一年的C类基金份额继续计提的销售服务费采取“先收后返”模式，投资者实际收到的赎回款项或清算款项的金额可能与按披露的该类基金份额净值计算的结果存在差异。投资者的实际赎回金额和清算资金以登记机构确认数据为准。</w:t>
      </w:r>
    </w:p>
    <w:p w14:paraId="52E3805A">
      <w:pPr>
        <w:spacing w:line="360" w:lineRule="auto"/>
        <w:ind w:firstLine="480" w:firstLineChars="200"/>
        <w:rPr>
          <w:sz w:val="24"/>
          <w:szCs w:val="24"/>
        </w:rPr>
      </w:pPr>
      <w:r>
        <w:rPr>
          <w:rFonts w:hint="eastAsia"/>
          <w:sz w:val="24"/>
          <w:szCs w:val="24"/>
        </w:rPr>
        <w:t>八、本基金法律文件风险收益特征表述与销售机构基金风险评价可能不一致的风险</w:t>
      </w:r>
    </w:p>
    <w:p w14:paraId="7CBFEB70">
      <w:pPr>
        <w:spacing w:line="360" w:lineRule="auto"/>
        <w:ind w:firstLine="480" w:firstLineChars="200"/>
        <w:rPr>
          <w:sz w:val="24"/>
          <w:szCs w:val="24"/>
        </w:rPr>
      </w:pPr>
      <w:r>
        <w:rPr>
          <w:rFonts w:hint="eastAsia"/>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14:paraId="69B8135B">
      <w:pPr>
        <w:spacing w:line="360" w:lineRule="auto"/>
        <w:ind w:firstLine="480" w:firstLineChars="200"/>
        <w:rPr>
          <w:sz w:val="24"/>
          <w:szCs w:val="24"/>
        </w:rPr>
      </w:pPr>
      <w:r>
        <w:rPr>
          <w:rFonts w:hint="eastAsia"/>
          <w:sz w:val="24"/>
          <w:szCs w:val="24"/>
        </w:rPr>
        <w:t>九、其他风险</w:t>
      </w:r>
    </w:p>
    <w:p w14:paraId="55CB8B02">
      <w:pPr>
        <w:spacing w:line="360" w:lineRule="auto"/>
        <w:ind w:firstLine="480" w:firstLineChars="200"/>
        <w:rPr>
          <w:sz w:val="24"/>
          <w:szCs w:val="24"/>
        </w:rPr>
      </w:pPr>
      <w:r>
        <w:rPr>
          <w:rFonts w:hint="eastAsia"/>
          <w:sz w:val="24"/>
          <w:szCs w:val="24"/>
        </w:rPr>
        <w:t>1、因技术因素而产生的风险，如电脑系统不可靠产生的风险。</w:t>
      </w:r>
    </w:p>
    <w:p w14:paraId="7CA0BCB7">
      <w:pPr>
        <w:spacing w:line="360" w:lineRule="auto"/>
        <w:ind w:firstLine="480" w:firstLineChars="200"/>
        <w:rPr>
          <w:sz w:val="24"/>
          <w:szCs w:val="24"/>
        </w:rPr>
      </w:pPr>
      <w:r>
        <w:rPr>
          <w:rFonts w:hint="eastAsia"/>
          <w:sz w:val="24"/>
          <w:szCs w:val="24"/>
        </w:rPr>
        <w:t>2、因基金业务快速发展而在制度建设、人员配备、内控制度建立等方面不完善而产生的风险。</w:t>
      </w:r>
    </w:p>
    <w:p w14:paraId="3D74B563">
      <w:pPr>
        <w:spacing w:line="360" w:lineRule="auto"/>
        <w:ind w:firstLine="480" w:firstLineChars="200"/>
        <w:rPr>
          <w:sz w:val="24"/>
          <w:szCs w:val="24"/>
        </w:rPr>
      </w:pPr>
      <w:r>
        <w:rPr>
          <w:rFonts w:hint="eastAsia"/>
          <w:sz w:val="24"/>
          <w:szCs w:val="24"/>
        </w:rPr>
        <w:t>3、因人为因素而产生的风险、如内幕交易、欺诈行为等产生的风险。</w:t>
      </w:r>
    </w:p>
    <w:p w14:paraId="415F6903">
      <w:pPr>
        <w:spacing w:line="360" w:lineRule="auto"/>
        <w:ind w:firstLine="480" w:firstLineChars="200"/>
        <w:rPr>
          <w:sz w:val="24"/>
          <w:szCs w:val="24"/>
        </w:rPr>
      </w:pPr>
      <w:r>
        <w:rPr>
          <w:rFonts w:hint="eastAsia"/>
          <w:sz w:val="24"/>
          <w:szCs w:val="24"/>
        </w:rPr>
        <w:t>4、对主要业务人员如基金经理的依赖而可能产生的风险。</w:t>
      </w:r>
    </w:p>
    <w:p w14:paraId="044C6DF6">
      <w:pPr>
        <w:spacing w:line="360" w:lineRule="auto"/>
        <w:ind w:firstLine="480" w:firstLineChars="200"/>
        <w:rPr>
          <w:sz w:val="24"/>
          <w:szCs w:val="24"/>
        </w:rPr>
      </w:pPr>
      <w:r>
        <w:rPr>
          <w:rFonts w:hint="eastAsia"/>
          <w:sz w:val="24"/>
          <w:szCs w:val="24"/>
        </w:rPr>
        <w:t>5、因业务竞争压力可能产生的风险。</w:t>
      </w:r>
    </w:p>
    <w:p w14:paraId="03232FFE">
      <w:pPr>
        <w:spacing w:line="360" w:lineRule="auto"/>
        <w:ind w:firstLine="480" w:firstLineChars="200"/>
        <w:rPr>
          <w:sz w:val="24"/>
          <w:szCs w:val="24"/>
        </w:rPr>
      </w:pPr>
      <w:r>
        <w:rPr>
          <w:rFonts w:hint="eastAsia"/>
          <w:sz w:val="24"/>
          <w:szCs w:val="24"/>
        </w:rPr>
        <w:t>6、战争、自然灾害等不可抗力可能导致基金资产的损失，影响基金收益水平，从而带来风险。</w:t>
      </w:r>
    </w:p>
    <w:p w14:paraId="77F4CA88">
      <w:pPr>
        <w:spacing w:line="360" w:lineRule="auto"/>
        <w:ind w:firstLine="480" w:firstLineChars="200"/>
        <w:rPr>
          <w:sz w:val="24"/>
          <w:szCs w:val="24"/>
        </w:rPr>
      </w:pPr>
      <w:r>
        <w:rPr>
          <w:rFonts w:hint="eastAsia"/>
          <w:sz w:val="24"/>
          <w:szCs w:val="24"/>
        </w:rPr>
        <w:t>7、其他意外导致的风险。</w:t>
      </w:r>
    </w:p>
    <w:p w14:paraId="050ACA82">
      <w:pPr>
        <w:spacing w:line="360" w:lineRule="auto"/>
        <w:ind w:firstLine="480" w:firstLineChars="200"/>
        <w:rPr>
          <w:sz w:val="24"/>
          <w:szCs w:val="24"/>
        </w:rPr>
      </w:pPr>
    </w:p>
    <w:p w14:paraId="0A079474">
      <w:pPr>
        <w:pStyle w:val="2"/>
        <w:spacing w:before="0" w:after="0"/>
        <w:jc w:val="center"/>
        <w:rPr>
          <w:rFonts w:ascii="Times New Roman"/>
          <w:color w:val="auto"/>
          <w:szCs w:val="24"/>
        </w:rPr>
      </w:pPr>
      <w:r>
        <w:rPr>
          <w:rFonts w:ascii="Times New Roman"/>
          <w:b w:val="0"/>
          <w:bCs/>
          <w:color w:val="auto"/>
          <w:kern w:val="44"/>
          <w:szCs w:val="24"/>
        </w:rPr>
        <w:br w:type="page"/>
      </w:r>
      <w:bookmarkStart w:id="290" w:name="_Toc345339073"/>
      <w:bookmarkStart w:id="291" w:name="_Toc326752142"/>
      <w:bookmarkStart w:id="292" w:name="_Toc216103551"/>
      <w:bookmarkStart w:id="293" w:name="_Toc48032555"/>
      <w:r>
        <w:rPr>
          <w:rFonts w:ascii="Times New Roman"/>
          <w:color w:val="auto"/>
          <w:szCs w:val="24"/>
        </w:rPr>
        <w:t>第十</w:t>
      </w:r>
      <w:r>
        <w:rPr>
          <w:rFonts w:hint="eastAsia" w:ascii="Times New Roman"/>
          <w:color w:val="auto"/>
          <w:szCs w:val="24"/>
        </w:rPr>
        <w:t>八</w:t>
      </w:r>
      <w:r>
        <w:rPr>
          <w:rFonts w:ascii="Times New Roman"/>
          <w:color w:val="auto"/>
          <w:szCs w:val="24"/>
        </w:rPr>
        <w:t xml:space="preserve">部分  </w:t>
      </w:r>
      <w:bookmarkStart w:id="294" w:name="_Hlt88828593"/>
      <w:r>
        <w:rPr>
          <w:rFonts w:ascii="Times New Roman"/>
          <w:color w:val="auto"/>
          <w:szCs w:val="24"/>
        </w:rPr>
        <w:t>基金</w:t>
      </w:r>
      <w:r>
        <w:rPr>
          <w:rFonts w:hint="eastAsia" w:ascii="Times New Roman"/>
          <w:color w:val="auto"/>
          <w:szCs w:val="24"/>
        </w:rPr>
        <w:t>合同</w:t>
      </w:r>
      <w:bookmarkEnd w:id="294"/>
      <w:r>
        <w:rPr>
          <w:rFonts w:ascii="Times New Roman"/>
          <w:color w:val="auto"/>
          <w:szCs w:val="24"/>
        </w:rPr>
        <w:t>的</w:t>
      </w:r>
      <w:r>
        <w:rPr>
          <w:rFonts w:hint="eastAsia" w:ascii="Times New Roman"/>
          <w:color w:val="auto"/>
          <w:szCs w:val="24"/>
        </w:rPr>
        <w:t>变更、</w:t>
      </w:r>
      <w:r>
        <w:rPr>
          <w:rFonts w:ascii="Times New Roman"/>
          <w:color w:val="auto"/>
          <w:szCs w:val="24"/>
        </w:rPr>
        <w:t>终止与</w:t>
      </w:r>
      <w:r>
        <w:rPr>
          <w:rFonts w:hint="eastAsia" w:ascii="Times New Roman"/>
          <w:color w:val="auto"/>
          <w:szCs w:val="24"/>
        </w:rPr>
        <w:t>基金财产的</w:t>
      </w:r>
      <w:r>
        <w:rPr>
          <w:rFonts w:ascii="Times New Roman"/>
          <w:color w:val="auto"/>
          <w:szCs w:val="24"/>
        </w:rPr>
        <w:t>清算</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90"/>
      <w:bookmarkEnd w:id="291"/>
      <w:bookmarkEnd w:id="292"/>
      <w:bookmarkEnd w:id="293"/>
    </w:p>
    <w:p w14:paraId="5FD6D498">
      <w:pPr>
        <w:spacing w:line="360" w:lineRule="auto"/>
        <w:ind w:firstLine="480" w:firstLineChars="200"/>
        <w:rPr>
          <w:sz w:val="24"/>
          <w:szCs w:val="24"/>
        </w:rPr>
      </w:pPr>
    </w:p>
    <w:p w14:paraId="4FA6BCBC">
      <w:pPr>
        <w:spacing w:line="360" w:lineRule="auto"/>
        <w:ind w:firstLine="480" w:firstLineChars="200"/>
        <w:rPr>
          <w:sz w:val="24"/>
          <w:szCs w:val="24"/>
        </w:rPr>
      </w:pPr>
      <w:bookmarkStart w:id="295" w:name="_Toc79392639"/>
      <w:bookmarkStart w:id="296" w:name="_Hlk93058873"/>
      <w:r>
        <w:rPr>
          <w:rFonts w:hint="eastAsia"/>
          <w:sz w:val="24"/>
          <w:szCs w:val="24"/>
        </w:rPr>
        <w:t>一</w:t>
      </w:r>
      <w:r>
        <w:rPr>
          <w:sz w:val="24"/>
          <w:szCs w:val="24"/>
        </w:rPr>
        <w:t>、</w:t>
      </w:r>
      <w:r>
        <w:rPr>
          <w:rFonts w:hint="eastAsia"/>
          <w:bCs/>
          <w:sz w:val="24"/>
        </w:rPr>
        <w:t>《基金合同》</w:t>
      </w:r>
      <w:r>
        <w:rPr>
          <w:sz w:val="24"/>
          <w:szCs w:val="24"/>
        </w:rPr>
        <w:t>的变更</w:t>
      </w:r>
      <w:bookmarkEnd w:id="295"/>
    </w:p>
    <w:p w14:paraId="4AA35941">
      <w:pPr>
        <w:spacing w:line="360" w:lineRule="auto"/>
        <w:ind w:firstLine="480" w:firstLineChars="200"/>
        <w:rPr>
          <w:bCs/>
          <w:sz w:val="24"/>
        </w:rPr>
      </w:pPr>
      <w:r>
        <w:rPr>
          <w:rFonts w:hint="eastAsia"/>
          <w:bCs/>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7A3EE19">
      <w:pPr>
        <w:spacing w:line="360" w:lineRule="auto"/>
        <w:ind w:firstLine="480" w:firstLineChars="200"/>
        <w:rPr>
          <w:bCs/>
          <w:sz w:val="24"/>
        </w:rPr>
      </w:pPr>
      <w:r>
        <w:rPr>
          <w:rFonts w:hint="eastAsia"/>
          <w:bCs/>
          <w:sz w:val="24"/>
        </w:rPr>
        <w:t>2、关于《基金合同》变更的基金份额持有人大会决议自生效后方可执行，并自决议生效后两日内在规定媒介公告。</w:t>
      </w:r>
    </w:p>
    <w:p w14:paraId="66F22CF7">
      <w:pPr>
        <w:spacing w:line="360" w:lineRule="auto"/>
        <w:ind w:firstLine="480" w:firstLineChars="200"/>
        <w:rPr>
          <w:bCs/>
          <w:sz w:val="24"/>
        </w:rPr>
      </w:pPr>
      <w:r>
        <w:rPr>
          <w:rFonts w:hint="eastAsia"/>
          <w:bCs/>
          <w:sz w:val="24"/>
        </w:rPr>
        <w:t>二、《基金合同》的终止事由</w:t>
      </w:r>
    </w:p>
    <w:p w14:paraId="73B3F18B">
      <w:pPr>
        <w:spacing w:line="360" w:lineRule="auto"/>
        <w:ind w:firstLine="480" w:firstLineChars="200"/>
        <w:rPr>
          <w:bCs/>
          <w:sz w:val="24"/>
        </w:rPr>
      </w:pPr>
      <w:r>
        <w:rPr>
          <w:rFonts w:hint="eastAsia"/>
          <w:bCs/>
          <w:sz w:val="24"/>
        </w:rPr>
        <w:t>有下列情形之一的，经履行相关程序后，《基金合同》应当终止：</w:t>
      </w:r>
    </w:p>
    <w:p w14:paraId="59465E53">
      <w:pPr>
        <w:spacing w:line="360" w:lineRule="auto"/>
        <w:ind w:firstLine="480" w:firstLineChars="200"/>
        <w:rPr>
          <w:bCs/>
          <w:sz w:val="24"/>
        </w:rPr>
      </w:pPr>
      <w:r>
        <w:rPr>
          <w:rFonts w:hint="eastAsia"/>
          <w:bCs/>
          <w:sz w:val="24"/>
        </w:rPr>
        <w:t>1、基金份额持有人大会决定终止的；</w:t>
      </w:r>
    </w:p>
    <w:p w14:paraId="7B9D87AA">
      <w:pPr>
        <w:spacing w:line="360" w:lineRule="auto"/>
        <w:ind w:firstLine="480" w:firstLineChars="200"/>
        <w:rPr>
          <w:bCs/>
          <w:sz w:val="24"/>
        </w:rPr>
      </w:pPr>
      <w:r>
        <w:rPr>
          <w:rFonts w:hint="eastAsia"/>
          <w:bCs/>
          <w:sz w:val="24"/>
        </w:rPr>
        <w:t>2、基金管理人、基金托管人职责终止，在6个月内没有新基金管理人、新基金托管人承接的；</w:t>
      </w:r>
    </w:p>
    <w:p w14:paraId="656A8C14">
      <w:pPr>
        <w:spacing w:line="360" w:lineRule="auto"/>
        <w:ind w:firstLine="480" w:firstLineChars="200"/>
        <w:rPr>
          <w:bCs/>
          <w:sz w:val="24"/>
        </w:rPr>
      </w:pPr>
      <w:r>
        <w:rPr>
          <w:rFonts w:hint="eastAsia"/>
          <w:bCs/>
          <w:sz w:val="24"/>
        </w:rPr>
        <w:t>3、《基金合同》约定的其他情形；</w:t>
      </w:r>
    </w:p>
    <w:p w14:paraId="438CB6E7">
      <w:pPr>
        <w:spacing w:line="360" w:lineRule="auto"/>
        <w:ind w:firstLine="480" w:firstLineChars="200"/>
        <w:rPr>
          <w:bCs/>
          <w:sz w:val="24"/>
        </w:rPr>
      </w:pPr>
      <w:r>
        <w:rPr>
          <w:rFonts w:hint="eastAsia"/>
          <w:bCs/>
          <w:sz w:val="24"/>
        </w:rPr>
        <w:t>4、相关法律法规和中国证监会规定的其他情况。</w:t>
      </w:r>
    </w:p>
    <w:p w14:paraId="08519B61">
      <w:pPr>
        <w:spacing w:line="360" w:lineRule="auto"/>
        <w:ind w:firstLine="480" w:firstLineChars="200"/>
        <w:rPr>
          <w:bCs/>
          <w:sz w:val="24"/>
        </w:rPr>
      </w:pPr>
      <w:r>
        <w:rPr>
          <w:rFonts w:hint="eastAsia"/>
          <w:bCs/>
          <w:sz w:val="24"/>
        </w:rPr>
        <w:t>三、基金财产的清算</w:t>
      </w:r>
    </w:p>
    <w:p w14:paraId="3DC29B73">
      <w:pPr>
        <w:spacing w:line="360" w:lineRule="auto"/>
        <w:ind w:firstLine="480" w:firstLineChars="200"/>
        <w:rPr>
          <w:bCs/>
          <w:sz w:val="24"/>
        </w:rPr>
      </w:pPr>
      <w:r>
        <w:rPr>
          <w:rFonts w:hint="eastAsia"/>
          <w:bCs/>
          <w:sz w:val="24"/>
        </w:rPr>
        <w:t>1、基金财产清算小组：自出现《基金合同》终止事由之日起30个工作日内</w:t>
      </w:r>
      <w:r>
        <w:rPr>
          <w:bCs/>
          <w:sz w:val="24"/>
        </w:rPr>
        <w:t>由基金管理人发起清算并</w:t>
      </w:r>
      <w:r>
        <w:rPr>
          <w:rFonts w:hint="eastAsia"/>
          <w:bCs/>
          <w:sz w:val="24"/>
        </w:rPr>
        <w:t>成立基金财产清算小组，基金管理人组织基金财产清算小组并在中国证监会的监督下进行基金清算。</w:t>
      </w:r>
    </w:p>
    <w:p w14:paraId="6DD261FE">
      <w:pPr>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B063799">
      <w:pPr>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14:paraId="788FB8D4">
      <w:pPr>
        <w:spacing w:line="360" w:lineRule="auto"/>
        <w:ind w:firstLine="480" w:firstLineChars="200"/>
        <w:rPr>
          <w:bCs/>
          <w:sz w:val="24"/>
        </w:rPr>
      </w:pPr>
      <w:r>
        <w:rPr>
          <w:rFonts w:hint="eastAsia"/>
          <w:bCs/>
          <w:sz w:val="24"/>
        </w:rPr>
        <w:t>4、基金财产清算程序：</w:t>
      </w:r>
    </w:p>
    <w:p w14:paraId="3CB28B76">
      <w:pPr>
        <w:spacing w:line="360" w:lineRule="auto"/>
        <w:ind w:firstLine="480" w:firstLineChars="200"/>
        <w:rPr>
          <w:bCs/>
          <w:sz w:val="24"/>
        </w:rPr>
      </w:pPr>
      <w:r>
        <w:rPr>
          <w:rFonts w:hint="eastAsia"/>
          <w:bCs/>
          <w:sz w:val="24"/>
        </w:rPr>
        <w:t>（1）《基金合同》终止情形出现时，由基金财产清算小组统一接管基金；</w:t>
      </w:r>
    </w:p>
    <w:p w14:paraId="289CFDD1">
      <w:pPr>
        <w:spacing w:line="360" w:lineRule="auto"/>
        <w:ind w:firstLine="480" w:firstLineChars="200"/>
        <w:rPr>
          <w:bCs/>
          <w:sz w:val="24"/>
        </w:rPr>
      </w:pPr>
      <w:r>
        <w:rPr>
          <w:rFonts w:hint="eastAsia"/>
          <w:bCs/>
          <w:sz w:val="24"/>
        </w:rPr>
        <w:t>（2）对基金财产和债权债务进行清理和确认；</w:t>
      </w:r>
    </w:p>
    <w:p w14:paraId="29C20D80">
      <w:pPr>
        <w:spacing w:line="360" w:lineRule="auto"/>
        <w:ind w:firstLine="480" w:firstLineChars="200"/>
        <w:rPr>
          <w:bCs/>
          <w:sz w:val="24"/>
        </w:rPr>
      </w:pPr>
      <w:r>
        <w:rPr>
          <w:rFonts w:hint="eastAsia"/>
          <w:bCs/>
          <w:sz w:val="24"/>
        </w:rPr>
        <w:t>（3）对基金财产进行估值和变现；</w:t>
      </w:r>
    </w:p>
    <w:p w14:paraId="148CA16C">
      <w:pPr>
        <w:spacing w:line="360" w:lineRule="auto"/>
        <w:ind w:firstLine="480" w:firstLineChars="200"/>
        <w:rPr>
          <w:bCs/>
          <w:sz w:val="24"/>
        </w:rPr>
      </w:pPr>
      <w:r>
        <w:rPr>
          <w:rFonts w:hint="eastAsia"/>
          <w:bCs/>
          <w:sz w:val="24"/>
        </w:rPr>
        <w:t>（4）制作清算报告；</w:t>
      </w:r>
    </w:p>
    <w:p w14:paraId="72196F5E">
      <w:pPr>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14:paraId="54D25FC2">
      <w:pPr>
        <w:spacing w:line="360" w:lineRule="auto"/>
        <w:ind w:firstLine="480" w:firstLineChars="200"/>
        <w:rPr>
          <w:bCs/>
          <w:sz w:val="24"/>
        </w:rPr>
      </w:pPr>
      <w:r>
        <w:rPr>
          <w:rFonts w:hint="eastAsia"/>
          <w:bCs/>
          <w:sz w:val="24"/>
        </w:rPr>
        <w:t>（6）将清算报告报中国证监会备案并公告；</w:t>
      </w:r>
    </w:p>
    <w:p w14:paraId="25B083FF">
      <w:pPr>
        <w:spacing w:line="360" w:lineRule="auto"/>
        <w:ind w:firstLine="480" w:firstLineChars="200"/>
        <w:rPr>
          <w:bCs/>
          <w:sz w:val="24"/>
        </w:rPr>
      </w:pPr>
      <w:r>
        <w:rPr>
          <w:rFonts w:hint="eastAsia"/>
          <w:bCs/>
          <w:sz w:val="24"/>
        </w:rPr>
        <w:t>（7）对基金剩余财产进行分配。</w:t>
      </w:r>
    </w:p>
    <w:p w14:paraId="7FC4A466">
      <w:pPr>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14:paraId="35E3EA4C">
      <w:pPr>
        <w:spacing w:line="360" w:lineRule="auto"/>
        <w:ind w:firstLine="480" w:firstLineChars="200"/>
        <w:rPr>
          <w:bCs/>
          <w:sz w:val="24"/>
        </w:rPr>
      </w:pPr>
      <w:r>
        <w:rPr>
          <w:rFonts w:hint="eastAsia"/>
          <w:bCs/>
          <w:sz w:val="24"/>
        </w:rPr>
        <w:t>四、清算费用</w:t>
      </w:r>
    </w:p>
    <w:p w14:paraId="03A0283A">
      <w:pPr>
        <w:spacing w:line="360" w:lineRule="auto"/>
        <w:ind w:firstLine="480" w:firstLineChars="20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3233D88B">
      <w:pPr>
        <w:spacing w:line="360" w:lineRule="auto"/>
        <w:ind w:firstLine="480" w:firstLineChars="200"/>
        <w:rPr>
          <w:bCs/>
          <w:sz w:val="24"/>
        </w:rPr>
      </w:pPr>
      <w:r>
        <w:rPr>
          <w:rFonts w:hint="eastAsia"/>
          <w:bCs/>
          <w:sz w:val="24"/>
        </w:rPr>
        <w:t>五、基金财产清算剩余资产的分配</w:t>
      </w:r>
    </w:p>
    <w:p w14:paraId="0A070B11">
      <w:pPr>
        <w:spacing w:line="360" w:lineRule="auto"/>
        <w:ind w:firstLine="480" w:firstLineChars="20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2EEBAAFF">
      <w:pPr>
        <w:spacing w:line="360" w:lineRule="auto"/>
        <w:ind w:firstLine="480" w:firstLineChars="200"/>
        <w:rPr>
          <w:bCs/>
          <w:sz w:val="24"/>
        </w:rPr>
      </w:pPr>
      <w:r>
        <w:rPr>
          <w:rFonts w:hint="eastAsia"/>
          <w:bCs/>
          <w:kern w:val="0"/>
          <w:sz w:val="24"/>
          <w:szCs w:val="24"/>
          <w:lang w:bidi="en-US"/>
        </w:rPr>
        <w:t>其中，对于投资者通过直销机构认购/申购的C类基金份额，计提的销售服务费（如有）将在基金合同终止时随剩余资产分配款项一并返还给投资者；对于投资者通过其他销售机构认购/申购的C类基金份额，</w:t>
      </w:r>
      <w:r>
        <w:rPr>
          <w:bCs/>
          <w:kern w:val="0"/>
          <w:sz w:val="24"/>
          <w:szCs w:val="24"/>
          <w:lang w:bidi="en-US"/>
        </w:rPr>
        <w:t>持续持有期限超过一年</w:t>
      </w:r>
      <w:r>
        <w:rPr>
          <w:rFonts w:hint="eastAsia"/>
          <w:bCs/>
          <w:kern w:val="0"/>
          <w:sz w:val="24"/>
          <w:szCs w:val="24"/>
          <w:lang w:bidi="en-US"/>
        </w:rPr>
        <w:t>继续计提的销售服务费（如有）将在基金合同终止时随剩余资产分配款项一并返还给投资者。</w:t>
      </w:r>
    </w:p>
    <w:p w14:paraId="4B4031FD">
      <w:pPr>
        <w:spacing w:line="360" w:lineRule="auto"/>
        <w:ind w:firstLine="480" w:firstLineChars="200"/>
        <w:rPr>
          <w:bCs/>
          <w:sz w:val="24"/>
        </w:rPr>
      </w:pPr>
      <w:r>
        <w:rPr>
          <w:rFonts w:hint="eastAsia"/>
          <w:bCs/>
          <w:sz w:val="24"/>
        </w:rPr>
        <w:t>六、基金财产清算的公告</w:t>
      </w:r>
    </w:p>
    <w:p w14:paraId="78CA9431">
      <w:pPr>
        <w:spacing w:line="360" w:lineRule="auto"/>
        <w:ind w:firstLine="480" w:firstLineChars="20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EA4217A">
      <w:pPr>
        <w:spacing w:line="360" w:lineRule="auto"/>
        <w:ind w:firstLine="480" w:firstLineChars="200"/>
        <w:rPr>
          <w:bCs/>
          <w:sz w:val="24"/>
        </w:rPr>
      </w:pPr>
      <w:r>
        <w:rPr>
          <w:rFonts w:hint="eastAsia"/>
          <w:bCs/>
          <w:sz w:val="24"/>
        </w:rPr>
        <w:t>七、基金财产清算账册及文件的保存</w:t>
      </w:r>
    </w:p>
    <w:p w14:paraId="49A4FA98">
      <w:pPr>
        <w:spacing w:line="360" w:lineRule="auto"/>
        <w:ind w:firstLine="480" w:firstLineChars="200"/>
        <w:rPr>
          <w:bCs/>
          <w:sz w:val="24"/>
        </w:rPr>
      </w:pPr>
      <w:r>
        <w:rPr>
          <w:rFonts w:hint="eastAsia"/>
          <w:bCs/>
          <w:sz w:val="24"/>
        </w:rPr>
        <w:t>基金财产清算账册及有关文件由基金托管人保存，保存期限不低于法律法规规定的最低期限。</w:t>
      </w:r>
    </w:p>
    <w:bookmarkEnd w:id="296"/>
    <w:p w14:paraId="592E78AD">
      <w:pPr>
        <w:pStyle w:val="2"/>
        <w:spacing w:before="0" w:after="0"/>
        <w:jc w:val="center"/>
        <w:rPr>
          <w:rFonts w:ascii="Times New Roman"/>
          <w:color w:val="auto"/>
          <w:szCs w:val="24"/>
        </w:rPr>
      </w:pPr>
      <w:bookmarkStart w:id="297" w:name="_Toc98560365"/>
      <w:bookmarkStart w:id="298" w:name="_Toc48649720"/>
      <w:bookmarkStart w:id="299" w:name="_Toc123112248"/>
      <w:bookmarkStart w:id="300" w:name="_Toc123102467"/>
      <w:bookmarkStart w:id="301" w:name="_Toc79392641"/>
      <w:bookmarkStart w:id="302" w:name="_Toc123051466"/>
      <w:r>
        <w:rPr>
          <w:rFonts w:ascii="Times New Roman"/>
          <w:b w:val="0"/>
          <w:bCs/>
          <w:color w:val="auto"/>
          <w:szCs w:val="24"/>
        </w:rPr>
        <w:br w:type="page"/>
      </w:r>
      <w:bookmarkEnd w:id="297"/>
      <w:bookmarkEnd w:id="298"/>
      <w:bookmarkEnd w:id="299"/>
      <w:bookmarkEnd w:id="300"/>
      <w:bookmarkEnd w:id="301"/>
      <w:bookmarkEnd w:id="302"/>
      <w:bookmarkStart w:id="303" w:name="_Toc13398"/>
      <w:bookmarkStart w:id="304" w:name="_Toc28549"/>
      <w:bookmarkStart w:id="305" w:name="_Toc9708"/>
      <w:bookmarkStart w:id="306" w:name="_Toc21240"/>
      <w:bookmarkStart w:id="307" w:name="_Toc8710"/>
      <w:bookmarkStart w:id="308" w:name="_Toc30645"/>
      <w:bookmarkStart w:id="309" w:name="_Toc139991750"/>
      <w:bookmarkStart w:id="310" w:name="_Toc141703901"/>
      <w:bookmarkStart w:id="311" w:name="_Toc23166"/>
      <w:bookmarkStart w:id="312" w:name="_Toc23022"/>
      <w:bookmarkStart w:id="313" w:name="_Toc12191"/>
      <w:bookmarkStart w:id="314" w:name="_Toc7367"/>
      <w:bookmarkStart w:id="315" w:name="_Toc27058"/>
      <w:bookmarkStart w:id="316" w:name="_Toc20098"/>
      <w:bookmarkStart w:id="317" w:name="_Toc345339074"/>
      <w:bookmarkStart w:id="318" w:name="_Toc9054"/>
      <w:bookmarkStart w:id="319" w:name="_Toc326752143"/>
      <w:bookmarkStart w:id="320" w:name="_Toc1360"/>
      <w:bookmarkStart w:id="321" w:name="_Toc17263"/>
      <w:bookmarkStart w:id="322" w:name="_Toc21122"/>
      <w:bookmarkStart w:id="323" w:name="_Toc141703905"/>
      <w:bookmarkStart w:id="324" w:name="_Toc7437"/>
      <w:bookmarkStart w:id="325" w:name="_Toc48032556"/>
      <w:bookmarkStart w:id="326" w:name="_Toc15664"/>
      <w:bookmarkStart w:id="327" w:name="_Toc12499"/>
      <w:bookmarkStart w:id="328" w:name="_Toc32355"/>
      <w:bookmarkStart w:id="329" w:name="_Toc216103552"/>
      <w:bookmarkStart w:id="330" w:name="_Toc5108"/>
      <w:r>
        <w:rPr>
          <w:rFonts w:ascii="Times New Roman"/>
          <w:color w:val="auto"/>
          <w:szCs w:val="24"/>
        </w:rPr>
        <w:t>第</w:t>
      </w:r>
      <w:r>
        <w:rPr>
          <w:rFonts w:hint="eastAsia" w:ascii="Times New Roman"/>
          <w:color w:val="auto"/>
          <w:szCs w:val="24"/>
        </w:rPr>
        <w:t>十九</w:t>
      </w:r>
      <w:r>
        <w:rPr>
          <w:rFonts w:ascii="Times New Roman"/>
          <w:color w:val="auto"/>
          <w:szCs w:val="24"/>
        </w:rPr>
        <w:t xml:space="preserve">部分  </w:t>
      </w:r>
      <w:bookmarkEnd w:id="303"/>
      <w:bookmarkEnd w:id="304"/>
      <w:bookmarkEnd w:id="305"/>
      <w:bookmarkEnd w:id="306"/>
      <w:bookmarkEnd w:id="307"/>
      <w:bookmarkEnd w:id="308"/>
      <w:bookmarkEnd w:id="309"/>
      <w:bookmarkEnd w:id="310"/>
      <w:bookmarkEnd w:id="311"/>
      <w:bookmarkEnd w:id="312"/>
      <w:bookmarkEnd w:id="313"/>
      <w:bookmarkEnd w:id="314"/>
      <w:bookmarkEnd w:id="315"/>
      <w:r>
        <w:rPr>
          <w:rFonts w:ascii="Times New Roman"/>
          <w:color w:val="auto"/>
          <w:szCs w:val="24"/>
        </w:rPr>
        <w:t>基金合同</w:t>
      </w:r>
      <w:r>
        <w:rPr>
          <w:rFonts w:hint="eastAsia" w:ascii="Times New Roman"/>
          <w:color w:val="auto"/>
          <w:szCs w:val="24"/>
        </w:rPr>
        <w:t>的</w:t>
      </w:r>
      <w:r>
        <w:rPr>
          <w:rFonts w:ascii="Times New Roman"/>
          <w:color w:val="auto"/>
          <w:szCs w:val="24"/>
        </w:rPr>
        <w:t>内容摘要</w:t>
      </w:r>
      <w:bookmarkEnd w:id="70"/>
      <w:bookmarkEnd w:id="7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66D86E6B">
      <w:pPr>
        <w:autoSpaceDE w:val="0"/>
        <w:autoSpaceDN w:val="0"/>
        <w:adjustRightInd w:val="0"/>
        <w:spacing w:line="360" w:lineRule="auto"/>
        <w:ind w:firstLine="482" w:firstLineChars="200"/>
        <w:jc w:val="left"/>
        <w:rPr>
          <w:b/>
          <w:bCs/>
          <w:sz w:val="24"/>
        </w:rPr>
      </w:pPr>
    </w:p>
    <w:p w14:paraId="1810FC74">
      <w:pPr>
        <w:autoSpaceDE w:val="0"/>
        <w:autoSpaceDN w:val="0"/>
        <w:spacing w:line="360" w:lineRule="auto"/>
        <w:ind w:firstLine="480" w:firstLineChars="200"/>
        <w:rPr>
          <w:bCs/>
          <w:sz w:val="24"/>
        </w:rPr>
      </w:pPr>
      <w:bookmarkStart w:id="331" w:name="_Hlk93058926"/>
      <w:bookmarkStart w:id="332" w:name="OLE_LINK9"/>
      <w:r>
        <w:rPr>
          <w:rFonts w:hint="eastAsia"/>
          <w:bCs/>
          <w:sz w:val="24"/>
        </w:rPr>
        <w:t>一、基金管理人、基金托管人和基金份额持有人的权利、义务</w:t>
      </w:r>
    </w:p>
    <w:p w14:paraId="5EB1B219">
      <w:pPr>
        <w:spacing w:line="360" w:lineRule="auto"/>
        <w:ind w:firstLine="480" w:firstLineChars="200"/>
        <w:rPr>
          <w:bCs/>
          <w:sz w:val="24"/>
        </w:rPr>
      </w:pPr>
      <w:r>
        <w:rPr>
          <w:rFonts w:hint="eastAsia"/>
          <w:bCs/>
          <w:sz w:val="24"/>
        </w:rPr>
        <w:t>（一）基金份额持有人的权利与义务</w:t>
      </w:r>
    </w:p>
    <w:p w14:paraId="620A5F9E">
      <w:pPr>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30317E0">
      <w:pPr>
        <w:spacing w:line="360" w:lineRule="auto"/>
        <w:ind w:firstLine="480" w:firstLineChars="200"/>
        <w:rPr>
          <w:bCs/>
          <w:sz w:val="24"/>
        </w:rPr>
      </w:pPr>
      <w:r>
        <w:rPr>
          <w:rFonts w:hint="eastAsia"/>
          <w:bCs/>
          <w:sz w:val="24"/>
        </w:rPr>
        <w:t>同一类别的每份基金份额具有同等的合法权益。</w:t>
      </w:r>
    </w:p>
    <w:p w14:paraId="68B7C04B">
      <w:pPr>
        <w:spacing w:line="360" w:lineRule="auto"/>
        <w:ind w:firstLine="480" w:firstLineChars="200"/>
        <w:rPr>
          <w:bCs/>
          <w:sz w:val="24"/>
        </w:rPr>
      </w:pPr>
      <w:r>
        <w:rPr>
          <w:rFonts w:hint="eastAsia"/>
          <w:bCs/>
          <w:sz w:val="24"/>
        </w:rPr>
        <w:t>1、根据《基金法》、《运作办法》及其他有关规定，基金份额持有人的权利包括但不限于：</w:t>
      </w:r>
    </w:p>
    <w:p w14:paraId="6C58E7DE">
      <w:pPr>
        <w:spacing w:line="360" w:lineRule="auto"/>
        <w:ind w:firstLine="480" w:firstLineChars="200"/>
        <w:rPr>
          <w:bCs/>
          <w:sz w:val="24"/>
        </w:rPr>
      </w:pPr>
      <w:r>
        <w:rPr>
          <w:rFonts w:hint="eastAsia"/>
          <w:bCs/>
          <w:sz w:val="24"/>
        </w:rPr>
        <w:t>（1）分享基金财产收益；</w:t>
      </w:r>
    </w:p>
    <w:p w14:paraId="29C41BB2">
      <w:pPr>
        <w:spacing w:line="360" w:lineRule="auto"/>
        <w:ind w:firstLine="480" w:firstLineChars="200"/>
        <w:rPr>
          <w:bCs/>
          <w:sz w:val="24"/>
        </w:rPr>
      </w:pPr>
      <w:r>
        <w:rPr>
          <w:rFonts w:hint="eastAsia"/>
          <w:bCs/>
          <w:sz w:val="24"/>
        </w:rPr>
        <w:t>（2）参与分配清算后的剩余基金财产；</w:t>
      </w:r>
    </w:p>
    <w:p w14:paraId="636752CE">
      <w:pPr>
        <w:spacing w:line="360" w:lineRule="auto"/>
        <w:ind w:firstLine="480" w:firstLineChars="200"/>
        <w:rPr>
          <w:bCs/>
          <w:sz w:val="24"/>
        </w:rPr>
      </w:pPr>
      <w:r>
        <w:rPr>
          <w:rFonts w:hint="eastAsia"/>
          <w:bCs/>
          <w:sz w:val="24"/>
        </w:rPr>
        <w:t>（3）依法转让或者申请赎回其持有的基金份额；</w:t>
      </w:r>
    </w:p>
    <w:p w14:paraId="0DE08C32">
      <w:pPr>
        <w:spacing w:line="360" w:lineRule="auto"/>
        <w:ind w:firstLine="480" w:firstLineChars="200"/>
        <w:rPr>
          <w:bCs/>
          <w:sz w:val="24"/>
        </w:rPr>
      </w:pPr>
      <w:r>
        <w:rPr>
          <w:rFonts w:hint="eastAsia"/>
          <w:bCs/>
          <w:sz w:val="24"/>
        </w:rPr>
        <w:t>（4）按照规定要求召开基金份额持有人大会或者召集基金份额持有人大会；</w:t>
      </w:r>
    </w:p>
    <w:p w14:paraId="7A6F0818">
      <w:pPr>
        <w:spacing w:line="360" w:lineRule="auto"/>
        <w:ind w:firstLine="480" w:firstLineChars="200"/>
        <w:rPr>
          <w:bCs/>
          <w:sz w:val="24"/>
        </w:rPr>
      </w:pPr>
      <w:r>
        <w:rPr>
          <w:rFonts w:hint="eastAsia"/>
          <w:bCs/>
          <w:sz w:val="24"/>
        </w:rPr>
        <w:t>（5）出席或者委派代表出席基金份额持有人大会，对基金份额持有人大会审议事项行使表决权；</w:t>
      </w:r>
    </w:p>
    <w:p w14:paraId="109667D3">
      <w:pPr>
        <w:spacing w:line="360" w:lineRule="auto"/>
        <w:ind w:firstLine="480" w:firstLineChars="200"/>
        <w:rPr>
          <w:bCs/>
          <w:sz w:val="24"/>
        </w:rPr>
      </w:pPr>
      <w:r>
        <w:rPr>
          <w:rFonts w:hint="eastAsia"/>
          <w:bCs/>
          <w:sz w:val="24"/>
        </w:rPr>
        <w:t>（6）查阅或者复制公开披露的基金信息资料；</w:t>
      </w:r>
    </w:p>
    <w:p w14:paraId="7519BABA">
      <w:pPr>
        <w:spacing w:line="360" w:lineRule="auto"/>
        <w:ind w:firstLine="480" w:firstLineChars="200"/>
        <w:rPr>
          <w:bCs/>
          <w:sz w:val="24"/>
        </w:rPr>
      </w:pPr>
      <w:r>
        <w:rPr>
          <w:rFonts w:hint="eastAsia"/>
          <w:bCs/>
          <w:sz w:val="24"/>
        </w:rPr>
        <w:t>（7）监督基金管理人的投资运作；</w:t>
      </w:r>
    </w:p>
    <w:p w14:paraId="771D70CC">
      <w:pPr>
        <w:spacing w:line="360" w:lineRule="auto"/>
        <w:ind w:firstLine="480" w:firstLineChars="200"/>
        <w:rPr>
          <w:bCs/>
          <w:sz w:val="24"/>
        </w:rPr>
      </w:pPr>
      <w:r>
        <w:rPr>
          <w:rFonts w:hint="eastAsia"/>
          <w:bCs/>
          <w:sz w:val="24"/>
        </w:rPr>
        <w:t>（8）对基金管理人、基金托管人、基金服务机构损害其合法权益的行为依法提起诉讼或仲裁；</w:t>
      </w:r>
    </w:p>
    <w:p w14:paraId="3F7D2C6F">
      <w:pPr>
        <w:spacing w:line="360" w:lineRule="auto"/>
        <w:ind w:firstLine="480" w:firstLineChars="200"/>
        <w:rPr>
          <w:bCs/>
          <w:sz w:val="24"/>
        </w:rPr>
      </w:pPr>
      <w:r>
        <w:rPr>
          <w:rFonts w:hint="eastAsia"/>
          <w:bCs/>
          <w:sz w:val="24"/>
        </w:rPr>
        <w:t>（9）法律法规及中国证监会规定的和《基金合同》约定的其他权利。</w:t>
      </w:r>
    </w:p>
    <w:p w14:paraId="401E6E93">
      <w:pPr>
        <w:spacing w:line="360" w:lineRule="auto"/>
        <w:ind w:firstLine="480" w:firstLineChars="200"/>
        <w:rPr>
          <w:bCs/>
          <w:sz w:val="24"/>
        </w:rPr>
      </w:pPr>
      <w:r>
        <w:rPr>
          <w:rFonts w:hint="eastAsia"/>
          <w:bCs/>
          <w:sz w:val="24"/>
        </w:rPr>
        <w:t>2、根据《基金法》、《运作办法》及其他有关规定，基金份额持有人的义务包括但不限于：</w:t>
      </w:r>
    </w:p>
    <w:p w14:paraId="6A84C57B">
      <w:pPr>
        <w:spacing w:line="360" w:lineRule="auto"/>
        <w:ind w:firstLine="480" w:firstLineChars="200"/>
        <w:rPr>
          <w:bCs/>
          <w:sz w:val="24"/>
        </w:rPr>
      </w:pPr>
      <w:r>
        <w:rPr>
          <w:rFonts w:hint="eastAsia"/>
          <w:bCs/>
          <w:sz w:val="24"/>
        </w:rPr>
        <w:t>（1）认真阅读并遵守《基金合同》、招募说明书及基金产品资料概要等信息披露文件；</w:t>
      </w:r>
    </w:p>
    <w:p w14:paraId="0298F5D9">
      <w:pPr>
        <w:spacing w:line="360" w:lineRule="auto"/>
        <w:ind w:firstLine="480" w:firstLineChars="200"/>
        <w:rPr>
          <w:bCs/>
          <w:sz w:val="24"/>
        </w:rPr>
      </w:pPr>
      <w:r>
        <w:rPr>
          <w:rFonts w:hint="eastAsia"/>
          <w:bCs/>
          <w:sz w:val="24"/>
        </w:rPr>
        <w:t>（2）了解所投资基金产品，了解自身风险承受能力，自主判断基金的投资价值，自主做出投资决策，自行承担投资风险；</w:t>
      </w:r>
    </w:p>
    <w:p w14:paraId="411C4A77">
      <w:pPr>
        <w:spacing w:line="360" w:lineRule="auto"/>
        <w:ind w:firstLine="480" w:firstLineChars="200"/>
        <w:rPr>
          <w:bCs/>
          <w:sz w:val="24"/>
        </w:rPr>
      </w:pPr>
      <w:r>
        <w:rPr>
          <w:rFonts w:hint="eastAsia"/>
          <w:bCs/>
          <w:sz w:val="24"/>
        </w:rPr>
        <w:t>（3）关注基金信息披露，及时行使权利和履行义务；</w:t>
      </w:r>
    </w:p>
    <w:p w14:paraId="75619FC1">
      <w:pPr>
        <w:spacing w:line="360" w:lineRule="auto"/>
        <w:ind w:firstLine="480" w:firstLineChars="200"/>
        <w:rPr>
          <w:bCs/>
          <w:sz w:val="24"/>
        </w:rPr>
      </w:pPr>
      <w:r>
        <w:rPr>
          <w:rFonts w:hint="eastAsia"/>
          <w:bCs/>
          <w:sz w:val="24"/>
        </w:rPr>
        <w:t>（4）交纳基金认购、申购款项及法律法规和《基金合同》所规定的费用；</w:t>
      </w:r>
    </w:p>
    <w:p w14:paraId="3D3AAEDE">
      <w:pPr>
        <w:spacing w:line="360" w:lineRule="auto"/>
        <w:ind w:firstLine="480" w:firstLineChars="200"/>
        <w:rPr>
          <w:bCs/>
          <w:sz w:val="24"/>
        </w:rPr>
      </w:pPr>
      <w:r>
        <w:rPr>
          <w:rFonts w:hint="eastAsia"/>
          <w:bCs/>
          <w:sz w:val="24"/>
        </w:rPr>
        <w:t>（5）在其持有的基金份额范围内，承担基金亏损或者《基金合同》终止的有限责任；</w:t>
      </w:r>
    </w:p>
    <w:p w14:paraId="0F5348F4">
      <w:pPr>
        <w:spacing w:line="360" w:lineRule="auto"/>
        <w:ind w:firstLine="480" w:firstLineChars="200"/>
        <w:rPr>
          <w:bCs/>
          <w:sz w:val="24"/>
        </w:rPr>
      </w:pPr>
      <w:r>
        <w:rPr>
          <w:rFonts w:hint="eastAsia"/>
          <w:bCs/>
          <w:sz w:val="24"/>
        </w:rPr>
        <w:t>（6）不从事任何有损基金及其他《基金合同》当事人合法权益的活动；</w:t>
      </w:r>
    </w:p>
    <w:p w14:paraId="09226500">
      <w:pPr>
        <w:spacing w:line="360" w:lineRule="auto"/>
        <w:ind w:firstLine="480" w:firstLineChars="200"/>
        <w:rPr>
          <w:bCs/>
          <w:sz w:val="24"/>
        </w:rPr>
      </w:pPr>
      <w:r>
        <w:rPr>
          <w:rFonts w:hint="eastAsia"/>
          <w:bCs/>
          <w:sz w:val="24"/>
        </w:rPr>
        <w:t>（7）执行生效的基金份额持有人大会的决议；</w:t>
      </w:r>
    </w:p>
    <w:p w14:paraId="078978DC">
      <w:pPr>
        <w:spacing w:line="360" w:lineRule="auto"/>
        <w:ind w:firstLine="480" w:firstLineChars="200"/>
        <w:rPr>
          <w:bCs/>
          <w:sz w:val="24"/>
        </w:rPr>
      </w:pPr>
      <w:r>
        <w:rPr>
          <w:rFonts w:hint="eastAsia"/>
          <w:bCs/>
          <w:sz w:val="24"/>
        </w:rPr>
        <w:t>（8）返还在基金交易过程中因任何原因获得的不当得利；</w:t>
      </w:r>
    </w:p>
    <w:p w14:paraId="3FEE4AD1">
      <w:pPr>
        <w:spacing w:line="360" w:lineRule="auto"/>
        <w:ind w:firstLine="480" w:firstLineChars="200"/>
        <w:rPr>
          <w:bCs/>
          <w:sz w:val="24"/>
        </w:rPr>
      </w:pPr>
      <w:r>
        <w:rPr>
          <w:rFonts w:hint="eastAsia"/>
          <w:bCs/>
          <w:sz w:val="24"/>
        </w:rPr>
        <w:t>（9）发起资金提供方持有认购的基金份额自基金合同生效之日起不少于3年，法律法规或监管机构另有规定的除外；</w:t>
      </w:r>
    </w:p>
    <w:p w14:paraId="33B904ED">
      <w:pPr>
        <w:spacing w:line="360" w:lineRule="auto"/>
        <w:ind w:firstLine="480" w:firstLineChars="200"/>
        <w:rPr>
          <w:bCs/>
          <w:sz w:val="24"/>
        </w:rPr>
      </w:pPr>
      <w:r>
        <w:rPr>
          <w:bCs/>
          <w:sz w:val="24"/>
        </w:rPr>
        <w:t>（10）</w:t>
      </w:r>
      <w:r>
        <w:rPr>
          <w:rFonts w:hint="eastAsia"/>
          <w:bCs/>
          <w:sz w:val="24"/>
        </w:rPr>
        <w:t>法律法规及中国证监会规定的和《基金合同》约定的其他义务。</w:t>
      </w:r>
    </w:p>
    <w:p w14:paraId="5BFEB922">
      <w:pPr>
        <w:spacing w:line="360" w:lineRule="auto"/>
        <w:ind w:firstLine="480" w:firstLineChars="200"/>
        <w:rPr>
          <w:bCs/>
          <w:sz w:val="24"/>
        </w:rPr>
      </w:pPr>
      <w:r>
        <w:rPr>
          <w:rFonts w:hint="eastAsia"/>
          <w:bCs/>
          <w:sz w:val="24"/>
        </w:rPr>
        <w:t>（二）基金管理人的权利与义务</w:t>
      </w:r>
    </w:p>
    <w:p w14:paraId="561140AA">
      <w:pPr>
        <w:spacing w:line="360" w:lineRule="auto"/>
        <w:ind w:firstLine="480" w:firstLineChars="200"/>
        <w:rPr>
          <w:bCs/>
          <w:sz w:val="24"/>
        </w:rPr>
      </w:pPr>
      <w:r>
        <w:rPr>
          <w:rFonts w:hint="eastAsia"/>
          <w:bCs/>
          <w:sz w:val="24"/>
        </w:rPr>
        <w:t>1、根据《基金法》、《运作办法》及其他有关规定，基金管理人的权利包括但不限于：</w:t>
      </w:r>
    </w:p>
    <w:p w14:paraId="6EEAA880">
      <w:pPr>
        <w:spacing w:line="360" w:lineRule="auto"/>
        <w:ind w:firstLine="480" w:firstLineChars="200"/>
        <w:rPr>
          <w:bCs/>
          <w:sz w:val="24"/>
        </w:rPr>
      </w:pPr>
      <w:r>
        <w:rPr>
          <w:rFonts w:hint="eastAsia"/>
          <w:bCs/>
          <w:sz w:val="24"/>
        </w:rPr>
        <w:t>（1）依法募集资金；</w:t>
      </w:r>
    </w:p>
    <w:p w14:paraId="3B4F222C">
      <w:pPr>
        <w:spacing w:line="360" w:lineRule="auto"/>
        <w:ind w:firstLine="480" w:firstLineChars="200"/>
        <w:rPr>
          <w:bCs/>
          <w:sz w:val="24"/>
        </w:rPr>
      </w:pPr>
      <w:r>
        <w:rPr>
          <w:rFonts w:hint="eastAsia"/>
          <w:bCs/>
          <w:sz w:val="24"/>
        </w:rPr>
        <w:t>（2）自《基金合同》生效之日起，根据法律法规和《基金合同》独立运用并管理基金财产；</w:t>
      </w:r>
    </w:p>
    <w:p w14:paraId="65DECC92">
      <w:pPr>
        <w:spacing w:line="360" w:lineRule="auto"/>
        <w:ind w:firstLine="480" w:firstLineChars="200"/>
        <w:rPr>
          <w:bCs/>
          <w:sz w:val="24"/>
        </w:rPr>
      </w:pPr>
      <w:r>
        <w:rPr>
          <w:rFonts w:hint="eastAsia"/>
          <w:bCs/>
          <w:sz w:val="24"/>
        </w:rPr>
        <w:t>（3）依照《基金合同》收取基金管理费以及法律法规规定或中国证监会批准的其他费用；</w:t>
      </w:r>
    </w:p>
    <w:p w14:paraId="2F5AEE08">
      <w:pPr>
        <w:spacing w:line="360" w:lineRule="auto"/>
        <w:ind w:firstLine="480" w:firstLineChars="200"/>
        <w:rPr>
          <w:bCs/>
          <w:sz w:val="24"/>
        </w:rPr>
      </w:pPr>
      <w:r>
        <w:rPr>
          <w:rFonts w:hint="eastAsia"/>
          <w:bCs/>
          <w:sz w:val="24"/>
        </w:rPr>
        <w:t>（4）销售基金份额；</w:t>
      </w:r>
    </w:p>
    <w:p w14:paraId="4E6A7F73">
      <w:pPr>
        <w:spacing w:line="360" w:lineRule="auto"/>
        <w:ind w:firstLine="480" w:firstLineChars="200"/>
        <w:rPr>
          <w:bCs/>
          <w:sz w:val="24"/>
        </w:rPr>
      </w:pPr>
      <w:r>
        <w:rPr>
          <w:rFonts w:hint="eastAsia"/>
          <w:bCs/>
          <w:sz w:val="24"/>
        </w:rPr>
        <w:t>（5）按照规定召集基金份额持有人大会；</w:t>
      </w:r>
    </w:p>
    <w:p w14:paraId="66A830BF">
      <w:pPr>
        <w:spacing w:line="360" w:lineRule="auto"/>
        <w:ind w:firstLine="480" w:firstLineChars="200"/>
        <w:rPr>
          <w:bCs/>
          <w:sz w:val="24"/>
        </w:rPr>
      </w:pPr>
      <w:r>
        <w:rPr>
          <w:rFonts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5D6304A6">
      <w:pPr>
        <w:spacing w:line="360" w:lineRule="auto"/>
        <w:ind w:firstLine="480" w:firstLineChars="200"/>
        <w:rPr>
          <w:bCs/>
          <w:sz w:val="24"/>
        </w:rPr>
      </w:pPr>
      <w:r>
        <w:rPr>
          <w:rFonts w:hint="eastAsia"/>
          <w:bCs/>
          <w:sz w:val="24"/>
        </w:rPr>
        <w:t>（7）在基金托管人更换时，提名新的基金托管人；</w:t>
      </w:r>
    </w:p>
    <w:p w14:paraId="3AB63869">
      <w:pPr>
        <w:spacing w:line="360" w:lineRule="auto"/>
        <w:ind w:firstLine="480" w:firstLineChars="200"/>
        <w:rPr>
          <w:bCs/>
          <w:sz w:val="24"/>
        </w:rPr>
      </w:pPr>
      <w:r>
        <w:rPr>
          <w:rFonts w:hint="eastAsia"/>
          <w:bCs/>
          <w:sz w:val="24"/>
        </w:rPr>
        <w:t>（8）选择、更换基金销售机构，对基金销售机构的相关行为进行监督和处理；</w:t>
      </w:r>
    </w:p>
    <w:p w14:paraId="7B9EE164">
      <w:pPr>
        <w:spacing w:line="360" w:lineRule="auto"/>
        <w:ind w:firstLine="480" w:firstLineChars="200"/>
        <w:rPr>
          <w:bCs/>
          <w:sz w:val="24"/>
        </w:rPr>
      </w:pPr>
      <w:r>
        <w:rPr>
          <w:rFonts w:hint="eastAsia"/>
          <w:bCs/>
          <w:sz w:val="24"/>
        </w:rPr>
        <w:t>（9）担任或委托其他符合条件的机构担任基金登记机构办理基金登记业务并获得《基金合同》规定的费用；</w:t>
      </w:r>
    </w:p>
    <w:p w14:paraId="1939C3F3">
      <w:pPr>
        <w:spacing w:line="360" w:lineRule="auto"/>
        <w:ind w:firstLine="480" w:firstLineChars="200"/>
        <w:rPr>
          <w:bCs/>
          <w:sz w:val="24"/>
        </w:rPr>
      </w:pPr>
      <w:r>
        <w:rPr>
          <w:rFonts w:hint="eastAsia"/>
          <w:bCs/>
          <w:sz w:val="24"/>
        </w:rPr>
        <w:t>（10）依据《基金合同》及有关法律规定决定基金收益的分配方案；</w:t>
      </w:r>
    </w:p>
    <w:p w14:paraId="581EF640">
      <w:pPr>
        <w:spacing w:line="360" w:lineRule="auto"/>
        <w:ind w:firstLine="480" w:firstLineChars="200"/>
        <w:rPr>
          <w:bCs/>
          <w:sz w:val="24"/>
        </w:rPr>
      </w:pPr>
      <w:r>
        <w:rPr>
          <w:rFonts w:hint="eastAsia"/>
          <w:bCs/>
          <w:sz w:val="24"/>
        </w:rPr>
        <w:t>（11）在《基金合同》约定的范围内，拒绝或暂停受理申购与赎回申请；</w:t>
      </w:r>
    </w:p>
    <w:p w14:paraId="36D9DF33">
      <w:pPr>
        <w:spacing w:line="360" w:lineRule="auto"/>
        <w:ind w:firstLine="480" w:firstLineChars="200"/>
        <w:rPr>
          <w:bCs/>
          <w:sz w:val="24"/>
        </w:rPr>
      </w:pPr>
      <w:r>
        <w:rPr>
          <w:rFonts w:hint="eastAsia"/>
          <w:bCs/>
          <w:sz w:val="24"/>
        </w:rPr>
        <w:t>（12）依照法律法规为基金的利益对被投资公司行使股东权利，为基金的利益行使因基金财产投资于证券所产生的权利；</w:t>
      </w:r>
    </w:p>
    <w:p w14:paraId="5F547B38">
      <w:pPr>
        <w:spacing w:line="360" w:lineRule="auto"/>
        <w:ind w:firstLine="480" w:firstLineChars="200"/>
        <w:rPr>
          <w:bCs/>
          <w:sz w:val="24"/>
        </w:rPr>
      </w:pPr>
      <w:r>
        <w:rPr>
          <w:rFonts w:hint="eastAsia"/>
          <w:bCs/>
          <w:sz w:val="24"/>
        </w:rPr>
        <w:t>（13）在法律法规允许的前提下，为基金的利益依法为基金进行融资；</w:t>
      </w:r>
    </w:p>
    <w:p w14:paraId="47080F6D">
      <w:pPr>
        <w:spacing w:line="360" w:lineRule="auto"/>
        <w:ind w:firstLine="480" w:firstLineChars="200"/>
        <w:rPr>
          <w:bCs/>
          <w:sz w:val="24"/>
        </w:rPr>
      </w:pPr>
      <w:r>
        <w:rPr>
          <w:rFonts w:hint="eastAsia"/>
          <w:bCs/>
          <w:sz w:val="24"/>
        </w:rPr>
        <w:t>（14）以基金管理人的名义，代表基金份额持有人的利益行使诉讼权利或者实施其他法律行为；</w:t>
      </w:r>
    </w:p>
    <w:p w14:paraId="1B449AA6">
      <w:pPr>
        <w:spacing w:line="360" w:lineRule="auto"/>
        <w:ind w:firstLine="480" w:firstLineChars="200"/>
        <w:rPr>
          <w:bCs/>
          <w:sz w:val="24"/>
        </w:rPr>
      </w:pPr>
      <w:r>
        <w:rPr>
          <w:rFonts w:hint="eastAsia"/>
          <w:bCs/>
          <w:sz w:val="24"/>
        </w:rPr>
        <w:t>（15）选择、更换律师事务所、会计师事务所、证券/期货经纪商或其他为基金提供服务的外部机构；</w:t>
      </w:r>
      <w:r>
        <w:rPr>
          <w:rFonts w:hint="eastAsia"/>
          <w:bCs/>
          <w:sz w:val="24"/>
        </w:rPr>
        <w:tab/>
      </w:r>
    </w:p>
    <w:p w14:paraId="31ED81CF">
      <w:pPr>
        <w:spacing w:line="360" w:lineRule="auto"/>
        <w:ind w:firstLine="480" w:firstLineChars="200"/>
        <w:rPr>
          <w:bCs/>
          <w:sz w:val="24"/>
        </w:rPr>
      </w:pPr>
      <w:r>
        <w:rPr>
          <w:rFonts w:hint="eastAsia"/>
          <w:bCs/>
          <w:sz w:val="24"/>
        </w:rPr>
        <w:t>（16）在符合有关法律、法规的前提下，制订和调整有关基金认购、申购、赎回、转换、定期定额投资和非交易过户等业务规则；</w:t>
      </w:r>
    </w:p>
    <w:p w14:paraId="7F99C22E">
      <w:pPr>
        <w:spacing w:line="360" w:lineRule="auto"/>
        <w:ind w:firstLine="480" w:firstLineChars="200"/>
        <w:rPr>
          <w:bCs/>
          <w:sz w:val="24"/>
        </w:rPr>
      </w:pPr>
      <w:r>
        <w:rPr>
          <w:rFonts w:hint="eastAsia"/>
          <w:bCs/>
          <w:sz w:val="24"/>
        </w:rPr>
        <w:t>（17）法律法规及中国证监会规定的和《基金合同》约定的其他权利。</w:t>
      </w:r>
    </w:p>
    <w:p w14:paraId="48BB52B3">
      <w:pPr>
        <w:spacing w:line="360" w:lineRule="auto"/>
        <w:ind w:firstLine="480" w:firstLineChars="200"/>
        <w:rPr>
          <w:bCs/>
          <w:sz w:val="24"/>
        </w:rPr>
      </w:pPr>
      <w:r>
        <w:rPr>
          <w:rFonts w:hint="eastAsia"/>
          <w:bCs/>
          <w:sz w:val="24"/>
        </w:rPr>
        <w:t>2、根据《基金法》、《运作办法》及其他有关规定，基金管理人的义务包括但不限于：</w:t>
      </w:r>
    </w:p>
    <w:p w14:paraId="55607DC2">
      <w:pPr>
        <w:spacing w:line="360" w:lineRule="auto"/>
        <w:ind w:firstLine="480" w:firstLineChars="200"/>
        <w:rPr>
          <w:bCs/>
          <w:sz w:val="24"/>
        </w:rPr>
      </w:pPr>
      <w:r>
        <w:rPr>
          <w:rFonts w:hint="eastAsia"/>
          <w:bCs/>
          <w:sz w:val="24"/>
        </w:rPr>
        <w:t>（1）依法募集资金，办理或者委托经中国证监会认定的其他机构办理基金份额的发售、申购、赎回和登记事宜；</w:t>
      </w:r>
    </w:p>
    <w:p w14:paraId="71C5686B">
      <w:pPr>
        <w:spacing w:line="360" w:lineRule="auto"/>
        <w:ind w:firstLine="480" w:firstLineChars="200"/>
        <w:rPr>
          <w:bCs/>
          <w:sz w:val="24"/>
        </w:rPr>
      </w:pPr>
      <w:r>
        <w:rPr>
          <w:rFonts w:hint="eastAsia"/>
          <w:bCs/>
          <w:sz w:val="24"/>
        </w:rPr>
        <w:t>（2）办理基金备案手续；</w:t>
      </w:r>
    </w:p>
    <w:p w14:paraId="3D43D51F">
      <w:pPr>
        <w:spacing w:line="360" w:lineRule="auto"/>
        <w:ind w:firstLine="480" w:firstLineChars="200"/>
        <w:rPr>
          <w:bCs/>
          <w:sz w:val="24"/>
        </w:rPr>
      </w:pPr>
      <w:r>
        <w:rPr>
          <w:rFonts w:hint="eastAsia"/>
          <w:bCs/>
          <w:sz w:val="24"/>
        </w:rPr>
        <w:t>（3）自《基金合同》生效之日起，以诚实信用、谨慎勤勉的原则管理和运用基金财产；</w:t>
      </w:r>
    </w:p>
    <w:p w14:paraId="6E53D0AA">
      <w:pPr>
        <w:spacing w:line="360" w:lineRule="auto"/>
        <w:ind w:firstLine="480" w:firstLineChars="200"/>
        <w:rPr>
          <w:bCs/>
          <w:sz w:val="24"/>
        </w:rPr>
      </w:pPr>
      <w:r>
        <w:rPr>
          <w:rFonts w:hint="eastAsia"/>
          <w:bCs/>
          <w:sz w:val="24"/>
        </w:rPr>
        <w:t>（4）配备足够的具有专业资格的人员进行基金投资分析、决策，以专业化的经营方式管理和运作基金财产；</w:t>
      </w:r>
    </w:p>
    <w:p w14:paraId="2078F1C3">
      <w:pPr>
        <w:spacing w:line="360" w:lineRule="auto"/>
        <w:ind w:firstLine="480" w:firstLineChars="200"/>
        <w:rPr>
          <w:bCs/>
          <w:sz w:val="24"/>
        </w:rPr>
      </w:pPr>
      <w:r>
        <w:rPr>
          <w:rFonts w:hint="eastAsia"/>
          <w:bCs/>
          <w:sz w:val="24"/>
        </w:rPr>
        <w:t>（5）建立健全内部风险控制、监察与稽核、财务管理及人事管理等制度，保证所管理的基金财产和基金管理人的财产相互独立，对所管理的不同基金分别管理，分别记账，进行证券投资；</w:t>
      </w:r>
    </w:p>
    <w:p w14:paraId="5ADF7DCF">
      <w:pPr>
        <w:spacing w:line="360" w:lineRule="auto"/>
        <w:ind w:firstLine="480" w:firstLineChars="200"/>
        <w:rPr>
          <w:bCs/>
          <w:sz w:val="24"/>
        </w:rPr>
      </w:pPr>
      <w:r>
        <w:rPr>
          <w:rFonts w:hint="eastAsia"/>
          <w:bCs/>
          <w:sz w:val="24"/>
        </w:rPr>
        <w:t>（6）除依据《基金法》、《基金合同》及其他有关规定外，不得利用基金财产为自己及任何第三人谋取利益，不得委托第三人运作基金财产；</w:t>
      </w:r>
    </w:p>
    <w:p w14:paraId="4AEA6256">
      <w:pPr>
        <w:spacing w:line="360" w:lineRule="auto"/>
        <w:ind w:firstLine="480" w:firstLineChars="200"/>
        <w:rPr>
          <w:bCs/>
          <w:sz w:val="24"/>
        </w:rPr>
      </w:pPr>
      <w:r>
        <w:rPr>
          <w:rFonts w:hint="eastAsia"/>
          <w:bCs/>
          <w:sz w:val="24"/>
        </w:rPr>
        <w:t>（7）依法接受基金托管人的监督；</w:t>
      </w:r>
    </w:p>
    <w:p w14:paraId="1CCB6BEA">
      <w:pPr>
        <w:spacing w:line="360" w:lineRule="auto"/>
        <w:ind w:firstLine="480" w:firstLineChars="200"/>
        <w:rPr>
          <w:bCs/>
          <w:sz w:val="24"/>
        </w:rPr>
      </w:pPr>
      <w:r>
        <w:rPr>
          <w:rFonts w:hint="eastAsia"/>
          <w:bCs/>
          <w:sz w:val="24"/>
        </w:rPr>
        <w:t>（8）采取适当合理的措施使计算基金份额认购、申购、赎回和注销价格的方法符合《基金合同》等法律文件的规定，按有关规定计算并公告基金净值信息，确定基金份额申购、赎回的价格；</w:t>
      </w:r>
    </w:p>
    <w:p w14:paraId="42F7AE59">
      <w:pPr>
        <w:spacing w:line="360" w:lineRule="auto"/>
        <w:ind w:firstLine="480" w:firstLineChars="200"/>
        <w:rPr>
          <w:bCs/>
          <w:sz w:val="24"/>
        </w:rPr>
      </w:pPr>
      <w:r>
        <w:rPr>
          <w:rFonts w:hint="eastAsia"/>
          <w:bCs/>
          <w:sz w:val="24"/>
        </w:rPr>
        <w:t>（9）进行基金会计核算并编制基金财务会计报告；</w:t>
      </w:r>
    </w:p>
    <w:p w14:paraId="32E86AF8">
      <w:pPr>
        <w:spacing w:line="360" w:lineRule="auto"/>
        <w:ind w:firstLine="480" w:firstLineChars="200"/>
        <w:rPr>
          <w:bCs/>
          <w:sz w:val="24"/>
        </w:rPr>
      </w:pPr>
      <w:r>
        <w:rPr>
          <w:rFonts w:hint="eastAsia"/>
          <w:bCs/>
          <w:sz w:val="24"/>
        </w:rPr>
        <w:t>（10）编制季度报告、中期报告和年度报告；</w:t>
      </w:r>
    </w:p>
    <w:p w14:paraId="195C6F62">
      <w:pPr>
        <w:spacing w:line="360" w:lineRule="auto"/>
        <w:ind w:firstLine="480" w:firstLineChars="200"/>
        <w:rPr>
          <w:bCs/>
          <w:sz w:val="24"/>
        </w:rPr>
      </w:pPr>
      <w:r>
        <w:rPr>
          <w:rFonts w:hint="eastAsia"/>
          <w:bCs/>
          <w:sz w:val="24"/>
        </w:rPr>
        <w:t>（11）严格按照《基金法》、《基金合同》及其他有关规定，履行信息披露及报告义务；</w:t>
      </w:r>
    </w:p>
    <w:p w14:paraId="0A29BA6D">
      <w:pPr>
        <w:spacing w:line="360" w:lineRule="auto"/>
        <w:ind w:firstLine="480" w:firstLineChars="200"/>
        <w:rPr>
          <w:bCs/>
          <w:sz w:val="24"/>
        </w:rPr>
      </w:pPr>
      <w:r>
        <w:rPr>
          <w:rFonts w:hint="eastAsia"/>
          <w:bCs/>
          <w:sz w:val="24"/>
        </w:rPr>
        <w:t>（12）保守基金商业秘密，不泄露基金投资计划、投资意向等。除《基金法》、《基金合同》及其他有关规定另有规定外，在基金信息公开披露前应予保密，不向他人泄露，但依法向监管机构、司法机关提供及因审计、法律等外部专业顾问机构需要而提供的情况除外；</w:t>
      </w:r>
    </w:p>
    <w:p w14:paraId="7DE1A76F">
      <w:pPr>
        <w:spacing w:line="360" w:lineRule="auto"/>
        <w:ind w:firstLine="480" w:firstLineChars="200"/>
        <w:rPr>
          <w:bCs/>
          <w:sz w:val="24"/>
        </w:rPr>
      </w:pPr>
      <w:r>
        <w:rPr>
          <w:rFonts w:hint="eastAsia"/>
          <w:bCs/>
          <w:sz w:val="24"/>
        </w:rPr>
        <w:t>（13）按《基金合同》的约定确定基金收益分配方案，及时向基金份额持有人分配基金收益；</w:t>
      </w:r>
    </w:p>
    <w:p w14:paraId="54E1443C">
      <w:pPr>
        <w:spacing w:line="360" w:lineRule="auto"/>
        <w:ind w:firstLine="480" w:firstLineChars="200"/>
        <w:rPr>
          <w:bCs/>
          <w:sz w:val="24"/>
        </w:rPr>
      </w:pPr>
      <w:r>
        <w:rPr>
          <w:rFonts w:hint="eastAsia"/>
          <w:bCs/>
          <w:sz w:val="24"/>
        </w:rPr>
        <w:t>（14）按规定受理申购与赎回申请，及时、足额支付赎回款项；</w:t>
      </w:r>
    </w:p>
    <w:p w14:paraId="610395D3">
      <w:pPr>
        <w:spacing w:line="360" w:lineRule="auto"/>
        <w:ind w:firstLine="480" w:firstLineChars="200"/>
        <w:rPr>
          <w:bCs/>
          <w:sz w:val="24"/>
        </w:rPr>
      </w:pPr>
      <w:r>
        <w:rPr>
          <w:rFonts w:hint="eastAsia"/>
          <w:bCs/>
          <w:sz w:val="24"/>
        </w:rPr>
        <w:t>（15）依据《基金法》、《基金合同》及其他有关规定召集基金份额持有人大会或配合基金托管人、基金份额持有人依法召集基金份额持有人大会；</w:t>
      </w:r>
    </w:p>
    <w:p w14:paraId="6197AC4C">
      <w:pPr>
        <w:spacing w:line="360" w:lineRule="auto"/>
        <w:ind w:firstLine="480" w:firstLineChars="200"/>
        <w:rPr>
          <w:bCs/>
          <w:sz w:val="24"/>
        </w:rPr>
      </w:pPr>
      <w:r>
        <w:rPr>
          <w:rFonts w:hint="eastAsia"/>
          <w:bCs/>
          <w:sz w:val="24"/>
        </w:rPr>
        <w:t>（16）按规定保存基金财产管理业务活动的会计账册、报表、记录和其他相关资料不低于法律法规规定的最低期限；</w:t>
      </w:r>
    </w:p>
    <w:p w14:paraId="12B9C7FD">
      <w:pPr>
        <w:spacing w:line="360" w:lineRule="auto"/>
        <w:ind w:firstLine="480" w:firstLineChars="200"/>
        <w:rPr>
          <w:bCs/>
          <w:sz w:val="24"/>
        </w:rPr>
      </w:pPr>
      <w:r>
        <w:rPr>
          <w:rFonts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39E95B">
      <w:pPr>
        <w:spacing w:line="360" w:lineRule="auto"/>
        <w:ind w:firstLine="480" w:firstLineChars="200"/>
        <w:rPr>
          <w:bCs/>
          <w:sz w:val="24"/>
        </w:rPr>
      </w:pPr>
      <w:r>
        <w:rPr>
          <w:rFonts w:hint="eastAsia"/>
          <w:bCs/>
          <w:sz w:val="24"/>
        </w:rPr>
        <w:t>（18）组织并参加基金财产清算小组，参与基金财产的保管、清理、估价、变现和分配；</w:t>
      </w:r>
    </w:p>
    <w:p w14:paraId="54BA4DF4">
      <w:pPr>
        <w:spacing w:line="360" w:lineRule="auto"/>
        <w:ind w:firstLine="480" w:firstLineChars="200"/>
        <w:rPr>
          <w:bCs/>
          <w:sz w:val="24"/>
        </w:rPr>
      </w:pPr>
      <w:r>
        <w:rPr>
          <w:rFonts w:hint="eastAsia"/>
          <w:bCs/>
          <w:sz w:val="24"/>
        </w:rPr>
        <w:t>（19）面临解散、依法被撤销或者被依法宣告破产时，及时报告中国证监会并通知基金托管人；</w:t>
      </w:r>
    </w:p>
    <w:p w14:paraId="0A4D7A43">
      <w:pPr>
        <w:spacing w:line="360" w:lineRule="auto"/>
        <w:ind w:firstLine="480" w:firstLineChars="200"/>
        <w:rPr>
          <w:bCs/>
          <w:sz w:val="24"/>
        </w:rPr>
      </w:pPr>
      <w:r>
        <w:rPr>
          <w:rFonts w:hint="eastAsia"/>
          <w:bCs/>
          <w:sz w:val="24"/>
        </w:rPr>
        <w:t>（20）因违反《基金合同》导致基金财产的损失或损害基金份额持有人合法权益时，应当承担赔偿责任，其赔偿责任不因其退任而免除；</w:t>
      </w:r>
    </w:p>
    <w:p w14:paraId="5958100A">
      <w:pPr>
        <w:spacing w:line="360" w:lineRule="auto"/>
        <w:ind w:firstLine="480" w:firstLineChars="200"/>
        <w:rPr>
          <w:bCs/>
          <w:sz w:val="24"/>
        </w:rPr>
      </w:pPr>
      <w:r>
        <w:rPr>
          <w:rFonts w:hint="eastAsia"/>
          <w:bCs/>
          <w:sz w:val="24"/>
        </w:rPr>
        <w:t>（21）监督基金托管人按法律法规和《基金合同》规定履行自己的义务，基金托管人违反《基金合同》造成基金财产损失时，基金管理人应为基金份额持有人利益向基金托管人追偿；</w:t>
      </w:r>
    </w:p>
    <w:p w14:paraId="226C3636">
      <w:pPr>
        <w:spacing w:line="360" w:lineRule="auto"/>
        <w:ind w:firstLine="480" w:firstLineChars="200"/>
        <w:rPr>
          <w:bCs/>
          <w:sz w:val="24"/>
        </w:rPr>
      </w:pPr>
      <w:r>
        <w:rPr>
          <w:rFonts w:hint="eastAsia"/>
          <w:bCs/>
          <w:sz w:val="24"/>
        </w:rPr>
        <w:t>（22）当基金管理人将其义务委托第三方处理时，应当对第三方处理有关基金事务的行为承担责任；</w:t>
      </w:r>
    </w:p>
    <w:p w14:paraId="2C6882A5">
      <w:pPr>
        <w:spacing w:line="360" w:lineRule="auto"/>
        <w:ind w:firstLine="480" w:firstLineChars="200"/>
        <w:rPr>
          <w:bCs/>
          <w:sz w:val="24"/>
        </w:rPr>
      </w:pPr>
      <w:r>
        <w:rPr>
          <w:rFonts w:hint="eastAsia"/>
          <w:bCs/>
          <w:sz w:val="24"/>
        </w:rPr>
        <w:t>（23）以基金管理人名义，代表基金份额持有人利益行使诉讼权利或实施其他法律行为；</w:t>
      </w:r>
    </w:p>
    <w:p w14:paraId="4068C34A">
      <w:pPr>
        <w:spacing w:line="360" w:lineRule="auto"/>
        <w:ind w:firstLine="480" w:firstLineChars="200"/>
        <w:rPr>
          <w:bCs/>
          <w:sz w:val="24"/>
        </w:rPr>
      </w:pPr>
      <w:r>
        <w:rPr>
          <w:rFonts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0E18D570">
      <w:pPr>
        <w:spacing w:line="360" w:lineRule="auto"/>
        <w:ind w:firstLine="480" w:firstLineChars="200"/>
        <w:rPr>
          <w:bCs/>
          <w:sz w:val="24"/>
        </w:rPr>
      </w:pPr>
      <w:r>
        <w:rPr>
          <w:rFonts w:hint="eastAsia"/>
          <w:bCs/>
          <w:sz w:val="24"/>
        </w:rPr>
        <w:t>（25）执行生效的基金份额持有人大会的决议；</w:t>
      </w:r>
    </w:p>
    <w:p w14:paraId="69C0DE36">
      <w:pPr>
        <w:spacing w:line="360" w:lineRule="auto"/>
        <w:ind w:firstLine="480" w:firstLineChars="200"/>
        <w:rPr>
          <w:bCs/>
          <w:sz w:val="24"/>
        </w:rPr>
      </w:pPr>
      <w:r>
        <w:rPr>
          <w:rFonts w:hint="eastAsia"/>
          <w:bCs/>
          <w:sz w:val="24"/>
        </w:rPr>
        <w:t>（26）建立并保存基金份额持有人名册；</w:t>
      </w:r>
    </w:p>
    <w:p w14:paraId="2719A41F">
      <w:pPr>
        <w:spacing w:line="360" w:lineRule="auto"/>
        <w:ind w:firstLine="480" w:firstLineChars="200"/>
        <w:rPr>
          <w:bCs/>
          <w:sz w:val="24"/>
        </w:rPr>
      </w:pPr>
      <w:r>
        <w:rPr>
          <w:rFonts w:hint="eastAsia"/>
          <w:bCs/>
          <w:sz w:val="24"/>
        </w:rPr>
        <w:t>（27）法律法规及中国证监会规定的和《基金合同》约定的其他义务。</w:t>
      </w:r>
    </w:p>
    <w:p w14:paraId="1DB9FF52">
      <w:pPr>
        <w:spacing w:line="360" w:lineRule="auto"/>
        <w:ind w:firstLine="480" w:firstLineChars="200"/>
        <w:rPr>
          <w:bCs/>
          <w:sz w:val="24"/>
        </w:rPr>
      </w:pPr>
      <w:r>
        <w:rPr>
          <w:rFonts w:hint="eastAsia"/>
          <w:bCs/>
          <w:sz w:val="24"/>
        </w:rPr>
        <w:t>（三）基金托管人的权利与义务</w:t>
      </w:r>
    </w:p>
    <w:p w14:paraId="0384C043">
      <w:pPr>
        <w:spacing w:line="360" w:lineRule="auto"/>
        <w:ind w:firstLine="480" w:firstLineChars="200"/>
        <w:rPr>
          <w:bCs/>
          <w:sz w:val="24"/>
        </w:rPr>
      </w:pPr>
      <w:r>
        <w:rPr>
          <w:rFonts w:hint="eastAsia"/>
          <w:bCs/>
          <w:sz w:val="24"/>
        </w:rPr>
        <w:t>1、根据《基金法》、《运作办法》及其他有关规定，基金托管人的权利包括但不限于：</w:t>
      </w:r>
    </w:p>
    <w:p w14:paraId="16D08B28">
      <w:pPr>
        <w:spacing w:line="360" w:lineRule="auto"/>
        <w:ind w:firstLine="480" w:firstLineChars="200"/>
        <w:rPr>
          <w:bCs/>
          <w:sz w:val="24"/>
        </w:rPr>
      </w:pPr>
      <w:r>
        <w:rPr>
          <w:rFonts w:hint="eastAsia"/>
          <w:bCs/>
          <w:sz w:val="24"/>
        </w:rPr>
        <w:t>（1）自《基金合同》生效之日起，依法律法规和《基金合同》的规定安全保管基金财产；</w:t>
      </w:r>
    </w:p>
    <w:p w14:paraId="59773594">
      <w:pPr>
        <w:spacing w:line="360" w:lineRule="auto"/>
        <w:ind w:firstLine="480" w:firstLineChars="200"/>
        <w:rPr>
          <w:bCs/>
          <w:sz w:val="24"/>
        </w:rPr>
      </w:pPr>
      <w:r>
        <w:rPr>
          <w:rFonts w:hint="eastAsia"/>
          <w:bCs/>
          <w:sz w:val="24"/>
        </w:rPr>
        <w:t>（2）依《基金合同》约定获得基金托管费以及法律法规规定或监管部门批准的其他费用；</w:t>
      </w:r>
    </w:p>
    <w:p w14:paraId="4D4F4382">
      <w:pPr>
        <w:spacing w:line="360" w:lineRule="auto"/>
        <w:ind w:firstLine="480" w:firstLineChars="200"/>
        <w:rPr>
          <w:bCs/>
          <w:sz w:val="24"/>
        </w:rPr>
      </w:pPr>
      <w:r>
        <w:rPr>
          <w:rFonts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4DDBCC6">
      <w:pPr>
        <w:spacing w:line="360" w:lineRule="auto"/>
        <w:ind w:firstLine="480" w:firstLineChars="200"/>
        <w:rPr>
          <w:bCs/>
          <w:sz w:val="24"/>
        </w:rPr>
      </w:pPr>
      <w:r>
        <w:rPr>
          <w:rFonts w:hint="eastAsia"/>
          <w:bCs/>
          <w:sz w:val="24"/>
        </w:rPr>
        <w:t>（4）根据相关市场规则，为基金开设资金账户、证券账户等投资所需账户，为基金办理证券/期货交易资金清算；</w:t>
      </w:r>
    </w:p>
    <w:p w14:paraId="799FDD01">
      <w:pPr>
        <w:spacing w:line="360" w:lineRule="auto"/>
        <w:ind w:firstLine="480" w:firstLineChars="200"/>
        <w:rPr>
          <w:bCs/>
          <w:sz w:val="24"/>
        </w:rPr>
      </w:pPr>
      <w:r>
        <w:rPr>
          <w:rFonts w:hint="eastAsia"/>
          <w:bCs/>
          <w:sz w:val="24"/>
        </w:rPr>
        <w:t>（5）提议召开或召集基金份额持有人大会；</w:t>
      </w:r>
    </w:p>
    <w:p w14:paraId="04EE70EB">
      <w:pPr>
        <w:spacing w:line="360" w:lineRule="auto"/>
        <w:ind w:firstLine="480" w:firstLineChars="200"/>
        <w:rPr>
          <w:bCs/>
          <w:sz w:val="24"/>
        </w:rPr>
      </w:pPr>
      <w:r>
        <w:rPr>
          <w:rFonts w:hint="eastAsia"/>
          <w:bCs/>
          <w:sz w:val="24"/>
        </w:rPr>
        <w:t>（6）在基金管理人更换时，提名新的基金管理人；</w:t>
      </w:r>
    </w:p>
    <w:p w14:paraId="4A6E9D18">
      <w:pPr>
        <w:spacing w:line="360" w:lineRule="auto"/>
        <w:ind w:firstLine="480" w:firstLineChars="200"/>
        <w:rPr>
          <w:bCs/>
          <w:sz w:val="24"/>
        </w:rPr>
      </w:pPr>
      <w:r>
        <w:rPr>
          <w:rFonts w:hint="eastAsia"/>
          <w:bCs/>
          <w:sz w:val="24"/>
        </w:rPr>
        <w:t>（7）法律法规及中国证监会规定的和《基金合同》约定的其他权利。</w:t>
      </w:r>
    </w:p>
    <w:p w14:paraId="108D84A1">
      <w:pPr>
        <w:spacing w:line="360" w:lineRule="auto"/>
        <w:ind w:firstLine="480" w:firstLineChars="200"/>
        <w:rPr>
          <w:bCs/>
          <w:sz w:val="24"/>
        </w:rPr>
      </w:pPr>
      <w:r>
        <w:rPr>
          <w:rFonts w:hint="eastAsia"/>
          <w:bCs/>
          <w:sz w:val="24"/>
        </w:rPr>
        <w:t>2、根据《基金法》、《运作办法》及其他有关规定，基金托管人的义务包括但不限于：</w:t>
      </w:r>
    </w:p>
    <w:p w14:paraId="2025BEFA">
      <w:pPr>
        <w:spacing w:line="360" w:lineRule="auto"/>
        <w:ind w:firstLine="480" w:firstLineChars="200"/>
        <w:rPr>
          <w:bCs/>
          <w:sz w:val="24"/>
        </w:rPr>
      </w:pPr>
      <w:r>
        <w:rPr>
          <w:rFonts w:hint="eastAsia"/>
          <w:bCs/>
          <w:sz w:val="24"/>
        </w:rPr>
        <w:t>（1）以诚实信用、勤勉尽责的原则持有并安全保管基金财产；</w:t>
      </w:r>
    </w:p>
    <w:p w14:paraId="631C2FEB">
      <w:pPr>
        <w:spacing w:line="360" w:lineRule="auto"/>
        <w:ind w:firstLine="480" w:firstLineChars="200"/>
        <w:rPr>
          <w:bCs/>
          <w:sz w:val="24"/>
        </w:rPr>
      </w:pPr>
      <w:r>
        <w:rPr>
          <w:rFonts w:hint="eastAsia"/>
          <w:bCs/>
          <w:sz w:val="24"/>
        </w:rPr>
        <w:t>（2）设立专门的基金托管部门，具有符合要求的营业场所，配备足够的、合格的熟悉基金托管业务的专职人员，负责基金财产托管事宜；</w:t>
      </w:r>
    </w:p>
    <w:p w14:paraId="4B6745ED">
      <w:pPr>
        <w:spacing w:line="360" w:lineRule="auto"/>
        <w:ind w:firstLine="480" w:firstLineChars="200"/>
        <w:rPr>
          <w:bCs/>
          <w:sz w:val="24"/>
        </w:rPr>
      </w:pPr>
      <w:r>
        <w:rPr>
          <w:rFonts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F28317">
      <w:pPr>
        <w:spacing w:line="360" w:lineRule="auto"/>
        <w:ind w:firstLine="480" w:firstLineChars="200"/>
        <w:rPr>
          <w:bCs/>
          <w:sz w:val="24"/>
        </w:rPr>
      </w:pPr>
      <w:r>
        <w:rPr>
          <w:rFonts w:hint="eastAsia"/>
          <w:bCs/>
          <w:sz w:val="24"/>
        </w:rPr>
        <w:t>（4）除依据《基金法》、《基金合同》及其他有关规定外，不得利用基金财产为自己及任何第三人谋取利益，不得委托第三人托管基金财产；</w:t>
      </w:r>
    </w:p>
    <w:p w14:paraId="199BFC13">
      <w:pPr>
        <w:spacing w:line="360" w:lineRule="auto"/>
        <w:ind w:firstLine="480" w:firstLineChars="200"/>
        <w:rPr>
          <w:bCs/>
          <w:sz w:val="24"/>
        </w:rPr>
      </w:pPr>
      <w:r>
        <w:rPr>
          <w:rFonts w:hint="eastAsia"/>
          <w:bCs/>
          <w:sz w:val="24"/>
        </w:rPr>
        <w:t>（5）保管由基金管理人代表基金签订的与基金有关的重大合同及有关凭证；</w:t>
      </w:r>
    </w:p>
    <w:p w14:paraId="10221BE7">
      <w:pPr>
        <w:spacing w:line="360" w:lineRule="auto"/>
        <w:ind w:firstLine="480" w:firstLineChars="200"/>
        <w:rPr>
          <w:bCs/>
          <w:sz w:val="24"/>
        </w:rPr>
      </w:pPr>
      <w:r>
        <w:rPr>
          <w:rFonts w:hint="eastAsia"/>
          <w:bCs/>
          <w:sz w:val="24"/>
        </w:rPr>
        <w:t>（6）按规定开设基金财产的资金账户和证券账户等投资所需账户，按照《基金合同》的约定，根据基金管理人的投资指令，及时办理清算、交割事宜；</w:t>
      </w:r>
    </w:p>
    <w:p w14:paraId="07952CD6">
      <w:pPr>
        <w:spacing w:line="360" w:lineRule="auto"/>
        <w:ind w:firstLine="480" w:firstLineChars="200"/>
        <w:rPr>
          <w:bCs/>
          <w:sz w:val="24"/>
        </w:rPr>
      </w:pPr>
      <w:r>
        <w:rPr>
          <w:rFonts w:hint="eastAsia"/>
          <w:bCs/>
          <w:sz w:val="24"/>
        </w:rPr>
        <w:t>（7）保守基金商业秘密，除《基金法》、《基金合同》及其他有关规定另有规定外，在基金信息公开披露前予以保密，不得向他人泄露，但依法向监管机构、司法机关提供及因审计、法律等外部专业顾问机构需要而提供的情况除外；</w:t>
      </w:r>
    </w:p>
    <w:p w14:paraId="00E5BEE6">
      <w:pPr>
        <w:spacing w:line="360" w:lineRule="auto"/>
        <w:ind w:firstLine="480" w:firstLineChars="200"/>
        <w:rPr>
          <w:bCs/>
          <w:sz w:val="24"/>
        </w:rPr>
      </w:pPr>
      <w:r>
        <w:rPr>
          <w:rFonts w:hint="eastAsia"/>
          <w:bCs/>
          <w:sz w:val="24"/>
        </w:rPr>
        <w:t>（8）复核、审查基金管理人计算的基金资产净值、各类</w:t>
      </w:r>
      <w:r>
        <w:rPr>
          <w:bCs/>
          <w:sz w:val="24"/>
        </w:rPr>
        <w:t>基金</w:t>
      </w:r>
      <w:r>
        <w:rPr>
          <w:rFonts w:hint="eastAsia"/>
          <w:bCs/>
          <w:sz w:val="24"/>
        </w:rPr>
        <w:t>份额的基金份额净值、基金份额申购、赎回价格；</w:t>
      </w:r>
    </w:p>
    <w:p w14:paraId="08D93707">
      <w:pPr>
        <w:spacing w:line="360" w:lineRule="auto"/>
        <w:ind w:firstLine="480" w:firstLineChars="200"/>
        <w:rPr>
          <w:bCs/>
          <w:sz w:val="24"/>
        </w:rPr>
      </w:pPr>
      <w:r>
        <w:rPr>
          <w:rFonts w:hint="eastAsia"/>
          <w:bCs/>
          <w:sz w:val="24"/>
        </w:rPr>
        <w:t>（9）办理与基金托管业务活动有关的信息披露事项；</w:t>
      </w:r>
    </w:p>
    <w:p w14:paraId="1020C73D">
      <w:pPr>
        <w:spacing w:line="360" w:lineRule="auto"/>
        <w:ind w:firstLine="480" w:firstLineChars="200"/>
        <w:rPr>
          <w:bCs/>
          <w:sz w:val="24"/>
        </w:rPr>
      </w:pPr>
      <w:r>
        <w:rPr>
          <w:rFonts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48816E9">
      <w:pPr>
        <w:spacing w:line="360" w:lineRule="auto"/>
        <w:ind w:firstLine="480" w:firstLineChars="200"/>
        <w:rPr>
          <w:bCs/>
          <w:sz w:val="24"/>
        </w:rPr>
      </w:pPr>
      <w:r>
        <w:rPr>
          <w:rFonts w:hint="eastAsia"/>
          <w:bCs/>
          <w:sz w:val="24"/>
        </w:rPr>
        <w:t>（11）保存基金托管业务活动的记录、账册、报表和其他相关资料不低于法律法规规定的最低期限；</w:t>
      </w:r>
    </w:p>
    <w:p w14:paraId="03E3BD21">
      <w:pPr>
        <w:spacing w:line="360" w:lineRule="auto"/>
        <w:ind w:firstLine="480" w:firstLineChars="200"/>
        <w:rPr>
          <w:bCs/>
          <w:sz w:val="24"/>
        </w:rPr>
      </w:pPr>
      <w:r>
        <w:rPr>
          <w:rFonts w:hint="eastAsia"/>
          <w:bCs/>
          <w:sz w:val="24"/>
        </w:rPr>
        <w:t>（12）从基金管理人或其委托的登记机构处接收并保存基金份额持有人名册；</w:t>
      </w:r>
    </w:p>
    <w:p w14:paraId="52DB59ED">
      <w:pPr>
        <w:spacing w:line="360" w:lineRule="auto"/>
        <w:ind w:firstLine="480" w:firstLineChars="200"/>
        <w:rPr>
          <w:bCs/>
          <w:sz w:val="24"/>
        </w:rPr>
      </w:pPr>
      <w:r>
        <w:rPr>
          <w:rFonts w:hint="eastAsia"/>
          <w:bCs/>
          <w:sz w:val="24"/>
        </w:rPr>
        <w:t>（13）按规定制作相关账册并与基金管理人核对；</w:t>
      </w:r>
    </w:p>
    <w:p w14:paraId="4415C91E">
      <w:pPr>
        <w:spacing w:line="360" w:lineRule="auto"/>
        <w:ind w:firstLine="480" w:firstLineChars="200"/>
        <w:rPr>
          <w:bCs/>
          <w:sz w:val="24"/>
        </w:rPr>
      </w:pPr>
      <w:r>
        <w:rPr>
          <w:rFonts w:hint="eastAsia"/>
          <w:bCs/>
          <w:sz w:val="24"/>
        </w:rPr>
        <w:t>（14）依据基金管理人的指令或有关规定向基金份额持有人支付基金收益和赎回款项；</w:t>
      </w:r>
    </w:p>
    <w:p w14:paraId="12D14C95">
      <w:pPr>
        <w:spacing w:line="360" w:lineRule="auto"/>
        <w:ind w:firstLine="480" w:firstLineChars="200"/>
        <w:rPr>
          <w:bCs/>
          <w:sz w:val="24"/>
        </w:rPr>
      </w:pPr>
      <w:r>
        <w:rPr>
          <w:rFonts w:hint="eastAsia"/>
          <w:bCs/>
          <w:sz w:val="24"/>
        </w:rPr>
        <w:t>（15）依据《基金法》、《基金合同》及其他有关规定，召集基金份额持有人大会或配合基金管理人、基金份额持有人依法召集基金份额持有人大会；</w:t>
      </w:r>
    </w:p>
    <w:p w14:paraId="0273AAF4">
      <w:pPr>
        <w:spacing w:line="360" w:lineRule="auto"/>
        <w:ind w:firstLine="480" w:firstLineChars="200"/>
        <w:rPr>
          <w:bCs/>
          <w:sz w:val="24"/>
        </w:rPr>
      </w:pPr>
      <w:r>
        <w:rPr>
          <w:rFonts w:hint="eastAsia"/>
          <w:bCs/>
          <w:sz w:val="24"/>
        </w:rPr>
        <w:t>（16）按照法律法规和《基金合同》的规定监督基金管理人的投资运作；</w:t>
      </w:r>
    </w:p>
    <w:p w14:paraId="2A71F64F">
      <w:pPr>
        <w:spacing w:line="360" w:lineRule="auto"/>
        <w:ind w:firstLine="480" w:firstLineChars="200"/>
        <w:rPr>
          <w:bCs/>
          <w:sz w:val="24"/>
        </w:rPr>
      </w:pPr>
      <w:r>
        <w:rPr>
          <w:rFonts w:hint="eastAsia"/>
          <w:bCs/>
          <w:sz w:val="24"/>
        </w:rPr>
        <w:t>（17）参加基金财产清算小组，参与基金财产的保管、清理、估价、变现和分配；</w:t>
      </w:r>
    </w:p>
    <w:p w14:paraId="7102F9DC">
      <w:pPr>
        <w:spacing w:line="360" w:lineRule="auto"/>
        <w:ind w:firstLine="480" w:firstLineChars="200"/>
        <w:rPr>
          <w:bCs/>
          <w:sz w:val="24"/>
        </w:rPr>
      </w:pPr>
      <w:r>
        <w:rPr>
          <w:rFonts w:hint="eastAsia"/>
          <w:bCs/>
          <w:sz w:val="24"/>
        </w:rPr>
        <w:t>（18）面临解散、依法被撤销或者被依法宣告破产时，及时报告中国证监会和银行业监督管理机构，并通知基金管理人；</w:t>
      </w:r>
    </w:p>
    <w:p w14:paraId="1A385081">
      <w:pPr>
        <w:spacing w:line="360" w:lineRule="auto"/>
        <w:ind w:firstLine="480" w:firstLineChars="200"/>
        <w:rPr>
          <w:bCs/>
          <w:sz w:val="24"/>
        </w:rPr>
      </w:pPr>
      <w:r>
        <w:rPr>
          <w:rFonts w:hint="eastAsia"/>
          <w:bCs/>
          <w:sz w:val="24"/>
        </w:rPr>
        <w:t>（19）因违反《基金合同》导致基金财产损失时，应承担赔偿责任，其赔偿责任不因其退任而免除；</w:t>
      </w:r>
    </w:p>
    <w:p w14:paraId="7D7527C5">
      <w:pPr>
        <w:spacing w:line="360" w:lineRule="auto"/>
        <w:ind w:firstLine="480" w:firstLineChars="200"/>
        <w:rPr>
          <w:bCs/>
          <w:sz w:val="24"/>
        </w:rPr>
      </w:pPr>
      <w:r>
        <w:rPr>
          <w:rFonts w:hint="eastAsia"/>
          <w:bCs/>
          <w:sz w:val="24"/>
        </w:rPr>
        <w:t>（20）按规定监督基金管理人按法律法规和《基金合同》规定履行自己的义务，基金管理人因违反《基金合同》造成基金财产损失时，应为基金份额持有人利益向基金管理人追偿；</w:t>
      </w:r>
    </w:p>
    <w:p w14:paraId="1283B8A4">
      <w:pPr>
        <w:spacing w:line="360" w:lineRule="auto"/>
        <w:ind w:firstLine="480" w:firstLineChars="200"/>
        <w:rPr>
          <w:bCs/>
          <w:sz w:val="24"/>
        </w:rPr>
      </w:pPr>
      <w:r>
        <w:rPr>
          <w:rFonts w:hint="eastAsia"/>
          <w:bCs/>
          <w:sz w:val="24"/>
        </w:rPr>
        <w:t>（21）执行生效的基金份额持有人大会的决议；</w:t>
      </w:r>
    </w:p>
    <w:p w14:paraId="624F19A8">
      <w:pPr>
        <w:spacing w:line="360" w:lineRule="auto"/>
        <w:ind w:firstLine="480" w:firstLineChars="200"/>
        <w:rPr>
          <w:bCs/>
          <w:sz w:val="24"/>
        </w:rPr>
      </w:pPr>
      <w:r>
        <w:rPr>
          <w:rFonts w:hint="eastAsia"/>
          <w:bCs/>
          <w:sz w:val="24"/>
        </w:rPr>
        <w:t>（22）法律法规及中国证监会规定的和《基金合同》约定的其他义务。</w:t>
      </w:r>
      <w:bookmarkStart w:id="333" w:name="_Toc523711670"/>
    </w:p>
    <w:bookmarkEnd w:id="333"/>
    <w:p w14:paraId="0F983713">
      <w:pPr>
        <w:spacing w:line="360" w:lineRule="auto"/>
        <w:ind w:firstLine="480" w:firstLineChars="200"/>
        <w:rPr>
          <w:bCs/>
          <w:sz w:val="24"/>
        </w:rPr>
      </w:pPr>
      <w:r>
        <w:rPr>
          <w:rFonts w:hint="eastAsia"/>
          <w:bCs/>
          <w:sz w:val="24"/>
        </w:rPr>
        <w:t>二、基金份额持有人大会召集、议事及表决的程序和规则</w:t>
      </w:r>
    </w:p>
    <w:p w14:paraId="5D857CBD">
      <w:pPr>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基金份额持有人大会由基金份额持有人组成，基金份额持有人的合法授权代表有权代表基金份额持有人出席会议并表决。基金份额持有人持有的每份基金份额拥有平等的投票权。</w:t>
      </w:r>
    </w:p>
    <w:p w14:paraId="650F3846">
      <w:pPr>
        <w:spacing w:line="360" w:lineRule="auto"/>
        <w:ind w:firstLine="480" w:firstLineChars="200"/>
        <w:rPr>
          <w:bCs/>
          <w:sz w:val="24"/>
        </w:rPr>
      </w:pPr>
      <w:r>
        <w:rPr>
          <w:rFonts w:hint="eastAsia"/>
          <w:bCs/>
          <w:sz w:val="24"/>
        </w:rPr>
        <w:t>本基金份额持有人大会不设日常机构。</w:t>
      </w:r>
    </w:p>
    <w:p w14:paraId="13EEB890">
      <w:pPr>
        <w:spacing w:line="360" w:lineRule="auto"/>
        <w:ind w:firstLine="480" w:firstLineChars="200"/>
        <w:rPr>
          <w:bCs/>
          <w:sz w:val="24"/>
        </w:rPr>
      </w:pPr>
      <w:r>
        <w:rPr>
          <w:rFonts w:hint="eastAsia"/>
          <w:bCs/>
          <w:sz w:val="24"/>
        </w:rPr>
        <w:t>（一）召开事由</w:t>
      </w:r>
    </w:p>
    <w:p w14:paraId="482B2BB4">
      <w:pPr>
        <w:spacing w:line="360" w:lineRule="auto"/>
        <w:ind w:firstLine="480" w:firstLineChars="200"/>
        <w:rPr>
          <w:bCs/>
          <w:sz w:val="24"/>
        </w:rPr>
      </w:pPr>
      <w:r>
        <w:rPr>
          <w:rFonts w:hint="eastAsia"/>
          <w:bCs/>
          <w:sz w:val="24"/>
        </w:rPr>
        <w:t>1、当出现或需要决定下列事由之一的，应当召开基金份额持有人大会：</w:t>
      </w:r>
    </w:p>
    <w:p w14:paraId="3B38657E">
      <w:pPr>
        <w:spacing w:line="360" w:lineRule="auto"/>
        <w:ind w:firstLine="480" w:firstLineChars="200"/>
        <w:rPr>
          <w:bCs/>
          <w:sz w:val="24"/>
        </w:rPr>
      </w:pPr>
      <w:r>
        <w:rPr>
          <w:rFonts w:hint="eastAsia"/>
          <w:bCs/>
          <w:sz w:val="24"/>
        </w:rPr>
        <w:t>（1）终止《基金合同》，《基金合同》另有约定的除外；</w:t>
      </w:r>
    </w:p>
    <w:p w14:paraId="7D9A6916">
      <w:pPr>
        <w:spacing w:line="360" w:lineRule="auto"/>
        <w:ind w:firstLine="480" w:firstLineChars="200"/>
        <w:rPr>
          <w:bCs/>
          <w:sz w:val="24"/>
        </w:rPr>
      </w:pPr>
      <w:r>
        <w:rPr>
          <w:rFonts w:hint="eastAsia"/>
          <w:bCs/>
          <w:sz w:val="24"/>
        </w:rPr>
        <w:t>（2）更换基金管理人；</w:t>
      </w:r>
    </w:p>
    <w:p w14:paraId="27BE7ACA">
      <w:pPr>
        <w:spacing w:line="360" w:lineRule="auto"/>
        <w:ind w:firstLine="480" w:firstLineChars="200"/>
        <w:rPr>
          <w:bCs/>
          <w:sz w:val="24"/>
        </w:rPr>
      </w:pPr>
      <w:r>
        <w:rPr>
          <w:rFonts w:hint="eastAsia"/>
          <w:bCs/>
          <w:sz w:val="24"/>
        </w:rPr>
        <w:t>（3）更换基金托管人；</w:t>
      </w:r>
    </w:p>
    <w:p w14:paraId="51794C5B">
      <w:pPr>
        <w:spacing w:line="360" w:lineRule="auto"/>
        <w:ind w:firstLine="480" w:firstLineChars="200"/>
        <w:rPr>
          <w:bCs/>
          <w:sz w:val="24"/>
        </w:rPr>
      </w:pPr>
      <w:r>
        <w:rPr>
          <w:rFonts w:hint="eastAsia"/>
          <w:bCs/>
          <w:sz w:val="24"/>
        </w:rPr>
        <w:t>（4）转换基金运作方式；</w:t>
      </w:r>
    </w:p>
    <w:p w14:paraId="35732902">
      <w:pPr>
        <w:spacing w:line="360" w:lineRule="auto"/>
        <w:ind w:firstLine="480" w:firstLineChars="200"/>
        <w:rPr>
          <w:bCs/>
          <w:sz w:val="24"/>
        </w:rPr>
      </w:pPr>
      <w:r>
        <w:rPr>
          <w:rFonts w:hint="eastAsia"/>
          <w:bCs/>
          <w:sz w:val="24"/>
        </w:rPr>
        <w:t>（5）调整基金管理人、基金托管人的报酬标准或提高销售服务费率；</w:t>
      </w:r>
    </w:p>
    <w:p w14:paraId="1DF9056D">
      <w:pPr>
        <w:spacing w:line="360" w:lineRule="auto"/>
        <w:ind w:firstLine="480" w:firstLineChars="200"/>
        <w:rPr>
          <w:bCs/>
          <w:sz w:val="24"/>
        </w:rPr>
      </w:pPr>
      <w:r>
        <w:rPr>
          <w:rFonts w:hint="eastAsia"/>
          <w:bCs/>
          <w:sz w:val="24"/>
        </w:rPr>
        <w:t>（6）变更基金类别；</w:t>
      </w:r>
    </w:p>
    <w:p w14:paraId="7551D5F3">
      <w:pPr>
        <w:spacing w:line="360" w:lineRule="auto"/>
        <w:ind w:firstLine="480" w:firstLineChars="200"/>
        <w:rPr>
          <w:bCs/>
          <w:sz w:val="24"/>
        </w:rPr>
      </w:pPr>
      <w:r>
        <w:rPr>
          <w:rFonts w:hint="eastAsia"/>
          <w:bCs/>
          <w:sz w:val="24"/>
        </w:rPr>
        <w:t>（7）本基金与其他基金的合并；</w:t>
      </w:r>
    </w:p>
    <w:p w14:paraId="5F89C3AF">
      <w:pPr>
        <w:spacing w:line="360" w:lineRule="auto"/>
        <w:ind w:firstLine="480" w:firstLineChars="200"/>
        <w:rPr>
          <w:bCs/>
          <w:sz w:val="24"/>
        </w:rPr>
      </w:pPr>
      <w:r>
        <w:rPr>
          <w:rFonts w:hint="eastAsia"/>
          <w:bCs/>
          <w:sz w:val="24"/>
        </w:rPr>
        <w:t>（8）变更基金投资目标、范围或策略；</w:t>
      </w:r>
    </w:p>
    <w:p w14:paraId="43250CE1">
      <w:pPr>
        <w:spacing w:line="360" w:lineRule="auto"/>
        <w:ind w:firstLine="480" w:firstLineChars="200"/>
        <w:rPr>
          <w:bCs/>
          <w:sz w:val="24"/>
        </w:rPr>
      </w:pPr>
      <w:r>
        <w:rPr>
          <w:rFonts w:hint="eastAsia"/>
          <w:bCs/>
          <w:sz w:val="24"/>
        </w:rPr>
        <w:t>（9）变更基金份额持有人大会程序；</w:t>
      </w:r>
    </w:p>
    <w:p w14:paraId="7F6BFAB0">
      <w:pPr>
        <w:spacing w:line="360" w:lineRule="auto"/>
        <w:ind w:firstLine="480" w:firstLineChars="200"/>
        <w:rPr>
          <w:bCs/>
          <w:sz w:val="24"/>
        </w:rPr>
      </w:pPr>
      <w:r>
        <w:rPr>
          <w:rFonts w:hint="eastAsia"/>
          <w:bCs/>
          <w:sz w:val="24"/>
        </w:rPr>
        <w:t>（10）基金管理人或基金托管人要求召开基金份额持有人大会；</w:t>
      </w:r>
    </w:p>
    <w:p w14:paraId="6C7D21CE">
      <w:pPr>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14:paraId="1786BD05">
      <w:pPr>
        <w:spacing w:line="360" w:lineRule="auto"/>
        <w:ind w:firstLine="480" w:firstLineChars="200"/>
        <w:rPr>
          <w:bCs/>
          <w:sz w:val="24"/>
        </w:rPr>
      </w:pPr>
      <w:r>
        <w:rPr>
          <w:rFonts w:hint="eastAsia"/>
          <w:bCs/>
          <w:sz w:val="24"/>
        </w:rPr>
        <w:t>（12）对基金合同当事人权利和义务产生重大影响的其他事项；</w:t>
      </w:r>
    </w:p>
    <w:p w14:paraId="270E32EC">
      <w:pPr>
        <w:spacing w:line="360" w:lineRule="auto"/>
        <w:ind w:firstLine="480" w:firstLineChars="200"/>
        <w:rPr>
          <w:bCs/>
          <w:sz w:val="24"/>
        </w:rPr>
      </w:pPr>
      <w:r>
        <w:rPr>
          <w:rFonts w:hint="eastAsia"/>
          <w:bCs/>
          <w:sz w:val="24"/>
        </w:rPr>
        <w:t>（13）法律法规、《基金合同》或中国证监会规定的其他应当召开基金份额持有人大会的事项。</w:t>
      </w:r>
    </w:p>
    <w:p w14:paraId="66C453DC">
      <w:pPr>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14D20DBE">
      <w:pPr>
        <w:spacing w:line="360" w:lineRule="auto"/>
        <w:ind w:firstLine="480" w:firstLineChars="200"/>
        <w:rPr>
          <w:bCs/>
          <w:sz w:val="24"/>
        </w:rPr>
      </w:pPr>
      <w:r>
        <w:rPr>
          <w:rFonts w:hint="eastAsia"/>
          <w:bCs/>
          <w:sz w:val="24"/>
        </w:rPr>
        <w:t>（1）法律法规要求增加的基金费用的收取；</w:t>
      </w:r>
    </w:p>
    <w:p w14:paraId="5965FE4D">
      <w:pPr>
        <w:spacing w:line="360" w:lineRule="auto"/>
        <w:ind w:firstLine="480" w:firstLineChars="200"/>
        <w:rPr>
          <w:bCs/>
          <w:sz w:val="24"/>
        </w:rPr>
      </w:pPr>
      <w:r>
        <w:rPr>
          <w:rFonts w:hint="eastAsia"/>
          <w:bCs/>
          <w:sz w:val="24"/>
        </w:rPr>
        <w:t>（2）调整本基金的申购费率、调低销售服务费率、变更收费方式；</w:t>
      </w:r>
    </w:p>
    <w:p w14:paraId="38D9A65E">
      <w:pPr>
        <w:spacing w:line="360" w:lineRule="auto"/>
        <w:ind w:firstLine="480" w:firstLineChars="200"/>
        <w:rPr>
          <w:bCs/>
          <w:sz w:val="24"/>
        </w:rPr>
      </w:pPr>
      <w:r>
        <w:rPr>
          <w:rFonts w:hint="eastAsia"/>
          <w:bCs/>
          <w:sz w:val="24"/>
        </w:rPr>
        <w:t>（3）因相应的法律法规发生变动而应当对《基金合同》进行修改；</w:t>
      </w:r>
    </w:p>
    <w:p w14:paraId="10D02830">
      <w:pPr>
        <w:spacing w:line="360" w:lineRule="auto"/>
        <w:ind w:firstLine="480" w:firstLineChars="200"/>
        <w:rPr>
          <w:bCs/>
          <w:sz w:val="24"/>
        </w:rPr>
      </w:pPr>
      <w:r>
        <w:rPr>
          <w:rFonts w:hint="eastAsia"/>
          <w:bCs/>
          <w:sz w:val="24"/>
        </w:rPr>
        <w:t>（4）对《基金合同》的修改对基金份额持有人利益无实质性不利影响或修改不涉及《基金合同》当事人权利义务关系发生重大变化；</w:t>
      </w:r>
    </w:p>
    <w:p w14:paraId="1CA26A38">
      <w:pPr>
        <w:spacing w:line="360" w:lineRule="auto"/>
        <w:ind w:firstLine="480" w:firstLineChars="200"/>
        <w:rPr>
          <w:bCs/>
          <w:sz w:val="24"/>
        </w:rPr>
      </w:pPr>
      <w:r>
        <w:rPr>
          <w:rFonts w:hint="eastAsia"/>
          <w:bCs/>
          <w:sz w:val="24"/>
        </w:rPr>
        <w:t>（5）基金管理人、登记机构、基金销售机构调整有关认购、申购、赎回、转换、基金交易、非交易过户、转托管等业务规则；</w:t>
      </w:r>
    </w:p>
    <w:p w14:paraId="1DD1A356">
      <w:pPr>
        <w:spacing w:line="360" w:lineRule="auto"/>
        <w:ind w:firstLine="480" w:firstLineChars="200"/>
        <w:rPr>
          <w:bCs/>
          <w:sz w:val="24"/>
        </w:rPr>
      </w:pPr>
      <w:r>
        <w:rPr>
          <w:rFonts w:hint="eastAsia"/>
          <w:bCs/>
          <w:sz w:val="24"/>
        </w:rPr>
        <w:t>（6）基金推出新业务或服务；</w:t>
      </w:r>
    </w:p>
    <w:p w14:paraId="0E73EE8A">
      <w:pPr>
        <w:spacing w:line="360" w:lineRule="auto"/>
        <w:ind w:firstLine="480" w:firstLineChars="200"/>
        <w:rPr>
          <w:bCs/>
          <w:sz w:val="24"/>
        </w:rPr>
      </w:pPr>
      <w:r>
        <w:rPr>
          <w:rFonts w:hint="eastAsia"/>
          <w:bCs/>
          <w:sz w:val="24"/>
        </w:rPr>
        <w:t>（7）增加新的基金份额类别、停止现有基金份额类别的销售、调整基金份额类别设置或对基金份额分类办法及规则进行调整等；</w:t>
      </w:r>
    </w:p>
    <w:p w14:paraId="1092E4E0">
      <w:pPr>
        <w:spacing w:line="360" w:lineRule="auto"/>
        <w:ind w:firstLine="480" w:firstLineChars="200"/>
        <w:rPr>
          <w:bCs/>
          <w:sz w:val="24"/>
        </w:rPr>
      </w:pPr>
      <w:r>
        <w:rPr>
          <w:rFonts w:hint="eastAsia"/>
          <w:bCs/>
          <w:sz w:val="24"/>
        </w:rPr>
        <w:t>（8）按照法律法规和《基金合同》规定不需召开基金份额持有人大会的其他情形。</w:t>
      </w:r>
    </w:p>
    <w:p w14:paraId="6E631673">
      <w:pPr>
        <w:spacing w:line="360" w:lineRule="auto"/>
        <w:ind w:firstLine="480" w:firstLineChars="200"/>
        <w:rPr>
          <w:bCs/>
          <w:sz w:val="24"/>
        </w:rPr>
      </w:pPr>
      <w:r>
        <w:rPr>
          <w:rFonts w:hint="eastAsia"/>
          <w:bCs/>
          <w:sz w:val="24"/>
        </w:rPr>
        <w:t>（二</w:t>
      </w:r>
      <w:r>
        <w:rPr>
          <w:bCs/>
          <w:sz w:val="24"/>
        </w:rPr>
        <w:t>）</w:t>
      </w:r>
      <w:r>
        <w:rPr>
          <w:rFonts w:hint="eastAsia"/>
          <w:bCs/>
          <w:sz w:val="24"/>
        </w:rPr>
        <w:t>会议召集人及召集方式</w:t>
      </w:r>
    </w:p>
    <w:p w14:paraId="6A613901">
      <w:pPr>
        <w:spacing w:line="360" w:lineRule="auto"/>
        <w:ind w:firstLine="480" w:firstLineChars="200"/>
        <w:rPr>
          <w:bCs/>
          <w:sz w:val="24"/>
        </w:rPr>
      </w:pPr>
      <w:r>
        <w:rPr>
          <w:rFonts w:hint="eastAsia"/>
          <w:bCs/>
          <w:sz w:val="24"/>
        </w:rPr>
        <w:t>1、除法律法规规定或《基金合同》另有约定外，基金份额持有人大会由基金管理人召集。</w:t>
      </w:r>
    </w:p>
    <w:p w14:paraId="2ED4C5B0">
      <w:pPr>
        <w:spacing w:line="360" w:lineRule="auto"/>
        <w:ind w:firstLine="480" w:firstLineChars="200"/>
        <w:rPr>
          <w:bCs/>
          <w:sz w:val="24"/>
        </w:rPr>
      </w:pPr>
      <w:r>
        <w:rPr>
          <w:rFonts w:hint="eastAsia"/>
          <w:bCs/>
          <w:sz w:val="24"/>
        </w:rPr>
        <w:t>2、基金管理人未按规定召集或不能召集时，由基金托管人召集。</w:t>
      </w:r>
    </w:p>
    <w:p w14:paraId="33B0C11D">
      <w:pPr>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EED36A6">
      <w:pPr>
        <w:spacing w:line="360" w:lineRule="auto"/>
        <w:ind w:firstLine="480" w:firstLineChars="200"/>
        <w:rPr>
          <w:bCs/>
          <w:sz w:val="24"/>
        </w:rPr>
      </w:pPr>
      <w:r>
        <w:rPr>
          <w:rFonts w:hint="eastAsia"/>
          <w:bCs/>
          <w:sz w:val="24"/>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D56523A">
      <w:pPr>
        <w:spacing w:line="360" w:lineRule="auto"/>
        <w:ind w:firstLine="480" w:firstLineChars="200"/>
        <w:rPr>
          <w:bCs/>
          <w:sz w:val="24"/>
        </w:rPr>
      </w:pPr>
      <w:r>
        <w:rPr>
          <w:rFonts w:hint="eastAsia"/>
          <w:bCs/>
          <w:sz w:val="24"/>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439D3F55">
      <w:pPr>
        <w:spacing w:line="360" w:lineRule="auto"/>
        <w:ind w:firstLine="480" w:firstLineChars="200"/>
        <w:rPr>
          <w:bCs/>
          <w:sz w:val="24"/>
        </w:rPr>
      </w:pPr>
      <w:r>
        <w:rPr>
          <w:rFonts w:hint="eastAsia"/>
          <w:bCs/>
          <w:sz w:val="24"/>
        </w:rPr>
        <w:t>6、基金份额持有人会议的召集人负责选择确定开会时间、地点、方式和权益登记日。</w:t>
      </w:r>
    </w:p>
    <w:p w14:paraId="02936591">
      <w:pPr>
        <w:spacing w:line="360" w:lineRule="auto"/>
        <w:ind w:firstLine="480" w:firstLineChars="200"/>
        <w:rPr>
          <w:bCs/>
          <w:sz w:val="24"/>
        </w:rPr>
      </w:pPr>
      <w:r>
        <w:rPr>
          <w:rFonts w:hint="eastAsia"/>
          <w:bCs/>
          <w:sz w:val="24"/>
        </w:rPr>
        <w:t>（三</w:t>
      </w:r>
      <w:r>
        <w:rPr>
          <w:bCs/>
          <w:sz w:val="24"/>
        </w:rPr>
        <w:t>）</w:t>
      </w:r>
      <w:r>
        <w:rPr>
          <w:rFonts w:hint="eastAsia"/>
          <w:bCs/>
          <w:sz w:val="24"/>
        </w:rPr>
        <w:t>召开基金份额持有人大会的通知时间、通知内容、通知方式</w:t>
      </w:r>
    </w:p>
    <w:p w14:paraId="6BAC1C4D">
      <w:pPr>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14:paraId="44C6B1C2">
      <w:pPr>
        <w:spacing w:line="360" w:lineRule="auto"/>
        <w:ind w:firstLine="480" w:firstLineChars="200"/>
        <w:rPr>
          <w:bCs/>
          <w:sz w:val="24"/>
        </w:rPr>
      </w:pPr>
      <w:r>
        <w:rPr>
          <w:rFonts w:hint="eastAsia"/>
          <w:bCs/>
          <w:sz w:val="24"/>
        </w:rPr>
        <w:t>（1）会议召开的时间、地点和会议形式；</w:t>
      </w:r>
    </w:p>
    <w:p w14:paraId="159E2CBB">
      <w:pPr>
        <w:spacing w:line="360" w:lineRule="auto"/>
        <w:ind w:firstLine="480" w:firstLineChars="200"/>
        <w:rPr>
          <w:bCs/>
          <w:sz w:val="24"/>
        </w:rPr>
      </w:pPr>
      <w:r>
        <w:rPr>
          <w:rFonts w:hint="eastAsia"/>
          <w:bCs/>
          <w:sz w:val="24"/>
        </w:rPr>
        <w:t>（2）会议拟审议的事项、议事程序和表决方式；</w:t>
      </w:r>
    </w:p>
    <w:p w14:paraId="7026BFD2">
      <w:pPr>
        <w:spacing w:line="360" w:lineRule="auto"/>
        <w:ind w:firstLine="480" w:firstLineChars="200"/>
        <w:rPr>
          <w:bCs/>
          <w:sz w:val="24"/>
        </w:rPr>
      </w:pPr>
      <w:r>
        <w:rPr>
          <w:rFonts w:hint="eastAsia"/>
          <w:bCs/>
          <w:sz w:val="24"/>
        </w:rPr>
        <w:t>（3）有权出席基金份额持有人大会的基金份额持有人的权益登记日；</w:t>
      </w:r>
    </w:p>
    <w:p w14:paraId="1999DCD8">
      <w:pPr>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14:paraId="3EBA0031">
      <w:pPr>
        <w:spacing w:line="360" w:lineRule="auto"/>
        <w:ind w:firstLine="480" w:firstLineChars="200"/>
        <w:rPr>
          <w:bCs/>
          <w:sz w:val="24"/>
        </w:rPr>
      </w:pPr>
      <w:r>
        <w:rPr>
          <w:rFonts w:hint="eastAsia"/>
          <w:bCs/>
          <w:sz w:val="24"/>
        </w:rPr>
        <w:t>（5）会务常设联系人姓名及联系电话；</w:t>
      </w:r>
    </w:p>
    <w:p w14:paraId="00A63AB6">
      <w:pPr>
        <w:spacing w:line="360" w:lineRule="auto"/>
        <w:ind w:firstLine="480" w:firstLineChars="200"/>
        <w:rPr>
          <w:bCs/>
          <w:sz w:val="24"/>
        </w:rPr>
      </w:pPr>
      <w:r>
        <w:rPr>
          <w:rFonts w:hint="eastAsia"/>
          <w:bCs/>
          <w:sz w:val="24"/>
        </w:rPr>
        <w:t>（6）出席会议者必须准备的文件和必须履行的手续；</w:t>
      </w:r>
    </w:p>
    <w:p w14:paraId="0427029B">
      <w:pPr>
        <w:spacing w:line="360" w:lineRule="auto"/>
        <w:ind w:firstLine="480" w:firstLineChars="200"/>
        <w:rPr>
          <w:bCs/>
          <w:sz w:val="24"/>
        </w:rPr>
      </w:pPr>
      <w:r>
        <w:rPr>
          <w:rFonts w:hint="eastAsia"/>
          <w:bCs/>
          <w:sz w:val="24"/>
        </w:rPr>
        <w:t>（7）召集人需要通知的其他事项。</w:t>
      </w:r>
    </w:p>
    <w:p w14:paraId="679BA769">
      <w:pPr>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97247D5">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03AAB6C">
      <w:pPr>
        <w:spacing w:line="360" w:lineRule="auto"/>
        <w:ind w:firstLine="480" w:firstLineChars="200"/>
        <w:rPr>
          <w:bCs/>
          <w:sz w:val="24"/>
        </w:rPr>
      </w:pPr>
      <w:r>
        <w:rPr>
          <w:rFonts w:hint="eastAsia"/>
          <w:bCs/>
          <w:sz w:val="24"/>
        </w:rPr>
        <w:t>（四</w:t>
      </w:r>
      <w:r>
        <w:rPr>
          <w:bCs/>
          <w:sz w:val="24"/>
        </w:rPr>
        <w:t>）</w:t>
      </w:r>
      <w:r>
        <w:rPr>
          <w:rFonts w:hint="eastAsia"/>
          <w:bCs/>
          <w:sz w:val="24"/>
        </w:rPr>
        <w:t>基金份额持有人出席会议的方式</w:t>
      </w:r>
    </w:p>
    <w:p w14:paraId="35CEF712">
      <w:pPr>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14:paraId="5FE94727">
      <w:pPr>
        <w:spacing w:line="360" w:lineRule="auto"/>
        <w:ind w:firstLine="480" w:firstLineChars="20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35B864D">
      <w:pPr>
        <w:spacing w:line="360" w:lineRule="auto"/>
        <w:ind w:firstLine="480" w:firstLineChars="20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93BF75D">
      <w:pPr>
        <w:spacing w:line="360" w:lineRule="auto"/>
        <w:ind w:firstLine="480" w:firstLineChars="20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C8D77E3">
      <w:pPr>
        <w:spacing w:line="360" w:lineRule="auto"/>
        <w:ind w:firstLine="480" w:firstLineChars="200"/>
        <w:rPr>
          <w:bCs/>
          <w:sz w:val="24"/>
        </w:rPr>
      </w:pPr>
      <w:r>
        <w:rPr>
          <w:rFonts w:hint="eastAsia"/>
          <w:bCs/>
          <w:sz w:val="24"/>
        </w:rPr>
        <w:t>2、通讯开会。通讯开会系指基金份额持有人将其对表决事项的投票以书面形式或基金份额持有人大会公告载明的其他形式在表决截止日以前送达至召集人指定的地址。通讯开会应以书面方式或基金份额持有人大会公告载明的其他形式进行表决。</w:t>
      </w:r>
    </w:p>
    <w:p w14:paraId="6A3D15C8">
      <w:pPr>
        <w:spacing w:line="360" w:lineRule="auto"/>
        <w:ind w:firstLine="480" w:firstLineChars="200"/>
        <w:rPr>
          <w:bCs/>
          <w:sz w:val="24"/>
        </w:rPr>
      </w:pPr>
      <w:r>
        <w:rPr>
          <w:rFonts w:hint="eastAsia"/>
          <w:bCs/>
          <w:sz w:val="24"/>
        </w:rPr>
        <w:t>在同时符合以下条件时，通讯开会的方式视为有效：</w:t>
      </w:r>
    </w:p>
    <w:p w14:paraId="44797D16">
      <w:pPr>
        <w:spacing w:line="360" w:lineRule="auto"/>
        <w:ind w:firstLine="480" w:firstLineChars="200"/>
        <w:rPr>
          <w:bCs/>
          <w:sz w:val="24"/>
        </w:rPr>
      </w:pPr>
      <w:r>
        <w:rPr>
          <w:rFonts w:hint="eastAsia"/>
          <w:bCs/>
          <w:sz w:val="24"/>
        </w:rPr>
        <w:t>（1）会议召集人按《基金合同》约定公布会议通知后，在2个工作日内连续公布相关提示性公告；</w:t>
      </w:r>
    </w:p>
    <w:p w14:paraId="03C09042">
      <w:pPr>
        <w:spacing w:line="360" w:lineRule="auto"/>
        <w:ind w:firstLine="480" w:firstLineChars="20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6AF099">
      <w:pPr>
        <w:spacing w:line="360" w:lineRule="auto"/>
        <w:ind w:firstLine="480" w:firstLineChars="20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5A9CCF09">
      <w:pPr>
        <w:spacing w:line="360" w:lineRule="auto"/>
        <w:ind w:firstLine="480" w:firstLineChars="20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CBF619D">
      <w:pPr>
        <w:spacing w:line="360" w:lineRule="auto"/>
        <w:ind w:firstLine="480" w:firstLineChars="200"/>
        <w:rPr>
          <w:bCs/>
          <w:sz w:val="24"/>
        </w:rPr>
      </w:pPr>
      <w:r>
        <w:rPr>
          <w:rFonts w:hint="eastAsia"/>
          <w:bCs/>
          <w:sz w:val="24"/>
        </w:rPr>
        <w:t>3、在法律法规和监管机关允许的情况下，本基金的基金份额持有人可以采用书面、网络、电话或其他监管机构允许的方式进行表决，亦可采用其他非书面方式授权其代理人出席基金份额持有人大会并表决，具体方式由会议召集人确定并在会议通知中列明。</w:t>
      </w:r>
    </w:p>
    <w:p w14:paraId="6510999A">
      <w:pPr>
        <w:spacing w:line="360" w:lineRule="auto"/>
        <w:ind w:firstLine="480" w:firstLineChars="200"/>
        <w:rPr>
          <w:bCs/>
          <w:sz w:val="24"/>
        </w:rPr>
      </w:pPr>
      <w:r>
        <w:rPr>
          <w:rFonts w:hint="eastAsia"/>
          <w:bCs/>
          <w:sz w:val="24"/>
        </w:rPr>
        <w:t>4、在会议召开方式上，本基金亦可采用其他非现场方式或者以现场方式与非现场方式相结合的方式召开基金份额持有人大会，会议程序比照现场开会和通讯方式开会的程序进行。</w:t>
      </w:r>
    </w:p>
    <w:p w14:paraId="48E1936B">
      <w:pPr>
        <w:spacing w:line="360" w:lineRule="auto"/>
        <w:ind w:firstLine="480" w:firstLineChars="200"/>
        <w:rPr>
          <w:bCs/>
          <w:sz w:val="24"/>
        </w:rPr>
      </w:pPr>
      <w:r>
        <w:rPr>
          <w:rFonts w:hint="eastAsia"/>
          <w:bCs/>
          <w:sz w:val="24"/>
        </w:rPr>
        <w:t>（五</w:t>
      </w:r>
      <w:r>
        <w:rPr>
          <w:bCs/>
          <w:sz w:val="24"/>
        </w:rPr>
        <w:t>）</w:t>
      </w:r>
      <w:r>
        <w:rPr>
          <w:rFonts w:hint="eastAsia"/>
          <w:bCs/>
          <w:sz w:val="24"/>
        </w:rPr>
        <w:t>议事内容与程序</w:t>
      </w:r>
    </w:p>
    <w:p w14:paraId="10E14DFC">
      <w:pPr>
        <w:spacing w:line="360" w:lineRule="auto"/>
        <w:ind w:firstLine="480" w:firstLineChars="200"/>
        <w:rPr>
          <w:bCs/>
          <w:sz w:val="24"/>
        </w:rPr>
      </w:pPr>
      <w:r>
        <w:rPr>
          <w:rFonts w:hint="eastAsia"/>
          <w:bCs/>
          <w:sz w:val="24"/>
        </w:rPr>
        <w:t>1、议事内容及提案权</w:t>
      </w:r>
    </w:p>
    <w:p w14:paraId="2E79756B">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49A5E8B">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3129B7B7">
      <w:pPr>
        <w:spacing w:line="360" w:lineRule="auto"/>
        <w:ind w:firstLine="480" w:firstLineChars="200"/>
        <w:rPr>
          <w:bCs/>
          <w:sz w:val="24"/>
        </w:rPr>
      </w:pPr>
      <w:r>
        <w:rPr>
          <w:rFonts w:hint="eastAsia"/>
          <w:bCs/>
          <w:sz w:val="24"/>
        </w:rPr>
        <w:t>基金份额持有人大会不得对未事先公告的议事内容进行表决。</w:t>
      </w:r>
    </w:p>
    <w:p w14:paraId="2879AA51">
      <w:pPr>
        <w:spacing w:line="360" w:lineRule="auto"/>
        <w:ind w:firstLine="480" w:firstLineChars="200"/>
        <w:rPr>
          <w:bCs/>
          <w:sz w:val="24"/>
        </w:rPr>
      </w:pPr>
      <w:r>
        <w:rPr>
          <w:rFonts w:hint="eastAsia"/>
          <w:bCs/>
          <w:sz w:val="24"/>
        </w:rPr>
        <w:t>2、议事程序</w:t>
      </w:r>
    </w:p>
    <w:p w14:paraId="5E87C02A">
      <w:pPr>
        <w:spacing w:line="360" w:lineRule="auto"/>
        <w:ind w:firstLine="480" w:firstLineChars="200"/>
        <w:rPr>
          <w:bCs/>
          <w:sz w:val="24"/>
        </w:rPr>
      </w:pPr>
      <w:r>
        <w:rPr>
          <w:rFonts w:hint="eastAsia"/>
          <w:bCs/>
          <w:sz w:val="24"/>
        </w:rPr>
        <w:t>（1）现场开会</w:t>
      </w:r>
    </w:p>
    <w:p w14:paraId="18E3E3D3">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79A7E3F3">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8E0DA5D">
      <w:pPr>
        <w:spacing w:line="360" w:lineRule="auto"/>
        <w:ind w:firstLine="480" w:firstLineChars="200"/>
        <w:rPr>
          <w:bCs/>
          <w:sz w:val="24"/>
        </w:rPr>
      </w:pPr>
      <w:r>
        <w:rPr>
          <w:rFonts w:hint="eastAsia"/>
          <w:bCs/>
          <w:sz w:val="24"/>
        </w:rPr>
        <w:t>（2）通讯开会</w:t>
      </w:r>
    </w:p>
    <w:p w14:paraId="2525E9A5">
      <w:pPr>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14:paraId="3A8119D6">
      <w:pPr>
        <w:spacing w:line="360" w:lineRule="auto"/>
        <w:ind w:firstLine="480" w:firstLineChars="200"/>
        <w:rPr>
          <w:bCs/>
          <w:sz w:val="24"/>
        </w:rPr>
      </w:pPr>
      <w:r>
        <w:rPr>
          <w:rFonts w:hint="eastAsia"/>
          <w:bCs/>
          <w:sz w:val="24"/>
        </w:rPr>
        <w:t>（六）表决</w:t>
      </w:r>
    </w:p>
    <w:p w14:paraId="05C8F7BE">
      <w:pPr>
        <w:spacing w:line="360" w:lineRule="auto"/>
        <w:ind w:firstLine="480" w:firstLineChars="200"/>
        <w:rPr>
          <w:bCs/>
          <w:sz w:val="24"/>
        </w:rPr>
      </w:pPr>
      <w:r>
        <w:rPr>
          <w:rFonts w:hint="eastAsia"/>
          <w:bCs/>
          <w:sz w:val="24"/>
        </w:rPr>
        <w:t>基金份额持有人所持每份基金份额有一票表决权。</w:t>
      </w:r>
    </w:p>
    <w:p w14:paraId="09D4F511">
      <w:pPr>
        <w:spacing w:line="360" w:lineRule="auto"/>
        <w:ind w:firstLine="480" w:firstLineChars="200"/>
        <w:rPr>
          <w:bCs/>
          <w:sz w:val="24"/>
        </w:rPr>
      </w:pPr>
      <w:r>
        <w:rPr>
          <w:rFonts w:hint="eastAsia"/>
          <w:bCs/>
          <w:sz w:val="24"/>
        </w:rPr>
        <w:t>基金份额持有人大会决议分为一般决议和特别决议：</w:t>
      </w:r>
    </w:p>
    <w:p w14:paraId="49CA33C3">
      <w:pPr>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D30AE95">
      <w:pPr>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7FA675CC">
      <w:pPr>
        <w:spacing w:line="360" w:lineRule="auto"/>
        <w:ind w:firstLine="480" w:firstLineChars="200"/>
        <w:rPr>
          <w:bCs/>
          <w:sz w:val="24"/>
        </w:rPr>
      </w:pPr>
      <w:r>
        <w:rPr>
          <w:rFonts w:hint="eastAsia"/>
          <w:bCs/>
          <w:sz w:val="24"/>
        </w:rPr>
        <w:t>基金份额持有人大会采取记名方式进行投票表决。</w:t>
      </w:r>
    </w:p>
    <w:p w14:paraId="30021410">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AC87484">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572AC976">
      <w:pPr>
        <w:spacing w:line="360" w:lineRule="auto"/>
        <w:ind w:firstLine="480" w:firstLineChars="200"/>
        <w:rPr>
          <w:bCs/>
          <w:sz w:val="24"/>
        </w:rPr>
      </w:pPr>
      <w:r>
        <w:rPr>
          <w:rFonts w:hint="eastAsia"/>
          <w:bCs/>
          <w:sz w:val="24"/>
        </w:rPr>
        <w:t>（七</w:t>
      </w:r>
      <w:r>
        <w:rPr>
          <w:bCs/>
          <w:sz w:val="24"/>
        </w:rPr>
        <w:t>）</w:t>
      </w:r>
      <w:r>
        <w:rPr>
          <w:rFonts w:hint="eastAsia"/>
          <w:bCs/>
          <w:sz w:val="24"/>
        </w:rPr>
        <w:t>计票</w:t>
      </w:r>
    </w:p>
    <w:p w14:paraId="1F7FA815">
      <w:pPr>
        <w:spacing w:line="360" w:lineRule="auto"/>
        <w:ind w:firstLine="480" w:firstLineChars="200"/>
        <w:rPr>
          <w:bCs/>
          <w:sz w:val="24"/>
        </w:rPr>
      </w:pPr>
      <w:r>
        <w:rPr>
          <w:rFonts w:hint="eastAsia"/>
          <w:bCs/>
          <w:sz w:val="24"/>
        </w:rPr>
        <w:t>1、现场开会</w:t>
      </w:r>
    </w:p>
    <w:p w14:paraId="7F5FFCE6">
      <w:pPr>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0760A81">
      <w:pPr>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14:paraId="6B7DAF95">
      <w:pPr>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C5D439">
      <w:pPr>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14:paraId="736B7A87">
      <w:pPr>
        <w:spacing w:line="360" w:lineRule="auto"/>
        <w:ind w:firstLine="480" w:firstLineChars="200"/>
        <w:rPr>
          <w:bCs/>
          <w:sz w:val="24"/>
        </w:rPr>
      </w:pPr>
      <w:r>
        <w:rPr>
          <w:rFonts w:hint="eastAsia"/>
          <w:bCs/>
          <w:sz w:val="24"/>
        </w:rPr>
        <w:t>2、通讯开会</w:t>
      </w:r>
    </w:p>
    <w:p w14:paraId="7D48757D">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D044B4">
      <w:pPr>
        <w:spacing w:line="360" w:lineRule="auto"/>
        <w:ind w:firstLine="480" w:firstLineChars="200"/>
        <w:rPr>
          <w:bCs/>
          <w:sz w:val="24"/>
        </w:rPr>
      </w:pPr>
      <w:r>
        <w:rPr>
          <w:rFonts w:hint="eastAsia"/>
          <w:bCs/>
          <w:sz w:val="24"/>
        </w:rPr>
        <w:t>（八）生效与公告</w:t>
      </w:r>
    </w:p>
    <w:p w14:paraId="53E896D0">
      <w:pPr>
        <w:spacing w:line="360" w:lineRule="auto"/>
        <w:ind w:firstLine="480" w:firstLineChars="200"/>
        <w:rPr>
          <w:bCs/>
          <w:sz w:val="24"/>
        </w:rPr>
      </w:pPr>
      <w:r>
        <w:rPr>
          <w:rFonts w:hint="eastAsia"/>
          <w:bCs/>
          <w:sz w:val="24"/>
        </w:rPr>
        <w:t>基金份额持有人大会的决议，召集人应当自通过之日起5日内报中国证监会备案。</w:t>
      </w:r>
    </w:p>
    <w:p w14:paraId="1CEE9935">
      <w:pPr>
        <w:spacing w:line="360" w:lineRule="auto"/>
        <w:ind w:firstLine="480" w:firstLineChars="200"/>
        <w:rPr>
          <w:bCs/>
          <w:sz w:val="24"/>
        </w:rPr>
      </w:pPr>
      <w:r>
        <w:rPr>
          <w:rFonts w:hint="eastAsia"/>
          <w:bCs/>
          <w:sz w:val="24"/>
        </w:rPr>
        <w:t>基金份额持有人大会的决议自表决通过之日起生效。</w:t>
      </w:r>
    </w:p>
    <w:p w14:paraId="08785276">
      <w:pPr>
        <w:spacing w:line="360" w:lineRule="auto"/>
        <w:ind w:firstLine="480" w:firstLineChars="200"/>
        <w:rPr>
          <w:bCs/>
          <w:sz w:val="24"/>
        </w:rPr>
      </w:pPr>
      <w:r>
        <w:rPr>
          <w:rFonts w:hint="eastAsia"/>
          <w:bCs/>
          <w:sz w:val="24"/>
        </w:rPr>
        <w:t>基金份额持有人大会决议自生效之日起2日内在规定媒介上公告。如果采用通讯方式进行表决，在公告基金份额持有人大会决议时，必须将公证书全文、公证机构、公证员姓名等一同公告。</w:t>
      </w:r>
    </w:p>
    <w:p w14:paraId="0B0021EE">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F226F9F">
      <w:pPr>
        <w:spacing w:line="360" w:lineRule="auto"/>
        <w:ind w:firstLine="480" w:firstLineChars="200"/>
        <w:rPr>
          <w:bCs/>
          <w:sz w:val="24"/>
        </w:rPr>
      </w:pPr>
      <w:r>
        <w:rPr>
          <w:rFonts w:hint="eastAsia"/>
          <w:bCs/>
          <w:sz w:val="24"/>
        </w:rPr>
        <w:t>（九）实施侧袋机制期间基金份额持有人大会的特殊约定</w:t>
      </w:r>
    </w:p>
    <w:p w14:paraId="0720D72B">
      <w:pPr>
        <w:spacing w:line="360" w:lineRule="auto"/>
        <w:ind w:firstLine="480" w:firstLineChars="200"/>
        <w:rPr>
          <w:bCs/>
          <w:sz w:val="24"/>
        </w:rPr>
      </w:pPr>
      <w:r>
        <w:rPr>
          <w:rFonts w:hint="eastAsia"/>
          <w:bCs/>
          <w:sz w:val="24"/>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1EB4D23">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0AFAFA41">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595F4E7A">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3852875F">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201450">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56B821DE">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70F8358F">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7D2BAF13">
      <w:pPr>
        <w:spacing w:line="360" w:lineRule="auto"/>
        <w:ind w:firstLine="480" w:firstLineChars="200"/>
        <w:rPr>
          <w:bCs/>
          <w:sz w:val="24"/>
        </w:rPr>
      </w:pPr>
      <w:r>
        <w:rPr>
          <w:rFonts w:hint="eastAsia"/>
          <w:bCs/>
          <w:sz w:val="24"/>
        </w:rPr>
        <w:t>同一主侧袋账户内的每份基金份额具有平等的表决权。</w:t>
      </w:r>
    </w:p>
    <w:p w14:paraId="0FE85D1F">
      <w:pPr>
        <w:spacing w:line="360" w:lineRule="auto"/>
        <w:ind w:firstLine="480" w:firstLineChars="200"/>
        <w:rPr>
          <w:bCs/>
          <w:sz w:val="24"/>
        </w:rPr>
      </w:pPr>
      <w:r>
        <w:rPr>
          <w:rFonts w:hint="eastAsia"/>
          <w:bCs/>
          <w:sz w:val="24"/>
        </w:rPr>
        <w:t>（十</w:t>
      </w:r>
      <w:r>
        <w:rPr>
          <w:bCs/>
          <w:sz w:val="24"/>
        </w:rPr>
        <w:t>）</w:t>
      </w:r>
      <w:r>
        <w:rPr>
          <w:rFonts w:hint="eastAsia"/>
          <w:bCs/>
          <w:sz w:val="24"/>
        </w:rPr>
        <w:t>本部分关于基金份额持有人大会的召开事由、召开条件、议事程序和表决条件等内容，凡是直接引用法律法规的部分，如将来法律法规修改导致相关内容被取消或变更的，基金管理人经与基金托管人协商一致并在履行适当程序后，可对该部分内容进行修改或调整，无需召开基金份额持有人大会审议。</w:t>
      </w:r>
    </w:p>
    <w:p w14:paraId="6049336B">
      <w:pPr>
        <w:spacing w:line="360" w:lineRule="auto"/>
        <w:ind w:firstLine="480" w:firstLineChars="200"/>
        <w:rPr>
          <w:bCs/>
          <w:sz w:val="24"/>
        </w:rPr>
      </w:pPr>
      <w:r>
        <w:rPr>
          <w:rFonts w:hint="eastAsia"/>
          <w:bCs/>
          <w:sz w:val="24"/>
        </w:rPr>
        <w:t>三、基金合同的变更、终止与基金财产的清算</w:t>
      </w:r>
    </w:p>
    <w:p w14:paraId="734682CF">
      <w:pPr>
        <w:spacing w:line="360" w:lineRule="auto"/>
        <w:ind w:firstLine="480" w:firstLineChars="200"/>
        <w:rPr>
          <w:bCs/>
          <w:sz w:val="24"/>
        </w:rPr>
      </w:pPr>
      <w:r>
        <w:rPr>
          <w:rFonts w:hint="eastAsia"/>
          <w:bCs/>
          <w:sz w:val="24"/>
        </w:rPr>
        <w:t>（一</w:t>
      </w:r>
      <w:r>
        <w:rPr>
          <w:bCs/>
          <w:sz w:val="24"/>
        </w:rPr>
        <w:t>）</w:t>
      </w:r>
      <w:r>
        <w:rPr>
          <w:rFonts w:hint="eastAsia"/>
          <w:bCs/>
          <w:sz w:val="24"/>
        </w:rPr>
        <w:t>《基金合同》的变更</w:t>
      </w:r>
    </w:p>
    <w:p w14:paraId="73153176">
      <w:pPr>
        <w:autoSpaceDE w:val="0"/>
        <w:autoSpaceDN w:val="0"/>
        <w:adjustRightInd w:val="0"/>
        <w:spacing w:line="360" w:lineRule="auto"/>
        <w:ind w:firstLine="480" w:firstLineChars="200"/>
        <w:jc w:val="left"/>
        <w:rPr>
          <w:bCs/>
          <w:sz w:val="24"/>
        </w:rPr>
      </w:pPr>
      <w:r>
        <w:rPr>
          <w:bCs/>
          <w:sz w:val="24"/>
        </w:rPr>
        <w:t>1、变更基金合同涉及法律法规规定或本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F177C39">
      <w:pPr>
        <w:spacing w:line="360" w:lineRule="auto"/>
        <w:ind w:firstLine="480" w:firstLineChars="200"/>
        <w:rPr>
          <w:bCs/>
          <w:sz w:val="24"/>
        </w:rPr>
      </w:pPr>
      <w:r>
        <w:rPr>
          <w:rFonts w:hint="eastAsia"/>
          <w:bCs/>
          <w:sz w:val="24"/>
        </w:rPr>
        <w:t>2、关于《基金合同》变更的基金份额持有人大会决议自生效后方可执行，并自决议生效后两日内在规定媒介公告。</w:t>
      </w:r>
    </w:p>
    <w:p w14:paraId="13055008">
      <w:pPr>
        <w:spacing w:line="360" w:lineRule="auto"/>
        <w:ind w:firstLine="480" w:firstLineChars="200"/>
        <w:rPr>
          <w:bCs/>
          <w:sz w:val="24"/>
        </w:rPr>
      </w:pPr>
      <w:r>
        <w:rPr>
          <w:rFonts w:hint="eastAsia"/>
          <w:bCs/>
          <w:sz w:val="24"/>
        </w:rPr>
        <w:t>（二）《基金合同》的终止事由</w:t>
      </w:r>
    </w:p>
    <w:p w14:paraId="4DDBF4A8">
      <w:pPr>
        <w:spacing w:line="360" w:lineRule="auto"/>
        <w:ind w:firstLine="480" w:firstLineChars="200"/>
        <w:rPr>
          <w:bCs/>
          <w:sz w:val="24"/>
        </w:rPr>
      </w:pPr>
      <w:r>
        <w:rPr>
          <w:rFonts w:hint="eastAsia"/>
          <w:bCs/>
          <w:sz w:val="24"/>
        </w:rPr>
        <w:t>有下列情形之一的，经履行相关程序后，《基金合同》应当终止：</w:t>
      </w:r>
    </w:p>
    <w:p w14:paraId="0A45C240">
      <w:pPr>
        <w:spacing w:line="360" w:lineRule="auto"/>
        <w:ind w:firstLine="480" w:firstLineChars="200"/>
        <w:rPr>
          <w:bCs/>
          <w:sz w:val="24"/>
        </w:rPr>
      </w:pPr>
      <w:r>
        <w:rPr>
          <w:rFonts w:hint="eastAsia"/>
          <w:bCs/>
          <w:sz w:val="24"/>
        </w:rPr>
        <w:t>1、基金份额持有人大会决定终止的；</w:t>
      </w:r>
    </w:p>
    <w:p w14:paraId="3139D656">
      <w:pPr>
        <w:spacing w:line="360" w:lineRule="auto"/>
        <w:ind w:firstLine="480" w:firstLineChars="200"/>
        <w:rPr>
          <w:bCs/>
          <w:sz w:val="24"/>
        </w:rPr>
      </w:pPr>
      <w:r>
        <w:rPr>
          <w:rFonts w:hint="eastAsia"/>
          <w:bCs/>
          <w:sz w:val="24"/>
        </w:rPr>
        <w:t>2、基金管理人、基金托管人职责终止，在6个月内没有新基金管理人、新基金托管人承接的；</w:t>
      </w:r>
    </w:p>
    <w:p w14:paraId="12E066DB">
      <w:pPr>
        <w:spacing w:line="360" w:lineRule="auto"/>
        <w:ind w:firstLine="480" w:firstLineChars="200"/>
        <w:rPr>
          <w:bCs/>
          <w:sz w:val="24"/>
        </w:rPr>
      </w:pPr>
      <w:r>
        <w:rPr>
          <w:rFonts w:hint="eastAsia"/>
          <w:bCs/>
          <w:sz w:val="24"/>
        </w:rPr>
        <w:t>3、《基金合同》约定的其他情形；</w:t>
      </w:r>
    </w:p>
    <w:p w14:paraId="45D68938">
      <w:pPr>
        <w:spacing w:line="360" w:lineRule="auto"/>
        <w:ind w:firstLine="480" w:firstLineChars="200"/>
        <w:rPr>
          <w:bCs/>
          <w:sz w:val="24"/>
        </w:rPr>
      </w:pPr>
      <w:r>
        <w:rPr>
          <w:rFonts w:hint="eastAsia"/>
          <w:bCs/>
          <w:sz w:val="24"/>
        </w:rPr>
        <w:t>4、相关法律法规和中国证监会规定的其他情况。</w:t>
      </w:r>
    </w:p>
    <w:p w14:paraId="525B02E2">
      <w:pPr>
        <w:spacing w:line="360" w:lineRule="auto"/>
        <w:ind w:firstLine="480" w:firstLineChars="200"/>
        <w:rPr>
          <w:bCs/>
          <w:sz w:val="24"/>
        </w:rPr>
      </w:pPr>
      <w:r>
        <w:rPr>
          <w:rFonts w:hint="eastAsia"/>
          <w:bCs/>
          <w:sz w:val="24"/>
        </w:rPr>
        <w:t>（三</w:t>
      </w:r>
      <w:r>
        <w:rPr>
          <w:bCs/>
          <w:sz w:val="24"/>
        </w:rPr>
        <w:t>）</w:t>
      </w:r>
      <w:r>
        <w:rPr>
          <w:rFonts w:hint="eastAsia"/>
          <w:bCs/>
          <w:sz w:val="24"/>
        </w:rPr>
        <w:t>基金财产的清算</w:t>
      </w:r>
    </w:p>
    <w:p w14:paraId="088A7444">
      <w:pPr>
        <w:spacing w:line="360" w:lineRule="auto"/>
        <w:ind w:firstLine="480" w:firstLineChars="200"/>
        <w:rPr>
          <w:bCs/>
          <w:sz w:val="24"/>
        </w:rPr>
      </w:pPr>
      <w:r>
        <w:rPr>
          <w:rFonts w:hint="eastAsia"/>
          <w:bCs/>
          <w:sz w:val="24"/>
        </w:rPr>
        <w:t>1、基金财产清算小组：自出现《基金合同》终止事由之日起30个工作日内</w:t>
      </w:r>
      <w:r>
        <w:rPr>
          <w:bCs/>
          <w:sz w:val="24"/>
        </w:rPr>
        <w:t>由基金管理人发起清算并</w:t>
      </w:r>
      <w:r>
        <w:rPr>
          <w:rFonts w:hint="eastAsia"/>
          <w:bCs/>
          <w:sz w:val="24"/>
        </w:rPr>
        <w:t>成立基金财产清算小组，基金管理人组织基金财产清算小组并在中国证监会的监督下进行基金清算。</w:t>
      </w:r>
    </w:p>
    <w:p w14:paraId="429B1837">
      <w:pPr>
        <w:spacing w:line="360" w:lineRule="auto"/>
        <w:ind w:firstLine="480" w:firstLineChars="200"/>
        <w:rPr>
          <w:bCs/>
          <w:sz w:val="24"/>
        </w:rPr>
      </w:pPr>
      <w:r>
        <w:rPr>
          <w:rFonts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2FCC2B5">
      <w:pPr>
        <w:spacing w:line="360" w:lineRule="auto"/>
        <w:ind w:firstLine="480" w:firstLineChars="200"/>
        <w:rPr>
          <w:bCs/>
          <w:sz w:val="24"/>
        </w:rPr>
      </w:pPr>
      <w:r>
        <w:rPr>
          <w:rFonts w:hint="eastAsia"/>
          <w:bCs/>
          <w:sz w:val="24"/>
        </w:rPr>
        <w:t>3、基金财产清算小组职责：基金财产清算小组负责基金财产的保管、清理、估价、变现和分配。基金财产清算小组可以依法进行必要的民事活动。</w:t>
      </w:r>
    </w:p>
    <w:p w14:paraId="45C67398">
      <w:pPr>
        <w:spacing w:line="360" w:lineRule="auto"/>
        <w:ind w:firstLine="480" w:firstLineChars="200"/>
        <w:rPr>
          <w:bCs/>
          <w:sz w:val="24"/>
        </w:rPr>
      </w:pPr>
      <w:r>
        <w:rPr>
          <w:rFonts w:hint="eastAsia"/>
          <w:bCs/>
          <w:sz w:val="24"/>
        </w:rPr>
        <w:t>4、基金财产清算程序：</w:t>
      </w:r>
    </w:p>
    <w:p w14:paraId="694D5FE3">
      <w:pPr>
        <w:spacing w:line="360" w:lineRule="auto"/>
        <w:ind w:firstLine="480" w:firstLineChars="200"/>
        <w:rPr>
          <w:bCs/>
          <w:sz w:val="24"/>
        </w:rPr>
      </w:pPr>
      <w:r>
        <w:rPr>
          <w:rFonts w:hint="eastAsia"/>
          <w:bCs/>
          <w:sz w:val="24"/>
        </w:rPr>
        <w:t>（1）《基金合同》终止情形出现时，由基金财产清算小组统一接管基金；</w:t>
      </w:r>
    </w:p>
    <w:p w14:paraId="58648737">
      <w:pPr>
        <w:spacing w:line="360" w:lineRule="auto"/>
        <w:ind w:firstLine="480" w:firstLineChars="200"/>
        <w:rPr>
          <w:bCs/>
          <w:sz w:val="24"/>
        </w:rPr>
      </w:pPr>
      <w:r>
        <w:rPr>
          <w:rFonts w:hint="eastAsia"/>
          <w:bCs/>
          <w:sz w:val="24"/>
        </w:rPr>
        <w:t>（2）对基金财产和债权债务进行清理和确认；</w:t>
      </w:r>
    </w:p>
    <w:p w14:paraId="23A43D92">
      <w:pPr>
        <w:spacing w:line="360" w:lineRule="auto"/>
        <w:ind w:firstLine="480" w:firstLineChars="200"/>
        <w:rPr>
          <w:bCs/>
          <w:sz w:val="24"/>
        </w:rPr>
      </w:pPr>
      <w:r>
        <w:rPr>
          <w:rFonts w:hint="eastAsia"/>
          <w:bCs/>
          <w:sz w:val="24"/>
        </w:rPr>
        <w:t>（3）对基金财产进行估值和变现；</w:t>
      </w:r>
    </w:p>
    <w:p w14:paraId="6EDAD5CA">
      <w:pPr>
        <w:spacing w:line="360" w:lineRule="auto"/>
        <w:ind w:firstLine="480" w:firstLineChars="200"/>
        <w:rPr>
          <w:bCs/>
          <w:sz w:val="24"/>
        </w:rPr>
      </w:pPr>
      <w:r>
        <w:rPr>
          <w:rFonts w:hint="eastAsia"/>
          <w:bCs/>
          <w:sz w:val="24"/>
        </w:rPr>
        <w:t>（4）制作清算报告；</w:t>
      </w:r>
    </w:p>
    <w:p w14:paraId="5C4898B9">
      <w:pPr>
        <w:spacing w:line="360" w:lineRule="auto"/>
        <w:ind w:firstLine="480" w:firstLineChars="200"/>
        <w:rPr>
          <w:bCs/>
          <w:sz w:val="24"/>
        </w:rPr>
      </w:pPr>
      <w:r>
        <w:rPr>
          <w:rFonts w:hint="eastAsia"/>
          <w:bCs/>
          <w:sz w:val="24"/>
        </w:rPr>
        <w:t>（5）聘请会计师事务所对清算报告进行外部审计，聘请律师事务所对清算报告出具法律意见书；</w:t>
      </w:r>
    </w:p>
    <w:p w14:paraId="6817D23D">
      <w:pPr>
        <w:spacing w:line="360" w:lineRule="auto"/>
        <w:ind w:firstLine="480" w:firstLineChars="200"/>
        <w:rPr>
          <w:bCs/>
          <w:sz w:val="24"/>
        </w:rPr>
      </w:pPr>
      <w:r>
        <w:rPr>
          <w:rFonts w:hint="eastAsia"/>
          <w:bCs/>
          <w:sz w:val="24"/>
        </w:rPr>
        <w:t>（6）将清算报告报中国证监会备案并公告；</w:t>
      </w:r>
    </w:p>
    <w:p w14:paraId="74E9509D">
      <w:pPr>
        <w:spacing w:line="360" w:lineRule="auto"/>
        <w:ind w:firstLine="480" w:firstLineChars="200"/>
        <w:rPr>
          <w:bCs/>
          <w:sz w:val="24"/>
        </w:rPr>
      </w:pPr>
      <w:r>
        <w:rPr>
          <w:rFonts w:hint="eastAsia"/>
          <w:bCs/>
          <w:sz w:val="24"/>
        </w:rPr>
        <w:t>（7）对基金剩余财产进行分配。</w:t>
      </w:r>
    </w:p>
    <w:p w14:paraId="35C68ACD">
      <w:pPr>
        <w:spacing w:line="360" w:lineRule="auto"/>
        <w:ind w:firstLine="480" w:firstLineChars="200"/>
        <w:rPr>
          <w:bCs/>
          <w:sz w:val="24"/>
        </w:rPr>
      </w:pPr>
      <w:r>
        <w:rPr>
          <w:rFonts w:hint="eastAsia"/>
          <w:bCs/>
          <w:sz w:val="24"/>
        </w:rPr>
        <w:t>5、基金财产清算的期限为6个月，但因本基金所持证券的流动性受到限制而不能及时变现的，清算期限相应顺延。</w:t>
      </w:r>
    </w:p>
    <w:p w14:paraId="1CC7A661">
      <w:pPr>
        <w:spacing w:line="360" w:lineRule="auto"/>
        <w:ind w:firstLine="480" w:firstLineChars="200"/>
        <w:rPr>
          <w:bCs/>
          <w:sz w:val="24"/>
        </w:rPr>
      </w:pPr>
      <w:r>
        <w:rPr>
          <w:rFonts w:hint="eastAsia"/>
          <w:bCs/>
          <w:sz w:val="24"/>
        </w:rPr>
        <w:t>（四）清算费用</w:t>
      </w:r>
    </w:p>
    <w:p w14:paraId="32468ACA">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57474006">
      <w:pPr>
        <w:spacing w:line="360" w:lineRule="auto"/>
        <w:ind w:firstLine="480" w:firstLineChars="200"/>
        <w:rPr>
          <w:bCs/>
          <w:sz w:val="24"/>
        </w:rPr>
      </w:pPr>
      <w:r>
        <w:rPr>
          <w:rFonts w:hint="eastAsia"/>
          <w:bCs/>
          <w:sz w:val="24"/>
        </w:rPr>
        <w:t>（五</w:t>
      </w:r>
      <w:r>
        <w:rPr>
          <w:bCs/>
          <w:sz w:val="24"/>
        </w:rPr>
        <w:t>）</w:t>
      </w:r>
      <w:r>
        <w:rPr>
          <w:rFonts w:hint="eastAsia"/>
          <w:bCs/>
          <w:sz w:val="24"/>
        </w:rPr>
        <w:t>基金财产清算剩余资产的分配</w:t>
      </w:r>
    </w:p>
    <w:p w14:paraId="636FFB72">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23CA45DF">
      <w:pPr>
        <w:spacing w:line="360" w:lineRule="auto"/>
        <w:ind w:firstLine="480" w:firstLineChars="200"/>
        <w:rPr>
          <w:bCs/>
          <w:sz w:val="24"/>
        </w:rPr>
      </w:pPr>
      <w:r>
        <w:rPr>
          <w:bCs/>
          <w:sz w:val="24"/>
        </w:rPr>
        <w:t>其中，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5A0E3960">
      <w:pPr>
        <w:spacing w:line="360" w:lineRule="auto"/>
        <w:ind w:firstLine="480" w:firstLineChars="200"/>
        <w:rPr>
          <w:bCs/>
          <w:sz w:val="24"/>
        </w:rPr>
      </w:pPr>
      <w:r>
        <w:rPr>
          <w:rFonts w:hint="eastAsia"/>
          <w:bCs/>
          <w:sz w:val="24"/>
        </w:rPr>
        <w:t>（六）基金财产清算的公告</w:t>
      </w:r>
    </w:p>
    <w:p w14:paraId="6EBC0677">
      <w:pPr>
        <w:spacing w:line="360" w:lineRule="auto"/>
        <w:ind w:firstLine="480" w:firstLineChars="20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E510754">
      <w:pPr>
        <w:spacing w:line="360" w:lineRule="auto"/>
        <w:ind w:firstLine="480" w:firstLineChars="200"/>
        <w:rPr>
          <w:bCs/>
          <w:sz w:val="24"/>
        </w:rPr>
      </w:pPr>
      <w:r>
        <w:rPr>
          <w:rFonts w:hint="eastAsia"/>
          <w:bCs/>
          <w:sz w:val="24"/>
        </w:rPr>
        <w:t>（七</w:t>
      </w:r>
      <w:r>
        <w:rPr>
          <w:bCs/>
          <w:sz w:val="24"/>
        </w:rPr>
        <w:t>）</w:t>
      </w:r>
      <w:r>
        <w:rPr>
          <w:rFonts w:hint="eastAsia"/>
          <w:bCs/>
          <w:sz w:val="24"/>
        </w:rPr>
        <w:t>基金财产清算账册及文件的保存</w:t>
      </w:r>
    </w:p>
    <w:p w14:paraId="45930459">
      <w:pPr>
        <w:spacing w:line="360" w:lineRule="auto"/>
        <w:ind w:firstLine="480" w:firstLineChars="200"/>
        <w:rPr>
          <w:bCs/>
          <w:sz w:val="24"/>
        </w:rPr>
      </w:pPr>
      <w:r>
        <w:rPr>
          <w:rFonts w:hint="eastAsia"/>
          <w:bCs/>
          <w:sz w:val="24"/>
        </w:rPr>
        <w:t>基金财产清算账册及有关文件由基金托管人保存，保存期限不低于法律法规规定的最低期限。</w:t>
      </w:r>
    </w:p>
    <w:p w14:paraId="341A9436">
      <w:pPr>
        <w:spacing w:line="360" w:lineRule="auto"/>
        <w:ind w:firstLine="480" w:firstLineChars="200"/>
        <w:rPr>
          <w:bCs/>
          <w:sz w:val="24"/>
        </w:rPr>
      </w:pPr>
      <w:r>
        <w:rPr>
          <w:rFonts w:hint="eastAsia"/>
          <w:bCs/>
          <w:sz w:val="24"/>
        </w:rPr>
        <w:t>四、争议解决方式</w:t>
      </w:r>
    </w:p>
    <w:p w14:paraId="7AB4B933">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各方当事人同意，因《基金合同》而产生的或与《基金合同》有关的一切争议，如经友好协商未能解决的，任何一方均应</w:t>
      </w:r>
      <w:r>
        <w:rPr>
          <w:rFonts w:hint="eastAsia"/>
          <w:sz w:val="24"/>
        </w:rPr>
        <w:t>将争议提交</w:t>
      </w:r>
      <w:r>
        <w:rPr>
          <w:sz w:val="24"/>
        </w:rPr>
        <w:t>中国国际经济贸易仲裁委员会</w:t>
      </w:r>
      <w:r>
        <w:rPr>
          <w:rFonts w:hint="eastAsia"/>
          <w:sz w:val="24"/>
        </w:rPr>
        <w:t>，仲裁地点为</w:t>
      </w:r>
      <w:r>
        <w:rPr>
          <w:sz w:val="24"/>
        </w:rPr>
        <w:t>北京市，按照中国</w:t>
      </w:r>
      <w:r>
        <w:rPr>
          <w:rFonts w:hint="eastAsia"/>
          <w:sz w:val="24"/>
        </w:rPr>
        <w:t>国际经济贸易仲裁委员会届时有效的仲裁规则进行仲裁。</w:t>
      </w:r>
      <w:r>
        <w:rPr>
          <w:rFonts w:hint="eastAsia"/>
          <w:bCs/>
          <w:sz w:val="24"/>
        </w:rPr>
        <w:t>仲裁裁决是终局的，对各方当事人均有约束力。除非仲裁裁决另有规定，仲裁费用由败诉方承担。</w:t>
      </w:r>
    </w:p>
    <w:p w14:paraId="0231D4B7">
      <w:pPr>
        <w:spacing w:line="360" w:lineRule="auto"/>
        <w:ind w:firstLine="480" w:firstLineChars="200"/>
        <w:rPr>
          <w:bCs/>
          <w:sz w:val="24"/>
        </w:rPr>
      </w:pPr>
      <w:r>
        <w:rPr>
          <w:rFonts w:hint="eastAsia"/>
          <w:bCs/>
          <w:sz w:val="24"/>
        </w:rPr>
        <w:t>争议处理期间，基金管理人、基金托管人应恪守各自的职责，继续忠实、勤勉、尽责地履行基金合同规定的义务，维护基金份额持有人的合法权益。</w:t>
      </w:r>
    </w:p>
    <w:p w14:paraId="4CBA1545">
      <w:pPr>
        <w:spacing w:line="360" w:lineRule="auto"/>
        <w:ind w:firstLine="480" w:firstLineChars="200"/>
        <w:rPr>
          <w:bCs/>
          <w:sz w:val="24"/>
        </w:rPr>
      </w:pPr>
      <w:r>
        <w:rPr>
          <w:rFonts w:hint="eastAsia"/>
          <w:bCs/>
          <w:sz w:val="24"/>
        </w:rPr>
        <w:t>《基金合同》受中国法律（为本基金合同之目的，不包括香港特别行政区、澳门特别行政区和台湾地区有关规定）管辖并从其解释。</w:t>
      </w:r>
    </w:p>
    <w:p w14:paraId="19CED907">
      <w:pPr>
        <w:spacing w:line="360" w:lineRule="auto"/>
        <w:ind w:firstLine="480" w:firstLineChars="200"/>
        <w:rPr>
          <w:bCs/>
          <w:sz w:val="24"/>
        </w:rPr>
      </w:pPr>
      <w:r>
        <w:rPr>
          <w:rFonts w:hint="eastAsia"/>
          <w:bCs/>
          <w:sz w:val="24"/>
        </w:rPr>
        <w:t>五、基金合同存放地和投资者取得基金合同的方式</w:t>
      </w:r>
    </w:p>
    <w:p w14:paraId="2F68ADAC">
      <w:pPr>
        <w:spacing w:line="360" w:lineRule="auto"/>
        <w:ind w:firstLine="480" w:firstLineChars="200"/>
        <w:rPr>
          <w:bCs/>
          <w:sz w:val="24"/>
        </w:rPr>
      </w:pPr>
      <w:r>
        <w:rPr>
          <w:rFonts w:hint="eastAsia"/>
          <w:bCs/>
          <w:sz w:val="24"/>
        </w:rPr>
        <w:t>《基金合同》可印制成册，供投资者在基金管理人、基金托管人、销售机构的办公场所和营业场所查阅。</w:t>
      </w:r>
    </w:p>
    <w:bookmarkEnd w:id="331"/>
    <w:p w14:paraId="5DDB67F0"/>
    <w:p w14:paraId="452F54D4">
      <w:pPr>
        <w:pStyle w:val="2"/>
        <w:spacing w:before="0" w:after="0"/>
        <w:jc w:val="center"/>
        <w:rPr>
          <w:rFonts w:ascii="Times New Roman"/>
          <w:color w:val="auto"/>
          <w:szCs w:val="24"/>
        </w:rPr>
      </w:pPr>
      <w:r>
        <w:rPr>
          <w:rFonts w:ascii="Times New Roman"/>
          <w:bCs/>
          <w:szCs w:val="24"/>
        </w:rPr>
        <w:br w:type="page"/>
      </w:r>
      <w:bookmarkStart w:id="334" w:name="_Toc326752144"/>
      <w:bookmarkStart w:id="335" w:name="_Toc216103553"/>
      <w:bookmarkStart w:id="336" w:name="_Toc48032557"/>
      <w:bookmarkStart w:id="337" w:name="_Toc345339075"/>
      <w:bookmarkStart w:id="338" w:name="OLE_LINK10"/>
      <w:r>
        <w:rPr>
          <w:rFonts w:ascii="Times New Roman"/>
          <w:color w:val="auto"/>
          <w:szCs w:val="24"/>
        </w:rPr>
        <w:t>第</w:t>
      </w:r>
      <w:r>
        <w:rPr>
          <w:rFonts w:hint="eastAsia" w:ascii="Times New Roman"/>
          <w:color w:val="auto"/>
          <w:szCs w:val="24"/>
        </w:rPr>
        <w:t>二十</w:t>
      </w:r>
      <w:r>
        <w:rPr>
          <w:rFonts w:ascii="Times New Roman"/>
          <w:color w:val="auto"/>
          <w:szCs w:val="24"/>
        </w:rPr>
        <w:t>部分  基金</w:t>
      </w:r>
      <w:r>
        <w:rPr>
          <w:rFonts w:hint="eastAsia" w:ascii="Times New Roman"/>
          <w:color w:val="auto"/>
          <w:szCs w:val="24"/>
        </w:rPr>
        <w:t>托管协议的</w:t>
      </w:r>
      <w:r>
        <w:rPr>
          <w:rFonts w:ascii="Times New Roman"/>
          <w:color w:val="auto"/>
          <w:szCs w:val="24"/>
        </w:rPr>
        <w:t>内容摘要</w:t>
      </w:r>
      <w:bookmarkEnd w:id="334"/>
      <w:bookmarkEnd w:id="335"/>
      <w:bookmarkEnd w:id="336"/>
      <w:bookmarkEnd w:id="337"/>
    </w:p>
    <w:p w14:paraId="43D61F68"/>
    <w:p w14:paraId="087FC32F">
      <w:pPr>
        <w:spacing w:line="360" w:lineRule="auto"/>
        <w:ind w:firstLine="480" w:firstLineChars="200"/>
        <w:rPr>
          <w:sz w:val="24"/>
          <w:szCs w:val="24"/>
        </w:rPr>
      </w:pPr>
      <w:bookmarkStart w:id="339" w:name="_Hlt89687912"/>
      <w:bookmarkEnd w:id="339"/>
      <w:bookmarkStart w:id="340" w:name="_Hlt89689505"/>
      <w:bookmarkEnd w:id="340"/>
      <w:bookmarkStart w:id="341" w:name="_Hlt88900318"/>
      <w:bookmarkEnd w:id="341"/>
      <w:bookmarkStart w:id="342" w:name="_Hlt88902859"/>
      <w:bookmarkEnd w:id="342"/>
      <w:bookmarkStart w:id="343" w:name="_Hlt88821719"/>
      <w:bookmarkEnd w:id="343"/>
      <w:bookmarkStart w:id="344" w:name="_Hlk93059185"/>
      <w:r>
        <w:rPr>
          <w:rFonts w:hint="eastAsia"/>
          <w:sz w:val="24"/>
          <w:szCs w:val="24"/>
        </w:rPr>
        <w:t>一、基金托管协议当事人</w:t>
      </w:r>
    </w:p>
    <w:p w14:paraId="286F92DB">
      <w:pPr>
        <w:adjustRightInd w:val="0"/>
        <w:snapToGrid w:val="0"/>
        <w:spacing w:line="360" w:lineRule="auto"/>
        <w:ind w:firstLine="480" w:firstLineChars="200"/>
        <w:rPr>
          <w:rFonts w:ascii="宋体" w:hAnsi="宋体" w:cs="Arial"/>
          <w:sz w:val="24"/>
        </w:rPr>
      </w:pPr>
      <w:bookmarkStart w:id="345" w:name="_Toc48703885"/>
      <w:bookmarkStart w:id="346" w:name="_Toc77662992"/>
      <w:bookmarkStart w:id="347" w:name="_Toc22454433"/>
      <w:r>
        <w:rPr>
          <w:rFonts w:hint="eastAsia" w:ascii="宋体" w:hAnsi="宋体" w:cs="Arial"/>
          <w:sz w:val="24"/>
        </w:rPr>
        <w:t>（一）基金管理人</w:t>
      </w:r>
    </w:p>
    <w:p w14:paraId="5B61988D">
      <w:pPr>
        <w:spacing w:line="360" w:lineRule="auto"/>
        <w:ind w:firstLine="480" w:firstLineChars="200"/>
        <w:rPr>
          <w:bCs/>
          <w:sz w:val="24"/>
        </w:rPr>
      </w:pPr>
      <w:bookmarkStart w:id="348" w:name="_Toc15118236"/>
      <w:r>
        <w:rPr>
          <w:bCs/>
          <w:sz w:val="24"/>
        </w:rPr>
        <w:t>名称：</w:t>
      </w:r>
      <w:r>
        <w:rPr>
          <w:rFonts w:hint="eastAsia"/>
          <w:bCs/>
          <w:sz w:val="24"/>
        </w:rPr>
        <w:t>融通基金管理有限公司</w:t>
      </w:r>
    </w:p>
    <w:p w14:paraId="4A262D84">
      <w:pPr>
        <w:spacing w:line="360" w:lineRule="auto"/>
        <w:ind w:firstLine="480" w:firstLineChars="200"/>
        <w:rPr>
          <w:bCs/>
          <w:sz w:val="24"/>
        </w:rPr>
      </w:pPr>
      <w:r>
        <w:rPr>
          <w:rFonts w:hint="eastAsia"/>
          <w:bCs/>
          <w:sz w:val="24"/>
        </w:rPr>
        <w:t>住</w:t>
      </w:r>
      <w:r>
        <w:rPr>
          <w:rFonts w:hint="eastAsia" w:ascii="宋体" w:hAnsi="宋体" w:cs="Arial"/>
          <w:sz w:val="24"/>
        </w:rPr>
        <w:t>所</w:t>
      </w:r>
      <w:r>
        <w:rPr>
          <w:bCs/>
          <w:sz w:val="24"/>
        </w:rPr>
        <w:t>：</w:t>
      </w:r>
      <w:r>
        <w:rPr>
          <w:rFonts w:hint="eastAsia"/>
          <w:bCs/>
          <w:sz w:val="24"/>
        </w:rPr>
        <w:t>深圳市南山区粤海街道海珠社区海德三道1066号深创投广场41层、42层</w:t>
      </w:r>
    </w:p>
    <w:p w14:paraId="35AD080E">
      <w:pPr>
        <w:spacing w:line="360" w:lineRule="auto"/>
        <w:ind w:firstLine="480" w:firstLineChars="200"/>
        <w:rPr>
          <w:bCs/>
          <w:sz w:val="24"/>
        </w:rPr>
      </w:pPr>
      <w:r>
        <w:rPr>
          <w:rFonts w:hint="eastAsia"/>
          <w:bCs/>
          <w:sz w:val="24"/>
        </w:rPr>
        <w:t>邮政编码：</w:t>
      </w:r>
      <w:r>
        <w:rPr>
          <w:bCs/>
          <w:sz w:val="24"/>
        </w:rPr>
        <w:t>518054</w:t>
      </w:r>
    </w:p>
    <w:p w14:paraId="4A1AD887">
      <w:pPr>
        <w:spacing w:line="360" w:lineRule="auto"/>
        <w:ind w:firstLine="480" w:firstLineChars="200"/>
        <w:rPr>
          <w:bCs/>
          <w:sz w:val="24"/>
        </w:rPr>
      </w:pPr>
      <w:r>
        <w:rPr>
          <w:bCs/>
          <w:sz w:val="24"/>
        </w:rPr>
        <w:t>法定代表人：</w:t>
      </w:r>
      <w:r>
        <w:rPr>
          <w:rFonts w:hint="eastAsia"/>
          <w:bCs/>
          <w:sz w:val="24"/>
        </w:rPr>
        <w:t>张威</w:t>
      </w:r>
    </w:p>
    <w:p w14:paraId="02F18BE9">
      <w:pPr>
        <w:spacing w:line="360" w:lineRule="auto"/>
        <w:ind w:firstLine="480" w:firstLineChars="200"/>
        <w:rPr>
          <w:bCs/>
          <w:sz w:val="24"/>
        </w:rPr>
      </w:pPr>
      <w:r>
        <w:rPr>
          <w:rFonts w:hint="eastAsia"/>
          <w:bCs/>
          <w:sz w:val="24"/>
        </w:rPr>
        <w:t>成</w:t>
      </w:r>
      <w:r>
        <w:rPr>
          <w:bCs/>
          <w:sz w:val="24"/>
        </w:rPr>
        <w:t>立日期：2001</w:t>
      </w:r>
      <w:r>
        <w:rPr>
          <w:rFonts w:hint="eastAsia"/>
          <w:bCs/>
          <w:sz w:val="24"/>
        </w:rPr>
        <w:t>年5月22日</w:t>
      </w:r>
    </w:p>
    <w:p w14:paraId="07912D75">
      <w:pPr>
        <w:spacing w:line="360" w:lineRule="auto"/>
        <w:ind w:firstLine="480" w:firstLineChars="200"/>
        <w:rPr>
          <w:bCs/>
          <w:sz w:val="24"/>
        </w:rPr>
      </w:pPr>
      <w:r>
        <w:rPr>
          <w:bCs/>
          <w:sz w:val="24"/>
        </w:rPr>
        <w:t>批准设立机关及批准设立文号：</w:t>
      </w:r>
      <w:r>
        <w:rPr>
          <w:rFonts w:hint="eastAsia"/>
          <w:bCs/>
          <w:sz w:val="24"/>
        </w:rPr>
        <w:t>中国证监会证监基字</w:t>
      </w:r>
      <w:r>
        <w:rPr>
          <w:bCs/>
          <w:sz w:val="24"/>
        </w:rPr>
        <w:t>[2001]8</w:t>
      </w:r>
      <w:r>
        <w:rPr>
          <w:rFonts w:hint="eastAsia"/>
          <w:bCs/>
          <w:sz w:val="24"/>
        </w:rPr>
        <w:t>号</w:t>
      </w:r>
    </w:p>
    <w:p w14:paraId="6789A3BE">
      <w:pPr>
        <w:spacing w:line="360" w:lineRule="auto"/>
        <w:ind w:firstLine="480" w:firstLineChars="200"/>
        <w:rPr>
          <w:bCs/>
          <w:sz w:val="24"/>
        </w:rPr>
      </w:pPr>
      <w:r>
        <w:rPr>
          <w:bCs/>
          <w:sz w:val="24"/>
        </w:rPr>
        <w:t>组织形式：</w:t>
      </w:r>
      <w:r>
        <w:rPr>
          <w:rFonts w:hint="eastAsia"/>
          <w:bCs/>
          <w:sz w:val="24"/>
        </w:rPr>
        <w:t>有限责任公司</w:t>
      </w:r>
    </w:p>
    <w:p w14:paraId="265B9060">
      <w:pPr>
        <w:spacing w:line="360" w:lineRule="auto"/>
        <w:ind w:firstLine="480" w:firstLineChars="200"/>
        <w:rPr>
          <w:bCs/>
          <w:sz w:val="24"/>
        </w:rPr>
      </w:pPr>
      <w:r>
        <w:rPr>
          <w:bCs/>
          <w:sz w:val="24"/>
        </w:rPr>
        <w:t>注册资本：12500</w:t>
      </w:r>
      <w:r>
        <w:rPr>
          <w:rFonts w:hint="eastAsia"/>
          <w:bCs/>
          <w:sz w:val="24"/>
        </w:rPr>
        <w:t>万元人民币</w:t>
      </w:r>
    </w:p>
    <w:p w14:paraId="21BE6DB2">
      <w:pPr>
        <w:spacing w:line="360" w:lineRule="auto"/>
        <w:ind w:firstLine="480" w:firstLineChars="200"/>
        <w:rPr>
          <w:bCs/>
          <w:sz w:val="24"/>
        </w:rPr>
      </w:pPr>
      <w:r>
        <w:rPr>
          <w:bCs/>
          <w:sz w:val="24"/>
        </w:rPr>
        <w:t>存续期</w:t>
      </w:r>
      <w:r>
        <w:rPr>
          <w:rFonts w:hint="eastAsia" w:ascii="宋体" w:hAnsi="宋体" w:cs="Arial"/>
          <w:sz w:val="24"/>
        </w:rPr>
        <w:t>间</w:t>
      </w:r>
      <w:r>
        <w:rPr>
          <w:bCs/>
          <w:sz w:val="24"/>
        </w:rPr>
        <w:t>：</w:t>
      </w:r>
      <w:r>
        <w:rPr>
          <w:rFonts w:hint="eastAsia"/>
          <w:bCs/>
          <w:sz w:val="24"/>
        </w:rPr>
        <w:t>持续经营</w:t>
      </w:r>
    </w:p>
    <w:p w14:paraId="21830FB2">
      <w:pPr>
        <w:spacing w:line="360" w:lineRule="auto"/>
        <w:ind w:firstLine="480" w:firstLineChars="200"/>
        <w:rPr>
          <w:bCs/>
          <w:sz w:val="24"/>
        </w:rPr>
      </w:pPr>
      <w:r>
        <w:rPr>
          <w:rFonts w:hint="eastAsia"/>
          <w:bCs/>
          <w:sz w:val="24"/>
        </w:rPr>
        <w:t>经营范围：公开募集证券投资基金管理、私募资产管理。</w:t>
      </w:r>
    </w:p>
    <w:bookmarkEnd w:id="348"/>
    <w:p w14:paraId="3BFDE4D3">
      <w:pPr>
        <w:adjustRightInd w:val="0"/>
        <w:snapToGrid w:val="0"/>
        <w:spacing w:line="360" w:lineRule="auto"/>
        <w:ind w:firstLine="480" w:firstLineChars="200"/>
        <w:rPr>
          <w:rFonts w:ascii="宋体" w:hAnsi="宋体" w:cs="Arial"/>
          <w:sz w:val="24"/>
        </w:rPr>
      </w:pPr>
      <w:r>
        <w:rPr>
          <w:rFonts w:hint="eastAsia" w:ascii="宋体" w:hAnsi="宋体" w:cs="Arial"/>
          <w:sz w:val="24"/>
        </w:rPr>
        <w:t>（二）基金托管人</w:t>
      </w:r>
    </w:p>
    <w:p w14:paraId="16403F3B">
      <w:pPr>
        <w:adjustRightInd w:val="0"/>
        <w:snapToGrid w:val="0"/>
        <w:spacing w:line="360" w:lineRule="auto"/>
        <w:ind w:firstLine="480" w:firstLineChars="200"/>
        <w:rPr>
          <w:rFonts w:ascii="宋体" w:hAnsi="宋体" w:cs="Arial"/>
          <w:sz w:val="24"/>
        </w:rPr>
      </w:pPr>
      <w:r>
        <w:rPr>
          <w:rFonts w:hint="eastAsia" w:ascii="宋体" w:hAnsi="宋体" w:cs="Arial"/>
          <w:sz w:val="24"/>
        </w:rPr>
        <w:t>名称：宁波银行股份有限公司</w:t>
      </w:r>
    </w:p>
    <w:p w14:paraId="39C68656">
      <w:pPr>
        <w:adjustRightInd w:val="0"/>
        <w:snapToGrid w:val="0"/>
        <w:spacing w:line="360" w:lineRule="auto"/>
        <w:ind w:firstLine="480" w:firstLineChars="200"/>
        <w:rPr>
          <w:rFonts w:ascii="宋体" w:hAnsi="宋体" w:cs="Arial"/>
          <w:sz w:val="24"/>
        </w:rPr>
      </w:pPr>
      <w:r>
        <w:rPr>
          <w:rFonts w:hint="eastAsia" w:ascii="宋体" w:hAnsi="宋体" w:cs="Arial"/>
          <w:sz w:val="24"/>
        </w:rPr>
        <w:t>住所：浙江省宁波市宁东路345号</w:t>
      </w:r>
    </w:p>
    <w:p w14:paraId="101C6B29">
      <w:pPr>
        <w:adjustRightInd w:val="0"/>
        <w:snapToGrid w:val="0"/>
        <w:spacing w:line="360" w:lineRule="auto"/>
        <w:ind w:firstLine="480" w:firstLineChars="200"/>
        <w:rPr>
          <w:rFonts w:ascii="宋体" w:hAnsi="宋体" w:cs="Arial"/>
          <w:sz w:val="24"/>
        </w:rPr>
      </w:pPr>
      <w:r>
        <w:rPr>
          <w:rFonts w:hint="eastAsia" w:ascii="宋体" w:hAnsi="宋体" w:cs="Arial"/>
          <w:sz w:val="24"/>
        </w:rPr>
        <w:t>办公地址：浙江省宁波市宁东路345号</w:t>
      </w:r>
    </w:p>
    <w:p w14:paraId="2D47B62C">
      <w:pPr>
        <w:adjustRightInd w:val="0"/>
        <w:snapToGrid w:val="0"/>
        <w:spacing w:line="360" w:lineRule="auto"/>
        <w:ind w:firstLine="480" w:firstLineChars="200"/>
        <w:rPr>
          <w:rFonts w:ascii="宋体" w:hAnsi="宋体" w:cs="Arial"/>
          <w:sz w:val="24"/>
        </w:rPr>
      </w:pPr>
      <w:r>
        <w:rPr>
          <w:rFonts w:hint="eastAsia" w:ascii="宋体" w:hAnsi="宋体" w:cs="Arial"/>
          <w:sz w:val="24"/>
        </w:rPr>
        <w:t>邮政编码：315042</w:t>
      </w:r>
    </w:p>
    <w:p w14:paraId="33248B41">
      <w:pPr>
        <w:adjustRightInd w:val="0"/>
        <w:snapToGrid w:val="0"/>
        <w:spacing w:line="360" w:lineRule="auto"/>
        <w:ind w:firstLine="480" w:firstLineChars="200"/>
        <w:rPr>
          <w:rFonts w:ascii="宋体" w:hAnsi="宋体" w:cs="Arial"/>
          <w:sz w:val="24"/>
        </w:rPr>
      </w:pPr>
      <w:r>
        <w:rPr>
          <w:rFonts w:hint="eastAsia" w:ascii="宋体" w:hAnsi="宋体" w:cs="Arial"/>
          <w:sz w:val="24"/>
        </w:rPr>
        <w:t>法定代表人：陆华裕</w:t>
      </w:r>
    </w:p>
    <w:p w14:paraId="1BFF0B37">
      <w:pPr>
        <w:adjustRightInd w:val="0"/>
        <w:snapToGrid w:val="0"/>
        <w:spacing w:line="360" w:lineRule="auto"/>
        <w:ind w:firstLine="480" w:firstLineChars="200"/>
        <w:rPr>
          <w:rFonts w:ascii="宋体" w:hAnsi="宋体" w:cs="Arial"/>
          <w:sz w:val="24"/>
        </w:rPr>
      </w:pPr>
      <w:r>
        <w:rPr>
          <w:rFonts w:hint="eastAsia" w:ascii="宋体" w:hAnsi="宋体" w:cs="Arial"/>
          <w:sz w:val="24"/>
        </w:rPr>
        <w:t>注册日期：1997年4月10日</w:t>
      </w:r>
    </w:p>
    <w:p w14:paraId="225E0537">
      <w:pPr>
        <w:adjustRightInd w:val="0"/>
        <w:snapToGrid w:val="0"/>
        <w:spacing w:line="360" w:lineRule="auto"/>
        <w:ind w:firstLine="480" w:firstLineChars="200"/>
        <w:rPr>
          <w:rFonts w:ascii="宋体" w:hAnsi="宋体" w:cs="Arial"/>
          <w:sz w:val="24"/>
        </w:rPr>
      </w:pPr>
      <w:r>
        <w:rPr>
          <w:rFonts w:hint="eastAsia" w:ascii="宋体" w:hAnsi="宋体" w:cs="Arial"/>
          <w:sz w:val="24"/>
        </w:rPr>
        <w:t>基金托管业务批准文号：证监许可[2012]1432号</w:t>
      </w:r>
    </w:p>
    <w:p w14:paraId="0BFAC65B">
      <w:pPr>
        <w:adjustRightInd w:val="0"/>
        <w:snapToGrid w:val="0"/>
        <w:spacing w:line="360" w:lineRule="auto"/>
        <w:ind w:firstLine="480" w:firstLineChars="200"/>
        <w:rPr>
          <w:rFonts w:ascii="宋体" w:hAnsi="宋体" w:cs="Arial"/>
          <w:sz w:val="24"/>
        </w:rPr>
      </w:pPr>
      <w:r>
        <w:rPr>
          <w:rFonts w:hint="eastAsia" w:ascii="宋体" w:hAnsi="宋体" w:cs="Arial"/>
          <w:sz w:val="24"/>
        </w:rPr>
        <w:t>批准设立机关和批准设立文号：中国银监会，银监复[2007]64号</w:t>
      </w:r>
    </w:p>
    <w:p w14:paraId="2E984D74">
      <w:pPr>
        <w:adjustRightInd w:val="0"/>
        <w:snapToGrid w:val="0"/>
        <w:spacing w:line="360" w:lineRule="auto"/>
        <w:ind w:firstLine="480" w:firstLineChars="200"/>
        <w:rPr>
          <w:rFonts w:ascii="宋体" w:hAnsi="宋体" w:cs="Arial"/>
          <w:sz w:val="24"/>
        </w:rPr>
      </w:pPr>
      <w:r>
        <w:rPr>
          <w:rFonts w:hint="eastAsia" w:ascii="宋体" w:hAnsi="宋体" w:cs="Arial"/>
          <w:sz w:val="24"/>
        </w:rPr>
        <w:t>组织形式：股份有限公司</w:t>
      </w:r>
    </w:p>
    <w:p w14:paraId="23E01E0E">
      <w:pPr>
        <w:adjustRightInd w:val="0"/>
        <w:snapToGrid w:val="0"/>
        <w:spacing w:line="360" w:lineRule="auto"/>
        <w:ind w:firstLine="480" w:firstLineChars="200"/>
        <w:rPr>
          <w:rFonts w:ascii="宋体" w:hAnsi="宋体" w:cs="Arial"/>
          <w:sz w:val="24"/>
        </w:rPr>
      </w:pPr>
      <w:r>
        <w:rPr>
          <w:rFonts w:hint="eastAsia" w:ascii="宋体" w:hAnsi="宋体" w:cs="Arial"/>
          <w:sz w:val="24"/>
        </w:rPr>
        <w:t>注册资本：人民币660359.0792万元</w:t>
      </w:r>
    </w:p>
    <w:p w14:paraId="67EDBA6D">
      <w:pPr>
        <w:adjustRightInd w:val="0"/>
        <w:snapToGrid w:val="0"/>
        <w:spacing w:line="360" w:lineRule="auto"/>
        <w:ind w:firstLine="480" w:firstLineChars="200"/>
        <w:rPr>
          <w:rFonts w:ascii="宋体" w:hAnsi="宋体" w:cs="Arial"/>
          <w:sz w:val="24"/>
        </w:rPr>
      </w:pPr>
      <w:r>
        <w:rPr>
          <w:rFonts w:hint="eastAsia" w:ascii="宋体" w:hAnsi="宋体" w:cs="Arial"/>
          <w:sz w:val="24"/>
        </w:rPr>
        <w:t>存续期间：持续经营</w:t>
      </w:r>
    </w:p>
    <w:p w14:paraId="2615E268">
      <w:pPr>
        <w:spacing w:line="360" w:lineRule="auto"/>
        <w:ind w:firstLine="480" w:firstLineChars="200"/>
        <w:rPr>
          <w:sz w:val="24"/>
        </w:rPr>
      </w:pPr>
      <w:r>
        <w:rPr>
          <w:rFonts w:hint="eastAsia"/>
          <w:sz w:val="24"/>
        </w:rPr>
        <w:t>经营范围：吸收公众存款；发放短期、中期和长期贷款；办理国内结算；办理票据贴现；发行金融债券；代理发行、代理兑付、承销政府债券；买卖政府债券；从事同业拆借；从事银行卡服务；提供担保；代理收付款项及代理保险业务；提供保管箱业务；办理地方财政信用周转使用资金的委托贷款业务；外汇存款、贷款、汇款；外币兑换；国际结算，结汇、售汇；同业外汇拆借；外币票据的承兑和贴现；外汇担保；经中国银行业监督管理机构、中国人民银行和国家外汇管理机关批准的其他业务。</w:t>
      </w:r>
    </w:p>
    <w:bookmarkEnd w:id="345"/>
    <w:bookmarkEnd w:id="346"/>
    <w:bookmarkEnd w:id="347"/>
    <w:p w14:paraId="309B7E75">
      <w:pPr>
        <w:spacing w:line="360" w:lineRule="auto"/>
        <w:ind w:firstLine="480" w:firstLineChars="200"/>
        <w:rPr>
          <w:sz w:val="24"/>
          <w:szCs w:val="24"/>
        </w:rPr>
      </w:pPr>
      <w:r>
        <w:rPr>
          <w:rFonts w:hint="eastAsia"/>
          <w:sz w:val="24"/>
          <w:szCs w:val="24"/>
        </w:rPr>
        <w:t>二、基金托管人对基金管理人的业务监督和核查</w:t>
      </w:r>
    </w:p>
    <w:p w14:paraId="584F1DB4">
      <w:pPr>
        <w:adjustRightInd w:val="0"/>
        <w:snapToGrid w:val="0"/>
        <w:spacing w:line="360" w:lineRule="auto"/>
        <w:ind w:firstLine="480" w:firstLineChars="200"/>
        <w:rPr>
          <w:rFonts w:ascii="宋体" w:hAnsi="宋体" w:cs="Arial"/>
          <w:sz w:val="24"/>
        </w:rPr>
      </w:pPr>
      <w:r>
        <w:rPr>
          <w:rFonts w:hint="eastAsia" w:ascii="宋体" w:hAnsi="宋体" w:cs="Arial"/>
          <w:sz w:val="24"/>
        </w:rPr>
        <w:t>（一）基金托管人根据有关法律法规的规定及《基金合同》和本托管协议的约定，对基金投资范围、投资对象、投资比例、投资限制、关联方交易等事项进行监督。《基金合同》和本托管协议明确约定基金投资风格或证券选择标准的，基金管理人应按照基金托管人要求的格式提供投资品种池，以便基金托管人运用相关技术系统，对基金实际投资是否符合《基金合同》和本托管协议关于证券选择标准的约定进行监督，对存在疑义的事项进行核查。</w:t>
      </w:r>
    </w:p>
    <w:p w14:paraId="6E335C01">
      <w:pPr>
        <w:spacing w:line="360" w:lineRule="auto"/>
        <w:ind w:firstLine="480" w:firstLineChars="200"/>
        <w:rPr>
          <w:bCs/>
          <w:sz w:val="24"/>
        </w:rPr>
      </w:pPr>
      <w:r>
        <w:rPr>
          <w:rFonts w:hint="eastAsia"/>
          <w:bCs/>
          <w:sz w:val="24"/>
        </w:rPr>
        <w:t>本基金的投资范围主要为具有良好流动性的金融工具，包括国内依法发行上市的股票（含主板、创业板、科创板及其他依法发行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券、超短期融资券、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435D757E">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73714899">
      <w:pPr>
        <w:spacing w:line="360" w:lineRule="auto"/>
        <w:ind w:firstLine="480" w:firstLineChars="200"/>
        <w:rPr>
          <w:bCs/>
          <w:sz w:val="24"/>
        </w:rPr>
      </w:pPr>
      <w:r>
        <w:rPr>
          <w:rFonts w:hint="eastAsia"/>
          <w:bCs/>
          <w:sz w:val="24"/>
        </w:rPr>
        <w:t>基金的投资组合比例为：本基金股票资产（含存托凭证）占基金资产的比例为60%-95%（其中投资于港股通标的股票占本基金股票资产的比例为0%-50%）；投资于本基金界定的新材料主题相关证券资产占非现金基金资产的比例不低于80%；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5BFB1003">
      <w:pPr>
        <w:spacing w:line="360" w:lineRule="auto"/>
        <w:ind w:firstLine="480" w:firstLineChars="200"/>
        <w:rPr>
          <w:bCs/>
          <w:sz w:val="24"/>
        </w:rPr>
      </w:pPr>
      <w:r>
        <w:rPr>
          <w:rFonts w:hint="eastAsia"/>
          <w:bCs/>
          <w:sz w:val="24"/>
        </w:rPr>
        <w:t>如法律法规或中国证监会变更投资品种的投资比例限制，基金管理人在履行适当程序后，可以调整上述投资品种的投资比例。</w:t>
      </w:r>
    </w:p>
    <w:p w14:paraId="49A23BCD">
      <w:pPr>
        <w:adjustRightInd w:val="0"/>
        <w:snapToGrid w:val="0"/>
        <w:spacing w:line="360" w:lineRule="auto"/>
        <w:ind w:firstLine="480" w:firstLineChars="200"/>
        <w:contextualSpacing/>
        <w:rPr>
          <w:rFonts w:ascii="宋体" w:hAnsi="宋体"/>
          <w:sz w:val="24"/>
        </w:rPr>
      </w:pPr>
      <w:r>
        <w:rPr>
          <w:rFonts w:hint="eastAsia" w:ascii="宋体" w:hAnsi="宋体"/>
          <w:sz w:val="24"/>
        </w:rPr>
        <w:t>（二）基金托管人根据有关法律法规的规定及《基金合同》</w:t>
      </w:r>
      <w:r>
        <w:rPr>
          <w:rFonts w:hint="eastAsia" w:ascii="宋体" w:hAnsi="宋体" w:cs="Arial"/>
          <w:sz w:val="24"/>
        </w:rPr>
        <w:t>和本托管协议</w:t>
      </w:r>
      <w:r>
        <w:rPr>
          <w:rFonts w:hint="eastAsia" w:ascii="宋体" w:hAnsi="宋体"/>
          <w:sz w:val="24"/>
        </w:rPr>
        <w:t>的约定，对基金投资比例进行监督。基金托管人按下述比例和调整期限进行监督：</w:t>
      </w:r>
    </w:p>
    <w:p w14:paraId="6FDCF2D9">
      <w:pPr>
        <w:spacing w:line="360" w:lineRule="auto"/>
        <w:ind w:firstLine="480" w:firstLineChars="200"/>
        <w:rPr>
          <w:bCs/>
          <w:sz w:val="24"/>
        </w:rPr>
      </w:pPr>
      <w:r>
        <w:rPr>
          <w:rFonts w:hint="eastAsia"/>
          <w:bCs/>
          <w:sz w:val="24"/>
        </w:rPr>
        <w:t>（1）本基金股票资产（含存托凭证）占基金资产的比例为60%-95%（其中投资于港股通标的股票占本基金股票资产的比例为0%-50%）；本基金投资于本基金界定的新材料主题相关证券资产占非现金基金资产的比例不低于80%；</w:t>
      </w:r>
    </w:p>
    <w:p w14:paraId="0A5D64B3">
      <w:pPr>
        <w:spacing w:line="360" w:lineRule="auto"/>
        <w:ind w:firstLine="480" w:firstLineChars="200"/>
        <w:rPr>
          <w:bCs/>
          <w:sz w:val="24"/>
        </w:rPr>
      </w:pPr>
      <w:r>
        <w:rPr>
          <w:rFonts w:hint="eastAsia"/>
          <w:bCs/>
          <w:sz w:val="24"/>
        </w:rPr>
        <w:t>（2）本基金每个交易日日终在扣除股指期货合约和国债期货合约需缴纳的交易保证金后，持有的现金或者到期日在一年以内的政府债券的比例合计不低于基金资产净值的5%，前述现金不包括结算备付金、存出保证金和应收申购款等；</w:t>
      </w:r>
    </w:p>
    <w:p w14:paraId="3BECCFDD">
      <w:pPr>
        <w:spacing w:line="360" w:lineRule="auto"/>
        <w:ind w:firstLine="480" w:firstLineChars="200"/>
        <w:rPr>
          <w:bCs/>
          <w:sz w:val="24"/>
        </w:rPr>
      </w:pPr>
      <w:r>
        <w:rPr>
          <w:rFonts w:hint="eastAsia"/>
          <w:bCs/>
          <w:sz w:val="24"/>
        </w:rPr>
        <w:t>（3）本基金持有一家公司发行的证券，其市值（同一家公司在境内和香港同时上市的，A+H股合计计算）不超过基金资产净值的10%；</w:t>
      </w:r>
    </w:p>
    <w:p w14:paraId="06EF2AE7">
      <w:pPr>
        <w:spacing w:line="360" w:lineRule="auto"/>
        <w:ind w:firstLine="480" w:firstLineChars="200"/>
        <w:rPr>
          <w:bCs/>
          <w:sz w:val="24"/>
        </w:rPr>
      </w:pPr>
      <w:r>
        <w:rPr>
          <w:rFonts w:hint="eastAsia"/>
          <w:bCs/>
          <w:sz w:val="24"/>
        </w:rPr>
        <w:t>（4）本基金管理人管理的全部基金持有一家公司发行的证券（同一家公司在境内和香港同时上市的，A+H股合计计算），不超过该证券的10%；</w:t>
      </w:r>
    </w:p>
    <w:p w14:paraId="204D9CB0">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5C80CB53">
      <w:pPr>
        <w:spacing w:line="360" w:lineRule="auto"/>
        <w:ind w:firstLine="480" w:firstLineChars="200"/>
        <w:rPr>
          <w:bCs/>
          <w:sz w:val="24"/>
        </w:rPr>
      </w:pPr>
      <w:r>
        <w:rPr>
          <w:rFonts w:hint="eastAsia"/>
          <w:bCs/>
          <w:sz w:val="24"/>
        </w:rPr>
        <w:t>（6）本基金持有的全部资产支持证券，其市值不得超过基金资产净值的20%；</w:t>
      </w:r>
    </w:p>
    <w:p w14:paraId="5405229E">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640DDDB7">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02FF98EA">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2299FDE9">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08AE9044">
      <w:pPr>
        <w:spacing w:line="360" w:lineRule="auto"/>
        <w:ind w:firstLine="480" w:firstLineChars="200"/>
        <w:rPr>
          <w:bCs/>
          <w:sz w:val="24"/>
        </w:rPr>
      </w:pPr>
      <w:r>
        <w:rPr>
          <w:rFonts w:hint="eastAsia"/>
          <w:bCs/>
          <w:sz w:val="24"/>
        </w:rPr>
        <w:t>（11）本基金参与股指期货交易，需遵守下列投资比例限制：</w:t>
      </w:r>
    </w:p>
    <w:p w14:paraId="2BE14929">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14:paraId="7CC0762B">
      <w:pPr>
        <w:spacing w:line="360" w:lineRule="auto"/>
        <w:ind w:firstLine="480" w:firstLineChars="200"/>
        <w:rPr>
          <w:bCs/>
          <w:sz w:val="24"/>
        </w:rPr>
      </w:pPr>
      <w:r>
        <w:rPr>
          <w:rFonts w:hint="eastAsia"/>
          <w:bCs/>
          <w:sz w:val="24"/>
        </w:rPr>
        <w:t>2）本基金在任何交易日日终持有的买入股指期货合约和国债期货合约价值与有价证券市值之和不得超过基金资产净值的95%。其中，有价证券指股票、债券（不含到期日在一年以内的政府债券）、资产支持证券、买入返售金融资产（不含质押式回购）等；</w:t>
      </w:r>
    </w:p>
    <w:p w14:paraId="7E824C60">
      <w:pPr>
        <w:spacing w:line="360" w:lineRule="auto"/>
        <w:ind w:firstLine="480" w:firstLineChars="200"/>
        <w:rPr>
          <w:bCs/>
          <w:sz w:val="24"/>
        </w:rPr>
      </w:pPr>
      <w:r>
        <w:rPr>
          <w:rFonts w:hint="eastAsia"/>
          <w:bCs/>
          <w:sz w:val="24"/>
        </w:rPr>
        <w:t>3）本基金在任何交易日日终，持有的卖出股指期货合约价值不得超过本基金持有的股票总市值的20%；</w:t>
      </w:r>
    </w:p>
    <w:p w14:paraId="67B8E959">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14:paraId="3BDCD984">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14:paraId="22918328">
      <w:pPr>
        <w:spacing w:line="360" w:lineRule="auto"/>
        <w:ind w:firstLine="480" w:firstLineChars="200"/>
        <w:rPr>
          <w:bCs/>
          <w:sz w:val="24"/>
        </w:rPr>
      </w:pPr>
      <w:r>
        <w:rPr>
          <w:rFonts w:hint="eastAsia"/>
          <w:bCs/>
          <w:sz w:val="24"/>
        </w:rPr>
        <w:t>（1</w:t>
      </w:r>
      <w:r>
        <w:rPr>
          <w:bCs/>
          <w:sz w:val="24"/>
        </w:rPr>
        <w:t>2</w:t>
      </w:r>
      <w:r>
        <w:rPr>
          <w:rFonts w:hint="eastAsia"/>
          <w:bCs/>
          <w:sz w:val="24"/>
        </w:rPr>
        <w:t>）本基金参与国债期货交易，需遵守下列投资比例限制：</w:t>
      </w:r>
    </w:p>
    <w:p w14:paraId="43616614">
      <w:pPr>
        <w:spacing w:line="360" w:lineRule="auto"/>
        <w:ind w:firstLine="480" w:firstLineChars="200"/>
        <w:rPr>
          <w:bCs/>
          <w:sz w:val="24"/>
        </w:rPr>
      </w:pPr>
      <w:r>
        <w:rPr>
          <w:rFonts w:hint="eastAsia"/>
          <w:bCs/>
          <w:sz w:val="24"/>
        </w:rPr>
        <w:t>1）本基金在任何交易日日终，持有的买入国债期货合约价值，不得超过基金资产净值的15%；</w:t>
      </w:r>
    </w:p>
    <w:p w14:paraId="0A95F139">
      <w:pPr>
        <w:spacing w:line="360" w:lineRule="auto"/>
        <w:ind w:firstLine="480" w:firstLineChars="200"/>
        <w:rPr>
          <w:bCs/>
          <w:sz w:val="24"/>
        </w:rPr>
      </w:pPr>
      <w:r>
        <w:rPr>
          <w:rFonts w:hint="eastAsia"/>
          <w:bCs/>
          <w:sz w:val="24"/>
        </w:rPr>
        <w:t>2）本基金在任何交易日日终持有的买入国债期货合约和股指期货合约价值与有价证券市值之和不得超过基金资产净值的95%。其中，有价证券指股票、债券（不含到期日在一年以内的政府债券）、资产支持证券、买入返售金融资产（不含质押式回购）等；</w:t>
      </w:r>
    </w:p>
    <w:p w14:paraId="3553D706">
      <w:pPr>
        <w:spacing w:line="360" w:lineRule="auto"/>
        <w:ind w:firstLine="480" w:firstLineChars="200"/>
        <w:rPr>
          <w:bCs/>
          <w:sz w:val="24"/>
        </w:rPr>
      </w:pPr>
      <w:r>
        <w:rPr>
          <w:rFonts w:hint="eastAsia"/>
          <w:bCs/>
          <w:sz w:val="24"/>
        </w:rPr>
        <w:t>3）本基金在任何交易日日终，持有的卖出国债期货合约价值不得超过基金持有的债券总市值的30%；</w:t>
      </w:r>
    </w:p>
    <w:p w14:paraId="6C6CC74F">
      <w:pPr>
        <w:spacing w:line="360" w:lineRule="auto"/>
        <w:ind w:firstLine="480" w:firstLineChars="200"/>
        <w:rPr>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24272281">
      <w:pPr>
        <w:spacing w:line="360" w:lineRule="auto"/>
        <w:ind w:firstLine="480" w:firstLineChars="200"/>
        <w:rPr>
          <w:bCs/>
          <w:sz w:val="24"/>
        </w:rPr>
      </w:pPr>
      <w:r>
        <w:rPr>
          <w:rFonts w:hint="eastAsia"/>
          <w:bCs/>
          <w:sz w:val="24"/>
        </w:rPr>
        <w:t>5）本基金在任何交易日内交易（不包括平仓）的国债期货合约的成交金额不得超过上一交易日基金资产净值的30%；</w:t>
      </w:r>
    </w:p>
    <w:p w14:paraId="0C636BA2">
      <w:pPr>
        <w:spacing w:line="360" w:lineRule="auto"/>
        <w:ind w:firstLine="480" w:firstLineChars="200"/>
        <w:rPr>
          <w:bCs/>
          <w:sz w:val="24"/>
        </w:rPr>
      </w:pPr>
      <w:r>
        <w:rPr>
          <w:rFonts w:hint="eastAsia"/>
          <w:bCs/>
          <w:sz w:val="24"/>
        </w:rPr>
        <w:t>（1</w:t>
      </w:r>
      <w:r>
        <w:rPr>
          <w:bCs/>
          <w:sz w:val="24"/>
        </w:rPr>
        <w:t>3</w:t>
      </w:r>
      <w:r>
        <w:rPr>
          <w:rFonts w:hint="eastAsia"/>
          <w:bCs/>
          <w:sz w:val="24"/>
        </w:rPr>
        <w:t>）本基金管理人管理的全部开放式基金（包括开放式基金以及处于开放期的定期开放基金）持有一家上市公司发行的可流通股票，不得超过该上市公司可流通股票的15%；</w:t>
      </w:r>
    </w:p>
    <w:p w14:paraId="5D24E53D">
      <w:pPr>
        <w:spacing w:line="360" w:lineRule="auto"/>
        <w:ind w:firstLine="480" w:firstLineChars="200"/>
        <w:rPr>
          <w:bCs/>
          <w:sz w:val="24"/>
        </w:rPr>
      </w:pPr>
      <w:r>
        <w:rPr>
          <w:rFonts w:hint="eastAsia"/>
          <w:bCs/>
          <w:sz w:val="24"/>
        </w:rPr>
        <w:t>（1</w:t>
      </w:r>
      <w:r>
        <w:rPr>
          <w:bCs/>
          <w:sz w:val="24"/>
        </w:rPr>
        <w:t>4</w:t>
      </w:r>
      <w:r>
        <w:rPr>
          <w:rFonts w:hint="eastAsia"/>
          <w:bCs/>
          <w:sz w:val="24"/>
        </w:rPr>
        <w:t>）本基金管理人管理的全部投资组合持有一家上市公司发行的可流通股票，不得超过该上市公司可流通股票的30%；</w:t>
      </w:r>
    </w:p>
    <w:p w14:paraId="6B7B489F">
      <w:pPr>
        <w:spacing w:line="360" w:lineRule="auto"/>
        <w:ind w:firstLine="480" w:firstLineChars="200"/>
        <w:rPr>
          <w:bCs/>
          <w:sz w:val="24"/>
        </w:rPr>
      </w:pPr>
      <w:r>
        <w:rPr>
          <w:rFonts w:hint="eastAsia"/>
          <w:bCs/>
          <w:sz w:val="24"/>
        </w:rPr>
        <w:t>（1</w:t>
      </w:r>
      <w:r>
        <w:rPr>
          <w:bCs/>
          <w:sz w:val="24"/>
        </w:rPr>
        <w:t>5</w:t>
      </w:r>
      <w:r>
        <w:rPr>
          <w:rFonts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39DF871">
      <w:pPr>
        <w:spacing w:line="360" w:lineRule="auto"/>
        <w:ind w:firstLine="480" w:firstLineChars="200"/>
        <w:rPr>
          <w:bCs/>
          <w:sz w:val="24"/>
        </w:rPr>
      </w:pP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E50EA7C">
      <w:pPr>
        <w:spacing w:line="360" w:lineRule="auto"/>
        <w:ind w:firstLine="480" w:firstLineChars="200"/>
        <w:rPr>
          <w:bCs/>
          <w:sz w:val="24"/>
        </w:rPr>
      </w:pPr>
      <w:r>
        <w:rPr>
          <w:rFonts w:hint="eastAsia"/>
          <w:bCs/>
          <w:sz w:val="24"/>
        </w:rPr>
        <w:t>（1</w:t>
      </w:r>
      <w:r>
        <w:rPr>
          <w:bCs/>
          <w:sz w:val="24"/>
        </w:rPr>
        <w:t>7</w:t>
      </w:r>
      <w:r>
        <w:rPr>
          <w:rFonts w:hint="eastAsia"/>
          <w:bCs/>
          <w:sz w:val="24"/>
        </w:rPr>
        <w:t>）本基金投资存托凭证的比例限制依照境内上市交易的股票执行，与境内上市交易的股票合并计算；</w:t>
      </w:r>
    </w:p>
    <w:p w14:paraId="51404C05">
      <w:pPr>
        <w:spacing w:line="360" w:lineRule="auto"/>
        <w:ind w:firstLine="480" w:firstLineChars="200"/>
        <w:rPr>
          <w:bCs/>
          <w:sz w:val="24"/>
        </w:rPr>
      </w:pPr>
      <w:r>
        <w:rPr>
          <w:rFonts w:hint="eastAsia"/>
          <w:bCs/>
          <w:sz w:val="24"/>
        </w:rPr>
        <w:t>（</w:t>
      </w:r>
      <w:r>
        <w:rPr>
          <w:bCs/>
          <w:sz w:val="24"/>
        </w:rPr>
        <w:t>18</w:t>
      </w:r>
      <w:r>
        <w:rPr>
          <w:rFonts w:hint="eastAsia"/>
          <w:bCs/>
          <w:sz w:val="24"/>
        </w:rPr>
        <w:t>）本基金资产总值不超过基金资产净值的140%；</w:t>
      </w:r>
    </w:p>
    <w:p w14:paraId="2AB145C4">
      <w:pPr>
        <w:spacing w:line="360" w:lineRule="auto"/>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6DCE43E5">
      <w:pPr>
        <w:spacing w:line="360" w:lineRule="auto"/>
        <w:ind w:firstLine="480" w:firstLineChars="200"/>
        <w:rPr>
          <w:bCs/>
          <w:sz w:val="24"/>
        </w:rPr>
      </w:pPr>
      <w:r>
        <w:rPr>
          <w:rFonts w:hint="eastAsia"/>
          <w:bCs/>
          <w:sz w:val="24"/>
        </w:rPr>
        <w:t>除上述第（2）、（9）、（1</w:t>
      </w:r>
      <w:r>
        <w:rPr>
          <w:bCs/>
          <w:sz w:val="24"/>
        </w:rPr>
        <w:t>5</w:t>
      </w:r>
      <w:r>
        <w:rPr>
          <w:rFonts w:hint="eastAsia"/>
          <w:bCs/>
          <w:sz w:val="24"/>
        </w:rPr>
        <w:t>）、（1</w:t>
      </w:r>
      <w:r>
        <w:rPr>
          <w:bCs/>
          <w:sz w:val="24"/>
        </w:rPr>
        <w:t>6</w:t>
      </w:r>
      <w:r>
        <w:rPr>
          <w:rFonts w:hint="eastAsia"/>
          <w:bCs/>
          <w:sz w:val="24"/>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D0FA446">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C1DE379">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法律法规或监管部门取消或变更上述限制，如适用于本基金，基金管理人在履行适当程序后，则本基金投资不再受相关限制或按照调整后的规定执行。</w:t>
      </w:r>
    </w:p>
    <w:p w14:paraId="21AC9531">
      <w:pPr>
        <w:adjustRightInd w:val="0"/>
        <w:snapToGrid w:val="0"/>
        <w:spacing w:line="360" w:lineRule="auto"/>
        <w:ind w:firstLine="480" w:firstLineChars="200"/>
        <w:rPr>
          <w:rFonts w:ascii="宋体" w:hAnsi="宋体" w:cs="Arial"/>
          <w:sz w:val="24"/>
        </w:rPr>
      </w:pPr>
      <w:r>
        <w:rPr>
          <w:rFonts w:hint="eastAsia" w:ascii="宋体" w:hAnsi="宋体" w:cs="Arial"/>
          <w:sz w:val="24"/>
        </w:rPr>
        <w:t>（三）基金托管人根据有关法律法规的规定及《基金合同》</w:t>
      </w:r>
      <w:r>
        <w:rPr>
          <w:rFonts w:hint="eastAsia" w:ascii="宋体" w:hAnsi="宋体"/>
          <w:sz w:val="24"/>
        </w:rPr>
        <w:t>和本托管协议</w:t>
      </w:r>
      <w:r>
        <w:rPr>
          <w:rFonts w:hint="eastAsia" w:ascii="宋体" w:hAnsi="宋体" w:cs="Arial"/>
          <w:sz w:val="24"/>
        </w:rPr>
        <w:t>的约定，对本托管协议基金投资禁止行为通过事后监督方式进行监督。</w:t>
      </w:r>
    </w:p>
    <w:p w14:paraId="74E43291">
      <w:pPr>
        <w:adjustRightInd w:val="0"/>
        <w:snapToGrid w:val="0"/>
        <w:spacing w:line="360" w:lineRule="auto"/>
        <w:ind w:firstLine="480" w:firstLineChars="200"/>
        <w:contextualSpacing/>
        <w:rPr>
          <w:bCs/>
          <w:sz w:val="24"/>
        </w:rPr>
      </w:pPr>
      <w:r>
        <w:rPr>
          <w:bCs/>
          <w:sz w:val="24"/>
        </w:rPr>
        <w:t>为维护基金份额持有人的合法权益，基金财产不得用于下列投资或者活动：</w:t>
      </w:r>
    </w:p>
    <w:p w14:paraId="7174E699">
      <w:pPr>
        <w:spacing w:line="360" w:lineRule="auto"/>
        <w:ind w:firstLine="480" w:firstLineChars="200"/>
        <w:rPr>
          <w:bCs/>
          <w:sz w:val="24"/>
        </w:rPr>
      </w:pPr>
      <w:r>
        <w:rPr>
          <w:bCs/>
          <w:sz w:val="24"/>
        </w:rPr>
        <w:t>（1）承销证券；</w:t>
      </w:r>
    </w:p>
    <w:p w14:paraId="2CBF7A96">
      <w:pPr>
        <w:spacing w:line="360" w:lineRule="auto"/>
        <w:ind w:firstLine="480" w:firstLineChars="200"/>
        <w:rPr>
          <w:bCs/>
          <w:sz w:val="24"/>
        </w:rPr>
      </w:pPr>
      <w:r>
        <w:rPr>
          <w:bCs/>
          <w:sz w:val="24"/>
        </w:rPr>
        <w:t>（2）违反规定向他人贷款或者提供担保；</w:t>
      </w:r>
    </w:p>
    <w:p w14:paraId="48CEA1D6">
      <w:pPr>
        <w:spacing w:line="360" w:lineRule="auto"/>
        <w:ind w:firstLine="480" w:firstLineChars="200"/>
        <w:rPr>
          <w:bCs/>
          <w:sz w:val="24"/>
        </w:rPr>
      </w:pPr>
      <w:r>
        <w:rPr>
          <w:bCs/>
          <w:sz w:val="24"/>
        </w:rPr>
        <w:t>（3）从事承担无限责任的投资；</w:t>
      </w:r>
    </w:p>
    <w:p w14:paraId="3A236450">
      <w:pPr>
        <w:spacing w:line="360" w:lineRule="auto"/>
        <w:ind w:firstLine="480" w:firstLineChars="200"/>
        <w:rPr>
          <w:bCs/>
          <w:sz w:val="24"/>
        </w:rPr>
      </w:pPr>
      <w:r>
        <w:rPr>
          <w:bCs/>
          <w:sz w:val="24"/>
        </w:rPr>
        <w:t>（4）买卖其他基金份额，但是</w:t>
      </w:r>
      <w:r>
        <w:rPr>
          <w:rFonts w:hint="eastAsia"/>
          <w:bCs/>
          <w:sz w:val="24"/>
        </w:rPr>
        <w:t>中国证监会</w:t>
      </w:r>
      <w:r>
        <w:rPr>
          <w:bCs/>
          <w:sz w:val="24"/>
        </w:rPr>
        <w:t>另有规定的除外；</w:t>
      </w:r>
    </w:p>
    <w:p w14:paraId="7ACC152B">
      <w:pPr>
        <w:spacing w:line="360" w:lineRule="auto"/>
        <w:ind w:firstLine="480" w:firstLineChars="200"/>
        <w:rPr>
          <w:bCs/>
          <w:sz w:val="24"/>
        </w:rPr>
      </w:pPr>
      <w:r>
        <w:rPr>
          <w:bCs/>
          <w:sz w:val="24"/>
        </w:rPr>
        <w:t>（5）向其基金管理人、基金托管人出资；</w:t>
      </w:r>
    </w:p>
    <w:p w14:paraId="02551719">
      <w:pPr>
        <w:spacing w:line="360" w:lineRule="auto"/>
        <w:ind w:firstLine="480" w:firstLineChars="200"/>
        <w:rPr>
          <w:bCs/>
          <w:sz w:val="24"/>
        </w:rPr>
      </w:pPr>
      <w:r>
        <w:rPr>
          <w:bCs/>
          <w:sz w:val="24"/>
        </w:rPr>
        <w:t>（6）从事内幕交易、操纵证券交易价格及其他不正当的证券交易活动；</w:t>
      </w:r>
    </w:p>
    <w:p w14:paraId="1563D2F5">
      <w:pPr>
        <w:spacing w:line="360" w:lineRule="auto"/>
        <w:ind w:firstLine="480" w:firstLineChars="200"/>
        <w:rPr>
          <w:bCs/>
          <w:sz w:val="24"/>
        </w:rPr>
      </w:pPr>
      <w:r>
        <w:rPr>
          <w:bCs/>
          <w:sz w:val="24"/>
        </w:rPr>
        <w:t>（7）法律、行政法规和中国证监会规定禁止的其他活动。</w:t>
      </w:r>
    </w:p>
    <w:p w14:paraId="31A0AF50">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C726447">
      <w:pPr>
        <w:spacing w:line="360" w:lineRule="auto"/>
        <w:ind w:firstLine="480" w:firstLineChars="200"/>
        <w:rPr>
          <w:bCs/>
          <w:sz w:val="24"/>
        </w:rPr>
      </w:pPr>
      <w:r>
        <w:rPr>
          <w:rFonts w:hint="eastAsia"/>
          <w:bCs/>
          <w:sz w:val="24"/>
        </w:rPr>
        <w:t>法律、行政法规或监管部门取消或调整上述禁止性规定，如适用于本基金，基金管理人在履行适当程序后，则本基金投资不再受相关限制或按照调整后的规定执行。</w:t>
      </w:r>
    </w:p>
    <w:p w14:paraId="4B7DFE4A">
      <w:pPr>
        <w:adjustRightInd w:val="0"/>
        <w:snapToGrid w:val="0"/>
        <w:spacing w:line="360" w:lineRule="auto"/>
        <w:ind w:firstLine="480" w:firstLineChars="200"/>
        <w:contextualSpacing/>
        <w:rPr>
          <w:rFonts w:ascii="宋体" w:hAnsi="宋体" w:cs="Arial"/>
          <w:sz w:val="24"/>
        </w:rPr>
      </w:pPr>
      <w:r>
        <w:rPr>
          <w:rFonts w:hint="eastAsia" w:ascii="宋体" w:hAnsi="宋体" w:cs="Arial"/>
          <w:sz w:val="24"/>
        </w:rPr>
        <w:t>根据法律法规有关基金从事关联交易的规定，基金管理人和基金托管人应事先相互提供与本机构有控股关系的股东、与本机构有其他重大利害关系的公司名单。基金管理人和基金托管人有责任确保关联交易名单的真实性、准确性、完整性，并负责及时将更新后的名单发送给对方。</w:t>
      </w:r>
    </w:p>
    <w:p w14:paraId="3B913885">
      <w:pPr>
        <w:adjustRightInd w:val="0"/>
        <w:snapToGrid w:val="0"/>
        <w:spacing w:line="360" w:lineRule="auto"/>
        <w:ind w:firstLine="480" w:firstLineChars="200"/>
        <w:rPr>
          <w:rFonts w:ascii="宋体" w:hAnsi="宋体" w:cs="Arial"/>
        </w:rPr>
      </w:pPr>
      <w:r>
        <w:rPr>
          <w:rFonts w:hint="eastAsia" w:ascii="宋体" w:hAnsi="宋体" w:cs="Arial"/>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定期或不定期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与基金托管人协商解决。若基金管理人不提供交易对手名单，可视为银行间全市场交易对手均可进行交易。</w:t>
      </w:r>
    </w:p>
    <w:p w14:paraId="4D3225C6">
      <w:pPr>
        <w:adjustRightInd w:val="0"/>
        <w:snapToGrid w:val="0"/>
        <w:spacing w:line="360" w:lineRule="auto"/>
        <w:ind w:firstLine="480" w:firstLineChars="200"/>
        <w:rPr>
          <w:rFonts w:ascii="宋体" w:hAnsi="宋体" w:cs="Arial"/>
        </w:rPr>
      </w:pPr>
      <w:r>
        <w:rPr>
          <w:rFonts w:hint="eastAsia" w:ascii="宋体" w:hAnsi="宋体" w:cs="Arial"/>
          <w:sz w:val="24"/>
        </w:rPr>
        <w:t>基金管理人负责对交易对手的资信控制，按银行间债券市场的交易规则进行交易，并</w:t>
      </w:r>
      <w:r>
        <w:rPr>
          <w:rFonts w:hint="eastAsia" w:ascii="宋体" w:hAnsi="宋体"/>
          <w:sz w:val="24"/>
        </w:rPr>
        <w:t>负责处理因交易对手不履行合同而造成的纠纷及损失，基金托管人不承担由此造成的相应法律责任及损失。若未履约的交易对手在基金托管人和基金管理人确定的时间前仍未承担违约责任及其他相关法律责任的，基金管理人可以向相关交易对手追偿。</w:t>
      </w:r>
      <w:r>
        <w:rPr>
          <w:rFonts w:hint="eastAsia" w:ascii="宋体" w:hAnsi="宋体" w:cs="Arial"/>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无过错的，不承担由此造成的相应损失和责任。</w:t>
      </w:r>
    </w:p>
    <w:p w14:paraId="17E00682">
      <w:pPr>
        <w:adjustRightInd w:val="0"/>
        <w:snapToGrid w:val="0"/>
        <w:spacing w:line="360" w:lineRule="auto"/>
        <w:ind w:firstLine="480" w:firstLineChars="200"/>
        <w:rPr>
          <w:rFonts w:ascii="宋体" w:hAnsi="宋体" w:cs="Arial"/>
          <w:sz w:val="24"/>
        </w:rPr>
      </w:pPr>
      <w:r>
        <w:rPr>
          <w:rFonts w:hint="eastAsia" w:ascii="宋体" w:hAnsi="宋体" w:cs="Arial"/>
          <w:sz w:val="24"/>
        </w:rPr>
        <w:t>（五）基金托管人根据有关法律法规的规定及《基金合同》的约定，对基金管理人投资流通受限证券进行监督。</w:t>
      </w:r>
    </w:p>
    <w:p w14:paraId="08665A15">
      <w:pPr>
        <w:adjustRightInd w:val="0"/>
        <w:snapToGrid w:val="0"/>
        <w:spacing w:line="360" w:lineRule="auto"/>
        <w:ind w:firstLine="480" w:firstLineChars="200"/>
        <w:rPr>
          <w:rFonts w:ascii="宋体" w:hAnsi="宋体" w:cs="Arial"/>
          <w:sz w:val="24"/>
        </w:rPr>
      </w:pPr>
      <w:r>
        <w:rPr>
          <w:rFonts w:hint="eastAsia" w:ascii="宋体" w:hAnsi="宋体"/>
          <w:sz w:val="24"/>
        </w:rPr>
        <w:t>基金管理人投资流通受限证券，应事先根据中国证监会相关规定，明确基金投资流通受限证券的比例，</w:t>
      </w:r>
      <w:r>
        <w:rPr>
          <w:rFonts w:hint="eastAsia" w:ascii="宋体" w:hAnsi="宋体" w:cs="Arial"/>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99A9B96">
      <w:pPr>
        <w:adjustRightInd w:val="0"/>
        <w:snapToGrid w:val="0"/>
        <w:spacing w:line="360" w:lineRule="auto"/>
        <w:ind w:firstLine="480" w:firstLineChars="200"/>
        <w:rPr>
          <w:rFonts w:ascii="宋体" w:hAnsi="宋体" w:cs="Arial"/>
          <w:sz w:val="24"/>
        </w:rPr>
      </w:pPr>
      <w:r>
        <w:rPr>
          <w:rFonts w:hint="eastAsia" w:ascii="宋体" w:hAnsi="宋体" w:cs="Arial"/>
          <w:sz w:val="24"/>
        </w:rPr>
        <w:t>1.</w:t>
      </w:r>
      <w:r>
        <w:rPr>
          <w:rFonts w:hint="eastAsia" w:ascii="宋体" w:hAnsi="宋体"/>
          <w:sz w:val="24"/>
        </w:rPr>
        <w:t>此处的流通受限证券与上文提及的流动性受限资产并不完全一致，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基金投资流通受限证券，还应遵守《关于基金投资非公开发行股票等流通受限证券有关问题的通知》等有关规定。</w:t>
      </w:r>
    </w:p>
    <w:p w14:paraId="1B4FC008">
      <w:pPr>
        <w:adjustRightInd w:val="0"/>
        <w:snapToGrid w:val="0"/>
        <w:spacing w:line="360" w:lineRule="auto"/>
        <w:ind w:firstLine="480" w:firstLineChars="200"/>
        <w:rPr>
          <w:rFonts w:ascii="宋体" w:hAnsi="宋体" w:cs="Arial"/>
          <w:sz w:val="24"/>
        </w:rPr>
      </w:pPr>
      <w:r>
        <w:rPr>
          <w:rFonts w:hint="eastAsia" w:ascii="宋体" w:hAnsi="宋体" w:cs="Arial"/>
          <w:sz w:val="24"/>
        </w:rPr>
        <w:t>本基金投资的流通受限证券限于可由中国证券登记结算有限责任公司或中央国债登记结算有限责任公司负责登记和存管，并可在证券交易所或全国银行间债券市场交易的证券。</w:t>
      </w:r>
    </w:p>
    <w:p w14:paraId="5D86B404">
      <w:pPr>
        <w:adjustRightInd w:val="0"/>
        <w:snapToGrid w:val="0"/>
        <w:spacing w:line="360" w:lineRule="auto"/>
        <w:ind w:firstLine="480" w:firstLineChars="200"/>
        <w:rPr>
          <w:rFonts w:ascii="宋体" w:hAnsi="宋体" w:cs="Arial"/>
          <w:sz w:val="24"/>
        </w:rPr>
      </w:pPr>
      <w:r>
        <w:rPr>
          <w:rFonts w:hint="eastAsia" w:ascii="宋体" w:hAnsi="宋体" w:cs="Arial"/>
          <w:sz w:val="24"/>
        </w:rPr>
        <w:t>本基金投资的流通受限证券应保证登记存管在本基金名下，基金管理人负责相关工作的落实和协调，并确保基金托管人能够正常查询。基金托管人不承担因基金管理人过错产生的流通受限证券登记存管问题造成的基金托管人无法安全保管本基金资产的相应责任与损失，及因流通受限证券存管直接影响本基金安全的责任及损失。</w:t>
      </w:r>
    </w:p>
    <w:p w14:paraId="13B4F7BD">
      <w:pPr>
        <w:adjustRightInd w:val="0"/>
        <w:snapToGrid w:val="0"/>
        <w:spacing w:line="360" w:lineRule="auto"/>
        <w:ind w:firstLine="480" w:firstLineChars="200"/>
        <w:rPr>
          <w:rFonts w:ascii="宋体" w:hAnsi="宋体" w:cs="Arial"/>
          <w:sz w:val="24"/>
        </w:rPr>
      </w:pPr>
      <w:r>
        <w:rPr>
          <w:rFonts w:hint="eastAsia" w:ascii="宋体" w:hAnsi="宋体"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2090D1EC">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对本基金因投资流通受限证券导致的流动性风险，基金托管人在切实履行监督义务后，不承担相应责任。如因基金管理人过错导致本基金出现损失致使基金托管人承担责任的，基金管理人应赔偿基金托管人由此遭受的直接损失。</w:t>
      </w:r>
    </w:p>
    <w:p w14:paraId="6ED2106A">
      <w:pPr>
        <w:adjustRightInd w:val="0"/>
        <w:snapToGrid w:val="0"/>
        <w:spacing w:line="360" w:lineRule="auto"/>
        <w:ind w:firstLine="480" w:firstLineChars="200"/>
        <w:rPr>
          <w:rFonts w:ascii="宋体" w:hAnsi="宋体" w:cs="Arial"/>
          <w:sz w:val="24"/>
        </w:rPr>
      </w:pPr>
      <w:r>
        <w:rPr>
          <w:rFonts w:hint="eastAsia" w:ascii="宋体" w:hAnsi="宋体" w:cs="Arial"/>
          <w:sz w:val="24"/>
        </w:rPr>
        <w:t>3.本基金投资非公开发行股票，基金管理人应至少于投资前一个工作日向基金托管人提交有关书面资料，并保证向基金托管人提供的有关资料真实、准确、完整。有关资料如有调整，基金管理人应及时提供调整后的资料。上述书面资料包括但不限于：</w:t>
      </w:r>
    </w:p>
    <w:p w14:paraId="0BCCAFDE">
      <w:pPr>
        <w:adjustRightInd w:val="0"/>
        <w:snapToGrid w:val="0"/>
        <w:spacing w:line="360" w:lineRule="auto"/>
        <w:ind w:firstLine="480" w:firstLineChars="200"/>
        <w:rPr>
          <w:rFonts w:ascii="宋体" w:hAnsi="宋体" w:cs="Arial"/>
          <w:sz w:val="24"/>
        </w:rPr>
      </w:pPr>
      <w:r>
        <w:rPr>
          <w:rFonts w:hint="eastAsia" w:ascii="宋体" w:hAnsi="宋体" w:cs="Arial"/>
          <w:sz w:val="24"/>
        </w:rPr>
        <w:t>（1）中国证监会批准发行非公开发行股票的批准文件。</w:t>
      </w:r>
    </w:p>
    <w:p w14:paraId="468386C7">
      <w:pPr>
        <w:adjustRightInd w:val="0"/>
        <w:snapToGrid w:val="0"/>
        <w:spacing w:line="360" w:lineRule="auto"/>
        <w:ind w:firstLine="480" w:firstLineChars="200"/>
        <w:rPr>
          <w:rFonts w:ascii="宋体" w:hAnsi="宋体" w:cs="Arial"/>
          <w:sz w:val="24"/>
        </w:rPr>
      </w:pPr>
      <w:r>
        <w:rPr>
          <w:rFonts w:hint="eastAsia" w:ascii="宋体" w:hAnsi="宋体" w:cs="Arial"/>
          <w:sz w:val="24"/>
        </w:rPr>
        <w:t>（2）非公开发行股票有关发行数量、发行价格、锁定期等发行资料。</w:t>
      </w:r>
    </w:p>
    <w:p w14:paraId="3ED663CC">
      <w:pPr>
        <w:adjustRightInd w:val="0"/>
        <w:snapToGrid w:val="0"/>
        <w:spacing w:line="360" w:lineRule="auto"/>
        <w:ind w:firstLine="480" w:firstLineChars="200"/>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）基金拟认购的数量、价格、总成本、账面价值。</w:t>
      </w:r>
    </w:p>
    <w:p w14:paraId="41BF6B57">
      <w:pPr>
        <w:adjustRightInd w:val="0"/>
        <w:snapToGrid w:val="0"/>
        <w:spacing w:line="360" w:lineRule="auto"/>
        <w:ind w:firstLine="480" w:firstLineChars="200"/>
        <w:rPr>
          <w:rFonts w:ascii="宋体" w:hAnsi="宋体" w:cs="Arial"/>
          <w:sz w:val="24"/>
        </w:rPr>
      </w:pPr>
      <w:r>
        <w:rPr>
          <w:rFonts w:hint="eastAsia" w:ascii="宋体" w:hAnsi="宋体" w:cs="Arial"/>
          <w:sz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785C776">
      <w:pPr>
        <w:adjustRightInd w:val="0"/>
        <w:snapToGrid w:val="0"/>
        <w:spacing w:line="360" w:lineRule="auto"/>
        <w:ind w:firstLine="480" w:firstLineChars="200"/>
        <w:rPr>
          <w:rFonts w:ascii="宋体" w:hAnsi="宋体" w:cs="Arial"/>
          <w:sz w:val="24"/>
        </w:rPr>
      </w:pPr>
      <w:r>
        <w:rPr>
          <w:rFonts w:hint="eastAsia" w:ascii="宋体" w:hAnsi="宋体" w:cs="Arial"/>
          <w:sz w:val="24"/>
        </w:rPr>
        <w:t>5.基金托管人根据有关规定有权对基金管理人进行以下事项监督：</w:t>
      </w:r>
    </w:p>
    <w:p w14:paraId="1241F86D">
      <w:pPr>
        <w:adjustRightInd w:val="0"/>
        <w:snapToGrid w:val="0"/>
        <w:spacing w:line="360" w:lineRule="auto"/>
        <w:ind w:firstLine="480" w:firstLineChars="200"/>
        <w:rPr>
          <w:rFonts w:ascii="宋体" w:hAnsi="宋体" w:cs="Arial"/>
          <w:sz w:val="24"/>
        </w:rPr>
      </w:pPr>
      <w:r>
        <w:rPr>
          <w:rFonts w:hint="eastAsia" w:ascii="宋体" w:hAnsi="宋体" w:cs="Arial"/>
          <w:sz w:val="24"/>
        </w:rPr>
        <w:t>（1）本基金投资流通受限证券时的法律法规遵守情况。</w:t>
      </w:r>
    </w:p>
    <w:p w14:paraId="07E4190F">
      <w:pPr>
        <w:adjustRightInd w:val="0"/>
        <w:snapToGrid w:val="0"/>
        <w:spacing w:line="360" w:lineRule="auto"/>
        <w:ind w:firstLine="480" w:firstLineChars="200"/>
        <w:rPr>
          <w:rFonts w:ascii="宋体" w:hAnsi="宋体" w:cs="Arial"/>
          <w:sz w:val="24"/>
        </w:rPr>
      </w:pPr>
      <w:r>
        <w:rPr>
          <w:rFonts w:hint="eastAsia" w:ascii="宋体" w:hAnsi="宋体" w:cs="Arial"/>
          <w:sz w:val="24"/>
        </w:rPr>
        <w:t>（2）在基金投资流通受限证券管理工作方面有关制度、流动性风险处置预案的建立与完善情况。</w:t>
      </w:r>
    </w:p>
    <w:p w14:paraId="54A21569">
      <w:pPr>
        <w:adjustRightInd w:val="0"/>
        <w:snapToGrid w:val="0"/>
        <w:spacing w:line="360" w:lineRule="auto"/>
        <w:ind w:firstLine="480" w:firstLineChars="200"/>
        <w:rPr>
          <w:rFonts w:ascii="宋体" w:hAnsi="宋体" w:cs="Arial"/>
          <w:sz w:val="24"/>
        </w:rPr>
      </w:pPr>
      <w:r>
        <w:rPr>
          <w:rFonts w:hint="eastAsia" w:ascii="宋体" w:hAnsi="宋体" w:cs="Arial"/>
          <w:sz w:val="24"/>
        </w:rPr>
        <w:t>（3）有关比例限制的执行情况。</w:t>
      </w:r>
    </w:p>
    <w:p w14:paraId="691C497D">
      <w:pPr>
        <w:adjustRightInd w:val="0"/>
        <w:snapToGrid w:val="0"/>
        <w:spacing w:line="360" w:lineRule="auto"/>
        <w:ind w:firstLine="480" w:firstLineChars="200"/>
        <w:rPr>
          <w:rFonts w:ascii="宋体" w:hAnsi="宋体" w:cs="Arial"/>
          <w:sz w:val="24"/>
        </w:rPr>
      </w:pPr>
      <w:r>
        <w:rPr>
          <w:rFonts w:hint="eastAsia" w:ascii="宋体" w:hAnsi="宋体" w:cs="Arial"/>
          <w:sz w:val="24"/>
        </w:rPr>
        <w:t>（4）信息披露情况。</w:t>
      </w:r>
    </w:p>
    <w:p w14:paraId="7D3C3346">
      <w:pPr>
        <w:adjustRightInd w:val="0"/>
        <w:snapToGrid w:val="0"/>
        <w:spacing w:line="360" w:lineRule="auto"/>
        <w:ind w:firstLine="480" w:firstLineChars="200"/>
        <w:rPr>
          <w:rFonts w:ascii="宋体" w:hAnsi="宋体" w:cs="Arial"/>
          <w:sz w:val="24"/>
        </w:rPr>
      </w:pPr>
      <w:r>
        <w:rPr>
          <w:rFonts w:hint="eastAsia" w:ascii="宋体" w:hAnsi="宋体" w:cs="Arial"/>
          <w:sz w:val="24"/>
        </w:rPr>
        <w:t>6.相关法律法规对基金投资流通受限证券有新规定的，从其规定。</w:t>
      </w:r>
    </w:p>
    <w:p w14:paraId="0987EFBB">
      <w:pPr>
        <w:adjustRightInd w:val="0"/>
        <w:snapToGrid w:val="0"/>
        <w:spacing w:line="360" w:lineRule="auto"/>
        <w:ind w:firstLine="480" w:firstLineChars="200"/>
        <w:rPr>
          <w:rFonts w:ascii="宋体" w:hAnsi="宋体" w:cs="Arial"/>
          <w:sz w:val="24"/>
        </w:rPr>
      </w:pPr>
      <w:r>
        <w:rPr>
          <w:rFonts w:hint="eastAsia" w:ascii="宋体" w:hAnsi="宋体" w:cs="Arial"/>
          <w:sz w:val="24"/>
        </w:rPr>
        <w:t>（六）侧袋机制的实施和投资运作安排</w:t>
      </w:r>
    </w:p>
    <w:p w14:paraId="3F04909B">
      <w:pPr>
        <w:adjustRightInd w:val="0"/>
        <w:snapToGrid w:val="0"/>
        <w:spacing w:line="360" w:lineRule="auto"/>
        <w:ind w:firstLine="480" w:firstLineChars="200"/>
        <w:rPr>
          <w:rFonts w:ascii="宋体" w:hAnsi="宋体" w:cs="Arial"/>
          <w:sz w:val="24"/>
        </w:rPr>
      </w:pPr>
      <w:r>
        <w:rPr>
          <w:rFonts w:hint="eastAsia" w:ascii="宋体" w:hAnsi="宋体" w:cs="Arial"/>
          <w:sz w:val="24"/>
        </w:rPr>
        <w:t>当基金持有特定资产且存在或潜在</w:t>
      </w:r>
      <w:r>
        <w:rPr>
          <w:rFonts w:ascii="宋体" w:hAnsi="宋体" w:cs="Arial"/>
          <w:sz w:val="24"/>
        </w:rPr>
        <w:t>大额</w:t>
      </w:r>
      <w:r>
        <w:rPr>
          <w:rFonts w:hint="eastAsia" w:ascii="宋体" w:hAnsi="宋体" w:cs="Arial"/>
          <w:sz w:val="24"/>
        </w:rPr>
        <w:t>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D2C6293">
      <w:pPr>
        <w:adjustRightInd w:val="0"/>
        <w:snapToGrid w:val="0"/>
        <w:spacing w:line="360" w:lineRule="auto"/>
        <w:ind w:firstLine="480" w:firstLineChars="200"/>
        <w:rPr>
          <w:rFonts w:ascii="宋体" w:hAnsi="宋体" w:cs="Arial"/>
          <w:sz w:val="24"/>
        </w:rPr>
      </w:pPr>
      <w:r>
        <w:rPr>
          <w:rFonts w:hint="eastAsia" w:ascii="宋体" w:hAnsi="宋体" w:cs="Arial"/>
          <w:sz w:val="24"/>
        </w:rPr>
        <w:t>侧袋机制实施期间，本部分约定的投资组合比例、组合限制等约定仅适用于主袋账户。</w:t>
      </w:r>
    </w:p>
    <w:p w14:paraId="1ACE7A32">
      <w:pPr>
        <w:adjustRightInd w:val="0"/>
        <w:snapToGrid w:val="0"/>
        <w:spacing w:line="360" w:lineRule="auto"/>
        <w:ind w:firstLine="480" w:firstLineChars="200"/>
        <w:rPr>
          <w:rFonts w:ascii="宋体" w:hAnsi="宋体" w:cs="Arial"/>
          <w:sz w:val="24"/>
        </w:rPr>
      </w:pPr>
      <w:r>
        <w:rPr>
          <w:rFonts w:hint="eastAsia" w:ascii="宋体" w:hAnsi="宋体" w:cs="Arial"/>
          <w:sz w:val="24"/>
        </w:rPr>
        <w:t>侧袋账户的实施条件、实施程序、运作安排、投资安排、特定资产的处置变现和支付等对投资者权益有重大影响的事项详见招募说明书的规定。</w:t>
      </w:r>
    </w:p>
    <w:p w14:paraId="7E328D01">
      <w:pPr>
        <w:adjustRightInd w:val="0"/>
        <w:snapToGrid w:val="0"/>
        <w:spacing w:line="360" w:lineRule="auto"/>
        <w:ind w:firstLine="480" w:firstLineChars="200"/>
        <w:rPr>
          <w:rFonts w:ascii="宋体" w:hAnsi="宋体" w:cs="Arial"/>
          <w:sz w:val="24"/>
        </w:rPr>
      </w:pPr>
      <w:r>
        <w:rPr>
          <w:rFonts w:hint="eastAsia" w:ascii="宋体" w:hAnsi="宋体" w:cs="Arial"/>
          <w:sz w:val="24"/>
        </w:rPr>
        <w:t>（七）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14:paraId="74584C15">
      <w:pPr>
        <w:adjustRightInd w:val="0"/>
        <w:snapToGrid w:val="0"/>
        <w:spacing w:line="360" w:lineRule="auto"/>
        <w:ind w:firstLine="480" w:firstLineChars="200"/>
        <w:rPr>
          <w:rFonts w:ascii="宋体" w:hAnsi="宋体" w:cs="Arial"/>
          <w:sz w:val="24"/>
        </w:rPr>
      </w:pPr>
      <w:r>
        <w:rPr>
          <w:rFonts w:hint="eastAsia" w:ascii="宋体" w:hAnsi="宋体" w:cs="Arial"/>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内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A6BB10B">
      <w:pPr>
        <w:adjustRightInd w:val="0"/>
        <w:snapToGrid w:val="0"/>
        <w:spacing w:line="360" w:lineRule="auto"/>
        <w:ind w:firstLine="480" w:firstLineChars="200"/>
        <w:rPr>
          <w:rFonts w:ascii="宋体" w:hAnsi="宋体" w:cs="Arial"/>
          <w:sz w:val="24"/>
        </w:rPr>
      </w:pPr>
      <w:r>
        <w:rPr>
          <w:rFonts w:hint="eastAsia" w:ascii="宋体" w:hAnsi="宋体" w:cs="Arial"/>
          <w:sz w:val="24"/>
        </w:rPr>
        <w:t>（九）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1073F719">
      <w:pPr>
        <w:adjustRightInd w:val="0"/>
        <w:snapToGrid w:val="0"/>
        <w:spacing w:line="360" w:lineRule="auto"/>
        <w:ind w:firstLine="480" w:firstLineChars="200"/>
        <w:rPr>
          <w:rFonts w:ascii="宋体" w:hAnsi="宋体" w:cs="Arial"/>
          <w:sz w:val="24"/>
        </w:rPr>
      </w:pPr>
      <w:r>
        <w:rPr>
          <w:rFonts w:hint="eastAsia" w:ascii="宋体" w:hAnsi="宋体" w:cs="Arial"/>
          <w:sz w:val="24"/>
        </w:rPr>
        <w:t>（十）若基金托管人发现基金管理人依据交易程序已经生效的指令违反法律、行政法规和其他有关规定，或者违反《基金合同》约定的，应当立即通知基金管理人，由此造成的损失由基金管理人承担。</w:t>
      </w:r>
    </w:p>
    <w:p w14:paraId="4BDB368C">
      <w:pPr>
        <w:adjustRightInd w:val="0"/>
        <w:snapToGrid w:val="0"/>
        <w:spacing w:line="360" w:lineRule="auto"/>
        <w:ind w:firstLine="480" w:firstLineChars="200"/>
        <w:rPr>
          <w:rFonts w:ascii="宋体" w:hAnsi="宋体" w:cs="Arial"/>
          <w:sz w:val="24"/>
        </w:rPr>
      </w:pPr>
      <w:r>
        <w:rPr>
          <w:rFonts w:hint="eastAsia" w:ascii="宋体" w:hAnsi="宋体" w:cs="Arial"/>
          <w:sz w:val="24"/>
        </w:rPr>
        <w:t>（十一）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3C8891A">
      <w:pPr>
        <w:spacing w:line="360" w:lineRule="auto"/>
        <w:ind w:firstLine="480" w:firstLineChars="200"/>
        <w:rPr>
          <w:sz w:val="24"/>
          <w:szCs w:val="24"/>
        </w:rPr>
      </w:pPr>
      <w:bookmarkStart w:id="349" w:name="OLE_LINK7"/>
      <w:r>
        <w:rPr>
          <w:rFonts w:hint="eastAsia"/>
          <w:sz w:val="24"/>
          <w:szCs w:val="24"/>
        </w:rPr>
        <w:t>三、基金管理人对基金托管人的业务核查</w:t>
      </w:r>
    </w:p>
    <w:p w14:paraId="2F408808">
      <w:pPr>
        <w:adjustRightInd w:val="0"/>
        <w:snapToGrid w:val="0"/>
        <w:spacing w:line="360" w:lineRule="auto"/>
        <w:ind w:firstLine="480"/>
        <w:rPr>
          <w:rFonts w:ascii="宋体" w:hAnsi="宋体" w:cs="Arial"/>
          <w:sz w:val="24"/>
        </w:rPr>
      </w:pPr>
      <w:r>
        <w:rPr>
          <w:rFonts w:hint="eastAsia" w:ascii="宋体" w:hAnsi="宋体" w:cs="Arial"/>
          <w:sz w:val="24"/>
        </w:rPr>
        <w:t>（一）基金管理人对基金托管人履行托管职责情况进行核查，核查事项包括但不限于基金托管人安全保管基金财产、开设基金财产的资金账户、证券账户以及投资所需的其他专用账户、复核基金管理人计算的基金</w:t>
      </w:r>
      <w:r>
        <w:rPr>
          <w:rFonts w:ascii="宋体" w:hAnsi="宋体" w:cs="Arial"/>
          <w:sz w:val="24"/>
        </w:rPr>
        <w:t>资产净值和各类</w:t>
      </w:r>
      <w:r>
        <w:rPr>
          <w:rFonts w:hint="eastAsia" w:ascii="宋体" w:hAnsi="宋体" w:cs="Arial"/>
          <w:sz w:val="24"/>
        </w:rPr>
        <w:t>基金份额的</w:t>
      </w:r>
      <w:r>
        <w:rPr>
          <w:rFonts w:ascii="宋体" w:hAnsi="宋体" w:cs="Arial"/>
          <w:sz w:val="24"/>
        </w:rPr>
        <w:t>基金份额净值、</w:t>
      </w:r>
      <w:r>
        <w:rPr>
          <w:rFonts w:hint="eastAsia" w:ascii="宋体" w:hAnsi="宋体" w:cs="Arial"/>
          <w:sz w:val="24"/>
        </w:rPr>
        <w:t>根据基金管理人指令办理清算交收、相关信息披露和监督基金投资运作等行为。</w:t>
      </w:r>
    </w:p>
    <w:p w14:paraId="59AF6FB9">
      <w:pPr>
        <w:adjustRightInd w:val="0"/>
        <w:snapToGrid w:val="0"/>
        <w:spacing w:line="360" w:lineRule="auto"/>
        <w:ind w:firstLine="480"/>
        <w:rPr>
          <w:rFonts w:ascii="宋体" w:hAnsi="宋体" w:cs="Arial"/>
          <w:sz w:val="24"/>
        </w:rPr>
      </w:pPr>
      <w:r>
        <w:rPr>
          <w:rFonts w:hint="eastAsia" w:ascii="宋体" w:hAnsi="宋体" w:cs="Arial"/>
          <w:sz w:val="24"/>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A5DFDB9">
      <w:pPr>
        <w:adjustRightInd w:val="0"/>
        <w:snapToGrid w:val="0"/>
        <w:spacing w:line="360" w:lineRule="auto"/>
        <w:ind w:firstLine="480"/>
        <w:rPr>
          <w:rFonts w:ascii="宋体" w:hAnsi="宋体" w:cs="Arial"/>
          <w:sz w:val="24"/>
        </w:rPr>
      </w:pPr>
      <w:r>
        <w:rPr>
          <w:rFonts w:hint="eastAsia" w:ascii="宋体" w:hAnsi="宋体" w:cs="Arial"/>
          <w:sz w:val="24"/>
        </w:rPr>
        <w:t>（三）基金管理人发现基金托管人有重大违规行为，应及时报告中国证监会，同时通知基金托管人限期纠正，并将纠正结果报告中国证监会。基金托管人无正当理由，拒绝、阻挠基金管理人根据本托管协议规定行使监督权，或采取拖延、欺诈等手段妨碍基金管理人进行有效监督，情节严重或经基金管理人提出警告仍不改正的，基金管理人应报告中国证监会。</w:t>
      </w:r>
    </w:p>
    <w:p w14:paraId="42DB832A">
      <w:pPr>
        <w:spacing w:line="360" w:lineRule="auto"/>
        <w:ind w:firstLine="480" w:firstLineChars="200"/>
        <w:rPr>
          <w:sz w:val="24"/>
          <w:szCs w:val="24"/>
        </w:rPr>
      </w:pPr>
      <w:r>
        <w:rPr>
          <w:rFonts w:hint="eastAsia"/>
          <w:sz w:val="24"/>
          <w:szCs w:val="24"/>
        </w:rPr>
        <w:t>四、基金财产的保管</w:t>
      </w:r>
    </w:p>
    <w:p w14:paraId="7A43BDBE">
      <w:pPr>
        <w:adjustRightInd w:val="0"/>
        <w:snapToGrid w:val="0"/>
        <w:spacing w:line="360" w:lineRule="auto"/>
        <w:ind w:firstLine="480"/>
        <w:rPr>
          <w:rFonts w:ascii="宋体" w:hAnsi="宋体" w:cs="Arial"/>
          <w:sz w:val="24"/>
        </w:rPr>
      </w:pPr>
      <w:r>
        <w:rPr>
          <w:rFonts w:hint="eastAsia" w:ascii="宋体" w:hAnsi="宋体" w:cs="Arial"/>
          <w:sz w:val="24"/>
        </w:rPr>
        <w:t>（一）基金财产保管的原则</w:t>
      </w:r>
    </w:p>
    <w:p w14:paraId="13D319E9">
      <w:pPr>
        <w:adjustRightInd w:val="0"/>
        <w:snapToGrid w:val="0"/>
        <w:spacing w:line="360" w:lineRule="auto"/>
        <w:ind w:firstLine="480"/>
        <w:rPr>
          <w:rFonts w:ascii="宋体" w:hAnsi="宋体" w:cs="Arial"/>
          <w:sz w:val="24"/>
        </w:rPr>
      </w:pPr>
      <w:r>
        <w:rPr>
          <w:rFonts w:hint="eastAsia" w:ascii="宋体" w:hAnsi="宋体" w:cs="Arial"/>
          <w:sz w:val="24"/>
        </w:rPr>
        <w:t>1.基金财产应独立于基金管理人、基金托管人、证券/期货经纪机构的固有财产。基金管理人、基金托管人不得将基金财产归入其固有财产。</w:t>
      </w:r>
    </w:p>
    <w:p w14:paraId="2495CB19">
      <w:pPr>
        <w:adjustRightInd w:val="0"/>
        <w:snapToGrid w:val="0"/>
        <w:spacing w:line="360" w:lineRule="auto"/>
        <w:ind w:firstLine="480"/>
        <w:rPr>
          <w:rFonts w:ascii="宋体" w:hAnsi="宋体" w:cs="Arial"/>
          <w:sz w:val="24"/>
        </w:rPr>
      </w:pPr>
      <w:r>
        <w:rPr>
          <w:rFonts w:hint="eastAsia" w:ascii="宋体" w:hAnsi="宋体" w:cs="Arial"/>
          <w:sz w:val="24"/>
        </w:rPr>
        <w:t>2.基金托管人应安全保管基金财产。</w:t>
      </w:r>
    </w:p>
    <w:p w14:paraId="219D548D">
      <w:pPr>
        <w:adjustRightInd w:val="0"/>
        <w:snapToGrid w:val="0"/>
        <w:spacing w:line="360" w:lineRule="auto"/>
        <w:ind w:firstLine="480"/>
        <w:rPr>
          <w:rFonts w:ascii="宋体" w:hAnsi="宋体" w:cs="Arial"/>
          <w:sz w:val="24"/>
        </w:rPr>
      </w:pPr>
      <w:r>
        <w:rPr>
          <w:rFonts w:hint="eastAsia" w:ascii="宋体" w:hAnsi="宋体" w:cs="Arial"/>
          <w:sz w:val="24"/>
        </w:rPr>
        <w:t>3.基金托管人按照规定开设基金财产的资金账户、证券账户以及投资所需的其他专用账户。</w:t>
      </w:r>
    </w:p>
    <w:p w14:paraId="2BC1703A">
      <w:pPr>
        <w:adjustRightInd w:val="0"/>
        <w:snapToGrid w:val="0"/>
        <w:spacing w:line="360" w:lineRule="auto"/>
        <w:ind w:firstLine="480"/>
        <w:rPr>
          <w:rFonts w:ascii="宋体" w:hAnsi="宋体" w:cs="Arial"/>
          <w:sz w:val="24"/>
        </w:rPr>
      </w:pPr>
      <w:r>
        <w:rPr>
          <w:rFonts w:hint="eastAsia" w:ascii="宋体" w:hAnsi="宋体" w:cs="Arial"/>
          <w:sz w:val="24"/>
        </w:rPr>
        <w:t>4.基金托管人对所托管的不同基金财产分别设置账户，</w:t>
      </w:r>
      <w:r>
        <w:rPr>
          <w:rFonts w:ascii="宋体" w:hAnsi="宋体" w:cs="Arial"/>
          <w:bCs/>
          <w:sz w:val="24"/>
        </w:rPr>
        <w:t>独立核算，分账管理，</w:t>
      </w:r>
      <w:r>
        <w:rPr>
          <w:rFonts w:hint="eastAsia" w:ascii="宋体" w:hAnsi="宋体" w:cs="Arial"/>
          <w:sz w:val="24"/>
        </w:rPr>
        <w:t>确保基金财产的完整与独立。</w:t>
      </w:r>
    </w:p>
    <w:p w14:paraId="36FB3417">
      <w:pPr>
        <w:adjustRightInd w:val="0"/>
        <w:snapToGrid w:val="0"/>
        <w:spacing w:line="360" w:lineRule="auto"/>
        <w:ind w:firstLine="480"/>
        <w:rPr>
          <w:rFonts w:ascii="宋体" w:hAnsi="宋体" w:cs="Arial"/>
          <w:sz w:val="24"/>
        </w:rPr>
      </w:pPr>
      <w:r>
        <w:rPr>
          <w:rFonts w:hint="eastAsia" w:ascii="宋体" w:hAnsi="宋体" w:cs="Arial"/>
          <w:sz w:val="24"/>
        </w:rPr>
        <w:t>5.基金托管人按照《基金合同》和本托管协议的约定保管基金财产，如有特殊情况双方可另行协商解决。基金</w:t>
      </w:r>
      <w:r>
        <w:rPr>
          <w:rFonts w:hint="eastAsia" w:ascii="宋体" w:hAnsi="宋体"/>
          <w:sz w:val="24"/>
        </w:rPr>
        <w:t>托管人未经基金管理人的合法合规的有效指令，不得自行运用、处分、分配本基金的任何资产（不包含开户银行或交易/登记结算机构扣收交易费、结算费和账户维护费等费用）。</w:t>
      </w:r>
    </w:p>
    <w:p w14:paraId="5E0A3A15">
      <w:pPr>
        <w:adjustRightInd w:val="0"/>
        <w:snapToGrid w:val="0"/>
        <w:spacing w:line="360" w:lineRule="auto"/>
        <w:ind w:firstLine="480"/>
        <w:rPr>
          <w:rFonts w:ascii="宋体" w:hAnsi="宋体" w:cs="Arial"/>
          <w:sz w:val="24"/>
        </w:rPr>
      </w:pPr>
      <w:r>
        <w:rPr>
          <w:rFonts w:hint="eastAsia"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无过错的，对此不承担相应责任，但应提供必要的协助和配合。</w:t>
      </w:r>
    </w:p>
    <w:p w14:paraId="49632EC4">
      <w:pPr>
        <w:adjustRightInd w:val="0"/>
        <w:snapToGrid w:val="0"/>
        <w:spacing w:line="360" w:lineRule="auto"/>
        <w:ind w:firstLine="480"/>
        <w:rPr>
          <w:rFonts w:ascii="宋体" w:hAnsi="宋体" w:cs="Arial"/>
          <w:sz w:val="24"/>
        </w:rPr>
      </w:pPr>
      <w:r>
        <w:rPr>
          <w:rFonts w:hint="eastAsia" w:ascii="宋体" w:hAnsi="宋体" w:cs="Arial"/>
          <w:sz w:val="24"/>
        </w:rPr>
        <w:t>7.除依据法律法规和《基金合同》的规定外，基金托管人不得委托第三人托管基金财产。</w:t>
      </w:r>
    </w:p>
    <w:p w14:paraId="7D05E7B2">
      <w:pPr>
        <w:adjustRightInd w:val="0"/>
        <w:snapToGrid w:val="0"/>
        <w:spacing w:line="360" w:lineRule="auto"/>
        <w:ind w:firstLine="480"/>
        <w:rPr>
          <w:rFonts w:ascii="宋体" w:hAnsi="宋体" w:cs="Arial"/>
          <w:sz w:val="24"/>
        </w:rPr>
      </w:pPr>
      <w:r>
        <w:rPr>
          <w:rFonts w:hint="eastAsia" w:ascii="宋体" w:hAnsi="宋体" w:cs="Arial"/>
          <w:sz w:val="24"/>
        </w:rPr>
        <w:t>（二）基金募集期间及募集资金的验资</w:t>
      </w:r>
    </w:p>
    <w:p w14:paraId="66969757">
      <w:pPr>
        <w:adjustRightInd w:val="0"/>
        <w:snapToGrid w:val="0"/>
        <w:spacing w:line="360" w:lineRule="auto"/>
        <w:ind w:firstLine="480"/>
        <w:rPr>
          <w:rFonts w:ascii="宋体" w:hAnsi="宋体" w:cs="Arial"/>
          <w:sz w:val="24"/>
        </w:rPr>
      </w:pPr>
      <w:r>
        <w:rPr>
          <w:rFonts w:hint="eastAsia" w:ascii="宋体" w:hAnsi="宋体" w:cs="Arial"/>
          <w:sz w:val="24"/>
        </w:rPr>
        <w:t>1.基金募集期间募集的资金应存于“基金募集专户”。该账户由基金管理人开立并管理。</w:t>
      </w:r>
    </w:p>
    <w:p w14:paraId="3A38D23A">
      <w:pPr>
        <w:adjustRightInd w:val="0"/>
        <w:snapToGrid w:val="0"/>
        <w:spacing w:line="360" w:lineRule="auto"/>
        <w:ind w:firstLine="480"/>
        <w:rPr>
          <w:rFonts w:ascii="宋体" w:hAnsi="宋体" w:cs="Arial"/>
          <w:sz w:val="24"/>
        </w:rPr>
      </w:pPr>
      <w:r>
        <w:rPr>
          <w:rFonts w:hint="eastAsia" w:ascii="宋体" w:hAnsi="宋体" w:cs="Arial"/>
          <w:sz w:val="24"/>
        </w:rPr>
        <w:t>2.基金募集期满或基金停止募集时，发起资金</w:t>
      </w:r>
      <w:r>
        <w:rPr>
          <w:rFonts w:hint="eastAsia"/>
          <w:kern w:val="0"/>
          <w:sz w:val="24"/>
        </w:rPr>
        <w:t>提供方</w:t>
      </w:r>
      <w:r>
        <w:rPr>
          <w:rFonts w:hint="eastAsia" w:ascii="宋体" w:hAnsi="宋体" w:cs="Arial"/>
          <w:sz w:val="24"/>
        </w:rPr>
        <w:t>认购金额及其承诺持有期限符合《基金法》、《运作办法》等有关规定后，基金管理人应将属于基金财产的全部资金划入基金托管人开立的基金银行账户，同时在规定时间内，聘请符合《中华人民共和国证券法》规定的会计师事务所进行验资，出具验资报告，验资报告需对发起资金提供方及其持有份额进行专门说明。出具的验资报告由参加验资的2名或2名以上中国注册会计师签字方为有效。</w:t>
      </w:r>
    </w:p>
    <w:p w14:paraId="30E5CAF2">
      <w:pPr>
        <w:adjustRightInd w:val="0"/>
        <w:snapToGrid w:val="0"/>
        <w:spacing w:line="360" w:lineRule="auto"/>
        <w:ind w:firstLine="480"/>
        <w:rPr>
          <w:rFonts w:ascii="宋体" w:hAnsi="宋体" w:cs="Arial"/>
          <w:sz w:val="24"/>
        </w:rPr>
      </w:pPr>
      <w:r>
        <w:rPr>
          <w:rFonts w:hint="eastAsia" w:ascii="宋体" w:hAnsi="宋体" w:cs="Arial"/>
          <w:sz w:val="24"/>
        </w:rPr>
        <w:t>3.若基金募集期限届满，未能达到《基金合同》生效的条件，由基金管理人按法律法规的相关规定及基金合同的相关约定办理退款等事宜，基金托管人应予以必要的协助和配合。</w:t>
      </w:r>
    </w:p>
    <w:p w14:paraId="7AA77183">
      <w:pPr>
        <w:adjustRightInd w:val="0"/>
        <w:snapToGrid w:val="0"/>
        <w:spacing w:line="360" w:lineRule="auto"/>
        <w:ind w:firstLine="480"/>
        <w:rPr>
          <w:rFonts w:ascii="宋体" w:hAnsi="宋体" w:cs="Arial"/>
          <w:sz w:val="24"/>
        </w:rPr>
      </w:pPr>
      <w:r>
        <w:rPr>
          <w:rFonts w:hint="eastAsia" w:ascii="宋体" w:hAnsi="宋体" w:cs="Arial"/>
          <w:sz w:val="24"/>
        </w:rPr>
        <w:t>（三）基金银行账户的开立和管理</w:t>
      </w:r>
    </w:p>
    <w:p w14:paraId="04BAB95C">
      <w:pPr>
        <w:adjustRightInd w:val="0"/>
        <w:snapToGrid w:val="0"/>
        <w:spacing w:line="360" w:lineRule="auto"/>
        <w:ind w:firstLine="480"/>
        <w:rPr>
          <w:rFonts w:ascii="宋体" w:hAnsi="宋体" w:cs="Arial"/>
          <w:sz w:val="24"/>
        </w:rPr>
      </w:pPr>
      <w:r>
        <w:rPr>
          <w:rFonts w:hint="eastAsia" w:ascii="宋体" w:hAnsi="宋体" w:cs="Arial"/>
          <w:sz w:val="24"/>
        </w:rPr>
        <w:t>1.基金托管人应以本基金的名义在其营业机构开立基金的银行账户，并根据基金管理人合法合规的有效指令办理资金收付。基金的银行账户开户预留印鉴为托管业务专用章和托管人监管名章，开立的托管账户，应遵循基金托管人《单位银行结算账户管理协议》的规定。本基金的银行预留印鉴由基金托管人保管和使用。</w:t>
      </w:r>
    </w:p>
    <w:p w14:paraId="0A65C130">
      <w:pPr>
        <w:adjustRightInd w:val="0"/>
        <w:snapToGrid w:val="0"/>
        <w:spacing w:line="360" w:lineRule="auto"/>
        <w:ind w:firstLine="480"/>
        <w:rPr>
          <w:rFonts w:ascii="宋体" w:hAnsi="宋体" w:cs="Arial"/>
          <w:sz w:val="24"/>
        </w:rPr>
      </w:pPr>
      <w:r>
        <w:rPr>
          <w:rFonts w:hint="eastAsia" w:ascii="宋体"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CB0FBD7">
      <w:pPr>
        <w:adjustRightInd w:val="0"/>
        <w:snapToGrid w:val="0"/>
        <w:spacing w:line="360" w:lineRule="auto"/>
        <w:ind w:firstLine="480"/>
        <w:rPr>
          <w:rFonts w:ascii="宋体" w:hAnsi="宋体" w:cs="Arial"/>
          <w:sz w:val="24"/>
        </w:rPr>
      </w:pPr>
      <w:r>
        <w:rPr>
          <w:rFonts w:hint="eastAsia" w:ascii="宋体" w:hAnsi="宋体" w:cs="Arial"/>
          <w:sz w:val="24"/>
        </w:rPr>
        <w:t>3.基金银行账户的开立和管理应符合银行业监督管理机构的有关规定。</w:t>
      </w:r>
    </w:p>
    <w:p w14:paraId="2CBA6A28">
      <w:pPr>
        <w:adjustRightInd w:val="0"/>
        <w:snapToGrid w:val="0"/>
        <w:spacing w:line="360" w:lineRule="auto"/>
        <w:ind w:firstLine="480"/>
        <w:rPr>
          <w:rFonts w:ascii="宋体" w:hAnsi="宋体" w:cs="Arial"/>
          <w:sz w:val="24"/>
        </w:rPr>
      </w:pPr>
      <w:r>
        <w:rPr>
          <w:rFonts w:hint="eastAsia" w:ascii="宋体" w:hAnsi="宋体" w:cs="Arial"/>
          <w:sz w:val="24"/>
        </w:rPr>
        <w:t>4.在符合法律法规规定的条件下，基金托管人可以通过基金托管人专用账户办理基金资产的支付。</w:t>
      </w:r>
    </w:p>
    <w:p w14:paraId="06874E89">
      <w:pPr>
        <w:adjustRightInd w:val="0"/>
        <w:snapToGrid w:val="0"/>
        <w:spacing w:line="360" w:lineRule="auto"/>
        <w:ind w:firstLine="480"/>
        <w:rPr>
          <w:rFonts w:ascii="宋体" w:hAnsi="宋体" w:cs="Arial"/>
          <w:sz w:val="24"/>
        </w:rPr>
      </w:pPr>
      <w:r>
        <w:rPr>
          <w:rFonts w:hint="eastAsia" w:ascii="宋体" w:hAnsi="宋体" w:cs="Arial"/>
          <w:sz w:val="24"/>
        </w:rPr>
        <w:t>（四）基金证券账户和基金证券资金账户的开立和管理</w:t>
      </w:r>
    </w:p>
    <w:p w14:paraId="0FDC949F">
      <w:pPr>
        <w:adjustRightInd w:val="0"/>
        <w:snapToGrid w:val="0"/>
        <w:spacing w:line="360" w:lineRule="auto"/>
        <w:ind w:firstLine="480" w:firstLineChars="200"/>
        <w:rPr>
          <w:rFonts w:ascii="宋体" w:hAnsi="宋体" w:cs="Arial"/>
          <w:sz w:val="24"/>
        </w:rPr>
      </w:pPr>
      <w:r>
        <w:rPr>
          <w:rFonts w:hint="eastAsia" w:ascii="宋体" w:hAnsi="宋体" w:cs="Arial"/>
          <w:sz w:val="24"/>
        </w:rPr>
        <w:t>1.基金托管人在中国证券登记结算有限责任公司为基金开立本基金的证券账户。</w:t>
      </w:r>
    </w:p>
    <w:p w14:paraId="1C3E49BE">
      <w:pPr>
        <w:adjustRightInd w:val="0"/>
        <w:snapToGrid w:val="0"/>
        <w:spacing w:line="360" w:lineRule="auto"/>
        <w:ind w:firstLine="480" w:firstLineChars="200"/>
        <w:rPr>
          <w:rFonts w:ascii="宋体" w:hAnsi="宋体" w:cs="Arial"/>
          <w:sz w:val="24"/>
        </w:rPr>
      </w:pPr>
      <w:r>
        <w:rPr>
          <w:rFonts w:hint="eastAsia" w:ascii="宋体"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C9FB76C">
      <w:pPr>
        <w:adjustRightInd w:val="0"/>
        <w:snapToGrid w:val="0"/>
        <w:spacing w:line="360" w:lineRule="auto"/>
        <w:ind w:firstLine="480" w:firstLineChars="200"/>
        <w:rPr>
          <w:rFonts w:ascii="宋体" w:hAnsi="宋体" w:cs="Arial"/>
          <w:sz w:val="24"/>
        </w:rPr>
      </w:pPr>
      <w:r>
        <w:rPr>
          <w:rFonts w:hint="eastAsia" w:ascii="宋体" w:hAnsi="宋体" w:cs="Arial"/>
          <w:sz w:val="24"/>
        </w:rPr>
        <w:t>3.基金证券账户的管理和运用由基金管理人负责。</w:t>
      </w:r>
    </w:p>
    <w:p w14:paraId="364C62F5">
      <w:pPr>
        <w:adjustRightInd w:val="0"/>
        <w:snapToGrid w:val="0"/>
        <w:spacing w:line="360" w:lineRule="auto"/>
        <w:ind w:firstLine="480" w:firstLineChars="200"/>
        <w:rPr>
          <w:rFonts w:ascii="宋体" w:hAnsi="宋体" w:cs="Arial"/>
          <w:sz w:val="24"/>
        </w:rPr>
      </w:pPr>
      <w:r>
        <w:rPr>
          <w:rFonts w:hint="eastAsia" w:ascii="宋体" w:hAnsi="宋体" w:cs="Arial"/>
          <w:sz w:val="24"/>
        </w:rPr>
        <w:t>证券账户开户费由基金财产承担。证券账户开户费由基金管理人先行垫付,待本基金启始运营后,基金管理人可向基金托管人发送划款指令,将代垫开户费从本基金托管资金账户中扣还基金管理人。账户开立后，基金托管人应及时将证券账户开通信息通知基金管理人。</w:t>
      </w:r>
    </w:p>
    <w:p w14:paraId="2B7D17BD">
      <w:pPr>
        <w:adjustRightInd w:val="0"/>
        <w:snapToGrid w:val="0"/>
        <w:spacing w:line="360" w:lineRule="auto"/>
        <w:ind w:firstLine="480" w:firstLineChars="200"/>
        <w:rPr>
          <w:rFonts w:ascii="宋体" w:hAnsi="宋体" w:cs="Arial"/>
          <w:sz w:val="24"/>
        </w:rPr>
      </w:pPr>
      <w:r>
        <w:rPr>
          <w:rFonts w:hint="eastAsia" w:ascii="宋体" w:hAnsi="宋体" w:cs="Arial"/>
          <w:sz w:val="24"/>
        </w:rPr>
        <w:t>4.基金管理人以本基金名义在基金管理人选择的证券经纪机构营业网点开立证券资金账户。证券经纪机构根据相关法律法规、规范性文件为本基金开立相关资金账户，并按照该证券经纪机构开户的流程和要求与基金管理人签订相关协议。</w:t>
      </w:r>
    </w:p>
    <w:p w14:paraId="7904731E">
      <w:pPr>
        <w:adjustRightInd w:val="0"/>
        <w:snapToGrid w:val="0"/>
        <w:spacing w:line="360" w:lineRule="auto"/>
        <w:ind w:firstLine="480" w:firstLineChars="200"/>
        <w:rPr>
          <w:rFonts w:ascii="宋体" w:hAnsi="宋体" w:cs="Arial"/>
          <w:sz w:val="24"/>
        </w:rPr>
      </w:pPr>
      <w:r>
        <w:rPr>
          <w:rFonts w:hint="eastAsia" w:ascii="宋体" w:hAnsi="宋体" w:cs="Arial"/>
          <w:sz w:val="24"/>
        </w:rPr>
        <w:t>5.交易所证券交易资金采用第三方存管模式，即用于证券交易结算资金全额存放在基金管理人为基金开立的证券资金账户中，场内的证券交易资金清算由基金管理人所选择的证券公司负责。基金托管人不负责办理场内的证券交易资金清算，也不负责保管证券资金账户内存放的资金。</w:t>
      </w:r>
    </w:p>
    <w:p w14:paraId="3AC12E59">
      <w:pPr>
        <w:adjustRightInd w:val="0"/>
        <w:snapToGrid w:val="0"/>
        <w:spacing w:line="360" w:lineRule="auto"/>
        <w:ind w:firstLine="480" w:firstLineChars="200"/>
        <w:rPr>
          <w:rFonts w:ascii="宋体" w:hAnsi="宋体" w:cs="Arial"/>
          <w:sz w:val="24"/>
        </w:rPr>
      </w:pPr>
      <w:r>
        <w:rPr>
          <w:rFonts w:hint="eastAsia" w:ascii="宋体" w:hAnsi="宋体"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201BEE44">
      <w:pPr>
        <w:adjustRightInd w:val="0"/>
        <w:snapToGrid w:val="0"/>
        <w:spacing w:line="360" w:lineRule="auto"/>
        <w:ind w:firstLine="480" w:firstLineChars="200"/>
        <w:rPr>
          <w:rFonts w:ascii="宋体" w:hAnsi="宋体" w:cs="Arial"/>
          <w:sz w:val="24"/>
        </w:rPr>
      </w:pPr>
      <w:r>
        <w:rPr>
          <w:rFonts w:hint="eastAsia" w:ascii="宋体" w:hAnsi="宋体" w:cs="Arial"/>
          <w:sz w:val="24"/>
        </w:rPr>
        <w:t>（五）债券托管账户的开设和管理</w:t>
      </w:r>
    </w:p>
    <w:p w14:paraId="6A9069B0">
      <w:pPr>
        <w:adjustRightInd w:val="0"/>
        <w:snapToGrid w:val="0"/>
        <w:spacing w:line="360" w:lineRule="auto"/>
        <w:ind w:firstLine="480" w:firstLineChars="200"/>
        <w:rPr>
          <w:rFonts w:ascii="宋体" w:hAnsi="宋体" w:cs="Arial"/>
          <w:sz w:val="24"/>
        </w:rPr>
      </w:pPr>
      <w:r>
        <w:rPr>
          <w:rFonts w:hint="eastAsia" w:ascii="宋体" w:hAnsi="宋体" w:cs="Arial"/>
          <w:sz w:val="24"/>
        </w:rPr>
        <w:t>《基金合同》生效后，基金管理人负责以基金的名义申请并取得进入全国银行间同业拆借市场的交易资格，并代表基金进行交易；基金托管人根据中国人民银行、中央国债登记结算有限责任公司、银行间市场登记结算机构的有关规定，以本基金的名义在银行间市场登记结算机构开立债券托管账户和资金结算账户，并代表基金进行银行间市场债券的结算。基金管理人代表基金签订全国银行间债券市场债券回购主协议。</w:t>
      </w:r>
    </w:p>
    <w:p w14:paraId="41336D9D">
      <w:pPr>
        <w:adjustRightInd w:val="0"/>
        <w:snapToGrid w:val="0"/>
        <w:spacing w:line="360" w:lineRule="auto"/>
        <w:ind w:firstLine="480" w:firstLineChars="200"/>
        <w:rPr>
          <w:rFonts w:ascii="宋体" w:hAnsi="宋体" w:cs="Arial"/>
          <w:sz w:val="24"/>
        </w:rPr>
      </w:pPr>
      <w:r>
        <w:rPr>
          <w:rFonts w:hint="eastAsia" w:ascii="宋体" w:hAnsi="宋体" w:cs="Arial"/>
          <w:sz w:val="24"/>
        </w:rPr>
        <w:t>（六）期货相关账户的开立和管理</w:t>
      </w:r>
    </w:p>
    <w:p w14:paraId="6D00F05B">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基金管理人、基金托管人应当按照相关规定开立期货结算账户、期货资金账户，在中国金融期货交易所获取交易编码。期货结算账户名称、期货资金账户名称及交易编码对应名称应按照有关规定设立。</w:t>
      </w:r>
    </w:p>
    <w:p w14:paraId="5811C878">
      <w:pPr>
        <w:adjustRightInd w:val="0"/>
        <w:snapToGrid w:val="0"/>
        <w:spacing w:line="360" w:lineRule="auto"/>
        <w:ind w:firstLine="480" w:firstLineChars="200"/>
        <w:rPr>
          <w:rFonts w:ascii="宋体" w:hAnsi="宋体" w:cs="Arial"/>
          <w:sz w:val="24"/>
        </w:rPr>
      </w:pPr>
      <w:r>
        <w:rPr>
          <w:rFonts w:hint="eastAsia" w:ascii="宋体" w:hAnsi="宋体" w:cs="Arial"/>
          <w:sz w:val="24"/>
        </w:rPr>
        <w:t>（七）其他账户的开立和管理</w:t>
      </w:r>
    </w:p>
    <w:p w14:paraId="3D4495B6">
      <w:pPr>
        <w:adjustRightInd w:val="0"/>
        <w:snapToGrid w:val="0"/>
        <w:spacing w:line="360" w:lineRule="auto"/>
        <w:ind w:firstLine="480" w:firstLineChars="200"/>
        <w:rPr>
          <w:rFonts w:ascii="宋体" w:hAnsi="宋体" w:cs="Arial"/>
          <w:sz w:val="24"/>
        </w:rPr>
      </w:pPr>
      <w:r>
        <w:rPr>
          <w:rFonts w:hint="eastAsia" w:ascii="宋体"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B303319">
      <w:pPr>
        <w:adjustRightInd w:val="0"/>
        <w:snapToGrid w:val="0"/>
        <w:spacing w:line="360" w:lineRule="auto"/>
        <w:ind w:firstLine="480"/>
        <w:rPr>
          <w:rFonts w:ascii="宋体" w:hAnsi="宋体" w:cs="Arial"/>
          <w:sz w:val="24"/>
        </w:rPr>
      </w:pPr>
      <w:r>
        <w:rPr>
          <w:rFonts w:hint="eastAsia" w:ascii="宋体" w:hAnsi="宋体" w:cs="Arial"/>
          <w:sz w:val="24"/>
        </w:rPr>
        <w:t>2.法律法规等有关规定对相关账户的开立和管理另有规定的，从其规定办理。</w:t>
      </w:r>
    </w:p>
    <w:p w14:paraId="5325009A">
      <w:pPr>
        <w:adjustRightInd w:val="0"/>
        <w:snapToGrid w:val="0"/>
        <w:spacing w:line="360" w:lineRule="auto"/>
        <w:ind w:firstLine="480"/>
        <w:rPr>
          <w:rFonts w:ascii="宋体" w:hAnsi="宋体" w:cs="Arial"/>
          <w:sz w:val="24"/>
        </w:rPr>
      </w:pPr>
      <w:r>
        <w:rPr>
          <w:rFonts w:hint="eastAsia" w:ascii="宋体" w:hAnsi="宋体" w:cs="Arial"/>
          <w:sz w:val="24"/>
        </w:rPr>
        <w:t>（八）基金财产投资的有关有价凭证等的保管</w:t>
      </w:r>
    </w:p>
    <w:p w14:paraId="4D94E877">
      <w:pPr>
        <w:adjustRightInd w:val="0"/>
        <w:snapToGrid w:val="0"/>
        <w:spacing w:line="360" w:lineRule="auto"/>
        <w:ind w:firstLine="480" w:firstLineChars="200"/>
        <w:rPr>
          <w:rFonts w:ascii="宋体" w:hAnsi="宋体" w:cs="Arial"/>
          <w:sz w:val="24"/>
        </w:rPr>
      </w:pPr>
      <w:r>
        <w:rPr>
          <w:rFonts w:hint="eastAsia" w:ascii="宋体" w:hAnsi="宋体" w:cs="Arial"/>
          <w:sz w:val="24"/>
        </w:rPr>
        <w:t>基金财产投资的有关实物证券、银行</w:t>
      </w:r>
      <w:r>
        <w:rPr>
          <w:rFonts w:hint="eastAsia" w:ascii="宋体" w:hAnsi="宋体"/>
          <w:sz w:val="24"/>
        </w:rPr>
        <w:t>存款开户证实书</w:t>
      </w:r>
      <w:r>
        <w:rPr>
          <w:rFonts w:hint="eastAsia" w:ascii="宋体" w:hAnsi="宋体" w:cs="Arial"/>
          <w:sz w:val="24"/>
        </w:rPr>
        <w:t>等有价凭证由基金托管人存放于基金托管人的保管库，也可存入中央国债登记结算有限责任公司、上海清算所、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相应责任。</w:t>
      </w:r>
    </w:p>
    <w:p w14:paraId="64A6F2DF">
      <w:pPr>
        <w:adjustRightInd w:val="0"/>
        <w:snapToGrid w:val="0"/>
        <w:spacing w:line="360" w:lineRule="auto"/>
        <w:ind w:firstLine="480" w:firstLineChars="200"/>
        <w:rPr>
          <w:rFonts w:ascii="宋体" w:hAnsi="宋体" w:cs="Arial"/>
          <w:sz w:val="24"/>
        </w:rPr>
      </w:pPr>
      <w:r>
        <w:rPr>
          <w:rFonts w:hint="eastAsia" w:ascii="宋体" w:hAnsi="宋体" w:cs="Arial"/>
          <w:sz w:val="24"/>
        </w:rPr>
        <w:t>基金财产投资定期存款，基金管理人应与存款机构签订定期存款协议，约定双方的权利和义务，该协议作为划款指令附件，该协议中必须有如下明确条款或类似意思表示条款：“存款证实书不得以任何方式被质押，并不得用于转让和背书；本息到期归还或提前支取的所有款项必须划至托管账户（明确户名、开户行、账号等），不得划入其他任何账户”。如定期存款协议中未体现前述条款或类似意思表示条款，基金托管人有权拒绝定期存款投资的划款指令。存款机构开立的银行账户，包括实体或虚拟账户，其预留印鉴必须有一枚基金托管人监管印章或业务专用章。定期存款（包括协议存款）账户开立的存款证实书或存单正本由基金托管人保管。存款机构定期向基金托管人发送对账单，基金托管人应配合对账。</w:t>
      </w:r>
    </w:p>
    <w:p w14:paraId="73C04673">
      <w:pPr>
        <w:adjustRightInd w:val="0"/>
        <w:snapToGrid w:val="0"/>
        <w:spacing w:line="360" w:lineRule="auto"/>
        <w:ind w:firstLine="480" w:firstLineChars="200"/>
        <w:rPr>
          <w:rFonts w:ascii="宋体" w:hAnsi="宋体" w:cs="Arial"/>
          <w:sz w:val="24"/>
        </w:rPr>
      </w:pPr>
      <w:r>
        <w:rPr>
          <w:rFonts w:hint="eastAsia" w:ascii="宋体" w:hAnsi="宋体" w:cs="Arial"/>
          <w:sz w:val="24"/>
        </w:rPr>
        <w:t>（九）与基金财产有关的重大合同的保管</w:t>
      </w:r>
    </w:p>
    <w:p w14:paraId="325BAA21">
      <w:pPr>
        <w:adjustRightInd w:val="0"/>
        <w:snapToGrid w:val="0"/>
        <w:spacing w:line="360" w:lineRule="auto"/>
        <w:ind w:firstLine="480" w:firstLineChars="200"/>
        <w:rPr>
          <w:rFonts w:ascii="宋体" w:hAnsi="宋体" w:cs="Arial"/>
          <w:sz w:val="24"/>
        </w:rPr>
      </w:pPr>
      <w:r>
        <w:rPr>
          <w:rFonts w:hint="eastAsia" w:ascii="宋体" w:hAnsi="宋体" w:cs="Arial"/>
          <w:sz w:val="24"/>
        </w:rPr>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尽可能保证基金管理人和基金托管人至少各持有一份正本的原件。基金管理人应在重大合同签署后及时以双方协商一致的方式将重大合同传真给基金托管人，并在三十个工作日内将正本送达基金托管人处。重大合同的保管期限不低于法律法规规定的最低期限。对于无法取得二份以上的正本的，基金管理人应向基金托管人提供加盖公章的合同传真件，未经双方协商一致，合同原件不得转移。</w:t>
      </w:r>
    </w:p>
    <w:p w14:paraId="019A93AD">
      <w:pPr>
        <w:spacing w:line="360" w:lineRule="auto"/>
        <w:ind w:firstLine="480" w:firstLineChars="200"/>
        <w:rPr>
          <w:sz w:val="24"/>
          <w:szCs w:val="24"/>
        </w:rPr>
      </w:pPr>
      <w:bookmarkStart w:id="350" w:name="_Hlt88903033"/>
      <w:bookmarkEnd w:id="350"/>
      <w:r>
        <w:rPr>
          <w:rFonts w:hint="eastAsia"/>
          <w:sz w:val="24"/>
          <w:szCs w:val="24"/>
        </w:rPr>
        <w:t>五、基金资产净值计算和会计核算</w:t>
      </w:r>
    </w:p>
    <w:p w14:paraId="2220059A">
      <w:pPr>
        <w:adjustRightInd w:val="0"/>
        <w:snapToGrid w:val="0"/>
        <w:spacing w:line="360" w:lineRule="auto"/>
        <w:ind w:firstLine="480" w:firstLineChars="200"/>
        <w:rPr>
          <w:rFonts w:ascii="宋体" w:hAnsi="宋体" w:cs="Arial"/>
          <w:sz w:val="24"/>
        </w:rPr>
      </w:pPr>
      <w:r>
        <w:rPr>
          <w:rFonts w:hint="eastAsia" w:ascii="宋体" w:hAnsi="宋体" w:cs="Arial"/>
          <w:sz w:val="24"/>
        </w:rPr>
        <w:t>（一）基金资产净值的计算、复核与完成的时间及程序</w:t>
      </w:r>
    </w:p>
    <w:p w14:paraId="4183AFCD">
      <w:pPr>
        <w:adjustRightInd w:val="0"/>
        <w:snapToGrid w:val="0"/>
        <w:spacing w:line="360" w:lineRule="auto"/>
        <w:ind w:firstLine="480" w:firstLineChars="200"/>
        <w:rPr>
          <w:rFonts w:ascii="宋体" w:hAnsi="宋体" w:cs="Arial"/>
          <w:sz w:val="24"/>
        </w:rPr>
      </w:pPr>
      <w:r>
        <w:rPr>
          <w:rFonts w:hint="eastAsia" w:ascii="宋体" w:hAnsi="宋体" w:cs="Arial"/>
          <w:sz w:val="24"/>
        </w:rPr>
        <w:t>1.基金资产净值是指基金资产总值减去基金负债后的价值。</w:t>
      </w:r>
      <w:r>
        <w:rPr>
          <w:rFonts w:hint="eastAsia"/>
          <w:bCs/>
          <w:sz w:val="24"/>
        </w:rPr>
        <w:t>各类基金份额的</w:t>
      </w:r>
      <w:r>
        <w:rPr>
          <w:rFonts w:hint="eastAsia" w:ascii="宋体" w:hAnsi="宋体" w:cs="Arial"/>
          <w:sz w:val="24"/>
        </w:rPr>
        <w:t>基金份额净值是按照每个估值日闭市后，</w:t>
      </w:r>
      <w:r>
        <w:rPr>
          <w:rFonts w:hint="eastAsia"/>
          <w:bCs/>
          <w:sz w:val="24"/>
        </w:rPr>
        <w:t>A类或C类</w:t>
      </w:r>
      <w:r>
        <w:rPr>
          <w:bCs/>
          <w:sz w:val="24"/>
        </w:rPr>
        <w:t>基金份额</w:t>
      </w:r>
      <w:r>
        <w:rPr>
          <w:rFonts w:hint="eastAsia"/>
          <w:bCs/>
          <w:sz w:val="24"/>
        </w:rPr>
        <w:t>的</w:t>
      </w:r>
      <w:r>
        <w:rPr>
          <w:rFonts w:hint="eastAsia" w:ascii="宋体" w:hAnsi="宋体" w:cs="Arial"/>
          <w:sz w:val="24"/>
        </w:rPr>
        <w:t>基金资产净值除以当日</w:t>
      </w:r>
      <w:r>
        <w:rPr>
          <w:rFonts w:hint="eastAsia"/>
          <w:bCs/>
          <w:sz w:val="24"/>
        </w:rPr>
        <w:t>A类或C类</w:t>
      </w:r>
      <w:r>
        <w:rPr>
          <w:rFonts w:hint="eastAsia" w:ascii="宋体" w:hAnsi="宋体" w:cs="Arial"/>
          <w:sz w:val="24"/>
        </w:rPr>
        <w:t>基金份额的余额数量计算，</w:t>
      </w:r>
      <w:r>
        <w:rPr>
          <w:rFonts w:hint="eastAsia"/>
          <w:bCs/>
          <w:sz w:val="24"/>
        </w:rPr>
        <w:t>各类基金份额的基金份额净值</w:t>
      </w:r>
      <w:r>
        <w:rPr>
          <w:rFonts w:hint="eastAsia" w:ascii="宋体" w:hAnsi="宋体" w:cs="Arial"/>
          <w:sz w:val="24"/>
        </w:rPr>
        <w:t>均精确到0.0001元，小数点后第5位四舍五入，由此产生的</w:t>
      </w:r>
      <w:r>
        <w:rPr>
          <w:rFonts w:hint="eastAsia"/>
          <w:bCs/>
          <w:sz w:val="24"/>
        </w:rPr>
        <w:t>误差计入基金财产</w:t>
      </w:r>
      <w:r>
        <w:rPr>
          <w:rFonts w:hint="eastAsia" w:ascii="宋体" w:hAnsi="宋体" w:cs="Arial"/>
          <w:sz w:val="24"/>
        </w:rPr>
        <w:t>。基金管理人可以设立大额赎回情形下的净值精度应急调整机制。国家另有规定的，从其规定。</w:t>
      </w:r>
    </w:p>
    <w:p w14:paraId="73FC1C0E">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基金管理人每个</w:t>
      </w:r>
      <w:r>
        <w:rPr>
          <w:rFonts w:hint="eastAsia"/>
          <w:bCs/>
          <w:sz w:val="24"/>
        </w:rPr>
        <w:t>估值</w:t>
      </w:r>
      <w:r>
        <w:rPr>
          <w:rFonts w:hint="eastAsia" w:ascii="宋体" w:hAnsi="宋体" w:cs="Arial"/>
          <w:sz w:val="24"/>
        </w:rPr>
        <w:t>日计算基金资产净值及各类基金份额的基金份额净值，并按规定公告。</w:t>
      </w:r>
    </w:p>
    <w:p w14:paraId="29CD3FAC">
      <w:pPr>
        <w:adjustRightInd w:val="0"/>
        <w:snapToGrid w:val="0"/>
        <w:spacing w:line="360" w:lineRule="auto"/>
        <w:ind w:firstLine="480" w:firstLineChars="200"/>
        <w:rPr>
          <w:rFonts w:ascii="宋体" w:hAnsi="宋体" w:cs="Arial"/>
          <w:sz w:val="24"/>
        </w:rPr>
      </w:pPr>
      <w:r>
        <w:rPr>
          <w:rFonts w:hint="eastAsia" w:ascii="宋体" w:hAnsi="宋体" w:cs="Arial"/>
          <w:sz w:val="24"/>
        </w:rPr>
        <w:t>2.基金管理人应每个估值日对基金资产估值，但基金管理人根据法律法规或基金合同的规定暂停估值时除外。基金管理人每个估值日对基金资产估值后，将各类基金份额的基金份额净值结果发送基金托管人，经基金托管人复核无误后，由基金管理人</w:t>
      </w:r>
      <w:r>
        <w:rPr>
          <w:rFonts w:hint="eastAsia"/>
          <w:bCs/>
          <w:sz w:val="24"/>
        </w:rPr>
        <w:t>依据基金合同和相关法律法规的规定</w:t>
      </w:r>
      <w:r>
        <w:rPr>
          <w:rFonts w:hint="eastAsia" w:ascii="宋体" w:hAnsi="宋体" w:cs="Arial"/>
          <w:sz w:val="24"/>
        </w:rPr>
        <w:t>对外公布。</w:t>
      </w:r>
    </w:p>
    <w:p w14:paraId="42106341">
      <w:pPr>
        <w:spacing w:line="360" w:lineRule="auto"/>
        <w:ind w:firstLine="480" w:firstLineChars="200"/>
        <w:rPr>
          <w:rFonts w:ascii="宋体" w:hAnsi="宋体" w:cs="Arial"/>
          <w:sz w:val="24"/>
        </w:rPr>
      </w:pPr>
      <w:r>
        <w:rPr>
          <w:rFonts w:hint="eastAsia" w:ascii="宋体" w:hAnsi="宋体" w:cs="Arial"/>
          <w:sz w:val="24"/>
        </w:rPr>
        <w:t>（二）基金资产估值方法</w:t>
      </w:r>
    </w:p>
    <w:p w14:paraId="09BC902E">
      <w:pPr>
        <w:adjustRightInd w:val="0"/>
        <w:snapToGrid w:val="0"/>
        <w:spacing w:line="360" w:lineRule="auto"/>
        <w:ind w:firstLine="480" w:firstLineChars="200"/>
        <w:rPr>
          <w:rFonts w:ascii="宋体" w:hAnsi="宋体" w:cs="Arial"/>
          <w:sz w:val="24"/>
        </w:rPr>
      </w:pPr>
      <w:r>
        <w:rPr>
          <w:rFonts w:hint="eastAsia" w:ascii="宋体" w:hAnsi="宋体" w:cs="Arial"/>
          <w:sz w:val="24"/>
        </w:rPr>
        <w:t>1.估值对象</w:t>
      </w:r>
    </w:p>
    <w:p w14:paraId="21F3E6D7">
      <w:pPr>
        <w:adjustRightInd w:val="0"/>
        <w:snapToGrid w:val="0"/>
        <w:spacing w:line="360" w:lineRule="auto"/>
        <w:ind w:firstLine="480" w:firstLineChars="200"/>
        <w:rPr>
          <w:rFonts w:ascii="宋体" w:hAnsi="宋体" w:cs="Arial"/>
          <w:sz w:val="24"/>
        </w:rPr>
      </w:pPr>
      <w:r>
        <w:rPr>
          <w:rFonts w:hint="eastAsia" w:ascii="宋体" w:hAnsi="宋体" w:cs="Arial"/>
          <w:sz w:val="24"/>
        </w:rPr>
        <w:t>基金所拥有的股票、债券和银行存款本息、应收款项、期货合约、其它投资等资产及负债。</w:t>
      </w:r>
    </w:p>
    <w:p w14:paraId="24EB8D70">
      <w:pPr>
        <w:adjustRightInd w:val="0"/>
        <w:snapToGrid w:val="0"/>
        <w:spacing w:line="360" w:lineRule="auto"/>
        <w:ind w:firstLine="480" w:firstLineChars="200"/>
        <w:rPr>
          <w:rFonts w:ascii="宋体" w:hAnsi="宋体" w:cs="Arial"/>
          <w:sz w:val="24"/>
        </w:rPr>
      </w:pPr>
      <w:r>
        <w:rPr>
          <w:rFonts w:hint="eastAsia" w:ascii="宋体" w:hAnsi="宋体" w:cs="Arial"/>
          <w:sz w:val="24"/>
        </w:rPr>
        <w:t>2.估值方法</w:t>
      </w:r>
    </w:p>
    <w:p w14:paraId="7B9DD887">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基金管理人与基金托管人应按照《基金合同》约定的估值方法进行估值。</w:t>
      </w:r>
    </w:p>
    <w:p w14:paraId="7188A0E3">
      <w:pPr>
        <w:adjustRightInd w:val="0"/>
        <w:snapToGrid w:val="0"/>
        <w:spacing w:line="360" w:lineRule="auto"/>
        <w:ind w:firstLine="480" w:firstLineChars="200"/>
        <w:rPr>
          <w:rStyle w:val="35"/>
          <w:rFonts w:ascii="宋体" w:hAnsi="宋体"/>
          <w:sz w:val="24"/>
        </w:rPr>
      </w:pPr>
      <w:r>
        <w:rPr>
          <w:rStyle w:val="35"/>
          <w:rFonts w:hint="eastAsia" w:ascii="宋体" w:hAnsi="宋体"/>
          <w:sz w:val="24"/>
        </w:rPr>
        <w:t>（三）估值错误</w:t>
      </w:r>
      <w:r>
        <w:rPr>
          <w:rFonts w:hint="eastAsia" w:ascii="宋体" w:hAnsi="宋体" w:cs="Arial"/>
          <w:sz w:val="24"/>
        </w:rPr>
        <w:t>和特殊情形的处理</w:t>
      </w:r>
    </w:p>
    <w:p w14:paraId="21910965">
      <w:pPr>
        <w:adjustRightInd w:val="0"/>
        <w:snapToGrid w:val="0"/>
        <w:spacing w:line="360" w:lineRule="auto"/>
        <w:ind w:firstLine="480" w:firstLineChars="200"/>
        <w:rPr>
          <w:rFonts w:ascii="宋体" w:hAnsi="宋体" w:cs="Arial"/>
          <w:sz w:val="24"/>
        </w:rPr>
      </w:pPr>
      <w:r>
        <w:rPr>
          <w:rStyle w:val="35"/>
          <w:rFonts w:hint="eastAsia" w:ascii="宋体" w:hAnsi="宋体"/>
          <w:sz w:val="24"/>
        </w:rPr>
        <w:t>基金管理人与基金托管人应当按照《基金合同》的约定处理估值错误和特殊情</w:t>
      </w:r>
      <w:r>
        <w:rPr>
          <w:rFonts w:hint="eastAsia" w:ascii="宋体" w:hAnsi="宋体" w:cs="Arial"/>
          <w:sz w:val="24"/>
        </w:rPr>
        <w:t>形</w:t>
      </w:r>
      <w:r>
        <w:rPr>
          <w:rStyle w:val="35"/>
          <w:rFonts w:hint="eastAsia" w:ascii="宋体" w:hAnsi="宋体"/>
          <w:sz w:val="24"/>
        </w:rPr>
        <w:t>。</w:t>
      </w:r>
    </w:p>
    <w:p w14:paraId="542234F1">
      <w:pPr>
        <w:adjustRightInd w:val="0"/>
        <w:snapToGrid w:val="0"/>
        <w:spacing w:line="360" w:lineRule="auto"/>
        <w:ind w:firstLine="480" w:firstLineChars="200"/>
        <w:rPr>
          <w:rFonts w:ascii="宋体" w:hAnsi="宋体" w:cs="Arial"/>
          <w:sz w:val="24"/>
        </w:rPr>
      </w:pPr>
      <w:r>
        <w:rPr>
          <w:rFonts w:hint="eastAsia" w:ascii="宋体" w:hAnsi="宋体" w:cs="Arial"/>
          <w:sz w:val="24"/>
        </w:rPr>
        <w:t>（四）暂停估值的情形</w:t>
      </w:r>
    </w:p>
    <w:p w14:paraId="3F55E5CE">
      <w:pPr>
        <w:adjustRightInd w:val="0"/>
        <w:snapToGrid w:val="0"/>
        <w:spacing w:line="360" w:lineRule="auto"/>
        <w:ind w:firstLine="480" w:firstLineChars="200"/>
        <w:rPr>
          <w:rFonts w:ascii="宋体" w:hAnsi="宋体" w:cs="Arial"/>
          <w:sz w:val="24"/>
        </w:rPr>
      </w:pPr>
      <w:r>
        <w:rPr>
          <w:rFonts w:hint="eastAsia" w:ascii="宋体" w:hAnsi="宋体" w:cs="Arial"/>
          <w:sz w:val="24"/>
        </w:rPr>
        <w:t>1.基金投资所涉及的证券/期货交易市场或外汇市场遇法定节假日或因其他原因暂停营业时；</w:t>
      </w:r>
    </w:p>
    <w:p w14:paraId="5D5DEB06">
      <w:pPr>
        <w:adjustRightInd w:val="0"/>
        <w:snapToGrid w:val="0"/>
        <w:spacing w:line="360" w:lineRule="auto"/>
        <w:ind w:firstLine="480" w:firstLineChars="200"/>
        <w:rPr>
          <w:rFonts w:ascii="宋体" w:hAnsi="宋体" w:cs="Arial"/>
          <w:sz w:val="24"/>
        </w:rPr>
      </w:pPr>
      <w:r>
        <w:rPr>
          <w:rFonts w:hint="eastAsia" w:ascii="宋体" w:hAnsi="宋体" w:cs="Arial"/>
          <w:sz w:val="24"/>
        </w:rPr>
        <w:t>2.因不可抗力致使基金管理人、基金托管人无法准确评估基金资产价值时；</w:t>
      </w:r>
    </w:p>
    <w:p w14:paraId="770E2130">
      <w:pPr>
        <w:adjustRightInd w:val="0"/>
        <w:snapToGrid w:val="0"/>
        <w:spacing w:line="360" w:lineRule="auto"/>
        <w:ind w:firstLine="480" w:firstLineChars="200"/>
        <w:rPr>
          <w:rFonts w:ascii="宋体" w:hAnsi="宋体" w:cs="Arial"/>
          <w:sz w:val="24"/>
        </w:rPr>
      </w:pPr>
      <w:r>
        <w:rPr>
          <w:rFonts w:hint="eastAsia" w:ascii="宋体" w:hAnsi="宋体" w:cs="Arial"/>
          <w:sz w:val="24"/>
        </w:rPr>
        <w:t>3.当特定资产占前一估值日基金资产净值50%以上的，经与基金托管人协商确认后，基金管理人应当暂停估值；</w:t>
      </w:r>
    </w:p>
    <w:p w14:paraId="741C30BC">
      <w:pPr>
        <w:adjustRightInd w:val="0"/>
        <w:snapToGrid w:val="0"/>
        <w:spacing w:line="360" w:lineRule="auto"/>
        <w:ind w:firstLine="480" w:firstLineChars="200"/>
        <w:rPr>
          <w:rFonts w:ascii="宋体" w:hAnsi="宋体" w:cs="Arial"/>
          <w:sz w:val="24"/>
        </w:rPr>
      </w:pPr>
      <w:r>
        <w:rPr>
          <w:rFonts w:hint="eastAsia" w:ascii="宋体" w:hAnsi="宋体" w:cs="Arial"/>
          <w:sz w:val="24"/>
        </w:rPr>
        <w:t>4.中国证监会和基金合同认定的其他情形。</w:t>
      </w:r>
    </w:p>
    <w:p w14:paraId="788697B3">
      <w:pPr>
        <w:adjustRightInd w:val="0"/>
        <w:snapToGrid w:val="0"/>
        <w:spacing w:line="360" w:lineRule="auto"/>
        <w:ind w:firstLine="480" w:firstLineChars="200"/>
        <w:rPr>
          <w:rFonts w:ascii="宋体" w:hAnsi="宋体" w:cs="Arial"/>
          <w:sz w:val="24"/>
        </w:rPr>
      </w:pPr>
      <w:r>
        <w:rPr>
          <w:rFonts w:hint="eastAsia" w:ascii="宋体" w:hAnsi="宋体" w:cs="Arial"/>
          <w:sz w:val="24"/>
        </w:rPr>
        <w:t>（五）基金净值的确认</w:t>
      </w:r>
    </w:p>
    <w:p w14:paraId="5E76B486">
      <w:pPr>
        <w:adjustRightInd w:val="0"/>
        <w:snapToGrid w:val="0"/>
        <w:spacing w:line="360" w:lineRule="auto"/>
        <w:ind w:firstLine="480" w:firstLineChars="200"/>
        <w:rPr>
          <w:rFonts w:ascii="宋体" w:hAnsi="宋体" w:cs="Arial"/>
          <w:sz w:val="24"/>
        </w:rPr>
      </w:pPr>
      <w:r>
        <w:rPr>
          <w:rFonts w:hint="eastAsia" w:ascii="宋体" w:hAnsi="宋体" w:cs="Arial"/>
          <w:sz w:val="24"/>
        </w:rPr>
        <w:t>基金净值信息由基金管理人负责计算，基金托管人负责进行复核。基金管理人应于每个估值日交易结束后计算当日的基金净值信息并发送给基金托管人。基金托管人对净值计算结果复核确认后发送给基金管理人，由基金管理人</w:t>
      </w:r>
      <w:r>
        <w:rPr>
          <w:rFonts w:hint="eastAsia"/>
          <w:bCs/>
          <w:sz w:val="24"/>
        </w:rPr>
        <w:t>依据基金合同和相关法律法规的规定</w:t>
      </w:r>
      <w:r>
        <w:rPr>
          <w:rFonts w:hint="eastAsia" w:ascii="宋体" w:hAnsi="宋体" w:cs="Arial"/>
          <w:sz w:val="24"/>
        </w:rPr>
        <w:t>对基金净值信息予以公布。</w:t>
      </w:r>
    </w:p>
    <w:p w14:paraId="0AF85452">
      <w:pPr>
        <w:adjustRightInd w:val="0"/>
        <w:snapToGrid w:val="0"/>
        <w:spacing w:line="360" w:lineRule="auto"/>
        <w:ind w:firstLine="480" w:firstLineChars="200"/>
        <w:rPr>
          <w:rFonts w:ascii="宋体" w:hAnsi="宋体" w:cs="Arial"/>
          <w:sz w:val="24"/>
        </w:rPr>
      </w:pPr>
      <w:r>
        <w:rPr>
          <w:rFonts w:hint="eastAsia" w:ascii="宋体" w:hAnsi="宋体" w:cs="Arial"/>
          <w:sz w:val="24"/>
        </w:rPr>
        <w:t>（六）实施侧袋机制期间的基金资产估值</w:t>
      </w:r>
    </w:p>
    <w:p w14:paraId="73C786E2">
      <w:pPr>
        <w:adjustRightInd w:val="0"/>
        <w:snapToGrid w:val="0"/>
        <w:spacing w:line="360" w:lineRule="auto"/>
        <w:ind w:firstLine="480" w:firstLineChars="200"/>
        <w:rPr>
          <w:rFonts w:ascii="宋体" w:hAnsi="宋体" w:cs="Arial"/>
          <w:sz w:val="24"/>
        </w:rPr>
      </w:pPr>
      <w:r>
        <w:rPr>
          <w:rFonts w:hint="eastAsia"/>
          <w:bCs/>
          <w:sz w:val="24"/>
        </w:rPr>
        <w:t>本基金实施侧袋机制的，应根据本部分的约定对主袋账户资产进行估值并披露主袋账户的基金净值信息，暂停披露侧袋账户份额净值</w:t>
      </w:r>
      <w:r>
        <w:rPr>
          <w:bCs/>
          <w:sz w:val="24"/>
        </w:rPr>
        <w:t>。</w:t>
      </w:r>
    </w:p>
    <w:p w14:paraId="488E75AD">
      <w:pPr>
        <w:adjustRightInd w:val="0"/>
        <w:snapToGrid w:val="0"/>
        <w:spacing w:line="360" w:lineRule="auto"/>
        <w:ind w:firstLine="480" w:firstLineChars="200"/>
        <w:rPr>
          <w:rFonts w:ascii="宋体" w:hAnsi="宋体" w:cs="Arial"/>
          <w:sz w:val="24"/>
        </w:rPr>
      </w:pPr>
      <w:r>
        <w:rPr>
          <w:rFonts w:hint="eastAsia" w:ascii="宋体" w:hAnsi="宋体" w:cs="Arial"/>
          <w:sz w:val="24"/>
        </w:rPr>
        <w:t>（七）基金会计制度</w:t>
      </w:r>
    </w:p>
    <w:p w14:paraId="1C454524">
      <w:pPr>
        <w:adjustRightInd w:val="0"/>
        <w:snapToGrid w:val="0"/>
        <w:spacing w:line="360" w:lineRule="auto"/>
        <w:ind w:firstLine="480" w:firstLineChars="200"/>
        <w:rPr>
          <w:rFonts w:ascii="宋体" w:hAnsi="宋体" w:cs="Arial"/>
          <w:sz w:val="24"/>
        </w:rPr>
      </w:pPr>
      <w:r>
        <w:rPr>
          <w:rFonts w:hint="eastAsia" w:ascii="宋体" w:hAnsi="宋体" w:cs="Arial"/>
          <w:sz w:val="24"/>
        </w:rPr>
        <w:t>按国家有关部门规定的会计制度执行。</w:t>
      </w:r>
    </w:p>
    <w:p w14:paraId="287A4102">
      <w:pPr>
        <w:adjustRightInd w:val="0"/>
        <w:snapToGrid w:val="0"/>
        <w:spacing w:line="360" w:lineRule="auto"/>
        <w:ind w:firstLine="480" w:firstLineChars="200"/>
        <w:rPr>
          <w:rFonts w:ascii="宋体" w:hAnsi="宋体" w:cs="Arial"/>
          <w:sz w:val="24"/>
        </w:rPr>
      </w:pPr>
      <w:r>
        <w:rPr>
          <w:rFonts w:hint="eastAsia" w:ascii="宋体" w:hAnsi="宋体" w:cs="Arial"/>
          <w:sz w:val="24"/>
        </w:rPr>
        <w:t>（八）基金账册的建立</w:t>
      </w:r>
    </w:p>
    <w:p w14:paraId="751CB5C7">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进行基金会计核算并编制基金财务会计报告。基金管理人和基金托管人均应独立地设置、记录和保管本基金的全套账册。若基金管理人和基金托管人对会计处理方法存在分歧，应以基金管理人的处理方法为准，但基金托管人有权向监管机构报告。若当日核对不符，暂时无法查找到错账的原因而影响到基金净值信息的计算和公告的，以基金管理人的账册为准。</w:t>
      </w:r>
    </w:p>
    <w:p w14:paraId="69767B24">
      <w:pPr>
        <w:adjustRightInd w:val="0"/>
        <w:snapToGrid w:val="0"/>
        <w:spacing w:line="360" w:lineRule="auto"/>
        <w:ind w:firstLine="480" w:firstLineChars="200"/>
        <w:rPr>
          <w:rFonts w:ascii="宋体" w:hAnsi="宋体" w:cs="Arial"/>
          <w:sz w:val="24"/>
        </w:rPr>
      </w:pPr>
      <w:r>
        <w:rPr>
          <w:rFonts w:hint="eastAsia" w:ascii="宋体" w:hAnsi="宋体" w:cs="Arial"/>
          <w:sz w:val="24"/>
        </w:rPr>
        <w:t>（九）基金财务报表与报告的编制和复核</w:t>
      </w:r>
    </w:p>
    <w:p w14:paraId="015F0AFE">
      <w:pPr>
        <w:adjustRightInd w:val="0"/>
        <w:snapToGrid w:val="0"/>
        <w:spacing w:line="360" w:lineRule="auto"/>
        <w:ind w:firstLine="480" w:firstLineChars="200"/>
        <w:rPr>
          <w:rFonts w:ascii="宋体" w:hAnsi="宋体" w:cs="Arial"/>
          <w:sz w:val="24"/>
        </w:rPr>
      </w:pPr>
      <w:r>
        <w:rPr>
          <w:rFonts w:hint="eastAsia" w:ascii="宋体" w:hAnsi="宋体" w:cs="Arial"/>
          <w:sz w:val="24"/>
        </w:rPr>
        <w:t>1.财务报表的编制</w:t>
      </w:r>
    </w:p>
    <w:p w14:paraId="36356FDE">
      <w:pPr>
        <w:adjustRightInd w:val="0"/>
        <w:snapToGrid w:val="0"/>
        <w:spacing w:line="360" w:lineRule="auto"/>
        <w:ind w:firstLine="480" w:firstLineChars="200"/>
        <w:rPr>
          <w:rFonts w:ascii="宋体" w:hAnsi="宋体" w:cs="Arial"/>
          <w:sz w:val="24"/>
        </w:rPr>
      </w:pPr>
      <w:r>
        <w:rPr>
          <w:rFonts w:hint="eastAsia" w:ascii="宋体" w:hAnsi="宋体" w:cs="Arial"/>
          <w:sz w:val="24"/>
        </w:rPr>
        <w:t>基金财务报表由基金管理人编制，基金托管人复核。</w:t>
      </w:r>
    </w:p>
    <w:p w14:paraId="3B1156F7">
      <w:pPr>
        <w:adjustRightInd w:val="0"/>
        <w:snapToGrid w:val="0"/>
        <w:spacing w:line="360" w:lineRule="auto"/>
        <w:ind w:firstLine="480" w:firstLineChars="200"/>
        <w:rPr>
          <w:rFonts w:ascii="宋体" w:hAnsi="宋体" w:cs="Arial"/>
          <w:sz w:val="24"/>
        </w:rPr>
      </w:pPr>
      <w:r>
        <w:rPr>
          <w:rFonts w:hint="eastAsia" w:ascii="宋体" w:hAnsi="宋体" w:cs="Arial"/>
          <w:sz w:val="24"/>
        </w:rPr>
        <w:t>2.报表复核</w:t>
      </w:r>
    </w:p>
    <w:p w14:paraId="23421354">
      <w:pPr>
        <w:adjustRightInd w:val="0"/>
        <w:snapToGrid w:val="0"/>
        <w:spacing w:line="360" w:lineRule="auto"/>
        <w:ind w:firstLine="480" w:firstLineChars="200"/>
        <w:rPr>
          <w:rFonts w:ascii="宋体" w:hAnsi="宋体" w:cs="Arial"/>
          <w:sz w:val="24"/>
        </w:rPr>
      </w:pPr>
      <w:r>
        <w:rPr>
          <w:rFonts w:hint="eastAsia" w:ascii="宋体" w:hAnsi="宋体" w:cs="Arial"/>
          <w:sz w:val="24"/>
        </w:rPr>
        <w:t>基金托管人在收到基金管理人编制的基金财务报表后，进行独立的复核。核对不符时，应及时通知基金管理人共同查出原因，进行调整，直至双方数据完全一致。</w:t>
      </w:r>
    </w:p>
    <w:p w14:paraId="38EC4FF0">
      <w:pPr>
        <w:adjustRightInd w:val="0"/>
        <w:snapToGrid w:val="0"/>
        <w:spacing w:line="360" w:lineRule="auto"/>
        <w:ind w:firstLine="480" w:firstLineChars="200"/>
        <w:rPr>
          <w:rFonts w:ascii="宋体" w:hAnsi="宋体" w:cs="Arial"/>
          <w:sz w:val="24"/>
        </w:rPr>
      </w:pPr>
      <w:r>
        <w:rPr>
          <w:rFonts w:hint="eastAsia" w:ascii="宋体" w:hAnsi="宋体" w:cs="Arial"/>
          <w:sz w:val="24"/>
        </w:rPr>
        <w:t>3.财务报表的编制与复核时间安排</w:t>
      </w:r>
    </w:p>
    <w:p w14:paraId="5CC37C88">
      <w:pPr>
        <w:adjustRightInd w:val="0"/>
        <w:snapToGrid w:val="0"/>
        <w:spacing w:line="360" w:lineRule="auto"/>
        <w:ind w:firstLine="480" w:firstLineChars="200"/>
        <w:rPr>
          <w:rFonts w:ascii="宋体" w:hAnsi="宋体" w:cs="Arial"/>
          <w:sz w:val="24"/>
        </w:rPr>
      </w:pPr>
      <w:r>
        <w:rPr>
          <w:rFonts w:hint="eastAsia" w:ascii="宋体" w:hAnsi="宋体" w:cs="Arial"/>
          <w:sz w:val="24"/>
        </w:rPr>
        <w:t>(1)报表的编制</w:t>
      </w:r>
    </w:p>
    <w:p w14:paraId="528D5F26">
      <w:pPr>
        <w:adjustRightInd w:val="0"/>
        <w:snapToGrid w:val="0"/>
        <w:spacing w:line="360" w:lineRule="auto"/>
        <w:ind w:firstLine="480" w:firstLineChars="200"/>
        <w:rPr>
          <w:rFonts w:ascii="宋体" w:hAnsi="宋体" w:cs="Arial"/>
          <w:sz w:val="24"/>
        </w:rPr>
      </w:pPr>
      <w:r>
        <w:rPr>
          <w:rFonts w:hint="eastAsia" w:ascii="宋体" w:hAnsi="宋体" w:cs="Arial"/>
          <w:sz w:val="24"/>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1488044E">
      <w:pPr>
        <w:pStyle w:val="6"/>
        <w:adjustRightInd w:val="0"/>
        <w:snapToGrid w:val="0"/>
        <w:spacing w:line="360" w:lineRule="auto"/>
        <w:ind w:firstLine="480"/>
        <w:rPr>
          <w:rFonts w:ascii="宋体" w:hAnsi="宋体" w:cs="Arial"/>
          <w:sz w:val="24"/>
        </w:rPr>
      </w:pPr>
      <w:r>
        <w:rPr>
          <w:rFonts w:hint="eastAsia" w:ascii="宋体" w:hAnsi="宋体" w:cs="Arial"/>
          <w:sz w:val="24"/>
        </w:rPr>
        <w:t>(2)报表的复核</w:t>
      </w:r>
    </w:p>
    <w:p w14:paraId="4119F376">
      <w:pPr>
        <w:pStyle w:val="6"/>
        <w:adjustRightInd w:val="0"/>
        <w:snapToGrid w:val="0"/>
        <w:spacing w:line="360" w:lineRule="auto"/>
        <w:ind w:firstLine="480"/>
        <w:rPr>
          <w:rFonts w:ascii="宋体" w:hAnsi="宋体" w:cs="Arial"/>
          <w:sz w:val="24"/>
        </w:rPr>
      </w:pPr>
      <w:r>
        <w:rPr>
          <w:rFonts w:hint="eastAsia" w:ascii="宋体" w:hAnsi="宋体"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B9DC884">
      <w:pPr>
        <w:pStyle w:val="6"/>
        <w:adjustRightInd w:val="0"/>
        <w:snapToGrid w:val="0"/>
        <w:spacing w:line="360" w:lineRule="auto"/>
        <w:ind w:firstLine="480"/>
        <w:rPr>
          <w:rFonts w:ascii="宋体" w:hAnsi="宋体" w:cs="Arial"/>
          <w:sz w:val="24"/>
        </w:rPr>
      </w:pPr>
      <w:r>
        <w:rPr>
          <w:rFonts w:hint="eastAsia" w:ascii="宋体" w:hAnsi="宋体" w:cs="Arial"/>
          <w:sz w:val="24"/>
        </w:rPr>
        <w:t>基金管理人应留足充分的时间，便于基金托管人复核相关报表及报告。</w:t>
      </w:r>
    </w:p>
    <w:p w14:paraId="0F2230D8">
      <w:pPr>
        <w:pStyle w:val="6"/>
        <w:adjustRightInd w:val="0"/>
        <w:snapToGrid w:val="0"/>
        <w:spacing w:line="360" w:lineRule="auto"/>
        <w:ind w:firstLine="480"/>
        <w:rPr>
          <w:rFonts w:ascii="宋体" w:hAnsi="宋体" w:cs="Arial"/>
          <w:sz w:val="24"/>
        </w:rPr>
      </w:pPr>
      <w:r>
        <w:rPr>
          <w:rFonts w:hint="eastAsia" w:ascii="宋体" w:hAnsi="宋体" w:cs="Arial"/>
          <w:sz w:val="24"/>
        </w:rPr>
        <w:t>（十）基金管理人应在编制季度报告、中期报告或者年度报告之前及时向基金托管人提供基金业绩比较基准的基础数据和编制结果。</w:t>
      </w:r>
    </w:p>
    <w:p w14:paraId="2DB88D7C">
      <w:pPr>
        <w:widowControl/>
        <w:spacing w:line="360" w:lineRule="auto"/>
        <w:ind w:firstLine="480" w:firstLineChars="200"/>
        <w:rPr>
          <w:rFonts w:cs="Arial"/>
          <w:kern w:val="0"/>
          <w:sz w:val="24"/>
          <w:szCs w:val="24"/>
          <w:lang w:val="en-GB"/>
        </w:rPr>
      </w:pPr>
      <w:r>
        <w:rPr>
          <w:rFonts w:hint="eastAsia" w:cs="Arial"/>
          <w:kern w:val="0"/>
          <w:sz w:val="24"/>
          <w:szCs w:val="24"/>
          <w:lang w:val="en-GB"/>
        </w:rPr>
        <w:t>六、基金份额持有人名册的保管</w:t>
      </w:r>
    </w:p>
    <w:p w14:paraId="1C189EAC">
      <w:pPr>
        <w:adjustRightInd w:val="0"/>
        <w:snapToGrid w:val="0"/>
        <w:spacing w:line="360" w:lineRule="auto"/>
        <w:ind w:firstLine="480" w:firstLineChars="200"/>
        <w:rPr>
          <w:rFonts w:ascii="宋体" w:hAnsi="宋体" w:cs="Arial"/>
          <w:sz w:val="24"/>
        </w:rPr>
      </w:pPr>
      <w:r>
        <w:rPr>
          <w:rFonts w:hint="eastAsia" w:ascii="宋体" w:hAnsi="宋体" w:cs="Arial"/>
          <w:sz w:val="24"/>
        </w:rPr>
        <w:t>基金份额持有人名册至少应包括基金份额持有人的名称和持有的基金份额。基金份额持有人名册由基金登记机构</w:t>
      </w:r>
      <w:r>
        <w:rPr>
          <w:rFonts w:ascii="宋体" w:hAnsi="宋体" w:cs="Arial"/>
          <w:sz w:val="24"/>
        </w:rPr>
        <w:t>根据基金管理人的指令</w:t>
      </w:r>
      <w:r>
        <w:rPr>
          <w:rFonts w:hint="eastAsia" w:ascii="宋体" w:hAnsi="宋体" w:cs="Arial"/>
          <w:sz w:val="24"/>
        </w:rPr>
        <w:t>编制和保管，基金管理人和基金托管人应分别保管基金份额持有人名册，保存期限不少于法律法规规定的最低期限。如不能妥善保管，则按相关法规承担责任。</w:t>
      </w:r>
    </w:p>
    <w:p w14:paraId="778BF10A">
      <w:pPr>
        <w:adjustRightInd w:val="0"/>
        <w:snapToGrid w:val="0"/>
        <w:spacing w:line="360" w:lineRule="auto"/>
        <w:ind w:firstLine="480" w:firstLineChars="200"/>
        <w:rPr>
          <w:rFonts w:ascii="宋体" w:hAnsi="宋体" w:cs="Arial"/>
          <w:sz w:val="24"/>
        </w:rPr>
      </w:pPr>
      <w:r>
        <w:rPr>
          <w:rFonts w:hint="eastAsia" w:ascii="宋体" w:hAnsi="宋体" w:cs="Arial"/>
          <w:sz w:val="24"/>
        </w:rPr>
        <w:t>在基金托管人根据《基金合同》、本托管协议要求或编制中期报告和年度报告前，基金管理人应将有关资料送交基金托管人，不得无故拒绝或延误提供，并保证其真实性、准确性和完整性。</w:t>
      </w:r>
      <w:r>
        <w:rPr>
          <w:rFonts w:hint="eastAsia" w:ascii="宋体" w:hAnsi="宋体"/>
          <w:kern w:val="0"/>
          <w:sz w:val="24"/>
        </w:rPr>
        <w:t>基金托管人不得将所保管的基金份额持有人名册用于基金托管业务以外的其他用途，并应遵守保密义务。</w:t>
      </w:r>
    </w:p>
    <w:p w14:paraId="4EAB148D">
      <w:pPr>
        <w:widowControl/>
        <w:spacing w:line="360" w:lineRule="auto"/>
        <w:ind w:firstLine="480" w:firstLineChars="200"/>
        <w:rPr>
          <w:rFonts w:cs="Arial"/>
          <w:kern w:val="0"/>
          <w:sz w:val="24"/>
          <w:szCs w:val="24"/>
          <w:lang w:val="en-GB"/>
        </w:rPr>
      </w:pPr>
      <w:bookmarkStart w:id="351" w:name="_Hlt112616834"/>
      <w:bookmarkEnd w:id="351"/>
      <w:r>
        <w:rPr>
          <w:rFonts w:hint="eastAsia" w:cs="Arial"/>
          <w:kern w:val="0"/>
          <w:sz w:val="24"/>
          <w:szCs w:val="24"/>
          <w:lang w:val="en-GB"/>
        </w:rPr>
        <w:t>七、托管协议的变更、终止与基金财产的清算</w:t>
      </w:r>
    </w:p>
    <w:p w14:paraId="1440523F">
      <w:pPr>
        <w:adjustRightInd w:val="0"/>
        <w:snapToGrid w:val="0"/>
        <w:spacing w:line="360" w:lineRule="auto"/>
        <w:ind w:firstLine="480" w:firstLineChars="200"/>
        <w:rPr>
          <w:rFonts w:ascii="宋体" w:hAnsi="宋体" w:cs="Arial"/>
          <w:sz w:val="24"/>
        </w:rPr>
      </w:pPr>
      <w:r>
        <w:rPr>
          <w:rFonts w:hint="eastAsia" w:ascii="宋体" w:hAnsi="宋体" w:cs="Arial"/>
          <w:sz w:val="24"/>
        </w:rPr>
        <w:t>（一）托管协议的变更程序</w:t>
      </w:r>
    </w:p>
    <w:p w14:paraId="029FF962">
      <w:pPr>
        <w:adjustRightInd w:val="0"/>
        <w:snapToGrid w:val="0"/>
        <w:spacing w:line="360" w:lineRule="auto"/>
        <w:ind w:firstLine="480" w:firstLineChars="200"/>
        <w:rPr>
          <w:rFonts w:ascii="宋体" w:hAnsi="宋体"/>
          <w:sz w:val="30"/>
          <w:szCs w:val="30"/>
        </w:rPr>
      </w:pPr>
      <w:r>
        <w:rPr>
          <w:rFonts w:hint="eastAsia" w:ascii="宋体" w:hAnsi="宋体" w:cs="Arial"/>
          <w:sz w:val="24"/>
        </w:rPr>
        <w:t>本托管协议双方当事人经协商一致并履行适当程序后，可以对协议进行修改。修改后的新协议，其内容不得与《基金合同》的规定有任何冲突。</w:t>
      </w:r>
    </w:p>
    <w:p w14:paraId="4E2EC472">
      <w:pPr>
        <w:adjustRightInd w:val="0"/>
        <w:snapToGrid w:val="0"/>
        <w:spacing w:line="360" w:lineRule="auto"/>
        <w:ind w:firstLine="480" w:firstLineChars="200"/>
        <w:rPr>
          <w:rFonts w:ascii="宋体" w:hAnsi="宋体" w:cs="Arial"/>
          <w:sz w:val="24"/>
        </w:rPr>
      </w:pPr>
      <w:r>
        <w:rPr>
          <w:rFonts w:hint="eastAsia" w:ascii="宋体" w:hAnsi="宋体" w:cs="Arial"/>
          <w:sz w:val="24"/>
        </w:rPr>
        <w:t>（二）基金托管协议终止出现的情形</w:t>
      </w:r>
    </w:p>
    <w:p w14:paraId="73332AD2">
      <w:pPr>
        <w:adjustRightInd w:val="0"/>
        <w:snapToGrid w:val="0"/>
        <w:spacing w:line="360" w:lineRule="auto"/>
        <w:ind w:firstLine="480" w:firstLineChars="200"/>
        <w:rPr>
          <w:rFonts w:ascii="宋体" w:hAnsi="宋体" w:cs="Arial"/>
          <w:sz w:val="24"/>
        </w:rPr>
      </w:pPr>
      <w:r>
        <w:rPr>
          <w:rFonts w:hint="eastAsia" w:ascii="宋体" w:hAnsi="宋体" w:cs="Arial"/>
          <w:sz w:val="24"/>
        </w:rPr>
        <w:t>1.《基金合同》终止；</w:t>
      </w:r>
    </w:p>
    <w:p w14:paraId="0CFEB03B">
      <w:pPr>
        <w:adjustRightInd w:val="0"/>
        <w:snapToGrid w:val="0"/>
        <w:spacing w:line="360" w:lineRule="auto"/>
        <w:ind w:firstLine="480" w:firstLineChars="200"/>
        <w:rPr>
          <w:rFonts w:ascii="宋体" w:hAnsi="宋体" w:cs="Arial"/>
          <w:sz w:val="24"/>
        </w:rPr>
      </w:pPr>
      <w:r>
        <w:rPr>
          <w:rFonts w:hint="eastAsia" w:ascii="宋体" w:hAnsi="宋体" w:cs="Arial"/>
          <w:sz w:val="24"/>
        </w:rPr>
        <w:t>2.基金托管人解散、依法被撤销、破产或由其他基金托管人接管基金托管业务；</w:t>
      </w:r>
    </w:p>
    <w:p w14:paraId="21BB7751">
      <w:pPr>
        <w:adjustRightInd w:val="0"/>
        <w:snapToGrid w:val="0"/>
        <w:spacing w:line="360" w:lineRule="auto"/>
        <w:ind w:firstLine="480" w:firstLineChars="200"/>
        <w:rPr>
          <w:rFonts w:ascii="宋体" w:hAnsi="宋体" w:cs="Arial"/>
          <w:sz w:val="24"/>
        </w:rPr>
      </w:pPr>
      <w:r>
        <w:rPr>
          <w:rFonts w:hint="eastAsia" w:ascii="宋体" w:hAnsi="宋体" w:cs="Arial"/>
          <w:sz w:val="24"/>
        </w:rPr>
        <w:t>3.基金管理人解散、依法被撤销、破产或由其他基金管理人接管基金管理业务；</w:t>
      </w:r>
    </w:p>
    <w:p w14:paraId="2FDD1486">
      <w:pPr>
        <w:adjustRightInd w:val="0"/>
        <w:snapToGrid w:val="0"/>
        <w:spacing w:line="360" w:lineRule="auto"/>
        <w:ind w:firstLine="480" w:firstLineChars="200"/>
        <w:rPr>
          <w:rFonts w:ascii="宋体" w:hAnsi="宋体" w:cs="Arial"/>
          <w:sz w:val="24"/>
        </w:rPr>
      </w:pPr>
      <w:r>
        <w:rPr>
          <w:rFonts w:hint="eastAsia" w:ascii="宋体" w:hAnsi="宋体" w:cs="Arial"/>
          <w:sz w:val="24"/>
        </w:rPr>
        <w:t>4.发生法律法规、中国证监会或《基金合同》规定的终止事项。</w:t>
      </w:r>
    </w:p>
    <w:p w14:paraId="4F693810">
      <w:pPr>
        <w:adjustRightInd w:val="0"/>
        <w:snapToGrid w:val="0"/>
        <w:spacing w:line="360" w:lineRule="auto"/>
        <w:ind w:firstLine="480" w:firstLineChars="200"/>
        <w:rPr>
          <w:rFonts w:ascii="宋体" w:hAnsi="宋体" w:cs="Arial"/>
          <w:sz w:val="24"/>
        </w:rPr>
      </w:pPr>
      <w:r>
        <w:rPr>
          <w:rFonts w:hint="eastAsia" w:ascii="宋体" w:hAnsi="宋体" w:cs="Arial"/>
          <w:sz w:val="24"/>
        </w:rPr>
        <w:t>（三）基金财产的清算</w:t>
      </w:r>
    </w:p>
    <w:p w14:paraId="1298A06C">
      <w:pPr>
        <w:adjustRightInd w:val="0"/>
        <w:snapToGrid w:val="0"/>
        <w:spacing w:line="360" w:lineRule="auto"/>
        <w:ind w:firstLine="480" w:firstLineChars="200"/>
        <w:rPr>
          <w:rFonts w:ascii="宋体" w:hAnsi="宋体" w:cs="Arial"/>
          <w:sz w:val="24"/>
        </w:rPr>
      </w:pPr>
      <w:r>
        <w:rPr>
          <w:rFonts w:hint="eastAsia" w:ascii="宋体" w:hAnsi="宋体" w:cs="Arial"/>
          <w:sz w:val="24"/>
        </w:rPr>
        <w:t>1.基金财产清算小组：自出现《基金合同》终止事由之日起30个工作日内</w:t>
      </w:r>
      <w:r>
        <w:rPr>
          <w:rFonts w:hint="eastAsia" w:ascii="宋体" w:hAnsi="宋体"/>
          <w:color w:val="000000"/>
          <w:sz w:val="24"/>
        </w:rPr>
        <w:t>由基金管理人发起清算并</w:t>
      </w:r>
      <w:r>
        <w:rPr>
          <w:rFonts w:hint="eastAsia" w:ascii="宋体" w:hAnsi="宋体" w:cs="Arial"/>
          <w:sz w:val="24"/>
        </w:rPr>
        <w:t>成立基金财产清算小组，基金管理人组织基金财产清算小组并在中国证监会的监督下进行基金清算。</w:t>
      </w:r>
    </w:p>
    <w:p w14:paraId="044F0436">
      <w:pPr>
        <w:adjustRightInd w:val="0"/>
        <w:snapToGrid w:val="0"/>
        <w:spacing w:line="360" w:lineRule="auto"/>
        <w:ind w:firstLine="480" w:firstLineChars="200"/>
        <w:rPr>
          <w:rFonts w:ascii="宋体" w:hAnsi="宋体" w:cs="Arial"/>
          <w:sz w:val="24"/>
        </w:rPr>
      </w:pPr>
      <w:r>
        <w:rPr>
          <w:rFonts w:hint="eastAsia" w:ascii="宋体" w:hAnsi="宋体" w:cs="Arial"/>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6614F33">
      <w:pPr>
        <w:adjustRightInd w:val="0"/>
        <w:snapToGrid w:val="0"/>
        <w:spacing w:line="360" w:lineRule="auto"/>
        <w:ind w:firstLine="480" w:firstLineChars="200"/>
        <w:rPr>
          <w:rFonts w:ascii="宋体" w:hAnsi="宋体" w:cs="Arial"/>
          <w:sz w:val="24"/>
        </w:rPr>
      </w:pPr>
      <w:r>
        <w:rPr>
          <w:rFonts w:hint="eastAsia" w:ascii="宋体" w:hAnsi="宋体" w:cs="Arial"/>
          <w:sz w:val="24"/>
        </w:rPr>
        <w:t>3.基金财产清算小组职责：基金财产清算小组负责基金财产的保管、清理、估价、变现和分配。基金财产清算小组可以依法进行必要的民事活动。</w:t>
      </w:r>
    </w:p>
    <w:p w14:paraId="3E285196">
      <w:pPr>
        <w:adjustRightInd w:val="0"/>
        <w:snapToGrid w:val="0"/>
        <w:spacing w:line="360" w:lineRule="auto"/>
        <w:ind w:firstLine="480" w:firstLineChars="200"/>
        <w:rPr>
          <w:rFonts w:ascii="宋体" w:hAnsi="宋体" w:cs="Arial"/>
          <w:sz w:val="24"/>
        </w:rPr>
      </w:pPr>
      <w:r>
        <w:rPr>
          <w:rFonts w:hint="eastAsia" w:ascii="宋体" w:hAnsi="宋体" w:cs="Arial"/>
          <w:sz w:val="24"/>
        </w:rPr>
        <w:t>4.基金财产清算程序：</w:t>
      </w:r>
    </w:p>
    <w:p w14:paraId="2BCEBD36">
      <w:pPr>
        <w:adjustRightInd w:val="0"/>
        <w:snapToGrid w:val="0"/>
        <w:spacing w:line="360" w:lineRule="auto"/>
        <w:ind w:firstLine="480" w:firstLineChars="200"/>
        <w:rPr>
          <w:rFonts w:ascii="宋体" w:hAnsi="宋体" w:cs="Arial"/>
          <w:sz w:val="24"/>
        </w:rPr>
      </w:pPr>
      <w:r>
        <w:rPr>
          <w:rFonts w:hint="eastAsia" w:ascii="宋体" w:hAnsi="宋体" w:cs="Arial"/>
          <w:sz w:val="24"/>
        </w:rPr>
        <w:t>（1）《基金合同》终止情形出现时，由基金财产清算小组统一接管基金；</w:t>
      </w:r>
    </w:p>
    <w:p w14:paraId="353D92AA">
      <w:pPr>
        <w:adjustRightInd w:val="0"/>
        <w:snapToGrid w:val="0"/>
        <w:spacing w:line="360" w:lineRule="auto"/>
        <w:ind w:firstLine="480" w:firstLineChars="200"/>
        <w:rPr>
          <w:rFonts w:ascii="宋体" w:hAnsi="宋体" w:cs="Arial"/>
          <w:sz w:val="24"/>
        </w:rPr>
      </w:pPr>
      <w:r>
        <w:rPr>
          <w:rFonts w:hint="eastAsia" w:ascii="宋体" w:hAnsi="宋体" w:cs="Arial"/>
          <w:sz w:val="24"/>
        </w:rPr>
        <w:t>（2）对基金财产和债权债务进行清理和确认；</w:t>
      </w:r>
    </w:p>
    <w:p w14:paraId="163059A1">
      <w:pPr>
        <w:adjustRightInd w:val="0"/>
        <w:snapToGrid w:val="0"/>
        <w:spacing w:line="360" w:lineRule="auto"/>
        <w:ind w:firstLine="480" w:firstLineChars="200"/>
        <w:rPr>
          <w:rFonts w:ascii="宋体" w:hAnsi="宋体" w:cs="Arial"/>
          <w:sz w:val="24"/>
        </w:rPr>
      </w:pPr>
      <w:r>
        <w:rPr>
          <w:rFonts w:hint="eastAsia" w:ascii="宋体" w:hAnsi="宋体" w:cs="Arial"/>
          <w:sz w:val="24"/>
        </w:rPr>
        <w:t>（3）对基金财产进行估值和变现；</w:t>
      </w:r>
    </w:p>
    <w:p w14:paraId="57EB2F1B">
      <w:pPr>
        <w:adjustRightInd w:val="0"/>
        <w:snapToGrid w:val="0"/>
        <w:spacing w:line="360" w:lineRule="auto"/>
        <w:ind w:firstLine="480" w:firstLineChars="200"/>
        <w:rPr>
          <w:rFonts w:ascii="宋体" w:hAnsi="宋体" w:cs="Arial"/>
          <w:sz w:val="24"/>
        </w:rPr>
      </w:pPr>
      <w:r>
        <w:rPr>
          <w:rFonts w:hint="eastAsia" w:ascii="宋体" w:hAnsi="宋体" w:cs="Arial"/>
          <w:sz w:val="24"/>
        </w:rPr>
        <w:t>（4）制作清算报告；</w:t>
      </w:r>
    </w:p>
    <w:p w14:paraId="747B12CB">
      <w:pPr>
        <w:adjustRightInd w:val="0"/>
        <w:snapToGrid w:val="0"/>
        <w:spacing w:line="360" w:lineRule="auto"/>
        <w:ind w:firstLine="480" w:firstLineChars="200"/>
        <w:rPr>
          <w:rFonts w:ascii="宋体" w:hAnsi="宋体" w:cs="Arial"/>
          <w:sz w:val="24"/>
        </w:rPr>
      </w:pPr>
      <w:r>
        <w:rPr>
          <w:rFonts w:hint="eastAsia" w:ascii="宋体" w:hAnsi="宋体" w:cs="Arial"/>
          <w:sz w:val="24"/>
        </w:rPr>
        <w:t>（5）聘请会计师事务所对清算报告进行外部审计，聘请律师事务所对清算报告出具法律意见书；</w:t>
      </w:r>
    </w:p>
    <w:p w14:paraId="308CFCD8">
      <w:pPr>
        <w:adjustRightInd w:val="0"/>
        <w:snapToGrid w:val="0"/>
        <w:spacing w:line="360" w:lineRule="auto"/>
        <w:ind w:firstLine="480" w:firstLineChars="200"/>
        <w:rPr>
          <w:rFonts w:ascii="宋体" w:hAnsi="宋体" w:cs="Arial"/>
          <w:sz w:val="24"/>
        </w:rPr>
      </w:pPr>
      <w:r>
        <w:rPr>
          <w:rFonts w:hint="eastAsia" w:ascii="宋体" w:hAnsi="宋体" w:cs="Arial"/>
          <w:sz w:val="24"/>
        </w:rPr>
        <w:t>（6）将清算报告报中国证监会备案并公告；</w:t>
      </w:r>
    </w:p>
    <w:p w14:paraId="2BCCB121">
      <w:pPr>
        <w:adjustRightInd w:val="0"/>
        <w:snapToGrid w:val="0"/>
        <w:spacing w:line="360" w:lineRule="auto"/>
        <w:ind w:firstLine="480" w:firstLineChars="200"/>
        <w:rPr>
          <w:rFonts w:ascii="宋体" w:hAnsi="宋体" w:cs="Arial"/>
          <w:sz w:val="24"/>
        </w:rPr>
      </w:pPr>
      <w:r>
        <w:rPr>
          <w:rFonts w:hint="eastAsia" w:ascii="宋体" w:hAnsi="宋体" w:cs="Arial"/>
          <w:sz w:val="24"/>
        </w:rPr>
        <w:t>（7）对基金剩余财产进行分配。</w:t>
      </w:r>
    </w:p>
    <w:p w14:paraId="66B3FD7A">
      <w:pPr>
        <w:adjustRightInd w:val="0"/>
        <w:snapToGrid w:val="0"/>
        <w:spacing w:line="360" w:lineRule="auto"/>
        <w:ind w:firstLine="480" w:firstLineChars="200"/>
        <w:rPr>
          <w:rFonts w:ascii="宋体" w:hAnsi="宋体" w:cs="Arial"/>
          <w:sz w:val="24"/>
        </w:rPr>
      </w:pPr>
      <w:r>
        <w:rPr>
          <w:rFonts w:hint="eastAsia" w:ascii="宋体" w:hAnsi="宋体" w:cs="Arial"/>
          <w:sz w:val="24"/>
        </w:rPr>
        <w:t>5.基金财产清算的期限为6个月，</w:t>
      </w:r>
      <w:r>
        <w:rPr>
          <w:rFonts w:hint="eastAsia" w:ascii="宋体" w:hAnsi="宋体" w:cs="Arial"/>
          <w:bCs/>
          <w:sz w:val="24"/>
        </w:rPr>
        <w:t>但</w:t>
      </w:r>
      <w:r>
        <w:rPr>
          <w:rFonts w:hint="eastAsia" w:ascii="宋体" w:hAnsi="宋体" w:cs="Arial"/>
          <w:sz w:val="24"/>
        </w:rPr>
        <w:t>因本基金所持证券</w:t>
      </w:r>
      <w:r>
        <w:rPr>
          <w:rFonts w:hint="eastAsia" w:ascii="宋体" w:hAnsi="宋体" w:cs="Arial"/>
          <w:bCs/>
          <w:sz w:val="24"/>
        </w:rPr>
        <w:t>的流动性</w:t>
      </w:r>
      <w:r>
        <w:rPr>
          <w:rFonts w:hint="eastAsia" w:ascii="宋体" w:hAnsi="宋体" w:cs="Arial"/>
          <w:sz w:val="24"/>
        </w:rPr>
        <w:t>受到限制而不能</w:t>
      </w:r>
      <w:r>
        <w:rPr>
          <w:rFonts w:hint="eastAsia" w:ascii="宋体" w:hAnsi="宋体" w:cs="Arial"/>
          <w:bCs/>
          <w:sz w:val="24"/>
        </w:rPr>
        <w:t>及时变现的</w:t>
      </w:r>
      <w:r>
        <w:rPr>
          <w:rFonts w:hint="eastAsia" w:ascii="宋体" w:hAnsi="宋体" w:cs="Arial"/>
          <w:sz w:val="24"/>
        </w:rPr>
        <w:t>，清算期限相应</w:t>
      </w:r>
      <w:r>
        <w:rPr>
          <w:rFonts w:hint="eastAsia" w:ascii="宋体" w:hAnsi="宋体" w:cs="Arial"/>
          <w:bCs/>
          <w:sz w:val="24"/>
        </w:rPr>
        <w:t>顺延</w:t>
      </w:r>
      <w:r>
        <w:rPr>
          <w:rFonts w:hint="eastAsia" w:ascii="宋体" w:hAnsi="宋体" w:cs="Arial"/>
          <w:sz w:val="24"/>
        </w:rPr>
        <w:t>。</w:t>
      </w:r>
    </w:p>
    <w:p w14:paraId="22101DE5">
      <w:pPr>
        <w:adjustRightInd w:val="0"/>
        <w:snapToGrid w:val="0"/>
        <w:spacing w:line="360" w:lineRule="auto"/>
        <w:ind w:firstLine="480" w:firstLineChars="200"/>
        <w:rPr>
          <w:rFonts w:ascii="宋体" w:hAnsi="宋体" w:cs="Arial"/>
          <w:sz w:val="24"/>
        </w:rPr>
      </w:pPr>
      <w:r>
        <w:rPr>
          <w:rFonts w:hint="eastAsia" w:ascii="宋体" w:hAnsi="宋体" w:cs="Arial"/>
          <w:sz w:val="24"/>
        </w:rPr>
        <w:t>6.清算费用</w:t>
      </w:r>
    </w:p>
    <w:p w14:paraId="5F57953C">
      <w:pPr>
        <w:adjustRightInd w:val="0"/>
        <w:snapToGrid w:val="0"/>
        <w:spacing w:line="360" w:lineRule="auto"/>
        <w:ind w:firstLine="480" w:firstLineChars="200"/>
        <w:rPr>
          <w:rFonts w:ascii="宋体" w:hAnsi="宋体" w:cs="Arial"/>
          <w:sz w:val="24"/>
        </w:rPr>
      </w:pPr>
      <w:r>
        <w:rPr>
          <w:rFonts w:hint="eastAsia" w:ascii="宋体" w:hAnsi="宋体" w:cs="Arial"/>
          <w:sz w:val="24"/>
        </w:rPr>
        <w:t>清算费用是指基金财产清算小组在进行基金财产清算过程中发生的所有合理费用，清算费用由基金财产清算小组优先从基金剩余财产中支付。</w:t>
      </w:r>
    </w:p>
    <w:p w14:paraId="3E04FDBB">
      <w:pPr>
        <w:adjustRightInd w:val="0"/>
        <w:snapToGrid w:val="0"/>
        <w:spacing w:line="360" w:lineRule="auto"/>
        <w:ind w:firstLine="480" w:firstLineChars="200"/>
        <w:rPr>
          <w:rFonts w:ascii="宋体" w:hAnsi="宋体" w:cs="Arial"/>
          <w:sz w:val="24"/>
        </w:rPr>
      </w:pPr>
      <w:r>
        <w:rPr>
          <w:rFonts w:hint="eastAsia" w:ascii="宋体" w:hAnsi="宋体" w:cs="Arial"/>
          <w:sz w:val="24"/>
        </w:rPr>
        <w:t>7.基金财产清算剩余资产的分配</w:t>
      </w:r>
    </w:p>
    <w:p w14:paraId="6086CE17">
      <w:pPr>
        <w:adjustRightInd w:val="0"/>
        <w:snapToGrid w:val="0"/>
        <w:spacing w:line="360" w:lineRule="auto"/>
        <w:ind w:firstLine="480" w:firstLineChars="200"/>
        <w:rPr>
          <w:rFonts w:ascii="宋体" w:hAnsi="宋体" w:cs="Arial"/>
          <w:sz w:val="24"/>
        </w:rPr>
      </w:pPr>
      <w:r>
        <w:rPr>
          <w:rFonts w:hint="eastAsia" w:ascii="宋体" w:hAnsi="宋体" w:cs="Arial"/>
          <w:sz w:val="24"/>
        </w:rPr>
        <w:t>依据基金财产清算的分配方案，将基金财产清算后的全部剩余资产扣除基金财产清算费用、交纳所欠税款并清偿基金债务后，按基金份额持有人持有的各类基金份额比例进行分配。</w:t>
      </w:r>
    </w:p>
    <w:p w14:paraId="65133A6D">
      <w:pPr>
        <w:adjustRightInd w:val="0"/>
        <w:snapToGrid w:val="0"/>
        <w:spacing w:line="360" w:lineRule="auto"/>
        <w:ind w:firstLine="480" w:firstLineChars="200"/>
        <w:rPr>
          <w:rFonts w:ascii="宋体" w:hAnsi="宋体" w:cs="Arial"/>
          <w:sz w:val="24"/>
        </w:rPr>
      </w:pPr>
      <w:r>
        <w:rPr>
          <w:rFonts w:hint="eastAsia" w:ascii="宋体" w:hAnsi="宋体" w:cs="Arial"/>
          <w:sz w:val="24"/>
        </w:rPr>
        <w:t>其中，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2E9D3C6C">
      <w:pPr>
        <w:adjustRightInd w:val="0"/>
        <w:snapToGrid w:val="0"/>
        <w:spacing w:line="360" w:lineRule="auto"/>
        <w:ind w:firstLine="480" w:firstLineChars="200"/>
        <w:rPr>
          <w:rFonts w:ascii="宋体" w:hAnsi="宋体" w:cs="Arial"/>
          <w:sz w:val="24"/>
        </w:rPr>
      </w:pPr>
      <w:r>
        <w:rPr>
          <w:rFonts w:hint="eastAsia" w:ascii="宋体" w:hAnsi="宋体" w:cs="Arial"/>
          <w:sz w:val="24"/>
        </w:rPr>
        <w:t>8.基金财产清算的公告</w:t>
      </w:r>
    </w:p>
    <w:p w14:paraId="6123BC92">
      <w:pPr>
        <w:snapToGrid w:val="0"/>
        <w:spacing w:line="360" w:lineRule="auto"/>
        <w:ind w:firstLine="480" w:firstLineChars="200"/>
        <w:rPr>
          <w:rFonts w:ascii="宋体" w:hAnsi="宋体" w:cs="Arial"/>
          <w:sz w:val="24"/>
        </w:rPr>
      </w:pPr>
      <w:bookmarkStart w:id="352" w:name="_Hlk22067596"/>
      <w:r>
        <w:rPr>
          <w:rFonts w:hint="eastAsia" w:ascii="宋体" w:hAnsi="宋体" w:cs="Arial"/>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bookmarkEnd w:id="352"/>
    </w:p>
    <w:p w14:paraId="330615DD">
      <w:pPr>
        <w:adjustRightInd w:val="0"/>
        <w:snapToGrid w:val="0"/>
        <w:spacing w:line="360" w:lineRule="auto"/>
        <w:ind w:firstLine="480" w:firstLineChars="200"/>
        <w:rPr>
          <w:rFonts w:ascii="宋体" w:hAnsi="宋体" w:cs="Arial"/>
          <w:sz w:val="24"/>
        </w:rPr>
      </w:pPr>
      <w:r>
        <w:rPr>
          <w:rFonts w:hint="eastAsia" w:ascii="宋体" w:hAnsi="宋体" w:cs="Arial"/>
          <w:sz w:val="24"/>
        </w:rPr>
        <w:t>9.基金财产清算账册及文件的保存</w:t>
      </w:r>
    </w:p>
    <w:p w14:paraId="0B819D8C">
      <w:pPr>
        <w:adjustRightInd w:val="0"/>
        <w:snapToGrid w:val="0"/>
        <w:spacing w:line="360" w:lineRule="auto"/>
        <w:ind w:firstLine="480" w:firstLineChars="200"/>
        <w:rPr>
          <w:rFonts w:ascii="宋体" w:hAnsi="宋体" w:cs="Arial"/>
          <w:sz w:val="24"/>
        </w:rPr>
      </w:pPr>
      <w:r>
        <w:rPr>
          <w:rFonts w:hint="eastAsia" w:ascii="宋体" w:hAnsi="宋体" w:cs="Arial"/>
          <w:sz w:val="24"/>
        </w:rPr>
        <w:t>基金财产清算账册及有关文件由基金托管人保存，保存期限不低于法律法规规定的最低期限。</w:t>
      </w:r>
    </w:p>
    <w:bookmarkEnd w:id="344"/>
    <w:p w14:paraId="0685CAAC">
      <w:pPr>
        <w:widowControl/>
        <w:spacing w:line="360" w:lineRule="auto"/>
        <w:ind w:firstLine="480" w:firstLineChars="200"/>
        <w:rPr>
          <w:rFonts w:cs="Arial"/>
          <w:kern w:val="0"/>
          <w:sz w:val="24"/>
          <w:szCs w:val="24"/>
          <w:lang w:val="en-GB"/>
        </w:rPr>
      </w:pPr>
      <w:r>
        <w:rPr>
          <w:rFonts w:hint="eastAsia" w:cs="Arial"/>
          <w:kern w:val="0"/>
          <w:sz w:val="24"/>
          <w:szCs w:val="24"/>
          <w:lang w:val="en-GB"/>
        </w:rPr>
        <w:t>八、争议解决方式</w:t>
      </w:r>
    </w:p>
    <w:p w14:paraId="55BCCE8C">
      <w:pPr>
        <w:adjustRightInd w:val="0"/>
        <w:snapToGrid w:val="0"/>
        <w:spacing w:line="360" w:lineRule="auto"/>
        <w:ind w:firstLine="480" w:firstLineChars="200"/>
        <w:rPr>
          <w:rFonts w:ascii="宋体" w:hAnsi="宋体" w:cs="Arial"/>
          <w:sz w:val="24"/>
        </w:rPr>
      </w:pPr>
      <w:r>
        <w:rPr>
          <w:rFonts w:hint="eastAsia" w:ascii="宋体" w:hAnsi="宋体" w:cs="Arial"/>
          <w:sz w:val="24"/>
        </w:rPr>
        <w:t>因本托管协议产生或与之相关的争议，如经友好协商、调解未能解决的，应提交中国国际经济贸易仲裁委员会，根据该会当时有效的仲裁规则进行仲裁，仲裁地点为北京市，仲裁裁决是终局性的，并对各方当事人具有约束力。除非仲裁裁决另有规定，仲裁费、律师费由败诉方承担。</w:t>
      </w:r>
    </w:p>
    <w:p w14:paraId="474CB530">
      <w:pPr>
        <w:adjustRightInd w:val="0"/>
        <w:snapToGrid w:val="0"/>
        <w:spacing w:line="360" w:lineRule="auto"/>
        <w:ind w:firstLine="480" w:firstLineChars="200"/>
        <w:rPr>
          <w:rFonts w:ascii="宋体" w:hAnsi="宋体" w:cs="Arial"/>
          <w:sz w:val="24"/>
        </w:rPr>
      </w:pPr>
      <w:r>
        <w:rPr>
          <w:rFonts w:hint="eastAsia" w:ascii="宋体" w:hAnsi="宋体" w:cs="Arial"/>
          <w:sz w:val="24"/>
        </w:rPr>
        <w:t>争议处理期间，双方当事人应恪守基金管理人和基金托管人职责，各自继续忠实、勤勉、尽责地履行《基金合同》和本托管协议规定的义务，维护基金份额持有人的合法权益。</w:t>
      </w:r>
    </w:p>
    <w:p w14:paraId="141BA31D">
      <w:pPr>
        <w:adjustRightInd w:val="0"/>
        <w:snapToGrid w:val="0"/>
        <w:spacing w:line="360" w:lineRule="auto"/>
        <w:ind w:firstLine="480" w:firstLineChars="200"/>
        <w:rPr>
          <w:rFonts w:ascii="宋体" w:hAnsi="宋体" w:cs="Arial"/>
          <w:sz w:val="24"/>
        </w:rPr>
      </w:pPr>
      <w:r>
        <w:rPr>
          <w:rFonts w:hint="eastAsia" w:ascii="宋体" w:hAnsi="宋体" w:cs="Arial"/>
          <w:sz w:val="24"/>
        </w:rPr>
        <w:t>本托管协议受中国法律（为本托管协议之目的，</w:t>
      </w:r>
      <w:r>
        <w:rPr>
          <w:rFonts w:hint="eastAsia"/>
          <w:bCs/>
          <w:sz w:val="24"/>
        </w:rPr>
        <w:t>不包括香港特别行政区、澳门特别行政区和台湾地区有关规定</w:t>
      </w:r>
      <w:r>
        <w:rPr>
          <w:rFonts w:hint="eastAsia" w:ascii="宋体" w:hAnsi="宋体" w:cs="Arial"/>
          <w:sz w:val="24"/>
        </w:rPr>
        <w:t>）管辖</w:t>
      </w:r>
      <w:r>
        <w:rPr>
          <w:rFonts w:ascii="宋体" w:hAnsi="宋体" w:cs="Arial"/>
          <w:sz w:val="24"/>
        </w:rPr>
        <w:t>并从其解释</w:t>
      </w:r>
      <w:r>
        <w:rPr>
          <w:rFonts w:hint="eastAsia" w:ascii="宋体" w:hAnsi="宋体" w:cs="Arial"/>
          <w:sz w:val="24"/>
        </w:rPr>
        <w:t>。</w:t>
      </w:r>
    </w:p>
    <w:bookmarkEnd w:id="332"/>
    <w:bookmarkEnd w:id="349"/>
    <w:p w14:paraId="034D457D">
      <w:pPr>
        <w:pStyle w:val="2"/>
        <w:spacing w:before="0" w:after="0"/>
        <w:jc w:val="center"/>
        <w:rPr>
          <w:rFonts w:ascii="Times New Roman"/>
          <w:bCs/>
          <w:szCs w:val="24"/>
        </w:rPr>
      </w:pPr>
      <w:bookmarkStart w:id="353" w:name="_Toc6202"/>
      <w:bookmarkStart w:id="354" w:name="_Toc123102468"/>
      <w:bookmarkStart w:id="355" w:name="_Toc123112249"/>
      <w:bookmarkStart w:id="356" w:name="_Toc98560366"/>
      <w:bookmarkStart w:id="357" w:name="_Toc3319"/>
      <w:bookmarkStart w:id="358" w:name="_Toc6110"/>
      <w:bookmarkStart w:id="359" w:name="_Toc25651"/>
      <w:bookmarkStart w:id="360" w:name="_Toc123051467"/>
      <w:bookmarkStart w:id="361" w:name="_Toc7288"/>
      <w:bookmarkStart w:id="362" w:name="_Toc1790"/>
      <w:bookmarkStart w:id="363" w:name="_Toc139991751"/>
      <w:bookmarkStart w:id="364" w:name="_Toc21983"/>
      <w:bookmarkStart w:id="365" w:name="_Toc23999"/>
      <w:bookmarkStart w:id="366" w:name="_Toc30350"/>
      <w:bookmarkStart w:id="367" w:name="_Toc141703902"/>
      <w:bookmarkStart w:id="368" w:name="_Toc8636"/>
      <w:bookmarkStart w:id="369" w:name="_Toc24923"/>
      <w:bookmarkStart w:id="370" w:name="_Toc345339076"/>
      <w:bookmarkStart w:id="371" w:name="_Toc296566166"/>
      <w:bookmarkStart w:id="372" w:name="_Toc326752145"/>
      <w:r>
        <w:rPr>
          <w:rFonts w:ascii="Times New Roman"/>
          <w:bCs/>
          <w:szCs w:val="24"/>
        </w:rPr>
        <w:br w:type="page"/>
      </w:r>
    </w:p>
    <w:bookmarkEnd w:id="338"/>
    <w:p w14:paraId="466F777E">
      <w:pPr>
        <w:pStyle w:val="2"/>
        <w:spacing w:before="0" w:after="0"/>
        <w:jc w:val="center"/>
        <w:rPr>
          <w:rFonts w:ascii="Times New Roman"/>
          <w:color w:val="auto"/>
          <w:szCs w:val="24"/>
        </w:rPr>
      </w:pPr>
      <w:bookmarkStart w:id="373" w:name="_Toc48032558"/>
      <w:bookmarkStart w:id="374" w:name="_Toc216103554"/>
      <w:r>
        <w:rPr>
          <w:rFonts w:hint="eastAsia" w:ascii="Times New Roman"/>
          <w:color w:val="auto"/>
          <w:szCs w:val="24"/>
        </w:rPr>
        <w:t>第二十一部分</w:t>
      </w:r>
      <w:r>
        <w:rPr>
          <w:rFonts w:ascii="Times New Roman"/>
          <w:color w:val="auto"/>
          <w:szCs w:val="24"/>
        </w:rPr>
        <w:t xml:space="preserve">  </w:t>
      </w:r>
      <w:r>
        <w:rPr>
          <w:rFonts w:hint="eastAsia" w:ascii="Times New Roman"/>
          <w:color w:val="auto"/>
          <w:szCs w:val="24"/>
        </w:rPr>
        <w:t>对基金份额持有人的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Times New Roman"/>
          <w:color w:val="auto"/>
          <w:szCs w:val="24"/>
        </w:rPr>
        <w:t>服务</w:t>
      </w:r>
      <w:bookmarkEnd w:id="370"/>
      <w:bookmarkEnd w:id="371"/>
      <w:bookmarkEnd w:id="372"/>
      <w:bookmarkEnd w:id="373"/>
      <w:bookmarkEnd w:id="374"/>
    </w:p>
    <w:p w14:paraId="3D4807A0">
      <w:pPr>
        <w:spacing w:line="360" w:lineRule="auto"/>
        <w:ind w:firstLine="480" w:firstLineChars="200"/>
        <w:rPr>
          <w:sz w:val="24"/>
          <w:szCs w:val="21"/>
        </w:rPr>
      </w:pPr>
    </w:p>
    <w:p w14:paraId="0F59505B">
      <w:pPr>
        <w:spacing w:line="360" w:lineRule="auto"/>
        <w:ind w:firstLine="480" w:firstLineChars="200"/>
        <w:rPr>
          <w:sz w:val="24"/>
          <w:szCs w:val="24"/>
        </w:rPr>
      </w:pPr>
      <w:r>
        <w:rPr>
          <w:rFonts w:hint="eastAsia"/>
          <w:sz w:val="24"/>
          <w:szCs w:val="24"/>
        </w:rPr>
        <w:t>基金管理人承诺为基金份额持有人提供一系列的服务。以下是主要的服务内容，基金管理人将根据基金份额持有人的需要和市场的变化，增加或变更服务项目。</w:t>
      </w:r>
    </w:p>
    <w:p w14:paraId="706C749E">
      <w:pPr>
        <w:spacing w:line="360" w:lineRule="auto"/>
        <w:ind w:firstLine="480" w:firstLineChars="200"/>
        <w:rPr>
          <w:sz w:val="24"/>
          <w:szCs w:val="24"/>
        </w:rPr>
      </w:pPr>
      <w:r>
        <w:rPr>
          <w:rFonts w:hint="eastAsia"/>
          <w:sz w:val="24"/>
          <w:szCs w:val="24"/>
        </w:rPr>
        <w:t>主要服务内容如下：</w:t>
      </w:r>
    </w:p>
    <w:p w14:paraId="0BC2CF22">
      <w:pPr>
        <w:spacing w:line="360" w:lineRule="auto"/>
        <w:ind w:firstLine="480" w:firstLineChars="200"/>
        <w:rPr>
          <w:sz w:val="24"/>
          <w:szCs w:val="24"/>
        </w:rPr>
      </w:pPr>
      <w:r>
        <w:rPr>
          <w:rFonts w:hint="eastAsia"/>
          <w:sz w:val="24"/>
          <w:szCs w:val="24"/>
        </w:rPr>
        <w:t>一、客户服务中心电话服务</w:t>
      </w:r>
    </w:p>
    <w:p w14:paraId="4B90F709">
      <w:pPr>
        <w:spacing w:line="360" w:lineRule="auto"/>
        <w:ind w:firstLine="480" w:firstLineChars="200"/>
        <w:rPr>
          <w:sz w:val="24"/>
          <w:szCs w:val="24"/>
        </w:rPr>
      </w:pPr>
      <w:r>
        <w:rPr>
          <w:rFonts w:hint="eastAsia"/>
          <w:sz w:val="24"/>
          <w:szCs w:val="24"/>
        </w:rPr>
        <w:t>持有人拨打基金管理人客服热线400-883-8088（国内免长途话费）、0755-26948088可享有如下服务：</w:t>
      </w:r>
    </w:p>
    <w:p w14:paraId="1361EA24">
      <w:pPr>
        <w:spacing w:line="360" w:lineRule="auto"/>
        <w:ind w:firstLine="480" w:firstLineChars="200"/>
        <w:rPr>
          <w:sz w:val="24"/>
          <w:szCs w:val="24"/>
        </w:rPr>
      </w:pPr>
      <w:r>
        <w:rPr>
          <w:rFonts w:hint="eastAsia"/>
          <w:sz w:val="24"/>
          <w:szCs w:val="24"/>
        </w:rPr>
        <w:t>A、自助语音服务：提供7×24小时电话自助语音服务，可进行账户查询、基金净值、信息定制等自助服务。</w:t>
      </w:r>
    </w:p>
    <w:p w14:paraId="2E6020B3">
      <w:pPr>
        <w:spacing w:line="360" w:lineRule="auto"/>
        <w:ind w:firstLine="480" w:firstLineChars="200"/>
        <w:rPr>
          <w:sz w:val="24"/>
          <w:szCs w:val="24"/>
        </w:rPr>
      </w:pPr>
      <w:r>
        <w:rPr>
          <w:rFonts w:hint="eastAsia"/>
          <w:sz w:val="24"/>
          <w:szCs w:val="24"/>
        </w:rPr>
        <w:t>B、人工坐席服务：提供工作日人工坐席服务（法定节假日除外）。持有人可以通过该热线获得业务咨询、账户查询、服务投诉及建议、信息定制、资料修改等专项服务。</w:t>
      </w:r>
    </w:p>
    <w:p w14:paraId="38D340A7">
      <w:pPr>
        <w:spacing w:line="360" w:lineRule="auto"/>
        <w:ind w:firstLine="480" w:firstLineChars="200"/>
        <w:rPr>
          <w:sz w:val="24"/>
          <w:szCs w:val="24"/>
        </w:rPr>
      </w:pPr>
      <w:r>
        <w:rPr>
          <w:rFonts w:hint="eastAsia"/>
          <w:sz w:val="24"/>
          <w:szCs w:val="24"/>
        </w:rPr>
        <w:t>二、综合对账单服务</w:t>
      </w:r>
    </w:p>
    <w:p w14:paraId="1B642767">
      <w:pPr>
        <w:spacing w:line="360" w:lineRule="auto"/>
        <w:ind w:firstLine="480"/>
        <w:rPr>
          <w:sz w:val="24"/>
          <w:szCs w:val="24"/>
        </w:rPr>
      </w:pPr>
      <w:r>
        <w:rPr>
          <w:rFonts w:hint="eastAsia"/>
          <w:sz w:val="24"/>
          <w:szCs w:val="24"/>
        </w:rPr>
        <w:t>基金管理人为基金份额持有人提供综合对账单服务，服务形式包括基金管理人官方网站自助查询、官方微信公众号自助查询、官方</w:t>
      </w:r>
      <w:r>
        <w:rPr>
          <w:sz w:val="24"/>
          <w:szCs w:val="24"/>
        </w:rPr>
        <w:t>APP</w:t>
      </w:r>
      <w:r>
        <w:rPr>
          <w:rFonts w:hint="eastAsia"/>
          <w:sz w:val="24"/>
          <w:szCs w:val="24"/>
        </w:rPr>
        <w:t>自助查询、电子邮件对账单定制、手机短信对账单定制、客服热线查询等。</w:t>
      </w:r>
    </w:p>
    <w:p w14:paraId="6C4860FF">
      <w:pPr>
        <w:spacing w:line="360" w:lineRule="auto"/>
        <w:ind w:firstLine="480" w:firstLineChars="200"/>
        <w:rPr>
          <w:sz w:val="24"/>
          <w:szCs w:val="24"/>
        </w:rPr>
      </w:pPr>
      <w:r>
        <w:rPr>
          <w:rFonts w:hint="eastAsia"/>
          <w:sz w:val="24"/>
          <w:szCs w:val="24"/>
        </w:rPr>
        <w:t>三、自助查询服务</w:t>
      </w:r>
    </w:p>
    <w:p w14:paraId="2FBE1AE3">
      <w:pPr>
        <w:spacing w:line="360" w:lineRule="auto"/>
        <w:ind w:firstLine="480" w:firstLineChars="200"/>
        <w:rPr>
          <w:sz w:val="24"/>
          <w:szCs w:val="24"/>
        </w:rPr>
      </w:pPr>
      <w:r>
        <w:rPr>
          <w:rFonts w:hint="eastAsia"/>
          <w:sz w:val="24"/>
          <w:szCs w:val="24"/>
        </w:rPr>
        <w:t>基金管理人官方网站、官方微信公众号、官方APP为持有人提供基金账户及交易情况查询、资料修改、信息定制等自助服务，提供公司公告等资讯服务。</w:t>
      </w:r>
    </w:p>
    <w:p w14:paraId="2B1A40DF">
      <w:pPr>
        <w:spacing w:line="360" w:lineRule="auto"/>
        <w:ind w:firstLine="480" w:firstLineChars="200"/>
        <w:rPr>
          <w:sz w:val="24"/>
          <w:szCs w:val="24"/>
        </w:rPr>
      </w:pPr>
      <w:r>
        <w:rPr>
          <w:rFonts w:hint="eastAsia"/>
          <w:sz w:val="24"/>
          <w:szCs w:val="24"/>
        </w:rPr>
        <w:t>四、自助交易服务</w:t>
      </w:r>
    </w:p>
    <w:p w14:paraId="29376CA7">
      <w:pPr>
        <w:spacing w:line="360" w:lineRule="auto"/>
        <w:ind w:firstLine="480" w:firstLineChars="200"/>
        <w:rPr>
          <w:sz w:val="24"/>
          <w:szCs w:val="24"/>
        </w:rPr>
      </w:pPr>
      <w:r>
        <w:rPr>
          <w:rFonts w:hint="eastAsia"/>
          <w:sz w:val="24"/>
          <w:szCs w:val="24"/>
        </w:rPr>
        <w:t>基金管理人提供开放式基金网上直销服务。投资者通过基金管理人官方网站、官方微信公众号、官方APP可以办理基金认购、申购、赎回、转换、撤单、基金定投、分红方式修改、账户资料修改、交易密码修改、积分兑换等各类业务。</w:t>
      </w:r>
    </w:p>
    <w:p w14:paraId="4E4FFAA4">
      <w:pPr>
        <w:spacing w:line="360" w:lineRule="auto"/>
        <w:ind w:firstLine="480" w:firstLineChars="200"/>
        <w:rPr>
          <w:sz w:val="24"/>
          <w:szCs w:val="24"/>
        </w:rPr>
      </w:pPr>
      <w:r>
        <w:rPr>
          <w:rFonts w:hint="eastAsia"/>
          <w:sz w:val="24"/>
          <w:szCs w:val="24"/>
        </w:rPr>
        <w:t>五、客户投诉建议受理服务</w:t>
      </w:r>
    </w:p>
    <w:p w14:paraId="6D4F335A">
      <w:pPr>
        <w:spacing w:line="360" w:lineRule="auto"/>
        <w:ind w:firstLine="480" w:firstLineChars="200"/>
        <w:rPr>
          <w:sz w:val="24"/>
          <w:szCs w:val="24"/>
        </w:rPr>
      </w:pPr>
      <w:r>
        <w:rPr>
          <w:rFonts w:hint="eastAsia"/>
          <w:sz w:val="24"/>
          <w:szCs w:val="24"/>
        </w:rPr>
        <w:t>持有人可以通过基金管理人客服热线、官方网站、官方微信公众号在线客服、电子邮件及信函等渠道进行投诉或提出建议。</w:t>
      </w:r>
    </w:p>
    <w:p w14:paraId="1271F25E">
      <w:pPr>
        <w:spacing w:line="360" w:lineRule="auto"/>
        <w:ind w:firstLine="480" w:firstLineChars="200"/>
        <w:rPr>
          <w:sz w:val="24"/>
          <w:szCs w:val="24"/>
        </w:rPr>
      </w:pPr>
      <w:r>
        <w:rPr>
          <w:rFonts w:hint="eastAsia"/>
          <w:sz w:val="24"/>
          <w:szCs w:val="24"/>
        </w:rPr>
        <w:t>六、联系方式</w:t>
      </w:r>
    </w:p>
    <w:p w14:paraId="386BBE91">
      <w:pPr>
        <w:spacing w:line="360" w:lineRule="auto"/>
        <w:ind w:firstLine="480" w:firstLineChars="200"/>
        <w:rPr>
          <w:sz w:val="24"/>
          <w:szCs w:val="24"/>
        </w:rPr>
      </w:pPr>
      <w:r>
        <w:rPr>
          <w:rFonts w:hint="eastAsia"/>
          <w:sz w:val="24"/>
          <w:szCs w:val="24"/>
        </w:rPr>
        <w:t>1、融通基金管理有限公司客户服务热线：</w:t>
      </w:r>
    </w:p>
    <w:p w14:paraId="187A7FEB">
      <w:pPr>
        <w:spacing w:line="360" w:lineRule="auto"/>
        <w:ind w:firstLine="480" w:firstLineChars="200"/>
        <w:rPr>
          <w:sz w:val="24"/>
          <w:szCs w:val="24"/>
        </w:rPr>
      </w:pPr>
      <w:r>
        <w:rPr>
          <w:rFonts w:hint="eastAsia"/>
          <w:sz w:val="24"/>
          <w:szCs w:val="24"/>
        </w:rPr>
        <w:t>400-883-8088、0755-26948088</w:t>
      </w:r>
    </w:p>
    <w:p w14:paraId="2E8A1989">
      <w:pPr>
        <w:spacing w:line="360" w:lineRule="auto"/>
        <w:ind w:firstLine="480" w:firstLineChars="200"/>
        <w:rPr>
          <w:sz w:val="24"/>
          <w:szCs w:val="24"/>
        </w:rPr>
      </w:pPr>
      <w:r>
        <w:rPr>
          <w:rFonts w:hint="eastAsia"/>
          <w:sz w:val="24"/>
          <w:szCs w:val="24"/>
        </w:rPr>
        <w:t>2、融通基金管理有限公司官方网站</w:t>
      </w:r>
    </w:p>
    <w:p w14:paraId="03027B55">
      <w:pPr>
        <w:spacing w:line="360" w:lineRule="auto"/>
        <w:ind w:firstLine="480" w:firstLineChars="200"/>
        <w:rPr>
          <w:sz w:val="24"/>
          <w:szCs w:val="24"/>
        </w:rPr>
      </w:pPr>
      <w:r>
        <w:rPr>
          <w:rFonts w:hint="eastAsia"/>
          <w:sz w:val="24"/>
          <w:szCs w:val="24"/>
        </w:rPr>
        <w:t>公司网址：http://www.rtfund.com</w:t>
      </w:r>
    </w:p>
    <w:p w14:paraId="11422833">
      <w:pPr>
        <w:spacing w:line="360" w:lineRule="auto"/>
        <w:ind w:firstLine="480" w:firstLineChars="200"/>
        <w:rPr>
          <w:sz w:val="24"/>
          <w:szCs w:val="24"/>
        </w:rPr>
      </w:pPr>
      <w:r>
        <w:rPr>
          <w:sz w:val="24"/>
          <w:szCs w:val="24"/>
        </w:rPr>
        <w:t>3</w:t>
      </w:r>
      <w:r>
        <w:rPr>
          <w:rFonts w:hint="eastAsia"/>
          <w:sz w:val="24"/>
          <w:szCs w:val="24"/>
        </w:rPr>
        <w:t>、融通基金管理有限公司客服邮箱：</w:t>
      </w:r>
      <w:r>
        <w:t>service@rtfund.com</w:t>
      </w:r>
    </w:p>
    <w:p w14:paraId="320CE879">
      <w:pPr>
        <w:spacing w:line="360" w:lineRule="auto"/>
        <w:ind w:firstLine="480" w:firstLineChars="200"/>
        <w:rPr>
          <w:sz w:val="24"/>
          <w:szCs w:val="24"/>
        </w:rPr>
      </w:pPr>
      <w:r>
        <w:rPr>
          <w:sz w:val="24"/>
          <w:szCs w:val="24"/>
        </w:rPr>
        <w:t>4</w:t>
      </w:r>
      <w:r>
        <w:rPr>
          <w:rFonts w:hint="eastAsia"/>
          <w:sz w:val="24"/>
          <w:szCs w:val="24"/>
        </w:rPr>
        <w:t>、官方微信公众号“融通基金”：在线客服</w:t>
      </w:r>
    </w:p>
    <w:p w14:paraId="343F406D">
      <w:pPr>
        <w:spacing w:line="360" w:lineRule="auto"/>
        <w:ind w:firstLine="480" w:firstLineChars="200"/>
        <w:rPr>
          <w:sz w:val="24"/>
          <w:szCs w:val="24"/>
        </w:rPr>
      </w:pPr>
      <w:r>
        <w:rPr>
          <w:sz w:val="24"/>
          <w:szCs w:val="24"/>
        </w:rPr>
        <w:t>5</w:t>
      </w:r>
      <w:r>
        <w:rPr>
          <w:rFonts w:hint="eastAsia"/>
          <w:sz w:val="24"/>
          <w:szCs w:val="24"/>
        </w:rPr>
        <w:t>、邮寄地址：深圳市南山区粤海街道海珠社区海德三道1066号深创投广场42层融通基金管理有限公司客户服务中心（邮编：51805</w:t>
      </w:r>
      <w:r>
        <w:rPr>
          <w:sz w:val="24"/>
          <w:szCs w:val="24"/>
        </w:rPr>
        <w:t>4</w:t>
      </w:r>
      <w:r>
        <w:rPr>
          <w:rFonts w:hint="eastAsia"/>
          <w:sz w:val="24"/>
          <w:szCs w:val="24"/>
        </w:rPr>
        <w:t>）。</w:t>
      </w:r>
    </w:p>
    <w:p w14:paraId="79976099">
      <w:pPr>
        <w:spacing w:line="360" w:lineRule="auto"/>
        <w:ind w:firstLine="480" w:firstLineChars="200"/>
        <w:rPr>
          <w:sz w:val="24"/>
          <w:szCs w:val="24"/>
        </w:rPr>
      </w:pPr>
      <w:r>
        <w:rPr>
          <w:rFonts w:hint="eastAsia"/>
          <w:sz w:val="24"/>
          <w:szCs w:val="24"/>
        </w:rPr>
        <w:t>如本招募说明书存在任何您/贵机构无法理解的内容，请通过上述方式联系基金管理人。请确保投资前，您/贵机构已经全面理解了本招募说明书。</w:t>
      </w:r>
    </w:p>
    <w:p w14:paraId="3F61C6F7">
      <w:pPr>
        <w:spacing w:line="360" w:lineRule="auto"/>
        <w:ind w:firstLine="480" w:firstLineChars="200"/>
        <w:rPr>
          <w:sz w:val="24"/>
          <w:szCs w:val="24"/>
        </w:rPr>
      </w:pPr>
    </w:p>
    <w:p w14:paraId="251AD576">
      <w:pPr>
        <w:pStyle w:val="2"/>
        <w:spacing w:before="0" w:after="0"/>
        <w:jc w:val="center"/>
        <w:rPr>
          <w:rFonts w:ascii="Times New Roman"/>
          <w:bCs/>
          <w:szCs w:val="24"/>
        </w:rPr>
      </w:pPr>
      <w:r>
        <w:rPr>
          <w:rFonts w:ascii="Times New Roman"/>
          <w:bCs/>
          <w:szCs w:val="24"/>
        </w:rPr>
        <w:br w:type="page"/>
      </w:r>
      <w:bookmarkStart w:id="375" w:name="_Toc15045"/>
      <w:bookmarkStart w:id="376" w:name="_Toc326752147"/>
      <w:bookmarkStart w:id="377" w:name="_Toc345339077"/>
      <w:bookmarkStart w:id="378" w:name="_Toc48032559"/>
      <w:bookmarkStart w:id="379" w:name="_Toc216103555"/>
      <w:r>
        <w:rPr>
          <w:rFonts w:hint="eastAsia" w:ascii="Times New Roman"/>
          <w:color w:val="auto"/>
          <w:szCs w:val="24"/>
        </w:rPr>
        <w:t>第二十二部分</w:t>
      </w:r>
      <w:r>
        <w:rPr>
          <w:rFonts w:ascii="Times New Roman"/>
          <w:color w:val="auto"/>
          <w:szCs w:val="24"/>
        </w:rPr>
        <w:t xml:space="preserve">  </w:t>
      </w:r>
      <w:bookmarkEnd w:id="375"/>
      <w:bookmarkEnd w:id="376"/>
      <w:bookmarkStart w:id="380" w:name="_Toc326752148"/>
      <w:r>
        <w:rPr>
          <w:rFonts w:hint="eastAsia" w:ascii="Times New Roman"/>
          <w:color w:val="auto"/>
          <w:szCs w:val="24"/>
        </w:rPr>
        <w:t>招募说明书的存放及查阅方式</w:t>
      </w:r>
      <w:bookmarkEnd w:id="377"/>
      <w:bookmarkEnd w:id="378"/>
      <w:bookmarkEnd w:id="379"/>
      <w:bookmarkEnd w:id="380"/>
    </w:p>
    <w:p w14:paraId="117BE0A5">
      <w:pPr>
        <w:spacing w:line="360" w:lineRule="auto"/>
        <w:ind w:firstLine="480" w:firstLineChars="200"/>
        <w:rPr>
          <w:sz w:val="24"/>
          <w:szCs w:val="24"/>
        </w:rPr>
      </w:pPr>
    </w:p>
    <w:p w14:paraId="5865C613">
      <w:pPr>
        <w:spacing w:line="360" w:lineRule="auto"/>
        <w:ind w:firstLine="480" w:firstLineChars="200"/>
        <w:rPr>
          <w:sz w:val="24"/>
          <w:szCs w:val="24"/>
        </w:rPr>
      </w:pPr>
      <w:r>
        <w:rPr>
          <w:sz w:val="24"/>
          <w:szCs w:val="24"/>
        </w:rPr>
        <w:t>招募说明书公布后，应当分别置备于基金管理人、基金托管人的住所，供公众查阅、复制</w:t>
      </w:r>
      <w:r>
        <w:rPr>
          <w:rFonts w:hint="eastAsia"/>
          <w:sz w:val="24"/>
          <w:szCs w:val="24"/>
        </w:rPr>
        <w:t>；也可按工本费购买本招募说明书复印件。投资人也可以直接登录基金管理人的网站进行查阅。</w:t>
      </w:r>
    </w:p>
    <w:p w14:paraId="536CA037">
      <w:pPr>
        <w:spacing w:line="360" w:lineRule="auto"/>
        <w:ind w:firstLine="480" w:firstLineChars="200"/>
        <w:rPr>
          <w:sz w:val="24"/>
          <w:szCs w:val="24"/>
        </w:rPr>
      </w:pPr>
      <w:r>
        <w:rPr>
          <w:rFonts w:hint="eastAsia"/>
          <w:sz w:val="24"/>
          <w:szCs w:val="24"/>
        </w:rPr>
        <w:t>基金管理人和基金托管人保证文本的内容与所公告的内容完全一致。</w:t>
      </w:r>
    </w:p>
    <w:p w14:paraId="094B4B9B">
      <w:pPr>
        <w:spacing w:line="360" w:lineRule="auto"/>
        <w:ind w:firstLine="480" w:firstLineChars="200"/>
        <w:rPr>
          <w:sz w:val="24"/>
          <w:szCs w:val="24"/>
        </w:rPr>
      </w:pPr>
    </w:p>
    <w:p w14:paraId="28A022D2">
      <w:pPr>
        <w:pStyle w:val="2"/>
        <w:spacing w:before="0" w:after="0"/>
        <w:jc w:val="center"/>
        <w:rPr>
          <w:rFonts w:ascii="Times New Roman"/>
          <w:bCs/>
          <w:szCs w:val="24"/>
        </w:rPr>
      </w:pPr>
      <w:r>
        <w:rPr>
          <w:rFonts w:ascii="Times New Roman"/>
          <w:bCs/>
          <w:szCs w:val="24"/>
        </w:rPr>
        <w:br w:type="page"/>
      </w:r>
      <w:bookmarkStart w:id="381" w:name="_Toc216103556"/>
      <w:bookmarkStart w:id="382" w:name="_Toc296566169"/>
      <w:bookmarkStart w:id="383" w:name="_Toc345339078"/>
      <w:bookmarkStart w:id="384" w:name="_Toc48032560"/>
      <w:bookmarkStart w:id="385" w:name="_Toc326752149"/>
      <w:r>
        <w:rPr>
          <w:rFonts w:hint="eastAsia" w:ascii="Times New Roman"/>
          <w:bCs/>
          <w:szCs w:val="24"/>
        </w:rPr>
        <w:t>第二十三部分</w:t>
      </w:r>
      <w:r>
        <w:rPr>
          <w:rFonts w:ascii="Times New Roman"/>
          <w:bCs/>
          <w:szCs w:val="24"/>
        </w:rPr>
        <w:t xml:space="preserve">  </w:t>
      </w:r>
      <w:r>
        <w:rPr>
          <w:rFonts w:hint="eastAsia" w:ascii="Times New Roman"/>
          <w:bCs/>
          <w:szCs w:val="24"/>
        </w:rPr>
        <w:t>备查文件</w:t>
      </w:r>
      <w:bookmarkEnd w:id="381"/>
      <w:bookmarkEnd w:id="382"/>
      <w:bookmarkEnd w:id="383"/>
      <w:bookmarkEnd w:id="384"/>
      <w:bookmarkEnd w:id="385"/>
    </w:p>
    <w:p w14:paraId="22649DE5">
      <w:pPr>
        <w:spacing w:line="360" w:lineRule="auto"/>
        <w:ind w:firstLine="480" w:firstLineChars="200"/>
        <w:rPr>
          <w:bCs/>
          <w:sz w:val="24"/>
          <w:szCs w:val="24"/>
        </w:rPr>
      </w:pPr>
    </w:p>
    <w:p w14:paraId="090A183C">
      <w:pPr>
        <w:spacing w:line="360" w:lineRule="auto"/>
        <w:ind w:firstLine="480" w:firstLineChars="200"/>
        <w:rPr>
          <w:sz w:val="24"/>
          <w:szCs w:val="24"/>
        </w:rPr>
      </w:pPr>
      <w:r>
        <w:rPr>
          <w:rFonts w:hint="eastAsia"/>
          <w:sz w:val="24"/>
          <w:szCs w:val="24"/>
        </w:rPr>
        <w:t>一、备查文件包括：</w:t>
      </w:r>
    </w:p>
    <w:p w14:paraId="6350788E">
      <w:pPr>
        <w:spacing w:line="360" w:lineRule="auto"/>
        <w:ind w:firstLine="480" w:firstLineChars="200"/>
        <w:rPr>
          <w:sz w:val="24"/>
          <w:szCs w:val="24"/>
        </w:rPr>
      </w:pPr>
      <w:r>
        <w:rPr>
          <w:sz w:val="24"/>
          <w:szCs w:val="24"/>
        </w:rPr>
        <w:t>1</w:t>
      </w:r>
      <w:r>
        <w:rPr>
          <w:rFonts w:hint="eastAsia"/>
          <w:sz w:val="24"/>
          <w:szCs w:val="24"/>
        </w:rPr>
        <w:t>、中</w:t>
      </w:r>
      <w:r>
        <w:rPr>
          <w:sz w:val="24"/>
          <w:szCs w:val="24"/>
        </w:rPr>
        <w:t>国证监会</w:t>
      </w:r>
      <w:r>
        <w:rPr>
          <w:rFonts w:hint="eastAsia"/>
          <w:sz w:val="24"/>
          <w:szCs w:val="24"/>
        </w:rPr>
        <w:t>准予融通新材料混合型发起式证券投资基金</w:t>
      </w:r>
      <w:r>
        <w:rPr>
          <w:sz w:val="24"/>
          <w:szCs w:val="24"/>
        </w:rPr>
        <w:t>募集</w:t>
      </w:r>
      <w:r>
        <w:rPr>
          <w:rFonts w:hint="eastAsia"/>
          <w:sz w:val="24"/>
          <w:szCs w:val="24"/>
        </w:rPr>
        <w:t>注册</w:t>
      </w:r>
      <w:r>
        <w:rPr>
          <w:sz w:val="24"/>
          <w:szCs w:val="24"/>
        </w:rPr>
        <w:t>的文件</w:t>
      </w:r>
    </w:p>
    <w:p w14:paraId="212DD9B9">
      <w:pPr>
        <w:spacing w:line="360" w:lineRule="auto"/>
        <w:ind w:firstLine="480" w:firstLineChars="200"/>
        <w:rPr>
          <w:sz w:val="24"/>
          <w:szCs w:val="24"/>
        </w:rPr>
      </w:pPr>
      <w:r>
        <w:rPr>
          <w:sz w:val="24"/>
          <w:szCs w:val="24"/>
        </w:rPr>
        <w:t>2</w:t>
      </w:r>
      <w:r>
        <w:rPr>
          <w:rFonts w:hint="eastAsia"/>
          <w:sz w:val="24"/>
          <w:szCs w:val="24"/>
        </w:rPr>
        <w:t>、</w:t>
      </w:r>
      <w:r>
        <w:rPr>
          <w:sz w:val="24"/>
          <w:szCs w:val="24"/>
        </w:rPr>
        <w:t>《</w:t>
      </w:r>
      <w:r>
        <w:rPr>
          <w:rFonts w:hint="eastAsia"/>
          <w:sz w:val="24"/>
          <w:szCs w:val="24"/>
        </w:rPr>
        <w:t>融通新材料混合型发起式证券投资基金</w:t>
      </w:r>
      <w:r>
        <w:rPr>
          <w:sz w:val="24"/>
          <w:szCs w:val="24"/>
        </w:rPr>
        <w:t>基金合同》</w:t>
      </w:r>
    </w:p>
    <w:p w14:paraId="77064487">
      <w:pPr>
        <w:spacing w:line="360" w:lineRule="auto"/>
        <w:ind w:firstLine="480" w:firstLineChars="200"/>
        <w:rPr>
          <w:sz w:val="24"/>
          <w:szCs w:val="24"/>
        </w:rPr>
      </w:pPr>
      <w:r>
        <w:rPr>
          <w:sz w:val="24"/>
          <w:szCs w:val="24"/>
        </w:rPr>
        <w:t>3</w:t>
      </w:r>
      <w:r>
        <w:rPr>
          <w:rFonts w:hint="eastAsia"/>
          <w:sz w:val="24"/>
          <w:szCs w:val="24"/>
        </w:rPr>
        <w:t>、</w:t>
      </w:r>
      <w:r>
        <w:rPr>
          <w:sz w:val="24"/>
          <w:szCs w:val="24"/>
        </w:rPr>
        <w:t>《</w:t>
      </w:r>
      <w:r>
        <w:rPr>
          <w:rFonts w:hint="eastAsia"/>
          <w:sz w:val="24"/>
          <w:szCs w:val="24"/>
        </w:rPr>
        <w:t>融通新材料混合型发起式证券投资基金</w:t>
      </w:r>
      <w:r>
        <w:rPr>
          <w:sz w:val="24"/>
          <w:szCs w:val="24"/>
        </w:rPr>
        <w:t>托管协议》</w:t>
      </w:r>
    </w:p>
    <w:p w14:paraId="467FE355">
      <w:pPr>
        <w:spacing w:line="360" w:lineRule="auto"/>
        <w:ind w:firstLine="480" w:firstLineChars="200"/>
        <w:rPr>
          <w:sz w:val="24"/>
          <w:szCs w:val="24"/>
        </w:rPr>
      </w:pPr>
      <w:r>
        <w:rPr>
          <w:sz w:val="24"/>
          <w:szCs w:val="24"/>
        </w:rPr>
        <w:t>4</w:t>
      </w:r>
      <w:r>
        <w:rPr>
          <w:rFonts w:hint="eastAsia"/>
          <w:sz w:val="24"/>
          <w:szCs w:val="24"/>
        </w:rPr>
        <w:t>、</w:t>
      </w:r>
      <w:r>
        <w:rPr>
          <w:sz w:val="24"/>
          <w:szCs w:val="24"/>
        </w:rPr>
        <w:t>法律意见书</w:t>
      </w:r>
    </w:p>
    <w:p w14:paraId="33410A1F">
      <w:pPr>
        <w:spacing w:line="360" w:lineRule="auto"/>
        <w:ind w:firstLine="480" w:firstLineChars="200"/>
        <w:rPr>
          <w:sz w:val="24"/>
          <w:szCs w:val="24"/>
        </w:rPr>
      </w:pPr>
      <w:r>
        <w:rPr>
          <w:sz w:val="24"/>
          <w:szCs w:val="24"/>
        </w:rPr>
        <w:t>5</w:t>
      </w:r>
      <w:r>
        <w:rPr>
          <w:rFonts w:hint="eastAsia"/>
          <w:sz w:val="24"/>
          <w:szCs w:val="24"/>
        </w:rPr>
        <w:t>、</w:t>
      </w:r>
      <w:r>
        <w:rPr>
          <w:sz w:val="24"/>
          <w:szCs w:val="24"/>
        </w:rPr>
        <w:t>基金管理人业务资格批件、营业执照</w:t>
      </w:r>
    </w:p>
    <w:p w14:paraId="612E23B9">
      <w:pPr>
        <w:spacing w:line="360" w:lineRule="auto"/>
        <w:ind w:firstLine="480" w:firstLineChars="200"/>
        <w:rPr>
          <w:sz w:val="24"/>
          <w:szCs w:val="24"/>
        </w:rPr>
      </w:pPr>
      <w:r>
        <w:rPr>
          <w:sz w:val="24"/>
          <w:szCs w:val="24"/>
        </w:rPr>
        <w:t>6</w:t>
      </w:r>
      <w:r>
        <w:rPr>
          <w:rFonts w:hint="eastAsia"/>
          <w:sz w:val="24"/>
          <w:szCs w:val="24"/>
        </w:rPr>
        <w:t>、</w:t>
      </w:r>
      <w:r>
        <w:rPr>
          <w:sz w:val="24"/>
          <w:szCs w:val="24"/>
        </w:rPr>
        <w:t>基金托管人业务资格批件、营业执照</w:t>
      </w:r>
      <w:bookmarkStart w:id="386" w:name="_GoBack"/>
      <w:bookmarkEnd w:id="386"/>
    </w:p>
    <w:p w14:paraId="421D4F97">
      <w:pPr>
        <w:spacing w:line="360" w:lineRule="auto"/>
        <w:ind w:firstLine="480" w:firstLineChars="200"/>
        <w:rPr>
          <w:sz w:val="24"/>
          <w:szCs w:val="24"/>
        </w:rPr>
      </w:pPr>
      <w:r>
        <w:rPr>
          <w:sz w:val="24"/>
          <w:szCs w:val="24"/>
        </w:rPr>
        <w:t>7</w:t>
      </w:r>
      <w:r>
        <w:rPr>
          <w:rFonts w:hint="eastAsia"/>
          <w:sz w:val="24"/>
          <w:szCs w:val="24"/>
        </w:rPr>
        <w:t>、</w:t>
      </w:r>
      <w:r>
        <w:rPr>
          <w:sz w:val="24"/>
          <w:szCs w:val="24"/>
        </w:rPr>
        <w:t>中国证监会规定的其他文件</w:t>
      </w:r>
    </w:p>
    <w:p w14:paraId="79833675">
      <w:pPr>
        <w:spacing w:line="360" w:lineRule="auto"/>
        <w:ind w:firstLine="480" w:firstLineChars="200"/>
        <w:rPr>
          <w:sz w:val="24"/>
          <w:szCs w:val="24"/>
        </w:rPr>
      </w:pPr>
      <w:r>
        <w:rPr>
          <w:rFonts w:hint="eastAsia"/>
          <w:sz w:val="24"/>
          <w:szCs w:val="24"/>
        </w:rPr>
        <w:t>二、备查文件的存放地点和投资人查阅方式：</w:t>
      </w:r>
    </w:p>
    <w:p w14:paraId="39CD2835">
      <w:pPr>
        <w:spacing w:line="360" w:lineRule="auto"/>
        <w:ind w:firstLine="480" w:firstLineChars="200"/>
        <w:rPr>
          <w:sz w:val="24"/>
          <w:szCs w:val="24"/>
        </w:rPr>
      </w:pPr>
      <w:r>
        <w:rPr>
          <w:rFonts w:hint="eastAsia"/>
          <w:sz w:val="24"/>
          <w:szCs w:val="24"/>
        </w:rPr>
        <w:t>以上备查文件存放在基金管理人的办公场所，在办公时间可供免费查阅。</w:t>
      </w:r>
    </w:p>
    <w:p w14:paraId="0E8C3CEB">
      <w:pPr>
        <w:spacing w:line="360" w:lineRule="auto"/>
        <w:ind w:firstLine="480" w:firstLineChars="200"/>
        <w:rPr>
          <w:sz w:val="24"/>
          <w:szCs w:val="24"/>
        </w:rPr>
      </w:pPr>
    </w:p>
    <w:p w14:paraId="3509B7AC">
      <w:pPr>
        <w:spacing w:line="360" w:lineRule="auto"/>
        <w:ind w:firstLine="480" w:firstLineChars="200"/>
        <w:rPr>
          <w:sz w:val="24"/>
          <w:szCs w:val="24"/>
        </w:rPr>
      </w:pPr>
    </w:p>
    <w:p w14:paraId="50D81315">
      <w:pPr>
        <w:spacing w:line="360" w:lineRule="auto"/>
        <w:ind w:firstLine="480" w:firstLineChars="200"/>
        <w:rPr>
          <w:sz w:val="24"/>
          <w:szCs w:val="24"/>
        </w:rPr>
      </w:pPr>
    </w:p>
    <w:p w14:paraId="0C60DF0E">
      <w:pPr>
        <w:spacing w:line="360" w:lineRule="auto"/>
        <w:ind w:firstLine="480" w:firstLineChars="200"/>
        <w:rPr>
          <w:sz w:val="24"/>
          <w:szCs w:val="24"/>
        </w:rPr>
      </w:pPr>
    </w:p>
    <w:p w14:paraId="7B59C811">
      <w:pPr>
        <w:spacing w:line="360" w:lineRule="auto"/>
        <w:ind w:firstLine="480" w:firstLineChars="200"/>
        <w:jc w:val="right"/>
        <w:rPr>
          <w:sz w:val="24"/>
          <w:szCs w:val="24"/>
        </w:rPr>
      </w:pPr>
      <w:r>
        <w:rPr>
          <w:rFonts w:hint="eastAsia"/>
          <w:sz w:val="24"/>
          <w:szCs w:val="24"/>
        </w:rPr>
        <w:t>融通基金管理有限公司</w:t>
      </w:r>
    </w:p>
    <w:p w14:paraId="3E5D25EB">
      <w:pPr>
        <w:spacing w:line="360" w:lineRule="auto"/>
        <w:ind w:firstLine="480" w:firstLineChars="200"/>
        <w:jc w:val="right"/>
        <w:rPr>
          <w:sz w:val="24"/>
          <w:szCs w:val="24"/>
        </w:rPr>
      </w:pPr>
      <w:r>
        <w:rPr>
          <w:rFonts w:hint="eastAsia"/>
          <w:sz w:val="24"/>
          <w:szCs w:val="24"/>
        </w:rPr>
        <w:t xml:space="preserve">  2026年5月1</w:t>
      </w:r>
      <w:r>
        <w:rPr>
          <w:rFonts w:hint="eastAsia"/>
          <w:sz w:val="24"/>
          <w:szCs w:val="24"/>
          <w:lang w:val="en-US" w:eastAsia="zh-CN"/>
        </w:rPr>
        <w:t>3</w:t>
      </w:r>
      <w:r>
        <w:rPr>
          <w:rFonts w:hint="eastAsia"/>
          <w:sz w:val="24"/>
          <w:szCs w:val="24"/>
        </w:rPr>
        <w:t>日</w:t>
      </w:r>
    </w:p>
    <w:p w14:paraId="16847806">
      <w:pPr>
        <w:spacing w:line="360" w:lineRule="auto"/>
        <w:ind w:right="240" w:firstLine="480" w:firstLineChars="200"/>
        <w:jc w:val="right"/>
        <w:rPr>
          <w:bCs/>
          <w:sz w:val="24"/>
          <w:szCs w:val="24"/>
        </w:rPr>
      </w:pPr>
      <w:r>
        <w:rPr>
          <w:rFonts w:hint="eastAsia"/>
          <w:bCs/>
          <w:sz w:val="24"/>
          <w:szCs w:val="24"/>
        </w:rPr>
        <w:t xml:space="preserve"> </w:t>
      </w:r>
    </w:p>
    <w:sectPr>
      <w:headerReference r:id="rId12" w:type="default"/>
      <w:footerReference r:id="rId1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6639"/>
    </w:sdtPr>
    <w:sdtContent>
      <w:p w14:paraId="012201B4">
        <w:pPr>
          <w:pStyle w:val="15"/>
          <w:jc w:val="center"/>
        </w:pPr>
        <w:r>
          <w:t>5-</w:t>
        </w:r>
        <w:r>
          <w:fldChar w:fldCharType="begin"/>
        </w:r>
        <w:r>
          <w:instrText xml:space="preserve"> PAGE   \* MERGEFORMAT </w:instrText>
        </w:r>
        <w:r>
          <w:fldChar w:fldCharType="separate"/>
        </w:r>
        <w:r>
          <w:rPr>
            <w:lang w:val="zh-CN"/>
          </w:rPr>
          <w:t>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A64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C9B7">
    <w:pPr>
      <w:pStyle w:val="15"/>
      <w:jc w:val="center"/>
    </w:pPr>
  </w:p>
  <w:p w14:paraId="0EFA297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9D043AC">
        <w:pPr>
          <w:pStyle w:val="15"/>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BD71">
    <w:pPr>
      <w:pStyle w:val="1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825113"/>
    </w:sdtPr>
    <w:sdtContent>
      <w:p w14:paraId="36D1DEB2">
        <w:pPr>
          <w:pStyle w:val="15"/>
          <w:jc w:val="center"/>
        </w:pPr>
        <w:r>
          <w:fldChar w:fldCharType="begin"/>
        </w:r>
        <w:r>
          <w:instrText xml:space="preserve">PAGE   \* MERGEFORMAT</w:instrText>
        </w:r>
        <w:r>
          <w:fldChar w:fldCharType="separate"/>
        </w:r>
        <w:r>
          <w:rPr>
            <w:lang w:val="zh-CN"/>
          </w:rPr>
          <w:t>19</w:t>
        </w:r>
        <w:r>
          <w:fldChar w:fldCharType="end"/>
        </w:r>
      </w:p>
    </w:sdtContent>
  </w:sdt>
  <w:p w14:paraId="2C5918C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24BB">
    <w:pPr>
      <w:pStyle w:val="16"/>
      <w:spacing w:after="120" w:afterLines="50"/>
      <w:jc w:val="right"/>
    </w:pPr>
    <w:r>
      <w:rPr>
        <w:rFonts w:hint="eastAsia"/>
      </w:rPr>
      <w:t>融通新材料混合型发起式证券投资基金招募说明书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456B">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10B8">
    <w:pPr>
      <w:pStyle w:val="16"/>
      <w:pBdr>
        <w:bottom w:val="none" w:color="auto" w:sz="0" w:space="0"/>
      </w:pBdr>
      <w:wordWrap w:val="0"/>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87DC">
    <w:pPr>
      <w:pStyle w:val="16"/>
      <w:spacing w:after="120" w:afterLines="50"/>
      <w:jc w:val="left"/>
    </w:pPr>
    <w:r>
      <w:rPr>
        <w:rFonts w:ascii="宋体" w:hAnsi="宋体"/>
      </w:rPr>
      <w:drawing>
        <wp:inline distT="0" distB="0" distL="0" distR="0">
          <wp:extent cx="1343025" cy="342900"/>
          <wp:effectExtent l="0" t="0" r="9525" b="0"/>
          <wp:docPr id="822873694" name="图片 82287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73694" name="图片 8228736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43025" cy="342900"/>
                  </a:xfrm>
                  <a:prstGeom prst="rect">
                    <a:avLst/>
                  </a:prstGeom>
                  <a:noFill/>
                  <a:ln>
                    <a:noFill/>
                  </a:ln>
                </pic:spPr>
              </pic:pic>
            </a:graphicData>
          </a:graphic>
        </wp:inline>
      </w:drawing>
    </w:r>
    <w:r>
      <w:rPr>
        <w:rFonts w:hint="eastAsia"/>
      </w:rPr>
      <w:t xml:space="preserve">                                                     招募说明书（草案</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9661">
    <w:pPr>
      <w:pStyle w:val="16"/>
      <w:spacing w:after="120" w:afterLines="50"/>
      <w:jc w:val="right"/>
    </w:pPr>
    <w:r>
      <w:rPr>
        <w:rFonts w:hint="eastAsia"/>
      </w:rPr>
      <w:t>融通新材料混合型发起式证券投资基金招募说明书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abstractNum w:abstractNumId="1">
    <w:nsid w:val="2E2861AF"/>
    <w:multiLevelType w:val="multilevel"/>
    <w:tmpl w:val="2E2861AF"/>
    <w:lvl w:ilvl="0" w:tentative="0">
      <w:start w:val="1"/>
      <w:numFmt w:val="decimal"/>
      <w:pStyle w:val="71"/>
      <w:lvlText w:val="(%1)"/>
      <w:lvlJc w:val="left"/>
      <w:pPr>
        <w:tabs>
          <w:tab w:val="left" w:pos="1941"/>
        </w:tabs>
        <w:ind w:left="1941" w:hanging="681"/>
      </w:pPr>
      <w:rPr>
        <w:rFonts w:ascii="Arial" w:hAnsi="Arial"/>
        <w:b w:val="0"/>
        <w:i w:val="0"/>
        <w:sz w:val="20"/>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DM1OTZiZDdlMmFiMWQ0YmJkYTBlOGJlYTEwNzkifQ=="/>
  </w:docVars>
  <w:rsids>
    <w:rsidRoot w:val="00172A27"/>
    <w:rsid w:val="000001B6"/>
    <w:rsid w:val="00000C3E"/>
    <w:rsid w:val="000016B4"/>
    <w:rsid w:val="00002239"/>
    <w:rsid w:val="0000237B"/>
    <w:rsid w:val="00002468"/>
    <w:rsid w:val="00002495"/>
    <w:rsid w:val="00002E96"/>
    <w:rsid w:val="00003027"/>
    <w:rsid w:val="0000316A"/>
    <w:rsid w:val="00003270"/>
    <w:rsid w:val="0000373E"/>
    <w:rsid w:val="00003841"/>
    <w:rsid w:val="00004054"/>
    <w:rsid w:val="00004246"/>
    <w:rsid w:val="00004F68"/>
    <w:rsid w:val="0000517A"/>
    <w:rsid w:val="0000564A"/>
    <w:rsid w:val="00005AF2"/>
    <w:rsid w:val="00005B34"/>
    <w:rsid w:val="00005B4B"/>
    <w:rsid w:val="0000615B"/>
    <w:rsid w:val="00006BB2"/>
    <w:rsid w:val="000072BD"/>
    <w:rsid w:val="00007E25"/>
    <w:rsid w:val="0001025A"/>
    <w:rsid w:val="00011553"/>
    <w:rsid w:val="000118BC"/>
    <w:rsid w:val="00012184"/>
    <w:rsid w:val="0001229B"/>
    <w:rsid w:val="00013404"/>
    <w:rsid w:val="000134E1"/>
    <w:rsid w:val="00013589"/>
    <w:rsid w:val="0001399E"/>
    <w:rsid w:val="00013C87"/>
    <w:rsid w:val="00014162"/>
    <w:rsid w:val="0001439C"/>
    <w:rsid w:val="0001499D"/>
    <w:rsid w:val="00014FFF"/>
    <w:rsid w:val="0001508E"/>
    <w:rsid w:val="00015685"/>
    <w:rsid w:val="00015890"/>
    <w:rsid w:val="00015B21"/>
    <w:rsid w:val="00015BCD"/>
    <w:rsid w:val="00015DFE"/>
    <w:rsid w:val="00016B16"/>
    <w:rsid w:val="00017880"/>
    <w:rsid w:val="000179E5"/>
    <w:rsid w:val="00017C02"/>
    <w:rsid w:val="000200D6"/>
    <w:rsid w:val="00020491"/>
    <w:rsid w:val="0002070A"/>
    <w:rsid w:val="000210AF"/>
    <w:rsid w:val="000224EC"/>
    <w:rsid w:val="00022513"/>
    <w:rsid w:val="000225D7"/>
    <w:rsid w:val="000226B9"/>
    <w:rsid w:val="00022C66"/>
    <w:rsid w:val="00022C77"/>
    <w:rsid w:val="00022E30"/>
    <w:rsid w:val="00022F23"/>
    <w:rsid w:val="00023966"/>
    <w:rsid w:val="0002452E"/>
    <w:rsid w:val="00024830"/>
    <w:rsid w:val="00024D81"/>
    <w:rsid w:val="00025885"/>
    <w:rsid w:val="00025985"/>
    <w:rsid w:val="0002614F"/>
    <w:rsid w:val="00026B21"/>
    <w:rsid w:val="00027505"/>
    <w:rsid w:val="00027D74"/>
    <w:rsid w:val="00030617"/>
    <w:rsid w:val="00030865"/>
    <w:rsid w:val="00031BAE"/>
    <w:rsid w:val="00032647"/>
    <w:rsid w:val="00032AE6"/>
    <w:rsid w:val="00032E33"/>
    <w:rsid w:val="00033D93"/>
    <w:rsid w:val="00034329"/>
    <w:rsid w:val="0003537E"/>
    <w:rsid w:val="0003577A"/>
    <w:rsid w:val="0003620B"/>
    <w:rsid w:val="0003650B"/>
    <w:rsid w:val="00036DD2"/>
    <w:rsid w:val="00037133"/>
    <w:rsid w:val="00037785"/>
    <w:rsid w:val="00037904"/>
    <w:rsid w:val="0003790E"/>
    <w:rsid w:val="00037AB6"/>
    <w:rsid w:val="00040172"/>
    <w:rsid w:val="0004052E"/>
    <w:rsid w:val="0004053B"/>
    <w:rsid w:val="00040787"/>
    <w:rsid w:val="00041362"/>
    <w:rsid w:val="000413B3"/>
    <w:rsid w:val="00041CD2"/>
    <w:rsid w:val="00041FC8"/>
    <w:rsid w:val="0004206F"/>
    <w:rsid w:val="00042649"/>
    <w:rsid w:val="00043C60"/>
    <w:rsid w:val="00043DFD"/>
    <w:rsid w:val="00044600"/>
    <w:rsid w:val="00044AF2"/>
    <w:rsid w:val="00044D66"/>
    <w:rsid w:val="0004631D"/>
    <w:rsid w:val="00046BDA"/>
    <w:rsid w:val="00046FC6"/>
    <w:rsid w:val="00047E3F"/>
    <w:rsid w:val="000501DF"/>
    <w:rsid w:val="00050551"/>
    <w:rsid w:val="00050755"/>
    <w:rsid w:val="00051422"/>
    <w:rsid w:val="00051709"/>
    <w:rsid w:val="00052397"/>
    <w:rsid w:val="00052501"/>
    <w:rsid w:val="0005293E"/>
    <w:rsid w:val="00053E9F"/>
    <w:rsid w:val="00053F8C"/>
    <w:rsid w:val="00054092"/>
    <w:rsid w:val="00054881"/>
    <w:rsid w:val="00054D5F"/>
    <w:rsid w:val="00055248"/>
    <w:rsid w:val="00056BC5"/>
    <w:rsid w:val="0005709A"/>
    <w:rsid w:val="00060B95"/>
    <w:rsid w:val="00060F46"/>
    <w:rsid w:val="0006169F"/>
    <w:rsid w:val="00062124"/>
    <w:rsid w:val="00062137"/>
    <w:rsid w:val="000621E1"/>
    <w:rsid w:val="0006487E"/>
    <w:rsid w:val="00064980"/>
    <w:rsid w:val="000649D4"/>
    <w:rsid w:val="00064B1C"/>
    <w:rsid w:val="00064ECD"/>
    <w:rsid w:val="00064F37"/>
    <w:rsid w:val="0006650D"/>
    <w:rsid w:val="000667E0"/>
    <w:rsid w:val="0006712F"/>
    <w:rsid w:val="000673F4"/>
    <w:rsid w:val="00067928"/>
    <w:rsid w:val="00067A95"/>
    <w:rsid w:val="00067CA6"/>
    <w:rsid w:val="0007047F"/>
    <w:rsid w:val="00070641"/>
    <w:rsid w:val="000709CF"/>
    <w:rsid w:val="00070ADA"/>
    <w:rsid w:val="00071554"/>
    <w:rsid w:val="00071BBF"/>
    <w:rsid w:val="000728BC"/>
    <w:rsid w:val="000730A1"/>
    <w:rsid w:val="00073921"/>
    <w:rsid w:val="00073BA6"/>
    <w:rsid w:val="00073C66"/>
    <w:rsid w:val="0007416A"/>
    <w:rsid w:val="00074839"/>
    <w:rsid w:val="00075240"/>
    <w:rsid w:val="000754C1"/>
    <w:rsid w:val="000763B2"/>
    <w:rsid w:val="0007682C"/>
    <w:rsid w:val="00077104"/>
    <w:rsid w:val="000771B2"/>
    <w:rsid w:val="00077FB2"/>
    <w:rsid w:val="00077FC9"/>
    <w:rsid w:val="00080709"/>
    <w:rsid w:val="00080742"/>
    <w:rsid w:val="00080771"/>
    <w:rsid w:val="00080AD6"/>
    <w:rsid w:val="00080B02"/>
    <w:rsid w:val="00080F76"/>
    <w:rsid w:val="00081910"/>
    <w:rsid w:val="000819AB"/>
    <w:rsid w:val="00081C45"/>
    <w:rsid w:val="00081C5D"/>
    <w:rsid w:val="00081DA6"/>
    <w:rsid w:val="00081F28"/>
    <w:rsid w:val="000821DB"/>
    <w:rsid w:val="0008239E"/>
    <w:rsid w:val="00082C90"/>
    <w:rsid w:val="00082F5A"/>
    <w:rsid w:val="00082F70"/>
    <w:rsid w:val="000843DD"/>
    <w:rsid w:val="00084406"/>
    <w:rsid w:val="00084B09"/>
    <w:rsid w:val="0008523B"/>
    <w:rsid w:val="00085BF2"/>
    <w:rsid w:val="000869C5"/>
    <w:rsid w:val="00087415"/>
    <w:rsid w:val="000874C7"/>
    <w:rsid w:val="0008797B"/>
    <w:rsid w:val="00087991"/>
    <w:rsid w:val="00087FAE"/>
    <w:rsid w:val="000902F9"/>
    <w:rsid w:val="000903FB"/>
    <w:rsid w:val="000908E0"/>
    <w:rsid w:val="000915EB"/>
    <w:rsid w:val="00091624"/>
    <w:rsid w:val="00091629"/>
    <w:rsid w:val="00091D35"/>
    <w:rsid w:val="000923EE"/>
    <w:rsid w:val="000925D8"/>
    <w:rsid w:val="0009264C"/>
    <w:rsid w:val="000928BB"/>
    <w:rsid w:val="00092E7B"/>
    <w:rsid w:val="00093ECD"/>
    <w:rsid w:val="00094774"/>
    <w:rsid w:val="00095F84"/>
    <w:rsid w:val="0009610F"/>
    <w:rsid w:val="000967B6"/>
    <w:rsid w:val="00096945"/>
    <w:rsid w:val="00096D87"/>
    <w:rsid w:val="0009774C"/>
    <w:rsid w:val="000978CB"/>
    <w:rsid w:val="000A0B4F"/>
    <w:rsid w:val="000A0B6A"/>
    <w:rsid w:val="000A1183"/>
    <w:rsid w:val="000A14CA"/>
    <w:rsid w:val="000A1BD8"/>
    <w:rsid w:val="000A2408"/>
    <w:rsid w:val="000A2758"/>
    <w:rsid w:val="000A2FE2"/>
    <w:rsid w:val="000A3A69"/>
    <w:rsid w:val="000A3C2C"/>
    <w:rsid w:val="000A412D"/>
    <w:rsid w:val="000A4C58"/>
    <w:rsid w:val="000A5295"/>
    <w:rsid w:val="000A67D5"/>
    <w:rsid w:val="000A6E60"/>
    <w:rsid w:val="000A7A74"/>
    <w:rsid w:val="000A7C46"/>
    <w:rsid w:val="000B0040"/>
    <w:rsid w:val="000B027D"/>
    <w:rsid w:val="000B0408"/>
    <w:rsid w:val="000B06AA"/>
    <w:rsid w:val="000B07E1"/>
    <w:rsid w:val="000B18F4"/>
    <w:rsid w:val="000B3503"/>
    <w:rsid w:val="000B3A71"/>
    <w:rsid w:val="000B3AF5"/>
    <w:rsid w:val="000B3C58"/>
    <w:rsid w:val="000B3FFB"/>
    <w:rsid w:val="000B41B0"/>
    <w:rsid w:val="000B4376"/>
    <w:rsid w:val="000B5834"/>
    <w:rsid w:val="000B635E"/>
    <w:rsid w:val="000B6444"/>
    <w:rsid w:val="000B68FE"/>
    <w:rsid w:val="000B7379"/>
    <w:rsid w:val="000B7420"/>
    <w:rsid w:val="000B7459"/>
    <w:rsid w:val="000B7D63"/>
    <w:rsid w:val="000B7E32"/>
    <w:rsid w:val="000B7E92"/>
    <w:rsid w:val="000B7F12"/>
    <w:rsid w:val="000C01EB"/>
    <w:rsid w:val="000C0488"/>
    <w:rsid w:val="000C0992"/>
    <w:rsid w:val="000C0E43"/>
    <w:rsid w:val="000C3420"/>
    <w:rsid w:val="000C4550"/>
    <w:rsid w:val="000C4E7D"/>
    <w:rsid w:val="000C51DC"/>
    <w:rsid w:val="000C56C8"/>
    <w:rsid w:val="000C5BA2"/>
    <w:rsid w:val="000C623C"/>
    <w:rsid w:val="000C6242"/>
    <w:rsid w:val="000C7500"/>
    <w:rsid w:val="000C7BA4"/>
    <w:rsid w:val="000C7C52"/>
    <w:rsid w:val="000D088C"/>
    <w:rsid w:val="000D0ADE"/>
    <w:rsid w:val="000D0E4E"/>
    <w:rsid w:val="000D1289"/>
    <w:rsid w:val="000D1971"/>
    <w:rsid w:val="000D2D92"/>
    <w:rsid w:val="000D2EC4"/>
    <w:rsid w:val="000D2F09"/>
    <w:rsid w:val="000D33E7"/>
    <w:rsid w:val="000D3BC6"/>
    <w:rsid w:val="000D40CF"/>
    <w:rsid w:val="000D4520"/>
    <w:rsid w:val="000D5270"/>
    <w:rsid w:val="000D5877"/>
    <w:rsid w:val="000D5CA0"/>
    <w:rsid w:val="000D624F"/>
    <w:rsid w:val="000D6593"/>
    <w:rsid w:val="000D6F2F"/>
    <w:rsid w:val="000D70F5"/>
    <w:rsid w:val="000D7367"/>
    <w:rsid w:val="000E0384"/>
    <w:rsid w:val="000E0B4A"/>
    <w:rsid w:val="000E1709"/>
    <w:rsid w:val="000E1B06"/>
    <w:rsid w:val="000E2C00"/>
    <w:rsid w:val="000E3F95"/>
    <w:rsid w:val="000E469C"/>
    <w:rsid w:val="000E4855"/>
    <w:rsid w:val="000E4B1E"/>
    <w:rsid w:val="000E4BE9"/>
    <w:rsid w:val="000E5326"/>
    <w:rsid w:val="000E5A7A"/>
    <w:rsid w:val="000E5E51"/>
    <w:rsid w:val="000E63F3"/>
    <w:rsid w:val="000E64BA"/>
    <w:rsid w:val="000E6C10"/>
    <w:rsid w:val="000F06FC"/>
    <w:rsid w:val="000F1877"/>
    <w:rsid w:val="000F19EA"/>
    <w:rsid w:val="000F262F"/>
    <w:rsid w:val="000F2B6D"/>
    <w:rsid w:val="000F2EAE"/>
    <w:rsid w:val="000F2FCB"/>
    <w:rsid w:val="000F36A3"/>
    <w:rsid w:val="000F36BB"/>
    <w:rsid w:val="000F3A06"/>
    <w:rsid w:val="000F4280"/>
    <w:rsid w:val="000F4BBC"/>
    <w:rsid w:val="000F4F70"/>
    <w:rsid w:val="000F5495"/>
    <w:rsid w:val="000F5528"/>
    <w:rsid w:val="000F57AE"/>
    <w:rsid w:val="000F5AE6"/>
    <w:rsid w:val="000F63E5"/>
    <w:rsid w:val="000F6551"/>
    <w:rsid w:val="000F6C9F"/>
    <w:rsid w:val="000F7BB8"/>
    <w:rsid w:val="000F7F8B"/>
    <w:rsid w:val="0010091E"/>
    <w:rsid w:val="0010115F"/>
    <w:rsid w:val="00101374"/>
    <w:rsid w:val="00101700"/>
    <w:rsid w:val="00101736"/>
    <w:rsid w:val="00102207"/>
    <w:rsid w:val="00102242"/>
    <w:rsid w:val="00102381"/>
    <w:rsid w:val="001027CF"/>
    <w:rsid w:val="00103075"/>
    <w:rsid w:val="00104223"/>
    <w:rsid w:val="00104456"/>
    <w:rsid w:val="001045D6"/>
    <w:rsid w:val="00104DD3"/>
    <w:rsid w:val="0010569C"/>
    <w:rsid w:val="001056CE"/>
    <w:rsid w:val="00106547"/>
    <w:rsid w:val="00106831"/>
    <w:rsid w:val="00106AE3"/>
    <w:rsid w:val="001076E9"/>
    <w:rsid w:val="001078DF"/>
    <w:rsid w:val="001109D5"/>
    <w:rsid w:val="00110D86"/>
    <w:rsid w:val="00110F83"/>
    <w:rsid w:val="001112CE"/>
    <w:rsid w:val="0011181C"/>
    <w:rsid w:val="00111A9F"/>
    <w:rsid w:val="001123D1"/>
    <w:rsid w:val="00112485"/>
    <w:rsid w:val="001128A0"/>
    <w:rsid w:val="00113455"/>
    <w:rsid w:val="001138A9"/>
    <w:rsid w:val="00114866"/>
    <w:rsid w:val="00115E14"/>
    <w:rsid w:val="00115E17"/>
    <w:rsid w:val="001160A7"/>
    <w:rsid w:val="0011639A"/>
    <w:rsid w:val="00117127"/>
    <w:rsid w:val="001179A3"/>
    <w:rsid w:val="00117CF8"/>
    <w:rsid w:val="00117EBD"/>
    <w:rsid w:val="00120677"/>
    <w:rsid w:val="0012118F"/>
    <w:rsid w:val="001214DE"/>
    <w:rsid w:val="001224FE"/>
    <w:rsid w:val="00122703"/>
    <w:rsid w:val="001231B0"/>
    <w:rsid w:val="00123376"/>
    <w:rsid w:val="00123AE8"/>
    <w:rsid w:val="00124B6A"/>
    <w:rsid w:val="00125060"/>
    <w:rsid w:val="00125189"/>
    <w:rsid w:val="001254E4"/>
    <w:rsid w:val="001256A7"/>
    <w:rsid w:val="001256F2"/>
    <w:rsid w:val="00125C58"/>
    <w:rsid w:val="001269E8"/>
    <w:rsid w:val="00126EAF"/>
    <w:rsid w:val="00127BC2"/>
    <w:rsid w:val="00130315"/>
    <w:rsid w:val="001305AA"/>
    <w:rsid w:val="00130BA4"/>
    <w:rsid w:val="001316A6"/>
    <w:rsid w:val="00131A64"/>
    <w:rsid w:val="00131B17"/>
    <w:rsid w:val="00131D5D"/>
    <w:rsid w:val="00131F77"/>
    <w:rsid w:val="001325F7"/>
    <w:rsid w:val="00132BB5"/>
    <w:rsid w:val="00133340"/>
    <w:rsid w:val="001336C3"/>
    <w:rsid w:val="00133F74"/>
    <w:rsid w:val="001346FC"/>
    <w:rsid w:val="00134C1C"/>
    <w:rsid w:val="00134CA2"/>
    <w:rsid w:val="00135491"/>
    <w:rsid w:val="00135A22"/>
    <w:rsid w:val="00135BBD"/>
    <w:rsid w:val="0013671C"/>
    <w:rsid w:val="00137200"/>
    <w:rsid w:val="001373CD"/>
    <w:rsid w:val="00140167"/>
    <w:rsid w:val="001401FC"/>
    <w:rsid w:val="0014069C"/>
    <w:rsid w:val="00140B8A"/>
    <w:rsid w:val="00140D24"/>
    <w:rsid w:val="0014105B"/>
    <w:rsid w:val="00141976"/>
    <w:rsid w:val="00141E86"/>
    <w:rsid w:val="00142BB2"/>
    <w:rsid w:val="001434E9"/>
    <w:rsid w:val="00143C6B"/>
    <w:rsid w:val="00143F1B"/>
    <w:rsid w:val="001440E5"/>
    <w:rsid w:val="001443D2"/>
    <w:rsid w:val="001448BE"/>
    <w:rsid w:val="001458DC"/>
    <w:rsid w:val="00145A13"/>
    <w:rsid w:val="00145AA0"/>
    <w:rsid w:val="00146793"/>
    <w:rsid w:val="00146C8F"/>
    <w:rsid w:val="001479C5"/>
    <w:rsid w:val="001479D8"/>
    <w:rsid w:val="00147BE6"/>
    <w:rsid w:val="00150328"/>
    <w:rsid w:val="0015045D"/>
    <w:rsid w:val="00150574"/>
    <w:rsid w:val="00150B49"/>
    <w:rsid w:val="00152589"/>
    <w:rsid w:val="001526C2"/>
    <w:rsid w:val="00152A47"/>
    <w:rsid w:val="00153223"/>
    <w:rsid w:val="00153295"/>
    <w:rsid w:val="00153D43"/>
    <w:rsid w:val="0015447D"/>
    <w:rsid w:val="00154958"/>
    <w:rsid w:val="00154BE7"/>
    <w:rsid w:val="00154C10"/>
    <w:rsid w:val="00155373"/>
    <w:rsid w:val="00155CE0"/>
    <w:rsid w:val="00155D52"/>
    <w:rsid w:val="001562BC"/>
    <w:rsid w:val="00156D61"/>
    <w:rsid w:val="00156F03"/>
    <w:rsid w:val="00157498"/>
    <w:rsid w:val="00157FBC"/>
    <w:rsid w:val="001604AD"/>
    <w:rsid w:val="00160B78"/>
    <w:rsid w:val="00160FD0"/>
    <w:rsid w:val="00161480"/>
    <w:rsid w:val="00161B09"/>
    <w:rsid w:val="00161C7A"/>
    <w:rsid w:val="0016291A"/>
    <w:rsid w:val="00162A6B"/>
    <w:rsid w:val="00162FC1"/>
    <w:rsid w:val="00163228"/>
    <w:rsid w:val="00163DB6"/>
    <w:rsid w:val="00164025"/>
    <w:rsid w:val="0016424D"/>
    <w:rsid w:val="001647F0"/>
    <w:rsid w:val="00164AF5"/>
    <w:rsid w:val="00164D36"/>
    <w:rsid w:val="001661BB"/>
    <w:rsid w:val="001666E6"/>
    <w:rsid w:val="001667F7"/>
    <w:rsid w:val="00166A4F"/>
    <w:rsid w:val="00166B1A"/>
    <w:rsid w:val="00166E13"/>
    <w:rsid w:val="00167E8F"/>
    <w:rsid w:val="00167FB4"/>
    <w:rsid w:val="00170328"/>
    <w:rsid w:val="00170439"/>
    <w:rsid w:val="00170586"/>
    <w:rsid w:val="00170DE8"/>
    <w:rsid w:val="0017162B"/>
    <w:rsid w:val="00171882"/>
    <w:rsid w:val="0017213D"/>
    <w:rsid w:val="00172A27"/>
    <w:rsid w:val="001735C1"/>
    <w:rsid w:val="00173BDE"/>
    <w:rsid w:val="0017406A"/>
    <w:rsid w:val="001744E3"/>
    <w:rsid w:val="00174A7A"/>
    <w:rsid w:val="0017501B"/>
    <w:rsid w:val="00175306"/>
    <w:rsid w:val="00175BD8"/>
    <w:rsid w:val="00175DFD"/>
    <w:rsid w:val="00175FA1"/>
    <w:rsid w:val="0017708D"/>
    <w:rsid w:val="00177544"/>
    <w:rsid w:val="00180330"/>
    <w:rsid w:val="001803B1"/>
    <w:rsid w:val="00180FF8"/>
    <w:rsid w:val="001810B9"/>
    <w:rsid w:val="0018148C"/>
    <w:rsid w:val="001818E8"/>
    <w:rsid w:val="00181A9F"/>
    <w:rsid w:val="00181B13"/>
    <w:rsid w:val="00181D10"/>
    <w:rsid w:val="00182101"/>
    <w:rsid w:val="00182375"/>
    <w:rsid w:val="00182425"/>
    <w:rsid w:val="00182901"/>
    <w:rsid w:val="00182CBA"/>
    <w:rsid w:val="00182F8F"/>
    <w:rsid w:val="001830F4"/>
    <w:rsid w:val="001831F2"/>
    <w:rsid w:val="001832B7"/>
    <w:rsid w:val="00184266"/>
    <w:rsid w:val="0018478E"/>
    <w:rsid w:val="001852C8"/>
    <w:rsid w:val="00185311"/>
    <w:rsid w:val="00187024"/>
    <w:rsid w:val="00187156"/>
    <w:rsid w:val="001871BE"/>
    <w:rsid w:val="001872D6"/>
    <w:rsid w:val="00187BC9"/>
    <w:rsid w:val="00187EE9"/>
    <w:rsid w:val="001907D3"/>
    <w:rsid w:val="00190BF6"/>
    <w:rsid w:val="00191383"/>
    <w:rsid w:val="001913BB"/>
    <w:rsid w:val="00191887"/>
    <w:rsid w:val="00191A7F"/>
    <w:rsid w:val="0019215D"/>
    <w:rsid w:val="001921E3"/>
    <w:rsid w:val="00192D74"/>
    <w:rsid w:val="00193C5D"/>
    <w:rsid w:val="00193CC8"/>
    <w:rsid w:val="0019401D"/>
    <w:rsid w:val="0019462C"/>
    <w:rsid w:val="00194C75"/>
    <w:rsid w:val="0019539D"/>
    <w:rsid w:val="0019572F"/>
    <w:rsid w:val="00195BBA"/>
    <w:rsid w:val="00195FF2"/>
    <w:rsid w:val="0019658A"/>
    <w:rsid w:val="00196BF4"/>
    <w:rsid w:val="00197129"/>
    <w:rsid w:val="00197768"/>
    <w:rsid w:val="001A0F7B"/>
    <w:rsid w:val="001A13C7"/>
    <w:rsid w:val="001A1CD8"/>
    <w:rsid w:val="001A1FC7"/>
    <w:rsid w:val="001A2A9A"/>
    <w:rsid w:val="001A33E8"/>
    <w:rsid w:val="001A3B9E"/>
    <w:rsid w:val="001A4609"/>
    <w:rsid w:val="001A4BB2"/>
    <w:rsid w:val="001A58DD"/>
    <w:rsid w:val="001A58E8"/>
    <w:rsid w:val="001A5DC8"/>
    <w:rsid w:val="001A608F"/>
    <w:rsid w:val="001A62C2"/>
    <w:rsid w:val="001A687E"/>
    <w:rsid w:val="001A762C"/>
    <w:rsid w:val="001A7BEE"/>
    <w:rsid w:val="001B01C5"/>
    <w:rsid w:val="001B0350"/>
    <w:rsid w:val="001B049B"/>
    <w:rsid w:val="001B0501"/>
    <w:rsid w:val="001B082C"/>
    <w:rsid w:val="001B08A7"/>
    <w:rsid w:val="001B0B3E"/>
    <w:rsid w:val="001B12AE"/>
    <w:rsid w:val="001B1780"/>
    <w:rsid w:val="001B1886"/>
    <w:rsid w:val="001B1F00"/>
    <w:rsid w:val="001B225D"/>
    <w:rsid w:val="001B2724"/>
    <w:rsid w:val="001B2AAD"/>
    <w:rsid w:val="001B2F88"/>
    <w:rsid w:val="001B33D1"/>
    <w:rsid w:val="001B34EF"/>
    <w:rsid w:val="001B3A37"/>
    <w:rsid w:val="001B48ED"/>
    <w:rsid w:val="001B5388"/>
    <w:rsid w:val="001B61DA"/>
    <w:rsid w:val="001B6949"/>
    <w:rsid w:val="001B6AEB"/>
    <w:rsid w:val="001B6BDF"/>
    <w:rsid w:val="001B6FB1"/>
    <w:rsid w:val="001B70A0"/>
    <w:rsid w:val="001B7515"/>
    <w:rsid w:val="001B76DD"/>
    <w:rsid w:val="001B7B4C"/>
    <w:rsid w:val="001C0E7D"/>
    <w:rsid w:val="001C14E6"/>
    <w:rsid w:val="001C1898"/>
    <w:rsid w:val="001C2106"/>
    <w:rsid w:val="001C2182"/>
    <w:rsid w:val="001C22C2"/>
    <w:rsid w:val="001C2637"/>
    <w:rsid w:val="001C284B"/>
    <w:rsid w:val="001C29B6"/>
    <w:rsid w:val="001C2A20"/>
    <w:rsid w:val="001C357A"/>
    <w:rsid w:val="001C3DE7"/>
    <w:rsid w:val="001C4576"/>
    <w:rsid w:val="001C4D24"/>
    <w:rsid w:val="001C69A1"/>
    <w:rsid w:val="001C6AEF"/>
    <w:rsid w:val="001C7361"/>
    <w:rsid w:val="001C7C4E"/>
    <w:rsid w:val="001C7C9D"/>
    <w:rsid w:val="001D0C49"/>
    <w:rsid w:val="001D1175"/>
    <w:rsid w:val="001D14D5"/>
    <w:rsid w:val="001D2675"/>
    <w:rsid w:val="001D34B3"/>
    <w:rsid w:val="001D39A3"/>
    <w:rsid w:val="001D3F37"/>
    <w:rsid w:val="001D4583"/>
    <w:rsid w:val="001D4608"/>
    <w:rsid w:val="001D4CD1"/>
    <w:rsid w:val="001D5AED"/>
    <w:rsid w:val="001D5B00"/>
    <w:rsid w:val="001D5D68"/>
    <w:rsid w:val="001D61E5"/>
    <w:rsid w:val="001D6555"/>
    <w:rsid w:val="001D6B3B"/>
    <w:rsid w:val="001D704E"/>
    <w:rsid w:val="001D7F49"/>
    <w:rsid w:val="001E0091"/>
    <w:rsid w:val="001E009C"/>
    <w:rsid w:val="001E00A0"/>
    <w:rsid w:val="001E0532"/>
    <w:rsid w:val="001E083A"/>
    <w:rsid w:val="001E188E"/>
    <w:rsid w:val="001E2DB2"/>
    <w:rsid w:val="001E37BC"/>
    <w:rsid w:val="001E425B"/>
    <w:rsid w:val="001E42D1"/>
    <w:rsid w:val="001E43C9"/>
    <w:rsid w:val="001E4512"/>
    <w:rsid w:val="001E4610"/>
    <w:rsid w:val="001E5289"/>
    <w:rsid w:val="001E58BA"/>
    <w:rsid w:val="001E5E26"/>
    <w:rsid w:val="001E5FBD"/>
    <w:rsid w:val="001E639E"/>
    <w:rsid w:val="001E669C"/>
    <w:rsid w:val="001F06AA"/>
    <w:rsid w:val="001F16B8"/>
    <w:rsid w:val="001F27F3"/>
    <w:rsid w:val="001F32DE"/>
    <w:rsid w:val="001F42FE"/>
    <w:rsid w:val="001F4FB9"/>
    <w:rsid w:val="001F4FF0"/>
    <w:rsid w:val="001F5985"/>
    <w:rsid w:val="001F5B23"/>
    <w:rsid w:val="001F5BB0"/>
    <w:rsid w:val="001F5FB7"/>
    <w:rsid w:val="001F6381"/>
    <w:rsid w:val="001F7074"/>
    <w:rsid w:val="001F7089"/>
    <w:rsid w:val="001F72E4"/>
    <w:rsid w:val="001F7453"/>
    <w:rsid w:val="001F78EC"/>
    <w:rsid w:val="00200B2A"/>
    <w:rsid w:val="00200D0F"/>
    <w:rsid w:val="00201725"/>
    <w:rsid w:val="00201760"/>
    <w:rsid w:val="00201A4C"/>
    <w:rsid w:val="00201B1B"/>
    <w:rsid w:val="00201F6C"/>
    <w:rsid w:val="0020220E"/>
    <w:rsid w:val="00202C28"/>
    <w:rsid w:val="0020337C"/>
    <w:rsid w:val="002036DF"/>
    <w:rsid w:val="00203934"/>
    <w:rsid w:val="00203952"/>
    <w:rsid w:val="00204089"/>
    <w:rsid w:val="00204327"/>
    <w:rsid w:val="0020449E"/>
    <w:rsid w:val="002048E2"/>
    <w:rsid w:val="00204AAE"/>
    <w:rsid w:val="00205F9F"/>
    <w:rsid w:val="00206281"/>
    <w:rsid w:val="00207178"/>
    <w:rsid w:val="00211072"/>
    <w:rsid w:val="00211187"/>
    <w:rsid w:val="002117E9"/>
    <w:rsid w:val="00212903"/>
    <w:rsid w:val="00213003"/>
    <w:rsid w:val="00213165"/>
    <w:rsid w:val="00213172"/>
    <w:rsid w:val="002137F4"/>
    <w:rsid w:val="00214D5B"/>
    <w:rsid w:val="002156A9"/>
    <w:rsid w:val="0021589A"/>
    <w:rsid w:val="00215A97"/>
    <w:rsid w:val="00215AB4"/>
    <w:rsid w:val="00215DD9"/>
    <w:rsid w:val="00216DC5"/>
    <w:rsid w:val="002174E6"/>
    <w:rsid w:val="00217559"/>
    <w:rsid w:val="002200F5"/>
    <w:rsid w:val="0022051A"/>
    <w:rsid w:val="0022198F"/>
    <w:rsid w:val="00221E0A"/>
    <w:rsid w:val="00222587"/>
    <w:rsid w:val="002229CB"/>
    <w:rsid w:val="00222B1E"/>
    <w:rsid w:val="00222E9B"/>
    <w:rsid w:val="00223050"/>
    <w:rsid w:val="00223CFD"/>
    <w:rsid w:val="002240B5"/>
    <w:rsid w:val="0022445C"/>
    <w:rsid w:val="0022487A"/>
    <w:rsid w:val="00224B1F"/>
    <w:rsid w:val="00224FB8"/>
    <w:rsid w:val="00226484"/>
    <w:rsid w:val="002273C0"/>
    <w:rsid w:val="002274A2"/>
    <w:rsid w:val="00227C86"/>
    <w:rsid w:val="002304A4"/>
    <w:rsid w:val="00230533"/>
    <w:rsid w:val="00230B4E"/>
    <w:rsid w:val="00230DA2"/>
    <w:rsid w:val="00230E23"/>
    <w:rsid w:val="002310A4"/>
    <w:rsid w:val="00231669"/>
    <w:rsid w:val="00231A8E"/>
    <w:rsid w:val="00231D55"/>
    <w:rsid w:val="002320D5"/>
    <w:rsid w:val="00232C7A"/>
    <w:rsid w:val="00232CCE"/>
    <w:rsid w:val="00232D68"/>
    <w:rsid w:val="00233A7B"/>
    <w:rsid w:val="00234201"/>
    <w:rsid w:val="00234351"/>
    <w:rsid w:val="00234ECD"/>
    <w:rsid w:val="00235AB0"/>
    <w:rsid w:val="00235B04"/>
    <w:rsid w:val="002371A7"/>
    <w:rsid w:val="00237C6C"/>
    <w:rsid w:val="002402E2"/>
    <w:rsid w:val="002409D4"/>
    <w:rsid w:val="00240C3E"/>
    <w:rsid w:val="00240CA2"/>
    <w:rsid w:val="00240D07"/>
    <w:rsid w:val="00240F01"/>
    <w:rsid w:val="00241005"/>
    <w:rsid w:val="0024288B"/>
    <w:rsid w:val="00243550"/>
    <w:rsid w:val="00243995"/>
    <w:rsid w:val="002439FB"/>
    <w:rsid w:val="00243CAD"/>
    <w:rsid w:val="00244D21"/>
    <w:rsid w:val="002453E1"/>
    <w:rsid w:val="00246426"/>
    <w:rsid w:val="002464BB"/>
    <w:rsid w:val="00246525"/>
    <w:rsid w:val="00246560"/>
    <w:rsid w:val="00246695"/>
    <w:rsid w:val="00246732"/>
    <w:rsid w:val="00247A59"/>
    <w:rsid w:val="00250170"/>
    <w:rsid w:val="002507BF"/>
    <w:rsid w:val="00250899"/>
    <w:rsid w:val="00251275"/>
    <w:rsid w:val="00251FF0"/>
    <w:rsid w:val="00252104"/>
    <w:rsid w:val="00252E64"/>
    <w:rsid w:val="00253806"/>
    <w:rsid w:val="00254376"/>
    <w:rsid w:val="00254665"/>
    <w:rsid w:val="00254709"/>
    <w:rsid w:val="00254D48"/>
    <w:rsid w:val="00255137"/>
    <w:rsid w:val="00255604"/>
    <w:rsid w:val="00255685"/>
    <w:rsid w:val="00255BFF"/>
    <w:rsid w:val="00255C2A"/>
    <w:rsid w:val="00256A63"/>
    <w:rsid w:val="00256E7F"/>
    <w:rsid w:val="002606E9"/>
    <w:rsid w:val="0026093B"/>
    <w:rsid w:val="00260AC4"/>
    <w:rsid w:val="00260BDA"/>
    <w:rsid w:val="00260F4E"/>
    <w:rsid w:val="00261309"/>
    <w:rsid w:val="0026179E"/>
    <w:rsid w:val="00261828"/>
    <w:rsid w:val="00261B4A"/>
    <w:rsid w:val="002622E3"/>
    <w:rsid w:val="00262DB8"/>
    <w:rsid w:val="0026314F"/>
    <w:rsid w:val="00263318"/>
    <w:rsid w:val="00264C72"/>
    <w:rsid w:val="00265704"/>
    <w:rsid w:val="0026605E"/>
    <w:rsid w:val="002661A1"/>
    <w:rsid w:val="00266209"/>
    <w:rsid w:val="00266304"/>
    <w:rsid w:val="002664F0"/>
    <w:rsid w:val="002666F3"/>
    <w:rsid w:val="00266B98"/>
    <w:rsid w:val="00267C65"/>
    <w:rsid w:val="0027002A"/>
    <w:rsid w:val="00270409"/>
    <w:rsid w:val="0027139B"/>
    <w:rsid w:val="00271E33"/>
    <w:rsid w:val="00272269"/>
    <w:rsid w:val="002729E0"/>
    <w:rsid w:val="00272B18"/>
    <w:rsid w:val="00273ACC"/>
    <w:rsid w:val="00273B3A"/>
    <w:rsid w:val="00274698"/>
    <w:rsid w:val="00274B71"/>
    <w:rsid w:val="00275C23"/>
    <w:rsid w:val="00276375"/>
    <w:rsid w:val="00276401"/>
    <w:rsid w:val="0027652D"/>
    <w:rsid w:val="0027674A"/>
    <w:rsid w:val="00276C5B"/>
    <w:rsid w:val="002771A7"/>
    <w:rsid w:val="002773DB"/>
    <w:rsid w:val="00277AA3"/>
    <w:rsid w:val="002819CE"/>
    <w:rsid w:val="00281A0E"/>
    <w:rsid w:val="00282B82"/>
    <w:rsid w:val="00283E71"/>
    <w:rsid w:val="00284146"/>
    <w:rsid w:val="0028430F"/>
    <w:rsid w:val="0028454A"/>
    <w:rsid w:val="002846D0"/>
    <w:rsid w:val="00285205"/>
    <w:rsid w:val="00286131"/>
    <w:rsid w:val="002862DF"/>
    <w:rsid w:val="00286391"/>
    <w:rsid w:val="00286C26"/>
    <w:rsid w:val="00287025"/>
    <w:rsid w:val="002872F9"/>
    <w:rsid w:val="0028794E"/>
    <w:rsid w:val="002909B0"/>
    <w:rsid w:val="002909DB"/>
    <w:rsid w:val="002914A1"/>
    <w:rsid w:val="00291528"/>
    <w:rsid w:val="0029185C"/>
    <w:rsid w:val="00291CAB"/>
    <w:rsid w:val="00292572"/>
    <w:rsid w:val="00292AA5"/>
    <w:rsid w:val="00294513"/>
    <w:rsid w:val="002948D4"/>
    <w:rsid w:val="00294FAD"/>
    <w:rsid w:val="002967FE"/>
    <w:rsid w:val="00296914"/>
    <w:rsid w:val="00296D1B"/>
    <w:rsid w:val="0029779D"/>
    <w:rsid w:val="00297DAE"/>
    <w:rsid w:val="002A022C"/>
    <w:rsid w:val="002A05D7"/>
    <w:rsid w:val="002A1BC9"/>
    <w:rsid w:val="002A2007"/>
    <w:rsid w:val="002A2022"/>
    <w:rsid w:val="002A20B6"/>
    <w:rsid w:val="002A20D7"/>
    <w:rsid w:val="002A2476"/>
    <w:rsid w:val="002A27E4"/>
    <w:rsid w:val="002A2C8B"/>
    <w:rsid w:val="002A2CCE"/>
    <w:rsid w:val="002A3749"/>
    <w:rsid w:val="002A3920"/>
    <w:rsid w:val="002A3C68"/>
    <w:rsid w:val="002A3C96"/>
    <w:rsid w:val="002A3F73"/>
    <w:rsid w:val="002A42D3"/>
    <w:rsid w:val="002A4A59"/>
    <w:rsid w:val="002A531E"/>
    <w:rsid w:val="002A5663"/>
    <w:rsid w:val="002A6628"/>
    <w:rsid w:val="002A6E93"/>
    <w:rsid w:val="002A6F84"/>
    <w:rsid w:val="002A75C3"/>
    <w:rsid w:val="002B019E"/>
    <w:rsid w:val="002B0565"/>
    <w:rsid w:val="002B05C1"/>
    <w:rsid w:val="002B08F0"/>
    <w:rsid w:val="002B1464"/>
    <w:rsid w:val="002B1860"/>
    <w:rsid w:val="002B1BDF"/>
    <w:rsid w:val="002B20A9"/>
    <w:rsid w:val="002B2358"/>
    <w:rsid w:val="002B24D8"/>
    <w:rsid w:val="002B2B87"/>
    <w:rsid w:val="002B341E"/>
    <w:rsid w:val="002B3C09"/>
    <w:rsid w:val="002B4CE1"/>
    <w:rsid w:val="002B4D9A"/>
    <w:rsid w:val="002B51F0"/>
    <w:rsid w:val="002B5791"/>
    <w:rsid w:val="002B58F8"/>
    <w:rsid w:val="002B5C29"/>
    <w:rsid w:val="002B6BA9"/>
    <w:rsid w:val="002C02CF"/>
    <w:rsid w:val="002C0BA6"/>
    <w:rsid w:val="002C0C97"/>
    <w:rsid w:val="002C112F"/>
    <w:rsid w:val="002C12B2"/>
    <w:rsid w:val="002C15AA"/>
    <w:rsid w:val="002C24EA"/>
    <w:rsid w:val="002C28B6"/>
    <w:rsid w:val="002C32AB"/>
    <w:rsid w:val="002C3455"/>
    <w:rsid w:val="002C3502"/>
    <w:rsid w:val="002C377A"/>
    <w:rsid w:val="002C39B3"/>
    <w:rsid w:val="002C3EC5"/>
    <w:rsid w:val="002C57B2"/>
    <w:rsid w:val="002C5A43"/>
    <w:rsid w:val="002C6B02"/>
    <w:rsid w:val="002C700B"/>
    <w:rsid w:val="002C7127"/>
    <w:rsid w:val="002C7561"/>
    <w:rsid w:val="002C781B"/>
    <w:rsid w:val="002C7CBA"/>
    <w:rsid w:val="002D020D"/>
    <w:rsid w:val="002D09BA"/>
    <w:rsid w:val="002D0BB9"/>
    <w:rsid w:val="002D0C9E"/>
    <w:rsid w:val="002D1081"/>
    <w:rsid w:val="002D135E"/>
    <w:rsid w:val="002D14AA"/>
    <w:rsid w:val="002D1D04"/>
    <w:rsid w:val="002D21F8"/>
    <w:rsid w:val="002D23BA"/>
    <w:rsid w:val="002D23FA"/>
    <w:rsid w:val="002D248F"/>
    <w:rsid w:val="002D268A"/>
    <w:rsid w:val="002D268C"/>
    <w:rsid w:val="002D26EF"/>
    <w:rsid w:val="002D2A47"/>
    <w:rsid w:val="002D2FD3"/>
    <w:rsid w:val="002D32ED"/>
    <w:rsid w:val="002D3A6F"/>
    <w:rsid w:val="002D4863"/>
    <w:rsid w:val="002D5B49"/>
    <w:rsid w:val="002D5B90"/>
    <w:rsid w:val="002D5F12"/>
    <w:rsid w:val="002D604B"/>
    <w:rsid w:val="002D6137"/>
    <w:rsid w:val="002D616B"/>
    <w:rsid w:val="002D66EB"/>
    <w:rsid w:val="002D6D9D"/>
    <w:rsid w:val="002D7301"/>
    <w:rsid w:val="002D7AD5"/>
    <w:rsid w:val="002D7D77"/>
    <w:rsid w:val="002E016E"/>
    <w:rsid w:val="002E04C6"/>
    <w:rsid w:val="002E16EB"/>
    <w:rsid w:val="002E1D7C"/>
    <w:rsid w:val="002E22B2"/>
    <w:rsid w:val="002E3A28"/>
    <w:rsid w:val="002E3CD5"/>
    <w:rsid w:val="002E3D64"/>
    <w:rsid w:val="002E544E"/>
    <w:rsid w:val="002E5CDD"/>
    <w:rsid w:val="002E65C0"/>
    <w:rsid w:val="002E6C23"/>
    <w:rsid w:val="002E6C73"/>
    <w:rsid w:val="002E75BF"/>
    <w:rsid w:val="002E7C85"/>
    <w:rsid w:val="002E7ED1"/>
    <w:rsid w:val="002F06FA"/>
    <w:rsid w:val="002F0876"/>
    <w:rsid w:val="002F0EFD"/>
    <w:rsid w:val="002F1640"/>
    <w:rsid w:val="002F2477"/>
    <w:rsid w:val="002F2832"/>
    <w:rsid w:val="002F340A"/>
    <w:rsid w:val="002F361C"/>
    <w:rsid w:val="002F39AD"/>
    <w:rsid w:val="002F4177"/>
    <w:rsid w:val="002F44A2"/>
    <w:rsid w:val="002F4601"/>
    <w:rsid w:val="002F4AD3"/>
    <w:rsid w:val="002F4B67"/>
    <w:rsid w:val="002F4E9B"/>
    <w:rsid w:val="002F6343"/>
    <w:rsid w:val="002F6690"/>
    <w:rsid w:val="002F67EE"/>
    <w:rsid w:val="002F6CA5"/>
    <w:rsid w:val="002F6E8C"/>
    <w:rsid w:val="002F7718"/>
    <w:rsid w:val="002F7CE9"/>
    <w:rsid w:val="00300080"/>
    <w:rsid w:val="00301569"/>
    <w:rsid w:val="00301618"/>
    <w:rsid w:val="00301706"/>
    <w:rsid w:val="00302C46"/>
    <w:rsid w:val="00302C6E"/>
    <w:rsid w:val="00303A92"/>
    <w:rsid w:val="00303E94"/>
    <w:rsid w:val="00304268"/>
    <w:rsid w:val="0030434A"/>
    <w:rsid w:val="00304B16"/>
    <w:rsid w:val="00304DD7"/>
    <w:rsid w:val="003055B9"/>
    <w:rsid w:val="00305E92"/>
    <w:rsid w:val="00305F5C"/>
    <w:rsid w:val="00306877"/>
    <w:rsid w:val="00306A1B"/>
    <w:rsid w:val="00306C4C"/>
    <w:rsid w:val="00307598"/>
    <w:rsid w:val="003077AA"/>
    <w:rsid w:val="00310359"/>
    <w:rsid w:val="00310540"/>
    <w:rsid w:val="00310890"/>
    <w:rsid w:val="003111E6"/>
    <w:rsid w:val="003117B6"/>
    <w:rsid w:val="00311886"/>
    <w:rsid w:val="00311A04"/>
    <w:rsid w:val="00311E0A"/>
    <w:rsid w:val="003128C3"/>
    <w:rsid w:val="0031334F"/>
    <w:rsid w:val="003135B8"/>
    <w:rsid w:val="00313605"/>
    <w:rsid w:val="00313A66"/>
    <w:rsid w:val="00314F12"/>
    <w:rsid w:val="003159B9"/>
    <w:rsid w:val="00315AE0"/>
    <w:rsid w:val="00315B5A"/>
    <w:rsid w:val="00315FA2"/>
    <w:rsid w:val="0031602B"/>
    <w:rsid w:val="00316186"/>
    <w:rsid w:val="00316CB6"/>
    <w:rsid w:val="00317A00"/>
    <w:rsid w:val="00320596"/>
    <w:rsid w:val="00320C8E"/>
    <w:rsid w:val="00321D71"/>
    <w:rsid w:val="0032221E"/>
    <w:rsid w:val="00322A3D"/>
    <w:rsid w:val="00322ABD"/>
    <w:rsid w:val="00323157"/>
    <w:rsid w:val="003235D4"/>
    <w:rsid w:val="00323CCA"/>
    <w:rsid w:val="00323E38"/>
    <w:rsid w:val="00323F1F"/>
    <w:rsid w:val="00324C37"/>
    <w:rsid w:val="00324C91"/>
    <w:rsid w:val="0032512A"/>
    <w:rsid w:val="00325E49"/>
    <w:rsid w:val="003261D6"/>
    <w:rsid w:val="00326731"/>
    <w:rsid w:val="003269CA"/>
    <w:rsid w:val="00327198"/>
    <w:rsid w:val="00327361"/>
    <w:rsid w:val="00330179"/>
    <w:rsid w:val="003307FA"/>
    <w:rsid w:val="00330826"/>
    <w:rsid w:val="00330F37"/>
    <w:rsid w:val="00331D0F"/>
    <w:rsid w:val="00331D12"/>
    <w:rsid w:val="0033216F"/>
    <w:rsid w:val="0033225C"/>
    <w:rsid w:val="003327AD"/>
    <w:rsid w:val="00332BFC"/>
    <w:rsid w:val="00333233"/>
    <w:rsid w:val="00333B8C"/>
    <w:rsid w:val="00334614"/>
    <w:rsid w:val="00335689"/>
    <w:rsid w:val="003358CE"/>
    <w:rsid w:val="00335A79"/>
    <w:rsid w:val="00335CD4"/>
    <w:rsid w:val="003360DE"/>
    <w:rsid w:val="00336F32"/>
    <w:rsid w:val="0033750A"/>
    <w:rsid w:val="003375E8"/>
    <w:rsid w:val="00337738"/>
    <w:rsid w:val="00337A4C"/>
    <w:rsid w:val="00340483"/>
    <w:rsid w:val="00340C6F"/>
    <w:rsid w:val="00340E1F"/>
    <w:rsid w:val="00341119"/>
    <w:rsid w:val="00341421"/>
    <w:rsid w:val="00341824"/>
    <w:rsid w:val="003420B6"/>
    <w:rsid w:val="003422DC"/>
    <w:rsid w:val="00342517"/>
    <w:rsid w:val="003435CF"/>
    <w:rsid w:val="003436E8"/>
    <w:rsid w:val="00343F31"/>
    <w:rsid w:val="00344075"/>
    <w:rsid w:val="0034407B"/>
    <w:rsid w:val="0034448F"/>
    <w:rsid w:val="0034483B"/>
    <w:rsid w:val="003459D3"/>
    <w:rsid w:val="00346427"/>
    <w:rsid w:val="003475BF"/>
    <w:rsid w:val="00350681"/>
    <w:rsid w:val="00350CED"/>
    <w:rsid w:val="003515A7"/>
    <w:rsid w:val="00351DA4"/>
    <w:rsid w:val="00351F82"/>
    <w:rsid w:val="003528C6"/>
    <w:rsid w:val="003528D6"/>
    <w:rsid w:val="00352F8F"/>
    <w:rsid w:val="003534C6"/>
    <w:rsid w:val="00354540"/>
    <w:rsid w:val="00354BB8"/>
    <w:rsid w:val="00354D16"/>
    <w:rsid w:val="00355E6E"/>
    <w:rsid w:val="00356891"/>
    <w:rsid w:val="003570C1"/>
    <w:rsid w:val="003572EC"/>
    <w:rsid w:val="00357509"/>
    <w:rsid w:val="003579EE"/>
    <w:rsid w:val="00357F2F"/>
    <w:rsid w:val="00360210"/>
    <w:rsid w:val="0036054D"/>
    <w:rsid w:val="00360922"/>
    <w:rsid w:val="003610EE"/>
    <w:rsid w:val="0036110F"/>
    <w:rsid w:val="003618DC"/>
    <w:rsid w:val="00363013"/>
    <w:rsid w:val="0036321D"/>
    <w:rsid w:val="003634B9"/>
    <w:rsid w:val="003637C1"/>
    <w:rsid w:val="00363848"/>
    <w:rsid w:val="00363C5B"/>
    <w:rsid w:val="00363D1B"/>
    <w:rsid w:val="00363DAA"/>
    <w:rsid w:val="00363E9E"/>
    <w:rsid w:val="003643DE"/>
    <w:rsid w:val="00364714"/>
    <w:rsid w:val="003649C4"/>
    <w:rsid w:val="00364F53"/>
    <w:rsid w:val="003650C7"/>
    <w:rsid w:val="003655C3"/>
    <w:rsid w:val="00365B80"/>
    <w:rsid w:val="00366F47"/>
    <w:rsid w:val="0036717B"/>
    <w:rsid w:val="00367910"/>
    <w:rsid w:val="003679E4"/>
    <w:rsid w:val="00367D43"/>
    <w:rsid w:val="00370014"/>
    <w:rsid w:val="00370866"/>
    <w:rsid w:val="00371D4E"/>
    <w:rsid w:val="00371F84"/>
    <w:rsid w:val="003722ED"/>
    <w:rsid w:val="0037230D"/>
    <w:rsid w:val="00372887"/>
    <w:rsid w:val="00372E18"/>
    <w:rsid w:val="00373D0F"/>
    <w:rsid w:val="00374971"/>
    <w:rsid w:val="003764D2"/>
    <w:rsid w:val="003769D2"/>
    <w:rsid w:val="003770CB"/>
    <w:rsid w:val="0037732B"/>
    <w:rsid w:val="00377384"/>
    <w:rsid w:val="003773A8"/>
    <w:rsid w:val="003777D6"/>
    <w:rsid w:val="00380C3B"/>
    <w:rsid w:val="003818A5"/>
    <w:rsid w:val="00382953"/>
    <w:rsid w:val="00382D89"/>
    <w:rsid w:val="003831D9"/>
    <w:rsid w:val="003832C6"/>
    <w:rsid w:val="003832F7"/>
    <w:rsid w:val="00383511"/>
    <w:rsid w:val="00383D65"/>
    <w:rsid w:val="00385077"/>
    <w:rsid w:val="00385CCB"/>
    <w:rsid w:val="003866E5"/>
    <w:rsid w:val="00386A2F"/>
    <w:rsid w:val="00387307"/>
    <w:rsid w:val="003875A0"/>
    <w:rsid w:val="0039018B"/>
    <w:rsid w:val="0039070F"/>
    <w:rsid w:val="00390937"/>
    <w:rsid w:val="0039097B"/>
    <w:rsid w:val="00391A4A"/>
    <w:rsid w:val="00391DF6"/>
    <w:rsid w:val="00392BA4"/>
    <w:rsid w:val="00392FD0"/>
    <w:rsid w:val="0039321B"/>
    <w:rsid w:val="003934E4"/>
    <w:rsid w:val="0039369D"/>
    <w:rsid w:val="003936C4"/>
    <w:rsid w:val="003944B0"/>
    <w:rsid w:val="003951F9"/>
    <w:rsid w:val="00395E7C"/>
    <w:rsid w:val="0039636B"/>
    <w:rsid w:val="0039641B"/>
    <w:rsid w:val="00396636"/>
    <w:rsid w:val="00396FAC"/>
    <w:rsid w:val="00397036"/>
    <w:rsid w:val="0039789E"/>
    <w:rsid w:val="00397B42"/>
    <w:rsid w:val="00397C81"/>
    <w:rsid w:val="00397F13"/>
    <w:rsid w:val="003A06CF"/>
    <w:rsid w:val="003A0848"/>
    <w:rsid w:val="003A0E65"/>
    <w:rsid w:val="003A15BA"/>
    <w:rsid w:val="003A1AC7"/>
    <w:rsid w:val="003A20F4"/>
    <w:rsid w:val="003A2408"/>
    <w:rsid w:val="003A25DB"/>
    <w:rsid w:val="003A278B"/>
    <w:rsid w:val="003A2D25"/>
    <w:rsid w:val="003A364F"/>
    <w:rsid w:val="003A3817"/>
    <w:rsid w:val="003A4BFB"/>
    <w:rsid w:val="003A5968"/>
    <w:rsid w:val="003A715A"/>
    <w:rsid w:val="003A7430"/>
    <w:rsid w:val="003A7D43"/>
    <w:rsid w:val="003A7D4D"/>
    <w:rsid w:val="003A7E86"/>
    <w:rsid w:val="003B0548"/>
    <w:rsid w:val="003B0BDB"/>
    <w:rsid w:val="003B0EE2"/>
    <w:rsid w:val="003B18ED"/>
    <w:rsid w:val="003B1DBE"/>
    <w:rsid w:val="003B20C4"/>
    <w:rsid w:val="003B22AF"/>
    <w:rsid w:val="003B2DDC"/>
    <w:rsid w:val="003B2EF0"/>
    <w:rsid w:val="003B39DB"/>
    <w:rsid w:val="003B3DB9"/>
    <w:rsid w:val="003B3EE0"/>
    <w:rsid w:val="003B4B27"/>
    <w:rsid w:val="003B4F4B"/>
    <w:rsid w:val="003B512E"/>
    <w:rsid w:val="003B5DBA"/>
    <w:rsid w:val="003B614B"/>
    <w:rsid w:val="003B651B"/>
    <w:rsid w:val="003B66ED"/>
    <w:rsid w:val="003B6783"/>
    <w:rsid w:val="003B6FC7"/>
    <w:rsid w:val="003B7558"/>
    <w:rsid w:val="003B7824"/>
    <w:rsid w:val="003B7B59"/>
    <w:rsid w:val="003C0300"/>
    <w:rsid w:val="003C038E"/>
    <w:rsid w:val="003C0424"/>
    <w:rsid w:val="003C09B6"/>
    <w:rsid w:val="003C1536"/>
    <w:rsid w:val="003C1663"/>
    <w:rsid w:val="003C1BBA"/>
    <w:rsid w:val="003C1CF2"/>
    <w:rsid w:val="003C29B0"/>
    <w:rsid w:val="003C2ABB"/>
    <w:rsid w:val="003C34D4"/>
    <w:rsid w:val="003C35A5"/>
    <w:rsid w:val="003C3699"/>
    <w:rsid w:val="003C3EFD"/>
    <w:rsid w:val="003C4B14"/>
    <w:rsid w:val="003C58F5"/>
    <w:rsid w:val="003C59C5"/>
    <w:rsid w:val="003C6464"/>
    <w:rsid w:val="003C6E8B"/>
    <w:rsid w:val="003C71E6"/>
    <w:rsid w:val="003C7212"/>
    <w:rsid w:val="003C7C2E"/>
    <w:rsid w:val="003D0B52"/>
    <w:rsid w:val="003D1568"/>
    <w:rsid w:val="003D15A0"/>
    <w:rsid w:val="003D1D3D"/>
    <w:rsid w:val="003D21CB"/>
    <w:rsid w:val="003D2B42"/>
    <w:rsid w:val="003D2C41"/>
    <w:rsid w:val="003D307F"/>
    <w:rsid w:val="003D33D8"/>
    <w:rsid w:val="003D3A82"/>
    <w:rsid w:val="003D3B11"/>
    <w:rsid w:val="003D3CA3"/>
    <w:rsid w:val="003D40C9"/>
    <w:rsid w:val="003D46BC"/>
    <w:rsid w:val="003D49EB"/>
    <w:rsid w:val="003D4C85"/>
    <w:rsid w:val="003D4C8C"/>
    <w:rsid w:val="003D54B0"/>
    <w:rsid w:val="003D57FE"/>
    <w:rsid w:val="003D6575"/>
    <w:rsid w:val="003D6694"/>
    <w:rsid w:val="003D669B"/>
    <w:rsid w:val="003D7452"/>
    <w:rsid w:val="003D785C"/>
    <w:rsid w:val="003D79B9"/>
    <w:rsid w:val="003D7A7D"/>
    <w:rsid w:val="003E0006"/>
    <w:rsid w:val="003E00CE"/>
    <w:rsid w:val="003E1240"/>
    <w:rsid w:val="003E127D"/>
    <w:rsid w:val="003E16C1"/>
    <w:rsid w:val="003E1795"/>
    <w:rsid w:val="003E1CDD"/>
    <w:rsid w:val="003E2D8F"/>
    <w:rsid w:val="003E34EA"/>
    <w:rsid w:val="003E3A40"/>
    <w:rsid w:val="003E3D5C"/>
    <w:rsid w:val="003E44A2"/>
    <w:rsid w:val="003E45FD"/>
    <w:rsid w:val="003E4A16"/>
    <w:rsid w:val="003E4A5E"/>
    <w:rsid w:val="003E5E70"/>
    <w:rsid w:val="003E5F2D"/>
    <w:rsid w:val="003E626F"/>
    <w:rsid w:val="003E62A4"/>
    <w:rsid w:val="003E6A45"/>
    <w:rsid w:val="003E6B58"/>
    <w:rsid w:val="003E6B6A"/>
    <w:rsid w:val="003E6B8D"/>
    <w:rsid w:val="003E6DC5"/>
    <w:rsid w:val="003E7B90"/>
    <w:rsid w:val="003E7BB6"/>
    <w:rsid w:val="003E7CC9"/>
    <w:rsid w:val="003E7E0F"/>
    <w:rsid w:val="003E7FA4"/>
    <w:rsid w:val="003F028D"/>
    <w:rsid w:val="003F055E"/>
    <w:rsid w:val="003F0920"/>
    <w:rsid w:val="003F0BCF"/>
    <w:rsid w:val="003F0E2F"/>
    <w:rsid w:val="003F1198"/>
    <w:rsid w:val="003F290E"/>
    <w:rsid w:val="003F3008"/>
    <w:rsid w:val="003F3384"/>
    <w:rsid w:val="003F3A16"/>
    <w:rsid w:val="003F3FCA"/>
    <w:rsid w:val="003F4997"/>
    <w:rsid w:val="003F4FF4"/>
    <w:rsid w:val="003F50E5"/>
    <w:rsid w:val="003F5249"/>
    <w:rsid w:val="003F606E"/>
    <w:rsid w:val="003F66DB"/>
    <w:rsid w:val="003F68B7"/>
    <w:rsid w:val="003F7603"/>
    <w:rsid w:val="003F79C1"/>
    <w:rsid w:val="003F7C3E"/>
    <w:rsid w:val="0040007C"/>
    <w:rsid w:val="00400621"/>
    <w:rsid w:val="0040105C"/>
    <w:rsid w:val="0040119D"/>
    <w:rsid w:val="0040132D"/>
    <w:rsid w:val="0040136C"/>
    <w:rsid w:val="004024EC"/>
    <w:rsid w:val="004034C3"/>
    <w:rsid w:val="0040351D"/>
    <w:rsid w:val="0040361E"/>
    <w:rsid w:val="004039A3"/>
    <w:rsid w:val="00403D7B"/>
    <w:rsid w:val="004043AF"/>
    <w:rsid w:val="00404AB9"/>
    <w:rsid w:val="00404CED"/>
    <w:rsid w:val="00404EE1"/>
    <w:rsid w:val="00404FA4"/>
    <w:rsid w:val="0040519A"/>
    <w:rsid w:val="0040576C"/>
    <w:rsid w:val="004061A5"/>
    <w:rsid w:val="004065FC"/>
    <w:rsid w:val="00406674"/>
    <w:rsid w:val="00406C8F"/>
    <w:rsid w:val="00407311"/>
    <w:rsid w:val="004100CB"/>
    <w:rsid w:val="00410724"/>
    <w:rsid w:val="0041089C"/>
    <w:rsid w:val="004108CC"/>
    <w:rsid w:val="00411347"/>
    <w:rsid w:val="0041186D"/>
    <w:rsid w:val="00411A36"/>
    <w:rsid w:val="004120FA"/>
    <w:rsid w:val="00412445"/>
    <w:rsid w:val="004124A2"/>
    <w:rsid w:val="00412801"/>
    <w:rsid w:val="0041280A"/>
    <w:rsid w:val="00413182"/>
    <w:rsid w:val="00413579"/>
    <w:rsid w:val="004135E1"/>
    <w:rsid w:val="00414D1E"/>
    <w:rsid w:val="00414DDB"/>
    <w:rsid w:val="00415274"/>
    <w:rsid w:val="00415EC5"/>
    <w:rsid w:val="00415EFE"/>
    <w:rsid w:val="00415F0B"/>
    <w:rsid w:val="004172C8"/>
    <w:rsid w:val="00417952"/>
    <w:rsid w:val="00417A13"/>
    <w:rsid w:val="00417B19"/>
    <w:rsid w:val="00417FE2"/>
    <w:rsid w:val="00420090"/>
    <w:rsid w:val="004200A2"/>
    <w:rsid w:val="00420776"/>
    <w:rsid w:val="0042079A"/>
    <w:rsid w:val="00421586"/>
    <w:rsid w:val="004215F1"/>
    <w:rsid w:val="00421690"/>
    <w:rsid w:val="004216B3"/>
    <w:rsid w:val="004219AA"/>
    <w:rsid w:val="00421C73"/>
    <w:rsid w:val="00421D8F"/>
    <w:rsid w:val="00421E2B"/>
    <w:rsid w:val="004228A6"/>
    <w:rsid w:val="00423BDD"/>
    <w:rsid w:val="00423FB6"/>
    <w:rsid w:val="004243E1"/>
    <w:rsid w:val="00425A85"/>
    <w:rsid w:val="00425BAE"/>
    <w:rsid w:val="00425BE1"/>
    <w:rsid w:val="004261C9"/>
    <w:rsid w:val="00426386"/>
    <w:rsid w:val="00426915"/>
    <w:rsid w:val="00427007"/>
    <w:rsid w:val="004274DB"/>
    <w:rsid w:val="004274E2"/>
    <w:rsid w:val="00427815"/>
    <w:rsid w:val="00427818"/>
    <w:rsid w:val="004278B5"/>
    <w:rsid w:val="00427C41"/>
    <w:rsid w:val="00430012"/>
    <w:rsid w:val="00430815"/>
    <w:rsid w:val="00430ABD"/>
    <w:rsid w:val="00430AC4"/>
    <w:rsid w:val="00430E07"/>
    <w:rsid w:val="00431101"/>
    <w:rsid w:val="00431734"/>
    <w:rsid w:val="004318E6"/>
    <w:rsid w:val="00431C3B"/>
    <w:rsid w:val="00431CB5"/>
    <w:rsid w:val="00432180"/>
    <w:rsid w:val="00432407"/>
    <w:rsid w:val="00434524"/>
    <w:rsid w:val="00434A72"/>
    <w:rsid w:val="0043530C"/>
    <w:rsid w:val="0043546C"/>
    <w:rsid w:val="0043663A"/>
    <w:rsid w:val="00436B63"/>
    <w:rsid w:val="00436C5A"/>
    <w:rsid w:val="00437DD2"/>
    <w:rsid w:val="00437F2A"/>
    <w:rsid w:val="00440A07"/>
    <w:rsid w:val="00441047"/>
    <w:rsid w:val="00441B20"/>
    <w:rsid w:val="00441EE0"/>
    <w:rsid w:val="00442AD6"/>
    <w:rsid w:val="00442B15"/>
    <w:rsid w:val="00443DF2"/>
    <w:rsid w:val="004449D0"/>
    <w:rsid w:val="00444FE6"/>
    <w:rsid w:val="004452DE"/>
    <w:rsid w:val="00445306"/>
    <w:rsid w:val="00445C75"/>
    <w:rsid w:val="00445D89"/>
    <w:rsid w:val="004462A0"/>
    <w:rsid w:val="00446F44"/>
    <w:rsid w:val="00447423"/>
    <w:rsid w:val="00447650"/>
    <w:rsid w:val="00447943"/>
    <w:rsid w:val="00447CB2"/>
    <w:rsid w:val="00450113"/>
    <w:rsid w:val="004505E1"/>
    <w:rsid w:val="00451B9D"/>
    <w:rsid w:val="00451E2D"/>
    <w:rsid w:val="0045294A"/>
    <w:rsid w:val="0045331C"/>
    <w:rsid w:val="004533F7"/>
    <w:rsid w:val="00453755"/>
    <w:rsid w:val="004539D8"/>
    <w:rsid w:val="00453B1D"/>
    <w:rsid w:val="00453CC9"/>
    <w:rsid w:val="00453DC0"/>
    <w:rsid w:val="00454FF5"/>
    <w:rsid w:val="00455120"/>
    <w:rsid w:val="00455440"/>
    <w:rsid w:val="00455866"/>
    <w:rsid w:val="00455880"/>
    <w:rsid w:val="00455A72"/>
    <w:rsid w:val="00455C1F"/>
    <w:rsid w:val="004568A8"/>
    <w:rsid w:val="00456AEB"/>
    <w:rsid w:val="00456D92"/>
    <w:rsid w:val="00456E59"/>
    <w:rsid w:val="00457973"/>
    <w:rsid w:val="004579EB"/>
    <w:rsid w:val="00460196"/>
    <w:rsid w:val="00460B73"/>
    <w:rsid w:val="00460B86"/>
    <w:rsid w:val="004625CD"/>
    <w:rsid w:val="00463188"/>
    <w:rsid w:val="00463843"/>
    <w:rsid w:val="0046491E"/>
    <w:rsid w:val="0046663E"/>
    <w:rsid w:val="0046738C"/>
    <w:rsid w:val="00467A64"/>
    <w:rsid w:val="00471751"/>
    <w:rsid w:val="004721BE"/>
    <w:rsid w:val="004722FD"/>
    <w:rsid w:val="00472608"/>
    <w:rsid w:val="00472A3D"/>
    <w:rsid w:val="00472A57"/>
    <w:rsid w:val="004739E4"/>
    <w:rsid w:val="00473AB8"/>
    <w:rsid w:val="00474C68"/>
    <w:rsid w:val="0047568F"/>
    <w:rsid w:val="0047745E"/>
    <w:rsid w:val="00480986"/>
    <w:rsid w:val="00480CCE"/>
    <w:rsid w:val="004810BF"/>
    <w:rsid w:val="00481D2C"/>
    <w:rsid w:val="00482EA5"/>
    <w:rsid w:val="00482EBF"/>
    <w:rsid w:val="00483029"/>
    <w:rsid w:val="00483783"/>
    <w:rsid w:val="00483B2E"/>
    <w:rsid w:val="00483D55"/>
    <w:rsid w:val="004844C6"/>
    <w:rsid w:val="00485973"/>
    <w:rsid w:val="00486C19"/>
    <w:rsid w:val="00487239"/>
    <w:rsid w:val="00487436"/>
    <w:rsid w:val="0048796C"/>
    <w:rsid w:val="00487EA8"/>
    <w:rsid w:val="00487EE0"/>
    <w:rsid w:val="00490A52"/>
    <w:rsid w:val="004910BB"/>
    <w:rsid w:val="00491423"/>
    <w:rsid w:val="0049210A"/>
    <w:rsid w:val="00492350"/>
    <w:rsid w:val="00492B25"/>
    <w:rsid w:val="004936B9"/>
    <w:rsid w:val="00493CA8"/>
    <w:rsid w:val="00494661"/>
    <w:rsid w:val="0049509D"/>
    <w:rsid w:val="00495330"/>
    <w:rsid w:val="00495BD2"/>
    <w:rsid w:val="00496492"/>
    <w:rsid w:val="00496C66"/>
    <w:rsid w:val="004A021B"/>
    <w:rsid w:val="004A0D01"/>
    <w:rsid w:val="004A0D27"/>
    <w:rsid w:val="004A13E6"/>
    <w:rsid w:val="004A1FCA"/>
    <w:rsid w:val="004A281C"/>
    <w:rsid w:val="004A34C2"/>
    <w:rsid w:val="004A3815"/>
    <w:rsid w:val="004A3F40"/>
    <w:rsid w:val="004A4CE3"/>
    <w:rsid w:val="004A4D53"/>
    <w:rsid w:val="004A5D75"/>
    <w:rsid w:val="004A5D8B"/>
    <w:rsid w:val="004A5E72"/>
    <w:rsid w:val="004A62D3"/>
    <w:rsid w:val="004A65B1"/>
    <w:rsid w:val="004A6DFB"/>
    <w:rsid w:val="004A7BF8"/>
    <w:rsid w:val="004B04C3"/>
    <w:rsid w:val="004B05CB"/>
    <w:rsid w:val="004B07F3"/>
    <w:rsid w:val="004B0B67"/>
    <w:rsid w:val="004B14EC"/>
    <w:rsid w:val="004B15B5"/>
    <w:rsid w:val="004B1752"/>
    <w:rsid w:val="004B1A6D"/>
    <w:rsid w:val="004B2356"/>
    <w:rsid w:val="004B2C26"/>
    <w:rsid w:val="004B33F9"/>
    <w:rsid w:val="004B35B9"/>
    <w:rsid w:val="004B3C44"/>
    <w:rsid w:val="004B4965"/>
    <w:rsid w:val="004B4F77"/>
    <w:rsid w:val="004B5D94"/>
    <w:rsid w:val="004B65B8"/>
    <w:rsid w:val="004B6786"/>
    <w:rsid w:val="004B6EF1"/>
    <w:rsid w:val="004B6F18"/>
    <w:rsid w:val="004B6FC0"/>
    <w:rsid w:val="004B72E4"/>
    <w:rsid w:val="004B7375"/>
    <w:rsid w:val="004B740E"/>
    <w:rsid w:val="004B79F1"/>
    <w:rsid w:val="004B7C88"/>
    <w:rsid w:val="004C0130"/>
    <w:rsid w:val="004C09CE"/>
    <w:rsid w:val="004C0BEB"/>
    <w:rsid w:val="004C0D53"/>
    <w:rsid w:val="004C129A"/>
    <w:rsid w:val="004C165C"/>
    <w:rsid w:val="004C1E30"/>
    <w:rsid w:val="004C23DC"/>
    <w:rsid w:val="004C26F7"/>
    <w:rsid w:val="004C2AA5"/>
    <w:rsid w:val="004C2D63"/>
    <w:rsid w:val="004C3205"/>
    <w:rsid w:val="004C373E"/>
    <w:rsid w:val="004C37B3"/>
    <w:rsid w:val="004C42DD"/>
    <w:rsid w:val="004C4644"/>
    <w:rsid w:val="004C56DE"/>
    <w:rsid w:val="004C5897"/>
    <w:rsid w:val="004C5EC6"/>
    <w:rsid w:val="004C625D"/>
    <w:rsid w:val="004C69F3"/>
    <w:rsid w:val="004C6AB2"/>
    <w:rsid w:val="004C6D07"/>
    <w:rsid w:val="004D00A9"/>
    <w:rsid w:val="004D038C"/>
    <w:rsid w:val="004D03BD"/>
    <w:rsid w:val="004D0DD2"/>
    <w:rsid w:val="004D0F33"/>
    <w:rsid w:val="004D111C"/>
    <w:rsid w:val="004D1646"/>
    <w:rsid w:val="004D21A7"/>
    <w:rsid w:val="004D21ED"/>
    <w:rsid w:val="004D2278"/>
    <w:rsid w:val="004D2303"/>
    <w:rsid w:val="004D2B7C"/>
    <w:rsid w:val="004D315C"/>
    <w:rsid w:val="004D3311"/>
    <w:rsid w:val="004D402F"/>
    <w:rsid w:val="004D4CE2"/>
    <w:rsid w:val="004D5131"/>
    <w:rsid w:val="004D572D"/>
    <w:rsid w:val="004D5730"/>
    <w:rsid w:val="004D5D4D"/>
    <w:rsid w:val="004D5EB1"/>
    <w:rsid w:val="004D6285"/>
    <w:rsid w:val="004D6561"/>
    <w:rsid w:val="004D65C4"/>
    <w:rsid w:val="004D77DB"/>
    <w:rsid w:val="004E0151"/>
    <w:rsid w:val="004E14ED"/>
    <w:rsid w:val="004E1830"/>
    <w:rsid w:val="004E267C"/>
    <w:rsid w:val="004E2B5F"/>
    <w:rsid w:val="004E2B99"/>
    <w:rsid w:val="004E2C1F"/>
    <w:rsid w:val="004E2FE7"/>
    <w:rsid w:val="004E3582"/>
    <w:rsid w:val="004E376A"/>
    <w:rsid w:val="004E43B3"/>
    <w:rsid w:val="004E444A"/>
    <w:rsid w:val="004E447F"/>
    <w:rsid w:val="004E4C96"/>
    <w:rsid w:val="004E553C"/>
    <w:rsid w:val="004E5DEC"/>
    <w:rsid w:val="004E6468"/>
    <w:rsid w:val="004E64E6"/>
    <w:rsid w:val="004E681E"/>
    <w:rsid w:val="004E6C88"/>
    <w:rsid w:val="004E721E"/>
    <w:rsid w:val="004E73A0"/>
    <w:rsid w:val="004E77D2"/>
    <w:rsid w:val="004E7B74"/>
    <w:rsid w:val="004E7F0A"/>
    <w:rsid w:val="004F065F"/>
    <w:rsid w:val="004F06F9"/>
    <w:rsid w:val="004F171B"/>
    <w:rsid w:val="004F1B48"/>
    <w:rsid w:val="004F2129"/>
    <w:rsid w:val="004F23F1"/>
    <w:rsid w:val="004F2E7E"/>
    <w:rsid w:val="004F3362"/>
    <w:rsid w:val="004F33B6"/>
    <w:rsid w:val="004F3853"/>
    <w:rsid w:val="004F4304"/>
    <w:rsid w:val="004F493D"/>
    <w:rsid w:val="004F4E3B"/>
    <w:rsid w:val="004F5034"/>
    <w:rsid w:val="004F5967"/>
    <w:rsid w:val="004F5F0E"/>
    <w:rsid w:val="004F604C"/>
    <w:rsid w:val="004F67D0"/>
    <w:rsid w:val="004F6B40"/>
    <w:rsid w:val="004F6BE3"/>
    <w:rsid w:val="004F6D64"/>
    <w:rsid w:val="004F6ED8"/>
    <w:rsid w:val="004F6FA9"/>
    <w:rsid w:val="004F706A"/>
    <w:rsid w:val="004F7A79"/>
    <w:rsid w:val="004F7B35"/>
    <w:rsid w:val="005001EF"/>
    <w:rsid w:val="00500409"/>
    <w:rsid w:val="00500DC2"/>
    <w:rsid w:val="005012F1"/>
    <w:rsid w:val="0050183F"/>
    <w:rsid w:val="00501BDB"/>
    <w:rsid w:val="00501C20"/>
    <w:rsid w:val="005023E2"/>
    <w:rsid w:val="00503443"/>
    <w:rsid w:val="005034FD"/>
    <w:rsid w:val="00504284"/>
    <w:rsid w:val="00504544"/>
    <w:rsid w:val="005045C9"/>
    <w:rsid w:val="00504CE1"/>
    <w:rsid w:val="0050542D"/>
    <w:rsid w:val="00505567"/>
    <w:rsid w:val="00505BDE"/>
    <w:rsid w:val="00507E3A"/>
    <w:rsid w:val="00507F3C"/>
    <w:rsid w:val="0051001E"/>
    <w:rsid w:val="005104E6"/>
    <w:rsid w:val="00511336"/>
    <w:rsid w:val="0051192B"/>
    <w:rsid w:val="00512A94"/>
    <w:rsid w:val="00513570"/>
    <w:rsid w:val="0051363E"/>
    <w:rsid w:val="00513BC1"/>
    <w:rsid w:val="005155F1"/>
    <w:rsid w:val="00515ECC"/>
    <w:rsid w:val="005165A5"/>
    <w:rsid w:val="005165E1"/>
    <w:rsid w:val="00516908"/>
    <w:rsid w:val="00516983"/>
    <w:rsid w:val="00516A3E"/>
    <w:rsid w:val="00516D0C"/>
    <w:rsid w:val="00520C49"/>
    <w:rsid w:val="00520E83"/>
    <w:rsid w:val="005210D8"/>
    <w:rsid w:val="005219E4"/>
    <w:rsid w:val="0052287F"/>
    <w:rsid w:val="00522C72"/>
    <w:rsid w:val="00522EE6"/>
    <w:rsid w:val="005238AF"/>
    <w:rsid w:val="00523E56"/>
    <w:rsid w:val="00523FEF"/>
    <w:rsid w:val="00524745"/>
    <w:rsid w:val="00524C16"/>
    <w:rsid w:val="00525A54"/>
    <w:rsid w:val="005263A7"/>
    <w:rsid w:val="0052768E"/>
    <w:rsid w:val="00527F85"/>
    <w:rsid w:val="00530115"/>
    <w:rsid w:val="0053032B"/>
    <w:rsid w:val="00530562"/>
    <w:rsid w:val="005308B6"/>
    <w:rsid w:val="00530CA4"/>
    <w:rsid w:val="005312E0"/>
    <w:rsid w:val="00531B00"/>
    <w:rsid w:val="00532145"/>
    <w:rsid w:val="00532500"/>
    <w:rsid w:val="005332CA"/>
    <w:rsid w:val="00533885"/>
    <w:rsid w:val="00533EDB"/>
    <w:rsid w:val="00534FB9"/>
    <w:rsid w:val="00535052"/>
    <w:rsid w:val="00535474"/>
    <w:rsid w:val="00535DBD"/>
    <w:rsid w:val="00535F56"/>
    <w:rsid w:val="00536748"/>
    <w:rsid w:val="00537047"/>
    <w:rsid w:val="00537B94"/>
    <w:rsid w:val="00540254"/>
    <w:rsid w:val="00540A82"/>
    <w:rsid w:val="00540C47"/>
    <w:rsid w:val="00541258"/>
    <w:rsid w:val="005415D4"/>
    <w:rsid w:val="00541B10"/>
    <w:rsid w:val="005423AF"/>
    <w:rsid w:val="00542B43"/>
    <w:rsid w:val="00543486"/>
    <w:rsid w:val="0054377F"/>
    <w:rsid w:val="00543C0B"/>
    <w:rsid w:val="005444E8"/>
    <w:rsid w:val="00544793"/>
    <w:rsid w:val="00544851"/>
    <w:rsid w:val="00545444"/>
    <w:rsid w:val="00545544"/>
    <w:rsid w:val="00545C5E"/>
    <w:rsid w:val="00545E3B"/>
    <w:rsid w:val="005465E5"/>
    <w:rsid w:val="00546E30"/>
    <w:rsid w:val="00546E3C"/>
    <w:rsid w:val="00546FB6"/>
    <w:rsid w:val="00547D47"/>
    <w:rsid w:val="00550338"/>
    <w:rsid w:val="00550B17"/>
    <w:rsid w:val="005510E1"/>
    <w:rsid w:val="005517E7"/>
    <w:rsid w:val="00551B25"/>
    <w:rsid w:val="00552054"/>
    <w:rsid w:val="0055227A"/>
    <w:rsid w:val="005522FB"/>
    <w:rsid w:val="0055248D"/>
    <w:rsid w:val="00554067"/>
    <w:rsid w:val="005553CB"/>
    <w:rsid w:val="00555656"/>
    <w:rsid w:val="005564C3"/>
    <w:rsid w:val="00557169"/>
    <w:rsid w:val="00557789"/>
    <w:rsid w:val="005577CA"/>
    <w:rsid w:val="0056080F"/>
    <w:rsid w:val="00561F6E"/>
    <w:rsid w:val="005624C2"/>
    <w:rsid w:val="00562E45"/>
    <w:rsid w:val="00563A27"/>
    <w:rsid w:val="00563C07"/>
    <w:rsid w:val="005651B7"/>
    <w:rsid w:val="005653CA"/>
    <w:rsid w:val="00566373"/>
    <w:rsid w:val="0056647D"/>
    <w:rsid w:val="00566734"/>
    <w:rsid w:val="0056689A"/>
    <w:rsid w:val="00566CC5"/>
    <w:rsid w:val="00567206"/>
    <w:rsid w:val="00570518"/>
    <w:rsid w:val="00570D9D"/>
    <w:rsid w:val="00570EBE"/>
    <w:rsid w:val="00571600"/>
    <w:rsid w:val="00571F7D"/>
    <w:rsid w:val="005724B9"/>
    <w:rsid w:val="00572960"/>
    <w:rsid w:val="00572B1D"/>
    <w:rsid w:val="00572DEA"/>
    <w:rsid w:val="005730C6"/>
    <w:rsid w:val="00573333"/>
    <w:rsid w:val="005744B3"/>
    <w:rsid w:val="005745FF"/>
    <w:rsid w:val="00574E3D"/>
    <w:rsid w:val="005750FF"/>
    <w:rsid w:val="005757EE"/>
    <w:rsid w:val="00576116"/>
    <w:rsid w:val="00576921"/>
    <w:rsid w:val="00576B9A"/>
    <w:rsid w:val="005774B9"/>
    <w:rsid w:val="00577890"/>
    <w:rsid w:val="00577BB9"/>
    <w:rsid w:val="00580557"/>
    <w:rsid w:val="00580821"/>
    <w:rsid w:val="00581581"/>
    <w:rsid w:val="005816B0"/>
    <w:rsid w:val="00581828"/>
    <w:rsid w:val="005818A4"/>
    <w:rsid w:val="005820EB"/>
    <w:rsid w:val="005822BC"/>
    <w:rsid w:val="00582377"/>
    <w:rsid w:val="005825FF"/>
    <w:rsid w:val="00582BEA"/>
    <w:rsid w:val="00582E97"/>
    <w:rsid w:val="00583671"/>
    <w:rsid w:val="005838A0"/>
    <w:rsid w:val="005842EF"/>
    <w:rsid w:val="00584C5F"/>
    <w:rsid w:val="00584EA0"/>
    <w:rsid w:val="00585185"/>
    <w:rsid w:val="005856CE"/>
    <w:rsid w:val="00585815"/>
    <w:rsid w:val="00585D15"/>
    <w:rsid w:val="00585ED5"/>
    <w:rsid w:val="00586697"/>
    <w:rsid w:val="005869E8"/>
    <w:rsid w:val="00586EC5"/>
    <w:rsid w:val="00587000"/>
    <w:rsid w:val="00587095"/>
    <w:rsid w:val="005871DB"/>
    <w:rsid w:val="00587291"/>
    <w:rsid w:val="00587667"/>
    <w:rsid w:val="00587B42"/>
    <w:rsid w:val="005909F1"/>
    <w:rsid w:val="00590D14"/>
    <w:rsid w:val="00591252"/>
    <w:rsid w:val="00591626"/>
    <w:rsid w:val="00591AB4"/>
    <w:rsid w:val="00591F13"/>
    <w:rsid w:val="00592402"/>
    <w:rsid w:val="00592ABB"/>
    <w:rsid w:val="00592CD3"/>
    <w:rsid w:val="00592D2C"/>
    <w:rsid w:val="005930D7"/>
    <w:rsid w:val="00594290"/>
    <w:rsid w:val="005943E8"/>
    <w:rsid w:val="0059482E"/>
    <w:rsid w:val="0059501E"/>
    <w:rsid w:val="0059505E"/>
    <w:rsid w:val="0059515C"/>
    <w:rsid w:val="00595CEC"/>
    <w:rsid w:val="00595D8C"/>
    <w:rsid w:val="00595F9E"/>
    <w:rsid w:val="005967D0"/>
    <w:rsid w:val="005A015B"/>
    <w:rsid w:val="005A06F3"/>
    <w:rsid w:val="005A1B55"/>
    <w:rsid w:val="005A26CD"/>
    <w:rsid w:val="005A2DFA"/>
    <w:rsid w:val="005A3085"/>
    <w:rsid w:val="005A397F"/>
    <w:rsid w:val="005A3A60"/>
    <w:rsid w:val="005A3F8A"/>
    <w:rsid w:val="005A51A2"/>
    <w:rsid w:val="005A53E5"/>
    <w:rsid w:val="005A5BBE"/>
    <w:rsid w:val="005A5BF0"/>
    <w:rsid w:val="005A6B02"/>
    <w:rsid w:val="005A6ED5"/>
    <w:rsid w:val="005A7000"/>
    <w:rsid w:val="005A70D8"/>
    <w:rsid w:val="005A7B66"/>
    <w:rsid w:val="005B0434"/>
    <w:rsid w:val="005B06A6"/>
    <w:rsid w:val="005B1519"/>
    <w:rsid w:val="005B161D"/>
    <w:rsid w:val="005B18A5"/>
    <w:rsid w:val="005B214C"/>
    <w:rsid w:val="005B270A"/>
    <w:rsid w:val="005B3758"/>
    <w:rsid w:val="005B4492"/>
    <w:rsid w:val="005B4B87"/>
    <w:rsid w:val="005B53E4"/>
    <w:rsid w:val="005B5CEB"/>
    <w:rsid w:val="005B6BE2"/>
    <w:rsid w:val="005B6F25"/>
    <w:rsid w:val="005B6F38"/>
    <w:rsid w:val="005B7582"/>
    <w:rsid w:val="005B7E43"/>
    <w:rsid w:val="005C03B6"/>
    <w:rsid w:val="005C0664"/>
    <w:rsid w:val="005C0EB0"/>
    <w:rsid w:val="005C0F29"/>
    <w:rsid w:val="005C17DA"/>
    <w:rsid w:val="005C1A40"/>
    <w:rsid w:val="005C1B6E"/>
    <w:rsid w:val="005C25F7"/>
    <w:rsid w:val="005C2D62"/>
    <w:rsid w:val="005C2E5A"/>
    <w:rsid w:val="005C33D5"/>
    <w:rsid w:val="005C3A56"/>
    <w:rsid w:val="005C3EEA"/>
    <w:rsid w:val="005C41A7"/>
    <w:rsid w:val="005C443D"/>
    <w:rsid w:val="005C4567"/>
    <w:rsid w:val="005C456C"/>
    <w:rsid w:val="005C4B1A"/>
    <w:rsid w:val="005C53ED"/>
    <w:rsid w:val="005C5FDC"/>
    <w:rsid w:val="005C63CD"/>
    <w:rsid w:val="005C6A11"/>
    <w:rsid w:val="005D06EB"/>
    <w:rsid w:val="005D09A0"/>
    <w:rsid w:val="005D1A4C"/>
    <w:rsid w:val="005D2012"/>
    <w:rsid w:val="005D2D37"/>
    <w:rsid w:val="005D374E"/>
    <w:rsid w:val="005D3851"/>
    <w:rsid w:val="005D3B32"/>
    <w:rsid w:val="005D3CA6"/>
    <w:rsid w:val="005D3EFE"/>
    <w:rsid w:val="005D4C85"/>
    <w:rsid w:val="005D4E0E"/>
    <w:rsid w:val="005D5B04"/>
    <w:rsid w:val="005D6788"/>
    <w:rsid w:val="005D71B0"/>
    <w:rsid w:val="005D7762"/>
    <w:rsid w:val="005E0800"/>
    <w:rsid w:val="005E115C"/>
    <w:rsid w:val="005E1200"/>
    <w:rsid w:val="005E1406"/>
    <w:rsid w:val="005E1560"/>
    <w:rsid w:val="005E1ABC"/>
    <w:rsid w:val="005E2510"/>
    <w:rsid w:val="005E285D"/>
    <w:rsid w:val="005E3146"/>
    <w:rsid w:val="005E3803"/>
    <w:rsid w:val="005E48B5"/>
    <w:rsid w:val="005E4B6A"/>
    <w:rsid w:val="005E4D64"/>
    <w:rsid w:val="005E5D13"/>
    <w:rsid w:val="005E64CA"/>
    <w:rsid w:val="005E6885"/>
    <w:rsid w:val="005E6E4C"/>
    <w:rsid w:val="005E7249"/>
    <w:rsid w:val="005E7264"/>
    <w:rsid w:val="005E78FB"/>
    <w:rsid w:val="005E7D09"/>
    <w:rsid w:val="005E7E73"/>
    <w:rsid w:val="005F0AAA"/>
    <w:rsid w:val="005F0C6C"/>
    <w:rsid w:val="005F0E43"/>
    <w:rsid w:val="005F11A1"/>
    <w:rsid w:val="005F2907"/>
    <w:rsid w:val="005F4248"/>
    <w:rsid w:val="005F4404"/>
    <w:rsid w:val="005F4942"/>
    <w:rsid w:val="005F4B23"/>
    <w:rsid w:val="005F4F6D"/>
    <w:rsid w:val="005F55C8"/>
    <w:rsid w:val="005F59EC"/>
    <w:rsid w:val="005F5E37"/>
    <w:rsid w:val="005F65F4"/>
    <w:rsid w:val="005F6B4F"/>
    <w:rsid w:val="005F7119"/>
    <w:rsid w:val="005F7453"/>
    <w:rsid w:val="006004D3"/>
    <w:rsid w:val="006005AE"/>
    <w:rsid w:val="0060157A"/>
    <w:rsid w:val="00601DED"/>
    <w:rsid w:val="006050A1"/>
    <w:rsid w:val="00605517"/>
    <w:rsid w:val="00605693"/>
    <w:rsid w:val="00605A1F"/>
    <w:rsid w:val="0060667D"/>
    <w:rsid w:val="006074E3"/>
    <w:rsid w:val="006075A0"/>
    <w:rsid w:val="00607C9B"/>
    <w:rsid w:val="006101DF"/>
    <w:rsid w:val="006114E0"/>
    <w:rsid w:val="00612DDE"/>
    <w:rsid w:val="00612E7A"/>
    <w:rsid w:val="0061368F"/>
    <w:rsid w:val="00613736"/>
    <w:rsid w:val="006149B4"/>
    <w:rsid w:val="00614B10"/>
    <w:rsid w:val="00614DA1"/>
    <w:rsid w:val="0061534D"/>
    <w:rsid w:val="00615F07"/>
    <w:rsid w:val="00616BAE"/>
    <w:rsid w:val="0061751A"/>
    <w:rsid w:val="006200E1"/>
    <w:rsid w:val="00621074"/>
    <w:rsid w:val="006212F2"/>
    <w:rsid w:val="00621970"/>
    <w:rsid w:val="00621A75"/>
    <w:rsid w:val="00621D6C"/>
    <w:rsid w:val="00621DC9"/>
    <w:rsid w:val="006221D2"/>
    <w:rsid w:val="0062298F"/>
    <w:rsid w:val="00622F1F"/>
    <w:rsid w:val="00623655"/>
    <w:rsid w:val="00623B93"/>
    <w:rsid w:val="006242F1"/>
    <w:rsid w:val="00624701"/>
    <w:rsid w:val="00624865"/>
    <w:rsid w:val="00624923"/>
    <w:rsid w:val="006251AD"/>
    <w:rsid w:val="00625422"/>
    <w:rsid w:val="006254A7"/>
    <w:rsid w:val="00625AC5"/>
    <w:rsid w:val="00625FB4"/>
    <w:rsid w:val="00626A75"/>
    <w:rsid w:val="006270B8"/>
    <w:rsid w:val="006271A1"/>
    <w:rsid w:val="006306E1"/>
    <w:rsid w:val="00630B5D"/>
    <w:rsid w:val="00630F0C"/>
    <w:rsid w:val="00630F9D"/>
    <w:rsid w:val="00631D0E"/>
    <w:rsid w:val="0063246D"/>
    <w:rsid w:val="00632E8C"/>
    <w:rsid w:val="00632E95"/>
    <w:rsid w:val="00634885"/>
    <w:rsid w:val="00634D82"/>
    <w:rsid w:val="00635104"/>
    <w:rsid w:val="00635135"/>
    <w:rsid w:val="006352CB"/>
    <w:rsid w:val="00635BC8"/>
    <w:rsid w:val="00635CFE"/>
    <w:rsid w:val="0063618C"/>
    <w:rsid w:val="00636509"/>
    <w:rsid w:val="00636BB7"/>
    <w:rsid w:val="00636BF9"/>
    <w:rsid w:val="00636DFA"/>
    <w:rsid w:val="00636EF6"/>
    <w:rsid w:val="00637B9C"/>
    <w:rsid w:val="006403F9"/>
    <w:rsid w:val="00640710"/>
    <w:rsid w:val="006408F2"/>
    <w:rsid w:val="00640A82"/>
    <w:rsid w:val="00640D48"/>
    <w:rsid w:val="0064114D"/>
    <w:rsid w:val="0064131D"/>
    <w:rsid w:val="00641CC0"/>
    <w:rsid w:val="00641FF6"/>
    <w:rsid w:val="00642092"/>
    <w:rsid w:val="006432CB"/>
    <w:rsid w:val="006433FE"/>
    <w:rsid w:val="0064430B"/>
    <w:rsid w:val="00645119"/>
    <w:rsid w:val="0064541E"/>
    <w:rsid w:val="006456CA"/>
    <w:rsid w:val="00645EB3"/>
    <w:rsid w:val="00646AB4"/>
    <w:rsid w:val="00646E1E"/>
    <w:rsid w:val="0064709F"/>
    <w:rsid w:val="006479A9"/>
    <w:rsid w:val="00647A92"/>
    <w:rsid w:val="00647BFF"/>
    <w:rsid w:val="00647FCE"/>
    <w:rsid w:val="00650A6B"/>
    <w:rsid w:val="00650E81"/>
    <w:rsid w:val="006514D3"/>
    <w:rsid w:val="006517B7"/>
    <w:rsid w:val="006518B5"/>
    <w:rsid w:val="006526D6"/>
    <w:rsid w:val="00652B54"/>
    <w:rsid w:val="00652E4A"/>
    <w:rsid w:val="00653498"/>
    <w:rsid w:val="00653B98"/>
    <w:rsid w:val="00653E6F"/>
    <w:rsid w:val="006546F1"/>
    <w:rsid w:val="00654D02"/>
    <w:rsid w:val="0065513A"/>
    <w:rsid w:val="006554E8"/>
    <w:rsid w:val="00655925"/>
    <w:rsid w:val="00655A6D"/>
    <w:rsid w:val="0065674E"/>
    <w:rsid w:val="006573F6"/>
    <w:rsid w:val="006574AC"/>
    <w:rsid w:val="00657571"/>
    <w:rsid w:val="00657B3B"/>
    <w:rsid w:val="00657C77"/>
    <w:rsid w:val="00657D8F"/>
    <w:rsid w:val="00660556"/>
    <w:rsid w:val="00660635"/>
    <w:rsid w:val="00660A65"/>
    <w:rsid w:val="00662E4B"/>
    <w:rsid w:val="00662FD1"/>
    <w:rsid w:val="00663B80"/>
    <w:rsid w:val="00663C58"/>
    <w:rsid w:val="0066486C"/>
    <w:rsid w:val="00664D34"/>
    <w:rsid w:val="00664F7E"/>
    <w:rsid w:val="00665E2F"/>
    <w:rsid w:val="00666386"/>
    <w:rsid w:val="0066685B"/>
    <w:rsid w:val="00666965"/>
    <w:rsid w:val="0066765E"/>
    <w:rsid w:val="006702C1"/>
    <w:rsid w:val="006713ED"/>
    <w:rsid w:val="00671D52"/>
    <w:rsid w:val="00672A72"/>
    <w:rsid w:val="00672E3A"/>
    <w:rsid w:val="00673198"/>
    <w:rsid w:val="0067409E"/>
    <w:rsid w:val="006741F5"/>
    <w:rsid w:val="0067485D"/>
    <w:rsid w:val="00674BAE"/>
    <w:rsid w:val="00674C32"/>
    <w:rsid w:val="00674E38"/>
    <w:rsid w:val="00675418"/>
    <w:rsid w:val="00675794"/>
    <w:rsid w:val="00675901"/>
    <w:rsid w:val="00675CEC"/>
    <w:rsid w:val="00676144"/>
    <w:rsid w:val="00676331"/>
    <w:rsid w:val="00676DA3"/>
    <w:rsid w:val="00677AED"/>
    <w:rsid w:val="00680151"/>
    <w:rsid w:val="0068037C"/>
    <w:rsid w:val="00681590"/>
    <w:rsid w:val="00681ACA"/>
    <w:rsid w:val="00681C6A"/>
    <w:rsid w:val="00682720"/>
    <w:rsid w:val="00682B83"/>
    <w:rsid w:val="00682BCD"/>
    <w:rsid w:val="00683862"/>
    <w:rsid w:val="00683E41"/>
    <w:rsid w:val="00683F6B"/>
    <w:rsid w:val="00684021"/>
    <w:rsid w:val="00684A5F"/>
    <w:rsid w:val="00684D13"/>
    <w:rsid w:val="00685DF4"/>
    <w:rsid w:val="0068602B"/>
    <w:rsid w:val="006867C3"/>
    <w:rsid w:val="00686847"/>
    <w:rsid w:val="00686CDD"/>
    <w:rsid w:val="00686D3C"/>
    <w:rsid w:val="00686D3F"/>
    <w:rsid w:val="00686F2D"/>
    <w:rsid w:val="00687129"/>
    <w:rsid w:val="0068744D"/>
    <w:rsid w:val="006874F0"/>
    <w:rsid w:val="00687C2D"/>
    <w:rsid w:val="00690241"/>
    <w:rsid w:val="00690728"/>
    <w:rsid w:val="0069094E"/>
    <w:rsid w:val="006913B4"/>
    <w:rsid w:val="006913BA"/>
    <w:rsid w:val="006914CD"/>
    <w:rsid w:val="00691CFB"/>
    <w:rsid w:val="00691DF1"/>
    <w:rsid w:val="006920C3"/>
    <w:rsid w:val="00692E3F"/>
    <w:rsid w:val="006944AB"/>
    <w:rsid w:val="00695374"/>
    <w:rsid w:val="006955DE"/>
    <w:rsid w:val="00695F68"/>
    <w:rsid w:val="00696D04"/>
    <w:rsid w:val="006972D7"/>
    <w:rsid w:val="006974ED"/>
    <w:rsid w:val="006A1373"/>
    <w:rsid w:val="006A1832"/>
    <w:rsid w:val="006A205A"/>
    <w:rsid w:val="006A2460"/>
    <w:rsid w:val="006A2617"/>
    <w:rsid w:val="006A28C9"/>
    <w:rsid w:val="006A29CD"/>
    <w:rsid w:val="006A2DB6"/>
    <w:rsid w:val="006A3762"/>
    <w:rsid w:val="006A3942"/>
    <w:rsid w:val="006A3DA3"/>
    <w:rsid w:val="006A4018"/>
    <w:rsid w:val="006A46C9"/>
    <w:rsid w:val="006A4751"/>
    <w:rsid w:val="006A542D"/>
    <w:rsid w:val="006A5E43"/>
    <w:rsid w:val="006A6139"/>
    <w:rsid w:val="006A6B7B"/>
    <w:rsid w:val="006A77D8"/>
    <w:rsid w:val="006A7B2A"/>
    <w:rsid w:val="006A7CD3"/>
    <w:rsid w:val="006A7DA0"/>
    <w:rsid w:val="006A7DE6"/>
    <w:rsid w:val="006A7EEC"/>
    <w:rsid w:val="006B043B"/>
    <w:rsid w:val="006B0601"/>
    <w:rsid w:val="006B0B80"/>
    <w:rsid w:val="006B0D3C"/>
    <w:rsid w:val="006B0D59"/>
    <w:rsid w:val="006B11EB"/>
    <w:rsid w:val="006B1579"/>
    <w:rsid w:val="006B1724"/>
    <w:rsid w:val="006B1CBB"/>
    <w:rsid w:val="006B2B94"/>
    <w:rsid w:val="006B34C9"/>
    <w:rsid w:val="006B3741"/>
    <w:rsid w:val="006B37C2"/>
    <w:rsid w:val="006B4027"/>
    <w:rsid w:val="006B4297"/>
    <w:rsid w:val="006B4447"/>
    <w:rsid w:val="006B44B3"/>
    <w:rsid w:val="006B4DF8"/>
    <w:rsid w:val="006B523D"/>
    <w:rsid w:val="006B5337"/>
    <w:rsid w:val="006B55DC"/>
    <w:rsid w:val="006B5ABF"/>
    <w:rsid w:val="006B6124"/>
    <w:rsid w:val="006C06CC"/>
    <w:rsid w:val="006C0F4C"/>
    <w:rsid w:val="006C10EA"/>
    <w:rsid w:val="006C13B6"/>
    <w:rsid w:val="006C1616"/>
    <w:rsid w:val="006C1886"/>
    <w:rsid w:val="006C22F2"/>
    <w:rsid w:val="006C2362"/>
    <w:rsid w:val="006C34B1"/>
    <w:rsid w:val="006C355D"/>
    <w:rsid w:val="006C3B3A"/>
    <w:rsid w:val="006C3CEB"/>
    <w:rsid w:val="006C3E20"/>
    <w:rsid w:val="006C3E62"/>
    <w:rsid w:val="006C42D7"/>
    <w:rsid w:val="006C513C"/>
    <w:rsid w:val="006C5ACB"/>
    <w:rsid w:val="006C5B4A"/>
    <w:rsid w:val="006C5CC6"/>
    <w:rsid w:val="006C5F12"/>
    <w:rsid w:val="006C6086"/>
    <w:rsid w:val="006C652C"/>
    <w:rsid w:val="006C6985"/>
    <w:rsid w:val="006C76C8"/>
    <w:rsid w:val="006C7A61"/>
    <w:rsid w:val="006D06D5"/>
    <w:rsid w:val="006D2147"/>
    <w:rsid w:val="006D21CE"/>
    <w:rsid w:val="006D237F"/>
    <w:rsid w:val="006D24CB"/>
    <w:rsid w:val="006D280F"/>
    <w:rsid w:val="006D2AA6"/>
    <w:rsid w:val="006D2B53"/>
    <w:rsid w:val="006D3158"/>
    <w:rsid w:val="006D34EA"/>
    <w:rsid w:val="006D3683"/>
    <w:rsid w:val="006D3747"/>
    <w:rsid w:val="006D3C78"/>
    <w:rsid w:val="006D4CBA"/>
    <w:rsid w:val="006D5873"/>
    <w:rsid w:val="006D5CC3"/>
    <w:rsid w:val="006D6220"/>
    <w:rsid w:val="006D631F"/>
    <w:rsid w:val="006D66A8"/>
    <w:rsid w:val="006D6D36"/>
    <w:rsid w:val="006D77BE"/>
    <w:rsid w:val="006D7DDD"/>
    <w:rsid w:val="006E0232"/>
    <w:rsid w:val="006E074E"/>
    <w:rsid w:val="006E15CE"/>
    <w:rsid w:val="006E3332"/>
    <w:rsid w:val="006E3B10"/>
    <w:rsid w:val="006E4287"/>
    <w:rsid w:val="006E4431"/>
    <w:rsid w:val="006E4E2B"/>
    <w:rsid w:val="006E53DD"/>
    <w:rsid w:val="006E60B1"/>
    <w:rsid w:val="006E61A4"/>
    <w:rsid w:val="006E690F"/>
    <w:rsid w:val="006E6C22"/>
    <w:rsid w:val="006E6E4D"/>
    <w:rsid w:val="006E6F24"/>
    <w:rsid w:val="006E7360"/>
    <w:rsid w:val="006E7560"/>
    <w:rsid w:val="006E77F8"/>
    <w:rsid w:val="006F0B5F"/>
    <w:rsid w:val="006F18DD"/>
    <w:rsid w:val="006F2521"/>
    <w:rsid w:val="006F282C"/>
    <w:rsid w:val="006F2AF1"/>
    <w:rsid w:val="006F3EE5"/>
    <w:rsid w:val="006F4679"/>
    <w:rsid w:val="006F4B3C"/>
    <w:rsid w:val="006F5071"/>
    <w:rsid w:val="006F5397"/>
    <w:rsid w:val="006F5B6B"/>
    <w:rsid w:val="006F6264"/>
    <w:rsid w:val="006F6931"/>
    <w:rsid w:val="006F6DD1"/>
    <w:rsid w:val="006F75E5"/>
    <w:rsid w:val="006F763A"/>
    <w:rsid w:val="00700152"/>
    <w:rsid w:val="007001E7"/>
    <w:rsid w:val="0070079A"/>
    <w:rsid w:val="00701B0C"/>
    <w:rsid w:val="00703335"/>
    <w:rsid w:val="0070416B"/>
    <w:rsid w:val="00704DB1"/>
    <w:rsid w:val="007053E5"/>
    <w:rsid w:val="00705D4C"/>
    <w:rsid w:val="00706618"/>
    <w:rsid w:val="00706CAB"/>
    <w:rsid w:val="007070C1"/>
    <w:rsid w:val="00707635"/>
    <w:rsid w:val="0070773B"/>
    <w:rsid w:val="0071034F"/>
    <w:rsid w:val="00710420"/>
    <w:rsid w:val="00710A09"/>
    <w:rsid w:val="00711059"/>
    <w:rsid w:val="00711B4A"/>
    <w:rsid w:val="00711BF8"/>
    <w:rsid w:val="00711E85"/>
    <w:rsid w:val="0071293D"/>
    <w:rsid w:val="007131C1"/>
    <w:rsid w:val="00713A22"/>
    <w:rsid w:val="00714C80"/>
    <w:rsid w:val="00714FFB"/>
    <w:rsid w:val="00715371"/>
    <w:rsid w:val="00715CD5"/>
    <w:rsid w:val="00716115"/>
    <w:rsid w:val="0071632C"/>
    <w:rsid w:val="007163DF"/>
    <w:rsid w:val="0071658F"/>
    <w:rsid w:val="00716CA5"/>
    <w:rsid w:val="0072015C"/>
    <w:rsid w:val="007206A6"/>
    <w:rsid w:val="00721024"/>
    <w:rsid w:val="007213F9"/>
    <w:rsid w:val="00722425"/>
    <w:rsid w:val="00722C98"/>
    <w:rsid w:val="00723209"/>
    <w:rsid w:val="007237FD"/>
    <w:rsid w:val="00723936"/>
    <w:rsid w:val="00724007"/>
    <w:rsid w:val="007242DD"/>
    <w:rsid w:val="0072512F"/>
    <w:rsid w:val="00725521"/>
    <w:rsid w:val="00725CBC"/>
    <w:rsid w:val="00726651"/>
    <w:rsid w:val="00726DD9"/>
    <w:rsid w:val="00730CCF"/>
    <w:rsid w:val="00731232"/>
    <w:rsid w:val="0073141B"/>
    <w:rsid w:val="00731970"/>
    <w:rsid w:val="00733245"/>
    <w:rsid w:val="00733A35"/>
    <w:rsid w:val="00734026"/>
    <w:rsid w:val="0073423C"/>
    <w:rsid w:val="0073434D"/>
    <w:rsid w:val="0073445A"/>
    <w:rsid w:val="00734CF1"/>
    <w:rsid w:val="00735738"/>
    <w:rsid w:val="00736723"/>
    <w:rsid w:val="00736ADB"/>
    <w:rsid w:val="00736C1D"/>
    <w:rsid w:val="0073794B"/>
    <w:rsid w:val="00737B5B"/>
    <w:rsid w:val="00740776"/>
    <w:rsid w:val="007411C1"/>
    <w:rsid w:val="007413B3"/>
    <w:rsid w:val="00741754"/>
    <w:rsid w:val="00741845"/>
    <w:rsid w:val="0074187B"/>
    <w:rsid w:val="00742249"/>
    <w:rsid w:val="0074232B"/>
    <w:rsid w:val="007425AF"/>
    <w:rsid w:val="007428E7"/>
    <w:rsid w:val="007434FB"/>
    <w:rsid w:val="0074416C"/>
    <w:rsid w:val="00744532"/>
    <w:rsid w:val="00744830"/>
    <w:rsid w:val="0074488A"/>
    <w:rsid w:val="00744AFC"/>
    <w:rsid w:val="00744F24"/>
    <w:rsid w:val="007450B2"/>
    <w:rsid w:val="007451A9"/>
    <w:rsid w:val="007455D2"/>
    <w:rsid w:val="007455D4"/>
    <w:rsid w:val="00746CF4"/>
    <w:rsid w:val="00747273"/>
    <w:rsid w:val="00747F9B"/>
    <w:rsid w:val="0075051A"/>
    <w:rsid w:val="00750846"/>
    <w:rsid w:val="00750EF8"/>
    <w:rsid w:val="007511EF"/>
    <w:rsid w:val="007513AF"/>
    <w:rsid w:val="00751854"/>
    <w:rsid w:val="00751B3F"/>
    <w:rsid w:val="00751C05"/>
    <w:rsid w:val="00752196"/>
    <w:rsid w:val="007524B4"/>
    <w:rsid w:val="00752628"/>
    <w:rsid w:val="00753406"/>
    <w:rsid w:val="00753722"/>
    <w:rsid w:val="007539C9"/>
    <w:rsid w:val="00753E26"/>
    <w:rsid w:val="00753E7B"/>
    <w:rsid w:val="00754102"/>
    <w:rsid w:val="007544CF"/>
    <w:rsid w:val="0075496A"/>
    <w:rsid w:val="00754AD3"/>
    <w:rsid w:val="00754EB0"/>
    <w:rsid w:val="00755ADB"/>
    <w:rsid w:val="007577AD"/>
    <w:rsid w:val="00760245"/>
    <w:rsid w:val="007608E3"/>
    <w:rsid w:val="0076119B"/>
    <w:rsid w:val="0076290A"/>
    <w:rsid w:val="007633F3"/>
    <w:rsid w:val="007648BE"/>
    <w:rsid w:val="00766EEF"/>
    <w:rsid w:val="007675B0"/>
    <w:rsid w:val="00767733"/>
    <w:rsid w:val="00767F48"/>
    <w:rsid w:val="00767FA6"/>
    <w:rsid w:val="00770312"/>
    <w:rsid w:val="0077059E"/>
    <w:rsid w:val="0077074A"/>
    <w:rsid w:val="007709B8"/>
    <w:rsid w:val="00771206"/>
    <w:rsid w:val="00771473"/>
    <w:rsid w:val="0077208C"/>
    <w:rsid w:val="0077255B"/>
    <w:rsid w:val="007729D2"/>
    <w:rsid w:val="00772E6A"/>
    <w:rsid w:val="00773088"/>
    <w:rsid w:val="007738CE"/>
    <w:rsid w:val="007738F8"/>
    <w:rsid w:val="00773B83"/>
    <w:rsid w:val="0077419D"/>
    <w:rsid w:val="00774752"/>
    <w:rsid w:val="007752EF"/>
    <w:rsid w:val="00775AAC"/>
    <w:rsid w:val="00776CEB"/>
    <w:rsid w:val="00777835"/>
    <w:rsid w:val="00777903"/>
    <w:rsid w:val="00777B31"/>
    <w:rsid w:val="00777C85"/>
    <w:rsid w:val="00777D25"/>
    <w:rsid w:val="00780B5F"/>
    <w:rsid w:val="00781054"/>
    <w:rsid w:val="0078186B"/>
    <w:rsid w:val="00782E28"/>
    <w:rsid w:val="0078397A"/>
    <w:rsid w:val="00783A26"/>
    <w:rsid w:val="00783A2E"/>
    <w:rsid w:val="00783D28"/>
    <w:rsid w:val="00783FD3"/>
    <w:rsid w:val="0078446D"/>
    <w:rsid w:val="00784C16"/>
    <w:rsid w:val="00785086"/>
    <w:rsid w:val="00785392"/>
    <w:rsid w:val="0078668A"/>
    <w:rsid w:val="00786F28"/>
    <w:rsid w:val="00787396"/>
    <w:rsid w:val="007907E5"/>
    <w:rsid w:val="00790BFD"/>
    <w:rsid w:val="00791B8F"/>
    <w:rsid w:val="00791E01"/>
    <w:rsid w:val="00792022"/>
    <w:rsid w:val="00792E79"/>
    <w:rsid w:val="00793074"/>
    <w:rsid w:val="007934E7"/>
    <w:rsid w:val="00793B65"/>
    <w:rsid w:val="00794C28"/>
    <w:rsid w:val="00795858"/>
    <w:rsid w:val="00796985"/>
    <w:rsid w:val="00797B1B"/>
    <w:rsid w:val="007A07FF"/>
    <w:rsid w:val="007A0D61"/>
    <w:rsid w:val="007A0ED6"/>
    <w:rsid w:val="007A11AE"/>
    <w:rsid w:val="007A14D2"/>
    <w:rsid w:val="007A1517"/>
    <w:rsid w:val="007A1B61"/>
    <w:rsid w:val="007A2104"/>
    <w:rsid w:val="007A28C2"/>
    <w:rsid w:val="007A2B3E"/>
    <w:rsid w:val="007A2D77"/>
    <w:rsid w:val="007A3BF1"/>
    <w:rsid w:val="007A3EB3"/>
    <w:rsid w:val="007A407A"/>
    <w:rsid w:val="007A4FFA"/>
    <w:rsid w:val="007A53D0"/>
    <w:rsid w:val="007A5EB9"/>
    <w:rsid w:val="007A635B"/>
    <w:rsid w:val="007A645A"/>
    <w:rsid w:val="007A6CB4"/>
    <w:rsid w:val="007A701C"/>
    <w:rsid w:val="007A7973"/>
    <w:rsid w:val="007A7CFE"/>
    <w:rsid w:val="007B0CA5"/>
    <w:rsid w:val="007B1187"/>
    <w:rsid w:val="007B1E25"/>
    <w:rsid w:val="007B1E57"/>
    <w:rsid w:val="007B2085"/>
    <w:rsid w:val="007B2F80"/>
    <w:rsid w:val="007B34B0"/>
    <w:rsid w:val="007B391F"/>
    <w:rsid w:val="007B3C94"/>
    <w:rsid w:val="007B5169"/>
    <w:rsid w:val="007B52CA"/>
    <w:rsid w:val="007B5C93"/>
    <w:rsid w:val="007B6190"/>
    <w:rsid w:val="007B621A"/>
    <w:rsid w:val="007B6862"/>
    <w:rsid w:val="007B6915"/>
    <w:rsid w:val="007B6D29"/>
    <w:rsid w:val="007B732C"/>
    <w:rsid w:val="007B7D8F"/>
    <w:rsid w:val="007B7FC2"/>
    <w:rsid w:val="007C0D12"/>
    <w:rsid w:val="007C196A"/>
    <w:rsid w:val="007C244E"/>
    <w:rsid w:val="007C2BE1"/>
    <w:rsid w:val="007C3134"/>
    <w:rsid w:val="007C3628"/>
    <w:rsid w:val="007C452F"/>
    <w:rsid w:val="007C5B2C"/>
    <w:rsid w:val="007C6144"/>
    <w:rsid w:val="007C694E"/>
    <w:rsid w:val="007C6C76"/>
    <w:rsid w:val="007C7397"/>
    <w:rsid w:val="007C73DF"/>
    <w:rsid w:val="007C7404"/>
    <w:rsid w:val="007C7E4D"/>
    <w:rsid w:val="007D00A9"/>
    <w:rsid w:val="007D0332"/>
    <w:rsid w:val="007D052B"/>
    <w:rsid w:val="007D0ADD"/>
    <w:rsid w:val="007D0E14"/>
    <w:rsid w:val="007D1675"/>
    <w:rsid w:val="007D2673"/>
    <w:rsid w:val="007D29C5"/>
    <w:rsid w:val="007D2A32"/>
    <w:rsid w:val="007D2BC5"/>
    <w:rsid w:val="007D2E6A"/>
    <w:rsid w:val="007D30F2"/>
    <w:rsid w:val="007D31B9"/>
    <w:rsid w:val="007D352B"/>
    <w:rsid w:val="007D440B"/>
    <w:rsid w:val="007D4F87"/>
    <w:rsid w:val="007D5137"/>
    <w:rsid w:val="007D562B"/>
    <w:rsid w:val="007D5BC0"/>
    <w:rsid w:val="007D64DD"/>
    <w:rsid w:val="007D6A70"/>
    <w:rsid w:val="007D6B47"/>
    <w:rsid w:val="007D7543"/>
    <w:rsid w:val="007D7C2F"/>
    <w:rsid w:val="007D7F7A"/>
    <w:rsid w:val="007E023C"/>
    <w:rsid w:val="007E0326"/>
    <w:rsid w:val="007E04CA"/>
    <w:rsid w:val="007E0B3D"/>
    <w:rsid w:val="007E18F8"/>
    <w:rsid w:val="007E253B"/>
    <w:rsid w:val="007E2BB9"/>
    <w:rsid w:val="007E3048"/>
    <w:rsid w:val="007E42E0"/>
    <w:rsid w:val="007E4690"/>
    <w:rsid w:val="007E50AF"/>
    <w:rsid w:val="007E6230"/>
    <w:rsid w:val="007E6CB0"/>
    <w:rsid w:val="007E7526"/>
    <w:rsid w:val="007E7BC6"/>
    <w:rsid w:val="007E7E2E"/>
    <w:rsid w:val="007F0265"/>
    <w:rsid w:val="007F0590"/>
    <w:rsid w:val="007F173C"/>
    <w:rsid w:val="007F17D2"/>
    <w:rsid w:val="007F2236"/>
    <w:rsid w:val="007F23A2"/>
    <w:rsid w:val="007F256D"/>
    <w:rsid w:val="007F269F"/>
    <w:rsid w:val="007F2A01"/>
    <w:rsid w:val="007F2E64"/>
    <w:rsid w:val="007F3094"/>
    <w:rsid w:val="007F34C4"/>
    <w:rsid w:val="007F3A21"/>
    <w:rsid w:val="007F4204"/>
    <w:rsid w:val="007F44BC"/>
    <w:rsid w:val="007F4FD1"/>
    <w:rsid w:val="007F53D1"/>
    <w:rsid w:val="007F54E4"/>
    <w:rsid w:val="007F56A8"/>
    <w:rsid w:val="007F5779"/>
    <w:rsid w:val="007F612E"/>
    <w:rsid w:val="007F6E80"/>
    <w:rsid w:val="00800020"/>
    <w:rsid w:val="0080031A"/>
    <w:rsid w:val="00800545"/>
    <w:rsid w:val="00800A47"/>
    <w:rsid w:val="00800B3D"/>
    <w:rsid w:val="00800B4C"/>
    <w:rsid w:val="00800E91"/>
    <w:rsid w:val="0080286E"/>
    <w:rsid w:val="008029E7"/>
    <w:rsid w:val="00802E5A"/>
    <w:rsid w:val="00803442"/>
    <w:rsid w:val="00804435"/>
    <w:rsid w:val="00804554"/>
    <w:rsid w:val="008053E1"/>
    <w:rsid w:val="00805D49"/>
    <w:rsid w:val="00806571"/>
    <w:rsid w:val="00806F44"/>
    <w:rsid w:val="0080714C"/>
    <w:rsid w:val="00810139"/>
    <w:rsid w:val="0081107B"/>
    <w:rsid w:val="00811207"/>
    <w:rsid w:val="008117E4"/>
    <w:rsid w:val="00811C2D"/>
    <w:rsid w:val="00811CB3"/>
    <w:rsid w:val="00811CC0"/>
    <w:rsid w:val="00811D45"/>
    <w:rsid w:val="008123F2"/>
    <w:rsid w:val="00812611"/>
    <w:rsid w:val="00812861"/>
    <w:rsid w:val="00812927"/>
    <w:rsid w:val="00812A37"/>
    <w:rsid w:val="00812E31"/>
    <w:rsid w:val="00813305"/>
    <w:rsid w:val="00813804"/>
    <w:rsid w:val="00813908"/>
    <w:rsid w:val="00814E3B"/>
    <w:rsid w:val="00815974"/>
    <w:rsid w:val="00815DDE"/>
    <w:rsid w:val="00816359"/>
    <w:rsid w:val="0081783D"/>
    <w:rsid w:val="00820A9F"/>
    <w:rsid w:val="00820CD3"/>
    <w:rsid w:val="00820E7D"/>
    <w:rsid w:val="0082184F"/>
    <w:rsid w:val="008242E4"/>
    <w:rsid w:val="008242FF"/>
    <w:rsid w:val="008244E8"/>
    <w:rsid w:val="0082527B"/>
    <w:rsid w:val="00825374"/>
    <w:rsid w:val="008253CF"/>
    <w:rsid w:val="00825D0B"/>
    <w:rsid w:val="00825F5B"/>
    <w:rsid w:val="00826180"/>
    <w:rsid w:val="008262C2"/>
    <w:rsid w:val="00826E22"/>
    <w:rsid w:val="00827332"/>
    <w:rsid w:val="008278E4"/>
    <w:rsid w:val="00827D12"/>
    <w:rsid w:val="00830F2B"/>
    <w:rsid w:val="008313EF"/>
    <w:rsid w:val="00831C47"/>
    <w:rsid w:val="00831E54"/>
    <w:rsid w:val="00831EA1"/>
    <w:rsid w:val="00832556"/>
    <w:rsid w:val="0083288C"/>
    <w:rsid w:val="008328D4"/>
    <w:rsid w:val="00832916"/>
    <w:rsid w:val="00832AD7"/>
    <w:rsid w:val="00832F16"/>
    <w:rsid w:val="008339A7"/>
    <w:rsid w:val="0083434B"/>
    <w:rsid w:val="00834A9E"/>
    <w:rsid w:val="00834CBE"/>
    <w:rsid w:val="00834F1C"/>
    <w:rsid w:val="00834F91"/>
    <w:rsid w:val="00834F92"/>
    <w:rsid w:val="008359E6"/>
    <w:rsid w:val="00836372"/>
    <w:rsid w:val="008368BF"/>
    <w:rsid w:val="008379EC"/>
    <w:rsid w:val="0084026D"/>
    <w:rsid w:val="0084076D"/>
    <w:rsid w:val="00840E60"/>
    <w:rsid w:val="00841D69"/>
    <w:rsid w:val="0084202F"/>
    <w:rsid w:val="0084254B"/>
    <w:rsid w:val="0084394B"/>
    <w:rsid w:val="00843D9A"/>
    <w:rsid w:val="008442AA"/>
    <w:rsid w:val="0084464F"/>
    <w:rsid w:val="008446AD"/>
    <w:rsid w:val="008449FA"/>
    <w:rsid w:val="00845384"/>
    <w:rsid w:val="008454CA"/>
    <w:rsid w:val="00845799"/>
    <w:rsid w:val="00846585"/>
    <w:rsid w:val="008466AF"/>
    <w:rsid w:val="008466D1"/>
    <w:rsid w:val="0084677B"/>
    <w:rsid w:val="008468AA"/>
    <w:rsid w:val="00846911"/>
    <w:rsid w:val="00846ED4"/>
    <w:rsid w:val="0084721C"/>
    <w:rsid w:val="0084727C"/>
    <w:rsid w:val="0084796D"/>
    <w:rsid w:val="00850948"/>
    <w:rsid w:val="00850A7C"/>
    <w:rsid w:val="008514E9"/>
    <w:rsid w:val="008517BD"/>
    <w:rsid w:val="0085181E"/>
    <w:rsid w:val="00851990"/>
    <w:rsid w:val="00851B43"/>
    <w:rsid w:val="008528F7"/>
    <w:rsid w:val="00852A1E"/>
    <w:rsid w:val="00852FED"/>
    <w:rsid w:val="008536DB"/>
    <w:rsid w:val="00853C6A"/>
    <w:rsid w:val="00854393"/>
    <w:rsid w:val="00854795"/>
    <w:rsid w:val="00854E9F"/>
    <w:rsid w:val="00855A99"/>
    <w:rsid w:val="008567ED"/>
    <w:rsid w:val="00856B5D"/>
    <w:rsid w:val="008570E5"/>
    <w:rsid w:val="0085713D"/>
    <w:rsid w:val="008604EE"/>
    <w:rsid w:val="00860F7F"/>
    <w:rsid w:val="00861078"/>
    <w:rsid w:val="008610F2"/>
    <w:rsid w:val="008614F0"/>
    <w:rsid w:val="008617A1"/>
    <w:rsid w:val="00861C53"/>
    <w:rsid w:val="00862391"/>
    <w:rsid w:val="0086261B"/>
    <w:rsid w:val="00862BD9"/>
    <w:rsid w:val="00862EEC"/>
    <w:rsid w:val="008650EB"/>
    <w:rsid w:val="0086532D"/>
    <w:rsid w:val="00865575"/>
    <w:rsid w:val="00865FB1"/>
    <w:rsid w:val="00867A7B"/>
    <w:rsid w:val="00870FB2"/>
    <w:rsid w:val="00871075"/>
    <w:rsid w:val="008711F3"/>
    <w:rsid w:val="00871A60"/>
    <w:rsid w:val="00871D3F"/>
    <w:rsid w:val="00872757"/>
    <w:rsid w:val="00872779"/>
    <w:rsid w:val="00872F94"/>
    <w:rsid w:val="008732FB"/>
    <w:rsid w:val="00873A46"/>
    <w:rsid w:val="008740E5"/>
    <w:rsid w:val="00874695"/>
    <w:rsid w:val="0087514B"/>
    <w:rsid w:val="008752D5"/>
    <w:rsid w:val="00875A5D"/>
    <w:rsid w:val="00876D68"/>
    <w:rsid w:val="0087732B"/>
    <w:rsid w:val="0087798D"/>
    <w:rsid w:val="008779AB"/>
    <w:rsid w:val="0088112A"/>
    <w:rsid w:val="00882145"/>
    <w:rsid w:val="00882159"/>
    <w:rsid w:val="0088229E"/>
    <w:rsid w:val="00882347"/>
    <w:rsid w:val="008823A2"/>
    <w:rsid w:val="008823F1"/>
    <w:rsid w:val="008839FC"/>
    <w:rsid w:val="00884557"/>
    <w:rsid w:val="00884A23"/>
    <w:rsid w:val="00884B9D"/>
    <w:rsid w:val="008850E4"/>
    <w:rsid w:val="00885498"/>
    <w:rsid w:val="00885AC7"/>
    <w:rsid w:val="008866C1"/>
    <w:rsid w:val="00886A66"/>
    <w:rsid w:val="00886DC5"/>
    <w:rsid w:val="008901C1"/>
    <w:rsid w:val="0089057F"/>
    <w:rsid w:val="008908F2"/>
    <w:rsid w:val="00891302"/>
    <w:rsid w:val="00891313"/>
    <w:rsid w:val="00891367"/>
    <w:rsid w:val="0089138E"/>
    <w:rsid w:val="008916BB"/>
    <w:rsid w:val="008917BD"/>
    <w:rsid w:val="00891B98"/>
    <w:rsid w:val="00891CBD"/>
    <w:rsid w:val="008923F3"/>
    <w:rsid w:val="00892CB7"/>
    <w:rsid w:val="00893374"/>
    <w:rsid w:val="008934AF"/>
    <w:rsid w:val="00893583"/>
    <w:rsid w:val="008938B8"/>
    <w:rsid w:val="00895069"/>
    <w:rsid w:val="0089574A"/>
    <w:rsid w:val="00895851"/>
    <w:rsid w:val="0089602F"/>
    <w:rsid w:val="00896D45"/>
    <w:rsid w:val="00896F3C"/>
    <w:rsid w:val="00897064"/>
    <w:rsid w:val="008971D0"/>
    <w:rsid w:val="0089787E"/>
    <w:rsid w:val="00897A88"/>
    <w:rsid w:val="008A00AF"/>
    <w:rsid w:val="008A04E5"/>
    <w:rsid w:val="008A05E7"/>
    <w:rsid w:val="008A13A4"/>
    <w:rsid w:val="008A1F2E"/>
    <w:rsid w:val="008A2BB8"/>
    <w:rsid w:val="008A3799"/>
    <w:rsid w:val="008A3B15"/>
    <w:rsid w:val="008A3BAD"/>
    <w:rsid w:val="008A42C2"/>
    <w:rsid w:val="008A47CB"/>
    <w:rsid w:val="008A50EF"/>
    <w:rsid w:val="008A54EB"/>
    <w:rsid w:val="008A5574"/>
    <w:rsid w:val="008A557D"/>
    <w:rsid w:val="008A5603"/>
    <w:rsid w:val="008A5662"/>
    <w:rsid w:val="008A5961"/>
    <w:rsid w:val="008A5C68"/>
    <w:rsid w:val="008A5C84"/>
    <w:rsid w:val="008A5FA0"/>
    <w:rsid w:val="008A659C"/>
    <w:rsid w:val="008A694B"/>
    <w:rsid w:val="008A6A16"/>
    <w:rsid w:val="008A6B3C"/>
    <w:rsid w:val="008A77C0"/>
    <w:rsid w:val="008B070E"/>
    <w:rsid w:val="008B0B87"/>
    <w:rsid w:val="008B0C17"/>
    <w:rsid w:val="008B0FCA"/>
    <w:rsid w:val="008B10B4"/>
    <w:rsid w:val="008B12CC"/>
    <w:rsid w:val="008B2001"/>
    <w:rsid w:val="008B2991"/>
    <w:rsid w:val="008B331C"/>
    <w:rsid w:val="008B3383"/>
    <w:rsid w:val="008B3570"/>
    <w:rsid w:val="008B368D"/>
    <w:rsid w:val="008B3DE3"/>
    <w:rsid w:val="008B412D"/>
    <w:rsid w:val="008B4F2B"/>
    <w:rsid w:val="008B50C4"/>
    <w:rsid w:val="008B5D1C"/>
    <w:rsid w:val="008B5DB2"/>
    <w:rsid w:val="008B6B12"/>
    <w:rsid w:val="008B71A2"/>
    <w:rsid w:val="008B7BE6"/>
    <w:rsid w:val="008C0408"/>
    <w:rsid w:val="008C0DF8"/>
    <w:rsid w:val="008C1467"/>
    <w:rsid w:val="008C2935"/>
    <w:rsid w:val="008C2DC6"/>
    <w:rsid w:val="008C4160"/>
    <w:rsid w:val="008C41E0"/>
    <w:rsid w:val="008C54F1"/>
    <w:rsid w:val="008C5A84"/>
    <w:rsid w:val="008C5AC0"/>
    <w:rsid w:val="008C7177"/>
    <w:rsid w:val="008D02C6"/>
    <w:rsid w:val="008D062C"/>
    <w:rsid w:val="008D0720"/>
    <w:rsid w:val="008D08E3"/>
    <w:rsid w:val="008D09A8"/>
    <w:rsid w:val="008D1782"/>
    <w:rsid w:val="008D186F"/>
    <w:rsid w:val="008D32E1"/>
    <w:rsid w:val="008D3662"/>
    <w:rsid w:val="008D37A3"/>
    <w:rsid w:val="008D37C7"/>
    <w:rsid w:val="008D4BD6"/>
    <w:rsid w:val="008D4D64"/>
    <w:rsid w:val="008D505A"/>
    <w:rsid w:val="008D5067"/>
    <w:rsid w:val="008D523B"/>
    <w:rsid w:val="008D5629"/>
    <w:rsid w:val="008D5690"/>
    <w:rsid w:val="008D56E1"/>
    <w:rsid w:val="008D5A88"/>
    <w:rsid w:val="008D767B"/>
    <w:rsid w:val="008D77BB"/>
    <w:rsid w:val="008E28AE"/>
    <w:rsid w:val="008E495D"/>
    <w:rsid w:val="008E4ECC"/>
    <w:rsid w:val="008E505B"/>
    <w:rsid w:val="008E52A6"/>
    <w:rsid w:val="008E5876"/>
    <w:rsid w:val="008E647B"/>
    <w:rsid w:val="008E6502"/>
    <w:rsid w:val="008E69A9"/>
    <w:rsid w:val="008E70DE"/>
    <w:rsid w:val="008E72E3"/>
    <w:rsid w:val="008F00E8"/>
    <w:rsid w:val="008F08FE"/>
    <w:rsid w:val="008F0A78"/>
    <w:rsid w:val="008F0F4D"/>
    <w:rsid w:val="008F11CA"/>
    <w:rsid w:val="008F1812"/>
    <w:rsid w:val="008F18C0"/>
    <w:rsid w:val="008F197E"/>
    <w:rsid w:val="008F3E09"/>
    <w:rsid w:val="008F3FB8"/>
    <w:rsid w:val="008F5044"/>
    <w:rsid w:val="008F5050"/>
    <w:rsid w:val="008F51E2"/>
    <w:rsid w:val="008F5AC6"/>
    <w:rsid w:val="008F5B6F"/>
    <w:rsid w:val="008F61A0"/>
    <w:rsid w:val="008F65D6"/>
    <w:rsid w:val="008F65DE"/>
    <w:rsid w:val="008F6963"/>
    <w:rsid w:val="008F6A69"/>
    <w:rsid w:val="008F7290"/>
    <w:rsid w:val="008F78DF"/>
    <w:rsid w:val="008F7F12"/>
    <w:rsid w:val="00900824"/>
    <w:rsid w:val="00901679"/>
    <w:rsid w:val="0090184B"/>
    <w:rsid w:val="00901F81"/>
    <w:rsid w:val="009020E7"/>
    <w:rsid w:val="009022E1"/>
    <w:rsid w:val="00902EEB"/>
    <w:rsid w:val="00902FBE"/>
    <w:rsid w:val="00903E51"/>
    <w:rsid w:val="00903EC9"/>
    <w:rsid w:val="009048A9"/>
    <w:rsid w:val="00904AC4"/>
    <w:rsid w:val="00904C02"/>
    <w:rsid w:val="00904DFA"/>
    <w:rsid w:val="00904FE9"/>
    <w:rsid w:val="009058CA"/>
    <w:rsid w:val="009058FC"/>
    <w:rsid w:val="009062A0"/>
    <w:rsid w:val="00906567"/>
    <w:rsid w:val="00906FCA"/>
    <w:rsid w:val="009071D3"/>
    <w:rsid w:val="0091016D"/>
    <w:rsid w:val="009102BE"/>
    <w:rsid w:val="009104EE"/>
    <w:rsid w:val="00911037"/>
    <w:rsid w:val="0091163E"/>
    <w:rsid w:val="00911D15"/>
    <w:rsid w:val="00912EF3"/>
    <w:rsid w:val="00913453"/>
    <w:rsid w:val="0091348C"/>
    <w:rsid w:val="00914036"/>
    <w:rsid w:val="009155C9"/>
    <w:rsid w:val="0091578A"/>
    <w:rsid w:val="00916B4A"/>
    <w:rsid w:val="00916C00"/>
    <w:rsid w:val="009170EB"/>
    <w:rsid w:val="00917886"/>
    <w:rsid w:val="00917950"/>
    <w:rsid w:val="009204B4"/>
    <w:rsid w:val="009206D4"/>
    <w:rsid w:val="00921159"/>
    <w:rsid w:val="00921284"/>
    <w:rsid w:val="009212F0"/>
    <w:rsid w:val="00921430"/>
    <w:rsid w:val="00921E1F"/>
    <w:rsid w:val="0092201E"/>
    <w:rsid w:val="00922163"/>
    <w:rsid w:val="00922E16"/>
    <w:rsid w:val="00923EE0"/>
    <w:rsid w:val="009247A8"/>
    <w:rsid w:val="00924A49"/>
    <w:rsid w:val="0092544A"/>
    <w:rsid w:val="0092552D"/>
    <w:rsid w:val="00925DA6"/>
    <w:rsid w:val="00926EF9"/>
    <w:rsid w:val="00927897"/>
    <w:rsid w:val="00927992"/>
    <w:rsid w:val="00927E2D"/>
    <w:rsid w:val="00927EC2"/>
    <w:rsid w:val="00927F8B"/>
    <w:rsid w:val="00927FF1"/>
    <w:rsid w:val="00930233"/>
    <w:rsid w:val="00930423"/>
    <w:rsid w:val="00930CF4"/>
    <w:rsid w:val="00932147"/>
    <w:rsid w:val="009322A7"/>
    <w:rsid w:val="009327F1"/>
    <w:rsid w:val="009336A4"/>
    <w:rsid w:val="009338BE"/>
    <w:rsid w:val="00933A43"/>
    <w:rsid w:val="00933C9C"/>
    <w:rsid w:val="00933D77"/>
    <w:rsid w:val="0093433E"/>
    <w:rsid w:val="009344D8"/>
    <w:rsid w:val="00934578"/>
    <w:rsid w:val="009358F0"/>
    <w:rsid w:val="00935B15"/>
    <w:rsid w:val="009366E7"/>
    <w:rsid w:val="00936FCD"/>
    <w:rsid w:val="009379DD"/>
    <w:rsid w:val="00937A10"/>
    <w:rsid w:val="0094020F"/>
    <w:rsid w:val="00940572"/>
    <w:rsid w:val="0094066D"/>
    <w:rsid w:val="00940DB8"/>
    <w:rsid w:val="0094157B"/>
    <w:rsid w:val="00941611"/>
    <w:rsid w:val="00941885"/>
    <w:rsid w:val="00941B92"/>
    <w:rsid w:val="00941FC6"/>
    <w:rsid w:val="009432FD"/>
    <w:rsid w:val="00943851"/>
    <w:rsid w:val="009438F1"/>
    <w:rsid w:val="00943AAA"/>
    <w:rsid w:val="00944B1E"/>
    <w:rsid w:val="0094530A"/>
    <w:rsid w:val="009456A2"/>
    <w:rsid w:val="00946BF2"/>
    <w:rsid w:val="00946F3E"/>
    <w:rsid w:val="00950166"/>
    <w:rsid w:val="009503F1"/>
    <w:rsid w:val="00950439"/>
    <w:rsid w:val="00950882"/>
    <w:rsid w:val="00950E3B"/>
    <w:rsid w:val="00951233"/>
    <w:rsid w:val="00951643"/>
    <w:rsid w:val="009517F1"/>
    <w:rsid w:val="0095270B"/>
    <w:rsid w:val="00952CAD"/>
    <w:rsid w:val="00952CB3"/>
    <w:rsid w:val="00952F6E"/>
    <w:rsid w:val="00953578"/>
    <w:rsid w:val="00953723"/>
    <w:rsid w:val="00954701"/>
    <w:rsid w:val="00955395"/>
    <w:rsid w:val="0095540A"/>
    <w:rsid w:val="00955975"/>
    <w:rsid w:val="00955DE5"/>
    <w:rsid w:val="00956439"/>
    <w:rsid w:val="00957929"/>
    <w:rsid w:val="00957B29"/>
    <w:rsid w:val="00957F43"/>
    <w:rsid w:val="00961353"/>
    <w:rsid w:val="009616CC"/>
    <w:rsid w:val="009618B9"/>
    <w:rsid w:val="009619BB"/>
    <w:rsid w:val="0096261F"/>
    <w:rsid w:val="009648F8"/>
    <w:rsid w:val="00964A77"/>
    <w:rsid w:val="00964D2A"/>
    <w:rsid w:val="0096558C"/>
    <w:rsid w:val="009659EC"/>
    <w:rsid w:val="00966103"/>
    <w:rsid w:val="00966925"/>
    <w:rsid w:val="00967047"/>
    <w:rsid w:val="00967A97"/>
    <w:rsid w:val="00970386"/>
    <w:rsid w:val="00970937"/>
    <w:rsid w:val="00970D85"/>
    <w:rsid w:val="009719AB"/>
    <w:rsid w:val="00972C02"/>
    <w:rsid w:val="00972EBA"/>
    <w:rsid w:val="00972EBB"/>
    <w:rsid w:val="00973E49"/>
    <w:rsid w:val="00974024"/>
    <w:rsid w:val="00974058"/>
    <w:rsid w:val="009747BD"/>
    <w:rsid w:val="00974C63"/>
    <w:rsid w:val="00974F7D"/>
    <w:rsid w:val="00975062"/>
    <w:rsid w:val="00975B62"/>
    <w:rsid w:val="00975D20"/>
    <w:rsid w:val="0097620C"/>
    <w:rsid w:val="00976368"/>
    <w:rsid w:val="009764B1"/>
    <w:rsid w:val="00976527"/>
    <w:rsid w:val="00976AAC"/>
    <w:rsid w:val="0097782A"/>
    <w:rsid w:val="00980C86"/>
    <w:rsid w:val="00980EDF"/>
    <w:rsid w:val="0098119A"/>
    <w:rsid w:val="00981488"/>
    <w:rsid w:val="009822D6"/>
    <w:rsid w:val="009823BB"/>
    <w:rsid w:val="009832CA"/>
    <w:rsid w:val="00983FA8"/>
    <w:rsid w:val="00985A9C"/>
    <w:rsid w:val="00985FF5"/>
    <w:rsid w:val="009860BA"/>
    <w:rsid w:val="009865A6"/>
    <w:rsid w:val="00986747"/>
    <w:rsid w:val="009873A6"/>
    <w:rsid w:val="00987417"/>
    <w:rsid w:val="00987DAC"/>
    <w:rsid w:val="00987F75"/>
    <w:rsid w:val="00990B60"/>
    <w:rsid w:val="00990E58"/>
    <w:rsid w:val="00990FFE"/>
    <w:rsid w:val="009912D0"/>
    <w:rsid w:val="009924C0"/>
    <w:rsid w:val="009934C7"/>
    <w:rsid w:val="009934D7"/>
    <w:rsid w:val="009937BC"/>
    <w:rsid w:val="009938B4"/>
    <w:rsid w:val="00993A31"/>
    <w:rsid w:val="009948A3"/>
    <w:rsid w:val="009949D1"/>
    <w:rsid w:val="00995046"/>
    <w:rsid w:val="00995FB6"/>
    <w:rsid w:val="00996103"/>
    <w:rsid w:val="00996149"/>
    <w:rsid w:val="0099632F"/>
    <w:rsid w:val="00997013"/>
    <w:rsid w:val="0099752B"/>
    <w:rsid w:val="00997A99"/>
    <w:rsid w:val="00997EA1"/>
    <w:rsid w:val="009A0E95"/>
    <w:rsid w:val="009A11A8"/>
    <w:rsid w:val="009A1F6C"/>
    <w:rsid w:val="009A25A9"/>
    <w:rsid w:val="009A3389"/>
    <w:rsid w:val="009A33B6"/>
    <w:rsid w:val="009A3EA9"/>
    <w:rsid w:val="009A4100"/>
    <w:rsid w:val="009A438E"/>
    <w:rsid w:val="009A4B5F"/>
    <w:rsid w:val="009A53AD"/>
    <w:rsid w:val="009A5826"/>
    <w:rsid w:val="009A5AD9"/>
    <w:rsid w:val="009A6D9C"/>
    <w:rsid w:val="009A77CF"/>
    <w:rsid w:val="009B03E1"/>
    <w:rsid w:val="009B092A"/>
    <w:rsid w:val="009B0D4C"/>
    <w:rsid w:val="009B106E"/>
    <w:rsid w:val="009B12E3"/>
    <w:rsid w:val="009B14F7"/>
    <w:rsid w:val="009B199F"/>
    <w:rsid w:val="009B1B45"/>
    <w:rsid w:val="009B2033"/>
    <w:rsid w:val="009B218B"/>
    <w:rsid w:val="009B2929"/>
    <w:rsid w:val="009B2F83"/>
    <w:rsid w:val="009B3657"/>
    <w:rsid w:val="009B378A"/>
    <w:rsid w:val="009B4559"/>
    <w:rsid w:val="009B51BE"/>
    <w:rsid w:val="009B5A41"/>
    <w:rsid w:val="009B631E"/>
    <w:rsid w:val="009B6EE3"/>
    <w:rsid w:val="009B74D8"/>
    <w:rsid w:val="009B7F54"/>
    <w:rsid w:val="009C0146"/>
    <w:rsid w:val="009C0A93"/>
    <w:rsid w:val="009C1E6E"/>
    <w:rsid w:val="009C1F81"/>
    <w:rsid w:val="009C23FB"/>
    <w:rsid w:val="009C2895"/>
    <w:rsid w:val="009C30A9"/>
    <w:rsid w:val="009C30E0"/>
    <w:rsid w:val="009C3538"/>
    <w:rsid w:val="009C377F"/>
    <w:rsid w:val="009C37C2"/>
    <w:rsid w:val="009C3A26"/>
    <w:rsid w:val="009C471F"/>
    <w:rsid w:val="009C4CEB"/>
    <w:rsid w:val="009C4DFD"/>
    <w:rsid w:val="009C5974"/>
    <w:rsid w:val="009C5CE1"/>
    <w:rsid w:val="009C642A"/>
    <w:rsid w:val="009C6855"/>
    <w:rsid w:val="009C7133"/>
    <w:rsid w:val="009C77FD"/>
    <w:rsid w:val="009D0705"/>
    <w:rsid w:val="009D1814"/>
    <w:rsid w:val="009D2E91"/>
    <w:rsid w:val="009D30A2"/>
    <w:rsid w:val="009D335C"/>
    <w:rsid w:val="009D3FD2"/>
    <w:rsid w:val="009D41E5"/>
    <w:rsid w:val="009D44BB"/>
    <w:rsid w:val="009D45FC"/>
    <w:rsid w:val="009D46EB"/>
    <w:rsid w:val="009D4FAE"/>
    <w:rsid w:val="009D514F"/>
    <w:rsid w:val="009D5A9D"/>
    <w:rsid w:val="009D5BE2"/>
    <w:rsid w:val="009D5FC4"/>
    <w:rsid w:val="009D6357"/>
    <w:rsid w:val="009D716E"/>
    <w:rsid w:val="009D719B"/>
    <w:rsid w:val="009D783A"/>
    <w:rsid w:val="009D789F"/>
    <w:rsid w:val="009D7F49"/>
    <w:rsid w:val="009E0796"/>
    <w:rsid w:val="009E19CF"/>
    <w:rsid w:val="009E1E08"/>
    <w:rsid w:val="009E22E5"/>
    <w:rsid w:val="009E251D"/>
    <w:rsid w:val="009E2B5F"/>
    <w:rsid w:val="009E2C3E"/>
    <w:rsid w:val="009E3079"/>
    <w:rsid w:val="009E391B"/>
    <w:rsid w:val="009E4977"/>
    <w:rsid w:val="009E51F5"/>
    <w:rsid w:val="009E535D"/>
    <w:rsid w:val="009E5565"/>
    <w:rsid w:val="009E6265"/>
    <w:rsid w:val="009E67FC"/>
    <w:rsid w:val="009F038F"/>
    <w:rsid w:val="009F1C55"/>
    <w:rsid w:val="009F2B1D"/>
    <w:rsid w:val="009F3257"/>
    <w:rsid w:val="009F3E1A"/>
    <w:rsid w:val="009F473F"/>
    <w:rsid w:val="009F4DC4"/>
    <w:rsid w:val="009F4EE2"/>
    <w:rsid w:val="009F500D"/>
    <w:rsid w:val="009F5352"/>
    <w:rsid w:val="009F6525"/>
    <w:rsid w:val="009F6585"/>
    <w:rsid w:val="009F67C1"/>
    <w:rsid w:val="009F73B2"/>
    <w:rsid w:val="009F741E"/>
    <w:rsid w:val="009F7AE7"/>
    <w:rsid w:val="009F7D87"/>
    <w:rsid w:val="00A00920"/>
    <w:rsid w:val="00A00EA5"/>
    <w:rsid w:val="00A01284"/>
    <w:rsid w:val="00A01F7F"/>
    <w:rsid w:val="00A020A6"/>
    <w:rsid w:val="00A02965"/>
    <w:rsid w:val="00A02D3B"/>
    <w:rsid w:val="00A03243"/>
    <w:rsid w:val="00A037D9"/>
    <w:rsid w:val="00A03A5B"/>
    <w:rsid w:val="00A03E2E"/>
    <w:rsid w:val="00A03F67"/>
    <w:rsid w:val="00A0417D"/>
    <w:rsid w:val="00A04CA5"/>
    <w:rsid w:val="00A05004"/>
    <w:rsid w:val="00A05F32"/>
    <w:rsid w:val="00A0632C"/>
    <w:rsid w:val="00A066EF"/>
    <w:rsid w:val="00A066F5"/>
    <w:rsid w:val="00A06BDC"/>
    <w:rsid w:val="00A06F5C"/>
    <w:rsid w:val="00A06F66"/>
    <w:rsid w:val="00A07070"/>
    <w:rsid w:val="00A07555"/>
    <w:rsid w:val="00A106C4"/>
    <w:rsid w:val="00A10C63"/>
    <w:rsid w:val="00A1235A"/>
    <w:rsid w:val="00A12418"/>
    <w:rsid w:val="00A12D76"/>
    <w:rsid w:val="00A1380C"/>
    <w:rsid w:val="00A13952"/>
    <w:rsid w:val="00A13B76"/>
    <w:rsid w:val="00A13C60"/>
    <w:rsid w:val="00A13CD4"/>
    <w:rsid w:val="00A14891"/>
    <w:rsid w:val="00A15129"/>
    <w:rsid w:val="00A15A8E"/>
    <w:rsid w:val="00A16593"/>
    <w:rsid w:val="00A16758"/>
    <w:rsid w:val="00A16F75"/>
    <w:rsid w:val="00A171B1"/>
    <w:rsid w:val="00A179C3"/>
    <w:rsid w:val="00A202D8"/>
    <w:rsid w:val="00A208DF"/>
    <w:rsid w:val="00A2114D"/>
    <w:rsid w:val="00A216C8"/>
    <w:rsid w:val="00A21BBE"/>
    <w:rsid w:val="00A21CB8"/>
    <w:rsid w:val="00A221B5"/>
    <w:rsid w:val="00A2331E"/>
    <w:rsid w:val="00A23571"/>
    <w:rsid w:val="00A23D79"/>
    <w:rsid w:val="00A25159"/>
    <w:rsid w:val="00A2630C"/>
    <w:rsid w:val="00A26B08"/>
    <w:rsid w:val="00A26B33"/>
    <w:rsid w:val="00A273E4"/>
    <w:rsid w:val="00A274B7"/>
    <w:rsid w:val="00A27C87"/>
    <w:rsid w:val="00A27CBC"/>
    <w:rsid w:val="00A303D2"/>
    <w:rsid w:val="00A30C35"/>
    <w:rsid w:val="00A30E25"/>
    <w:rsid w:val="00A31108"/>
    <w:rsid w:val="00A31216"/>
    <w:rsid w:val="00A315FF"/>
    <w:rsid w:val="00A32181"/>
    <w:rsid w:val="00A32439"/>
    <w:rsid w:val="00A3244C"/>
    <w:rsid w:val="00A325EE"/>
    <w:rsid w:val="00A328B7"/>
    <w:rsid w:val="00A32E43"/>
    <w:rsid w:val="00A3333A"/>
    <w:rsid w:val="00A338FF"/>
    <w:rsid w:val="00A33D18"/>
    <w:rsid w:val="00A342C6"/>
    <w:rsid w:val="00A34346"/>
    <w:rsid w:val="00A34545"/>
    <w:rsid w:val="00A3464D"/>
    <w:rsid w:val="00A34953"/>
    <w:rsid w:val="00A34A88"/>
    <w:rsid w:val="00A34F39"/>
    <w:rsid w:val="00A35057"/>
    <w:rsid w:val="00A3576A"/>
    <w:rsid w:val="00A35FF1"/>
    <w:rsid w:val="00A36BBD"/>
    <w:rsid w:val="00A37FA5"/>
    <w:rsid w:val="00A4027A"/>
    <w:rsid w:val="00A402FB"/>
    <w:rsid w:val="00A4057B"/>
    <w:rsid w:val="00A40693"/>
    <w:rsid w:val="00A406BD"/>
    <w:rsid w:val="00A40E83"/>
    <w:rsid w:val="00A40F89"/>
    <w:rsid w:val="00A4144E"/>
    <w:rsid w:val="00A417D1"/>
    <w:rsid w:val="00A419E5"/>
    <w:rsid w:val="00A41A85"/>
    <w:rsid w:val="00A41B1B"/>
    <w:rsid w:val="00A41CC3"/>
    <w:rsid w:val="00A41FE4"/>
    <w:rsid w:val="00A42243"/>
    <w:rsid w:val="00A42280"/>
    <w:rsid w:val="00A42388"/>
    <w:rsid w:val="00A43419"/>
    <w:rsid w:val="00A43461"/>
    <w:rsid w:val="00A43C3F"/>
    <w:rsid w:val="00A43D2A"/>
    <w:rsid w:val="00A44709"/>
    <w:rsid w:val="00A465FE"/>
    <w:rsid w:val="00A46E2E"/>
    <w:rsid w:val="00A46ECA"/>
    <w:rsid w:val="00A47602"/>
    <w:rsid w:val="00A47AA8"/>
    <w:rsid w:val="00A47BA1"/>
    <w:rsid w:val="00A47E92"/>
    <w:rsid w:val="00A5057D"/>
    <w:rsid w:val="00A5059E"/>
    <w:rsid w:val="00A50875"/>
    <w:rsid w:val="00A5115C"/>
    <w:rsid w:val="00A513AE"/>
    <w:rsid w:val="00A51928"/>
    <w:rsid w:val="00A51E05"/>
    <w:rsid w:val="00A5315A"/>
    <w:rsid w:val="00A53C82"/>
    <w:rsid w:val="00A54401"/>
    <w:rsid w:val="00A544C1"/>
    <w:rsid w:val="00A544FA"/>
    <w:rsid w:val="00A548F4"/>
    <w:rsid w:val="00A54E65"/>
    <w:rsid w:val="00A550A7"/>
    <w:rsid w:val="00A5568E"/>
    <w:rsid w:val="00A55963"/>
    <w:rsid w:val="00A5682E"/>
    <w:rsid w:val="00A57F92"/>
    <w:rsid w:val="00A60DCA"/>
    <w:rsid w:val="00A61258"/>
    <w:rsid w:val="00A61982"/>
    <w:rsid w:val="00A619EF"/>
    <w:rsid w:val="00A61C1E"/>
    <w:rsid w:val="00A62AAF"/>
    <w:rsid w:val="00A63145"/>
    <w:rsid w:val="00A63B15"/>
    <w:rsid w:val="00A6405C"/>
    <w:rsid w:val="00A654C7"/>
    <w:rsid w:val="00A65F71"/>
    <w:rsid w:val="00A67607"/>
    <w:rsid w:val="00A708BF"/>
    <w:rsid w:val="00A70F52"/>
    <w:rsid w:val="00A7128C"/>
    <w:rsid w:val="00A71F3D"/>
    <w:rsid w:val="00A72905"/>
    <w:rsid w:val="00A72E62"/>
    <w:rsid w:val="00A73571"/>
    <w:rsid w:val="00A736DF"/>
    <w:rsid w:val="00A73FDC"/>
    <w:rsid w:val="00A74064"/>
    <w:rsid w:val="00A74273"/>
    <w:rsid w:val="00A743CB"/>
    <w:rsid w:val="00A7547E"/>
    <w:rsid w:val="00A75FDA"/>
    <w:rsid w:val="00A7663A"/>
    <w:rsid w:val="00A76A9C"/>
    <w:rsid w:val="00A76D2D"/>
    <w:rsid w:val="00A76FC0"/>
    <w:rsid w:val="00A77003"/>
    <w:rsid w:val="00A773EC"/>
    <w:rsid w:val="00A77FB7"/>
    <w:rsid w:val="00A80B80"/>
    <w:rsid w:val="00A8114C"/>
    <w:rsid w:val="00A81903"/>
    <w:rsid w:val="00A81C0C"/>
    <w:rsid w:val="00A823CB"/>
    <w:rsid w:val="00A82B3E"/>
    <w:rsid w:val="00A82EE4"/>
    <w:rsid w:val="00A830EE"/>
    <w:rsid w:val="00A837DB"/>
    <w:rsid w:val="00A837FA"/>
    <w:rsid w:val="00A838AB"/>
    <w:rsid w:val="00A83CBF"/>
    <w:rsid w:val="00A83E82"/>
    <w:rsid w:val="00A84784"/>
    <w:rsid w:val="00A84A9E"/>
    <w:rsid w:val="00A84BE4"/>
    <w:rsid w:val="00A85023"/>
    <w:rsid w:val="00A86175"/>
    <w:rsid w:val="00A86205"/>
    <w:rsid w:val="00A865E1"/>
    <w:rsid w:val="00A8682A"/>
    <w:rsid w:val="00A871CE"/>
    <w:rsid w:val="00A90304"/>
    <w:rsid w:val="00A91407"/>
    <w:rsid w:val="00A914A7"/>
    <w:rsid w:val="00A91859"/>
    <w:rsid w:val="00A91E24"/>
    <w:rsid w:val="00A92084"/>
    <w:rsid w:val="00A92889"/>
    <w:rsid w:val="00A93444"/>
    <w:rsid w:val="00A936FE"/>
    <w:rsid w:val="00A9375C"/>
    <w:rsid w:val="00A938CF"/>
    <w:rsid w:val="00A93C55"/>
    <w:rsid w:val="00A94719"/>
    <w:rsid w:val="00A95363"/>
    <w:rsid w:val="00A95636"/>
    <w:rsid w:val="00A966EA"/>
    <w:rsid w:val="00A9710F"/>
    <w:rsid w:val="00A97B14"/>
    <w:rsid w:val="00AA0A1C"/>
    <w:rsid w:val="00AA1BD1"/>
    <w:rsid w:val="00AA2122"/>
    <w:rsid w:val="00AA2335"/>
    <w:rsid w:val="00AA23D6"/>
    <w:rsid w:val="00AA26C5"/>
    <w:rsid w:val="00AA2B9A"/>
    <w:rsid w:val="00AA3BCE"/>
    <w:rsid w:val="00AA42F3"/>
    <w:rsid w:val="00AA4526"/>
    <w:rsid w:val="00AA4C43"/>
    <w:rsid w:val="00AA4E14"/>
    <w:rsid w:val="00AA4F7F"/>
    <w:rsid w:val="00AA55EF"/>
    <w:rsid w:val="00AA62BA"/>
    <w:rsid w:val="00AA70DB"/>
    <w:rsid w:val="00AA7402"/>
    <w:rsid w:val="00AA7751"/>
    <w:rsid w:val="00AA7983"/>
    <w:rsid w:val="00AA7CCA"/>
    <w:rsid w:val="00AB15BF"/>
    <w:rsid w:val="00AB1EEF"/>
    <w:rsid w:val="00AB218B"/>
    <w:rsid w:val="00AB2293"/>
    <w:rsid w:val="00AB3142"/>
    <w:rsid w:val="00AB34D4"/>
    <w:rsid w:val="00AB4150"/>
    <w:rsid w:val="00AB4301"/>
    <w:rsid w:val="00AB4609"/>
    <w:rsid w:val="00AB4D26"/>
    <w:rsid w:val="00AB5682"/>
    <w:rsid w:val="00AB6713"/>
    <w:rsid w:val="00AB7699"/>
    <w:rsid w:val="00AB788D"/>
    <w:rsid w:val="00AB7986"/>
    <w:rsid w:val="00AB7C46"/>
    <w:rsid w:val="00AC0226"/>
    <w:rsid w:val="00AC06D9"/>
    <w:rsid w:val="00AC09D0"/>
    <w:rsid w:val="00AC2CA9"/>
    <w:rsid w:val="00AC31BE"/>
    <w:rsid w:val="00AC335D"/>
    <w:rsid w:val="00AC3481"/>
    <w:rsid w:val="00AC3B1D"/>
    <w:rsid w:val="00AC3FD1"/>
    <w:rsid w:val="00AC4A46"/>
    <w:rsid w:val="00AC5E7B"/>
    <w:rsid w:val="00AC62CD"/>
    <w:rsid w:val="00AC6420"/>
    <w:rsid w:val="00AC6425"/>
    <w:rsid w:val="00AC6664"/>
    <w:rsid w:val="00AC6CF6"/>
    <w:rsid w:val="00AC7168"/>
    <w:rsid w:val="00AC7392"/>
    <w:rsid w:val="00AC7927"/>
    <w:rsid w:val="00AD0DCF"/>
    <w:rsid w:val="00AD0E5B"/>
    <w:rsid w:val="00AD1DE3"/>
    <w:rsid w:val="00AD21B7"/>
    <w:rsid w:val="00AD222F"/>
    <w:rsid w:val="00AD2B93"/>
    <w:rsid w:val="00AD37E2"/>
    <w:rsid w:val="00AD3CA8"/>
    <w:rsid w:val="00AD44F7"/>
    <w:rsid w:val="00AD491D"/>
    <w:rsid w:val="00AD5543"/>
    <w:rsid w:val="00AD57F1"/>
    <w:rsid w:val="00AD5CBC"/>
    <w:rsid w:val="00AD64DA"/>
    <w:rsid w:val="00AD6D29"/>
    <w:rsid w:val="00AD7782"/>
    <w:rsid w:val="00AE004D"/>
    <w:rsid w:val="00AE06F0"/>
    <w:rsid w:val="00AE086C"/>
    <w:rsid w:val="00AE11E2"/>
    <w:rsid w:val="00AE1B61"/>
    <w:rsid w:val="00AE1F2E"/>
    <w:rsid w:val="00AE43AA"/>
    <w:rsid w:val="00AE4D15"/>
    <w:rsid w:val="00AE4DBE"/>
    <w:rsid w:val="00AE630A"/>
    <w:rsid w:val="00AE63B3"/>
    <w:rsid w:val="00AE6BA4"/>
    <w:rsid w:val="00AE6E38"/>
    <w:rsid w:val="00AE6FFA"/>
    <w:rsid w:val="00AE72D9"/>
    <w:rsid w:val="00AE7985"/>
    <w:rsid w:val="00AE7F72"/>
    <w:rsid w:val="00AF2126"/>
    <w:rsid w:val="00AF3127"/>
    <w:rsid w:val="00AF315F"/>
    <w:rsid w:val="00AF3F94"/>
    <w:rsid w:val="00AF3F9C"/>
    <w:rsid w:val="00AF4331"/>
    <w:rsid w:val="00AF4CE6"/>
    <w:rsid w:val="00AF52DD"/>
    <w:rsid w:val="00AF59D0"/>
    <w:rsid w:val="00AF5A9B"/>
    <w:rsid w:val="00AF6B06"/>
    <w:rsid w:val="00AF6B62"/>
    <w:rsid w:val="00AF71EC"/>
    <w:rsid w:val="00AF732D"/>
    <w:rsid w:val="00AF74BB"/>
    <w:rsid w:val="00AF761F"/>
    <w:rsid w:val="00B009C4"/>
    <w:rsid w:val="00B00AC4"/>
    <w:rsid w:val="00B00BAF"/>
    <w:rsid w:val="00B00DED"/>
    <w:rsid w:val="00B02EB8"/>
    <w:rsid w:val="00B03A75"/>
    <w:rsid w:val="00B04CB6"/>
    <w:rsid w:val="00B04D5D"/>
    <w:rsid w:val="00B05305"/>
    <w:rsid w:val="00B05939"/>
    <w:rsid w:val="00B05BCC"/>
    <w:rsid w:val="00B05D44"/>
    <w:rsid w:val="00B0601E"/>
    <w:rsid w:val="00B063DB"/>
    <w:rsid w:val="00B06497"/>
    <w:rsid w:val="00B06882"/>
    <w:rsid w:val="00B07003"/>
    <w:rsid w:val="00B07125"/>
    <w:rsid w:val="00B075D4"/>
    <w:rsid w:val="00B1069E"/>
    <w:rsid w:val="00B1095F"/>
    <w:rsid w:val="00B109BA"/>
    <w:rsid w:val="00B10B3D"/>
    <w:rsid w:val="00B114AB"/>
    <w:rsid w:val="00B119C6"/>
    <w:rsid w:val="00B121E5"/>
    <w:rsid w:val="00B122A6"/>
    <w:rsid w:val="00B13055"/>
    <w:rsid w:val="00B1338B"/>
    <w:rsid w:val="00B14035"/>
    <w:rsid w:val="00B14ABA"/>
    <w:rsid w:val="00B1545B"/>
    <w:rsid w:val="00B15469"/>
    <w:rsid w:val="00B1583D"/>
    <w:rsid w:val="00B15EFD"/>
    <w:rsid w:val="00B162FC"/>
    <w:rsid w:val="00B1633B"/>
    <w:rsid w:val="00B16A5C"/>
    <w:rsid w:val="00B1792F"/>
    <w:rsid w:val="00B20122"/>
    <w:rsid w:val="00B20A4B"/>
    <w:rsid w:val="00B20C2E"/>
    <w:rsid w:val="00B20D04"/>
    <w:rsid w:val="00B20F6C"/>
    <w:rsid w:val="00B21428"/>
    <w:rsid w:val="00B217B0"/>
    <w:rsid w:val="00B219CE"/>
    <w:rsid w:val="00B21FF9"/>
    <w:rsid w:val="00B22301"/>
    <w:rsid w:val="00B224D9"/>
    <w:rsid w:val="00B22D03"/>
    <w:rsid w:val="00B233EA"/>
    <w:rsid w:val="00B23C86"/>
    <w:rsid w:val="00B2459E"/>
    <w:rsid w:val="00B24988"/>
    <w:rsid w:val="00B24A7C"/>
    <w:rsid w:val="00B25302"/>
    <w:rsid w:val="00B25737"/>
    <w:rsid w:val="00B2592A"/>
    <w:rsid w:val="00B25C5C"/>
    <w:rsid w:val="00B2605C"/>
    <w:rsid w:val="00B2628D"/>
    <w:rsid w:val="00B263CC"/>
    <w:rsid w:val="00B26B85"/>
    <w:rsid w:val="00B26D32"/>
    <w:rsid w:val="00B27B4D"/>
    <w:rsid w:val="00B27C44"/>
    <w:rsid w:val="00B27C6B"/>
    <w:rsid w:val="00B27C86"/>
    <w:rsid w:val="00B27D2B"/>
    <w:rsid w:val="00B27EBC"/>
    <w:rsid w:val="00B30575"/>
    <w:rsid w:val="00B31656"/>
    <w:rsid w:val="00B31C9F"/>
    <w:rsid w:val="00B32554"/>
    <w:rsid w:val="00B32C37"/>
    <w:rsid w:val="00B3303A"/>
    <w:rsid w:val="00B331E6"/>
    <w:rsid w:val="00B33866"/>
    <w:rsid w:val="00B33C38"/>
    <w:rsid w:val="00B33C98"/>
    <w:rsid w:val="00B33D6D"/>
    <w:rsid w:val="00B341F4"/>
    <w:rsid w:val="00B341FA"/>
    <w:rsid w:val="00B3427A"/>
    <w:rsid w:val="00B34553"/>
    <w:rsid w:val="00B34AB7"/>
    <w:rsid w:val="00B35098"/>
    <w:rsid w:val="00B35A2F"/>
    <w:rsid w:val="00B35CCF"/>
    <w:rsid w:val="00B35EC1"/>
    <w:rsid w:val="00B36E76"/>
    <w:rsid w:val="00B37319"/>
    <w:rsid w:val="00B3785C"/>
    <w:rsid w:val="00B37B5F"/>
    <w:rsid w:val="00B37D1E"/>
    <w:rsid w:val="00B404D9"/>
    <w:rsid w:val="00B404E2"/>
    <w:rsid w:val="00B40640"/>
    <w:rsid w:val="00B428DD"/>
    <w:rsid w:val="00B43855"/>
    <w:rsid w:val="00B43C57"/>
    <w:rsid w:val="00B43DDD"/>
    <w:rsid w:val="00B44ADD"/>
    <w:rsid w:val="00B44C51"/>
    <w:rsid w:val="00B44F2B"/>
    <w:rsid w:val="00B45456"/>
    <w:rsid w:val="00B454D9"/>
    <w:rsid w:val="00B45B4D"/>
    <w:rsid w:val="00B46405"/>
    <w:rsid w:val="00B4648E"/>
    <w:rsid w:val="00B46981"/>
    <w:rsid w:val="00B46A72"/>
    <w:rsid w:val="00B4719B"/>
    <w:rsid w:val="00B47297"/>
    <w:rsid w:val="00B47333"/>
    <w:rsid w:val="00B50625"/>
    <w:rsid w:val="00B50862"/>
    <w:rsid w:val="00B50950"/>
    <w:rsid w:val="00B50977"/>
    <w:rsid w:val="00B50FD4"/>
    <w:rsid w:val="00B5132B"/>
    <w:rsid w:val="00B52162"/>
    <w:rsid w:val="00B52F85"/>
    <w:rsid w:val="00B5376A"/>
    <w:rsid w:val="00B53812"/>
    <w:rsid w:val="00B540EB"/>
    <w:rsid w:val="00B544FF"/>
    <w:rsid w:val="00B546D2"/>
    <w:rsid w:val="00B5585E"/>
    <w:rsid w:val="00B5601C"/>
    <w:rsid w:val="00B57546"/>
    <w:rsid w:val="00B57618"/>
    <w:rsid w:val="00B577AE"/>
    <w:rsid w:val="00B57CC2"/>
    <w:rsid w:val="00B6079F"/>
    <w:rsid w:val="00B608EE"/>
    <w:rsid w:val="00B61159"/>
    <w:rsid w:val="00B618FE"/>
    <w:rsid w:val="00B62AFA"/>
    <w:rsid w:val="00B62C58"/>
    <w:rsid w:val="00B62C6D"/>
    <w:rsid w:val="00B62EF0"/>
    <w:rsid w:val="00B633D8"/>
    <w:rsid w:val="00B638BF"/>
    <w:rsid w:val="00B64571"/>
    <w:rsid w:val="00B65C92"/>
    <w:rsid w:val="00B661F2"/>
    <w:rsid w:val="00B66466"/>
    <w:rsid w:val="00B71460"/>
    <w:rsid w:val="00B71ECA"/>
    <w:rsid w:val="00B725CB"/>
    <w:rsid w:val="00B729A0"/>
    <w:rsid w:val="00B73001"/>
    <w:rsid w:val="00B7329E"/>
    <w:rsid w:val="00B73397"/>
    <w:rsid w:val="00B748B8"/>
    <w:rsid w:val="00B74A8B"/>
    <w:rsid w:val="00B75148"/>
    <w:rsid w:val="00B75290"/>
    <w:rsid w:val="00B75ACA"/>
    <w:rsid w:val="00B76897"/>
    <w:rsid w:val="00B77140"/>
    <w:rsid w:val="00B77235"/>
    <w:rsid w:val="00B772AC"/>
    <w:rsid w:val="00B77513"/>
    <w:rsid w:val="00B8030D"/>
    <w:rsid w:val="00B80B4D"/>
    <w:rsid w:val="00B810CF"/>
    <w:rsid w:val="00B8118E"/>
    <w:rsid w:val="00B81913"/>
    <w:rsid w:val="00B81DDD"/>
    <w:rsid w:val="00B82168"/>
    <w:rsid w:val="00B8288C"/>
    <w:rsid w:val="00B82BCA"/>
    <w:rsid w:val="00B82CA5"/>
    <w:rsid w:val="00B82D62"/>
    <w:rsid w:val="00B82F4D"/>
    <w:rsid w:val="00B832BD"/>
    <w:rsid w:val="00B834DB"/>
    <w:rsid w:val="00B83A4B"/>
    <w:rsid w:val="00B83C7D"/>
    <w:rsid w:val="00B8410E"/>
    <w:rsid w:val="00B844E2"/>
    <w:rsid w:val="00B8526A"/>
    <w:rsid w:val="00B85B81"/>
    <w:rsid w:val="00B86B18"/>
    <w:rsid w:val="00B875FA"/>
    <w:rsid w:val="00B87709"/>
    <w:rsid w:val="00B90AD6"/>
    <w:rsid w:val="00B90DF9"/>
    <w:rsid w:val="00B910D3"/>
    <w:rsid w:val="00B911EA"/>
    <w:rsid w:val="00B91371"/>
    <w:rsid w:val="00B914E1"/>
    <w:rsid w:val="00B91864"/>
    <w:rsid w:val="00B919D1"/>
    <w:rsid w:val="00B9276A"/>
    <w:rsid w:val="00B92D62"/>
    <w:rsid w:val="00B92E35"/>
    <w:rsid w:val="00B930F2"/>
    <w:rsid w:val="00B93B54"/>
    <w:rsid w:val="00B93F98"/>
    <w:rsid w:val="00B940BA"/>
    <w:rsid w:val="00B944C7"/>
    <w:rsid w:val="00B94A6F"/>
    <w:rsid w:val="00B953F9"/>
    <w:rsid w:val="00B95C00"/>
    <w:rsid w:val="00B963B0"/>
    <w:rsid w:val="00B97DC8"/>
    <w:rsid w:val="00B97EFC"/>
    <w:rsid w:val="00BA01F0"/>
    <w:rsid w:val="00BA02FC"/>
    <w:rsid w:val="00BA0C58"/>
    <w:rsid w:val="00BA0C5D"/>
    <w:rsid w:val="00BA1D97"/>
    <w:rsid w:val="00BA1FE2"/>
    <w:rsid w:val="00BA3611"/>
    <w:rsid w:val="00BA3698"/>
    <w:rsid w:val="00BA3E28"/>
    <w:rsid w:val="00BA3EEF"/>
    <w:rsid w:val="00BA46BB"/>
    <w:rsid w:val="00BA47CE"/>
    <w:rsid w:val="00BA48E5"/>
    <w:rsid w:val="00BA54E5"/>
    <w:rsid w:val="00BA5A80"/>
    <w:rsid w:val="00BA5BBC"/>
    <w:rsid w:val="00BA5E0C"/>
    <w:rsid w:val="00BA69BB"/>
    <w:rsid w:val="00BA6D03"/>
    <w:rsid w:val="00BA6D96"/>
    <w:rsid w:val="00BA7D48"/>
    <w:rsid w:val="00BB082B"/>
    <w:rsid w:val="00BB0C81"/>
    <w:rsid w:val="00BB0D49"/>
    <w:rsid w:val="00BB1168"/>
    <w:rsid w:val="00BB1183"/>
    <w:rsid w:val="00BB1E35"/>
    <w:rsid w:val="00BB2F4D"/>
    <w:rsid w:val="00BB32E8"/>
    <w:rsid w:val="00BB32F8"/>
    <w:rsid w:val="00BB3452"/>
    <w:rsid w:val="00BB3B5E"/>
    <w:rsid w:val="00BB42B2"/>
    <w:rsid w:val="00BB4B7B"/>
    <w:rsid w:val="00BB4D9F"/>
    <w:rsid w:val="00BB5548"/>
    <w:rsid w:val="00BB5CF3"/>
    <w:rsid w:val="00BB60D9"/>
    <w:rsid w:val="00BB6962"/>
    <w:rsid w:val="00BB6A03"/>
    <w:rsid w:val="00BB720D"/>
    <w:rsid w:val="00BB783E"/>
    <w:rsid w:val="00BB784A"/>
    <w:rsid w:val="00BB7DB5"/>
    <w:rsid w:val="00BC01F6"/>
    <w:rsid w:val="00BC07C9"/>
    <w:rsid w:val="00BC0A5A"/>
    <w:rsid w:val="00BC10F9"/>
    <w:rsid w:val="00BC1315"/>
    <w:rsid w:val="00BC149C"/>
    <w:rsid w:val="00BC186C"/>
    <w:rsid w:val="00BC1912"/>
    <w:rsid w:val="00BC25D5"/>
    <w:rsid w:val="00BC25FF"/>
    <w:rsid w:val="00BC37BF"/>
    <w:rsid w:val="00BC38A9"/>
    <w:rsid w:val="00BC426A"/>
    <w:rsid w:val="00BC4272"/>
    <w:rsid w:val="00BC440A"/>
    <w:rsid w:val="00BC4424"/>
    <w:rsid w:val="00BC4537"/>
    <w:rsid w:val="00BC59D3"/>
    <w:rsid w:val="00BC5A87"/>
    <w:rsid w:val="00BC5BAF"/>
    <w:rsid w:val="00BC72AE"/>
    <w:rsid w:val="00BC7413"/>
    <w:rsid w:val="00BC78ED"/>
    <w:rsid w:val="00BD00E1"/>
    <w:rsid w:val="00BD0A84"/>
    <w:rsid w:val="00BD1402"/>
    <w:rsid w:val="00BD18D2"/>
    <w:rsid w:val="00BD290B"/>
    <w:rsid w:val="00BD2C69"/>
    <w:rsid w:val="00BD2C71"/>
    <w:rsid w:val="00BD35BF"/>
    <w:rsid w:val="00BD421F"/>
    <w:rsid w:val="00BD5444"/>
    <w:rsid w:val="00BD5D10"/>
    <w:rsid w:val="00BD6194"/>
    <w:rsid w:val="00BD61D4"/>
    <w:rsid w:val="00BD73B6"/>
    <w:rsid w:val="00BE01EA"/>
    <w:rsid w:val="00BE0230"/>
    <w:rsid w:val="00BE0238"/>
    <w:rsid w:val="00BE06C0"/>
    <w:rsid w:val="00BE09D8"/>
    <w:rsid w:val="00BE0DF2"/>
    <w:rsid w:val="00BE24D5"/>
    <w:rsid w:val="00BE3568"/>
    <w:rsid w:val="00BE3729"/>
    <w:rsid w:val="00BE3896"/>
    <w:rsid w:val="00BE3CD4"/>
    <w:rsid w:val="00BE49E4"/>
    <w:rsid w:val="00BE5445"/>
    <w:rsid w:val="00BE5FA2"/>
    <w:rsid w:val="00BE613A"/>
    <w:rsid w:val="00BE6184"/>
    <w:rsid w:val="00BE64E0"/>
    <w:rsid w:val="00BE7EE3"/>
    <w:rsid w:val="00BF117F"/>
    <w:rsid w:val="00BF12E7"/>
    <w:rsid w:val="00BF16FB"/>
    <w:rsid w:val="00BF1C40"/>
    <w:rsid w:val="00BF205D"/>
    <w:rsid w:val="00BF24F6"/>
    <w:rsid w:val="00BF28A8"/>
    <w:rsid w:val="00BF2B75"/>
    <w:rsid w:val="00BF2BC1"/>
    <w:rsid w:val="00BF3264"/>
    <w:rsid w:val="00BF4857"/>
    <w:rsid w:val="00BF4E66"/>
    <w:rsid w:val="00BF4F9D"/>
    <w:rsid w:val="00BF4FC0"/>
    <w:rsid w:val="00BF55B3"/>
    <w:rsid w:val="00BF5894"/>
    <w:rsid w:val="00BF5A56"/>
    <w:rsid w:val="00BF600E"/>
    <w:rsid w:val="00BF6CF1"/>
    <w:rsid w:val="00BF70DA"/>
    <w:rsid w:val="00C000BD"/>
    <w:rsid w:val="00C00AB4"/>
    <w:rsid w:val="00C00BF3"/>
    <w:rsid w:val="00C00C6C"/>
    <w:rsid w:val="00C015F5"/>
    <w:rsid w:val="00C01AEC"/>
    <w:rsid w:val="00C01DC2"/>
    <w:rsid w:val="00C01F67"/>
    <w:rsid w:val="00C0221C"/>
    <w:rsid w:val="00C03A5C"/>
    <w:rsid w:val="00C03EAD"/>
    <w:rsid w:val="00C04725"/>
    <w:rsid w:val="00C04BC4"/>
    <w:rsid w:val="00C04E8E"/>
    <w:rsid w:val="00C05176"/>
    <w:rsid w:val="00C066DF"/>
    <w:rsid w:val="00C0690A"/>
    <w:rsid w:val="00C069B6"/>
    <w:rsid w:val="00C06D81"/>
    <w:rsid w:val="00C06F32"/>
    <w:rsid w:val="00C0728E"/>
    <w:rsid w:val="00C0765A"/>
    <w:rsid w:val="00C07947"/>
    <w:rsid w:val="00C07EB0"/>
    <w:rsid w:val="00C07F4F"/>
    <w:rsid w:val="00C103A9"/>
    <w:rsid w:val="00C114C9"/>
    <w:rsid w:val="00C11666"/>
    <w:rsid w:val="00C12C9D"/>
    <w:rsid w:val="00C12EC1"/>
    <w:rsid w:val="00C13075"/>
    <w:rsid w:val="00C14D54"/>
    <w:rsid w:val="00C14EF0"/>
    <w:rsid w:val="00C15227"/>
    <w:rsid w:val="00C159B0"/>
    <w:rsid w:val="00C159D4"/>
    <w:rsid w:val="00C15CDC"/>
    <w:rsid w:val="00C1602D"/>
    <w:rsid w:val="00C164B3"/>
    <w:rsid w:val="00C17208"/>
    <w:rsid w:val="00C178EE"/>
    <w:rsid w:val="00C17A57"/>
    <w:rsid w:val="00C17C31"/>
    <w:rsid w:val="00C201E1"/>
    <w:rsid w:val="00C20329"/>
    <w:rsid w:val="00C203D8"/>
    <w:rsid w:val="00C20B41"/>
    <w:rsid w:val="00C2161E"/>
    <w:rsid w:val="00C230FC"/>
    <w:rsid w:val="00C2321E"/>
    <w:rsid w:val="00C23541"/>
    <w:rsid w:val="00C24257"/>
    <w:rsid w:val="00C24CB4"/>
    <w:rsid w:val="00C24ED2"/>
    <w:rsid w:val="00C25026"/>
    <w:rsid w:val="00C25380"/>
    <w:rsid w:val="00C25624"/>
    <w:rsid w:val="00C264EB"/>
    <w:rsid w:val="00C265F8"/>
    <w:rsid w:val="00C26B29"/>
    <w:rsid w:val="00C26F38"/>
    <w:rsid w:val="00C2749A"/>
    <w:rsid w:val="00C27699"/>
    <w:rsid w:val="00C279D3"/>
    <w:rsid w:val="00C31374"/>
    <w:rsid w:val="00C314A0"/>
    <w:rsid w:val="00C3171D"/>
    <w:rsid w:val="00C3195B"/>
    <w:rsid w:val="00C31E86"/>
    <w:rsid w:val="00C31EC7"/>
    <w:rsid w:val="00C32234"/>
    <w:rsid w:val="00C336BF"/>
    <w:rsid w:val="00C33817"/>
    <w:rsid w:val="00C33AFE"/>
    <w:rsid w:val="00C3415C"/>
    <w:rsid w:val="00C34359"/>
    <w:rsid w:val="00C345AE"/>
    <w:rsid w:val="00C34FC5"/>
    <w:rsid w:val="00C355B2"/>
    <w:rsid w:val="00C35813"/>
    <w:rsid w:val="00C3612A"/>
    <w:rsid w:val="00C366AA"/>
    <w:rsid w:val="00C37271"/>
    <w:rsid w:val="00C37D38"/>
    <w:rsid w:val="00C37F69"/>
    <w:rsid w:val="00C4051C"/>
    <w:rsid w:val="00C40A01"/>
    <w:rsid w:val="00C40CB5"/>
    <w:rsid w:val="00C41056"/>
    <w:rsid w:val="00C413C1"/>
    <w:rsid w:val="00C41A9F"/>
    <w:rsid w:val="00C41E4D"/>
    <w:rsid w:val="00C42330"/>
    <w:rsid w:val="00C42554"/>
    <w:rsid w:val="00C42800"/>
    <w:rsid w:val="00C43457"/>
    <w:rsid w:val="00C43496"/>
    <w:rsid w:val="00C43DAF"/>
    <w:rsid w:val="00C44281"/>
    <w:rsid w:val="00C44D57"/>
    <w:rsid w:val="00C44DFD"/>
    <w:rsid w:val="00C453B3"/>
    <w:rsid w:val="00C45DF1"/>
    <w:rsid w:val="00C4608E"/>
    <w:rsid w:val="00C463E5"/>
    <w:rsid w:val="00C469DE"/>
    <w:rsid w:val="00C46F23"/>
    <w:rsid w:val="00C47105"/>
    <w:rsid w:val="00C4795E"/>
    <w:rsid w:val="00C47D48"/>
    <w:rsid w:val="00C47DB0"/>
    <w:rsid w:val="00C50B0C"/>
    <w:rsid w:val="00C50B13"/>
    <w:rsid w:val="00C50C01"/>
    <w:rsid w:val="00C50EC5"/>
    <w:rsid w:val="00C514CE"/>
    <w:rsid w:val="00C51D24"/>
    <w:rsid w:val="00C52211"/>
    <w:rsid w:val="00C551F6"/>
    <w:rsid w:val="00C55282"/>
    <w:rsid w:val="00C55C50"/>
    <w:rsid w:val="00C56286"/>
    <w:rsid w:val="00C569C9"/>
    <w:rsid w:val="00C56AA9"/>
    <w:rsid w:val="00C571B2"/>
    <w:rsid w:val="00C57285"/>
    <w:rsid w:val="00C57300"/>
    <w:rsid w:val="00C5734B"/>
    <w:rsid w:val="00C602EA"/>
    <w:rsid w:val="00C609F0"/>
    <w:rsid w:val="00C60BEE"/>
    <w:rsid w:val="00C60F0A"/>
    <w:rsid w:val="00C61859"/>
    <w:rsid w:val="00C6258A"/>
    <w:rsid w:val="00C6367D"/>
    <w:rsid w:val="00C6372B"/>
    <w:rsid w:val="00C641F9"/>
    <w:rsid w:val="00C645FD"/>
    <w:rsid w:val="00C65690"/>
    <w:rsid w:val="00C6569B"/>
    <w:rsid w:val="00C65A63"/>
    <w:rsid w:val="00C660A2"/>
    <w:rsid w:val="00C66164"/>
    <w:rsid w:val="00C661E9"/>
    <w:rsid w:val="00C6685C"/>
    <w:rsid w:val="00C6691E"/>
    <w:rsid w:val="00C66B24"/>
    <w:rsid w:val="00C66E66"/>
    <w:rsid w:val="00C67D1E"/>
    <w:rsid w:val="00C67FE2"/>
    <w:rsid w:val="00C7002B"/>
    <w:rsid w:val="00C70BE4"/>
    <w:rsid w:val="00C70DDB"/>
    <w:rsid w:val="00C713F8"/>
    <w:rsid w:val="00C72178"/>
    <w:rsid w:val="00C7229F"/>
    <w:rsid w:val="00C72F9F"/>
    <w:rsid w:val="00C731C9"/>
    <w:rsid w:val="00C7335C"/>
    <w:rsid w:val="00C737E2"/>
    <w:rsid w:val="00C75B83"/>
    <w:rsid w:val="00C77395"/>
    <w:rsid w:val="00C776BB"/>
    <w:rsid w:val="00C77C93"/>
    <w:rsid w:val="00C77CEC"/>
    <w:rsid w:val="00C80120"/>
    <w:rsid w:val="00C8038A"/>
    <w:rsid w:val="00C81407"/>
    <w:rsid w:val="00C814FB"/>
    <w:rsid w:val="00C81D81"/>
    <w:rsid w:val="00C81DBF"/>
    <w:rsid w:val="00C8232E"/>
    <w:rsid w:val="00C82566"/>
    <w:rsid w:val="00C82987"/>
    <w:rsid w:val="00C82B48"/>
    <w:rsid w:val="00C82BBD"/>
    <w:rsid w:val="00C82C62"/>
    <w:rsid w:val="00C82CA3"/>
    <w:rsid w:val="00C83895"/>
    <w:rsid w:val="00C83C61"/>
    <w:rsid w:val="00C83D63"/>
    <w:rsid w:val="00C84BAA"/>
    <w:rsid w:val="00C84CC2"/>
    <w:rsid w:val="00C851CA"/>
    <w:rsid w:val="00C86178"/>
    <w:rsid w:val="00C86334"/>
    <w:rsid w:val="00C86DC6"/>
    <w:rsid w:val="00C86E90"/>
    <w:rsid w:val="00C8742E"/>
    <w:rsid w:val="00C87D94"/>
    <w:rsid w:val="00C87FE0"/>
    <w:rsid w:val="00C9010E"/>
    <w:rsid w:val="00C90230"/>
    <w:rsid w:val="00C90668"/>
    <w:rsid w:val="00C90F33"/>
    <w:rsid w:val="00C91871"/>
    <w:rsid w:val="00C91A05"/>
    <w:rsid w:val="00C9215B"/>
    <w:rsid w:val="00C92894"/>
    <w:rsid w:val="00C929F6"/>
    <w:rsid w:val="00C93323"/>
    <w:rsid w:val="00C93352"/>
    <w:rsid w:val="00C93978"/>
    <w:rsid w:val="00C94658"/>
    <w:rsid w:val="00C9511A"/>
    <w:rsid w:val="00C9599A"/>
    <w:rsid w:val="00C95BD5"/>
    <w:rsid w:val="00C96114"/>
    <w:rsid w:val="00C96274"/>
    <w:rsid w:val="00C96889"/>
    <w:rsid w:val="00C968F6"/>
    <w:rsid w:val="00C9719B"/>
    <w:rsid w:val="00C97DA4"/>
    <w:rsid w:val="00CA0C34"/>
    <w:rsid w:val="00CA12A2"/>
    <w:rsid w:val="00CA1803"/>
    <w:rsid w:val="00CA2626"/>
    <w:rsid w:val="00CA29E1"/>
    <w:rsid w:val="00CA2AB6"/>
    <w:rsid w:val="00CA333F"/>
    <w:rsid w:val="00CA462A"/>
    <w:rsid w:val="00CA51A1"/>
    <w:rsid w:val="00CA572C"/>
    <w:rsid w:val="00CA6681"/>
    <w:rsid w:val="00CA68B7"/>
    <w:rsid w:val="00CA6C88"/>
    <w:rsid w:val="00CA70DE"/>
    <w:rsid w:val="00CA73AF"/>
    <w:rsid w:val="00CA7B70"/>
    <w:rsid w:val="00CA7C07"/>
    <w:rsid w:val="00CA7CDF"/>
    <w:rsid w:val="00CB09A6"/>
    <w:rsid w:val="00CB0C50"/>
    <w:rsid w:val="00CB22B1"/>
    <w:rsid w:val="00CB241F"/>
    <w:rsid w:val="00CB290F"/>
    <w:rsid w:val="00CB30BB"/>
    <w:rsid w:val="00CB397F"/>
    <w:rsid w:val="00CB42AA"/>
    <w:rsid w:val="00CB4847"/>
    <w:rsid w:val="00CB4D0D"/>
    <w:rsid w:val="00CB4F20"/>
    <w:rsid w:val="00CB5849"/>
    <w:rsid w:val="00CB6E03"/>
    <w:rsid w:val="00CB723C"/>
    <w:rsid w:val="00CB777D"/>
    <w:rsid w:val="00CB7F6D"/>
    <w:rsid w:val="00CC000D"/>
    <w:rsid w:val="00CC00C6"/>
    <w:rsid w:val="00CC056E"/>
    <w:rsid w:val="00CC06DE"/>
    <w:rsid w:val="00CC0767"/>
    <w:rsid w:val="00CC0EAF"/>
    <w:rsid w:val="00CC100C"/>
    <w:rsid w:val="00CC14D9"/>
    <w:rsid w:val="00CC18CE"/>
    <w:rsid w:val="00CC2904"/>
    <w:rsid w:val="00CC2B8C"/>
    <w:rsid w:val="00CC3A06"/>
    <w:rsid w:val="00CC3D83"/>
    <w:rsid w:val="00CC431E"/>
    <w:rsid w:val="00CC4841"/>
    <w:rsid w:val="00CC488C"/>
    <w:rsid w:val="00CC667E"/>
    <w:rsid w:val="00CC6A97"/>
    <w:rsid w:val="00CC7A71"/>
    <w:rsid w:val="00CD01B5"/>
    <w:rsid w:val="00CD06A5"/>
    <w:rsid w:val="00CD0BC3"/>
    <w:rsid w:val="00CD0D24"/>
    <w:rsid w:val="00CD189E"/>
    <w:rsid w:val="00CD1D09"/>
    <w:rsid w:val="00CD29A4"/>
    <w:rsid w:val="00CD2E83"/>
    <w:rsid w:val="00CD2F8D"/>
    <w:rsid w:val="00CD3042"/>
    <w:rsid w:val="00CD36DC"/>
    <w:rsid w:val="00CD38FB"/>
    <w:rsid w:val="00CD4300"/>
    <w:rsid w:val="00CD4CC4"/>
    <w:rsid w:val="00CD5823"/>
    <w:rsid w:val="00CD585A"/>
    <w:rsid w:val="00CD58DD"/>
    <w:rsid w:val="00CD5CD9"/>
    <w:rsid w:val="00CD64B1"/>
    <w:rsid w:val="00CD65A0"/>
    <w:rsid w:val="00CD6F35"/>
    <w:rsid w:val="00CD6F9F"/>
    <w:rsid w:val="00CE02D7"/>
    <w:rsid w:val="00CE0E17"/>
    <w:rsid w:val="00CE1A28"/>
    <w:rsid w:val="00CE1A49"/>
    <w:rsid w:val="00CE1B38"/>
    <w:rsid w:val="00CE1CBE"/>
    <w:rsid w:val="00CE2413"/>
    <w:rsid w:val="00CE29B9"/>
    <w:rsid w:val="00CE3558"/>
    <w:rsid w:val="00CE4129"/>
    <w:rsid w:val="00CE45AA"/>
    <w:rsid w:val="00CE474F"/>
    <w:rsid w:val="00CE5A4C"/>
    <w:rsid w:val="00CE5BCF"/>
    <w:rsid w:val="00CE6668"/>
    <w:rsid w:val="00CE7B57"/>
    <w:rsid w:val="00CF0CE2"/>
    <w:rsid w:val="00CF126B"/>
    <w:rsid w:val="00CF1562"/>
    <w:rsid w:val="00CF2145"/>
    <w:rsid w:val="00CF227A"/>
    <w:rsid w:val="00CF2565"/>
    <w:rsid w:val="00CF2A8A"/>
    <w:rsid w:val="00CF2F97"/>
    <w:rsid w:val="00CF3A7D"/>
    <w:rsid w:val="00CF3ABD"/>
    <w:rsid w:val="00CF430B"/>
    <w:rsid w:val="00CF4332"/>
    <w:rsid w:val="00CF4701"/>
    <w:rsid w:val="00CF4800"/>
    <w:rsid w:val="00CF4E93"/>
    <w:rsid w:val="00CF53D6"/>
    <w:rsid w:val="00CF5C76"/>
    <w:rsid w:val="00CF6D5A"/>
    <w:rsid w:val="00CF73E6"/>
    <w:rsid w:val="00CF7B83"/>
    <w:rsid w:val="00D00622"/>
    <w:rsid w:val="00D01F52"/>
    <w:rsid w:val="00D02030"/>
    <w:rsid w:val="00D02061"/>
    <w:rsid w:val="00D02518"/>
    <w:rsid w:val="00D02551"/>
    <w:rsid w:val="00D02A38"/>
    <w:rsid w:val="00D02B12"/>
    <w:rsid w:val="00D033B0"/>
    <w:rsid w:val="00D03A53"/>
    <w:rsid w:val="00D0437E"/>
    <w:rsid w:val="00D0486D"/>
    <w:rsid w:val="00D04E21"/>
    <w:rsid w:val="00D05282"/>
    <w:rsid w:val="00D05AF3"/>
    <w:rsid w:val="00D05BFB"/>
    <w:rsid w:val="00D06C12"/>
    <w:rsid w:val="00D073E8"/>
    <w:rsid w:val="00D075C4"/>
    <w:rsid w:val="00D0765C"/>
    <w:rsid w:val="00D0769A"/>
    <w:rsid w:val="00D07801"/>
    <w:rsid w:val="00D10A22"/>
    <w:rsid w:val="00D10E88"/>
    <w:rsid w:val="00D121DF"/>
    <w:rsid w:val="00D1259B"/>
    <w:rsid w:val="00D12AE6"/>
    <w:rsid w:val="00D12EAE"/>
    <w:rsid w:val="00D12F6F"/>
    <w:rsid w:val="00D1394E"/>
    <w:rsid w:val="00D13968"/>
    <w:rsid w:val="00D139E7"/>
    <w:rsid w:val="00D13CB3"/>
    <w:rsid w:val="00D14134"/>
    <w:rsid w:val="00D14748"/>
    <w:rsid w:val="00D1509A"/>
    <w:rsid w:val="00D15FB5"/>
    <w:rsid w:val="00D16419"/>
    <w:rsid w:val="00D165D5"/>
    <w:rsid w:val="00D168C1"/>
    <w:rsid w:val="00D16989"/>
    <w:rsid w:val="00D16F40"/>
    <w:rsid w:val="00D179F9"/>
    <w:rsid w:val="00D2000C"/>
    <w:rsid w:val="00D2024F"/>
    <w:rsid w:val="00D21280"/>
    <w:rsid w:val="00D21543"/>
    <w:rsid w:val="00D21569"/>
    <w:rsid w:val="00D2183B"/>
    <w:rsid w:val="00D21F3F"/>
    <w:rsid w:val="00D220E2"/>
    <w:rsid w:val="00D22479"/>
    <w:rsid w:val="00D224BA"/>
    <w:rsid w:val="00D226DE"/>
    <w:rsid w:val="00D22EA0"/>
    <w:rsid w:val="00D22EF3"/>
    <w:rsid w:val="00D2337C"/>
    <w:rsid w:val="00D23A36"/>
    <w:rsid w:val="00D23AD0"/>
    <w:rsid w:val="00D2504B"/>
    <w:rsid w:val="00D251AB"/>
    <w:rsid w:val="00D2586B"/>
    <w:rsid w:val="00D25A03"/>
    <w:rsid w:val="00D25E2E"/>
    <w:rsid w:val="00D2601D"/>
    <w:rsid w:val="00D26F6F"/>
    <w:rsid w:val="00D2783B"/>
    <w:rsid w:val="00D27C20"/>
    <w:rsid w:val="00D27F2D"/>
    <w:rsid w:val="00D30265"/>
    <w:rsid w:val="00D30849"/>
    <w:rsid w:val="00D30BBE"/>
    <w:rsid w:val="00D30EEE"/>
    <w:rsid w:val="00D30F24"/>
    <w:rsid w:val="00D318E8"/>
    <w:rsid w:val="00D32495"/>
    <w:rsid w:val="00D324D6"/>
    <w:rsid w:val="00D325FB"/>
    <w:rsid w:val="00D3287B"/>
    <w:rsid w:val="00D328DE"/>
    <w:rsid w:val="00D330C1"/>
    <w:rsid w:val="00D33406"/>
    <w:rsid w:val="00D33755"/>
    <w:rsid w:val="00D346C4"/>
    <w:rsid w:val="00D34A7E"/>
    <w:rsid w:val="00D34FB8"/>
    <w:rsid w:val="00D36289"/>
    <w:rsid w:val="00D365F3"/>
    <w:rsid w:val="00D36990"/>
    <w:rsid w:val="00D36A28"/>
    <w:rsid w:val="00D36B52"/>
    <w:rsid w:val="00D36DEB"/>
    <w:rsid w:val="00D36E73"/>
    <w:rsid w:val="00D37024"/>
    <w:rsid w:val="00D37546"/>
    <w:rsid w:val="00D37EB6"/>
    <w:rsid w:val="00D40416"/>
    <w:rsid w:val="00D40434"/>
    <w:rsid w:val="00D40D12"/>
    <w:rsid w:val="00D42D9A"/>
    <w:rsid w:val="00D434FD"/>
    <w:rsid w:val="00D43B60"/>
    <w:rsid w:val="00D43E07"/>
    <w:rsid w:val="00D4488F"/>
    <w:rsid w:val="00D4546D"/>
    <w:rsid w:val="00D4587B"/>
    <w:rsid w:val="00D458CD"/>
    <w:rsid w:val="00D4673C"/>
    <w:rsid w:val="00D46790"/>
    <w:rsid w:val="00D46FE7"/>
    <w:rsid w:val="00D472F7"/>
    <w:rsid w:val="00D475D0"/>
    <w:rsid w:val="00D47734"/>
    <w:rsid w:val="00D47C69"/>
    <w:rsid w:val="00D47EE2"/>
    <w:rsid w:val="00D502D5"/>
    <w:rsid w:val="00D503EB"/>
    <w:rsid w:val="00D5047E"/>
    <w:rsid w:val="00D50533"/>
    <w:rsid w:val="00D509BC"/>
    <w:rsid w:val="00D50BE4"/>
    <w:rsid w:val="00D50F30"/>
    <w:rsid w:val="00D5123E"/>
    <w:rsid w:val="00D51CE6"/>
    <w:rsid w:val="00D52D5F"/>
    <w:rsid w:val="00D52D78"/>
    <w:rsid w:val="00D52E53"/>
    <w:rsid w:val="00D5347E"/>
    <w:rsid w:val="00D54A65"/>
    <w:rsid w:val="00D55368"/>
    <w:rsid w:val="00D55678"/>
    <w:rsid w:val="00D57012"/>
    <w:rsid w:val="00D602F7"/>
    <w:rsid w:val="00D60B07"/>
    <w:rsid w:val="00D60B5D"/>
    <w:rsid w:val="00D60C33"/>
    <w:rsid w:val="00D60E16"/>
    <w:rsid w:val="00D60E53"/>
    <w:rsid w:val="00D6110C"/>
    <w:rsid w:val="00D624EF"/>
    <w:rsid w:val="00D6267B"/>
    <w:rsid w:val="00D6270E"/>
    <w:rsid w:val="00D62999"/>
    <w:rsid w:val="00D62AC2"/>
    <w:rsid w:val="00D62EE0"/>
    <w:rsid w:val="00D643A7"/>
    <w:rsid w:val="00D64DF8"/>
    <w:rsid w:val="00D654CA"/>
    <w:rsid w:val="00D65814"/>
    <w:rsid w:val="00D65880"/>
    <w:rsid w:val="00D65D6C"/>
    <w:rsid w:val="00D66123"/>
    <w:rsid w:val="00D66304"/>
    <w:rsid w:val="00D6686A"/>
    <w:rsid w:val="00D673D5"/>
    <w:rsid w:val="00D67631"/>
    <w:rsid w:val="00D67EEE"/>
    <w:rsid w:val="00D67F60"/>
    <w:rsid w:val="00D706F1"/>
    <w:rsid w:val="00D71555"/>
    <w:rsid w:val="00D71D49"/>
    <w:rsid w:val="00D71DB5"/>
    <w:rsid w:val="00D72535"/>
    <w:rsid w:val="00D72640"/>
    <w:rsid w:val="00D72678"/>
    <w:rsid w:val="00D72797"/>
    <w:rsid w:val="00D72FE3"/>
    <w:rsid w:val="00D73029"/>
    <w:rsid w:val="00D73626"/>
    <w:rsid w:val="00D7387E"/>
    <w:rsid w:val="00D738BB"/>
    <w:rsid w:val="00D73C50"/>
    <w:rsid w:val="00D73E59"/>
    <w:rsid w:val="00D7470E"/>
    <w:rsid w:val="00D74911"/>
    <w:rsid w:val="00D74F04"/>
    <w:rsid w:val="00D74F74"/>
    <w:rsid w:val="00D74FCB"/>
    <w:rsid w:val="00D750DD"/>
    <w:rsid w:val="00D751B8"/>
    <w:rsid w:val="00D75F2C"/>
    <w:rsid w:val="00D76C5F"/>
    <w:rsid w:val="00D76C6D"/>
    <w:rsid w:val="00D80B0B"/>
    <w:rsid w:val="00D8168F"/>
    <w:rsid w:val="00D81A47"/>
    <w:rsid w:val="00D8215E"/>
    <w:rsid w:val="00D822E8"/>
    <w:rsid w:val="00D82683"/>
    <w:rsid w:val="00D8269B"/>
    <w:rsid w:val="00D82F5E"/>
    <w:rsid w:val="00D83300"/>
    <w:rsid w:val="00D8375E"/>
    <w:rsid w:val="00D83D10"/>
    <w:rsid w:val="00D83F63"/>
    <w:rsid w:val="00D842B7"/>
    <w:rsid w:val="00D84780"/>
    <w:rsid w:val="00D84E15"/>
    <w:rsid w:val="00D84F39"/>
    <w:rsid w:val="00D862B7"/>
    <w:rsid w:val="00D87268"/>
    <w:rsid w:val="00D90BDD"/>
    <w:rsid w:val="00D90CCF"/>
    <w:rsid w:val="00D91420"/>
    <w:rsid w:val="00D91591"/>
    <w:rsid w:val="00D920F1"/>
    <w:rsid w:val="00D92378"/>
    <w:rsid w:val="00D926FB"/>
    <w:rsid w:val="00D9288A"/>
    <w:rsid w:val="00D928FD"/>
    <w:rsid w:val="00D93592"/>
    <w:rsid w:val="00D939C6"/>
    <w:rsid w:val="00D942FF"/>
    <w:rsid w:val="00D950FE"/>
    <w:rsid w:val="00D95A07"/>
    <w:rsid w:val="00D95C9E"/>
    <w:rsid w:val="00D9609B"/>
    <w:rsid w:val="00D9727C"/>
    <w:rsid w:val="00D97839"/>
    <w:rsid w:val="00D97961"/>
    <w:rsid w:val="00DA09E9"/>
    <w:rsid w:val="00DA0C54"/>
    <w:rsid w:val="00DA12DB"/>
    <w:rsid w:val="00DA1506"/>
    <w:rsid w:val="00DA17A2"/>
    <w:rsid w:val="00DA1A25"/>
    <w:rsid w:val="00DA1B2B"/>
    <w:rsid w:val="00DA2648"/>
    <w:rsid w:val="00DA363C"/>
    <w:rsid w:val="00DA38E0"/>
    <w:rsid w:val="00DA3959"/>
    <w:rsid w:val="00DA5D2D"/>
    <w:rsid w:val="00DA6242"/>
    <w:rsid w:val="00DA6B0D"/>
    <w:rsid w:val="00DA6B70"/>
    <w:rsid w:val="00DA71FF"/>
    <w:rsid w:val="00DA7B3A"/>
    <w:rsid w:val="00DA7DC2"/>
    <w:rsid w:val="00DB07DB"/>
    <w:rsid w:val="00DB14B7"/>
    <w:rsid w:val="00DB15E4"/>
    <w:rsid w:val="00DB1F63"/>
    <w:rsid w:val="00DB208E"/>
    <w:rsid w:val="00DB2190"/>
    <w:rsid w:val="00DB280C"/>
    <w:rsid w:val="00DB2E16"/>
    <w:rsid w:val="00DB3541"/>
    <w:rsid w:val="00DB373A"/>
    <w:rsid w:val="00DB3A24"/>
    <w:rsid w:val="00DB3D88"/>
    <w:rsid w:val="00DB410F"/>
    <w:rsid w:val="00DB489E"/>
    <w:rsid w:val="00DB5165"/>
    <w:rsid w:val="00DB5341"/>
    <w:rsid w:val="00DB57CC"/>
    <w:rsid w:val="00DB5A44"/>
    <w:rsid w:val="00DB5D0B"/>
    <w:rsid w:val="00DB6577"/>
    <w:rsid w:val="00DB6873"/>
    <w:rsid w:val="00DB6DC5"/>
    <w:rsid w:val="00DB6E6C"/>
    <w:rsid w:val="00DB6F7A"/>
    <w:rsid w:val="00DB7546"/>
    <w:rsid w:val="00DB7681"/>
    <w:rsid w:val="00DB7A06"/>
    <w:rsid w:val="00DB7CC6"/>
    <w:rsid w:val="00DC0B5A"/>
    <w:rsid w:val="00DC13A2"/>
    <w:rsid w:val="00DC1E83"/>
    <w:rsid w:val="00DC1F92"/>
    <w:rsid w:val="00DC2907"/>
    <w:rsid w:val="00DC2AF0"/>
    <w:rsid w:val="00DC2B32"/>
    <w:rsid w:val="00DC2B40"/>
    <w:rsid w:val="00DC3127"/>
    <w:rsid w:val="00DC40E5"/>
    <w:rsid w:val="00DC43EB"/>
    <w:rsid w:val="00DC522F"/>
    <w:rsid w:val="00DC5703"/>
    <w:rsid w:val="00DC59B2"/>
    <w:rsid w:val="00DC61F9"/>
    <w:rsid w:val="00DC626A"/>
    <w:rsid w:val="00DC71A9"/>
    <w:rsid w:val="00DC755B"/>
    <w:rsid w:val="00DC7A98"/>
    <w:rsid w:val="00DC7E1C"/>
    <w:rsid w:val="00DD04ED"/>
    <w:rsid w:val="00DD0D3D"/>
    <w:rsid w:val="00DD187D"/>
    <w:rsid w:val="00DD1C1A"/>
    <w:rsid w:val="00DD1D72"/>
    <w:rsid w:val="00DD1EEF"/>
    <w:rsid w:val="00DD3148"/>
    <w:rsid w:val="00DD3382"/>
    <w:rsid w:val="00DD3A60"/>
    <w:rsid w:val="00DD4166"/>
    <w:rsid w:val="00DD4190"/>
    <w:rsid w:val="00DD4764"/>
    <w:rsid w:val="00DD4B99"/>
    <w:rsid w:val="00DD4CC1"/>
    <w:rsid w:val="00DD53A1"/>
    <w:rsid w:val="00DD74EB"/>
    <w:rsid w:val="00DE0117"/>
    <w:rsid w:val="00DE0398"/>
    <w:rsid w:val="00DE0A28"/>
    <w:rsid w:val="00DE1361"/>
    <w:rsid w:val="00DE150C"/>
    <w:rsid w:val="00DE1B62"/>
    <w:rsid w:val="00DE1EDF"/>
    <w:rsid w:val="00DE2766"/>
    <w:rsid w:val="00DE2E8C"/>
    <w:rsid w:val="00DE2FE7"/>
    <w:rsid w:val="00DE3FE8"/>
    <w:rsid w:val="00DE4184"/>
    <w:rsid w:val="00DE54FE"/>
    <w:rsid w:val="00DE553C"/>
    <w:rsid w:val="00DE5F3F"/>
    <w:rsid w:val="00DE7921"/>
    <w:rsid w:val="00DF0A43"/>
    <w:rsid w:val="00DF0FE3"/>
    <w:rsid w:val="00DF18F5"/>
    <w:rsid w:val="00DF1AFF"/>
    <w:rsid w:val="00DF2001"/>
    <w:rsid w:val="00DF201A"/>
    <w:rsid w:val="00DF317A"/>
    <w:rsid w:val="00DF324D"/>
    <w:rsid w:val="00DF3734"/>
    <w:rsid w:val="00DF390A"/>
    <w:rsid w:val="00DF469E"/>
    <w:rsid w:val="00DF49FE"/>
    <w:rsid w:val="00DF4A08"/>
    <w:rsid w:val="00DF4D54"/>
    <w:rsid w:val="00DF5599"/>
    <w:rsid w:val="00DF645F"/>
    <w:rsid w:val="00DF6EAF"/>
    <w:rsid w:val="00DF741A"/>
    <w:rsid w:val="00DF7F2E"/>
    <w:rsid w:val="00E00D62"/>
    <w:rsid w:val="00E01BAD"/>
    <w:rsid w:val="00E023AB"/>
    <w:rsid w:val="00E02D6F"/>
    <w:rsid w:val="00E03A9E"/>
    <w:rsid w:val="00E04AF6"/>
    <w:rsid w:val="00E05E07"/>
    <w:rsid w:val="00E06A1C"/>
    <w:rsid w:val="00E1106C"/>
    <w:rsid w:val="00E115C6"/>
    <w:rsid w:val="00E11CBE"/>
    <w:rsid w:val="00E120A2"/>
    <w:rsid w:val="00E12802"/>
    <w:rsid w:val="00E1283A"/>
    <w:rsid w:val="00E13082"/>
    <w:rsid w:val="00E1320B"/>
    <w:rsid w:val="00E132BE"/>
    <w:rsid w:val="00E13518"/>
    <w:rsid w:val="00E13D15"/>
    <w:rsid w:val="00E14143"/>
    <w:rsid w:val="00E141BD"/>
    <w:rsid w:val="00E14B86"/>
    <w:rsid w:val="00E15BD6"/>
    <w:rsid w:val="00E16190"/>
    <w:rsid w:val="00E161C2"/>
    <w:rsid w:val="00E1625B"/>
    <w:rsid w:val="00E16B6A"/>
    <w:rsid w:val="00E17441"/>
    <w:rsid w:val="00E1790F"/>
    <w:rsid w:val="00E20109"/>
    <w:rsid w:val="00E201FB"/>
    <w:rsid w:val="00E20558"/>
    <w:rsid w:val="00E20882"/>
    <w:rsid w:val="00E21189"/>
    <w:rsid w:val="00E21229"/>
    <w:rsid w:val="00E21AB2"/>
    <w:rsid w:val="00E22124"/>
    <w:rsid w:val="00E22775"/>
    <w:rsid w:val="00E22D80"/>
    <w:rsid w:val="00E22F33"/>
    <w:rsid w:val="00E22F81"/>
    <w:rsid w:val="00E237DB"/>
    <w:rsid w:val="00E2436F"/>
    <w:rsid w:val="00E24448"/>
    <w:rsid w:val="00E2494E"/>
    <w:rsid w:val="00E24FC1"/>
    <w:rsid w:val="00E25804"/>
    <w:rsid w:val="00E2592C"/>
    <w:rsid w:val="00E26BCE"/>
    <w:rsid w:val="00E271E5"/>
    <w:rsid w:val="00E27C1D"/>
    <w:rsid w:val="00E27F69"/>
    <w:rsid w:val="00E30317"/>
    <w:rsid w:val="00E306F6"/>
    <w:rsid w:val="00E30BF7"/>
    <w:rsid w:val="00E31289"/>
    <w:rsid w:val="00E31913"/>
    <w:rsid w:val="00E31B18"/>
    <w:rsid w:val="00E31BD8"/>
    <w:rsid w:val="00E31D76"/>
    <w:rsid w:val="00E3305A"/>
    <w:rsid w:val="00E345FD"/>
    <w:rsid w:val="00E34921"/>
    <w:rsid w:val="00E34ADC"/>
    <w:rsid w:val="00E3537B"/>
    <w:rsid w:val="00E3602F"/>
    <w:rsid w:val="00E3639D"/>
    <w:rsid w:val="00E37446"/>
    <w:rsid w:val="00E37A7E"/>
    <w:rsid w:val="00E37A8F"/>
    <w:rsid w:val="00E37DEC"/>
    <w:rsid w:val="00E408CD"/>
    <w:rsid w:val="00E4097A"/>
    <w:rsid w:val="00E40A55"/>
    <w:rsid w:val="00E40A60"/>
    <w:rsid w:val="00E40D5C"/>
    <w:rsid w:val="00E40E7D"/>
    <w:rsid w:val="00E411F9"/>
    <w:rsid w:val="00E41403"/>
    <w:rsid w:val="00E417A6"/>
    <w:rsid w:val="00E41D4A"/>
    <w:rsid w:val="00E4246E"/>
    <w:rsid w:val="00E42472"/>
    <w:rsid w:val="00E439E9"/>
    <w:rsid w:val="00E43DDD"/>
    <w:rsid w:val="00E43F6B"/>
    <w:rsid w:val="00E4417F"/>
    <w:rsid w:val="00E45520"/>
    <w:rsid w:val="00E45B23"/>
    <w:rsid w:val="00E45FE1"/>
    <w:rsid w:val="00E462D2"/>
    <w:rsid w:val="00E46801"/>
    <w:rsid w:val="00E46983"/>
    <w:rsid w:val="00E4734C"/>
    <w:rsid w:val="00E47EB1"/>
    <w:rsid w:val="00E509D5"/>
    <w:rsid w:val="00E51EFF"/>
    <w:rsid w:val="00E51F4C"/>
    <w:rsid w:val="00E52075"/>
    <w:rsid w:val="00E52317"/>
    <w:rsid w:val="00E5300B"/>
    <w:rsid w:val="00E53240"/>
    <w:rsid w:val="00E532EF"/>
    <w:rsid w:val="00E535AA"/>
    <w:rsid w:val="00E535B5"/>
    <w:rsid w:val="00E53B23"/>
    <w:rsid w:val="00E561A6"/>
    <w:rsid w:val="00E56AE6"/>
    <w:rsid w:val="00E577E9"/>
    <w:rsid w:val="00E6161D"/>
    <w:rsid w:val="00E61882"/>
    <w:rsid w:val="00E63D4A"/>
    <w:rsid w:val="00E64ABB"/>
    <w:rsid w:val="00E64D95"/>
    <w:rsid w:val="00E65302"/>
    <w:rsid w:val="00E65FF5"/>
    <w:rsid w:val="00E66361"/>
    <w:rsid w:val="00E66524"/>
    <w:rsid w:val="00E66E0D"/>
    <w:rsid w:val="00E6761A"/>
    <w:rsid w:val="00E70B70"/>
    <w:rsid w:val="00E7111C"/>
    <w:rsid w:val="00E714DB"/>
    <w:rsid w:val="00E72101"/>
    <w:rsid w:val="00E723CD"/>
    <w:rsid w:val="00E72D6C"/>
    <w:rsid w:val="00E73AE5"/>
    <w:rsid w:val="00E73E5F"/>
    <w:rsid w:val="00E73E8A"/>
    <w:rsid w:val="00E74B96"/>
    <w:rsid w:val="00E751DE"/>
    <w:rsid w:val="00E753A2"/>
    <w:rsid w:val="00E75AC2"/>
    <w:rsid w:val="00E75E7B"/>
    <w:rsid w:val="00E75EB9"/>
    <w:rsid w:val="00E76133"/>
    <w:rsid w:val="00E766AF"/>
    <w:rsid w:val="00E7699D"/>
    <w:rsid w:val="00E771F6"/>
    <w:rsid w:val="00E77437"/>
    <w:rsid w:val="00E77823"/>
    <w:rsid w:val="00E808B7"/>
    <w:rsid w:val="00E808BE"/>
    <w:rsid w:val="00E80B80"/>
    <w:rsid w:val="00E81DA1"/>
    <w:rsid w:val="00E81EE7"/>
    <w:rsid w:val="00E81FCF"/>
    <w:rsid w:val="00E82304"/>
    <w:rsid w:val="00E826C5"/>
    <w:rsid w:val="00E82D21"/>
    <w:rsid w:val="00E82EDC"/>
    <w:rsid w:val="00E83A57"/>
    <w:rsid w:val="00E84AD1"/>
    <w:rsid w:val="00E8517B"/>
    <w:rsid w:val="00E86244"/>
    <w:rsid w:val="00E86E05"/>
    <w:rsid w:val="00E86E58"/>
    <w:rsid w:val="00E8740A"/>
    <w:rsid w:val="00E8746C"/>
    <w:rsid w:val="00E87553"/>
    <w:rsid w:val="00E87AA7"/>
    <w:rsid w:val="00E91755"/>
    <w:rsid w:val="00E925FE"/>
    <w:rsid w:val="00E92754"/>
    <w:rsid w:val="00E9291F"/>
    <w:rsid w:val="00E9327B"/>
    <w:rsid w:val="00E93E0F"/>
    <w:rsid w:val="00E93F82"/>
    <w:rsid w:val="00E940E9"/>
    <w:rsid w:val="00E946D1"/>
    <w:rsid w:val="00E94813"/>
    <w:rsid w:val="00E950B1"/>
    <w:rsid w:val="00E95C89"/>
    <w:rsid w:val="00E964B2"/>
    <w:rsid w:val="00E9668B"/>
    <w:rsid w:val="00E9669E"/>
    <w:rsid w:val="00E976EA"/>
    <w:rsid w:val="00E97FFC"/>
    <w:rsid w:val="00EA010C"/>
    <w:rsid w:val="00EA01A3"/>
    <w:rsid w:val="00EA0C9D"/>
    <w:rsid w:val="00EA0E24"/>
    <w:rsid w:val="00EA0FFB"/>
    <w:rsid w:val="00EA1227"/>
    <w:rsid w:val="00EA1252"/>
    <w:rsid w:val="00EA1734"/>
    <w:rsid w:val="00EA2755"/>
    <w:rsid w:val="00EA2C58"/>
    <w:rsid w:val="00EA3023"/>
    <w:rsid w:val="00EA30A9"/>
    <w:rsid w:val="00EA3BC5"/>
    <w:rsid w:val="00EA3EE5"/>
    <w:rsid w:val="00EA47D3"/>
    <w:rsid w:val="00EA4BD5"/>
    <w:rsid w:val="00EA5267"/>
    <w:rsid w:val="00EA52D2"/>
    <w:rsid w:val="00EA5A0E"/>
    <w:rsid w:val="00EA5FBB"/>
    <w:rsid w:val="00EA6743"/>
    <w:rsid w:val="00EA694F"/>
    <w:rsid w:val="00EA6D0E"/>
    <w:rsid w:val="00EA7025"/>
    <w:rsid w:val="00EA70A5"/>
    <w:rsid w:val="00EA7358"/>
    <w:rsid w:val="00EA76DF"/>
    <w:rsid w:val="00EB042B"/>
    <w:rsid w:val="00EB0878"/>
    <w:rsid w:val="00EB0927"/>
    <w:rsid w:val="00EB1D31"/>
    <w:rsid w:val="00EB1FED"/>
    <w:rsid w:val="00EB2B0C"/>
    <w:rsid w:val="00EB2B68"/>
    <w:rsid w:val="00EB36F8"/>
    <w:rsid w:val="00EB3AF1"/>
    <w:rsid w:val="00EB41B6"/>
    <w:rsid w:val="00EB4256"/>
    <w:rsid w:val="00EB4427"/>
    <w:rsid w:val="00EB4660"/>
    <w:rsid w:val="00EB499C"/>
    <w:rsid w:val="00EB52D0"/>
    <w:rsid w:val="00EB565F"/>
    <w:rsid w:val="00EB599D"/>
    <w:rsid w:val="00EB59D0"/>
    <w:rsid w:val="00EB68EA"/>
    <w:rsid w:val="00EB6A73"/>
    <w:rsid w:val="00EB7958"/>
    <w:rsid w:val="00EB7BCE"/>
    <w:rsid w:val="00EC1F35"/>
    <w:rsid w:val="00EC21D4"/>
    <w:rsid w:val="00EC27C8"/>
    <w:rsid w:val="00EC2B7B"/>
    <w:rsid w:val="00EC3873"/>
    <w:rsid w:val="00EC3AC3"/>
    <w:rsid w:val="00EC3C07"/>
    <w:rsid w:val="00EC4C06"/>
    <w:rsid w:val="00EC5B4E"/>
    <w:rsid w:val="00EC5EB1"/>
    <w:rsid w:val="00EC5F56"/>
    <w:rsid w:val="00EC6690"/>
    <w:rsid w:val="00EC6C7A"/>
    <w:rsid w:val="00EC6D73"/>
    <w:rsid w:val="00EC7C3B"/>
    <w:rsid w:val="00EC7E67"/>
    <w:rsid w:val="00ED015F"/>
    <w:rsid w:val="00ED07F6"/>
    <w:rsid w:val="00ED1BB1"/>
    <w:rsid w:val="00ED202E"/>
    <w:rsid w:val="00ED2908"/>
    <w:rsid w:val="00ED2A5A"/>
    <w:rsid w:val="00ED32FF"/>
    <w:rsid w:val="00ED3498"/>
    <w:rsid w:val="00ED3565"/>
    <w:rsid w:val="00ED3D00"/>
    <w:rsid w:val="00ED447B"/>
    <w:rsid w:val="00ED468B"/>
    <w:rsid w:val="00ED5145"/>
    <w:rsid w:val="00ED64B6"/>
    <w:rsid w:val="00ED68ED"/>
    <w:rsid w:val="00ED7130"/>
    <w:rsid w:val="00ED7256"/>
    <w:rsid w:val="00ED7A15"/>
    <w:rsid w:val="00EE0C6D"/>
    <w:rsid w:val="00EE1334"/>
    <w:rsid w:val="00EE16AA"/>
    <w:rsid w:val="00EE1E85"/>
    <w:rsid w:val="00EE272B"/>
    <w:rsid w:val="00EE3EF1"/>
    <w:rsid w:val="00EE4805"/>
    <w:rsid w:val="00EE4A2C"/>
    <w:rsid w:val="00EE5761"/>
    <w:rsid w:val="00EE72C5"/>
    <w:rsid w:val="00EE7876"/>
    <w:rsid w:val="00EF0CF8"/>
    <w:rsid w:val="00EF0D50"/>
    <w:rsid w:val="00EF0DD2"/>
    <w:rsid w:val="00EF0E90"/>
    <w:rsid w:val="00EF12BE"/>
    <w:rsid w:val="00EF1642"/>
    <w:rsid w:val="00EF19C0"/>
    <w:rsid w:val="00EF1D2A"/>
    <w:rsid w:val="00EF2C5F"/>
    <w:rsid w:val="00EF34B6"/>
    <w:rsid w:val="00EF37C8"/>
    <w:rsid w:val="00EF4256"/>
    <w:rsid w:val="00EF48F3"/>
    <w:rsid w:val="00EF4F7C"/>
    <w:rsid w:val="00EF57C2"/>
    <w:rsid w:val="00EF5BAB"/>
    <w:rsid w:val="00EF5D95"/>
    <w:rsid w:val="00EF5FBB"/>
    <w:rsid w:val="00EF6203"/>
    <w:rsid w:val="00EF65BE"/>
    <w:rsid w:val="00EF6A13"/>
    <w:rsid w:val="00EF6D40"/>
    <w:rsid w:val="00EF7760"/>
    <w:rsid w:val="00EF7CE3"/>
    <w:rsid w:val="00F000F5"/>
    <w:rsid w:val="00F00498"/>
    <w:rsid w:val="00F00975"/>
    <w:rsid w:val="00F01C4F"/>
    <w:rsid w:val="00F02C3F"/>
    <w:rsid w:val="00F02F95"/>
    <w:rsid w:val="00F03671"/>
    <w:rsid w:val="00F03AA2"/>
    <w:rsid w:val="00F03DAA"/>
    <w:rsid w:val="00F04963"/>
    <w:rsid w:val="00F04CCE"/>
    <w:rsid w:val="00F04F9E"/>
    <w:rsid w:val="00F052BA"/>
    <w:rsid w:val="00F0596F"/>
    <w:rsid w:val="00F059CB"/>
    <w:rsid w:val="00F0625C"/>
    <w:rsid w:val="00F06280"/>
    <w:rsid w:val="00F06772"/>
    <w:rsid w:val="00F06A84"/>
    <w:rsid w:val="00F0794A"/>
    <w:rsid w:val="00F079C7"/>
    <w:rsid w:val="00F1047C"/>
    <w:rsid w:val="00F10A4D"/>
    <w:rsid w:val="00F11436"/>
    <w:rsid w:val="00F11D36"/>
    <w:rsid w:val="00F11F0B"/>
    <w:rsid w:val="00F12B7F"/>
    <w:rsid w:val="00F12D8A"/>
    <w:rsid w:val="00F12E54"/>
    <w:rsid w:val="00F13153"/>
    <w:rsid w:val="00F13930"/>
    <w:rsid w:val="00F13AB9"/>
    <w:rsid w:val="00F148F3"/>
    <w:rsid w:val="00F15924"/>
    <w:rsid w:val="00F15AE2"/>
    <w:rsid w:val="00F16737"/>
    <w:rsid w:val="00F1756F"/>
    <w:rsid w:val="00F17BD8"/>
    <w:rsid w:val="00F2049A"/>
    <w:rsid w:val="00F20853"/>
    <w:rsid w:val="00F20A2B"/>
    <w:rsid w:val="00F20B24"/>
    <w:rsid w:val="00F21B69"/>
    <w:rsid w:val="00F21D30"/>
    <w:rsid w:val="00F223B0"/>
    <w:rsid w:val="00F2275B"/>
    <w:rsid w:val="00F22DC9"/>
    <w:rsid w:val="00F233BC"/>
    <w:rsid w:val="00F23492"/>
    <w:rsid w:val="00F23859"/>
    <w:rsid w:val="00F2405C"/>
    <w:rsid w:val="00F240E0"/>
    <w:rsid w:val="00F241BF"/>
    <w:rsid w:val="00F245B3"/>
    <w:rsid w:val="00F24CBE"/>
    <w:rsid w:val="00F25035"/>
    <w:rsid w:val="00F259CD"/>
    <w:rsid w:val="00F25EF6"/>
    <w:rsid w:val="00F273F1"/>
    <w:rsid w:val="00F27EDF"/>
    <w:rsid w:val="00F30F54"/>
    <w:rsid w:val="00F31030"/>
    <w:rsid w:val="00F3106E"/>
    <w:rsid w:val="00F3108F"/>
    <w:rsid w:val="00F3146C"/>
    <w:rsid w:val="00F31D32"/>
    <w:rsid w:val="00F33121"/>
    <w:rsid w:val="00F33137"/>
    <w:rsid w:val="00F338E5"/>
    <w:rsid w:val="00F347F6"/>
    <w:rsid w:val="00F34CD4"/>
    <w:rsid w:val="00F352E6"/>
    <w:rsid w:val="00F354AB"/>
    <w:rsid w:val="00F35530"/>
    <w:rsid w:val="00F35C46"/>
    <w:rsid w:val="00F36355"/>
    <w:rsid w:val="00F36C27"/>
    <w:rsid w:val="00F37213"/>
    <w:rsid w:val="00F379A3"/>
    <w:rsid w:val="00F400CD"/>
    <w:rsid w:val="00F40288"/>
    <w:rsid w:val="00F4078B"/>
    <w:rsid w:val="00F4092D"/>
    <w:rsid w:val="00F415A2"/>
    <w:rsid w:val="00F41762"/>
    <w:rsid w:val="00F41ABD"/>
    <w:rsid w:val="00F41D1E"/>
    <w:rsid w:val="00F4364E"/>
    <w:rsid w:val="00F43CAF"/>
    <w:rsid w:val="00F45767"/>
    <w:rsid w:val="00F45A5B"/>
    <w:rsid w:val="00F4643C"/>
    <w:rsid w:val="00F464E5"/>
    <w:rsid w:val="00F505A5"/>
    <w:rsid w:val="00F50D11"/>
    <w:rsid w:val="00F50FA2"/>
    <w:rsid w:val="00F5139C"/>
    <w:rsid w:val="00F51565"/>
    <w:rsid w:val="00F51D65"/>
    <w:rsid w:val="00F51FB1"/>
    <w:rsid w:val="00F52782"/>
    <w:rsid w:val="00F529C3"/>
    <w:rsid w:val="00F5327D"/>
    <w:rsid w:val="00F54129"/>
    <w:rsid w:val="00F545CB"/>
    <w:rsid w:val="00F5487F"/>
    <w:rsid w:val="00F5764D"/>
    <w:rsid w:val="00F57703"/>
    <w:rsid w:val="00F57974"/>
    <w:rsid w:val="00F57BF9"/>
    <w:rsid w:val="00F57CDE"/>
    <w:rsid w:val="00F60F28"/>
    <w:rsid w:val="00F60F83"/>
    <w:rsid w:val="00F61903"/>
    <w:rsid w:val="00F61CB2"/>
    <w:rsid w:val="00F61E0F"/>
    <w:rsid w:val="00F62151"/>
    <w:rsid w:val="00F62C9C"/>
    <w:rsid w:val="00F62E66"/>
    <w:rsid w:val="00F637D5"/>
    <w:rsid w:val="00F63E57"/>
    <w:rsid w:val="00F63E80"/>
    <w:rsid w:val="00F6477B"/>
    <w:rsid w:val="00F648F4"/>
    <w:rsid w:val="00F6545C"/>
    <w:rsid w:val="00F66203"/>
    <w:rsid w:val="00F667A2"/>
    <w:rsid w:val="00F66803"/>
    <w:rsid w:val="00F66873"/>
    <w:rsid w:val="00F66ECE"/>
    <w:rsid w:val="00F67305"/>
    <w:rsid w:val="00F673A0"/>
    <w:rsid w:val="00F701A7"/>
    <w:rsid w:val="00F7063F"/>
    <w:rsid w:val="00F70A8D"/>
    <w:rsid w:val="00F70B8C"/>
    <w:rsid w:val="00F70DDF"/>
    <w:rsid w:val="00F70E0F"/>
    <w:rsid w:val="00F7106A"/>
    <w:rsid w:val="00F711B1"/>
    <w:rsid w:val="00F71361"/>
    <w:rsid w:val="00F71674"/>
    <w:rsid w:val="00F71B30"/>
    <w:rsid w:val="00F71F2D"/>
    <w:rsid w:val="00F7222C"/>
    <w:rsid w:val="00F72AD5"/>
    <w:rsid w:val="00F73327"/>
    <w:rsid w:val="00F73A5D"/>
    <w:rsid w:val="00F73D25"/>
    <w:rsid w:val="00F7415D"/>
    <w:rsid w:val="00F74C28"/>
    <w:rsid w:val="00F7516E"/>
    <w:rsid w:val="00F75907"/>
    <w:rsid w:val="00F76535"/>
    <w:rsid w:val="00F771DC"/>
    <w:rsid w:val="00F77229"/>
    <w:rsid w:val="00F77432"/>
    <w:rsid w:val="00F779F9"/>
    <w:rsid w:val="00F77F95"/>
    <w:rsid w:val="00F801D9"/>
    <w:rsid w:val="00F80E84"/>
    <w:rsid w:val="00F80EA5"/>
    <w:rsid w:val="00F8101C"/>
    <w:rsid w:val="00F82379"/>
    <w:rsid w:val="00F825A7"/>
    <w:rsid w:val="00F82E27"/>
    <w:rsid w:val="00F82F20"/>
    <w:rsid w:val="00F83071"/>
    <w:rsid w:val="00F83E4B"/>
    <w:rsid w:val="00F84DEE"/>
    <w:rsid w:val="00F850F1"/>
    <w:rsid w:val="00F864F3"/>
    <w:rsid w:val="00F86C9D"/>
    <w:rsid w:val="00F86D2A"/>
    <w:rsid w:val="00F8754C"/>
    <w:rsid w:val="00F8794C"/>
    <w:rsid w:val="00F87C30"/>
    <w:rsid w:val="00F901C4"/>
    <w:rsid w:val="00F9044B"/>
    <w:rsid w:val="00F912FB"/>
    <w:rsid w:val="00F92A28"/>
    <w:rsid w:val="00F93516"/>
    <w:rsid w:val="00F93B02"/>
    <w:rsid w:val="00F953A5"/>
    <w:rsid w:val="00F95B61"/>
    <w:rsid w:val="00F9631D"/>
    <w:rsid w:val="00F969C2"/>
    <w:rsid w:val="00F96BF2"/>
    <w:rsid w:val="00FA06F6"/>
    <w:rsid w:val="00FA081C"/>
    <w:rsid w:val="00FA0DE1"/>
    <w:rsid w:val="00FA0F1C"/>
    <w:rsid w:val="00FA1378"/>
    <w:rsid w:val="00FA1624"/>
    <w:rsid w:val="00FA1CC5"/>
    <w:rsid w:val="00FA22AE"/>
    <w:rsid w:val="00FA234C"/>
    <w:rsid w:val="00FA3114"/>
    <w:rsid w:val="00FA3471"/>
    <w:rsid w:val="00FA351A"/>
    <w:rsid w:val="00FA3E61"/>
    <w:rsid w:val="00FA41CF"/>
    <w:rsid w:val="00FA50D3"/>
    <w:rsid w:val="00FA5D24"/>
    <w:rsid w:val="00FA6007"/>
    <w:rsid w:val="00FA604A"/>
    <w:rsid w:val="00FA6278"/>
    <w:rsid w:val="00FA6499"/>
    <w:rsid w:val="00FA685E"/>
    <w:rsid w:val="00FA7136"/>
    <w:rsid w:val="00FA72C3"/>
    <w:rsid w:val="00FA7908"/>
    <w:rsid w:val="00FA7960"/>
    <w:rsid w:val="00FA7F8A"/>
    <w:rsid w:val="00FB0AD1"/>
    <w:rsid w:val="00FB19BA"/>
    <w:rsid w:val="00FB1BE1"/>
    <w:rsid w:val="00FB274A"/>
    <w:rsid w:val="00FB2CA9"/>
    <w:rsid w:val="00FB2D31"/>
    <w:rsid w:val="00FB3746"/>
    <w:rsid w:val="00FB3898"/>
    <w:rsid w:val="00FB3A78"/>
    <w:rsid w:val="00FB3E5A"/>
    <w:rsid w:val="00FB4069"/>
    <w:rsid w:val="00FB450E"/>
    <w:rsid w:val="00FB5B69"/>
    <w:rsid w:val="00FB5F02"/>
    <w:rsid w:val="00FB6126"/>
    <w:rsid w:val="00FB6578"/>
    <w:rsid w:val="00FB684B"/>
    <w:rsid w:val="00FB7489"/>
    <w:rsid w:val="00FB74CE"/>
    <w:rsid w:val="00FB7FD6"/>
    <w:rsid w:val="00FC0141"/>
    <w:rsid w:val="00FC0AA8"/>
    <w:rsid w:val="00FC0D5B"/>
    <w:rsid w:val="00FC1342"/>
    <w:rsid w:val="00FC1637"/>
    <w:rsid w:val="00FC1A12"/>
    <w:rsid w:val="00FC1C01"/>
    <w:rsid w:val="00FC24D0"/>
    <w:rsid w:val="00FC2CCF"/>
    <w:rsid w:val="00FC3D4B"/>
    <w:rsid w:val="00FC4465"/>
    <w:rsid w:val="00FC4914"/>
    <w:rsid w:val="00FC4C51"/>
    <w:rsid w:val="00FC57FF"/>
    <w:rsid w:val="00FC6670"/>
    <w:rsid w:val="00FC6B8F"/>
    <w:rsid w:val="00FC741A"/>
    <w:rsid w:val="00FD0367"/>
    <w:rsid w:val="00FD06A6"/>
    <w:rsid w:val="00FD0DAD"/>
    <w:rsid w:val="00FD15BE"/>
    <w:rsid w:val="00FD1752"/>
    <w:rsid w:val="00FD20EA"/>
    <w:rsid w:val="00FD21FE"/>
    <w:rsid w:val="00FD2B93"/>
    <w:rsid w:val="00FD323E"/>
    <w:rsid w:val="00FD344C"/>
    <w:rsid w:val="00FD3B05"/>
    <w:rsid w:val="00FD47B0"/>
    <w:rsid w:val="00FD4E81"/>
    <w:rsid w:val="00FD4FC4"/>
    <w:rsid w:val="00FD5B0E"/>
    <w:rsid w:val="00FD5BCC"/>
    <w:rsid w:val="00FD6216"/>
    <w:rsid w:val="00FD6621"/>
    <w:rsid w:val="00FD6C61"/>
    <w:rsid w:val="00FD6C70"/>
    <w:rsid w:val="00FD742F"/>
    <w:rsid w:val="00FD74D5"/>
    <w:rsid w:val="00FD7B9E"/>
    <w:rsid w:val="00FD7C21"/>
    <w:rsid w:val="00FD7D01"/>
    <w:rsid w:val="00FE04A0"/>
    <w:rsid w:val="00FE19FC"/>
    <w:rsid w:val="00FE2201"/>
    <w:rsid w:val="00FE2F33"/>
    <w:rsid w:val="00FE2FC1"/>
    <w:rsid w:val="00FE3F65"/>
    <w:rsid w:val="00FE41EC"/>
    <w:rsid w:val="00FE4243"/>
    <w:rsid w:val="00FE4A41"/>
    <w:rsid w:val="00FE4DD9"/>
    <w:rsid w:val="00FE5159"/>
    <w:rsid w:val="00FE51B7"/>
    <w:rsid w:val="00FE58E3"/>
    <w:rsid w:val="00FE590B"/>
    <w:rsid w:val="00FE5CF9"/>
    <w:rsid w:val="00FE5DF0"/>
    <w:rsid w:val="00FE61C6"/>
    <w:rsid w:val="00FE677F"/>
    <w:rsid w:val="00FE779D"/>
    <w:rsid w:val="00FF0543"/>
    <w:rsid w:val="00FF0630"/>
    <w:rsid w:val="00FF0A91"/>
    <w:rsid w:val="00FF0C4E"/>
    <w:rsid w:val="00FF0E58"/>
    <w:rsid w:val="00FF1D6E"/>
    <w:rsid w:val="00FF26E3"/>
    <w:rsid w:val="00FF2707"/>
    <w:rsid w:val="00FF370B"/>
    <w:rsid w:val="00FF395A"/>
    <w:rsid w:val="00FF410F"/>
    <w:rsid w:val="00FF4826"/>
    <w:rsid w:val="00FF4A1E"/>
    <w:rsid w:val="00FF4EA0"/>
    <w:rsid w:val="00FF5087"/>
    <w:rsid w:val="00FF56C6"/>
    <w:rsid w:val="00FF6166"/>
    <w:rsid w:val="00FF6C86"/>
    <w:rsid w:val="00FF6DC0"/>
    <w:rsid w:val="00FF6FE9"/>
    <w:rsid w:val="00FF755D"/>
    <w:rsid w:val="00FF7B02"/>
    <w:rsid w:val="0A6C0360"/>
    <w:rsid w:val="1B9B21F0"/>
    <w:rsid w:val="23AB7526"/>
    <w:rsid w:val="2BBF0C22"/>
    <w:rsid w:val="57DB51D8"/>
    <w:rsid w:val="59EF7DFC"/>
    <w:rsid w:val="5DBD533B"/>
    <w:rsid w:val="5F3BA118"/>
    <w:rsid w:val="6D7784C0"/>
    <w:rsid w:val="6DCF5958"/>
    <w:rsid w:val="72D02228"/>
    <w:rsid w:val="79B551E4"/>
    <w:rsid w:val="7BBE9403"/>
    <w:rsid w:val="7D7810A0"/>
    <w:rsid w:val="7E6C3310"/>
    <w:rsid w:val="BBEB7452"/>
    <w:rsid w:val="BCAD8A06"/>
    <w:rsid w:val="BDFF5F3D"/>
    <w:rsid w:val="BFCF640B"/>
    <w:rsid w:val="DFDB530A"/>
    <w:rsid w:val="EBCFB28F"/>
    <w:rsid w:val="EF1F6CEA"/>
    <w:rsid w:val="F77A7EA6"/>
    <w:rsid w:val="F7FDC3D7"/>
    <w:rsid w:val="FCF9F327"/>
    <w:rsid w:val="FFFF8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5"/>
    <w:basedOn w:val="1"/>
    <w:next w:val="1"/>
    <w:link w:val="68"/>
    <w:semiHidden/>
    <w:unhideWhenUsed/>
    <w:qFormat/>
    <w:uiPriority w:val="9"/>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0"/>
    <w:pPr>
      <w:jc w:val="left"/>
    </w:pPr>
  </w:style>
  <w:style w:type="paragraph" w:styleId="9">
    <w:name w:val="Body Text"/>
    <w:basedOn w:val="1"/>
    <w:link w:val="37"/>
    <w:qFormat/>
    <w:uiPriority w:val="0"/>
    <w:pPr>
      <w:autoSpaceDE w:val="0"/>
      <w:autoSpaceDN w:val="0"/>
      <w:adjustRightInd w:val="0"/>
      <w:spacing w:line="360" w:lineRule="auto"/>
      <w:jc w:val="left"/>
    </w:pPr>
    <w:rPr>
      <w:rFonts w:ascii="宋体"/>
      <w:kern w:val="0"/>
      <w:sz w:val="20"/>
    </w:rPr>
  </w:style>
  <w:style w:type="paragraph" w:styleId="10">
    <w:name w:val="Body Text Indent"/>
    <w:basedOn w:val="1"/>
    <w:link w:val="55"/>
    <w:unhideWhenUsed/>
    <w:qFormat/>
    <w:uiPriority w:val="0"/>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link w:val="70"/>
    <w:qFormat/>
    <w:uiPriority w:val="99"/>
    <w:pPr>
      <w:adjustRightInd w:val="0"/>
      <w:spacing w:line="312" w:lineRule="atLeast"/>
      <w:textAlignment w:val="baseline"/>
    </w:pPr>
    <w:rPr>
      <w:rFonts w:ascii="宋体" w:hAnsi="Courier New"/>
      <w:kern w:val="0"/>
    </w:rPr>
  </w:style>
  <w:style w:type="paragraph" w:styleId="13">
    <w:name w:val="Body Text Indent 2"/>
    <w:basedOn w:val="1"/>
    <w:qFormat/>
    <w:uiPriority w:val="0"/>
    <w:pPr>
      <w:spacing w:line="360" w:lineRule="auto"/>
      <w:ind w:firstLine="425"/>
    </w:pPr>
    <w:rPr>
      <w:rFonts w:ascii="仿宋_GB2312" w:eastAsia="仿宋_GB2312"/>
      <w:sz w:val="28"/>
    </w:rPr>
  </w:style>
  <w:style w:type="paragraph" w:styleId="14">
    <w:name w:val="Balloon Text"/>
    <w:basedOn w:val="1"/>
    <w:qFormat/>
    <w:uiPriority w:val="0"/>
    <w:rPr>
      <w:sz w:val="18"/>
    </w:rPr>
  </w:style>
  <w:style w:type="paragraph" w:styleId="15">
    <w:name w:val="footer"/>
    <w:basedOn w:val="1"/>
    <w:link w:val="53"/>
    <w:qFormat/>
    <w:uiPriority w:val="99"/>
    <w:pPr>
      <w:tabs>
        <w:tab w:val="center" w:pos="4153"/>
        <w:tab w:val="right" w:pos="8306"/>
      </w:tabs>
      <w:snapToGrid w:val="0"/>
      <w:jc w:val="left"/>
    </w:pPr>
    <w:rPr>
      <w:sz w:val="18"/>
    </w:rPr>
  </w:style>
  <w:style w:type="paragraph" w:styleId="16">
    <w:name w:val="header"/>
    <w:basedOn w:val="1"/>
    <w:link w:val="36"/>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right" w:leader="dot" w:pos="8296"/>
      </w:tabs>
      <w:spacing w:line="360" w:lineRule="auto"/>
    </w:pPr>
  </w:style>
  <w:style w:type="paragraph" w:styleId="18">
    <w:name w:val="footnote text"/>
    <w:basedOn w:val="1"/>
    <w:qFormat/>
    <w:uiPriority w:val="0"/>
    <w:pPr>
      <w:snapToGrid w:val="0"/>
      <w:jc w:val="left"/>
    </w:pPr>
    <w:rPr>
      <w:sz w:val="18"/>
    </w:rPr>
  </w:style>
  <w:style w:type="paragraph" w:styleId="19">
    <w:name w:val="Body Text Indent 3"/>
    <w:basedOn w:val="1"/>
    <w:qFormat/>
    <w:uiPriority w:val="0"/>
    <w:pPr>
      <w:autoSpaceDE w:val="0"/>
      <w:autoSpaceDN w:val="0"/>
      <w:adjustRightInd w:val="0"/>
      <w:spacing w:line="360" w:lineRule="auto"/>
      <w:ind w:left="420" w:firstLine="435"/>
    </w:pPr>
    <w:rPr>
      <w:color w:val="0000FF"/>
    </w:rPr>
  </w:style>
  <w:style w:type="paragraph" w:styleId="20">
    <w:name w:val="toc 2"/>
    <w:basedOn w:val="1"/>
    <w:next w:val="1"/>
    <w:unhideWhenUsed/>
    <w:qFormat/>
    <w:uiPriority w:val="39"/>
    <w:pPr>
      <w:ind w:left="420" w:leftChars="200"/>
    </w:pPr>
  </w:style>
  <w:style w:type="paragraph" w:styleId="21">
    <w:name w:val="Body Text 2"/>
    <w:basedOn w:val="1"/>
    <w:link w:val="60"/>
    <w:semiHidden/>
    <w:unhideWhenUsed/>
    <w:qFormat/>
    <w:uiPriority w:val="99"/>
    <w:pPr>
      <w:spacing w:after="120" w:line="480" w:lineRule="auto"/>
    </w:p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Title"/>
    <w:basedOn w:val="1"/>
    <w:next w:val="1"/>
    <w:link w:val="33"/>
    <w:qFormat/>
    <w:uiPriority w:val="0"/>
    <w:pPr>
      <w:spacing w:before="240" w:after="60"/>
      <w:jc w:val="center"/>
      <w:outlineLvl w:val="0"/>
    </w:pPr>
    <w:rPr>
      <w:rFonts w:ascii="Cambria" w:hAnsi="Cambria"/>
      <w:b/>
      <w:sz w:val="32"/>
    </w:rPr>
  </w:style>
  <w:style w:type="paragraph" w:styleId="24">
    <w:name w:val="annotation subject"/>
    <w:basedOn w:val="8"/>
    <w:next w:val="8"/>
    <w:qFormat/>
    <w:uiPriority w:val="0"/>
    <w:rPr>
      <w:b/>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page number"/>
    <w:basedOn w:val="27"/>
    <w:qFormat/>
    <w:uiPriority w:val="0"/>
  </w:style>
  <w:style w:type="character" w:styleId="29">
    <w:name w:val="FollowedHyperlink"/>
    <w:semiHidden/>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rPr>
  </w:style>
  <w:style w:type="character" w:styleId="32">
    <w:name w:val="footnote reference"/>
    <w:qFormat/>
    <w:uiPriority w:val="0"/>
    <w:rPr>
      <w:vertAlign w:val="superscript"/>
    </w:rPr>
  </w:style>
  <w:style w:type="character" w:customStyle="1" w:styleId="33">
    <w:name w:val="标题 字符"/>
    <w:link w:val="23"/>
    <w:qFormat/>
    <w:uiPriority w:val="0"/>
    <w:rPr>
      <w:rFonts w:ascii="Cambria" w:hAnsi="Cambria"/>
      <w:b/>
      <w:kern w:val="2"/>
      <w:sz w:val="32"/>
    </w:rPr>
  </w:style>
  <w:style w:type="character" w:customStyle="1" w:styleId="34">
    <w:name w:val="unnamed11"/>
    <w:qFormat/>
    <w:uiPriority w:val="0"/>
    <w:rPr>
      <w:rFonts w:hint="eastAsia" w:ascii="宋体" w:hAnsi="宋体" w:eastAsia="宋体"/>
      <w:sz w:val="18"/>
    </w:rPr>
  </w:style>
  <w:style w:type="character" w:customStyle="1" w:styleId="35">
    <w:name w:val="read"/>
    <w:basedOn w:val="27"/>
    <w:qFormat/>
    <w:uiPriority w:val="0"/>
  </w:style>
  <w:style w:type="character" w:customStyle="1" w:styleId="36">
    <w:name w:val="页眉 字符"/>
    <w:link w:val="16"/>
    <w:qFormat/>
    <w:uiPriority w:val="0"/>
    <w:rPr>
      <w:rFonts w:eastAsia="宋体"/>
      <w:kern w:val="2"/>
      <w:sz w:val="18"/>
      <w:lang w:val="en-US" w:eastAsia="zh-CN"/>
    </w:rPr>
  </w:style>
  <w:style w:type="character" w:customStyle="1" w:styleId="37">
    <w:name w:val="正文文本 字符"/>
    <w:link w:val="9"/>
    <w:qFormat/>
    <w:uiPriority w:val="0"/>
    <w:rPr>
      <w:rFonts w:ascii="宋体"/>
      <w:kern w:val="0"/>
    </w:rPr>
  </w:style>
  <w:style w:type="paragraph" w:customStyle="1" w:styleId="38">
    <w:name w:val="Char"/>
    <w:basedOn w:val="1"/>
    <w:qFormat/>
    <w:uiPriority w:val="0"/>
  </w:style>
  <w:style w:type="paragraph" w:customStyle="1" w:styleId="39">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0">
    <w:name w:val="Char Char"/>
    <w:basedOn w:val="1"/>
    <w:qFormat/>
    <w:uiPriority w:val="0"/>
  </w:style>
  <w:style w:type="paragraph" w:customStyle="1" w:styleId="41">
    <w:name w:val="Char Char1"/>
    <w:basedOn w:val="1"/>
    <w:qFormat/>
    <w:uiPriority w:val="0"/>
  </w:style>
  <w:style w:type="paragraph" w:customStyle="1" w:styleId="42">
    <w:name w:val="正文正文"/>
    <w:basedOn w:val="1"/>
    <w:qFormat/>
    <w:uiPriority w:val="0"/>
    <w:pPr>
      <w:spacing w:afterLines="25" w:line="360" w:lineRule="auto"/>
      <w:ind w:firstLine="200" w:firstLineChars="200"/>
    </w:pPr>
    <w:rPr>
      <w:sz w:val="24"/>
    </w:rPr>
  </w:style>
  <w:style w:type="paragraph" w:customStyle="1" w:styleId="43">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Char Char Char"/>
    <w:basedOn w:val="1"/>
    <w:qFormat/>
    <w:uiPriority w:val="0"/>
  </w:style>
  <w:style w:type="paragraph" w:customStyle="1" w:styleId="46">
    <w:name w:val="正文所"/>
    <w:basedOn w:val="1"/>
    <w:qFormat/>
    <w:uiPriority w:val="0"/>
    <w:pPr>
      <w:spacing w:line="360" w:lineRule="auto"/>
      <w:ind w:firstLine="420" w:firstLineChars="200"/>
    </w:pPr>
    <w:rPr>
      <w:rFonts w:ascii="宋体"/>
    </w:rPr>
  </w:style>
  <w:style w:type="paragraph" w:customStyle="1" w:styleId="47">
    <w:name w:val="List_bullet"/>
    <w:basedOn w:val="1"/>
    <w:qFormat/>
    <w:uiPriority w:val="0"/>
    <w:pPr>
      <w:widowControl/>
      <w:numPr>
        <w:ilvl w:val="0"/>
        <w:numId w:val="1"/>
      </w:numPr>
      <w:ind w:left="0" w:firstLine="0"/>
      <w:jc w:val="left"/>
    </w:pPr>
    <w:rPr>
      <w:kern w:val="0"/>
      <w:sz w:val="24"/>
    </w:rPr>
  </w:style>
  <w:style w:type="paragraph" w:customStyle="1" w:styleId="48">
    <w:name w:val="Char1"/>
    <w:basedOn w:val="1"/>
    <w:qFormat/>
    <w:uiPriority w:val="0"/>
  </w:style>
  <w:style w:type="paragraph" w:customStyle="1" w:styleId="49">
    <w:name w:val="Char Char Char Char"/>
    <w:basedOn w:val="1"/>
    <w:qFormat/>
    <w:uiPriority w:val="0"/>
    <w:pPr>
      <w:tabs>
        <w:tab w:val="left" w:pos="360"/>
      </w:tabs>
    </w:pPr>
  </w:style>
  <w:style w:type="paragraph" w:customStyle="1" w:styleId="50">
    <w:name w:val="unnamed1"/>
    <w:basedOn w:val="1"/>
    <w:qFormat/>
    <w:uiPriority w:val="0"/>
    <w:pPr>
      <w:spacing w:before="60" w:after="60"/>
      <w:ind w:left="15" w:right="15"/>
    </w:pPr>
    <w:rPr>
      <w:rFonts w:hint="eastAsia" w:ascii="宋体" w:hAnsi="宋体"/>
      <w:color w:val="000000"/>
      <w:sz w:val="18"/>
      <w:szCs w:val="18"/>
    </w:rPr>
  </w:style>
  <w:style w:type="paragraph" w:customStyle="1" w:styleId="51">
    <w:name w:val="修订1"/>
    <w:hidden/>
    <w:semiHidden/>
    <w:qFormat/>
    <w:uiPriority w:val="99"/>
    <w:rPr>
      <w:rFonts w:ascii="Times New Roman" w:hAnsi="Times New Roman" w:eastAsia="宋体" w:cs="Times New Roman"/>
      <w:kern w:val="2"/>
      <w:sz w:val="21"/>
      <w:lang w:val="en-US" w:eastAsia="zh-CN" w:bidi="ar-SA"/>
    </w:rPr>
  </w:style>
  <w:style w:type="paragraph" w:customStyle="1" w:styleId="52">
    <w:name w:val="Char Char Char Char1"/>
    <w:basedOn w:val="1"/>
    <w:qFormat/>
    <w:uiPriority w:val="0"/>
  </w:style>
  <w:style w:type="character" w:customStyle="1" w:styleId="53">
    <w:name w:val="页脚 字符"/>
    <w:link w:val="15"/>
    <w:qFormat/>
    <w:uiPriority w:val="99"/>
    <w:rPr>
      <w:kern w:val="2"/>
      <w:sz w:val="18"/>
    </w:rPr>
  </w:style>
  <w:style w:type="paragraph" w:customStyle="1" w:styleId="54">
    <w:name w:val="默认段落字体 Para Char Char Char Char Char Char Char"/>
    <w:basedOn w:val="1"/>
    <w:qFormat/>
    <w:uiPriority w:val="0"/>
    <w:pPr>
      <w:widowControl/>
      <w:jc w:val="left"/>
    </w:pPr>
    <w:rPr>
      <w:sz w:val="24"/>
      <w:szCs w:val="24"/>
    </w:rPr>
  </w:style>
  <w:style w:type="character" w:customStyle="1" w:styleId="55">
    <w:name w:val="正文文本缩进 字符"/>
    <w:link w:val="10"/>
    <w:semiHidden/>
    <w:qFormat/>
    <w:uiPriority w:val="99"/>
    <w:rPr>
      <w:kern w:val="2"/>
      <w:sz w:val="21"/>
    </w:rPr>
  </w:style>
  <w:style w:type="paragraph" w:styleId="56">
    <w:name w:val="List Paragraph"/>
    <w:basedOn w:val="1"/>
    <w:qFormat/>
    <w:uiPriority w:val="34"/>
    <w:pPr>
      <w:ind w:firstLine="420" w:firstLineChars="200"/>
    </w:pPr>
    <w:rPr>
      <w:rFonts w:ascii="Calibri" w:hAnsi="Calibri"/>
      <w:szCs w:val="22"/>
    </w:rPr>
  </w:style>
  <w:style w:type="paragraph" w:styleId="57">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8">
    <w:name w:val="TOC 标题1"/>
    <w:basedOn w:val="2"/>
    <w:next w:val="1"/>
    <w:qFormat/>
    <w:uiPriority w:val="39"/>
    <w:pPr>
      <w:widowControl/>
      <w:spacing w:before="480" w:after="0" w:line="276" w:lineRule="auto"/>
      <w:jc w:val="left"/>
      <w:outlineLvl w:val="9"/>
    </w:pPr>
    <w:rPr>
      <w:rFonts w:ascii="Cambria" w:hAnsi="Cambria"/>
      <w:bCs/>
      <w:color w:val="365F91"/>
      <w:sz w:val="28"/>
      <w:szCs w:val="28"/>
    </w:rPr>
  </w:style>
  <w:style w:type="character" w:customStyle="1" w:styleId="59">
    <w:name w:val="批注文字 字符"/>
    <w:link w:val="8"/>
    <w:qFormat/>
    <w:locked/>
    <w:uiPriority w:val="0"/>
    <w:rPr>
      <w:kern w:val="2"/>
      <w:sz w:val="21"/>
    </w:rPr>
  </w:style>
  <w:style w:type="character" w:customStyle="1" w:styleId="60">
    <w:name w:val="正文文本 2 字符"/>
    <w:basedOn w:val="27"/>
    <w:link w:val="21"/>
    <w:semiHidden/>
    <w:qFormat/>
    <w:uiPriority w:val="99"/>
    <w:rPr>
      <w:kern w:val="2"/>
      <w:sz w:val="21"/>
    </w:rPr>
  </w:style>
  <w:style w:type="character" w:customStyle="1" w:styleId="61">
    <w:name w:val="标题 1 字符"/>
    <w:link w:val="2"/>
    <w:qFormat/>
    <w:uiPriority w:val="0"/>
    <w:rPr>
      <w:rFonts w:ascii="宋体"/>
      <w:b/>
      <w:color w:val="000000"/>
      <w:sz w:val="24"/>
    </w:rPr>
  </w:style>
  <w:style w:type="character" w:customStyle="1" w:styleId="62">
    <w:name w:val="bumpedfont15"/>
    <w:basedOn w:val="27"/>
    <w:qFormat/>
    <w:uiPriority w:val="0"/>
  </w:style>
  <w:style w:type="paragraph" w:customStyle="1" w:styleId="63">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s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s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x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Char Char Char1"/>
    <w:basedOn w:val="1"/>
    <w:qFormat/>
    <w:uiPriority w:val="0"/>
  </w:style>
  <w:style w:type="character" w:customStyle="1" w:styleId="68">
    <w:name w:val="标题 5 字符"/>
    <w:basedOn w:val="27"/>
    <w:link w:val="5"/>
    <w:semiHidden/>
    <w:qFormat/>
    <w:uiPriority w:val="9"/>
    <w:rPr>
      <w:b/>
      <w:bCs/>
      <w:kern w:val="2"/>
      <w:sz w:val="28"/>
      <w:szCs w:val="28"/>
    </w:rPr>
  </w:style>
  <w:style w:type="paragraph" w:customStyle="1" w:styleId="69">
    <w:name w:val="修订2"/>
    <w:hidden/>
    <w:semiHidden/>
    <w:uiPriority w:val="99"/>
    <w:rPr>
      <w:rFonts w:ascii="Times New Roman" w:hAnsi="Times New Roman" w:eastAsia="宋体" w:cs="Times New Roman"/>
      <w:kern w:val="2"/>
      <w:sz w:val="21"/>
      <w:lang w:val="en-US" w:eastAsia="zh-CN" w:bidi="ar-SA"/>
    </w:rPr>
  </w:style>
  <w:style w:type="character" w:customStyle="1" w:styleId="70">
    <w:name w:val="纯文本 字符"/>
    <w:link w:val="12"/>
    <w:uiPriority w:val="99"/>
    <w:rPr>
      <w:rFonts w:ascii="宋体" w:hAnsi="Courier New"/>
      <w:sz w:val="21"/>
    </w:rPr>
  </w:style>
  <w:style w:type="paragraph" w:customStyle="1" w:styleId="71">
    <w:name w:val="UCAlpha 2"/>
    <w:basedOn w:val="1"/>
    <w:uiPriority w:val="0"/>
    <w:pPr>
      <w:widowControl/>
      <w:numPr>
        <w:ilvl w:val="0"/>
        <w:numId w:val="2"/>
      </w:numPr>
      <w:spacing w:after="140" w:line="290" w:lineRule="auto"/>
      <w:jc w:val="left"/>
    </w:pPr>
    <w:rPr>
      <w:rFonts w:ascii="Arial" w:hAnsi="Arial"/>
      <w:kern w:val="0"/>
      <w:sz w:val="20"/>
      <w:lang w:val="en-GB" w:eastAsia="en-US"/>
    </w:rPr>
  </w:style>
  <w:style w:type="paragraph" w:customStyle="1" w:styleId="72">
    <w:name w:val="修订3"/>
    <w:hidden/>
    <w:semiHidden/>
    <w:uiPriority w:val="99"/>
    <w:rPr>
      <w:rFonts w:ascii="Times New Roman" w:hAnsi="Times New Roman" w:eastAsia="宋体" w:cs="Times New Roman"/>
      <w:kern w:val="2"/>
      <w:sz w:val="21"/>
      <w:lang w:val="en-US" w:eastAsia="zh-CN" w:bidi="ar-SA"/>
    </w:rPr>
  </w:style>
  <w:style w:type="character" w:customStyle="1" w:styleId="73">
    <w:name w:val="font11"/>
    <w:basedOn w:val="27"/>
    <w:uiPriority w:val="0"/>
    <w:rPr>
      <w:rFonts w:hint="default" w:ascii="仿宋" w:hAnsi="仿宋" w:eastAsia="仿宋" w:cs="仿宋"/>
      <w:color w:val="000000"/>
      <w:sz w:val="28"/>
      <w:szCs w:val="28"/>
      <w:u w:val="none"/>
    </w:rPr>
  </w:style>
  <w:style w:type="character" w:customStyle="1" w:styleId="74">
    <w:name w:val="font21"/>
    <w:basedOn w:val="27"/>
    <w:uiPriority w:val="0"/>
    <w:rPr>
      <w:rFonts w:hint="default" w:ascii="仿宋" w:hAnsi="仿宋" w:eastAsia="仿宋" w:cs="仿宋"/>
      <w:b/>
      <w:bCs/>
      <w:color w:val="000000"/>
      <w:sz w:val="28"/>
      <w:szCs w:val="28"/>
      <w:u w:val="none"/>
    </w:rPr>
  </w:style>
  <w:style w:type="paragraph" w:customStyle="1" w:styleId="75">
    <w:name w:val="修订4"/>
    <w:hidden/>
    <w:unhideWhenUsed/>
    <w:uiPriority w:val="99"/>
    <w:rPr>
      <w:rFonts w:ascii="Times New Roman" w:hAnsi="Times New Roman" w:eastAsia="宋体" w:cs="Times New Roman"/>
      <w:kern w:val="2"/>
      <w:sz w:val="21"/>
      <w:lang w:val="en-US" w:eastAsia="zh-CN" w:bidi="ar-SA"/>
    </w:rPr>
  </w:style>
  <w:style w:type="paragraph" w:customStyle="1" w:styleId="76">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178</Pages>
  <Words>15140</Words>
  <Characters>86302</Characters>
  <Lines>719</Lines>
  <Paragraphs>202</Paragraphs>
  <TotalTime>205</TotalTime>
  <ScaleCrop>false</ScaleCrop>
  <LinksUpToDate>false</LinksUpToDate>
  <CharactersWithSpaces>101240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2026-04-22T19:32:00Z</dcterms:created>
  <dc:creator>高依霓</dc:creator>
  <cp:lastModifiedBy>gaoyn05</cp:lastModifiedBy>
  <cp:lastPrinted>2022-09-10T08:27:00Z</cp:lastPrinted>
  <dcterms:modified xsi:type="dcterms:W3CDTF">2026-05-11T17:11:16Z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2DAD2F1AC1C5A38C349D016A724586B0_43</vt:lpwstr>
  </property>
</Properties>
</file>