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66B6CC3" w14:textId="77777777" w:rsidR="009D63C8" w:rsidRPr="001B1027" w:rsidRDefault="009D63C8">
      <w:pPr>
        <w:tabs>
          <w:tab w:val="left" w:pos="6660"/>
        </w:tabs>
        <w:spacing w:line="360" w:lineRule="auto"/>
        <w:jc w:val="center"/>
        <w:rPr>
          <w:bCs/>
          <w:sz w:val="44"/>
        </w:rPr>
      </w:pPr>
    </w:p>
    <w:p w14:paraId="623836B3" w14:textId="77777777" w:rsidR="009D63C8" w:rsidRDefault="003D167A">
      <w:pPr>
        <w:jc w:val="left"/>
        <w:rPr>
          <w:b/>
          <w:sz w:val="52"/>
        </w:rPr>
      </w:pP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p>
    <w:p w14:paraId="20C4741E" w14:textId="6A00207E" w:rsidR="00BB778B" w:rsidRPr="001B1027" w:rsidRDefault="003D167A" w:rsidP="00D759BB">
      <w:pPr>
        <w:jc w:val="left"/>
        <w:rPr>
          <w:b/>
          <w:sz w:val="52"/>
        </w:rPr>
      </w:pP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p>
    <w:p w14:paraId="2BA756AD" w14:textId="77777777" w:rsidR="009D63C8" w:rsidRPr="00CE017B" w:rsidRDefault="009D63C8">
      <w:pPr>
        <w:rPr>
          <w:b/>
        </w:rPr>
      </w:pPr>
    </w:p>
    <w:p w14:paraId="4DB4F207" w14:textId="77777777" w:rsidR="009D63C8" w:rsidRPr="00CE017B" w:rsidRDefault="009D63C8">
      <w:pPr>
        <w:jc w:val="center"/>
        <w:rPr>
          <w:b/>
          <w:sz w:val="52"/>
        </w:rPr>
      </w:pPr>
    </w:p>
    <w:p w14:paraId="31B5E5D0" w14:textId="77777777" w:rsidR="009D63C8" w:rsidRPr="00D759BB" w:rsidRDefault="003D167A">
      <w:pPr>
        <w:jc w:val="center"/>
        <w:rPr>
          <w:b/>
          <w:sz w:val="36"/>
          <w:szCs w:val="36"/>
        </w:rPr>
      </w:pPr>
      <w:bookmarkStart w:id="0" w:name="_Toc123112223"/>
      <w:bookmarkStart w:id="1" w:name="_Toc123112262"/>
      <w:bookmarkStart w:id="2" w:name="_Toc123701382"/>
      <w:bookmarkStart w:id="3" w:name="_Toc139991725"/>
      <w:bookmarkStart w:id="4" w:name="_Toc139992300"/>
      <w:r w:rsidRPr="00D759BB">
        <w:rPr>
          <w:rFonts w:ascii="宋体" w:hAnsi="宋体"/>
          <w:b/>
          <w:noProof/>
          <w:sz w:val="36"/>
          <w:szCs w:val="36"/>
        </w:rPr>
        <w:t>汇添富上证科创板综合价格指数增强型证券投资基金</w:t>
      </w:r>
      <w:r w:rsidRPr="00D759BB">
        <w:rPr>
          <w:rFonts w:ascii="宋体" w:hAnsi="宋体" w:hint="eastAsia"/>
          <w:b/>
          <w:sz w:val="36"/>
          <w:szCs w:val="36"/>
        </w:rPr>
        <w:t>基金合同</w:t>
      </w:r>
      <w:bookmarkStart w:id="5" w:name="_GoBack"/>
      <w:bookmarkEnd w:id="0"/>
      <w:bookmarkEnd w:id="1"/>
      <w:bookmarkEnd w:id="2"/>
      <w:bookmarkEnd w:id="3"/>
      <w:bookmarkEnd w:id="4"/>
      <w:bookmarkEnd w:id="5"/>
    </w:p>
    <w:p w14:paraId="2A3E2C4A" w14:textId="77777777" w:rsidR="009D63C8" w:rsidRDefault="009D63C8">
      <w:pPr>
        <w:jc w:val="center"/>
        <w:rPr>
          <w:b/>
          <w:sz w:val="52"/>
        </w:rPr>
      </w:pPr>
    </w:p>
    <w:p w14:paraId="5E671878" w14:textId="77777777" w:rsidR="00A4374F" w:rsidRDefault="00A4374F">
      <w:pPr>
        <w:jc w:val="center"/>
        <w:rPr>
          <w:b/>
          <w:sz w:val="52"/>
        </w:rPr>
      </w:pPr>
    </w:p>
    <w:p w14:paraId="7CF7F292" w14:textId="77777777" w:rsidR="00A4374F" w:rsidRDefault="00A4374F">
      <w:pPr>
        <w:jc w:val="center"/>
        <w:rPr>
          <w:b/>
          <w:sz w:val="52"/>
        </w:rPr>
      </w:pPr>
    </w:p>
    <w:p w14:paraId="4F21C4DF" w14:textId="77777777" w:rsidR="00A4374F" w:rsidRDefault="00A4374F">
      <w:pPr>
        <w:jc w:val="center"/>
        <w:rPr>
          <w:b/>
          <w:sz w:val="52"/>
        </w:rPr>
      </w:pPr>
    </w:p>
    <w:p w14:paraId="5D8A8656" w14:textId="77777777" w:rsidR="00A4374F" w:rsidRDefault="00A4374F">
      <w:pPr>
        <w:jc w:val="center"/>
        <w:rPr>
          <w:b/>
          <w:sz w:val="52"/>
        </w:rPr>
      </w:pPr>
    </w:p>
    <w:p w14:paraId="26507D97" w14:textId="77777777" w:rsidR="00A4374F" w:rsidRDefault="00A4374F">
      <w:pPr>
        <w:jc w:val="center"/>
        <w:rPr>
          <w:b/>
          <w:sz w:val="52"/>
        </w:rPr>
      </w:pPr>
    </w:p>
    <w:p w14:paraId="7F8EE210" w14:textId="77777777" w:rsidR="00A4374F" w:rsidRDefault="00A4374F">
      <w:pPr>
        <w:jc w:val="center"/>
        <w:rPr>
          <w:b/>
          <w:sz w:val="52"/>
        </w:rPr>
      </w:pPr>
    </w:p>
    <w:p w14:paraId="27838E54" w14:textId="77777777" w:rsidR="00A4374F" w:rsidRPr="00C92A27" w:rsidRDefault="00A4374F">
      <w:pPr>
        <w:jc w:val="center"/>
        <w:rPr>
          <w:b/>
          <w:sz w:val="52"/>
        </w:rPr>
      </w:pPr>
    </w:p>
    <w:p w14:paraId="2E35D08D" w14:textId="77777777" w:rsidR="006F0EAB" w:rsidRPr="00CE017B" w:rsidRDefault="006F0EAB">
      <w:pPr>
        <w:jc w:val="center"/>
        <w:rPr>
          <w:b/>
          <w:sz w:val="52"/>
        </w:rPr>
      </w:pPr>
    </w:p>
    <w:p w14:paraId="618E7781" w14:textId="77777777" w:rsidR="000A0044" w:rsidRPr="00CE017B" w:rsidRDefault="003D167A" w:rsidP="00BB778B">
      <w:pPr>
        <w:rPr>
          <w:b/>
          <w:sz w:val="52"/>
        </w:rPr>
      </w:pP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p>
    <w:p w14:paraId="318B783D" w14:textId="77777777" w:rsidR="009D63C8" w:rsidRPr="00D759BB" w:rsidRDefault="003D167A">
      <w:pPr>
        <w:jc w:val="center"/>
        <w:rPr>
          <w:b/>
          <w:sz w:val="30"/>
          <w:szCs w:val="30"/>
        </w:rPr>
      </w:pPr>
      <w:bookmarkStart w:id="6" w:name="_Toc139992301"/>
      <w:bookmarkStart w:id="7" w:name="_Toc139991726"/>
      <w:bookmarkStart w:id="8" w:name="_Toc123701383"/>
      <w:bookmarkStart w:id="9" w:name="_Toc123112263"/>
      <w:bookmarkStart w:id="10" w:name="_Toc123112224"/>
      <w:r w:rsidRPr="00D759BB">
        <w:rPr>
          <w:rFonts w:hint="eastAsia"/>
          <w:b/>
          <w:sz w:val="30"/>
          <w:szCs w:val="30"/>
        </w:rPr>
        <w:t>基金管理人：</w:t>
      </w:r>
      <w:bookmarkEnd w:id="6"/>
      <w:bookmarkEnd w:id="7"/>
      <w:bookmarkEnd w:id="8"/>
      <w:bookmarkEnd w:id="9"/>
      <w:bookmarkEnd w:id="10"/>
      <w:r w:rsidR="00990F3B" w:rsidRPr="00D759BB">
        <w:rPr>
          <w:rFonts w:hint="eastAsia"/>
          <w:b/>
          <w:noProof/>
          <w:sz w:val="30"/>
          <w:szCs w:val="30"/>
        </w:rPr>
        <w:t>汇添富基金管理股份有限公司</w:t>
      </w:r>
    </w:p>
    <w:p w14:paraId="4E9096F9" w14:textId="77777777" w:rsidR="009D63C8" w:rsidRPr="00D759BB" w:rsidRDefault="003D167A">
      <w:pPr>
        <w:jc w:val="center"/>
        <w:rPr>
          <w:b/>
          <w:sz w:val="30"/>
          <w:szCs w:val="30"/>
        </w:rPr>
      </w:pPr>
      <w:bookmarkStart w:id="11" w:name="_Toc123112225"/>
      <w:bookmarkStart w:id="12" w:name="_Toc123112264"/>
      <w:bookmarkStart w:id="13" w:name="_Toc123701384"/>
      <w:bookmarkStart w:id="14" w:name="_Toc139991727"/>
      <w:bookmarkStart w:id="15" w:name="_Toc139992302"/>
      <w:r w:rsidRPr="00D759BB">
        <w:rPr>
          <w:rFonts w:hint="eastAsia"/>
          <w:b/>
          <w:sz w:val="30"/>
          <w:szCs w:val="30"/>
        </w:rPr>
        <w:t>基金托管人：</w:t>
      </w:r>
      <w:bookmarkEnd w:id="11"/>
      <w:bookmarkEnd w:id="12"/>
      <w:bookmarkEnd w:id="13"/>
      <w:bookmarkEnd w:id="14"/>
      <w:bookmarkEnd w:id="15"/>
      <w:r w:rsidR="00990F3B" w:rsidRPr="00D759BB">
        <w:rPr>
          <w:rFonts w:hint="eastAsia"/>
          <w:b/>
          <w:noProof/>
          <w:sz w:val="30"/>
          <w:szCs w:val="30"/>
        </w:rPr>
        <w:t>中国邮政储蓄银行股份有限公司</w:t>
      </w:r>
    </w:p>
    <w:p w14:paraId="1BFCADFE" w14:textId="77777777" w:rsidR="00CC22D6" w:rsidRPr="00D059D7" w:rsidRDefault="00CC22D6">
      <w:pPr>
        <w:jc w:val="center"/>
        <w:rPr>
          <w:b/>
          <w:sz w:val="30"/>
        </w:rPr>
      </w:pPr>
      <w:bookmarkStart w:id="16" w:name="_Toc123112227"/>
      <w:bookmarkStart w:id="17" w:name="_Toc123112266"/>
      <w:bookmarkStart w:id="18" w:name="_Toc123701386"/>
      <w:bookmarkStart w:id="19" w:name="_Toc139991729"/>
    </w:p>
    <w:p w14:paraId="47ABB374" w14:textId="77777777" w:rsidR="006F0EAB" w:rsidRPr="00D059D7" w:rsidRDefault="006F0EAB">
      <w:pPr>
        <w:jc w:val="center"/>
        <w:rPr>
          <w:b/>
          <w:sz w:val="30"/>
        </w:rPr>
      </w:pPr>
    </w:p>
    <w:p w14:paraId="21103C3D" w14:textId="77777777" w:rsidR="00CC22D6" w:rsidRDefault="00CC22D6">
      <w:pPr>
        <w:jc w:val="center"/>
        <w:rPr>
          <w:b/>
          <w:bCs/>
          <w:sz w:val="30"/>
        </w:rPr>
      </w:pPr>
    </w:p>
    <w:p w14:paraId="06E3B480" w14:textId="77777777" w:rsidR="00EE4A7D" w:rsidRPr="00EE4A7D" w:rsidRDefault="00EE4A7D" w:rsidP="00AF30BD">
      <w:pPr>
        <w:jc w:val="center"/>
        <w:rPr>
          <w:rFonts w:ascii="宋体"/>
          <w:b/>
          <w:bCs/>
          <w:sz w:val="30"/>
        </w:rPr>
      </w:pPr>
    </w:p>
    <w:p w14:paraId="689038C9" w14:textId="77777777" w:rsidR="00B034AA" w:rsidRPr="00EB4987" w:rsidRDefault="00B034AA" w:rsidP="00AF30BD">
      <w:pPr>
        <w:jc w:val="center"/>
        <w:rPr>
          <w:rFonts w:ascii="宋体"/>
          <w:b/>
          <w:bCs/>
          <w:sz w:val="30"/>
        </w:rPr>
        <w:sectPr w:rsidR="00B034AA" w:rsidRPr="00EB4987" w:rsidSect="003D4BDD">
          <w:footerReference w:type="default" r:id="rId9"/>
          <w:pgSz w:w="11906" w:h="16838"/>
          <w:pgMar w:top="1440" w:right="1800" w:bottom="1440" w:left="1800" w:header="851" w:footer="992" w:gutter="0"/>
          <w:cols w:space="720"/>
          <w:docGrid w:type="lines" w:linePitch="312"/>
        </w:sectPr>
      </w:pPr>
      <w:bookmarkStart w:id="20" w:name="_Toc23386"/>
      <w:bookmarkStart w:id="21" w:name="_Toc141703880"/>
      <w:bookmarkStart w:id="22" w:name="_Toc139991730"/>
      <w:bookmarkStart w:id="23" w:name="_Toc4867"/>
      <w:bookmarkStart w:id="24" w:name="_Toc6306"/>
      <w:bookmarkStart w:id="25" w:name="_Toc8727"/>
      <w:bookmarkStart w:id="26" w:name="_Toc30935"/>
      <w:bookmarkStart w:id="27" w:name="_Toc32639"/>
      <w:bookmarkStart w:id="28" w:name="_Toc15517"/>
      <w:bookmarkStart w:id="29" w:name="_Toc29629"/>
      <w:bookmarkStart w:id="30" w:name="_Toc26897"/>
      <w:bookmarkStart w:id="31" w:name="_Toc4966"/>
      <w:bookmarkStart w:id="32" w:name="_Toc123701389"/>
      <w:bookmarkStart w:id="33" w:name="_Toc123112268"/>
      <w:bookmarkStart w:id="34" w:name="_Toc123112229"/>
      <w:bookmarkStart w:id="35" w:name="_Toc233456271"/>
      <w:bookmarkEnd w:id="16"/>
      <w:bookmarkEnd w:id="17"/>
      <w:bookmarkEnd w:id="18"/>
      <w:bookmarkEnd w:id="19"/>
    </w:p>
    <w:p w14:paraId="7FDF7040" w14:textId="77777777" w:rsidR="00B034AA" w:rsidRPr="00085549" w:rsidRDefault="003D167A" w:rsidP="00085549">
      <w:pPr>
        <w:autoSpaceDE w:val="0"/>
        <w:autoSpaceDN w:val="0"/>
        <w:adjustRightInd w:val="0"/>
        <w:spacing w:line="360" w:lineRule="auto"/>
        <w:ind w:firstLineChars="200" w:firstLine="482"/>
        <w:jc w:val="center"/>
        <w:rPr>
          <w:rFonts w:ascii="宋体" w:hAnsi="宋体" w:cs="宋体"/>
          <w:b/>
          <w:noProof/>
          <w:sz w:val="24"/>
        </w:rPr>
      </w:pPr>
      <w:r w:rsidRPr="00657FE9">
        <w:rPr>
          <w:rStyle w:val="read"/>
          <w:rFonts w:ascii="宋体" w:hAnsi="宋体" w:cs="宋体"/>
          <w:b/>
          <w:sz w:val="24"/>
        </w:rPr>
        <w:lastRenderedPageBreak/>
        <w:t>目录</w:t>
      </w:r>
    </w:p>
    <w:p w14:paraId="39E24368" w14:textId="1372B8F2" w:rsidR="003213F8" w:rsidRDefault="003D167A">
      <w:pPr>
        <w:pStyle w:val="10"/>
        <w:rPr>
          <w:rFonts w:asciiTheme="minorHAnsi" w:hAnsiTheme="minorHAnsi"/>
          <w:noProof/>
        </w:rPr>
      </w:pPr>
      <w:r w:rsidRPr="00657FE9">
        <w:rPr>
          <w:rStyle w:val="read"/>
          <w:rFonts w:ascii="宋体" w:hAnsi="宋体" w:cs="宋体"/>
          <w:b/>
          <w:sz w:val="24"/>
        </w:rPr>
        <w:fldChar w:fldCharType="begin"/>
      </w:r>
      <w:r w:rsidR="000028C2" w:rsidRPr="00657FE9">
        <w:rPr>
          <w:rStyle w:val="read"/>
          <w:rFonts w:ascii="宋体" w:hAnsi="宋体" w:cs="宋体"/>
          <w:b/>
          <w:sz w:val="24"/>
        </w:rPr>
        <w:instrText>TOC \o "1-1" \h \z \u</w:instrText>
      </w:r>
      <w:r w:rsidRPr="00657FE9">
        <w:rPr>
          <w:rStyle w:val="read"/>
          <w:rFonts w:ascii="宋体" w:hAnsi="宋体" w:cs="宋体"/>
          <w:b/>
          <w:sz w:val="24"/>
        </w:rPr>
        <w:fldChar w:fldCharType="separate"/>
      </w:r>
      <w:hyperlink w:anchor="_Toc256000000" w:history="1">
        <w:r w:rsidRPr="009E26D0">
          <w:rPr>
            <w:rStyle w:val="a9"/>
            <w:noProof/>
          </w:rPr>
          <w:t>第一部分</w:t>
        </w:r>
        <w:r w:rsidRPr="009E26D0">
          <w:rPr>
            <w:rStyle w:val="a9"/>
            <w:noProof/>
          </w:rPr>
          <w:t xml:space="preserve">  </w:t>
        </w:r>
        <w:r w:rsidRPr="009E26D0">
          <w:rPr>
            <w:rStyle w:val="a9"/>
            <w:noProof/>
          </w:rPr>
          <w:t>前言</w:t>
        </w:r>
        <w:r>
          <w:rPr>
            <w:noProof/>
          </w:rPr>
          <w:tab/>
        </w:r>
        <w:r>
          <w:rPr>
            <w:noProof/>
          </w:rPr>
          <w:fldChar w:fldCharType="begin"/>
        </w:r>
        <w:r>
          <w:rPr>
            <w:noProof/>
          </w:rPr>
          <w:instrText xml:space="preserve"> PAGEREF _Toc256000000 \h </w:instrText>
        </w:r>
        <w:r>
          <w:rPr>
            <w:noProof/>
          </w:rPr>
        </w:r>
        <w:r>
          <w:rPr>
            <w:noProof/>
          </w:rPr>
          <w:fldChar w:fldCharType="separate"/>
        </w:r>
        <w:r w:rsidR="00615242">
          <w:rPr>
            <w:noProof/>
          </w:rPr>
          <w:t>2</w:t>
        </w:r>
        <w:r>
          <w:rPr>
            <w:noProof/>
          </w:rPr>
          <w:fldChar w:fldCharType="end"/>
        </w:r>
      </w:hyperlink>
    </w:p>
    <w:p w14:paraId="3840C5DF" w14:textId="332DE0D9" w:rsidR="003213F8" w:rsidRDefault="00A4374F">
      <w:pPr>
        <w:pStyle w:val="10"/>
        <w:rPr>
          <w:rFonts w:asciiTheme="minorHAnsi" w:hAnsiTheme="minorHAnsi"/>
          <w:noProof/>
        </w:rPr>
      </w:pPr>
      <w:hyperlink w:anchor="_Toc256000001" w:history="1">
        <w:r w:rsidR="003D167A" w:rsidRPr="009E26D0">
          <w:rPr>
            <w:rStyle w:val="a9"/>
            <w:noProof/>
          </w:rPr>
          <w:t>第二部分</w:t>
        </w:r>
        <w:r w:rsidR="003D167A" w:rsidRPr="009E26D0">
          <w:rPr>
            <w:rStyle w:val="a9"/>
            <w:noProof/>
          </w:rPr>
          <w:t xml:space="preserve">  </w:t>
        </w:r>
        <w:r w:rsidR="003D167A" w:rsidRPr="009E26D0">
          <w:rPr>
            <w:rStyle w:val="a9"/>
            <w:noProof/>
          </w:rPr>
          <w:t>释义</w:t>
        </w:r>
        <w:r w:rsidR="003D167A">
          <w:rPr>
            <w:noProof/>
          </w:rPr>
          <w:tab/>
        </w:r>
        <w:r w:rsidR="003D167A">
          <w:rPr>
            <w:noProof/>
          </w:rPr>
          <w:fldChar w:fldCharType="begin"/>
        </w:r>
        <w:r w:rsidR="003D167A">
          <w:rPr>
            <w:noProof/>
          </w:rPr>
          <w:instrText xml:space="preserve"> PAGEREF _Toc256000001 \h </w:instrText>
        </w:r>
        <w:r w:rsidR="003D167A">
          <w:rPr>
            <w:noProof/>
          </w:rPr>
        </w:r>
        <w:r w:rsidR="003D167A">
          <w:rPr>
            <w:noProof/>
          </w:rPr>
          <w:fldChar w:fldCharType="separate"/>
        </w:r>
        <w:r w:rsidR="00615242">
          <w:rPr>
            <w:noProof/>
          </w:rPr>
          <w:t>5</w:t>
        </w:r>
        <w:r w:rsidR="003D167A">
          <w:rPr>
            <w:noProof/>
          </w:rPr>
          <w:fldChar w:fldCharType="end"/>
        </w:r>
      </w:hyperlink>
    </w:p>
    <w:p w14:paraId="27F3D4BB" w14:textId="0217C2DF" w:rsidR="003213F8" w:rsidRDefault="00A4374F">
      <w:pPr>
        <w:pStyle w:val="10"/>
        <w:rPr>
          <w:rFonts w:asciiTheme="minorHAnsi" w:hAnsiTheme="minorHAnsi"/>
          <w:noProof/>
        </w:rPr>
      </w:pPr>
      <w:hyperlink w:anchor="_Toc256000002" w:history="1">
        <w:r w:rsidR="003D167A" w:rsidRPr="009E26D0">
          <w:rPr>
            <w:rStyle w:val="a9"/>
            <w:noProof/>
          </w:rPr>
          <w:t>第三部分</w:t>
        </w:r>
        <w:r w:rsidR="003D167A" w:rsidRPr="009E26D0">
          <w:rPr>
            <w:rStyle w:val="a9"/>
            <w:noProof/>
          </w:rPr>
          <w:t xml:space="preserve">  </w:t>
        </w:r>
        <w:r w:rsidR="003D167A" w:rsidRPr="009E26D0">
          <w:rPr>
            <w:rStyle w:val="a9"/>
            <w:noProof/>
          </w:rPr>
          <w:t>基金的基本情况</w:t>
        </w:r>
        <w:r w:rsidR="003D167A">
          <w:rPr>
            <w:noProof/>
          </w:rPr>
          <w:tab/>
        </w:r>
        <w:r w:rsidR="003D167A">
          <w:rPr>
            <w:noProof/>
          </w:rPr>
          <w:fldChar w:fldCharType="begin"/>
        </w:r>
        <w:r w:rsidR="003D167A">
          <w:rPr>
            <w:noProof/>
          </w:rPr>
          <w:instrText xml:space="preserve"> PAGEREF _Toc256000002 \h </w:instrText>
        </w:r>
        <w:r w:rsidR="003D167A">
          <w:rPr>
            <w:noProof/>
          </w:rPr>
        </w:r>
        <w:r w:rsidR="003D167A">
          <w:rPr>
            <w:noProof/>
          </w:rPr>
          <w:fldChar w:fldCharType="separate"/>
        </w:r>
        <w:r w:rsidR="00615242">
          <w:rPr>
            <w:noProof/>
          </w:rPr>
          <w:t>12</w:t>
        </w:r>
        <w:r w:rsidR="003D167A">
          <w:rPr>
            <w:noProof/>
          </w:rPr>
          <w:fldChar w:fldCharType="end"/>
        </w:r>
      </w:hyperlink>
    </w:p>
    <w:p w14:paraId="5034BFCE" w14:textId="649B96E9" w:rsidR="003213F8" w:rsidRDefault="00A4374F">
      <w:pPr>
        <w:pStyle w:val="10"/>
        <w:rPr>
          <w:rFonts w:asciiTheme="minorHAnsi" w:hAnsiTheme="minorHAnsi"/>
          <w:noProof/>
        </w:rPr>
      </w:pPr>
      <w:hyperlink w:anchor="_Toc256000003" w:history="1">
        <w:r w:rsidR="003D167A" w:rsidRPr="009E26D0">
          <w:rPr>
            <w:rStyle w:val="a9"/>
            <w:noProof/>
          </w:rPr>
          <w:t>第四部分</w:t>
        </w:r>
        <w:r w:rsidR="003D167A" w:rsidRPr="009E26D0">
          <w:rPr>
            <w:rStyle w:val="a9"/>
            <w:noProof/>
          </w:rPr>
          <w:t xml:space="preserve">  </w:t>
        </w:r>
        <w:r w:rsidR="003D167A" w:rsidRPr="009E26D0">
          <w:rPr>
            <w:rStyle w:val="a9"/>
            <w:noProof/>
          </w:rPr>
          <w:t>基金份额的发售</w:t>
        </w:r>
        <w:r w:rsidR="003D167A">
          <w:rPr>
            <w:noProof/>
          </w:rPr>
          <w:tab/>
        </w:r>
        <w:r w:rsidR="003D167A">
          <w:rPr>
            <w:noProof/>
          </w:rPr>
          <w:fldChar w:fldCharType="begin"/>
        </w:r>
        <w:r w:rsidR="003D167A">
          <w:rPr>
            <w:noProof/>
          </w:rPr>
          <w:instrText xml:space="preserve"> PAGEREF _Toc256000003 \h </w:instrText>
        </w:r>
        <w:r w:rsidR="003D167A">
          <w:rPr>
            <w:noProof/>
          </w:rPr>
        </w:r>
        <w:r w:rsidR="003D167A">
          <w:rPr>
            <w:noProof/>
          </w:rPr>
          <w:fldChar w:fldCharType="separate"/>
        </w:r>
        <w:r w:rsidR="00615242">
          <w:rPr>
            <w:noProof/>
          </w:rPr>
          <w:t>14</w:t>
        </w:r>
        <w:r w:rsidR="003D167A">
          <w:rPr>
            <w:noProof/>
          </w:rPr>
          <w:fldChar w:fldCharType="end"/>
        </w:r>
      </w:hyperlink>
    </w:p>
    <w:p w14:paraId="12AF32AE" w14:textId="3FF967CD" w:rsidR="003213F8" w:rsidRDefault="00A4374F">
      <w:pPr>
        <w:pStyle w:val="10"/>
        <w:rPr>
          <w:rFonts w:asciiTheme="minorHAnsi" w:hAnsiTheme="minorHAnsi"/>
          <w:noProof/>
        </w:rPr>
      </w:pPr>
      <w:hyperlink w:anchor="_Toc256000004" w:history="1">
        <w:r w:rsidR="003D167A" w:rsidRPr="009E26D0">
          <w:rPr>
            <w:rStyle w:val="a9"/>
            <w:noProof/>
          </w:rPr>
          <w:t>第五部分</w:t>
        </w:r>
        <w:r w:rsidR="003D167A" w:rsidRPr="009E26D0">
          <w:rPr>
            <w:rStyle w:val="a9"/>
            <w:noProof/>
          </w:rPr>
          <w:t xml:space="preserve">  </w:t>
        </w:r>
        <w:r w:rsidR="003D167A" w:rsidRPr="009E26D0">
          <w:rPr>
            <w:rStyle w:val="a9"/>
            <w:noProof/>
          </w:rPr>
          <w:t>基金备案</w:t>
        </w:r>
        <w:r w:rsidR="003D167A">
          <w:rPr>
            <w:noProof/>
          </w:rPr>
          <w:tab/>
        </w:r>
        <w:r w:rsidR="003D167A">
          <w:rPr>
            <w:noProof/>
          </w:rPr>
          <w:fldChar w:fldCharType="begin"/>
        </w:r>
        <w:r w:rsidR="003D167A">
          <w:rPr>
            <w:noProof/>
          </w:rPr>
          <w:instrText xml:space="preserve"> PAGEREF _Toc256000004 \h </w:instrText>
        </w:r>
        <w:r w:rsidR="003D167A">
          <w:rPr>
            <w:noProof/>
          </w:rPr>
        </w:r>
        <w:r w:rsidR="003D167A">
          <w:rPr>
            <w:noProof/>
          </w:rPr>
          <w:fldChar w:fldCharType="separate"/>
        </w:r>
        <w:r w:rsidR="00615242">
          <w:rPr>
            <w:noProof/>
          </w:rPr>
          <w:t>16</w:t>
        </w:r>
        <w:r w:rsidR="003D167A">
          <w:rPr>
            <w:noProof/>
          </w:rPr>
          <w:fldChar w:fldCharType="end"/>
        </w:r>
      </w:hyperlink>
    </w:p>
    <w:p w14:paraId="663805D0" w14:textId="5E0FF751" w:rsidR="003213F8" w:rsidRDefault="00A4374F">
      <w:pPr>
        <w:pStyle w:val="10"/>
        <w:rPr>
          <w:rFonts w:asciiTheme="minorHAnsi" w:hAnsiTheme="minorHAnsi"/>
          <w:noProof/>
        </w:rPr>
      </w:pPr>
      <w:hyperlink w:anchor="_Toc256000005" w:history="1">
        <w:r w:rsidR="003D167A" w:rsidRPr="009E26D0">
          <w:rPr>
            <w:rStyle w:val="a9"/>
            <w:noProof/>
          </w:rPr>
          <w:t>第六部分</w:t>
        </w:r>
        <w:r w:rsidR="003D167A" w:rsidRPr="009E26D0">
          <w:rPr>
            <w:rStyle w:val="a9"/>
            <w:noProof/>
          </w:rPr>
          <w:t xml:space="preserve">  </w:t>
        </w:r>
        <w:r w:rsidR="003D167A" w:rsidRPr="009E26D0">
          <w:rPr>
            <w:rStyle w:val="a9"/>
            <w:noProof/>
          </w:rPr>
          <w:t>基金份额的申购与赎回</w:t>
        </w:r>
        <w:r w:rsidR="003D167A">
          <w:rPr>
            <w:noProof/>
          </w:rPr>
          <w:tab/>
        </w:r>
        <w:r w:rsidR="003D167A">
          <w:rPr>
            <w:noProof/>
          </w:rPr>
          <w:fldChar w:fldCharType="begin"/>
        </w:r>
        <w:r w:rsidR="003D167A">
          <w:rPr>
            <w:noProof/>
          </w:rPr>
          <w:instrText xml:space="preserve"> PAGEREF _Toc256000005 \h </w:instrText>
        </w:r>
        <w:r w:rsidR="003D167A">
          <w:rPr>
            <w:noProof/>
          </w:rPr>
        </w:r>
        <w:r w:rsidR="003D167A">
          <w:rPr>
            <w:noProof/>
          </w:rPr>
          <w:fldChar w:fldCharType="separate"/>
        </w:r>
        <w:r w:rsidR="00615242">
          <w:rPr>
            <w:noProof/>
          </w:rPr>
          <w:t>17</w:t>
        </w:r>
        <w:r w:rsidR="003D167A">
          <w:rPr>
            <w:noProof/>
          </w:rPr>
          <w:fldChar w:fldCharType="end"/>
        </w:r>
      </w:hyperlink>
    </w:p>
    <w:p w14:paraId="0E43FD25" w14:textId="258FC215" w:rsidR="003213F8" w:rsidRDefault="00A4374F">
      <w:pPr>
        <w:pStyle w:val="10"/>
        <w:rPr>
          <w:rFonts w:asciiTheme="minorHAnsi" w:hAnsiTheme="minorHAnsi"/>
          <w:noProof/>
        </w:rPr>
      </w:pPr>
      <w:hyperlink w:anchor="_Toc256000006" w:history="1">
        <w:r w:rsidR="003D167A" w:rsidRPr="009E26D0">
          <w:rPr>
            <w:rStyle w:val="a9"/>
            <w:noProof/>
          </w:rPr>
          <w:t>第七部分</w:t>
        </w:r>
        <w:r w:rsidR="003D167A" w:rsidRPr="009E26D0">
          <w:rPr>
            <w:rStyle w:val="a9"/>
            <w:noProof/>
          </w:rPr>
          <w:t xml:space="preserve">  </w:t>
        </w:r>
        <w:r w:rsidR="003D167A" w:rsidRPr="009E26D0">
          <w:rPr>
            <w:rStyle w:val="a9"/>
            <w:noProof/>
          </w:rPr>
          <w:t>基金合同当事人及权利义务</w:t>
        </w:r>
        <w:r w:rsidR="003D167A">
          <w:rPr>
            <w:noProof/>
          </w:rPr>
          <w:tab/>
        </w:r>
        <w:r w:rsidR="003D167A">
          <w:rPr>
            <w:noProof/>
          </w:rPr>
          <w:fldChar w:fldCharType="begin"/>
        </w:r>
        <w:r w:rsidR="003D167A">
          <w:rPr>
            <w:noProof/>
          </w:rPr>
          <w:instrText xml:space="preserve"> PAGEREF _Toc256000006 \h </w:instrText>
        </w:r>
        <w:r w:rsidR="003D167A">
          <w:rPr>
            <w:noProof/>
          </w:rPr>
        </w:r>
        <w:r w:rsidR="003D167A">
          <w:rPr>
            <w:noProof/>
          </w:rPr>
          <w:fldChar w:fldCharType="separate"/>
        </w:r>
        <w:r w:rsidR="00615242">
          <w:rPr>
            <w:noProof/>
          </w:rPr>
          <w:t>27</w:t>
        </w:r>
        <w:r w:rsidR="003D167A">
          <w:rPr>
            <w:noProof/>
          </w:rPr>
          <w:fldChar w:fldCharType="end"/>
        </w:r>
      </w:hyperlink>
    </w:p>
    <w:p w14:paraId="61531C3A" w14:textId="17156970" w:rsidR="003213F8" w:rsidRDefault="00A4374F">
      <w:pPr>
        <w:pStyle w:val="10"/>
        <w:rPr>
          <w:rFonts w:asciiTheme="minorHAnsi" w:hAnsiTheme="minorHAnsi"/>
          <w:noProof/>
        </w:rPr>
      </w:pPr>
      <w:hyperlink w:anchor="_Toc256000007" w:history="1">
        <w:r w:rsidR="003D167A" w:rsidRPr="009E26D0">
          <w:rPr>
            <w:rStyle w:val="a9"/>
            <w:noProof/>
          </w:rPr>
          <w:t>第八部分</w:t>
        </w:r>
        <w:r w:rsidR="003D167A" w:rsidRPr="009E26D0">
          <w:rPr>
            <w:rStyle w:val="a9"/>
            <w:noProof/>
          </w:rPr>
          <w:t xml:space="preserve">  </w:t>
        </w:r>
        <w:r w:rsidR="003D167A" w:rsidRPr="009E26D0">
          <w:rPr>
            <w:rStyle w:val="a9"/>
            <w:noProof/>
          </w:rPr>
          <w:t>基金份额持有人大会</w:t>
        </w:r>
        <w:r w:rsidR="003D167A">
          <w:rPr>
            <w:noProof/>
          </w:rPr>
          <w:tab/>
        </w:r>
        <w:r w:rsidR="003D167A">
          <w:rPr>
            <w:noProof/>
          </w:rPr>
          <w:fldChar w:fldCharType="begin"/>
        </w:r>
        <w:r w:rsidR="003D167A">
          <w:rPr>
            <w:noProof/>
          </w:rPr>
          <w:instrText xml:space="preserve"> PAGEREF _Toc256000007 \h </w:instrText>
        </w:r>
        <w:r w:rsidR="003D167A">
          <w:rPr>
            <w:noProof/>
          </w:rPr>
        </w:r>
        <w:r w:rsidR="003D167A">
          <w:rPr>
            <w:noProof/>
          </w:rPr>
          <w:fldChar w:fldCharType="separate"/>
        </w:r>
        <w:r w:rsidR="00615242">
          <w:rPr>
            <w:noProof/>
          </w:rPr>
          <w:t>35</w:t>
        </w:r>
        <w:r w:rsidR="003D167A">
          <w:rPr>
            <w:noProof/>
          </w:rPr>
          <w:fldChar w:fldCharType="end"/>
        </w:r>
      </w:hyperlink>
    </w:p>
    <w:p w14:paraId="4C6EC838" w14:textId="2B7A9DF1" w:rsidR="003213F8" w:rsidRDefault="00A4374F">
      <w:pPr>
        <w:pStyle w:val="10"/>
        <w:rPr>
          <w:rFonts w:asciiTheme="minorHAnsi" w:hAnsiTheme="minorHAnsi"/>
          <w:noProof/>
        </w:rPr>
      </w:pPr>
      <w:hyperlink w:anchor="_Toc256000008" w:history="1">
        <w:r w:rsidR="003D167A" w:rsidRPr="009E26D0">
          <w:rPr>
            <w:rStyle w:val="a9"/>
            <w:noProof/>
          </w:rPr>
          <w:t>第九部分</w:t>
        </w:r>
        <w:r w:rsidR="003D167A" w:rsidRPr="009E26D0">
          <w:rPr>
            <w:rStyle w:val="a9"/>
            <w:noProof/>
          </w:rPr>
          <w:t xml:space="preserve">  </w:t>
        </w:r>
        <w:r w:rsidR="003D167A" w:rsidRPr="009E26D0">
          <w:rPr>
            <w:rStyle w:val="a9"/>
            <w:noProof/>
          </w:rPr>
          <w:t>基金管理人、基金托管人的更换条件和程序</w:t>
        </w:r>
        <w:r w:rsidR="003D167A">
          <w:rPr>
            <w:noProof/>
          </w:rPr>
          <w:tab/>
        </w:r>
        <w:r w:rsidR="003D167A">
          <w:rPr>
            <w:noProof/>
          </w:rPr>
          <w:fldChar w:fldCharType="begin"/>
        </w:r>
        <w:r w:rsidR="003D167A">
          <w:rPr>
            <w:noProof/>
          </w:rPr>
          <w:instrText xml:space="preserve"> PAGEREF _Toc256000008 \h </w:instrText>
        </w:r>
        <w:r w:rsidR="003D167A">
          <w:rPr>
            <w:noProof/>
          </w:rPr>
        </w:r>
        <w:r w:rsidR="003D167A">
          <w:rPr>
            <w:noProof/>
          </w:rPr>
          <w:fldChar w:fldCharType="separate"/>
        </w:r>
        <w:r w:rsidR="00615242">
          <w:rPr>
            <w:noProof/>
          </w:rPr>
          <w:t>44</w:t>
        </w:r>
        <w:r w:rsidR="003D167A">
          <w:rPr>
            <w:noProof/>
          </w:rPr>
          <w:fldChar w:fldCharType="end"/>
        </w:r>
      </w:hyperlink>
    </w:p>
    <w:p w14:paraId="5103DC71" w14:textId="1A09FF7E" w:rsidR="003213F8" w:rsidRDefault="00A4374F">
      <w:pPr>
        <w:pStyle w:val="10"/>
        <w:rPr>
          <w:rFonts w:asciiTheme="minorHAnsi" w:hAnsiTheme="minorHAnsi"/>
          <w:noProof/>
        </w:rPr>
      </w:pPr>
      <w:hyperlink w:anchor="_Toc256000009" w:history="1">
        <w:r w:rsidR="003D167A" w:rsidRPr="009E26D0">
          <w:rPr>
            <w:rStyle w:val="a9"/>
            <w:noProof/>
          </w:rPr>
          <w:t>第十部分</w:t>
        </w:r>
        <w:r w:rsidR="003D167A" w:rsidRPr="009E26D0">
          <w:rPr>
            <w:rStyle w:val="a9"/>
            <w:noProof/>
          </w:rPr>
          <w:t xml:space="preserve">  </w:t>
        </w:r>
        <w:r w:rsidR="003D167A" w:rsidRPr="009E26D0">
          <w:rPr>
            <w:rStyle w:val="a9"/>
            <w:noProof/>
          </w:rPr>
          <w:t>基金的托管</w:t>
        </w:r>
        <w:r w:rsidR="003D167A">
          <w:rPr>
            <w:noProof/>
          </w:rPr>
          <w:tab/>
        </w:r>
        <w:r w:rsidR="003D167A">
          <w:rPr>
            <w:noProof/>
          </w:rPr>
          <w:fldChar w:fldCharType="begin"/>
        </w:r>
        <w:r w:rsidR="003D167A">
          <w:rPr>
            <w:noProof/>
          </w:rPr>
          <w:instrText xml:space="preserve"> PAGEREF _Toc256000009 \h </w:instrText>
        </w:r>
        <w:r w:rsidR="003D167A">
          <w:rPr>
            <w:noProof/>
          </w:rPr>
        </w:r>
        <w:r w:rsidR="003D167A">
          <w:rPr>
            <w:noProof/>
          </w:rPr>
          <w:fldChar w:fldCharType="separate"/>
        </w:r>
        <w:r w:rsidR="00615242">
          <w:rPr>
            <w:noProof/>
          </w:rPr>
          <w:t>47</w:t>
        </w:r>
        <w:r w:rsidR="003D167A">
          <w:rPr>
            <w:noProof/>
          </w:rPr>
          <w:fldChar w:fldCharType="end"/>
        </w:r>
      </w:hyperlink>
    </w:p>
    <w:p w14:paraId="1C2CBB90" w14:textId="0C9B4F8E" w:rsidR="003213F8" w:rsidRDefault="00A4374F">
      <w:pPr>
        <w:pStyle w:val="10"/>
        <w:rPr>
          <w:rFonts w:asciiTheme="minorHAnsi" w:hAnsiTheme="minorHAnsi"/>
          <w:noProof/>
        </w:rPr>
      </w:pPr>
      <w:hyperlink w:anchor="_Toc256000010" w:history="1">
        <w:r w:rsidR="003D167A" w:rsidRPr="009E26D0">
          <w:rPr>
            <w:rStyle w:val="a9"/>
            <w:noProof/>
          </w:rPr>
          <w:t>第十一部分</w:t>
        </w:r>
        <w:r w:rsidR="003D167A" w:rsidRPr="009E26D0">
          <w:rPr>
            <w:rStyle w:val="a9"/>
            <w:noProof/>
          </w:rPr>
          <w:t xml:space="preserve">  </w:t>
        </w:r>
        <w:r w:rsidR="003D167A" w:rsidRPr="009E26D0">
          <w:rPr>
            <w:rStyle w:val="a9"/>
            <w:noProof/>
          </w:rPr>
          <w:t>基金份额的登记</w:t>
        </w:r>
        <w:r w:rsidR="003D167A">
          <w:rPr>
            <w:noProof/>
          </w:rPr>
          <w:tab/>
        </w:r>
        <w:r w:rsidR="003D167A">
          <w:rPr>
            <w:noProof/>
          </w:rPr>
          <w:fldChar w:fldCharType="begin"/>
        </w:r>
        <w:r w:rsidR="003D167A">
          <w:rPr>
            <w:noProof/>
          </w:rPr>
          <w:instrText xml:space="preserve"> PAGEREF _Toc256000010 \h </w:instrText>
        </w:r>
        <w:r w:rsidR="003D167A">
          <w:rPr>
            <w:noProof/>
          </w:rPr>
        </w:r>
        <w:r w:rsidR="003D167A">
          <w:rPr>
            <w:noProof/>
          </w:rPr>
          <w:fldChar w:fldCharType="separate"/>
        </w:r>
        <w:r w:rsidR="00615242">
          <w:rPr>
            <w:noProof/>
          </w:rPr>
          <w:t>48</w:t>
        </w:r>
        <w:r w:rsidR="003D167A">
          <w:rPr>
            <w:noProof/>
          </w:rPr>
          <w:fldChar w:fldCharType="end"/>
        </w:r>
      </w:hyperlink>
    </w:p>
    <w:p w14:paraId="7B2434FD" w14:textId="3D47B8B4" w:rsidR="003213F8" w:rsidRDefault="00A4374F">
      <w:pPr>
        <w:pStyle w:val="10"/>
        <w:rPr>
          <w:rFonts w:asciiTheme="minorHAnsi" w:hAnsiTheme="minorHAnsi"/>
          <w:noProof/>
        </w:rPr>
      </w:pPr>
      <w:hyperlink w:anchor="_Toc256000011" w:history="1">
        <w:r w:rsidR="003D167A" w:rsidRPr="009E26D0">
          <w:rPr>
            <w:rStyle w:val="a9"/>
            <w:noProof/>
          </w:rPr>
          <w:t>第十二部分</w:t>
        </w:r>
        <w:r w:rsidR="003D167A" w:rsidRPr="009E26D0">
          <w:rPr>
            <w:rStyle w:val="a9"/>
            <w:noProof/>
          </w:rPr>
          <w:t xml:space="preserve">  </w:t>
        </w:r>
        <w:r w:rsidR="003D167A" w:rsidRPr="009E26D0">
          <w:rPr>
            <w:rStyle w:val="a9"/>
            <w:noProof/>
          </w:rPr>
          <w:t>基金的投资</w:t>
        </w:r>
        <w:r w:rsidR="003D167A">
          <w:rPr>
            <w:noProof/>
          </w:rPr>
          <w:tab/>
        </w:r>
        <w:r w:rsidR="003D167A">
          <w:rPr>
            <w:noProof/>
          </w:rPr>
          <w:fldChar w:fldCharType="begin"/>
        </w:r>
        <w:r w:rsidR="003D167A">
          <w:rPr>
            <w:noProof/>
          </w:rPr>
          <w:instrText xml:space="preserve"> PAGEREF _Toc256000011 \h </w:instrText>
        </w:r>
        <w:r w:rsidR="003D167A">
          <w:rPr>
            <w:noProof/>
          </w:rPr>
        </w:r>
        <w:r w:rsidR="003D167A">
          <w:rPr>
            <w:noProof/>
          </w:rPr>
          <w:fldChar w:fldCharType="separate"/>
        </w:r>
        <w:r w:rsidR="00615242">
          <w:rPr>
            <w:noProof/>
          </w:rPr>
          <w:t>50</w:t>
        </w:r>
        <w:r w:rsidR="003D167A">
          <w:rPr>
            <w:noProof/>
          </w:rPr>
          <w:fldChar w:fldCharType="end"/>
        </w:r>
      </w:hyperlink>
    </w:p>
    <w:p w14:paraId="3711B829" w14:textId="03859B20" w:rsidR="003213F8" w:rsidRDefault="00A4374F">
      <w:pPr>
        <w:pStyle w:val="10"/>
        <w:rPr>
          <w:rFonts w:asciiTheme="minorHAnsi" w:hAnsiTheme="minorHAnsi"/>
          <w:noProof/>
        </w:rPr>
      </w:pPr>
      <w:hyperlink w:anchor="_Toc256000012" w:history="1">
        <w:r w:rsidR="003D167A" w:rsidRPr="009E26D0">
          <w:rPr>
            <w:rStyle w:val="a9"/>
            <w:noProof/>
          </w:rPr>
          <w:t>第十三部分</w:t>
        </w:r>
        <w:r w:rsidR="003D167A" w:rsidRPr="009E26D0">
          <w:rPr>
            <w:rStyle w:val="a9"/>
            <w:noProof/>
          </w:rPr>
          <w:t xml:space="preserve">  </w:t>
        </w:r>
        <w:r w:rsidR="003D167A" w:rsidRPr="009E26D0">
          <w:rPr>
            <w:rStyle w:val="a9"/>
            <w:noProof/>
          </w:rPr>
          <w:t>基金的财产</w:t>
        </w:r>
        <w:r w:rsidR="003D167A">
          <w:rPr>
            <w:noProof/>
          </w:rPr>
          <w:tab/>
        </w:r>
        <w:r w:rsidR="003D167A">
          <w:rPr>
            <w:noProof/>
          </w:rPr>
          <w:fldChar w:fldCharType="begin"/>
        </w:r>
        <w:r w:rsidR="003D167A">
          <w:rPr>
            <w:noProof/>
          </w:rPr>
          <w:instrText xml:space="preserve"> PAGEREF _Toc256000012 \h </w:instrText>
        </w:r>
        <w:r w:rsidR="003D167A">
          <w:rPr>
            <w:noProof/>
          </w:rPr>
        </w:r>
        <w:r w:rsidR="003D167A">
          <w:rPr>
            <w:noProof/>
          </w:rPr>
          <w:fldChar w:fldCharType="separate"/>
        </w:r>
        <w:r w:rsidR="00615242">
          <w:rPr>
            <w:noProof/>
          </w:rPr>
          <w:t>63</w:t>
        </w:r>
        <w:r w:rsidR="003D167A">
          <w:rPr>
            <w:noProof/>
          </w:rPr>
          <w:fldChar w:fldCharType="end"/>
        </w:r>
      </w:hyperlink>
    </w:p>
    <w:p w14:paraId="3DD2C640" w14:textId="379CC3E9" w:rsidR="003213F8" w:rsidRDefault="00A4374F">
      <w:pPr>
        <w:pStyle w:val="10"/>
        <w:rPr>
          <w:rFonts w:asciiTheme="minorHAnsi" w:hAnsiTheme="minorHAnsi"/>
          <w:noProof/>
        </w:rPr>
      </w:pPr>
      <w:hyperlink w:anchor="_Toc256000013" w:history="1">
        <w:r w:rsidR="003D167A" w:rsidRPr="009E26D0">
          <w:rPr>
            <w:rStyle w:val="a9"/>
            <w:noProof/>
          </w:rPr>
          <w:t>第十四部分</w:t>
        </w:r>
        <w:r w:rsidR="003D167A" w:rsidRPr="009E26D0">
          <w:rPr>
            <w:rStyle w:val="a9"/>
            <w:noProof/>
          </w:rPr>
          <w:t xml:space="preserve">  </w:t>
        </w:r>
        <w:r w:rsidR="003D167A" w:rsidRPr="009E26D0">
          <w:rPr>
            <w:rStyle w:val="a9"/>
            <w:noProof/>
          </w:rPr>
          <w:t>基金资产估值</w:t>
        </w:r>
        <w:r w:rsidR="003D167A">
          <w:rPr>
            <w:noProof/>
          </w:rPr>
          <w:tab/>
        </w:r>
        <w:r w:rsidR="003D167A">
          <w:rPr>
            <w:noProof/>
          </w:rPr>
          <w:fldChar w:fldCharType="begin"/>
        </w:r>
        <w:r w:rsidR="003D167A">
          <w:rPr>
            <w:noProof/>
          </w:rPr>
          <w:instrText xml:space="preserve"> PAGEREF _Toc256000013 \h </w:instrText>
        </w:r>
        <w:r w:rsidR="003D167A">
          <w:rPr>
            <w:noProof/>
          </w:rPr>
        </w:r>
        <w:r w:rsidR="003D167A">
          <w:rPr>
            <w:noProof/>
          </w:rPr>
          <w:fldChar w:fldCharType="separate"/>
        </w:r>
        <w:r w:rsidR="00615242">
          <w:rPr>
            <w:noProof/>
          </w:rPr>
          <w:t>64</w:t>
        </w:r>
        <w:r w:rsidR="003D167A">
          <w:rPr>
            <w:noProof/>
          </w:rPr>
          <w:fldChar w:fldCharType="end"/>
        </w:r>
      </w:hyperlink>
    </w:p>
    <w:p w14:paraId="5A0C586B" w14:textId="14149EB5" w:rsidR="003213F8" w:rsidRDefault="00A4374F">
      <w:pPr>
        <w:pStyle w:val="10"/>
        <w:rPr>
          <w:rFonts w:asciiTheme="minorHAnsi" w:hAnsiTheme="minorHAnsi"/>
          <w:noProof/>
        </w:rPr>
      </w:pPr>
      <w:hyperlink w:anchor="_Toc256000014" w:history="1">
        <w:r w:rsidR="003D167A" w:rsidRPr="009E26D0">
          <w:rPr>
            <w:rStyle w:val="a9"/>
            <w:noProof/>
          </w:rPr>
          <w:t>第十五部分</w:t>
        </w:r>
        <w:r w:rsidR="003D167A" w:rsidRPr="009E26D0">
          <w:rPr>
            <w:rStyle w:val="a9"/>
            <w:noProof/>
          </w:rPr>
          <w:t xml:space="preserve">  </w:t>
        </w:r>
        <w:r w:rsidR="003D167A" w:rsidRPr="009E26D0">
          <w:rPr>
            <w:rStyle w:val="a9"/>
            <w:noProof/>
          </w:rPr>
          <w:t>基金费用与税收</w:t>
        </w:r>
        <w:r w:rsidR="003D167A">
          <w:rPr>
            <w:noProof/>
          </w:rPr>
          <w:tab/>
        </w:r>
        <w:r w:rsidR="003D167A">
          <w:rPr>
            <w:noProof/>
          </w:rPr>
          <w:fldChar w:fldCharType="begin"/>
        </w:r>
        <w:r w:rsidR="003D167A">
          <w:rPr>
            <w:noProof/>
          </w:rPr>
          <w:instrText xml:space="preserve"> PAGEREF _Toc256000014 \h </w:instrText>
        </w:r>
        <w:r w:rsidR="003D167A">
          <w:rPr>
            <w:noProof/>
          </w:rPr>
        </w:r>
        <w:r w:rsidR="003D167A">
          <w:rPr>
            <w:noProof/>
          </w:rPr>
          <w:fldChar w:fldCharType="separate"/>
        </w:r>
        <w:r w:rsidR="00615242">
          <w:rPr>
            <w:noProof/>
          </w:rPr>
          <w:t>71</w:t>
        </w:r>
        <w:r w:rsidR="003D167A">
          <w:rPr>
            <w:noProof/>
          </w:rPr>
          <w:fldChar w:fldCharType="end"/>
        </w:r>
      </w:hyperlink>
    </w:p>
    <w:p w14:paraId="26A8F28A" w14:textId="76195028" w:rsidR="003213F8" w:rsidRDefault="00A4374F">
      <w:pPr>
        <w:pStyle w:val="10"/>
        <w:rPr>
          <w:rFonts w:asciiTheme="minorHAnsi" w:hAnsiTheme="minorHAnsi"/>
          <w:noProof/>
        </w:rPr>
      </w:pPr>
      <w:hyperlink w:anchor="_Toc256000015" w:history="1">
        <w:r w:rsidR="003D167A" w:rsidRPr="009E26D0">
          <w:rPr>
            <w:rStyle w:val="a9"/>
            <w:noProof/>
          </w:rPr>
          <w:t>第十六部分</w:t>
        </w:r>
        <w:r w:rsidR="003D167A" w:rsidRPr="009E26D0">
          <w:rPr>
            <w:rStyle w:val="a9"/>
            <w:noProof/>
          </w:rPr>
          <w:t xml:space="preserve">  </w:t>
        </w:r>
        <w:r w:rsidR="003D167A" w:rsidRPr="009E26D0">
          <w:rPr>
            <w:rStyle w:val="a9"/>
            <w:noProof/>
          </w:rPr>
          <w:t>基金的收益与分配</w:t>
        </w:r>
        <w:r w:rsidR="003D167A">
          <w:rPr>
            <w:noProof/>
          </w:rPr>
          <w:tab/>
        </w:r>
        <w:r w:rsidR="003D167A">
          <w:rPr>
            <w:noProof/>
          </w:rPr>
          <w:fldChar w:fldCharType="begin"/>
        </w:r>
        <w:r w:rsidR="003D167A">
          <w:rPr>
            <w:noProof/>
          </w:rPr>
          <w:instrText xml:space="preserve"> PAGEREF _Toc256000015 \h </w:instrText>
        </w:r>
        <w:r w:rsidR="003D167A">
          <w:rPr>
            <w:noProof/>
          </w:rPr>
        </w:r>
        <w:r w:rsidR="003D167A">
          <w:rPr>
            <w:noProof/>
          </w:rPr>
          <w:fldChar w:fldCharType="separate"/>
        </w:r>
        <w:r w:rsidR="00615242">
          <w:rPr>
            <w:noProof/>
          </w:rPr>
          <w:t>74</w:t>
        </w:r>
        <w:r w:rsidR="003D167A">
          <w:rPr>
            <w:noProof/>
          </w:rPr>
          <w:fldChar w:fldCharType="end"/>
        </w:r>
      </w:hyperlink>
    </w:p>
    <w:p w14:paraId="3A6D60AA" w14:textId="4424F688" w:rsidR="003213F8" w:rsidRDefault="00A4374F">
      <w:pPr>
        <w:pStyle w:val="10"/>
        <w:rPr>
          <w:rFonts w:asciiTheme="minorHAnsi" w:hAnsiTheme="minorHAnsi"/>
          <w:noProof/>
        </w:rPr>
      </w:pPr>
      <w:hyperlink w:anchor="_Toc256000016" w:history="1">
        <w:r w:rsidR="003D167A" w:rsidRPr="009E26D0">
          <w:rPr>
            <w:rStyle w:val="a9"/>
            <w:noProof/>
          </w:rPr>
          <w:t>第十七部分</w:t>
        </w:r>
        <w:r w:rsidR="003D167A" w:rsidRPr="009E26D0">
          <w:rPr>
            <w:rStyle w:val="a9"/>
            <w:noProof/>
          </w:rPr>
          <w:t xml:space="preserve">  </w:t>
        </w:r>
        <w:r w:rsidR="003D167A" w:rsidRPr="009E26D0">
          <w:rPr>
            <w:rStyle w:val="a9"/>
            <w:noProof/>
          </w:rPr>
          <w:t>基金的会计与审计</w:t>
        </w:r>
        <w:r w:rsidR="003D167A">
          <w:rPr>
            <w:noProof/>
          </w:rPr>
          <w:tab/>
        </w:r>
        <w:r w:rsidR="003D167A">
          <w:rPr>
            <w:noProof/>
          </w:rPr>
          <w:fldChar w:fldCharType="begin"/>
        </w:r>
        <w:r w:rsidR="003D167A">
          <w:rPr>
            <w:noProof/>
          </w:rPr>
          <w:instrText xml:space="preserve"> PAGEREF _Toc256000016 \h </w:instrText>
        </w:r>
        <w:r w:rsidR="003D167A">
          <w:rPr>
            <w:noProof/>
          </w:rPr>
        </w:r>
        <w:r w:rsidR="003D167A">
          <w:rPr>
            <w:noProof/>
          </w:rPr>
          <w:fldChar w:fldCharType="separate"/>
        </w:r>
        <w:r w:rsidR="00615242">
          <w:rPr>
            <w:noProof/>
          </w:rPr>
          <w:t>76</w:t>
        </w:r>
        <w:r w:rsidR="003D167A">
          <w:rPr>
            <w:noProof/>
          </w:rPr>
          <w:fldChar w:fldCharType="end"/>
        </w:r>
      </w:hyperlink>
    </w:p>
    <w:p w14:paraId="11222D02" w14:textId="59129DBD" w:rsidR="003213F8" w:rsidRDefault="00A4374F">
      <w:pPr>
        <w:pStyle w:val="10"/>
        <w:rPr>
          <w:rFonts w:asciiTheme="minorHAnsi" w:hAnsiTheme="minorHAnsi"/>
          <w:noProof/>
        </w:rPr>
      </w:pPr>
      <w:hyperlink w:anchor="_Toc256000017" w:history="1">
        <w:r w:rsidR="003D167A" w:rsidRPr="009E26D0">
          <w:rPr>
            <w:rStyle w:val="a9"/>
            <w:noProof/>
          </w:rPr>
          <w:t>第十八部分</w:t>
        </w:r>
        <w:r w:rsidR="003D167A" w:rsidRPr="009E26D0">
          <w:rPr>
            <w:rStyle w:val="a9"/>
            <w:noProof/>
          </w:rPr>
          <w:t xml:space="preserve">  </w:t>
        </w:r>
        <w:r w:rsidR="003D167A" w:rsidRPr="009E26D0">
          <w:rPr>
            <w:rStyle w:val="a9"/>
            <w:noProof/>
          </w:rPr>
          <w:t>基金的信息披露</w:t>
        </w:r>
        <w:r w:rsidR="003D167A">
          <w:rPr>
            <w:noProof/>
          </w:rPr>
          <w:tab/>
        </w:r>
        <w:r w:rsidR="003D167A">
          <w:rPr>
            <w:noProof/>
          </w:rPr>
          <w:fldChar w:fldCharType="begin"/>
        </w:r>
        <w:r w:rsidR="003D167A">
          <w:rPr>
            <w:noProof/>
          </w:rPr>
          <w:instrText xml:space="preserve"> PAGEREF _Toc256000017 \h </w:instrText>
        </w:r>
        <w:r w:rsidR="003D167A">
          <w:rPr>
            <w:noProof/>
          </w:rPr>
        </w:r>
        <w:r w:rsidR="003D167A">
          <w:rPr>
            <w:noProof/>
          </w:rPr>
          <w:fldChar w:fldCharType="separate"/>
        </w:r>
        <w:r w:rsidR="00615242">
          <w:rPr>
            <w:noProof/>
          </w:rPr>
          <w:t>77</w:t>
        </w:r>
        <w:r w:rsidR="003D167A">
          <w:rPr>
            <w:noProof/>
          </w:rPr>
          <w:fldChar w:fldCharType="end"/>
        </w:r>
      </w:hyperlink>
    </w:p>
    <w:p w14:paraId="672551A2" w14:textId="3A3A4FCD" w:rsidR="003213F8" w:rsidRDefault="00A4374F">
      <w:pPr>
        <w:pStyle w:val="10"/>
        <w:rPr>
          <w:rFonts w:asciiTheme="minorHAnsi" w:hAnsiTheme="minorHAnsi"/>
          <w:noProof/>
        </w:rPr>
      </w:pPr>
      <w:hyperlink w:anchor="_Toc256000018" w:history="1">
        <w:r w:rsidR="003D167A" w:rsidRPr="009E26D0">
          <w:rPr>
            <w:rStyle w:val="a9"/>
            <w:noProof/>
          </w:rPr>
          <w:t>第十九部分</w:t>
        </w:r>
        <w:r w:rsidR="003D167A" w:rsidRPr="009E26D0">
          <w:rPr>
            <w:rStyle w:val="a9"/>
            <w:noProof/>
          </w:rPr>
          <w:t xml:space="preserve">  </w:t>
        </w:r>
        <w:r w:rsidR="003D167A" w:rsidRPr="009E26D0">
          <w:rPr>
            <w:rStyle w:val="a9"/>
            <w:noProof/>
          </w:rPr>
          <w:t>基金合同的变更、终止与基金财产的清算</w:t>
        </w:r>
        <w:r w:rsidR="003D167A">
          <w:rPr>
            <w:noProof/>
          </w:rPr>
          <w:tab/>
        </w:r>
        <w:r w:rsidR="003D167A">
          <w:rPr>
            <w:noProof/>
          </w:rPr>
          <w:fldChar w:fldCharType="begin"/>
        </w:r>
        <w:r w:rsidR="003D167A">
          <w:rPr>
            <w:noProof/>
          </w:rPr>
          <w:instrText xml:space="preserve"> PAGEREF _Toc256000018 \h </w:instrText>
        </w:r>
        <w:r w:rsidR="003D167A">
          <w:rPr>
            <w:noProof/>
          </w:rPr>
        </w:r>
        <w:r w:rsidR="003D167A">
          <w:rPr>
            <w:noProof/>
          </w:rPr>
          <w:fldChar w:fldCharType="separate"/>
        </w:r>
        <w:r w:rsidR="00615242">
          <w:rPr>
            <w:noProof/>
          </w:rPr>
          <w:t>85</w:t>
        </w:r>
        <w:r w:rsidR="003D167A">
          <w:rPr>
            <w:noProof/>
          </w:rPr>
          <w:fldChar w:fldCharType="end"/>
        </w:r>
      </w:hyperlink>
    </w:p>
    <w:p w14:paraId="1DB99EA0" w14:textId="6A1433C7" w:rsidR="003213F8" w:rsidRDefault="00A4374F">
      <w:pPr>
        <w:pStyle w:val="10"/>
        <w:rPr>
          <w:rFonts w:asciiTheme="minorHAnsi" w:hAnsiTheme="minorHAnsi"/>
          <w:noProof/>
        </w:rPr>
      </w:pPr>
      <w:hyperlink w:anchor="_Toc256000019" w:history="1">
        <w:r w:rsidR="003D167A" w:rsidRPr="009E26D0">
          <w:rPr>
            <w:rStyle w:val="a9"/>
            <w:noProof/>
          </w:rPr>
          <w:t>第二十部分</w:t>
        </w:r>
        <w:r w:rsidR="003D167A" w:rsidRPr="009E26D0">
          <w:rPr>
            <w:rStyle w:val="a9"/>
            <w:noProof/>
          </w:rPr>
          <w:t xml:space="preserve">  </w:t>
        </w:r>
        <w:r w:rsidR="003D167A" w:rsidRPr="009E26D0">
          <w:rPr>
            <w:rStyle w:val="a9"/>
            <w:noProof/>
          </w:rPr>
          <w:t>违约责任</w:t>
        </w:r>
        <w:r w:rsidR="003D167A">
          <w:rPr>
            <w:noProof/>
          </w:rPr>
          <w:tab/>
        </w:r>
        <w:r w:rsidR="003D167A">
          <w:rPr>
            <w:noProof/>
          </w:rPr>
          <w:fldChar w:fldCharType="begin"/>
        </w:r>
        <w:r w:rsidR="003D167A">
          <w:rPr>
            <w:noProof/>
          </w:rPr>
          <w:instrText xml:space="preserve"> PAGEREF _Toc256000019 \h </w:instrText>
        </w:r>
        <w:r w:rsidR="003D167A">
          <w:rPr>
            <w:noProof/>
          </w:rPr>
        </w:r>
        <w:r w:rsidR="003D167A">
          <w:rPr>
            <w:noProof/>
          </w:rPr>
          <w:fldChar w:fldCharType="separate"/>
        </w:r>
        <w:r w:rsidR="00615242">
          <w:rPr>
            <w:noProof/>
          </w:rPr>
          <w:t>88</w:t>
        </w:r>
        <w:r w:rsidR="003D167A">
          <w:rPr>
            <w:noProof/>
          </w:rPr>
          <w:fldChar w:fldCharType="end"/>
        </w:r>
      </w:hyperlink>
    </w:p>
    <w:p w14:paraId="750733BE" w14:textId="24133E00" w:rsidR="003213F8" w:rsidRDefault="00A4374F">
      <w:pPr>
        <w:pStyle w:val="10"/>
        <w:rPr>
          <w:rFonts w:asciiTheme="minorHAnsi" w:hAnsiTheme="minorHAnsi"/>
          <w:noProof/>
        </w:rPr>
      </w:pPr>
      <w:hyperlink w:anchor="_Toc256000020" w:history="1">
        <w:r w:rsidR="003D167A" w:rsidRPr="009E26D0">
          <w:rPr>
            <w:rStyle w:val="a9"/>
            <w:noProof/>
          </w:rPr>
          <w:t>第二十一部分</w:t>
        </w:r>
        <w:r w:rsidR="003D167A" w:rsidRPr="009E26D0">
          <w:rPr>
            <w:rStyle w:val="a9"/>
            <w:noProof/>
          </w:rPr>
          <w:t xml:space="preserve">  </w:t>
        </w:r>
        <w:r w:rsidR="003D167A" w:rsidRPr="009E26D0">
          <w:rPr>
            <w:rStyle w:val="a9"/>
            <w:noProof/>
          </w:rPr>
          <w:t>争议的处理和适用的法律</w:t>
        </w:r>
        <w:r w:rsidR="003D167A">
          <w:rPr>
            <w:noProof/>
          </w:rPr>
          <w:tab/>
        </w:r>
        <w:r w:rsidR="003D167A">
          <w:rPr>
            <w:noProof/>
          </w:rPr>
          <w:fldChar w:fldCharType="begin"/>
        </w:r>
        <w:r w:rsidR="003D167A">
          <w:rPr>
            <w:noProof/>
          </w:rPr>
          <w:instrText xml:space="preserve"> PAGEREF _Toc256000020 \h </w:instrText>
        </w:r>
        <w:r w:rsidR="003D167A">
          <w:rPr>
            <w:noProof/>
          </w:rPr>
        </w:r>
        <w:r w:rsidR="003D167A">
          <w:rPr>
            <w:noProof/>
          </w:rPr>
          <w:fldChar w:fldCharType="separate"/>
        </w:r>
        <w:r w:rsidR="00615242">
          <w:rPr>
            <w:noProof/>
          </w:rPr>
          <w:t>89</w:t>
        </w:r>
        <w:r w:rsidR="003D167A">
          <w:rPr>
            <w:noProof/>
          </w:rPr>
          <w:fldChar w:fldCharType="end"/>
        </w:r>
      </w:hyperlink>
    </w:p>
    <w:p w14:paraId="3058F523" w14:textId="113E3E46" w:rsidR="003213F8" w:rsidRDefault="00A4374F">
      <w:pPr>
        <w:pStyle w:val="10"/>
        <w:rPr>
          <w:rFonts w:asciiTheme="minorHAnsi" w:hAnsiTheme="minorHAnsi"/>
          <w:noProof/>
        </w:rPr>
      </w:pPr>
      <w:hyperlink w:anchor="_Toc256000021" w:history="1">
        <w:r w:rsidR="003D167A" w:rsidRPr="009E26D0">
          <w:rPr>
            <w:rStyle w:val="a9"/>
            <w:noProof/>
          </w:rPr>
          <w:t>第二十二部分</w:t>
        </w:r>
        <w:r w:rsidR="003D167A" w:rsidRPr="009E26D0">
          <w:rPr>
            <w:rStyle w:val="a9"/>
            <w:noProof/>
          </w:rPr>
          <w:t xml:space="preserve">  </w:t>
        </w:r>
        <w:r w:rsidR="003D167A" w:rsidRPr="009E26D0">
          <w:rPr>
            <w:rStyle w:val="a9"/>
            <w:noProof/>
          </w:rPr>
          <w:t>基金合同的效力</w:t>
        </w:r>
        <w:r w:rsidR="003D167A">
          <w:rPr>
            <w:noProof/>
          </w:rPr>
          <w:tab/>
        </w:r>
        <w:r w:rsidR="003D167A">
          <w:rPr>
            <w:noProof/>
          </w:rPr>
          <w:fldChar w:fldCharType="begin"/>
        </w:r>
        <w:r w:rsidR="003D167A">
          <w:rPr>
            <w:noProof/>
          </w:rPr>
          <w:instrText xml:space="preserve"> PAGEREF _Toc256000021 \h </w:instrText>
        </w:r>
        <w:r w:rsidR="003D167A">
          <w:rPr>
            <w:noProof/>
          </w:rPr>
        </w:r>
        <w:r w:rsidR="003D167A">
          <w:rPr>
            <w:noProof/>
          </w:rPr>
          <w:fldChar w:fldCharType="separate"/>
        </w:r>
        <w:r w:rsidR="00615242">
          <w:rPr>
            <w:noProof/>
          </w:rPr>
          <w:t>90</w:t>
        </w:r>
        <w:r w:rsidR="003D167A">
          <w:rPr>
            <w:noProof/>
          </w:rPr>
          <w:fldChar w:fldCharType="end"/>
        </w:r>
      </w:hyperlink>
    </w:p>
    <w:p w14:paraId="5FC115F5" w14:textId="1BE7C6B8" w:rsidR="003213F8" w:rsidRDefault="00A4374F">
      <w:pPr>
        <w:pStyle w:val="10"/>
        <w:rPr>
          <w:rFonts w:asciiTheme="minorHAnsi" w:hAnsiTheme="minorHAnsi"/>
          <w:noProof/>
        </w:rPr>
      </w:pPr>
      <w:hyperlink w:anchor="_Toc256000022" w:history="1">
        <w:r w:rsidR="003D167A" w:rsidRPr="009E26D0">
          <w:rPr>
            <w:rStyle w:val="a9"/>
            <w:noProof/>
          </w:rPr>
          <w:t>第二十三部分</w:t>
        </w:r>
        <w:r w:rsidR="003D167A" w:rsidRPr="009E26D0">
          <w:rPr>
            <w:rStyle w:val="a9"/>
            <w:noProof/>
          </w:rPr>
          <w:t xml:space="preserve">  </w:t>
        </w:r>
        <w:r w:rsidR="003D167A" w:rsidRPr="009E26D0">
          <w:rPr>
            <w:rStyle w:val="a9"/>
            <w:noProof/>
          </w:rPr>
          <w:t>其他事项</w:t>
        </w:r>
        <w:r w:rsidR="003D167A">
          <w:rPr>
            <w:noProof/>
          </w:rPr>
          <w:tab/>
        </w:r>
        <w:r w:rsidR="003D167A">
          <w:rPr>
            <w:noProof/>
          </w:rPr>
          <w:fldChar w:fldCharType="begin"/>
        </w:r>
        <w:r w:rsidR="003D167A">
          <w:rPr>
            <w:noProof/>
          </w:rPr>
          <w:instrText xml:space="preserve"> PAGEREF _Toc256000022 \h </w:instrText>
        </w:r>
        <w:r w:rsidR="003D167A">
          <w:rPr>
            <w:noProof/>
          </w:rPr>
        </w:r>
        <w:r w:rsidR="003D167A">
          <w:rPr>
            <w:noProof/>
          </w:rPr>
          <w:fldChar w:fldCharType="separate"/>
        </w:r>
        <w:r w:rsidR="00615242">
          <w:rPr>
            <w:noProof/>
          </w:rPr>
          <w:t>91</w:t>
        </w:r>
        <w:r w:rsidR="003D167A">
          <w:rPr>
            <w:noProof/>
          </w:rPr>
          <w:fldChar w:fldCharType="end"/>
        </w:r>
      </w:hyperlink>
    </w:p>
    <w:p w14:paraId="0D743478" w14:textId="25BF38AB" w:rsidR="003213F8" w:rsidRDefault="00A4374F">
      <w:pPr>
        <w:pStyle w:val="10"/>
        <w:rPr>
          <w:rFonts w:asciiTheme="minorHAnsi" w:hAnsiTheme="minorHAnsi"/>
          <w:noProof/>
        </w:rPr>
      </w:pPr>
      <w:hyperlink w:anchor="_Toc256000023" w:history="1">
        <w:r w:rsidR="003D167A" w:rsidRPr="009E26D0">
          <w:rPr>
            <w:rStyle w:val="a9"/>
            <w:noProof/>
          </w:rPr>
          <w:t>第二十四部分</w:t>
        </w:r>
        <w:r w:rsidR="003D167A" w:rsidRPr="009E26D0">
          <w:rPr>
            <w:rStyle w:val="a9"/>
            <w:noProof/>
          </w:rPr>
          <w:t xml:space="preserve">  </w:t>
        </w:r>
        <w:r w:rsidR="003D167A" w:rsidRPr="009E26D0">
          <w:rPr>
            <w:rStyle w:val="a9"/>
            <w:noProof/>
          </w:rPr>
          <w:t>基金合同内容摘要</w:t>
        </w:r>
        <w:r w:rsidR="003D167A">
          <w:rPr>
            <w:noProof/>
          </w:rPr>
          <w:tab/>
        </w:r>
        <w:r w:rsidR="003D167A">
          <w:rPr>
            <w:noProof/>
          </w:rPr>
          <w:fldChar w:fldCharType="begin"/>
        </w:r>
        <w:r w:rsidR="003D167A">
          <w:rPr>
            <w:noProof/>
          </w:rPr>
          <w:instrText xml:space="preserve"> PAGEREF _Toc256000023 \h </w:instrText>
        </w:r>
        <w:r w:rsidR="003D167A">
          <w:rPr>
            <w:noProof/>
          </w:rPr>
        </w:r>
        <w:r w:rsidR="003D167A">
          <w:rPr>
            <w:noProof/>
          </w:rPr>
          <w:fldChar w:fldCharType="separate"/>
        </w:r>
        <w:r w:rsidR="00615242">
          <w:rPr>
            <w:noProof/>
          </w:rPr>
          <w:t>92</w:t>
        </w:r>
        <w:r w:rsidR="003D167A">
          <w:rPr>
            <w:noProof/>
          </w:rPr>
          <w:fldChar w:fldCharType="end"/>
        </w:r>
      </w:hyperlink>
    </w:p>
    <w:p w14:paraId="3E0D989D" w14:textId="77777777" w:rsidR="000028C2" w:rsidRPr="00657FE9" w:rsidRDefault="003D167A">
      <w:pPr>
        <w:jc w:val="left"/>
        <w:rPr>
          <w:rStyle w:val="read"/>
          <w:rFonts w:ascii="宋体" w:hAnsi="宋体" w:cs="宋体"/>
          <w:b/>
          <w:sz w:val="24"/>
        </w:rPr>
        <w:sectPr w:rsidR="000028C2" w:rsidRPr="00657FE9" w:rsidSect="0024488F">
          <w:headerReference w:type="default" r:id="rId10"/>
          <w:footerReference w:type="default" r:id="rId11"/>
          <w:pgSz w:w="11906" w:h="16838"/>
          <w:pgMar w:top="1440" w:right="1800" w:bottom="1440" w:left="1800" w:header="851" w:footer="992" w:gutter="0"/>
          <w:pgNumType w:start="1"/>
          <w:cols w:space="720"/>
          <w:docGrid w:type="lines" w:linePitch="312"/>
        </w:sectPr>
      </w:pPr>
      <w:r w:rsidRPr="00657FE9">
        <w:rPr>
          <w:rStyle w:val="read"/>
          <w:rFonts w:ascii="宋体" w:hAnsi="宋体" w:cs="宋体"/>
          <w:b/>
          <w:sz w:val="24"/>
        </w:rPr>
        <w:fldChar w:fldCharType="end"/>
      </w:r>
      <w:bookmarkStart w:id="36" w:name="_Toc452127896"/>
      <w:bookmarkStart w:id="37" w:name="_Toc2163435"/>
      <w:bookmarkStart w:id="38" w:name="_Toc11660"/>
    </w:p>
    <w:p w14:paraId="2AA4A1A4" w14:textId="77777777" w:rsidR="009D63C8" w:rsidRDefault="003D167A" w:rsidP="009E26D0">
      <w:pPr>
        <w:pStyle w:val="1"/>
        <w:spacing w:before="0" w:after="0"/>
        <w:jc w:val="center"/>
        <w:rPr>
          <w:rFonts w:ascii="Times New Roman"/>
          <w:color w:val="auto"/>
          <w:sz w:val="30"/>
        </w:rPr>
      </w:pPr>
      <w:bookmarkStart w:id="39" w:name="_Toc139991731"/>
      <w:bookmarkStart w:id="40" w:name="_Toc256000000"/>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9E26D0">
        <w:rPr>
          <w:rFonts w:ascii="Times New Roman"/>
          <w:noProof/>
          <w:color w:val="auto"/>
          <w:sz w:val="30"/>
        </w:rPr>
        <w:lastRenderedPageBreak/>
        <w:t>第一部分</w:t>
      </w:r>
      <w:r w:rsidRPr="009E26D0">
        <w:rPr>
          <w:rFonts w:ascii="Times New Roman"/>
          <w:noProof/>
          <w:color w:val="auto"/>
          <w:sz w:val="30"/>
        </w:rPr>
        <w:t xml:space="preserve">  </w:t>
      </w:r>
      <w:r w:rsidRPr="009E26D0">
        <w:rPr>
          <w:rFonts w:ascii="Times New Roman"/>
          <w:noProof/>
          <w:color w:val="auto"/>
          <w:sz w:val="30"/>
        </w:rPr>
        <w:t>前言</w:t>
      </w:r>
      <w:bookmarkEnd w:id="40"/>
    </w:p>
    <w:p w14:paraId="08D9EBEB" w14:textId="77777777" w:rsidR="007A2B34" w:rsidRPr="0017353E" w:rsidRDefault="007A2B34" w:rsidP="0090469D"/>
    <w:p w14:paraId="2B3C59F5"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订立本基金合同的目的、依据和原则</w:t>
      </w:r>
    </w:p>
    <w:p w14:paraId="4553DFB3"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订立本基金合同的目的是保护投资人合法权益，明确基金合同当事人的权利义务，规范基金运作。</w:t>
      </w:r>
    </w:p>
    <w:p w14:paraId="3DB9ABBF"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订立本基金合同的依据是《中华人民共和国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w:t>
      </w:r>
      <w:r>
        <w:rPr>
          <w:rStyle w:val="custom"/>
          <w:rFonts w:ascii="宋体" w:hAnsi="宋体" w:cs="宋体"/>
          <w:kern w:val="0"/>
          <w:sz w:val="24"/>
          <w:szCs w:val="24"/>
        </w:rPr>
        <w:t>、《公开募集证券投资基金运作指引第3号——指数基金指引》（以下简称“《指数基金指引》”）</w:t>
      </w:r>
      <w:r>
        <w:rPr>
          <w:rFonts w:ascii="宋体" w:hAnsi="宋体" w:cs="宋体"/>
          <w:kern w:val="0"/>
          <w:sz w:val="24"/>
          <w:szCs w:val="24"/>
        </w:rPr>
        <w:t>和其他有关法律法规。</w:t>
      </w:r>
    </w:p>
    <w:p w14:paraId="16FE9070"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订立本基金合同的原则是平等自愿、诚实信用、充分保护投资人合法权益。</w:t>
      </w:r>
    </w:p>
    <w:p w14:paraId="3EF7C831"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42C7DFC9"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08E0EFA6"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三、汇添富上证科创板综合价格指数增强型证券投资基金</w:t>
      </w:r>
      <w:r>
        <w:rPr>
          <w:rFonts w:ascii="宋体" w:hAnsi="宋体" w:cs="宋体"/>
          <w:kern w:val="0"/>
          <w:sz w:val="24"/>
          <w:szCs w:val="24"/>
        </w:rPr>
        <w:t>由基金管理人依照《基金法》、基金合同及其他有关规定募集，并经中国证券监督管理委员会(以下简称“中国证监会”)注册。</w:t>
      </w:r>
    </w:p>
    <w:p w14:paraId="38566DAD"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中国证监会对本基金</w:t>
      </w:r>
      <w:r>
        <w:rPr>
          <w:rStyle w:val="custom"/>
          <w:rFonts w:ascii="宋体" w:hAnsi="宋体" w:cs="宋体"/>
          <w:kern w:val="0"/>
          <w:sz w:val="24"/>
          <w:szCs w:val="24"/>
        </w:rPr>
        <w:t>募集</w:t>
      </w:r>
      <w:r>
        <w:rPr>
          <w:rFonts w:ascii="宋体" w:hAnsi="宋体" w:cs="宋体"/>
          <w:kern w:val="0"/>
          <w:sz w:val="24"/>
          <w:szCs w:val="24"/>
        </w:rPr>
        <w:t>的注册，并不表明其对本基金的投资价值和市场前景做出实质性判断或保证，也不表明投资于本基金没有风险。</w:t>
      </w:r>
    </w:p>
    <w:p w14:paraId="66BA4C6E"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基金管理人依照恪尽职守、诚实信用、谨慎勤勉的原则管理和运用基金财产，但不保证投资于本基金一定盈利，也不保证最低收益。</w:t>
      </w:r>
    </w:p>
    <w:p w14:paraId="1412F5D9"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投资者应当认真阅读基金招募说明书、基金合同、基金产品资料概要等信</w:t>
      </w:r>
      <w:r>
        <w:rPr>
          <w:rFonts w:ascii="宋体" w:hAnsi="宋体" w:cs="宋体"/>
          <w:kern w:val="0"/>
          <w:sz w:val="24"/>
          <w:szCs w:val="24"/>
        </w:rPr>
        <w:lastRenderedPageBreak/>
        <w:t>息披露文件，自主判断基金的投资价值，自主做出投资决策，自行承担投资风险。</w:t>
      </w:r>
    </w:p>
    <w:p w14:paraId="366E5029"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基金管理人、基金托管人在本基金合同之外披露涉及本基金的信息，其内容涉及界定基金合同当事人之间权利义务关系的，如与基金合同有冲突，以基金合同为准。</w:t>
      </w:r>
    </w:p>
    <w:p w14:paraId="410615ED"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本基金按照中国法律法规成立并运作，若基金合同的内容与届时有效的法律法规的强制性规定不一致，应当以届时有效的法律法规的规定为准。</w:t>
      </w:r>
    </w:p>
    <w:p w14:paraId="2184078E"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六、本基金投资相关股票市场交易互联互通机制（以下简称“港股通机制”）允许买卖的规定范围内的香港联合交易所上市的股票（以下简称“港股通标的股票”）的，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请查阅本基金招募说明书的“风险揭示”章节的具体内容。</w:t>
      </w:r>
    </w:p>
    <w:p w14:paraId="61229FFC"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本基金可根据投资策略需要或不同配置地市场环境的变化，选择将部分基金资产投资于港股或选择不将基金资产投资于港股，基金资产并非必然投资港股。</w:t>
      </w:r>
    </w:p>
    <w:p w14:paraId="086078BE"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七、本基金可投资存托凭证，除普通股票投资可能面临的宏观经济风险、政策风险、市场风险、流动性风险外，还将面临存托凭证持有人与持有基础股票的股东在法律地位享有权利等方面存在差异可能引发的风险、发行人采用协议控制架构的风险、增发基础证券可能导致的存托凭证持有人权益被摊薄的风险、交易机制相关风险、存托凭证退市风险等其他风险。</w:t>
      </w:r>
    </w:p>
    <w:p w14:paraId="7804BD9A"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八、本基金单一投资者持有基金份额数不得达到或超过基金份额总数的50%，但在基金运作过程中因基金份额赎回等基金管理人无法予以控制的情形导致被动达到或超过50%的除外。法律法规或监管机构另有规定的，从其规定。</w:t>
      </w:r>
    </w:p>
    <w:p w14:paraId="68EAC011" w14:textId="77777777" w:rsidR="00E476DD" w:rsidRDefault="003D167A" w:rsidP="00E476D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九、本基金为股票型指数增强基金，投资者投资于本基金面临跟踪误差控制未达约定目标、指数编制机构停止服务、成份股停牌等潜在风险，详见本基金招募说明书。</w:t>
      </w:r>
    </w:p>
    <w:p w14:paraId="10D74796" w14:textId="77777777" w:rsidR="00D20988" w:rsidRDefault="00E476DD" w:rsidP="00E476DD">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lastRenderedPageBreak/>
        <w:t>十、对</w:t>
      </w:r>
      <w:r w:rsidRPr="00430A7D">
        <w:rPr>
          <w:rStyle w:val="custom"/>
          <w:rFonts w:ascii="宋体" w:hAnsi="宋体" w:cs="宋体" w:hint="eastAsia"/>
          <w:kern w:val="0"/>
          <w:sz w:val="24"/>
          <w:szCs w:val="24"/>
        </w:rPr>
        <w:t>于投资者通过直销机构</w:t>
      </w:r>
      <w:r>
        <w:rPr>
          <w:rFonts w:hint="eastAsia"/>
          <w:bCs/>
          <w:kern w:val="0"/>
          <w:sz w:val="24"/>
          <w:szCs w:val="24"/>
          <w:lang w:bidi="en-US"/>
        </w:rPr>
        <w:t>（含基金管理人及其销售子公司，下同）</w:t>
      </w:r>
      <w:r w:rsidRPr="00430A7D">
        <w:rPr>
          <w:rStyle w:val="custom"/>
          <w:rFonts w:ascii="宋体" w:hAnsi="宋体" w:cs="宋体" w:hint="eastAsia"/>
          <w:kern w:val="0"/>
          <w:sz w:val="24"/>
          <w:szCs w:val="24"/>
        </w:rPr>
        <w:t>认/申购C类基金份额计提的销售服务费、通过其他销售机构认/申购的C类基金份额持续持有期限超过一年（即365天）以后继续计提的销售服务费采取先收后返模式，基金投资者实际收到的赎回款项或清算款项的金额可能与按披露的C类基金份额净值计算的结果存在差异。投资者的实际赎回金额和清算资金以登记机构确认数据为准。</w:t>
      </w:r>
      <w:r w:rsidR="003D167A">
        <w:rPr>
          <w:rStyle w:val="custom"/>
          <w:rFonts w:ascii="宋体" w:hAnsi="宋体" w:cs="宋体"/>
          <w:kern w:val="0"/>
          <w:sz w:val="24"/>
          <w:szCs w:val="24"/>
        </w:rPr>
        <w:br w:type="page"/>
      </w:r>
    </w:p>
    <w:p w14:paraId="2DE1FF30" w14:textId="77777777" w:rsidR="009D63C8" w:rsidRDefault="003D167A" w:rsidP="009E26D0">
      <w:pPr>
        <w:pStyle w:val="1"/>
        <w:spacing w:before="0" w:after="0"/>
        <w:jc w:val="center"/>
        <w:rPr>
          <w:rFonts w:ascii="Times New Roman"/>
          <w:color w:val="auto"/>
          <w:sz w:val="30"/>
        </w:rPr>
      </w:pPr>
      <w:bookmarkStart w:id="41" w:name="_Toc256000001"/>
      <w:r w:rsidRPr="009E26D0">
        <w:rPr>
          <w:rFonts w:ascii="Times New Roman"/>
          <w:noProof/>
          <w:color w:val="auto"/>
          <w:sz w:val="30"/>
        </w:rPr>
        <w:lastRenderedPageBreak/>
        <w:t>第二部分</w:t>
      </w:r>
      <w:r w:rsidRPr="009E26D0">
        <w:rPr>
          <w:rFonts w:ascii="Times New Roman"/>
          <w:noProof/>
          <w:color w:val="auto"/>
          <w:sz w:val="30"/>
        </w:rPr>
        <w:t xml:space="preserve">  </w:t>
      </w:r>
      <w:r w:rsidRPr="009E26D0">
        <w:rPr>
          <w:rFonts w:ascii="Times New Roman"/>
          <w:noProof/>
          <w:color w:val="auto"/>
          <w:sz w:val="30"/>
        </w:rPr>
        <w:t>释义</w:t>
      </w:r>
      <w:bookmarkEnd w:id="41"/>
    </w:p>
    <w:p w14:paraId="5207A908" w14:textId="77777777" w:rsidR="007A2B34" w:rsidRPr="0017353E" w:rsidRDefault="007A2B34" w:rsidP="0090469D"/>
    <w:p w14:paraId="0AEC7485"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在本基金合同中，除非文意另有所指，下列词语或简称具有如下含义：</w:t>
      </w:r>
    </w:p>
    <w:p w14:paraId="2C3ED946"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基金或本基金：指</w:t>
      </w:r>
      <w:r>
        <w:rPr>
          <w:rStyle w:val="custom"/>
          <w:rFonts w:ascii="宋体" w:hAnsi="宋体" w:cs="宋体"/>
          <w:kern w:val="0"/>
          <w:sz w:val="24"/>
          <w:szCs w:val="24"/>
        </w:rPr>
        <w:t>汇添富上证科创板综合价格指数增强型证券投资基金</w:t>
      </w:r>
    </w:p>
    <w:p w14:paraId="02222CCC"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基金管理人：指汇添富基金管理股份有限公司</w:t>
      </w:r>
    </w:p>
    <w:p w14:paraId="741D43D5"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基金托管人：指</w:t>
      </w:r>
      <w:r>
        <w:rPr>
          <w:rStyle w:val="custom"/>
          <w:rFonts w:ascii="宋体" w:hAnsi="宋体" w:cs="宋体"/>
          <w:kern w:val="0"/>
          <w:sz w:val="24"/>
          <w:szCs w:val="24"/>
        </w:rPr>
        <w:t>中国邮政储蓄银行股份有限公司</w:t>
      </w:r>
    </w:p>
    <w:p w14:paraId="21C0254A"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基金合同或本基金合同：指《</w:t>
      </w:r>
      <w:r>
        <w:rPr>
          <w:rStyle w:val="custom"/>
          <w:rFonts w:ascii="宋体" w:hAnsi="宋体" w:cs="宋体"/>
          <w:kern w:val="0"/>
          <w:sz w:val="24"/>
          <w:szCs w:val="24"/>
        </w:rPr>
        <w:t>汇添富上证科创板综合价格指数增强型证券投资基金</w:t>
      </w:r>
      <w:r>
        <w:rPr>
          <w:rFonts w:ascii="宋体" w:hAnsi="宋体" w:cs="宋体"/>
          <w:kern w:val="0"/>
          <w:sz w:val="24"/>
          <w:szCs w:val="24"/>
        </w:rPr>
        <w:t>基金合同》及对本基金合同的任何有效修订和补充</w:t>
      </w:r>
    </w:p>
    <w:p w14:paraId="63634971"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托管协议：指基金管理人与基金托管人就本基金签订之《</w:t>
      </w:r>
      <w:r>
        <w:rPr>
          <w:rStyle w:val="custom"/>
          <w:rFonts w:ascii="宋体" w:hAnsi="宋体" w:cs="宋体"/>
          <w:kern w:val="0"/>
          <w:sz w:val="24"/>
          <w:szCs w:val="24"/>
        </w:rPr>
        <w:t>汇添富上证科创板综合价格指数增强型证券投资基金</w:t>
      </w:r>
      <w:r>
        <w:rPr>
          <w:rFonts w:ascii="宋体" w:hAnsi="宋体" w:cs="宋体"/>
          <w:kern w:val="0"/>
          <w:sz w:val="24"/>
          <w:szCs w:val="24"/>
        </w:rPr>
        <w:t>托管协议》及对该托管协议的任何有效修订和补充</w:t>
      </w:r>
    </w:p>
    <w:p w14:paraId="730571C7"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招募说明书：指《</w:t>
      </w:r>
      <w:r>
        <w:rPr>
          <w:rStyle w:val="custom"/>
          <w:rFonts w:ascii="宋体" w:hAnsi="宋体" w:cs="宋体"/>
          <w:kern w:val="0"/>
          <w:sz w:val="24"/>
          <w:szCs w:val="24"/>
        </w:rPr>
        <w:t>汇添富上证科创板综合价格指数增强型证券投资基金</w:t>
      </w:r>
      <w:r>
        <w:rPr>
          <w:rFonts w:ascii="宋体" w:hAnsi="宋体" w:cs="宋体"/>
          <w:kern w:val="0"/>
          <w:sz w:val="24"/>
          <w:szCs w:val="24"/>
        </w:rPr>
        <w:t>招募说明书》及其更新</w:t>
      </w:r>
    </w:p>
    <w:p w14:paraId="32EAD78E"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基金产品资料概要：指《</w:t>
      </w:r>
      <w:r>
        <w:rPr>
          <w:rStyle w:val="custom"/>
          <w:rFonts w:ascii="宋体" w:hAnsi="宋体" w:cs="宋体"/>
          <w:kern w:val="0"/>
          <w:sz w:val="24"/>
          <w:szCs w:val="24"/>
        </w:rPr>
        <w:t>汇添富上证科创板综合价格指数增强型证券投资基金</w:t>
      </w:r>
      <w:r>
        <w:rPr>
          <w:rFonts w:ascii="宋体" w:hAnsi="宋体" w:cs="宋体"/>
          <w:kern w:val="0"/>
          <w:sz w:val="24"/>
          <w:szCs w:val="24"/>
        </w:rPr>
        <w:t>基金产品资料概要》及其更新</w:t>
      </w:r>
    </w:p>
    <w:p w14:paraId="765C2A97" w14:textId="77777777" w:rsidR="00D20988" w:rsidRDefault="003D167A">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8、</w:t>
      </w:r>
      <w:r>
        <w:rPr>
          <w:rStyle w:val="custom"/>
          <w:rFonts w:ascii="宋体" w:hAnsi="宋体" w:cs="宋体"/>
          <w:kern w:val="0"/>
          <w:sz w:val="24"/>
          <w:szCs w:val="24"/>
        </w:rPr>
        <w:t>基金份额发售公告：指《汇添富上证科创板综合价格指数增强型证券投资基金基金份额发售公告》</w:t>
      </w:r>
    </w:p>
    <w:p w14:paraId="48DAD20D"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法律法规：指中国现行有效并公布实施的法律、行政法规、规范性文件、司法解释、行政规章以及其他对基金合同当事人有约束力的决定、决议、通知等</w:t>
      </w:r>
    </w:p>
    <w:p w14:paraId="0DB9057B"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0E140179"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《销售办法》：指中国证监会2020年8月28日颁布、同年10月1日实施的《公开募集证券投资基金销售机构监督管理办法》及颁布机关对其不时做出的修订</w:t>
      </w:r>
    </w:p>
    <w:p w14:paraId="308944DE"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12、</w:t>
      </w:r>
      <w:r>
        <w:rPr>
          <w:rFonts w:ascii="宋体" w:hAnsi="宋体" w:cs="宋体"/>
          <w:kern w:val="0"/>
          <w:sz w:val="24"/>
          <w:szCs w:val="24"/>
        </w:rPr>
        <w:t>《信息披露办法》：指中国证监会2019年7月26日颁布、同年9月1日实施的，并经2020年3月20日中国证监会《关于修改部分证券期货规章的决定》修正的《公开募集证券投资基金信息披露管理办法》及颁布机关对其不时做出的修订</w:t>
      </w:r>
    </w:p>
    <w:p w14:paraId="1D23BE2F"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13、</w:t>
      </w:r>
      <w:r>
        <w:rPr>
          <w:rFonts w:ascii="宋体" w:hAnsi="宋体" w:cs="宋体"/>
          <w:kern w:val="0"/>
          <w:sz w:val="24"/>
          <w:szCs w:val="24"/>
        </w:rPr>
        <w:t>《运作办法》：指中国证监会2014年7月7日颁布、同年8月8日实施的《公开募集证券投资基金运作管理办法》及颁布机关对其不时做出的修订</w:t>
      </w:r>
    </w:p>
    <w:p w14:paraId="7F43DA20"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《流动性风险管理规定》：指中国证监会2017年8月31日颁布、同年10月1日实施的《公开募集开放式证券投资基金流动性风险管理规定》及颁布机关对其不时做出的修订</w:t>
      </w:r>
    </w:p>
    <w:p w14:paraId="691401A5"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15、《指数基金指引》：指中国证监会2021年1月18日颁布、同年2月1日实施的《公开募集证券投资基金运作指引第3号——指数基金指引》及颁布机关对其不时做出的修订</w:t>
      </w:r>
    </w:p>
    <w:p w14:paraId="3F90193E"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16、标的指数：指上证科创板综合价格指数</w:t>
      </w:r>
    </w:p>
    <w:p w14:paraId="1625347F"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17、</w:t>
      </w:r>
      <w:r>
        <w:rPr>
          <w:rFonts w:ascii="宋体" w:hAnsi="宋体" w:cs="宋体"/>
          <w:kern w:val="0"/>
          <w:sz w:val="24"/>
          <w:szCs w:val="24"/>
        </w:rPr>
        <w:t>中国证监会：指中国证券监督管理委员会</w:t>
      </w:r>
    </w:p>
    <w:p w14:paraId="2C5B9EDD"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18、银行业监督管理机构：指中国人民银行和/或国家金融监督管理总局</w:t>
      </w:r>
    </w:p>
    <w:p w14:paraId="51EA5D00"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19、</w:t>
      </w:r>
      <w:r>
        <w:rPr>
          <w:rFonts w:ascii="宋体" w:hAnsi="宋体" w:cs="宋体"/>
          <w:kern w:val="0"/>
          <w:sz w:val="24"/>
          <w:szCs w:val="24"/>
        </w:rPr>
        <w:t>基金合同当事人：指受基金合同约束，根据基金合同享有权利并承担义务的法律主体，包括基金管理人、基金托管人和基金份额持有人</w:t>
      </w:r>
    </w:p>
    <w:p w14:paraId="26FEA53D"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20、</w:t>
      </w:r>
      <w:r>
        <w:rPr>
          <w:rFonts w:ascii="宋体" w:hAnsi="宋体" w:cs="宋体"/>
          <w:kern w:val="0"/>
          <w:sz w:val="24"/>
          <w:szCs w:val="24"/>
        </w:rPr>
        <w:t>个人投资者：指依据有关法律法规规定可投资于证券投资基金的自然人</w:t>
      </w:r>
    </w:p>
    <w:p w14:paraId="1215DFA4"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21、</w:t>
      </w:r>
      <w:r>
        <w:rPr>
          <w:rFonts w:ascii="宋体" w:hAnsi="宋体" w:cs="宋体"/>
          <w:kern w:val="0"/>
          <w:sz w:val="24"/>
          <w:szCs w:val="24"/>
        </w:rPr>
        <w:t>机构投资者：指依法可以投资证券投资基金的、在中华人民共和国境内合法登记并存续或经有关政府部门批准设立并存续的企业法人、事业法人、社会团体或其他组织</w:t>
      </w:r>
    </w:p>
    <w:p w14:paraId="6C315F2E"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22、</w:t>
      </w:r>
      <w:r>
        <w:rPr>
          <w:rFonts w:ascii="宋体" w:hAnsi="宋体" w:cs="宋体"/>
          <w:kern w:val="0"/>
          <w:sz w:val="24"/>
          <w:szCs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3D1D684A"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23、投资人、投资者：指个人投资者、机构投资者、合格境外投资者以及法律法规或中国证监会允许购买证券投资基金的其他投资人的合称</w:t>
      </w:r>
    </w:p>
    <w:p w14:paraId="2C36AD09"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24、</w:t>
      </w:r>
      <w:r>
        <w:rPr>
          <w:rFonts w:ascii="宋体" w:hAnsi="宋体" w:cs="宋体"/>
          <w:kern w:val="0"/>
          <w:sz w:val="24"/>
          <w:szCs w:val="24"/>
        </w:rPr>
        <w:t>基金份额持有人：指依基金合同和招募说明书合法取得基金份额的投</w:t>
      </w:r>
      <w:r>
        <w:rPr>
          <w:rFonts w:ascii="宋体" w:hAnsi="宋体" w:cs="宋体"/>
          <w:kern w:val="0"/>
          <w:sz w:val="24"/>
          <w:szCs w:val="24"/>
        </w:rPr>
        <w:lastRenderedPageBreak/>
        <w:t>资人</w:t>
      </w:r>
    </w:p>
    <w:p w14:paraId="4898F70E"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25、</w:t>
      </w:r>
      <w:r>
        <w:rPr>
          <w:rFonts w:ascii="宋体" w:hAnsi="宋体" w:cs="宋体"/>
          <w:kern w:val="0"/>
          <w:sz w:val="24"/>
          <w:szCs w:val="24"/>
        </w:rPr>
        <w:t>基金销售业务：指基金管理人或销售机构宣传推介基金，</w:t>
      </w:r>
      <w:r>
        <w:rPr>
          <w:rStyle w:val="custom"/>
          <w:rFonts w:ascii="宋体" w:hAnsi="宋体" w:cs="宋体"/>
          <w:kern w:val="0"/>
          <w:sz w:val="24"/>
          <w:szCs w:val="24"/>
        </w:rPr>
        <w:t>发售基金份额，</w:t>
      </w:r>
      <w:r>
        <w:rPr>
          <w:rFonts w:ascii="宋体" w:hAnsi="宋体" w:cs="宋体"/>
          <w:kern w:val="0"/>
          <w:sz w:val="24"/>
          <w:szCs w:val="24"/>
        </w:rPr>
        <w:t>办理基金份额的申购、赎回、转换、转托管及定期定额投资等业务</w:t>
      </w:r>
    </w:p>
    <w:p w14:paraId="2F4AA430"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26、销售机构：指汇添富基金管理股份有限公司以及符合《销售办法》和中国证监会规定的其他条件，取得基金销售业务资格并与基金管理人签订了基金销售服务协议，办理基金销售业务的机构</w:t>
      </w:r>
    </w:p>
    <w:p w14:paraId="5D897F95"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27、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7EF04F2B"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28、</w:t>
      </w:r>
      <w:r>
        <w:rPr>
          <w:rFonts w:ascii="宋体" w:hAnsi="宋体" w:cs="宋体"/>
          <w:kern w:val="0"/>
          <w:sz w:val="24"/>
          <w:szCs w:val="24"/>
        </w:rPr>
        <w:t>登记机构：指办理登记业务的机构。基金的登记机构为汇添富基金管理股份有限公司或接受汇添富基金管理股份有限公司委托代为办理登记业务的机构</w:t>
      </w:r>
    </w:p>
    <w:p w14:paraId="641A0EDE"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29、基金账户：指登记机构为投资人开立的、记录其持有的、基金管理人所管理的基金份额余额及其变动情况的账户</w:t>
      </w:r>
    </w:p>
    <w:p w14:paraId="56B94A5E"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30、</w:t>
      </w:r>
      <w:r>
        <w:rPr>
          <w:rFonts w:ascii="宋体" w:hAnsi="宋体" w:cs="宋体"/>
          <w:kern w:val="0"/>
          <w:sz w:val="24"/>
          <w:szCs w:val="24"/>
        </w:rPr>
        <w:t>基金交易账户：指销售机构为投资人开立的、记录投资人通过该销售机构办理</w:t>
      </w:r>
      <w:r>
        <w:rPr>
          <w:rStyle w:val="custom"/>
          <w:rFonts w:ascii="宋体" w:hAnsi="宋体" w:cs="宋体"/>
          <w:kern w:val="0"/>
          <w:sz w:val="24"/>
          <w:szCs w:val="24"/>
        </w:rPr>
        <w:t>认购、</w:t>
      </w:r>
      <w:r>
        <w:rPr>
          <w:rFonts w:ascii="宋体" w:hAnsi="宋体" w:cs="宋体"/>
          <w:kern w:val="0"/>
          <w:sz w:val="24"/>
          <w:szCs w:val="24"/>
        </w:rPr>
        <w:t>申购、赎回、转换、转托管及定期定额投资等业务而引起的基金份额变动及结余情况的账户</w:t>
      </w:r>
    </w:p>
    <w:p w14:paraId="1D66CB52"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31、</w:t>
      </w:r>
      <w:r>
        <w:rPr>
          <w:rFonts w:ascii="宋体" w:hAnsi="宋体" w:cs="宋体"/>
          <w:kern w:val="0"/>
          <w:sz w:val="24"/>
          <w:szCs w:val="24"/>
        </w:rPr>
        <w:t>基金合同生效日：</w:t>
      </w:r>
      <w:r>
        <w:rPr>
          <w:rStyle w:val="custom"/>
          <w:rFonts w:ascii="宋体" w:hAnsi="宋体" w:cs="宋体"/>
          <w:kern w:val="0"/>
          <w:sz w:val="24"/>
          <w:szCs w:val="24"/>
        </w:rPr>
        <w:t>指基金募集达到法律法规规定及基金合同规定的条件，基金管理人向中国证监会办理基金备案手续完毕，并获得中国证监会书面确认的日期</w:t>
      </w:r>
    </w:p>
    <w:p w14:paraId="0B92D418"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32、</w:t>
      </w:r>
      <w:r>
        <w:rPr>
          <w:rFonts w:ascii="宋体" w:hAnsi="宋体" w:cs="宋体"/>
          <w:kern w:val="0"/>
          <w:sz w:val="24"/>
          <w:szCs w:val="24"/>
        </w:rPr>
        <w:t>基金合同终止日：指基金合同规定的基金合同终止事由出现后，基金财产清算完毕，清算结果报中国证监会备案并予以公告的日期</w:t>
      </w:r>
    </w:p>
    <w:p w14:paraId="1ADF6540" w14:textId="77777777" w:rsidR="00D20988" w:rsidRDefault="003D167A">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33、</w:t>
      </w:r>
      <w:r>
        <w:rPr>
          <w:rStyle w:val="custom"/>
          <w:rFonts w:ascii="宋体" w:hAnsi="宋体" w:cs="宋体"/>
          <w:kern w:val="0"/>
          <w:sz w:val="24"/>
          <w:szCs w:val="24"/>
        </w:rPr>
        <w:t>基金募集期：指自基金份额发售之日起至发售结束之日止的期间，最长不得超过3个月</w:t>
      </w:r>
    </w:p>
    <w:p w14:paraId="073C1B80"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34、</w:t>
      </w:r>
      <w:r>
        <w:rPr>
          <w:rFonts w:ascii="宋体" w:hAnsi="宋体" w:cs="宋体"/>
          <w:kern w:val="0"/>
          <w:sz w:val="24"/>
          <w:szCs w:val="24"/>
        </w:rPr>
        <w:t>存续期：指基金合同生效至终止之间的不定期期限</w:t>
      </w:r>
    </w:p>
    <w:p w14:paraId="27F7A969"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35、</w:t>
      </w:r>
      <w:r>
        <w:rPr>
          <w:rFonts w:ascii="宋体" w:hAnsi="宋体" w:cs="宋体"/>
          <w:kern w:val="0"/>
          <w:sz w:val="24"/>
          <w:szCs w:val="24"/>
        </w:rPr>
        <w:t>工作日：指上海证券交易所、深圳证券交易所的正常交易日</w:t>
      </w:r>
    </w:p>
    <w:p w14:paraId="632AE58D"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36、</w:t>
      </w:r>
      <w:r>
        <w:rPr>
          <w:rFonts w:ascii="宋体" w:hAnsi="宋体" w:cs="宋体"/>
          <w:kern w:val="0"/>
          <w:sz w:val="24"/>
          <w:szCs w:val="24"/>
        </w:rPr>
        <w:t>T日：指销售机构在规定时间受理投资人申购、赎回或其他业务申请的开放日</w:t>
      </w:r>
    </w:p>
    <w:p w14:paraId="7FB54C34"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37、</w:t>
      </w:r>
      <w:r>
        <w:rPr>
          <w:rFonts w:ascii="宋体" w:hAnsi="宋体" w:cs="宋体"/>
          <w:kern w:val="0"/>
          <w:sz w:val="24"/>
          <w:szCs w:val="24"/>
        </w:rPr>
        <w:t>T+n日：指自T日起第n个工作日(不包含T日)</w:t>
      </w:r>
    </w:p>
    <w:p w14:paraId="69395C00"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38、开放日：指为投资人办理基金份额申购、赎回或其他业务的工作日（如遇香港联合交易所法定节假日或因其他原因暂停营业或港股通暂停交易的情形，基金管理人有权暂停办理基金份额的申购和赎回业务）</w:t>
      </w:r>
    </w:p>
    <w:p w14:paraId="588B689B"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39、</w:t>
      </w:r>
      <w:r>
        <w:rPr>
          <w:rFonts w:ascii="宋体" w:hAnsi="宋体" w:cs="宋体"/>
          <w:kern w:val="0"/>
          <w:sz w:val="24"/>
          <w:szCs w:val="24"/>
        </w:rPr>
        <w:t>开放时间：指开放日基金接受申购、赎回或其他交易的时间段</w:t>
      </w:r>
    </w:p>
    <w:p w14:paraId="7738DEC4"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40、《业务规则》：指《汇添富基金管理股份有限公司开放式基金业务规则》，是规范基金管理人所管理的开放式证券投资基金登记方面的业务规则，由基金管理人和投资人共同遵守</w:t>
      </w:r>
    </w:p>
    <w:p w14:paraId="5BC70AF3" w14:textId="77777777" w:rsidR="00D20988" w:rsidRDefault="003D167A">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41、</w:t>
      </w:r>
      <w:r>
        <w:rPr>
          <w:rStyle w:val="custom"/>
          <w:rFonts w:ascii="宋体" w:hAnsi="宋体" w:cs="宋体"/>
          <w:kern w:val="0"/>
          <w:sz w:val="24"/>
          <w:szCs w:val="24"/>
        </w:rPr>
        <w:t>认购：指在基金募集期内，投资人根据基金合同和招募说明书的规定申请购买基金份额的行为</w:t>
      </w:r>
    </w:p>
    <w:p w14:paraId="7DFBEEF4"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42、申购：指基金合同生效后，投资人根据基金合同和招募说明书的规定申请购买基金份额的行为</w:t>
      </w:r>
    </w:p>
    <w:p w14:paraId="450B0F4F"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43、赎回：指基金合同生效后，基金份额持有人按基金合同和招募说明书规定的条件要求将基金份额兑换为现金的行为</w:t>
      </w:r>
    </w:p>
    <w:p w14:paraId="54572F87"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44、</w:t>
      </w:r>
      <w:r>
        <w:rPr>
          <w:rFonts w:ascii="宋体" w:hAnsi="宋体" w:cs="宋体"/>
          <w:kern w:val="0"/>
          <w:sz w:val="24"/>
          <w:szCs w:val="24"/>
        </w:rPr>
        <w:t>基金转换：指基金份额持有人按照本基金合同和基金管理人届时有效公告规定的条件，申请将其持有基金管理人管理的、某一基金的基金份额转换为基金管理人管理的</w:t>
      </w:r>
      <w:r w:rsidR="009A181B" w:rsidRPr="00E86A04">
        <w:rPr>
          <w:rFonts w:ascii="宋体" w:hAnsi="宋体" w:cs="宋体" w:hint="eastAsia"/>
          <w:kern w:val="0"/>
          <w:sz w:val="24"/>
          <w:szCs w:val="24"/>
        </w:rPr>
        <w:t>该基金其他基金份额或</w:t>
      </w:r>
      <w:r>
        <w:rPr>
          <w:rFonts w:ascii="宋体" w:hAnsi="宋体" w:cs="宋体"/>
          <w:kern w:val="0"/>
          <w:sz w:val="24"/>
          <w:szCs w:val="24"/>
        </w:rPr>
        <w:t>其他基金基金份额的行为</w:t>
      </w:r>
    </w:p>
    <w:p w14:paraId="2FC7221D"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45、转托管：指基金份额持有人在本基金的不同销售机构之间实施的变更所持基金份额销售机构的操作</w:t>
      </w:r>
    </w:p>
    <w:p w14:paraId="057484BC"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46、定期定额投资计划：指投资人通过有关销售机构提出申请，约定每期申购日、扣款金额及扣款方式，由销售机构于每期约定扣款日在投资人指定银行账户内自动完成扣款及受理基金申购申请的一种投资方式</w:t>
      </w:r>
    </w:p>
    <w:p w14:paraId="6214DDBC" w14:textId="77777777" w:rsidR="00D20988" w:rsidRDefault="003D167A">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47、巨额赎回：指本基金单个开放日，基金净赎回申请（赎回申请份额总数加上基金转换中转出申请份额总数后扣除申购申请份额总数及基金转换中转入申请份额总数后的余额，不同类别份额合并计算）超过上一开放日基金总份额的10%</w:t>
      </w:r>
    </w:p>
    <w:p w14:paraId="558B7366" w14:textId="77777777" w:rsidR="00D20988" w:rsidRDefault="003D167A">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48、</w:t>
      </w:r>
      <w:r>
        <w:rPr>
          <w:rFonts w:ascii="宋体" w:hAnsi="宋体" w:cs="宋体"/>
          <w:kern w:val="0"/>
          <w:sz w:val="24"/>
          <w:szCs w:val="24"/>
        </w:rPr>
        <w:t>收益评价日：指基金管理人计算本基金相对业绩比较基准的超额收益率和/或基金可供分配利润金额之日</w:t>
      </w:r>
    </w:p>
    <w:p w14:paraId="61D704CB"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49、</w:t>
      </w:r>
      <w:r>
        <w:rPr>
          <w:rFonts w:ascii="宋体" w:hAnsi="宋体" w:cs="宋体"/>
          <w:kern w:val="0"/>
          <w:sz w:val="24"/>
          <w:szCs w:val="24"/>
        </w:rPr>
        <w:t>元：指人民币元</w:t>
      </w:r>
    </w:p>
    <w:p w14:paraId="10DFB970"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50、基金收益：指基金投资所得红利、股息、债券利息、买卖证券价差、银</w:t>
      </w:r>
      <w:r>
        <w:rPr>
          <w:rStyle w:val="custom"/>
          <w:rFonts w:ascii="宋体" w:hAnsi="宋体" w:cs="宋体"/>
          <w:kern w:val="0"/>
          <w:sz w:val="24"/>
          <w:szCs w:val="24"/>
        </w:rPr>
        <w:lastRenderedPageBreak/>
        <w:t>行存款利息、已实现的其他合法收入及因运用基金财产带来的成本和费用的节约</w:t>
      </w:r>
    </w:p>
    <w:p w14:paraId="71D9C16C"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51、基金资产总值：指基金拥有的各类有价证券及票据价值、银行存款本息、基金应收申购款及其他资产的价值总和</w:t>
      </w:r>
    </w:p>
    <w:p w14:paraId="49DE2DDE"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52、</w:t>
      </w:r>
      <w:r>
        <w:rPr>
          <w:rFonts w:ascii="宋体" w:hAnsi="宋体" w:cs="宋体"/>
          <w:kern w:val="0"/>
          <w:sz w:val="24"/>
          <w:szCs w:val="24"/>
        </w:rPr>
        <w:t>基金资产净值：指基金资产总值减去基金负债后的价值</w:t>
      </w:r>
    </w:p>
    <w:p w14:paraId="6B926B32"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53、</w:t>
      </w:r>
      <w:r>
        <w:rPr>
          <w:rFonts w:ascii="宋体" w:hAnsi="宋体" w:cs="宋体"/>
          <w:kern w:val="0"/>
          <w:sz w:val="24"/>
          <w:szCs w:val="24"/>
        </w:rPr>
        <w:t>基金份额净值：指计算日基金资产净值除以计算日基金份额总数</w:t>
      </w:r>
    </w:p>
    <w:p w14:paraId="6B275D4A"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54、</w:t>
      </w:r>
      <w:r>
        <w:rPr>
          <w:rFonts w:ascii="宋体" w:hAnsi="宋体" w:cs="宋体"/>
          <w:kern w:val="0"/>
          <w:sz w:val="24"/>
          <w:szCs w:val="24"/>
        </w:rPr>
        <w:t>基金资产估值：指计算评估基金资产和负债的价值，以确定基金资产净值和基金份额净值的过程</w:t>
      </w:r>
    </w:p>
    <w:p w14:paraId="6032D119"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55、</w:t>
      </w:r>
      <w:r>
        <w:rPr>
          <w:rFonts w:ascii="宋体" w:hAnsi="宋体" w:cs="宋体"/>
          <w:kern w:val="0"/>
          <w:sz w:val="24"/>
          <w:szCs w:val="24"/>
        </w:rPr>
        <w:t>规定媒介：指符合中国证监会规定条件的用以进行信息披露的全国性报刊及《信息披露办法》规定的互联网网站（包括基金管理人网站、基金托管人网站、中国证监会基金电子披露网站）等媒介</w:t>
      </w:r>
    </w:p>
    <w:p w14:paraId="188C979B" w14:textId="77777777" w:rsidR="00D20988" w:rsidRDefault="003D167A">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56、基金份额类别：根据认购/申购费用、销售服务费收取方式等事项的不同，将基金份额分为不同的类别，各基金份额类别分别设置代码、计算公告基金份额净值和基金份额累计净值</w:t>
      </w:r>
    </w:p>
    <w:p w14:paraId="64A0E1E2" w14:textId="77777777" w:rsidR="00D20988" w:rsidRDefault="003D167A">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57、A类基金份额：指在投资者</w:t>
      </w:r>
      <w:r w:rsidR="00E476DD">
        <w:rPr>
          <w:rFonts w:hint="eastAsia"/>
          <w:bCs/>
          <w:sz w:val="24"/>
        </w:rPr>
        <w:t>通过直销机构以外的其他销售机构</w:t>
      </w:r>
      <w:r>
        <w:rPr>
          <w:rStyle w:val="custom"/>
          <w:rFonts w:ascii="宋体" w:hAnsi="宋体" w:cs="宋体"/>
          <w:kern w:val="0"/>
          <w:sz w:val="24"/>
          <w:szCs w:val="24"/>
        </w:rPr>
        <w:t>认购、申购时收取</w:t>
      </w:r>
      <w:r w:rsidR="00724699">
        <w:rPr>
          <w:rStyle w:val="custom"/>
          <w:rFonts w:ascii="宋体" w:hAnsi="宋体" w:cs="宋体" w:hint="eastAsia"/>
          <w:kern w:val="0"/>
          <w:sz w:val="24"/>
          <w:szCs w:val="24"/>
        </w:rPr>
        <w:t>前端</w:t>
      </w:r>
      <w:r>
        <w:rPr>
          <w:rStyle w:val="custom"/>
          <w:rFonts w:ascii="宋体" w:hAnsi="宋体" w:cs="宋体"/>
          <w:kern w:val="0"/>
          <w:sz w:val="24"/>
          <w:szCs w:val="24"/>
        </w:rPr>
        <w:t>认购、申购费用，在赎回时根据持有期限收取赎回费用，但不从本类别基金财产中计提销售服务费的基金份额</w:t>
      </w:r>
      <w:r w:rsidR="00E476DD">
        <w:rPr>
          <w:rStyle w:val="custom"/>
          <w:rFonts w:ascii="宋体" w:hAnsi="宋体" w:cs="宋体" w:hint="eastAsia"/>
          <w:kern w:val="0"/>
          <w:sz w:val="24"/>
          <w:szCs w:val="24"/>
        </w:rPr>
        <w:t>；</w:t>
      </w:r>
      <w:r w:rsidR="00E476DD">
        <w:rPr>
          <w:rFonts w:hint="eastAsia"/>
          <w:bCs/>
          <w:kern w:val="0"/>
          <w:sz w:val="24"/>
          <w:szCs w:val="24"/>
          <w:lang w:bidi="en-US"/>
        </w:rPr>
        <w:t>投资者通过直销机构认购</w:t>
      </w:r>
      <w:r w:rsidR="00E476DD">
        <w:rPr>
          <w:bCs/>
          <w:kern w:val="0"/>
          <w:sz w:val="24"/>
          <w:szCs w:val="24"/>
          <w:lang w:bidi="en-US"/>
        </w:rPr>
        <w:t>/</w:t>
      </w:r>
      <w:r w:rsidR="00E476DD">
        <w:rPr>
          <w:rFonts w:hint="eastAsia"/>
          <w:bCs/>
          <w:kern w:val="0"/>
          <w:sz w:val="24"/>
          <w:szCs w:val="24"/>
          <w:lang w:bidi="en-US"/>
        </w:rPr>
        <w:t>申购</w:t>
      </w:r>
      <w:r w:rsidR="00E476DD">
        <w:rPr>
          <w:rFonts w:hint="eastAsia"/>
          <w:bCs/>
          <w:kern w:val="0"/>
          <w:sz w:val="24"/>
          <w:szCs w:val="24"/>
          <w:lang w:bidi="en-US"/>
        </w:rPr>
        <w:t>A</w:t>
      </w:r>
      <w:r w:rsidR="00E476DD">
        <w:rPr>
          <w:rFonts w:hint="eastAsia"/>
          <w:bCs/>
          <w:kern w:val="0"/>
          <w:sz w:val="24"/>
          <w:szCs w:val="24"/>
          <w:lang w:bidi="en-US"/>
        </w:rPr>
        <w:t>类基金份额时不收取</w:t>
      </w:r>
      <w:r w:rsidR="00E476DD">
        <w:rPr>
          <w:rStyle w:val="custom"/>
          <w:rFonts w:ascii="宋体" w:hAnsi="宋体" w:cs="宋体" w:hint="eastAsia"/>
          <w:kern w:val="0"/>
          <w:sz w:val="24"/>
          <w:szCs w:val="24"/>
        </w:rPr>
        <w:t>前端</w:t>
      </w:r>
      <w:r w:rsidR="00E476DD">
        <w:rPr>
          <w:rFonts w:hint="eastAsia"/>
          <w:bCs/>
          <w:kern w:val="0"/>
          <w:sz w:val="24"/>
          <w:szCs w:val="24"/>
          <w:lang w:bidi="en-US"/>
        </w:rPr>
        <w:t>认购</w:t>
      </w:r>
      <w:r w:rsidR="00E476DD">
        <w:rPr>
          <w:bCs/>
          <w:kern w:val="0"/>
          <w:sz w:val="24"/>
          <w:szCs w:val="24"/>
          <w:lang w:bidi="en-US"/>
        </w:rPr>
        <w:t>/</w:t>
      </w:r>
      <w:r w:rsidR="00E476DD">
        <w:rPr>
          <w:rFonts w:hint="eastAsia"/>
          <w:bCs/>
          <w:kern w:val="0"/>
          <w:sz w:val="24"/>
          <w:szCs w:val="24"/>
          <w:lang w:bidi="en-US"/>
        </w:rPr>
        <w:t>申购费用</w:t>
      </w:r>
    </w:p>
    <w:p w14:paraId="0B068D5F" w14:textId="62D9AFBB" w:rsidR="00724699" w:rsidRDefault="003D167A" w:rsidP="00724699">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58、B类基金份额：</w:t>
      </w:r>
      <w:r w:rsidRPr="00724699">
        <w:rPr>
          <w:rStyle w:val="custom"/>
          <w:rFonts w:ascii="宋体" w:hAnsi="宋体" w:cs="宋体" w:hint="eastAsia"/>
          <w:kern w:val="0"/>
          <w:sz w:val="24"/>
          <w:szCs w:val="24"/>
        </w:rPr>
        <w:t>指在投资者</w:t>
      </w:r>
      <w:r w:rsidR="00E476DD">
        <w:rPr>
          <w:rFonts w:hint="eastAsia"/>
          <w:bCs/>
          <w:sz w:val="24"/>
        </w:rPr>
        <w:t>通过直销机构以外的其他销售机构</w:t>
      </w:r>
      <w:r w:rsidR="005A5B1E">
        <w:rPr>
          <w:rFonts w:hint="eastAsia"/>
          <w:bCs/>
          <w:sz w:val="24"/>
        </w:rPr>
        <w:t>认购</w:t>
      </w:r>
      <w:r w:rsidR="005A5B1E">
        <w:rPr>
          <w:rFonts w:hint="eastAsia"/>
          <w:bCs/>
          <w:sz w:val="24"/>
        </w:rPr>
        <w:t>/</w:t>
      </w:r>
      <w:r w:rsidR="005A5B1E">
        <w:rPr>
          <w:rFonts w:hint="eastAsia"/>
          <w:bCs/>
          <w:sz w:val="24"/>
        </w:rPr>
        <w:t>申购且在</w:t>
      </w:r>
      <w:r w:rsidRPr="00724699">
        <w:rPr>
          <w:rStyle w:val="custom"/>
          <w:rFonts w:ascii="宋体" w:hAnsi="宋体" w:cs="宋体" w:hint="eastAsia"/>
          <w:kern w:val="0"/>
          <w:sz w:val="24"/>
          <w:szCs w:val="24"/>
        </w:rPr>
        <w:t>赎回时收取后端认购</w:t>
      </w:r>
      <w:r>
        <w:rPr>
          <w:rStyle w:val="custom"/>
          <w:rFonts w:ascii="宋体" w:hAnsi="宋体" w:cs="宋体" w:hint="eastAsia"/>
          <w:kern w:val="0"/>
          <w:sz w:val="24"/>
          <w:szCs w:val="24"/>
        </w:rPr>
        <w:t>、</w:t>
      </w:r>
      <w:r w:rsidRPr="00724699">
        <w:rPr>
          <w:rStyle w:val="custom"/>
          <w:rFonts w:ascii="宋体" w:hAnsi="宋体" w:cs="宋体" w:hint="eastAsia"/>
          <w:kern w:val="0"/>
          <w:sz w:val="24"/>
          <w:szCs w:val="24"/>
        </w:rPr>
        <w:t>申购费用，</w:t>
      </w:r>
      <w:r>
        <w:rPr>
          <w:rStyle w:val="custom"/>
          <w:rFonts w:ascii="宋体" w:hAnsi="宋体" w:cs="宋体"/>
          <w:kern w:val="0"/>
          <w:sz w:val="24"/>
          <w:szCs w:val="24"/>
        </w:rPr>
        <w:t>在赎回时根据持有期限收取赎回费用，但不从本类别基金财产中计提销售服务费的基金份额</w:t>
      </w:r>
      <w:r w:rsidR="00E476DD">
        <w:rPr>
          <w:rStyle w:val="custom"/>
          <w:rFonts w:ascii="宋体" w:hAnsi="宋体" w:cs="宋体" w:hint="eastAsia"/>
          <w:kern w:val="0"/>
          <w:sz w:val="24"/>
          <w:szCs w:val="24"/>
        </w:rPr>
        <w:t>；</w:t>
      </w:r>
      <w:r w:rsidR="00E476DD">
        <w:rPr>
          <w:rFonts w:hint="eastAsia"/>
          <w:bCs/>
          <w:kern w:val="0"/>
          <w:sz w:val="24"/>
          <w:szCs w:val="24"/>
          <w:lang w:bidi="en-US"/>
        </w:rPr>
        <w:t>投资者通过直销机构</w:t>
      </w:r>
      <w:r w:rsidR="005A5B1E">
        <w:rPr>
          <w:rStyle w:val="custom"/>
          <w:rFonts w:ascii="宋体" w:hAnsi="宋体" w:cs="宋体" w:hint="eastAsia"/>
          <w:kern w:val="0"/>
          <w:sz w:val="24"/>
          <w:szCs w:val="24"/>
        </w:rPr>
        <w:t>认购/申购</w:t>
      </w:r>
      <w:r w:rsidR="00E476DD">
        <w:rPr>
          <w:rFonts w:hint="eastAsia"/>
          <w:bCs/>
          <w:kern w:val="0"/>
          <w:sz w:val="24"/>
          <w:szCs w:val="24"/>
          <w:lang w:bidi="en-US"/>
        </w:rPr>
        <w:t>B</w:t>
      </w:r>
      <w:r w:rsidR="00E476DD">
        <w:rPr>
          <w:rFonts w:hint="eastAsia"/>
          <w:bCs/>
          <w:kern w:val="0"/>
          <w:sz w:val="24"/>
          <w:szCs w:val="24"/>
          <w:lang w:bidi="en-US"/>
        </w:rPr>
        <w:t>类基金份额</w:t>
      </w:r>
      <w:r w:rsidR="004B0AAA">
        <w:rPr>
          <w:rFonts w:hint="eastAsia"/>
          <w:bCs/>
          <w:kern w:val="0"/>
          <w:sz w:val="24"/>
          <w:szCs w:val="24"/>
          <w:lang w:bidi="en-US"/>
        </w:rPr>
        <w:t>的，</w:t>
      </w:r>
      <w:r w:rsidR="00E476DD">
        <w:rPr>
          <w:rFonts w:hint="eastAsia"/>
          <w:bCs/>
          <w:kern w:val="0"/>
          <w:sz w:val="24"/>
          <w:szCs w:val="24"/>
          <w:lang w:bidi="en-US"/>
        </w:rPr>
        <w:t>不收取</w:t>
      </w:r>
      <w:r w:rsidR="00E476DD" w:rsidRPr="00724699">
        <w:rPr>
          <w:rStyle w:val="custom"/>
          <w:rFonts w:ascii="宋体" w:hAnsi="宋体" w:cs="宋体" w:hint="eastAsia"/>
          <w:kern w:val="0"/>
          <w:sz w:val="24"/>
          <w:szCs w:val="24"/>
        </w:rPr>
        <w:t>后端</w:t>
      </w:r>
      <w:r w:rsidR="00E476DD">
        <w:rPr>
          <w:rFonts w:hint="eastAsia"/>
          <w:bCs/>
          <w:kern w:val="0"/>
          <w:sz w:val="24"/>
          <w:szCs w:val="24"/>
          <w:lang w:bidi="en-US"/>
        </w:rPr>
        <w:t>认购</w:t>
      </w:r>
      <w:r w:rsidR="00E476DD">
        <w:rPr>
          <w:bCs/>
          <w:kern w:val="0"/>
          <w:sz w:val="24"/>
          <w:szCs w:val="24"/>
          <w:lang w:bidi="en-US"/>
        </w:rPr>
        <w:t>/</w:t>
      </w:r>
      <w:r w:rsidR="00E476DD">
        <w:rPr>
          <w:rFonts w:hint="eastAsia"/>
          <w:bCs/>
          <w:kern w:val="0"/>
          <w:sz w:val="24"/>
          <w:szCs w:val="24"/>
          <w:lang w:bidi="en-US"/>
        </w:rPr>
        <w:t>申购费用</w:t>
      </w:r>
      <w:r w:rsidR="005841E7">
        <w:rPr>
          <w:rFonts w:hint="eastAsia"/>
          <w:bCs/>
          <w:kern w:val="0"/>
          <w:sz w:val="24"/>
          <w:szCs w:val="24"/>
          <w:lang w:bidi="en-US"/>
        </w:rPr>
        <w:t>。如投资者进行转托管的，后端认购</w:t>
      </w:r>
      <w:r w:rsidR="005841E7">
        <w:rPr>
          <w:rFonts w:hint="eastAsia"/>
          <w:bCs/>
          <w:kern w:val="0"/>
          <w:sz w:val="24"/>
          <w:szCs w:val="24"/>
          <w:lang w:bidi="en-US"/>
        </w:rPr>
        <w:t>/</w:t>
      </w:r>
      <w:r w:rsidR="005841E7">
        <w:rPr>
          <w:rFonts w:hint="eastAsia"/>
          <w:bCs/>
          <w:kern w:val="0"/>
          <w:sz w:val="24"/>
          <w:szCs w:val="24"/>
          <w:lang w:bidi="en-US"/>
        </w:rPr>
        <w:t>申购费用的收取安排另行规定，具体见基金管理人届时发布的公告</w:t>
      </w:r>
    </w:p>
    <w:p w14:paraId="156A2911" w14:textId="77777777" w:rsidR="00D20988" w:rsidRDefault="003D167A">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59</w:t>
      </w:r>
      <w:r w:rsidR="001C3745">
        <w:rPr>
          <w:rStyle w:val="custom"/>
          <w:rFonts w:ascii="宋体" w:hAnsi="宋体" w:cs="宋体"/>
          <w:kern w:val="0"/>
          <w:sz w:val="24"/>
          <w:szCs w:val="24"/>
        </w:rPr>
        <w:t>、C类基金份额：指从</w:t>
      </w:r>
      <w:r w:rsidR="00E476DD">
        <w:rPr>
          <w:rFonts w:hint="eastAsia"/>
          <w:bCs/>
          <w:kern w:val="0"/>
          <w:sz w:val="24"/>
          <w:szCs w:val="24"/>
          <w:lang w:bidi="en-US"/>
        </w:rPr>
        <w:t>直销机构以外的其他销售机构保有的</w:t>
      </w:r>
      <w:r w:rsidR="001C3745">
        <w:rPr>
          <w:rStyle w:val="custom"/>
          <w:rFonts w:ascii="宋体" w:hAnsi="宋体" w:cs="宋体"/>
          <w:kern w:val="0"/>
          <w:sz w:val="24"/>
          <w:szCs w:val="24"/>
        </w:rPr>
        <w:t>本类别基金财产中计提销售服务费而不收取认购、申购费用，在赎回时根据持有期限收取赎回费用的基金份额</w:t>
      </w:r>
      <w:r w:rsidR="00E476DD" w:rsidRPr="006B6543">
        <w:rPr>
          <w:rStyle w:val="custom"/>
          <w:rFonts w:ascii="宋体" w:hAnsi="宋体" w:cs="宋体" w:hint="eastAsia"/>
          <w:kern w:val="0"/>
          <w:sz w:val="24"/>
          <w:szCs w:val="24"/>
        </w:rPr>
        <w:t>，其中对于投资者通过直销机构认购/申购的C类基金份额所计提的销售服务费或者通过其他销售机构认购/申购且持续持有期限超过一年（即365天）以后继续计提的C类基金份额销售服务费，将在投资者赎回相应基金份额或基金合同终止时随赎回款或清算款一并返还给投资者</w:t>
      </w:r>
    </w:p>
    <w:p w14:paraId="24B62374"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60</w:t>
      </w:r>
      <w:r w:rsidR="001C3745">
        <w:rPr>
          <w:rStyle w:val="custom"/>
          <w:rFonts w:ascii="宋体" w:hAnsi="宋体" w:cs="宋体"/>
          <w:kern w:val="0"/>
          <w:sz w:val="24"/>
          <w:szCs w:val="24"/>
        </w:rPr>
        <w:t>、销售服务费：指从基金财产中计提的，用于本基金市场推广、销售以及基金份额持有人服务的费用</w:t>
      </w:r>
    </w:p>
    <w:p w14:paraId="7A7AEE68"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61</w:t>
      </w:r>
      <w:r w:rsidR="001C3745">
        <w:rPr>
          <w:rStyle w:val="custom"/>
          <w:rFonts w:ascii="宋体" w:hAnsi="宋体" w:cs="宋体"/>
          <w:kern w:val="0"/>
          <w:sz w:val="24"/>
          <w:szCs w:val="24"/>
        </w:rPr>
        <w:t>、</w:t>
      </w:r>
      <w:r w:rsidR="001C3745">
        <w:rPr>
          <w:rFonts w:ascii="宋体" w:hAnsi="宋体" w:cs="宋体"/>
          <w:kern w:val="0"/>
          <w:sz w:val="24"/>
          <w:szCs w:val="24"/>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以及法律法规或中国证监会规定的其他流动性受限资产，如未来法律法规变动，基金管理人在履行适当程序后，可对上述流动性受限资产范围进行调整</w:t>
      </w:r>
    </w:p>
    <w:p w14:paraId="591900BE"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62</w:t>
      </w:r>
      <w:r w:rsidR="001C3745">
        <w:rPr>
          <w:rStyle w:val="custom"/>
          <w:rFonts w:ascii="宋体" w:hAnsi="宋体" w:cs="宋体"/>
          <w:kern w:val="0"/>
          <w:sz w:val="24"/>
          <w:szCs w:val="24"/>
        </w:rPr>
        <w:t>、</w:t>
      </w:r>
      <w:r w:rsidR="001C3745">
        <w:rPr>
          <w:rFonts w:ascii="宋体" w:hAnsi="宋体" w:cs="宋体"/>
          <w:kern w:val="0"/>
          <w:sz w:val="24"/>
          <w:szCs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如未来法律法规变动，基金管理人在履行适当程序后，可对前述摆动定价机制的定义进行调整</w:t>
      </w:r>
    </w:p>
    <w:p w14:paraId="2F3E67B2"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63</w:t>
      </w:r>
      <w:r w:rsidR="001C3745">
        <w:rPr>
          <w:rStyle w:val="custom"/>
          <w:rFonts w:ascii="宋体" w:hAnsi="宋体" w:cs="宋体"/>
          <w:kern w:val="0"/>
          <w:sz w:val="24"/>
          <w:szCs w:val="24"/>
        </w:rPr>
        <w:t>、</w:t>
      </w:r>
      <w:r w:rsidR="001C3745">
        <w:rPr>
          <w:rFonts w:ascii="宋体" w:hAnsi="宋体" w:cs="宋体"/>
          <w:kern w:val="0"/>
          <w:sz w:val="24"/>
          <w:szCs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081CD602" w14:textId="77777777" w:rsidR="00D20988" w:rsidRDefault="003D167A">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64</w:t>
      </w:r>
      <w:r w:rsidR="001C3745">
        <w:rPr>
          <w:rStyle w:val="custom"/>
          <w:rFonts w:ascii="宋体" w:hAnsi="宋体" w:cs="宋体"/>
          <w:kern w:val="0"/>
          <w:sz w:val="24"/>
          <w:szCs w:val="24"/>
        </w:rPr>
        <w:t>、</w:t>
      </w:r>
      <w:r w:rsidR="001C3745">
        <w:rPr>
          <w:rFonts w:ascii="宋体" w:hAnsi="宋体" w:cs="宋体"/>
          <w:kern w:val="0"/>
          <w:sz w:val="24"/>
          <w:szCs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554AC2FF"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65</w:t>
      </w:r>
      <w:r w:rsidR="001C3745">
        <w:rPr>
          <w:rStyle w:val="custom"/>
          <w:rFonts w:ascii="宋体" w:hAnsi="宋体" w:cs="宋体"/>
          <w:kern w:val="0"/>
          <w:sz w:val="24"/>
          <w:szCs w:val="24"/>
        </w:rPr>
        <w:t>、转融通证券出借业务：指本基金以一定费率通过证券交易所综合业务平台向中国证券金融股份有限公司出借证券，中国证券金融股份有限公司到期归还所借证券及相应权益补偿并支付费用的业务</w:t>
      </w:r>
    </w:p>
    <w:p w14:paraId="30279A49"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66</w:t>
      </w:r>
      <w:r w:rsidR="001C3745">
        <w:rPr>
          <w:rStyle w:val="custom"/>
          <w:rFonts w:ascii="宋体" w:hAnsi="宋体" w:cs="宋体"/>
          <w:kern w:val="0"/>
          <w:sz w:val="24"/>
          <w:szCs w:val="24"/>
        </w:rPr>
        <w:t>、港股通标的股票：指内地投资者委托内地证券公司，经由内地证券交易所设立的证券交易服务公司，向香港联合交易所进行申报，买卖规定范围内的香港联合交易所上市的股票</w:t>
      </w:r>
    </w:p>
    <w:p w14:paraId="7A56C0B3"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67</w:t>
      </w:r>
      <w:r w:rsidR="001C3745">
        <w:rPr>
          <w:rStyle w:val="custom"/>
          <w:rFonts w:ascii="宋体" w:hAnsi="宋体" w:cs="宋体"/>
          <w:kern w:val="0"/>
          <w:sz w:val="24"/>
          <w:szCs w:val="24"/>
        </w:rPr>
        <w:t>、</w:t>
      </w:r>
      <w:r w:rsidR="001C3745">
        <w:rPr>
          <w:rFonts w:ascii="宋体" w:hAnsi="宋体" w:cs="宋体"/>
          <w:kern w:val="0"/>
          <w:sz w:val="24"/>
          <w:szCs w:val="24"/>
        </w:rPr>
        <w:t>不可抗力：指本基金合同当事人不能预见、不能避免且不能克服的客</w:t>
      </w:r>
      <w:r w:rsidR="001C3745">
        <w:rPr>
          <w:rFonts w:ascii="宋体" w:hAnsi="宋体" w:cs="宋体"/>
          <w:kern w:val="0"/>
          <w:sz w:val="24"/>
          <w:szCs w:val="24"/>
        </w:rPr>
        <w:lastRenderedPageBreak/>
        <w:t>观事件</w:t>
      </w:r>
      <w:r w:rsidR="001C3745">
        <w:rPr>
          <w:rFonts w:ascii="宋体" w:hAnsi="宋体" w:cs="宋体"/>
          <w:kern w:val="0"/>
          <w:sz w:val="24"/>
          <w:szCs w:val="24"/>
        </w:rPr>
        <w:br w:type="page"/>
      </w:r>
    </w:p>
    <w:p w14:paraId="6D2B9F97" w14:textId="77777777" w:rsidR="009D63C8" w:rsidRDefault="003D167A" w:rsidP="009E26D0">
      <w:pPr>
        <w:pStyle w:val="1"/>
        <w:spacing w:before="0" w:after="0"/>
        <w:jc w:val="center"/>
        <w:rPr>
          <w:rFonts w:ascii="Times New Roman"/>
          <w:color w:val="auto"/>
          <w:sz w:val="30"/>
        </w:rPr>
      </w:pPr>
      <w:bookmarkStart w:id="42" w:name="_Toc256000002"/>
      <w:r w:rsidRPr="009E26D0">
        <w:rPr>
          <w:rFonts w:ascii="Times New Roman"/>
          <w:noProof/>
          <w:color w:val="auto"/>
          <w:sz w:val="30"/>
        </w:rPr>
        <w:lastRenderedPageBreak/>
        <w:t>第三部分</w:t>
      </w:r>
      <w:r w:rsidRPr="009E26D0">
        <w:rPr>
          <w:rFonts w:ascii="Times New Roman"/>
          <w:noProof/>
          <w:color w:val="auto"/>
          <w:sz w:val="30"/>
        </w:rPr>
        <w:t xml:space="preserve">  </w:t>
      </w:r>
      <w:r w:rsidRPr="009E26D0">
        <w:rPr>
          <w:rFonts w:ascii="Times New Roman"/>
          <w:noProof/>
          <w:color w:val="auto"/>
          <w:sz w:val="30"/>
        </w:rPr>
        <w:t>基金的基本情况</w:t>
      </w:r>
      <w:bookmarkEnd w:id="42"/>
    </w:p>
    <w:p w14:paraId="3D965AC4" w14:textId="77777777" w:rsidR="007A2B34" w:rsidRPr="0017353E" w:rsidRDefault="007A2B34" w:rsidP="0090469D"/>
    <w:p w14:paraId="4C24F53B" w14:textId="77777777" w:rsidR="00D20988" w:rsidRDefault="003D167A">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基金名称</w:t>
      </w:r>
    </w:p>
    <w:p w14:paraId="40E0C514" w14:textId="77777777" w:rsidR="00D20988" w:rsidRDefault="003D167A">
      <w:pPr>
        <w:pStyle w:val="div"/>
        <w:spacing w:line="360" w:lineRule="auto"/>
        <w:ind w:firstLine="480"/>
        <w:rPr>
          <w:rFonts w:ascii="宋体" w:hAnsi="宋体" w:cs="宋体"/>
          <w:kern w:val="0"/>
          <w:sz w:val="24"/>
          <w:szCs w:val="24"/>
        </w:rPr>
      </w:pPr>
      <w:r>
        <w:rPr>
          <w:rFonts w:ascii="宋体" w:hAnsi="宋体" w:cs="宋体"/>
          <w:kern w:val="0"/>
          <w:sz w:val="24"/>
          <w:szCs w:val="24"/>
        </w:rPr>
        <w:t>汇添富上证科创板综合价格指数增强型证券投资基金</w:t>
      </w:r>
    </w:p>
    <w:p w14:paraId="09F578A5" w14:textId="77777777" w:rsidR="00D20988" w:rsidRDefault="003D167A">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基金的类别</w:t>
      </w:r>
    </w:p>
    <w:p w14:paraId="29220665" w14:textId="77777777" w:rsidR="00D20988" w:rsidRDefault="003D167A">
      <w:pPr>
        <w:pStyle w:val="div"/>
        <w:spacing w:line="360" w:lineRule="auto"/>
        <w:ind w:firstLine="480"/>
        <w:rPr>
          <w:rFonts w:eastAsia="Times New Roman"/>
          <w:kern w:val="0"/>
          <w:sz w:val="24"/>
          <w:szCs w:val="24"/>
        </w:rPr>
      </w:pPr>
      <w:r>
        <w:rPr>
          <w:rStyle w:val="custom"/>
          <w:rFonts w:ascii="宋体" w:hAnsi="宋体" w:cs="宋体"/>
          <w:kern w:val="0"/>
          <w:sz w:val="24"/>
          <w:szCs w:val="24"/>
        </w:rPr>
        <w:t>股票型证券投资基金</w:t>
      </w:r>
    </w:p>
    <w:p w14:paraId="195C09DD" w14:textId="77777777" w:rsidR="00D20988" w:rsidRDefault="003D167A">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基金的运作方式</w:t>
      </w:r>
    </w:p>
    <w:p w14:paraId="7AF32D76" w14:textId="77777777" w:rsidR="00D20988" w:rsidRDefault="003D167A">
      <w:pPr>
        <w:pStyle w:val="div"/>
        <w:spacing w:line="360" w:lineRule="auto"/>
        <w:ind w:firstLine="480"/>
        <w:rPr>
          <w:rFonts w:eastAsia="Times New Roman"/>
          <w:kern w:val="0"/>
          <w:sz w:val="24"/>
          <w:szCs w:val="24"/>
        </w:rPr>
      </w:pPr>
      <w:r>
        <w:rPr>
          <w:rStyle w:val="custom"/>
          <w:rFonts w:ascii="宋体" w:hAnsi="宋体" w:cs="宋体"/>
          <w:kern w:val="0"/>
          <w:sz w:val="24"/>
          <w:szCs w:val="24"/>
        </w:rPr>
        <w:t>契约型开放式</w:t>
      </w:r>
    </w:p>
    <w:p w14:paraId="5E240153" w14:textId="77777777" w:rsidR="00D20988" w:rsidRDefault="003D167A">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基金的投资目标</w:t>
      </w:r>
    </w:p>
    <w:p w14:paraId="2653B7ED" w14:textId="77777777" w:rsidR="00D20988" w:rsidRDefault="003D167A">
      <w:pPr>
        <w:pStyle w:val="div"/>
        <w:spacing w:line="360" w:lineRule="auto"/>
        <w:ind w:firstLine="480"/>
        <w:rPr>
          <w:rFonts w:ascii="宋体" w:hAnsi="宋体" w:cs="宋体"/>
          <w:kern w:val="0"/>
          <w:sz w:val="24"/>
          <w:szCs w:val="24"/>
        </w:rPr>
      </w:pPr>
      <w:r>
        <w:rPr>
          <w:rFonts w:ascii="宋体" w:hAnsi="宋体" w:cs="宋体"/>
          <w:kern w:val="0"/>
          <w:sz w:val="24"/>
          <w:szCs w:val="24"/>
        </w:rPr>
        <w:t>本基金为股票型指数增强基金，在对标的指数进行有效跟踪的被动投资基础上，结合增强型的主动投资，进行积极的组合管理和风险控制，力求实现超越标的指数的业绩表现，谋求基金资产的长期增值。</w:t>
      </w:r>
    </w:p>
    <w:p w14:paraId="74C3D2B7"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五、基金的标的指数</w:t>
      </w:r>
    </w:p>
    <w:p w14:paraId="1777AB99"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上证科创板综合价格指数</w:t>
      </w:r>
    </w:p>
    <w:p w14:paraId="64FEBC76"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六、基金的最低募集份额总额</w:t>
      </w:r>
    </w:p>
    <w:p w14:paraId="1B90D755"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本基金的最低募集份额总额为2亿份。</w:t>
      </w:r>
    </w:p>
    <w:p w14:paraId="1EA190E7" w14:textId="77777777" w:rsidR="00D20988" w:rsidRDefault="003D167A">
      <w:pPr>
        <w:pStyle w:val="div"/>
        <w:spacing w:line="360" w:lineRule="auto"/>
        <w:ind w:firstLine="480"/>
        <w:jc w:val="left"/>
        <w:rPr>
          <w:rFonts w:eastAsia="Times New Roman"/>
          <w:kern w:val="0"/>
          <w:sz w:val="24"/>
          <w:szCs w:val="24"/>
        </w:rPr>
      </w:pPr>
      <w:r>
        <w:rPr>
          <w:rStyle w:val="serial-tag"/>
          <w:rFonts w:ascii="宋体" w:hAnsi="宋体" w:cs="宋体"/>
          <w:kern w:val="0"/>
          <w:sz w:val="24"/>
          <w:szCs w:val="24"/>
        </w:rPr>
        <w:t>七、</w:t>
      </w:r>
      <w:r>
        <w:rPr>
          <w:rStyle w:val="custom"/>
          <w:rFonts w:ascii="宋体" w:hAnsi="宋体" w:cs="宋体"/>
          <w:kern w:val="0"/>
          <w:sz w:val="24"/>
          <w:szCs w:val="24"/>
        </w:rPr>
        <w:t>基金份额发售面值和认购费用</w:t>
      </w:r>
    </w:p>
    <w:p w14:paraId="3740AA29" w14:textId="77777777" w:rsidR="00D20988" w:rsidRDefault="003D167A">
      <w:pPr>
        <w:pStyle w:val="div"/>
        <w:spacing w:line="360" w:lineRule="auto"/>
        <w:ind w:firstLine="480"/>
        <w:rPr>
          <w:rFonts w:eastAsia="Times New Roman"/>
          <w:kern w:val="0"/>
          <w:sz w:val="24"/>
          <w:szCs w:val="24"/>
        </w:rPr>
      </w:pPr>
      <w:r>
        <w:rPr>
          <w:rStyle w:val="custom"/>
          <w:rFonts w:ascii="宋体" w:hAnsi="宋体" w:cs="宋体"/>
          <w:kern w:val="0"/>
          <w:sz w:val="24"/>
          <w:szCs w:val="24"/>
        </w:rPr>
        <w:t>本基金基金份额发售面值为人民币1.00元。</w:t>
      </w:r>
    </w:p>
    <w:p w14:paraId="46CCC23B" w14:textId="77777777" w:rsidR="00D20988" w:rsidRDefault="003D167A">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本基金C类基金份额不收取认购费，A类</w:t>
      </w:r>
      <w:r w:rsidR="00724699">
        <w:rPr>
          <w:rStyle w:val="custom"/>
          <w:rFonts w:ascii="宋体" w:hAnsi="宋体" w:cs="宋体" w:hint="eastAsia"/>
          <w:kern w:val="0"/>
          <w:sz w:val="24"/>
          <w:szCs w:val="24"/>
        </w:rPr>
        <w:t>、</w:t>
      </w:r>
      <w:r w:rsidR="00724699">
        <w:rPr>
          <w:rStyle w:val="custom"/>
          <w:rFonts w:ascii="宋体" w:hAnsi="宋体" w:cs="宋体"/>
          <w:kern w:val="0"/>
          <w:sz w:val="24"/>
          <w:szCs w:val="24"/>
        </w:rPr>
        <w:t>B类</w:t>
      </w:r>
      <w:r>
        <w:rPr>
          <w:rStyle w:val="custom"/>
          <w:rFonts w:ascii="宋体" w:hAnsi="宋体" w:cs="宋体"/>
          <w:kern w:val="0"/>
          <w:sz w:val="24"/>
          <w:szCs w:val="24"/>
        </w:rPr>
        <w:t>基金份额的认购费率按招募说明书及基金产品资料概要的规定执行。</w:t>
      </w:r>
    </w:p>
    <w:p w14:paraId="38443B62" w14:textId="77777777" w:rsidR="00D20988" w:rsidRDefault="003D167A">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基金存续期限</w:t>
      </w:r>
    </w:p>
    <w:p w14:paraId="2CA6F24C" w14:textId="77777777" w:rsidR="00D20988" w:rsidRDefault="003D167A">
      <w:pPr>
        <w:pStyle w:val="div"/>
        <w:spacing w:line="360" w:lineRule="auto"/>
        <w:ind w:firstLine="480"/>
        <w:rPr>
          <w:rFonts w:eastAsia="Times New Roman"/>
          <w:kern w:val="0"/>
          <w:sz w:val="24"/>
          <w:szCs w:val="24"/>
        </w:rPr>
      </w:pPr>
      <w:r>
        <w:rPr>
          <w:rFonts w:ascii="宋体" w:hAnsi="宋体" w:cs="宋体"/>
          <w:kern w:val="0"/>
          <w:sz w:val="24"/>
          <w:szCs w:val="24"/>
        </w:rPr>
        <w:t>不定期</w:t>
      </w:r>
    </w:p>
    <w:p w14:paraId="1BAA2354"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九、基金份额类别设置</w:t>
      </w:r>
    </w:p>
    <w:p w14:paraId="691A1F8F"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本基金根据认购/申购费用、销售服务费收取方式等事项的不同，将基金份额分为不同的类别。</w:t>
      </w:r>
    </w:p>
    <w:p w14:paraId="2A39AD2F" w14:textId="77777777" w:rsidR="00E476DD" w:rsidRDefault="003D167A" w:rsidP="00E476DD">
      <w:pPr>
        <w:pStyle w:val="div"/>
        <w:spacing w:line="360" w:lineRule="auto"/>
        <w:ind w:firstLine="420"/>
        <w:rPr>
          <w:bCs/>
          <w:kern w:val="0"/>
          <w:sz w:val="24"/>
          <w:szCs w:val="24"/>
          <w:lang w:bidi="en-US"/>
        </w:rPr>
      </w:pPr>
      <w:r>
        <w:rPr>
          <w:rStyle w:val="custom"/>
          <w:rFonts w:eastAsia="Times New Roman"/>
          <w:kern w:val="0"/>
          <w:sz w:val="24"/>
          <w:szCs w:val="24"/>
        </w:rPr>
        <w:t>A</w:t>
      </w:r>
      <w:r>
        <w:rPr>
          <w:rStyle w:val="custom"/>
          <w:rFonts w:ascii="宋体" w:hAnsi="宋体" w:cs="宋体"/>
          <w:kern w:val="0"/>
          <w:sz w:val="24"/>
          <w:szCs w:val="24"/>
        </w:rPr>
        <w:t>类基金份额在投资者</w:t>
      </w:r>
      <w:r w:rsidR="00E476DD">
        <w:rPr>
          <w:rFonts w:hint="eastAsia"/>
          <w:bCs/>
          <w:sz w:val="24"/>
        </w:rPr>
        <w:t>通过直销机构以外的其他销售机构</w:t>
      </w:r>
      <w:r>
        <w:rPr>
          <w:rStyle w:val="custom"/>
          <w:rFonts w:ascii="宋体" w:hAnsi="宋体" w:cs="宋体"/>
          <w:kern w:val="0"/>
          <w:sz w:val="24"/>
          <w:szCs w:val="24"/>
        </w:rPr>
        <w:t>认购、申购时收取</w:t>
      </w:r>
      <w:r w:rsidR="006812C3">
        <w:rPr>
          <w:rStyle w:val="custom"/>
          <w:rFonts w:ascii="宋体" w:hAnsi="宋体" w:cs="宋体" w:hint="eastAsia"/>
          <w:kern w:val="0"/>
          <w:sz w:val="24"/>
          <w:szCs w:val="24"/>
        </w:rPr>
        <w:t>前端</w:t>
      </w:r>
      <w:r>
        <w:rPr>
          <w:rStyle w:val="custom"/>
          <w:rFonts w:ascii="宋体" w:hAnsi="宋体" w:cs="宋体"/>
          <w:kern w:val="0"/>
          <w:sz w:val="24"/>
          <w:szCs w:val="24"/>
        </w:rPr>
        <w:t>认购、申购费用，在赎回时根据持有期限收取赎回费用，但不从本类别基金财产中计提销售服务费；</w:t>
      </w:r>
      <w:r w:rsidR="00E476DD">
        <w:rPr>
          <w:rFonts w:hint="eastAsia"/>
          <w:bCs/>
          <w:kern w:val="0"/>
          <w:sz w:val="24"/>
          <w:szCs w:val="24"/>
          <w:lang w:bidi="en-US"/>
        </w:rPr>
        <w:t>投资者通过直销机构认购</w:t>
      </w:r>
      <w:r w:rsidR="00E476DD">
        <w:rPr>
          <w:bCs/>
          <w:kern w:val="0"/>
          <w:sz w:val="24"/>
          <w:szCs w:val="24"/>
          <w:lang w:bidi="en-US"/>
        </w:rPr>
        <w:t>/</w:t>
      </w:r>
      <w:r w:rsidR="00E476DD">
        <w:rPr>
          <w:rFonts w:hint="eastAsia"/>
          <w:bCs/>
          <w:kern w:val="0"/>
          <w:sz w:val="24"/>
          <w:szCs w:val="24"/>
          <w:lang w:bidi="en-US"/>
        </w:rPr>
        <w:t>申购</w:t>
      </w:r>
      <w:r w:rsidR="00E476DD">
        <w:rPr>
          <w:bCs/>
          <w:kern w:val="0"/>
          <w:sz w:val="24"/>
          <w:szCs w:val="24"/>
          <w:lang w:bidi="en-US"/>
        </w:rPr>
        <w:t>A</w:t>
      </w:r>
      <w:r w:rsidR="00E476DD">
        <w:rPr>
          <w:rFonts w:hint="eastAsia"/>
          <w:bCs/>
          <w:kern w:val="0"/>
          <w:sz w:val="24"/>
          <w:szCs w:val="24"/>
          <w:lang w:bidi="en-US"/>
        </w:rPr>
        <w:t>类基金份额时不收取</w:t>
      </w:r>
      <w:r w:rsidR="00E476DD">
        <w:rPr>
          <w:rStyle w:val="custom"/>
          <w:rFonts w:ascii="宋体" w:hAnsi="宋体" w:cs="宋体" w:hint="eastAsia"/>
          <w:kern w:val="0"/>
          <w:sz w:val="24"/>
          <w:szCs w:val="24"/>
        </w:rPr>
        <w:t>前端</w:t>
      </w:r>
      <w:r w:rsidR="00E476DD">
        <w:rPr>
          <w:rFonts w:hint="eastAsia"/>
          <w:bCs/>
          <w:kern w:val="0"/>
          <w:sz w:val="24"/>
          <w:szCs w:val="24"/>
          <w:lang w:bidi="en-US"/>
        </w:rPr>
        <w:t>认购</w:t>
      </w:r>
      <w:r w:rsidR="00E476DD">
        <w:rPr>
          <w:bCs/>
          <w:kern w:val="0"/>
          <w:sz w:val="24"/>
          <w:szCs w:val="24"/>
          <w:lang w:bidi="en-US"/>
        </w:rPr>
        <w:t>/</w:t>
      </w:r>
      <w:r w:rsidR="00E476DD">
        <w:rPr>
          <w:rFonts w:hint="eastAsia"/>
          <w:bCs/>
          <w:kern w:val="0"/>
          <w:sz w:val="24"/>
          <w:szCs w:val="24"/>
          <w:lang w:bidi="en-US"/>
        </w:rPr>
        <w:t>申购费用。</w:t>
      </w:r>
    </w:p>
    <w:p w14:paraId="01B59DB3" w14:textId="6E0CE9AB" w:rsidR="00E476DD" w:rsidRDefault="00724699" w:rsidP="00E476DD">
      <w:pPr>
        <w:pStyle w:val="div"/>
        <w:spacing w:line="360" w:lineRule="auto"/>
        <w:ind w:firstLine="420"/>
        <w:rPr>
          <w:bCs/>
          <w:kern w:val="0"/>
          <w:sz w:val="24"/>
          <w:szCs w:val="24"/>
          <w:lang w:bidi="en-US"/>
        </w:rPr>
      </w:pPr>
      <w:r>
        <w:rPr>
          <w:rStyle w:val="custom"/>
          <w:rFonts w:ascii="宋体" w:hAnsi="宋体" w:cs="宋体"/>
          <w:kern w:val="0"/>
          <w:sz w:val="24"/>
          <w:szCs w:val="24"/>
        </w:rPr>
        <w:lastRenderedPageBreak/>
        <w:t>B类基金份额</w:t>
      </w:r>
      <w:r w:rsidRPr="00724699">
        <w:rPr>
          <w:rStyle w:val="custom"/>
          <w:rFonts w:ascii="宋体" w:hAnsi="宋体" w:cs="宋体" w:hint="eastAsia"/>
          <w:kern w:val="0"/>
          <w:sz w:val="24"/>
          <w:szCs w:val="24"/>
        </w:rPr>
        <w:t>在投资者</w:t>
      </w:r>
      <w:r w:rsidR="00E476DD">
        <w:rPr>
          <w:rFonts w:hint="eastAsia"/>
          <w:bCs/>
          <w:sz w:val="24"/>
        </w:rPr>
        <w:t>通过直销机构以外的其他销售机构</w:t>
      </w:r>
      <w:r w:rsidR="0048158A">
        <w:rPr>
          <w:rFonts w:hint="eastAsia"/>
          <w:bCs/>
          <w:sz w:val="24"/>
        </w:rPr>
        <w:t>认购</w:t>
      </w:r>
      <w:r w:rsidR="0048158A">
        <w:rPr>
          <w:rFonts w:hint="eastAsia"/>
          <w:bCs/>
          <w:sz w:val="24"/>
        </w:rPr>
        <w:t>/</w:t>
      </w:r>
      <w:r w:rsidR="0048158A">
        <w:rPr>
          <w:rFonts w:hint="eastAsia"/>
          <w:bCs/>
          <w:sz w:val="24"/>
        </w:rPr>
        <w:t>申购且在</w:t>
      </w:r>
      <w:r w:rsidRPr="00724699">
        <w:rPr>
          <w:rStyle w:val="custom"/>
          <w:rFonts w:ascii="宋体" w:hAnsi="宋体" w:cs="宋体" w:hint="eastAsia"/>
          <w:kern w:val="0"/>
          <w:sz w:val="24"/>
          <w:szCs w:val="24"/>
        </w:rPr>
        <w:t>赎回时收取后端认购</w:t>
      </w:r>
      <w:r>
        <w:rPr>
          <w:rStyle w:val="custom"/>
          <w:rFonts w:ascii="宋体" w:hAnsi="宋体" w:cs="宋体" w:hint="eastAsia"/>
          <w:kern w:val="0"/>
          <w:sz w:val="24"/>
          <w:szCs w:val="24"/>
        </w:rPr>
        <w:t>、</w:t>
      </w:r>
      <w:r w:rsidRPr="00724699">
        <w:rPr>
          <w:rStyle w:val="custom"/>
          <w:rFonts w:ascii="宋体" w:hAnsi="宋体" w:cs="宋体" w:hint="eastAsia"/>
          <w:kern w:val="0"/>
          <w:sz w:val="24"/>
          <w:szCs w:val="24"/>
        </w:rPr>
        <w:t>申购费用，</w:t>
      </w:r>
      <w:r>
        <w:rPr>
          <w:rStyle w:val="custom"/>
          <w:rFonts w:ascii="宋体" w:hAnsi="宋体" w:cs="宋体"/>
          <w:kern w:val="0"/>
          <w:sz w:val="24"/>
          <w:szCs w:val="24"/>
        </w:rPr>
        <w:t>在赎回时根据持有期限收取赎回费用，但不从本类别基金财产中计提销售服务费</w:t>
      </w:r>
      <w:r>
        <w:rPr>
          <w:rStyle w:val="custom"/>
          <w:rFonts w:ascii="宋体" w:hAnsi="宋体" w:cs="宋体" w:hint="eastAsia"/>
          <w:kern w:val="0"/>
          <w:sz w:val="24"/>
          <w:szCs w:val="24"/>
        </w:rPr>
        <w:t>；</w:t>
      </w:r>
      <w:r w:rsidR="00E476DD">
        <w:rPr>
          <w:rFonts w:hint="eastAsia"/>
          <w:bCs/>
          <w:kern w:val="0"/>
          <w:sz w:val="24"/>
          <w:szCs w:val="24"/>
          <w:lang w:bidi="en-US"/>
        </w:rPr>
        <w:t>投资者通过直销机构</w:t>
      </w:r>
      <w:r w:rsidR="0048158A">
        <w:rPr>
          <w:rStyle w:val="custom"/>
          <w:rFonts w:ascii="宋体" w:hAnsi="宋体" w:cs="宋体" w:hint="eastAsia"/>
          <w:kern w:val="0"/>
          <w:sz w:val="24"/>
          <w:szCs w:val="24"/>
        </w:rPr>
        <w:t>认购/申购</w:t>
      </w:r>
      <w:r w:rsidR="00E476DD">
        <w:rPr>
          <w:bCs/>
          <w:kern w:val="0"/>
          <w:sz w:val="24"/>
          <w:szCs w:val="24"/>
          <w:lang w:bidi="en-US"/>
        </w:rPr>
        <w:t>B</w:t>
      </w:r>
      <w:r w:rsidR="00E476DD">
        <w:rPr>
          <w:rFonts w:hint="eastAsia"/>
          <w:bCs/>
          <w:kern w:val="0"/>
          <w:sz w:val="24"/>
          <w:szCs w:val="24"/>
          <w:lang w:bidi="en-US"/>
        </w:rPr>
        <w:t>类基金份额</w:t>
      </w:r>
      <w:r w:rsidR="0048158A">
        <w:rPr>
          <w:rFonts w:hint="eastAsia"/>
          <w:bCs/>
          <w:kern w:val="0"/>
          <w:sz w:val="24"/>
          <w:szCs w:val="24"/>
          <w:lang w:bidi="en-US"/>
        </w:rPr>
        <w:t>的，</w:t>
      </w:r>
      <w:r w:rsidR="00E476DD">
        <w:rPr>
          <w:rFonts w:hint="eastAsia"/>
          <w:bCs/>
          <w:kern w:val="0"/>
          <w:sz w:val="24"/>
          <w:szCs w:val="24"/>
          <w:lang w:bidi="en-US"/>
        </w:rPr>
        <w:t>不收取</w:t>
      </w:r>
      <w:r w:rsidR="00E476DD" w:rsidRPr="00724699">
        <w:rPr>
          <w:rStyle w:val="custom"/>
          <w:rFonts w:ascii="宋体" w:hAnsi="宋体" w:cs="宋体" w:hint="eastAsia"/>
          <w:kern w:val="0"/>
          <w:sz w:val="24"/>
          <w:szCs w:val="24"/>
        </w:rPr>
        <w:t>后端</w:t>
      </w:r>
      <w:r w:rsidR="00E476DD">
        <w:rPr>
          <w:rFonts w:hint="eastAsia"/>
          <w:bCs/>
          <w:kern w:val="0"/>
          <w:sz w:val="24"/>
          <w:szCs w:val="24"/>
          <w:lang w:bidi="en-US"/>
        </w:rPr>
        <w:t>认购</w:t>
      </w:r>
      <w:r w:rsidR="00E476DD">
        <w:rPr>
          <w:bCs/>
          <w:kern w:val="0"/>
          <w:sz w:val="24"/>
          <w:szCs w:val="24"/>
          <w:lang w:bidi="en-US"/>
        </w:rPr>
        <w:t>/</w:t>
      </w:r>
      <w:r w:rsidR="00E476DD">
        <w:rPr>
          <w:rFonts w:hint="eastAsia"/>
          <w:bCs/>
          <w:kern w:val="0"/>
          <w:sz w:val="24"/>
          <w:szCs w:val="24"/>
          <w:lang w:bidi="en-US"/>
        </w:rPr>
        <w:t>申购费用。</w:t>
      </w:r>
      <w:r w:rsidR="00182574" w:rsidRPr="00182574">
        <w:rPr>
          <w:rFonts w:hint="eastAsia"/>
          <w:bCs/>
          <w:kern w:val="0"/>
          <w:sz w:val="24"/>
          <w:szCs w:val="24"/>
          <w:lang w:bidi="en-US"/>
        </w:rPr>
        <w:t>如投资者进行转托管的，后端认购</w:t>
      </w:r>
      <w:r w:rsidR="00182574" w:rsidRPr="00182574">
        <w:rPr>
          <w:rFonts w:hint="eastAsia"/>
          <w:bCs/>
          <w:kern w:val="0"/>
          <w:sz w:val="24"/>
          <w:szCs w:val="24"/>
          <w:lang w:bidi="en-US"/>
        </w:rPr>
        <w:t>/</w:t>
      </w:r>
      <w:r w:rsidR="00182574" w:rsidRPr="00182574">
        <w:rPr>
          <w:rFonts w:hint="eastAsia"/>
          <w:bCs/>
          <w:kern w:val="0"/>
          <w:sz w:val="24"/>
          <w:szCs w:val="24"/>
          <w:lang w:bidi="en-US"/>
        </w:rPr>
        <w:t>申购费用的收取安排另行规定，具体见基金管理人届时发布的公告</w:t>
      </w:r>
      <w:r w:rsidR="00182574">
        <w:rPr>
          <w:rFonts w:hint="eastAsia"/>
          <w:bCs/>
          <w:kern w:val="0"/>
          <w:sz w:val="24"/>
          <w:szCs w:val="24"/>
          <w:lang w:bidi="en-US"/>
        </w:rPr>
        <w:t>。</w:t>
      </w:r>
    </w:p>
    <w:p w14:paraId="2F6F834B"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C类基金份额从</w:t>
      </w:r>
      <w:r w:rsidR="00DA152C">
        <w:rPr>
          <w:rFonts w:hint="eastAsia"/>
          <w:bCs/>
          <w:kern w:val="0"/>
          <w:sz w:val="24"/>
          <w:szCs w:val="24"/>
          <w:lang w:bidi="en-US"/>
        </w:rPr>
        <w:t>直销机构以外的其他销售机构保有的</w:t>
      </w:r>
      <w:r>
        <w:rPr>
          <w:rStyle w:val="custom"/>
          <w:rFonts w:ascii="宋体" w:hAnsi="宋体" w:cs="宋体"/>
          <w:kern w:val="0"/>
          <w:sz w:val="24"/>
          <w:szCs w:val="24"/>
        </w:rPr>
        <w:t>本类别基金财产中计提销售服务费而不收取认购、申购费用，在赎回时根据持有期限收取赎回费用。</w:t>
      </w:r>
      <w:r w:rsidR="00DA152C">
        <w:rPr>
          <w:rFonts w:hint="eastAsia"/>
          <w:bCs/>
          <w:kern w:val="0"/>
          <w:sz w:val="24"/>
          <w:szCs w:val="24"/>
          <w:lang w:bidi="en-US"/>
        </w:rPr>
        <w:t>其中，对于投资者通过直销机构认购</w:t>
      </w:r>
      <w:r w:rsidR="00DA152C">
        <w:rPr>
          <w:bCs/>
          <w:kern w:val="0"/>
          <w:sz w:val="24"/>
          <w:szCs w:val="24"/>
          <w:lang w:bidi="en-US"/>
        </w:rPr>
        <w:t>/</w:t>
      </w:r>
      <w:r w:rsidR="00DA152C">
        <w:rPr>
          <w:rFonts w:hint="eastAsia"/>
          <w:bCs/>
          <w:kern w:val="0"/>
          <w:sz w:val="24"/>
          <w:szCs w:val="24"/>
          <w:lang w:bidi="en-US"/>
        </w:rPr>
        <w:t>申购的</w:t>
      </w:r>
      <w:bookmarkStart w:id="43" w:name="_Hlk218688264"/>
      <w:r w:rsidR="00DA152C">
        <w:rPr>
          <w:rFonts w:hint="eastAsia"/>
          <w:bCs/>
          <w:sz w:val="24"/>
          <w:lang w:bidi="en-US"/>
        </w:rPr>
        <w:t>C</w:t>
      </w:r>
      <w:r w:rsidR="00DA152C">
        <w:rPr>
          <w:rFonts w:hint="eastAsia"/>
          <w:bCs/>
          <w:sz w:val="24"/>
          <w:lang w:bidi="en-US"/>
        </w:rPr>
        <w:t>类基金份额所计提的销售服务费</w:t>
      </w:r>
      <w:bookmarkEnd w:id="43"/>
      <w:r w:rsidR="00DA152C">
        <w:rPr>
          <w:rFonts w:hint="eastAsia"/>
          <w:bCs/>
          <w:kern w:val="0"/>
          <w:sz w:val="24"/>
          <w:szCs w:val="24"/>
          <w:lang w:bidi="en-US"/>
        </w:rPr>
        <w:t>或者通过其他销售机构认购</w:t>
      </w:r>
      <w:r w:rsidR="00DA152C">
        <w:rPr>
          <w:bCs/>
          <w:kern w:val="0"/>
          <w:sz w:val="24"/>
          <w:szCs w:val="24"/>
          <w:lang w:bidi="en-US"/>
        </w:rPr>
        <w:t>/</w:t>
      </w:r>
      <w:r w:rsidR="00DA152C">
        <w:rPr>
          <w:rFonts w:hint="eastAsia"/>
          <w:bCs/>
          <w:kern w:val="0"/>
          <w:sz w:val="24"/>
          <w:szCs w:val="24"/>
          <w:lang w:bidi="en-US"/>
        </w:rPr>
        <w:t>申购且持续持有期限超过一年（</w:t>
      </w:r>
      <w:r w:rsidR="00DA152C" w:rsidRPr="00CD09AD">
        <w:rPr>
          <w:rFonts w:hint="eastAsia"/>
          <w:bCs/>
          <w:kern w:val="0"/>
          <w:sz w:val="24"/>
          <w:szCs w:val="24"/>
          <w:lang w:bidi="en-US"/>
        </w:rPr>
        <w:t>即</w:t>
      </w:r>
      <w:r w:rsidR="00DA152C" w:rsidRPr="00CD09AD">
        <w:rPr>
          <w:rFonts w:hint="eastAsia"/>
          <w:bCs/>
          <w:kern w:val="0"/>
          <w:sz w:val="24"/>
          <w:szCs w:val="24"/>
          <w:lang w:bidi="en-US"/>
        </w:rPr>
        <w:t>365</w:t>
      </w:r>
      <w:r w:rsidR="00DA152C" w:rsidRPr="00CD09AD">
        <w:rPr>
          <w:rFonts w:hint="eastAsia"/>
          <w:bCs/>
          <w:kern w:val="0"/>
          <w:sz w:val="24"/>
          <w:szCs w:val="24"/>
          <w:lang w:bidi="en-US"/>
        </w:rPr>
        <w:t>天</w:t>
      </w:r>
      <w:r w:rsidR="00DA152C">
        <w:rPr>
          <w:rFonts w:hint="eastAsia"/>
          <w:bCs/>
          <w:kern w:val="0"/>
          <w:sz w:val="24"/>
          <w:szCs w:val="24"/>
          <w:lang w:bidi="en-US"/>
        </w:rPr>
        <w:t>）</w:t>
      </w:r>
      <w:r w:rsidR="00DA152C" w:rsidRPr="00CD09AD">
        <w:rPr>
          <w:rFonts w:hint="eastAsia"/>
          <w:bCs/>
          <w:kern w:val="0"/>
          <w:sz w:val="24"/>
          <w:szCs w:val="24"/>
          <w:lang w:bidi="en-US"/>
        </w:rPr>
        <w:t>以后继续计提</w:t>
      </w:r>
      <w:r w:rsidR="00DA152C">
        <w:rPr>
          <w:rFonts w:hint="eastAsia"/>
          <w:bCs/>
          <w:kern w:val="0"/>
          <w:sz w:val="24"/>
          <w:szCs w:val="24"/>
          <w:lang w:bidi="en-US"/>
        </w:rPr>
        <w:t>的</w:t>
      </w:r>
      <w:r w:rsidR="00DA152C">
        <w:rPr>
          <w:bCs/>
          <w:kern w:val="0"/>
          <w:sz w:val="24"/>
          <w:szCs w:val="24"/>
          <w:lang w:bidi="en-US"/>
        </w:rPr>
        <w:t>C</w:t>
      </w:r>
      <w:r w:rsidR="00DA152C">
        <w:rPr>
          <w:rFonts w:hint="eastAsia"/>
          <w:bCs/>
          <w:kern w:val="0"/>
          <w:sz w:val="24"/>
          <w:szCs w:val="24"/>
          <w:lang w:bidi="en-US"/>
        </w:rPr>
        <w:t>类基金份额销售服务费，将在投资者赎回相应基金份额或基金合同终止时随赎回款或清算款一并返还给投资者。</w:t>
      </w:r>
    </w:p>
    <w:p w14:paraId="640C8E9E"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本基金A类、B类、C类基金份额分别设置代码。由于基金费用的不同，本基金A类、B类、C类基金份额将分别计算基金份额净值，计算公式为计算日各类别基金资产净值除以计算日发售在外的该类别基金份额总数。</w:t>
      </w:r>
    </w:p>
    <w:p w14:paraId="50C820FC"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投资者可自行选择认购、申购的基金份额类别。有关基金份额类别的具体设置，费率水平等由基金管理人确定，并在招募说明书中公告。在不违反法律法规、基金合同的约定以及对基金份额持有人利益无实质性不利影响的情况下，经与基金托管人协商一致，在履行适当程序后基金管理人可增加、减少或调整基金份额类别设置、对基金份额分类办法及规则进行调整并在调整实施之日前依照《信息披露办法》的有关规定在规定媒介上公告，不需要召开基金份额持有人大会。</w:t>
      </w:r>
    </w:p>
    <w:p w14:paraId="28A6385E" w14:textId="77777777" w:rsidR="00D20988" w:rsidRDefault="003D167A">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十、未来条件许可情况下的基金模式转换</w:t>
      </w:r>
    </w:p>
    <w:p w14:paraId="0BCD394E"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若本基金管理人同时管理同一标的指数的增强</w:t>
      </w:r>
      <w:r w:rsidR="006812C3">
        <w:rPr>
          <w:rStyle w:val="custom"/>
          <w:rFonts w:ascii="宋体" w:hAnsi="宋体" w:cs="宋体" w:hint="eastAsia"/>
          <w:kern w:val="0"/>
          <w:sz w:val="24"/>
          <w:szCs w:val="24"/>
        </w:rPr>
        <w:t>策略</w:t>
      </w:r>
      <w:r>
        <w:rPr>
          <w:rStyle w:val="custom"/>
          <w:rFonts w:ascii="宋体" w:hAnsi="宋体" w:cs="宋体"/>
          <w:kern w:val="0"/>
          <w:sz w:val="24"/>
          <w:szCs w:val="24"/>
        </w:rPr>
        <w:t>交易型开放式指数基金（</w:t>
      </w:r>
      <w:r w:rsidR="006812C3">
        <w:rPr>
          <w:rStyle w:val="custom"/>
          <w:rFonts w:ascii="宋体" w:hAnsi="宋体" w:cs="宋体" w:hint="eastAsia"/>
          <w:kern w:val="0"/>
          <w:sz w:val="24"/>
          <w:szCs w:val="24"/>
        </w:rPr>
        <w:t>增强策略</w:t>
      </w:r>
      <w:r>
        <w:rPr>
          <w:rStyle w:val="custom"/>
          <w:rFonts w:ascii="宋体" w:hAnsi="宋体" w:cs="宋体"/>
          <w:kern w:val="0"/>
          <w:sz w:val="24"/>
          <w:szCs w:val="24"/>
        </w:rPr>
        <w:t>ETF），则基金管理人在履行适当程序后可使本基金采取</w:t>
      </w:r>
      <w:r w:rsidR="006812C3">
        <w:rPr>
          <w:rStyle w:val="custom"/>
          <w:rFonts w:ascii="宋体" w:hAnsi="宋体" w:cs="宋体" w:hint="eastAsia"/>
          <w:kern w:val="0"/>
          <w:sz w:val="24"/>
          <w:szCs w:val="24"/>
        </w:rPr>
        <w:t>增强策略</w:t>
      </w:r>
      <w:r>
        <w:rPr>
          <w:rStyle w:val="custom"/>
          <w:rFonts w:ascii="宋体" w:hAnsi="宋体" w:cs="宋体"/>
          <w:kern w:val="0"/>
          <w:sz w:val="24"/>
          <w:szCs w:val="24"/>
        </w:rPr>
        <w:t>ETF联接基金模式并相应修改《基金合同》，届时无需召开基金份额持有人大会。</w:t>
      </w:r>
      <w:r>
        <w:rPr>
          <w:rStyle w:val="custom"/>
          <w:rFonts w:ascii="宋体" w:hAnsi="宋体" w:cs="宋体"/>
          <w:kern w:val="0"/>
          <w:sz w:val="24"/>
          <w:szCs w:val="24"/>
        </w:rPr>
        <w:br w:type="page"/>
      </w:r>
    </w:p>
    <w:p w14:paraId="5B1C1FEE" w14:textId="77777777" w:rsidR="009D63C8" w:rsidRDefault="003D167A" w:rsidP="009E26D0">
      <w:pPr>
        <w:pStyle w:val="1"/>
        <w:spacing w:before="0" w:after="0"/>
        <w:jc w:val="center"/>
        <w:rPr>
          <w:rFonts w:ascii="Times New Roman"/>
          <w:color w:val="auto"/>
          <w:sz w:val="30"/>
        </w:rPr>
      </w:pPr>
      <w:bookmarkStart w:id="44" w:name="_Toc256000003"/>
      <w:r w:rsidRPr="009E26D0">
        <w:rPr>
          <w:rFonts w:ascii="Times New Roman"/>
          <w:noProof/>
          <w:color w:val="auto"/>
          <w:sz w:val="30"/>
        </w:rPr>
        <w:lastRenderedPageBreak/>
        <w:t>第四部分</w:t>
      </w:r>
      <w:r w:rsidRPr="009E26D0">
        <w:rPr>
          <w:rFonts w:ascii="Times New Roman"/>
          <w:noProof/>
          <w:color w:val="auto"/>
          <w:sz w:val="30"/>
        </w:rPr>
        <w:t xml:space="preserve">  </w:t>
      </w:r>
      <w:r w:rsidRPr="009E26D0">
        <w:rPr>
          <w:rFonts w:ascii="Times New Roman"/>
          <w:noProof/>
          <w:color w:val="auto"/>
          <w:sz w:val="30"/>
        </w:rPr>
        <w:t>基金份额的发售</w:t>
      </w:r>
      <w:bookmarkEnd w:id="44"/>
    </w:p>
    <w:p w14:paraId="6101C8F2" w14:textId="77777777" w:rsidR="007A2B34" w:rsidRPr="0017353E" w:rsidRDefault="007A2B34" w:rsidP="0090469D"/>
    <w:p w14:paraId="1C86E3CD"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一、基金份额的发售时间、发售方式、发售对象</w:t>
      </w:r>
    </w:p>
    <w:p w14:paraId="7DDDFAEC"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1、发售时间</w:t>
      </w:r>
    </w:p>
    <w:p w14:paraId="47F02C91"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自基金份额发售之日起最长不得超过3个月，具体发售时间见基金份额发售公告。</w:t>
      </w:r>
    </w:p>
    <w:p w14:paraId="63EA81D4"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2、发售方式</w:t>
      </w:r>
    </w:p>
    <w:p w14:paraId="368382F9"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通过各销售机构的基金销售网点公开发售，各销售机构的具体名单见基金管理人网站届时公示的基金销售机构名录。</w:t>
      </w:r>
    </w:p>
    <w:p w14:paraId="6E4465F1"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3、发售对象</w:t>
      </w:r>
    </w:p>
    <w:p w14:paraId="5107C66F"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符合法律法规规定的可投资于证券投资基金的个人投资者、机构投资者、合格境外投资者以及法律法规或中国证监会允许购买证券投资基金的其他投资人。</w:t>
      </w:r>
    </w:p>
    <w:p w14:paraId="32548224"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二、基金份额的认购</w:t>
      </w:r>
    </w:p>
    <w:p w14:paraId="6F11758B"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1、认购费用</w:t>
      </w:r>
    </w:p>
    <w:p w14:paraId="0BD746DE" w14:textId="77777777" w:rsidR="00D20988" w:rsidRDefault="003D167A">
      <w:pPr>
        <w:pStyle w:val="div"/>
        <w:spacing w:line="360" w:lineRule="auto"/>
        <w:ind w:firstLine="420"/>
        <w:rPr>
          <w:rFonts w:ascii="宋体" w:hAnsi="宋体" w:cs="宋体"/>
          <w:kern w:val="0"/>
          <w:sz w:val="24"/>
          <w:szCs w:val="24"/>
        </w:rPr>
      </w:pPr>
      <w:r>
        <w:rPr>
          <w:rFonts w:ascii="宋体" w:hAnsi="宋体" w:cs="宋体"/>
          <w:kern w:val="0"/>
          <w:sz w:val="24"/>
          <w:szCs w:val="24"/>
        </w:rPr>
        <w:t>本基金C类基金份额不收取认购费，A类</w:t>
      </w:r>
      <w:r w:rsidR="000E4939">
        <w:rPr>
          <w:rFonts w:ascii="宋体" w:hAnsi="宋体" w:cs="宋体" w:hint="eastAsia"/>
          <w:kern w:val="0"/>
          <w:sz w:val="24"/>
          <w:szCs w:val="24"/>
        </w:rPr>
        <w:t>、</w:t>
      </w:r>
      <w:r w:rsidR="000E4939">
        <w:rPr>
          <w:rFonts w:ascii="宋体" w:hAnsi="宋体" w:cs="宋体"/>
          <w:kern w:val="0"/>
          <w:sz w:val="24"/>
          <w:szCs w:val="24"/>
        </w:rPr>
        <w:t>B类</w:t>
      </w:r>
      <w:r>
        <w:rPr>
          <w:rFonts w:ascii="宋体" w:hAnsi="宋体" w:cs="宋体"/>
          <w:kern w:val="0"/>
          <w:sz w:val="24"/>
          <w:szCs w:val="24"/>
        </w:rPr>
        <w:t>基金份额的认购费率由基金管理人决定，并在招募说明书及基金产品资料概要中列示。基金认购费用不列入基金财产。</w:t>
      </w:r>
    </w:p>
    <w:p w14:paraId="5CC65F61"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2、募集期利息的处理方式</w:t>
      </w:r>
    </w:p>
    <w:p w14:paraId="4145F6F0"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有效认购款项在募集期间产生的利息将折算为基金份额归基金份额持有人所有，其中利息转份额以登记机构的记录为准。</w:t>
      </w:r>
    </w:p>
    <w:p w14:paraId="341F21D7"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3、基金认购份额的计算</w:t>
      </w:r>
    </w:p>
    <w:p w14:paraId="296207FA"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基金认购份额具体的计算方法在招募说明书中列示。</w:t>
      </w:r>
    </w:p>
    <w:p w14:paraId="30D8D79D"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4、认购份额余额的处理方式</w:t>
      </w:r>
    </w:p>
    <w:p w14:paraId="09D47B0E"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认购份额（含利息折算的份额）的计算保留到小数点后2位，小数点2位以后的部分四舍五入，由此误差产生的收益或损失由基金财产承担。</w:t>
      </w:r>
    </w:p>
    <w:p w14:paraId="37817378"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5、认购申请的确认</w:t>
      </w:r>
    </w:p>
    <w:p w14:paraId="7C37A2F3"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销售机构对认购申请的受理并不代表该申请一定成功，而仅代表销售机构确实接收到认购申请。认购申请的确认以登记机构的确认结果为准。对于认购申请及认购份额的确认情况，投资人应及时查询并妥善行使合法权利，否则，由此产</w:t>
      </w:r>
      <w:r>
        <w:rPr>
          <w:rFonts w:ascii="宋体" w:hAnsi="宋体" w:cs="宋体"/>
          <w:kern w:val="0"/>
          <w:sz w:val="24"/>
          <w:szCs w:val="24"/>
        </w:rPr>
        <w:lastRenderedPageBreak/>
        <w:t>生的任何损失由投资者自行承担。</w:t>
      </w:r>
    </w:p>
    <w:p w14:paraId="7D7334BE"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三、基金份额认购金额的限制</w:t>
      </w:r>
    </w:p>
    <w:p w14:paraId="47BB4F97"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1、投资人认购时，需按销售机构规定的方式全额缴款。</w:t>
      </w:r>
    </w:p>
    <w:p w14:paraId="77E9235A"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2、基金管理人可以对每个基金交易账户的单笔最低认购金额进行限制，具体限制请参看招募说明书或相关公告。</w:t>
      </w:r>
    </w:p>
    <w:p w14:paraId="45FE292F"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3、基金管理人可以对募集期间的单个投资人的累计认购金额进行限制，具体限制和处理方法请参看招募说明书或相关公告。</w:t>
      </w:r>
    </w:p>
    <w:p w14:paraId="427EC2B8"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4、基金管理人可以对募集期间的本基金募集规模设置上限。募集期内超过募集规模上限时，基金管理人可以采用比例确认或其他方式进行确认，具体办法参见基金份额发售公告或相关公告。</w:t>
      </w:r>
    </w:p>
    <w:p w14:paraId="1400F419"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5、投资人在募集期内可以多次认购基金份额，但已受理的认购申请不得撤销。</w:t>
      </w:r>
    </w:p>
    <w:p w14:paraId="03A1221A" w14:textId="77777777" w:rsidR="00D20988" w:rsidRDefault="003D167A">
      <w:pPr>
        <w:pStyle w:val="div"/>
        <w:spacing w:line="360" w:lineRule="auto"/>
        <w:ind w:firstLine="420"/>
        <w:rPr>
          <w:rFonts w:ascii="宋体" w:hAnsi="宋体" w:cs="宋体"/>
          <w:kern w:val="0"/>
          <w:sz w:val="24"/>
          <w:szCs w:val="24"/>
        </w:rPr>
      </w:pPr>
      <w:r>
        <w:rPr>
          <w:rFonts w:ascii="宋体" w:hAnsi="宋体" w:cs="宋体"/>
          <w:kern w:val="0"/>
          <w:sz w:val="24"/>
          <w:szCs w:val="24"/>
        </w:rPr>
        <w:t>6、如本基金单个投资人累计认购的基金份额数达到或者超过基金份额总数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r>
        <w:rPr>
          <w:rFonts w:ascii="宋体" w:hAnsi="宋体" w:cs="宋体"/>
          <w:kern w:val="0"/>
          <w:sz w:val="24"/>
          <w:szCs w:val="24"/>
        </w:rPr>
        <w:br w:type="page"/>
      </w:r>
    </w:p>
    <w:p w14:paraId="57A5E9B4" w14:textId="77777777" w:rsidR="009D63C8" w:rsidRDefault="003D167A" w:rsidP="009E26D0">
      <w:pPr>
        <w:pStyle w:val="1"/>
        <w:spacing w:before="0" w:after="0"/>
        <w:jc w:val="center"/>
        <w:rPr>
          <w:rFonts w:ascii="Times New Roman"/>
          <w:color w:val="auto"/>
          <w:sz w:val="30"/>
        </w:rPr>
      </w:pPr>
      <w:bookmarkStart w:id="45" w:name="_Toc256000004"/>
      <w:r w:rsidRPr="009E26D0">
        <w:rPr>
          <w:rFonts w:ascii="Times New Roman"/>
          <w:noProof/>
          <w:color w:val="auto"/>
          <w:sz w:val="30"/>
        </w:rPr>
        <w:lastRenderedPageBreak/>
        <w:t>第五部分</w:t>
      </w:r>
      <w:r w:rsidRPr="009E26D0">
        <w:rPr>
          <w:rFonts w:ascii="Times New Roman"/>
          <w:noProof/>
          <w:color w:val="auto"/>
          <w:sz w:val="30"/>
        </w:rPr>
        <w:t xml:space="preserve">  </w:t>
      </w:r>
      <w:r w:rsidRPr="009E26D0">
        <w:rPr>
          <w:rFonts w:ascii="Times New Roman"/>
          <w:noProof/>
          <w:color w:val="auto"/>
          <w:sz w:val="30"/>
        </w:rPr>
        <w:t>基金备案</w:t>
      </w:r>
      <w:bookmarkEnd w:id="45"/>
    </w:p>
    <w:p w14:paraId="13038951" w14:textId="77777777" w:rsidR="007A2B34" w:rsidRPr="0017353E" w:rsidRDefault="007A2B34" w:rsidP="0090469D"/>
    <w:p w14:paraId="09B7A39F" w14:textId="77777777" w:rsidR="00D20988" w:rsidRDefault="003D167A">
      <w:pPr>
        <w:pStyle w:val="div"/>
        <w:widowControl/>
        <w:spacing w:line="360" w:lineRule="auto"/>
        <w:ind w:firstLine="480"/>
        <w:jc w:val="left"/>
        <w:rPr>
          <w:rStyle w:val="custom"/>
          <w:rFonts w:ascii="宋体" w:hAnsi="宋体" w:cs="宋体"/>
          <w:kern w:val="0"/>
          <w:sz w:val="24"/>
          <w:szCs w:val="24"/>
        </w:rPr>
      </w:pPr>
      <w:r>
        <w:rPr>
          <w:rStyle w:val="serial-tag"/>
          <w:rFonts w:ascii="宋体" w:hAnsi="宋体" w:cs="宋体"/>
          <w:kern w:val="0"/>
          <w:sz w:val="24"/>
          <w:szCs w:val="24"/>
        </w:rPr>
        <w:t>一、</w:t>
      </w:r>
      <w:r>
        <w:rPr>
          <w:rStyle w:val="custom"/>
          <w:rFonts w:ascii="宋体" w:hAnsi="宋体" w:cs="宋体"/>
          <w:kern w:val="0"/>
          <w:sz w:val="24"/>
          <w:szCs w:val="24"/>
        </w:rPr>
        <w:t>基金备案的条件</w:t>
      </w:r>
    </w:p>
    <w:p w14:paraId="650CD144" w14:textId="77777777" w:rsidR="00D20988" w:rsidRDefault="003D167A">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14:paraId="37C51AFC" w14:textId="77777777" w:rsidR="00D20988" w:rsidRDefault="003D167A">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1FA90400" w14:textId="77777777" w:rsidR="00D20988" w:rsidRDefault="003D167A">
      <w:pPr>
        <w:pStyle w:val="div"/>
        <w:widowControl/>
        <w:spacing w:line="360" w:lineRule="auto"/>
        <w:ind w:firstLine="480"/>
        <w:jc w:val="left"/>
        <w:rPr>
          <w:rStyle w:val="custom"/>
          <w:rFonts w:ascii="宋体" w:hAnsi="宋体" w:cs="宋体"/>
          <w:kern w:val="0"/>
          <w:sz w:val="24"/>
          <w:szCs w:val="24"/>
        </w:rPr>
      </w:pPr>
      <w:r>
        <w:rPr>
          <w:rStyle w:val="serial-tag"/>
          <w:rFonts w:ascii="宋体" w:hAnsi="宋体" w:cs="宋体"/>
          <w:kern w:val="0"/>
          <w:sz w:val="24"/>
          <w:szCs w:val="24"/>
        </w:rPr>
        <w:t>二、</w:t>
      </w:r>
      <w:r>
        <w:rPr>
          <w:rStyle w:val="custom"/>
          <w:rFonts w:ascii="宋体" w:hAnsi="宋体" w:cs="宋体"/>
          <w:kern w:val="0"/>
          <w:sz w:val="24"/>
          <w:szCs w:val="24"/>
        </w:rPr>
        <w:t>基金合同不能生效时募集资金的处理方式</w:t>
      </w:r>
    </w:p>
    <w:p w14:paraId="320B2E4C" w14:textId="77777777" w:rsidR="00D20988" w:rsidRDefault="003D167A">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如果募集期限届满，未满足基金备案条件，基金管理人应当承担下列责任：</w:t>
      </w:r>
    </w:p>
    <w:p w14:paraId="71FBD939" w14:textId="77777777" w:rsidR="00D20988" w:rsidRDefault="003D167A">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1、以其固有财产承担因募集行为而产生的债务和费用；</w:t>
      </w:r>
    </w:p>
    <w:p w14:paraId="65C941B6" w14:textId="77777777" w:rsidR="00D20988" w:rsidRDefault="003D167A">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2、在基金募集期限届满后30日内返还投资者已缴纳的款项，并加计银行同期活期存款利息；</w:t>
      </w:r>
    </w:p>
    <w:p w14:paraId="74EAD36F" w14:textId="77777777" w:rsidR="00D20988" w:rsidRDefault="003D167A">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3、如基金募集失败，基金管理人、基金托管人及销售机构不得请求报酬。基金管理人、基金托管人和销售机构为基金募集支付之一切费用应由各方各自承担。</w:t>
      </w:r>
    </w:p>
    <w:p w14:paraId="6FBE2DE0"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基金存续期内的基金份额持有人数量和资产规模</w:t>
      </w:r>
    </w:p>
    <w:p w14:paraId="6DF2E195"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14:paraId="19C51109"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法律法规或中国证监会另有规定时，从其规定。</w:t>
      </w:r>
      <w:r>
        <w:rPr>
          <w:rStyle w:val="custom"/>
          <w:rFonts w:ascii="宋体" w:hAnsi="宋体" w:cs="宋体"/>
          <w:kern w:val="0"/>
          <w:sz w:val="24"/>
          <w:szCs w:val="24"/>
        </w:rPr>
        <w:br w:type="page"/>
      </w:r>
    </w:p>
    <w:p w14:paraId="382B3C25" w14:textId="77777777" w:rsidR="009D63C8" w:rsidRDefault="003D167A" w:rsidP="009E26D0">
      <w:pPr>
        <w:pStyle w:val="1"/>
        <w:spacing w:before="0" w:after="0"/>
        <w:jc w:val="center"/>
        <w:rPr>
          <w:rFonts w:ascii="Times New Roman"/>
          <w:color w:val="auto"/>
          <w:sz w:val="30"/>
        </w:rPr>
      </w:pPr>
      <w:bookmarkStart w:id="46" w:name="_Toc256000005"/>
      <w:r w:rsidRPr="009E26D0">
        <w:rPr>
          <w:rFonts w:ascii="Times New Roman"/>
          <w:noProof/>
          <w:color w:val="auto"/>
          <w:sz w:val="30"/>
        </w:rPr>
        <w:lastRenderedPageBreak/>
        <w:t>第六部分</w:t>
      </w:r>
      <w:r w:rsidRPr="009E26D0">
        <w:rPr>
          <w:rFonts w:ascii="Times New Roman"/>
          <w:noProof/>
          <w:color w:val="auto"/>
          <w:sz w:val="30"/>
        </w:rPr>
        <w:t xml:space="preserve">  </w:t>
      </w:r>
      <w:r w:rsidRPr="009E26D0">
        <w:rPr>
          <w:rFonts w:ascii="Times New Roman"/>
          <w:noProof/>
          <w:color w:val="auto"/>
          <w:sz w:val="30"/>
        </w:rPr>
        <w:t>基金份额的申购与赎回</w:t>
      </w:r>
      <w:bookmarkEnd w:id="46"/>
    </w:p>
    <w:p w14:paraId="6DAF21EB" w14:textId="77777777" w:rsidR="007A2B34" w:rsidRPr="0017353E" w:rsidRDefault="007A2B34" w:rsidP="0090469D"/>
    <w:p w14:paraId="72B52356"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申购和赎回场所</w:t>
      </w:r>
    </w:p>
    <w:p w14:paraId="2A199AE5"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本基金的申购与赎回将通过销售机构进行。具体的销售机构将由基金管理人在招募说明书或其他相关公示中列明。基金管理人可根据情况变更或增减销售机构，并在基金管理人网站公示。基金投资者应当在销售机构办理基金销售业务的营业场所或按销售机构提供的其他方式办理基金份额的申购与赎回。若基金管理人或其指定的销售机构开通电话、传真或网上等交易方式，投资人可以通过上述方式进行申购与赎回。</w:t>
      </w:r>
    </w:p>
    <w:p w14:paraId="33581863"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申购和赎回的开放日及时间</w:t>
      </w:r>
    </w:p>
    <w:p w14:paraId="55AC5598"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开放日及开放时间</w:t>
      </w:r>
    </w:p>
    <w:p w14:paraId="4F5C9AEF"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投资人在开放日办理基金份额的申购和赎回，</w:t>
      </w:r>
      <w:r>
        <w:rPr>
          <w:rFonts w:ascii="宋体" w:hAnsi="宋体" w:cs="宋体"/>
          <w:kern w:val="0"/>
          <w:sz w:val="24"/>
          <w:szCs w:val="24"/>
        </w:rPr>
        <w:t>具体办理时间为上海证券交易所、深圳证券交易所的正常交易日的交易时间</w:t>
      </w:r>
      <w:r>
        <w:rPr>
          <w:rStyle w:val="custom"/>
          <w:rFonts w:ascii="宋体" w:hAnsi="宋体" w:cs="宋体"/>
          <w:kern w:val="0"/>
          <w:sz w:val="24"/>
          <w:szCs w:val="24"/>
        </w:rPr>
        <w:t>（如遇香港联合交易所法定节假日或因其他原因暂停营业或港股通暂停交易的情形，基金管理人有权暂停办理基金份额的申购和赎回业务）</w:t>
      </w:r>
      <w:r>
        <w:rPr>
          <w:rFonts w:ascii="宋体" w:hAnsi="宋体" w:cs="宋体"/>
          <w:kern w:val="0"/>
          <w:sz w:val="24"/>
          <w:szCs w:val="24"/>
        </w:rPr>
        <w:t>，但基金管理人根据法律法规、中国证监会的要求或本基金合同的规定公告暂停申购、赎回时除外。开放日的具体业务办理时间在招募说明书或基金管理人届时发布的相关公告中载明。</w:t>
      </w:r>
    </w:p>
    <w:p w14:paraId="2EB0A030"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基金合同生效后，若出现新的证券/期货交易市场、证券/期货交易所交易时间变更、其他特殊情况或根据业务需要，基金管理人将视情况对前述开放日及开放时间进行相应的调整，但应在实施日前依照《信息披露办法》的有关规定在规定媒介上公告。</w:t>
      </w:r>
    </w:p>
    <w:p w14:paraId="48FE115A"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申购、赎回开始日及业务办理时间</w:t>
      </w:r>
    </w:p>
    <w:p w14:paraId="55EC8136"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基金管理人可根据实际情况依法决定本基金开始办理申购的具体日期，具体业务办理时间在开放申购业务的公告中规定。</w:t>
      </w:r>
    </w:p>
    <w:p w14:paraId="6D25D473"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基金管理人自基金合同生效之日起不超过3个月开始办理赎回，具体业务办理时间在开放赎回业务的公告中规定。</w:t>
      </w:r>
    </w:p>
    <w:p w14:paraId="5F5425D4"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在确定申购开始与赎回开始时间后，基金管理人应在申购、赎回开放日前依照《信息披露办法》的有关规定在规定媒介上公告申购与赎回的开始时间。</w:t>
      </w:r>
    </w:p>
    <w:p w14:paraId="3A3C1F24"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基金管理人不得在基金合同约定之外的日期或者时间办理基金份额的申购、</w:t>
      </w:r>
      <w:r>
        <w:rPr>
          <w:rStyle w:val="custom"/>
          <w:rFonts w:ascii="宋体" w:hAnsi="宋体" w:cs="宋体"/>
          <w:kern w:val="0"/>
          <w:sz w:val="24"/>
          <w:szCs w:val="24"/>
        </w:rPr>
        <w:lastRenderedPageBreak/>
        <w:t>赎回或者转换。投资人在基金合同约定之外的日期和时间提出申购、赎回或转换申请且登记机构确认接受的，其基金份额申购、赎回价格为下一开放日相应类别的基金份额申购、赎回的价格。</w:t>
      </w:r>
    </w:p>
    <w:p w14:paraId="2F837BD9"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申购与赎回的原则</w:t>
      </w:r>
    </w:p>
    <w:p w14:paraId="62331084"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1、“未知价”原则，即申购、赎回价格以申请当日收市后计算的相应类别的基金份额净值为基准进行计算；</w:t>
      </w:r>
    </w:p>
    <w:p w14:paraId="5C0D8C3E"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“金额申购、份额赎回”原则，即申购以金额申请，赎回以份额申请；</w:t>
      </w:r>
    </w:p>
    <w:p w14:paraId="0EC9FCC5"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当日的申购与赎回申请可以在基金管理人规定的时间以内撤销；</w:t>
      </w:r>
    </w:p>
    <w:p w14:paraId="75F2C7A9"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4、赎回遵循“先进先出”原则，即按照投资人认购、申购的先后次序进行顺序赎回；</w:t>
      </w:r>
    </w:p>
    <w:p w14:paraId="7DE2A423"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办理申购、赎回业务时，应当遵循基金份额持有人利益优先原则，确保投资者的合法权益不受损害并得到公平对待。</w:t>
      </w:r>
    </w:p>
    <w:p w14:paraId="7ABFDBC1"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基金管理人可在法律法规允许的情况下，对上述原则进行调整。基金管理人必须在新规则开始实施前依照《信息披露办法》的有关规定在规定媒介上公告。</w:t>
      </w:r>
    </w:p>
    <w:p w14:paraId="2D5E83DC"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申购与赎回的程序</w:t>
      </w:r>
    </w:p>
    <w:p w14:paraId="1DF5556F"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申购和赎回的申请方式</w:t>
      </w:r>
    </w:p>
    <w:p w14:paraId="67DB33E0"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投资人必须根据销售机构规定的程序，在开放日的具体业务办理时间内提出申购或赎回的申请。投资者在提交申购申请时，须按销售机构规定的方式备足申购资金，投资者在提交赎回申请时，应确保账户内有足够的基金份额余额，否则申购、赎回申请不成立。</w:t>
      </w:r>
    </w:p>
    <w:p w14:paraId="5F620D30"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申购和赎回的款项支付</w:t>
      </w:r>
    </w:p>
    <w:p w14:paraId="4FA0CB18"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投资人申购基金份额时，必须在规定时间前全额交付申购款项，否则所提交的申购申请不成立。投资人在规定时间前全额交付申购款项，申购成立；基金份额登记机构确认基金份额时，申购生效。</w:t>
      </w:r>
    </w:p>
    <w:p w14:paraId="669C3DB2"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份额持有人在提交赎回申请时，必须有足够的基金份额余额，否则所提交的赎回申请不成立。基金份额持有人递交赎回申请，赎回成立；基金份额登记机构确认赎回时，赎回生效。投资者赎回申请生效后，基金管理人将在T+7日（包括该日）内支付赎回款项。在发生巨额赎回时，款项的支付办法参照本基金合同有关条款处理。</w:t>
      </w:r>
    </w:p>
    <w:p w14:paraId="12F7B7AC"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lastRenderedPageBreak/>
        <w:t>遇交易所或交易市场数据传输延迟、通讯系统故障、银行数据交换系统故障、港股通交易系统</w:t>
      </w:r>
      <w:r w:rsidR="00914C05">
        <w:rPr>
          <w:rFonts w:ascii="宋体" w:hAnsi="宋体" w:cs="宋体" w:hint="eastAsia"/>
          <w:kern w:val="0"/>
          <w:sz w:val="24"/>
          <w:szCs w:val="24"/>
        </w:rPr>
        <w:t>故障、</w:t>
      </w:r>
      <w:r>
        <w:rPr>
          <w:rFonts w:ascii="宋体" w:hAnsi="宋体" w:cs="宋体"/>
          <w:kern w:val="0"/>
          <w:sz w:val="24"/>
          <w:szCs w:val="24"/>
        </w:rPr>
        <w:t>港股通资金交收规则限制或其他非基金管理人及基金托管人所能控制的因素影响业务处理流程，则赎回款项顺延至上述情形消除后的下一个工作日划出。</w:t>
      </w:r>
    </w:p>
    <w:p w14:paraId="444E0B70"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基金管理人可以在法律法规和基金合同允许的范围内，对上述业务办理时间进行调整，基金管理人必须在调整实施前依照《信息披露办法》的有关规定在规定媒介上公告。</w:t>
      </w:r>
    </w:p>
    <w:p w14:paraId="0119AC3F"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申购和赎回申请的确认</w:t>
      </w:r>
    </w:p>
    <w:p w14:paraId="50F19738"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管理人应以交易时间结束前受理有效申购和赎回申请的当天作为申购或赎回申请日(T日)，在正常情况下，本基金登记机构在T+1日内对该交易的有效性进行确认。T日提交的有效申请，投资人应在T+2日后(包括该日)及时到销售网点柜台或以销售机构规定的其他方式查询申请的确认情况。若申购不成立或无效，则申购款项退还给投资人。</w:t>
      </w:r>
    </w:p>
    <w:p w14:paraId="5F43313C"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销售机构对申购、赎回申请的受理并不代表申请一定成功，而仅代表销售机构确实接收到申请。申购、赎回的确认以登记机构的确认结果为准。对于申请的确认情况，投资者应及时查询并妥善行使合法权利，否则，由此产生的任何损失由投资人自行承担。</w:t>
      </w:r>
    </w:p>
    <w:p w14:paraId="2FC4B3B3"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在法律法规允许的范围内，本基金管理人或登记机构可根据业务规则，对上述业务办理时间进行调整，基金管理人必须在调整实施前依照《信息披露办法》的有关规定在规定媒介上公告。</w:t>
      </w:r>
    </w:p>
    <w:p w14:paraId="282E98E5"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申购和赎回的数量限制</w:t>
      </w:r>
    </w:p>
    <w:p w14:paraId="1EAC4BE1"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基金管理人可以规定投资人首次申购和每次申购的最低金额以及每次赎回的最低份额，具体规定请参见招募说明书或相关公告。</w:t>
      </w:r>
    </w:p>
    <w:p w14:paraId="52E7C38A"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基金管理人可以规定投资人每个基金交易账户的最低基金份额余额，具体规定请参见招募说明书或相关公告。</w:t>
      </w:r>
    </w:p>
    <w:p w14:paraId="204565F1"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基金管理人可以规定单个投资人累计持有的基金份额上限，具体规定请参见招募说明书或相关公告。</w:t>
      </w:r>
    </w:p>
    <w:p w14:paraId="21649C1B"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当接受申购申请对存量基金份额持有人利益构成潜在重大不利影响时，基金管理人应当采取设定单一投资者申购金额上限、基金规模上限或基金单日</w:t>
      </w:r>
      <w:r>
        <w:rPr>
          <w:rFonts w:ascii="宋体" w:hAnsi="宋体" w:cs="宋体"/>
          <w:kern w:val="0"/>
          <w:sz w:val="24"/>
          <w:szCs w:val="24"/>
        </w:rPr>
        <w:lastRenderedPageBreak/>
        <w:t>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2BC56B36"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基金管理人可在法律法规允许的情况下，调整上述规定申购金额和赎回份额的数量限制或新增基金规模控制措施。基金管理人必须在调整实施前依照《信息披露办法》的有关规定在规定媒介上公告。</w:t>
      </w:r>
    </w:p>
    <w:p w14:paraId="4FAEC152"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申购和赎回的价格、费用及其用途</w:t>
      </w:r>
    </w:p>
    <w:p w14:paraId="7E3B444C"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1、本基金各类基金份额净值的计算，均保留到小数点后4位，小数点后第5位四舍五入，由此产生的收益或损失由基金财产承担。T日的各类基金份额净值在当天收市后计算，并根据基金合同的约定公告。</w:t>
      </w:r>
      <w:r>
        <w:rPr>
          <w:rFonts w:ascii="宋体" w:hAnsi="宋体" w:cs="宋体"/>
          <w:kern w:val="0"/>
          <w:sz w:val="24"/>
          <w:szCs w:val="24"/>
        </w:rPr>
        <w:t>遇特殊情况，</w:t>
      </w:r>
      <w:r>
        <w:rPr>
          <w:rFonts w:ascii="宋体" w:hAnsi="宋体" w:cs="宋体"/>
          <w:color w:val="000000"/>
          <w:kern w:val="0"/>
          <w:sz w:val="24"/>
          <w:szCs w:val="24"/>
        </w:rPr>
        <w:t>经履行适当程序</w:t>
      </w:r>
      <w:r>
        <w:rPr>
          <w:rFonts w:ascii="宋体" w:hAnsi="宋体" w:cs="宋体"/>
          <w:kern w:val="0"/>
          <w:sz w:val="24"/>
          <w:szCs w:val="24"/>
        </w:rPr>
        <w:t>，可以适当延迟计算或公告。</w:t>
      </w:r>
    </w:p>
    <w:p w14:paraId="42B80BD3"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本基金A类、B类、C类基金份额将分别计算基金份额净值。</w:t>
      </w:r>
    </w:p>
    <w:p w14:paraId="29AA6D01"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2、申购份额的计算及余额的处理方式：本基金申购份额的计算及余额的处理方式详见《招募说明书》。本基金的C类基金份额不收取申购费，A类</w:t>
      </w:r>
      <w:r w:rsidR="00C217D1">
        <w:rPr>
          <w:rStyle w:val="custom"/>
          <w:rFonts w:ascii="宋体" w:hAnsi="宋体" w:cs="宋体" w:hint="eastAsia"/>
          <w:kern w:val="0"/>
          <w:sz w:val="24"/>
          <w:szCs w:val="24"/>
        </w:rPr>
        <w:t>、</w:t>
      </w:r>
      <w:r w:rsidR="00C217D1">
        <w:rPr>
          <w:rStyle w:val="custom"/>
          <w:rFonts w:ascii="宋体" w:hAnsi="宋体" w:cs="宋体"/>
          <w:kern w:val="0"/>
          <w:sz w:val="24"/>
          <w:szCs w:val="24"/>
        </w:rPr>
        <w:t>B类</w:t>
      </w:r>
      <w:r>
        <w:rPr>
          <w:rStyle w:val="custom"/>
          <w:rFonts w:ascii="宋体" w:hAnsi="宋体" w:cs="宋体"/>
          <w:kern w:val="0"/>
          <w:sz w:val="24"/>
          <w:szCs w:val="24"/>
        </w:rPr>
        <w:t>基金份额的申购费率由基金管理人决定，并在招募说明书及基金产品资料概要中列示。申购的有效份额为净申购金额除以当日的该类基金份额净值，有效份额单位为份，上述计算结果均按四舍五入方法，保留到小数点后2位，由此产生的收益或损失由基金财产承担。</w:t>
      </w:r>
    </w:p>
    <w:p w14:paraId="0A24808E"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赎回金额的计算及处理方式：本基金赎回金额的计算及处理方式详见《招募说明书》。本基金的赎回费率由基金管理人决定，并在招募说明书及基金产品资料概要中列示。赎回金额为按实际确认的有效赎回份额乘以当日该类基金份额净值并扣除相应的费用，赎回金额单位为元。上述计算结果均按四舍五入方法，保留到小数点后2位，由此产生的收益或损失由基金财产承担。</w:t>
      </w:r>
    </w:p>
    <w:p w14:paraId="35647C1D" w14:textId="23E96D69"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w:t>
      </w:r>
      <w:r w:rsidR="00DA152C">
        <w:rPr>
          <w:rFonts w:hint="eastAsia"/>
          <w:bCs/>
          <w:sz w:val="24"/>
        </w:rPr>
        <w:t>通过直销机构</w:t>
      </w:r>
      <w:r w:rsidR="00DA152C">
        <w:rPr>
          <w:rFonts w:hint="eastAsia"/>
          <w:bCs/>
          <w:kern w:val="0"/>
          <w:sz w:val="24"/>
          <w:szCs w:val="24"/>
          <w:lang w:bidi="en-US"/>
        </w:rPr>
        <w:t>以外的其他销售机构申购</w:t>
      </w:r>
      <w:r>
        <w:rPr>
          <w:rStyle w:val="custom"/>
          <w:rFonts w:ascii="宋体" w:hAnsi="宋体" w:cs="宋体"/>
          <w:kern w:val="0"/>
          <w:sz w:val="24"/>
          <w:szCs w:val="24"/>
        </w:rPr>
        <w:t>A类</w:t>
      </w:r>
      <w:r w:rsidR="00C217D1">
        <w:rPr>
          <w:rStyle w:val="custom"/>
          <w:rFonts w:ascii="宋体" w:hAnsi="宋体" w:cs="宋体" w:hint="eastAsia"/>
          <w:kern w:val="0"/>
          <w:sz w:val="24"/>
          <w:szCs w:val="24"/>
        </w:rPr>
        <w:t>、</w:t>
      </w:r>
      <w:r w:rsidR="00C217D1">
        <w:rPr>
          <w:rStyle w:val="custom"/>
          <w:rFonts w:ascii="宋体" w:hAnsi="宋体" w:cs="宋体"/>
          <w:kern w:val="0"/>
          <w:sz w:val="24"/>
          <w:szCs w:val="24"/>
        </w:rPr>
        <w:t>B类</w:t>
      </w:r>
      <w:r>
        <w:rPr>
          <w:rStyle w:val="custom"/>
          <w:rFonts w:ascii="宋体" w:hAnsi="宋体" w:cs="宋体"/>
          <w:kern w:val="0"/>
          <w:sz w:val="24"/>
          <w:szCs w:val="24"/>
        </w:rPr>
        <w:t>基金份额的</w:t>
      </w:r>
      <w:r w:rsidR="00DA152C">
        <w:rPr>
          <w:rStyle w:val="custom"/>
          <w:rFonts w:ascii="宋体" w:hAnsi="宋体" w:cs="宋体" w:hint="eastAsia"/>
          <w:kern w:val="0"/>
          <w:sz w:val="24"/>
          <w:szCs w:val="24"/>
        </w:rPr>
        <w:t>，</w:t>
      </w:r>
      <w:r>
        <w:rPr>
          <w:rStyle w:val="custom"/>
          <w:rFonts w:ascii="宋体" w:hAnsi="宋体" w:cs="宋体"/>
          <w:kern w:val="0"/>
          <w:sz w:val="24"/>
          <w:szCs w:val="24"/>
        </w:rPr>
        <w:t>申购费用由申购</w:t>
      </w:r>
      <w:r w:rsidR="00424FCA">
        <w:rPr>
          <w:rStyle w:val="custom"/>
          <w:rFonts w:ascii="宋体" w:hAnsi="宋体" w:cs="宋体" w:hint="eastAsia"/>
          <w:kern w:val="0"/>
          <w:sz w:val="24"/>
          <w:szCs w:val="24"/>
        </w:rPr>
        <w:t>该</w:t>
      </w:r>
      <w:r>
        <w:rPr>
          <w:rStyle w:val="custom"/>
          <w:rFonts w:ascii="宋体" w:hAnsi="宋体" w:cs="宋体"/>
          <w:kern w:val="0"/>
          <w:sz w:val="24"/>
          <w:szCs w:val="24"/>
        </w:rPr>
        <w:t>类基金份额的投资人承担，不列入基金财产</w:t>
      </w:r>
      <w:r w:rsidR="00DA152C">
        <w:rPr>
          <w:rStyle w:val="custom"/>
          <w:rFonts w:ascii="宋体" w:hAnsi="宋体" w:cs="宋体" w:hint="eastAsia"/>
          <w:kern w:val="0"/>
          <w:sz w:val="24"/>
          <w:szCs w:val="24"/>
        </w:rPr>
        <w:t>；</w:t>
      </w:r>
      <w:r>
        <w:rPr>
          <w:rStyle w:val="custom"/>
          <w:rFonts w:ascii="宋体" w:hAnsi="宋体" w:cs="宋体"/>
          <w:kern w:val="0"/>
          <w:sz w:val="24"/>
          <w:szCs w:val="24"/>
        </w:rPr>
        <w:t>C类基金份额不收取申购费</w:t>
      </w:r>
      <w:r w:rsidR="00DA152C">
        <w:rPr>
          <w:rStyle w:val="custom"/>
          <w:rFonts w:ascii="宋体" w:hAnsi="宋体" w:cs="宋体" w:hint="eastAsia"/>
          <w:kern w:val="0"/>
          <w:sz w:val="24"/>
          <w:szCs w:val="24"/>
        </w:rPr>
        <w:t>，</w:t>
      </w:r>
      <w:r w:rsidR="00DA152C">
        <w:rPr>
          <w:rFonts w:hint="eastAsia"/>
          <w:bCs/>
          <w:sz w:val="24"/>
        </w:rPr>
        <w:t>而是从</w:t>
      </w:r>
      <w:r w:rsidR="00DA152C">
        <w:rPr>
          <w:rFonts w:hint="eastAsia"/>
          <w:bCs/>
          <w:kern w:val="0"/>
          <w:sz w:val="24"/>
          <w:szCs w:val="24"/>
          <w:lang w:bidi="en-US"/>
        </w:rPr>
        <w:t>直销机构以外的其他销售机构保有的</w:t>
      </w:r>
      <w:r w:rsidR="00DA152C">
        <w:rPr>
          <w:rFonts w:hint="eastAsia"/>
          <w:bCs/>
          <w:sz w:val="24"/>
        </w:rPr>
        <w:t>该类别基金资产中计提销售服务费；其中，</w:t>
      </w:r>
      <w:r w:rsidR="00DA152C">
        <w:rPr>
          <w:rFonts w:hint="eastAsia"/>
          <w:bCs/>
          <w:kern w:val="0"/>
          <w:sz w:val="24"/>
          <w:szCs w:val="24"/>
          <w:lang w:bidi="en-US"/>
        </w:rPr>
        <w:t>对于投资者通过直销机构认购</w:t>
      </w:r>
      <w:r w:rsidR="00DA152C">
        <w:rPr>
          <w:bCs/>
          <w:kern w:val="0"/>
          <w:sz w:val="24"/>
          <w:szCs w:val="24"/>
          <w:lang w:bidi="en-US"/>
        </w:rPr>
        <w:t>/</w:t>
      </w:r>
      <w:r w:rsidR="00DA152C">
        <w:rPr>
          <w:rFonts w:hint="eastAsia"/>
          <w:bCs/>
          <w:kern w:val="0"/>
          <w:sz w:val="24"/>
          <w:szCs w:val="24"/>
          <w:lang w:bidi="en-US"/>
        </w:rPr>
        <w:t>申购的</w:t>
      </w:r>
      <w:r w:rsidR="00DA152C" w:rsidRPr="00CD09AD">
        <w:rPr>
          <w:rFonts w:hint="eastAsia"/>
          <w:bCs/>
          <w:kern w:val="0"/>
          <w:sz w:val="24"/>
          <w:szCs w:val="24"/>
          <w:lang w:bidi="en-US"/>
        </w:rPr>
        <w:t>C</w:t>
      </w:r>
      <w:r w:rsidR="00DA152C" w:rsidRPr="00CD09AD">
        <w:rPr>
          <w:rFonts w:hint="eastAsia"/>
          <w:bCs/>
          <w:kern w:val="0"/>
          <w:sz w:val="24"/>
          <w:szCs w:val="24"/>
          <w:lang w:bidi="en-US"/>
        </w:rPr>
        <w:t>类基金份额所计提的销售服务费</w:t>
      </w:r>
      <w:r w:rsidR="00DA152C">
        <w:rPr>
          <w:rFonts w:hint="eastAsia"/>
          <w:bCs/>
          <w:kern w:val="0"/>
          <w:sz w:val="24"/>
          <w:szCs w:val="24"/>
          <w:lang w:bidi="en-US"/>
        </w:rPr>
        <w:t>或者通过其他销售机构认购</w:t>
      </w:r>
      <w:r w:rsidR="00DA152C">
        <w:rPr>
          <w:bCs/>
          <w:kern w:val="0"/>
          <w:sz w:val="24"/>
          <w:szCs w:val="24"/>
          <w:lang w:bidi="en-US"/>
        </w:rPr>
        <w:t>/</w:t>
      </w:r>
      <w:r w:rsidR="00DA152C">
        <w:rPr>
          <w:rFonts w:hint="eastAsia"/>
          <w:bCs/>
          <w:kern w:val="0"/>
          <w:sz w:val="24"/>
          <w:szCs w:val="24"/>
          <w:lang w:bidi="en-US"/>
        </w:rPr>
        <w:t>申购且持续持有期限超过一年</w:t>
      </w:r>
      <w:bookmarkStart w:id="47" w:name="_Hlk218688781"/>
      <w:r w:rsidR="00DA152C">
        <w:rPr>
          <w:rFonts w:hint="eastAsia"/>
          <w:bCs/>
          <w:kern w:val="0"/>
          <w:sz w:val="24"/>
          <w:szCs w:val="24"/>
          <w:lang w:bidi="en-US"/>
        </w:rPr>
        <w:t>（</w:t>
      </w:r>
      <w:r w:rsidR="00DA152C" w:rsidRPr="00CD09AD">
        <w:rPr>
          <w:rFonts w:hint="eastAsia"/>
          <w:bCs/>
          <w:kern w:val="0"/>
          <w:sz w:val="24"/>
          <w:szCs w:val="24"/>
          <w:lang w:bidi="en-US"/>
        </w:rPr>
        <w:t>即</w:t>
      </w:r>
      <w:r w:rsidR="00DA152C" w:rsidRPr="00CD09AD">
        <w:rPr>
          <w:rFonts w:hint="eastAsia"/>
          <w:bCs/>
          <w:kern w:val="0"/>
          <w:sz w:val="24"/>
          <w:szCs w:val="24"/>
          <w:lang w:bidi="en-US"/>
        </w:rPr>
        <w:t>365</w:t>
      </w:r>
      <w:r w:rsidR="00DA152C" w:rsidRPr="00CD09AD">
        <w:rPr>
          <w:rFonts w:hint="eastAsia"/>
          <w:bCs/>
          <w:kern w:val="0"/>
          <w:sz w:val="24"/>
          <w:szCs w:val="24"/>
          <w:lang w:bidi="en-US"/>
        </w:rPr>
        <w:t>天</w:t>
      </w:r>
      <w:r w:rsidR="00DA152C">
        <w:rPr>
          <w:rFonts w:hint="eastAsia"/>
          <w:bCs/>
          <w:kern w:val="0"/>
          <w:sz w:val="24"/>
          <w:szCs w:val="24"/>
          <w:lang w:bidi="en-US"/>
        </w:rPr>
        <w:t>）</w:t>
      </w:r>
      <w:r w:rsidR="00DA152C" w:rsidRPr="00CD09AD">
        <w:rPr>
          <w:rFonts w:hint="eastAsia"/>
          <w:bCs/>
          <w:kern w:val="0"/>
          <w:sz w:val="24"/>
          <w:szCs w:val="24"/>
          <w:lang w:bidi="en-US"/>
        </w:rPr>
        <w:t>以后继续计提</w:t>
      </w:r>
      <w:bookmarkEnd w:id="47"/>
      <w:r w:rsidR="00DA152C">
        <w:rPr>
          <w:rFonts w:hint="eastAsia"/>
          <w:bCs/>
          <w:kern w:val="0"/>
          <w:sz w:val="24"/>
          <w:szCs w:val="24"/>
          <w:lang w:bidi="en-US"/>
        </w:rPr>
        <w:t>的</w:t>
      </w:r>
      <w:r w:rsidR="00DA152C">
        <w:rPr>
          <w:bCs/>
          <w:kern w:val="0"/>
          <w:sz w:val="24"/>
          <w:szCs w:val="24"/>
          <w:lang w:bidi="en-US"/>
        </w:rPr>
        <w:t>C</w:t>
      </w:r>
      <w:r w:rsidR="00DA152C">
        <w:rPr>
          <w:rFonts w:hint="eastAsia"/>
          <w:bCs/>
          <w:kern w:val="0"/>
          <w:sz w:val="24"/>
          <w:szCs w:val="24"/>
          <w:lang w:bidi="en-US"/>
        </w:rPr>
        <w:t>类基金份额销售服务费，将在投资者赎回相应基金份额时随赎</w:t>
      </w:r>
      <w:r w:rsidR="00DA152C">
        <w:rPr>
          <w:rFonts w:hint="eastAsia"/>
          <w:bCs/>
          <w:kern w:val="0"/>
          <w:sz w:val="24"/>
          <w:szCs w:val="24"/>
          <w:lang w:bidi="en-US"/>
        </w:rPr>
        <w:lastRenderedPageBreak/>
        <w:t>回款一并返还给投资者</w:t>
      </w:r>
      <w:r>
        <w:rPr>
          <w:rStyle w:val="custom"/>
          <w:rFonts w:ascii="宋体" w:hAnsi="宋体" w:cs="宋体"/>
          <w:kern w:val="0"/>
          <w:sz w:val="24"/>
          <w:szCs w:val="24"/>
        </w:rPr>
        <w:t>。</w:t>
      </w:r>
    </w:p>
    <w:p w14:paraId="6AFA24AC" w14:textId="003247B6" w:rsidR="00D20988" w:rsidRDefault="003D167A">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5、赎回费用由赎回基金份额的基金份额持有人承担，在基金份额持有人赎回基金份额时收取。赎回费用全额计入基金财产。</w:t>
      </w:r>
    </w:p>
    <w:p w14:paraId="195DC6E9"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3DA485D4"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当本基金发生大额申购或赎回情形时，基金管理人可以采用摆动定价机制，以确保基金估值的公平性。具体处理原则与操作规范遵循相关法律法规以及监管部门、自律规则的规定。基金管理人依照《信息披露办法》的有关规定，将摆动定价机制的具体操作规则在规定媒介上公告。</w:t>
      </w:r>
    </w:p>
    <w:p w14:paraId="6BAEDDCB"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基金管理人可以在不违反法律法规规定及基金合同约定的情形下根据市场情况制定基金促销计划，定期或不定期地开展基金促销活动。在基金促销活动期间，在对存量基金份额持有人利益无实质性不利影响的前提下，按相关监管部门要求履行必要手续后，基金管理人可以适当调低基金销售费率。</w:t>
      </w:r>
    </w:p>
    <w:p w14:paraId="2E7FB566"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拒绝或暂停申购的情形</w:t>
      </w:r>
    </w:p>
    <w:p w14:paraId="745EDF3F"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发生下列情况时，基金管理人可拒绝或暂停接受投资人的申购申请：</w:t>
      </w:r>
    </w:p>
    <w:p w14:paraId="76A761E1"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因不可抗力导致基金无法正常运作或者因不可抗力导致基金管理人无法接受投资人的申购申请。</w:t>
      </w:r>
    </w:p>
    <w:p w14:paraId="0E62E775"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发生基金合同规定的暂停基金资产估值情况时，基金管理人可暂停接受投资人的申购申请。</w:t>
      </w:r>
    </w:p>
    <w:p w14:paraId="03562A95"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3、证券/期货交易所交易时间非正常停市，导致基金管理人无法计算当日基金资产净值。</w:t>
      </w:r>
    </w:p>
    <w:p w14:paraId="1BAC36A6"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接受某笔或某些申购申请可能会影响或损害现有基金份额持有人利益时。</w:t>
      </w:r>
    </w:p>
    <w:p w14:paraId="38B951B3"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基金资产规模过大，使基金管理人无法找到合适的投资品种，或其他可能对基金业绩产生负面影响，或发生其他损害现有基金份额持有人利益的情形。</w:t>
      </w:r>
    </w:p>
    <w:p w14:paraId="3880203C"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6、</w:t>
      </w:r>
      <w:r>
        <w:rPr>
          <w:rFonts w:ascii="宋体" w:hAnsi="宋体" w:cs="宋体"/>
          <w:kern w:val="0"/>
          <w:sz w:val="24"/>
          <w:szCs w:val="24"/>
        </w:rPr>
        <w:t>当前一估值日基金资产净值50%以上的资产出现无可参考的活跃市场价格且采用估值技术仍导致公允价值存在重大不确定性时，经与基金托管人协商确认后，基金管理人应当暂停接受基金申购申请。</w:t>
      </w:r>
    </w:p>
    <w:p w14:paraId="26618054"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申请超过基金管理人设定的基金总规模、单日申购金额上限、单日净申购比例上限、单个投资者累计持有份额上限、单个投资者单日或单笔申购金额上限的。</w:t>
      </w:r>
    </w:p>
    <w:p w14:paraId="0584EAE4"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8、基金管理人接受某笔或者某些申购申请有可能导致单一投资者持有基金份额的比例达到或者超过50%，或者变相规避50%集中度的情形。</w:t>
      </w:r>
    </w:p>
    <w:p w14:paraId="5733CE2C"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基金管理人、基金托管人、基金销售机构、登记机构、支付结算机构等因异常情况导致基金销售系统、基金销售支付结算系统、基金登记结算系统、基金会计系统无法正常运行。</w:t>
      </w:r>
    </w:p>
    <w:p w14:paraId="7979414D"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10、指数编制机构或指数发布机构因异常情况使指数数据无法正常计算、计算错误或发布异常时。</w:t>
      </w:r>
    </w:p>
    <w:p w14:paraId="3BCB2693"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11、基金参与港股通交易且港股通交易每日额度不足。</w:t>
      </w:r>
    </w:p>
    <w:p w14:paraId="7B93BC20"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12、</w:t>
      </w:r>
      <w:r>
        <w:rPr>
          <w:rFonts w:ascii="宋体" w:hAnsi="宋体" w:cs="宋体"/>
          <w:kern w:val="0"/>
          <w:sz w:val="24"/>
          <w:szCs w:val="24"/>
        </w:rPr>
        <w:t>法律法规规定或中国证监会认定的其他情形。</w:t>
      </w:r>
    </w:p>
    <w:p w14:paraId="6DA518F3" w14:textId="77777777" w:rsidR="00D20988" w:rsidRDefault="003D167A">
      <w:pPr>
        <w:pStyle w:val="div"/>
        <w:widowControl/>
        <w:spacing w:line="360" w:lineRule="auto"/>
        <w:ind w:firstLine="480"/>
        <w:jc w:val="left"/>
        <w:rPr>
          <w:rFonts w:eastAsia="Times New Roman"/>
          <w:kern w:val="0"/>
          <w:sz w:val="24"/>
          <w:szCs w:val="24"/>
        </w:rPr>
      </w:pPr>
      <w:r>
        <w:rPr>
          <w:rStyle w:val="custom"/>
          <w:rFonts w:ascii="宋体" w:hAnsi="宋体" w:cs="宋体"/>
          <w:kern w:val="0"/>
          <w:sz w:val="24"/>
          <w:szCs w:val="24"/>
        </w:rPr>
        <w:t>发生除上述第4、7、8项暂停申购情形之一</w:t>
      </w:r>
      <w:r>
        <w:rPr>
          <w:rFonts w:ascii="宋体" w:hAnsi="宋体" w:cs="宋体"/>
          <w:kern w:val="0"/>
          <w:sz w:val="24"/>
          <w:szCs w:val="24"/>
        </w:rPr>
        <w:t>且基金管理人决定暂停接受投资人申购申请时，基金管理人应当根据有关规定在规定媒介上刊登暂停申购公告。如果投资人的申购申请被全部或部分拒绝的，被拒绝的申购款项将退还给投资人。</w:t>
      </w:r>
      <w:r>
        <w:rPr>
          <w:rStyle w:val="custom"/>
          <w:rFonts w:ascii="宋体" w:hAnsi="宋体" w:cs="宋体"/>
          <w:kern w:val="0"/>
          <w:sz w:val="24"/>
          <w:szCs w:val="24"/>
        </w:rPr>
        <w:t>在暂停申购的情况消除时，基金管理人应及时恢复申购业务的办理。</w:t>
      </w:r>
    </w:p>
    <w:p w14:paraId="71BB0FE5"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暂停赎回或延缓支付赎回款项的情形</w:t>
      </w:r>
    </w:p>
    <w:p w14:paraId="305DBA81"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发生下列情形时，基金管理人可暂停接受投资人的赎回申请或延缓支付赎回款项：</w:t>
      </w:r>
    </w:p>
    <w:p w14:paraId="16C8B983"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因不可抗力导致基金管理人不能支付赎回款项。</w:t>
      </w:r>
    </w:p>
    <w:p w14:paraId="2D81977B"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发生基金合同规定的暂停基金资产估值情况时，基金管理人可暂停接受投资人的赎回申请或延缓支付赎回款项。</w:t>
      </w:r>
    </w:p>
    <w:p w14:paraId="5F9D08B2"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3、证券/期货交易所交易时间非正常停市，导致基金管理人无法计算当日基金资产净值。</w:t>
      </w:r>
    </w:p>
    <w:p w14:paraId="26638BA7"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4、连续两个或两个以上开放日发生巨额赎回。</w:t>
      </w:r>
    </w:p>
    <w:p w14:paraId="53F14A3A"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发生继续接受赎回申请将损害现有基金份额持有人利益的情形时，基金</w:t>
      </w:r>
      <w:r>
        <w:rPr>
          <w:rFonts w:ascii="宋体" w:hAnsi="宋体" w:cs="宋体"/>
          <w:kern w:val="0"/>
          <w:sz w:val="24"/>
          <w:szCs w:val="24"/>
        </w:rPr>
        <w:lastRenderedPageBreak/>
        <w:t>管理人可暂停接受基金份额持有人的赎回申请。</w:t>
      </w:r>
    </w:p>
    <w:p w14:paraId="6AB974A0"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14:paraId="67BC0AFE"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法律法规规定或中国证监会认定的其他情形。</w:t>
      </w:r>
    </w:p>
    <w:p w14:paraId="33FEAF8E"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发生上述情形之一且基金管理人决定暂停赎回或延缓支付赎回款项时，基金管理人应在当日报中国证监会备案，已确认的赎回申请，基金管理人应足额支付；</w:t>
      </w:r>
      <w:r>
        <w:rPr>
          <w:rStyle w:val="custom"/>
          <w:rFonts w:ascii="宋体" w:hAnsi="宋体" w:cs="宋体"/>
          <w:kern w:val="0"/>
          <w:sz w:val="24"/>
          <w:szCs w:val="24"/>
        </w:rPr>
        <w:t>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4CA1A909"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九、</w:t>
      </w:r>
      <w:r>
        <w:rPr>
          <w:rFonts w:ascii="宋体" w:hAnsi="宋体" w:cs="宋体"/>
          <w:kern w:val="0"/>
          <w:sz w:val="24"/>
          <w:szCs w:val="24"/>
        </w:rPr>
        <w:t>巨额赎回的情形及处理方式</w:t>
      </w:r>
    </w:p>
    <w:p w14:paraId="70DE9EED"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巨额赎回的认定</w:t>
      </w:r>
    </w:p>
    <w:p w14:paraId="2783D014"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若本基金单个开放日内的基金份额净赎回申请(赎回申请份额总数加上基金转换中转出申请份额总数后扣除申购申请份额总数及基金转换中转入申请份额总数后的余额，不同类别份额合并计算）超过前一开放日的基金总份额的10%，即认为是发生了巨额赎回。</w:t>
      </w:r>
    </w:p>
    <w:p w14:paraId="06D24AFD"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2、巨额赎回的处理方式</w:t>
      </w:r>
    </w:p>
    <w:p w14:paraId="4C937678"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当基金出现巨额赎回时，基金管理人可以根据基金当时的资产组合状况决定全额赎回或部分延期赎回。</w:t>
      </w:r>
    </w:p>
    <w:p w14:paraId="5034BA07"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全额赎回：当基金管理人认为有能力支付投资人的全部赎回申请时，按正常赎回程序执行。</w:t>
      </w:r>
    </w:p>
    <w:p w14:paraId="11D16F9E"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w:t>
      </w:r>
      <w:r>
        <w:rPr>
          <w:rStyle w:val="custom"/>
          <w:rFonts w:ascii="宋体" w:hAnsi="宋体" w:cs="宋体"/>
          <w:kern w:val="0"/>
          <w:sz w:val="24"/>
          <w:szCs w:val="24"/>
        </w:rPr>
        <w:lastRenderedPageBreak/>
        <w:t>动转入下一个开放日继续赎回，直到全部赎回为止；选择取消赎回的，当日未获受理的部分赎回申请将被撤销。</w:t>
      </w:r>
    </w:p>
    <w:p w14:paraId="2AB3C868"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延期的赎回申请与下一开放日赎回申请一并处理，无优先权并以下一开放日的该类基金份额净值为基础计算赎回金额，以此类推，直到全部赎回为止。</w:t>
      </w:r>
    </w:p>
    <w:p w14:paraId="4E1C069C"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如投资人在提交赎回申请时未作明确选择，投资人未能赎回部分作自动延期赎回处理。</w:t>
      </w:r>
    </w:p>
    <w:p w14:paraId="24367DCB" w14:textId="77777777" w:rsidR="00D20988" w:rsidRPr="0051072D"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w:t>
      </w:r>
      <w:r w:rsidRPr="0051072D">
        <w:rPr>
          <w:rStyle w:val="custom"/>
          <w:rFonts w:ascii="宋体" w:hAnsi="宋体" w:cs="宋体"/>
          <w:bCs/>
          <w:kern w:val="0"/>
          <w:sz w:val="24"/>
          <w:szCs w:val="24"/>
        </w:rPr>
        <w:t>如发生单个开放日内单个基金份额持有人申请赎回的基金份额超过前一开放日的基金总份额的30%时，本基金管理人可以对该单个基金份额持有人超过30%比例的赎回申请实施延期办理。</w:t>
      </w:r>
    </w:p>
    <w:p w14:paraId="59849688"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对该单个基金份额持有人不超过30%比例的赎回申请，与当日其他赎回申请一起，按上述（1）、（2）方式处理。如下一开放日，该单一基金份额持有人剩余未赎回部分仍旧超出前一开放日基金总份额的30%时，继续按前述规则处理，直至该单一基金份额持有人单个开放日内申请赎回的基金份额占前一开放日基金总份额的比例低于30%。</w:t>
      </w:r>
    </w:p>
    <w:p w14:paraId="4E8FCBAD"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基金管理人在履行适当程序后，有权根据当时市场环境调整前述比例及处理规则，并在规定媒介上进行公告。</w:t>
      </w:r>
    </w:p>
    <w:p w14:paraId="7D8597BE"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14:paraId="091B4372"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3、巨额赎回的公告</w:t>
      </w:r>
    </w:p>
    <w:p w14:paraId="75F723C8"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当发生上述巨额赎回并延期办理时，基金管理人应当通过邮寄、传真或者招募说明书规定的其他方式在3个交易日内通知基金份额持有人，说明有关处理方法，并在2日内在规定媒介上刊登公告。</w:t>
      </w:r>
    </w:p>
    <w:p w14:paraId="2524B8C7"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w:t>
      </w:r>
      <w:r>
        <w:rPr>
          <w:rFonts w:ascii="宋体" w:hAnsi="宋体" w:cs="宋体"/>
          <w:kern w:val="0"/>
          <w:sz w:val="24"/>
          <w:szCs w:val="24"/>
        </w:rPr>
        <w:t>暂停申购或赎回的公告和重新开放申购或赎回的公告</w:t>
      </w:r>
    </w:p>
    <w:p w14:paraId="0CD16D5B"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发生上述暂停申购或赎回情况的，基金管理人应在规定期限内在规定媒介上刊登暂停公告。</w:t>
      </w:r>
    </w:p>
    <w:p w14:paraId="595D0556"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可以根据暂停申购或赎回的时间，依照《信息披露办法》的有关规定，最迟于重新开放日在规定媒介刊登重新开放申购或赎回的公告；也可以根据实际情况在暂停公告中明确重新开放申购或赎回的时间，届时可不再</w:t>
      </w:r>
      <w:r>
        <w:rPr>
          <w:rFonts w:ascii="宋体" w:hAnsi="宋体" w:cs="宋体"/>
          <w:kern w:val="0"/>
          <w:sz w:val="24"/>
          <w:szCs w:val="24"/>
        </w:rPr>
        <w:lastRenderedPageBreak/>
        <w:t>另行发布重新开放的公告。</w:t>
      </w:r>
    </w:p>
    <w:p w14:paraId="60A2A6CE"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十一、</w:t>
      </w:r>
      <w:r>
        <w:rPr>
          <w:rFonts w:ascii="宋体" w:hAnsi="宋体" w:cs="宋体"/>
          <w:kern w:val="0"/>
          <w:sz w:val="24"/>
          <w:szCs w:val="24"/>
        </w:rPr>
        <w:t>基金转换</w:t>
      </w:r>
    </w:p>
    <w:p w14:paraId="5AE6229F"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基金管理人可以根据相关法律法规以及本基金合同的规定决定开办本基金</w:t>
      </w:r>
      <w:r w:rsidR="00B41C5A">
        <w:rPr>
          <w:rFonts w:ascii="宋体" w:hAnsi="宋体" w:cs="宋体" w:hint="eastAsia"/>
          <w:kern w:val="0"/>
          <w:sz w:val="24"/>
          <w:szCs w:val="24"/>
        </w:rPr>
        <w:t>某一份额</w:t>
      </w:r>
      <w:r>
        <w:rPr>
          <w:rFonts w:ascii="宋体" w:hAnsi="宋体" w:cs="宋体"/>
          <w:kern w:val="0"/>
          <w:sz w:val="24"/>
          <w:szCs w:val="24"/>
        </w:rPr>
        <w:t>与基金管理人管理的其他基金</w:t>
      </w:r>
      <w:r w:rsidR="00B41C5A" w:rsidRPr="00E3278A">
        <w:rPr>
          <w:rFonts w:ascii="宋体" w:hAnsi="宋体" w:cs="宋体" w:hint="eastAsia"/>
          <w:kern w:val="0"/>
          <w:sz w:val="24"/>
          <w:szCs w:val="24"/>
        </w:rPr>
        <w:t>基金份额或本基金其他份额</w:t>
      </w:r>
      <w:r>
        <w:rPr>
          <w:rFonts w:ascii="宋体" w:hAnsi="宋体" w:cs="宋体"/>
          <w:kern w:val="0"/>
          <w:sz w:val="24"/>
          <w:szCs w:val="24"/>
        </w:rPr>
        <w:t>之间的转换业务，基金转换可以收取一定的转换费，相关规则由基金管理人届时根据相关法律法规及本基金合同的规定制定并公告，并提前告知基金托管人与相关机构。</w:t>
      </w:r>
    </w:p>
    <w:p w14:paraId="49CB1C48"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十二、</w:t>
      </w:r>
      <w:r>
        <w:rPr>
          <w:rFonts w:ascii="宋体" w:hAnsi="宋体" w:cs="宋体"/>
          <w:kern w:val="0"/>
          <w:sz w:val="24"/>
          <w:szCs w:val="24"/>
        </w:rPr>
        <w:t>基金份额的转让</w:t>
      </w:r>
    </w:p>
    <w:p w14:paraId="1008CCED"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在法律法规允许且条件具备的情况下，且对基金份额持有人无实质性不利影响的前提下，履行相关程序后，基金管理人可受理基金份额持有人通过中国证监会认可的交易场所或者交易方式进行基金份额转让的申请并由登记机构办理基金份额的过户登记。基金管理人拟受理基金份额转让业务的，将提前公告，基金份额持有人应根据基金管理人公告的业务规则办理基金份额转让业务。</w:t>
      </w:r>
    </w:p>
    <w:p w14:paraId="3CAA609D"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十三、</w:t>
      </w:r>
      <w:r>
        <w:rPr>
          <w:rFonts w:ascii="宋体" w:hAnsi="宋体" w:cs="宋体"/>
          <w:kern w:val="0"/>
          <w:sz w:val="24"/>
          <w:szCs w:val="24"/>
        </w:rPr>
        <w:t>基金的非交易过户</w:t>
      </w:r>
    </w:p>
    <w:p w14:paraId="6F492992"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的非交易过户是指基金登记机构受理继承、捐赠和司法强制执行等情形而产生的非交易过户以及登记机构认可、符合法律法规的其它非交易过户或者按照相关法律法规或国家有权机关要求的方式进行处理的行为。无论在上述何种情况下，接受划转的主体必须是依法可以持有本基金基金份额的投资人。</w:t>
      </w:r>
    </w:p>
    <w:p w14:paraId="64CCAB44"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继承是指基金份额持有人死亡，其持有的基金份额由其合法的继承人继承；捐赠是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1AD338D5"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十四、</w:t>
      </w:r>
      <w:r>
        <w:rPr>
          <w:rFonts w:ascii="宋体" w:hAnsi="宋体" w:cs="宋体"/>
          <w:kern w:val="0"/>
          <w:sz w:val="24"/>
          <w:szCs w:val="24"/>
        </w:rPr>
        <w:t>基金的转托管</w:t>
      </w:r>
    </w:p>
    <w:p w14:paraId="3437F0C9"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基金份额持有人可办理已持有基金份额在不同销售机构之间的转托管，基金销售机构可以按照规定的标准收取转托管费。</w:t>
      </w:r>
    </w:p>
    <w:p w14:paraId="611D2BB4"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十五、</w:t>
      </w:r>
      <w:r>
        <w:rPr>
          <w:rFonts w:ascii="宋体" w:hAnsi="宋体" w:cs="宋体"/>
          <w:kern w:val="0"/>
          <w:sz w:val="24"/>
          <w:szCs w:val="24"/>
        </w:rPr>
        <w:t>定期定额投资计划</w:t>
      </w:r>
    </w:p>
    <w:p w14:paraId="37228CAE"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基金管理人可以为投资人办理定期定额投资计划，具体规则由基金管理人在届时发布的公告或更新的招募说明书中确定。投资人在办理定期定额投资计划时</w:t>
      </w:r>
      <w:r>
        <w:rPr>
          <w:rFonts w:ascii="宋体" w:hAnsi="宋体" w:cs="宋体"/>
          <w:kern w:val="0"/>
          <w:sz w:val="24"/>
          <w:szCs w:val="24"/>
        </w:rPr>
        <w:lastRenderedPageBreak/>
        <w:t>可自行约定每期扣款金额，每期扣款金额必须不低于基金管理人在相关公告或更新的招募说明书中所规定的定期定额投资计划最低申购金额。</w:t>
      </w:r>
    </w:p>
    <w:p w14:paraId="437BC574"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十六、</w:t>
      </w:r>
      <w:r>
        <w:rPr>
          <w:rFonts w:ascii="宋体" w:hAnsi="宋体" w:cs="宋体"/>
          <w:kern w:val="0"/>
          <w:sz w:val="24"/>
          <w:szCs w:val="24"/>
        </w:rPr>
        <w:t>基金份额的冻结和解冻</w:t>
      </w:r>
    </w:p>
    <w:p w14:paraId="7E52CF99"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基金登记机构只受理国家有权机关依法要求的基金份额的冻结与解冻，以及登记机构认可、符合法律法规的其他情况下的冻结与解冻。</w:t>
      </w:r>
    </w:p>
    <w:p w14:paraId="49F32654"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基金份额被冻结的，被冻结部分产生的权益一并冻结，被冻结部分份额仍然参与收益分配。法律法规或监管机构另有规定的除外。</w:t>
      </w:r>
    </w:p>
    <w:p w14:paraId="10124733"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十七、</w:t>
      </w:r>
      <w:r>
        <w:rPr>
          <w:rFonts w:ascii="宋体" w:hAnsi="宋体" w:cs="宋体"/>
          <w:kern w:val="0"/>
          <w:sz w:val="24"/>
          <w:szCs w:val="24"/>
        </w:rPr>
        <w:t>实施侧袋机制期间本基金的申购与赎回</w:t>
      </w:r>
    </w:p>
    <w:p w14:paraId="28422B79"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本基金实施侧袋机制的，本基金的申购和赎回安排详见招募说明书或相关公告。</w:t>
      </w:r>
    </w:p>
    <w:p w14:paraId="0D8A806D"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十八、</w:t>
      </w:r>
      <w:r>
        <w:rPr>
          <w:rFonts w:ascii="宋体" w:hAnsi="宋体" w:cs="宋体"/>
          <w:kern w:val="0"/>
          <w:sz w:val="24"/>
          <w:szCs w:val="24"/>
        </w:rPr>
        <w:t>如相关法律法规允许基金管理人办理基金份额的质押业务或其他基金业务，基金管理人将制定和实施相应的业务规则。</w:t>
      </w:r>
    </w:p>
    <w:p w14:paraId="156D834F"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十九、</w:t>
      </w:r>
      <w:r>
        <w:rPr>
          <w:rFonts w:ascii="宋体" w:hAnsi="宋体" w:cs="宋体"/>
          <w:kern w:val="0"/>
          <w:sz w:val="24"/>
          <w:szCs w:val="24"/>
        </w:rPr>
        <w:t>基金管理人可在法律法规允许的范围内，在不影响基金份额持有人实质利益的前提下，根据市场情况对上述申购和赎回的安排进行补充和调整并提前公告。</w:t>
      </w:r>
      <w:r>
        <w:rPr>
          <w:rFonts w:ascii="宋体" w:hAnsi="宋体" w:cs="宋体"/>
          <w:kern w:val="0"/>
          <w:sz w:val="24"/>
          <w:szCs w:val="24"/>
        </w:rPr>
        <w:br w:type="page"/>
      </w:r>
    </w:p>
    <w:p w14:paraId="25531989" w14:textId="77777777" w:rsidR="009D63C8" w:rsidRDefault="003D167A" w:rsidP="009E26D0">
      <w:pPr>
        <w:pStyle w:val="1"/>
        <w:spacing w:before="0" w:after="0"/>
        <w:jc w:val="center"/>
        <w:rPr>
          <w:rFonts w:ascii="Times New Roman"/>
          <w:color w:val="auto"/>
          <w:sz w:val="30"/>
        </w:rPr>
      </w:pPr>
      <w:bookmarkStart w:id="48" w:name="_Toc256000006"/>
      <w:r w:rsidRPr="009E26D0">
        <w:rPr>
          <w:rFonts w:ascii="Times New Roman"/>
          <w:noProof/>
          <w:color w:val="auto"/>
          <w:sz w:val="30"/>
        </w:rPr>
        <w:lastRenderedPageBreak/>
        <w:t>第七部分</w:t>
      </w:r>
      <w:r w:rsidRPr="009E26D0">
        <w:rPr>
          <w:rFonts w:ascii="Times New Roman"/>
          <w:noProof/>
          <w:color w:val="auto"/>
          <w:sz w:val="30"/>
        </w:rPr>
        <w:t xml:space="preserve">  </w:t>
      </w:r>
      <w:r w:rsidRPr="009E26D0">
        <w:rPr>
          <w:rFonts w:ascii="Times New Roman"/>
          <w:noProof/>
          <w:color w:val="auto"/>
          <w:sz w:val="30"/>
        </w:rPr>
        <w:t>基金合同当事人及权利义务</w:t>
      </w:r>
      <w:bookmarkEnd w:id="48"/>
    </w:p>
    <w:p w14:paraId="00075A37" w14:textId="77777777" w:rsidR="007A2B34" w:rsidRPr="0017353E" w:rsidRDefault="007A2B34" w:rsidP="0090469D"/>
    <w:p w14:paraId="351CA15C"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基金管理人</w:t>
      </w:r>
    </w:p>
    <w:p w14:paraId="266714CD"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基金管理人简况</w:t>
      </w:r>
    </w:p>
    <w:p w14:paraId="5B95BD6F"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名称：汇添富基金管理股份有限公司</w:t>
      </w:r>
    </w:p>
    <w:p w14:paraId="1A9137AC"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住所：上海市黄浦区外马路728号9楼</w:t>
      </w:r>
    </w:p>
    <w:p w14:paraId="50118DFC"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法定代表人：鲁伟铭</w:t>
      </w:r>
    </w:p>
    <w:p w14:paraId="4C80E7D8"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设立日期：2005年2月3日</w:t>
      </w:r>
    </w:p>
    <w:p w14:paraId="084B2782"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批准设立机关及批准设立文号：中国证监会证监基金字【2005】5号</w:t>
      </w:r>
    </w:p>
    <w:p w14:paraId="46375821"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组织形式：股份有限公司</w:t>
      </w:r>
    </w:p>
    <w:p w14:paraId="543CC2C7"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注册资本：人民币132,724,224元</w:t>
      </w:r>
    </w:p>
    <w:p w14:paraId="3A092F80"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存续期限：持续经营</w:t>
      </w:r>
    </w:p>
    <w:p w14:paraId="0D7007DC"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联系电话：（021）28932888</w:t>
      </w:r>
    </w:p>
    <w:p w14:paraId="1DEA4BE8"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基金管理人的权利与义务</w:t>
      </w:r>
    </w:p>
    <w:p w14:paraId="406EB39C"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根据《基金法》、《运作办法》及其他有关规定，基金管理人的权利包括但不限于：</w:t>
      </w:r>
    </w:p>
    <w:p w14:paraId="71ED4794"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依法募集资金；</w:t>
      </w:r>
    </w:p>
    <w:p w14:paraId="36DFE5CA"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自《基金合同》生效之日起，根据法律法规和《基金合同》独立运用并管理基金财产；</w:t>
      </w:r>
    </w:p>
    <w:p w14:paraId="467F34F3"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依照《基金合同》收取基金管理费以及法律法规规定或中国证监会批准的其他费用；</w:t>
      </w:r>
    </w:p>
    <w:p w14:paraId="191F1B75"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销售基金份额；</w:t>
      </w:r>
    </w:p>
    <w:p w14:paraId="596D0E6D"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按照规定召集基金份额持有人大会；</w:t>
      </w:r>
    </w:p>
    <w:p w14:paraId="47CF4AE8"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依据《基金合同》及有关法律规定监督基金托管人，如认为基金托管人违反了《基金合同》及国家有关法律规定，应呈报中国证监会和其他监管部门，并采取必要措施保护基金投资者的利益；</w:t>
      </w:r>
    </w:p>
    <w:p w14:paraId="767981EA"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在基金托管人更换时，提名新的基金托管人；</w:t>
      </w:r>
    </w:p>
    <w:p w14:paraId="2E79F3D5"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选择、更换基金销售机构，对基金销售机构的相关行为进行监督和处理；</w:t>
      </w:r>
    </w:p>
    <w:p w14:paraId="178BF5BE"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（9）</w:t>
      </w:r>
      <w:r>
        <w:rPr>
          <w:rFonts w:ascii="宋体" w:hAnsi="宋体" w:cs="宋体"/>
          <w:kern w:val="0"/>
          <w:sz w:val="24"/>
          <w:szCs w:val="24"/>
        </w:rPr>
        <w:t>担任或委托其他符合条件的机构担任基金登记机构办理基金登记业务并获得《基金合同》规定的费用；</w:t>
      </w:r>
    </w:p>
    <w:p w14:paraId="6F5F38D0"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依据《基金合同》及有关法律规定决定基金收益的分配方案；</w:t>
      </w:r>
    </w:p>
    <w:p w14:paraId="331365A5"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在《基金合同》约定的范围内，拒绝或暂停受理申购与赎回申请；</w:t>
      </w:r>
    </w:p>
    <w:p w14:paraId="0A2F3BF1"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（12）依照法律法规为基金的利益对被投资公司行使股东权利，为基金的利益行使因基金财产投资于证券所产生的权利；</w:t>
      </w:r>
    </w:p>
    <w:p w14:paraId="511B4D96"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（13）在法律法规允许的前提下，为基金的利益依法为基金进行融资及转融通证券出借业务；</w:t>
      </w:r>
    </w:p>
    <w:p w14:paraId="1F7C66CF"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以基金管理人的名义，代表基金份额持有人的利益行使诉讼权利或者实施其他法律行为；</w:t>
      </w:r>
    </w:p>
    <w:p w14:paraId="0280DB96"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（15）选择、更换律师事务所、会计师事务所、证券经纪商、期货经纪机构或其他为基金提供服务的外部机构；</w:t>
      </w:r>
    </w:p>
    <w:p w14:paraId="2474A871"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（16）在符合有关法律、法规的前提下，制订和调整有关基金认购、申购、赎回、转换、定期定额投资、转托管和非交易过户等业务规则；</w:t>
      </w:r>
    </w:p>
    <w:p w14:paraId="2A6EAB34"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（17）</w:t>
      </w:r>
      <w:r>
        <w:rPr>
          <w:rFonts w:ascii="宋体" w:hAnsi="宋体" w:cs="宋体"/>
          <w:kern w:val="0"/>
          <w:sz w:val="24"/>
          <w:szCs w:val="24"/>
        </w:rPr>
        <w:t>在法律法规和基金合同规定的范围内决定调整基金费率结构和收费方式；</w:t>
      </w:r>
    </w:p>
    <w:p w14:paraId="72AAC48D"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（18）</w:t>
      </w:r>
      <w:r>
        <w:rPr>
          <w:rFonts w:ascii="宋体" w:hAnsi="宋体" w:cs="宋体"/>
          <w:kern w:val="0"/>
          <w:sz w:val="24"/>
          <w:szCs w:val="24"/>
        </w:rPr>
        <w:t>法律法规及中国证监会规定的和《基金合同》约定的其他权利。</w:t>
      </w:r>
    </w:p>
    <w:p w14:paraId="1C434D2F"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根据《基金法》、《运作办法》及其他有关规定，基金管理人的义务包括但不限于：</w:t>
      </w:r>
    </w:p>
    <w:p w14:paraId="5CF4D692"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依法募集资金，办理或者委托经中国证监会认定的其他机构代为办理基金份额的</w:t>
      </w:r>
      <w:r>
        <w:rPr>
          <w:rStyle w:val="custom"/>
          <w:rFonts w:ascii="宋体" w:hAnsi="宋体" w:cs="宋体"/>
          <w:kern w:val="0"/>
          <w:sz w:val="24"/>
          <w:szCs w:val="24"/>
        </w:rPr>
        <w:t>发售、</w:t>
      </w:r>
      <w:r>
        <w:rPr>
          <w:rFonts w:ascii="宋体" w:hAnsi="宋体" w:cs="宋体"/>
          <w:kern w:val="0"/>
          <w:sz w:val="24"/>
          <w:szCs w:val="24"/>
        </w:rPr>
        <w:t>申购、赎回和登记事宜；</w:t>
      </w:r>
    </w:p>
    <w:p w14:paraId="37D8785B"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办理基金备案手续；</w:t>
      </w:r>
    </w:p>
    <w:p w14:paraId="068E0252"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自《基金合同》生效之日起，以诚实信用、谨慎勤勉的原则管理和运用基金财产；</w:t>
      </w:r>
    </w:p>
    <w:p w14:paraId="10FBAD4D"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配备足够的具有专业资格的人员进行基金投资分析、决策，以专业化的经营方式管理和运作基金财产；</w:t>
      </w:r>
    </w:p>
    <w:p w14:paraId="22342E94"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建立健全内部风险控制、监察与稽核、财务管理及人事管理等制度，保证所管理的基金财产和基金管理人的财产相互独立，对所管理的不同基金分别管理，分别记账，进行证券投资；</w:t>
      </w:r>
    </w:p>
    <w:p w14:paraId="46EBA1CE"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（6）</w:t>
      </w:r>
      <w:r>
        <w:rPr>
          <w:rFonts w:ascii="宋体" w:hAnsi="宋体" w:cs="宋体"/>
          <w:kern w:val="0"/>
          <w:sz w:val="24"/>
          <w:szCs w:val="24"/>
        </w:rPr>
        <w:t>除依据《基金法》、《基金合同》及其他有关规定外，不得利用基金财产为自己及任何第三人谋取利益，不得委托第三人运作基金财产；</w:t>
      </w:r>
    </w:p>
    <w:p w14:paraId="58AB44F6"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依法接受基金托管人的监督；</w:t>
      </w:r>
    </w:p>
    <w:p w14:paraId="3D816523"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采取适当合理的措施使计算基金份额</w:t>
      </w:r>
      <w:r>
        <w:rPr>
          <w:rStyle w:val="custom"/>
          <w:rFonts w:ascii="宋体" w:hAnsi="宋体" w:cs="宋体"/>
          <w:kern w:val="0"/>
          <w:sz w:val="24"/>
          <w:szCs w:val="24"/>
        </w:rPr>
        <w:t>认购、</w:t>
      </w:r>
      <w:r>
        <w:rPr>
          <w:rFonts w:ascii="宋体" w:hAnsi="宋体" w:cs="宋体"/>
          <w:kern w:val="0"/>
          <w:sz w:val="24"/>
          <w:szCs w:val="24"/>
        </w:rPr>
        <w:t>申购、赎回和注销价格的方法符合《基金合同》等法律文件的规定，按有关规定计算并公告基金净值信息，确定基金份额申购、赎回的价格；</w:t>
      </w:r>
    </w:p>
    <w:p w14:paraId="2811CC67"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进行基金会计核算并编制基金财务会计报告；</w:t>
      </w:r>
    </w:p>
    <w:p w14:paraId="4DDB5958"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编制季度报告、中期报告和年度报告；</w:t>
      </w:r>
    </w:p>
    <w:p w14:paraId="72FF5B35"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严格按照《基金法》、《基金合同》及其他有关规定，履行信息披露及报告义务；</w:t>
      </w:r>
    </w:p>
    <w:p w14:paraId="495B0314"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（12）</w:t>
      </w:r>
      <w:r>
        <w:rPr>
          <w:rFonts w:ascii="宋体" w:hAnsi="宋体" w:cs="宋体"/>
          <w:kern w:val="0"/>
          <w:sz w:val="24"/>
          <w:szCs w:val="24"/>
        </w:rPr>
        <w:t>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提供的情况除外；</w:t>
      </w:r>
    </w:p>
    <w:p w14:paraId="4391F5CD"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（13）</w:t>
      </w:r>
      <w:r>
        <w:rPr>
          <w:rFonts w:ascii="宋体" w:hAnsi="宋体" w:cs="宋体"/>
          <w:kern w:val="0"/>
          <w:sz w:val="24"/>
          <w:szCs w:val="24"/>
        </w:rPr>
        <w:t>按《基金合同》的约定确定基金收益分配方案，及时向基金份额持有人分配基金收益；</w:t>
      </w:r>
    </w:p>
    <w:p w14:paraId="518F83A7"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按规定受理申购与赎回申请，及时、足额支付赎回款项；</w:t>
      </w:r>
    </w:p>
    <w:p w14:paraId="09BA70C4"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（15）</w:t>
      </w:r>
      <w:r>
        <w:rPr>
          <w:rFonts w:ascii="宋体" w:hAnsi="宋体" w:cs="宋体"/>
          <w:kern w:val="0"/>
          <w:sz w:val="24"/>
          <w:szCs w:val="24"/>
        </w:rPr>
        <w:t>依据《基金法》、《基金合同》及其他有关规定召集基金份额持有人大会或配合基金托管人、基金份额持有人依法召集基金份额持有人大会；</w:t>
      </w:r>
    </w:p>
    <w:p w14:paraId="5084D389"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（16）</w:t>
      </w:r>
      <w:r>
        <w:rPr>
          <w:rFonts w:ascii="宋体" w:hAnsi="宋体" w:cs="宋体"/>
          <w:kern w:val="0"/>
          <w:sz w:val="24"/>
          <w:szCs w:val="24"/>
        </w:rPr>
        <w:t>按规定保存基金财产管理业务活动的会计账册、报表、记录和其他相关资料不少于法定最低期限；</w:t>
      </w:r>
    </w:p>
    <w:p w14:paraId="12B421CA"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（17）</w:t>
      </w:r>
      <w:r>
        <w:rPr>
          <w:rFonts w:ascii="宋体" w:hAnsi="宋体" w:cs="宋体"/>
          <w:kern w:val="0"/>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380EEE4"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（18）</w:t>
      </w:r>
      <w:r>
        <w:rPr>
          <w:rFonts w:ascii="宋体" w:hAnsi="宋体" w:cs="宋体"/>
          <w:kern w:val="0"/>
          <w:sz w:val="24"/>
          <w:szCs w:val="24"/>
        </w:rPr>
        <w:t>组织并参加基金财产清算小组，参与基金财产的保管、清理、估价、变现和分配；</w:t>
      </w:r>
    </w:p>
    <w:p w14:paraId="2459769F"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（19）</w:t>
      </w:r>
      <w:r>
        <w:rPr>
          <w:rFonts w:ascii="宋体" w:hAnsi="宋体" w:cs="宋体"/>
          <w:kern w:val="0"/>
          <w:sz w:val="24"/>
          <w:szCs w:val="24"/>
        </w:rPr>
        <w:t>面临解散、依法被撤销或者被依法宣告破产时，及时报告中国证监会并通知基金托管人；</w:t>
      </w:r>
    </w:p>
    <w:p w14:paraId="17288AC8"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（20）</w:t>
      </w:r>
      <w:r>
        <w:rPr>
          <w:rFonts w:ascii="宋体" w:hAnsi="宋体" w:cs="宋体"/>
          <w:kern w:val="0"/>
          <w:sz w:val="24"/>
          <w:szCs w:val="24"/>
        </w:rPr>
        <w:t>因违反《基金合同》导致基金财产的损失或损害基金份额持有人合</w:t>
      </w:r>
      <w:r>
        <w:rPr>
          <w:rFonts w:ascii="宋体" w:hAnsi="宋体" w:cs="宋体"/>
          <w:kern w:val="0"/>
          <w:sz w:val="24"/>
          <w:szCs w:val="24"/>
        </w:rPr>
        <w:lastRenderedPageBreak/>
        <w:t>法权益时，应当承担赔偿责任，其赔偿责任不因其退任而免除；</w:t>
      </w:r>
    </w:p>
    <w:p w14:paraId="0960C60B"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（21）</w:t>
      </w:r>
      <w:r>
        <w:rPr>
          <w:rFonts w:ascii="宋体" w:hAnsi="宋体" w:cs="宋体"/>
          <w:kern w:val="0"/>
          <w:sz w:val="24"/>
          <w:szCs w:val="24"/>
        </w:rPr>
        <w:t>监督基金托管人按法律法规和《基金合同》规定履行自己的义务，基金托管人违反《基金合同》造成基金财产损失时，基金管理人应为基金份额持有人利益向基金托管人追偿；</w:t>
      </w:r>
    </w:p>
    <w:p w14:paraId="609A4DFD"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（22）</w:t>
      </w:r>
      <w:r>
        <w:rPr>
          <w:rFonts w:ascii="宋体" w:hAnsi="宋体" w:cs="宋体"/>
          <w:kern w:val="0"/>
          <w:sz w:val="24"/>
          <w:szCs w:val="24"/>
        </w:rPr>
        <w:t>当基金管理人将其义务委托第三方处理时，应当对第三方处理有关基金事务的行为承担责任；</w:t>
      </w:r>
    </w:p>
    <w:p w14:paraId="1AAED361" w14:textId="77777777" w:rsidR="00D20988" w:rsidRDefault="003D167A">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（23）</w:t>
      </w:r>
      <w:r>
        <w:rPr>
          <w:rFonts w:ascii="宋体" w:hAnsi="宋体" w:cs="宋体"/>
          <w:kern w:val="0"/>
          <w:sz w:val="24"/>
          <w:szCs w:val="24"/>
        </w:rPr>
        <w:t>以基金管理人名义，代表基金份额持有人利益行使诉讼权利或实施其他法律行为；</w:t>
      </w:r>
    </w:p>
    <w:p w14:paraId="3FEFFC5E" w14:textId="77777777" w:rsidR="00D20988" w:rsidRDefault="003D167A">
      <w:pPr>
        <w:widowControl/>
        <w:spacing w:line="360" w:lineRule="auto"/>
        <w:ind w:firstLine="480"/>
        <w:jc w:val="left"/>
        <w:rPr>
          <w:rStyle w:val="serial-tag"/>
          <w:rFonts w:ascii="宋体" w:hAnsi="宋体" w:cs="宋体"/>
          <w:kern w:val="0"/>
          <w:sz w:val="24"/>
          <w:szCs w:val="24"/>
        </w:rPr>
      </w:pPr>
      <w:r>
        <w:rPr>
          <w:rStyle w:val="serial-tag"/>
          <w:rFonts w:ascii="宋体" w:hAnsi="宋体" w:cs="宋体"/>
          <w:kern w:val="0"/>
          <w:sz w:val="24"/>
          <w:szCs w:val="24"/>
        </w:rPr>
        <w:t>（24）</w:t>
      </w:r>
      <w:r>
        <w:rPr>
          <w:rStyle w:val="custom"/>
          <w:rFonts w:ascii="宋体" w:hAnsi="宋体" w:cs="宋体"/>
          <w:kern w:val="0"/>
          <w:sz w:val="24"/>
          <w:szCs w:val="24"/>
        </w:rPr>
        <w:t>基金管理人在募集期间未能达到基金的备案条件，《基金合同》不能生效，基金管理人承担全部募集费用，将已募集资金并加计银行同期活期存款利息在基金募集期结束后30日内退还基金认购人；</w:t>
      </w:r>
    </w:p>
    <w:p w14:paraId="74B16A9A" w14:textId="77777777" w:rsidR="00D20988" w:rsidRDefault="003D167A">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（25）</w:t>
      </w:r>
      <w:r>
        <w:rPr>
          <w:rFonts w:ascii="宋体" w:hAnsi="宋体" w:cs="宋体"/>
          <w:kern w:val="0"/>
          <w:sz w:val="24"/>
          <w:szCs w:val="24"/>
        </w:rPr>
        <w:t>执行生效的基金份额持有人大会的决议；</w:t>
      </w:r>
    </w:p>
    <w:p w14:paraId="55538896"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（26）</w:t>
      </w:r>
      <w:r>
        <w:rPr>
          <w:rFonts w:ascii="宋体" w:hAnsi="宋体" w:cs="宋体"/>
          <w:kern w:val="0"/>
          <w:sz w:val="24"/>
          <w:szCs w:val="24"/>
        </w:rPr>
        <w:t>建立并保存基金份额持有人名册；</w:t>
      </w:r>
    </w:p>
    <w:p w14:paraId="00ABB90A"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（27）</w:t>
      </w:r>
      <w:r>
        <w:rPr>
          <w:rFonts w:ascii="宋体" w:hAnsi="宋体" w:cs="宋体"/>
          <w:kern w:val="0"/>
          <w:sz w:val="24"/>
          <w:szCs w:val="24"/>
        </w:rPr>
        <w:t>法律法规及中国证监会规定的和《基金合同》约定的其他义务。</w:t>
      </w:r>
    </w:p>
    <w:p w14:paraId="56E6603D"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基金托管人</w:t>
      </w:r>
    </w:p>
    <w:p w14:paraId="5F06F96C"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基金托管人简况</w:t>
      </w:r>
    </w:p>
    <w:p w14:paraId="299B93CE" w14:textId="77777777" w:rsidR="00D20988" w:rsidRDefault="003D167A">
      <w:pPr>
        <w:pStyle w:val="div"/>
        <w:spacing w:line="360" w:lineRule="auto"/>
        <w:ind w:firstLine="420"/>
        <w:rPr>
          <w:rFonts w:ascii="宋体" w:hAnsi="宋体" w:cs="宋体"/>
          <w:kern w:val="0"/>
          <w:sz w:val="24"/>
          <w:szCs w:val="24"/>
        </w:rPr>
      </w:pPr>
      <w:r>
        <w:rPr>
          <w:rFonts w:ascii="宋体" w:hAnsi="宋体" w:cs="宋体"/>
          <w:kern w:val="0"/>
          <w:sz w:val="24"/>
          <w:szCs w:val="24"/>
        </w:rPr>
        <w:t>名称：中国邮政储蓄银行股份有限公司</w:t>
      </w:r>
    </w:p>
    <w:p w14:paraId="50820B12" w14:textId="77777777" w:rsidR="00D20988" w:rsidRDefault="003D167A">
      <w:pPr>
        <w:pStyle w:val="div"/>
        <w:spacing w:line="360" w:lineRule="auto"/>
        <w:ind w:firstLine="420"/>
        <w:rPr>
          <w:rFonts w:ascii="宋体" w:hAnsi="宋体" w:cs="宋体"/>
          <w:kern w:val="0"/>
          <w:sz w:val="24"/>
          <w:szCs w:val="24"/>
        </w:rPr>
      </w:pPr>
      <w:r>
        <w:rPr>
          <w:rFonts w:ascii="宋体" w:hAnsi="宋体" w:cs="宋体"/>
          <w:kern w:val="0"/>
          <w:sz w:val="24"/>
          <w:szCs w:val="24"/>
        </w:rPr>
        <w:t>住所：北京市西城区金融大街3号</w:t>
      </w:r>
    </w:p>
    <w:p w14:paraId="27EF8516" w14:textId="77777777" w:rsidR="00D20988" w:rsidRDefault="003D167A">
      <w:pPr>
        <w:pStyle w:val="div"/>
        <w:spacing w:line="360" w:lineRule="auto"/>
        <w:ind w:firstLine="420"/>
        <w:rPr>
          <w:rFonts w:ascii="宋体" w:hAnsi="宋体" w:cs="宋体"/>
          <w:kern w:val="0"/>
          <w:sz w:val="24"/>
          <w:szCs w:val="24"/>
        </w:rPr>
      </w:pPr>
      <w:r>
        <w:rPr>
          <w:rFonts w:ascii="宋体" w:hAnsi="宋体" w:cs="宋体"/>
          <w:kern w:val="0"/>
          <w:sz w:val="24"/>
          <w:szCs w:val="24"/>
        </w:rPr>
        <w:t>法定代表人：</w:t>
      </w:r>
      <w:r w:rsidR="00EF19E3">
        <w:rPr>
          <w:rFonts w:ascii="宋体" w:hAnsi="宋体" w:cs="宋体" w:hint="eastAsia"/>
          <w:kern w:val="0"/>
          <w:sz w:val="24"/>
          <w:szCs w:val="24"/>
        </w:rPr>
        <w:t>郑国雨</w:t>
      </w:r>
    </w:p>
    <w:p w14:paraId="2AD164C6" w14:textId="77777777" w:rsidR="00D20988" w:rsidRDefault="003D167A">
      <w:pPr>
        <w:pStyle w:val="div"/>
        <w:spacing w:line="360" w:lineRule="auto"/>
        <w:ind w:firstLine="420"/>
        <w:rPr>
          <w:rFonts w:ascii="宋体" w:hAnsi="宋体" w:cs="宋体"/>
          <w:kern w:val="0"/>
          <w:sz w:val="24"/>
          <w:szCs w:val="24"/>
        </w:rPr>
      </w:pPr>
      <w:r>
        <w:rPr>
          <w:rFonts w:ascii="宋体" w:hAnsi="宋体" w:cs="宋体"/>
          <w:kern w:val="0"/>
          <w:sz w:val="24"/>
          <w:szCs w:val="24"/>
        </w:rPr>
        <w:t>成立时间：2007年03月06日</w:t>
      </w:r>
    </w:p>
    <w:p w14:paraId="3E13DA38" w14:textId="77777777" w:rsidR="00D20988" w:rsidRDefault="003D167A">
      <w:pPr>
        <w:pStyle w:val="div"/>
        <w:spacing w:line="360" w:lineRule="auto"/>
        <w:ind w:firstLine="420"/>
        <w:rPr>
          <w:rFonts w:ascii="宋体" w:hAnsi="宋体" w:cs="宋体"/>
          <w:kern w:val="0"/>
          <w:sz w:val="24"/>
          <w:szCs w:val="24"/>
        </w:rPr>
      </w:pPr>
      <w:r>
        <w:rPr>
          <w:rFonts w:ascii="宋体" w:hAnsi="宋体" w:cs="宋体"/>
          <w:kern w:val="0"/>
          <w:sz w:val="24"/>
          <w:szCs w:val="24"/>
        </w:rPr>
        <w:t>批准设立机关和批准设立文号：中国银监会银监复[2006]484号</w:t>
      </w:r>
    </w:p>
    <w:p w14:paraId="1AA76B77" w14:textId="77777777" w:rsidR="00D20988" w:rsidRDefault="003D167A">
      <w:pPr>
        <w:pStyle w:val="div"/>
        <w:spacing w:line="360" w:lineRule="auto"/>
        <w:ind w:firstLine="420"/>
        <w:rPr>
          <w:rFonts w:ascii="宋体" w:hAnsi="宋体" w:cs="宋体"/>
          <w:kern w:val="0"/>
          <w:sz w:val="24"/>
          <w:szCs w:val="24"/>
        </w:rPr>
      </w:pPr>
      <w:r>
        <w:rPr>
          <w:rFonts w:ascii="宋体" w:hAnsi="宋体" w:cs="宋体"/>
          <w:kern w:val="0"/>
          <w:sz w:val="24"/>
          <w:szCs w:val="24"/>
        </w:rPr>
        <w:t>组织形式：股份有限公司</w:t>
      </w:r>
    </w:p>
    <w:p w14:paraId="23D274E5" w14:textId="23F5CF16" w:rsidR="00D20988" w:rsidRDefault="003D167A">
      <w:pPr>
        <w:pStyle w:val="div"/>
        <w:spacing w:line="360" w:lineRule="auto"/>
        <w:ind w:firstLine="420"/>
        <w:rPr>
          <w:rFonts w:ascii="宋体" w:hAnsi="宋体" w:cs="宋体"/>
          <w:kern w:val="0"/>
          <w:sz w:val="24"/>
          <w:szCs w:val="24"/>
        </w:rPr>
      </w:pPr>
      <w:r>
        <w:rPr>
          <w:rFonts w:ascii="宋体" w:hAnsi="宋体" w:cs="宋体"/>
          <w:kern w:val="0"/>
          <w:sz w:val="24"/>
          <w:szCs w:val="24"/>
        </w:rPr>
        <w:t>注册资本：</w:t>
      </w:r>
      <w:r w:rsidR="008E6B57">
        <w:rPr>
          <w:rFonts w:ascii="宋体" w:hAnsi="宋体" w:cs="宋体"/>
          <w:kern w:val="0"/>
          <w:sz w:val="24"/>
          <w:szCs w:val="24"/>
        </w:rPr>
        <w:t>1200.95</w:t>
      </w:r>
      <w:r w:rsidR="00C14559" w:rsidRPr="00D25134">
        <w:rPr>
          <w:rFonts w:ascii="宋体" w:hAnsi="宋体" w:cs="宋体" w:hint="eastAsia"/>
          <w:kern w:val="0"/>
          <w:sz w:val="24"/>
          <w:szCs w:val="24"/>
        </w:rPr>
        <w:t>亿元</w:t>
      </w:r>
      <w:r w:rsidR="00C14559">
        <w:rPr>
          <w:rFonts w:ascii="宋体" w:hAnsi="宋体" w:cs="宋体" w:hint="eastAsia"/>
          <w:kern w:val="0"/>
          <w:sz w:val="24"/>
          <w:szCs w:val="24"/>
        </w:rPr>
        <w:t>人民币</w:t>
      </w:r>
    </w:p>
    <w:p w14:paraId="5BDB45AA" w14:textId="77777777" w:rsidR="00D20988" w:rsidRDefault="003D167A">
      <w:pPr>
        <w:pStyle w:val="div"/>
        <w:spacing w:line="360" w:lineRule="auto"/>
        <w:ind w:firstLine="420"/>
        <w:rPr>
          <w:rFonts w:ascii="宋体" w:hAnsi="宋体" w:cs="宋体"/>
          <w:kern w:val="0"/>
          <w:sz w:val="24"/>
          <w:szCs w:val="24"/>
        </w:rPr>
      </w:pPr>
      <w:r>
        <w:rPr>
          <w:rFonts w:ascii="宋体" w:hAnsi="宋体" w:cs="宋体"/>
          <w:kern w:val="0"/>
          <w:sz w:val="24"/>
          <w:szCs w:val="24"/>
        </w:rPr>
        <w:t>存续期间：持续经营</w:t>
      </w:r>
    </w:p>
    <w:p w14:paraId="060C67BF" w14:textId="77777777" w:rsidR="00D20988" w:rsidRDefault="003D167A">
      <w:pPr>
        <w:pStyle w:val="div"/>
        <w:spacing w:line="360" w:lineRule="auto"/>
        <w:ind w:firstLine="420"/>
        <w:rPr>
          <w:rFonts w:ascii="宋体" w:hAnsi="宋体" w:cs="宋体"/>
          <w:kern w:val="0"/>
          <w:sz w:val="24"/>
          <w:szCs w:val="24"/>
        </w:rPr>
      </w:pPr>
      <w:r>
        <w:rPr>
          <w:rFonts w:ascii="宋体" w:hAnsi="宋体" w:cs="宋体"/>
          <w:kern w:val="0"/>
          <w:sz w:val="24"/>
          <w:szCs w:val="24"/>
        </w:rPr>
        <w:t>基金托管资格批文及文号：中国证监会证监许可[2009]673号</w:t>
      </w:r>
    </w:p>
    <w:p w14:paraId="24F4CDD3"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基金托管人的权利与义务</w:t>
      </w:r>
    </w:p>
    <w:p w14:paraId="5E88DD69"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根据《基金法》、《运作办法》及其他有关规定，基金托管人的权利包括但不限于：</w:t>
      </w:r>
    </w:p>
    <w:p w14:paraId="43A2E31B"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自《基金合同》生效之日起，依法律法规和《基金合同》的规定安全</w:t>
      </w:r>
      <w:r>
        <w:rPr>
          <w:rFonts w:ascii="宋体" w:hAnsi="宋体" w:cs="宋体"/>
          <w:kern w:val="0"/>
          <w:sz w:val="24"/>
          <w:szCs w:val="24"/>
        </w:rPr>
        <w:lastRenderedPageBreak/>
        <w:t>保管基金财产；</w:t>
      </w:r>
    </w:p>
    <w:p w14:paraId="5AEF541B"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依《基金合同》约定获得基金托管费以及法律法规规定或监管部门批准的其他费用；</w:t>
      </w:r>
    </w:p>
    <w:p w14:paraId="2A7A6CB9"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5A9B1AD"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（4）根据相关市场规则，为基金开设资金账户和证券账户等投资所需账户，为基金办理证券、期货交易资金清算；</w:t>
      </w:r>
    </w:p>
    <w:p w14:paraId="4A1203BA"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提议召开或召集基金份额持有人大会；</w:t>
      </w:r>
    </w:p>
    <w:p w14:paraId="3025D428"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在基金管理人更换时，提名新的基金管理人；</w:t>
      </w:r>
    </w:p>
    <w:p w14:paraId="3648D75A"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法律法规及中国证监会规定的和《基金合同》约定的其他权利。</w:t>
      </w:r>
    </w:p>
    <w:p w14:paraId="237A62DA"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根据《基金法》、《运作办法》及其他有关规定，基金托管人的义务包括但不限于：</w:t>
      </w:r>
    </w:p>
    <w:p w14:paraId="292EFFCA"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以诚实信用、勤勉尽责的原则持有并安全保管基金财产；</w:t>
      </w:r>
    </w:p>
    <w:p w14:paraId="0B17C3E0"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设立专门的基金托管部门，具有符合要求的营业场所，配备足够的、合格的熟悉基金托管业务的专职人员，负责基金财产托管事宜；</w:t>
      </w:r>
    </w:p>
    <w:p w14:paraId="29C21389"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5743A3A"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除依据《基金法》、《基金合同》及其他有关规定外，不得利用基金财产为自己及任何第三人谋取利益，不得委托第三人托管基金财产；</w:t>
      </w:r>
    </w:p>
    <w:p w14:paraId="26EA732D"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保管由基金管理人代表基金签订的与基金有关的重大合同及有关凭证；</w:t>
      </w:r>
    </w:p>
    <w:p w14:paraId="0B51505B"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按规定开设基金财产的资金账户和证券账户等投资所需账户，按照《基金合同》的约定，根据基金管理人的投资指令，及时办理清算、交割事宜；</w:t>
      </w:r>
    </w:p>
    <w:p w14:paraId="49845FB7"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保守基金商业秘密，除《基金法》、《基金合同》及其他有关规定另有规定外，在基金信息公开披露前予以保密，不得向他人泄露，但应监管机</w:t>
      </w:r>
      <w:r>
        <w:rPr>
          <w:rFonts w:ascii="宋体" w:hAnsi="宋体" w:cs="宋体"/>
          <w:kern w:val="0"/>
          <w:sz w:val="24"/>
          <w:szCs w:val="24"/>
        </w:rPr>
        <w:lastRenderedPageBreak/>
        <w:t>构、司法机关等有权机关的要求，或因审计、法律等外部专业顾问提供服务需要提供的情况除外；</w:t>
      </w:r>
    </w:p>
    <w:p w14:paraId="7658D335"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复核、审查基金管理人计算的基金资产净值、</w:t>
      </w:r>
      <w:r>
        <w:rPr>
          <w:rStyle w:val="custom"/>
          <w:rFonts w:ascii="宋体" w:hAnsi="宋体" w:cs="宋体"/>
          <w:kern w:val="0"/>
          <w:sz w:val="24"/>
          <w:szCs w:val="24"/>
        </w:rPr>
        <w:t>各类</w:t>
      </w:r>
      <w:r>
        <w:rPr>
          <w:rFonts w:ascii="宋体" w:hAnsi="宋体" w:cs="宋体"/>
          <w:kern w:val="0"/>
          <w:sz w:val="24"/>
          <w:szCs w:val="24"/>
        </w:rPr>
        <w:t>基金份额净值、基金份额申购、赎回价格；</w:t>
      </w:r>
    </w:p>
    <w:p w14:paraId="48AB8F64"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办理与基金托管业务活动有关的信息披露事项；</w:t>
      </w:r>
    </w:p>
    <w:p w14:paraId="78A8C1F9"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7D2654B4"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保存基金托管业务活动的记录、账册、报表和其他相关资料不少于法定最低期限；</w:t>
      </w:r>
    </w:p>
    <w:p w14:paraId="428C8948"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（12）</w:t>
      </w:r>
      <w:r>
        <w:rPr>
          <w:rFonts w:ascii="宋体" w:hAnsi="宋体" w:cs="宋体"/>
          <w:kern w:val="0"/>
          <w:sz w:val="24"/>
          <w:szCs w:val="24"/>
        </w:rPr>
        <w:t>建立并保存基金份额持有人名册；</w:t>
      </w:r>
    </w:p>
    <w:p w14:paraId="247B6DCB"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（13）</w:t>
      </w:r>
      <w:r>
        <w:rPr>
          <w:rFonts w:ascii="宋体" w:hAnsi="宋体" w:cs="宋体"/>
          <w:kern w:val="0"/>
          <w:sz w:val="24"/>
          <w:szCs w:val="24"/>
        </w:rPr>
        <w:t>按规定制作相关账册并与基金管理人核对；</w:t>
      </w:r>
    </w:p>
    <w:p w14:paraId="2E2FC808"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依据基金管理人的指令或有关规定向基金份额持有人支付基金收益和赎回款项；</w:t>
      </w:r>
    </w:p>
    <w:p w14:paraId="7A19B917"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（15）</w:t>
      </w:r>
      <w:r>
        <w:rPr>
          <w:rFonts w:ascii="宋体" w:hAnsi="宋体" w:cs="宋体"/>
          <w:kern w:val="0"/>
          <w:sz w:val="24"/>
          <w:szCs w:val="24"/>
        </w:rPr>
        <w:t>依据《基金法》、《基金合同》及其他有关规定，召集基金份额持有人大会或配合基金管理人、基金份额持有人依法召集基金份额持有人大会；</w:t>
      </w:r>
    </w:p>
    <w:p w14:paraId="47DE8D8F"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（16）</w:t>
      </w:r>
      <w:r>
        <w:rPr>
          <w:rFonts w:ascii="宋体" w:hAnsi="宋体" w:cs="宋体"/>
          <w:kern w:val="0"/>
          <w:sz w:val="24"/>
          <w:szCs w:val="24"/>
        </w:rPr>
        <w:t>按照法律法规和《基金合同》的规定监督基金管理人的投资运作；</w:t>
      </w:r>
    </w:p>
    <w:p w14:paraId="3FE9777F"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（17）</w:t>
      </w:r>
      <w:r>
        <w:rPr>
          <w:rFonts w:ascii="宋体" w:hAnsi="宋体" w:cs="宋体"/>
          <w:kern w:val="0"/>
          <w:sz w:val="24"/>
          <w:szCs w:val="24"/>
        </w:rPr>
        <w:t>参加基金财产清算小组，参与基金财产的保管、清理、估价、变现和分配；</w:t>
      </w:r>
    </w:p>
    <w:p w14:paraId="7A9A2716"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（18）面临解散、依法被撤销或者被依法宣告破产时，及时报告中国证监会和银行业监督管理机构，并通知基金管理人；</w:t>
      </w:r>
    </w:p>
    <w:p w14:paraId="06DA8309"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（19）</w:t>
      </w:r>
      <w:r>
        <w:rPr>
          <w:rFonts w:ascii="宋体" w:hAnsi="宋体" w:cs="宋体"/>
          <w:kern w:val="0"/>
          <w:sz w:val="24"/>
          <w:szCs w:val="24"/>
        </w:rPr>
        <w:t>因违反《基金合同》导致基金财产损失时，应承担赔偿责任，其赔偿责任不因其退任而免除；</w:t>
      </w:r>
    </w:p>
    <w:p w14:paraId="07E1B67B"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（20）</w:t>
      </w:r>
      <w:r>
        <w:rPr>
          <w:rFonts w:ascii="宋体" w:hAnsi="宋体" w:cs="宋体"/>
          <w:kern w:val="0"/>
          <w:sz w:val="24"/>
          <w:szCs w:val="24"/>
        </w:rPr>
        <w:t>按规定监督基金管理人按法律法规和《基金合同》规定履行自己的义务，基金管理人因违反《基金合同》造成基金财产损失时，应为基金份额持有人利益向基金管理人追偿；</w:t>
      </w:r>
    </w:p>
    <w:p w14:paraId="792247B9"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（21）</w:t>
      </w:r>
      <w:r>
        <w:rPr>
          <w:rFonts w:ascii="宋体" w:hAnsi="宋体" w:cs="宋体"/>
          <w:kern w:val="0"/>
          <w:sz w:val="24"/>
          <w:szCs w:val="24"/>
        </w:rPr>
        <w:t>执行生效的基金份额持有人大会的决议；</w:t>
      </w:r>
    </w:p>
    <w:p w14:paraId="33268981"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（22）</w:t>
      </w:r>
      <w:r>
        <w:rPr>
          <w:rFonts w:ascii="宋体" w:hAnsi="宋体" w:cs="宋体"/>
          <w:kern w:val="0"/>
          <w:sz w:val="24"/>
          <w:szCs w:val="24"/>
        </w:rPr>
        <w:t>法律法规及中国证监会规定的和《基金合同》约定的其他义务。</w:t>
      </w:r>
    </w:p>
    <w:p w14:paraId="6875F918"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三、</w:t>
      </w:r>
      <w:r>
        <w:rPr>
          <w:rFonts w:ascii="宋体" w:hAnsi="宋体" w:cs="宋体"/>
          <w:kern w:val="0"/>
          <w:sz w:val="24"/>
          <w:szCs w:val="24"/>
        </w:rPr>
        <w:t>基金份额持有人</w:t>
      </w:r>
    </w:p>
    <w:p w14:paraId="10E208C1"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4A769154"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同一类别内每份基金份额具有同等的合法权益。</w:t>
      </w:r>
    </w:p>
    <w:p w14:paraId="41B22CB7"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根据《基金法》、《运作办法》及其他有关规定，基金份额持有人的权利包括但不限于：</w:t>
      </w:r>
    </w:p>
    <w:p w14:paraId="6B6A4337"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分享基金财产收益；</w:t>
      </w:r>
    </w:p>
    <w:p w14:paraId="66A193E8"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参与分配清算后的剩余基金财产；</w:t>
      </w:r>
    </w:p>
    <w:p w14:paraId="5FB42018"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依法转让或者申请赎回其持有的基金份额；</w:t>
      </w:r>
    </w:p>
    <w:p w14:paraId="1C401961"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按照规定要求召开基金份额持有人大会或者召集基金份额持有人大会；</w:t>
      </w:r>
    </w:p>
    <w:p w14:paraId="621A5DDA"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出席或者委派代表出席基金份额持有人大会，对基金份额持有人大会审议事项行使表决权；</w:t>
      </w:r>
    </w:p>
    <w:p w14:paraId="288F5634"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查阅或者复制公开披露的基金信息资料；</w:t>
      </w:r>
    </w:p>
    <w:p w14:paraId="1DEAD2D9"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监督基金管理人的投资运作；</w:t>
      </w:r>
    </w:p>
    <w:p w14:paraId="54A78D06"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对基金管理人、基金托管人、基金服务机构损害其合法权益的行为依法提起诉讼或仲裁；</w:t>
      </w:r>
    </w:p>
    <w:p w14:paraId="3AD9EFE1"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法律法规及中国证监会规定的和《基金合同》约定的其他权利。</w:t>
      </w:r>
    </w:p>
    <w:p w14:paraId="55D45644"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根据《基金法》、《运作办法》及其他有关规定，基金份额持有人的义务包括但不限于：</w:t>
      </w:r>
    </w:p>
    <w:p w14:paraId="4DFE4C23"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认真阅读并遵守《基金合同》、《招募说明书》等信息披露文件；</w:t>
      </w:r>
    </w:p>
    <w:p w14:paraId="2FBBC7F6"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了解所投资基金产品，了解自身风险承受能力，自主判断基金的投资价值，自主做出投资决策，自行承担投资风险；</w:t>
      </w:r>
    </w:p>
    <w:p w14:paraId="51F2FBC3"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关注基金信息披露，及时行使权利和履行义务；</w:t>
      </w:r>
    </w:p>
    <w:p w14:paraId="71B1480C"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交纳基金</w:t>
      </w:r>
      <w:r>
        <w:rPr>
          <w:rStyle w:val="custom"/>
          <w:rFonts w:ascii="宋体" w:hAnsi="宋体" w:cs="宋体"/>
          <w:kern w:val="0"/>
          <w:sz w:val="24"/>
          <w:szCs w:val="24"/>
        </w:rPr>
        <w:t>认购、</w:t>
      </w:r>
      <w:r>
        <w:rPr>
          <w:rFonts w:ascii="宋体" w:hAnsi="宋体" w:cs="宋体"/>
          <w:kern w:val="0"/>
          <w:sz w:val="24"/>
          <w:szCs w:val="24"/>
        </w:rPr>
        <w:t>申购款项及法律法规和《基金合同》所规定的费用；</w:t>
      </w:r>
    </w:p>
    <w:p w14:paraId="3925D6E4"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在其持有的基金份额范围内，承担基金亏损或者《基金合同》终止的有限责任；</w:t>
      </w:r>
    </w:p>
    <w:p w14:paraId="7BB1BD45"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（6）</w:t>
      </w:r>
      <w:r>
        <w:rPr>
          <w:rFonts w:ascii="宋体" w:hAnsi="宋体" w:cs="宋体"/>
          <w:kern w:val="0"/>
          <w:sz w:val="24"/>
          <w:szCs w:val="24"/>
        </w:rPr>
        <w:t>不从事任何有损基金及其他《基金合同》当事人合法权益的活动；</w:t>
      </w:r>
    </w:p>
    <w:p w14:paraId="6CB6F51A"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执行生效的基金份额持有人大会的决议；</w:t>
      </w:r>
    </w:p>
    <w:p w14:paraId="41E5DC28"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返还在基金交易过程中因任何原因获得的不当得利；</w:t>
      </w:r>
    </w:p>
    <w:p w14:paraId="2A3BD229"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提供基金管理人和监管机构依法要求提供的信息，以及不时的更新和补充，并保证其真实性；</w:t>
      </w:r>
    </w:p>
    <w:p w14:paraId="53FA2A63"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遵守基金管理人、基金托管人、销售机构和登记机构的相关交易及业务规则；</w:t>
      </w:r>
    </w:p>
    <w:p w14:paraId="3F38FA59"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法律法规及中国证监会规定的和《基金合同》约定的其他义务。</w:t>
      </w:r>
      <w:r>
        <w:rPr>
          <w:rFonts w:ascii="宋体" w:hAnsi="宋体" w:cs="宋体"/>
          <w:kern w:val="0"/>
          <w:sz w:val="24"/>
          <w:szCs w:val="24"/>
        </w:rPr>
        <w:br w:type="page"/>
      </w:r>
    </w:p>
    <w:p w14:paraId="07E8EEC5" w14:textId="77777777" w:rsidR="009D63C8" w:rsidRDefault="003D167A" w:rsidP="009E26D0">
      <w:pPr>
        <w:pStyle w:val="1"/>
        <w:spacing w:before="0" w:after="0"/>
        <w:jc w:val="center"/>
        <w:rPr>
          <w:rFonts w:ascii="Times New Roman"/>
          <w:color w:val="auto"/>
          <w:sz w:val="30"/>
        </w:rPr>
      </w:pPr>
      <w:bookmarkStart w:id="49" w:name="_Toc256000007"/>
      <w:r w:rsidRPr="009E26D0">
        <w:rPr>
          <w:rFonts w:ascii="Times New Roman"/>
          <w:noProof/>
          <w:color w:val="auto"/>
          <w:sz w:val="30"/>
        </w:rPr>
        <w:lastRenderedPageBreak/>
        <w:t>第八部分</w:t>
      </w:r>
      <w:r w:rsidRPr="009E26D0">
        <w:rPr>
          <w:rFonts w:ascii="Times New Roman"/>
          <w:noProof/>
          <w:color w:val="auto"/>
          <w:sz w:val="30"/>
        </w:rPr>
        <w:t xml:space="preserve">  </w:t>
      </w:r>
      <w:r w:rsidRPr="009E26D0">
        <w:rPr>
          <w:rFonts w:ascii="Times New Roman"/>
          <w:noProof/>
          <w:color w:val="auto"/>
          <w:sz w:val="30"/>
        </w:rPr>
        <w:t>基金份额持有人大会</w:t>
      </w:r>
      <w:bookmarkEnd w:id="49"/>
    </w:p>
    <w:p w14:paraId="0E1CA528" w14:textId="77777777" w:rsidR="007A2B34" w:rsidRPr="0017353E" w:rsidRDefault="007A2B34" w:rsidP="0090469D"/>
    <w:p w14:paraId="7BF89BBC"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基金份额持有人大会由基金份额持有人组成，基金份额持有人的合法授权代表有权代表基金份额持有人出席会议并表决。基金份额持有人持有的每一基金份额拥有平等的投票权。</w:t>
      </w:r>
    </w:p>
    <w:p w14:paraId="0B7B81F2"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本基金份额持有人大会不设日常机构。</w:t>
      </w:r>
    </w:p>
    <w:p w14:paraId="1C34E421"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召开事由</w:t>
      </w:r>
    </w:p>
    <w:p w14:paraId="342076D8"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当出现或需要决定下列事由之一的，应当召开基金份额持有人大会，法律法规、中国证监会另有规定或基金合同另有约定的除外：</w:t>
      </w:r>
    </w:p>
    <w:p w14:paraId="5C7C006D"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终止《基金合同》；</w:t>
      </w:r>
    </w:p>
    <w:p w14:paraId="1C294C23"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更换基金管理人；</w:t>
      </w:r>
    </w:p>
    <w:p w14:paraId="775A9BD3"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更换基金托管人；</w:t>
      </w:r>
    </w:p>
    <w:p w14:paraId="6A18E7EF"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（4）转换基金运作方式；</w:t>
      </w:r>
    </w:p>
    <w:p w14:paraId="5886A672"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（5）调整基金管理人、基金托管人的报酬标准或提高销售服务费率；</w:t>
      </w:r>
    </w:p>
    <w:p w14:paraId="40AC4F76"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变更基金类别；</w:t>
      </w:r>
    </w:p>
    <w:p w14:paraId="2D7138DC"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本基金与其他基金的合并；</w:t>
      </w:r>
    </w:p>
    <w:p w14:paraId="6B9F2556"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变更基金投资目标、范围或策略；</w:t>
      </w:r>
    </w:p>
    <w:p w14:paraId="53685724"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变更基金份额持有人大会程序；</w:t>
      </w:r>
    </w:p>
    <w:p w14:paraId="64E3E681"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基金管理人或基金托管人要求召开基金份额持有人大会；</w:t>
      </w:r>
    </w:p>
    <w:p w14:paraId="160EC852"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单独或合计持有本基金总份额10%以上（含10%）基金份额的基金份额持有人（以基金管理人收到提议当日的基金份额计算，下同）就同一事项书面要求召开基金份额持有人大会；</w:t>
      </w:r>
    </w:p>
    <w:p w14:paraId="5027A304"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（12）</w:t>
      </w:r>
      <w:r>
        <w:rPr>
          <w:rFonts w:ascii="宋体" w:hAnsi="宋体" w:cs="宋体"/>
          <w:kern w:val="0"/>
          <w:sz w:val="24"/>
          <w:szCs w:val="24"/>
        </w:rPr>
        <w:t>对基金合同当事人权利和义务产生重大影响的其他事项；</w:t>
      </w:r>
    </w:p>
    <w:p w14:paraId="1BA5B742"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（13）</w:t>
      </w:r>
      <w:r>
        <w:rPr>
          <w:rFonts w:ascii="宋体" w:hAnsi="宋体" w:cs="宋体"/>
          <w:kern w:val="0"/>
          <w:sz w:val="24"/>
          <w:szCs w:val="24"/>
        </w:rPr>
        <w:t>法律法规、《基金合同》或中国证监会规定的其他应当召开基金份额持有人大会的事项。</w:t>
      </w:r>
    </w:p>
    <w:p w14:paraId="3F741A8B"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在法律法规规定和《基金合同》约定的范围内且对基金份额持有人利益无实质性不利影响的前提下，以下情况可由基金管理人和基金托管人协商后修改，不需召开基金份额持有人大会：</w:t>
      </w:r>
    </w:p>
    <w:p w14:paraId="642B2FD8"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法律法规要求增加的基金费用的收取；</w:t>
      </w:r>
    </w:p>
    <w:p w14:paraId="67D75A24" w14:textId="28163ACA"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（2）调整本基金的申购费率、调低销售服务费率或变更收费方式；</w:t>
      </w:r>
    </w:p>
    <w:p w14:paraId="4BAA0DC4"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增加、减少或调整基金份额类别设置或者调整基金份额分类办法及规则等；</w:t>
      </w:r>
    </w:p>
    <w:p w14:paraId="55DEE740"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（4）因相应的法律法规发生变动而应当对《基金合同》进行修改；</w:t>
      </w:r>
    </w:p>
    <w:p w14:paraId="635A744A"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（5）基金管理人和基金登记机构等调整或修改《业务规则》，包括但不限于有关基金认购、申购、赎回、转换、非交易过户、转托管等内容；</w:t>
      </w:r>
    </w:p>
    <w:p w14:paraId="202C2642"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对《基金合同》的修改对基金份额持有人利益无实质性不利影响或修改不涉及《基金合同》当事人权利义务关系发生重大变化；</w:t>
      </w:r>
    </w:p>
    <w:p w14:paraId="58C4709E"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sidR="00F158D5">
        <w:rPr>
          <w:rStyle w:val="custom"/>
          <w:rFonts w:ascii="宋体" w:hAnsi="宋体" w:cs="宋体" w:hint="eastAsia"/>
          <w:kern w:val="0"/>
          <w:sz w:val="24"/>
          <w:szCs w:val="24"/>
        </w:rPr>
        <w:t>在履行适当程序后，</w:t>
      </w:r>
      <w:r>
        <w:rPr>
          <w:rFonts w:ascii="宋体" w:hAnsi="宋体" w:cs="宋体"/>
          <w:kern w:val="0"/>
          <w:sz w:val="24"/>
          <w:szCs w:val="24"/>
        </w:rPr>
        <w:t>基金推出新业务或服务；</w:t>
      </w:r>
    </w:p>
    <w:p w14:paraId="0321318C"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基金管理人调整基金收益分配原则；</w:t>
      </w:r>
    </w:p>
    <w:p w14:paraId="2B767AAA" w14:textId="77777777" w:rsidR="00D20988" w:rsidRDefault="003D167A">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（9）若本基金管理人同时管理同一标的指数的增强</w:t>
      </w:r>
      <w:r w:rsidR="00AF2871">
        <w:rPr>
          <w:rStyle w:val="custom"/>
          <w:rFonts w:ascii="宋体" w:hAnsi="宋体" w:cs="宋体" w:hint="eastAsia"/>
          <w:kern w:val="0"/>
          <w:sz w:val="24"/>
          <w:szCs w:val="24"/>
        </w:rPr>
        <w:t>策略</w:t>
      </w:r>
      <w:r>
        <w:rPr>
          <w:rStyle w:val="custom"/>
          <w:rFonts w:ascii="宋体" w:hAnsi="宋体" w:cs="宋体"/>
          <w:kern w:val="0"/>
          <w:sz w:val="24"/>
          <w:szCs w:val="24"/>
        </w:rPr>
        <w:t>交易型开放式指数基金（</w:t>
      </w:r>
      <w:r w:rsidR="00AF2871">
        <w:rPr>
          <w:rStyle w:val="custom"/>
          <w:rFonts w:ascii="宋体" w:hAnsi="宋体" w:cs="宋体" w:hint="eastAsia"/>
          <w:kern w:val="0"/>
          <w:sz w:val="24"/>
          <w:szCs w:val="24"/>
        </w:rPr>
        <w:t>增强策略</w:t>
      </w:r>
      <w:r>
        <w:rPr>
          <w:rStyle w:val="custom"/>
          <w:rFonts w:ascii="宋体" w:hAnsi="宋体" w:cs="宋体"/>
          <w:kern w:val="0"/>
          <w:sz w:val="24"/>
          <w:szCs w:val="24"/>
        </w:rPr>
        <w:t>ETF），履行适当程序后本基金可采取</w:t>
      </w:r>
      <w:r w:rsidR="00AF2871">
        <w:rPr>
          <w:rStyle w:val="custom"/>
          <w:rFonts w:ascii="宋体" w:hAnsi="宋体" w:cs="宋体" w:hint="eastAsia"/>
          <w:kern w:val="0"/>
          <w:sz w:val="24"/>
          <w:szCs w:val="24"/>
        </w:rPr>
        <w:t>增强策略</w:t>
      </w:r>
      <w:r>
        <w:rPr>
          <w:rStyle w:val="custom"/>
          <w:rFonts w:ascii="宋体" w:hAnsi="宋体" w:cs="宋体"/>
          <w:kern w:val="0"/>
          <w:sz w:val="24"/>
          <w:szCs w:val="24"/>
        </w:rPr>
        <w:t>ETF联接基金模式并相应修改《基金合同》；</w:t>
      </w:r>
    </w:p>
    <w:p w14:paraId="7B4C8514"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按照法律法规和《基金合同》规定不需召开基金份额持有人大会的其他情形。</w:t>
      </w:r>
    </w:p>
    <w:p w14:paraId="419A3F62"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会议召集人及召集方式</w:t>
      </w:r>
    </w:p>
    <w:p w14:paraId="557E7AD3"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除法律法规规定或《基金合同》另有约定外，基金份额持有人大会由基金管理人召集。</w:t>
      </w:r>
    </w:p>
    <w:p w14:paraId="703AE3E4"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基金管理人未按规定召集或不能召集时，由基金托管人召集。</w:t>
      </w:r>
    </w:p>
    <w:p w14:paraId="1E45899B"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6CBCC8D0"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w:t>
      </w:r>
      <w:r>
        <w:rPr>
          <w:rFonts w:ascii="宋体" w:hAnsi="宋体" w:cs="宋体"/>
          <w:kern w:val="0"/>
          <w:sz w:val="24"/>
          <w:szCs w:val="24"/>
        </w:rPr>
        <w:lastRenderedPageBreak/>
        <w:t>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2170B4AC"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7BCFED8B"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基金份额持有人会议的召集人负责选择确定开会时间、地点、方式和权益登记日。</w:t>
      </w:r>
    </w:p>
    <w:p w14:paraId="72D8DD23"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召开基金份额持有人大会的通知时间、通知内容、通知方式</w:t>
      </w:r>
    </w:p>
    <w:p w14:paraId="04A87A6F"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召开基金份额持有人大会，召集人应于会议召开前30日，在规定媒介公告。基金份额持有人大会通知应至少载明以下内容：</w:t>
      </w:r>
    </w:p>
    <w:p w14:paraId="4E6DAB65"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会议召开的时间、地点和会议形式；</w:t>
      </w:r>
    </w:p>
    <w:p w14:paraId="60552EEF"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会议拟审议的事项、议事程序和表决方式；</w:t>
      </w:r>
    </w:p>
    <w:p w14:paraId="3EF68095"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有权出席基金份额持有人大会的基金份额持有人的权益登记日；</w:t>
      </w:r>
    </w:p>
    <w:p w14:paraId="11AFB457"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授权委托证明的内容要求（包括但不限于代理人身份，代理权限和代理有效期限等）、送达时间和地点；</w:t>
      </w:r>
    </w:p>
    <w:p w14:paraId="1CA629C6"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会务常设联系人姓名及联系电话；</w:t>
      </w:r>
    </w:p>
    <w:p w14:paraId="2D9D654D"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出席会议者必须准备的文件和必须履行的手续；</w:t>
      </w:r>
    </w:p>
    <w:p w14:paraId="0A4402AF"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召集人需要通知的其他事项。</w:t>
      </w:r>
    </w:p>
    <w:p w14:paraId="6E27A087"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01465AA6"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w:t>
      </w:r>
      <w:r>
        <w:rPr>
          <w:rFonts w:ascii="宋体" w:hAnsi="宋体" w:cs="宋体"/>
          <w:kern w:val="0"/>
          <w:sz w:val="24"/>
          <w:szCs w:val="24"/>
        </w:rPr>
        <w:lastRenderedPageBreak/>
        <w:t>另行书面通知基金管理人和基金托管人到指定地点对表决意见的计票进行监督。基金管理人或基金托管人拒不派代表对表决意见的计票进行监督的，不影响表决意见的计票效力。</w:t>
      </w:r>
    </w:p>
    <w:p w14:paraId="031052AC"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基金份额持有人出席会议的方式</w:t>
      </w:r>
    </w:p>
    <w:p w14:paraId="24404516"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基金份额持有人大会可通过现场开会方式、通讯开会方式或法律法规、监管机构允许的其他方式召开，会议的召开方式由会议召集人确定。</w:t>
      </w:r>
    </w:p>
    <w:p w14:paraId="50A72F99"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8D9E087"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9877868"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7D22EDB1"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通讯开会。通讯开会系指基金份额持有人将其对表决事项的投票以书面形式或大会公告载明的其他方式在表决截止日以前送达至召集人指定的地址或系统。通讯开会应以书面方式或大会公告载明的其他方式进行表决。</w:t>
      </w:r>
    </w:p>
    <w:p w14:paraId="40059D2E"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在同时符合以下条件时，通讯开会的方式视为有效：</w:t>
      </w:r>
    </w:p>
    <w:p w14:paraId="326BCD8C"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会议召集人按《基金合同》约定公布会议通知后，在2个工作日内连续公布相关提示性公告；</w:t>
      </w:r>
    </w:p>
    <w:p w14:paraId="6CB9338C"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召集人按基金合同约定通知基金托管人（如果基金托管人为召集人，则为基金管理人）到指定地点对书面表决意见的计票进行监督。会议召集人在</w:t>
      </w:r>
      <w:r>
        <w:rPr>
          <w:rFonts w:ascii="宋体" w:hAnsi="宋体" w:cs="宋体"/>
          <w:kern w:val="0"/>
          <w:sz w:val="24"/>
          <w:szCs w:val="24"/>
        </w:rPr>
        <w:lastRenderedPageBreak/>
        <w:t>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17FB6AD6"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14:paraId="233E59A7"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2A022134"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在法律法规和监管机构允许的情况下，本基金亦可采用网络、电话、短信等其他非现场方式或者以非现场方式与现场方式结合的方式召开基金份额持有人大会，或者采用网络、电话、短信或其他方式授权他人代为出席会议并表决，会议程序比照现场开会和通讯方式开会的程序进行。</w:t>
      </w:r>
    </w:p>
    <w:p w14:paraId="2EC090F2"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议事内容与程序</w:t>
      </w:r>
    </w:p>
    <w:p w14:paraId="2C857193"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议事内容及提案权</w:t>
      </w:r>
    </w:p>
    <w:p w14:paraId="1662F031"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CA54ED5"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基金份额持有人大会的召集人发出召集会议的通知后，对原有提案的修改应当在基金份额持有人大会召开前及时公告。</w:t>
      </w:r>
    </w:p>
    <w:p w14:paraId="1CCE22B7"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基金份额持有人大会不得对未事先公告的议事内容进行表决。</w:t>
      </w:r>
    </w:p>
    <w:p w14:paraId="2B167829"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2、</w:t>
      </w:r>
      <w:r>
        <w:rPr>
          <w:rFonts w:ascii="宋体" w:hAnsi="宋体" w:cs="宋体"/>
          <w:kern w:val="0"/>
          <w:sz w:val="24"/>
          <w:szCs w:val="24"/>
        </w:rPr>
        <w:t>议事程序</w:t>
      </w:r>
    </w:p>
    <w:p w14:paraId="180C80C8"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现场开会</w:t>
      </w:r>
    </w:p>
    <w:p w14:paraId="32B541DD"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14:paraId="6EAC8084"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会议召集人应当制作出席会议人员的签名册。签名册载明参加会议人员姓名（或单位名称）、身份证明文件号码、持有或代表有表决权的基金份额、委托人姓名（或单位名称）和联系方式等事项。</w:t>
      </w:r>
    </w:p>
    <w:p w14:paraId="6ACB41DC"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通讯开会</w:t>
      </w:r>
    </w:p>
    <w:p w14:paraId="12AA8325"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在通讯开会的情况下，首先由召集人提前30日公布提案，在所通知的表决截止日期后2个工作日内在公证机关监督下由召集人统计全部有效表决，在公证机关监督下形成决议。</w:t>
      </w:r>
    </w:p>
    <w:p w14:paraId="3275DD69"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表决</w:t>
      </w:r>
    </w:p>
    <w:p w14:paraId="6EBBDD1C"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基金份额持有人所持每份基金份额有一票表决权。</w:t>
      </w:r>
    </w:p>
    <w:p w14:paraId="381E5E74"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基金份额持有人大会决议分为一般决议和特别决议：</w:t>
      </w:r>
    </w:p>
    <w:p w14:paraId="001A558C"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0D508154"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特别决议，特别决议应当经参加大会的基金份额持有人或其代理人所持表决权的三分之二以上（含三分之二）通过方可做出。</w:t>
      </w:r>
    </w:p>
    <w:p w14:paraId="647E2019"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除法律法规另有规定或《基金合同》另有约定外，转换基金运作方式、更换基金管理人或者基金托管人、终止《基金合同》、本基金与其他基金合并以特别决议通过方为有效。</w:t>
      </w:r>
    </w:p>
    <w:p w14:paraId="55A24A38"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基金份额持有人大会采取记名方式进行投票表决。</w:t>
      </w:r>
    </w:p>
    <w:p w14:paraId="4E062D85"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lastRenderedPageBreak/>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5E0D25B9"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基金份额持有人大会的各项提案或同一项提案内并列的各项议题应当分开审议、逐项表决。</w:t>
      </w:r>
    </w:p>
    <w:p w14:paraId="396D2551"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计票</w:t>
      </w:r>
    </w:p>
    <w:p w14:paraId="2B3D589D"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现场开会</w:t>
      </w:r>
    </w:p>
    <w:p w14:paraId="6B7D3DBF"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如大会由基金管理人或基金托管人召集，基金份额持有人大会的主持人应当在会议开始后宣布在出席会议的基金份额持有人和代理人中选举一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两名基金份额持有人代表担任监票人。基金管理人或基金托管人不出席大会的，不影响计票的效力。</w:t>
      </w:r>
    </w:p>
    <w:p w14:paraId="3EB6C9DD"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监票人应当在基金份额持有人表决后立即进行清点并由大会主持人当场公布计票结果。</w:t>
      </w:r>
    </w:p>
    <w:p w14:paraId="056AF855"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14:paraId="73C58E92"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计票过程应由公证机关予以公证，基金管理人或基金托管人拒不出席大会的，不影响计票的效力。</w:t>
      </w:r>
    </w:p>
    <w:p w14:paraId="7CFB71FE"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通讯开会</w:t>
      </w:r>
    </w:p>
    <w:p w14:paraId="55512052"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2451DE28"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八、</w:t>
      </w:r>
      <w:r>
        <w:rPr>
          <w:rFonts w:ascii="宋体" w:hAnsi="宋体" w:cs="宋体"/>
          <w:kern w:val="0"/>
          <w:sz w:val="24"/>
          <w:szCs w:val="24"/>
        </w:rPr>
        <w:t>生效与公告</w:t>
      </w:r>
    </w:p>
    <w:p w14:paraId="73C45B60"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基金份额持有人大会的决议，召集人应当自通过之日起5日内报中国证监会备案。</w:t>
      </w:r>
    </w:p>
    <w:p w14:paraId="4EF27094"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基金份额持有人大会的决议自表决通过之日起生效。</w:t>
      </w:r>
    </w:p>
    <w:p w14:paraId="45D5BD99"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基金份额持有人大会决议自生效之日起2日内在规定媒介上公告。如果采用通讯方式进行表决，在公告基金份额持有人大会决议时，必须将公证书全文、公证机构、公证员姓名等一同公告。</w:t>
      </w:r>
    </w:p>
    <w:p w14:paraId="33D77CA3"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6CD53BD3"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九、</w:t>
      </w:r>
      <w:r>
        <w:rPr>
          <w:rFonts w:ascii="宋体" w:hAnsi="宋体" w:cs="宋体"/>
          <w:kern w:val="0"/>
          <w:sz w:val="24"/>
          <w:szCs w:val="24"/>
        </w:rPr>
        <w:t>实施侧袋机制期间基金份额持有人大会的特殊约定</w:t>
      </w:r>
    </w:p>
    <w:p w14:paraId="4B64F9D9"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7BD1DEC2"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基金份额持有人行使提议权、召集权、提名权所需单独或合计代表相关基金份额10%以上（含10%）；</w:t>
      </w:r>
    </w:p>
    <w:p w14:paraId="3D5BAC04"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现场开会的到会者在权益登记日代表的基金份额不少于本基金在权益登记日相关基金份额的二分之一（含二分之一）；</w:t>
      </w:r>
    </w:p>
    <w:p w14:paraId="00E2F2E5"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通讯开会的直接出具书面意见或授权他人代表出具书面意见的基金份额持有人所持有的基金份额不小于在权益登记日相关基金份额的二分之一（含二分之一）；</w:t>
      </w:r>
    </w:p>
    <w:p w14:paraId="1D8CDBB6"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3FD5A884"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现场开会由出席大会的基金份额持有人和代理人所持表决权的50%以上（含50%）选举产生一名基金份额持有人作为该次基金份额持有人大会的主持</w:t>
      </w:r>
      <w:r>
        <w:rPr>
          <w:rFonts w:ascii="宋体" w:hAnsi="宋体" w:cs="宋体"/>
          <w:kern w:val="0"/>
          <w:sz w:val="24"/>
          <w:szCs w:val="24"/>
        </w:rPr>
        <w:lastRenderedPageBreak/>
        <w:t>人；</w:t>
      </w:r>
    </w:p>
    <w:p w14:paraId="02AE954E"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一般决议须经参加大会的基金份额持有人或其代理人所持表决权的二分之一以上（含二分之一）通过；</w:t>
      </w:r>
    </w:p>
    <w:p w14:paraId="7EA275BF"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特别决议应当经参加大会的基金份额持有人或其代理人所持表决权的三分之二以上（含三分之二）通过。</w:t>
      </w:r>
    </w:p>
    <w:p w14:paraId="398C2B3B"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同一主侧袋账户内的每份基金份额具有平等的表决权。</w:t>
      </w:r>
    </w:p>
    <w:p w14:paraId="5163572A"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w:t>
      </w:r>
      <w:r>
        <w:rPr>
          <w:rFonts w:ascii="宋体" w:hAnsi="宋体" w:cs="宋体"/>
          <w:kern w:val="0"/>
          <w:sz w:val="24"/>
          <w:szCs w:val="24"/>
        </w:rPr>
        <w:t>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r>
        <w:rPr>
          <w:rFonts w:ascii="宋体" w:hAnsi="宋体" w:cs="宋体"/>
          <w:kern w:val="0"/>
          <w:sz w:val="24"/>
          <w:szCs w:val="24"/>
        </w:rPr>
        <w:br w:type="page"/>
      </w:r>
    </w:p>
    <w:p w14:paraId="6B13D334" w14:textId="77777777" w:rsidR="009D63C8" w:rsidRDefault="003D167A" w:rsidP="009E26D0">
      <w:pPr>
        <w:pStyle w:val="1"/>
        <w:spacing w:before="0" w:after="0"/>
        <w:jc w:val="center"/>
        <w:rPr>
          <w:rFonts w:ascii="Times New Roman"/>
          <w:color w:val="auto"/>
          <w:sz w:val="30"/>
        </w:rPr>
      </w:pPr>
      <w:bookmarkStart w:id="50" w:name="_Toc256000008"/>
      <w:r w:rsidRPr="009E26D0">
        <w:rPr>
          <w:rFonts w:ascii="Times New Roman"/>
          <w:noProof/>
          <w:color w:val="auto"/>
          <w:sz w:val="30"/>
        </w:rPr>
        <w:lastRenderedPageBreak/>
        <w:t>第九部分</w:t>
      </w:r>
      <w:r w:rsidRPr="009E26D0">
        <w:rPr>
          <w:rFonts w:ascii="Times New Roman"/>
          <w:noProof/>
          <w:color w:val="auto"/>
          <w:sz w:val="30"/>
        </w:rPr>
        <w:t xml:space="preserve">  </w:t>
      </w:r>
      <w:r w:rsidRPr="009E26D0">
        <w:rPr>
          <w:rFonts w:ascii="Times New Roman"/>
          <w:noProof/>
          <w:color w:val="auto"/>
          <w:sz w:val="30"/>
        </w:rPr>
        <w:t>基金管理人、基金托管人的更换条件和程序</w:t>
      </w:r>
      <w:bookmarkEnd w:id="50"/>
    </w:p>
    <w:p w14:paraId="729A4FC6" w14:textId="77777777" w:rsidR="007A2B34" w:rsidRPr="0017353E" w:rsidRDefault="007A2B34" w:rsidP="0090469D"/>
    <w:p w14:paraId="24F34FB3"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基金管理人和基金托管人职责终止的情形</w:t>
      </w:r>
    </w:p>
    <w:p w14:paraId="254547BE"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基金管理人职责终止的情形</w:t>
      </w:r>
    </w:p>
    <w:p w14:paraId="6DDE02F6"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有下列情形之一的，基金管理人职责终止：</w:t>
      </w:r>
    </w:p>
    <w:p w14:paraId="79248762"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被依法取消基金管理资格；</w:t>
      </w:r>
    </w:p>
    <w:p w14:paraId="096AA9B9"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被基金份额持有人大会解任；</w:t>
      </w:r>
    </w:p>
    <w:p w14:paraId="5BFDE011"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依法解散、被依法撤销或被依法宣告破产；</w:t>
      </w:r>
    </w:p>
    <w:p w14:paraId="3589DF6B"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法律法规及中国证监会规定的和《基金合同》约定的其他情形。</w:t>
      </w:r>
    </w:p>
    <w:p w14:paraId="054CCD4A"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基金托管人职责终止的情形</w:t>
      </w:r>
    </w:p>
    <w:p w14:paraId="6E6C32F2"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有下列情形之一的，基金托管人职责终止：</w:t>
      </w:r>
    </w:p>
    <w:p w14:paraId="47EB6E6A"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被依法取消基金托管资格；</w:t>
      </w:r>
    </w:p>
    <w:p w14:paraId="2DF7C621"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被基金份额持有人大会解任；</w:t>
      </w:r>
    </w:p>
    <w:p w14:paraId="1578AFDD"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依法解散、被依法撤销或被依法宣告破产；</w:t>
      </w:r>
    </w:p>
    <w:p w14:paraId="51FF7CE3"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法律法规及中国证监会规定的和《基金合同》约定的其他情形。</w:t>
      </w:r>
    </w:p>
    <w:p w14:paraId="5166F4DE"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基金管理人和基金托管人的更换程序</w:t>
      </w:r>
    </w:p>
    <w:p w14:paraId="75CCD1C5"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基金管理人的更换程序</w:t>
      </w:r>
    </w:p>
    <w:p w14:paraId="4D986CB3"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提名：新任基金管理人由基金托管人或由单独或合计持有10%以上（含10%）基金份额的基金份额持有人提名；</w:t>
      </w:r>
    </w:p>
    <w:p w14:paraId="6B8EEBDC"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64FB5925"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临时基金管理人：新任基金管理人产生之前，由中国证监会指定临时基金管理人；</w:t>
      </w:r>
    </w:p>
    <w:p w14:paraId="1997D4F5"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备案：基金份额持有人大会更换基金管理人的决议须报中国证监会备案；</w:t>
      </w:r>
    </w:p>
    <w:p w14:paraId="70D17FC9"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公告：基金管理人更换后，由基金托管人在更换基金管理人的基金份额持有人大会决议生效后2日内在规定媒介公告；</w:t>
      </w:r>
    </w:p>
    <w:p w14:paraId="3020387C"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交接：基金管理人职责终止的，基金管理人应妥善保管基金管理业务资</w:t>
      </w:r>
      <w:r>
        <w:rPr>
          <w:rFonts w:ascii="宋体" w:hAnsi="宋体" w:cs="宋体"/>
          <w:kern w:val="0"/>
          <w:sz w:val="24"/>
          <w:szCs w:val="24"/>
        </w:rPr>
        <w:lastRenderedPageBreak/>
        <w:t>料，及时向临时基金管理人或新任基金管理人办理基金管理业务的移交手续，临时基金管理人或新任基金管理人应及时接收。临时基金管理人或新任基金管理人应与基金托管人核对基金资产总值和基金资产净值；</w:t>
      </w:r>
    </w:p>
    <w:p w14:paraId="5F23A744"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审计：基金管理人职责终止的，应当按照法律法规规定聘请符合《中华人民共和国证券法》规定的会计师事务所对基金财产进行审计，并将审计结果予以公告，同时报中国证监会备案，审计费用从基金财产中列支；</w:t>
      </w:r>
    </w:p>
    <w:p w14:paraId="75D4BAB6"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基金名称变更：基金管理人更换后，如果原任或新任基金管理人要求，应按其要求替换或删除基金名称中与原任基金管理人有关的名称字样。</w:t>
      </w:r>
    </w:p>
    <w:p w14:paraId="7D0BBE3E"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基金托管人的更换程序</w:t>
      </w:r>
    </w:p>
    <w:p w14:paraId="468E408B"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提名：新任基金托管人由基金管理人或由单独或合计持有10%以上（含10%）基金份额的基金份额持有人提名；</w:t>
      </w:r>
    </w:p>
    <w:p w14:paraId="5A4EDD40"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1E8AC867"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临时基金托管人：新任基金托管人产生之前，由中国证监会指定临时基金托管人；</w:t>
      </w:r>
    </w:p>
    <w:p w14:paraId="4D36DD53"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备案：基金份额持有人大会更换基金托管人的决议须报中国证监会备案；</w:t>
      </w:r>
    </w:p>
    <w:p w14:paraId="4CD5A50C"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公告：基金托管人更换后，由基金管理人在更换基金托管人的基金份额持有人大会决议生效后2日内在规定媒介公告；</w:t>
      </w:r>
    </w:p>
    <w:p w14:paraId="3B29ACC7"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交接：基金托管人职责终止的，应当妥善保管基金财产和基金托管业务资料，及时办理基金财产和基金托管业务的移交手续，新任基金托管人或者临时基金托管人应当及时接收。临时基金托管人或新任基金托管人与基金管理人核对基金资产总值和基金资产净值；</w:t>
      </w:r>
    </w:p>
    <w:p w14:paraId="48D62BF4"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审计：基金托管人职责终止的，应当按照法律法规规定聘请符合《中华人民共和国证券法》规定的会计师事务所对基金财产进行审计，并将审计结果予以公告，同时报中国证监会备案，审计费用从基金财产中列支。</w:t>
      </w:r>
    </w:p>
    <w:p w14:paraId="5B610B6D"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基金管理人与基金托管人同时更换的条件和程序</w:t>
      </w:r>
    </w:p>
    <w:p w14:paraId="350041FE"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提名：如果基金管理人和基金托管人同时更换，由单独或合计持有基金</w:t>
      </w:r>
      <w:r>
        <w:rPr>
          <w:rFonts w:ascii="宋体" w:hAnsi="宋体" w:cs="宋体"/>
          <w:kern w:val="0"/>
          <w:sz w:val="24"/>
          <w:szCs w:val="24"/>
        </w:rPr>
        <w:lastRenderedPageBreak/>
        <w:t>总份额10%以上（含10%）的基金份额持有人提名新的基金管理人和基金托管人；</w:t>
      </w:r>
    </w:p>
    <w:p w14:paraId="65F08E9A"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基金管理人和基金托管人的更换分别按上述程序进行；</w:t>
      </w:r>
    </w:p>
    <w:p w14:paraId="589BA846"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公告：新任基金管理人和新任基金托管人应在更换基金管理人和基金托管人的基金份额持有人大会决议生效后2日内在规定媒介上联合公告。</w:t>
      </w:r>
    </w:p>
    <w:p w14:paraId="669368B5"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新任基金管理人或临时基金管理人接收基金管理业务，或新任基金托管人或临时基金托管人接收基金财产和基金托管业务前，原基金管理人或原基金托管人应依据法律法规和《基金合同》的约定继续履行相关职责，并保证不做出对基金份额持有人的利益造成损害的行为。原基金管理人或原基金托管人在继续履行相关职责期间，仍有权按照《基金合同》的约定收取基金管理费或基金托管费。</w:t>
      </w:r>
    </w:p>
    <w:p w14:paraId="4024DB72"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r>
        <w:rPr>
          <w:rFonts w:ascii="宋体" w:hAnsi="宋体" w:cs="宋体"/>
          <w:kern w:val="0"/>
          <w:sz w:val="24"/>
          <w:szCs w:val="24"/>
        </w:rPr>
        <w:br w:type="page"/>
      </w:r>
    </w:p>
    <w:p w14:paraId="61036945" w14:textId="77777777" w:rsidR="009D63C8" w:rsidRDefault="003D167A" w:rsidP="009E26D0">
      <w:pPr>
        <w:pStyle w:val="1"/>
        <w:spacing w:before="0" w:after="0"/>
        <w:jc w:val="center"/>
        <w:rPr>
          <w:rFonts w:ascii="Times New Roman"/>
          <w:color w:val="auto"/>
          <w:sz w:val="30"/>
        </w:rPr>
      </w:pPr>
      <w:bookmarkStart w:id="51" w:name="_Toc256000009"/>
      <w:r w:rsidRPr="009E26D0">
        <w:rPr>
          <w:rFonts w:ascii="Times New Roman"/>
          <w:noProof/>
          <w:color w:val="auto"/>
          <w:sz w:val="30"/>
        </w:rPr>
        <w:lastRenderedPageBreak/>
        <w:t>第十部分</w:t>
      </w:r>
      <w:r w:rsidRPr="009E26D0">
        <w:rPr>
          <w:rFonts w:ascii="Times New Roman"/>
          <w:noProof/>
          <w:color w:val="auto"/>
          <w:sz w:val="30"/>
        </w:rPr>
        <w:t xml:space="preserve">  </w:t>
      </w:r>
      <w:r w:rsidRPr="009E26D0">
        <w:rPr>
          <w:rFonts w:ascii="Times New Roman"/>
          <w:noProof/>
          <w:color w:val="auto"/>
          <w:sz w:val="30"/>
        </w:rPr>
        <w:t>基金的托管</w:t>
      </w:r>
      <w:bookmarkEnd w:id="51"/>
    </w:p>
    <w:p w14:paraId="5AEA797F" w14:textId="77777777" w:rsidR="007A2B34" w:rsidRPr="0017353E" w:rsidRDefault="007A2B34" w:rsidP="0090469D"/>
    <w:p w14:paraId="7043D985"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基金托管人和基金管理人按照《基金法》、《基金合同》及其他有关规定订立托管协议。</w:t>
      </w:r>
    </w:p>
    <w:p w14:paraId="75FCC218"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r>
        <w:rPr>
          <w:rFonts w:ascii="宋体" w:hAnsi="宋体" w:cs="宋体"/>
          <w:kern w:val="0"/>
          <w:sz w:val="24"/>
          <w:szCs w:val="24"/>
        </w:rPr>
        <w:br w:type="page"/>
      </w:r>
    </w:p>
    <w:p w14:paraId="7CAEF971" w14:textId="77777777" w:rsidR="009D63C8" w:rsidRDefault="003D167A" w:rsidP="009E26D0">
      <w:pPr>
        <w:pStyle w:val="1"/>
        <w:spacing w:before="0" w:after="0"/>
        <w:jc w:val="center"/>
        <w:rPr>
          <w:rFonts w:ascii="Times New Roman"/>
          <w:color w:val="auto"/>
          <w:sz w:val="30"/>
        </w:rPr>
      </w:pPr>
      <w:bookmarkStart w:id="52" w:name="_Toc256000010"/>
      <w:r w:rsidRPr="009E26D0">
        <w:rPr>
          <w:rFonts w:ascii="Times New Roman"/>
          <w:noProof/>
          <w:color w:val="auto"/>
          <w:sz w:val="30"/>
        </w:rPr>
        <w:lastRenderedPageBreak/>
        <w:t>第十一部分</w:t>
      </w:r>
      <w:r w:rsidRPr="009E26D0">
        <w:rPr>
          <w:rFonts w:ascii="Times New Roman"/>
          <w:noProof/>
          <w:color w:val="auto"/>
          <w:sz w:val="30"/>
        </w:rPr>
        <w:t xml:space="preserve">  </w:t>
      </w:r>
      <w:r w:rsidRPr="009E26D0">
        <w:rPr>
          <w:rFonts w:ascii="Times New Roman"/>
          <w:noProof/>
          <w:color w:val="auto"/>
          <w:sz w:val="30"/>
        </w:rPr>
        <w:t>基金份额的登记</w:t>
      </w:r>
      <w:bookmarkEnd w:id="52"/>
    </w:p>
    <w:p w14:paraId="5FA46573" w14:textId="77777777" w:rsidR="007A2B34" w:rsidRPr="0017353E" w:rsidRDefault="007A2B34" w:rsidP="0090469D"/>
    <w:p w14:paraId="40D4E14B"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基金份额的登记业务</w:t>
      </w:r>
    </w:p>
    <w:p w14:paraId="41D3BF08"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73546600"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基金登记业务办理机构</w:t>
      </w:r>
    </w:p>
    <w:p w14:paraId="07DA14E0"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本基金的登记业务由基金管理人或基金管理人委托的其他符合条件的机构办理，但基金管理人依法应当承担的责任不因委托而免除。基金管理人委托其他机构办理本基金登记业务的，应与代理人签订委托代理协议，</w:t>
      </w:r>
      <w:r>
        <w:rPr>
          <w:rStyle w:val="custom"/>
          <w:rFonts w:ascii="宋体" w:hAnsi="宋体" w:cs="宋体"/>
          <w:kern w:val="0"/>
          <w:sz w:val="24"/>
          <w:szCs w:val="24"/>
        </w:rPr>
        <w:t>以明确基金管理人和代理机构在投资者基金账户管理、</w:t>
      </w:r>
      <w:r>
        <w:rPr>
          <w:rFonts w:ascii="宋体" w:hAnsi="宋体" w:cs="宋体"/>
          <w:kern w:val="0"/>
          <w:sz w:val="24"/>
          <w:szCs w:val="24"/>
        </w:rPr>
        <w:t>基金份额登记、清算及基金交易确认、发放红利、建立并保管基金份额持有人名册等事宜中的权利和义务，保护基金份额持有人的合法权益。</w:t>
      </w:r>
    </w:p>
    <w:p w14:paraId="545F870D"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基金登记机构的权利</w:t>
      </w:r>
    </w:p>
    <w:p w14:paraId="6FCCE7F8"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基金登记机构享有以下权利：</w:t>
      </w:r>
    </w:p>
    <w:p w14:paraId="22EC04AA"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取得登记费；</w:t>
      </w:r>
    </w:p>
    <w:p w14:paraId="537BB311" w14:textId="77777777" w:rsidR="00D20988" w:rsidRDefault="003D167A">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2、</w:t>
      </w:r>
      <w:r>
        <w:rPr>
          <w:rFonts w:ascii="宋体" w:hAnsi="宋体" w:cs="宋体"/>
          <w:kern w:val="0"/>
          <w:sz w:val="24"/>
          <w:szCs w:val="24"/>
        </w:rPr>
        <w:t>建立和管理投资者</w:t>
      </w:r>
      <w:r>
        <w:rPr>
          <w:rStyle w:val="custom"/>
          <w:rFonts w:ascii="宋体" w:hAnsi="宋体" w:cs="宋体"/>
          <w:kern w:val="0"/>
          <w:sz w:val="24"/>
          <w:szCs w:val="24"/>
        </w:rPr>
        <w:t>基金账户</w:t>
      </w:r>
      <w:r>
        <w:rPr>
          <w:rFonts w:ascii="宋体" w:hAnsi="宋体" w:cs="宋体"/>
          <w:kern w:val="0"/>
          <w:sz w:val="24"/>
          <w:szCs w:val="24"/>
        </w:rPr>
        <w:t>；</w:t>
      </w:r>
    </w:p>
    <w:p w14:paraId="4B916DB0"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保管基金份额持有人开户资料、交易资料、基金份额持有人名册等；</w:t>
      </w:r>
    </w:p>
    <w:p w14:paraId="2529E2F7"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在法律法规允许的范围内，对登记业务的办理时间进行调整，并依照有关规定于开始实施前在规定媒介上公告；</w:t>
      </w:r>
    </w:p>
    <w:p w14:paraId="52F4D208"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法律法规及中国证监会规定的和《基金合同》约定的其他权利。</w:t>
      </w:r>
    </w:p>
    <w:p w14:paraId="152A4E82"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基金登记机构的义务</w:t>
      </w:r>
    </w:p>
    <w:p w14:paraId="13127D4A"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基金登记机构承担以下义务：</w:t>
      </w:r>
    </w:p>
    <w:p w14:paraId="475D2BDE"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配备足够的专业人员办理本基金份额的登记业务；</w:t>
      </w:r>
    </w:p>
    <w:p w14:paraId="5C68AF06"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严格按照法律法规和《基金合同》规定的条件办理本基金份额的登记业务；</w:t>
      </w:r>
    </w:p>
    <w:p w14:paraId="370F6F0B"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妥善保存登记数据，并将基金份额持有人名称、身份信息及基金份额明细等数据备份至中国证监会认定的机构。其保存期限自基金账户销户之日起不得少于20年；</w:t>
      </w:r>
    </w:p>
    <w:p w14:paraId="6623C81E" w14:textId="77777777" w:rsidR="00D20988" w:rsidRDefault="003D167A">
      <w:pPr>
        <w:pStyle w:val="div"/>
        <w:spacing w:line="360" w:lineRule="auto"/>
        <w:ind w:firstLine="420"/>
        <w:rPr>
          <w:rFonts w:eastAsia="Times New Roman"/>
          <w:kern w:val="0"/>
          <w:sz w:val="24"/>
          <w:szCs w:val="24"/>
        </w:rPr>
      </w:pPr>
      <w:r>
        <w:rPr>
          <w:rStyle w:val="serial-tag"/>
          <w:rFonts w:ascii="宋体" w:hAnsi="宋体" w:cs="宋体"/>
          <w:kern w:val="0"/>
          <w:sz w:val="24"/>
          <w:szCs w:val="24"/>
        </w:rPr>
        <w:lastRenderedPageBreak/>
        <w:t>4、</w:t>
      </w:r>
      <w:r>
        <w:rPr>
          <w:rFonts w:ascii="宋体" w:hAnsi="宋体" w:cs="宋体"/>
          <w:kern w:val="0"/>
          <w:sz w:val="24"/>
          <w:szCs w:val="24"/>
        </w:rPr>
        <w:t>对基金份额持有人的</w:t>
      </w:r>
      <w:r>
        <w:rPr>
          <w:rStyle w:val="custom"/>
          <w:rFonts w:ascii="宋体" w:hAnsi="宋体" w:cs="宋体"/>
          <w:kern w:val="0"/>
          <w:sz w:val="24"/>
          <w:szCs w:val="24"/>
        </w:rPr>
        <w:t>基金账户信息</w:t>
      </w:r>
      <w:r>
        <w:rPr>
          <w:rFonts w:ascii="宋体" w:hAnsi="宋体" w:cs="宋体"/>
          <w:kern w:val="0"/>
          <w:sz w:val="24"/>
          <w:szCs w:val="24"/>
        </w:rPr>
        <w:t>负有保密义务，因违反该保密义务对投资者或基金带来的损失，须承担相应的赔偿责任，但司法强制检查情形及法律法规及中国证监会规定的和《基金合同》约定的其他情形除外；</w:t>
      </w:r>
    </w:p>
    <w:p w14:paraId="05C11FE9"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按《基金合同》及招募说明书规定为投资者办理非交易过户业务、提供其他必要的服务；</w:t>
      </w:r>
    </w:p>
    <w:p w14:paraId="5CF1EE88"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接受基金管理人的监督；</w:t>
      </w:r>
    </w:p>
    <w:p w14:paraId="4858BCC9"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法律法规及中国证监会规定的和《基金合同》约定的其他义务。</w:t>
      </w:r>
      <w:r>
        <w:rPr>
          <w:rFonts w:ascii="宋体" w:hAnsi="宋体" w:cs="宋体"/>
          <w:kern w:val="0"/>
          <w:sz w:val="24"/>
          <w:szCs w:val="24"/>
        </w:rPr>
        <w:br w:type="page"/>
      </w:r>
    </w:p>
    <w:p w14:paraId="0F4F3BA5" w14:textId="77777777" w:rsidR="009D63C8" w:rsidRDefault="003D167A" w:rsidP="009E26D0">
      <w:pPr>
        <w:pStyle w:val="1"/>
        <w:spacing w:before="0" w:after="0"/>
        <w:jc w:val="center"/>
        <w:rPr>
          <w:rFonts w:ascii="Times New Roman"/>
          <w:color w:val="auto"/>
          <w:sz w:val="30"/>
        </w:rPr>
      </w:pPr>
      <w:bookmarkStart w:id="53" w:name="_Toc256000011"/>
      <w:r w:rsidRPr="009E26D0">
        <w:rPr>
          <w:rFonts w:ascii="Times New Roman"/>
          <w:noProof/>
          <w:color w:val="auto"/>
          <w:sz w:val="30"/>
        </w:rPr>
        <w:lastRenderedPageBreak/>
        <w:t>第十二部分</w:t>
      </w:r>
      <w:r w:rsidRPr="009E26D0">
        <w:rPr>
          <w:rFonts w:ascii="Times New Roman"/>
          <w:noProof/>
          <w:color w:val="auto"/>
          <w:sz w:val="30"/>
        </w:rPr>
        <w:t xml:space="preserve">  </w:t>
      </w:r>
      <w:r w:rsidRPr="009E26D0">
        <w:rPr>
          <w:rFonts w:ascii="Times New Roman"/>
          <w:noProof/>
          <w:color w:val="auto"/>
          <w:sz w:val="30"/>
        </w:rPr>
        <w:t>基金的投资</w:t>
      </w:r>
      <w:bookmarkEnd w:id="53"/>
    </w:p>
    <w:p w14:paraId="6DAFED80" w14:textId="77777777" w:rsidR="007A2B34" w:rsidRPr="0017353E" w:rsidRDefault="007A2B34" w:rsidP="0090469D"/>
    <w:p w14:paraId="1137290F"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投资目标</w:t>
      </w:r>
    </w:p>
    <w:p w14:paraId="0C2EEB1C" w14:textId="77777777" w:rsidR="00D20988" w:rsidRDefault="003D167A">
      <w:pPr>
        <w:pStyle w:val="div"/>
        <w:spacing w:line="360" w:lineRule="auto"/>
        <w:ind w:firstLine="420"/>
        <w:rPr>
          <w:rFonts w:ascii="宋体" w:hAnsi="宋体" w:cs="宋体"/>
          <w:kern w:val="0"/>
          <w:sz w:val="24"/>
          <w:szCs w:val="24"/>
        </w:rPr>
      </w:pPr>
      <w:r>
        <w:rPr>
          <w:rFonts w:ascii="宋体" w:hAnsi="宋体" w:cs="宋体"/>
          <w:kern w:val="0"/>
          <w:sz w:val="24"/>
          <w:szCs w:val="24"/>
        </w:rPr>
        <w:t>本基金为股票型指数增强基金，在对标的指数进行有效跟踪的被动投资基础上，结合增强型的主动投资，进行积极的组合管理和风险控制，力求实现超越标的指数的业绩表现，谋求基金资产的长期增值。</w:t>
      </w:r>
    </w:p>
    <w:p w14:paraId="7EFE4FA9"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投资范围</w:t>
      </w:r>
    </w:p>
    <w:p w14:paraId="7D42F2F6"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本基金的投资范围为具有良好流动性的金融工具，包括国内依法发行上市的股票（含主板、</w:t>
      </w:r>
      <w:r w:rsidR="00EA7AE7">
        <w:rPr>
          <w:rStyle w:val="custom"/>
          <w:rFonts w:ascii="宋体" w:hAnsi="宋体" w:cs="宋体" w:hint="eastAsia"/>
          <w:kern w:val="0"/>
          <w:sz w:val="24"/>
          <w:szCs w:val="24"/>
        </w:rPr>
        <w:t>科创板、</w:t>
      </w:r>
      <w:r>
        <w:rPr>
          <w:rStyle w:val="custom"/>
          <w:rFonts w:ascii="宋体" w:hAnsi="宋体" w:cs="宋体"/>
          <w:kern w:val="0"/>
          <w:sz w:val="24"/>
          <w:szCs w:val="24"/>
        </w:rPr>
        <w:t>创业板及其他经中国证监会允许上市的股票、存托凭证）、港股通标的股票、债券（包括国债、央行票据、金融债、企业债、公司债、中期票据、短期融资券、超短期融资券、次级债券、政府支持债券、政府支持机构债券、地方政府债券、可交换债券、可转换债券（含分离交易可转债）及其他经中国证监会允许投资的债券）、股指期货、国债期货、股票期权、资产支持证券、</w:t>
      </w:r>
      <w:r>
        <w:rPr>
          <w:rFonts w:ascii="宋体" w:hAnsi="宋体" w:cs="宋体"/>
          <w:kern w:val="0"/>
          <w:sz w:val="24"/>
          <w:szCs w:val="24"/>
        </w:rPr>
        <w:t>债券回购、同业存单、银行存款（包含协议存款、定期存款及其他银行存款）、货币市场工具以及法律法规或中国证监会允许基金投资的其他金融工具</w:t>
      </w:r>
      <w:r>
        <w:rPr>
          <w:rStyle w:val="custom"/>
          <w:rFonts w:ascii="宋体" w:hAnsi="宋体" w:cs="宋体"/>
          <w:kern w:val="0"/>
          <w:sz w:val="24"/>
          <w:szCs w:val="24"/>
        </w:rPr>
        <w:t>(</w:t>
      </w:r>
      <w:r>
        <w:rPr>
          <w:rFonts w:ascii="宋体" w:hAnsi="宋体" w:cs="宋体"/>
          <w:kern w:val="0"/>
          <w:sz w:val="24"/>
          <w:szCs w:val="24"/>
        </w:rPr>
        <w:t>但须符合中国证监会相关规定</w:t>
      </w:r>
      <w:r>
        <w:rPr>
          <w:rStyle w:val="custom"/>
          <w:rFonts w:ascii="宋体" w:hAnsi="宋体" w:cs="宋体"/>
          <w:kern w:val="0"/>
          <w:sz w:val="24"/>
          <w:szCs w:val="24"/>
        </w:rPr>
        <w:t>)</w:t>
      </w:r>
      <w:r>
        <w:rPr>
          <w:rFonts w:ascii="宋体" w:hAnsi="宋体" w:cs="宋体"/>
          <w:kern w:val="0"/>
          <w:sz w:val="24"/>
          <w:szCs w:val="24"/>
        </w:rPr>
        <w:t>。</w:t>
      </w:r>
    </w:p>
    <w:p w14:paraId="0C6FCF37"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本基金还可根据法律法规参与融资及转融通证券出借业务。</w:t>
      </w:r>
    </w:p>
    <w:p w14:paraId="386D3098"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如法律法规或监管机构以后允许基金投资其他品种，基金管理人在履行适当程序后，可以将其纳入投资范围。</w:t>
      </w:r>
    </w:p>
    <w:p w14:paraId="4FEE1939"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基金的投资组合比例为：本基金投资于股票的资产不低于基金资产的80%，投资于标的指数成份股及其备选成份股的比例不低于非现金基金资产的80%。</w:t>
      </w:r>
      <w:r>
        <w:rPr>
          <w:rStyle w:val="custom"/>
          <w:rFonts w:ascii="宋体" w:hAnsi="宋体" w:cs="宋体"/>
          <w:kern w:val="0"/>
          <w:sz w:val="24"/>
          <w:szCs w:val="24"/>
        </w:rPr>
        <w:t>其中，投资于港股通标的股票的比例不超过股票资产的50%。每个交易日日终在扣除国债期货、股指期货和股票期权合约需缴纳的交易保证金后，本基金保留的现金或投资于到期日在一年以内的政府债券的比例合计不低于基金资产净值的5%。</w:t>
      </w:r>
      <w:r>
        <w:rPr>
          <w:rFonts w:ascii="宋体" w:hAnsi="宋体" w:cs="宋体"/>
          <w:kern w:val="0"/>
          <w:sz w:val="24"/>
          <w:szCs w:val="24"/>
        </w:rPr>
        <w:t>其中现金不包括结算备付金、存出保证金、应收申购款等。</w:t>
      </w:r>
    </w:p>
    <w:p w14:paraId="7C4A9005"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如法律法规或监管机构变更投资品种的投资比例限制，基金管理人在履行适当程序后，可以调整上述投资品种的投资比例。</w:t>
      </w:r>
    </w:p>
    <w:p w14:paraId="53841ABC"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投资策略</w:t>
      </w:r>
    </w:p>
    <w:p w14:paraId="0E026F26"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本基金采用指数增强型投资策略，以上证科创板综合价格指数作为基金投资</w:t>
      </w:r>
      <w:r>
        <w:rPr>
          <w:rStyle w:val="custom"/>
          <w:rFonts w:ascii="宋体" w:hAnsi="宋体" w:cs="宋体"/>
          <w:kern w:val="0"/>
          <w:sz w:val="24"/>
          <w:szCs w:val="24"/>
        </w:rPr>
        <w:lastRenderedPageBreak/>
        <w:t>组合的标的指数，结合深入的宏观面、基本面研究及数量化投资技术，在指数化投资基础上优化调整投资组合，力争控制本基金净值增长率与业绩比较基准之间的日均跟踪偏离度的绝对值不超过0.5%，年跟踪误差不超过8.00%，力求实现高于标的指数的投资收益和基金资产的长期增值。</w:t>
      </w:r>
    </w:p>
    <w:p w14:paraId="0E6EB7E9"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股票投资策略为本基金的核心策略。本基金股票投资以个股精选策略为主。在本基金的投资过程中，将控制股票投资组合与标的指数的结构性偏离，以期在长期实现持续超越标的指数收益率的投资目标。</w:t>
      </w:r>
    </w:p>
    <w:p w14:paraId="48921479"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本基金运作过程中，当标的指数成份股发生明显负面事件面临退市，且指数编制机构暂未作出调整的，基金管理人应当按照基金份额持有人利益优先的原则，履行内部决策程序后及时对相关成份股进行调整。</w:t>
      </w:r>
    </w:p>
    <w:p w14:paraId="272853F4"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1.资产配置策略</w:t>
      </w:r>
    </w:p>
    <w:p w14:paraId="512983FE"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以追求基金资产收益长期增长为目标，根据宏观经济趋势、市场政策、资产估值水平、外围主要经济体宏观经济和资本市场的运行状况等因素的变化在本基金的投资范围内进行适度动态配置，在控制基金跟踪误差的前提下，谋求在偏离风险和超额收益间的最佳配置。</w:t>
      </w:r>
    </w:p>
    <w:p w14:paraId="40B984A2"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2.股票投资策略</w:t>
      </w:r>
    </w:p>
    <w:p w14:paraId="28222121"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主要通过主动精选个股，选取并持有基本面良好的股票构成投资组合，在控制组合跟踪误差的基础上，力争实现超越业绩比较基准的投资回报。本基金所跟踪的标的指数为上证科创板综合价格指数，在满足投资比例要求基础上，本基金将在允许的投资范围内，进行成份股优化增强、非成份股优选增强对组合进行优化。具体来说，股票投资采用定量和定性分析相结合的策略选取基本面良好的股票，在保持对</w:t>
      </w:r>
      <w:r w:rsidR="00A816F3">
        <w:rPr>
          <w:rStyle w:val="custom"/>
          <w:rFonts w:ascii="宋体" w:hAnsi="宋体" w:cs="宋体" w:hint="eastAsia"/>
          <w:kern w:val="0"/>
          <w:sz w:val="24"/>
          <w:szCs w:val="24"/>
        </w:rPr>
        <w:t>标的</w:t>
      </w:r>
      <w:r>
        <w:rPr>
          <w:rStyle w:val="custom"/>
          <w:rFonts w:ascii="宋体" w:hAnsi="宋体" w:cs="宋体"/>
          <w:kern w:val="0"/>
          <w:sz w:val="24"/>
          <w:szCs w:val="24"/>
        </w:rPr>
        <w:t>指数有效跟踪的同时，力争实现对</w:t>
      </w:r>
      <w:r w:rsidR="00A816F3">
        <w:rPr>
          <w:rStyle w:val="custom"/>
          <w:rFonts w:ascii="宋体" w:hAnsi="宋体" w:cs="宋体" w:hint="eastAsia"/>
          <w:kern w:val="0"/>
          <w:sz w:val="24"/>
          <w:szCs w:val="24"/>
        </w:rPr>
        <w:t>标的</w:t>
      </w:r>
      <w:r>
        <w:rPr>
          <w:rStyle w:val="custom"/>
          <w:rFonts w:ascii="宋体" w:hAnsi="宋体" w:cs="宋体"/>
          <w:kern w:val="0"/>
          <w:sz w:val="24"/>
          <w:szCs w:val="24"/>
        </w:rPr>
        <w:t>指数的长期超越。</w:t>
      </w:r>
    </w:p>
    <w:p w14:paraId="405DC681"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1）定性分析</w:t>
      </w:r>
    </w:p>
    <w:p w14:paraId="689522B2"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在定性分析方面，本基金将精选公司治理优良、竞争优势突出、行业前景光明、盈利稳定增长的优质上市公司。具体而言，主要考虑以下几方面因素：</w:t>
      </w:r>
    </w:p>
    <w:p w14:paraId="3C60ECB8"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①治理结构、公司管理层和财务状况评价</w:t>
      </w:r>
    </w:p>
    <w:p w14:paraId="6D661174"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主要从股东结构和激励约束机制两方面对公司治理进行分析。股东结构主要从股东背景、股权变更情况、关联交易、独立性等方面予以考察，激励约束机制则从股权激励、管理层与股东利益的一致性等方面考察。</w:t>
      </w:r>
    </w:p>
    <w:p w14:paraId="7FB87B55"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本基金将致力于寻找中国优秀的企业家以及其管理的企业。优秀的企业家具备出色的经营才能，而且怀着清晰、长期的愿景，充满激情，不懈努力，执行力强。</w:t>
      </w:r>
    </w:p>
    <w:p w14:paraId="6360772B"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本基金投资标的的财务状况应当健康和稳健。通过对目标企业的资产负债、损益、现金流量的分析，评估企业盈利能力、营运能力、偿债能力及增长能力等财务状况。</w:t>
      </w:r>
    </w:p>
    <w:p w14:paraId="06C8A03D"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②企业竞争优势评估</w:t>
      </w:r>
    </w:p>
    <w:p w14:paraId="59B8020D"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企业竞争优势评估主要从生产、市场、技术和政策环境等四方面进行分析。生产优势集中体现在能以相对更低的成本为顾客提供更好的产品或服务。市场优势主要表现在产品线、营销渠道及品牌竞争力三方面。技术优势从专利权及知识产权保护、研究开发两方面考察。政策环境主要关注所在行业是否符合国家产业政策的方向。</w:t>
      </w:r>
    </w:p>
    <w:p w14:paraId="033387EA"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③行业背景和商业模式分析</w:t>
      </w:r>
    </w:p>
    <w:p w14:paraId="6AF1D1A7"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主要从行业集中度和行业地位两方面对行业背景进行分析，优选具有较好的行业集中度及行业地位，并具备独特核心竞争优势的企业。企业所在行业有一定的集中度，其主导产品的市场份额高于市场平均水准，而且在经营许可、规模、资源、技术、品牌、创新能力等一个或数个方面具有竞争对手在中长期时间内难以模仿的优势。</w:t>
      </w:r>
    </w:p>
    <w:p w14:paraId="5A04F5F8"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优秀的商业模式通常有以下两种：第一，较强的定价能力，在行业地位领先且稳固，对上下游具有较强的议价能力，能够通过不断提升产品价格或降低成本以提高盈利能力，即使在宏观经济向下的阶段，能够通过控制产量等方式延缓甚至避免价格的下跌；第二，扩张成本低，即利润增长对资本的需求和依赖较低，表现在财务数据上就是净资产收益率高，很少或者几乎不需要股权融资就可以实现较高增长，最好商业模式能够较快复制，能够以较快的速度形成规模效益。</w:t>
      </w:r>
    </w:p>
    <w:p w14:paraId="0B5D1712"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2）定量分析</w:t>
      </w:r>
    </w:p>
    <w:p w14:paraId="0D4AB734"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在定量分析方面，本基金使用多因子量化选股模型挖掘影响个股超额收益的因素；通过风险</w:t>
      </w:r>
      <w:r w:rsidR="00720DF2">
        <w:rPr>
          <w:rStyle w:val="custom"/>
          <w:rFonts w:ascii="宋体" w:hAnsi="宋体" w:cs="宋体" w:hint="eastAsia"/>
          <w:kern w:val="0"/>
          <w:sz w:val="24"/>
          <w:szCs w:val="24"/>
        </w:rPr>
        <w:t>控制</w:t>
      </w:r>
      <w:r>
        <w:rPr>
          <w:rStyle w:val="custom"/>
          <w:rFonts w:ascii="宋体" w:hAnsi="宋体" w:cs="宋体"/>
          <w:kern w:val="0"/>
          <w:sz w:val="24"/>
          <w:szCs w:val="24"/>
        </w:rPr>
        <w:t>模型衡量和控制组合相对基准的跟踪误差，降低个股投资风险；通过交易成本控制模型减少交易成本；通过组合构建模型结合定性分析和量化模型的结论，综合获利机会、风险、交易成本等各方面因素，动态</w:t>
      </w:r>
      <w:r w:rsidR="00E94C35">
        <w:rPr>
          <w:rStyle w:val="custom"/>
          <w:rFonts w:ascii="宋体" w:hAnsi="宋体" w:cs="宋体" w:hint="eastAsia"/>
          <w:kern w:val="0"/>
          <w:sz w:val="24"/>
          <w:szCs w:val="24"/>
        </w:rPr>
        <w:t>构建</w:t>
      </w:r>
      <w:r>
        <w:rPr>
          <w:rStyle w:val="custom"/>
          <w:rFonts w:ascii="宋体" w:hAnsi="宋体" w:cs="宋体"/>
          <w:kern w:val="0"/>
          <w:sz w:val="24"/>
          <w:szCs w:val="24"/>
        </w:rPr>
        <w:t>组合。</w:t>
      </w:r>
    </w:p>
    <w:p w14:paraId="0662F912"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①使用多因子</w:t>
      </w:r>
      <w:r w:rsidR="00E94C35">
        <w:rPr>
          <w:rStyle w:val="custom"/>
          <w:rFonts w:ascii="宋体" w:hAnsi="宋体" w:cs="宋体" w:hint="eastAsia"/>
          <w:kern w:val="0"/>
          <w:sz w:val="24"/>
          <w:szCs w:val="24"/>
        </w:rPr>
        <w:t>量化选股</w:t>
      </w:r>
      <w:r>
        <w:rPr>
          <w:rStyle w:val="custom"/>
          <w:rFonts w:ascii="宋体" w:hAnsi="宋体" w:cs="宋体"/>
          <w:kern w:val="0"/>
          <w:sz w:val="24"/>
          <w:szCs w:val="24"/>
        </w:rPr>
        <w:t>模型发掘定价偏离</w:t>
      </w:r>
    </w:p>
    <w:p w14:paraId="1DF9DD57"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基金管理人开发的多因子量化选股模型，通过数量技术对历史数据进行深入研究，发掘影响证券价格的各类因子，在投资中利用这些因子对股票进行综合评分，选入预期收益较高的股票，剔除可能存在下行风险的股票。</w:t>
      </w:r>
    </w:p>
    <w:p w14:paraId="15AD161E"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使用的因子主要包括公司基本面信息、市场一致预期和微观价格数据等，主要集中在质量、成长、预期、价值、市场面这几个大类，每一类因子由多个选股指标组成，各选股指标以投资逻辑为基础，经过反复提炼和验证，具备一定的选股能力。</w:t>
      </w:r>
    </w:p>
    <w:p w14:paraId="2C3649A0"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②通过风险控制模型衡量和控制风险</w:t>
      </w:r>
    </w:p>
    <w:p w14:paraId="39B358F7"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通过风险控制模型衡量和控制组合相对业绩比较基准在子行业、风格、个股方面的风险暴露，努力控制相对业绩比较基准的跟踪误差，力争避免在某些市场环境下较大幅落后于标的指数，通过使用个股风险筛查模型降低个股投资风险。</w:t>
      </w:r>
    </w:p>
    <w:p w14:paraId="3068CD67"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③使用定量技术减少交易成本</w:t>
      </w:r>
    </w:p>
    <w:p w14:paraId="3F9CC1CF"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在组合构建时将分析个股的流动性，在此基础上限制个股的权重；本基金在组合调整时将综合比较组合调整带来的潜在收益和组合调整的成本，避免不必要的交易；本基金在交易时将利用交易技术尽可能减少市场冲击，降低交易成本。</w:t>
      </w:r>
    </w:p>
    <w:p w14:paraId="7BC3F06C"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④综合衡量获利机会、风险因素、交易成本，动态</w:t>
      </w:r>
      <w:r w:rsidR="00E94C35">
        <w:rPr>
          <w:rStyle w:val="custom"/>
          <w:rFonts w:ascii="宋体" w:hAnsi="宋体" w:cs="宋体" w:hint="eastAsia"/>
          <w:kern w:val="0"/>
          <w:sz w:val="24"/>
          <w:szCs w:val="24"/>
        </w:rPr>
        <w:t>构建</w:t>
      </w:r>
      <w:r>
        <w:rPr>
          <w:rStyle w:val="custom"/>
          <w:rFonts w:ascii="宋体" w:hAnsi="宋体" w:cs="宋体"/>
          <w:kern w:val="0"/>
          <w:sz w:val="24"/>
          <w:szCs w:val="24"/>
        </w:rPr>
        <w:t>组合</w:t>
      </w:r>
    </w:p>
    <w:p w14:paraId="26EB515A"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除了在价格发现、风险控制、交易技术等方面进行深入挖掘外，本基金将综合这些因素之间的相互联系，进行整体考虑后动态</w:t>
      </w:r>
      <w:r w:rsidR="00E94C35">
        <w:rPr>
          <w:rStyle w:val="custom"/>
          <w:rFonts w:ascii="宋体" w:hAnsi="宋体" w:cs="宋体" w:hint="eastAsia"/>
          <w:kern w:val="0"/>
          <w:sz w:val="24"/>
          <w:szCs w:val="24"/>
        </w:rPr>
        <w:t>构建</w:t>
      </w:r>
      <w:r>
        <w:rPr>
          <w:rStyle w:val="custom"/>
          <w:rFonts w:ascii="宋体" w:hAnsi="宋体" w:cs="宋体"/>
          <w:kern w:val="0"/>
          <w:sz w:val="24"/>
          <w:szCs w:val="24"/>
        </w:rPr>
        <w:t>组合。</w:t>
      </w:r>
    </w:p>
    <w:p w14:paraId="2C9CB5C0"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3、港股通标的股票的投资策略</w:t>
      </w:r>
    </w:p>
    <w:p w14:paraId="12F5483E"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考虑到香港股票市场与A股股票市场的差异，对于港股通标的股票，本基金除按照上述“自下而上”的个股精选策略，还将结合公司基本面、国内经济和相关行业发展前景、香港市场资金面和投资者行为，以及世界主要经济体经济发展前景和货币政策、主流资本市场对投资者的相对吸引力等因素，精选符合本基金投资目标的</w:t>
      </w:r>
      <w:r w:rsidR="00E94C35">
        <w:rPr>
          <w:rStyle w:val="custom"/>
          <w:rFonts w:ascii="宋体" w:hAnsi="宋体" w:cs="宋体" w:hint="eastAsia"/>
          <w:kern w:val="0"/>
          <w:sz w:val="24"/>
          <w:szCs w:val="24"/>
        </w:rPr>
        <w:t>港股通标的</w:t>
      </w:r>
      <w:r>
        <w:rPr>
          <w:rStyle w:val="custom"/>
          <w:rFonts w:ascii="宋体" w:hAnsi="宋体" w:cs="宋体"/>
          <w:kern w:val="0"/>
          <w:sz w:val="24"/>
          <w:szCs w:val="24"/>
        </w:rPr>
        <w:t>股票。</w:t>
      </w:r>
    </w:p>
    <w:p w14:paraId="66E11C8E"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4、存托凭证的投资策略</w:t>
      </w:r>
    </w:p>
    <w:p w14:paraId="65116FF7"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本基金投资存托凭证的策略依照上述境内上市交易的股票投资策略执行。</w:t>
      </w:r>
    </w:p>
    <w:p w14:paraId="690144A6"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5、债券投资策略</w:t>
      </w:r>
    </w:p>
    <w:p w14:paraId="70B3800D"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管理人将基于对国内外宏观经济形势的深入分析、国内外财政政策与货币市场政策等因素对债券市场的影响，进行合理的利率预期，判断债券市场的基本走势，制定久期控制下的资产类属配置策略。在债券投资组合构建和管理过程中，本基金管理人将具体采用期限结构配置、市场转换、信用利差和相对价值判断、信用风险评估、现金管理等管理手段进行个券选择。</w:t>
      </w:r>
    </w:p>
    <w:p w14:paraId="31445435"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6、可转债及可交换债投资策略</w:t>
      </w:r>
    </w:p>
    <w:p w14:paraId="255F34DF"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对于本基金中可转债的投资，本基金主要采用可转债相对价值分析策略。</w:t>
      </w:r>
    </w:p>
    <w:p w14:paraId="507C0AA7"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由于可转债兼具债性和股性，其投资风险和收益介于股票和债券之间，可转债相对价值分析策略通过分析不同市场环境下其股性和债性的相对价值，把握可转债的价值走向，选择相应券种，力争获取较高投资收益。</w:t>
      </w:r>
    </w:p>
    <w:p w14:paraId="41B198FC"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其次，在进行可转债筛选时，本基金还对可转债自身的基本面要素进行综合分析，这些基本面要素包括股性特征、债性特征、摊薄率、流动性等，形成对基础股票的价值评估。本基金将可转债自身的基本面分析和其基础股票的基本面分析结合在一起，最终确定投资的品种。</w:t>
      </w:r>
    </w:p>
    <w:p w14:paraId="5546E01A"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可交换债券与可转换债券的区别在于换股期间用于交换的股票并非自身新发的股票，而是发行人持有的其他上市公司的股票。可交换债券同样具有债券属性和权益属性，其中债券属性与可转换债券相同，即选择持有可交换债券至到期以获取票面价值和票面利息；而对于权益属性的分析则需关注目标公司的股票价值以及发行人作为股东的换股意愿等。本基金将通过对目标公司股票的投资价值、可交换债券的债券价值、以及条款带来的期权价值等综合分析，进行投资决策。</w:t>
      </w:r>
    </w:p>
    <w:p w14:paraId="1B101625"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7、资产支持证券投资策略</w:t>
      </w:r>
    </w:p>
    <w:p w14:paraId="532E54F8"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将在宏观经济和基本面分析的基础上，对资产支持证券标的资产的质量和构成、利率风险、信用风险、流动性风险和提前偿付风险等进行分析，评估其相对投资价值并作出相应的投资决策，以在控制风险的前提下尽可能的提高本基金的收益。</w:t>
      </w:r>
    </w:p>
    <w:p w14:paraId="337E8B88"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在资产支持证券的选择上，本基金将采取“自上而下”和“自下而上”相结合的策略。“自上而下”投资策略指在平均久期配置策略与期限结构配置策略基础上，本基金运用数量化或定性分析方法对资产支持证券的利率风险、提前偿付</w:t>
      </w:r>
      <w:r>
        <w:rPr>
          <w:rStyle w:val="custom"/>
          <w:rFonts w:ascii="宋体" w:hAnsi="宋体" w:cs="宋体"/>
          <w:kern w:val="0"/>
          <w:sz w:val="24"/>
          <w:szCs w:val="24"/>
        </w:rPr>
        <w:lastRenderedPageBreak/>
        <w:t>风险、流动性风险溢价、税收溢价等因素进行分析，对收益率走势及其收益和风险进行判断。“自下而上”投资策略指运用数量化或定性分析方法对资产池信用风险进行分析和度量，选择风险与收益相匹配的更优品种进行配置。</w:t>
      </w:r>
    </w:p>
    <w:p w14:paraId="18BBA74B"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8、股指期货投资策略</w:t>
      </w:r>
    </w:p>
    <w:p w14:paraId="720D9546"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投资股指期货将根据风险管理的原则，以套期保值为目的，充分考虑股指期货的收益性、流动性及风险性特征，运用股指期货对冲系统性风险、对冲特殊情况下的流动性风险，如大额申购赎回等，以降低交易成本和组合风险，提高投资效率。</w:t>
      </w:r>
    </w:p>
    <w:p w14:paraId="0E24A501"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9、国债期货投资策略</w:t>
      </w:r>
    </w:p>
    <w:p w14:paraId="2EDAD388"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投资国债期货将根据风险管理的原则，以套期保值为目的，结合对宏观经济形势和政策趋势的判断、对债券市场进行定性和定量分析，对国债期货和现货基差、国债期货的流动性、波动水平等指标进行跟踪监控。</w:t>
      </w:r>
    </w:p>
    <w:p w14:paraId="1BF1DCC7"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10、股票期权投资策略</w:t>
      </w:r>
    </w:p>
    <w:p w14:paraId="28AF8600"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本基金投资股票期权将按照风险管理的原则，以套期保值为主要目的，结合投资目标、比例限制、风险收益特征以及法律法规的相关限定和要求，确定参与股票期权交易的投资时机和投资比例。</w:t>
      </w:r>
    </w:p>
    <w:p w14:paraId="70B48151"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未来如法律法规或监管机构允许基金投资股指期权或其他期权品种，本基金将在履行适当程序后，纳入投资范围并制定相应投资策略，并在招募说明书中更新公告。</w:t>
      </w:r>
    </w:p>
    <w:p w14:paraId="57D20007"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11、融资投资策略</w:t>
      </w:r>
    </w:p>
    <w:p w14:paraId="2E57F345"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将在充分考虑风险和收益特征的基础上，审慎参与融资交易。本基金将基于对市场行情和组合风险收益特征的分析，确定投资时机、标的证券以及投资比例。若相关融资业务法律法规和监管要求发生变化，本基金将从其最新规定，在符合本基金投资目标的前提下，依照相关法律法规和监管要求制定融资策略。</w:t>
      </w:r>
    </w:p>
    <w:p w14:paraId="7F1C7907"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12、参与转融通证券出借业务策略</w:t>
      </w:r>
    </w:p>
    <w:p w14:paraId="025BEF04"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为更好地实现投资目标，在加强风险防范并遵守审慎原则的前提下，本基金可根据投资管理的需要参与转融通证券出借业务。本基金将在分析市场环境、投资者类型与结构、基金历史申赎情况、出借证券流动性情况等因素的基础上，合理确定出借证券的范围、期限和比例。</w:t>
      </w:r>
    </w:p>
    <w:p w14:paraId="1BED2E78"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lastRenderedPageBreak/>
        <w:t>未来，随着投资工具的发展和丰富，本基金可在不改变投资目标和风险收益特征的前提下，相应调整和更新相关投资策略，并在招募说明书更新中公告。</w:t>
      </w:r>
    </w:p>
    <w:p w14:paraId="751C660B"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投资限制</w:t>
      </w:r>
    </w:p>
    <w:p w14:paraId="5D83AA88"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组合限制</w:t>
      </w:r>
    </w:p>
    <w:p w14:paraId="1F320B09"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基金的投资组合应遵循以下限制：</w:t>
      </w:r>
    </w:p>
    <w:p w14:paraId="5DDE13C3"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（1）本基金投资于股票的资产不低于基金资产的80%，投资于标的指数成份股及其备选成份股的比例不低于非现金基金资产的80%；其中，投资于港股通标的股票的比例不超过股票资产的50%；</w:t>
      </w:r>
    </w:p>
    <w:p w14:paraId="2BA90239"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（2）每个交易日日终在扣除国债期货、股指期货和股票期权合约需缴纳的交易保证金后，本基金保留的现金或投资于到期日在一年以内的政府债券的比例合计不低于基金资产净值的5%。</w:t>
      </w:r>
      <w:r>
        <w:rPr>
          <w:rFonts w:ascii="宋体" w:hAnsi="宋体" w:cs="宋体"/>
          <w:kern w:val="0"/>
          <w:sz w:val="24"/>
          <w:szCs w:val="24"/>
        </w:rPr>
        <w:t>其中现金不包括结算备付金、存出保证金和应收申购款等；</w:t>
      </w:r>
    </w:p>
    <w:p w14:paraId="0DC70B25"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（3）本基金持有一家公司发行的证券（同一家公司在内地和香港同时上市的A+H股合并计算），其市值不超过基金资产净值的10％，完全按照有关指数的构成比例进行证券投资的部分不受此限制；</w:t>
      </w:r>
    </w:p>
    <w:p w14:paraId="28033407"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（4）本基金管理人管理的全部基金持有一家公司发行的证券（同一家公司在内地和香港同时上市的A+H股合并计算），不超过该证券的10％，完全按照有关指数的构成比例进行证券投资的部分不受此限制；</w:t>
      </w:r>
    </w:p>
    <w:p w14:paraId="1DEFC31E"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（5）本基金投资于同一原始权益人的各类资产支持证券的比例，不得超过基金资产净值的10%；</w:t>
      </w:r>
    </w:p>
    <w:p w14:paraId="121D0FD2"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（6）本基金持有的全部资产支持证券，其市值不得超过基金资产净值的20%；</w:t>
      </w:r>
    </w:p>
    <w:p w14:paraId="7FF4AE6C"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（7）本基金持有的同一(指同一信用级别)资产支持证券的比例，不得超过该资产支持证券规模的10%；</w:t>
      </w:r>
    </w:p>
    <w:p w14:paraId="68D45BD8"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（8）本基金管理人管理的全部基金投资于同一原始权益人的各类资产支持证券，不得超过其各类资产支持证券合计规模的10%；</w:t>
      </w:r>
    </w:p>
    <w:p w14:paraId="35D45BFD" w14:textId="77777777" w:rsidR="00D20988" w:rsidRDefault="003D167A">
      <w:pPr>
        <w:pStyle w:val="div"/>
        <w:spacing w:line="360" w:lineRule="auto"/>
        <w:ind w:firstLine="480"/>
        <w:jc w:val="left"/>
        <w:rPr>
          <w:rStyle w:val="custom"/>
          <w:rFonts w:ascii="宋体" w:hAnsi="宋体" w:cs="宋体"/>
          <w:kern w:val="0"/>
          <w:sz w:val="24"/>
          <w:szCs w:val="24"/>
        </w:rPr>
      </w:pPr>
      <w:r>
        <w:rPr>
          <w:rStyle w:val="serial-tag"/>
          <w:rFonts w:ascii="宋体" w:hAnsi="宋体" w:cs="宋体"/>
          <w:kern w:val="0"/>
          <w:sz w:val="24"/>
          <w:szCs w:val="24"/>
        </w:rPr>
        <w:t>（9）</w:t>
      </w:r>
      <w:r>
        <w:rPr>
          <w:rStyle w:val="custom"/>
          <w:rFonts w:ascii="宋体" w:hAnsi="宋体" w:cs="宋体"/>
          <w:kern w:val="0"/>
          <w:sz w:val="24"/>
          <w:szCs w:val="24"/>
        </w:rPr>
        <w:t>本基金应投资于信用级别评级为</w:t>
      </w:r>
      <w:r>
        <w:rPr>
          <w:rStyle w:val="custom"/>
          <w:rFonts w:eastAsia="Times New Roman"/>
          <w:kern w:val="0"/>
          <w:sz w:val="24"/>
          <w:szCs w:val="24"/>
        </w:rPr>
        <w:t>BBB</w:t>
      </w:r>
      <w:r>
        <w:rPr>
          <w:rStyle w:val="custom"/>
          <w:rFonts w:ascii="宋体" w:hAnsi="宋体" w:cs="宋体"/>
          <w:kern w:val="0"/>
          <w:sz w:val="24"/>
          <w:szCs w:val="24"/>
        </w:rPr>
        <w:t>以上</w:t>
      </w:r>
      <w:r>
        <w:rPr>
          <w:rStyle w:val="custom"/>
          <w:rFonts w:eastAsia="Times New Roman"/>
          <w:kern w:val="0"/>
          <w:sz w:val="24"/>
          <w:szCs w:val="24"/>
        </w:rPr>
        <w:t>(</w:t>
      </w:r>
      <w:r>
        <w:rPr>
          <w:rStyle w:val="custom"/>
          <w:rFonts w:ascii="宋体" w:hAnsi="宋体" w:cs="宋体"/>
          <w:kern w:val="0"/>
          <w:sz w:val="24"/>
          <w:szCs w:val="24"/>
        </w:rPr>
        <w:t>含</w:t>
      </w:r>
      <w:r>
        <w:rPr>
          <w:rStyle w:val="custom"/>
          <w:rFonts w:eastAsia="Times New Roman"/>
          <w:kern w:val="0"/>
          <w:sz w:val="24"/>
          <w:szCs w:val="24"/>
        </w:rPr>
        <w:t>BBB)</w:t>
      </w:r>
      <w:r>
        <w:rPr>
          <w:rStyle w:val="custom"/>
          <w:rFonts w:ascii="宋体" w:hAnsi="宋体" w:cs="宋体"/>
          <w:kern w:val="0"/>
          <w:sz w:val="24"/>
          <w:szCs w:val="24"/>
        </w:rPr>
        <w:t>的资产支持证券。基金持有资产支持证券期间，如果其信用等级下降、不再符合投资标准，应在评级报告发布之日起</w:t>
      </w:r>
      <w:r>
        <w:rPr>
          <w:rStyle w:val="custom"/>
          <w:rFonts w:eastAsia="Times New Roman"/>
          <w:kern w:val="0"/>
          <w:sz w:val="24"/>
          <w:szCs w:val="24"/>
        </w:rPr>
        <w:t>3</w:t>
      </w:r>
      <w:r>
        <w:rPr>
          <w:rStyle w:val="custom"/>
          <w:rFonts w:ascii="宋体" w:hAnsi="宋体" w:cs="宋体"/>
          <w:kern w:val="0"/>
          <w:sz w:val="24"/>
          <w:szCs w:val="24"/>
        </w:rPr>
        <w:t>个月内予以全部卖出；</w:t>
      </w:r>
    </w:p>
    <w:p w14:paraId="2ED9CFAE"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（10）基金财产参与股票发行申购，本基金所申报的金额不超过本基金的总</w:t>
      </w:r>
      <w:r>
        <w:rPr>
          <w:rStyle w:val="custom"/>
          <w:rFonts w:ascii="宋体" w:hAnsi="宋体" w:cs="宋体"/>
          <w:kern w:val="0"/>
          <w:sz w:val="24"/>
          <w:szCs w:val="24"/>
        </w:rPr>
        <w:lastRenderedPageBreak/>
        <w:t>资产，本基金所申报的股票数量不超过拟发行股票公司本次发行股票的总量；</w:t>
      </w:r>
    </w:p>
    <w:p w14:paraId="750106B9"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11）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部分不受此限制；</w:t>
      </w:r>
    </w:p>
    <w:p w14:paraId="436BD01B" w14:textId="77777777" w:rsidR="00D20988" w:rsidRDefault="003D167A">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（12）</w:t>
      </w:r>
      <w:r>
        <w:rPr>
          <w:rFonts w:ascii="宋体" w:hAnsi="宋体" w:cs="宋体"/>
          <w:kern w:val="0"/>
          <w:sz w:val="24"/>
          <w:szCs w:val="24"/>
        </w:rPr>
        <w:t>本基金主动投资于流动性受限资产的市值合计不得超过本基金资产净值的15%；因证券市场波动、</w:t>
      </w:r>
      <w:r>
        <w:rPr>
          <w:rStyle w:val="custom"/>
          <w:rFonts w:ascii="宋体" w:hAnsi="宋体" w:cs="宋体"/>
          <w:kern w:val="0"/>
          <w:sz w:val="24"/>
          <w:szCs w:val="24"/>
        </w:rPr>
        <w:t>上市公司股票停牌、</w:t>
      </w:r>
      <w:r>
        <w:rPr>
          <w:rFonts w:ascii="宋体" w:hAnsi="宋体" w:cs="宋体"/>
          <w:kern w:val="0"/>
          <w:sz w:val="24"/>
          <w:szCs w:val="24"/>
        </w:rPr>
        <w:t>基金规模变动等基金管理人之外的因素致使基金不符合该比例限制的，基金管理人不得主动新增流动性受限资产的投资；</w:t>
      </w:r>
    </w:p>
    <w:p w14:paraId="1A1B810A" w14:textId="77777777" w:rsidR="00D20988" w:rsidRDefault="003D167A">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（13）</w:t>
      </w:r>
      <w:r>
        <w:rPr>
          <w:rFonts w:ascii="宋体" w:hAnsi="宋体" w:cs="宋体"/>
          <w:kern w:val="0"/>
          <w:sz w:val="24"/>
          <w:szCs w:val="24"/>
        </w:rPr>
        <w:t>本基金与私募类证券资管产品及中国证监会认定的其他主体为交易对手开展逆回购交易的，可接受质押品的资质要求应当与本基金合同约定的投资范围保持一致；</w:t>
      </w:r>
    </w:p>
    <w:p w14:paraId="2C321F52"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本基金资产总值不超过基金资产净值的140%；</w:t>
      </w:r>
    </w:p>
    <w:p w14:paraId="19E85998"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（15）本基金参与股指期货和国债期货交易的，应当遵守下列要求：</w:t>
      </w:r>
    </w:p>
    <w:p w14:paraId="01C1D6AB" w14:textId="77777777" w:rsidR="00D20988" w:rsidRDefault="003D167A">
      <w:pPr>
        <w:pStyle w:val="div"/>
        <w:spacing w:line="360" w:lineRule="auto"/>
        <w:ind w:firstLine="420"/>
        <w:jc w:val="left"/>
        <w:rPr>
          <w:rStyle w:val="custom"/>
          <w:rFonts w:ascii="宋体" w:hAnsi="宋体" w:cs="宋体"/>
          <w:kern w:val="0"/>
          <w:sz w:val="24"/>
          <w:szCs w:val="24"/>
        </w:rPr>
      </w:pPr>
      <w:r>
        <w:rPr>
          <w:rStyle w:val="custom"/>
          <w:rFonts w:eastAsia="Times New Roman"/>
          <w:kern w:val="0"/>
          <w:sz w:val="24"/>
          <w:szCs w:val="24"/>
        </w:rPr>
        <w:t>1</w:t>
      </w:r>
      <w:r>
        <w:rPr>
          <w:rStyle w:val="custom"/>
          <w:rFonts w:ascii="宋体" w:hAnsi="宋体" w:cs="宋体"/>
          <w:kern w:val="0"/>
          <w:sz w:val="24"/>
          <w:szCs w:val="24"/>
        </w:rPr>
        <w:t>）在任何交易日日终，持有的买入国债期货和股指期货合约价值与有价证券市值之和，不得超过基金资产净值的</w:t>
      </w:r>
      <w:r>
        <w:rPr>
          <w:rStyle w:val="custom"/>
          <w:rFonts w:eastAsia="Times New Roman"/>
          <w:kern w:val="0"/>
          <w:sz w:val="24"/>
          <w:szCs w:val="24"/>
        </w:rPr>
        <w:t>95%</w:t>
      </w:r>
      <w:r>
        <w:rPr>
          <w:rStyle w:val="custom"/>
          <w:rFonts w:ascii="宋体" w:hAnsi="宋体" w:cs="宋体"/>
          <w:kern w:val="0"/>
          <w:sz w:val="24"/>
          <w:szCs w:val="24"/>
        </w:rPr>
        <w:t>；其中，有价证券指股票、债券（不含到期日在一年以内的政府债券）、资产支持证券、买入返售金融资产（不含质押式回购）等；</w:t>
      </w:r>
    </w:p>
    <w:p w14:paraId="04550550"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本基金在任何交易日日终，持有的买入股指期货合约价值，不得超过基金资产净值的10%；在任何交易日日终，持有的卖出股指期货合约价值不得超过基金持有的股票总市值的20%；本基金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4CB98177"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本基金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本基金所持有的债券（不含到期日在一年以内的政府债券）市值和买入、卖出国债期货合约价值，合</w:t>
      </w:r>
      <w:r>
        <w:rPr>
          <w:rStyle w:val="custom"/>
          <w:rFonts w:ascii="宋体" w:hAnsi="宋体" w:cs="宋体"/>
          <w:kern w:val="0"/>
          <w:sz w:val="24"/>
          <w:szCs w:val="24"/>
        </w:rPr>
        <w:lastRenderedPageBreak/>
        <w:t>计（轧差计算）应当符合基金合同关于债券投资比例的有关约定；</w:t>
      </w:r>
    </w:p>
    <w:p w14:paraId="03A893EE"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16）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14:paraId="753FD69E"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（17）本基金参与融资的，每个交易日日终，本基金持有的融资买入股票与其他有价证券市值之和，不得超过基金资产净值的95%；</w:t>
      </w:r>
    </w:p>
    <w:p w14:paraId="2D195E57" w14:textId="77777777" w:rsidR="00D20988" w:rsidRDefault="003D167A">
      <w:pPr>
        <w:pStyle w:val="div"/>
        <w:spacing w:line="360" w:lineRule="auto"/>
        <w:ind w:firstLine="420"/>
        <w:rPr>
          <w:rStyle w:val="custom"/>
          <w:rFonts w:ascii="宋体" w:hAnsi="宋体" w:cs="宋体"/>
          <w:kern w:val="0"/>
          <w:sz w:val="24"/>
          <w:szCs w:val="24"/>
        </w:rPr>
      </w:pPr>
      <w:r>
        <w:rPr>
          <w:rStyle w:val="serial-tag"/>
          <w:rFonts w:ascii="宋体" w:hAnsi="宋体" w:cs="宋体"/>
          <w:kern w:val="0"/>
          <w:sz w:val="24"/>
          <w:szCs w:val="24"/>
        </w:rPr>
        <w:t>（18）</w:t>
      </w:r>
      <w:r>
        <w:rPr>
          <w:rStyle w:val="custom"/>
          <w:rFonts w:ascii="宋体" w:hAnsi="宋体" w:cs="宋体"/>
          <w:kern w:val="0"/>
          <w:sz w:val="24"/>
          <w:szCs w:val="24"/>
        </w:rPr>
        <w:t>本基金参与转融通证券出借业务的，应当符合下列要求：最近6个月内日均基金资产净值不得低于2亿元；参与转融通证券出借业务的资产不得超过基金资产净值的30%，其中出借期限在10个交易日以上的出借证券归为流动性受限资产；参与转融通证券出借业务的单只证券不得超过基金持有该证券总量的50%；证券出借的平均剩余期限不得超过30天，平均剩余期限按照市值加权平均计算；</w:t>
      </w:r>
    </w:p>
    <w:p w14:paraId="4144FBA8"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（19）本基金投资存托凭证的比例限制依照境内上市交易的股票执行；</w:t>
      </w:r>
    </w:p>
    <w:p w14:paraId="0E7743E3"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（20）</w:t>
      </w:r>
      <w:r>
        <w:rPr>
          <w:rFonts w:ascii="宋体" w:hAnsi="宋体" w:cs="宋体"/>
          <w:kern w:val="0"/>
          <w:sz w:val="24"/>
          <w:szCs w:val="24"/>
        </w:rPr>
        <w:t>法律法规及中国证监会规定的和《基金合同》约定的其他投资限制。</w:t>
      </w:r>
    </w:p>
    <w:p w14:paraId="10740581" w14:textId="77777777" w:rsidR="00D20988" w:rsidRDefault="003D167A">
      <w:pPr>
        <w:pStyle w:val="div"/>
        <w:spacing w:line="360" w:lineRule="auto"/>
        <w:ind w:firstLine="420"/>
        <w:jc w:val="left"/>
        <w:rPr>
          <w:rFonts w:ascii="宋体" w:hAnsi="宋体" w:cs="宋体"/>
          <w:kern w:val="0"/>
          <w:sz w:val="24"/>
          <w:szCs w:val="24"/>
        </w:rPr>
      </w:pPr>
      <w:r>
        <w:rPr>
          <w:rFonts w:ascii="宋体" w:hAnsi="宋体" w:cs="宋体"/>
          <w:kern w:val="0"/>
          <w:sz w:val="24"/>
          <w:szCs w:val="24"/>
        </w:rPr>
        <w:t>除上述</w:t>
      </w:r>
      <w:r w:rsidR="00E94C35">
        <w:rPr>
          <w:rFonts w:ascii="宋体" w:hAnsi="宋体" w:cs="宋体" w:hint="eastAsia"/>
          <w:kern w:val="0"/>
          <w:sz w:val="24"/>
          <w:szCs w:val="24"/>
        </w:rPr>
        <w:t>第</w:t>
      </w:r>
      <w:r>
        <w:rPr>
          <w:rFonts w:ascii="宋体" w:hAnsi="宋体" w:cs="宋体"/>
          <w:kern w:val="0"/>
          <w:sz w:val="24"/>
          <w:szCs w:val="24"/>
        </w:rPr>
        <w:t>（2）、</w:t>
      </w:r>
      <w:r>
        <w:rPr>
          <w:rStyle w:val="custom"/>
          <w:rFonts w:ascii="宋体" w:hAnsi="宋体" w:cs="宋体"/>
          <w:kern w:val="0"/>
          <w:sz w:val="24"/>
          <w:szCs w:val="24"/>
        </w:rPr>
        <w:t>（9）、（12）</w:t>
      </w:r>
      <w:r>
        <w:rPr>
          <w:rFonts w:ascii="宋体" w:hAnsi="宋体" w:cs="宋体"/>
          <w:kern w:val="0"/>
          <w:sz w:val="24"/>
          <w:szCs w:val="24"/>
        </w:rPr>
        <w:t>、</w:t>
      </w:r>
      <w:r>
        <w:rPr>
          <w:rStyle w:val="custom"/>
          <w:rFonts w:ascii="宋体" w:hAnsi="宋体" w:cs="宋体"/>
          <w:kern w:val="0"/>
          <w:sz w:val="24"/>
          <w:szCs w:val="24"/>
        </w:rPr>
        <w:t>（13）</w:t>
      </w:r>
      <w:r>
        <w:rPr>
          <w:rFonts w:ascii="宋体" w:hAnsi="宋体" w:cs="宋体"/>
          <w:kern w:val="0"/>
          <w:sz w:val="24"/>
          <w:szCs w:val="24"/>
        </w:rPr>
        <w:t>、（18）项情形之外，</w:t>
      </w:r>
      <w:r>
        <w:rPr>
          <w:rStyle w:val="custom"/>
          <w:rFonts w:ascii="宋体" w:hAnsi="宋体" w:cs="宋体"/>
          <w:kern w:val="0"/>
          <w:sz w:val="24"/>
          <w:szCs w:val="24"/>
        </w:rPr>
        <w:t>因证券/期货市场波动、</w:t>
      </w:r>
      <w:r>
        <w:rPr>
          <w:rFonts w:ascii="宋体" w:hAnsi="宋体" w:cs="宋体"/>
          <w:kern w:val="0"/>
          <w:sz w:val="24"/>
          <w:szCs w:val="24"/>
        </w:rPr>
        <w:t>证券发行人合并</w:t>
      </w:r>
      <w:r>
        <w:rPr>
          <w:rStyle w:val="custom"/>
          <w:rFonts w:ascii="宋体" w:hAnsi="宋体" w:cs="宋体"/>
          <w:kern w:val="0"/>
          <w:sz w:val="24"/>
          <w:szCs w:val="24"/>
        </w:rPr>
        <w:t>、标的指数成份股调整、标的指数成份股流动性限制</w:t>
      </w:r>
      <w:r>
        <w:rPr>
          <w:rFonts w:ascii="宋体" w:hAnsi="宋体" w:cs="宋体"/>
          <w:kern w:val="0"/>
          <w:sz w:val="24"/>
          <w:szCs w:val="24"/>
        </w:rPr>
        <w:t>、基金规模变动等基金管理人之外的因素致使基金投资比例不符合上述规定投资比例的，基金管理人应当在</w:t>
      </w:r>
      <w:r>
        <w:rPr>
          <w:rStyle w:val="custom"/>
          <w:rFonts w:ascii="宋体" w:hAnsi="宋体" w:cs="宋体"/>
          <w:kern w:val="0"/>
          <w:sz w:val="24"/>
          <w:szCs w:val="24"/>
        </w:rPr>
        <w:t>10</w:t>
      </w:r>
      <w:r>
        <w:rPr>
          <w:rFonts w:ascii="宋体" w:hAnsi="宋体" w:cs="宋体"/>
          <w:kern w:val="0"/>
          <w:sz w:val="24"/>
          <w:szCs w:val="24"/>
        </w:rPr>
        <w:t>个交易日内进行调整，但中国证监会规定的特殊情形除外。</w:t>
      </w:r>
    </w:p>
    <w:p w14:paraId="4E03D584" w14:textId="77777777" w:rsidR="00D20988" w:rsidRDefault="003D167A">
      <w:pPr>
        <w:pStyle w:val="div"/>
        <w:spacing w:line="360" w:lineRule="auto"/>
        <w:ind w:firstLine="420"/>
        <w:jc w:val="left"/>
        <w:rPr>
          <w:rFonts w:ascii="宋体" w:hAnsi="宋体" w:cs="宋体"/>
          <w:kern w:val="0"/>
          <w:sz w:val="24"/>
          <w:szCs w:val="24"/>
        </w:rPr>
      </w:pPr>
      <w:r>
        <w:rPr>
          <w:rFonts w:ascii="宋体" w:hAnsi="宋体" w:cs="宋体"/>
          <w:kern w:val="0"/>
          <w:sz w:val="24"/>
          <w:szCs w:val="24"/>
        </w:rPr>
        <w:t>因证券市场波动、证券发行人合并、基金规模变动等基金管理人之外的因素致使基金投资不符合第（18）项规定的，基金管理人不得新增出借业务。</w:t>
      </w:r>
    </w:p>
    <w:p w14:paraId="042316E0" w14:textId="77777777" w:rsidR="00D20988" w:rsidRDefault="003D167A">
      <w:pPr>
        <w:spacing w:line="360" w:lineRule="auto"/>
        <w:ind w:firstLine="420"/>
        <w:jc w:val="left"/>
        <w:rPr>
          <w:rFonts w:ascii="宋体" w:hAnsi="宋体" w:cs="宋体"/>
          <w:kern w:val="0"/>
          <w:sz w:val="24"/>
          <w:szCs w:val="24"/>
        </w:rPr>
      </w:pPr>
      <w:r>
        <w:rPr>
          <w:rFonts w:ascii="宋体" w:hAnsi="宋体" w:cs="宋体"/>
          <w:kern w:val="0"/>
          <w:sz w:val="24"/>
          <w:szCs w:val="24"/>
        </w:rPr>
        <w:t>法律法规另有规定的从其规定。</w:t>
      </w:r>
    </w:p>
    <w:p w14:paraId="513154C2"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6C8D77F5"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lastRenderedPageBreak/>
        <w:t>法律法规或监管部门取消或调整上述限制，如适用于本基金，基金管理人在履行适当程序后，则本基金投资不再受相关限制或以调整以后的规定为准。</w:t>
      </w:r>
    </w:p>
    <w:p w14:paraId="0A3FD7E9"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禁止行为</w:t>
      </w:r>
    </w:p>
    <w:p w14:paraId="4E4ABA52"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为维护基金份额持有人的合法权益，基金财产不得用于下列投资或者活动：</w:t>
      </w:r>
    </w:p>
    <w:p w14:paraId="23DAA9DE"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承销证券；</w:t>
      </w:r>
    </w:p>
    <w:p w14:paraId="16B36778"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违反规定向他人贷款或者提供担保；</w:t>
      </w:r>
    </w:p>
    <w:p w14:paraId="7B951472"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从事承担无限责任的投资；</w:t>
      </w:r>
    </w:p>
    <w:p w14:paraId="213E5FEA"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（4）买卖其他基金份额，但是法律法规或中国证监会另有规定的除外；</w:t>
      </w:r>
    </w:p>
    <w:p w14:paraId="70F24947"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向其基金管理人、基金托管人出资；</w:t>
      </w:r>
    </w:p>
    <w:p w14:paraId="19F22E9E"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从事内幕交易、操纵证券交易价格及其他不正当的证券交易活动；</w:t>
      </w:r>
    </w:p>
    <w:p w14:paraId="7AF326C1"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法律、行政法规和中国证监会规定禁止的其他活动。</w:t>
      </w:r>
    </w:p>
    <w:p w14:paraId="5D22C5A1"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A0493B9"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14:paraId="3CA3D8B4"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五、标的指数和业绩比较基准</w:t>
      </w:r>
    </w:p>
    <w:p w14:paraId="74BD4994"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1、标的指数</w:t>
      </w:r>
    </w:p>
    <w:p w14:paraId="1CBCAAF4"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本基金的标的指数为上证科创板综合价格指数。</w:t>
      </w:r>
    </w:p>
    <w:p w14:paraId="0CF7139B"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6个月内召集基金份额持有人大会进行表决，基金份额持有人大会未成功召开或就上述事项表决未通过的，本基金合同终止。</w:t>
      </w:r>
    </w:p>
    <w:p w14:paraId="7DB7E74A"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自指数编制机构停止标的指数的编制及发布至解决方案确定期间，基金管理人应按照指数编制机构提供的最近一个交易日的指数信息遵循基金份额持有人利益优先原则维持基金投资运作。法律法规或监管机构另有规定的，从其规定。</w:t>
      </w:r>
    </w:p>
    <w:p w14:paraId="1330F4C0"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2、业绩比较基准</w:t>
      </w:r>
    </w:p>
    <w:p w14:paraId="582A2EC2" w14:textId="77777777" w:rsidR="00F315AA" w:rsidRDefault="00F315AA" w:rsidP="00F315A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本基金的业绩比较基准为：上证科创板综合价格指数收益率×95%+</w:t>
      </w:r>
      <w:r>
        <w:rPr>
          <w:rStyle w:val="custom"/>
          <w:rFonts w:ascii="宋体" w:hAnsi="宋体" w:cs="宋体" w:hint="eastAsia"/>
          <w:kern w:val="0"/>
          <w:sz w:val="24"/>
          <w:szCs w:val="24"/>
        </w:rPr>
        <w:t>活期</w:t>
      </w:r>
      <w:r>
        <w:rPr>
          <w:rStyle w:val="custom"/>
          <w:rFonts w:ascii="宋体" w:hAnsi="宋体" w:cs="宋体"/>
          <w:kern w:val="0"/>
          <w:sz w:val="24"/>
          <w:szCs w:val="24"/>
        </w:rPr>
        <w:t>存款基准利率×5%</w:t>
      </w:r>
    </w:p>
    <w:p w14:paraId="6550AD7A" w14:textId="77777777" w:rsidR="00F315AA" w:rsidRDefault="00F315AA" w:rsidP="00F315AA">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t>（1）</w:t>
      </w:r>
      <w:r w:rsidRPr="005877DD">
        <w:rPr>
          <w:rStyle w:val="custom"/>
          <w:rFonts w:ascii="宋体" w:hAnsi="宋体" w:cs="宋体" w:hint="eastAsia"/>
          <w:kern w:val="0"/>
          <w:sz w:val="24"/>
          <w:szCs w:val="24"/>
        </w:rPr>
        <w:t>业绩比较基准设定的原因</w:t>
      </w:r>
    </w:p>
    <w:p w14:paraId="631C1BD4" w14:textId="77777777" w:rsidR="00F315AA" w:rsidRDefault="00F315AA" w:rsidP="00F315AA">
      <w:pPr>
        <w:pStyle w:val="div"/>
        <w:spacing w:line="360" w:lineRule="auto"/>
        <w:ind w:firstLine="480"/>
        <w:rPr>
          <w:rStyle w:val="custom"/>
          <w:rFonts w:ascii="宋体" w:hAnsi="宋体" w:cs="宋体"/>
          <w:kern w:val="0"/>
          <w:sz w:val="24"/>
          <w:szCs w:val="24"/>
        </w:rPr>
      </w:pPr>
      <w:r>
        <w:rPr>
          <w:rFonts w:ascii="宋体" w:hAnsi="宋体" w:cs="宋体"/>
          <w:kern w:val="0"/>
          <w:sz w:val="24"/>
          <w:szCs w:val="24"/>
        </w:rPr>
        <w:t>本基金为股票型指数增强基金，在对标的指数进行有效跟踪的被动投资基础上，结合增强型的主动投资，进行积极的组合管理和风险控制，力求实现超越标的指数的业绩表现，谋求基金资产的长期增值。本基金的标的指数为</w:t>
      </w:r>
      <w:r>
        <w:rPr>
          <w:rStyle w:val="custom"/>
          <w:rFonts w:ascii="宋体" w:hAnsi="宋体" w:cs="宋体"/>
          <w:kern w:val="0"/>
          <w:sz w:val="24"/>
          <w:szCs w:val="24"/>
        </w:rPr>
        <w:t>上证科创板综合价格指数</w:t>
      </w:r>
      <w:r w:rsidRPr="00162019">
        <w:rPr>
          <w:rStyle w:val="custom"/>
          <w:rFonts w:ascii="宋体" w:hAnsi="宋体" w:cs="宋体" w:hint="eastAsia"/>
          <w:kern w:val="0"/>
          <w:sz w:val="24"/>
          <w:szCs w:val="24"/>
        </w:rPr>
        <w:t>，相应选取</w:t>
      </w:r>
      <w:r>
        <w:rPr>
          <w:rStyle w:val="custom"/>
          <w:rFonts w:ascii="宋体" w:hAnsi="宋体" w:cs="宋体"/>
          <w:kern w:val="0"/>
          <w:sz w:val="24"/>
          <w:szCs w:val="24"/>
        </w:rPr>
        <w:t>上证科创板综合价格指数</w:t>
      </w:r>
      <w:r w:rsidRPr="00162019">
        <w:rPr>
          <w:rStyle w:val="custom"/>
          <w:rFonts w:ascii="宋体" w:hAnsi="宋体" w:cs="宋体" w:hint="eastAsia"/>
          <w:kern w:val="0"/>
          <w:sz w:val="24"/>
          <w:szCs w:val="24"/>
        </w:rPr>
        <w:t>作为基准要素，同时将</w:t>
      </w:r>
      <w:r>
        <w:rPr>
          <w:rStyle w:val="custom"/>
          <w:rFonts w:ascii="宋体" w:hAnsi="宋体" w:cs="宋体"/>
          <w:kern w:val="0"/>
          <w:sz w:val="24"/>
          <w:szCs w:val="24"/>
        </w:rPr>
        <w:t>上证科创板综合价格指数</w:t>
      </w:r>
      <w:r w:rsidRPr="00162019">
        <w:rPr>
          <w:rStyle w:val="custom"/>
          <w:rFonts w:ascii="宋体" w:hAnsi="宋体" w:cs="宋体" w:hint="eastAsia"/>
          <w:kern w:val="0"/>
          <w:sz w:val="24"/>
          <w:szCs w:val="24"/>
        </w:rPr>
        <w:t>的基准要素权重设置为</w:t>
      </w:r>
      <w:r>
        <w:rPr>
          <w:rStyle w:val="custom"/>
          <w:rFonts w:ascii="宋体" w:hAnsi="宋体" w:cs="宋体" w:hint="eastAsia"/>
          <w:kern w:val="0"/>
          <w:sz w:val="24"/>
          <w:szCs w:val="24"/>
        </w:rPr>
        <w:t>95</w:t>
      </w:r>
      <w:r w:rsidRPr="00162019">
        <w:rPr>
          <w:rStyle w:val="custom"/>
          <w:rFonts w:ascii="宋体" w:hAnsi="宋体" w:cs="宋体" w:hint="eastAsia"/>
          <w:kern w:val="0"/>
          <w:sz w:val="24"/>
          <w:szCs w:val="24"/>
        </w:rPr>
        <w:t>%</w:t>
      </w:r>
      <w:r>
        <w:rPr>
          <w:rStyle w:val="custom"/>
          <w:rFonts w:ascii="宋体" w:hAnsi="宋体" w:cs="宋体" w:hint="eastAsia"/>
          <w:kern w:val="0"/>
          <w:sz w:val="24"/>
          <w:szCs w:val="24"/>
        </w:rPr>
        <w:t>。</w:t>
      </w:r>
    </w:p>
    <w:p w14:paraId="48646D2E" w14:textId="77777777" w:rsidR="00F315AA" w:rsidRPr="00162019" w:rsidRDefault="00F315AA" w:rsidP="00F315AA">
      <w:pPr>
        <w:pStyle w:val="div"/>
        <w:spacing w:line="360" w:lineRule="auto"/>
        <w:ind w:firstLine="480"/>
        <w:rPr>
          <w:rStyle w:val="custom"/>
          <w:rFonts w:ascii="宋体" w:hAnsi="宋体" w:cs="宋体"/>
          <w:kern w:val="0"/>
          <w:sz w:val="24"/>
          <w:szCs w:val="24"/>
        </w:rPr>
      </w:pPr>
      <w:r>
        <w:rPr>
          <w:rFonts w:ascii="宋体" w:hAnsi="宋体" w:cs="宋体"/>
          <w:kern w:val="0"/>
          <w:sz w:val="24"/>
          <w:szCs w:val="24"/>
        </w:rPr>
        <w:t>每个交易日日终在扣除国债期货、股指期货和股票期权合约需缴纳的交易保证金后，本基金保留的现金或投资于到期日在一年以内的政府债券的比例合计不低于基金资产净值的5%。</w:t>
      </w:r>
      <w:r>
        <w:rPr>
          <w:rStyle w:val="custom"/>
          <w:rFonts w:ascii="宋体" w:hAnsi="宋体" w:cs="宋体" w:hint="eastAsia"/>
          <w:kern w:val="0"/>
          <w:sz w:val="24"/>
          <w:szCs w:val="24"/>
        </w:rPr>
        <w:t>因此，本基金</w:t>
      </w:r>
      <w:r w:rsidRPr="00162019">
        <w:rPr>
          <w:rStyle w:val="custom"/>
          <w:rFonts w:ascii="宋体" w:hAnsi="宋体" w:cs="宋体" w:hint="eastAsia"/>
          <w:kern w:val="0"/>
          <w:sz w:val="24"/>
          <w:szCs w:val="24"/>
        </w:rPr>
        <w:t>相应选取</w:t>
      </w:r>
      <w:r>
        <w:rPr>
          <w:rStyle w:val="custom"/>
          <w:rFonts w:ascii="宋体" w:hAnsi="宋体" w:cs="宋体" w:hint="eastAsia"/>
          <w:kern w:val="0"/>
          <w:sz w:val="24"/>
          <w:szCs w:val="24"/>
        </w:rPr>
        <w:t>活期存款基准利率</w:t>
      </w:r>
      <w:r w:rsidRPr="00162019">
        <w:rPr>
          <w:rStyle w:val="custom"/>
          <w:rFonts w:ascii="宋体" w:hAnsi="宋体" w:cs="宋体" w:hint="eastAsia"/>
          <w:kern w:val="0"/>
          <w:sz w:val="24"/>
          <w:szCs w:val="24"/>
        </w:rPr>
        <w:t>作为基准要素，同时将</w:t>
      </w:r>
      <w:r>
        <w:rPr>
          <w:rStyle w:val="custom"/>
          <w:rFonts w:ascii="宋体" w:hAnsi="宋体" w:cs="宋体" w:hint="eastAsia"/>
          <w:kern w:val="0"/>
          <w:sz w:val="24"/>
          <w:szCs w:val="24"/>
        </w:rPr>
        <w:t>活期存款基准利率</w:t>
      </w:r>
      <w:r w:rsidRPr="00162019">
        <w:rPr>
          <w:rStyle w:val="custom"/>
          <w:rFonts w:ascii="宋体" w:hAnsi="宋体" w:cs="宋体" w:hint="eastAsia"/>
          <w:kern w:val="0"/>
          <w:sz w:val="24"/>
          <w:szCs w:val="24"/>
        </w:rPr>
        <w:t>的基准要素权重设置为</w:t>
      </w:r>
      <w:r>
        <w:rPr>
          <w:rStyle w:val="custom"/>
          <w:rFonts w:ascii="宋体" w:hAnsi="宋体" w:cs="宋体" w:hint="eastAsia"/>
          <w:kern w:val="0"/>
          <w:sz w:val="24"/>
          <w:szCs w:val="24"/>
        </w:rPr>
        <w:t>5</w:t>
      </w:r>
      <w:r w:rsidRPr="00162019">
        <w:rPr>
          <w:rStyle w:val="custom"/>
          <w:rFonts w:ascii="宋体" w:hAnsi="宋体" w:cs="宋体" w:hint="eastAsia"/>
          <w:kern w:val="0"/>
          <w:sz w:val="24"/>
          <w:szCs w:val="24"/>
        </w:rPr>
        <w:t>%</w:t>
      </w:r>
      <w:r>
        <w:rPr>
          <w:rStyle w:val="custom"/>
          <w:rFonts w:ascii="宋体" w:hAnsi="宋体" w:cs="宋体" w:hint="eastAsia"/>
          <w:kern w:val="0"/>
          <w:sz w:val="24"/>
          <w:szCs w:val="24"/>
        </w:rPr>
        <w:t>。</w:t>
      </w:r>
    </w:p>
    <w:p w14:paraId="4FBD5D65" w14:textId="77777777" w:rsidR="00F315AA" w:rsidRDefault="00F315AA" w:rsidP="00F315AA">
      <w:pPr>
        <w:pStyle w:val="div"/>
        <w:spacing w:line="360" w:lineRule="auto"/>
        <w:ind w:firstLine="420"/>
        <w:rPr>
          <w:rStyle w:val="custom"/>
          <w:rFonts w:ascii="宋体" w:hAnsi="宋体" w:cs="宋体"/>
          <w:kern w:val="0"/>
          <w:sz w:val="24"/>
          <w:szCs w:val="24"/>
        </w:rPr>
      </w:pPr>
      <w:r w:rsidRPr="00162019">
        <w:rPr>
          <w:rStyle w:val="custom"/>
          <w:rFonts w:ascii="宋体" w:hAnsi="宋体" w:cs="宋体" w:hint="eastAsia"/>
          <w:kern w:val="0"/>
          <w:sz w:val="24"/>
          <w:szCs w:val="24"/>
        </w:rPr>
        <w:t>综上，本基金选取的业绩比较基准与基金投资目标、投资范围、投资策略、投资比例限制相匹配。</w:t>
      </w:r>
    </w:p>
    <w:p w14:paraId="2EB4C3CF" w14:textId="77DA174B" w:rsidR="00F315AA" w:rsidRPr="005877DD" w:rsidRDefault="00F315AA" w:rsidP="00F315AA">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t>（2）</w:t>
      </w:r>
      <w:r w:rsidRPr="005877DD">
        <w:rPr>
          <w:rStyle w:val="custom"/>
          <w:rFonts w:ascii="宋体" w:hAnsi="宋体" w:cs="宋体" w:hint="eastAsia"/>
          <w:kern w:val="0"/>
          <w:sz w:val="24"/>
          <w:szCs w:val="24"/>
        </w:rPr>
        <w:t>业绩比较基准要素</w:t>
      </w:r>
      <w:r w:rsidR="001365B7" w:rsidRPr="00D36E64">
        <w:rPr>
          <w:rStyle w:val="custom0"/>
          <w:rFonts w:ascii="宋体" w:hAnsi="宋体" w:cs="宋体" w:hint="eastAsia"/>
          <w:kern w:val="0"/>
          <w:sz w:val="24"/>
          <w:szCs w:val="24"/>
        </w:rPr>
        <w:t>的基本信息</w:t>
      </w:r>
    </w:p>
    <w:p w14:paraId="67C8A70D" w14:textId="77777777" w:rsidR="00F315AA" w:rsidRPr="005877DD" w:rsidRDefault="00F315AA" w:rsidP="00F315A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上证科创板综合价格指数</w:t>
      </w:r>
      <w:r w:rsidRPr="005877DD">
        <w:rPr>
          <w:rStyle w:val="custom"/>
          <w:rFonts w:ascii="宋体" w:hAnsi="宋体" w:cs="宋体" w:hint="eastAsia"/>
          <w:kern w:val="0"/>
          <w:sz w:val="24"/>
          <w:szCs w:val="24"/>
        </w:rPr>
        <w:t>由</w:t>
      </w:r>
      <w:r>
        <w:rPr>
          <w:rStyle w:val="custom"/>
          <w:rFonts w:ascii="宋体" w:hAnsi="宋体" w:cs="宋体" w:hint="eastAsia"/>
          <w:kern w:val="0"/>
          <w:sz w:val="24"/>
          <w:szCs w:val="24"/>
        </w:rPr>
        <w:t>中证指数有限</w:t>
      </w:r>
      <w:r w:rsidRPr="00EA2F08">
        <w:rPr>
          <w:rStyle w:val="custom"/>
          <w:rFonts w:ascii="宋体" w:hAnsi="宋体" w:cs="宋体"/>
          <w:kern w:val="0"/>
          <w:sz w:val="24"/>
          <w:szCs w:val="24"/>
        </w:rPr>
        <w:t>公司</w:t>
      </w:r>
      <w:r w:rsidRPr="005877DD">
        <w:rPr>
          <w:rStyle w:val="custom"/>
          <w:rFonts w:ascii="宋体" w:hAnsi="宋体" w:cs="宋体" w:hint="eastAsia"/>
          <w:kern w:val="0"/>
          <w:sz w:val="24"/>
          <w:szCs w:val="24"/>
        </w:rPr>
        <w:t>编制发布，指数代码为</w:t>
      </w:r>
      <w:r w:rsidRPr="00F315AA">
        <w:rPr>
          <w:rStyle w:val="custom"/>
          <w:rFonts w:ascii="宋体" w:hAnsi="宋体" w:cs="宋体"/>
          <w:kern w:val="0"/>
          <w:sz w:val="24"/>
          <w:szCs w:val="24"/>
        </w:rPr>
        <w:t>000681</w:t>
      </w:r>
      <w:r>
        <w:rPr>
          <w:rStyle w:val="custom"/>
          <w:rFonts w:ascii="宋体" w:hAnsi="宋体" w:cs="宋体" w:hint="eastAsia"/>
          <w:kern w:val="0"/>
          <w:sz w:val="24"/>
          <w:szCs w:val="24"/>
        </w:rPr>
        <w:t>，具体信息详见中证指数有限</w:t>
      </w:r>
      <w:r w:rsidRPr="00EA2F08">
        <w:rPr>
          <w:rStyle w:val="custom"/>
          <w:rFonts w:ascii="宋体" w:hAnsi="宋体" w:cs="宋体"/>
          <w:kern w:val="0"/>
          <w:sz w:val="24"/>
          <w:szCs w:val="24"/>
        </w:rPr>
        <w:t>公司</w:t>
      </w:r>
      <w:r>
        <w:rPr>
          <w:rStyle w:val="custom"/>
          <w:rFonts w:ascii="宋体" w:hAnsi="宋体" w:cs="宋体" w:hint="eastAsia"/>
          <w:kern w:val="0"/>
          <w:sz w:val="24"/>
          <w:szCs w:val="24"/>
        </w:rPr>
        <w:t>官网</w:t>
      </w:r>
      <w:r w:rsidRPr="005877DD">
        <w:rPr>
          <w:rStyle w:val="custom"/>
          <w:rFonts w:ascii="宋体" w:hAnsi="宋体" w:cs="宋体" w:hint="eastAsia"/>
          <w:kern w:val="0"/>
          <w:sz w:val="24"/>
          <w:szCs w:val="24"/>
        </w:rPr>
        <w:t>，网址：</w:t>
      </w:r>
      <w:r>
        <w:rPr>
          <w:rStyle w:val="custom"/>
          <w:rFonts w:ascii="宋体" w:hAnsi="宋体" w:cs="宋体"/>
          <w:kern w:val="0"/>
          <w:sz w:val="24"/>
          <w:szCs w:val="24"/>
        </w:rPr>
        <w:t>www.cs</w:t>
      </w:r>
      <w:r w:rsidRPr="00A43CB9">
        <w:rPr>
          <w:rStyle w:val="custom"/>
          <w:rFonts w:ascii="宋体" w:hAnsi="宋体" w:cs="宋体"/>
          <w:kern w:val="0"/>
          <w:sz w:val="24"/>
          <w:szCs w:val="24"/>
        </w:rPr>
        <w:t>index.com.cn</w:t>
      </w:r>
      <w:r w:rsidRPr="005877DD">
        <w:rPr>
          <w:rStyle w:val="custom"/>
          <w:rFonts w:ascii="宋体" w:hAnsi="宋体" w:cs="宋体" w:hint="eastAsia"/>
          <w:kern w:val="0"/>
          <w:sz w:val="24"/>
          <w:szCs w:val="24"/>
        </w:rPr>
        <w:t>。</w:t>
      </w:r>
    </w:p>
    <w:p w14:paraId="17BD892C" w14:textId="77777777" w:rsidR="00F315AA" w:rsidRPr="005877DD" w:rsidRDefault="00F315AA" w:rsidP="00F315AA">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t>活期存款基准利率</w:t>
      </w:r>
      <w:r w:rsidRPr="005877DD">
        <w:rPr>
          <w:rStyle w:val="custom"/>
          <w:rFonts w:ascii="宋体" w:hAnsi="宋体" w:cs="宋体" w:hint="eastAsia"/>
          <w:kern w:val="0"/>
          <w:sz w:val="24"/>
          <w:szCs w:val="24"/>
        </w:rPr>
        <w:t>由中国人民银行发布，具体信息详见中国人民银行网站，网址：www.pbc.gov.cn。</w:t>
      </w:r>
    </w:p>
    <w:p w14:paraId="5D442297" w14:textId="04BC9621" w:rsidR="00F315AA" w:rsidRPr="005877DD" w:rsidRDefault="00F315AA" w:rsidP="00F315AA">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t>（3）</w:t>
      </w:r>
      <w:r w:rsidRPr="005877DD">
        <w:rPr>
          <w:rStyle w:val="custom"/>
          <w:rFonts w:ascii="宋体" w:hAnsi="宋体" w:cs="宋体" w:hint="eastAsia"/>
          <w:kern w:val="0"/>
          <w:sz w:val="24"/>
          <w:szCs w:val="24"/>
        </w:rPr>
        <w:t>业绩比较基准的计算方法</w:t>
      </w:r>
    </w:p>
    <w:p w14:paraId="19EFF13F" w14:textId="77777777" w:rsidR="00F315AA" w:rsidRDefault="00F315AA" w:rsidP="00F315AA">
      <w:pPr>
        <w:pStyle w:val="div"/>
        <w:spacing w:line="360" w:lineRule="auto"/>
        <w:ind w:firstLine="420"/>
        <w:rPr>
          <w:rStyle w:val="custom"/>
          <w:rFonts w:ascii="宋体" w:hAnsi="宋体" w:cs="宋体"/>
          <w:kern w:val="0"/>
          <w:sz w:val="24"/>
          <w:szCs w:val="24"/>
        </w:rPr>
      </w:pPr>
      <w:r w:rsidRPr="00162019">
        <w:rPr>
          <w:rStyle w:val="custom"/>
          <w:rFonts w:ascii="宋体" w:hAnsi="宋体" w:cs="宋体" w:hint="eastAsia"/>
          <w:kern w:val="0"/>
          <w:sz w:val="24"/>
          <w:szCs w:val="24"/>
        </w:rPr>
        <w:t>本基金业绩比较基准收益率的计算方法以每日收益率为基础，以时间加权为计算原则。</w:t>
      </w:r>
      <w:r w:rsidRPr="00FA616D">
        <w:rPr>
          <w:rStyle w:val="custom"/>
          <w:rFonts w:ascii="宋体" w:hAnsi="宋体" w:cs="宋体" w:hint="eastAsia"/>
          <w:kern w:val="0"/>
          <w:sz w:val="24"/>
          <w:szCs w:val="24"/>
        </w:rPr>
        <w:t>本基金先分别计算业绩比较基准中</w:t>
      </w:r>
      <w:r>
        <w:rPr>
          <w:rStyle w:val="custom"/>
          <w:rFonts w:ascii="宋体" w:hAnsi="宋体" w:cs="宋体"/>
          <w:kern w:val="0"/>
          <w:sz w:val="24"/>
          <w:szCs w:val="24"/>
        </w:rPr>
        <w:t>上证科创板综合价格指数</w:t>
      </w:r>
      <w:r w:rsidRPr="00FA616D">
        <w:rPr>
          <w:rStyle w:val="custom"/>
          <w:rFonts w:ascii="宋体" w:hAnsi="宋体" w:cs="宋体" w:hint="eastAsia"/>
          <w:kern w:val="0"/>
          <w:sz w:val="24"/>
          <w:szCs w:val="24"/>
        </w:rPr>
        <w:t>、活期存款基准利率的每日收益率，再按照预设权重比例计算当日组合要素基准的日收益率，并连乘每日收益率</w:t>
      </w:r>
      <w:r>
        <w:rPr>
          <w:rStyle w:val="custom"/>
          <w:rFonts w:ascii="宋体" w:hAnsi="宋体" w:cs="宋体" w:hint="eastAsia"/>
          <w:kern w:val="0"/>
          <w:sz w:val="24"/>
          <w:szCs w:val="24"/>
        </w:rPr>
        <w:t>。</w:t>
      </w:r>
    </w:p>
    <w:p w14:paraId="2506B111" w14:textId="77777777" w:rsidR="00F315AA" w:rsidRPr="005877DD" w:rsidRDefault="00F315AA" w:rsidP="00F315AA">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t>（4）</w:t>
      </w:r>
      <w:r w:rsidRPr="005877DD">
        <w:rPr>
          <w:rStyle w:val="custom"/>
          <w:rFonts w:ascii="宋体" w:hAnsi="宋体" w:cs="宋体" w:hint="eastAsia"/>
          <w:kern w:val="0"/>
          <w:sz w:val="24"/>
          <w:szCs w:val="24"/>
        </w:rPr>
        <w:t>管理投资偏离业绩比较基准的方法</w:t>
      </w:r>
    </w:p>
    <w:p w14:paraId="0CC38EFA" w14:textId="100ADE0A" w:rsidR="00F315AA" w:rsidRPr="005877DD" w:rsidRDefault="00F315AA" w:rsidP="00F315AA">
      <w:pPr>
        <w:pStyle w:val="div"/>
        <w:spacing w:line="360" w:lineRule="auto"/>
        <w:ind w:firstLine="420"/>
        <w:rPr>
          <w:rStyle w:val="custom"/>
          <w:rFonts w:ascii="宋体" w:hAnsi="宋体" w:cs="宋体"/>
          <w:kern w:val="0"/>
          <w:sz w:val="24"/>
          <w:szCs w:val="24"/>
        </w:rPr>
      </w:pPr>
      <w:r>
        <w:rPr>
          <w:rFonts w:ascii="宋体" w:hAnsi="宋体" w:cs="宋体"/>
          <w:kern w:val="0"/>
          <w:sz w:val="24"/>
          <w:szCs w:val="24"/>
        </w:rPr>
        <w:lastRenderedPageBreak/>
        <w:t>本基金投资于股票的资产不低于基金资产的80%，投资于标的指数成份股及其备选成份股的比例不低于非现金基金资产的80%</w:t>
      </w:r>
      <w:r w:rsidRPr="00162019">
        <w:rPr>
          <w:rStyle w:val="custom"/>
          <w:rFonts w:ascii="宋体" w:hAnsi="宋体" w:cs="宋体" w:hint="eastAsia"/>
          <w:kern w:val="0"/>
          <w:sz w:val="24"/>
          <w:szCs w:val="24"/>
        </w:rPr>
        <w:t>。在正常市场情况下，本基金力争</w:t>
      </w:r>
      <w:r>
        <w:rPr>
          <w:rStyle w:val="custom"/>
          <w:rFonts w:ascii="宋体" w:hAnsi="宋体" w:cs="宋体" w:hint="eastAsia"/>
          <w:kern w:val="0"/>
          <w:sz w:val="24"/>
          <w:szCs w:val="24"/>
        </w:rPr>
        <w:t>控制</w:t>
      </w:r>
      <w:r>
        <w:rPr>
          <w:rFonts w:ascii="宋体" w:hAnsi="宋体" w:cs="宋体"/>
          <w:kern w:val="0"/>
          <w:sz w:val="24"/>
          <w:szCs w:val="24"/>
        </w:rPr>
        <w:t>净值增长率与业绩比较基准之间的日均跟踪偏离度的绝对值不超过0.5%，年跟踪误差不超过8%</w:t>
      </w:r>
      <w:r w:rsidRPr="00162019">
        <w:rPr>
          <w:rStyle w:val="custom"/>
          <w:rFonts w:ascii="宋体" w:hAnsi="宋体" w:cs="宋体" w:hint="eastAsia"/>
          <w:kern w:val="0"/>
          <w:sz w:val="24"/>
          <w:szCs w:val="24"/>
        </w:rPr>
        <w:t>。如因指数编制规则调整或其他因素导致跟踪偏离度和跟踪误差超过上述范围，基金管理人应采取合理措施避免跟踪偏离度、跟踪误差进一步扩大。</w:t>
      </w:r>
    </w:p>
    <w:p w14:paraId="4550D055" w14:textId="77777777" w:rsidR="00F315AA" w:rsidRPr="005877DD" w:rsidRDefault="00F315AA" w:rsidP="00F315AA">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t>（5）</w:t>
      </w:r>
      <w:r w:rsidRPr="005877DD">
        <w:rPr>
          <w:rStyle w:val="custom"/>
          <w:rFonts w:ascii="宋体" w:hAnsi="宋体" w:cs="宋体" w:hint="eastAsia"/>
          <w:kern w:val="0"/>
          <w:sz w:val="24"/>
          <w:szCs w:val="24"/>
        </w:rPr>
        <w:t>未来可能变更业绩比较基准的情况和程序</w:t>
      </w:r>
    </w:p>
    <w:p w14:paraId="4855199B" w14:textId="77777777" w:rsidR="00F315AA" w:rsidRPr="0084235D" w:rsidRDefault="00F315AA" w:rsidP="00F315AA">
      <w:pPr>
        <w:pStyle w:val="div"/>
        <w:spacing w:line="360" w:lineRule="auto"/>
        <w:ind w:firstLine="420"/>
        <w:jc w:val="left"/>
        <w:rPr>
          <w:rStyle w:val="custom"/>
          <w:rFonts w:ascii="宋体" w:hAnsi="宋体" w:cs="宋体"/>
          <w:kern w:val="0"/>
          <w:sz w:val="24"/>
          <w:szCs w:val="24"/>
        </w:rPr>
      </w:pPr>
      <w:r>
        <w:rPr>
          <w:rFonts w:ascii="宋体" w:hAnsi="宋体" w:cs="宋体"/>
          <w:kern w:val="0"/>
          <w:sz w:val="24"/>
          <w:szCs w:val="24"/>
        </w:rPr>
        <w:t>如本基金标的指数变化，则业绩比较基准中的标的指数将相应调整。业绩比较基准的调整根据标的指数的变更程序执行。</w:t>
      </w:r>
      <w:r w:rsidRPr="0084235D">
        <w:rPr>
          <w:rStyle w:val="custom"/>
          <w:rFonts w:ascii="宋体" w:hAnsi="宋体" w:cs="宋体" w:hint="eastAsia"/>
          <w:kern w:val="0"/>
          <w:sz w:val="24"/>
          <w:szCs w:val="24"/>
        </w:rPr>
        <w:t>若本基金调整业绩比较基准的要素权重，本基金将根据法律法规、中国证监会的规定和基金合同约定履行相关程序。</w:t>
      </w:r>
    </w:p>
    <w:p w14:paraId="03C42927" w14:textId="77777777" w:rsidR="00F315AA" w:rsidRPr="007C4813" w:rsidRDefault="00F315AA" w:rsidP="00F315AA">
      <w:pPr>
        <w:pStyle w:val="div"/>
        <w:spacing w:line="360" w:lineRule="auto"/>
        <w:ind w:firstLine="420"/>
        <w:jc w:val="left"/>
        <w:rPr>
          <w:rFonts w:ascii="宋体" w:hAnsi="宋体" w:cs="宋体"/>
          <w:kern w:val="0"/>
          <w:sz w:val="24"/>
          <w:szCs w:val="24"/>
        </w:rPr>
      </w:pPr>
      <w:r w:rsidRPr="0084235D">
        <w:rPr>
          <w:rStyle w:val="custom"/>
          <w:rFonts w:ascii="宋体" w:hAnsi="宋体" w:cs="宋体" w:hint="eastAsia"/>
          <w:kern w:val="0"/>
          <w:sz w:val="24"/>
          <w:szCs w:val="24"/>
        </w:rPr>
        <w:t>法律法规或监管机构另有规定的，从其规定。</w:t>
      </w:r>
    </w:p>
    <w:p w14:paraId="5B79B957"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风险收益特征</w:t>
      </w:r>
    </w:p>
    <w:p w14:paraId="67C830B8"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本基金属于股票型指数增强基金，其预期的风险与收益高于混合型基金、债券型基金与货币市场基金。</w:t>
      </w:r>
    </w:p>
    <w:p w14:paraId="0601F530"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本基金除了投资A股以外，还可以根据法律法规规定投资港股通标的股票，将面临港股通机制下因投资环境、投资标的、市场制度以及交易规则等差异带来的特有风险。</w:t>
      </w:r>
    </w:p>
    <w:p w14:paraId="1427ECF6"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七、基金管理人代表基金行使股东或债权人权利的处理原则及方法</w:t>
      </w:r>
    </w:p>
    <w:p w14:paraId="5ABA4786"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1、基金管理人按照国家有关规定代表基金独立行使股东或债权人权利，保护基金份额持有人的利益；</w:t>
      </w:r>
    </w:p>
    <w:p w14:paraId="3756B553"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2、不谋求对上市公司的控股；</w:t>
      </w:r>
    </w:p>
    <w:p w14:paraId="1476FC3C"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有利于基金财产的安全与增值；</w:t>
      </w:r>
    </w:p>
    <w:p w14:paraId="33B73D6C"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不通过关联交易为自身、雇员、授权代理人或任何存在利害关系的第三人牟取任何不当利益。</w:t>
      </w:r>
    </w:p>
    <w:p w14:paraId="17BC37D8"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侧袋机制的实施和投资运作安排</w:t>
      </w:r>
    </w:p>
    <w:p w14:paraId="2AB72A9E"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4FEABE5F"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lastRenderedPageBreak/>
        <w:t>侧袋机制实施期间，本部分约定的投资组合比例、投资策略、组合限制、业绩比较基准、风险收益特征等约定仅适用于主袋账户。</w:t>
      </w:r>
    </w:p>
    <w:p w14:paraId="7B962D95"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侧袋账户的实施条件、实施程序、运作安排、投资安排、特定资产的处置变现和支付等对投资者权益有重大影响的事项详见招募说明书的规定。</w:t>
      </w:r>
      <w:r>
        <w:rPr>
          <w:rFonts w:ascii="宋体" w:hAnsi="宋体" w:cs="宋体"/>
          <w:kern w:val="0"/>
          <w:sz w:val="24"/>
          <w:szCs w:val="24"/>
        </w:rPr>
        <w:br w:type="page"/>
      </w:r>
    </w:p>
    <w:p w14:paraId="4B5F9C9F" w14:textId="77777777" w:rsidR="009D63C8" w:rsidRDefault="003D167A" w:rsidP="009E26D0">
      <w:pPr>
        <w:pStyle w:val="1"/>
        <w:spacing w:before="0" w:after="0"/>
        <w:jc w:val="center"/>
        <w:rPr>
          <w:rFonts w:ascii="Times New Roman"/>
          <w:color w:val="auto"/>
          <w:sz w:val="30"/>
        </w:rPr>
      </w:pPr>
      <w:bookmarkStart w:id="54" w:name="_Toc256000012"/>
      <w:r w:rsidRPr="009E26D0">
        <w:rPr>
          <w:rFonts w:ascii="Times New Roman"/>
          <w:noProof/>
          <w:color w:val="auto"/>
          <w:sz w:val="30"/>
        </w:rPr>
        <w:lastRenderedPageBreak/>
        <w:t>第十三部分</w:t>
      </w:r>
      <w:r w:rsidRPr="009E26D0">
        <w:rPr>
          <w:rFonts w:ascii="Times New Roman"/>
          <w:noProof/>
          <w:color w:val="auto"/>
          <w:sz w:val="30"/>
        </w:rPr>
        <w:t xml:space="preserve">  </w:t>
      </w:r>
      <w:r w:rsidRPr="009E26D0">
        <w:rPr>
          <w:rFonts w:ascii="Times New Roman"/>
          <w:noProof/>
          <w:color w:val="auto"/>
          <w:sz w:val="30"/>
        </w:rPr>
        <w:t>基金的财产</w:t>
      </w:r>
      <w:bookmarkEnd w:id="54"/>
    </w:p>
    <w:p w14:paraId="2E086464" w14:textId="77777777" w:rsidR="007A2B34" w:rsidRPr="0017353E" w:rsidRDefault="007A2B34" w:rsidP="0090469D"/>
    <w:p w14:paraId="130027FF"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基金资产总值</w:t>
      </w:r>
    </w:p>
    <w:p w14:paraId="080B290C"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基金资产总值是指购买的各类有价证券及票据价值、银行存款本息和基金应收的申购基金款以及其他投资所形成的价值总和。</w:t>
      </w:r>
    </w:p>
    <w:p w14:paraId="2F3268CF"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基金资产净值</w:t>
      </w:r>
    </w:p>
    <w:p w14:paraId="3BEB908F"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基金资产净值是指基金资产总值减去基金负债后的价值。</w:t>
      </w:r>
    </w:p>
    <w:p w14:paraId="5715A31A"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基金财产的账户</w:t>
      </w:r>
    </w:p>
    <w:p w14:paraId="741EFE86"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641751F7"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基金财产的保管和处分</w:t>
      </w:r>
    </w:p>
    <w:p w14:paraId="6DB05129"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20268955"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r>
        <w:rPr>
          <w:rFonts w:ascii="宋体" w:hAnsi="宋体" w:cs="宋体"/>
          <w:kern w:val="0"/>
          <w:sz w:val="24"/>
          <w:szCs w:val="24"/>
        </w:rPr>
        <w:br w:type="page"/>
      </w:r>
    </w:p>
    <w:p w14:paraId="016F4A0A" w14:textId="77777777" w:rsidR="009D63C8" w:rsidRDefault="003D167A" w:rsidP="009E26D0">
      <w:pPr>
        <w:pStyle w:val="1"/>
        <w:spacing w:before="0" w:after="0"/>
        <w:jc w:val="center"/>
        <w:rPr>
          <w:rFonts w:ascii="Times New Roman"/>
          <w:color w:val="auto"/>
          <w:sz w:val="30"/>
        </w:rPr>
      </w:pPr>
      <w:bookmarkStart w:id="55" w:name="_Toc256000013"/>
      <w:r w:rsidRPr="009E26D0">
        <w:rPr>
          <w:rFonts w:ascii="Times New Roman"/>
          <w:noProof/>
          <w:color w:val="auto"/>
          <w:sz w:val="30"/>
        </w:rPr>
        <w:lastRenderedPageBreak/>
        <w:t>第十四部分</w:t>
      </w:r>
      <w:r w:rsidRPr="009E26D0">
        <w:rPr>
          <w:rFonts w:ascii="Times New Roman"/>
          <w:noProof/>
          <w:color w:val="auto"/>
          <w:sz w:val="30"/>
        </w:rPr>
        <w:t xml:space="preserve">  </w:t>
      </w:r>
      <w:r w:rsidRPr="009E26D0">
        <w:rPr>
          <w:rFonts w:ascii="Times New Roman"/>
          <w:noProof/>
          <w:color w:val="auto"/>
          <w:sz w:val="30"/>
        </w:rPr>
        <w:t>基金资产估值</w:t>
      </w:r>
      <w:bookmarkEnd w:id="55"/>
    </w:p>
    <w:p w14:paraId="2578120A" w14:textId="77777777" w:rsidR="007A2B34" w:rsidRPr="0017353E" w:rsidRDefault="007A2B34" w:rsidP="0090469D"/>
    <w:p w14:paraId="0A58CA27"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一、估值日</w:t>
      </w:r>
    </w:p>
    <w:p w14:paraId="0B4FE1D9"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本基金的估值日为本基金相关的证券交易场所的交易日以及国家法律法规规定需要对外披露基金净值的非交易日。</w:t>
      </w:r>
    </w:p>
    <w:p w14:paraId="1297E8FC"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二、估值对象</w:t>
      </w:r>
    </w:p>
    <w:p w14:paraId="68D1CEA5"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基金所拥有的股票、债券、资产支持证券、股指期货合约、国债期货合约、股票期权合约和银行存款本息、应收款项、其它投资等资产及负债。</w:t>
      </w:r>
    </w:p>
    <w:p w14:paraId="53F16FE3"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三、估值原则</w:t>
      </w:r>
    </w:p>
    <w:p w14:paraId="705E34D3"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基金管理人在确定相关金融资产和金融负债的公允价值时，应符合《企业会计准则》、监管部门有关规定。</w:t>
      </w:r>
    </w:p>
    <w:p w14:paraId="691D68ED" w14:textId="77777777" w:rsidR="00D20988" w:rsidRDefault="003D167A">
      <w:pPr>
        <w:pStyle w:val="div"/>
        <w:spacing w:line="360" w:lineRule="auto"/>
        <w:ind w:firstLine="420"/>
        <w:rPr>
          <w:rFonts w:ascii="宋体" w:hAnsi="宋体" w:cs="宋体"/>
          <w:kern w:val="0"/>
          <w:sz w:val="24"/>
          <w:szCs w:val="24"/>
        </w:rPr>
      </w:pPr>
      <w:r>
        <w:rPr>
          <w:rFonts w:ascii="宋体" w:hAnsi="宋体" w:cs="宋体"/>
          <w:kern w:val="0"/>
          <w:sz w:val="24"/>
          <w:szCs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84F4A0E" w14:textId="77777777" w:rsidR="00D20988" w:rsidRDefault="003D167A">
      <w:pPr>
        <w:pStyle w:val="div"/>
        <w:spacing w:line="360" w:lineRule="auto"/>
        <w:ind w:firstLine="420"/>
        <w:rPr>
          <w:rFonts w:ascii="宋体" w:hAnsi="宋体" w:cs="宋体"/>
          <w:kern w:val="0"/>
          <w:sz w:val="24"/>
          <w:szCs w:val="24"/>
        </w:rPr>
      </w:pPr>
      <w:r>
        <w:rPr>
          <w:rFonts w:ascii="宋体" w:hAnsi="宋体" w:cs="宋体"/>
          <w:kern w:val="0"/>
          <w:sz w:val="24"/>
          <w:szCs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4D8BB87" w14:textId="77777777" w:rsidR="00D20988" w:rsidRDefault="003D167A">
      <w:pPr>
        <w:pStyle w:val="div"/>
        <w:spacing w:line="360" w:lineRule="auto"/>
        <w:ind w:firstLine="420"/>
        <w:rPr>
          <w:rFonts w:ascii="宋体" w:hAnsi="宋体" w:cs="宋体"/>
          <w:kern w:val="0"/>
          <w:sz w:val="24"/>
          <w:szCs w:val="24"/>
        </w:rPr>
      </w:pPr>
      <w:r>
        <w:rPr>
          <w:rFonts w:ascii="宋体" w:hAnsi="宋体" w:cs="宋体"/>
          <w:kern w:val="0"/>
          <w:sz w:val="24"/>
          <w:szCs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99EE59D" w14:textId="77777777" w:rsidR="00D20988" w:rsidRDefault="003D167A">
      <w:pPr>
        <w:pStyle w:val="div"/>
        <w:spacing w:line="360" w:lineRule="auto"/>
        <w:ind w:firstLine="420"/>
        <w:rPr>
          <w:rFonts w:ascii="宋体" w:hAnsi="宋体" w:cs="宋体"/>
          <w:kern w:val="0"/>
          <w:sz w:val="24"/>
          <w:szCs w:val="24"/>
        </w:rPr>
      </w:pPr>
      <w:r>
        <w:rPr>
          <w:rFonts w:ascii="宋体" w:hAnsi="宋体" w:cs="宋体"/>
          <w:kern w:val="0"/>
          <w:sz w:val="24"/>
          <w:szCs w:val="24"/>
        </w:rPr>
        <w:t>（三）如经济环境发生重大变化或证券发行人发生影响证券价格的重大事件，使潜在估值调整对前一估值日的基金资产净值的影响在0.25%以上的，应对估值进行调整并确定公允价值。</w:t>
      </w:r>
    </w:p>
    <w:p w14:paraId="2FDB7B06"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lastRenderedPageBreak/>
        <w:t>四、估值方法</w:t>
      </w:r>
    </w:p>
    <w:p w14:paraId="120B577F" w14:textId="77777777" w:rsidR="00D20988" w:rsidRDefault="003D167A">
      <w:pPr>
        <w:pStyle w:val="div"/>
        <w:spacing w:line="360" w:lineRule="auto"/>
        <w:ind w:firstLine="420"/>
        <w:rPr>
          <w:rFonts w:ascii="宋体" w:hAnsi="宋体" w:cs="宋体"/>
          <w:kern w:val="0"/>
          <w:sz w:val="24"/>
          <w:szCs w:val="24"/>
        </w:rPr>
      </w:pPr>
      <w:r>
        <w:rPr>
          <w:rFonts w:ascii="宋体" w:hAnsi="宋体" w:cs="宋体"/>
          <w:kern w:val="0"/>
          <w:sz w:val="24"/>
          <w:szCs w:val="24"/>
        </w:rPr>
        <w:t>1、证券交易所上市的有价证券的估值</w:t>
      </w:r>
    </w:p>
    <w:p w14:paraId="58284D18" w14:textId="77777777" w:rsidR="00D20988" w:rsidRDefault="003D167A">
      <w:pPr>
        <w:pStyle w:val="div"/>
        <w:spacing w:line="360" w:lineRule="auto"/>
        <w:ind w:firstLine="420"/>
        <w:rPr>
          <w:rFonts w:ascii="宋体" w:hAnsi="宋体" w:cs="宋体"/>
          <w:kern w:val="0"/>
          <w:sz w:val="24"/>
          <w:szCs w:val="24"/>
        </w:rPr>
      </w:pPr>
      <w:r>
        <w:rPr>
          <w:rFonts w:ascii="宋体" w:hAnsi="宋体" w:cs="宋体"/>
          <w:kern w:val="0"/>
          <w:sz w:val="24"/>
          <w:szCs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D228722" w14:textId="77777777" w:rsidR="00D20988" w:rsidRDefault="003D167A">
      <w:pPr>
        <w:pStyle w:val="div"/>
        <w:spacing w:line="360" w:lineRule="auto"/>
        <w:ind w:firstLine="480"/>
        <w:rPr>
          <w:rFonts w:ascii="宋体" w:hAnsi="宋体" w:cs="宋体"/>
          <w:kern w:val="0"/>
          <w:sz w:val="24"/>
          <w:szCs w:val="24"/>
        </w:rPr>
      </w:pPr>
      <w:r>
        <w:rPr>
          <w:rFonts w:ascii="宋体" w:hAnsi="宋体" w:cs="宋体"/>
          <w:kern w:val="0"/>
          <w:sz w:val="24"/>
          <w:szCs w:val="24"/>
        </w:rPr>
        <w:t>（2）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50A6EF07" w14:textId="77777777" w:rsidR="00D20988" w:rsidRDefault="003D167A">
      <w:pPr>
        <w:pStyle w:val="div"/>
        <w:spacing w:line="360" w:lineRule="auto"/>
        <w:ind w:firstLine="420"/>
        <w:rPr>
          <w:rFonts w:ascii="宋体" w:hAnsi="宋体" w:cs="宋体"/>
          <w:kern w:val="0"/>
          <w:sz w:val="24"/>
          <w:szCs w:val="24"/>
        </w:rPr>
      </w:pPr>
      <w:r>
        <w:rPr>
          <w:rFonts w:ascii="宋体" w:hAnsi="宋体" w:cs="宋体"/>
          <w:kern w:val="0"/>
          <w:sz w:val="24"/>
          <w:szCs w:val="24"/>
        </w:rPr>
        <w:t>（3）交易所上市不存在活跃市场的有价证券，采用估值技术确定公允价值。</w:t>
      </w:r>
    </w:p>
    <w:p w14:paraId="2F2CCAEB" w14:textId="77777777" w:rsidR="00D20988" w:rsidRDefault="003D167A">
      <w:pPr>
        <w:pStyle w:val="div"/>
        <w:spacing w:line="360" w:lineRule="auto"/>
        <w:ind w:firstLine="420"/>
        <w:rPr>
          <w:rFonts w:ascii="宋体" w:hAnsi="宋体" w:cs="宋体"/>
          <w:kern w:val="0"/>
          <w:sz w:val="24"/>
          <w:szCs w:val="24"/>
        </w:rPr>
      </w:pPr>
      <w:r>
        <w:rPr>
          <w:rFonts w:ascii="宋体" w:hAnsi="宋体" w:cs="宋体"/>
          <w:kern w:val="0"/>
          <w:sz w:val="24"/>
          <w:szCs w:val="24"/>
        </w:rPr>
        <w:t>2、处于未上市期间的有价证券应区分如下情况处理：</w:t>
      </w:r>
    </w:p>
    <w:p w14:paraId="64715802" w14:textId="77777777" w:rsidR="00D20988" w:rsidRDefault="003D167A">
      <w:pPr>
        <w:pStyle w:val="div"/>
        <w:spacing w:line="360" w:lineRule="auto"/>
        <w:ind w:firstLine="420"/>
        <w:rPr>
          <w:rFonts w:ascii="宋体" w:hAnsi="宋体" w:cs="宋体"/>
          <w:kern w:val="0"/>
          <w:sz w:val="24"/>
          <w:szCs w:val="24"/>
        </w:rPr>
      </w:pPr>
      <w:r>
        <w:rPr>
          <w:rFonts w:ascii="宋体" w:hAnsi="宋体" w:cs="宋体"/>
          <w:kern w:val="0"/>
          <w:sz w:val="24"/>
          <w:szCs w:val="24"/>
        </w:rPr>
        <w:t>（1）送股、转增股、配股和公开增发的新股，按估值日在证券交易所挂牌的同一股票的估值方法估值；该日无交易的，以最近一日的市价（收盘价）估值；</w:t>
      </w:r>
    </w:p>
    <w:p w14:paraId="6B4A3F3B" w14:textId="77777777" w:rsidR="00D20988" w:rsidRDefault="003D167A">
      <w:pPr>
        <w:pStyle w:val="div"/>
        <w:spacing w:line="360" w:lineRule="auto"/>
        <w:ind w:firstLine="420"/>
        <w:rPr>
          <w:rFonts w:ascii="宋体" w:hAnsi="宋体" w:cs="宋体"/>
          <w:kern w:val="0"/>
          <w:sz w:val="24"/>
          <w:szCs w:val="24"/>
        </w:rPr>
      </w:pPr>
      <w:r>
        <w:rPr>
          <w:rFonts w:ascii="宋体" w:hAnsi="宋体" w:cs="宋体"/>
          <w:kern w:val="0"/>
          <w:sz w:val="24"/>
          <w:szCs w:val="24"/>
        </w:rPr>
        <w:t>（2）首次公开发行未上市的股票，采用估值技术确定公允价值，在估值技术难以可靠计量公允价值的情况下，按成本估值；</w:t>
      </w:r>
    </w:p>
    <w:p w14:paraId="1A68B9F7" w14:textId="77777777" w:rsidR="00D20988" w:rsidRDefault="003D167A">
      <w:pPr>
        <w:pStyle w:val="div"/>
        <w:spacing w:line="360" w:lineRule="auto"/>
        <w:ind w:firstLine="420"/>
        <w:rPr>
          <w:rFonts w:ascii="宋体" w:hAnsi="宋体" w:cs="宋体"/>
          <w:kern w:val="0"/>
          <w:sz w:val="24"/>
          <w:szCs w:val="24"/>
        </w:rPr>
      </w:pPr>
      <w:r>
        <w:rPr>
          <w:rFonts w:ascii="宋体" w:hAnsi="宋体" w:cs="宋体"/>
          <w:kern w:val="0"/>
          <w:sz w:val="24"/>
          <w:szCs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3EB2F233" w14:textId="77777777" w:rsidR="00D20988" w:rsidRDefault="003D167A">
      <w:pPr>
        <w:pStyle w:val="div"/>
        <w:spacing w:line="360" w:lineRule="auto"/>
        <w:ind w:firstLine="480"/>
        <w:rPr>
          <w:rFonts w:ascii="宋体" w:hAnsi="宋体" w:cs="宋体"/>
          <w:kern w:val="0"/>
          <w:sz w:val="24"/>
          <w:szCs w:val="24"/>
        </w:rPr>
      </w:pPr>
      <w:r>
        <w:rPr>
          <w:rFonts w:ascii="宋体" w:hAnsi="宋体" w:cs="宋体"/>
          <w:kern w:val="0"/>
          <w:sz w:val="24"/>
          <w:szCs w:val="24"/>
        </w:rPr>
        <w:t>3、以公允价值计量的固定收益品种</w:t>
      </w:r>
    </w:p>
    <w:p w14:paraId="72027494" w14:textId="77777777" w:rsidR="00D20988" w:rsidRDefault="003D167A">
      <w:pPr>
        <w:pStyle w:val="div"/>
        <w:spacing w:line="360" w:lineRule="auto"/>
        <w:ind w:firstLine="480"/>
        <w:rPr>
          <w:rFonts w:ascii="宋体" w:hAnsi="宋体" w:cs="宋体"/>
          <w:kern w:val="0"/>
          <w:sz w:val="24"/>
          <w:szCs w:val="24"/>
        </w:rPr>
      </w:pPr>
      <w:r>
        <w:rPr>
          <w:rFonts w:ascii="宋体" w:hAnsi="宋体" w:cs="宋体"/>
          <w:kern w:val="0"/>
          <w:sz w:val="24"/>
          <w:szCs w:val="24"/>
        </w:rPr>
        <w:t>（1）对于已上市或已挂牌转让的不含权固定收益品种，选取第三方估值基准服务机构提供的相应品种当日的估值全价；</w:t>
      </w:r>
    </w:p>
    <w:p w14:paraId="633F3ABD" w14:textId="77777777" w:rsidR="00D20988" w:rsidRDefault="003D167A">
      <w:pPr>
        <w:pStyle w:val="div"/>
        <w:spacing w:line="360" w:lineRule="auto"/>
        <w:ind w:firstLine="480"/>
        <w:rPr>
          <w:rFonts w:ascii="宋体" w:hAnsi="宋体" w:cs="宋体"/>
          <w:kern w:val="0"/>
          <w:sz w:val="24"/>
          <w:szCs w:val="24"/>
        </w:rPr>
      </w:pPr>
      <w:r>
        <w:rPr>
          <w:rFonts w:ascii="宋体" w:hAnsi="宋体" w:cs="宋体"/>
          <w:kern w:val="0"/>
          <w:sz w:val="24"/>
          <w:szCs w:val="24"/>
        </w:rPr>
        <w:t>（2）对于已上市或已挂牌转让的含权固定收益品种，选取第三方估值基准服务机构提供的相应品种当日的唯一估值全价或推荐估值全价；</w:t>
      </w:r>
    </w:p>
    <w:p w14:paraId="0BBD50EF" w14:textId="77777777" w:rsidR="00D20988" w:rsidRDefault="003D167A">
      <w:pPr>
        <w:pStyle w:val="div"/>
        <w:spacing w:line="360" w:lineRule="auto"/>
        <w:ind w:firstLine="480"/>
        <w:rPr>
          <w:rFonts w:ascii="宋体" w:hAnsi="宋体" w:cs="宋体"/>
          <w:kern w:val="0"/>
          <w:sz w:val="24"/>
          <w:szCs w:val="24"/>
        </w:rPr>
      </w:pPr>
      <w:r>
        <w:rPr>
          <w:rFonts w:ascii="宋体" w:hAnsi="宋体" w:cs="宋体"/>
          <w:kern w:val="0"/>
          <w:sz w:val="24"/>
          <w:szCs w:val="24"/>
        </w:rPr>
        <w:t>（3）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w:t>
      </w:r>
      <w:r>
        <w:rPr>
          <w:rFonts w:ascii="宋体" w:hAnsi="宋体" w:cs="宋体"/>
          <w:kern w:val="0"/>
          <w:sz w:val="24"/>
          <w:szCs w:val="24"/>
        </w:rPr>
        <w:lastRenderedPageBreak/>
        <w:t>回售登记期截止日（含当日）后未行使回售权的按照长待偿期所对应的价格进行估值；</w:t>
      </w:r>
    </w:p>
    <w:p w14:paraId="78D6A65B" w14:textId="77777777" w:rsidR="00D20988" w:rsidRDefault="003D167A">
      <w:pPr>
        <w:pStyle w:val="div"/>
        <w:spacing w:line="360" w:lineRule="auto"/>
        <w:ind w:firstLine="480"/>
        <w:rPr>
          <w:rFonts w:ascii="宋体" w:hAnsi="宋体" w:cs="宋体"/>
          <w:kern w:val="0"/>
          <w:sz w:val="24"/>
          <w:szCs w:val="24"/>
        </w:rPr>
      </w:pPr>
      <w:r>
        <w:rPr>
          <w:rFonts w:ascii="宋体" w:hAnsi="宋体" w:cs="宋体"/>
          <w:kern w:val="0"/>
          <w:sz w:val="24"/>
          <w:szCs w:val="24"/>
        </w:rPr>
        <w:t>（</w:t>
      </w:r>
      <w:r>
        <w:rPr>
          <w:rFonts w:eastAsia="Times New Roman"/>
          <w:kern w:val="0"/>
          <w:sz w:val="24"/>
          <w:szCs w:val="24"/>
        </w:rPr>
        <w:t>4</w:t>
      </w:r>
      <w:r>
        <w:rPr>
          <w:rFonts w:ascii="宋体" w:hAnsi="宋体" w:cs="宋体"/>
          <w:kern w:val="0"/>
          <w:sz w:val="24"/>
          <w:szCs w:val="24"/>
        </w:rPr>
        <w:t>）对于未上市或未挂牌转让且不存在活跃市场的固定收益品种，应采用在当前情况下适用并且有足够可利用数据和其他信息支持的估值技术确定其公允价值。</w:t>
      </w:r>
    </w:p>
    <w:p w14:paraId="5DB8E07A" w14:textId="77777777" w:rsidR="00D20988" w:rsidRDefault="003D167A">
      <w:pPr>
        <w:pStyle w:val="div"/>
        <w:spacing w:line="360" w:lineRule="auto"/>
        <w:ind w:firstLine="480"/>
        <w:rPr>
          <w:rFonts w:ascii="宋体" w:hAnsi="宋体" w:cs="宋体"/>
          <w:kern w:val="0"/>
          <w:sz w:val="24"/>
          <w:szCs w:val="24"/>
        </w:rPr>
      </w:pPr>
      <w:r>
        <w:rPr>
          <w:rStyle w:val="custom"/>
          <w:rFonts w:ascii="宋体" w:hAnsi="宋体" w:cs="宋体"/>
          <w:kern w:val="0"/>
          <w:sz w:val="24"/>
          <w:szCs w:val="24"/>
        </w:rPr>
        <w:t>4、</w:t>
      </w:r>
      <w:r>
        <w:rPr>
          <w:rFonts w:ascii="宋体" w:hAnsi="宋体" w:cs="宋体"/>
          <w:kern w:val="0"/>
          <w:sz w:val="24"/>
          <w:szCs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1888860F" w14:textId="77777777" w:rsidR="00D20988" w:rsidRDefault="003D167A">
      <w:pPr>
        <w:pStyle w:val="div"/>
        <w:spacing w:line="360" w:lineRule="auto"/>
        <w:ind w:firstLine="420"/>
        <w:rPr>
          <w:rFonts w:ascii="宋体" w:hAnsi="宋体" w:cs="宋体"/>
          <w:kern w:val="0"/>
          <w:sz w:val="24"/>
          <w:szCs w:val="24"/>
        </w:rPr>
      </w:pPr>
      <w:r>
        <w:rPr>
          <w:rFonts w:ascii="宋体" w:hAnsi="宋体" w:cs="宋体"/>
          <w:kern w:val="0"/>
          <w:sz w:val="24"/>
          <w:szCs w:val="24"/>
        </w:rPr>
        <w:t>5、同一</w:t>
      </w:r>
      <w:r w:rsidR="00AF7E09">
        <w:rPr>
          <w:rFonts w:ascii="宋体" w:hAnsi="宋体" w:cs="宋体" w:hint="eastAsia"/>
          <w:kern w:val="0"/>
          <w:sz w:val="24"/>
          <w:szCs w:val="24"/>
        </w:rPr>
        <w:t>证券</w:t>
      </w:r>
      <w:r>
        <w:rPr>
          <w:rFonts w:ascii="宋体" w:hAnsi="宋体" w:cs="宋体"/>
          <w:kern w:val="0"/>
          <w:sz w:val="24"/>
          <w:szCs w:val="24"/>
        </w:rPr>
        <w:t>同时在两个或两个以上市场交易的，按</w:t>
      </w:r>
      <w:r w:rsidR="00AF7E09">
        <w:rPr>
          <w:rFonts w:ascii="宋体" w:hAnsi="宋体" w:cs="宋体" w:hint="eastAsia"/>
          <w:kern w:val="0"/>
          <w:sz w:val="24"/>
          <w:szCs w:val="24"/>
        </w:rPr>
        <w:t>证券</w:t>
      </w:r>
      <w:r>
        <w:rPr>
          <w:rFonts w:ascii="宋体" w:hAnsi="宋体" w:cs="宋体"/>
          <w:kern w:val="0"/>
          <w:sz w:val="24"/>
          <w:szCs w:val="24"/>
        </w:rPr>
        <w:t>所处的市场分别估值。</w:t>
      </w:r>
    </w:p>
    <w:p w14:paraId="488BA9D7" w14:textId="77777777" w:rsidR="00D20988" w:rsidRDefault="003D167A">
      <w:pPr>
        <w:pStyle w:val="div"/>
        <w:spacing w:line="360" w:lineRule="auto"/>
        <w:ind w:firstLine="420"/>
        <w:rPr>
          <w:rFonts w:ascii="宋体" w:hAnsi="宋体" w:cs="宋体"/>
          <w:kern w:val="0"/>
          <w:sz w:val="24"/>
          <w:szCs w:val="24"/>
        </w:rPr>
      </w:pPr>
      <w:r>
        <w:rPr>
          <w:rFonts w:ascii="宋体" w:hAnsi="宋体" w:cs="宋体"/>
          <w:kern w:val="0"/>
          <w:sz w:val="24"/>
          <w:szCs w:val="24"/>
        </w:rPr>
        <w:t>6、本基金投资股指期货合约，一般以股指期货估值日的结算价进行估值，估值当日无结算价的，且最近交易日后经济环境未发生重大变化的，采用最近交易日结算价估值。</w:t>
      </w:r>
    </w:p>
    <w:p w14:paraId="30FF8662" w14:textId="77777777" w:rsidR="00D20988" w:rsidRDefault="003D167A">
      <w:pPr>
        <w:pStyle w:val="div"/>
        <w:spacing w:line="360" w:lineRule="auto"/>
        <w:ind w:firstLine="420"/>
        <w:rPr>
          <w:rFonts w:ascii="宋体" w:hAnsi="宋体" w:cs="宋体"/>
          <w:kern w:val="0"/>
          <w:sz w:val="24"/>
          <w:szCs w:val="24"/>
        </w:rPr>
      </w:pPr>
      <w:r>
        <w:rPr>
          <w:rFonts w:ascii="宋体" w:hAnsi="宋体" w:cs="宋体"/>
          <w:kern w:val="0"/>
          <w:sz w:val="24"/>
          <w:szCs w:val="24"/>
        </w:rPr>
        <w:t>7、本基金投资股票期权合约，一般以股票期权估值日的结算价进行估值，估值当日无结算价的，且最近交易日后经济环境未发生重大变化的，采用最近交易日结算价估值。</w:t>
      </w:r>
    </w:p>
    <w:p w14:paraId="55D318F2" w14:textId="77777777" w:rsidR="00D20988" w:rsidRDefault="003D167A">
      <w:pPr>
        <w:pStyle w:val="div"/>
        <w:spacing w:line="360" w:lineRule="auto"/>
        <w:ind w:firstLine="420"/>
        <w:rPr>
          <w:rFonts w:ascii="宋体" w:hAnsi="宋体" w:cs="宋体"/>
          <w:kern w:val="0"/>
          <w:sz w:val="24"/>
          <w:szCs w:val="24"/>
        </w:rPr>
      </w:pPr>
      <w:r>
        <w:rPr>
          <w:rFonts w:ascii="宋体" w:hAnsi="宋体" w:cs="宋体"/>
          <w:kern w:val="0"/>
          <w:sz w:val="24"/>
          <w:szCs w:val="24"/>
        </w:rPr>
        <w:t>8、本基金投资国债期货合约，一般以国债期货估值日的结算价</w:t>
      </w:r>
      <w:r w:rsidR="00B806C7">
        <w:rPr>
          <w:rFonts w:ascii="宋体" w:hAnsi="宋体" w:cs="宋体" w:hint="eastAsia"/>
          <w:kern w:val="0"/>
          <w:sz w:val="24"/>
          <w:szCs w:val="24"/>
        </w:rPr>
        <w:t>进行</w:t>
      </w:r>
      <w:r>
        <w:rPr>
          <w:rFonts w:ascii="宋体" w:hAnsi="宋体" w:cs="宋体"/>
          <w:kern w:val="0"/>
          <w:sz w:val="24"/>
          <w:szCs w:val="24"/>
        </w:rPr>
        <w:t>估值，估值当日无结算价的，且最近交易日后经济环境未发生重大变化的，采用最近交易日结算价估值。</w:t>
      </w:r>
    </w:p>
    <w:p w14:paraId="1E70D05C" w14:textId="77777777" w:rsidR="00D20988" w:rsidRDefault="003D167A">
      <w:pPr>
        <w:pStyle w:val="div"/>
        <w:spacing w:line="360" w:lineRule="auto"/>
        <w:ind w:firstLine="420"/>
        <w:rPr>
          <w:rFonts w:ascii="宋体" w:hAnsi="宋体" w:cs="宋体"/>
          <w:kern w:val="0"/>
          <w:sz w:val="24"/>
          <w:szCs w:val="24"/>
        </w:rPr>
      </w:pPr>
      <w:r>
        <w:rPr>
          <w:rFonts w:ascii="宋体" w:hAnsi="宋体" w:cs="宋体"/>
          <w:kern w:val="0"/>
          <w:sz w:val="24"/>
          <w:szCs w:val="24"/>
        </w:rPr>
        <w:t>9、估值计算中涉及港币或其他外币币种对人民币汇率的，将依据下列信息提供机构所提供的汇率为基准：当日中国人民银行或其授权机构公布的人民币汇率的中间价，或其他可以反映公允价值的汇率进行估值。</w:t>
      </w:r>
    </w:p>
    <w:p w14:paraId="68F62818" w14:textId="77777777" w:rsidR="00D20988" w:rsidRDefault="003D167A">
      <w:pPr>
        <w:pStyle w:val="div"/>
        <w:spacing w:line="360" w:lineRule="auto"/>
        <w:ind w:firstLine="420"/>
        <w:rPr>
          <w:rFonts w:ascii="宋体" w:hAnsi="宋体" w:cs="宋体"/>
          <w:kern w:val="0"/>
          <w:sz w:val="24"/>
          <w:szCs w:val="24"/>
        </w:rPr>
      </w:pPr>
      <w:r>
        <w:rPr>
          <w:rFonts w:ascii="宋体" w:hAnsi="宋体" w:cs="宋体"/>
          <w:kern w:val="0"/>
          <w:sz w:val="24"/>
          <w:szCs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466D1648" w14:textId="77777777" w:rsidR="00D20988" w:rsidRDefault="003D167A">
      <w:pPr>
        <w:pStyle w:val="div"/>
        <w:spacing w:line="360" w:lineRule="auto"/>
        <w:ind w:firstLine="420"/>
        <w:rPr>
          <w:rFonts w:ascii="宋体" w:hAnsi="宋体" w:cs="宋体"/>
          <w:kern w:val="0"/>
          <w:sz w:val="24"/>
          <w:szCs w:val="24"/>
        </w:rPr>
      </w:pPr>
      <w:r>
        <w:rPr>
          <w:rFonts w:ascii="宋体" w:hAnsi="宋体" w:cs="宋体"/>
          <w:kern w:val="0"/>
          <w:sz w:val="24"/>
          <w:szCs w:val="24"/>
        </w:rPr>
        <w:lastRenderedPageBreak/>
        <w:t>10、本基金参与融资和转融通证券出借业务的，按照相关法律法规和行业协会的相关规定进行估值。</w:t>
      </w:r>
    </w:p>
    <w:p w14:paraId="61FCA1C5" w14:textId="77777777" w:rsidR="00D20988" w:rsidRDefault="003D167A">
      <w:pPr>
        <w:pStyle w:val="div"/>
        <w:spacing w:line="360" w:lineRule="auto"/>
        <w:ind w:firstLine="420"/>
        <w:rPr>
          <w:rFonts w:ascii="宋体" w:hAnsi="宋体" w:cs="宋体"/>
          <w:kern w:val="0"/>
          <w:sz w:val="24"/>
          <w:szCs w:val="24"/>
        </w:rPr>
      </w:pPr>
      <w:r>
        <w:rPr>
          <w:rFonts w:ascii="宋体" w:hAnsi="宋体" w:cs="宋体"/>
          <w:kern w:val="0"/>
          <w:sz w:val="24"/>
          <w:szCs w:val="24"/>
        </w:rPr>
        <w:t>11、本基金投资存托凭证的估值核算，依照境内上市交易的股票进行。</w:t>
      </w:r>
    </w:p>
    <w:p w14:paraId="33D6E5B3" w14:textId="77777777" w:rsidR="00D20988" w:rsidRDefault="003D167A">
      <w:pPr>
        <w:pStyle w:val="div"/>
        <w:spacing w:line="360" w:lineRule="auto"/>
        <w:ind w:firstLine="480"/>
        <w:jc w:val="left"/>
        <w:rPr>
          <w:rFonts w:ascii="宋体" w:hAnsi="宋体" w:cs="宋体"/>
          <w:kern w:val="0"/>
          <w:sz w:val="24"/>
          <w:szCs w:val="24"/>
        </w:rPr>
      </w:pPr>
      <w:r>
        <w:rPr>
          <w:rStyle w:val="serial-tag"/>
          <w:rFonts w:ascii="宋体" w:hAnsi="宋体" w:cs="宋体"/>
          <w:kern w:val="0"/>
          <w:sz w:val="24"/>
          <w:szCs w:val="24"/>
        </w:rPr>
        <w:t>12、</w:t>
      </w:r>
      <w:r>
        <w:rPr>
          <w:rFonts w:ascii="宋体" w:hAnsi="宋体" w:cs="宋体"/>
          <w:kern w:val="0"/>
          <w:sz w:val="24"/>
          <w:szCs w:val="24"/>
        </w:rPr>
        <w:t>如有确凿证据表明按上述方法进行估值不能客观反映其公允价值的，基金管理人可根据具体情况与基金托管人商定后，按最能反映公允价值的价格估值。</w:t>
      </w:r>
    </w:p>
    <w:p w14:paraId="5636C36A"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13、当发生大额申购或赎回情形时，基金管理人可以采用摆动定价机制，以确保基金估值的公平性。</w:t>
      </w:r>
    </w:p>
    <w:p w14:paraId="0DF3ACFA"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14、相关法律法规以及监管部门有强制规定的，从其规定。如有新增事项，按国家最新规定估值。</w:t>
      </w:r>
    </w:p>
    <w:p w14:paraId="583FA2C6"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1C54695D"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6D5AC9AF"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五、估值程序</w:t>
      </w:r>
    </w:p>
    <w:p w14:paraId="4EF8218E" w14:textId="77777777" w:rsidR="00D20988" w:rsidRDefault="003D167A">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1、</w:t>
      </w:r>
      <w:r>
        <w:rPr>
          <w:rFonts w:ascii="宋体" w:hAnsi="宋体" w:cs="宋体"/>
          <w:kern w:val="0"/>
          <w:sz w:val="24"/>
          <w:szCs w:val="24"/>
        </w:rPr>
        <w:t>各类基金份额净值是按照每个估值日闭市后，各类基金资产净值除以当日该类基金份额的余额数量计算，均精确到0.0001元，小数点后第5位四舍五入，由此产生的误差计入基金财产。基金管理人可以设立大额赎回情形下的净值精度应急调整机制。国家另有规定的，从其规定。</w:t>
      </w:r>
    </w:p>
    <w:p w14:paraId="202C1C7B" w14:textId="77777777" w:rsidR="00D20988" w:rsidRDefault="003D167A">
      <w:pPr>
        <w:pStyle w:val="div"/>
        <w:spacing w:line="360" w:lineRule="auto"/>
        <w:ind w:firstLine="420"/>
        <w:rPr>
          <w:rFonts w:ascii="宋体" w:hAnsi="宋体" w:cs="宋体"/>
          <w:kern w:val="0"/>
          <w:sz w:val="24"/>
          <w:szCs w:val="24"/>
        </w:rPr>
      </w:pPr>
      <w:r>
        <w:rPr>
          <w:rFonts w:ascii="宋体" w:hAnsi="宋体" w:cs="宋体"/>
          <w:kern w:val="0"/>
          <w:sz w:val="24"/>
          <w:szCs w:val="24"/>
        </w:rPr>
        <w:t>基金管理人每个估值日计算基金资产净值及各类基金份额净值，并按规定公告。</w:t>
      </w:r>
    </w:p>
    <w:p w14:paraId="574D50A2" w14:textId="77777777" w:rsidR="00D20988" w:rsidRDefault="003D167A">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2、</w:t>
      </w:r>
      <w:r>
        <w:rPr>
          <w:rFonts w:ascii="宋体" w:hAnsi="宋体" w:cs="宋体"/>
          <w:kern w:val="0"/>
          <w:sz w:val="24"/>
          <w:szCs w:val="24"/>
        </w:rPr>
        <w:t>基金管理人应每个估值日对基金资产估值。但基金管理人根据法律法规或本基金合同的规定暂停估值时除外。基金管理人每个估值日对基金资产估值后，将各类基金份额净值结果发送基金托管人，经基金托管人复核无误后，由基金管理人按约定对外公布。</w:t>
      </w:r>
    </w:p>
    <w:p w14:paraId="4C1B284C"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六、估值错误的处理</w:t>
      </w:r>
    </w:p>
    <w:p w14:paraId="48E5D675"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lastRenderedPageBreak/>
        <w:t>基金管理人和基金托管人将采取必要、适当、合理的措施确保基金资产估值的准确性、及时性。当某类基金份额净值小数点后4位以内(含第4位)发生估值错误时，视为该类基金份额净值错误。</w:t>
      </w:r>
    </w:p>
    <w:p w14:paraId="34612118"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本基金合同的当事人应按照以下约定处理：</w:t>
      </w:r>
    </w:p>
    <w:p w14:paraId="0D3F605A"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1、估值错误类型</w:t>
      </w:r>
    </w:p>
    <w:p w14:paraId="53600CE0"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26DABF59"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上述估值错误的主要类型包括但不限于：资料申报差错、数据传输差错、数据计算差错、系统故障差错、下达指令差错等。</w:t>
      </w:r>
    </w:p>
    <w:p w14:paraId="30EB883C"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2、估值错误处理原则</w:t>
      </w:r>
    </w:p>
    <w:p w14:paraId="56D62389"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01E3262"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（2）估值错误的责任方对有关当事人的直接损失负责，不对间接损失负责，并且仅对估值错误的有关直接当事人负责，不对第三方负责。</w:t>
      </w:r>
    </w:p>
    <w:p w14:paraId="517FBDDB"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CA355E6" w14:textId="77777777" w:rsidR="00D20988" w:rsidRDefault="003D167A">
      <w:pPr>
        <w:pStyle w:val="div"/>
        <w:spacing w:line="360" w:lineRule="auto"/>
        <w:ind w:firstLine="420"/>
        <w:jc w:val="left"/>
        <w:rPr>
          <w:rFonts w:ascii="宋体" w:hAnsi="宋体" w:cs="宋体"/>
          <w:kern w:val="0"/>
          <w:sz w:val="24"/>
          <w:szCs w:val="24"/>
        </w:rPr>
      </w:pPr>
      <w:r>
        <w:rPr>
          <w:rFonts w:ascii="宋体" w:hAnsi="宋体" w:cs="宋体"/>
          <w:kern w:val="0"/>
          <w:sz w:val="24"/>
          <w:szCs w:val="24"/>
        </w:rPr>
        <w:lastRenderedPageBreak/>
        <w:t>（4）估值错误调整采用尽量恢复至假设未发生估值错误的正确情形的方式。</w:t>
      </w:r>
    </w:p>
    <w:p w14:paraId="11231C25" w14:textId="77777777" w:rsidR="00436905" w:rsidRPr="00AF2871" w:rsidRDefault="003D167A">
      <w:pPr>
        <w:pStyle w:val="div"/>
        <w:spacing w:line="360" w:lineRule="auto"/>
        <w:ind w:firstLine="420"/>
        <w:jc w:val="left"/>
        <w:rPr>
          <w:rFonts w:eastAsiaTheme="minorEastAsia"/>
          <w:kern w:val="0"/>
          <w:sz w:val="24"/>
          <w:szCs w:val="24"/>
        </w:rPr>
      </w:pPr>
      <w:r w:rsidRPr="00436905">
        <w:rPr>
          <w:rFonts w:eastAsiaTheme="minorEastAsia" w:hint="eastAsia"/>
          <w:kern w:val="0"/>
          <w:sz w:val="24"/>
          <w:szCs w:val="24"/>
        </w:rPr>
        <w:t>（</w:t>
      </w:r>
      <w:r w:rsidRPr="00436905">
        <w:rPr>
          <w:rFonts w:eastAsiaTheme="minorEastAsia" w:hint="eastAsia"/>
          <w:kern w:val="0"/>
          <w:sz w:val="24"/>
          <w:szCs w:val="24"/>
        </w:rPr>
        <w:t>5</w:t>
      </w:r>
      <w:r w:rsidRPr="00436905">
        <w:rPr>
          <w:rFonts w:eastAsiaTheme="minorEastAsia" w:hint="eastAsia"/>
          <w:kern w:val="0"/>
          <w:sz w:val="24"/>
          <w:szCs w:val="24"/>
        </w:rPr>
        <w:t>）按法律法规规定的其他原则处理估值错误。</w:t>
      </w:r>
    </w:p>
    <w:p w14:paraId="0AFB64C7"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3、估值错误处理程序</w:t>
      </w:r>
    </w:p>
    <w:p w14:paraId="6955D5A5"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估值错误被发现后，有关的当事人应当及时进行处理，处理的程序如下：</w:t>
      </w:r>
    </w:p>
    <w:p w14:paraId="1CF2135B"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（1）查明估值错误发生的原因，列明所有的当事人，并根据估值错误发生的原因确定估值错误的责任方；</w:t>
      </w:r>
    </w:p>
    <w:p w14:paraId="0DDD3991"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（2）根据估值错误处理原则或当事人协商的方法对因估值错误造成的损失进行评估；</w:t>
      </w:r>
    </w:p>
    <w:p w14:paraId="7AF6294B"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（3）根据估值错误处理原则或当事人协商的方法由估值错误的责任方进行更正和赔偿损失；</w:t>
      </w:r>
    </w:p>
    <w:p w14:paraId="509B163C"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（4）根据估值错误处理的方法，需要修改基金登记机构交易数据的，由基金登记机构进行更正，并就估值错误的更正向有关当事人进行确认。</w:t>
      </w:r>
    </w:p>
    <w:p w14:paraId="68B0DC87"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4、基金份额净值估值错误处理的方法如下：</w:t>
      </w:r>
    </w:p>
    <w:p w14:paraId="640913FD" w14:textId="77777777" w:rsidR="00D20988" w:rsidRDefault="003D167A">
      <w:pPr>
        <w:pStyle w:val="div"/>
        <w:spacing w:line="360" w:lineRule="auto"/>
        <w:ind w:firstLine="420"/>
        <w:rPr>
          <w:rFonts w:ascii="宋体" w:hAnsi="宋体" w:cs="宋体"/>
          <w:kern w:val="0"/>
          <w:sz w:val="24"/>
          <w:szCs w:val="24"/>
        </w:rPr>
      </w:pPr>
      <w:r>
        <w:rPr>
          <w:rFonts w:ascii="宋体" w:hAnsi="宋体" w:cs="宋体"/>
          <w:kern w:val="0"/>
          <w:sz w:val="24"/>
          <w:szCs w:val="24"/>
        </w:rPr>
        <w:t>（1）某类基金份额净值计算出现错误时，基金管理人应当立即予以纠正，通报基金托管人，并采取合理的措施防止损失进一步扩大。</w:t>
      </w:r>
    </w:p>
    <w:p w14:paraId="4B50AECC" w14:textId="77777777" w:rsidR="00D20988" w:rsidRDefault="003D167A">
      <w:pPr>
        <w:pStyle w:val="div"/>
        <w:spacing w:line="360" w:lineRule="auto"/>
        <w:ind w:firstLine="420"/>
        <w:rPr>
          <w:rFonts w:ascii="宋体" w:hAnsi="宋体" w:cs="宋体"/>
          <w:kern w:val="0"/>
          <w:sz w:val="24"/>
          <w:szCs w:val="24"/>
        </w:rPr>
      </w:pPr>
      <w:r>
        <w:rPr>
          <w:rFonts w:ascii="宋体" w:hAnsi="宋体" w:cs="宋体"/>
          <w:kern w:val="0"/>
          <w:sz w:val="24"/>
          <w:szCs w:val="24"/>
        </w:rPr>
        <w:t>（2）错误偏差达到该类基金份额净值的0.25%时，基金管理人应当通报基金托管人并报中国证监会备案；错误偏差达到该类基金份额净值的0.5%时，基金管理人应当公告，并报中国证监会备案。</w:t>
      </w:r>
    </w:p>
    <w:p w14:paraId="714E9270"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（3）前述内容如法律法规或监管机构另有规定的，从其规定处理。如果行业另有通行做法</w:t>
      </w:r>
      <w:r w:rsidR="00FC2B7C" w:rsidRPr="00FC2B7C">
        <w:rPr>
          <w:rFonts w:ascii="宋体" w:hAnsi="宋体" w:cs="宋体" w:hint="eastAsia"/>
          <w:kern w:val="0"/>
          <w:sz w:val="24"/>
          <w:szCs w:val="24"/>
        </w:rPr>
        <w:t>，在不违反法律法规且不损害投资者利益的前提下</w:t>
      </w:r>
      <w:r>
        <w:rPr>
          <w:rFonts w:ascii="宋体" w:hAnsi="宋体" w:cs="宋体"/>
          <w:kern w:val="0"/>
          <w:sz w:val="24"/>
          <w:szCs w:val="24"/>
        </w:rPr>
        <w:t>，基金管理人和基金托管人应本着平等和保护基金份额持有人利益的原则进行协商。</w:t>
      </w:r>
    </w:p>
    <w:p w14:paraId="6E54B3B8"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七、暂停估值的情形</w:t>
      </w:r>
    </w:p>
    <w:p w14:paraId="427F7C60" w14:textId="77777777" w:rsidR="00D20988" w:rsidRDefault="003D167A">
      <w:pPr>
        <w:pStyle w:val="div"/>
        <w:spacing w:line="360" w:lineRule="auto"/>
        <w:ind w:firstLine="420"/>
        <w:rPr>
          <w:rFonts w:ascii="宋体" w:hAnsi="宋体" w:cs="宋体"/>
          <w:kern w:val="0"/>
          <w:sz w:val="24"/>
          <w:szCs w:val="24"/>
        </w:rPr>
      </w:pPr>
      <w:r>
        <w:rPr>
          <w:rFonts w:ascii="宋体" w:hAnsi="宋体" w:cs="宋体"/>
          <w:kern w:val="0"/>
          <w:sz w:val="24"/>
          <w:szCs w:val="24"/>
        </w:rPr>
        <w:t>1、基金投资所涉及的证券/期货交易市场遇法定节假日或因其他原因暂停营业时；</w:t>
      </w:r>
    </w:p>
    <w:p w14:paraId="2FD34352"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2、因不可抗力或其他情形致使基金管理人、基金托管人无法准确评估基金资产价值时；</w:t>
      </w:r>
    </w:p>
    <w:p w14:paraId="56CA6F76"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3、当特定资产占前一估值日基金资产净值50%以上的，经与基金托管人协商确认后，基金管理人应当暂停估值；</w:t>
      </w:r>
    </w:p>
    <w:p w14:paraId="2F22F76E"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lastRenderedPageBreak/>
        <w:t>4、法律法规规定、中国证监会和基金合同认定的其它情形。</w:t>
      </w:r>
    </w:p>
    <w:p w14:paraId="6B7B1093"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八、基金净值的确认</w:t>
      </w:r>
    </w:p>
    <w:p w14:paraId="6B37BA88"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用于基金信息披露的基金资产净值和各类基金份额净值由基金管理人负责计算，基金托管人负责进行复核。基金管理人应于每个估值日交易结束后计算当日的基金资产净值和各类基金份额净值并发送给基金托管人。基金托管人对净值计算结果复核确认后发送给基金管理人，由基金管理人对基金净值按约定予以公布。</w:t>
      </w:r>
    </w:p>
    <w:p w14:paraId="53FBD93C"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九、实施侧袋机制期间的基金资产估值</w:t>
      </w:r>
    </w:p>
    <w:p w14:paraId="7FC9A6F0"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本基金实施侧袋机制的，应根据本部分的约定对主袋账户资产进行估值并披露主袋账户的基金净值信息，暂停披露侧袋账户份额净值。</w:t>
      </w:r>
    </w:p>
    <w:p w14:paraId="761644B6"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十、特殊情形的处理</w:t>
      </w:r>
    </w:p>
    <w:p w14:paraId="4F570050" w14:textId="77777777" w:rsidR="00D20988" w:rsidRDefault="003D167A">
      <w:pPr>
        <w:pStyle w:val="div"/>
        <w:spacing w:line="360" w:lineRule="auto"/>
        <w:ind w:firstLine="420"/>
        <w:jc w:val="left"/>
        <w:rPr>
          <w:rFonts w:ascii="宋体" w:hAnsi="宋体" w:cs="宋体"/>
          <w:kern w:val="0"/>
          <w:sz w:val="24"/>
          <w:szCs w:val="24"/>
        </w:rPr>
      </w:pPr>
      <w:r>
        <w:rPr>
          <w:rFonts w:ascii="宋体" w:hAnsi="宋体" w:cs="宋体"/>
          <w:kern w:val="0"/>
          <w:sz w:val="24"/>
          <w:szCs w:val="24"/>
        </w:rPr>
        <w:t>1、基金管理人、基金托管人按本部分有关估值方法约定的第12项进行估值时，所造成的误差不作为基金资产估值错误处理。</w:t>
      </w:r>
    </w:p>
    <w:p w14:paraId="57B3E330"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2、由于证券/期货交易所、登记结算公司、指数编制机构等第三方机构发送的数据错误，或由于其他不可抗力等原因，基金管理人和基金托管人虽然已经采取必要、适当、合理的措施进行检查，但未能发现错误的，由此造成的基金资产估值错误，基金管理人和基金托管人免除赔偿责任。但基金管理人和基金托管人应当积极采取必要的措施减轻或消除由此造成的影响。</w:t>
      </w:r>
      <w:r>
        <w:rPr>
          <w:rFonts w:ascii="宋体" w:hAnsi="宋体" w:cs="宋体"/>
          <w:kern w:val="0"/>
          <w:sz w:val="24"/>
          <w:szCs w:val="24"/>
        </w:rPr>
        <w:br w:type="page"/>
      </w:r>
    </w:p>
    <w:p w14:paraId="2B1F9862" w14:textId="77777777" w:rsidR="009D63C8" w:rsidRDefault="003D167A" w:rsidP="009E26D0">
      <w:pPr>
        <w:pStyle w:val="1"/>
        <w:spacing w:before="0" w:after="0"/>
        <w:jc w:val="center"/>
        <w:rPr>
          <w:rFonts w:ascii="Times New Roman"/>
          <w:color w:val="auto"/>
          <w:sz w:val="30"/>
        </w:rPr>
      </w:pPr>
      <w:bookmarkStart w:id="56" w:name="_Toc256000014"/>
      <w:r w:rsidRPr="009E26D0">
        <w:rPr>
          <w:rFonts w:ascii="Times New Roman"/>
          <w:noProof/>
          <w:color w:val="auto"/>
          <w:sz w:val="30"/>
        </w:rPr>
        <w:lastRenderedPageBreak/>
        <w:t>第十五部分</w:t>
      </w:r>
      <w:r w:rsidRPr="009E26D0">
        <w:rPr>
          <w:rFonts w:ascii="Times New Roman"/>
          <w:noProof/>
          <w:color w:val="auto"/>
          <w:sz w:val="30"/>
        </w:rPr>
        <w:t xml:space="preserve">  </w:t>
      </w:r>
      <w:r w:rsidRPr="009E26D0">
        <w:rPr>
          <w:rFonts w:ascii="Times New Roman"/>
          <w:noProof/>
          <w:color w:val="auto"/>
          <w:sz w:val="30"/>
        </w:rPr>
        <w:t>基金费用与税收</w:t>
      </w:r>
      <w:bookmarkEnd w:id="56"/>
    </w:p>
    <w:p w14:paraId="7625A950" w14:textId="77777777" w:rsidR="007A2B34" w:rsidRPr="0017353E" w:rsidRDefault="007A2B34" w:rsidP="0090469D"/>
    <w:p w14:paraId="1DDD475E" w14:textId="77777777" w:rsidR="00D20988" w:rsidRDefault="003D167A">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基金费用的种类</w:t>
      </w:r>
    </w:p>
    <w:p w14:paraId="4D07AACD"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基金管理人的管理费；</w:t>
      </w:r>
    </w:p>
    <w:p w14:paraId="3A306984"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基金托管人的托管费；</w:t>
      </w:r>
    </w:p>
    <w:p w14:paraId="6E4CCE22"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3、销售服务费；</w:t>
      </w:r>
    </w:p>
    <w:p w14:paraId="138CDEBF" w14:textId="77777777" w:rsidR="00D20988" w:rsidRDefault="003D167A">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4、</w:t>
      </w:r>
      <w:r>
        <w:rPr>
          <w:rFonts w:ascii="宋体" w:hAnsi="宋体" w:cs="宋体"/>
          <w:kern w:val="0"/>
          <w:sz w:val="24"/>
          <w:szCs w:val="24"/>
        </w:rPr>
        <w:t>《基金合同》生效后与基金相关的信息披露费用（但法律法规、中国证监会另有规定的除外）；</w:t>
      </w:r>
    </w:p>
    <w:p w14:paraId="1E4A0A8C"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《基金合同》生效后与基金相关的会计师费、律师费、仲裁费和诉讼费；</w:t>
      </w:r>
    </w:p>
    <w:p w14:paraId="19836970"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基金份额持有人大会费用；</w:t>
      </w:r>
    </w:p>
    <w:p w14:paraId="6170B997"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7、基金的证券、期货等交易费用；</w:t>
      </w:r>
    </w:p>
    <w:p w14:paraId="3C8CAFC5"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基金的银行汇划费用；</w:t>
      </w:r>
    </w:p>
    <w:p w14:paraId="7C3FF134"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基金的账户开户费用、账户维护费用；</w:t>
      </w:r>
    </w:p>
    <w:p w14:paraId="3C155386"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10、因投资港股通标的股票而产生的各项合理费用；</w:t>
      </w:r>
    </w:p>
    <w:p w14:paraId="19320A6F" w14:textId="77777777" w:rsidR="00D20988" w:rsidRDefault="003D167A">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11、</w:t>
      </w:r>
      <w:r>
        <w:rPr>
          <w:rFonts w:ascii="宋体" w:hAnsi="宋体" w:cs="宋体"/>
          <w:kern w:val="0"/>
          <w:sz w:val="24"/>
          <w:szCs w:val="24"/>
        </w:rPr>
        <w:t>按照国家有关规定和《基金合同》约定，可以在基金财产中列支的其他费用。</w:t>
      </w:r>
    </w:p>
    <w:p w14:paraId="2FC6F421"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基金费用计提方法、计提标准和支付方式</w:t>
      </w:r>
    </w:p>
    <w:p w14:paraId="7E906B7A"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基金管理人的管理费</w:t>
      </w:r>
    </w:p>
    <w:p w14:paraId="05783131"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本基金的管理费按前一日基金资产净值的0.80%年费率计提。管理费的计算方法如下：</w:t>
      </w:r>
    </w:p>
    <w:p w14:paraId="6F03E0AA"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H＝E×0.80%÷当年天数</w:t>
      </w:r>
    </w:p>
    <w:p w14:paraId="02CEDEFC"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H为每日应计提的基金管理费</w:t>
      </w:r>
    </w:p>
    <w:p w14:paraId="554D1B86"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E为前一日的基金资产净值</w:t>
      </w:r>
    </w:p>
    <w:p w14:paraId="0A25C372"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管理费每日计提，逐日累计至每月月末，按月支付，经基金管理人与基金托管人双方核对无误后，自动在次月初五个工作日内、按照指定的账户路径进行资金支付，基金管理人无需再出具资金划拨指令。若遇法定节假日、休息日或不可抗力致使无法按时支付的，顺延至法定节假日、休息日结束之日起</w:t>
      </w:r>
      <w:r>
        <w:rPr>
          <w:rStyle w:val="custom"/>
          <w:rFonts w:ascii="宋体" w:hAnsi="宋体" w:cs="宋体"/>
          <w:kern w:val="0"/>
          <w:sz w:val="24"/>
          <w:szCs w:val="24"/>
        </w:rPr>
        <w:t>5</w:t>
      </w:r>
      <w:r>
        <w:rPr>
          <w:rFonts w:ascii="宋体" w:hAnsi="宋体" w:cs="宋体"/>
          <w:kern w:val="0"/>
          <w:sz w:val="24"/>
          <w:szCs w:val="24"/>
        </w:rPr>
        <w:t>个工作日内或不可抗力情形消除之日起</w:t>
      </w:r>
      <w:r>
        <w:rPr>
          <w:rStyle w:val="custom"/>
          <w:rFonts w:ascii="宋体" w:hAnsi="宋体" w:cs="宋体"/>
          <w:kern w:val="0"/>
          <w:sz w:val="24"/>
          <w:szCs w:val="24"/>
        </w:rPr>
        <w:t>5</w:t>
      </w:r>
      <w:r>
        <w:rPr>
          <w:rFonts w:ascii="宋体" w:hAnsi="宋体" w:cs="宋体"/>
          <w:kern w:val="0"/>
          <w:sz w:val="24"/>
          <w:szCs w:val="24"/>
        </w:rPr>
        <w:t>个工作日内支付。</w:t>
      </w:r>
    </w:p>
    <w:p w14:paraId="65C795C6"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lastRenderedPageBreak/>
        <w:t>2、</w:t>
      </w:r>
      <w:r>
        <w:rPr>
          <w:rFonts w:ascii="宋体" w:hAnsi="宋体" w:cs="宋体"/>
          <w:kern w:val="0"/>
          <w:sz w:val="24"/>
          <w:szCs w:val="24"/>
        </w:rPr>
        <w:t>基金托管人的托管费</w:t>
      </w:r>
    </w:p>
    <w:p w14:paraId="34C9B0F6"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本基金的托管费按前一日基金资产净值的0.15%的年费率计提。托管费的计算方法如下：</w:t>
      </w:r>
    </w:p>
    <w:p w14:paraId="389693A7"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H＝E×0.15%÷当年天数</w:t>
      </w:r>
    </w:p>
    <w:p w14:paraId="03AB2FAF"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H为每日应计提的基金托管费</w:t>
      </w:r>
    </w:p>
    <w:p w14:paraId="59510106"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E为前一日的基金资产净值</w:t>
      </w:r>
    </w:p>
    <w:p w14:paraId="13A122B7"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托管费每日计提，逐日累计至每月月末，按月支付，经基金管理人与基金托管人双方核对无误后，自动在次月初五个工作日内、按照指定的账户路径进行资金支付，基金管理人无需再出具资金划拨指令。若遇法定节假日、休息日或不可抗力致使无法按时支付的，顺延至法定节假日、休息日结束之日起</w:t>
      </w:r>
      <w:r>
        <w:rPr>
          <w:rStyle w:val="custom"/>
          <w:rFonts w:ascii="宋体" w:hAnsi="宋体" w:cs="宋体"/>
          <w:kern w:val="0"/>
          <w:sz w:val="24"/>
          <w:szCs w:val="24"/>
        </w:rPr>
        <w:t>5</w:t>
      </w:r>
      <w:r>
        <w:rPr>
          <w:rFonts w:ascii="宋体" w:hAnsi="宋体" w:cs="宋体"/>
          <w:kern w:val="0"/>
          <w:sz w:val="24"/>
          <w:szCs w:val="24"/>
        </w:rPr>
        <w:t>个工作日内或不可抗力情形消除之日起</w:t>
      </w:r>
      <w:r>
        <w:rPr>
          <w:rStyle w:val="custom"/>
          <w:rFonts w:ascii="宋体" w:hAnsi="宋体" w:cs="宋体"/>
          <w:kern w:val="0"/>
          <w:sz w:val="24"/>
          <w:szCs w:val="24"/>
        </w:rPr>
        <w:t>5</w:t>
      </w:r>
      <w:r>
        <w:rPr>
          <w:rFonts w:ascii="宋体" w:hAnsi="宋体" w:cs="宋体"/>
          <w:kern w:val="0"/>
          <w:sz w:val="24"/>
          <w:szCs w:val="24"/>
        </w:rPr>
        <w:t>个工作日内支付。</w:t>
      </w:r>
    </w:p>
    <w:p w14:paraId="27BD90A9"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3、销售服务费</w:t>
      </w:r>
    </w:p>
    <w:p w14:paraId="2E63767E" w14:textId="3C9D8094" w:rsidR="00D20988" w:rsidRDefault="003D167A">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本基金A类</w:t>
      </w:r>
      <w:r w:rsidR="00D73196">
        <w:rPr>
          <w:rStyle w:val="custom"/>
          <w:rFonts w:ascii="宋体" w:hAnsi="宋体" w:cs="宋体" w:hint="eastAsia"/>
          <w:kern w:val="0"/>
          <w:sz w:val="24"/>
          <w:szCs w:val="24"/>
        </w:rPr>
        <w:t>、</w:t>
      </w:r>
      <w:r w:rsidR="00D73196">
        <w:rPr>
          <w:rStyle w:val="custom"/>
          <w:rFonts w:ascii="宋体" w:hAnsi="宋体" w:cs="宋体"/>
          <w:kern w:val="0"/>
          <w:sz w:val="24"/>
          <w:szCs w:val="24"/>
        </w:rPr>
        <w:t>B类</w:t>
      </w:r>
      <w:r>
        <w:rPr>
          <w:rStyle w:val="custom"/>
          <w:rFonts w:ascii="宋体" w:hAnsi="宋体" w:cs="宋体"/>
          <w:kern w:val="0"/>
          <w:sz w:val="24"/>
          <w:szCs w:val="24"/>
        </w:rPr>
        <w:t>基金份额不收取销售服务费，C类基金份额的销售服务费年费率为0.</w:t>
      </w:r>
      <w:r w:rsidR="00DA152C">
        <w:rPr>
          <w:rStyle w:val="custom"/>
          <w:rFonts w:ascii="宋体" w:hAnsi="宋体" w:cs="宋体"/>
          <w:kern w:val="0"/>
          <w:sz w:val="24"/>
          <w:szCs w:val="24"/>
        </w:rPr>
        <w:t>20</w:t>
      </w:r>
      <w:r>
        <w:rPr>
          <w:rStyle w:val="custom"/>
          <w:rFonts w:ascii="宋体" w:hAnsi="宋体" w:cs="宋体"/>
          <w:kern w:val="0"/>
          <w:sz w:val="24"/>
          <w:szCs w:val="24"/>
        </w:rPr>
        <w:t>%。</w:t>
      </w:r>
    </w:p>
    <w:p w14:paraId="38C5841C"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计算方法如下：</w:t>
      </w:r>
    </w:p>
    <w:p w14:paraId="0C69F2D4" w14:textId="015A8B6E" w:rsidR="005F192C" w:rsidRPr="005F192C" w:rsidRDefault="003D167A" w:rsidP="005F192C">
      <w:pPr>
        <w:pStyle w:val="div"/>
        <w:spacing w:line="360" w:lineRule="auto"/>
        <w:ind w:firstLine="420"/>
        <w:rPr>
          <w:rStyle w:val="custom"/>
          <w:rFonts w:ascii="宋体" w:hAnsi="宋体" w:cs="宋体"/>
          <w:kern w:val="0"/>
          <w:sz w:val="24"/>
          <w:szCs w:val="24"/>
        </w:rPr>
      </w:pPr>
      <w:r w:rsidRPr="005F192C">
        <w:rPr>
          <w:rStyle w:val="custom"/>
          <w:rFonts w:ascii="宋体" w:hAnsi="宋体" w:cs="宋体" w:hint="eastAsia"/>
          <w:kern w:val="0"/>
          <w:sz w:val="24"/>
          <w:szCs w:val="24"/>
        </w:rPr>
        <w:t>H＝E×0.</w:t>
      </w:r>
      <w:r w:rsidR="00DA152C">
        <w:rPr>
          <w:rStyle w:val="custom"/>
          <w:rFonts w:ascii="宋体" w:hAnsi="宋体" w:cs="宋体"/>
          <w:kern w:val="0"/>
          <w:sz w:val="24"/>
          <w:szCs w:val="24"/>
        </w:rPr>
        <w:t>20</w:t>
      </w:r>
      <w:r w:rsidRPr="005F192C">
        <w:rPr>
          <w:rStyle w:val="custom"/>
          <w:rFonts w:ascii="宋体" w:hAnsi="宋体" w:cs="宋体" w:hint="eastAsia"/>
          <w:kern w:val="0"/>
          <w:sz w:val="24"/>
          <w:szCs w:val="24"/>
        </w:rPr>
        <w:t>%÷当年天数</w:t>
      </w:r>
    </w:p>
    <w:p w14:paraId="57955B86" w14:textId="77777777" w:rsidR="005F192C" w:rsidRPr="005F192C" w:rsidRDefault="003D167A" w:rsidP="005F192C">
      <w:pPr>
        <w:pStyle w:val="div"/>
        <w:spacing w:line="360" w:lineRule="auto"/>
        <w:ind w:firstLine="420"/>
        <w:rPr>
          <w:rStyle w:val="custom"/>
          <w:rFonts w:ascii="宋体" w:hAnsi="宋体" w:cs="宋体"/>
          <w:kern w:val="0"/>
          <w:sz w:val="24"/>
          <w:szCs w:val="24"/>
        </w:rPr>
      </w:pPr>
      <w:r w:rsidRPr="005F192C">
        <w:rPr>
          <w:rStyle w:val="custom"/>
          <w:rFonts w:ascii="宋体" w:hAnsi="宋体" w:cs="宋体" w:hint="eastAsia"/>
          <w:kern w:val="0"/>
          <w:sz w:val="24"/>
          <w:szCs w:val="24"/>
        </w:rPr>
        <w:t>H为C类基金份额每日应计提的销售服务费</w:t>
      </w:r>
    </w:p>
    <w:p w14:paraId="17E4F97A" w14:textId="77777777" w:rsidR="005F192C" w:rsidRDefault="003D167A" w:rsidP="005F192C">
      <w:pPr>
        <w:pStyle w:val="div"/>
        <w:spacing w:line="360" w:lineRule="auto"/>
        <w:ind w:firstLine="420"/>
        <w:rPr>
          <w:rStyle w:val="custom"/>
          <w:rFonts w:ascii="宋体" w:hAnsi="宋体" w:cs="宋体"/>
          <w:kern w:val="0"/>
          <w:sz w:val="24"/>
          <w:szCs w:val="24"/>
        </w:rPr>
      </w:pPr>
      <w:r w:rsidRPr="005F192C">
        <w:rPr>
          <w:rStyle w:val="custom"/>
          <w:rFonts w:ascii="宋体" w:hAnsi="宋体" w:cs="宋体" w:hint="eastAsia"/>
          <w:kern w:val="0"/>
          <w:sz w:val="24"/>
          <w:szCs w:val="24"/>
        </w:rPr>
        <w:t>E为C类基金份额前一日基金资产净值</w:t>
      </w:r>
    </w:p>
    <w:p w14:paraId="46436FF9" w14:textId="77777777" w:rsidR="00D20988" w:rsidRDefault="003D167A" w:rsidP="005F192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销售服务费每日计提，逐日累计至每月月末，按月支付</w:t>
      </w:r>
      <w:r w:rsidR="00DA152C">
        <w:rPr>
          <w:rStyle w:val="custom"/>
          <w:rFonts w:ascii="宋体" w:hAnsi="宋体" w:cs="宋体" w:hint="eastAsia"/>
          <w:kern w:val="0"/>
          <w:sz w:val="24"/>
          <w:szCs w:val="24"/>
        </w:rPr>
        <w:t>。</w:t>
      </w:r>
      <w:r w:rsidR="00DA152C">
        <w:rPr>
          <w:rFonts w:hint="eastAsia"/>
          <w:bCs/>
          <w:sz w:val="24"/>
        </w:rPr>
        <w:t>对于确认为基金财产支付的销售服务费</w:t>
      </w:r>
      <w:r>
        <w:rPr>
          <w:rStyle w:val="custom"/>
          <w:rFonts w:ascii="宋体" w:hAnsi="宋体" w:cs="宋体"/>
          <w:kern w:val="0"/>
          <w:sz w:val="24"/>
          <w:szCs w:val="24"/>
        </w:rPr>
        <w:t>，经基金管理人与基金托管人双方核对无误后，自动在次月初五个工作日内、按照指定的账户路径进行资金支付，基金管理人无需再出具资金划拨指令。若遇法定节假日、休息日或不可抗力致使无法按时支付的，顺延至法定节假日、休息日结束之日起</w:t>
      </w:r>
      <w:r>
        <w:rPr>
          <w:rStyle w:val="custom"/>
          <w:rFonts w:ascii="Calibri" w:eastAsia="Calibri" w:hAnsi="Calibri" w:cs="Calibri"/>
          <w:kern w:val="0"/>
          <w:sz w:val="24"/>
          <w:szCs w:val="24"/>
        </w:rPr>
        <w:t>5</w:t>
      </w:r>
      <w:r>
        <w:rPr>
          <w:rStyle w:val="custom"/>
          <w:rFonts w:ascii="宋体" w:hAnsi="宋体" w:cs="宋体"/>
          <w:kern w:val="0"/>
          <w:sz w:val="24"/>
          <w:szCs w:val="24"/>
        </w:rPr>
        <w:t>个工作日内或不可抗力情形消除之日起</w:t>
      </w:r>
      <w:r>
        <w:rPr>
          <w:rStyle w:val="custom"/>
          <w:rFonts w:ascii="Calibri" w:eastAsia="Calibri" w:hAnsi="Calibri" w:cs="Calibri"/>
          <w:kern w:val="0"/>
          <w:sz w:val="24"/>
          <w:szCs w:val="24"/>
        </w:rPr>
        <w:t>5</w:t>
      </w:r>
      <w:r>
        <w:rPr>
          <w:rStyle w:val="custom"/>
          <w:rFonts w:ascii="宋体" w:hAnsi="宋体" w:cs="宋体"/>
          <w:kern w:val="0"/>
          <w:sz w:val="24"/>
          <w:szCs w:val="24"/>
        </w:rPr>
        <w:t>个工作日内支付。</w:t>
      </w:r>
    </w:p>
    <w:p w14:paraId="242B7535" w14:textId="77777777" w:rsidR="00DA152C" w:rsidRPr="00BC4833" w:rsidRDefault="00DA152C" w:rsidP="00DA152C">
      <w:pPr>
        <w:spacing w:line="348" w:lineRule="auto"/>
        <w:ind w:firstLineChars="200" w:firstLine="480"/>
        <w:rPr>
          <w:rStyle w:val="custom"/>
          <w:rFonts w:ascii="宋体" w:hAnsi="宋体" w:cs="宋体"/>
          <w:kern w:val="0"/>
          <w:sz w:val="24"/>
          <w:szCs w:val="24"/>
        </w:rPr>
      </w:pPr>
      <w:bookmarkStart w:id="57" w:name="_Hlk218539030"/>
      <w:r>
        <w:rPr>
          <w:rFonts w:hint="eastAsia"/>
          <w:bCs/>
          <w:sz w:val="24"/>
        </w:rPr>
        <w:t>其中，对于投资者通过直销机构认购</w:t>
      </w:r>
      <w:r>
        <w:rPr>
          <w:bCs/>
          <w:sz w:val="24"/>
        </w:rPr>
        <w:t>/</w:t>
      </w:r>
      <w:r>
        <w:rPr>
          <w:rFonts w:hint="eastAsia"/>
          <w:bCs/>
          <w:sz w:val="24"/>
        </w:rPr>
        <w:t>申购的</w:t>
      </w:r>
      <w:bookmarkStart w:id="58" w:name="_Hlk218688853"/>
      <w:r>
        <w:rPr>
          <w:rFonts w:hint="eastAsia"/>
          <w:bCs/>
          <w:sz w:val="24"/>
          <w:lang w:bidi="en-US"/>
        </w:rPr>
        <w:t>C</w:t>
      </w:r>
      <w:r>
        <w:rPr>
          <w:rFonts w:hint="eastAsia"/>
          <w:bCs/>
          <w:sz w:val="24"/>
          <w:lang w:bidi="en-US"/>
        </w:rPr>
        <w:t>类基金份额所计提的销售服务费</w:t>
      </w:r>
      <w:bookmarkEnd w:id="58"/>
      <w:r>
        <w:rPr>
          <w:rFonts w:hint="eastAsia"/>
          <w:bCs/>
          <w:sz w:val="24"/>
        </w:rPr>
        <w:t>或者通过其他销售机构认购</w:t>
      </w:r>
      <w:r>
        <w:rPr>
          <w:bCs/>
          <w:sz w:val="24"/>
        </w:rPr>
        <w:t>/</w:t>
      </w:r>
      <w:r>
        <w:rPr>
          <w:rFonts w:hint="eastAsia"/>
          <w:bCs/>
          <w:sz w:val="24"/>
        </w:rPr>
        <w:t>申购且持续持有期限超过一年</w:t>
      </w:r>
      <w:bookmarkStart w:id="59" w:name="_Hlk218688858"/>
      <w:r>
        <w:rPr>
          <w:rFonts w:hint="eastAsia"/>
          <w:bCs/>
          <w:sz w:val="24"/>
          <w:lang w:bidi="en-US"/>
        </w:rPr>
        <w:t>（即</w:t>
      </w:r>
      <w:r>
        <w:rPr>
          <w:rFonts w:hint="eastAsia"/>
          <w:bCs/>
          <w:sz w:val="24"/>
          <w:lang w:bidi="en-US"/>
        </w:rPr>
        <w:t>3</w:t>
      </w:r>
      <w:r>
        <w:rPr>
          <w:bCs/>
          <w:sz w:val="24"/>
          <w:lang w:bidi="en-US"/>
        </w:rPr>
        <w:t>65</w:t>
      </w:r>
      <w:r>
        <w:rPr>
          <w:rFonts w:hint="eastAsia"/>
          <w:bCs/>
          <w:sz w:val="24"/>
          <w:lang w:bidi="en-US"/>
        </w:rPr>
        <w:t>天）以后继续计提</w:t>
      </w:r>
      <w:bookmarkEnd w:id="59"/>
      <w:r>
        <w:rPr>
          <w:rFonts w:hint="eastAsia"/>
          <w:bCs/>
          <w:sz w:val="24"/>
        </w:rPr>
        <w:t>的</w:t>
      </w:r>
      <w:r>
        <w:rPr>
          <w:bCs/>
          <w:sz w:val="24"/>
        </w:rPr>
        <w:t>C</w:t>
      </w:r>
      <w:r>
        <w:rPr>
          <w:rFonts w:hint="eastAsia"/>
          <w:bCs/>
          <w:sz w:val="24"/>
        </w:rPr>
        <w:t>类基金份额销售服务费，将在投资者赎回相应基金份额或基金合同终止时随赎回款或清算款一并返还给投资者。</w:t>
      </w:r>
      <w:bookmarkEnd w:id="57"/>
    </w:p>
    <w:p w14:paraId="323C2C40"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上述“一、基金费用的种类”中第</w:t>
      </w:r>
      <w:r>
        <w:rPr>
          <w:rStyle w:val="custom"/>
          <w:rFonts w:ascii="宋体" w:hAnsi="宋体" w:cs="宋体"/>
          <w:kern w:val="0"/>
          <w:sz w:val="24"/>
          <w:szCs w:val="24"/>
        </w:rPr>
        <w:t>4</w:t>
      </w:r>
      <w:r>
        <w:rPr>
          <w:rFonts w:ascii="宋体" w:hAnsi="宋体" w:cs="宋体"/>
          <w:kern w:val="0"/>
          <w:sz w:val="24"/>
          <w:szCs w:val="24"/>
        </w:rPr>
        <w:t>－</w:t>
      </w:r>
      <w:r>
        <w:rPr>
          <w:rStyle w:val="custom"/>
          <w:rFonts w:ascii="宋体" w:hAnsi="宋体" w:cs="宋体"/>
          <w:kern w:val="0"/>
          <w:sz w:val="24"/>
          <w:szCs w:val="24"/>
        </w:rPr>
        <w:t>11</w:t>
      </w:r>
      <w:r>
        <w:rPr>
          <w:rFonts w:ascii="宋体" w:hAnsi="宋体" w:cs="宋体"/>
          <w:kern w:val="0"/>
          <w:sz w:val="24"/>
          <w:szCs w:val="24"/>
        </w:rPr>
        <w:t>项费用，根据有关法规及相应协议规定，按费用实际支出金额列入当期费用，由基金托管人从基金财产中支付。</w:t>
      </w:r>
    </w:p>
    <w:p w14:paraId="497A5D5B"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lastRenderedPageBreak/>
        <w:t>三、</w:t>
      </w:r>
      <w:r>
        <w:rPr>
          <w:rFonts w:ascii="宋体" w:hAnsi="宋体" w:cs="宋体"/>
          <w:kern w:val="0"/>
          <w:sz w:val="24"/>
          <w:szCs w:val="24"/>
        </w:rPr>
        <w:t>不列入基金费用的项目</w:t>
      </w:r>
    </w:p>
    <w:p w14:paraId="765C382F"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下列费用不列入基金费用：</w:t>
      </w:r>
    </w:p>
    <w:p w14:paraId="4AE451E5"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基金管理人和基金托管人因未履行或未完全履行义务导致的费用支出或基金财产的损失；</w:t>
      </w:r>
    </w:p>
    <w:p w14:paraId="34268A8B"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基金管理人和基金托管人处理与基金运作无关的事项发生的费用；</w:t>
      </w:r>
    </w:p>
    <w:p w14:paraId="459DD3DB"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《基金合同》生效前的相关费用；</w:t>
      </w:r>
    </w:p>
    <w:p w14:paraId="52D55ED6"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4、基金的指数许可使用费（该费用由基金管理人承担）；</w:t>
      </w:r>
    </w:p>
    <w:p w14:paraId="5EA40F42"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其他根据相关法律法规及中国证监会的有关规定不得列入基金费用的项目。</w:t>
      </w:r>
    </w:p>
    <w:p w14:paraId="56EA36CF"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实施侧袋机制期间的基金费用</w:t>
      </w:r>
    </w:p>
    <w:p w14:paraId="72458940"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本基金实施侧袋机制的，与侧袋账户有关的费用可以从侧袋账户中列支，但应待侧袋账户资产变现后方可列支，有关费用可酌情收取或减免，但不得收取管理费，详见招募说明书的规定。</w:t>
      </w:r>
    </w:p>
    <w:p w14:paraId="70AF4539"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基金税收</w:t>
      </w:r>
    </w:p>
    <w:p w14:paraId="0EFF87FB"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r>
        <w:rPr>
          <w:rFonts w:ascii="宋体" w:hAnsi="宋体" w:cs="宋体"/>
          <w:kern w:val="0"/>
          <w:sz w:val="24"/>
          <w:szCs w:val="24"/>
        </w:rPr>
        <w:br w:type="page"/>
      </w:r>
    </w:p>
    <w:p w14:paraId="7C106DCA" w14:textId="77777777" w:rsidR="009D63C8" w:rsidRDefault="003D167A" w:rsidP="009E26D0">
      <w:pPr>
        <w:pStyle w:val="1"/>
        <w:spacing w:before="0" w:after="0"/>
        <w:jc w:val="center"/>
        <w:rPr>
          <w:rFonts w:ascii="Times New Roman"/>
          <w:color w:val="auto"/>
          <w:sz w:val="30"/>
        </w:rPr>
      </w:pPr>
      <w:bookmarkStart w:id="60" w:name="_Toc256000015"/>
      <w:r w:rsidRPr="009E26D0">
        <w:rPr>
          <w:rFonts w:ascii="Times New Roman"/>
          <w:noProof/>
          <w:color w:val="auto"/>
          <w:sz w:val="30"/>
        </w:rPr>
        <w:lastRenderedPageBreak/>
        <w:t>第十六部分</w:t>
      </w:r>
      <w:r w:rsidRPr="009E26D0">
        <w:rPr>
          <w:rFonts w:ascii="Times New Roman"/>
          <w:noProof/>
          <w:color w:val="auto"/>
          <w:sz w:val="30"/>
        </w:rPr>
        <w:t xml:space="preserve">  </w:t>
      </w:r>
      <w:r w:rsidRPr="009E26D0">
        <w:rPr>
          <w:rFonts w:ascii="Times New Roman"/>
          <w:noProof/>
          <w:color w:val="auto"/>
          <w:sz w:val="30"/>
        </w:rPr>
        <w:t>基金的收益与分配</w:t>
      </w:r>
      <w:bookmarkEnd w:id="60"/>
    </w:p>
    <w:p w14:paraId="1D50D4C6" w14:textId="77777777" w:rsidR="007A2B34" w:rsidRPr="0017353E" w:rsidRDefault="007A2B34" w:rsidP="0090469D"/>
    <w:p w14:paraId="40FF631B"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基金利润的构成</w:t>
      </w:r>
    </w:p>
    <w:p w14:paraId="2089DEF9"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基金利润指基金利息收入、投资收益、公允价值变动收益和其他收入扣除相关费用后的余额，基金已实现收益指基金利润减去公允价值变动收益后的余额。</w:t>
      </w:r>
    </w:p>
    <w:p w14:paraId="643BB9F7"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基金可供分配利润</w:t>
      </w:r>
    </w:p>
    <w:p w14:paraId="625A2BD2"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基金可供分配利润指截至收益分配基准日基金未分配利润与未分配利润中已实现收益的孰低数。</w:t>
      </w:r>
    </w:p>
    <w:p w14:paraId="384FF121"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基金收益分配原则</w:t>
      </w:r>
    </w:p>
    <w:p w14:paraId="6DE250A8"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在符合有关基金分红条件的前提下，本基金可进行基金收益分配，若《基金合同》生效不满3个月可不进行收益分配；</w:t>
      </w:r>
    </w:p>
    <w:p w14:paraId="1E3D3CC9"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本基金收益分配方式分两种：现金分红与红利再投资，投资者可选择现金红利或将现金红利自动转为相应类别的基金份额进行再投资，基金份额持有人可对A类、B类、C类基金份额分别选择不同的分红方式；若投资者不选择，本基金默认的收益分配方式是现金分红；</w:t>
      </w:r>
    </w:p>
    <w:p w14:paraId="2E51B952" w14:textId="77777777" w:rsidR="00D20988" w:rsidRDefault="003D167A">
      <w:pPr>
        <w:pStyle w:val="div"/>
        <w:spacing w:line="360" w:lineRule="auto"/>
        <w:ind w:firstLine="420"/>
        <w:rPr>
          <w:rFonts w:eastAsia="Times New Roman"/>
          <w:kern w:val="0"/>
          <w:sz w:val="24"/>
          <w:szCs w:val="24"/>
        </w:rPr>
      </w:pPr>
      <w:r>
        <w:rPr>
          <w:rStyle w:val="serial-tag"/>
          <w:rFonts w:ascii="宋体" w:hAnsi="宋体" w:cs="宋体"/>
          <w:kern w:val="0"/>
          <w:sz w:val="24"/>
          <w:szCs w:val="24"/>
        </w:rPr>
        <w:t>3、</w:t>
      </w:r>
      <w:r>
        <w:rPr>
          <w:rFonts w:ascii="宋体" w:hAnsi="宋体" w:cs="宋体"/>
          <w:kern w:val="0"/>
          <w:sz w:val="24"/>
          <w:szCs w:val="24"/>
        </w:rPr>
        <w:t>基</w:t>
      </w:r>
      <w:bookmarkStart w:id="61" w:name="OLE_LINK1"/>
      <w:r>
        <w:rPr>
          <w:rFonts w:ascii="宋体" w:hAnsi="宋体" w:cs="宋体"/>
          <w:kern w:val="0"/>
          <w:sz w:val="24"/>
          <w:szCs w:val="24"/>
        </w:rPr>
        <w:t>金管理人可对基金相对业绩比较基准的超额收益率和/或基金的可供分配利润进行评价，</w:t>
      </w:r>
      <w:bookmarkEnd w:id="61"/>
      <w:r>
        <w:rPr>
          <w:rFonts w:ascii="宋体" w:hAnsi="宋体" w:cs="宋体"/>
          <w:kern w:val="0"/>
          <w:sz w:val="24"/>
          <w:szCs w:val="24"/>
        </w:rPr>
        <w:t>当收益评价日核定的超额收益率或者基金可供分配利润金额大于零时，基金管理人可进行收益分配；</w:t>
      </w:r>
    </w:p>
    <w:p w14:paraId="103F5183" w14:textId="77777777" w:rsidR="00D20988" w:rsidRDefault="003D167A">
      <w:pPr>
        <w:pStyle w:val="div"/>
        <w:spacing w:line="360" w:lineRule="auto"/>
        <w:ind w:firstLine="420"/>
        <w:rPr>
          <w:rFonts w:eastAsia="Times New Roman"/>
          <w:kern w:val="0"/>
          <w:sz w:val="24"/>
          <w:szCs w:val="24"/>
        </w:rPr>
      </w:pPr>
      <w:r>
        <w:rPr>
          <w:rStyle w:val="serial-tag"/>
          <w:rFonts w:ascii="宋体" w:hAnsi="宋体" w:cs="宋体"/>
          <w:kern w:val="0"/>
          <w:sz w:val="24"/>
          <w:szCs w:val="24"/>
        </w:rPr>
        <w:t>4、</w:t>
      </w:r>
      <w:r>
        <w:rPr>
          <w:rFonts w:ascii="宋体" w:hAnsi="宋体" w:cs="宋体"/>
          <w:kern w:val="0"/>
          <w:sz w:val="24"/>
          <w:szCs w:val="24"/>
        </w:rPr>
        <w:t>当基金收益分配根据基金相对业绩比较基准的超额收益率决定时，基于本基金的特点，本基金收益分配无需以弥补亏损为前提，收益分配后基金份额净值有可能低于面值；当基金收益分配根据基金可供分配利润金额决定时，本基金收益分配后各类基金份额净值不能低于面值，即基金收益分配基准日的各类基金份额净值减去每单位该类基金份额收益分配金额后不能低于面值；</w:t>
      </w:r>
    </w:p>
    <w:p w14:paraId="6826D672"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5、同一类别内每一基金份额享有同等分配权；</w:t>
      </w:r>
    </w:p>
    <w:p w14:paraId="34FDB4AC"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法律法规或监管机构另有规定的，从其规定。</w:t>
      </w:r>
    </w:p>
    <w:p w14:paraId="0408FB7C"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在不违反法律法规且对基金份额持有人利益无实质性不利影响的前提下，基金管理人可对基金收益分配原则进行调整，无需召开基金份额持有人大会。</w:t>
      </w:r>
    </w:p>
    <w:p w14:paraId="67A48515"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收益分配方案</w:t>
      </w:r>
    </w:p>
    <w:p w14:paraId="2D9269F2"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基金收益分配方案中应载明截至收益分配基准日的可供分配利润</w:t>
      </w:r>
      <w:r w:rsidR="00AF304E">
        <w:rPr>
          <w:rFonts w:ascii="宋体" w:hAnsi="宋体" w:cs="宋体" w:hint="eastAsia"/>
          <w:kern w:val="0"/>
          <w:sz w:val="24"/>
          <w:szCs w:val="24"/>
        </w:rPr>
        <w:t>（如需）</w:t>
      </w:r>
      <w:r>
        <w:rPr>
          <w:rFonts w:ascii="宋体" w:hAnsi="宋体" w:cs="宋体"/>
          <w:kern w:val="0"/>
          <w:sz w:val="24"/>
          <w:szCs w:val="24"/>
        </w:rPr>
        <w:t>、</w:t>
      </w:r>
      <w:r>
        <w:rPr>
          <w:rFonts w:ascii="宋体" w:hAnsi="宋体" w:cs="宋体"/>
          <w:kern w:val="0"/>
          <w:sz w:val="24"/>
          <w:szCs w:val="24"/>
        </w:rPr>
        <w:lastRenderedPageBreak/>
        <w:t>基金收益分配对象、分配时间、分配数额及比例、分配方式等内容。</w:t>
      </w:r>
    </w:p>
    <w:p w14:paraId="64F7314B"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收益分配方案的确定、公告与实施</w:t>
      </w:r>
    </w:p>
    <w:p w14:paraId="7A2AF5EA"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本基金收益分配方案由基金管理人拟定，并由基金托管人复核，在2日内在规定媒介公告。</w:t>
      </w:r>
    </w:p>
    <w:p w14:paraId="5D2912E2"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基金收益分配中发生的费用</w:t>
      </w:r>
    </w:p>
    <w:p w14:paraId="0BC65221"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5249704A"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实施侧袋机制期间的收益分配</w:t>
      </w:r>
    </w:p>
    <w:p w14:paraId="6665987A"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本基金实施侧袋机制的，侧袋账户不进行收益分配，详见招募说明书的规定。</w:t>
      </w:r>
      <w:r>
        <w:rPr>
          <w:rFonts w:ascii="宋体" w:hAnsi="宋体" w:cs="宋体"/>
          <w:kern w:val="0"/>
          <w:sz w:val="24"/>
          <w:szCs w:val="24"/>
        </w:rPr>
        <w:br w:type="page"/>
      </w:r>
    </w:p>
    <w:p w14:paraId="6297791A" w14:textId="77777777" w:rsidR="009D63C8" w:rsidRDefault="003D167A" w:rsidP="009E26D0">
      <w:pPr>
        <w:pStyle w:val="1"/>
        <w:spacing w:before="0" w:after="0"/>
        <w:jc w:val="center"/>
        <w:rPr>
          <w:rFonts w:ascii="Times New Roman"/>
          <w:color w:val="auto"/>
          <w:sz w:val="30"/>
        </w:rPr>
      </w:pPr>
      <w:bookmarkStart w:id="62" w:name="_Toc256000016"/>
      <w:r w:rsidRPr="009E26D0">
        <w:rPr>
          <w:rFonts w:ascii="Times New Roman"/>
          <w:noProof/>
          <w:color w:val="auto"/>
          <w:sz w:val="30"/>
        </w:rPr>
        <w:lastRenderedPageBreak/>
        <w:t>第十七部分</w:t>
      </w:r>
      <w:r w:rsidRPr="009E26D0">
        <w:rPr>
          <w:rFonts w:ascii="Times New Roman"/>
          <w:noProof/>
          <w:color w:val="auto"/>
          <w:sz w:val="30"/>
        </w:rPr>
        <w:t xml:space="preserve">  </w:t>
      </w:r>
      <w:r w:rsidRPr="009E26D0">
        <w:rPr>
          <w:rFonts w:ascii="Times New Roman"/>
          <w:noProof/>
          <w:color w:val="auto"/>
          <w:sz w:val="30"/>
        </w:rPr>
        <w:t>基金的会计与审计</w:t>
      </w:r>
      <w:bookmarkEnd w:id="62"/>
    </w:p>
    <w:p w14:paraId="680DD327" w14:textId="77777777" w:rsidR="007A2B34" w:rsidRPr="0017353E" w:rsidRDefault="007A2B34" w:rsidP="0090469D"/>
    <w:p w14:paraId="756A70E8"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一、基金会计政策</w:t>
      </w:r>
    </w:p>
    <w:p w14:paraId="0F7A6A26"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1、基金管理人为本基金的基金会计责任方；</w:t>
      </w:r>
    </w:p>
    <w:p w14:paraId="6646DCA3"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2、基金的会计年度为公历年度的1月1日至12月31日；</w:t>
      </w:r>
      <w:r>
        <w:rPr>
          <w:rStyle w:val="custom"/>
          <w:rFonts w:ascii="宋体" w:hAnsi="宋体" w:cs="宋体"/>
          <w:kern w:val="0"/>
          <w:sz w:val="24"/>
          <w:szCs w:val="24"/>
        </w:rPr>
        <w:t>基金首次募集的会计年度按如下原则：如果《基金合同》生效少于2个月，可以并入下一个会计年度披露；</w:t>
      </w:r>
    </w:p>
    <w:p w14:paraId="478B5931"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3、基金核算以人民币为记账本位币，以人民币元为记账单位；</w:t>
      </w:r>
    </w:p>
    <w:p w14:paraId="47E98FEE"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4、会计制度执行国家有关会计制度；</w:t>
      </w:r>
    </w:p>
    <w:p w14:paraId="66438336"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5、本基金独立建账、独立核算；</w:t>
      </w:r>
    </w:p>
    <w:p w14:paraId="470DA215"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6、基金管理人及基金托管人各自保留完整的会计账目、凭证并进行日常的会计核算，按照有关规定编制基金会计报表；</w:t>
      </w:r>
    </w:p>
    <w:p w14:paraId="710FD5F2"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7、基金托管人每月与基金管理人就基金的会计核算、报表编制等进行核对并以书面方式确认。</w:t>
      </w:r>
    </w:p>
    <w:p w14:paraId="078F8859"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二、基金的年度审计</w:t>
      </w:r>
    </w:p>
    <w:p w14:paraId="286E734F"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1、基金管理人聘请与基金管理人、基金托管人相互独立的符合《中华人民共和国证券法》规定的会计师事务所及其注册会计师对本基金的年度财务报表进行审计。</w:t>
      </w:r>
    </w:p>
    <w:p w14:paraId="304A6149"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2、会计师事务所更换经办注册会计师，应事先征得基金管理人同意。</w:t>
      </w:r>
    </w:p>
    <w:p w14:paraId="30830137"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3、基金管理人认为有充足理由更换会计师事务所，须通报基金托管人。更换会计师事务所需在2日内在规定媒介公告。</w:t>
      </w:r>
      <w:r>
        <w:rPr>
          <w:rFonts w:ascii="宋体" w:hAnsi="宋体" w:cs="宋体"/>
          <w:kern w:val="0"/>
          <w:sz w:val="24"/>
          <w:szCs w:val="24"/>
        </w:rPr>
        <w:br w:type="page"/>
      </w:r>
    </w:p>
    <w:p w14:paraId="2CD270B3" w14:textId="77777777" w:rsidR="009D63C8" w:rsidRDefault="003D167A" w:rsidP="009E26D0">
      <w:pPr>
        <w:pStyle w:val="1"/>
        <w:spacing w:before="0" w:after="0"/>
        <w:jc w:val="center"/>
        <w:rPr>
          <w:rFonts w:ascii="Times New Roman"/>
          <w:color w:val="auto"/>
          <w:sz w:val="30"/>
        </w:rPr>
      </w:pPr>
      <w:bookmarkStart w:id="63" w:name="_Toc256000017"/>
      <w:r w:rsidRPr="009E26D0">
        <w:rPr>
          <w:rFonts w:ascii="Times New Roman"/>
          <w:noProof/>
          <w:color w:val="auto"/>
          <w:sz w:val="30"/>
        </w:rPr>
        <w:lastRenderedPageBreak/>
        <w:t>第十八部分</w:t>
      </w:r>
      <w:r w:rsidRPr="009E26D0">
        <w:rPr>
          <w:rFonts w:ascii="Times New Roman"/>
          <w:noProof/>
          <w:color w:val="auto"/>
          <w:sz w:val="30"/>
        </w:rPr>
        <w:t xml:space="preserve">  </w:t>
      </w:r>
      <w:r w:rsidRPr="009E26D0">
        <w:rPr>
          <w:rFonts w:ascii="Times New Roman"/>
          <w:noProof/>
          <w:color w:val="auto"/>
          <w:sz w:val="30"/>
        </w:rPr>
        <w:t>基金的信息披露</w:t>
      </w:r>
      <w:bookmarkEnd w:id="63"/>
    </w:p>
    <w:p w14:paraId="203A5513" w14:textId="77777777" w:rsidR="007A2B34" w:rsidRPr="0017353E" w:rsidRDefault="007A2B34" w:rsidP="0090469D"/>
    <w:p w14:paraId="78DE8FC4"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本基金的信息披露应符合《基金法》、《运作办法》、《信息披露办法》、《流动性风险管理规定》、《基金合同》及其他有关规定。相关法律法规关于信息披露的规定发生变化时，本基金从其最新规定。</w:t>
      </w:r>
    </w:p>
    <w:p w14:paraId="0D3E588E"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信息披露义务人</w:t>
      </w:r>
    </w:p>
    <w:p w14:paraId="2BD7E6ED"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本基金信息披露义务人包括基金管理人、基金托管人、召集基金份额持有人大会的基金份额持有人等法律法规和中国证监会规定的自然人、法人和非法人组织。</w:t>
      </w:r>
    </w:p>
    <w:p w14:paraId="14C2D370"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本基金信息披露义务人以保护基金份额持有人利益为根本出发点，按照法律法规和中国证监会的规定披露基金信息，并保证所披露信息的真实性、准确性、完整性、及时性、简明性和易得性。</w:t>
      </w:r>
    </w:p>
    <w:p w14:paraId="11363227"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本基金信息披露义务人应当在中国证监会规定时间内，将应予披露的基金信息通过符合中国证监会规定条件的全国性报刊（以下简称“规定报刊”）和《信息披露办法》规定的互联网网站（以下简称“规定网站”）等规定媒介披露，并保证基金投资者能够按照《基金合同》约定的时间和方式查阅或者复制公开披露的信息资料。</w:t>
      </w:r>
    </w:p>
    <w:p w14:paraId="672EBA10"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本基金信息披露义务人承诺公开披露的基金信息，不得有下列行为：</w:t>
      </w:r>
    </w:p>
    <w:p w14:paraId="06A4E4FD"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虚假记载、误导性陈述或者重大遗漏；</w:t>
      </w:r>
    </w:p>
    <w:p w14:paraId="7EF163F8"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对证券投资业绩进行预测；</w:t>
      </w:r>
    </w:p>
    <w:p w14:paraId="0D952BCA"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违规承诺收益或者承担损失；</w:t>
      </w:r>
    </w:p>
    <w:p w14:paraId="2EBDA040"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诋毁其他基金管理人、基金托管人或者基金销售机构；</w:t>
      </w:r>
    </w:p>
    <w:p w14:paraId="3BB9961C"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登载任何自然人、法人和非法人组织的祝贺性、恭维性或推荐性的文字；</w:t>
      </w:r>
    </w:p>
    <w:p w14:paraId="59C0885C"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中国证监会禁止的其他行为。</w:t>
      </w:r>
    </w:p>
    <w:p w14:paraId="4A3C299B"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本基金公开披露的信息应采用中文文本。如同时采用外文文本的，基金信息披露义务人应保证不同文本的内容一致。不同文本之间发生歧义的，以中文文本为准。</w:t>
      </w:r>
    </w:p>
    <w:p w14:paraId="011506A4"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本基金公开披露的信息采用阿拉伯数字；除特别说明外，货币单位为人民币</w:t>
      </w:r>
      <w:r>
        <w:rPr>
          <w:rFonts w:ascii="宋体" w:hAnsi="宋体" w:cs="宋体"/>
          <w:kern w:val="0"/>
          <w:sz w:val="24"/>
          <w:szCs w:val="24"/>
        </w:rPr>
        <w:lastRenderedPageBreak/>
        <w:t>元。</w:t>
      </w:r>
    </w:p>
    <w:p w14:paraId="1EAC6133"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公开披露的基金信息</w:t>
      </w:r>
    </w:p>
    <w:p w14:paraId="5619AE07"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公开披露的基金信息包括：</w:t>
      </w:r>
    </w:p>
    <w:p w14:paraId="32363958"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基金招募说明书、《基金合同》、基金托管协议、基金产品资料概要</w:t>
      </w:r>
    </w:p>
    <w:p w14:paraId="6542AB40"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《基金合同》是界定《基金合同》当事人的各项权利、义务关系，明确基金份额持有人大会召开的规则及具体程序，说明基金产品的特性等涉及基金投资者重大利益的事项的法律文件。</w:t>
      </w:r>
    </w:p>
    <w:p w14:paraId="49B09EA0"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基金招募说明书应当最大限度地披露影响基金投资者决策的全部事项，说明基金</w:t>
      </w:r>
      <w:r>
        <w:rPr>
          <w:rStyle w:val="custom"/>
          <w:rFonts w:ascii="宋体" w:hAnsi="宋体" w:cs="宋体"/>
          <w:kern w:val="0"/>
          <w:sz w:val="24"/>
          <w:szCs w:val="24"/>
        </w:rPr>
        <w:t>认购、</w:t>
      </w:r>
      <w:r>
        <w:rPr>
          <w:rFonts w:ascii="宋体" w:hAnsi="宋体" w:cs="宋体"/>
          <w:kern w:val="0"/>
          <w:sz w:val="24"/>
          <w:szCs w:val="24"/>
        </w:rPr>
        <w:t>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17C23AF1"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基金托管协议是界定基金托管人和基金管理人在基金财产保管及基金运作监督等活动中的权利、义务关系的法律文件。</w:t>
      </w:r>
    </w:p>
    <w:p w14:paraId="115BE8B9" w14:textId="77777777" w:rsidR="00D20988" w:rsidRDefault="003D167A">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4、</w:t>
      </w:r>
      <w:r>
        <w:rPr>
          <w:rFonts w:ascii="宋体" w:hAnsi="宋体" w:cs="宋体"/>
          <w:kern w:val="0"/>
          <w:sz w:val="24"/>
          <w:szCs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0DFBCB64"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基金募集申请经中国证监会注册后，基金管理人在基金份额发售的3日前，将基金份额发售公告、基金招募说明书提示性公告、《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0FB66810" w14:textId="77777777" w:rsidR="00D20988" w:rsidRDefault="003D167A">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（二）</w:t>
      </w:r>
      <w:r>
        <w:rPr>
          <w:rStyle w:val="custom"/>
          <w:rFonts w:ascii="宋体" w:hAnsi="宋体" w:cs="宋体"/>
          <w:kern w:val="0"/>
          <w:sz w:val="24"/>
          <w:szCs w:val="24"/>
        </w:rPr>
        <w:t>基金份额发售公告</w:t>
      </w:r>
    </w:p>
    <w:p w14:paraId="63C2F225"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lastRenderedPageBreak/>
        <w:t>基金管理人应当就基金份额发售的具体事宜编制基金份额发售公告，并在披露招募说明书的当日登载于规定媒介上。</w:t>
      </w:r>
    </w:p>
    <w:p w14:paraId="48D06875" w14:textId="77777777" w:rsidR="00D20988" w:rsidRDefault="003D167A">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（三）</w:t>
      </w:r>
      <w:r>
        <w:rPr>
          <w:rStyle w:val="custom"/>
          <w:rFonts w:ascii="宋体" w:hAnsi="宋体" w:cs="宋体"/>
          <w:kern w:val="0"/>
          <w:sz w:val="24"/>
          <w:szCs w:val="24"/>
        </w:rPr>
        <w:t>《基金合同》生效公告</w:t>
      </w:r>
    </w:p>
    <w:p w14:paraId="7E44235F"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基金管理人应当在收到中国证监会确认文件的次日在规定媒介上登载《基金合同》生效公告。</w:t>
      </w:r>
    </w:p>
    <w:p w14:paraId="170DEFAC"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基金净值信息</w:t>
      </w:r>
    </w:p>
    <w:p w14:paraId="0CB04C37"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基金合同》生效后，在开始办理基金份额申购或者赎回前，基金管理人应当至少每周在规定网站披露一次各类基金份额净值和基金份额累计净值。在开始办理基金份额申购或者赎回后，基金管理人应当在不晚于每个开放日的次日，通过规定网站、基金销售机构网站或者营业网点，披露开放日的各类基金份额净值和基金份额累计净值。</w:t>
      </w:r>
    </w:p>
    <w:p w14:paraId="62688C55"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基金管理人应当在不晚于半年度和年度最后一日的次日，在规定网站披露半年度和年度最后一日的各类基金份额净值和基金份额累计净值。</w:t>
      </w:r>
    </w:p>
    <w:p w14:paraId="5FDC751D"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基金份额申购、赎回价格</w:t>
      </w:r>
    </w:p>
    <w:p w14:paraId="2785CA61"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52B1B3D8"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基金定期报告，包括基金年度报告、基金中期报告和基金季度报告</w:t>
      </w:r>
    </w:p>
    <w:p w14:paraId="064D3FB0"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14:paraId="5C90EAB9"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基金管理人应当在上半年结束之日起两个月内，编制完成基金中期报告，将中期报告登载在规定网站上，并将中期报告提示性公告登载在规定报刊上。</w:t>
      </w:r>
    </w:p>
    <w:p w14:paraId="3E89A65B"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基金管理人应当在季度结束之日起15个工作日内，编制完成基金季度报告，将季度报告登载在规定网站上，并将季度报告提示性公告登载在规定报刊上。</w:t>
      </w:r>
    </w:p>
    <w:p w14:paraId="41BFC128"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《基金合同》生效不足2个月的，基金管理人可以不编制当期季度报告、中期报告或者年度报告。</w:t>
      </w:r>
    </w:p>
    <w:p w14:paraId="7461FC09"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如报告期内出现单一投资者持有基金份额达到或超过基金总份额20%的情形，</w:t>
      </w:r>
      <w:r>
        <w:rPr>
          <w:rFonts w:ascii="宋体" w:hAnsi="宋体" w:cs="宋体"/>
          <w:kern w:val="0"/>
          <w:sz w:val="24"/>
          <w:szCs w:val="24"/>
        </w:rPr>
        <w:lastRenderedPageBreak/>
        <w:t>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6E0EE3AC"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基金管理人应当在基金年度报告和中期报告中披露基金组合资产情况及其流动性风险分析等。</w:t>
      </w:r>
    </w:p>
    <w:p w14:paraId="4C4127CF"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临时报告</w:t>
      </w:r>
    </w:p>
    <w:p w14:paraId="7AA10072"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本基金发生重大事件，有关信息披露义务人应当在2日内编制临时报告书，并登载在规定报刊和规定网站上。</w:t>
      </w:r>
    </w:p>
    <w:p w14:paraId="0D9B03DD"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前款所称重大事件，是指可能对基金份额持有人权益或者基金份额的价格产生重大影响的下列事件：</w:t>
      </w:r>
    </w:p>
    <w:p w14:paraId="0EEFDEE0"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基金份额持有人大会的召开及决定的事项；</w:t>
      </w:r>
    </w:p>
    <w:p w14:paraId="2345E396"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《基金合同》终止、基金清算；</w:t>
      </w:r>
    </w:p>
    <w:p w14:paraId="4B38AB69"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转换基金运作方式、基金合并；</w:t>
      </w:r>
    </w:p>
    <w:p w14:paraId="5814C4A4"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更换基金管理人、基金托管人、基金份额登记机构，基金改聘会计师事务所；</w:t>
      </w:r>
    </w:p>
    <w:p w14:paraId="2FC8BE31"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基金管理人委托基金服务机构代为办理基金的份额登记、核算、估值等事项，基金托管人委托基金服务机构代为办理基金的核算、估值、复核等事项；</w:t>
      </w:r>
    </w:p>
    <w:p w14:paraId="433525E2"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基金管理人、基金托管人的法定名称、住所发生变更；</w:t>
      </w:r>
    </w:p>
    <w:p w14:paraId="68FB1EE6"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基金管理人变更持有百分之五以上股权的股东、基金管理人的实际控制人变更；</w:t>
      </w:r>
    </w:p>
    <w:p w14:paraId="04DD488E" w14:textId="77777777" w:rsidR="00D20988" w:rsidRDefault="003D167A">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8、</w:t>
      </w:r>
      <w:r>
        <w:rPr>
          <w:rStyle w:val="custom"/>
          <w:rFonts w:ascii="宋体" w:hAnsi="宋体" w:cs="宋体"/>
          <w:kern w:val="0"/>
          <w:sz w:val="24"/>
          <w:szCs w:val="24"/>
        </w:rPr>
        <w:t>基金募集期延长或提前结束募集；</w:t>
      </w:r>
    </w:p>
    <w:p w14:paraId="383531C0"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基金管理人的高级管理人员、基金经理和基金托管人专门基金托管部门负责人发生变动；</w:t>
      </w:r>
    </w:p>
    <w:p w14:paraId="6BC25522"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基金管理人的董事在最近12个月内变更超过百分之五十，基金管理人、基金托管人专门基金托管部门的主要业务人员在最近12个月内变动超过百分之三十；</w:t>
      </w:r>
    </w:p>
    <w:p w14:paraId="1948F702"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涉及基金财产、基金管理业务、基金托管业务的诉讼或仲裁；</w:t>
      </w:r>
    </w:p>
    <w:p w14:paraId="1F38D2BB"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12、</w:t>
      </w:r>
      <w:r>
        <w:rPr>
          <w:rFonts w:ascii="宋体" w:hAnsi="宋体" w:cs="宋体"/>
          <w:kern w:val="0"/>
          <w:sz w:val="24"/>
          <w:szCs w:val="24"/>
        </w:rPr>
        <w:t>基金管理人或其高级管理人员、基金经理因基金管理业务相关行为受</w:t>
      </w:r>
      <w:r>
        <w:rPr>
          <w:rFonts w:ascii="宋体" w:hAnsi="宋体" w:cs="宋体"/>
          <w:kern w:val="0"/>
          <w:sz w:val="24"/>
          <w:szCs w:val="24"/>
        </w:rPr>
        <w:lastRenderedPageBreak/>
        <w:t>到重大行政处罚、刑事处罚，基金托管人或其专门基金托管部门负责人因基金托管业务相关行为受到重大行政处罚、刑事处罚；</w:t>
      </w:r>
    </w:p>
    <w:p w14:paraId="61F922F4"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13、</w:t>
      </w:r>
      <w:r>
        <w:rPr>
          <w:rFonts w:ascii="宋体" w:hAnsi="宋体" w:cs="宋体"/>
          <w:kern w:val="0"/>
          <w:sz w:val="24"/>
          <w:szCs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2DBECE5F"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基金收益分配事项；</w:t>
      </w:r>
    </w:p>
    <w:p w14:paraId="0BFFE34A"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15、管理费、托管费、销售服务费、申购费和赎回费等费用计提标准、计提方式和费率发生变更；</w:t>
      </w:r>
    </w:p>
    <w:p w14:paraId="72BF3A03"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16、某类基金份额净值估值错误达该类基金份额净值百分之零点五；</w:t>
      </w:r>
    </w:p>
    <w:p w14:paraId="2D2184C5"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17、本基金开始办理申购、赎回；</w:t>
      </w:r>
    </w:p>
    <w:p w14:paraId="79EF40D2"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18、本基金发生巨额赎回并延期办理；</w:t>
      </w:r>
    </w:p>
    <w:p w14:paraId="6A96AE86"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19、本基金连续发生巨额赎回并暂停接受赎回申请或延缓支付赎回款项；</w:t>
      </w:r>
    </w:p>
    <w:p w14:paraId="31B23CCC"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20、</w:t>
      </w:r>
      <w:r>
        <w:rPr>
          <w:rFonts w:ascii="宋体" w:hAnsi="宋体" w:cs="宋体"/>
          <w:kern w:val="0"/>
          <w:sz w:val="24"/>
          <w:szCs w:val="24"/>
        </w:rPr>
        <w:t>本基金暂停接受申购、赎回申请或者重新接受申购、赎回申请；</w:t>
      </w:r>
    </w:p>
    <w:p w14:paraId="1DD32A17"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21、本基金变更标的指数；</w:t>
      </w:r>
    </w:p>
    <w:p w14:paraId="49026EE0"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22、</w:t>
      </w:r>
      <w:r>
        <w:rPr>
          <w:rFonts w:ascii="宋体" w:hAnsi="宋体" w:cs="宋体"/>
          <w:kern w:val="0"/>
          <w:sz w:val="24"/>
          <w:szCs w:val="24"/>
        </w:rPr>
        <w:t>调整基金份额类别的设置；</w:t>
      </w:r>
    </w:p>
    <w:p w14:paraId="7D645BE4"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23、</w:t>
      </w:r>
      <w:r>
        <w:rPr>
          <w:rFonts w:ascii="宋体" w:hAnsi="宋体" w:cs="宋体"/>
          <w:kern w:val="0"/>
          <w:sz w:val="24"/>
          <w:szCs w:val="24"/>
        </w:rPr>
        <w:t>本基金推出新业务或服务；</w:t>
      </w:r>
    </w:p>
    <w:p w14:paraId="0E2635D6"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24、</w:t>
      </w:r>
      <w:r>
        <w:rPr>
          <w:rFonts w:ascii="宋体" w:hAnsi="宋体" w:cs="宋体"/>
          <w:kern w:val="0"/>
          <w:sz w:val="24"/>
          <w:szCs w:val="24"/>
        </w:rPr>
        <w:t>发生涉及基金申购、赎回事项调整或潜在影响投资者赎回等重大事项时；</w:t>
      </w:r>
    </w:p>
    <w:p w14:paraId="6AEC1DE5"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25、</w:t>
      </w:r>
      <w:r>
        <w:rPr>
          <w:rFonts w:ascii="宋体" w:hAnsi="宋体" w:cs="宋体"/>
          <w:kern w:val="0"/>
          <w:sz w:val="24"/>
          <w:szCs w:val="24"/>
        </w:rPr>
        <w:t>基金管理人采用摆动定价机制进行估值；</w:t>
      </w:r>
    </w:p>
    <w:p w14:paraId="7F43BB25"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26、</w:t>
      </w:r>
      <w:r>
        <w:rPr>
          <w:rFonts w:ascii="宋体" w:hAnsi="宋体" w:cs="宋体"/>
          <w:kern w:val="0"/>
          <w:sz w:val="24"/>
          <w:szCs w:val="24"/>
        </w:rPr>
        <w:t>基金信息披露义务人认为可能对基金份额持有人权益或者基金份额的价格产生重大影响的其他事项或中国证监会规定的其他事项。</w:t>
      </w:r>
    </w:p>
    <w:p w14:paraId="646F7C71"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澄清公告</w:t>
      </w:r>
    </w:p>
    <w:p w14:paraId="2405DA96"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0F9F76AD"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（九）</w:t>
      </w:r>
      <w:r>
        <w:rPr>
          <w:rFonts w:ascii="宋体" w:hAnsi="宋体" w:cs="宋体"/>
          <w:kern w:val="0"/>
          <w:sz w:val="24"/>
          <w:szCs w:val="24"/>
        </w:rPr>
        <w:t>清算报告</w:t>
      </w:r>
    </w:p>
    <w:p w14:paraId="73987794"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基金合同终止情形发生时，基金管理人应当依法组织基金财产清算小组对基金财产进行清算并作出清算报告。基金财产清算小组应当将清算报告登载在规定网站上，并将清算报告提示性公告登载在规定报刊上。</w:t>
      </w:r>
    </w:p>
    <w:p w14:paraId="3B305377"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（十）</w:t>
      </w:r>
      <w:r>
        <w:rPr>
          <w:rFonts w:ascii="宋体" w:hAnsi="宋体" w:cs="宋体"/>
          <w:kern w:val="0"/>
          <w:sz w:val="24"/>
          <w:szCs w:val="24"/>
        </w:rPr>
        <w:t>基金份额持有人大会决议</w:t>
      </w:r>
    </w:p>
    <w:p w14:paraId="47FEC8E2"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基金份额持有人大会决定的事项，应当依法报中国证监会备案，并予以公告。</w:t>
      </w:r>
    </w:p>
    <w:p w14:paraId="146D58FA"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（十一）投资股指期货的信息披露</w:t>
      </w:r>
    </w:p>
    <w:p w14:paraId="41FB1E40"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管理人在季度报告、中期报告、年度报告等定期报告和招募说明书(更新)等文件中披露股指期货交易情况，包括交易政策、持仓情况、损益情况、风险指标等，并充分揭示股指期货交易对基金总体风险的影响以及是否符合既定的交易政策和交易目标等。</w:t>
      </w:r>
    </w:p>
    <w:p w14:paraId="59C45643"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（十二）投资国债期货的信息披露</w:t>
      </w:r>
    </w:p>
    <w:p w14:paraId="5C2E4073"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管理人应在季度报告、中期报告、年度报告等定期报告和招募说明书（更新）等文件中披露国债期货交易情况，包括交易政策、持仓情况、损益情况、风险指标等，并充分揭示国债期货交易对基金总体风险的影响以及是否符合既定的交易政策和交易目标等。</w:t>
      </w:r>
    </w:p>
    <w:p w14:paraId="756B5C22"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（十三）投资股票期权的信息披露</w:t>
      </w:r>
    </w:p>
    <w:p w14:paraId="32BA74D2"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管理人应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3620687E"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（十四）投资资产支持证券的信息披露</w:t>
      </w:r>
    </w:p>
    <w:p w14:paraId="14557933"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投资资产支持证券，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2E1761AF"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（十五）参与融资业务的信息披露</w:t>
      </w:r>
    </w:p>
    <w:p w14:paraId="520B4D57"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基金管理人应在季度报告、中期报告、年度报告等定期报告和招募说明书（更新）等文件中披露参与融资交易的情况，包括投资策略、业务开展情况、损益情况、风险及管理情况。</w:t>
      </w:r>
    </w:p>
    <w:p w14:paraId="16A2E97C"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（十六）参与转融通证券出借业务的信息披露</w:t>
      </w:r>
    </w:p>
    <w:p w14:paraId="02E3FC96"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基金管理人应在季度报告、中期报告、年度报告等定期报告和招募说明书（更新）等文件中披露参与转融通证券出借业务交易的情况，包括投资策略、业务开</w:t>
      </w:r>
      <w:r>
        <w:rPr>
          <w:rStyle w:val="custom"/>
          <w:rFonts w:ascii="宋体" w:hAnsi="宋体" w:cs="宋体"/>
          <w:kern w:val="0"/>
          <w:sz w:val="24"/>
          <w:szCs w:val="24"/>
        </w:rPr>
        <w:lastRenderedPageBreak/>
        <w:t>展情况、损益情况、风险及管理情况，并就报告期内本基金参与转融通证券出借业务发生的重大关联交易事项做详细说明。</w:t>
      </w:r>
    </w:p>
    <w:p w14:paraId="7F5DC55A"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（十七）投资港股通标的股票的信息披露</w:t>
      </w:r>
    </w:p>
    <w:p w14:paraId="4B691D1C"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基金管理人应在季度报告、中期报告、年度报告等定期报告和招募说明书（更新）等文件中披露港股通交易的相关情况。</w:t>
      </w:r>
    </w:p>
    <w:p w14:paraId="1A8E9F0E"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（十八）</w:t>
      </w:r>
      <w:r>
        <w:rPr>
          <w:rFonts w:ascii="宋体" w:hAnsi="宋体" w:cs="宋体"/>
          <w:kern w:val="0"/>
          <w:sz w:val="24"/>
          <w:szCs w:val="24"/>
        </w:rPr>
        <w:t>实施侧袋机制期间的信息披露</w:t>
      </w:r>
    </w:p>
    <w:p w14:paraId="6C78946E"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本基金实施侧袋机制的，相关信息披露义务人应当根据法律法规、基金合同和招募说明书的规定进行信息披露，详见招募说明书的规定。</w:t>
      </w:r>
    </w:p>
    <w:p w14:paraId="68E33093"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（十九）</w:t>
      </w:r>
      <w:r>
        <w:rPr>
          <w:rFonts w:ascii="宋体" w:hAnsi="宋体" w:cs="宋体"/>
          <w:kern w:val="0"/>
          <w:sz w:val="24"/>
          <w:szCs w:val="24"/>
        </w:rPr>
        <w:t>中国证监会规定的其他信息。</w:t>
      </w:r>
    </w:p>
    <w:p w14:paraId="6ECB77E7"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暂停或延迟信息披露的情形</w:t>
      </w:r>
    </w:p>
    <w:p w14:paraId="0EC3C677"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1、基金投资所涉及的证券/期货交易所遇法定节假日或因其他原因暂停营业时；</w:t>
      </w:r>
    </w:p>
    <w:p w14:paraId="07A18C4A"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因不可抗力或其他情形致使基金管理人、基金托管人无法准确评估基金资产价值时；</w:t>
      </w:r>
    </w:p>
    <w:p w14:paraId="5B8FAA2E"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法律法规规定、中国证监会或《基金合同》认定的其他情形。</w:t>
      </w:r>
    </w:p>
    <w:p w14:paraId="31808280"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信息披露事务管理</w:t>
      </w:r>
    </w:p>
    <w:p w14:paraId="2A1B2F89"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基金管理人、基金托管人应当建立健全信息披露管理制度，指定专门部门及高级管理人员负责管理信息披露事务。</w:t>
      </w:r>
    </w:p>
    <w:p w14:paraId="6FFB55BC"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基金信息披露义务人公开披露基金信息，应当符合中国证监会相关基金信息披露内容与格式准则等法规的规定。</w:t>
      </w:r>
    </w:p>
    <w:p w14:paraId="18150BA1"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基金托管人应当按照相关法律法规、中国证监会的规定和《基金合同》的约定，对基金管理人编制的基金资产净值、各类基金份额净值、基金份额申购赎回价格、基金定期报告、更新的招募说明书、更新的基金产品资料概要、基金清算报告等公开披露的相关基金信息进行复核、审查，并向基金管理人进行书面或电子确认。</w:t>
      </w:r>
    </w:p>
    <w:p w14:paraId="7A6BDC8D"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16F90EDA"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基金管理人、基金托管人除依法在规定媒介上披露信息外，还可以根据需要</w:t>
      </w:r>
      <w:r>
        <w:rPr>
          <w:rStyle w:val="custom"/>
          <w:rFonts w:ascii="宋体" w:hAnsi="宋体" w:cs="宋体"/>
          <w:kern w:val="0"/>
          <w:sz w:val="24"/>
          <w:szCs w:val="24"/>
        </w:rPr>
        <w:lastRenderedPageBreak/>
        <w:t>在其他公共媒介披露信息，但是其他公共媒介不得早于规定媒介披露信息，并且在不同媒介上披露同一信息的内容应当一致。</w:t>
      </w:r>
    </w:p>
    <w:p w14:paraId="6BBB7DF6"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12DC2C1F"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为基金信息披露义务人公开披露的基金信息出具审计报告、法律意见书的专业机构，应当制作工作底稿，并将相关档案至少保存到《基金合同》终止后10年。</w:t>
      </w:r>
    </w:p>
    <w:p w14:paraId="23956E84"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信息披露文件的存放与查阅</w:t>
      </w:r>
    </w:p>
    <w:p w14:paraId="36BD7BD8" w14:textId="77777777" w:rsidR="00D20988" w:rsidRDefault="003D167A">
      <w:pPr>
        <w:pStyle w:val="div"/>
        <w:spacing w:line="360" w:lineRule="auto"/>
        <w:ind w:firstLine="420"/>
        <w:rPr>
          <w:rFonts w:eastAsia="Times New Roman"/>
          <w:kern w:val="0"/>
          <w:sz w:val="24"/>
          <w:szCs w:val="24"/>
        </w:rPr>
      </w:pPr>
      <w:r>
        <w:rPr>
          <w:rStyle w:val="custom"/>
          <w:rFonts w:ascii="宋体" w:hAnsi="宋体" w:cs="宋体"/>
          <w:kern w:val="0"/>
          <w:sz w:val="24"/>
          <w:szCs w:val="24"/>
        </w:rPr>
        <w:t>依法必须披露的信息发布后，基金管理人、基金托管人应当按照相关法律法规规定将信息置备于各自住所，供社会公众查阅、复制。</w:t>
      </w:r>
      <w:r>
        <w:rPr>
          <w:rStyle w:val="custom"/>
          <w:rFonts w:ascii="宋体" w:hAnsi="宋体" w:cs="宋体"/>
          <w:kern w:val="0"/>
          <w:sz w:val="24"/>
          <w:szCs w:val="24"/>
        </w:rPr>
        <w:br w:type="page"/>
      </w:r>
    </w:p>
    <w:p w14:paraId="1E44E8A9" w14:textId="77777777" w:rsidR="009D63C8" w:rsidRDefault="003D167A" w:rsidP="009E26D0">
      <w:pPr>
        <w:pStyle w:val="1"/>
        <w:spacing w:before="0" w:after="0"/>
        <w:jc w:val="center"/>
        <w:rPr>
          <w:rFonts w:ascii="Times New Roman"/>
          <w:color w:val="auto"/>
          <w:sz w:val="30"/>
        </w:rPr>
      </w:pPr>
      <w:bookmarkStart w:id="64" w:name="_Toc256000018"/>
      <w:r w:rsidRPr="009E26D0">
        <w:rPr>
          <w:rFonts w:ascii="Times New Roman"/>
          <w:noProof/>
          <w:color w:val="auto"/>
          <w:sz w:val="30"/>
        </w:rPr>
        <w:lastRenderedPageBreak/>
        <w:t>第十九部分</w:t>
      </w:r>
      <w:r w:rsidRPr="009E26D0">
        <w:rPr>
          <w:rFonts w:ascii="Times New Roman"/>
          <w:noProof/>
          <w:color w:val="auto"/>
          <w:sz w:val="30"/>
        </w:rPr>
        <w:t xml:space="preserve">  </w:t>
      </w:r>
      <w:r w:rsidRPr="009E26D0">
        <w:rPr>
          <w:rFonts w:ascii="Times New Roman"/>
          <w:noProof/>
          <w:color w:val="auto"/>
          <w:sz w:val="30"/>
        </w:rPr>
        <w:t>基金合同的变更、终止与基金财产的清算</w:t>
      </w:r>
      <w:bookmarkEnd w:id="64"/>
    </w:p>
    <w:p w14:paraId="549E510B" w14:textId="77777777" w:rsidR="007A2B34" w:rsidRPr="0017353E" w:rsidRDefault="007A2B34" w:rsidP="0090469D"/>
    <w:p w14:paraId="5897EEEF"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《基金合同》的变更</w:t>
      </w:r>
    </w:p>
    <w:p w14:paraId="57B61BCB"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005513D7"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关于《基金合同》变更的基金份额持有人大会决议自生效后方可执行，自决议生效后两日内在规定媒介公告。</w:t>
      </w:r>
    </w:p>
    <w:p w14:paraId="5AE6D175"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《基金合同》的终止事由</w:t>
      </w:r>
    </w:p>
    <w:p w14:paraId="63FE51BD"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有下列情形之一的，经履行相关程序后，《基金合同》应当终止：</w:t>
      </w:r>
    </w:p>
    <w:p w14:paraId="2E92BEE4"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基金份额持有人大会决定终止的；</w:t>
      </w:r>
    </w:p>
    <w:p w14:paraId="4EB1F4A3"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基金管理人、基金托管人职责终止，在6个月内没有新基金管理人、新基金托管人承接的；</w:t>
      </w:r>
    </w:p>
    <w:p w14:paraId="1C02F9D1" w14:textId="77777777" w:rsidR="00D20988" w:rsidRDefault="003D167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39369048"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《基金合同》约定的其他情形；</w:t>
      </w:r>
    </w:p>
    <w:p w14:paraId="7D49ED53"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相关法律法规和中国证监会规定的其他情况。</w:t>
      </w:r>
    </w:p>
    <w:p w14:paraId="18227AD2"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基金财产的清算</w:t>
      </w:r>
    </w:p>
    <w:p w14:paraId="7DCE92E4"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基金财产清算小组：自出现《基金合同》终止事由之日起30个工作日内成立清算小组，基金管理人组织基金财产清算小组并在中国证监会的监督下进行基金清算。</w:t>
      </w:r>
    </w:p>
    <w:p w14:paraId="78E63567"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329BA4EF"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基金财产清算小组职责：基金财产清算小组负责基金财产的保管、清理、估价、变现和分配。基金财产清算小组可以依法进行必要的民事活动。</w:t>
      </w:r>
    </w:p>
    <w:p w14:paraId="181329B0"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4、</w:t>
      </w:r>
      <w:r>
        <w:rPr>
          <w:rFonts w:ascii="宋体" w:hAnsi="宋体" w:cs="宋体"/>
          <w:kern w:val="0"/>
          <w:sz w:val="24"/>
          <w:szCs w:val="24"/>
        </w:rPr>
        <w:t>基金财产清算程序：</w:t>
      </w:r>
    </w:p>
    <w:p w14:paraId="3232F5A4"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《基金合同》终止情形出现时，由基金财产清算小组统一接管基金；</w:t>
      </w:r>
    </w:p>
    <w:p w14:paraId="680670F6"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对基金财产和债权债务进行清理和确认；</w:t>
      </w:r>
    </w:p>
    <w:p w14:paraId="5A288C25"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对基金财产进行估值和变现；</w:t>
      </w:r>
    </w:p>
    <w:p w14:paraId="60954E2B"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制作清算报告；</w:t>
      </w:r>
    </w:p>
    <w:p w14:paraId="5AE4A295"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聘请符合《中华人民共和国证券法》规定的会计师事务所对清算报告进行外部审计，聘请律师事务所对清算报告出具法律意见书；</w:t>
      </w:r>
    </w:p>
    <w:p w14:paraId="103E1B9A"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将清算报告报中国证监会备案并公告；</w:t>
      </w:r>
    </w:p>
    <w:p w14:paraId="39B5A4E2"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对基金剩余财产进行分配。</w:t>
      </w:r>
    </w:p>
    <w:p w14:paraId="088345F3"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基金财产清算的期限为6个月，但因本基金所持证券的流动性受到限制而不能及时变现的，清算期限相应顺延。</w:t>
      </w:r>
    </w:p>
    <w:p w14:paraId="2F1F3892"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清算费用</w:t>
      </w:r>
    </w:p>
    <w:p w14:paraId="5BCA02D8"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清算费用是指基金财产清算小组在进行基金财产清算过程中发生的所有合理费用，清算费用由基金财产清算小组优先从基金剩余财产中支付。</w:t>
      </w:r>
    </w:p>
    <w:p w14:paraId="6FDBEF15"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基金财产清算剩余资产的分配</w:t>
      </w:r>
    </w:p>
    <w:p w14:paraId="636FF7EE"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依据基金财产清算的分配方案，将基金财产清算后的全部剩余资产扣除基金财产清算费用、交纳所欠税款并清偿基金债务后，按基金份额持有人持有的基金份额比例进行分配。</w:t>
      </w:r>
    </w:p>
    <w:p w14:paraId="598756AD" w14:textId="77777777" w:rsidR="00DA152C" w:rsidRDefault="00DA152C" w:rsidP="00DA152C">
      <w:pPr>
        <w:pStyle w:val="div"/>
        <w:spacing w:line="360" w:lineRule="auto"/>
        <w:ind w:firstLine="420"/>
        <w:rPr>
          <w:rFonts w:eastAsia="Times New Roman"/>
          <w:kern w:val="0"/>
          <w:sz w:val="24"/>
          <w:szCs w:val="24"/>
        </w:rPr>
      </w:pPr>
      <w:r w:rsidRPr="00767C2D">
        <w:rPr>
          <w:rFonts w:eastAsiaTheme="minorEastAsia" w:hint="eastAsia"/>
          <w:kern w:val="0"/>
          <w:sz w:val="24"/>
          <w:szCs w:val="24"/>
        </w:rPr>
        <w:t>其中，对于投资者通过直销机构认购</w:t>
      </w:r>
      <w:r w:rsidRPr="00767C2D">
        <w:rPr>
          <w:rFonts w:eastAsiaTheme="minorEastAsia" w:hint="eastAsia"/>
          <w:kern w:val="0"/>
          <w:sz w:val="24"/>
          <w:szCs w:val="24"/>
        </w:rPr>
        <w:t>/</w:t>
      </w:r>
      <w:r w:rsidRPr="00767C2D">
        <w:rPr>
          <w:rFonts w:eastAsiaTheme="minorEastAsia" w:hint="eastAsia"/>
          <w:kern w:val="0"/>
          <w:sz w:val="24"/>
          <w:szCs w:val="24"/>
        </w:rPr>
        <w:t>申购的</w:t>
      </w:r>
      <w:bookmarkStart w:id="65" w:name="_Hlk218688952"/>
      <w:r>
        <w:rPr>
          <w:rFonts w:hint="eastAsia"/>
          <w:bCs/>
          <w:sz w:val="24"/>
          <w:lang w:bidi="en-US"/>
        </w:rPr>
        <w:t>C</w:t>
      </w:r>
      <w:r>
        <w:rPr>
          <w:rFonts w:hint="eastAsia"/>
          <w:bCs/>
          <w:sz w:val="24"/>
          <w:lang w:bidi="en-US"/>
        </w:rPr>
        <w:t>类基金份额所计提的销售服务费</w:t>
      </w:r>
      <w:bookmarkEnd w:id="65"/>
      <w:r w:rsidRPr="00767C2D">
        <w:rPr>
          <w:rFonts w:eastAsiaTheme="minorEastAsia" w:hint="eastAsia"/>
          <w:kern w:val="0"/>
          <w:sz w:val="24"/>
          <w:szCs w:val="24"/>
        </w:rPr>
        <w:t>或者通过其他销售机构认购</w:t>
      </w:r>
      <w:r w:rsidRPr="00767C2D">
        <w:rPr>
          <w:rFonts w:eastAsiaTheme="minorEastAsia" w:hint="eastAsia"/>
          <w:kern w:val="0"/>
          <w:sz w:val="24"/>
          <w:szCs w:val="24"/>
        </w:rPr>
        <w:t>/</w:t>
      </w:r>
      <w:r w:rsidRPr="00767C2D">
        <w:rPr>
          <w:rFonts w:eastAsiaTheme="minorEastAsia" w:hint="eastAsia"/>
          <w:kern w:val="0"/>
          <w:sz w:val="24"/>
          <w:szCs w:val="24"/>
        </w:rPr>
        <w:t>申购且持续持有期限超过一年</w:t>
      </w:r>
      <w:bookmarkStart w:id="66" w:name="_Hlk218688957"/>
      <w:r>
        <w:rPr>
          <w:rFonts w:hint="eastAsia"/>
          <w:bCs/>
          <w:sz w:val="24"/>
          <w:lang w:bidi="en-US"/>
        </w:rPr>
        <w:t>（即</w:t>
      </w:r>
      <w:r>
        <w:rPr>
          <w:rFonts w:hint="eastAsia"/>
          <w:bCs/>
          <w:sz w:val="24"/>
          <w:lang w:bidi="en-US"/>
        </w:rPr>
        <w:t>3</w:t>
      </w:r>
      <w:r>
        <w:rPr>
          <w:bCs/>
          <w:sz w:val="24"/>
          <w:lang w:bidi="en-US"/>
        </w:rPr>
        <w:t>65</w:t>
      </w:r>
      <w:r>
        <w:rPr>
          <w:rFonts w:hint="eastAsia"/>
          <w:bCs/>
          <w:sz w:val="24"/>
          <w:lang w:bidi="en-US"/>
        </w:rPr>
        <w:t>天）以后继续计提</w:t>
      </w:r>
      <w:bookmarkEnd w:id="66"/>
      <w:r w:rsidRPr="00767C2D">
        <w:rPr>
          <w:rFonts w:eastAsiaTheme="minorEastAsia" w:hint="eastAsia"/>
          <w:kern w:val="0"/>
          <w:sz w:val="24"/>
          <w:szCs w:val="24"/>
        </w:rPr>
        <w:t>的</w:t>
      </w:r>
      <w:r w:rsidRPr="00767C2D">
        <w:rPr>
          <w:rFonts w:eastAsiaTheme="minorEastAsia" w:hint="eastAsia"/>
          <w:kern w:val="0"/>
          <w:sz w:val="24"/>
          <w:szCs w:val="24"/>
        </w:rPr>
        <w:t>C</w:t>
      </w:r>
      <w:r w:rsidRPr="00767C2D">
        <w:rPr>
          <w:rFonts w:eastAsiaTheme="minorEastAsia" w:hint="eastAsia"/>
          <w:kern w:val="0"/>
          <w:sz w:val="24"/>
          <w:szCs w:val="24"/>
        </w:rPr>
        <w:t>类基金份额销售服务费</w:t>
      </w:r>
      <w:r>
        <w:rPr>
          <w:rFonts w:eastAsiaTheme="minorEastAsia" w:hint="eastAsia"/>
          <w:kern w:val="0"/>
          <w:sz w:val="24"/>
          <w:szCs w:val="24"/>
        </w:rPr>
        <w:t>，</w:t>
      </w:r>
      <w:r w:rsidRPr="00767C2D">
        <w:rPr>
          <w:rFonts w:eastAsiaTheme="minorEastAsia" w:hint="eastAsia"/>
          <w:kern w:val="0"/>
          <w:sz w:val="24"/>
          <w:szCs w:val="24"/>
        </w:rPr>
        <w:t>将在基金合同终止时随</w:t>
      </w:r>
      <w:r>
        <w:rPr>
          <w:rFonts w:eastAsiaTheme="minorEastAsia" w:hint="eastAsia"/>
          <w:kern w:val="0"/>
          <w:sz w:val="24"/>
          <w:szCs w:val="24"/>
        </w:rPr>
        <w:t>清算</w:t>
      </w:r>
      <w:r>
        <w:rPr>
          <w:rFonts w:eastAsiaTheme="minorEastAsia"/>
          <w:kern w:val="0"/>
          <w:sz w:val="24"/>
          <w:szCs w:val="24"/>
        </w:rPr>
        <w:t>款</w:t>
      </w:r>
      <w:r w:rsidRPr="00767C2D">
        <w:rPr>
          <w:rFonts w:eastAsiaTheme="minorEastAsia" w:hint="eastAsia"/>
          <w:kern w:val="0"/>
          <w:sz w:val="24"/>
          <w:szCs w:val="24"/>
        </w:rPr>
        <w:t>一并返还给投资者。</w:t>
      </w:r>
    </w:p>
    <w:p w14:paraId="3815164C"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基金财产清算的公告</w:t>
      </w:r>
    </w:p>
    <w:p w14:paraId="1C052738"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0CBE5F5F"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基金财产清算账册及文件的保存</w:t>
      </w:r>
    </w:p>
    <w:p w14:paraId="7E5D72AF"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lastRenderedPageBreak/>
        <w:t>基金财产清算账册及有关文件由基金托管人保存，保存期限不少于法定最低期限。</w:t>
      </w:r>
      <w:r>
        <w:rPr>
          <w:rFonts w:ascii="宋体" w:hAnsi="宋体" w:cs="宋体"/>
          <w:kern w:val="0"/>
          <w:sz w:val="24"/>
          <w:szCs w:val="24"/>
        </w:rPr>
        <w:br w:type="page"/>
      </w:r>
    </w:p>
    <w:p w14:paraId="6205A619" w14:textId="77777777" w:rsidR="009D63C8" w:rsidRDefault="003D167A" w:rsidP="009E26D0">
      <w:pPr>
        <w:pStyle w:val="1"/>
        <w:spacing w:before="0" w:after="0"/>
        <w:jc w:val="center"/>
        <w:rPr>
          <w:rFonts w:ascii="Times New Roman"/>
          <w:color w:val="auto"/>
          <w:sz w:val="30"/>
        </w:rPr>
      </w:pPr>
      <w:bookmarkStart w:id="67" w:name="_Toc256000019"/>
      <w:r w:rsidRPr="009E26D0">
        <w:rPr>
          <w:rFonts w:ascii="Times New Roman"/>
          <w:noProof/>
          <w:color w:val="auto"/>
          <w:sz w:val="30"/>
        </w:rPr>
        <w:lastRenderedPageBreak/>
        <w:t>第二十部分</w:t>
      </w:r>
      <w:r w:rsidRPr="009E26D0">
        <w:rPr>
          <w:rFonts w:ascii="Times New Roman"/>
          <w:noProof/>
          <w:color w:val="auto"/>
          <w:sz w:val="30"/>
        </w:rPr>
        <w:t xml:space="preserve">  </w:t>
      </w:r>
      <w:r w:rsidRPr="009E26D0">
        <w:rPr>
          <w:rFonts w:ascii="Times New Roman"/>
          <w:noProof/>
          <w:color w:val="auto"/>
          <w:sz w:val="30"/>
        </w:rPr>
        <w:t>违约责任</w:t>
      </w:r>
      <w:bookmarkEnd w:id="67"/>
    </w:p>
    <w:p w14:paraId="0DC1F71C" w14:textId="77777777" w:rsidR="007A2B34" w:rsidRPr="0017353E" w:rsidRDefault="007A2B34" w:rsidP="0090469D"/>
    <w:p w14:paraId="6531A178"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的，当事人免责：</w:t>
      </w:r>
    </w:p>
    <w:p w14:paraId="3C0C708E"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1、不可抗力；</w:t>
      </w:r>
    </w:p>
    <w:p w14:paraId="4446CA02"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2、基金管理人和/或基金托管人按照当时有效的法律法规或中国证监会的规定作为或不作为而造成的损失等；</w:t>
      </w:r>
    </w:p>
    <w:p w14:paraId="6AC08112"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3、基金管理人由于按照《基金合同》规定的投资原则行使或不行使其投资权而造成的损失等。</w:t>
      </w:r>
    </w:p>
    <w:p w14:paraId="76248147"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718076A7"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三、由于基金管理人、基金托管人不可控制的因素导致业务出现差错，基金管理人和基金托管人虽然已经采取必要、适当、合理的措施进行检查，但是未能发现错误</w:t>
      </w:r>
      <w:r w:rsidR="00F607A6" w:rsidRPr="00F607A6">
        <w:rPr>
          <w:rFonts w:ascii="宋体" w:hAnsi="宋体" w:cs="宋体" w:hint="eastAsia"/>
          <w:kern w:val="0"/>
          <w:sz w:val="24"/>
          <w:szCs w:val="24"/>
        </w:rPr>
        <w:t>或因前述原因未能避免或更正错误</w:t>
      </w:r>
      <w:r>
        <w:rPr>
          <w:rFonts w:ascii="宋体" w:hAnsi="宋体" w:cs="宋体"/>
          <w:kern w:val="0"/>
          <w:sz w:val="24"/>
          <w:szCs w:val="24"/>
        </w:rPr>
        <w:t>的，由此造成基金财产或投资人损失，基金管理人和基金托管人免除赔偿责任。但是基金管理人和基金托管人应积极采取必要的措施消除或减轻由此造成的影响。</w:t>
      </w:r>
      <w:r>
        <w:rPr>
          <w:rFonts w:ascii="宋体" w:hAnsi="宋体" w:cs="宋体"/>
          <w:kern w:val="0"/>
          <w:sz w:val="24"/>
          <w:szCs w:val="24"/>
        </w:rPr>
        <w:br w:type="page"/>
      </w:r>
    </w:p>
    <w:p w14:paraId="6854DA3A" w14:textId="77777777" w:rsidR="009D63C8" w:rsidRDefault="003D167A" w:rsidP="009E26D0">
      <w:pPr>
        <w:pStyle w:val="1"/>
        <w:spacing w:before="0" w:after="0"/>
        <w:jc w:val="center"/>
        <w:rPr>
          <w:rFonts w:ascii="Times New Roman"/>
          <w:color w:val="auto"/>
          <w:sz w:val="30"/>
        </w:rPr>
      </w:pPr>
      <w:bookmarkStart w:id="68" w:name="_Toc256000020"/>
      <w:r w:rsidRPr="009E26D0">
        <w:rPr>
          <w:rFonts w:ascii="Times New Roman"/>
          <w:noProof/>
          <w:color w:val="auto"/>
          <w:sz w:val="30"/>
        </w:rPr>
        <w:lastRenderedPageBreak/>
        <w:t>第二十一部分</w:t>
      </w:r>
      <w:r w:rsidRPr="009E26D0">
        <w:rPr>
          <w:rFonts w:ascii="Times New Roman"/>
          <w:noProof/>
          <w:color w:val="auto"/>
          <w:sz w:val="30"/>
        </w:rPr>
        <w:t xml:space="preserve">  </w:t>
      </w:r>
      <w:r w:rsidRPr="009E26D0">
        <w:rPr>
          <w:rFonts w:ascii="Times New Roman"/>
          <w:noProof/>
          <w:color w:val="auto"/>
          <w:sz w:val="30"/>
        </w:rPr>
        <w:t>争议的处理和适用的法律</w:t>
      </w:r>
      <w:bookmarkEnd w:id="68"/>
    </w:p>
    <w:p w14:paraId="1A44E320" w14:textId="77777777" w:rsidR="007A2B34" w:rsidRPr="0017353E" w:rsidRDefault="007A2B34" w:rsidP="0090469D"/>
    <w:p w14:paraId="5FCA065C"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各方当事人同意，因《基金合同》而产生的或与《基金合同》有关的一切争议可通过友好协商或者调解解决，如未能协商或者调解解决的，任何一方均有权将争议提交</w:t>
      </w:r>
      <w:r w:rsidR="00B017BC" w:rsidRPr="00B017BC">
        <w:rPr>
          <w:rFonts w:ascii="宋体" w:hAnsi="宋体" w:cs="宋体" w:hint="eastAsia"/>
          <w:kern w:val="0"/>
          <w:sz w:val="24"/>
          <w:szCs w:val="24"/>
        </w:rPr>
        <w:t>中国国际经济贸易仲裁委员会</w:t>
      </w:r>
      <w:r>
        <w:rPr>
          <w:rFonts w:ascii="宋体" w:hAnsi="宋体" w:cs="宋体"/>
          <w:kern w:val="0"/>
          <w:sz w:val="24"/>
          <w:szCs w:val="24"/>
        </w:rPr>
        <w:t>，按照其届时有效的仲裁规则进行仲裁，仲裁地点为</w:t>
      </w:r>
      <w:r w:rsidR="00B017BC" w:rsidRPr="00B017BC">
        <w:rPr>
          <w:rFonts w:ascii="宋体" w:hAnsi="宋体" w:cs="宋体" w:hint="eastAsia"/>
          <w:kern w:val="0"/>
          <w:sz w:val="24"/>
          <w:szCs w:val="24"/>
        </w:rPr>
        <w:t>北京市</w:t>
      </w:r>
      <w:r>
        <w:rPr>
          <w:rFonts w:ascii="宋体" w:hAnsi="宋体" w:cs="宋体"/>
          <w:kern w:val="0"/>
          <w:sz w:val="24"/>
          <w:szCs w:val="24"/>
        </w:rPr>
        <w:t>。仲裁裁决是终局的，对各方当事人均有约束力，除非仲裁裁决另有决定，仲裁费用、律师费由败诉方承担。</w:t>
      </w:r>
    </w:p>
    <w:p w14:paraId="6462D90D"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争议处理期间，基金合同当事人应恪守各自的职责，继续忠实、勤勉、尽责地履行基金合同规定的义务，维护基金份额持有人的合法权益。</w:t>
      </w:r>
    </w:p>
    <w:p w14:paraId="3F2DBB90"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《基金合同》受中国法律（为本基金合同之目的，在此不包括香港、澳门特别行政区和台湾地区法律）管辖并从其解释。</w:t>
      </w:r>
      <w:r>
        <w:rPr>
          <w:rFonts w:ascii="宋体" w:hAnsi="宋体" w:cs="宋体"/>
          <w:kern w:val="0"/>
          <w:sz w:val="24"/>
          <w:szCs w:val="24"/>
        </w:rPr>
        <w:br w:type="page"/>
      </w:r>
    </w:p>
    <w:p w14:paraId="5881561B" w14:textId="77777777" w:rsidR="009D63C8" w:rsidRDefault="003D167A" w:rsidP="009E26D0">
      <w:pPr>
        <w:pStyle w:val="1"/>
        <w:spacing w:before="0" w:after="0"/>
        <w:jc w:val="center"/>
        <w:rPr>
          <w:rFonts w:ascii="Times New Roman"/>
          <w:color w:val="auto"/>
          <w:sz w:val="30"/>
        </w:rPr>
      </w:pPr>
      <w:bookmarkStart w:id="69" w:name="_Toc256000021"/>
      <w:r w:rsidRPr="009E26D0">
        <w:rPr>
          <w:rFonts w:ascii="Times New Roman"/>
          <w:noProof/>
          <w:color w:val="auto"/>
          <w:sz w:val="30"/>
        </w:rPr>
        <w:lastRenderedPageBreak/>
        <w:t>第二十二部分</w:t>
      </w:r>
      <w:r w:rsidRPr="009E26D0">
        <w:rPr>
          <w:rFonts w:ascii="Times New Roman"/>
          <w:noProof/>
          <w:color w:val="auto"/>
          <w:sz w:val="30"/>
        </w:rPr>
        <w:t xml:space="preserve">  </w:t>
      </w:r>
      <w:r w:rsidRPr="009E26D0">
        <w:rPr>
          <w:rFonts w:ascii="Times New Roman"/>
          <w:noProof/>
          <w:color w:val="auto"/>
          <w:sz w:val="30"/>
        </w:rPr>
        <w:t>基金合同的效力</w:t>
      </w:r>
      <w:bookmarkEnd w:id="69"/>
    </w:p>
    <w:p w14:paraId="74D13EFE" w14:textId="77777777" w:rsidR="007A2B34" w:rsidRPr="0017353E" w:rsidRDefault="007A2B34" w:rsidP="0090469D"/>
    <w:p w14:paraId="1A6A99C6"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《基金合同》是约定基金合同当事人之间权利义务关系的法律文件。</w:t>
      </w:r>
    </w:p>
    <w:p w14:paraId="069A1261" w14:textId="77777777" w:rsidR="00D20988" w:rsidRDefault="003D167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1、《基金合同》经基金管理人、基金托管人双方盖章以及双方法定代表人或授权代表签字或盖章并在募集结束后经基金管理人向中国证监会办理基金备案手续，并经中国证监会书面确认后生效。</w:t>
      </w:r>
    </w:p>
    <w:p w14:paraId="5FBFD7B9"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2、《基金合同》的有效期自其生效之日起至基金财产清算结果报中国证监会备案并公告之日止。</w:t>
      </w:r>
    </w:p>
    <w:p w14:paraId="5DC3AECB"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3、《基金合同》自生效之日起对包括基金管理人、基金托管人和基金份额持有人在内的《基金合同》各方当事人具有同等的法律约束力。</w:t>
      </w:r>
    </w:p>
    <w:p w14:paraId="371592BD"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4、《基金合同》正本一式叁份，除上报有关监管机构一式壹份外，基金管理人、基金托管人各持有壹份，每份具有同等的法律效力。</w:t>
      </w:r>
    </w:p>
    <w:p w14:paraId="51AB3334" w14:textId="77777777" w:rsidR="00D20988" w:rsidRDefault="003D167A">
      <w:pPr>
        <w:pStyle w:val="div"/>
        <w:spacing w:line="360" w:lineRule="auto"/>
        <w:ind w:firstLine="420"/>
        <w:jc w:val="left"/>
        <w:rPr>
          <w:rFonts w:eastAsia="Times New Roman"/>
          <w:kern w:val="0"/>
          <w:sz w:val="24"/>
          <w:szCs w:val="24"/>
        </w:rPr>
      </w:pPr>
      <w:r>
        <w:rPr>
          <w:rFonts w:ascii="宋体" w:hAnsi="宋体" w:cs="宋体"/>
          <w:kern w:val="0"/>
          <w:sz w:val="24"/>
          <w:szCs w:val="24"/>
        </w:rPr>
        <w:t>5、《基金合同》可印制成册，供投资者在基金管理人、基金托管人、销售机构的办公场所和营业场所查阅。</w:t>
      </w:r>
      <w:r>
        <w:rPr>
          <w:rFonts w:ascii="宋体" w:hAnsi="宋体" w:cs="宋体"/>
          <w:kern w:val="0"/>
          <w:sz w:val="24"/>
          <w:szCs w:val="24"/>
        </w:rPr>
        <w:br w:type="page"/>
      </w:r>
    </w:p>
    <w:p w14:paraId="2FD823DD" w14:textId="77777777" w:rsidR="009D63C8" w:rsidRDefault="003D167A" w:rsidP="009E26D0">
      <w:pPr>
        <w:pStyle w:val="1"/>
        <w:spacing w:before="0" w:after="0"/>
        <w:jc w:val="center"/>
        <w:rPr>
          <w:rFonts w:ascii="Times New Roman"/>
          <w:color w:val="auto"/>
          <w:sz w:val="30"/>
        </w:rPr>
      </w:pPr>
      <w:bookmarkStart w:id="70" w:name="_Toc256000022"/>
      <w:r w:rsidRPr="009E26D0">
        <w:rPr>
          <w:rFonts w:ascii="Times New Roman"/>
          <w:noProof/>
          <w:color w:val="auto"/>
          <w:sz w:val="30"/>
        </w:rPr>
        <w:lastRenderedPageBreak/>
        <w:t>第二十三部分</w:t>
      </w:r>
      <w:r w:rsidRPr="009E26D0">
        <w:rPr>
          <w:rFonts w:ascii="Times New Roman"/>
          <w:noProof/>
          <w:color w:val="auto"/>
          <w:sz w:val="30"/>
        </w:rPr>
        <w:t xml:space="preserve">  </w:t>
      </w:r>
      <w:r w:rsidRPr="009E26D0">
        <w:rPr>
          <w:rFonts w:ascii="Times New Roman"/>
          <w:noProof/>
          <w:color w:val="auto"/>
          <w:sz w:val="30"/>
        </w:rPr>
        <w:t>其他事项</w:t>
      </w:r>
      <w:bookmarkEnd w:id="70"/>
    </w:p>
    <w:p w14:paraId="11E4A430" w14:textId="77777777" w:rsidR="007A2B34" w:rsidRPr="0017353E" w:rsidRDefault="007A2B34" w:rsidP="0090469D"/>
    <w:p w14:paraId="0B7B832F" w14:textId="77777777" w:rsidR="00D20988" w:rsidRDefault="003D167A">
      <w:pPr>
        <w:pStyle w:val="div"/>
        <w:spacing w:line="360" w:lineRule="auto"/>
        <w:ind w:firstLine="420"/>
        <w:rPr>
          <w:rFonts w:eastAsia="Times New Roman"/>
          <w:kern w:val="0"/>
          <w:sz w:val="24"/>
          <w:szCs w:val="24"/>
        </w:rPr>
      </w:pPr>
      <w:r>
        <w:rPr>
          <w:rFonts w:ascii="宋体" w:hAnsi="宋体" w:cs="宋体"/>
          <w:kern w:val="0"/>
          <w:sz w:val="24"/>
          <w:szCs w:val="24"/>
        </w:rPr>
        <w:t>《基金合同》如有未尽事宜，由《基金合同》当事人各方按有关法律法规协商解决。</w:t>
      </w:r>
      <w:r>
        <w:rPr>
          <w:rFonts w:ascii="宋体" w:hAnsi="宋体" w:cs="宋体"/>
          <w:kern w:val="0"/>
          <w:sz w:val="24"/>
          <w:szCs w:val="24"/>
        </w:rPr>
        <w:br w:type="page"/>
      </w:r>
    </w:p>
    <w:p w14:paraId="1C6448F7" w14:textId="77777777" w:rsidR="009D63C8" w:rsidRDefault="003D167A" w:rsidP="009E26D0">
      <w:pPr>
        <w:pStyle w:val="1"/>
        <w:spacing w:before="0" w:after="0"/>
        <w:jc w:val="center"/>
        <w:rPr>
          <w:rFonts w:ascii="Times New Roman"/>
          <w:color w:val="auto"/>
          <w:sz w:val="30"/>
        </w:rPr>
      </w:pPr>
      <w:bookmarkStart w:id="71" w:name="_Toc256000023"/>
      <w:r w:rsidRPr="009E26D0">
        <w:rPr>
          <w:rFonts w:ascii="Times New Roman"/>
          <w:noProof/>
          <w:color w:val="auto"/>
          <w:sz w:val="30"/>
        </w:rPr>
        <w:lastRenderedPageBreak/>
        <w:t>第二十四部分</w:t>
      </w:r>
      <w:r w:rsidRPr="009E26D0">
        <w:rPr>
          <w:rFonts w:ascii="Times New Roman"/>
          <w:noProof/>
          <w:color w:val="auto"/>
          <w:sz w:val="30"/>
        </w:rPr>
        <w:t xml:space="preserve">  </w:t>
      </w:r>
      <w:r w:rsidRPr="009E26D0">
        <w:rPr>
          <w:rFonts w:ascii="Times New Roman"/>
          <w:noProof/>
          <w:color w:val="auto"/>
          <w:sz w:val="30"/>
        </w:rPr>
        <w:t>基金合同内容摘要</w:t>
      </w:r>
      <w:bookmarkEnd w:id="71"/>
      <w:r>
        <w:rPr>
          <w:rFonts w:ascii="Times New Roman"/>
          <w:color w:val="auto"/>
          <w:sz w:val="30"/>
        </w:rPr>
        <w:br/>
      </w:r>
    </w:p>
    <w:p w14:paraId="4E4FE99F" w14:textId="77777777" w:rsidR="003213F8" w:rsidRDefault="003D167A">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一、基金合同当事人及权利义务</w:t>
      </w:r>
    </w:p>
    <w:p w14:paraId="6AC253F2"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（一）基金管理人的权利与义务</w:t>
      </w:r>
    </w:p>
    <w:p w14:paraId="3C1B6D4A"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1、根据《基金法》、《运作办法》及其他有关规定，基金管理人的权利包括但不限于：</w:t>
      </w:r>
    </w:p>
    <w:p w14:paraId="033C8BD3"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（1）依法募集资金；</w:t>
      </w:r>
    </w:p>
    <w:p w14:paraId="44CCCC42"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（2）自《基金合同》生效之日起，根据法律法规和《基金合同》独立运用并管理基金财产；</w:t>
      </w:r>
    </w:p>
    <w:p w14:paraId="7FC4D911"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（3）依照《基金合同》收取基金管理费以及法律法规规定或中国证监会批准的其他费用；</w:t>
      </w:r>
    </w:p>
    <w:p w14:paraId="3DC850E5"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（4）销售基金份额；</w:t>
      </w:r>
    </w:p>
    <w:p w14:paraId="48D43470"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（5）按照规定召集基金份额持有人大会；</w:t>
      </w:r>
    </w:p>
    <w:p w14:paraId="0FEC7EF6"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（6）依据《基金合同》及有关法律规定监督基金托管人，如认为基金托管人违反了《基金合同》及国家有关法律规定，应呈报中国证监会和其他监管部门，并采取必要措施保护基金投资者的利益；</w:t>
      </w:r>
    </w:p>
    <w:p w14:paraId="7ECF67C6"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（7）在基金托管人更换时，提名新的基金托管人；</w:t>
      </w:r>
    </w:p>
    <w:p w14:paraId="75CD10E9"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（8）选择、更换基金销售机构，对基金销售机构的相关行为进行监督和处理；</w:t>
      </w:r>
    </w:p>
    <w:p w14:paraId="570EAFC2"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（9）担任或委托其他符合条件的机构担任基金登记机构办理基金登记业务并获得《基金合同》规定的费用；</w:t>
      </w:r>
    </w:p>
    <w:p w14:paraId="69797BB8"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（10）依据《基金合同》及有关法律规定决定基金收益的分配方案；</w:t>
      </w:r>
    </w:p>
    <w:p w14:paraId="748C1E4D"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（11）在《基金合同》约定的范围内，拒绝或暂停受理申购与赎回申请；</w:t>
      </w:r>
    </w:p>
    <w:p w14:paraId="3E7375B8"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（12）依照法律法规为基金的利益对被投资公司行使股东权利，为基金的利益行使因基金财产投资于证券所产生的权利；</w:t>
      </w:r>
    </w:p>
    <w:p w14:paraId="6E77F686"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（13）在法律法规允许的前提下，为基金的利益依法为基金进行融资及转融通证券出借业务；</w:t>
      </w:r>
    </w:p>
    <w:p w14:paraId="0B3954FD"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（14）以基金管理人的名义，代表基金份额持有人的利益行使诉讼权利或者实施其他法律行为；</w:t>
      </w:r>
    </w:p>
    <w:p w14:paraId="317E2D60"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lastRenderedPageBreak/>
        <w:t>（15）选择、更换律师事务所、会计师事务所、证券经纪商、期货经纪机构或其他为基金提供服务的外部机构；</w:t>
      </w:r>
    </w:p>
    <w:p w14:paraId="509F8FF2"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（16）在符合有关法律、法规的前提下，制订和调整有关基金认购、申购、赎回、转换、定期定额投资、转托管和非交易过户等业务规则；</w:t>
      </w:r>
    </w:p>
    <w:p w14:paraId="1462091D"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（17）在法律法规和基金合同规定的范围内决定调整基金费率结构和收费方式；</w:t>
      </w:r>
    </w:p>
    <w:p w14:paraId="10045AFB"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（18）法律法规及中国证监会规定的和《基金合同》约定的其他权利。</w:t>
      </w:r>
    </w:p>
    <w:p w14:paraId="12230091"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2、根据《基金法》、《运作办法》及其他有关规定，基金管理人的义务包括但不限于：</w:t>
      </w:r>
    </w:p>
    <w:p w14:paraId="63D962B0"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（1）依法募集资金，办理或者委托经中国证监会认定的其他机构代为办理基金份额的发售、申购、赎回和登记事宜；</w:t>
      </w:r>
    </w:p>
    <w:p w14:paraId="25ABD3A1"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（2）办理基金备案手续；</w:t>
      </w:r>
    </w:p>
    <w:p w14:paraId="4BE28B39"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（3）自《基金合同》生效之日起，以诚实信用、谨慎勤勉的原则管理和运用基金财产；</w:t>
      </w:r>
    </w:p>
    <w:p w14:paraId="4D03EB57"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（4）配备足够的具有专业资格的人员进行基金投资分析、决策，以专业化的经营方式管理和运作基金财产；</w:t>
      </w:r>
    </w:p>
    <w:p w14:paraId="2A683615"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（5）建立健全内部风险控制、监察与稽核、财务管理及人事管理等制度，保证所管理的基金财产和基金管理人的财产相互独立，对所管理的不同基金分别管理，分别记账，进行证券投资；</w:t>
      </w:r>
    </w:p>
    <w:p w14:paraId="7AEF966C"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（6）除依据《基金法》、《基金合同》及其他有关规定外，不得利用基金财产为自己及任何第三人谋取利益，不得委托第三人运作基金财产；</w:t>
      </w:r>
    </w:p>
    <w:p w14:paraId="546AA26C"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（7）依法接受基金托管人的监督；</w:t>
      </w:r>
    </w:p>
    <w:p w14:paraId="19E5E65F"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（8）采取适当合理的措施使计算基金份额认购、申购、赎回和注销价格的方法符合《基金合同》等法律文件的规定，按有关规定计算并公告基金净值信息，确定基金份额申购、赎回的价格；</w:t>
      </w:r>
    </w:p>
    <w:p w14:paraId="23C39BE3"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（9）进行基金会计核算并编制基金财务会计报告；</w:t>
      </w:r>
    </w:p>
    <w:p w14:paraId="224010FC"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（10）编制季度报告、中期报告和年度报告；</w:t>
      </w:r>
    </w:p>
    <w:p w14:paraId="0ED84BE5"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（11）严格按照《基金法》、《基金合同》及其他有关规定，履行信息披露及报告义务；</w:t>
      </w:r>
    </w:p>
    <w:p w14:paraId="1AE45A73"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lastRenderedPageBreak/>
        <w:t>（12）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提供的情况除外；</w:t>
      </w:r>
    </w:p>
    <w:p w14:paraId="456EA17A"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（13）按《基金合同》的约定确定基金收益分配方案，及时向基金份额持有人分配基金收益；</w:t>
      </w:r>
    </w:p>
    <w:p w14:paraId="4035ABE6"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（14）按规定受理申购与赎回申请，及时、足额支付赎回款项；</w:t>
      </w:r>
    </w:p>
    <w:p w14:paraId="66106394"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（15）依据《基金法》、《基金合同》及其他有关规定召集基金份额持有人大会或配合基金托管人、基金份额持有人依法召集基金份额持有人大会；</w:t>
      </w:r>
    </w:p>
    <w:p w14:paraId="1DC91A7B"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（16）按规定保存基金财产管理业务活动的会计账册、报表、记录和其他相关资料不少于法定最低期限；</w:t>
      </w:r>
    </w:p>
    <w:p w14:paraId="4709A1DF"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793C2E6"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（18）组织并参加基金财产清算小组，参与基金财产的保管、清理、估价、变现和分配；</w:t>
      </w:r>
    </w:p>
    <w:p w14:paraId="5AA8D80E"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（19）面临解散、依法被撤销或者被依法宣告破产时，及时报告中国证监会并通知基金托管人；</w:t>
      </w:r>
    </w:p>
    <w:p w14:paraId="1A757D83"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（20）因违反《基金合同》导致基金财产的损失或损害基金份额持有人合法权益时，应当承担赔偿责任，其赔偿责任不因其退任而免除；</w:t>
      </w:r>
    </w:p>
    <w:p w14:paraId="285CB7B3"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（21）监督基金托管人按法律法规和《基金合同》规定履行自己的义务，基金托管人违反《基金合同》造成基金财产损失时，基金管理人应为基金份额持有人利益向基金托管人追偿；</w:t>
      </w:r>
    </w:p>
    <w:p w14:paraId="08000ED8"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（22）当基金管理人将其义务委托第三方处理时，应当对第三方处理有关基金事务的行为承担责任；</w:t>
      </w:r>
    </w:p>
    <w:p w14:paraId="05462C85"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（23）以基金管理人名义，代表基金份额持有人利益行使诉讼权利或实施其他法律行为；</w:t>
      </w:r>
    </w:p>
    <w:p w14:paraId="702698B2"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（24）基金管理人在募集期间未能达到基金的备案条件，《基金合同》不能生效，基金管理人承担全部募集费用，将已募集资金并加计银行同期活期存</w:t>
      </w:r>
      <w:r>
        <w:rPr>
          <w:rFonts w:ascii="宋体" w:hAnsi="宋体" w:cs="宋体"/>
          <w:kern w:val="0"/>
          <w:sz w:val="24"/>
          <w:szCs w:val="24"/>
        </w:rPr>
        <w:lastRenderedPageBreak/>
        <w:t>款利息在基金募集期结束后30日内退还基金认购人；</w:t>
      </w:r>
    </w:p>
    <w:p w14:paraId="13BCCF37"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（25）执行生效的基金份额持有人大会的决议；</w:t>
      </w:r>
    </w:p>
    <w:p w14:paraId="4D662FD8"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（26）建立并保存基金份额持有人名册；</w:t>
      </w:r>
    </w:p>
    <w:p w14:paraId="64465A84"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（27）法律法规及中国证监会规定的和《基金合同》约定的其他义务。</w:t>
      </w:r>
    </w:p>
    <w:p w14:paraId="7A0B6D1D"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（二）基金托管人的权利与义务</w:t>
      </w:r>
    </w:p>
    <w:p w14:paraId="2365F8B5"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1、根据《基金法》、《运作办法》及其他有关规定，基金托管人的权利包括但不限于：</w:t>
      </w:r>
    </w:p>
    <w:p w14:paraId="1A03054F"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（1）自《基金合同》生效之日起，依法律法规和《基金合同》的规定安全保管基金财产；</w:t>
      </w:r>
    </w:p>
    <w:p w14:paraId="00EF5B1B"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（2）依《基金合同》约定获得基金托管费以及法律法规规定或监管部门批准的其他费用；</w:t>
      </w:r>
    </w:p>
    <w:p w14:paraId="7986BF25"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15FF251"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（4）根据相关市场规则，为基金开设资金账户和证券账户等投资所需账户，为基金办理证券、期货交易资金清算；</w:t>
      </w:r>
    </w:p>
    <w:p w14:paraId="18DFE6D1"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（5）提议召开或召集基金份额持有人大会；</w:t>
      </w:r>
    </w:p>
    <w:p w14:paraId="60A6AE26"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（6）在基金管理人更换时，提名新的基金管理人；</w:t>
      </w:r>
    </w:p>
    <w:p w14:paraId="7573D9EB"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（7）法律法规及中国证监会规定的和《基金合同》约定的其他权利。</w:t>
      </w:r>
    </w:p>
    <w:p w14:paraId="787BFEB5"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2、根据《基金法》、《运作办法》及其他有关规定，基金托管人的义务包括但不限于：</w:t>
      </w:r>
    </w:p>
    <w:p w14:paraId="47E76D26"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（1）以诚实信用、勤勉尽责的原则持有并安全保管基金财产；</w:t>
      </w:r>
    </w:p>
    <w:p w14:paraId="14532D57"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（2）设立专门的基金托管部门，具有符合要求的营业场所，配备足够的、合格的熟悉基金托管业务的专职人员，负责基金财产托管事宜；</w:t>
      </w:r>
    </w:p>
    <w:p w14:paraId="55FF109C"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52D1EBE"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（4）除依据《基金法》、《基金合同》及其他有关规定外，不得利用基金</w:t>
      </w:r>
      <w:r>
        <w:rPr>
          <w:rFonts w:ascii="宋体" w:hAnsi="宋体" w:cs="宋体"/>
          <w:kern w:val="0"/>
          <w:sz w:val="24"/>
          <w:szCs w:val="24"/>
        </w:rPr>
        <w:lastRenderedPageBreak/>
        <w:t>财产为自己及任何第三人谋取利益，不得委托第三人托管基金财产；</w:t>
      </w:r>
    </w:p>
    <w:p w14:paraId="1F013259"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（5）保管由基金管理人代表基金签订的与基金有关的重大合同及有关凭证；</w:t>
      </w:r>
    </w:p>
    <w:p w14:paraId="0BF53336"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（6）按规定开设基金财产的资金账户和证券账户等投资所需账户，按照《基金合同》的约定，根据基金管理人的投资指令，及时办理清算、交割事宜；</w:t>
      </w:r>
    </w:p>
    <w:p w14:paraId="58BA5EE8"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7）保守基金商业秘密，除《基金法》、《基金合同》及其他有关规定另有规定外，在基金信息公开披露前予以保密，不得向他人泄露，但应监管机构、司法机关等有权机关的要求，或因审计、法律等外部专业顾问提供服务需要提供的情况除外；</w:t>
      </w:r>
    </w:p>
    <w:p w14:paraId="00D7BE48"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（8）复核、审查基金管理人计算的基金资产净值、各类基金份额净值、基金份额申购、赎回价格；</w:t>
      </w:r>
    </w:p>
    <w:p w14:paraId="6FAB7505"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（9）办理与基金托管业务活动有关的信息披露事项；</w:t>
      </w:r>
    </w:p>
    <w:p w14:paraId="1FB528BF"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03E8E402"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（11）保存基金托管业务活动的记录、账册、报表和其他相关资料不少于法定最低期限；</w:t>
      </w:r>
    </w:p>
    <w:p w14:paraId="187FD22F"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（12）建立并保存基金份额持有人名册；</w:t>
      </w:r>
    </w:p>
    <w:p w14:paraId="7AAF040D"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（13）按规定制作相关账册并与基金管理人核对；</w:t>
      </w:r>
    </w:p>
    <w:p w14:paraId="273B62A8"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（14）依据基金管理人的指令或有关规定向基金份额持有人支付基金收益和赎回款项；</w:t>
      </w:r>
    </w:p>
    <w:p w14:paraId="2C448B4B"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（15）依据《基金法》、《基金合同》及其他有关规定，召集基金份额持有人大会或配合基金管理人、基金份额持有人依法召集基金份额持有人大会；</w:t>
      </w:r>
    </w:p>
    <w:p w14:paraId="5CA081EE"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（16）按照法律法规和《基金合同》的规定监督基金管理人的投资运作；</w:t>
      </w:r>
    </w:p>
    <w:p w14:paraId="14A55E75"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（17）参加基金财产清算小组，参与基金财产的保管、清理、估价、变现和分配；</w:t>
      </w:r>
    </w:p>
    <w:p w14:paraId="27255D90"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（18）面临解散、依法被撤销或者被依法宣告破产时，及时报告中国证监会</w:t>
      </w:r>
      <w:r>
        <w:rPr>
          <w:rFonts w:ascii="宋体" w:hAnsi="宋体" w:cs="宋体"/>
          <w:kern w:val="0"/>
          <w:sz w:val="24"/>
          <w:szCs w:val="24"/>
        </w:rPr>
        <w:lastRenderedPageBreak/>
        <w:t>和银行业监督管理机构，并通知基金管理人；</w:t>
      </w:r>
    </w:p>
    <w:p w14:paraId="5F83137C"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（19）因违反《基金合同》导致基金财产损失时，应承担赔偿责任，其赔偿责任不因其退任而免除；</w:t>
      </w:r>
    </w:p>
    <w:p w14:paraId="428F6266"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（20）按规定监督基金管理人按法律法规和《基金合同》规定履行自己的义务，基金管理人因违反《基金合同》造成基金财产损失时，应为基金份额持有人利益向基金管理人追偿；</w:t>
      </w:r>
    </w:p>
    <w:p w14:paraId="11BEC18B"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（21）执行生效的基金份额持有人大会的决议；</w:t>
      </w:r>
    </w:p>
    <w:p w14:paraId="5E13A6D8"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（22）法律法规及中国证监会规定的和《基金合同》约定的其他义务。</w:t>
      </w:r>
    </w:p>
    <w:p w14:paraId="32F492E6"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（三）基金份额持有人的权利和义务</w:t>
      </w:r>
    </w:p>
    <w:p w14:paraId="6BB440A4"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7D20D187"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同一类别内每份基金份额具有同等的合法权益。</w:t>
      </w:r>
    </w:p>
    <w:p w14:paraId="6F133548"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1、根据《基金法》、《运作办法》及其他有关规定，基金份额持有人的权利包括但不限于：</w:t>
      </w:r>
    </w:p>
    <w:p w14:paraId="4EEFF421"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（1）分享基金财产收益；</w:t>
      </w:r>
    </w:p>
    <w:p w14:paraId="66758242"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（2）参与分配清算后的剩余基金财产；</w:t>
      </w:r>
    </w:p>
    <w:p w14:paraId="451309E0"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（3）依法转让或者申请赎回其持有的基金份额；</w:t>
      </w:r>
    </w:p>
    <w:p w14:paraId="066E9F6F"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（4）按照规定要求召开基金份额持有人大会或者召集基金份额持有人大会；</w:t>
      </w:r>
    </w:p>
    <w:p w14:paraId="5CE71C9F"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（5）出席或者委派代表出席基金份额持有人大会，对基金份额持有人大会审议事项行使表决权；</w:t>
      </w:r>
    </w:p>
    <w:p w14:paraId="2941DB8D"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（6）查阅或者复制公开披露的基金信息资料；</w:t>
      </w:r>
    </w:p>
    <w:p w14:paraId="5E907741"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（7）监督基金管理人的投资运作；</w:t>
      </w:r>
    </w:p>
    <w:p w14:paraId="673BD9F1"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（8）对基金管理人、基金托管人、基金服务机构损害其合法权益的行为依法提起诉讼或仲裁；</w:t>
      </w:r>
    </w:p>
    <w:p w14:paraId="7E24F0E0"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（9）法律法规及中国证监会规定的和《基金合同》约定的其他权利。</w:t>
      </w:r>
    </w:p>
    <w:p w14:paraId="6A39CB04"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2、根据《基金法》、《运作办法》及其他有关规定，基金份额持有人的义</w:t>
      </w:r>
      <w:r>
        <w:rPr>
          <w:rFonts w:ascii="宋体" w:hAnsi="宋体" w:cs="宋体"/>
          <w:kern w:val="0"/>
          <w:sz w:val="24"/>
          <w:szCs w:val="24"/>
        </w:rPr>
        <w:lastRenderedPageBreak/>
        <w:t>务包括但不限于：</w:t>
      </w:r>
    </w:p>
    <w:p w14:paraId="462E4C38"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（1）认真阅读并遵守《基金合同》、《招募说明书》等信息披露文件；</w:t>
      </w:r>
    </w:p>
    <w:p w14:paraId="792ECC2B"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（2）了解所投资基金产品，了解自身风险承受能力，自主判断基金的投资价值，自主做出投资决策，自行承担投资风险；</w:t>
      </w:r>
    </w:p>
    <w:p w14:paraId="135B86EF"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（3）关注基金信息披露，及时行使权利和履行义务；</w:t>
      </w:r>
    </w:p>
    <w:p w14:paraId="3954354C"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（4）交纳基金认购、申购款项及法律法规和《基金合同》所规定的费用；</w:t>
      </w:r>
    </w:p>
    <w:p w14:paraId="6E8D8078"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（5）在其持有的基金份额范围内，承担基金亏损或者《基金合同》终止的有限责任；</w:t>
      </w:r>
    </w:p>
    <w:p w14:paraId="45866FF5"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（6）不从事任何有损基金及其他《基金合同》当事人合法权益的活动；</w:t>
      </w:r>
    </w:p>
    <w:p w14:paraId="5181E74A"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（7）执行生效的基金份额持有人大会的决议；</w:t>
      </w:r>
    </w:p>
    <w:p w14:paraId="7F92E130"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（8）返还在基金交易过程中因任何原因获得的不当得利；</w:t>
      </w:r>
    </w:p>
    <w:p w14:paraId="40D5F070"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（9）提供基金管理人和监管机构依法要求提供的信息，以及不时的更新和补充，并保证其真实性；</w:t>
      </w:r>
    </w:p>
    <w:p w14:paraId="6A75D838"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（10）遵守基金管理人、基金托管人、销售机构和登记机构的相关交易及业务规则；</w:t>
      </w:r>
    </w:p>
    <w:p w14:paraId="45F4CCE3"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（11）法律法规及中国证监会规定的和《基金合同》约定的其他义务。</w:t>
      </w:r>
    </w:p>
    <w:p w14:paraId="5B64F38F" w14:textId="77777777" w:rsidR="003213F8" w:rsidRDefault="003D167A">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二、基金份额持有人大会</w:t>
      </w:r>
    </w:p>
    <w:p w14:paraId="4AE09FA6"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基金份额持有人大会由基金份额持有人组成，基金份额持有人的合法授权代表有权代表基金份额持有人出席会议并表决。基金份额持有人持有的每一基金份额拥有平等的投票权。</w:t>
      </w:r>
    </w:p>
    <w:p w14:paraId="26596FF5"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本基金份额持有人大会不设日常机构。</w:t>
      </w:r>
    </w:p>
    <w:p w14:paraId="5028DCE0"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（一）召开事由</w:t>
      </w:r>
    </w:p>
    <w:p w14:paraId="4AAE532B"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1、当出现或需要决定下列事由之一的，应当召开基金份额持有人大会，法律法规、中国证监会另有规定或基金合同另有约定的除外：</w:t>
      </w:r>
    </w:p>
    <w:p w14:paraId="1CB971A3"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（1）终止《基金合同》；</w:t>
      </w:r>
    </w:p>
    <w:p w14:paraId="11494BF7"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（2）更换基金管理人；</w:t>
      </w:r>
    </w:p>
    <w:p w14:paraId="43F3FCBA"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（3）更换基金托管人；</w:t>
      </w:r>
    </w:p>
    <w:p w14:paraId="023335AE"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（4）转换基金运作方式；</w:t>
      </w:r>
    </w:p>
    <w:p w14:paraId="019EF9FB"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（5）调整基金管理人、基金托管人的报酬标准或提高销售服务费率；</w:t>
      </w:r>
    </w:p>
    <w:p w14:paraId="4AE8B447"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（6）变更基金类别；</w:t>
      </w:r>
    </w:p>
    <w:p w14:paraId="5C58EB11"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lastRenderedPageBreak/>
        <w:t>（7）本基金与其他基金的合并；</w:t>
      </w:r>
    </w:p>
    <w:p w14:paraId="5A3ECBC2"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（8）变更基金投资目标、范围或策略；</w:t>
      </w:r>
    </w:p>
    <w:p w14:paraId="361BB07D"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（9）变更基金份额持有人大会程序；</w:t>
      </w:r>
    </w:p>
    <w:p w14:paraId="5F4E6B2C"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（10）基金管理人或基金托管人要求召开基金份额持有人大会；</w:t>
      </w:r>
    </w:p>
    <w:p w14:paraId="5E7266ED"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（11）单独或合计持有本基金总份额10%以上（含10%）基金份额的基金份额持有人（以基金管理人收到提议当日的基金份额计算，下同）就同一事项书面要求召开基金份额持有人大会；</w:t>
      </w:r>
    </w:p>
    <w:p w14:paraId="65E37A2C"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（12）对基金合同当事人权利和义务产生重大影响的其他事项；</w:t>
      </w:r>
    </w:p>
    <w:p w14:paraId="62D2CF49"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（13）法律法规、《基金合同》或中国证监会规定的其他应当召开基金份额持有人大会的事项。</w:t>
      </w:r>
    </w:p>
    <w:p w14:paraId="4C671389"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2、在法律法规规定和《基金合同》约定的范围内且对基金份额持有人利益无实质性不利影响的前提下，以下情况可由基金管理人和基金托管人协商后修改，不需召开基金份额持有人大会：</w:t>
      </w:r>
    </w:p>
    <w:p w14:paraId="29655DD1"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（1）法律法规要求增加的基金费用的收取；</w:t>
      </w:r>
    </w:p>
    <w:p w14:paraId="30CCD5BF" w14:textId="6967E7A2" w:rsidR="003213F8" w:rsidRDefault="003D167A">
      <w:pPr>
        <w:spacing w:line="360" w:lineRule="auto"/>
        <w:ind w:firstLine="480"/>
        <w:rPr>
          <w:rFonts w:eastAsia="Times New Roman"/>
          <w:kern w:val="0"/>
          <w:sz w:val="24"/>
          <w:szCs w:val="24"/>
        </w:rPr>
      </w:pPr>
      <w:r>
        <w:rPr>
          <w:rFonts w:ascii="宋体" w:hAnsi="宋体" w:cs="宋体"/>
          <w:kern w:val="0"/>
          <w:sz w:val="24"/>
          <w:szCs w:val="24"/>
        </w:rPr>
        <w:t>（2）调整本基金的申购费率、调低销售服务费率或变更收费方式；</w:t>
      </w:r>
    </w:p>
    <w:p w14:paraId="3D30CA6B"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（3）增加、减少或调整基金份额类别设置或者调整基金份额分类办法及规则等；</w:t>
      </w:r>
    </w:p>
    <w:p w14:paraId="13D23008"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（4）因相应的法律法规发生变动而应当对《基金合同》进行修改；</w:t>
      </w:r>
    </w:p>
    <w:p w14:paraId="01896F7D"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（5）基金管理人和基金登记机构等调整或修改《业务规则》，包括但不限于有关基金认购、申购、赎回、转换、非交易过户、转托管等内容；</w:t>
      </w:r>
    </w:p>
    <w:p w14:paraId="1086B3F4"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（6）对《基金合同》的修改对基金份额持有人利益无实质性不利影响或修改不涉及《基金合同》当事人权利义务关系发生重大变化；</w:t>
      </w:r>
    </w:p>
    <w:p w14:paraId="1AB24B32"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（7）在履行适当程序后，基金推出新业务或服务；</w:t>
      </w:r>
    </w:p>
    <w:p w14:paraId="44FB7AF1"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（8）基金管理人调整基金收益分配原则；</w:t>
      </w:r>
    </w:p>
    <w:p w14:paraId="7EA85377"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（9）若本基金管理人同时管理同一标的指数的增强策略交易型开放式指数基金（增强策略ETF），履行适当程序后本基金可采取增强策略ETF联接基金模式并相应修改《基金合同》；</w:t>
      </w:r>
    </w:p>
    <w:p w14:paraId="1A96F192"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（10）按照法律法规和《基金合同》规定不需召开基金份额持有人大会的其他情形。</w:t>
      </w:r>
    </w:p>
    <w:p w14:paraId="2BBE32E6"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lastRenderedPageBreak/>
        <w:t>（二）会议召集人及召集方式</w:t>
      </w:r>
    </w:p>
    <w:p w14:paraId="3AB3789F"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1、除法律法规规定或《基金合同》另有约定外，基金份额持有人大会由基金管理人召集。</w:t>
      </w:r>
    </w:p>
    <w:p w14:paraId="12274827"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2、基金管理人未按规定召集或不能召集时，由基金托管人召集。</w:t>
      </w:r>
    </w:p>
    <w:p w14:paraId="0807B239"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2A4CF512"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65628E80"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1101B1F9"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6、基金份额持有人会议的召集人负责选择确定开会时间、地点、方式和权益登记日。</w:t>
      </w:r>
    </w:p>
    <w:p w14:paraId="09155F66"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（三）召开基金份额持有人大会的通知时间、通知内容、通知方式</w:t>
      </w:r>
    </w:p>
    <w:p w14:paraId="13F9798A"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1、召开基金份额持有人大会，召集人应于会议召开前30日，在规定媒介公告。基金份额持有人大会通知应至少载明以下内容：</w:t>
      </w:r>
    </w:p>
    <w:p w14:paraId="64B8606C"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lastRenderedPageBreak/>
        <w:t>（1）会议召开的时间、地点和会议形式；</w:t>
      </w:r>
    </w:p>
    <w:p w14:paraId="1057FF68"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（2）会议拟审议的事项、议事程序和表决方式；</w:t>
      </w:r>
    </w:p>
    <w:p w14:paraId="1AEDE90A"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（3）有权出席基金份额持有人大会的基金份额持有人的权益登记日；</w:t>
      </w:r>
    </w:p>
    <w:p w14:paraId="3411D736"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（4）授权委托证明的内容要求（包括但不限于代理人身份，代理权限和代理有效期限等）、送达时间和地点；</w:t>
      </w:r>
    </w:p>
    <w:p w14:paraId="2B79FD66"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（5）会务常设联系人姓名及联系电话；</w:t>
      </w:r>
    </w:p>
    <w:p w14:paraId="01FAF02D"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（6）出席会议者必须准备的文件和必须履行的手续；</w:t>
      </w:r>
    </w:p>
    <w:p w14:paraId="12DC91B8"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（7）召集人需要通知的其他事项。</w:t>
      </w:r>
    </w:p>
    <w:p w14:paraId="32CEE922"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46D28B0D"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162D596D"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（四）基金份额持有人出席会议的方式</w:t>
      </w:r>
    </w:p>
    <w:p w14:paraId="64CC6D0F"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基金份额持有人大会可通过现场开会方式、通讯开会方式或法律法规、监管机构允许的其他方式召开，会议的召开方式由会议召集人确定。</w:t>
      </w:r>
    </w:p>
    <w:p w14:paraId="1180B6B6"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1EE2AED"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8F19285"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（2）经核对，汇总到会者出示的在权益登记日持有基金份额的凭证显示，</w:t>
      </w:r>
      <w:r>
        <w:rPr>
          <w:rFonts w:ascii="宋体" w:hAnsi="宋体" w:cs="宋体"/>
          <w:kern w:val="0"/>
          <w:sz w:val="24"/>
          <w:szCs w:val="24"/>
        </w:rPr>
        <w:lastRenderedPageBreak/>
        <w:t>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668F0302"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通讯开会。通讯开会系指基金份额持有人将其对表决事项的投票以书面形式或大会公告载明的其他方式在表决截止日以前送达至召集人指定的地址或系统。通讯开会应以书面方式或大会公告载明的其他方式进行表决。</w:t>
      </w:r>
    </w:p>
    <w:p w14:paraId="177345F6"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在同时符合以下条件时，通讯开会的方式视为有效：</w:t>
      </w:r>
    </w:p>
    <w:p w14:paraId="3C4FA6DD"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（1）会议召集人按《基金合同》约定公布会议通知后，在2个工作日内连续公布相关提示性公告；</w:t>
      </w:r>
    </w:p>
    <w:p w14:paraId="56C1447A"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4F6CCE24"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14:paraId="1C2D2268"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w:t>
      </w:r>
      <w:r>
        <w:rPr>
          <w:rFonts w:ascii="宋体" w:hAnsi="宋体" w:cs="宋体"/>
          <w:kern w:val="0"/>
          <w:sz w:val="24"/>
          <w:szCs w:val="24"/>
        </w:rPr>
        <w:lastRenderedPageBreak/>
        <w:t>符。</w:t>
      </w:r>
    </w:p>
    <w:p w14:paraId="0A8DB5C5"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3、在法律法规和监管机构允许的情况下，本基金亦可采用网络、电话、短信等其他非现场方式或者以非现场方式与现场方式结合的方式召开基金份额持有人大会，或者采用网络、电话、短信或其他方式授权他人代为出席会议并表决，会议程序比照现场开会和通讯方式开会的程序进行。</w:t>
      </w:r>
    </w:p>
    <w:p w14:paraId="7982ECB4"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（五）议事内容与程序</w:t>
      </w:r>
    </w:p>
    <w:p w14:paraId="2EBFA0B0"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1、议事内容及提案权</w:t>
      </w:r>
    </w:p>
    <w:p w14:paraId="08845DFA"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915F1B9"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基金份额持有人大会的召集人发出召集会议的通知后，对原有提案的修改应当在基金份额持有人大会召开前及时公告。</w:t>
      </w:r>
    </w:p>
    <w:p w14:paraId="39E71EFF"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基金份额持有人大会不得对未事先公告的议事内容进行表决。</w:t>
      </w:r>
    </w:p>
    <w:p w14:paraId="729CFFD7"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2、议事程序</w:t>
      </w:r>
    </w:p>
    <w:p w14:paraId="0C0FC7D4"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（1）现场开会</w:t>
      </w:r>
    </w:p>
    <w:p w14:paraId="5471D912"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在现场开会的方式下，首先由大会主持人按照下列第</w:t>
      </w:r>
      <w:r w:rsidR="00EC26C6">
        <w:rPr>
          <w:rFonts w:ascii="宋体" w:hAnsi="宋体" w:cs="宋体" w:hint="eastAsia"/>
          <w:kern w:val="0"/>
          <w:sz w:val="24"/>
          <w:szCs w:val="24"/>
        </w:rPr>
        <w:t>（</w:t>
      </w:r>
      <w:r>
        <w:rPr>
          <w:rFonts w:ascii="宋体" w:hAnsi="宋体" w:cs="宋体"/>
          <w:kern w:val="0"/>
          <w:sz w:val="24"/>
          <w:szCs w:val="24"/>
        </w:rPr>
        <w:t>七</w:t>
      </w:r>
      <w:r w:rsidR="00EC26C6">
        <w:rPr>
          <w:rFonts w:ascii="宋体" w:hAnsi="宋体" w:cs="宋体" w:hint="eastAsia"/>
          <w:kern w:val="0"/>
          <w:sz w:val="24"/>
          <w:szCs w:val="24"/>
        </w:rPr>
        <w:t>）</w:t>
      </w:r>
      <w:r>
        <w:rPr>
          <w:rFonts w:ascii="宋体" w:hAnsi="宋体" w:cs="宋体"/>
          <w:kern w:val="0"/>
          <w:sz w:val="24"/>
          <w:szCs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14:paraId="2EA16533"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会议召集人应当制作出席会议人员的签名册。签名册载明参加会议人员姓名（或单位名称）、身份证明文件号码、持有或代表有表决权的基金份额、委托人姓名（或单位名称）和联系方式等事项。</w:t>
      </w:r>
    </w:p>
    <w:p w14:paraId="00B43152"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（2）通讯开会</w:t>
      </w:r>
    </w:p>
    <w:p w14:paraId="1BD4B776"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在通讯开会的情况下，首先由召集人提前30日公布提案，在所通知的表决</w:t>
      </w:r>
      <w:r>
        <w:rPr>
          <w:rFonts w:ascii="宋体" w:hAnsi="宋体" w:cs="宋体"/>
          <w:kern w:val="0"/>
          <w:sz w:val="24"/>
          <w:szCs w:val="24"/>
        </w:rPr>
        <w:lastRenderedPageBreak/>
        <w:t>截止日期后2个工作日内在公证机关监督下由召集人统计全部有效表决，在公证机关监督下形成决议。</w:t>
      </w:r>
    </w:p>
    <w:p w14:paraId="4A8EE4D6"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（六）表决</w:t>
      </w:r>
    </w:p>
    <w:p w14:paraId="66EDC935"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基金份额持有人所持每份基金份额有一票表决权。</w:t>
      </w:r>
    </w:p>
    <w:p w14:paraId="4B4CE825"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基金份额持有人大会决议分为一般决议和特别决议：</w:t>
      </w:r>
    </w:p>
    <w:p w14:paraId="6072B0E0"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2AF86E9F"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2、特别决议，特别决议应当经参加大会的基金份额持有人或其代理人所持表决权的三分之二以上（含三分之二）通过方可做出。</w:t>
      </w:r>
    </w:p>
    <w:p w14:paraId="17B89D29"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除法律法规另有规定或《基金合同》另有约定外，转换基金运作方式、更换基金管理人或者基金托管人、终止《基金合同》、本基金与其他基金合并以特别决议通过方为有效。</w:t>
      </w:r>
    </w:p>
    <w:p w14:paraId="2071E7BE"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基金份额持有人大会采取记名方式进行投票表决。</w:t>
      </w:r>
    </w:p>
    <w:p w14:paraId="4CD42031"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00E3CC2D"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基金份额持有人大会的各项提案或同一项提案内并列的各项议题应当分开审议、逐项表决。</w:t>
      </w:r>
    </w:p>
    <w:p w14:paraId="3E1C7BB1"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（七）计票</w:t>
      </w:r>
    </w:p>
    <w:p w14:paraId="65C2089F"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1、现场开会</w:t>
      </w:r>
    </w:p>
    <w:p w14:paraId="5FD1A077"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如大会由基金管理人或基金托管人召集，基金份额持有人大会的主持人应当在会议开始后宣布在出席会议的基金份额持有人和代理人中选举一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两名基金份额持有人代表担</w:t>
      </w:r>
      <w:r>
        <w:rPr>
          <w:rFonts w:ascii="宋体" w:hAnsi="宋体" w:cs="宋体"/>
          <w:kern w:val="0"/>
          <w:sz w:val="24"/>
          <w:szCs w:val="24"/>
        </w:rPr>
        <w:lastRenderedPageBreak/>
        <w:t>任监票人。基金管理人或基金托管人不出席大会的，不影响计票的效力。</w:t>
      </w:r>
    </w:p>
    <w:p w14:paraId="0805D3DE"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（2）监票人应当在基金份额持有人表决后立即进行清点并由大会主持人当场公布计票结果。</w:t>
      </w:r>
    </w:p>
    <w:p w14:paraId="629DAEEF"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3）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14:paraId="564CE502"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（4）计票过程应由公证机关予以公证，基金管理人或基金托管人拒不出席大会的，不影响计票的效力。</w:t>
      </w:r>
    </w:p>
    <w:p w14:paraId="5EFA63ED"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2、通讯开会</w:t>
      </w:r>
    </w:p>
    <w:p w14:paraId="46D87202"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789A9AAE"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（八）生效与公告</w:t>
      </w:r>
    </w:p>
    <w:p w14:paraId="5E2CEAE3"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基金份额持有人大会的决议，召集人应当自通过之日起5日内报中国证监会备案。</w:t>
      </w:r>
    </w:p>
    <w:p w14:paraId="7C3BF308"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基金份额持有人大会的决议自表决通过之日起生效。</w:t>
      </w:r>
    </w:p>
    <w:p w14:paraId="22E781AE"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基金份额持有人大会决议自生效之日起2日内在规定媒介上公告。如果采用通讯方式进行表决，在公告基金份额持有人大会决议时，必须将公证书全文、公证机构、公证员姓名等一同公告。</w:t>
      </w:r>
    </w:p>
    <w:p w14:paraId="2666A8C9"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4B65DFD1"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（九）实施侧袋机制期间基金份额持有人大会的特殊约定</w:t>
      </w:r>
    </w:p>
    <w:p w14:paraId="1E4822A1"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50653BD3"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lastRenderedPageBreak/>
        <w:t>1、基金份额持有人行使提议权、召集权、提名权所需单独或合计代表相关基金份额10%以上（含10%）；</w:t>
      </w:r>
    </w:p>
    <w:p w14:paraId="56B4F67A"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2、现场开会的到会者在权益登记日代表的基金份额不少于本基金在权益登记日相关基金份额的二分之一（含二分之一）；</w:t>
      </w:r>
    </w:p>
    <w:p w14:paraId="77608494"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3、通讯开会的直接出具书面意见或授权他人代表出具书面意见的基金份额持有人所持有的基金份额不小于在权益登记日相关基金份额的二分之一（含二分之一）；</w:t>
      </w:r>
    </w:p>
    <w:p w14:paraId="4CCB0EF0"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2508D9B1"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5、现场开会由出席大会的基金份额持有人和代理人所持表决权的50%以上（含50%）选举产生一名基金份额持有人作为该次基金份额持有人大会的主持人；</w:t>
      </w:r>
    </w:p>
    <w:p w14:paraId="5F94203C"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6、一般决议须经参加大会的基金份额持有人或其代理人所持表决权的二分之一以上（含二分之一）通过；</w:t>
      </w:r>
    </w:p>
    <w:p w14:paraId="50A57BD5"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7、特别决议应当经参加大会的基金份额持有人或其代理人所持表决权的三分之二以上（含三分之二）通过。</w:t>
      </w:r>
    </w:p>
    <w:p w14:paraId="778C72A4"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同一主侧袋账户内的每份基金份额具有平等的表决权。</w:t>
      </w:r>
    </w:p>
    <w:p w14:paraId="6216FCBB"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十）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14:paraId="26EA7537" w14:textId="77777777" w:rsidR="003213F8" w:rsidRDefault="003D167A">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三、基金收益分配原则、执行方式</w:t>
      </w:r>
    </w:p>
    <w:p w14:paraId="0B9F8C4F"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（一）基金利润的构成</w:t>
      </w:r>
    </w:p>
    <w:p w14:paraId="02D67790"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基金利润指基金利息收入、投资收益、公允价值变动收益和其他收入扣除相关费用后的余额，基金已实现收益指基金利润减去公允价值变动收益后的余额。</w:t>
      </w:r>
    </w:p>
    <w:p w14:paraId="78B58003"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（二）基金可供分配利润</w:t>
      </w:r>
    </w:p>
    <w:p w14:paraId="65FCF5D7"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lastRenderedPageBreak/>
        <w:t>基金可供分配利润指截至收益分配基准日基金未分配利润与未分配利润中已实现收益的孰低数。</w:t>
      </w:r>
    </w:p>
    <w:p w14:paraId="34702886"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（三）基金收益分配原则</w:t>
      </w:r>
    </w:p>
    <w:p w14:paraId="4DCF7A57"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1、在符合有关基金分红条件的前提下，本基金可进行基金收益分配，若《基金合同》生效不满3个月可不进行收益分配；</w:t>
      </w:r>
    </w:p>
    <w:p w14:paraId="2B953765"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2、本基金收益分配方式分两种：现金分红与红利再投资，投资者可选择现金红利或将现金红利自动转为相应类别的基金份额进行再投资，基金份额持有人可对A类、B类、C类基金份额分别选择不同的分红方式；若投资者不选择，本基金默认的收益分配方式是现金分红；</w:t>
      </w:r>
    </w:p>
    <w:p w14:paraId="167AE4BA"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3、基金管理人可对基金相对业绩比较基准的超额收益率和/或基金的可供分配利润进行评价，当收益评价日核定的超额收益率或者基金可供分配利润金额大于零时，基金管理人可进行收益分配；</w:t>
      </w:r>
    </w:p>
    <w:p w14:paraId="03A56E8B"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4、当基金收益分配根据基金相对业绩比较基准的超额收益率决定时，基于本基金的特点，本基金收益分配无需以弥补亏损为前提，收益分配后基金份额净值有可能低于面值；当基金收益分配根据基金可供分配利润金额决定时，本基金收益分配后各类基金份额净值不能低于面值，即基金收益分配基准日的各类基金份额净值减去每单位该类基金份额收益分配金额后不能低于面值；</w:t>
      </w:r>
    </w:p>
    <w:p w14:paraId="7C8E7C18"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5、同一类别内每一基金份额享有同等分配权；</w:t>
      </w:r>
    </w:p>
    <w:p w14:paraId="013BAE5E"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6、法律法规或监管机构另有规定的，从其规定。</w:t>
      </w:r>
    </w:p>
    <w:p w14:paraId="699CF32F"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在不违反法律法规且对基金份额持有人利益无实质性不利影响的前提下，基金管理人可对基金收益分配原则进行调整，无需召开基金份额持有人大会。</w:t>
      </w:r>
    </w:p>
    <w:p w14:paraId="452A4444"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（四）收益分配方案</w:t>
      </w:r>
    </w:p>
    <w:p w14:paraId="0189C31E"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基金收益分配方案中应载明截至收益分配基准日的可供分配利润（如需）、基金收益分配对象、分配时间、分配数额及比例、分配方式等内容。</w:t>
      </w:r>
    </w:p>
    <w:p w14:paraId="1D0F0448"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（五）收益分配方案的确定、公告与实施</w:t>
      </w:r>
    </w:p>
    <w:p w14:paraId="64240257"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本基金收益分配方案由基金管理人拟定，并由基金托管人复核，在2日内在规定媒介公告。</w:t>
      </w:r>
    </w:p>
    <w:p w14:paraId="547AB42F"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（六）基金收益分配中发生的费用</w:t>
      </w:r>
    </w:p>
    <w:p w14:paraId="025F58E1"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基金收益分配时所发生的银行转账或其他手续费用由投资者自行承担。当投</w:t>
      </w:r>
      <w:r>
        <w:rPr>
          <w:rFonts w:ascii="宋体" w:hAnsi="宋体" w:cs="宋体"/>
          <w:kern w:val="0"/>
          <w:sz w:val="24"/>
          <w:szCs w:val="24"/>
        </w:rPr>
        <w:lastRenderedPageBreak/>
        <w:t>资者的现金红利小于一定金额，不足以支付银行转账或其他手续费用时，基金登记机构可将基金份额持有人的现金红利自动转为相应类别的基金份额。红利再投资的计算方法，依照《业务规则》执行。</w:t>
      </w:r>
    </w:p>
    <w:p w14:paraId="1EE14F23"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（七）实施侧袋机制期间的收益分配</w:t>
      </w:r>
    </w:p>
    <w:p w14:paraId="44A5A950"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本基金实施侧袋机制的，侧袋账户不进行收益分配，详见招募说明书的规定。</w:t>
      </w:r>
    </w:p>
    <w:p w14:paraId="225D4A5D" w14:textId="77777777" w:rsidR="003213F8" w:rsidRDefault="003D167A">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四、与基金财产管理、运用有关费用的提取、支付方式与比例</w:t>
      </w:r>
    </w:p>
    <w:p w14:paraId="6FFAA5A1"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（一）基金费用的种类</w:t>
      </w:r>
    </w:p>
    <w:p w14:paraId="7DB0F524"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1、基金管理人的管理费；</w:t>
      </w:r>
    </w:p>
    <w:p w14:paraId="08B95666"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2、基金托管人的托管费；</w:t>
      </w:r>
    </w:p>
    <w:p w14:paraId="49344552"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3、销售服务费；</w:t>
      </w:r>
    </w:p>
    <w:p w14:paraId="75543274"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4、《基金合同》生效后与基金相关的信息披露费用（但法律法规、中国证监会另有规定的除外）；</w:t>
      </w:r>
    </w:p>
    <w:p w14:paraId="3A2079E9"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5、《基金合同》生效后与基金相关的会计师费、律师费、仲裁费和诉讼费；</w:t>
      </w:r>
    </w:p>
    <w:p w14:paraId="0AF1BD89"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6、基金份额持有人大会费用；</w:t>
      </w:r>
    </w:p>
    <w:p w14:paraId="7700D4BB"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7、基金的证券、期货等交易费用；</w:t>
      </w:r>
    </w:p>
    <w:p w14:paraId="75EE1153"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8、基金的银行汇划费用；</w:t>
      </w:r>
    </w:p>
    <w:p w14:paraId="491BA60C"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9、基金的账户开户费用、账户维护费用；</w:t>
      </w:r>
    </w:p>
    <w:p w14:paraId="44BDEECE"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10、因投资港股通标的股票而产生的各项合理费用；</w:t>
      </w:r>
    </w:p>
    <w:p w14:paraId="457F2383"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11、按照国家有关规定和《基金合同》约定，可以在基金财产中列支的其他费用。</w:t>
      </w:r>
    </w:p>
    <w:p w14:paraId="398227CA"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（二）基金费用计提方法、计提标准和支付方式</w:t>
      </w:r>
    </w:p>
    <w:p w14:paraId="513D49FF"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1、基金管理人的管理费</w:t>
      </w:r>
    </w:p>
    <w:p w14:paraId="374C9EC5"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本基金的管理费按前一日基金资产净值的0.80%年费率计提。管理费的计算方法如下：</w:t>
      </w:r>
    </w:p>
    <w:p w14:paraId="1173AAF5"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H＝E×0.80%÷当年天数</w:t>
      </w:r>
    </w:p>
    <w:p w14:paraId="1D72461C"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H为每日应计提的基金管理费</w:t>
      </w:r>
    </w:p>
    <w:p w14:paraId="43F85020"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E为前一日的基金资产净值</w:t>
      </w:r>
    </w:p>
    <w:p w14:paraId="2826BF0E"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基金管理费每日计提，逐日累计至每月月末，按月支付，经基金管理人与基金托管人双方核对无误后，自动在次月初五个工作日内、按照指定的账户路径进</w:t>
      </w:r>
      <w:r>
        <w:rPr>
          <w:rFonts w:ascii="宋体" w:hAnsi="宋体" w:cs="宋体"/>
          <w:kern w:val="0"/>
          <w:sz w:val="24"/>
          <w:szCs w:val="24"/>
        </w:rPr>
        <w:lastRenderedPageBreak/>
        <w:t>行资金支付，基金管理人无需再出具资金划拨指令。若遇法定节假日、休息日或不可抗力致使无法按时支付的，顺延至法定节假日、休息日结束之日起5个工作日内或不可抗力情形消除之日起5个工作日内支付。</w:t>
      </w:r>
    </w:p>
    <w:p w14:paraId="717C5759"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2、基金托管人的托管费</w:t>
      </w:r>
    </w:p>
    <w:p w14:paraId="4A2FD450"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本基金的托管费按前一日基金资产净值的0.15%的年费率计提。托管费的计算方法如下：</w:t>
      </w:r>
    </w:p>
    <w:p w14:paraId="27F0D8F5"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H＝E×0.15%÷当年天数</w:t>
      </w:r>
    </w:p>
    <w:p w14:paraId="5DBFE4F3"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H为每日应计提的基金托管费</w:t>
      </w:r>
    </w:p>
    <w:p w14:paraId="25BF3617"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E为前一日的基金资产净值</w:t>
      </w:r>
    </w:p>
    <w:p w14:paraId="338AD4D7"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基金托管费每日计提，逐日累计至每月月末，按月支付，经基金管理人与基金托管人双方核对无误后，自动在次月初五个工作日内、按照指定的账户路径进行资金支付，基金管理人无需再出具资金划拨指令。若遇法定节假日、休息日或不可抗力致使无法按时支付的，顺延至法定节假日、休息日结束之日起5个工作日内或不可抗力情形消除之日起5个工作日内支付。</w:t>
      </w:r>
    </w:p>
    <w:p w14:paraId="701416B1"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3、销售服务费</w:t>
      </w:r>
    </w:p>
    <w:p w14:paraId="4DB7754B" w14:textId="522E33A0" w:rsidR="003213F8" w:rsidRDefault="003D167A">
      <w:pPr>
        <w:spacing w:line="360" w:lineRule="auto"/>
        <w:ind w:firstLine="480"/>
        <w:rPr>
          <w:rFonts w:eastAsia="Times New Roman"/>
          <w:kern w:val="0"/>
          <w:sz w:val="24"/>
          <w:szCs w:val="24"/>
        </w:rPr>
      </w:pPr>
      <w:r>
        <w:rPr>
          <w:rFonts w:ascii="宋体" w:hAnsi="宋体" w:cs="宋体"/>
          <w:kern w:val="0"/>
          <w:sz w:val="24"/>
          <w:szCs w:val="24"/>
        </w:rPr>
        <w:t>本基金A类、B类基金份额不收取销售服务费，C类基金份额的销售服务费年费率为</w:t>
      </w:r>
      <w:r w:rsidR="00DA152C">
        <w:rPr>
          <w:rFonts w:ascii="宋体" w:hAnsi="宋体" w:cs="宋体"/>
          <w:kern w:val="0"/>
          <w:sz w:val="24"/>
          <w:szCs w:val="24"/>
        </w:rPr>
        <w:t>0.20</w:t>
      </w:r>
      <w:r>
        <w:rPr>
          <w:rFonts w:ascii="宋体" w:hAnsi="宋体" w:cs="宋体"/>
          <w:kern w:val="0"/>
          <w:sz w:val="24"/>
          <w:szCs w:val="24"/>
        </w:rPr>
        <w:t>%。</w:t>
      </w:r>
    </w:p>
    <w:p w14:paraId="121B94CB"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计算方法如下：</w:t>
      </w:r>
    </w:p>
    <w:p w14:paraId="4727DB5B" w14:textId="517F720B" w:rsidR="003213F8" w:rsidRDefault="003D167A">
      <w:pPr>
        <w:spacing w:line="360" w:lineRule="auto"/>
        <w:ind w:firstLine="480"/>
        <w:rPr>
          <w:rFonts w:eastAsia="Times New Roman"/>
          <w:kern w:val="0"/>
          <w:sz w:val="24"/>
          <w:szCs w:val="24"/>
        </w:rPr>
      </w:pPr>
      <w:r>
        <w:rPr>
          <w:rFonts w:ascii="宋体" w:hAnsi="宋体" w:cs="宋体"/>
          <w:kern w:val="0"/>
          <w:sz w:val="24"/>
          <w:szCs w:val="24"/>
        </w:rPr>
        <w:t>H＝E×</w:t>
      </w:r>
      <w:r w:rsidR="00DA152C">
        <w:rPr>
          <w:rFonts w:ascii="宋体" w:hAnsi="宋体" w:cs="宋体"/>
          <w:kern w:val="0"/>
          <w:sz w:val="24"/>
          <w:szCs w:val="24"/>
        </w:rPr>
        <w:t>0.20</w:t>
      </w:r>
      <w:r>
        <w:rPr>
          <w:rFonts w:ascii="宋体" w:hAnsi="宋体" w:cs="宋体"/>
          <w:kern w:val="0"/>
          <w:sz w:val="24"/>
          <w:szCs w:val="24"/>
        </w:rPr>
        <w:t>%÷当年天数</w:t>
      </w:r>
    </w:p>
    <w:p w14:paraId="5F1700F5"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H为C类基金份额每日应计提的销售服务费</w:t>
      </w:r>
    </w:p>
    <w:p w14:paraId="108C9B1C"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E为C类基金份额前一日基金资产净值</w:t>
      </w:r>
    </w:p>
    <w:p w14:paraId="7D274E6B"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销售服务费每日计提，逐日累计至每月月末，按月支付</w:t>
      </w:r>
      <w:r w:rsidR="00DA152C">
        <w:rPr>
          <w:rStyle w:val="custom"/>
          <w:rFonts w:ascii="宋体" w:hAnsi="宋体" w:cs="宋体" w:hint="eastAsia"/>
          <w:kern w:val="0"/>
          <w:sz w:val="24"/>
          <w:szCs w:val="24"/>
        </w:rPr>
        <w:t>。</w:t>
      </w:r>
      <w:r w:rsidR="00DA152C">
        <w:rPr>
          <w:rFonts w:hint="eastAsia"/>
          <w:bCs/>
          <w:sz w:val="24"/>
        </w:rPr>
        <w:t>对于确认为基金财产支付的销售服务费</w:t>
      </w:r>
      <w:r>
        <w:rPr>
          <w:rFonts w:ascii="宋体" w:hAnsi="宋体" w:cs="宋体"/>
          <w:kern w:val="0"/>
          <w:sz w:val="24"/>
          <w:szCs w:val="24"/>
        </w:rPr>
        <w:t>，经基金管理人与基金托管人双方核对无误后，自动在次月初五个工作日内、按照指定的账户路径进行资金支付，基金管理人无需再出具资金划拨指令。若遇法定节假日、休息日或不可抗力致使无法按时支付的，顺延至法定节假日、休息日结束之日起5个工作日内或不可抗力情形消除之日起5个工作日内支付。</w:t>
      </w:r>
    </w:p>
    <w:p w14:paraId="67F8697D" w14:textId="77777777" w:rsidR="00DA152C" w:rsidRDefault="00DA152C" w:rsidP="00DA152C">
      <w:pPr>
        <w:spacing w:line="360" w:lineRule="auto"/>
        <w:ind w:firstLine="480"/>
        <w:rPr>
          <w:rFonts w:eastAsia="Times New Roman"/>
          <w:kern w:val="0"/>
          <w:sz w:val="24"/>
          <w:szCs w:val="24"/>
        </w:rPr>
      </w:pPr>
      <w:r>
        <w:rPr>
          <w:rFonts w:hint="eastAsia"/>
          <w:bCs/>
          <w:sz w:val="24"/>
        </w:rPr>
        <w:t>其中，对于投资者通过直销机构认购</w:t>
      </w:r>
      <w:r>
        <w:rPr>
          <w:bCs/>
          <w:sz w:val="24"/>
        </w:rPr>
        <w:t>/</w:t>
      </w:r>
      <w:r>
        <w:rPr>
          <w:rFonts w:hint="eastAsia"/>
          <w:bCs/>
          <w:sz w:val="24"/>
        </w:rPr>
        <w:t>申购的</w:t>
      </w:r>
      <w:r>
        <w:rPr>
          <w:rFonts w:hint="eastAsia"/>
          <w:bCs/>
          <w:sz w:val="24"/>
        </w:rPr>
        <w:t>C</w:t>
      </w:r>
      <w:r>
        <w:rPr>
          <w:rFonts w:hint="eastAsia"/>
          <w:bCs/>
          <w:sz w:val="24"/>
        </w:rPr>
        <w:t>类基金份额所计提的销售服务费或者通过其他销售机构认购</w:t>
      </w:r>
      <w:r>
        <w:rPr>
          <w:bCs/>
          <w:sz w:val="24"/>
        </w:rPr>
        <w:t>/</w:t>
      </w:r>
      <w:r>
        <w:rPr>
          <w:rFonts w:hint="eastAsia"/>
          <w:bCs/>
          <w:sz w:val="24"/>
        </w:rPr>
        <w:t>申购且持续持有期限超过一年（即</w:t>
      </w:r>
      <w:r>
        <w:rPr>
          <w:rFonts w:hint="eastAsia"/>
          <w:bCs/>
          <w:sz w:val="24"/>
        </w:rPr>
        <w:t>3</w:t>
      </w:r>
      <w:r>
        <w:rPr>
          <w:bCs/>
          <w:sz w:val="24"/>
        </w:rPr>
        <w:t>65</w:t>
      </w:r>
      <w:r>
        <w:rPr>
          <w:rFonts w:hint="eastAsia"/>
          <w:bCs/>
          <w:sz w:val="24"/>
        </w:rPr>
        <w:t>天）</w:t>
      </w:r>
      <w:r>
        <w:rPr>
          <w:rFonts w:hint="eastAsia"/>
          <w:bCs/>
          <w:sz w:val="24"/>
          <w:lang w:bidi="en-US"/>
        </w:rPr>
        <w:t>以</w:t>
      </w:r>
      <w:r>
        <w:rPr>
          <w:rFonts w:hint="eastAsia"/>
          <w:bCs/>
          <w:sz w:val="24"/>
          <w:lang w:bidi="en-US"/>
        </w:rPr>
        <w:lastRenderedPageBreak/>
        <w:t>后继续计提</w:t>
      </w:r>
      <w:r>
        <w:rPr>
          <w:rFonts w:hint="eastAsia"/>
          <w:bCs/>
          <w:sz w:val="24"/>
        </w:rPr>
        <w:t>的</w:t>
      </w:r>
      <w:r>
        <w:rPr>
          <w:bCs/>
          <w:sz w:val="24"/>
        </w:rPr>
        <w:t>C</w:t>
      </w:r>
      <w:r>
        <w:rPr>
          <w:rFonts w:hint="eastAsia"/>
          <w:bCs/>
          <w:sz w:val="24"/>
        </w:rPr>
        <w:t>类基金份额销售服务费，将在投资者赎回相应基金份额或基金合同终止时随赎回款或清算款一并返还给投资者。</w:t>
      </w:r>
    </w:p>
    <w:p w14:paraId="3FF3BBC0"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上述“</w:t>
      </w:r>
      <w:r w:rsidR="0052289A">
        <w:rPr>
          <w:rFonts w:ascii="宋体" w:hAnsi="宋体" w:cs="宋体" w:hint="eastAsia"/>
          <w:kern w:val="0"/>
          <w:sz w:val="24"/>
          <w:szCs w:val="24"/>
        </w:rPr>
        <w:t>（</w:t>
      </w:r>
      <w:r>
        <w:rPr>
          <w:rFonts w:ascii="宋体" w:hAnsi="宋体" w:cs="宋体"/>
          <w:kern w:val="0"/>
          <w:sz w:val="24"/>
          <w:szCs w:val="24"/>
        </w:rPr>
        <w:t>一</w:t>
      </w:r>
      <w:r w:rsidR="0052289A">
        <w:rPr>
          <w:rFonts w:ascii="宋体" w:hAnsi="宋体" w:cs="宋体" w:hint="eastAsia"/>
          <w:kern w:val="0"/>
          <w:sz w:val="24"/>
          <w:szCs w:val="24"/>
        </w:rPr>
        <w:t>）</w:t>
      </w:r>
      <w:r>
        <w:rPr>
          <w:rFonts w:ascii="宋体" w:hAnsi="宋体" w:cs="宋体"/>
          <w:kern w:val="0"/>
          <w:sz w:val="24"/>
          <w:szCs w:val="24"/>
        </w:rPr>
        <w:t>基金费用的种类”中第4－11项费用，根据有关法规及相应协议规定，按费用实际支出金额列入当期费用，由基金托管人从基金财产中支付。</w:t>
      </w:r>
    </w:p>
    <w:p w14:paraId="04767857"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（三）不列入基金费用的项目</w:t>
      </w:r>
    </w:p>
    <w:p w14:paraId="4FF34EF0"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下列费用不列入基金费用：</w:t>
      </w:r>
    </w:p>
    <w:p w14:paraId="442822E8"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1、基金管理人和基金托管人因未履行或未完全履行义务导致的费用支出或基金财产的损失；</w:t>
      </w:r>
    </w:p>
    <w:p w14:paraId="52CFF054"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2、基金管理人和基金托管人处理与基金运作无关的事项发生的费用；</w:t>
      </w:r>
    </w:p>
    <w:p w14:paraId="0E439C63"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3、《基金合同》生效前的相关费用；</w:t>
      </w:r>
    </w:p>
    <w:p w14:paraId="52D33B95"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4、基金的指数许可使用费（该费用由基金管理人承担）；</w:t>
      </w:r>
    </w:p>
    <w:p w14:paraId="0CA1B71F"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5、其他根据相关法律法规及中国证监会的有关规定不得列入基金费用的项目。</w:t>
      </w:r>
    </w:p>
    <w:p w14:paraId="32FADAA2"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（四）实施侧袋机制期间的基金费用</w:t>
      </w:r>
    </w:p>
    <w:p w14:paraId="5CA23F6F"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本基金实施侧袋机制的，与侧袋账户有关的费用可以从侧袋账户中列支，但应待侧袋账户资产变现后方可列支，有关费用可酌情收取或减免，但不得收取管理费，详见招募说明书的规定。</w:t>
      </w:r>
    </w:p>
    <w:p w14:paraId="57686335"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（五）基金税收</w:t>
      </w:r>
    </w:p>
    <w:p w14:paraId="5AB2D8F2"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1A399CF3" w14:textId="77777777" w:rsidR="003213F8" w:rsidRDefault="003D167A">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五、基金财产的投资范围和投资限制</w:t>
      </w:r>
    </w:p>
    <w:p w14:paraId="2F46D25F"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（一）投资范围</w:t>
      </w:r>
    </w:p>
    <w:p w14:paraId="4B0153EA"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本基金的投资范围为具有良好流动性的金融工具，包括国内依法发行上市的股票（含主板、科创板、创业板及其他经中国证监会允许上市的股票、存托凭证）、港股通标的股票、债券（包括国债、央行票据、金融债、企业债、公司债、中期票据、短期融资券、超短期融资券、次级债券、政府支持债券、政府支持机构债券、地方政府债券、可交换债券、可转换债券（含分离交易可转债）及其他经中国证监会允许投资的债券）、股指期货、国债期货、股票期权、资产支持证券、债券回购、同业存单、银行存款（包含协议存款、定期存款及其他银行存款）、</w:t>
      </w:r>
      <w:r>
        <w:rPr>
          <w:rFonts w:ascii="宋体" w:hAnsi="宋体" w:cs="宋体"/>
          <w:kern w:val="0"/>
          <w:sz w:val="24"/>
          <w:szCs w:val="24"/>
        </w:rPr>
        <w:lastRenderedPageBreak/>
        <w:t>货币市场工具以及法律法规或中国证监会允许基金投资的其他金融工具(但须符合中国证监会相关规定)。</w:t>
      </w:r>
    </w:p>
    <w:p w14:paraId="0CFD03D7"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本基金还可根据法律法规参与融资及转融通证券出借业务。</w:t>
      </w:r>
    </w:p>
    <w:p w14:paraId="6188FBB0"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如法律法规或监管机构以后允许基金投资其他品种，基金管理人在履行适当程序后，可以将其纳入投资范围。</w:t>
      </w:r>
    </w:p>
    <w:p w14:paraId="5F2C6BB2"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基金的投资组合比例为：本基金投资于股票的资产不低于基金资产的80%，投资于标的指数成份股及其备选成份股的比例不低于非现金基金资产的80%。其中，投资于港股通标的股票的比例不超过股票资产的50%。每个交易日日终在扣除国债期货、股指期货和股票期权合约需缴纳的交易保证金后，本基金保留的现金或投资于到期日在一年以内的政府债券的比例合计不低于基金资产净值的5%。其中现金不包括结算备付金、存出保证金、应收申购款等。</w:t>
      </w:r>
    </w:p>
    <w:p w14:paraId="462C86EC"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如法律法规或监管机构变更投资品种的投资比例限制，基金管理人在履行适当程序后，可以调整上述投资品种的投资比例。</w:t>
      </w:r>
    </w:p>
    <w:p w14:paraId="3540DDDB"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（二）投资限制</w:t>
      </w:r>
    </w:p>
    <w:p w14:paraId="148BF766"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1、组合限制</w:t>
      </w:r>
    </w:p>
    <w:p w14:paraId="589EB98D"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基金的投资组合应遵循以下限制：</w:t>
      </w:r>
    </w:p>
    <w:p w14:paraId="5C414A96"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（1）本基金投资于股票的资产不低于基金资产的80%，投资于标的指数成份股及其备选成份股的比例不低于非现金基金资产的80%；其中，投资于港股通标的股票的比例不超过股票资产的50%；</w:t>
      </w:r>
    </w:p>
    <w:p w14:paraId="4FD739B4"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每个交易日日终在扣除国债期货、股指期货和股票期权合约需缴纳的交易保证金后，本基金保留的现金或投资于到期日在一年以内的政府债券的比例合计不低于基金资产净值的5%。其中现金不包括结算备付金、存出保证金和应收申购款等；</w:t>
      </w:r>
    </w:p>
    <w:p w14:paraId="0ECD86BC"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（3）本基金持有一家公司发行的证券（同一家公司在内地和香港同时上市的A+H股合并计算），其市值不超过基金资产净值的10％，完全按照有关指数的构成比例进行证券投资的部分不受此限制；</w:t>
      </w:r>
    </w:p>
    <w:p w14:paraId="7DB693B0"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（4）本基金管理人管理的全部基金持有一家公司发行的证券（同一家公司在内地和香港同时上市的A+H股合并计算），不超过该证券的10％，完全按照有关指数的构成比例进行证券投资的部分不受此限制；</w:t>
      </w:r>
    </w:p>
    <w:p w14:paraId="604CCC62"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lastRenderedPageBreak/>
        <w:t>（5）本基金投资于同一原始权益人的各类资产支持证券的比例，不得超过基金资产净值的10%；</w:t>
      </w:r>
    </w:p>
    <w:p w14:paraId="7D49B8C5"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（6）本基金持有的全部资产支持证券，其市值不得超过基金资产净值的20%；</w:t>
      </w:r>
    </w:p>
    <w:p w14:paraId="1042505C"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（7）本基金持有的同一(指同一信用级别)资产支持证券的比例，不得超过该资产支持证券规模的10%；</w:t>
      </w:r>
    </w:p>
    <w:p w14:paraId="5B119763"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（8）本基金管理人管理的全部基金投资于同一原始权益人的各类资产支持证券，不得超过其各类资产支持证券合计规模的10%；</w:t>
      </w:r>
    </w:p>
    <w:p w14:paraId="4CE9931F"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（9）本基金应投资于信用级别评级为BBB以上(含BBB)的资产支持证券。基金持有资产支持证券期间，如果其信用等级下降、不再符合投资标准，应在评级报告发布之日起3个月内予以全部卖出；</w:t>
      </w:r>
    </w:p>
    <w:p w14:paraId="37BDE427"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（10）基金财产参与股票发行申购，本基金所申报的金额不超过本基金的总资产，本基金所申报的股票数量不超过拟发行股票公司本次发行股票的总量；</w:t>
      </w:r>
    </w:p>
    <w:p w14:paraId="0AE6887C"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11）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部分不受此限制；</w:t>
      </w:r>
    </w:p>
    <w:p w14:paraId="490EA821"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12）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5254E4D6"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（13）本基金与私募类证券资管产品及中国证监会认定的其他主体为交易对手开展逆回购交易的，可接受质押品的资质要求应当与本基金合同约定的投资范围保持一致；</w:t>
      </w:r>
    </w:p>
    <w:p w14:paraId="1DDBC055"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（14）本基金资产总值不超过基金资产净值的140%；</w:t>
      </w:r>
    </w:p>
    <w:p w14:paraId="126E4783"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（15）本基金参与股指期货和国债期货交易的，应当遵守下列要求：</w:t>
      </w:r>
    </w:p>
    <w:p w14:paraId="2BBA1CC5"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1DEE838A"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lastRenderedPageBreak/>
        <w:t>2）本基金在任何交易日日终，持有的买入股指期货合约价值，不得超过基金资产净值的10%；在任何交易日日终，持有的卖出股指期货合约价值不得超过基金持有的股票总市值的20%；本基金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62391408"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3）本基金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14:paraId="42C25B03"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16）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14:paraId="352A4F58"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（17）本基金参与融资的，每个交易日日终，本基金持有的融资买入股票与其他有价证券市值之和，不得超过基金资产净值的95%；</w:t>
      </w:r>
    </w:p>
    <w:p w14:paraId="3332A0DC"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18）本基金参与转融通证券出借业务的，应当符合下列要求：最近6个月内日均基金资产净值不得低于2亿元；参与转融通证券出借业务的资产不得超过基金资产净值的30%，其中出借期限在10个交易日以上的出借证券归为流动性受限资产；参与转融通证券出借业务的单只证券不得超过基金持有该证券总量的50%；证券出借的平均剩余期限不得超过30天，平均剩余期限按照市值加权平均计算；</w:t>
      </w:r>
    </w:p>
    <w:p w14:paraId="3851F31C"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（19）本基金投资存托凭证的比例限制依照境内上市交易的股票执行；</w:t>
      </w:r>
    </w:p>
    <w:p w14:paraId="3AE8552F"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（20）法律法规及中国证监会规定的和《基金合同》约定的其他投资限制。</w:t>
      </w:r>
    </w:p>
    <w:p w14:paraId="7E18C802"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除上述第（2）、（9）、（12）、（13）、（18）项情形之外，因证券/期</w:t>
      </w:r>
      <w:r>
        <w:rPr>
          <w:rFonts w:ascii="宋体" w:hAnsi="宋体" w:cs="宋体"/>
          <w:kern w:val="0"/>
          <w:sz w:val="24"/>
          <w:szCs w:val="24"/>
        </w:rPr>
        <w:lastRenderedPageBreak/>
        <w:t>货市场波动、证券发行人合并、标的指数成份股调整、标的指数成份股流动性限制、基金规模变动等基金管理人之外的因素致使基金投资比例不符合上述规定投资比例的，基金管理人应当在10个交易日内进行调整，但中国证监会规定的特殊情形除外。</w:t>
      </w:r>
    </w:p>
    <w:p w14:paraId="17BDF010"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因证券市场波动、证券发行人合并、基金规模变动等基金管理人之外的因素致使基金投资不符合第（18）项规定的，基金管理人不得新增出借业务。</w:t>
      </w:r>
    </w:p>
    <w:p w14:paraId="6CAF48B0"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法律法规另有规定的从其规定。</w:t>
      </w:r>
    </w:p>
    <w:p w14:paraId="1B846E98"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42936B00"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14:paraId="2C7CB82B"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2、禁止行为</w:t>
      </w:r>
    </w:p>
    <w:p w14:paraId="47B202F1"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为维护基金份额持有人的合法权益，基金财产不得用于下列投资或者活动：</w:t>
      </w:r>
    </w:p>
    <w:p w14:paraId="1327AFAB"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（1）承销证券；</w:t>
      </w:r>
    </w:p>
    <w:p w14:paraId="748AFDF9"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（2）违反规定向他人贷款或者提供担保；</w:t>
      </w:r>
    </w:p>
    <w:p w14:paraId="133E24E8"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（3）从事承担无限责任的投资；</w:t>
      </w:r>
    </w:p>
    <w:p w14:paraId="521A9E0A"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（4）买卖其他基金份额，但是法律法规或中国证监会另有规定的除外；</w:t>
      </w:r>
    </w:p>
    <w:p w14:paraId="622DC397"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（5）向其基金管理人、基金托管人出资；</w:t>
      </w:r>
    </w:p>
    <w:p w14:paraId="10B56F85"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（6）从事内幕交易、操纵证券交易价格及其他不正当的证券交易活动；</w:t>
      </w:r>
    </w:p>
    <w:p w14:paraId="1B83F7DE"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（7）法律、行政法规和中国证监会规定禁止的其他活动。</w:t>
      </w:r>
    </w:p>
    <w:p w14:paraId="30C8BC1E"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FE594C8"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lastRenderedPageBreak/>
        <w:t>法律法规或监管部门取消或调整上述限制，如适用于本基金，基金管理人在履行适当程序后，则本基金投资不再受相关限制或以调整以后的规定为准。</w:t>
      </w:r>
    </w:p>
    <w:p w14:paraId="458973E1" w14:textId="77777777" w:rsidR="003213F8" w:rsidRDefault="003D167A">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六、基金资产净值的计算方法和公告方式</w:t>
      </w:r>
    </w:p>
    <w:p w14:paraId="452F538F"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（一）估值方法</w:t>
      </w:r>
    </w:p>
    <w:p w14:paraId="43A5601A"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1、证券交易所上市的有价证券的估值</w:t>
      </w:r>
    </w:p>
    <w:p w14:paraId="3A64A667"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425098E8"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2）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2906CDCE"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（3）交易所上市不存在活跃市场的有价证券，采用估值技术确定公允价值。</w:t>
      </w:r>
    </w:p>
    <w:p w14:paraId="0512234B"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2、处于未上市期间的有价证券应区分如下情况处理：</w:t>
      </w:r>
    </w:p>
    <w:p w14:paraId="23E0A45A"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（1）送股、转增股、配股和公开增发的新股，按估值日在证券交易所挂牌的同一股票的估值方法估值；该日无交易的，以最近一日的市价（收盘价）估值；</w:t>
      </w:r>
    </w:p>
    <w:p w14:paraId="7C0DDBB2"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（2）首次公开发行未上市的股票，采用估值技术确定公允价值，在估值技术难以可靠计量公允价值的情况下，按成本估值；</w:t>
      </w:r>
    </w:p>
    <w:p w14:paraId="3AB2350C"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61A9F116"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3、以公允价值计量的固定收益品种</w:t>
      </w:r>
    </w:p>
    <w:p w14:paraId="4F92D021"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（1）对于已上市或已挂牌转让的不含权固定收益品种，选取第三方估值基准服务机构提供的相应品种当日的估值全价；</w:t>
      </w:r>
    </w:p>
    <w:p w14:paraId="4E47547C"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（2）对于已上市或已挂牌转让的含权固定收益品种，选取第三方估值基准服务机构提供的相应品种当日的唯一估值全价或推荐估值全价；</w:t>
      </w:r>
    </w:p>
    <w:p w14:paraId="2180F25D"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（3）对于含投资者回售权的固定收益品种，行使回售权的，在回售登记日</w:t>
      </w:r>
      <w:r>
        <w:rPr>
          <w:rFonts w:ascii="宋体" w:hAnsi="宋体" w:cs="宋体"/>
          <w:kern w:val="0"/>
          <w:sz w:val="24"/>
          <w:szCs w:val="24"/>
        </w:rPr>
        <w:lastRenderedPageBreak/>
        <w:t>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6ADEA10A"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（4）对于未上市或未挂牌转让且不存在活跃市场的固定收益品种，应采用在当前情况下适用并且有足够可利用数据和其他信息支持的估值技术确定其公允价值。</w:t>
      </w:r>
    </w:p>
    <w:p w14:paraId="79D4F2DE"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4、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797620C3"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5、同一证券同时在两个或两个以上市场交易的，按证券所处的市场分别估值。</w:t>
      </w:r>
    </w:p>
    <w:p w14:paraId="43D3CB41"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6、本基金投资股指期货合约，一般以股指期货估值日的结算价进行估值，估值当日无结算价的，且最近交易日后经济环境未发生重大变化的，采用最近交易日结算价估值。</w:t>
      </w:r>
    </w:p>
    <w:p w14:paraId="2F29648A"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7、本基金投资股票期权合约，一般以股票期权估值日的结算价进行估值，估值当日无结算价的，且最近交易日后经济环境未发生重大变化的，采用最近交易日结算价估值。</w:t>
      </w:r>
    </w:p>
    <w:p w14:paraId="6202D97F"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8、本基金投资国债期货合约，一般以国债期货估值日的结算价进行估值，估值当日无结算价的，且最近交易日后经济环境未发生重大变化的，采用最近交易日结算价估值。</w:t>
      </w:r>
    </w:p>
    <w:p w14:paraId="225ED566"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9、估值计算中涉及港币或其他外币币种对人民币汇率的，将依据下列信息提供机构所提供的汇率为基准：当日中国人民银行或其授权机构公布的人民币汇率的中间价，或其他可以反映公允价值的汇率进行估值。</w:t>
      </w:r>
    </w:p>
    <w:p w14:paraId="2B2D71FD"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w:t>
      </w:r>
      <w:r>
        <w:rPr>
          <w:rFonts w:ascii="宋体" w:hAnsi="宋体" w:cs="宋体"/>
          <w:kern w:val="0"/>
          <w:sz w:val="24"/>
          <w:szCs w:val="24"/>
        </w:rPr>
        <w:lastRenderedPageBreak/>
        <w:t>估算的应交税金有差异的，基金将在相关税金调整日或实际支付日进行相应的估值调整。</w:t>
      </w:r>
    </w:p>
    <w:p w14:paraId="097AB8C7"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10、本基金参与融资和转融通证券出借业务的，按照相关法律法规和行业协会的相关规定进行估值。</w:t>
      </w:r>
    </w:p>
    <w:p w14:paraId="440F50CE"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11、本基金投资存托凭证的估值核算，依照境内上市交易的股票进行。</w:t>
      </w:r>
    </w:p>
    <w:p w14:paraId="1A9BD69D"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12、如有确凿证据表明按上述方法进行估值不能客观反映其公允价值的，基金管理人可根据具体情况与基金托管人商定后，按最能反映公允价值的价格估值。</w:t>
      </w:r>
    </w:p>
    <w:p w14:paraId="67850E76"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13、当发生大额申购或赎回情形时，基金管理人可以采用摆动定价机制，以确保基金估值的公平性。</w:t>
      </w:r>
    </w:p>
    <w:p w14:paraId="7688C55E"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14、相关法律法规以及监管部门有强制规定的，从其规定。如有新增事项，按国家最新规定估值。</w:t>
      </w:r>
    </w:p>
    <w:p w14:paraId="780894B1"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7C3D39B7"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53DC2594"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（二）估值程序</w:t>
      </w:r>
    </w:p>
    <w:p w14:paraId="3F9A8199"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1、各类基金份额净值是按照每个估值日闭市后，各类基金资产净值除以当日该类基金份额的余额数量计算，均精确到0.0001元，小数点后第5位四舍五入，由此产生的误差计入基金财产。基金管理人可以设立大额赎回情形下的净值精度应急调整机制。国家另有规定的，从其规定。</w:t>
      </w:r>
    </w:p>
    <w:p w14:paraId="256A9477"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基金管理人每个估值日计算基金资产净值及各类基金份额净值，并按规定公告。</w:t>
      </w:r>
    </w:p>
    <w:p w14:paraId="04CE5075"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2、基金管理人应每个估值日对基金资产估值。但基金管理人根据法律法规或本基金合同的规定暂停估值时除外。基金管理人每个估值日对基金资产估值后，将各类基金份额净值结果发送基金托管人，经基金托管人复核无误后，由基金管</w:t>
      </w:r>
      <w:r>
        <w:rPr>
          <w:rFonts w:ascii="宋体" w:hAnsi="宋体" w:cs="宋体"/>
          <w:kern w:val="0"/>
          <w:sz w:val="24"/>
          <w:szCs w:val="24"/>
        </w:rPr>
        <w:lastRenderedPageBreak/>
        <w:t>理人按约定对外公布。</w:t>
      </w:r>
    </w:p>
    <w:p w14:paraId="79F146F5" w14:textId="77777777" w:rsidR="003213F8" w:rsidRDefault="003D167A">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七、基金合同解除和终止的事由、程序以及基金财产清算方式</w:t>
      </w:r>
    </w:p>
    <w:p w14:paraId="383C1685"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（一）《基金合同》的变更</w:t>
      </w:r>
    </w:p>
    <w:p w14:paraId="7438CD58"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422AB1CA"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2、关于《基金合同》变更的基金份额持有人大会决议自生效后方可执行，自决议生效后两日内在规定媒介公告。</w:t>
      </w:r>
    </w:p>
    <w:p w14:paraId="7AF35FEE"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（二）《基金合同》的终止事由</w:t>
      </w:r>
    </w:p>
    <w:p w14:paraId="65B42D96"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有下列情形之一的，经履行相关程序后，《基金合同》应当终止：</w:t>
      </w:r>
    </w:p>
    <w:p w14:paraId="4C45C4B5"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1、基金份额持有人大会决定终止的；</w:t>
      </w:r>
    </w:p>
    <w:p w14:paraId="2B983F34"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2、基金管理人、基金托管人职责终止，在6个月内没有新基金管理人、新基金托管人承接的；</w:t>
      </w:r>
    </w:p>
    <w:p w14:paraId="0ABD7381"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3、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2104C587"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4、《基金合同》约定的其他情形；</w:t>
      </w:r>
    </w:p>
    <w:p w14:paraId="4F1A7F38"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5、相关法律法规和中国证监会规定的其他情况。</w:t>
      </w:r>
    </w:p>
    <w:p w14:paraId="468F6381"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（三）基金财产的清算</w:t>
      </w:r>
    </w:p>
    <w:p w14:paraId="05E935BE"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1、基金财产清算小组：自出现《基金合同》终止事由之日起30个工作日内成立清算小组，基金管理人组织基金财产清算小组并在中国证监会的监督下进行基金清算。</w:t>
      </w:r>
    </w:p>
    <w:p w14:paraId="5EBF6063"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6EE18FCD"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3、基金财产清算小组职责：基金财产清算小组负责基金财产的保管、清理、估价、变现和分配。基金财产清算小组可以依法进行必要的民事活动。</w:t>
      </w:r>
    </w:p>
    <w:p w14:paraId="5E56A382"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4、基金财产清算程序：</w:t>
      </w:r>
    </w:p>
    <w:p w14:paraId="3CCB8BC4"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lastRenderedPageBreak/>
        <w:t>（1）《基金合同》终止情形出现时，由基金财产清算小组统一接管基金；</w:t>
      </w:r>
    </w:p>
    <w:p w14:paraId="67BDBA5D"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（2）对基金财产和债权债务进行清理和确认；</w:t>
      </w:r>
    </w:p>
    <w:p w14:paraId="74A36BA8"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（3）对基金财产进行估值和变现；</w:t>
      </w:r>
    </w:p>
    <w:p w14:paraId="3C65FF1F"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（4）制作清算报告；</w:t>
      </w:r>
    </w:p>
    <w:p w14:paraId="2FF9221A"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（5）聘请符合《中华人民共和国证券法》规定的会计师事务所对清算报告进行外部审计，聘请律师事务所对清算报告出具法律意见书；</w:t>
      </w:r>
    </w:p>
    <w:p w14:paraId="039E111F"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（6）将清算报告报中国证监会备案并公告；</w:t>
      </w:r>
    </w:p>
    <w:p w14:paraId="62038549"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（7）对基金剩余财产进行分配。</w:t>
      </w:r>
    </w:p>
    <w:p w14:paraId="3C1D361C"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5、基金财产清算的期限为6个月，但因本基金所持证券的流动性受到限制而不能及时变现的，清算期限相应顺延。</w:t>
      </w:r>
    </w:p>
    <w:p w14:paraId="47B19BED"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（四）清算费用</w:t>
      </w:r>
    </w:p>
    <w:p w14:paraId="03B79F14"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清算费用是指基金财产清算小组在进行基金财产清算过程中发生的所有合理费用，清算费用由基金财产清算小组优先从基金剩余财产中支付。</w:t>
      </w:r>
    </w:p>
    <w:p w14:paraId="365E7CC9"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（五）基金财产清算剩余资产的分配</w:t>
      </w:r>
    </w:p>
    <w:p w14:paraId="61E5FF89"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依据基金财产清算的分配方案，将基金财产清算后的全部剩余资产扣除基金财产清算费用、交纳所欠税款并清偿基金债务后，按基金份额持有人持有的基金份额比例进行分配。</w:t>
      </w:r>
    </w:p>
    <w:p w14:paraId="4F8926C6" w14:textId="77777777" w:rsidR="00F44255" w:rsidRDefault="00F44255" w:rsidP="00F44255">
      <w:pPr>
        <w:spacing w:line="360" w:lineRule="auto"/>
        <w:ind w:firstLine="480"/>
        <w:rPr>
          <w:rFonts w:eastAsia="Times New Roman"/>
          <w:kern w:val="0"/>
          <w:sz w:val="24"/>
          <w:szCs w:val="24"/>
        </w:rPr>
      </w:pPr>
      <w:r w:rsidRPr="00767C2D">
        <w:rPr>
          <w:rFonts w:eastAsiaTheme="minorEastAsia" w:hint="eastAsia"/>
          <w:kern w:val="0"/>
          <w:sz w:val="24"/>
          <w:szCs w:val="24"/>
        </w:rPr>
        <w:t>其中，对于投资者通过直销机构认购</w:t>
      </w:r>
      <w:r w:rsidRPr="00767C2D">
        <w:rPr>
          <w:rFonts w:eastAsiaTheme="minorEastAsia" w:hint="eastAsia"/>
          <w:kern w:val="0"/>
          <w:sz w:val="24"/>
          <w:szCs w:val="24"/>
        </w:rPr>
        <w:t>/</w:t>
      </w:r>
      <w:r w:rsidRPr="00767C2D">
        <w:rPr>
          <w:rFonts w:eastAsiaTheme="minorEastAsia" w:hint="eastAsia"/>
          <w:kern w:val="0"/>
          <w:sz w:val="24"/>
          <w:szCs w:val="24"/>
        </w:rPr>
        <w:t>申购的</w:t>
      </w:r>
      <w:bookmarkStart w:id="72" w:name="_Hlk218689035"/>
      <w:r>
        <w:rPr>
          <w:rFonts w:hint="eastAsia"/>
          <w:bCs/>
          <w:sz w:val="24"/>
          <w:lang w:bidi="en-US"/>
        </w:rPr>
        <w:t>C</w:t>
      </w:r>
      <w:r>
        <w:rPr>
          <w:rFonts w:hint="eastAsia"/>
          <w:bCs/>
          <w:sz w:val="24"/>
          <w:lang w:bidi="en-US"/>
        </w:rPr>
        <w:t>类基金份额所计提的销售服务费</w:t>
      </w:r>
      <w:bookmarkEnd w:id="72"/>
      <w:r w:rsidRPr="00767C2D">
        <w:rPr>
          <w:rFonts w:eastAsiaTheme="minorEastAsia" w:hint="eastAsia"/>
          <w:kern w:val="0"/>
          <w:sz w:val="24"/>
          <w:szCs w:val="24"/>
        </w:rPr>
        <w:t>或者通过其他销售机构认购</w:t>
      </w:r>
      <w:r w:rsidRPr="00767C2D">
        <w:rPr>
          <w:rFonts w:eastAsiaTheme="minorEastAsia" w:hint="eastAsia"/>
          <w:kern w:val="0"/>
          <w:sz w:val="24"/>
          <w:szCs w:val="24"/>
        </w:rPr>
        <w:t>/</w:t>
      </w:r>
      <w:r w:rsidRPr="00767C2D">
        <w:rPr>
          <w:rFonts w:eastAsiaTheme="minorEastAsia" w:hint="eastAsia"/>
          <w:kern w:val="0"/>
          <w:sz w:val="24"/>
          <w:szCs w:val="24"/>
        </w:rPr>
        <w:t>申购且持续持有期限超过一年</w:t>
      </w:r>
      <w:bookmarkStart w:id="73" w:name="_Hlk218689041"/>
      <w:r>
        <w:rPr>
          <w:rFonts w:eastAsiaTheme="minorEastAsia" w:hint="eastAsia"/>
          <w:kern w:val="0"/>
          <w:sz w:val="24"/>
          <w:szCs w:val="24"/>
        </w:rPr>
        <w:t>（即</w:t>
      </w:r>
      <w:r>
        <w:rPr>
          <w:rFonts w:eastAsiaTheme="minorEastAsia" w:hint="eastAsia"/>
          <w:kern w:val="0"/>
          <w:sz w:val="24"/>
          <w:szCs w:val="24"/>
        </w:rPr>
        <w:t>3</w:t>
      </w:r>
      <w:r>
        <w:rPr>
          <w:rFonts w:eastAsiaTheme="minorEastAsia"/>
          <w:kern w:val="0"/>
          <w:sz w:val="24"/>
          <w:szCs w:val="24"/>
        </w:rPr>
        <w:t>65</w:t>
      </w:r>
      <w:r>
        <w:rPr>
          <w:rFonts w:eastAsiaTheme="minorEastAsia" w:hint="eastAsia"/>
          <w:kern w:val="0"/>
          <w:sz w:val="24"/>
          <w:szCs w:val="24"/>
        </w:rPr>
        <w:t>天）以后继续计提</w:t>
      </w:r>
      <w:bookmarkEnd w:id="73"/>
      <w:r w:rsidRPr="00767C2D">
        <w:rPr>
          <w:rFonts w:eastAsiaTheme="minorEastAsia" w:hint="eastAsia"/>
          <w:kern w:val="0"/>
          <w:sz w:val="24"/>
          <w:szCs w:val="24"/>
        </w:rPr>
        <w:t>的</w:t>
      </w:r>
      <w:r w:rsidRPr="00767C2D">
        <w:rPr>
          <w:rFonts w:eastAsiaTheme="minorEastAsia" w:hint="eastAsia"/>
          <w:kern w:val="0"/>
          <w:sz w:val="24"/>
          <w:szCs w:val="24"/>
        </w:rPr>
        <w:t>C</w:t>
      </w:r>
      <w:r w:rsidRPr="00767C2D">
        <w:rPr>
          <w:rFonts w:eastAsiaTheme="minorEastAsia" w:hint="eastAsia"/>
          <w:kern w:val="0"/>
          <w:sz w:val="24"/>
          <w:szCs w:val="24"/>
        </w:rPr>
        <w:t>类基金份额销售服务费</w:t>
      </w:r>
      <w:r>
        <w:rPr>
          <w:rFonts w:eastAsiaTheme="minorEastAsia" w:hint="eastAsia"/>
          <w:kern w:val="0"/>
          <w:sz w:val="24"/>
          <w:szCs w:val="24"/>
        </w:rPr>
        <w:t>，</w:t>
      </w:r>
      <w:r w:rsidRPr="00767C2D">
        <w:rPr>
          <w:rFonts w:eastAsiaTheme="minorEastAsia" w:hint="eastAsia"/>
          <w:kern w:val="0"/>
          <w:sz w:val="24"/>
          <w:szCs w:val="24"/>
        </w:rPr>
        <w:t>将在基金合同终止时随</w:t>
      </w:r>
      <w:r>
        <w:rPr>
          <w:rFonts w:eastAsiaTheme="minorEastAsia" w:hint="eastAsia"/>
          <w:kern w:val="0"/>
          <w:sz w:val="24"/>
          <w:szCs w:val="24"/>
        </w:rPr>
        <w:t>清算款</w:t>
      </w:r>
      <w:r w:rsidRPr="00767C2D">
        <w:rPr>
          <w:rFonts w:eastAsiaTheme="minorEastAsia" w:hint="eastAsia"/>
          <w:kern w:val="0"/>
          <w:sz w:val="24"/>
          <w:szCs w:val="24"/>
        </w:rPr>
        <w:t>一并返还给投资者。</w:t>
      </w:r>
    </w:p>
    <w:p w14:paraId="5BA16B5F"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（六）基金财产清算的公告</w:t>
      </w:r>
    </w:p>
    <w:p w14:paraId="5AA0F580"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6BF70F1B"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（七）基金财产清算账册及文件的保存</w:t>
      </w:r>
    </w:p>
    <w:p w14:paraId="000B7653"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基金财产清算账册及有关文件由基金托管人保存，保存期限不少于法定最低</w:t>
      </w:r>
      <w:r>
        <w:rPr>
          <w:rFonts w:ascii="宋体" w:hAnsi="宋体" w:cs="宋体"/>
          <w:kern w:val="0"/>
          <w:sz w:val="24"/>
          <w:szCs w:val="24"/>
        </w:rPr>
        <w:lastRenderedPageBreak/>
        <w:t>期限。</w:t>
      </w:r>
    </w:p>
    <w:p w14:paraId="52C6F6D6" w14:textId="77777777" w:rsidR="003213F8" w:rsidRDefault="003D167A">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八、争议解决方式</w:t>
      </w:r>
    </w:p>
    <w:p w14:paraId="35F861C9"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各方当事人同意，因《基金合同》而产生的或与《基金合同》有关的一切争议可通过友好协商或者调解解决，如未能协商或者调解解决的，任何一方均有权将争议提交中国国际经济贸易仲裁委员会，按照其届时有效的仲裁规则进行仲裁，仲裁地点为北京市。仲裁裁决是终局的，对各方当事人均有约束力，除非仲裁裁决另有决定，仲裁费用、律师费由败诉方承担。</w:t>
      </w:r>
    </w:p>
    <w:p w14:paraId="14CC2EAB"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争议处理期间，基金合同当事人应恪守各自的职责，继续忠实、勤勉、尽责地履行基金合同规定的义务，维护基金份额持有人的合法权益。</w:t>
      </w:r>
    </w:p>
    <w:p w14:paraId="78271702"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《基金合同》受中国法律（为本基金合同之目的，在此不包括香港、澳门特别行政区和台湾地区法律）管辖并从其解释。</w:t>
      </w:r>
    </w:p>
    <w:p w14:paraId="0EAA8D1C" w14:textId="77777777" w:rsidR="003213F8" w:rsidRDefault="003D167A">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九、基金合同的效力</w:t>
      </w:r>
    </w:p>
    <w:p w14:paraId="3FF41582" w14:textId="77777777" w:rsidR="003213F8" w:rsidRDefault="003D167A">
      <w:pPr>
        <w:spacing w:line="360" w:lineRule="auto"/>
        <w:ind w:firstLine="480"/>
        <w:rPr>
          <w:rFonts w:eastAsia="Times New Roman"/>
          <w:kern w:val="0"/>
          <w:sz w:val="24"/>
          <w:szCs w:val="24"/>
        </w:rPr>
      </w:pPr>
      <w:r>
        <w:rPr>
          <w:rFonts w:ascii="宋体" w:hAnsi="宋体" w:cs="宋体"/>
          <w:kern w:val="0"/>
          <w:sz w:val="24"/>
          <w:szCs w:val="24"/>
        </w:rPr>
        <w:t>《基金合同》是约定基金合同当事人之间权利义务关系的法律文件。</w:t>
      </w:r>
    </w:p>
    <w:p w14:paraId="11E9E7C2"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1、《基金合同》经基金管理人、基金托管人双方盖章以及双方法定代表人或授权代表签字或盖章并在募集结束后经基金管理人向中国证监会办理基金备案手续，并经中国证监会书面确认后生效。</w:t>
      </w:r>
    </w:p>
    <w:p w14:paraId="556CB48C"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2、《基金合同》的有效期自其生效之日起至基金财产清算结果报中国证监会备案并公告之日止。</w:t>
      </w:r>
    </w:p>
    <w:p w14:paraId="46574C1B"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3、《基金合同》自生效之日起对包括基金管理人、基金托管人和基金份额持有人在内的《基金合同》各方当事人具有同等的法律约束力。</w:t>
      </w:r>
    </w:p>
    <w:p w14:paraId="1E0F7B35"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4、《基金合同》正本一式叁份，除上报有关监管机构一式壹份外，基金管理人、基金托管人各持有壹份，每份具有同等的法律效力。</w:t>
      </w:r>
    </w:p>
    <w:p w14:paraId="52F65A19" w14:textId="77777777" w:rsidR="003213F8" w:rsidRDefault="003D167A">
      <w:pPr>
        <w:spacing w:line="360" w:lineRule="auto"/>
        <w:ind w:firstLine="480"/>
        <w:jc w:val="left"/>
        <w:rPr>
          <w:rFonts w:eastAsia="Times New Roman"/>
          <w:kern w:val="0"/>
          <w:sz w:val="24"/>
          <w:szCs w:val="24"/>
        </w:rPr>
      </w:pPr>
      <w:r>
        <w:rPr>
          <w:rFonts w:ascii="宋体" w:hAnsi="宋体" w:cs="宋体"/>
          <w:kern w:val="0"/>
          <w:sz w:val="24"/>
          <w:szCs w:val="24"/>
        </w:rPr>
        <w:t>5、《基金合同》可印制成册，供投资者在基金管理人、基金托管人、销售机构的办公场所和营业场所查阅。</w:t>
      </w:r>
    </w:p>
    <w:sectPr w:rsidR="003213F8" w:rsidSect="00D759BB">
      <w:pgSz w:w="11906" w:h="16838"/>
      <w:pgMar w:top="1440" w:right="1800" w:bottom="1440" w:left="1800" w:header="851" w:footer="992" w:gutter="0"/>
      <w:pgNumType w:start="2"/>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447B55" w16cid:durableId="2DAD9519"/>
  <w16cid:commentId w16cid:paraId="62187DA7" w16cid:durableId="2DAD6F9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A7BC8" w14:textId="77777777" w:rsidR="007C231C" w:rsidRDefault="007C231C">
      <w:r>
        <w:separator/>
      </w:r>
    </w:p>
  </w:endnote>
  <w:endnote w:type="continuationSeparator" w:id="0">
    <w:p w14:paraId="4BBD65E2" w14:textId="77777777" w:rsidR="007C231C" w:rsidRDefault="007C2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6F385" w14:textId="77777777" w:rsidR="00A4374F" w:rsidRPr="00A77AE9" w:rsidRDefault="00A4374F" w:rsidP="00A77AE9">
    <w:pPr>
      <w:pStyle w:val="af1"/>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7081993"/>
      <w:docPartObj>
        <w:docPartGallery w:val="Page Numbers (Bottom of Page)"/>
        <w:docPartUnique/>
      </w:docPartObj>
    </w:sdtPr>
    <w:sdtEndPr/>
    <w:sdtContent>
      <w:p w14:paraId="6D63EBB4" w14:textId="10759A2C" w:rsidR="00A4374F" w:rsidRPr="0024488F" w:rsidRDefault="00A4374F" w:rsidP="0024488F">
        <w:pPr>
          <w:pStyle w:val="af1"/>
          <w:jc w:val="center"/>
        </w:pPr>
        <w:r>
          <w:fldChar w:fldCharType="begin"/>
        </w:r>
        <w:r>
          <w:instrText>PAGE   \* MERGEFORMAT</w:instrText>
        </w:r>
        <w:r>
          <w:fldChar w:fldCharType="separate"/>
        </w:r>
        <w:r w:rsidR="00D759BB" w:rsidRPr="00D759BB">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599D1" w14:textId="77777777" w:rsidR="007C231C" w:rsidRDefault="007C231C">
      <w:r>
        <w:separator/>
      </w:r>
    </w:p>
  </w:footnote>
  <w:footnote w:type="continuationSeparator" w:id="0">
    <w:p w14:paraId="3B2E3334" w14:textId="77777777" w:rsidR="007C231C" w:rsidRDefault="007C23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9499A" w14:textId="77777777" w:rsidR="00A4374F" w:rsidRDefault="00A4374F" w:rsidP="00F14601">
    <w:pPr>
      <w:pStyle w:val="a7"/>
      <w:tabs>
        <w:tab w:val="clear" w:pos="4153"/>
      </w:tabs>
      <w:jc w:val="left"/>
    </w:pPr>
    <w:r>
      <w:rPr>
        <w:noProof/>
      </w:rPr>
      <w:t>汇添富上证科创板综合价格指数增强型证券投资基金</w:t>
    </w:r>
    <w:r>
      <w:rPr>
        <w:noProof/>
      </w:rPr>
      <w:tab/>
    </w:r>
    <w:r>
      <w:rPr>
        <w:noProof/>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nsid w:val="0E643BC9"/>
    <w:multiLevelType w:val="hybridMultilevel"/>
    <w:tmpl w:val="F108657E"/>
    <w:lvl w:ilvl="0" w:tplc="5E9AB804">
      <w:start w:val="1"/>
      <w:numFmt w:val="lowerRoman"/>
      <w:lvlText w:val="%1."/>
      <w:lvlJc w:val="right"/>
      <w:pPr>
        <w:ind w:left="900" w:hanging="420"/>
      </w:pPr>
      <w:rPr>
        <w:rFonts w:hint="eastAsia"/>
      </w:rPr>
    </w:lvl>
    <w:lvl w:ilvl="1" w:tplc="FEEE9238" w:tentative="1">
      <w:start w:val="1"/>
      <w:numFmt w:val="lowerLetter"/>
      <w:lvlText w:val="%2)"/>
      <w:lvlJc w:val="left"/>
      <w:pPr>
        <w:ind w:left="1320" w:hanging="420"/>
      </w:pPr>
    </w:lvl>
    <w:lvl w:ilvl="2" w:tplc="1092013A" w:tentative="1">
      <w:start w:val="1"/>
      <w:numFmt w:val="lowerRoman"/>
      <w:lvlText w:val="%3."/>
      <w:lvlJc w:val="right"/>
      <w:pPr>
        <w:ind w:left="1740" w:hanging="420"/>
      </w:pPr>
    </w:lvl>
    <w:lvl w:ilvl="3" w:tplc="7DC46566" w:tentative="1">
      <w:start w:val="1"/>
      <w:numFmt w:val="decimal"/>
      <w:lvlText w:val="%4."/>
      <w:lvlJc w:val="left"/>
      <w:pPr>
        <w:ind w:left="2160" w:hanging="420"/>
      </w:pPr>
    </w:lvl>
    <w:lvl w:ilvl="4" w:tplc="56FEA4F6" w:tentative="1">
      <w:start w:val="1"/>
      <w:numFmt w:val="lowerLetter"/>
      <w:lvlText w:val="%5)"/>
      <w:lvlJc w:val="left"/>
      <w:pPr>
        <w:ind w:left="2580" w:hanging="420"/>
      </w:pPr>
    </w:lvl>
    <w:lvl w:ilvl="5" w:tplc="E74CD54C" w:tentative="1">
      <w:start w:val="1"/>
      <w:numFmt w:val="lowerRoman"/>
      <w:lvlText w:val="%6."/>
      <w:lvlJc w:val="right"/>
      <w:pPr>
        <w:ind w:left="3000" w:hanging="420"/>
      </w:pPr>
    </w:lvl>
    <w:lvl w:ilvl="6" w:tplc="4ABED7C8" w:tentative="1">
      <w:start w:val="1"/>
      <w:numFmt w:val="decimal"/>
      <w:lvlText w:val="%7."/>
      <w:lvlJc w:val="left"/>
      <w:pPr>
        <w:ind w:left="3420" w:hanging="420"/>
      </w:pPr>
    </w:lvl>
    <w:lvl w:ilvl="7" w:tplc="A412F3E4" w:tentative="1">
      <w:start w:val="1"/>
      <w:numFmt w:val="lowerLetter"/>
      <w:lvlText w:val="%8)"/>
      <w:lvlJc w:val="left"/>
      <w:pPr>
        <w:ind w:left="3840" w:hanging="420"/>
      </w:pPr>
    </w:lvl>
    <w:lvl w:ilvl="8" w:tplc="15388CE6" w:tentative="1">
      <w:start w:val="1"/>
      <w:numFmt w:val="lowerRoman"/>
      <w:lvlText w:val="%9."/>
      <w:lvlJc w:val="right"/>
      <w:pPr>
        <w:ind w:left="4260" w:hanging="420"/>
      </w:pPr>
    </w:lvl>
  </w:abstractNum>
  <w:abstractNum w:abstractNumId="3">
    <w:nsid w:val="1E86392D"/>
    <w:multiLevelType w:val="hybridMultilevel"/>
    <w:tmpl w:val="73120538"/>
    <w:lvl w:ilvl="0" w:tplc="66461AF4">
      <w:start w:val="1"/>
      <w:numFmt w:val="decimal"/>
      <w:lvlText w:val="1.%1."/>
      <w:lvlJc w:val="left"/>
      <w:pPr>
        <w:ind w:left="900" w:hanging="420"/>
      </w:pPr>
      <w:rPr>
        <w:rFonts w:hint="eastAsia"/>
      </w:rPr>
    </w:lvl>
    <w:lvl w:ilvl="1" w:tplc="4184F50A" w:tentative="1">
      <w:start w:val="1"/>
      <w:numFmt w:val="lowerLetter"/>
      <w:lvlText w:val="%2)"/>
      <w:lvlJc w:val="left"/>
      <w:pPr>
        <w:ind w:left="1320" w:hanging="420"/>
      </w:pPr>
    </w:lvl>
    <w:lvl w:ilvl="2" w:tplc="23BC37D6" w:tentative="1">
      <w:start w:val="1"/>
      <w:numFmt w:val="lowerRoman"/>
      <w:lvlText w:val="%3."/>
      <w:lvlJc w:val="right"/>
      <w:pPr>
        <w:ind w:left="1740" w:hanging="420"/>
      </w:pPr>
    </w:lvl>
    <w:lvl w:ilvl="3" w:tplc="79CE4EE2" w:tentative="1">
      <w:start w:val="1"/>
      <w:numFmt w:val="decimal"/>
      <w:lvlText w:val="%4."/>
      <w:lvlJc w:val="left"/>
      <w:pPr>
        <w:ind w:left="2160" w:hanging="420"/>
      </w:pPr>
    </w:lvl>
    <w:lvl w:ilvl="4" w:tplc="81F883BC" w:tentative="1">
      <w:start w:val="1"/>
      <w:numFmt w:val="lowerLetter"/>
      <w:lvlText w:val="%5)"/>
      <w:lvlJc w:val="left"/>
      <w:pPr>
        <w:ind w:left="2580" w:hanging="420"/>
      </w:pPr>
    </w:lvl>
    <w:lvl w:ilvl="5" w:tplc="403A4E20" w:tentative="1">
      <w:start w:val="1"/>
      <w:numFmt w:val="lowerRoman"/>
      <w:lvlText w:val="%6."/>
      <w:lvlJc w:val="right"/>
      <w:pPr>
        <w:ind w:left="3000" w:hanging="420"/>
      </w:pPr>
    </w:lvl>
    <w:lvl w:ilvl="6" w:tplc="A3849C40" w:tentative="1">
      <w:start w:val="1"/>
      <w:numFmt w:val="decimal"/>
      <w:lvlText w:val="%7."/>
      <w:lvlJc w:val="left"/>
      <w:pPr>
        <w:ind w:left="3420" w:hanging="420"/>
      </w:pPr>
    </w:lvl>
    <w:lvl w:ilvl="7" w:tplc="DBFC0CBE" w:tentative="1">
      <w:start w:val="1"/>
      <w:numFmt w:val="lowerLetter"/>
      <w:lvlText w:val="%8)"/>
      <w:lvlJc w:val="left"/>
      <w:pPr>
        <w:ind w:left="3840" w:hanging="420"/>
      </w:pPr>
    </w:lvl>
    <w:lvl w:ilvl="8" w:tplc="3746C108" w:tentative="1">
      <w:start w:val="1"/>
      <w:numFmt w:val="lowerRoman"/>
      <w:lvlText w:val="%9."/>
      <w:lvlJc w:val="right"/>
      <w:pPr>
        <w:ind w:left="4260" w:hanging="420"/>
      </w:pPr>
    </w:lvl>
  </w:abstractNum>
  <w:abstractNum w:abstractNumId="4">
    <w:nsid w:val="247E28A3"/>
    <w:multiLevelType w:val="hybridMultilevel"/>
    <w:tmpl w:val="699A8FC6"/>
    <w:lvl w:ilvl="0" w:tplc="533EFC4C">
      <w:start w:val="1"/>
      <w:numFmt w:val="lowerRoman"/>
      <w:lvlText w:val="%1."/>
      <w:lvlJc w:val="right"/>
      <w:pPr>
        <w:ind w:left="900" w:hanging="420"/>
      </w:pPr>
      <w:rPr>
        <w:rFonts w:hint="eastAsia"/>
      </w:rPr>
    </w:lvl>
    <w:lvl w:ilvl="1" w:tplc="8FD0B59C" w:tentative="1">
      <w:start w:val="1"/>
      <w:numFmt w:val="lowerLetter"/>
      <w:lvlText w:val="%2)"/>
      <w:lvlJc w:val="left"/>
      <w:pPr>
        <w:ind w:left="840" w:hanging="420"/>
      </w:pPr>
    </w:lvl>
    <w:lvl w:ilvl="2" w:tplc="B30C8A9E" w:tentative="1">
      <w:start w:val="1"/>
      <w:numFmt w:val="lowerRoman"/>
      <w:lvlText w:val="%3."/>
      <w:lvlJc w:val="right"/>
      <w:pPr>
        <w:ind w:left="1260" w:hanging="420"/>
      </w:pPr>
    </w:lvl>
    <w:lvl w:ilvl="3" w:tplc="7ACE929E" w:tentative="1">
      <w:start w:val="1"/>
      <w:numFmt w:val="decimal"/>
      <w:lvlText w:val="%4."/>
      <w:lvlJc w:val="left"/>
      <w:pPr>
        <w:ind w:left="1680" w:hanging="420"/>
      </w:pPr>
    </w:lvl>
    <w:lvl w:ilvl="4" w:tplc="4872C24E" w:tentative="1">
      <w:start w:val="1"/>
      <w:numFmt w:val="lowerLetter"/>
      <w:lvlText w:val="%5)"/>
      <w:lvlJc w:val="left"/>
      <w:pPr>
        <w:ind w:left="2100" w:hanging="420"/>
      </w:pPr>
    </w:lvl>
    <w:lvl w:ilvl="5" w:tplc="DF509D6A" w:tentative="1">
      <w:start w:val="1"/>
      <w:numFmt w:val="lowerRoman"/>
      <w:lvlText w:val="%6."/>
      <w:lvlJc w:val="right"/>
      <w:pPr>
        <w:ind w:left="2520" w:hanging="420"/>
      </w:pPr>
    </w:lvl>
    <w:lvl w:ilvl="6" w:tplc="6E6A6564" w:tentative="1">
      <w:start w:val="1"/>
      <w:numFmt w:val="decimal"/>
      <w:lvlText w:val="%7."/>
      <w:lvlJc w:val="left"/>
      <w:pPr>
        <w:ind w:left="2940" w:hanging="420"/>
      </w:pPr>
    </w:lvl>
    <w:lvl w:ilvl="7" w:tplc="28861244" w:tentative="1">
      <w:start w:val="1"/>
      <w:numFmt w:val="lowerLetter"/>
      <w:lvlText w:val="%8)"/>
      <w:lvlJc w:val="left"/>
      <w:pPr>
        <w:ind w:left="3360" w:hanging="420"/>
      </w:pPr>
    </w:lvl>
    <w:lvl w:ilvl="8" w:tplc="28F82486" w:tentative="1">
      <w:start w:val="1"/>
      <w:numFmt w:val="lowerRoman"/>
      <w:lvlText w:val="%9."/>
      <w:lvlJc w:val="right"/>
      <w:pPr>
        <w:ind w:left="3780" w:hanging="420"/>
      </w:pPr>
    </w:lvl>
  </w:abstractNum>
  <w:abstractNum w:abstractNumId="5">
    <w:nsid w:val="49771199"/>
    <w:multiLevelType w:val="hybridMultilevel"/>
    <w:tmpl w:val="B406E642"/>
    <w:lvl w:ilvl="0" w:tplc="9BF823C4">
      <w:start w:val="1"/>
      <w:numFmt w:val="decimal"/>
      <w:lvlText w:val="%1）"/>
      <w:lvlJc w:val="left"/>
      <w:pPr>
        <w:ind w:left="840" w:hanging="360"/>
      </w:pPr>
      <w:rPr>
        <w:rFonts w:hint="default"/>
      </w:rPr>
    </w:lvl>
    <w:lvl w:ilvl="1" w:tplc="71C06E10" w:tentative="1">
      <w:start w:val="1"/>
      <w:numFmt w:val="lowerLetter"/>
      <w:lvlText w:val="%2)"/>
      <w:lvlJc w:val="left"/>
      <w:pPr>
        <w:ind w:left="1320" w:hanging="420"/>
      </w:pPr>
    </w:lvl>
    <w:lvl w:ilvl="2" w:tplc="D638D978" w:tentative="1">
      <w:start w:val="1"/>
      <w:numFmt w:val="lowerRoman"/>
      <w:lvlText w:val="%3."/>
      <w:lvlJc w:val="right"/>
      <w:pPr>
        <w:ind w:left="1740" w:hanging="420"/>
      </w:pPr>
    </w:lvl>
    <w:lvl w:ilvl="3" w:tplc="6CFA3F38" w:tentative="1">
      <w:start w:val="1"/>
      <w:numFmt w:val="decimal"/>
      <w:lvlText w:val="%4."/>
      <w:lvlJc w:val="left"/>
      <w:pPr>
        <w:ind w:left="2160" w:hanging="420"/>
      </w:pPr>
    </w:lvl>
    <w:lvl w:ilvl="4" w:tplc="9F4836E6" w:tentative="1">
      <w:start w:val="1"/>
      <w:numFmt w:val="lowerLetter"/>
      <w:lvlText w:val="%5)"/>
      <w:lvlJc w:val="left"/>
      <w:pPr>
        <w:ind w:left="2580" w:hanging="420"/>
      </w:pPr>
    </w:lvl>
    <w:lvl w:ilvl="5" w:tplc="66900484" w:tentative="1">
      <w:start w:val="1"/>
      <w:numFmt w:val="lowerRoman"/>
      <w:lvlText w:val="%6."/>
      <w:lvlJc w:val="right"/>
      <w:pPr>
        <w:ind w:left="3000" w:hanging="420"/>
      </w:pPr>
    </w:lvl>
    <w:lvl w:ilvl="6" w:tplc="A54A74F6" w:tentative="1">
      <w:start w:val="1"/>
      <w:numFmt w:val="decimal"/>
      <w:lvlText w:val="%7."/>
      <w:lvlJc w:val="left"/>
      <w:pPr>
        <w:ind w:left="3420" w:hanging="420"/>
      </w:pPr>
    </w:lvl>
    <w:lvl w:ilvl="7" w:tplc="A4B2A9E6" w:tentative="1">
      <w:start w:val="1"/>
      <w:numFmt w:val="lowerLetter"/>
      <w:lvlText w:val="%8)"/>
      <w:lvlJc w:val="left"/>
      <w:pPr>
        <w:ind w:left="3840" w:hanging="420"/>
      </w:pPr>
    </w:lvl>
    <w:lvl w:ilvl="8" w:tplc="51B86A1A" w:tentative="1">
      <w:start w:val="1"/>
      <w:numFmt w:val="lowerRoman"/>
      <w:lvlText w:val="%9."/>
      <w:lvlJc w:val="right"/>
      <w:pPr>
        <w:ind w:left="4260" w:hanging="420"/>
      </w:pPr>
    </w:lvl>
  </w:abstractNum>
  <w:abstractNum w:abstractNumId="6">
    <w:nsid w:val="51E216DA"/>
    <w:multiLevelType w:val="hybridMultilevel"/>
    <w:tmpl w:val="997A61C2"/>
    <w:lvl w:ilvl="0" w:tplc="887A3A62">
      <w:start w:val="1"/>
      <w:numFmt w:val="decimal"/>
      <w:lvlText w:val="（%1）"/>
      <w:lvlJc w:val="left"/>
      <w:pPr>
        <w:ind w:left="1200" w:hanging="720"/>
      </w:pPr>
      <w:rPr>
        <w:rFonts w:hint="default"/>
      </w:rPr>
    </w:lvl>
    <w:lvl w:ilvl="1" w:tplc="4C3874F6" w:tentative="1">
      <w:start w:val="1"/>
      <w:numFmt w:val="lowerLetter"/>
      <w:lvlText w:val="%2)"/>
      <w:lvlJc w:val="left"/>
      <w:pPr>
        <w:ind w:left="1320" w:hanging="420"/>
      </w:pPr>
    </w:lvl>
    <w:lvl w:ilvl="2" w:tplc="7BAE34D4" w:tentative="1">
      <w:start w:val="1"/>
      <w:numFmt w:val="lowerRoman"/>
      <w:lvlText w:val="%3."/>
      <w:lvlJc w:val="right"/>
      <w:pPr>
        <w:ind w:left="1740" w:hanging="420"/>
      </w:pPr>
    </w:lvl>
    <w:lvl w:ilvl="3" w:tplc="1F486870" w:tentative="1">
      <w:start w:val="1"/>
      <w:numFmt w:val="decimal"/>
      <w:lvlText w:val="%4."/>
      <w:lvlJc w:val="left"/>
      <w:pPr>
        <w:ind w:left="2160" w:hanging="420"/>
      </w:pPr>
    </w:lvl>
    <w:lvl w:ilvl="4" w:tplc="21144154" w:tentative="1">
      <w:start w:val="1"/>
      <w:numFmt w:val="lowerLetter"/>
      <w:lvlText w:val="%5)"/>
      <w:lvlJc w:val="left"/>
      <w:pPr>
        <w:ind w:left="2580" w:hanging="420"/>
      </w:pPr>
    </w:lvl>
    <w:lvl w:ilvl="5" w:tplc="9F309DBC" w:tentative="1">
      <w:start w:val="1"/>
      <w:numFmt w:val="lowerRoman"/>
      <w:lvlText w:val="%6."/>
      <w:lvlJc w:val="right"/>
      <w:pPr>
        <w:ind w:left="3000" w:hanging="420"/>
      </w:pPr>
    </w:lvl>
    <w:lvl w:ilvl="6" w:tplc="D49C133A" w:tentative="1">
      <w:start w:val="1"/>
      <w:numFmt w:val="decimal"/>
      <w:lvlText w:val="%7."/>
      <w:lvlJc w:val="left"/>
      <w:pPr>
        <w:ind w:left="3420" w:hanging="420"/>
      </w:pPr>
    </w:lvl>
    <w:lvl w:ilvl="7" w:tplc="DB88AFF0" w:tentative="1">
      <w:start w:val="1"/>
      <w:numFmt w:val="lowerLetter"/>
      <w:lvlText w:val="%8)"/>
      <w:lvlJc w:val="left"/>
      <w:pPr>
        <w:ind w:left="3840" w:hanging="420"/>
      </w:pPr>
    </w:lvl>
    <w:lvl w:ilvl="8" w:tplc="1252294E" w:tentative="1">
      <w:start w:val="1"/>
      <w:numFmt w:val="lowerRoman"/>
      <w:lvlText w:val="%9."/>
      <w:lvlJc w:val="right"/>
      <w:pPr>
        <w:ind w:left="4260" w:hanging="420"/>
      </w:pPr>
    </w:lvl>
  </w:abstractNum>
  <w:abstractNum w:abstractNumId="7">
    <w:nsid w:val="5A860B59"/>
    <w:multiLevelType w:val="hybridMultilevel"/>
    <w:tmpl w:val="72E65FD6"/>
    <w:lvl w:ilvl="0" w:tplc="D7B4CA74">
      <w:start w:val="1"/>
      <w:numFmt w:val="decimalEnclosedCircle"/>
      <w:lvlText w:val="%1"/>
      <w:lvlJc w:val="left"/>
      <w:pPr>
        <w:ind w:left="360" w:hanging="360"/>
      </w:pPr>
      <w:rPr>
        <w:rFonts w:hint="default"/>
      </w:rPr>
    </w:lvl>
    <w:lvl w:ilvl="1" w:tplc="61AA2346" w:tentative="1">
      <w:start w:val="1"/>
      <w:numFmt w:val="lowerLetter"/>
      <w:lvlText w:val="%2)"/>
      <w:lvlJc w:val="left"/>
      <w:pPr>
        <w:ind w:left="840" w:hanging="420"/>
      </w:pPr>
    </w:lvl>
    <w:lvl w:ilvl="2" w:tplc="9D5ECB24" w:tentative="1">
      <w:start w:val="1"/>
      <w:numFmt w:val="lowerRoman"/>
      <w:lvlText w:val="%3."/>
      <w:lvlJc w:val="right"/>
      <w:pPr>
        <w:ind w:left="1260" w:hanging="420"/>
      </w:pPr>
    </w:lvl>
    <w:lvl w:ilvl="3" w:tplc="D978484A" w:tentative="1">
      <w:start w:val="1"/>
      <w:numFmt w:val="decimal"/>
      <w:lvlText w:val="%4."/>
      <w:lvlJc w:val="left"/>
      <w:pPr>
        <w:ind w:left="1680" w:hanging="420"/>
      </w:pPr>
    </w:lvl>
    <w:lvl w:ilvl="4" w:tplc="C15A47C4" w:tentative="1">
      <w:start w:val="1"/>
      <w:numFmt w:val="lowerLetter"/>
      <w:lvlText w:val="%5)"/>
      <w:lvlJc w:val="left"/>
      <w:pPr>
        <w:ind w:left="2100" w:hanging="420"/>
      </w:pPr>
    </w:lvl>
    <w:lvl w:ilvl="5" w:tplc="7812E5D4" w:tentative="1">
      <w:start w:val="1"/>
      <w:numFmt w:val="lowerRoman"/>
      <w:lvlText w:val="%6."/>
      <w:lvlJc w:val="right"/>
      <w:pPr>
        <w:ind w:left="2520" w:hanging="420"/>
      </w:pPr>
    </w:lvl>
    <w:lvl w:ilvl="6" w:tplc="A7889872" w:tentative="1">
      <w:start w:val="1"/>
      <w:numFmt w:val="decimal"/>
      <w:lvlText w:val="%7."/>
      <w:lvlJc w:val="left"/>
      <w:pPr>
        <w:ind w:left="2940" w:hanging="420"/>
      </w:pPr>
    </w:lvl>
    <w:lvl w:ilvl="7" w:tplc="B3FC7964" w:tentative="1">
      <w:start w:val="1"/>
      <w:numFmt w:val="lowerLetter"/>
      <w:lvlText w:val="%8)"/>
      <w:lvlJc w:val="left"/>
      <w:pPr>
        <w:ind w:left="3360" w:hanging="420"/>
      </w:pPr>
    </w:lvl>
    <w:lvl w:ilvl="8" w:tplc="966AC54A" w:tentative="1">
      <w:start w:val="1"/>
      <w:numFmt w:val="lowerRoman"/>
      <w:lvlText w:val="%9."/>
      <w:lvlJc w:val="right"/>
      <w:pPr>
        <w:ind w:left="3780" w:hanging="420"/>
      </w:pPr>
    </w:lvl>
  </w:abstractNum>
  <w:abstractNum w:abstractNumId="8">
    <w:nsid w:val="5B28C0D8"/>
    <w:multiLevelType w:val="singleLevel"/>
    <w:tmpl w:val="5B28C0D8"/>
    <w:lvl w:ilvl="0">
      <w:start w:val="6"/>
      <w:numFmt w:val="chineseCounting"/>
      <w:suff w:val="nothing"/>
      <w:lvlText w:val="%1、"/>
      <w:lvlJc w:val="left"/>
    </w:lvl>
  </w:abstractNum>
  <w:abstractNum w:abstractNumId="9">
    <w:nsid w:val="5BD27EBD"/>
    <w:multiLevelType w:val="singleLevel"/>
    <w:tmpl w:val="5BD27EBD"/>
    <w:lvl w:ilvl="0">
      <w:start w:val="3"/>
      <w:numFmt w:val="chineseCounting"/>
      <w:suff w:val="nothing"/>
      <w:lvlText w:val="%1、"/>
      <w:lvlJc w:val="left"/>
    </w:lvl>
  </w:abstractNum>
  <w:abstractNum w:abstractNumId="10">
    <w:nsid w:val="614E4323"/>
    <w:multiLevelType w:val="hybridMultilevel"/>
    <w:tmpl w:val="BF34A04A"/>
    <w:lvl w:ilvl="0" w:tplc="458EA898">
      <w:start w:val="1"/>
      <w:numFmt w:val="lowerRoman"/>
      <w:lvlText w:val="%1."/>
      <w:lvlJc w:val="right"/>
      <w:pPr>
        <w:ind w:left="900" w:hanging="420"/>
      </w:pPr>
    </w:lvl>
    <w:lvl w:ilvl="1" w:tplc="55145CCE" w:tentative="1">
      <w:start w:val="1"/>
      <w:numFmt w:val="lowerLetter"/>
      <w:lvlText w:val="%2)"/>
      <w:lvlJc w:val="left"/>
      <w:pPr>
        <w:ind w:left="1320" w:hanging="420"/>
      </w:pPr>
    </w:lvl>
    <w:lvl w:ilvl="2" w:tplc="A4C49B12" w:tentative="1">
      <w:start w:val="1"/>
      <w:numFmt w:val="lowerRoman"/>
      <w:lvlText w:val="%3."/>
      <w:lvlJc w:val="right"/>
      <w:pPr>
        <w:ind w:left="1740" w:hanging="420"/>
      </w:pPr>
    </w:lvl>
    <w:lvl w:ilvl="3" w:tplc="ABCAEB82" w:tentative="1">
      <w:start w:val="1"/>
      <w:numFmt w:val="decimal"/>
      <w:lvlText w:val="%4."/>
      <w:lvlJc w:val="left"/>
      <w:pPr>
        <w:ind w:left="2160" w:hanging="420"/>
      </w:pPr>
    </w:lvl>
    <w:lvl w:ilvl="4" w:tplc="6052C100" w:tentative="1">
      <w:start w:val="1"/>
      <w:numFmt w:val="lowerLetter"/>
      <w:lvlText w:val="%5)"/>
      <w:lvlJc w:val="left"/>
      <w:pPr>
        <w:ind w:left="2580" w:hanging="420"/>
      </w:pPr>
    </w:lvl>
    <w:lvl w:ilvl="5" w:tplc="B9AEFF74" w:tentative="1">
      <w:start w:val="1"/>
      <w:numFmt w:val="lowerRoman"/>
      <w:lvlText w:val="%6."/>
      <w:lvlJc w:val="right"/>
      <w:pPr>
        <w:ind w:left="3000" w:hanging="420"/>
      </w:pPr>
    </w:lvl>
    <w:lvl w:ilvl="6" w:tplc="AF6688DA" w:tentative="1">
      <w:start w:val="1"/>
      <w:numFmt w:val="decimal"/>
      <w:lvlText w:val="%7."/>
      <w:lvlJc w:val="left"/>
      <w:pPr>
        <w:ind w:left="3420" w:hanging="420"/>
      </w:pPr>
    </w:lvl>
    <w:lvl w:ilvl="7" w:tplc="807A640A" w:tentative="1">
      <w:start w:val="1"/>
      <w:numFmt w:val="lowerLetter"/>
      <w:lvlText w:val="%8)"/>
      <w:lvlJc w:val="left"/>
      <w:pPr>
        <w:ind w:left="3840" w:hanging="420"/>
      </w:pPr>
    </w:lvl>
    <w:lvl w:ilvl="8" w:tplc="6964B2B6" w:tentative="1">
      <w:start w:val="1"/>
      <w:numFmt w:val="lowerRoman"/>
      <w:lvlText w:val="%9."/>
      <w:lvlJc w:val="right"/>
      <w:pPr>
        <w:ind w:left="4260" w:hanging="420"/>
      </w:pPr>
    </w:lvl>
  </w:abstractNum>
  <w:abstractNum w:abstractNumId="11">
    <w:nsid w:val="7F7B5D5B"/>
    <w:multiLevelType w:val="hybridMultilevel"/>
    <w:tmpl w:val="AA78389E"/>
    <w:lvl w:ilvl="0" w:tplc="455EA58A">
      <w:start w:val="1"/>
      <w:numFmt w:val="decimal"/>
      <w:lvlText w:val="%1、"/>
      <w:lvlJc w:val="left"/>
      <w:pPr>
        <w:ind w:left="840" w:hanging="360"/>
      </w:pPr>
      <w:rPr>
        <w:rFonts w:ascii="Times New Roman" w:eastAsia="宋体" w:hAnsi="Times New Roman" w:hint="default"/>
        <w:sz w:val="24"/>
      </w:rPr>
    </w:lvl>
    <w:lvl w:ilvl="1" w:tplc="210AC7AA" w:tentative="1">
      <w:start w:val="1"/>
      <w:numFmt w:val="lowerLetter"/>
      <w:lvlText w:val="%2)"/>
      <w:lvlJc w:val="left"/>
      <w:pPr>
        <w:ind w:left="1320" w:hanging="420"/>
      </w:pPr>
    </w:lvl>
    <w:lvl w:ilvl="2" w:tplc="68E6BE38" w:tentative="1">
      <w:start w:val="1"/>
      <w:numFmt w:val="lowerRoman"/>
      <w:lvlText w:val="%3."/>
      <w:lvlJc w:val="right"/>
      <w:pPr>
        <w:ind w:left="1740" w:hanging="420"/>
      </w:pPr>
    </w:lvl>
    <w:lvl w:ilvl="3" w:tplc="23BC6EEE" w:tentative="1">
      <w:start w:val="1"/>
      <w:numFmt w:val="decimal"/>
      <w:lvlText w:val="%4."/>
      <w:lvlJc w:val="left"/>
      <w:pPr>
        <w:ind w:left="2160" w:hanging="420"/>
      </w:pPr>
    </w:lvl>
    <w:lvl w:ilvl="4" w:tplc="FA08CA52" w:tentative="1">
      <w:start w:val="1"/>
      <w:numFmt w:val="lowerLetter"/>
      <w:lvlText w:val="%5)"/>
      <w:lvlJc w:val="left"/>
      <w:pPr>
        <w:ind w:left="2580" w:hanging="420"/>
      </w:pPr>
    </w:lvl>
    <w:lvl w:ilvl="5" w:tplc="416AF374" w:tentative="1">
      <w:start w:val="1"/>
      <w:numFmt w:val="lowerRoman"/>
      <w:lvlText w:val="%6."/>
      <w:lvlJc w:val="right"/>
      <w:pPr>
        <w:ind w:left="3000" w:hanging="420"/>
      </w:pPr>
    </w:lvl>
    <w:lvl w:ilvl="6" w:tplc="2A2EAF22" w:tentative="1">
      <w:start w:val="1"/>
      <w:numFmt w:val="decimal"/>
      <w:lvlText w:val="%7."/>
      <w:lvlJc w:val="left"/>
      <w:pPr>
        <w:ind w:left="3420" w:hanging="420"/>
      </w:pPr>
    </w:lvl>
    <w:lvl w:ilvl="7" w:tplc="4270150E" w:tentative="1">
      <w:start w:val="1"/>
      <w:numFmt w:val="lowerLetter"/>
      <w:lvlText w:val="%8)"/>
      <w:lvlJc w:val="left"/>
      <w:pPr>
        <w:ind w:left="3840" w:hanging="420"/>
      </w:pPr>
    </w:lvl>
    <w:lvl w:ilvl="8" w:tplc="3118E8A8" w:tentative="1">
      <w:start w:val="1"/>
      <w:numFmt w:val="lowerRoman"/>
      <w:lvlText w:val="%9."/>
      <w:lvlJc w:val="right"/>
      <w:pPr>
        <w:ind w:left="4260" w:hanging="420"/>
      </w:pPr>
    </w:lvl>
  </w:abstractNum>
  <w:abstractNum w:abstractNumId="12">
    <w:nsid w:val="7FED6DA0"/>
    <w:multiLevelType w:val="hybridMultilevel"/>
    <w:tmpl w:val="DDC8C464"/>
    <w:lvl w:ilvl="0" w:tplc="FA8A0452">
      <w:start w:val="1"/>
      <w:numFmt w:val="lowerRoman"/>
      <w:lvlText w:val="%1."/>
      <w:lvlJc w:val="right"/>
      <w:pPr>
        <w:ind w:left="360" w:hanging="360"/>
      </w:pPr>
      <w:rPr>
        <w:rFonts w:hint="eastAsia"/>
      </w:rPr>
    </w:lvl>
    <w:lvl w:ilvl="1" w:tplc="022CBF36" w:tentative="1">
      <w:start w:val="1"/>
      <w:numFmt w:val="lowerLetter"/>
      <w:lvlText w:val="%2)"/>
      <w:lvlJc w:val="left"/>
      <w:pPr>
        <w:ind w:left="840" w:hanging="420"/>
      </w:pPr>
    </w:lvl>
    <w:lvl w:ilvl="2" w:tplc="240C321C" w:tentative="1">
      <w:start w:val="1"/>
      <w:numFmt w:val="lowerRoman"/>
      <w:lvlText w:val="%3."/>
      <w:lvlJc w:val="right"/>
      <w:pPr>
        <w:ind w:left="1260" w:hanging="420"/>
      </w:pPr>
    </w:lvl>
    <w:lvl w:ilvl="3" w:tplc="A5543196" w:tentative="1">
      <w:start w:val="1"/>
      <w:numFmt w:val="decimal"/>
      <w:lvlText w:val="%4."/>
      <w:lvlJc w:val="left"/>
      <w:pPr>
        <w:ind w:left="1680" w:hanging="420"/>
      </w:pPr>
    </w:lvl>
    <w:lvl w:ilvl="4" w:tplc="CE401658" w:tentative="1">
      <w:start w:val="1"/>
      <w:numFmt w:val="lowerLetter"/>
      <w:lvlText w:val="%5)"/>
      <w:lvlJc w:val="left"/>
      <w:pPr>
        <w:ind w:left="2100" w:hanging="420"/>
      </w:pPr>
    </w:lvl>
    <w:lvl w:ilvl="5" w:tplc="7EF29CB2" w:tentative="1">
      <w:start w:val="1"/>
      <w:numFmt w:val="lowerRoman"/>
      <w:lvlText w:val="%6."/>
      <w:lvlJc w:val="right"/>
      <w:pPr>
        <w:ind w:left="2520" w:hanging="420"/>
      </w:pPr>
    </w:lvl>
    <w:lvl w:ilvl="6" w:tplc="F6A25AFA" w:tentative="1">
      <w:start w:val="1"/>
      <w:numFmt w:val="decimal"/>
      <w:lvlText w:val="%7."/>
      <w:lvlJc w:val="left"/>
      <w:pPr>
        <w:ind w:left="2940" w:hanging="420"/>
      </w:pPr>
    </w:lvl>
    <w:lvl w:ilvl="7" w:tplc="8EE0BF3E" w:tentative="1">
      <w:start w:val="1"/>
      <w:numFmt w:val="lowerLetter"/>
      <w:lvlText w:val="%8)"/>
      <w:lvlJc w:val="left"/>
      <w:pPr>
        <w:ind w:left="3360" w:hanging="420"/>
      </w:pPr>
    </w:lvl>
    <w:lvl w:ilvl="8" w:tplc="1D7EBA3E" w:tentative="1">
      <w:start w:val="1"/>
      <w:numFmt w:val="lowerRoman"/>
      <w:lvlText w:val="%9."/>
      <w:lvlJc w:val="right"/>
      <w:pPr>
        <w:ind w:left="3780" w:hanging="420"/>
      </w:pPr>
    </w:lvl>
  </w:abstractNum>
  <w:num w:numId="1">
    <w:abstractNumId w:val="1"/>
  </w:num>
  <w:num w:numId="2">
    <w:abstractNumId w:val="0"/>
  </w:num>
  <w:num w:numId="3">
    <w:abstractNumId w:val="11"/>
  </w:num>
  <w:num w:numId="4">
    <w:abstractNumId w:val="8"/>
  </w:num>
  <w:num w:numId="5">
    <w:abstractNumId w:val="9"/>
  </w:num>
  <w:num w:numId="6">
    <w:abstractNumId w:val="5"/>
  </w:num>
  <w:num w:numId="7">
    <w:abstractNumId w:val="6"/>
  </w:num>
  <w:num w:numId="8">
    <w:abstractNumId w:val="7"/>
  </w:num>
  <w:num w:numId="9">
    <w:abstractNumId w:val="10"/>
  </w:num>
  <w:num w:numId="10">
    <w:abstractNumId w:val="2"/>
  </w:num>
  <w:num w:numId="11">
    <w:abstractNumId w:val="3"/>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6DFA"/>
    <w:rsid w:val="000175EB"/>
    <w:rsid w:val="00017955"/>
    <w:rsid w:val="00017E0A"/>
    <w:rsid w:val="0002079A"/>
    <w:rsid w:val="00020F04"/>
    <w:rsid w:val="00022669"/>
    <w:rsid w:val="0002292E"/>
    <w:rsid w:val="00026323"/>
    <w:rsid w:val="00032906"/>
    <w:rsid w:val="00032A5E"/>
    <w:rsid w:val="00034D55"/>
    <w:rsid w:val="00035B3D"/>
    <w:rsid w:val="000402C2"/>
    <w:rsid w:val="00040E8E"/>
    <w:rsid w:val="00040F1E"/>
    <w:rsid w:val="000421FF"/>
    <w:rsid w:val="000425E1"/>
    <w:rsid w:val="00044193"/>
    <w:rsid w:val="0004568D"/>
    <w:rsid w:val="000464E5"/>
    <w:rsid w:val="000466DC"/>
    <w:rsid w:val="0005235A"/>
    <w:rsid w:val="00055194"/>
    <w:rsid w:val="00056035"/>
    <w:rsid w:val="00056089"/>
    <w:rsid w:val="00056B5C"/>
    <w:rsid w:val="0005789D"/>
    <w:rsid w:val="0006098B"/>
    <w:rsid w:val="0006588B"/>
    <w:rsid w:val="000658E8"/>
    <w:rsid w:val="00067658"/>
    <w:rsid w:val="000700C4"/>
    <w:rsid w:val="00071643"/>
    <w:rsid w:val="00072899"/>
    <w:rsid w:val="0007536D"/>
    <w:rsid w:val="00080338"/>
    <w:rsid w:val="0008313D"/>
    <w:rsid w:val="00085549"/>
    <w:rsid w:val="00085738"/>
    <w:rsid w:val="0008618A"/>
    <w:rsid w:val="00087617"/>
    <w:rsid w:val="00090C27"/>
    <w:rsid w:val="00090C9F"/>
    <w:rsid w:val="00091C2E"/>
    <w:rsid w:val="00093C4F"/>
    <w:rsid w:val="00093E3D"/>
    <w:rsid w:val="0009408D"/>
    <w:rsid w:val="000946A7"/>
    <w:rsid w:val="00094E37"/>
    <w:rsid w:val="000A0044"/>
    <w:rsid w:val="000A1507"/>
    <w:rsid w:val="000A4208"/>
    <w:rsid w:val="000A5432"/>
    <w:rsid w:val="000A5771"/>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E01C9"/>
    <w:rsid w:val="000E1B21"/>
    <w:rsid w:val="000E379A"/>
    <w:rsid w:val="000E46DC"/>
    <w:rsid w:val="000E4939"/>
    <w:rsid w:val="000E7118"/>
    <w:rsid w:val="000F1390"/>
    <w:rsid w:val="000F2D8B"/>
    <w:rsid w:val="000F77BA"/>
    <w:rsid w:val="000F78F2"/>
    <w:rsid w:val="00100D07"/>
    <w:rsid w:val="00101D37"/>
    <w:rsid w:val="00103ED6"/>
    <w:rsid w:val="001079D9"/>
    <w:rsid w:val="001104AD"/>
    <w:rsid w:val="0011068C"/>
    <w:rsid w:val="00110ABD"/>
    <w:rsid w:val="00113269"/>
    <w:rsid w:val="001134B3"/>
    <w:rsid w:val="001220F7"/>
    <w:rsid w:val="001236E9"/>
    <w:rsid w:val="00123EB0"/>
    <w:rsid w:val="00126AE2"/>
    <w:rsid w:val="00126E79"/>
    <w:rsid w:val="00132507"/>
    <w:rsid w:val="001342AC"/>
    <w:rsid w:val="00134954"/>
    <w:rsid w:val="001365B7"/>
    <w:rsid w:val="00137FA4"/>
    <w:rsid w:val="00141EF4"/>
    <w:rsid w:val="001514B8"/>
    <w:rsid w:val="001522C5"/>
    <w:rsid w:val="001531D8"/>
    <w:rsid w:val="00153D01"/>
    <w:rsid w:val="00153E62"/>
    <w:rsid w:val="00154395"/>
    <w:rsid w:val="00154557"/>
    <w:rsid w:val="00154CDF"/>
    <w:rsid w:val="00156A25"/>
    <w:rsid w:val="00157A3D"/>
    <w:rsid w:val="00163549"/>
    <w:rsid w:val="00164D53"/>
    <w:rsid w:val="00171C27"/>
    <w:rsid w:val="00172A27"/>
    <w:rsid w:val="0017353E"/>
    <w:rsid w:val="00174D1A"/>
    <w:rsid w:val="0017558A"/>
    <w:rsid w:val="0017750B"/>
    <w:rsid w:val="001813A6"/>
    <w:rsid w:val="00182574"/>
    <w:rsid w:val="00182814"/>
    <w:rsid w:val="00184368"/>
    <w:rsid w:val="00184A75"/>
    <w:rsid w:val="00184B76"/>
    <w:rsid w:val="00187BCF"/>
    <w:rsid w:val="001945E9"/>
    <w:rsid w:val="00194664"/>
    <w:rsid w:val="00194873"/>
    <w:rsid w:val="00194E95"/>
    <w:rsid w:val="00194F57"/>
    <w:rsid w:val="0019565B"/>
    <w:rsid w:val="0019649B"/>
    <w:rsid w:val="001A3218"/>
    <w:rsid w:val="001A4100"/>
    <w:rsid w:val="001A7E11"/>
    <w:rsid w:val="001B0ACB"/>
    <w:rsid w:val="001B1027"/>
    <w:rsid w:val="001B23B7"/>
    <w:rsid w:val="001B3121"/>
    <w:rsid w:val="001B325B"/>
    <w:rsid w:val="001B6BAC"/>
    <w:rsid w:val="001C101B"/>
    <w:rsid w:val="001C1B8F"/>
    <w:rsid w:val="001C3745"/>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13BD"/>
    <w:rsid w:val="001F4B18"/>
    <w:rsid w:val="001F50E1"/>
    <w:rsid w:val="00204621"/>
    <w:rsid w:val="00206016"/>
    <w:rsid w:val="00210EF2"/>
    <w:rsid w:val="002172E3"/>
    <w:rsid w:val="002178D8"/>
    <w:rsid w:val="0022040F"/>
    <w:rsid w:val="00222562"/>
    <w:rsid w:val="00222DE4"/>
    <w:rsid w:val="00224F0B"/>
    <w:rsid w:val="002254B5"/>
    <w:rsid w:val="002256A5"/>
    <w:rsid w:val="00226C42"/>
    <w:rsid w:val="0022787F"/>
    <w:rsid w:val="002306FB"/>
    <w:rsid w:val="00232C19"/>
    <w:rsid w:val="00236F6C"/>
    <w:rsid w:val="00237060"/>
    <w:rsid w:val="00244337"/>
    <w:rsid w:val="0024488F"/>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87487"/>
    <w:rsid w:val="00290F25"/>
    <w:rsid w:val="00291175"/>
    <w:rsid w:val="00291A05"/>
    <w:rsid w:val="00291FEB"/>
    <w:rsid w:val="00292622"/>
    <w:rsid w:val="0029359E"/>
    <w:rsid w:val="00294077"/>
    <w:rsid w:val="00296254"/>
    <w:rsid w:val="00296F4D"/>
    <w:rsid w:val="002A007A"/>
    <w:rsid w:val="002A05A3"/>
    <w:rsid w:val="002A0C0C"/>
    <w:rsid w:val="002A1130"/>
    <w:rsid w:val="002A20A0"/>
    <w:rsid w:val="002A2661"/>
    <w:rsid w:val="002A678A"/>
    <w:rsid w:val="002A7FE4"/>
    <w:rsid w:val="002B0550"/>
    <w:rsid w:val="002B2641"/>
    <w:rsid w:val="002B3231"/>
    <w:rsid w:val="002B7554"/>
    <w:rsid w:val="002C077B"/>
    <w:rsid w:val="002C28E2"/>
    <w:rsid w:val="002C3D58"/>
    <w:rsid w:val="002C59D2"/>
    <w:rsid w:val="002C7792"/>
    <w:rsid w:val="002C7A62"/>
    <w:rsid w:val="002D179A"/>
    <w:rsid w:val="002E0E13"/>
    <w:rsid w:val="002E3842"/>
    <w:rsid w:val="002E426E"/>
    <w:rsid w:val="002E5101"/>
    <w:rsid w:val="002E6AA0"/>
    <w:rsid w:val="002F0CE1"/>
    <w:rsid w:val="002F0DB6"/>
    <w:rsid w:val="002F1A4D"/>
    <w:rsid w:val="002F20BF"/>
    <w:rsid w:val="002F2B69"/>
    <w:rsid w:val="002F4328"/>
    <w:rsid w:val="002F6E80"/>
    <w:rsid w:val="00303634"/>
    <w:rsid w:val="00303F10"/>
    <w:rsid w:val="003055ED"/>
    <w:rsid w:val="0030615C"/>
    <w:rsid w:val="00311061"/>
    <w:rsid w:val="00313741"/>
    <w:rsid w:val="003150F0"/>
    <w:rsid w:val="00315C67"/>
    <w:rsid w:val="00317491"/>
    <w:rsid w:val="003211EB"/>
    <w:rsid w:val="003213F8"/>
    <w:rsid w:val="00321B94"/>
    <w:rsid w:val="003228DF"/>
    <w:rsid w:val="0032387B"/>
    <w:rsid w:val="00323CC5"/>
    <w:rsid w:val="00326283"/>
    <w:rsid w:val="00327601"/>
    <w:rsid w:val="00330637"/>
    <w:rsid w:val="00331C52"/>
    <w:rsid w:val="00331EA2"/>
    <w:rsid w:val="003326C2"/>
    <w:rsid w:val="00341D5C"/>
    <w:rsid w:val="00341FC3"/>
    <w:rsid w:val="00343C18"/>
    <w:rsid w:val="00343C28"/>
    <w:rsid w:val="00351F38"/>
    <w:rsid w:val="003528FF"/>
    <w:rsid w:val="00352A25"/>
    <w:rsid w:val="00353D96"/>
    <w:rsid w:val="003561C6"/>
    <w:rsid w:val="00357A08"/>
    <w:rsid w:val="0036095B"/>
    <w:rsid w:val="003610DF"/>
    <w:rsid w:val="00361178"/>
    <w:rsid w:val="00362023"/>
    <w:rsid w:val="003641E7"/>
    <w:rsid w:val="00365108"/>
    <w:rsid w:val="00365475"/>
    <w:rsid w:val="00365EDD"/>
    <w:rsid w:val="00370B76"/>
    <w:rsid w:val="00370BD6"/>
    <w:rsid w:val="003713B6"/>
    <w:rsid w:val="003714C1"/>
    <w:rsid w:val="003740DF"/>
    <w:rsid w:val="003767F5"/>
    <w:rsid w:val="00376907"/>
    <w:rsid w:val="00376F9E"/>
    <w:rsid w:val="00377337"/>
    <w:rsid w:val="00381934"/>
    <w:rsid w:val="003824C3"/>
    <w:rsid w:val="00382ED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2E79"/>
    <w:rsid w:val="003A4187"/>
    <w:rsid w:val="003A4239"/>
    <w:rsid w:val="003A7966"/>
    <w:rsid w:val="003B1DF6"/>
    <w:rsid w:val="003B46E8"/>
    <w:rsid w:val="003B6E3D"/>
    <w:rsid w:val="003C19BF"/>
    <w:rsid w:val="003C4530"/>
    <w:rsid w:val="003C5B82"/>
    <w:rsid w:val="003C6467"/>
    <w:rsid w:val="003C716B"/>
    <w:rsid w:val="003C776C"/>
    <w:rsid w:val="003D04B3"/>
    <w:rsid w:val="003D167A"/>
    <w:rsid w:val="003D1894"/>
    <w:rsid w:val="003D3631"/>
    <w:rsid w:val="003D449F"/>
    <w:rsid w:val="003D4BDD"/>
    <w:rsid w:val="003D5619"/>
    <w:rsid w:val="003E125D"/>
    <w:rsid w:val="003E1A42"/>
    <w:rsid w:val="003E26B4"/>
    <w:rsid w:val="003E34DD"/>
    <w:rsid w:val="003E4FDF"/>
    <w:rsid w:val="003E5C66"/>
    <w:rsid w:val="003E64EF"/>
    <w:rsid w:val="003E6DCD"/>
    <w:rsid w:val="003F33E0"/>
    <w:rsid w:val="003F42E6"/>
    <w:rsid w:val="003F47B0"/>
    <w:rsid w:val="003F485F"/>
    <w:rsid w:val="003F4C16"/>
    <w:rsid w:val="004030CE"/>
    <w:rsid w:val="00412396"/>
    <w:rsid w:val="00415036"/>
    <w:rsid w:val="00416341"/>
    <w:rsid w:val="00421136"/>
    <w:rsid w:val="00422ADB"/>
    <w:rsid w:val="00424437"/>
    <w:rsid w:val="00424FCA"/>
    <w:rsid w:val="00425210"/>
    <w:rsid w:val="00425551"/>
    <w:rsid w:val="0043083F"/>
    <w:rsid w:val="004356A1"/>
    <w:rsid w:val="00436905"/>
    <w:rsid w:val="004421C9"/>
    <w:rsid w:val="00442EAF"/>
    <w:rsid w:val="00443E05"/>
    <w:rsid w:val="00443EEC"/>
    <w:rsid w:val="00443F0B"/>
    <w:rsid w:val="004455DC"/>
    <w:rsid w:val="0045064E"/>
    <w:rsid w:val="004514D2"/>
    <w:rsid w:val="004523BC"/>
    <w:rsid w:val="00454167"/>
    <w:rsid w:val="00456A74"/>
    <w:rsid w:val="004630AA"/>
    <w:rsid w:val="00463C2E"/>
    <w:rsid w:val="0046493A"/>
    <w:rsid w:val="004663BB"/>
    <w:rsid w:val="004748B5"/>
    <w:rsid w:val="00476147"/>
    <w:rsid w:val="00477B2F"/>
    <w:rsid w:val="00481428"/>
    <w:rsid w:val="0048158A"/>
    <w:rsid w:val="004817AB"/>
    <w:rsid w:val="004818E3"/>
    <w:rsid w:val="00482449"/>
    <w:rsid w:val="00483A5A"/>
    <w:rsid w:val="004850E4"/>
    <w:rsid w:val="00485743"/>
    <w:rsid w:val="00485D6C"/>
    <w:rsid w:val="00490162"/>
    <w:rsid w:val="00490317"/>
    <w:rsid w:val="00493E9A"/>
    <w:rsid w:val="00493F38"/>
    <w:rsid w:val="0049407A"/>
    <w:rsid w:val="004A065C"/>
    <w:rsid w:val="004A23AD"/>
    <w:rsid w:val="004A3A39"/>
    <w:rsid w:val="004A44C9"/>
    <w:rsid w:val="004B0446"/>
    <w:rsid w:val="004B0880"/>
    <w:rsid w:val="004B0AAA"/>
    <w:rsid w:val="004B0FF1"/>
    <w:rsid w:val="004B342D"/>
    <w:rsid w:val="004B404F"/>
    <w:rsid w:val="004B638A"/>
    <w:rsid w:val="004B7E43"/>
    <w:rsid w:val="004C101A"/>
    <w:rsid w:val="004C27BF"/>
    <w:rsid w:val="004C5BE8"/>
    <w:rsid w:val="004D00B8"/>
    <w:rsid w:val="004D087E"/>
    <w:rsid w:val="004D3CB7"/>
    <w:rsid w:val="004D3E32"/>
    <w:rsid w:val="004D4076"/>
    <w:rsid w:val="004D4597"/>
    <w:rsid w:val="004D4B2E"/>
    <w:rsid w:val="004D6E32"/>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72D"/>
    <w:rsid w:val="00510B3C"/>
    <w:rsid w:val="005143CF"/>
    <w:rsid w:val="00517CC1"/>
    <w:rsid w:val="00521E6C"/>
    <w:rsid w:val="0052235B"/>
    <w:rsid w:val="0052289A"/>
    <w:rsid w:val="005232C1"/>
    <w:rsid w:val="00523C59"/>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1E7"/>
    <w:rsid w:val="00584CC5"/>
    <w:rsid w:val="00586283"/>
    <w:rsid w:val="00586CEE"/>
    <w:rsid w:val="005940EA"/>
    <w:rsid w:val="00597C83"/>
    <w:rsid w:val="005A1356"/>
    <w:rsid w:val="005A5B1E"/>
    <w:rsid w:val="005A5B49"/>
    <w:rsid w:val="005A6629"/>
    <w:rsid w:val="005A7366"/>
    <w:rsid w:val="005B3D45"/>
    <w:rsid w:val="005B6D99"/>
    <w:rsid w:val="005C0E89"/>
    <w:rsid w:val="005C4915"/>
    <w:rsid w:val="005C5F32"/>
    <w:rsid w:val="005C7EF8"/>
    <w:rsid w:val="005D24E6"/>
    <w:rsid w:val="005D357F"/>
    <w:rsid w:val="005D59A2"/>
    <w:rsid w:val="005E32FD"/>
    <w:rsid w:val="005E4871"/>
    <w:rsid w:val="005E55B6"/>
    <w:rsid w:val="005E6D9B"/>
    <w:rsid w:val="005F192C"/>
    <w:rsid w:val="005F295D"/>
    <w:rsid w:val="005F5458"/>
    <w:rsid w:val="005F6173"/>
    <w:rsid w:val="005F6A5D"/>
    <w:rsid w:val="005F7ABE"/>
    <w:rsid w:val="00602AD9"/>
    <w:rsid w:val="00604F22"/>
    <w:rsid w:val="00605A97"/>
    <w:rsid w:val="00606858"/>
    <w:rsid w:val="00607E89"/>
    <w:rsid w:val="0061051E"/>
    <w:rsid w:val="006136FE"/>
    <w:rsid w:val="00614B17"/>
    <w:rsid w:val="00614D85"/>
    <w:rsid w:val="00615242"/>
    <w:rsid w:val="006152B7"/>
    <w:rsid w:val="00616766"/>
    <w:rsid w:val="00624BF6"/>
    <w:rsid w:val="006273F7"/>
    <w:rsid w:val="00632B7F"/>
    <w:rsid w:val="00632C60"/>
    <w:rsid w:val="0063350D"/>
    <w:rsid w:val="00634A98"/>
    <w:rsid w:val="0063729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12C3"/>
    <w:rsid w:val="00682C24"/>
    <w:rsid w:val="0068352C"/>
    <w:rsid w:val="00683692"/>
    <w:rsid w:val="0068450B"/>
    <w:rsid w:val="00690CAC"/>
    <w:rsid w:val="00693FD0"/>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6992"/>
    <w:rsid w:val="006D73F3"/>
    <w:rsid w:val="006E0DF1"/>
    <w:rsid w:val="006E19F8"/>
    <w:rsid w:val="006E2E24"/>
    <w:rsid w:val="006E2EE7"/>
    <w:rsid w:val="006E3FAA"/>
    <w:rsid w:val="006E51E3"/>
    <w:rsid w:val="006E6751"/>
    <w:rsid w:val="006F0EAB"/>
    <w:rsid w:val="006F367C"/>
    <w:rsid w:val="006F4F9D"/>
    <w:rsid w:val="006F58F9"/>
    <w:rsid w:val="006F6CF3"/>
    <w:rsid w:val="006F7791"/>
    <w:rsid w:val="00700086"/>
    <w:rsid w:val="0070204F"/>
    <w:rsid w:val="0070265C"/>
    <w:rsid w:val="0070377A"/>
    <w:rsid w:val="00704AD1"/>
    <w:rsid w:val="00705388"/>
    <w:rsid w:val="007067D5"/>
    <w:rsid w:val="00706B2C"/>
    <w:rsid w:val="00707F30"/>
    <w:rsid w:val="00711976"/>
    <w:rsid w:val="007123BE"/>
    <w:rsid w:val="00713766"/>
    <w:rsid w:val="00713AC7"/>
    <w:rsid w:val="00716341"/>
    <w:rsid w:val="00717B1F"/>
    <w:rsid w:val="00720089"/>
    <w:rsid w:val="00720353"/>
    <w:rsid w:val="00720B4C"/>
    <w:rsid w:val="00720DF2"/>
    <w:rsid w:val="00722540"/>
    <w:rsid w:val="00724699"/>
    <w:rsid w:val="0072493D"/>
    <w:rsid w:val="0072734B"/>
    <w:rsid w:val="00730D8B"/>
    <w:rsid w:val="00733D7A"/>
    <w:rsid w:val="00734DF1"/>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2B34"/>
    <w:rsid w:val="007A3944"/>
    <w:rsid w:val="007A3D17"/>
    <w:rsid w:val="007A6E51"/>
    <w:rsid w:val="007A7475"/>
    <w:rsid w:val="007A7AFA"/>
    <w:rsid w:val="007B016B"/>
    <w:rsid w:val="007B032F"/>
    <w:rsid w:val="007B055F"/>
    <w:rsid w:val="007B102F"/>
    <w:rsid w:val="007B141F"/>
    <w:rsid w:val="007B162A"/>
    <w:rsid w:val="007B1F6E"/>
    <w:rsid w:val="007B217A"/>
    <w:rsid w:val="007B5B0D"/>
    <w:rsid w:val="007B7A3D"/>
    <w:rsid w:val="007C03F5"/>
    <w:rsid w:val="007C0B84"/>
    <w:rsid w:val="007C231C"/>
    <w:rsid w:val="007C36EF"/>
    <w:rsid w:val="007D114A"/>
    <w:rsid w:val="007D12A7"/>
    <w:rsid w:val="007D24FC"/>
    <w:rsid w:val="007D4FC2"/>
    <w:rsid w:val="007E0C49"/>
    <w:rsid w:val="007E1CEB"/>
    <w:rsid w:val="007E53EB"/>
    <w:rsid w:val="007E5EDC"/>
    <w:rsid w:val="007E6761"/>
    <w:rsid w:val="007E73E5"/>
    <w:rsid w:val="007F0B88"/>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339B"/>
    <w:rsid w:val="008157DE"/>
    <w:rsid w:val="008161AC"/>
    <w:rsid w:val="00816F47"/>
    <w:rsid w:val="00817FDD"/>
    <w:rsid w:val="00820176"/>
    <w:rsid w:val="008215E7"/>
    <w:rsid w:val="008225E3"/>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4E7"/>
    <w:rsid w:val="008768E9"/>
    <w:rsid w:val="0087743D"/>
    <w:rsid w:val="00880897"/>
    <w:rsid w:val="00880D13"/>
    <w:rsid w:val="008822BE"/>
    <w:rsid w:val="00883CD5"/>
    <w:rsid w:val="00884F99"/>
    <w:rsid w:val="00885664"/>
    <w:rsid w:val="008863E5"/>
    <w:rsid w:val="008867E2"/>
    <w:rsid w:val="00886F29"/>
    <w:rsid w:val="008872D3"/>
    <w:rsid w:val="00893D84"/>
    <w:rsid w:val="00894D35"/>
    <w:rsid w:val="00896085"/>
    <w:rsid w:val="008960D3"/>
    <w:rsid w:val="008972FF"/>
    <w:rsid w:val="008A0C44"/>
    <w:rsid w:val="008A1936"/>
    <w:rsid w:val="008A29AF"/>
    <w:rsid w:val="008A3C1F"/>
    <w:rsid w:val="008A664D"/>
    <w:rsid w:val="008B377E"/>
    <w:rsid w:val="008B5538"/>
    <w:rsid w:val="008B69A5"/>
    <w:rsid w:val="008C2DB4"/>
    <w:rsid w:val="008C2F9E"/>
    <w:rsid w:val="008C3F2C"/>
    <w:rsid w:val="008C5E8F"/>
    <w:rsid w:val="008D13E6"/>
    <w:rsid w:val="008D1538"/>
    <w:rsid w:val="008D4520"/>
    <w:rsid w:val="008E08D0"/>
    <w:rsid w:val="008E1E18"/>
    <w:rsid w:val="008E46DA"/>
    <w:rsid w:val="008E4ED9"/>
    <w:rsid w:val="008E6B57"/>
    <w:rsid w:val="008F2229"/>
    <w:rsid w:val="008F6482"/>
    <w:rsid w:val="008F6EDD"/>
    <w:rsid w:val="008F70D1"/>
    <w:rsid w:val="008F7388"/>
    <w:rsid w:val="008F74FC"/>
    <w:rsid w:val="008F7AF3"/>
    <w:rsid w:val="00901A11"/>
    <w:rsid w:val="00901A71"/>
    <w:rsid w:val="00902A83"/>
    <w:rsid w:val="0090469D"/>
    <w:rsid w:val="009068AA"/>
    <w:rsid w:val="00906972"/>
    <w:rsid w:val="009101C5"/>
    <w:rsid w:val="00910434"/>
    <w:rsid w:val="0091238F"/>
    <w:rsid w:val="00913DA3"/>
    <w:rsid w:val="00913F4F"/>
    <w:rsid w:val="00913F7B"/>
    <w:rsid w:val="00914C05"/>
    <w:rsid w:val="00916542"/>
    <w:rsid w:val="00920BE7"/>
    <w:rsid w:val="00923276"/>
    <w:rsid w:val="00923E84"/>
    <w:rsid w:val="00932484"/>
    <w:rsid w:val="00932558"/>
    <w:rsid w:val="0093355C"/>
    <w:rsid w:val="00937205"/>
    <w:rsid w:val="00937C1D"/>
    <w:rsid w:val="00940EDA"/>
    <w:rsid w:val="00942271"/>
    <w:rsid w:val="00943759"/>
    <w:rsid w:val="009503C7"/>
    <w:rsid w:val="00950B05"/>
    <w:rsid w:val="0095289B"/>
    <w:rsid w:val="00953B50"/>
    <w:rsid w:val="00957740"/>
    <w:rsid w:val="00957CC9"/>
    <w:rsid w:val="00963AB1"/>
    <w:rsid w:val="009667E1"/>
    <w:rsid w:val="00970AC2"/>
    <w:rsid w:val="00970CA9"/>
    <w:rsid w:val="00971A90"/>
    <w:rsid w:val="00971EF9"/>
    <w:rsid w:val="009727EA"/>
    <w:rsid w:val="00972A6E"/>
    <w:rsid w:val="009732FF"/>
    <w:rsid w:val="00976551"/>
    <w:rsid w:val="00976BDA"/>
    <w:rsid w:val="00976F29"/>
    <w:rsid w:val="00977DB0"/>
    <w:rsid w:val="00990F3B"/>
    <w:rsid w:val="00991559"/>
    <w:rsid w:val="009920F3"/>
    <w:rsid w:val="0099256E"/>
    <w:rsid w:val="009928AE"/>
    <w:rsid w:val="00992F6A"/>
    <w:rsid w:val="00995394"/>
    <w:rsid w:val="00996C25"/>
    <w:rsid w:val="009975BB"/>
    <w:rsid w:val="009A025A"/>
    <w:rsid w:val="009A181B"/>
    <w:rsid w:val="009A278E"/>
    <w:rsid w:val="009A3A3C"/>
    <w:rsid w:val="009A40E8"/>
    <w:rsid w:val="009A6A18"/>
    <w:rsid w:val="009B6E72"/>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9B5"/>
    <w:rsid w:val="00A17CCE"/>
    <w:rsid w:val="00A17CE4"/>
    <w:rsid w:val="00A21E18"/>
    <w:rsid w:val="00A22159"/>
    <w:rsid w:val="00A2402C"/>
    <w:rsid w:val="00A247DD"/>
    <w:rsid w:val="00A264EE"/>
    <w:rsid w:val="00A2663F"/>
    <w:rsid w:val="00A26828"/>
    <w:rsid w:val="00A30DC0"/>
    <w:rsid w:val="00A31230"/>
    <w:rsid w:val="00A35B5E"/>
    <w:rsid w:val="00A373BD"/>
    <w:rsid w:val="00A4374F"/>
    <w:rsid w:val="00A43A9A"/>
    <w:rsid w:val="00A43AD4"/>
    <w:rsid w:val="00A43CEF"/>
    <w:rsid w:val="00A448FB"/>
    <w:rsid w:val="00A45211"/>
    <w:rsid w:val="00A46E4F"/>
    <w:rsid w:val="00A47C76"/>
    <w:rsid w:val="00A52567"/>
    <w:rsid w:val="00A53761"/>
    <w:rsid w:val="00A53CE6"/>
    <w:rsid w:val="00A55B94"/>
    <w:rsid w:val="00A62746"/>
    <w:rsid w:val="00A65193"/>
    <w:rsid w:val="00A6767B"/>
    <w:rsid w:val="00A67AD3"/>
    <w:rsid w:val="00A73902"/>
    <w:rsid w:val="00A73925"/>
    <w:rsid w:val="00A756D5"/>
    <w:rsid w:val="00A75C27"/>
    <w:rsid w:val="00A76B1E"/>
    <w:rsid w:val="00A77A39"/>
    <w:rsid w:val="00A77AE9"/>
    <w:rsid w:val="00A814A0"/>
    <w:rsid w:val="00A81503"/>
    <w:rsid w:val="00A816F3"/>
    <w:rsid w:val="00A8233D"/>
    <w:rsid w:val="00A85D20"/>
    <w:rsid w:val="00A86332"/>
    <w:rsid w:val="00A86DD4"/>
    <w:rsid w:val="00A91504"/>
    <w:rsid w:val="00A92F62"/>
    <w:rsid w:val="00A93449"/>
    <w:rsid w:val="00A946EB"/>
    <w:rsid w:val="00AA1A0C"/>
    <w:rsid w:val="00AA1CAC"/>
    <w:rsid w:val="00AA2810"/>
    <w:rsid w:val="00AA3C89"/>
    <w:rsid w:val="00AA6315"/>
    <w:rsid w:val="00AB26E0"/>
    <w:rsid w:val="00AB27CB"/>
    <w:rsid w:val="00AB2C05"/>
    <w:rsid w:val="00AB4A8C"/>
    <w:rsid w:val="00AB6656"/>
    <w:rsid w:val="00AB71F2"/>
    <w:rsid w:val="00AC49A3"/>
    <w:rsid w:val="00AC4A36"/>
    <w:rsid w:val="00AC5613"/>
    <w:rsid w:val="00AC759D"/>
    <w:rsid w:val="00AD490B"/>
    <w:rsid w:val="00AE1E32"/>
    <w:rsid w:val="00AE3458"/>
    <w:rsid w:val="00AE36DC"/>
    <w:rsid w:val="00AE6A6D"/>
    <w:rsid w:val="00AF00F9"/>
    <w:rsid w:val="00AF0888"/>
    <w:rsid w:val="00AF0D99"/>
    <w:rsid w:val="00AF2871"/>
    <w:rsid w:val="00AF304E"/>
    <w:rsid w:val="00AF30BD"/>
    <w:rsid w:val="00AF31D5"/>
    <w:rsid w:val="00AF6810"/>
    <w:rsid w:val="00AF7E09"/>
    <w:rsid w:val="00B0001B"/>
    <w:rsid w:val="00B017BC"/>
    <w:rsid w:val="00B034AA"/>
    <w:rsid w:val="00B03EB7"/>
    <w:rsid w:val="00B0594C"/>
    <w:rsid w:val="00B05FC7"/>
    <w:rsid w:val="00B06E05"/>
    <w:rsid w:val="00B11EDF"/>
    <w:rsid w:val="00B13ECD"/>
    <w:rsid w:val="00B172BA"/>
    <w:rsid w:val="00B17B36"/>
    <w:rsid w:val="00B2034A"/>
    <w:rsid w:val="00B2097F"/>
    <w:rsid w:val="00B22512"/>
    <w:rsid w:val="00B23268"/>
    <w:rsid w:val="00B244A2"/>
    <w:rsid w:val="00B277C1"/>
    <w:rsid w:val="00B277D7"/>
    <w:rsid w:val="00B3323E"/>
    <w:rsid w:val="00B342DE"/>
    <w:rsid w:val="00B34F9B"/>
    <w:rsid w:val="00B36F96"/>
    <w:rsid w:val="00B41C5A"/>
    <w:rsid w:val="00B42022"/>
    <w:rsid w:val="00B459FB"/>
    <w:rsid w:val="00B50249"/>
    <w:rsid w:val="00B50840"/>
    <w:rsid w:val="00B54994"/>
    <w:rsid w:val="00B5539B"/>
    <w:rsid w:val="00B574DB"/>
    <w:rsid w:val="00B60816"/>
    <w:rsid w:val="00B60C8A"/>
    <w:rsid w:val="00B610A6"/>
    <w:rsid w:val="00B63FF0"/>
    <w:rsid w:val="00B6498C"/>
    <w:rsid w:val="00B70F05"/>
    <w:rsid w:val="00B76C5D"/>
    <w:rsid w:val="00B77E6E"/>
    <w:rsid w:val="00B806C7"/>
    <w:rsid w:val="00B809BA"/>
    <w:rsid w:val="00B80F15"/>
    <w:rsid w:val="00B820B0"/>
    <w:rsid w:val="00B83268"/>
    <w:rsid w:val="00B83905"/>
    <w:rsid w:val="00B84510"/>
    <w:rsid w:val="00B92430"/>
    <w:rsid w:val="00B92EB2"/>
    <w:rsid w:val="00B9384A"/>
    <w:rsid w:val="00B9491B"/>
    <w:rsid w:val="00B96267"/>
    <w:rsid w:val="00B97730"/>
    <w:rsid w:val="00BA0692"/>
    <w:rsid w:val="00BA10E0"/>
    <w:rsid w:val="00BA5954"/>
    <w:rsid w:val="00BA66B6"/>
    <w:rsid w:val="00BA6891"/>
    <w:rsid w:val="00BA6DDE"/>
    <w:rsid w:val="00BB13C4"/>
    <w:rsid w:val="00BB3744"/>
    <w:rsid w:val="00BB378E"/>
    <w:rsid w:val="00BB4EF7"/>
    <w:rsid w:val="00BB5CE1"/>
    <w:rsid w:val="00BB73A2"/>
    <w:rsid w:val="00BB778B"/>
    <w:rsid w:val="00BC072A"/>
    <w:rsid w:val="00BC0911"/>
    <w:rsid w:val="00BC289B"/>
    <w:rsid w:val="00BD100A"/>
    <w:rsid w:val="00BD119E"/>
    <w:rsid w:val="00BD1BD8"/>
    <w:rsid w:val="00BD1D83"/>
    <w:rsid w:val="00BD4B19"/>
    <w:rsid w:val="00BD4D60"/>
    <w:rsid w:val="00BD719F"/>
    <w:rsid w:val="00BE0549"/>
    <w:rsid w:val="00BE09AE"/>
    <w:rsid w:val="00BE1AF4"/>
    <w:rsid w:val="00BE2BB3"/>
    <w:rsid w:val="00BE3099"/>
    <w:rsid w:val="00BE4003"/>
    <w:rsid w:val="00BE4FD6"/>
    <w:rsid w:val="00BE66C4"/>
    <w:rsid w:val="00BE685E"/>
    <w:rsid w:val="00BE6E15"/>
    <w:rsid w:val="00BE7122"/>
    <w:rsid w:val="00BF1F0A"/>
    <w:rsid w:val="00BF223F"/>
    <w:rsid w:val="00BF4C43"/>
    <w:rsid w:val="00BF78C9"/>
    <w:rsid w:val="00C00695"/>
    <w:rsid w:val="00C00CBF"/>
    <w:rsid w:val="00C018F5"/>
    <w:rsid w:val="00C019B9"/>
    <w:rsid w:val="00C01A01"/>
    <w:rsid w:val="00C0710F"/>
    <w:rsid w:val="00C07833"/>
    <w:rsid w:val="00C14559"/>
    <w:rsid w:val="00C17CE7"/>
    <w:rsid w:val="00C17D71"/>
    <w:rsid w:val="00C20C6E"/>
    <w:rsid w:val="00C2130B"/>
    <w:rsid w:val="00C21371"/>
    <w:rsid w:val="00C21495"/>
    <w:rsid w:val="00C217D1"/>
    <w:rsid w:val="00C23AC6"/>
    <w:rsid w:val="00C23E97"/>
    <w:rsid w:val="00C25578"/>
    <w:rsid w:val="00C26CB0"/>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7591D"/>
    <w:rsid w:val="00C81211"/>
    <w:rsid w:val="00C81B0F"/>
    <w:rsid w:val="00C826CC"/>
    <w:rsid w:val="00C83C20"/>
    <w:rsid w:val="00C842FD"/>
    <w:rsid w:val="00C84DE6"/>
    <w:rsid w:val="00C867B4"/>
    <w:rsid w:val="00C87382"/>
    <w:rsid w:val="00C912C3"/>
    <w:rsid w:val="00C918E4"/>
    <w:rsid w:val="00C92258"/>
    <w:rsid w:val="00C922B7"/>
    <w:rsid w:val="00C92A27"/>
    <w:rsid w:val="00C92AE6"/>
    <w:rsid w:val="00C9344B"/>
    <w:rsid w:val="00C94EA1"/>
    <w:rsid w:val="00C95BA3"/>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0D5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0988"/>
    <w:rsid w:val="00D21B7C"/>
    <w:rsid w:val="00D25134"/>
    <w:rsid w:val="00D27105"/>
    <w:rsid w:val="00D27E40"/>
    <w:rsid w:val="00D30937"/>
    <w:rsid w:val="00D345EB"/>
    <w:rsid w:val="00D40ACF"/>
    <w:rsid w:val="00D425C1"/>
    <w:rsid w:val="00D517C0"/>
    <w:rsid w:val="00D53CBF"/>
    <w:rsid w:val="00D54E76"/>
    <w:rsid w:val="00D56097"/>
    <w:rsid w:val="00D57FB4"/>
    <w:rsid w:val="00D60175"/>
    <w:rsid w:val="00D603B4"/>
    <w:rsid w:val="00D6219D"/>
    <w:rsid w:val="00D6225B"/>
    <w:rsid w:val="00D63801"/>
    <w:rsid w:val="00D6456C"/>
    <w:rsid w:val="00D7179F"/>
    <w:rsid w:val="00D72128"/>
    <w:rsid w:val="00D73196"/>
    <w:rsid w:val="00D74235"/>
    <w:rsid w:val="00D74DD5"/>
    <w:rsid w:val="00D759BB"/>
    <w:rsid w:val="00D7798C"/>
    <w:rsid w:val="00D809B2"/>
    <w:rsid w:val="00D80BD2"/>
    <w:rsid w:val="00D8240B"/>
    <w:rsid w:val="00D917AA"/>
    <w:rsid w:val="00D960B9"/>
    <w:rsid w:val="00D96A71"/>
    <w:rsid w:val="00D9751D"/>
    <w:rsid w:val="00DA1106"/>
    <w:rsid w:val="00DA152C"/>
    <w:rsid w:val="00DA3198"/>
    <w:rsid w:val="00DA369A"/>
    <w:rsid w:val="00DA638A"/>
    <w:rsid w:val="00DA6D09"/>
    <w:rsid w:val="00DA7439"/>
    <w:rsid w:val="00DB3C13"/>
    <w:rsid w:val="00DB526D"/>
    <w:rsid w:val="00DB5E02"/>
    <w:rsid w:val="00DB7A97"/>
    <w:rsid w:val="00DC539C"/>
    <w:rsid w:val="00DD37F2"/>
    <w:rsid w:val="00DD5C15"/>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680"/>
    <w:rsid w:val="00E22A22"/>
    <w:rsid w:val="00E242BB"/>
    <w:rsid w:val="00E249F1"/>
    <w:rsid w:val="00E24F4F"/>
    <w:rsid w:val="00E2616B"/>
    <w:rsid w:val="00E27023"/>
    <w:rsid w:val="00E31FDD"/>
    <w:rsid w:val="00E322B4"/>
    <w:rsid w:val="00E3278A"/>
    <w:rsid w:val="00E36A95"/>
    <w:rsid w:val="00E3728B"/>
    <w:rsid w:val="00E372AD"/>
    <w:rsid w:val="00E37971"/>
    <w:rsid w:val="00E37D54"/>
    <w:rsid w:val="00E409A6"/>
    <w:rsid w:val="00E40F32"/>
    <w:rsid w:val="00E421C1"/>
    <w:rsid w:val="00E4245F"/>
    <w:rsid w:val="00E4287B"/>
    <w:rsid w:val="00E4411D"/>
    <w:rsid w:val="00E44BCC"/>
    <w:rsid w:val="00E45FA9"/>
    <w:rsid w:val="00E476DD"/>
    <w:rsid w:val="00E5297C"/>
    <w:rsid w:val="00E568FB"/>
    <w:rsid w:val="00E60498"/>
    <w:rsid w:val="00E60E89"/>
    <w:rsid w:val="00E63A24"/>
    <w:rsid w:val="00E63BED"/>
    <w:rsid w:val="00E64934"/>
    <w:rsid w:val="00E649D8"/>
    <w:rsid w:val="00E6569A"/>
    <w:rsid w:val="00E6694F"/>
    <w:rsid w:val="00E72494"/>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04"/>
    <w:rsid w:val="00E86A72"/>
    <w:rsid w:val="00E9123E"/>
    <w:rsid w:val="00E91E01"/>
    <w:rsid w:val="00E9201B"/>
    <w:rsid w:val="00E92A9D"/>
    <w:rsid w:val="00E94635"/>
    <w:rsid w:val="00E94AED"/>
    <w:rsid w:val="00E94C35"/>
    <w:rsid w:val="00E94E19"/>
    <w:rsid w:val="00E9574F"/>
    <w:rsid w:val="00E95BD9"/>
    <w:rsid w:val="00E97D4D"/>
    <w:rsid w:val="00EA1731"/>
    <w:rsid w:val="00EA1BCB"/>
    <w:rsid w:val="00EA510A"/>
    <w:rsid w:val="00EA7AE7"/>
    <w:rsid w:val="00EB0F58"/>
    <w:rsid w:val="00EB22B0"/>
    <w:rsid w:val="00EB2CD7"/>
    <w:rsid w:val="00EB4528"/>
    <w:rsid w:val="00EB4987"/>
    <w:rsid w:val="00EB5A25"/>
    <w:rsid w:val="00EB7E47"/>
    <w:rsid w:val="00EC0720"/>
    <w:rsid w:val="00EC121A"/>
    <w:rsid w:val="00EC1F01"/>
    <w:rsid w:val="00EC26C6"/>
    <w:rsid w:val="00EC7309"/>
    <w:rsid w:val="00ED2461"/>
    <w:rsid w:val="00ED6959"/>
    <w:rsid w:val="00ED7C5D"/>
    <w:rsid w:val="00EE0AAC"/>
    <w:rsid w:val="00EE0F8E"/>
    <w:rsid w:val="00EE2D8D"/>
    <w:rsid w:val="00EE4A7D"/>
    <w:rsid w:val="00EE4FCC"/>
    <w:rsid w:val="00EE59DF"/>
    <w:rsid w:val="00EE6ED5"/>
    <w:rsid w:val="00EF19E3"/>
    <w:rsid w:val="00EF454C"/>
    <w:rsid w:val="00F00E3A"/>
    <w:rsid w:val="00F020FA"/>
    <w:rsid w:val="00F021A7"/>
    <w:rsid w:val="00F03624"/>
    <w:rsid w:val="00F04A60"/>
    <w:rsid w:val="00F04B0C"/>
    <w:rsid w:val="00F04CBC"/>
    <w:rsid w:val="00F05186"/>
    <w:rsid w:val="00F05B4B"/>
    <w:rsid w:val="00F067B1"/>
    <w:rsid w:val="00F07ACC"/>
    <w:rsid w:val="00F10AF9"/>
    <w:rsid w:val="00F11EDB"/>
    <w:rsid w:val="00F12513"/>
    <w:rsid w:val="00F13154"/>
    <w:rsid w:val="00F14601"/>
    <w:rsid w:val="00F1497B"/>
    <w:rsid w:val="00F1511F"/>
    <w:rsid w:val="00F15308"/>
    <w:rsid w:val="00F1542E"/>
    <w:rsid w:val="00F158D5"/>
    <w:rsid w:val="00F16121"/>
    <w:rsid w:val="00F17477"/>
    <w:rsid w:val="00F240C3"/>
    <w:rsid w:val="00F2510E"/>
    <w:rsid w:val="00F26717"/>
    <w:rsid w:val="00F30019"/>
    <w:rsid w:val="00F315AA"/>
    <w:rsid w:val="00F319E1"/>
    <w:rsid w:val="00F3325C"/>
    <w:rsid w:val="00F33507"/>
    <w:rsid w:val="00F3405A"/>
    <w:rsid w:val="00F340CE"/>
    <w:rsid w:val="00F34AE8"/>
    <w:rsid w:val="00F37A92"/>
    <w:rsid w:val="00F41A59"/>
    <w:rsid w:val="00F44255"/>
    <w:rsid w:val="00F4489F"/>
    <w:rsid w:val="00F44A27"/>
    <w:rsid w:val="00F46BDF"/>
    <w:rsid w:val="00F47FCF"/>
    <w:rsid w:val="00F500A4"/>
    <w:rsid w:val="00F51791"/>
    <w:rsid w:val="00F54D34"/>
    <w:rsid w:val="00F560DB"/>
    <w:rsid w:val="00F5685E"/>
    <w:rsid w:val="00F57C1D"/>
    <w:rsid w:val="00F60672"/>
    <w:rsid w:val="00F6076D"/>
    <w:rsid w:val="00F607A6"/>
    <w:rsid w:val="00F61A6A"/>
    <w:rsid w:val="00F62920"/>
    <w:rsid w:val="00F666CA"/>
    <w:rsid w:val="00F7142F"/>
    <w:rsid w:val="00F7275B"/>
    <w:rsid w:val="00F742FC"/>
    <w:rsid w:val="00F75A5D"/>
    <w:rsid w:val="00F7689C"/>
    <w:rsid w:val="00F800CB"/>
    <w:rsid w:val="00F80661"/>
    <w:rsid w:val="00F81A35"/>
    <w:rsid w:val="00F8212D"/>
    <w:rsid w:val="00F84049"/>
    <w:rsid w:val="00F92B46"/>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B6D32"/>
    <w:rsid w:val="00FC1898"/>
    <w:rsid w:val="00FC2B7C"/>
    <w:rsid w:val="00FC6AFF"/>
    <w:rsid w:val="00FD07A4"/>
    <w:rsid w:val="00FD32E4"/>
    <w:rsid w:val="00FD6030"/>
    <w:rsid w:val="00FD743D"/>
    <w:rsid w:val="00FE04EE"/>
    <w:rsid w:val="00FE13E2"/>
    <w:rsid w:val="00FE42E5"/>
    <w:rsid w:val="00FE66B1"/>
    <w:rsid w:val="00FE769B"/>
    <w:rsid w:val="00FF146D"/>
    <w:rsid w:val="00FF2104"/>
    <w:rsid w:val="00FF3B47"/>
    <w:rsid w:val="00FF41B3"/>
    <w:rsid w:val="00FF516D"/>
    <w:rsid w:val="00FF5404"/>
    <w:rsid w:val="00FF5DC4"/>
    <w:rsid w:val="00FF7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C66DC0"/>
  <w15:docId w15:val="{032D4A83-4D15-4345-BCF7-5E0D5DAC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qFormat/>
    <w:rsid w:val="004D087E"/>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4D087E"/>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4D087E"/>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Pr>
      <w:rFonts w:ascii="宋体"/>
      <w:lang w:val="x-none" w:eastAsia="x-none"/>
    </w:rPr>
  </w:style>
  <w:style w:type="character" w:styleId="a4">
    <w:name w:val="annotation reference"/>
    <w:qFormat/>
    <w:rPr>
      <w:sz w:val="21"/>
    </w:rPr>
  </w:style>
  <w:style w:type="character" w:customStyle="1" w:styleId="unnamed11">
    <w:name w:val="unnamed11"/>
    <w:rPr>
      <w:rFonts w:ascii="宋体" w:eastAsia="宋体" w:hAnsi="宋体" w:hint="eastAsia"/>
      <w:sz w:val="18"/>
    </w:rPr>
  </w:style>
  <w:style w:type="character" w:styleId="a5">
    <w:name w:val="footnote reference"/>
    <w:rPr>
      <w:vertAlign w:val="superscript"/>
    </w:rPr>
  </w:style>
  <w:style w:type="character" w:customStyle="1" w:styleId="Char0">
    <w:name w:val="标题 Char"/>
    <w:link w:val="a6"/>
    <w:rPr>
      <w:rFonts w:ascii="Cambria" w:hAnsi="Cambria"/>
      <w:b/>
      <w:kern w:val="2"/>
      <w:sz w:val="32"/>
      <w:lang w:val="x-none" w:eastAsia="x-none"/>
    </w:rPr>
  </w:style>
  <w:style w:type="character" w:customStyle="1" w:styleId="Char1">
    <w:name w:val="页眉 Char"/>
    <w:link w:val="a7"/>
    <w:uiPriority w:val="99"/>
    <w:rPr>
      <w:kern w:val="2"/>
      <w:sz w:val="18"/>
    </w:rPr>
  </w:style>
  <w:style w:type="character" w:customStyle="1" w:styleId="read">
    <w:name w:val="read"/>
    <w:basedOn w:val="a0"/>
    <w:qFormat/>
    <w:rsid w:val="004D087E"/>
  </w:style>
  <w:style w:type="character" w:styleId="a8">
    <w:name w:val="page number"/>
    <w:basedOn w:val="a0"/>
  </w:style>
  <w:style w:type="character" w:styleId="a9">
    <w:name w:val="Hyperlink"/>
    <w:rPr>
      <w:color w:val="0000FF"/>
      <w:u w:val="single"/>
    </w:rPr>
  </w:style>
  <w:style w:type="paragraph" w:styleId="30">
    <w:name w:val="toc 3"/>
    <w:basedOn w:val="a"/>
    <w:next w:val="a"/>
    <w:pPr>
      <w:ind w:leftChars="400" w:left="840"/>
    </w:pPr>
  </w:style>
  <w:style w:type="paragraph" w:styleId="31">
    <w:name w:val="Body Text Indent 3"/>
    <w:basedOn w:val="a"/>
    <w:pPr>
      <w:autoSpaceDE w:val="0"/>
      <w:autoSpaceDN w:val="0"/>
      <w:adjustRightInd w:val="0"/>
      <w:spacing w:line="360" w:lineRule="auto"/>
      <w:ind w:left="420" w:firstLine="435"/>
    </w:pPr>
    <w:rPr>
      <w:color w:val="0000FF"/>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rsid w:val="004D087E"/>
    <w:pPr>
      <w:spacing w:before="60" w:after="60"/>
      <w:ind w:left="15" w:right="15"/>
    </w:pPr>
    <w:rPr>
      <w:rFonts w:ascii="宋体" w:hAnsi="宋体" w:hint="eastAsia"/>
      <w:color w:val="000000"/>
      <w:sz w:val="18"/>
      <w:szCs w:val="18"/>
    </w:rPr>
  </w:style>
  <w:style w:type="paragraph" w:customStyle="1" w:styleId="Listbullet">
    <w:name w:val="List_bullet"/>
    <w:basedOn w:val="a"/>
    <w:rsid w:val="004D087E"/>
    <w:pPr>
      <w:widowControl/>
      <w:numPr>
        <w:numId w:val="1"/>
      </w:numPr>
      <w:tabs>
        <w:tab w:val="left" w:pos="360"/>
      </w:tabs>
      <w:jc w:val="left"/>
    </w:pPr>
    <w:rPr>
      <w:kern w:val="0"/>
      <w:sz w:val="24"/>
    </w:rPr>
  </w:style>
  <w:style w:type="paragraph" w:customStyle="1" w:styleId="msonormal1">
    <w:name w:val="msonormal1"/>
    <w:pPr>
      <w:widowControl w:val="0"/>
      <w:jc w:val="both"/>
    </w:pPr>
    <w:rPr>
      <w:kern w:val="2"/>
      <w:sz w:val="21"/>
    </w:rPr>
  </w:style>
  <w:style w:type="paragraph" w:customStyle="1" w:styleId="aa">
    <w:name w:val="正文正文"/>
    <w:basedOn w:val="a"/>
    <w:rsid w:val="004D087E"/>
    <w:pPr>
      <w:spacing w:afterLines="25" w:after="78" w:line="360" w:lineRule="auto"/>
      <w:ind w:firstLineChars="200" w:firstLine="200"/>
    </w:pPr>
    <w:rPr>
      <w:sz w:val="24"/>
    </w:rPr>
  </w:style>
  <w:style w:type="paragraph" w:styleId="ab">
    <w:name w:val="annotation subject"/>
    <w:basedOn w:val="ac"/>
    <w:next w:val="ac"/>
    <w:rPr>
      <w:b/>
    </w:rPr>
  </w:style>
  <w:style w:type="paragraph" w:styleId="ac">
    <w:name w:val="annotation text"/>
    <w:basedOn w:val="a"/>
    <w:link w:val="Char2"/>
    <w:qFormat/>
    <w:rsid w:val="004D087E"/>
    <w:pPr>
      <w:jc w:val="left"/>
    </w:pPr>
  </w:style>
  <w:style w:type="paragraph" w:styleId="ad">
    <w:name w:val="Document Map"/>
    <w:basedOn w:val="a"/>
    <w:pPr>
      <w:shd w:val="clear" w:color="auto" w:fill="000080"/>
    </w:pPr>
  </w:style>
  <w:style w:type="paragraph" w:customStyle="1" w:styleId="Char3">
    <w:name w:val="Char"/>
    <w:basedOn w:val="a"/>
  </w:style>
  <w:style w:type="paragraph" w:styleId="a6">
    <w:name w:val="Title"/>
    <w:basedOn w:val="a"/>
    <w:next w:val="a"/>
    <w:link w:val="Char0"/>
    <w:qFormat/>
    <w:rsid w:val="004D087E"/>
    <w:pPr>
      <w:spacing w:before="240" w:after="60"/>
      <w:jc w:val="center"/>
      <w:outlineLvl w:val="0"/>
    </w:pPr>
    <w:rPr>
      <w:rFonts w:ascii="Cambria" w:hAnsi="Cambria"/>
      <w:b/>
      <w:sz w:val="32"/>
      <w:lang w:val="x-none" w:eastAsia="x-none"/>
    </w:rPr>
  </w:style>
  <w:style w:type="paragraph" w:styleId="a3">
    <w:name w:val="Body Text"/>
    <w:basedOn w:val="a"/>
    <w:link w:val="Char"/>
    <w:rsid w:val="004D087E"/>
    <w:pPr>
      <w:autoSpaceDE w:val="0"/>
      <w:autoSpaceDN w:val="0"/>
      <w:adjustRightInd w:val="0"/>
      <w:spacing w:line="360" w:lineRule="auto"/>
      <w:jc w:val="left"/>
    </w:pPr>
    <w:rPr>
      <w:rFonts w:ascii="宋体"/>
      <w:kern w:val="0"/>
      <w:sz w:val="20"/>
      <w:lang w:val="x-none" w:eastAsia="x-none"/>
    </w:rPr>
  </w:style>
  <w:style w:type="paragraph" w:styleId="ae">
    <w:name w:val="Normal Indent"/>
    <w:basedOn w:val="a"/>
    <w:pPr>
      <w:ind w:firstLineChars="200" w:firstLine="420"/>
    </w:pPr>
  </w:style>
  <w:style w:type="paragraph" w:styleId="a7">
    <w:name w:val="header"/>
    <w:basedOn w:val="a"/>
    <w:link w:val="Char1"/>
    <w:uiPriority w:val="99"/>
    <w:rsid w:val="004D087E"/>
    <w:pPr>
      <w:pBdr>
        <w:bottom w:val="single" w:sz="6" w:space="1" w:color="auto"/>
      </w:pBdr>
      <w:tabs>
        <w:tab w:val="center" w:pos="4153"/>
        <w:tab w:val="right" w:pos="8306"/>
      </w:tabs>
      <w:snapToGrid w:val="0"/>
      <w:jc w:val="center"/>
    </w:pPr>
    <w:rPr>
      <w:sz w:val="18"/>
    </w:rPr>
  </w:style>
  <w:style w:type="paragraph" w:customStyle="1" w:styleId="Char00">
    <w:name w:val="Char_0"/>
    <w:basedOn w:val="a"/>
  </w:style>
  <w:style w:type="paragraph" w:customStyle="1" w:styleId="CharCharChar">
    <w:name w:val="Char Char Char"/>
    <w:basedOn w:val="a"/>
  </w:style>
  <w:style w:type="paragraph" w:styleId="af">
    <w:name w:val="Balloon Text"/>
    <w:basedOn w:val="a"/>
    <w:rPr>
      <w:sz w:val="18"/>
    </w:rPr>
  </w:style>
  <w:style w:type="paragraph" w:styleId="af0">
    <w:name w:val="footnote text"/>
    <w:basedOn w:val="a"/>
    <w:pPr>
      <w:snapToGrid w:val="0"/>
      <w:jc w:val="left"/>
    </w:pPr>
    <w:rPr>
      <w:sz w:val="18"/>
    </w:rPr>
  </w:style>
  <w:style w:type="paragraph" w:styleId="10">
    <w:name w:val="toc 1"/>
    <w:basedOn w:val="a"/>
    <w:next w:val="a"/>
    <w:pPr>
      <w:tabs>
        <w:tab w:val="right" w:leader="dot" w:pos="8296"/>
      </w:tabs>
    </w:pPr>
    <w:rPr>
      <w:sz w:val="22"/>
    </w:rPr>
  </w:style>
  <w:style w:type="paragraph" w:styleId="af1">
    <w:name w:val="footer"/>
    <w:basedOn w:val="a"/>
    <w:link w:val="Char4"/>
    <w:uiPriority w:val="99"/>
    <w:qFormat/>
    <w:pPr>
      <w:tabs>
        <w:tab w:val="center" w:pos="4153"/>
        <w:tab w:val="right" w:pos="8306"/>
      </w:tabs>
      <w:snapToGrid w:val="0"/>
      <w:jc w:val="left"/>
    </w:pPr>
    <w:rPr>
      <w:sz w:val="18"/>
    </w:rPr>
  </w:style>
  <w:style w:type="paragraph" w:styleId="af2">
    <w:name w:val="Plain Text"/>
    <w:basedOn w:val="a"/>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customStyle="1" w:styleId="InfoBlue">
    <w:name w:val="InfoBlue"/>
    <w:basedOn w:val="a"/>
    <w:next w:val="a3"/>
    <w:rsid w:val="004D087E"/>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pPr>
      <w:tabs>
        <w:tab w:val="left" w:pos="360"/>
      </w:tabs>
    </w:pPr>
  </w:style>
  <w:style w:type="paragraph" w:customStyle="1" w:styleId="CharChar1">
    <w:name w:val="Char Char1"/>
    <w:basedOn w:val="a"/>
  </w:style>
  <w:style w:type="paragraph" w:customStyle="1" w:styleId="af3">
    <w:name w:val="正文所"/>
    <w:basedOn w:val="a"/>
    <w:pPr>
      <w:spacing w:line="360" w:lineRule="auto"/>
      <w:ind w:firstLineChars="200" w:firstLine="420"/>
    </w:pPr>
    <w:rPr>
      <w:rFonts w:ascii="宋体"/>
    </w:rPr>
  </w:style>
  <w:style w:type="paragraph" w:styleId="af4">
    <w:name w:val="Revision"/>
    <w:hidden/>
    <w:uiPriority w:val="99"/>
    <w:semiHidden/>
    <w:rsid w:val="00315C67"/>
    <w:rPr>
      <w:kern w:val="2"/>
      <w:sz w:val="21"/>
    </w:rPr>
  </w:style>
  <w:style w:type="character" w:customStyle="1" w:styleId="1Char">
    <w:name w:val="标题 1 Char"/>
    <w:link w:val="1"/>
    <w:rsid w:val="001B1027"/>
    <w:rPr>
      <w:rFonts w:ascii="宋体"/>
      <w:b/>
      <w:color w:val="000000"/>
      <w:sz w:val="24"/>
    </w:rPr>
  </w:style>
  <w:style w:type="character" w:customStyle="1" w:styleId="Char2">
    <w:name w:val="批注文字 Char"/>
    <w:link w:val="ac"/>
    <w:qFormat/>
    <w:rsid w:val="00D72128"/>
    <w:rPr>
      <w:kern w:val="2"/>
      <w:sz w:val="21"/>
    </w:rPr>
  </w:style>
  <w:style w:type="paragraph" w:customStyle="1" w:styleId="CharChar0">
    <w:name w:val="Char Char_0"/>
    <w:basedOn w:val="a"/>
    <w:rsid w:val="00184368"/>
  </w:style>
  <w:style w:type="paragraph" w:customStyle="1" w:styleId="CharChar10">
    <w:name w:val="Char Char_1"/>
    <w:basedOn w:val="a"/>
    <w:rsid w:val="0045064E"/>
  </w:style>
  <w:style w:type="paragraph" w:customStyle="1" w:styleId="Char10">
    <w:name w:val="Char_1"/>
    <w:basedOn w:val="a"/>
    <w:rsid w:val="0045064E"/>
  </w:style>
  <w:style w:type="paragraph" w:customStyle="1" w:styleId="CharCharChar0">
    <w:name w:val="Char Char Char_0"/>
    <w:basedOn w:val="a"/>
    <w:rsid w:val="0045064E"/>
  </w:style>
  <w:style w:type="paragraph" w:customStyle="1" w:styleId="CharCharCharChar0">
    <w:name w:val="Char Char Char Char_0"/>
    <w:basedOn w:val="a"/>
    <w:rsid w:val="0045064E"/>
    <w:pPr>
      <w:tabs>
        <w:tab w:val="left" w:pos="360"/>
      </w:tabs>
    </w:pPr>
  </w:style>
  <w:style w:type="paragraph" w:customStyle="1" w:styleId="CharChar100">
    <w:name w:val="Char Char1_0"/>
    <w:basedOn w:val="a"/>
    <w:rsid w:val="0045064E"/>
  </w:style>
  <w:style w:type="paragraph" w:customStyle="1" w:styleId="CharChar2">
    <w:name w:val="Char Char_2"/>
    <w:basedOn w:val="a"/>
    <w:rsid w:val="00365EDD"/>
  </w:style>
  <w:style w:type="paragraph" w:styleId="af5">
    <w:name w:val="List Paragraph"/>
    <w:basedOn w:val="a"/>
    <w:uiPriority w:val="34"/>
    <w:qFormat/>
    <w:rsid w:val="006C5EAA"/>
    <w:pPr>
      <w:ind w:firstLineChars="200" w:firstLine="420"/>
    </w:pPr>
  </w:style>
  <w:style w:type="paragraph" w:customStyle="1" w:styleId="CharChar11">
    <w:name w:val="Char Char1_1"/>
    <w:basedOn w:val="a"/>
    <w:rsid w:val="006701B3"/>
  </w:style>
  <w:style w:type="paragraph" w:customStyle="1" w:styleId="Char20">
    <w:name w:val="Char_2"/>
    <w:basedOn w:val="a"/>
    <w:rsid w:val="006701B3"/>
  </w:style>
  <w:style w:type="paragraph" w:customStyle="1" w:styleId="CharChar12">
    <w:name w:val="Char Char1_2"/>
    <w:basedOn w:val="a"/>
    <w:rsid w:val="00923276"/>
  </w:style>
  <w:style w:type="paragraph" w:customStyle="1" w:styleId="Char30">
    <w:name w:val="Char_3"/>
    <w:basedOn w:val="a"/>
    <w:rsid w:val="00923276"/>
  </w:style>
  <w:style w:type="paragraph" w:styleId="af6">
    <w:name w:val="Normal (Web)"/>
    <w:basedOn w:val="a"/>
    <w:uiPriority w:val="99"/>
    <w:semiHidden/>
    <w:unhideWhenUsed/>
    <w:rsid w:val="006D0092"/>
    <w:pPr>
      <w:widowControl/>
      <w:spacing w:before="100" w:beforeAutospacing="1" w:after="100" w:afterAutospacing="1"/>
      <w:jc w:val="left"/>
    </w:pPr>
    <w:rPr>
      <w:rFonts w:ascii="宋体" w:hAnsi="宋体" w:cs="宋体"/>
      <w:kern w:val="0"/>
      <w:sz w:val="24"/>
      <w:szCs w:val="24"/>
    </w:rPr>
  </w:style>
  <w:style w:type="paragraph" w:customStyle="1" w:styleId="CharChar13">
    <w:name w:val="Char Char1_3"/>
    <w:basedOn w:val="a"/>
    <w:rsid w:val="004D087E"/>
  </w:style>
  <w:style w:type="paragraph" w:customStyle="1" w:styleId="Char40">
    <w:name w:val="Char_4"/>
    <w:basedOn w:val="a"/>
    <w:rsid w:val="004D087E"/>
  </w:style>
  <w:style w:type="paragraph" w:customStyle="1" w:styleId="CharChar3">
    <w:name w:val="Char Char_3"/>
    <w:basedOn w:val="a"/>
    <w:rsid w:val="00503385"/>
  </w:style>
  <w:style w:type="character" w:customStyle="1" w:styleId="Char4">
    <w:name w:val="页脚 Char"/>
    <w:basedOn w:val="a0"/>
    <w:link w:val="af1"/>
    <w:uiPriority w:val="99"/>
    <w:qFormat/>
    <w:rsid w:val="00E5297C"/>
    <w:rPr>
      <w:kern w:val="2"/>
      <w:sz w:val="18"/>
    </w:rPr>
  </w:style>
  <w:style w:type="paragraph" w:customStyle="1" w:styleId="div">
    <w:name w:val="div"/>
    <w:basedOn w:val="a"/>
    <w:qFormat/>
  </w:style>
  <w:style w:type="character" w:customStyle="1" w:styleId="custom">
    <w:name w:val="custom"/>
    <w:basedOn w:val="a0"/>
    <w:qFormat/>
  </w:style>
  <w:style w:type="character" w:customStyle="1" w:styleId="serial-tag">
    <w:name w:val="serial-tag"/>
    <w:basedOn w:val="a0"/>
  </w:style>
  <w:style w:type="character" w:customStyle="1" w:styleId="divCharacter">
    <w:name w:val="div Character"/>
    <w:basedOn w:val="a0"/>
  </w:style>
  <w:style w:type="paragraph" w:styleId="21">
    <w:name w:val="toc 2"/>
    <w:basedOn w:val="a"/>
    <w:next w:val="a"/>
    <w:autoRedefine/>
    <w:rsid w:val="00805BCE"/>
    <w:pPr>
      <w:ind w:left="240"/>
    </w:pPr>
    <w:rPr>
      <w:sz w:val="22"/>
    </w:rPr>
  </w:style>
  <w:style w:type="character" w:customStyle="1" w:styleId="custom0">
    <w:name w:val="custom_0"/>
    <w:basedOn w:val="a0"/>
    <w:qFormat/>
    <w:rsid w:val="00136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6A552-0E37-4B93-94EE-5C4DD3EC716A}">
  <ds:schemaRefs>
    <ds:schemaRef ds:uri="http://schemas.openxmlformats.org/officeDocument/2006/bibliography"/>
  </ds:schemaRefs>
</ds:datastoreItem>
</file>

<file path=customXml/itemProps2.xml><?xml version="1.0" encoding="utf-8"?>
<ds:datastoreItem xmlns:ds="http://schemas.openxmlformats.org/officeDocument/2006/customXml" ds:itemID="{724E69FE-8EA4-417E-8A2C-2ECE28387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121</Pages>
  <Words>12418</Words>
  <Characters>70789</Characters>
  <Application>Microsoft Office Word</Application>
  <DocSecurity>0</DocSecurity>
  <Lines>589</Lines>
  <Paragraphs>166</Paragraphs>
  <ScaleCrop>false</ScaleCrop>
  <Company/>
  <LinksUpToDate>false</LinksUpToDate>
  <CharactersWithSpaces>83041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谭蓉</cp:lastModifiedBy>
  <cp:revision>50</cp:revision>
  <cp:lastPrinted>2025-11-05T07:43:00Z</cp:lastPrinted>
  <dcterms:created xsi:type="dcterms:W3CDTF">2025-10-20T06:05:00Z</dcterms:created>
  <dcterms:modified xsi:type="dcterms:W3CDTF">2026-05-22T06:06:00Z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property>
</Properties>
</file>