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pPr>
        <w:autoSpaceDE w:val="0"/>
        <w:autoSpaceDN w:val="0"/>
        <w:adjustRightInd w:val="0"/>
        <w:jc w:val="center"/>
        <w:rPr>
          <w:rFonts w:ascii="方正仿宋简体" w:eastAsia="方正仿宋简体" w:hAnsiTheme="minorEastAsia" w:cs="仿宋_GB2312"/>
          <w:kern w:val="0"/>
          <w:sz w:val="36"/>
          <w:szCs w:val="36"/>
        </w:rPr>
      </w:pPr>
    </w:p>
    <w:p w:rsidR="00AD3A6F">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易方达港股通周期精选混合型证券投资基金（易方达港股通周期精选混合C）基金产品资料概要</w:t>
      </w:r>
    </w:p>
    <w:p w:rsidR="00AD3A6F" w:rsidP="0086475C">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sidRPr="0086475C">
        <w:rPr>
          <w:rFonts w:ascii="方正仿宋简体" w:eastAsia="方正仿宋简体" w:hAnsi="方正仿宋简体" w:cs="方正仿宋简体" w:hint="eastAsia"/>
          <w:iCs/>
          <w:sz w:val="24"/>
          <w:szCs w:val="24"/>
        </w:rPr>
        <w:t>2026年</w:t>
      </w:r>
      <w:r w:rsidR="004E07CF">
        <w:rPr>
          <w:rFonts w:ascii="方正仿宋简体" w:eastAsia="方正仿宋简体" w:hAnsi="方正仿宋简体" w:cs="方正仿宋简体"/>
          <w:iCs/>
          <w:sz w:val="24"/>
          <w:szCs w:val="24"/>
        </w:rPr>
        <w:t>4</w:t>
      </w:r>
      <w:r w:rsidRPr="0086475C">
        <w:rPr>
          <w:rFonts w:ascii="方正仿宋简体" w:eastAsia="方正仿宋简体" w:hAnsi="方正仿宋简体" w:cs="方正仿宋简体" w:hint="eastAsia"/>
          <w:iCs/>
          <w:sz w:val="24"/>
          <w:szCs w:val="24"/>
        </w:rPr>
        <w:t>月</w:t>
      </w:r>
      <w:r w:rsidR="004E07CF">
        <w:rPr>
          <w:rFonts w:ascii="方正仿宋简体" w:eastAsia="方正仿宋简体" w:hAnsi="方正仿宋简体" w:cs="方正仿宋简体"/>
          <w:iCs/>
          <w:sz w:val="24"/>
          <w:szCs w:val="24"/>
        </w:rPr>
        <w:t>24</w:t>
      </w:r>
      <w:r w:rsidRPr="0086475C">
        <w:rPr>
          <w:rFonts w:ascii="方正仿宋简体" w:eastAsia="方正仿宋简体" w:hAnsi="方正仿宋简体" w:cs="方正仿宋简体" w:hint="eastAsia"/>
          <w:iCs/>
          <w:sz w:val="24"/>
          <w:szCs w:val="24"/>
        </w:rPr>
        <w:t>日</w:t>
      </w:r>
    </w:p>
    <w:p w:rsidR="00AD3A6F">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送出日期：2026年</w:t>
      </w:r>
      <w:r w:rsidR="004E07CF">
        <w:rPr>
          <w:rFonts w:ascii="方正仿宋简体" w:eastAsia="方正仿宋简体" w:hAnsi="方正仿宋简体" w:cs="方正仿宋简体"/>
          <w:iCs/>
          <w:sz w:val="24"/>
          <w:szCs w:val="24"/>
        </w:rPr>
        <w:t>4</w:t>
      </w:r>
      <w:r>
        <w:rPr>
          <w:rFonts w:ascii="方正仿宋简体" w:eastAsia="方正仿宋简体" w:hAnsi="方正仿宋简体" w:cs="方正仿宋简体" w:hint="eastAsia"/>
          <w:iCs/>
          <w:sz w:val="24"/>
          <w:szCs w:val="24"/>
        </w:rPr>
        <w:t>月</w:t>
      </w:r>
      <w:r w:rsidR="004E07CF">
        <w:rPr>
          <w:rFonts w:ascii="方正仿宋简体" w:eastAsia="方正仿宋简体" w:hAnsi="方正仿宋简体" w:cs="方正仿宋简体"/>
          <w:iCs/>
          <w:sz w:val="24"/>
          <w:szCs w:val="24"/>
        </w:rPr>
        <w:t>27</w:t>
      </w:r>
      <w:r>
        <w:rPr>
          <w:rFonts w:ascii="方正仿宋简体" w:eastAsia="方正仿宋简体" w:hAnsi="方正仿宋简体" w:cs="方正仿宋简体" w:hint="eastAsia"/>
          <w:iCs/>
          <w:sz w:val="24"/>
          <w:szCs w:val="24"/>
        </w:rPr>
        <w:t>日</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易方达港股通周期精选混合</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026694</w:t>
            </w:r>
          </w:p>
        </w:tc>
      </w:tr>
      <w:tr w:rsidTr="00B212F4">
        <w:tblPrEx>
          <w:tblW w:w="5000" w:type="pct"/>
          <w:tblLayout w:type="fixed"/>
          <w:tblLook w:val="04A0"/>
        </w:tblPrEx>
        <w:trPr>
          <w:trHeight w:val="150"/>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易方达港股通周期精选混合C</w:t>
            </w:r>
          </w:p>
        </w:tc>
        <w:tc>
          <w:tcPr>
            <w:tcW w:w="999"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026695</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易方达基金管理有限公司</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中国银行股份有限公司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Align w:val="center"/>
          </w:tcPr>
          <w:p w:rsidR="00AD3A6F">
            <w:pPr>
              <w:spacing w:line="280" w:lineRule="exact"/>
              <w:rPr>
                <w:rFonts w:ascii="方正仿宋简体" w:eastAsia="方正仿宋简体" w:hAnsiTheme="minorEastAsia" w:cs="方正仿宋简体"/>
                <w:b/>
                <w:iCs/>
              </w:rPr>
            </w:pPr>
          </w:p>
        </w:tc>
        <w:tc>
          <w:tcPr>
            <w:tcW w:w="1443" w:type="pct"/>
            <w:tcBorders>
              <w:top w:val="dashSmallGap" w:sz="4" w:space="0" w:color="A6A6A6" w:themeColor="background1" w:themeShade="A6"/>
              <w:bottom w:val="nil"/>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混合型</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人民币</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Tr="005F360D">
        <w:tblPrEx>
          <w:tblW w:w="5000" w:type="pct"/>
          <w:tblLayout w:type="fixed"/>
          <w:tblLook w:val="04A0"/>
        </w:tblPrEx>
        <w:trPr>
          <w:trHeight w:val="454"/>
        </w:trPr>
        <w:tc>
          <w:tcPr>
            <w:tcW w:w="1145" w:type="pct"/>
            <w:vMerge w:val="restar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唐博伦</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Tr="005F360D">
        <w:tblPrEx>
          <w:tblW w:w="5000" w:type="pct"/>
          <w:tblLayout w:type="fixed"/>
          <w:tblLook w:val="04A0"/>
        </w:tblPrEx>
        <w:trPr>
          <w:trHeight w:val="454"/>
        </w:trPr>
        <w:tc>
          <w:tcPr>
            <w:tcW w:w="1145" w:type="pct"/>
            <w:vMerge/>
            <w:vAlign w:val="center"/>
          </w:tcPr>
          <w:p w:rsidR="00AD3A6F">
            <w:pPr>
              <w:spacing w:line="280" w:lineRule="exact"/>
              <w:rPr>
                <w:rFonts w:ascii="方正仿宋简体" w:eastAsia="方正仿宋简体" w:hAnsiTheme="minorEastAsia" w:cs="方正仿宋简体"/>
                <w:b/>
                <w:iCs/>
              </w:rPr>
            </w:pPr>
          </w:p>
        </w:tc>
        <w:tc>
          <w:tcPr>
            <w:tcW w:w="1413" w:type="pct"/>
            <w:vMerge/>
            <w:vAlign w:val="center"/>
          </w:tcPr>
          <w:p w:rsidR="00AD3A6F">
            <w:pPr>
              <w:spacing w:line="280" w:lineRule="exact"/>
              <w:rPr>
                <w:rFonts w:ascii="方正仿宋简体" w:eastAsia="方正仿宋简体" w:hAnsiTheme="minorEastAsia" w:cs="方正仿宋简体"/>
                <w:b/>
                <w:iCs/>
              </w:rPr>
            </w:pP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2013-11-13</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本基金场内投资采用证券公司交易和结算模式。</w:t>
            </w:r>
          </w:p>
        </w:tc>
      </w:tr>
    </w:tbl>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pPr>
        <w:pStyle w:val="ListParagraph"/>
        <w:numPr>
          <w:ilvl w:val="0"/>
          <w:numId w:val="2"/>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本基金在控制风险的前提下，追求超越业绩比较基准的投资回报。</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如法律法规或监管机构以后允许基金投资其他品种，基金管理人在履行适当程序后，本基金可以将其纳入投资范围。</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基金的投资组合比例为：本基金股票资产占基金资产的比例为60%-95%；非现金基金资产中不低于80%的资产将投资于港股通股票；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资产配置方面，本基金将综合考虑宏观与微观经济、市场与政策等因素，确定组合中股票、债券、货币市场工具及其他金融工具的比例。</w:t>
            </w:r>
            <w:r w:rsidRPr="007A736A" w:rsidR="00BE042A">
              <w:rPr>
                <w:rFonts w:ascii="方正仿宋简体" w:eastAsia="方正仿宋简体" w:hAnsiTheme="minorEastAsia" w:cs="仿宋_GB2312" w:hint="eastAsia"/>
                <w:kern w:val="0"/>
                <w:szCs w:val="24"/>
              </w:rPr>
              <w:t>港股通股票方面，</w:t>
            </w:r>
            <w:r>
              <w:rPr>
                <w:rFonts w:ascii="方正仿宋简体" w:eastAsia="方正仿宋简体" w:hAnsiTheme="minorEastAsia" w:cs="仿宋_GB2312" w:hint="eastAsia"/>
                <w:kern w:val="0"/>
                <w:szCs w:val="24"/>
              </w:rPr>
              <w:t>本基金从周期视角出发，判断经济周期所处阶段，综合经济发展态势、各行业发展阶段和特征，精选</w:t>
            </w:r>
            <w:r w:rsidR="006D70C6">
              <w:rPr>
                <w:rFonts w:ascii="方正仿宋简体" w:eastAsia="方正仿宋简体" w:hAnsiTheme="minorEastAsia" w:cs="仿宋_GB2312" w:hint="eastAsia"/>
                <w:kern w:val="0"/>
                <w:szCs w:val="24"/>
              </w:rPr>
              <w:t>受益于行业供需格局优化、</w:t>
            </w:r>
            <w:r>
              <w:rPr>
                <w:rFonts w:ascii="方正仿宋简体" w:eastAsia="方正仿宋简体" w:hAnsiTheme="minorEastAsia" w:cs="仿宋_GB2312" w:hint="eastAsia"/>
                <w:kern w:val="0"/>
                <w:szCs w:val="24"/>
              </w:rPr>
              <w:t>具备竞争优势且估值合理的优质公司。</w:t>
            </w:r>
            <w:r w:rsidR="00BE042A">
              <w:rPr>
                <w:rFonts w:ascii="方正仿宋简体" w:eastAsia="方正仿宋简体" w:hAnsiTheme="minorEastAsia" w:cs="仿宋_GB2312" w:hint="eastAsia"/>
                <w:kern w:val="0"/>
                <w:szCs w:val="24"/>
              </w:rPr>
              <w:t>本基金可在对内地股票市场投资价值进行综合评估的基础上，通过对内地证券市场上市公司经营情况、财务状况等因素的研究和分析，进行内地市场股票的选择。</w:t>
            </w:r>
            <w:r>
              <w:rPr>
                <w:rFonts w:ascii="方正仿宋简体" w:eastAsia="方正仿宋简体" w:hAnsiTheme="minorEastAsia" w:cs="仿宋_GB2312" w:hint="eastAsia"/>
                <w:kern w:val="0"/>
                <w:szCs w:val="24"/>
              </w:rPr>
              <w:t>本基金投资存托凭证的策略依照股票投资策略执行。债券投资方面，本基金将主要通过类属配置与券种选择两个层次进行投资管理。</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rsidP="00E44E5D">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恒生中国企业指数收益率×80%+中债-总全价（总值）指数收益率×20%</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本基金为混合型基金</w:t>
            </w:r>
            <w:bookmarkStart w:id="0" w:name="_GoBack"/>
            <w:bookmarkEnd w:id="0"/>
            <w:r>
              <w:rPr>
                <w:rFonts w:ascii="方正仿宋简体" w:eastAsia="方正仿宋简体" w:hAnsiTheme="minorEastAsia" w:cs="仿宋_GB2312" w:hint="eastAsia"/>
                <w:kern w:val="0"/>
                <w:szCs w:val="24"/>
              </w:rPr>
              <w:t>，理论上其预期风险与预期收益水平低于股票型基金，高于债券型基金和货币市场基金。</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AD3A6F" w:rsidRPr="0086475C">
      <w:pPr>
        <w:spacing w:line="280" w:lineRule="exact"/>
        <w:rPr>
          <w:rFonts w:ascii="方正仿宋简体" w:eastAsia="方正仿宋简体" w:hAnsiTheme="minorEastAsia" w:cs="方正仿宋简体"/>
          <w:iCs/>
          <w:szCs w:val="24"/>
        </w:rPr>
      </w:pPr>
      <w:r>
        <w:rPr>
          <w:rFonts w:ascii="方正仿宋简体" w:eastAsia="方正仿宋简体" w:hAnsiTheme="minorEastAsia" w:cs="方正仿宋简体" w:hint="eastAsia"/>
          <w:iCs/>
          <w:szCs w:val="24"/>
        </w:rPr>
        <w:t>注：投资者可阅读《招募说明书》基金的投资章节了解详细情况。</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AD3A6F">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AD3A6F" w:rsidRPr="00E27EE9" w:rsidP="00E27EE9">
      <w:pPr>
        <w:snapToGrid w:val="0"/>
        <w:jc w:val="left"/>
        <w:rPr>
          <w:rFonts w:ascii="方正仿宋简体" w:eastAsia="方正仿宋简体"/>
          <w:color w:val="000000" w:themeColor="text1"/>
        </w:rPr>
      </w:pPr>
      <w:r w:rsidRPr="003F6076">
        <w:rPr>
          <w:rFonts w:ascii="方正仿宋简体" w:eastAsia="方正仿宋简体"/>
          <w:color w:val="000000" w:themeColor="text1"/>
        </w:rPr>
        <w:t>无</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pPr>
        <w:autoSpaceDE w:val="0"/>
        <w:autoSpaceDN w:val="0"/>
        <w:adjustRightInd w:val="0"/>
        <w:spacing w:line="280" w:lineRule="exact"/>
        <w:jc w:val="left"/>
        <w:rPr>
          <w:rFonts w:ascii="方正仿宋简体" w:eastAsia="方正仿宋简体" w:hAnsiTheme="minorEastAsia"/>
          <w:color w:val="000000" w:themeColor="text1"/>
        </w:rPr>
      </w:pPr>
      <w:r>
        <w:rPr>
          <w:rFonts w:ascii="方正仿宋简体" w:eastAsia="方正仿宋简体" w:hAnsiTheme="minorEastAsia" w:hint="eastAsia"/>
          <w:color w:val="000000" w:themeColor="text1"/>
        </w:rPr>
        <w:t>无</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以下费用在认购/申购/赎回基金过程中收取：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6"/>
        <w:gridCol w:w="1135"/>
        <w:gridCol w:w="2318"/>
      </w:tblGrid>
      <w:tr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2245"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份额（S）或金额（M）</w:t>
            </w:r>
          </w:p>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/持有期限（N）</w:t>
            </w:r>
          </w:p>
        </w:tc>
        <w:tc>
          <w:tcPr>
            <w:tcW w:w="666"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收费方式/费率</w:t>
            </w:r>
          </w:p>
        </w:tc>
        <w:tc>
          <w:tcPr>
            <w:tcW w:w="1360"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0天 &lt; N ≤ 6天 </w:t>
            </w:r>
          </w:p>
        </w:tc>
        <w:tc>
          <w:tcPr>
            <w:tcW w:w="66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7天 ≤ N ≤ 29天 </w:t>
            </w:r>
          </w:p>
        </w:tc>
        <w:tc>
          <w:tcPr>
            <w:tcW w:w="66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30天 ≤ N ≤ 179天 </w:t>
            </w:r>
          </w:p>
        </w:tc>
        <w:tc>
          <w:tcPr>
            <w:tcW w:w="66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N ≥ 180天 </w:t>
            </w:r>
          </w:p>
        </w:tc>
        <w:tc>
          <w:tcPr>
            <w:tcW w:w="66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bl>
    <w:p w:rsidR="00AD3A6F">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Pr>
          <w:rFonts w:ascii="方正仿宋简体" w:eastAsia="方正仿宋简体" w:hAnsi="方正仿宋简体" w:cs="方正仿宋简体" w:hint="eastAsia"/>
          <w:iCs/>
          <w:color w:val="000000" w:themeColor="text1"/>
        </w:rPr>
        <w:t>注：本基金C类基金份额在投资者认购/申购时不收取认购/申购费用，在持有期间计提销售服务费并按规定收取或返还。</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2069" w:type="pct"/>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收费方式/年费率或金额</w:t>
            </w:r>
          </w:p>
        </w:tc>
        <w:tc>
          <w:tcPr>
            <w:tcW w:w="2065" w:type="pct"/>
            <w:tcBorders>
              <w:bottom w:val="dashSmallGap" w:sz="4" w:space="0" w:color="808080" w:themeColor="background1" w:themeShade="80"/>
            </w:tcBorders>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Tr="000D2645">
        <w:tblPrEx>
          <w:tblW w:w="5001" w:type="pct"/>
          <w:tblLook w:val="0000"/>
        </w:tblPrEx>
        <w:trPr>
          <w:trHeight w:val="454"/>
        </w:trPr>
        <w:tc>
          <w:tcPr>
            <w:tcW w:w="866" w:type="pct"/>
            <w:vAlign w:val="center"/>
          </w:tcPr>
          <w:p w:rsidR="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2069" w:type="pct"/>
            <w:vAlign w:val="center"/>
          </w:tcPr>
          <w:p w:rsidR="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年费率1.20% </w:t>
            </w:r>
          </w:p>
        </w:tc>
        <w:tc>
          <w:tcPr>
            <w:tcW w:w="2065" w:type="pct"/>
            <w:tcBorders>
              <w:top w:val="dashSmallGap" w:sz="4" w:space="0" w:color="808080" w:themeColor="background1" w:themeShade="80"/>
            </w:tcBorders>
            <w:vAlign w:val="center"/>
          </w:tcPr>
          <w:p w:rsidR="000D2645" w:rsidP="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基金管理人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年费率0.20% </w:t>
            </w:r>
          </w:p>
        </w:tc>
        <w:tc>
          <w:tcPr>
            <w:tcW w:w="2065"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销售服务费</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年费率0.40% </w:t>
            </w:r>
          </w:p>
        </w:tc>
        <w:tc>
          <w:tcPr>
            <w:tcW w:w="2065"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销售机构</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详见招募说明书的基金费用与税收章节。  </w:t>
            </w:r>
          </w:p>
        </w:tc>
        <w:tc>
          <w:tcPr>
            <w:tcW w:w="2065" w:type="pct"/>
            <w:vAlign w:val="center"/>
          </w:tcPr>
          <w:p w:rsidR="00AD3A6F">
            <w:pPr>
              <w:spacing w:line="280" w:lineRule="exact"/>
              <w:jc w:val="center"/>
              <w:rPr>
                <w:rFonts w:ascii="方正仿宋简体" w:eastAsia="方正仿宋简体" w:hAnsiTheme="minorEastAsia" w:cs="方正仿宋简体"/>
                <w:bCs/>
                <w:iCs/>
              </w:rPr>
            </w:pPr>
          </w:p>
        </w:tc>
      </w:tr>
    </w:tbl>
    <w:p w:rsidR="00AD3A6F" w:rsidRPr="0086475C">
      <w:pPr>
        <w:autoSpaceDE w:val="0"/>
        <w:autoSpaceDN w:val="0"/>
        <w:adjustRightInd w:val="0"/>
        <w:spacing w:line="280" w:lineRule="exact"/>
        <w:jc w:val="left"/>
        <w:rPr>
          <w:rFonts w:ascii="方正仿宋简体" w:eastAsia="方正仿宋简体" w:hAnsi="方正仿宋简体" w:cs="方正仿宋简体"/>
          <w:bCs/>
          <w:iCs/>
        </w:rPr>
      </w:pPr>
      <w:r w:rsidRPr="003F6076">
        <w:rPr>
          <w:rFonts w:ascii="方正仿宋简体" w:eastAsia="方正仿宋简体" w:hAnsi="方正仿宋简体" w:cs="方正仿宋简体" w:hint="eastAsia"/>
          <w:bCs/>
          <w:iCs/>
        </w:rPr>
        <w:t>注：1、本基金交易证券、基金等产生的费用和税负，按实际发生额从基金资产扣除。2、对于通过基金管理人或其基金销售子公司投资的C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持续持有期限不</w:t>
      </w:r>
      <w:r w:rsidRPr="003F6076">
        <w:rPr>
          <w:rFonts w:ascii="方正仿宋简体" w:eastAsia="方正仿宋简体" w:hAnsi="方正仿宋简体" w:cs="方正仿宋简体" w:hint="eastAsia"/>
          <w:bCs/>
          <w:iCs/>
        </w:rPr>
        <w:t>超过</w:t>
      </w:r>
      <w:r w:rsidRPr="003F6076">
        <w:rPr>
          <w:rFonts w:ascii="方正仿宋简体" w:eastAsia="方正仿宋简体" w:hAnsi="方正仿宋简体" w:cs="方正仿宋简体" w:hint="eastAsia"/>
          <w:bCs/>
          <w:iCs/>
        </w:rPr>
        <w:t>一年（即365天，下同）的C类基金份额计提的销售服务费，支付给销售机构；持续持有期限</w:t>
      </w:r>
      <w:r w:rsidRPr="003F6076">
        <w:rPr>
          <w:rFonts w:ascii="方正仿宋简体" w:eastAsia="方正仿宋简体" w:hAnsi="方正仿宋简体" w:cs="方正仿宋简体" w:hint="eastAsia"/>
          <w:bCs/>
          <w:iCs/>
        </w:rPr>
        <w:t>超过一年的C类基金份额继续计提的销售服务费，在投资者赎回基金份额或基金合同终止时，随赎回款（或清算款）一并返还给投资者，对于转换转出业务，销售服务费将作为转换转出份额对应的款项一并划转至转换转入的基金。详见招募说明书的基金费用与税收章节。</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b/>
          <w:bCs/>
          <w:iCs/>
        </w:rPr>
        <w:t>本基金不提供任何保证。投资者可能损失投资本金。</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本基金可能遇到的特有风险包括但不限于：（1）本基金股票资产仓位偏高而面临的资产配置风险；（2）按照基金投资策略投资可能无法盈利甚至亏损的风险；（3）本基金投资范围包括内地与香港股票市场交易互联互通机制允许买卖的香港证券市场股票而面临的香港股票市场及港股通机制带来的风险；（4）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本基金的特有风险及一般风险详见招募说明书的“风险揭示”部分。</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AD3A6F">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方正仿宋简体" w:eastAsia="方正仿宋简体" w:hAnsi="方正仿宋简体" w:cs="方正仿宋简体" w:hint="eastAsia"/>
          <w:b/>
          <w:bCs/>
          <w:iCs/>
        </w:rPr>
        <w:t>各方当事人因《基金合同》而产生的或与《基金合同》有关的一切争议应尽量通过协商、调解途径解决，如经友好协商未能解决的最终将通过仲裁方式处理，详见《基金合同》</w:t>
      </w:r>
      <w:r>
        <w:rPr>
          <w:rFonts w:ascii="方正仿宋简体" w:eastAsia="方正仿宋简体" w:hAnsi="方正仿宋简体" w:cs="方正仿宋简体" w:hint="eastAsia"/>
          <w:iCs/>
        </w:rPr>
        <w:t>。</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以下资料详见基金管理人网站[www.efunds.com.cn][客服电话:4008818088]</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1、基金合同、托管协议、招募说明书</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2、定期报告，包括基金季度报告、中期报告和年度报告</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3、基金份额净值</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4、基金销售机构及联系方式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15B5"/>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479D"/>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076"/>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7CF"/>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D70C6"/>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0D0D"/>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A736A"/>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47C1D"/>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274B"/>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42A"/>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0D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44E5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A30A2DC5-BD28-4672-B483-42BF2B5A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 w:type="paragraph" w:styleId="Revision">
    <w:name w:val="Revision"/>
    <w:hidden/>
    <w:uiPriority w:val="99"/>
    <w:semiHidden/>
    <w:rsid w:val="0078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0B40F-6B74-42C6-83CC-2DCDFC58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