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6 -->
  <w:body>
    <w:p w:rsidR="004048CB">
      <w:pPr>
        <w:spacing w:before="960" w:line="320" w:lineRule="exact"/>
        <w:jc w:val="center"/>
        <w:outlineLvl w:val="2"/>
        <w:rPr>
          <w:rFonts w:ascii="宋体" w:hAnsi="宋体"/>
          <w:b/>
          <w:w w:val="200"/>
        </w:rPr>
      </w:pPr>
    </w:p>
    <w:p w:rsidR="004048CB">
      <w:pPr>
        <w:spacing w:before="960" w:line="620" w:lineRule="exact"/>
        <w:jc w:val="center"/>
        <w:outlineLvl w:val="2"/>
        <w:rPr>
          <w:rFonts w:ascii="宋体" w:hAnsi="宋体"/>
          <w:b/>
          <w:sz w:val="44"/>
        </w:rPr>
      </w:pPr>
      <w:r>
        <w:rPr>
          <w:rFonts w:ascii="宋体" w:hAnsi="宋体" w:hint="eastAsia"/>
          <w:b/>
          <w:sz w:val="44"/>
        </w:rPr>
        <w:t>易方达港股通周期精选混合型证券投资基金</w:t>
      </w:r>
      <w:r>
        <w:rPr>
          <w:rFonts w:ascii="宋体" w:hAnsi="宋体" w:hint="eastAsia"/>
          <w:b/>
          <w:sz w:val="44"/>
          <w:highlight w:val="white"/>
        </w:rPr>
        <w:t>托管协议</w:t>
      </w:r>
    </w:p>
    <w:p w:rsidR="00964B5A">
      <w:pPr>
        <w:spacing w:before="960" w:line="620" w:lineRule="exact"/>
        <w:jc w:val="center"/>
        <w:outlineLvl w:val="2"/>
        <w:rPr>
          <w:rFonts w:ascii="宋体" w:hAnsi="宋体"/>
          <w:b/>
          <w:sz w:val="32"/>
          <w:szCs w:val="32"/>
          <w:highlight w:val="white"/>
        </w:rPr>
      </w:pPr>
    </w:p>
    <w:p w:rsidR="00964B5A">
      <w:pPr>
        <w:spacing w:before="960" w:line="620" w:lineRule="exact"/>
        <w:jc w:val="center"/>
        <w:outlineLvl w:val="2"/>
        <w:rPr>
          <w:rFonts w:ascii="宋体" w:hAnsi="宋体"/>
          <w:b/>
          <w:sz w:val="32"/>
          <w:szCs w:val="32"/>
          <w:highlight w:val="white"/>
        </w:rPr>
      </w:pPr>
    </w:p>
    <w:p w:rsidR="00964B5A">
      <w:pPr>
        <w:spacing w:before="960" w:line="620" w:lineRule="exact"/>
        <w:jc w:val="center"/>
        <w:outlineLvl w:val="2"/>
        <w:rPr>
          <w:rFonts w:ascii="宋体" w:hAnsi="宋体"/>
          <w:b/>
          <w:sz w:val="32"/>
          <w:szCs w:val="32"/>
          <w:highlight w:val="white"/>
        </w:rPr>
      </w:pPr>
    </w:p>
    <w:p w:rsidR="004048CB">
      <w:pPr>
        <w:spacing w:before="960" w:line="620" w:lineRule="exact"/>
        <w:jc w:val="center"/>
        <w:outlineLvl w:val="2"/>
        <w:rPr>
          <w:rFonts w:ascii="宋体" w:hAnsi="宋体"/>
          <w:b/>
          <w:sz w:val="44"/>
        </w:rPr>
      </w:pPr>
    </w:p>
    <w:p w:rsidR="004048CB">
      <w:pPr>
        <w:spacing w:line="320" w:lineRule="exact"/>
        <w:ind w:left="360" w:right="26"/>
        <w:jc w:val="center"/>
        <w:rPr>
          <w:rFonts w:ascii="宋体" w:hAnsi="宋体"/>
          <w:b/>
          <w:sz w:val="30"/>
        </w:rPr>
      </w:pPr>
    </w:p>
    <w:p w:rsidR="004048CB">
      <w:pPr>
        <w:spacing w:line="320" w:lineRule="exact"/>
        <w:ind w:left="479" w:right="26" w:firstLine="1200"/>
        <w:rPr>
          <w:rFonts w:ascii="宋体" w:hAnsi="宋体"/>
          <w:sz w:val="28"/>
          <w:szCs w:val="28"/>
        </w:rPr>
      </w:pPr>
      <w:r>
        <w:rPr>
          <w:rFonts w:ascii="宋体" w:hAnsi="宋体" w:hint="eastAsia"/>
          <w:sz w:val="28"/>
          <w:szCs w:val="28"/>
          <w:highlight w:val="white"/>
        </w:rPr>
        <w:t>基金管理人：易方达基金管理有限公司</w:t>
      </w:r>
    </w:p>
    <w:p w:rsidR="004048CB">
      <w:pPr>
        <w:spacing w:line="320" w:lineRule="exact"/>
        <w:ind w:left="359" w:right="26" w:firstLine="1200"/>
        <w:rPr>
          <w:rFonts w:ascii="宋体" w:hAnsi="宋体"/>
          <w:sz w:val="28"/>
          <w:szCs w:val="28"/>
        </w:rPr>
      </w:pPr>
    </w:p>
    <w:p w:rsidR="004048CB">
      <w:pPr>
        <w:spacing w:line="320" w:lineRule="exact"/>
        <w:ind w:left="479" w:right="26" w:firstLine="1200"/>
        <w:rPr>
          <w:rFonts w:ascii="宋体" w:hAnsi="宋体"/>
          <w:sz w:val="28"/>
          <w:szCs w:val="28"/>
        </w:rPr>
      </w:pPr>
      <w:r>
        <w:rPr>
          <w:rFonts w:ascii="宋体" w:hAnsi="宋体" w:hint="eastAsia"/>
          <w:sz w:val="28"/>
          <w:szCs w:val="28"/>
          <w:highlight w:val="white"/>
        </w:rPr>
        <w:t>基金托管人：中国银行股份有限公司</w:t>
      </w:r>
    </w:p>
    <w:p w:rsidR="004048CB">
      <w:pPr>
        <w:jc w:val="center"/>
      </w:pPr>
      <w:r>
        <w:rPr>
          <w:rFonts w:ascii="宋体" w:hAnsi="宋体" w:cs="宋体"/>
          <w:color w:val="000000"/>
          <w:sz w:val="28"/>
          <w:highlight w:val="white"/>
        </w:rPr>
        <w:t>二零二</w:t>
      </w:r>
      <w:r w:rsidR="005904E9">
        <w:rPr>
          <w:rFonts w:ascii="宋体" w:hAnsi="宋体" w:cs="宋体"/>
          <w:color w:val="000000"/>
          <w:sz w:val="28"/>
          <w:highlight w:val="white"/>
        </w:rPr>
        <w:t>六</w:t>
      </w:r>
      <w:r>
        <w:rPr>
          <w:rFonts w:ascii="宋体" w:hAnsi="宋体" w:cs="宋体"/>
          <w:color w:val="000000"/>
          <w:sz w:val="28"/>
          <w:highlight w:val="white"/>
        </w:rPr>
        <w:t>年</w:t>
      </w:r>
      <w:r w:rsidR="005904E9">
        <w:rPr>
          <w:rFonts w:ascii="宋体" w:hAnsi="宋体" w:cs="宋体"/>
          <w:color w:val="000000"/>
          <w:sz w:val="28"/>
          <w:highlight w:val="white"/>
        </w:rPr>
        <w:t>四</w:t>
      </w:r>
      <w:r>
        <w:rPr>
          <w:rFonts w:ascii="宋体" w:hAnsi="宋体" w:cs="宋体"/>
          <w:color w:val="000000"/>
          <w:sz w:val="28"/>
          <w:highlight w:val="white"/>
        </w:rPr>
        <w:t>月</w:t>
      </w:r>
    </w:p>
    <w:p w:rsidR="004048CB">
      <w:pPr>
        <w:jc w:val="center"/>
        <w:rPr>
          <w:rFonts w:ascii="宋体" w:hAnsi="宋体"/>
          <w:sz w:val="28"/>
          <w:szCs w:val="28"/>
        </w:rPr>
      </w:pPr>
    </w:p>
    <w:p w:rsidR="004048CB">
      <w:pPr>
        <w:pStyle w:val="PlainText"/>
        <w:spacing w:before="100" w:beforeAutospacing="1" w:after="100" w:afterAutospacing="1" w:line="400" w:lineRule="exact"/>
        <w:ind w:firstLine="549"/>
        <w:jc w:val="center"/>
        <w:rPr>
          <w:rFonts w:hAnsi="宋体"/>
          <w:b/>
        </w:rPr>
      </w:pPr>
      <w:r>
        <w:rPr>
          <w:rFonts w:hAnsi="宋体"/>
          <w:b/>
          <w:highlight w:val="white"/>
        </w:rPr>
        <w:br w:type="page"/>
      </w:r>
    </w:p>
    <w:p w:rsidR="004048CB">
      <w:pPr>
        <w:pStyle w:val="PlainText"/>
        <w:spacing w:before="100" w:beforeAutospacing="1" w:after="100" w:afterAutospacing="1" w:line="400" w:lineRule="exact"/>
        <w:rPr>
          <w:rFonts w:hAnsi="宋体"/>
        </w:rPr>
      </w:pPr>
      <w:r>
        <w:rPr>
          <w:rFonts w:hAnsi="宋体" w:hint="eastAsia"/>
          <w:highlight w:val="white"/>
        </w:rPr>
        <w:t xml:space="preserve">    鉴于易方达基金管理有限公司是一家依照中国法律合法成立并有效存续的有限责任公司，按照相关法律法规的规定具备担任基金管理人的资格和能力；</w:t>
      </w:r>
    </w:p>
    <w:p w:rsidR="004048CB">
      <w:pPr>
        <w:pStyle w:val="PlainText"/>
        <w:spacing w:before="100" w:beforeAutospacing="1" w:after="100" w:afterAutospacing="1" w:line="400" w:lineRule="exact"/>
        <w:rPr>
          <w:rFonts w:hAnsi="宋体"/>
        </w:rPr>
      </w:pPr>
      <w:r>
        <w:rPr>
          <w:rFonts w:hAnsi="宋体" w:hint="eastAsia"/>
          <w:highlight w:val="white"/>
        </w:rPr>
        <w:t xml:space="preserve">    鉴于中国银行股份有限公司是一家依照中国法律合法成立并有效存续的银行，按照相关法律法规的规定具备担任基金托管人的资格和能力；</w:t>
      </w:r>
    </w:p>
    <w:p w:rsidR="004048CB">
      <w:pPr>
        <w:pStyle w:val="PlainText"/>
        <w:spacing w:before="100" w:beforeAutospacing="1" w:after="100" w:afterAutospacing="1" w:line="400" w:lineRule="exact"/>
        <w:rPr>
          <w:rFonts w:hAnsi="宋体"/>
        </w:rPr>
      </w:pPr>
      <w:r>
        <w:rPr>
          <w:rFonts w:hAnsi="宋体" w:hint="eastAsia"/>
          <w:highlight w:val="white"/>
        </w:rPr>
        <w:t xml:space="preserve">    鉴于易方达基金管理有限公司拟担任</w:t>
      </w:r>
      <w:r>
        <w:rPr>
          <w:rFonts w:hAnsi="宋体" w:hint="eastAsia"/>
        </w:rPr>
        <w:t>易方达港股通周期精选混合型证券投资基金</w:t>
      </w:r>
      <w:r>
        <w:rPr>
          <w:rFonts w:hAnsi="宋体" w:hint="eastAsia"/>
          <w:highlight w:val="white"/>
        </w:rPr>
        <w:t>的基金管理人，中国银行股份有限公司拟担任</w:t>
      </w:r>
      <w:r>
        <w:rPr>
          <w:rFonts w:hAnsi="宋体" w:hint="eastAsia"/>
        </w:rPr>
        <w:t>易方达港股通周期精选混合型证券投资基金</w:t>
      </w:r>
      <w:r>
        <w:rPr>
          <w:rFonts w:hAnsi="宋体" w:hint="eastAsia"/>
          <w:highlight w:val="white"/>
        </w:rPr>
        <w:t>的基金托管人；</w:t>
      </w:r>
    </w:p>
    <w:p w:rsidR="004048CB">
      <w:pPr>
        <w:pStyle w:val="PlainText"/>
        <w:spacing w:before="100" w:beforeAutospacing="1" w:after="100" w:afterAutospacing="1" w:line="400" w:lineRule="exact"/>
        <w:rPr>
          <w:rFonts w:hAnsi="宋体"/>
        </w:rPr>
      </w:pPr>
      <w:r>
        <w:rPr>
          <w:rFonts w:hAnsi="宋体" w:hint="eastAsia"/>
          <w:highlight w:val="white"/>
        </w:rPr>
        <w:t xml:space="preserve">    为明确</w:t>
      </w:r>
      <w:r>
        <w:rPr>
          <w:rFonts w:hAnsi="宋体" w:hint="eastAsia"/>
        </w:rPr>
        <w:t>易方达港股通周期精选混合型证券投资基金</w:t>
      </w:r>
      <w:r>
        <w:rPr>
          <w:rFonts w:hAnsi="宋体" w:hint="eastAsia"/>
          <w:highlight w:val="white"/>
        </w:rPr>
        <w:t>基金管理人和基金托管人之间的权利义务关系，特制订本协议。</w:t>
      </w:r>
      <w:bookmarkStart w:id="0" w:name="_Toc30230313"/>
    </w:p>
    <w:p w:rsidR="004048CB">
      <w:pPr>
        <w:pStyle w:val="PlainText"/>
        <w:spacing w:before="100" w:beforeAutospacing="1" w:after="100" w:afterAutospacing="1" w:line="400" w:lineRule="exact"/>
        <w:ind w:firstLine="549"/>
        <w:rPr>
          <w:rFonts w:hAnsi="宋体"/>
        </w:rPr>
      </w:pPr>
    </w:p>
    <w:p w:rsidR="004048CB">
      <w:pPr>
        <w:pStyle w:val="11"/>
        <w:spacing w:before="100" w:beforeAutospacing="1" w:after="100" w:afterAutospacing="1" w:line="400" w:lineRule="exact"/>
        <w:ind w:firstLine="422"/>
        <w:rPr>
          <w:rFonts w:ascii="宋体" w:hAnsi="宋体"/>
          <w:sz w:val="21"/>
          <w:szCs w:val="21"/>
        </w:rPr>
      </w:pPr>
      <w:bookmarkStart w:id="1" w:name="_Toc116900096"/>
      <w:r>
        <w:rPr>
          <w:rFonts w:ascii="宋体" w:hAnsi="宋体" w:hint="eastAsia"/>
          <w:sz w:val="21"/>
          <w:szCs w:val="21"/>
          <w:highlight w:val="white"/>
        </w:rPr>
        <w:t>一、托管协议当事人</w:t>
      </w:r>
      <w:bookmarkEnd w:id="0"/>
      <w:bookmarkEnd w:id="1"/>
    </w:p>
    <w:p w:rsidR="004048CB">
      <w:pPr>
        <w:pStyle w:val="PlainText"/>
        <w:spacing w:before="100" w:beforeAutospacing="1" w:after="100" w:afterAutospacing="1" w:line="400" w:lineRule="exact"/>
        <w:ind w:firstLine="403"/>
        <w:rPr>
          <w:rFonts w:hAnsi="宋体"/>
        </w:rPr>
      </w:pPr>
      <w:r>
        <w:rPr>
          <w:rFonts w:hAnsi="宋体" w:hint="eastAsia"/>
          <w:highlight w:val="white"/>
        </w:rPr>
        <w:t>（一）基金管理人（或简称“管理人”）</w:t>
      </w:r>
    </w:p>
    <w:p w:rsidR="004048CB">
      <w:pPr>
        <w:spacing w:before="100" w:beforeAutospacing="1" w:after="100" w:afterAutospacing="1" w:line="400" w:lineRule="exact"/>
        <w:ind w:right="26" w:firstLine="403"/>
        <w:rPr>
          <w:rFonts w:ascii="宋体" w:hAnsi="宋体"/>
          <w:szCs w:val="21"/>
        </w:rPr>
      </w:pPr>
      <w:r>
        <w:rPr>
          <w:rFonts w:ascii="宋体" w:hAnsi="宋体" w:hint="eastAsia"/>
          <w:szCs w:val="21"/>
          <w:highlight w:val="white"/>
        </w:rPr>
        <w:t>名称：易方达基金管理有限公司</w:t>
      </w:r>
    </w:p>
    <w:p w:rsidR="004048CB">
      <w:pPr>
        <w:spacing w:before="100" w:beforeAutospacing="1" w:after="100" w:afterAutospacing="1" w:line="400" w:lineRule="exact"/>
        <w:ind w:right="26" w:firstLine="403"/>
        <w:rPr>
          <w:rFonts w:ascii="宋体" w:hAnsi="宋体"/>
          <w:szCs w:val="21"/>
        </w:rPr>
      </w:pPr>
      <w:r>
        <w:rPr>
          <w:rFonts w:ascii="宋体" w:hAnsi="宋体" w:hint="eastAsia"/>
          <w:szCs w:val="21"/>
          <w:highlight w:val="white"/>
        </w:rPr>
        <w:t>住所：广东省珠海市横琴新区荣粤道188号6层</w:t>
      </w:r>
    </w:p>
    <w:p w:rsidR="004048CB">
      <w:pPr>
        <w:spacing w:before="100" w:beforeAutospacing="1" w:after="100" w:afterAutospacing="1" w:line="400" w:lineRule="exact"/>
        <w:ind w:right="26" w:firstLine="403"/>
        <w:rPr>
          <w:rFonts w:ascii="宋体" w:hAnsi="宋体"/>
          <w:szCs w:val="21"/>
        </w:rPr>
      </w:pPr>
      <w:r>
        <w:rPr>
          <w:rFonts w:ascii="宋体" w:hAnsi="宋体" w:hint="eastAsia"/>
          <w:szCs w:val="21"/>
          <w:highlight w:val="white"/>
        </w:rPr>
        <w:t xml:space="preserve">法定代表人：吴欣荣 </w:t>
      </w:r>
    </w:p>
    <w:p w:rsidR="004048CB">
      <w:pPr>
        <w:spacing w:before="100" w:beforeAutospacing="1" w:after="100" w:afterAutospacing="1" w:line="400" w:lineRule="exact"/>
        <w:ind w:right="26" w:firstLine="403"/>
        <w:rPr>
          <w:rFonts w:ascii="宋体" w:hAnsi="宋体"/>
          <w:szCs w:val="21"/>
        </w:rPr>
      </w:pPr>
      <w:r>
        <w:rPr>
          <w:rFonts w:ascii="宋体" w:hAnsi="宋体" w:hint="eastAsia"/>
          <w:szCs w:val="21"/>
          <w:highlight w:val="white"/>
        </w:rPr>
        <w:t>设立日期：2001年4月17日</w:t>
      </w:r>
    </w:p>
    <w:p w:rsidR="004048CB">
      <w:pPr>
        <w:spacing w:before="100" w:beforeAutospacing="1" w:after="100" w:afterAutospacing="1" w:line="400" w:lineRule="exact"/>
        <w:ind w:right="26" w:firstLine="403"/>
        <w:rPr>
          <w:rFonts w:ascii="宋体" w:hAnsi="宋体"/>
          <w:szCs w:val="21"/>
        </w:rPr>
      </w:pPr>
      <w:r>
        <w:rPr>
          <w:rFonts w:ascii="宋体" w:hAnsi="宋体" w:hint="eastAsia"/>
          <w:szCs w:val="21"/>
          <w:highlight w:val="white"/>
        </w:rPr>
        <w:t>批准设立机关及批准设立文号：中国证券监督管理委员会，证监基金字[2001]4号</w:t>
      </w:r>
    </w:p>
    <w:p w:rsidR="004048CB">
      <w:pPr>
        <w:spacing w:before="100" w:beforeAutospacing="1" w:after="100" w:afterAutospacing="1" w:line="400" w:lineRule="exact"/>
        <w:ind w:right="26" w:firstLine="403"/>
        <w:rPr>
          <w:rFonts w:ascii="宋体" w:hAnsi="宋体"/>
          <w:szCs w:val="21"/>
        </w:rPr>
      </w:pPr>
      <w:r>
        <w:rPr>
          <w:rFonts w:ascii="宋体" w:hAnsi="宋体" w:hint="eastAsia"/>
          <w:szCs w:val="21"/>
          <w:highlight w:val="white"/>
        </w:rPr>
        <w:t>组织形式：有限责任公司</w:t>
      </w:r>
    </w:p>
    <w:p w:rsidR="004048CB">
      <w:pPr>
        <w:spacing w:before="100" w:beforeAutospacing="1" w:after="100" w:afterAutospacing="1" w:line="400" w:lineRule="exact"/>
        <w:ind w:right="26" w:firstLine="403"/>
        <w:rPr>
          <w:rFonts w:ascii="宋体" w:hAnsi="宋体"/>
          <w:szCs w:val="21"/>
        </w:rPr>
      </w:pPr>
      <w:r>
        <w:rPr>
          <w:rFonts w:ascii="宋体" w:hAnsi="宋体" w:hint="eastAsia"/>
          <w:szCs w:val="21"/>
          <w:highlight w:val="white"/>
        </w:rPr>
        <w:t>注册资本：13,244.2万元人民币</w:t>
      </w:r>
    </w:p>
    <w:p w:rsidR="004048CB">
      <w:pPr>
        <w:spacing w:before="100" w:beforeAutospacing="1" w:after="100" w:afterAutospacing="1" w:line="400" w:lineRule="exact"/>
        <w:ind w:right="26" w:firstLine="403"/>
        <w:rPr>
          <w:rFonts w:ascii="宋体" w:hAnsi="宋体"/>
          <w:szCs w:val="21"/>
        </w:rPr>
      </w:pPr>
      <w:r>
        <w:rPr>
          <w:rFonts w:ascii="宋体" w:hAnsi="宋体" w:hint="eastAsia"/>
          <w:szCs w:val="21"/>
          <w:highlight w:val="white"/>
        </w:rPr>
        <w:t>存续期限：持续经营</w:t>
      </w:r>
    </w:p>
    <w:p w:rsidR="004048CB">
      <w:pPr>
        <w:spacing w:before="100" w:beforeAutospacing="1" w:after="100" w:afterAutospacing="1" w:line="400" w:lineRule="exact"/>
        <w:ind w:right="26" w:firstLine="403"/>
        <w:rPr>
          <w:rFonts w:ascii="宋体" w:hAnsi="宋体"/>
          <w:szCs w:val="21"/>
        </w:rPr>
      </w:pPr>
      <w:r>
        <w:rPr>
          <w:rFonts w:ascii="宋体" w:hAnsi="宋体" w:hint="eastAsia"/>
          <w:szCs w:val="21"/>
          <w:highlight w:val="white"/>
        </w:rPr>
        <w:t>联系电话：4008818088</w:t>
      </w:r>
    </w:p>
    <w:p w:rsidR="004048CB">
      <w:pPr>
        <w:pStyle w:val="PlainText"/>
        <w:spacing w:before="100" w:beforeAutospacing="1" w:after="100" w:afterAutospacing="1" w:line="400" w:lineRule="exact"/>
        <w:ind w:firstLine="403"/>
        <w:rPr>
          <w:rFonts w:hAnsi="宋体"/>
        </w:rPr>
      </w:pPr>
    </w:p>
    <w:p w:rsidR="004048CB">
      <w:pPr>
        <w:pStyle w:val="PlainText"/>
        <w:spacing w:before="100" w:beforeAutospacing="1" w:after="100" w:afterAutospacing="1" w:line="400" w:lineRule="exact"/>
        <w:ind w:firstLine="403"/>
        <w:rPr>
          <w:rFonts w:hAnsi="宋体"/>
        </w:rPr>
      </w:pPr>
      <w:r>
        <w:rPr>
          <w:rFonts w:hAnsi="宋体" w:hint="eastAsia"/>
          <w:highlight w:val="white"/>
        </w:rPr>
        <w:t>（二）基金托管人（或简称“托管人”）</w:t>
      </w:r>
    </w:p>
    <w:p w:rsidR="004048CB">
      <w:pPr>
        <w:spacing w:before="100" w:beforeAutospacing="1" w:after="100" w:afterAutospacing="1" w:line="400" w:lineRule="exact"/>
        <w:ind w:right="26" w:firstLine="403"/>
        <w:rPr>
          <w:rFonts w:ascii="宋体" w:hAnsi="宋体"/>
          <w:szCs w:val="21"/>
        </w:rPr>
      </w:pPr>
      <w:r>
        <w:rPr>
          <w:rFonts w:ascii="宋体" w:hAnsi="宋体" w:hint="eastAsia"/>
          <w:szCs w:val="21"/>
          <w:highlight w:val="white"/>
        </w:rPr>
        <w:t>名称：</w:t>
      </w:r>
      <w:r>
        <w:rPr>
          <w:rFonts w:ascii="宋体" w:hAnsi="宋体" w:hint="eastAsia"/>
          <w:szCs w:val="21"/>
          <w:highlight w:val="white"/>
        </w:rPr>
        <w:tab/>
      </w:r>
      <w:r>
        <w:rPr>
          <w:rFonts w:ascii="宋体" w:hAnsi="宋体" w:hint="eastAsia"/>
          <w:szCs w:val="21"/>
          <w:highlight w:val="white"/>
        </w:rPr>
        <w:tab/>
        <w:t>中国银行股份有限公司</w:t>
      </w:r>
    </w:p>
    <w:p w:rsidR="004048CB">
      <w:pPr>
        <w:spacing w:before="100" w:beforeAutospacing="1" w:after="100" w:afterAutospacing="1" w:line="400" w:lineRule="exact"/>
        <w:ind w:right="26" w:firstLine="403"/>
        <w:rPr>
          <w:rFonts w:ascii="宋体" w:hAnsi="宋体"/>
          <w:szCs w:val="21"/>
        </w:rPr>
      </w:pPr>
      <w:r>
        <w:rPr>
          <w:rFonts w:ascii="宋体" w:hAnsi="宋体" w:hint="eastAsia"/>
          <w:szCs w:val="21"/>
          <w:highlight w:val="white"/>
        </w:rPr>
        <w:t>住所：</w:t>
      </w:r>
      <w:r>
        <w:rPr>
          <w:rFonts w:ascii="宋体" w:hAnsi="宋体" w:hint="eastAsia"/>
          <w:szCs w:val="21"/>
          <w:highlight w:val="white"/>
        </w:rPr>
        <w:tab/>
      </w:r>
      <w:r>
        <w:rPr>
          <w:rFonts w:ascii="宋体" w:hAnsi="宋体" w:hint="eastAsia"/>
          <w:szCs w:val="21"/>
          <w:highlight w:val="white"/>
        </w:rPr>
        <w:tab/>
        <w:t>北京市西城区复兴门内大街1号</w:t>
      </w:r>
    </w:p>
    <w:p w:rsidR="004048CB">
      <w:pPr>
        <w:spacing w:before="100" w:beforeAutospacing="1" w:after="100" w:afterAutospacing="1" w:line="400" w:lineRule="exact"/>
        <w:ind w:right="26" w:firstLine="403"/>
        <w:rPr>
          <w:rFonts w:ascii="宋体" w:hAnsi="宋体"/>
          <w:szCs w:val="21"/>
        </w:rPr>
      </w:pPr>
      <w:r>
        <w:rPr>
          <w:rFonts w:ascii="宋体" w:hAnsi="宋体" w:hint="eastAsia"/>
          <w:szCs w:val="21"/>
          <w:highlight w:val="white"/>
        </w:rPr>
        <w:t>法定代表人: 葛海蛟</w:t>
      </w:r>
    </w:p>
    <w:p w:rsidR="004048CB">
      <w:pPr>
        <w:spacing w:before="100" w:beforeAutospacing="1" w:after="100" w:afterAutospacing="1" w:line="400" w:lineRule="exact"/>
        <w:ind w:firstLine="435"/>
        <w:rPr>
          <w:rFonts w:ascii="宋体" w:hAnsi="宋体"/>
          <w:szCs w:val="21"/>
        </w:rPr>
      </w:pPr>
      <w:r>
        <w:rPr>
          <w:rFonts w:ascii="宋体" w:hAnsi="宋体" w:hint="eastAsia"/>
          <w:szCs w:val="21"/>
          <w:highlight w:val="white"/>
        </w:rPr>
        <w:t>成立时间：  1983年10月31日</w:t>
      </w:r>
    </w:p>
    <w:p w:rsidR="004048CB">
      <w:pPr>
        <w:spacing w:before="100" w:beforeAutospacing="1" w:after="100" w:afterAutospacing="1" w:line="400" w:lineRule="exact"/>
        <w:ind w:firstLine="420"/>
        <w:rPr>
          <w:rFonts w:ascii="宋体" w:hAnsi="宋体"/>
          <w:szCs w:val="21"/>
        </w:rPr>
      </w:pPr>
      <w:r>
        <w:rPr>
          <w:rFonts w:ascii="宋体" w:hAnsi="宋体" w:hint="eastAsia"/>
          <w:szCs w:val="21"/>
          <w:highlight w:val="white"/>
        </w:rPr>
        <w:t>基金托管业务批准文号：中国证监会证监基字【1998】24号</w:t>
      </w:r>
    </w:p>
    <w:p w:rsidR="004048CB">
      <w:pPr>
        <w:tabs>
          <w:tab w:val="left" w:pos="1110"/>
        </w:tabs>
        <w:spacing w:before="100" w:beforeAutospacing="1" w:after="100" w:afterAutospacing="1" w:line="400" w:lineRule="exact"/>
        <w:ind w:firstLine="420"/>
        <w:rPr>
          <w:rFonts w:ascii="宋体" w:hAnsi="宋体"/>
          <w:szCs w:val="21"/>
        </w:rPr>
      </w:pPr>
      <w:r>
        <w:rPr>
          <w:rFonts w:ascii="宋体" w:hAnsi="宋体" w:hint="eastAsia"/>
          <w:szCs w:val="21"/>
          <w:highlight w:val="white"/>
        </w:rPr>
        <w:t>组织形式：  股份有限公司</w:t>
      </w:r>
    </w:p>
    <w:p w:rsidR="004048CB">
      <w:pPr>
        <w:spacing w:before="100" w:beforeAutospacing="1" w:after="100" w:afterAutospacing="1" w:line="400" w:lineRule="exact"/>
        <w:ind w:right="26" w:firstLine="403"/>
        <w:rPr>
          <w:rFonts w:ascii="宋体" w:hAnsi="宋体"/>
          <w:szCs w:val="21"/>
        </w:rPr>
      </w:pPr>
      <w:r>
        <w:rPr>
          <w:rFonts w:ascii="宋体" w:hAnsi="宋体" w:hint="eastAsia"/>
          <w:szCs w:val="21"/>
          <w:highlight w:val="white"/>
        </w:rPr>
        <w:t>注册资本：</w:t>
      </w:r>
      <w:r>
        <w:rPr>
          <w:rFonts w:ascii="宋体" w:hAnsi="宋体" w:hint="eastAsia"/>
          <w:szCs w:val="21"/>
          <w:highlight w:val="white"/>
        </w:rPr>
        <w:tab/>
      </w:r>
      <w:r w:rsidR="00355226">
        <w:rPr>
          <w:rFonts w:ascii="宋体" w:hAnsi="宋体" w:cs="宋体" w:hint="eastAsia"/>
          <w:szCs w:val="21"/>
          <w:lang w:bidi="ar"/>
        </w:rPr>
        <w:t>人民币叁仟贰佰贰拾贰亿壹仟贰佰肆拾壹万壹仟捌佰壹拾肆元整</w:t>
      </w:r>
    </w:p>
    <w:p w:rsidR="008748E8" w:rsidRPr="008748E8">
      <w:pPr>
        <w:spacing w:before="100" w:beforeAutospacing="1" w:after="100" w:afterAutospacing="1" w:line="400" w:lineRule="exact"/>
        <w:ind w:left="0" w:right="26" w:firstLine="403"/>
        <w:rPr>
          <w:rFonts w:ascii="宋体" w:hAnsi="宋体"/>
          <w:szCs w:val="21"/>
          <w:highlight w:val="white"/>
        </w:rPr>
      </w:pPr>
      <w:r>
        <w:rPr>
          <w:rFonts w:ascii="宋体" w:hAnsi="宋体" w:hint="eastAsia"/>
          <w:szCs w:val="21"/>
          <w:highlight w:val="white"/>
        </w:rPr>
        <w:t>经营范围：</w:t>
      </w:r>
      <w:r>
        <w:rPr>
          <w:rFonts w:ascii="宋体" w:hAnsi="宋体"/>
          <w:szCs w:val="21"/>
          <w:highlight w:val="white"/>
        </w:rPr>
        <w:tab/>
      </w:r>
      <w:r w:rsidRPr="008748E8">
        <w:rPr>
          <w:rFonts w:ascii="宋体" w:hAnsi="宋体" w:cs="Times New Roman" w:hint="eastAsia"/>
          <w:szCs w:val="21"/>
          <w:highlight w:val="white"/>
          <w:lang w:bidi="ar-SA"/>
        </w:rPr>
        <w:t>吸收人民币存款；发放短期、中期和长期贷款；办理结算；办理票据贴现；发行金融债券；代理发行、代理兑付、承销政府债券；买卖政府债券；从事同业拆借；提供信用证服务及担保；代理收付款项及代理保险业务；提供保险箱服务；外汇存款；外汇贷款；外汇汇款；外汇兑换；国际结算；同业外汇拆借；外汇票据的承兑和贴现；外汇借款；外汇担保；结汇、售汇；发行和代理发行股票以外的外币有价证券；买卖和代理买卖股票以外的外币有价证券；自营外汇买卖；代客外汇买卖；外汇信用卡的发行和代理国外信用卡的发行及付款；资信调查、咨询、见证业务；组织或参加银团贷款；国际贵金属买卖；海外分支机构经营与当地法律许可的一切银行业务；在港澳地区的分行依据当地法令可发行或参与代理发行当地货币；经金监总局等监管部门批准的其他业务。</w:t>
      </w:r>
    </w:p>
    <w:p w:rsidR="004048CB">
      <w:pPr>
        <w:spacing w:before="100" w:beforeAutospacing="1" w:after="100" w:afterAutospacing="1" w:line="400" w:lineRule="exact"/>
        <w:ind w:firstLine="403"/>
        <w:rPr>
          <w:rFonts w:ascii="宋体" w:hAnsi="宋体"/>
          <w:szCs w:val="21"/>
        </w:rPr>
      </w:pPr>
      <w:r>
        <w:rPr>
          <w:rFonts w:ascii="宋体" w:hAnsi="宋体" w:hint="eastAsia"/>
          <w:szCs w:val="21"/>
          <w:highlight w:val="white"/>
        </w:rPr>
        <w:t>存续期限：</w:t>
      </w:r>
      <w:r>
        <w:rPr>
          <w:rFonts w:ascii="宋体" w:hAnsi="宋体" w:hint="eastAsia"/>
          <w:szCs w:val="21"/>
          <w:highlight w:val="white"/>
        </w:rPr>
        <w:tab/>
        <w:t>持续经营</w:t>
      </w:r>
    </w:p>
    <w:p w:rsidR="004048CB">
      <w:pPr>
        <w:spacing w:before="100" w:beforeAutospacing="1" w:after="100" w:afterAutospacing="1" w:line="400" w:lineRule="exact"/>
        <w:ind w:firstLine="403"/>
        <w:rPr>
          <w:rFonts w:ascii="宋体" w:hAnsi="宋体"/>
          <w:szCs w:val="21"/>
        </w:rPr>
      </w:pPr>
    </w:p>
    <w:p w:rsidR="004048CB">
      <w:pPr>
        <w:pStyle w:val="11"/>
        <w:tabs>
          <w:tab w:val="left" w:pos="6050"/>
        </w:tabs>
        <w:spacing w:before="100" w:beforeAutospacing="1" w:after="100" w:afterAutospacing="1" w:line="400" w:lineRule="exact"/>
        <w:ind w:firstLine="422"/>
        <w:rPr>
          <w:rFonts w:ascii="宋体" w:hAnsi="宋体"/>
          <w:sz w:val="21"/>
          <w:szCs w:val="21"/>
        </w:rPr>
      </w:pPr>
      <w:bookmarkStart w:id="2" w:name="_Toc116900097"/>
      <w:r>
        <w:rPr>
          <w:rFonts w:ascii="宋体" w:hAnsi="宋体" w:hint="eastAsia"/>
          <w:sz w:val="21"/>
          <w:szCs w:val="21"/>
          <w:highlight w:val="white"/>
        </w:rPr>
        <w:t>二、托管协议的依据、目的、原则和解释</w:t>
      </w:r>
      <w:bookmarkEnd w:id="2"/>
      <w:r>
        <w:rPr>
          <w:rFonts w:ascii="宋体" w:hAnsi="宋体"/>
          <w:sz w:val="21"/>
          <w:szCs w:val="21"/>
          <w:highlight w:val="white"/>
        </w:rPr>
        <w:tab/>
      </w:r>
    </w:p>
    <w:p w:rsidR="004048CB">
      <w:pPr>
        <w:spacing w:before="100" w:beforeAutospacing="1" w:after="100" w:afterAutospacing="1" w:line="400" w:lineRule="exact"/>
        <w:ind w:firstLine="403"/>
        <w:rPr>
          <w:rFonts w:ascii="宋体" w:hAnsi="宋体"/>
          <w:szCs w:val="21"/>
        </w:rPr>
      </w:pPr>
      <w:r>
        <w:rPr>
          <w:rFonts w:ascii="宋体" w:hAnsi="宋体" w:hint="eastAsia"/>
          <w:szCs w:val="21"/>
          <w:highlight w:val="white"/>
        </w:rPr>
        <w:t>（一）依据</w:t>
      </w:r>
    </w:p>
    <w:p w:rsidR="004048CB">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本协议依据《中华人民共和国民法典》、《中华人民共和国证券投资基金法》（以下简称“《基金法》”）、《公开募集证券投资基金运作管理办法》（以下简称“《运作办法》”）、《公开募集证券投资基金信息披露管理办法》（以下简称“《信息披露办法》”）、《公开募集开放式证券投资基金流动性风险管理规定》及其他有关法律法规与《</w:t>
      </w:r>
      <w:r>
        <w:rPr>
          <w:rFonts w:ascii="宋体" w:eastAsia="宋体" w:hint="eastAsia"/>
          <w:color w:val="auto"/>
          <w:sz w:val="21"/>
          <w:szCs w:val="21"/>
        </w:rPr>
        <w:t>易方达港股通周期精选混合型证券投资基金</w:t>
      </w:r>
      <w:r>
        <w:rPr>
          <w:rFonts w:ascii="宋体" w:eastAsia="宋体" w:hint="eastAsia"/>
          <w:color w:val="auto"/>
          <w:sz w:val="21"/>
          <w:szCs w:val="21"/>
          <w:highlight w:val="white"/>
        </w:rPr>
        <w:t>基金合同》（以下简称“《基金合同》”）订立。</w:t>
      </w:r>
    </w:p>
    <w:p w:rsidR="004048CB">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（二）目的</w:t>
      </w:r>
    </w:p>
    <w:p w:rsidR="004048CB">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订立本协议的目的是明确</w:t>
      </w:r>
      <w:r>
        <w:rPr>
          <w:rFonts w:ascii="宋体" w:eastAsia="宋体" w:hint="eastAsia"/>
          <w:color w:val="auto"/>
          <w:sz w:val="21"/>
          <w:szCs w:val="21"/>
        </w:rPr>
        <w:t>易方达港股通周期精选混合型证券投资基金</w:t>
      </w:r>
      <w:r>
        <w:rPr>
          <w:rFonts w:ascii="宋体" w:eastAsia="宋体" w:hint="eastAsia"/>
          <w:color w:val="auto"/>
          <w:sz w:val="21"/>
          <w:szCs w:val="21"/>
          <w:highlight w:val="white"/>
        </w:rPr>
        <w:t>基金托管人和</w:t>
      </w:r>
      <w:r>
        <w:rPr>
          <w:rFonts w:ascii="宋体" w:eastAsia="宋体" w:hint="eastAsia"/>
          <w:color w:val="auto"/>
          <w:sz w:val="21"/>
          <w:szCs w:val="21"/>
        </w:rPr>
        <w:t>易方达港股通周期精选混合型证券投资基金</w:t>
      </w:r>
      <w:r>
        <w:rPr>
          <w:rFonts w:ascii="宋体" w:eastAsia="宋体" w:hint="eastAsia"/>
          <w:color w:val="auto"/>
          <w:sz w:val="21"/>
          <w:szCs w:val="21"/>
          <w:highlight w:val="white"/>
        </w:rPr>
        <w:t>基金管理人之间在基金财产的保管、投资运作、净值计算、收益分配、信息披露及相互监督等相关事宜中的权利、义务及职责，确保基金财产的安全，保护基金份额持有人的合法权益。</w:t>
      </w:r>
    </w:p>
    <w:p w:rsidR="004048CB">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（三）原则</w:t>
      </w:r>
    </w:p>
    <w:p w:rsidR="004048CB">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基金管理人和基金托管人本着平等自愿、诚实信用的原则，经协商一致，签订本协议。</w:t>
      </w:r>
    </w:p>
    <w:p w:rsidR="004048CB">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（四）解释</w:t>
      </w:r>
    </w:p>
    <w:p w:rsidR="004048CB">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除非文义另有所指，本协议的所有术语与</w:t>
      </w:r>
      <w:bookmarkStart w:id="3" w:name="OLE_LINK3"/>
      <w:r>
        <w:rPr>
          <w:rFonts w:ascii="宋体" w:eastAsia="宋体" w:hint="eastAsia"/>
          <w:color w:val="auto"/>
          <w:sz w:val="21"/>
          <w:szCs w:val="21"/>
          <w:highlight w:val="white"/>
        </w:rPr>
        <w:t>《基金合同》</w:t>
      </w:r>
      <w:bookmarkEnd w:id="3"/>
      <w:r>
        <w:rPr>
          <w:rFonts w:ascii="宋体" w:eastAsia="宋体" w:hint="eastAsia"/>
          <w:color w:val="auto"/>
          <w:sz w:val="21"/>
          <w:szCs w:val="21"/>
          <w:highlight w:val="white"/>
        </w:rPr>
        <w:t>的相应术语具有相同含义。</w:t>
      </w:r>
    </w:p>
    <w:p w:rsidR="004048CB">
      <w:pPr>
        <w:pStyle w:val="BodyTextIndent"/>
        <w:spacing w:before="100" w:beforeAutospacing="1" w:after="100" w:afterAutospacing="1"/>
        <w:ind w:firstLine="403"/>
        <w:rPr>
          <w:rFonts w:ascii="宋体" w:eastAsia="宋体"/>
          <w:color w:val="auto"/>
          <w:sz w:val="21"/>
          <w:szCs w:val="21"/>
        </w:rPr>
      </w:pPr>
    </w:p>
    <w:p w:rsidR="004048CB">
      <w:pPr>
        <w:pStyle w:val="11"/>
        <w:spacing w:before="100" w:beforeAutospacing="1" w:after="100" w:afterAutospacing="1" w:line="400" w:lineRule="exact"/>
        <w:ind w:firstLine="422"/>
        <w:rPr>
          <w:rFonts w:ascii="宋体" w:hAnsi="宋体"/>
          <w:sz w:val="21"/>
          <w:szCs w:val="21"/>
        </w:rPr>
      </w:pPr>
      <w:bookmarkStart w:id="4" w:name="_Toc116900098"/>
      <w:r>
        <w:rPr>
          <w:rFonts w:ascii="宋体" w:hAnsi="宋体" w:hint="eastAsia"/>
          <w:sz w:val="21"/>
          <w:szCs w:val="21"/>
          <w:highlight w:val="white"/>
        </w:rPr>
        <w:t>三、基金托管人对基金管理人的业务监督和核查</w:t>
      </w:r>
      <w:bookmarkEnd w:id="4"/>
    </w:p>
    <w:p w:rsidR="004048CB">
      <w:pPr>
        <w:snapToGrid w:val="0"/>
        <w:spacing w:before="100" w:beforeAutospacing="1" w:after="100" w:afterAutospacing="1" w:line="400" w:lineRule="exact"/>
        <w:ind w:firstLine="420"/>
        <w:rPr>
          <w:rFonts w:ascii="宋体" w:hAnsi="宋体" w:cs="方正仿宋简体"/>
          <w:szCs w:val="21"/>
        </w:rPr>
      </w:pPr>
      <w:r>
        <w:rPr>
          <w:rFonts w:ascii="宋体" w:hAnsi="宋体" w:cs="方正仿宋简体" w:hint="eastAsia"/>
          <w:szCs w:val="21"/>
          <w:highlight w:val="white"/>
        </w:rPr>
        <w:t>（一）基金托管人根据有关法律法规的规定对基金管理人的下列投资运作进行监督：</w:t>
      </w:r>
    </w:p>
    <w:p w:rsidR="004048CB">
      <w:pPr>
        <w:snapToGrid w:val="0"/>
        <w:spacing w:before="100" w:beforeAutospacing="1" w:after="100" w:afterAutospacing="1" w:line="400" w:lineRule="exact"/>
        <w:ind w:firstLine="420"/>
        <w:rPr>
          <w:rFonts w:ascii="宋体" w:hAnsi="宋体" w:cs="方正仿宋简体"/>
          <w:szCs w:val="21"/>
        </w:rPr>
      </w:pPr>
      <w:r>
        <w:rPr>
          <w:rFonts w:ascii="宋体" w:hAnsi="宋体" w:cs="方正仿宋简体" w:hint="eastAsia"/>
          <w:szCs w:val="21"/>
          <w:highlight w:val="white"/>
        </w:rPr>
        <w:t>1、对基金的投资范围、投资对象进行监督。</w:t>
      </w:r>
    </w:p>
    <w:p w:rsidR="004048CB">
      <w:pPr>
        <w:spacing w:before="100" w:beforeAutospacing="1" w:after="100" w:afterAutospacing="1" w:line="400" w:lineRule="exact"/>
        <w:ind w:firstLine="420"/>
        <w:rPr>
          <w:rFonts w:ascii="宋体" w:hAnsi="宋体" w:cs="方正仿宋简体"/>
          <w:color w:val="000000"/>
          <w:szCs w:val="21"/>
        </w:rPr>
      </w:pPr>
      <w:r>
        <w:rPr>
          <w:rFonts w:ascii="宋体" w:hAnsi="宋体" w:cs="方正仿宋简体"/>
          <w:szCs w:val="21"/>
        </w:rPr>
        <w:t>本基金的投资范围包括国内依法发行上市的股票（包括创业板、科创板及其他依法发行上市的股票、存托凭证）、内地与香港股票市场交易互联互通机制允许买卖的香港证券市场股票（简称“港股通股票”）、国内依法发行上市的债券（包括国债、央行票据、地方政府债、金融债、企业债、公司债、次级债、中期票据、短期融资券、超短期融资券、政府支持机构债券、可转换债券、可交换债券等）、资产支持证券、债券回购、银行存款、同业存单、货币市场工具、股指期货、国债期货、股票期权及法律法规或中国证监会允许基金投资的其他金融工具。</w:t>
      </w:r>
    </w:p>
    <w:p w:rsidR="004048CB">
      <w:pPr>
        <w:spacing w:before="100" w:beforeAutospacing="1" w:after="100" w:afterAutospacing="1" w:line="400" w:lineRule="exact"/>
        <w:ind w:firstLine="420"/>
        <w:rPr>
          <w:rFonts w:ascii="宋体" w:hAnsi="宋体" w:cs="方正仿宋简体"/>
          <w:color w:val="000000"/>
          <w:szCs w:val="21"/>
        </w:rPr>
      </w:pPr>
      <w:r>
        <w:rPr>
          <w:rFonts w:ascii="宋体" w:hAnsi="宋体" w:cs="方正仿宋简体"/>
          <w:szCs w:val="21"/>
        </w:rPr>
        <w:t>如法律法规或监管机构以后允许基金投资其他品种，基金管理人在履行适当程序后，本基金可以将其纳入投资范围。</w:t>
      </w:r>
    </w:p>
    <w:p w:rsidR="004048CB">
      <w:pPr>
        <w:snapToGrid w:val="0"/>
        <w:spacing w:before="100" w:beforeAutospacing="1" w:after="100" w:afterAutospacing="1" w:line="400" w:lineRule="exact"/>
        <w:ind w:firstLine="420"/>
        <w:rPr>
          <w:rFonts w:ascii="宋体" w:hAnsi="宋体" w:cs="方正仿宋简体"/>
          <w:szCs w:val="21"/>
        </w:rPr>
      </w:pPr>
      <w:r>
        <w:rPr>
          <w:rFonts w:ascii="宋体" w:hAnsi="宋体" w:cs="方正仿宋简体"/>
          <w:szCs w:val="21"/>
          <w:highlight w:val="white"/>
        </w:rPr>
        <w:t>基金的投资组合比例为：</w:t>
      </w:r>
      <w:r>
        <w:rPr>
          <w:rFonts w:ascii="宋体" w:hAnsi="宋体" w:cs="方正仿宋简体"/>
          <w:szCs w:val="21"/>
        </w:rPr>
        <w:t>本基金股票资产占基金资产的比例为60%-95%；非现金基金资产中不低于80%的资产将投资于港股通股票；保持不低于基金资产净值5%的现金或者到期日在一年以内的政府债券，其中现金不包括结算备付金、存出保证金和应收申购款等。</w:t>
      </w:r>
    </w:p>
    <w:p w:rsidR="004048CB">
      <w:pPr>
        <w:spacing w:line="400" w:lineRule="exact"/>
        <w:ind w:firstLine="420"/>
        <w:rPr>
          <w:rFonts w:ascii="宋体" w:hAnsi="宋体" w:cs="方正仿宋简体"/>
          <w:szCs w:val="21"/>
        </w:rPr>
      </w:pPr>
      <w:r>
        <w:rPr>
          <w:rFonts w:ascii="宋体" w:hAnsi="宋体" w:cs="方正仿宋简体" w:hint="eastAsia"/>
          <w:szCs w:val="21"/>
          <w:highlight w:val="white"/>
        </w:rPr>
        <w:t>2、对基金投融资比例进行监督：</w:t>
      </w:r>
    </w:p>
    <w:p w:rsidR="004048CB">
      <w:pPr>
        <w:spacing w:line="400" w:lineRule="exact"/>
        <w:ind w:firstLine="420"/>
      </w:pPr>
      <w:r>
        <w:rPr>
          <w:rFonts w:ascii="宋体" w:hAnsi="宋体" w:cs="方正仿宋简体" w:hint="eastAsia"/>
          <w:szCs w:val="21"/>
          <w:highlight w:val="white"/>
        </w:rPr>
        <w:t>（1）本基金股票资产占基金资产的比例为60%-95%；非现金基金资产中不低于80%的资产将投资于港股通股票；</w:t>
      </w:r>
    </w:p>
    <w:p w:rsidR="004048CB">
      <w:pPr>
        <w:spacing w:line="400" w:lineRule="exact"/>
        <w:ind w:firstLine="420"/>
      </w:pPr>
      <w:r>
        <w:rPr>
          <w:rFonts w:ascii="宋体" w:hAnsi="宋体" w:cs="方正仿宋简体" w:hint="eastAsia"/>
          <w:szCs w:val="21"/>
          <w:highlight w:val="white"/>
        </w:rPr>
        <w:t>（2）保持不低于基金资产净值5％的现金或者到期日在一年以内的政府债券，其中现金不包括结算备付金、存出保证金和应收申购款等；</w:t>
      </w:r>
    </w:p>
    <w:p w:rsidR="004048CB">
      <w:pPr>
        <w:spacing w:line="400" w:lineRule="exact"/>
        <w:ind w:firstLine="420"/>
      </w:pPr>
      <w:r>
        <w:rPr>
          <w:rFonts w:ascii="宋体" w:hAnsi="宋体" w:cs="方正仿宋简体" w:hint="eastAsia"/>
          <w:szCs w:val="21"/>
          <w:highlight w:val="white"/>
        </w:rPr>
        <w:t>（3）本基金持有一家公司发行的证券（同一家公司在内地和香港同时上市的A+H股合计计算），其市值不超过基金资产净值的10％；</w:t>
      </w:r>
    </w:p>
    <w:p w:rsidR="004048CB">
      <w:pPr>
        <w:spacing w:line="400" w:lineRule="exact"/>
        <w:ind w:firstLine="420"/>
      </w:pPr>
      <w:r>
        <w:rPr>
          <w:rFonts w:ascii="宋体" w:hAnsi="宋体" w:cs="方正仿宋简体" w:hint="eastAsia"/>
          <w:szCs w:val="21"/>
          <w:highlight w:val="white"/>
        </w:rPr>
        <w:t>（4）本基金管理人管理且由本基金托管人托管的全部基金持有一家公司发行的证券（同一家公司在内地和香港同时上市的A+H股合计计算），不超过该证券的10％，完全按照有关指数的构成比例进行证券投资的基金品种可以不受此条款规定的比例限制；</w:t>
      </w:r>
    </w:p>
    <w:p w:rsidR="004048CB">
      <w:pPr>
        <w:spacing w:line="400" w:lineRule="exact"/>
        <w:ind w:firstLine="420"/>
      </w:pPr>
      <w:r>
        <w:rPr>
          <w:rFonts w:ascii="宋体" w:hAnsi="宋体" w:cs="方正仿宋简体" w:hint="eastAsia"/>
          <w:szCs w:val="21"/>
          <w:highlight w:val="white"/>
        </w:rPr>
        <w:t>（5）本基金投资于同一原始权益人的各类资产支持证券的比例，不得超过基金资产净值的10％；</w:t>
      </w:r>
    </w:p>
    <w:p w:rsidR="004048CB">
      <w:pPr>
        <w:spacing w:line="400" w:lineRule="exact"/>
        <w:ind w:firstLine="420"/>
      </w:pPr>
      <w:r>
        <w:rPr>
          <w:rFonts w:ascii="宋体" w:hAnsi="宋体" w:cs="方正仿宋简体" w:hint="eastAsia"/>
          <w:szCs w:val="21"/>
          <w:highlight w:val="white"/>
        </w:rPr>
        <w:t>（6）本基金持有的全部资产支持证券，其市值不得超过基金资产净值的20％；</w:t>
      </w:r>
    </w:p>
    <w:p w:rsidR="004048CB">
      <w:pPr>
        <w:spacing w:line="400" w:lineRule="exact"/>
        <w:ind w:firstLine="420"/>
      </w:pPr>
      <w:r>
        <w:rPr>
          <w:rFonts w:ascii="宋体" w:hAnsi="宋体" w:cs="方正仿宋简体" w:hint="eastAsia"/>
          <w:szCs w:val="21"/>
          <w:highlight w:val="white"/>
        </w:rPr>
        <w:t>（7）本基金持有的同一(指同一信用级别)资产支持证券的比例，不得超过该资产支持证券规模的10％；</w:t>
      </w:r>
    </w:p>
    <w:p w:rsidR="004048CB">
      <w:pPr>
        <w:spacing w:line="400" w:lineRule="exact"/>
        <w:ind w:firstLine="420"/>
      </w:pPr>
      <w:r>
        <w:rPr>
          <w:rFonts w:ascii="宋体" w:hAnsi="宋体" w:cs="方正仿宋简体" w:hint="eastAsia"/>
          <w:szCs w:val="21"/>
          <w:highlight w:val="white"/>
        </w:rPr>
        <w:t>（8）本基金管理人管理且由本基金托管人托管的全部基金投资于同一原始权益人的各类资产支持证券，不得超过其各类资产支持证券合计规模的10％；</w:t>
      </w:r>
    </w:p>
    <w:p w:rsidR="004048CB">
      <w:pPr>
        <w:spacing w:line="400" w:lineRule="exact"/>
        <w:ind w:firstLine="420"/>
      </w:pPr>
      <w:r>
        <w:rPr>
          <w:rFonts w:ascii="宋体" w:hAnsi="宋体" w:cs="方正仿宋简体" w:hint="eastAsia"/>
          <w:szCs w:val="21"/>
          <w:highlight w:val="white"/>
        </w:rPr>
        <w:t>（9）本基金应投资于信用级别评级为BBB以上(含BBB)的资产支持证券。基金持有资产支持证券期间，如果其信用等级下降、不再符合投资标准，应在评级报告发布之日起3个月内予以全部卖出；</w:t>
      </w:r>
    </w:p>
    <w:p w:rsidR="004048CB">
      <w:pPr>
        <w:spacing w:line="400" w:lineRule="exact"/>
        <w:ind w:firstLine="420"/>
      </w:pPr>
      <w:r>
        <w:rPr>
          <w:rFonts w:ascii="宋体" w:hAnsi="宋体" w:cs="方正仿宋简体" w:hint="eastAsia"/>
          <w:szCs w:val="21"/>
          <w:highlight w:val="white"/>
        </w:rPr>
        <w:t>（10）基金财产参与股票发行申购，本基金所申报的金额不超过本基金的总资产，本基金所申报的股票数量不超过拟发行股票公司本次发行股票的总量；</w:t>
      </w:r>
    </w:p>
    <w:p w:rsidR="004048CB">
      <w:pPr>
        <w:spacing w:line="400" w:lineRule="exact"/>
        <w:ind w:firstLine="420"/>
      </w:pPr>
      <w:r>
        <w:rPr>
          <w:rFonts w:ascii="宋体" w:hAnsi="宋体" w:cs="方正仿宋简体" w:hint="eastAsia"/>
          <w:szCs w:val="21"/>
          <w:highlight w:val="white"/>
        </w:rPr>
        <w:t>（11）本基金管理人管理且由本基金托管人托管的全部开放式基金持有一家上市公司发行的可流通股票，不得超过该上市公司可流通股票的15%；本基金管理人管理且由本基金托管人托管的全部投资组合持有一家上市公司发行的可流通股票，不得超过该上市公司可流通股票的30%，完全按照有关指数的构成比例进行证券投资的开放式基金以及中国证监会认定的特殊投资组合可不受前述比例限制；</w:t>
      </w:r>
    </w:p>
    <w:p w:rsidR="004048CB">
      <w:pPr>
        <w:spacing w:line="400" w:lineRule="exact"/>
        <w:ind w:firstLine="420"/>
      </w:pPr>
      <w:r>
        <w:rPr>
          <w:rFonts w:ascii="宋体" w:hAnsi="宋体" w:cs="方正仿宋简体" w:hint="eastAsia"/>
          <w:szCs w:val="21"/>
          <w:highlight w:val="white"/>
        </w:rPr>
        <w:t>（12）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4048CB">
      <w:pPr>
        <w:spacing w:line="400" w:lineRule="exact"/>
        <w:ind w:firstLine="420"/>
      </w:pPr>
      <w:r>
        <w:rPr>
          <w:rFonts w:ascii="宋体" w:hAnsi="宋体" w:cs="方正仿宋简体" w:hint="eastAsia"/>
          <w:szCs w:val="21"/>
          <w:highlight w:val="white"/>
        </w:rPr>
        <w:t>（13）本基金与私募类证券资管产品及中国证监会认定的其他主体为交易对手开展逆回购交易的，可接受质押品的资质要求应当与基金合同约定的投资范围保持一致；</w:t>
      </w:r>
    </w:p>
    <w:p w:rsidR="004048CB">
      <w:pPr>
        <w:spacing w:line="400" w:lineRule="exact"/>
        <w:ind w:firstLine="420"/>
      </w:pPr>
      <w:r>
        <w:rPr>
          <w:rFonts w:ascii="宋体" w:hAnsi="宋体" w:cs="方正仿宋简体" w:hint="eastAsia"/>
          <w:szCs w:val="21"/>
          <w:highlight w:val="white"/>
        </w:rPr>
        <w:t>（14）本基金资产总值不超过基金资产净值的140%；</w:t>
      </w:r>
    </w:p>
    <w:p w:rsidR="004048CB">
      <w:pPr>
        <w:spacing w:line="400" w:lineRule="exact"/>
        <w:ind w:firstLine="420"/>
      </w:pPr>
      <w:r>
        <w:rPr>
          <w:rFonts w:ascii="宋体" w:hAnsi="宋体" w:cs="方正仿宋简体" w:hint="eastAsia"/>
          <w:szCs w:val="21"/>
          <w:highlight w:val="white"/>
        </w:rPr>
        <w:t>（15）本基金参与股指期货交易，应当遵守下列要求：本基金在任何交易日日终，持有的买入股指期货合约价值不得超过基金资产净值的10%；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在任何交易日终，持有的卖出股指期货合约价值不得超过基金持有的股票总市值的20%；本基金所持有的股票市值和买入、卖出股指期货合约价值，合计（轧差计算）占基金资产的比例为60%-95%；在任何交易日内交易(不包括平仓)的股指期货合约的成交金额不得超过上一交易日基金资产净值的20%；每个交易日日终，扣除股指期货、国债期货合约需缴纳的交易保证金后，保持不低于基金资产净值5％的现金或者到期日在一年以内的政府债券，其中现金不包括结算备付金、存出保证金和应收申购款等；</w:t>
      </w:r>
    </w:p>
    <w:p w:rsidR="004048CB">
      <w:pPr>
        <w:spacing w:line="400" w:lineRule="exact"/>
        <w:ind w:firstLine="420"/>
      </w:pPr>
      <w:r>
        <w:rPr>
          <w:rFonts w:ascii="宋体" w:hAnsi="宋体" w:cs="方正仿宋简体" w:hint="eastAsia"/>
          <w:szCs w:val="21"/>
          <w:highlight w:val="white"/>
        </w:rPr>
        <w:t>（16）本基金参与国债期货交易，应当遵守下列要求：在任何交易日日终，本基金持有的买入国债期货合约价值，不得超过基金资产净值的15%；本基金在任何交易日日终，持有的卖出国债期货合约价值不得超过基金持有的债券总市值的30%；本基金在任何交易日内交易（不包括平仓）的国债期货合约的成交金额不得超过上一交易日基金资产净值的30%；</w:t>
      </w:r>
    </w:p>
    <w:p w:rsidR="004048CB">
      <w:pPr>
        <w:spacing w:line="400" w:lineRule="exact"/>
        <w:ind w:firstLine="420"/>
      </w:pPr>
      <w:r>
        <w:rPr>
          <w:rFonts w:ascii="宋体" w:hAnsi="宋体" w:cs="方正仿宋简体" w:hint="eastAsia"/>
          <w:szCs w:val="21"/>
          <w:highlight w:val="white"/>
        </w:rPr>
        <w:t>（17）本基金参与股票期权交易的，应当符合下列要求：基金因未平仓的期权合约支付和收取的权利金总额不得超过基金资产净值的10%；未平仓的期权合约面值不得超过基金资产净值的20%。其中，合约面值按照行权价乘以合约乘数计算；</w:t>
      </w:r>
    </w:p>
    <w:p w:rsidR="004048CB">
      <w:pPr>
        <w:spacing w:line="400" w:lineRule="exact"/>
        <w:ind w:firstLine="420"/>
      </w:pPr>
      <w:r>
        <w:rPr>
          <w:rFonts w:ascii="宋体" w:hAnsi="宋体" w:cs="方正仿宋简体" w:hint="eastAsia"/>
          <w:szCs w:val="21"/>
          <w:highlight w:val="white"/>
        </w:rPr>
        <w:t>（18）基金参与融资业务后，在任何交易日日终，持有的融资买入股票与其他有价证券市值之和，不得超过基金资产净值的95%；</w:t>
      </w:r>
    </w:p>
    <w:p w:rsidR="004048CB">
      <w:pPr>
        <w:spacing w:line="400" w:lineRule="exact"/>
        <w:ind w:firstLine="420"/>
      </w:pPr>
      <w:r>
        <w:rPr>
          <w:rFonts w:ascii="宋体" w:hAnsi="宋体" w:cs="方正仿宋简体" w:hint="eastAsia"/>
          <w:szCs w:val="21"/>
          <w:highlight w:val="white"/>
        </w:rPr>
        <w:t>（19）本基金投资存托凭证的比例限制依照境内上市交易的股票执行，与境内上市交易的股票合并计算；</w:t>
      </w:r>
    </w:p>
    <w:p w:rsidR="004048CB">
      <w:pPr>
        <w:spacing w:line="400" w:lineRule="exact"/>
        <w:ind w:firstLine="420"/>
      </w:pPr>
      <w:r>
        <w:rPr>
          <w:rFonts w:ascii="宋体" w:hAnsi="宋体" w:cs="方正仿宋简体" w:hint="eastAsia"/>
          <w:szCs w:val="21"/>
          <w:highlight w:val="white"/>
        </w:rPr>
        <w:t>（20）法律法规及中国证监会规定的其他投资比例限制。</w:t>
      </w:r>
    </w:p>
    <w:p w:rsidR="004048CB">
      <w:pPr>
        <w:spacing w:line="400" w:lineRule="exact"/>
        <w:ind w:firstLine="420"/>
      </w:pPr>
      <w:r>
        <w:rPr>
          <w:rFonts w:ascii="宋体" w:hAnsi="宋体" w:cs="方正仿宋简体" w:hint="eastAsia"/>
          <w:szCs w:val="21"/>
          <w:highlight w:val="white"/>
        </w:rPr>
        <w:t>除上述（2）、（9）、（10）、（12）、（13）情形之外，因证券/期货市场波动、证券发行人合并、基金规模变动等基金管理人之外的因素致使基金投资比例不符合上述规定投资比例的，基金管理人应当在10个交易日内进行调整，但中国证监会规定的特殊情形除外。法律法规或监管部门另有规定的，届时按最新规定执行。</w:t>
      </w:r>
    </w:p>
    <w:p w:rsidR="004048CB">
      <w:pPr>
        <w:spacing w:line="400" w:lineRule="exact"/>
        <w:ind w:firstLine="420"/>
      </w:pPr>
      <w:r>
        <w:rPr>
          <w:rFonts w:ascii="宋体" w:hAnsi="宋体" w:cs="方正仿宋简体" w:hint="eastAsia"/>
          <w:szCs w:val="21"/>
          <w:highlight w:val="white"/>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rsidR="004048CB">
      <w:pPr>
        <w:widowControl/>
        <w:spacing w:line="400" w:lineRule="exact"/>
        <w:ind w:firstLine="420"/>
        <w:contextualSpacing/>
        <w:rPr>
          <w:rFonts w:ascii="宋体" w:hAnsi="宋体"/>
          <w:szCs w:val="21"/>
        </w:rPr>
      </w:pPr>
      <w:r>
        <w:rPr>
          <w:rFonts w:ascii="宋体" w:hAnsi="宋体" w:hint="eastAsia"/>
          <w:szCs w:val="21"/>
          <w:highlight w:val="white"/>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4048CB">
      <w:pPr>
        <w:widowControl/>
        <w:spacing w:line="400" w:lineRule="exact"/>
        <w:ind w:firstLine="420"/>
        <w:contextualSpacing/>
        <w:rPr>
          <w:rFonts w:ascii="宋体" w:hAnsi="宋体"/>
          <w:szCs w:val="21"/>
        </w:rPr>
      </w:pPr>
      <w:r>
        <w:rPr>
          <w:rFonts w:ascii="宋体" w:hAnsi="宋体" w:hint="eastAsia"/>
          <w:szCs w:val="21"/>
          <w:highlight w:val="white"/>
        </w:rPr>
        <w:t>法律法规或监管部门取消上述组合限制或从事关联交易的条件和要求，本基金可不受相关限制。法律法规或监管部门对上述组合限制或从事关联交易的条件和要求进行变更的，本基金可以变更后的规定为准。经与基金托管人协商一致，基金管理人可依据法律法规或监管部门规定直接对基金合同进行变更，该变更无须召开基金份额持有人大会审议。</w:t>
      </w:r>
    </w:p>
    <w:p w:rsidR="004048CB">
      <w:pPr>
        <w:snapToGrid w:val="0"/>
        <w:spacing w:before="100" w:beforeAutospacing="1" w:after="100" w:afterAutospacing="1" w:line="400" w:lineRule="exact"/>
        <w:ind w:firstLine="420"/>
        <w:rPr>
          <w:rFonts w:ascii="宋体" w:hAnsi="宋体" w:cs="方正仿宋简体"/>
          <w:szCs w:val="21"/>
        </w:rPr>
      </w:pPr>
      <w:r>
        <w:rPr>
          <w:rFonts w:ascii="宋体" w:hAnsi="宋体" w:cs="方正仿宋简体" w:hint="eastAsia"/>
          <w:szCs w:val="21"/>
          <w:highlight w:val="white"/>
        </w:rPr>
        <w:t>（二）基金托管人应根据有关法律法规的规定及</w:t>
      </w:r>
      <w:r>
        <w:rPr>
          <w:rFonts w:ascii="宋体" w:hAnsi="宋体" w:hint="eastAsia"/>
          <w:szCs w:val="21"/>
          <w:highlight w:val="white"/>
        </w:rPr>
        <w:t>《基金合同》</w:t>
      </w:r>
      <w:r>
        <w:rPr>
          <w:rFonts w:ascii="宋体" w:hAnsi="宋体" w:cs="方正仿宋简体" w:hint="eastAsia"/>
          <w:szCs w:val="21"/>
          <w:highlight w:val="white"/>
        </w:rPr>
        <w:t>的约定，对基金资产净值计算、基金份额净值计算、应收资金到账、基金费用开支及收入确定、基金收益分配、相关信息披露登载基金业绩表现数据等进行复核。</w:t>
      </w:r>
    </w:p>
    <w:p w:rsidR="004048CB">
      <w:pPr>
        <w:snapToGrid w:val="0"/>
        <w:spacing w:before="100" w:beforeAutospacing="1" w:after="100" w:afterAutospacing="1" w:line="400" w:lineRule="exact"/>
        <w:ind w:firstLine="420"/>
        <w:rPr>
          <w:rFonts w:ascii="宋体" w:hAnsi="宋体"/>
          <w:szCs w:val="21"/>
        </w:rPr>
      </w:pPr>
      <w:r>
        <w:rPr>
          <w:rFonts w:ascii="宋体" w:hAnsi="宋体" w:cs="方正仿宋简体" w:hint="eastAsia"/>
          <w:szCs w:val="21"/>
          <w:highlight w:val="white"/>
        </w:rPr>
        <w:t>（三）基金托管人在上述第（一）、（二）款的监督和核查中发现基金管理人违反上述</w:t>
      </w:r>
      <w:r>
        <w:rPr>
          <w:rFonts w:ascii="宋体" w:hAnsi="宋体" w:hint="eastAsia"/>
          <w:szCs w:val="21"/>
          <w:highlight w:val="white"/>
        </w:rPr>
        <w:t>约定</w:t>
      </w:r>
      <w:r>
        <w:rPr>
          <w:rFonts w:ascii="宋体" w:hAnsi="宋体" w:cs="方正仿宋简体" w:hint="eastAsia"/>
          <w:szCs w:val="21"/>
          <w:highlight w:val="white"/>
        </w:rPr>
        <w:t>，</w:t>
      </w:r>
      <w:r>
        <w:rPr>
          <w:rFonts w:ascii="宋体" w:hAnsi="宋体" w:hint="eastAsia"/>
          <w:szCs w:val="21"/>
          <w:highlight w:val="white"/>
        </w:rPr>
        <w:t>应及时提示基金管理人，基金管理人收到提示后应及时核对确认并以书面形式对基金托管人发出回函并改正。在限期内，基金托管人有权随时对提示事项进行复查。基金管理人对基金托管人提示的违规事项未能在限期内纠正的，基金托管人应及时向中国证监会报告。</w:t>
      </w:r>
    </w:p>
    <w:p w:rsidR="004048CB">
      <w:pPr>
        <w:snapToGrid w:val="0"/>
        <w:spacing w:before="100" w:beforeAutospacing="1" w:after="100" w:afterAutospacing="1" w:line="400" w:lineRule="exact"/>
        <w:ind w:firstLine="420"/>
        <w:rPr>
          <w:rFonts w:ascii="宋体" w:hAnsi="宋体"/>
          <w:szCs w:val="21"/>
        </w:rPr>
      </w:pPr>
      <w:r>
        <w:rPr>
          <w:rFonts w:ascii="宋体" w:hAnsi="宋体" w:cs="方正仿宋简体" w:hint="eastAsia"/>
          <w:szCs w:val="21"/>
          <w:highlight w:val="white"/>
        </w:rPr>
        <w:t>（四）基金托管人发现基金管理人的投资指令违反法律法规、本协议的规定，</w:t>
      </w:r>
      <w:r>
        <w:rPr>
          <w:rFonts w:ascii="宋体" w:hAnsi="宋体" w:hint="eastAsia"/>
          <w:szCs w:val="21"/>
          <w:highlight w:val="white"/>
        </w:rPr>
        <w:t>应当拒绝执行，及时提示基金管理人，并依照法律法规的规定及时向中国证监会报告。基金托管人发现基金管理人依据交易程序已经生效的指令违反法律法规、本协议规定的，应当及时提示基金管理人，并依照法律法规的规定及时向中国证监会报告。</w:t>
      </w:r>
    </w:p>
    <w:p w:rsidR="004048CB">
      <w:pPr>
        <w:spacing w:before="100" w:beforeAutospacing="1" w:after="100" w:afterAutospacing="1" w:line="400" w:lineRule="exact"/>
        <w:ind w:firstLine="420"/>
        <w:rPr>
          <w:rFonts w:ascii="宋体" w:hAnsi="宋体" w:cs="方正仿宋简体"/>
          <w:szCs w:val="21"/>
        </w:rPr>
      </w:pPr>
      <w:r>
        <w:rPr>
          <w:rFonts w:ascii="宋体" w:hAnsi="宋体" w:cs="方正仿宋简体" w:hint="eastAsia"/>
          <w:szCs w:val="21"/>
          <w:highlight w:val="white"/>
        </w:rPr>
        <w:t>（五）基金管理人应积极配合和协助基金托管人的监督和核查，包括但不限于：在规定时间内答复基金托管人并改正，就基金托管人的疑义进行解释或举证，提供相关数据资料和制度等。</w:t>
      </w:r>
    </w:p>
    <w:p w:rsidR="004048CB">
      <w:pPr>
        <w:spacing w:before="100" w:beforeAutospacing="1" w:after="100" w:afterAutospacing="1" w:line="400" w:lineRule="exact"/>
        <w:ind w:firstLine="420"/>
        <w:rPr>
          <w:rFonts w:ascii="宋体" w:hAnsi="宋体"/>
          <w:szCs w:val="21"/>
        </w:rPr>
      </w:pPr>
    </w:p>
    <w:p w:rsidR="004048CB">
      <w:pPr>
        <w:pStyle w:val="11"/>
        <w:spacing w:before="100" w:beforeAutospacing="1" w:after="100" w:afterAutospacing="1" w:line="400" w:lineRule="exact"/>
        <w:ind w:firstLine="422"/>
        <w:rPr>
          <w:rFonts w:ascii="宋体" w:hAnsi="宋体"/>
          <w:sz w:val="21"/>
          <w:szCs w:val="21"/>
        </w:rPr>
      </w:pPr>
      <w:r>
        <w:rPr>
          <w:rFonts w:ascii="宋体" w:hAnsi="宋体" w:hint="eastAsia"/>
          <w:sz w:val="21"/>
          <w:szCs w:val="21"/>
          <w:highlight w:val="white"/>
        </w:rPr>
        <w:t>四、基金管理人对基金托管人的业务核查</w:t>
      </w:r>
    </w:p>
    <w:p w:rsidR="004048CB">
      <w:pPr>
        <w:snapToGrid w:val="0"/>
        <w:spacing w:before="100" w:beforeAutospacing="1" w:after="100" w:afterAutospacing="1" w:line="400" w:lineRule="exact"/>
        <w:ind w:firstLine="420"/>
        <w:rPr>
          <w:rFonts w:ascii="宋体" w:hAnsi="宋体"/>
          <w:szCs w:val="21"/>
        </w:rPr>
      </w:pPr>
      <w:r>
        <w:rPr>
          <w:rFonts w:ascii="宋体" w:hAnsi="宋体" w:hint="eastAsia"/>
          <w:szCs w:val="21"/>
          <w:highlight w:val="white"/>
        </w:rPr>
        <w:t>1、在本协议的有效期内，在不违反公平、合理原则以及不妨碍基金托管人遵守相关法律法规及其行业监管要求的基础上，基金管理人有权对基金托管人履行本协议的情况进行必要的核查，核查事项包括但不限于基金托管人安全保管基金财产、开设基金财产的资金账户和证券账户</w:t>
      </w:r>
      <w:r>
        <w:rPr>
          <w:rFonts w:ascii="宋体" w:hAnsi="宋体" w:cs="方正仿宋简体" w:hint="eastAsia"/>
          <w:szCs w:val="21"/>
          <w:highlight w:val="white"/>
        </w:rPr>
        <w:t>等投资所需账户</w:t>
      </w:r>
      <w:r>
        <w:rPr>
          <w:rFonts w:ascii="宋体" w:hAnsi="宋体" w:hint="eastAsia"/>
          <w:szCs w:val="21"/>
          <w:highlight w:val="white"/>
        </w:rPr>
        <w:t>、复核基金管理人计算的基金资产净值和基金份额净值、根据基金管理人指令办理清算交收、相关信息披露和监督基金投资运作等行为。</w:t>
      </w:r>
    </w:p>
    <w:p w:rsidR="004048CB">
      <w:pPr>
        <w:snapToGrid w:val="0"/>
        <w:spacing w:before="100" w:beforeAutospacing="1" w:after="100" w:afterAutospacing="1" w:line="400" w:lineRule="exact"/>
        <w:ind w:firstLine="420"/>
        <w:rPr>
          <w:rFonts w:ascii="宋体" w:hAnsi="宋体"/>
          <w:szCs w:val="21"/>
        </w:rPr>
      </w:pPr>
      <w:r>
        <w:rPr>
          <w:rFonts w:ascii="宋体" w:hAnsi="宋体" w:hint="eastAsia"/>
          <w:szCs w:val="21"/>
          <w:highlight w:val="white"/>
        </w:rPr>
        <w:t>2、基金管理人发现基金托管人擅自挪用基金财产、未对基金财产实行分账管理、无正当理由未执行或延迟执行基金管理人资金划拨指令、泄露基金投资信息等违反法律法规、《基金合同》及本协议有关规定时，应及时以书面形式通知基金托管人限期纠正，基金托管人收到通知后应及时核对并以书面形式对基金管理人发出回函。在限期内，基金管理人有权随时对通知事项进行复查，督促基金托管人改正。基金托管人对基金管理人通知的违规事项未能在限期内纠正的，基金管理人应依照法律法规的规定报告中国证监会。</w:t>
      </w:r>
    </w:p>
    <w:p w:rsidR="004048CB">
      <w:pPr>
        <w:snapToGrid w:val="0"/>
        <w:spacing w:before="100" w:beforeAutospacing="1" w:after="100" w:afterAutospacing="1" w:line="400" w:lineRule="exact"/>
        <w:ind w:firstLine="420"/>
        <w:rPr>
          <w:rFonts w:ascii="宋体" w:hAnsi="宋体"/>
          <w:szCs w:val="21"/>
        </w:rPr>
      </w:pPr>
      <w:r>
        <w:rPr>
          <w:rFonts w:ascii="宋体" w:hAnsi="宋体" w:hint="eastAsia"/>
          <w:szCs w:val="21"/>
          <w:highlight w:val="white"/>
        </w:rPr>
        <w:t>3、基金托管人应积极配合基金管理人的核查行为，包括但不限于：提交相关资料以供基金管理人核查托管财产的完整性和真实性，在规定时间内答复基金管理人并改正。</w:t>
      </w:r>
    </w:p>
    <w:p w:rsidR="004048CB">
      <w:pPr>
        <w:spacing w:before="100" w:beforeAutospacing="1" w:after="100" w:afterAutospacing="1" w:line="400" w:lineRule="exact"/>
        <w:ind w:firstLine="420"/>
        <w:rPr>
          <w:rFonts w:ascii="宋体" w:hAnsi="宋体"/>
          <w:szCs w:val="21"/>
        </w:rPr>
      </w:pPr>
    </w:p>
    <w:p w:rsidR="004048CB">
      <w:pPr>
        <w:pStyle w:val="11"/>
        <w:spacing w:before="100" w:beforeAutospacing="1" w:after="100" w:afterAutospacing="1" w:line="400" w:lineRule="exact"/>
        <w:ind w:firstLine="422"/>
        <w:rPr>
          <w:rFonts w:ascii="宋体" w:hAnsi="宋体"/>
          <w:sz w:val="21"/>
          <w:szCs w:val="21"/>
        </w:rPr>
      </w:pPr>
      <w:bookmarkStart w:id="5" w:name="_Toc116900099"/>
      <w:r>
        <w:rPr>
          <w:rFonts w:ascii="宋体" w:hAnsi="宋体" w:hint="eastAsia"/>
          <w:sz w:val="21"/>
          <w:szCs w:val="21"/>
          <w:highlight w:val="white"/>
        </w:rPr>
        <w:t>五、基金财产的保管</w:t>
      </w:r>
      <w:bookmarkEnd w:id="5"/>
    </w:p>
    <w:p w:rsidR="004048CB">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（一）基金财产保管的原则</w:t>
      </w:r>
    </w:p>
    <w:p w:rsidR="004048CB">
      <w:pPr>
        <w:snapToGrid w:val="0"/>
        <w:spacing w:before="100" w:beforeAutospacing="1" w:after="100" w:afterAutospacing="1" w:line="400" w:lineRule="exact"/>
        <w:ind w:firstLine="420"/>
        <w:rPr>
          <w:rFonts w:ascii="宋体" w:hAnsi="宋体"/>
          <w:szCs w:val="21"/>
        </w:rPr>
      </w:pPr>
      <w:r>
        <w:rPr>
          <w:rFonts w:ascii="宋体" w:hAnsi="宋体" w:hint="eastAsia"/>
          <w:szCs w:val="21"/>
          <w:highlight w:val="white"/>
        </w:rPr>
        <w:t>1、</w:t>
      </w:r>
      <w:r>
        <w:rPr>
          <w:rFonts w:ascii="宋体" w:hAnsi="宋体" w:cs="方正仿宋简体" w:hint="eastAsia"/>
          <w:szCs w:val="21"/>
          <w:highlight w:val="white"/>
        </w:rPr>
        <w:t>基金财产应独立于基金管理人、基金托管人</w:t>
      </w:r>
      <w:r>
        <w:rPr>
          <w:rFonts w:ascii="宋体" w:hAnsi="宋体" w:cs="宋体"/>
          <w:color w:val="000000"/>
          <w:highlight w:val="white"/>
        </w:rPr>
        <w:t>、证券/期货经纪机构</w:t>
      </w:r>
      <w:r>
        <w:rPr>
          <w:rFonts w:ascii="宋体" w:hAnsi="宋体" w:cs="方正仿宋简体" w:hint="eastAsia"/>
          <w:szCs w:val="21"/>
          <w:highlight w:val="white"/>
        </w:rPr>
        <w:t>的固有财产。</w:t>
      </w:r>
    </w:p>
    <w:p w:rsidR="004048CB">
      <w:pPr>
        <w:snapToGrid w:val="0"/>
        <w:spacing w:before="100" w:beforeAutospacing="1" w:after="100" w:afterAutospacing="1" w:line="400" w:lineRule="exact"/>
        <w:ind w:firstLine="420"/>
        <w:rPr>
          <w:rFonts w:ascii="宋体" w:hAnsi="宋体"/>
          <w:szCs w:val="21"/>
        </w:rPr>
      </w:pPr>
      <w:r>
        <w:rPr>
          <w:rFonts w:ascii="宋体" w:hAnsi="宋体" w:cs="方正仿宋简体" w:hint="eastAsia"/>
          <w:szCs w:val="21"/>
          <w:highlight w:val="white"/>
        </w:rPr>
        <w:t>2、基金托管人应安全保管基金财产，</w:t>
      </w:r>
      <w:r>
        <w:rPr>
          <w:rFonts w:ascii="宋体" w:hAnsi="宋体" w:hint="eastAsia"/>
          <w:szCs w:val="21"/>
          <w:highlight w:val="white"/>
        </w:rPr>
        <w:t>未经基金管理人的合法合规指令或法律法规、《基金合同》及本协议另有约定，不得自行运用、处分、分配基金的任何财产。</w:t>
      </w:r>
    </w:p>
    <w:p w:rsidR="004048CB">
      <w:pPr>
        <w:snapToGrid w:val="0"/>
        <w:spacing w:before="100" w:beforeAutospacing="1" w:after="100" w:afterAutospacing="1" w:line="400" w:lineRule="exact"/>
        <w:ind w:firstLine="420"/>
        <w:rPr>
          <w:rFonts w:ascii="宋体" w:hAnsi="宋体"/>
          <w:color w:val="FF0000"/>
          <w:szCs w:val="21"/>
        </w:rPr>
      </w:pPr>
      <w:r>
        <w:rPr>
          <w:rFonts w:ascii="宋体" w:hAnsi="宋体" w:cs="方正仿宋简体" w:hint="eastAsia"/>
          <w:szCs w:val="21"/>
          <w:highlight w:val="white"/>
        </w:rPr>
        <w:t>3、基金托管人按照规定开设基金财产的资金账户和证券账户等投资所需账户。</w:t>
      </w:r>
    </w:p>
    <w:p w:rsidR="004048CB">
      <w:pPr>
        <w:pStyle w:val="BodyTextIndent"/>
        <w:spacing w:before="100" w:beforeAutospacing="1" w:after="100" w:afterAutospacing="1"/>
        <w:ind w:firstLine="403"/>
        <w:rPr>
          <w:rFonts w:ascii="宋体" w:eastAsia="宋体"/>
          <w:color w:val="auto"/>
          <w:sz w:val="21"/>
          <w:szCs w:val="21"/>
        </w:rPr>
      </w:pPr>
      <w:r>
        <w:rPr>
          <w:rFonts w:ascii="宋体" w:eastAsia="宋体" w:cs="方正仿宋简体" w:hint="eastAsia"/>
          <w:sz w:val="21"/>
          <w:szCs w:val="21"/>
          <w:highlight w:val="white"/>
        </w:rPr>
        <w:t>4、基金托管人对所托管的不同基金财产分别设置账户，确保基金财产的完整与独立。</w:t>
      </w:r>
    </w:p>
    <w:p w:rsidR="004048CB">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5、除依据《基金法》、《运作办法》、《基金合同》及其他有关法律法规规定外，基金托管人不得委托第三人托管基金财产。</w:t>
      </w:r>
    </w:p>
    <w:p w:rsidR="004048CB">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（二）基金合同生效前募集资金的验资和入账</w:t>
      </w:r>
    </w:p>
    <w:p w:rsidR="004048CB">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1、基金募集期满或基金管理人宣布停止募集时，</w:t>
      </w:r>
      <w:r>
        <w:rPr>
          <w:rFonts w:ascii="宋体" w:eastAsia="宋体" w:cs="方正仿宋简体" w:hint="eastAsia"/>
          <w:sz w:val="21"/>
          <w:szCs w:val="21"/>
          <w:highlight w:val="white"/>
        </w:rPr>
        <w:t>募集的基金份额总额、基金募集金额、基金份额持有人人数符合《基金法》、《运作办法》等有关规定的，</w:t>
      </w:r>
      <w:r>
        <w:rPr>
          <w:rFonts w:ascii="宋体" w:eastAsia="宋体" w:hint="eastAsia"/>
          <w:color w:val="auto"/>
          <w:sz w:val="21"/>
          <w:szCs w:val="21"/>
          <w:highlight w:val="white"/>
        </w:rPr>
        <w:t>由基金管理人在法定期限内聘请符合《证券法》规定的会计师事务所对基金进行验资，并出具验资报告，出具的验资报告应由参加验资的</w:t>
      </w:r>
      <w:r>
        <w:rPr>
          <w:rFonts w:ascii="宋体" w:eastAsia="宋体"/>
          <w:color w:val="auto"/>
          <w:sz w:val="21"/>
          <w:szCs w:val="21"/>
          <w:highlight w:val="white"/>
        </w:rPr>
        <w:t>2</w:t>
      </w:r>
      <w:r>
        <w:rPr>
          <w:rFonts w:ascii="宋体" w:eastAsia="宋体" w:hint="eastAsia"/>
          <w:color w:val="auto"/>
          <w:sz w:val="21"/>
          <w:szCs w:val="21"/>
          <w:highlight w:val="white"/>
        </w:rPr>
        <w:t>名以上（含</w:t>
      </w:r>
      <w:r>
        <w:rPr>
          <w:rFonts w:ascii="宋体" w:eastAsia="宋体"/>
          <w:color w:val="auto"/>
          <w:sz w:val="21"/>
          <w:szCs w:val="21"/>
          <w:highlight w:val="white"/>
        </w:rPr>
        <w:t>2</w:t>
      </w:r>
      <w:r>
        <w:rPr>
          <w:rFonts w:ascii="宋体" w:eastAsia="宋体" w:hint="eastAsia"/>
          <w:color w:val="auto"/>
          <w:sz w:val="21"/>
          <w:szCs w:val="21"/>
          <w:highlight w:val="white"/>
        </w:rPr>
        <w:t>名）中国注册会计师签字方为有效。</w:t>
      </w:r>
    </w:p>
    <w:p w:rsidR="004048CB">
      <w:pPr>
        <w:pStyle w:val="BodyTextIndent"/>
        <w:spacing w:before="100" w:beforeAutospacing="1" w:after="100" w:afterAutospacing="1"/>
        <w:ind w:firstLine="403"/>
        <w:rPr>
          <w:rFonts w:ascii="宋体" w:eastAsia="宋体"/>
          <w:sz w:val="21"/>
          <w:szCs w:val="21"/>
        </w:rPr>
      </w:pPr>
      <w:r>
        <w:rPr>
          <w:rFonts w:ascii="宋体" w:eastAsia="宋体" w:hint="eastAsia"/>
          <w:sz w:val="21"/>
          <w:szCs w:val="21"/>
          <w:highlight w:val="white"/>
        </w:rPr>
        <w:t>2、基金管理人应将属于本基金财产的全部资金划入在基金托管人处为本基金开立的基金银行账户中，并确保划入的资金与验资确认金额相一致。</w:t>
      </w:r>
    </w:p>
    <w:p w:rsidR="004048CB">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（三）基金的银行账户的开设和管理</w:t>
      </w:r>
    </w:p>
    <w:p w:rsidR="004048CB">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1、基金托管人应负责本基金的银行账户的开设和管理。</w:t>
      </w:r>
    </w:p>
    <w:p w:rsidR="004048CB">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2、基金托管人以本基金的名义开设本基金的银行账户。本基金的银行预留印鉴由基金托管人保管和使用。本基金</w:t>
      </w:r>
      <w:r>
        <w:rPr>
          <w:rFonts w:ascii="宋体" w:eastAsia="宋体" w:cs="宋体"/>
          <w:sz w:val="21"/>
          <w:highlight w:val="white"/>
        </w:rPr>
        <w:t>除证券交易所场内交易以外</w:t>
      </w:r>
      <w:r>
        <w:rPr>
          <w:rFonts w:ascii="宋体" w:eastAsia="宋体" w:hint="eastAsia"/>
          <w:color w:val="auto"/>
          <w:sz w:val="21"/>
          <w:szCs w:val="21"/>
          <w:highlight w:val="white"/>
        </w:rPr>
        <w:t>的一切货币收支活动，包括但不限于投资、支付赎回金额、支付基金收益、收取申购款，均需通过本基金的银行账户进行。</w:t>
      </w:r>
    </w:p>
    <w:p w:rsidR="004048CB">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3、本基金银行账户的开立和使用，限于满足开展本基金业务的需要。基金托管人和基金管理人不得假借本基金的名义开立其他任何银行账户；亦不得使用本基金的银行账户进行本基金业务以外的活动。</w:t>
      </w:r>
    </w:p>
    <w:p w:rsidR="004048CB">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4、基金银行账户的管理应符合法律法规的有关规定。</w:t>
      </w:r>
    </w:p>
    <w:p w:rsidR="004048CB">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（四）基金进行定期存款投资的账户开设和管理</w:t>
      </w:r>
    </w:p>
    <w:p w:rsidR="004048CB">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基金管理人以基金名义在基金托管人认可的存款银行的指定营业网点开立存款账户，基金托管人负责该账户银行预留印鉴的保管和使用。在上述账户开立和账户相关信息变更过程中，需要基金托管行配合的，基金管理人应提前向基金托管人提供开户或账户变更所需的相关资料。</w:t>
      </w:r>
    </w:p>
    <w:p w:rsidR="004048CB">
      <w:pPr>
        <w:pStyle w:val="BodyTextIndent"/>
        <w:spacing w:before="100" w:beforeAutospacing="1" w:after="100" w:afterAutospacing="1"/>
        <w:ind w:firstLine="403"/>
      </w:pPr>
      <w:r>
        <w:rPr>
          <w:rFonts w:ascii="宋体" w:eastAsia="宋体" w:hint="eastAsia"/>
          <w:color w:val="auto"/>
          <w:sz w:val="21"/>
          <w:szCs w:val="21"/>
          <w:highlight w:val="white"/>
        </w:rPr>
        <w:t>（五）基金证券账户及其他投资账户的开设和管理</w:t>
      </w:r>
    </w:p>
    <w:p w:rsidR="004048CB">
      <w:pPr>
        <w:pStyle w:val="BodyTextIndent"/>
        <w:spacing w:before="100" w:beforeAutospacing="1" w:after="100" w:afterAutospacing="1"/>
        <w:ind w:firstLine="403"/>
      </w:pPr>
      <w:r>
        <w:rPr>
          <w:rFonts w:ascii="宋体" w:eastAsia="宋体" w:hint="eastAsia"/>
          <w:color w:val="auto"/>
          <w:sz w:val="21"/>
          <w:szCs w:val="21"/>
          <w:highlight w:val="white"/>
        </w:rPr>
        <w:t>1、基金托管人应当代表本基金，以基金托管人和本基金联名的方式在中国证券登记结算有限责任公司开设证券账户。</w:t>
      </w:r>
    </w:p>
    <w:p w:rsidR="004048CB">
      <w:pPr>
        <w:pStyle w:val="BodyTextIndent"/>
        <w:spacing w:before="100" w:beforeAutospacing="1" w:after="100" w:afterAutospacing="1"/>
        <w:ind w:firstLine="403"/>
      </w:pPr>
      <w:r>
        <w:rPr>
          <w:rFonts w:ascii="宋体" w:eastAsia="宋体" w:hint="eastAsia"/>
          <w:color w:val="auto"/>
          <w:sz w:val="21"/>
          <w:szCs w:val="21"/>
          <w:highlight w:val="white"/>
        </w:rPr>
        <w:t>2、本基金证券账户的开立和使用，限于满足开展本基金业务的需要。基金托管人和基金管理人不得出借或转让本基金的证券账户，亦不得使用本基金的证券账户进行本基金业务以外的活动。</w:t>
      </w:r>
    </w:p>
    <w:p w:rsidR="004048CB">
      <w:pPr>
        <w:pStyle w:val="BodyTextIndent"/>
        <w:spacing w:before="100" w:beforeAutospacing="1" w:after="100" w:afterAutospacing="1"/>
        <w:ind w:firstLine="403"/>
      </w:pPr>
      <w:r>
        <w:rPr>
          <w:rFonts w:ascii="宋体" w:eastAsia="宋体" w:hint="eastAsia"/>
          <w:color w:val="auto"/>
          <w:sz w:val="21"/>
          <w:szCs w:val="21"/>
          <w:highlight w:val="white"/>
        </w:rPr>
        <w:t>3、在本托管协议生效日之后，本基金被允许从事其他投资品种的投资业务的，涉及相关账户的开设、使用的，若无相关规定，则基金托管人应当比照并遵守上述关于账户开设、使用的规定。</w:t>
      </w:r>
    </w:p>
    <w:p w:rsidR="004048CB">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（六）债券托管专户的开设和管理</w:t>
      </w:r>
    </w:p>
    <w:p w:rsidR="004048CB">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基金合同生效后，基金管理人负责向中国人民银行报备以及以基金的名义申请并取得进入全国银行间同业拆借市场的交易资格，并代表基金进行交易；基金托管人负责以基金的名义在中央国债登记结算有限责任公司和银行间市场清算所股份有限公司开设银行间债券市场债券托管账户</w:t>
      </w:r>
      <w:r>
        <w:rPr>
          <w:rFonts w:ascii="宋体" w:eastAsia="宋体"/>
          <w:color w:val="auto"/>
          <w:sz w:val="21"/>
          <w:szCs w:val="21"/>
          <w:highlight w:val="white"/>
        </w:rPr>
        <w:t>和资金结算专户</w:t>
      </w:r>
      <w:r>
        <w:rPr>
          <w:rFonts w:ascii="宋体" w:eastAsia="宋体" w:hint="eastAsia"/>
          <w:color w:val="auto"/>
          <w:sz w:val="21"/>
          <w:szCs w:val="21"/>
          <w:highlight w:val="white"/>
        </w:rPr>
        <w:t>，并代表基金进行银行间债券市场债券和资金的清算</w:t>
      </w:r>
      <w:r>
        <w:rPr>
          <w:rFonts w:ascii="宋体" w:eastAsia="宋体" w:hint="eastAsia"/>
          <w:color w:val="auto"/>
          <w:sz w:val="21"/>
          <w:highlight w:val="white"/>
        </w:rPr>
        <w:t>。</w:t>
      </w:r>
    </w:p>
    <w:p w:rsidR="004048CB">
      <w:pPr>
        <w:spacing w:line="400" w:lineRule="atLeast"/>
        <w:ind w:firstLine="403"/>
      </w:pPr>
      <w:r>
        <w:rPr>
          <w:rFonts w:ascii="宋体" w:hAnsi="宋体" w:cs="宋体"/>
          <w:color w:val="000000"/>
          <w:highlight w:val="white"/>
        </w:rPr>
        <w:t>（七）证券资金账户的开立和管理</w:t>
      </w:r>
    </w:p>
    <w:p w:rsidR="004048CB">
      <w:pPr>
        <w:spacing w:line="400" w:lineRule="atLeast"/>
        <w:ind w:firstLine="403"/>
      </w:pPr>
      <w:r>
        <w:rPr>
          <w:rFonts w:ascii="宋体" w:hAnsi="宋体" w:cs="宋体"/>
          <w:color w:val="000000"/>
          <w:highlight w:val="white"/>
        </w:rPr>
        <w:t>1、基金管理人根据相关法律法规及协议约定在选定的证券经纪机构处为本基金开立证券资金账户，用于办理本基金在证券交易所进行证券投资所涉及的资金结算业务。</w:t>
      </w:r>
    </w:p>
    <w:p w:rsidR="004048CB">
      <w:pPr>
        <w:spacing w:line="400" w:lineRule="atLeast"/>
        <w:ind w:firstLine="403"/>
      </w:pPr>
      <w:r>
        <w:rPr>
          <w:rFonts w:ascii="宋体" w:hAnsi="宋体" w:cs="宋体"/>
          <w:color w:val="000000"/>
          <w:highlight w:val="white"/>
        </w:rPr>
        <w:t>2、基金管理人以本基金名义在基金管理人选择的证券经纪机构营业网点开立证券资金账户，并按照该营业网点开户的流程和要求，签订相关的协议。证券资金账户与基金托管银行账户建立第三方存管关系。</w:t>
      </w:r>
    </w:p>
    <w:p w:rsidR="004048CB">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（八）基金财产投资的有关有价凭证的保管</w:t>
      </w:r>
    </w:p>
    <w:p w:rsidR="004048CB">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基金财产投资的实物证券、银行定期存款存单等有价凭证由基金托管人负责妥善保管。基金托管人对其以外机构实际有效控制的有价凭证不承担责任。</w:t>
      </w:r>
    </w:p>
    <w:p w:rsidR="004048CB">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（九）与基金财产有关的重大合同及有关凭证的保管</w:t>
      </w:r>
    </w:p>
    <w:p w:rsidR="004048CB">
      <w:pPr>
        <w:spacing w:line="400" w:lineRule="atLeast"/>
        <w:ind w:left="181" w:firstLine="403" w:leftChars="86"/>
        <w:rPr>
          <w:rFonts w:ascii="宋体"/>
          <w:szCs w:val="21"/>
        </w:rPr>
      </w:pPr>
      <w:r>
        <w:rPr>
          <w:rFonts w:ascii="宋体" w:hint="eastAsia"/>
          <w:szCs w:val="21"/>
          <w:highlight w:val="white"/>
        </w:rPr>
        <w:t>基金托管人按照法律法规保管由基金管理人代表基金签署的与基金有关的重大合同及有关凭证。基金管理人代表基金签署有关重大合同后应在收到合同正本后30日内将一份正本的原件提交给基金托管人。除本协议另有规定外，基金管理人在代表基金签署与基金有关的重大合同时应保证基金一方持有两份以上的正本，以便基金管理人和基金托管人至少各持有一份正本的原件。重大合同由基金管理人与基金托管人按规定各自保管至少20年。</w:t>
      </w:r>
    </w:p>
    <w:p w:rsidR="004048CB">
      <w:pPr>
        <w:spacing w:line="400" w:lineRule="atLeast"/>
        <w:ind w:left="181" w:firstLine="403" w:leftChars="86"/>
        <w:rPr>
          <w:sz w:val="28"/>
          <w:szCs w:val="21"/>
        </w:rPr>
      </w:pPr>
      <w:r>
        <w:rPr>
          <w:rFonts w:ascii="宋体" w:hAnsi="宋体" w:cs="宋体"/>
          <w:color w:val="000000"/>
          <w:highlight w:val="white"/>
        </w:rPr>
        <w:t>对于无法取得二份以上的正本的，基金管理人应向基金托管人提供与合同原件核对一致并加盖公章的合同复印件或传真件，未经双方协商一致，合同原件不得转移</w:t>
      </w:r>
      <w:r>
        <w:rPr>
          <w:rFonts w:ascii="宋体" w:hint="eastAsia"/>
          <w:szCs w:val="21"/>
          <w:highlight w:val="white"/>
        </w:rPr>
        <w:t>。</w:t>
      </w:r>
    </w:p>
    <w:p w:rsidR="004048CB">
      <w:pPr>
        <w:pStyle w:val="BodyTextIndent"/>
        <w:spacing w:before="100" w:beforeAutospacing="1" w:after="100" w:afterAutospacing="1"/>
        <w:ind w:firstLine="403"/>
        <w:rPr>
          <w:rFonts w:ascii="宋体" w:eastAsia="宋体"/>
          <w:color w:val="auto"/>
          <w:sz w:val="21"/>
          <w:szCs w:val="21"/>
        </w:rPr>
      </w:pPr>
    </w:p>
    <w:p w:rsidR="004048CB">
      <w:pPr>
        <w:pStyle w:val="11"/>
        <w:spacing w:before="100" w:beforeAutospacing="1" w:after="100" w:afterAutospacing="1" w:line="400" w:lineRule="exact"/>
        <w:ind w:firstLine="422"/>
        <w:rPr>
          <w:rFonts w:ascii="宋体" w:hAnsi="宋体"/>
          <w:sz w:val="21"/>
          <w:szCs w:val="21"/>
        </w:rPr>
      </w:pPr>
      <w:bookmarkStart w:id="6" w:name="_Toc116900100"/>
      <w:r>
        <w:rPr>
          <w:rFonts w:ascii="宋体" w:hAnsi="宋体" w:hint="eastAsia"/>
          <w:sz w:val="21"/>
          <w:szCs w:val="21"/>
          <w:highlight w:val="white"/>
        </w:rPr>
        <w:t>六、指令的发送、确认及执行</w:t>
      </w:r>
      <w:bookmarkEnd w:id="6"/>
    </w:p>
    <w:p w:rsidR="004048CB">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基金管理人发送的指令包括电子指令和线下指令。</w:t>
      </w:r>
    </w:p>
    <w:p w:rsidR="004048CB">
      <w:pPr>
        <w:pStyle w:val="BodyTextIndent"/>
        <w:spacing w:before="100" w:beforeAutospacing="1" w:after="100" w:afterAutospacing="1"/>
        <w:ind w:firstLine="403"/>
        <w:rPr>
          <w:rFonts w:ascii="宋体" w:eastAsia="宋体"/>
          <w:color w:val="auto"/>
          <w:sz w:val="21"/>
          <w:szCs w:val="21"/>
        </w:rPr>
      </w:pPr>
      <w:r>
        <w:rPr>
          <w:rFonts w:ascii="宋体" w:eastAsia="宋体"/>
          <w:color w:val="auto"/>
          <w:sz w:val="21"/>
          <w:szCs w:val="21"/>
          <w:highlight w:val="white"/>
        </w:rPr>
        <w:t>电子指令包括基金管理人发送的电子指令（采用深证通金融数据交换平台发送的电子指令、采用SWIFT电子报文发送的电子指令、通过中国银行托管网银发送的电子指令）、自动产生的电子指令（基金托管人的全球托管系统根据基金管理人的授权通过预先设定的业务规则自动产生的电子指令）。电子指令一经发出即被视为合法有效指令，线下指令作为应急方式备用。基金管理人通过深证通金融数据交换平台发送的电子指令，基金托管人根据USER ID和APP ID唯一识别基金管理人身份，基金管理人应妥善保管USER ID和APP ID，基金托管人身份识别后对于执行该电子指令造成的任何损失基金托管人不承担责任。</w:t>
      </w:r>
    </w:p>
    <w:p w:rsidR="004048CB">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线下指令是指以传真、邮件等双方认可的方式传送的指令。</w:t>
      </w:r>
    </w:p>
    <w:p w:rsidR="004048CB">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（一）基金管理人对发送线下</w:t>
      </w:r>
      <w:r>
        <w:rPr>
          <w:rFonts w:ascii="宋体" w:eastAsia="宋体"/>
          <w:color w:val="auto"/>
          <w:sz w:val="21"/>
          <w:szCs w:val="21"/>
          <w:highlight w:val="white"/>
        </w:rPr>
        <w:t>指令人员的书面授权</w:t>
      </w:r>
    </w:p>
    <w:p w:rsidR="004048CB">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1、基金管理人应当事先向基金托管人发出书面通知（以下称“授权通知”），载明基金管理人有权发送指令的人员名单（以下称“指令发送人员”）及各个人员的权限范围。基金管理人应向基金托管人提供指令发送人员的人名印鉴的预留印鉴样本和签字样本。</w:t>
      </w:r>
    </w:p>
    <w:p w:rsidR="004048CB">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2、基金管理人向基金托管人发出的授权通知应加盖公章并由法定代表人或其授权签字人签署，若由授权签字人签署，还应附上法定代表人的授权书。基金管理人向基金托管人以</w:t>
      </w:r>
      <w:r>
        <w:rPr>
          <w:rFonts w:ascii="宋体" w:eastAsia="宋体"/>
          <w:color w:val="auto"/>
          <w:sz w:val="21"/>
          <w:szCs w:val="21"/>
          <w:highlight w:val="white"/>
        </w:rPr>
        <w:t>双方认可的形式发送授权通知后同时电话通知基金托管人。授权通知自基金托管人接到基金管理人的电话确认后于通知载明的生效时间起生效。通知载明的生效时间不得早于电话确认时间，如早于电话确认时间的，授权通知自基金托管人电话确认后生效。基金管理人在此后7个工作日内将授权通知原件送交基金托管人。</w:t>
      </w:r>
    </w:p>
    <w:p w:rsidR="004048CB">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3、基金管理人和基金托管人对授权通知及其更改负有保密义务，其内容不得向指令发送人员及相关操作人员以外的任何人披露、泄露</w:t>
      </w:r>
      <w:r>
        <w:rPr>
          <w:rFonts w:ascii="宋体" w:eastAsia="宋体" w:hint="eastAsia"/>
          <w:color w:val="auto"/>
          <w:sz w:val="21"/>
          <w:highlight w:val="white"/>
        </w:rPr>
        <w:t>，但法律法规规定或有权机关或审计机构要求的除外。</w:t>
      </w:r>
    </w:p>
    <w:p w:rsidR="004048CB">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（二）指令的内容</w:t>
      </w:r>
    </w:p>
    <w:p w:rsidR="004048CB">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指令是基金管理人在运作基金财产时，向基金托管人发出的资金划拨及投资指令。</w:t>
      </w:r>
    </w:p>
    <w:p w:rsidR="004048CB">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（三）指令的发送、确认和执行</w:t>
      </w:r>
    </w:p>
    <w:p w:rsidR="004048CB">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1、线下指令由“授权通知”确定的指令发送人员代表基金管理人用传真的方式或其他双方确认的方式向基金托管人发送。对于指令发送人员发出的指令，基金管理人不得否认其效力。但如果基金管理人已经撤销或更改对指令发送人员的授权，并且基金托管人已收到该通知，则对于此后该指令发送人员无权发送的指令，或超权限发送的指令，基金管理人不承担责任。</w:t>
      </w:r>
    </w:p>
    <w:p w:rsidR="004048CB">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2、基金管理人应按照《基金法》、《运作办法》、《基金合同》和有关法律法规的规定，在其合法的经营权限和交易权限内，并依据相关业务规则发送指令。指令发出后，基金管理人应及时</w:t>
      </w:r>
      <w:r>
        <w:rPr>
          <w:rFonts w:ascii="宋体" w:eastAsia="宋体"/>
          <w:color w:val="auto"/>
          <w:sz w:val="21"/>
          <w:szCs w:val="21"/>
          <w:highlight w:val="white"/>
        </w:rPr>
        <w:t>通过电话或者其他双方认可的方式通知基金托管人。</w:t>
      </w:r>
      <w:r>
        <w:rPr>
          <w:rFonts w:ascii="宋体" w:eastAsia="宋体" w:hint="eastAsia"/>
          <w:color w:val="auto"/>
          <w:sz w:val="21"/>
          <w:szCs w:val="21"/>
          <w:highlight w:val="white"/>
        </w:rPr>
        <w:t xml:space="preserve">    </w:t>
      </w:r>
    </w:p>
    <w:p w:rsidR="004048CB">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3、基金托管人在接收指令时，应对指令的要素是否齐全（含电子指令和线下指令）、印鉴是否与授权通知相符（针对线下指令）等进行表面一致性的检查，对合法合规的指令，基金托管人应在规定期限内执行，不得不合理延误。</w:t>
      </w:r>
    </w:p>
    <w:p w:rsidR="004048CB">
      <w:pPr>
        <w:spacing w:line="400" w:lineRule="atLeast"/>
        <w:ind w:firstLine="403"/>
        <w:rPr>
          <w:sz w:val="28"/>
          <w:szCs w:val="21"/>
        </w:rPr>
      </w:pPr>
      <w:r>
        <w:rPr>
          <w:rFonts w:ascii="宋体" w:hint="eastAsia"/>
          <w:szCs w:val="21"/>
          <w:highlight w:val="white"/>
        </w:rPr>
        <w:t>4、</w:t>
      </w:r>
      <w:r>
        <w:rPr>
          <w:rFonts w:ascii="宋体" w:hAnsi="宋体" w:cs="宋体"/>
          <w:color w:val="000000"/>
          <w:highlight w:val="white"/>
        </w:rPr>
        <w:t>对于银行间业务，如需发送银行间成交单的，基金管理人应在交易结束后将银行间同业市场债券交易成交单经有权人员签字并加盖印章后及时发送给基金托管人。如不需采用发送交易成交单的形式，基金管理人应对基金托管人进行书面授权确认。如果银行间簿记系统已经生成的交易需要取消或终止，基金管理人需通过邮件、传真等双方协商一致的形式通知基金托管人</w:t>
      </w:r>
      <w:r>
        <w:rPr>
          <w:rFonts w:ascii="宋体"/>
          <w:szCs w:val="21"/>
          <w:highlight w:val="white"/>
        </w:rPr>
        <w:t>。</w:t>
      </w:r>
    </w:p>
    <w:p w:rsidR="004048CB">
      <w:pPr>
        <w:pStyle w:val="BodyTextIndent"/>
        <w:spacing w:before="100" w:beforeAutospacing="1" w:after="100" w:afterAutospacing="1"/>
        <w:ind w:firstLine="403"/>
        <w:rPr>
          <w:rFonts w:ascii="宋体" w:eastAsia="宋体"/>
          <w:color w:val="auto"/>
          <w:sz w:val="21"/>
          <w:szCs w:val="21"/>
        </w:rPr>
      </w:pPr>
      <w:r>
        <w:rPr>
          <w:rFonts w:ascii="宋体" w:eastAsia="宋体"/>
          <w:color w:val="auto"/>
          <w:sz w:val="21"/>
          <w:szCs w:val="21"/>
          <w:highlight w:val="white"/>
        </w:rPr>
        <w:t>5、基金管理人在发送指令时，应为基金托管人执行指令留出执行指令时所必需的时间。指令传输不及时未能留出足够的执行时间，致使指令未能及时执行所造成的损失不由基金托管人承担。</w:t>
      </w:r>
    </w:p>
    <w:p w:rsidR="004048CB">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（四）基金管理人发送错误指令的情形和处理程序</w:t>
      </w:r>
    </w:p>
    <w:p w:rsidR="004048CB">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基金管理人发送错误指令的情形主要包括：指令要素错误、预留印鉴错误等情形。</w:t>
      </w:r>
    </w:p>
    <w:p w:rsidR="004048CB">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基金托管人发现基金管理人的指令错误时，有权拒绝执行，并及时通知基金管理人改正。对基金管理人更正并重新发送后的指令经基金托管人核对确认后方能执行。</w:t>
      </w:r>
    </w:p>
    <w:p w:rsidR="004048CB">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（五）基金托管人依照法律法规暂缓、拒绝执行指令的情形和处理程序</w:t>
      </w:r>
    </w:p>
    <w:p w:rsidR="004048CB">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基金托管人发现基金管理人的指令违反法律法规规定或者《基金合同》约定，应当不予执行，并及时通知基金管理人要求其变更或撤销相关指令，若基金管理人在基金托管人发出上述通知后仍未变更或撤销相关指令，基金托管人应当拒绝执行，并向中国证监会报告。</w:t>
      </w:r>
    </w:p>
    <w:p w:rsidR="004048CB">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基金管理人应确保基金托管人执行指令时基金的银行存款账户有足够的资金余额，确保基金的证券账户有足够的证券余额。对超头寸的指令，以及超过证券账户证券余额的指令，基金托管人可不予执行，但应及时通知基金管理人，由此造成的损失，不由基金托管人承担。</w:t>
      </w:r>
    </w:p>
    <w:p w:rsidR="004048CB">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（六）基金托管人未按照基金管理人指令执行的处理方法</w:t>
      </w:r>
    </w:p>
    <w:p w:rsidR="004048CB">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基金托管人因未及时、正确执行基金管理人合法合规的指令，致使本基金的利益受到损害，基金托管人应承担相应的责任。除此之外，基金托管人对执行基金管理人的合法合规指令对基金造成的损失不承担任何责任。</w:t>
      </w:r>
    </w:p>
    <w:p w:rsidR="004048CB">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（七）被授权人员及授权权限的变更</w:t>
      </w:r>
      <w:r>
        <w:rPr>
          <w:rFonts w:ascii="宋体" w:eastAsia="宋体"/>
          <w:color w:val="auto"/>
          <w:sz w:val="21"/>
          <w:szCs w:val="21"/>
          <w:highlight w:val="white"/>
        </w:rPr>
        <w:tab/>
      </w:r>
    </w:p>
    <w:p w:rsidR="004048CB">
      <w:pPr>
        <w:pStyle w:val="BodyTextIndent"/>
        <w:spacing w:before="100" w:beforeAutospacing="1" w:after="100" w:afterAutospacing="1"/>
        <w:ind w:firstLine="403"/>
        <w:rPr>
          <w:rFonts w:ascii="宋体" w:eastAsia="宋体"/>
          <w:color w:val="auto"/>
          <w:sz w:val="21"/>
          <w:szCs w:val="21"/>
        </w:rPr>
      </w:pPr>
      <w:r>
        <w:rPr>
          <w:rFonts w:ascii="宋体" w:eastAsia="宋体"/>
          <w:color w:val="auto"/>
          <w:sz w:val="21"/>
          <w:szCs w:val="21"/>
          <w:highlight w:val="white"/>
        </w:rPr>
        <w:t>基金管理人若对授权通知的内容进行修改（包括但不限于指令发送人员的名单的修改，及/或权限的修改），应当至少提前1个工作日通知基金托管人；修改授权通知的文件应由基金管理人加盖公章并由法定代表人或其授权签字人签署，若由授权签字人签署，还应附上法定代表人的授权书。基金管理人对授权通知的修改应当以传真的形式发送给基金托管人，同时电话通知基金托管人。基金管理人对授权通知的内容的修改自基金托管人电话确认后于通知载明的生效时间起生效。通知载明的生效时间不得早于电话确认时间，如早于电话确认时间的，授权通知自基金托管人电话确认后生效。基金管理人此后将对授权通知修改的文件原件邮寄基金托管人。</w:t>
      </w:r>
    </w:p>
    <w:p w:rsidR="004048CB">
      <w:pPr>
        <w:pStyle w:val="BodyTextIndent"/>
        <w:spacing w:before="100" w:beforeAutospacing="1" w:after="100" w:afterAutospacing="1"/>
        <w:ind w:firstLine="403"/>
        <w:rPr>
          <w:rFonts w:ascii="宋体" w:eastAsia="宋体"/>
          <w:color w:val="auto"/>
          <w:sz w:val="21"/>
          <w:szCs w:val="21"/>
        </w:rPr>
      </w:pPr>
    </w:p>
    <w:p w:rsidR="004048CB">
      <w:pPr>
        <w:pStyle w:val="11"/>
        <w:spacing w:before="100" w:beforeAutospacing="1" w:after="100" w:afterAutospacing="1" w:line="400" w:lineRule="exact"/>
        <w:ind w:firstLine="422"/>
        <w:rPr>
          <w:rFonts w:ascii="宋体" w:hAnsi="宋体"/>
          <w:sz w:val="21"/>
          <w:szCs w:val="21"/>
        </w:rPr>
      </w:pPr>
      <w:bookmarkStart w:id="7" w:name="_Toc116900101"/>
      <w:r>
        <w:rPr>
          <w:rFonts w:ascii="宋体" w:hAnsi="宋体" w:hint="eastAsia"/>
          <w:sz w:val="21"/>
          <w:szCs w:val="21"/>
          <w:highlight w:val="white"/>
        </w:rPr>
        <w:t>七、交易及清算交收安排</w:t>
      </w:r>
      <w:bookmarkEnd w:id="7"/>
    </w:p>
    <w:p w:rsidR="004048CB">
      <w:pPr>
        <w:spacing w:line="400" w:lineRule="atLeast"/>
        <w:ind w:firstLine="403"/>
      </w:pPr>
      <w:r>
        <w:rPr>
          <w:rFonts w:ascii="宋体" w:hAnsi="宋体" w:cs="宋体"/>
          <w:color w:val="000000"/>
          <w:highlight w:val="white"/>
        </w:rPr>
        <w:t>（一）基金管理人负责选择代理本基金证券、期货买卖的证券、期货经纪机构</w:t>
      </w:r>
    </w:p>
    <w:p w:rsidR="004048CB">
      <w:pPr>
        <w:spacing w:line="400" w:lineRule="atLeast"/>
        <w:ind w:firstLine="403"/>
      </w:pPr>
      <w:r>
        <w:rPr>
          <w:rFonts w:ascii="宋体" w:hAnsi="宋体" w:cs="宋体"/>
          <w:color w:val="000000"/>
          <w:highlight w:val="white"/>
        </w:rPr>
        <w:t>基金管理人负责选择代理本基金证券买卖的证券经纪机构。由基金管理人、基金托管人和证券经纪机构就基金参与证券交易的具体事项另行签订协议，明确三方在本基金进行证券买卖中的各类证券交易、证券交收及相关资金交收过程中的职责和义务。因相关法律法规或交易规则的修改带来的变化以届时有效的法律法规和相关交易规则为准。</w:t>
      </w:r>
    </w:p>
    <w:p w:rsidR="004048CB">
      <w:pPr>
        <w:spacing w:line="400" w:lineRule="atLeast"/>
        <w:ind w:firstLine="403"/>
      </w:pPr>
      <w:r>
        <w:rPr>
          <w:rFonts w:ascii="宋体" w:hAnsi="宋体" w:cs="宋体"/>
          <w:color w:val="000000"/>
          <w:highlight w:val="white"/>
        </w:rPr>
        <w:t>基金管理人负责选择代理本基金期货交易的期货经纪机构，并与其签订期货经纪合同，其他事宜根据法律法规、《基金合同》的相关规定执行。若无明确规定的，可参照有关证券买卖、证券经纪机构选择的规则执行。</w:t>
      </w:r>
    </w:p>
    <w:p w:rsidR="004048CB">
      <w:pPr>
        <w:pStyle w:val="BodyTextIndent"/>
        <w:spacing w:before="100" w:beforeAutospacing="1" w:after="100" w:afterAutospacing="1"/>
        <w:ind w:firstLine="403"/>
      </w:pPr>
      <w:r>
        <w:rPr>
          <w:rFonts w:ascii="宋体" w:eastAsia="宋体" w:hint="eastAsia"/>
          <w:color w:val="auto"/>
          <w:sz w:val="21"/>
          <w:szCs w:val="21"/>
          <w:highlight w:val="white"/>
        </w:rPr>
        <w:t>（二）基金清算交收</w:t>
      </w:r>
    </w:p>
    <w:p w:rsidR="004048CB">
      <w:pPr>
        <w:pStyle w:val="BodyTextIndent"/>
        <w:spacing w:before="100" w:beforeAutospacing="1" w:after="100" w:afterAutospacing="1"/>
        <w:ind w:firstLine="403"/>
      </w:pPr>
      <w:r>
        <w:rPr>
          <w:rFonts w:ascii="宋体" w:eastAsia="宋体" w:hint="eastAsia"/>
          <w:color w:val="auto"/>
          <w:sz w:val="21"/>
          <w:szCs w:val="21"/>
          <w:highlight w:val="white"/>
        </w:rPr>
        <w:t>1、本基金通过证券经纪机构进行的交易所场内交易由证券经纪机构作为结算参与人代理本基金进行结算，并承担由证券经纪机构原因造成的正常结算、交收业务无法完成的责任。该证券经纪机构应当具有基金产品的结算经验，有完善的技术设施配备、人员配置和管理制度，能够保障数据接收、发送的及时性和准确性。</w:t>
      </w:r>
    </w:p>
    <w:p w:rsidR="004048CB">
      <w:pPr>
        <w:pStyle w:val="BodyTextIndent"/>
        <w:spacing w:before="100" w:beforeAutospacing="1" w:after="100" w:afterAutospacing="1"/>
        <w:ind w:firstLine="403"/>
      </w:pPr>
      <w:r>
        <w:rPr>
          <w:rFonts w:ascii="宋体" w:eastAsia="宋体" w:hint="eastAsia"/>
          <w:color w:val="auto"/>
          <w:sz w:val="21"/>
          <w:szCs w:val="21"/>
          <w:highlight w:val="white"/>
        </w:rPr>
        <w:t>基金管理人、基金托管人以及被选择的证券经纪机构应根据有关法律法规及相关业务规则，签订证券经纪服务协议，用以具体明确三方在证券交易资金结算业务中的责任。证券经纪机构代理本基金财产与中登公司完成证券交易及非交易涉及的证券资金结算业务，并承担由证券经纪机构原因造成的正常结算、交收业务无法完成的责任。</w:t>
      </w:r>
    </w:p>
    <w:p w:rsidR="004048CB">
      <w:pPr>
        <w:pStyle w:val="BodyTextIndent"/>
        <w:spacing w:before="100" w:beforeAutospacing="1" w:after="100" w:afterAutospacing="1"/>
        <w:ind w:firstLine="403"/>
      </w:pPr>
      <w:r>
        <w:rPr>
          <w:rFonts w:ascii="宋体" w:eastAsia="宋体" w:hint="eastAsia"/>
          <w:color w:val="auto"/>
          <w:sz w:val="21"/>
          <w:szCs w:val="21"/>
          <w:highlight w:val="white"/>
        </w:rPr>
        <w:t>2、本基金投资于证券发生的所有场外交易的资金清算交收，由基金托管人负责办理。对基金管理人的资金划拨指令，基金托管人在表面一致性检查后应在规定期限内执行，不得不合理延误。如果因为基金管理人违反法律法规的规定进行证券投资或违反双方签订的协议造成基金投资清算困难和风险的，基金托管人发现后应及时通知基金管理人，由基金管理人负责解决，由此给基金造成的损失由基金管理人承担。场外资金对外投资划款由基金托管人凭基金管理人符合本托管协议约定的有效资金划拨指令进行资金划拨；场外投资本金及收益的划回，由基金管理人负责协调相关资金划拨回资金托管账户事宜。</w:t>
      </w:r>
    </w:p>
    <w:p w:rsidR="004048CB">
      <w:pPr>
        <w:pStyle w:val="BodyTextIndent"/>
        <w:spacing w:before="100" w:beforeAutospacing="1" w:after="100" w:afterAutospacing="1"/>
        <w:ind w:firstLine="403"/>
      </w:pPr>
      <w:r>
        <w:rPr>
          <w:rFonts w:ascii="宋体" w:eastAsia="宋体" w:hint="eastAsia"/>
          <w:color w:val="auto"/>
          <w:sz w:val="21"/>
          <w:szCs w:val="21"/>
          <w:highlight w:val="white"/>
        </w:rPr>
        <w:t>3、本基金投资于期货发生的资金交割清算由基金管理人选定的期货经纪机构负责办理，基金托管人对由于期货交易所期货保证金制度和清算交割的需要而存放在期货经纪机构的资金不行使保管职责和交收职责，基金管理人应在期货经纪协议或其它协议中约定由选定的期货经纪机构承担资金安全保管责任和交收责任。</w:t>
      </w:r>
    </w:p>
    <w:p w:rsidR="004048CB">
      <w:pPr>
        <w:pStyle w:val="BodyTextIndent"/>
        <w:spacing w:before="100" w:beforeAutospacing="1" w:after="100" w:afterAutospacing="1"/>
        <w:ind w:firstLine="403"/>
      </w:pPr>
      <w:r>
        <w:rPr>
          <w:rFonts w:ascii="宋体" w:eastAsia="宋体" w:hint="eastAsia"/>
          <w:color w:val="auto"/>
          <w:sz w:val="21"/>
          <w:szCs w:val="21"/>
          <w:highlight w:val="white"/>
        </w:rPr>
        <w:t>4、由于基金管理人或基金托管人原因导致基金资金透支、超买或超卖等情形的，由责任方承担相应的责任。</w:t>
      </w:r>
    </w:p>
    <w:p w:rsidR="004048CB">
      <w:pPr>
        <w:pStyle w:val="BodyTextIndent"/>
        <w:spacing w:before="100" w:beforeAutospacing="1" w:after="100" w:afterAutospacing="1"/>
        <w:ind w:firstLine="403"/>
      </w:pPr>
      <w:r>
        <w:rPr>
          <w:rFonts w:ascii="宋体" w:eastAsia="宋体" w:hint="eastAsia"/>
          <w:color w:val="auto"/>
          <w:sz w:val="21"/>
          <w:szCs w:val="21"/>
          <w:highlight w:val="white"/>
        </w:rPr>
        <w:t>5、基金管理人应保证基金托管人在执行其发送的划款指令时，基金银行账户或资金交收账户上有足够的头寸进行交收。基金的资金头寸不足时，基金托管人有权拒绝执行基金管理人发送的划款指令，但应及时通知管理人。基金管理人在发送指令时应充分考虑基金托管人执行指令所需的合理必要时间。对于要求当天到账的指令，应在当天15:00前发送；对于要求当天某一时点到账，则指令需提前2个工作小时发送，并保证相关付款条件已经具备。对于新股申购网下公开发行业务，基金管理人应在网下申购缴款日(T日)的前一工作日下班前将新股申购指令发送给托管人，指令发送时间最迟不应晚于T日上午10：00时。对于晚于上述时间约定发送的指令，托管人应尽力执行。如非因基金托管人原因无法按时划款，由此给基金及基金托管人造成的损失不由基金托管人承担。</w:t>
      </w:r>
    </w:p>
    <w:p w:rsidR="004048CB">
      <w:pPr>
        <w:pStyle w:val="BodyTextIndent"/>
        <w:spacing w:before="100" w:beforeAutospacing="1" w:after="100" w:afterAutospacing="1"/>
        <w:ind w:firstLine="403"/>
        <w:rPr>
          <w:rFonts w:ascii="宋体" w:eastAsia="宋体"/>
          <w:color w:val="auto"/>
          <w:sz w:val="21"/>
        </w:rPr>
      </w:pPr>
      <w:r>
        <w:rPr>
          <w:rFonts w:ascii="宋体" w:eastAsia="宋体" w:hint="eastAsia"/>
          <w:color w:val="auto"/>
          <w:sz w:val="21"/>
          <w:szCs w:val="21"/>
          <w:highlight w:val="white"/>
        </w:rPr>
        <w:t xml:space="preserve">对基金管理人的资金划拨指令，基金托管人在复核无误后应在规定期限内执行，不得不合理延误。 </w:t>
      </w:r>
    </w:p>
    <w:p w:rsidR="004048CB">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（三）资金、证券账目和交易记录核对</w:t>
      </w:r>
    </w:p>
    <w:p w:rsidR="004048CB">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基金管理人和基金托管人应对本基金的资金、证券账目、期货账目及交易记录按日进行核对，确保双方账目相符。若基金管理人与基金托管人核对不一致，双方应积极查找原因并纠正。</w:t>
      </w:r>
    </w:p>
    <w:p w:rsidR="004048CB">
      <w:pPr>
        <w:pStyle w:val="BodyTextIndent3"/>
        <w:spacing w:before="100" w:beforeAutospacing="1" w:after="100" w:afterAutospacing="1" w:line="400" w:lineRule="exact"/>
        <w:ind w:left="0" w:right="26" w:firstLine="403"/>
        <w:rPr>
          <w:rFonts w:ascii="宋体" w:eastAsia="宋体" w:hAnsi="宋体"/>
          <w:sz w:val="21"/>
          <w:szCs w:val="21"/>
        </w:rPr>
      </w:pPr>
      <w:r>
        <w:rPr>
          <w:rFonts w:ascii="宋体" w:eastAsia="宋体" w:hAnsi="宋体" w:hint="eastAsia"/>
          <w:sz w:val="21"/>
          <w:szCs w:val="21"/>
          <w:highlight w:val="white"/>
        </w:rPr>
        <w:t>（四）申购、赎回和基金转换的资金清算</w:t>
      </w:r>
    </w:p>
    <w:p w:rsidR="004048CB">
      <w:pPr>
        <w:pStyle w:val="BodyTextIndent3"/>
        <w:spacing w:before="100" w:beforeAutospacing="1" w:after="100" w:afterAutospacing="1" w:line="400" w:lineRule="exact"/>
        <w:ind w:left="0" w:right="26" w:firstLine="403"/>
        <w:rPr>
          <w:rFonts w:ascii="宋体" w:eastAsia="宋体" w:hAnsi="宋体"/>
          <w:color w:val="000000"/>
          <w:sz w:val="21"/>
          <w:szCs w:val="21"/>
        </w:rPr>
      </w:pPr>
      <w:r>
        <w:rPr>
          <w:rFonts w:ascii="宋体" w:eastAsia="宋体" w:hAnsi="宋体" w:hint="eastAsia"/>
          <w:color w:val="000000"/>
          <w:sz w:val="21"/>
          <w:szCs w:val="21"/>
          <w:highlight w:val="white"/>
        </w:rPr>
        <w:t>1、T日，投资者进行基金申购、赎回和转换申请，基金管理人和基金托管人分别计算基金资产净值，并进行核对；基金管理人将双方确认的或基金管理人决定采用的基金份额净值以基金份额净值公告的形式提供至相关信息披露媒介。</w:t>
      </w:r>
    </w:p>
    <w:p w:rsidR="004048CB">
      <w:pPr>
        <w:pStyle w:val="BodyTextIndent3"/>
        <w:spacing w:before="100" w:beforeAutospacing="1" w:after="100" w:afterAutospacing="1" w:line="400" w:lineRule="exact"/>
        <w:ind w:left="0" w:right="26" w:firstLine="403"/>
        <w:rPr>
          <w:rFonts w:ascii="宋体" w:eastAsia="宋体" w:hAnsi="宋体"/>
          <w:color w:val="000000"/>
          <w:sz w:val="21"/>
          <w:szCs w:val="21"/>
        </w:rPr>
      </w:pPr>
      <w:r>
        <w:rPr>
          <w:rFonts w:ascii="宋体" w:eastAsia="宋体" w:hAnsi="宋体" w:hint="eastAsia"/>
          <w:color w:val="000000"/>
          <w:sz w:val="21"/>
          <w:szCs w:val="21"/>
          <w:highlight w:val="white"/>
        </w:rPr>
        <w:t>2、登记机构根据T日基金份额净值计算申购份额、赎回金额及转换份额，更新基金份额持有人数据库；并将确认的申购、赎回及转换数据向基金托管人、基金管理人传送。基金管理人、基金托管人根据确认数据进行账务处理。</w:t>
      </w:r>
    </w:p>
    <w:p w:rsidR="004048CB">
      <w:pPr>
        <w:spacing w:line="400" w:lineRule="exact"/>
        <w:ind w:right="26" w:firstLine="403"/>
      </w:pPr>
      <w:r>
        <w:rPr>
          <w:rFonts w:ascii="宋体" w:hAnsi="宋体" w:cs="宋体"/>
          <w:color w:val="000000"/>
          <w:highlight w:val="white"/>
        </w:rPr>
        <w:t>3、基金托管账户与“基金清算账户”间的资金清算遵循“全额清算、净额交收”的原则，即按照托管账户当日应收资金与托管账户应付额的差额来确定托管账户净应收额或净应付额，以此确定资金交收额。当存在托管账户净应收额时，基金管理人负责将托管账户净应收额在交收日及时从“基金清算账户”划往基金托管账户；当存在托管账户净应付额时，基金托管人按基金管理人的划款指令将托管账户净应付额在交收日及时划往“基金清算账户”。在发生巨额赎回或《基金合同》载明的其他暂停赎回或延缓支付赎回款项的情形时，款项的支付办法参照《基金合同》有关条款处理。</w:t>
      </w:r>
    </w:p>
    <w:p w:rsidR="004048CB">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4</w:t>
      </w:r>
      <w:r>
        <w:rPr>
          <w:rFonts w:ascii="宋体" w:eastAsia="宋体" w:hint="eastAsia"/>
          <w:color w:val="auto"/>
          <w:sz w:val="21"/>
          <w:highlight w:val="white"/>
        </w:rPr>
        <w:t>、</w:t>
      </w:r>
      <w:r>
        <w:rPr>
          <w:rFonts w:ascii="宋体" w:eastAsia="宋体" w:hint="eastAsia"/>
          <w:color w:val="auto"/>
          <w:sz w:val="21"/>
          <w:szCs w:val="21"/>
          <w:highlight w:val="white"/>
        </w:rPr>
        <w:t>基金管理人未能按上款约定将托管账户净应收额全额、及时汇至基金托管账户，由此产生的责任应由该基金管理人承担</w:t>
      </w:r>
      <w:r>
        <w:rPr>
          <w:rFonts w:ascii="宋体" w:eastAsia="宋体" w:hint="eastAsia"/>
          <w:sz w:val="21"/>
          <w:szCs w:val="21"/>
          <w:highlight w:val="white"/>
        </w:rPr>
        <w:t>(不可抗力或基金管理人无过错的情况除外)</w:t>
      </w:r>
      <w:r>
        <w:rPr>
          <w:rFonts w:ascii="宋体" w:eastAsia="宋体" w:hint="eastAsia"/>
          <w:color w:val="auto"/>
          <w:sz w:val="21"/>
          <w:szCs w:val="21"/>
          <w:highlight w:val="white"/>
        </w:rPr>
        <w:t>；基金托管人未能按上款约定将托管账户净应付额全额、及时汇至“基金清算账户”，由此产生的责任应由基金托管人承担</w:t>
      </w:r>
      <w:r>
        <w:rPr>
          <w:rFonts w:ascii="宋体" w:eastAsia="宋体"/>
          <w:color w:val="auto"/>
          <w:sz w:val="21"/>
          <w:szCs w:val="21"/>
          <w:highlight w:val="white"/>
        </w:rPr>
        <w:t>(不可抗力或基金托管人无过错的情况除外)</w:t>
      </w:r>
      <w:r>
        <w:rPr>
          <w:rFonts w:ascii="宋体" w:eastAsia="宋体" w:hint="eastAsia"/>
          <w:color w:val="auto"/>
          <w:sz w:val="21"/>
          <w:szCs w:val="21"/>
          <w:highlight w:val="white"/>
        </w:rPr>
        <w:t>。</w:t>
      </w:r>
    </w:p>
    <w:p w:rsidR="004048CB">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5、基金管理人应将每个开放日的申购、赎回、转换开放式基金的数据传送给基金托管人。基金管理人应对传递的申购、赎回、转换开放式基金的数据真实性负责。基金托管人应及时查收申购资金的到账情况并根据基金管理人指令及时划付赎回款项。</w:t>
      </w:r>
    </w:p>
    <w:p w:rsidR="004048CB">
      <w:pPr>
        <w:pStyle w:val="BodyTextIndent"/>
        <w:spacing w:before="100" w:beforeAutospacing="1" w:after="100" w:afterAutospacing="1"/>
        <w:ind w:firstLine="403"/>
        <w:rPr>
          <w:rFonts w:ascii="宋体" w:eastAsia="宋体"/>
          <w:sz w:val="21"/>
          <w:szCs w:val="21"/>
        </w:rPr>
      </w:pPr>
      <w:r>
        <w:rPr>
          <w:rFonts w:ascii="宋体" w:eastAsia="宋体" w:hint="eastAsia"/>
          <w:sz w:val="21"/>
          <w:szCs w:val="21"/>
          <w:highlight w:val="white"/>
        </w:rPr>
        <w:t>（五）港股通交易</w:t>
      </w:r>
    </w:p>
    <w:p w:rsidR="004048CB">
      <w:pPr>
        <w:pStyle w:val="BodyTextIndent"/>
        <w:spacing w:before="100" w:beforeAutospacing="1" w:after="100" w:afterAutospacing="1"/>
        <w:ind w:firstLine="403"/>
      </w:pPr>
      <w:r>
        <w:rPr>
          <w:rFonts w:ascii="宋体" w:eastAsia="宋体" w:hint="eastAsia"/>
          <w:sz w:val="21"/>
          <w:szCs w:val="21"/>
          <w:highlight w:val="white"/>
        </w:rPr>
        <w:t>本基金的港股通交易应遵守相关法律法规及业务规则，股票投资比例合计应当符合法律法规和基金合同的约定，并充分揭示风险。</w:t>
      </w:r>
    </w:p>
    <w:p w:rsidR="004048CB">
      <w:pPr>
        <w:pStyle w:val="BodyTextIndent"/>
        <w:spacing w:before="100" w:beforeAutospacing="1" w:after="100" w:afterAutospacing="1"/>
        <w:ind w:firstLine="403"/>
      </w:pPr>
      <w:r>
        <w:rPr>
          <w:rFonts w:ascii="宋体" w:eastAsia="宋体" w:hint="eastAsia"/>
          <w:sz w:val="21"/>
          <w:szCs w:val="21"/>
          <w:highlight w:val="white"/>
        </w:rPr>
        <w:t>1、 基金管理人声明和承诺</w:t>
      </w:r>
    </w:p>
    <w:p w:rsidR="004048CB">
      <w:pPr>
        <w:pStyle w:val="BodyTextIndent"/>
        <w:spacing w:before="100" w:beforeAutospacing="1" w:after="100" w:afterAutospacing="1"/>
        <w:ind w:firstLine="403"/>
      </w:pPr>
      <w:r>
        <w:rPr>
          <w:rFonts w:ascii="宋体" w:eastAsia="宋体" w:hint="eastAsia"/>
          <w:sz w:val="21"/>
          <w:szCs w:val="21"/>
          <w:highlight w:val="white"/>
        </w:rPr>
        <w:t>（1）基金管理人承诺其是依照中国内地法律设立且有效存续的法人机构，具备从事港股通业务的资质；</w:t>
      </w:r>
    </w:p>
    <w:p w:rsidR="004048CB">
      <w:pPr>
        <w:pStyle w:val="BodyTextIndent"/>
        <w:spacing w:before="100" w:beforeAutospacing="1" w:after="100" w:afterAutospacing="1"/>
        <w:ind w:firstLine="403"/>
      </w:pPr>
      <w:r>
        <w:rPr>
          <w:rFonts w:ascii="宋体" w:eastAsia="宋体" w:hint="eastAsia"/>
          <w:sz w:val="21"/>
          <w:szCs w:val="21"/>
          <w:highlight w:val="white"/>
        </w:rPr>
        <w:t>（2）基金管理人承诺托管资产具有合法的港股通交易资格，不存在相关法律、行政法规、部门规章、规范性文件以及业务规则等规定的禁止、限制或不适于参与港股通交易的情形；</w:t>
      </w:r>
    </w:p>
    <w:p w:rsidR="004048CB">
      <w:pPr>
        <w:pStyle w:val="BodyTextIndent"/>
        <w:spacing w:before="100" w:beforeAutospacing="1" w:after="100" w:afterAutospacing="1"/>
        <w:ind w:firstLine="403"/>
      </w:pPr>
      <w:r>
        <w:rPr>
          <w:rFonts w:ascii="宋体" w:eastAsia="宋体" w:hint="eastAsia"/>
          <w:sz w:val="21"/>
          <w:szCs w:val="21"/>
          <w:highlight w:val="white"/>
        </w:rPr>
        <w:t xml:space="preserve">（3）基金管理人保证其提供的所有证件、资料均真实、准确、完整、合法、有效，且用于港股通交易的资金来源合法，并保证遵守国家反洗钱的相关规定； </w:t>
      </w:r>
    </w:p>
    <w:p w:rsidR="004048CB">
      <w:pPr>
        <w:pStyle w:val="BodyTextIndent"/>
        <w:spacing w:before="100" w:beforeAutospacing="1" w:after="100" w:afterAutospacing="1"/>
        <w:ind w:firstLine="403"/>
      </w:pPr>
      <w:r>
        <w:rPr>
          <w:rFonts w:ascii="宋体" w:eastAsia="宋体" w:hint="eastAsia"/>
          <w:sz w:val="21"/>
          <w:szCs w:val="21"/>
          <w:highlight w:val="white"/>
        </w:rPr>
        <w:t>（4）基金管理人承诺遵守港股通交易的中国内地与香港地区法律、行政法规、部门规章、规范性文件、业务规则等相关规定，并承诺按照基金托管人的相关业务流程办理业务；基金管理人应准确理解港股通交易的业务规则，包括</w:t>
      </w:r>
      <w:r w:rsidR="000A2678">
        <w:rPr>
          <w:rFonts w:ascii="宋体" w:eastAsia="宋体" w:hint="eastAsia"/>
          <w:sz w:val="21"/>
          <w:szCs w:val="21"/>
          <w:highlight w:val="white"/>
        </w:rPr>
        <w:t>但</w:t>
      </w:r>
      <w:bookmarkStart w:id="8" w:name="_GoBack"/>
      <w:bookmarkEnd w:id="8"/>
      <w:r>
        <w:rPr>
          <w:rFonts w:ascii="宋体" w:eastAsia="宋体" w:hint="eastAsia"/>
          <w:sz w:val="21"/>
          <w:szCs w:val="21"/>
          <w:highlight w:val="white"/>
        </w:rPr>
        <w:t>不限于交收规则、投资额度、汇兑安排、交易日、风险管理要求、延迟交收等，由于基金管理人对港股通业务规则理解错误而导致的交收失败及其他损害基金份额持有人合法权益的行为，基金管理人自行承担全部赔偿责任，基金托管人不承担任何责任；</w:t>
      </w:r>
    </w:p>
    <w:p w:rsidR="004048CB">
      <w:pPr>
        <w:pStyle w:val="BodyTextIndent"/>
        <w:spacing w:before="100" w:beforeAutospacing="1" w:after="100" w:afterAutospacing="1"/>
        <w:ind w:firstLine="403"/>
      </w:pPr>
      <w:r>
        <w:rPr>
          <w:rFonts w:ascii="宋体" w:eastAsia="宋体" w:hint="eastAsia"/>
          <w:sz w:val="21"/>
          <w:szCs w:val="21"/>
          <w:highlight w:val="white"/>
        </w:rPr>
        <w:t>（5）基金管理人承诺，同意由中国证券登记结算有限责任公司（以下简称“中国结算”）以自己的名义持有通过港股通取得的证券；基金管理人已清楚认识并愿意承担从事港股通交易的相关风险，特别是其中有关基金托管人的免责条款。</w:t>
      </w:r>
    </w:p>
    <w:p w:rsidR="004048CB">
      <w:pPr>
        <w:pStyle w:val="BodyTextIndent"/>
        <w:spacing w:before="100" w:beforeAutospacing="1" w:after="100" w:afterAutospacing="1"/>
        <w:ind w:firstLine="403"/>
      </w:pPr>
      <w:r>
        <w:rPr>
          <w:rFonts w:ascii="宋体" w:eastAsia="宋体" w:hint="eastAsia"/>
          <w:sz w:val="21"/>
          <w:szCs w:val="21"/>
          <w:highlight w:val="white"/>
        </w:rPr>
        <w:t>2、账户开立</w:t>
      </w:r>
    </w:p>
    <w:p w:rsidR="004048CB">
      <w:pPr>
        <w:pStyle w:val="BodyTextIndent"/>
        <w:spacing w:before="100" w:beforeAutospacing="1" w:after="100" w:afterAutospacing="1"/>
        <w:ind w:firstLine="403"/>
      </w:pPr>
      <w:r>
        <w:rPr>
          <w:rFonts w:ascii="宋体" w:eastAsia="宋体" w:hint="eastAsia"/>
          <w:sz w:val="21"/>
          <w:szCs w:val="21"/>
          <w:highlight w:val="white"/>
        </w:rPr>
        <w:t>基金管理人在参与港股通交易前，应先依照法律法规、相关业务规则委托基金托管人代为在中国结算开立人民币普通股票（A股）证券账户用于证券交易等。基金管理人已经开立人民币普通股票（A股）证券账户，可使用上述现有账户进行港股通交易。</w:t>
      </w:r>
    </w:p>
    <w:p w:rsidR="004048CB">
      <w:pPr>
        <w:pStyle w:val="BodyTextIndent"/>
        <w:spacing w:before="100" w:beforeAutospacing="1" w:after="100" w:afterAutospacing="1"/>
        <w:ind w:firstLine="403"/>
      </w:pPr>
      <w:r>
        <w:rPr>
          <w:rFonts w:ascii="宋体" w:eastAsia="宋体" w:hint="eastAsia"/>
          <w:sz w:val="21"/>
          <w:szCs w:val="21"/>
          <w:highlight w:val="white"/>
        </w:rPr>
        <w:t>基金管理人通过港股通购买的证券记录在中国结算在香港中央结算有限公司（以下简称“香港结算”）开立的证券账户，并由中国结算存管。基金管理人以中国结算名义持有的证券，以香港中央结算（代理人）有限公司的名义登记于香港联合交易所有限公司上市公司的股东名册。基金管理人不能要求存入或提取纸面股票，中国证监会另有规定的除外。</w:t>
      </w:r>
    </w:p>
    <w:p w:rsidR="004048CB">
      <w:pPr>
        <w:pStyle w:val="BodyTextIndent"/>
        <w:spacing w:before="100" w:beforeAutospacing="1" w:after="100" w:afterAutospacing="1"/>
        <w:ind w:firstLine="403"/>
      </w:pPr>
      <w:r>
        <w:rPr>
          <w:rFonts w:ascii="宋体" w:eastAsia="宋体" w:hint="eastAsia"/>
          <w:sz w:val="21"/>
          <w:szCs w:val="21"/>
          <w:highlight w:val="white"/>
        </w:rPr>
        <w:t>3、港股通交易及清算交收安排</w:t>
      </w:r>
    </w:p>
    <w:p w:rsidR="004048CB">
      <w:pPr>
        <w:pStyle w:val="BodyTextIndent"/>
        <w:spacing w:before="100" w:beforeAutospacing="1" w:after="100" w:afterAutospacing="1"/>
        <w:ind w:firstLine="403"/>
        <w:rPr>
          <w:rFonts w:ascii="宋体" w:eastAsia="宋体"/>
          <w:sz w:val="21"/>
          <w:szCs w:val="21"/>
        </w:rPr>
      </w:pPr>
      <w:r>
        <w:rPr>
          <w:rFonts w:ascii="宋体" w:eastAsia="宋体" w:hint="eastAsia"/>
          <w:sz w:val="21"/>
          <w:szCs w:val="21"/>
          <w:highlight w:val="white"/>
        </w:rPr>
        <w:t>中国结算按照香港结算的业务规则，与香港结算完成港股通交易的证券和资金的交收。港股通交易的境内结算由基金管理人选定的证券经纪机构作为结算参与人与中国结算根据相关业务规则完成。</w:t>
      </w:r>
    </w:p>
    <w:p w:rsidR="004048CB">
      <w:pPr>
        <w:pStyle w:val="BodyTextIndent"/>
        <w:spacing w:before="100" w:beforeAutospacing="1" w:after="100" w:afterAutospacing="1"/>
        <w:ind w:firstLine="403"/>
      </w:pPr>
    </w:p>
    <w:p w:rsidR="004048CB">
      <w:pPr>
        <w:pStyle w:val="11"/>
        <w:spacing w:before="100" w:beforeAutospacing="1" w:after="100" w:afterAutospacing="1" w:line="400" w:lineRule="exact"/>
        <w:ind w:firstLine="422"/>
        <w:rPr>
          <w:rFonts w:ascii="宋体" w:hAnsi="宋体"/>
          <w:sz w:val="21"/>
          <w:szCs w:val="21"/>
        </w:rPr>
      </w:pPr>
      <w:bookmarkStart w:id="9" w:name="_Toc116900103"/>
      <w:r>
        <w:rPr>
          <w:rFonts w:ascii="宋体" w:hAnsi="宋体" w:hint="eastAsia"/>
          <w:sz w:val="21"/>
          <w:szCs w:val="21"/>
          <w:highlight w:val="white"/>
        </w:rPr>
        <w:t>八、基金资产净值计算和会计核算</w:t>
      </w:r>
      <w:bookmarkEnd w:id="9"/>
    </w:p>
    <w:p w:rsidR="004048CB">
      <w:pPr>
        <w:pStyle w:val="BodyTextIndent3"/>
        <w:spacing w:before="100" w:beforeAutospacing="1" w:after="100" w:afterAutospacing="1" w:line="400" w:lineRule="exact"/>
        <w:ind w:left="0" w:right="26" w:firstLine="403"/>
        <w:rPr>
          <w:rFonts w:ascii="宋体" w:eastAsia="宋体" w:hAnsi="宋体"/>
          <w:sz w:val="21"/>
          <w:szCs w:val="21"/>
        </w:rPr>
      </w:pPr>
      <w:r>
        <w:rPr>
          <w:rFonts w:ascii="宋体" w:eastAsia="宋体" w:hAnsi="宋体"/>
          <w:sz w:val="21"/>
          <w:szCs w:val="21"/>
          <w:highlight w:val="white"/>
        </w:rPr>
        <w:t>（一）基金资产净值的计算和复核</w:t>
      </w:r>
    </w:p>
    <w:p w:rsidR="004048CB">
      <w:pPr>
        <w:pStyle w:val="BodyTextIndent3"/>
        <w:spacing w:before="100" w:beforeAutospacing="1" w:after="100" w:afterAutospacing="1" w:line="400" w:lineRule="exact"/>
        <w:ind w:left="0" w:right="26" w:firstLine="403"/>
        <w:rPr>
          <w:rFonts w:ascii="宋体" w:eastAsia="宋体" w:hAnsi="宋体"/>
          <w:sz w:val="21"/>
          <w:szCs w:val="21"/>
        </w:rPr>
      </w:pPr>
      <w:r>
        <w:rPr>
          <w:rFonts w:ascii="宋体" w:eastAsia="宋体" w:hAnsi="宋体" w:hint="eastAsia"/>
          <w:sz w:val="21"/>
          <w:szCs w:val="21"/>
          <w:highlight w:val="white"/>
        </w:rPr>
        <w:t>1、基金资产净值是指基金资产总值减去负债后的价值。基金份额净值是指计算日基金资产净值除以计算日该基金份额总数后的价值。</w:t>
      </w:r>
    </w:p>
    <w:p w:rsidR="004048CB">
      <w:pPr>
        <w:spacing w:before="100" w:beforeAutospacing="1" w:after="100" w:afterAutospacing="1" w:line="400" w:lineRule="exact"/>
        <w:ind w:firstLine="420"/>
        <w:rPr>
          <w:rFonts w:ascii="宋体" w:hAnsi="宋体"/>
          <w:szCs w:val="21"/>
        </w:rPr>
      </w:pPr>
      <w:r>
        <w:rPr>
          <w:rFonts w:ascii="宋体" w:hAnsi="宋体" w:hint="eastAsia"/>
          <w:szCs w:val="21"/>
          <w:highlight w:val="white"/>
        </w:rPr>
        <w:t>2、基金管理人应每个估值日对基金财产估值</w:t>
      </w:r>
      <w:r>
        <w:rPr>
          <w:rFonts w:ascii="宋体" w:hAnsi="宋体" w:hint="eastAsia"/>
          <w:color w:val="000000"/>
          <w:szCs w:val="21"/>
          <w:highlight w:val="white"/>
        </w:rPr>
        <w:t>，但基金管理人根据法律法规或《基金合同》的规定暂停估值时除外</w:t>
      </w:r>
      <w:r>
        <w:rPr>
          <w:rFonts w:ascii="宋体" w:hAnsi="宋体" w:hint="eastAsia"/>
          <w:szCs w:val="21"/>
          <w:highlight w:val="white"/>
        </w:rPr>
        <w:t>。估值原则应符合《基金合同》、《证券投资基金会计核算业务指引》及其他法律法规的规定。用于基金信息披露的基金净值信息由基金管理人负责计算，基金托管人复核。基金管理人应于每个估值日结束后计算得出当日的该基金份额净值，并以双方约定的方式发送给基金托管人。基金托管人应对净值计算结果进行复核，并以双方约定的方式将复核结果传送给基金管理人，由基金管理人对外公布。月末、年中和年末估值复核与基金会计账目的核对同时进行。</w:t>
      </w:r>
    </w:p>
    <w:p w:rsidR="004048CB">
      <w:pPr>
        <w:pStyle w:val="BodyTextIndent3"/>
        <w:spacing w:before="100" w:beforeAutospacing="1" w:after="100" w:afterAutospacing="1" w:line="400" w:lineRule="exact"/>
        <w:ind w:left="0" w:right="26" w:firstLine="403"/>
        <w:rPr>
          <w:rFonts w:ascii="宋体" w:eastAsia="宋体" w:hAnsi="宋体"/>
          <w:sz w:val="21"/>
          <w:szCs w:val="21"/>
        </w:rPr>
      </w:pPr>
      <w:r>
        <w:rPr>
          <w:rFonts w:ascii="宋体" w:eastAsia="宋体" w:hAnsi="宋体" w:hint="eastAsia"/>
          <w:sz w:val="21"/>
          <w:szCs w:val="21"/>
          <w:highlight w:val="white"/>
        </w:rPr>
        <w:t>3、当</w:t>
      </w:r>
      <w:r>
        <w:rPr>
          <w:rFonts w:ascii="宋体" w:eastAsia="宋体" w:hAnsi="宋体" w:cs="方正仿宋简体" w:hint="eastAsia"/>
          <w:sz w:val="21"/>
          <w:szCs w:val="21"/>
          <w:highlight w:val="white"/>
        </w:rPr>
        <w:t>相关法律法规或《基金合同》规定的估值方法不能客观反映基金财产公允价值时，</w:t>
      </w:r>
      <w:r>
        <w:rPr>
          <w:rFonts w:ascii="宋体" w:eastAsia="宋体" w:hAnsi="宋体" w:hint="eastAsia"/>
          <w:sz w:val="21"/>
          <w:szCs w:val="21"/>
          <w:highlight w:val="white"/>
        </w:rPr>
        <w:t>基金管理人可根据具体情况</w:t>
      </w:r>
      <w:r>
        <w:rPr>
          <w:rFonts w:ascii="宋体" w:eastAsia="宋体" w:hAnsi="宋体"/>
          <w:sz w:val="21"/>
          <w:szCs w:val="21"/>
          <w:highlight w:val="white"/>
        </w:rPr>
        <w:t>，</w:t>
      </w:r>
      <w:r>
        <w:rPr>
          <w:rFonts w:ascii="宋体" w:eastAsia="宋体" w:hAnsi="宋体" w:hint="eastAsia"/>
          <w:sz w:val="21"/>
          <w:szCs w:val="21"/>
          <w:highlight w:val="white"/>
        </w:rPr>
        <w:t>并与基金托管人商定后</w:t>
      </w:r>
      <w:r>
        <w:rPr>
          <w:rFonts w:ascii="宋体" w:eastAsia="宋体" w:hAnsi="宋体"/>
          <w:sz w:val="21"/>
          <w:szCs w:val="21"/>
          <w:highlight w:val="white"/>
        </w:rPr>
        <w:t>，</w:t>
      </w:r>
      <w:r>
        <w:rPr>
          <w:rFonts w:ascii="宋体" w:eastAsia="宋体" w:hAnsi="宋体" w:hint="eastAsia"/>
          <w:sz w:val="21"/>
          <w:szCs w:val="21"/>
          <w:highlight w:val="white"/>
        </w:rPr>
        <w:t>按最能反映公允价值的价格估值。</w:t>
      </w:r>
    </w:p>
    <w:p w:rsidR="004048CB">
      <w:pPr>
        <w:pStyle w:val="BodyTextIndent3"/>
        <w:spacing w:before="100" w:beforeAutospacing="1" w:after="100" w:afterAutospacing="1" w:line="400" w:lineRule="exact"/>
        <w:ind w:left="0" w:right="26" w:firstLine="403"/>
        <w:rPr>
          <w:rFonts w:ascii="宋体" w:eastAsia="宋体" w:hAnsi="宋体"/>
          <w:sz w:val="21"/>
          <w:szCs w:val="21"/>
        </w:rPr>
      </w:pPr>
      <w:r>
        <w:rPr>
          <w:rFonts w:ascii="宋体" w:eastAsia="宋体" w:hAnsi="宋体" w:cs="方正仿宋简体" w:hint="eastAsia"/>
          <w:sz w:val="21"/>
          <w:szCs w:val="21"/>
          <w:highlight w:val="white"/>
        </w:rPr>
        <w:t>本基金实施侧袋机制的，应根据本部分的约定对主袋账户资产进行估值并披露主袋账户的基金资产净值和份额净值，暂停披露侧袋账户份额净值。</w:t>
      </w:r>
    </w:p>
    <w:p w:rsidR="004048CB">
      <w:pPr>
        <w:pStyle w:val="BodyTextIndent3"/>
        <w:spacing w:before="100" w:beforeAutospacing="1" w:after="100" w:afterAutospacing="1" w:line="400" w:lineRule="exact"/>
        <w:ind w:left="0" w:right="26" w:firstLine="403"/>
        <w:rPr>
          <w:rFonts w:ascii="宋体" w:eastAsia="宋体" w:hAnsi="宋体" w:cs="方正仿宋简体"/>
          <w:sz w:val="21"/>
          <w:szCs w:val="21"/>
        </w:rPr>
      </w:pPr>
      <w:r>
        <w:rPr>
          <w:rFonts w:ascii="宋体" w:eastAsia="宋体" w:hAnsi="宋体" w:hint="eastAsia"/>
          <w:sz w:val="21"/>
          <w:szCs w:val="21"/>
          <w:highlight w:val="white"/>
        </w:rPr>
        <w:t>4、</w:t>
      </w:r>
      <w:r>
        <w:rPr>
          <w:rFonts w:ascii="宋体" w:eastAsia="宋体" w:hAnsi="宋体" w:cs="方正仿宋简体" w:hint="eastAsia"/>
          <w:sz w:val="21"/>
          <w:szCs w:val="21"/>
          <w:highlight w:val="white"/>
        </w:rPr>
        <w:t>基金管理人、基金托管人发现基金估值违反《基金合同》订明的估值方法、程序以及相关法律法规的规定或者未能充分维护基金份额持有人利益时，双方应及时进行协商和纠正。</w:t>
      </w:r>
    </w:p>
    <w:p w:rsidR="004048CB">
      <w:pPr>
        <w:spacing w:before="100" w:beforeAutospacing="1" w:after="100" w:afterAutospacing="1" w:line="400" w:lineRule="exact"/>
        <w:ind w:firstLine="420"/>
        <w:rPr>
          <w:rFonts w:ascii="宋体" w:hAnsi="宋体"/>
          <w:szCs w:val="21"/>
        </w:rPr>
      </w:pPr>
      <w:r>
        <w:rPr>
          <w:rFonts w:ascii="宋体" w:hAnsi="宋体" w:cs="方正仿宋简体" w:hint="eastAsia"/>
          <w:szCs w:val="21"/>
          <w:highlight w:val="white"/>
        </w:rPr>
        <w:t>5、</w:t>
      </w:r>
      <w:r>
        <w:rPr>
          <w:rFonts w:ascii="宋体" w:hAnsi="宋体" w:hint="eastAsia"/>
          <w:szCs w:val="21"/>
          <w:highlight w:val="white"/>
        </w:rPr>
        <w:t>当基金资产的估值导致基金份额净值小数点后四位以内（含第四位）发生差错时，视为基金份额净值估值错误。当基金份额净值出现错误时，基金管理人应当立即予以纠正，并采取合理的措施防止损失进一步扩大；当计价错误达到基金份额净值的</w:t>
      </w:r>
      <w:r>
        <w:rPr>
          <w:rFonts w:ascii="宋体" w:hAnsi="宋体"/>
          <w:szCs w:val="21"/>
          <w:highlight w:val="white"/>
        </w:rPr>
        <w:t>0.</w:t>
      </w:r>
      <w:r>
        <w:rPr>
          <w:rFonts w:ascii="宋体" w:hAnsi="宋体" w:hint="eastAsia"/>
          <w:szCs w:val="21"/>
          <w:highlight w:val="white"/>
        </w:rPr>
        <w:t>2</w:t>
      </w:r>
      <w:r>
        <w:rPr>
          <w:rFonts w:ascii="宋体" w:hAnsi="宋体"/>
          <w:szCs w:val="21"/>
          <w:highlight w:val="white"/>
        </w:rPr>
        <w:t>5%</w:t>
      </w:r>
      <w:r>
        <w:rPr>
          <w:rFonts w:ascii="宋体" w:hAnsi="宋体" w:hint="eastAsia"/>
          <w:szCs w:val="21"/>
          <w:highlight w:val="white"/>
        </w:rPr>
        <w:t>时，基金管理人应当通知基金托管人并报中国证监会备案；当计价错误达到基金份额净值的</w:t>
      </w:r>
      <w:r>
        <w:rPr>
          <w:rFonts w:ascii="宋体" w:hAnsi="宋体"/>
          <w:szCs w:val="21"/>
          <w:highlight w:val="white"/>
        </w:rPr>
        <w:t>0.5%</w:t>
      </w:r>
      <w:r>
        <w:rPr>
          <w:rFonts w:ascii="宋体" w:hAnsi="宋体" w:hint="eastAsia"/>
          <w:szCs w:val="21"/>
          <w:highlight w:val="white"/>
        </w:rPr>
        <w:t>时，基金管理人应当通知基金托管人，在报中国证监会备案的同时及时进行公告。</w:t>
      </w:r>
      <w:r>
        <w:rPr>
          <w:rFonts w:ascii="宋体" w:hAnsi="宋体"/>
          <w:szCs w:val="21"/>
          <w:highlight w:val="white"/>
        </w:rPr>
        <w:t>如法律法规或监管机关</w:t>
      </w:r>
      <w:r>
        <w:rPr>
          <w:rFonts w:ascii="宋体" w:hAnsi="宋体" w:hint="eastAsia"/>
          <w:szCs w:val="21"/>
          <w:highlight w:val="white"/>
        </w:rPr>
        <w:t>对</w:t>
      </w:r>
      <w:r>
        <w:rPr>
          <w:rFonts w:ascii="宋体" w:hAnsi="宋体"/>
          <w:szCs w:val="21"/>
          <w:highlight w:val="white"/>
        </w:rPr>
        <w:t>前述内容另有规定的，按其规定处理。</w:t>
      </w:r>
    </w:p>
    <w:p w:rsidR="004048CB">
      <w:pPr>
        <w:pStyle w:val="BodyTextIndent3"/>
        <w:spacing w:before="100" w:beforeAutospacing="1" w:after="100" w:afterAutospacing="1" w:line="400" w:lineRule="exact"/>
        <w:ind w:left="0" w:right="26" w:firstLine="403"/>
        <w:rPr>
          <w:rFonts w:ascii="宋体" w:eastAsia="宋体" w:hAnsi="宋体" w:cs="方正仿宋简体"/>
          <w:sz w:val="21"/>
          <w:szCs w:val="21"/>
        </w:rPr>
      </w:pPr>
      <w:r>
        <w:rPr>
          <w:rFonts w:ascii="宋体" w:eastAsia="宋体" w:hAnsi="宋体" w:cs="方正仿宋简体" w:hint="eastAsia"/>
          <w:sz w:val="21"/>
          <w:szCs w:val="21"/>
          <w:highlight w:val="white"/>
        </w:rPr>
        <w:t>6、</w:t>
      </w:r>
      <w:r>
        <w:rPr>
          <w:rFonts w:ascii="宋体" w:eastAsia="宋体" w:hAnsi="宋体"/>
          <w:sz w:val="21"/>
          <w:szCs w:val="21"/>
          <w:highlight w:val="white"/>
        </w:rPr>
        <w:t>由于基金管理人对外公布的任何基金净值数据错误，导致该基金财产或基金份额持有人的实际损失，基金管理人应对此承担责任。若基金托管人计算的净值数据正确，则基金托管人对该损失不承担责任；若基金托管人计算的净值数据也不正确，则基金托管人也应承担未正确履行复核义务的责任。如果上述错误造成了基金财产或基金份额持有人的不当得利，且基金管理人及基金托管人已各自承担了赔偿责任，则基金管理人应负责向不当得利之主体主张返还不当得利。如果返还金额不足以弥补基金管理人和基金托管人已承担的赔偿金额，则双方按照各自赔偿金额的比例对返还金额进行分配。基金管理人应确保基金份额数据的真实性、准确性，对于因基金管理人提供的基金份额数据错误导致基金净值计算错误的，基金托管人不承担责任。</w:t>
      </w:r>
    </w:p>
    <w:p w:rsidR="004048CB">
      <w:pPr>
        <w:pStyle w:val="BodyTextIndent3"/>
        <w:spacing w:before="100" w:beforeAutospacing="1" w:after="100" w:afterAutospacing="1" w:line="400" w:lineRule="exact"/>
        <w:ind w:left="0" w:right="26" w:firstLine="403"/>
        <w:rPr>
          <w:rFonts w:ascii="宋体" w:eastAsia="宋体" w:hAnsi="宋体"/>
          <w:sz w:val="21"/>
          <w:szCs w:val="21"/>
        </w:rPr>
      </w:pPr>
      <w:r>
        <w:rPr>
          <w:rFonts w:ascii="宋体" w:eastAsia="宋体" w:hAnsi="宋体" w:hint="eastAsia"/>
          <w:sz w:val="21"/>
          <w:szCs w:val="21"/>
          <w:highlight w:val="white"/>
        </w:rPr>
        <w:t>7、由于不可抗力，或证券交易所、登记结算机构及存款银行等第三方机构发送的数据错误，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rsidR="004048CB">
      <w:pPr>
        <w:pStyle w:val="BodyTextIndent3"/>
        <w:spacing w:before="100" w:beforeAutospacing="1" w:after="100" w:afterAutospacing="1" w:line="400" w:lineRule="exact"/>
        <w:ind w:left="0" w:right="26" w:firstLine="403"/>
        <w:rPr>
          <w:rFonts w:ascii="宋体" w:eastAsia="宋体" w:hAnsi="宋体"/>
          <w:sz w:val="21"/>
          <w:szCs w:val="21"/>
        </w:rPr>
      </w:pPr>
      <w:r>
        <w:rPr>
          <w:rFonts w:ascii="宋体" w:eastAsia="宋体" w:hAnsi="宋体" w:hint="eastAsia"/>
          <w:sz w:val="21"/>
          <w:szCs w:val="21"/>
          <w:highlight w:val="white"/>
        </w:rPr>
        <w:t>8、如果基金托管人的复核结果与基金管理人的计算结果存在差异，且双方经协商未能达成一致，基金管理人可以按照其对基金份额净值的计算结果对外予以公布，基金托管人可以将相关情况报中国证监会备案。</w:t>
      </w:r>
    </w:p>
    <w:p w:rsidR="004048CB">
      <w:pPr>
        <w:pStyle w:val="BodyTextIndent3"/>
        <w:spacing w:before="100" w:beforeAutospacing="1" w:after="100" w:afterAutospacing="1" w:line="400" w:lineRule="exact"/>
        <w:ind w:left="0" w:right="26" w:firstLine="403"/>
        <w:rPr>
          <w:rFonts w:ascii="宋体" w:eastAsia="宋体" w:hAnsi="宋体"/>
          <w:sz w:val="21"/>
          <w:szCs w:val="21"/>
        </w:rPr>
      </w:pPr>
      <w:r>
        <w:rPr>
          <w:rFonts w:ascii="宋体" w:eastAsia="宋体" w:hAnsi="宋体" w:hint="eastAsia"/>
          <w:sz w:val="21"/>
          <w:szCs w:val="21"/>
          <w:highlight w:val="white"/>
        </w:rPr>
        <w:t>（二）基金会计核算</w:t>
      </w:r>
    </w:p>
    <w:p w:rsidR="004048CB">
      <w:pPr>
        <w:pStyle w:val="BodyTextIndent3"/>
        <w:spacing w:before="100" w:beforeAutospacing="1" w:after="100" w:afterAutospacing="1" w:line="400" w:lineRule="exact"/>
        <w:ind w:left="0" w:right="26" w:firstLine="403"/>
        <w:rPr>
          <w:rFonts w:ascii="宋体" w:eastAsia="宋体" w:hAnsi="宋体"/>
          <w:sz w:val="21"/>
          <w:szCs w:val="21"/>
        </w:rPr>
      </w:pPr>
      <w:r>
        <w:rPr>
          <w:rFonts w:ascii="宋体" w:eastAsia="宋体" w:hAnsi="宋体" w:hint="eastAsia"/>
          <w:sz w:val="21"/>
          <w:szCs w:val="21"/>
          <w:highlight w:val="white"/>
        </w:rPr>
        <w:t>1、基金账册的建立</w:t>
      </w:r>
    </w:p>
    <w:p w:rsidR="004048CB">
      <w:pPr>
        <w:pStyle w:val="BodyTextIndent3"/>
        <w:spacing w:before="100" w:beforeAutospacing="1" w:after="100" w:afterAutospacing="1" w:line="400" w:lineRule="exact"/>
        <w:ind w:left="0" w:right="26" w:firstLine="403"/>
        <w:rPr>
          <w:rFonts w:ascii="宋体" w:eastAsia="宋体" w:hAnsi="宋体"/>
          <w:sz w:val="21"/>
          <w:szCs w:val="21"/>
        </w:rPr>
      </w:pPr>
      <w:r>
        <w:rPr>
          <w:rFonts w:ascii="宋体" w:eastAsia="宋体" w:hAnsi="宋体" w:hint="eastAsia"/>
          <w:sz w:val="21"/>
          <w:szCs w:val="21"/>
          <w:highlight w:val="white"/>
        </w:rPr>
        <w:t>基金管理人和基金托管人在《基金合同》生效后，应按照双方约定的同一记账方法和会计处理原则，分别独立地设置、登记和保管基金的全套账册，对双方各自的账册定期进行核对，互相监督，以保证基金财产的安全。若双方对会计处理方法存在分歧，应以基金管理人的处理方法为准。</w:t>
      </w:r>
    </w:p>
    <w:p w:rsidR="004048CB">
      <w:pPr>
        <w:pStyle w:val="BodyTextIndent3"/>
        <w:spacing w:before="100" w:beforeAutospacing="1" w:after="100" w:afterAutospacing="1" w:line="400" w:lineRule="exact"/>
        <w:ind w:left="0" w:right="26" w:firstLine="403"/>
        <w:rPr>
          <w:rFonts w:ascii="宋体" w:eastAsia="宋体" w:hAnsi="宋体"/>
          <w:sz w:val="21"/>
          <w:szCs w:val="21"/>
        </w:rPr>
      </w:pPr>
      <w:r>
        <w:rPr>
          <w:rFonts w:ascii="宋体" w:eastAsia="宋体" w:hAnsi="宋体" w:hint="eastAsia"/>
          <w:sz w:val="21"/>
          <w:szCs w:val="21"/>
          <w:highlight w:val="white"/>
        </w:rPr>
        <w:t>2、会计数据和财务指标的核对</w:t>
      </w:r>
    </w:p>
    <w:p w:rsidR="004048CB">
      <w:pPr>
        <w:pStyle w:val="BodyTextIndent3"/>
        <w:spacing w:before="100" w:beforeAutospacing="1" w:after="100" w:afterAutospacing="1" w:line="400" w:lineRule="exact"/>
        <w:ind w:left="0" w:right="26" w:firstLine="403"/>
        <w:rPr>
          <w:rFonts w:ascii="宋体" w:eastAsia="宋体" w:hAnsi="宋体"/>
          <w:sz w:val="21"/>
          <w:szCs w:val="21"/>
        </w:rPr>
      </w:pPr>
      <w:r>
        <w:rPr>
          <w:rFonts w:ascii="宋体" w:eastAsia="宋体" w:hAnsi="宋体" w:hint="eastAsia"/>
          <w:sz w:val="21"/>
          <w:szCs w:val="21"/>
          <w:highlight w:val="white"/>
        </w:rPr>
        <w:t>基金管理人和基金托管人应定期就会计数据和财务指标进行核对。如发现存在不符，双方应及时查明原因并纠正。</w:t>
      </w:r>
    </w:p>
    <w:p w:rsidR="004048CB">
      <w:pPr>
        <w:pStyle w:val="BodyTextIndent3"/>
        <w:spacing w:before="100" w:beforeAutospacing="1" w:after="100" w:afterAutospacing="1" w:line="400" w:lineRule="exact"/>
        <w:ind w:left="0" w:right="26" w:firstLine="403"/>
        <w:rPr>
          <w:rFonts w:ascii="宋体" w:eastAsia="宋体" w:hAnsi="宋体"/>
          <w:sz w:val="21"/>
          <w:szCs w:val="21"/>
        </w:rPr>
      </w:pPr>
      <w:r>
        <w:rPr>
          <w:rFonts w:ascii="宋体" w:eastAsia="宋体" w:hAnsi="宋体" w:hint="eastAsia"/>
          <w:sz w:val="21"/>
          <w:szCs w:val="21"/>
          <w:highlight w:val="white"/>
        </w:rPr>
        <w:t>3、基金财务报表和定期报告的编制和复核</w:t>
      </w:r>
    </w:p>
    <w:p w:rsidR="004048CB">
      <w:pPr>
        <w:pStyle w:val="BodyTextIndent3"/>
        <w:spacing w:before="100" w:beforeAutospacing="1" w:after="100" w:afterAutospacing="1" w:line="400" w:lineRule="exact"/>
        <w:ind w:left="0" w:right="26" w:firstLine="403"/>
        <w:rPr>
          <w:rFonts w:ascii="宋体" w:eastAsia="宋体" w:hAnsi="宋体"/>
          <w:sz w:val="21"/>
          <w:szCs w:val="21"/>
        </w:rPr>
      </w:pPr>
      <w:r>
        <w:rPr>
          <w:rFonts w:ascii="宋体" w:eastAsia="宋体" w:hAnsi="宋体" w:hint="eastAsia"/>
          <w:sz w:val="21"/>
          <w:szCs w:val="21"/>
          <w:highlight w:val="white"/>
        </w:rPr>
        <w:t>基金财务报表由基金管理人和基金托管人每月分别独立编制。月度报表的编制，应于每月终了后</w:t>
      </w:r>
      <w:r>
        <w:rPr>
          <w:rFonts w:ascii="宋体" w:eastAsia="宋体" w:hAnsi="宋体"/>
          <w:sz w:val="21"/>
          <w:szCs w:val="21"/>
          <w:highlight w:val="white"/>
        </w:rPr>
        <w:t>5个工作日内完成；《基金合同》生效后，招募说明书的信息发生重大变更的，基金管理人应当在三个工作日内，更新招募说明书并登载在规定网站上。招募说明书其他信息发生变更的，基金管理人至少每年更新一次；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招募说明书和基金产品资料概要。基金管理人应当在每年结束之日起三个月内，编制完成基金年度报告，将年度报告登载在规定网站上，并将年度报告提示性公告登载在规定报刊上。基金管理人应当在上半年结束之日起两个月内，编制完成基金中期报告，将中期报告登载在规定网站上，并将中期报告提示性公告登载在规定报刊上。基金管理人应当在季度结束之日起15个工作日内，编制完成基金季度报告，将季度报告登载在规定网站上，并将季度报告提示性公告登载在规定报刊上。</w:t>
      </w:r>
      <w:r>
        <w:rPr>
          <w:rFonts w:ascii="宋体" w:eastAsia="宋体" w:hAnsi="宋体" w:hint="eastAsia"/>
          <w:color w:val="000000"/>
          <w:sz w:val="21"/>
          <w:szCs w:val="21"/>
          <w:highlight w:val="white"/>
        </w:rPr>
        <w:t>基金合同生效不足两个月的，基金管理人可以不编制当期季度报告、中期报告或者年度报告。</w:t>
      </w:r>
    </w:p>
    <w:p w:rsidR="004048CB">
      <w:pPr>
        <w:pStyle w:val="BodyTextIndent3"/>
        <w:spacing w:before="100" w:beforeAutospacing="1" w:after="100" w:afterAutospacing="1" w:line="400" w:lineRule="exact"/>
        <w:ind w:left="0" w:right="26" w:firstLine="403"/>
        <w:rPr>
          <w:rFonts w:ascii="宋体" w:eastAsia="宋体" w:hAnsi="宋体"/>
          <w:sz w:val="21"/>
          <w:szCs w:val="21"/>
        </w:rPr>
      </w:pPr>
      <w:r>
        <w:rPr>
          <w:rFonts w:ascii="宋体" w:eastAsia="宋体" w:hAnsi="宋体" w:hint="eastAsia"/>
          <w:sz w:val="21"/>
          <w:szCs w:val="21"/>
          <w:highlight w:val="white"/>
        </w:rPr>
        <w:t>基金托管人在复核过程中，发现双方的报表存在不符时，基金管理人和基金托管人应共同查明原因，进行调整，调整以双方认可的账务处理方式为准；若双方无法达成一致以基金管理人的账务处理为准。核对无误后，基金托管人在基金管理人提供的报告上加盖托管业务部门公章或者出具加盖托管业务部门公章的复核意见书或进行电子确认，双方各自留存一份。如果基金管理人与基金托管人不能于应当发布公告之日之前就相关报表达成一致，基金管理人有权按照其编制的报表对外发布公告，基金托管人有权就相关情况报证监会备案。</w:t>
      </w:r>
    </w:p>
    <w:p w:rsidR="004048CB">
      <w:pPr>
        <w:pStyle w:val="BodyTextIndent3"/>
        <w:spacing w:before="100" w:beforeAutospacing="1" w:after="100" w:afterAutospacing="1" w:line="400" w:lineRule="exact"/>
        <w:ind w:left="0" w:right="26" w:firstLine="403"/>
        <w:rPr>
          <w:rFonts w:ascii="宋体" w:eastAsia="宋体" w:hAnsi="宋体"/>
          <w:sz w:val="21"/>
          <w:szCs w:val="21"/>
        </w:rPr>
      </w:pPr>
    </w:p>
    <w:p w:rsidR="004048CB">
      <w:pPr>
        <w:pStyle w:val="11"/>
        <w:spacing w:before="100" w:beforeAutospacing="1" w:after="100" w:afterAutospacing="1" w:line="400" w:lineRule="exact"/>
        <w:ind w:firstLine="422"/>
        <w:rPr>
          <w:rFonts w:ascii="宋体" w:hAnsi="宋体"/>
          <w:sz w:val="21"/>
          <w:szCs w:val="21"/>
        </w:rPr>
      </w:pPr>
      <w:bookmarkStart w:id="10" w:name="_Toc116900104"/>
      <w:r>
        <w:rPr>
          <w:rFonts w:ascii="宋体" w:hAnsi="宋体" w:hint="eastAsia"/>
          <w:sz w:val="21"/>
          <w:szCs w:val="21"/>
          <w:highlight w:val="white"/>
        </w:rPr>
        <w:t>九、基金收益分配</w:t>
      </w:r>
      <w:bookmarkEnd w:id="10"/>
    </w:p>
    <w:p w:rsidR="004048CB">
      <w:pPr>
        <w:pStyle w:val="BodyTextIndent3"/>
        <w:spacing w:before="100" w:beforeAutospacing="1" w:after="100" w:afterAutospacing="1" w:line="400" w:lineRule="exact"/>
        <w:ind w:left="0" w:right="26" w:firstLine="403"/>
        <w:rPr>
          <w:rFonts w:ascii="宋体" w:eastAsia="宋体" w:hAnsi="宋体"/>
          <w:sz w:val="21"/>
          <w:szCs w:val="21"/>
        </w:rPr>
      </w:pPr>
      <w:r>
        <w:rPr>
          <w:rFonts w:ascii="宋体" w:eastAsia="宋体" w:hAnsi="宋体" w:hint="eastAsia"/>
          <w:sz w:val="21"/>
          <w:szCs w:val="21"/>
          <w:highlight w:val="white"/>
        </w:rPr>
        <w:t>（一）基金收益分配的依据</w:t>
      </w:r>
    </w:p>
    <w:p w:rsidR="004048CB">
      <w:pPr>
        <w:pStyle w:val="BodyTextIndent3"/>
        <w:spacing w:before="100" w:beforeAutospacing="1" w:after="100" w:afterAutospacing="1" w:line="400" w:lineRule="exact"/>
        <w:ind w:left="0" w:right="26" w:firstLine="403"/>
        <w:rPr>
          <w:rFonts w:ascii="宋体" w:eastAsia="宋体" w:hAnsi="宋体"/>
          <w:sz w:val="21"/>
          <w:szCs w:val="21"/>
        </w:rPr>
      </w:pPr>
      <w:r>
        <w:rPr>
          <w:rFonts w:ascii="宋体" w:eastAsia="宋体" w:hAnsi="宋体" w:hint="eastAsia"/>
          <w:sz w:val="21"/>
          <w:szCs w:val="21"/>
          <w:highlight w:val="white"/>
        </w:rPr>
        <w:t>1、基金收益分配是指将该基金期末可供分配利润根据持有该基金份额的数量按比例向该基金份额持有人进行分配。期末可供分配利润采用期末资产负债表中未分配利润与未分配利润中已实现部分的孰低数。</w:t>
      </w:r>
    </w:p>
    <w:p w:rsidR="004048CB">
      <w:pPr>
        <w:pStyle w:val="BodyTextIndent3"/>
        <w:spacing w:before="100" w:beforeAutospacing="1" w:after="100" w:afterAutospacing="1" w:line="400" w:lineRule="exact"/>
        <w:ind w:left="0" w:right="26" w:firstLine="403"/>
        <w:rPr>
          <w:rFonts w:ascii="宋体" w:eastAsia="宋体" w:hAnsi="宋体"/>
          <w:sz w:val="21"/>
          <w:szCs w:val="21"/>
        </w:rPr>
      </w:pPr>
      <w:r>
        <w:rPr>
          <w:rFonts w:ascii="宋体" w:eastAsia="宋体" w:hAnsi="宋体" w:hint="eastAsia"/>
          <w:sz w:val="21"/>
          <w:szCs w:val="21"/>
          <w:highlight w:val="white"/>
        </w:rPr>
        <w:t>2、收益分配应该符合《基金合同》关于收益分配原则的规定。</w:t>
      </w:r>
    </w:p>
    <w:p w:rsidR="004048CB">
      <w:pPr>
        <w:pStyle w:val="BodyTextIndent3"/>
        <w:spacing w:before="100" w:beforeAutospacing="1" w:after="100" w:afterAutospacing="1" w:line="400" w:lineRule="exact"/>
        <w:ind w:left="0" w:right="26" w:firstLine="403"/>
        <w:rPr>
          <w:rFonts w:ascii="宋体" w:eastAsia="宋体" w:hAnsi="宋体"/>
          <w:sz w:val="21"/>
          <w:szCs w:val="21"/>
        </w:rPr>
      </w:pPr>
      <w:r>
        <w:rPr>
          <w:rFonts w:ascii="宋体" w:eastAsia="宋体" w:hAnsi="宋体" w:hint="eastAsia"/>
          <w:sz w:val="21"/>
          <w:szCs w:val="21"/>
          <w:highlight w:val="white"/>
        </w:rPr>
        <w:t>（二）基金收益分配的时间和程序</w:t>
      </w:r>
    </w:p>
    <w:p w:rsidR="004048CB">
      <w:pPr>
        <w:pStyle w:val="BodyTextIndent3"/>
        <w:spacing w:before="100" w:beforeAutospacing="1" w:after="100" w:afterAutospacing="1" w:line="400" w:lineRule="exact"/>
        <w:ind w:left="0" w:right="26" w:firstLine="403"/>
        <w:rPr>
          <w:rFonts w:ascii="宋体" w:eastAsia="宋体" w:hAnsi="宋体"/>
          <w:sz w:val="21"/>
          <w:szCs w:val="21"/>
        </w:rPr>
      </w:pPr>
      <w:r>
        <w:rPr>
          <w:rFonts w:ascii="宋体" w:eastAsia="宋体" w:hAnsi="宋体" w:hint="eastAsia"/>
          <w:sz w:val="21"/>
          <w:szCs w:val="21"/>
          <w:highlight w:val="white"/>
        </w:rPr>
        <w:t>1、基金收益分配方案由基金管理人根据《基金合同》的相关规定制定。</w:t>
      </w:r>
    </w:p>
    <w:p w:rsidR="004048CB">
      <w:pPr>
        <w:pStyle w:val="BodyTextIndent3"/>
        <w:spacing w:before="100" w:beforeAutospacing="1" w:after="100" w:afterAutospacing="1" w:line="400" w:lineRule="exact"/>
        <w:ind w:left="0" w:right="28" w:firstLine="403"/>
        <w:rPr>
          <w:rFonts w:ascii="宋体" w:eastAsia="宋体" w:hAnsi="宋体"/>
          <w:sz w:val="21"/>
          <w:szCs w:val="21"/>
        </w:rPr>
      </w:pPr>
      <w:r>
        <w:rPr>
          <w:rFonts w:ascii="宋体" w:eastAsia="宋体" w:hAnsi="宋体" w:hint="eastAsia"/>
          <w:sz w:val="21"/>
          <w:szCs w:val="21"/>
          <w:highlight w:val="white"/>
        </w:rPr>
        <w:t>2、基金管理人应于收益分配日之前将其制定的收益分配方案提交基金托管人复核，基金托管人应于收到收益分配方案后完成对收益分配方案的复核，复核通过后基金管理人应当将收益分配方案及时公告；如果基金管理人与基金托管人不能于收益分配日之前就收益分配方案达成一致，基金托管人有义务将收益分配方案及相关情况的说明提交中国证监会备案并书面通知基金管理人，在上述文件提交完毕之日起基金管理人有权利对外公告其拟订的收益分配方案，且基金托管人有义务协助基金管理人实施该收益分配方案，但有证据证明该方案违反法律法规及《基金合同》的除外。</w:t>
      </w:r>
    </w:p>
    <w:p w:rsidR="004048CB">
      <w:pPr>
        <w:pStyle w:val="BodyTextIndent3"/>
        <w:spacing w:before="100" w:beforeAutospacing="1" w:after="100" w:afterAutospacing="1" w:line="400" w:lineRule="exact"/>
        <w:ind w:left="0" w:right="28" w:firstLine="403"/>
        <w:rPr>
          <w:rFonts w:ascii="宋体" w:eastAsia="宋体" w:hAnsi="宋体"/>
          <w:sz w:val="21"/>
          <w:szCs w:val="21"/>
        </w:rPr>
      </w:pPr>
      <w:r>
        <w:rPr>
          <w:rFonts w:ascii="宋体" w:eastAsia="宋体" w:hAnsi="宋体" w:hint="eastAsia"/>
          <w:sz w:val="21"/>
          <w:szCs w:val="21"/>
          <w:highlight w:val="white"/>
        </w:rPr>
        <w:t>3、基金收益分配可采用现金红利的方式，或者将现金红利自动转为对应类别的基金份额进行再投资的方式（下称“再投资方式”），投资者可以选择两种方式中的一种；如果投资者没有明示选择，则视为选择现金红利的方式处理。</w:t>
      </w:r>
    </w:p>
    <w:p w:rsidR="004048CB">
      <w:pPr>
        <w:pStyle w:val="BodyTextIndent3"/>
        <w:spacing w:before="100" w:beforeAutospacing="1" w:after="100" w:afterAutospacing="1" w:line="400" w:lineRule="exact"/>
        <w:ind w:left="0" w:right="28" w:firstLine="403"/>
        <w:rPr>
          <w:rFonts w:ascii="宋体" w:eastAsia="宋体" w:hAnsi="宋体"/>
          <w:sz w:val="21"/>
          <w:szCs w:val="21"/>
        </w:rPr>
      </w:pPr>
      <w:r>
        <w:rPr>
          <w:rFonts w:ascii="宋体" w:eastAsia="宋体" w:hAnsi="宋体" w:hint="eastAsia"/>
          <w:sz w:val="21"/>
          <w:szCs w:val="21"/>
          <w:highlight w:val="white"/>
        </w:rPr>
        <w:t>4、基金托管人根据基金管理人的收益分配方案和提供的现金红利金额的数据，在红利发放日将分红资金划入基金管理人指定账户。如果投资者选择转购基金份额，基金管理人和基金托管人则应当进行红利再投资的账务处理。</w:t>
      </w:r>
    </w:p>
    <w:p w:rsidR="004048CB">
      <w:pPr>
        <w:pStyle w:val="BodyTextIndent3"/>
        <w:spacing w:before="100" w:beforeAutospacing="1" w:after="100" w:afterAutospacing="1" w:line="400" w:lineRule="exact"/>
        <w:ind w:left="0" w:right="28" w:firstLine="403"/>
        <w:rPr>
          <w:rFonts w:ascii="宋体" w:eastAsia="宋体" w:hAnsi="宋体"/>
          <w:sz w:val="21"/>
          <w:szCs w:val="21"/>
        </w:rPr>
      </w:pPr>
      <w:r>
        <w:rPr>
          <w:rFonts w:ascii="宋体" w:eastAsia="宋体" w:hAnsi="宋体" w:hint="eastAsia"/>
          <w:sz w:val="21"/>
          <w:szCs w:val="21"/>
          <w:highlight w:val="white"/>
        </w:rPr>
        <w:t>5、本基金实施侧袋机制的，侧袋账户不进行收益分配。</w:t>
      </w:r>
    </w:p>
    <w:p w:rsidR="004048CB">
      <w:pPr>
        <w:pStyle w:val="BodyTextIndent3"/>
        <w:spacing w:before="100" w:beforeAutospacing="1" w:after="100" w:afterAutospacing="1" w:line="400" w:lineRule="exact"/>
        <w:ind w:left="0" w:right="28" w:firstLine="403"/>
        <w:rPr>
          <w:rFonts w:ascii="宋体" w:eastAsia="宋体" w:hAnsi="宋体"/>
          <w:sz w:val="21"/>
          <w:szCs w:val="21"/>
        </w:rPr>
      </w:pPr>
    </w:p>
    <w:p w:rsidR="004048CB">
      <w:pPr>
        <w:pStyle w:val="11"/>
        <w:spacing w:before="100" w:beforeAutospacing="1" w:after="100" w:afterAutospacing="1" w:line="400" w:lineRule="exact"/>
        <w:ind w:firstLine="422"/>
        <w:rPr>
          <w:rFonts w:ascii="宋体" w:hAnsi="宋体"/>
          <w:sz w:val="21"/>
          <w:szCs w:val="21"/>
        </w:rPr>
      </w:pPr>
      <w:bookmarkStart w:id="11" w:name="_Toc116900105"/>
      <w:r>
        <w:rPr>
          <w:rFonts w:ascii="宋体" w:hAnsi="宋体" w:hint="eastAsia"/>
          <w:sz w:val="21"/>
          <w:szCs w:val="21"/>
          <w:highlight w:val="white"/>
        </w:rPr>
        <w:t>十、基金信息披露</w:t>
      </w:r>
      <w:bookmarkEnd w:id="11"/>
    </w:p>
    <w:p w:rsidR="004048CB">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（一）保密义务</w:t>
      </w:r>
    </w:p>
    <w:p w:rsidR="004048CB">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除按照法律法规中关于基金信息披露的有关规定进行披露以外，基金管理人和基金托管人对基金运作中产生的信息以及从对方获得的业务信息应恪守保密的义务。基金管理人与基金托管人对基金的任何信息，除法律法规规定之外，不得在其公开披露之前，先行对任何第三方披露。但是，如下情况不应视为基金管理人或基金托管人违反保密义务：</w:t>
      </w:r>
    </w:p>
    <w:p w:rsidR="004048CB">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1、非因基金管理人和基金托管人的原因导致保密信息被披露、泄露或公开；</w:t>
      </w:r>
    </w:p>
    <w:p w:rsidR="004048CB">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2、基金管理人和基金托管人为遵守和服从法院判决、仲裁裁决或中国证监会等监管机构的命令、决定所做出的信息披露或公开；</w:t>
      </w:r>
    </w:p>
    <w:p w:rsidR="004048CB">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3、因审计、法律等专业服务向外部专业顾问提供信息，并要求专业顾问遵守保密义务。</w:t>
      </w:r>
    </w:p>
    <w:p w:rsidR="004048CB">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（二）基金管理人和基金托管人在信息披露中的职责和信息披露程序</w:t>
      </w:r>
    </w:p>
    <w:p w:rsidR="004048CB">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1、基金管理人和基金托管人应根据相关法律法规、《基金合同》的规定各自承担相应的信息披露职责。</w:t>
      </w:r>
    </w:p>
    <w:p w:rsidR="004048CB">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2、本基金信息披露的所有文件，包括《基金合同》和本协议规定的定期报告、临时报告、基金净值信息及其他必要的公告文件，由基金管理人和基金托管人按照有关法律法规的规定予以公布。</w:t>
      </w:r>
    </w:p>
    <w:p w:rsidR="004048CB">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3、基金年度报告中的财务会计报告必须经符合《证券法》规定的会计师事务所审计。</w:t>
      </w:r>
    </w:p>
    <w:p w:rsidR="004048CB">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4、本基金的信息披露，应通过规定媒介进行；基金管理人、基金托管人可以根据需要在其他公共媒介披露信息，但是其他公共媒介不得早于规定媒介披露信息，并且在不同媒介上披露同一信息的内容应当一致。</w:t>
      </w:r>
    </w:p>
    <w:p w:rsidR="004048CB">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5、信息文本的存放与备查</w:t>
      </w:r>
    </w:p>
    <w:p w:rsidR="004048CB">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依法必须</w:t>
      </w:r>
      <w:r>
        <w:rPr>
          <w:rFonts w:ascii="宋体" w:eastAsia="宋体"/>
          <w:color w:val="auto"/>
          <w:sz w:val="21"/>
          <w:szCs w:val="21"/>
          <w:highlight w:val="white"/>
        </w:rPr>
        <w:t>披露的信息发布后，基金管理人、基金托管人应当按照相关法律法规</w:t>
      </w:r>
      <w:r>
        <w:rPr>
          <w:rFonts w:ascii="宋体" w:eastAsia="宋体" w:hint="eastAsia"/>
          <w:color w:val="auto"/>
          <w:sz w:val="21"/>
          <w:szCs w:val="21"/>
          <w:highlight w:val="white"/>
        </w:rPr>
        <w:t>规定</w:t>
      </w:r>
      <w:r>
        <w:rPr>
          <w:rFonts w:ascii="宋体" w:eastAsia="宋体"/>
          <w:color w:val="auto"/>
          <w:sz w:val="21"/>
          <w:szCs w:val="21"/>
          <w:highlight w:val="white"/>
        </w:rPr>
        <w:t>将信息</w:t>
      </w:r>
      <w:r>
        <w:rPr>
          <w:rFonts w:ascii="宋体" w:eastAsia="宋体" w:hint="eastAsia"/>
          <w:color w:val="auto"/>
          <w:sz w:val="21"/>
          <w:szCs w:val="21"/>
          <w:highlight w:val="white"/>
        </w:rPr>
        <w:t>置备于公司办公场所</w:t>
      </w:r>
      <w:r>
        <w:rPr>
          <w:rFonts w:ascii="宋体" w:eastAsia="宋体"/>
          <w:color w:val="auto"/>
          <w:sz w:val="21"/>
          <w:szCs w:val="21"/>
          <w:highlight w:val="white"/>
        </w:rPr>
        <w:t>，供社会公众查阅、复制。</w:t>
      </w:r>
    </w:p>
    <w:p w:rsidR="004048CB">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基金管理人和基金托管人应保证文本的内容与所公告的内容完全一致。</w:t>
      </w:r>
    </w:p>
    <w:p w:rsidR="004048CB">
      <w:pPr>
        <w:snapToGrid w:val="0"/>
        <w:spacing w:before="100" w:beforeAutospacing="1" w:after="100" w:afterAutospacing="1" w:line="400" w:lineRule="exact"/>
        <w:ind w:firstLine="420"/>
        <w:rPr>
          <w:rFonts w:ascii="宋体" w:hAnsi="宋体" w:cs="方正仿宋简体"/>
          <w:szCs w:val="21"/>
        </w:rPr>
      </w:pPr>
      <w:r>
        <w:rPr>
          <w:rFonts w:ascii="宋体" w:hAnsi="宋体" w:hint="eastAsia"/>
          <w:szCs w:val="21"/>
          <w:highlight w:val="white"/>
        </w:rPr>
        <w:t>6、</w:t>
      </w:r>
      <w:r>
        <w:rPr>
          <w:rFonts w:ascii="宋体" w:hAnsi="宋体" w:cs="方正仿宋简体" w:hint="eastAsia"/>
          <w:szCs w:val="21"/>
          <w:highlight w:val="white"/>
        </w:rPr>
        <w:t>本基金实施侧袋机制的，相关信息披露义务人应当根据法律法规、基金合同和招募说明书的规定进行信息披露。</w:t>
      </w:r>
    </w:p>
    <w:p w:rsidR="004048CB">
      <w:pPr>
        <w:spacing w:before="100" w:beforeAutospacing="1" w:after="100" w:afterAutospacing="1" w:line="400" w:lineRule="exact"/>
        <w:ind w:firstLine="420"/>
        <w:rPr>
          <w:rFonts w:ascii="宋体" w:cs="方正仿宋简体"/>
          <w:szCs w:val="21"/>
        </w:rPr>
      </w:pPr>
      <w:r>
        <w:rPr>
          <w:rFonts w:ascii="宋体" w:cs="方正仿宋简体" w:hint="eastAsia"/>
          <w:szCs w:val="21"/>
          <w:highlight w:val="white"/>
        </w:rPr>
        <w:t>（三）基金托管人报告</w:t>
      </w:r>
    </w:p>
    <w:p w:rsidR="004048CB">
      <w:pPr>
        <w:pStyle w:val="BodyTextIndent"/>
        <w:spacing w:before="100" w:beforeAutospacing="1" w:after="100" w:afterAutospacing="1"/>
        <w:ind w:firstLine="420"/>
        <w:rPr>
          <w:rFonts w:ascii="宋体" w:eastAsia="宋体" w:cs="方正仿宋简体"/>
          <w:color w:val="auto"/>
          <w:sz w:val="21"/>
          <w:szCs w:val="21"/>
        </w:rPr>
      </w:pPr>
      <w:r>
        <w:rPr>
          <w:rFonts w:ascii="宋体" w:eastAsia="宋体" w:cs="方正仿宋简体" w:hint="eastAsia"/>
          <w:color w:val="auto"/>
          <w:sz w:val="21"/>
          <w:szCs w:val="21"/>
          <w:highlight w:val="white"/>
        </w:rPr>
        <w:t>基金托管人应按《基金法》、《运作办法》、《信息披露办法》和其他有关法律法规的规定于每个上半年度结束后两个月内、每个会计年度结束后三个月内在基金中期报告及年度报告中分别出具托管人报告。</w:t>
      </w:r>
    </w:p>
    <w:p w:rsidR="004048CB">
      <w:pPr>
        <w:pStyle w:val="BodyTextIndent"/>
        <w:spacing w:before="100" w:beforeAutospacing="1" w:after="100" w:afterAutospacing="1"/>
        <w:ind w:firstLine="403"/>
        <w:rPr>
          <w:rFonts w:ascii="宋体" w:eastAsia="宋体"/>
          <w:color w:val="auto"/>
          <w:sz w:val="21"/>
          <w:szCs w:val="21"/>
        </w:rPr>
      </w:pPr>
    </w:p>
    <w:p w:rsidR="004048CB">
      <w:pPr>
        <w:pStyle w:val="11"/>
        <w:spacing w:before="100" w:beforeAutospacing="1" w:after="100" w:afterAutospacing="1" w:line="400" w:lineRule="exact"/>
        <w:ind w:firstLine="422"/>
        <w:rPr>
          <w:rFonts w:ascii="宋体" w:hAnsi="宋体"/>
          <w:sz w:val="21"/>
          <w:szCs w:val="21"/>
        </w:rPr>
      </w:pPr>
      <w:bookmarkStart w:id="12" w:name="_Toc116900106"/>
      <w:r>
        <w:rPr>
          <w:rFonts w:ascii="宋体" w:hAnsi="宋体" w:hint="eastAsia"/>
          <w:sz w:val="21"/>
          <w:szCs w:val="21"/>
          <w:highlight w:val="white"/>
        </w:rPr>
        <w:t>十一、基金费用</w:t>
      </w:r>
    </w:p>
    <w:p w:rsidR="004048CB">
      <w:pPr>
        <w:spacing w:before="100" w:beforeAutospacing="1" w:after="100" w:afterAutospacing="1" w:line="400" w:lineRule="exact"/>
        <w:ind w:right="26" w:firstLine="403"/>
        <w:rPr>
          <w:rFonts w:ascii="宋体" w:hAnsi="宋体"/>
          <w:szCs w:val="21"/>
        </w:rPr>
      </w:pPr>
      <w:r>
        <w:rPr>
          <w:rFonts w:ascii="宋体" w:hAnsi="宋体" w:hint="eastAsia"/>
          <w:szCs w:val="21"/>
          <w:highlight w:val="white"/>
        </w:rPr>
        <w:t>（一）基金管理人的管理费</w:t>
      </w:r>
    </w:p>
    <w:p w:rsidR="004048CB">
      <w:pPr>
        <w:spacing w:before="100" w:beforeAutospacing="1" w:after="100" w:afterAutospacing="1" w:line="400" w:lineRule="exact"/>
        <w:ind w:right="26" w:firstLine="403"/>
        <w:rPr>
          <w:rFonts w:ascii="宋体" w:hAnsi="宋体"/>
          <w:szCs w:val="21"/>
        </w:rPr>
      </w:pPr>
      <w:r>
        <w:rPr>
          <w:rFonts w:ascii="宋体" w:hAnsi="宋体" w:hint="eastAsia"/>
          <w:szCs w:val="21"/>
          <w:highlight w:val="white"/>
        </w:rPr>
        <w:t>本基金的管理费按前一日基金资产净值的1.20%年费率计提。管理费的计算方法如下：</w:t>
      </w:r>
    </w:p>
    <w:p w:rsidR="004048CB">
      <w:pPr>
        <w:spacing w:before="100" w:beforeAutospacing="1" w:after="100" w:afterAutospacing="1" w:line="400" w:lineRule="exact"/>
        <w:ind w:right="26" w:firstLine="403"/>
        <w:rPr>
          <w:rFonts w:ascii="宋体" w:hAnsi="宋体"/>
          <w:szCs w:val="21"/>
        </w:rPr>
      </w:pPr>
      <w:r>
        <w:rPr>
          <w:rFonts w:ascii="宋体" w:hAnsi="宋体" w:hint="eastAsia"/>
          <w:szCs w:val="21"/>
          <w:highlight w:val="white"/>
        </w:rPr>
        <w:t>H＝E×1.20%÷当年天数</w:t>
      </w:r>
    </w:p>
    <w:p w:rsidR="004048CB">
      <w:pPr>
        <w:spacing w:before="100" w:beforeAutospacing="1" w:after="100" w:afterAutospacing="1" w:line="400" w:lineRule="exact"/>
        <w:ind w:right="26" w:firstLine="403"/>
        <w:rPr>
          <w:rFonts w:ascii="宋体" w:hAnsi="宋体"/>
          <w:szCs w:val="21"/>
        </w:rPr>
      </w:pPr>
      <w:r>
        <w:rPr>
          <w:rFonts w:ascii="宋体" w:hAnsi="宋体" w:hint="eastAsia"/>
          <w:szCs w:val="21"/>
          <w:highlight w:val="white"/>
        </w:rPr>
        <w:t>H为每日应计提的基金管理费</w:t>
      </w:r>
    </w:p>
    <w:p w:rsidR="004048CB">
      <w:pPr>
        <w:spacing w:before="100" w:beforeAutospacing="1" w:after="100" w:afterAutospacing="1" w:line="400" w:lineRule="exact"/>
        <w:ind w:right="26" w:firstLine="403"/>
        <w:rPr>
          <w:rFonts w:ascii="宋体" w:hAnsi="宋体"/>
          <w:szCs w:val="21"/>
        </w:rPr>
      </w:pPr>
      <w:r>
        <w:rPr>
          <w:rFonts w:ascii="宋体" w:hAnsi="宋体" w:hint="eastAsia"/>
          <w:szCs w:val="21"/>
          <w:highlight w:val="white"/>
        </w:rPr>
        <w:t>E为前一日的基金资产净值</w:t>
      </w:r>
    </w:p>
    <w:p w:rsidR="004048CB">
      <w:pPr>
        <w:spacing w:before="100" w:beforeAutospacing="1" w:after="100" w:afterAutospacing="1" w:line="400" w:lineRule="exact"/>
        <w:ind w:right="26" w:firstLine="403"/>
        <w:rPr>
          <w:rFonts w:ascii="宋体" w:hAnsi="宋体"/>
          <w:szCs w:val="21"/>
        </w:rPr>
      </w:pPr>
      <w:r>
        <w:rPr>
          <w:rFonts w:ascii="宋体" w:hAnsi="宋体" w:hint="eastAsia"/>
          <w:szCs w:val="21"/>
          <w:highlight w:val="white"/>
        </w:rPr>
        <w:t>基金管理费每日计提，逐日累计至每个月月末，按月支付，由基金托管人根据与基金管理人核对一致的财务数据，自动在次月初五个工作日内、按照指定的账户路径进行资金支付，基金管理人无需再出具资金划拨指令。若遇法定节假日、公休日等，支付日期顺延。</w:t>
      </w:r>
    </w:p>
    <w:p w:rsidR="004048CB">
      <w:pPr>
        <w:spacing w:before="100" w:beforeAutospacing="1" w:after="100" w:afterAutospacing="1" w:line="400" w:lineRule="exact"/>
        <w:ind w:firstLine="538"/>
        <w:rPr>
          <w:rFonts w:ascii="宋体" w:hAnsi="宋体"/>
          <w:szCs w:val="21"/>
        </w:rPr>
      </w:pPr>
      <w:r>
        <w:rPr>
          <w:rFonts w:ascii="宋体" w:hAnsi="宋体" w:hint="eastAsia"/>
          <w:szCs w:val="21"/>
          <w:highlight w:val="white"/>
        </w:rPr>
        <w:t>（二）基金托管人的托管费</w:t>
      </w:r>
    </w:p>
    <w:p w:rsidR="004048CB">
      <w:pPr>
        <w:spacing w:before="100" w:beforeAutospacing="1" w:after="100" w:afterAutospacing="1" w:line="400" w:lineRule="exact"/>
        <w:ind w:right="26" w:firstLine="403"/>
        <w:rPr>
          <w:rFonts w:ascii="宋体" w:hAnsi="宋体"/>
          <w:szCs w:val="21"/>
        </w:rPr>
      </w:pPr>
      <w:r>
        <w:rPr>
          <w:rFonts w:ascii="宋体" w:hAnsi="宋体" w:hint="eastAsia"/>
          <w:szCs w:val="21"/>
          <w:highlight w:val="white"/>
        </w:rPr>
        <w:t>本基金的托管费按前一日基金资产净值的0.20%年费率计提。托管费的计算方法如下：</w:t>
      </w:r>
    </w:p>
    <w:p w:rsidR="004048CB">
      <w:pPr>
        <w:spacing w:before="100" w:beforeAutospacing="1" w:after="100" w:afterAutospacing="1" w:line="400" w:lineRule="exact"/>
        <w:ind w:right="26" w:firstLine="403"/>
        <w:rPr>
          <w:rFonts w:ascii="宋体" w:hAnsi="宋体"/>
          <w:szCs w:val="21"/>
        </w:rPr>
      </w:pPr>
      <w:r>
        <w:rPr>
          <w:rFonts w:ascii="宋体" w:hAnsi="宋体" w:hint="eastAsia"/>
          <w:szCs w:val="21"/>
          <w:highlight w:val="white"/>
        </w:rPr>
        <w:t>H＝E×0.20%÷当年天数</w:t>
      </w:r>
    </w:p>
    <w:p w:rsidR="004048CB">
      <w:pPr>
        <w:spacing w:before="100" w:beforeAutospacing="1" w:after="100" w:afterAutospacing="1" w:line="400" w:lineRule="exact"/>
        <w:ind w:right="26" w:firstLine="403"/>
        <w:rPr>
          <w:rFonts w:ascii="宋体" w:hAnsi="宋体"/>
          <w:szCs w:val="21"/>
        </w:rPr>
      </w:pPr>
      <w:r>
        <w:rPr>
          <w:rFonts w:ascii="宋体" w:hAnsi="宋体" w:hint="eastAsia"/>
          <w:szCs w:val="21"/>
          <w:highlight w:val="white"/>
        </w:rPr>
        <w:t>H为每日应计提的基金托管费</w:t>
      </w:r>
    </w:p>
    <w:p w:rsidR="004048CB">
      <w:pPr>
        <w:spacing w:before="100" w:beforeAutospacing="1" w:after="100" w:afterAutospacing="1" w:line="400" w:lineRule="exact"/>
        <w:ind w:right="26" w:firstLine="403"/>
        <w:rPr>
          <w:rFonts w:ascii="宋体" w:hAnsi="宋体"/>
          <w:szCs w:val="21"/>
        </w:rPr>
      </w:pPr>
      <w:r>
        <w:rPr>
          <w:rFonts w:ascii="宋体" w:hAnsi="宋体" w:hint="eastAsia"/>
          <w:szCs w:val="21"/>
          <w:highlight w:val="white"/>
        </w:rPr>
        <w:t>E为前一日的基金资产净值</w:t>
      </w:r>
    </w:p>
    <w:p w:rsidR="004048CB">
      <w:pPr>
        <w:spacing w:before="100" w:beforeAutospacing="1" w:after="100" w:afterAutospacing="1" w:line="400" w:lineRule="exact"/>
        <w:ind w:right="26" w:firstLine="403"/>
        <w:rPr>
          <w:rFonts w:ascii="宋体" w:hAnsi="宋体"/>
          <w:szCs w:val="21"/>
        </w:rPr>
      </w:pPr>
      <w:r>
        <w:rPr>
          <w:rFonts w:ascii="宋体" w:hAnsi="宋体" w:hint="eastAsia"/>
          <w:szCs w:val="21"/>
          <w:highlight w:val="white"/>
        </w:rPr>
        <w:t>基金托管费每日计提，逐日累计至每个月月末，按月支付，由基金托管人根据与基金管理人核对一致的财务数据，自动在次月初五个工作日内、按照指定的账户路径进行资金支付，基金管理人无需再出具资金划拨指令。若遇法定节假日、公休日等，支付日期顺延。</w:t>
      </w:r>
    </w:p>
    <w:p w:rsidR="004048CB">
      <w:pPr>
        <w:spacing w:before="100" w:beforeAutospacing="1" w:after="100" w:afterAutospacing="1" w:line="400" w:lineRule="exact"/>
        <w:ind w:right="26" w:firstLine="403"/>
        <w:rPr>
          <w:rFonts w:ascii="宋体" w:hAnsi="宋体"/>
          <w:szCs w:val="21"/>
        </w:rPr>
      </w:pPr>
      <w:r>
        <w:rPr>
          <w:rFonts w:ascii="宋体" w:hAnsi="宋体" w:hint="eastAsia"/>
          <w:szCs w:val="21"/>
          <w:highlight w:val="white"/>
        </w:rPr>
        <w:t>（三）销售服务费</w:t>
      </w:r>
    </w:p>
    <w:p w:rsidR="00AC31F3" w:rsidRPr="00C04A86" w:rsidP="00AC31F3">
      <w:pPr>
        <w:pStyle w:val="BodyTextIndent"/>
        <w:spacing w:before="100" w:beforeAutospacing="1" w:after="100" w:afterAutospacing="1"/>
        <w:ind w:firstLine="403"/>
        <w:rPr>
          <w:rFonts w:ascii="宋体" w:eastAsia="宋体"/>
          <w:color w:val="auto"/>
          <w:sz w:val="21"/>
          <w:szCs w:val="21"/>
          <w:highlight w:val="white"/>
        </w:rPr>
      </w:pPr>
      <w:r w:rsidRPr="00C04A86">
        <w:rPr>
          <w:rFonts w:ascii="宋体" w:eastAsia="宋体" w:hint="eastAsia"/>
          <w:color w:val="auto"/>
          <w:sz w:val="21"/>
          <w:szCs w:val="21"/>
          <w:highlight w:val="white"/>
        </w:rPr>
        <w:t>本基金A类基金份额不收取销售服务费，C类基金份额的销售服务费年费率为0.40%，按C类基金份额前一日基金资产净值的0.40%年费率计提。</w:t>
      </w:r>
    </w:p>
    <w:p w:rsidR="00AC31F3" w:rsidRPr="00C04A86" w:rsidP="00AC31F3">
      <w:pPr>
        <w:pStyle w:val="BodyTextIndent"/>
        <w:spacing w:before="100" w:beforeAutospacing="1" w:after="100" w:afterAutospacing="1"/>
        <w:ind w:firstLine="403"/>
        <w:rPr>
          <w:rFonts w:ascii="宋体" w:eastAsia="宋体"/>
          <w:color w:val="auto"/>
          <w:sz w:val="21"/>
          <w:szCs w:val="21"/>
          <w:highlight w:val="white"/>
        </w:rPr>
      </w:pPr>
      <w:r w:rsidRPr="00C04A86">
        <w:rPr>
          <w:rFonts w:ascii="宋体" w:eastAsia="宋体" w:hint="eastAsia"/>
          <w:color w:val="auto"/>
          <w:sz w:val="21"/>
          <w:szCs w:val="21"/>
          <w:highlight w:val="white"/>
        </w:rPr>
        <w:t>销售服务费的计算方法如下：</w:t>
      </w:r>
    </w:p>
    <w:p w:rsidR="00AC31F3" w:rsidRPr="00C04A86" w:rsidP="00AC31F3">
      <w:pPr>
        <w:pStyle w:val="BodyTextIndent"/>
        <w:spacing w:before="100" w:beforeAutospacing="1" w:after="100" w:afterAutospacing="1"/>
        <w:ind w:firstLine="403"/>
        <w:rPr>
          <w:rFonts w:ascii="宋体" w:eastAsia="宋体"/>
          <w:color w:val="auto"/>
          <w:sz w:val="21"/>
          <w:szCs w:val="21"/>
          <w:highlight w:val="white"/>
        </w:rPr>
      </w:pPr>
      <w:r w:rsidRPr="00C04A86">
        <w:rPr>
          <w:rFonts w:ascii="宋体" w:eastAsia="宋体" w:hint="eastAsia"/>
          <w:color w:val="auto"/>
          <w:sz w:val="21"/>
          <w:szCs w:val="21"/>
          <w:highlight w:val="white"/>
        </w:rPr>
        <w:t>H＝E×0.40%÷当年天数</w:t>
      </w:r>
    </w:p>
    <w:p w:rsidR="00AC31F3" w:rsidRPr="00C04A86" w:rsidP="00AC31F3">
      <w:pPr>
        <w:pStyle w:val="BodyTextIndent"/>
        <w:spacing w:before="100" w:beforeAutospacing="1" w:after="100" w:afterAutospacing="1"/>
        <w:ind w:firstLine="403"/>
        <w:rPr>
          <w:rFonts w:ascii="宋体" w:eastAsia="宋体"/>
          <w:color w:val="auto"/>
          <w:sz w:val="21"/>
          <w:szCs w:val="21"/>
          <w:highlight w:val="white"/>
        </w:rPr>
      </w:pPr>
      <w:r w:rsidRPr="00C04A86">
        <w:rPr>
          <w:rFonts w:ascii="宋体" w:eastAsia="宋体" w:hint="eastAsia"/>
          <w:color w:val="auto"/>
          <w:sz w:val="21"/>
          <w:szCs w:val="21"/>
          <w:highlight w:val="white"/>
        </w:rPr>
        <w:t>H 为C类基金份额每日应计提的销售服务费</w:t>
      </w:r>
    </w:p>
    <w:p w:rsidR="00AC31F3" w:rsidRPr="00C04A86" w:rsidP="00AC31F3">
      <w:pPr>
        <w:pStyle w:val="BodyTextIndent"/>
        <w:spacing w:before="100" w:beforeAutospacing="1" w:after="100" w:afterAutospacing="1"/>
        <w:ind w:firstLine="403"/>
        <w:rPr>
          <w:rFonts w:ascii="宋体" w:eastAsia="宋体"/>
          <w:color w:val="auto"/>
          <w:sz w:val="21"/>
          <w:szCs w:val="21"/>
          <w:highlight w:val="white"/>
        </w:rPr>
      </w:pPr>
      <w:r w:rsidRPr="00C04A86">
        <w:rPr>
          <w:rFonts w:ascii="宋体" w:eastAsia="宋体" w:hint="eastAsia"/>
          <w:color w:val="auto"/>
          <w:sz w:val="21"/>
          <w:szCs w:val="21"/>
          <w:highlight w:val="white"/>
        </w:rPr>
        <w:t>E 为C类基金份额前一日基金资产净值</w:t>
      </w:r>
    </w:p>
    <w:p w:rsidR="00AC31F3" w:rsidRPr="00C04A86" w:rsidP="00AC31F3">
      <w:pPr>
        <w:pStyle w:val="BodyTextIndent"/>
        <w:spacing w:before="100" w:beforeAutospacing="1" w:after="100" w:afterAutospacing="1"/>
        <w:ind w:firstLine="403"/>
        <w:rPr>
          <w:rFonts w:ascii="宋体" w:eastAsia="宋体"/>
          <w:color w:val="auto"/>
          <w:sz w:val="21"/>
          <w:szCs w:val="21"/>
          <w:highlight w:val="white"/>
        </w:rPr>
      </w:pPr>
      <w:r w:rsidRPr="00C04A86">
        <w:rPr>
          <w:rFonts w:ascii="宋体" w:eastAsia="宋体" w:hint="eastAsia"/>
          <w:color w:val="auto"/>
          <w:sz w:val="21"/>
          <w:szCs w:val="21"/>
          <w:highlight w:val="white"/>
        </w:rPr>
        <w:t>销售服务费每日计提。</w:t>
      </w:r>
    </w:p>
    <w:p w:rsidR="00AC31F3" w:rsidRPr="00C04A86" w:rsidP="00AC31F3">
      <w:pPr>
        <w:pStyle w:val="BodyTextIndent"/>
        <w:spacing w:before="100" w:beforeAutospacing="1" w:after="100" w:afterAutospacing="1"/>
        <w:ind w:firstLine="403"/>
        <w:rPr>
          <w:rFonts w:ascii="宋体" w:eastAsia="宋体"/>
          <w:color w:val="auto"/>
          <w:sz w:val="21"/>
          <w:szCs w:val="21"/>
          <w:highlight w:val="white"/>
        </w:rPr>
      </w:pPr>
      <w:r w:rsidRPr="00C04A86">
        <w:rPr>
          <w:rFonts w:ascii="宋体" w:eastAsia="宋体" w:hint="eastAsia"/>
          <w:color w:val="auto"/>
          <w:sz w:val="21"/>
          <w:szCs w:val="21"/>
          <w:highlight w:val="white"/>
        </w:rPr>
        <w:t>（1）通过基金管理人或其基金销售子公司投资的C类基金份额</w:t>
      </w:r>
    </w:p>
    <w:p w:rsidR="00AC31F3" w:rsidRPr="00C04A86" w:rsidP="00AC31F3">
      <w:pPr>
        <w:pStyle w:val="BodyTextIndent"/>
        <w:spacing w:before="100" w:beforeAutospacing="1" w:after="100" w:afterAutospacing="1"/>
        <w:ind w:firstLine="403"/>
        <w:rPr>
          <w:rFonts w:ascii="宋体" w:eastAsia="宋体"/>
          <w:color w:val="auto"/>
          <w:sz w:val="21"/>
          <w:szCs w:val="21"/>
          <w:highlight w:val="white"/>
        </w:rPr>
      </w:pPr>
      <w:r w:rsidRPr="00C04A86">
        <w:rPr>
          <w:rFonts w:ascii="宋体" w:eastAsia="宋体" w:hint="eastAsia"/>
          <w:color w:val="auto"/>
          <w:sz w:val="21"/>
          <w:szCs w:val="21"/>
          <w:highlight w:val="white"/>
        </w:rPr>
        <w:t>对于基金份额计提的销售服务费，在投资者赎回基金份额或基金合同终止时，随赎回款（或清算款）一并返还给投资者。</w:t>
      </w:r>
    </w:p>
    <w:p w:rsidR="00AC31F3" w:rsidRPr="00C04A86" w:rsidP="00AC31F3">
      <w:pPr>
        <w:pStyle w:val="BodyTextIndent"/>
        <w:spacing w:before="100" w:beforeAutospacing="1" w:after="100" w:afterAutospacing="1"/>
        <w:ind w:firstLine="403"/>
        <w:rPr>
          <w:rFonts w:ascii="宋体" w:eastAsia="宋体"/>
          <w:color w:val="auto"/>
          <w:sz w:val="21"/>
          <w:szCs w:val="21"/>
          <w:highlight w:val="white"/>
        </w:rPr>
      </w:pPr>
      <w:r w:rsidRPr="00C04A86">
        <w:rPr>
          <w:rFonts w:ascii="宋体" w:eastAsia="宋体" w:hint="eastAsia"/>
          <w:color w:val="auto"/>
          <w:sz w:val="21"/>
          <w:szCs w:val="21"/>
          <w:highlight w:val="white"/>
        </w:rPr>
        <w:t>（2）通过其他销售机构投资的C类基金份额</w:t>
      </w:r>
    </w:p>
    <w:p w:rsidR="00AC31F3" w:rsidRPr="00C04A86" w:rsidP="00AC31F3">
      <w:pPr>
        <w:pStyle w:val="BodyTextIndent"/>
        <w:spacing w:before="100" w:beforeAutospacing="1" w:after="100" w:afterAutospacing="1"/>
        <w:ind w:firstLine="403"/>
        <w:rPr>
          <w:rFonts w:ascii="宋体" w:eastAsia="宋体"/>
          <w:color w:val="auto"/>
          <w:sz w:val="21"/>
          <w:szCs w:val="21"/>
          <w:highlight w:val="white"/>
        </w:rPr>
      </w:pPr>
      <w:r w:rsidRPr="00C04A86">
        <w:rPr>
          <w:rFonts w:ascii="宋体" w:eastAsia="宋体" w:hint="eastAsia"/>
          <w:color w:val="auto"/>
          <w:sz w:val="21"/>
          <w:szCs w:val="21"/>
          <w:highlight w:val="white"/>
        </w:rPr>
        <w:t>对于投资者持续持有期限不</w:t>
      </w:r>
      <w:r w:rsidRPr="002A26E8">
        <w:rPr>
          <w:rFonts w:ascii="宋体" w:eastAsia="宋体" w:hint="eastAsia"/>
          <w:color w:val="auto"/>
          <w:sz w:val="21"/>
          <w:szCs w:val="21"/>
          <w:highlight w:val="white"/>
        </w:rPr>
        <w:t>超过</w:t>
      </w:r>
      <w:r w:rsidRPr="00C04A86">
        <w:rPr>
          <w:rFonts w:ascii="宋体" w:eastAsia="宋体" w:hint="eastAsia"/>
          <w:color w:val="auto"/>
          <w:sz w:val="21"/>
          <w:szCs w:val="21"/>
          <w:highlight w:val="white"/>
        </w:rPr>
        <w:t>一年（即365天，下同）的基金份额计提的销售服务费，逐日累计至每月月末，按月支付，由基金托管人在次月初五个工作日内按照与基金管理人协商一致的方式从基金财产中一次性支付</w:t>
      </w:r>
      <w:r w:rsidRPr="00C04A86">
        <w:rPr>
          <w:rFonts w:ascii="宋体" w:eastAsia="宋体"/>
          <w:color w:val="auto"/>
          <w:sz w:val="21"/>
          <w:szCs w:val="21"/>
          <w:highlight w:val="white"/>
        </w:rPr>
        <w:t>。若遇法定节假日、公休日等，支付日期顺延。</w:t>
      </w:r>
    </w:p>
    <w:p w:rsidR="00AC31F3" w:rsidRPr="00C04A86" w:rsidP="00AC31F3">
      <w:pPr>
        <w:pStyle w:val="BodyTextIndent"/>
        <w:spacing w:before="100" w:beforeAutospacing="1" w:after="100" w:afterAutospacing="1"/>
        <w:ind w:firstLine="403"/>
        <w:rPr>
          <w:rFonts w:ascii="宋体" w:eastAsia="宋体"/>
          <w:color w:val="auto"/>
          <w:sz w:val="21"/>
          <w:szCs w:val="21"/>
          <w:highlight w:val="white"/>
        </w:rPr>
      </w:pPr>
      <w:r w:rsidRPr="00C04A86">
        <w:rPr>
          <w:rFonts w:ascii="宋体" w:eastAsia="宋体" w:hint="eastAsia"/>
          <w:color w:val="auto"/>
          <w:sz w:val="21"/>
          <w:szCs w:val="21"/>
          <w:highlight w:val="white"/>
        </w:rPr>
        <w:t>对于持续持有期限</w:t>
      </w:r>
      <w:r w:rsidRPr="00C04A86">
        <w:rPr>
          <w:rFonts w:ascii="宋体" w:eastAsia="宋体" w:hint="eastAsia"/>
          <w:color w:val="auto"/>
          <w:sz w:val="21"/>
          <w:szCs w:val="21"/>
          <w:highlight w:val="white"/>
        </w:rPr>
        <w:t>超过一年的基金份额继续计提的销售服务费，在投资者赎回基金份额或基金合同终止时，随赎回款（或清算款）一并返还给投资者。</w:t>
      </w:r>
    </w:p>
    <w:p w:rsidR="00AC31F3" w:rsidRPr="00C04A86" w:rsidP="00AC31F3">
      <w:pPr>
        <w:pStyle w:val="BodyTextIndent"/>
        <w:spacing w:before="100" w:beforeAutospacing="1" w:after="100" w:afterAutospacing="1"/>
        <w:ind w:firstLine="403"/>
        <w:rPr>
          <w:rFonts w:ascii="宋体" w:eastAsia="宋体"/>
          <w:color w:val="auto"/>
          <w:sz w:val="21"/>
          <w:szCs w:val="21"/>
          <w:highlight w:val="white"/>
        </w:rPr>
      </w:pPr>
      <w:r w:rsidRPr="00C04A86">
        <w:rPr>
          <w:rFonts w:ascii="宋体" w:eastAsia="宋体" w:hint="eastAsia"/>
          <w:color w:val="auto"/>
          <w:sz w:val="21"/>
          <w:szCs w:val="21"/>
          <w:highlight w:val="white"/>
        </w:rPr>
        <w:t>销售服务费计提后按规定收取或返还投资者的金额以登记机构的计算结果为准，托管人无需复核。</w:t>
      </w:r>
    </w:p>
    <w:p w:rsidR="004048CB">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（四）从基金财产中列支基金管理人的管理费、基金托管人的托管费、销售服务费之外的其他基金费用，应当依据有关法律法规、《基金合同》的规定执行。</w:t>
      </w:r>
    </w:p>
    <w:p w:rsidR="004048CB">
      <w:pPr>
        <w:pStyle w:val="BodyTextIndent"/>
        <w:spacing w:before="100" w:beforeAutospacing="1" w:after="100" w:afterAutospacing="1"/>
        <w:ind w:firstLine="403"/>
        <w:rPr>
          <w:rFonts w:ascii="宋体" w:eastAsia="宋体"/>
          <w:sz w:val="21"/>
          <w:szCs w:val="21"/>
        </w:rPr>
      </w:pPr>
      <w:r>
        <w:rPr>
          <w:rFonts w:ascii="宋体" w:eastAsia="宋体" w:hint="eastAsia"/>
          <w:color w:val="auto"/>
          <w:sz w:val="21"/>
          <w:szCs w:val="21"/>
          <w:highlight w:val="white"/>
        </w:rPr>
        <w:t>本基金实施侧袋机制的，与侧袋账户有关的费用可以从侧袋账户中列支，但应待侧袋账户资产变现后方可列支，有关费用可酌情收取或减免，但不得收取管理费。</w:t>
      </w:r>
    </w:p>
    <w:p w:rsidR="004048CB">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（五）对于</w:t>
      </w:r>
      <w:r>
        <w:rPr>
          <w:rFonts w:ascii="宋体" w:eastAsia="宋体" w:cs="方正仿宋简体" w:hint="eastAsia"/>
          <w:sz w:val="21"/>
          <w:szCs w:val="21"/>
          <w:highlight w:val="white"/>
        </w:rPr>
        <w:t>违反法律法规、</w:t>
      </w:r>
      <w:r>
        <w:rPr>
          <w:rFonts w:ascii="宋体" w:eastAsia="宋体" w:hint="eastAsia"/>
          <w:color w:val="auto"/>
          <w:sz w:val="21"/>
          <w:szCs w:val="21"/>
          <w:highlight w:val="white"/>
        </w:rPr>
        <w:t>《基金合同》</w:t>
      </w:r>
      <w:r>
        <w:rPr>
          <w:rFonts w:ascii="宋体" w:eastAsia="宋体" w:cs="方正仿宋简体" w:hint="eastAsia"/>
          <w:sz w:val="21"/>
          <w:szCs w:val="21"/>
          <w:highlight w:val="white"/>
        </w:rPr>
        <w:t>、本协议及其他有关规定</w:t>
      </w:r>
      <w:r>
        <w:rPr>
          <w:rFonts w:ascii="宋体" w:eastAsia="宋体" w:hint="eastAsia"/>
          <w:color w:val="auto"/>
          <w:sz w:val="21"/>
          <w:szCs w:val="21"/>
          <w:highlight w:val="white"/>
        </w:rPr>
        <w:t>（包括基金费用的计提方法、计提标准、支付方式等）的基金费用，不得从任何基金财产中列支。</w:t>
      </w:r>
    </w:p>
    <w:p w:rsidR="004048CB">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（六）本基金支付给基金管理人、基金托管人的各项费用均为含税价格，具体税率适用中国税务机关的相关规定。</w:t>
      </w:r>
      <w:bookmarkEnd w:id="12"/>
    </w:p>
    <w:p w:rsidR="004048CB">
      <w:pPr>
        <w:pStyle w:val="BodyTextIndent"/>
        <w:spacing w:before="100" w:beforeAutospacing="1" w:after="100" w:afterAutospacing="1"/>
        <w:ind w:firstLine="403"/>
        <w:rPr>
          <w:rFonts w:ascii="宋体" w:eastAsia="宋体"/>
          <w:color w:val="auto"/>
          <w:sz w:val="21"/>
          <w:szCs w:val="21"/>
        </w:rPr>
      </w:pPr>
    </w:p>
    <w:p w:rsidR="004048CB">
      <w:pPr>
        <w:pStyle w:val="11"/>
        <w:spacing w:before="100" w:beforeAutospacing="1" w:after="100" w:afterAutospacing="1" w:line="400" w:lineRule="exact"/>
        <w:ind w:firstLine="422"/>
        <w:rPr>
          <w:rFonts w:ascii="宋体" w:hAnsi="宋体"/>
          <w:sz w:val="21"/>
          <w:szCs w:val="21"/>
          <w:highlight w:val="lightGray"/>
        </w:rPr>
      </w:pPr>
      <w:bookmarkStart w:id="13" w:name="_Toc116900107"/>
      <w:r>
        <w:rPr>
          <w:rFonts w:ascii="宋体" w:hAnsi="宋体" w:hint="eastAsia"/>
          <w:sz w:val="21"/>
          <w:szCs w:val="21"/>
          <w:highlight w:val="white"/>
        </w:rPr>
        <w:t>十二、基金份额持有人名册的保管</w:t>
      </w:r>
    </w:p>
    <w:p w:rsidR="004048CB">
      <w:pPr>
        <w:spacing w:before="100" w:beforeAutospacing="1" w:after="100" w:afterAutospacing="1" w:line="400" w:lineRule="exact"/>
        <w:ind w:firstLine="420"/>
        <w:rPr>
          <w:rFonts w:ascii="宋体" w:hAnsi="宋体"/>
          <w:color w:val="000000"/>
          <w:szCs w:val="21"/>
        </w:rPr>
      </w:pPr>
      <w:r>
        <w:rPr>
          <w:rFonts w:ascii="宋体" w:hAnsi="宋体" w:hint="eastAsia"/>
          <w:szCs w:val="21"/>
          <w:highlight w:val="white"/>
        </w:rPr>
        <w:t>基金份额持有人名册至少应包括基金份额持有人的名称和持有的基金份额。基金份额持有人名册由登记机构根据基金管理人的指令编制和保管，基金管理人和基金托管人</w:t>
      </w:r>
      <w:r>
        <w:rPr>
          <w:rFonts w:ascii="宋体" w:hAnsi="宋体" w:hint="eastAsia"/>
          <w:color w:val="000000"/>
          <w:szCs w:val="21"/>
          <w:highlight w:val="white"/>
        </w:rPr>
        <w:t>应分别保管基金份额持有人名册，登记机构保存期不少于20年，法律法规另有规定或有权机关另有要求的除外。如不能妥善保管，则按相关法规承担责任。</w:t>
      </w:r>
    </w:p>
    <w:p w:rsidR="004048CB">
      <w:pPr>
        <w:spacing w:before="100" w:beforeAutospacing="1" w:after="100" w:afterAutospacing="1" w:line="400" w:lineRule="exact"/>
        <w:ind w:firstLine="420"/>
        <w:rPr>
          <w:rFonts w:ascii="宋体" w:hAnsi="宋体"/>
          <w:color w:val="FF0000"/>
          <w:szCs w:val="21"/>
          <w:highlight w:val="lightGray"/>
        </w:rPr>
      </w:pPr>
      <w:r>
        <w:rPr>
          <w:rFonts w:ascii="宋体" w:hAnsi="宋体" w:hint="eastAsia"/>
          <w:color w:val="000000"/>
          <w:szCs w:val="21"/>
          <w:highlight w:val="white"/>
        </w:rPr>
        <w:t>在基金托管人要求或编制</w:t>
      </w:r>
      <w:r>
        <w:rPr>
          <w:rFonts w:ascii="宋体" w:hAnsi="宋体" w:hint="eastAsia"/>
          <w:szCs w:val="21"/>
          <w:highlight w:val="white"/>
        </w:rPr>
        <w:t>中期报告</w:t>
      </w:r>
      <w:r>
        <w:rPr>
          <w:rFonts w:ascii="宋体" w:hAnsi="宋体"/>
          <w:szCs w:val="21"/>
          <w:highlight w:val="white"/>
        </w:rPr>
        <w:t>和</w:t>
      </w:r>
      <w:r>
        <w:rPr>
          <w:rFonts w:ascii="宋体" w:hAnsi="宋体" w:hint="eastAsia"/>
          <w:szCs w:val="21"/>
          <w:highlight w:val="white"/>
        </w:rPr>
        <w:t>年度报告</w:t>
      </w:r>
      <w:r>
        <w:rPr>
          <w:rFonts w:ascii="宋体" w:hAnsi="宋体" w:hint="eastAsia"/>
          <w:color w:val="000000"/>
          <w:szCs w:val="21"/>
          <w:highlight w:val="white"/>
        </w:rPr>
        <w:t>前，基金管理人应将有关资料送交基金托管人，不得无故拒绝或延误提供，并保证其的真实性、准确性和完整性。基金托管人不得将所保管的基金份额持有人名册用于基金托管业务以外的其他用途，并应遵守保密义务。</w:t>
      </w:r>
    </w:p>
    <w:p w:rsidR="004048CB">
      <w:pPr>
        <w:pStyle w:val="11"/>
        <w:spacing w:before="100" w:beforeAutospacing="1" w:after="100" w:afterAutospacing="1" w:line="400" w:lineRule="exact"/>
        <w:ind w:firstLine="422"/>
        <w:rPr>
          <w:rFonts w:ascii="宋体" w:hAnsi="宋体"/>
          <w:sz w:val="21"/>
          <w:szCs w:val="21"/>
        </w:rPr>
      </w:pPr>
      <w:r>
        <w:rPr>
          <w:rFonts w:ascii="宋体" w:hAnsi="宋体" w:hint="eastAsia"/>
          <w:sz w:val="21"/>
          <w:szCs w:val="21"/>
          <w:highlight w:val="white"/>
        </w:rPr>
        <w:t>十三、基金有关文件档案的保存</w:t>
      </w:r>
    </w:p>
    <w:p w:rsidR="004048CB">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（一）</w:t>
      </w:r>
      <w:r>
        <w:rPr>
          <w:rFonts w:ascii="宋体" w:eastAsia="宋体" w:cs="方正仿宋简体" w:hint="eastAsia"/>
          <w:sz w:val="21"/>
          <w:szCs w:val="21"/>
          <w:highlight w:val="white"/>
        </w:rPr>
        <w:t>基金管理人应保存基金财产管理业务活动的记录、账册、报表和其他相关资料，基金托管人应保存基金托管业务活动的记录、账册、报表和其他相关资料，保存期限为20年。</w:t>
      </w:r>
    </w:p>
    <w:p w:rsidR="004048CB">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（二）基金管理人和基金托管人应按本协议第十条的约定对各自保存的文件和档案履行保密义务。</w:t>
      </w:r>
    </w:p>
    <w:p w:rsidR="004048CB">
      <w:pPr>
        <w:spacing w:before="100" w:beforeAutospacing="1" w:after="100" w:afterAutospacing="1" w:line="400" w:lineRule="exact"/>
        <w:rPr>
          <w:rFonts w:ascii="宋体" w:hAnsi="宋体"/>
          <w:szCs w:val="21"/>
        </w:rPr>
      </w:pPr>
    </w:p>
    <w:p w:rsidR="004048CB">
      <w:pPr>
        <w:pStyle w:val="11"/>
        <w:spacing w:before="100" w:beforeAutospacing="1" w:after="100" w:afterAutospacing="1" w:line="400" w:lineRule="exact"/>
        <w:ind w:firstLine="422"/>
        <w:rPr>
          <w:rFonts w:ascii="宋体" w:hAnsi="宋体"/>
          <w:sz w:val="21"/>
          <w:szCs w:val="21"/>
        </w:rPr>
      </w:pPr>
      <w:r>
        <w:rPr>
          <w:rFonts w:ascii="宋体" w:hAnsi="宋体" w:hint="eastAsia"/>
          <w:sz w:val="21"/>
          <w:szCs w:val="21"/>
          <w:highlight w:val="white"/>
        </w:rPr>
        <w:t>十四、</w:t>
      </w:r>
      <w:bookmarkStart w:id="14" w:name="_Toc116900108"/>
      <w:bookmarkEnd w:id="13"/>
      <w:r>
        <w:rPr>
          <w:rFonts w:ascii="宋体" w:hAnsi="宋体" w:hint="eastAsia"/>
          <w:sz w:val="21"/>
          <w:szCs w:val="21"/>
          <w:highlight w:val="white"/>
        </w:rPr>
        <w:t>基金托管人和基金管理人的更换</w:t>
      </w:r>
      <w:bookmarkEnd w:id="14"/>
      <w:r>
        <w:rPr>
          <w:rFonts w:ascii="宋体" w:hAnsi="宋体" w:hint="eastAsia"/>
          <w:sz w:val="21"/>
          <w:szCs w:val="21"/>
          <w:highlight w:val="white"/>
        </w:rPr>
        <w:t xml:space="preserve"> </w:t>
      </w:r>
    </w:p>
    <w:p w:rsidR="004048CB">
      <w:pPr>
        <w:spacing w:before="100" w:beforeAutospacing="1" w:after="100" w:afterAutospacing="1" w:line="400" w:lineRule="exact"/>
        <w:ind w:firstLine="420"/>
        <w:rPr>
          <w:rFonts w:ascii="宋体" w:hAnsi="宋体"/>
          <w:szCs w:val="21"/>
        </w:rPr>
      </w:pPr>
      <w:r>
        <w:rPr>
          <w:rFonts w:ascii="宋体" w:hAnsi="宋体" w:hint="eastAsia"/>
          <w:szCs w:val="21"/>
          <w:highlight w:val="white"/>
        </w:rPr>
        <w:t>（一）</w:t>
      </w:r>
      <w:r>
        <w:rPr>
          <w:rFonts w:ascii="宋体" w:hAnsi="宋体"/>
          <w:szCs w:val="21"/>
          <w:highlight w:val="white"/>
        </w:rPr>
        <w:t>基金管理人职责终止</w:t>
      </w:r>
      <w:r>
        <w:rPr>
          <w:rFonts w:ascii="宋体" w:hAnsi="宋体" w:hint="eastAsia"/>
          <w:szCs w:val="21"/>
          <w:highlight w:val="white"/>
        </w:rPr>
        <w:t>后</w:t>
      </w:r>
      <w:r>
        <w:rPr>
          <w:rFonts w:ascii="宋体" w:hAnsi="宋体"/>
          <w:szCs w:val="21"/>
          <w:highlight w:val="white"/>
        </w:rPr>
        <w:t>，</w:t>
      </w:r>
      <w:r>
        <w:rPr>
          <w:rFonts w:ascii="宋体" w:hAnsi="宋体" w:hint="eastAsia"/>
          <w:szCs w:val="21"/>
          <w:highlight w:val="white"/>
        </w:rPr>
        <w:t>仍</w:t>
      </w:r>
      <w:r>
        <w:rPr>
          <w:rFonts w:ascii="宋体" w:hAnsi="宋体"/>
          <w:szCs w:val="21"/>
          <w:highlight w:val="white"/>
        </w:rPr>
        <w:t>应妥善保管基金管理业务资料，</w:t>
      </w:r>
      <w:r>
        <w:rPr>
          <w:rFonts w:ascii="宋体" w:hAnsi="宋体" w:hint="eastAsia"/>
          <w:szCs w:val="21"/>
          <w:highlight w:val="white"/>
        </w:rPr>
        <w:t>并与新任基金管理人或临时基金管理人</w:t>
      </w:r>
      <w:r>
        <w:rPr>
          <w:rFonts w:ascii="宋体" w:hAnsi="宋体"/>
          <w:szCs w:val="21"/>
          <w:highlight w:val="white"/>
        </w:rPr>
        <w:t>及时办理基金管理业务的移交手续。</w:t>
      </w:r>
      <w:r>
        <w:rPr>
          <w:rFonts w:ascii="宋体" w:hAnsi="宋体" w:hint="eastAsia"/>
          <w:szCs w:val="21"/>
          <w:highlight w:val="white"/>
        </w:rPr>
        <w:t>基金托管人应给予积极配合，并与新任基金管理人核对基金资产总值和净值。</w:t>
      </w:r>
    </w:p>
    <w:p w:rsidR="004048CB">
      <w:pPr>
        <w:spacing w:before="100" w:beforeAutospacing="1" w:after="100" w:afterAutospacing="1" w:line="400" w:lineRule="exact"/>
        <w:ind w:firstLine="420"/>
        <w:rPr>
          <w:rFonts w:ascii="宋体" w:hAnsi="宋体"/>
          <w:szCs w:val="21"/>
        </w:rPr>
      </w:pPr>
      <w:r>
        <w:rPr>
          <w:rFonts w:ascii="宋体" w:hAnsi="宋体" w:hint="eastAsia"/>
          <w:szCs w:val="21"/>
          <w:highlight w:val="white"/>
        </w:rPr>
        <w:t>（二）</w:t>
      </w:r>
      <w:r>
        <w:rPr>
          <w:rFonts w:ascii="宋体" w:hAnsi="宋体"/>
          <w:szCs w:val="21"/>
          <w:highlight w:val="white"/>
        </w:rPr>
        <w:t>基金托管人职责终止</w:t>
      </w:r>
      <w:r>
        <w:rPr>
          <w:rFonts w:ascii="宋体" w:hAnsi="宋体" w:hint="eastAsia"/>
          <w:szCs w:val="21"/>
          <w:highlight w:val="white"/>
        </w:rPr>
        <w:t>后</w:t>
      </w:r>
      <w:r>
        <w:rPr>
          <w:rFonts w:ascii="宋体" w:hAnsi="宋体"/>
          <w:szCs w:val="21"/>
          <w:highlight w:val="white"/>
        </w:rPr>
        <w:t>，</w:t>
      </w:r>
      <w:r>
        <w:rPr>
          <w:rFonts w:ascii="宋体" w:hAnsi="宋体" w:hint="eastAsia"/>
          <w:szCs w:val="21"/>
          <w:highlight w:val="white"/>
        </w:rPr>
        <w:t>仍</w:t>
      </w:r>
      <w:r>
        <w:rPr>
          <w:rFonts w:ascii="宋体" w:hAnsi="宋体"/>
          <w:szCs w:val="21"/>
          <w:highlight w:val="white"/>
        </w:rPr>
        <w:t>应妥善保管基金财产和基金托管业务资料，</w:t>
      </w:r>
      <w:r>
        <w:rPr>
          <w:rFonts w:ascii="宋体" w:hAnsi="宋体" w:hint="eastAsia"/>
          <w:szCs w:val="21"/>
          <w:highlight w:val="white"/>
        </w:rPr>
        <w:t>并与新任基金托管人或临时基金托管人</w:t>
      </w:r>
      <w:r>
        <w:rPr>
          <w:rFonts w:ascii="宋体" w:hAnsi="宋体"/>
          <w:szCs w:val="21"/>
          <w:highlight w:val="white"/>
        </w:rPr>
        <w:t>及时办理基金财产和基金托管业务的移交手续。</w:t>
      </w:r>
      <w:r>
        <w:rPr>
          <w:rFonts w:ascii="宋体" w:hAnsi="宋体" w:hint="eastAsia"/>
          <w:szCs w:val="21"/>
          <w:highlight w:val="white"/>
        </w:rPr>
        <w:t>基金管理人应给予积极配合，并与新任基金托管人核对基金资产总值和净值。</w:t>
      </w:r>
    </w:p>
    <w:p w:rsidR="004048CB">
      <w:pPr>
        <w:spacing w:before="100" w:beforeAutospacing="1" w:after="100" w:afterAutospacing="1" w:line="400" w:lineRule="exact"/>
        <w:ind w:firstLine="420"/>
        <w:rPr>
          <w:rFonts w:ascii="宋体" w:hAnsi="宋体"/>
          <w:szCs w:val="21"/>
        </w:rPr>
      </w:pPr>
      <w:r>
        <w:rPr>
          <w:rFonts w:ascii="宋体" w:hAnsi="宋体" w:hint="eastAsia"/>
          <w:szCs w:val="21"/>
          <w:highlight w:val="white"/>
        </w:rPr>
        <w:t>（三）其他事宜见《基金合同》的相关约定。</w:t>
      </w:r>
    </w:p>
    <w:p w:rsidR="004048CB">
      <w:pPr>
        <w:spacing w:before="100" w:beforeAutospacing="1" w:after="100" w:afterAutospacing="1" w:line="400" w:lineRule="exact"/>
        <w:ind w:firstLine="540"/>
        <w:rPr>
          <w:rFonts w:ascii="宋体" w:hAnsi="宋体"/>
          <w:szCs w:val="21"/>
        </w:rPr>
      </w:pPr>
    </w:p>
    <w:p w:rsidR="004048CB">
      <w:pPr>
        <w:pStyle w:val="11"/>
        <w:spacing w:before="100" w:beforeAutospacing="1" w:after="100" w:afterAutospacing="1" w:line="400" w:lineRule="exact"/>
        <w:ind w:firstLine="422"/>
        <w:rPr>
          <w:rFonts w:ascii="宋体" w:hAnsi="宋体"/>
          <w:sz w:val="21"/>
          <w:szCs w:val="21"/>
        </w:rPr>
      </w:pPr>
      <w:bookmarkStart w:id="15" w:name="_Toc116900110"/>
      <w:r>
        <w:rPr>
          <w:rFonts w:ascii="宋体" w:hAnsi="宋体" w:hint="eastAsia"/>
          <w:sz w:val="21"/>
          <w:szCs w:val="21"/>
          <w:highlight w:val="white"/>
        </w:rPr>
        <w:t>十五、禁止行为</w:t>
      </w:r>
      <w:bookmarkEnd w:id="15"/>
    </w:p>
    <w:p w:rsidR="004048CB">
      <w:pPr>
        <w:snapToGrid w:val="0"/>
        <w:spacing w:before="100" w:beforeAutospacing="1" w:after="100" w:afterAutospacing="1" w:line="400" w:lineRule="exact"/>
        <w:ind w:firstLine="420"/>
        <w:rPr>
          <w:rFonts w:ascii="宋体" w:hAnsi="宋体"/>
          <w:szCs w:val="21"/>
        </w:rPr>
      </w:pPr>
      <w:r>
        <w:rPr>
          <w:rFonts w:ascii="宋体" w:hAnsi="宋体" w:hint="eastAsia"/>
          <w:szCs w:val="21"/>
          <w:highlight w:val="white"/>
        </w:rPr>
        <w:t>（一）</w:t>
      </w:r>
      <w:r>
        <w:rPr>
          <w:rFonts w:ascii="宋体" w:hAnsi="宋体" w:cs="方正仿宋简体" w:hint="eastAsia"/>
          <w:szCs w:val="21"/>
          <w:highlight w:val="white"/>
        </w:rPr>
        <w:t>《基金法》第二十条、第三十八条禁止的行为。</w:t>
      </w:r>
    </w:p>
    <w:p w:rsidR="004048CB">
      <w:pPr>
        <w:snapToGrid w:val="0"/>
        <w:spacing w:before="100" w:beforeAutospacing="1" w:after="100" w:afterAutospacing="1" w:line="400" w:lineRule="exact"/>
        <w:ind w:firstLine="420"/>
        <w:rPr>
          <w:rFonts w:ascii="宋体" w:hAnsi="宋体"/>
          <w:szCs w:val="21"/>
        </w:rPr>
      </w:pPr>
      <w:r>
        <w:rPr>
          <w:rFonts w:ascii="宋体" w:hAnsi="宋体" w:cs="方正仿宋简体" w:hint="eastAsia"/>
          <w:szCs w:val="21"/>
          <w:highlight w:val="white"/>
        </w:rPr>
        <w:t>（二）《基金法》第七十三条禁止的投资或活动。</w:t>
      </w:r>
    </w:p>
    <w:p w:rsidR="004048CB">
      <w:pPr>
        <w:snapToGrid w:val="0"/>
        <w:spacing w:before="100" w:beforeAutospacing="1" w:after="100" w:afterAutospacing="1" w:line="400" w:lineRule="exact"/>
        <w:ind w:firstLine="420"/>
        <w:rPr>
          <w:rFonts w:ascii="宋体" w:hAnsi="宋体"/>
          <w:szCs w:val="21"/>
        </w:rPr>
      </w:pPr>
      <w:r>
        <w:rPr>
          <w:rFonts w:ascii="宋体" w:hAnsi="宋体" w:cs="方正仿宋简体" w:hint="eastAsia"/>
          <w:szCs w:val="21"/>
          <w:highlight w:val="white"/>
        </w:rPr>
        <w:t>（三）除根据基金管理人的指令或《基金合同》、本协议另有规定外，基金托管人不得动用或处分基金财产。</w:t>
      </w:r>
    </w:p>
    <w:p w:rsidR="004048CB">
      <w:pPr>
        <w:snapToGrid w:val="0"/>
        <w:spacing w:before="100" w:beforeAutospacing="1" w:after="100" w:afterAutospacing="1" w:line="400" w:lineRule="exact"/>
        <w:ind w:firstLine="420"/>
        <w:rPr>
          <w:rFonts w:ascii="宋体" w:hAnsi="宋体"/>
          <w:szCs w:val="21"/>
        </w:rPr>
      </w:pPr>
      <w:r>
        <w:rPr>
          <w:rFonts w:ascii="宋体" w:hAnsi="宋体" w:cs="方正仿宋简体" w:hint="eastAsia"/>
          <w:szCs w:val="21"/>
          <w:highlight w:val="white"/>
        </w:rPr>
        <w:t>（四）基金管理人、基金托管人的高级管理人员和其他从业人员不得相互兼职。</w:t>
      </w:r>
    </w:p>
    <w:p w:rsidR="004048CB">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（五）法律法规、《基金合同》和本协议禁止的其他行为。</w:t>
      </w:r>
    </w:p>
    <w:p w:rsidR="004048CB">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法律法规或监管部门调整上述限制的，本基金从其规定。</w:t>
      </w:r>
    </w:p>
    <w:p w:rsidR="004048CB">
      <w:pPr>
        <w:pStyle w:val="BodyTextIndent"/>
        <w:spacing w:before="100" w:beforeAutospacing="1" w:after="100" w:afterAutospacing="1"/>
        <w:ind w:firstLine="403"/>
        <w:rPr>
          <w:rFonts w:ascii="宋体" w:eastAsia="宋体"/>
          <w:color w:val="auto"/>
          <w:sz w:val="21"/>
          <w:szCs w:val="21"/>
        </w:rPr>
      </w:pPr>
    </w:p>
    <w:p w:rsidR="004048CB">
      <w:pPr>
        <w:pStyle w:val="11"/>
        <w:spacing w:before="100" w:beforeAutospacing="1" w:after="100" w:afterAutospacing="1" w:line="400" w:lineRule="exact"/>
        <w:ind w:firstLine="422"/>
        <w:rPr>
          <w:rFonts w:ascii="宋体" w:hAnsi="宋体"/>
          <w:sz w:val="21"/>
          <w:szCs w:val="21"/>
        </w:rPr>
      </w:pPr>
      <w:bookmarkStart w:id="16" w:name="_Toc116900111"/>
      <w:r>
        <w:rPr>
          <w:rFonts w:ascii="宋体" w:hAnsi="宋体" w:hint="eastAsia"/>
          <w:sz w:val="21"/>
          <w:szCs w:val="21"/>
          <w:highlight w:val="white"/>
        </w:rPr>
        <w:t>十六、托管协议的变更、终止与基金财产的清算</w:t>
      </w:r>
    </w:p>
    <w:p w:rsidR="004048CB">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（一）托管协议的变更</w:t>
      </w:r>
    </w:p>
    <w:p w:rsidR="004048CB">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本协议双方当事人经协商一致，可以对协议进行变更。变更后的新协议，其内容不得与《基金合同》的规定有任何冲突。</w:t>
      </w:r>
    </w:p>
    <w:p w:rsidR="004048CB">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（二）托管协议的终止</w:t>
      </w:r>
    </w:p>
    <w:p w:rsidR="004048CB">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发生以下情况，本托管协议应当终止：</w:t>
      </w:r>
    </w:p>
    <w:p w:rsidR="004048CB">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1、《基金合同》终止；</w:t>
      </w:r>
    </w:p>
    <w:p w:rsidR="004048CB">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2、本基金更换基金托管人；</w:t>
      </w:r>
    </w:p>
    <w:p w:rsidR="004048CB">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3、本基金更换基金管理人；</w:t>
      </w:r>
    </w:p>
    <w:p w:rsidR="004048CB">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4、发生《基金法》、《运作办法》或其他法律法规规定的终止事项。</w:t>
      </w:r>
    </w:p>
    <w:p w:rsidR="004048CB">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（三）基金财产的清算</w:t>
      </w:r>
    </w:p>
    <w:p w:rsidR="004048CB">
      <w:pPr>
        <w:spacing w:before="100" w:beforeAutospacing="1" w:after="100" w:afterAutospacing="1" w:line="400" w:lineRule="exact"/>
        <w:ind w:firstLine="420"/>
        <w:rPr>
          <w:rFonts w:ascii="宋体" w:hAnsi="宋体"/>
          <w:color w:val="000000"/>
          <w:szCs w:val="21"/>
        </w:rPr>
      </w:pPr>
      <w:r>
        <w:rPr>
          <w:rFonts w:ascii="宋体" w:hAnsi="宋体" w:hint="eastAsia"/>
          <w:color w:val="000000"/>
          <w:szCs w:val="21"/>
          <w:highlight w:val="white"/>
        </w:rPr>
        <w:t>基金管理人和基金托管人应按照《基金合同》及有关法律法规的规定对本基金的财产进行清算。</w:t>
      </w:r>
    </w:p>
    <w:p w:rsidR="004048CB">
      <w:pPr>
        <w:spacing w:before="100" w:beforeAutospacing="1" w:after="100" w:afterAutospacing="1" w:line="400" w:lineRule="exact"/>
        <w:ind w:firstLine="449"/>
        <w:rPr>
          <w:rFonts w:ascii="宋体" w:hAnsi="宋体"/>
          <w:szCs w:val="21"/>
        </w:rPr>
      </w:pPr>
    </w:p>
    <w:p w:rsidR="004048CB">
      <w:pPr>
        <w:pStyle w:val="11"/>
        <w:spacing w:before="100" w:beforeAutospacing="1" w:after="100" w:afterAutospacing="1" w:line="400" w:lineRule="exact"/>
        <w:ind w:firstLine="422"/>
        <w:rPr>
          <w:rFonts w:ascii="宋体" w:hAnsi="宋体"/>
          <w:sz w:val="21"/>
          <w:szCs w:val="21"/>
        </w:rPr>
      </w:pPr>
      <w:r>
        <w:rPr>
          <w:rFonts w:ascii="宋体" w:hAnsi="宋体" w:hint="eastAsia"/>
          <w:sz w:val="21"/>
          <w:szCs w:val="21"/>
          <w:highlight w:val="white"/>
        </w:rPr>
        <w:t>十七、违约责任和责任划分</w:t>
      </w:r>
      <w:bookmarkEnd w:id="16"/>
    </w:p>
    <w:p w:rsidR="004048CB">
      <w:pPr>
        <w:snapToGrid w:val="0"/>
        <w:spacing w:before="100" w:beforeAutospacing="1" w:after="100" w:afterAutospacing="1" w:line="400" w:lineRule="exact"/>
        <w:ind w:firstLine="420"/>
        <w:rPr>
          <w:rFonts w:ascii="宋体" w:hAnsi="宋体"/>
          <w:szCs w:val="21"/>
        </w:rPr>
      </w:pPr>
      <w:r>
        <w:rPr>
          <w:rFonts w:ascii="宋体" w:hAnsi="宋体" w:hint="eastAsia"/>
          <w:szCs w:val="21"/>
          <w:highlight w:val="white"/>
        </w:rPr>
        <w:t>（一）</w:t>
      </w:r>
      <w:r>
        <w:rPr>
          <w:rFonts w:ascii="宋体" w:hAnsi="宋体" w:cs="方正仿宋简体" w:hint="eastAsia"/>
          <w:szCs w:val="21"/>
          <w:highlight w:val="white"/>
        </w:rPr>
        <w:t>本协议当事人不履行本协议或履行本协议不符合约定的，应当承担违约责任。</w:t>
      </w:r>
    </w:p>
    <w:p w:rsidR="004048CB">
      <w:pPr>
        <w:snapToGrid w:val="0"/>
        <w:spacing w:before="100" w:beforeAutospacing="1" w:after="100" w:afterAutospacing="1" w:line="400" w:lineRule="exact"/>
        <w:ind w:firstLine="420"/>
        <w:rPr>
          <w:rFonts w:ascii="宋体" w:hAnsi="宋体" w:cs="方正仿宋简体"/>
          <w:szCs w:val="21"/>
        </w:rPr>
      </w:pPr>
      <w:r>
        <w:rPr>
          <w:rFonts w:ascii="宋体" w:hAnsi="宋体" w:cs="方正仿宋简体" w:hint="eastAsia"/>
          <w:szCs w:val="21"/>
          <w:highlight w:val="white"/>
        </w:rPr>
        <w:t>（二）因本协议当事人违约给基金财产或者基金份额持有人造成损害的，应当分别对各自的行为依法承担赔偿责任，因共同行为给基金财产或者基金份额持有人造成损害的，应当承担连带赔偿责任。</w:t>
      </w:r>
      <w:r>
        <w:rPr>
          <w:rFonts w:ascii="宋体" w:hAnsi="宋体" w:cs="方正仿宋简体"/>
          <w:szCs w:val="21"/>
          <w:highlight w:val="white"/>
        </w:rPr>
        <w:t>对损失的赔偿，仅限于直接损失。</w:t>
      </w:r>
      <w:r>
        <w:rPr>
          <w:rFonts w:ascii="宋体" w:hAnsi="宋体" w:cs="方正仿宋简体" w:hint="eastAsia"/>
          <w:szCs w:val="21"/>
          <w:highlight w:val="white"/>
        </w:rPr>
        <w:t>但是发生下列情况，当事人免责：</w:t>
      </w:r>
    </w:p>
    <w:p w:rsidR="004048CB">
      <w:pPr>
        <w:snapToGrid w:val="0"/>
        <w:spacing w:before="100" w:beforeAutospacing="1" w:after="100" w:afterAutospacing="1" w:line="400" w:lineRule="exact"/>
        <w:ind w:firstLine="420"/>
        <w:rPr>
          <w:rFonts w:ascii="宋体" w:hAnsi="宋体" w:cs="方正仿宋简体"/>
          <w:szCs w:val="21"/>
        </w:rPr>
      </w:pPr>
      <w:r>
        <w:rPr>
          <w:rFonts w:ascii="宋体" w:hAnsi="宋体" w:cs="方正仿宋简体" w:hint="eastAsia"/>
          <w:szCs w:val="21"/>
          <w:highlight w:val="white"/>
        </w:rPr>
        <w:t>1、不可抗力；</w:t>
      </w:r>
    </w:p>
    <w:p w:rsidR="004048CB">
      <w:pPr>
        <w:snapToGrid w:val="0"/>
        <w:spacing w:before="100" w:beforeAutospacing="1" w:after="100" w:afterAutospacing="1" w:line="400" w:lineRule="exact"/>
        <w:ind w:firstLine="420"/>
        <w:rPr>
          <w:rFonts w:ascii="宋体" w:hAnsi="宋体" w:cs="方正仿宋简体"/>
          <w:szCs w:val="21"/>
        </w:rPr>
      </w:pPr>
      <w:r>
        <w:rPr>
          <w:rFonts w:ascii="宋体" w:hAnsi="宋体" w:cs="方正仿宋简体" w:hint="eastAsia"/>
          <w:szCs w:val="21"/>
          <w:highlight w:val="white"/>
        </w:rPr>
        <w:t>2、基金管理人和/或基金托管人按照当时有效的法律法规或中国证监会的规定作为或不作为而造成的损失等；</w:t>
      </w:r>
    </w:p>
    <w:p w:rsidR="004048CB">
      <w:pPr>
        <w:snapToGrid w:val="0"/>
        <w:spacing w:before="100" w:beforeAutospacing="1" w:after="100" w:afterAutospacing="1" w:line="400" w:lineRule="exact"/>
        <w:ind w:firstLine="420"/>
        <w:rPr>
          <w:rFonts w:ascii="宋体" w:hAnsi="宋体" w:cs="方正仿宋简体"/>
          <w:szCs w:val="21"/>
        </w:rPr>
      </w:pPr>
      <w:r>
        <w:rPr>
          <w:rFonts w:ascii="宋体" w:hAnsi="宋体" w:cs="方正仿宋简体" w:hint="eastAsia"/>
          <w:szCs w:val="21"/>
          <w:highlight w:val="white"/>
        </w:rPr>
        <w:t>3、基金管理人由于按照基金合同规定的投资原则投资或不投资造成的损失等；</w:t>
      </w:r>
    </w:p>
    <w:p w:rsidR="004048CB">
      <w:pPr>
        <w:spacing w:before="100" w:beforeAutospacing="1" w:after="100" w:afterAutospacing="1" w:line="400" w:lineRule="exact"/>
        <w:ind w:firstLine="420"/>
        <w:rPr>
          <w:rFonts w:ascii="宋体" w:hAnsi="宋体"/>
          <w:szCs w:val="21"/>
        </w:rPr>
      </w:pPr>
      <w:r>
        <w:rPr>
          <w:rFonts w:ascii="宋体" w:hAnsi="宋体"/>
          <w:szCs w:val="21"/>
          <w:highlight w:val="white"/>
        </w:rPr>
        <w:t>4、基金托管人对存放或存管在基金托管人以外机构的基金资产，或交由证券公司等其他机构负责清算交收的基金资产及其收益不承担任何责任；</w:t>
      </w:r>
    </w:p>
    <w:p w:rsidR="004048CB">
      <w:pPr>
        <w:spacing w:line="360" w:lineRule="auto"/>
        <w:ind w:firstLine="420"/>
        <w:rPr>
          <w:rFonts w:ascii="宋体" w:hAnsi="宋体"/>
          <w:szCs w:val="21"/>
        </w:rPr>
      </w:pPr>
      <w:r>
        <w:rPr>
          <w:rFonts w:ascii="宋体" w:hAnsi="宋体"/>
          <w:szCs w:val="21"/>
          <w:highlight w:val="white"/>
        </w:rPr>
        <w:t>5、计算机系统故障、网络故障、通讯故障、电力故障、计算机病毒攻击及其它非基金管理人、基金托管人过错造成的意外事故。</w:t>
      </w:r>
    </w:p>
    <w:p w:rsidR="004048CB">
      <w:pPr>
        <w:spacing w:before="100" w:beforeAutospacing="1" w:after="100" w:afterAutospacing="1" w:line="400" w:lineRule="exact"/>
        <w:ind w:firstLine="420"/>
        <w:rPr>
          <w:rFonts w:ascii="宋体"/>
          <w:szCs w:val="21"/>
        </w:rPr>
      </w:pPr>
      <w:r>
        <w:rPr>
          <w:rFonts w:ascii="宋体" w:hint="eastAsia"/>
          <w:szCs w:val="21"/>
          <w:highlight w:val="white"/>
        </w:rPr>
        <w:t>（三）一方当事人违反本协议，给另一方当事人造成损失的，应承担赔偿责任。</w:t>
      </w:r>
    </w:p>
    <w:p w:rsidR="004048CB">
      <w:pPr>
        <w:snapToGrid w:val="0"/>
        <w:spacing w:before="100" w:beforeAutospacing="1" w:after="100" w:afterAutospacing="1" w:line="400" w:lineRule="exact"/>
        <w:ind w:firstLine="420"/>
        <w:rPr>
          <w:rFonts w:ascii="宋体" w:hAnsi="宋体"/>
          <w:szCs w:val="21"/>
        </w:rPr>
      </w:pPr>
      <w:r>
        <w:rPr>
          <w:rFonts w:ascii="宋体" w:hAnsi="宋体" w:hint="eastAsia"/>
          <w:szCs w:val="21"/>
          <w:highlight w:val="white"/>
        </w:rPr>
        <w:t>（四）因不可抗力不能履行本协议的，根据不可抗力的影响，违约方部分或全部免除责任，但法律另有规定的除外。当事人迟延履行后发生不可抗力的，不能免除责任。</w:t>
      </w:r>
    </w:p>
    <w:p w:rsidR="004048CB">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（五）当事人一方违约，另一方在职责范围内有义务及时采取必要的措施，尽力防止损失的扩大。</w:t>
      </w:r>
    </w:p>
    <w:p w:rsidR="004048CB">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（六）违约行为虽已发生，但本协议能够继续履行的，在最大限度地保护基金份额持有人利益的前提下，基金管理人和基金托管人应当继续履行本协议。</w:t>
      </w:r>
    </w:p>
    <w:p w:rsidR="004048CB">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（七）为明确责任，在不影响本协议本条其他规定的普遍适用性的前提下，基金管理人和基金托管人对由于如下行为造成的损失的责任承担问题，明确如下：</w:t>
      </w:r>
    </w:p>
    <w:p w:rsidR="004048CB">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1、由于下达违法、违规的指令所导致的责任，由基金管理人承担；</w:t>
      </w:r>
    </w:p>
    <w:p w:rsidR="004048CB">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 xml:space="preserve">2、指令下达人员在授权通知载明的权限范围内下达的指令所导致的责任，由基金管理人承担，即使该人员下达指令并没有获得基金管理人的实际授权（例如基金管理人在撤销或变更授权权限后未能及时通知基金托管人）； </w:t>
      </w:r>
    </w:p>
    <w:p w:rsidR="004048CB">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3、基金托管人未对指令上签名和印鉴与预留签字样本和预留印鉴进行表面一致性审核，导致基金托管人执行了应当无效的指令，基金管理人与基金托管人应根据各自过错程度承担责任；</w:t>
      </w:r>
    </w:p>
    <w:p w:rsidR="004048CB">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4、属于基金托管人实际有效控制下的基金财产（包括实物证券）在基金托管人保管期间的损坏、灭失，由此产生的责任应由该基金托管人承担；</w:t>
      </w:r>
    </w:p>
    <w:p w:rsidR="004048CB">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5、基金管理人应承担对其应收取的管理费数额计算错误的责任。如果基金托管人复核后同意基金管理人的计算结果，则基金托管人也应承担未正确履行复核义务的相应责任；</w:t>
      </w:r>
    </w:p>
    <w:p w:rsidR="004048CB">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6、基金管理人应承担对基金托管人应收取的托管费数额计算错误的责任。如果基金托管人复核后同意基金管理人的计算结果，则基金托管人也应承担未正确履行复核义务的相应责任；</w:t>
      </w:r>
    </w:p>
    <w:p w:rsidR="004048CB">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7、由于基金管理人或托管人原因导致本基金不能依据中国证券登记结算有限责任公司的业务规则及时清算的，由责任方承担由此给基金财产、基金份额持有人及受损害方造成的直接损失，若由于双方原因导致本基金不能依据中国证券登记结算有限责任公司的业务规则及时清算的，双方应按照各自的过错程度对造成的直接损失合理分担责任；</w:t>
      </w:r>
    </w:p>
    <w:p w:rsidR="004048CB">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8、</w:t>
      </w:r>
      <w:r>
        <w:rPr>
          <w:rFonts w:ascii="宋体" w:eastAsia="宋体"/>
          <w:color w:val="auto"/>
          <w:sz w:val="21"/>
          <w:szCs w:val="21"/>
          <w:highlight w:val="white"/>
        </w:rPr>
        <w:t>在资金交收日，基金资金账户资金首先用于</w:t>
      </w:r>
      <w:r>
        <w:rPr>
          <w:rFonts w:ascii="宋体" w:eastAsia="宋体" w:hint="eastAsia"/>
          <w:color w:val="auto"/>
          <w:sz w:val="21"/>
          <w:szCs w:val="21"/>
          <w:highlight w:val="white"/>
        </w:rPr>
        <w:t>中国证券登记结算有限责任公司的担保交收业务的资金交收义务</w:t>
      </w:r>
      <w:r>
        <w:rPr>
          <w:rFonts w:ascii="宋体" w:eastAsia="宋体"/>
          <w:color w:val="auto"/>
          <w:sz w:val="21"/>
          <w:szCs w:val="21"/>
          <w:highlight w:val="white"/>
        </w:rPr>
        <w:t>，交收完成后资金余额方可用于新股申购。如果因此资金不足造成新股申购失败或者新股申购不足，基金托管人不承担任何责任。如基金份额持有人因此提出赔偿要求，相关法律责任和损失由基金管理人承担。</w:t>
      </w:r>
    </w:p>
    <w:p w:rsidR="004048CB">
      <w:pPr>
        <w:pStyle w:val="11"/>
        <w:spacing w:before="100" w:beforeAutospacing="1" w:after="100" w:afterAutospacing="1" w:line="400" w:lineRule="exact"/>
        <w:ind w:firstLine="422"/>
        <w:rPr>
          <w:rFonts w:ascii="宋体" w:hAnsi="宋体"/>
          <w:sz w:val="21"/>
          <w:szCs w:val="21"/>
        </w:rPr>
      </w:pPr>
      <w:bookmarkStart w:id="17" w:name="_Toc116900112"/>
      <w:r>
        <w:rPr>
          <w:rFonts w:ascii="宋体" w:hAnsi="宋体" w:hint="eastAsia"/>
          <w:sz w:val="21"/>
          <w:szCs w:val="21"/>
          <w:highlight w:val="white"/>
        </w:rPr>
        <w:t>十八、适用法律与争议解决</w:t>
      </w:r>
      <w:bookmarkEnd w:id="17"/>
      <w:r>
        <w:rPr>
          <w:rFonts w:ascii="宋体" w:hAnsi="宋体" w:hint="eastAsia"/>
          <w:sz w:val="21"/>
          <w:szCs w:val="21"/>
          <w:highlight w:val="white"/>
        </w:rPr>
        <w:t>方式</w:t>
      </w:r>
    </w:p>
    <w:p w:rsidR="004048CB">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（一）本协议适用中华人民共和国法律（为本协议之目的，不包括香港特别行政区、澳门特别行政区和台湾地区法律）并从其解释。</w:t>
      </w:r>
    </w:p>
    <w:p w:rsidR="004048CB">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二）基金管理人与基金托管人之间因本协议产生的或与本协议有关的争议可通过友好协商解决。但若自一方书面提出协商解决争议之日起60日内争议未能以协商方式解决的，则任何一方有权将争议提交位于北京的中国国际经济贸易仲裁委员会，并按其时有效的仲裁规则进行仲裁。仲裁裁决是终局的，对仲裁各方当事人均具有约束力。除非仲裁裁决另有规定，仲裁费用由败诉方承担。</w:t>
      </w:r>
    </w:p>
    <w:p w:rsidR="004048CB">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（三）除争议所涉的内容之外，本协议的当事人仍应履行本协议的其他规定。</w:t>
      </w:r>
    </w:p>
    <w:p w:rsidR="004048CB">
      <w:pPr>
        <w:pStyle w:val="BodyTextIndent"/>
        <w:spacing w:before="100" w:beforeAutospacing="1" w:after="100" w:afterAutospacing="1"/>
        <w:ind w:firstLine="403"/>
        <w:rPr>
          <w:rFonts w:ascii="宋体" w:eastAsia="宋体"/>
          <w:color w:val="auto"/>
          <w:sz w:val="21"/>
          <w:szCs w:val="21"/>
        </w:rPr>
      </w:pPr>
    </w:p>
    <w:p w:rsidR="004048CB">
      <w:pPr>
        <w:pStyle w:val="11"/>
        <w:spacing w:before="100" w:beforeAutospacing="1" w:after="100" w:afterAutospacing="1" w:line="400" w:lineRule="exact"/>
        <w:ind w:firstLine="422"/>
        <w:rPr>
          <w:rFonts w:ascii="宋体" w:hAnsi="宋体"/>
          <w:sz w:val="21"/>
          <w:szCs w:val="21"/>
        </w:rPr>
      </w:pPr>
      <w:bookmarkStart w:id="18" w:name="_Toc116900113"/>
      <w:r>
        <w:rPr>
          <w:rFonts w:ascii="宋体" w:hAnsi="宋体" w:hint="eastAsia"/>
          <w:sz w:val="21"/>
          <w:szCs w:val="21"/>
          <w:highlight w:val="white"/>
        </w:rPr>
        <w:t>十九、托管协议的效力</w:t>
      </w:r>
      <w:bookmarkEnd w:id="18"/>
    </w:p>
    <w:p w:rsidR="004048CB">
      <w:pPr>
        <w:snapToGrid w:val="0"/>
        <w:spacing w:before="100" w:beforeAutospacing="1" w:after="100" w:afterAutospacing="1" w:line="400" w:lineRule="exact"/>
        <w:ind w:firstLine="420"/>
        <w:rPr>
          <w:rFonts w:ascii="宋体" w:hAnsi="宋体"/>
          <w:szCs w:val="21"/>
        </w:rPr>
      </w:pPr>
      <w:r>
        <w:rPr>
          <w:rFonts w:ascii="宋体" w:hAnsi="宋体" w:cs="方正仿宋简体" w:hint="eastAsia"/>
          <w:szCs w:val="21"/>
          <w:highlight w:val="white"/>
        </w:rPr>
        <w:t>（一）基金管理人在向中国证监会申请发售基金份额时提交的基金托管协议草案，应经托管协议双方当事人的法定代表人或授权签字人签字或签章并加盖公章，协议当事人双方根据中国证监会的意见修改托管协议草案。托管协议以中国证监会注册的文本为正式文本。</w:t>
      </w:r>
    </w:p>
    <w:p w:rsidR="004048CB">
      <w:pPr>
        <w:snapToGrid w:val="0"/>
        <w:spacing w:before="100" w:beforeAutospacing="1" w:after="100" w:afterAutospacing="1" w:line="400" w:lineRule="exact"/>
        <w:ind w:firstLine="420"/>
        <w:rPr>
          <w:rFonts w:ascii="宋体" w:hAnsi="宋体"/>
          <w:szCs w:val="21"/>
        </w:rPr>
      </w:pPr>
      <w:r>
        <w:rPr>
          <w:rFonts w:ascii="宋体" w:hAnsi="宋体" w:cs="方正仿宋简体" w:hint="eastAsia"/>
          <w:szCs w:val="21"/>
          <w:highlight w:val="white"/>
        </w:rPr>
        <w:t>（二）本协议自</w:t>
      </w:r>
      <w:r>
        <w:rPr>
          <w:rFonts w:ascii="宋体" w:hAnsi="宋体" w:hint="eastAsia"/>
          <w:szCs w:val="21"/>
          <w:highlight w:val="white"/>
        </w:rPr>
        <w:t>双方签署</w:t>
      </w:r>
      <w:r>
        <w:rPr>
          <w:rFonts w:ascii="宋体" w:hAnsi="宋体" w:cs="方正仿宋简体" w:hint="eastAsia"/>
          <w:szCs w:val="21"/>
          <w:highlight w:val="white"/>
        </w:rPr>
        <w:t>之日起成立，自基金合同生效之日起生效。本协议的有效期自其生效之日起至基金财产清算结果报中国证监会备案并公告之日止。</w:t>
      </w:r>
    </w:p>
    <w:p w:rsidR="004048CB">
      <w:pPr>
        <w:snapToGrid w:val="0"/>
        <w:spacing w:before="100" w:beforeAutospacing="1" w:after="100" w:afterAutospacing="1" w:line="400" w:lineRule="exact"/>
        <w:ind w:firstLine="420"/>
        <w:rPr>
          <w:rFonts w:ascii="宋体" w:hAnsi="宋体"/>
          <w:szCs w:val="21"/>
        </w:rPr>
      </w:pPr>
      <w:r>
        <w:rPr>
          <w:rFonts w:ascii="宋体" w:hAnsi="宋体" w:cs="方正仿宋简体" w:hint="eastAsia"/>
          <w:szCs w:val="21"/>
          <w:highlight w:val="white"/>
        </w:rPr>
        <w:t>（三）本协议自生效之日起对双方当事人具有同等的法律约束力。</w:t>
      </w:r>
    </w:p>
    <w:p w:rsidR="004048CB">
      <w:pPr>
        <w:pStyle w:val="BodyTextIndent"/>
        <w:spacing w:before="100" w:beforeAutospacing="1" w:after="100" w:afterAutospacing="1"/>
        <w:ind w:firstLine="403"/>
        <w:rPr>
          <w:rFonts w:ascii="宋体" w:eastAsia="宋体"/>
          <w:color w:val="auto"/>
          <w:sz w:val="21"/>
          <w:szCs w:val="21"/>
        </w:rPr>
      </w:pPr>
      <w:r>
        <w:rPr>
          <w:rFonts w:ascii="宋体" w:eastAsia="宋体" w:cs="方正仿宋简体" w:hint="eastAsia"/>
          <w:sz w:val="21"/>
          <w:szCs w:val="21"/>
          <w:highlight w:val="white"/>
        </w:rPr>
        <w:t>（四）</w:t>
      </w:r>
      <w:r>
        <w:rPr>
          <w:rFonts w:ascii="宋体" w:eastAsia="宋体" w:hint="eastAsia"/>
          <w:color w:val="auto"/>
          <w:sz w:val="21"/>
          <w:szCs w:val="21"/>
          <w:highlight w:val="white"/>
        </w:rPr>
        <w:t>本协议正本一式3份，除上报有关监管机构</w:t>
      </w:r>
      <w:r>
        <w:rPr>
          <w:rFonts w:ascii="宋体" w:eastAsia="宋体"/>
          <w:color w:val="auto"/>
          <w:sz w:val="21"/>
          <w:szCs w:val="21"/>
          <w:highlight w:val="white"/>
        </w:rPr>
        <w:t>1</w:t>
      </w:r>
      <w:r>
        <w:rPr>
          <w:rFonts w:ascii="宋体" w:eastAsia="宋体" w:hint="eastAsia"/>
          <w:color w:val="auto"/>
          <w:sz w:val="21"/>
          <w:szCs w:val="21"/>
          <w:highlight w:val="white"/>
        </w:rPr>
        <w:t>份外，基金管理人和基金托管人各持有1份，每份具有同等法律效力。</w:t>
      </w:r>
    </w:p>
    <w:p w:rsidR="004048CB">
      <w:pPr>
        <w:pStyle w:val="11"/>
        <w:spacing w:before="100" w:beforeAutospacing="1" w:after="100" w:afterAutospacing="1" w:line="400" w:lineRule="exact"/>
        <w:ind w:firstLine="422"/>
        <w:rPr>
          <w:rFonts w:ascii="宋体" w:hAnsi="宋体"/>
          <w:sz w:val="21"/>
          <w:szCs w:val="21"/>
        </w:rPr>
      </w:pPr>
      <w:bookmarkStart w:id="19" w:name="_Toc116900116"/>
    </w:p>
    <w:p w:rsidR="004048CB">
      <w:pPr>
        <w:pStyle w:val="11"/>
        <w:spacing w:before="100" w:beforeAutospacing="1" w:after="100" w:afterAutospacing="1" w:line="400" w:lineRule="exact"/>
        <w:ind w:firstLine="422"/>
        <w:rPr>
          <w:rFonts w:ascii="宋体" w:hAnsi="宋体"/>
          <w:sz w:val="21"/>
          <w:szCs w:val="21"/>
        </w:rPr>
      </w:pPr>
      <w:r>
        <w:rPr>
          <w:rFonts w:ascii="宋体" w:hAnsi="宋体"/>
          <w:sz w:val="21"/>
          <w:szCs w:val="21"/>
          <w:highlight w:val="white"/>
        </w:rPr>
        <w:t>二十、托管协议</w:t>
      </w:r>
      <w:bookmarkEnd w:id="19"/>
      <w:r>
        <w:rPr>
          <w:rFonts w:ascii="宋体" w:hAnsi="宋体" w:hint="eastAsia"/>
          <w:sz w:val="21"/>
          <w:szCs w:val="21"/>
          <w:highlight w:val="white"/>
        </w:rPr>
        <w:t>的签订</w:t>
      </w:r>
    </w:p>
    <w:p w:rsidR="004048CB">
      <w:pPr>
        <w:pStyle w:val="BodyTextIndent"/>
        <w:spacing w:before="100" w:beforeAutospacing="1" w:after="100" w:afterAutospacing="1"/>
        <w:ind w:firstLine="403"/>
        <w:rPr>
          <w:rFonts w:ascii="宋体" w:eastAsia="宋体"/>
          <w:sz w:val="21"/>
          <w:szCs w:val="21"/>
        </w:rPr>
      </w:pPr>
      <w:r>
        <w:rPr>
          <w:rFonts w:ascii="宋体" w:eastAsia="宋体" w:hint="eastAsia"/>
          <w:color w:val="auto"/>
          <w:sz w:val="21"/>
          <w:szCs w:val="21"/>
          <w:highlight w:val="white"/>
        </w:rPr>
        <w:t>见签署页。</w:t>
      </w:r>
    </w:p>
    <w:p w:rsidR="004048CB">
      <w:pPr>
        <w:pStyle w:val="BodyTextIndent"/>
        <w:spacing w:before="100" w:beforeAutospacing="1" w:after="100" w:afterAutospacing="1"/>
        <w:ind w:firstLine="403"/>
        <w:rPr>
          <w:rFonts w:ascii="宋体" w:eastAsia="宋体"/>
          <w:sz w:val="21"/>
          <w:szCs w:val="21"/>
        </w:rPr>
        <w:sectPr>
          <w:footerReference w:type="even" r:id="rId5"/>
          <w:footerReference w:type="default" r:id="rId6"/>
          <w:type w:val="continuous"/>
          <w:pgSz w:w="11906" w:h="16838"/>
          <w:pgMar w:top="1440" w:right="1800" w:bottom="1440" w:left="1800" w:header="851" w:footer="992" w:gutter="0"/>
          <w:pgNumType w:start="0"/>
          <w:cols w:space="425"/>
          <w:titlePg/>
          <w:docGrid w:type="lines" w:linePitch="312"/>
        </w:sectPr>
      </w:pPr>
      <w:r>
        <w:rPr>
          <w:rFonts w:ascii="宋体" w:eastAsia="宋体" w:hint="eastAsia"/>
          <w:sz w:val="21"/>
          <w:szCs w:val="21"/>
          <w:highlight w:val="white"/>
        </w:rPr>
        <w:t>（以下无正文）</w:t>
      </w:r>
    </w:p>
    <w:p w:rsidR="004048CB">
      <w:pPr>
        <w:spacing w:line="360" w:lineRule="auto"/>
        <w:rPr>
          <w:rFonts w:ascii="宋体"/>
          <w:szCs w:val="21"/>
        </w:rPr>
      </w:pPr>
      <w:r>
        <w:rPr>
          <w:rFonts w:ascii="宋体" w:hint="eastAsia"/>
          <w:szCs w:val="21"/>
          <w:highlight w:val="white"/>
        </w:rPr>
        <w:t>本页无正文，为《</w:t>
      </w:r>
      <w:r>
        <w:rPr>
          <w:rFonts w:ascii="宋体" w:hint="eastAsia"/>
          <w:szCs w:val="21"/>
        </w:rPr>
        <w:t>易方达港股通周期精选混合型证券投资基金</w:t>
      </w:r>
      <w:r>
        <w:rPr>
          <w:rFonts w:ascii="宋体" w:hint="eastAsia"/>
          <w:szCs w:val="21"/>
          <w:highlight w:val="white"/>
        </w:rPr>
        <w:t>托管协议》</w:t>
      </w:r>
      <w:r>
        <w:rPr>
          <w:rFonts w:ascii="宋体"/>
          <w:highlight w:val="white"/>
        </w:rPr>
        <w:t>的签字盖章页。</w:t>
      </w:r>
    </w:p>
    <w:p w:rsidR="004048CB">
      <w:pPr>
        <w:pStyle w:val="Web"/>
        <w:spacing w:line="400" w:lineRule="exact"/>
        <w:rPr>
          <w:color w:val="000000"/>
          <w:sz w:val="21"/>
          <w:szCs w:val="21"/>
        </w:rPr>
      </w:pPr>
      <w:r>
        <w:rPr>
          <w:color w:val="000000"/>
          <w:sz w:val="21"/>
          <w:szCs w:val="21"/>
          <w:highlight w:val="white"/>
        </w:rPr>
        <w:t>　　</w:t>
      </w:r>
    </w:p>
    <w:p w:rsidR="004048CB">
      <w:pPr>
        <w:spacing w:line="360" w:lineRule="auto"/>
        <w:ind w:right="26"/>
      </w:pPr>
      <w:r>
        <w:rPr>
          <w:rFonts w:ascii="宋体" w:hAnsi="宋体" w:cs="宋体"/>
          <w:b/>
          <w:color w:val="000000"/>
          <w:sz w:val="22"/>
          <w:highlight w:val="white"/>
        </w:rPr>
        <w:t>《托管协议》当事人盖章及法定代表人或授权代表签字/签章、签订地、签订日</w:t>
      </w:r>
    </w:p>
    <w:p w:rsidR="004048CB">
      <w:pPr>
        <w:spacing w:line="360" w:lineRule="auto"/>
        <w:ind w:right="26"/>
      </w:pPr>
      <w:r>
        <w:rPr>
          <w:rFonts w:ascii="宋体" w:hAnsi="宋体" w:cs="宋体"/>
          <w:color w:val="000000"/>
          <w:sz w:val="22"/>
          <w:highlight w:val="white"/>
        </w:rPr>
        <w:t> </w:t>
      </w:r>
    </w:p>
    <w:p w:rsidR="004048CB">
      <w:pPr>
        <w:spacing w:line="360" w:lineRule="auto"/>
        <w:ind w:right="26"/>
      </w:pPr>
      <w:r>
        <w:rPr>
          <w:rFonts w:ascii="宋体" w:hAnsi="宋体" w:cs="宋体"/>
          <w:color w:val="000000"/>
          <w:sz w:val="22"/>
          <w:highlight w:val="white"/>
        </w:rPr>
        <w:t> </w:t>
      </w:r>
    </w:p>
    <w:p w:rsidR="004048CB">
      <w:pPr>
        <w:spacing w:line="360" w:lineRule="auto"/>
        <w:ind w:right="26"/>
      </w:pPr>
      <w:r>
        <w:rPr>
          <w:rFonts w:ascii="宋体" w:hAnsi="宋体" w:cs="宋体"/>
          <w:b/>
          <w:color w:val="000000"/>
          <w:sz w:val="22"/>
          <w:highlight w:val="white"/>
        </w:rPr>
        <w:t>基金管理人：易方达基金管理有限公司（章）</w:t>
      </w:r>
    </w:p>
    <w:p w:rsidR="004048CB">
      <w:pPr>
        <w:spacing w:line="360" w:lineRule="auto"/>
        <w:ind w:right="26"/>
      </w:pPr>
      <w:r>
        <w:rPr>
          <w:rFonts w:ascii="宋体" w:hAnsi="宋体" w:cs="宋体"/>
          <w:b/>
          <w:color w:val="000000"/>
          <w:sz w:val="22"/>
          <w:highlight w:val="white"/>
        </w:rPr>
        <w:t> </w:t>
      </w:r>
    </w:p>
    <w:p w:rsidR="004048CB">
      <w:pPr>
        <w:spacing w:line="360" w:lineRule="auto"/>
        <w:ind w:right="26"/>
      </w:pPr>
      <w:r>
        <w:rPr>
          <w:rFonts w:ascii="宋体" w:hAnsi="宋体" w:cs="宋体"/>
          <w:b/>
          <w:color w:val="000000"/>
          <w:sz w:val="22"/>
          <w:highlight w:val="white"/>
        </w:rPr>
        <w:t> </w:t>
      </w:r>
    </w:p>
    <w:p w:rsidR="004048CB">
      <w:pPr>
        <w:spacing w:line="360" w:lineRule="auto"/>
        <w:ind w:right="26"/>
      </w:pPr>
      <w:r>
        <w:rPr>
          <w:rFonts w:ascii="宋体" w:hAnsi="宋体" w:cs="宋体"/>
          <w:b/>
          <w:color w:val="000000"/>
          <w:sz w:val="22"/>
          <w:highlight w:val="white"/>
        </w:rPr>
        <w:t xml:space="preserve">法定代表人或授权代表（签字/签章）：                   </w:t>
      </w:r>
    </w:p>
    <w:p w:rsidR="004048CB">
      <w:pPr>
        <w:spacing w:line="360" w:lineRule="auto"/>
        <w:ind w:right="26"/>
      </w:pPr>
      <w:r>
        <w:rPr>
          <w:rFonts w:ascii="宋体" w:hAnsi="宋体" w:cs="宋体"/>
          <w:b/>
          <w:color w:val="000000"/>
          <w:sz w:val="22"/>
          <w:highlight w:val="white"/>
        </w:rPr>
        <w:t> </w:t>
      </w:r>
    </w:p>
    <w:p w:rsidR="004048CB">
      <w:pPr>
        <w:spacing w:line="360" w:lineRule="auto"/>
        <w:ind w:right="26"/>
      </w:pPr>
      <w:r>
        <w:rPr>
          <w:rFonts w:ascii="宋体" w:hAnsi="宋体" w:cs="宋体"/>
          <w:b/>
          <w:color w:val="000000"/>
          <w:sz w:val="22"/>
          <w:highlight w:val="white"/>
        </w:rPr>
        <w:t> </w:t>
      </w:r>
    </w:p>
    <w:p w:rsidR="004048CB">
      <w:pPr>
        <w:spacing w:line="360" w:lineRule="auto"/>
        <w:ind w:right="26"/>
      </w:pPr>
      <w:r>
        <w:rPr>
          <w:rFonts w:ascii="宋体" w:hAnsi="宋体" w:cs="宋体"/>
          <w:b/>
          <w:color w:val="000000"/>
          <w:sz w:val="22"/>
          <w:highlight w:val="white"/>
        </w:rPr>
        <w:t> </w:t>
      </w:r>
    </w:p>
    <w:p w:rsidR="004048CB">
      <w:pPr>
        <w:spacing w:line="360" w:lineRule="auto"/>
        <w:ind w:right="26"/>
      </w:pPr>
      <w:r>
        <w:rPr>
          <w:rFonts w:ascii="宋体" w:hAnsi="宋体" w:cs="宋体"/>
          <w:b/>
          <w:color w:val="000000"/>
          <w:sz w:val="22"/>
          <w:highlight w:val="white"/>
        </w:rPr>
        <w:t> </w:t>
      </w:r>
    </w:p>
    <w:p w:rsidR="004048CB">
      <w:pPr>
        <w:spacing w:line="360" w:lineRule="auto"/>
        <w:ind w:right="26"/>
      </w:pPr>
      <w:r>
        <w:rPr>
          <w:rFonts w:ascii="宋体" w:hAnsi="宋体" w:cs="宋体"/>
          <w:b/>
          <w:color w:val="000000"/>
          <w:sz w:val="22"/>
          <w:highlight w:val="white"/>
        </w:rPr>
        <w:t> </w:t>
      </w:r>
    </w:p>
    <w:p w:rsidR="004048CB">
      <w:pPr>
        <w:spacing w:line="360" w:lineRule="auto"/>
        <w:ind w:right="26"/>
      </w:pPr>
      <w:r>
        <w:rPr>
          <w:rFonts w:ascii="宋体" w:hAnsi="宋体" w:cs="宋体"/>
          <w:b/>
          <w:color w:val="000000"/>
          <w:sz w:val="22"/>
          <w:highlight w:val="white"/>
        </w:rPr>
        <w:t> </w:t>
      </w:r>
    </w:p>
    <w:p w:rsidR="004048CB">
      <w:pPr>
        <w:spacing w:line="360" w:lineRule="auto"/>
        <w:ind w:right="26"/>
      </w:pPr>
      <w:r>
        <w:rPr>
          <w:rFonts w:ascii="宋体" w:hAnsi="宋体" w:cs="宋体"/>
          <w:b/>
          <w:color w:val="000000"/>
          <w:sz w:val="22"/>
          <w:highlight w:val="white"/>
        </w:rPr>
        <w:t>基金托管人：中国银行股份有限公司（章）</w:t>
      </w:r>
    </w:p>
    <w:p w:rsidR="004048CB">
      <w:pPr>
        <w:spacing w:line="360" w:lineRule="auto"/>
        <w:ind w:right="26"/>
      </w:pPr>
      <w:r>
        <w:rPr>
          <w:rFonts w:ascii="宋体" w:hAnsi="宋体" w:cs="宋体"/>
          <w:b/>
          <w:color w:val="000000"/>
          <w:sz w:val="22"/>
          <w:highlight w:val="white"/>
        </w:rPr>
        <w:t> </w:t>
      </w:r>
    </w:p>
    <w:p w:rsidR="004048CB">
      <w:pPr>
        <w:spacing w:line="360" w:lineRule="auto"/>
        <w:ind w:right="26"/>
      </w:pPr>
      <w:r>
        <w:rPr>
          <w:rFonts w:ascii="宋体" w:hAnsi="宋体" w:cs="宋体"/>
          <w:b/>
          <w:color w:val="000000"/>
          <w:sz w:val="22"/>
          <w:highlight w:val="white"/>
        </w:rPr>
        <w:t> </w:t>
      </w:r>
    </w:p>
    <w:p w:rsidR="004048CB">
      <w:pPr>
        <w:spacing w:line="360" w:lineRule="auto"/>
        <w:ind w:right="26"/>
      </w:pPr>
      <w:r>
        <w:rPr>
          <w:rFonts w:ascii="宋体" w:hAnsi="宋体" w:cs="宋体"/>
          <w:b/>
          <w:color w:val="000000"/>
          <w:sz w:val="22"/>
          <w:highlight w:val="white"/>
        </w:rPr>
        <w:t xml:space="preserve">法定代表人或授权代表（签字/签章）：                   </w:t>
      </w:r>
    </w:p>
    <w:p w:rsidR="004048CB">
      <w:pPr>
        <w:spacing w:line="360" w:lineRule="auto"/>
        <w:ind w:right="26"/>
      </w:pPr>
      <w:r>
        <w:rPr>
          <w:rFonts w:ascii="宋体" w:hAnsi="宋体" w:cs="宋体"/>
          <w:b/>
          <w:color w:val="000000"/>
          <w:sz w:val="22"/>
          <w:highlight w:val="white"/>
        </w:rPr>
        <w:t> </w:t>
      </w:r>
    </w:p>
    <w:p w:rsidR="004048CB">
      <w:pPr>
        <w:spacing w:line="360" w:lineRule="auto"/>
        <w:ind w:right="26"/>
      </w:pPr>
      <w:r>
        <w:rPr>
          <w:rFonts w:ascii="宋体" w:hAnsi="宋体" w:cs="宋体"/>
          <w:b/>
          <w:color w:val="000000"/>
          <w:sz w:val="22"/>
          <w:highlight w:val="white"/>
        </w:rPr>
        <w:t> </w:t>
      </w:r>
    </w:p>
    <w:p w:rsidR="004048CB">
      <w:pPr>
        <w:spacing w:line="360" w:lineRule="auto"/>
        <w:ind w:right="26"/>
      </w:pPr>
      <w:r>
        <w:rPr>
          <w:rFonts w:ascii="宋体" w:hAnsi="宋体" w:cs="宋体"/>
          <w:b/>
          <w:color w:val="000000"/>
          <w:sz w:val="22"/>
          <w:highlight w:val="white"/>
        </w:rPr>
        <w:t> </w:t>
      </w:r>
    </w:p>
    <w:p w:rsidR="004048CB">
      <w:pPr>
        <w:spacing w:line="360" w:lineRule="auto"/>
        <w:ind w:right="26"/>
      </w:pPr>
      <w:r>
        <w:rPr>
          <w:rFonts w:ascii="宋体" w:hAnsi="宋体" w:cs="宋体"/>
          <w:b/>
          <w:color w:val="000000"/>
          <w:sz w:val="22"/>
          <w:highlight w:val="white"/>
        </w:rPr>
        <w:t> </w:t>
      </w:r>
    </w:p>
    <w:p w:rsidR="004048CB">
      <w:pPr>
        <w:spacing w:line="360" w:lineRule="auto"/>
        <w:ind w:right="26"/>
      </w:pPr>
      <w:r>
        <w:rPr>
          <w:rFonts w:ascii="宋体" w:hAnsi="宋体" w:cs="宋体"/>
          <w:b/>
          <w:color w:val="000000"/>
          <w:sz w:val="22"/>
          <w:highlight w:val="white"/>
        </w:rPr>
        <w:t> </w:t>
      </w:r>
    </w:p>
    <w:p w:rsidR="004048CB">
      <w:pPr>
        <w:spacing w:line="360" w:lineRule="auto"/>
        <w:ind w:right="26"/>
      </w:pPr>
      <w:r>
        <w:rPr>
          <w:rFonts w:ascii="宋体" w:hAnsi="宋体" w:cs="宋体"/>
          <w:b/>
          <w:color w:val="000000"/>
          <w:sz w:val="22"/>
          <w:highlight w:val="white"/>
        </w:rPr>
        <w:t> </w:t>
      </w:r>
    </w:p>
    <w:p w:rsidR="004048CB">
      <w:pPr>
        <w:spacing w:line="360" w:lineRule="auto"/>
        <w:ind w:right="26"/>
      </w:pPr>
      <w:r>
        <w:rPr>
          <w:rFonts w:ascii="宋体" w:hAnsi="宋体" w:cs="宋体"/>
          <w:b/>
          <w:color w:val="000000"/>
          <w:sz w:val="22"/>
          <w:highlight w:val="white"/>
        </w:rPr>
        <w:t>签订地点：</w:t>
      </w:r>
    </w:p>
    <w:p w:rsidR="004048CB">
      <w:r>
        <w:rPr>
          <w:rFonts w:ascii="宋体" w:hAnsi="宋体" w:cs="宋体"/>
          <w:b/>
          <w:color w:val="000000"/>
          <w:sz w:val="22"/>
          <w:highlight w:val="white"/>
        </w:rPr>
        <w:t>签 订 日：     年   月   日</w:t>
      </w:r>
    </w:p>
    <w:p w:rsidR="004048CB">
      <w:pPr>
        <w:rPr>
          <w:rFonts w:ascii="宋体" w:hAnsi="宋体"/>
          <w:b/>
          <w:szCs w:val="21"/>
        </w:rPr>
      </w:pPr>
    </w:p>
    <w:sectPr>
      <w:footerReference w:type="default" r:id="rId7"/>
      <w:pgSz w:w="11906" w:h="16838"/>
      <w:pgMar w:top="1440" w:right="1800" w:bottom="1440" w:left="1800" w:header="851" w:footer="992" w:gutter="0"/>
      <w:pgNumType w:start="0"/>
      <w:cols w:space="425"/>
      <w:titlePg/>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长城仿宋">
    <w:charset w:val="00"/>
    <w:family w:val="auto"/>
    <w:pitch w:val="default"/>
  </w:font>
  <w:font w:name="方正仿宋简体">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48CB">
    <w:pPr>
      <w:pStyle w:val="1"/>
      <w:snapToGrid/>
      <w:rPr>
        <w:rStyle w:val="PageNumber"/>
      </w:rPr>
    </w:pPr>
    <w:r>
      <w:rPr>
        <w:rStyle w:val="PageNumber"/>
      </w:rPr>
      <w:fldChar w:fldCharType="begin"/>
    </w:r>
    <w:r>
      <w:rPr>
        <w:rStyle w:val="PageNumber"/>
        <w:highlight w:val="white"/>
      </w:rPr>
      <w:instrText xml:space="preserve">PAGE  </w:instrText>
    </w:r>
    <w:r>
      <w:fldChar w:fldCharType="separate"/>
    </w:r>
    <w:r>
      <w:fldChar w:fldCharType="end"/>
    </w:r>
  </w:p>
  <w:p w:rsidR="004048CB">
    <w:pPr>
      <w:pStyle w:val="1"/>
      <w:snapToGri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7382304"/>
      <w:placeholder>
        <w:docPart w:val="870a0bf2153b4bb9858a2203a255ad78"/>
      </w:placeholder>
      <w:docPartObj>
        <w:docPartGallery w:val="AutoText"/>
      </w:docPartObj>
    </w:sdtPr>
    <w:sdtContent>
      <w:p w:rsidR="004048CB">
        <w:pPr>
          <w:pStyle w:val="1"/>
          <w:snapToGrid/>
          <w:jc w:val="center"/>
        </w:pPr>
        <w:r>
          <w:fldChar w:fldCharType="begin"/>
        </w:r>
        <w:r>
          <w:rPr>
            <w:highlight w:val="white"/>
          </w:rPr>
          <w:instrText>PAGE   \* MERGEFORMAT</w:instrText>
        </w:r>
        <w:r>
          <w:fldChar w:fldCharType="separate"/>
        </w:r>
        <w:r w:rsidRPr="000A2678" w:rsidR="000A2678">
          <w:rPr>
            <w:noProof/>
            <w:highlight w:val="white"/>
            <w:lang w:val="zh-CN"/>
          </w:rPr>
          <w:t>27</w:t>
        </w:r>
        <w:r>
          <w:fldChar w:fldCharType="end"/>
        </w:r>
      </w:p>
    </w:sdtContent>
  </w:sdt>
  <w:p w:rsidR="004048CB">
    <w:pPr>
      <w:pStyle w:val="1"/>
      <w:snapToGrid/>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92860828"/>
      <w:placeholder>
        <w:docPart w:val="870a0bf2153b4bb9858a2203a255ad78"/>
      </w:placeholder>
      <w:docPartObj>
        <w:docPartGallery w:val="AutoText"/>
      </w:docPartObj>
    </w:sdtPr>
    <w:sdtContent>
      <w:p w:rsidR="004048CB">
        <w:pPr>
          <w:pStyle w:val="1"/>
          <w:snapToGrid/>
          <w:jc w:val="center"/>
        </w:pPr>
      </w:p>
    </w:sdtContent>
  </w:sdt>
  <w:p w:rsidR="004048CB">
    <w:pPr>
      <w:pStyle w:val="1"/>
      <w:snapToGrid/>
      <w:ind w:right="360"/>
    </w:pPr>
  </w:p>
</w:ft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销售新规">
    <w15:presenceInfo w15:providerId="None" w15:userId="销售新规"/>
  </w15:person>
  <w15:person w15:author="程才">
    <w15:presenceInfo w15:providerId="None" w15:userId="程才"/>
  </w15:person>
  <w15:person w15:author="廖生暖">
    <w15:presenceInfo w15:providerId="None" w15:userId="廖生暖"/>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8CB"/>
    <w:rsid w:val="000A2678"/>
    <w:rsid w:val="000F596E"/>
    <w:rsid w:val="002A26E8"/>
    <w:rsid w:val="002A3E6F"/>
    <w:rsid w:val="002B69EE"/>
    <w:rsid w:val="002F5B18"/>
    <w:rsid w:val="00355226"/>
    <w:rsid w:val="003E5FB9"/>
    <w:rsid w:val="004048CB"/>
    <w:rsid w:val="005904E9"/>
    <w:rsid w:val="00674D86"/>
    <w:rsid w:val="008748E8"/>
    <w:rsid w:val="009454AA"/>
    <w:rsid w:val="009541BE"/>
    <w:rsid w:val="00964B5A"/>
    <w:rsid w:val="00A45E4E"/>
    <w:rsid w:val="00AC31F3"/>
    <w:rsid w:val="00B43D18"/>
    <w:rsid w:val="00B4586E"/>
    <w:rsid w:val="00BE4861"/>
    <w:rsid w:val="00C04A86"/>
    <w:rsid w:val="00D5039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BFE21571-B73F-41D4-A108-78F2E5197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Light" w:cs="Calibr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Bdr>
        <w:top w:val="nil"/>
        <w:left w:val="nil"/>
        <w:bottom w:val="nil"/>
        <w:right w:val="nil"/>
        <w:between w:val="nil"/>
      </w:pBdr>
      <w:shd w:val="clear" w:color="FFFFFF" w:fill="FFFFFF"/>
      <w:jc w:val="both"/>
    </w:pPr>
    <w:rPr>
      <w:rFonts w:ascii="Times New Roman" w:hAnsi="Times New Roman" w:cs="Times New Roman"/>
      <w:sz w:val="21"/>
      <w:szCs w:val="24"/>
      <w:lang w:eastAsia="zh-CN"/>
    </w:rPr>
  </w:style>
  <w:style w:type="paragraph" w:styleId="Heading1">
    <w:name w:val="heading 1"/>
    <w:basedOn w:val="Normal"/>
    <w:next w:val="Normal"/>
    <w:link w:val="10"/>
    <w:uiPriority w:val="9"/>
    <w:qFormat/>
    <w:pPr>
      <w:keepNext/>
      <w:keepLines/>
      <w:spacing w:before="480" w:after="200"/>
      <w:outlineLvl w:val="0"/>
    </w:pPr>
    <w:rPr>
      <w:rFonts w:ascii="Arial" w:hAnsi="Arial" w:cs="Arial"/>
      <w:sz w:val="40"/>
      <w:szCs w:val="40"/>
    </w:rPr>
  </w:style>
  <w:style w:type="paragraph" w:styleId="Heading2">
    <w:name w:val="heading 2"/>
    <w:basedOn w:val="Normal"/>
    <w:next w:val="Normal"/>
    <w:link w:val="2"/>
    <w:uiPriority w:val="9"/>
    <w:unhideWhenUsed/>
    <w:qFormat/>
    <w:pPr>
      <w:keepNext/>
      <w:keepLines/>
      <w:spacing w:before="360" w:after="200"/>
      <w:outlineLvl w:val="1"/>
    </w:pPr>
    <w:rPr>
      <w:rFonts w:ascii="Arial" w:hAnsi="Arial" w:cs="Arial"/>
      <w:sz w:val="34"/>
    </w:rPr>
  </w:style>
  <w:style w:type="paragraph" w:styleId="Heading3">
    <w:name w:val="heading 3"/>
    <w:basedOn w:val="Normal"/>
    <w:next w:val="Normal"/>
    <w:link w:val="3"/>
    <w:uiPriority w:val="9"/>
    <w:unhideWhenUsed/>
    <w:qFormat/>
    <w:pPr>
      <w:keepNext/>
      <w:keepLines/>
      <w:spacing w:before="320" w:after="200"/>
      <w:outlineLvl w:val="2"/>
    </w:pPr>
    <w:rPr>
      <w:rFonts w:ascii="Arial" w:hAnsi="Arial" w:cs="Arial"/>
      <w:sz w:val="30"/>
      <w:szCs w:val="30"/>
    </w:rPr>
  </w:style>
  <w:style w:type="paragraph" w:styleId="Heading4">
    <w:name w:val="heading 4"/>
    <w:basedOn w:val="Normal"/>
    <w:next w:val="Normal"/>
    <w:link w:val="4"/>
    <w:uiPriority w:val="9"/>
    <w:unhideWhenUsed/>
    <w:qFormat/>
    <w:pPr>
      <w:keepNext/>
      <w:keepLines/>
      <w:spacing w:before="320" w:after="200"/>
      <w:outlineLvl w:val="3"/>
    </w:pPr>
    <w:rPr>
      <w:rFonts w:ascii="Arial" w:hAnsi="Arial" w:cs="Arial"/>
      <w:b/>
      <w:bCs/>
      <w:sz w:val="26"/>
      <w:szCs w:val="26"/>
    </w:rPr>
  </w:style>
  <w:style w:type="paragraph" w:styleId="Heading5">
    <w:name w:val="heading 5"/>
    <w:basedOn w:val="Normal"/>
    <w:next w:val="Normal"/>
    <w:link w:val="5"/>
    <w:uiPriority w:val="9"/>
    <w:unhideWhenUsed/>
    <w:qFormat/>
    <w:pPr>
      <w:keepNext/>
      <w:keepLines/>
      <w:spacing w:before="320" w:after="200"/>
      <w:outlineLvl w:val="4"/>
    </w:pPr>
    <w:rPr>
      <w:rFonts w:ascii="Arial" w:hAnsi="Arial" w:cs="Arial"/>
      <w:b/>
      <w:bCs/>
      <w:sz w:val="24"/>
    </w:rPr>
  </w:style>
  <w:style w:type="paragraph" w:styleId="Heading6">
    <w:name w:val="heading 6"/>
    <w:basedOn w:val="Normal"/>
    <w:next w:val="Normal"/>
    <w:link w:val="6"/>
    <w:uiPriority w:val="9"/>
    <w:unhideWhenUsed/>
    <w:qFormat/>
    <w:pPr>
      <w:keepNext/>
      <w:keepLines/>
      <w:spacing w:before="320" w:after="200"/>
      <w:outlineLvl w:val="5"/>
    </w:pPr>
    <w:rPr>
      <w:rFonts w:ascii="Arial" w:hAnsi="Arial" w:cs="Arial"/>
      <w:b/>
      <w:bCs/>
      <w:sz w:val="22"/>
      <w:szCs w:val="22"/>
    </w:rPr>
  </w:style>
  <w:style w:type="paragraph" w:styleId="Heading7">
    <w:name w:val="heading 7"/>
    <w:basedOn w:val="Normal"/>
    <w:next w:val="Normal"/>
    <w:link w:val="7"/>
    <w:uiPriority w:val="9"/>
    <w:unhideWhenUsed/>
    <w:qFormat/>
    <w:pPr>
      <w:keepNext/>
      <w:keepLines/>
      <w:spacing w:before="320" w:after="200"/>
      <w:outlineLvl w:val="6"/>
    </w:pPr>
    <w:rPr>
      <w:rFonts w:ascii="Arial" w:hAnsi="Arial" w:cs="Arial"/>
      <w:b/>
      <w:bCs/>
      <w:i/>
      <w:iCs/>
      <w:sz w:val="22"/>
      <w:szCs w:val="22"/>
    </w:rPr>
  </w:style>
  <w:style w:type="paragraph" w:styleId="Heading8">
    <w:name w:val="heading 8"/>
    <w:basedOn w:val="Normal"/>
    <w:next w:val="Normal"/>
    <w:link w:val="8"/>
    <w:uiPriority w:val="9"/>
    <w:unhideWhenUsed/>
    <w:qFormat/>
    <w:pPr>
      <w:keepNext/>
      <w:keepLines/>
      <w:spacing w:before="320" w:after="200"/>
      <w:outlineLvl w:val="7"/>
    </w:pPr>
    <w:rPr>
      <w:rFonts w:ascii="Arial" w:hAnsi="Arial" w:cs="Arial"/>
      <w:i/>
      <w:iCs/>
      <w:sz w:val="22"/>
      <w:szCs w:val="22"/>
    </w:rPr>
  </w:style>
  <w:style w:type="paragraph" w:styleId="Heading9">
    <w:name w:val="heading 9"/>
    <w:basedOn w:val="Normal"/>
    <w:next w:val="Normal"/>
    <w:link w:val="9"/>
    <w:uiPriority w:val="9"/>
    <w:unhideWhenUsed/>
    <w:qFormat/>
    <w:pPr>
      <w:keepNext/>
      <w:keepLines/>
      <w:spacing w:before="320" w:after="200"/>
      <w:outlineLvl w:val="8"/>
    </w:pPr>
    <w:rPr>
      <w:rFonts w:ascii="Arial" w:hAnsi="Arial" w:cs="Arial"/>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paragraph" w:customStyle="1" w:styleId="11">
    <w:name w:val="标题 11"/>
    <w:basedOn w:val="Normal"/>
    <w:next w:val="Normal"/>
    <w:link w:val="1Char"/>
    <w:qFormat/>
    <w:pPr>
      <w:keepNext/>
      <w:keepLines/>
      <w:spacing w:before="340" w:after="330" w:line="578" w:lineRule="auto"/>
      <w:outlineLvl w:val="0"/>
    </w:pPr>
    <w:rPr>
      <w:b/>
      <w:sz w:val="44"/>
      <w:szCs w:val="20"/>
    </w:r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F2F2F2" w:fill="F2F2F2" w:themeFill="text1" w:themeFillTint="0D"/>
      </w:tcPr>
    </w:tblStylePr>
    <w:tblStylePr w:type="band2Vert">
      <w:pPr>
        <w:snapToGrid/>
      </w:pPr>
    </w:tblStylePr>
    <w:tblStylePr w:type="band1Horz">
      <w:pPr>
        <w:snapToGrid/>
      </w:pPr>
      <w:tblPr/>
      <w:tcPr>
        <w:shd w:val="clear" w:color="F2F2F2"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PlainTable2">
    <w:name w:val="Plain Table 2"/>
    <w:basedOn w:val="TableNormal"/>
    <w:uiPriority w:val="59"/>
    <w:tblPr>
      <w:tblBorders>
        <w:top w:val="single" w:sz="4" w:space="0" w:color="000000" w:themeColor="text1"/>
        <w:left w:val="nil"/>
        <w:bottom w:val="single" w:sz="4" w:space="0" w:color="000000" w:themeColor="text1"/>
        <w:right w:val="nil"/>
      </w:tblBorders>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PlainTable3">
    <w:name w:val="Plain Table 3"/>
    <w:basedOn w:val="TableNormal"/>
    <w:uiPriority w:val="99"/>
    <w:tblPr>
      <w:tblStyleRowBandSize w:val="1"/>
      <w:tblStyleColBandSize w:val="1"/>
    </w:tblPr>
    <w:tblStylePr w:type="firstRow">
      <w:pPr>
        <w:snapToGrid/>
      </w:pPr>
      <w:rPr>
        <w:b/>
        <w:caps/>
        <w:color w:val="404040"/>
      </w:rPr>
      <w:tblPr/>
      <w:tcPr>
        <w:tcBorders>
          <w:top w:val="nil"/>
          <w:left w:val="nil"/>
          <w:bottom w:val="single" w:sz="4" w:space="0" w:color="404040"/>
          <w:right w:val="nil"/>
        </w:tcBorders>
      </w:tcPr>
    </w:tblStylePr>
    <w:tblStylePr w:type="lastRow">
      <w:pPr>
        <w:snapToGrid/>
      </w:pPr>
      <w:rPr>
        <w:b/>
        <w:caps/>
        <w:color w:val="404040"/>
      </w:rPr>
    </w:tblStylePr>
    <w:tblStylePr w:type="firstCol">
      <w:pPr>
        <w:snapToGrid/>
      </w:pPr>
      <w:rPr>
        <w:b/>
        <w:caps/>
        <w:color w:val="404040"/>
      </w:rPr>
      <w:tblPr/>
      <w:tcPr>
        <w:tcBorders>
          <w:top w:val="nil"/>
          <w:left w:val="nil"/>
          <w:bottom w:val="nil"/>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F2F2F2"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2F2F2"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PlainTable4">
    <w:name w:val="Plain Table 4"/>
    <w:basedOn w:val="TableNormal"/>
    <w:uiPriority w:val="99"/>
    <w:tblPr>
      <w:tblStyleRowBandSize w:val="1"/>
      <w:tblStyleColBandSize w:val="1"/>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2F2F2"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2F2F2"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PlainTable5">
    <w:name w:val="Plain Table 5"/>
    <w:basedOn w:val="TableNormal"/>
    <w:uiPriority w:val="99"/>
    <w:tblPr>
      <w:tblStyleRowBandSize w:val="1"/>
      <w:tblStyleColBandSize w:val="1"/>
    </w:tblPr>
    <w:tblStylePr w:type="firstRow">
      <w:pPr>
        <w:snapToGrid/>
      </w:pPr>
      <w:rPr>
        <w:i/>
        <w:color w:val="404040"/>
      </w:rPr>
      <w:tblPr/>
      <w:tcPr>
        <w:tcBorders>
          <w:left w:val="nil"/>
          <w:bottom w:val="single" w:sz="4" w:space="0" w:color="404040"/>
          <w:right w:val="nil"/>
        </w:tcBorders>
        <w:shd w:val="clear" w:color="FFFFFF" w:fill="FFFFFF"/>
      </w:tcPr>
    </w:tblStylePr>
    <w:tblStylePr w:type="lastRow">
      <w:pPr>
        <w:snapToGrid/>
      </w:pPr>
      <w:rPr>
        <w:i/>
        <w:color w:val="404040"/>
      </w:rPr>
      <w:tblPr/>
      <w:tcPr>
        <w:tcBorders>
          <w:top w:val="single" w:sz="4" w:space="0" w:color="404040"/>
          <w:left w:val="nil"/>
          <w:right w:val="nil"/>
        </w:tcBorders>
        <w:shd w:val="clear" w:color="FFFFFF" w:fill="FFFFFF"/>
      </w:tcPr>
    </w:tblStylePr>
    <w:tblStylePr w:type="firstCol">
      <w:pPr>
        <w:snapToGrid/>
        <w:jc w:val="right"/>
      </w:pPr>
      <w:rPr>
        <w:i/>
        <w:color w:val="404040"/>
      </w:rPr>
      <w:tblPr/>
      <w:tcPr>
        <w:tcBorders>
          <w:right w:val="single" w:sz="4" w:space="0" w:color="404040"/>
        </w:tcBorders>
        <w:shd w:val="clear" w:color="FFFFFF" w:fill="FFFFFF"/>
      </w:tcPr>
    </w:tblStylePr>
    <w:tblStylePr w:type="lastCol">
      <w:pPr>
        <w:snapToGrid/>
      </w:pPr>
      <w:rPr>
        <w:i/>
        <w:color w:val="404040"/>
      </w:rPr>
      <w:tblPr/>
      <w:tcPr>
        <w:tcBorders>
          <w:left w:val="single" w:sz="4" w:space="0" w:color="404040"/>
        </w:tcBorders>
        <w:shd w:val="clear" w:color="FFFFFF" w:fill="FFFFFF"/>
      </w:tcPr>
    </w:tblStylePr>
    <w:tblStylePr w:type="band1Vert">
      <w:pPr>
        <w:snapToGrid/>
      </w:pPr>
      <w:rPr>
        <w:rFonts w:ascii="Arial" w:hAnsi="Arial"/>
        <w:color w:val="404040"/>
        <w:sz w:val="22"/>
      </w:rPr>
      <w:tblPr/>
      <w:tcPr>
        <w:shd w:val="clear" w:color="F2F2F2"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2F2F2"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il"/>
          <w:left w:val="nil"/>
          <w:bottom w:val="single" w:sz="12" w:space="0" w:color="6A6A6A" w:themeColor="text1" w:themeTint="95"/>
          <w:right w:val="nil"/>
        </w:tcBorders>
        <w:shd w:val="clear" w:color="FFFFFF" w:fill="FFFFFF"/>
      </w:tcPr>
    </w:tblStylePr>
    <w:tblStylePr w:type="lastRow">
      <w:pPr>
        <w:snapToGrid/>
      </w:pPr>
      <w:rPr>
        <w:b/>
        <w:color w:val="404040"/>
      </w:rPr>
      <w:tblPr/>
      <w:tcPr>
        <w:tcBorders>
          <w:top w:val="single" w:sz="4" w:space="0" w:color="6A6A6A" w:themeColor="text1" w:themeTint="95"/>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CBCBCB" w:fill="CBCBCB" w:themeFill="text1" w:themeFillTint="34"/>
      </w:tcPr>
    </w:tblStylePr>
    <w:tblStylePr w:type="band2Vert">
      <w:pPr>
        <w:snapToGrid/>
      </w:pPr>
    </w:tblStylePr>
    <w:tblStylePr w:type="band1Horz">
      <w:pPr>
        <w:snapToGrid/>
      </w:pPr>
      <w:rPr>
        <w:rFonts w:ascii="Arial" w:hAnsi="Arial"/>
        <w:color w:val="404040"/>
        <w:sz w:val="22"/>
      </w:rPr>
      <w:tblPr/>
      <w:tcPr>
        <w:shd w:val="clear" w:color="CBCBCB"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CBCBCB" w:fill="CBCBCB" w:themeFill="text1" w:themeFillTint="34"/>
      </w:tcPr>
    </w:tblStylePr>
    <w:tblStylePr w:type="band2Vert">
      <w:pPr>
        <w:snapToGrid/>
      </w:pPr>
    </w:tblStylePr>
    <w:tblStylePr w:type="band1Horz">
      <w:pPr>
        <w:snapToGrid/>
      </w:pPr>
      <w:rPr>
        <w:rFonts w:ascii="Arial" w:hAnsi="Arial"/>
        <w:color w:val="404040"/>
        <w:sz w:val="22"/>
      </w:rPr>
      <w:tblPr/>
      <w:tcPr>
        <w:shd w:val="clear" w:color="CBCBCB"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CBCBCB" w:fill="CBCBCB" w:themeFill="text1" w:themeFillTint="34"/>
      </w:tcPr>
    </w:tblStylePr>
    <w:tblStylePr w:type="band2Vert">
      <w:pPr>
        <w:snapToGrid/>
      </w:pPr>
    </w:tblStylePr>
    <w:tblStylePr w:type="band1Horz">
      <w:pPr>
        <w:snapToGrid/>
      </w:pPr>
      <w:rPr>
        <w:rFonts w:ascii="Arial" w:hAnsi="Arial"/>
        <w:color w:val="404040"/>
        <w:sz w:val="22"/>
      </w:rPr>
      <w:tblPr/>
      <w:tcPr>
        <w:shd w:val="clear" w:color="CBCBCB"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fill="BFBFBF" w:themeFill="text1" w:themeFillTint="40"/>
    </w:tblPr>
    <w:tblStylePr w:type="firstRow">
      <w:pPr>
        <w:snapToGrid/>
      </w:pPr>
      <w:rPr>
        <w:rFonts w:ascii="Arial" w:hAnsi="Arial"/>
        <w:b/>
        <w:color w:val="FFFFFF"/>
        <w:sz w:val="22"/>
      </w:rPr>
      <w:tblPr/>
      <w:tcPr>
        <w:shd w:val="clear" w:color="000000"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000000" w:fill="000000" w:themeFill="text1"/>
      </w:tcPr>
    </w:tblStylePr>
    <w:tblStylePr w:type="firstCol">
      <w:pPr>
        <w:snapToGrid/>
      </w:pPr>
      <w:rPr>
        <w:rFonts w:ascii="Arial" w:hAnsi="Arial"/>
        <w:b/>
        <w:color w:val="FFFFFF"/>
        <w:sz w:val="22"/>
      </w:rPr>
      <w:tblPr/>
      <w:tcPr>
        <w:shd w:val="clear" w:color="000000" w:fill="000000" w:themeFill="text1"/>
      </w:tcPr>
    </w:tblStylePr>
    <w:tblStylePr w:type="lastCol">
      <w:pPr>
        <w:snapToGrid/>
      </w:pPr>
      <w:rPr>
        <w:rFonts w:ascii="Arial" w:hAnsi="Arial"/>
        <w:b/>
        <w:color w:val="FFFFFF"/>
        <w:sz w:val="22"/>
      </w:rPr>
      <w:tblPr/>
      <w:tcPr>
        <w:shd w:val="clear" w:color="000000" w:fill="000000" w:themeFill="text1"/>
      </w:tcPr>
    </w:tblStylePr>
    <w:tblStylePr w:type="band1Vert">
      <w:pPr>
        <w:snapToGrid/>
      </w:pPr>
      <w:tblPr/>
      <w:tcPr>
        <w:shd w:val="clear" w:color="8A8A8A" w:fill="8A8A8A" w:themeFill="text1" w:themeFillTint="75"/>
      </w:tcPr>
    </w:tblStylePr>
    <w:tblStylePr w:type="band2Vert">
      <w:pPr>
        <w:snapToGrid/>
      </w:pPr>
    </w:tblStylePr>
    <w:tblStylePr w:type="band1Horz">
      <w:pPr>
        <w:snapToGrid/>
      </w:pPr>
      <w:tblPr/>
      <w:tcPr>
        <w:shd w:val="clear" w:color="8A8A8A"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b/>
        <w:color w:val="7F7F7F" w:themeColor="text1" w:themeShade="95" w:themeTint="80"/>
      </w:rPr>
      <w:tblPr/>
      <w:tcPr>
        <w:tcBorders>
          <w:bottom w:val="single" w:sz="12" w:space="0" w:color="7F7F7F" w:themeColor="text1" w:themeTint="80"/>
        </w:tcBorders>
      </w:tcPr>
    </w:tblStylePr>
    <w:tblStylePr w:type="lastRow">
      <w:pPr>
        <w:snapToGrid/>
      </w:pPr>
      <w:rPr>
        <w:b/>
        <w:color w:val="7F7F7F" w:themeColor="text1" w:themeShade="95" w:themeTint="80"/>
      </w:rPr>
    </w:tblStylePr>
    <w:tblStylePr w:type="firstCol">
      <w:pPr>
        <w:snapToGrid/>
      </w:pPr>
      <w:rPr>
        <w:b/>
        <w:color w:val="7F7F7F" w:themeColor="text1" w:themeShade="95" w:themeTint="80"/>
      </w:rPr>
    </w:tblStylePr>
    <w:tblStylePr w:type="lastCol">
      <w:pPr>
        <w:snapToGrid/>
      </w:pPr>
      <w:rPr>
        <w:b/>
        <w:color w:val="7F7F7F" w:themeColor="text1" w:themeShade="95" w:themeTint="80"/>
      </w:rPr>
    </w:tblStylePr>
    <w:tblStylePr w:type="band1Vert">
      <w:pPr>
        <w:snapToGrid/>
      </w:pPr>
      <w:tblPr/>
      <w:tcPr>
        <w:shd w:val="clear" w:color="CBCBCB" w:fill="CBCBCB" w:themeFill="text1" w:themeFillTint="34"/>
      </w:tcPr>
    </w:tblStylePr>
    <w:tblStylePr w:type="band2Vert">
      <w:pPr>
        <w:snapToGrid/>
      </w:pPr>
    </w:tblStylePr>
    <w:tblStylePr w:type="band1Horz">
      <w:pPr>
        <w:snapToGrid/>
      </w:pPr>
      <w:rPr>
        <w:rFonts w:ascii="Arial" w:hAnsi="Arial"/>
        <w:color w:val="7F7F7F" w:themeColor="text1" w:themeShade="95" w:themeTint="80"/>
        <w:sz w:val="22"/>
      </w:rPr>
      <w:tblPr/>
      <w:tcPr>
        <w:shd w:val="clear" w:color="CBCBCB" w:fill="CBCBCB" w:themeFill="text1" w:themeFillTint="34"/>
      </w:tcPr>
    </w:tblStylePr>
    <w:tblStylePr w:type="band2Horz">
      <w:pPr>
        <w:snapToGrid/>
      </w:pPr>
      <w:rPr>
        <w:rFonts w:ascii="Arial" w:hAnsi="Arial"/>
        <w:color w:val="7F7F7F" w:themeColor="text1" w:themeShade="95"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rFonts w:ascii="Arial" w:hAnsi="Arial"/>
        <w:b/>
        <w:color w:val="7F7F7F" w:themeColor="text1" w:themeShade="95" w:themeTint="80"/>
        <w:sz w:val="22"/>
      </w:rPr>
      <w:tblPr/>
      <w:tcPr>
        <w:tcBorders>
          <w:top w:val="nil"/>
          <w:left w:val="nil"/>
          <w:bottom w:val="single" w:sz="4" w:space="0" w:color="7F7F7F" w:themeColor="text1" w:themeTint="80"/>
          <w:right w:val="nil"/>
        </w:tcBorders>
        <w:shd w:val="clear" w:color="FFFFFF" w:fill="FFFFFF" w:themeFill="light1"/>
      </w:tcPr>
    </w:tblStylePr>
    <w:tblStylePr w:type="lastRow">
      <w:pPr>
        <w:snapToGrid/>
      </w:pPr>
      <w:rPr>
        <w:rFonts w:ascii="Arial" w:hAnsi="Arial"/>
        <w:b/>
        <w:color w:val="7F7F7F" w:themeColor="text1" w:themeShade="95" w:themeTint="80"/>
        <w:sz w:val="22"/>
      </w:rPr>
      <w:tblPr/>
      <w:tcPr>
        <w:tcBorders>
          <w:top w:val="single" w:sz="4" w:space="0" w:color="7F7F7F" w:themeColor="text1" w:themeTint="80"/>
          <w:left w:val="nil"/>
          <w:bottom w:val="nil"/>
          <w:right w:val="nil"/>
        </w:tcBorders>
        <w:shd w:val="clear" w:color="FFFFFF" w:fill="FFFFFF" w:themeFill="light1"/>
      </w:tcPr>
    </w:tblStylePr>
    <w:tblStylePr w:type="firstCol">
      <w:pPr>
        <w:snapToGrid/>
        <w:jc w:val="right"/>
      </w:pPr>
      <w:rPr>
        <w:rFonts w:ascii="Arial" w:hAnsi="Arial"/>
        <w:i/>
        <w:color w:val="7F7F7F" w:themeColor="text1" w:themeShade="95" w:themeTint="80"/>
        <w:sz w:val="22"/>
      </w:rPr>
      <w:tblPr/>
      <w:tcPr>
        <w:tcBorders>
          <w:top w:val="nil"/>
          <w:left w:val="nil"/>
          <w:bottom w:val="nil"/>
          <w:right w:val="single" w:sz="4" w:space="0" w:color="7F7F7F" w:themeColor="text1" w:themeTint="80"/>
        </w:tcBorders>
        <w:shd w:val="clear" w:color="FFFFFF" w:fill="FFFFFF"/>
      </w:tcPr>
    </w:tblStylePr>
    <w:tblStylePr w:type="lastCol">
      <w:pPr>
        <w:snapToGrid/>
      </w:pPr>
      <w:rPr>
        <w:rFonts w:ascii="Arial" w:hAnsi="Arial"/>
        <w:i/>
        <w:color w:val="7F7F7F" w:themeColor="text1" w:themeShade="95" w:themeTint="80"/>
        <w:sz w:val="22"/>
      </w:rPr>
      <w:tblPr/>
      <w:tcPr>
        <w:tcBorders>
          <w:top w:val="nil"/>
          <w:left w:val="single" w:sz="4" w:space="0" w:color="7F7F7F" w:themeColor="text1" w:themeTint="80"/>
          <w:bottom w:val="nil"/>
          <w:right w:val="nil"/>
        </w:tcBorders>
        <w:shd w:val="clear" w:color="FFFFFF" w:fill="FFFFFF"/>
      </w:tcPr>
    </w:tblStylePr>
    <w:tblStylePr w:type="band1Vert">
      <w:pPr>
        <w:snapToGrid/>
      </w:pPr>
      <w:tblPr/>
      <w:tcPr>
        <w:shd w:val="clear" w:color="F2F2F2" w:fill="F2F2F2" w:themeFill="text1" w:themeFillTint="0D"/>
      </w:tcPr>
    </w:tblStylePr>
    <w:tblStylePr w:type="band2Vert">
      <w:pPr>
        <w:snapToGrid/>
      </w:pPr>
    </w:tblStylePr>
    <w:tblStylePr w:type="band1Horz">
      <w:pPr>
        <w:snapToGrid/>
      </w:pPr>
      <w:rPr>
        <w:rFonts w:ascii="Arial" w:hAnsi="Arial"/>
        <w:color w:val="7F7F7F" w:themeColor="text1" w:themeShade="95" w:themeTint="80"/>
        <w:sz w:val="22"/>
      </w:rPr>
      <w:tblPr/>
      <w:tcPr>
        <w:shd w:val="clear" w:color="F2F2F2" w:fill="F2F2F2" w:themeFill="text1" w:themeFillTint="0D"/>
      </w:tcPr>
    </w:tblStylePr>
    <w:tblStylePr w:type="band2Horz">
      <w:pPr>
        <w:snapToGrid/>
      </w:pPr>
      <w:rPr>
        <w:rFonts w:ascii="Arial" w:hAnsi="Arial"/>
        <w:color w:val="7F7F7F" w:themeColor="text1" w:themeShade="95"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1Light">
    <w:name w:val="List Table 1 Light"/>
    <w:basedOn w:val="TableNormal"/>
    <w:uiPriority w:val="99"/>
    <w:tblPr>
      <w:tblStyleRowBandSize w:val="1"/>
      <w:tblStyleColBandSize w:val="1"/>
    </w:tblPr>
    <w:tblStylePr w:type="firstRow">
      <w:pPr>
        <w:snapToGrid/>
      </w:pPr>
      <w:rPr>
        <w:b/>
        <w:color w:val="404040"/>
      </w:rPr>
      <w:tblPr/>
      <w:tcPr>
        <w:tcBorders>
          <w:top w:val="nil"/>
          <w:left w:val="nil"/>
          <w:bottom w:val="single" w:sz="4" w:space="0" w:color="000000" w:themeColor="text1"/>
          <w:right w:val="nil"/>
        </w:tcBorders>
      </w:tcPr>
    </w:tblStylePr>
    <w:tblStylePr w:type="lastRow">
      <w:pPr>
        <w:snapToGrid/>
      </w:pPr>
      <w:rPr>
        <w:b/>
        <w:color w:val="404040"/>
      </w:rPr>
      <w:tblPr/>
      <w:tcPr>
        <w:tcBorders>
          <w:top w:val="single" w:sz="4" w:space="0" w:color="000000" w:themeColor="text1"/>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BFBFBF" w:fill="BFBFBF" w:themeFill="text1" w:themeFillTint="40"/>
      </w:tcPr>
    </w:tblStylePr>
    <w:tblStylePr w:type="band2Vert">
      <w:pPr>
        <w:snapToGrid/>
      </w:pPr>
    </w:tblStylePr>
    <w:tblStylePr w:type="band1Horz">
      <w:pPr>
        <w:snapToGrid/>
      </w:pPr>
      <w:tblPr/>
      <w:tcPr>
        <w:shd w:val="clear" w:color="BFBFB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BFBFB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BFBFB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pPr>
        <w:snapToGrid/>
      </w:pPr>
      <w:rPr>
        <w:rFonts w:ascii="Arial" w:hAnsi="Arial"/>
        <w:b/>
        <w:color w:val="FFFFFF"/>
        <w:sz w:val="22"/>
      </w:rPr>
      <w:tblPr/>
      <w:tcPr>
        <w:shd w:val="clear" w:color="000000"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pPr>
        <w:snapToGrid/>
      </w:pPr>
      <w:rPr>
        <w:rFonts w:ascii="Arial" w:hAnsi="Arial"/>
        <w:b/>
        <w:color w:val="FFFFFF"/>
        <w:sz w:val="22"/>
      </w:rPr>
      <w:tblPr/>
      <w:tcPr>
        <w:shd w:val="clear" w:color="000000"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BFBFB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BFBFB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fill="7F7F7F" w:themeFill="text1" w:themeFillTint="80"/>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7F7F7F"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7F7F7F"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7F7F7F"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BFBFBF"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BFBFBF"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pPr>
        <w:snapToGrid/>
      </w:pPr>
      <w:rPr>
        <w:rFonts w:ascii="Arial" w:hAnsi="Arial"/>
        <w:i/>
        <w:color w:val="7F7F7F" w:themeColor="text1" w:themeShade="95" w:themeTint="80"/>
        <w:sz w:val="22"/>
      </w:rPr>
      <w:tblPr/>
      <w:tcPr>
        <w:tcBorders>
          <w:top w:val="nil"/>
          <w:left w:val="nil"/>
          <w:bottom w:val="single" w:sz="4" w:space="0" w:color="7F7F7F" w:themeColor="text1" w:themeTint="80"/>
          <w:right w:val="nil"/>
        </w:tcBorders>
        <w:shd w:val="clear" w:color="FFFFFF" w:fill="FFFFFF" w:themeFill="light1"/>
      </w:tcPr>
    </w:tblStylePr>
    <w:tblStylePr w:type="lastRow">
      <w:pPr>
        <w:snapToGrid/>
      </w:pPr>
      <w:rPr>
        <w:rFonts w:ascii="Arial" w:hAnsi="Arial"/>
        <w:i/>
        <w:color w:val="7F7F7F" w:themeColor="text1" w:themeShade="95" w:themeTint="80"/>
        <w:sz w:val="22"/>
      </w:rPr>
      <w:tblPr/>
      <w:tcPr>
        <w:tcBorders>
          <w:top w:val="single" w:sz="4" w:space="0" w:color="7F7F7F" w:themeColor="text1" w:themeTint="80"/>
          <w:left w:val="nil"/>
          <w:bottom w:val="nil"/>
          <w:right w:val="nil"/>
        </w:tcBorders>
        <w:shd w:val="clear" w:color="FFFFFF" w:fill="FFFFFF" w:themeFill="light1"/>
      </w:tcPr>
    </w:tblStylePr>
    <w:tblStylePr w:type="firstCol">
      <w:pPr>
        <w:snapToGrid/>
        <w:jc w:val="right"/>
      </w:pPr>
      <w:rPr>
        <w:rFonts w:ascii="Arial" w:hAnsi="Arial"/>
        <w:i/>
        <w:color w:val="7F7F7F" w:themeColor="text1" w:themeShade="95" w:themeTint="80"/>
        <w:sz w:val="22"/>
      </w:rPr>
      <w:tblPr/>
      <w:tcPr>
        <w:tcBorders>
          <w:top w:val="nil"/>
          <w:left w:val="nil"/>
          <w:bottom w:val="nil"/>
          <w:right w:val="single" w:sz="4" w:space="0" w:color="7F7F7F" w:themeColor="text1" w:themeTint="80"/>
        </w:tcBorders>
        <w:shd w:val="clear" w:color="FFFFFF" w:fill="FFFFFF"/>
      </w:tcPr>
    </w:tblStylePr>
    <w:tblStylePr w:type="lastCol">
      <w:pPr>
        <w:snapToGrid/>
      </w:pPr>
      <w:rPr>
        <w:rFonts w:ascii="Arial" w:hAnsi="Arial"/>
        <w:i/>
        <w:color w:val="7F7F7F" w:themeColor="text1" w:themeShade="95" w:themeTint="80"/>
        <w:sz w:val="22"/>
      </w:rPr>
      <w:tblPr/>
      <w:tcPr>
        <w:tcBorders>
          <w:top w:val="nil"/>
          <w:left w:val="single" w:sz="4" w:space="0" w:color="7F7F7F" w:themeColor="text1" w:themeTint="80"/>
          <w:bottom w:val="nil"/>
          <w:right w:val="nil"/>
        </w:tcBorders>
        <w:shd w:val="clear" w:color="FFFFFF" w:fill="FFFFFF"/>
      </w:tcPr>
    </w:tblStylePr>
    <w:tblStylePr w:type="band1Vert">
      <w:pPr>
        <w:snapToGrid/>
      </w:pPr>
      <w:tblPr/>
      <w:tcPr>
        <w:shd w:val="clear" w:color="BFBFBF" w:fill="BFBFBF" w:themeFill="text1" w:themeFillTint="40"/>
      </w:tcPr>
    </w:tblStylePr>
    <w:tblStylePr w:type="band2Vert">
      <w:pPr>
        <w:snapToGrid/>
      </w:pPr>
    </w:tblStylePr>
    <w:tblStylePr w:type="band1Horz">
      <w:pPr>
        <w:snapToGrid/>
      </w:pPr>
      <w:rPr>
        <w:rFonts w:ascii="Arial" w:hAnsi="Arial"/>
        <w:color w:val="7F7F7F" w:themeColor="text1" w:themeShade="95" w:themeTint="80"/>
        <w:sz w:val="22"/>
      </w:rPr>
      <w:tblPr/>
      <w:tcPr>
        <w:shd w:val="clear" w:color="BFBFBF" w:fill="BFBFBF" w:themeFill="text1" w:themeFillTint="40"/>
      </w:tcPr>
    </w:tblStylePr>
    <w:tblStylePr w:type="band2Horz">
      <w:pPr>
        <w:snapToGrid/>
      </w:pPr>
      <w:rPr>
        <w:rFonts w:ascii="Arial" w:hAnsi="Arial"/>
        <w:color w:val="7F7F7F" w:themeColor="text1" w:themeShade="95"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paragraph" w:styleId="TOCHeading">
    <w:name w:val="TOC Heading"/>
    <w:uiPriority w:val="39"/>
    <w:unhideWhenUsed/>
  </w:style>
  <w:style w:type="paragraph" w:styleId="EndnoteText">
    <w:name w:val="endnote text"/>
    <w:basedOn w:val="Normal"/>
    <w:link w:val="a"/>
    <w:uiPriority w:val="99"/>
    <w:semiHidden/>
    <w:unhideWhenUsed/>
    <w:rPr>
      <w:sz w:val="20"/>
    </w:rPr>
  </w:style>
  <w:style w:type="character" w:customStyle="1" w:styleId="a">
    <w:name w:val="尾注文本 字符"/>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ableofFigures">
    <w:name w:val="table of figures"/>
    <w:basedOn w:val="Normal"/>
    <w:next w:val="Normal"/>
    <w:uiPriority w:val="99"/>
    <w:unhideWhenUsed/>
  </w:style>
  <w:style w:type="paragraph" w:styleId="TOC7">
    <w:name w:val="toc 7"/>
    <w:basedOn w:val="Normal"/>
    <w:next w:val="Normal"/>
    <w:semiHidden/>
    <w:qFormat/>
    <w:pPr>
      <w:ind w:left="2520"/>
    </w:pPr>
  </w:style>
  <w:style w:type="paragraph" w:styleId="NormalIndent">
    <w:name w:val="Normal Indent"/>
    <w:basedOn w:val="Normal"/>
    <w:qFormat/>
    <w:pPr>
      <w:ind w:firstLine="420"/>
    </w:pPr>
    <w:rPr>
      <w:sz w:val="20"/>
      <w:szCs w:val="20"/>
    </w:rPr>
  </w:style>
  <w:style w:type="paragraph" w:styleId="DocumentMap">
    <w:name w:val="Document Map"/>
    <w:basedOn w:val="Normal"/>
    <w:semiHidden/>
    <w:qFormat/>
    <w:pPr>
      <w:shd w:val="clear" w:color="000080" w:fill="000080"/>
    </w:pPr>
  </w:style>
  <w:style w:type="paragraph" w:styleId="CommentText">
    <w:name w:val="annotation text"/>
    <w:basedOn w:val="Normal"/>
    <w:link w:val="a5"/>
    <w:qFormat/>
    <w:pPr>
      <w:jc w:val="left"/>
    </w:pPr>
  </w:style>
  <w:style w:type="paragraph" w:styleId="BodyTextIndent">
    <w:name w:val="Body Text Indent"/>
    <w:basedOn w:val="Normal"/>
    <w:link w:val="a8"/>
    <w:qFormat/>
    <w:pPr>
      <w:spacing w:line="400" w:lineRule="exact"/>
      <w:ind w:firstLine="538"/>
    </w:pPr>
    <w:rPr>
      <w:rFonts w:ascii="仿宋_GB2312" w:eastAsia="仿宋_GB2312" w:hAnsi="宋体"/>
      <w:color w:val="000000"/>
      <w:sz w:val="28"/>
    </w:rPr>
  </w:style>
  <w:style w:type="paragraph" w:styleId="TOC5">
    <w:name w:val="toc 5"/>
    <w:basedOn w:val="Normal"/>
    <w:next w:val="Normal"/>
    <w:semiHidden/>
    <w:qFormat/>
    <w:pPr>
      <w:ind w:left="1680"/>
    </w:pPr>
  </w:style>
  <w:style w:type="paragraph" w:styleId="TOC3">
    <w:name w:val="toc 3"/>
    <w:basedOn w:val="Normal"/>
    <w:next w:val="Normal"/>
    <w:semiHidden/>
    <w:qFormat/>
    <w:pPr>
      <w:ind w:left="840"/>
    </w:pPr>
  </w:style>
  <w:style w:type="paragraph" w:styleId="PlainText">
    <w:name w:val="Plain Text"/>
    <w:basedOn w:val="Normal"/>
    <w:qFormat/>
    <w:rPr>
      <w:rFonts w:ascii="宋体" w:hAnsi="Courier New"/>
      <w:szCs w:val="21"/>
    </w:rPr>
  </w:style>
  <w:style w:type="paragraph" w:styleId="TOC8">
    <w:name w:val="toc 8"/>
    <w:basedOn w:val="Normal"/>
    <w:next w:val="Normal"/>
    <w:semiHidden/>
    <w:qFormat/>
    <w:pPr>
      <w:ind w:left="2940"/>
    </w:pPr>
  </w:style>
  <w:style w:type="paragraph" w:styleId="Date">
    <w:name w:val="Date"/>
    <w:basedOn w:val="Normal"/>
    <w:next w:val="Normal"/>
    <w:link w:val="a7"/>
    <w:qFormat/>
    <w:pPr>
      <w:ind w:left="100"/>
    </w:pPr>
  </w:style>
  <w:style w:type="paragraph" w:styleId="BodyTextIndent2">
    <w:name w:val="Body Text Indent 2"/>
    <w:basedOn w:val="Normal"/>
    <w:qFormat/>
    <w:pPr>
      <w:tabs>
        <w:tab w:val="left" w:pos="540"/>
      </w:tabs>
      <w:ind w:left="540" w:firstLine="540"/>
    </w:pPr>
    <w:rPr>
      <w:rFonts w:eastAsia="长城仿宋"/>
      <w:sz w:val="24"/>
      <w:szCs w:val="20"/>
    </w:rPr>
  </w:style>
  <w:style w:type="paragraph" w:styleId="BalloonText">
    <w:name w:val="Balloon Text"/>
    <w:basedOn w:val="Normal"/>
    <w:semiHidden/>
    <w:qFormat/>
    <w:rPr>
      <w:sz w:val="18"/>
      <w:szCs w:val="18"/>
    </w:rPr>
  </w:style>
  <w:style w:type="paragraph" w:customStyle="1" w:styleId="1">
    <w:name w:val="页脚1"/>
    <w:basedOn w:val="Normal"/>
    <w:link w:val="Char"/>
    <w:uiPriority w:val="99"/>
    <w:qFormat/>
    <w:pPr>
      <w:tabs>
        <w:tab w:val="center" w:pos="4153"/>
        <w:tab w:val="right" w:pos="8306"/>
      </w:tabs>
      <w:snapToGrid w:val="0"/>
      <w:jc w:val="left"/>
    </w:pPr>
    <w:rPr>
      <w:sz w:val="18"/>
      <w:szCs w:val="18"/>
    </w:rPr>
  </w:style>
  <w:style w:type="paragraph" w:styleId="TOC1">
    <w:name w:val="toc 1"/>
    <w:basedOn w:val="Normal"/>
    <w:next w:val="Normal"/>
    <w:semiHidden/>
    <w:qFormat/>
  </w:style>
  <w:style w:type="paragraph" w:styleId="TOC4">
    <w:name w:val="toc 4"/>
    <w:basedOn w:val="Normal"/>
    <w:next w:val="Normal"/>
    <w:qFormat/>
    <w:pPr>
      <w:ind w:left="1260"/>
    </w:pPr>
  </w:style>
  <w:style w:type="paragraph" w:styleId="Subtitle">
    <w:name w:val="Subtitle"/>
    <w:basedOn w:val="Normal"/>
    <w:next w:val="Normal"/>
    <w:link w:val="a1"/>
    <w:uiPriority w:val="11"/>
    <w:qFormat/>
    <w:pPr>
      <w:spacing w:before="200" w:after="200"/>
    </w:pPr>
    <w:rPr>
      <w:sz w:val="24"/>
    </w:rPr>
  </w:style>
  <w:style w:type="paragraph" w:styleId="FootnoteText">
    <w:name w:val="footnote text"/>
    <w:basedOn w:val="Normal"/>
    <w:link w:val="a4"/>
    <w:uiPriority w:val="99"/>
    <w:semiHidden/>
    <w:unhideWhenUsed/>
    <w:qFormat/>
    <w:pPr>
      <w:spacing w:after="40"/>
    </w:pPr>
    <w:rPr>
      <w:sz w:val="18"/>
    </w:rPr>
  </w:style>
  <w:style w:type="paragraph" w:styleId="TOC6">
    <w:name w:val="toc 6"/>
    <w:basedOn w:val="Normal"/>
    <w:next w:val="Normal"/>
    <w:semiHidden/>
    <w:qFormat/>
    <w:pPr>
      <w:ind w:left="2100"/>
    </w:pPr>
  </w:style>
  <w:style w:type="paragraph" w:styleId="BodyTextIndent3">
    <w:name w:val="Body Text Indent 3"/>
    <w:basedOn w:val="Normal"/>
    <w:link w:val="30"/>
    <w:qFormat/>
    <w:pPr>
      <w:ind w:left="360" w:firstLine="540"/>
    </w:pPr>
    <w:rPr>
      <w:rFonts w:eastAsia="长城仿宋"/>
      <w:sz w:val="24"/>
      <w:szCs w:val="20"/>
    </w:rPr>
  </w:style>
  <w:style w:type="paragraph" w:styleId="TOC2">
    <w:name w:val="toc 2"/>
    <w:basedOn w:val="Normal"/>
    <w:next w:val="Normal"/>
    <w:semiHidden/>
    <w:qFormat/>
    <w:pPr>
      <w:ind w:left="420"/>
    </w:pPr>
  </w:style>
  <w:style w:type="paragraph" w:styleId="TOC9">
    <w:name w:val="toc 9"/>
    <w:basedOn w:val="Normal"/>
    <w:next w:val="Normal"/>
    <w:semiHidden/>
    <w:qFormat/>
    <w:pPr>
      <w:ind w:left="3360"/>
    </w:pPr>
  </w:style>
  <w:style w:type="paragraph" w:styleId="BodyText2">
    <w:name w:val="Body Text 2"/>
    <w:basedOn w:val="Normal"/>
    <w:qFormat/>
    <w:pPr>
      <w:spacing w:after="120" w:line="480" w:lineRule="auto"/>
    </w:pPr>
  </w:style>
  <w:style w:type="paragraph" w:styleId="Title">
    <w:name w:val="Title"/>
    <w:basedOn w:val="Normal"/>
    <w:next w:val="Normal"/>
    <w:link w:val="a0"/>
    <w:uiPriority w:val="10"/>
    <w:qFormat/>
    <w:pPr>
      <w:spacing w:before="300" w:after="200"/>
      <w:contextualSpacing/>
    </w:pPr>
    <w:rPr>
      <w:sz w:val="48"/>
      <w:szCs w:val="48"/>
    </w:rPr>
  </w:style>
  <w:style w:type="paragraph" w:styleId="CommentSubject">
    <w:name w:val="annotation subject"/>
    <w:basedOn w:val="CommentText"/>
    <w:next w:val="CommentText"/>
    <w:link w:val="a6"/>
    <w:qFormat/>
    <w:rPr>
      <w:b/>
      <w:bCs/>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PageNumber">
    <w:name w:val="page number"/>
    <w:basedOn w:val="DefaultParagraphFont"/>
    <w:qFormat/>
  </w:style>
  <w:style w:type="character" w:styleId="Hyperlink">
    <w:name w:val="Hyperlink"/>
    <w:qFormat/>
    <w:rPr>
      <w:color w:val="0000FF"/>
      <w:u w:val="single"/>
    </w:rPr>
  </w:style>
  <w:style w:type="character" w:styleId="CommentReference">
    <w:name w:val="annotation reference"/>
    <w:qFormat/>
    <w:rPr>
      <w:sz w:val="21"/>
      <w:szCs w:val="21"/>
    </w:rPr>
  </w:style>
  <w:style w:type="character" w:styleId="FootnoteReference">
    <w:name w:val="footnote reference"/>
    <w:basedOn w:val="DefaultParagraphFont"/>
    <w:uiPriority w:val="99"/>
    <w:unhideWhenUsed/>
    <w:qFormat/>
    <w:rPr>
      <w:vertAlign w:val="superscript"/>
    </w:rPr>
  </w:style>
  <w:style w:type="character" w:customStyle="1" w:styleId="10">
    <w:name w:val="标题 1 字符"/>
    <w:basedOn w:val="DefaultParagraphFont"/>
    <w:link w:val="Heading1"/>
    <w:uiPriority w:val="9"/>
    <w:qFormat/>
    <w:rPr>
      <w:rFonts w:ascii="Arial" w:hAnsi="Arial" w:cs="Arial"/>
      <w:sz w:val="40"/>
      <w:szCs w:val="40"/>
    </w:rPr>
  </w:style>
  <w:style w:type="character" w:customStyle="1" w:styleId="2">
    <w:name w:val="标题 2 字符"/>
    <w:basedOn w:val="DefaultParagraphFont"/>
    <w:link w:val="Heading2"/>
    <w:uiPriority w:val="9"/>
    <w:qFormat/>
    <w:rPr>
      <w:rFonts w:ascii="Arial" w:hAnsi="Arial" w:cs="Arial"/>
      <w:sz w:val="34"/>
    </w:rPr>
  </w:style>
  <w:style w:type="character" w:customStyle="1" w:styleId="3">
    <w:name w:val="标题 3 字符"/>
    <w:basedOn w:val="DefaultParagraphFont"/>
    <w:link w:val="Heading3"/>
    <w:uiPriority w:val="9"/>
    <w:qFormat/>
    <w:rPr>
      <w:rFonts w:ascii="Arial" w:hAnsi="Arial" w:cs="Arial"/>
      <w:sz w:val="30"/>
      <w:szCs w:val="30"/>
    </w:rPr>
  </w:style>
  <w:style w:type="character" w:customStyle="1" w:styleId="4">
    <w:name w:val="标题 4 字符"/>
    <w:basedOn w:val="DefaultParagraphFont"/>
    <w:link w:val="Heading4"/>
    <w:uiPriority w:val="9"/>
    <w:qFormat/>
    <w:rPr>
      <w:rFonts w:ascii="Arial" w:hAnsi="Arial" w:cs="Arial"/>
      <w:b/>
      <w:bCs/>
      <w:sz w:val="26"/>
      <w:szCs w:val="26"/>
    </w:rPr>
  </w:style>
  <w:style w:type="character" w:customStyle="1" w:styleId="5">
    <w:name w:val="标题 5 字符"/>
    <w:basedOn w:val="DefaultParagraphFont"/>
    <w:link w:val="Heading5"/>
    <w:uiPriority w:val="9"/>
    <w:qFormat/>
    <w:rPr>
      <w:rFonts w:ascii="Arial" w:hAnsi="Arial" w:cs="Arial"/>
      <w:b/>
      <w:bCs/>
      <w:sz w:val="24"/>
      <w:szCs w:val="24"/>
    </w:rPr>
  </w:style>
  <w:style w:type="character" w:customStyle="1" w:styleId="6">
    <w:name w:val="标题 6 字符"/>
    <w:basedOn w:val="DefaultParagraphFont"/>
    <w:link w:val="Heading6"/>
    <w:uiPriority w:val="9"/>
    <w:qFormat/>
    <w:rPr>
      <w:rFonts w:ascii="Arial" w:hAnsi="Arial" w:cs="Arial"/>
      <w:b/>
      <w:bCs/>
      <w:sz w:val="22"/>
      <w:szCs w:val="22"/>
    </w:rPr>
  </w:style>
  <w:style w:type="character" w:customStyle="1" w:styleId="7">
    <w:name w:val="标题 7 字符"/>
    <w:basedOn w:val="DefaultParagraphFont"/>
    <w:link w:val="Heading7"/>
    <w:uiPriority w:val="9"/>
    <w:qFormat/>
    <w:rPr>
      <w:rFonts w:ascii="Arial" w:hAnsi="Arial" w:cs="Arial"/>
      <w:b/>
      <w:bCs/>
      <w:i/>
      <w:iCs/>
      <w:sz w:val="22"/>
      <w:szCs w:val="22"/>
    </w:rPr>
  </w:style>
  <w:style w:type="character" w:customStyle="1" w:styleId="8">
    <w:name w:val="标题 8 字符"/>
    <w:basedOn w:val="DefaultParagraphFont"/>
    <w:link w:val="Heading8"/>
    <w:uiPriority w:val="9"/>
    <w:qFormat/>
    <w:rPr>
      <w:rFonts w:ascii="Arial" w:hAnsi="Arial" w:cs="Arial"/>
      <w:i/>
      <w:iCs/>
      <w:sz w:val="22"/>
      <w:szCs w:val="22"/>
    </w:rPr>
  </w:style>
  <w:style w:type="character" w:customStyle="1" w:styleId="9">
    <w:name w:val="标题 9 字符"/>
    <w:basedOn w:val="DefaultParagraphFont"/>
    <w:link w:val="Heading9"/>
    <w:uiPriority w:val="9"/>
    <w:qFormat/>
    <w:rPr>
      <w:rFonts w:ascii="Arial" w:hAnsi="Arial" w:cs="Arial"/>
      <w:i/>
      <w:iCs/>
      <w:sz w:val="21"/>
      <w:szCs w:val="21"/>
    </w:rPr>
  </w:style>
  <w:style w:type="character" w:customStyle="1" w:styleId="1Char">
    <w:name w:val="标题 1 Char"/>
    <w:basedOn w:val="DefaultParagraphFont"/>
    <w:link w:val="11"/>
    <w:uiPriority w:val="9"/>
    <w:qFormat/>
    <w:rPr>
      <w:rFonts w:ascii="Arial" w:hAnsi="Arial" w:cs="Arial"/>
      <w:sz w:val="40"/>
      <w:szCs w:val="40"/>
    </w:rPr>
  </w:style>
  <w:style w:type="paragraph" w:styleId="NoSpacing">
    <w:name w:val="No Spacing"/>
    <w:uiPriority w:val="1"/>
    <w:qFormat/>
    <w:pPr>
      <w:pBdr>
        <w:top w:val="nil"/>
        <w:left w:val="nil"/>
        <w:bottom w:val="nil"/>
        <w:right w:val="nil"/>
        <w:between w:val="nil"/>
      </w:pBdr>
      <w:shd w:val="clear" w:color="FFFFFF" w:fill="FFFFFF"/>
    </w:pPr>
    <w:rPr>
      <w:rFonts w:ascii="Times New Roman" w:hAnsi="Times New Roman" w:cs="Times New Roman"/>
      <w:sz w:val="20"/>
      <w:lang w:eastAsia="zh-CN"/>
    </w:rPr>
  </w:style>
  <w:style w:type="character" w:customStyle="1" w:styleId="a0">
    <w:name w:val="标题 字符"/>
    <w:basedOn w:val="DefaultParagraphFont"/>
    <w:link w:val="Title"/>
    <w:uiPriority w:val="10"/>
    <w:qFormat/>
    <w:rPr>
      <w:sz w:val="48"/>
      <w:szCs w:val="48"/>
    </w:rPr>
  </w:style>
  <w:style w:type="character" w:customStyle="1" w:styleId="a1">
    <w:name w:val="副标题 字符"/>
    <w:basedOn w:val="DefaultParagraphFont"/>
    <w:link w:val="Subtitle"/>
    <w:uiPriority w:val="11"/>
    <w:qFormat/>
    <w:rPr>
      <w:sz w:val="24"/>
      <w:szCs w:val="24"/>
    </w:rPr>
  </w:style>
  <w:style w:type="paragraph" w:styleId="Quote">
    <w:name w:val="Quote"/>
    <w:basedOn w:val="Normal"/>
    <w:next w:val="Normal"/>
    <w:link w:val="a2"/>
    <w:uiPriority w:val="29"/>
    <w:qFormat/>
    <w:pPr>
      <w:ind w:left="720" w:right="720"/>
    </w:pPr>
    <w:rPr>
      <w:i/>
    </w:rPr>
  </w:style>
  <w:style w:type="character" w:customStyle="1" w:styleId="a2">
    <w:name w:val="引用 字符"/>
    <w:link w:val="Quote"/>
    <w:uiPriority w:val="29"/>
    <w:qFormat/>
    <w:rPr>
      <w:i/>
    </w:rPr>
  </w:style>
  <w:style w:type="paragraph" w:styleId="IntenseQuote">
    <w:name w:val="Intense Quote"/>
    <w:basedOn w:val="Normal"/>
    <w:next w:val="Normal"/>
    <w:link w:val="a3"/>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3">
    <w:name w:val="明显引用 字符"/>
    <w:link w:val="IntenseQuote"/>
    <w:uiPriority w:val="30"/>
    <w:qFormat/>
    <w:rPr>
      <w:i/>
    </w:rPr>
  </w:style>
  <w:style w:type="character" w:customStyle="1" w:styleId="Char">
    <w:name w:val="页脚 Char"/>
    <w:basedOn w:val="DefaultParagraphFont"/>
    <w:link w:val="1"/>
    <w:uiPriority w:val="99"/>
    <w:qFormat/>
  </w:style>
  <w:style w:type="character" w:customStyle="1" w:styleId="a4">
    <w:name w:val="脚注文本 字符"/>
    <w:link w:val="FootnoteText"/>
    <w:uiPriority w:val="99"/>
    <w:qFormat/>
    <w:rPr>
      <w:sz w:val="18"/>
    </w:rPr>
  </w:style>
  <w:style w:type="paragraph" w:customStyle="1" w:styleId="Web">
    <w:name w:val="普通 (Web)"/>
    <w:basedOn w:val="Normal"/>
    <w:qFormat/>
    <w:pPr>
      <w:widowControl/>
      <w:spacing w:before="100" w:beforeAutospacing="1" w:after="100" w:afterAutospacing="1"/>
      <w:jc w:val="left"/>
    </w:pPr>
    <w:rPr>
      <w:rFonts w:ascii="宋体" w:hAnsi="宋体"/>
      <w:sz w:val="24"/>
    </w:rPr>
  </w:style>
  <w:style w:type="character" w:customStyle="1" w:styleId="a5">
    <w:name w:val="批注文字 字符"/>
    <w:link w:val="CommentText"/>
    <w:qFormat/>
    <w:rPr>
      <w:sz w:val="21"/>
      <w:szCs w:val="24"/>
    </w:rPr>
  </w:style>
  <w:style w:type="character" w:customStyle="1" w:styleId="a6">
    <w:name w:val="批注主题 字符"/>
    <w:link w:val="CommentSubject"/>
    <w:qFormat/>
    <w:rPr>
      <w:b/>
      <w:bCs/>
      <w:sz w:val="21"/>
      <w:szCs w:val="24"/>
    </w:rPr>
  </w:style>
  <w:style w:type="character" w:customStyle="1" w:styleId="a7">
    <w:name w:val="日期 字符"/>
    <w:link w:val="Date"/>
    <w:qFormat/>
    <w:rPr>
      <w:sz w:val="21"/>
      <w:szCs w:val="24"/>
    </w:rPr>
  </w:style>
  <w:style w:type="character" w:customStyle="1" w:styleId="30">
    <w:name w:val="正文文本缩进 3 字符"/>
    <w:link w:val="BodyTextIndent3"/>
    <w:qFormat/>
    <w:rPr>
      <w:rFonts w:eastAsia="长城仿宋"/>
      <w:sz w:val="24"/>
    </w:rPr>
  </w:style>
  <w:style w:type="paragraph" w:styleId="ListParagraph">
    <w:name w:val="List Paragraph"/>
    <w:basedOn w:val="Normal"/>
    <w:uiPriority w:val="34"/>
    <w:qFormat/>
    <w:pPr>
      <w:ind w:firstLine="420"/>
    </w:pPr>
    <w:rPr>
      <w:rFonts w:ascii="Calibri" w:hAnsi="Calibri"/>
      <w:sz w:val="22"/>
      <w:szCs w:val="22"/>
    </w:rPr>
  </w:style>
  <w:style w:type="character" w:customStyle="1" w:styleId="a8">
    <w:name w:val="正文文本缩进 字符"/>
    <w:link w:val="BodyTextIndent"/>
    <w:qFormat/>
    <w:rPr>
      <w:rFonts w:ascii="仿宋_GB2312" w:eastAsia="仿宋_GB2312" w:hAnsi="宋体"/>
      <w:color w:val="000000"/>
      <w:sz w:val="28"/>
      <w:szCs w:val="24"/>
    </w:rPr>
  </w:style>
  <w:style w:type="paragraph" w:styleId="Header">
    <w:name w:val="header"/>
    <w:basedOn w:val="Normal"/>
    <w:link w:val="a9"/>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DefaultParagraphFont"/>
    <w:link w:val="Header"/>
    <w:uiPriority w:val="99"/>
    <w:rPr>
      <w:rFonts w:ascii="Times New Roman" w:hAnsi="Times New Roman" w:cs="Times New Roman"/>
      <w:sz w:val="18"/>
      <w:szCs w:val="18"/>
      <w:shd w:val="clear" w:color="FFFFFF" w:fill="FFFFFF"/>
      <w:lang w:eastAsia="zh-CN"/>
    </w:rPr>
  </w:style>
  <w:style w:type="paragraph" w:styleId="Footer">
    <w:name w:val="footer"/>
    <w:basedOn w:val="Normal"/>
    <w:link w:val="a10"/>
    <w:uiPriority w:val="99"/>
    <w:unhideWhenUsed/>
    <w:pPr>
      <w:tabs>
        <w:tab w:val="center" w:pos="4153"/>
        <w:tab w:val="right" w:pos="8306"/>
      </w:tabs>
      <w:snapToGrid w:val="0"/>
      <w:jc w:val="left"/>
    </w:pPr>
    <w:rPr>
      <w:sz w:val="18"/>
      <w:szCs w:val="18"/>
    </w:rPr>
  </w:style>
  <w:style w:type="character" w:customStyle="1" w:styleId="a10">
    <w:name w:val="页脚 字符"/>
    <w:basedOn w:val="DefaultParagraphFont"/>
    <w:link w:val="Footer"/>
    <w:uiPriority w:val="99"/>
    <w:rPr>
      <w:rFonts w:ascii="Times New Roman" w:hAnsi="Times New Roman" w:cs="Times New Roman"/>
      <w:sz w:val="18"/>
      <w:szCs w:val="18"/>
      <w:shd w:val="clear" w:color="FFFFFF" w:fill="FFFFFF"/>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11"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glossaryDocument" Target="glossary/document.xml" /><Relationship Id="rId9" Type="http://schemas.openxmlformats.org/officeDocument/2006/relationships/theme" Target="theme/theme1.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870a0bf2153b4bb9858a2203a255ad78"/>
        <w:category>
          <w:name w:val="(Empty Category)"/>
          <w:gallery w:val="any"/>
        </w:category>
        <w:behaviors>
          <w:behavior w:val="content"/>
        </w:behaviors>
        <w:guid w:val="{CEB5FDE1-C5F9-40B9-98A5-B3B117582E7C}"/>
      </w:docPartPr>
      <w:docPartBody>
        <w:p w:rsidR="00674D86">
          <w:r>
            <w:t>请在此放置您的文字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长城仿宋">
    <w:charset w:val="00"/>
    <w:family w:val="auto"/>
    <w:pitch w:val="default"/>
  </w:font>
  <w:font w:name="方正仿宋简体">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characterSpacingControl w:val="compressPunctuation"/>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D86"/>
    <w:rsid w:val="00143AD5"/>
    <w:rsid w:val="004625DA"/>
    <w:rsid w:val="005E64D7"/>
    <w:rsid w:val="00674D86"/>
    <w:rsid w:val="008A76D9"/>
    <w:rsid w:val="00F54319"/>
    <w:rsid w:val="00F62E5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宋体" w:hAnsi="Arial" w:cs="Arial"/>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1"/>
    <w:uiPriority w:val="9"/>
    <w:qFormat/>
    <w:pPr>
      <w:keepNext/>
      <w:keepLines/>
      <w:spacing w:before="480" w:after="200"/>
      <w:outlineLvl w:val="0"/>
    </w:pPr>
    <w:rPr>
      <w:sz w:val="40"/>
      <w:szCs w:val="40"/>
    </w:rPr>
  </w:style>
  <w:style w:type="paragraph" w:styleId="Heading2">
    <w:name w:val="heading 2"/>
    <w:basedOn w:val="Normal"/>
    <w:next w:val="Normal"/>
    <w:link w:val="2"/>
    <w:uiPriority w:val="9"/>
    <w:unhideWhenUsed/>
    <w:qFormat/>
    <w:pPr>
      <w:keepNext/>
      <w:keepLines/>
      <w:spacing w:before="360" w:after="200"/>
      <w:outlineLvl w:val="1"/>
    </w:pPr>
    <w:rPr>
      <w:sz w:val="34"/>
    </w:rPr>
  </w:style>
  <w:style w:type="paragraph" w:styleId="Heading3">
    <w:name w:val="heading 3"/>
    <w:basedOn w:val="Normal"/>
    <w:next w:val="Normal"/>
    <w:link w:val="3"/>
    <w:uiPriority w:val="9"/>
    <w:unhideWhenUsed/>
    <w:qFormat/>
    <w:pPr>
      <w:keepNext/>
      <w:keepLines/>
      <w:spacing w:before="320" w:after="200"/>
      <w:outlineLvl w:val="2"/>
    </w:pPr>
    <w:rPr>
      <w:sz w:val="30"/>
      <w:szCs w:val="30"/>
    </w:rPr>
  </w:style>
  <w:style w:type="paragraph" w:styleId="Heading4">
    <w:name w:val="heading 4"/>
    <w:basedOn w:val="Normal"/>
    <w:next w:val="Normal"/>
    <w:link w:val="4"/>
    <w:uiPriority w:val="9"/>
    <w:unhideWhenUsed/>
    <w:qFormat/>
    <w:pPr>
      <w:keepNext/>
      <w:keepLines/>
      <w:spacing w:before="320" w:after="200"/>
      <w:outlineLvl w:val="3"/>
    </w:pPr>
    <w:rPr>
      <w:b/>
      <w:bCs/>
      <w:sz w:val="26"/>
      <w:szCs w:val="26"/>
    </w:rPr>
  </w:style>
  <w:style w:type="paragraph" w:styleId="Heading5">
    <w:name w:val="heading 5"/>
    <w:basedOn w:val="Normal"/>
    <w:next w:val="Normal"/>
    <w:link w:val="5"/>
    <w:uiPriority w:val="9"/>
    <w:unhideWhenUsed/>
    <w:qFormat/>
    <w:pPr>
      <w:keepNext/>
      <w:keepLines/>
      <w:spacing w:before="320" w:after="200"/>
      <w:outlineLvl w:val="4"/>
    </w:pPr>
    <w:rPr>
      <w:b/>
      <w:bCs/>
      <w:sz w:val="24"/>
      <w:szCs w:val="24"/>
    </w:rPr>
  </w:style>
  <w:style w:type="paragraph" w:styleId="Heading6">
    <w:name w:val="heading 6"/>
    <w:basedOn w:val="Normal"/>
    <w:next w:val="Normal"/>
    <w:link w:val="6"/>
    <w:uiPriority w:val="9"/>
    <w:unhideWhenUsed/>
    <w:qFormat/>
    <w:pPr>
      <w:keepNext/>
      <w:keepLines/>
      <w:spacing w:before="320" w:after="200"/>
      <w:outlineLvl w:val="5"/>
    </w:pPr>
    <w:rPr>
      <w:b/>
      <w:bCs/>
    </w:rPr>
  </w:style>
  <w:style w:type="paragraph" w:styleId="Heading7">
    <w:name w:val="heading 7"/>
    <w:basedOn w:val="Normal"/>
    <w:next w:val="Normal"/>
    <w:link w:val="7"/>
    <w:uiPriority w:val="9"/>
    <w:unhideWhenUsed/>
    <w:qFormat/>
    <w:pPr>
      <w:keepNext/>
      <w:keepLines/>
      <w:spacing w:before="320" w:after="200"/>
      <w:outlineLvl w:val="6"/>
    </w:pPr>
    <w:rPr>
      <w:b/>
      <w:bCs/>
      <w:i/>
      <w:iCs/>
    </w:rPr>
  </w:style>
  <w:style w:type="paragraph" w:styleId="Heading8">
    <w:name w:val="heading 8"/>
    <w:basedOn w:val="Normal"/>
    <w:next w:val="Normal"/>
    <w:link w:val="8"/>
    <w:uiPriority w:val="9"/>
    <w:unhideWhenUsed/>
    <w:qFormat/>
    <w:pPr>
      <w:keepNext/>
      <w:keepLines/>
      <w:spacing w:before="320" w:after="200"/>
      <w:outlineLvl w:val="7"/>
    </w:pPr>
    <w:rPr>
      <w:i/>
      <w:iCs/>
    </w:rPr>
  </w:style>
  <w:style w:type="paragraph" w:styleId="Heading9">
    <w:name w:val="heading 9"/>
    <w:basedOn w:val="Normal"/>
    <w:next w:val="Normal"/>
    <w:link w:val="9"/>
    <w:uiPriority w:val="9"/>
    <w:unhideWhenUsed/>
    <w:qFormat/>
    <w:pPr>
      <w:keepNext/>
      <w:keepLines/>
      <w:spacing w:before="320" w:after="200"/>
      <w:outlineLvl w:val="8"/>
    </w:pPr>
    <w:rPr>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标题 1 字符"/>
    <w:basedOn w:val="DefaultParagraphFont"/>
    <w:link w:val="Heading1"/>
    <w:uiPriority w:val="9"/>
    <w:rPr>
      <w:rFonts w:ascii="Arial" w:hAnsi="Arial" w:cs="Arial"/>
      <w:sz w:val="40"/>
      <w:szCs w:val="40"/>
    </w:rPr>
  </w:style>
  <w:style w:type="character" w:customStyle="1" w:styleId="2">
    <w:name w:val="标题 2 字符"/>
    <w:basedOn w:val="DefaultParagraphFont"/>
    <w:link w:val="Heading2"/>
    <w:uiPriority w:val="9"/>
    <w:rPr>
      <w:rFonts w:ascii="Arial" w:hAnsi="Arial" w:cs="Arial"/>
      <w:sz w:val="34"/>
    </w:rPr>
  </w:style>
  <w:style w:type="character" w:customStyle="1" w:styleId="3">
    <w:name w:val="标题 3 字符"/>
    <w:basedOn w:val="DefaultParagraphFont"/>
    <w:link w:val="Heading3"/>
    <w:uiPriority w:val="9"/>
    <w:rPr>
      <w:rFonts w:ascii="Arial" w:hAnsi="Arial" w:cs="Arial"/>
      <w:sz w:val="30"/>
      <w:szCs w:val="30"/>
    </w:rPr>
  </w:style>
  <w:style w:type="character" w:customStyle="1" w:styleId="4">
    <w:name w:val="标题 4 字符"/>
    <w:basedOn w:val="DefaultParagraphFont"/>
    <w:link w:val="Heading4"/>
    <w:uiPriority w:val="9"/>
    <w:rPr>
      <w:rFonts w:ascii="Arial" w:hAnsi="Arial" w:cs="Arial"/>
      <w:b/>
      <w:bCs/>
      <w:sz w:val="26"/>
      <w:szCs w:val="26"/>
    </w:rPr>
  </w:style>
  <w:style w:type="character" w:customStyle="1" w:styleId="5">
    <w:name w:val="标题 5 字符"/>
    <w:basedOn w:val="DefaultParagraphFont"/>
    <w:link w:val="Heading5"/>
    <w:uiPriority w:val="9"/>
    <w:rPr>
      <w:rFonts w:ascii="Arial" w:hAnsi="Arial" w:cs="Arial"/>
      <w:b/>
      <w:bCs/>
      <w:sz w:val="24"/>
      <w:szCs w:val="24"/>
    </w:rPr>
  </w:style>
  <w:style w:type="character" w:customStyle="1" w:styleId="6">
    <w:name w:val="标题 6 字符"/>
    <w:basedOn w:val="DefaultParagraphFont"/>
    <w:link w:val="Heading6"/>
    <w:uiPriority w:val="9"/>
    <w:rPr>
      <w:rFonts w:ascii="Arial" w:hAnsi="Arial" w:cs="Arial"/>
      <w:b/>
      <w:bCs/>
      <w:sz w:val="22"/>
      <w:szCs w:val="22"/>
    </w:rPr>
  </w:style>
  <w:style w:type="character" w:customStyle="1" w:styleId="7">
    <w:name w:val="标题 7 字符"/>
    <w:basedOn w:val="DefaultParagraphFont"/>
    <w:link w:val="Heading7"/>
    <w:uiPriority w:val="9"/>
    <w:rPr>
      <w:rFonts w:ascii="Arial" w:hAnsi="Arial" w:cs="Arial"/>
      <w:b/>
      <w:bCs/>
      <w:i/>
      <w:iCs/>
      <w:sz w:val="22"/>
      <w:szCs w:val="22"/>
    </w:rPr>
  </w:style>
  <w:style w:type="character" w:customStyle="1" w:styleId="8">
    <w:name w:val="标题 8 字符"/>
    <w:basedOn w:val="DefaultParagraphFont"/>
    <w:link w:val="Heading8"/>
    <w:uiPriority w:val="9"/>
    <w:rPr>
      <w:rFonts w:ascii="Arial" w:hAnsi="Arial" w:cs="Arial"/>
      <w:i/>
      <w:iCs/>
      <w:sz w:val="22"/>
      <w:szCs w:val="22"/>
    </w:rPr>
  </w:style>
  <w:style w:type="character" w:customStyle="1" w:styleId="9">
    <w:name w:val="标题 9 字符"/>
    <w:basedOn w:val="DefaultParagraphFont"/>
    <w:link w:val="Heading9"/>
    <w:uiPriority w:val="9"/>
    <w:rPr>
      <w:rFonts w:ascii="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style>
  <w:style w:type="paragraph" w:styleId="Title">
    <w:name w:val="Title"/>
    <w:basedOn w:val="Normal"/>
    <w:next w:val="Normal"/>
    <w:link w:val="a"/>
    <w:uiPriority w:val="10"/>
    <w:qFormat/>
    <w:pPr>
      <w:spacing w:before="300" w:after="200"/>
      <w:contextualSpacing/>
    </w:pPr>
    <w:rPr>
      <w:sz w:val="48"/>
      <w:szCs w:val="48"/>
    </w:rPr>
  </w:style>
  <w:style w:type="character" w:customStyle="1" w:styleId="a">
    <w:name w:val="标题 字符"/>
    <w:basedOn w:val="DefaultParagraphFont"/>
    <w:link w:val="Title"/>
    <w:uiPriority w:val="10"/>
    <w:rPr>
      <w:sz w:val="48"/>
      <w:szCs w:val="48"/>
    </w:rPr>
  </w:style>
  <w:style w:type="paragraph" w:styleId="Subtitle">
    <w:name w:val="Subtitle"/>
    <w:basedOn w:val="Normal"/>
    <w:next w:val="Normal"/>
    <w:link w:val="a0"/>
    <w:uiPriority w:val="11"/>
    <w:qFormat/>
    <w:pPr>
      <w:spacing w:before="200" w:after="200"/>
    </w:pPr>
    <w:rPr>
      <w:sz w:val="24"/>
      <w:szCs w:val="24"/>
    </w:rPr>
  </w:style>
  <w:style w:type="character" w:customStyle="1" w:styleId="a0">
    <w:name w:val="副标题 字符"/>
    <w:basedOn w:val="DefaultParagraphFont"/>
    <w:link w:val="Subtitle"/>
    <w:uiPriority w:val="11"/>
    <w:rPr>
      <w:sz w:val="24"/>
      <w:szCs w:val="24"/>
    </w:rPr>
  </w:style>
  <w:style w:type="paragraph" w:styleId="Quote">
    <w:name w:val="Quote"/>
    <w:basedOn w:val="Normal"/>
    <w:next w:val="Normal"/>
    <w:link w:val="a1"/>
    <w:uiPriority w:val="29"/>
    <w:qFormat/>
    <w:pPr>
      <w:ind w:left="720" w:right="720"/>
    </w:pPr>
    <w:rPr>
      <w:i/>
    </w:rPr>
  </w:style>
  <w:style w:type="character" w:customStyle="1" w:styleId="a1">
    <w:name w:val="引用 字符"/>
    <w:link w:val="Quote"/>
    <w:uiPriority w:val="29"/>
    <w:rPr>
      <w:i/>
    </w:rPr>
  </w:style>
  <w:style w:type="paragraph" w:styleId="IntenseQuote">
    <w:name w:val="Intense Quote"/>
    <w:basedOn w:val="Normal"/>
    <w:next w:val="Normal"/>
    <w:link w:val="a2"/>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2">
    <w:name w:val="明显引用 字符"/>
    <w:link w:val="IntenseQuote"/>
    <w:uiPriority w:val="30"/>
    <w:rPr>
      <w:i/>
    </w:rPr>
  </w:style>
  <w:style w:type="paragraph" w:styleId="Header">
    <w:name w:val="header"/>
    <w:basedOn w:val="Normal"/>
    <w:link w:val="a3"/>
    <w:uiPriority w:val="99"/>
    <w:unhideWhenUsed/>
    <w:pPr>
      <w:tabs>
        <w:tab w:val="center" w:pos="7143"/>
        <w:tab w:val="right" w:pos="14287"/>
      </w:tabs>
    </w:pPr>
  </w:style>
  <w:style w:type="character" w:customStyle="1" w:styleId="a3">
    <w:name w:val="页眉 字符"/>
    <w:basedOn w:val="DefaultParagraphFont"/>
    <w:link w:val="Header"/>
    <w:uiPriority w:val="99"/>
  </w:style>
  <w:style w:type="paragraph" w:styleId="Footer">
    <w:name w:val="footer"/>
    <w:basedOn w:val="Normal"/>
    <w:link w:val="a4"/>
    <w:uiPriority w:val="99"/>
    <w:unhideWhenUsed/>
    <w:pPr>
      <w:tabs>
        <w:tab w:val="center" w:pos="7143"/>
        <w:tab w:val="right" w:pos="14287"/>
      </w:tabs>
    </w:pPr>
  </w:style>
  <w:style w:type="paragraph" w:styleId="Caption">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a4">
    <w:name w:val="页脚 字符"/>
    <w:link w:val="Footer"/>
    <w:uiPriority w:val="99"/>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F2F2F2" w:fill="F2F2F2" w:themeFill="text1" w:themeFillTint="0D"/>
      </w:tcPr>
    </w:tblStylePr>
    <w:tblStylePr w:type="band2Vert">
      <w:pPr>
        <w:snapToGrid/>
      </w:pPr>
    </w:tblStylePr>
    <w:tblStylePr w:type="band1Horz">
      <w:pPr>
        <w:snapToGrid/>
      </w:pPr>
      <w:tblPr/>
      <w:tcPr>
        <w:shd w:val="clear" w:color="F2F2F2"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PlainTable2">
    <w:name w:val="Plain Table 2"/>
    <w:basedOn w:val="TableNormal"/>
    <w:uiPriority w:val="59"/>
    <w:tblPr>
      <w:tblBorders>
        <w:top w:val="single" w:sz="4" w:space="0" w:color="000000" w:themeColor="text1"/>
        <w:left w:val="nil"/>
        <w:bottom w:val="single" w:sz="4" w:space="0" w:color="000000" w:themeColor="text1"/>
        <w:right w:val="nil"/>
      </w:tblBorders>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PlainTable3">
    <w:name w:val="Plain Table 3"/>
    <w:basedOn w:val="TableNormal"/>
    <w:uiPriority w:val="99"/>
    <w:tblPr>
      <w:tblStyleRowBandSize w:val="1"/>
      <w:tblStyleColBandSize w:val="1"/>
    </w:tblPr>
    <w:tblStylePr w:type="firstRow">
      <w:pPr>
        <w:snapToGrid/>
      </w:pPr>
      <w:rPr>
        <w:b/>
        <w:caps/>
        <w:color w:val="404040"/>
      </w:rPr>
      <w:tblPr/>
      <w:tcPr>
        <w:tcBorders>
          <w:top w:val="nil"/>
          <w:left w:val="nil"/>
          <w:bottom w:val="single" w:sz="4" w:space="0" w:color="404040"/>
          <w:right w:val="nil"/>
        </w:tcBorders>
      </w:tcPr>
    </w:tblStylePr>
    <w:tblStylePr w:type="lastRow">
      <w:pPr>
        <w:snapToGrid/>
      </w:pPr>
      <w:rPr>
        <w:b/>
        <w:caps/>
        <w:color w:val="404040"/>
      </w:rPr>
    </w:tblStylePr>
    <w:tblStylePr w:type="firstCol">
      <w:pPr>
        <w:snapToGrid/>
      </w:pPr>
      <w:rPr>
        <w:b/>
        <w:caps/>
        <w:color w:val="404040"/>
      </w:rPr>
      <w:tblPr/>
      <w:tcPr>
        <w:tcBorders>
          <w:top w:val="nil"/>
          <w:left w:val="nil"/>
          <w:bottom w:val="nil"/>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F2F2F2"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2F2F2"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PlainTable4">
    <w:name w:val="Plain Table 4"/>
    <w:basedOn w:val="TableNormal"/>
    <w:uiPriority w:val="99"/>
    <w:tblPr>
      <w:tblStyleRowBandSize w:val="1"/>
      <w:tblStyleColBandSize w:val="1"/>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2F2F2"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2F2F2"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PlainTable5">
    <w:name w:val="Plain Table 5"/>
    <w:basedOn w:val="TableNormal"/>
    <w:uiPriority w:val="99"/>
    <w:tblPr>
      <w:tblStyleRowBandSize w:val="1"/>
      <w:tblStyleColBandSize w:val="1"/>
    </w:tblPr>
    <w:tblStylePr w:type="firstRow">
      <w:pPr>
        <w:snapToGrid/>
      </w:pPr>
      <w:rPr>
        <w:i/>
        <w:color w:val="404040"/>
      </w:rPr>
      <w:tblPr/>
      <w:tcPr>
        <w:tcBorders>
          <w:left w:val="nil"/>
          <w:bottom w:val="single" w:sz="4" w:space="0" w:color="404040"/>
          <w:right w:val="nil"/>
        </w:tcBorders>
        <w:shd w:val="clear" w:color="FFFFFF" w:fill="FFFFFF"/>
      </w:tcPr>
    </w:tblStylePr>
    <w:tblStylePr w:type="lastRow">
      <w:pPr>
        <w:snapToGrid/>
      </w:pPr>
      <w:rPr>
        <w:i/>
        <w:color w:val="404040"/>
      </w:rPr>
      <w:tblPr/>
      <w:tcPr>
        <w:tcBorders>
          <w:top w:val="single" w:sz="4" w:space="0" w:color="404040"/>
          <w:left w:val="nil"/>
          <w:right w:val="nil"/>
        </w:tcBorders>
        <w:shd w:val="clear" w:color="FFFFFF" w:fill="FFFFFF"/>
      </w:tcPr>
    </w:tblStylePr>
    <w:tblStylePr w:type="firstCol">
      <w:pPr>
        <w:snapToGrid/>
        <w:jc w:val="right"/>
      </w:pPr>
      <w:rPr>
        <w:i/>
        <w:color w:val="404040"/>
      </w:rPr>
      <w:tblPr/>
      <w:tcPr>
        <w:tcBorders>
          <w:right w:val="single" w:sz="4" w:space="0" w:color="404040"/>
        </w:tcBorders>
        <w:shd w:val="clear" w:color="FFFFFF" w:fill="FFFFFF"/>
      </w:tcPr>
    </w:tblStylePr>
    <w:tblStylePr w:type="lastCol">
      <w:pPr>
        <w:snapToGrid/>
      </w:pPr>
      <w:rPr>
        <w:i/>
        <w:color w:val="404040"/>
      </w:rPr>
      <w:tblPr/>
      <w:tcPr>
        <w:tcBorders>
          <w:left w:val="single" w:sz="4" w:space="0" w:color="404040"/>
        </w:tcBorders>
        <w:shd w:val="clear" w:color="FFFFFF" w:fill="FFFFFF"/>
      </w:tcPr>
    </w:tblStylePr>
    <w:tblStylePr w:type="band1Vert">
      <w:pPr>
        <w:snapToGrid/>
      </w:pPr>
      <w:rPr>
        <w:rFonts w:ascii="Arial" w:hAnsi="Arial"/>
        <w:color w:val="404040"/>
        <w:sz w:val="22"/>
      </w:rPr>
      <w:tblPr/>
      <w:tcPr>
        <w:shd w:val="clear" w:color="F2F2F2"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2F2F2"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il"/>
          <w:left w:val="nil"/>
          <w:bottom w:val="single" w:sz="12" w:space="0" w:color="6A6A6A" w:themeColor="text1" w:themeTint="95"/>
          <w:right w:val="nil"/>
        </w:tcBorders>
        <w:shd w:val="clear" w:color="FFFFFF" w:fill="FFFFFF"/>
      </w:tcPr>
    </w:tblStylePr>
    <w:tblStylePr w:type="lastRow">
      <w:pPr>
        <w:snapToGrid/>
      </w:pPr>
      <w:rPr>
        <w:b/>
        <w:color w:val="404040"/>
      </w:rPr>
      <w:tblPr/>
      <w:tcPr>
        <w:tcBorders>
          <w:top w:val="single" w:sz="4" w:space="0" w:color="6A6A6A" w:themeColor="text1" w:themeTint="95"/>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CBCBCB" w:fill="CBCBCB" w:themeFill="text1" w:themeFillTint="34"/>
      </w:tcPr>
    </w:tblStylePr>
    <w:tblStylePr w:type="band2Vert">
      <w:pPr>
        <w:snapToGrid/>
      </w:pPr>
    </w:tblStylePr>
    <w:tblStylePr w:type="band1Horz">
      <w:pPr>
        <w:snapToGrid/>
      </w:pPr>
      <w:rPr>
        <w:rFonts w:ascii="Arial" w:hAnsi="Arial"/>
        <w:color w:val="404040"/>
        <w:sz w:val="22"/>
      </w:rPr>
      <w:tblPr/>
      <w:tcPr>
        <w:shd w:val="clear" w:color="CBCBCB"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CBCBCB" w:fill="CBCBCB" w:themeFill="text1" w:themeFillTint="34"/>
      </w:tcPr>
    </w:tblStylePr>
    <w:tblStylePr w:type="band2Vert">
      <w:pPr>
        <w:snapToGrid/>
      </w:pPr>
    </w:tblStylePr>
    <w:tblStylePr w:type="band1Horz">
      <w:pPr>
        <w:snapToGrid/>
      </w:pPr>
      <w:rPr>
        <w:rFonts w:ascii="Arial" w:hAnsi="Arial"/>
        <w:color w:val="404040"/>
        <w:sz w:val="22"/>
      </w:rPr>
      <w:tblPr/>
      <w:tcPr>
        <w:shd w:val="clear" w:color="CBCBCB"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CBCBCB" w:fill="CBCBCB" w:themeFill="text1" w:themeFillTint="34"/>
      </w:tcPr>
    </w:tblStylePr>
    <w:tblStylePr w:type="band2Vert">
      <w:pPr>
        <w:snapToGrid/>
      </w:pPr>
    </w:tblStylePr>
    <w:tblStylePr w:type="band1Horz">
      <w:pPr>
        <w:snapToGrid/>
      </w:pPr>
      <w:rPr>
        <w:rFonts w:ascii="Arial" w:hAnsi="Arial"/>
        <w:color w:val="404040"/>
        <w:sz w:val="22"/>
      </w:rPr>
      <w:tblPr/>
      <w:tcPr>
        <w:shd w:val="clear" w:color="CBCBCB"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fill="BFBFBF" w:themeFill="text1" w:themeFillTint="40"/>
    </w:tblPr>
    <w:tblStylePr w:type="firstRow">
      <w:pPr>
        <w:snapToGrid/>
      </w:pPr>
      <w:rPr>
        <w:rFonts w:ascii="Arial" w:hAnsi="Arial"/>
        <w:b/>
        <w:color w:val="FFFFFF"/>
        <w:sz w:val="22"/>
      </w:rPr>
      <w:tblPr/>
      <w:tcPr>
        <w:shd w:val="clear" w:color="000000"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000000" w:fill="000000" w:themeFill="text1"/>
      </w:tcPr>
    </w:tblStylePr>
    <w:tblStylePr w:type="firstCol">
      <w:pPr>
        <w:snapToGrid/>
      </w:pPr>
      <w:rPr>
        <w:rFonts w:ascii="Arial" w:hAnsi="Arial"/>
        <w:b/>
        <w:color w:val="FFFFFF"/>
        <w:sz w:val="22"/>
      </w:rPr>
      <w:tblPr/>
      <w:tcPr>
        <w:shd w:val="clear" w:color="000000" w:fill="000000" w:themeFill="text1"/>
      </w:tcPr>
    </w:tblStylePr>
    <w:tblStylePr w:type="lastCol">
      <w:pPr>
        <w:snapToGrid/>
      </w:pPr>
      <w:rPr>
        <w:rFonts w:ascii="Arial" w:hAnsi="Arial"/>
        <w:b/>
        <w:color w:val="FFFFFF"/>
        <w:sz w:val="22"/>
      </w:rPr>
      <w:tblPr/>
      <w:tcPr>
        <w:shd w:val="clear" w:color="000000" w:fill="000000" w:themeFill="text1"/>
      </w:tcPr>
    </w:tblStylePr>
    <w:tblStylePr w:type="band1Vert">
      <w:pPr>
        <w:snapToGrid/>
      </w:pPr>
      <w:tblPr/>
      <w:tcPr>
        <w:shd w:val="clear" w:color="8A8A8A" w:fill="8A8A8A" w:themeFill="text1" w:themeFillTint="75"/>
      </w:tcPr>
    </w:tblStylePr>
    <w:tblStylePr w:type="band2Vert">
      <w:pPr>
        <w:snapToGrid/>
      </w:pPr>
    </w:tblStylePr>
    <w:tblStylePr w:type="band1Horz">
      <w:pPr>
        <w:snapToGrid/>
      </w:pPr>
      <w:tblPr/>
      <w:tcPr>
        <w:shd w:val="clear" w:color="8A8A8A"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b/>
        <w:color w:val="7F7F7F" w:themeColor="text1" w:themeShade="95" w:themeTint="80"/>
      </w:rPr>
      <w:tblPr/>
      <w:tcPr>
        <w:tcBorders>
          <w:bottom w:val="single" w:sz="12" w:space="0" w:color="7F7F7F" w:themeColor="text1" w:themeTint="80"/>
        </w:tcBorders>
      </w:tcPr>
    </w:tblStylePr>
    <w:tblStylePr w:type="lastRow">
      <w:pPr>
        <w:snapToGrid/>
      </w:pPr>
      <w:rPr>
        <w:b/>
        <w:color w:val="7F7F7F" w:themeColor="text1" w:themeShade="95" w:themeTint="80"/>
      </w:rPr>
    </w:tblStylePr>
    <w:tblStylePr w:type="firstCol">
      <w:pPr>
        <w:snapToGrid/>
      </w:pPr>
      <w:rPr>
        <w:b/>
        <w:color w:val="7F7F7F" w:themeColor="text1" w:themeShade="95" w:themeTint="80"/>
      </w:rPr>
    </w:tblStylePr>
    <w:tblStylePr w:type="lastCol">
      <w:pPr>
        <w:snapToGrid/>
      </w:pPr>
      <w:rPr>
        <w:b/>
        <w:color w:val="7F7F7F" w:themeColor="text1" w:themeShade="95" w:themeTint="80"/>
      </w:rPr>
    </w:tblStylePr>
    <w:tblStylePr w:type="band1Vert">
      <w:pPr>
        <w:snapToGrid/>
      </w:pPr>
      <w:tblPr/>
      <w:tcPr>
        <w:shd w:val="clear" w:color="CBCBCB" w:fill="CBCBCB" w:themeFill="text1" w:themeFillTint="34"/>
      </w:tcPr>
    </w:tblStylePr>
    <w:tblStylePr w:type="band2Vert">
      <w:pPr>
        <w:snapToGrid/>
      </w:pPr>
    </w:tblStylePr>
    <w:tblStylePr w:type="band1Horz">
      <w:pPr>
        <w:snapToGrid/>
      </w:pPr>
      <w:rPr>
        <w:rFonts w:ascii="Arial" w:hAnsi="Arial"/>
        <w:color w:val="7F7F7F" w:themeColor="text1" w:themeShade="95" w:themeTint="80"/>
        <w:sz w:val="22"/>
      </w:rPr>
      <w:tblPr/>
      <w:tcPr>
        <w:shd w:val="clear" w:color="CBCBCB" w:fill="CBCBCB" w:themeFill="text1" w:themeFillTint="34"/>
      </w:tcPr>
    </w:tblStylePr>
    <w:tblStylePr w:type="band2Horz">
      <w:pPr>
        <w:snapToGrid/>
      </w:pPr>
      <w:rPr>
        <w:rFonts w:ascii="Arial" w:hAnsi="Arial"/>
        <w:color w:val="7F7F7F" w:themeColor="text1" w:themeShade="95"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rFonts w:ascii="Arial" w:hAnsi="Arial"/>
        <w:b/>
        <w:color w:val="7F7F7F" w:themeColor="text1" w:themeShade="95" w:themeTint="80"/>
        <w:sz w:val="22"/>
      </w:rPr>
      <w:tblPr/>
      <w:tcPr>
        <w:tcBorders>
          <w:top w:val="nil"/>
          <w:left w:val="nil"/>
          <w:bottom w:val="single" w:sz="4" w:space="0" w:color="7F7F7F" w:themeColor="text1" w:themeTint="80"/>
          <w:right w:val="nil"/>
        </w:tcBorders>
        <w:shd w:val="clear" w:color="FFFFFF" w:fill="FFFFFF" w:themeFill="light1"/>
      </w:tcPr>
    </w:tblStylePr>
    <w:tblStylePr w:type="lastRow">
      <w:pPr>
        <w:snapToGrid/>
      </w:pPr>
      <w:rPr>
        <w:rFonts w:ascii="Arial" w:hAnsi="Arial"/>
        <w:b/>
        <w:color w:val="7F7F7F" w:themeColor="text1" w:themeShade="95" w:themeTint="80"/>
        <w:sz w:val="22"/>
      </w:rPr>
      <w:tblPr/>
      <w:tcPr>
        <w:tcBorders>
          <w:top w:val="single" w:sz="4" w:space="0" w:color="7F7F7F" w:themeColor="text1" w:themeTint="80"/>
          <w:left w:val="nil"/>
          <w:bottom w:val="nil"/>
          <w:right w:val="nil"/>
        </w:tcBorders>
        <w:shd w:val="clear" w:color="FFFFFF" w:fill="FFFFFF" w:themeFill="light1"/>
      </w:tcPr>
    </w:tblStylePr>
    <w:tblStylePr w:type="firstCol">
      <w:pPr>
        <w:snapToGrid/>
        <w:jc w:val="right"/>
      </w:pPr>
      <w:rPr>
        <w:rFonts w:ascii="Arial" w:hAnsi="Arial"/>
        <w:i/>
        <w:color w:val="7F7F7F" w:themeColor="text1" w:themeShade="95" w:themeTint="80"/>
        <w:sz w:val="22"/>
      </w:rPr>
      <w:tblPr/>
      <w:tcPr>
        <w:tcBorders>
          <w:top w:val="nil"/>
          <w:left w:val="nil"/>
          <w:bottom w:val="nil"/>
          <w:right w:val="single" w:sz="4" w:space="0" w:color="7F7F7F" w:themeColor="text1" w:themeTint="80"/>
        </w:tcBorders>
        <w:shd w:val="clear" w:color="FFFFFF" w:fill="FFFFFF"/>
      </w:tcPr>
    </w:tblStylePr>
    <w:tblStylePr w:type="lastCol">
      <w:pPr>
        <w:snapToGrid/>
      </w:pPr>
      <w:rPr>
        <w:rFonts w:ascii="Arial" w:hAnsi="Arial"/>
        <w:i/>
        <w:color w:val="7F7F7F" w:themeColor="text1" w:themeShade="95" w:themeTint="80"/>
        <w:sz w:val="22"/>
      </w:rPr>
      <w:tblPr/>
      <w:tcPr>
        <w:tcBorders>
          <w:top w:val="nil"/>
          <w:left w:val="single" w:sz="4" w:space="0" w:color="7F7F7F" w:themeColor="text1" w:themeTint="80"/>
          <w:bottom w:val="nil"/>
          <w:right w:val="nil"/>
        </w:tcBorders>
        <w:shd w:val="clear" w:color="FFFFFF" w:fill="FFFFFF"/>
      </w:tcPr>
    </w:tblStylePr>
    <w:tblStylePr w:type="band1Vert">
      <w:pPr>
        <w:snapToGrid/>
      </w:pPr>
      <w:tblPr/>
      <w:tcPr>
        <w:shd w:val="clear" w:color="F2F2F2" w:fill="F2F2F2" w:themeFill="text1" w:themeFillTint="0D"/>
      </w:tcPr>
    </w:tblStylePr>
    <w:tblStylePr w:type="band2Vert">
      <w:pPr>
        <w:snapToGrid/>
      </w:pPr>
    </w:tblStylePr>
    <w:tblStylePr w:type="band1Horz">
      <w:pPr>
        <w:snapToGrid/>
      </w:pPr>
      <w:rPr>
        <w:rFonts w:ascii="Arial" w:hAnsi="Arial"/>
        <w:color w:val="7F7F7F" w:themeColor="text1" w:themeShade="95" w:themeTint="80"/>
        <w:sz w:val="22"/>
      </w:rPr>
      <w:tblPr/>
      <w:tcPr>
        <w:shd w:val="clear" w:color="F2F2F2" w:fill="F2F2F2" w:themeFill="text1" w:themeFillTint="0D"/>
      </w:tcPr>
    </w:tblStylePr>
    <w:tblStylePr w:type="band2Horz">
      <w:pPr>
        <w:snapToGrid/>
      </w:pPr>
      <w:rPr>
        <w:rFonts w:ascii="Arial" w:hAnsi="Arial"/>
        <w:color w:val="7F7F7F" w:themeColor="text1" w:themeShade="95"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1Light">
    <w:name w:val="List Table 1 Light"/>
    <w:basedOn w:val="TableNormal"/>
    <w:uiPriority w:val="99"/>
    <w:tblPr>
      <w:tblStyleRowBandSize w:val="1"/>
      <w:tblStyleColBandSize w:val="1"/>
    </w:tblPr>
    <w:tblStylePr w:type="firstRow">
      <w:pPr>
        <w:snapToGrid/>
      </w:pPr>
      <w:rPr>
        <w:b/>
        <w:color w:val="404040"/>
      </w:rPr>
      <w:tblPr/>
      <w:tcPr>
        <w:tcBorders>
          <w:top w:val="nil"/>
          <w:left w:val="nil"/>
          <w:bottom w:val="single" w:sz="4" w:space="0" w:color="000000" w:themeColor="text1"/>
          <w:right w:val="nil"/>
        </w:tcBorders>
      </w:tcPr>
    </w:tblStylePr>
    <w:tblStylePr w:type="lastRow">
      <w:pPr>
        <w:snapToGrid/>
      </w:pPr>
      <w:rPr>
        <w:b/>
        <w:color w:val="404040"/>
      </w:rPr>
      <w:tblPr/>
      <w:tcPr>
        <w:tcBorders>
          <w:top w:val="single" w:sz="4" w:space="0" w:color="000000" w:themeColor="text1"/>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BFBFBF" w:fill="BFBFBF" w:themeFill="text1" w:themeFillTint="40"/>
      </w:tcPr>
    </w:tblStylePr>
    <w:tblStylePr w:type="band2Vert">
      <w:pPr>
        <w:snapToGrid/>
      </w:pPr>
    </w:tblStylePr>
    <w:tblStylePr w:type="band1Horz">
      <w:pPr>
        <w:snapToGrid/>
      </w:pPr>
      <w:tblPr/>
      <w:tcPr>
        <w:shd w:val="clear" w:color="BFBFB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BFBFB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BFBFB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pPr>
        <w:snapToGrid/>
      </w:pPr>
      <w:rPr>
        <w:rFonts w:ascii="Arial" w:hAnsi="Arial"/>
        <w:b/>
        <w:color w:val="FFFFFF"/>
        <w:sz w:val="22"/>
      </w:rPr>
      <w:tblPr/>
      <w:tcPr>
        <w:shd w:val="clear" w:color="000000"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pPr>
        <w:snapToGrid/>
      </w:pPr>
      <w:rPr>
        <w:rFonts w:ascii="Arial" w:hAnsi="Arial"/>
        <w:b/>
        <w:color w:val="FFFFFF"/>
        <w:sz w:val="22"/>
      </w:rPr>
      <w:tblPr/>
      <w:tcPr>
        <w:shd w:val="clear" w:color="000000"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BFBFB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BFBFB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fill="7F7F7F" w:themeFill="text1" w:themeFillTint="80"/>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7F7F7F"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7F7F7F"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7F7F7F"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BFBFBF"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BFBFBF"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pPr>
        <w:snapToGrid/>
      </w:pPr>
      <w:rPr>
        <w:rFonts w:ascii="Arial" w:hAnsi="Arial"/>
        <w:i/>
        <w:color w:val="7F7F7F" w:themeColor="text1" w:themeShade="95" w:themeTint="80"/>
        <w:sz w:val="22"/>
      </w:rPr>
      <w:tblPr/>
      <w:tcPr>
        <w:tcBorders>
          <w:top w:val="nil"/>
          <w:left w:val="nil"/>
          <w:bottom w:val="single" w:sz="4" w:space="0" w:color="7F7F7F" w:themeColor="text1" w:themeTint="80"/>
          <w:right w:val="nil"/>
        </w:tcBorders>
        <w:shd w:val="clear" w:color="FFFFFF" w:fill="FFFFFF" w:themeFill="light1"/>
      </w:tcPr>
    </w:tblStylePr>
    <w:tblStylePr w:type="lastRow">
      <w:pPr>
        <w:snapToGrid/>
      </w:pPr>
      <w:rPr>
        <w:rFonts w:ascii="Arial" w:hAnsi="Arial"/>
        <w:i/>
        <w:color w:val="7F7F7F" w:themeColor="text1" w:themeShade="95" w:themeTint="80"/>
        <w:sz w:val="22"/>
      </w:rPr>
      <w:tblPr/>
      <w:tcPr>
        <w:tcBorders>
          <w:top w:val="single" w:sz="4" w:space="0" w:color="7F7F7F" w:themeColor="text1" w:themeTint="80"/>
          <w:left w:val="nil"/>
          <w:bottom w:val="nil"/>
          <w:right w:val="nil"/>
        </w:tcBorders>
        <w:shd w:val="clear" w:color="FFFFFF" w:fill="FFFFFF" w:themeFill="light1"/>
      </w:tcPr>
    </w:tblStylePr>
    <w:tblStylePr w:type="firstCol">
      <w:pPr>
        <w:snapToGrid/>
        <w:jc w:val="right"/>
      </w:pPr>
      <w:rPr>
        <w:rFonts w:ascii="Arial" w:hAnsi="Arial"/>
        <w:i/>
        <w:color w:val="7F7F7F" w:themeColor="text1" w:themeShade="95" w:themeTint="80"/>
        <w:sz w:val="22"/>
      </w:rPr>
      <w:tblPr/>
      <w:tcPr>
        <w:tcBorders>
          <w:top w:val="nil"/>
          <w:left w:val="nil"/>
          <w:bottom w:val="nil"/>
          <w:right w:val="single" w:sz="4" w:space="0" w:color="7F7F7F" w:themeColor="text1" w:themeTint="80"/>
        </w:tcBorders>
        <w:shd w:val="clear" w:color="FFFFFF" w:fill="FFFFFF"/>
      </w:tcPr>
    </w:tblStylePr>
    <w:tblStylePr w:type="lastCol">
      <w:pPr>
        <w:snapToGrid/>
      </w:pPr>
      <w:rPr>
        <w:rFonts w:ascii="Arial" w:hAnsi="Arial"/>
        <w:i/>
        <w:color w:val="7F7F7F" w:themeColor="text1" w:themeShade="95" w:themeTint="80"/>
        <w:sz w:val="22"/>
      </w:rPr>
      <w:tblPr/>
      <w:tcPr>
        <w:tcBorders>
          <w:top w:val="nil"/>
          <w:left w:val="single" w:sz="4" w:space="0" w:color="7F7F7F" w:themeColor="text1" w:themeTint="80"/>
          <w:bottom w:val="nil"/>
          <w:right w:val="nil"/>
        </w:tcBorders>
        <w:shd w:val="clear" w:color="FFFFFF" w:fill="FFFFFF"/>
      </w:tcPr>
    </w:tblStylePr>
    <w:tblStylePr w:type="band1Vert">
      <w:pPr>
        <w:snapToGrid/>
      </w:pPr>
      <w:tblPr/>
      <w:tcPr>
        <w:shd w:val="clear" w:color="BFBFBF" w:fill="BFBFBF" w:themeFill="text1" w:themeFillTint="40"/>
      </w:tcPr>
    </w:tblStylePr>
    <w:tblStylePr w:type="band2Vert">
      <w:pPr>
        <w:snapToGrid/>
      </w:pPr>
    </w:tblStylePr>
    <w:tblStylePr w:type="band1Horz">
      <w:pPr>
        <w:snapToGrid/>
      </w:pPr>
      <w:rPr>
        <w:rFonts w:ascii="Arial" w:hAnsi="Arial"/>
        <w:color w:val="7F7F7F" w:themeColor="text1" w:themeShade="95" w:themeTint="80"/>
        <w:sz w:val="22"/>
      </w:rPr>
      <w:tblPr/>
      <w:tcPr>
        <w:shd w:val="clear" w:color="BFBFBF" w:fill="BFBFBF" w:themeFill="text1" w:themeFillTint="40"/>
      </w:tcPr>
    </w:tblStylePr>
    <w:tblStylePr w:type="band2Horz">
      <w:pPr>
        <w:snapToGrid/>
      </w:pPr>
      <w:rPr>
        <w:rFonts w:ascii="Arial" w:hAnsi="Arial"/>
        <w:color w:val="7F7F7F" w:themeColor="text1" w:themeShade="95"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Hyperlink">
    <w:name w:val="Hyperlink"/>
    <w:uiPriority w:val="99"/>
    <w:unhideWhenUsed/>
    <w:rPr>
      <w:color w:val="0563C1" w:themeColor="hyperlink"/>
      <w:u w:val="single"/>
    </w:rPr>
  </w:style>
  <w:style w:type="paragraph" w:styleId="FootnoteText">
    <w:name w:val="footnote text"/>
    <w:basedOn w:val="Normal"/>
    <w:link w:val="a5"/>
    <w:uiPriority w:val="99"/>
    <w:semiHidden/>
    <w:unhideWhenUsed/>
    <w:pPr>
      <w:spacing w:after="40"/>
    </w:pPr>
    <w:rPr>
      <w:sz w:val="18"/>
    </w:rPr>
  </w:style>
  <w:style w:type="character" w:customStyle="1" w:styleId="a5">
    <w:name w:val="脚注文本 字符"/>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a6"/>
    <w:uiPriority w:val="99"/>
    <w:semiHidden/>
    <w:unhideWhenUsed/>
    <w:rPr>
      <w:sz w:val="20"/>
    </w:rPr>
  </w:style>
  <w:style w:type="character" w:customStyle="1" w:styleId="a6">
    <w:name w:val="尾注文本 字符"/>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otalTime>0</TotalTime>
  <Pages>29</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2052-11.8.2.1111</vt:lpwstr>
  </property>
</Properties>
</file>