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9C565C">
      <w:pPr>
        <w:rPr>
          <w:rFonts w:ascii="宋体" w:hAnsi="宋体"/>
          <w:sz w:val="28"/>
        </w:rPr>
      </w:pPr>
      <w:bookmarkStart w:id="0" w:name="CLAUSE_f6358c5be980417e965aec23a00bcab8"/>
    </w:p>
    <w:p w:rsidR="009C565C">
      <w:pPr>
        <w:jc w:val="center"/>
        <w:rPr>
          <w:rFonts w:ascii="宋体" w:hAnsi="宋体"/>
          <w:b/>
          <w:sz w:val="52"/>
        </w:rPr>
      </w:pPr>
    </w:p>
    <w:p w:rsidR="009C565C">
      <w:pPr>
        <w:rPr>
          <w:rFonts w:ascii="宋体" w:hAnsi="宋体"/>
          <w:b/>
        </w:rPr>
      </w:pPr>
    </w:p>
    <w:p w:rsidR="009C565C">
      <w:pPr>
        <w:jc w:val="center"/>
        <w:rPr>
          <w:rFonts w:ascii="宋体" w:hAnsi="宋体"/>
          <w:b/>
          <w:sz w:val="48"/>
        </w:rPr>
      </w:pPr>
    </w:p>
    <w:p w:rsidR="009C565C">
      <w:pPr>
        <w:jc w:val="center"/>
        <w:rPr>
          <w:rFonts w:ascii="宋体" w:hAnsi="宋体"/>
          <w:b/>
          <w:sz w:val="48"/>
          <w:lang w:eastAsia="zh-CN"/>
        </w:rPr>
      </w:pPr>
      <w:bookmarkStart w:id="1" w:name="_Toc139991725"/>
      <w:bookmarkStart w:id="2" w:name="_Toc139992300"/>
      <w:bookmarkStart w:id="3" w:name="_Toc123112262"/>
      <w:bookmarkStart w:id="4" w:name="_Toc123701382"/>
      <w:bookmarkStart w:id="5" w:name="_Toc123112223"/>
      <w:r>
        <w:rPr>
          <w:rFonts w:ascii="宋体" w:hAnsi="宋体" w:hint="eastAsia"/>
          <w:b/>
          <w:sz w:val="48"/>
          <w:lang w:eastAsia="zh-CN"/>
        </w:rPr>
        <w:t>易方达港股通周期精选混合型证券投资基金</w:t>
      </w:r>
      <w:r>
        <w:rPr>
          <w:rFonts w:ascii="宋体" w:hAnsi="宋体" w:hint="eastAsia"/>
          <w:b/>
          <w:sz w:val="48"/>
          <w:highlight w:val="white"/>
          <w:lang w:eastAsia="zh-CN"/>
        </w:rPr>
        <w:t>基金合同</w:t>
      </w:r>
      <w:bookmarkEnd w:id="1"/>
      <w:bookmarkEnd w:id="2"/>
      <w:bookmarkEnd w:id="3"/>
      <w:bookmarkEnd w:id="4"/>
      <w:bookmarkEnd w:id="5"/>
    </w:p>
    <w:p w:rsidR="009C565C">
      <w:pPr>
        <w:jc w:val="center"/>
        <w:rPr>
          <w:rFonts w:ascii="宋体" w:hAnsi="宋体"/>
          <w:b/>
          <w:sz w:val="52"/>
          <w:lang w:eastAsia="zh-CN"/>
        </w:rPr>
      </w:pPr>
    </w:p>
    <w:p w:rsidR="009C565C">
      <w:pPr>
        <w:jc w:val="center"/>
        <w:rPr>
          <w:rFonts w:ascii="宋体" w:hAnsi="宋体"/>
          <w:b/>
          <w:sz w:val="52"/>
          <w:lang w:eastAsia="zh-CN"/>
        </w:rPr>
      </w:pPr>
    </w:p>
    <w:p w:rsidR="009C565C">
      <w:pPr>
        <w:jc w:val="center"/>
        <w:rPr>
          <w:rFonts w:ascii="宋体" w:hAnsi="宋体"/>
          <w:b/>
          <w:sz w:val="52"/>
          <w:lang w:eastAsia="zh-CN"/>
        </w:rPr>
      </w:pPr>
    </w:p>
    <w:p w:rsidR="009C565C">
      <w:pPr>
        <w:jc w:val="center"/>
        <w:rPr>
          <w:rFonts w:ascii="宋体" w:hAnsi="宋体"/>
          <w:b/>
          <w:sz w:val="52"/>
          <w:lang w:eastAsia="zh-CN"/>
        </w:rPr>
      </w:pPr>
    </w:p>
    <w:p w:rsidR="009C565C">
      <w:pPr>
        <w:jc w:val="center"/>
        <w:rPr>
          <w:rFonts w:ascii="宋体" w:hAnsi="宋体"/>
          <w:b/>
          <w:sz w:val="52"/>
          <w:lang w:eastAsia="zh-CN"/>
        </w:rPr>
      </w:pPr>
    </w:p>
    <w:p w:rsidR="009C565C">
      <w:pPr>
        <w:rPr>
          <w:rFonts w:ascii="宋体" w:hAnsi="宋体"/>
          <w:b/>
          <w:lang w:eastAsia="zh-CN"/>
        </w:rPr>
      </w:pPr>
    </w:p>
    <w:p w:rsidR="009C565C">
      <w:pPr>
        <w:jc w:val="center"/>
        <w:rPr>
          <w:rFonts w:ascii="宋体" w:hAnsi="宋体"/>
          <w:b/>
          <w:sz w:val="36"/>
          <w:lang w:eastAsia="zh-CN"/>
        </w:rPr>
      </w:pPr>
      <w:bookmarkStart w:id="6" w:name="_Toc123701383"/>
      <w:bookmarkStart w:id="7" w:name="_Toc139991726"/>
      <w:bookmarkStart w:id="8" w:name="_Toc123112263"/>
      <w:bookmarkStart w:id="9" w:name="_Toc123112224"/>
      <w:bookmarkStart w:id="10" w:name="_Toc139992301"/>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9C565C">
      <w:pPr>
        <w:jc w:val="center"/>
        <w:rPr>
          <w:rFonts w:ascii="宋体" w:hAnsi="宋体"/>
          <w:b/>
          <w:sz w:val="36"/>
          <w:lang w:eastAsia="zh-CN"/>
        </w:rPr>
      </w:pPr>
      <w:bookmarkStart w:id="11" w:name="_Toc123701384"/>
      <w:bookmarkStart w:id="12" w:name="_Toc139992302"/>
      <w:bookmarkStart w:id="13" w:name="_Toc139991727"/>
      <w:bookmarkStart w:id="14" w:name="_Toc123112225"/>
      <w:bookmarkStart w:id="15" w:name="_Toc123112264"/>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中国银行股份有限公司</w:t>
      </w:r>
      <w:bookmarkEnd w:id="0"/>
      <w:r>
        <w:rPr>
          <w:rFonts w:ascii="宋体" w:hAnsi="宋体" w:hint="eastAsia"/>
          <w:b/>
          <w:sz w:val="36"/>
          <w:highlight w:val="white"/>
          <w:lang w:eastAsia="zh-CN"/>
        </w:rPr>
        <w:t xml:space="preserve"> </w:t>
      </w:r>
    </w:p>
    <w:p w:rsidR="009C565C">
      <w:pPr>
        <w:pBdr>
          <w:top w:val="nil"/>
          <w:left w:val="nil"/>
          <w:bottom w:val="nil"/>
          <w:right w:val="nil"/>
        </w:pBdr>
        <w:jc w:val="center"/>
      </w:pPr>
      <w:r>
        <w:rPr>
          <w:rFonts w:ascii="宋体" w:hAnsi="宋体" w:cs="宋体"/>
          <w:color w:val="000000"/>
          <w:sz w:val="36"/>
          <w:highlight w:val="white"/>
        </w:rPr>
        <w:t>二零二</w:t>
      </w:r>
      <w:r w:rsidR="00DC649F">
        <w:rPr>
          <w:rFonts w:ascii="宋体" w:hAnsi="宋体" w:cs="宋体"/>
          <w:color w:val="000000"/>
          <w:sz w:val="36"/>
          <w:highlight w:val="white"/>
        </w:rPr>
        <w:t>六</w:t>
      </w:r>
      <w:r>
        <w:rPr>
          <w:rFonts w:ascii="宋体" w:hAnsi="宋体" w:cs="宋体"/>
          <w:color w:val="000000"/>
          <w:sz w:val="36"/>
          <w:highlight w:val="white"/>
        </w:rPr>
        <w:t>年</w:t>
      </w:r>
      <w:r w:rsidR="00DC649F">
        <w:rPr>
          <w:rFonts w:ascii="宋体" w:hAnsi="宋体" w:cs="宋体"/>
          <w:color w:val="000000"/>
          <w:sz w:val="36"/>
          <w:highlight w:val="white"/>
        </w:rPr>
        <w:t>四</w:t>
      </w:r>
      <w:r>
        <w:rPr>
          <w:rFonts w:ascii="宋体" w:hAnsi="宋体" w:cs="宋体"/>
          <w:color w:val="000000"/>
          <w:sz w:val="36"/>
          <w:highlight w:val="white"/>
        </w:rPr>
        <w:t>月</w:t>
      </w:r>
    </w:p>
    <w:p w:rsidR="009C565C">
      <w:pPr>
        <w:jc w:val="center"/>
        <w:rPr>
          <w:rFonts w:ascii="宋体" w:hAnsi="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_Toc123701386"/>
      <w:bookmarkStart w:id="18" w:name="_Toc139991729"/>
      <w:bookmarkStart w:id="19" w:name="_Toc123112266"/>
      <w:bookmarkStart w:id="20" w:name="_Toc123112227"/>
      <w:bookmarkEnd w:id="16"/>
    </w:p>
    <w:p w:rsidR="009C565C">
      <w:pPr>
        <w:spacing w:line="360" w:lineRule="auto"/>
        <w:ind w:firstLine="420"/>
        <w:jc w:val="center"/>
        <w:rPr>
          <w:rFonts w:ascii="宋体" w:hAnsi="宋体"/>
          <w:sz w:val="28"/>
        </w:rPr>
      </w:pPr>
      <w:bookmarkStart w:id="21" w:name="CLAUSE_73e66dd40a074323a355eab32fd97f2b"/>
      <w:r>
        <w:rPr>
          <w:rFonts w:ascii="宋体" w:hAnsi="宋体"/>
          <w:highlight w:val="white"/>
        </w:rPr>
        <w:t xml:space="preserve"> </w:t>
      </w:r>
      <w:bookmarkStart w:id="22" w:name="CTS_73e66dd40a074323a355eab32fd97f2b"/>
      <w:bookmarkEnd w:id="22"/>
      <w:r>
        <w:rPr>
          <w:rFonts w:ascii="宋体" w:hAnsi="宋体" w:hint="eastAsia"/>
          <w:sz w:val="28"/>
          <w:highlight w:val="white"/>
        </w:rPr>
        <w:t>目录</w:t>
      </w:r>
      <w:bookmarkEnd w:id="17"/>
      <w:bookmarkEnd w:id="18"/>
      <w:bookmarkEnd w:id="19"/>
      <w:bookmarkEnd w:id="20"/>
    </w:p>
    <w:p w:rsidR="009C565C">
      <w:pPr>
        <w:pStyle w:val="TOC1"/>
        <w:rPr>
          <w:rFonts w:ascii="宋体" w:hAnsi="宋体"/>
          <w:noProof/>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noProof/>
            <w:highlight w:val="white"/>
          </w:rPr>
          <w:t>第一部分</w:t>
        </w:r>
        <w:r>
          <w:rPr>
            <w:rStyle w:val="Hyperlink"/>
            <w:rFonts w:ascii="宋体" w:hAnsi="宋体"/>
            <w:noProof/>
            <w:highlight w:val="white"/>
          </w:rPr>
          <w:t xml:space="preserve"> </w:t>
        </w:r>
        <w:r>
          <w:rPr>
            <w:rStyle w:val="Hyperlink"/>
            <w:rFonts w:ascii="宋体" w:hAnsi="宋体" w:hint="eastAsia"/>
            <w:noProof/>
            <w:highlight w:val="white"/>
          </w:rPr>
          <w:t>前言</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_Toc6327206 \h </w:instrText>
        </w:r>
        <w:r>
          <w:rPr>
            <w:rFonts w:ascii="宋体" w:hAnsi="宋体"/>
            <w:noProof/>
          </w:rPr>
          <w:fldChar w:fldCharType="separate"/>
        </w:r>
        <w:r w:rsidR="00117689">
          <w:rPr>
            <w:rFonts w:ascii="宋体" w:hAnsi="宋体"/>
            <w:noProof/>
            <w:highlight w:val="white"/>
          </w:rPr>
          <w:t>1</w:t>
        </w:r>
        <w:r>
          <w:rPr>
            <w:rFonts w:ascii="宋体" w:hAnsi="宋体"/>
            <w:noProof/>
          </w:rPr>
          <w:fldChar w:fldCharType="end"/>
        </w:r>
      </w:hyperlink>
    </w:p>
    <w:p w:rsidR="009C565C">
      <w:pPr>
        <w:pStyle w:val="TOC1"/>
        <w:rPr>
          <w:rFonts w:ascii="宋体" w:hAnsi="宋体"/>
          <w:noProof/>
        </w:rPr>
      </w:pPr>
      <w:hyperlink w:anchor="_Toc6327207" w:tooltip="Current Document" w:history="1">
        <w:r w:rsidR="00501B82">
          <w:rPr>
            <w:rStyle w:val="Hyperlink"/>
            <w:rFonts w:ascii="宋体" w:hAnsi="宋体" w:hint="eastAsia"/>
            <w:noProof/>
            <w:highlight w:val="white"/>
          </w:rPr>
          <w:t>第二部分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释义</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_Toc6327207 \h </w:instrText>
        </w:r>
        <w:r w:rsidR="00501B82">
          <w:rPr>
            <w:rFonts w:ascii="宋体" w:hAnsi="宋体"/>
            <w:noProof/>
          </w:rPr>
          <w:fldChar w:fldCharType="separate"/>
        </w:r>
        <w:r w:rsidR="00117689">
          <w:rPr>
            <w:rFonts w:ascii="宋体" w:hAnsi="宋体"/>
            <w:noProof/>
            <w:highlight w:val="white"/>
          </w:rPr>
          <w:t>3</w:t>
        </w:r>
        <w:r w:rsidR="00501B82">
          <w:rPr>
            <w:rFonts w:ascii="宋体" w:hAnsi="宋体"/>
            <w:noProof/>
          </w:rPr>
          <w:fldChar w:fldCharType="end"/>
        </w:r>
      </w:hyperlink>
    </w:p>
    <w:p w:rsidR="009C565C">
      <w:pPr>
        <w:pStyle w:val="TOC1"/>
        <w:rPr>
          <w:rFonts w:ascii="宋体" w:hAnsi="宋体"/>
          <w:noProof/>
        </w:rPr>
      </w:pPr>
      <w:hyperlink w:anchor="_Toc6327208" w:tooltip="Current Document" w:history="1">
        <w:r w:rsidR="00501B82">
          <w:rPr>
            <w:rStyle w:val="Hyperlink"/>
            <w:rFonts w:ascii="宋体" w:hAnsi="宋体" w:hint="eastAsia"/>
            <w:noProof/>
            <w:highlight w:val="white"/>
          </w:rPr>
          <w:t>第三部分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基金的基本情况</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_Toc6327208 \h </w:instrText>
        </w:r>
        <w:r w:rsidR="00501B82">
          <w:rPr>
            <w:rFonts w:ascii="宋体" w:hAnsi="宋体"/>
            <w:noProof/>
          </w:rPr>
          <w:fldChar w:fldCharType="separate"/>
        </w:r>
        <w:r w:rsidR="00117689">
          <w:rPr>
            <w:rFonts w:ascii="宋体" w:hAnsi="宋体"/>
            <w:noProof/>
            <w:highlight w:val="white"/>
          </w:rPr>
          <w:t>8</w:t>
        </w:r>
        <w:r w:rsidR="00501B82">
          <w:rPr>
            <w:rFonts w:ascii="宋体" w:hAnsi="宋体"/>
            <w:noProof/>
          </w:rPr>
          <w:fldChar w:fldCharType="end"/>
        </w:r>
      </w:hyperlink>
    </w:p>
    <w:p w:rsidR="009C565C">
      <w:pPr>
        <w:pStyle w:val="TOC1"/>
        <w:rPr>
          <w:rFonts w:ascii="宋体" w:hAnsi="宋体"/>
          <w:noProof/>
        </w:rPr>
      </w:pPr>
      <w:hyperlink w:anchor="_Toc6327209" w:tooltip="Current Document" w:history="1">
        <w:r w:rsidR="00501B82">
          <w:rPr>
            <w:rStyle w:val="Hyperlink"/>
            <w:rFonts w:ascii="宋体" w:hAnsi="宋体" w:hint="eastAsia"/>
            <w:noProof/>
            <w:highlight w:val="white"/>
          </w:rPr>
          <w:t>第四部分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基金份额的发售</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_Toc6327209 \h </w:instrText>
        </w:r>
        <w:r w:rsidR="00501B82">
          <w:rPr>
            <w:rFonts w:ascii="宋体" w:hAnsi="宋体"/>
            <w:noProof/>
          </w:rPr>
          <w:fldChar w:fldCharType="separate"/>
        </w:r>
        <w:r w:rsidR="00117689">
          <w:rPr>
            <w:rFonts w:ascii="宋体" w:hAnsi="宋体"/>
            <w:noProof/>
            <w:highlight w:val="white"/>
          </w:rPr>
          <w:t>10</w:t>
        </w:r>
        <w:r w:rsidR="00501B82">
          <w:rPr>
            <w:rFonts w:ascii="宋体" w:hAnsi="宋体"/>
            <w:noProof/>
          </w:rPr>
          <w:fldChar w:fldCharType="end"/>
        </w:r>
      </w:hyperlink>
    </w:p>
    <w:p w:rsidR="009C565C">
      <w:pPr>
        <w:pStyle w:val="TOC1"/>
        <w:rPr>
          <w:rFonts w:ascii="宋体" w:hAnsi="宋体"/>
          <w:noProof/>
        </w:rPr>
      </w:pPr>
      <w:hyperlink w:anchor="_Toc6327210" w:tooltip="Current Document" w:history="1">
        <w:r w:rsidR="00501B82">
          <w:rPr>
            <w:rStyle w:val="Hyperlink"/>
            <w:rFonts w:ascii="宋体" w:hAnsi="宋体" w:hint="eastAsia"/>
            <w:noProof/>
            <w:highlight w:val="white"/>
          </w:rPr>
          <w:t>第五部分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基金备案</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_Toc6327210 \h </w:instrText>
        </w:r>
        <w:r w:rsidR="00501B82">
          <w:rPr>
            <w:rFonts w:ascii="宋体" w:hAnsi="宋体"/>
            <w:noProof/>
          </w:rPr>
          <w:fldChar w:fldCharType="separate"/>
        </w:r>
        <w:r w:rsidR="00117689">
          <w:rPr>
            <w:rFonts w:ascii="宋体" w:hAnsi="宋体"/>
            <w:noProof/>
            <w:highlight w:val="white"/>
          </w:rPr>
          <w:t>12</w:t>
        </w:r>
        <w:r w:rsidR="00501B82">
          <w:rPr>
            <w:rFonts w:ascii="宋体" w:hAnsi="宋体"/>
            <w:noProof/>
          </w:rPr>
          <w:fldChar w:fldCharType="end"/>
        </w:r>
      </w:hyperlink>
    </w:p>
    <w:p w:rsidR="009C565C">
      <w:pPr>
        <w:pStyle w:val="TOC1"/>
        <w:rPr>
          <w:rFonts w:ascii="宋体" w:hAnsi="宋体"/>
          <w:noProof/>
        </w:rPr>
      </w:pPr>
      <w:hyperlink w:anchor="_Toc6327211" w:tooltip="Current Document" w:history="1">
        <w:r w:rsidR="00501B82">
          <w:rPr>
            <w:rStyle w:val="Hyperlink"/>
            <w:rFonts w:ascii="宋体" w:hAnsi="宋体" w:hint="eastAsia"/>
            <w:noProof/>
            <w:highlight w:val="white"/>
          </w:rPr>
          <w:t>第六部分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基金份额的申购与赎回</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_Toc6327211 \h </w:instrText>
        </w:r>
        <w:r w:rsidR="00501B82">
          <w:rPr>
            <w:rFonts w:ascii="宋体" w:hAnsi="宋体"/>
            <w:noProof/>
          </w:rPr>
          <w:fldChar w:fldCharType="separate"/>
        </w:r>
        <w:r w:rsidR="00117689">
          <w:rPr>
            <w:rFonts w:ascii="宋体" w:hAnsi="宋体"/>
            <w:noProof/>
            <w:highlight w:val="white"/>
          </w:rPr>
          <w:t>13</w:t>
        </w:r>
        <w:r w:rsidR="00501B82">
          <w:rPr>
            <w:rFonts w:ascii="宋体" w:hAnsi="宋体"/>
            <w:noProof/>
          </w:rPr>
          <w:fldChar w:fldCharType="end"/>
        </w:r>
      </w:hyperlink>
    </w:p>
    <w:p w:rsidR="009C565C">
      <w:pPr>
        <w:pStyle w:val="TOC1"/>
        <w:rPr>
          <w:rFonts w:ascii="宋体" w:hAnsi="宋体"/>
          <w:noProof/>
        </w:rPr>
      </w:pPr>
      <w:hyperlink w:anchor="_Toc6327212" w:tooltip="Current Document" w:history="1">
        <w:r w:rsidR="00501B82">
          <w:rPr>
            <w:rStyle w:val="Hyperlink"/>
            <w:rFonts w:ascii="宋体" w:hAnsi="宋体" w:hint="eastAsia"/>
            <w:noProof/>
            <w:highlight w:val="white"/>
          </w:rPr>
          <w:t>第七部分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基金合同当事人及权利义务</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_Toc6327212 \h </w:instrText>
        </w:r>
        <w:r w:rsidR="00501B82">
          <w:rPr>
            <w:rFonts w:ascii="宋体" w:hAnsi="宋体"/>
            <w:noProof/>
          </w:rPr>
          <w:fldChar w:fldCharType="separate"/>
        </w:r>
        <w:r w:rsidR="00117689">
          <w:rPr>
            <w:rFonts w:ascii="宋体" w:hAnsi="宋体"/>
            <w:noProof/>
            <w:highlight w:val="white"/>
          </w:rPr>
          <w:t>23</w:t>
        </w:r>
        <w:r w:rsidR="00501B82">
          <w:rPr>
            <w:rFonts w:ascii="宋体" w:hAnsi="宋体"/>
            <w:noProof/>
          </w:rPr>
          <w:fldChar w:fldCharType="end"/>
        </w:r>
      </w:hyperlink>
    </w:p>
    <w:p w:rsidR="009C565C">
      <w:pPr>
        <w:pStyle w:val="TOC1"/>
        <w:rPr>
          <w:rFonts w:ascii="宋体" w:hAnsi="宋体"/>
          <w:noProof/>
        </w:rPr>
      </w:pPr>
      <w:hyperlink w:anchor="_Toc6327213" w:tooltip="Current Document" w:history="1">
        <w:r w:rsidR="00501B82">
          <w:rPr>
            <w:rStyle w:val="Hyperlink"/>
            <w:rFonts w:ascii="宋体" w:hAnsi="宋体" w:hint="eastAsia"/>
            <w:noProof/>
            <w:highlight w:val="white"/>
          </w:rPr>
          <w:t>第八部分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基金份额持有人大会</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_Toc6327213 \h </w:instrText>
        </w:r>
        <w:r w:rsidR="00501B82">
          <w:rPr>
            <w:rFonts w:ascii="宋体" w:hAnsi="宋体"/>
            <w:noProof/>
          </w:rPr>
          <w:fldChar w:fldCharType="separate"/>
        </w:r>
        <w:r w:rsidR="00117689">
          <w:rPr>
            <w:rFonts w:ascii="宋体" w:hAnsi="宋体"/>
            <w:noProof/>
            <w:highlight w:val="white"/>
          </w:rPr>
          <w:t>31</w:t>
        </w:r>
        <w:r w:rsidR="00501B82">
          <w:rPr>
            <w:rFonts w:ascii="宋体" w:hAnsi="宋体"/>
            <w:noProof/>
          </w:rPr>
          <w:fldChar w:fldCharType="end"/>
        </w:r>
      </w:hyperlink>
    </w:p>
    <w:p w:rsidR="009C565C">
      <w:pPr>
        <w:pStyle w:val="TOC1"/>
        <w:rPr>
          <w:rFonts w:ascii="宋体" w:hAnsi="宋体"/>
          <w:noProof/>
        </w:rPr>
      </w:pPr>
      <w:hyperlink w:anchor="_Toc6327214" w:tooltip="Current Document" w:history="1">
        <w:r w:rsidR="00501B82">
          <w:rPr>
            <w:rStyle w:val="Hyperlink"/>
            <w:rFonts w:ascii="宋体" w:hAnsi="宋体" w:hint="eastAsia"/>
            <w:noProof/>
            <w:highlight w:val="white"/>
          </w:rPr>
          <w:t>第九部分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基金管理人、基金托管人的更换条件和程序</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_Toc6327214 \h </w:instrText>
        </w:r>
        <w:r w:rsidR="00501B82">
          <w:rPr>
            <w:rFonts w:ascii="宋体" w:hAnsi="宋体"/>
            <w:noProof/>
          </w:rPr>
          <w:fldChar w:fldCharType="separate"/>
        </w:r>
        <w:r w:rsidR="00117689">
          <w:rPr>
            <w:rFonts w:ascii="宋体" w:hAnsi="宋体"/>
            <w:noProof/>
            <w:highlight w:val="white"/>
          </w:rPr>
          <w:t>40</w:t>
        </w:r>
        <w:r w:rsidR="00501B82">
          <w:rPr>
            <w:rFonts w:ascii="宋体" w:hAnsi="宋体"/>
            <w:noProof/>
          </w:rPr>
          <w:fldChar w:fldCharType="end"/>
        </w:r>
      </w:hyperlink>
    </w:p>
    <w:p w:rsidR="009C565C">
      <w:pPr>
        <w:pStyle w:val="TOC1"/>
        <w:rPr>
          <w:rFonts w:ascii="宋体" w:hAnsi="宋体"/>
          <w:noProof/>
        </w:rPr>
      </w:pPr>
      <w:hyperlink w:anchor="_Toc6327215" w:tooltip="Current Document" w:history="1">
        <w:r w:rsidR="00501B82">
          <w:rPr>
            <w:rStyle w:val="Hyperlink"/>
            <w:rFonts w:ascii="宋体" w:hAnsi="宋体" w:hint="eastAsia"/>
            <w:noProof/>
            <w:highlight w:val="white"/>
          </w:rPr>
          <w:t>第十部分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基金的托管</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_Toc6327215 \h </w:instrText>
        </w:r>
        <w:r w:rsidR="00501B82">
          <w:rPr>
            <w:rFonts w:ascii="宋体" w:hAnsi="宋体"/>
            <w:noProof/>
          </w:rPr>
          <w:fldChar w:fldCharType="separate"/>
        </w:r>
        <w:r w:rsidR="00117689">
          <w:rPr>
            <w:rFonts w:ascii="宋体" w:hAnsi="宋体"/>
            <w:noProof/>
            <w:highlight w:val="white"/>
          </w:rPr>
          <w:t>43</w:t>
        </w:r>
        <w:r w:rsidR="00501B82">
          <w:rPr>
            <w:rFonts w:ascii="宋体" w:hAnsi="宋体"/>
            <w:noProof/>
          </w:rPr>
          <w:fldChar w:fldCharType="end"/>
        </w:r>
      </w:hyperlink>
    </w:p>
    <w:p w:rsidR="009C565C">
      <w:pPr>
        <w:pStyle w:val="TOC1"/>
        <w:rPr>
          <w:rFonts w:ascii="宋体" w:hAnsi="宋体"/>
          <w:noProof/>
        </w:rPr>
      </w:pPr>
      <w:hyperlink w:anchor="_Toc6327216" w:tooltip="Current Document" w:history="1">
        <w:r w:rsidR="00501B82">
          <w:rPr>
            <w:rStyle w:val="Hyperlink"/>
            <w:rFonts w:ascii="宋体" w:hAnsi="宋体" w:hint="eastAsia"/>
            <w:noProof/>
            <w:highlight w:val="white"/>
          </w:rPr>
          <w:t>第十一部分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基金份额的登记</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_Toc6327216 \h </w:instrText>
        </w:r>
        <w:r w:rsidR="00501B82">
          <w:rPr>
            <w:rFonts w:ascii="宋体" w:hAnsi="宋体"/>
            <w:noProof/>
          </w:rPr>
          <w:fldChar w:fldCharType="separate"/>
        </w:r>
        <w:r w:rsidR="00117689">
          <w:rPr>
            <w:rFonts w:ascii="宋体" w:hAnsi="宋体"/>
            <w:noProof/>
            <w:highlight w:val="white"/>
          </w:rPr>
          <w:t>44</w:t>
        </w:r>
        <w:r w:rsidR="00501B82">
          <w:rPr>
            <w:rFonts w:ascii="宋体" w:hAnsi="宋体"/>
            <w:noProof/>
          </w:rPr>
          <w:fldChar w:fldCharType="end"/>
        </w:r>
      </w:hyperlink>
    </w:p>
    <w:p w:rsidR="009C565C">
      <w:pPr>
        <w:pStyle w:val="TOC1"/>
        <w:rPr>
          <w:rFonts w:ascii="宋体" w:hAnsi="宋体"/>
          <w:noProof/>
        </w:rPr>
      </w:pPr>
      <w:hyperlink w:anchor="_Toc6327217" w:tooltip="Current Document" w:history="1">
        <w:r w:rsidR="00501B82">
          <w:rPr>
            <w:rStyle w:val="Hyperlink"/>
            <w:rFonts w:ascii="宋体" w:hAnsi="宋体" w:hint="eastAsia"/>
            <w:noProof/>
            <w:highlight w:val="white"/>
          </w:rPr>
          <w:t>第十二部分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基金的投资</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_Toc6327217 \h </w:instrText>
        </w:r>
        <w:r w:rsidR="00501B82">
          <w:rPr>
            <w:rFonts w:ascii="宋体" w:hAnsi="宋体"/>
            <w:noProof/>
          </w:rPr>
          <w:fldChar w:fldCharType="separate"/>
        </w:r>
        <w:r w:rsidR="00117689">
          <w:rPr>
            <w:rFonts w:ascii="宋体" w:hAnsi="宋体"/>
            <w:noProof/>
            <w:highlight w:val="white"/>
          </w:rPr>
          <w:t>46</w:t>
        </w:r>
        <w:r w:rsidR="00501B82">
          <w:rPr>
            <w:rFonts w:ascii="宋体" w:hAnsi="宋体"/>
            <w:noProof/>
          </w:rPr>
          <w:fldChar w:fldCharType="end"/>
        </w:r>
      </w:hyperlink>
    </w:p>
    <w:p w:rsidR="009C565C">
      <w:pPr>
        <w:pStyle w:val="TOC1"/>
        <w:rPr>
          <w:rFonts w:ascii="宋体" w:hAnsi="宋体"/>
          <w:noProof/>
        </w:rPr>
      </w:pPr>
      <w:hyperlink w:anchor="_Toc6327218" w:tooltip="Current Document" w:history="1">
        <w:r w:rsidR="00501B82">
          <w:rPr>
            <w:rStyle w:val="Hyperlink"/>
            <w:rFonts w:ascii="宋体" w:hAnsi="宋体" w:hint="eastAsia"/>
            <w:noProof/>
            <w:highlight w:val="white"/>
          </w:rPr>
          <w:t>第十三部分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基金的财产</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_Toc6327218 \h </w:instrText>
        </w:r>
        <w:r w:rsidR="00501B82">
          <w:rPr>
            <w:rFonts w:ascii="宋体" w:hAnsi="宋体"/>
            <w:noProof/>
          </w:rPr>
          <w:fldChar w:fldCharType="separate"/>
        </w:r>
        <w:r w:rsidR="00117689">
          <w:rPr>
            <w:rFonts w:ascii="宋体" w:hAnsi="宋体"/>
            <w:noProof/>
            <w:highlight w:val="white"/>
          </w:rPr>
          <w:t>57</w:t>
        </w:r>
        <w:r w:rsidR="00501B82">
          <w:rPr>
            <w:rFonts w:ascii="宋体" w:hAnsi="宋体"/>
            <w:noProof/>
          </w:rPr>
          <w:fldChar w:fldCharType="end"/>
        </w:r>
      </w:hyperlink>
    </w:p>
    <w:p w:rsidR="009C565C">
      <w:pPr>
        <w:pStyle w:val="TOC1"/>
        <w:rPr>
          <w:rFonts w:ascii="宋体" w:hAnsi="宋体"/>
          <w:noProof/>
        </w:rPr>
      </w:pPr>
      <w:hyperlink w:anchor="_Toc6327219" w:tooltip="Current Document" w:history="1">
        <w:r w:rsidR="00501B82">
          <w:rPr>
            <w:rStyle w:val="Hyperlink"/>
            <w:rFonts w:ascii="宋体" w:hAnsi="宋体" w:hint="eastAsia"/>
            <w:noProof/>
            <w:highlight w:val="white"/>
          </w:rPr>
          <w:t>第十四部分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基金资产估值</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_Toc6327219 \h </w:instrText>
        </w:r>
        <w:r w:rsidR="00501B82">
          <w:rPr>
            <w:rFonts w:ascii="宋体" w:hAnsi="宋体"/>
            <w:noProof/>
          </w:rPr>
          <w:fldChar w:fldCharType="separate"/>
        </w:r>
        <w:r w:rsidR="00117689">
          <w:rPr>
            <w:rFonts w:ascii="宋体" w:hAnsi="宋体"/>
            <w:noProof/>
            <w:highlight w:val="white"/>
          </w:rPr>
          <w:t>58</w:t>
        </w:r>
        <w:r w:rsidR="00501B82">
          <w:rPr>
            <w:rFonts w:ascii="宋体" w:hAnsi="宋体"/>
            <w:noProof/>
          </w:rPr>
          <w:fldChar w:fldCharType="end"/>
        </w:r>
      </w:hyperlink>
    </w:p>
    <w:p w:rsidR="009C565C">
      <w:pPr>
        <w:pStyle w:val="TOC1"/>
        <w:rPr>
          <w:rFonts w:ascii="宋体" w:hAnsi="宋体"/>
          <w:noProof/>
        </w:rPr>
      </w:pPr>
      <w:hyperlink w:anchor="_Toc6327220" w:tooltip="Current Document" w:history="1">
        <w:r w:rsidR="00501B82">
          <w:rPr>
            <w:rStyle w:val="Hyperlink"/>
            <w:rFonts w:ascii="宋体" w:hAnsi="宋体" w:hint="eastAsia"/>
            <w:noProof/>
            <w:highlight w:val="white"/>
          </w:rPr>
          <w:t>第十五部分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基金费用与税收</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_Toc6327220 \h </w:instrText>
        </w:r>
        <w:r w:rsidR="00501B82">
          <w:rPr>
            <w:rFonts w:ascii="宋体" w:hAnsi="宋体"/>
            <w:noProof/>
          </w:rPr>
          <w:fldChar w:fldCharType="separate"/>
        </w:r>
        <w:r w:rsidR="00117689">
          <w:rPr>
            <w:rFonts w:ascii="宋体" w:hAnsi="宋体"/>
            <w:noProof/>
            <w:highlight w:val="white"/>
          </w:rPr>
          <w:t>64</w:t>
        </w:r>
        <w:r w:rsidR="00501B82">
          <w:rPr>
            <w:rFonts w:ascii="宋体" w:hAnsi="宋体"/>
            <w:noProof/>
          </w:rPr>
          <w:fldChar w:fldCharType="end"/>
        </w:r>
      </w:hyperlink>
    </w:p>
    <w:p w:rsidR="009C565C">
      <w:pPr>
        <w:pStyle w:val="TOC1"/>
        <w:rPr>
          <w:rFonts w:ascii="宋体" w:hAnsi="宋体"/>
          <w:noProof/>
        </w:rPr>
      </w:pPr>
      <w:hyperlink w:anchor="_Toc6327221" w:tooltip="Current Document" w:history="1">
        <w:r w:rsidR="00501B82">
          <w:rPr>
            <w:rStyle w:val="Hyperlink"/>
            <w:rFonts w:ascii="宋体" w:hAnsi="宋体" w:hint="eastAsia"/>
            <w:noProof/>
            <w:highlight w:val="white"/>
          </w:rPr>
          <w:t>第十六部分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基金的收益与分配</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_Toc6327221 \h </w:instrText>
        </w:r>
        <w:r w:rsidR="00501B82">
          <w:rPr>
            <w:rFonts w:ascii="宋体" w:hAnsi="宋体"/>
            <w:noProof/>
          </w:rPr>
          <w:fldChar w:fldCharType="separate"/>
        </w:r>
        <w:r w:rsidR="00117689">
          <w:rPr>
            <w:rFonts w:ascii="宋体" w:hAnsi="宋体"/>
            <w:noProof/>
            <w:highlight w:val="white"/>
          </w:rPr>
          <w:t>67</w:t>
        </w:r>
        <w:r w:rsidR="00501B82">
          <w:rPr>
            <w:rFonts w:ascii="宋体" w:hAnsi="宋体"/>
            <w:noProof/>
          </w:rPr>
          <w:fldChar w:fldCharType="end"/>
        </w:r>
      </w:hyperlink>
    </w:p>
    <w:p w:rsidR="009C565C">
      <w:pPr>
        <w:pStyle w:val="TOC1"/>
        <w:rPr>
          <w:rFonts w:ascii="宋体" w:hAnsi="宋体"/>
          <w:noProof/>
        </w:rPr>
      </w:pPr>
      <w:hyperlink w:anchor="_Toc6327222" w:tooltip="Current Document" w:history="1">
        <w:r w:rsidR="00501B82">
          <w:rPr>
            <w:rStyle w:val="Hyperlink"/>
            <w:rFonts w:ascii="宋体" w:hAnsi="宋体" w:hint="eastAsia"/>
            <w:noProof/>
            <w:highlight w:val="white"/>
          </w:rPr>
          <w:t>第十七部分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基金的会计与审计</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_Toc6327222 \h </w:instrText>
        </w:r>
        <w:r w:rsidR="00501B82">
          <w:rPr>
            <w:rFonts w:ascii="宋体" w:hAnsi="宋体"/>
            <w:noProof/>
          </w:rPr>
          <w:fldChar w:fldCharType="separate"/>
        </w:r>
        <w:r w:rsidR="00117689">
          <w:rPr>
            <w:rFonts w:ascii="宋体" w:hAnsi="宋体"/>
            <w:noProof/>
            <w:highlight w:val="white"/>
          </w:rPr>
          <w:t>69</w:t>
        </w:r>
        <w:r w:rsidR="00501B82">
          <w:rPr>
            <w:rFonts w:ascii="宋体" w:hAnsi="宋体"/>
            <w:noProof/>
          </w:rPr>
          <w:fldChar w:fldCharType="end"/>
        </w:r>
      </w:hyperlink>
    </w:p>
    <w:p w:rsidR="009C565C">
      <w:pPr>
        <w:pStyle w:val="TOC1"/>
        <w:rPr>
          <w:rFonts w:ascii="宋体" w:hAnsi="宋体"/>
          <w:noProof/>
        </w:rPr>
      </w:pPr>
      <w:hyperlink w:anchor="_Toc6327223" w:tooltip="Current Document" w:history="1">
        <w:r w:rsidR="00501B82">
          <w:rPr>
            <w:rStyle w:val="Hyperlink"/>
            <w:rFonts w:ascii="宋体" w:hAnsi="宋体" w:hint="eastAsia"/>
            <w:noProof/>
            <w:highlight w:val="white"/>
          </w:rPr>
          <w:t>第十八部分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基金的信息披露</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_Toc6327223 \h </w:instrText>
        </w:r>
        <w:r w:rsidR="00501B82">
          <w:rPr>
            <w:rFonts w:ascii="宋体" w:hAnsi="宋体"/>
            <w:noProof/>
          </w:rPr>
          <w:fldChar w:fldCharType="separate"/>
        </w:r>
        <w:r w:rsidR="00117689">
          <w:rPr>
            <w:rFonts w:ascii="宋体" w:hAnsi="宋体"/>
            <w:noProof/>
            <w:highlight w:val="white"/>
          </w:rPr>
          <w:t>70</w:t>
        </w:r>
        <w:r w:rsidR="00501B82">
          <w:rPr>
            <w:rFonts w:ascii="宋体" w:hAnsi="宋体"/>
            <w:noProof/>
          </w:rPr>
          <w:fldChar w:fldCharType="end"/>
        </w:r>
      </w:hyperlink>
    </w:p>
    <w:p w:rsidR="009C565C">
      <w:pPr>
        <w:pStyle w:val="TOC1"/>
        <w:rPr>
          <w:rFonts w:ascii="宋体" w:hAnsi="宋体"/>
          <w:noProof/>
        </w:rPr>
      </w:pPr>
      <w:hyperlink w:anchor="_Toc6327224" w:tooltip="Current Document" w:history="1">
        <w:r w:rsidR="00501B82">
          <w:rPr>
            <w:rStyle w:val="Hyperlink"/>
            <w:rFonts w:ascii="宋体" w:hAnsi="宋体" w:hint="eastAsia"/>
            <w:noProof/>
            <w:highlight w:val="white"/>
          </w:rPr>
          <w:t>第十九部分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基金合同的变更、终止与基金财产的清算</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_Toc6327224 \h </w:instrText>
        </w:r>
        <w:r w:rsidR="00501B82">
          <w:rPr>
            <w:rFonts w:ascii="宋体" w:hAnsi="宋体"/>
            <w:noProof/>
          </w:rPr>
          <w:fldChar w:fldCharType="separate"/>
        </w:r>
        <w:r w:rsidR="00117689">
          <w:rPr>
            <w:rFonts w:ascii="宋体" w:hAnsi="宋体"/>
            <w:noProof/>
            <w:highlight w:val="white"/>
          </w:rPr>
          <w:t>77</w:t>
        </w:r>
        <w:r w:rsidR="00501B82">
          <w:rPr>
            <w:rFonts w:ascii="宋体" w:hAnsi="宋体"/>
            <w:noProof/>
          </w:rPr>
          <w:fldChar w:fldCharType="end"/>
        </w:r>
      </w:hyperlink>
    </w:p>
    <w:p w:rsidR="009C565C">
      <w:pPr>
        <w:pStyle w:val="TOC1"/>
        <w:rPr>
          <w:rFonts w:ascii="宋体" w:hAnsi="宋体"/>
          <w:noProof/>
        </w:rPr>
      </w:pPr>
      <w:hyperlink w:anchor="_Toc6327225" w:tooltip="Current Document" w:history="1">
        <w:r w:rsidR="00501B82">
          <w:rPr>
            <w:rStyle w:val="Hyperlink"/>
            <w:rFonts w:ascii="宋体" w:hAnsi="宋体" w:hint="eastAsia"/>
            <w:noProof/>
            <w:highlight w:val="white"/>
          </w:rPr>
          <w:t>第二十部分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违约责任</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_Toc6327225 \h </w:instrText>
        </w:r>
        <w:r w:rsidR="00501B82">
          <w:rPr>
            <w:rFonts w:ascii="宋体" w:hAnsi="宋体"/>
            <w:noProof/>
          </w:rPr>
          <w:fldChar w:fldCharType="separate"/>
        </w:r>
        <w:r w:rsidR="00117689">
          <w:rPr>
            <w:rFonts w:ascii="宋体" w:hAnsi="宋体"/>
            <w:noProof/>
            <w:highlight w:val="white"/>
          </w:rPr>
          <w:t>79</w:t>
        </w:r>
        <w:r w:rsidR="00501B82">
          <w:rPr>
            <w:rFonts w:ascii="宋体" w:hAnsi="宋体"/>
            <w:noProof/>
          </w:rPr>
          <w:fldChar w:fldCharType="end"/>
        </w:r>
      </w:hyperlink>
    </w:p>
    <w:p w:rsidR="009C565C">
      <w:pPr>
        <w:pStyle w:val="TOC1"/>
        <w:rPr>
          <w:rFonts w:ascii="宋体" w:hAnsi="宋体"/>
          <w:noProof/>
        </w:rPr>
      </w:pPr>
      <w:hyperlink w:anchor="_Toc6327226" w:tooltip="Current Document" w:history="1">
        <w:r w:rsidR="00501B82">
          <w:rPr>
            <w:rStyle w:val="Hyperlink"/>
            <w:rFonts w:ascii="宋体" w:hAnsi="宋体" w:hint="eastAsia"/>
            <w:noProof/>
            <w:highlight w:val="white"/>
          </w:rPr>
          <w:t>第二十一部分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争议的处理和适用的法律</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_Toc6327226 \h </w:instrText>
        </w:r>
        <w:r w:rsidR="00501B82">
          <w:rPr>
            <w:rFonts w:ascii="宋体" w:hAnsi="宋体"/>
            <w:noProof/>
          </w:rPr>
          <w:fldChar w:fldCharType="separate"/>
        </w:r>
        <w:r w:rsidR="00117689">
          <w:rPr>
            <w:rFonts w:ascii="宋体" w:hAnsi="宋体"/>
            <w:noProof/>
            <w:highlight w:val="white"/>
          </w:rPr>
          <w:t>80</w:t>
        </w:r>
        <w:r w:rsidR="00501B82">
          <w:rPr>
            <w:rFonts w:ascii="宋体" w:hAnsi="宋体"/>
            <w:noProof/>
          </w:rPr>
          <w:fldChar w:fldCharType="end"/>
        </w:r>
      </w:hyperlink>
    </w:p>
    <w:p w:rsidR="009C565C">
      <w:pPr>
        <w:pStyle w:val="TOC1"/>
        <w:rPr>
          <w:rFonts w:ascii="宋体" w:hAnsi="宋体"/>
          <w:noProof/>
        </w:rPr>
      </w:pPr>
      <w:hyperlink w:anchor="_Toc6327227" w:tooltip="Current Document" w:history="1">
        <w:r w:rsidR="00501B82">
          <w:rPr>
            <w:rStyle w:val="Hyperlink"/>
            <w:rFonts w:ascii="宋体" w:hAnsi="宋体" w:hint="eastAsia"/>
            <w:noProof/>
            <w:highlight w:val="white"/>
          </w:rPr>
          <w:t>第二十二部分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基金合同的效力</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_Toc6327227 \h </w:instrText>
        </w:r>
        <w:r w:rsidR="00501B82">
          <w:rPr>
            <w:rFonts w:ascii="宋体" w:hAnsi="宋体"/>
            <w:noProof/>
          </w:rPr>
          <w:fldChar w:fldCharType="separate"/>
        </w:r>
        <w:r w:rsidR="00117689">
          <w:rPr>
            <w:rFonts w:ascii="宋体" w:hAnsi="宋体"/>
            <w:noProof/>
            <w:highlight w:val="white"/>
          </w:rPr>
          <w:t>81</w:t>
        </w:r>
        <w:r w:rsidR="00501B82">
          <w:rPr>
            <w:rFonts w:ascii="宋体" w:hAnsi="宋体"/>
            <w:noProof/>
          </w:rPr>
          <w:fldChar w:fldCharType="end"/>
        </w:r>
      </w:hyperlink>
    </w:p>
    <w:p w:rsidR="009C565C">
      <w:pPr>
        <w:pStyle w:val="TOC1"/>
        <w:rPr>
          <w:rFonts w:ascii="宋体" w:hAnsi="宋体"/>
          <w:noProof/>
        </w:rPr>
      </w:pPr>
      <w:hyperlink w:anchor="_Toc6327228" w:tooltip="Current Document" w:history="1">
        <w:r w:rsidR="00501B82">
          <w:rPr>
            <w:rStyle w:val="Hyperlink"/>
            <w:rFonts w:ascii="宋体" w:hAnsi="宋体" w:hint="eastAsia"/>
            <w:noProof/>
            <w:highlight w:val="white"/>
          </w:rPr>
          <w:t>第二十三部分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其他事项</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_Toc6327228 \h </w:instrText>
        </w:r>
        <w:r w:rsidR="00501B82">
          <w:rPr>
            <w:rFonts w:ascii="宋体" w:hAnsi="宋体"/>
            <w:noProof/>
          </w:rPr>
          <w:fldChar w:fldCharType="separate"/>
        </w:r>
        <w:r w:rsidR="00117689">
          <w:rPr>
            <w:rFonts w:ascii="宋体" w:hAnsi="宋体"/>
            <w:noProof/>
            <w:highlight w:val="white"/>
          </w:rPr>
          <w:t>82</w:t>
        </w:r>
        <w:r w:rsidR="00501B82">
          <w:rPr>
            <w:rFonts w:ascii="宋体" w:hAnsi="宋体"/>
            <w:noProof/>
          </w:rPr>
          <w:fldChar w:fldCharType="end"/>
        </w:r>
      </w:hyperlink>
    </w:p>
    <w:p w:rsidR="009C565C">
      <w:pPr>
        <w:pStyle w:val="TOC1"/>
        <w:rPr>
          <w:rFonts w:ascii="宋体" w:hAnsi="宋体"/>
          <w:noProof/>
        </w:rPr>
      </w:pPr>
      <w:hyperlink w:anchor="_Toc6327229" w:tooltip="Current Document" w:history="1">
        <w:r w:rsidR="00501B82">
          <w:rPr>
            <w:rStyle w:val="Hyperlink"/>
            <w:rFonts w:ascii="宋体" w:hAnsi="宋体" w:hint="eastAsia"/>
            <w:noProof/>
            <w:highlight w:val="white"/>
          </w:rPr>
          <w:t>第二十四部分</w:t>
        </w:r>
        <w:r w:rsidR="00501B82">
          <w:rPr>
            <w:rStyle w:val="Hyperlink"/>
            <w:rFonts w:ascii="宋体" w:hAnsi="宋体"/>
            <w:noProof/>
            <w:highlight w:val="white"/>
          </w:rPr>
          <w:t xml:space="preserve"> </w:t>
        </w:r>
        <w:r w:rsidR="00501B82">
          <w:rPr>
            <w:rStyle w:val="Hyperlink"/>
            <w:rFonts w:ascii="宋体" w:hAnsi="宋体" w:hint="eastAsia"/>
            <w:noProof/>
            <w:highlight w:val="white"/>
          </w:rPr>
          <w:t>基金合同内</w:t>
        </w:r>
        <w:r w:rsidR="00501B82">
          <w:rPr>
            <w:rStyle w:val="Hyperlink"/>
            <w:rFonts w:ascii="宋体" w:hAnsi="宋体" w:hint="eastAsia"/>
            <w:noProof/>
            <w:highlight w:val="white"/>
          </w:rPr>
          <w:t>容</w:t>
        </w:r>
        <w:r w:rsidR="00501B82">
          <w:rPr>
            <w:rStyle w:val="Hyperlink"/>
            <w:rFonts w:ascii="宋体" w:hAnsi="宋体" w:hint="eastAsia"/>
            <w:noProof/>
            <w:highlight w:val="white"/>
          </w:rPr>
          <w:t>摘要</w:t>
        </w:r>
        <w:r w:rsidR="00501B82">
          <w:rPr>
            <w:rFonts w:ascii="宋体" w:hAnsi="宋体"/>
            <w:noProof/>
            <w:highlight w:val="white"/>
          </w:rPr>
          <w:tab/>
        </w:r>
        <w:r w:rsidR="00501B82">
          <w:rPr>
            <w:rFonts w:ascii="宋体" w:hAnsi="宋体"/>
            <w:noProof/>
          </w:rPr>
          <w:fldChar w:fldCharType="begin"/>
        </w:r>
        <w:r w:rsidR="00501B82">
          <w:rPr>
            <w:rFonts w:ascii="宋体" w:hAnsi="宋体"/>
            <w:noProof/>
            <w:highlight w:val="white"/>
          </w:rPr>
          <w:instrText xml:space="preserve"> PAGEREF _Toc6327229 \h </w:instrText>
        </w:r>
        <w:r w:rsidR="00501B82">
          <w:rPr>
            <w:rFonts w:ascii="宋体" w:hAnsi="宋体"/>
            <w:noProof/>
          </w:rPr>
          <w:fldChar w:fldCharType="separate"/>
        </w:r>
        <w:r w:rsidR="00117689">
          <w:rPr>
            <w:rFonts w:ascii="宋体" w:hAnsi="宋体"/>
            <w:noProof/>
            <w:highlight w:val="white"/>
          </w:rPr>
          <w:t>82</w:t>
        </w:r>
        <w:r w:rsidR="00501B82">
          <w:rPr>
            <w:rFonts w:ascii="宋体" w:hAnsi="宋体"/>
            <w:noProof/>
          </w:rPr>
          <w:fldChar w:fldCharType="end"/>
        </w:r>
      </w:hyperlink>
    </w:p>
    <w:p w:rsidR="009C565C">
      <w:pPr>
        <w:pStyle w:val="11"/>
        <w:spacing w:before="0" w:after="0"/>
        <w:jc w:val="left"/>
        <w:rPr>
          <w:rFonts w:hAnsi="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3" w:name="_Toc15517"/>
      <w:bookmarkStart w:id="24" w:name="_Toc29629"/>
      <w:bookmarkStart w:id="25" w:name="_Toc6306"/>
      <w:bookmarkStart w:id="26" w:name="_Toc4867"/>
      <w:bookmarkStart w:id="27" w:name="_Toc4966"/>
      <w:bookmarkStart w:id="28" w:name="_Toc26897"/>
      <w:bookmarkStart w:id="29" w:name="_Toc23386"/>
      <w:bookmarkStart w:id="30" w:name="_Toc32639"/>
      <w:bookmarkStart w:id="31" w:name="_Toc8727"/>
      <w:bookmarkStart w:id="32" w:name="_Toc141703880"/>
      <w:bookmarkStart w:id="33" w:name="_Toc139991730"/>
      <w:bookmarkStart w:id="34" w:name="_Toc30935"/>
      <w:bookmarkStart w:id="35" w:name="_Toc123112268"/>
      <w:bookmarkStart w:id="36" w:name="_Toc123701389"/>
      <w:bookmarkStart w:id="37" w:name="_Toc123112229"/>
      <w:bookmarkStart w:id="38" w:name="_Toc233456271"/>
      <w:bookmarkEnd w:id="21"/>
    </w:p>
    <w:p w:rsidR="009C565C">
      <w:pPr>
        <w:pStyle w:val="11"/>
        <w:spacing w:before="0" w:after="0"/>
        <w:jc w:val="center"/>
        <w:rPr>
          <w:rFonts w:hAnsi="宋体"/>
          <w:color w:val="auto"/>
          <w:sz w:val="30"/>
          <w:lang w:eastAsia="zh-CN"/>
        </w:rPr>
      </w:pPr>
      <w:bookmarkStart w:id="39" w:name="_Toc446339239"/>
      <w:bookmarkStart w:id="40" w:name="_Toc6327206"/>
      <w:bookmarkStart w:id="41" w:name="_Toc11660"/>
      <w:bookmarkStart w:id="42" w:name="CLAUSE_d8cf30113149458b8b8ff72e32adb333"/>
      <w:r>
        <w:rPr>
          <w:rFonts w:hAnsi="宋体"/>
          <w:highlight w:val="white"/>
          <w:lang w:eastAsia="zh-CN"/>
        </w:rPr>
        <w:t xml:space="preserve"> </w:t>
      </w:r>
      <w:bookmarkStart w:id="43" w:name="CTS_d8cf30113149458b8b8ff72e32adb333"/>
      <w:bookmarkEnd w:id="43"/>
      <w:r>
        <w:rPr>
          <w:rFonts w:hAnsi="宋体" w:hint="eastAsia"/>
          <w:color w:val="auto"/>
          <w:sz w:val="30"/>
          <w:highlight w:val="white"/>
          <w:lang w:eastAsia="zh-CN"/>
        </w:rPr>
        <w:t>第一部分</w:t>
      </w:r>
      <w:r>
        <w:rPr>
          <w:rFonts w:hAnsi="宋体"/>
          <w:sz w:val="30"/>
          <w:highlight w:val="white"/>
          <w:lang w:eastAsia="zh-CN"/>
        </w:rPr>
        <w:t xml:space="preserve"> </w:t>
      </w:r>
      <w:r>
        <w:rPr>
          <w:rFonts w:hAnsi="宋体" w:hint="eastAsia"/>
          <w:color w:val="auto"/>
          <w:sz w:val="30"/>
          <w:highlight w:val="white"/>
          <w:lang w:eastAsia="zh-CN"/>
        </w:rPr>
        <w:t>前言</w:t>
      </w:r>
      <w:bookmarkEnd w:id="23"/>
      <w:bookmarkEnd w:id="24"/>
      <w:bookmarkEnd w:id="25"/>
      <w:bookmarkEnd w:id="26"/>
      <w:bookmarkEnd w:id="27"/>
      <w:bookmarkEnd w:id="28"/>
      <w:bookmarkEnd w:id="29"/>
      <w:bookmarkEnd w:id="30"/>
      <w:bookmarkEnd w:id="31"/>
      <w:bookmarkEnd w:id="32"/>
      <w:bookmarkEnd w:id="33"/>
      <w:bookmarkEnd w:id="34"/>
      <w:bookmarkEnd w:id="39"/>
      <w:bookmarkEnd w:id="40"/>
      <w:bookmarkEnd w:id="41"/>
    </w:p>
    <w:p w:rsidR="009C565C">
      <w:pPr>
        <w:spacing w:line="360" w:lineRule="auto"/>
        <w:rPr>
          <w:rFonts w:ascii="宋体" w:hAnsi="宋体"/>
          <w:lang w:eastAsia="zh-CN"/>
        </w:rPr>
      </w:pPr>
      <w:bookmarkStart w:id="44" w:name="_Toc139991731"/>
      <w:bookmarkEnd w:id="35"/>
      <w:bookmarkEnd w:id="36"/>
      <w:bookmarkEnd w:id="37"/>
      <w:bookmarkEnd w:id="44"/>
    </w:p>
    <w:p w:rsidR="009C565C">
      <w:pPr>
        <w:spacing w:line="360" w:lineRule="auto"/>
        <w:ind w:firstLine="480"/>
        <w:rPr>
          <w:rFonts w:ascii="宋体" w:hAnsi="宋体"/>
          <w:sz w:val="24"/>
          <w:lang w:eastAsia="zh-CN"/>
        </w:rPr>
      </w:pPr>
      <w:bookmarkStart w:id="45" w:name="_Toc258829399"/>
      <w:r>
        <w:rPr>
          <w:rFonts w:ascii="宋体" w:hAnsi="宋体" w:hint="eastAsia"/>
          <w:sz w:val="24"/>
          <w:highlight w:val="white"/>
          <w:lang w:eastAsia="zh-CN"/>
        </w:rPr>
        <w:t>一、订立本基金合同的目的、依据和原则</w:t>
      </w:r>
    </w:p>
    <w:p w:rsidR="009C565C">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9C565C">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9C565C">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9C565C">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C565C">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C565C">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易方达港股通周期精选混合型证券投资基金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9C565C">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收益</w:t>
      </w:r>
      <w:r>
        <w:rPr>
          <w:rFonts w:ascii="宋体" w:hAnsi="宋体" w:hint="eastAsia"/>
          <w:sz w:val="24"/>
          <w:highlight w:val="white"/>
          <w:lang w:eastAsia="zh-CN"/>
        </w:rPr>
        <w:t>做出实质性判断或保证，也不表明投资于本基金没有风险。</w:t>
      </w:r>
    </w:p>
    <w:p w:rsidR="009C565C">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9C565C">
      <w:pPr>
        <w:spacing w:line="360" w:lineRule="auto"/>
        <w:ind w:firstLine="480"/>
        <w:rPr>
          <w:rFonts w:ascii="宋体" w:hAnsi="宋体"/>
          <w:b/>
          <w:u w:val="single"/>
          <w:lang w:eastAsia="zh-CN"/>
        </w:rPr>
      </w:pPr>
      <w:r>
        <w:rPr>
          <w:rFonts w:ascii="宋体" w:hAnsi="宋体"/>
          <w:bCs/>
          <w:sz w:val="24"/>
          <w:highlight w:val="white"/>
          <w:lang w:eastAsia="zh-CN"/>
        </w:rPr>
        <w:t>投资者应当认真阅读基金招募说明书、基金合同、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等信息披露文件，自主判断基金的投资价值，自主做出投资决策，自行承担投资风险。</w:t>
      </w:r>
    </w:p>
    <w:p w:rsidR="009C565C">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9C565C">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9C565C">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9C565C">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9C565C">
      <w:pPr>
        <w:spacing w:line="360" w:lineRule="auto"/>
        <w:ind w:firstLine="480"/>
        <w:rPr>
          <w:rFonts w:ascii="宋体" w:hAnsi="宋体"/>
          <w:lang w:eastAsia="zh-CN"/>
        </w:rPr>
      </w:pPr>
    </w:p>
    <w:p w:rsidR="009C565C">
      <w:pPr>
        <w:spacing w:line="360" w:lineRule="auto"/>
        <w:ind w:firstLine="420"/>
        <w:rPr>
          <w:rFonts w:ascii="宋体" w:hAnsi="宋体"/>
          <w:lang w:eastAsia="zh-CN"/>
        </w:rPr>
      </w:pPr>
    </w:p>
    <w:p w:rsidR="009C565C">
      <w:pPr>
        <w:spacing w:line="360" w:lineRule="auto"/>
        <w:ind w:firstLine="420"/>
        <w:rPr>
          <w:rFonts w:ascii="宋体" w:hAnsi="宋体"/>
          <w:lang w:eastAsia="zh-CN"/>
        </w:rPr>
      </w:pPr>
    </w:p>
    <w:p w:rsidR="009C565C">
      <w:pPr>
        <w:spacing w:line="360" w:lineRule="auto"/>
        <w:ind w:firstLine="480"/>
        <w:rPr>
          <w:rFonts w:ascii="宋体" w:hAnsi="宋体"/>
          <w:sz w:val="24"/>
          <w:lang w:eastAsia="zh-CN"/>
        </w:rPr>
      </w:pPr>
    </w:p>
    <w:p w:rsidR="009C565C">
      <w:pPr>
        <w:pStyle w:val="11"/>
        <w:spacing w:before="0" w:after="0"/>
        <w:jc w:val="center"/>
        <w:rPr>
          <w:rFonts w:hAnsi="宋体"/>
          <w:color w:val="auto"/>
          <w:sz w:val="30"/>
          <w:lang w:eastAsia="zh-CN"/>
        </w:rPr>
      </w:pPr>
      <w:r>
        <w:rPr>
          <w:rFonts w:hAnsi="宋体"/>
          <w:b w:val="0"/>
          <w:sz w:val="21"/>
          <w:highlight w:val="white"/>
          <w:lang w:eastAsia="zh-CN"/>
        </w:rPr>
        <w:br w:type="page"/>
      </w:r>
      <w:bookmarkStart w:id="46" w:name="_Toc446339240"/>
      <w:bookmarkStart w:id="47" w:name="_Toc6327207"/>
      <w:bookmarkStart w:id="48" w:name="_Toc31551"/>
      <w:r>
        <w:rPr>
          <w:rFonts w:hAnsi="宋体" w:hint="eastAsia"/>
          <w:sz w:val="30"/>
          <w:highlight w:val="white"/>
          <w:lang w:eastAsia="zh-CN"/>
        </w:rPr>
        <w:t>第二部分</w:t>
      </w:r>
      <w:r>
        <w:rPr>
          <w:rFonts w:hAnsi="宋体"/>
          <w:sz w:val="30"/>
          <w:highlight w:val="white"/>
          <w:lang w:eastAsia="zh-CN"/>
        </w:rPr>
        <w:t xml:space="preserve"> </w:t>
      </w:r>
      <w:bookmarkStart w:id="49" w:name="_Toc24860"/>
      <w:bookmarkStart w:id="50" w:name="_Toc819"/>
      <w:bookmarkStart w:id="51" w:name="_Toc13020"/>
      <w:bookmarkStart w:id="52" w:name="_Toc6617"/>
      <w:bookmarkStart w:id="53" w:name="_Toc15067"/>
      <w:bookmarkStart w:id="54" w:name="_Toc22864"/>
      <w:bookmarkStart w:id="55" w:name="_Toc2465"/>
      <w:bookmarkStart w:id="56" w:name="_Toc3224"/>
      <w:bookmarkStart w:id="57" w:name="_Toc19592"/>
      <w:bookmarkStart w:id="58" w:name="_Toc21301"/>
      <w:r>
        <w:rPr>
          <w:rFonts w:hAnsi="宋体" w:hint="eastAsia"/>
          <w:color w:val="auto"/>
          <w:sz w:val="30"/>
          <w:highlight w:val="white"/>
          <w:lang w:eastAsia="zh-CN"/>
        </w:rPr>
        <w:t>释义</w:t>
      </w:r>
      <w:bookmarkEnd w:id="38"/>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9C565C">
      <w:pPr>
        <w:spacing w:line="360" w:lineRule="auto"/>
        <w:ind w:firstLine="42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易方达港股通周期精选混合型证券投资基金</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中国银行股份有限公司</w:t>
      </w:r>
      <w:r>
        <w:rPr>
          <w:rFonts w:ascii="宋体" w:hAnsi="宋体" w:hint="eastAsia"/>
          <w:sz w:val="24"/>
          <w:szCs w:val="24"/>
          <w:highlight w:val="white"/>
          <w:lang w:eastAsia="zh-CN"/>
        </w:rPr>
        <w:t xml:space="preserve"> </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易方达港股通周期精选混合型证券投资基金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易方达港股通周期精选混合型证券投资基金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6、招募说明书：指</w:t>
      </w:r>
      <w:r>
        <w:rPr>
          <w:rFonts w:ascii="宋体" w:hAnsi="宋体" w:hint="eastAsia"/>
          <w:bCs/>
          <w:sz w:val="24"/>
          <w:szCs w:val="24"/>
          <w:highlight w:val="white"/>
          <w:lang w:eastAsia="zh-CN"/>
        </w:rPr>
        <w:t>《</w:t>
      </w:r>
      <w:r>
        <w:rPr>
          <w:rFonts w:ascii="宋体" w:hAnsi="宋体" w:hint="eastAsia"/>
          <w:sz w:val="24"/>
          <w:szCs w:val="24"/>
          <w:lang w:eastAsia="zh-CN"/>
        </w:rPr>
        <w:t>易方达港股通周期精选混合型证券投资基金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7、基金产品资料概要：指《</w:t>
      </w:r>
      <w:r>
        <w:rPr>
          <w:rFonts w:ascii="宋体" w:hAnsi="宋体" w:hint="eastAsia"/>
          <w:sz w:val="24"/>
          <w:szCs w:val="24"/>
          <w:lang w:eastAsia="zh-CN"/>
        </w:rPr>
        <w:t>易方达港股通周期精选混合型证券投资基金</w:t>
      </w:r>
      <w:r>
        <w:rPr>
          <w:rFonts w:ascii="宋体" w:hAnsi="宋体" w:hint="eastAsia"/>
          <w:sz w:val="24"/>
          <w:szCs w:val="24"/>
          <w:highlight w:val="white"/>
          <w:lang w:eastAsia="zh-CN"/>
        </w:rPr>
        <w:t>基金产品资料概要》及其更新</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易方达港股通周期精选混合型证券投资基金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、《运作办法》：指中国证监会2014年7月7日颁布、同年8月8日实施的《公开募集证券投资基金运作管理办法》及颁布机关对其不时做出的修订</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15、中国证监会：指中国证券监督管理委员会</w:t>
      </w:r>
    </w:p>
    <w:p w:rsidR="009C565C">
      <w:pPr>
        <w:pBdr>
          <w:top w:val="nil"/>
          <w:left w:val="nil"/>
          <w:bottom w:val="nil"/>
          <w:right w:val="nil"/>
        </w:pBd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0、合格境外投资者：指符合相关法律法规规定使用来自境外的资金进行境内证券期货投资的境外机构投资者，包括合格境外机构投资者和人民币合格境外机构投资者</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sz w:val="24"/>
          <w:szCs w:val="24"/>
          <w:highlight w:val="white"/>
          <w:lang w:eastAsia="zh-CN"/>
        </w:rPr>
        <w:t>投资人、</w:t>
      </w:r>
      <w:r>
        <w:rPr>
          <w:rFonts w:ascii="宋体" w:hAnsi="宋体"/>
          <w:sz w:val="24"/>
          <w:szCs w:val="24"/>
          <w:highlight w:val="white"/>
          <w:lang w:eastAsia="zh-CN"/>
        </w:rPr>
        <w:t>投资者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sz w:val="24"/>
          <w:szCs w:val="24"/>
          <w:highlight w:val="white"/>
          <w:lang w:eastAsia="zh-CN"/>
        </w:rPr>
        <w:t>工作日：指上海证券交易所、深圳证券交易所的</w:t>
      </w:r>
      <w:r>
        <w:rPr>
          <w:rFonts w:ascii="宋体" w:hAnsi="宋体" w:hint="eastAsia"/>
          <w:bCs/>
          <w:sz w:val="24"/>
          <w:szCs w:val="24"/>
          <w:highlight w:val="white"/>
          <w:lang w:eastAsia="zh-CN"/>
        </w:rPr>
        <w:t>交易日</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36、开放日：指为投资人办理基金份额申购、赎回或其他业务的工作日，若该工作日非港股通交易日，则本基金不开放</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，是规范基金管理人所管理的开放式证券投资基金登记方面的业务规则，由基金管理人和投资人共同遵守</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、转托管：指基金份额持有人在本基金的不同销售机构之间实施的变更所持基金份额销售机构的操作</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bCs/>
          <w:sz w:val="24"/>
          <w:szCs w:val="24"/>
          <w:highlight w:val="white"/>
          <w:lang w:eastAsia="zh-CN"/>
        </w:rPr>
        <w:t>基金份额净值：指计算日基金资产净值除以计算日基金份额总数</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52、基金份额折算：指基金管理人根据基金运作的需要，在基金资产净值不变的前提下，按照一定比例调整基金份额总额及基金份额净值</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54、销售服务费：指从基金财产中计提的，用于本基金市场推广、销售以及基金份额持有人服务的费用</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55、A类基金份额：在投资人认购/申购基金时</w:t>
      </w:r>
      <w:r w:rsidR="00EE3E69">
        <w:rPr>
          <w:rFonts w:ascii="宋体" w:hAnsi="宋体" w:hint="eastAsia"/>
          <w:bCs/>
          <w:sz w:val="24"/>
          <w:szCs w:val="24"/>
          <w:highlight w:val="white"/>
          <w:lang w:eastAsia="zh-CN"/>
        </w:rPr>
        <w:t>按规定</w:t>
      </w:r>
      <w:r>
        <w:rPr>
          <w:rFonts w:ascii="宋体" w:hAnsi="宋体" w:hint="eastAsia"/>
          <w:bCs/>
          <w:sz w:val="24"/>
          <w:szCs w:val="24"/>
          <w:highlight w:val="white"/>
          <w:lang w:eastAsia="zh-CN"/>
        </w:rPr>
        <w:t>收取认购/申购费用，并不再从本类别基金资产中计提销售服务费的基金份额，称为A类基金份额</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56、C类基金份额：从本类别基金资产中计提销售服务费</w:t>
      </w:r>
      <w:r w:rsidR="00EE3E69">
        <w:rPr>
          <w:rFonts w:ascii="宋体" w:hAnsi="宋体" w:hint="eastAsia"/>
          <w:bCs/>
          <w:sz w:val="24"/>
          <w:szCs w:val="24"/>
          <w:highlight w:val="white"/>
          <w:lang w:eastAsia="zh-CN"/>
        </w:rPr>
        <w:t>并按</w:t>
      </w:r>
      <w:r w:rsidR="00EE3E69">
        <w:rPr>
          <w:rFonts w:ascii="宋体" w:hAnsi="宋体" w:hint="eastAsia"/>
          <w:sz w:val="24"/>
          <w:szCs w:val="24"/>
          <w:highlight w:val="white"/>
          <w:lang w:eastAsia="zh-CN"/>
        </w:rPr>
        <w:t>规定收取或返还</w:t>
      </w:r>
      <w:r>
        <w:rPr>
          <w:rFonts w:ascii="宋体" w:hAnsi="宋体" w:hint="eastAsia"/>
          <w:bCs/>
          <w:sz w:val="24"/>
          <w:szCs w:val="24"/>
          <w:highlight w:val="white"/>
          <w:lang w:eastAsia="zh-CN"/>
        </w:rPr>
        <w:t>，</w:t>
      </w:r>
      <w:r>
        <w:rPr>
          <w:rFonts w:ascii="宋体" w:hAnsi="宋体" w:hint="eastAsia"/>
          <w:bCs/>
          <w:sz w:val="24"/>
          <w:szCs w:val="24"/>
          <w:highlight w:val="white"/>
          <w:lang w:eastAsia="zh-CN"/>
        </w:rPr>
        <w:t>不收取认购/申购费用的基金份额，称为C类基金份额</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59</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60</w:t>
      </w:r>
      <w:r>
        <w:rPr>
          <w:rFonts w:ascii="宋体" w:hAnsi="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61、</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9C565C">
      <w:pPr>
        <w:spacing w:line="360" w:lineRule="auto"/>
        <w:ind w:firstLine="480"/>
        <w:rPr>
          <w:rFonts w:ascii="宋体" w:hAnsi="宋体"/>
          <w:bCs/>
          <w:sz w:val="24"/>
          <w:szCs w:val="24"/>
          <w:lang w:eastAsia="zh-CN"/>
        </w:rPr>
      </w:pPr>
    </w:p>
    <w:p w:rsidR="009C565C">
      <w:pPr>
        <w:pStyle w:val="11"/>
        <w:spacing w:before="0" w:after="0"/>
        <w:jc w:val="center"/>
        <w:rPr>
          <w:rFonts w:hAnsi="宋体"/>
          <w:color w:val="auto"/>
          <w:sz w:val="30"/>
          <w:lang w:eastAsia="zh-CN"/>
        </w:rPr>
      </w:pPr>
      <w:r>
        <w:rPr>
          <w:rFonts w:hAnsi="宋体"/>
          <w:highlight w:val="white"/>
          <w:lang w:eastAsia="zh-CN"/>
        </w:rPr>
        <w:br w:type="page"/>
      </w:r>
      <w:bookmarkStart w:id="59" w:name="_Toc20627"/>
      <w:bookmarkStart w:id="60" w:name="_Toc18631"/>
      <w:bookmarkStart w:id="61" w:name="_Toc24571"/>
      <w:bookmarkStart w:id="62" w:name="_Toc446339241"/>
      <w:bookmarkStart w:id="63" w:name="_Toc733"/>
      <w:bookmarkStart w:id="64" w:name="_Toc5246"/>
      <w:bookmarkStart w:id="65" w:name="_Toc20318"/>
      <w:bookmarkStart w:id="66" w:name="_Toc545"/>
      <w:bookmarkStart w:id="67" w:name="_Toc6327208"/>
      <w:bookmarkStart w:id="68" w:name="_Toc13288"/>
      <w:bookmarkStart w:id="69" w:name="_Toc6149"/>
      <w:bookmarkStart w:id="70" w:name="_Toc6683"/>
      <w:bookmarkStart w:id="71" w:name="_Toc22708"/>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2" w:name="_Toc79392573"/>
      <w:bookmarkEnd w:id="59"/>
      <w:bookmarkEnd w:id="60"/>
      <w:bookmarkEnd w:id="61"/>
      <w:bookmarkEnd w:id="62"/>
      <w:bookmarkEnd w:id="63"/>
      <w:bookmarkEnd w:id="64"/>
      <w:bookmarkEnd w:id="65"/>
      <w:bookmarkEnd w:id="66"/>
      <w:bookmarkEnd w:id="67"/>
      <w:bookmarkEnd w:id="68"/>
      <w:bookmarkEnd w:id="69"/>
      <w:bookmarkEnd w:id="70"/>
      <w:bookmarkEnd w:id="71"/>
    </w:p>
    <w:p w:rsidR="009C565C">
      <w:pPr>
        <w:spacing w:line="360" w:lineRule="auto"/>
        <w:rPr>
          <w:sz w:val="24"/>
          <w:szCs w:val="24"/>
          <w:lang w:eastAsia="zh-CN"/>
        </w:rPr>
      </w:pPr>
    </w:p>
    <w:p w:rsidR="009C565C">
      <w:pPr>
        <w:spacing w:line="360" w:lineRule="auto"/>
        <w:ind w:firstLine="480"/>
        <w:rPr>
          <w:rFonts w:ascii="宋体" w:hAnsi="宋体"/>
          <w:sz w:val="24"/>
          <w:szCs w:val="24"/>
          <w:lang w:eastAsia="zh-CN"/>
        </w:rPr>
      </w:pPr>
      <w:bookmarkStart w:id="73" w:name="_Hlt88031774"/>
      <w:bookmarkEnd w:id="73"/>
      <w:r>
        <w:rPr>
          <w:rFonts w:ascii="宋体" w:hAnsi="宋体" w:hint="eastAsia"/>
          <w:sz w:val="24"/>
          <w:szCs w:val="24"/>
          <w:highlight w:val="white"/>
          <w:lang w:eastAsia="zh-CN"/>
        </w:rPr>
        <w:t>一、基金名称</w:t>
      </w:r>
      <w:bookmarkEnd w:id="72"/>
    </w:p>
    <w:p w:rsidR="009C565C">
      <w:pPr>
        <w:spacing w:line="360" w:lineRule="auto"/>
        <w:ind w:firstLine="480"/>
        <w:rPr>
          <w:rFonts w:ascii="宋体" w:hAnsi="宋体"/>
          <w:bCs/>
          <w:sz w:val="24"/>
          <w:szCs w:val="24"/>
          <w:lang w:eastAsia="zh-CN"/>
        </w:rPr>
      </w:pPr>
      <w:r>
        <w:rPr>
          <w:rFonts w:ascii="宋体" w:hAnsi="宋体" w:hint="eastAsia"/>
          <w:bCs/>
          <w:sz w:val="24"/>
          <w:szCs w:val="24"/>
          <w:lang w:eastAsia="zh-CN"/>
        </w:rPr>
        <w:t>易方达港股通周期精选混合型证券投资基金</w:t>
      </w: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bookmarkStart w:id="74" w:name="_Toc79392574"/>
      <w:r>
        <w:rPr>
          <w:rFonts w:ascii="宋体" w:hAnsi="宋体" w:hint="eastAsia"/>
          <w:sz w:val="24"/>
          <w:szCs w:val="24"/>
          <w:highlight w:val="white"/>
          <w:lang w:eastAsia="zh-CN"/>
        </w:rPr>
        <w:t>二、基金的类别</w:t>
      </w:r>
      <w:bookmarkEnd w:id="74"/>
    </w:p>
    <w:p w:rsidR="009C565C">
      <w:pPr>
        <w:spacing w:line="360" w:lineRule="auto"/>
        <w:ind w:left="796" w:hanging="256"/>
        <w:rPr>
          <w:rFonts w:ascii="宋体" w:hAnsi="宋体"/>
          <w:bCs/>
          <w:sz w:val="24"/>
          <w:szCs w:val="24"/>
          <w:lang w:eastAsia="zh-CN"/>
        </w:rPr>
      </w:pPr>
      <w:r>
        <w:rPr>
          <w:rFonts w:ascii="宋体" w:hAnsi="宋体" w:hint="eastAsia"/>
          <w:bCs/>
          <w:sz w:val="24"/>
          <w:szCs w:val="24"/>
          <w:lang w:eastAsia="zh-CN"/>
        </w:rPr>
        <w:t>混合型证券投资基金</w:t>
      </w:r>
    </w:p>
    <w:p w:rsidR="009C565C">
      <w:pPr>
        <w:spacing w:line="360" w:lineRule="auto"/>
        <w:ind w:left="796" w:hanging="256"/>
        <w:rPr>
          <w:rFonts w:ascii="宋体" w:hAnsi="宋体"/>
          <w:sz w:val="24"/>
          <w:szCs w:val="24"/>
          <w:lang w:eastAsia="zh-CN"/>
        </w:rPr>
      </w:pPr>
    </w:p>
    <w:p w:rsidR="009C565C">
      <w:pPr>
        <w:spacing w:line="360" w:lineRule="auto"/>
        <w:ind w:firstLine="480"/>
        <w:rPr>
          <w:rFonts w:ascii="宋体" w:hAnsi="宋体"/>
          <w:sz w:val="24"/>
          <w:szCs w:val="24"/>
          <w:lang w:eastAsia="zh-CN"/>
        </w:rPr>
      </w:pPr>
      <w:bookmarkStart w:id="75" w:name="_Toc79392575"/>
      <w:r>
        <w:rPr>
          <w:rFonts w:ascii="宋体" w:hAnsi="宋体" w:hint="eastAsia"/>
          <w:sz w:val="24"/>
          <w:szCs w:val="24"/>
          <w:highlight w:val="white"/>
          <w:lang w:eastAsia="zh-CN"/>
        </w:rPr>
        <w:t>三、基金的运作方式</w:t>
      </w:r>
    </w:p>
    <w:p w:rsidR="009C565C">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9C565C">
      <w:pPr>
        <w:spacing w:line="360" w:lineRule="auto"/>
        <w:ind w:left="796" w:hanging="256"/>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5"/>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bookmarkStart w:id="76" w:name="_Toc79392576"/>
      <w:r>
        <w:rPr>
          <w:rFonts w:ascii="宋体" w:hAnsi="宋体" w:hint="eastAsia"/>
          <w:sz w:val="24"/>
          <w:szCs w:val="24"/>
          <w:highlight w:val="white"/>
          <w:lang w:eastAsia="zh-CN"/>
        </w:rPr>
        <w:t>五、基金的最低募集份额总额</w:t>
      </w:r>
      <w:bookmarkEnd w:id="76"/>
    </w:p>
    <w:p w:rsidR="009C565C">
      <w:pPr>
        <w:spacing w:line="360" w:lineRule="auto"/>
        <w:ind w:firstLine="480"/>
        <w:rPr>
          <w:bCs/>
          <w:sz w:val="24"/>
          <w:szCs w:val="24"/>
          <w:lang w:eastAsia="zh-CN"/>
        </w:rPr>
      </w:pPr>
      <w:r>
        <w:rPr>
          <w:rFonts w:ascii="宋体" w:hAnsi="宋体"/>
          <w:sz w:val="24"/>
          <w:szCs w:val="24"/>
          <w:lang w:eastAsia="zh-CN"/>
        </w:rPr>
        <w:t>本基金的最低募集份额总额为2亿份。</w:t>
      </w: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bCs/>
          <w:sz w:val="24"/>
          <w:szCs w:val="24"/>
          <w:lang w:eastAsia="zh-CN"/>
        </w:rPr>
      </w:pPr>
      <w:bookmarkStart w:id="77"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7"/>
      <w:r>
        <w:rPr>
          <w:rFonts w:ascii="宋体" w:hAnsi="宋体" w:hint="eastAsia"/>
          <w:bCs/>
          <w:sz w:val="24"/>
          <w:szCs w:val="24"/>
          <w:highlight w:val="white"/>
          <w:lang w:eastAsia="zh-CN"/>
        </w:rPr>
        <w:t>和认购费用</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9C565C">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9C565C">
      <w:pPr>
        <w:spacing w:line="360" w:lineRule="auto"/>
        <w:ind w:firstLine="480"/>
        <w:jc w:val="left"/>
        <w:rPr>
          <w:rFonts w:ascii="宋体" w:hAnsi="宋体"/>
          <w:bCs/>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七、基金</w:t>
      </w:r>
      <w:r>
        <w:rPr>
          <w:rFonts w:ascii="宋体" w:hAnsi="宋体" w:hint="eastAsia"/>
          <w:sz w:val="24"/>
          <w:szCs w:val="24"/>
          <w:highlight w:val="white"/>
          <w:lang w:eastAsia="zh-CN"/>
        </w:rPr>
        <w:t>存续期限</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9C565C">
      <w:pPr>
        <w:spacing w:line="360" w:lineRule="auto"/>
        <w:ind w:firstLine="480"/>
        <w:rPr>
          <w:rFonts w:ascii="宋体" w:hAnsi="宋体"/>
          <w:bCs/>
          <w:sz w:val="24"/>
          <w:szCs w:val="24"/>
          <w:lang w:eastAsia="zh-CN"/>
        </w:rPr>
      </w:pPr>
      <w:r>
        <w:rPr>
          <w:rFonts w:ascii="宋体" w:hAnsi="宋体"/>
          <w:sz w:val="24"/>
          <w:szCs w:val="24"/>
          <w:lang w:eastAsia="zh-CN"/>
        </w:rPr>
        <w:t>本基金将基金份额分为不同的类别。在投资人认购/申购基金时</w:t>
      </w:r>
      <w:r w:rsidR="00EE3E69">
        <w:rPr>
          <w:rFonts w:ascii="宋体" w:hAnsi="宋体" w:hint="eastAsia"/>
          <w:sz w:val="24"/>
          <w:szCs w:val="24"/>
          <w:lang w:eastAsia="zh-CN"/>
        </w:rPr>
        <w:t>按规定</w:t>
      </w:r>
      <w:r>
        <w:rPr>
          <w:rFonts w:ascii="宋体" w:hAnsi="宋体"/>
          <w:sz w:val="24"/>
          <w:szCs w:val="24"/>
          <w:lang w:eastAsia="zh-CN"/>
        </w:rPr>
        <w:t>收取认购/申购费用，并不再从本类别基金资产中计提销售服务费的基金份额，称为A类基金份额；从本类基金资产中计提销售服务费</w:t>
      </w:r>
      <w:r w:rsidR="00EE3E69">
        <w:rPr>
          <w:rFonts w:ascii="宋体" w:hAnsi="宋体" w:hint="eastAsia"/>
          <w:sz w:val="24"/>
          <w:szCs w:val="24"/>
          <w:lang w:eastAsia="zh-CN"/>
        </w:rPr>
        <w:t>并按规定收取或返还</w:t>
      </w:r>
      <w:r>
        <w:rPr>
          <w:rFonts w:ascii="宋体" w:hAnsi="宋体"/>
          <w:sz w:val="24"/>
          <w:szCs w:val="24"/>
          <w:lang w:eastAsia="zh-CN"/>
        </w:rPr>
        <w:t>，</w:t>
      </w:r>
      <w:r>
        <w:rPr>
          <w:rFonts w:ascii="宋体" w:hAnsi="宋体"/>
          <w:sz w:val="24"/>
          <w:szCs w:val="24"/>
          <w:lang w:eastAsia="zh-CN"/>
        </w:rPr>
        <w:t>不收取认购/申购费用的基金份额，称为C类基金份额。</w:t>
      </w:r>
      <w:r>
        <w:rPr>
          <w:rFonts w:ascii="宋体" w:hAnsi="宋体" w:hint="eastAsia"/>
          <w:bCs/>
          <w:sz w:val="24"/>
          <w:szCs w:val="24"/>
          <w:highlight w:val="white"/>
          <w:lang w:eastAsia="zh-CN"/>
        </w:rPr>
        <w:t>具体费率的设置及费率水平在招募说明书或相关公告中列示。</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申购基金份额时可自行选择基金份额类别。本基金不同基金份额类别之间的转换规定请见招募说明书或相关公告。</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9C565C">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78" w:name="_Toc27189"/>
      <w:bookmarkStart w:id="79" w:name="_Toc29948"/>
      <w:bookmarkStart w:id="80" w:name="_Toc7151"/>
      <w:bookmarkStart w:id="81" w:name="_Toc3266"/>
      <w:bookmarkStart w:id="82" w:name="_Toc27226"/>
      <w:bookmarkStart w:id="83" w:name="_Toc24682"/>
      <w:bookmarkStart w:id="84" w:name="_Toc22074"/>
      <w:bookmarkStart w:id="85" w:name="_Toc16265"/>
      <w:bookmarkStart w:id="86" w:name="_Toc6714"/>
      <w:bookmarkStart w:id="87" w:name="_Toc15203"/>
      <w:bookmarkStart w:id="88" w:name="_Toc446339242"/>
      <w:bookmarkStart w:id="89" w:name="_Toc90742688"/>
      <w:bookmarkStart w:id="90" w:name="_Toc6327209"/>
      <w:bookmarkStart w:id="91" w:name="_Toc90742321"/>
      <w:bookmarkStart w:id="92" w:name="_Toc90742390"/>
      <w:bookmarkStart w:id="93" w:name="_Toc29784"/>
      <w:r>
        <w:rPr>
          <w:rFonts w:hAnsi="宋体" w:hint="eastAsia"/>
          <w:color w:val="auto"/>
          <w:sz w:val="30"/>
          <w:highlight w:val="white"/>
          <w:lang w:eastAsia="zh-CN"/>
        </w:rPr>
        <w:t>第四部分 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9C565C">
      <w:pPr>
        <w:spacing w:line="360" w:lineRule="auto"/>
        <w:ind w:firstLine="42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9C565C">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的认购费率由基金管理人决定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4" w:name="OLE_LINK1"/>
      <w:r>
        <w:rPr>
          <w:rFonts w:ascii="宋体" w:hAnsi="宋体" w:hint="eastAsia"/>
          <w:sz w:val="24"/>
          <w:szCs w:val="24"/>
          <w:highlight w:val="white"/>
          <w:lang w:eastAsia="zh-CN"/>
        </w:rPr>
        <w:t>的计算</w:t>
      </w:r>
      <w:bookmarkEnd w:id="94"/>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位以后的部分四舍五入，由此误差产生的收益或损失由基金财产承担。</w:t>
      </w: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、投资人认购时，需按销售机构规定的方式全额缴款。</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、基金管理人可以对本基金的募集规模下限、募集规模上限进行限制，具体限制和处理方法请参看招募说明书或相关公告。</w:t>
      </w: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p>
    <w:p w:rsidR="009C565C">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5" w:name="_Toc4741"/>
      <w:bookmarkStart w:id="96" w:name="_Toc21988"/>
      <w:bookmarkStart w:id="97" w:name="_Toc141703885"/>
      <w:bookmarkStart w:id="98" w:name="_Toc17912"/>
      <w:bookmarkStart w:id="99" w:name="_Toc14893"/>
      <w:bookmarkStart w:id="100" w:name="_Toc139991735"/>
      <w:bookmarkStart w:id="101" w:name="_Toc18797"/>
      <w:bookmarkStart w:id="102" w:name="_Toc446339243"/>
      <w:bookmarkStart w:id="103" w:name="_Toc6327210"/>
      <w:bookmarkStart w:id="104" w:name="_Toc6559"/>
      <w:bookmarkStart w:id="105" w:name="_Toc7848"/>
      <w:bookmarkStart w:id="106" w:name="_Toc26986"/>
      <w:bookmarkStart w:id="107" w:name="_Toc18526"/>
      <w:bookmarkStart w:id="108" w:name="_Toc1823"/>
      <w:bookmarkStart w:id="109" w:name="_Toc18329"/>
      <w:r>
        <w:rPr>
          <w:rFonts w:hAnsi="宋体" w:hint="eastAsia"/>
          <w:color w:val="auto"/>
          <w:sz w:val="30"/>
          <w:highlight w:val="white"/>
          <w:lang w:eastAsia="zh-CN"/>
        </w:rPr>
        <w:t>第五部分 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9C565C">
      <w:pPr>
        <w:spacing w:line="360" w:lineRule="auto"/>
        <w:ind w:firstLine="540"/>
        <w:rPr>
          <w:rFonts w:ascii="宋体" w:hAnsi="宋体"/>
          <w:sz w:val="24"/>
          <w:szCs w:val="24"/>
          <w:lang w:eastAsia="zh-CN"/>
        </w:rPr>
      </w:pPr>
      <w:r>
        <w:rPr>
          <w:rFonts w:ascii="宋体" w:hAnsi="宋体"/>
          <w:sz w:val="24"/>
          <w:szCs w:val="24"/>
          <w:highlight w:val="white"/>
          <w:lang w:eastAsia="zh-CN"/>
        </w:rPr>
        <w:t>一、基金备案的条件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在基金募集份额总额不少于2亿份，基金募集金额不少于2亿元人民币且基金认购人数不少于200人的条件下，</w:t>
      </w:r>
      <w:r>
        <w:rPr>
          <w:rFonts w:ascii="宋体" w:hAnsi="宋体"/>
          <w:sz w:val="24"/>
          <w:szCs w:val="24"/>
          <w:highlight w:val="white"/>
          <w:lang w:eastAsia="zh-CN"/>
        </w:rPr>
        <w:t>基金募集期届满或基金管理人依据法律法规及招募说明书可以决定停止基金发售，并在10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9C565C">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日内返还投资者已缴纳的款项，并加计银行同期活期存款利息；</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9C565C">
      <w:pPr>
        <w:spacing w:line="360" w:lineRule="auto"/>
        <w:ind w:firstLine="480"/>
        <w:rPr>
          <w:rFonts w:ascii="宋体" w:hAnsi="宋体"/>
          <w:sz w:val="24"/>
          <w:szCs w:val="24"/>
          <w:lang w:eastAsia="zh-CN"/>
        </w:rPr>
      </w:pPr>
      <w:r>
        <w:rPr>
          <w:rFonts w:ascii="宋体" w:hAnsi="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9C565C">
      <w:pPr>
        <w:spacing w:line="360" w:lineRule="auto"/>
        <w:ind w:firstLine="480"/>
        <w:rPr>
          <w:rFonts w:ascii="宋体" w:hAnsi="宋体"/>
          <w:sz w:val="24"/>
          <w:szCs w:val="24"/>
          <w:lang w:eastAsia="zh-CN"/>
        </w:rPr>
      </w:pPr>
    </w:p>
    <w:p w:rsidR="009C565C">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0" w:name="_Toc446339244"/>
      <w:bookmarkStart w:id="111" w:name="_Toc23261"/>
      <w:bookmarkStart w:id="112" w:name="_Toc6327211"/>
      <w:bookmarkStart w:id="113" w:name="_Toc17244"/>
      <w:bookmarkStart w:id="114" w:name="_Toc20733"/>
      <w:bookmarkStart w:id="115" w:name="_Toc1427"/>
      <w:bookmarkStart w:id="116" w:name="_Toc48649707"/>
      <w:bookmarkStart w:id="117" w:name="_Toc7920"/>
      <w:bookmarkStart w:id="118" w:name="_Toc11081"/>
      <w:bookmarkStart w:id="119" w:name="_Toc123102453"/>
      <w:bookmarkStart w:id="120" w:name="_Toc4003"/>
      <w:bookmarkStart w:id="121" w:name="_Toc1270"/>
      <w:bookmarkStart w:id="122" w:name="_Toc10463"/>
      <w:bookmarkStart w:id="123" w:name="_Toc141703886"/>
      <w:bookmarkStart w:id="124" w:name="_Toc139991736"/>
      <w:bookmarkStart w:id="125" w:name="_Toc98560352"/>
      <w:bookmarkStart w:id="126" w:name="_Toc23822"/>
      <w:bookmarkStart w:id="127" w:name="_Toc123112234"/>
      <w:bookmarkStart w:id="128" w:name="_Toc123051452"/>
      <w:bookmarkStart w:id="129" w:name="_Toc610"/>
      <w:bookmarkStart w:id="130" w:name="_Toc79392606"/>
      <w:r>
        <w:rPr>
          <w:rFonts w:hAnsi="宋体" w:hint="eastAsia"/>
          <w:color w:val="auto"/>
          <w:sz w:val="30"/>
          <w:highlight w:val="white"/>
          <w:lang w:eastAsia="zh-CN"/>
        </w:rPr>
        <w:t>第六部分 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9C565C">
      <w:pPr>
        <w:spacing w:line="360" w:lineRule="auto"/>
        <w:ind w:firstLine="540"/>
        <w:rPr>
          <w:rFonts w:ascii="宋体" w:hAnsi="宋体"/>
          <w:bCs/>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本基金不同类别份额的申购、赎回的销售机构可能不同，具体详见基金管理人网站公示。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9C565C">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hint="eastAsia"/>
          <w:sz w:val="24"/>
          <w:szCs w:val="24"/>
          <w:highlight w:val="white"/>
          <w:lang w:eastAsia="zh-CN"/>
        </w:rPr>
        <w:t>申购和赎回），但基金管理人根据法律法规、中国证监会的要求或本基金合同的规定公告暂停申购、赎回时除外。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三个月</w:t>
      </w:r>
      <w:r>
        <w:rPr>
          <w:rFonts w:ascii="宋体" w:hAnsi="宋体" w:hint="eastAsia"/>
          <w:sz w:val="24"/>
          <w:szCs w:val="24"/>
          <w:highlight w:val="white"/>
          <w:lang w:eastAsia="zh-CN"/>
        </w:rPr>
        <w:t>开始办理赎回，具体业务办理时间在赎回开始公告中规定。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赎回价格以申请当日收市后计算的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基金份额净值为基准进行计算</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投资人必须根据销售机构规定的程序，在开放日的具体业务办理时间内提出申购或赎回的申请。</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9C565C">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w:t>
      </w:r>
      <w:r>
        <w:rPr>
          <w:rFonts w:ascii="宋体" w:hAnsi="宋体"/>
          <w:sz w:val="24"/>
          <w:szCs w:val="24"/>
          <w:highlight w:val="white"/>
          <w:lang w:eastAsia="zh-CN"/>
        </w:rPr>
        <w:t>T+</w:t>
      </w:r>
      <w:r>
        <w:rPr>
          <w:rFonts w:ascii="宋体" w:hAnsi="宋体" w:hint="eastAsia"/>
          <w:sz w:val="24"/>
          <w:szCs w:val="24"/>
          <w:highlight w:val="white"/>
          <w:lang w:eastAsia="zh-CN"/>
        </w:rPr>
        <w:t>1日内对该交易的有效性进行确认。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，具体规定请参见招募说明书或相关公告。</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的情况下，调整上述规定申购金额和赎回份额的数量限制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1" w:name="OLE_LINK26"/>
      <w:bookmarkStart w:id="132" w:name="OLE_LINK27"/>
      <w:r>
        <w:rPr>
          <w:rFonts w:ascii="宋体" w:hAnsi="宋体" w:hint="eastAsia"/>
          <w:sz w:val="24"/>
          <w:szCs w:val="24"/>
          <w:highlight w:val="white"/>
          <w:lang w:eastAsia="zh-CN"/>
        </w:rPr>
        <w:t>申购和赎回的价格、费用及其用途</w:t>
      </w:r>
      <w:bookmarkEnd w:id="131"/>
      <w:bookmarkEnd w:id="132"/>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、赎回金额的计算及处理方式：</w:t>
      </w:r>
      <w:r>
        <w:rPr>
          <w:rFonts w:ascii="宋体" w:hAnsi="宋体"/>
          <w:bCs/>
          <w:sz w:val="24"/>
          <w:szCs w:val="24"/>
          <w:highlight w:val="white"/>
          <w:lang w:eastAsia="zh-CN"/>
        </w:rPr>
        <w:t>本基金赎回金额的计算详见《招募说明书》。</w:t>
      </w:r>
      <w:r>
        <w:rPr>
          <w:rFonts w:ascii="宋体" w:hAnsi="宋体" w:hint="eastAsia"/>
          <w:sz w:val="24"/>
          <w:szCs w:val="24"/>
          <w:highlight w:val="white"/>
          <w:lang w:eastAsia="zh-CN"/>
        </w:rPr>
        <w:t>本基金的赎回费率由基金管理人决定，并在招募说明书中列示。</w:t>
      </w:r>
      <w:r>
        <w:rPr>
          <w:rFonts w:ascii="宋体" w:hAnsi="宋体"/>
          <w:bCs/>
          <w:sz w:val="24"/>
          <w:szCs w:val="24"/>
          <w:highlight w:val="white"/>
          <w:lang w:eastAsia="zh-CN"/>
        </w:rPr>
        <w:t>赎回金额为按实际确认的有效赎回份额乘以当日</w:t>
      </w:r>
      <w:r>
        <w:rPr>
          <w:rFonts w:ascii="宋体" w:hAnsi="宋体" w:hint="eastAsia"/>
          <w:bCs/>
          <w:sz w:val="24"/>
          <w:szCs w:val="24"/>
          <w:highlight w:val="white"/>
          <w:lang w:eastAsia="zh-CN"/>
        </w:rPr>
        <w:t>该类基金份额的</w:t>
      </w:r>
      <w:r>
        <w:rPr>
          <w:rFonts w:ascii="宋体" w:hAnsi="宋体"/>
          <w:bCs/>
          <w:sz w:val="24"/>
          <w:szCs w:val="24"/>
          <w:highlight w:val="white"/>
          <w:lang w:eastAsia="zh-CN"/>
        </w:rPr>
        <w:t>基金份额净值并扣除相应的费用，</w:t>
      </w:r>
      <w:r w:rsidR="00EE3E69">
        <w:rPr>
          <w:rFonts w:ascii="宋体" w:hAnsi="宋体" w:cs="宋体"/>
          <w:color w:val="000000"/>
          <w:sz w:val="24"/>
          <w:highlight w:val="white"/>
          <w:lang w:eastAsia="zh-CN"/>
        </w:rPr>
        <w:t>再加上返还</w:t>
      </w:r>
      <w:r w:rsidR="00EE3E69">
        <w:rPr>
          <w:rFonts w:ascii="宋体" w:hAnsi="宋体" w:cs="宋体" w:hint="eastAsia"/>
          <w:color w:val="000000"/>
          <w:sz w:val="24"/>
          <w:highlight w:val="white"/>
          <w:lang w:eastAsia="zh-CN"/>
        </w:rPr>
        <w:t>的销售服务费（如有），</w:t>
      </w:r>
      <w:r>
        <w:rPr>
          <w:rFonts w:ascii="宋体" w:hAnsi="宋体"/>
          <w:bCs/>
          <w:sz w:val="24"/>
          <w:szCs w:val="24"/>
          <w:highlight w:val="white"/>
          <w:lang w:eastAsia="zh-CN"/>
        </w:rPr>
        <w:t>赎回金额单位为</w:t>
      </w:r>
      <w:r>
        <w:rPr>
          <w:rFonts w:ascii="宋体" w:hAnsi="宋体" w:hint="eastAsia"/>
          <w:bCs/>
          <w:sz w:val="24"/>
          <w:szCs w:val="24"/>
          <w:highlight w:val="white"/>
          <w:lang w:eastAsia="zh-CN"/>
        </w:rPr>
        <w:t>元。</w:t>
      </w:r>
      <w:r>
        <w:rPr>
          <w:rFonts w:ascii="宋体" w:hAnsi="宋体" w:hint="eastAsia"/>
          <w:sz w:val="24"/>
          <w:szCs w:val="24"/>
          <w:highlight w:val="white"/>
          <w:lang w:eastAsia="zh-CN"/>
        </w:rPr>
        <w:t>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A类基金份额</w:t>
      </w:r>
      <w:r w:rsidRPr="00494D17" w:rsidR="00EE3E69">
        <w:rPr>
          <w:rFonts w:ascii="宋体" w:hAnsi="宋体" w:hint="eastAsia"/>
          <w:bCs/>
          <w:sz w:val="24"/>
          <w:szCs w:val="24"/>
          <w:highlight w:val="white"/>
          <w:lang w:eastAsia="zh-CN"/>
        </w:rPr>
        <w:t>按规定收取</w:t>
      </w:r>
      <w:r>
        <w:rPr>
          <w:rFonts w:ascii="宋体" w:hAnsi="宋体" w:hint="eastAsia"/>
          <w:bCs/>
          <w:sz w:val="24"/>
          <w:szCs w:val="24"/>
          <w:highlight w:val="white"/>
          <w:lang w:eastAsia="zh-CN"/>
        </w:rPr>
        <w:t>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，不列入基金财产。C类基金份额不收取申购费。</w:t>
      </w:r>
    </w:p>
    <w:p w:rsidR="009C565C">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、赎回费用由赎回基金份额的基金份额持有人承担，在基金份额持有人赎回基金份额时收取</w:t>
      </w:r>
      <w:r w:rsidR="00EE3E69">
        <w:rPr>
          <w:rFonts w:ascii="宋体" w:hAnsi="宋体" w:hint="eastAsia"/>
          <w:bCs/>
          <w:sz w:val="24"/>
          <w:szCs w:val="24"/>
          <w:highlight w:val="white"/>
          <w:lang w:eastAsia="zh-CN"/>
        </w:rPr>
        <w:t>，</w:t>
      </w:r>
      <w:r w:rsidR="00EE3E69">
        <w:rPr>
          <w:rFonts w:ascii="宋体" w:hAnsi="宋体"/>
          <w:bCs/>
          <w:sz w:val="24"/>
          <w:szCs w:val="24"/>
          <w:highlight w:val="white"/>
          <w:lang w:eastAsia="zh-CN"/>
        </w:rPr>
        <w:t>并全额计入基金财产</w:t>
      </w:r>
      <w:r>
        <w:rPr>
          <w:rFonts w:ascii="宋体" w:hAnsi="宋体" w:hint="eastAsia"/>
          <w:sz w:val="24"/>
          <w:szCs w:val="24"/>
          <w:highlight w:val="white"/>
          <w:lang w:eastAsia="zh-CN"/>
        </w:rPr>
        <w:t>。</w:t>
      </w:r>
      <w:r>
        <w:rPr>
          <w:rFonts w:ascii="宋体" w:hAnsi="宋体"/>
          <w:bCs/>
          <w:sz w:val="24"/>
          <w:szCs w:val="24"/>
          <w:highlight w:val="white"/>
          <w:lang w:eastAsia="zh-CN"/>
        </w:rPr>
        <w:t>对持续持有期少于7日的投资者收取不低于1.5%的赎回费</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8</w:t>
      </w:r>
      <w:r>
        <w:rPr>
          <w:rFonts w:ascii="宋体" w:hAnsi="宋体"/>
          <w:sz w:val="24"/>
          <w:szCs w:val="24"/>
          <w:highlight w:val="white"/>
          <w:lang w:eastAsia="zh-CN"/>
        </w:rPr>
        <w:t>、</w:t>
      </w:r>
      <w:r>
        <w:rPr>
          <w:rFonts w:ascii="宋体" w:hAnsi="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、因不可抗力导致基金无法正常运作</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9C565C">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7</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11、法律法规规定或中国证监会认定的其他情形。</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3" w:name="_Hlt70481650"/>
      <w:bookmarkEnd w:id="133"/>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八、暂停赎回或延缓支付赎回款项的情形</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4" w:name="_Hlt152500890"/>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8、基金管理人、基金托管人、登记机构、销售机构、支付结算机构等因异常情况导致基金销售系统、基金销售支付结算系统、基金登记系统、基金会计系统等无法正常运行。</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、本基金的资产组合中的重要部分发生暂停交易或其他重大事件，继续接受赎回可能会影响或损害基金份额持有人利益时。</w:t>
      </w:r>
      <w:bookmarkEnd w:id="134"/>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、法律法规规定或中国证监会认定的其他情形。</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若本基金发生巨额赎回且单个基金份额持有人的赎回申请超过上一开放日基金总份额1</w:t>
      </w:r>
      <w:r>
        <w:rPr>
          <w:rFonts w:ascii="宋体" w:hAnsi="宋体"/>
          <w:bCs/>
          <w:sz w:val="24"/>
          <w:szCs w:val="24"/>
          <w:highlight w:val="white"/>
          <w:lang w:eastAsia="zh-CN"/>
        </w:rPr>
        <w:t>0%</w:t>
      </w:r>
      <w:r>
        <w:rPr>
          <w:rFonts w:ascii="宋体" w:hAnsi="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（1）全额赎回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（2）部分延期赎回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当发生上述巨额赎回并延期办理时，基金管理人应当通过邮寄、传真或者招募说明书规定的其他方式在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、发生上述暂停申购或赎回情况的，基金管理人应在规定期限内在规定媒介上刊登暂停公告。</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十二、基金份额的转让</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十三、基金的非交易过户</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基金份额持有人可办理已持有基金份额在不同销售机构之间的转托管，基金销售机构可以按照规定的标准收取转托管费。</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9C565C">
      <w:pPr>
        <w:spacing w:line="360" w:lineRule="auto"/>
        <w:ind w:firstLine="480"/>
        <w:rPr>
          <w:rFonts w:ascii="宋体" w:hAnsi="宋体"/>
          <w:bCs/>
          <w:sz w:val="24"/>
          <w:szCs w:val="24"/>
          <w:lang w:eastAsia="zh-CN"/>
        </w:rPr>
      </w:pPr>
    </w:p>
    <w:p w:rsidR="009C565C">
      <w:pPr>
        <w:pStyle w:val="11"/>
        <w:spacing w:before="0" w:after="0"/>
        <w:jc w:val="center"/>
        <w:rPr>
          <w:rFonts w:hAnsi="宋体"/>
          <w:color w:val="auto"/>
          <w:sz w:val="30"/>
          <w:lang w:eastAsia="zh-CN"/>
        </w:rPr>
      </w:pPr>
      <w:r>
        <w:rPr>
          <w:rFonts w:hAnsi="宋体"/>
          <w:szCs w:val="24"/>
          <w:highlight w:val="white"/>
          <w:lang w:eastAsia="zh-CN"/>
        </w:rPr>
        <w:br w:type="page"/>
      </w:r>
      <w:bookmarkStart w:id="135" w:name="_Toc31653"/>
      <w:bookmarkStart w:id="136" w:name="_Toc446339245"/>
      <w:bookmarkStart w:id="137" w:name="_Toc12245"/>
      <w:bookmarkStart w:id="138" w:name="_Toc6405"/>
      <w:bookmarkStart w:id="139" w:name="_Toc139991737"/>
      <w:bookmarkStart w:id="140" w:name="_Toc14835"/>
      <w:bookmarkStart w:id="141" w:name="_Toc98560353"/>
      <w:bookmarkStart w:id="142" w:name="_Toc123102454"/>
      <w:bookmarkStart w:id="143" w:name="_Toc15143"/>
      <w:bookmarkStart w:id="144" w:name="_Toc26207"/>
      <w:bookmarkStart w:id="145" w:name="_Toc31235"/>
      <w:bookmarkStart w:id="146" w:name="_Toc29251"/>
      <w:bookmarkStart w:id="147" w:name="_Toc123112235"/>
      <w:bookmarkStart w:id="148" w:name="_Toc3601"/>
      <w:bookmarkStart w:id="149" w:name="_Toc141703887"/>
      <w:bookmarkStart w:id="150" w:name="_Toc31644"/>
      <w:bookmarkStart w:id="151" w:name="_Toc16859"/>
      <w:bookmarkStart w:id="152" w:name="_Toc123051453"/>
      <w:bookmarkStart w:id="153" w:name="_Toc6327212"/>
      <w:r>
        <w:rPr>
          <w:rFonts w:hAnsi="宋体" w:hint="eastAsia"/>
          <w:color w:val="auto"/>
          <w:sz w:val="30"/>
          <w:highlight w:val="white"/>
          <w:lang w:eastAsia="zh-CN"/>
        </w:rPr>
        <w:t>第七部分 基金合同当事人及权利义务</w:t>
      </w:r>
      <w:bookmarkStart w:id="154" w:name="_Hlt55355235"/>
      <w:bookmarkStart w:id="155" w:name="_Toc523711668"/>
      <w:bookmarkStart w:id="156" w:name="_Toc15118234"/>
      <w:bookmarkStart w:id="157" w:name="_Toc57530239"/>
      <w:bookmarkStart w:id="158" w:name="_Toc793925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9C565C">
      <w:pPr>
        <w:spacing w:line="360" w:lineRule="auto"/>
        <w:ind w:firstLine="480"/>
        <w:rPr>
          <w:rFonts w:ascii="宋体" w:hAnsi="宋体"/>
          <w:sz w:val="24"/>
          <w:szCs w:val="24"/>
          <w:lang w:eastAsia="zh-CN"/>
        </w:rPr>
      </w:pPr>
    </w:p>
    <w:p w:rsidR="009C565C">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5"/>
      <w:r>
        <w:rPr>
          <w:rFonts w:ascii="宋体" w:hAnsi="宋体" w:hint="eastAsia"/>
          <w:sz w:val="24"/>
          <w:szCs w:val="24"/>
          <w:highlight w:val="white"/>
        </w:rPr>
        <w:t>管理人</w:t>
      </w:r>
      <w:bookmarkEnd w:id="156"/>
      <w:bookmarkEnd w:id="157"/>
      <w:bookmarkEnd w:id="158"/>
    </w:p>
    <w:p w:rsidR="009C565C">
      <w:pPr>
        <w:spacing w:line="360" w:lineRule="auto"/>
        <w:ind w:left="480"/>
        <w:rPr>
          <w:rFonts w:ascii="宋体" w:hAnsi="宋体"/>
          <w:sz w:val="24"/>
          <w:szCs w:val="24"/>
        </w:rPr>
      </w:pPr>
      <w:bookmarkStart w:id="159" w:name="_Toc15118235"/>
      <w:r>
        <w:rPr>
          <w:rFonts w:ascii="宋体" w:hAnsi="宋体"/>
          <w:bCs/>
          <w:sz w:val="24"/>
          <w:szCs w:val="24"/>
          <w:highlight w:val="white"/>
        </w:rPr>
        <w:t>（一）基金管理人简况</w:t>
      </w:r>
      <w:bookmarkEnd w:id="159"/>
    </w:p>
    <w:p w:rsidR="009C565C">
      <w:pPr>
        <w:spacing w:line="360" w:lineRule="auto"/>
        <w:ind w:firstLine="480"/>
        <w:rPr>
          <w:rFonts w:ascii="宋体" w:hAnsi="宋体"/>
          <w:bCs/>
          <w:sz w:val="24"/>
          <w:szCs w:val="24"/>
          <w:lang w:eastAsia="zh-CN"/>
        </w:rPr>
      </w:pPr>
      <w:bookmarkStart w:id="160" w:name="_Toc15118236"/>
      <w:bookmarkStart w:id="161" w:name="_Toc15118237"/>
      <w:r>
        <w:rPr>
          <w:rFonts w:ascii="宋体" w:hAnsi="宋体" w:hint="eastAsia"/>
          <w:bCs/>
          <w:sz w:val="24"/>
          <w:szCs w:val="24"/>
          <w:highlight w:val="white"/>
          <w:lang w:eastAsia="zh-CN"/>
        </w:rPr>
        <w:t>名称：易方达基金管理有限公司</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广东省珠海市横琴新区荣粤道188号6层</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注册资本：13,244.2万元人民币</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0"/>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1"/>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）依照《基金合同》收取基金管理费以及法律法规规定或中国证监会批准的其他费用；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2" w:name="_Hlt88896155"/>
      <w:r>
        <w:rPr>
          <w:rFonts w:ascii="宋体" w:hAnsi="宋体" w:hint="eastAsia"/>
          <w:sz w:val="24"/>
          <w:szCs w:val="24"/>
          <w:highlight w:val="white"/>
          <w:lang w:eastAsia="zh-CN"/>
        </w:rPr>
        <w:t>按照规定召集</w:t>
      </w:r>
      <w:bookmarkEnd w:id="162"/>
      <w:r>
        <w:rPr>
          <w:rFonts w:ascii="宋体" w:hAnsi="宋体" w:hint="eastAsia"/>
          <w:sz w:val="24"/>
          <w:szCs w:val="24"/>
          <w:highlight w:val="white"/>
          <w:lang w:eastAsia="zh-CN"/>
        </w:rPr>
        <w:t>基金份额持有人大会；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）选择、更换基金销售机构，对基金销售机构的相关行为进行监督和处理；</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）在法律法规允许的前提下，为基金的利益依法为基金进行融资；</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9C565C">
      <w:pPr>
        <w:pBdr>
          <w:top w:val="nil"/>
          <w:left w:val="nil"/>
          <w:bottom w:val="nil"/>
          <w:right w:val="nil"/>
        </w:pBdr>
        <w:spacing w:line="439" w:lineRule="atLeast"/>
        <w:ind w:firstLine="480"/>
        <w:rPr>
          <w:lang w:eastAsia="zh-CN"/>
        </w:rPr>
      </w:pPr>
      <w:r>
        <w:rPr>
          <w:rFonts w:ascii="宋体" w:hAnsi="宋体" w:cs="宋体"/>
          <w:color w:val="000000"/>
          <w:sz w:val="24"/>
          <w:highlight w:val="white"/>
          <w:lang w:eastAsia="zh-CN"/>
        </w:rPr>
        <w:t>（18）委托第三方机构办理本基金的交易、清算、估值、结算等业务；</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9C565C">
      <w:pPr>
        <w:spacing w:line="360" w:lineRule="auto"/>
        <w:ind w:firstLine="480"/>
        <w:rPr>
          <w:rFonts w:ascii="宋体" w:hAnsi="宋体"/>
          <w:sz w:val="24"/>
          <w:szCs w:val="24"/>
          <w:lang w:eastAsia="zh-CN"/>
        </w:rPr>
      </w:pPr>
      <w:bookmarkStart w:id="163"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4" w:name="_Hlt88897298"/>
      <w:bookmarkEnd w:id="164"/>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）进行基金会计核算并编制基金财务会计报告；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）组织并参加基金财产清算小组，参与基金财产的保管、清理、估价、变现和分配；</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）面临解散、依法被撤销或者被依法宣告破产时，及时报告中国证监会并通知基金托管人；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5" w:name="_Hlt88823209"/>
      <w:bookmarkEnd w:id="165"/>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）执行生效的基金份额持有人大会的决议；</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（27）法律法规及中国证监会规定的和《基金合同》约定的其他义务。</w:t>
      </w:r>
    </w:p>
    <w:p w:rsidR="009C565C">
      <w:pPr>
        <w:spacing w:line="360" w:lineRule="auto"/>
        <w:ind w:firstLine="480"/>
        <w:rPr>
          <w:rFonts w:ascii="宋体" w:hAnsi="宋体"/>
          <w:sz w:val="24"/>
          <w:szCs w:val="24"/>
          <w:lang w:eastAsia="zh-CN"/>
        </w:rPr>
      </w:pPr>
      <w:bookmarkStart w:id="166" w:name="_Toc15118238"/>
      <w:bookmarkStart w:id="167" w:name="_Toc57530240"/>
      <w:bookmarkStart w:id="168" w:name="_Toc79392581"/>
      <w:r>
        <w:rPr>
          <w:rFonts w:ascii="宋体" w:hAnsi="宋体" w:hint="eastAsia"/>
          <w:sz w:val="24"/>
          <w:szCs w:val="24"/>
          <w:highlight w:val="white"/>
          <w:lang w:eastAsia="zh-CN"/>
        </w:rPr>
        <w:t>二、基金托管人</w:t>
      </w:r>
      <w:bookmarkEnd w:id="163"/>
      <w:bookmarkEnd w:id="166"/>
      <w:bookmarkEnd w:id="167"/>
      <w:bookmarkEnd w:id="168"/>
    </w:p>
    <w:p w:rsidR="009C565C">
      <w:pPr>
        <w:spacing w:line="360" w:lineRule="auto"/>
        <w:ind w:firstLine="480"/>
        <w:rPr>
          <w:rFonts w:ascii="宋体" w:hAnsi="宋体"/>
          <w:sz w:val="24"/>
          <w:szCs w:val="24"/>
          <w:lang w:eastAsia="zh-CN"/>
        </w:rPr>
      </w:pPr>
      <w:bookmarkStart w:id="169"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69"/>
    </w:p>
    <w:p w:rsidR="009C565C">
      <w:pPr>
        <w:spacing w:line="360" w:lineRule="auto"/>
        <w:ind w:firstLine="480"/>
        <w:rPr>
          <w:rFonts w:ascii="宋体" w:hAnsi="宋体"/>
          <w:sz w:val="24"/>
          <w:szCs w:val="24"/>
          <w:lang w:eastAsia="zh-CN"/>
        </w:rPr>
      </w:pPr>
      <w:bookmarkStart w:id="170" w:name="_Toc15118240"/>
      <w:r>
        <w:rPr>
          <w:rFonts w:ascii="宋体" w:hAnsi="宋体" w:hint="eastAsia"/>
          <w:sz w:val="24"/>
          <w:szCs w:val="24"/>
          <w:highlight w:val="white"/>
          <w:lang w:eastAsia="zh-CN"/>
        </w:rPr>
        <w:t>名称： 中国银行股份有限公司</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住所： 北京市西城区复兴门内大街1号</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法定代表人：葛海蛟</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1983年10月31日</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股份有限公司</w:t>
      </w:r>
    </w:p>
    <w:p w:rsidR="001C05FF">
      <w:pPr>
        <w:spacing w:line="360" w:lineRule="auto"/>
        <w:ind w:firstLine="480"/>
        <w:rPr>
          <w:rFonts w:ascii="宋体" w:hAnsi="宋体" w:cs="宋体"/>
          <w:szCs w:val="21"/>
          <w:lang w:eastAsia="zh-CN" w:bidi="ar"/>
        </w:rPr>
      </w:pPr>
      <w:r>
        <w:rPr>
          <w:rFonts w:ascii="宋体" w:hAnsi="宋体" w:hint="eastAsia"/>
          <w:sz w:val="24"/>
          <w:szCs w:val="24"/>
          <w:highlight w:val="white"/>
          <w:lang w:eastAsia="zh-CN"/>
        </w:rPr>
        <w:t>注册资本：</w:t>
      </w:r>
      <w:r w:rsidRPr="004B46DE">
        <w:rPr>
          <w:rFonts w:ascii="宋体" w:hAnsi="宋体" w:hint="eastAsia"/>
          <w:sz w:val="24"/>
          <w:szCs w:val="24"/>
          <w:highlight w:val="white"/>
          <w:lang w:eastAsia="zh-CN"/>
        </w:rPr>
        <w:t>人民币叁仟贰佰贰拾贰亿壹仟贰佰肆拾壹万壹仟捌佰壹拾肆元整</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存续期间：持续经营</w:t>
      </w:r>
    </w:p>
    <w:p w:rsidR="009C565C">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基金托管资格批文及文号：中国证监会证监基字【1998】24号</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0"/>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、根据《基金法》、《运作办法》及其他有关规定，基金托管人的权利包括但不限于：</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、为基金办理证券交易资金清算</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（6）在基金管理人更换时，提名新的基金管理人；</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、根据《基金法》、《运作办法》及其他有关规定，基金托管人的义务包括但不限于：</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）复核、审查基金管理人计算的基金资产净值、基金份额净值、基金份额申购、赎回价格；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9C565C">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bCs/>
          <w:sz w:val="24"/>
          <w:szCs w:val="24"/>
          <w:highlight w:val="white"/>
          <w:lang w:eastAsia="zh-CN"/>
        </w:rPr>
        <w:t>从基金管理人或其委托的登记机构处接收并保存基金份额持有人名册</w:t>
      </w:r>
      <w:r>
        <w:rPr>
          <w:rFonts w:ascii="宋体" w:hAnsi="宋体" w:hint="eastAsia"/>
          <w:color w:val="000000"/>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1" w:name="_Hlt88825668"/>
      <w:bookmarkEnd w:id="171"/>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2" w:name="_Toc523711670"/>
      <w:r>
        <w:rPr>
          <w:rFonts w:ascii="宋体" w:hAnsi="宋体"/>
          <w:bCs/>
          <w:sz w:val="24"/>
          <w:szCs w:val="24"/>
          <w:highlight w:val="white"/>
          <w:lang w:eastAsia="zh-CN"/>
        </w:rPr>
        <w:t>法律法规及中国证监会规定的和《基金合同》约定的其他义务。</w:t>
      </w:r>
      <w:bookmarkEnd w:id="172"/>
    </w:p>
    <w:p w:rsidR="009C565C">
      <w:pPr>
        <w:spacing w:line="360" w:lineRule="auto"/>
        <w:ind w:firstLine="480"/>
        <w:rPr>
          <w:rFonts w:ascii="宋体" w:hAnsi="宋体"/>
          <w:sz w:val="24"/>
          <w:szCs w:val="24"/>
          <w:lang w:eastAsia="zh-CN"/>
        </w:rPr>
      </w:pPr>
      <w:bookmarkStart w:id="173" w:name="_Toc79392582"/>
      <w:r>
        <w:rPr>
          <w:rFonts w:ascii="宋体" w:hAnsi="宋体" w:hint="eastAsia"/>
          <w:sz w:val="24"/>
          <w:szCs w:val="24"/>
          <w:highlight w:val="white"/>
          <w:lang w:eastAsia="zh-CN"/>
        </w:rPr>
        <w:t>三、基金份额持有人</w:t>
      </w:r>
      <w:bookmarkEnd w:id="173"/>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4" w:name="_Hlt88899909"/>
      <w:bookmarkEnd w:id="174"/>
      <w:r>
        <w:rPr>
          <w:rFonts w:ascii="宋体" w:hAnsi="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5" w:name="_Hlt88825574"/>
      <w:bookmarkEnd w:id="175"/>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9C565C">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9C565C">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）在其持有的基金份额范围内，承担基金亏损或者《基金合同》终止的有限责任；</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）法律法规及中国证监会规定的和《基金合同》约定的其他义务。</w:t>
      </w:r>
    </w:p>
    <w:p w:rsidR="009C565C">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6" w:name="_Toc10650"/>
      <w:bookmarkStart w:id="177" w:name="_Toc98560354"/>
      <w:bookmarkStart w:id="178" w:name="_Toc123102455"/>
      <w:bookmarkStart w:id="179" w:name="_Toc20768"/>
      <w:bookmarkStart w:id="180" w:name="_Toc123112236"/>
      <w:bookmarkStart w:id="181" w:name="_Toc25783"/>
      <w:bookmarkStart w:id="182" w:name="_Toc7058"/>
      <w:bookmarkStart w:id="183" w:name="_Toc3321"/>
      <w:bookmarkStart w:id="184" w:name="_Toc3771"/>
      <w:bookmarkStart w:id="185" w:name="_Toc141703888"/>
      <w:bookmarkStart w:id="186" w:name="_Toc79392583"/>
      <w:bookmarkStart w:id="187" w:name="_Toc18567"/>
      <w:bookmarkStart w:id="188" w:name="_Toc123051454"/>
      <w:bookmarkStart w:id="189" w:name="_Toc11030"/>
      <w:bookmarkStart w:id="190" w:name="_Toc9706"/>
      <w:bookmarkStart w:id="191" w:name="_Toc4559"/>
      <w:bookmarkStart w:id="192" w:name="_Toc6327213"/>
      <w:bookmarkStart w:id="193" w:name="_Toc6447"/>
      <w:bookmarkStart w:id="194" w:name="_Toc139991738"/>
      <w:bookmarkStart w:id="195" w:name="_Toc446339246"/>
      <w:r>
        <w:rPr>
          <w:rFonts w:hAnsi="宋体" w:hint="eastAsia"/>
          <w:color w:val="auto"/>
          <w:sz w:val="30"/>
          <w:highlight w:val="white"/>
          <w:lang w:eastAsia="zh-CN"/>
        </w:rPr>
        <w:t>第八部分 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9C565C">
      <w:pPr>
        <w:tabs>
          <w:tab w:val="left" w:pos="1080"/>
        </w:tabs>
        <w:spacing w:line="360" w:lineRule="auto"/>
        <w:ind w:left="1076" w:hanging="658"/>
        <w:rPr>
          <w:rFonts w:ascii="宋体" w:hAnsi="宋体"/>
          <w:sz w:val="24"/>
          <w:szCs w:val="24"/>
          <w:lang w:eastAsia="zh-CN"/>
        </w:rPr>
      </w:pPr>
    </w:p>
    <w:p w:rsidR="009C565C">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9C565C">
      <w:pPr>
        <w:spacing w:line="360" w:lineRule="auto"/>
        <w:ind w:firstLine="480"/>
        <w:rPr>
          <w:rFonts w:ascii="宋体" w:hAnsi="宋体"/>
          <w:sz w:val="24"/>
          <w:szCs w:val="24"/>
          <w:lang w:eastAsia="zh-CN"/>
        </w:rPr>
      </w:pPr>
      <w:bookmarkStart w:id="196" w:name="_Toc57530243"/>
      <w:bookmarkStart w:id="197" w:name="_Toc15641220"/>
      <w:bookmarkStart w:id="198" w:name="_Toc79392584"/>
      <w:r>
        <w:rPr>
          <w:rFonts w:ascii="宋体" w:hAnsi="宋体" w:hint="eastAsia"/>
          <w:sz w:val="24"/>
          <w:szCs w:val="24"/>
          <w:highlight w:val="white"/>
          <w:lang w:eastAsia="zh-CN"/>
        </w:rPr>
        <w:t>一、召开事由</w:t>
      </w:r>
      <w:bookmarkEnd w:id="196"/>
      <w:bookmarkEnd w:id="197"/>
      <w:bookmarkEnd w:id="198"/>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9C565C">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（2）法律法规要求增加的基金费用的收取；</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w:t>
      </w:r>
      <w:r>
        <w:rPr>
          <w:rFonts w:ascii="宋体" w:hAnsi="宋体" w:hint="eastAsia"/>
          <w:sz w:val="24"/>
          <w:szCs w:val="24"/>
          <w:highlight w:val="white"/>
          <w:lang w:eastAsia="zh-CN"/>
        </w:rPr>
        <w:t>收费方式</w:t>
      </w:r>
      <w:r w:rsidR="008914AE">
        <w:rPr>
          <w:rFonts w:ascii="宋体" w:hAnsi="宋体" w:hint="eastAsia"/>
          <w:bCs/>
          <w:sz w:val="24"/>
          <w:szCs w:val="24"/>
          <w:highlight w:val="white"/>
          <w:lang w:eastAsia="zh-CN"/>
        </w:rPr>
        <w:t>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）按照法律法规和《基金合同》规定不需召开基金份额持有人大会的其他情形。</w:t>
      </w:r>
    </w:p>
    <w:p w:rsidR="009C565C">
      <w:pPr>
        <w:spacing w:line="360" w:lineRule="auto"/>
        <w:ind w:firstLine="480"/>
        <w:rPr>
          <w:rFonts w:ascii="宋体" w:hAnsi="宋体"/>
          <w:sz w:val="24"/>
          <w:szCs w:val="24"/>
          <w:lang w:eastAsia="zh-CN"/>
        </w:rPr>
      </w:pPr>
      <w:bookmarkStart w:id="199" w:name="_Toc79392585"/>
      <w:bookmarkStart w:id="200" w:name="_Toc57530244"/>
      <w:bookmarkStart w:id="201" w:name="_Toc15641221"/>
      <w:r>
        <w:rPr>
          <w:rFonts w:ascii="宋体" w:hAnsi="宋体" w:hint="eastAsia"/>
          <w:sz w:val="24"/>
          <w:szCs w:val="24"/>
          <w:highlight w:val="white"/>
          <w:lang w:eastAsia="zh-CN"/>
        </w:rPr>
        <w:t>二、会议召集人及召集方式</w:t>
      </w:r>
      <w:bookmarkEnd w:id="199"/>
      <w:bookmarkEnd w:id="200"/>
      <w:bookmarkEnd w:id="201"/>
    </w:p>
    <w:p w:rsidR="009C565C">
      <w:pPr>
        <w:spacing w:line="360" w:lineRule="auto"/>
        <w:ind w:firstLine="480"/>
        <w:rPr>
          <w:rFonts w:ascii="宋体" w:hAnsi="宋体"/>
          <w:sz w:val="24"/>
          <w:szCs w:val="24"/>
          <w:lang w:eastAsia="zh-CN"/>
        </w:rPr>
      </w:pPr>
      <w:bookmarkStart w:id="202" w:name="_Toc15641222"/>
      <w:bookmarkStart w:id="203" w:name="_Toc57530245"/>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9C565C">
      <w:pPr>
        <w:spacing w:line="360" w:lineRule="auto"/>
        <w:ind w:firstLine="480"/>
        <w:rPr>
          <w:rFonts w:ascii="宋体" w:hAnsi="宋体"/>
          <w:sz w:val="24"/>
          <w:szCs w:val="24"/>
          <w:lang w:eastAsia="zh-CN"/>
        </w:rPr>
      </w:pPr>
      <w:bookmarkStart w:id="204" w:name="_Toc79392586"/>
      <w:r>
        <w:rPr>
          <w:rFonts w:ascii="宋体" w:hAnsi="宋体" w:hint="eastAsia"/>
          <w:sz w:val="24"/>
          <w:szCs w:val="24"/>
          <w:highlight w:val="white"/>
          <w:lang w:eastAsia="zh-CN"/>
        </w:rPr>
        <w:t>三、召开基金份额持有人大会的通知时间、通知内容、通知方式</w:t>
      </w:r>
      <w:bookmarkEnd w:id="202"/>
      <w:bookmarkEnd w:id="203"/>
      <w:bookmarkEnd w:id="204"/>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9C565C">
      <w:pPr>
        <w:spacing w:line="360" w:lineRule="auto"/>
        <w:ind w:firstLine="480"/>
        <w:rPr>
          <w:rFonts w:ascii="宋体" w:hAnsi="宋体"/>
          <w:sz w:val="24"/>
          <w:szCs w:val="24"/>
          <w:lang w:eastAsia="zh-CN"/>
        </w:rPr>
      </w:pPr>
      <w:bookmarkStart w:id="205" w:name="_Toc15641223"/>
      <w:bookmarkStart w:id="206" w:name="_Toc79392587"/>
      <w:bookmarkStart w:id="207" w:name="_Toc57530246"/>
      <w:r>
        <w:rPr>
          <w:rFonts w:ascii="宋体" w:hAnsi="宋体" w:hint="eastAsia"/>
          <w:sz w:val="24"/>
          <w:szCs w:val="24"/>
          <w:highlight w:val="white"/>
          <w:lang w:eastAsia="zh-CN"/>
        </w:rPr>
        <w:t>四、基金份额持有人出席会议的方式</w:t>
      </w:r>
      <w:bookmarkEnd w:id="205"/>
      <w:bookmarkEnd w:id="206"/>
      <w:bookmarkEnd w:id="207"/>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9C565C">
      <w:pPr>
        <w:spacing w:line="360" w:lineRule="auto"/>
        <w:ind w:firstLine="480"/>
        <w:rPr>
          <w:rFonts w:ascii="宋体" w:hAnsi="宋体"/>
          <w:sz w:val="24"/>
          <w:szCs w:val="24"/>
          <w:lang w:eastAsia="zh-CN"/>
        </w:rPr>
      </w:pPr>
      <w:bookmarkStart w:id="208" w:name="_Toc57530247"/>
      <w:bookmarkStart w:id="209" w:name="_Toc79392588"/>
      <w:bookmarkStart w:id="210" w:name="_Toc15641224"/>
      <w:r>
        <w:rPr>
          <w:rFonts w:ascii="宋体" w:hAnsi="宋体" w:hint="eastAsia"/>
          <w:sz w:val="24"/>
          <w:szCs w:val="24"/>
          <w:highlight w:val="white"/>
          <w:lang w:eastAsia="zh-CN"/>
        </w:rPr>
        <w:t>五、议事内容与程序</w:t>
      </w:r>
      <w:bookmarkEnd w:id="208"/>
      <w:bookmarkEnd w:id="209"/>
      <w:bookmarkEnd w:id="210"/>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9C565C">
      <w:pPr>
        <w:spacing w:line="360" w:lineRule="auto"/>
        <w:ind w:firstLine="480"/>
        <w:rPr>
          <w:rFonts w:ascii="宋体" w:hAnsi="宋体"/>
          <w:sz w:val="24"/>
          <w:szCs w:val="24"/>
          <w:lang w:eastAsia="zh-CN"/>
        </w:rPr>
      </w:pPr>
      <w:bookmarkStart w:id="211" w:name="_Toc57530248"/>
      <w:bookmarkStart w:id="212" w:name="_Toc79392589"/>
      <w:bookmarkStart w:id="213" w:name="_Toc15641225"/>
      <w:r>
        <w:rPr>
          <w:rFonts w:ascii="宋体" w:hAnsi="宋体" w:hint="eastAsia"/>
          <w:sz w:val="24"/>
          <w:szCs w:val="24"/>
          <w:highlight w:val="white"/>
          <w:lang w:eastAsia="zh-CN"/>
        </w:rPr>
        <w:t>六、表决</w:t>
      </w:r>
      <w:bookmarkEnd w:id="211"/>
      <w:bookmarkEnd w:id="212"/>
      <w:bookmarkEnd w:id="213"/>
    </w:p>
    <w:p w:rsidR="009C565C">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9C565C">
      <w:pPr>
        <w:spacing w:line="360" w:lineRule="auto"/>
        <w:ind w:firstLine="480"/>
        <w:rPr>
          <w:rFonts w:ascii="宋体" w:hAnsi="宋体"/>
          <w:sz w:val="24"/>
          <w:szCs w:val="24"/>
          <w:lang w:eastAsia="zh-CN"/>
        </w:rPr>
      </w:pPr>
      <w:bookmarkStart w:id="214" w:name="_Toc79392590"/>
      <w:bookmarkStart w:id="215" w:name="_Toc15641226"/>
      <w:bookmarkStart w:id="216" w:name="_Toc57530249"/>
      <w:r>
        <w:rPr>
          <w:rFonts w:ascii="宋体" w:hAnsi="宋体" w:hint="eastAsia"/>
          <w:sz w:val="24"/>
          <w:szCs w:val="24"/>
          <w:highlight w:val="white"/>
          <w:lang w:eastAsia="zh-CN"/>
        </w:rPr>
        <w:t>七、计票</w:t>
      </w:r>
      <w:bookmarkEnd w:id="214"/>
      <w:bookmarkEnd w:id="215"/>
      <w:bookmarkEnd w:id="216"/>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）监票人应当在基金份额持有人表决后立即进行清点并由大会主持人当场公布计票结果。</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79392591"/>
      <w:bookmarkStart w:id="218" w:name="_Toc15641227"/>
      <w:bookmarkStart w:id="219" w:name="_Toc57530250"/>
      <w:r>
        <w:rPr>
          <w:rFonts w:ascii="宋体" w:hAnsi="宋体" w:hint="eastAsia"/>
          <w:sz w:val="24"/>
          <w:szCs w:val="24"/>
          <w:highlight w:val="white"/>
          <w:lang w:eastAsia="zh-CN"/>
        </w:rPr>
        <w:t>。基金管理人或基金托管人拒派代表对书面表决意见的计票进行监督的，不影响计票和表决结果。</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7"/>
      <w:bookmarkEnd w:id="218"/>
      <w:bookmarkEnd w:id="219"/>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0" w:name="_Hlt88820702"/>
      <w:bookmarkEnd w:id="220"/>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九、实施侧袋机制期间基金份额持有人大会的特殊约定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9C565C">
      <w:pPr>
        <w:pStyle w:val="11"/>
        <w:jc w:val="center"/>
        <w:rPr>
          <w:rFonts w:hAnsi="宋体"/>
          <w:color w:val="auto"/>
          <w:lang w:eastAsia="zh-CN"/>
        </w:rPr>
      </w:pPr>
      <w:bookmarkStart w:id="221" w:name="_Toc3963"/>
      <w:bookmarkStart w:id="222" w:name="_Toc18769"/>
      <w:bookmarkStart w:id="223" w:name="_Toc1745"/>
      <w:r>
        <w:rPr>
          <w:rFonts w:hAnsi="宋体"/>
          <w:b w:val="0"/>
          <w:color w:val="auto"/>
          <w:highlight w:val="white"/>
          <w:lang w:eastAsia="zh-CN"/>
        </w:rPr>
        <w:br w:type="page"/>
      </w:r>
      <w:bookmarkStart w:id="224" w:name="_Toc98560355"/>
      <w:bookmarkStart w:id="225" w:name="_Toc725"/>
      <w:bookmarkStart w:id="226" w:name="_Toc3572"/>
      <w:bookmarkStart w:id="227" w:name="_Toc18206"/>
      <w:bookmarkStart w:id="228" w:name="_Toc10398"/>
      <w:bookmarkStart w:id="229" w:name="_Toc31821"/>
      <w:bookmarkStart w:id="230" w:name="_Toc123102456"/>
      <w:bookmarkStart w:id="231" w:name="_Toc16164"/>
      <w:bookmarkStart w:id="232" w:name="_Toc139991739"/>
      <w:bookmarkStart w:id="233" w:name="_Toc123051455"/>
      <w:bookmarkStart w:id="234" w:name="_Toc6327214"/>
      <w:bookmarkStart w:id="235" w:name="_Toc446339247"/>
      <w:bookmarkStart w:id="236" w:name="_Toc21735"/>
      <w:bookmarkStart w:id="237" w:name="_Toc3080"/>
      <w:bookmarkStart w:id="238" w:name="_Toc123112237"/>
      <w:bookmarkStart w:id="239" w:name="_Toc141703889"/>
      <w:r>
        <w:rPr>
          <w:rFonts w:hAnsi="宋体" w:hint="eastAsia"/>
          <w:color w:val="auto"/>
          <w:sz w:val="30"/>
          <w:highlight w:val="white"/>
          <w:lang w:eastAsia="zh-CN"/>
        </w:rPr>
        <w:t>第九部分 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9C565C">
      <w:pPr>
        <w:spacing w:line="360" w:lineRule="auto"/>
        <w:rPr>
          <w:rFonts w:ascii="宋体" w:hAnsi="宋体"/>
          <w:sz w:val="24"/>
          <w:szCs w:val="24"/>
          <w:lang w:eastAsia="zh-CN"/>
        </w:rPr>
      </w:pPr>
      <w:bookmarkStart w:id="240" w:name="_Toc57530252"/>
      <w:bookmarkStart w:id="241" w:name="_Toc79392593"/>
      <w:bookmarkStart w:id="242" w:name="_Toc15118245"/>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0"/>
      <w:bookmarkEnd w:id="241"/>
      <w:bookmarkEnd w:id="242"/>
    </w:p>
    <w:p w:rsidR="009C565C">
      <w:pPr>
        <w:spacing w:line="360" w:lineRule="auto"/>
        <w:ind w:firstLine="480"/>
        <w:rPr>
          <w:rFonts w:ascii="宋体" w:hAnsi="宋体"/>
          <w:sz w:val="24"/>
          <w:szCs w:val="24"/>
          <w:lang w:eastAsia="zh-CN"/>
        </w:rPr>
      </w:pPr>
      <w:bookmarkStart w:id="243"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3"/>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9C565C">
      <w:pPr>
        <w:spacing w:line="360" w:lineRule="auto"/>
        <w:ind w:firstLine="420"/>
        <w:rPr>
          <w:rFonts w:ascii="宋体" w:hAnsi="宋体"/>
          <w:sz w:val="24"/>
          <w:szCs w:val="24"/>
          <w:lang w:eastAsia="zh-CN"/>
        </w:rPr>
      </w:pPr>
      <w:bookmarkStart w:id="244"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4"/>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、被依法取消基金托管资格；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9C565C">
      <w:pPr>
        <w:spacing w:line="360" w:lineRule="auto"/>
        <w:ind w:firstLine="420"/>
        <w:rPr>
          <w:rFonts w:ascii="宋体" w:hAnsi="宋体"/>
          <w:sz w:val="24"/>
          <w:szCs w:val="24"/>
          <w:lang w:eastAsia="zh-CN"/>
        </w:rPr>
      </w:pPr>
      <w:bookmarkStart w:id="245" w:name="_Toc15118246"/>
      <w:bookmarkStart w:id="246" w:name="_Toc57530253"/>
      <w:bookmarkStart w:id="247" w:name="_Toc79392594"/>
      <w:r>
        <w:rPr>
          <w:rFonts w:ascii="宋体" w:hAnsi="宋体" w:hint="eastAsia"/>
          <w:sz w:val="24"/>
          <w:szCs w:val="24"/>
          <w:highlight w:val="white"/>
          <w:lang w:eastAsia="zh-CN"/>
        </w:rPr>
        <w:t>二、基金管理人和基金托管人的更换程序</w:t>
      </w:r>
      <w:bookmarkEnd w:id="245"/>
      <w:bookmarkEnd w:id="246"/>
      <w:bookmarkEnd w:id="247"/>
    </w:p>
    <w:p w:rsidR="009C565C">
      <w:pPr>
        <w:spacing w:line="360" w:lineRule="auto"/>
        <w:ind w:firstLine="480"/>
        <w:rPr>
          <w:rFonts w:ascii="宋体" w:hAnsi="宋体"/>
          <w:sz w:val="24"/>
          <w:szCs w:val="24"/>
          <w:lang w:eastAsia="zh-CN"/>
        </w:rPr>
      </w:pPr>
      <w:bookmarkStart w:id="248"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48"/>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9C565C">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由基金托管人在更换基金管理人的基金份额持有人大会决议生效后2日内在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9C565C">
      <w:pPr>
        <w:spacing w:line="360" w:lineRule="auto"/>
        <w:ind w:firstLine="420"/>
        <w:rPr>
          <w:rFonts w:ascii="宋体" w:hAnsi="宋体"/>
          <w:sz w:val="24"/>
          <w:szCs w:val="24"/>
          <w:lang w:eastAsia="zh-CN"/>
        </w:rPr>
      </w:pPr>
      <w:bookmarkStart w:id="249"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49"/>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bookmarkStart w:id="250" w:name="_Toc1357"/>
      <w:r>
        <w:rPr>
          <w:rFonts w:ascii="宋体" w:hAnsi="宋体" w:hint="eastAsia"/>
          <w:sz w:val="24"/>
          <w:szCs w:val="24"/>
          <w:highlight w:val="white"/>
          <w:lang w:eastAsia="zh-CN"/>
        </w:rPr>
        <w:t>（三）基金管理人与基金托管人同时更换的条件和程序</w:t>
      </w:r>
      <w:bookmarkEnd w:id="250"/>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持有人提名新的基金管理人和基金托管人；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9C565C">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9C565C">
      <w:pPr>
        <w:pStyle w:val="11"/>
        <w:spacing w:before="0" w:after="0"/>
        <w:jc w:val="center"/>
        <w:rPr>
          <w:rFonts w:hAnsi="宋体"/>
          <w:sz w:val="30"/>
          <w:lang w:eastAsia="zh-CN"/>
        </w:rPr>
      </w:pPr>
      <w:r>
        <w:rPr>
          <w:rFonts w:hAnsi="宋体"/>
          <w:b w:val="0"/>
          <w:color w:val="auto"/>
          <w:highlight w:val="white"/>
          <w:lang w:eastAsia="zh-CN"/>
        </w:rPr>
        <w:br w:type="page"/>
      </w:r>
      <w:bookmarkStart w:id="251" w:name="_Toc123051456"/>
      <w:bookmarkStart w:id="252" w:name="_Toc79392622"/>
      <w:bookmarkStart w:id="253" w:name="_Toc17198"/>
      <w:bookmarkStart w:id="254" w:name="_Toc123112238"/>
      <w:bookmarkStart w:id="255" w:name="_Toc21237"/>
      <w:bookmarkStart w:id="256" w:name="_Toc8791"/>
      <w:bookmarkStart w:id="257" w:name="_Toc446339248"/>
      <w:bookmarkStart w:id="258" w:name="_Toc6327215"/>
      <w:bookmarkStart w:id="259" w:name="_Toc141703890"/>
      <w:bookmarkStart w:id="260" w:name="_Toc17920"/>
      <w:bookmarkStart w:id="261" w:name="_Toc20976"/>
      <w:bookmarkStart w:id="262" w:name="_Toc139991740"/>
      <w:bookmarkStart w:id="263" w:name="_Toc739"/>
      <w:bookmarkStart w:id="264" w:name="_Toc123102457"/>
      <w:bookmarkStart w:id="265" w:name="_Toc29408"/>
      <w:bookmarkStart w:id="266" w:name="_Toc3329"/>
      <w:bookmarkStart w:id="267" w:name="_Toc5170"/>
      <w:bookmarkStart w:id="268" w:name="_Toc48649708"/>
      <w:bookmarkStart w:id="269" w:name="_Toc98560356"/>
      <w:bookmarkStart w:id="270" w:name="_Toc32092"/>
      <w:bookmarkStart w:id="271" w:name="_Toc32584"/>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9C565C">
      <w:pPr>
        <w:spacing w:line="360" w:lineRule="auto"/>
        <w:rPr>
          <w:rFonts w:ascii="宋体" w:hAnsi="宋体"/>
          <w:color w:val="000000"/>
          <w:sz w:val="24"/>
          <w:szCs w:val="24"/>
          <w:lang w:eastAsia="zh-CN"/>
        </w:rPr>
      </w:pPr>
    </w:p>
    <w:p w:rsidR="009C565C">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9C565C">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C565C">
      <w:pPr>
        <w:spacing w:line="360" w:lineRule="auto"/>
        <w:ind w:firstLine="420"/>
        <w:rPr>
          <w:rFonts w:ascii="宋体" w:hAnsi="宋体" w:cs="Arial"/>
          <w:sz w:val="24"/>
          <w:szCs w:val="24"/>
          <w:lang w:eastAsia="zh-CN"/>
        </w:rPr>
      </w:pPr>
    </w:p>
    <w:p w:rsidR="009C565C">
      <w:pPr>
        <w:spacing w:line="360" w:lineRule="auto"/>
        <w:ind w:firstLine="420"/>
        <w:rPr>
          <w:rFonts w:ascii="宋体" w:hAnsi="宋体" w:cs="Arial"/>
          <w:sz w:val="24"/>
          <w:szCs w:val="24"/>
          <w:lang w:eastAsia="zh-CN"/>
        </w:rPr>
      </w:pPr>
    </w:p>
    <w:p w:rsidR="009C565C">
      <w:pPr>
        <w:spacing w:line="360" w:lineRule="auto"/>
        <w:ind w:firstLine="420"/>
        <w:rPr>
          <w:rFonts w:ascii="宋体" w:hAnsi="宋体" w:cs="Arial"/>
          <w:sz w:val="24"/>
          <w:szCs w:val="24"/>
          <w:lang w:eastAsia="zh-CN"/>
        </w:rPr>
      </w:pPr>
    </w:p>
    <w:p w:rsidR="009C565C">
      <w:pPr>
        <w:spacing w:line="360" w:lineRule="auto"/>
        <w:ind w:firstLine="420"/>
        <w:rPr>
          <w:rFonts w:ascii="宋体" w:hAnsi="宋体" w:cs="Arial"/>
          <w:sz w:val="24"/>
          <w:szCs w:val="24"/>
          <w:lang w:eastAsia="zh-CN"/>
        </w:rPr>
      </w:pPr>
    </w:p>
    <w:p w:rsidR="009C565C">
      <w:pPr>
        <w:spacing w:line="360" w:lineRule="auto"/>
        <w:ind w:firstLine="420"/>
        <w:rPr>
          <w:rFonts w:ascii="宋体" w:hAnsi="宋体"/>
          <w:color w:val="000000"/>
          <w:sz w:val="24"/>
          <w:szCs w:val="24"/>
          <w:lang w:eastAsia="zh-CN"/>
        </w:rPr>
      </w:pPr>
    </w:p>
    <w:p w:rsidR="009C565C">
      <w:pPr>
        <w:pStyle w:val="11"/>
        <w:spacing w:before="0" w:after="0"/>
        <w:jc w:val="center"/>
        <w:rPr>
          <w:rFonts w:hAnsi="宋体"/>
          <w:color w:val="auto"/>
          <w:sz w:val="30"/>
          <w:lang w:eastAsia="zh-CN"/>
        </w:rPr>
      </w:pPr>
      <w:r>
        <w:rPr>
          <w:rFonts w:hAnsi="宋体"/>
          <w:b w:val="0"/>
          <w:highlight w:val="white"/>
          <w:lang w:eastAsia="zh-CN"/>
        </w:rPr>
        <w:br w:type="page"/>
      </w:r>
      <w:bookmarkStart w:id="272" w:name="_Toc22674"/>
      <w:bookmarkStart w:id="273" w:name="_Toc141703891"/>
      <w:bookmarkStart w:id="274" w:name="_Toc139991741"/>
      <w:bookmarkStart w:id="275" w:name="_Toc21886"/>
      <w:bookmarkStart w:id="276" w:name="_Toc31469"/>
      <w:bookmarkStart w:id="277" w:name="_Toc19520"/>
      <w:bookmarkStart w:id="278" w:name="_Toc79392624"/>
      <w:bookmarkStart w:id="279" w:name="_Toc26383"/>
      <w:bookmarkStart w:id="280" w:name="_Toc14725"/>
      <w:bookmarkStart w:id="281" w:name="_Toc26152"/>
      <w:bookmarkStart w:id="282" w:name="_Toc123102458"/>
      <w:bookmarkStart w:id="283" w:name="_Toc3244"/>
      <w:bookmarkStart w:id="284" w:name="_Toc6327216"/>
      <w:bookmarkStart w:id="285" w:name="_Toc123112239"/>
      <w:bookmarkStart w:id="286" w:name="_Toc123051457"/>
      <w:bookmarkStart w:id="287" w:name="_Toc26084"/>
      <w:bookmarkStart w:id="288" w:name="_Toc2255"/>
      <w:bookmarkStart w:id="289" w:name="_Toc16789"/>
      <w:bookmarkStart w:id="290" w:name="_Toc98560357"/>
      <w:bookmarkStart w:id="291" w:name="_Toc48649710"/>
      <w:bookmarkStart w:id="292"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9C565C">
      <w:pPr>
        <w:spacing w:line="360" w:lineRule="auto"/>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3" w:name="_Hlt88820748"/>
      <w:bookmarkEnd w:id="293"/>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p>
    <w:p w:rsidR="009C565C">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4" w:name="_Toc5477"/>
      <w:bookmarkStart w:id="295" w:name="_Toc11351"/>
      <w:bookmarkStart w:id="296" w:name="_Toc11395"/>
      <w:bookmarkStart w:id="297" w:name="_Toc2981"/>
      <w:bookmarkStart w:id="298" w:name="_Toc13343"/>
      <w:bookmarkStart w:id="299" w:name="_Toc3872"/>
      <w:bookmarkStart w:id="300" w:name="_Toc801"/>
      <w:bookmarkStart w:id="301" w:name="_Toc578"/>
      <w:bookmarkStart w:id="302" w:name="_Toc6327217"/>
      <w:bookmarkStart w:id="303" w:name="_Toc21917"/>
      <w:bookmarkStart w:id="304" w:name="_Toc22538"/>
      <w:bookmarkStart w:id="305" w:name="_Toc446339250"/>
      <w:bookmarkStart w:id="306" w:name="_Toc16437"/>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4"/>
      <w:bookmarkEnd w:id="295"/>
      <w:bookmarkEnd w:id="296"/>
      <w:bookmarkEnd w:id="297"/>
      <w:bookmarkEnd w:id="298"/>
      <w:bookmarkEnd w:id="299"/>
      <w:bookmarkEnd w:id="300"/>
      <w:bookmarkEnd w:id="301"/>
      <w:bookmarkEnd w:id="302"/>
      <w:bookmarkEnd w:id="303"/>
      <w:bookmarkEnd w:id="304"/>
      <w:bookmarkEnd w:id="305"/>
      <w:bookmarkEnd w:id="306"/>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9C565C">
      <w:pPr>
        <w:spacing w:line="360" w:lineRule="auto"/>
        <w:ind w:firstLine="480"/>
        <w:rPr>
          <w:rFonts w:ascii="宋体" w:hAnsi="宋体"/>
          <w:sz w:val="24"/>
          <w:szCs w:val="24"/>
          <w:lang w:eastAsia="zh-CN"/>
        </w:rPr>
      </w:pPr>
      <w:bookmarkStart w:id="307" w:name="_Toc359426195"/>
      <w:r>
        <w:rPr>
          <w:rFonts w:ascii="宋体" w:hAnsi="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如法律法规或监管机构以后允许基金投资其他品种，基金管理人在履行适当程序后，本基金可以将其纳入投资范围。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股票资产占基金资产的比例为60%-95%；非现金基金资产中不低于80%的资产将投资于港股通股票；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307"/>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1、资产配置策略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本基金将综合考虑宏观与微观经济、市场与政策等因素，确定组合中股票、债券、货币市场工具及其他金融工具的比例。</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2、股票投资策略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（1）港股通股票投资策略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本基金从周期视角出发，判断经济周期所处阶段，综合经济发展态势、各行业发展阶段和特征，精选受益于行业供需格局优化、具备竞争优势且估值合理的优质公司。</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1）行业配置策略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本基金关注行业发展趋势、景气程度与竞争格局等，对各行业的投资价值进行综合评估，从而确定并动态调整股票资产在各行业之间的配置比例。</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① 行业生命周期和行业景气度</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本基金将对行业数据持续跟踪、上下游产业链深入调研，分析各行业所处生命周期阶段，同时根据相关行业盈利水平的横向与纵向比较，对各行业景气度周期与未来发展趋势进行研判。</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② 行业供需格局及其变化</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本基金将对各行业供需格局与未来变化进行研判，包括但不限于供应（产能周期）、需求（需求周期）和库存（库存周期）等方面。</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③ 行业竞争格局及其变化</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本基金主要通过跟踪行业进入者的数量、行业内各公司的竞争策略及各公司产品或服务的市场份额，判断公司所处行业竞争格局及变化。</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2）个股选择策略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本基金通过定性与定量分析相结合的方法分析和精选个股。</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① 定性指标</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本基金考虑的定性指标主要有业务质量情况、公司治理情况和管理层情况等。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业务质量情况，包括但不限于商业模式的稳定性、竞争优势和壁垒、产品或服务市场前景等；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公司治理情况，包括但不限于股权结构、主要股东情况、公司治理的历史记录、派息及回购政策、信息披露、公司文化与长期愿景等；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管理层情况，包括但不限于公司管理团队专业性、稳定性、战略执行情况等。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② 定量指标</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本基金考虑的定量指标主要有盈利能力指标、现金指标和财务结构指标等。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盈利能力指标方面，本基金主要考虑预期净资产收益率等；现金指标方面，本基金主要考虑净现金流、自由现金流等；财务结构指标方面，本基金主要考虑资产负债率等。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此外，除上述个股投资策略外，考虑到香港股票市场与内地股票市场的差异，本基金还重点关注港股中的稀缺性个股、符合内地政策和投资逻辑的个股、相对于内地市场同类公司具有估值优势的个股。</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（2）内地市场股票投资策略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本基金可在对内地股票市场投资价值进行综合评估的基础上，通过对内地证券市场上市公司经营情况、财务状况等因素的研究和分析，进行内地市场股票的选择。</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（3）估值水平分析</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根据企业的行业特性及企业本身的特点，选择合适的股票估值方法。可供选择的估值方法包括市盈率法（P/E）、市净率法（P/B）、市盈率－长期成长法（PEG）、自由现金流贴现模型（FCFF，FCFE）或股利贴现模型（DDM）等。</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（4）股票组合的构建与调整</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本基金在上述分析的基础上进行股票组合的构建。当上述因素出现较大变化时，本基金将对股票组合适时进行动态调整。</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3、存托凭证投资策略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4、债券投资策略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在债券投资方面，本基金将主要通过类属配置与券种选择两个层次进行投资管理。</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在类属配置层次，本基金结合对宏观经济、市场利率、供求变化等因素的综合分析，对投资组合类属资产进行优化配置和调整，确定类属资产的权重。</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在券种选择上，本基金以长期利率趋势分析为基础，结合经济变化趋势、货币政策及不同债券品种的收益率水平、流动性和信用风险等因素，实施投资管理。</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5、资产支持证券投资策略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本基金可在综合考虑预期收益率、信用风险、流动性等因素的基础上，选择投资价值较高的资产支持证券进行投资。</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6、衍生品投资策略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为更好地实现投资目标，本基金可投资股指期货、国债期货、股票期权。</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若本基金投资股指期货，将根据风险管理的原则，以套期保值为目的，综合考虑流动性、基差水平、与股票组合相关度等因素。</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若本基金投资国债期货，将根据风险管理的原则，以套期保值为目的，综合考虑流动性、基差水平、与债券组合相关度等因素。</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若本基金投资股票期权，将根据风险管理的原则，以套期保值为主要目的，综合考虑流动性、价格等因素。</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7、融资策略</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为了更好地实现投资目标，在综合考虑预期风险、收益、流动性等因素的基础上，本基金可参与融资业务。</w:t>
      </w:r>
    </w:p>
    <w:p w:rsidR="009C565C">
      <w:pPr>
        <w:spacing w:line="360" w:lineRule="auto"/>
        <w:ind w:firstLine="480"/>
        <w:rPr>
          <w:rFonts w:ascii="宋体" w:hAnsi="宋体"/>
          <w:sz w:val="24"/>
          <w:szCs w:val="24"/>
          <w:lang w:eastAsia="zh-CN"/>
        </w:rPr>
      </w:pPr>
      <w:r>
        <w:rPr>
          <w:rFonts w:ascii="宋体" w:hAnsi="宋体" w:hint="eastAsia"/>
          <w:sz w:val="24"/>
          <w:szCs w:val="24"/>
          <w:lang w:eastAsia="zh-CN"/>
        </w:rPr>
        <w:t>8、未来，随着市场的发展和基金管理运作的需要，基金管理人可以在不改变投资目标的前提下，遵循法律法规的规定，在履行适当程序后相应调整或更新投资策略，并在招募说明书更新中公告。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1、组合限制</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9C565C">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本基金股票资产占基金资产的比例为60%-95%；非现金基金资产中不低于80%的资产将投资于港股通股票</w:t>
      </w:r>
      <w:r>
        <w:rPr>
          <w:rFonts w:ascii="宋体" w:hAnsi="宋体"/>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sz w:val="24"/>
          <w:szCs w:val="24"/>
          <w:highlight w:val="white"/>
          <w:lang w:eastAsia="zh-CN"/>
        </w:rPr>
        <w:t>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3</w:t>
      </w:r>
      <w:r>
        <w:rPr>
          <w:rFonts w:ascii="宋体" w:hAnsi="宋体"/>
          <w:bCs/>
          <w:sz w:val="24"/>
          <w:szCs w:val="24"/>
          <w:highlight w:val="white"/>
          <w:lang w:eastAsia="zh-CN"/>
        </w:rPr>
        <w:t>）本基金持有一家公司</w:t>
      </w:r>
      <w:r>
        <w:rPr>
          <w:rFonts w:ascii="宋体" w:hAnsi="宋体" w:hint="eastAsia"/>
          <w:bCs/>
          <w:sz w:val="24"/>
          <w:szCs w:val="24"/>
          <w:highlight w:val="white"/>
          <w:lang w:eastAsia="zh-CN"/>
        </w:rPr>
        <w:t>发行</w:t>
      </w:r>
      <w:r>
        <w:rPr>
          <w:rFonts w:ascii="宋体" w:hAnsi="宋体"/>
          <w:bCs/>
          <w:sz w:val="24"/>
          <w:szCs w:val="24"/>
          <w:highlight w:val="white"/>
          <w:lang w:eastAsia="zh-CN"/>
        </w:rPr>
        <w:t>的</w:t>
      </w:r>
      <w:r>
        <w:rPr>
          <w:rFonts w:ascii="宋体" w:hAnsi="宋体" w:hint="eastAsia"/>
          <w:bCs/>
          <w:sz w:val="24"/>
          <w:szCs w:val="24"/>
          <w:highlight w:val="white"/>
          <w:lang w:eastAsia="zh-CN"/>
        </w:rPr>
        <w:t>证券（</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，其市值不超过基金资产净值的10％；</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4</w:t>
      </w:r>
      <w:r>
        <w:rPr>
          <w:rFonts w:ascii="宋体" w:hAnsi="宋体"/>
          <w:bCs/>
          <w:sz w:val="24"/>
          <w:szCs w:val="24"/>
          <w:highlight w:val="white"/>
          <w:lang w:eastAsia="zh-CN"/>
        </w:rPr>
        <w:t>）本基金管理人管理的全部基金持有一家公司发行的证券</w:t>
      </w:r>
      <w:r>
        <w:rPr>
          <w:rFonts w:ascii="宋体" w:hAnsi="宋体" w:hint="eastAsia"/>
          <w:bCs/>
          <w:sz w:val="24"/>
          <w:szCs w:val="24"/>
          <w:highlight w:val="white"/>
          <w:lang w:eastAsia="zh-CN"/>
        </w:rPr>
        <w:t>（</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，不超过该证券的10％</w:t>
      </w:r>
      <w:r>
        <w:rPr>
          <w:rFonts w:ascii="宋体" w:hAnsi="宋体" w:hint="eastAsia"/>
          <w:bCs/>
          <w:sz w:val="24"/>
          <w:szCs w:val="24"/>
          <w:highlight w:val="white"/>
          <w:lang w:eastAsia="zh-CN"/>
        </w:rPr>
        <w:t>，完全按照有关指数的构成比例进行证券投资的基金品种可以不受此条款规定的比例限制</w:t>
      </w:r>
      <w:r>
        <w:rPr>
          <w:rFonts w:ascii="宋体" w:hAnsi="宋体"/>
          <w:bCs/>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5</w:t>
      </w:r>
      <w:r>
        <w:rPr>
          <w:rFonts w:ascii="宋体" w:hAnsi="宋体"/>
          <w:bCs/>
          <w:sz w:val="24"/>
          <w:szCs w:val="24"/>
          <w:highlight w:val="white"/>
          <w:lang w:eastAsia="zh-CN"/>
        </w:rPr>
        <w:t>）本基金投资于同一原始权益人的各类资产支持证券的比例，不得超过基金资产净值的10％；</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（6）本基金持有的全部资产支持证券，其市值不得超过基金资产净值的20％；</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（7）本基金持有的同一(指同一信用级别)资产支持证券的比例，不得超过该资产支持证券规模的10％；</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（8）本基金管理人管理的全部基金投资于同一原始权益人的各类资产支持证券，不得超过其各类资产支持证券合计规模的10％；</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（10）基金财产参与股票发行申购，本基金所申报的金额不超过本基金的总资产，本基金所申报的股票数量不超过拟发行股票公司本次发行股票的总量；</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（11）本基金</w:t>
      </w:r>
      <w:r>
        <w:rPr>
          <w:rFonts w:ascii="宋体" w:hAnsi="宋体" w:hint="eastAsia"/>
          <w:bCs/>
          <w:sz w:val="24"/>
          <w:szCs w:val="24"/>
          <w:highlight w:val="white"/>
          <w:lang w:eastAsia="zh-CN"/>
        </w:rPr>
        <w:t>管理人管理的全部开放式基金持有一家上市公司发行的可流通股票，不得超过该上市公司可流通股票的15%</w:t>
      </w:r>
      <w:r>
        <w:rPr>
          <w:rFonts w:ascii="宋体" w:hAnsi="宋体"/>
          <w:bCs/>
          <w:sz w:val="24"/>
          <w:szCs w:val="24"/>
          <w:highlight w:val="white"/>
          <w:lang w:eastAsia="zh-CN"/>
        </w:rPr>
        <w:t>；</w:t>
      </w:r>
      <w:r>
        <w:rPr>
          <w:rFonts w:ascii="宋体" w:hAnsi="宋体" w:hint="eastAsia"/>
          <w:bCs/>
          <w:sz w:val="24"/>
          <w:szCs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（14）本基金资产总值不超过基金资产净值的140%；</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15</w:t>
      </w:r>
      <w:r>
        <w:rPr>
          <w:rFonts w:ascii="宋体" w:hAnsi="宋体" w:hint="eastAsia"/>
          <w:bCs/>
          <w:sz w:val="24"/>
          <w:szCs w:val="24"/>
          <w:highlight w:val="white"/>
          <w:lang w:eastAsia="zh-CN"/>
        </w:rPr>
        <w:t>）本</w:t>
      </w:r>
      <w:r>
        <w:rPr>
          <w:rFonts w:ascii="宋体" w:hAnsi="宋体"/>
          <w:bCs/>
          <w:sz w:val="24"/>
          <w:szCs w:val="24"/>
          <w:highlight w:val="white"/>
          <w:lang w:eastAsia="zh-CN"/>
        </w:rPr>
        <w:t>基金参与股指期货交易</w:t>
      </w:r>
      <w:r>
        <w:rPr>
          <w:rFonts w:ascii="宋体" w:hAnsi="宋体" w:hint="eastAsia"/>
          <w:bCs/>
          <w:sz w:val="24"/>
          <w:szCs w:val="24"/>
          <w:highlight w:val="white"/>
          <w:lang w:eastAsia="zh-CN"/>
        </w:rPr>
        <w:t>，</w:t>
      </w:r>
      <w:r>
        <w:rPr>
          <w:rFonts w:ascii="宋体" w:hAnsi="宋体"/>
          <w:bCs/>
          <w:sz w:val="24"/>
          <w:szCs w:val="24"/>
          <w:highlight w:val="white"/>
          <w:lang w:eastAsia="zh-CN"/>
        </w:rPr>
        <w:t>应当遵守下列要求</w:t>
      </w:r>
      <w:r>
        <w:rPr>
          <w:rFonts w:ascii="宋体" w:hAnsi="宋体" w:hint="eastAsia"/>
          <w:bCs/>
          <w:sz w:val="24"/>
          <w:szCs w:val="24"/>
          <w:highlight w:val="white"/>
          <w:lang w:eastAsia="zh-CN"/>
        </w:rPr>
        <w:t>：本基金在任何交易日日终，持有的买入股指期货合约价值不得超过基金资产净值的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bCs/>
          <w:sz w:val="24"/>
          <w:szCs w:val="24"/>
          <w:highlight w:val="white"/>
          <w:lang w:eastAsia="zh-CN"/>
        </w:rPr>
        <w:t>20%</w:t>
      </w:r>
      <w:r>
        <w:rPr>
          <w:rFonts w:ascii="宋体" w:hAnsi="宋体" w:hint="eastAsia"/>
          <w:bCs/>
          <w:sz w:val="24"/>
          <w:szCs w:val="24"/>
          <w:highlight w:val="white"/>
          <w:lang w:eastAsia="zh-CN"/>
        </w:rPr>
        <w:t>；本基金所持有的股票市值和买入、卖出股指期货合约价值，合计（轧差计算）</w:t>
      </w:r>
      <w:r>
        <w:rPr>
          <w:rFonts w:ascii="宋体" w:hAnsi="宋体"/>
          <w:bCs/>
          <w:sz w:val="24"/>
          <w:szCs w:val="24"/>
          <w:highlight w:val="white"/>
          <w:lang w:eastAsia="zh-CN"/>
        </w:rPr>
        <w:t>应当符合基金合同关于股票投资比例的有关约定</w:t>
      </w:r>
      <w:r>
        <w:rPr>
          <w:rFonts w:ascii="宋体" w:hAnsi="宋体" w:hint="eastAsia"/>
          <w:bCs/>
          <w:sz w:val="24"/>
          <w:szCs w:val="24"/>
          <w:highlight w:val="white"/>
          <w:lang w:eastAsia="zh-CN"/>
        </w:rPr>
        <w:t>；在任何交易日内交易</w:t>
      </w:r>
      <w:r>
        <w:rPr>
          <w:rFonts w:ascii="宋体" w:hAnsi="宋体"/>
          <w:bCs/>
          <w:sz w:val="24"/>
          <w:szCs w:val="24"/>
          <w:highlight w:val="white"/>
          <w:lang w:eastAsia="zh-CN"/>
        </w:rPr>
        <w:t>(</w:t>
      </w:r>
      <w:r>
        <w:rPr>
          <w:rFonts w:ascii="宋体" w:hAnsi="宋体" w:hint="eastAsia"/>
          <w:bCs/>
          <w:sz w:val="24"/>
          <w:szCs w:val="24"/>
          <w:highlight w:val="white"/>
          <w:lang w:eastAsia="zh-CN"/>
        </w:rPr>
        <w:t>不包括平仓</w:t>
      </w:r>
      <w:r>
        <w:rPr>
          <w:rFonts w:ascii="宋体" w:hAnsi="宋体"/>
          <w:bCs/>
          <w:sz w:val="24"/>
          <w:szCs w:val="24"/>
          <w:highlight w:val="white"/>
          <w:lang w:eastAsia="zh-CN"/>
        </w:rPr>
        <w:t>)</w:t>
      </w:r>
      <w:r>
        <w:rPr>
          <w:rFonts w:ascii="宋体" w:hAnsi="宋体" w:hint="eastAsia"/>
          <w:bCs/>
          <w:sz w:val="24"/>
          <w:szCs w:val="24"/>
          <w:highlight w:val="white"/>
          <w:lang w:eastAsia="zh-CN"/>
        </w:rPr>
        <w:t>的股指期货合约的成交金额不得超过上一交易日基金资产净值的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r>
        <w:rPr>
          <w:rFonts w:ascii="宋体" w:hAnsi="宋体" w:hint="eastAsia"/>
          <w:bCs/>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16</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；本基金在任何交易日内交易（不包括平仓）的国债期货合约的成交金额不得超过上一交易日基金资产净值的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17</w:t>
      </w:r>
      <w:r>
        <w:rPr>
          <w:rFonts w:ascii="宋体" w:hAnsi="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。其中，合约面值按照行权价乘以合约乘数计算；</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18</w:t>
      </w:r>
      <w:r>
        <w:rPr>
          <w:rFonts w:ascii="宋体" w:hAnsi="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（19）本基金投资存托凭证的比例限制依照境内上市交易的股票执行，与境内上市交易的股票合并计算；</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（20）法律法规及中国证监会规定的和《基金合同》约定的其他投资限制。</w:t>
      </w:r>
    </w:p>
    <w:p w:rsidR="009C565C">
      <w:pPr>
        <w:pBdr>
          <w:top w:val="nil"/>
          <w:left w:val="nil"/>
          <w:bottom w:val="nil"/>
          <w:right w:val="nil"/>
        </w:pBdr>
        <w:spacing w:line="360" w:lineRule="auto"/>
        <w:ind w:firstLine="480"/>
        <w:rPr>
          <w:rFonts w:ascii="宋体" w:hAnsi="宋体"/>
          <w:sz w:val="24"/>
          <w:szCs w:val="24"/>
          <w:lang w:eastAsia="zh-CN"/>
        </w:rPr>
      </w:pPr>
      <w:r>
        <w:rPr>
          <w:rFonts w:ascii="宋体" w:hAnsi="宋体"/>
          <w:bCs/>
          <w:sz w:val="24"/>
          <w:szCs w:val="24"/>
          <w:highlight w:val="white"/>
          <w:lang w:eastAsia="zh-CN"/>
        </w:rPr>
        <w:t>除上述（2）、（9）、（10）、（12）、（13）情形之外，因证券</w:t>
      </w:r>
      <w:r>
        <w:rPr>
          <w:rFonts w:ascii="宋体" w:hAnsi="宋体"/>
          <w:sz w:val="24"/>
          <w:szCs w:val="24"/>
          <w:highlight w:val="white"/>
          <w:lang w:eastAsia="zh-CN"/>
        </w:rPr>
        <w:t>/期货</w:t>
      </w:r>
      <w:r>
        <w:rPr>
          <w:rFonts w:ascii="宋体" w:hAnsi="宋体"/>
          <w:bCs/>
          <w:sz w:val="24"/>
          <w:szCs w:val="24"/>
          <w:highlight w:val="white"/>
          <w:lang w:eastAsia="zh-CN"/>
        </w:rPr>
        <w:t>市场波动、</w:t>
      </w:r>
      <w:r>
        <w:rPr>
          <w:rFonts w:ascii="宋体" w:hAnsi="宋体"/>
          <w:sz w:val="24"/>
          <w:highlight w:val="white"/>
          <w:lang w:eastAsia="zh-CN"/>
        </w:rPr>
        <w:t>证券发行人</w:t>
      </w:r>
      <w:r>
        <w:rPr>
          <w:rFonts w:ascii="宋体" w:hAnsi="宋体"/>
          <w:bCs/>
          <w:sz w:val="24"/>
          <w:szCs w:val="24"/>
          <w:highlight w:val="white"/>
          <w:lang w:eastAsia="zh-CN"/>
        </w:rPr>
        <w:t>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、投资策略应当符合基金合同的约定。基金托管人对基金的投资的监督与检查自本基金合同生效之日起开始。</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2、禁止行为</w:t>
      </w:r>
    </w:p>
    <w:p w:rsidR="009C565C">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9C565C">
      <w:pPr>
        <w:widowControl/>
        <w:spacing w:line="360" w:lineRule="auto"/>
        <w:ind w:firstLine="480"/>
        <w:rPr>
          <w:rFonts w:ascii="宋体" w:hAnsi="宋体"/>
          <w:sz w:val="24"/>
          <w:szCs w:val="24"/>
          <w:lang w:eastAsia="zh-CN"/>
        </w:rPr>
      </w:pPr>
      <w:r>
        <w:rPr>
          <w:rFonts w:ascii="宋体" w:hAnsi="宋体" w:hint="eastAsia"/>
          <w:sz w:val="24"/>
          <w:szCs w:val="24"/>
          <w:lang w:eastAsia="zh-CN"/>
        </w:rPr>
        <w:t>本基金业绩比较基准：</w:t>
      </w:r>
      <w:r w:rsidR="00383724">
        <w:rPr>
          <w:rFonts w:ascii="宋体" w:hAnsi="宋体"/>
          <w:sz w:val="24"/>
          <w:szCs w:val="24"/>
          <w:lang w:eastAsia="zh-CN"/>
        </w:rPr>
        <w:t>恒生中国企业指数收益率</w:t>
      </w:r>
      <w:r w:rsidR="00383724">
        <w:rPr>
          <w:rFonts w:ascii="宋体" w:hAnsi="宋体"/>
          <w:sz w:val="24"/>
          <w:szCs w:val="24"/>
          <w:lang w:eastAsia="zh-CN"/>
        </w:rPr>
        <w:t>×</w:t>
      </w:r>
      <w:r w:rsidR="005025CF">
        <w:rPr>
          <w:rFonts w:ascii="宋体" w:hAnsi="宋体"/>
          <w:sz w:val="24"/>
          <w:szCs w:val="24"/>
          <w:lang w:eastAsia="zh-CN"/>
        </w:rPr>
        <w:t>80</w:t>
      </w:r>
      <w:r w:rsidR="00383724">
        <w:rPr>
          <w:rFonts w:ascii="宋体" w:hAnsi="宋体"/>
          <w:sz w:val="24"/>
          <w:szCs w:val="24"/>
          <w:lang w:eastAsia="zh-CN"/>
        </w:rPr>
        <w:t>%+</w:t>
      </w:r>
      <w:r w:rsidR="00F8492F">
        <w:rPr>
          <w:rFonts w:ascii="宋体" w:hAnsi="宋体"/>
          <w:sz w:val="24"/>
          <w:szCs w:val="24"/>
          <w:lang w:eastAsia="zh-CN"/>
        </w:rPr>
        <w:t>中债</w:t>
      </w:r>
      <w:r>
        <w:rPr>
          <w:rFonts w:ascii="宋体" w:hAnsi="宋体" w:hint="eastAsia"/>
          <w:sz w:val="24"/>
          <w:szCs w:val="24"/>
          <w:lang w:eastAsia="zh-CN"/>
        </w:rPr>
        <w:t>-总全价（总值）</w:t>
      </w:r>
      <w:r w:rsidR="00F8492F">
        <w:rPr>
          <w:rFonts w:ascii="宋体" w:hAnsi="宋体"/>
          <w:sz w:val="24"/>
          <w:szCs w:val="24"/>
          <w:lang w:eastAsia="zh-CN"/>
        </w:rPr>
        <w:t>指数收益率</w:t>
      </w:r>
      <w:r w:rsidR="00383724">
        <w:rPr>
          <w:rFonts w:ascii="宋体" w:hAnsi="宋体"/>
          <w:sz w:val="24"/>
          <w:szCs w:val="24"/>
          <w:lang w:eastAsia="zh-CN"/>
        </w:rPr>
        <w:t>×</w:t>
      </w:r>
      <w:r w:rsidR="005025CF">
        <w:rPr>
          <w:rFonts w:ascii="宋体" w:hAnsi="宋体"/>
          <w:sz w:val="24"/>
          <w:szCs w:val="24"/>
          <w:lang w:eastAsia="zh-CN"/>
        </w:rPr>
        <w:t>20</w:t>
      </w:r>
      <w:r w:rsidR="00383724">
        <w:rPr>
          <w:rFonts w:ascii="宋体" w:hAnsi="宋体"/>
          <w:sz w:val="24"/>
          <w:szCs w:val="24"/>
          <w:lang w:eastAsia="zh-CN"/>
        </w:rPr>
        <w:t>%</w:t>
      </w:r>
    </w:p>
    <w:p w:rsidR="002D7104" w:rsidP="002D710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hint="eastAsia"/>
          <w:sz w:val="24"/>
          <w:szCs w:val="24"/>
          <w:lang w:eastAsia="zh-CN"/>
        </w:rPr>
        <w:t>业绩比较基准设定的原因</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（1）基于基金投资范围以及预期投资的主要资产类别（港股通股票、债券等），本基金相应选取与之匹配的港股指数与债券指数作为基准要素。同时基于</w:t>
      </w:r>
      <w:r>
        <w:rPr>
          <w:rFonts w:ascii="宋体" w:hAnsi="宋体" w:hint="eastAsia"/>
          <w:sz w:val="24"/>
          <w:szCs w:val="24"/>
          <w:lang w:eastAsia="zh-CN"/>
        </w:rPr>
        <w:t>基金股票资产占基金资产的比例为60%-95%，非现金基金资产中不低于80%的资产将投资于港股通股票</w:t>
      </w:r>
      <w:r>
        <w:rPr>
          <w:rFonts w:ascii="宋体" w:hAnsi="宋体" w:hint="eastAsia"/>
          <w:sz w:val="24"/>
          <w:szCs w:val="24"/>
          <w:highlight w:val="white"/>
          <w:lang w:eastAsia="zh-CN"/>
        </w:rPr>
        <w:t>等投资比例限制，以及预期的资产配置比例中枢，本基金将港股通股票与债券所对应的基准要素权重分别设置为80%与20%。</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（2）基于本基金的投资目标、投资范围和投资策略，</w:t>
      </w:r>
      <w:r>
        <w:rPr>
          <w:rFonts w:ascii="宋体" w:hAnsi="宋体" w:hint="eastAsia"/>
          <w:sz w:val="24"/>
          <w:szCs w:val="24"/>
          <w:lang w:eastAsia="zh-CN"/>
        </w:rPr>
        <w:t>本基金从周期视角出发，判断经济周期所处阶段，综合经济发展态势、各行业发展阶段和特征，精选受益于行业供需格局优化、具备竞争优势且估值合理的优质公司</w:t>
      </w:r>
      <w:r>
        <w:rPr>
          <w:rFonts w:hint="eastAsia"/>
          <w:sz w:val="24"/>
          <w:szCs w:val="24"/>
          <w:highlight w:val="white"/>
          <w:lang w:eastAsia="zh-CN"/>
        </w:rPr>
        <w:t>，从而在控制风险的前提下，追求超越业绩比较基准的投资回</w:t>
      </w:r>
      <w:r>
        <w:rPr>
          <w:rFonts w:ascii="宋体" w:hAnsi="宋体" w:hint="eastAsia"/>
          <w:sz w:val="24"/>
          <w:szCs w:val="24"/>
          <w:highlight w:val="white"/>
          <w:lang w:eastAsia="zh-CN"/>
        </w:rPr>
        <w:t>报。综合考虑基准指数与产品定位和投资风格的匹配度，基准指数的表征性、认可度，以及指数市值覆盖、行业与个股分布等，本基金选取</w:t>
      </w:r>
      <w:r>
        <w:rPr>
          <w:rFonts w:ascii="宋体" w:hAnsi="宋体" w:hint="eastAsia"/>
          <w:sz w:val="24"/>
          <w:szCs w:val="24"/>
          <w:lang w:eastAsia="zh-CN"/>
        </w:rPr>
        <w:t>恒生中国企业指数</w:t>
      </w:r>
      <w:r>
        <w:rPr>
          <w:rFonts w:ascii="宋体" w:hAnsi="宋体" w:hint="eastAsia"/>
          <w:sz w:val="24"/>
          <w:szCs w:val="24"/>
          <w:highlight w:val="white"/>
          <w:lang w:eastAsia="zh-CN"/>
        </w:rPr>
        <w:t>作为港股通股票部分的业绩比较基准要素。</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lang w:eastAsia="zh-CN"/>
        </w:rPr>
        <w:t>恒生中国企业指数反映在香港上市的中国内地企业之整体表现</w:t>
      </w:r>
      <w:r>
        <w:rPr>
          <w:rFonts w:ascii="宋体" w:hAnsi="宋体" w:hint="eastAsia"/>
          <w:sz w:val="24"/>
          <w:szCs w:val="24"/>
          <w:highlight w:val="white"/>
          <w:lang w:eastAsia="zh-CN"/>
        </w:rPr>
        <w:t>，适合作为本基金港股通股票部分的业绩比较基准要素。</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（3）基于基金投资目标、投资范围和投资策略，本基金的债券资产采用全市场策略，主要通过类属配置与券种选择</w:t>
      </w:r>
      <w:r>
        <w:rPr>
          <w:rFonts w:hint="eastAsia"/>
          <w:sz w:val="24"/>
          <w:szCs w:val="24"/>
          <w:highlight w:val="white"/>
          <w:lang w:eastAsia="zh-CN"/>
        </w:rPr>
        <w:t>两个层次</w:t>
      </w:r>
      <w:r>
        <w:rPr>
          <w:rFonts w:ascii="宋体" w:hAnsi="宋体" w:hint="eastAsia"/>
          <w:sz w:val="24"/>
          <w:szCs w:val="24"/>
          <w:highlight w:val="white"/>
          <w:lang w:eastAsia="zh-CN"/>
        </w:rPr>
        <w:t>进行投资管理。综合考虑基准指数与产品定位和投资风格的匹配度，同时兼顾考虑基准指数的表征性、认可度，以及基准指数券种等，选择中债-总全价（总值）指数作为债券部分的业绩比较基准要素。</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中债-总全价（总值）指数成份券由在境内公开发行且上市流通的记账式国债、央行票据和政策性银行债组成，反映境内利率类债券整体价格走势，适合作为本基金债券部分的业绩比较基准要素。</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综上，本基金选取的业绩比较基准与基金投资目标、投资范围、投资策略、投资比例限制相匹配。</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2、业绩比较基准要素的基本信息</w:t>
      </w:r>
    </w:p>
    <w:p w:rsidR="002D7104" w:rsidP="002D7104">
      <w:pPr>
        <w:spacing w:line="360" w:lineRule="auto"/>
        <w:ind w:firstLine="480"/>
        <w:rPr>
          <w:rFonts w:ascii="宋体" w:hAnsi="宋体"/>
          <w:sz w:val="24"/>
          <w:szCs w:val="24"/>
          <w:lang w:eastAsia="zh-CN"/>
        </w:rPr>
      </w:pPr>
      <w:r>
        <w:rPr>
          <w:rFonts w:ascii="宋体" w:hAnsi="宋体" w:hint="eastAsia"/>
          <w:sz w:val="24"/>
          <w:szCs w:val="24"/>
          <w:lang w:eastAsia="zh-CN"/>
        </w:rPr>
        <w:t>恒生中国企业指数</w:t>
      </w:r>
      <w:r>
        <w:rPr>
          <w:rFonts w:ascii="宋体" w:hAnsi="宋体" w:hint="eastAsia"/>
          <w:sz w:val="24"/>
          <w:szCs w:val="24"/>
          <w:highlight w:val="white"/>
          <w:lang w:eastAsia="zh-CN"/>
        </w:rPr>
        <w:t>由</w:t>
      </w:r>
      <w:r>
        <w:rPr>
          <w:rFonts w:ascii="宋体" w:hAnsi="宋体" w:hint="eastAsia"/>
          <w:sz w:val="24"/>
          <w:szCs w:val="24"/>
          <w:lang w:eastAsia="zh-CN"/>
        </w:rPr>
        <w:t>恒生指数有限公司</w:t>
      </w:r>
      <w:r>
        <w:rPr>
          <w:rFonts w:ascii="宋体" w:hAnsi="宋体" w:hint="eastAsia"/>
          <w:sz w:val="24"/>
          <w:szCs w:val="24"/>
          <w:highlight w:val="white"/>
          <w:lang w:eastAsia="zh-CN"/>
        </w:rPr>
        <w:t>编制发布，指数代码为</w:t>
      </w:r>
      <w:r>
        <w:rPr>
          <w:rFonts w:ascii="宋体" w:hAnsi="宋体" w:hint="eastAsia"/>
          <w:sz w:val="24"/>
          <w:szCs w:val="24"/>
          <w:lang w:eastAsia="zh-CN"/>
        </w:rPr>
        <w:t>HSCEI, 指数具体信息详见恒生指数有限公司网站，网址：www.hsi.com.hk。</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rPr>
        <w:t>中债-总全价（总值）指数</w:t>
      </w:r>
      <w:r>
        <w:rPr>
          <w:rFonts w:ascii="宋体" w:hAnsi="宋体" w:hint="eastAsia"/>
          <w:sz w:val="24"/>
          <w:szCs w:val="24"/>
          <w:highlight w:val="white"/>
          <w:lang w:eastAsia="zh-CN"/>
        </w:rPr>
        <w:t>由中债金融估值中心有限公司编制发布，指数代码为</w:t>
      </w:r>
      <w:r>
        <w:rPr>
          <w:rFonts w:ascii="宋体" w:hAnsi="宋体" w:hint="eastAsia"/>
          <w:sz w:val="24"/>
          <w:szCs w:val="24"/>
          <w:highlight w:val="white"/>
        </w:rPr>
        <w:t>CBA00303</w:t>
      </w:r>
      <w:r>
        <w:rPr>
          <w:rFonts w:ascii="宋体" w:hAnsi="宋体" w:hint="eastAsia"/>
          <w:sz w:val="24"/>
          <w:szCs w:val="24"/>
          <w:highlight w:val="white"/>
          <w:lang w:eastAsia="zh-CN"/>
        </w:rPr>
        <w:t>,指数具体信息详见中国债券信息网，网址：www.chinabond.com.cn。</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3、业绩比较基准的计算方法</w:t>
      </w:r>
    </w:p>
    <w:p w:rsidR="002D7104" w:rsidP="002D7104">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本基金业绩比较基准收益率的计算方法以每日收益率为基础，以时间加权为计算原则。本基金先分别计算业绩比较基准中</w:t>
      </w:r>
      <w:r>
        <w:rPr>
          <w:rFonts w:ascii="宋体" w:hAnsi="宋体" w:hint="eastAsia"/>
          <w:sz w:val="24"/>
          <w:szCs w:val="24"/>
          <w:lang w:eastAsia="zh-CN"/>
        </w:rPr>
        <w:t>恒生中国企业指数</w:t>
      </w:r>
      <w:r>
        <w:rPr>
          <w:rFonts w:ascii="宋体" w:hAnsi="宋体" w:hint="eastAsia"/>
          <w:sz w:val="24"/>
          <w:szCs w:val="24"/>
          <w:highlight w:val="white"/>
          <w:lang w:eastAsia="zh-CN"/>
        </w:rPr>
        <w:t>、中债-总全价（总值）指数的每日收益率，再按照预设权重比例计算当日组合要素基准的日收益率，最后通过每日连乘的方式计算业绩比较基准收益率。</w:t>
      </w:r>
      <w:r>
        <w:rPr>
          <w:rFonts w:ascii="宋体" w:hAnsi="宋体" w:hint="eastAsia"/>
          <w:sz w:val="24"/>
          <w:szCs w:val="24"/>
          <w:lang w:eastAsia="zh-CN"/>
        </w:rPr>
        <w:t>其中，恒生中国企业指数收益率采用估值汇率进行调整，由港元计价折算为人民币计价后，再纳入计算。</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4、管理投资偏离业绩比较基准的定性或定量方法</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本基金管理人对基金实际投资与业绩比较基准的偏离情况进行动态跟踪与监测评估，监测指标主要包括</w:t>
      </w:r>
      <w:r w:rsidR="007621E3">
        <w:rPr>
          <w:rFonts w:ascii="宋体" w:hAnsi="宋体" w:hint="eastAsia"/>
          <w:sz w:val="24"/>
          <w:szCs w:val="24"/>
        </w:rPr>
        <w:t>超额收益</w:t>
      </w:r>
      <w:r>
        <w:rPr>
          <w:rFonts w:ascii="宋体" w:hAnsi="宋体" w:hint="eastAsia"/>
          <w:sz w:val="24"/>
          <w:szCs w:val="24"/>
          <w:highlight w:val="white"/>
          <w:lang w:eastAsia="zh-CN"/>
        </w:rPr>
        <w:t>、配置偏离等，以更好管理基金实际投资与业绩比较基准的偏离情况，从而在控制风险的前提下，追求超越业绩比较基准的投资回报。</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5、未来可能变更业绩比较基准的情况和程序</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（2）调整业绩比较基准的要素权重、更换相同或相近特征的要素等，使新业绩比较基准代表性更强，且符合相关法律法规规定的；</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（3）中国证监会认可的其他情形。</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业绩比较基准变更涉及以下情形的，基金管理人应当按照规定履行变更注册、召开基金份额持有人大会等程序，法律法规、中国证监会另有规定的除外：</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（1）基金投资目标、投资范围、投资策略、投资比例等拟进行重大调整，并变更业绩比较基准的；</w:t>
      </w:r>
    </w:p>
    <w:p w:rsidR="002D7104" w:rsidP="002D710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（2）其他对基金份额持有人利益产生重大实质性影响的情形。</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9C565C">
      <w:pPr>
        <w:spacing w:line="360" w:lineRule="auto"/>
        <w:ind w:firstLine="480"/>
        <w:rPr>
          <w:rFonts w:ascii="宋体" w:hAnsi="宋体"/>
          <w:sz w:val="24"/>
          <w:szCs w:val="24"/>
          <w:lang w:eastAsia="zh-CN"/>
        </w:rPr>
      </w:pPr>
      <w:r>
        <w:rPr>
          <w:rFonts w:ascii="宋体" w:hAnsi="宋体"/>
          <w:sz w:val="24"/>
          <w:szCs w:val="24"/>
          <w:lang w:eastAsia="zh-CN"/>
        </w:rPr>
        <w:t>本基金为混合型基金，理论上其预期风险与预期收益水平低于股票型基金，高于债券型基金和货币市场基金。</w:t>
      </w:r>
    </w:p>
    <w:p w:rsidR="009C565C">
      <w:pPr>
        <w:spacing w:line="360" w:lineRule="auto"/>
        <w:ind w:firstLine="480"/>
        <w:rPr>
          <w:rFonts w:ascii="宋体" w:hAnsi="宋体"/>
          <w:sz w:val="24"/>
          <w:szCs w:val="24"/>
          <w:lang w:eastAsia="zh-CN"/>
        </w:rPr>
      </w:pPr>
      <w:r>
        <w:rPr>
          <w:rFonts w:ascii="宋体" w:hAnsi="宋体"/>
          <w:sz w:val="24"/>
          <w:szCs w:val="24"/>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七、基金管理人代表基金行使股东或债权人权利的处理原则及方法</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1、基金管理人按照国家有关规定代表基金独立行使股东或债权人权利，保护基金份额持有人的利益； </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2、不谋求对上市公司的控股； </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3、有利于基金财产的安全与增值； </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4、不通过关联交易为自身、雇员、授权代理人或任何存在利害关系的第三人牟取任何不当利益。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9C565C">
      <w:pPr>
        <w:spacing w:line="360" w:lineRule="auto"/>
        <w:ind w:firstLine="480"/>
        <w:rPr>
          <w:rFonts w:ascii="宋体" w:hAnsi="宋体"/>
          <w:sz w:val="24"/>
          <w:szCs w:val="24"/>
          <w:lang w:eastAsia="zh-CN"/>
        </w:rPr>
      </w:pPr>
    </w:p>
    <w:p w:rsidR="009C565C">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08" w:name="_Toc93226145"/>
      <w:bookmarkStart w:id="309" w:name="_Toc92662704"/>
      <w:bookmarkStart w:id="310" w:name="_Toc139991743"/>
      <w:bookmarkStart w:id="311" w:name="_Toc128310496"/>
      <w:bookmarkStart w:id="312" w:name="_Toc24474"/>
      <w:bookmarkStart w:id="313" w:name="_Toc6327218"/>
      <w:bookmarkStart w:id="314" w:name="_Toc26114"/>
      <w:bookmarkStart w:id="315" w:name="_Toc20102"/>
      <w:bookmarkStart w:id="316" w:name="_Toc31611"/>
      <w:bookmarkStart w:id="317" w:name="_Toc13819"/>
      <w:bookmarkStart w:id="318" w:name="_Toc32030"/>
      <w:bookmarkStart w:id="319" w:name="_Toc446339251"/>
      <w:bookmarkStart w:id="320" w:name="_Toc29561"/>
      <w:bookmarkStart w:id="321" w:name="_Toc21642"/>
      <w:bookmarkStart w:id="322" w:name="_Toc20782"/>
      <w:bookmarkStart w:id="323" w:name="_Toc141703893"/>
      <w:bookmarkStart w:id="324" w:name="_Toc18000"/>
      <w:bookmarkStart w:id="325" w:name="_Toc3054"/>
      <w:r>
        <w:rPr>
          <w:rFonts w:hAnsi="宋体" w:hint="eastAsia"/>
          <w:color w:val="auto"/>
          <w:sz w:val="30"/>
          <w:highlight w:val="white"/>
          <w:lang w:eastAsia="zh-CN"/>
        </w:rPr>
        <w:t>第十三部分 基金</w:t>
      </w:r>
      <w:bookmarkEnd w:id="308"/>
      <w:bookmarkEnd w:id="309"/>
      <w:r>
        <w:rPr>
          <w:rFonts w:hAnsi="宋体" w:hint="eastAsia"/>
          <w:color w:val="auto"/>
          <w:sz w:val="30"/>
          <w:highlight w:val="white"/>
          <w:lang w:eastAsia="zh-CN"/>
        </w:rPr>
        <w:t>的财产</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9C565C">
      <w:pPr>
        <w:spacing w:line="360" w:lineRule="auto"/>
        <w:ind w:firstLine="482"/>
        <w:rPr>
          <w:rFonts w:ascii="宋体" w:hAnsi="宋体"/>
          <w:sz w:val="24"/>
          <w:szCs w:val="24"/>
          <w:lang w:eastAsia="zh-CN"/>
        </w:rPr>
      </w:pP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9C565C">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基金资产总值是指购买的各类证券及票据价值、银行存款本息和基金应收的申购基金款以及其他投资所形成的价值总和。</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6" w:name="_Hlt88841837"/>
      <w:bookmarkEnd w:id="326"/>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四、基金财产的保管和处分</w:t>
      </w:r>
      <w:bookmarkStart w:id="327" w:name="_Hlt88900062"/>
      <w:bookmarkEnd w:id="327"/>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C565C">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9C565C">
      <w:pPr>
        <w:spacing w:line="360" w:lineRule="auto"/>
        <w:ind w:firstLine="482"/>
        <w:rPr>
          <w:rFonts w:ascii="宋体" w:hAnsi="宋体"/>
          <w:bCs/>
          <w:sz w:val="24"/>
          <w:szCs w:val="24"/>
          <w:lang w:eastAsia="zh-CN"/>
        </w:rPr>
      </w:pPr>
    </w:p>
    <w:p w:rsidR="009C565C">
      <w:pPr>
        <w:pStyle w:val="11"/>
        <w:spacing w:before="0" w:after="0"/>
        <w:jc w:val="center"/>
        <w:rPr>
          <w:rFonts w:hAnsi="宋体"/>
          <w:sz w:val="30"/>
          <w:lang w:eastAsia="zh-CN"/>
        </w:rPr>
      </w:pPr>
      <w:r>
        <w:rPr>
          <w:rFonts w:hAnsi="宋体"/>
          <w:b w:val="0"/>
          <w:highlight w:val="white"/>
          <w:lang w:eastAsia="zh-CN"/>
        </w:rPr>
        <w:br w:type="page"/>
      </w:r>
      <w:bookmarkStart w:id="328" w:name="_Toc446339252"/>
      <w:bookmarkStart w:id="329" w:name="_Toc6327219"/>
      <w:bookmarkStart w:id="330" w:name="_Toc2623"/>
      <w:r>
        <w:rPr>
          <w:rFonts w:hAnsi="宋体" w:hint="eastAsia"/>
          <w:sz w:val="30"/>
          <w:highlight w:val="white"/>
          <w:lang w:eastAsia="zh-CN"/>
        </w:rPr>
        <w:t>第十四部分</w:t>
      </w:r>
      <w:r>
        <w:rPr>
          <w:rFonts w:hAnsi="宋体"/>
          <w:sz w:val="30"/>
          <w:highlight w:val="white"/>
          <w:lang w:eastAsia="zh-CN"/>
        </w:rPr>
        <w:t xml:space="preserve"> </w:t>
      </w:r>
      <w:bookmarkStart w:id="331" w:name="_Toc17782"/>
      <w:bookmarkStart w:id="332" w:name="_Toc27832"/>
      <w:bookmarkStart w:id="333" w:name="_Toc31917"/>
      <w:bookmarkStart w:id="334" w:name="_Toc7802"/>
      <w:bookmarkStart w:id="335" w:name="_Toc871"/>
      <w:bookmarkStart w:id="336" w:name="_Toc19714"/>
      <w:bookmarkStart w:id="337" w:name="_Toc141703894"/>
      <w:bookmarkStart w:id="338" w:name="_Toc139991744"/>
      <w:r>
        <w:rPr>
          <w:rFonts w:hAnsi="宋体" w:hint="eastAsia"/>
          <w:sz w:val="30"/>
          <w:highlight w:val="white"/>
          <w:lang w:eastAsia="zh-CN"/>
        </w:rPr>
        <w:t>基金资产估值</w:t>
      </w:r>
      <w:bookmarkEnd w:id="328"/>
      <w:bookmarkEnd w:id="329"/>
      <w:bookmarkEnd w:id="330"/>
      <w:bookmarkEnd w:id="331"/>
      <w:bookmarkEnd w:id="332"/>
      <w:bookmarkEnd w:id="333"/>
      <w:bookmarkEnd w:id="334"/>
      <w:bookmarkEnd w:id="335"/>
      <w:bookmarkEnd w:id="336"/>
      <w:bookmarkEnd w:id="337"/>
      <w:bookmarkEnd w:id="338"/>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bookmarkStart w:id="339" w:name="_Toc32046"/>
      <w:bookmarkStart w:id="340" w:name="_Toc139991745"/>
      <w:bookmarkStart w:id="341" w:name="_Toc141703895"/>
      <w:r>
        <w:rPr>
          <w:rFonts w:ascii="宋体" w:hAnsi="宋体" w:hint="eastAsia"/>
          <w:sz w:val="24"/>
          <w:szCs w:val="24"/>
          <w:highlight w:val="white"/>
          <w:lang w:eastAsia="zh-CN"/>
        </w:rPr>
        <w:t>一、估值日</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债券和银行存款本息</w:t>
      </w:r>
      <w:r>
        <w:rPr>
          <w:rFonts w:ascii="宋体" w:hAnsi="宋体" w:hint="eastAsia"/>
          <w:bCs/>
          <w:sz w:val="24"/>
          <w:szCs w:val="24"/>
          <w:highlight w:val="white"/>
          <w:lang w:eastAsia="zh-CN"/>
        </w:rPr>
        <w:t>、应收款项、其它投资等资产及负债。</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，但具有不同特征的，应以相同资产或负债的公允价值为基础，并在估值技术中考虑不同特征因素的影响。特征是指对资产出售或使用的限制等，如果该限制是针对资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9C565C">
      <w:pPr>
        <w:pBdr>
          <w:top w:val="nil"/>
          <w:left w:val="nil"/>
          <w:bottom w:val="nil"/>
          <w:right w:val="nil"/>
        </w:pBd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2、处于未上市期间的有价证券应区分如下情况处理：</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（1）送股、转增股、配股和公开增发的新股，按估值日在证券交易所挂牌的同一股票的估值方法估值；该日无交易的，以最近一日的市价（收盘价）估值；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（2）首次公开发行未上市的股票，采用估值技术确定公允价值；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3、对于已上市或已挂牌转让的不含权固定收益品种，选取估值日第三方估值基准服务机构提供的相应品种当日的估值全价进行估值。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8、本基金投资期权，根据相关法律法规以及监管部门的规定估值。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9、本基金参与融资业务的，按照相关法律法规、监管部门和行业协会的相关规定进行估值。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10、本基金投资存托凭证的估值核算，依照境内上市交易的股票执行</w:t>
      </w:r>
      <w:r>
        <w:rPr>
          <w:rFonts w:ascii="宋体" w:hAnsi="宋体" w:hint="eastAsia"/>
          <w:bCs/>
          <w:sz w:val="24"/>
          <w:szCs w:val="24"/>
          <w:highlight w:val="white"/>
          <w:lang w:eastAsia="zh-CN"/>
        </w:rPr>
        <w:t>。</w:t>
      </w:r>
    </w:p>
    <w:p w:rsidR="009C565C">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11、汇率</w:t>
      </w:r>
    </w:p>
    <w:p w:rsidR="009C565C">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9C565C">
      <w:pPr>
        <w:pBdr>
          <w:top w:val="nil"/>
          <w:left w:val="nil"/>
          <w:bottom w:val="nil"/>
          <w:right w:val="nil"/>
        </w:pBd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cs="宋体"/>
          <w:color w:val="000000"/>
          <w:sz w:val="24"/>
          <w:highlight w:val="white"/>
          <w:lang w:eastAsia="zh-CN"/>
        </w:rPr>
        <w:t>税收</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13、如有充分理由表明按上述方法进行估值不能客观反映其公允价值的，基金管理人可根据具体情况与基金托管人商定后，按最能反映公允价值的价格估值。</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14、当发生大额申购或赎回情形时，基金管理人可以采用摆动定价机制，以确保基金估值的公平性。</w:t>
      </w:r>
    </w:p>
    <w:p w:rsidR="009C565C">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15、相关法律法规以及监管部门有强制规定的，从其规定。如有新增事项，按国家最新规定估值。</w:t>
      </w:r>
    </w:p>
    <w:p w:rsidR="009C565C">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9C565C">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、基金份额净值是按照每个估值日闭市后，基金资产净值除以当日基金份额的余额数量计算，精确到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每个估值日计算基金资产净值及基金份额净值，并按规定公告。</w:t>
      </w:r>
    </w:p>
    <w:p w:rsidR="009C565C">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 xml:space="preserve"> 位）发生估值错误时，视为基金份额净值错误。</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）估值错误调整采用尽量恢复至假设未发生估值错误的正确情形的方式。</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、基金份额净值估值错误处理的方法如下：</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（3）前述内容如法律法规或监管机关另有规定的，从其规定处理。</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1、基金投资所涉及的证券交易市场遇法定节假日或因其他原因暂停营业时</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9C565C">
      <w:pPr>
        <w:spacing w:line="360" w:lineRule="auto"/>
        <w:ind w:firstLine="480"/>
        <w:rPr>
          <w:rFonts w:ascii="宋体" w:hAnsi="宋体"/>
          <w:sz w:val="24"/>
          <w:szCs w:val="24"/>
          <w:lang w:eastAsia="zh-CN"/>
        </w:rPr>
      </w:pPr>
      <w:r>
        <w:rPr>
          <w:rFonts w:ascii="宋体" w:hAnsi="宋体"/>
          <w:color w:val="000000"/>
          <w:sz w:val="24"/>
          <w:szCs w:val="24"/>
          <w:highlight w:val="white"/>
          <w:lang w:eastAsia="zh-CN"/>
        </w:rPr>
        <w:t>4</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9C565C">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、基金管理人或基金托管人按估值方法的第13项进行估值时，所造成的误差不作为基金资产估值错误处理。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9C565C">
      <w:pPr>
        <w:spacing w:line="360" w:lineRule="auto"/>
        <w:ind w:firstLine="480"/>
        <w:rPr>
          <w:rFonts w:ascii="宋体" w:hAnsi="宋体"/>
          <w:sz w:val="24"/>
          <w:lang w:eastAsia="zh-CN"/>
        </w:rPr>
      </w:pPr>
    </w:p>
    <w:p w:rsidR="009C565C">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2" w:name="_Toc446339253"/>
      <w:bookmarkStart w:id="343" w:name="_Toc19706"/>
      <w:bookmarkStart w:id="344" w:name="_Toc15779"/>
      <w:bookmarkStart w:id="345" w:name="_Toc24601"/>
      <w:bookmarkStart w:id="346" w:name="_Toc6327220"/>
      <w:bookmarkStart w:id="347" w:name="_Toc12105"/>
      <w:bookmarkStart w:id="348" w:name="_Toc32041"/>
      <w:bookmarkStart w:id="349" w:name="_Toc6493"/>
      <w:bookmarkStart w:id="350" w:name="_Toc13987"/>
      <w:bookmarkStart w:id="351" w:name="_Toc3365"/>
      <w:bookmarkStart w:id="352" w:name="_Toc32227"/>
      <w:bookmarkStart w:id="353" w:name="_Toc19752"/>
      <w:r>
        <w:rPr>
          <w:rFonts w:hAnsi="宋体" w:hint="eastAsia"/>
          <w:color w:val="auto"/>
          <w:sz w:val="30"/>
          <w:highlight w:val="white"/>
          <w:lang w:eastAsia="zh-CN"/>
        </w:rPr>
        <w:t>第十五部分 基金费用与税收</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bCs/>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7、基金的证券交易费用；</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8、基金的银行汇划费用；</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本基金的管理费按前一日基金资产净值的</w:t>
      </w:r>
      <w:r>
        <w:rPr>
          <w:rFonts w:ascii="宋体" w:hAnsi="宋体"/>
          <w:sz w:val="24"/>
          <w:szCs w:val="24"/>
          <w:lang w:eastAsia="zh-CN"/>
        </w:rPr>
        <w:t>1.20%</w:t>
      </w:r>
      <w:r>
        <w:rPr>
          <w:rFonts w:ascii="宋体" w:hAnsi="宋体" w:hint="eastAsia"/>
          <w:bCs/>
          <w:sz w:val="24"/>
          <w:szCs w:val="24"/>
          <w:highlight w:val="white"/>
          <w:lang w:eastAsia="zh-CN"/>
        </w:rPr>
        <w:t>年费率计提。管理费的计算方法如下：</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w:t>
      </w:r>
      <w:r>
        <w:rPr>
          <w:rFonts w:ascii="宋体" w:hAnsi="宋体"/>
          <w:bCs/>
          <w:sz w:val="24"/>
          <w:szCs w:val="24"/>
          <w:highlight w:val="white"/>
          <w:lang w:eastAsia="zh-CN"/>
        </w:rPr>
        <w:t>E×</w:t>
      </w:r>
      <w:r>
        <w:rPr>
          <w:rFonts w:ascii="宋体" w:hAnsi="宋体"/>
          <w:sz w:val="24"/>
          <w:szCs w:val="24"/>
          <w:lang w:eastAsia="zh-CN"/>
        </w:rPr>
        <w:t>1.20%</w:t>
      </w:r>
      <w:r>
        <w:rPr>
          <w:rFonts w:ascii="宋体" w:hAnsi="宋体"/>
          <w:bCs/>
          <w:sz w:val="24"/>
          <w:szCs w:val="24"/>
          <w:highlight w:val="white"/>
          <w:lang w:eastAsia="zh-CN"/>
        </w:rPr>
        <w:t>÷</w:t>
      </w:r>
      <w:r>
        <w:rPr>
          <w:rFonts w:ascii="宋体" w:hAnsi="宋体" w:hint="eastAsia"/>
          <w:bCs/>
          <w:sz w:val="24"/>
          <w:szCs w:val="24"/>
          <w:highlight w:val="white"/>
          <w:lang w:eastAsia="zh-CN"/>
        </w:rPr>
        <w:t>当年天数</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为每日应计提的基金管理费</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9C565C">
      <w:pPr>
        <w:spacing w:line="360" w:lineRule="auto"/>
        <w:ind w:firstLine="420"/>
        <w:rPr>
          <w:rFonts w:ascii="宋体" w:hAnsi="宋体"/>
          <w:sz w:val="24"/>
          <w:szCs w:val="24"/>
          <w:lang w:eastAsia="zh-CN"/>
        </w:rPr>
      </w:pPr>
      <w:r>
        <w:rPr>
          <w:rFonts w:ascii="宋体" w:hAnsi="宋体" w:hint="eastAsia"/>
          <w:sz w:val="24"/>
          <w:szCs w:val="24"/>
          <w:highlight w:val="white"/>
          <w:lang w:eastAsia="zh-CN"/>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9C565C">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9C565C">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9C565C">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9C565C">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本基金A类基金份额不收取销售服务费，C类基金份额的销售服务费年费率为</w:t>
      </w:r>
      <w:r>
        <w:rPr>
          <w:rFonts w:ascii="宋体" w:hAnsi="宋体"/>
          <w:sz w:val="24"/>
          <w:szCs w:val="24"/>
          <w:lang w:eastAsia="zh-CN"/>
        </w:rPr>
        <w:t>0.</w:t>
      </w:r>
      <w:r w:rsidR="0041098E">
        <w:rPr>
          <w:rFonts w:ascii="宋体" w:hAnsi="宋体"/>
          <w:sz w:val="24"/>
          <w:szCs w:val="24"/>
          <w:lang w:eastAsia="zh-CN"/>
        </w:rPr>
        <w:t>4</w:t>
      </w:r>
      <w:r>
        <w:rPr>
          <w:rFonts w:ascii="宋体" w:hAnsi="宋体"/>
          <w:sz w:val="24"/>
          <w:szCs w:val="24"/>
          <w:lang w:eastAsia="zh-CN"/>
        </w:rPr>
        <w:t>0%</w:t>
      </w:r>
      <w:r>
        <w:rPr>
          <w:rFonts w:ascii="宋体" w:hAnsi="宋体" w:hint="eastAsia"/>
          <w:bCs/>
          <w:sz w:val="24"/>
          <w:szCs w:val="24"/>
          <w:highlight w:val="white"/>
          <w:lang w:eastAsia="zh-CN"/>
        </w:rPr>
        <w:t>，按</w:t>
      </w:r>
      <w:r w:rsidR="00135A68">
        <w:rPr>
          <w:rFonts w:ascii="宋体" w:hAnsi="宋体" w:hint="eastAsia"/>
          <w:bCs/>
          <w:sz w:val="24"/>
          <w:szCs w:val="24"/>
          <w:highlight w:val="white"/>
          <w:lang w:eastAsia="zh-CN"/>
        </w:rPr>
        <w:t>C类基金份额</w:t>
      </w:r>
      <w:r>
        <w:rPr>
          <w:rFonts w:ascii="宋体" w:hAnsi="宋体" w:hint="eastAsia"/>
          <w:bCs/>
          <w:sz w:val="24"/>
          <w:szCs w:val="24"/>
          <w:highlight w:val="white"/>
          <w:lang w:eastAsia="zh-CN"/>
        </w:rPr>
        <w:t>前一日</w:t>
      </w:r>
      <w:r>
        <w:rPr>
          <w:rFonts w:ascii="宋体" w:hAnsi="宋体" w:hint="eastAsia"/>
          <w:bCs/>
          <w:sz w:val="24"/>
          <w:szCs w:val="24"/>
          <w:highlight w:val="white"/>
          <w:lang w:eastAsia="zh-CN"/>
        </w:rPr>
        <w:t>基金资产净值的</w:t>
      </w:r>
      <w:r>
        <w:rPr>
          <w:rFonts w:ascii="宋体" w:hAnsi="宋体"/>
          <w:sz w:val="24"/>
          <w:szCs w:val="24"/>
          <w:lang w:eastAsia="zh-CN"/>
        </w:rPr>
        <w:t>0.</w:t>
      </w:r>
      <w:r w:rsidR="0041098E">
        <w:rPr>
          <w:rFonts w:ascii="宋体" w:hAnsi="宋体"/>
          <w:sz w:val="24"/>
          <w:szCs w:val="24"/>
          <w:lang w:eastAsia="zh-CN"/>
        </w:rPr>
        <w:t>4</w:t>
      </w:r>
      <w:r>
        <w:rPr>
          <w:rFonts w:ascii="宋体" w:hAnsi="宋体"/>
          <w:sz w:val="24"/>
          <w:szCs w:val="24"/>
          <w:lang w:eastAsia="zh-CN"/>
        </w:rPr>
        <w:t>0%</w:t>
      </w:r>
      <w:r>
        <w:rPr>
          <w:rFonts w:ascii="宋体" w:hAnsi="宋体" w:hint="eastAsia"/>
          <w:bCs/>
          <w:sz w:val="24"/>
          <w:szCs w:val="24"/>
          <w:highlight w:val="white"/>
          <w:lang w:eastAsia="zh-CN"/>
        </w:rPr>
        <w:t>年费率计提。</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H＝E×</w:t>
      </w:r>
      <w:r>
        <w:rPr>
          <w:rFonts w:ascii="宋体" w:hAnsi="宋体"/>
          <w:sz w:val="24"/>
          <w:szCs w:val="24"/>
          <w:lang w:eastAsia="zh-CN"/>
        </w:rPr>
        <w:t>0.</w:t>
      </w:r>
      <w:r w:rsidR="0041098E">
        <w:rPr>
          <w:rFonts w:ascii="宋体" w:hAnsi="宋体"/>
          <w:sz w:val="24"/>
          <w:szCs w:val="24"/>
          <w:lang w:eastAsia="zh-CN"/>
        </w:rPr>
        <w:t>4</w:t>
      </w:r>
      <w:r>
        <w:rPr>
          <w:rFonts w:ascii="宋体" w:hAnsi="宋体"/>
          <w:sz w:val="24"/>
          <w:szCs w:val="24"/>
          <w:lang w:eastAsia="zh-CN"/>
        </w:rPr>
        <w:t>0%</w:t>
      </w:r>
      <w:r>
        <w:rPr>
          <w:rFonts w:ascii="宋体" w:hAnsi="宋体" w:hint="eastAsia"/>
          <w:bCs/>
          <w:sz w:val="24"/>
          <w:szCs w:val="24"/>
          <w:highlight w:val="white"/>
          <w:lang w:eastAsia="zh-CN"/>
        </w:rPr>
        <w:t>÷当年天数</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 为C类基金份额每日应计提的销售服务费</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E 为C类基金份额前一日基金资产净值</w:t>
      </w:r>
    </w:p>
    <w:p w:rsidR="0041098E" w:rsidP="0041098E">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销售服务费每日计提。</w:t>
      </w:r>
    </w:p>
    <w:p w:rsidR="0041098E" w:rsidP="0041098E">
      <w:pPr>
        <w:spacing w:line="360" w:lineRule="auto"/>
        <w:ind w:firstLine="480"/>
        <w:rPr>
          <w:rFonts w:ascii="宋体" w:hAnsi="宋体"/>
          <w:bCs/>
          <w:sz w:val="24"/>
          <w:szCs w:val="24"/>
          <w:highlight w:val="white"/>
          <w:lang w:eastAsia="zh-CN"/>
        </w:rPr>
      </w:pPr>
      <w:r>
        <w:rPr>
          <w:rFonts w:ascii="宋体" w:hAnsi="宋体"/>
          <w:bCs/>
          <w:sz w:val="24"/>
          <w:szCs w:val="24"/>
          <w:highlight w:val="white"/>
          <w:lang w:eastAsia="zh-CN"/>
        </w:rPr>
        <w:t>（1）通过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C类</w:t>
      </w:r>
      <w:r>
        <w:rPr>
          <w:rFonts w:ascii="宋体" w:hAnsi="宋体"/>
          <w:bCs/>
          <w:sz w:val="24"/>
          <w:szCs w:val="24"/>
          <w:highlight w:val="white"/>
          <w:lang w:eastAsia="zh-CN"/>
        </w:rPr>
        <w:t>基金份额</w:t>
      </w:r>
    </w:p>
    <w:p w:rsidR="0041098E" w:rsidP="0041098E">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对于基金份额计提的销售服务费，在投资者赎回基金份额或基金合同终止时，随赎回款（或清算款）一并返还给投资者。</w:t>
      </w:r>
    </w:p>
    <w:p w:rsidR="0041098E" w:rsidP="0041098E">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（2）通过其他销售机构投资的C类基金份额</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对于投资者持续持有期限不</w:t>
      </w:r>
      <w:r w:rsidRPr="00A30DE9">
        <w:rPr>
          <w:rFonts w:ascii="宋体" w:hAnsi="宋体" w:hint="eastAsia"/>
          <w:sz w:val="24"/>
          <w:szCs w:val="24"/>
          <w:highlight w:val="white"/>
          <w:lang w:eastAsia="zh-CN"/>
        </w:rPr>
        <w:t>超过</w:t>
      </w:r>
      <w:r>
        <w:rPr>
          <w:rFonts w:ascii="宋体" w:hAnsi="宋体" w:hint="eastAsia"/>
          <w:sz w:val="24"/>
          <w:szCs w:val="24"/>
          <w:highlight w:val="white"/>
          <w:lang w:eastAsia="zh-CN"/>
        </w:rPr>
        <w:t>一年（即</w:t>
      </w:r>
      <w:r>
        <w:rPr>
          <w:rFonts w:ascii="宋体" w:hAnsi="宋体"/>
          <w:sz w:val="24"/>
          <w:szCs w:val="24"/>
          <w:highlight w:val="white"/>
          <w:lang w:eastAsia="zh-CN"/>
        </w:rPr>
        <w:t>365</w:t>
      </w:r>
      <w:r>
        <w:rPr>
          <w:rFonts w:ascii="宋体" w:hAnsi="宋体" w:hint="eastAsia"/>
          <w:sz w:val="24"/>
          <w:szCs w:val="24"/>
          <w:highlight w:val="white"/>
          <w:lang w:eastAsia="zh-CN"/>
        </w:rPr>
        <w:t>天，下同）的基金份额计提的销售服务费</w:t>
      </w:r>
      <w:r w:rsidR="00501B82">
        <w:rPr>
          <w:rFonts w:ascii="宋体" w:hAnsi="宋体" w:hint="eastAsia"/>
          <w:sz w:val="24"/>
          <w:szCs w:val="24"/>
          <w:highlight w:val="white"/>
          <w:lang w:eastAsia="zh-CN"/>
        </w:rPr>
        <w:t>，</w:t>
      </w:r>
      <w:r w:rsidRPr="007D7520" w:rsidR="00E50439">
        <w:rPr>
          <w:rFonts w:ascii="宋体" w:hAnsi="宋体" w:hint="eastAsia"/>
          <w:sz w:val="24"/>
          <w:szCs w:val="24"/>
          <w:highlight w:val="white"/>
          <w:lang w:eastAsia="zh-CN"/>
        </w:rPr>
        <w:t>逐日累计至每月月末，按月支付，由基金托管人</w:t>
      </w:r>
      <w:r w:rsidRPr="00E50439" w:rsidR="00E50439">
        <w:rPr>
          <w:rFonts w:ascii="宋体" w:hAnsi="宋体" w:hint="eastAsia"/>
          <w:sz w:val="24"/>
          <w:szCs w:val="24"/>
          <w:highlight w:val="white"/>
          <w:lang w:eastAsia="zh-CN"/>
        </w:rPr>
        <w:t>在次月初五个工作日内</w:t>
      </w:r>
      <w:r w:rsidRPr="007D7520" w:rsidR="00E50439">
        <w:rPr>
          <w:rFonts w:ascii="宋体" w:hAnsi="宋体" w:hint="eastAsia"/>
          <w:sz w:val="24"/>
          <w:szCs w:val="24"/>
          <w:highlight w:val="white"/>
          <w:lang w:eastAsia="zh-CN"/>
        </w:rPr>
        <w:t>按照与基金管理人协商一致的方式从基金财产中一次性支付</w:t>
      </w:r>
      <w:r w:rsidR="00501B82">
        <w:rPr>
          <w:rFonts w:ascii="宋体" w:hAnsi="宋体" w:hint="eastAsia"/>
          <w:sz w:val="24"/>
          <w:szCs w:val="24"/>
          <w:highlight w:val="white"/>
          <w:lang w:eastAsia="zh-CN"/>
        </w:rPr>
        <w:t>。若遇法定节假日、公休日等，支付日期顺延。</w:t>
      </w:r>
    </w:p>
    <w:p w:rsidR="0041098E">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对于持续持有期限</w:t>
      </w:r>
      <w:r>
        <w:rPr>
          <w:rFonts w:ascii="宋体" w:hAnsi="宋体" w:hint="eastAsia"/>
          <w:sz w:val="24"/>
          <w:szCs w:val="24"/>
          <w:highlight w:val="white"/>
          <w:lang w:eastAsia="zh-CN"/>
        </w:rPr>
        <w:t>超过一年的基金份额继续计提的销售服务费，在投资者赎回基金份额或基金合同终止时，随赎回款（或清算款）一并返还给投资者。</w:t>
      </w:r>
    </w:p>
    <w:p w:rsidR="0041098E">
      <w:pPr>
        <w:spacing w:line="360" w:lineRule="auto"/>
        <w:ind w:firstLine="480"/>
        <w:rPr>
          <w:rFonts w:ascii="宋体" w:hAnsi="宋体"/>
          <w:sz w:val="24"/>
          <w:szCs w:val="24"/>
          <w:lang w:eastAsia="zh-CN"/>
        </w:rPr>
      </w:pPr>
      <w:r>
        <w:rPr>
          <w:rFonts w:ascii="宋体" w:hAnsi="宋体" w:hint="eastAsia"/>
          <w:sz w:val="24"/>
          <w:szCs w:val="24"/>
          <w:lang w:eastAsia="zh-CN"/>
        </w:rPr>
        <w:t>销售服务费计提后按规定收取或返还投资者的金额以登记机构的计算结果为准</w:t>
      </w:r>
      <w:r w:rsidRPr="001978F9" w:rsidR="005A138D">
        <w:rPr>
          <w:rFonts w:ascii="宋体" w:hAnsi="宋体"/>
          <w:sz w:val="24"/>
          <w:szCs w:val="24"/>
          <w:lang w:eastAsia="zh-CN"/>
        </w:rPr>
        <w:t>，托管人无需复核</w:t>
      </w:r>
      <w:r>
        <w:rPr>
          <w:rFonts w:ascii="宋体" w:hAnsi="宋体" w:hint="eastAsia"/>
          <w:sz w:val="24"/>
          <w:szCs w:val="24"/>
          <w:lang w:eastAsia="zh-CN"/>
        </w:rPr>
        <w:t>。</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4" w:name="_Hlt88827255"/>
      <w:bookmarkEnd w:id="354"/>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9C565C">
      <w:pPr>
        <w:spacing w:line="360" w:lineRule="auto"/>
        <w:ind w:firstLine="480"/>
        <w:rPr>
          <w:rFonts w:ascii="宋体" w:hAnsi="宋体"/>
          <w:sz w:val="24"/>
          <w:szCs w:val="24"/>
          <w:lang w:eastAsia="zh-CN"/>
        </w:rPr>
      </w:pPr>
    </w:p>
    <w:p w:rsidR="009C565C">
      <w:pPr>
        <w:pStyle w:val="11"/>
        <w:spacing w:before="0" w:after="0"/>
        <w:jc w:val="center"/>
        <w:rPr>
          <w:rFonts w:hAnsi="宋体"/>
          <w:color w:val="auto"/>
          <w:sz w:val="30"/>
          <w:lang w:eastAsia="zh-CN"/>
        </w:rPr>
      </w:pPr>
      <w:bookmarkStart w:id="355" w:name="_Toc93226149"/>
      <w:bookmarkStart w:id="356" w:name="_Toc92662707"/>
      <w:bookmarkStart w:id="357" w:name="_Toc128310499"/>
      <w:bookmarkStart w:id="358" w:name="_Toc141703896"/>
      <w:bookmarkStart w:id="359" w:name="_Toc22552"/>
      <w:bookmarkStart w:id="360" w:name="_Toc139991746"/>
      <w:r>
        <w:rPr>
          <w:rFonts w:hAnsi="宋体"/>
          <w:b w:val="0"/>
          <w:color w:val="auto"/>
          <w:sz w:val="30"/>
          <w:highlight w:val="white"/>
          <w:lang w:eastAsia="zh-CN"/>
        </w:rPr>
        <w:br w:type="page"/>
      </w:r>
      <w:bookmarkStart w:id="361" w:name="_Toc3656"/>
      <w:bookmarkStart w:id="362" w:name="_Toc15525"/>
      <w:bookmarkStart w:id="363" w:name="_Toc25883"/>
      <w:bookmarkStart w:id="364" w:name="_Toc19558"/>
      <w:bookmarkStart w:id="365" w:name="_Toc15351"/>
      <w:bookmarkStart w:id="366" w:name="_Toc6327221"/>
      <w:bookmarkStart w:id="367" w:name="_Toc21829"/>
      <w:bookmarkStart w:id="368" w:name="_Toc20052"/>
      <w:bookmarkStart w:id="369" w:name="_Toc12761"/>
      <w:bookmarkStart w:id="370" w:name="_Toc446339254"/>
      <w:bookmarkStart w:id="371" w:name="_Toc1617"/>
      <w:bookmarkStart w:id="372" w:name="_Toc178"/>
      <w:r>
        <w:rPr>
          <w:rFonts w:hAnsi="宋体" w:hint="eastAsia"/>
          <w:color w:val="auto"/>
          <w:sz w:val="30"/>
          <w:highlight w:val="white"/>
          <w:lang w:eastAsia="zh-CN"/>
        </w:rPr>
        <w:t>第十六部分</w:t>
      </w:r>
      <w:r>
        <w:rPr>
          <w:rFonts w:hAnsi="宋体"/>
          <w:sz w:val="30"/>
          <w:highlight w:val="white"/>
          <w:lang w:eastAsia="zh-CN"/>
        </w:rPr>
        <w:t xml:space="preserve"> </w:t>
      </w:r>
      <w:r>
        <w:rPr>
          <w:rFonts w:hAnsi="宋体" w:hint="eastAsia"/>
          <w:color w:val="auto"/>
          <w:sz w:val="30"/>
          <w:highlight w:val="white"/>
          <w:lang w:eastAsia="zh-CN"/>
        </w:rPr>
        <w:t>基金</w:t>
      </w:r>
      <w:bookmarkEnd w:id="355"/>
      <w:bookmarkEnd w:id="356"/>
      <w:r>
        <w:rPr>
          <w:rFonts w:hAnsi="宋体" w:hint="eastAsia"/>
          <w:color w:val="auto"/>
          <w:sz w:val="30"/>
          <w:highlight w:val="white"/>
          <w:lang w:eastAsia="zh-CN"/>
        </w:rPr>
        <w:t>的收益与分配</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9C565C">
      <w:pPr>
        <w:spacing w:line="360" w:lineRule="auto"/>
        <w:rPr>
          <w:rFonts w:ascii="宋体" w:hAnsi="宋体"/>
          <w:sz w:val="24"/>
          <w:szCs w:val="24"/>
          <w:lang w:eastAsia="zh-CN"/>
        </w:rPr>
      </w:pP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二、基金可供分配利润</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9C565C">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9C565C">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宋体"/>
          <w:bCs/>
          <w:sz w:val="24"/>
          <w:szCs w:val="24"/>
          <w:highlight w:val="white"/>
          <w:lang w:eastAsia="zh-CN"/>
        </w:rPr>
        <w:t>；</w:t>
      </w:r>
    </w:p>
    <w:p w:rsidR="009C565C">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基金收益分配后基金份额净值不能低于面值；即基金收益分配基准日的基金份额净值减去每单位基金份额收益分配金额后不能低于面值</w:t>
      </w:r>
      <w:r>
        <w:rPr>
          <w:rFonts w:ascii="宋体" w:hAnsi="宋体" w:hint="eastAsia"/>
          <w:bCs/>
          <w:sz w:val="24"/>
          <w:szCs w:val="24"/>
          <w:highlight w:val="white"/>
          <w:lang w:eastAsia="zh-CN"/>
        </w:rPr>
        <w:t>；</w:t>
      </w:r>
    </w:p>
    <w:p w:rsidR="009C565C">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9C565C">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w:t>
      </w:r>
      <w:r w:rsidRPr="00A72F67" w:rsidR="008914AE">
        <w:rPr>
          <w:rFonts w:ascii="宋体" w:hAnsi="宋体" w:hint="eastAsia"/>
          <w:bCs/>
          <w:sz w:val="24"/>
          <w:szCs w:val="24"/>
          <w:lang w:eastAsia="zh-CN"/>
        </w:rPr>
        <w:t>履行适当程序后，</w:t>
      </w:r>
      <w:r>
        <w:rPr>
          <w:rFonts w:ascii="宋体" w:hAnsi="宋体" w:hint="eastAsia"/>
          <w:bCs/>
          <w:sz w:val="24"/>
          <w:szCs w:val="24"/>
          <w:highlight w:val="white"/>
          <w:lang w:eastAsia="zh-CN"/>
        </w:rPr>
        <w:t>可调整基金收益的分配原则和支付方式</w:t>
      </w:r>
      <w:r>
        <w:rPr>
          <w:rFonts w:ascii="宋体" w:hAnsi="宋体" w:hint="eastAsia"/>
          <w:bCs/>
          <w:sz w:val="24"/>
          <w:szCs w:val="24"/>
          <w:highlight w:val="white"/>
          <w:lang w:eastAsia="zh-CN"/>
        </w:rPr>
        <w:t>；</w:t>
      </w:r>
    </w:p>
    <w:p w:rsidR="009C565C">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9C565C">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9C565C">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w:t>
      </w:r>
      <w:r>
        <w:rPr>
          <w:rFonts w:ascii="宋体" w:hAnsi="宋体" w:hint="eastAsia"/>
          <w:sz w:val="24"/>
          <w:szCs w:val="24"/>
          <w:highlight w:val="white"/>
          <w:lang w:eastAsia="zh-CN"/>
        </w:rPr>
        <w:t>日内在规定媒介公告。</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9C565C">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r>
        <w:rPr>
          <w:rFonts w:ascii="宋体" w:hAnsi="宋体"/>
          <w:bCs/>
          <w:sz w:val="24"/>
          <w:szCs w:val="24"/>
          <w:highlight w:val="white"/>
          <w:lang w:eastAsia="zh-CN"/>
        </w:rPr>
        <w:t>当投资者的现金红利小于一定金额</w:t>
      </w:r>
      <w:r>
        <w:rPr>
          <w:rFonts w:ascii="宋体" w:hAnsi="宋体" w:hint="eastAsia"/>
          <w:sz w:val="24"/>
          <w:szCs w:val="24"/>
          <w:highlight w:val="white"/>
          <w:lang w:eastAsia="zh-CN"/>
        </w:rPr>
        <w:t>，不足以支付银行转账或其他手续费用时，</w:t>
      </w:r>
      <w:r>
        <w:rPr>
          <w:rFonts w:ascii="宋体" w:hAnsi="宋体"/>
          <w:bCs/>
          <w:sz w:val="24"/>
          <w:szCs w:val="24"/>
          <w:highlight w:val="white"/>
          <w:lang w:eastAsia="zh-CN"/>
        </w:rPr>
        <w:t>基金登记机构可将基金份额持有人的现金红利自动转为</w:t>
      </w:r>
      <w:r>
        <w:rPr>
          <w:rFonts w:ascii="宋体" w:hAnsi="宋体" w:hint="eastAsia"/>
          <w:bCs/>
          <w:sz w:val="24"/>
          <w:szCs w:val="24"/>
          <w:highlight w:val="white"/>
          <w:lang w:eastAsia="zh-CN"/>
        </w:rPr>
        <w:t>对应类别的</w:t>
      </w:r>
      <w:r>
        <w:rPr>
          <w:rFonts w:ascii="宋体" w:hAnsi="宋体"/>
          <w:bCs/>
          <w:sz w:val="24"/>
          <w:szCs w:val="24"/>
          <w:highlight w:val="white"/>
          <w:lang w:eastAsia="zh-CN"/>
        </w:rPr>
        <w:t>基金份额。</w:t>
      </w:r>
      <w:r>
        <w:rPr>
          <w:rFonts w:ascii="宋体" w:hAnsi="宋体" w:hint="eastAsia"/>
          <w:sz w:val="24"/>
          <w:szCs w:val="24"/>
          <w:highlight w:val="white"/>
          <w:lang w:eastAsia="zh-CN"/>
        </w:rPr>
        <w:t>红利再投资的计算方法，依照《业务规则》执行。</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9C565C">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9C565C">
      <w:pPr>
        <w:spacing w:line="360" w:lineRule="auto"/>
        <w:ind w:firstLine="540"/>
        <w:rPr>
          <w:rFonts w:ascii="宋体" w:hAnsi="宋体"/>
          <w:sz w:val="24"/>
          <w:szCs w:val="24"/>
          <w:lang w:eastAsia="zh-CN"/>
        </w:rPr>
      </w:pPr>
    </w:p>
    <w:p w:rsidR="009C565C">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3" w:name="_Toc93226150"/>
      <w:bookmarkStart w:id="374" w:name="_Toc92662708"/>
      <w:bookmarkStart w:id="375" w:name="_Toc18747"/>
      <w:bookmarkStart w:id="376" w:name="_Toc139991747"/>
      <w:bookmarkStart w:id="377" w:name="_Toc128310500"/>
      <w:bookmarkStart w:id="378" w:name="_Toc21206"/>
      <w:bookmarkStart w:id="379" w:name="_Toc10894"/>
      <w:bookmarkStart w:id="380" w:name="_Toc141703897"/>
      <w:bookmarkStart w:id="381" w:name="_Toc13255"/>
      <w:bookmarkStart w:id="382" w:name="_Toc23859"/>
      <w:bookmarkStart w:id="383" w:name="_Toc1043"/>
      <w:bookmarkStart w:id="384" w:name="_Toc446339255"/>
      <w:bookmarkStart w:id="385" w:name="_Toc31736"/>
      <w:bookmarkStart w:id="386" w:name="_Toc18007"/>
      <w:bookmarkStart w:id="387" w:name="_Toc17499"/>
      <w:bookmarkStart w:id="388" w:name="_Toc28961"/>
      <w:bookmarkStart w:id="389" w:name="_Toc6327222"/>
      <w:bookmarkStart w:id="390"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3"/>
      <w:bookmarkEnd w:id="374"/>
      <w:r>
        <w:rPr>
          <w:rFonts w:hAnsi="宋体" w:hint="eastAsia"/>
          <w:color w:val="auto"/>
          <w:sz w:val="30"/>
          <w:highlight w:val="white"/>
          <w:lang w:eastAsia="zh-CN"/>
        </w:rPr>
        <w:t>的会计与审计</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9C565C">
      <w:pPr>
        <w:spacing w:line="360" w:lineRule="auto"/>
        <w:ind w:firstLine="482"/>
        <w:rPr>
          <w:rFonts w:ascii="宋体" w:hAnsi="宋体"/>
          <w:sz w:val="24"/>
          <w:szCs w:val="24"/>
          <w:lang w:eastAsia="zh-CN"/>
        </w:rPr>
      </w:pP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基金首次募集的会计年度按如下原则：如果《基金合同》生效少于2个月，可以并入下一个会计年度；</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、基金管理人及基金托管人各自保留完整的会计账目、凭证并进行日常的会计核算，按照有关规定编制基金会计报表；</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1" w:name="_Hlt4221115"/>
      <w:bookmarkEnd w:id="391"/>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9C565C">
      <w:pPr>
        <w:spacing w:line="360" w:lineRule="auto"/>
        <w:ind w:firstLine="482"/>
        <w:rPr>
          <w:rFonts w:ascii="宋体" w:hAnsi="宋体"/>
          <w:sz w:val="24"/>
          <w:szCs w:val="24"/>
          <w:lang w:eastAsia="zh-CN"/>
        </w:rPr>
      </w:pPr>
    </w:p>
    <w:p w:rsidR="009C565C">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392" w:name="_Toc92662709"/>
      <w:bookmarkStart w:id="393" w:name="_Toc93226151"/>
      <w:bookmarkStart w:id="394" w:name="_Toc29289"/>
      <w:bookmarkStart w:id="395" w:name="_Toc11049"/>
      <w:bookmarkStart w:id="396" w:name="_Toc1421"/>
      <w:bookmarkStart w:id="397" w:name="_Toc31866"/>
      <w:bookmarkStart w:id="398" w:name="_Toc8512"/>
      <w:bookmarkStart w:id="399" w:name="_Toc141703898"/>
      <w:bookmarkStart w:id="400" w:name="_Toc1173"/>
      <w:bookmarkStart w:id="401" w:name="_Toc12028"/>
      <w:bookmarkStart w:id="402" w:name="_Toc128310501"/>
      <w:bookmarkStart w:id="403" w:name="_Toc193"/>
      <w:bookmarkStart w:id="404" w:name="_Toc446339256"/>
      <w:bookmarkStart w:id="405" w:name="_Toc3056"/>
      <w:bookmarkStart w:id="406" w:name="_Toc11802"/>
      <w:bookmarkStart w:id="407" w:name="_Toc21351"/>
      <w:bookmarkStart w:id="408" w:name="_Toc139991748"/>
      <w:bookmarkStart w:id="409" w:name="_Toc6327223"/>
      <w:r>
        <w:rPr>
          <w:rFonts w:hAnsi="宋体" w:hint="eastAsia"/>
          <w:color w:val="auto"/>
          <w:sz w:val="30"/>
          <w:highlight w:val="white"/>
          <w:lang w:eastAsia="zh-CN"/>
        </w:rPr>
        <w:t>第十八部分</w:t>
      </w:r>
      <w:r>
        <w:rPr>
          <w:rFonts w:hAnsi="宋体"/>
          <w:sz w:val="30"/>
          <w:highlight w:val="white"/>
          <w:lang w:eastAsia="zh-CN"/>
        </w:rPr>
        <w:t xml:space="preserve"> </w:t>
      </w:r>
      <w:r>
        <w:rPr>
          <w:rFonts w:hAnsi="宋体" w:hint="eastAsia"/>
          <w:color w:val="auto"/>
          <w:sz w:val="30"/>
          <w:highlight w:val="white"/>
          <w:lang w:eastAsia="zh-CN"/>
        </w:rPr>
        <w:t>基金</w:t>
      </w:r>
      <w:bookmarkEnd w:id="392"/>
      <w:bookmarkEnd w:id="393"/>
      <w:r>
        <w:rPr>
          <w:rFonts w:hAnsi="宋体" w:hint="eastAsia"/>
          <w:color w:val="auto"/>
          <w:sz w:val="30"/>
          <w:highlight w:val="white"/>
          <w:lang w:eastAsia="zh-CN"/>
        </w:rPr>
        <w:t>的信息披露</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三、本基金信息披露义务人承诺公开披露的基金信息，不得有下列行为：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、登载任何自然人、法人和非法人组织的祝贺性、恭维性或推荐性的文字；</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9C565C">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除特别说明外，货币单位为人民币元。</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9C565C">
      <w:pPr>
        <w:spacing w:line="360" w:lineRule="auto"/>
        <w:ind w:firstLine="480"/>
        <w:rPr>
          <w:rFonts w:ascii="宋体" w:hAnsi="宋体"/>
          <w:sz w:val="24"/>
          <w:szCs w:val="24"/>
        </w:rPr>
      </w:pPr>
      <w:r>
        <w:rPr>
          <w:rFonts w:ascii="宋体" w:hAnsi="宋体" w:hint="eastAsia"/>
          <w:sz w:val="24"/>
          <w:szCs w:val="24"/>
          <w:highlight w:val="white"/>
        </w:rPr>
        <w:t>（三）《基金合同》生效公告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9C565C">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项下披露该投资者的类别、报告期末持有份额及占比、报告期内持有份额变化情况及本基金的特有风险，中国证监会认定的特殊情形除外。</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报告中披露基金组合资产情况及其流动性风险分析等。</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本基金发生重大事件，有关信息披露义务人应当在2日内编制临时报告书，并登载在规定报刊和规定网站上。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、管理费、托管费、销售服务费、申购费、赎回费等费用计提标准、计提方式和费率发生变更；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、基金份额净值计价错误达基金份额净值百分之零点五；</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9C565C">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、发生涉及基金申购、赎回事项调整或潜在影响投资者赎回等重大事项时；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25、基金信息披露义务人认为可能对基金份额持有人权益或者基金份额的价格产生重大影响的其他事项或中国证监会规定的其他事项。</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（十一）实施侧袋机制期间的信息披露</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（十二）中国证监会规定的其他信息</w:t>
      </w:r>
    </w:p>
    <w:p w:rsidR="009C565C">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若本基金投资股指期货、国债期货、资产支持证券、股票期权、港股通股票，参与融资业务，基金管理人将按相关法律法规要求进行披露。</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依法必须披露的信息发布后，基金管理人、基金托管人应当按照相关法律法规规定将信息置备于公司办公场所，供社会公众查阅、复制。</w:t>
      </w:r>
    </w:p>
    <w:p w:rsidR="009C565C">
      <w:pPr>
        <w:spacing w:line="360" w:lineRule="auto"/>
        <w:ind w:firstLine="480"/>
        <w:rPr>
          <w:rFonts w:ascii="宋体" w:hAnsi="宋体"/>
          <w:sz w:val="24"/>
          <w:szCs w:val="24"/>
          <w:lang w:eastAsia="zh-CN"/>
        </w:rPr>
      </w:pPr>
    </w:p>
    <w:p w:rsidR="009C565C">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0" w:name="_Toc29891"/>
      <w:bookmarkStart w:id="411" w:name="_Toc7170"/>
      <w:bookmarkStart w:id="412" w:name="_Toc27464"/>
      <w:bookmarkStart w:id="413" w:name="_Toc8049"/>
      <w:bookmarkStart w:id="414" w:name="_Toc22978"/>
      <w:bookmarkStart w:id="415" w:name="_Toc446339257"/>
      <w:bookmarkStart w:id="416" w:name="_Toc8059"/>
      <w:bookmarkStart w:id="417" w:name="_Toc11113"/>
      <w:bookmarkStart w:id="418" w:name="_Toc123051465"/>
      <w:bookmarkStart w:id="419" w:name="_Toc123112247"/>
      <w:bookmarkStart w:id="420" w:name="_Toc6237"/>
      <w:bookmarkStart w:id="421" w:name="_Toc98560364"/>
      <w:bookmarkStart w:id="422" w:name="_Toc9005"/>
      <w:bookmarkStart w:id="423" w:name="_Toc6327224"/>
      <w:bookmarkStart w:id="424" w:name="_Toc123102466"/>
      <w:bookmarkStart w:id="425" w:name="_Toc10006"/>
      <w:bookmarkStart w:id="426" w:name="_Toc25647"/>
      <w:bookmarkStart w:id="427" w:name="_Toc139991749"/>
      <w:bookmarkStart w:id="428" w:name="_Toc141703899"/>
      <w:r>
        <w:rPr>
          <w:rFonts w:hAnsi="宋体" w:hint="eastAsia"/>
          <w:color w:val="auto"/>
          <w:sz w:val="30"/>
          <w:highlight w:val="white"/>
          <w:lang w:eastAsia="zh-CN"/>
        </w:rPr>
        <w:t>第十九部分</w:t>
      </w:r>
      <w:bookmarkStart w:id="429" w:name="_Hlt88828593"/>
      <w:r>
        <w:rPr>
          <w:rFonts w:hAnsi="宋体" w:hint="eastAsia"/>
          <w:color w:val="auto"/>
          <w:sz w:val="30"/>
          <w:highlight w:val="white"/>
          <w:lang w:eastAsia="zh-CN"/>
        </w:rPr>
        <w:t xml:space="preserve"> 基金合同</w:t>
      </w:r>
      <w:bookmarkEnd w:id="429"/>
      <w:r>
        <w:rPr>
          <w:rFonts w:hAnsi="宋体" w:hint="eastAsia"/>
          <w:color w:val="auto"/>
          <w:sz w:val="30"/>
          <w:highlight w:val="white"/>
          <w:lang w:eastAsia="zh-CN"/>
        </w:rPr>
        <w:t>的变更、终止与基金财产的清算</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9C565C">
      <w:pPr>
        <w:spacing w:line="360" w:lineRule="auto"/>
        <w:ind w:firstLine="482"/>
        <w:rPr>
          <w:rFonts w:ascii="宋体" w:hAnsi="宋体"/>
          <w:sz w:val="24"/>
          <w:szCs w:val="24"/>
          <w:lang w:eastAsia="zh-CN"/>
        </w:rPr>
      </w:pPr>
    </w:p>
    <w:p w:rsidR="009C565C">
      <w:pPr>
        <w:spacing w:line="360" w:lineRule="auto"/>
        <w:ind w:firstLine="482"/>
        <w:rPr>
          <w:rFonts w:ascii="宋体" w:hAnsi="宋体"/>
          <w:sz w:val="24"/>
          <w:szCs w:val="24"/>
          <w:lang w:eastAsia="zh-CN"/>
        </w:rPr>
      </w:pPr>
      <w:bookmarkStart w:id="430" w:name="_Toc79392639"/>
      <w:r>
        <w:rPr>
          <w:rFonts w:ascii="宋体" w:hAnsi="宋体" w:hint="eastAsia"/>
          <w:sz w:val="24"/>
          <w:szCs w:val="24"/>
          <w:highlight w:val="white"/>
          <w:lang w:eastAsia="zh-CN"/>
        </w:rPr>
        <w:t>一、《基金合同》的变更</w:t>
      </w:r>
      <w:bookmarkEnd w:id="430"/>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2、关于《基金合同》变更的基金份额持有人大会决议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9C565C">
      <w:pPr>
        <w:pBdr>
          <w:top w:val="nil"/>
          <w:left w:val="nil"/>
          <w:bottom w:val="nil"/>
          <w:right w:val="nil"/>
        </w:pBd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9C565C">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9C565C">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9C565C">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）聘请会计师事务所对清算报告进行外部审计，聘请律师事务所对清算报告出具法律意见书；</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、基金财产清算的期限为6个月</w:t>
      </w:r>
      <w:r>
        <w:rPr>
          <w:rFonts w:ascii="宋体" w:hAnsi="宋体" w:hint="eastAsia"/>
          <w:bCs/>
          <w:sz w:val="24"/>
          <w:szCs w:val="24"/>
          <w:highlight w:val="white"/>
          <w:lang w:eastAsia="zh-CN"/>
        </w:rPr>
        <w:t>，但因本基金所持证券的流动性受到限制而不能及时变现的，清算期限相应顺延</w:t>
      </w:r>
      <w:r>
        <w:rPr>
          <w:rFonts w:ascii="宋体" w:hAnsi="宋体" w:hint="eastAsia"/>
          <w:sz w:val="24"/>
          <w:szCs w:val="24"/>
          <w:highlight w:val="white"/>
          <w:lang w:eastAsia="zh-CN"/>
        </w:rPr>
        <w:t>。</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9C565C" w:rsidRPr="00D00B59" w:rsidP="00D00B59">
      <w:pPr>
        <w:spacing w:line="360" w:lineRule="auto"/>
        <w:ind w:firstLine="482"/>
        <w:rPr>
          <w:rFonts w:ascii="宋体" w:hAnsi="宋体"/>
          <w:sz w:val="24"/>
          <w:szCs w:val="24"/>
          <w:lang w:eastAsia="zh-CN"/>
        </w:rPr>
      </w:pPr>
      <w:r>
        <w:rPr>
          <w:rFonts w:ascii="宋体" w:hAnsi="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00D00B59">
        <w:rPr>
          <w:rFonts w:ascii="宋体" w:hAnsi="宋体" w:cs="宋体"/>
          <w:color w:val="000000"/>
          <w:sz w:val="24"/>
          <w:highlight w:val="white"/>
          <w:lang w:eastAsia="zh-CN"/>
        </w:rPr>
        <w:t>分配金额需加上</w:t>
      </w:r>
      <w:r w:rsidR="00D00B59">
        <w:rPr>
          <w:rFonts w:ascii="宋体" w:hAnsi="宋体" w:cs="宋体" w:hint="eastAsia"/>
          <w:color w:val="000000"/>
          <w:sz w:val="24"/>
          <w:highlight w:val="white"/>
          <w:lang w:eastAsia="zh-CN"/>
        </w:rPr>
        <w:t>返还</w:t>
      </w:r>
      <w:r w:rsidR="00D00B59">
        <w:rPr>
          <w:rFonts w:ascii="宋体" w:hAnsi="宋体" w:cs="宋体"/>
          <w:color w:val="000000"/>
          <w:sz w:val="24"/>
          <w:highlight w:val="white"/>
          <w:lang w:eastAsia="zh-CN"/>
        </w:rPr>
        <w:t>基金份额持有人</w:t>
      </w:r>
      <w:r w:rsidR="00D00B59">
        <w:rPr>
          <w:rFonts w:ascii="宋体" w:hAnsi="宋体" w:cs="宋体" w:hint="eastAsia"/>
          <w:color w:val="000000"/>
          <w:sz w:val="24"/>
          <w:highlight w:val="white"/>
          <w:lang w:eastAsia="zh-CN"/>
        </w:rPr>
        <w:t>的销售服务费（如有）。</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个工作日内由基金财产清算小组进行公告。</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9C565C">
      <w:pPr>
        <w:spacing w:line="360" w:lineRule="auto"/>
        <w:ind w:firstLine="482"/>
        <w:rPr>
          <w:rFonts w:ascii="宋体" w:hAnsi="宋体"/>
          <w:bCs/>
          <w:sz w:val="24"/>
          <w:szCs w:val="24"/>
          <w:lang w:eastAsia="zh-CN"/>
        </w:rPr>
      </w:pPr>
    </w:p>
    <w:p w:rsidR="009C565C">
      <w:pPr>
        <w:pStyle w:val="11"/>
        <w:spacing w:before="0" w:after="0"/>
        <w:jc w:val="center"/>
        <w:rPr>
          <w:rFonts w:hAnsi="宋体"/>
          <w:color w:val="auto"/>
          <w:sz w:val="30"/>
          <w:lang w:eastAsia="zh-CN"/>
        </w:rPr>
      </w:pPr>
      <w:bookmarkStart w:id="431" w:name="_Toc123102467"/>
      <w:bookmarkStart w:id="432" w:name="_Toc123051466"/>
      <w:bookmarkStart w:id="433" w:name="_Toc98560365"/>
      <w:bookmarkStart w:id="434" w:name="_Toc48649720"/>
      <w:bookmarkStart w:id="435" w:name="_Toc123112248"/>
      <w:bookmarkStart w:id="436" w:name="_Toc79392641"/>
      <w:r>
        <w:rPr>
          <w:rFonts w:hAnsi="宋体"/>
          <w:b w:val="0"/>
          <w:bCs/>
          <w:color w:val="auto"/>
          <w:highlight w:val="white"/>
          <w:lang w:eastAsia="zh-CN"/>
        </w:rPr>
        <w:br w:type="page"/>
      </w:r>
      <w:bookmarkStart w:id="437" w:name="_Toc446339258"/>
      <w:bookmarkStart w:id="438" w:name="_Toc7367"/>
      <w:bookmarkStart w:id="439" w:name="_Toc23166"/>
      <w:bookmarkStart w:id="440" w:name="_Toc30645"/>
      <w:bookmarkStart w:id="441" w:name="_Toc23022"/>
      <w:bookmarkStart w:id="442" w:name="_Toc139991750"/>
      <w:bookmarkStart w:id="443" w:name="_Toc9708"/>
      <w:bookmarkStart w:id="444" w:name="_Toc28549"/>
      <w:bookmarkStart w:id="445" w:name="_Toc21240"/>
      <w:bookmarkStart w:id="446" w:name="_Toc12191"/>
      <w:bookmarkStart w:id="447" w:name="_Toc13398"/>
      <w:bookmarkStart w:id="448" w:name="_Toc27058"/>
      <w:bookmarkStart w:id="449" w:name="_Toc8710"/>
      <w:bookmarkStart w:id="450" w:name="_Toc141703901"/>
      <w:bookmarkStart w:id="451" w:name="_Toc6327225"/>
      <w:r>
        <w:rPr>
          <w:rFonts w:hAnsi="宋体" w:hint="eastAsia"/>
          <w:color w:val="auto"/>
          <w:sz w:val="30"/>
          <w:highlight w:val="white"/>
          <w:lang w:eastAsia="zh-CN"/>
        </w:rPr>
        <w:t>第二十部分 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9C565C">
      <w:pPr>
        <w:spacing w:line="360" w:lineRule="auto"/>
        <w:ind w:firstLine="480"/>
        <w:rPr>
          <w:rFonts w:ascii="宋体" w:hAnsi="宋体"/>
          <w:sz w:val="24"/>
          <w:szCs w:val="24"/>
          <w:lang w:eastAsia="zh-CN"/>
        </w:rPr>
      </w:pP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1、不可抗力；</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2、基金管理人和/或基金托管人按照当时有效的法律法规或中国证监会的规定作为或不作为而造成的损失等；</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3、基金管理人由于按照基金合同规定的投资原则投资或不投资造成的损失等。</w:t>
      </w:r>
    </w:p>
    <w:p w:rsidR="009C565C">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C565C">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C565C">
      <w:pPr>
        <w:spacing w:line="360" w:lineRule="auto"/>
        <w:ind w:firstLine="480"/>
        <w:rPr>
          <w:rFonts w:ascii="宋体" w:hAnsi="宋体"/>
          <w:bCs/>
          <w:sz w:val="24"/>
          <w:szCs w:val="24"/>
          <w:lang w:eastAsia="zh-CN"/>
        </w:rPr>
      </w:pPr>
    </w:p>
    <w:p w:rsidR="009C565C">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2" w:name="_Toc25651"/>
      <w:bookmarkStart w:id="453" w:name="_Toc7288"/>
      <w:bookmarkStart w:id="454" w:name="_Toc141703902"/>
      <w:bookmarkStart w:id="455" w:name="_Toc21983"/>
      <w:bookmarkStart w:id="456" w:name="_Toc123112249"/>
      <w:bookmarkStart w:id="457" w:name="_Toc123102468"/>
      <w:bookmarkStart w:id="458" w:name="_Toc139991751"/>
      <w:bookmarkStart w:id="459" w:name="_Toc123051467"/>
      <w:bookmarkStart w:id="460" w:name="_Toc30350"/>
      <w:bookmarkStart w:id="461" w:name="_Toc8636"/>
      <w:bookmarkStart w:id="462" w:name="_Toc98560366"/>
      <w:bookmarkStart w:id="463" w:name="_Toc6202"/>
      <w:bookmarkStart w:id="464" w:name="_Toc6327226"/>
      <w:bookmarkStart w:id="465" w:name="_Toc24923"/>
      <w:bookmarkStart w:id="466" w:name="_Toc23999"/>
      <w:bookmarkStart w:id="467" w:name="_Toc446339259"/>
      <w:bookmarkStart w:id="468" w:name="_Toc3319"/>
      <w:bookmarkStart w:id="469" w:name="_Toc6110"/>
      <w:bookmarkStart w:id="470" w:name="_Toc1790"/>
      <w:r>
        <w:rPr>
          <w:rFonts w:hAnsi="宋体" w:hint="eastAsia"/>
          <w:color w:val="auto"/>
          <w:sz w:val="30"/>
          <w:highlight w:val="white"/>
          <w:lang w:eastAsia="zh-CN"/>
        </w:rPr>
        <w:t>第二十一部分 争议的处理和适用的法律</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9C565C">
      <w:pPr>
        <w:spacing w:line="360" w:lineRule="auto"/>
        <w:ind w:firstLine="482"/>
        <w:rPr>
          <w:rFonts w:ascii="宋体" w:hAnsi="宋体"/>
          <w:sz w:val="24"/>
          <w:szCs w:val="24"/>
          <w:lang w:eastAsia="zh-CN"/>
        </w:rPr>
      </w:pPr>
    </w:p>
    <w:p w:rsidR="009C565C">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9C565C">
      <w:pPr>
        <w:spacing w:line="360" w:lineRule="auto"/>
        <w:ind w:firstLine="482"/>
        <w:rPr>
          <w:rFonts w:ascii="宋体" w:hAnsi="宋体"/>
          <w:bCs/>
          <w:sz w:val="24"/>
          <w:szCs w:val="24"/>
          <w:lang w:eastAsia="zh-CN"/>
        </w:rPr>
      </w:pPr>
    </w:p>
    <w:p w:rsidR="009C565C">
      <w:pPr>
        <w:widowControl/>
        <w:jc w:val="left"/>
        <w:rPr>
          <w:rFonts w:ascii="宋体" w:hAnsi="宋体"/>
          <w:b/>
          <w:sz w:val="30"/>
          <w:lang w:eastAsia="zh-CN"/>
        </w:rPr>
      </w:pPr>
      <w:bookmarkStart w:id="471" w:name="_Toc139991752"/>
      <w:bookmarkStart w:id="472" w:name="_Toc8454"/>
      <w:bookmarkStart w:id="473" w:name="_Toc20350"/>
      <w:bookmarkStart w:id="474" w:name="_Toc26461"/>
      <w:bookmarkStart w:id="475" w:name="_Toc484"/>
      <w:bookmarkStart w:id="476" w:name="_Toc2532"/>
      <w:bookmarkStart w:id="477" w:name="_Toc123112250"/>
      <w:bookmarkStart w:id="478" w:name="_Toc123102469"/>
      <w:bookmarkStart w:id="479" w:name="_Toc11618"/>
      <w:bookmarkStart w:id="480" w:name="_Toc8703"/>
      <w:bookmarkStart w:id="481" w:name="_Toc23991"/>
      <w:bookmarkStart w:id="482" w:name="_Toc123051468"/>
      <w:bookmarkStart w:id="483" w:name="_Toc141703903"/>
      <w:bookmarkStart w:id="484" w:name="_Toc31966"/>
      <w:bookmarkStart w:id="485" w:name="_Toc29505"/>
      <w:r>
        <w:rPr>
          <w:rFonts w:ascii="宋体" w:hAnsi="宋体"/>
          <w:sz w:val="30"/>
          <w:highlight w:val="white"/>
          <w:lang w:eastAsia="zh-CN"/>
        </w:rPr>
        <w:br w:type="page"/>
      </w:r>
    </w:p>
    <w:p w:rsidR="009C565C">
      <w:pPr>
        <w:pStyle w:val="11"/>
        <w:spacing w:before="0" w:after="0"/>
        <w:jc w:val="center"/>
        <w:rPr>
          <w:rFonts w:hAnsi="宋体"/>
          <w:color w:val="auto"/>
          <w:sz w:val="30"/>
          <w:lang w:eastAsia="zh-CN"/>
        </w:rPr>
      </w:pPr>
      <w:bookmarkStart w:id="486" w:name="_Toc446339260"/>
      <w:bookmarkStart w:id="487" w:name="_Toc6327227"/>
      <w:bookmarkStart w:id="488" w:name="_Toc28690"/>
      <w:r>
        <w:rPr>
          <w:rFonts w:hAnsi="宋体" w:hint="eastAsia"/>
          <w:color w:val="auto"/>
          <w:sz w:val="30"/>
          <w:highlight w:val="white"/>
          <w:lang w:eastAsia="zh-CN"/>
        </w:rPr>
        <w:t>第二十二部分 基金合同的效力</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9C565C">
      <w:pPr>
        <w:spacing w:line="360" w:lineRule="auto"/>
        <w:ind w:firstLine="482"/>
        <w:rPr>
          <w:rFonts w:ascii="宋体" w:hAnsi="宋体"/>
          <w:bCs/>
          <w:sz w:val="24"/>
          <w:szCs w:val="24"/>
          <w:lang w:eastAsia="zh-CN"/>
        </w:rPr>
      </w:pPr>
    </w:p>
    <w:p w:rsidR="009C565C">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9C565C">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正本一式3份，除上报有关监管机构1份外，基金管理人和基金托管人各持有1份，每份具有同等法律效力。</w:t>
      </w:r>
    </w:p>
    <w:p w:rsidR="009C565C">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、《基金合同》可印制成册，供投资者在基金管理人、基金托管人、销售机构的办公场所和营业场所查阅。</w:t>
      </w:r>
    </w:p>
    <w:p w:rsidR="009C565C">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89" w:name="_Toc446339261"/>
      <w:bookmarkStart w:id="490" w:name="_Toc9704"/>
      <w:bookmarkStart w:id="491" w:name="_Toc21726"/>
      <w:bookmarkStart w:id="492" w:name="_Toc6327228"/>
      <w:r>
        <w:rPr>
          <w:rFonts w:hAnsi="宋体" w:hint="eastAsia"/>
          <w:color w:val="auto"/>
          <w:sz w:val="30"/>
          <w:highlight w:val="white"/>
          <w:lang w:eastAsia="zh-CN"/>
        </w:rPr>
        <w:t>第二十三部分 其他事项</w:t>
      </w:r>
      <w:bookmarkEnd w:id="489"/>
      <w:bookmarkEnd w:id="490"/>
      <w:bookmarkEnd w:id="491"/>
      <w:bookmarkEnd w:id="492"/>
    </w:p>
    <w:p w:rsidR="009C565C">
      <w:pPr>
        <w:spacing w:line="360" w:lineRule="auto"/>
        <w:ind w:firstLine="480"/>
        <w:rPr>
          <w:rFonts w:ascii="宋体" w:hAnsi="宋体"/>
          <w:sz w:val="24"/>
          <w:lang w:eastAsia="zh-CN"/>
        </w:rPr>
      </w:pPr>
    </w:p>
    <w:p w:rsidR="009C565C">
      <w:pPr>
        <w:spacing w:line="360" w:lineRule="auto"/>
        <w:ind w:firstLine="480"/>
        <w:rPr>
          <w:rFonts w:ascii="宋体" w:hAnsi="宋体"/>
          <w:sz w:val="24"/>
          <w:lang w:eastAsia="zh-CN"/>
        </w:rPr>
      </w:pPr>
      <w:r>
        <w:rPr>
          <w:rFonts w:ascii="宋体" w:hAnsi="宋体" w:hint="eastAsia"/>
          <w:sz w:val="24"/>
          <w:highlight w:val="white"/>
          <w:lang w:eastAsia="zh-CN"/>
        </w:rPr>
        <w:t>《基金合同》如有未尽事宜，由《基金合同》当事人各方按有关法律法规协商解决。</w:t>
      </w:r>
    </w:p>
    <w:p w:rsidR="009C565C">
      <w:pPr>
        <w:spacing w:line="360" w:lineRule="auto"/>
        <w:ind w:firstLine="480"/>
        <w:rPr>
          <w:rFonts w:ascii="宋体" w:hAnsi="宋体"/>
          <w:sz w:val="24"/>
          <w:lang w:eastAsia="zh-CN"/>
        </w:rPr>
      </w:pPr>
    </w:p>
    <w:p w:rsidR="009C565C">
      <w:pPr>
        <w:pStyle w:val="11"/>
        <w:spacing w:before="0" w:after="0"/>
        <w:jc w:val="center"/>
        <w:rPr>
          <w:rFonts w:hAnsi="宋体"/>
          <w:color w:val="auto"/>
          <w:sz w:val="30"/>
          <w:lang w:eastAsia="zh-CN"/>
        </w:rPr>
      </w:pPr>
      <w:bookmarkStart w:id="493" w:name="_Toc5108"/>
      <w:bookmarkStart w:id="494" w:name="_Toc6327229"/>
      <w:bookmarkStart w:id="495" w:name="_Toc17263"/>
      <w:bookmarkStart w:id="496" w:name="_Toc9054"/>
      <w:bookmarkStart w:id="497" w:name="_Toc15045"/>
      <w:bookmarkStart w:id="498" w:name="_Toc20098"/>
      <w:bookmarkStart w:id="499" w:name="_Toc12499"/>
      <w:bookmarkStart w:id="500" w:name="_Toc32355"/>
      <w:bookmarkStart w:id="501" w:name="_Toc1360"/>
      <w:bookmarkStart w:id="502" w:name="_Toc141703905"/>
      <w:bookmarkStart w:id="503" w:name="_Toc7437"/>
      <w:bookmarkStart w:id="504" w:name="_Toc15664"/>
      <w:bookmarkStart w:id="505" w:name="_Toc21122"/>
      <w:r>
        <w:rPr>
          <w:rFonts w:hAnsi="宋体"/>
          <w:color w:val="auto"/>
          <w:sz w:val="30"/>
          <w:highlight w:val="white"/>
          <w:lang w:eastAsia="zh-CN"/>
        </w:rPr>
        <w:t>第二十四部分  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3"/>
      <w:bookmarkEnd w:id="494"/>
      <w:bookmarkEnd w:id="495"/>
      <w:bookmarkEnd w:id="496"/>
      <w:bookmarkEnd w:id="497"/>
      <w:bookmarkEnd w:id="498"/>
      <w:bookmarkEnd w:id="499"/>
      <w:bookmarkEnd w:id="500"/>
      <w:bookmarkEnd w:id="501"/>
      <w:bookmarkEnd w:id="502"/>
      <w:bookmarkEnd w:id="503"/>
      <w:bookmarkEnd w:id="504"/>
      <w:bookmarkEnd w:id="505"/>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第一节 基金份额持有人、基金管理人和基金托管人的权利、义务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1、根据《基金法》、《运作办法》及其他有关规定，基金份额持有人的权利包括但不限于：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（1）分享基金财产收益；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（2）参与分配清算后的剩余基金财产；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（3）依法转让或者申请赎回其持有的基金份额；</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（4）按照规定要求召开基金份额持有人大会或者召集基金份额持有人大会；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（5）出席或者委派代表出席基金份额持有人大会，对基金份额持有人大会审议事项行使表决权；</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（6）查阅或者复制公开披露的基金信息资料；</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（7）监督基金管理人的投资运作；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（8）对基金管理人、基金托管人、基金服务机构损害其合法权益的行为依法提起诉讼或仲裁；</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2、根据《基金法》、《运作办法》及其他有关规定，基金份额持有人的义务包括但不限于：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（1）认真阅读并遵守《基金合同》、招募说明书等信息披露文件；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（2）了解所投资基金产品，了解自身风险承受能力，自主判断基金的投资价值，自主做出投资决策，自行承担投资风险；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（3）关注基金信息披露，及时行使权利和履行义务；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（4）交纳基金认购、申购款项及法律法规和《基金合同》所规定的费用；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（5）在其持有的基金份额范围内，承担基金亏损或者《基金合同》终止的有限责任；</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（6）不从事任何有损基金及其他《基金合同》当事人合法权益的活动；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（7）执行生效的基金份额持有人大会的决议；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（8）返还在基金交易过程中因任何原因获得的不当得利；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（9）法律法规及中国证监会规定的和《基金合同》约定的其他义务。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1、根据《基金法》、《运作办法》及其他有关规定，基金管理人的权利包括但不限于：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（2）自《基金合同》生效之日起，根据法律法规和《基金合同》独立运用并管理基金财产；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（3）依照《基金合同》收取基金管理费以及法律法规规定或中国证监会批准的其他费用；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（4）销售基金份额；</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（5）按照规定召集基金份额持有人大会；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（7）在基金托管人更换时，提名新的基金托管人；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（8）选择、更换基金销售机构，对基金销售机构的相关行为进行监督和处理；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（9）担任或委托其他符合条件的机构担任基金登记机构办理基金登记业务并获得《基金合同》规定的费用；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（10）依据《基金合同》及有关法律规定决定基金收益的分配方案；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（11）在《基金合同》约定的范围内，拒绝或暂停受理申购、赎回及转换申请；</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（12）依照法律法规为基金的利益对被投资公司行使股东权利，为基金的利益行使因基金财产投资于证券所产生的权利；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（13）在法律法规允许的前提下，为基金的利益依法为基金进行融资；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（14）以基金管理人的名义，代表基金份额持有人的利益行使诉讼权利或者实施其他法律行为；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（15）选择、更换律师事务所、会计师事务所、证券经纪商或其他为基金提供服务的外部机构；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（16）在符合有关法律、法规的前提下，制订和调整有关基金认购、申购、赎回、转换、非交易过户、转托管和收益分配等的业务规则；</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（18）委托第三方机构办理本基金的交易、清算、估值、结算等业务；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（19）法律法规及中国证监会规定的和《基金合同》约定的其他权利。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2、根据《基金法》、《运作办法》及其他有关规定，基金管理人的义务包括但不限于：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（1）依法募集资金，办理或者委托经中国证监会认定的其他机构办理基金份额的发售、申购、赎回和登记事宜；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（2）办理基金备案手续；</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（3）自《基金合同》生效之日起，以诚实信用、谨慎勤勉的原则管理和运用基金财产；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（4）配备足够的具有专业资格的人员进行基金投资分析、决策，以专业化的经营方式管理和运作基金财产；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（6）除依据《基金法》、《基金合同》及其他有关规定外，不得利用基金财产为自己及任何第三人谋取利益，不得委托第三人运作基金财产；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（7）依法接受基金托管人的监督；</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（9）进行基金会计核算并编制基金财务会计报告；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（10）编制季度报告、中期报告和年度报告；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（11）严格按照《基金法》、《基金合同》及其他有关规定，履行信息披露及报告义务；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（13）按《基金合同》的约定确定基金收益分配方案，及时向基金份额持有人分配基金收益；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（14）按规定受理申购与赎回申请，及时、足额支付赎回款项；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（15）依据《基金法》、《基金合同》及其他有关规定召集基金份额持有人大会或配合基金托管人、基金份额持有人依法召集基金份额持有人大会；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（16）按规定保存基金财产管理业务活动的会计账册、报表、记录和其他相关资料20年以上；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（18）组织并参加基金财产清算小组，参与基金财产的保管、清理、估价、变现和分配；</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（19）面临解散、依法被撤销或者被依法宣告破产时，及时报告中国证监会并通知基金托管人；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（20）因违反《基金合同》导致基金财产的损失或损害基金份额持有人合法权益时，应当承担赔偿责任，其赔偿责任不因其退任而免除；</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（22）当基金管理人将其义务委托第三方处理时，应当对第三方处理有关基金事务的行为承担责任；</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（23）以基金管理人名义，代表基金份额持有人利益行使诉讼权利或实施其他法律行为；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（25）执行生效的基金份额持有人大会的决议；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（26）建立并保存基金份额持有人名册；</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（27）法律法规及中国证监会规定的和《基金合同》约定的其他义务。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1、根据《基金法》、《运作办法》及其他有关规定，基金托管人的权利包括但不限于：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（1）自《基金合同》生效之日起，依法律法规和《基金合同》的规定安全保管基金财产；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（2）依《基金合同》约定获得基金托管费以及法律法规规定或监管部门批准的其他费用；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（4）根据相关市场规则，为基金开设资金账户、证券账户等投资所需账户、为基金办理证券交易资金清算；</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（5）提议召开或召集基金份额持有人大会；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（6）在基金管理人更换时，提名新的基金管理人；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（7）法律法规及中国证监会规定的和《基金合同》约定的其他权利。</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2、根据《基金法》、《运作办法》及其他有关规定，基金托管人的义务包括但不限于：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（1）以诚实信用、勤勉尽责的原则持有并安全保管基金财产；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（2）设立专门的基金托管部门，具有符合要求的营业场所，配备足够的、合格的熟悉基金托管业务的专职人员，负责基金财产托管事宜；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（4）除依据《基金法》、《基金合同》及其他有关规定外，不得利用基金财产为自己及任何第三人谋取利益，不得委托第三人托管基金财产；</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（5）保管由基金管理人代表基金签订的与基金有关的重大合同及有关凭证；</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（6）按规定开设基金财产的资金账户和证券账户等投资所需账户，按照《基金合同》的约定，根据基金管理人的投资指令，及时办理清算、交割事宜；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（8）复核、审查基金管理人计算的基金资产净值、基金份额净值、基金份额申购、赎回价格；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（9）办理与基金托管业务活动有关的信息披露事项；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（11）保存基金托管业务活动的记录、账册、报表和其他相关资料20年以上；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（12）从基金管理人或其委托的登记机构处接收并保存基金份额持有人名册；</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（13）按规定制作相关账册并与基金管理人核对；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（14）依据基金管理人的指令或有关规定向基金份额持有人支付基金收益和赎回款项；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（15）依据《基金法》、《基金合同》及其他有关规定，召集基金份额持有人大会或配合基金管理人、基金份额持有人依法召集基金份额持有人大会；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（16）按照法律法规和《基金合同》的规定监督基金管理人的投资运作；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（17）参加基金财产清算小组，参与基金财产的保管、清理、估价、变现和分配；</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（18）面临解散、依法被撤销或者被依法宣告破产时，及时报告中国证监会和银行监管机构，并通知基金管理人；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（19）因违反《基金合同》导致基金财产损失时，应承担赔偿责任，其赔偿责任不因其退任而免除；</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（21）执行生效的基金份额持有人大会的决议；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（22）法律法规及中国证监会规定的和《基金合同》约定的其他义务。</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 基金份额持有人大会召集、议事及表决的程序和规则</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1、除法律法规、中国证监会和基金合同另有规定外，当出现或需要决定下列事由之一的，应当召开基金份额持有人大会：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（1）终止《基金合同》；</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（2）更换基金管理人；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（3）更换基金托管人；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（4）转换基金运作方式；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（5）调整基金管理人、基金托管人的报酬标准；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（6）变更基金类别；</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（7）本基金与其他基金的合并；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（8）变更基金投资目标、范围或策略；</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（9）变更基金份额持有人大会程序；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（10）基金管理人或基金托管人要求召开基金份额持有人大会；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（12）对基金合同当事人权利和义务产生重大影响的其他事项；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（13）法律法规、《基金合同》或中国证监会规定的其他应当召开基金份额持有人大会的事项。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（1）调低销售服务费率；</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（2）法律法规要求增加的基金费用的收取；</w:t>
      </w:r>
    </w:p>
    <w:p w:rsidR="00635C8B" w:rsidP="00635C8B">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调整本基金的申购费率、收费方式</w:t>
      </w:r>
      <w:r>
        <w:rPr>
          <w:rFonts w:ascii="宋体" w:hAnsi="宋体" w:hint="eastAsia"/>
          <w:bCs/>
          <w:sz w:val="24"/>
          <w:szCs w:val="24"/>
          <w:highlight w:val="white"/>
          <w:lang w:eastAsia="zh-CN"/>
        </w:rPr>
        <w:t>或基金份额类别设置</w:t>
      </w:r>
      <w:r>
        <w:rPr>
          <w:rFonts w:ascii="宋体" w:hAnsi="宋体" w:hint="eastAsia"/>
          <w:sz w:val="24"/>
          <w:szCs w:val="24"/>
          <w:highlight w:val="white"/>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（4）因相应的法律法规发生变动而应当对《基金合同》进行修改；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（5）对《基金合同》的修改对基金份额持有人利益无实质性不利影响或修改不涉及《基金合同》当事人权利义务关系发生重大变化；</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（7）在法律法规或中国证监会允许的范围内推出新业务或服务；</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（8）按照法律法规和《基金合同》规定不需召开基金份额持有人大会的其他情形。</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1、除法律法规规定或《基金合同》另有约定外，基金份额持有人大会由基金管理人召集。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2、基金管理人未按规定召集或不能召开时，由基金托管人召集。</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6、基金份额持有人会议的召集人负责选择确定开会时间、地点、方式和权益登记日。</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1、召开基金份额持有人大会，召集人应于会议召开前30日，在规定媒介公告。基金份额持有人大会通知应至少载明以下内容：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（1）会议召开的时间、地点和会议形式；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（2）会议拟审议的事项、议事程序和表决方式；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（3）有权出席基金份额持有人大会的基金份额持有人的权益登记日；</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（4）授权委托证明的内容要求（包括但不限于代理人身份，代理权限和代理有效期限等）、送达时间和地点；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（5）会务常设联系人姓名及联系电话；</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（6）出席会议者必须准备的文件和必须履行的手续；</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（7）召集人需要通知的其他事项。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基金份额持有人大会可通过现场开会方式、通讯开会方式或法律法规、监管机构允许的其他方式召开，会议的召开方式由会议召集人确定。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（1）会议召集人按《基金合同》约定公布会议通知后，在2个工作日内连续公布相关提示性公告；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1、议事内容及提案权</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基金份额持有人大会的召集人发出召集会议的通知后，对原有提案的修改应当在基金份额持有人大会召开前及时公告。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2、议事程序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（2）监票人应当在基金份额持有人表决后立即进行清点并由大会主持人当场公布计票结果。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（4）计票过程应由公证机关予以公证，基金管理人或基金托管人拒不出席大会的，不影响计票的效力。</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基金份额持有人大会的决议，召集人应当自通过之日起5日内报中国证监会备案。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基金份额持有人大会决议自生效之日起2日内在规定媒介上公告。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1、基金份额持有人行使提议权、召集权、提名权所需单独或合计代表相关基金份额10%以上（含10%）；</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2、现场开会的到会者在权益登记日代表的基金份额不少于本基金在权益登记日相关基金份额的二分之一（含二分之一）；</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6、一般决议须经参加大会的基金份额持有人或其代理人所持表决权的二分之一以上（含二分之一）通过；</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7、特别决议应当经参加大会的基金份额持有人或其代理人所持表决权的三分之二以上（含三分之二）通过。</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 基金收益分配原则、执行方式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基金可供分配利润指截至收益分配基准日基金未分配利润与未分配利润中已实现收益的孰低数。</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3、基金收益分配后基金份额净值不能低于面值；即基金收益分配基准日的基金份额净值减去每单位基金份额收益分配金额后不能低于面值；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4、本基金各基金份额类别在费用收取上不同，其对应的可分配收益可能有所不同。同一类别的每一基金份额享有同等分配权；</w:t>
      </w:r>
    </w:p>
    <w:p w:rsidR="00635C8B" w:rsidP="007D4894">
      <w:pPr>
        <w:spacing w:line="360" w:lineRule="auto"/>
        <w:ind w:firstLine="480"/>
        <w:rPr>
          <w:rFonts w:ascii="宋体" w:hAnsi="宋体"/>
          <w:bCs/>
          <w:sz w:val="24"/>
          <w:szCs w:val="24"/>
          <w:lang w:eastAsia="zh-CN"/>
        </w:rPr>
      </w:pPr>
      <w:bookmarkStart w:id="506" w:name="_GoBack"/>
      <w:bookmarkEnd w:id="506"/>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w:t>
      </w:r>
      <w:r w:rsidRPr="00A72F67">
        <w:rPr>
          <w:rFonts w:ascii="宋体" w:hAnsi="宋体" w:hint="eastAsia"/>
          <w:bCs/>
          <w:sz w:val="24"/>
          <w:szCs w:val="24"/>
          <w:lang w:eastAsia="zh-CN"/>
        </w:rPr>
        <w:t>履行适当程序后，</w:t>
      </w:r>
      <w:r>
        <w:rPr>
          <w:rFonts w:ascii="宋体" w:hAnsi="宋体" w:hint="eastAsia"/>
          <w:bCs/>
          <w:sz w:val="24"/>
          <w:szCs w:val="24"/>
          <w:highlight w:val="white"/>
          <w:lang w:eastAsia="zh-CN"/>
        </w:rPr>
        <w:t>可调整基金收益的分配原则和支付方式；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6、法律法规或监管机关另有规定的，从其规定。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本基金收益分配方案由基金管理人拟定，并由基金托管人复核，在2日内在规定媒介公告。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 与基金财产管理、运用有关费用的提取、支付方式与比例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一、基金费用的种类</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1、基金管理人的管理费；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2、基金托管人的托管费；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3、销售服务费；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4、《基金合同》生效后与基金相关的信息披露费用；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5、《基金合同》生效后与基金相关的会计师费、律师费、诉讼费和仲裁费；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6、基金份额持有人大会费用；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7、基金的证券交易费用；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8、基金的银行汇划费用；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9、证券账户开户费用、银行账户维护费用；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10、因投资内地与香港股票市场交易互联互通机制允许买卖的香港证券市场股票而产生的各项合理费用；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11、按照国家有关规定和《基金合同》约定，可以在基金财产中列支的其他费用。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二、基金费用计提方法、计提标准和支付方式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1、基金管理人的管理费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本基金的管理费按前一日基金资产净值的1.20%年费率计提。管理费的计算方法如下：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H＝E×1.20%÷当年天数</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H为每日应计提的基金管理费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E为前一日的基金资产净值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2、基金托管人的托管费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本基金的托管费按前一日基金资产净值的0.20%年费率计提。托管费的计算方法如下：</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H＝E×0.20%÷当年天数</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H为每日应计提的基金托管费</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E为前一日的基金资产净值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3、销售服务费</w:t>
      </w:r>
    </w:p>
    <w:p w:rsidR="00855F54" w:rsidP="00855F5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本基金A类基金份额不收取销售服务费，C类基金份额的销售服务费年费率为</w:t>
      </w:r>
      <w:r>
        <w:rPr>
          <w:rFonts w:ascii="宋体" w:hAnsi="宋体"/>
          <w:sz w:val="24"/>
          <w:szCs w:val="24"/>
          <w:lang w:eastAsia="zh-CN"/>
        </w:rPr>
        <w:t>0.40%</w:t>
      </w:r>
      <w:r>
        <w:rPr>
          <w:rFonts w:ascii="宋体" w:hAnsi="宋体" w:hint="eastAsia"/>
          <w:bCs/>
          <w:sz w:val="24"/>
          <w:szCs w:val="24"/>
          <w:highlight w:val="white"/>
          <w:lang w:eastAsia="zh-CN"/>
        </w:rPr>
        <w:t>，按C类基金份额前一日基金资产净值的</w:t>
      </w:r>
      <w:r>
        <w:rPr>
          <w:rFonts w:ascii="宋体" w:hAnsi="宋体"/>
          <w:sz w:val="24"/>
          <w:szCs w:val="24"/>
          <w:lang w:eastAsia="zh-CN"/>
        </w:rPr>
        <w:t>0.40%</w:t>
      </w:r>
      <w:r>
        <w:rPr>
          <w:rFonts w:ascii="宋体" w:hAnsi="宋体" w:hint="eastAsia"/>
          <w:bCs/>
          <w:sz w:val="24"/>
          <w:szCs w:val="24"/>
          <w:highlight w:val="white"/>
          <w:lang w:eastAsia="zh-CN"/>
        </w:rPr>
        <w:t>年费率计提。</w:t>
      </w:r>
    </w:p>
    <w:p w:rsidR="00855F54" w:rsidP="00855F5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855F54" w:rsidP="00855F5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H＝E×</w:t>
      </w:r>
      <w:r>
        <w:rPr>
          <w:rFonts w:ascii="宋体" w:hAnsi="宋体"/>
          <w:sz w:val="24"/>
          <w:szCs w:val="24"/>
          <w:lang w:eastAsia="zh-CN"/>
        </w:rPr>
        <w:t>0.40%</w:t>
      </w:r>
      <w:r>
        <w:rPr>
          <w:rFonts w:ascii="宋体" w:hAnsi="宋体" w:hint="eastAsia"/>
          <w:bCs/>
          <w:sz w:val="24"/>
          <w:szCs w:val="24"/>
          <w:highlight w:val="white"/>
          <w:lang w:eastAsia="zh-CN"/>
        </w:rPr>
        <w:t>÷当年天数</w:t>
      </w:r>
    </w:p>
    <w:p w:rsidR="00855F54" w:rsidP="00855F5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 为C类基金份额每日应计提的销售服务费</w:t>
      </w:r>
    </w:p>
    <w:p w:rsidR="00855F54" w:rsidP="00855F5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E 为C类基金份额前一日基金资产净值</w:t>
      </w:r>
    </w:p>
    <w:p w:rsidR="00855F54" w:rsidP="00855F54">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销售服务费每日计提。</w:t>
      </w:r>
    </w:p>
    <w:p w:rsidR="00855F54" w:rsidP="00855F54">
      <w:pPr>
        <w:spacing w:line="360" w:lineRule="auto"/>
        <w:ind w:firstLine="480"/>
        <w:rPr>
          <w:rFonts w:ascii="宋体" w:hAnsi="宋体"/>
          <w:bCs/>
          <w:sz w:val="24"/>
          <w:szCs w:val="24"/>
          <w:highlight w:val="white"/>
          <w:lang w:eastAsia="zh-CN"/>
        </w:rPr>
      </w:pPr>
      <w:r>
        <w:rPr>
          <w:rFonts w:ascii="宋体" w:hAnsi="宋体"/>
          <w:bCs/>
          <w:sz w:val="24"/>
          <w:szCs w:val="24"/>
          <w:highlight w:val="white"/>
          <w:lang w:eastAsia="zh-CN"/>
        </w:rPr>
        <w:t>（1）通过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C类</w:t>
      </w:r>
      <w:r>
        <w:rPr>
          <w:rFonts w:ascii="宋体" w:hAnsi="宋体"/>
          <w:bCs/>
          <w:sz w:val="24"/>
          <w:szCs w:val="24"/>
          <w:highlight w:val="white"/>
          <w:lang w:eastAsia="zh-CN"/>
        </w:rPr>
        <w:t>基金份额</w:t>
      </w:r>
    </w:p>
    <w:p w:rsidR="00855F54" w:rsidP="00855F54">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对于基金份额计提的销售服务费，在投资者赎回基金份额或基金合同终止时，随赎回款（或清算款）一并返还给投资者。</w:t>
      </w:r>
    </w:p>
    <w:p w:rsidR="00855F54" w:rsidP="00855F54">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（2）通过其他销售机构投资的C类基金份额</w:t>
      </w:r>
    </w:p>
    <w:p w:rsidR="00855F5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对于投资者持续持有期限不</w:t>
      </w:r>
      <w:r w:rsidRPr="00A30DE9">
        <w:rPr>
          <w:rFonts w:ascii="宋体" w:hAnsi="宋体" w:hint="eastAsia"/>
          <w:sz w:val="24"/>
          <w:szCs w:val="24"/>
          <w:highlight w:val="white"/>
          <w:lang w:eastAsia="zh-CN"/>
        </w:rPr>
        <w:t>超过</w:t>
      </w:r>
      <w:r>
        <w:rPr>
          <w:rFonts w:ascii="宋体" w:hAnsi="宋体" w:hint="eastAsia"/>
          <w:sz w:val="24"/>
          <w:szCs w:val="24"/>
          <w:highlight w:val="white"/>
          <w:lang w:eastAsia="zh-CN"/>
        </w:rPr>
        <w:t>一年（即</w:t>
      </w:r>
      <w:r>
        <w:rPr>
          <w:rFonts w:ascii="宋体" w:hAnsi="宋体"/>
          <w:sz w:val="24"/>
          <w:szCs w:val="24"/>
          <w:highlight w:val="white"/>
          <w:lang w:eastAsia="zh-CN"/>
        </w:rPr>
        <w:t>365</w:t>
      </w:r>
      <w:r>
        <w:rPr>
          <w:rFonts w:ascii="宋体" w:hAnsi="宋体" w:hint="eastAsia"/>
          <w:sz w:val="24"/>
          <w:szCs w:val="24"/>
          <w:highlight w:val="white"/>
          <w:lang w:eastAsia="zh-CN"/>
        </w:rPr>
        <w:t>天，下同）的基金份额计提的销售服务费，</w:t>
      </w:r>
      <w:r w:rsidRPr="007D7520">
        <w:rPr>
          <w:rFonts w:ascii="宋体" w:hAnsi="宋体" w:hint="eastAsia"/>
          <w:sz w:val="24"/>
          <w:szCs w:val="24"/>
          <w:highlight w:val="white"/>
          <w:lang w:eastAsia="zh-CN"/>
        </w:rPr>
        <w:t>逐日累计至每月月末，按月支付，由基金托管人</w:t>
      </w:r>
      <w:r w:rsidRPr="00E50439">
        <w:rPr>
          <w:rFonts w:ascii="宋体" w:hAnsi="宋体" w:hint="eastAsia"/>
          <w:sz w:val="24"/>
          <w:szCs w:val="24"/>
          <w:highlight w:val="white"/>
          <w:lang w:eastAsia="zh-CN"/>
        </w:rPr>
        <w:t>在次月初五个工作日内</w:t>
      </w:r>
      <w:r w:rsidRPr="007D7520">
        <w:rPr>
          <w:rFonts w:ascii="宋体" w:hAnsi="宋体" w:hint="eastAsia"/>
          <w:sz w:val="24"/>
          <w:szCs w:val="24"/>
          <w:highlight w:val="white"/>
          <w:lang w:eastAsia="zh-CN"/>
        </w:rPr>
        <w:t>按照与基金管理人协商一致的方式从基金财产中一次性支付</w:t>
      </w:r>
      <w:r>
        <w:rPr>
          <w:rFonts w:ascii="宋体" w:hAnsi="宋体" w:hint="eastAsia"/>
          <w:sz w:val="24"/>
          <w:szCs w:val="24"/>
          <w:highlight w:val="white"/>
          <w:lang w:eastAsia="zh-CN"/>
        </w:rPr>
        <w:t>。若遇法定节假日、公休日等，支付日期顺延。</w:t>
      </w:r>
    </w:p>
    <w:p w:rsidR="00855F54">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对于持续持有期限</w:t>
      </w:r>
      <w:r>
        <w:rPr>
          <w:rFonts w:ascii="宋体" w:hAnsi="宋体" w:hint="eastAsia"/>
          <w:sz w:val="24"/>
          <w:szCs w:val="24"/>
          <w:highlight w:val="white"/>
          <w:lang w:eastAsia="zh-CN"/>
        </w:rPr>
        <w:t>超过一年的基金份额继续计提的销售服务费，在投资者赎回基金份额或基金合同终止时，随赎回款（或清算款）一并返还给投资者。</w:t>
      </w:r>
    </w:p>
    <w:p w:rsidR="00855F54">
      <w:pPr>
        <w:spacing w:line="360" w:lineRule="auto"/>
        <w:ind w:firstLine="480"/>
        <w:rPr>
          <w:rFonts w:ascii="宋体" w:hAnsi="宋体"/>
          <w:sz w:val="24"/>
          <w:szCs w:val="24"/>
          <w:lang w:eastAsia="zh-CN"/>
        </w:rPr>
      </w:pPr>
      <w:r>
        <w:rPr>
          <w:rFonts w:ascii="宋体" w:hAnsi="宋体" w:hint="eastAsia"/>
          <w:sz w:val="24"/>
          <w:szCs w:val="24"/>
          <w:lang w:eastAsia="zh-CN"/>
        </w:rPr>
        <w:t>销售服务费计提后按规定收取或返还投资者的金额以登记机构的计算结果为准</w:t>
      </w:r>
      <w:r w:rsidRPr="001978F9">
        <w:rPr>
          <w:rFonts w:ascii="宋体" w:hAnsi="宋体"/>
          <w:sz w:val="24"/>
          <w:szCs w:val="24"/>
          <w:lang w:eastAsia="zh-CN"/>
        </w:rPr>
        <w:t>，托管人无需复核</w:t>
      </w:r>
      <w:r>
        <w:rPr>
          <w:rFonts w:ascii="宋体" w:hAnsi="宋体" w:hint="eastAsia"/>
          <w:sz w:val="24"/>
          <w:szCs w:val="24"/>
          <w:lang w:eastAsia="zh-CN"/>
        </w:rPr>
        <w:t>。</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上述“一、基金费用的种类”中第4－11项费用，根据有关法规及相应协议规定，按费用实际支出金额列入当期费用，由基金托管人从基金财产中支付。</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三、不列入基金费用的项目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下列费用不列入基金费用：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1、基金管理人和基金托管人因未履行或未完全履行义务导致的费用支出或基金财产的损失；</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2、基金管理人和基金托管人处理与基金运作无关的事项发生的费用；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3、《基金合同》生效前的相关费用；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4、其他根据相关法律法规及中国证监会的有关规定不得列入基金费用的项目。</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四、实施侧袋机制期间的基金费用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五、基金税收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 基金财产的投资方向和投资限制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如法律法规或监管机构以后允许基金投资其他品种，基金管理人在履行适当程序后，本基金可以将其纳入投资范围。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本基金股票资产占基金资产的比例为60%-95%；非现金基金资产中不低于80%的资产将投资于港股通股票；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1、组合限制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（1）本基金股票资产占基金资产的比例为60%-95%；非现金基金资产中不低于80%的资产将投资于港股通股票；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（2）保持不低于基金资产净值5％的现金或者到期日在一年以内的政府债券，其中现金不包括结算备付金、存出保证金和应收申购款等；</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（3）本基金持有一家公司发行的证券（同一家公司在内地和香港同时上市的A+H股合计计算），其市值不超过基金资产净值的10％；</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（5）本基金投资于同一原始权益人的各类资产支持证券的比例，不得超过基金资产净值的10％；</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（6）本基金持有的全部资产支持证券，其市值不得超过基金资产净值的20％；</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（7）本基金持有的同一(指同一信用级别)资产支持证券的比例，不得超过该资产支持证券规模的10％；</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（8）本基金管理人管理的全部基金投资于同一原始权益人的各类资产支持证券，不得超过其各类资产支持证券合计规模的10％；</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（10）基金财产参与股票发行申购，本基金所申报的金额不超过本基金的总资产，本基金所申报的股票数量不超过拟发行股票公司本次发行股票的总量；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（14）本基金资产总值不超过基金资产净值的140%；</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（18）基金参与融资业务后，在任何交易日日终，持有的融资买入股票与其他有价证券市值之和，不得超过基金资产净值的95%；</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（19）本基金投资存托凭证的比例限制依照境内上市交易的股票执行，与境内上市交易的股票合并计算；</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（20）法律法规及中国证监会规定的和《基金合同》约定的其他投资限制。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2、禁止行为</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（1）承销证券；</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（2）违反规定向他人贷款或者提供担保；</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（3）从事承担无限责任的投资；</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（4）向其基金管理人、基金托管人出资；</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（5）从事内幕交易、操纵证券交易价格及其他不正当的证券交易活动；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（6）法律、行政法规和中国证监会规定禁止的其他活动。</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第六节 基金资产净值的计算方法和公告方式</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基金资产总值是指购买的各类证券及票据价值、银行存款本息和基金应收的申购基金款以及其他投资所形成的价值总和。</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二、基金资产净值</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基金资产净值是指基金资产总值减去基金负债后的价值。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 基金合同解除和终止的事由、程序以及基金财产清算方式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2、关于《基金合同》变更的基金份额持有人大会决议自生效后方可执行，自决议生效后两日内在规定媒介公告。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1、基金份额持有人大会决定终止的；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2、基金管理人、基金托管人职责终止，在6个月内没有新基金管理人、新基金托管人承接的；</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3、《基金合同》约定的其他情形；</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4、相关法律法规和中国证监会规定的其他情况。</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3、基金财产清算小组职责：基金财产清算小组负责基金财产的保管、清理、估价、变现和分配。基金财产清算小组可以依法进行必要的民事活动。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4、基金财产清算程序：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（1）《基金合同》终止情形出现时，由基金财产清算小组统一接管基金；</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（2）对基金财产和债权债务进行清理和确认；</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（3）对基金财产进行估值和变现；</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（4）制作清算报告；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（5）聘请会计师事务所对清算报告进行外部审计，聘请律师事务所对清算报告出具法律意见书；</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（6）将清算报告报中国证监会备案并公告；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（7）对基金剩余财产进行分配。</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5、基金财产清算的期限为6个月，但因本基金所持证券的流动性受到限制而不能及时变现的，清算期限相应顺延。</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9C565C" w:rsidRPr="00D00B59">
      <w:pPr>
        <w:spacing w:line="360" w:lineRule="auto"/>
        <w:ind w:firstLine="482"/>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00D00B59">
        <w:rPr>
          <w:rFonts w:ascii="宋体" w:hAnsi="宋体" w:cs="宋体"/>
          <w:color w:val="000000"/>
          <w:sz w:val="24"/>
          <w:highlight w:val="white"/>
          <w:lang w:eastAsia="zh-CN"/>
        </w:rPr>
        <w:t>分配金额需加上</w:t>
      </w:r>
      <w:r w:rsidR="00D00B59">
        <w:rPr>
          <w:rFonts w:ascii="宋体" w:hAnsi="宋体" w:cs="宋体" w:hint="eastAsia"/>
          <w:color w:val="000000"/>
          <w:sz w:val="24"/>
          <w:highlight w:val="white"/>
          <w:lang w:eastAsia="zh-CN"/>
        </w:rPr>
        <w:t>返还</w:t>
      </w:r>
      <w:r w:rsidR="00D00B59">
        <w:rPr>
          <w:rFonts w:ascii="宋体" w:hAnsi="宋体" w:cs="宋体"/>
          <w:color w:val="000000"/>
          <w:sz w:val="24"/>
          <w:highlight w:val="white"/>
          <w:lang w:eastAsia="zh-CN"/>
        </w:rPr>
        <w:t>基金份额持有人</w:t>
      </w:r>
      <w:r w:rsidR="00D00B59">
        <w:rPr>
          <w:rFonts w:ascii="宋体" w:hAnsi="宋体" w:cs="宋体" w:hint="eastAsia"/>
          <w:color w:val="000000"/>
          <w:sz w:val="24"/>
          <w:highlight w:val="white"/>
          <w:lang w:eastAsia="zh-CN"/>
        </w:rPr>
        <w:t>的销售服务费（如有）。</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基金财产清算账册及有关文件由基金托管人保存20年以上。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 争议解决方式</w:t>
      </w:r>
    </w:p>
    <w:p w:rsidR="009C565C">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争议处理期间，基金合同当事人应恪守各自的职责，继续忠实、勤勉、尽责地履行基金合同规定的义务，维护基金份额持有人的合法权益。</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《基金合同》受中国法律管辖。</w:t>
      </w:r>
    </w:p>
    <w:p w:rsidR="009C565C">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 基金合同存放地和投资者取得基金合同的方式</w:t>
      </w:r>
    </w:p>
    <w:p w:rsidR="009C565C">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9C565C">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9C565C">
      <w:pPr>
        <w:spacing w:line="360" w:lineRule="auto"/>
        <w:rPr>
          <w:rFonts w:ascii="宋体" w:hAnsi="宋体"/>
          <w:sz w:val="24"/>
          <w:lang w:eastAsia="zh-CN"/>
        </w:rPr>
      </w:pPr>
      <w:bookmarkStart w:id="507" w:name="_Hlt88901000"/>
      <w:bookmarkStart w:id="508" w:name="_Hlt88901010"/>
      <w:bookmarkEnd w:id="507"/>
      <w:bookmarkEnd w:id="508"/>
      <w:r>
        <w:rPr>
          <w:rFonts w:ascii="宋体" w:hAnsi="宋体" w:hint="eastAsia"/>
          <w:sz w:val="24"/>
          <w:highlight w:val="white"/>
          <w:lang w:eastAsia="zh-CN"/>
        </w:rPr>
        <w:t>本页无正文，为《</w:t>
      </w:r>
      <w:r>
        <w:rPr>
          <w:rFonts w:ascii="宋体" w:hAnsi="宋体" w:hint="eastAsia"/>
          <w:sz w:val="24"/>
          <w:szCs w:val="21"/>
          <w:lang w:eastAsia="zh-CN"/>
        </w:rPr>
        <w:t>易方达港股通周期精选混合型证券投资基金</w:t>
      </w:r>
      <w:r>
        <w:rPr>
          <w:rFonts w:ascii="宋体" w:hAnsi="宋体" w:hint="eastAsia"/>
          <w:sz w:val="24"/>
          <w:highlight w:val="white"/>
          <w:lang w:eastAsia="zh-CN"/>
        </w:rPr>
        <w:t>基金合同》的签字盖章页。</w:t>
      </w:r>
    </w:p>
    <w:p w:rsidR="009C565C">
      <w:pPr>
        <w:spacing w:line="360" w:lineRule="auto"/>
        <w:rPr>
          <w:rFonts w:ascii="宋体" w:hAnsi="宋体"/>
          <w:sz w:val="24"/>
          <w:lang w:eastAsia="zh-CN"/>
        </w:rPr>
      </w:pPr>
    </w:p>
    <w:p w:rsidR="009C565C">
      <w:pPr>
        <w:spacing w:line="360" w:lineRule="auto"/>
        <w:ind w:right="26"/>
        <w:rPr>
          <w:rFonts w:ascii="宋体" w:hAnsi="宋体"/>
          <w:b/>
          <w:bCs/>
          <w:sz w:val="24"/>
          <w:szCs w:val="21"/>
          <w:lang w:eastAsia="zh-CN"/>
        </w:rPr>
      </w:pPr>
      <w:r>
        <w:rPr>
          <w:rFonts w:ascii="宋体" w:hAnsi="宋体" w:hint="eastAsia"/>
          <w:b/>
          <w:bCs/>
          <w:sz w:val="24"/>
          <w:szCs w:val="21"/>
          <w:highlight w:val="white"/>
          <w:lang w:eastAsia="zh-CN"/>
        </w:rPr>
        <w:t>《基金合同》当事人盖章及法定代表人或授权代表签字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r>
        <w:rPr>
          <w:rFonts w:ascii="宋体" w:hAnsi="宋体" w:hint="eastAsia"/>
          <w:b/>
          <w:bCs/>
          <w:sz w:val="24"/>
          <w:szCs w:val="21"/>
          <w:highlight w:val="white"/>
          <w:lang w:eastAsia="zh-CN"/>
        </w:rPr>
        <w:t>、签订地、签订日</w:t>
      </w: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right="26"/>
        <w:rPr>
          <w:rFonts w:ascii="宋体" w:hAnsi="宋体"/>
          <w:b/>
          <w:sz w:val="24"/>
          <w:lang w:eastAsia="zh-CN"/>
        </w:rPr>
      </w:pPr>
      <w:r>
        <w:rPr>
          <w:rFonts w:ascii="宋体" w:hAnsi="宋体" w:hint="eastAsia"/>
          <w:b/>
          <w:sz w:val="24"/>
          <w:highlight w:val="white"/>
          <w:lang w:eastAsia="zh-CN"/>
        </w:rPr>
        <w:t>基金管理人：易方达基金管理有限公司（章）</w:t>
      </w: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right="26"/>
        <w:rPr>
          <w:rFonts w:ascii="宋体" w:hAnsi="宋体"/>
          <w:b/>
          <w:sz w:val="24"/>
          <w:lang w:eastAsia="zh-CN"/>
        </w:rPr>
      </w:pPr>
      <w:r>
        <w:rPr>
          <w:rFonts w:ascii="宋体" w:hAnsi="宋体" w:hint="eastAsia"/>
          <w:b/>
          <w:sz w:val="24"/>
          <w:highlight w:val="white"/>
          <w:lang w:eastAsia="zh-CN"/>
        </w:rPr>
        <w:t>基金托管人：</w:t>
      </w:r>
      <w:r>
        <w:rPr>
          <w:rFonts w:ascii="宋体" w:hAnsi="宋体" w:hint="eastAsia"/>
          <w:b/>
          <w:sz w:val="24"/>
          <w:szCs w:val="21"/>
          <w:lang w:eastAsia="zh-CN"/>
        </w:rPr>
        <w:t>中国银行股份有限公司</w:t>
      </w:r>
      <w:r>
        <w:rPr>
          <w:rFonts w:ascii="宋体" w:hAnsi="宋体" w:hint="eastAsia"/>
          <w:b/>
          <w:sz w:val="24"/>
          <w:szCs w:val="21"/>
          <w:highlight w:val="white"/>
          <w:lang w:eastAsia="zh-CN"/>
        </w:rPr>
        <w:t xml:space="preserve"> </w:t>
      </w:r>
      <w:r>
        <w:rPr>
          <w:rFonts w:ascii="宋体" w:hAnsi="宋体" w:hint="eastAsia"/>
          <w:b/>
          <w:sz w:val="24"/>
          <w:highlight w:val="white"/>
          <w:lang w:eastAsia="zh-CN"/>
        </w:rPr>
        <w:t>（章）</w:t>
      </w: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firstLine="482"/>
        <w:rPr>
          <w:rFonts w:ascii="宋体" w:hAnsi="宋体"/>
          <w:b/>
          <w:sz w:val="24"/>
          <w:lang w:eastAsia="zh-CN"/>
        </w:rPr>
      </w:pPr>
    </w:p>
    <w:p w:rsidR="009C565C">
      <w:pPr>
        <w:spacing w:line="360" w:lineRule="auto"/>
        <w:ind w:right="26"/>
        <w:rPr>
          <w:rFonts w:ascii="宋体" w:hAnsi="宋体"/>
          <w:b/>
          <w:sz w:val="24"/>
          <w:lang w:eastAsia="zh-CN"/>
        </w:rPr>
      </w:pPr>
      <w:r>
        <w:rPr>
          <w:rFonts w:ascii="宋体" w:hAnsi="宋体" w:hint="eastAsia"/>
          <w:b/>
          <w:sz w:val="24"/>
          <w:highlight w:val="white"/>
          <w:lang w:eastAsia="zh-CN"/>
        </w:rPr>
        <w:t>签订地点：</w:t>
      </w:r>
    </w:p>
    <w:p w:rsidR="009C565C">
      <w:pPr>
        <w:spacing w:line="360" w:lineRule="auto"/>
        <w:ind w:right="26"/>
        <w:rPr>
          <w:rFonts w:ascii="宋体" w:hAnsi="宋体"/>
          <w:b/>
          <w:sz w:val="24"/>
          <w:lang w:eastAsia="zh-CN"/>
        </w:rPr>
      </w:pPr>
      <w:r>
        <w:rPr>
          <w:rFonts w:ascii="宋体" w:hAnsi="宋体" w:hint="eastAsia"/>
          <w:b/>
          <w:sz w:val="24"/>
          <w:highlight w:val="white"/>
          <w:lang w:eastAsia="zh-CN"/>
        </w:rPr>
        <w:t>签订日：</w:t>
      </w:r>
      <w:r>
        <w:rPr>
          <w:rFonts w:ascii="宋体" w:hAnsi="宋体"/>
          <w:b/>
          <w:sz w:val="24"/>
          <w:highlight w:val="white"/>
          <w:lang w:eastAsia="zh-CN"/>
        </w:rPr>
        <w:t xml:space="preserve">    </w:t>
      </w:r>
      <w:r>
        <w:rPr>
          <w:rFonts w:ascii="宋体" w:hAnsi="宋体" w:hint="eastAsia"/>
          <w:b/>
          <w:sz w:val="24"/>
          <w:highlight w:val="white"/>
          <w:lang w:eastAsia="zh-CN"/>
        </w:rPr>
        <w:t>年</w:t>
      </w:r>
      <w:r>
        <w:rPr>
          <w:rFonts w:ascii="宋体" w:hAnsi="宋体"/>
          <w:b/>
          <w:sz w:val="24"/>
          <w:highlight w:val="white"/>
          <w:lang w:eastAsia="zh-CN"/>
        </w:rPr>
        <w:t xml:space="preserve">   </w:t>
      </w:r>
      <w:r>
        <w:rPr>
          <w:rFonts w:ascii="宋体" w:hAnsi="宋体" w:hint="eastAsia"/>
          <w:b/>
          <w:sz w:val="24"/>
          <w:highlight w:val="white"/>
          <w:lang w:eastAsia="zh-CN"/>
        </w:rPr>
        <w:t>月</w:t>
      </w:r>
      <w:r>
        <w:rPr>
          <w:rFonts w:ascii="宋体" w:hAnsi="宋体"/>
          <w:b/>
          <w:sz w:val="24"/>
          <w:highlight w:val="white"/>
          <w:lang w:eastAsia="zh-CN"/>
        </w:rPr>
        <w:t xml:space="preserve">   </w:t>
      </w:r>
      <w:r>
        <w:rPr>
          <w:rFonts w:ascii="宋体" w:hAnsi="宋体" w:hint="eastAsia"/>
          <w:b/>
          <w:sz w:val="24"/>
          <w:highlight w:val="white"/>
          <w:lang w:eastAsia="zh-CN"/>
        </w:rPr>
        <w:t>日</w:t>
      </w:r>
      <w:bookmarkEnd w:id="42"/>
    </w:p>
    <w:p w:rsidR="009C565C">
      <w:pPr>
        <w:spacing w:line="360" w:lineRule="auto"/>
        <w:ind w:firstLine="420"/>
        <w:jc w:val="left"/>
        <w:rPr>
          <w:rFonts w:ascii="宋体" w:hAnsi="宋体"/>
          <w:lang w:eastAsia="zh-CN"/>
        </w:rPr>
      </w:pPr>
    </w:p>
    <w:sectPr>
      <w:footerReference w:type="default" r:id="rId9"/>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00"/>
    <w:family w:val="auto"/>
    <w:pitch w:val="default"/>
  </w:font>
  <w:font w:name="Cambria">
    <w:panose1 w:val="02040503050406030204"/>
    <w:charset w:val="00"/>
    <w:family w:val="roman"/>
    <w:pitch w:val="variable"/>
    <w:sig w:usb0="E00006FF" w:usb1="420024FF" w:usb2="02000000" w:usb3="00000000" w:csb0="0000019F" w:csb1="00000000"/>
  </w:font>
  <w:font w:name="heiti sc ligh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65C">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107</w:t>
    </w:r>
    <w:r>
      <w:rPr>
        <w:rFonts w:ascii="Times New Roman"/>
      </w:rPr>
      <w:fldChar w:fldCharType="end"/>
    </w:r>
  </w:p>
  <w:p w:rsidR="009C565C">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65C">
    <w:pPr>
      <w:pStyle w:val="1"/>
      <w:snapToGrid/>
    </w:pPr>
  </w:p>
  <w:p w:rsidR="009C565C">
    <w:pPr>
      <w:pStyle w:val="1"/>
      <w:snapToGrid/>
    </w:pPr>
  </w:p>
  <w:p w:rsidR="009C565C">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65C">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65C">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56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41D212D"/>
    <w:multiLevelType w:val="hybridMultilevel"/>
    <w:tmpl w:val="00000000"/>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销售新规">
    <w15:presenceInfo w15:providerId="None" w15:userId="销售新规"/>
  </w15:person>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5C"/>
    <w:rsid w:val="00072858"/>
    <w:rsid w:val="00072DE9"/>
    <w:rsid w:val="000A7F1C"/>
    <w:rsid w:val="000F20B8"/>
    <w:rsid w:val="00117689"/>
    <w:rsid w:val="00135A68"/>
    <w:rsid w:val="0015639B"/>
    <w:rsid w:val="001978F9"/>
    <w:rsid w:val="001C05FF"/>
    <w:rsid w:val="002D7104"/>
    <w:rsid w:val="002E5D5D"/>
    <w:rsid w:val="00383724"/>
    <w:rsid w:val="0041098E"/>
    <w:rsid w:val="00494D17"/>
    <w:rsid w:val="004B46DE"/>
    <w:rsid w:val="00501B82"/>
    <w:rsid w:val="005025CF"/>
    <w:rsid w:val="005A138D"/>
    <w:rsid w:val="00635C8B"/>
    <w:rsid w:val="00641BD9"/>
    <w:rsid w:val="006549D3"/>
    <w:rsid w:val="006725B1"/>
    <w:rsid w:val="00684238"/>
    <w:rsid w:val="006E3BE3"/>
    <w:rsid w:val="006F0DCE"/>
    <w:rsid w:val="007621E3"/>
    <w:rsid w:val="00764EB6"/>
    <w:rsid w:val="00791B10"/>
    <w:rsid w:val="007D4894"/>
    <w:rsid w:val="007D7520"/>
    <w:rsid w:val="00855F54"/>
    <w:rsid w:val="00875C5C"/>
    <w:rsid w:val="008914AE"/>
    <w:rsid w:val="009C565C"/>
    <w:rsid w:val="00A30DE9"/>
    <w:rsid w:val="00A503E2"/>
    <w:rsid w:val="00A72F67"/>
    <w:rsid w:val="00CC236D"/>
    <w:rsid w:val="00D00B59"/>
    <w:rsid w:val="00D3037C"/>
    <w:rsid w:val="00D72BDB"/>
    <w:rsid w:val="00DC649F"/>
    <w:rsid w:val="00E50439"/>
    <w:rsid w:val="00EE3E69"/>
    <w:rsid w:val="00F8492F"/>
    <w:rsid w:val="00FA3851"/>
    <w:rsid w:val="00FA6B1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5:docId w15:val="{6AD475AE-DDBE-4A4D-98BA-40BB0B33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D5D"/>
    <w:pPr>
      <w:widowControl w:val="0"/>
      <w:jc w:val="both"/>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DocumentMap">
    <w:name w:val="Document Map"/>
    <w:basedOn w:val="Normal"/>
    <w:link w:val="Char7"/>
    <w:qFormat/>
    <w:pPr>
      <w:shd w:val="clear" w:color="000080" w:fill="000080"/>
    </w:pPr>
  </w:style>
  <w:style w:type="paragraph" w:styleId="CommentText">
    <w:name w:val="annotation text"/>
    <w:basedOn w:val="Normal"/>
    <w:link w:val="Char6"/>
    <w:qFormat/>
    <w:pPr>
      <w:jc w:val="left"/>
    </w:pPr>
  </w:style>
  <w:style w:type="paragraph" w:styleId="BodyText">
    <w:name w:val="Body Text"/>
    <w:basedOn w:val="Normal"/>
    <w:link w:val="Char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9"/>
    <w:qFormat/>
    <w:rPr>
      <w:sz w:val="18"/>
    </w:rPr>
  </w:style>
  <w:style w:type="paragraph" w:customStyle="1" w:styleId="1">
    <w:name w:val="页脚1"/>
    <w:basedOn w:val="Normal"/>
    <w:link w:val="Char10"/>
    <w:qFormat/>
    <w:pPr>
      <w:tabs>
        <w:tab w:val="center" w:pos="4153"/>
        <w:tab w:val="right" w:pos="8306"/>
      </w:tabs>
      <w:snapToGrid w:val="0"/>
      <w:jc w:val="left"/>
    </w:pPr>
    <w:rPr>
      <w:sz w:val="18"/>
    </w:rPr>
  </w:style>
  <w:style w:type="paragraph" w:customStyle="1" w:styleId="10">
    <w:name w:val="页眉1"/>
    <w:basedOn w:val="Normal"/>
    <w:link w:val="Char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character" w:customStyle="1" w:styleId="Char">
    <w:name w:val="尾注文本 Char"/>
    <w:link w:val="EndnoteText"/>
    <w:uiPriority w:val="99"/>
    <w:qFormat/>
    <w:rPr>
      <w:sz w:val="20"/>
    </w:rPr>
  </w:style>
  <w:style w:type="paragraph" w:styleId="NoSpacing">
    <w:name w:val="No Spacing"/>
    <w:uiPriority w:val="1"/>
    <w:qFormat/>
    <w:rPr>
      <w:sz w:val="22"/>
      <w:szCs w:val="22"/>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character" w:customStyle="1" w:styleId="Char3">
    <w:name w:val="正文文本 Char"/>
    <w:link w:val="BodyText"/>
    <w:qFormat/>
    <w:rPr>
      <w:rFonts w:ascii="宋体"/>
      <w:sz w:val="21"/>
    </w:rPr>
  </w:style>
  <w:style w:type="character" w:customStyle="1" w:styleId="Char4">
    <w:name w:val="标题 Char"/>
    <w:link w:val="Title"/>
    <w:qFormat/>
    <w:rPr>
      <w:rFonts w:ascii="Cambria" w:hAnsi="Cambria"/>
      <w:b/>
      <w:sz w:val="32"/>
    </w:rPr>
  </w:style>
  <w:style w:type="character" w:customStyle="1" w:styleId="Char5">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6">
    <w:name w:val="批注文字 Char"/>
    <w:link w:val="CommentText"/>
    <w:qFormat/>
    <w:rPr>
      <w:sz w:val="21"/>
    </w:rPr>
  </w:style>
  <w:style w:type="character" w:customStyle="1" w:styleId="1Char">
    <w:name w:val="标题 1 Char"/>
    <w:link w:val="11"/>
    <w:qFormat/>
    <w:rPr>
      <w:rFonts w:ascii="宋体"/>
      <w:b/>
      <w:color w:val="000000"/>
      <w:sz w:val="24"/>
    </w:rPr>
  </w:style>
  <w:style w:type="character" w:customStyle="1" w:styleId="Char7">
    <w:name w:val="文档结构图 Char"/>
    <w:link w:val="DocumentMap"/>
    <w:qFormat/>
    <w:rPr>
      <w:sz w:val="21"/>
      <w:shd w:val="clear" w:color="000080" w:fill="000080"/>
    </w:rPr>
  </w:style>
  <w:style w:type="character" w:customStyle="1" w:styleId="Char8">
    <w:name w:val="纯文本 Char"/>
    <w:link w:val="PlainText"/>
    <w:qFormat/>
    <w:rPr>
      <w:rFonts w:ascii="宋体" w:hAnsi="Courier New"/>
      <w:sz w:val="21"/>
    </w:rPr>
  </w:style>
  <w:style w:type="character" w:customStyle="1" w:styleId="3Char">
    <w:name w:val="正文文本缩进 3 Char"/>
    <w:link w:val="BodyTextIndent3"/>
    <w:qFormat/>
    <w:rPr>
      <w:color w:val="0000FF"/>
      <w:sz w:val="21"/>
    </w:rPr>
  </w:style>
  <w:style w:type="character" w:customStyle="1" w:styleId="2Char">
    <w:name w:val="正文文本缩进 2 Char"/>
    <w:link w:val="BodyTextIndent2"/>
    <w:qFormat/>
    <w:rPr>
      <w:rFonts w:ascii="仿宋_GB2312" w:eastAsia="仿宋_GB2312"/>
      <w:sz w:val="28"/>
    </w:rPr>
  </w:style>
  <w:style w:type="character" w:customStyle="1" w:styleId="Char9">
    <w:name w:val="批注框文本 Char"/>
    <w:link w:val="BalloonText"/>
    <w:qFormat/>
    <w:rPr>
      <w:sz w:val="18"/>
    </w:rPr>
  </w:style>
  <w:style w:type="character" w:customStyle="1" w:styleId="Char10">
    <w:name w:val="页脚 Char"/>
    <w:link w:val="1"/>
    <w:qFormat/>
    <w:rPr>
      <w:sz w:val="18"/>
    </w:rPr>
  </w:style>
  <w:style w:type="character" w:customStyle="1" w:styleId="Char11">
    <w:name w:val="脚注文本 Char"/>
    <w:link w:val="FootnoteText"/>
    <w:qFormat/>
    <w:rPr>
      <w:sz w:val="18"/>
    </w:rPr>
  </w:style>
  <w:style w:type="character" w:customStyle="1" w:styleId="Char12">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 w:type="paragraph" w:styleId="Revision">
    <w:name w:val="Revision"/>
    <w:hidden/>
    <w:uiPriority w:val="99"/>
    <w:semiHidden/>
    <w:rsid w:val="00E50439"/>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110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