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F14202">
      <w:pPr>
        <w:spacing w:line="360" w:lineRule="auto"/>
        <w:jc w:val="center"/>
        <w:rPr>
          <w:color w:val="000000"/>
          <w:sz w:val="28"/>
        </w:rPr>
      </w:pPr>
    </w:p>
    <w:p w:rsidR="00F14202">
      <w:pPr>
        <w:spacing w:line="360" w:lineRule="auto"/>
        <w:jc w:val="center"/>
        <w:rPr>
          <w:color w:val="000000"/>
          <w:sz w:val="28"/>
        </w:rPr>
      </w:pPr>
    </w:p>
    <w:p w:rsidR="00F14202">
      <w:pPr>
        <w:spacing w:line="360" w:lineRule="auto"/>
        <w:jc w:val="center"/>
        <w:rPr>
          <w:color w:val="000000"/>
          <w:sz w:val="28"/>
        </w:rPr>
      </w:pPr>
    </w:p>
    <w:p w:rsidR="00F14202">
      <w:pPr>
        <w:spacing w:line="360" w:lineRule="auto"/>
        <w:jc w:val="center"/>
        <w:rPr>
          <w:color w:val="000000"/>
          <w:sz w:val="28"/>
        </w:rPr>
      </w:pPr>
    </w:p>
    <w:p w:rsidR="00F14202">
      <w:pPr>
        <w:spacing w:line="360" w:lineRule="auto"/>
        <w:jc w:val="center"/>
        <w:rPr>
          <w:color w:val="000000"/>
          <w:sz w:val="28"/>
        </w:rPr>
      </w:pPr>
    </w:p>
    <w:p w:rsidR="00F14202">
      <w:pPr>
        <w:spacing w:line="360" w:lineRule="auto"/>
        <w:jc w:val="center"/>
        <w:rPr>
          <w:color w:val="000000"/>
          <w:sz w:val="28"/>
        </w:rPr>
      </w:pPr>
    </w:p>
    <w:p w:rsidR="00F14202">
      <w:pPr>
        <w:spacing w:line="360" w:lineRule="auto"/>
        <w:jc w:val="center"/>
        <w:rPr>
          <w:b/>
          <w:color w:val="000000"/>
          <w:sz w:val="44"/>
          <w:szCs w:val="44"/>
          <w:lang w:eastAsia="zh-CN"/>
        </w:rPr>
      </w:pPr>
      <w:r>
        <w:rPr>
          <w:rFonts w:hint="eastAsia"/>
          <w:b/>
          <w:color w:val="000000" w:themeColor="text1"/>
          <w:sz w:val="44"/>
          <w:szCs w:val="44"/>
          <w:lang w:eastAsia="zh-CN"/>
        </w:rPr>
        <w:t>易方达丰瑞债券型证券投资基金</w:t>
      </w:r>
      <w:r>
        <w:rPr>
          <w:rFonts w:hint="eastAsia"/>
          <w:b/>
          <w:color w:val="000000" w:themeColor="text1"/>
          <w:sz w:val="44"/>
          <w:szCs w:val="44"/>
          <w:highlight w:val="white"/>
          <w:lang w:eastAsia="zh-CN"/>
        </w:rPr>
        <w:t>托管协议</w:t>
      </w:r>
    </w:p>
    <w:p w:rsidR="00F14202">
      <w:pPr>
        <w:spacing w:line="360" w:lineRule="auto"/>
        <w:jc w:val="center"/>
        <w:rPr>
          <w:color w:val="000000"/>
          <w:sz w:val="28"/>
          <w:lang w:eastAsia="zh-CN"/>
        </w:rPr>
      </w:pPr>
    </w:p>
    <w:p w:rsidR="00F14202">
      <w:pPr>
        <w:spacing w:line="360" w:lineRule="auto"/>
        <w:jc w:val="center"/>
        <w:rPr>
          <w:color w:val="000000"/>
          <w:sz w:val="28"/>
          <w:lang w:eastAsia="zh-CN"/>
        </w:rPr>
      </w:pPr>
    </w:p>
    <w:p w:rsidR="00F14202">
      <w:pPr>
        <w:spacing w:line="360" w:lineRule="auto"/>
        <w:jc w:val="center"/>
        <w:rPr>
          <w:color w:val="000000"/>
          <w:sz w:val="28"/>
          <w:lang w:eastAsia="zh-CN"/>
        </w:rPr>
      </w:pPr>
    </w:p>
    <w:p w:rsidR="00F14202">
      <w:pPr>
        <w:spacing w:line="360" w:lineRule="auto"/>
        <w:jc w:val="center"/>
        <w:rPr>
          <w:color w:val="000000"/>
          <w:sz w:val="28"/>
          <w:lang w:eastAsia="zh-CN"/>
        </w:rPr>
      </w:pPr>
    </w:p>
    <w:p w:rsidR="00F14202">
      <w:pPr>
        <w:spacing w:line="360" w:lineRule="auto"/>
        <w:jc w:val="center"/>
        <w:rPr>
          <w:color w:val="000000"/>
          <w:sz w:val="28"/>
          <w:lang w:eastAsia="zh-CN"/>
        </w:rPr>
      </w:pPr>
    </w:p>
    <w:p w:rsidR="00F14202">
      <w:pPr>
        <w:spacing w:line="360" w:lineRule="auto"/>
        <w:jc w:val="center"/>
        <w:rPr>
          <w:color w:val="000000"/>
          <w:sz w:val="28"/>
          <w:lang w:eastAsia="zh-CN"/>
        </w:rPr>
      </w:pPr>
    </w:p>
    <w:p w:rsidR="00F14202">
      <w:pPr>
        <w:spacing w:line="360" w:lineRule="auto"/>
        <w:jc w:val="center"/>
        <w:rPr>
          <w:color w:val="000000"/>
          <w:sz w:val="28"/>
          <w:lang w:eastAsia="zh-CN"/>
        </w:rPr>
      </w:pPr>
    </w:p>
    <w:p w:rsidR="00F14202">
      <w:pPr>
        <w:spacing w:line="360" w:lineRule="auto"/>
        <w:ind w:firstLine="1960"/>
        <w:rPr>
          <w:color w:val="000000"/>
          <w:sz w:val="28"/>
          <w:lang w:eastAsia="zh-CN"/>
        </w:rPr>
      </w:pPr>
      <w:r>
        <w:rPr>
          <w:rFonts w:hint="eastAsia"/>
          <w:color w:val="000000" w:themeColor="text1"/>
          <w:sz w:val="28"/>
          <w:highlight w:val="white"/>
          <w:lang w:eastAsia="zh-CN"/>
        </w:rPr>
        <w:t>基金管理人：</w:t>
      </w:r>
      <w:r>
        <w:rPr>
          <w:color w:val="000000" w:themeColor="text1"/>
          <w:sz w:val="28"/>
          <w:highlight w:val="white"/>
          <w:lang w:eastAsia="zh-CN"/>
        </w:rPr>
        <w:t>易方达</w:t>
      </w:r>
      <w:r>
        <w:rPr>
          <w:rFonts w:hint="eastAsia"/>
          <w:color w:val="000000" w:themeColor="text1"/>
          <w:sz w:val="28"/>
          <w:highlight w:val="white"/>
          <w:lang w:eastAsia="zh-CN"/>
        </w:rPr>
        <w:t>基金管理有限公司</w:t>
      </w:r>
    </w:p>
    <w:p w:rsidR="00F14202">
      <w:pPr>
        <w:spacing w:line="360" w:lineRule="auto"/>
        <w:ind w:firstLine="1960"/>
        <w:rPr>
          <w:color w:val="000000"/>
          <w:sz w:val="28"/>
          <w:lang w:eastAsia="zh-CN"/>
        </w:rPr>
      </w:pPr>
      <w:r>
        <w:rPr>
          <w:rFonts w:hint="eastAsia"/>
          <w:color w:val="000000" w:themeColor="text1"/>
          <w:sz w:val="28"/>
          <w:highlight w:val="white"/>
          <w:lang w:eastAsia="zh-CN"/>
        </w:rPr>
        <w:t>基金托管人：中信证券股份有限公司</w:t>
      </w:r>
    </w:p>
    <w:p w:rsidR="00F14202">
      <w:pPr>
        <w:spacing w:line="360" w:lineRule="auto"/>
        <w:ind w:firstLine="2520"/>
        <w:rPr>
          <w:color w:val="000000"/>
          <w:sz w:val="28"/>
          <w:lang w:eastAsia="zh-CN"/>
        </w:rPr>
      </w:pPr>
    </w:p>
    <w:p w:rsidR="00F14202">
      <w:pPr>
        <w:spacing w:line="360" w:lineRule="auto"/>
        <w:ind w:firstLine="2520"/>
        <w:rPr>
          <w:color w:val="000000"/>
          <w:sz w:val="28"/>
          <w:lang w:eastAsia="zh-CN"/>
        </w:rPr>
      </w:pPr>
    </w:p>
    <w:p w:rsidR="00F14202">
      <w:pPr>
        <w:spacing w:line="360" w:lineRule="auto"/>
        <w:jc w:val="center"/>
        <w:rPr>
          <w:color w:val="000000"/>
          <w:sz w:val="28"/>
        </w:rPr>
        <w:sectPr>
          <w:footerReference w:type="default" r:id="rId5"/>
          <w:pgSz w:w="11906" w:h="16838"/>
          <w:pgMar w:top="1440" w:right="1797" w:bottom="1440" w:left="1797" w:header="851" w:footer="992" w:gutter="0"/>
          <w:cols w:space="425"/>
          <w:docGrid w:type="lines" w:linePitch="312"/>
        </w:sectPr>
      </w:pPr>
      <w:r>
        <w:rPr>
          <w:rFonts w:ascii="宋体" w:hAnsi="宋体" w:cs="宋体"/>
          <w:color w:val="000000"/>
          <w:sz w:val="28"/>
          <w:highlight w:val="white"/>
        </w:rPr>
        <w:t>二零二</w:t>
      </w:r>
      <w:r w:rsidR="009A2B8E">
        <w:rPr>
          <w:rFonts w:ascii="宋体" w:hAnsi="宋体" w:cs="宋体" w:hint="eastAsia"/>
          <w:color w:val="000000"/>
          <w:sz w:val="28"/>
          <w:highlight w:val="white"/>
          <w:lang w:eastAsia="zh-CN"/>
        </w:rPr>
        <w:t>六</w:t>
      </w:r>
      <w:r>
        <w:rPr>
          <w:rFonts w:ascii="宋体" w:hAnsi="宋体" w:cs="宋体"/>
          <w:color w:val="000000"/>
          <w:sz w:val="28"/>
          <w:highlight w:val="white"/>
        </w:rPr>
        <w:t>年</w:t>
      </w:r>
      <w:r w:rsidR="009A2B8E">
        <w:rPr>
          <w:rFonts w:ascii="宋体" w:hAnsi="宋体" w:cs="宋体" w:hint="eastAsia"/>
          <w:color w:val="000000"/>
          <w:sz w:val="28"/>
          <w:highlight w:val="white"/>
          <w:lang w:eastAsia="zh-CN"/>
        </w:rPr>
        <w:t>五</w:t>
      </w:r>
      <w:r>
        <w:rPr>
          <w:rFonts w:ascii="宋体" w:hAnsi="宋体" w:cs="宋体"/>
          <w:color w:val="000000"/>
          <w:sz w:val="28"/>
          <w:highlight w:val="white"/>
        </w:rPr>
        <w:t>月</w:t>
      </w:r>
    </w:p>
    <w:p w:rsidR="00F14202">
      <w:pPr>
        <w:spacing w:line="360" w:lineRule="auto"/>
        <w:jc w:val="center"/>
        <w:rPr>
          <w:b/>
          <w:bCs/>
          <w:color w:val="000000"/>
        </w:rPr>
      </w:pPr>
      <w:r>
        <w:rPr>
          <w:rFonts w:hint="eastAsia"/>
          <w:b/>
          <w:bCs/>
          <w:color w:val="000000" w:themeColor="text1"/>
          <w:highlight w:val="white"/>
        </w:rPr>
        <w:t>目录</w:t>
      </w:r>
    </w:p>
    <w:p w:rsidR="00F14202">
      <w:pPr>
        <w:spacing w:line="360" w:lineRule="auto"/>
        <w:jc w:val="center"/>
        <w:rPr>
          <w:b/>
          <w:bCs/>
          <w:color w:val="000000"/>
        </w:rPr>
      </w:pPr>
    </w:p>
    <w:p w:rsidR="00F14202">
      <w:pPr>
        <w:pStyle w:val="TOC1"/>
        <w:rPr>
          <w:rFonts w:ascii="等线" w:hAnsi="等线" w:cs="等线"/>
          <w:caps w:val="0"/>
          <w:noProof/>
          <w:sz w:val="22"/>
          <w:szCs w:val="22"/>
        </w:rPr>
      </w:pPr>
      <w:r>
        <w:rPr>
          <w:b/>
          <w:bCs/>
          <w:color w:val="000000" w:themeColor="text1"/>
        </w:rPr>
        <w:fldChar w:fldCharType="begin"/>
      </w:r>
      <w:r>
        <w:rPr>
          <w:rFonts w:ascii="宋体" w:hAnsi="宋体" w:cs="宋体"/>
          <w:b/>
          <w:bCs/>
          <w:color w:val="000000" w:themeColor="text1"/>
          <w:highlight w:val="white"/>
        </w:rPr>
        <w:instrText xml:space="preserve"> TOC \o "1-3" \h \z </w:instrText>
      </w:r>
      <w:r>
        <w:rPr>
          <w:b/>
          <w:bCs/>
          <w:color w:val="000000" w:themeColor="text1"/>
        </w:rPr>
        <w:fldChar w:fldCharType="separate"/>
      </w:r>
      <w:hyperlink w:anchor="_Toc881131" w:tooltip="Current Document" w:history="1">
        <w:r>
          <w:rPr>
            <w:rStyle w:val="Hyperlink"/>
            <w:rFonts w:ascii="宋体" w:hint="eastAsia"/>
            <w:noProof/>
            <w:highlight w:val="white"/>
          </w:rPr>
          <w:t>一、</w:t>
        </w:r>
        <w:r>
          <w:rPr>
            <w:rFonts w:ascii="宋体" w:hAnsi="宋体" w:cs="宋体"/>
            <w:caps w:val="0"/>
            <w:noProof/>
            <w:sz w:val="22"/>
            <w:szCs w:val="22"/>
            <w:highlight w:val="white"/>
          </w:rPr>
          <w:tab/>
        </w:r>
        <w:r>
          <w:rPr>
            <w:rStyle w:val="Hyperlink"/>
            <w:rFonts w:ascii="宋体" w:hint="eastAsia"/>
            <w:noProof/>
            <w:highlight w:val="white"/>
          </w:rPr>
          <w:t>托管协议当事人</w:t>
        </w:r>
        <w:r>
          <w:rPr>
            <w:rFonts w:ascii="宋体" w:hAnsi="宋体" w:cs="宋体"/>
            <w:noProof/>
            <w:highlight w:val="white"/>
          </w:rPr>
          <w:tab/>
        </w:r>
        <w:r>
          <w:rPr>
            <w:noProof/>
          </w:rPr>
          <w:fldChar w:fldCharType="begin"/>
        </w:r>
        <w:r>
          <w:rPr>
            <w:rFonts w:ascii="宋体" w:hAnsi="宋体" w:cs="宋体"/>
            <w:noProof/>
            <w:highlight w:val="white"/>
          </w:rPr>
          <w:instrText xml:space="preserve"> PAGEREF _Toc881131 \h </w:instrText>
        </w:r>
        <w:r>
          <w:rPr>
            <w:noProof/>
          </w:rPr>
          <w:fldChar w:fldCharType="separate"/>
        </w:r>
        <w:r>
          <w:rPr>
            <w:rFonts w:ascii="宋体" w:hAnsi="宋体" w:cs="宋体"/>
            <w:noProof/>
            <w:highlight w:val="white"/>
          </w:rPr>
          <w:t>1</w:t>
        </w:r>
        <w:r>
          <w:rPr>
            <w:noProof/>
          </w:rPr>
          <w:fldChar w:fldCharType="end"/>
        </w:r>
      </w:hyperlink>
    </w:p>
    <w:p w:rsidR="00F14202">
      <w:pPr>
        <w:pStyle w:val="TOC1"/>
        <w:rPr>
          <w:rFonts w:ascii="等线" w:hAnsi="等线" w:cs="等线"/>
          <w:caps w:val="0"/>
          <w:noProof/>
          <w:sz w:val="22"/>
          <w:szCs w:val="22"/>
        </w:rPr>
      </w:pPr>
      <w:hyperlink w:anchor="_Toc881132" w:tooltip="Current Document" w:history="1">
        <w:r w:rsidR="00331671">
          <w:rPr>
            <w:rStyle w:val="Hyperlink"/>
            <w:rFonts w:ascii="宋体" w:hint="eastAsia"/>
            <w:noProof/>
            <w:highlight w:val="white"/>
          </w:rPr>
          <w:t>二、</w:t>
        </w:r>
        <w:r w:rsidR="00331671">
          <w:rPr>
            <w:rFonts w:ascii="宋体" w:hAnsi="宋体" w:cs="宋体"/>
            <w:caps w:val="0"/>
            <w:noProof/>
            <w:sz w:val="22"/>
            <w:szCs w:val="22"/>
            <w:highlight w:val="white"/>
          </w:rPr>
          <w:tab/>
        </w:r>
        <w:r w:rsidR="00331671">
          <w:rPr>
            <w:rStyle w:val="Hyperlink"/>
            <w:rFonts w:ascii="宋体" w:hint="eastAsia"/>
            <w:noProof/>
            <w:highlight w:val="white"/>
          </w:rPr>
          <w:t>托管协议的依据、目的、原则和解释</w:t>
        </w:r>
        <w:r w:rsidR="00331671">
          <w:rPr>
            <w:rFonts w:ascii="宋体" w:hAnsi="宋体" w:cs="宋体"/>
            <w:noProof/>
            <w:highlight w:val="white"/>
          </w:rPr>
          <w:tab/>
        </w:r>
        <w:r w:rsidR="00331671">
          <w:rPr>
            <w:noProof/>
          </w:rPr>
          <w:fldChar w:fldCharType="begin"/>
        </w:r>
        <w:r w:rsidR="00331671">
          <w:rPr>
            <w:rFonts w:ascii="宋体" w:hAnsi="宋体" w:cs="宋体"/>
            <w:noProof/>
            <w:highlight w:val="white"/>
          </w:rPr>
          <w:instrText xml:space="preserve"> PAGEREF _Toc881132 \h </w:instrText>
        </w:r>
        <w:r w:rsidR="00331671">
          <w:rPr>
            <w:noProof/>
          </w:rPr>
          <w:fldChar w:fldCharType="separate"/>
        </w:r>
        <w:r>
          <w:rPr>
            <w:rFonts w:ascii="宋体" w:hAnsi="宋体" w:cs="宋体"/>
            <w:noProof/>
            <w:highlight w:val="white"/>
          </w:rPr>
          <w:t>2</w:t>
        </w:r>
        <w:r w:rsidR="00331671">
          <w:rPr>
            <w:noProof/>
          </w:rPr>
          <w:fldChar w:fldCharType="end"/>
        </w:r>
      </w:hyperlink>
    </w:p>
    <w:p w:rsidR="00F14202">
      <w:pPr>
        <w:pStyle w:val="TOC1"/>
        <w:rPr>
          <w:rFonts w:ascii="等线" w:hAnsi="等线" w:cs="等线"/>
          <w:caps w:val="0"/>
          <w:noProof/>
          <w:sz w:val="22"/>
          <w:szCs w:val="22"/>
        </w:rPr>
      </w:pPr>
      <w:hyperlink w:anchor="_Toc881133" w:tooltip="Current Document" w:history="1">
        <w:r w:rsidR="00331671">
          <w:rPr>
            <w:rStyle w:val="Hyperlink"/>
            <w:rFonts w:ascii="宋体" w:hint="eastAsia"/>
            <w:noProof/>
            <w:highlight w:val="white"/>
          </w:rPr>
          <w:t>三、</w:t>
        </w:r>
        <w:r w:rsidR="00331671">
          <w:rPr>
            <w:rFonts w:ascii="宋体" w:hAnsi="宋体" w:cs="宋体"/>
            <w:caps w:val="0"/>
            <w:noProof/>
            <w:sz w:val="22"/>
            <w:szCs w:val="22"/>
            <w:highlight w:val="white"/>
          </w:rPr>
          <w:tab/>
        </w:r>
        <w:r w:rsidR="00331671">
          <w:rPr>
            <w:rStyle w:val="Hyperlink"/>
            <w:rFonts w:ascii="宋体" w:hint="eastAsia"/>
            <w:noProof/>
            <w:highlight w:val="white"/>
          </w:rPr>
          <w:t>基金托管人对基金管理人的业务监督和核查</w:t>
        </w:r>
        <w:r w:rsidR="00331671">
          <w:rPr>
            <w:rFonts w:ascii="宋体" w:hAnsi="宋体" w:cs="宋体"/>
            <w:noProof/>
            <w:highlight w:val="white"/>
          </w:rPr>
          <w:tab/>
        </w:r>
        <w:r w:rsidR="00331671">
          <w:rPr>
            <w:noProof/>
          </w:rPr>
          <w:fldChar w:fldCharType="begin"/>
        </w:r>
        <w:r w:rsidR="00331671">
          <w:rPr>
            <w:rFonts w:ascii="宋体" w:hAnsi="宋体" w:cs="宋体"/>
            <w:noProof/>
            <w:highlight w:val="white"/>
          </w:rPr>
          <w:instrText xml:space="preserve"> PAGEREF _Toc881133 \h </w:instrText>
        </w:r>
        <w:r w:rsidR="00331671">
          <w:rPr>
            <w:noProof/>
          </w:rPr>
          <w:fldChar w:fldCharType="separate"/>
        </w:r>
        <w:r>
          <w:rPr>
            <w:rFonts w:ascii="宋体" w:hAnsi="宋体" w:cs="宋体"/>
            <w:noProof/>
            <w:highlight w:val="white"/>
          </w:rPr>
          <w:t>3</w:t>
        </w:r>
        <w:r w:rsidR="00331671">
          <w:rPr>
            <w:noProof/>
          </w:rPr>
          <w:fldChar w:fldCharType="end"/>
        </w:r>
      </w:hyperlink>
    </w:p>
    <w:p w:rsidR="00F14202">
      <w:pPr>
        <w:pStyle w:val="TOC1"/>
        <w:rPr>
          <w:rFonts w:ascii="等线" w:hAnsi="等线" w:cs="等线"/>
          <w:caps w:val="0"/>
          <w:noProof/>
          <w:sz w:val="22"/>
          <w:szCs w:val="22"/>
        </w:rPr>
      </w:pPr>
      <w:hyperlink w:anchor="_Toc881134" w:tooltip="Current Document" w:history="1">
        <w:r w:rsidR="00331671">
          <w:rPr>
            <w:rStyle w:val="Hyperlink"/>
            <w:rFonts w:ascii="宋体" w:hAnsi="Calibri" w:cs="宋体" w:hint="eastAsia"/>
            <w:noProof/>
            <w:highlight w:val="white"/>
          </w:rPr>
          <w:t>四、</w:t>
        </w:r>
        <w:r w:rsidR="00331671">
          <w:rPr>
            <w:rFonts w:ascii="宋体" w:hAnsi="宋体" w:cs="宋体"/>
            <w:caps w:val="0"/>
            <w:noProof/>
            <w:sz w:val="22"/>
            <w:szCs w:val="22"/>
            <w:highlight w:val="white"/>
          </w:rPr>
          <w:tab/>
        </w:r>
        <w:r w:rsidR="00331671">
          <w:rPr>
            <w:rStyle w:val="Hyperlink"/>
            <w:rFonts w:ascii="宋体" w:hAnsi="Calibri" w:cs="宋体" w:hint="eastAsia"/>
            <w:noProof/>
            <w:highlight w:val="white"/>
          </w:rPr>
          <w:t>基金管理人对基金托管人的业务核查</w:t>
        </w:r>
        <w:r w:rsidR="00331671">
          <w:rPr>
            <w:rFonts w:ascii="宋体" w:hAnsi="宋体" w:cs="宋体"/>
            <w:noProof/>
            <w:highlight w:val="white"/>
          </w:rPr>
          <w:tab/>
        </w:r>
        <w:r w:rsidR="00331671">
          <w:rPr>
            <w:noProof/>
          </w:rPr>
          <w:fldChar w:fldCharType="begin"/>
        </w:r>
        <w:r w:rsidR="00331671">
          <w:rPr>
            <w:rFonts w:ascii="宋体" w:hAnsi="宋体" w:cs="宋体"/>
            <w:noProof/>
            <w:highlight w:val="white"/>
          </w:rPr>
          <w:instrText xml:space="preserve"> PAGEREF _Toc881134 \h </w:instrText>
        </w:r>
        <w:r w:rsidR="00331671">
          <w:rPr>
            <w:noProof/>
          </w:rPr>
          <w:fldChar w:fldCharType="separate"/>
        </w:r>
        <w:r>
          <w:rPr>
            <w:rFonts w:ascii="宋体" w:hAnsi="宋体" w:cs="宋体"/>
            <w:noProof/>
            <w:highlight w:val="white"/>
          </w:rPr>
          <w:t>9</w:t>
        </w:r>
        <w:r w:rsidR="00331671">
          <w:rPr>
            <w:noProof/>
          </w:rPr>
          <w:fldChar w:fldCharType="end"/>
        </w:r>
      </w:hyperlink>
    </w:p>
    <w:p w:rsidR="00F14202">
      <w:pPr>
        <w:pStyle w:val="TOC1"/>
        <w:rPr>
          <w:rFonts w:ascii="等线" w:hAnsi="等线" w:cs="等线"/>
          <w:caps w:val="0"/>
          <w:noProof/>
          <w:sz w:val="22"/>
          <w:szCs w:val="22"/>
        </w:rPr>
      </w:pPr>
      <w:hyperlink w:anchor="_Toc881135" w:tooltip="Current Document" w:history="1">
        <w:r w:rsidR="00331671">
          <w:rPr>
            <w:rStyle w:val="Hyperlink"/>
            <w:rFonts w:ascii="宋体" w:hAnsi="Calibri" w:cs="宋体" w:hint="eastAsia"/>
            <w:noProof/>
            <w:highlight w:val="white"/>
          </w:rPr>
          <w:t>五、</w:t>
        </w:r>
        <w:r w:rsidR="00331671">
          <w:rPr>
            <w:rFonts w:ascii="宋体" w:hAnsi="宋体" w:cs="宋体"/>
            <w:caps w:val="0"/>
            <w:noProof/>
            <w:sz w:val="22"/>
            <w:szCs w:val="22"/>
            <w:highlight w:val="white"/>
          </w:rPr>
          <w:tab/>
        </w:r>
        <w:r w:rsidR="00331671">
          <w:rPr>
            <w:rStyle w:val="Hyperlink"/>
            <w:rFonts w:ascii="宋体" w:hAnsi="Calibri" w:cs="宋体" w:hint="eastAsia"/>
            <w:noProof/>
            <w:highlight w:val="white"/>
          </w:rPr>
          <w:t>基金财产保管</w:t>
        </w:r>
        <w:r w:rsidR="00331671">
          <w:rPr>
            <w:rFonts w:ascii="宋体" w:hAnsi="宋体" w:cs="宋体"/>
            <w:noProof/>
            <w:highlight w:val="white"/>
          </w:rPr>
          <w:tab/>
        </w:r>
        <w:r w:rsidR="00331671">
          <w:rPr>
            <w:noProof/>
          </w:rPr>
          <w:fldChar w:fldCharType="begin"/>
        </w:r>
        <w:r w:rsidR="00331671">
          <w:rPr>
            <w:rFonts w:ascii="宋体" w:hAnsi="宋体" w:cs="宋体"/>
            <w:noProof/>
            <w:highlight w:val="white"/>
          </w:rPr>
          <w:instrText xml:space="preserve"> PAGEREF _Toc881135 \h </w:instrText>
        </w:r>
        <w:r w:rsidR="00331671">
          <w:rPr>
            <w:noProof/>
          </w:rPr>
          <w:fldChar w:fldCharType="separate"/>
        </w:r>
        <w:r>
          <w:rPr>
            <w:rFonts w:ascii="宋体" w:hAnsi="宋体" w:cs="宋体"/>
            <w:noProof/>
            <w:highlight w:val="white"/>
          </w:rPr>
          <w:t>10</w:t>
        </w:r>
        <w:r w:rsidR="00331671">
          <w:rPr>
            <w:noProof/>
          </w:rPr>
          <w:fldChar w:fldCharType="end"/>
        </w:r>
      </w:hyperlink>
    </w:p>
    <w:p w:rsidR="00F14202">
      <w:pPr>
        <w:pStyle w:val="TOC1"/>
        <w:rPr>
          <w:rFonts w:ascii="等线" w:hAnsi="等线" w:cs="等线"/>
          <w:caps w:val="0"/>
          <w:noProof/>
          <w:sz w:val="22"/>
          <w:szCs w:val="22"/>
        </w:rPr>
      </w:pPr>
      <w:hyperlink w:anchor="_Toc881136" w:tooltip="Current Document" w:history="1">
        <w:r w:rsidR="00331671">
          <w:rPr>
            <w:rStyle w:val="Hyperlink"/>
            <w:rFonts w:ascii="宋体" w:hint="eastAsia"/>
            <w:noProof/>
            <w:highlight w:val="white"/>
          </w:rPr>
          <w:t>六、</w:t>
        </w:r>
        <w:r w:rsidR="00331671">
          <w:rPr>
            <w:rFonts w:ascii="宋体" w:hAnsi="宋体" w:cs="宋体"/>
            <w:caps w:val="0"/>
            <w:noProof/>
            <w:sz w:val="22"/>
            <w:szCs w:val="22"/>
            <w:highlight w:val="white"/>
          </w:rPr>
          <w:tab/>
        </w:r>
        <w:r w:rsidR="00331671">
          <w:rPr>
            <w:rStyle w:val="Hyperlink"/>
            <w:rFonts w:ascii="宋体" w:hint="eastAsia"/>
            <w:noProof/>
            <w:highlight w:val="white"/>
          </w:rPr>
          <w:t>指令的发送、确认及执行</w:t>
        </w:r>
        <w:r w:rsidR="00331671">
          <w:rPr>
            <w:rFonts w:ascii="宋体" w:hAnsi="宋体" w:cs="宋体"/>
            <w:noProof/>
            <w:highlight w:val="white"/>
          </w:rPr>
          <w:tab/>
        </w:r>
        <w:r w:rsidR="00331671">
          <w:rPr>
            <w:noProof/>
          </w:rPr>
          <w:fldChar w:fldCharType="begin"/>
        </w:r>
        <w:r w:rsidR="00331671">
          <w:rPr>
            <w:rFonts w:ascii="宋体" w:hAnsi="宋体" w:cs="宋体"/>
            <w:noProof/>
            <w:highlight w:val="white"/>
          </w:rPr>
          <w:instrText xml:space="preserve"> PAGEREF _Toc881136 \h </w:instrText>
        </w:r>
        <w:r w:rsidR="00331671">
          <w:rPr>
            <w:noProof/>
          </w:rPr>
          <w:fldChar w:fldCharType="separate"/>
        </w:r>
        <w:r>
          <w:rPr>
            <w:rFonts w:ascii="宋体" w:hAnsi="宋体" w:cs="宋体"/>
            <w:noProof/>
            <w:highlight w:val="white"/>
          </w:rPr>
          <w:t>13</w:t>
        </w:r>
        <w:r w:rsidR="00331671">
          <w:rPr>
            <w:noProof/>
          </w:rPr>
          <w:fldChar w:fldCharType="end"/>
        </w:r>
      </w:hyperlink>
    </w:p>
    <w:p w:rsidR="00F14202">
      <w:pPr>
        <w:pStyle w:val="TOC1"/>
        <w:rPr>
          <w:rFonts w:ascii="等线" w:hAnsi="等线" w:cs="等线"/>
          <w:caps w:val="0"/>
          <w:noProof/>
          <w:sz w:val="22"/>
          <w:szCs w:val="22"/>
        </w:rPr>
      </w:pPr>
      <w:hyperlink w:anchor="_Toc881137" w:tooltip="Current Document" w:history="1">
        <w:r w:rsidR="00331671">
          <w:rPr>
            <w:rStyle w:val="Hyperlink"/>
            <w:rFonts w:ascii="宋体" w:hint="eastAsia"/>
            <w:noProof/>
            <w:highlight w:val="white"/>
          </w:rPr>
          <w:t>七、</w:t>
        </w:r>
        <w:r w:rsidR="00331671">
          <w:rPr>
            <w:rFonts w:ascii="宋体" w:hAnsi="宋体" w:cs="宋体"/>
            <w:caps w:val="0"/>
            <w:noProof/>
            <w:sz w:val="22"/>
            <w:szCs w:val="22"/>
            <w:highlight w:val="white"/>
          </w:rPr>
          <w:tab/>
        </w:r>
        <w:r w:rsidR="00331671">
          <w:rPr>
            <w:rStyle w:val="Hyperlink"/>
            <w:rFonts w:ascii="宋体" w:hint="eastAsia"/>
            <w:noProof/>
            <w:highlight w:val="white"/>
          </w:rPr>
          <w:t>交易及清算交收安排</w:t>
        </w:r>
        <w:r w:rsidR="00331671">
          <w:rPr>
            <w:rFonts w:ascii="宋体" w:hAnsi="宋体" w:cs="宋体"/>
            <w:noProof/>
            <w:highlight w:val="white"/>
          </w:rPr>
          <w:tab/>
        </w:r>
        <w:r w:rsidR="00331671">
          <w:rPr>
            <w:noProof/>
          </w:rPr>
          <w:fldChar w:fldCharType="begin"/>
        </w:r>
        <w:r w:rsidR="00331671">
          <w:rPr>
            <w:rFonts w:ascii="宋体" w:hAnsi="宋体" w:cs="宋体"/>
            <w:noProof/>
            <w:highlight w:val="white"/>
          </w:rPr>
          <w:instrText xml:space="preserve"> PAGEREF _Toc881137 \h </w:instrText>
        </w:r>
        <w:r w:rsidR="00331671">
          <w:rPr>
            <w:noProof/>
          </w:rPr>
          <w:fldChar w:fldCharType="separate"/>
        </w:r>
        <w:r>
          <w:rPr>
            <w:rFonts w:ascii="宋体" w:hAnsi="宋体" w:cs="宋体"/>
            <w:noProof/>
            <w:highlight w:val="white"/>
          </w:rPr>
          <w:t>17</w:t>
        </w:r>
        <w:r w:rsidR="00331671">
          <w:rPr>
            <w:noProof/>
          </w:rPr>
          <w:fldChar w:fldCharType="end"/>
        </w:r>
      </w:hyperlink>
    </w:p>
    <w:p w:rsidR="00F14202">
      <w:pPr>
        <w:pStyle w:val="TOC1"/>
        <w:rPr>
          <w:rFonts w:ascii="等线" w:hAnsi="等线" w:cs="等线"/>
          <w:caps w:val="0"/>
          <w:noProof/>
          <w:sz w:val="22"/>
          <w:szCs w:val="22"/>
        </w:rPr>
      </w:pPr>
      <w:hyperlink w:anchor="_Toc881138" w:tooltip="Current Document" w:history="1">
        <w:r w:rsidR="00331671">
          <w:rPr>
            <w:rStyle w:val="Hyperlink"/>
            <w:rFonts w:ascii="宋体" w:hint="eastAsia"/>
            <w:noProof/>
            <w:highlight w:val="white"/>
          </w:rPr>
          <w:t>八、</w:t>
        </w:r>
        <w:r w:rsidR="00331671">
          <w:rPr>
            <w:rFonts w:ascii="宋体" w:hAnsi="宋体" w:cs="宋体"/>
            <w:caps w:val="0"/>
            <w:noProof/>
            <w:sz w:val="22"/>
            <w:szCs w:val="22"/>
            <w:highlight w:val="white"/>
          </w:rPr>
          <w:tab/>
        </w:r>
        <w:r w:rsidR="00331671">
          <w:rPr>
            <w:rStyle w:val="Hyperlink"/>
            <w:rFonts w:ascii="宋体" w:hint="eastAsia"/>
            <w:noProof/>
            <w:highlight w:val="white"/>
          </w:rPr>
          <w:t>基金资产净值计算和会计核算</w:t>
        </w:r>
        <w:bookmarkStart w:id="0" w:name="_GoBack"/>
        <w:bookmarkEnd w:id="0"/>
        <w:r w:rsidR="00331671">
          <w:rPr>
            <w:rFonts w:ascii="宋体" w:hAnsi="宋体" w:cs="宋体"/>
            <w:noProof/>
            <w:highlight w:val="white"/>
          </w:rPr>
          <w:tab/>
        </w:r>
        <w:r w:rsidR="00331671">
          <w:rPr>
            <w:noProof/>
          </w:rPr>
          <w:fldChar w:fldCharType="begin"/>
        </w:r>
        <w:r w:rsidR="00331671">
          <w:rPr>
            <w:rFonts w:ascii="宋体" w:hAnsi="宋体" w:cs="宋体"/>
            <w:noProof/>
            <w:highlight w:val="white"/>
          </w:rPr>
          <w:instrText xml:space="preserve"> PAGEREF _Toc881138 \h </w:instrText>
        </w:r>
        <w:r w:rsidR="00331671">
          <w:rPr>
            <w:noProof/>
          </w:rPr>
          <w:fldChar w:fldCharType="separate"/>
        </w:r>
        <w:r>
          <w:rPr>
            <w:rFonts w:ascii="宋体" w:hAnsi="宋体" w:cs="宋体"/>
            <w:noProof/>
            <w:highlight w:val="white"/>
          </w:rPr>
          <w:t>19</w:t>
        </w:r>
        <w:r w:rsidR="00331671">
          <w:rPr>
            <w:noProof/>
          </w:rPr>
          <w:fldChar w:fldCharType="end"/>
        </w:r>
      </w:hyperlink>
    </w:p>
    <w:p w:rsidR="00F14202">
      <w:pPr>
        <w:pStyle w:val="TOC1"/>
        <w:rPr>
          <w:rFonts w:ascii="等线" w:hAnsi="等线" w:cs="等线"/>
          <w:caps w:val="0"/>
          <w:noProof/>
          <w:sz w:val="22"/>
          <w:szCs w:val="22"/>
        </w:rPr>
      </w:pPr>
      <w:hyperlink w:anchor="_Toc881139" w:tooltip="Current Document" w:history="1">
        <w:r w:rsidR="00331671">
          <w:rPr>
            <w:rStyle w:val="Hyperlink"/>
            <w:rFonts w:hint="eastAsia"/>
            <w:noProof/>
            <w:highlight w:val="white"/>
          </w:rPr>
          <w:t>九、</w:t>
        </w:r>
        <w:r w:rsidR="00331671">
          <w:rPr>
            <w:rFonts w:ascii="宋体" w:hAnsi="宋体" w:cs="宋体"/>
            <w:caps w:val="0"/>
            <w:noProof/>
            <w:sz w:val="22"/>
            <w:szCs w:val="22"/>
            <w:highlight w:val="white"/>
          </w:rPr>
          <w:tab/>
        </w:r>
        <w:r w:rsidR="00331671">
          <w:rPr>
            <w:rStyle w:val="Hyperlink"/>
            <w:rFonts w:hint="eastAsia"/>
            <w:noProof/>
            <w:highlight w:val="white"/>
          </w:rPr>
          <w:t>基金收益分配</w:t>
        </w:r>
        <w:r w:rsidR="00331671">
          <w:rPr>
            <w:rFonts w:ascii="宋体" w:hAnsi="宋体" w:cs="宋体"/>
            <w:noProof/>
            <w:highlight w:val="white"/>
          </w:rPr>
          <w:tab/>
        </w:r>
        <w:r w:rsidR="00331671">
          <w:rPr>
            <w:noProof/>
          </w:rPr>
          <w:fldChar w:fldCharType="begin"/>
        </w:r>
        <w:r w:rsidR="00331671">
          <w:rPr>
            <w:rFonts w:ascii="宋体" w:hAnsi="宋体" w:cs="宋体"/>
            <w:noProof/>
            <w:highlight w:val="white"/>
          </w:rPr>
          <w:instrText xml:space="preserve"> PAGEREF _Toc881139 \h </w:instrText>
        </w:r>
        <w:r w:rsidR="00331671">
          <w:rPr>
            <w:noProof/>
          </w:rPr>
          <w:fldChar w:fldCharType="separate"/>
        </w:r>
        <w:r>
          <w:rPr>
            <w:rFonts w:ascii="宋体" w:hAnsi="宋体" w:cs="宋体"/>
            <w:noProof/>
            <w:highlight w:val="white"/>
          </w:rPr>
          <w:t>27</w:t>
        </w:r>
        <w:r w:rsidR="00331671">
          <w:rPr>
            <w:noProof/>
          </w:rPr>
          <w:fldChar w:fldCharType="end"/>
        </w:r>
      </w:hyperlink>
    </w:p>
    <w:p w:rsidR="00F14202">
      <w:pPr>
        <w:pStyle w:val="TOC1"/>
        <w:rPr>
          <w:rFonts w:ascii="等线" w:hAnsi="等线" w:cs="等线"/>
          <w:caps w:val="0"/>
          <w:noProof/>
          <w:sz w:val="22"/>
          <w:szCs w:val="22"/>
        </w:rPr>
      </w:pPr>
      <w:hyperlink w:anchor="_Toc881140" w:tooltip="Current Document" w:history="1">
        <w:r w:rsidR="00331671">
          <w:rPr>
            <w:rStyle w:val="Hyperlink"/>
            <w:rFonts w:hint="eastAsia"/>
            <w:noProof/>
            <w:highlight w:val="white"/>
          </w:rPr>
          <w:t>十、</w:t>
        </w:r>
        <w:r w:rsidR="00331671">
          <w:rPr>
            <w:rFonts w:ascii="宋体" w:hAnsi="宋体" w:cs="宋体"/>
            <w:caps w:val="0"/>
            <w:noProof/>
            <w:sz w:val="22"/>
            <w:szCs w:val="22"/>
            <w:highlight w:val="white"/>
          </w:rPr>
          <w:tab/>
        </w:r>
        <w:r w:rsidR="00331671">
          <w:rPr>
            <w:rStyle w:val="Hyperlink"/>
            <w:rFonts w:hint="eastAsia"/>
            <w:noProof/>
            <w:highlight w:val="white"/>
          </w:rPr>
          <w:t>基金信息披露</w:t>
        </w:r>
        <w:r w:rsidR="00331671">
          <w:rPr>
            <w:rFonts w:ascii="宋体" w:hAnsi="宋体" w:cs="宋体"/>
            <w:noProof/>
            <w:highlight w:val="white"/>
          </w:rPr>
          <w:tab/>
        </w:r>
        <w:r w:rsidR="00331671">
          <w:rPr>
            <w:noProof/>
          </w:rPr>
          <w:fldChar w:fldCharType="begin"/>
        </w:r>
        <w:r w:rsidR="00331671">
          <w:rPr>
            <w:rFonts w:ascii="宋体" w:hAnsi="宋体" w:cs="宋体"/>
            <w:noProof/>
            <w:highlight w:val="white"/>
          </w:rPr>
          <w:instrText xml:space="preserve"> PAGEREF _Toc881140 \h </w:instrText>
        </w:r>
        <w:r w:rsidR="00331671">
          <w:rPr>
            <w:noProof/>
          </w:rPr>
          <w:fldChar w:fldCharType="separate"/>
        </w:r>
        <w:r>
          <w:rPr>
            <w:rFonts w:ascii="宋体" w:hAnsi="宋体" w:cs="宋体"/>
            <w:noProof/>
            <w:highlight w:val="white"/>
          </w:rPr>
          <w:t>27</w:t>
        </w:r>
        <w:r w:rsidR="00331671">
          <w:rPr>
            <w:noProof/>
          </w:rPr>
          <w:fldChar w:fldCharType="end"/>
        </w:r>
      </w:hyperlink>
    </w:p>
    <w:p w:rsidR="00F14202">
      <w:pPr>
        <w:pStyle w:val="TOC1"/>
        <w:rPr>
          <w:rFonts w:ascii="等线" w:hAnsi="等线" w:cs="等线"/>
          <w:caps w:val="0"/>
          <w:noProof/>
          <w:sz w:val="22"/>
          <w:szCs w:val="22"/>
        </w:rPr>
      </w:pPr>
      <w:hyperlink w:anchor="_Toc881141" w:tooltip="Current Document" w:history="1">
        <w:r w:rsidR="00331671">
          <w:rPr>
            <w:rStyle w:val="Hyperlink"/>
            <w:rFonts w:hint="eastAsia"/>
            <w:noProof/>
            <w:highlight w:val="white"/>
          </w:rPr>
          <w:t>十一、</w:t>
        </w:r>
        <w:r w:rsidR="00331671">
          <w:rPr>
            <w:rFonts w:ascii="宋体" w:hAnsi="宋体" w:cs="宋体"/>
            <w:caps w:val="0"/>
            <w:noProof/>
            <w:sz w:val="22"/>
            <w:szCs w:val="22"/>
            <w:highlight w:val="white"/>
          </w:rPr>
          <w:tab/>
        </w:r>
        <w:r w:rsidR="00331671">
          <w:rPr>
            <w:rStyle w:val="Hyperlink"/>
            <w:rFonts w:hint="eastAsia"/>
            <w:noProof/>
            <w:highlight w:val="white"/>
          </w:rPr>
          <w:t>基金费用</w:t>
        </w:r>
        <w:r w:rsidR="00331671">
          <w:rPr>
            <w:rFonts w:ascii="宋体" w:hAnsi="宋体" w:cs="宋体"/>
            <w:noProof/>
            <w:highlight w:val="white"/>
          </w:rPr>
          <w:tab/>
        </w:r>
        <w:r w:rsidR="00331671">
          <w:rPr>
            <w:noProof/>
          </w:rPr>
          <w:fldChar w:fldCharType="begin"/>
        </w:r>
        <w:r w:rsidR="00331671">
          <w:rPr>
            <w:rFonts w:ascii="宋体" w:hAnsi="宋体" w:cs="宋体"/>
            <w:noProof/>
            <w:highlight w:val="white"/>
          </w:rPr>
          <w:instrText xml:space="preserve"> PAGEREF _Toc881141 \h </w:instrText>
        </w:r>
        <w:r w:rsidR="00331671">
          <w:rPr>
            <w:noProof/>
          </w:rPr>
          <w:fldChar w:fldCharType="separate"/>
        </w:r>
        <w:r>
          <w:rPr>
            <w:rFonts w:ascii="宋体" w:hAnsi="宋体" w:cs="宋体"/>
            <w:noProof/>
            <w:highlight w:val="white"/>
          </w:rPr>
          <w:t>29</w:t>
        </w:r>
        <w:r w:rsidR="00331671">
          <w:rPr>
            <w:noProof/>
          </w:rPr>
          <w:fldChar w:fldCharType="end"/>
        </w:r>
      </w:hyperlink>
    </w:p>
    <w:p w:rsidR="00F14202">
      <w:pPr>
        <w:pStyle w:val="TOC1"/>
        <w:rPr>
          <w:rFonts w:ascii="等线" w:hAnsi="等线" w:cs="等线"/>
          <w:caps w:val="0"/>
          <w:noProof/>
          <w:sz w:val="22"/>
          <w:szCs w:val="22"/>
        </w:rPr>
      </w:pPr>
      <w:hyperlink w:anchor="_Toc881142" w:tooltip="Current Document" w:history="1">
        <w:r w:rsidR="00331671">
          <w:rPr>
            <w:rStyle w:val="Hyperlink"/>
            <w:rFonts w:hint="eastAsia"/>
            <w:noProof/>
            <w:highlight w:val="white"/>
          </w:rPr>
          <w:t>十二、</w:t>
        </w:r>
        <w:r w:rsidR="00331671">
          <w:rPr>
            <w:rFonts w:ascii="宋体" w:hAnsi="宋体" w:cs="宋体"/>
            <w:caps w:val="0"/>
            <w:noProof/>
            <w:sz w:val="22"/>
            <w:szCs w:val="22"/>
            <w:highlight w:val="white"/>
          </w:rPr>
          <w:tab/>
        </w:r>
        <w:r w:rsidR="00331671">
          <w:rPr>
            <w:rStyle w:val="Hyperlink"/>
            <w:rFonts w:hint="eastAsia"/>
            <w:noProof/>
            <w:highlight w:val="white"/>
          </w:rPr>
          <w:t>基金份额持有人名册的保管</w:t>
        </w:r>
        <w:r w:rsidR="00331671">
          <w:rPr>
            <w:rFonts w:ascii="宋体" w:hAnsi="宋体" w:cs="宋体"/>
            <w:noProof/>
            <w:highlight w:val="white"/>
          </w:rPr>
          <w:tab/>
        </w:r>
        <w:r w:rsidR="00331671">
          <w:rPr>
            <w:noProof/>
          </w:rPr>
          <w:fldChar w:fldCharType="begin"/>
        </w:r>
        <w:r w:rsidR="00331671">
          <w:rPr>
            <w:rFonts w:ascii="宋体" w:hAnsi="宋体" w:cs="宋体"/>
            <w:noProof/>
            <w:highlight w:val="white"/>
          </w:rPr>
          <w:instrText xml:space="preserve"> PAGEREF _Toc881142 \h </w:instrText>
        </w:r>
        <w:r w:rsidR="00331671">
          <w:rPr>
            <w:noProof/>
          </w:rPr>
          <w:fldChar w:fldCharType="separate"/>
        </w:r>
        <w:r>
          <w:rPr>
            <w:rFonts w:ascii="宋体" w:hAnsi="宋体" w:cs="宋体"/>
            <w:noProof/>
            <w:highlight w:val="white"/>
          </w:rPr>
          <w:t>32</w:t>
        </w:r>
        <w:r w:rsidR="00331671">
          <w:rPr>
            <w:noProof/>
          </w:rPr>
          <w:fldChar w:fldCharType="end"/>
        </w:r>
      </w:hyperlink>
    </w:p>
    <w:p w:rsidR="00F14202">
      <w:pPr>
        <w:pStyle w:val="TOC1"/>
        <w:rPr>
          <w:rFonts w:ascii="等线" w:hAnsi="等线" w:cs="等线"/>
          <w:caps w:val="0"/>
          <w:noProof/>
          <w:sz w:val="22"/>
          <w:szCs w:val="22"/>
        </w:rPr>
      </w:pPr>
      <w:hyperlink w:anchor="_Toc881143" w:tooltip="Current Document" w:history="1">
        <w:r w:rsidR="00331671">
          <w:rPr>
            <w:rStyle w:val="Hyperlink"/>
            <w:rFonts w:hint="eastAsia"/>
            <w:noProof/>
            <w:highlight w:val="white"/>
          </w:rPr>
          <w:t>十三、</w:t>
        </w:r>
        <w:r w:rsidR="00331671">
          <w:rPr>
            <w:rFonts w:ascii="宋体" w:hAnsi="宋体" w:cs="宋体"/>
            <w:caps w:val="0"/>
            <w:noProof/>
            <w:sz w:val="22"/>
            <w:szCs w:val="22"/>
            <w:highlight w:val="white"/>
          </w:rPr>
          <w:tab/>
        </w:r>
        <w:r w:rsidR="00331671">
          <w:rPr>
            <w:rStyle w:val="Hyperlink"/>
            <w:rFonts w:hint="eastAsia"/>
            <w:noProof/>
            <w:highlight w:val="white"/>
          </w:rPr>
          <w:t>基金有关文件档案的保存</w:t>
        </w:r>
        <w:r w:rsidR="00331671">
          <w:rPr>
            <w:rFonts w:ascii="宋体" w:hAnsi="宋体" w:cs="宋体"/>
            <w:noProof/>
            <w:highlight w:val="white"/>
          </w:rPr>
          <w:tab/>
        </w:r>
        <w:r w:rsidR="00331671">
          <w:rPr>
            <w:noProof/>
          </w:rPr>
          <w:fldChar w:fldCharType="begin"/>
        </w:r>
        <w:r w:rsidR="00331671">
          <w:rPr>
            <w:rFonts w:ascii="宋体" w:hAnsi="宋体" w:cs="宋体"/>
            <w:noProof/>
            <w:highlight w:val="white"/>
          </w:rPr>
          <w:instrText xml:space="preserve"> PAGEREF _Toc881143 \h </w:instrText>
        </w:r>
        <w:r w:rsidR="00331671">
          <w:rPr>
            <w:noProof/>
          </w:rPr>
          <w:fldChar w:fldCharType="separate"/>
        </w:r>
        <w:r>
          <w:rPr>
            <w:rFonts w:ascii="宋体" w:hAnsi="宋体" w:cs="宋体"/>
            <w:noProof/>
            <w:highlight w:val="white"/>
          </w:rPr>
          <w:t>32</w:t>
        </w:r>
        <w:r w:rsidR="00331671">
          <w:rPr>
            <w:noProof/>
          </w:rPr>
          <w:fldChar w:fldCharType="end"/>
        </w:r>
      </w:hyperlink>
    </w:p>
    <w:p w:rsidR="00F14202">
      <w:pPr>
        <w:pStyle w:val="TOC1"/>
        <w:rPr>
          <w:rFonts w:ascii="等线" w:hAnsi="等线" w:cs="等线"/>
          <w:caps w:val="0"/>
          <w:noProof/>
          <w:sz w:val="22"/>
          <w:szCs w:val="22"/>
        </w:rPr>
      </w:pPr>
      <w:hyperlink w:anchor="_Toc881144" w:tooltip="Current Document" w:history="1">
        <w:r w:rsidR="00331671">
          <w:rPr>
            <w:rStyle w:val="Hyperlink"/>
            <w:rFonts w:hint="eastAsia"/>
            <w:noProof/>
            <w:highlight w:val="white"/>
          </w:rPr>
          <w:t>十四、</w:t>
        </w:r>
        <w:r w:rsidR="00331671">
          <w:rPr>
            <w:rFonts w:ascii="宋体" w:hAnsi="宋体" w:cs="宋体"/>
            <w:caps w:val="0"/>
            <w:noProof/>
            <w:sz w:val="22"/>
            <w:szCs w:val="22"/>
            <w:highlight w:val="white"/>
          </w:rPr>
          <w:tab/>
        </w:r>
        <w:r w:rsidR="00331671">
          <w:rPr>
            <w:rStyle w:val="Hyperlink"/>
            <w:rFonts w:hint="eastAsia"/>
            <w:noProof/>
            <w:highlight w:val="white"/>
          </w:rPr>
          <w:t>基金托管人和基金管理人的更换</w:t>
        </w:r>
        <w:r w:rsidR="00331671">
          <w:rPr>
            <w:rFonts w:ascii="宋体" w:hAnsi="宋体" w:cs="宋体"/>
            <w:noProof/>
            <w:highlight w:val="white"/>
          </w:rPr>
          <w:tab/>
        </w:r>
        <w:r w:rsidR="00331671">
          <w:rPr>
            <w:noProof/>
          </w:rPr>
          <w:fldChar w:fldCharType="begin"/>
        </w:r>
        <w:r w:rsidR="00331671">
          <w:rPr>
            <w:rFonts w:ascii="宋体" w:hAnsi="宋体" w:cs="宋体"/>
            <w:noProof/>
            <w:highlight w:val="white"/>
          </w:rPr>
          <w:instrText xml:space="preserve"> PAGEREF _Toc881144 \h </w:instrText>
        </w:r>
        <w:r w:rsidR="00331671">
          <w:rPr>
            <w:noProof/>
          </w:rPr>
          <w:fldChar w:fldCharType="separate"/>
        </w:r>
        <w:r>
          <w:rPr>
            <w:rFonts w:ascii="宋体" w:hAnsi="宋体" w:cs="宋体"/>
            <w:noProof/>
            <w:highlight w:val="white"/>
          </w:rPr>
          <w:t>33</w:t>
        </w:r>
        <w:r w:rsidR="00331671">
          <w:rPr>
            <w:noProof/>
          </w:rPr>
          <w:fldChar w:fldCharType="end"/>
        </w:r>
      </w:hyperlink>
    </w:p>
    <w:p w:rsidR="00F14202">
      <w:pPr>
        <w:pStyle w:val="TOC1"/>
        <w:rPr>
          <w:rFonts w:ascii="等线" w:hAnsi="等线" w:cs="等线"/>
          <w:caps w:val="0"/>
          <w:noProof/>
          <w:sz w:val="22"/>
          <w:szCs w:val="22"/>
        </w:rPr>
      </w:pPr>
      <w:hyperlink w:anchor="_Toc881145" w:tooltip="Current Document" w:history="1">
        <w:r w:rsidR="00331671">
          <w:rPr>
            <w:rStyle w:val="Hyperlink"/>
            <w:rFonts w:hint="eastAsia"/>
            <w:noProof/>
            <w:highlight w:val="white"/>
          </w:rPr>
          <w:t>十五、</w:t>
        </w:r>
        <w:r w:rsidR="00331671">
          <w:rPr>
            <w:rFonts w:ascii="宋体" w:hAnsi="宋体" w:cs="宋体"/>
            <w:caps w:val="0"/>
            <w:noProof/>
            <w:sz w:val="22"/>
            <w:szCs w:val="22"/>
            <w:highlight w:val="white"/>
          </w:rPr>
          <w:tab/>
        </w:r>
        <w:r w:rsidR="00331671">
          <w:rPr>
            <w:rStyle w:val="Hyperlink"/>
            <w:rFonts w:hint="eastAsia"/>
            <w:noProof/>
            <w:highlight w:val="white"/>
          </w:rPr>
          <w:t>禁止行为</w:t>
        </w:r>
        <w:r w:rsidR="00331671">
          <w:rPr>
            <w:rFonts w:ascii="宋体" w:hAnsi="宋体" w:cs="宋体"/>
            <w:noProof/>
            <w:highlight w:val="white"/>
          </w:rPr>
          <w:tab/>
        </w:r>
        <w:r w:rsidR="00331671">
          <w:rPr>
            <w:noProof/>
          </w:rPr>
          <w:fldChar w:fldCharType="begin"/>
        </w:r>
        <w:r w:rsidR="00331671">
          <w:rPr>
            <w:rFonts w:ascii="宋体" w:hAnsi="宋体" w:cs="宋体"/>
            <w:noProof/>
            <w:highlight w:val="white"/>
          </w:rPr>
          <w:instrText xml:space="preserve"> PAGEREF _Toc881145 \h </w:instrText>
        </w:r>
        <w:r w:rsidR="00331671">
          <w:rPr>
            <w:noProof/>
          </w:rPr>
          <w:fldChar w:fldCharType="separate"/>
        </w:r>
        <w:r>
          <w:rPr>
            <w:rFonts w:ascii="宋体" w:hAnsi="宋体" w:cs="宋体"/>
            <w:noProof/>
            <w:highlight w:val="white"/>
          </w:rPr>
          <w:t>36</w:t>
        </w:r>
        <w:r w:rsidR="00331671">
          <w:rPr>
            <w:noProof/>
          </w:rPr>
          <w:fldChar w:fldCharType="end"/>
        </w:r>
      </w:hyperlink>
    </w:p>
    <w:p w:rsidR="00F14202">
      <w:pPr>
        <w:pStyle w:val="TOC1"/>
        <w:rPr>
          <w:rFonts w:ascii="等线" w:hAnsi="等线" w:cs="等线"/>
          <w:caps w:val="0"/>
          <w:noProof/>
          <w:sz w:val="22"/>
          <w:szCs w:val="22"/>
        </w:rPr>
      </w:pPr>
      <w:hyperlink w:anchor="_Toc881146" w:tooltip="Current Document" w:history="1">
        <w:r w:rsidR="00331671">
          <w:rPr>
            <w:rStyle w:val="Hyperlink"/>
            <w:rFonts w:hint="eastAsia"/>
            <w:noProof/>
            <w:highlight w:val="white"/>
          </w:rPr>
          <w:t>十六、</w:t>
        </w:r>
        <w:r w:rsidR="00331671">
          <w:rPr>
            <w:rFonts w:ascii="宋体" w:hAnsi="宋体" w:cs="宋体"/>
            <w:caps w:val="0"/>
            <w:noProof/>
            <w:sz w:val="22"/>
            <w:szCs w:val="22"/>
            <w:highlight w:val="white"/>
          </w:rPr>
          <w:tab/>
        </w:r>
        <w:r w:rsidR="00331671">
          <w:rPr>
            <w:rStyle w:val="Hyperlink"/>
            <w:rFonts w:hint="eastAsia"/>
            <w:noProof/>
            <w:highlight w:val="white"/>
          </w:rPr>
          <w:t>托管协议的变更、终止与基金财产的清算</w:t>
        </w:r>
        <w:r w:rsidR="00331671">
          <w:rPr>
            <w:rFonts w:ascii="宋体" w:hAnsi="宋体" w:cs="宋体"/>
            <w:noProof/>
            <w:highlight w:val="white"/>
          </w:rPr>
          <w:tab/>
        </w:r>
        <w:r w:rsidR="00331671">
          <w:rPr>
            <w:noProof/>
          </w:rPr>
          <w:fldChar w:fldCharType="begin"/>
        </w:r>
        <w:r w:rsidR="00331671">
          <w:rPr>
            <w:rFonts w:ascii="宋体" w:hAnsi="宋体" w:cs="宋体"/>
            <w:noProof/>
            <w:highlight w:val="white"/>
          </w:rPr>
          <w:instrText xml:space="preserve"> PAGEREF _Toc881146 \h </w:instrText>
        </w:r>
        <w:r w:rsidR="00331671">
          <w:rPr>
            <w:noProof/>
          </w:rPr>
          <w:fldChar w:fldCharType="separate"/>
        </w:r>
        <w:r>
          <w:rPr>
            <w:rFonts w:ascii="宋体" w:hAnsi="宋体" w:cs="宋体"/>
            <w:noProof/>
            <w:highlight w:val="white"/>
          </w:rPr>
          <w:t>37</w:t>
        </w:r>
        <w:r w:rsidR="00331671">
          <w:rPr>
            <w:noProof/>
          </w:rPr>
          <w:fldChar w:fldCharType="end"/>
        </w:r>
      </w:hyperlink>
    </w:p>
    <w:p w:rsidR="00F14202">
      <w:pPr>
        <w:pStyle w:val="TOC1"/>
        <w:rPr>
          <w:rFonts w:ascii="等线" w:hAnsi="等线" w:cs="等线"/>
          <w:caps w:val="0"/>
          <w:noProof/>
          <w:sz w:val="22"/>
          <w:szCs w:val="22"/>
        </w:rPr>
      </w:pPr>
      <w:hyperlink w:anchor="_Toc881147" w:tooltip="Current Document" w:history="1">
        <w:r w:rsidR="00331671">
          <w:rPr>
            <w:rStyle w:val="Hyperlink"/>
            <w:rFonts w:hint="eastAsia"/>
            <w:noProof/>
            <w:highlight w:val="white"/>
          </w:rPr>
          <w:t>十七、</w:t>
        </w:r>
        <w:r w:rsidR="00331671">
          <w:rPr>
            <w:rFonts w:ascii="宋体" w:hAnsi="宋体" w:cs="宋体"/>
            <w:caps w:val="0"/>
            <w:noProof/>
            <w:sz w:val="22"/>
            <w:szCs w:val="22"/>
            <w:highlight w:val="white"/>
          </w:rPr>
          <w:tab/>
        </w:r>
        <w:r w:rsidR="00331671">
          <w:rPr>
            <w:rStyle w:val="Hyperlink"/>
            <w:rFonts w:hint="eastAsia"/>
            <w:noProof/>
            <w:highlight w:val="white"/>
          </w:rPr>
          <w:t>违约责任和责任划分</w:t>
        </w:r>
        <w:r w:rsidR="00331671">
          <w:rPr>
            <w:rFonts w:ascii="宋体" w:hAnsi="宋体" w:cs="宋体"/>
            <w:noProof/>
            <w:highlight w:val="white"/>
          </w:rPr>
          <w:tab/>
        </w:r>
        <w:r w:rsidR="00331671">
          <w:rPr>
            <w:noProof/>
          </w:rPr>
          <w:fldChar w:fldCharType="begin"/>
        </w:r>
        <w:r w:rsidR="00331671">
          <w:rPr>
            <w:rFonts w:ascii="宋体" w:hAnsi="宋体" w:cs="宋体"/>
            <w:noProof/>
            <w:highlight w:val="white"/>
          </w:rPr>
          <w:instrText xml:space="preserve"> PAGEREF _Toc881147 \h </w:instrText>
        </w:r>
        <w:r w:rsidR="00331671">
          <w:rPr>
            <w:noProof/>
          </w:rPr>
          <w:fldChar w:fldCharType="separate"/>
        </w:r>
        <w:r>
          <w:rPr>
            <w:rFonts w:ascii="宋体" w:hAnsi="宋体" w:cs="宋体"/>
            <w:noProof/>
            <w:highlight w:val="white"/>
          </w:rPr>
          <w:t>38</w:t>
        </w:r>
        <w:r w:rsidR="00331671">
          <w:rPr>
            <w:noProof/>
          </w:rPr>
          <w:fldChar w:fldCharType="end"/>
        </w:r>
      </w:hyperlink>
    </w:p>
    <w:p w:rsidR="00F14202">
      <w:pPr>
        <w:pStyle w:val="TOC1"/>
        <w:rPr>
          <w:rFonts w:ascii="等线" w:hAnsi="等线" w:cs="等线"/>
          <w:caps w:val="0"/>
          <w:noProof/>
          <w:sz w:val="22"/>
          <w:szCs w:val="22"/>
        </w:rPr>
      </w:pPr>
      <w:hyperlink w:anchor="_Toc881148" w:tooltip="Current Document" w:history="1">
        <w:r w:rsidR="00331671">
          <w:rPr>
            <w:rStyle w:val="Hyperlink"/>
            <w:rFonts w:hint="eastAsia"/>
            <w:noProof/>
            <w:highlight w:val="white"/>
          </w:rPr>
          <w:t>十八、</w:t>
        </w:r>
        <w:r w:rsidR="00331671">
          <w:rPr>
            <w:rFonts w:ascii="宋体" w:hAnsi="宋体" w:cs="宋体"/>
            <w:caps w:val="0"/>
            <w:noProof/>
            <w:sz w:val="22"/>
            <w:szCs w:val="22"/>
            <w:highlight w:val="white"/>
          </w:rPr>
          <w:tab/>
        </w:r>
        <w:r w:rsidR="00331671">
          <w:rPr>
            <w:rStyle w:val="Hyperlink"/>
            <w:rFonts w:hint="eastAsia"/>
            <w:noProof/>
            <w:highlight w:val="white"/>
          </w:rPr>
          <w:t>适用法律与争议解决方式</w:t>
        </w:r>
        <w:r w:rsidR="00331671">
          <w:rPr>
            <w:rFonts w:ascii="宋体" w:hAnsi="宋体" w:cs="宋体"/>
            <w:noProof/>
            <w:highlight w:val="white"/>
          </w:rPr>
          <w:tab/>
        </w:r>
        <w:r w:rsidR="00331671">
          <w:rPr>
            <w:noProof/>
          </w:rPr>
          <w:fldChar w:fldCharType="begin"/>
        </w:r>
        <w:r w:rsidR="00331671">
          <w:rPr>
            <w:rFonts w:ascii="宋体" w:hAnsi="宋体" w:cs="宋体"/>
            <w:noProof/>
            <w:highlight w:val="white"/>
          </w:rPr>
          <w:instrText xml:space="preserve"> PAGEREF _Toc881148 \h </w:instrText>
        </w:r>
        <w:r w:rsidR="00331671">
          <w:rPr>
            <w:noProof/>
          </w:rPr>
          <w:fldChar w:fldCharType="separate"/>
        </w:r>
        <w:r>
          <w:rPr>
            <w:rFonts w:ascii="宋体" w:hAnsi="宋体" w:cs="宋体"/>
            <w:noProof/>
            <w:highlight w:val="white"/>
          </w:rPr>
          <w:t>39</w:t>
        </w:r>
        <w:r w:rsidR="00331671">
          <w:rPr>
            <w:noProof/>
          </w:rPr>
          <w:fldChar w:fldCharType="end"/>
        </w:r>
      </w:hyperlink>
    </w:p>
    <w:p w:rsidR="00F14202">
      <w:pPr>
        <w:pStyle w:val="TOC1"/>
        <w:rPr>
          <w:rFonts w:ascii="等线" w:hAnsi="等线" w:cs="等线"/>
          <w:caps w:val="0"/>
          <w:noProof/>
          <w:sz w:val="22"/>
          <w:szCs w:val="22"/>
        </w:rPr>
      </w:pPr>
      <w:hyperlink w:anchor="_Toc881149" w:tooltip="Current Document" w:history="1">
        <w:r w:rsidR="00331671">
          <w:rPr>
            <w:rStyle w:val="Hyperlink"/>
            <w:rFonts w:hint="eastAsia"/>
            <w:noProof/>
            <w:highlight w:val="white"/>
          </w:rPr>
          <w:t>十九、</w:t>
        </w:r>
        <w:r w:rsidR="00331671">
          <w:rPr>
            <w:rFonts w:ascii="宋体" w:hAnsi="宋体" w:cs="宋体"/>
            <w:caps w:val="0"/>
            <w:noProof/>
            <w:sz w:val="22"/>
            <w:szCs w:val="22"/>
            <w:highlight w:val="white"/>
          </w:rPr>
          <w:tab/>
        </w:r>
        <w:r w:rsidR="00331671">
          <w:rPr>
            <w:rStyle w:val="Hyperlink"/>
            <w:rFonts w:hint="eastAsia"/>
            <w:noProof/>
            <w:highlight w:val="white"/>
          </w:rPr>
          <w:t>托管协议的效力</w:t>
        </w:r>
        <w:r w:rsidR="00331671">
          <w:rPr>
            <w:rFonts w:ascii="宋体" w:hAnsi="宋体" w:cs="宋体"/>
            <w:noProof/>
            <w:highlight w:val="white"/>
          </w:rPr>
          <w:tab/>
        </w:r>
        <w:r w:rsidR="00331671">
          <w:rPr>
            <w:noProof/>
          </w:rPr>
          <w:fldChar w:fldCharType="begin"/>
        </w:r>
        <w:r w:rsidR="00331671">
          <w:rPr>
            <w:rFonts w:ascii="宋体" w:hAnsi="宋体" w:cs="宋体"/>
            <w:noProof/>
            <w:highlight w:val="white"/>
          </w:rPr>
          <w:instrText xml:space="preserve"> PAGEREF _Toc881149 \h </w:instrText>
        </w:r>
        <w:r w:rsidR="00331671">
          <w:rPr>
            <w:noProof/>
          </w:rPr>
          <w:fldChar w:fldCharType="separate"/>
        </w:r>
        <w:r>
          <w:rPr>
            <w:rFonts w:ascii="宋体" w:hAnsi="宋体" w:cs="宋体"/>
            <w:noProof/>
            <w:highlight w:val="white"/>
          </w:rPr>
          <w:t>39</w:t>
        </w:r>
        <w:r w:rsidR="00331671">
          <w:rPr>
            <w:noProof/>
          </w:rPr>
          <w:fldChar w:fldCharType="end"/>
        </w:r>
      </w:hyperlink>
    </w:p>
    <w:p w:rsidR="00F14202">
      <w:pPr>
        <w:pStyle w:val="TOC1"/>
        <w:rPr>
          <w:rFonts w:ascii="等线" w:hAnsi="等线" w:cs="等线"/>
          <w:caps w:val="0"/>
          <w:noProof/>
          <w:sz w:val="22"/>
          <w:szCs w:val="22"/>
        </w:rPr>
      </w:pPr>
      <w:hyperlink w:anchor="_Toc881150" w:tooltip="Current Document" w:history="1">
        <w:r w:rsidR="00331671">
          <w:rPr>
            <w:rStyle w:val="Hyperlink"/>
            <w:rFonts w:hint="eastAsia"/>
            <w:noProof/>
            <w:highlight w:val="white"/>
          </w:rPr>
          <w:t>二十、</w:t>
        </w:r>
        <w:r w:rsidR="00331671">
          <w:rPr>
            <w:rFonts w:ascii="宋体" w:hAnsi="宋体" w:cs="宋体"/>
            <w:caps w:val="0"/>
            <w:noProof/>
            <w:sz w:val="22"/>
            <w:szCs w:val="22"/>
            <w:highlight w:val="white"/>
          </w:rPr>
          <w:tab/>
        </w:r>
        <w:r w:rsidR="00331671">
          <w:rPr>
            <w:rStyle w:val="Hyperlink"/>
            <w:rFonts w:hint="eastAsia"/>
            <w:noProof/>
            <w:highlight w:val="white"/>
          </w:rPr>
          <w:t>托管协议的签订</w:t>
        </w:r>
        <w:r w:rsidR="00331671">
          <w:rPr>
            <w:rFonts w:ascii="宋体" w:hAnsi="宋体" w:cs="宋体"/>
            <w:noProof/>
            <w:highlight w:val="white"/>
          </w:rPr>
          <w:tab/>
        </w:r>
        <w:r w:rsidR="00331671">
          <w:rPr>
            <w:noProof/>
          </w:rPr>
          <w:fldChar w:fldCharType="begin"/>
        </w:r>
        <w:r w:rsidR="00331671">
          <w:rPr>
            <w:rFonts w:ascii="宋体" w:hAnsi="宋体" w:cs="宋体"/>
            <w:noProof/>
            <w:highlight w:val="white"/>
          </w:rPr>
          <w:instrText xml:space="preserve"> PAGEREF _Toc881150 \h </w:instrText>
        </w:r>
        <w:r w:rsidR="00331671">
          <w:rPr>
            <w:noProof/>
          </w:rPr>
          <w:fldChar w:fldCharType="separate"/>
        </w:r>
        <w:r>
          <w:rPr>
            <w:rFonts w:ascii="宋体" w:hAnsi="宋体" w:cs="宋体"/>
            <w:noProof/>
            <w:highlight w:val="white"/>
          </w:rPr>
          <w:t>40</w:t>
        </w:r>
        <w:r w:rsidR="00331671">
          <w:rPr>
            <w:noProof/>
          </w:rPr>
          <w:fldChar w:fldCharType="end"/>
        </w:r>
      </w:hyperlink>
    </w:p>
    <w:p w:rsidR="00F14202">
      <w:pPr>
        <w:spacing w:line="360" w:lineRule="auto"/>
        <w:ind w:firstLine="1890"/>
        <w:jc w:val="left"/>
        <w:rPr>
          <w:color w:val="000000"/>
          <w:sz w:val="28"/>
        </w:rPr>
      </w:pPr>
      <w:r>
        <w:rPr>
          <w:color w:val="000000" w:themeColor="text1"/>
        </w:rPr>
        <w:fldChar w:fldCharType="end"/>
      </w:r>
    </w:p>
    <w:p w:rsidR="00F14202">
      <w:pPr>
        <w:rPr>
          <w:color w:val="000000"/>
        </w:rPr>
      </w:pPr>
    </w:p>
    <w:p w:rsidR="00F14202">
      <w:pPr>
        <w:spacing w:line="360" w:lineRule="auto"/>
        <w:rPr>
          <w:color w:val="000000"/>
        </w:rPr>
        <w:sectPr>
          <w:headerReference w:type="default" r:id="rId6"/>
          <w:pgSz w:w="11906" w:h="16838"/>
          <w:pgMar w:top="1440" w:right="1800" w:bottom="1440" w:left="1800" w:header="851" w:footer="992" w:gutter="0"/>
          <w:cols w:space="425"/>
          <w:docGrid w:type="lines" w:linePitch="312"/>
        </w:sectPr>
      </w:pPr>
    </w:p>
    <w:p w:rsidR="00F14202">
      <w:pPr>
        <w:spacing w:line="360" w:lineRule="auto"/>
        <w:ind w:firstLine="420"/>
        <w:jc w:val="left"/>
        <w:rPr>
          <w:color w:val="000000"/>
          <w:sz w:val="21"/>
          <w:szCs w:val="21"/>
          <w:lang w:eastAsia="zh-CN"/>
        </w:rPr>
      </w:pPr>
      <w:r>
        <w:rPr>
          <w:rFonts w:hint="eastAsia"/>
          <w:color w:val="000000" w:themeColor="text1"/>
          <w:sz w:val="21"/>
          <w:szCs w:val="21"/>
          <w:highlight w:val="white"/>
          <w:lang w:eastAsia="zh-CN"/>
        </w:rPr>
        <w:t>鉴于易方达基金管理有限公司（以下简称“易方达基金”）是一家依照中国法律合法成立并有效存续的有限责任公司，按照相关法律法规的规定具备担任基金管理人的资格和能力；</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鉴于中信证券股份有限公司（以下简称“中信证券”）是一家依照中国法律合法成立并有效存续的机构，按照相关法律法规的规定具备担任基金托管人的资格和能力；</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鉴于易方达基金为</w:t>
      </w:r>
      <w:r>
        <w:rPr>
          <w:rFonts w:hint="eastAsia"/>
          <w:color w:val="000000" w:themeColor="text1"/>
          <w:sz w:val="21"/>
          <w:szCs w:val="21"/>
          <w:lang w:eastAsia="zh-CN"/>
        </w:rPr>
        <w:t>易方达丰瑞债券型证券投资基金</w:t>
      </w:r>
      <w:r>
        <w:rPr>
          <w:rFonts w:hint="eastAsia"/>
          <w:color w:val="000000" w:themeColor="text1"/>
          <w:sz w:val="21"/>
          <w:szCs w:val="21"/>
          <w:highlight w:val="white"/>
          <w:lang w:eastAsia="zh-CN"/>
        </w:rPr>
        <w:t>的基金管理人，中信证券为</w:t>
      </w:r>
      <w:r>
        <w:rPr>
          <w:rFonts w:hint="eastAsia"/>
          <w:color w:val="000000" w:themeColor="text1"/>
          <w:sz w:val="21"/>
          <w:szCs w:val="21"/>
          <w:lang w:eastAsia="zh-CN"/>
        </w:rPr>
        <w:t>易方达丰瑞债券型证券投资基金</w:t>
      </w:r>
      <w:r>
        <w:rPr>
          <w:rFonts w:hint="eastAsia"/>
          <w:color w:val="000000" w:themeColor="text1"/>
          <w:sz w:val="21"/>
          <w:szCs w:val="21"/>
          <w:highlight w:val="white"/>
          <w:lang w:eastAsia="zh-CN"/>
        </w:rPr>
        <w:t>的基金托管人；</w:t>
      </w:r>
    </w:p>
    <w:p w:rsidR="00F14202">
      <w:pPr>
        <w:pStyle w:val="BodyTextIndent"/>
        <w:rPr>
          <w:color w:val="000000"/>
          <w:sz w:val="21"/>
          <w:szCs w:val="21"/>
          <w:lang w:eastAsia="zh-CN"/>
        </w:rPr>
      </w:pPr>
      <w:r>
        <w:rPr>
          <w:rFonts w:hint="eastAsia"/>
          <w:color w:val="000000" w:themeColor="text1"/>
          <w:sz w:val="21"/>
          <w:szCs w:val="21"/>
          <w:highlight w:val="white"/>
          <w:lang w:eastAsia="zh-CN"/>
        </w:rPr>
        <w:t>为明确</w:t>
      </w:r>
      <w:r>
        <w:rPr>
          <w:rFonts w:hint="eastAsia"/>
          <w:color w:val="000000" w:themeColor="text1"/>
          <w:sz w:val="21"/>
          <w:szCs w:val="21"/>
          <w:lang w:eastAsia="zh-CN"/>
        </w:rPr>
        <w:t>易方达丰瑞债券型证券投资基金</w:t>
      </w:r>
      <w:r>
        <w:rPr>
          <w:rFonts w:hint="eastAsia"/>
          <w:color w:val="000000" w:themeColor="text1"/>
          <w:sz w:val="21"/>
          <w:szCs w:val="21"/>
          <w:highlight w:val="white"/>
          <w:lang w:eastAsia="zh-CN"/>
        </w:rPr>
        <w:t>基金管理人和基金托管人之间的权利义务关系，特制订本协议。</w:t>
      </w:r>
    </w:p>
    <w:p w:rsidR="00F14202">
      <w:pPr>
        <w:pStyle w:val="BodyTextIndent"/>
        <w:rPr>
          <w:color w:val="000000"/>
          <w:lang w:eastAsia="zh-CN"/>
        </w:rPr>
      </w:pPr>
    </w:p>
    <w:p w:rsidR="00F14202">
      <w:pPr>
        <w:pStyle w:val="Heading1"/>
        <w:numPr>
          <w:ilvl w:val="0"/>
          <w:numId w:val="1"/>
        </w:numPr>
        <w:spacing w:before="120" w:after="120" w:line="360" w:lineRule="auto"/>
        <w:jc w:val="center"/>
        <w:rPr>
          <w:rFonts w:ascii="宋体"/>
          <w:bCs w:val="0"/>
          <w:color w:val="000000"/>
          <w:sz w:val="24"/>
          <w:szCs w:val="24"/>
        </w:rPr>
      </w:pPr>
      <w:bookmarkStart w:id="1" w:name="_Toc881131"/>
      <w:bookmarkStart w:id="2" w:name="_Toc394473996"/>
      <w:r>
        <w:rPr>
          <w:rFonts w:ascii="宋体" w:hint="eastAsia"/>
          <w:bCs w:val="0"/>
          <w:color w:val="000000" w:themeColor="text1"/>
          <w:sz w:val="24"/>
          <w:szCs w:val="24"/>
          <w:highlight w:val="white"/>
        </w:rPr>
        <w:t>托管协议当事人</w:t>
      </w:r>
      <w:bookmarkEnd w:id="1"/>
      <w:bookmarkEnd w:id="2"/>
    </w:p>
    <w:p w:rsidR="00F14202">
      <w:pPr>
        <w:rPr>
          <w:color w:val="000000"/>
        </w:rPr>
      </w:pPr>
    </w:p>
    <w:p w:rsidR="00F14202">
      <w:pPr>
        <w:pStyle w:val="ListParagraph"/>
        <w:numPr>
          <w:ilvl w:val="0"/>
          <w:numId w:val="2"/>
        </w:numPr>
        <w:spacing w:line="360" w:lineRule="auto"/>
        <w:rPr>
          <w:color w:val="000000"/>
          <w:sz w:val="21"/>
          <w:szCs w:val="21"/>
          <w:lang w:eastAsia="zh-CN"/>
        </w:rPr>
      </w:pPr>
      <w:r>
        <w:rPr>
          <w:rFonts w:hint="eastAsia"/>
          <w:color w:val="000000" w:themeColor="text1"/>
          <w:sz w:val="21"/>
          <w:szCs w:val="21"/>
          <w:highlight w:val="white"/>
          <w:lang w:eastAsia="zh-CN"/>
        </w:rPr>
        <w:t>基金管理人</w:t>
      </w:r>
      <w:r>
        <w:rPr>
          <w:rFonts w:ascii="宋体" w:hAnsi="宋体" w:cs="宋体"/>
          <w:color w:val="000000" w:themeColor="text1"/>
          <w:sz w:val="21"/>
          <w:szCs w:val="21"/>
          <w:highlight w:val="white"/>
          <w:lang w:eastAsia="zh-CN"/>
        </w:rPr>
        <w:t>(</w:t>
      </w:r>
      <w:r>
        <w:rPr>
          <w:rFonts w:hint="eastAsia"/>
          <w:color w:val="000000" w:themeColor="text1"/>
          <w:sz w:val="21"/>
          <w:szCs w:val="21"/>
          <w:highlight w:val="white"/>
          <w:lang w:eastAsia="zh-CN"/>
        </w:rPr>
        <w:t>或简称“管理人”</w:t>
      </w:r>
      <w:r>
        <w:rPr>
          <w:rFonts w:ascii="宋体" w:hAnsi="宋体" w:cs="宋体"/>
          <w:color w:val="000000" w:themeColor="text1"/>
          <w:sz w:val="21"/>
          <w:szCs w:val="21"/>
          <w:highlight w:val="white"/>
          <w:lang w:eastAsia="zh-CN"/>
        </w:rPr>
        <w:t>)</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名称：易方达基金管理有限公司</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住所：广东省珠海市横琴新区荣粤道</w:t>
      </w:r>
      <w:r>
        <w:rPr>
          <w:rFonts w:ascii="宋体" w:hAnsi="宋体" w:cs="宋体" w:hint="eastAsia"/>
          <w:color w:val="000000" w:themeColor="text1"/>
          <w:sz w:val="21"/>
          <w:szCs w:val="21"/>
          <w:highlight w:val="white"/>
          <w:lang w:eastAsia="zh-CN"/>
        </w:rPr>
        <w:t>188</w:t>
      </w:r>
      <w:r>
        <w:rPr>
          <w:rFonts w:hint="eastAsia"/>
          <w:color w:val="000000" w:themeColor="text1"/>
          <w:sz w:val="21"/>
          <w:szCs w:val="21"/>
          <w:highlight w:val="white"/>
          <w:lang w:eastAsia="zh-CN"/>
        </w:rPr>
        <w:t>号</w:t>
      </w:r>
      <w:r>
        <w:rPr>
          <w:rFonts w:ascii="宋体" w:hAnsi="宋体" w:cs="宋体" w:hint="eastAsia"/>
          <w:color w:val="000000" w:themeColor="text1"/>
          <w:sz w:val="21"/>
          <w:szCs w:val="21"/>
          <w:highlight w:val="white"/>
          <w:lang w:eastAsia="zh-CN"/>
        </w:rPr>
        <w:t>6</w:t>
      </w:r>
      <w:r>
        <w:rPr>
          <w:rFonts w:hint="eastAsia"/>
          <w:color w:val="000000" w:themeColor="text1"/>
          <w:sz w:val="21"/>
          <w:szCs w:val="21"/>
          <w:highlight w:val="white"/>
          <w:lang w:eastAsia="zh-CN"/>
        </w:rPr>
        <w:t>层</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法定代表人：吴欣荣</w:t>
      </w:r>
      <w:r>
        <w:rPr>
          <w:rFonts w:ascii="宋体" w:hAnsi="宋体" w:cs="宋体" w:hint="eastAsia"/>
          <w:color w:val="000000" w:themeColor="text1"/>
          <w:sz w:val="21"/>
          <w:szCs w:val="21"/>
          <w:highlight w:val="white"/>
          <w:lang w:eastAsia="zh-CN"/>
        </w:rPr>
        <w:t xml:space="preserve"> </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设立日期：</w:t>
      </w:r>
      <w:r>
        <w:rPr>
          <w:rFonts w:ascii="宋体" w:hAnsi="宋体" w:cs="宋体" w:hint="eastAsia"/>
          <w:color w:val="000000" w:themeColor="text1"/>
          <w:sz w:val="21"/>
          <w:szCs w:val="21"/>
          <w:highlight w:val="white"/>
          <w:lang w:eastAsia="zh-CN"/>
        </w:rPr>
        <w:t>2001</w:t>
      </w:r>
      <w:r>
        <w:rPr>
          <w:rFonts w:hint="eastAsia"/>
          <w:color w:val="000000" w:themeColor="text1"/>
          <w:sz w:val="21"/>
          <w:szCs w:val="21"/>
          <w:highlight w:val="white"/>
          <w:lang w:eastAsia="zh-CN"/>
        </w:rPr>
        <w:t>年</w:t>
      </w:r>
      <w:r>
        <w:rPr>
          <w:rFonts w:ascii="宋体" w:hAnsi="宋体" w:cs="宋体" w:hint="eastAsia"/>
          <w:color w:val="000000" w:themeColor="text1"/>
          <w:sz w:val="21"/>
          <w:szCs w:val="21"/>
          <w:highlight w:val="white"/>
          <w:lang w:eastAsia="zh-CN"/>
        </w:rPr>
        <w:t>4</w:t>
      </w:r>
      <w:r>
        <w:rPr>
          <w:rFonts w:hint="eastAsia"/>
          <w:color w:val="000000" w:themeColor="text1"/>
          <w:sz w:val="21"/>
          <w:szCs w:val="21"/>
          <w:highlight w:val="white"/>
          <w:lang w:eastAsia="zh-CN"/>
        </w:rPr>
        <w:t>月</w:t>
      </w:r>
      <w:r>
        <w:rPr>
          <w:rFonts w:ascii="宋体" w:hAnsi="宋体" w:cs="宋体" w:hint="eastAsia"/>
          <w:color w:val="000000" w:themeColor="text1"/>
          <w:sz w:val="21"/>
          <w:szCs w:val="21"/>
          <w:highlight w:val="white"/>
          <w:lang w:eastAsia="zh-CN"/>
        </w:rPr>
        <w:t>17</w:t>
      </w:r>
      <w:r>
        <w:rPr>
          <w:rFonts w:hint="eastAsia"/>
          <w:color w:val="000000" w:themeColor="text1"/>
          <w:sz w:val="21"/>
          <w:szCs w:val="21"/>
          <w:highlight w:val="white"/>
          <w:lang w:eastAsia="zh-CN"/>
        </w:rPr>
        <w:t>日</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批准设立机关及批准设立文号：中国证券监督管理委员会，证监基金字</w:t>
      </w:r>
      <w:r>
        <w:rPr>
          <w:rFonts w:ascii="宋体" w:hAnsi="宋体" w:cs="宋体" w:hint="eastAsia"/>
          <w:color w:val="000000" w:themeColor="text1"/>
          <w:sz w:val="21"/>
          <w:szCs w:val="21"/>
          <w:highlight w:val="white"/>
          <w:lang w:eastAsia="zh-CN"/>
        </w:rPr>
        <w:t>[2001]4</w:t>
      </w:r>
      <w:r>
        <w:rPr>
          <w:rFonts w:hint="eastAsia"/>
          <w:color w:val="000000" w:themeColor="text1"/>
          <w:sz w:val="21"/>
          <w:szCs w:val="21"/>
          <w:highlight w:val="white"/>
          <w:lang w:eastAsia="zh-CN"/>
        </w:rPr>
        <w:t>号</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组织形式：有限责任公司</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注册资本：</w:t>
      </w:r>
      <w:r>
        <w:rPr>
          <w:rFonts w:ascii="宋体" w:hAnsi="宋体" w:cs="宋体" w:hint="eastAsia"/>
          <w:color w:val="000000" w:themeColor="text1"/>
          <w:sz w:val="21"/>
          <w:szCs w:val="21"/>
          <w:highlight w:val="white"/>
          <w:lang w:eastAsia="zh-CN"/>
        </w:rPr>
        <w:t>13,244.2</w:t>
      </w:r>
      <w:r>
        <w:rPr>
          <w:rFonts w:hint="eastAsia"/>
          <w:color w:val="000000" w:themeColor="text1"/>
          <w:sz w:val="21"/>
          <w:szCs w:val="21"/>
          <w:highlight w:val="white"/>
          <w:lang w:eastAsia="zh-CN"/>
        </w:rPr>
        <w:t>万元人民币</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存续期限：持续经营</w:t>
      </w:r>
    </w:p>
    <w:p w:rsidR="00F14202">
      <w:pPr>
        <w:spacing w:line="360" w:lineRule="auto"/>
        <w:ind w:firstLine="420"/>
        <w:rPr>
          <w:color w:val="000000"/>
          <w:sz w:val="21"/>
          <w:szCs w:val="21"/>
        </w:rPr>
      </w:pPr>
      <w:r>
        <w:rPr>
          <w:rFonts w:hint="eastAsia"/>
          <w:color w:val="000000" w:themeColor="text1"/>
          <w:sz w:val="21"/>
          <w:szCs w:val="21"/>
          <w:highlight w:val="white"/>
        </w:rPr>
        <w:t>联系电话：</w:t>
      </w:r>
      <w:r>
        <w:rPr>
          <w:rFonts w:ascii="宋体" w:hAnsi="宋体" w:cs="宋体" w:hint="eastAsia"/>
          <w:color w:val="000000" w:themeColor="text1"/>
          <w:sz w:val="21"/>
          <w:szCs w:val="21"/>
          <w:highlight w:val="white"/>
        </w:rPr>
        <w:t>4008818088</w:t>
      </w:r>
    </w:p>
    <w:p w:rsidR="00F14202">
      <w:pPr>
        <w:pStyle w:val="ListParagraph"/>
        <w:numPr>
          <w:ilvl w:val="0"/>
          <w:numId w:val="2"/>
        </w:numPr>
        <w:spacing w:line="360" w:lineRule="auto"/>
        <w:rPr>
          <w:color w:val="000000"/>
          <w:sz w:val="21"/>
          <w:szCs w:val="21"/>
          <w:lang w:eastAsia="zh-CN"/>
        </w:rPr>
      </w:pPr>
      <w:r>
        <w:rPr>
          <w:rFonts w:hint="eastAsia"/>
          <w:color w:val="000000" w:themeColor="text1"/>
          <w:sz w:val="21"/>
          <w:szCs w:val="21"/>
          <w:highlight w:val="white"/>
          <w:lang w:eastAsia="zh-CN"/>
        </w:rPr>
        <w:t>基金托管人</w:t>
      </w:r>
      <w:r>
        <w:rPr>
          <w:rFonts w:ascii="宋体" w:hAnsi="宋体" w:cs="宋体" w:hint="eastAsia"/>
          <w:color w:val="000000" w:themeColor="text1"/>
          <w:sz w:val="21"/>
          <w:szCs w:val="21"/>
          <w:highlight w:val="white"/>
          <w:lang w:eastAsia="zh-CN"/>
        </w:rPr>
        <w:t>(</w:t>
      </w:r>
      <w:r>
        <w:rPr>
          <w:rFonts w:hint="eastAsia"/>
          <w:color w:val="000000" w:themeColor="text1"/>
          <w:sz w:val="21"/>
          <w:szCs w:val="21"/>
          <w:highlight w:val="white"/>
          <w:lang w:eastAsia="zh-CN"/>
        </w:rPr>
        <w:t>或简称“托管人”</w:t>
      </w:r>
      <w:r>
        <w:rPr>
          <w:rFonts w:ascii="宋体" w:hAnsi="宋体" w:cs="宋体" w:hint="eastAsia"/>
          <w:color w:val="000000" w:themeColor="text1"/>
          <w:sz w:val="21"/>
          <w:szCs w:val="21"/>
          <w:highlight w:val="white"/>
          <w:lang w:eastAsia="zh-CN"/>
        </w:rPr>
        <w:t>)</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名称：中信证券股份有限公司</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注册地址：广东省深圳市福田区中心三路</w:t>
      </w:r>
      <w:r>
        <w:rPr>
          <w:rFonts w:ascii="宋体" w:hAnsi="宋体" w:cs="宋体"/>
          <w:color w:val="000000" w:themeColor="text1"/>
          <w:sz w:val="21"/>
          <w:szCs w:val="21"/>
          <w:highlight w:val="white"/>
          <w:lang w:eastAsia="zh-CN"/>
        </w:rPr>
        <w:t>8</w:t>
      </w:r>
      <w:r>
        <w:rPr>
          <w:rFonts w:hint="eastAsia"/>
          <w:color w:val="000000" w:themeColor="text1"/>
          <w:sz w:val="21"/>
          <w:szCs w:val="21"/>
          <w:highlight w:val="white"/>
          <w:lang w:eastAsia="zh-CN"/>
        </w:rPr>
        <w:t>号卓越时代广场（二期）北座</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办公地址：北京市朝阳区亮马桥路</w:t>
      </w:r>
      <w:r>
        <w:rPr>
          <w:rFonts w:ascii="宋体" w:hAnsi="宋体" w:cs="宋体"/>
          <w:color w:val="000000" w:themeColor="text1"/>
          <w:sz w:val="21"/>
          <w:szCs w:val="21"/>
          <w:highlight w:val="white"/>
          <w:lang w:eastAsia="zh-CN"/>
        </w:rPr>
        <w:t>48</w:t>
      </w:r>
      <w:r>
        <w:rPr>
          <w:rFonts w:hint="eastAsia"/>
          <w:color w:val="000000" w:themeColor="text1"/>
          <w:sz w:val="21"/>
          <w:szCs w:val="21"/>
          <w:highlight w:val="white"/>
          <w:lang w:eastAsia="zh-CN"/>
        </w:rPr>
        <w:t>号</w:t>
      </w:r>
      <w:r w:rsidRPr="009A2B8E" w:rsidR="009A2B8E">
        <w:rPr>
          <w:rFonts w:hint="eastAsia"/>
          <w:color w:val="000000" w:themeColor="text1"/>
          <w:sz w:val="21"/>
          <w:szCs w:val="21"/>
          <w:lang w:eastAsia="zh-CN"/>
        </w:rPr>
        <w:t>中信证券大厦</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 xml:space="preserve">          </w:t>
      </w:r>
      <w:r>
        <w:rPr>
          <w:rFonts w:ascii="宋体" w:hAnsi="宋体" w:cs="宋体"/>
          <w:color w:val="000000"/>
          <w:sz w:val="21"/>
          <w:highlight w:val="white"/>
          <w:lang w:eastAsia="zh-CN"/>
        </w:rPr>
        <w:t>广东省深圳市福田区中心三路</w:t>
      </w:r>
      <w:r>
        <w:rPr>
          <w:rFonts w:ascii="宋体" w:hAnsi="宋体" w:cs="宋体"/>
          <w:color w:val="000000"/>
          <w:sz w:val="21"/>
          <w:highlight w:val="white"/>
          <w:lang w:eastAsia="zh-CN"/>
        </w:rPr>
        <w:t>8</w:t>
      </w:r>
      <w:r>
        <w:rPr>
          <w:rFonts w:ascii="宋体" w:hAnsi="宋体" w:cs="宋体"/>
          <w:color w:val="000000"/>
          <w:sz w:val="21"/>
          <w:highlight w:val="white"/>
          <w:lang w:eastAsia="zh-CN"/>
        </w:rPr>
        <w:t>号中信证券大厦</w:t>
      </w:r>
    </w:p>
    <w:p w:rsidR="00F14202">
      <w:pPr>
        <w:spacing w:line="360" w:lineRule="auto"/>
        <w:ind w:right="-178" w:firstLine="420"/>
        <w:rPr>
          <w:color w:val="000000"/>
          <w:sz w:val="21"/>
          <w:szCs w:val="21"/>
          <w:lang w:eastAsia="zh-CN"/>
        </w:rPr>
      </w:pPr>
      <w:r>
        <w:rPr>
          <w:rFonts w:hint="eastAsia"/>
          <w:color w:val="000000" w:themeColor="text1"/>
          <w:sz w:val="21"/>
          <w:szCs w:val="21"/>
          <w:highlight w:val="white"/>
          <w:lang w:eastAsia="zh-CN"/>
        </w:rPr>
        <w:t>法定代表人：张佑君</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成立时间：</w:t>
      </w:r>
      <w:r>
        <w:rPr>
          <w:rFonts w:ascii="宋体" w:hAnsi="宋体" w:cs="宋体"/>
          <w:color w:val="000000" w:themeColor="text1"/>
          <w:sz w:val="21"/>
          <w:szCs w:val="21"/>
          <w:highlight w:val="white"/>
          <w:lang w:eastAsia="zh-CN"/>
        </w:rPr>
        <w:t>1995</w:t>
      </w:r>
      <w:r>
        <w:rPr>
          <w:rFonts w:hint="eastAsia"/>
          <w:color w:val="000000" w:themeColor="text1"/>
          <w:sz w:val="21"/>
          <w:szCs w:val="21"/>
          <w:highlight w:val="white"/>
          <w:lang w:eastAsia="zh-CN"/>
        </w:rPr>
        <w:t>年</w:t>
      </w:r>
      <w:r>
        <w:rPr>
          <w:rFonts w:ascii="宋体" w:hAnsi="宋体" w:cs="宋体"/>
          <w:color w:val="000000" w:themeColor="text1"/>
          <w:sz w:val="21"/>
          <w:szCs w:val="21"/>
          <w:highlight w:val="white"/>
          <w:lang w:eastAsia="zh-CN"/>
        </w:rPr>
        <w:t>10</w:t>
      </w:r>
      <w:r>
        <w:rPr>
          <w:rFonts w:hint="eastAsia"/>
          <w:color w:val="000000" w:themeColor="text1"/>
          <w:sz w:val="21"/>
          <w:szCs w:val="21"/>
          <w:highlight w:val="white"/>
          <w:lang w:eastAsia="zh-CN"/>
        </w:rPr>
        <w:t>月</w:t>
      </w:r>
      <w:r>
        <w:rPr>
          <w:rFonts w:ascii="宋体" w:hAnsi="宋体" w:cs="宋体"/>
          <w:color w:val="000000" w:themeColor="text1"/>
          <w:sz w:val="21"/>
          <w:szCs w:val="21"/>
          <w:highlight w:val="white"/>
          <w:lang w:eastAsia="zh-CN"/>
        </w:rPr>
        <w:t>25</w:t>
      </w:r>
      <w:r>
        <w:rPr>
          <w:rFonts w:hint="eastAsia"/>
          <w:color w:val="000000" w:themeColor="text1"/>
          <w:sz w:val="21"/>
          <w:szCs w:val="21"/>
          <w:highlight w:val="white"/>
          <w:lang w:eastAsia="zh-CN"/>
        </w:rPr>
        <w:t>日</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批准设立机关：国家工商总局</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批准设立文号：</w:t>
      </w:r>
      <w:r>
        <w:rPr>
          <w:rFonts w:ascii="宋体" w:hAnsi="宋体" w:cs="宋体"/>
          <w:color w:val="000000" w:themeColor="text1"/>
          <w:sz w:val="21"/>
          <w:szCs w:val="21"/>
          <w:highlight w:val="white"/>
          <w:lang w:eastAsia="zh-CN"/>
        </w:rPr>
        <w:t>100000000018305</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组织形式：股份有限公司（上市）</w:t>
      </w:r>
    </w:p>
    <w:p w:rsidR="00F14202">
      <w:pPr>
        <w:spacing w:line="360" w:lineRule="auto"/>
        <w:ind w:firstLine="420"/>
        <w:rPr>
          <w:bCs/>
          <w:sz w:val="21"/>
          <w:szCs w:val="21"/>
          <w:lang w:eastAsia="zh-CN"/>
        </w:rPr>
      </w:pPr>
      <w:r>
        <w:rPr>
          <w:rFonts w:hint="eastAsia"/>
          <w:color w:val="000000" w:themeColor="text1"/>
          <w:sz w:val="21"/>
          <w:szCs w:val="21"/>
          <w:highlight w:val="white"/>
          <w:lang w:eastAsia="zh-CN"/>
        </w:rPr>
        <w:t>注册资本：</w:t>
      </w:r>
      <w:r>
        <w:rPr>
          <w:rFonts w:ascii="宋体" w:hAnsi="宋体" w:cs="宋体" w:hint="eastAsia"/>
          <w:bCs/>
          <w:sz w:val="21"/>
          <w:szCs w:val="21"/>
          <w:highlight w:val="white"/>
          <w:lang w:eastAsia="zh-CN"/>
        </w:rPr>
        <w:t>14,820,546,829</w:t>
      </w:r>
      <w:r>
        <w:rPr>
          <w:rFonts w:hint="eastAsia"/>
          <w:bCs/>
          <w:sz w:val="21"/>
          <w:szCs w:val="21"/>
          <w:highlight w:val="white"/>
          <w:lang w:eastAsia="zh-CN"/>
        </w:rPr>
        <w:t>元人民币</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基金托管资格批文及文号：《关于核准中信证券股份有限公司证券投资基金托管资格的批复》（证监许可</w:t>
      </w:r>
      <w:r>
        <w:rPr>
          <w:rFonts w:ascii="宋体" w:hAnsi="宋体" w:cs="宋体" w:hint="eastAsia"/>
          <w:color w:val="000000" w:themeColor="text1"/>
          <w:sz w:val="21"/>
          <w:szCs w:val="21"/>
          <w:highlight w:val="white"/>
          <w:lang w:eastAsia="zh-CN"/>
        </w:rPr>
        <w:t>[2014]1044</w:t>
      </w:r>
      <w:r>
        <w:rPr>
          <w:rFonts w:hint="eastAsia"/>
          <w:color w:val="000000" w:themeColor="text1"/>
          <w:sz w:val="21"/>
          <w:szCs w:val="21"/>
          <w:highlight w:val="white"/>
          <w:lang w:eastAsia="zh-CN"/>
        </w:rPr>
        <w:t>号）</w:t>
      </w:r>
    </w:p>
    <w:p w:rsidR="00F14202">
      <w:pPr>
        <w:spacing w:line="360" w:lineRule="auto"/>
        <w:ind w:firstLine="420"/>
        <w:rPr>
          <w:szCs w:val="21"/>
          <w:lang w:eastAsia="zh-CN"/>
        </w:rPr>
      </w:pPr>
      <w:r>
        <w:rPr>
          <w:rFonts w:hint="eastAsia"/>
          <w:color w:val="000000" w:themeColor="text1"/>
          <w:sz w:val="21"/>
          <w:szCs w:val="21"/>
          <w:highlight w:val="white"/>
          <w:lang w:eastAsia="zh-CN"/>
        </w:rPr>
        <w:t>经营范围：</w:t>
      </w:r>
      <w:r>
        <w:rPr>
          <w:rFonts w:ascii="宋体" w:hAnsi="宋体" w:cs="宋体"/>
          <w:color w:val="000000"/>
          <w:sz w:val="21"/>
          <w:highlight w:val="white"/>
          <w:lang w:eastAsia="zh-CN"/>
        </w:rPr>
        <w:t>证券经纪（限山东省、河南省、浙江省天台县、浙江省苍南县以外区域）；证券投资咨询；与证券交易、证券投资活动有关的财务顾问；证券承销与保荐；证券自营；证券资产管理（全国社会保障基金境内委托投资管理、基本养老保险基金证券投资管理、企业年金基金投资管理和职业年金基金投资管理）；融资融券；证券投资基金代销；为期货公司提供中间介绍业务；代销金融产品；股票期权做市。上市证券做市交易。（依法须经批</w:t>
      </w:r>
      <w:r>
        <w:rPr>
          <w:rFonts w:ascii="宋体" w:hAnsi="宋体" w:cs="宋体"/>
          <w:color w:val="000000"/>
          <w:sz w:val="21"/>
          <w:highlight w:val="white"/>
          <w:lang w:eastAsia="zh-CN"/>
        </w:rPr>
        <w:t>准的项目，经相关部门批准后方可开展经营活动，具体经营项目以相关部门批准文件或许可证件为准</w:t>
      </w:r>
      <w:r>
        <w:rPr>
          <w:rFonts w:ascii="times new roman, serif" w:hAnsi="times new roman, serif" w:cs="times new roman, serif"/>
          <w:color w:val="000000"/>
          <w:sz w:val="21"/>
          <w:highlight w:val="white"/>
          <w:lang w:eastAsia="zh-CN"/>
        </w:rPr>
        <w:t>）</w:t>
      </w:r>
    </w:p>
    <w:p w:rsidR="00F14202">
      <w:pPr>
        <w:spacing w:line="360" w:lineRule="auto"/>
        <w:ind w:firstLine="420"/>
        <w:rPr>
          <w:color w:val="000000"/>
        </w:rPr>
      </w:pPr>
      <w:r>
        <w:rPr>
          <w:rFonts w:hint="eastAsia"/>
          <w:color w:val="000000" w:themeColor="text1"/>
          <w:sz w:val="21"/>
          <w:szCs w:val="21"/>
          <w:highlight w:val="white"/>
        </w:rPr>
        <w:t>存续期间：无期限</w:t>
      </w:r>
    </w:p>
    <w:p w:rsidR="00F14202">
      <w:pPr>
        <w:spacing w:line="360" w:lineRule="auto"/>
        <w:ind w:firstLine="420"/>
        <w:rPr>
          <w:color w:val="000000"/>
        </w:rPr>
      </w:pPr>
    </w:p>
    <w:p w:rsidR="00F14202">
      <w:pPr>
        <w:pStyle w:val="Heading1"/>
        <w:numPr>
          <w:ilvl w:val="0"/>
          <w:numId w:val="1"/>
        </w:numPr>
        <w:spacing w:before="120" w:after="120" w:line="360" w:lineRule="auto"/>
        <w:jc w:val="center"/>
        <w:rPr>
          <w:rFonts w:ascii="宋体"/>
          <w:bCs w:val="0"/>
          <w:color w:val="000000"/>
          <w:sz w:val="21"/>
          <w:szCs w:val="20"/>
          <w:lang w:eastAsia="zh-CN"/>
        </w:rPr>
      </w:pPr>
      <w:bookmarkStart w:id="3" w:name="_Toc881132"/>
      <w:bookmarkStart w:id="4" w:name="_Toc394473997"/>
      <w:r>
        <w:rPr>
          <w:rFonts w:ascii="宋体" w:hint="eastAsia"/>
          <w:bCs w:val="0"/>
          <w:color w:val="000000" w:themeColor="text1"/>
          <w:sz w:val="21"/>
          <w:szCs w:val="20"/>
          <w:highlight w:val="white"/>
          <w:lang w:eastAsia="zh-CN"/>
        </w:rPr>
        <w:t>托管协议的依据、目的、原则和解释</w:t>
      </w:r>
      <w:bookmarkEnd w:id="3"/>
      <w:bookmarkEnd w:id="4"/>
    </w:p>
    <w:p w:rsidR="00F14202">
      <w:pPr>
        <w:pStyle w:val="ListParagraph"/>
        <w:ind w:left="450" w:firstLine="0"/>
        <w:rPr>
          <w:color w:val="000000"/>
          <w:lang w:eastAsia="zh-CN"/>
        </w:rPr>
      </w:pP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（一）依据</w:t>
      </w:r>
    </w:p>
    <w:p w:rsidR="00F14202">
      <w:pPr>
        <w:spacing w:line="360" w:lineRule="auto"/>
        <w:ind w:firstLine="420"/>
        <w:jc w:val="left"/>
        <w:rPr>
          <w:color w:val="000000"/>
          <w:sz w:val="21"/>
          <w:szCs w:val="21"/>
          <w:lang w:eastAsia="zh-CN"/>
        </w:rPr>
      </w:pPr>
      <w:r>
        <w:rPr>
          <w:rFonts w:hint="eastAsia"/>
          <w:color w:val="000000" w:themeColor="text1"/>
          <w:sz w:val="21"/>
          <w:szCs w:val="21"/>
          <w:highlight w:val="white"/>
          <w:lang w:eastAsia="zh-CN"/>
        </w:rPr>
        <w:t>本协议依据《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证券投资基金托管业务管理办法》、《证券投资基金信息披露内容与格式准则第</w:t>
      </w:r>
      <w:r>
        <w:rPr>
          <w:rFonts w:ascii="宋体" w:hAnsi="宋体" w:cs="宋体"/>
          <w:color w:val="000000" w:themeColor="text1"/>
          <w:sz w:val="21"/>
          <w:szCs w:val="21"/>
          <w:highlight w:val="white"/>
          <w:lang w:eastAsia="zh-CN"/>
        </w:rPr>
        <w:t>7</w:t>
      </w:r>
      <w:r>
        <w:rPr>
          <w:rFonts w:hint="eastAsia"/>
          <w:color w:val="000000" w:themeColor="text1"/>
          <w:sz w:val="21"/>
          <w:szCs w:val="21"/>
          <w:highlight w:val="white"/>
          <w:lang w:eastAsia="zh-CN"/>
        </w:rPr>
        <w:t>号〈托管协议的内容与格式〉》、《公开募集开放式证券投资基金流动性风险管理规定》（以下简称《流动性风险管理规定》）、</w:t>
      </w:r>
      <w:r>
        <w:rPr>
          <w:rFonts w:hint="eastAsia"/>
          <w:sz w:val="21"/>
          <w:szCs w:val="21"/>
          <w:highlight w:val="white"/>
          <w:lang w:eastAsia="zh-CN"/>
        </w:rPr>
        <w:t>《关于规范金融机构资产管理业务的指导意见》、</w:t>
      </w:r>
      <w:r>
        <w:rPr>
          <w:rFonts w:hint="eastAsia"/>
          <w:color w:val="000000" w:themeColor="text1"/>
          <w:sz w:val="21"/>
          <w:szCs w:val="21"/>
          <w:highlight w:val="white"/>
          <w:lang w:eastAsia="zh-CN"/>
        </w:rPr>
        <w:t>《</w:t>
      </w:r>
      <w:r>
        <w:rPr>
          <w:rFonts w:hint="eastAsia"/>
          <w:color w:val="000000" w:themeColor="text1"/>
          <w:sz w:val="21"/>
          <w:szCs w:val="21"/>
          <w:lang w:eastAsia="zh-CN"/>
        </w:rPr>
        <w:t>易方达丰瑞债券型证券投资基金</w:t>
      </w:r>
      <w:r>
        <w:rPr>
          <w:rFonts w:hint="eastAsia"/>
          <w:color w:val="000000" w:themeColor="text1"/>
          <w:sz w:val="21"/>
          <w:szCs w:val="21"/>
          <w:highlight w:val="white"/>
          <w:lang w:eastAsia="zh-CN"/>
        </w:rPr>
        <w:t>基金合同》（以下简称《基金合同》）及其他有关法律、法规制定。</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（二）目的</w:t>
      </w:r>
    </w:p>
    <w:p w:rsidR="00F14202">
      <w:pPr>
        <w:spacing w:line="360" w:lineRule="auto"/>
        <w:ind w:firstLine="420"/>
        <w:jc w:val="left"/>
        <w:rPr>
          <w:color w:val="000000"/>
          <w:sz w:val="21"/>
          <w:szCs w:val="21"/>
          <w:lang w:eastAsia="zh-CN"/>
        </w:rPr>
      </w:pPr>
      <w:r>
        <w:rPr>
          <w:rFonts w:hint="eastAsia"/>
          <w:color w:val="000000" w:themeColor="text1"/>
          <w:sz w:val="21"/>
          <w:szCs w:val="21"/>
          <w:highlight w:val="white"/>
          <w:lang w:eastAsia="zh-CN"/>
        </w:rPr>
        <w:t>订立本协议的目的是明确基金托管人与基金管理人之间在基金财产的保管、投资运作、净值计算、收益分配、信息披露及相互监督等有关事宜中的权利、义务及职责，确保基金财产的安全，保护基金份额持有人的合法权益。</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（三）原则</w:t>
      </w:r>
    </w:p>
    <w:p w:rsidR="00F14202">
      <w:pPr>
        <w:spacing w:line="360" w:lineRule="auto"/>
        <w:ind w:firstLine="420"/>
        <w:jc w:val="left"/>
        <w:rPr>
          <w:color w:val="000000"/>
          <w:sz w:val="21"/>
          <w:szCs w:val="21"/>
          <w:lang w:eastAsia="zh-CN"/>
        </w:rPr>
      </w:pPr>
      <w:r>
        <w:rPr>
          <w:rFonts w:hint="eastAsia"/>
          <w:color w:val="000000" w:themeColor="text1"/>
          <w:sz w:val="21"/>
          <w:szCs w:val="21"/>
          <w:highlight w:val="white"/>
          <w:lang w:eastAsia="zh-CN"/>
        </w:rPr>
        <w:t>基金管理人和基金托管人本着平等自愿、诚实</w:t>
      </w:r>
      <w:r>
        <w:rPr>
          <w:rFonts w:hint="eastAsia"/>
          <w:color w:val="000000" w:themeColor="text1"/>
          <w:sz w:val="21"/>
          <w:szCs w:val="21"/>
          <w:highlight w:val="white"/>
          <w:lang w:eastAsia="zh-CN"/>
        </w:rPr>
        <w:t>信用、充分保护基金份额持有人合法权益的原则，经协商一致，签订本协议。</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（四）解释</w:t>
      </w:r>
    </w:p>
    <w:p w:rsidR="00F14202">
      <w:pPr>
        <w:spacing w:line="360" w:lineRule="auto"/>
        <w:ind w:firstLine="420"/>
        <w:jc w:val="left"/>
        <w:rPr>
          <w:rFonts w:ascii="宋体" w:hAnsi="Calibri" w:cs="宋体"/>
          <w:color w:val="000000"/>
          <w:sz w:val="21"/>
          <w:szCs w:val="21"/>
          <w:lang w:eastAsia="zh-CN"/>
        </w:rPr>
      </w:pPr>
      <w:r>
        <w:rPr>
          <w:rFonts w:ascii="宋体" w:hAnsi="Calibri" w:cs="宋体" w:hint="eastAsia"/>
          <w:color w:val="000000" w:themeColor="text1"/>
          <w:sz w:val="21"/>
          <w:szCs w:val="21"/>
          <w:highlight w:val="white"/>
          <w:lang w:eastAsia="zh-CN"/>
        </w:rPr>
        <w:t>除非本协议另有约定，本协议所有术语与《基金合同》的相应术语具有相同含义。</w:t>
      </w:r>
    </w:p>
    <w:p w:rsidR="00F14202">
      <w:pPr>
        <w:spacing w:line="360" w:lineRule="auto"/>
        <w:ind w:firstLine="420"/>
        <w:jc w:val="left"/>
        <w:rPr>
          <w:rFonts w:ascii="宋体" w:hAnsi="Calibri" w:cs="宋体"/>
          <w:color w:val="000000"/>
          <w:sz w:val="21"/>
          <w:szCs w:val="21"/>
          <w:lang w:eastAsia="zh-CN"/>
        </w:rPr>
      </w:pPr>
      <w:r>
        <w:rPr>
          <w:rFonts w:ascii="宋体" w:hAnsi="Calibri" w:cs="宋体" w:hint="eastAsia"/>
          <w:color w:val="000000" w:themeColor="text1"/>
          <w:sz w:val="21"/>
          <w:szCs w:val="21"/>
          <w:highlight w:val="white"/>
          <w:lang w:eastAsia="zh-CN"/>
        </w:rPr>
        <w:t>（五）若本基金实施侧袋机制的，侧袋机制实施期间的相关安排见基金合同和招募说明书的规定。</w:t>
      </w:r>
    </w:p>
    <w:p w:rsidR="00F14202">
      <w:pPr>
        <w:spacing w:line="360" w:lineRule="auto"/>
        <w:ind w:firstLine="420"/>
        <w:jc w:val="left"/>
        <w:rPr>
          <w:rFonts w:ascii="宋体" w:hAnsi="Calibri" w:cs="宋体"/>
          <w:color w:val="000000"/>
          <w:sz w:val="21"/>
          <w:szCs w:val="21"/>
          <w:lang w:eastAsia="zh-CN"/>
        </w:rPr>
      </w:pPr>
    </w:p>
    <w:p w:rsidR="00F14202">
      <w:pPr>
        <w:spacing w:line="360" w:lineRule="auto"/>
        <w:rPr>
          <w:color w:val="000000"/>
          <w:lang w:eastAsia="zh-CN"/>
        </w:rPr>
      </w:pPr>
    </w:p>
    <w:p w:rsidR="00F14202">
      <w:pPr>
        <w:pStyle w:val="Heading1"/>
        <w:numPr>
          <w:ilvl w:val="0"/>
          <w:numId w:val="1"/>
        </w:numPr>
        <w:spacing w:before="120" w:after="120" w:line="360" w:lineRule="auto"/>
        <w:jc w:val="center"/>
        <w:rPr>
          <w:rFonts w:ascii="宋体"/>
          <w:bCs w:val="0"/>
          <w:color w:val="000000"/>
          <w:sz w:val="24"/>
          <w:szCs w:val="24"/>
          <w:lang w:eastAsia="zh-CN"/>
        </w:rPr>
      </w:pPr>
      <w:bookmarkStart w:id="5" w:name="_Toc394473998"/>
      <w:bookmarkStart w:id="6" w:name="_Toc881133"/>
      <w:r>
        <w:rPr>
          <w:rFonts w:ascii="宋体" w:hint="eastAsia"/>
          <w:bCs w:val="0"/>
          <w:color w:val="000000" w:themeColor="text1"/>
          <w:sz w:val="24"/>
          <w:szCs w:val="24"/>
          <w:highlight w:val="white"/>
          <w:lang w:eastAsia="zh-CN"/>
        </w:rPr>
        <w:t>基金托管人对基金管理人的业务监督和核查</w:t>
      </w:r>
      <w:bookmarkEnd w:id="5"/>
      <w:bookmarkEnd w:id="6"/>
    </w:p>
    <w:p w:rsidR="00F14202">
      <w:pPr>
        <w:pStyle w:val="ListParagraph"/>
        <w:ind w:left="450" w:firstLine="0"/>
        <w:rPr>
          <w:color w:val="000000"/>
          <w:lang w:eastAsia="zh-CN"/>
        </w:rPr>
      </w:pPr>
    </w:p>
    <w:p w:rsidR="00F14202">
      <w:pPr>
        <w:spacing w:line="360" w:lineRule="auto"/>
        <w:ind w:firstLine="420"/>
        <w:jc w:val="left"/>
        <w:rPr>
          <w:rFonts w:ascii="宋体" w:hAnsi="Calibri" w:cs="宋体"/>
          <w:color w:val="000000"/>
          <w:sz w:val="21"/>
          <w:szCs w:val="21"/>
          <w:lang w:eastAsia="zh-CN"/>
        </w:rPr>
      </w:pPr>
      <w:r>
        <w:rPr>
          <w:rFonts w:ascii="宋体" w:hAnsi="Calibri" w:cs="宋体" w:hint="eastAsia"/>
          <w:color w:val="000000" w:themeColor="text1"/>
          <w:sz w:val="21"/>
          <w:szCs w:val="21"/>
          <w:highlight w:val="white"/>
          <w:lang w:eastAsia="zh-CN"/>
        </w:rPr>
        <w:t>（一）基金托管人对基金管理人的投资行为行使监督权</w:t>
      </w:r>
    </w:p>
    <w:p w:rsidR="00F14202">
      <w:pPr>
        <w:spacing w:line="360" w:lineRule="auto"/>
        <w:ind w:firstLine="420"/>
        <w:jc w:val="left"/>
        <w:rPr>
          <w:rFonts w:ascii="宋体" w:hAnsi="Calibri" w:cs="宋体"/>
          <w:color w:val="000000"/>
          <w:sz w:val="21"/>
          <w:szCs w:val="21"/>
          <w:lang w:eastAsia="zh-CN"/>
        </w:rPr>
      </w:pPr>
      <w:r>
        <w:rPr>
          <w:rFonts w:ascii="宋体" w:hAnsi="Calibri" w:cs="宋体"/>
          <w:color w:val="000000" w:themeColor="text1"/>
          <w:sz w:val="21"/>
          <w:szCs w:val="21"/>
          <w:highlight w:val="white"/>
          <w:lang w:eastAsia="zh-CN"/>
        </w:rPr>
        <w:t>1</w:t>
      </w:r>
      <w:r>
        <w:rPr>
          <w:rFonts w:ascii="宋体" w:hAnsi="Calibri" w:cs="宋体" w:hint="eastAsia"/>
          <w:color w:val="000000" w:themeColor="text1"/>
          <w:sz w:val="21"/>
          <w:szCs w:val="21"/>
          <w:highlight w:val="white"/>
          <w:lang w:eastAsia="zh-CN"/>
        </w:rPr>
        <w:t>、</w:t>
      </w:r>
      <w:r>
        <w:rPr>
          <w:rFonts w:ascii="宋体" w:hAnsi="Calibri" w:cs="宋体" w:hint="eastAsia"/>
          <w:color w:val="000000" w:themeColor="text1"/>
          <w:sz w:val="21"/>
          <w:szCs w:val="21"/>
          <w:highlight w:val="white"/>
          <w:lang w:eastAsia="zh-CN"/>
        </w:rPr>
        <w:t xml:space="preserve"> </w:t>
      </w:r>
      <w:r>
        <w:rPr>
          <w:rFonts w:ascii="宋体" w:hAnsi="Calibri" w:cs="宋体" w:hint="eastAsia"/>
          <w:color w:val="000000" w:themeColor="text1"/>
          <w:sz w:val="21"/>
          <w:szCs w:val="21"/>
          <w:highlight w:val="white"/>
          <w:lang w:eastAsia="zh-CN"/>
        </w:rPr>
        <w:t>基金托管人根据有关法律法规的规定和《基金合同》的约定，对下述基金投资范围进行监督。</w:t>
      </w:r>
    </w:p>
    <w:p w:rsidR="00F14202">
      <w:pPr>
        <w:spacing w:line="360" w:lineRule="auto"/>
        <w:ind w:firstLine="420"/>
        <w:jc w:val="left"/>
        <w:rPr>
          <w:rFonts w:ascii="宋体" w:hAnsi="Calibri" w:cs="宋体"/>
          <w:color w:val="000000"/>
          <w:sz w:val="21"/>
          <w:szCs w:val="21"/>
          <w:lang w:eastAsia="zh-CN"/>
        </w:rPr>
      </w:pPr>
      <w:r>
        <w:rPr>
          <w:rFonts w:ascii="宋体" w:hAnsi="Calibri" w:cs="宋体" w:hint="eastAsia"/>
          <w:color w:val="000000" w:themeColor="text1"/>
          <w:sz w:val="21"/>
          <w:szCs w:val="21"/>
          <w:highlight w:val="white"/>
          <w:lang w:eastAsia="zh-CN"/>
        </w:rPr>
        <w:t>本基金将投资于以下金融工具：</w:t>
      </w:r>
    </w:p>
    <w:p w:rsidR="00F14202">
      <w:pPr>
        <w:spacing w:line="360" w:lineRule="auto"/>
        <w:ind w:firstLine="420"/>
        <w:jc w:val="left"/>
        <w:rPr>
          <w:rFonts w:ascii="宋体" w:hAnsi="Calibri" w:cs="宋体"/>
          <w:color w:val="000000"/>
          <w:sz w:val="21"/>
          <w:szCs w:val="21"/>
          <w:lang w:eastAsia="zh-CN"/>
        </w:rPr>
      </w:pPr>
      <w:r>
        <w:rPr>
          <w:rFonts w:ascii="宋体" w:hAnsi="Calibri" w:cs="宋体"/>
          <w:color w:val="000000" w:themeColor="text1"/>
          <w:sz w:val="21"/>
          <w:szCs w:val="21"/>
          <w:lang w:eastAsia="zh-CN"/>
        </w:rPr>
        <w:t>本基金的投资范围包括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国内依法发行上市的股票（包括创业板、科创板及其他依法发行上市的股票、存托凭证）、内地与香港股票市场交易互联互通机制允许买卖的香港证券市场股票（以下简称</w:t>
      </w:r>
      <w:r>
        <w:rPr>
          <w:rFonts w:ascii="宋体" w:hAnsi="Calibri" w:cs="宋体"/>
          <w:color w:val="000000" w:themeColor="text1"/>
          <w:sz w:val="21"/>
          <w:szCs w:val="21"/>
          <w:lang w:eastAsia="zh-CN"/>
        </w:rPr>
        <w:t>“</w:t>
      </w:r>
      <w:r>
        <w:rPr>
          <w:rFonts w:ascii="宋体" w:hAnsi="Calibri" w:cs="宋体"/>
          <w:color w:val="000000" w:themeColor="text1"/>
          <w:sz w:val="21"/>
          <w:szCs w:val="21"/>
          <w:lang w:eastAsia="zh-CN"/>
        </w:rPr>
        <w:t>港股通股票</w:t>
      </w:r>
      <w:r>
        <w:rPr>
          <w:rFonts w:ascii="宋体" w:hAnsi="Calibri" w:cs="宋体"/>
          <w:color w:val="000000" w:themeColor="text1"/>
          <w:sz w:val="21"/>
          <w:szCs w:val="21"/>
          <w:lang w:eastAsia="zh-CN"/>
        </w:rPr>
        <w:t>”</w:t>
      </w:r>
      <w:r>
        <w:rPr>
          <w:rFonts w:ascii="宋体" w:hAnsi="Calibri" w:cs="宋体"/>
          <w:color w:val="000000" w:themeColor="text1"/>
          <w:sz w:val="21"/>
          <w:szCs w:val="21"/>
          <w:lang w:eastAsia="zh-CN"/>
        </w:rPr>
        <w:t>）、经中国证监会依法核准或注册的公开募集的基金（包括基金管理人旗下的股票型基金和权益类混合型基金，</w:t>
      </w:r>
      <w:r>
        <w:rPr>
          <w:rFonts w:ascii="宋体" w:hAnsi="Calibri" w:cs="宋体"/>
          <w:color w:val="000000" w:themeColor="text1"/>
          <w:sz w:val="21"/>
          <w:szCs w:val="21"/>
          <w:lang w:eastAsia="zh-CN"/>
        </w:rPr>
        <w:t>其他基金管理人旗下的股票型交易型开放式证券投资基金（以下简称</w:t>
      </w:r>
      <w:r>
        <w:rPr>
          <w:rFonts w:ascii="宋体" w:hAnsi="Calibri" w:cs="宋体"/>
          <w:color w:val="000000" w:themeColor="text1"/>
          <w:sz w:val="21"/>
          <w:szCs w:val="21"/>
          <w:lang w:eastAsia="zh-CN"/>
        </w:rPr>
        <w:t>“</w:t>
      </w:r>
      <w:r>
        <w:rPr>
          <w:rFonts w:ascii="宋体" w:hAnsi="Calibri" w:cs="宋体"/>
          <w:color w:val="000000" w:themeColor="text1"/>
          <w:sz w:val="21"/>
          <w:szCs w:val="21"/>
          <w:lang w:eastAsia="zh-CN"/>
        </w:rPr>
        <w:t>ETF</w:t>
      </w:r>
      <w:r>
        <w:rPr>
          <w:rFonts w:ascii="宋体" w:hAnsi="Calibri" w:cs="宋体"/>
          <w:color w:val="000000" w:themeColor="text1"/>
          <w:sz w:val="21"/>
          <w:szCs w:val="21"/>
          <w:lang w:eastAsia="zh-CN"/>
        </w:rPr>
        <w:t>”</w:t>
      </w:r>
      <w:r>
        <w:rPr>
          <w:rFonts w:ascii="宋体" w:hAnsi="Calibri" w:cs="宋体"/>
          <w:color w:val="000000" w:themeColor="text1"/>
          <w:sz w:val="21"/>
          <w:szCs w:val="21"/>
          <w:lang w:eastAsia="zh-CN"/>
        </w:rPr>
        <w:t>），以及全市场的公开募集不动产投资信托基金（以下简称</w:t>
      </w:r>
      <w:r>
        <w:rPr>
          <w:rFonts w:ascii="宋体" w:hAnsi="Calibri" w:cs="宋体"/>
          <w:color w:val="000000" w:themeColor="text1"/>
          <w:sz w:val="21"/>
          <w:szCs w:val="21"/>
          <w:lang w:eastAsia="zh-CN"/>
        </w:rPr>
        <w:t>“</w:t>
      </w:r>
      <w:r>
        <w:rPr>
          <w:rFonts w:ascii="宋体" w:hAnsi="Calibri" w:cs="宋体"/>
          <w:color w:val="000000" w:themeColor="text1"/>
          <w:sz w:val="21"/>
          <w:szCs w:val="21"/>
          <w:lang w:eastAsia="zh-CN"/>
        </w:rPr>
        <w:t>公募</w:t>
      </w:r>
      <w:r>
        <w:rPr>
          <w:rFonts w:ascii="宋体" w:hAnsi="Calibri" w:cs="宋体"/>
          <w:color w:val="000000" w:themeColor="text1"/>
          <w:sz w:val="21"/>
          <w:szCs w:val="21"/>
          <w:lang w:eastAsia="zh-CN"/>
        </w:rPr>
        <w:t>REITs</w:t>
      </w:r>
      <w:r>
        <w:rPr>
          <w:rFonts w:ascii="宋体" w:hAnsi="Calibri" w:cs="宋体"/>
          <w:color w:val="000000" w:themeColor="text1"/>
          <w:sz w:val="21"/>
          <w:szCs w:val="21"/>
          <w:lang w:eastAsia="zh-CN"/>
        </w:rPr>
        <w:t>”</w:t>
      </w:r>
      <w:r>
        <w:rPr>
          <w:rFonts w:ascii="宋体" w:hAnsi="Calibri" w:cs="宋体"/>
          <w:color w:val="000000" w:themeColor="text1"/>
          <w:sz w:val="21"/>
          <w:szCs w:val="21"/>
          <w:lang w:eastAsia="zh-CN"/>
        </w:rPr>
        <w:t>），不包括</w:t>
      </w:r>
      <w:r>
        <w:rPr>
          <w:rFonts w:ascii="宋体" w:hAnsi="Calibri" w:cs="宋体"/>
          <w:color w:val="000000" w:themeColor="text1"/>
          <w:sz w:val="21"/>
          <w:szCs w:val="21"/>
          <w:lang w:eastAsia="zh-CN"/>
        </w:rPr>
        <w:t>QDII</w:t>
      </w:r>
      <w:r>
        <w:rPr>
          <w:rFonts w:ascii="宋体" w:hAnsi="Calibri" w:cs="宋体"/>
          <w:color w:val="000000" w:themeColor="text1"/>
          <w:sz w:val="21"/>
          <w:szCs w:val="21"/>
          <w:lang w:eastAsia="zh-CN"/>
        </w:rPr>
        <w:t>基金、香港互认基金、货币市场基金、基金中基金和其他投资范围包含基金的基金）、国债期货、信用衍生品及法律法规或中国证监会允许基金投资的其他金融工具。</w:t>
      </w:r>
    </w:p>
    <w:p w:rsidR="00F14202">
      <w:pPr>
        <w:spacing w:line="360" w:lineRule="auto"/>
        <w:ind w:firstLine="420"/>
        <w:jc w:val="left"/>
        <w:rPr>
          <w:rFonts w:ascii="宋体" w:hAnsi="Calibri" w:cs="宋体"/>
          <w:color w:val="000000"/>
          <w:sz w:val="21"/>
          <w:szCs w:val="21"/>
          <w:lang w:eastAsia="zh-CN"/>
        </w:rPr>
      </w:pPr>
      <w:r>
        <w:rPr>
          <w:rFonts w:ascii="宋体" w:hAnsi="Calibri" w:cs="宋体"/>
          <w:color w:val="000000" w:themeColor="text1"/>
          <w:sz w:val="21"/>
          <w:szCs w:val="21"/>
          <w:lang w:eastAsia="zh-CN"/>
        </w:rPr>
        <w:t>如法律法规或监管机构以后允许基金投资其他品种，本基金可以将其纳入投资范围。</w:t>
      </w:r>
    </w:p>
    <w:p w:rsidR="00F14202">
      <w:pPr>
        <w:spacing w:line="360" w:lineRule="auto"/>
        <w:ind w:firstLine="420"/>
        <w:jc w:val="left"/>
        <w:rPr>
          <w:color w:val="000000"/>
          <w:sz w:val="21"/>
          <w:szCs w:val="21"/>
          <w:lang w:eastAsia="zh-CN"/>
        </w:rPr>
      </w:pPr>
      <w:r>
        <w:rPr>
          <w:rFonts w:ascii="宋体" w:hAnsi="宋体" w:cs="宋体"/>
          <w:color w:val="000000" w:themeColor="text1"/>
          <w:sz w:val="21"/>
          <w:szCs w:val="21"/>
          <w:highlight w:val="white"/>
          <w:lang w:eastAsia="zh-CN"/>
        </w:rPr>
        <w:t>2</w:t>
      </w:r>
      <w:r>
        <w:rPr>
          <w:rFonts w:hint="eastAsia"/>
          <w:color w:val="000000" w:themeColor="text1"/>
          <w:sz w:val="21"/>
          <w:szCs w:val="21"/>
          <w:highlight w:val="white"/>
          <w:lang w:eastAsia="zh-CN"/>
        </w:rPr>
        <w:t>、</w:t>
      </w:r>
      <w:r>
        <w:rPr>
          <w:rFonts w:ascii="宋体" w:hAnsi="宋体" w:cs="宋体"/>
          <w:color w:val="000000" w:themeColor="text1"/>
          <w:sz w:val="21"/>
          <w:szCs w:val="21"/>
          <w:highlight w:val="white"/>
          <w:lang w:eastAsia="zh-CN"/>
        </w:rPr>
        <w:t xml:space="preserve"> </w:t>
      </w:r>
      <w:r>
        <w:rPr>
          <w:rFonts w:hint="eastAsia"/>
          <w:color w:val="000000" w:themeColor="text1"/>
          <w:sz w:val="21"/>
          <w:szCs w:val="21"/>
          <w:highlight w:val="white"/>
          <w:lang w:eastAsia="zh-CN"/>
        </w:rPr>
        <w:t>基金托管人根据有关法律法规的规定及《基金合同》的约定对下述基金投资比例进行监督。</w:t>
      </w:r>
    </w:p>
    <w:p w:rsidR="00F14202">
      <w:pPr>
        <w:spacing w:line="360" w:lineRule="auto"/>
        <w:ind w:firstLine="420"/>
        <w:jc w:val="left"/>
        <w:rPr>
          <w:color w:val="000000"/>
          <w:sz w:val="21"/>
          <w:szCs w:val="21"/>
          <w:lang w:eastAsia="zh-CN"/>
        </w:rPr>
      </w:pPr>
      <w:r>
        <w:rPr>
          <w:rFonts w:hint="eastAsia"/>
          <w:color w:val="000000" w:themeColor="text1"/>
          <w:sz w:val="21"/>
          <w:szCs w:val="21"/>
          <w:highlight w:val="white"/>
          <w:lang w:eastAsia="zh-CN"/>
        </w:rPr>
        <w:t>（</w:t>
      </w:r>
      <w:r>
        <w:rPr>
          <w:rFonts w:ascii="宋体" w:hAnsi="宋体" w:cs="宋体"/>
          <w:color w:val="000000" w:themeColor="text1"/>
          <w:sz w:val="21"/>
          <w:szCs w:val="21"/>
          <w:highlight w:val="white"/>
          <w:lang w:eastAsia="zh-CN"/>
        </w:rPr>
        <w:t>1</w:t>
      </w:r>
      <w:r>
        <w:rPr>
          <w:rFonts w:hint="eastAsia"/>
          <w:color w:val="000000" w:themeColor="text1"/>
          <w:sz w:val="21"/>
          <w:szCs w:val="21"/>
          <w:highlight w:val="white"/>
          <w:lang w:eastAsia="zh-CN"/>
        </w:rPr>
        <w:t>）按法律法规的规定及《基金合同》的约定</w:t>
      </w:r>
      <w:r>
        <w:rPr>
          <w:rFonts w:hint="eastAsia"/>
          <w:color w:val="000000" w:themeColor="text1"/>
          <w:sz w:val="21"/>
          <w:szCs w:val="21"/>
          <w:highlight w:val="white"/>
          <w:lang w:eastAsia="zh-CN"/>
        </w:rPr>
        <w:t>，本基金的投资资产配置比例为：</w:t>
      </w:r>
    </w:p>
    <w:p w:rsidR="00F14202">
      <w:pPr>
        <w:spacing w:line="360" w:lineRule="auto"/>
        <w:ind w:firstLine="420"/>
        <w:jc w:val="left"/>
        <w:rPr>
          <w:color w:val="000000"/>
          <w:sz w:val="21"/>
          <w:szCs w:val="21"/>
          <w:lang w:eastAsia="zh-CN"/>
        </w:rPr>
      </w:pPr>
      <w:r>
        <w:rPr>
          <w:color w:val="000000" w:themeColor="text1"/>
          <w:sz w:val="21"/>
          <w:szCs w:val="21"/>
          <w:lang w:eastAsia="zh-CN"/>
        </w:rPr>
        <w:t>本基金投资于债券的资产不低于基金资产的</w:t>
      </w:r>
      <w:r>
        <w:rPr>
          <w:rFonts w:ascii="宋体" w:hAnsi="宋体" w:cs="宋体"/>
          <w:color w:val="000000" w:themeColor="text1"/>
          <w:sz w:val="21"/>
          <w:szCs w:val="21"/>
          <w:lang w:eastAsia="zh-CN"/>
        </w:rPr>
        <w:t>80%</w:t>
      </w:r>
      <w:r>
        <w:rPr>
          <w:color w:val="000000" w:themeColor="text1"/>
          <w:sz w:val="21"/>
          <w:szCs w:val="21"/>
          <w:lang w:eastAsia="zh-CN"/>
        </w:rPr>
        <w:t>；本基金投资于权益类资产、可转换债券（不含分离交易可转债的纯债部分）及可交换债券的资产占基金资产的比例为</w:t>
      </w:r>
      <w:r>
        <w:rPr>
          <w:rFonts w:ascii="宋体" w:hAnsi="宋体" w:cs="宋体"/>
          <w:color w:val="000000" w:themeColor="text1"/>
          <w:sz w:val="21"/>
          <w:szCs w:val="21"/>
          <w:lang w:eastAsia="zh-CN"/>
        </w:rPr>
        <w:t>5%-20%</w:t>
      </w:r>
      <w:r>
        <w:rPr>
          <w:color w:val="000000" w:themeColor="text1"/>
          <w:sz w:val="21"/>
          <w:szCs w:val="21"/>
          <w:lang w:eastAsia="zh-CN"/>
        </w:rPr>
        <w:t>，其中，投资于境内股票资产（含</w:t>
      </w:r>
      <w:r w:rsidR="00B376F5">
        <w:rPr>
          <w:rFonts w:hint="eastAsia"/>
          <w:color w:val="000000" w:themeColor="text1"/>
          <w:sz w:val="21"/>
          <w:szCs w:val="21"/>
          <w:lang w:eastAsia="zh-CN"/>
        </w:rPr>
        <w:t>A</w:t>
      </w:r>
      <w:r w:rsidR="00B376F5">
        <w:rPr>
          <w:rFonts w:hint="eastAsia"/>
          <w:color w:val="000000" w:themeColor="text1"/>
          <w:sz w:val="21"/>
          <w:szCs w:val="21"/>
          <w:lang w:eastAsia="zh-CN"/>
        </w:rPr>
        <w:t>股</w:t>
      </w:r>
      <w:r>
        <w:rPr>
          <w:rFonts w:ascii="宋体" w:hAnsi="宋体" w:cs="宋体"/>
          <w:color w:val="000000" w:themeColor="text1"/>
          <w:sz w:val="21"/>
          <w:szCs w:val="21"/>
          <w:lang w:eastAsia="zh-CN"/>
        </w:rPr>
        <w:t>ETF</w:t>
      </w:r>
      <w:r>
        <w:rPr>
          <w:color w:val="000000" w:themeColor="text1"/>
          <w:sz w:val="21"/>
          <w:szCs w:val="21"/>
          <w:lang w:eastAsia="zh-CN"/>
        </w:rPr>
        <w:t>）的比例不低于基金资产的</w:t>
      </w:r>
      <w:r>
        <w:rPr>
          <w:rFonts w:ascii="宋体" w:hAnsi="宋体" w:cs="宋体"/>
          <w:color w:val="000000" w:themeColor="text1"/>
          <w:sz w:val="21"/>
          <w:szCs w:val="21"/>
          <w:lang w:eastAsia="zh-CN"/>
        </w:rPr>
        <w:t>5%</w:t>
      </w:r>
      <w:r>
        <w:rPr>
          <w:color w:val="000000" w:themeColor="text1"/>
          <w:sz w:val="21"/>
          <w:szCs w:val="21"/>
          <w:lang w:eastAsia="zh-CN"/>
        </w:rPr>
        <w:t>，投资于港股通股票的资产不超过股票资产的</w:t>
      </w:r>
      <w:r>
        <w:rPr>
          <w:rFonts w:ascii="宋体" w:hAnsi="宋体" w:cs="宋体"/>
          <w:color w:val="000000" w:themeColor="text1"/>
          <w:sz w:val="21"/>
          <w:szCs w:val="21"/>
          <w:lang w:eastAsia="zh-CN"/>
        </w:rPr>
        <w:t>50%</w:t>
      </w:r>
      <w:r>
        <w:rPr>
          <w:color w:val="000000" w:themeColor="text1"/>
          <w:sz w:val="21"/>
          <w:szCs w:val="21"/>
          <w:lang w:eastAsia="zh-CN"/>
        </w:rPr>
        <w:t>；本基金投资于证券投资基金的资产不超过基金资产净值的</w:t>
      </w:r>
      <w:r>
        <w:rPr>
          <w:rFonts w:ascii="宋体" w:hAnsi="宋体" w:cs="宋体"/>
          <w:color w:val="000000" w:themeColor="text1"/>
          <w:sz w:val="21"/>
          <w:szCs w:val="21"/>
          <w:lang w:eastAsia="zh-CN"/>
        </w:rPr>
        <w:t>10%</w:t>
      </w:r>
      <w:r>
        <w:rPr>
          <w:color w:val="000000" w:themeColor="text1"/>
          <w:sz w:val="21"/>
          <w:szCs w:val="21"/>
          <w:lang w:eastAsia="zh-CN"/>
        </w:rPr>
        <w:t>；保持不低于基金资产净值</w:t>
      </w:r>
      <w:r>
        <w:rPr>
          <w:rFonts w:ascii="宋体" w:hAnsi="宋体" w:cs="宋体"/>
          <w:color w:val="000000" w:themeColor="text1"/>
          <w:sz w:val="21"/>
          <w:szCs w:val="21"/>
          <w:lang w:eastAsia="zh-CN"/>
        </w:rPr>
        <w:t>5</w:t>
      </w:r>
      <w:r>
        <w:rPr>
          <w:color w:val="000000" w:themeColor="text1"/>
          <w:sz w:val="21"/>
          <w:szCs w:val="21"/>
          <w:lang w:eastAsia="zh-CN"/>
        </w:rPr>
        <w:t>％的现金或者到期日在一年以内的政府债券，其中现金不包括结算备付金、存出保证金和应收申购款等。国债期货及其他金融工具的投资比例依照法律法规或监管机构的规定执行。</w:t>
      </w:r>
    </w:p>
    <w:p w:rsidR="00F14202">
      <w:pPr>
        <w:spacing w:line="360" w:lineRule="auto"/>
        <w:ind w:firstLine="420"/>
        <w:jc w:val="left"/>
        <w:rPr>
          <w:color w:val="000000"/>
          <w:sz w:val="21"/>
          <w:szCs w:val="21"/>
          <w:lang w:eastAsia="zh-CN"/>
        </w:rPr>
      </w:pPr>
      <w:r>
        <w:rPr>
          <w:color w:val="000000" w:themeColor="text1"/>
          <w:sz w:val="21"/>
          <w:szCs w:val="21"/>
          <w:lang w:eastAsia="zh-CN"/>
        </w:rPr>
        <w:t>权益类资产包括股票、股票型基金以及权益类混合型基金。权益类混合型基金指至少满足以下一条标准的混合型基金：（</w:t>
      </w:r>
      <w:r>
        <w:rPr>
          <w:rFonts w:ascii="宋体" w:hAnsi="宋体" w:cs="宋体"/>
          <w:color w:val="000000" w:themeColor="text1"/>
          <w:sz w:val="21"/>
          <w:szCs w:val="21"/>
          <w:lang w:eastAsia="zh-CN"/>
        </w:rPr>
        <w:t>1</w:t>
      </w:r>
      <w:r>
        <w:rPr>
          <w:color w:val="000000" w:themeColor="text1"/>
          <w:sz w:val="21"/>
          <w:szCs w:val="21"/>
          <w:lang w:eastAsia="zh-CN"/>
        </w:rPr>
        <w:t>）基金合同约定投资股票资产占基金资产的比例不低于</w:t>
      </w:r>
      <w:r>
        <w:rPr>
          <w:rFonts w:ascii="宋体" w:hAnsi="宋体" w:cs="宋体"/>
          <w:color w:val="000000" w:themeColor="text1"/>
          <w:sz w:val="21"/>
          <w:szCs w:val="21"/>
          <w:lang w:eastAsia="zh-CN"/>
        </w:rPr>
        <w:t>60%</w:t>
      </w:r>
      <w:r>
        <w:rPr>
          <w:color w:val="000000" w:themeColor="text1"/>
          <w:sz w:val="21"/>
          <w:szCs w:val="21"/>
          <w:lang w:eastAsia="zh-CN"/>
        </w:rPr>
        <w:t>；（</w:t>
      </w:r>
      <w:r>
        <w:rPr>
          <w:rFonts w:ascii="宋体" w:hAnsi="宋体" w:cs="宋体"/>
          <w:color w:val="000000" w:themeColor="text1"/>
          <w:sz w:val="21"/>
          <w:szCs w:val="21"/>
          <w:lang w:eastAsia="zh-CN"/>
        </w:rPr>
        <w:t>2</w:t>
      </w:r>
      <w:r>
        <w:rPr>
          <w:color w:val="000000" w:themeColor="text1"/>
          <w:sz w:val="21"/>
          <w:szCs w:val="21"/>
          <w:lang w:eastAsia="zh-CN"/>
        </w:rPr>
        <w:t>）基金最近</w:t>
      </w:r>
      <w:r>
        <w:rPr>
          <w:rFonts w:ascii="宋体" w:hAnsi="宋体" w:cs="宋体"/>
          <w:color w:val="000000" w:themeColor="text1"/>
          <w:sz w:val="21"/>
          <w:szCs w:val="21"/>
          <w:lang w:eastAsia="zh-CN"/>
        </w:rPr>
        <w:t>4</w:t>
      </w:r>
      <w:r>
        <w:rPr>
          <w:color w:val="000000" w:themeColor="text1"/>
          <w:sz w:val="21"/>
          <w:szCs w:val="21"/>
          <w:lang w:eastAsia="zh-CN"/>
        </w:rPr>
        <w:t>期季度报告中披露的股票资产占基金资产的比例均不低于</w:t>
      </w:r>
      <w:r>
        <w:rPr>
          <w:rFonts w:ascii="宋体" w:hAnsi="宋体" w:cs="宋体"/>
          <w:color w:val="000000" w:themeColor="text1"/>
          <w:sz w:val="21"/>
          <w:szCs w:val="21"/>
          <w:lang w:eastAsia="zh-CN"/>
        </w:rPr>
        <w:t>60%</w:t>
      </w:r>
      <w:r>
        <w:rPr>
          <w:color w:val="000000" w:themeColor="text1"/>
          <w:sz w:val="21"/>
          <w:szCs w:val="21"/>
          <w:lang w:eastAsia="zh-CN"/>
        </w:rPr>
        <w:t>。</w:t>
      </w:r>
    </w:p>
    <w:p w:rsidR="00F14202">
      <w:pPr>
        <w:spacing w:line="360" w:lineRule="auto"/>
        <w:ind w:firstLine="420"/>
        <w:jc w:val="left"/>
        <w:rPr>
          <w:color w:val="000000"/>
          <w:sz w:val="21"/>
          <w:szCs w:val="21"/>
          <w:lang w:eastAsia="zh-CN"/>
        </w:rPr>
      </w:pPr>
      <w:r>
        <w:rPr>
          <w:rFonts w:hint="eastAsia"/>
          <w:color w:val="000000" w:themeColor="text1"/>
          <w:sz w:val="21"/>
          <w:szCs w:val="21"/>
          <w:highlight w:val="white"/>
          <w:lang w:eastAsia="zh-CN"/>
        </w:rPr>
        <w:t>（</w:t>
      </w:r>
      <w:r>
        <w:rPr>
          <w:rFonts w:ascii="宋体" w:hAnsi="宋体" w:cs="宋体"/>
          <w:color w:val="000000" w:themeColor="text1"/>
          <w:sz w:val="21"/>
          <w:szCs w:val="21"/>
          <w:highlight w:val="white"/>
          <w:lang w:eastAsia="zh-CN"/>
        </w:rPr>
        <w:t>2</w:t>
      </w:r>
      <w:r>
        <w:rPr>
          <w:rFonts w:hint="eastAsia"/>
          <w:color w:val="000000" w:themeColor="text1"/>
          <w:sz w:val="21"/>
          <w:szCs w:val="21"/>
          <w:highlight w:val="white"/>
          <w:lang w:eastAsia="zh-CN"/>
        </w:rPr>
        <w:t>）根据法律法规的规定及《基金合同》的约定，本基金投资组合遵循以下投资限制：</w:t>
      </w:r>
    </w:p>
    <w:p w:rsidR="00F14202">
      <w:pPr>
        <w:spacing w:line="360" w:lineRule="auto"/>
        <w:ind w:firstLine="420"/>
        <w:jc w:val="left"/>
        <w:rPr>
          <w:color w:val="000000"/>
          <w:sz w:val="21"/>
          <w:szCs w:val="21"/>
          <w:lang w:eastAsia="zh-CN"/>
        </w:rPr>
      </w:pPr>
      <w:r>
        <w:rPr>
          <w:rFonts w:ascii="宋体" w:hAnsi="宋体" w:cs="宋体"/>
          <w:color w:val="000000" w:themeColor="text1"/>
          <w:sz w:val="21"/>
          <w:szCs w:val="21"/>
          <w:highlight w:val="white"/>
          <w:lang w:eastAsia="zh-CN"/>
        </w:rPr>
        <w:t>1</w:t>
      </w:r>
      <w:r>
        <w:rPr>
          <w:rFonts w:ascii="宋体" w:hAnsi="宋体" w:cs="宋体"/>
          <w:color w:val="000000" w:themeColor="text1"/>
          <w:sz w:val="21"/>
          <w:szCs w:val="21"/>
          <w:highlight w:val="white"/>
          <w:lang w:eastAsia="zh-CN"/>
        </w:rPr>
        <w:t>）本基金投资于债券的资产不低于</w:t>
      </w:r>
      <w:r>
        <w:rPr>
          <w:rFonts w:ascii="宋体" w:hAnsi="宋体" w:cs="宋体"/>
          <w:color w:val="000000" w:themeColor="text1"/>
          <w:sz w:val="21"/>
          <w:szCs w:val="21"/>
          <w:highlight w:val="white"/>
          <w:lang w:eastAsia="zh-CN"/>
        </w:rPr>
        <w:t>基金资产的</w:t>
      </w:r>
      <w:r>
        <w:rPr>
          <w:rFonts w:ascii="宋体" w:hAnsi="宋体" w:cs="宋体"/>
          <w:color w:val="000000" w:themeColor="text1"/>
          <w:sz w:val="21"/>
          <w:szCs w:val="21"/>
          <w:highlight w:val="white"/>
          <w:lang w:eastAsia="zh-CN"/>
        </w:rPr>
        <w:t>80%</w:t>
      </w:r>
      <w:r>
        <w:rPr>
          <w:rFonts w:ascii="宋体" w:hAnsi="宋体" w:cs="宋体"/>
          <w:color w:val="000000" w:themeColor="text1"/>
          <w:sz w:val="21"/>
          <w:szCs w:val="21"/>
          <w:highlight w:val="white"/>
          <w:lang w:eastAsia="zh-CN"/>
        </w:rPr>
        <w:t>；本基金投资于权益类资产、可转换债券（不含分离交易可转债的纯债部分）及可交换债券的资产占基金资产的比例为</w:t>
      </w:r>
      <w:r>
        <w:rPr>
          <w:rFonts w:ascii="宋体" w:hAnsi="宋体" w:cs="宋体"/>
          <w:color w:val="000000" w:themeColor="text1"/>
          <w:sz w:val="21"/>
          <w:szCs w:val="21"/>
          <w:highlight w:val="white"/>
          <w:lang w:eastAsia="zh-CN"/>
        </w:rPr>
        <w:t>5%-20%</w:t>
      </w:r>
      <w:r>
        <w:rPr>
          <w:rFonts w:ascii="宋体" w:hAnsi="宋体" w:cs="宋体"/>
          <w:color w:val="000000" w:themeColor="text1"/>
          <w:sz w:val="21"/>
          <w:szCs w:val="21"/>
          <w:highlight w:val="white"/>
          <w:lang w:eastAsia="zh-CN"/>
        </w:rPr>
        <w:t>，其中，投资于境内股票资产（含</w:t>
      </w:r>
      <w:r w:rsidR="00B376F5">
        <w:rPr>
          <w:rFonts w:ascii="宋体" w:hAnsi="宋体" w:cs="宋体" w:hint="eastAsia"/>
          <w:color w:val="000000" w:themeColor="text1"/>
          <w:sz w:val="21"/>
          <w:szCs w:val="21"/>
          <w:highlight w:val="white"/>
          <w:lang w:eastAsia="zh-CN"/>
        </w:rPr>
        <w:t>A</w:t>
      </w:r>
      <w:r w:rsidR="00B376F5">
        <w:rPr>
          <w:rFonts w:ascii="宋体" w:hAnsi="宋体" w:cs="宋体" w:hint="eastAsia"/>
          <w:color w:val="000000" w:themeColor="text1"/>
          <w:sz w:val="21"/>
          <w:szCs w:val="21"/>
          <w:highlight w:val="white"/>
          <w:lang w:eastAsia="zh-CN"/>
        </w:rPr>
        <w:t>股</w:t>
      </w:r>
      <w:r>
        <w:rPr>
          <w:rFonts w:ascii="宋体" w:hAnsi="宋体" w:cs="宋体"/>
          <w:color w:val="000000" w:themeColor="text1"/>
          <w:sz w:val="21"/>
          <w:szCs w:val="21"/>
          <w:highlight w:val="white"/>
          <w:lang w:eastAsia="zh-CN"/>
        </w:rPr>
        <w:t>ETF</w:t>
      </w:r>
      <w:r>
        <w:rPr>
          <w:rFonts w:ascii="宋体" w:hAnsi="宋体" w:cs="宋体"/>
          <w:color w:val="000000" w:themeColor="text1"/>
          <w:sz w:val="21"/>
          <w:szCs w:val="21"/>
          <w:highlight w:val="white"/>
          <w:lang w:eastAsia="zh-CN"/>
        </w:rPr>
        <w:t>）的比例不低于基金资产的</w:t>
      </w:r>
      <w:r>
        <w:rPr>
          <w:rFonts w:ascii="宋体" w:hAnsi="宋体" w:cs="宋体"/>
          <w:color w:val="000000" w:themeColor="text1"/>
          <w:sz w:val="21"/>
          <w:szCs w:val="21"/>
          <w:highlight w:val="white"/>
          <w:lang w:eastAsia="zh-CN"/>
        </w:rPr>
        <w:t>5%</w:t>
      </w:r>
      <w:r>
        <w:rPr>
          <w:rFonts w:ascii="宋体" w:hAnsi="宋体" w:cs="宋体"/>
          <w:color w:val="000000" w:themeColor="text1"/>
          <w:sz w:val="21"/>
          <w:szCs w:val="21"/>
          <w:highlight w:val="white"/>
          <w:lang w:eastAsia="zh-CN"/>
        </w:rPr>
        <w:t>，投资于港股通股票的资产不超过股票资产的</w:t>
      </w:r>
      <w:r>
        <w:rPr>
          <w:rFonts w:ascii="宋体" w:hAnsi="宋体" w:cs="宋体"/>
          <w:color w:val="000000" w:themeColor="text1"/>
          <w:sz w:val="21"/>
          <w:szCs w:val="21"/>
          <w:highlight w:val="white"/>
          <w:lang w:eastAsia="zh-CN"/>
        </w:rPr>
        <w:t>50%</w:t>
      </w:r>
      <w:r>
        <w:rPr>
          <w:rFonts w:ascii="宋体" w:hAnsi="宋体" w:cs="宋体"/>
          <w:color w:val="000000" w:themeColor="text1"/>
          <w:sz w:val="21"/>
          <w:szCs w:val="21"/>
          <w:highlight w:val="white"/>
          <w:lang w:eastAsia="zh-CN"/>
        </w:rPr>
        <w:t>；</w:t>
      </w:r>
    </w:p>
    <w:p w:rsidR="00F14202">
      <w:pPr>
        <w:spacing w:line="360" w:lineRule="auto"/>
        <w:ind w:firstLine="420"/>
        <w:jc w:val="left"/>
        <w:rPr>
          <w:lang w:eastAsia="zh-CN"/>
        </w:rPr>
      </w:pPr>
      <w:r>
        <w:rPr>
          <w:rFonts w:ascii="宋体" w:hAnsi="宋体" w:cs="宋体"/>
          <w:color w:val="000000" w:themeColor="text1"/>
          <w:sz w:val="21"/>
          <w:szCs w:val="21"/>
          <w:highlight w:val="white"/>
          <w:lang w:eastAsia="zh-CN"/>
        </w:rPr>
        <w:t>2</w:t>
      </w:r>
      <w:r>
        <w:rPr>
          <w:rFonts w:ascii="宋体" w:hAnsi="宋体" w:cs="宋体"/>
          <w:color w:val="000000" w:themeColor="text1"/>
          <w:sz w:val="21"/>
          <w:szCs w:val="21"/>
          <w:highlight w:val="white"/>
          <w:lang w:eastAsia="zh-CN"/>
        </w:rPr>
        <w:t>）本基金投资于证券投资基金的资产不超过基金资产净值的</w:t>
      </w:r>
      <w:r>
        <w:rPr>
          <w:rFonts w:ascii="宋体" w:hAnsi="宋体" w:cs="宋体"/>
          <w:color w:val="000000" w:themeColor="text1"/>
          <w:sz w:val="21"/>
          <w:szCs w:val="21"/>
          <w:highlight w:val="white"/>
          <w:lang w:eastAsia="zh-CN"/>
        </w:rPr>
        <w:t>10%</w:t>
      </w:r>
      <w:r>
        <w:rPr>
          <w:rFonts w:ascii="宋体" w:hAnsi="宋体" w:cs="宋体"/>
          <w:color w:val="000000" w:themeColor="text1"/>
          <w:sz w:val="21"/>
          <w:szCs w:val="21"/>
          <w:highlight w:val="white"/>
          <w:lang w:eastAsia="zh-CN"/>
        </w:rPr>
        <w:t>；</w:t>
      </w:r>
    </w:p>
    <w:p w:rsidR="00F14202">
      <w:pPr>
        <w:spacing w:line="360" w:lineRule="auto"/>
        <w:ind w:firstLine="420"/>
        <w:jc w:val="left"/>
        <w:rPr>
          <w:lang w:eastAsia="zh-CN"/>
        </w:rPr>
      </w:pPr>
      <w:r>
        <w:rPr>
          <w:rFonts w:ascii="宋体" w:hAnsi="宋体" w:cs="宋体"/>
          <w:color w:val="000000" w:themeColor="text1"/>
          <w:sz w:val="21"/>
          <w:szCs w:val="21"/>
          <w:highlight w:val="white"/>
          <w:lang w:eastAsia="zh-CN"/>
        </w:rPr>
        <w:t>3</w:t>
      </w:r>
      <w:r>
        <w:rPr>
          <w:rFonts w:ascii="宋体" w:hAnsi="宋体" w:cs="宋体"/>
          <w:color w:val="000000" w:themeColor="text1"/>
          <w:sz w:val="21"/>
          <w:szCs w:val="21"/>
          <w:highlight w:val="white"/>
          <w:lang w:eastAsia="zh-CN"/>
        </w:rPr>
        <w:t>）保持不低于基金资产净值</w:t>
      </w:r>
      <w:r>
        <w:rPr>
          <w:rFonts w:ascii="宋体" w:hAnsi="宋体" w:cs="宋体"/>
          <w:color w:val="000000" w:themeColor="text1"/>
          <w:sz w:val="21"/>
          <w:szCs w:val="21"/>
          <w:highlight w:val="white"/>
          <w:lang w:eastAsia="zh-CN"/>
        </w:rPr>
        <w:t>5</w:t>
      </w:r>
      <w:r>
        <w:rPr>
          <w:rFonts w:ascii="宋体" w:hAnsi="宋体" w:cs="宋体"/>
          <w:color w:val="000000" w:themeColor="text1"/>
          <w:sz w:val="21"/>
          <w:szCs w:val="21"/>
          <w:highlight w:val="white"/>
          <w:lang w:eastAsia="zh-CN"/>
        </w:rPr>
        <w:t>％的现金或者到期日在一年以内的政府债券，其中现金不包括结算备付金、存出保证金和应收申购款等；</w:t>
      </w:r>
    </w:p>
    <w:p w:rsidR="00F14202">
      <w:pPr>
        <w:spacing w:line="360" w:lineRule="auto"/>
        <w:ind w:firstLine="420"/>
        <w:jc w:val="left"/>
        <w:rPr>
          <w:lang w:eastAsia="zh-CN"/>
        </w:rPr>
      </w:pPr>
      <w:r>
        <w:rPr>
          <w:rFonts w:ascii="宋体" w:hAnsi="宋体" w:cs="宋体"/>
          <w:color w:val="000000" w:themeColor="text1"/>
          <w:sz w:val="21"/>
          <w:szCs w:val="21"/>
          <w:highlight w:val="white"/>
          <w:lang w:eastAsia="zh-CN"/>
        </w:rPr>
        <w:t>4</w:t>
      </w:r>
      <w:r>
        <w:rPr>
          <w:rFonts w:ascii="宋体" w:hAnsi="宋体" w:cs="宋体"/>
          <w:color w:val="000000" w:themeColor="text1"/>
          <w:sz w:val="21"/>
          <w:szCs w:val="21"/>
          <w:highlight w:val="white"/>
          <w:lang w:eastAsia="zh-CN"/>
        </w:rPr>
        <w:t>）本基金持有一家公司发行的证券（同一家公司在内地和香港同时上市的</w:t>
      </w:r>
      <w:r>
        <w:rPr>
          <w:rFonts w:ascii="宋体" w:hAnsi="宋体" w:cs="宋体"/>
          <w:color w:val="000000" w:themeColor="text1"/>
          <w:sz w:val="21"/>
          <w:szCs w:val="21"/>
          <w:highlight w:val="white"/>
          <w:lang w:eastAsia="zh-CN"/>
        </w:rPr>
        <w:t>A+H</w:t>
      </w:r>
      <w:r>
        <w:rPr>
          <w:rFonts w:ascii="宋体" w:hAnsi="宋体" w:cs="宋体"/>
          <w:color w:val="000000" w:themeColor="text1"/>
          <w:sz w:val="21"/>
          <w:szCs w:val="21"/>
          <w:highlight w:val="white"/>
          <w:lang w:eastAsia="zh-CN"/>
        </w:rPr>
        <w:t>股合计计算），其市值不超过基金资产净值的</w:t>
      </w:r>
      <w:r>
        <w:rPr>
          <w:rFonts w:ascii="宋体" w:hAnsi="宋体" w:cs="宋体"/>
          <w:color w:val="000000" w:themeColor="text1"/>
          <w:sz w:val="21"/>
          <w:szCs w:val="21"/>
          <w:highlight w:val="white"/>
          <w:lang w:eastAsia="zh-CN"/>
        </w:rPr>
        <w:t>10</w:t>
      </w:r>
      <w:r>
        <w:rPr>
          <w:rFonts w:ascii="宋体" w:hAnsi="宋体" w:cs="宋体"/>
          <w:color w:val="000000" w:themeColor="text1"/>
          <w:sz w:val="21"/>
          <w:szCs w:val="21"/>
          <w:highlight w:val="white"/>
          <w:lang w:eastAsia="zh-CN"/>
        </w:rPr>
        <w:t>％；</w:t>
      </w:r>
    </w:p>
    <w:p w:rsidR="00F14202">
      <w:pPr>
        <w:spacing w:line="360" w:lineRule="auto"/>
        <w:ind w:firstLine="420"/>
        <w:jc w:val="left"/>
        <w:rPr>
          <w:lang w:eastAsia="zh-CN"/>
        </w:rPr>
      </w:pPr>
      <w:r>
        <w:rPr>
          <w:rFonts w:ascii="宋体" w:hAnsi="宋体" w:cs="宋体"/>
          <w:color w:val="000000" w:themeColor="text1"/>
          <w:sz w:val="21"/>
          <w:szCs w:val="21"/>
          <w:highlight w:val="white"/>
          <w:lang w:eastAsia="zh-CN"/>
        </w:rPr>
        <w:t>5</w:t>
      </w:r>
      <w:r>
        <w:rPr>
          <w:rFonts w:ascii="宋体" w:hAnsi="宋体" w:cs="宋体"/>
          <w:color w:val="000000" w:themeColor="text1"/>
          <w:sz w:val="21"/>
          <w:szCs w:val="21"/>
          <w:highlight w:val="white"/>
          <w:lang w:eastAsia="zh-CN"/>
        </w:rPr>
        <w:t>）本基金管理人管理</w:t>
      </w:r>
      <w:r>
        <w:rPr>
          <w:color w:val="000000" w:themeColor="text1"/>
          <w:sz w:val="21"/>
          <w:szCs w:val="21"/>
          <w:highlight w:val="white"/>
          <w:lang w:eastAsia="zh-CN"/>
        </w:rPr>
        <w:t>且由本基金托管人托管的全部基金持有一家公司发行的证券（同一家公司在内地和香港同时上市的</w:t>
      </w:r>
      <w:r>
        <w:rPr>
          <w:rFonts w:ascii="宋体" w:hAnsi="宋体" w:cs="宋体"/>
          <w:color w:val="000000" w:themeColor="text1"/>
          <w:sz w:val="21"/>
          <w:szCs w:val="21"/>
          <w:highlight w:val="white"/>
          <w:lang w:eastAsia="zh-CN"/>
        </w:rPr>
        <w:t>A+H</w:t>
      </w:r>
      <w:r>
        <w:rPr>
          <w:color w:val="000000" w:themeColor="text1"/>
          <w:sz w:val="21"/>
          <w:szCs w:val="21"/>
          <w:highlight w:val="white"/>
          <w:lang w:eastAsia="zh-CN"/>
        </w:rPr>
        <w:t>股合计计算），不超过该证券的</w:t>
      </w:r>
      <w:r>
        <w:rPr>
          <w:rFonts w:ascii="宋体" w:hAnsi="宋体" w:cs="宋体"/>
          <w:color w:val="000000" w:themeColor="text1"/>
          <w:sz w:val="21"/>
          <w:szCs w:val="21"/>
          <w:highlight w:val="white"/>
          <w:lang w:eastAsia="zh-CN"/>
        </w:rPr>
        <w:t>10</w:t>
      </w:r>
      <w:r>
        <w:rPr>
          <w:color w:val="000000" w:themeColor="text1"/>
          <w:sz w:val="21"/>
          <w:szCs w:val="21"/>
          <w:highlight w:val="white"/>
          <w:lang w:eastAsia="zh-CN"/>
        </w:rPr>
        <w:t>％，完全按照有关指数的构成比例进行证券投资的基金品种可以不受此条款规定的比例限制；</w:t>
      </w:r>
    </w:p>
    <w:p w:rsidR="00F14202">
      <w:pPr>
        <w:spacing w:line="360" w:lineRule="auto"/>
        <w:ind w:firstLine="420"/>
        <w:jc w:val="left"/>
        <w:rPr>
          <w:lang w:eastAsia="zh-CN"/>
        </w:rPr>
      </w:pPr>
      <w:r>
        <w:rPr>
          <w:rFonts w:ascii="宋体" w:hAnsi="宋体" w:cs="宋体"/>
          <w:color w:val="000000" w:themeColor="text1"/>
          <w:sz w:val="21"/>
          <w:szCs w:val="21"/>
          <w:highlight w:val="white"/>
          <w:lang w:eastAsia="zh-CN"/>
        </w:rPr>
        <w:t>6</w:t>
      </w:r>
      <w:r>
        <w:rPr>
          <w:rFonts w:ascii="宋体" w:hAnsi="宋体" w:cs="宋体"/>
          <w:color w:val="000000" w:themeColor="text1"/>
          <w:sz w:val="21"/>
          <w:szCs w:val="21"/>
          <w:highlight w:val="white"/>
          <w:lang w:eastAsia="zh-CN"/>
        </w:rPr>
        <w:t>）本基金投资于同一原始权益人的各类资产支持证券的比例，不得超过基金资产净值的</w:t>
      </w:r>
      <w:r>
        <w:rPr>
          <w:rFonts w:ascii="宋体" w:hAnsi="宋体" w:cs="宋体"/>
          <w:color w:val="000000" w:themeColor="text1"/>
          <w:sz w:val="21"/>
          <w:szCs w:val="21"/>
          <w:highlight w:val="white"/>
          <w:lang w:eastAsia="zh-CN"/>
        </w:rPr>
        <w:t>10</w:t>
      </w:r>
      <w:r>
        <w:rPr>
          <w:rFonts w:ascii="宋体" w:hAnsi="宋体" w:cs="宋体"/>
          <w:color w:val="000000" w:themeColor="text1"/>
          <w:sz w:val="21"/>
          <w:szCs w:val="21"/>
          <w:highlight w:val="white"/>
          <w:lang w:eastAsia="zh-CN"/>
        </w:rPr>
        <w:t>％；</w:t>
      </w:r>
    </w:p>
    <w:p w:rsidR="00F14202">
      <w:pPr>
        <w:spacing w:line="360" w:lineRule="auto"/>
        <w:ind w:firstLine="420"/>
        <w:jc w:val="left"/>
        <w:rPr>
          <w:lang w:eastAsia="zh-CN"/>
        </w:rPr>
      </w:pPr>
      <w:r>
        <w:rPr>
          <w:rFonts w:ascii="宋体" w:hAnsi="宋体" w:cs="宋体"/>
          <w:color w:val="000000" w:themeColor="text1"/>
          <w:sz w:val="21"/>
          <w:szCs w:val="21"/>
          <w:highlight w:val="white"/>
          <w:lang w:eastAsia="zh-CN"/>
        </w:rPr>
        <w:t>7</w:t>
      </w:r>
      <w:r>
        <w:rPr>
          <w:rFonts w:ascii="宋体" w:hAnsi="宋体" w:cs="宋体"/>
          <w:color w:val="000000" w:themeColor="text1"/>
          <w:sz w:val="21"/>
          <w:szCs w:val="21"/>
          <w:highlight w:val="white"/>
          <w:lang w:eastAsia="zh-CN"/>
        </w:rPr>
        <w:t>）本基金持有的全部资产支持证券，其市值不得超过基金资产净值的</w:t>
      </w:r>
      <w:r>
        <w:rPr>
          <w:rFonts w:ascii="宋体" w:hAnsi="宋体" w:cs="宋体"/>
          <w:color w:val="000000" w:themeColor="text1"/>
          <w:sz w:val="21"/>
          <w:szCs w:val="21"/>
          <w:highlight w:val="white"/>
          <w:lang w:eastAsia="zh-CN"/>
        </w:rPr>
        <w:t>20</w:t>
      </w:r>
      <w:r>
        <w:rPr>
          <w:rFonts w:ascii="宋体" w:hAnsi="宋体" w:cs="宋体"/>
          <w:color w:val="000000" w:themeColor="text1"/>
          <w:sz w:val="21"/>
          <w:szCs w:val="21"/>
          <w:highlight w:val="white"/>
          <w:lang w:eastAsia="zh-CN"/>
        </w:rPr>
        <w:t>％；</w:t>
      </w:r>
    </w:p>
    <w:p w:rsidR="00F14202">
      <w:pPr>
        <w:spacing w:line="360" w:lineRule="auto"/>
        <w:ind w:firstLine="420"/>
        <w:jc w:val="left"/>
        <w:rPr>
          <w:lang w:eastAsia="zh-CN"/>
        </w:rPr>
      </w:pPr>
      <w:r>
        <w:rPr>
          <w:rFonts w:ascii="宋体" w:hAnsi="宋体" w:cs="宋体"/>
          <w:color w:val="000000" w:themeColor="text1"/>
          <w:sz w:val="21"/>
          <w:szCs w:val="21"/>
          <w:highlight w:val="white"/>
          <w:lang w:eastAsia="zh-CN"/>
        </w:rPr>
        <w:t>8</w:t>
      </w:r>
      <w:r>
        <w:rPr>
          <w:rFonts w:ascii="宋体" w:hAnsi="宋体" w:cs="宋体"/>
          <w:color w:val="000000" w:themeColor="text1"/>
          <w:sz w:val="21"/>
          <w:szCs w:val="21"/>
          <w:highlight w:val="white"/>
          <w:lang w:eastAsia="zh-CN"/>
        </w:rPr>
        <w:t>）本基金持有的同一</w:t>
      </w:r>
      <w:r>
        <w:rPr>
          <w:rFonts w:ascii="宋体" w:hAnsi="宋体" w:cs="宋体"/>
          <w:color w:val="000000" w:themeColor="text1"/>
          <w:sz w:val="21"/>
          <w:szCs w:val="21"/>
          <w:highlight w:val="white"/>
          <w:lang w:eastAsia="zh-CN"/>
        </w:rPr>
        <w:t>(</w:t>
      </w:r>
      <w:r>
        <w:rPr>
          <w:rFonts w:ascii="宋体" w:hAnsi="宋体" w:cs="宋体"/>
          <w:color w:val="000000" w:themeColor="text1"/>
          <w:sz w:val="21"/>
          <w:szCs w:val="21"/>
          <w:highlight w:val="white"/>
          <w:lang w:eastAsia="zh-CN"/>
        </w:rPr>
        <w:t>指同一信用级别</w:t>
      </w:r>
      <w:r>
        <w:rPr>
          <w:rFonts w:ascii="宋体" w:hAnsi="宋体" w:cs="宋体"/>
          <w:color w:val="000000" w:themeColor="text1"/>
          <w:sz w:val="21"/>
          <w:szCs w:val="21"/>
          <w:highlight w:val="white"/>
          <w:lang w:eastAsia="zh-CN"/>
        </w:rPr>
        <w:t>)</w:t>
      </w:r>
      <w:r>
        <w:rPr>
          <w:rFonts w:ascii="宋体" w:hAnsi="宋体" w:cs="宋体"/>
          <w:color w:val="000000" w:themeColor="text1"/>
          <w:sz w:val="21"/>
          <w:szCs w:val="21"/>
          <w:highlight w:val="white"/>
          <w:lang w:eastAsia="zh-CN"/>
        </w:rPr>
        <w:t>资产支持证券的比例，不得超过该资产支持证券规模的</w:t>
      </w:r>
      <w:r>
        <w:rPr>
          <w:rFonts w:ascii="宋体" w:hAnsi="宋体" w:cs="宋体"/>
          <w:color w:val="000000" w:themeColor="text1"/>
          <w:sz w:val="21"/>
          <w:szCs w:val="21"/>
          <w:highlight w:val="white"/>
          <w:lang w:eastAsia="zh-CN"/>
        </w:rPr>
        <w:t>10</w:t>
      </w:r>
      <w:r>
        <w:rPr>
          <w:rFonts w:ascii="宋体" w:hAnsi="宋体" w:cs="宋体"/>
          <w:color w:val="000000" w:themeColor="text1"/>
          <w:sz w:val="21"/>
          <w:szCs w:val="21"/>
          <w:highlight w:val="white"/>
          <w:lang w:eastAsia="zh-CN"/>
        </w:rPr>
        <w:t>％；</w:t>
      </w:r>
    </w:p>
    <w:p w:rsidR="00F14202">
      <w:pPr>
        <w:spacing w:line="360" w:lineRule="auto"/>
        <w:ind w:firstLine="420"/>
        <w:jc w:val="left"/>
        <w:rPr>
          <w:lang w:eastAsia="zh-CN"/>
        </w:rPr>
      </w:pPr>
      <w:r>
        <w:rPr>
          <w:rFonts w:ascii="宋体" w:hAnsi="宋体" w:cs="宋体"/>
          <w:color w:val="000000" w:themeColor="text1"/>
          <w:sz w:val="21"/>
          <w:szCs w:val="21"/>
          <w:highlight w:val="white"/>
          <w:lang w:eastAsia="zh-CN"/>
        </w:rPr>
        <w:t>9</w:t>
      </w:r>
      <w:r>
        <w:rPr>
          <w:rFonts w:ascii="宋体" w:hAnsi="宋体" w:cs="宋体"/>
          <w:color w:val="000000" w:themeColor="text1"/>
          <w:sz w:val="21"/>
          <w:szCs w:val="21"/>
          <w:highlight w:val="white"/>
          <w:lang w:eastAsia="zh-CN"/>
        </w:rPr>
        <w:t>）本基金管理人管理</w:t>
      </w:r>
      <w:r>
        <w:rPr>
          <w:color w:val="000000" w:themeColor="text1"/>
          <w:sz w:val="21"/>
          <w:szCs w:val="21"/>
          <w:highlight w:val="white"/>
          <w:lang w:eastAsia="zh-CN"/>
        </w:rPr>
        <w:t>且由本基金托管人托管的全部基金投资于同一原始权益人的各类资产支持证券，不得超过其各类资产支持证券合计规模的</w:t>
      </w:r>
      <w:r>
        <w:rPr>
          <w:rFonts w:ascii="宋体" w:hAnsi="宋体" w:cs="宋体"/>
          <w:color w:val="000000" w:themeColor="text1"/>
          <w:sz w:val="21"/>
          <w:szCs w:val="21"/>
          <w:highlight w:val="white"/>
          <w:lang w:eastAsia="zh-CN"/>
        </w:rPr>
        <w:t>10</w:t>
      </w:r>
      <w:r>
        <w:rPr>
          <w:color w:val="000000" w:themeColor="text1"/>
          <w:sz w:val="21"/>
          <w:szCs w:val="21"/>
          <w:highlight w:val="white"/>
          <w:lang w:eastAsia="zh-CN"/>
        </w:rPr>
        <w:t>％；</w:t>
      </w:r>
    </w:p>
    <w:p w:rsidR="00F14202">
      <w:pPr>
        <w:spacing w:line="360" w:lineRule="auto"/>
        <w:ind w:firstLine="420"/>
        <w:jc w:val="left"/>
        <w:rPr>
          <w:lang w:eastAsia="zh-CN"/>
        </w:rPr>
      </w:pPr>
      <w:r>
        <w:rPr>
          <w:rFonts w:ascii="宋体" w:hAnsi="宋体" w:cs="宋体"/>
          <w:color w:val="000000" w:themeColor="text1"/>
          <w:sz w:val="21"/>
          <w:szCs w:val="21"/>
          <w:highlight w:val="white"/>
          <w:lang w:eastAsia="zh-CN"/>
        </w:rPr>
        <w:t>10</w:t>
      </w:r>
      <w:r>
        <w:rPr>
          <w:rFonts w:ascii="宋体" w:hAnsi="宋体" w:cs="宋体"/>
          <w:color w:val="000000" w:themeColor="text1"/>
          <w:sz w:val="21"/>
          <w:szCs w:val="21"/>
          <w:highlight w:val="white"/>
          <w:lang w:eastAsia="zh-CN"/>
        </w:rPr>
        <w:t>）基金财产参与股票发行申购，本基金所申报的金额不超过本基金的总资产，本基金所申报的股票数量不超过拟发行股票公司本次发行股票的总量；</w:t>
      </w:r>
    </w:p>
    <w:p w:rsidR="00F14202">
      <w:pPr>
        <w:spacing w:line="360" w:lineRule="auto"/>
        <w:ind w:firstLine="420"/>
        <w:jc w:val="left"/>
        <w:rPr>
          <w:lang w:eastAsia="zh-CN"/>
        </w:rPr>
      </w:pPr>
      <w:r>
        <w:rPr>
          <w:rFonts w:ascii="宋体" w:hAnsi="宋体" w:cs="宋体"/>
          <w:color w:val="000000" w:themeColor="text1"/>
          <w:sz w:val="21"/>
          <w:szCs w:val="21"/>
          <w:highlight w:val="white"/>
          <w:lang w:eastAsia="zh-CN"/>
        </w:rPr>
        <w:t>11</w:t>
      </w:r>
      <w:r>
        <w:rPr>
          <w:rFonts w:ascii="宋体" w:hAnsi="宋体" w:cs="宋体"/>
          <w:color w:val="000000" w:themeColor="text1"/>
          <w:sz w:val="21"/>
          <w:szCs w:val="21"/>
          <w:highlight w:val="white"/>
          <w:lang w:eastAsia="zh-CN"/>
        </w:rPr>
        <w:t>）本基金管理人管理</w:t>
      </w:r>
      <w:r>
        <w:rPr>
          <w:color w:val="000000" w:themeColor="text1"/>
          <w:sz w:val="21"/>
          <w:szCs w:val="21"/>
          <w:highlight w:val="white"/>
          <w:lang w:eastAsia="zh-CN"/>
        </w:rPr>
        <w:t>且由本基金托管人托管的全部开放式基金持有一家上市公司发行的可流通股票，不得超过该上市公司可流通股票的</w:t>
      </w:r>
      <w:r>
        <w:rPr>
          <w:rFonts w:ascii="宋体" w:hAnsi="宋体" w:cs="宋体"/>
          <w:color w:val="000000" w:themeColor="text1"/>
          <w:sz w:val="21"/>
          <w:szCs w:val="21"/>
          <w:highlight w:val="white"/>
          <w:lang w:eastAsia="zh-CN"/>
        </w:rPr>
        <w:t>15%</w:t>
      </w:r>
      <w:r>
        <w:rPr>
          <w:color w:val="000000" w:themeColor="text1"/>
          <w:sz w:val="21"/>
          <w:szCs w:val="21"/>
          <w:highlight w:val="white"/>
          <w:lang w:eastAsia="zh-CN"/>
        </w:rPr>
        <w:t>；本基金管理人管理且由本基金托管人托管的全部投资组合持有一家上市公司发行的可流通股票，不得超过该上市公司可流通股票的</w:t>
      </w:r>
      <w:r>
        <w:rPr>
          <w:rFonts w:ascii="宋体" w:hAnsi="宋体" w:cs="宋体"/>
          <w:color w:val="000000" w:themeColor="text1"/>
          <w:sz w:val="21"/>
          <w:szCs w:val="21"/>
          <w:highlight w:val="white"/>
          <w:lang w:eastAsia="zh-CN"/>
        </w:rPr>
        <w:t>30%</w:t>
      </w:r>
      <w:r>
        <w:rPr>
          <w:color w:val="000000" w:themeColor="text1"/>
          <w:sz w:val="21"/>
          <w:szCs w:val="21"/>
          <w:highlight w:val="white"/>
          <w:lang w:eastAsia="zh-CN"/>
        </w:rPr>
        <w:t>，完全按照有关指数的构成比例进行证券投资的开放式基金以及中国证监会认定的特殊投资组合可不受前述比例限制；</w:t>
      </w:r>
    </w:p>
    <w:p w:rsidR="00F14202">
      <w:pPr>
        <w:spacing w:line="360" w:lineRule="auto"/>
        <w:ind w:firstLine="420"/>
        <w:jc w:val="left"/>
        <w:rPr>
          <w:lang w:eastAsia="zh-CN"/>
        </w:rPr>
      </w:pPr>
      <w:r>
        <w:rPr>
          <w:rFonts w:ascii="宋体" w:hAnsi="宋体" w:cs="宋体"/>
          <w:color w:val="000000" w:themeColor="text1"/>
          <w:sz w:val="21"/>
          <w:szCs w:val="21"/>
          <w:highlight w:val="white"/>
          <w:lang w:eastAsia="zh-CN"/>
        </w:rPr>
        <w:t>12</w:t>
      </w:r>
      <w:r>
        <w:rPr>
          <w:rFonts w:ascii="宋体" w:hAnsi="宋体" w:cs="宋体"/>
          <w:color w:val="000000" w:themeColor="text1"/>
          <w:sz w:val="21"/>
          <w:szCs w:val="21"/>
          <w:highlight w:val="white"/>
          <w:lang w:eastAsia="zh-CN"/>
        </w:rPr>
        <w:t>）本基金主动投资于流动性受限资产（含封闭运作基金、定期开放基金等流通受限基金）的市值合计不得超过基金资产净值的</w:t>
      </w:r>
      <w:r>
        <w:rPr>
          <w:rFonts w:ascii="宋体" w:hAnsi="宋体" w:cs="宋体"/>
          <w:color w:val="000000" w:themeColor="text1"/>
          <w:sz w:val="21"/>
          <w:szCs w:val="21"/>
          <w:highlight w:val="white"/>
          <w:lang w:eastAsia="zh-CN"/>
        </w:rPr>
        <w:t>15%</w:t>
      </w:r>
      <w:r>
        <w:rPr>
          <w:rFonts w:ascii="宋体" w:hAnsi="宋体" w:cs="宋体"/>
          <w:color w:val="000000" w:themeColor="text1"/>
          <w:sz w:val="21"/>
          <w:szCs w:val="21"/>
          <w:highlight w:val="white"/>
          <w:lang w:eastAsia="zh-CN"/>
        </w:rPr>
        <w:t>；因证券市场波动、证券停牌、基金规模变动等基金管理人之外的因素致使基金不符合该比例限制的，基金管理人不得主动新增流动性受限资产的投资；</w:t>
      </w:r>
    </w:p>
    <w:p w:rsidR="00F14202">
      <w:pPr>
        <w:spacing w:line="360" w:lineRule="auto"/>
        <w:ind w:firstLine="420"/>
        <w:jc w:val="left"/>
        <w:rPr>
          <w:lang w:eastAsia="zh-CN"/>
        </w:rPr>
      </w:pPr>
      <w:r>
        <w:rPr>
          <w:rFonts w:ascii="宋体" w:hAnsi="宋体" w:cs="宋体"/>
          <w:color w:val="000000" w:themeColor="text1"/>
          <w:sz w:val="21"/>
          <w:szCs w:val="21"/>
          <w:highlight w:val="white"/>
          <w:lang w:eastAsia="zh-CN"/>
        </w:rPr>
        <w:t>13</w:t>
      </w:r>
      <w:r>
        <w:rPr>
          <w:rFonts w:ascii="宋体" w:hAnsi="宋体" w:cs="宋体"/>
          <w:color w:val="000000" w:themeColor="text1"/>
          <w:sz w:val="21"/>
          <w:szCs w:val="21"/>
          <w:highlight w:val="white"/>
          <w:lang w:eastAsia="zh-CN"/>
        </w:rPr>
        <w:t>）本基金与私募类证券资管</w:t>
      </w:r>
      <w:r>
        <w:rPr>
          <w:rFonts w:ascii="宋体" w:hAnsi="宋体" w:cs="宋体"/>
          <w:color w:val="000000" w:themeColor="text1"/>
          <w:sz w:val="21"/>
          <w:szCs w:val="21"/>
          <w:highlight w:val="white"/>
          <w:lang w:eastAsia="zh-CN"/>
        </w:rPr>
        <w:t>产品及中国证监会认定的其他主体为交易对手开展逆回购交易的，可接受质押品的资质要求应当与基金合同约定的投资范围保持一致；</w:t>
      </w:r>
    </w:p>
    <w:p w:rsidR="00F14202">
      <w:pPr>
        <w:spacing w:line="360" w:lineRule="auto"/>
        <w:ind w:firstLine="420"/>
        <w:jc w:val="left"/>
        <w:rPr>
          <w:lang w:eastAsia="zh-CN"/>
        </w:rPr>
      </w:pPr>
      <w:r>
        <w:rPr>
          <w:rFonts w:ascii="宋体" w:hAnsi="宋体" w:cs="宋体"/>
          <w:color w:val="000000" w:themeColor="text1"/>
          <w:sz w:val="21"/>
          <w:szCs w:val="21"/>
          <w:highlight w:val="white"/>
          <w:lang w:eastAsia="zh-CN"/>
        </w:rPr>
        <w:t>14</w:t>
      </w:r>
      <w:r>
        <w:rPr>
          <w:rFonts w:ascii="宋体" w:hAnsi="宋体" w:cs="宋体"/>
          <w:color w:val="000000" w:themeColor="text1"/>
          <w:sz w:val="21"/>
          <w:szCs w:val="21"/>
          <w:highlight w:val="white"/>
          <w:lang w:eastAsia="zh-CN"/>
        </w:rPr>
        <w:t>）本基金资产总值不超过基金资产净值的</w:t>
      </w:r>
      <w:r>
        <w:rPr>
          <w:rFonts w:ascii="宋体" w:hAnsi="宋体" w:cs="宋体"/>
          <w:color w:val="000000" w:themeColor="text1"/>
          <w:sz w:val="21"/>
          <w:szCs w:val="21"/>
          <w:highlight w:val="white"/>
          <w:lang w:eastAsia="zh-CN"/>
        </w:rPr>
        <w:t>140%</w:t>
      </w:r>
      <w:r>
        <w:rPr>
          <w:rFonts w:ascii="宋体" w:hAnsi="宋体" w:cs="宋体"/>
          <w:color w:val="000000" w:themeColor="text1"/>
          <w:sz w:val="21"/>
          <w:szCs w:val="21"/>
          <w:highlight w:val="white"/>
          <w:lang w:eastAsia="zh-CN"/>
        </w:rPr>
        <w:t>；</w:t>
      </w:r>
    </w:p>
    <w:p w:rsidR="00F14202">
      <w:pPr>
        <w:spacing w:line="360" w:lineRule="auto"/>
        <w:ind w:firstLine="420"/>
        <w:jc w:val="left"/>
        <w:rPr>
          <w:lang w:eastAsia="zh-CN"/>
        </w:rPr>
      </w:pPr>
      <w:r>
        <w:rPr>
          <w:rFonts w:ascii="宋体" w:hAnsi="宋体" w:cs="宋体"/>
          <w:color w:val="000000" w:themeColor="text1"/>
          <w:sz w:val="21"/>
          <w:szCs w:val="21"/>
          <w:highlight w:val="white"/>
          <w:lang w:eastAsia="zh-CN"/>
        </w:rPr>
        <w:t>15</w:t>
      </w:r>
      <w:r>
        <w:rPr>
          <w:rFonts w:ascii="宋体" w:hAnsi="宋体" w:cs="宋体"/>
          <w:color w:val="000000" w:themeColor="text1"/>
          <w:sz w:val="21"/>
          <w:szCs w:val="21"/>
          <w:highlight w:val="white"/>
          <w:lang w:eastAsia="zh-CN"/>
        </w:rPr>
        <w:t>）本基金参与国债期货交易，应当遵守下列要求：在任何交易日日终，本基金持有的买入国债期货合约价值，不得超过基金资产净值的</w:t>
      </w:r>
      <w:r>
        <w:rPr>
          <w:rFonts w:ascii="宋体" w:hAnsi="宋体" w:cs="宋体"/>
          <w:color w:val="000000" w:themeColor="text1"/>
          <w:sz w:val="21"/>
          <w:szCs w:val="21"/>
          <w:highlight w:val="white"/>
          <w:lang w:eastAsia="zh-CN"/>
        </w:rPr>
        <w:t>15%</w:t>
      </w:r>
      <w:r>
        <w:rPr>
          <w:rFonts w:ascii="宋体" w:hAnsi="宋体" w:cs="宋体"/>
          <w:color w:val="000000" w:themeColor="text1"/>
          <w:sz w:val="21"/>
          <w:szCs w:val="21"/>
          <w:highlight w:val="white"/>
          <w:lang w:eastAsia="zh-CN"/>
        </w:rPr>
        <w:t>；本基金在任何交易日日终，持有的卖出国债期货合约价值不得超过基金持有的债券总市值的</w:t>
      </w:r>
      <w:r>
        <w:rPr>
          <w:rFonts w:ascii="宋体" w:hAnsi="宋体" w:cs="宋体"/>
          <w:color w:val="000000" w:themeColor="text1"/>
          <w:sz w:val="21"/>
          <w:szCs w:val="21"/>
          <w:highlight w:val="white"/>
          <w:lang w:eastAsia="zh-CN"/>
        </w:rPr>
        <w:t>30%</w:t>
      </w:r>
      <w:r>
        <w:rPr>
          <w:rFonts w:ascii="宋体" w:hAnsi="宋体" w:cs="宋体"/>
          <w:color w:val="000000" w:themeColor="text1"/>
          <w:sz w:val="21"/>
          <w:szCs w:val="21"/>
          <w:highlight w:val="white"/>
          <w:lang w:eastAsia="zh-CN"/>
        </w:rPr>
        <w:t>；本基金在任何交易日内交易（不包括平仓）的国债期货合约的成交金额不得超过上一交易日基金资产净值的</w:t>
      </w:r>
      <w:r>
        <w:rPr>
          <w:rFonts w:ascii="宋体" w:hAnsi="宋体" w:cs="宋体"/>
          <w:color w:val="000000" w:themeColor="text1"/>
          <w:sz w:val="21"/>
          <w:szCs w:val="21"/>
          <w:highlight w:val="white"/>
          <w:lang w:eastAsia="zh-CN"/>
        </w:rPr>
        <w:t>30%</w:t>
      </w:r>
      <w:r>
        <w:rPr>
          <w:rFonts w:ascii="宋体" w:hAnsi="宋体" w:cs="宋体"/>
          <w:color w:val="000000" w:themeColor="text1"/>
          <w:sz w:val="21"/>
          <w:szCs w:val="21"/>
          <w:highlight w:val="white"/>
          <w:lang w:eastAsia="zh-CN"/>
        </w:rPr>
        <w:t>；本基金所持有的债券（</w:t>
      </w:r>
      <w:r>
        <w:rPr>
          <w:rFonts w:ascii="宋体" w:hAnsi="宋体" w:cs="宋体"/>
          <w:color w:val="000000" w:themeColor="text1"/>
          <w:sz w:val="21"/>
          <w:szCs w:val="21"/>
          <w:highlight w:val="white"/>
          <w:lang w:eastAsia="zh-CN"/>
        </w:rPr>
        <w:t>不含到期日在一年以内的政府债券）市值和买入、卖出国债期货合约价值，合计（轧差计算）应当符合基金合同关于债券投资比例的有关约定；每个交易日日终，扣除国债期货合约需缴纳的交易保</w:t>
      </w:r>
      <w:r>
        <w:rPr>
          <w:color w:val="000000" w:themeColor="text1"/>
          <w:sz w:val="21"/>
          <w:szCs w:val="21"/>
          <w:highlight w:val="white"/>
          <w:lang w:eastAsia="zh-CN"/>
        </w:rPr>
        <w:t>证金后，保持不低于基金资产净值</w:t>
      </w:r>
      <w:r>
        <w:rPr>
          <w:rFonts w:ascii="宋体" w:hAnsi="宋体" w:cs="宋体"/>
          <w:color w:val="000000" w:themeColor="text1"/>
          <w:sz w:val="21"/>
          <w:szCs w:val="21"/>
          <w:highlight w:val="white"/>
          <w:lang w:eastAsia="zh-CN"/>
        </w:rPr>
        <w:t>5</w:t>
      </w:r>
      <w:r>
        <w:rPr>
          <w:color w:val="000000" w:themeColor="text1"/>
          <w:sz w:val="21"/>
          <w:szCs w:val="21"/>
          <w:highlight w:val="white"/>
          <w:lang w:eastAsia="zh-CN"/>
        </w:rPr>
        <w:t>％的现金或者到期日在一年以内的政府债券，其中现金不包括结算备付金、存出保证金和应收申购款等；</w:t>
      </w:r>
    </w:p>
    <w:p w:rsidR="00F14202">
      <w:pPr>
        <w:spacing w:line="360" w:lineRule="auto"/>
        <w:ind w:firstLine="420"/>
        <w:jc w:val="left"/>
        <w:rPr>
          <w:lang w:eastAsia="zh-CN"/>
        </w:rPr>
      </w:pPr>
      <w:r>
        <w:rPr>
          <w:rFonts w:ascii="宋体" w:hAnsi="宋体" w:cs="宋体"/>
          <w:color w:val="000000" w:themeColor="text1"/>
          <w:sz w:val="21"/>
          <w:szCs w:val="21"/>
          <w:highlight w:val="white"/>
          <w:lang w:eastAsia="zh-CN"/>
        </w:rPr>
        <w:t>16</w:t>
      </w:r>
      <w:r>
        <w:rPr>
          <w:rFonts w:ascii="宋体" w:hAnsi="宋体" w:cs="宋体"/>
          <w:color w:val="000000" w:themeColor="text1"/>
          <w:sz w:val="21"/>
          <w:szCs w:val="21"/>
          <w:highlight w:val="white"/>
          <w:lang w:eastAsia="zh-CN"/>
        </w:rPr>
        <w:t>）本基金投资存托凭证的比例限制依照境内上市交易的股票执行，与境内上市交易的股票合并计算；</w:t>
      </w:r>
    </w:p>
    <w:p w:rsidR="00F14202">
      <w:pPr>
        <w:spacing w:line="360" w:lineRule="auto"/>
        <w:ind w:firstLine="420"/>
        <w:jc w:val="left"/>
        <w:rPr>
          <w:lang w:eastAsia="zh-CN"/>
        </w:rPr>
      </w:pPr>
      <w:r>
        <w:rPr>
          <w:rFonts w:ascii="宋体" w:hAnsi="宋体" w:cs="宋体"/>
          <w:color w:val="000000" w:themeColor="text1"/>
          <w:sz w:val="21"/>
          <w:szCs w:val="21"/>
          <w:highlight w:val="white"/>
          <w:lang w:eastAsia="zh-CN"/>
        </w:rPr>
        <w:t>17</w:t>
      </w:r>
      <w:r>
        <w:rPr>
          <w:rFonts w:ascii="宋体" w:hAnsi="宋体" w:cs="宋体"/>
          <w:color w:val="000000" w:themeColor="text1"/>
          <w:sz w:val="21"/>
          <w:szCs w:val="21"/>
          <w:highlight w:val="white"/>
          <w:lang w:eastAsia="zh-CN"/>
        </w:rPr>
        <w:t>）本基金不得持有信用保护卖方属性的信用衍生品，不持有合约类信用衍生品，持有的信用衍生品的名义本金不得超过本基金对应受</w:t>
      </w:r>
      <w:r>
        <w:rPr>
          <w:rFonts w:ascii="宋体" w:hAnsi="宋体" w:cs="宋体"/>
          <w:color w:val="000000" w:themeColor="text1"/>
          <w:sz w:val="21"/>
          <w:szCs w:val="21"/>
          <w:highlight w:val="white"/>
          <w:lang w:eastAsia="zh-CN"/>
        </w:rPr>
        <w:t>保护债券面值的</w:t>
      </w:r>
      <w:r>
        <w:rPr>
          <w:rFonts w:ascii="宋体" w:hAnsi="宋体" w:cs="宋体"/>
          <w:color w:val="000000" w:themeColor="text1"/>
          <w:sz w:val="21"/>
          <w:szCs w:val="21"/>
          <w:highlight w:val="white"/>
          <w:lang w:eastAsia="zh-CN"/>
        </w:rPr>
        <w:t>100%</w:t>
      </w:r>
      <w:r>
        <w:rPr>
          <w:rFonts w:ascii="宋体" w:hAnsi="宋体" w:cs="宋体"/>
          <w:color w:val="000000" w:themeColor="text1"/>
          <w:sz w:val="21"/>
          <w:szCs w:val="21"/>
          <w:highlight w:val="white"/>
          <w:lang w:eastAsia="zh-CN"/>
        </w:rPr>
        <w:t>；本基金投资于同一信用保护卖方的各类信用衍生品的名义本金合计不得超过基金资产净值的</w:t>
      </w:r>
      <w:r>
        <w:rPr>
          <w:rFonts w:ascii="宋体" w:hAnsi="宋体" w:cs="宋体"/>
          <w:color w:val="000000" w:themeColor="text1"/>
          <w:sz w:val="21"/>
          <w:szCs w:val="21"/>
          <w:highlight w:val="white"/>
          <w:lang w:eastAsia="zh-CN"/>
        </w:rPr>
        <w:t>10%</w:t>
      </w:r>
      <w:r>
        <w:rPr>
          <w:rFonts w:ascii="宋体" w:hAnsi="宋体" w:cs="宋体"/>
          <w:color w:val="000000" w:themeColor="text1"/>
          <w:sz w:val="21"/>
          <w:szCs w:val="21"/>
          <w:highlight w:val="white"/>
          <w:lang w:eastAsia="zh-CN"/>
        </w:rPr>
        <w:t>，因证券、期货市场波动、证券发行人合并、基金规模变动等基金管理人之外的因素致使基金不符合前述所规定比例限制的，基金管理人应在</w:t>
      </w:r>
      <w:r>
        <w:rPr>
          <w:rFonts w:ascii="宋体" w:hAnsi="宋体" w:cs="宋体"/>
          <w:color w:val="000000" w:themeColor="text1"/>
          <w:sz w:val="21"/>
          <w:szCs w:val="21"/>
          <w:highlight w:val="white"/>
          <w:lang w:eastAsia="zh-CN"/>
        </w:rPr>
        <w:t>3</w:t>
      </w:r>
      <w:r>
        <w:rPr>
          <w:rFonts w:ascii="宋体" w:hAnsi="宋体" w:cs="宋体"/>
          <w:color w:val="000000" w:themeColor="text1"/>
          <w:sz w:val="21"/>
          <w:szCs w:val="21"/>
          <w:highlight w:val="white"/>
          <w:lang w:eastAsia="zh-CN"/>
        </w:rPr>
        <w:t>个月之内进行调整；</w:t>
      </w:r>
    </w:p>
    <w:p w:rsidR="00F14202">
      <w:pPr>
        <w:spacing w:line="360" w:lineRule="auto"/>
        <w:ind w:firstLine="420"/>
        <w:jc w:val="left"/>
      </w:pPr>
      <w:r>
        <w:rPr>
          <w:rFonts w:ascii="宋体" w:hAnsi="宋体" w:cs="宋体"/>
          <w:color w:val="000000" w:themeColor="text1"/>
          <w:sz w:val="21"/>
          <w:szCs w:val="21"/>
          <w:highlight w:val="white"/>
        </w:rPr>
        <w:t>18</w:t>
      </w:r>
      <w:r>
        <w:rPr>
          <w:rFonts w:ascii="宋体" w:hAnsi="宋体" w:cs="宋体"/>
          <w:color w:val="000000" w:themeColor="text1"/>
          <w:sz w:val="21"/>
          <w:szCs w:val="21"/>
          <w:highlight w:val="white"/>
        </w:rPr>
        <w:t>）本基金不得持有基金中基金；</w:t>
      </w:r>
    </w:p>
    <w:p w:rsidR="00F14202">
      <w:pPr>
        <w:spacing w:line="360" w:lineRule="auto"/>
        <w:ind w:firstLine="420"/>
        <w:jc w:val="left"/>
        <w:rPr>
          <w:lang w:eastAsia="zh-CN"/>
        </w:rPr>
      </w:pPr>
      <w:r>
        <w:rPr>
          <w:rFonts w:ascii="宋体" w:hAnsi="宋体" w:cs="宋体"/>
          <w:color w:val="000000" w:themeColor="text1"/>
          <w:sz w:val="21"/>
          <w:szCs w:val="21"/>
          <w:highlight w:val="white"/>
          <w:lang w:eastAsia="zh-CN"/>
        </w:rPr>
        <w:t>19</w:t>
      </w:r>
      <w:r>
        <w:rPr>
          <w:rFonts w:ascii="宋体" w:hAnsi="宋体" w:cs="宋体"/>
          <w:color w:val="000000" w:themeColor="text1"/>
          <w:sz w:val="21"/>
          <w:szCs w:val="21"/>
          <w:highlight w:val="white"/>
          <w:lang w:eastAsia="zh-CN"/>
        </w:rPr>
        <w:t>）本基金管理人管理</w:t>
      </w:r>
      <w:r>
        <w:rPr>
          <w:color w:val="000000" w:themeColor="text1"/>
          <w:sz w:val="21"/>
          <w:szCs w:val="21"/>
          <w:highlight w:val="white"/>
          <w:lang w:eastAsia="zh-CN"/>
        </w:rPr>
        <w:t>且由本基金托管人托管的全部基金（</w:t>
      </w:r>
      <w:r>
        <w:rPr>
          <w:rFonts w:ascii="宋体" w:hAnsi="宋体" w:cs="宋体"/>
          <w:color w:val="000000" w:themeColor="text1"/>
          <w:sz w:val="21"/>
          <w:szCs w:val="21"/>
          <w:highlight w:val="white"/>
          <w:lang w:eastAsia="zh-CN"/>
        </w:rPr>
        <w:t>ETF</w:t>
      </w:r>
      <w:r>
        <w:rPr>
          <w:color w:val="000000" w:themeColor="text1"/>
          <w:sz w:val="21"/>
          <w:szCs w:val="21"/>
          <w:highlight w:val="white"/>
          <w:lang w:eastAsia="zh-CN"/>
        </w:rPr>
        <w:t>联接基金除外）持有单只基金不得超过被投资基金净资产的</w:t>
      </w:r>
      <w:r>
        <w:rPr>
          <w:rFonts w:ascii="宋体" w:hAnsi="宋体" w:cs="宋体"/>
          <w:color w:val="000000" w:themeColor="text1"/>
          <w:sz w:val="21"/>
          <w:szCs w:val="21"/>
          <w:highlight w:val="white"/>
          <w:lang w:eastAsia="zh-CN"/>
        </w:rPr>
        <w:t>20%</w:t>
      </w:r>
      <w:r>
        <w:rPr>
          <w:color w:val="000000" w:themeColor="text1"/>
          <w:sz w:val="21"/>
          <w:szCs w:val="21"/>
          <w:highlight w:val="white"/>
          <w:lang w:eastAsia="zh-CN"/>
        </w:rPr>
        <w:t>，被投资基金净资产规模以最近定期报告披露的规模为准；</w:t>
      </w:r>
    </w:p>
    <w:p w:rsidR="00F14202">
      <w:pPr>
        <w:spacing w:line="360" w:lineRule="auto"/>
        <w:ind w:firstLine="420"/>
        <w:jc w:val="left"/>
        <w:rPr>
          <w:lang w:eastAsia="zh-CN"/>
        </w:rPr>
      </w:pPr>
      <w:r>
        <w:rPr>
          <w:rFonts w:ascii="宋体" w:hAnsi="宋体" w:cs="宋体"/>
          <w:color w:val="000000" w:themeColor="text1"/>
          <w:sz w:val="21"/>
          <w:szCs w:val="21"/>
          <w:highlight w:val="white"/>
          <w:lang w:eastAsia="zh-CN"/>
        </w:rPr>
        <w:t>20</w:t>
      </w:r>
      <w:r>
        <w:rPr>
          <w:rFonts w:ascii="宋体" w:hAnsi="宋体" w:cs="宋体"/>
          <w:color w:val="000000" w:themeColor="text1"/>
          <w:sz w:val="21"/>
          <w:szCs w:val="21"/>
          <w:highlight w:val="white"/>
          <w:lang w:eastAsia="zh-CN"/>
        </w:rPr>
        <w:t>）本基金不得持有分级基金；</w:t>
      </w:r>
    </w:p>
    <w:p w:rsidR="00F14202">
      <w:pPr>
        <w:spacing w:line="360" w:lineRule="auto"/>
        <w:ind w:firstLine="420"/>
        <w:jc w:val="left"/>
        <w:rPr>
          <w:lang w:eastAsia="zh-CN"/>
        </w:rPr>
      </w:pPr>
      <w:r>
        <w:rPr>
          <w:rFonts w:ascii="宋体" w:hAnsi="宋体" w:cs="宋体"/>
          <w:color w:val="000000" w:themeColor="text1"/>
          <w:sz w:val="21"/>
          <w:szCs w:val="21"/>
          <w:highlight w:val="white"/>
          <w:lang w:eastAsia="zh-CN"/>
        </w:rPr>
        <w:t>21</w:t>
      </w:r>
      <w:r>
        <w:rPr>
          <w:rFonts w:ascii="宋体" w:hAnsi="宋体" w:cs="宋体"/>
          <w:color w:val="000000" w:themeColor="text1"/>
          <w:sz w:val="21"/>
          <w:szCs w:val="21"/>
          <w:highlight w:val="white"/>
          <w:lang w:eastAsia="zh-CN"/>
        </w:rPr>
        <w:t>）本基金所投资基金的运作期限不得少于</w:t>
      </w:r>
      <w:r>
        <w:rPr>
          <w:rFonts w:ascii="宋体" w:hAnsi="宋体" w:cs="宋体"/>
          <w:color w:val="000000" w:themeColor="text1"/>
          <w:sz w:val="21"/>
          <w:szCs w:val="21"/>
          <w:highlight w:val="white"/>
          <w:lang w:eastAsia="zh-CN"/>
        </w:rPr>
        <w:t>1</w:t>
      </w:r>
      <w:r>
        <w:rPr>
          <w:rFonts w:ascii="宋体" w:hAnsi="宋体" w:cs="宋体"/>
          <w:color w:val="000000" w:themeColor="text1"/>
          <w:sz w:val="21"/>
          <w:szCs w:val="21"/>
          <w:highlight w:val="white"/>
          <w:lang w:eastAsia="zh-CN"/>
        </w:rPr>
        <w:t>年、最近定期报告披露的基金净资产应当不低于</w:t>
      </w:r>
      <w:r>
        <w:rPr>
          <w:rFonts w:ascii="宋体" w:hAnsi="宋体" w:cs="宋体"/>
          <w:color w:val="000000" w:themeColor="text1"/>
          <w:sz w:val="21"/>
          <w:szCs w:val="21"/>
          <w:highlight w:val="white"/>
          <w:lang w:eastAsia="zh-CN"/>
        </w:rPr>
        <w:t>1</w:t>
      </w:r>
      <w:r>
        <w:rPr>
          <w:rFonts w:ascii="宋体" w:hAnsi="宋体" w:cs="宋体"/>
          <w:color w:val="000000" w:themeColor="text1"/>
          <w:sz w:val="21"/>
          <w:szCs w:val="21"/>
          <w:highlight w:val="white"/>
          <w:lang w:eastAsia="zh-CN"/>
        </w:rPr>
        <w:t>亿元；</w:t>
      </w:r>
    </w:p>
    <w:p w:rsidR="00F14202">
      <w:pPr>
        <w:spacing w:line="360" w:lineRule="auto"/>
        <w:ind w:firstLine="420"/>
        <w:jc w:val="left"/>
        <w:rPr>
          <w:lang w:eastAsia="zh-CN"/>
        </w:rPr>
      </w:pPr>
      <w:r>
        <w:rPr>
          <w:rFonts w:ascii="宋体" w:hAnsi="宋体" w:cs="宋体"/>
          <w:color w:val="000000" w:themeColor="text1"/>
          <w:sz w:val="21"/>
          <w:szCs w:val="21"/>
          <w:highlight w:val="white"/>
          <w:lang w:eastAsia="zh-CN"/>
        </w:rPr>
        <w:t>22</w:t>
      </w:r>
      <w:r>
        <w:rPr>
          <w:rFonts w:ascii="宋体" w:hAnsi="宋体" w:cs="宋体"/>
          <w:color w:val="000000" w:themeColor="text1"/>
          <w:sz w:val="21"/>
          <w:szCs w:val="21"/>
          <w:highlight w:val="white"/>
          <w:lang w:eastAsia="zh-CN"/>
        </w:rPr>
        <w:t>）法律法规及中国证监会规定的和《基金合同》约定的其他投资限制。</w:t>
      </w:r>
    </w:p>
    <w:p w:rsidR="00F14202">
      <w:pPr>
        <w:spacing w:line="360" w:lineRule="auto"/>
        <w:ind w:firstLine="420"/>
        <w:jc w:val="left"/>
        <w:rPr>
          <w:lang w:eastAsia="zh-CN"/>
        </w:rPr>
      </w:pPr>
      <w:r>
        <w:rPr>
          <w:color w:val="000000" w:themeColor="text1"/>
          <w:sz w:val="21"/>
          <w:szCs w:val="21"/>
          <w:highlight w:val="white"/>
          <w:lang w:eastAsia="zh-CN"/>
        </w:rPr>
        <w:t>除上述</w:t>
      </w:r>
      <w:r>
        <w:rPr>
          <w:rFonts w:ascii="宋体" w:hAnsi="宋体" w:cs="宋体"/>
          <w:color w:val="000000" w:themeColor="text1"/>
          <w:sz w:val="21"/>
          <w:szCs w:val="21"/>
          <w:highlight w:val="white"/>
          <w:lang w:eastAsia="zh-CN"/>
        </w:rPr>
        <w:t>3</w:t>
      </w:r>
      <w:r>
        <w:rPr>
          <w:color w:val="000000" w:themeColor="text1"/>
          <w:sz w:val="21"/>
          <w:szCs w:val="21"/>
          <w:highlight w:val="white"/>
          <w:lang w:eastAsia="zh-CN"/>
        </w:rPr>
        <w:t>）、</w:t>
      </w:r>
      <w:r>
        <w:rPr>
          <w:rFonts w:ascii="宋体" w:hAnsi="宋体" w:cs="宋体"/>
          <w:color w:val="000000" w:themeColor="text1"/>
          <w:sz w:val="21"/>
          <w:szCs w:val="21"/>
          <w:highlight w:val="white"/>
          <w:lang w:eastAsia="zh-CN"/>
        </w:rPr>
        <w:t>10</w:t>
      </w:r>
      <w:r>
        <w:rPr>
          <w:color w:val="000000" w:themeColor="text1"/>
          <w:sz w:val="21"/>
          <w:szCs w:val="21"/>
          <w:highlight w:val="white"/>
          <w:lang w:eastAsia="zh-CN"/>
        </w:rPr>
        <w:t>）、</w:t>
      </w:r>
      <w:r>
        <w:rPr>
          <w:rFonts w:ascii="宋体" w:hAnsi="宋体" w:cs="宋体"/>
          <w:color w:val="000000" w:themeColor="text1"/>
          <w:sz w:val="21"/>
          <w:szCs w:val="21"/>
          <w:highlight w:val="white"/>
          <w:lang w:eastAsia="zh-CN"/>
        </w:rPr>
        <w:t>12</w:t>
      </w:r>
      <w:r>
        <w:rPr>
          <w:color w:val="000000" w:themeColor="text1"/>
          <w:sz w:val="21"/>
          <w:szCs w:val="21"/>
          <w:highlight w:val="white"/>
          <w:lang w:eastAsia="zh-CN"/>
        </w:rPr>
        <w:t>）、</w:t>
      </w:r>
      <w:r>
        <w:rPr>
          <w:rFonts w:ascii="宋体" w:hAnsi="宋体" w:cs="宋体"/>
          <w:color w:val="000000" w:themeColor="text1"/>
          <w:sz w:val="21"/>
          <w:szCs w:val="21"/>
          <w:highlight w:val="white"/>
          <w:lang w:eastAsia="zh-CN"/>
        </w:rPr>
        <w:t>13</w:t>
      </w:r>
      <w:r>
        <w:rPr>
          <w:color w:val="000000" w:themeColor="text1"/>
          <w:sz w:val="21"/>
          <w:szCs w:val="21"/>
          <w:highlight w:val="white"/>
          <w:lang w:eastAsia="zh-CN"/>
        </w:rPr>
        <w:t>）、</w:t>
      </w:r>
      <w:r>
        <w:rPr>
          <w:rFonts w:ascii="宋体" w:hAnsi="宋体" w:cs="宋体"/>
          <w:color w:val="000000" w:themeColor="text1"/>
          <w:sz w:val="21"/>
          <w:szCs w:val="21"/>
          <w:highlight w:val="white"/>
          <w:lang w:eastAsia="zh-CN"/>
        </w:rPr>
        <w:t>17</w:t>
      </w:r>
      <w:r>
        <w:rPr>
          <w:color w:val="000000" w:themeColor="text1"/>
          <w:sz w:val="21"/>
          <w:szCs w:val="21"/>
          <w:highlight w:val="white"/>
          <w:lang w:eastAsia="zh-CN"/>
        </w:rPr>
        <w:t>）、</w:t>
      </w:r>
      <w:r>
        <w:rPr>
          <w:rFonts w:ascii="宋体" w:hAnsi="宋体" w:cs="宋体"/>
          <w:color w:val="000000" w:themeColor="text1"/>
          <w:sz w:val="21"/>
          <w:szCs w:val="21"/>
          <w:highlight w:val="white"/>
          <w:lang w:eastAsia="zh-CN"/>
        </w:rPr>
        <w:t>19</w:t>
      </w:r>
      <w:r>
        <w:rPr>
          <w:color w:val="000000" w:themeColor="text1"/>
          <w:sz w:val="21"/>
          <w:szCs w:val="21"/>
          <w:highlight w:val="white"/>
          <w:lang w:eastAsia="zh-CN"/>
        </w:rPr>
        <w:t>）情形之外，因证券</w:t>
      </w:r>
      <w:r>
        <w:rPr>
          <w:rFonts w:ascii="宋体" w:hAnsi="宋体" w:cs="宋体"/>
          <w:color w:val="000000" w:themeColor="text1"/>
          <w:sz w:val="21"/>
          <w:szCs w:val="21"/>
          <w:highlight w:val="white"/>
          <w:lang w:eastAsia="zh-CN"/>
        </w:rPr>
        <w:t>/</w:t>
      </w:r>
      <w:r>
        <w:rPr>
          <w:color w:val="000000" w:themeColor="text1"/>
          <w:sz w:val="21"/>
          <w:szCs w:val="21"/>
          <w:highlight w:val="white"/>
          <w:lang w:eastAsia="zh-CN"/>
        </w:rPr>
        <w:t>期货市场波动、证券发行人合并、基金规模变动等基金管理人之外的因素致使基金投资比例不符合上述规定投资比例的，基金管理人应当在被投资证券或基金的可交易日或可赎回之日起</w:t>
      </w:r>
      <w:r>
        <w:rPr>
          <w:rFonts w:ascii="宋体" w:hAnsi="宋体" w:cs="宋体"/>
          <w:color w:val="000000" w:themeColor="text1"/>
          <w:sz w:val="21"/>
          <w:szCs w:val="21"/>
          <w:highlight w:val="white"/>
          <w:lang w:eastAsia="zh-CN"/>
        </w:rPr>
        <w:t>10</w:t>
      </w:r>
      <w:r>
        <w:rPr>
          <w:color w:val="000000" w:themeColor="text1"/>
          <w:sz w:val="21"/>
          <w:szCs w:val="21"/>
          <w:highlight w:val="white"/>
          <w:lang w:eastAsia="zh-CN"/>
        </w:rPr>
        <w:t>个交易日内进行调整，因证券</w:t>
      </w:r>
      <w:r>
        <w:rPr>
          <w:rFonts w:ascii="宋体" w:hAnsi="宋体" w:cs="宋体"/>
          <w:color w:val="000000" w:themeColor="text1"/>
          <w:sz w:val="21"/>
          <w:szCs w:val="21"/>
          <w:highlight w:val="white"/>
          <w:lang w:eastAsia="zh-CN"/>
        </w:rPr>
        <w:t>/</w:t>
      </w:r>
      <w:r>
        <w:rPr>
          <w:color w:val="000000" w:themeColor="text1"/>
          <w:sz w:val="21"/>
          <w:szCs w:val="21"/>
          <w:highlight w:val="white"/>
          <w:lang w:eastAsia="zh-CN"/>
        </w:rPr>
        <w:t>期货市场波动、基金规模变动等基金管理人之外的因素致使基金投资比例不符合上述</w:t>
      </w:r>
      <w:r>
        <w:rPr>
          <w:rFonts w:ascii="宋体" w:hAnsi="宋体" w:cs="宋体"/>
          <w:color w:val="000000" w:themeColor="text1"/>
          <w:sz w:val="21"/>
          <w:szCs w:val="21"/>
          <w:highlight w:val="white"/>
          <w:lang w:eastAsia="zh-CN"/>
        </w:rPr>
        <w:t>19</w:t>
      </w:r>
      <w:r>
        <w:rPr>
          <w:color w:val="000000" w:themeColor="text1"/>
          <w:sz w:val="21"/>
          <w:szCs w:val="21"/>
          <w:highlight w:val="white"/>
          <w:lang w:eastAsia="zh-CN"/>
        </w:rPr>
        <w:t>）项情形的</w:t>
      </w:r>
      <w:r>
        <w:rPr>
          <w:color w:val="000000" w:themeColor="text1"/>
          <w:sz w:val="21"/>
          <w:szCs w:val="21"/>
          <w:highlight w:val="white"/>
          <w:lang w:eastAsia="zh-CN"/>
        </w:rPr>
        <w:t>，基金管理人应当在被投资基金可交易日或可赎回之日起</w:t>
      </w:r>
      <w:r>
        <w:rPr>
          <w:rFonts w:ascii="宋体" w:hAnsi="宋体" w:cs="宋体"/>
          <w:color w:val="000000" w:themeColor="text1"/>
          <w:sz w:val="21"/>
          <w:szCs w:val="21"/>
          <w:highlight w:val="white"/>
          <w:lang w:eastAsia="zh-CN"/>
        </w:rPr>
        <w:t>20</w:t>
      </w:r>
      <w:r>
        <w:rPr>
          <w:color w:val="000000" w:themeColor="text1"/>
          <w:sz w:val="21"/>
          <w:szCs w:val="21"/>
          <w:highlight w:val="white"/>
          <w:lang w:eastAsia="zh-CN"/>
        </w:rPr>
        <w:t>个交易日内进行调整，但中国证监会规定的特殊情形除外。法律法规或监管部门另有规定的，届时按最新规定执行。</w:t>
      </w:r>
    </w:p>
    <w:p w:rsidR="00F14202">
      <w:pPr>
        <w:spacing w:line="360" w:lineRule="auto"/>
        <w:ind w:firstLine="420"/>
        <w:jc w:val="left"/>
        <w:rPr>
          <w:lang w:eastAsia="zh-CN"/>
        </w:rPr>
      </w:pPr>
      <w:r>
        <w:rPr>
          <w:color w:val="000000" w:themeColor="text1"/>
          <w:sz w:val="21"/>
          <w:szCs w:val="21"/>
          <w:highlight w:val="white"/>
          <w:lang w:eastAsia="zh-CN"/>
        </w:rPr>
        <w:t>基金管理人应当自基金合同生效之日起</w:t>
      </w:r>
      <w:r>
        <w:rPr>
          <w:rFonts w:ascii="宋体" w:hAnsi="宋体" w:cs="宋体"/>
          <w:color w:val="000000" w:themeColor="text1"/>
          <w:sz w:val="21"/>
          <w:szCs w:val="21"/>
          <w:highlight w:val="white"/>
          <w:lang w:eastAsia="zh-CN"/>
        </w:rPr>
        <w:t>6</w:t>
      </w:r>
      <w:r>
        <w:rPr>
          <w:color w:val="000000" w:themeColor="text1"/>
          <w:sz w:val="21"/>
          <w:szCs w:val="21"/>
          <w:highlight w:val="white"/>
          <w:lang w:eastAsia="zh-CN"/>
        </w:rPr>
        <w:t>个月内使基金的投资组合比例符合基金合同的有关约定。在上述期间内，本基金的投资范围应当符合基金合同的约定。基金托管人对基金的投资的监督与检查自基金合同生效之日起开始。</w:t>
      </w:r>
      <w:r>
        <w:rPr>
          <w:rFonts w:ascii="宋体" w:hAnsi="宋体" w:cs="宋体"/>
          <w:color w:val="000000" w:themeColor="text1"/>
          <w:sz w:val="21"/>
          <w:szCs w:val="21"/>
          <w:highlight w:val="white"/>
          <w:lang w:eastAsia="zh-CN"/>
        </w:rPr>
        <w:t xml:space="preserve"> </w:t>
      </w:r>
    </w:p>
    <w:p w:rsidR="00F14202">
      <w:pPr>
        <w:spacing w:line="360" w:lineRule="auto"/>
        <w:ind w:firstLine="420"/>
        <w:jc w:val="left"/>
        <w:rPr>
          <w:color w:val="000000"/>
          <w:sz w:val="21"/>
          <w:szCs w:val="21"/>
          <w:lang w:eastAsia="zh-CN"/>
        </w:rPr>
      </w:pPr>
      <w:r>
        <w:rPr>
          <w:rFonts w:ascii="宋体" w:hAnsi="宋体" w:cs="宋体"/>
          <w:color w:val="000000" w:themeColor="text1"/>
          <w:sz w:val="21"/>
          <w:szCs w:val="21"/>
          <w:highlight w:val="white"/>
          <w:lang w:eastAsia="zh-CN"/>
        </w:rPr>
        <w:t>3</w:t>
      </w:r>
      <w:r>
        <w:rPr>
          <w:rFonts w:hint="eastAsia"/>
          <w:color w:val="000000" w:themeColor="text1"/>
          <w:sz w:val="21"/>
          <w:szCs w:val="21"/>
          <w:highlight w:val="white"/>
          <w:lang w:eastAsia="zh-CN"/>
        </w:rPr>
        <w:t>、</w:t>
      </w:r>
      <w:r>
        <w:rPr>
          <w:rFonts w:ascii="宋体" w:hAnsi="宋体" w:cs="宋体"/>
          <w:color w:val="000000" w:themeColor="text1"/>
          <w:sz w:val="21"/>
          <w:szCs w:val="21"/>
          <w:highlight w:val="white"/>
          <w:lang w:eastAsia="zh-CN"/>
        </w:rPr>
        <w:t xml:space="preserve"> </w:t>
      </w:r>
      <w:r>
        <w:rPr>
          <w:rFonts w:hint="eastAsia"/>
          <w:color w:val="000000" w:themeColor="text1"/>
          <w:sz w:val="21"/>
          <w:szCs w:val="21"/>
          <w:highlight w:val="white"/>
          <w:lang w:eastAsia="zh-CN"/>
        </w:rPr>
        <w:t>基金托管人根据有关法律法规的规定及《基金合同》的约定对下述基金投资禁止行为通过事后监督方式进行监督：</w:t>
      </w:r>
    </w:p>
    <w:p w:rsidR="00F14202">
      <w:pPr>
        <w:spacing w:line="360" w:lineRule="auto"/>
        <w:ind w:firstLine="420"/>
        <w:jc w:val="left"/>
        <w:rPr>
          <w:color w:val="000000"/>
          <w:sz w:val="21"/>
          <w:szCs w:val="21"/>
          <w:lang w:eastAsia="zh-CN"/>
        </w:rPr>
      </w:pPr>
      <w:r>
        <w:rPr>
          <w:rFonts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1</w:t>
      </w:r>
      <w:r>
        <w:rPr>
          <w:rFonts w:hint="eastAsia"/>
          <w:color w:val="000000" w:themeColor="text1"/>
          <w:sz w:val="21"/>
          <w:szCs w:val="21"/>
          <w:highlight w:val="white"/>
          <w:lang w:eastAsia="zh-CN"/>
        </w:rPr>
        <w:t>）承销证券；</w:t>
      </w:r>
    </w:p>
    <w:p w:rsidR="00F14202">
      <w:pPr>
        <w:spacing w:line="360" w:lineRule="auto"/>
        <w:ind w:firstLine="420"/>
        <w:jc w:val="left"/>
        <w:rPr>
          <w:color w:val="000000"/>
          <w:sz w:val="21"/>
          <w:szCs w:val="21"/>
          <w:lang w:eastAsia="zh-CN"/>
        </w:rPr>
      </w:pPr>
      <w:r>
        <w:rPr>
          <w:rFonts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2</w:t>
      </w:r>
      <w:r>
        <w:rPr>
          <w:rFonts w:hint="eastAsia"/>
          <w:color w:val="000000" w:themeColor="text1"/>
          <w:sz w:val="21"/>
          <w:szCs w:val="21"/>
          <w:highlight w:val="white"/>
          <w:lang w:eastAsia="zh-CN"/>
        </w:rPr>
        <w:t>）违反规定向他人贷款</w:t>
      </w:r>
      <w:r>
        <w:rPr>
          <w:rFonts w:hint="eastAsia"/>
          <w:color w:val="000000" w:themeColor="text1"/>
          <w:sz w:val="21"/>
          <w:szCs w:val="21"/>
          <w:highlight w:val="white"/>
          <w:lang w:eastAsia="zh-CN"/>
        </w:rPr>
        <w:t>或者提供担保；</w:t>
      </w:r>
    </w:p>
    <w:p w:rsidR="00F14202">
      <w:pPr>
        <w:spacing w:line="360" w:lineRule="auto"/>
        <w:ind w:firstLine="420"/>
        <w:jc w:val="left"/>
        <w:rPr>
          <w:color w:val="000000"/>
          <w:sz w:val="21"/>
          <w:szCs w:val="21"/>
          <w:lang w:eastAsia="zh-CN"/>
        </w:rPr>
      </w:pPr>
      <w:r>
        <w:rPr>
          <w:rFonts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3</w:t>
      </w:r>
      <w:r>
        <w:rPr>
          <w:rFonts w:hint="eastAsia"/>
          <w:color w:val="000000" w:themeColor="text1"/>
          <w:sz w:val="21"/>
          <w:szCs w:val="21"/>
          <w:highlight w:val="white"/>
          <w:lang w:eastAsia="zh-CN"/>
        </w:rPr>
        <w:t>）从事承担无限责任的投资；</w:t>
      </w:r>
    </w:p>
    <w:p w:rsidR="00F14202">
      <w:pPr>
        <w:spacing w:line="360" w:lineRule="auto"/>
        <w:ind w:firstLine="420"/>
        <w:jc w:val="left"/>
        <w:rPr>
          <w:color w:val="000000"/>
          <w:sz w:val="21"/>
          <w:szCs w:val="21"/>
          <w:lang w:eastAsia="zh-CN"/>
        </w:rPr>
      </w:pPr>
      <w:r>
        <w:rPr>
          <w:rFonts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4</w:t>
      </w:r>
      <w:r>
        <w:rPr>
          <w:rFonts w:hint="eastAsia"/>
          <w:color w:val="000000" w:themeColor="text1"/>
          <w:sz w:val="21"/>
          <w:szCs w:val="21"/>
          <w:highlight w:val="white"/>
          <w:lang w:eastAsia="zh-CN"/>
        </w:rPr>
        <w:t>）向其基金管理人、基金托管人出资；</w:t>
      </w:r>
    </w:p>
    <w:p w:rsidR="00F14202">
      <w:pPr>
        <w:spacing w:line="360" w:lineRule="auto"/>
        <w:ind w:firstLine="420"/>
        <w:jc w:val="left"/>
        <w:rPr>
          <w:color w:val="000000"/>
          <w:sz w:val="21"/>
          <w:szCs w:val="21"/>
          <w:lang w:eastAsia="zh-CN"/>
        </w:rPr>
      </w:pPr>
      <w:r>
        <w:rPr>
          <w:rFonts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5</w:t>
      </w:r>
      <w:r>
        <w:rPr>
          <w:rFonts w:hint="eastAsia"/>
          <w:color w:val="000000" w:themeColor="text1"/>
          <w:sz w:val="21"/>
          <w:szCs w:val="21"/>
          <w:highlight w:val="white"/>
          <w:lang w:eastAsia="zh-CN"/>
        </w:rPr>
        <w:t>）从事内幕交易、操纵证券交易价格及其他不正当的证券交易活动；</w:t>
      </w:r>
    </w:p>
    <w:p w:rsidR="00F14202">
      <w:pPr>
        <w:spacing w:line="360" w:lineRule="auto"/>
        <w:ind w:firstLine="420"/>
        <w:jc w:val="left"/>
        <w:rPr>
          <w:color w:val="000000"/>
          <w:sz w:val="21"/>
          <w:szCs w:val="21"/>
          <w:lang w:eastAsia="zh-CN"/>
        </w:rPr>
      </w:pPr>
      <w:r>
        <w:rPr>
          <w:rFonts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6</w:t>
      </w:r>
      <w:r>
        <w:rPr>
          <w:rFonts w:hint="eastAsia"/>
          <w:color w:val="000000" w:themeColor="text1"/>
          <w:sz w:val="21"/>
          <w:szCs w:val="21"/>
          <w:highlight w:val="white"/>
          <w:lang w:eastAsia="zh-CN"/>
        </w:rPr>
        <w:t>）法律、行政法规和中国证监会规定禁止的其他活动。</w:t>
      </w:r>
    </w:p>
    <w:p w:rsidR="00F14202">
      <w:pPr>
        <w:spacing w:line="360" w:lineRule="auto"/>
        <w:ind w:firstLine="420"/>
        <w:jc w:val="left"/>
        <w:rPr>
          <w:color w:val="000000"/>
          <w:sz w:val="21"/>
          <w:szCs w:val="21"/>
          <w:lang w:eastAsia="zh-CN"/>
        </w:rPr>
      </w:pPr>
      <w:r>
        <w:rPr>
          <w:rFonts w:ascii="宋体" w:hAnsi="宋体" w:cs="宋体"/>
          <w:color w:val="000000" w:themeColor="text1"/>
          <w:sz w:val="21"/>
          <w:szCs w:val="21"/>
          <w:highlight w:val="white"/>
          <w:lang w:eastAsia="zh-CN"/>
        </w:rPr>
        <w:t>4</w:t>
      </w:r>
      <w:r>
        <w:rPr>
          <w:rFonts w:hint="eastAsia"/>
          <w:color w:val="000000" w:themeColor="text1"/>
          <w:sz w:val="21"/>
          <w:szCs w:val="21"/>
          <w:highlight w:val="white"/>
          <w:lang w:eastAsia="zh-CN"/>
        </w:rPr>
        <w:t>、基金托管人依据有关法律法规的规定和《基金合同》的约定对于基金关联投资限制进行监督。</w:t>
      </w:r>
    </w:p>
    <w:p w:rsidR="00F14202">
      <w:pPr>
        <w:spacing w:line="360" w:lineRule="auto"/>
        <w:ind w:firstLine="420"/>
        <w:jc w:val="left"/>
        <w:rPr>
          <w:color w:val="000000"/>
          <w:sz w:val="21"/>
          <w:szCs w:val="21"/>
          <w:lang w:eastAsia="zh-CN"/>
        </w:rPr>
      </w:pPr>
      <w:r>
        <w:rPr>
          <w:rFonts w:hint="eastAsia"/>
          <w:color w:val="000000" w:themeColor="text1"/>
          <w:sz w:val="21"/>
          <w:szCs w:val="21"/>
          <w:highlight w:val="white"/>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F14202">
      <w:pPr>
        <w:spacing w:line="360" w:lineRule="auto"/>
        <w:ind w:firstLine="420"/>
        <w:jc w:val="left"/>
        <w:rPr>
          <w:color w:val="000000"/>
          <w:sz w:val="21"/>
          <w:szCs w:val="21"/>
          <w:lang w:eastAsia="zh-CN"/>
        </w:rPr>
      </w:pPr>
      <w:r>
        <w:rPr>
          <w:rFonts w:hint="eastAsia"/>
          <w:color w:val="000000" w:themeColor="text1"/>
          <w:sz w:val="21"/>
          <w:szCs w:val="21"/>
          <w:highlight w:val="white"/>
          <w:lang w:eastAsia="zh-CN"/>
        </w:rPr>
        <w:t>本基金投资基金管理人及基</w:t>
      </w:r>
      <w:r>
        <w:rPr>
          <w:rFonts w:hint="eastAsia"/>
          <w:color w:val="000000" w:themeColor="text1"/>
          <w:sz w:val="21"/>
          <w:szCs w:val="21"/>
          <w:highlight w:val="white"/>
          <w:lang w:eastAsia="zh-CN"/>
        </w:rPr>
        <w:t>金管理人关联方管理基金的情况，不属于前述重大关联交易。</w:t>
      </w:r>
    </w:p>
    <w:p w:rsidR="00F14202">
      <w:pPr>
        <w:spacing w:line="360" w:lineRule="auto"/>
        <w:ind w:firstLine="420"/>
        <w:jc w:val="left"/>
        <w:rPr>
          <w:rFonts w:ascii="宋体" w:hAnsi="Calibri" w:cs="宋体"/>
          <w:color w:val="000000"/>
          <w:sz w:val="21"/>
          <w:szCs w:val="21"/>
          <w:lang w:eastAsia="zh-CN"/>
        </w:rPr>
      </w:pPr>
      <w:r>
        <w:rPr>
          <w:rFonts w:ascii="宋体" w:hAnsi="Calibri" w:cs="宋体" w:hint="eastAsia"/>
          <w:color w:val="000000" w:themeColor="text1"/>
          <w:sz w:val="21"/>
          <w:szCs w:val="21"/>
          <w:highlight w:val="white"/>
          <w:lang w:eastAsia="zh-CN"/>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rsidR="00F14202">
      <w:pPr>
        <w:spacing w:line="360" w:lineRule="auto"/>
        <w:ind w:firstLine="420"/>
        <w:rPr>
          <w:sz w:val="21"/>
          <w:szCs w:val="21"/>
          <w:lang w:eastAsia="zh-CN"/>
        </w:rPr>
      </w:pPr>
      <w:r>
        <w:rPr>
          <w:rFonts w:ascii="宋体" w:hAnsi="Calibri" w:cs="宋体" w:hint="eastAsia"/>
          <w:color w:val="000000" w:themeColor="text1"/>
          <w:sz w:val="21"/>
          <w:szCs w:val="21"/>
          <w:highlight w:val="white"/>
          <w:lang w:eastAsia="zh-CN"/>
        </w:rPr>
        <w:t>5</w:t>
      </w:r>
      <w:r>
        <w:rPr>
          <w:rFonts w:ascii="宋体" w:hAnsi="Calibri" w:cs="宋体" w:hint="eastAsia"/>
          <w:color w:val="000000" w:themeColor="text1"/>
          <w:sz w:val="21"/>
          <w:szCs w:val="21"/>
          <w:highlight w:val="white"/>
          <w:lang w:eastAsia="zh-CN"/>
        </w:rPr>
        <w:t>、</w:t>
      </w:r>
      <w:r>
        <w:rPr>
          <w:rFonts w:ascii="宋体" w:hAnsi="宋体" w:cs="宋体"/>
          <w:color w:val="000000"/>
          <w:sz w:val="21"/>
          <w:highlight w:val="white"/>
          <w:lang w:eastAsia="zh-CN"/>
        </w:rPr>
        <w:t>本基金参与银行间市场交易，由基金管理人决定银行间市场交易对手的名单。基金管理人应严格按照交易对手名单的范围在银行间债</w:t>
      </w:r>
      <w:r>
        <w:rPr>
          <w:rFonts w:ascii="宋体" w:hAnsi="宋体" w:cs="宋体"/>
          <w:color w:val="000000"/>
          <w:sz w:val="21"/>
          <w:highlight w:val="white"/>
          <w:lang w:eastAsia="zh-CN"/>
        </w:rPr>
        <w:t>券市场选择交易对手。基金托管人不对本基金参与银行间市场交易的交易对手和交易结算方式进行监控</w:t>
      </w:r>
      <w:r>
        <w:rPr>
          <w:rFonts w:ascii="宋体" w:hAnsi="Calibri" w:cs="宋体"/>
          <w:color w:val="000000" w:themeColor="text1"/>
          <w:sz w:val="21"/>
          <w:szCs w:val="21"/>
          <w:highlight w:val="white"/>
          <w:lang w:eastAsia="zh-CN"/>
        </w:rPr>
        <w:t>。</w:t>
      </w:r>
    </w:p>
    <w:p w:rsidR="00F14202">
      <w:pPr>
        <w:spacing w:line="360" w:lineRule="auto"/>
        <w:ind w:firstLine="420"/>
        <w:jc w:val="left"/>
        <w:rPr>
          <w:rFonts w:ascii="宋体" w:hAnsi="Calibri" w:cs="宋体"/>
          <w:sz w:val="21"/>
          <w:szCs w:val="21"/>
          <w:lang w:eastAsia="zh-CN"/>
        </w:rPr>
      </w:pPr>
      <w:r>
        <w:rPr>
          <w:rFonts w:ascii="宋体" w:hAnsi="Calibri" w:cs="宋体" w:hint="eastAsia"/>
          <w:sz w:val="21"/>
          <w:szCs w:val="21"/>
          <w:highlight w:val="white"/>
          <w:lang w:eastAsia="zh-CN"/>
        </w:rPr>
        <w:t>6</w:t>
      </w:r>
      <w:r>
        <w:rPr>
          <w:rFonts w:ascii="宋体" w:hAnsi="Calibri" w:cs="宋体" w:hint="eastAsia"/>
          <w:sz w:val="21"/>
          <w:szCs w:val="21"/>
          <w:highlight w:val="white"/>
          <w:lang w:eastAsia="zh-CN"/>
        </w:rPr>
        <w:t>、基金托管人对基金投资流通受限证券的监督</w:t>
      </w:r>
    </w:p>
    <w:p w:rsidR="00F14202">
      <w:pPr>
        <w:spacing w:line="360" w:lineRule="auto"/>
        <w:ind w:firstLine="420"/>
        <w:jc w:val="left"/>
        <w:rPr>
          <w:rFonts w:hAnsi="Calibri"/>
          <w:sz w:val="21"/>
          <w:szCs w:val="21"/>
          <w:lang w:eastAsia="zh-CN"/>
        </w:rPr>
      </w:pPr>
      <w:r>
        <w:rPr>
          <w:rFonts w:ascii="宋体" w:hAnsi="Calibri" w:cs="宋体" w:hint="eastAsia"/>
          <w:sz w:val="21"/>
          <w:szCs w:val="21"/>
          <w:highlight w:val="white"/>
          <w:lang w:eastAsia="zh-CN"/>
        </w:rPr>
        <w:t>（</w:t>
      </w:r>
      <w:r>
        <w:rPr>
          <w:rFonts w:ascii="宋体" w:hAnsi="Calibri" w:cs="宋体" w:hint="eastAsia"/>
          <w:sz w:val="21"/>
          <w:szCs w:val="21"/>
          <w:highlight w:val="white"/>
          <w:lang w:eastAsia="zh-CN"/>
        </w:rPr>
        <w:t>1</w:t>
      </w:r>
      <w:r>
        <w:rPr>
          <w:rFonts w:ascii="宋体" w:hAnsi="Calibri" w:cs="宋体" w:hint="eastAsia"/>
          <w:sz w:val="21"/>
          <w:szCs w:val="21"/>
          <w:highlight w:val="white"/>
          <w:lang w:eastAsia="zh-CN"/>
        </w:rPr>
        <w:t>）</w:t>
      </w:r>
      <w:r>
        <w:rPr>
          <w:rFonts w:ascii="宋体" w:hAnsi="Calibri" w:cs="宋体"/>
          <w:sz w:val="21"/>
          <w:szCs w:val="21"/>
          <w:highlight w:val="white"/>
          <w:lang w:eastAsia="zh-CN"/>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F14202">
      <w:pPr>
        <w:spacing w:line="360" w:lineRule="auto"/>
        <w:ind w:firstLine="420"/>
        <w:jc w:val="left"/>
        <w:rPr>
          <w:rFonts w:ascii="宋体" w:hAnsi="Calibri" w:cs="宋体"/>
          <w:sz w:val="21"/>
          <w:szCs w:val="21"/>
          <w:lang w:eastAsia="zh-CN"/>
        </w:rPr>
      </w:pPr>
      <w:r>
        <w:rPr>
          <w:rFonts w:ascii="宋体" w:hAnsi="Calibri" w:cs="宋体" w:hint="eastAsia"/>
          <w:sz w:val="21"/>
          <w:szCs w:val="21"/>
          <w:highlight w:val="white"/>
          <w:lang w:eastAsia="zh-CN"/>
        </w:rPr>
        <w:t>（</w:t>
      </w:r>
      <w:r>
        <w:rPr>
          <w:rFonts w:ascii="宋体" w:hAnsi="Calibri" w:cs="宋体"/>
          <w:sz w:val="21"/>
          <w:szCs w:val="21"/>
          <w:highlight w:val="white"/>
          <w:lang w:eastAsia="zh-CN"/>
        </w:rPr>
        <w:t>2</w:t>
      </w:r>
      <w:r>
        <w:rPr>
          <w:rFonts w:ascii="宋体" w:hAnsi="Calibri" w:cs="宋体" w:hint="eastAsia"/>
          <w:sz w:val="21"/>
          <w:szCs w:val="21"/>
          <w:highlight w:val="white"/>
          <w:lang w:eastAsia="zh-CN"/>
        </w:rPr>
        <w:t>）此处流通受限证券与上文所述的流动性受限资产并不完全一致，包括经中国证监会批准的非公开发行股票、公开发行股票网下配售部分等在发行时明确一定期限锁定期的可交易证券</w:t>
      </w:r>
      <w:r>
        <w:rPr>
          <w:rFonts w:ascii="宋体" w:hAnsi="Calibri" w:cs="宋体"/>
          <w:sz w:val="21"/>
          <w:szCs w:val="21"/>
          <w:highlight w:val="white"/>
          <w:lang w:eastAsia="zh-CN"/>
        </w:rPr>
        <w:t>,</w:t>
      </w:r>
      <w:r>
        <w:rPr>
          <w:rFonts w:ascii="宋体" w:hAnsi="Calibri" w:cs="宋体" w:hint="eastAsia"/>
          <w:sz w:val="21"/>
          <w:szCs w:val="21"/>
          <w:highlight w:val="white"/>
          <w:lang w:eastAsia="zh-CN"/>
        </w:rPr>
        <w:t>不包括由于发布重大消息或其他原因而临时停牌的证券、已发行未上市证券、回购交易中的质押券等流通受限证券。</w:t>
      </w:r>
    </w:p>
    <w:p w:rsidR="00F14202">
      <w:pPr>
        <w:spacing w:line="360" w:lineRule="auto"/>
        <w:ind w:firstLine="420"/>
        <w:jc w:val="left"/>
        <w:rPr>
          <w:rFonts w:ascii="宋体" w:hAnsi="Calibri" w:cs="宋体"/>
          <w:sz w:val="21"/>
          <w:szCs w:val="21"/>
          <w:lang w:eastAsia="zh-CN"/>
        </w:rPr>
      </w:pPr>
      <w:r>
        <w:rPr>
          <w:rFonts w:ascii="宋体" w:hAnsi="Calibri" w:cs="宋体" w:hint="eastAsia"/>
          <w:sz w:val="21"/>
          <w:szCs w:val="21"/>
          <w:highlight w:val="white"/>
          <w:lang w:eastAsia="zh-CN"/>
        </w:rPr>
        <w:t>（</w:t>
      </w:r>
      <w:r>
        <w:rPr>
          <w:rFonts w:ascii="宋体" w:hAnsi="Calibri" w:cs="宋体"/>
          <w:sz w:val="21"/>
          <w:szCs w:val="21"/>
          <w:highlight w:val="white"/>
          <w:lang w:eastAsia="zh-CN"/>
        </w:rPr>
        <w:t>3</w:t>
      </w:r>
      <w:r>
        <w:rPr>
          <w:rFonts w:ascii="宋体" w:hAnsi="Calibri" w:cs="宋体" w:hint="eastAsia"/>
          <w:sz w:val="21"/>
          <w:szCs w:val="21"/>
          <w:highlight w:val="white"/>
          <w:lang w:eastAsia="zh-CN"/>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w:t>
      </w:r>
      <w:r>
        <w:rPr>
          <w:rFonts w:ascii="宋体" w:hAnsi="Calibri" w:cs="宋体" w:hint="eastAsia"/>
          <w:sz w:val="21"/>
          <w:szCs w:val="21"/>
          <w:highlight w:val="white"/>
          <w:lang w:eastAsia="zh-CN"/>
        </w:rPr>
        <w:t>于基金投资流通受限证券的投资额度和投资比例控制情况。</w:t>
      </w:r>
    </w:p>
    <w:p w:rsidR="00F14202">
      <w:pPr>
        <w:spacing w:line="360" w:lineRule="auto"/>
        <w:ind w:firstLine="420"/>
        <w:jc w:val="left"/>
        <w:rPr>
          <w:rFonts w:ascii="宋体" w:hAnsi="Calibri" w:cs="宋体"/>
          <w:sz w:val="21"/>
          <w:szCs w:val="21"/>
          <w:lang w:eastAsia="zh-CN"/>
        </w:rPr>
      </w:pPr>
      <w:r>
        <w:rPr>
          <w:rFonts w:ascii="宋体" w:hAnsi="Calibri" w:cs="宋体" w:hint="eastAsia"/>
          <w:sz w:val="21"/>
          <w:szCs w:val="21"/>
          <w:highlight w:val="white"/>
          <w:lang w:eastAsia="zh-CN"/>
        </w:rPr>
        <w:t>基金管理人应至少于首次执行投资指令之前两个工作日将上述资料书面发至基金托管人，保证基金托管人有足够的时间进行审核。基金托管人应在收到上述资料后两个工作日内，以书面或其他双方认可的方式进行确认。</w:t>
      </w:r>
    </w:p>
    <w:p w:rsidR="00F14202">
      <w:pPr>
        <w:spacing w:line="360" w:lineRule="auto"/>
        <w:ind w:firstLine="420"/>
        <w:jc w:val="left"/>
        <w:rPr>
          <w:rFonts w:ascii="宋体" w:hAnsi="Calibri" w:cs="宋体"/>
          <w:sz w:val="21"/>
          <w:szCs w:val="21"/>
          <w:lang w:eastAsia="zh-CN"/>
        </w:rPr>
      </w:pPr>
      <w:r>
        <w:rPr>
          <w:rFonts w:ascii="宋体" w:hAnsi="Calibri" w:cs="宋体" w:hint="eastAsia"/>
          <w:sz w:val="21"/>
          <w:szCs w:val="21"/>
          <w:highlight w:val="white"/>
          <w:lang w:eastAsia="zh-CN"/>
        </w:rPr>
        <w:t>（</w:t>
      </w:r>
      <w:r>
        <w:rPr>
          <w:rFonts w:ascii="宋体" w:hAnsi="Calibri" w:cs="宋体"/>
          <w:sz w:val="21"/>
          <w:szCs w:val="21"/>
          <w:highlight w:val="white"/>
          <w:lang w:eastAsia="zh-CN"/>
        </w:rPr>
        <w:t>4</w:t>
      </w:r>
      <w:r>
        <w:rPr>
          <w:rFonts w:ascii="宋体" w:hAnsi="Calibri" w:cs="宋体" w:hint="eastAsia"/>
          <w:sz w:val="21"/>
          <w:szCs w:val="21"/>
          <w:highlight w:val="white"/>
          <w:lang w:eastAsia="zh-CN"/>
        </w:rPr>
        <w:t>）基金投资</w:t>
      </w:r>
      <w:r>
        <w:rPr>
          <w:rFonts w:ascii="宋体" w:hAnsi="Calibri" w:cs="宋体"/>
          <w:sz w:val="21"/>
          <w:szCs w:val="21"/>
          <w:highlight w:val="white"/>
          <w:lang w:eastAsia="zh-CN"/>
        </w:rPr>
        <w:t>非公开发行的</w:t>
      </w:r>
      <w:r>
        <w:rPr>
          <w:rFonts w:ascii="宋体" w:hAnsi="Calibri" w:cs="宋体" w:hint="eastAsia"/>
          <w:sz w:val="21"/>
          <w:szCs w:val="21"/>
          <w:highlight w:val="white"/>
          <w:lang w:eastAsia="zh-CN"/>
        </w:rPr>
        <w:t>流通受限证券前，基金管理人应向基金托管人提供符合法律法规要求的有关书面信息，包括但不限于拟发行证券主体的中国证监会批准文件、发行证券数量、发行价格、锁定期，基金拟认购的数量、价格、总成本、总成本占基金资产净值的比例、已持有流通受限证券市值</w:t>
      </w:r>
      <w:r>
        <w:rPr>
          <w:rFonts w:ascii="宋体" w:hAnsi="Calibri" w:cs="宋体" w:hint="eastAsia"/>
          <w:sz w:val="21"/>
          <w:szCs w:val="21"/>
          <w:highlight w:val="white"/>
          <w:lang w:eastAsia="zh-CN"/>
        </w:rPr>
        <w:t>占资产净值的比例、资金划付时间等。基金管理人应保证上述信息的真实、完整，并于拟执行投资指令前将上述信息书面发至基金托管人，保证基金托管人有足够的时间进行审核。</w:t>
      </w:r>
    </w:p>
    <w:p w:rsidR="00F14202">
      <w:pPr>
        <w:spacing w:line="360" w:lineRule="auto"/>
        <w:ind w:firstLine="420"/>
        <w:jc w:val="left"/>
        <w:rPr>
          <w:rFonts w:ascii="宋体" w:hAnsi="Calibri" w:cs="宋体"/>
          <w:sz w:val="21"/>
          <w:szCs w:val="21"/>
          <w:lang w:eastAsia="zh-CN"/>
        </w:rPr>
      </w:pPr>
      <w:r>
        <w:rPr>
          <w:rFonts w:ascii="宋体" w:hAnsi="Calibri" w:cs="宋体" w:hint="eastAsia"/>
          <w:sz w:val="21"/>
          <w:szCs w:val="21"/>
          <w:highlight w:val="white"/>
          <w:lang w:eastAsia="zh-CN"/>
        </w:rPr>
        <w:t>（</w:t>
      </w:r>
      <w:r>
        <w:rPr>
          <w:rFonts w:ascii="宋体" w:hAnsi="Calibri" w:cs="宋体"/>
          <w:sz w:val="21"/>
          <w:szCs w:val="21"/>
          <w:highlight w:val="white"/>
          <w:lang w:eastAsia="zh-CN"/>
        </w:rPr>
        <w:t>5</w:t>
      </w:r>
      <w:r>
        <w:rPr>
          <w:rFonts w:ascii="宋体" w:hAnsi="Calibri" w:cs="宋体" w:hint="eastAsia"/>
          <w:sz w:val="21"/>
          <w:szCs w:val="21"/>
          <w:highlight w:val="white"/>
          <w:lang w:eastAsia="zh-CN"/>
        </w:rPr>
        <w:t>）基金托管人应按照《关于基金投资非公开发行股票等流通受限证券有关问题的通知》规定，对基金管理人是否遵守法律法规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w:t>
      </w:r>
      <w:r>
        <w:rPr>
          <w:rFonts w:ascii="宋体" w:hAnsi="Calibri" w:cs="宋体" w:hint="eastAsia"/>
          <w:sz w:val="21"/>
          <w:szCs w:val="21"/>
          <w:highlight w:val="white"/>
          <w:lang w:eastAsia="zh-CN"/>
        </w:rPr>
        <w:t>估报告等备查资料的权利。否则，基金托管人有权拒绝执行有关指令。因拒绝执行该指令造成基金财产损失的，基金托管人不承担任何责任，并有权报告中国证监会。</w:t>
      </w:r>
    </w:p>
    <w:p w:rsidR="00F14202">
      <w:pPr>
        <w:spacing w:line="360" w:lineRule="auto"/>
        <w:ind w:firstLine="420"/>
        <w:jc w:val="left"/>
        <w:rPr>
          <w:rFonts w:ascii="宋体" w:hAnsi="Calibri" w:cs="宋体"/>
          <w:sz w:val="21"/>
          <w:szCs w:val="21"/>
          <w:lang w:eastAsia="zh-CN"/>
        </w:rPr>
      </w:pPr>
      <w:r>
        <w:rPr>
          <w:rFonts w:ascii="宋体" w:hAnsi="Calibri" w:cs="宋体" w:hint="eastAsia"/>
          <w:sz w:val="21"/>
          <w:szCs w:val="21"/>
          <w:highlight w:val="white"/>
          <w:lang w:eastAsia="zh-CN"/>
        </w:rPr>
        <w:t>如基金管理人和基金托管人无法达成一致，应及时上报中国证监会请求解决。如果基金托管人切实履行监督职责，则不承担任何责任。</w:t>
      </w:r>
    </w:p>
    <w:p w:rsidR="00F14202">
      <w:pPr>
        <w:spacing w:line="360" w:lineRule="auto"/>
        <w:ind w:firstLine="420"/>
        <w:jc w:val="left"/>
        <w:rPr>
          <w:rFonts w:ascii="宋体" w:hAnsi="Calibri" w:cs="宋体"/>
          <w:color w:val="000000"/>
          <w:sz w:val="21"/>
          <w:szCs w:val="21"/>
          <w:lang w:eastAsia="zh-CN"/>
        </w:rPr>
      </w:pPr>
      <w:r>
        <w:rPr>
          <w:rFonts w:ascii="宋体" w:hAnsi="Calibri" w:cs="宋体"/>
          <w:color w:val="000000" w:themeColor="text1"/>
          <w:sz w:val="21"/>
          <w:szCs w:val="21"/>
          <w:highlight w:val="white"/>
          <w:lang w:eastAsia="zh-CN"/>
        </w:rPr>
        <w:t>7</w:t>
      </w:r>
      <w:r>
        <w:rPr>
          <w:rFonts w:ascii="宋体" w:hAnsi="Calibri" w:cs="宋体" w:hint="eastAsia"/>
          <w:color w:val="000000" w:themeColor="text1"/>
          <w:sz w:val="21"/>
          <w:szCs w:val="21"/>
          <w:highlight w:val="white"/>
          <w:lang w:eastAsia="zh-CN"/>
        </w:rPr>
        <w:t>、本基金投资银行存款的信用风险主要包括存款银行的信用等级、存款银行的支付能力等涉及到存款银行选择方面的风险。本基金的基金管理人根据相应规则确定存款银行，本基金投资存款银行以外的银行存款出现由于存款银行信用风险而造成的损失时由相关责任人进行赔偿</w:t>
      </w:r>
      <w:r>
        <w:rPr>
          <w:rFonts w:ascii="宋体" w:hAnsi="Calibri" w:cs="宋体" w:hint="eastAsia"/>
          <w:color w:val="000000" w:themeColor="text1"/>
          <w:sz w:val="21"/>
          <w:szCs w:val="21"/>
          <w:highlight w:val="white"/>
          <w:lang w:eastAsia="zh-CN"/>
        </w:rPr>
        <w:t>。基金托管人不对本基金投资银行存款的存款银行进行监控。</w:t>
      </w:r>
    </w:p>
    <w:p w:rsidR="00F14202">
      <w:pPr>
        <w:spacing w:line="360" w:lineRule="auto"/>
        <w:ind w:firstLine="420"/>
        <w:jc w:val="left"/>
        <w:rPr>
          <w:rFonts w:ascii="宋体" w:hAnsi="Calibri" w:cs="宋体"/>
          <w:color w:val="000000"/>
          <w:sz w:val="21"/>
          <w:szCs w:val="21"/>
          <w:lang w:eastAsia="zh-CN"/>
        </w:rPr>
      </w:pPr>
      <w:r>
        <w:rPr>
          <w:rFonts w:ascii="宋体" w:hAnsi="Calibri" w:cs="宋体" w:hint="eastAsia"/>
          <w:color w:val="000000" w:themeColor="text1"/>
          <w:sz w:val="21"/>
          <w:szCs w:val="21"/>
          <w:highlight w:val="white"/>
          <w:lang w:eastAsia="zh-CN"/>
        </w:rPr>
        <w:t>（二）基金托管人应根据有关法律法规的规定及《基金合同》的约定，对基金资产净值计算、基金份额净值计算、应收资金到账、基金费用开支及收入确定、基金收益分配、相关信息披露、基金宣传推介材料（需基金管理人主动提供）中登载基金业绩表现数据等进行监督和核查。</w:t>
      </w:r>
    </w:p>
    <w:p w:rsidR="00F14202">
      <w:pPr>
        <w:spacing w:line="360" w:lineRule="auto"/>
        <w:ind w:firstLine="420"/>
        <w:jc w:val="left"/>
        <w:rPr>
          <w:rFonts w:ascii="宋体" w:hAnsi="Calibri" w:cs="宋体"/>
          <w:color w:val="000000"/>
          <w:sz w:val="21"/>
          <w:szCs w:val="21"/>
          <w:lang w:eastAsia="zh-CN"/>
        </w:rPr>
      </w:pPr>
      <w:r>
        <w:rPr>
          <w:rFonts w:ascii="宋体" w:hAnsi="Calibri" w:cs="宋体" w:hint="eastAsia"/>
          <w:color w:val="000000" w:themeColor="text1"/>
          <w:sz w:val="21"/>
          <w:szCs w:val="21"/>
          <w:highlight w:val="white"/>
          <w:lang w:eastAsia="zh-CN"/>
        </w:rPr>
        <w:t>（三）</w:t>
      </w:r>
      <w:r>
        <w:rPr>
          <w:rFonts w:ascii="宋体" w:hAnsi="Calibri" w:cs="宋体" w:hint="eastAsia"/>
          <w:color w:val="000000" w:themeColor="text1"/>
          <w:sz w:val="21"/>
          <w:szCs w:val="21"/>
          <w:highlight w:val="white"/>
          <w:lang w:eastAsia="zh-CN"/>
        </w:rPr>
        <w:t xml:space="preserve"> </w:t>
      </w:r>
      <w:r>
        <w:rPr>
          <w:rFonts w:ascii="宋体" w:hAnsi="Calibri" w:cs="宋体" w:hint="eastAsia"/>
          <w:color w:val="000000" w:themeColor="text1"/>
          <w:sz w:val="21"/>
          <w:szCs w:val="21"/>
          <w:highlight w:val="white"/>
          <w:lang w:eastAsia="zh-CN"/>
        </w:rPr>
        <w:t>基金托管人发现基金管理人的投资运作及其他运作违反法律法规、《基金合同》、本托管协议及其他有关规定时，应及时以书面形式通知基金管理人限期纠正，基金管理人收到通知后应在下一个工作日前及时核对，并以书面形式</w:t>
      </w:r>
      <w:r>
        <w:rPr>
          <w:rFonts w:ascii="宋体" w:hAnsi="Calibri" w:cs="宋体" w:hint="eastAsia"/>
          <w:color w:val="000000" w:themeColor="text1"/>
          <w:sz w:val="21"/>
          <w:szCs w:val="21"/>
          <w:highlight w:val="white"/>
          <w:lang w:eastAsia="zh-CN"/>
        </w:rPr>
        <w:t>向基金托管人发出回函，进行解释或举证，说明违规原因及纠正期限。</w:t>
      </w:r>
    </w:p>
    <w:p w:rsidR="00F14202">
      <w:pPr>
        <w:spacing w:line="360" w:lineRule="auto"/>
        <w:ind w:firstLine="420"/>
        <w:rPr>
          <w:rFonts w:ascii="宋体" w:hAnsi="Calibri" w:cs="宋体"/>
          <w:color w:val="000000"/>
          <w:sz w:val="21"/>
          <w:szCs w:val="21"/>
          <w:lang w:eastAsia="zh-CN"/>
        </w:rPr>
      </w:pPr>
      <w:r>
        <w:rPr>
          <w:rFonts w:ascii="宋体" w:hAnsi="Calibri" w:cs="宋体" w:hint="eastAsia"/>
          <w:color w:val="000000" w:themeColor="text1"/>
          <w:sz w:val="21"/>
          <w:szCs w:val="21"/>
          <w:highlight w:val="white"/>
          <w:lang w:eastAsia="zh-CN"/>
        </w:rPr>
        <w:t>在限期内，基金托管人有权随时对通知事项进行复查，督促基金管理人改正。基金管理人对基金托管人通知的违规事项未能在限期内纠正的，基金托管人应报告中国证监会。基金管理人应赔偿因其违反法律法规、行业自律性规定或《基金合同》或本托管协议及其他有关规定而致使投资者和基金托管人遭受的损失。</w:t>
      </w:r>
    </w:p>
    <w:p w:rsidR="00F14202">
      <w:pPr>
        <w:spacing w:line="360" w:lineRule="auto"/>
        <w:ind w:firstLine="420"/>
        <w:jc w:val="left"/>
        <w:rPr>
          <w:rFonts w:ascii="宋体" w:hAnsi="Calibri" w:cs="宋体"/>
          <w:color w:val="000000"/>
          <w:sz w:val="21"/>
          <w:szCs w:val="21"/>
          <w:lang w:eastAsia="zh-CN"/>
        </w:rPr>
      </w:pPr>
      <w:r>
        <w:rPr>
          <w:rFonts w:ascii="宋体" w:hAnsi="Calibri" w:cs="宋体" w:hint="eastAsia"/>
          <w:color w:val="000000" w:themeColor="text1"/>
          <w:sz w:val="21"/>
          <w:szCs w:val="21"/>
          <w:highlight w:val="white"/>
          <w:lang w:eastAsia="zh-CN"/>
        </w:rPr>
        <w:t>对于依据交易程序尚未成交的且基金托管人在交易前能够监控的投资指令，基金托管人发现该投资指令违反有关法律法规规定或者违反《基金合同》约定的，应当拒绝执行，立即通知基金管理人</w:t>
      </w:r>
      <w:r>
        <w:rPr>
          <w:rFonts w:ascii="宋体" w:hAnsi="Calibri" w:cs="宋体" w:hint="eastAsia"/>
          <w:color w:val="000000" w:themeColor="text1"/>
          <w:sz w:val="21"/>
          <w:szCs w:val="21"/>
          <w:highlight w:val="white"/>
          <w:lang w:eastAsia="zh-CN"/>
        </w:rPr>
        <w:t>，并向中国证监会报告。</w:t>
      </w:r>
    </w:p>
    <w:p w:rsidR="00F14202">
      <w:pPr>
        <w:spacing w:line="360" w:lineRule="auto"/>
        <w:ind w:firstLine="420"/>
        <w:jc w:val="left"/>
        <w:rPr>
          <w:rFonts w:ascii="宋体" w:hAnsi="Calibri" w:cs="宋体"/>
          <w:color w:val="000000"/>
          <w:sz w:val="21"/>
          <w:szCs w:val="21"/>
          <w:lang w:eastAsia="zh-CN"/>
        </w:rPr>
      </w:pPr>
      <w:r>
        <w:rPr>
          <w:rFonts w:ascii="宋体" w:hAnsi="Calibri" w:cs="宋体" w:hint="eastAsia"/>
          <w:color w:val="000000" w:themeColor="text1"/>
          <w:sz w:val="21"/>
          <w:szCs w:val="21"/>
          <w:highlight w:val="white"/>
          <w:lang w:eastAsia="zh-CN"/>
        </w:rPr>
        <w:t>对于必须于估值完成后方可获知的监控指标或依据交易程序已经成交的投资指令，基金托管人发现该投资指令违反有关法律法规或者违反《基金合同》约定的，应当立即通知基金管理人，并报告中国证监会。</w:t>
      </w:r>
    </w:p>
    <w:p w:rsidR="00F14202">
      <w:pPr>
        <w:spacing w:line="360" w:lineRule="auto"/>
        <w:ind w:firstLine="420"/>
        <w:jc w:val="left"/>
        <w:rPr>
          <w:rFonts w:ascii="宋体" w:hAnsi="Calibri" w:cs="宋体"/>
          <w:color w:val="000000"/>
          <w:sz w:val="21"/>
          <w:szCs w:val="21"/>
          <w:lang w:eastAsia="zh-CN"/>
        </w:rPr>
      </w:pPr>
      <w:r>
        <w:rPr>
          <w:rFonts w:ascii="宋体" w:hAnsi="Calibri" w:cs="宋体" w:hint="eastAsia"/>
          <w:color w:val="000000" w:themeColor="text1"/>
          <w:sz w:val="21"/>
          <w:szCs w:val="21"/>
          <w:highlight w:val="white"/>
          <w:lang w:eastAsia="zh-CN"/>
        </w:rPr>
        <w:t>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w:t>
      </w:r>
    </w:p>
    <w:p w:rsidR="00F14202">
      <w:pPr>
        <w:spacing w:line="360" w:lineRule="auto"/>
        <w:ind w:firstLine="420"/>
        <w:jc w:val="left"/>
        <w:rPr>
          <w:rFonts w:ascii="宋体" w:hAnsi="Calibri" w:cs="宋体"/>
          <w:color w:val="000000"/>
          <w:sz w:val="21"/>
          <w:szCs w:val="21"/>
          <w:lang w:eastAsia="zh-CN"/>
        </w:rPr>
      </w:pPr>
      <w:r>
        <w:rPr>
          <w:rFonts w:ascii="宋体" w:hAnsi="Calibri" w:cs="宋体" w:hint="eastAsia"/>
          <w:color w:val="000000" w:themeColor="text1"/>
          <w:sz w:val="21"/>
          <w:szCs w:val="21"/>
          <w:highlight w:val="white"/>
          <w:lang w:eastAsia="zh-CN"/>
        </w:rPr>
        <w:t>基金托管人发现基金管理人有重大违规行为，应立即报告中国证监会，同时通知基金管</w:t>
      </w:r>
      <w:r>
        <w:rPr>
          <w:rFonts w:ascii="宋体" w:hAnsi="Calibri" w:cs="宋体" w:hint="eastAsia"/>
          <w:color w:val="000000" w:themeColor="text1"/>
          <w:sz w:val="21"/>
          <w:szCs w:val="21"/>
          <w:highlight w:val="white"/>
          <w:lang w:eastAsia="zh-CN"/>
        </w:rPr>
        <w:t>理人限期纠正。</w:t>
      </w:r>
    </w:p>
    <w:p w:rsidR="00F14202">
      <w:pPr>
        <w:spacing w:line="360" w:lineRule="auto"/>
        <w:ind w:firstLine="420"/>
        <w:jc w:val="left"/>
        <w:rPr>
          <w:rFonts w:ascii="宋体" w:hAnsi="Calibri" w:cs="宋体"/>
          <w:color w:val="000000"/>
          <w:sz w:val="21"/>
          <w:szCs w:val="21"/>
          <w:lang w:eastAsia="zh-CN"/>
        </w:rPr>
      </w:pPr>
      <w:r>
        <w:rPr>
          <w:rFonts w:ascii="宋体" w:hAnsi="Calibri" w:cs="宋体" w:hint="eastAsia"/>
          <w:color w:val="000000" w:themeColor="text1"/>
          <w:sz w:val="21"/>
          <w:szCs w:val="21"/>
          <w:highlight w:val="white"/>
          <w:lang w:eastAsia="zh-CN"/>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rsidR="00F14202">
      <w:pPr>
        <w:spacing w:line="360" w:lineRule="auto"/>
        <w:ind w:firstLine="420"/>
        <w:jc w:val="left"/>
        <w:rPr>
          <w:rFonts w:ascii="宋体" w:hAnsi="Calibri" w:cs="宋体"/>
          <w:color w:val="000000"/>
          <w:sz w:val="21"/>
          <w:szCs w:val="21"/>
          <w:lang w:eastAsia="zh-CN"/>
        </w:rPr>
      </w:pPr>
    </w:p>
    <w:p w:rsidR="00F14202">
      <w:pPr>
        <w:pStyle w:val="Heading1"/>
        <w:numPr>
          <w:ilvl w:val="0"/>
          <w:numId w:val="1"/>
        </w:numPr>
        <w:spacing w:before="120" w:after="120" w:line="360" w:lineRule="auto"/>
        <w:jc w:val="center"/>
        <w:rPr>
          <w:rFonts w:ascii="宋体" w:hAnsi="Calibri" w:cs="宋体"/>
          <w:color w:val="000000"/>
          <w:sz w:val="24"/>
          <w:lang w:eastAsia="zh-CN"/>
        </w:rPr>
      </w:pPr>
      <w:bookmarkStart w:id="7" w:name="_Toc394473999"/>
      <w:bookmarkStart w:id="8" w:name="_Toc881134"/>
      <w:r>
        <w:rPr>
          <w:rFonts w:ascii="宋体" w:hAnsi="Calibri" w:cs="宋体" w:hint="eastAsia"/>
          <w:color w:val="000000" w:themeColor="text1"/>
          <w:sz w:val="24"/>
          <w:highlight w:val="white"/>
          <w:lang w:eastAsia="zh-CN"/>
        </w:rPr>
        <w:t>基金管理人对基金托管人的业务核查</w:t>
      </w:r>
      <w:bookmarkEnd w:id="7"/>
      <w:bookmarkEnd w:id="8"/>
    </w:p>
    <w:p w:rsidR="00F14202">
      <w:pPr>
        <w:pStyle w:val="ListParagraph"/>
        <w:spacing w:line="360" w:lineRule="auto"/>
        <w:ind w:left="450" w:firstLine="0"/>
        <w:rPr>
          <w:rFonts w:ascii="宋体" w:hAnsi="Calibri" w:cs="宋体"/>
          <w:b/>
          <w:color w:val="000000"/>
          <w:lang w:eastAsia="zh-CN"/>
        </w:rPr>
      </w:pPr>
    </w:p>
    <w:p w:rsidR="00F14202">
      <w:pPr>
        <w:spacing w:line="360" w:lineRule="auto"/>
        <w:ind w:firstLine="420"/>
        <w:jc w:val="left"/>
        <w:rPr>
          <w:rFonts w:ascii="宋体" w:hAnsi="Calibri" w:cs="宋体"/>
          <w:color w:val="000000"/>
          <w:sz w:val="21"/>
          <w:szCs w:val="21"/>
          <w:lang w:eastAsia="zh-CN"/>
        </w:rPr>
      </w:pPr>
      <w:r>
        <w:rPr>
          <w:rFonts w:ascii="宋体" w:hAnsi="Calibri" w:cs="宋体" w:hint="eastAsia"/>
          <w:color w:val="000000" w:themeColor="text1"/>
          <w:sz w:val="21"/>
          <w:szCs w:val="21"/>
          <w:highlight w:val="white"/>
          <w:lang w:eastAsia="zh-CN"/>
        </w:rPr>
        <w:t>（一）基金管理人对基金托管人履行托管职责情况进行核查，核查事项包括但不限于基金托管人安全保管基金财产、开设基金财产的资金账户、证券账户等投资所需账户、复核基金管理人计算的基金资产净值和基金份额净值、根据基金管理人指令办理清算交收、相关信息披露和监督基金投资运作等行为。</w:t>
      </w:r>
    </w:p>
    <w:p w:rsidR="00F14202">
      <w:pPr>
        <w:spacing w:line="360" w:lineRule="auto"/>
        <w:ind w:firstLine="315"/>
        <w:jc w:val="left"/>
        <w:rPr>
          <w:rFonts w:ascii="宋体" w:hAnsi="Calibri" w:cs="宋体"/>
          <w:color w:val="000000"/>
          <w:sz w:val="21"/>
          <w:szCs w:val="21"/>
          <w:lang w:eastAsia="zh-CN"/>
        </w:rPr>
      </w:pPr>
      <w:r>
        <w:rPr>
          <w:rFonts w:ascii="宋体" w:hAnsi="Calibri" w:cs="宋体" w:hint="eastAsia"/>
          <w:color w:val="000000" w:themeColor="text1"/>
          <w:sz w:val="21"/>
          <w:szCs w:val="21"/>
          <w:highlight w:val="white"/>
          <w:lang w:eastAsia="zh-CN"/>
        </w:rPr>
        <w:t>（二）基金管理人发现基金托管人擅自挪用基金财产、未对基金财产实行分账管理、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w:t>
      </w:r>
      <w:r>
        <w:rPr>
          <w:rFonts w:hint="eastAsia"/>
          <w:color w:val="000000" w:themeColor="text1"/>
          <w:sz w:val="21"/>
          <w:szCs w:val="21"/>
          <w:highlight w:val="white"/>
          <w:lang w:eastAsia="zh-CN"/>
        </w:rPr>
        <w:t>说明违规原因及纠正期限，并保证在规定期限内及时改正。</w:t>
      </w:r>
      <w:r>
        <w:rPr>
          <w:rFonts w:ascii="宋体" w:hAnsi="Calibri" w:cs="宋体" w:hint="eastAsia"/>
          <w:color w:val="000000" w:themeColor="text1"/>
          <w:sz w:val="21"/>
          <w:szCs w:val="21"/>
          <w:highlight w:val="white"/>
          <w:lang w:eastAsia="zh-CN"/>
        </w:rPr>
        <w:t>在上述限期内，基金管理人有权随时对通知事项进行复查，督促基金托管人改正，并予协助配合。基金托管人应积极配合基金管理人的核查行为，包括但不限于：提交</w:t>
      </w:r>
      <w:r>
        <w:rPr>
          <w:rFonts w:ascii="宋体" w:hAnsi="Calibri" w:cs="宋体" w:hint="eastAsia"/>
          <w:color w:val="000000" w:themeColor="text1"/>
          <w:sz w:val="21"/>
          <w:szCs w:val="21"/>
          <w:highlight w:val="white"/>
          <w:lang w:eastAsia="zh-CN"/>
        </w:rPr>
        <w:t>相关资料以供基金管理人核查托管财产的完整性和真实性，在规定时间内答复基金管理人并改正。基金托管人对基金管理人通知的违规事项未能在限期内纠正的，基金管理人应报告中国证监会。</w:t>
      </w:r>
    </w:p>
    <w:p w:rsidR="00F14202">
      <w:pPr>
        <w:spacing w:line="360" w:lineRule="auto"/>
        <w:ind w:firstLine="420"/>
        <w:jc w:val="left"/>
        <w:rPr>
          <w:rFonts w:ascii="宋体" w:hAnsi="Calibri" w:cs="宋体"/>
          <w:color w:val="000000"/>
          <w:sz w:val="21"/>
          <w:szCs w:val="21"/>
          <w:lang w:eastAsia="zh-CN"/>
        </w:rPr>
      </w:pPr>
      <w:r>
        <w:rPr>
          <w:rFonts w:ascii="宋体" w:hAnsi="Calibri" w:cs="宋体" w:hint="eastAsia"/>
          <w:color w:val="000000" w:themeColor="text1"/>
          <w:sz w:val="21"/>
          <w:szCs w:val="21"/>
          <w:highlight w:val="white"/>
          <w:lang w:eastAsia="zh-CN"/>
        </w:rPr>
        <w:t>（三）基金管理人发现基金托管人有重大违规行为，应立即报告中国证监会，同时通知基金托管人限期纠正，并将纠正结果报告中国证监会。</w:t>
      </w:r>
    </w:p>
    <w:p w:rsidR="00F14202">
      <w:pPr>
        <w:spacing w:line="360" w:lineRule="auto"/>
        <w:ind w:firstLine="420"/>
        <w:jc w:val="left"/>
        <w:rPr>
          <w:rFonts w:ascii="宋体" w:hAnsi="Calibri" w:cs="宋体"/>
          <w:color w:val="000000"/>
          <w:sz w:val="21"/>
          <w:szCs w:val="21"/>
          <w:lang w:eastAsia="zh-CN"/>
        </w:rPr>
      </w:pPr>
      <w:r>
        <w:rPr>
          <w:rFonts w:ascii="宋体" w:hAnsi="Calibri" w:cs="宋体" w:hint="eastAsia"/>
          <w:color w:val="000000" w:themeColor="text1"/>
          <w:sz w:val="21"/>
          <w:szCs w:val="21"/>
          <w:highlight w:val="white"/>
          <w:lang w:eastAsia="zh-CN"/>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F14202">
      <w:pPr>
        <w:spacing w:line="360" w:lineRule="auto"/>
        <w:ind w:firstLine="420"/>
        <w:jc w:val="left"/>
        <w:rPr>
          <w:rFonts w:ascii="宋体" w:hAnsi="Calibri" w:cs="宋体"/>
          <w:color w:val="000000"/>
          <w:sz w:val="21"/>
          <w:szCs w:val="21"/>
          <w:lang w:eastAsia="zh-CN"/>
        </w:rPr>
      </w:pPr>
    </w:p>
    <w:p w:rsidR="00F14202">
      <w:pPr>
        <w:pStyle w:val="Heading1"/>
        <w:numPr>
          <w:ilvl w:val="0"/>
          <w:numId w:val="1"/>
        </w:numPr>
        <w:spacing w:before="120" w:after="120" w:line="360" w:lineRule="auto"/>
        <w:jc w:val="center"/>
        <w:rPr>
          <w:rFonts w:ascii="宋体" w:hAnsi="Calibri" w:cs="宋体"/>
          <w:color w:val="000000"/>
          <w:sz w:val="21"/>
          <w:szCs w:val="21"/>
        </w:rPr>
      </w:pPr>
      <w:bookmarkStart w:id="9" w:name="_Toc394474000"/>
      <w:bookmarkStart w:id="10" w:name="_Toc881135"/>
      <w:r>
        <w:rPr>
          <w:rFonts w:ascii="宋体" w:hAnsi="Calibri" w:cs="宋体" w:hint="eastAsia"/>
          <w:color w:val="000000" w:themeColor="text1"/>
          <w:sz w:val="24"/>
          <w:highlight w:val="white"/>
        </w:rPr>
        <w:t>基金财产保管</w:t>
      </w:r>
      <w:bookmarkEnd w:id="9"/>
      <w:bookmarkEnd w:id="10"/>
    </w:p>
    <w:p w:rsidR="00F14202">
      <w:pPr>
        <w:spacing w:line="360" w:lineRule="auto"/>
        <w:jc w:val="left"/>
        <w:rPr>
          <w:rFonts w:ascii="宋体" w:hAnsi="Calibri" w:cs="宋体"/>
          <w:color w:val="000000"/>
          <w:sz w:val="21"/>
          <w:szCs w:val="21"/>
        </w:rPr>
      </w:pP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（一）基金财产保管的原则</w:t>
      </w:r>
    </w:p>
    <w:p w:rsidR="00F14202">
      <w:pPr>
        <w:spacing w:line="360" w:lineRule="auto"/>
        <w:ind w:firstLine="420"/>
        <w:rPr>
          <w:color w:val="000000"/>
          <w:sz w:val="21"/>
          <w:szCs w:val="21"/>
          <w:lang w:eastAsia="zh-CN"/>
        </w:rPr>
      </w:pPr>
      <w:r>
        <w:rPr>
          <w:rFonts w:ascii="宋体" w:hAnsi="宋体" w:cs="宋体"/>
          <w:color w:val="000000" w:themeColor="text1"/>
          <w:sz w:val="21"/>
          <w:szCs w:val="21"/>
          <w:highlight w:val="white"/>
          <w:lang w:eastAsia="zh-CN"/>
        </w:rPr>
        <w:t>1</w:t>
      </w:r>
      <w:r>
        <w:rPr>
          <w:rFonts w:hint="eastAsia"/>
          <w:color w:val="000000" w:themeColor="text1"/>
          <w:sz w:val="21"/>
          <w:szCs w:val="21"/>
          <w:highlight w:val="white"/>
          <w:lang w:eastAsia="zh-CN"/>
        </w:rPr>
        <w:t>、基金财产应独立于基金管理人、基金托管人的固有财产。</w:t>
      </w:r>
    </w:p>
    <w:p w:rsidR="00F14202">
      <w:pPr>
        <w:spacing w:line="360" w:lineRule="auto"/>
        <w:ind w:firstLine="420"/>
        <w:rPr>
          <w:color w:val="000000"/>
          <w:sz w:val="21"/>
          <w:szCs w:val="21"/>
          <w:lang w:eastAsia="zh-CN"/>
        </w:rPr>
      </w:pPr>
      <w:r>
        <w:rPr>
          <w:rFonts w:ascii="宋体" w:hAnsi="宋体" w:cs="宋体"/>
          <w:color w:val="000000" w:themeColor="text1"/>
          <w:sz w:val="21"/>
          <w:szCs w:val="21"/>
          <w:highlight w:val="white"/>
          <w:lang w:eastAsia="zh-CN"/>
        </w:rPr>
        <w:t>2</w:t>
      </w:r>
      <w:r>
        <w:rPr>
          <w:rFonts w:hint="eastAsia"/>
          <w:color w:val="000000" w:themeColor="text1"/>
          <w:sz w:val="21"/>
          <w:szCs w:val="21"/>
          <w:highlight w:val="white"/>
          <w:lang w:eastAsia="zh-CN"/>
        </w:rPr>
        <w:t>、基金托管人应安全保管基金财产，未经基金管理人的合法合规指令或法律法规、《基金合同》及本协议另有规定，不得自行运用、处分、分配基金的任何财产。</w:t>
      </w:r>
    </w:p>
    <w:p w:rsidR="00F14202">
      <w:pPr>
        <w:spacing w:line="360" w:lineRule="auto"/>
        <w:ind w:firstLine="420"/>
        <w:rPr>
          <w:color w:val="000000"/>
          <w:sz w:val="21"/>
          <w:szCs w:val="21"/>
          <w:lang w:eastAsia="zh-CN"/>
        </w:rPr>
      </w:pPr>
      <w:r>
        <w:rPr>
          <w:rFonts w:ascii="宋体" w:hAnsi="宋体" w:cs="宋体"/>
          <w:color w:val="000000" w:themeColor="text1"/>
          <w:sz w:val="21"/>
          <w:szCs w:val="21"/>
          <w:highlight w:val="white"/>
          <w:lang w:eastAsia="zh-CN"/>
        </w:rPr>
        <w:t>3</w:t>
      </w:r>
      <w:r>
        <w:rPr>
          <w:rFonts w:hint="eastAsia"/>
          <w:color w:val="000000" w:themeColor="text1"/>
          <w:sz w:val="21"/>
          <w:szCs w:val="21"/>
          <w:highlight w:val="white"/>
          <w:lang w:eastAsia="zh-CN"/>
        </w:rPr>
        <w:t>、基金托管人按照规定开设基金财产的资金账户、证券账户等投资所需账户，相关开户费用由基金资产承担。</w:t>
      </w:r>
    </w:p>
    <w:p w:rsidR="00F14202">
      <w:pPr>
        <w:spacing w:line="360" w:lineRule="auto"/>
        <w:ind w:firstLine="420"/>
        <w:rPr>
          <w:color w:val="000000"/>
          <w:sz w:val="21"/>
          <w:szCs w:val="21"/>
          <w:lang w:eastAsia="zh-CN"/>
        </w:rPr>
      </w:pPr>
      <w:r>
        <w:rPr>
          <w:rFonts w:ascii="宋体" w:hAnsi="宋体" w:cs="宋体"/>
          <w:color w:val="000000" w:themeColor="text1"/>
          <w:sz w:val="21"/>
          <w:szCs w:val="21"/>
          <w:highlight w:val="white"/>
          <w:lang w:eastAsia="zh-CN"/>
        </w:rPr>
        <w:t>4</w:t>
      </w:r>
      <w:r>
        <w:rPr>
          <w:rFonts w:hint="eastAsia"/>
          <w:color w:val="000000" w:themeColor="text1"/>
          <w:sz w:val="21"/>
          <w:szCs w:val="21"/>
          <w:highlight w:val="white"/>
          <w:lang w:eastAsia="zh-CN"/>
        </w:rPr>
        <w:t>、基金托管人对所托管的不同基金财产分别设置账户，分账管理，独立核算，确保基金财产的完整与独立。</w:t>
      </w:r>
    </w:p>
    <w:p w:rsidR="00F14202">
      <w:pPr>
        <w:spacing w:line="360" w:lineRule="auto"/>
        <w:ind w:firstLine="420"/>
        <w:rPr>
          <w:color w:val="000000"/>
          <w:sz w:val="21"/>
          <w:szCs w:val="21"/>
          <w:lang w:eastAsia="zh-CN"/>
        </w:rPr>
      </w:pPr>
      <w:r>
        <w:rPr>
          <w:rFonts w:ascii="宋体" w:hAnsi="宋体" w:cs="宋体"/>
          <w:color w:val="000000" w:themeColor="text1"/>
          <w:sz w:val="21"/>
          <w:szCs w:val="21"/>
          <w:highlight w:val="white"/>
          <w:lang w:eastAsia="zh-CN"/>
        </w:rPr>
        <w:t>5</w:t>
      </w:r>
      <w:r>
        <w:rPr>
          <w:rFonts w:hint="eastAsia"/>
          <w:color w:val="000000" w:themeColor="text1"/>
          <w:sz w:val="21"/>
          <w:szCs w:val="21"/>
          <w:highlight w:val="white"/>
          <w:lang w:eastAsia="zh-CN"/>
        </w:rPr>
        <w:t>、对于因为基金认申购、投资产生的应收资产，如基金托管人无法从公开信息或基金管理人提供的书</w:t>
      </w:r>
      <w:r>
        <w:rPr>
          <w:color w:val="000000" w:themeColor="text1"/>
          <w:sz w:val="21"/>
          <w:szCs w:val="21"/>
          <w:highlight w:val="white"/>
          <w:lang w:eastAsia="zh-CN"/>
        </w:rPr>
        <w:t>面</w:t>
      </w:r>
      <w:r>
        <w:rPr>
          <w:rFonts w:hint="eastAsia"/>
          <w:color w:val="000000" w:themeColor="text1"/>
          <w:sz w:val="21"/>
          <w:szCs w:val="21"/>
          <w:highlight w:val="white"/>
          <w:lang w:eastAsia="zh-CN"/>
        </w:rPr>
        <w:t>资</w:t>
      </w:r>
      <w:r>
        <w:rPr>
          <w:color w:val="000000" w:themeColor="text1"/>
          <w:sz w:val="21"/>
          <w:szCs w:val="21"/>
          <w:highlight w:val="white"/>
          <w:lang w:eastAsia="zh-CN"/>
        </w:rPr>
        <w:t>料中</w:t>
      </w:r>
      <w:r>
        <w:rPr>
          <w:rFonts w:hint="eastAsia"/>
          <w:color w:val="000000" w:themeColor="text1"/>
          <w:sz w:val="21"/>
          <w:szCs w:val="21"/>
          <w:highlight w:val="white"/>
          <w:lang w:eastAsia="zh-CN"/>
        </w:rPr>
        <w:t>获</w:t>
      </w:r>
      <w:r>
        <w:rPr>
          <w:color w:val="000000" w:themeColor="text1"/>
          <w:sz w:val="21"/>
          <w:szCs w:val="21"/>
          <w:highlight w:val="white"/>
          <w:lang w:eastAsia="zh-CN"/>
        </w:rPr>
        <w:t>取到</w:t>
      </w:r>
      <w:r>
        <w:rPr>
          <w:rFonts w:hint="eastAsia"/>
          <w:color w:val="000000" w:themeColor="text1"/>
          <w:sz w:val="21"/>
          <w:szCs w:val="21"/>
          <w:highlight w:val="white"/>
          <w:lang w:eastAsia="zh-CN"/>
        </w:rPr>
        <w:t>账</w:t>
      </w:r>
      <w:r>
        <w:rPr>
          <w:color w:val="000000" w:themeColor="text1"/>
          <w:sz w:val="21"/>
          <w:szCs w:val="21"/>
          <w:highlight w:val="white"/>
          <w:lang w:eastAsia="zh-CN"/>
        </w:rPr>
        <w:t>日期信息的，</w:t>
      </w:r>
      <w:r>
        <w:rPr>
          <w:rFonts w:hint="eastAsia"/>
          <w:color w:val="000000" w:themeColor="text1"/>
          <w:sz w:val="21"/>
          <w:szCs w:val="21"/>
          <w:highlight w:val="white"/>
          <w:lang w:eastAsia="zh-CN"/>
        </w:rPr>
        <w:t>应由基金管理人负责与有关当事人确定到账日期并通知基金托管人，到账日基金财产没有到达基金账户的，基金托管人应及时通知基金管理人采取措施进行催收。基金管理人未及时催收给基金财产造成损失的，基金管理人应负责向有关当事人追偿基金财产的损失，基金托管人应予以必要的协助与配合，但对此不承担任何责任。</w:t>
      </w:r>
    </w:p>
    <w:p w:rsidR="00F14202">
      <w:pPr>
        <w:spacing w:line="360" w:lineRule="auto"/>
        <w:ind w:firstLine="420"/>
        <w:rPr>
          <w:color w:val="000000"/>
          <w:sz w:val="21"/>
          <w:szCs w:val="21"/>
          <w:lang w:eastAsia="zh-CN"/>
        </w:rPr>
      </w:pPr>
      <w:r>
        <w:rPr>
          <w:rFonts w:ascii="宋体" w:hAnsi="宋体" w:cs="宋体"/>
          <w:color w:val="000000" w:themeColor="text1"/>
          <w:sz w:val="21"/>
          <w:szCs w:val="21"/>
          <w:highlight w:val="white"/>
          <w:lang w:eastAsia="zh-CN"/>
        </w:rPr>
        <w:t>6</w:t>
      </w:r>
      <w:r>
        <w:rPr>
          <w:rFonts w:hint="eastAsia"/>
          <w:color w:val="000000" w:themeColor="text1"/>
          <w:sz w:val="21"/>
          <w:szCs w:val="21"/>
          <w:highlight w:val="white"/>
          <w:lang w:eastAsia="zh-CN"/>
        </w:rPr>
        <w:t>、对因为基金管理人投资产生的存放或存管在基金托管人以外机构的基金财产，或交由期货公司或证券公司负责清算交</w:t>
      </w:r>
      <w:r>
        <w:rPr>
          <w:rFonts w:hint="eastAsia"/>
          <w:color w:val="000000" w:themeColor="text1"/>
          <w:sz w:val="21"/>
          <w:szCs w:val="21"/>
          <w:highlight w:val="white"/>
          <w:lang w:eastAsia="zh-CN"/>
        </w:rPr>
        <w:t>收的基金财产（包括但不限于期货保证金账户内的资金、期货合约等）及其收益，若由于该等机构或该机构会员单位等本协议当事人外第三方的原因给基金财产造成的损失等，基金托管人不承担责任。</w:t>
      </w:r>
    </w:p>
    <w:p w:rsidR="00F14202">
      <w:pPr>
        <w:spacing w:line="360" w:lineRule="auto"/>
        <w:ind w:firstLine="420"/>
        <w:rPr>
          <w:color w:val="000000"/>
          <w:sz w:val="21"/>
          <w:szCs w:val="21"/>
          <w:lang w:eastAsia="zh-CN"/>
        </w:rPr>
      </w:pPr>
      <w:r>
        <w:rPr>
          <w:rFonts w:ascii="宋体" w:hAnsi="宋体" w:cs="宋体"/>
          <w:color w:val="000000" w:themeColor="text1"/>
          <w:sz w:val="21"/>
          <w:szCs w:val="21"/>
          <w:highlight w:val="white"/>
          <w:lang w:eastAsia="zh-CN"/>
        </w:rPr>
        <w:t>7</w:t>
      </w:r>
      <w:r>
        <w:rPr>
          <w:rFonts w:hint="eastAsia"/>
          <w:color w:val="000000" w:themeColor="text1"/>
          <w:sz w:val="21"/>
          <w:szCs w:val="21"/>
          <w:highlight w:val="white"/>
          <w:lang w:eastAsia="zh-CN"/>
        </w:rPr>
        <w:t>、除依据法律法规、《基金合同》及其他有关规定外，基金托管人不得委托第三人托管基金财产。</w:t>
      </w:r>
    </w:p>
    <w:p w:rsidR="00F14202">
      <w:pPr>
        <w:spacing w:line="360" w:lineRule="auto"/>
        <w:ind w:firstLine="420"/>
        <w:rPr>
          <w:rFonts w:ascii="宋体" w:hAnsi="等线"/>
          <w:color w:val="000000"/>
          <w:sz w:val="21"/>
          <w:szCs w:val="21"/>
          <w:lang w:eastAsia="zh-CN"/>
        </w:rPr>
      </w:pPr>
      <w:r>
        <w:rPr>
          <w:rFonts w:ascii="宋体" w:hAnsi="等线" w:hint="eastAsia"/>
          <w:color w:val="000000" w:themeColor="text1"/>
          <w:sz w:val="21"/>
          <w:szCs w:val="21"/>
          <w:highlight w:val="white"/>
          <w:lang w:eastAsia="zh-CN"/>
        </w:rPr>
        <w:t>（二）</w:t>
      </w:r>
      <w:r>
        <w:rPr>
          <w:rFonts w:ascii="宋体" w:hAnsi="等线" w:cs="宋体" w:hint="eastAsia"/>
          <w:color w:val="000000" w:themeColor="text1"/>
          <w:sz w:val="21"/>
          <w:szCs w:val="21"/>
          <w:highlight w:val="white"/>
          <w:lang w:eastAsia="zh-CN"/>
        </w:rPr>
        <w:t>《基金合同》</w:t>
      </w:r>
      <w:r>
        <w:rPr>
          <w:rFonts w:ascii="宋体" w:hAnsi="等线" w:hint="eastAsia"/>
          <w:color w:val="000000" w:themeColor="text1"/>
          <w:sz w:val="21"/>
          <w:szCs w:val="21"/>
          <w:highlight w:val="white"/>
          <w:lang w:eastAsia="zh-CN"/>
        </w:rPr>
        <w:t>生效前募集资金的验资和入账</w:t>
      </w:r>
    </w:p>
    <w:p w:rsidR="00F14202">
      <w:pPr>
        <w:spacing w:line="360" w:lineRule="auto"/>
        <w:ind w:firstLine="420"/>
        <w:rPr>
          <w:rFonts w:ascii="宋体" w:hAnsi="等线"/>
          <w:color w:val="000000"/>
          <w:sz w:val="21"/>
          <w:szCs w:val="21"/>
          <w:lang w:eastAsia="zh-CN"/>
        </w:rPr>
      </w:pPr>
      <w:r>
        <w:rPr>
          <w:rFonts w:ascii="宋体" w:hAnsi="等线"/>
          <w:color w:val="000000" w:themeColor="text1"/>
          <w:sz w:val="21"/>
          <w:szCs w:val="21"/>
          <w:highlight w:val="white"/>
          <w:lang w:eastAsia="zh-CN"/>
        </w:rPr>
        <w:t>1</w:t>
      </w:r>
      <w:r>
        <w:rPr>
          <w:rFonts w:ascii="宋体" w:hAnsi="等线" w:hint="eastAsia"/>
          <w:color w:val="000000" w:themeColor="text1"/>
          <w:sz w:val="21"/>
          <w:szCs w:val="21"/>
          <w:highlight w:val="white"/>
          <w:lang w:eastAsia="zh-CN"/>
        </w:rPr>
        <w:t>、基金募集期间募集的资金应存于专门账户。基金募集期满或基金管理人宣布停止募集时，募集的基金份额总额、基金募集金额、基金份额持有人人数符合《基金法》、《运作办法》等有关规定后，属于本基金财产的全部资</w:t>
      </w:r>
      <w:r>
        <w:rPr>
          <w:rFonts w:ascii="宋体" w:hAnsi="等线" w:hint="eastAsia"/>
          <w:color w:val="000000" w:themeColor="text1"/>
          <w:sz w:val="21"/>
          <w:szCs w:val="21"/>
          <w:highlight w:val="white"/>
          <w:lang w:eastAsia="zh-CN"/>
        </w:rPr>
        <w:t>金应划入基金托管人为本基金开立的基金银行账户。同时在</w:t>
      </w:r>
      <w:r>
        <w:rPr>
          <w:rFonts w:ascii="宋体" w:hAnsi="等线"/>
          <w:color w:val="000000" w:themeColor="text1"/>
          <w:sz w:val="21"/>
          <w:szCs w:val="21"/>
          <w:highlight w:val="white"/>
          <w:lang w:eastAsia="zh-CN"/>
        </w:rPr>
        <w:t>规定时间内</w:t>
      </w:r>
      <w:r>
        <w:rPr>
          <w:rFonts w:ascii="宋体" w:hAnsi="等线" w:hint="eastAsia"/>
          <w:color w:val="000000" w:themeColor="text1"/>
          <w:sz w:val="21"/>
          <w:szCs w:val="21"/>
          <w:highlight w:val="white"/>
          <w:lang w:eastAsia="zh-CN"/>
        </w:rPr>
        <w:t>，由基金管理人在法定期限内聘请符合《证券法》规定的会计师事务所对基金进行验资，并出具验资报告，出具的验资报告应由参加验资的</w:t>
      </w:r>
      <w:r>
        <w:rPr>
          <w:rFonts w:ascii="宋体" w:hAnsi="等线"/>
          <w:color w:val="000000" w:themeColor="text1"/>
          <w:sz w:val="21"/>
          <w:szCs w:val="21"/>
          <w:highlight w:val="white"/>
          <w:lang w:eastAsia="zh-CN"/>
        </w:rPr>
        <w:t>2</w:t>
      </w:r>
      <w:r>
        <w:rPr>
          <w:rFonts w:ascii="宋体" w:hAnsi="等线" w:hint="eastAsia"/>
          <w:color w:val="000000" w:themeColor="text1"/>
          <w:sz w:val="21"/>
          <w:szCs w:val="21"/>
          <w:highlight w:val="white"/>
          <w:lang w:eastAsia="zh-CN"/>
        </w:rPr>
        <w:t>名以上</w:t>
      </w:r>
      <w:r>
        <w:rPr>
          <w:rFonts w:ascii="宋体" w:hAnsi="等线"/>
          <w:color w:val="000000" w:themeColor="text1"/>
          <w:sz w:val="21"/>
          <w:szCs w:val="21"/>
          <w:highlight w:val="white"/>
          <w:lang w:eastAsia="zh-CN"/>
        </w:rPr>
        <w:t>(</w:t>
      </w:r>
      <w:r>
        <w:rPr>
          <w:rFonts w:ascii="宋体" w:hAnsi="等线" w:hint="eastAsia"/>
          <w:color w:val="000000" w:themeColor="text1"/>
          <w:sz w:val="21"/>
          <w:szCs w:val="21"/>
          <w:highlight w:val="white"/>
          <w:lang w:eastAsia="zh-CN"/>
        </w:rPr>
        <w:t>含</w:t>
      </w:r>
      <w:r>
        <w:rPr>
          <w:rFonts w:ascii="宋体" w:hAnsi="等线"/>
          <w:color w:val="000000" w:themeColor="text1"/>
          <w:sz w:val="21"/>
          <w:szCs w:val="21"/>
          <w:highlight w:val="white"/>
          <w:lang w:eastAsia="zh-CN"/>
        </w:rPr>
        <w:t>2</w:t>
      </w:r>
      <w:r>
        <w:rPr>
          <w:rFonts w:ascii="宋体" w:hAnsi="等线" w:hint="eastAsia"/>
          <w:color w:val="000000" w:themeColor="text1"/>
          <w:sz w:val="21"/>
          <w:szCs w:val="21"/>
          <w:highlight w:val="white"/>
          <w:lang w:eastAsia="zh-CN"/>
        </w:rPr>
        <w:t>名</w:t>
      </w:r>
      <w:r>
        <w:rPr>
          <w:rFonts w:ascii="宋体" w:hAnsi="等线"/>
          <w:color w:val="000000" w:themeColor="text1"/>
          <w:sz w:val="21"/>
          <w:szCs w:val="21"/>
          <w:highlight w:val="white"/>
          <w:lang w:eastAsia="zh-CN"/>
        </w:rPr>
        <w:t>)</w:t>
      </w:r>
      <w:r>
        <w:rPr>
          <w:rFonts w:ascii="宋体" w:hAnsi="等线" w:hint="eastAsia"/>
          <w:color w:val="000000" w:themeColor="text1"/>
          <w:sz w:val="21"/>
          <w:szCs w:val="21"/>
          <w:highlight w:val="white"/>
          <w:lang w:eastAsia="zh-CN"/>
        </w:rPr>
        <w:t>中国注册会计师签字方为有效。</w:t>
      </w:r>
    </w:p>
    <w:p w:rsidR="00F14202">
      <w:pPr>
        <w:spacing w:line="360" w:lineRule="auto"/>
        <w:ind w:firstLine="420"/>
        <w:rPr>
          <w:rFonts w:ascii="宋体" w:hAnsi="等线"/>
          <w:color w:val="000000"/>
          <w:sz w:val="21"/>
          <w:szCs w:val="21"/>
          <w:lang w:eastAsia="zh-CN"/>
        </w:rPr>
      </w:pPr>
      <w:r>
        <w:rPr>
          <w:rFonts w:ascii="宋体" w:hAnsi="等线"/>
          <w:color w:val="000000" w:themeColor="text1"/>
          <w:sz w:val="21"/>
          <w:szCs w:val="21"/>
          <w:highlight w:val="white"/>
          <w:lang w:eastAsia="zh-CN"/>
        </w:rPr>
        <w:t>2</w:t>
      </w:r>
      <w:r>
        <w:rPr>
          <w:rFonts w:ascii="宋体" w:hAnsi="等线" w:hint="eastAsia"/>
          <w:color w:val="000000" w:themeColor="text1"/>
          <w:sz w:val="21"/>
          <w:szCs w:val="21"/>
          <w:highlight w:val="white"/>
          <w:lang w:eastAsia="zh-CN"/>
        </w:rPr>
        <w:t>、若基金募集期限届满，未能达到《基金合同》生效的条件，由基金管理人按规定办理退款等事宜，基金托管人应提供必要的协助。</w:t>
      </w:r>
    </w:p>
    <w:p w:rsidR="00F14202">
      <w:pPr>
        <w:spacing w:line="360" w:lineRule="auto"/>
        <w:ind w:firstLine="420"/>
        <w:rPr>
          <w:rFonts w:ascii="宋体" w:hAnsi="等线"/>
          <w:color w:val="000000"/>
          <w:sz w:val="21"/>
          <w:szCs w:val="21"/>
          <w:lang w:eastAsia="zh-CN"/>
        </w:rPr>
      </w:pPr>
      <w:r>
        <w:rPr>
          <w:rFonts w:ascii="宋体" w:hAnsi="等线" w:hint="eastAsia"/>
          <w:color w:val="000000" w:themeColor="text1"/>
          <w:sz w:val="21"/>
          <w:szCs w:val="21"/>
          <w:highlight w:val="white"/>
          <w:lang w:eastAsia="zh-CN"/>
        </w:rPr>
        <w:t>（三）基金的银行账户的开设和管理</w:t>
      </w:r>
    </w:p>
    <w:p w:rsidR="00F14202">
      <w:pPr>
        <w:spacing w:line="360" w:lineRule="auto"/>
        <w:ind w:firstLine="420"/>
        <w:rPr>
          <w:rFonts w:ascii="宋体" w:hAnsi="等线"/>
          <w:color w:val="000000"/>
          <w:sz w:val="21"/>
          <w:szCs w:val="21"/>
          <w:lang w:eastAsia="zh-CN"/>
        </w:rPr>
      </w:pPr>
      <w:r>
        <w:rPr>
          <w:rFonts w:ascii="宋体" w:hAnsi="等线"/>
          <w:color w:val="000000" w:themeColor="text1"/>
          <w:sz w:val="21"/>
          <w:szCs w:val="21"/>
          <w:highlight w:val="white"/>
          <w:lang w:eastAsia="zh-CN"/>
        </w:rPr>
        <w:t>1</w:t>
      </w:r>
      <w:r>
        <w:rPr>
          <w:rFonts w:ascii="宋体" w:hAnsi="等线" w:hint="eastAsia"/>
          <w:color w:val="000000" w:themeColor="text1"/>
          <w:sz w:val="21"/>
          <w:szCs w:val="21"/>
          <w:highlight w:val="white"/>
          <w:lang w:eastAsia="zh-CN"/>
        </w:rPr>
        <w:t>、基金托管人应负责本基金的银行账户的开设和管理。</w:t>
      </w:r>
    </w:p>
    <w:p w:rsidR="00F14202">
      <w:pPr>
        <w:spacing w:line="360" w:lineRule="auto"/>
        <w:ind w:firstLine="420"/>
        <w:rPr>
          <w:rFonts w:ascii="宋体" w:hAnsi="等线"/>
          <w:color w:val="000000"/>
          <w:sz w:val="21"/>
          <w:szCs w:val="21"/>
          <w:lang w:eastAsia="zh-CN"/>
        </w:rPr>
      </w:pPr>
      <w:r>
        <w:rPr>
          <w:rFonts w:ascii="宋体" w:hAnsi="等线"/>
          <w:color w:val="000000" w:themeColor="text1"/>
          <w:sz w:val="21"/>
          <w:szCs w:val="21"/>
          <w:highlight w:val="white"/>
          <w:lang w:eastAsia="zh-CN"/>
        </w:rPr>
        <w:t>2</w:t>
      </w:r>
      <w:r>
        <w:rPr>
          <w:rFonts w:ascii="宋体" w:hAnsi="等线" w:hint="eastAsia"/>
          <w:color w:val="000000" w:themeColor="text1"/>
          <w:sz w:val="21"/>
          <w:szCs w:val="21"/>
          <w:highlight w:val="white"/>
          <w:lang w:eastAsia="zh-CN"/>
        </w:rPr>
        <w:t>、基金托管人以本基金的名义在具有基金托管资格的商业银行开设本基金的银行账户。本基金的银行预留印鉴为“中信证券股份有限公司托管业务结算专用章”和基金托管人有权人名章。本基金的一切货币收支活动，包括但不限于投资、支付赎回金额、支付基金收益、收取申购款，均需通过本基金的银行账户进行。</w:t>
      </w:r>
    </w:p>
    <w:p w:rsidR="00F14202">
      <w:pPr>
        <w:spacing w:line="360" w:lineRule="auto"/>
        <w:ind w:firstLine="420"/>
        <w:rPr>
          <w:rFonts w:ascii="宋体" w:hAnsi="等线"/>
          <w:color w:val="000000"/>
          <w:sz w:val="21"/>
          <w:szCs w:val="21"/>
          <w:lang w:eastAsia="zh-CN"/>
        </w:rPr>
      </w:pPr>
      <w:r>
        <w:rPr>
          <w:rFonts w:ascii="宋体" w:hAnsi="等线"/>
          <w:color w:val="000000" w:themeColor="text1"/>
          <w:sz w:val="21"/>
          <w:szCs w:val="21"/>
          <w:highlight w:val="white"/>
          <w:lang w:eastAsia="zh-CN"/>
        </w:rPr>
        <w:t>3</w:t>
      </w:r>
      <w:r>
        <w:rPr>
          <w:rFonts w:ascii="宋体" w:hAnsi="等线" w:hint="eastAsia"/>
          <w:color w:val="000000" w:themeColor="text1"/>
          <w:sz w:val="21"/>
          <w:szCs w:val="21"/>
          <w:highlight w:val="white"/>
          <w:lang w:eastAsia="zh-CN"/>
        </w:rPr>
        <w:t>、本基金银行账户的开立和使用，限于满足开展本基金业务的需要。基金托管人和基金管理人不得假借本基金的名义开立其他任何银行账户；亦不得使用本基金的银行账户进行本基金业务以外的活动。</w:t>
      </w:r>
    </w:p>
    <w:p w:rsidR="00F14202">
      <w:pPr>
        <w:spacing w:line="360" w:lineRule="auto"/>
        <w:ind w:firstLine="420"/>
        <w:rPr>
          <w:rFonts w:ascii="宋体" w:hAnsi="等线"/>
          <w:color w:val="000000"/>
          <w:sz w:val="21"/>
          <w:szCs w:val="21"/>
          <w:lang w:eastAsia="zh-CN"/>
        </w:rPr>
      </w:pPr>
      <w:r>
        <w:rPr>
          <w:rFonts w:ascii="宋体" w:hAnsi="等线"/>
          <w:color w:val="000000" w:themeColor="text1"/>
          <w:sz w:val="21"/>
          <w:szCs w:val="21"/>
          <w:highlight w:val="white"/>
          <w:lang w:eastAsia="zh-CN"/>
        </w:rPr>
        <w:t>4</w:t>
      </w:r>
      <w:r>
        <w:rPr>
          <w:rFonts w:ascii="宋体" w:hAnsi="等线" w:hint="eastAsia"/>
          <w:color w:val="000000" w:themeColor="text1"/>
          <w:sz w:val="21"/>
          <w:szCs w:val="21"/>
          <w:highlight w:val="white"/>
          <w:lang w:eastAsia="zh-CN"/>
        </w:rPr>
        <w:t>、基金银行账户的管理应符合《人民币银行结算账户管理</w:t>
      </w:r>
      <w:r>
        <w:rPr>
          <w:rFonts w:ascii="宋体" w:hAnsi="等线" w:hint="eastAsia"/>
          <w:color w:val="000000" w:themeColor="text1"/>
          <w:sz w:val="21"/>
          <w:szCs w:val="21"/>
          <w:highlight w:val="white"/>
          <w:lang w:eastAsia="zh-CN"/>
        </w:rPr>
        <w:t>办法》、《支付结算办法》以及其他相关规定。</w:t>
      </w:r>
    </w:p>
    <w:p w:rsidR="00F14202">
      <w:pPr>
        <w:spacing w:line="360" w:lineRule="auto"/>
        <w:ind w:firstLine="420"/>
        <w:rPr>
          <w:rFonts w:ascii="宋体" w:hAnsi="等线"/>
          <w:color w:val="000000"/>
          <w:sz w:val="21"/>
          <w:szCs w:val="21"/>
          <w:lang w:eastAsia="zh-CN"/>
        </w:rPr>
      </w:pPr>
      <w:r>
        <w:rPr>
          <w:rFonts w:ascii="宋体" w:hAnsi="等线" w:hint="eastAsia"/>
          <w:color w:val="000000" w:themeColor="text1"/>
          <w:sz w:val="21"/>
          <w:szCs w:val="21"/>
          <w:highlight w:val="white"/>
          <w:lang w:eastAsia="zh-CN"/>
        </w:rPr>
        <w:t>（四）基金证券账户和结算备付金账户的开设和管理</w:t>
      </w:r>
    </w:p>
    <w:p w:rsidR="00F14202">
      <w:pPr>
        <w:spacing w:line="360" w:lineRule="auto"/>
        <w:ind w:firstLine="420"/>
        <w:rPr>
          <w:rFonts w:ascii="宋体" w:hAnsi="等线"/>
          <w:color w:val="000000"/>
          <w:sz w:val="21"/>
          <w:szCs w:val="21"/>
          <w:lang w:eastAsia="zh-CN"/>
        </w:rPr>
      </w:pPr>
      <w:r>
        <w:rPr>
          <w:rFonts w:ascii="宋体" w:hAnsi="等线" w:hint="eastAsia"/>
          <w:color w:val="000000" w:themeColor="text1"/>
          <w:sz w:val="21"/>
          <w:szCs w:val="21"/>
          <w:highlight w:val="white"/>
          <w:lang w:eastAsia="zh-CN"/>
        </w:rPr>
        <w:t>1</w:t>
      </w:r>
      <w:r>
        <w:rPr>
          <w:rFonts w:ascii="宋体" w:hAnsi="等线" w:hint="eastAsia"/>
          <w:color w:val="000000" w:themeColor="text1"/>
          <w:sz w:val="21"/>
          <w:szCs w:val="21"/>
          <w:highlight w:val="white"/>
          <w:lang w:eastAsia="zh-CN"/>
        </w:rPr>
        <w:t>、基金托管人应当代表本基金，以基金托管人和本基金联名的方式在中国证券登记结算有限责任公司（以下简称“中国结算”）开设证券账户。</w:t>
      </w:r>
    </w:p>
    <w:p w:rsidR="00F14202">
      <w:pPr>
        <w:spacing w:line="360" w:lineRule="auto"/>
        <w:ind w:firstLine="420"/>
        <w:rPr>
          <w:rFonts w:ascii="宋体" w:hAnsi="等线"/>
          <w:color w:val="000000"/>
          <w:sz w:val="21"/>
          <w:szCs w:val="21"/>
          <w:lang w:eastAsia="zh-CN"/>
        </w:rPr>
      </w:pPr>
      <w:r>
        <w:rPr>
          <w:rFonts w:ascii="宋体" w:hAnsi="等线" w:hint="eastAsia"/>
          <w:color w:val="000000" w:themeColor="text1"/>
          <w:sz w:val="21"/>
          <w:szCs w:val="21"/>
          <w:highlight w:val="white"/>
          <w:lang w:eastAsia="zh-CN"/>
        </w:rPr>
        <w:t>2</w:t>
      </w:r>
      <w:r>
        <w:rPr>
          <w:rFonts w:ascii="宋体" w:hAnsi="等线" w:hint="eastAsia"/>
          <w:color w:val="000000" w:themeColor="text1"/>
          <w:sz w:val="21"/>
          <w:szCs w:val="21"/>
          <w:highlight w:val="white"/>
          <w:lang w:eastAsia="zh-CN"/>
        </w:rPr>
        <w:t>、本基金证券账户的开立和使用，限于满足开展本基金业务的需要。基金托管人和基金管理人不得出借或未经另一方同意擅自转让本基金的证券账户；亦不得使用本基金的证券账户进行本基金业务以外的活动。</w:t>
      </w:r>
    </w:p>
    <w:p w:rsidR="00F14202">
      <w:pPr>
        <w:spacing w:line="360" w:lineRule="auto"/>
        <w:ind w:firstLine="420"/>
        <w:rPr>
          <w:rFonts w:ascii="宋体" w:hAnsi="等线"/>
          <w:color w:val="000000"/>
          <w:sz w:val="21"/>
          <w:szCs w:val="21"/>
          <w:lang w:eastAsia="zh-CN"/>
        </w:rPr>
      </w:pPr>
      <w:r>
        <w:rPr>
          <w:rFonts w:ascii="宋体" w:hAnsi="等线" w:hint="eastAsia"/>
          <w:color w:val="000000" w:themeColor="text1"/>
          <w:sz w:val="21"/>
          <w:szCs w:val="21"/>
          <w:highlight w:val="white"/>
          <w:lang w:eastAsia="zh-CN"/>
        </w:rPr>
        <w:t>3</w:t>
      </w:r>
      <w:r>
        <w:rPr>
          <w:rFonts w:ascii="宋体" w:hAnsi="等线" w:hint="eastAsia"/>
          <w:color w:val="000000" w:themeColor="text1"/>
          <w:sz w:val="21"/>
          <w:szCs w:val="21"/>
          <w:highlight w:val="white"/>
          <w:lang w:eastAsia="zh-CN"/>
        </w:rPr>
        <w:t>、基金证券账户的开立由基金托管人负责，账户资产的管理和运用由基金管理人负责。</w:t>
      </w:r>
    </w:p>
    <w:p w:rsidR="00F14202">
      <w:pPr>
        <w:spacing w:line="360" w:lineRule="auto"/>
        <w:ind w:firstLine="420"/>
        <w:rPr>
          <w:rFonts w:ascii="宋体" w:hAnsi="等线"/>
          <w:color w:val="000000"/>
          <w:sz w:val="21"/>
          <w:szCs w:val="21"/>
          <w:lang w:eastAsia="zh-CN"/>
        </w:rPr>
      </w:pPr>
      <w:r>
        <w:rPr>
          <w:rFonts w:ascii="宋体" w:hAnsi="等线" w:hint="eastAsia"/>
          <w:color w:val="000000" w:themeColor="text1"/>
          <w:sz w:val="21"/>
          <w:szCs w:val="21"/>
          <w:highlight w:val="white"/>
          <w:lang w:eastAsia="zh-CN"/>
        </w:rPr>
        <w:t>4</w:t>
      </w:r>
      <w:r>
        <w:rPr>
          <w:rFonts w:ascii="宋体" w:hAnsi="等线" w:hint="eastAsia"/>
          <w:color w:val="000000" w:themeColor="text1"/>
          <w:sz w:val="21"/>
          <w:szCs w:val="21"/>
          <w:highlight w:val="white"/>
          <w:lang w:eastAsia="zh-CN"/>
        </w:rPr>
        <w:t>、基金托管人以托管人名义在中国结算开立结算备付金账户，用于办理基金托管人所托管的包括本基金在内的全部基金在证券交易所进行证券投资所涉及的资金结算业务。结算备付金的收取按照中国结算的规定执行。</w:t>
      </w:r>
    </w:p>
    <w:p w:rsidR="00F14202">
      <w:pPr>
        <w:spacing w:line="360" w:lineRule="auto"/>
        <w:ind w:firstLine="420"/>
        <w:rPr>
          <w:rFonts w:ascii="宋体" w:hAnsi="等线"/>
          <w:color w:val="000000"/>
          <w:sz w:val="21"/>
          <w:szCs w:val="21"/>
          <w:lang w:eastAsia="zh-CN"/>
        </w:rPr>
      </w:pPr>
      <w:r>
        <w:rPr>
          <w:rFonts w:ascii="宋体" w:hAnsi="等线" w:hint="eastAsia"/>
          <w:color w:val="000000" w:themeColor="text1"/>
          <w:sz w:val="21"/>
          <w:szCs w:val="21"/>
          <w:highlight w:val="white"/>
          <w:lang w:eastAsia="zh-CN"/>
        </w:rPr>
        <w:t>5</w:t>
      </w:r>
      <w:r>
        <w:rPr>
          <w:rFonts w:ascii="宋体" w:hAnsi="等线" w:hint="eastAsia"/>
          <w:color w:val="000000" w:themeColor="text1"/>
          <w:sz w:val="21"/>
          <w:szCs w:val="21"/>
          <w:highlight w:val="white"/>
          <w:lang w:eastAsia="zh-CN"/>
        </w:rPr>
        <w:t>、在本托管协议生效日之后，本基金被允许从事其他投资品种的投资业务的，涉及相关账户的开设、使用的，若无相关规定，则基金托管人应当比照并遵守上述关于账户开设、使用的规定。</w:t>
      </w:r>
    </w:p>
    <w:p w:rsidR="00F14202">
      <w:pPr>
        <w:spacing w:line="360" w:lineRule="auto"/>
        <w:ind w:firstLine="420"/>
        <w:rPr>
          <w:rFonts w:ascii="宋体" w:hAnsi="等线"/>
          <w:color w:val="000000"/>
          <w:sz w:val="21"/>
          <w:szCs w:val="21"/>
          <w:lang w:eastAsia="zh-CN"/>
        </w:rPr>
      </w:pPr>
      <w:r>
        <w:rPr>
          <w:rFonts w:ascii="宋体" w:hAnsi="等线" w:hint="eastAsia"/>
          <w:color w:val="000000" w:themeColor="text1"/>
          <w:sz w:val="21"/>
          <w:szCs w:val="21"/>
          <w:highlight w:val="white"/>
          <w:lang w:eastAsia="zh-CN"/>
        </w:rPr>
        <w:t>（五）债券托管账户的开设和管理</w:t>
      </w:r>
    </w:p>
    <w:p w:rsidR="00F14202">
      <w:pPr>
        <w:spacing w:line="360" w:lineRule="auto"/>
        <w:ind w:firstLine="420"/>
        <w:rPr>
          <w:rFonts w:ascii="宋体" w:hAnsi="等线"/>
          <w:color w:val="000000"/>
          <w:sz w:val="21"/>
          <w:szCs w:val="21"/>
          <w:lang w:eastAsia="zh-CN"/>
        </w:rPr>
      </w:pPr>
      <w:r>
        <w:rPr>
          <w:rFonts w:ascii="宋体" w:hAnsi="等线" w:hint="eastAsia"/>
          <w:color w:val="000000" w:themeColor="text1"/>
          <w:sz w:val="21"/>
          <w:szCs w:val="21"/>
          <w:highlight w:val="white"/>
          <w:lang w:eastAsia="zh-CN"/>
        </w:rPr>
        <w:t>《基金合同》生效后，基金管理人负责以基金的名义申请并取得进入全国银行间同业拆借市场的交易资格，并代表基金进行交易；基</w:t>
      </w:r>
      <w:r>
        <w:rPr>
          <w:rFonts w:ascii="宋体" w:hAnsi="等线" w:hint="eastAsia"/>
          <w:color w:val="000000" w:themeColor="text1"/>
          <w:sz w:val="21"/>
          <w:szCs w:val="21"/>
          <w:highlight w:val="white"/>
          <w:lang w:eastAsia="zh-CN"/>
        </w:rPr>
        <w:t>金托管人根据中国人民银行、银行间市场登记结算机构的有关规定，以基金的名义在中央国债登记结算有限责任公司、银行间市场清算所股份有限公司开设银行间债券市场债券托管账户和资金结算专户，并代表基金进行银行间债券市场债券和资金的清算。基金管理人和基金托管人应共同负责完成银行间债券市场准入备案。</w:t>
      </w:r>
    </w:p>
    <w:p w:rsidR="00F14202">
      <w:pPr>
        <w:spacing w:line="360" w:lineRule="auto"/>
        <w:ind w:firstLine="420"/>
        <w:rPr>
          <w:rFonts w:ascii="宋体" w:hAnsi="等线"/>
          <w:color w:val="000000"/>
          <w:sz w:val="21"/>
          <w:szCs w:val="21"/>
          <w:lang w:eastAsia="zh-CN"/>
        </w:rPr>
      </w:pPr>
      <w:r>
        <w:rPr>
          <w:rFonts w:ascii="宋体" w:hAnsi="等线" w:hint="eastAsia"/>
          <w:color w:val="000000" w:themeColor="text1"/>
          <w:sz w:val="21"/>
          <w:szCs w:val="21"/>
          <w:highlight w:val="white"/>
          <w:lang w:eastAsia="zh-CN"/>
        </w:rPr>
        <w:t>（六）期货账户的开设和管理</w:t>
      </w:r>
    </w:p>
    <w:p w:rsidR="00F14202">
      <w:pPr>
        <w:spacing w:line="360" w:lineRule="auto"/>
        <w:ind w:firstLine="420"/>
        <w:rPr>
          <w:rFonts w:ascii="宋体" w:hAnsi="等线"/>
          <w:color w:val="000000"/>
          <w:sz w:val="21"/>
          <w:szCs w:val="21"/>
          <w:lang w:eastAsia="zh-CN"/>
        </w:rPr>
      </w:pPr>
      <w:r>
        <w:rPr>
          <w:rFonts w:ascii="宋体" w:hAnsi="等线" w:hint="eastAsia"/>
          <w:color w:val="000000" w:themeColor="text1"/>
          <w:sz w:val="21"/>
          <w:szCs w:val="21"/>
          <w:highlight w:val="white"/>
          <w:lang w:eastAsia="zh-CN"/>
        </w:rPr>
        <w:t>基金管理人根据投资需要按照规定开立期货保证金账户及期货交易编码等。完成上述账户开立后，基金管理人应将期货公司提供的期货保证金账户的初始资金密码和市场监控中心的登录用户名及密码告知基金托管人。资金密码</w:t>
      </w:r>
      <w:r>
        <w:rPr>
          <w:rFonts w:ascii="宋体" w:hAnsi="等线" w:hint="eastAsia"/>
          <w:color w:val="000000" w:themeColor="text1"/>
          <w:sz w:val="21"/>
          <w:szCs w:val="21"/>
          <w:highlight w:val="white"/>
          <w:lang w:eastAsia="zh-CN"/>
        </w:rPr>
        <w:t>和市场监控中心登录密码重置由基金管理人进行，重置后务必及时通知托管人。</w:t>
      </w:r>
    </w:p>
    <w:p w:rsidR="00F14202">
      <w:pPr>
        <w:spacing w:line="360" w:lineRule="auto"/>
        <w:ind w:firstLine="420"/>
        <w:rPr>
          <w:rFonts w:ascii="宋体" w:hAnsi="等线"/>
          <w:color w:val="000000"/>
          <w:sz w:val="21"/>
          <w:szCs w:val="21"/>
          <w:lang w:eastAsia="zh-CN"/>
        </w:rPr>
      </w:pPr>
      <w:r>
        <w:rPr>
          <w:rFonts w:ascii="宋体" w:hAnsi="等线" w:hint="eastAsia"/>
          <w:color w:val="000000" w:themeColor="text1"/>
          <w:sz w:val="21"/>
          <w:szCs w:val="21"/>
          <w:highlight w:val="white"/>
          <w:lang w:eastAsia="zh-CN"/>
        </w:rPr>
        <w:t>基金托管人和基金管理人应当在开户过程中相互配合，并提供所需资料。基金管理人保证所提供的账户开户材料的真实性和有效性，且在相关资料变更后及时将变更的资料提供给基金托管人。</w:t>
      </w:r>
    </w:p>
    <w:p w:rsidR="00F14202">
      <w:pPr>
        <w:spacing w:line="360" w:lineRule="auto"/>
        <w:ind w:firstLine="420"/>
        <w:rPr>
          <w:rFonts w:ascii="宋体" w:hAnsi="等线"/>
          <w:color w:val="000000"/>
          <w:sz w:val="21"/>
          <w:szCs w:val="21"/>
          <w:lang w:eastAsia="zh-CN"/>
        </w:rPr>
      </w:pPr>
      <w:r>
        <w:rPr>
          <w:rFonts w:ascii="宋体" w:hAnsi="等线" w:hint="eastAsia"/>
          <w:color w:val="000000" w:themeColor="text1"/>
          <w:sz w:val="21"/>
          <w:szCs w:val="21"/>
          <w:highlight w:val="white"/>
          <w:lang w:eastAsia="zh-CN"/>
        </w:rPr>
        <w:t>（七）其他账户的开立和管理</w:t>
      </w:r>
    </w:p>
    <w:p w:rsidR="00F14202">
      <w:pPr>
        <w:spacing w:line="360" w:lineRule="auto"/>
        <w:ind w:firstLine="420"/>
        <w:rPr>
          <w:rFonts w:ascii="宋体" w:hAnsi="等线"/>
          <w:color w:val="000000"/>
          <w:sz w:val="21"/>
          <w:szCs w:val="21"/>
          <w:lang w:eastAsia="zh-CN"/>
        </w:rPr>
      </w:pPr>
      <w:r>
        <w:rPr>
          <w:rFonts w:ascii="宋体" w:hAnsi="等线"/>
          <w:color w:val="000000" w:themeColor="text1"/>
          <w:sz w:val="21"/>
          <w:szCs w:val="21"/>
          <w:highlight w:val="white"/>
          <w:lang w:eastAsia="zh-CN"/>
        </w:rPr>
        <w:t>1</w:t>
      </w:r>
      <w:r>
        <w:rPr>
          <w:rFonts w:ascii="宋体" w:hAnsi="等线" w:hint="eastAsia"/>
          <w:color w:val="000000" w:themeColor="text1"/>
          <w:sz w:val="21"/>
          <w:szCs w:val="21"/>
          <w:highlight w:val="white"/>
          <w:lang w:eastAsia="zh-CN"/>
        </w:rPr>
        <w:t>、因业务发展需要而开立的其他账户，可以根据法律法规和《基金合同》的规定，由基金管理人协助基金托管人按照有关法律法规和本协议的约定协商后开立。新账户按有关规定使用并管理。</w:t>
      </w:r>
    </w:p>
    <w:p w:rsidR="00F14202">
      <w:pPr>
        <w:spacing w:line="360" w:lineRule="auto"/>
        <w:ind w:firstLine="420"/>
        <w:rPr>
          <w:rFonts w:ascii="宋体" w:hAnsi="等线"/>
          <w:color w:val="000000"/>
          <w:sz w:val="21"/>
          <w:szCs w:val="21"/>
          <w:lang w:eastAsia="zh-CN"/>
        </w:rPr>
      </w:pPr>
      <w:r>
        <w:rPr>
          <w:rFonts w:ascii="宋体" w:hAnsi="等线"/>
          <w:color w:val="000000" w:themeColor="text1"/>
          <w:sz w:val="21"/>
          <w:szCs w:val="21"/>
          <w:highlight w:val="white"/>
          <w:lang w:eastAsia="zh-CN"/>
        </w:rPr>
        <w:t>2</w:t>
      </w:r>
      <w:r>
        <w:rPr>
          <w:rFonts w:ascii="宋体" w:hAnsi="等线" w:hint="eastAsia"/>
          <w:color w:val="000000" w:themeColor="text1"/>
          <w:sz w:val="21"/>
          <w:szCs w:val="21"/>
          <w:highlight w:val="white"/>
          <w:lang w:eastAsia="zh-CN"/>
        </w:rPr>
        <w:t>、法律法规等有关规定对相关账户的开立和管理另有规定的，从其规定办理。</w:t>
      </w:r>
    </w:p>
    <w:p w:rsidR="00F14202">
      <w:pPr>
        <w:spacing w:line="360" w:lineRule="auto"/>
        <w:ind w:firstLine="420"/>
        <w:rPr>
          <w:rFonts w:ascii="宋体" w:hAnsi="等线"/>
          <w:color w:val="000000"/>
          <w:sz w:val="21"/>
          <w:szCs w:val="21"/>
          <w:lang w:eastAsia="zh-CN"/>
        </w:rPr>
      </w:pPr>
      <w:r>
        <w:rPr>
          <w:rFonts w:ascii="宋体" w:hAnsi="等线" w:hint="eastAsia"/>
          <w:color w:val="000000" w:themeColor="text1"/>
          <w:sz w:val="21"/>
          <w:szCs w:val="21"/>
          <w:highlight w:val="white"/>
          <w:lang w:eastAsia="zh-CN"/>
        </w:rPr>
        <w:t>（八）基金投资银行存款账户的开立和管理</w:t>
      </w:r>
    </w:p>
    <w:p w:rsidR="00F14202">
      <w:pPr>
        <w:spacing w:line="360" w:lineRule="auto"/>
        <w:ind w:firstLine="420"/>
        <w:rPr>
          <w:rFonts w:ascii="宋体" w:hAnsi="等线"/>
          <w:color w:val="000000"/>
          <w:sz w:val="21"/>
          <w:szCs w:val="21"/>
          <w:lang w:eastAsia="zh-CN"/>
        </w:rPr>
      </w:pPr>
      <w:r>
        <w:rPr>
          <w:rFonts w:ascii="宋体" w:hAnsi="等线" w:hint="eastAsia"/>
          <w:color w:val="000000" w:themeColor="text1"/>
          <w:sz w:val="21"/>
          <w:szCs w:val="21"/>
          <w:highlight w:val="white"/>
          <w:lang w:eastAsia="zh-CN"/>
        </w:rPr>
        <w:t>基金投资银行定期存款应由基金管理人与存款银行总行或其授权分行签订总体合作协议，并将资金存放于存款银行总行或其授权分行指定的分支机构。</w:t>
      </w:r>
    </w:p>
    <w:p w:rsidR="00F14202">
      <w:pPr>
        <w:spacing w:line="360" w:lineRule="auto"/>
        <w:ind w:firstLine="420"/>
        <w:rPr>
          <w:rFonts w:ascii="宋体" w:hAnsi="等线"/>
          <w:color w:val="000000"/>
          <w:sz w:val="21"/>
          <w:szCs w:val="21"/>
          <w:lang w:eastAsia="zh-CN"/>
        </w:rPr>
      </w:pPr>
      <w:r>
        <w:rPr>
          <w:rFonts w:ascii="宋体" w:hAnsi="等线" w:hint="eastAsia"/>
          <w:color w:val="000000" w:themeColor="text1"/>
          <w:sz w:val="21"/>
          <w:szCs w:val="21"/>
          <w:highlight w:val="white"/>
          <w:lang w:eastAsia="zh-CN"/>
        </w:rPr>
        <w:t>存款账户必须以基金名义开立，账户名称为基金名称，存款账户开户文件上加盖预留印鉴及基金管理人公章。预留印鉴为“中信证券股份有限公司托管业务结算专用章”和基金托管人有权人名章。存款证实书原件由托管人负责保管。</w:t>
      </w:r>
    </w:p>
    <w:p w:rsidR="00F14202">
      <w:pPr>
        <w:spacing w:line="360" w:lineRule="auto"/>
        <w:ind w:firstLine="420"/>
        <w:rPr>
          <w:rFonts w:ascii="宋体" w:hAnsi="等线"/>
          <w:color w:val="000000"/>
          <w:sz w:val="21"/>
          <w:szCs w:val="21"/>
          <w:lang w:eastAsia="zh-CN"/>
        </w:rPr>
      </w:pPr>
      <w:r>
        <w:rPr>
          <w:rFonts w:ascii="宋体" w:hAnsi="等线" w:hint="eastAsia"/>
          <w:color w:val="000000" w:themeColor="text1"/>
          <w:sz w:val="21"/>
          <w:szCs w:val="21"/>
          <w:highlight w:val="white"/>
          <w:lang w:eastAsia="zh-CN"/>
        </w:rPr>
        <w:t>本基金投资银行存款时，基金管理人应当与存款银行签订具体存款协议，明确存款的类型、期限、利率、金额、账号、对账方式、支取方式、账户管</w:t>
      </w:r>
      <w:r>
        <w:rPr>
          <w:rFonts w:ascii="宋体" w:hAnsi="等线" w:hint="eastAsia"/>
          <w:color w:val="000000" w:themeColor="text1"/>
          <w:sz w:val="21"/>
          <w:szCs w:val="21"/>
          <w:highlight w:val="white"/>
          <w:lang w:eastAsia="zh-CN"/>
        </w:rPr>
        <w:t>理等细则。存款协议须约定将托管人为本产品开立的托管银行账户指定为唯一回款账户，任何情况下，存款银行都不得将存款本息划往任何其他账户。</w:t>
      </w:r>
    </w:p>
    <w:p w:rsidR="00F14202">
      <w:pPr>
        <w:spacing w:line="360" w:lineRule="auto"/>
        <w:ind w:firstLine="420"/>
        <w:rPr>
          <w:rFonts w:ascii="宋体" w:hAnsi="等线"/>
          <w:color w:val="000000"/>
          <w:sz w:val="21"/>
          <w:szCs w:val="21"/>
          <w:lang w:eastAsia="zh-CN"/>
        </w:rPr>
      </w:pPr>
      <w:r>
        <w:rPr>
          <w:rFonts w:ascii="宋体" w:hAnsi="等线" w:hint="eastAsia"/>
          <w:color w:val="000000" w:themeColor="text1"/>
          <w:sz w:val="21"/>
          <w:szCs w:val="21"/>
          <w:highlight w:val="white"/>
          <w:lang w:eastAsia="zh-CN"/>
        </w:rPr>
        <w:t>为防范特殊情况下的流动性风险，定期存款协议中应当约定提前支取条款。</w:t>
      </w:r>
    </w:p>
    <w:p w:rsidR="00F14202">
      <w:pPr>
        <w:spacing w:line="360" w:lineRule="auto"/>
        <w:ind w:firstLine="420"/>
        <w:rPr>
          <w:rFonts w:ascii="宋体" w:hAnsi="等线"/>
          <w:color w:val="000000"/>
          <w:sz w:val="21"/>
          <w:szCs w:val="21"/>
          <w:lang w:eastAsia="zh-CN"/>
        </w:rPr>
      </w:pPr>
      <w:r>
        <w:rPr>
          <w:rFonts w:ascii="宋体" w:hAnsi="等线" w:hint="eastAsia"/>
          <w:color w:val="000000" w:themeColor="text1"/>
          <w:sz w:val="21"/>
          <w:szCs w:val="21"/>
          <w:highlight w:val="white"/>
          <w:lang w:eastAsia="zh-CN"/>
        </w:rPr>
        <w:t>基金所投资定期存款存续期间，基金管理人、基金托管人应当与存款银行建立定期对账机制，确保基金银行存款业务账目及核对的真实、准确。</w:t>
      </w:r>
    </w:p>
    <w:p w:rsidR="00F14202">
      <w:pPr>
        <w:spacing w:line="360" w:lineRule="auto"/>
        <w:ind w:firstLine="420"/>
        <w:rPr>
          <w:rFonts w:ascii="宋体" w:hAnsi="等线"/>
          <w:color w:val="000000"/>
          <w:sz w:val="21"/>
          <w:szCs w:val="21"/>
          <w:lang w:eastAsia="zh-CN"/>
        </w:rPr>
      </w:pPr>
      <w:r>
        <w:rPr>
          <w:rFonts w:ascii="宋体" w:hAnsi="等线" w:hint="eastAsia"/>
          <w:color w:val="000000" w:themeColor="text1"/>
          <w:sz w:val="21"/>
          <w:szCs w:val="21"/>
          <w:highlight w:val="white"/>
          <w:lang w:eastAsia="zh-CN"/>
        </w:rPr>
        <w:t>（九）基金财产投资的有关有价凭证的保管</w:t>
      </w:r>
    </w:p>
    <w:p w:rsidR="00F14202">
      <w:pPr>
        <w:spacing w:line="360" w:lineRule="auto"/>
        <w:ind w:firstLine="420"/>
        <w:rPr>
          <w:rFonts w:ascii="宋体" w:hAnsi="等线"/>
          <w:color w:val="000000"/>
          <w:sz w:val="21"/>
          <w:szCs w:val="21"/>
          <w:lang w:eastAsia="zh-CN"/>
        </w:rPr>
      </w:pPr>
      <w:r>
        <w:rPr>
          <w:rFonts w:ascii="宋体" w:hAnsi="等线" w:hint="eastAsia"/>
          <w:color w:val="000000" w:themeColor="text1"/>
          <w:sz w:val="21"/>
          <w:szCs w:val="21"/>
          <w:highlight w:val="white"/>
          <w:lang w:eastAsia="zh-CN"/>
        </w:rPr>
        <w:t>实物证券、银行定期存款存单等有价凭证由基金托管人存放于其档案库或保险柜，但要与非本基金的其他有价凭证分开保管。保管凭证由基金托管人持有，基金托</w:t>
      </w:r>
      <w:r>
        <w:rPr>
          <w:rFonts w:ascii="宋体" w:hAnsi="等线" w:hint="eastAsia"/>
          <w:color w:val="000000" w:themeColor="text1"/>
          <w:sz w:val="21"/>
          <w:szCs w:val="21"/>
          <w:highlight w:val="white"/>
          <w:lang w:eastAsia="zh-CN"/>
        </w:rPr>
        <w:t>管人承担保管职责。基金托管人对由基金托管人以外机构实际有效控制的证券不承担保管责任。</w:t>
      </w:r>
    </w:p>
    <w:p w:rsidR="00F14202">
      <w:pPr>
        <w:spacing w:line="360" w:lineRule="auto"/>
        <w:ind w:firstLine="420"/>
        <w:rPr>
          <w:rFonts w:ascii="宋体" w:hAnsi="等线"/>
          <w:color w:val="000000"/>
          <w:sz w:val="21"/>
          <w:szCs w:val="21"/>
          <w:lang w:eastAsia="zh-CN"/>
        </w:rPr>
      </w:pPr>
      <w:r>
        <w:rPr>
          <w:rFonts w:ascii="宋体" w:hAnsi="等线" w:hint="eastAsia"/>
          <w:color w:val="000000" w:themeColor="text1"/>
          <w:sz w:val="21"/>
          <w:szCs w:val="21"/>
          <w:highlight w:val="white"/>
          <w:lang w:eastAsia="zh-CN"/>
        </w:rPr>
        <w:t>（十）与基金财产有关的重大合同及有关凭证的保管</w:t>
      </w:r>
    </w:p>
    <w:p w:rsidR="00F14202">
      <w:pPr>
        <w:spacing w:line="360" w:lineRule="auto"/>
        <w:ind w:firstLine="420"/>
        <w:rPr>
          <w:rFonts w:ascii="宋体" w:hAnsi="等线"/>
          <w:color w:val="000000"/>
          <w:sz w:val="21"/>
          <w:szCs w:val="21"/>
          <w:lang w:eastAsia="zh-CN"/>
        </w:rPr>
      </w:pPr>
      <w:r>
        <w:rPr>
          <w:rFonts w:ascii="宋体" w:hAnsi="等线" w:hint="eastAsia"/>
          <w:color w:val="000000" w:themeColor="text1"/>
          <w:sz w:val="21"/>
          <w:szCs w:val="21"/>
          <w:highlight w:val="white"/>
          <w:lang w:eastAsia="zh-CN"/>
        </w:rPr>
        <w:t>基金托管人按照法律法规保管由基金管理人代表基金签署的与基金有关的重大合同及有关凭证。基金管理人代表基金签署有关重大合同后应在收到合同正本后</w:t>
      </w:r>
      <w:r>
        <w:rPr>
          <w:rFonts w:ascii="宋体" w:hAnsi="等线"/>
          <w:color w:val="000000" w:themeColor="text1"/>
          <w:sz w:val="21"/>
          <w:szCs w:val="21"/>
          <w:highlight w:val="white"/>
          <w:lang w:eastAsia="zh-CN"/>
        </w:rPr>
        <w:t>30</w:t>
      </w:r>
      <w:r>
        <w:rPr>
          <w:rFonts w:ascii="宋体" w:hAnsi="等线" w:hint="eastAsia"/>
          <w:color w:val="000000" w:themeColor="text1"/>
          <w:sz w:val="21"/>
          <w:szCs w:val="21"/>
          <w:highlight w:val="white"/>
          <w:lang w:eastAsia="zh-CN"/>
        </w:rPr>
        <w:t>日内将一份正本的原件提交给基金托管人。除本协议另有规定外，基金管理人在代表基金签署与基金有关的重大合同时应保证基金一方持有两份以上的正本，以便基金管理人和基金托管人至少各持有一份正本的原件。重大合同的保管期限不少于法律法规的规定。</w:t>
      </w:r>
    </w:p>
    <w:p w:rsidR="00F14202">
      <w:pPr>
        <w:spacing w:line="360" w:lineRule="auto"/>
        <w:ind w:firstLine="420"/>
        <w:rPr>
          <w:rFonts w:ascii="宋体" w:hAnsi="等线"/>
          <w:color w:val="000000"/>
          <w:sz w:val="21"/>
          <w:szCs w:val="21"/>
          <w:lang w:eastAsia="zh-CN"/>
        </w:rPr>
      </w:pPr>
      <w:r>
        <w:rPr>
          <w:rFonts w:ascii="宋体" w:hAnsi="等线" w:hint="eastAsia"/>
          <w:color w:val="000000" w:themeColor="text1"/>
          <w:sz w:val="21"/>
          <w:szCs w:val="21"/>
          <w:highlight w:val="white"/>
          <w:lang w:eastAsia="zh-CN"/>
        </w:rPr>
        <w:t>对于</w:t>
      </w:r>
      <w:r>
        <w:rPr>
          <w:rFonts w:ascii="宋体" w:hAnsi="等线" w:hint="eastAsia"/>
          <w:color w:val="000000" w:themeColor="text1"/>
          <w:sz w:val="21"/>
          <w:szCs w:val="21"/>
          <w:highlight w:val="white"/>
          <w:lang w:eastAsia="zh-CN"/>
        </w:rPr>
        <w:t>无法取得二份以上的正本的，基金管理人应向基金托管人提供与合同原件核对一致的并加盖基金管理人公章的合同传真件或复印件或扫描件，未经双方协商一致，合同原件不得转移。</w:t>
      </w:r>
    </w:p>
    <w:p w:rsidR="00F14202">
      <w:pPr>
        <w:spacing w:line="360" w:lineRule="auto"/>
        <w:ind w:firstLine="420"/>
        <w:rPr>
          <w:color w:val="000000"/>
          <w:lang w:eastAsia="zh-CN"/>
        </w:rPr>
      </w:pPr>
    </w:p>
    <w:p w:rsidR="00F14202">
      <w:pPr>
        <w:pStyle w:val="Heading1"/>
        <w:numPr>
          <w:ilvl w:val="0"/>
          <w:numId w:val="1"/>
        </w:numPr>
        <w:spacing w:before="120" w:after="120" w:line="360" w:lineRule="auto"/>
        <w:jc w:val="center"/>
        <w:rPr>
          <w:rFonts w:ascii="宋体"/>
          <w:b w:val="0"/>
          <w:color w:val="000000"/>
          <w:sz w:val="24"/>
          <w:szCs w:val="24"/>
          <w:lang w:eastAsia="zh-CN"/>
        </w:rPr>
      </w:pPr>
      <w:bookmarkStart w:id="11" w:name="_Toc394474001"/>
      <w:bookmarkStart w:id="12" w:name="_Toc881136"/>
      <w:r>
        <w:rPr>
          <w:rFonts w:ascii="宋体" w:hint="eastAsia"/>
          <w:color w:val="000000" w:themeColor="text1"/>
          <w:sz w:val="24"/>
          <w:szCs w:val="24"/>
          <w:highlight w:val="white"/>
          <w:lang w:eastAsia="zh-CN"/>
        </w:rPr>
        <w:t>指令的发送、确认及执行</w:t>
      </w:r>
      <w:bookmarkEnd w:id="11"/>
      <w:bookmarkEnd w:id="12"/>
    </w:p>
    <w:p w:rsidR="00F14202">
      <w:pPr>
        <w:pStyle w:val="ListParagraph"/>
        <w:spacing w:line="360" w:lineRule="auto"/>
        <w:ind w:left="450" w:firstLine="0"/>
        <w:rPr>
          <w:color w:val="000000"/>
          <w:lang w:eastAsia="zh-CN"/>
        </w:rPr>
      </w:pPr>
    </w:p>
    <w:p w:rsidR="00F14202">
      <w:pPr>
        <w:pStyle w:val="ListParagraph"/>
        <w:spacing w:line="360" w:lineRule="auto"/>
        <w:ind w:left="450" w:firstLine="0"/>
        <w:rPr>
          <w:color w:val="000000"/>
          <w:sz w:val="21"/>
          <w:szCs w:val="21"/>
          <w:lang w:eastAsia="zh-CN"/>
        </w:rPr>
      </w:pPr>
      <w:r>
        <w:rPr>
          <w:rFonts w:hint="eastAsia"/>
          <w:color w:val="000000" w:themeColor="text1"/>
          <w:sz w:val="21"/>
          <w:szCs w:val="21"/>
          <w:highlight w:val="white"/>
          <w:lang w:eastAsia="zh-CN"/>
        </w:rPr>
        <w:t>（一）基金管理人对发送指令人员的书面授权</w:t>
      </w:r>
    </w:p>
    <w:p w:rsidR="00F14202">
      <w:pPr>
        <w:spacing w:line="360" w:lineRule="auto"/>
        <w:ind w:firstLine="420"/>
        <w:rPr>
          <w:color w:val="000000"/>
          <w:sz w:val="21"/>
          <w:szCs w:val="21"/>
          <w:lang w:eastAsia="zh-CN"/>
        </w:rPr>
      </w:pPr>
      <w:r>
        <w:rPr>
          <w:rFonts w:ascii="宋体" w:hAnsi="宋体" w:cs="宋体"/>
          <w:color w:val="000000" w:themeColor="text1"/>
          <w:sz w:val="21"/>
          <w:szCs w:val="21"/>
          <w:highlight w:val="white"/>
          <w:lang w:eastAsia="zh-CN"/>
        </w:rPr>
        <w:t>1</w:t>
      </w:r>
      <w:r>
        <w:rPr>
          <w:rFonts w:hint="eastAsia"/>
          <w:color w:val="000000" w:themeColor="text1"/>
          <w:sz w:val="21"/>
          <w:szCs w:val="21"/>
          <w:highlight w:val="white"/>
          <w:lang w:eastAsia="zh-CN"/>
        </w:rPr>
        <w:t>、基金管理人应当事先向基金托管人发出书面通知（以下称“授权通知”），载明基金管理人有权发送指令的人员名单（以下称“指令发送人员”）及各个人员的权限范围。基金管理人应向基金托管人提供预留印鉴样本、指令发送人员的名章样本和签字样本。</w:t>
      </w:r>
    </w:p>
    <w:p w:rsidR="00F14202">
      <w:pPr>
        <w:spacing w:line="360" w:lineRule="auto"/>
        <w:ind w:firstLine="420"/>
        <w:rPr>
          <w:color w:val="000000"/>
          <w:sz w:val="21"/>
          <w:szCs w:val="21"/>
          <w:lang w:eastAsia="zh-CN"/>
        </w:rPr>
      </w:pPr>
      <w:r>
        <w:rPr>
          <w:rFonts w:ascii="宋体" w:hAnsi="宋体" w:cs="宋体"/>
          <w:color w:val="000000" w:themeColor="text1"/>
          <w:sz w:val="21"/>
          <w:szCs w:val="21"/>
          <w:highlight w:val="white"/>
          <w:lang w:eastAsia="zh-CN"/>
        </w:rPr>
        <w:t>2</w:t>
      </w:r>
      <w:r>
        <w:rPr>
          <w:rFonts w:hint="eastAsia"/>
          <w:color w:val="000000" w:themeColor="text1"/>
          <w:sz w:val="21"/>
          <w:szCs w:val="21"/>
          <w:highlight w:val="white"/>
          <w:lang w:eastAsia="zh-CN"/>
        </w:rPr>
        <w:t>、基金管理人向基金托管人发出的授权通知应由基金管理人法定代表人或授权代表签字并加盖公章，若由授权签字人签署，应附上基金管理人法定代表人的授权书。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对于基金管理人拟通过基金托管人电子服务平台发送划款指令的，基金管理人需与基金托管人签署相关服务协议，并提供授权文件及其他基金托管人</w:t>
      </w:r>
      <w:r>
        <w:rPr>
          <w:rFonts w:hint="eastAsia"/>
          <w:color w:val="000000" w:themeColor="text1"/>
          <w:sz w:val="21"/>
          <w:szCs w:val="21"/>
          <w:highlight w:val="white"/>
          <w:lang w:eastAsia="zh-CN"/>
        </w:rPr>
        <w:t>要求的材料，由基金托管人为基金管理人的被授权人在电子服务平台配置相关操作权限。</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对于基金管理人通过深证通金融数据交换平台电子直连的方式向托管人发出划款指令的（以下简称“深证通电子直连”），基金管理人应确保划款指令合法有效。对于已通过深证通数据接口识别并进入基金托管人指令系统的划款指令，基金管理人不可否认其效力，并视为已通过基金管理人的适当授权。</w:t>
      </w:r>
    </w:p>
    <w:p w:rsidR="00F14202">
      <w:pPr>
        <w:spacing w:line="360" w:lineRule="auto"/>
        <w:ind w:firstLine="420"/>
        <w:rPr>
          <w:color w:val="000000"/>
          <w:sz w:val="21"/>
          <w:szCs w:val="21"/>
          <w:lang w:eastAsia="zh-CN"/>
        </w:rPr>
      </w:pPr>
      <w:r>
        <w:rPr>
          <w:rFonts w:ascii="宋体" w:hAnsi="宋体" w:cs="宋体"/>
          <w:color w:val="000000" w:themeColor="text1"/>
          <w:sz w:val="21"/>
          <w:szCs w:val="21"/>
          <w:highlight w:val="white"/>
          <w:lang w:eastAsia="zh-CN"/>
        </w:rPr>
        <w:t>3</w:t>
      </w:r>
      <w:r>
        <w:rPr>
          <w:rFonts w:hint="eastAsia"/>
          <w:color w:val="000000" w:themeColor="text1"/>
          <w:sz w:val="21"/>
          <w:szCs w:val="21"/>
          <w:highlight w:val="white"/>
          <w:lang w:eastAsia="zh-CN"/>
        </w:rPr>
        <w:t>、基金管理人和基金托管人对授权通知及其更改负有保密义务，除法律法规规定或有权机关要求外，其内容不得向指令发送人员及相关操作人员以外的任何人披露、泄露。</w:t>
      </w:r>
    </w:p>
    <w:p w:rsidR="00F14202">
      <w:pPr>
        <w:pStyle w:val="ListParagraph"/>
        <w:spacing w:line="360" w:lineRule="auto"/>
        <w:ind w:left="450" w:firstLine="0"/>
        <w:rPr>
          <w:color w:val="000000"/>
          <w:sz w:val="21"/>
          <w:szCs w:val="21"/>
          <w:lang w:eastAsia="zh-CN"/>
        </w:rPr>
      </w:pPr>
      <w:r>
        <w:rPr>
          <w:rFonts w:hint="eastAsia"/>
          <w:color w:val="000000" w:themeColor="text1"/>
          <w:sz w:val="21"/>
          <w:szCs w:val="21"/>
          <w:highlight w:val="white"/>
          <w:lang w:eastAsia="zh-CN"/>
        </w:rPr>
        <w:t>（二）指令</w:t>
      </w:r>
      <w:r>
        <w:rPr>
          <w:rFonts w:hint="eastAsia"/>
          <w:color w:val="000000" w:themeColor="text1"/>
          <w:sz w:val="21"/>
          <w:szCs w:val="21"/>
          <w:highlight w:val="white"/>
          <w:lang w:eastAsia="zh-CN"/>
        </w:rPr>
        <w:t>的内容</w:t>
      </w:r>
    </w:p>
    <w:p w:rsidR="00F14202">
      <w:pPr>
        <w:spacing w:line="360" w:lineRule="auto"/>
        <w:ind w:firstLine="420"/>
        <w:rPr>
          <w:color w:val="000000"/>
          <w:sz w:val="21"/>
          <w:szCs w:val="21"/>
          <w:lang w:eastAsia="zh-CN"/>
        </w:rPr>
      </w:pPr>
      <w:r>
        <w:rPr>
          <w:color w:val="000000" w:themeColor="text1"/>
          <w:sz w:val="21"/>
          <w:szCs w:val="21"/>
          <w:highlight w:val="white"/>
          <w:lang w:eastAsia="zh-CN"/>
        </w:rPr>
        <w:t>指令包括付款指令（含赎回、分红付款指令、银行间业务划款指令）以及其他资金划拨指令等。对于通过传真或电子邮件发送扫描件方式发送的指令，基金管理人发送给基金托管人的划款指令应写明以下要素：资金用途、支付时间、金额、账户信息等，加盖预留印鉴并由被授权人签字或加盖名章；对于通过深证通电子直连方式发送的指令、电子服务平台发送的划款指令或由电子平台推送给基金管理人并需基金管理人确认后才能发送的划款指令，基金管理人的被授权人向基金托管人发送划款指令时应写明以下要素：资金用途、支付时间、金额、账户信息等（以上内容统</w:t>
      </w:r>
      <w:r>
        <w:rPr>
          <w:color w:val="000000" w:themeColor="text1"/>
          <w:sz w:val="21"/>
          <w:szCs w:val="21"/>
          <w:highlight w:val="white"/>
          <w:lang w:eastAsia="zh-CN"/>
        </w:rPr>
        <w:t>称为</w:t>
      </w:r>
      <w:r>
        <w:rPr>
          <w:rFonts w:ascii="宋体" w:hAnsi="宋体" w:cs="宋体"/>
          <w:color w:val="000000" w:themeColor="text1"/>
          <w:sz w:val="21"/>
          <w:szCs w:val="21"/>
          <w:highlight w:val="white"/>
          <w:lang w:eastAsia="zh-CN"/>
        </w:rPr>
        <w:t>“</w:t>
      </w:r>
      <w:r>
        <w:rPr>
          <w:color w:val="000000" w:themeColor="text1"/>
          <w:sz w:val="21"/>
          <w:szCs w:val="21"/>
          <w:highlight w:val="white"/>
          <w:lang w:eastAsia="zh-CN"/>
        </w:rPr>
        <w:t>划款指令的书面要素</w:t>
      </w:r>
      <w:r>
        <w:rPr>
          <w:rFonts w:ascii="宋体" w:hAnsi="宋体" w:cs="宋体"/>
          <w:color w:val="000000" w:themeColor="text1"/>
          <w:sz w:val="21"/>
          <w:szCs w:val="21"/>
          <w:highlight w:val="white"/>
          <w:lang w:eastAsia="zh-CN"/>
        </w:rPr>
        <w:t>”</w:t>
      </w:r>
      <w:r>
        <w:rPr>
          <w:color w:val="000000" w:themeColor="text1"/>
          <w:sz w:val="21"/>
          <w:szCs w:val="21"/>
          <w:highlight w:val="white"/>
          <w:lang w:eastAsia="zh-CN"/>
        </w:rPr>
        <w:t>）。相关登记结算公司向基金托管人发送的结算通知视为基金管理人向基金托管人发出的指令。</w:t>
      </w:r>
    </w:p>
    <w:p w:rsidR="00F14202">
      <w:pPr>
        <w:pStyle w:val="ListParagraph"/>
        <w:ind w:left="450" w:firstLine="0"/>
        <w:rPr>
          <w:color w:val="000000"/>
          <w:sz w:val="21"/>
          <w:szCs w:val="21"/>
          <w:lang w:eastAsia="zh-CN"/>
        </w:rPr>
      </w:pPr>
      <w:r>
        <w:rPr>
          <w:rFonts w:hint="eastAsia"/>
          <w:color w:val="000000" w:themeColor="text1"/>
          <w:sz w:val="21"/>
          <w:szCs w:val="21"/>
          <w:highlight w:val="white"/>
          <w:lang w:eastAsia="zh-CN"/>
        </w:rPr>
        <w:t>（三）指令的发送、确认和执行</w:t>
      </w:r>
    </w:p>
    <w:p w:rsidR="00F14202">
      <w:pPr>
        <w:spacing w:line="360" w:lineRule="auto"/>
        <w:ind w:firstLine="420"/>
        <w:rPr>
          <w:color w:val="000000"/>
          <w:sz w:val="21"/>
          <w:szCs w:val="21"/>
          <w:lang w:eastAsia="zh-CN"/>
        </w:rPr>
      </w:pPr>
      <w:r>
        <w:rPr>
          <w:rFonts w:ascii="宋体" w:hAnsi="宋体" w:cs="宋体"/>
          <w:color w:val="000000" w:themeColor="text1"/>
          <w:sz w:val="21"/>
          <w:szCs w:val="21"/>
          <w:highlight w:val="white"/>
          <w:lang w:eastAsia="zh-CN"/>
        </w:rPr>
        <w:t>1</w:t>
      </w:r>
      <w:r>
        <w:rPr>
          <w:rFonts w:hint="eastAsia"/>
          <w:color w:val="000000" w:themeColor="text1"/>
          <w:sz w:val="21"/>
          <w:szCs w:val="21"/>
          <w:highlight w:val="white"/>
          <w:lang w:eastAsia="zh-CN"/>
        </w:rPr>
        <w:t>、指令由“授权通知”确定的指令发送人员代表基金管理人通过传真、电子邮件发送扫描件、深证通电子直连或电子服务平台的方式向基金托管人发送。对于指令发送人员发出的指令，基金管理人不得否认其效力。</w:t>
      </w:r>
    </w:p>
    <w:p w:rsidR="00F14202">
      <w:pPr>
        <w:spacing w:line="360" w:lineRule="auto"/>
        <w:ind w:firstLine="420"/>
        <w:rPr>
          <w:color w:val="000000"/>
          <w:sz w:val="21"/>
          <w:szCs w:val="21"/>
          <w:lang w:eastAsia="zh-CN"/>
        </w:rPr>
      </w:pPr>
      <w:r>
        <w:rPr>
          <w:rFonts w:ascii="宋体" w:hAnsi="宋体" w:cs="宋体"/>
          <w:color w:val="000000" w:themeColor="text1"/>
          <w:sz w:val="21"/>
          <w:szCs w:val="21"/>
          <w:highlight w:val="white"/>
          <w:lang w:eastAsia="zh-CN"/>
        </w:rPr>
        <w:t>2</w:t>
      </w:r>
      <w:r>
        <w:rPr>
          <w:rFonts w:hint="eastAsia"/>
          <w:color w:val="000000" w:themeColor="text1"/>
          <w:sz w:val="21"/>
          <w:szCs w:val="21"/>
          <w:highlight w:val="white"/>
          <w:lang w:eastAsia="zh-CN"/>
        </w:rPr>
        <w:t>、基金管理人应按照《基金合同》和有关法律法规的规定，在其合法的经营权限和交易权限内，并依据相关业务规则发送指令。对于通过传真或电子邮件发送扫描件方式发送的划款指令，基金管理人有</w:t>
      </w:r>
      <w:r>
        <w:rPr>
          <w:rFonts w:hint="eastAsia"/>
          <w:color w:val="000000" w:themeColor="text1"/>
          <w:sz w:val="21"/>
          <w:szCs w:val="21"/>
          <w:highlight w:val="white"/>
          <w:lang w:eastAsia="zh-CN"/>
        </w:rPr>
        <w:t>义务在发送划款指令后及时与基金托管人进行录音电话确认。因基金管理人未能及时与基金托管人进行指令确认</w:t>
      </w:r>
      <w:r>
        <w:rPr>
          <w:rFonts w:ascii="宋体" w:hAnsi="宋体" w:cs="宋体"/>
          <w:color w:val="000000" w:themeColor="text1"/>
          <w:sz w:val="21"/>
          <w:szCs w:val="21"/>
          <w:highlight w:val="white"/>
          <w:lang w:eastAsia="zh-CN"/>
        </w:rPr>
        <w:t>,</w:t>
      </w:r>
      <w:r>
        <w:rPr>
          <w:rFonts w:hint="eastAsia"/>
          <w:color w:val="000000" w:themeColor="text1"/>
          <w:sz w:val="21"/>
          <w:szCs w:val="21"/>
          <w:highlight w:val="white"/>
          <w:lang w:eastAsia="zh-CN"/>
        </w:rPr>
        <w:t>致使资金未能及时到账所造成的损失不由基金托管人承担。对于通过深证通电子直连或电子服务平台发送的划款指令，基金管理人需在划款指令跟踪界面查看划款指令是否完成。如果由于基金托管人自身过错影响资金未能及时到账所造成的损失由基金托管人承担。</w:t>
      </w:r>
    </w:p>
    <w:p w:rsidR="00F14202">
      <w:pPr>
        <w:spacing w:line="360" w:lineRule="auto"/>
        <w:ind w:firstLine="420"/>
        <w:rPr>
          <w:color w:val="000000"/>
          <w:sz w:val="21"/>
          <w:szCs w:val="21"/>
          <w:lang w:eastAsia="zh-CN"/>
        </w:rPr>
      </w:pPr>
      <w:r>
        <w:rPr>
          <w:rFonts w:ascii="宋体" w:hAnsi="宋体" w:cs="宋体"/>
          <w:color w:val="000000" w:themeColor="text1"/>
          <w:sz w:val="21"/>
          <w:szCs w:val="21"/>
          <w:highlight w:val="white"/>
          <w:lang w:eastAsia="zh-CN"/>
        </w:rPr>
        <w:t>3</w:t>
      </w:r>
      <w:r>
        <w:rPr>
          <w:color w:val="000000" w:themeColor="text1"/>
          <w:sz w:val="21"/>
          <w:szCs w:val="21"/>
          <w:highlight w:val="white"/>
          <w:lang w:eastAsia="zh-CN"/>
        </w:rPr>
        <w:t>、基金托管人在接受指令时，应对投资指令的书面要素进行表面一致性形式审查，并根据《基金合同》和有关法律法规的规定对指令的内容合规性进行检查。对于通过传真或电子邮件发送扫描件方式发</w:t>
      </w:r>
      <w:r>
        <w:rPr>
          <w:color w:val="000000" w:themeColor="text1"/>
          <w:sz w:val="21"/>
          <w:szCs w:val="21"/>
          <w:highlight w:val="white"/>
          <w:lang w:eastAsia="zh-CN"/>
        </w:rPr>
        <w:t>送的指令，基金托管人表面一致性形式审查的方式限于验证划款指令的前述书面要素是否齐全、审核划款指令用章和签发人的签字或名章是否与预留印鉴样本、被授权人的签字样本或名章样本相符、操作权限是否与授权文件一致；对于通过深证通电子直连或电子服务平台方式发送的划款指令，视为由基金管理人有效被授权人发送，基金托管人形式审查的方式限于验证划款指令的前述书面要素是否齐全。对表面一致性形式审查无误、合法合规的指令，基金托管人应在规定期限内执行，不得延误。</w:t>
      </w:r>
    </w:p>
    <w:p w:rsidR="00F14202">
      <w:pPr>
        <w:spacing w:line="360" w:lineRule="auto"/>
        <w:ind w:firstLine="420"/>
        <w:rPr>
          <w:color w:val="000000"/>
          <w:sz w:val="21"/>
          <w:szCs w:val="21"/>
          <w:lang w:eastAsia="zh-CN"/>
        </w:rPr>
      </w:pPr>
      <w:r>
        <w:rPr>
          <w:rFonts w:ascii="宋体" w:hAnsi="宋体" w:cs="宋体"/>
          <w:color w:val="000000" w:themeColor="text1"/>
          <w:sz w:val="21"/>
          <w:szCs w:val="21"/>
          <w:highlight w:val="white"/>
          <w:lang w:eastAsia="zh-CN"/>
        </w:rPr>
        <w:t>4</w:t>
      </w:r>
      <w:r>
        <w:rPr>
          <w:rFonts w:hint="eastAsia"/>
          <w:color w:val="000000" w:themeColor="text1"/>
          <w:sz w:val="21"/>
          <w:szCs w:val="21"/>
          <w:highlight w:val="white"/>
          <w:lang w:eastAsia="zh-CN"/>
        </w:rPr>
        <w:t>、基金管理人在发送指令时，应为基金托管人执行指令留出执行指令时所必需的</w:t>
      </w:r>
      <w:r>
        <w:rPr>
          <w:rFonts w:hint="eastAsia"/>
          <w:color w:val="000000" w:themeColor="text1"/>
          <w:sz w:val="21"/>
          <w:szCs w:val="21"/>
          <w:highlight w:val="white"/>
          <w:lang w:eastAsia="zh-CN"/>
        </w:rPr>
        <w:t>时间。发送指令日完成划款的指令，基金管理人应给基金托管人预留至少距划款截至时点</w:t>
      </w:r>
      <w:r>
        <w:rPr>
          <w:rFonts w:ascii="宋体" w:hAnsi="宋体" w:cs="宋体"/>
          <w:color w:val="000000" w:themeColor="text1"/>
          <w:sz w:val="21"/>
          <w:szCs w:val="21"/>
          <w:highlight w:val="white"/>
          <w:lang w:eastAsia="zh-CN"/>
        </w:rPr>
        <w:t>2</w:t>
      </w:r>
      <w:r>
        <w:rPr>
          <w:rFonts w:hint="eastAsia"/>
          <w:color w:val="000000" w:themeColor="text1"/>
          <w:sz w:val="21"/>
          <w:szCs w:val="21"/>
          <w:highlight w:val="white"/>
          <w:lang w:eastAsia="zh-CN"/>
        </w:rPr>
        <w:t>个工作小时（工作时间：工作日</w:t>
      </w:r>
      <w:r>
        <w:rPr>
          <w:rFonts w:ascii="宋体" w:hAnsi="宋体" w:cs="宋体"/>
          <w:color w:val="000000" w:themeColor="text1"/>
          <w:sz w:val="21"/>
          <w:szCs w:val="21"/>
          <w:highlight w:val="white"/>
          <w:lang w:eastAsia="zh-CN"/>
        </w:rPr>
        <w:t>9</w:t>
      </w:r>
      <w:r>
        <w:rPr>
          <w:rFonts w:hint="eastAsia"/>
          <w:color w:val="000000" w:themeColor="text1"/>
          <w:sz w:val="21"/>
          <w:szCs w:val="21"/>
          <w:highlight w:val="white"/>
          <w:lang w:eastAsia="zh-CN"/>
        </w:rPr>
        <w:t>：</w:t>
      </w:r>
      <w:r>
        <w:rPr>
          <w:rFonts w:ascii="宋体" w:hAnsi="宋体" w:cs="宋体"/>
          <w:color w:val="000000" w:themeColor="text1"/>
          <w:sz w:val="21"/>
          <w:szCs w:val="21"/>
          <w:highlight w:val="white"/>
          <w:lang w:eastAsia="zh-CN"/>
        </w:rPr>
        <w:t>00-11</w:t>
      </w:r>
      <w:r>
        <w:rPr>
          <w:rFonts w:hint="eastAsia"/>
          <w:color w:val="000000" w:themeColor="text1"/>
          <w:sz w:val="21"/>
          <w:szCs w:val="21"/>
          <w:highlight w:val="white"/>
          <w:lang w:eastAsia="zh-CN"/>
        </w:rPr>
        <w:t>：</w:t>
      </w:r>
      <w:r>
        <w:rPr>
          <w:rFonts w:ascii="宋体" w:hAnsi="宋体" w:cs="宋体"/>
          <w:color w:val="000000" w:themeColor="text1"/>
          <w:sz w:val="21"/>
          <w:szCs w:val="21"/>
          <w:highlight w:val="white"/>
          <w:lang w:eastAsia="zh-CN"/>
        </w:rPr>
        <w:t>30</w:t>
      </w:r>
      <w:r>
        <w:rPr>
          <w:rFonts w:hint="eastAsia"/>
          <w:color w:val="000000" w:themeColor="text1"/>
          <w:sz w:val="21"/>
          <w:szCs w:val="21"/>
          <w:highlight w:val="white"/>
          <w:lang w:eastAsia="zh-CN"/>
        </w:rPr>
        <w:t>，</w:t>
      </w:r>
      <w:r>
        <w:rPr>
          <w:rFonts w:ascii="宋体" w:hAnsi="宋体" w:cs="宋体"/>
          <w:color w:val="000000" w:themeColor="text1"/>
          <w:sz w:val="21"/>
          <w:szCs w:val="21"/>
          <w:highlight w:val="white"/>
          <w:lang w:eastAsia="zh-CN"/>
        </w:rPr>
        <w:t>13</w:t>
      </w:r>
      <w:r>
        <w:rPr>
          <w:rFonts w:hint="eastAsia"/>
          <w:color w:val="000000" w:themeColor="text1"/>
          <w:sz w:val="21"/>
          <w:szCs w:val="21"/>
          <w:highlight w:val="white"/>
          <w:lang w:eastAsia="zh-CN"/>
        </w:rPr>
        <w:t>：</w:t>
      </w:r>
      <w:r>
        <w:rPr>
          <w:rFonts w:ascii="宋体" w:hAnsi="宋体" w:cs="宋体"/>
          <w:color w:val="000000" w:themeColor="text1"/>
          <w:sz w:val="21"/>
          <w:szCs w:val="21"/>
          <w:highlight w:val="white"/>
          <w:lang w:eastAsia="zh-CN"/>
        </w:rPr>
        <w:t>00-17</w:t>
      </w:r>
      <w:r>
        <w:rPr>
          <w:rFonts w:hint="eastAsia"/>
          <w:color w:val="000000" w:themeColor="text1"/>
          <w:sz w:val="21"/>
          <w:szCs w:val="21"/>
          <w:highlight w:val="white"/>
          <w:lang w:eastAsia="zh-CN"/>
        </w:rPr>
        <w:t>：</w:t>
      </w:r>
      <w:r>
        <w:rPr>
          <w:rFonts w:ascii="宋体" w:hAnsi="宋体" w:cs="宋体"/>
          <w:color w:val="000000" w:themeColor="text1"/>
          <w:sz w:val="21"/>
          <w:szCs w:val="21"/>
          <w:highlight w:val="white"/>
          <w:lang w:eastAsia="zh-CN"/>
        </w:rPr>
        <w:t>00</w:t>
      </w:r>
      <w:r>
        <w:rPr>
          <w:rFonts w:hint="eastAsia"/>
          <w:color w:val="000000" w:themeColor="text1"/>
          <w:sz w:val="21"/>
          <w:szCs w:val="21"/>
          <w:highlight w:val="white"/>
          <w:lang w:eastAsia="zh-CN"/>
        </w:rPr>
        <w:t>）的指令执行时间。因基金管理人原因导致指令传输不及时而未能留出足够的执行时间，致使指令未能及时执行所造成的损失由基金管理人承担。</w:t>
      </w:r>
    </w:p>
    <w:p w:rsidR="00F14202">
      <w:pPr>
        <w:spacing w:line="360" w:lineRule="auto"/>
        <w:ind w:firstLine="420"/>
        <w:rPr>
          <w:color w:val="000000"/>
          <w:sz w:val="21"/>
          <w:szCs w:val="21"/>
          <w:lang w:eastAsia="zh-CN"/>
        </w:rPr>
      </w:pPr>
      <w:r>
        <w:rPr>
          <w:rFonts w:ascii="宋体" w:hAnsi="宋体" w:cs="宋体"/>
          <w:color w:val="000000" w:themeColor="text1"/>
          <w:sz w:val="21"/>
          <w:szCs w:val="21"/>
          <w:highlight w:val="white"/>
          <w:lang w:eastAsia="zh-CN"/>
        </w:rPr>
        <w:t>5</w:t>
      </w:r>
      <w:r>
        <w:rPr>
          <w:rFonts w:hint="eastAsia"/>
          <w:color w:val="000000" w:themeColor="text1"/>
          <w:sz w:val="21"/>
          <w:szCs w:val="21"/>
          <w:highlight w:val="white"/>
          <w:lang w:eastAsia="zh-CN"/>
        </w:rPr>
        <w:t>、对于</w:t>
      </w:r>
      <w:r>
        <w:rPr>
          <w:rFonts w:ascii="宋体" w:hAnsi="宋体" w:cs="宋体"/>
          <w:color w:val="000000" w:themeColor="text1"/>
          <w:sz w:val="21"/>
          <w:szCs w:val="21"/>
          <w:highlight w:val="white"/>
          <w:lang w:eastAsia="zh-CN"/>
        </w:rPr>
        <w:t>T</w:t>
      </w:r>
      <w:r>
        <w:rPr>
          <w:rFonts w:hint="eastAsia"/>
          <w:color w:val="000000" w:themeColor="text1"/>
          <w:sz w:val="21"/>
          <w:szCs w:val="21"/>
          <w:highlight w:val="white"/>
          <w:lang w:eastAsia="zh-CN"/>
        </w:rPr>
        <w:t>日交收的投资交易，基金管理人应于</w:t>
      </w:r>
      <w:r>
        <w:rPr>
          <w:rFonts w:ascii="宋体" w:hAnsi="宋体" w:cs="宋体"/>
          <w:color w:val="000000" w:themeColor="text1"/>
          <w:sz w:val="21"/>
          <w:szCs w:val="21"/>
          <w:highlight w:val="white"/>
          <w:lang w:eastAsia="zh-CN"/>
        </w:rPr>
        <w:t>T</w:t>
      </w:r>
      <w:r>
        <w:rPr>
          <w:rFonts w:hint="eastAsia"/>
          <w:color w:val="000000" w:themeColor="text1"/>
          <w:sz w:val="21"/>
          <w:szCs w:val="21"/>
          <w:highlight w:val="white"/>
          <w:lang w:eastAsia="zh-CN"/>
        </w:rPr>
        <w:t>日</w:t>
      </w:r>
      <w:r>
        <w:rPr>
          <w:rFonts w:ascii="宋体" w:hAnsi="宋体" w:cs="宋体"/>
          <w:color w:val="000000" w:themeColor="text1"/>
          <w:sz w:val="21"/>
          <w:szCs w:val="21"/>
          <w:highlight w:val="white"/>
          <w:lang w:eastAsia="zh-CN"/>
        </w:rPr>
        <w:t>15:00</w:t>
      </w:r>
      <w:r>
        <w:rPr>
          <w:rFonts w:hint="eastAsia"/>
          <w:color w:val="000000" w:themeColor="text1"/>
          <w:sz w:val="21"/>
          <w:szCs w:val="21"/>
          <w:highlight w:val="white"/>
          <w:lang w:eastAsia="zh-CN"/>
        </w:rPr>
        <w:t>之前发送指令至基金托管人并进行电话确认，基金托管人应根据本协议要求按投资指令执行。</w:t>
      </w:r>
      <w:r>
        <w:rPr>
          <w:rFonts w:ascii="宋体" w:hAnsi="宋体" w:cs="宋体"/>
          <w:color w:val="000000" w:themeColor="text1"/>
          <w:sz w:val="21"/>
          <w:szCs w:val="21"/>
          <w:highlight w:val="white"/>
          <w:lang w:eastAsia="zh-CN"/>
        </w:rPr>
        <w:t>15:00</w:t>
      </w:r>
      <w:r>
        <w:rPr>
          <w:rFonts w:hint="eastAsia"/>
          <w:color w:val="000000" w:themeColor="text1"/>
          <w:sz w:val="21"/>
          <w:szCs w:val="21"/>
          <w:highlight w:val="white"/>
          <w:lang w:eastAsia="zh-CN"/>
        </w:rPr>
        <w:t>之后发送的，基金托管人尽力执行但不保证执行成功，由于基金管理人未能在规定时间内向基</w:t>
      </w:r>
      <w:r>
        <w:rPr>
          <w:rFonts w:hint="eastAsia"/>
          <w:color w:val="000000" w:themeColor="text1"/>
          <w:sz w:val="21"/>
          <w:szCs w:val="21"/>
          <w:highlight w:val="white"/>
          <w:lang w:eastAsia="zh-CN"/>
        </w:rPr>
        <w:t>金托管人发送指令导致划付失败的，由基金管理人承担该责任，基金托管人不承担该责任。</w:t>
      </w:r>
    </w:p>
    <w:p w:rsidR="00F14202">
      <w:pPr>
        <w:spacing w:line="360" w:lineRule="auto"/>
        <w:ind w:firstLine="420"/>
        <w:rPr>
          <w:color w:val="000000"/>
          <w:sz w:val="21"/>
          <w:szCs w:val="21"/>
          <w:lang w:eastAsia="zh-CN"/>
        </w:rPr>
      </w:pPr>
      <w:r>
        <w:rPr>
          <w:rFonts w:ascii="宋体" w:hAnsi="宋体" w:cs="宋体"/>
          <w:color w:val="000000" w:themeColor="text1"/>
          <w:sz w:val="21"/>
          <w:szCs w:val="21"/>
          <w:highlight w:val="white"/>
          <w:lang w:eastAsia="zh-CN"/>
        </w:rPr>
        <w:t>6</w:t>
      </w:r>
      <w:r>
        <w:rPr>
          <w:rFonts w:hint="eastAsia"/>
          <w:color w:val="000000" w:themeColor="text1"/>
          <w:sz w:val="21"/>
          <w:szCs w:val="21"/>
          <w:highlight w:val="white"/>
          <w:lang w:eastAsia="zh-CN"/>
        </w:rPr>
        <w:t>、基金管理人应确保基金托管人在执行指令时基金的银行存款账户有足够的资金余额，确保基金的证券账户有足够的证券余额。对超头寸的指令，以及超过证券账户证券余额的指令，基金托管人可不予执行，但应立即通知基金管理人，由此造成的损失，由基金管理人承担。</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（四）基金管理人发送错误指令的情形和处理程序</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基金管理人发送错误指令的情形包括指令违反法律法规和本协议，指令发送人员无权或超越权限发送指令，指令发送人员发送的指令不能辨识或投资指令的要素不全导致无法执行等情形。</w:t>
      </w:r>
    </w:p>
    <w:p w:rsidR="00F14202">
      <w:pPr>
        <w:spacing w:line="360" w:lineRule="auto"/>
        <w:ind w:firstLine="315"/>
        <w:rPr>
          <w:color w:val="000000"/>
          <w:sz w:val="21"/>
          <w:szCs w:val="21"/>
          <w:lang w:eastAsia="zh-CN"/>
        </w:rPr>
      </w:pPr>
      <w:r>
        <w:rPr>
          <w:rFonts w:hint="eastAsia"/>
          <w:color w:val="000000" w:themeColor="text1"/>
          <w:sz w:val="21"/>
          <w:szCs w:val="21"/>
          <w:highlight w:val="white"/>
          <w:lang w:eastAsia="zh-CN"/>
        </w:rPr>
        <w:t>基金托管人在履行监督职能时，发现基金管理人的指令错误时，有权拒绝执行，并及时通知基金管理人改正。基金管理人如需撤销指令，应在基金托管人执行指令之前出具书面撤销说明或在原指令上注明“作废”，并加盖预留印鉴发送给基金托管人，并与基金托管人进行电话确认，基金托管人确认后，该书面撤回的说明或指令生效。如果基金托管人在收到书面撤销的说明或指令前已执行原指</w:t>
      </w:r>
      <w:r>
        <w:rPr>
          <w:rFonts w:hint="eastAsia"/>
          <w:color w:val="000000" w:themeColor="text1"/>
          <w:sz w:val="21"/>
          <w:szCs w:val="21"/>
          <w:highlight w:val="white"/>
          <w:lang w:eastAsia="zh-CN"/>
        </w:rPr>
        <w:t>令，由此造成的损失由基金管理人承担。</w:t>
      </w:r>
    </w:p>
    <w:p w:rsidR="00F14202">
      <w:pPr>
        <w:spacing w:line="360" w:lineRule="auto"/>
        <w:ind w:firstLine="315"/>
        <w:rPr>
          <w:color w:val="000000"/>
          <w:sz w:val="21"/>
          <w:szCs w:val="21"/>
          <w:lang w:eastAsia="zh-CN"/>
        </w:rPr>
      </w:pPr>
      <w:r>
        <w:rPr>
          <w:rFonts w:hint="eastAsia"/>
          <w:color w:val="000000" w:themeColor="text1"/>
          <w:sz w:val="21"/>
          <w:szCs w:val="21"/>
          <w:highlight w:val="white"/>
          <w:lang w:eastAsia="zh-CN"/>
        </w:rPr>
        <w:t>（五）基金托管人依照法律法规暂缓、拒绝执行指令的情形和处理程序</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基金托管人发现基金管理人的指令违法、违规的，有权不予执行，并及时书面通知基金管理人纠正。基金管理人收到通知后应及时核对，并以书面形式对基金托管人发出回函确认，基金管理人未予书面回函确认的，也视为同意基金托管人的处理，由此造成的损失由基金管理人承担。</w:t>
      </w:r>
    </w:p>
    <w:p w:rsidR="00F14202">
      <w:pPr>
        <w:spacing w:line="360" w:lineRule="auto"/>
        <w:ind w:firstLine="315"/>
        <w:rPr>
          <w:color w:val="000000"/>
          <w:sz w:val="21"/>
          <w:szCs w:val="21"/>
          <w:lang w:eastAsia="zh-CN"/>
        </w:rPr>
      </w:pPr>
      <w:r>
        <w:rPr>
          <w:rFonts w:hint="eastAsia"/>
          <w:color w:val="000000" w:themeColor="text1"/>
          <w:sz w:val="21"/>
          <w:szCs w:val="21"/>
          <w:highlight w:val="white"/>
          <w:lang w:eastAsia="zh-CN"/>
        </w:rPr>
        <w:t>（六）基金托管人未按照基金管理人指令执行的处理方法</w:t>
      </w:r>
    </w:p>
    <w:p w:rsidR="00F14202">
      <w:pPr>
        <w:spacing w:line="360" w:lineRule="auto"/>
        <w:ind w:firstLine="315"/>
        <w:rPr>
          <w:color w:val="000000"/>
          <w:sz w:val="21"/>
          <w:szCs w:val="21"/>
          <w:lang w:eastAsia="zh-CN"/>
        </w:rPr>
      </w:pPr>
      <w:r>
        <w:rPr>
          <w:rFonts w:hint="eastAsia"/>
          <w:color w:val="000000" w:themeColor="text1"/>
          <w:sz w:val="21"/>
          <w:szCs w:val="21"/>
          <w:highlight w:val="white"/>
          <w:lang w:eastAsia="zh-CN"/>
        </w:rPr>
        <w:t>对于基金管理人的有效指令和通知，除非违反法律法规、</w:t>
      </w:r>
      <w:r>
        <w:rPr>
          <w:rFonts w:ascii="宋体" w:hAnsi="Calibri" w:cs="宋体" w:hint="eastAsia"/>
          <w:color w:val="000000" w:themeColor="text1"/>
          <w:sz w:val="21"/>
          <w:szCs w:val="21"/>
          <w:highlight w:val="white"/>
          <w:lang w:eastAsia="zh-CN"/>
        </w:rPr>
        <w:t>《基金合同》</w:t>
      </w:r>
      <w:r>
        <w:rPr>
          <w:rFonts w:hint="eastAsia"/>
          <w:color w:val="000000" w:themeColor="text1"/>
          <w:sz w:val="21"/>
          <w:szCs w:val="21"/>
          <w:highlight w:val="white"/>
          <w:lang w:eastAsia="zh-CN"/>
        </w:rPr>
        <w:t>、托管协议，基金托管人不得无故拒绝或拖延执行。</w:t>
      </w:r>
      <w:r>
        <w:rPr>
          <w:rFonts w:hint="eastAsia"/>
          <w:color w:val="000000" w:themeColor="text1"/>
          <w:sz w:val="21"/>
          <w:szCs w:val="21"/>
          <w:highlight w:val="white"/>
          <w:lang w:eastAsia="zh-CN"/>
        </w:rPr>
        <w:t>基金托管人因过错未按照基金管理人符合法律法规、</w:t>
      </w:r>
      <w:r>
        <w:rPr>
          <w:rFonts w:ascii="宋体" w:hAnsi="Calibri" w:cs="宋体" w:hint="eastAsia"/>
          <w:color w:val="000000" w:themeColor="text1"/>
          <w:sz w:val="21"/>
          <w:szCs w:val="21"/>
          <w:highlight w:val="white"/>
          <w:lang w:eastAsia="zh-CN"/>
        </w:rPr>
        <w:t>《基金合同》</w:t>
      </w:r>
      <w:r>
        <w:rPr>
          <w:rFonts w:hint="eastAsia"/>
          <w:color w:val="000000" w:themeColor="text1"/>
          <w:sz w:val="21"/>
          <w:szCs w:val="21"/>
          <w:highlight w:val="white"/>
          <w:lang w:eastAsia="zh-CN"/>
        </w:rPr>
        <w:t>及本协议规定的有效指令执行或拖延执行基金管理人的前述有效指令，致使基金的利益受到损害的，基金托管人应负赔偿责任。</w:t>
      </w:r>
    </w:p>
    <w:p w:rsidR="00F14202">
      <w:pPr>
        <w:spacing w:line="360" w:lineRule="auto"/>
        <w:ind w:firstLine="315"/>
        <w:rPr>
          <w:color w:val="000000"/>
          <w:sz w:val="21"/>
          <w:szCs w:val="21"/>
          <w:lang w:eastAsia="zh-CN"/>
        </w:rPr>
      </w:pPr>
      <w:r>
        <w:rPr>
          <w:rFonts w:hint="eastAsia"/>
          <w:color w:val="000000" w:themeColor="text1"/>
          <w:sz w:val="21"/>
          <w:szCs w:val="21"/>
          <w:highlight w:val="white"/>
          <w:lang w:eastAsia="zh-CN"/>
        </w:rPr>
        <w:t>（七）被授权人员及授权权限的变更</w:t>
      </w:r>
      <w:r>
        <w:rPr>
          <w:rFonts w:ascii="宋体" w:hAnsi="宋体" w:cs="宋体"/>
          <w:color w:val="000000" w:themeColor="text1"/>
          <w:sz w:val="21"/>
          <w:szCs w:val="21"/>
          <w:highlight w:val="white"/>
          <w:lang w:eastAsia="zh-CN"/>
        </w:rPr>
        <w:tab/>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基金管理人若对授权通知的内容进行修改（包括但不限于指令发送人员的名单的修改，及</w:t>
      </w:r>
      <w:r>
        <w:rPr>
          <w:rFonts w:ascii="宋体" w:hAnsi="宋体" w:cs="宋体"/>
          <w:color w:val="000000" w:themeColor="text1"/>
          <w:sz w:val="21"/>
          <w:szCs w:val="21"/>
          <w:highlight w:val="white"/>
          <w:lang w:eastAsia="zh-CN"/>
        </w:rPr>
        <w:t>/</w:t>
      </w:r>
      <w:r>
        <w:rPr>
          <w:rFonts w:hint="eastAsia"/>
          <w:color w:val="000000" w:themeColor="text1"/>
          <w:sz w:val="21"/>
          <w:szCs w:val="21"/>
          <w:highlight w:val="white"/>
          <w:lang w:eastAsia="zh-CN"/>
        </w:rPr>
        <w:t>或权限的修改），应当至少提前</w:t>
      </w:r>
      <w:r>
        <w:rPr>
          <w:rFonts w:ascii="宋体" w:hAnsi="宋体" w:cs="宋体"/>
          <w:color w:val="000000" w:themeColor="text1"/>
          <w:sz w:val="21"/>
          <w:szCs w:val="21"/>
          <w:highlight w:val="white"/>
          <w:lang w:eastAsia="zh-CN"/>
        </w:rPr>
        <w:t>1</w:t>
      </w:r>
      <w:r>
        <w:rPr>
          <w:rFonts w:hint="eastAsia"/>
          <w:color w:val="000000" w:themeColor="text1"/>
          <w:sz w:val="21"/>
          <w:szCs w:val="21"/>
          <w:highlight w:val="white"/>
          <w:lang w:eastAsia="zh-CN"/>
        </w:rPr>
        <w:t>个工作日通知基金托管人；修改授权通知的文件应由基金管理人加盖公章并由其法定代表人或授权代表签字（如是授权代表，需要由法定代表人出具授权书）。基金管理人对授权通知的修改应当至少提前</w:t>
      </w:r>
      <w:r>
        <w:rPr>
          <w:rFonts w:ascii="宋体" w:hAnsi="宋体" w:cs="宋体"/>
          <w:color w:val="000000" w:themeColor="text1"/>
          <w:sz w:val="21"/>
          <w:szCs w:val="21"/>
          <w:highlight w:val="white"/>
          <w:lang w:eastAsia="zh-CN"/>
        </w:rPr>
        <w:t>1</w:t>
      </w:r>
      <w:r>
        <w:rPr>
          <w:rFonts w:hint="eastAsia"/>
          <w:color w:val="000000" w:themeColor="text1"/>
          <w:sz w:val="21"/>
          <w:szCs w:val="21"/>
          <w:highlight w:val="white"/>
          <w:lang w:eastAsia="zh-CN"/>
        </w:rPr>
        <w:t>个工作日以传真</w:t>
      </w:r>
      <w:r>
        <w:rPr>
          <w:rFonts w:hint="eastAsia"/>
          <w:color w:val="000000" w:themeColor="text1"/>
          <w:sz w:val="21"/>
          <w:szCs w:val="21"/>
          <w:highlight w:val="white"/>
          <w:lang w:eastAsia="zh-CN"/>
        </w:rPr>
        <w:t>的形式发送给基金托管人，同时电话通知基金托管人，基金托管人收到变更通知后应向基金管理人电话确认。基金管理人对授权通知的内容的修改自通知送达基金托管人并经基金托管人确认无异议之时起生效。基金管理人在此后</w:t>
      </w:r>
      <w:r>
        <w:rPr>
          <w:rFonts w:ascii="宋体" w:hAnsi="宋体" w:cs="宋体"/>
          <w:color w:val="000000" w:themeColor="text1"/>
          <w:sz w:val="21"/>
          <w:szCs w:val="21"/>
          <w:highlight w:val="white"/>
          <w:lang w:eastAsia="zh-CN"/>
        </w:rPr>
        <w:t>3</w:t>
      </w:r>
      <w:r>
        <w:rPr>
          <w:rFonts w:hint="eastAsia"/>
          <w:color w:val="000000" w:themeColor="text1"/>
          <w:sz w:val="21"/>
          <w:szCs w:val="21"/>
          <w:highlight w:val="white"/>
          <w:lang w:eastAsia="zh-CN"/>
        </w:rPr>
        <w:t>个工作日内将对授权通知修改的文件原件送交基金托管人，原件与传真件不一致的，基金托管人应及时与基金管理人联系予以确认，在确认前基金托管人以传真件为准执行指令，由此产生的责任由基金管理人承担。基金管理人更换被授权人通知生效后，对于已被撤换的人员无权发送的指令，或被改变授权人员超权限发送的指令，基金托管人不予执行。</w:t>
      </w:r>
      <w:r>
        <w:rPr>
          <w:rFonts w:hint="eastAsia"/>
          <w:color w:val="000000" w:themeColor="text1"/>
          <w:sz w:val="21"/>
          <w:szCs w:val="21"/>
          <w:highlight w:val="white"/>
          <w:lang w:eastAsia="zh-CN"/>
        </w:rPr>
        <w:t>如因托管人过错造成损失的，由托管人承担责任。</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（八）其他事项</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除因其自身故意或重大过失原因致使基金的利益受到损害而负赔偿责任外，基金托管人按照法律法规、本协议的规定执行基金管理人指令而引起的任何损失，基金托管人不负赔偿责任。</w:t>
      </w:r>
    </w:p>
    <w:p w:rsidR="00F14202">
      <w:pPr>
        <w:spacing w:line="360" w:lineRule="auto"/>
        <w:ind w:firstLine="420"/>
        <w:rPr>
          <w:color w:val="000000"/>
          <w:lang w:eastAsia="zh-CN"/>
        </w:rPr>
      </w:pPr>
    </w:p>
    <w:p w:rsidR="00F14202">
      <w:pPr>
        <w:pStyle w:val="Heading1"/>
        <w:numPr>
          <w:ilvl w:val="0"/>
          <w:numId w:val="1"/>
        </w:numPr>
        <w:spacing w:before="120" w:after="120" w:line="360" w:lineRule="auto"/>
        <w:jc w:val="center"/>
        <w:rPr>
          <w:rFonts w:ascii="宋体"/>
          <w:b w:val="0"/>
          <w:color w:val="000000"/>
          <w:sz w:val="24"/>
          <w:szCs w:val="24"/>
        </w:rPr>
      </w:pPr>
      <w:bookmarkStart w:id="13" w:name="_Toc421544159"/>
      <w:bookmarkStart w:id="14" w:name="_Toc394474002"/>
      <w:bookmarkStart w:id="15" w:name="_Toc881137"/>
      <w:bookmarkEnd w:id="13"/>
      <w:r>
        <w:rPr>
          <w:rFonts w:ascii="宋体" w:hint="eastAsia"/>
          <w:color w:val="000000" w:themeColor="text1"/>
          <w:sz w:val="24"/>
          <w:szCs w:val="24"/>
          <w:highlight w:val="white"/>
        </w:rPr>
        <w:t>交易及清算交收安排</w:t>
      </w:r>
      <w:bookmarkEnd w:id="14"/>
      <w:bookmarkEnd w:id="15"/>
    </w:p>
    <w:p w:rsidR="00F14202">
      <w:pPr>
        <w:pStyle w:val="ListParagraph"/>
        <w:ind w:left="450" w:firstLine="0"/>
        <w:rPr>
          <w:color w:val="000000"/>
        </w:rPr>
      </w:pP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（一）</w:t>
      </w:r>
      <w:r>
        <w:rPr>
          <w:color w:val="000000" w:themeColor="text1"/>
          <w:sz w:val="21"/>
          <w:szCs w:val="21"/>
          <w:highlight w:val="white"/>
          <w:lang w:eastAsia="zh-CN"/>
        </w:rPr>
        <w:t>基金管理人负责选择代理本基金证券、期货买卖的证券经营机构、期货经纪机构。</w:t>
      </w:r>
    </w:p>
    <w:p w:rsidR="00F14202">
      <w:pPr>
        <w:spacing w:line="360" w:lineRule="auto"/>
        <w:ind w:firstLine="420"/>
        <w:rPr>
          <w:lang w:eastAsia="zh-CN"/>
        </w:rPr>
      </w:pPr>
      <w:r>
        <w:rPr>
          <w:rFonts w:ascii="宋体" w:hAnsi="宋体" w:cs="宋体"/>
          <w:color w:val="000000" w:themeColor="text1"/>
          <w:sz w:val="21"/>
          <w:szCs w:val="21"/>
          <w:highlight w:val="white"/>
          <w:lang w:eastAsia="zh-CN"/>
        </w:rPr>
        <w:t>1</w:t>
      </w:r>
      <w:r>
        <w:rPr>
          <w:color w:val="000000" w:themeColor="text1"/>
          <w:sz w:val="21"/>
          <w:szCs w:val="21"/>
          <w:highlight w:val="white"/>
          <w:lang w:eastAsia="zh-CN"/>
        </w:rPr>
        <w:t>、基金管理人应设计选择代理证券的证券经营机构的标准和程序。</w:t>
      </w:r>
    </w:p>
    <w:p w:rsidR="00F14202">
      <w:pPr>
        <w:spacing w:line="360" w:lineRule="auto"/>
        <w:ind w:firstLine="420"/>
        <w:rPr>
          <w:lang w:eastAsia="zh-CN"/>
        </w:rPr>
      </w:pPr>
      <w:r>
        <w:rPr>
          <w:color w:val="000000" w:themeColor="text1"/>
          <w:sz w:val="21"/>
          <w:szCs w:val="21"/>
          <w:highlight w:val="white"/>
          <w:lang w:eastAsia="zh-CN"/>
        </w:rPr>
        <w:t>基金管理人负责选择证券经营机构，租用其交易单元作为基金的专用交易单元。基金管理人与被选择的证券经营机构签订交易单元租用协议，基金管理人应将交易单元租用协议及时送交基金托管人。</w:t>
      </w:r>
    </w:p>
    <w:p w:rsidR="00F14202">
      <w:pPr>
        <w:spacing w:line="360" w:lineRule="auto"/>
        <w:ind w:firstLine="420"/>
        <w:rPr>
          <w:lang w:eastAsia="zh-CN"/>
        </w:rPr>
      </w:pPr>
      <w:r>
        <w:rPr>
          <w:rFonts w:ascii="宋体" w:hAnsi="宋体" w:cs="宋体"/>
          <w:color w:val="000000" w:themeColor="text1"/>
          <w:sz w:val="21"/>
          <w:szCs w:val="21"/>
          <w:highlight w:val="white"/>
          <w:lang w:eastAsia="zh-CN"/>
        </w:rPr>
        <w:t>2</w:t>
      </w:r>
      <w:r>
        <w:rPr>
          <w:color w:val="000000" w:themeColor="text1"/>
          <w:sz w:val="21"/>
          <w:szCs w:val="21"/>
          <w:highlight w:val="white"/>
          <w:lang w:eastAsia="zh-CN"/>
        </w:rPr>
        <w:t>、相关信息的通知</w:t>
      </w:r>
    </w:p>
    <w:p w:rsidR="00F14202">
      <w:pPr>
        <w:spacing w:line="360" w:lineRule="auto"/>
        <w:ind w:firstLine="420"/>
        <w:rPr>
          <w:lang w:eastAsia="zh-CN"/>
        </w:rPr>
      </w:pPr>
      <w:r>
        <w:rPr>
          <w:color w:val="000000" w:themeColor="text1"/>
          <w:sz w:val="21"/>
          <w:szCs w:val="21"/>
          <w:highlight w:val="white"/>
          <w:lang w:eastAsia="zh-CN"/>
        </w:rPr>
        <w:t>基金管理人应及时以书面形式通知基金托管人基金交易单元的号码、券商名称、佣金费率等基金基本信息以及变更情况，其中交易单元租用应至少在首次进行交易的</w:t>
      </w:r>
      <w:r>
        <w:rPr>
          <w:rFonts w:ascii="宋体" w:hAnsi="宋体" w:cs="宋体"/>
          <w:color w:val="000000" w:themeColor="text1"/>
          <w:sz w:val="21"/>
          <w:szCs w:val="21"/>
          <w:highlight w:val="white"/>
          <w:lang w:eastAsia="zh-CN"/>
        </w:rPr>
        <w:t>10</w:t>
      </w:r>
      <w:r>
        <w:rPr>
          <w:color w:val="000000" w:themeColor="text1"/>
          <w:sz w:val="21"/>
          <w:szCs w:val="21"/>
          <w:highlight w:val="white"/>
          <w:lang w:eastAsia="zh-CN"/>
        </w:rPr>
        <w:t>个工作日前通知基金托管人，交易单元退租应在次日内通知到基金托管人。</w:t>
      </w:r>
    </w:p>
    <w:p w:rsidR="00F14202">
      <w:pPr>
        <w:spacing w:line="360" w:lineRule="auto"/>
        <w:ind w:firstLine="420"/>
        <w:rPr>
          <w:color w:val="000000"/>
          <w:sz w:val="21"/>
          <w:szCs w:val="21"/>
          <w:lang w:eastAsia="zh-CN"/>
        </w:rPr>
      </w:pPr>
      <w:r>
        <w:rPr>
          <w:rFonts w:ascii="宋体" w:hAnsi="宋体" w:cs="宋体"/>
          <w:color w:val="000000" w:themeColor="text1"/>
          <w:sz w:val="21"/>
          <w:szCs w:val="21"/>
          <w:highlight w:val="white"/>
          <w:lang w:eastAsia="zh-CN"/>
        </w:rPr>
        <w:t>3</w:t>
      </w:r>
      <w:r>
        <w:rPr>
          <w:color w:val="000000" w:themeColor="text1"/>
          <w:sz w:val="21"/>
          <w:szCs w:val="21"/>
          <w:highlight w:val="white"/>
          <w:lang w:eastAsia="zh-CN"/>
        </w:rPr>
        <w:t>、基金管理人负责选择代理本基金期货交易的期货经纪机构，并与期货经纪机构、托管人共同签订期货经纪合同</w:t>
      </w:r>
      <w:r>
        <w:rPr>
          <w:color w:val="000000" w:themeColor="text1"/>
          <w:sz w:val="21"/>
          <w:szCs w:val="21"/>
          <w:highlight w:val="white"/>
          <w:lang w:eastAsia="zh-CN"/>
        </w:rPr>
        <w:t>，其他事宜根据法律法规、《基金合同》的相关规定执行，若无明确规定的，可参照有关证券买卖、证券经纪机构选择的规则执行。</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（二）基金投资证券后的清算交收安排</w:t>
      </w:r>
    </w:p>
    <w:p w:rsidR="00F14202">
      <w:pPr>
        <w:spacing w:line="360" w:lineRule="auto"/>
        <w:ind w:firstLine="420"/>
        <w:rPr>
          <w:lang w:eastAsia="zh-CN"/>
        </w:rPr>
      </w:pPr>
      <w:r>
        <w:rPr>
          <w:rFonts w:ascii="宋体" w:hAnsi="宋体" w:cs="宋体"/>
          <w:color w:val="000000" w:themeColor="text1"/>
          <w:sz w:val="21"/>
          <w:szCs w:val="21"/>
          <w:highlight w:val="white"/>
          <w:lang w:eastAsia="zh-CN"/>
        </w:rPr>
        <w:t>1</w:t>
      </w:r>
      <w:r>
        <w:rPr>
          <w:color w:val="000000" w:themeColor="text1"/>
          <w:sz w:val="21"/>
          <w:szCs w:val="21"/>
          <w:highlight w:val="white"/>
          <w:lang w:eastAsia="zh-CN"/>
        </w:rPr>
        <w:t>、针对投资于交易所证券后的清算交收安排，基金管理人与基金托管人应签署《托管人证券资金结算协议》，共同遵守中国</w:t>
      </w:r>
      <w:r>
        <w:rPr>
          <w:rFonts w:hint="eastAsia"/>
          <w:color w:val="000000" w:themeColor="text1"/>
          <w:sz w:val="21"/>
          <w:szCs w:val="21"/>
          <w:highlight w:val="white"/>
          <w:lang w:eastAsia="zh-CN"/>
        </w:rPr>
        <w:t>结算</w:t>
      </w:r>
      <w:r>
        <w:rPr>
          <w:color w:val="000000" w:themeColor="text1"/>
          <w:sz w:val="21"/>
          <w:szCs w:val="21"/>
          <w:highlight w:val="white"/>
          <w:lang w:eastAsia="zh-CN"/>
        </w:rPr>
        <w:t>制定的相关业务规则和规定，该等规则和规定以及《托管人证券资金结算协议》自动成为本条款约定的内容。投资者和基金管理人知悉并认可，如果本合同与中国</w:t>
      </w:r>
      <w:r>
        <w:rPr>
          <w:rFonts w:hint="eastAsia"/>
          <w:color w:val="000000" w:themeColor="text1"/>
          <w:sz w:val="21"/>
          <w:szCs w:val="21"/>
          <w:highlight w:val="white"/>
          <w:lang w:eastAsia="zh-CN"/>
        </w:rPr>
        <w:t>结算</w:t>
      </w:r>
      <w:r>
        <w:rPr>
          <w:color w:val="000000" w:themeColor="text1"/>
          <w:sz w:val="21"/>
          <w:szCs w:val="21"/>
          <w:highlight w:val="white"/>
          <w:lang w:eastAsia="zh-CN"/>
        </w:rPr>
        <w:t>相关业务规则、规定以及《托管人证券资金结算协议》的约定相冲突的，以中国</w:t>
      </w:r>
      <w:r>
        <w:rPr>
          <w:rFonts w:hint="eastAsia"/>
          <w:color w:val="000000" w:themeColor="text1"/>
          <w:sz w:val="21"/>
          <w:szCs w:val="21"/>
          <w:highlight w:val="white"/>
          <w:lang w:eastAsia="zh-CN"/>
        </w:rPr>
        <w:t>结算</w:t>
      </w:r>
      <w:r>
        <w:rPr>
          <w:color w:val="000000" w:themeColor="text1"/>
          <w:sz w:val="21"/>
          <w:szCs w:val="21"/>
          <w:highlight w:val="white"/>
          <w:lang w:eastAsia="zh-CN"/>
        </w:rPr>
        <w:t>相关业务规则、规定以及《</w:t>
      </w:r>
      <w:r>
        <w:rPr>
          <w:color w:val="000000" w:themeColor="text1"/>
          <w:sz w:val="21"/>
          <w:szCs w:val="21"/>
          <w:highlight w:val="white"/>
          <w:lang w:eastAsia="zh-CN"/>
        </w:rPr>
        <w:t>托管人证券资金结算协议》的约定为准。</w:t>
      </w:r>
    </w:p>
    <w:p w:rsidR="00F14202">
      <w:pPr>
        <w:spacing w:line="360" w:lineRule="auto"/>
        <w:ind w:firstLine="420"/>
        <w:rPr>
          <w:lang w:eastAsia="zh-CN"/>
        </w:rPr>
      </w:pPr>
      <w:r>
        <w:rPr>
          <w:color w:val="000000" w:themeColor="text1"/>
          <w:sz w:val="21"/>
          <w:szCs w:val="21"/>
          <w:highlight w:val="white"/>
          <w:lang w:eastAsia="zh-CN"/>
        </w:rPr>
        <w:t>本基金投资于交易所证券发生的资金清算交割由基金托管人负责办理。本基金所有场内证券交易的清算交割由基金托管人作为特别结算参与人代理所托管的基金与中国</w:t>
      </w:r>
      <w:r>
        <w:rPr>
          <w:rFonts w:hint="eastAsia"/>
          <w:color w:val="000000" w:themeColor="text1"/>
          <w:sz w:val="21"/>
          <w:szCs w:val="21"/>
          <w:highlight w:val="white"/>
          <w:lang w:eastAsia="zh-CN"/>
        </w:rPr>
        <w:t>结算</w:t>
      </w:r>
      <w:r>
        <w:rPr>
          <w:color w:val="000000" w:themeColor="text1"/>
          <w:sz w:val="21"/>
          <w:szCs w:val="21"/>
          <w:highlight w:val="white"/>
          <w:lang w:eastAsia="zh-CN"/>
        </w:rPr>
        <w:t>进行结算，场内证券投资的应付清算款由基金托管人根据中国</w:t>
      </w:r>
      <w:r>
        <w:rPr>
          <w:rFonts w:hint="eastAsia"/>
          <w:color w:val="000000" w:themeColor="text1"/>
          <w:sz w:val="21"/>
          <w:szCs w:val="21"/>
          <w:highlight w:val="white"/>
          <w:lang w:eastAsia="zh-CN"/>
        </w:rPr>
        <w:t>结算</w:t>
      </w:r>
      <w:r>
        <w:rPr>
          <w:color w:val="000000" w:themeColor="text1"/>
          <w:sz w:val="21"/>
          <w:szCs w:val="21"/>
          <w:highlight w:val="white"/>
          <w:lang w:eastAsia="zh-CN"/>
        </w:rPr>
        <w:t>的交收数据主动从托管账户中扣收。</w:t>
      </w:r>
    </w:p>
    <w:p w:rsidR="00F14202">
      <w:pPr>
        <w:spacing w:line="360" w:lineRule="auto"/>
        <w:ind w:firstLine="420"/>
        <w:rPr>
          <w:lang w:eastAsia="zh-CN"/>
        </w:rPr>
      </w:pPr>
      <w:r>
        <w:rPr>
          <w:color w:val="000000" w:themeColor="text1"/>
          <w:sz w:val="21"/>
          <w:szCs w:val="21"/>
          <w:highlight w:val="white"/>
          <w:lang w:eastAsia="zh-CN"/>
        </w:rPr>
        <w:t>基金托管人承担由基金托管人过错造成的正常结算、交收业务无法完成的责任；若由于基金管理人原因造成的正常结算业务无法完成，责任由基金管理人承担。</w:t>
      </w:r>
    </w:p>
    <w:p w:rsidR="00F14202">
      <w:pPr>
        <w:spacing w:line="360" w:lineRule="auto"/>
        <w:ind w:firstLine="420"/>
        <w:rPr>
          <w:color w:val="000000"/>
          <w:sz w:val="21"/>
          <w:szCs w:val="21"/>
          <w:lang w:eastAsia="zh-CN"/>
        </w:rPr>
      </w:pPr>
      <w:r>
        <w:rPr>
          <w:rFonts w:ascii="宋体" w:hAnsi="宋体" w:cs="宋体"/>
          <w:color w:val="000000" w:themeColor="text1"/>
          <w:sz w:val="21"/>
          <w:szCs w:val="21"/>
          <w:highlight w:val="white"/>
          <w:lang w:eastAsia="zh-CN"/>
        </w:rPr>
        <w:t>2</w:t>
      </w:r>
      <w:r>
        <w:rPr>
          <w:color w:val="000000" w:themeColor="text1"/>
          <w:sz w:val="21"/>
          <w:szCs w:val="21"/>
          <w:highlight w:val="white"/>
          <w:lang w:eastAsia="zh-CN"/>
        </w:rPr>
        <w:t>、对于任何原因发生的证券资金交收违约事件，相关各方应当及时协商解决。</w:t>
      </w:r>
    </w:p>
    <w:p w:rsidR="00F14202">
      <w:pPr>
        <w:spacing w:line="360" w:lineRule="auto"/>
        <w:ind w:firstLine="420"/>
        <w:rPr>
          <w:color w:val="000000"/>
          <w:sz w:val="21"/>
          <w:szCs w:val="21"/>
        </w:rPr>
      </w:pPr>
      <w:r>
        <w:rPr>
          <w:rFonts w:hint="eastAsia"/>
          <w:color w:val="000000" w:themeColor="text1"/>
          <w:sz w:val="21"/>
          <w:szCs w:val="21"/>
          <w:highlight w:val="white"/>
        </w:rPr>
        <w:t>（三）港股通交易及</w:t>
      </w:r>
      <w:r>
        <w:rPr>
          <w:rFonts w:hint="eastAsia"/>
          <w:color w:val="000000" w:themeColor="text1"/>
          <w:sz w:val="21"/>
          <w:szCs w:val="21"/>
          <w:highlight w:val="white"/>
        </w:rPr>
        <w:t>清算交收安排</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本基金参与沪港通和深港通项下的港股通结算的，将秉持全部独立计算、两市分别交收的原则，包括但不限于交易资金、非交易资金、风控资金及证券组合费等所有港股通业务相关的清算交收区分沪港通和深港通项下独立计算，两市分别计算和缴纳风控资金和证券组合费。基金管理人应就两市项下港股通业务分别做好头寸管理，避免透支。</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对于交易资金的交收，基金管理人应保证在港股通交易日</w:t>
      </w:r>
      <w:r>
        <w:rPr>
          <w:rFonts w:ascii="宋体" w:hAnsi="宋体" w:cs="宋体" w:hint="eastAsia"/>
          <w:color w:val="000000" w:themeColor="text1"/>
          <w:sz w:val="21"/>
          <w:szCs w:val="21"/>
          <w:highlight w:val="white"/>
          <w:lang w:eastAsia="zh-CN"/>
        </w:rPr>
        <w:t>( T</w:t>
      </w:r>
      <w:r>
        <w:rPr>
          <w:rFonts w:hint="eastAsia"/>
          <w:color w:val="000000" w:themeColor="text1"/>
          <w:sz w:val="21"/>
          <w:szCs w:val="21"/>
          <w:highlight w:val="white"/>
          <w:lang w:eastAsia="zh-CN"/>
        </w:rPr>
        <w:t>日</w:t>
      </w:r>
      <w:r>
        <w:rPr>
          <w:rFonts w:ascii="宋体" w:hAnsi="宋体" w:cs="宋体" w:hint="eastAsia"/>
          <w:color w:val="000000" w:themeColor="text1"/>
          <w:sz w:val="21"/>
          <w:szCs w:val="21"/>
          <w:highlight w:val="white"/>
          <w:lang w:eastAsia="zh-CN"/>
        </w:rPr>
        <w:t>)</w:t>
      </w:r>
      <w:r>
        <w:rPr>
          <w:rFonts w:hint="eastAsia"/>
          <w:color w:val="000000" w:themeColor="text1"/>
          <w:sz w:val="21"/>
          <w:szCs w:val="21"/>
          <w:highlight w:val="white"/>
          <w:lang w:eastAsia="zh-CN"/>
        </w:rPr>
        <w:t>下一工作日（</w:t>
      </w:r>
      <w:r>
        <w:rPr>
          <w:rFonts w:ascii="宋体" w:hAnsi="宋体" w:cs="宋体" w:hint="eastAsia"/>
          <w:color w:val="000000" w:themeColor="text1"/>
          <w:sz w:val="21"/>
          <w:szCs w:val="21"/>
          <w:highlight w:val="white"/>
          <w:lang w:eastAsia="zh-CN"/>
        </w:rPr>
        <w:t>T+1</w:t>
      </w:r>
      <w:r>
        <w:rPr>
          <w:rFonts w:hint="eastAsia"/>
          <w:color w:val="000000" w:themeColor="text1"/>
          <w:sz w:val="21"/>
          <w:szCs w:val="21"/>
          <w:highlight w:val="white"/>
          <w:lang w:eastAsia="zh-CN"/>
        </w:rPr>
        <w:t>日）</w:t>
      </w:r>
      <w:r>
        <w:rPr>
          <w:rFonts w:ascii="宋体" w:hAnsi="宋体" w:cs="宋体" w:hint="eastAsia"/>
          <w:color w:val="000000" w:themeColor="text1"/>
          <w:sz w:val="21"/>
          <w:szCs w:val="21"/>
          <w:highlight w:val="white"/>
          <w:lang w:eastAsia="zh-CN"/>
        </w:rPr>
        <w:t>14</w:t>
      </w:r>
      <w:r>
        <w:rPr>
          <w:rFonts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00</w:t>
      </w:r>
      <w:r>
        <w:rPr>
          <w:rFonts w:hint="eastAsia"/>
          <w:color w:val="000000" w:themeColor="text1"/>
          <w:sz w:val="21"/>
          <w:szCs w:val="21"/>
          <w:highlight w:val="white"/>
          <w:lang w:eastAsia="zh-CN"/>
        </w:rPr>
        <w:t>前托管账户内有足够的资金分别用于沪港通和深港通下的港股通证券交易资金清算，基金托管人不承担任何垫付责任。</w:t>
      </w:r>
      <w:r>
        <w:rPr>
          <w:rFonts w:hint="eastAsia"/>
          <w:color w:val="000000" w:themeColor="text1"/>
          <w:sz w:val="21"/>
          <w:szCs w:val="21"/>
          <w:highlight w:val="white"/>
          <w:lang w:eastAsia="zh-CN"/>
        </w:rPr>
        <w:t>交易资金为净应付的，基金托管人于</w:t>
      </w:r>
      <w:r>
        <w:rPr>
          <w:rFonts w:ascii="宋体" w:hAnsi="宋体" w:cs="宋体" w:hint="eastAsia"/>
          <w:color w:val="000000" w:themeColor="text1"/>
          <w:sz w:val="21"/>
          <w:szCs w:val="21"/>
          <w:highlight w:val="white"/>
          <w:lang w:eastAsia="zh-CN"/>
        </w:rPr>
        <w:t>T+1</w:t>
      </w:r>
      <w:r>
        <w:rPr>
          <w:rFonts w:hint="eastAsia"/>
          <w:color w:val="000000" w:themeColor="text1"/>
          <w:sz w:val="21"/>
          <w:szCs w:val="21"/>
          <w:highlight w:val="white"/>
          <w:lang w:eastAsia="zh-CN"/>
        </w:rPr>
        <w:t>日</w:t>
      </w:r>
      <w:r>
        <w:rPr>
          <w:rFonts w:ascii="宋体" w:hAnsi="宋体" w:cs="宋体" w:hint="eastAsia"/>
          <w:color w:val="000000" w:themeColor="text1"/>
          <w:sz w:val="21"/>
          <w:szCs w:val="21"/>
          <w:highlight w:val="white"/>
          <w:lang w:eastAsia="zh-CN"/>
        </w:rPr>
        <w:t>9:30</w:t>
      </w:r>
      <w:r>
        <w:rPr>
          <w:rFonts w:hint="eastAsia"/>
          <w:color w:val="000000" w:themeColor="text1"/>
          <w:sz w:val="21"/>
          <w:szCs w:val="21"/>
          <w:highlight w:val="white"/>
          <w:lang w:eastAsia="zh-CN"/>
        </w:rPr>
        <w:t>前从托管账户向基金托管人备付金账户划拨应付资金，最迟</w:t>
      </w:r>
      <w:r>
        <w:rPr>
          <w:rFonts w:ascii="宋体" w:hAnsi="宋体" w:cs="宋体" w:hint="eastAsia"/>
          <w:color w:val="000000" w:themeColor="text1"/>
          <w:sz w:val="21"/>
          <w:szCs w:val="21"/>
          <w:highlight w:val="white"/>
          <w:lang w:eastAsia="zh-CN"/>
        </w:rPr>
        <w:t>14:00</w:t>
      </w:r>
      <w:r>
        <w:rPr>
          <w:rFonts w:hint="eastAsia"/>
          <w:color w:val="000000" w:themeColor="text1"/>
          <w:sz w:val="21"/>
          <w:szCs w:val="21"/>
          <w:highlight w:val="white"/>
          <w:lang w:eastAsia="zh-CN"/>
        </w:rPr>
        <w:t>前划拨；交易资金为净应收的，</w:t>
      </w:r>
      <w:r>
        <w:rPr>
          <w:rFonts w:ascii="宋体" w:hAnsi="宋体" w:cs="宋体" w:hint="eastAsia"/>
          <w:color w:val="000000" w:themeColor="text1"/>
          <w:sz w:val="21"/>
          <w:szCs w:val="21"/>
          <w:highlight w:val="white"/>
          <w:lang w:eastAsia="zh-CN"/>
        </w:rPr>
        <w:t>T+2</w:t>
      </w:r>
      <w:r>
        <w:rPr>
          <w:rFonts w:hint="eastAsia"/>
          <w:color w:val="000000" w:themeColor="text1"/>
          <w:sz w:val="21"/>
          <w:szCs w:val="21"/>
          <w:highlight w:val="white"/>
          <w:lang w:eastAsia="zh-CN"/>
        </w:rPr>
        <w:t>日</w:t>
      </w:r>
      <w:r>
        <w:rPr>
          <w:rFonts w:ascii="宋体" w:hAnsi="宋体" w:cs="宋体" w:hint="eastAsia"/>
          <w:color w:val="000000" w:themeColor="text1"/>
          <w:sz w:val="21"/>
          <w:szCs w:val="21"/>
          <w:highlight w:val="white"/>
          <w:lang w:eastAsia="zh-CN"/>
        </w:rPr>
        <w:t>18:00</w:t>
      </w:r>
      <w:r>
        <w:rPr>
          <w:rFonts w:hint="eastAsia"/>
          <w:color w:val="000000" w:themeColor="text1"/>
          <w:sz w:val="21"/>
          <w:szCs w:val="21"/>
          <w:highlight w:val="white"/>
          <w:lang w:eastAsia="zh-CN"/>
        </w:rPr>
        <w:t>中国结算交收完成后资金沉淀在基金托管人备付金账户，基金托管人于</w:t>
      </w:r>
      <w:r>
        <w:rPr>
          <w:rFonts w:ascii="宋体" w:hAnsi="宋体" w:cs="宋体" w:hint="eastAsia"/>
          <w:color w:val="000000" w:themeColor="text1"/>
          <w:sz w:val="21"/>
          <w:szCs w:val="21"/>
          <w:highlight w:val="white"/>
          <w:lang w:eastAsia="zh-CN"/>
        </w:rPr>
        <w:t>T+3</w:t>
      </w:r>
      <w:r>
        <w:rPr>
          <w:rFonts w:hint="eastAsia"/>
          <w:color w:val="000000" w:themeColor="text1"/>
          <w:sz w:val="21"/>
          <w:szCs w:val="21"/>
          <w:highlight w:val="white"/>
          <w:lang w:eastAsia="zh-CN"/>
        </w:rPr>
        <w:t>日上午</w:t>
      </w:r>
      <w:r>
        <w:rPr>
          <w:rFonts w:ascii="宋体" w:hAnsi="宋体" w:cs="宋体" w:hint="eastAsia"/>
          <w:color w:val="000000" w:themeColor="text1"/>
          <w:sz w:val="21"/>
          <w:szCs w:val="21"/>
          <w:highlight w:val="white"/>
          <w:lang w:eastAsia="zh-CN"/>
        </w:rPr>
        <w:t>12:00</w:t>
      </w:r>
      <w:r>
        <w:rPr>
          <w:rFonts w:hint="eastAsia"/>
          <w:color w:val="000000" w:themeColor="text1"/>
          <w:sz w:val="21"/>
          <w:szCs w:val="21"/>
          <w:highlight w:val="white"/>
          <w:lang w:eastAsia="zh-CN"/>
        </w:rPr>
        <w:t>前将应收款划拨至托管账户。</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对于风控资金、红利</w:t>
      </w:r>
      <w:r>
        <w:rPr>
          <w:rFonts w:ascii="宋体" w:hAnsi="宋体" w:cs="宋体" w:hint="eastAsia"/>
          <w:color w:val="000000" w:themeColor="text1"/>
          <w:sz w:val="21"/>
          <w:szCs w:val="21"/>
          <w:highlight w:val="white"/>
          <w:lang w:eastAsia="zh-CN"/>
        </w:rPr>
        <w:t>/</w:t>
      </w:r>
      <w:r>
        <w:rPr>
          <w:rFonts w:hint="eastAsia"/>
          <w:color w:val="000000" w:themeColor="text1"/>
          <w:sz w:val="21"/>
          <w:szCs w:val="21"/>
          <w:highlight w:val="white"/>
          <w:lang w:eastAsia="zh-CN"/>
        </w:rPr>
        <w:t>公司收购、证券组合费交收，基金管理人应保证在</w:t>
      </w:r>
      <w:r>
        <w:rPr>
          <w:rFonts w:ascii="宋体" w:hAnsi="宋体" w:cs="宋体" w:hint="eastAsia"/>
          <w:color w:val="000000" w:themeColor="text1"/>
          <w:sz w:val="21"/>
          <w:szCs w:val="21"/>
          <w:highlight w:val="white"/>
          <w:lang w:eastAsia="zh-CN"/>
        </w:rPr>
        <w:t>T+1</w:t>
      </w:r>
      <w:r>
        <w:rPr>
          <w:rFonts w:hint="eastAsia"/>
          <w:color w:val="000000" w:themeColor="text1"/>
          <w:sz w:val="21"/>
          <w:szCs w:val="21"/>
          <w:highlight w:val="white"/>
          <w:lang w:eastAsia="zh-CN"/>
        </w:rPr>
        <w:t>日上午</w:t>
      </w:r>
      <w:r>
        <w:rPr>
          <w:rFonts w:ascii="宋体" w:hAnsi="宋体" w:cs="宋体" w:hint="eastAsia"/>
          <w:color w:val="000000" w:themeColor="text1"/>
          <w:sz w:val="21"/>
          <w:szCs w:val="21"/>
          <w:highlight w:val="white"/>
          <w:lang w:eastAsia="zh-CN"/>
        </w:rPr>
        <w:t>9:30</w:t>
      </w:r>
      <w:r>
        <w:rPr>
          <w:rFonts w:hint="eastAsia"/>
          <w:color w:val="000000" w:themeColor="text1"/>
          <w:sz w:val="21"/>
          <w:szCs w:val="21"/>
          <w:highlight w:val="white"/>
          <w:lang w:eastAsia="zh-CN"/>
        </w:rPr>
        <w:t>前托管账户有足够的资金，基金托管人于</w:t>
      </w:r>
      <w:r>
        <w:rPr>
          <w:rFonts w:ascii="宋体" w:hAnsi="宋体" w:cs="宋体" w:hint="eastAsia"/>
          <w:color w:val="000000" w:themeColor="text1"/>
          <w:sz w:val="21"/>
          <w:szCs w:val="21"/>
          <w:highlight w:val="white"/>
          <w:lang w:eastAsia="zh-CN"/>
        </w:rPr>
        <w:t>T+1</w:t>
      </w:r>
      <w:r>
        <w:rPr>
          <w:rFonts w:hint="eastAsia"/>
          <w:color w:val="000000" w:themeColor="text1"/>
          <w:sz w:val="21"/>
          <w:szCs w:val="21"/>
          <w:highlight w:val="white"/>
          <w:lang w:eastAsia="zh-CN"/>
        </w:rPr>
        <w:t>日上午</w:t>
      </w:r>
      <w:r>
        <w:rPr>
          <w:rFonts w:ascii="宋体" w:hAnsi="宋体" w:cs="宋体" w:hint="eastAsia"/>
          <w:color w:val="000000" w:themeColor="text1"/>
          <w:sz w:val="21"/>
          <w:szCs w:val="21"/>
          <w:highlight w:val="white"/>
          <w:lang w:eastAsia="zh-CN"/>
        </w:rPr>
        <w:t>9:30</w:t>
      </w:r>
      <w:r>
        <w:rPr>
          <w:rFonts w:hint="eastAsia"/>
          <w:color w:val="000000" w:themeColor="text1"/>
          <w:sz w:val="21"/>
          <w:szCs w:val="21"/>
          <w:highlight w:val="white"/>
          <w:lang w:eastAsia="zh-CN"/>
        </w:rPr>
        <w:t>前划拨托管账户的净应付资金，</w:t>
      </w:r>
      <w:r>
        <w:rPr>
          <w:rFonts w:ascii="宋体" w:hAnsi="宋体" w:cs="宋体" w:hint="eastAsia"/>
          <w:color w:val="000000" w:themeColor="text1"/>
          <w:sz w:val="21"/>
          <w:szCs w:val="21"/>
          <w:highlight w:val="white"/>
          <w:lang w:eastAsia="zh-CN"/>
        </w:rPr>
        <w:t>12:00</w:t>
      </w:r>
      <w:r>
        <w:rPr>
          <w:rFonts w:hint="eastAsia"/>
          <w:color w:val="000000" w:themeColor="text1"/>
          <w:sz w:val="21"/>
          <w:szCs w:val="21"/>
          <w:highlight w:val="white"/>
          <w:lang w:eastAsia="zh-CN"/>
        </w:rPr>
        <w:t>前返还净应收资金至托管账户。基金托管人负责差额缴款、按金等风控资金</w:t>
      </w:r>
      <w:r>
        <w:rPr>
          <w:rFonts w:hint="eastAsia"/>
          <w:color w:val="000000" w:themeColor="text1"/>
          <w:sz w:val="21"/>
          <w:szCs w:val="21"/>
          <w:highlight w:val="white"/>
          <w:lang w:eastAsia="zh-CN"/>
        </w:rPr>
        <w:t>的合并计算，基金管理人应按照基金托管人的计算结果按时缴纳风控资金。</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对于不可抗力等原因出现延迟交收，若托管账户的清算结果为净应付的，从托管账户向托管人备付金账户的资金划转不受不可抗力影响，仍按约定的时间进行资金划付，在该等情形下基金托管人对交收延迟不承担责任；若托管账户清算结果为净应收的，则交收时间视中国结算向基金托管人的支付情况确定，在该等情形下基金托管人对交收延迟不承担责任。基金管理人应做好头寸管理，避免因延迟交收而导致的透支。</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如因管理人的原因，导致本基金资金透支、超买或超卖等情形的，由此给基金托管人</w:t>
      </w:r>
      <w:r>
        <w:rPr>
          <w:rFonts w:hint="eastAsia"/>
          <w:color w:val="000000" w:themeColor="text1"/>
          <w:sz w:val="21"/>
          <w:szCs w:val="21"/>
          <w:highlight w:val="white"/>
          <w:lang w:eastAsia="zh-CN"/>
        </w:rPr>
        <w:t>、基金资产造成的直接损失由基金管理人负责赔偿。管理人同意在发生以上情形时，托管人有权按照中国结算的有关规定办理。</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w:t>
      </w:r>
      <w:r w:rsidR="009A2B8E">
        <w:rPr>
          <w:rFonts w:hint="eastAsia"/>
          <w:color w:val="000000" w:themeColor="text1"/>
          <w:sz w:val="21"/>
          <w:szCs w:val="21"/>
          <w:highlight w:val="white"/>
          <w:lang w:eastAsia="zh-CN"/>
        </w:rPr>
        <w:t>四</w:t>
      </w:r>
      <w:r>
        <w:rPr>
          <w:rFonts w:hint="eastAsia"/>
          <w:color w:val="000000" w:themeColor="text1"/>
          <w:sz w:val="21"/>
          <w:szCs w:val="21"/>
          <w:highlight w:val="white"/>
          <w:lang w:eastAsia="zh-CN"/>
        </w:rPr>
        <w:t>）资金、证券账目和交易记录核对</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1</w:t>
      </w:r>
      <w:r>
        <w:rPr>
          <w:rFonts w:hint="eastAsia"/>
          <w:color w:val="000000" w:themeColor="text1"/>
          <w:sz w:val="21"/>
          <w:szCs w:val="21"/>
          <w:highlight w:val="white"/>
          <w:lang w:eastAsia="zh-CN"/>
        </w:rPr>
        <w:t>、交易记录的核对</w:t>
      </w:r>
      <w:r>
        <w:rPr>
          <w:rFonts w:ascii="宋体" w:hAnsi="宋体" w:cs="宋体"/>
          <w:color w:val="000000" w:themeColor="text1"/>
          <w:sz w:val="21"/>
          <w:szCs w:val="21"/>
          <w:highlight w:val="white"/>
          <w:lang w:eastAsia="zh-CN"/>
        </w:rPr>
        <w:t xml:space="preserve"> </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基金管理人和基金托管人按日进行交易记录的核对。每日对外披露净值之前，必须保证当天所有实际交易记录与基金会计账簿上的交易记录完全一致。如果因基金管理人原因导致实际交易记录与会计账簿记录不一致，造成基金会计核算不完整或不真实，由此导致的损失由基金管理人承担。</w:t>
      </w:r>
      <w:r>
        <w:rPr>
          <w:rFonts w:ascii="宋体" w:hAnsi="宋体" w:cs="宋体"/>
          <w:color w:val="000000" w:themeColor="text1"/>
          <w:sz w:val="21"/>
          <w:szCs w:val="21"/>
          <w:highlight w:val="white"/>
          <w:lang w:eastAsia="zh-CN"/>
        </w:rPr>
        <w:t xml:space="preserve"> </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2</w:t>
      </w:r>
      <w:r>
        <w:rPr>
          <w:rFonts w:hint="eastAsia"/>
          <w:color w:val="000000" w:themeColor="text1"/>
          <w:sz w:val="21"/>
          <w:szCs w:val="21"/>
          <w:highlight w:val="white"/>
          <w:lang w:eastAsia="zh-CN"/>
        </w:rPr>
        <w:t>、资金账目的核对</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资金账目按日核实。</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3</w:t>
      </w:r>
      <w:r>
        <w:rPr>
          <w:rFonts w:hint="eastAsia"/>
          <w:color w:val="000000" w:themeColor="text1"/>
          <w:sz w:val="21"/>
          <w:szCs w:val="21"/>
          <w:highlight w:val="white"/>
          <w:lang w:eastAsia="zh-CN"/>
        </w:rPr>
        <w:t>、证券账目的核对</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基金管理人和基金托管人每交易日结束后核对基金交易所场内证券账目，确保双方账目相符。基金管理人和基金托管人每月月末最后一个交易日核对非交易所场内的证券账目。</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w:t>
      </w:r>
      <w:r w:rsidR="009A2B8E">
        <w:rPr>
          <w:rFonts w:hint="eastAsia"/>
          <w:color w:val="000000" w:themeColor="text1"/>
          <w:sz w:val="21"/>
          <w:szCs w:val="21"/>
          <w:highlight w:val="white"/>
          <w:lang w:eastAsia="zh-CN"/>
        </w:rPr>
        <w:t>五</w:t>
      </w:r>
      <w:r>
        <w:rPr>
          <w:rFonts w:hint="eastAsia"/>
          <w:color w:val="000000" w:themeColor="text1"/>
          <w:sz w:val="21"/>
          <w:szCs w:val="21"/>
          <w:highlight w:val="white"/>
          <w:lang w:eastAsia="zh-CN"/>
        </w:rPr>
        <w:t>）申购、赎回和基金转换的资金清算</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1</w:t>
      </w:r>
      <w:r>
        <w:rPr>
          <w:rFonts w:hint="eastAsia"/>
          <w:color w:val="000000" w:themeColor="text1"/>
          <w:sz w:val="21"/>
          <w:szCs w:val="21"/>
          <w:highlight w:val="white"/>
          <w:lang w:eastAsia="zh-CN"/>
        </w:rPr>
        <w:t>、基金托管账户与“基金清算账户”间的资金清算遵循“全额清算、净额交收”的原则，即按照托管账户当日应收额与托管账户应付额的差额来确定托管账户净应收额或净应付额，以此确定资金交收额。当存在托管账户净应收额时，基金管理人负责将托管账户净应收额在交收日</w:t>
      </w:r>
      <w:r>
        <w:rPr>
          <w:rFonts w:ascii="宋体" w:hAnsi="宋体" w:cs="宋体" w:hint="eastAsia"/>
          <w:color w:val="000000" w:themeColor="text1"/>
          <w:sz w:val="21"/>
          <w:szCs w:val="21"/>
          <w:highlight w:val="white"/>
          <w:lang w:eastAsia="zh-CN"/>
        </w:rPr>
        <w:t>15:00</w:t>
      </w:r>
      <w:r>
        <w:rPr>
          <w:rFonts w:hint="eastAsia"/>
          <w:color w:val="000000" w:themeColor="text1"/>
          <w:sz w:val="21"/>
          <w:szCs w:val="21"/>
          <w:highlight w:val="white"/>
          <w:lang w:eastAsia="zh-CN"/>
        </w:rPr>
        <w:t>前从“基金清算账户”划往基金</w:t>
      </w:r>
      <w:r>
        <w:rPr>
          <w:rFonts w:hint="eastAsia"/>
          <w:color w:val="000000" w:themeColor="text1"/>
          <w:sz w:val="21"/>
          <w:szCs w:val="21"/>
          <w:highlight w:val="white"/>
          <w:lang w:eastAsia="zh-CN"/>
        </w:rPr>
        <w:t>托管账户；当存在托管账户净应付额时，基金管理人需提前</w:t>
      </w:r>
      <w:r>
        <w:rPr>
          <w:rFonts w:ascii="宋体" w:hAnsi="宋体" w:cs="宋体" w:hint="eastAsia"/>
          <w:color w:val="000000" w:themeColor="text1"/>
          <w:sz w:val="21"/>
          <w:szCs w:val="21"/>
          <w:highlight w:val="white"/>
          <w:lang w:eastAsia="zh-CN"/>
        </w:rPr>
        <w:t>2</w:t>
      </w:r>
      <w:r>
        <w:rPr>
          <w:rFonts w:hint="eastAsia"/>
          <w:color w:val="000000" w:themeColor="text1"/>
          <w:sz w:val="21"/>
          <w:szCs w:val="21"/>
          <w:highlight w:val="white"/>
          <w:lang w:eastAsia="zh-CN"/>
        </w:rPr>
        <w:t>小时发送划款指令</w:t>
      </w:r>
      <w:r>
        <w:rPr>
          <w:rFonts w:hint="eastAsia"/>
          <w:color w:val="000000" w:themeColor="text1"/>
          <w:sz w:val="21"/>
          <w:highlight w:val="white"/>
          <w:lang w:eastAsia="zh-CN"/>
        </w:rPr>
        <w:t>（对于未提前</w:t>
      </w:r>
      <w:r>
        <w:rPr>
          <w:rFonts w:ascii="宋体" w:hAnsi="宋体" w:cs="宋体" w:hint="eastAsia"/>
          <w:color w:val="000000" w:themeColor="text1"/>
          <w:sz w:val="21"/>
          <w:highlight w:val="white"/>
          <w:lang w:eastAsia="zh-CN"/>
        </w:rPr>
        <w:t>2</w:t>
      </w:r>
      <w:r>
        <w:rPr>
          <w:rFonts w:hint="eastAsia"/>
          <w:color w:val="000000" w:themeColor="text1"/>
          <w:sz w:val="21"/>
          <w:highlight w:val="white"/>
          <w:lang w:eastAsia="zh-CN"/>
        </w:rPr>
        <w:t>小时的，基金托管人尽力执行但不保证执行成功）</w:t>
      </w:r>
      <w:r>
        <w:rPr>
          <w:rFonts w:hint="eastAsia"/>
          <w:color w:val="000000" w:themeColor="text1"/>
          <w:sz w:val="21"/>
          <w:szCs w:val="21"/>
          <w:highlight w:val="white"/>
          <w:lang w:eastAsia="zh-CN"/>
        </w:rPr>
        <w:t>，基金托管人按管理人的划款指令将托管账户净应付额在交收日</w:t>
      </w:r>
      <w:r>
        <w:rPr>
          <w:rFonts w:ascii="宋体" w:hAnsi="宋体" w:cs="宋体" w:hint="eastAsia"/>
          <w:color w:val="000000" w:themeColor="text1"/>
          <w:sz w:val="21"/>
          <w:szCs w:val="21"/>
          <w:highlight w:val="white"/>
          <w:lang w:eastAsia="zh-CN"/>
        </w:rPr>
        <w:t>12:00</w:t>
      </w:r>
      <w:r>
        <w:rPr>
          <w:rFonts w:hint="eastAsia"/>
          <w:color w:val="000000" w:themeColor="text1"/>
          <w:sz w:val="21"/>
          <w:szCs w:val="21"/>
          <w:highlight w:val="white"/>
          <w:lang w:eastAsia="zh-CN"/>
        </w:rPr>
        <w:t>前划</w:t>
      </w:r>
      <w:r>
        <w:rPr>
          <w:color w:val="000000" w:themeColor="text1"/>
          <w:sz w:val="21"/>
          <w:szCs w:val="21"/>
          <w:highlight w:val="white"/>
          <w:lang w:eastAsia="zh-CN"/>
        </w:rPr>
        <w:t>往</w:t>
      </w:r>
      <w:r>
        <w:rPr>
          <w:rFonts w:hint="eastAsia"/>
          <w:color w:val="000000" w:themeColor="text1"/>
          <w:sz w:val="21"/>
          <w:szCs w:val="21"/>
          <w:highlight w:val="white"/>
          <w:lang w:eastAsia="zh-CN"/>
        </w:rPr>
        <w:t>“基金清算账户”。</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在发</w:t>
      </w:r>
      <w:r>
        <w:rPr>
          <w:color w:val="000000" w:themeColor="text1"/>
          <w:sz w:val="21"/>
          <w:szCs w:val="21"/>
          <w:highlight w:val="white"/>
          <w:lang w:eastAsia="zh-CN"/>
        </w:rPr>
        <w:t>生巨</w:t>
      </w:r>
      <w:r>
        <w:rPr>
          <w:rFonts w:hint="eastAsia"/>
          <w:color w:val="000000" w:themeColor="text1"/>
          <w:sz w:val="21"/>
          <w:szCs w:val="21"/>
          <w:highlight w:val="white"/>
          <w:lang w:eastAsia="zh-CN"/>
        </w:rPr>
        <w:t>额赎</w:t>
      </w:r>
      <w:r>
        <w:rPr>
          <w:color w:val="000000" w:themeColor="text1"/>
          <w:sz w:val="21"/>
          <w:szCs w:val="21"/>
          <w:highlight w:val="white"/>
          <w:lang w:eastAsia="zh-CN"/>
        </w:rPr>
        <w:t>回或《基金合同》</w:t>
      </w:r>
      <w:r>
        <w:rPr>
          <w:rFonts w:hint="eastAsia"/>
          <w:color w:val="000000" w:themeColor="text1"/>
          <w:sz w:val="21"/>
          <w:szCs w:val="21"/>
          <w:highlight w:val="white"/>
          <w:lang w:eastAsia="zh-CN"/>
        </w:rPr>
        <w:t>载</w:t>
      </w:r>
      <w:r>
        <w:rPr>
          <w:color w:val="000000" w:themeColor="text1"/>
          <w:sz w:val="21"/>
          <w:szCs w:val="21"/>
          <w:highlight w:val="white"/>
          <w:lang w:eastAsia="zh-CN"/>
        </w:rPr>
        <w:t>明的其他</w:t>
      </w:r>
      <w:r>
        <w:rPr>
          <w:rFonts w:hint="eastAsia"/>
          <w:color w:val="000000" w:themeColor="text1"/>
          <w:sz w:val="21"/>
          <w:szCs w:val="21"/>
          <w:highlight w:val="white"/>
          <w:lang w:eastAsia="zh-CN"/>
        </w:rPr>
        <w:t>暂</w:t>
      </w:r>
      <w:r>
        <w:rPr>
          <w:color w:val="000000" w:themeColor="text1"/>
          <w:sz w:val="21"/>
          <w:szCs w:val="21"/>
          <w:highlight w:val="white"/>
          <w:lang w:eastAsia="zh-CN"/>
        </w:rPr>
        <w:t>停</w:t>
      </w:r>
      <w:r>
        <w:rPr>
          <w:rFonts w:hint="eastAsia"/>
          <w:color w:val="000000" w:themeColor="text1"/>
          <w:sz w:val="21"/>
          <w:szCs w:val="21"/>
          <w:highlight w:val="white"/>
          <w:lang w:eastAsia="zh-CN"/>
        </w:rPr>
        <w:t>赎</w:t>
      </w:r>
      <w:r>
        <w:rPr>
          <w:color w:val="000000" w:themeColor="text1"/>
          <w:sz w:val="21"/>
          <w:szCs w:val="21"/>
          <w:highlight w:val="white"/>
          <w:lang w:eastAsia="zh-CN"/>
        </w:rPr>
        <w:t>回或延</w:t>
      </w:r>
      <w:r>
        <w:rPr>
          <w:rFonts w:hint="eastAsia"/>
          <w:color w:val="000000" w:themeColor="text1"/>
          <w:sz w:val="21"/>
          <w:szCs w:val="21"/>
          <w:highlight w:val="white"/>
          <w:lang w:eastAsia="zh-CN"/>
        </w:rPr>
        <w:t>缓</w:t>
      </w:r>
      <w:r>
        <w:rPr>
          <w:color w:val="000000" w:themeColor="text1"/>
          <w:sz w:val="21"/>
          <w:szCs w:val="21"/>
          <w:highlight w:val="white"/>
          <w:lang w:eastAsia="zh-CN"/>
        </w:rPr>
        <w:t>支付</w:t>
      </w:r>
      <w:r>
        <w:rPr>
          <w:rFonts w:hint="eastAsia"/>
          <w:color w:val="000000" w:themeColor="text1"/>
          <w:sz w:val="21"/>
          <w:szCs w:val="21"/>
          <w:highlight w:val="white"/>
          <w:lang w:eastAsia="zh-CN"/>
        </w:rPr>
        <w:t>赎</w:t>
      </w:r>
      <w:r>
        <w:rPr>
          <w:color w:val="000000" w:themeColor="text1"/>
          <w:sz w:val="21"/>
          <w:szCs w:val="21"/>
          <w:highlight w:val="white"/>
          <w:lang w:eastAsia="zh-CN"/>
        </w:rPr>
        <w:t>回款</w:t>
      </w:r>
      <w:r>
        <w:rPr>
          <w:rFonts w:hint="eastAsia"/>
          <w:color w:val="000000" w:themeColor="text1"/>
          <w:sz w:val="21"/>
          <w:szCs w:val="21"/>
          <w:highlight w:val="white"/>
          <w:lang w:eastAsia="zh-CN"/>
        </w:rPr>
        <w:t>项</w:t>
      </w:r>
      <w:r>
        <w:rPr>
          <w:color w:val="000000" w:themeColor="text1"/>
          <w:sz w:val="21"/>
          <w:szCs w:val="21"/>
          <w:highlight w:val="white"/>
          <w:lang w:eastAsia="zh-CN"/>
        </w:rPr>
        <w:t>的情形</w:t>
      </w:r>
      <w:r>
        <w:rPr>
          <w:rFonts w:hint="eastAsia"/>
          <w:color w:val="000000" w:themeColor="text1"/>
          <w:sz w:val="21"/>
          <w:szCs w:val="21"/>
          <w:highlight w:val="white"/>
          <w:lang w:eastAsia="zh-CN"/>
        </w:rPr>
        <w:t>时</w:t>
      </w:r>
      <w:r>
        <w:rPr>
          <w:color w:val="000000" w:themeColor="text1"/>
          <w:sz w:val="21"/>
          <w:szCs w:val="21"/>
          <w:highlight w:val="white"/>
          <w:lang w:eastAsia="zh-CN"/>
        </w:rPr>
        <w:t>，款</w:t>
      </w:r>
      <w:r>
        <w:rPr>
          <w:rFonts w:hint="eastAsia"/>
          <w:color w:val="000000" w:themeColor="text1"/>
          <w:sz w:val="21"/>
          <w:szCs w:val="21"/>
          <w:highlight w:val="white"/>
          <w:lang w:eastAsia="zh-CN"/>
        </w:rPr>
        <w:t>项</w:t>
      </w:r>
      <w:r>
        <w:rPr>
          <w:color w:val="000000" w:themeColor="text1"/>
          <w:sz w:val="21"/>
          <w:szCs w:val="21"/>
          <w:highlight w:val="white"/>
          <w:lang w:eastAsia="zh-CN"/>
        </w:rPr>
        <w:t>的支付</w:t>
      </w:r>
      <w:r>
        <w:rPr>
          <w:rFonts w:hint="eastAsia"/>
          <w:color w:val="000000" w:themeColor="text1"/>
          <w:sz w:val="21"/>
          <w:szCs w:val="21"/>
          <w:highlight w:val="white"/>
          <w:lang w:eastAsia="zh-CN"/>
        </w:rPr>
        <w:t>办</w:t>
      </w:r>
      <w:r>
        <w:rPr>
          <w:color w:val="000000" w:themeColor="text1"/>
          <w:sz w:val="21"/>
          <w:szCs w:val="21"/>
          <w:highlight w:val="white"/>
          <w:lang w:eastAsia="zh-CN"/>
        </w:rPr>
        <w:t>法参照《基金合同》有关条款</w:t>
      </w:r>
      <w:r>
        <w:rPr>
          <w:rFonts w:hint="eastAsia"/>
          <w:color w:val="000000" w:themeColor="text1"/>
          <w:sz w:val="21"/>
          <w:szCs w:val="21"/>
          <w:highlight w:val="white"/>
          <w:lang w:eastAsia="zh-CN"/>
        </w:rPr>
        <w:t>处</w:t>
      </w:r>
      <w:r>
        <w:rPr>
          <w:color w:val="000000" w:themeColor="text1"/>
          <w:sz w:val="21"/>
          <w:szCs w:val="21"/>
          <w:highlight w:val="white"/>
          <w:lang w:eastAsia="zh-CN"/>
        </w:rPr>
        <w:t>理。</w:t>
      </w:r>
    </w:p>
    <w:p w:rsidR="00F14202">
      <w:pPr>
        <w:spacing w:line="360" w:lineRule="auto"/>
        <w:ind w:firstLine="420"/>
        <w:rPr>
          <w:color w:val="000000"/>
          <w:sz w:val="21"/>
          <w:szCs w:val="21"/>
          <w:lang w:eastAsia="zh-CN"/>
        </w:rPr>
      </w:pPr>
      <w:r>
        <w:rPr>
          <w:rFonts w:ascii="宋体" w:hAnsi="宋体" w:cs="宋体"/>
          <w:color w:val="000000" w:themeColor="text1"/>
          <w:sz w:val="21"/>
          <w:szCs w:val="21"/>
          <w:highlight w:val="white"/>
          <w:lang w:eastAsia="zh-CN"/>
        </w:rPr>
        <w:t>2</w:t>
      </w:r>
      <w:r>
        <w:rPr>
          <w:rFonts w:hint="eastAsia"/>
          <w:color w:val="000000" w:themeColor="text1"/>
          <w:sz w:val="21"/>
          <w:szCs w:val="21"/>
          <w:highlight w:val="white"/>
          <w:lang w:eastAsia="zh-CN"/>
        </w:rPr>
        <w:t>、基金管理人未能按上款约定将托管账户应收额全额、及时汇至基金的托管账户，由此产生的责任应由该基金管理人承担；基金托管人未能按上款约定将托管账户应付额全额、及时汇至“基金清</w:t>
      </w:r>
      <w:r>
        <w:rPr>
          <w:rFonts w:hint="eastAsia"/>
          <w:color w:val="000000" w:themeColor="text1"/>
          <w:sz w:val="21"/>
          <w:szCs w:val="21"/>
          <w:highlight w:val="white"/>
          <w:lang w:eastAsia="zh-CN"/>
        </w:rPr>
        <w:t>算账户”，由此产生的责任应由基金托管人承担。</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3</w:t>
      </w:r>
      <w:r>
        <w:rPr>
          <w:rFonts w:hint="eastAsia"/>
          <w:color w:val="000000" w:themeColor="text1"/>
          <w:sz w:val="21"/>
          <w:szCs w:val="21"/>
          <w:highlight w:val="white"/>
          <w:lang w:eastAsia="zh-CN"/>
        </w:rPr>
        <w:t>、基金管理人应将每个开放日的申购、赎回、转换开放式基金的数据传送给基金托管人。基金管理人应对传递的申购、赎回、转换开放式基金的数据真实性负责。基金托管人应及时查收申购资金的到账情况并根据基金管理人指令及时划付赎回款项。</w:t>
      </w:r>
    </w:p>
    <w:p w:rsidR="00F14202">
      <w:pPr>
        <w:spacing w:line="360" w:lineRule="auto"/>
        <w:ind w:firstLine="420"/>
        <w:rPr>
          <w:color w:val="000000"/>
          <w:lang w:eastAsia="zh-CN"/>
        </w:rPr>
      </w:pPr>
    </w:p>
    <w:p w:rsidR="00F14202">
      <w:pPr>
        <w:pStyle w:val="Heading1"/>
        <w:numPr>
          <w:ilvl w:val="0"/>
          <w:numId w:val="1"/>
        </w:numPr>
        <w:spacing w:before="120" w:after="120" w:line="360" w:lineRule="auto"/>
        <w:jc w:val="center"/>
        <w:rPr>
          <w:rFonts w:ascii="宋体"/>
          <w:color w:val="000000"/>
          <w:sz w:val="24"/>
          <w:szCs w:val="24"/>
          <w:lang w:eastAsia="zh-CN"/>
        </w:rPr>
      </w:pPr>
      <w:bookmarkStart w:id="16" w:name="_Toc421544161"/>
      <w:bookmarkStart w:id="17" w:name="_Toc394474003"/>
      <w:bookmarkStart w:id="18" w:name="_Toc881138"/>
      <w:bookmarkEnd w:id="16"/>
      <w:r>
        <w:rPr>
          <w:rFonts w:ascii="宋体" w:hint="eastAsia"/>
          <w:color w:val="000000" w:themeColor="text1"/>
          <w:sz w:val="24"/>
          <w:szCs w:val="24"/>
          <w:highlight w:val="white"/>
          <w:lang w:eastAsia="zh-CN"/>
        </w:rPr>
        <w:t>基金资产净值计算和会计核算</w:t>
      </w:r>
      <w:bookmarkEnd w:id="17"/>
      <w:bookmarkEnd w:id="18"/>
    </w:p>
    <w:p w:rsidR="00F14202">
      <w:pPr>
        <w:pStyle w:val="ListParagraph"/>
        <w:ind w:left="450" w:firstLine="0"/>
        <w:rPr>
          <w:color w:val="000000"/>
          <w:lang w:eastAsia="zh-CN"/>
        </w:rPr>
      </w:pP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（一）基金资产净值的计算和复核</w:t>
      </w:r>
    </w:p>
    <w:p w:rsidR="00F14202">
      <w:pPr>
        <w:spacing w:line="360" w:lineRule="auto"/>
        <w:ind w:firstLine="420"/>
        <w:rPr>
          <w:color w:val="000000"/>
          <w:sz w:val="21"/>
          <w:szCs w:val="21"/>
          <w:lang w:eastAsia="zh-CN"/>
        </w:rPr>
      </w:pPr>
      <w:r>
        <w:rPr>
          <w:rFonts w:ascii="宋体" w:hAnsi="宋体" w:cs="宋体"/>
          <w:color w:val="000000" w:themeColor="text1"/>
          <w:sz w:val="21"/>
          <w:szCs w:val="21"/>
          <w:highlight w:val="white"/>
          <w:lang w:eastAsia="zh-CN"/>
        </w:rPr>
        <w:t>1</w:t>
      </w:r>
      <w:r>
        <w:rPr>
          <w:rFonts w:hint="eastAsia"/>
          <w:color w:val="000000" w:themeColor="text1"/>
          <w:sz w:val="21"/>
          <w:szCs w:val="21"/>
          <w:highlight w:val="white"/>
          <w:lang w:eastAsia="zh-CN"/>
        </w:rPr>
        <w:t>、基金资产净值</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基金资产净值是指基金资产总值减去负债后的价值。</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基金份额净值按照每个估值日闭市后，基金资产净值除以当日基金份额的余额数量计算，精确到</w:t>
      </w:r>
      <w:r>
        <w:rPr>
          <w:rFonts w:ascii="宋体" w:hAnsi="宋体" w:cs="宋体"/>
          <w:color w:val="000000" w:themeColor="text1"/>
          <w:sz w:val="21"/>
          <w:szCs w:val="21"/>
          <w:highlight w:val="white"/>
          <w:lang w:eastAsia="zh-CN"/>
        </w:rPr>
        <w:t>0.0001</w:t>
      </w:r>
      <w:r>
        <w:rPr>
          <w:rFonts w:hint="eastAsia"/>
          <w:color w:val="000000" w:themeColor="text1"/>
          <w:sz w:val="21"/>
          <w:szCs w:val="21"/>
          <w:highlight w:val="white"/>
          <w:lang w:eastAsia="zh-CN"/>
        </w:rPr>
        <w:t>元，小数点后第五位四舍五入，由此产生的误差计入基金财产。基金管理人可以设立大额赎回情形下的净值精度应急调整机制。法律法规另有规定的，从其规定。</w:t>
      </w:r>
    </w:p>
    <w:p w:rsidR="00F14202">
      <w:pPr>
        <w:spacing w:line="360" w:lineRule="auto"/>
        <w:ind w:firstLine="420"/>
        <w:rPr>
          <w:color w:val="000000"/>
          <w:sz w:val="21"/>
          <w:szCs w:val="21"/>
          <w:lang w:eastAsia="zh-CN"/>
        </w:rPr>
      </w:pPr>
      <w:r>
        <w:rPr>
          <w:rFonts w:ascii="宋体" w:hAnsi="宋体" w:cs="宋体"/>
          <w:color w:val="000000" w:themeColor="text1"/>
          <w:sz w:val="21"/>
          <w:szCs w:val="21"/>
          <w:highlight w:val="white"/>
          <w:lang w:eastAsia="zh-CN"/>
        </w:rPr>
        <w:t>2</w:t>
      </w:r>
      <w:r>
        <w:rPr>
          <w:rFonts w:hint="eastAsia"/>
          <w:color w:val="000000" w:themeColor="text1"/>
          <w:sz w:val="21"/>
          <w:szCs w:val="21"/>
          <w:highlight w:val="white"/>
          <w:lang w:eastAsia="zh-CN"/>
        </w:rPr>
        <w:t>、复核程序</w:t>
      </w:r>
    </w:p>
    <w:p w:rsidR="00F14202">
      <w:pPr>
        <w:spacing w:line="360" w:lineRule="auto"/>
        <w:ind w:firstLine="420"/>
        <w:jc w:val="left"/>
        <w:rPr>
          <w:color w:val="000000"/>
          <w:sz w:val="21"/>
          <w:szCs w:val="21"/>
          <w:lang w:eastAsia="zh-CN"/>
        </w:rPr>
      </w:pPr>
      <w:r>
        <w:rPr>
          <w:rFonts w:hint="eastAsia"/>
          <w:color w:val="000000" w:themeColor="text1"/>
          <w:sz w:val="21"/>
          <w:szCs w:val="21"/>
          <w:highlight w:val="white"/>
          <w:lang w:eastAsia="zh-CN"/>
        </w:rPr>
        <w:t>基金管理人应每个估值日对基金资产估值，但基金管理人根据法律法规或</w:t>
      </w:r>
      <w:r>
        <w:rPr>
          <w:rFonts w:ascii="宋体" w:hAnsi="Calibri" w:cs="宋体" w:hint="eastAsia"/>
          <w:color w:val="000000" w:themeColor="text1"/>
          <w:sz w:val="21"/>
          <w:szCs w:val="21"/>
          <w:highlight w:val="white"/>
          <w:lang w:eastAsia="zh-CN"/>
        </w:rPr>
        <w:t>《基金合同》</w:t>
      </w:r>
      <w:r>
        <w:rPr>
          <w:rFonts w:hint="eastAsia"/>
          <w:color w:val="000000" w:themeColor="text1"/>
          <w:sz w:val="21"/>
          <w:szCs w:val="21"/>
          <w:highlight w:val="white"/>
          <w:lang w:eastAsia="zh-CN"/>
        </w:rPr>
        <w:t>的规定暂停估值时除外。估值原则应符合《基金合同》、《证券投资基金会计核算业务指引》及其他法律、法规的规定。用于基金信息披露的基金资产净值和基金份额净值由基金管理人负责计算，基金托管人复核。基金管理人应于每个估值日对基金资产估值后，将基金资产净值、基金份额净值以双方认可的方式发送</w:t>
      </w:r>
      <w:r>
        <w:rPr>
          <w:rFonts w:hint="eastAsia"/>
          <w:color w:val="000000" w:themeColor="text1"/>
          <w:sz w:val="21"/>
          <w:szCs w:val="21"/>
          <w:highlight w:val="white"/>
          <w:lang w:eastAsia="zh-CN"/>
        </w:rPr>
        <w:t>给基金托管人。基金托管人对净值计算结果复核后以双方认可的方式发送给基金管理人，由基金管理人按规定对基金净值予以公布。</w:t>
      </w:r>
    </w:p>
    <w:p w:rsidR="00F14202">
      <w:pPr>
        <w:spacing w:line="360" w:lineRule="auto"/>
        <w:ind w:firstLine="420"/>
        <w:jc w:val="left"/>
        <w:rPr>
          <w:color w:val="000000"/>
          <w:sz w:val="21"/>
          <w:szCs w:val="21"/>
          <w:lang w:eastAsia="zh-CN"/>
        </w:rPr>
      </w:pPr>
      <w:r>
        <w:rPr>
          <w:rFonts w:hint="eastAsia"/>
          <w:color w:val="000000" w:themeColor="text1"/>
          <w:sz w:val="21"/>
          <w:szCs w:val="21"/>
          <w:highlight w:val="white"/>
          <w:lang w:eastAsia="zh-CN"/>
        </w:rPr>
        <w:t>根据《基金法》，基金管理人计算并公告基金资产净值，基金托管人复核、审查基金管理人计算的基金资产净值。因此，本基金的会计责任方是基金管理人，就与本基金有关的会计问题，如经相关各方在平等基础上充分讨论后，仍无法达成一致的意见，按照基金管理人对基金资产净值的计算结果对外予以公布。法律法规以及监管部门有强制规定的，从其规定。如有新增事项，按最新规定估值。</w:t>
      </w:r>
    </w:p>
    <w:p w:rsidR="00F14202">
      <w:pPr>
        <w:spacing w:line="360" w:lineRule="auto"/>
        <w:ind w:firstLine="315"/>
        <w:rPr>
          <w:color w:val="000000"/>
          <w:sz w:val="21"/>
          <w:szCs w:val="21"/>
          <w:lang w:eastAsia="zh-CN"/>
        </w:rPr>
      </w:pPr>
      <w:r>
        <w:rPr>
          <w:rFonts w:hint="eastAsia"/>
          <w:color w:val="000000" w:themeColor="text1"/>
          <w:sz w:val="21"/>
          <w:szCs w:val="21"/>
          <w:highlight w:val="white"/>
          <w:lang w:eastAsia="zh-CN"/>
        </w:rPr>
        <w:t>（二）基金资产估值方法</w:t>
      </w:r>
    </w:p>
    <w:p w:rsidR="00F14202">
      <w:pPr>
        <w:spacing w:line="360" w:lineRule="auto"/>
        <w:ind w:firstLine="420"/>
        <w:rPr>
          <w:color w:val="000000"/>
          <w:sz w:val="21"/>
          <w:szCs w:val="21"/>
          <w:lang w:eastAsia="zh-CN"/>
        </w:rPr>
      </w:pPr>
      <w:r>
        <w:rPr>
          <w:rFonts w:ascii="宋体" w:hAnsi="宋体" w:cs="宋体"/>
          <w:color w:val="000000" w:themeColor="text1"/>
          <w:sz w:val="21"/>
          <w:szCs w:val="21"/>
          <w:highlight w:val="white"/>
          <w:lang w:eastAsia="zh-CN"/>
        </w:rPr>
        <w:t>1</w:t>
      </w:r>
      <w:r>
        <w:rPr>
          <w:rFonts w:hint="eastAsia"/>
          <w:color w:val="000000" w:themeColor="text1"/>
          <w:sz w:val="21"/>
          <w:szCs w:val="21"/>
          <w:highlight w:val="white"/>
          <w:lang w:eastAsia="zh-CN"/>
        </w:rPr>
        <w:t>、估值对象</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基金所</w:t>
      </w:r>
      <w:r>
        <w:rPr>
          <w:rFonts w:hint="eastAsia"/>
          <w:color w:val="000000" w:themeColor="text1"/>
          <w:sz w:val="21"/>
          <w:szCs w:val="21"/>
          <w:highlight w:val="white"/>
          <w:lang w:eastAsia="zh-CN"/>
        </w:rPr>
        <w:t>拥有的股票、债券、证券投资基金和银行存款本息、应收款项、其它投资等资产及负债。</w:t>
      </w:r>
    </w:p>
    <w:p w:rsidR="00F14202">
      <w:pPr>
        <w:spacing w:line="360" w:lineRule="auto"/>
        <w:ind w:firstLine="420"/>
        <w:rPr>
          <w:color w:val="000000"/>
          <w:sz w:val="21"/>
          <w:szCs w:val="21"/>
          <w:lang w:eastAsia="zh-CN"/>
        </w:rPr>
      </w:pPr>
      <w:r>
        <w:rPr>
          <w:rFonts w:ascii="宋体" w:hAnsi="宋体" w:cs="宋体"/>
          <w:color w:val="000000" w:themeColor="text1"/>
          <w:sz w:val="21"/>
          <w:szCs w:val="21"/>
          <w:highlight w:val="white"/>
          <w:lang w:eastAsia="zh-CN"/>
        </w:rPr>
        <w:t>2</w:t>
      </w:r>
      <w:r>
        <w:rPr>
          <w:rFonts w:hint="eastAsia"/>
          <w:color w:val="000000" w:themeColor="text1"/>
          <w:sz w:val="21"/>
          <w:szCs w:val="21"/>
          <w:highlight w:val="white"/>
          <w:lang w:eastAsia="zh-CN"/>
        </w:rPr>
        <w:t>、估值方法</w:t>
      </w:r>
    </w:p>
    <w:p w:rsidR="00F14202">
      <w:pPr>
        <w:spacing w:line="360" w:lineRule="auto"/>
        <w:ind w:firstLine="420"/>
        <w:rPr>
          <w:color w:val="000000"/>
          <w:sz w:val="21"/>
          <w:szCs w:val="21"/>
          <w:lang w:eastAsia="zh-CN"/>
        </w:rPr>
      </w:pPr>
      <w:r w:rsidR="006D5AAE">
        <w:rPr>
          <w:rFonts w:ascii="宋体" w:hAnsi="宋体" w:cs="宋体" w:hint="eastAsia"/>
          <w:color w:val="000000" w:themeColor="text1"/>
          <w:sz w:val="21"/>
          <w:szCs w:val="21"/>
          <w:highlight w:val="white"/>
          <w:lang w:eastAsia="zh-CN"/>
        </w:rPr>
        <w:t>（1）</w:t>
      </w:r>
      <w:r>
        <w:rPr>
          <w:rFonts w:ascii="宋体" w:hAnsi="宋体" w:cs="宋体" w:hint="eastAsia"/>
          <w:color w:val="000000" w:themeColor="text1"/>
          <w:sz w:val="21"/>
          <w:szCs w:val="21"/>
          <w:highlight w:val="white"/>
          <w:lang w:eastAsia="zh-CN"/>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2</w:t>
      </w:r>
      <w:r>
        <w:rPr>
          <w:rFonts w:ascii="宋体" w:hAnsi="宋体" w:cs="宋体" w:hint="eastAsia"/>
          <w:color w:val="000000" w:themeColor="text1"/>
          <w:sz w:val="21"/>
          <w:szCs w:val="21"/>
          <w:highlight w:val="white"/>
          <w:lang w:eastAsia="zh-CN"/>
        </w:rPr>
        <w:t>）</w:t>
      </w:r>
      <w:r w:rsidR="00331671">
        <w:rPr>
          <w:rFonts w:ascii="宋体" w:hAnsi="宋体" w:cs="宋体" w:hint="eastAsia"/>
          <w:color w:val="000000" w:themeColor="text1"/>
          <w:sz w:val="21"/>
          <w:szCs w:val="21"/>
          <w:highlight w:val="white"/>
          <w:lang w:eastAsia="zh-CN"/>
        </w:rPr>
        <w:t>处于未上市期间的有价证券应区分如下情况处理：</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1</w:t>
      </w:r>
      <w:r>
        <w:rPr>
          <w:rFonts w:hint="eastAsia"/>
          <w:color w:val="000000" w:themeColor="text1"/>
          <w:sz w:val="21"/>
          <w:szCs w:val="21"/>
          <w:highlight w:val="white"/>
          <w:lang w:eastAsia="zh-CN"/>
        </w:rPr>
        <w:t>）送股、转增股、配股和公开增发的新股，按估值日在证券交易所挂牌的同一股票的估值方法估值；该日无交易的，以最近一日的市价（收盘价）估值；</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2</w:t>
      </w:r>
      <w:r>
        <w:rPr>
          <w:rFonts w:hint="eastAsia"/>
          <w:color w:val="000000" w:themeColor="text1"/>
          <w:sz w:val="21"/>
          <w:szCs w:val="21"/>
          <w:highlight w:val="white"/>
          <w:lang w:eastAsia="zh-CN"/>
        </w:rPr>
        <w:t>）首次公开发行未上市的股票，采用估值技术确定公允价值；</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3</w:t>
      </w:r>
      <w:r>
        <w:rPr>
          <w:rFonts w:hint="eastAsia"/>
          <w:color w:val="000000" w:themeColor="text1"/>
          <w:sz w:val="21"/>
          <w:szCs w:val="21"/>
          <w:highlight w:val="white"/>
          <w:lang w:eastAsia="zh-CN"/>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F14202">
      <w:pPr>
        <w:spacing w:line="360" w:lineRule="auto"/>
        <w:ind w:firstLine="420"/>
        <w:rPr>
          <w:color w:val="000000"/>
          <w:sz w:val="21"/>
          <w:szCs w:val="21"/>
          <w:lang w:eastAsia="zh-CN"/>
        </w:rPr>
      </w:pPr>
      <w:r w:rsidR="006D5AAE">
        <w:rPr>
          <w:rFonts w:ascii="宋体" w:hAnsi="宋体" w:cs="宋体" w:hint="eastAsia"/>
          <w:color w:val="000000" w:themeColor="text1"/>
          <w:sz w:val="21"/>
          <w:szCs w:val="21"/>
          <w:highlight w:val="white"/>
          <w:lang w:eastAsia="zh-CN"/>
        </w:rPr>
        <w:t>（3）</w:t>
      </w:r>
      <w:r>
        <w:rPr>
          <w:rFonts w:ascii="宋体" w:hAnsi="宋体" w:cs="宋体" w:hint="eastAsia"/>
          <w:color w:val="000000" w:themeColor="text1"/>
          <w:sz w:val="21"/>
          <w:szCs w:val="21"/>
          <w:highlight w:val="white"/>
          <w:lang w:eastAsia="zh-CN"/>
        </w:rPr>
        <w:t>对于已上市或已挂牌转让的不含权固定收益品种，选取估值日第三方估值基准服务机构提供的相应品种当日的估值全价进行估值。</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4</w:t>
      </w:r>
      <w:r>
        <w:rPr>
          <w:rFonts w:ascii="宋体" w:hAnsi="宋体" w:cs="宋体" w:hint="eastAsia"/>
          <w:color w:val="000000" w:themeColor="text1"/>
          <w:sz w:val="21"/>
          <w:szCs w:val="21"/>
          <w:highlight w:val="white"/>
          <w:lang w:eastAsia="zh-CN"/>
        </w:rPr>
        <w:t>）</w:t>
      </w:r>
      <w:r w:rsidR="00331671">
        <w:rPr>
          <w:rFonts w:ascii="宋体" w:hAnsi="宋体" w:cs="宋体" w:hint="eastAsia"/>
          <w:color w:val="000000" w:themeColor="text1"/>
          <w:sz w:val="21"/>
          <w:szCs w:val="21"/>
          <w:highlight w:val="white"/>
          <w:lang w:eastAsia="zh-CN"/>
        </w:rPr>
        <w:t>对于已上市或已挂牌转让的含权固定收益品种，选取估值日第三方估值基准服务机构提供的相应品种当日的唯一估值全价或推荐估值全价进行估值。</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5</w:t>
      </w:r>
      <w:r>
        <w:rPr>
          <w:rFonts w:ascii="宋体" w:hAnsi="宋体" w:cs="宋体" w:hint="eastAsia"/>
          <w:color w:val="000000" w:themeColor="text1"/>
          <w:sz w:val="21"/>
          <w:szCs w:val="21"/>
          <w:highlight w:val="white"/>
          <w:lang w:eastAsia="zh-CN"/>
        </w:rPr>
        <w:t>）</w:t>
      </w:r>
      <w:r w:rsidR="00331671">
        <w:rPr>
          <w:rFonts w:ascii="宋体" w:hAnsi="宋体" w:cs="宋体" w:hint="eastAsia"/>
          <w:color w:val="000000" w:themeColor="text1"/>
          <w:sz w:val="21"/>
          <w:szCs w:val="21"/>
          <w:highlight w:val="white"/>
          <w:lang w:eastAsia="zh-CN"/>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6</w:t>
      </w:r>
      <w:r>
        <w:rPr>
          <w:rFonts w:ascii="宋体" w:hAnsi="宋体" w:cs="宋体" w:hint="eastAsia"/>
          <w:color w:val="000000" w:themeColor="text1"/>
          <w:sz w:val="21"/>
          <w:szCs w:val="21"/>
          <w:highlight w:val="white"/>
          <w:lang w:eastAsia="zh-CN"/>
        </w:rPr>
        <w:t>）</w:t>
      </w:r>
      <w:r w:rsidR="00331671">
        <w:rPr>
          <w:rFonts w:ascii="宋体" w:hAnsi="宋体" w:cs="宋体" w:hint="eastAsia"/>
          <w:color w:val="000000" w:themeColor="text1"/>
          <w:sz w:val="21"/>
          <w:szCs w:val="21"/>
          <w:highlight w:val="white"/>
          <w:lang w:eastAsia="zh-CN"/>
        </w:rPr>
        <w:t>对于未上市或未挂牌转让且不存在活跃市场的固定收益品种，采用在当前情况下适用并且有足够可利用数据和其他信息支持的估值技术确定其公允价值。</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7</w:t>
      </w:r>
      <w:r>
        <w:rPr>
          <w:rFonts w:ascii="宋体" w:hAnsi="宋体" w:cs="宋体" w:hint="eastAsia"/>
          <w:color w:val="000000" w:themeColor="text1"/>
          <w:sz w:val="21"/>
          <w:szCs w:val="21"/>
          <w:highlight w:val="white"/>
          <w:lang w:eastAsia="zh-CN"/>
        </w:rPr>
        <w:t>）</w:t>
      </w:r>
      <w:r w:rsidR="00331671">
        <w:rPr>
          <w:rFonts w:ascii="宋体" w:hAnsi="宋体" w:cs="宋体" w:hint="eastAsia"/>
          <w:color w:val="000000" w:themeColor="text1"/>
          <w:sz w:val="21"/>
          <w:szCs w:val="21"/>
          <w:highlight w:val="white"/>
          <w:lang w:eastAsia="zh-CN"/>
        </w:rPr>
        <w:t>基金估值方法</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1</w:t>
      </w:r>
      <w:r>
        <w:rPr>
          <w:rFonts w:hint="eastAsia"/>
          <w:color w:val="000000" w:themeColor="text1"/>
          <w:sz w:val="21"/>
          <w:szCs w:val="21"/>
          <w:highlight w:val="white"/>
          <w:lang w:eastAsia="zh-CN"/>
        </w:rPr>
        <w:t>）本基金投资于非上市基金的估值。</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本基金投资的境内非货币市场基金，按所投资基金估值日的份额净值估值。</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2</w:t>
      </w:r>
      <w:r>
        <w:rPr>
          <w:rFonts w:hint="eastAsia"/>
          <w:color w:val="000000" w:themeColor="text1"/>
          <w:sz w:val="21"/>
          <w:szCs w:val="21"/>
          <w:highlight w:val="white"/>
          <w:lang w:eastAsia="zh-CN"/>
        </w:rPr>
        <w:t>）本基金投资于交易所上市基金的估值。</w:t>
      </w:r>
    </w:p>
    <w:p w:rsidR="00F14202">
      <w:pPr>
        <w:spacing w:line="360" w:lineRule="auto"/>
        <w:ind w:firstLine="420"/>
        <w:rPr>
          <w:color w:val="000000"/>
          <w:sz w:val="21"/>
          <w:szCs w:val="21"/>
          <w:lang w:eastAsia="zh-CN"/>
        </w:rPr>
      </w:pPr>
      <w:r w:rsidR="006D5AAE">
        <w:rPr>
          <w:rFonts w:ascii="宋体" w:hAnsi="宋体" w:cs="宋体" w:hint="eastAsia"/>
          <w:color w:val="000000" w:themeColor="text1"/>
          <w:sz w:val="21"/>
          <w:szCs w:val="21"/>
          <w:highlight w:val="white"/>
          <w:lang w:eastAsia="zh-CN"/>
        </w:rPr>
        <w:t>①</w:t>
      </w:r>
      <w:r>
        <w:rPr>
          <w:rFonts w:ascii="宋体" w:hAnsi="宋体" w:cs="宋体" w:hint="eastAsia"/>
          <w:color w:val="000000" w:themeColor="text1"/>
          <w:sz w:val="21"/>
          <w:szCs w:val="21"/>
          <w:highlight w:val="white"/>
          <w:lang w:eastAsia="zh-CN"/>
        </w:rPr>
        <w:t>本基金投资的</w:t>
      </w:r>
      <w:r>
        <w:rPr>
          <w:rFonts w:ascii="宋体" w:hAnsi="宋体" w:cs="宋体" w:hint="eastAsia"/>
          <w:color w:val="000000" w:themeColor="text1"/>
          <w:sz w:val="21"/>
          <w:szCs w:val="21"/>
          <w:highlight w:val="white"/>
          <w:lang w:eastAsia="zh-CN"/>
        </w:rPr>
        <w:t>ETF</w:t>
      </w:r>
      <w:r>
        <w:rPr>
          <w:rFonts w:ascii="宋体" w:hAnsi="宋体" w:cs="宋体" w:hint="eastAsia"/>
          <w:color w:val="000000" w:themeColor="text1"/>
          <w:sz w:val="21"/>
          <w:szCs w:val="21"/>
          <w:highlight w:val="white"/>
          <w:lang w:eastAsia="zh-CN"/>
        </w:rPr>
        <w:t>基金，按所投资</w:t>
      </w:r>
      <w:r>
        <w:rPr>
          <w:rFonts w:ascii="宋体" w:hAnsi="宋体" w:cs="宋体" w:hint="eastAsia"/>
          <w:color w:val="000000" w:themeColor="text1"/>
          <w:sz w:val="21"/>
          <w:szCs w:val="21"/>
          <w:highlight w:val="white"/>
          <w:lang w:eastAsia="zh-CN"/>
        </w:rPr>
        <w:t>ETF</w:t>
      </w:r>
      <w:r>
        <w:rPr>
          <w:rFonts w:ascii="宋体" w:hAnsi="宋体" w:cs="宋体" w:hint="eastAsia"/>
          <w:color w:val="000000" w:themeColor="text1"/>
          <w:sz w:val="21"/>
          <w:szCs w:val="21"/>
          <w:highlight w:val="white"/>
          <w:lang w:eastAsia="zh-CN"/>
        </w:rPr>
        <w:t>估值日的收盘价估值。</w:t>
      </w:r>
    </w:p>
    <w:p w:rsidR="00F14202">
      <w:pPr>
        <w:spacing w:line="360" w:lineRule="auto"/>
        <w:ind w:firstLine="420"/>
        <w:rPr>
          <w:color w:val="000000"/>
          <w:sz w:val="21"/>
          <w:szCs w:val="21"/>
          <w:lang w:eastAsia="zh-CN"/>
        </w:rPr>
      </w:pPr>
      <w:r w:rsidR="006D5AAE">
        <w:rPr>
          <w:rFonts w:ascii="宋体" w:hAnsi="宋体" w:cs="宋体" w:hint="eastAsia"/>
          <w:color w:val="000000" w:themeColor="text1"/>
          <w:sz w:val="21"/>
          <w:szCs w:val="21"/>
          <w:highlight w:val="white"/>
          <w:lang w:eastAsia="zh-CN"/>
        </w:rPr>
        <w:t>②</w:t>
      </w:r>
      <w:r>
        <w:rPr>
          <w:rFonts w:ascii="宋体" w:hAnsi="宋体" w:cs="宋体" w:hint="eastAsia"/>
          <w:color w:val="000000" w:themeColor="text1"/>
          <w:sz w:val="21"/>
          <w:szCs w:val="21"/>
          <w:highlight w:val="white"/>
          <w:lang w:eastAsia="zh-CN"/>
        </w:rPr>
        <w:t>本基金投资的境内上市开放式基金（</w:t>
      </w:r>
      <w:r>
        <w:rPr>
          <w:rFonts w:ascii="宋体" w:hAnsi="宋体" w:cs="宋体" w:hint="eastAsia"/>
          <w:color w:val="000000" w:themeColor="text1"/>
          <w:sz w:val="21"/>
          <w:szCs w:val="21"/>
          <w:highlight w:val="white"/>
          <w:lang w:eastAsia="zh-CN"/>
        </w:rPr>
        <w:t>LOF</w:t>
      </w:r>
      <w:r>
        <w:rPr>
          <w:rFonts w:ascii="宋体" w:hAnsi="宋体" w:cs="宋体" w:hint="eastAsia"/>
          <w:color w:val="000000" w:themeColor="text1"/>
          <w:sz w:val="21"/>
          <w:szCs w:val="21"/>
          <w:highlight w:val="white"/>
          <w:lang w:eastAsia="zh-CN"/>
        </w:rPr>
        <w:t>），按所投资基金估值日的份额净值估值。</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③</w:t>
      </w:r>
      <w:r w:rsidR="00331671">
        <w:rPr>
          <w:rFonts w:ascii="宋体" w:hAnsi="宋体" w:cs="宋体" w:hint="eastAsia"/>
          <w:color w:val="000000" w:themeColor="text1"/>
          <w:sz w:val="21"/>
          <w:szCs w:val="21"/>
          <w:highlight w:val="white"/>
          <w:lang w:eastAsia="zh-CN"/>
        </w:rPr>
        <w:t>本基金投资的境内上市定期开放式基金、封闭式基金，按所投资基金估值日的收盘价估值。当基金管理人认为所投资基金按上述条款进行估值存在不公允时，应与托管人协商一致采用合理的估值技术或估值标准确定其公允价值。</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3</w:t>
      </w:r>
      <w:r>
        <w:rPr>
          <w:rFonts w:hint="eastAsia"/>
          <w:color w:val="000000" w:themeColor="text1"/>
          <w:sz w:val="21"/>
          <w:szCs w:val="21"/>
          <w:highlight w:val="white"/>
          <w:lang w:eastAsia="zh-CN"/>
        </w:rPr>
        <w:t>）如遇所投资基金不公布基金份额净值、进行折算或拆分、估值日无交易等特殊情况，本基金根据以下原则进行估值：</w:t>
      </w:r>
    </w:p>
    <w:p w:rsidR="00F14202">
      <w:pPr>
        <w:spacing w:line="360" w:lineRule="auto"/>
        <w:ind w:firstLine="420"/>
        <w:rPr>
          <w:color w:val="000000"/>
          <w:sz w:val="21"/>
          <w:szCs w:val="21"/>
          <w:lang w:eastAsia="zh-CN"/>
        </w:rPr>
      </w:pPr>
      <w:r w:rsidR="006D5AAE">
        <w:rPr>
          <w:rFonts w:ascii="宋体" w:hAnsi="宋体" w:cs="宋体" w:hint="eastAsia"/>
          <w:color w:val="000000" w:themeColor="text1"/>
          <w:sz w:val="21"/>
          <w:szCs w:val="21"/>
          <w:highlight w:val="white"/>
          <w:lang w:eastAsia="zh-CN"/>
        </w:rPr>
        <w:t>①</w:t>
      </w:r>
      <w:r>
        <w:rPr>
          <w:rFonts w:ascii="宋体" w:hAnsi="宋体" w:cs="宋体" w:hint="eastAsia"/>
          <w:color w:val="000000" w:themeColor="text1"/>
          <w:sz w:val="21"/>
          <w:szCs w:val="21"/>
          <w:highlight w:val="white"/>
          <w:lang w:eastAsia="zh-CN"/>
        </w:rPr>
        <w:t>以所投资基金的基金份额净值估值的，若所投资基金与本基金估值频率一致但未公布估值日基金份额净值，按其最新公布的基金份额净值为基础估值；</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②</w:t>
      </w:r>
      <w:r w:rsidR="00331671">
        <w:rPr>
          <w:rFonts w:ascii="宋体" w:hAnsi="宋体" w:cs="宋体" w:hint="eastAsia"/>
          <w:color w:val="000000" w:themeColor="text1"/>
          <w:sz w:val="21"/>
          <w:szCs w:val="21"/>
          <w:highlight w:val="white"/>
          <w:lang w:eastAsia="zh-CN"/>
        </w:rPr>
        <w:t>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③</w:t>
      </w:r>
      <w:r w:rsidR="00331671">
        <w:rPr>
          <w:rFonts w:ascii="宋体" w:hAnsi="宋体" w:cs="宋体" w:hint="eastAsia"/>
          <w:color w:val="000000" w:themeColor="text1"/>
          <w:sz w:val="21"/>
          <w:szCs w:val="21"/>
          <w:highlight w:val="white"/>
          <w:lang w:eastAsia="zh-CN"/>
        </w:rPr>
        <w:t>如果所投资基金前一估值日至估值日期间发生分红除权、折算或拆分，本基金根据基金份额净值或收盘价、单位基金份额分红金额、折算拆分比例、持仓份额等因素合理确定公允价值。</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8</w:t>
      </w:r>
      <w:r>
        <w:rPr>
          <w:rFonts w:ascii="宋体" w:hAnsi="宋体" w:cs="宋体" w:hint="eastAsia"/>
          <w:color w:val="000000" w:themeColor="text1"/>
          <w:sz w:val="21"/>
          <w:szCs w:val="21"/>
          <w:highlight w:val="white"/>
          <w:lang w:eastAsia="zh-CN"/>
        </w:rPr>
        <w:t>）</w:t>
      </w:r>
      <w:r w:rsidR="00331671">
        <w:rPr>
          <w:rFonts w:ascii="宋体" w:hAnsi="宋体" w:cs="宋体" w:hint="eastAsia"/>
          <w:color w:val="000000" w:themeColor="text1"/>
          <w:sz w:val="21"/>
          <w:szCs w:val="21"/>
          <w:highlight w:val="white"/>
          <w:lang w:eastAsia="zh-CN"/>
        </w:rPr>
        <w:t>期货合约以估值当日结算价进行估值，估值当日无结算价的，且最近交易日后经济环境未发生重大变化的，采用最近交易日结算价估值。</w:t>
      </w:r>
    </w:p>
    <w:p w:rsidR="00F14202">
      <w:pPr>
        <w:spacing w:line="360" w:lineRule="auto"/>
        <w:ind w:firstLine="420"/>
        <w:rPr>
          <w:color w:val="000000"/>
          <w:sz w:val="21"/>
          <w:szCs w:val="21"/>
          <w:lang w:eastAsia="zh-CN"/>
        </w:rPr>
      </w:pPr>
      <w:r w:rsidR="006D5AAE">
        <w:rPr>
          <w:rFonts w:ascii="宋体" w:hAnsi="宋体" w:cs="宋体" w:hint="eastAsia"/>
          <w:color w:val="000000" w:themeColor="text1"/>
          <w:sz w:val="21"/>
          <w:szCs w:val="21"/>
          <w:highlight w:val="white"/>
          <w:lang w:eastAsia="zh-CN"/>
        </w:rPr>
        <w:t>（9）</w:t>
      </w:r>
      <w:r>
        <w:rPr>
          <w:rFonts w:ascii="宋体" w:hAnsi="宋体" w:cs="宋体" w:hint="eastAsia"/>
          <w:color w:val="000000" w:themeColor="text1"/>
          <w:sz w:val="21"/>
          <w:szCs w:val="21"/>
          <w:highlight w:val="white"/>
          <w:lang w:eastAsia="zh-CN"/>
        </w:rPr>
        <w:t>本基金投资存托凭证的估值核算，依照境内上市交易的股票执行。</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1</w:t>
      </w:r>
      <w:r>
        <w:rPr>
          <w:rFonts w:ascii="宋体" w:hAnsi="宋体" w:cs="宋体"/>
          <w:color w:val="000000" w:themeColor="text1"/>
          <w:sz w:val="21"/>
          <w:szCs w:val="21"/>
          <w:highlight w:val="white"/>
          <w:lang w:eastAsia="zh-CN"/>
        </w:rPr>
        <w:t>0</w:t>
      </w:r>
      <w:r>
        <w:rPr>
          <w:rFonts w:ascii="宋体" w:hAnsi="宋体" w:cs="宋体" w:hint="eastAsia"/>
          <w:color w:val="000000" w:themeColor="text1"/>
          <w:sz w:val="21"/>
          <w:szCs w:val="21"/>
          <w:highlight w:val="white"/>
          <w:lang w:eastAsia="zh-CN"/>
        </w:rPr>
        <w:t>）</w:t>
      </w:r>
      <w:r w:rsidR="00331671">
        <w:rPr>
          <w:rFonts w:ascii="宋体" w:hAnsi="宋体" w:cs="宋体" w:hint="eastAsia"/>
          <w:color w:val="000000" w:themeColor="text1"/>
          <w:sz w:val="21"/>
          <w:szCs w:val="21"/>
          <w:highlight w:val="white"/>
          <w:lang w:eastAsia="zh-CN"/>
        </w:rPr>
        <w:t>信用衍生品按第三方估值机构提供的当日估值价格进行估值，但管理人依法承担的责任，不因委托而免除；选定的第三方估值机构未提供估值价格时，按照有关法律法规及企业会计准则要求，采用合理估值技术确定公允价值。</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1</w:t>
      </w:r>
      <w:r>
        <w:rPr>
          <w:rFonts w:ascii="宋体" w:hAnsi="宋体" w:cs="宋体"/>
          <w:color w:val="000000" w:themeColor="text1"/>
          <w:sz w:val="21"/>
          <w:szCs w:val="21"/>
          <w:highlight w:val="white"/>
          <w:lang w:eastAsia="zh-CN"/>
        </w:rPr>
        <w:t>1</w:t>
      </w:r>
      <w:r>
        <w:rPr>
          <w:rFonts w:ascii="宋体" w:hAnsi="宋体" w:cs="宋体" w:hint="eastAsia"/>
          <w:color w:val="000000" w:themeColor="text1"/>
          <w:sz w:val="21"/>
          <w:szCs w:val="21"/>
          <w:highlight w:val="white"/>
          <w:lang w:eastAsia="zh-CN"/>
        </w:rPr>
        <w:t>）</w:t>
      </w:r>
      <w:r w:rsidR="00331671">
        <w:rPr>
          <w:rFonts w:ascii="宋体" w:hAnsi="宋体" w:cs="宋体" w:hint="eastAsia"/>
          <w:color w:val="000000" w:themeColor="text1"/>
          <w:sz w:val="21"/>
          <w:szCs w:val="21"/>
          <w:highlight w:val="white"/>
          <w:lang w:eastAsia="zh-CN"/>
        </w:rPr>
        <w:t>汇率</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如本基金投资股票市场交易互联互通机制允许买卖的境外证券市场上市的股票，涉及相关货币对人民币汇率的，汇率来源详见招募说明书。</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1</w:t>
      </w:r>
      <w:r>
        <w:rPr>
          <w:rFonts w:ascii="宋体" w:hAnsi="宋体" w:cs="宋体"/>
          <w:color w:val="000000" w:themeColor="text1"/>
          <w:sz w:val="21"/>
          <w:szCs w:val="21"/>
          <w:highlight w:val="white"/>
          <w:lang w:eastAsia="zh-CN"/>
        </w:rPr>
        <w:t>2</w:t>
      </w:r>
      <w:r>
        <w:rPr>
          <w:rFonts w:ascii="宋体" w:hAnsi="宋体" w:cs="宋体" w:hint="eastAsia"/>
          <w:color w:val="000000" w:themeColor="text1"/>
          <w:sz w:val="21"/>
          <w:szCs w:val="21"/>
          <w:highlight w:val="white"/>
          <w:lang w:eastAsia="zh-CN"/>
        </w:rPr>
        <w:t>）</w:t>
      </w:r>
      <w:r w:rsidR="00331671">
        <w:rPr>
          <w:rFonts w:ascii="宋体" w:hAnsi="宋体" w:cs="宋体" w:hint="eastAsia"/>
          <w:color w:val="000000" w:themeColor="text1"/>
          <w:sz w:val="21"/>
          <w:szCs w:val="21"/>
          <w:highlight w:val="white"/>
          <w:lang w:eastAsia="zh-CN"/>
        </w:rPr>
        <w:t>税收</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1</w:t>
      </w:r>
      <w:r>
        <w:rPr>
          <w:rFonts w:ascii="宋体" w:hAnsi="宋体" w:cs="宋体"/>
          <w:color w:val="000000" w:themeColor="text1"/>
          <w:sz w:val="21"/>
          <w:szCs w:val="21"/>
          <w:highlight w:val="white"/>
          <w:lang w:eastAsia="zh-CN"/>
        </w:rPr>
        <w:t>3</w:t>
      </w:r>
      <w:r>
        <w:rPr>
          <w:rFonts w:ascii="宋体" w:hAnsi="宋体" w:cs="宋体" w:hint="eastAsia"/>
          <w:color w:val="000000" w:themeColor="text1"/>
          <w:sz w:val="21"/>
          <w:szCs w:val="21"/>
          <w:highlight w:val="white"/>
          <w:lang w:eastAsia="zh-CN"/>
        </w:rPr>
        <w:t>）</w:t>
      </w:r>
      <w:r w:rsidR="00331671">
        <w:rPr>
          <w:rFonts w:ascii="宋体" w:hAnsi="宋体" w:cs="宋体" w:hint="eastAsia"/>
          <w:color w:val="000000" w:themeColor="text1"/>
          <w:sz w:val="21"/>
          <w:szCs w:val="21"/>
          <w:highlight w:val="white"/>
          <w:lang w:eastAsia="zh-CN"/>
        </w:rPr>
        <w:t>如有充分理由表明按上述方法进行估值不能客观反映其公允价值的，基金管理人可根据具体情况与基金托管人商定后，按最能反映公允价值的价格估值。</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1</w:t>
      </w:r>
      <w:r>
        <w:rPr>
          <w:rFonts w:ascii="宋体" w:hAnsi="宋体" w:cs="宋体"/>
          <w:color w:val="000000" w:themeColor="text1"/>
          <w:sz w:val="21"/>
          <w:szCs w:val="21"/>
          <w:highlight w:val="white"/>
          <w:lang w:eastAsia="zh-CN"/>
        </w:rPr>
        <w:t>4</w:t>
      </w:r>
      <w:r>
        <w:rPr>
          <w:rFonts w:ascii="宋体" w:hAnsi="宋体" w:cs="宋体" w:hint="eastAsia"/>
          <w:color w:val="000000" w:themeColor="text1"/>
          <w:sz w:val="21"/>
          <w:szCs w:val="21"/>
          <w:highlight w:val="white"/>
          <w:lang w:eastAsia="zh-CN"/>
        </w:rPr>
        <w:t>）</w:t>
      </w:r>
      <w:r w:rsidR="00331671">
        <w:rPr>
          <w:rFonts w:ascii="宋体" w:hAnsi="宋体" w:cs="宋体" w:hint="eastAsia"/>
          <w:color w:val="000000" w:themeColor="text1"/>
          <w:sz w:val="21"/>
          <w:szCs w:val="21"/>
          <w:highlight w:val="white"/>
          <w:lang w:eastAsia="zh-CN"/>
        </w:rPr>
        <w:t>当发生大额申购或赎回情形时，基金管理人可以采用摆动定价机制，以确保基金估值的公平性。</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1</w:t>
      </w:r>
      <w:r>
        <w:rPr>
          <w:rFonts w:ascii="宋体" w:hAnsi="宋体" w:cs="宋体"/>
          <w:color w:val="000000" w:themeColor="text1"/>
          <w:sz w:val="21"/>
          <w:szCs w:val="21"/>
          <w:highlight w:val="white"/>
          <w:lang w:eastAsia="zh-CN"/>
        </w:rPr>
        <w:t>5</w:t>
      </w:r>
      <w:r>
        <w:rPr>
          <w:rFonts w:ascii="宋体" w:hAnsi="宋体" w:cs="宋体" w:hint="eastAsia"/>
          <w:color w:val="000000" w:themeColor="text1"/>
          <w:sz w:val="21"/>
          <w:szCs w:val="21"/>
          <w:highlight w:val="white"/>
          <w:lang w:eastAsia="zh-CN"/>
        </w:rPr>
        <w:t>）</w:t>
      </w:r>
      <w:r w:rsidR="00331671">
        <w:rPr>
          <w:rFonts w:ascii="宋体" w:hAnsi="宋体" w:cs="宋体" w:hint="eastAsia"/>
          <w:color w:val="000000" w:themeColor="text1"/>
          <w:sz w:val="21"/>
          <w:szCs w:val="21"/>
          <w:highlight w:val="white"/>
          <w:lang w:eastAsia="zh-CN"/>
        </w:rPr>
        <w:t>相关法律法规以及监管部门有强制规定的，从其规定。如有新增事项，按国家最新规定估值。</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根据有</w:t>
      </w:r>
      <w:r>
        <w:rPr>
          <w:rFonts w:hint="eastAsia"/>
          <w:color w:val="000000" w:themeColor="text1"/>
          <w:sz w:val="21"/>
          <w:szCs w:val="21"/>
          <w:highlight w:val="white"/>
          <w:lang w:eastAsia="zh-CN"/>
        </w:rPr>
        <w:t>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F14202">
      <w:pPr>
        <w:spacing w:line="360" w:lineRule="auto"/>
        <w:ind w:firstLine="420"/>
        <w:rPr>
          <w:color w:val="000000"/>
          <w:sz w:val="21"/>
          <w:szCs w:val="21"/>
          <w:lang w:eastAsia="zh-CN"/>
        </w:rPr>
      </w:pP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（三）基金份额净值错误的处理方式</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基金管理人和基金托管人将采取必要、适当、合理的措施确保基金资产估值的准确性、及时性。当基金份额净值小数点后</w:t>
      </w:r>
      <w:r>
        <w:rPr>
          <w:rFonts w:ascii="宋体" w:hAnsi="宋体" w:cs="宋体" w:hint="eastAsia"/>
          <w:color w:val="000000" w:themeColor="text1"/>
          <w:sz w:val="21"/>
          <w:szCs w:val="21"/>
          <w:highlight w:val="white"/>
          <w:lang w:eastAsia="zh-CN"/>
        </w:rPr>
        <w:t>4</w:t>
      </w:r>
      <w:r>
        <w:rPr>
          <w:rFonts w:hint="eastAsia"/>
          <w:color w:val="000000" w:themeColor="text1"/>
          <w:sz w:val="21"/>
          <w:szCs w:val="21"/>
          <w:highlight w:val="white"/>
          <w:lang w:eastAsia="zh-CN"/>
        </w:rPr>
        <w:t>位以内（含第</w:t>
      </w:r>
      <w:r>
        <w:rPr>
          <w:rFonts w:ascii="宋体" w:hAnsi="宋体" w:cs="宋体" w:hint="eastAsia"/>
          <w:color w:val="000000" w:themeColor="text1"/>
          <w:sz w:val="21"/>
          <w:szCs w:val="21"/>
          <w:highlight w:val="white"/>
          <w:lang w:eastAsia="zh-CN"/>
        </w:rPr>
        <w:t xml:space="preserve">4 </w:t>
      </w:r>
      <w:r>
        <w:rPr>
          <w:rFonts w:hint="eastAsia"/>
          <w:color w:val="000000" w:themeColor="text1"/>
          <w:sz w:val="21"/>
          <w:szCs w:val="21"/>
          <w:highlight w:val="white"/>
          <w:lang w:eastAsia="zh-CN"/>
        </w:rPr>
        <w:t>位）发生估值错误时，视为基金份额净值错误。</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基金合同的当事人应按照以下约定处理：</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1</w:t>
      </w:r>
      <w:r>
        <w:rPr>
          <w:rFonts w:ascii="宋体" w:hAnsi="宋体" w:cs="宋体" w:hint="eastAsia"/>
          <w:color w:val="000000" w:themeColor="text1"/>
          <w:sz w:val="21"/>
          <w:szCs w:val="21"/>
          <w:highlight w:val="white"/>
          <w:lang w:eastAsia="zh-CN"/>
        </w:rPr>
        <w:t>、估值错误类型</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上述估值错误的主要类型包括但不限于：资料申报差错、数据传输差错、数据计算差错、系统故障差错、下达指令差错等。</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2</w:t>
      </w:r>
      <w:r>
        <w:rPr>
          <w:rFonts w:ascii="宋体" w:hAnsi="宋体" w:cs="宋体" w:hint="eastAsia"/>
          <w:color w:val="000000" w:themeColor="text1"/>
          <w:sz w:val="21"/>
          <w:szCs w:val="21"/>
          <w:highlight w:val="white"/>
          <w:lang w:eastAsia="zh-CN"/>
        </w:rPr>
        <w:t>、估值错误处理原则</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1</w:t>
      </w:r>
      <w:r>
        <w:rPr>
          <w:rFonts w:hint="eastAsia"/>
          <w:color w:val="000000" w:themeColor="text1"/>
          <w:sz w:val="21"/>
          <w:szCs w:val="21"/>
          <w:highlight w:val="white"/>
          <w:lang w:eastAsia="zh-CN"/>
        </w:rPr>
        <w:t>）估值错误已发生，但尚未给当事人造成损失时，估值错误责任方应及时协调各方，及时进行更正，因更正估值错误发生的费用由估值错误</w:t>
      </w:r>
      <w:r>
        <w:rPr>
          <w:rFonts w:hint="eastAsia"/>
          <w:color w:val="000000" w:themeColor="text1"/>
          <w:sz w:val="21"/>
          <w:szCs w:val="21"/>
          <w:highlight w:val="white"/>
          <w:lang w:eastAsia="zh-CN"/>
        </w:rPr>
        <w:t>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2</w:t>
      </w:r>
      <w:r>
        <w:rPr>
          <w:rFonts w:hint="eastAsia"/>
          <w:color w:val="000000" w:themeColor="text1"/>
          <w:sz w:val="21"/>
          <w:szCs w:val="21"/>
          <w:highlight w:val="white"/>
          <w:lang w:eastAsia="zh-CN"/>
        </w:rPr>
        <w:t>）估值错误的责任方对有关当事人的直接损失负责，不对间接损失负责，并且仅对估值错误的有关直接当事人负责，不对第三方负责。</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3</w:t>
      </w:r>
      <w:r>
        <w:rPr>
          <w:rFonts w:hint="eastAsia"/>
          <w:color w:val="000000" w:themeColor="text1"/>
          <w:sz w:val="21"/>
          <w:szCs w:val="21"/>
          <w:highlight w:val="white"/>
          <w:lang w:eastAsia="zh-CN"/>
        </w:rPr>
        <w:t>）因估值错误而获得不当得利的当事人负有及时返还不当得利的义务。但估值错误责任方仍应</w:t>
      </w:r>
      <w:r>
        <w:rPr>
          <w:rFonts w:hint="eastAsia"/>
          <w:color w:val="000000" w:themeColor="text1"/>
          <w:sz w:val="21"/>
          <w:szCs w:val="21"/>
          <w:highlight w:val="white"/>
          <w:lang w:eastAsia="zh-CN"/>
        </w:rPr>
        <w:t>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4</w:t>
      </w:r>
      <w:r>
        <w:rPr>
          <w:rFonts w:hint="eastAsia"/>
          <w:color w:val="000000" w:themeColor="text1"/>
          <w:sz w:val="21"/>
          <w:szCs w:val="21"/>
          <w:highlight w:val="white"/>
          <w:lang w:eastAsia="zh-CN"/>
        </w:rPr>
        <w:t>）估值错误调整采用尽量恢复至假设未发生估值错误的正确情形的方式。</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3</w:t>
      </w:r>
      <w:r>
        <w:rPr>
          <w:rFonts w:ascii="宋体" w:hAnsi="宋体" w:cs="宋体" w:hint="eastAsia"/>
          <w:color w:val="000000" w:themeColor="text1"/>
          <w:sz w:val="21"/>
          <w:szCs w:val="21"/>
          <w:highlight w:val="white"/>
          <w:lang w:eastAsia="zh-CN"/>
        </w:rPr>
        <w:t>、估值错误处理程序</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估值错误被发现后，有关的当</w:t>
      </w:r>
      <w:r>
        <w:rPr>
          <w:rFonts w:hint="eastAsia"/>
          <w:color w:val="000000" w:themeColor="text1"/>
          <w:sz w:val="21"/>
          <w:szCs w:val="21"/>
          <w:highlight w:val="white"/>
          <w:lang w:eastAsia="zh-CN"/>
        </w:rPr>
        <w:t>事人应当及时进行处理，处理的程序如下：</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1</w:t>
      </w:r>
      <w:r>
        <w:rPr>
          <w:rFonts w:hint="eastAsia"/>
          <w:color w:val="000000" w:themeColor="text1"/>
          <w:sz w:val="21"/>
          <w:szCs w:val="21"/>
          <w:highlight w:val="white"/>
          <w:lang w:eastAsia="zh-CN"/>
        </w:rPr>
        <w:t>）查明估值错误发生的原因，列明所有的当事人，并根据估值错误发生的原因确定估值错误的责任方；</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2</w:t>
      </w:r>
      <w:r>
        <w:rPr>
          <w:rFonts w:hint="eastAsia"/>
          <w:color w:val="000000" w:themeColor="text1"/>
          <w:sz w:val="21"/>
          <w:szCs w:val="21"/>
          <w:highlight w:val="white"/>
          <w:lang w:eastAsia="zh-CN"/>
        </w:rPr>
        <w:t>）根据估值错误处理原则或当事人协商的方法对因估值错误造成的损失进行评估；</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3</w:t>
      </w:r>
      <w:r>
        <w:rPr>
          <w:rFonts w:hint="eastAsia"/>
          <w:color w:val="000000" w:themeColor="text1"/>
          <w:sz w:val="21"/>
          <w:szCs w:val="21"/>
          <w:highlight w:val="white"/>
          <w:lang w:eastAsia="zh-CN"/>
        </w:rPr>
        <w:t>）根据估值错误处理原则或当事人协商的方法由估值错误的责任方进行更正和赔偿损失；</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4</w:t>
      </w:r>
      <w:r>
        <w:rPr>
          <w:rFonts w:hint="eastAsia"/>
          <w:color w:val="000000" w:themeColor="text1"/>
          <w:sz w:val="21"/>
          <w:szCs w:val="21"/>
          <w:highlight w:val="white"/>
          <w:lang w:eastAsia="zh-CN"/>
        </w:rPr>
        <w:t>）根据估值错误处理的方法，需要修改基金登记机构交易数据的，由基金登记机构进行更正，并就估值错误的更正向有关当事人进行确认。</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4</w:t>
      </w:r>
      <w:r>
        <w:rPr>
          <w:rFonts w:ascii="宋体" w:hAnsi="宋体" w:cs="宋体" w:hint="eastAsia"/>
          <w:color w:val="000000" w:themeColor="text1"/>
          <w:sz w:val="21"/>
          <w:szCs w:val="21"/>
          <w:highlight w:val="white"/>
          <w:lang w:eastAsia="zh-CN"/>
        </w:rPr>
        <w:t>、基金份额净值估值错误处理的方法如下：</w:t>
      </w:r>
    </w:p>
    <w:p w:rsidR="00F14202">
      <w:pPr>
        <w:spacing w:line="360" w:lineRule="auto"/>
        <w:ind w:firstLine="420"/>
        <w:rPr>
          <w:lang w:eastAsia="zh-CN"/>
        </w:rPr>
      </w:pPr>
      <w:r>
        <w:rPr>
          <w:rFonts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1</w:t>
      </w:r>
      <w:r>
        <w:rPr>
          <w:rFonts w:hint="eastAsia"/>
          <w:color w:val="000000" w:themeColor="text1"/>
          <w:sz w:val="21"/>
          <w:szCs w:val="21"/>
          <w:highlight w:val="white"/>
          <w:lang w:eastAsia="zh-CN"/>
        </w:rPr>
        <w:t>）基金份额净值计算出现错误时，基金管理人</w:t>
      </w:r>
      <w:r>
        <w:rPr>
          <w:rFonts w:hint="eastAsia"/>
          <w:color w:val="000000" w:themeColor="text1"/>
          <w:sz w:val="21"/>
          <w:szCs w:val="21"/>
          <w:highlight w:val="white"/>
          <w:lang w:eastAsia="zh-CN"/>
        </w:rPr>
        <w:t>应当立即予以纠正，通知基金托管人，并采取合理的措施防止损失进一步扩大。</w:t>
      </w:r>
    </w:p>
    <w:p w:rsidR="00F14202">
      <w:pPr>
        <w:spacing w:line="360" w:lineRule="auto"/>
        <w:ind w:firstLine="420"/>
        <w:rPr>
          <w:lang w:eastAsia="zh-CN"/>
        </w:rPr>
      </w:pPr>
      <w:r>
        <w:rPr>
          <w:rFonts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2</w:t>
      </w:r>
      <w:r>
        <w:rPr>
          <w:rFonts w:hint="eastAsia"/>
          <w:color w:val="000000" w:themeColor="text1"/>
          <w:sz w:val="21"/>
          <w:szCs w:val="21"/>
          <w:highlight w:val="white"/>
          <w:lang w:eastAsia="zh-CN"/>
        </w:rPr>
        <w:t>）错误偏差达到基金份额净值的</w:t>
      </w:r>
      <w:r>
        <w:rPr>
          <w:rFonts w:ascii="宋体" w:hAnsi="宋体" w:cs="宋体" w:hint="eastAsia"/>
          <w:color w:val="000000" w:themeColor="text1"/>
          <w:sz w:val="21"/>
          <w:szCs w:val="21"/>
          <w:highlight w:val="white"/>
          <w:lang w:eastAsia="zh-CN"/>
        </w:rPr>
        <w:t>0.25%</w:t>
      </w:r>
      <w:r>
        <w:rPr>
          <w:rFonts w:hint="eastAsia"/>
          <w:color w:val="000000" w:themeColor="text1"/>
          <w:sz w:val="21"/>
          <w:szCs w:val="21"/>
          <w:highlight w:val="white"/>
          <w:lang w:eastAsia="zh-CN"/>
        </w:rPr>
        <w:t>时，基金管理人应当通知基金托管人并报中国证监会备案；错误偏差达到基金份额净值的</w:t>
      </w:r>
      <w:r>
        <w:rPr>
          <w:rFonts w:ascii="宋体" w:hAnsi="宋体" w:cs="宋体" w:hint="eastAsia"/>
          <w:color w:val="000000" w:themeColor="text1"/>
          <w:sz w:val="21"/>
          <w:szCs w:val="21"/>
          <w:highlight w:val="white"/>
          <w:lang w:eastAsia="zh-CN"/>
        </w:rPr>
        <w:t>0.5%</w:t>
      </w:r>
      <w:r>
        <w:rPr>
          <w:rFonts w:hint="eastAsia"/>
          <w:color w:val="000000" w:themeColor="text1"/>
          <w:sz w:val="21"/>
          <w:szCs w:val="21"/>
          <w:highlight w:val="white"/>
          <w:lang w:eastAsia="zh-CN"/>
        </w:rPr>
        <w:t>时，基金管理人应当公告，并报中国证监会备案。</w:t>
      </w:r>
    </w:p>
    <w:p w:rsidR="00F14202">
      <w:pPr>
        <w:spacing w:line="360" w:lineRule="auto"/>
        <w:ind w:firstLine="420"/>
        <w:rPr>
          <w:lang w:eastAsia="zh-CN"/>
        </w:rPr>
      </w:pPr>
      <w:r>
        <w:rPr>
          <w:rFonts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3</w:t>
      </w:r>
      <w:r>
        <w:rPr>
          <w:rFonts w:hint="eastAsia"/>
          <w:color w:val="000000" w:themeColor="text1"/>
          <w:sz w:val="21"/>
          <w:szCs w:val="21"/>
          <w:highlight w:val="white"/>
          <w:lang w:eastAsia="zh-CN"/>
        </w:rPr>
        <w:t>）由于本基金的基金会计责任方由基金管理人担任，与本基金有关的会计问题，如经双方在平等基础上充分讨论后，尚不能达成一致的，按基金管理人的建议执行，若基金托管人已提出合理意见而基金管理人未采纳的，由此给基金份额持有人和基金财产造成的直接损失，由基金管理人负责赔付。</w:t>
      </w:r>
    </w:p>
    <w:p w:rsidR="00F14202">
      <w:pPr>
        <w:spacing w:line="360" w:lineRule="auto"/>
        <w:ind w:firstLine="420"/>
        <w:rPr>
          <w:lang w:eastAsia="zh-CN"/>
        </w:rPr>
      </w:pPr>
      <w:r>
        <w:rPr>
          <w:rFonts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4</w:t>
      </w:r>
      <w:r>
        <w:rPr>
          <w:rFonts w:hint="eastAsia"/>
          <w:color w:val="000000" w:themeColor="text1"/>
          <w:sz w:val="21"/>
          <w:szCs w:val="21"/>
          <w:highlight w:val="white"/>
          <w:lang w:eastAsia="zh-CN"/>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各自过错程度承担相应的责任。</w:t>
      </w:r>
    </w:p>
    <w:p w:rsidR="00F14202">
      <w:pPr>
        <w:spacing w:line="360" w:lineRule="auto"/>
        <w:ind w:firstLine="420"/>
        <w:rPr>
          <w:lang w:eastAsia="zh-CN"/>
        </w:rPr>
      </w:pPr>
      <w:r>
        <w:rPr>
          <w:rFonts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5</w:t>
      </w:r>
      <w:r>
        <w:rPr>
          <w:rFonts w:hint="eastAsia"/>
          <w:color w:val="000000" w:themeColor="text1"/>
          <w:sz w:val="21"/>
          <w:szCs w:val="21"/>
          <w:highlight w:val="white"/>
          <w:lang w:eastAsia="zh-CN"/>
        </w:rPr>
        <w:t>）如基金管理人和基金托管人对基金资产净值和基金份额净值的计算结果，虽然多次重新计算和核对仍不能达成一致时，为避免不能按时披露净值的情形，以基金管理人的计算结果对外披露，若基金</w:t>
      </w:r>
      <w:r>
        <w:rPr>
          <w:rFonts w:hint="eastAsia"/>
          <w:color w:val="000000" w:themeColor="text1"/>
          <w:sz w:val="21"/>
          <w:szCs w:val="21"/>
          <w:highlight w:val="white"/>
          <w:lang w:eastAsia="zh-CN"/>
        </w:rPr>
        <w:t>托管人已提出合理意见而基金管理人未采纳的，由此给基金份额持有人和基金造成的损失，基金托管人予以免责。</w:t>
      </w:r>
    </w:p>
    <w:p w:rsidR="00F14202">
      <w:pPr>
        <w:spacing w:line="360" w:lineRule="auto"/>
        <w:ind w:firstLine="420"/>
        <w:rPr>
          <w:lang w:eastAsia="zh-CN"/>
        </w:rPr>
      </w:pPr>
      <w:r>
        <w:rPr>
          <w:rFonts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6</w:t>
      </w:r>
      <w:r>
        <w:rPr>
          <w:rFonts w:hint="eastAsia"/>
          <w:color w:val="000000" w:themeColor="text1"/>
          <w:sz w:val="21"/>
          <w:szCs w:val="21"/>
          <w:highlight w:val="white"/>
          <w:lang w:eastAsia="zh-CN"/>
        </w:rPr>
        <w:t>）由于一方当事人提供的信息错误，另一方当事人在采取了必要合理的措施后仍不能发现该错误，进而导致净值计算错误造成基金份额持有人的损失，以及由此造成以后交易日净值计算顺延错误而引起的基金份额持有人的损失，由提供错误信息的当事人一方负责赔偿。</w:t>
      </w:r>
    </w:p>
    <w:p w:rsidR="00F14202">
      <w:pPr>
        <w:spacing w:line="360" w:lineRule="auto"/>
        <w:ind w:firstLine="420"/>
        <w:rPr>
          <w:lang w:eastAsia="zh-CN"/>
        </w:rPr>
      </w:pPr>
      <w:r>
        <w:rPr>
          <w:rFonts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7</w:t>
      </w:r>
      <w:r>
        <w:rPr>
          <w:rFonts w:hint="eastAsia"/>
          <w:color w:val="000000" w:themeColor="text1"/>
          <w:sz w:val="21"/>
          <w:szCs w:val="21"/>
          <w:highlight w:val="white"/>
          <w:lang w:eastAsia="zh-CN"/>
        </w:rPr>
        <w:t>）前述内容如法律法规或监管机关另有规定的，从其规定处理。</w:t>
      </w:r>
    </w:p>
    <w:p w:rsidR="00F14202">
      <w:pPr>
        <w:spacing w:line="360" w:lineRule="auto"/>
        <w:ind w:firstLine="420"/>
        <w:rPr>
          <w:color w:val="000000"/>
          <w:sz w:val="21"/>
          <w:szCs w:val="21"/>
          <w:lang w:eastAsia="zh-CN"/>
        </w:rPr>
      </w:pPr>
      <w:r>
        <w:rPr>
          <w:rFonts w:ascii="宋体" w:hAnsi="宋体" w:cs="宋体"/>
          <w:color w:val="000000" w:themeColor="text1"/>
          <w:sz w:val="21"/>
          <w:szCs w:val="21"/>
          <w:highlight w:val="white"/>
          <w:lang w:eastAsia="zh-CN"/>
        </w:rPr>
        <w:t>5</w:t>
      </w:r>
      <w:r>
        <w:rPr>
          <w:rFonts w:hint="eastAsia"/>
          <w:color w:val="000000" w:themeColor="text1"/>
          <w:sz w:val="21"/>
          <w:szCs w:val="21"/>
          <w:highlight w:val="white"/>
          <w:lang w:eastAsia="zh-CN"/>
        </w:rPr>
        <w:t>、特殊情况的处理</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w:t>
      </w:r>
      <w:r>
        <w:rPr>
          <w:rFonts w:ascii="宋体" w:hAnsi="宋体" w:cs="宋体"/>
          <w:color w:val="000000" w:themeColor="text1"/>
          <w:sz w:val="21"/>
          <w:szCs w:val="21"/>
          <w:highlight w:val="white"/>
          <w:lang w:eastAsia="zh-CN"/>
        </w:rPr>
        <w:t>1</w:t>
      </w:r>
      <w:r>
        <w:rPr>
          <w:rFonts w:hint="eastAsia"/>
          <w:color w:val="000000" w:themeColor="text1"/>
          <w:sz w:val="21"/>
          <w:szCs w:val="21"/>
          <w:highlight w:val="white"/>
          <w:lang w:eastAsia="zh-CN"/>
        </w:rPr>
        <w:t>）基金管理人或基金托管人按本协议约定的估值方法的第（</w:t>
      </w:r>
      <w:r>
        <w:rPr>
          <w:rFonts w:ascii="宋体" w:hAnsi="宋体" w:cs="宋体" w:hint="eastAsia"/>
          <w:color w:val="000000" w:themeColor="text1"/>
          <w:sz w:val="21"/>
          <w:szCs w:val="21"/>
          <w:highlight w:val="white"/>
          <w:lang w:eastAsia="zh-CN"/>
        </w:rPr>
        <w:t>13</w:t>
      </w:r>
      <w:r>
        <w:rPr>
          <w:rFonts w:hint="eastAsia"/>
          <w:color w:val="000000" w:themeColor="text1"/>
          <w:sz w:val="21"/>
          <w:szCs w:val="21"/>
          <w:highlight w:val="white"/>
          <w:lang w:eastAsia="zh-CN"/>
        </w:rPr>
        <w:t>）项进行估值时，所造成的误差不作为基金资产估值错误处理。</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w:t>
      </w:r>
      <w:r>
        <w:rPr>
          <w:rFonts w:ascii="宋体" w:hAnsi="宋体" w:cs="宋体"/>
          <w:color w:val="000000" w:themeColor="text1"/>
          <w:sz w:val="21"/>
          <w:szCs w:val="21"/>
          <w:highlight w:val="white"/>
          <w:lang w:eastAsia="zh-CN"/>
        </w:rPr>
        <w:t>2</w:t>
      </w:r>
      <w:r>
        <w:rPr>
          <w:rFonts w:hint="eastAsia"/>
          <w:color w:val="000000" w:themeColor="text1"/>
          <w:sz w:val="21"/>
          <w:szCs w:val="21"/>
          <w:highlight w:val="white"/>
          <w:lang w:eastAsia="zh-CN"/>
        </w:rPr>
        <w:t>）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（四）暂停估值的情形</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1</w:t>
      </w:r>
      <w:r>
        <w:rPr>
          <w:rFonts w:ascii="宋体" w:hAnsi="宋体" w:cs="宋体" w:hint="eastAsia"/>
          <w:color w:val="000000" w:themeColor="text1"/>
          <w:sz w:val="21"/>
          <w:szCs w:val="21"/>
          <w:highlight w:val="white"/>
          <w:lang w:eastAsia="zh-CN"/>
        </w:rPr>
        <w:t>、基金投资所涉及的证券交易市场遇法定节假日或因其他原因暂停营</w:t>
      </w:r>
      <w:r>
        <w:rPr>
          <w:rFonts w:ascii="宋体" w:hAnsi="宋体" w:cs="宋体" w:hint="eastAsia"/>
          <w:color w:val="000000" w:themeColor="text1"/>
          <w:sz w:val="21"/>
          <w:szCs w:val="21"/>
          <w:highlight w:val="white"/>
          <w:lang w:eastAsia="zh-CN"/>
        </w:rPr>
        <w:t>业时；</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2</w:t>
      </w:r>
      <w:r>
        <w:rPr>
          <w:rFonts w:ascii="宋体" w:hAnsi="宋体" w:cs="宋体" w:hint="eastAsia"/>
          <w:color w:val="000000" w:themeColor="text1"/>
          <w:sz w:val="21"/>
          <w:szCs w:val="21"/>
          <w:highlight w:val="white"/>
          <w:lang w:eastAsia="zh-CN"/>
        </w:rPr>
        <w:t>、因不可抗力致使基金管理人、基金托管人无法准确评估基金资产价值时；</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3</w:t>
      </w:r>
      <w:r>
        <w:rPr>
          <w:rFonts w:ascii="宋体" w:hAnsi="宋体" w:cs="宋体" w:hint="eastAsia"/>
          <w:color w:val="000000" w:themeColor="text1"/>
          <w:sz w:val="21"/>
          <w:szCs w:val="21"/>
          <w:highlight w:val="white"/>
          <w:lang w:eastAsia="zh-CN"/>
        </w:rPr>
        <w:t>、占相当比例的被投资基金暂停估值或基金份额净值延迟计算、公告时；</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4</w:t>
      </w:r>
      <w:r>
        <w:rPr>
          <w:rFonts w:ascii="宋体" w:hAnsi="宋体" w:cs="宋体" w:hint="eastAsia"/>
          <w:color w:val="000000" w:themeColor="text1"/>
          <w:sz w:val="21"/>
          <w:szCs w:val="21"/>
          <w:highlight w:val="white"/>
          <w:lang w:eastAsia="zh-CN"/>
        </w:rPr>
        <w:t>、当特定资产占前一估值日基金资产净值</w:t>
      </w:r>
      <w:r>
        <w:rPr>
          <w:rFonts w:ascii="宋体" w:hAnsi="宋体" w:cs="宋体" w:hint="eastAsia"/>
          <w:color w:val="000000" w:themeColor="text1"/>
          <w:sz w:val="21"/>
          <w:szCs w:val="21"/>
          <w:highlight w:val="white"/>
          <w:lang w:eastAsia="zh-CN"/>
        </w:rPr>
        <w:t>50%</w:t>
      </w:r>
      <w:r>
        <w:rPr>
          <w:rFonts w:ascii="宋体" w:hAnsi="宋体" w:cs="宋体" w:hint="eastAsia"/>
          <w:color w:val="000000" w:themeColor="text1"/>
          <w:sz w:val="21"/>
          <w:szCs w:val="21"/>
          <w:highlight w:val="white"/>
          <w:lang w:eastAsia="zh-CN"/>
        </w:rPr>
        <w:t>以上的，经与基金托管人协商确认后，基金管理人应当暂停估值；</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5</w:t>
      </w:r>
      <w:r>
        <w:rPr>
          <w:rFonts w:ascii="宋体" w:hAnsi="宋体" w:cs="宋体" w:hint="eastAsia"/>
          <w:color w:val="000000" w:themeColor="text1"/>
          <w:sz w:val="21"/>
          <w:szCs w:val="21"/>
          <w:highlight w:val="white"/>
          <w:lang w:eastAsia="zh-CN"/>
        </w:rPr>
        <w:t>、中国证监会和基金合同认定的其它情形。</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（五）基金会计制度</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按国家有关部门规定的会计制度执行。</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（六）基金账册的建立</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基金管理人和基金托管人在《基金合同》生效后，应按照双方约定的同一记账方法和会计处理原则，分别独立地设置、登记和保管基金的全套账册，对双方各自的</w:t>
      </w:r>
      <w:r>
        <w:rPr>
          <w:rFonts w:hint="eastAsia"/>
          <w:color w:val="000000" w:themeColor="text1"/>
          <w:sz w:val="21"/>
          <w:szCs w:val="21"/>
          <w:highlight w:val="white"/>
          <w:lang w:eastAsia="zh-CN"/>
        </w:rPr>
        <w:t>账册定期进行核对，互相监督，以保证基金财产的安全。若双方对会计处理方法存在分歧，应以基金管理人的处理方法为准。</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（七）基金财务报表和定期报告的编制和复核</w:t>
      </w:r>
    </w:p>
    <w:p w:rsidR="00F14202">
      <w:pPr>
        <w:spacing w:line="360" w:lineRule="auto"/>
        <w:ind w:firstLine="420"/>
        <w:rPr>
          <w:color w:val="000000"/>
          <w:sz w:val="21"/>
          <w:szCs w:val="21"/>
          <w:lang w:eastAsia="zh-CN"/>
        </w:rPr>
      </w:pPr>
      <w:r>
        <w:rPr>
          <w:rFonts w:ascii="宋体" w:hAnsi="宋体" w:cs="宋体"/>
          <w:color w:val="000000" w:themeColor="text1"/>
          <w:sz w:val="21"/>
          <w:szCs w:val="21"/>
          <w:highlight w:val="white"/>
          <w:lang w:eastAsia="zh-CN"/>
        </w:rPr>
        <w:t>1</w:t>
      </w:r>
      <w:r>
        <w:rPr>
          <w:rFonts w:hint="eastAsia"/>
          <w:color w:val="000000" w:themeColor="text1"/>
          <w:sz w:val="21"/>
          <w:szCs w:val="21"/>
          <w:highlight w:val="white"/>
          <w:lang w:eastAsia="zh-CN"/>
        </w:rPr>
        <w:t>、财务报表的编制</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基金财务报表由基金管理人和基金托管人每月分别独立编制。月度报表的编制，应于每月终了后</w:t>
      </w:r>
      <w:r>
        <w:rPr>
          <w:rFonts w:ascii="宋体" w:hAnsi="宋体" w:cs="宋体"/>
          <w:color w:val="000000" w:themeColor="text1"/>
          <w:sz w:val="21"/>
          <w:szCs w:val="21"/>
          <w:highlight w:val="white"/>
          <w:lang w:eastAsia="zh-CN"/>
        </w:rPr>
        <w:t>5</w:t>
      </w:r>
      <w:r>
        <w:rPr>
          <w:rFonts w:hint="eastAsia"/>
          <w:color w:val="000000" w:themeColor="text1"/>
          <w:sz w:val="21"/>
          <w:szCs w:val="21"/>
          <w:highlight w:val="white"/>
          <w:lang w:eastAsia="zh-CN"/>
        </w:rPr>
        <w:t>个工作日内完成；《基金合同》</w:t>
      </w:r>
      <w:r>
        <w:rPr>
          <w:rFonts w:hint="eastAsia"/>
          <w:color w:val="000000" w:themeColor="text1"/>
          <w:sz w:val="21"/>
          <w:szCs w:val="21"/>
          <w:highlight w:val="white"/>
          <w:lang w:eastAsia="zh-CN"/>
        </w:rPr>
        <w:t>生效后，基金招募说明书、基金产品资料概要的信息发生重大变更的，基金管理人应当在三个工作日内，更新基金招募说明书和基金产品资料概要，并登载在规定网站上，其中基金产品资料概要还应当登载在基金销售机构网站或营业网点；基金招募说明书、基金产品资料概要其他信息发生变更的，基金管理人至少每年更新一次。基金终止运作的，基金管理人不再更新基金招募说明书和基金产品资料概要。季度报告应在季度结束之日起</w:t>
      </w:r>
      <w:r>
        <w:rPr>
          <w:rFonts w:ascii="宋体" w:hAnsi="宋体" w:cs="宋体"/>
          <w:color w:val="000000" w:themeColor="text1"/>
          <w:sz w:val="21"/>
          <w:szCs w:val="21"/>
          <w:highlight w:val="white"/>
          <w:lang w:eastAsia="zh-CN"/>
        </w:rPr>
        <w:t>15</w:t>
      </w:r>
      <w:r>
        <w:rPr>
          <w:rFonts w:hint="eastAsia"/>
          <w:color w:val="000000" w:themeColor="text1"/>
          <w:sz w:val="21"/>
          <w:szCs w:val="21"/>
          <w:highlight w:val="white"/>
          <w:lang w:eastAsia="zh-CN"/>
        </w:rPr>
        <w:t>个工作日内予以公告；中期报告在会计年度半年终了后两个月内予以公告；年度报告在每年结束之日起三个月内予以公告。</w:t>
      </w:r>
      <w:r>
        <w:rPr>
          <w:rFonts w:ascii="宋体" w:hAnsi="Calibri" w:cs="宋体" w:hint="eastAsia"/>
          <w:color w:val="000000" w:themeColor="text1"/>
          <w:sz w:val="21"/>
          <w:szCs w:val="21"/>
          <w:highlight w:val="white"/>
          <w:lang w:eastAsia="zh-CN"/>
        </w:rPr>
        <w:t>《基金合同》</w:t>
      </w:r>
      <w:r>
        <w:rPr>
          <w:rFonts w:hint="eastAsia"/>
          <w:color w:val="000000" w:themeColor="text1"/>
          <w:sz w:val="21"/>
          <w:szCs w:val="21"/>
          <w:highlight w:val="white"/>
          <w:lang w:eastAsia="zh-CN"/>
        </w:rPr>
        <w:t>生效</w:t>
      </w:r>
      <w:r>
        <w:rPr>
          <w:rFonts w:hint="eastAsia"/>
          <w:color w:val="000000" w:themeColor="text1"/>
          <w:sz w:val="21"/>
          <w:szCs w:val="21"/>
          <w:highlight w:val="white"/>
          <w:lang w:eastAsia="zh-CN"/>
        </w:rPr>
        <w:t>不足</w:t>
      </w:r>
      <w:r>
        <w:rPr>
          <w:rFonts w:ascii="宋体" w:hAnsi="宋体" w:cs="宋体"/>
          <w:color w:val="000000" w:themeColor="text1"/>
          <w:sz w:val="21"/>
          <w:szCs w:val="21"/>
          <w:highlight w:val="white"/>
          <w:lang w:eastAsia="zh-CN"/>
        </w:rPr>
        <w:t>2</w:t>
      </w:r>
      <w:r>
        <w:rPr>
          <w:rFonts w:hint="eastAsia"/>
          <w:color w:val="000000" w:themeColor="text1"/>
          <w:sz w:val="21"/>
          <w:szCs w:val="21"/>
          <w:highlight w:val="white"/>
          <w:lang w:eastAsia="zh-CN"/>
        </w:rPr>
        <w:t>个月的，基金管理人可以不编制当期季度报告、中期报告或者年度报告。</w:t>
      </w:r>
    </w:p>
    <w:p w:rsidR="00F14202">
      <w:pPr>
        <w:spacing w:line="360" w:lineRule="auto"/>
        <w:ind w:firstLine="420"/>
        <w:rPr>
          <w:color w:val="000000"/>
          <w:sz w:val="21"/>
          <w:szCs w:val="21"/>
          <w:lang w:eastAsia="zh-CN"/>
        </w:rPr>
      </w:pPr>
      <w:r>
        <w:rPr>
          <w:rFonts w:ascii="宋体" w:hAnsi="宋体" w:cs="宋体"/>
          <w:color w:val="000000" w:themeColor="text1"/>
          <w:sz w:val="21"/>
          <w:szCs w:val="21"/>
          <w:highlight w:val="white"/>
          <w:lang w:eastAsia="zh-CN"/>
        </w:rPr>
        <w:t>2</w:t>
      </w:r>
      <w:r>
        <w:rPr>
          <w:rFonts w:hint="eastAsia"/>
          <w:color w:val="000000" w:themeColor="text1"/>
          <w:sz w:val="21"/>
          <w:szCs w:val="21"/>
          <w:highlight w:val="white"/>
          <w:lang w:eastAsia="zh-CN"/>
        </w:rPr>
        <w:t>、报表复核</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基金管理人在月度报表完成当日，将报表盖章后提供给基金托管人复核；基金托管人在收到后应在</w:t>
      </w:r>
      <w:r>
        <w:rPr>
          <w:rFonts w:ascii="宋体" w:hAnsi="宋体" w:cs="宋体" w:hint="eastAsia"/>
          <w:color w:val="000000" w:themeColor="text1"/>
          <w:sz w:val="21"/>
          <w:szCs w:val="21"/>
          <w:highlight w:val="white"/>
          <w:lang w:eastAsia="zh-CN"/>
        </w:rPr>
        <w:t>3</w:t>
      </w:r>
      <w:r>
        <w:rPr>
          <w:rFonts w:hint="eastAsia"/>
          <w:color w:val="000000" w:themeColor="text1"/>
          <w:sz w:val="21"/>
          <w:szCs w:val="21"/>
          <w:highlight w:val="white"/>
          <w:lang w:eastAsia="zh-CN"/>
        </w:rPr>
        <w:t>日内进行复核，并将复核结果书面通知基金管理人。基金管理人在季度报告完成当日，将有关报告提供给基金托管人复核，基金托管人应在收到后</w:t>
      </w:r>
      <w:r>
        <w:rPr>
          <w:rFonts w:ascii="宋体" w:hAnsi="宋体" w:cs="宋体" w:hint="eastAsia"/>
          <w:color w:val="000000" w:themeColor="text1"/>
          <w:sz w:val="21"/>
          <w:szCs w:val="21"/>
          <w:highlight w:val="white"/>
          <w:lang w:eastAsia="zh-CN"/>
        </w:rPr>
        <w:t>7</w:t>
      </w:r>
      <w:r>
        <w:rPr>
          <w:rFonts w:hint="eastAsia"/>
          <w:color w:val="000000" w:themeColor="text1"/>
          <w:sz w:val="21"/>
          <w:szCs w:val="21"/>
          <w:highlight w:val="white"/>
          <w:lang w:eastAsia="zh-CN"/>
        </w:rPr>
        <w:t>个工作日内完成复核，并将复核结果书面通知基金管理人。基金管理人在中期报告完成当日，将有关报告提供给基金托管人复核，基金托管人应在收到后</w:t>
      </w:r>
      <w:r>
        <w:rPr>
          <w:rFonts w:ascii="宋体" w:hAnsi="宋体" w:cs="宋体" w:hint="eastAsia"/>
          <w:color w:val="000000" w:themeColor="text1"/>
          <w:sz w:val="21"/>
          <w:szCs w:val="21"/>
          <w:highlight w:val="white"/>
          <w:lang w:eastAsia="zh-CN"/>
        </w:rPr>
        <w:t>30</w:t>
      </w:r>
      <w:r>
        <w:rPr>
          <w:rFonts w:hint="eastAsia"/>
          <w:color w:val="000000" w:themeColor="text1"/>
          <w:sz w:val="21"/>
          <w:szCs w:val="21"/>
          <w:highlight w:val="white"/>
          <w:lang w:eastAsia="zh-CN"/>
        </w:rPr>
        <w:t>个工作日内完成复核，并将复核结果书面通知基金管理人。基金管理人在年度报</w:t>
      </w:r>
      <w:r>
        <w:rPr>
          <w:rFonts w:hint="eastAsia"/>
          <w:color w:val="000000" w:themeColor="text1"/>
          <w:sz w:val="21"/>
          <w:szCs w:val="21"/>
          <w:highlight w:val="white"/>
          <w:lang w:eastAsia="zh-CN"/>
        </w:rPr>
        <w:t>告完成当日，将有关报告提供基金托管人复核，基金托管人应在收到后</w:t>
      </w:r>
      <w:r>
        <w:rPr>
          <w:rFonts w:ascii="宋体" w:hAnsi="宋体" w:cs="宋体" w:hint="eastAsia"/>
          <w:color w:val="000000" w:themeColor="text1"/>
          <w:sz w:val="21"/>
          <w:szCs w:val="21"/>
          <w:highlight w:val="white"/>
          <w:lang w:eastAsia="zh-CN"/>
        </w:rPr>
        <w:t>45</w:t>
      </w:r>
      <w:r>
        <w:rPr>
          <w:rFonts w:hint="eastAsia"/>
          <w:color w:val="000000" w:themeColor="text1"/>
          <w:sz w:val="21"/>
          <w:szCs w:val="21"/>
          <w:highlight w:val="white"/>
          <w:lang w:eastAsia="zh-CN"/>
        </w:rPr>
        <w:t>个工作日内完成复核，并将复核结果书面通知基金管理人。基金管理人和基金托管人之间的上述文件往来均以传真的方式或双方商定的其他方式进行。</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业务印鉴或者出具加盖业务印鉴的复核意见书或进行电子确认，双方各自留存一份。如果基金管理人与基金托管人不能于应当发布公告之日之前就相关报表达成一致，基金管理人有权按照其编制的报表对外发布公告，基金托管人有权就相关情况报中国证监会备案。</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基金托管人在对财务会计报告、季度报告、中期报告或</w:t>
      </w:r>
      <w:r>
        <w:rPr>
          <w:rFonts w:hint="eastAsia"/>
          <w:color w:val="000000" w:themeColor="text1"/>
          <w:sz w:val="21"/>
          <w:szCs w:val="21"/>
          <w:highlight w:val="white"/>
          <w:lang w:eastAsia="zh-CN"/>
        </w:rPr>
        <w:t>年度报告复核完毕后，需盖章确认或出具相应的复核确认书或</w:t>
      </w:r>
      <w:r>
        <w:rPr>
          <w:color w:val="000000" w:themeColor="text1"/>
          <w:sz w:val="21"/>
          <w:szCs w:val="21"/>
          <w:highlight w:val="white"/>
          <w:lang w:eastAsia="zh-CN"/>
        </w:rPr>
        <w:t>进行电子</w:t>
      </w:r>
      <w:r>
        <w:rPr>
          <w:rFonts w:hint="eastAsia"/>
          <w:color w:val="000000" w:themeColor="text1"/>
          <w:sz w:val="21"/>
          <w:szCs w:val="21"/>
          <w:highlight w:val="white"/>
          <w:lang w:eastAsia="zh-CN"/>
        </w:rPr>
        <w:t>确认，以备有权机构对相关文件审核时提示。</w:t>
      </w:r>
      <w:bookmarkStart w:id="19" w:name="_Toc48703912"/>
      <w:bookmarkStart w:id="20" w:name="_Toc466788859"/>
      <w:bookmarkStart w:id="21" w:name="_Toc523830000"/>
      <w:bookmarkStart w:id="22" w:name="_Toc22454461"/>
      <w:bookmarkEnd w:id="19"/>
      <w:bookmarkEnd w:id="20"/>
      <w:bookmarkEnd w:id="21"/>
      <w:bookmarkEnd w:id="22"/>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（八）基金管理人应每季向基金托管人提供基金业绩比较基准的基础数据和编制结果。</w:t>
      </w:r>
    </w:p>
    <w:p w:rsidR="00F14202">
      <w:pPr>
        <w:spacing w:line="360" w:lineRule="auto"/>
        <w:ind w:firstLine="420"/>
        <w:rPr>
          <w:color w:val="000000"/>
          <w:sz w:val="21"/>
          <w:szCs w:val="21"/>
          <w:lang w:eastAsia="zh-CN"/>
        </w:rPr>
      </w:pPr>
    </w:p>
    <w:p w:rsidR="00F14202">
      <w:pPr>
        <w:pStyle w:val="Heading1"/>
        <w:numPr>
          <w:ilvl w:val="0"/>
          <w:numId w:val="1"/>
        </w:numPr>
        <w:spacing w:before="120" w:after="120" w:line="360" w:lineRule="auto"/>
        <w:jc w:val="center"/>
        <w:rPr>
          <w:color w:val="000000"/>
          <w:sz w:val="24"/>
          <w:szCs w:val="24"/>
        </w:rPr>
      </w:pPr>
      <w:bookmarkStart w:id="23" w:name="_Toc881139"/>
      <w:bookmarkStart w:id="24" w:name="_Toc394474004"/>
      <w:r>
        <w:rPr>
          <w:rFonts w:hint="eastAsia"/>
          <w:color w:val="000000" w:themeColor="text1"/>
          <w:sz w:val="24"/>
          <w:szCs w:val="24"/>
          <w:highlight w:val="white"/>
        </w:rPr>
        <w:t>基金收益分配</w:t>
      </w:r>
      <w:bookmarkEnd w:id="23"/>
      <w:bookmarkEnd w:id="24"/>
    </w:p>
    <w:p w:rsidR="00F14202">
      <w:pPr>
        <w:spacing w:line="360" w:lineRule="auto"/>
        <w:rPr>
          <w:color w:val="000000"/>
          <w:sz w:val="21"/>
          <w:szCs w:val="21"/>
        </w:rPr>
      </w:pPr>
      <w:bookmarkStart w:id="25" w:name="_Toc22454462"/>
      <w:bookmarkStart w:id="26" w:name="_Toc48703913"/>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（一）基金收益分配</w:t>
      </w:r>
      <w:bookmarkEnd w:id="25"/>
      <w:bookmarkEnd w:id="26"/>
      <w:r>
        <w:rPr>
          <w:rFonts w:hint="eastAsia"/>
          <w:color w:val="000000" w:themeColor="text1"/>
          <w:sz w:val="21"/>
          <w:szCs w:val="21"/>
          <w:highlight w:val="white"/>
          <w:lang w:eastAsia="zh-CN"/>
        </w:rPr>
        <w:t>的原则</w:t>
      </w:r>
    </w:p>
    <w:p w:rsidR="00F14202">
      <w:pPr>
        <w:spacing w:line="360" w:lineRule="auto"/>
        <w:ind w:firstLine="420"/>
        <w:rPr>
          <w:color w:val="000000"/>
          <w:sz w:val="21"/>
          <w:szCs w:val="21"/>
          <w:lang w:eastAsia="zh-CN"/>
        </w:rPr>
      </w:pPr>
      <w:r>
        <w:rPr>
          <w:rFonts w:ascii="宋体" w:hAnsi="宋体" w:cs="宋体"/>
          <w:color w:val="000000" w:themeColor="text1"/>
          <w:sz w:val="21"/>
          <w:szCs w:val="21"/>
          <w:highlight w:val="white"/>
          <w:lang w:eastAsia="zh-CN"/>
        </w:rPr>
        <w:t>1</w:t>
      </w:r>
      <w:r>
        <w:rPr>
          <w:rFonts w:ascii="宋体" w:hAnsi="宋体" w:cs="宋体"/>
          <w:color w:val="000000" w:themeColor="text1"/>
          <w:sz w:val="21"/>
          <w:szCs w:val="21"/>
          <w:highlight w:val="white"/>
          <w:lang w:eastAsia="zh-CN"/>
        </w:rPr>
        <w:t>、在符合有关基金分红条件的前提下，基金管理人可以根据实际情况进行收益分配，具体分配方案以公告为准，若《基金合同》生效不满</w:t>
      </w:r>
      <w:r>
        <w:rPr>
          <w:rFonts w:ascii="宋体" w:hAnsi="宋体" w:cs="宋体"/>
          <w:color w:val="000000" w:themeColor="text1"/>
          <w:sz w:val="21"/>
          <w:szCs w:val="21"/>
          <w:highlight w:val="white"/>
          <w:lang w:eastAsia="zh-CN"/>
        </w:rPr>
        <w:t>3</w:t>
      </w:r>
      <w:r>
        <w:rPr>
          <w:rFonts w:ascii="宋体" w:hAnsi="宋体" w:cs="宋体"/>
          <w:color w:val="000000" w:themeColor="text1"/>
          <w:sz w:val="21"/>
          <w:szCs w:val="21"/>
          <w:highlight w:val="white"/>
          <w:lang w:eastAsia="zh-CN"/>
        </w:rPr>
        <w:t>个月可不进行收益分配；</w:t>
      </w:r>
    </w:p>
    <w:p w:rsidR="00F14202">
      <w:pPr>
        <w:spacing w:line="360" w:lineRule="auto"/>
        <w:ind w:firstLine="420"/>
        <w:rPr>
          <w:color w:val="000000"/>
          <w:sz w:val="21"/>
          <w:szCs w:val="21"/>
          <w:lang w:eastAsia="zh-CN"/>
        </w:rPr>
      </w:pPr>
      <w:r>
        <w:rPr>
          <w:rFonts w:ascii="宋体" w:hAnsi="宋体" w:cs="宋体"/>
          <w:color w:val="000000" w:themeColor="text1"/>
          <w:sz w:val="21"/>
          <w:szCs w:val="21"/>
          <w:highlight w:val="white"/>
          <w:lang w:eastAsia="zh-CN"/>
        </w:rPr>
        <w:t>2</w:t>
      </w:r>
      <w:r>
        <w:rPr>
          <w:rFonts w:ascii="宋体" w:hAnsi="宋体" w:cs="宋体"/>
          <w:color w:val="000000" w:themeColor="text1"/>
          <w:sz w:val="21"/>
          <w:szCs w:val="21"/>
          <w:highlight w:val="white"/>
          <w:lang w:eastAsia="zh-CN"/>
        </w:rPr>
        <w:t>、本基金收益分配方式分两种：现金分红与红利再投资，投资者可选择现金红利或将现金红利自动转为对应类别的基金份额进行再投资；若投资者不选择，本基金默认的收益分配方式是现金分红；</w:t>
      </w:r>
    </w:p>
    <w:p w:rsidR="00F14202">
      <w:pPr>
        <w:spacing w:line="360" w:lineRule="auto"/>
        <w:ind w:firstLine="420"/>
        <w:rPr>
          <w:color w:val="000000"/>
          <w:sz w:val="21"/>
          <w:szCs w:val="21"/>
          <w:lang w:eastAsia="zh-CN"/>
        </w:rPr>
      </w:pPr>
      <w:r>
        <w:rPr>
          <w:rFonts w:ascii="宋体" w:hAnsi="宋体" w:cs="宋体"/>
          <w:color w:val="000000" w:themeColor="text1"/>
          <w:sz w:val="21"/>
          <w:szCs w:val="21"/>
          <w:highlight w:val="white"/>
          <w:lang w:eastAsia="zh-CN"/>
        </w:rPr>
        <w:t>3</w:t>
      </w:r>
      <w:r>
        <w:rPr>
          <w:rFonts w:ascii="宋体" w:hAnsi="宋体" w:cs="宋体"/>
          <w:color w:val="000000" w:themeColor="text1"/>
          <w:sz w:val="21"/>
          <w:szCs w:val="21"/>
          <w:highlight w:val="white"/>
          <w:lang w:eastAsia="zh-CN"/>
        </w:rPr>
        <w:t>、基金收益分配后基金份额净值不能低于面值；即基金收益分配基准日的基金份额净值减去每单位基金份额收益分配金额后不能低于面值；</w:t>
      </w:r>
    </w:p>
    <w:p w:rsidR="00F14202">
      <w:pPr>
        <w:spacing w:line="360" w:lineRule="auto"/>
        <w:ind w:firstLine="420"/>
        <w:rPr>
          <w:color w:val="000000"/>
          <w:sz w:val="21"/>
          <w:szCs w:val="21"/>
          <w:lang w:eastAsia="zh-CN"/>
        </w:rPr>
      </w:pPr>
      <w:r>
        <w:rPr>
          <w:rFonts w:ascii="宋体" w:hAnsi="宋体" w:cs="宋体"/>
          <w:color w:val="000000" w:themeColor="text1"/>
          <w:sz w:val="21"/>
          <w:szCs w:val="21"/>
          <w:highlight w:val="white"/>
          <w:lang w:eastAsia="zh-CN"/>
        </w:rPr>
        <w:t>4</w:t>
      </w:r>
      <w:r>
        <w:rPr>
          <w:rFonts w:ascii="宋体" w:hAnsi="宋体" w:cs="宋体"/>
          <w:color w:val="000000" w:themeColor="text1"/>
          <w:sz w:val="21"/>
          <w:szCs w:val="21"/>
          <w:highlight w:val="white"/>
          <w:lang w:eastAsia="zh-CN"/>
        </w:rPr>
        <w:t>、本基金各基金份额类别在费用收取上不同，其对应的可分配收益可能有所不同。同一类别的每一基金份额享有同等分配权；</w:t>
      </w:r>
    </w:p>
    <w:p w:rsidR="00F14202">
      <w:pPr>
        <w:spacing w:line="360" w:lineRule="auto"/>
        <w:ind w:firstLine="420"/>
        <w:rPr>
          <w:color w:val="000000"/>
          <w:sz w:val="21"/>
          <w:szCs w:val="21"/>
          <w:lang w:eastAsia="zh-CN"/>
        </w:rPr>
      </w:pPr>
      <w:r>
        <w:rPr>
          <w:rFonts w:ascii="宋体" w:hAnsi="宋体" w:cs="宋体"/>
          <w:color w:val="000000" w:themeColor="text1"/>
          <w:sz w:val="21"/>
          <w:szCs w:val="21"/>
          <w:highlight w:val="white"/>
          <w:lang w:eastAsia="zh-CN"/>
        </w:rPr>
        <w:t>5</w:t>
      </w:r>
      <w:r>
        <w:rPr>
          <w:rFonts w:ascii="宋体" w:hAnsi="宋体" w:cs="宋体"/>
          <w:color w:val="000000" w:themeColor="text1"/>
          <w:sz w:val="21"/>
          <w:szCs w:val="21"/>
          <w:highlight w:val="white"/>
          <w:lang w:eastAsia="zh-CN"/>
        </w:rPr>
        <w:t>、在对基金份额持有人利益无实质不利影响的前提下，基金管理人可调整基金收益的分配原则和支付方式，</w:t>
      </w:r>
      <w:r>
        <w:rPr>
          <w:rFonts w:ascii="宋体" w:hAnsi="宋体" w:cs="宋体"/>
          <w:color w:val="000000" w:themeColor="text1"/>
          <w:sz w:val="21"/>
          <w:szCs w:val="21"/>
          <w:highlight w:val="white"/>
          <w:lang w:eastAsia="zh-CN"/>
        </w:rPr>
        <w:t>不需召开基金份额持有人大会审议；</w:t>
      </w:r>
    </w:p>
    <w:p w:rsidR="00F14202">
      <w:pPr>
        <w:spacing w:line="360" w:lineRule="auto"/>
        <w:ind w:firstLine="420"/>
        <w:rPr>
          <w:color w:val="000000"/>
          <w:sz w:val="21"/>
          <w:szCs w:val="21"/>
          <w:lang w:eastAsia="zh-CN"/>
        </w:rPr>
      </w:pPr>
      <w:r>
        <w:rPr>
          <w:rFonts w:ascii="宋体" w:hAnsi="宋体" w:cs="宋体"/>
          <w:color w:val="000000" w:themeColor="text1"/>
          <w:sz w:val="21"/>
          <w:szCs w:val="21"/>
          <w:highlight w:val="white"/>
          <w:lang w:eastAsia="zh-CN"/>
        </w:rPr>
        <w:t>6</w:t>
      </w:r>
      <w:r>
        <w:rPr>
          <w:rFonts w:ascii="宋体" w:hAnsi="宋体" w:cs="宋体"/>
          <w:color w:val="000000" w:themeColor="text1"/>
          <w:sz w:val="21"/>
          <w:szCs w:val="21"/>
          <w:highlight w:val="white"/>
          <w:lang w:eastAsia="zh-CN"/>
        </w:rPr>
        <w:t>、法律法规或监管机关另有规定的，从其规定。</w:t>
      </w:r>
    </w:p>
    <w:p w:rsidR="00F14202">
      <w:pPr>
        <w:spacing w:line="360" w:lineRule="auto"/>
        <w:ind w:firstLine="420"/>
        <w:rPr>
          <w:color w:val="000000"/>
          <w:sz w:val="21"/>
          <w:szCs w:val="21"/>
          <w:lang w:eastAsia="zh-CN"/>
        </w:rPr>
      </w:pP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（二）基金收益分配方案的制定和实施程序</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基金收益分配方案确定后，由基金管理人依照《信息披露办法》在规定媒介公告。</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基金管理人向基金托管人下达收益分配的付款指令，基金托管人按指令将收益分配的全部资金划入基金管理人的指定账户。</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（三）基金收益分配中发生的费用</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基金收益分配时所发生的银行转账或其他手续费用由投资者自行承担。当投资者的现金红利小于一定金额，不足以支付银行转账或其他手续费用时，基金登记机构可将基金份额持有人的现金红利自动</w:t>
      </w:r>
      <w:r>
        <w:rPr>
          <w:rFonts w:hint="eastAsia"/>
          <w:color w:val="000000" w:themeColor="text1"/>
          <w:sz w:val="21"/>
          <w:szCs w:val="21"/>
          <w:highlight w:val="white"/>
          <w:lang w:eastAsia="zh-CN"/>
        </w:rPr>
        <w:t>转为对应类别的基金份额。红利再投资的计算方法，依照《业务规则》执行。</w:t>
      </w:r>
    </w:p>
    <w:p w:rsidR="00F14202">
      <w:pPr>
        <w:spacing w:line="360" w:lineRule="auto"/>
        <w:ind w:firstLine="420"/>
        <w:rPr>
          <w:color w:val="000000"/>
          <w:sz w:val="21"/>
          <w:szCs w:val="21"/>
          <w:lang w:eastAsia="zh-CN"/>
        </w:rPr>
      </w:pPr>
    </w:p>
    <w:p w:rsidR="00F14202">
      <w:pPr>
        <w:pStyle w:val="Heading1"/>
        <w:numPr>
          <w:ilvl w:val="0"/>
          <w:numId w:val="1"/>
        </w:numPr>
        <w:spacing w:before="120" w:after="120" w:line="360" w:lineRule="auto"/>
        <w:jc w:val="center"/>
        <w:rPr>
          <w:color w:val="000000"/>
          <w:sz w:val="24"/>
          <w:szCs w:val="24"/>
        </w:rPr>
      </w:pPr>
      <w:bookmarkStart w:id="27" w:name="_Toc394474005"/>
      <w:bookmarkStart w:id="28" w:name="_Toc881140"/>
      <w:r>
        <w:rPr>
          <w:rFonts w:hint="eastAsia"/>
          <w:color w:val="000000" w:themeColor="text1"/>
          <w:sz w:val="24"/>
          <w:szCs w:val="24"/>
          <w:highlight w:val="white"/>
        </w:rPr>
        <w:t>基金信息披露</w:t>
      </w:r>
      <w:bookmarkEnd w:id="27"/>
      <w:bookmarkEnd w:id="28"/>
    </w:p>
    <w:p w:rsidR="00F14202">
      <w:pPr>
        <w:spacing w:line="360" w:lineRule="auto"/>
        <w:ind w:firstLine="420"/>
        <w:jc w:val="left"/>
        <w:rPr>
          <w:color w:val="000000"/>
          <w:sz w:val="21"/>
          <w:szCs w:val="21"/>
        </w:rPr>
      </w:pPr>
      <w:r>
        <w:rPr>
          <w:rFonts w:hint="eastAsia"/>
          <w:color w:val="000000" w:themeColor="text1"/>
          <w:sz w:val="21"/>
          <w:szCs w:val="21"/>
          <w:highlight w:val="white"/>
        </w:rPr>
        <w:t>（一）保密义务</w:t>
      </w:r>
    </w:p>
    <w:p w:rsidR="00F14202">
      <w:pPr>
        <w:spacing w:line="360" w:lineRule="auto"/>
        <w:ind w:firstLine="420"/>
        <w:jc w:val="left"/>
        <w:rPr>
          <w:color w:val="000000"/>
          <w:sz w:val="21"/>
          <w:szCs w:val="21"/>
          <w:lang w:eastAsia="zh-CN"/>
        </w:rPr>
      </w:pPr>
      <w:r>
        <w:rPr>
          <w:rFonts w:ascii="宋体" w:hAnsi="宋体" w:cs="宋体"/>
          <w:color w:val="000000" w:themeColor="text1"/>
          <w:sz w:val="21"/>
          <w:szCs w:val="21"/>
          <w:highlight w:val="white"/>
          <w:lang w:eastAsia="zh-CN"/>
        </w:rPr>
        <w:t>1</w:t>
      </w:r>
      <w:r>
        <w:rPr>
          <w:rFonts w:hint="eastAsia"/>
          <w:color w:val="000000" w:themeColor="text1"/>
          <w:sz w:val="21"/>
          <w:szCs w:val="21"/>
          <w:highlight w:val="white"/>
          <w:lang w:eastAsia="zh-CN"/>
        </w:rPr>
        <w:t>、除按照《基金法》、《基金合同》、《信息披露办法》、《流动性风险管理规定》及其他有关规定外，基金管理人和基金托管人对基金运作中产生的信息以及从对方获得的业务信息应予保密。基金管理人与基金托管人对本基金的任何信息，不得在其公开披露之前，先行对双方和基金份额持有人大会以外的任何机构、组织和个人泄露。法律法规另有规定的除外。</w:t>
      </w:r>
    </w:p>
    <w:p w:rsidR="00F14202">
      <w:pPr>
        <w:spacing w:line="360" w:lineRule="auto"/>
        <w:ind w:firstLine="420"/>
        <w:jc w:val="left"/>
        <w:rPr>
          <w:color w:val="000000"/>
          <w:sz w:val="21"/>
          <w:szCs w:val="21"/>
          <w:lang w:eastAsia="zh-CN"/>
        </w:rPr>
      </w:pPr>
      <w:r>
        <w:rPr>
          <w:rFonts w:ascii="宋体" w:hAnsi="宋体" w:cs="宋体"/>
          <w:color w:val="000000" w:themeColor="text1"/>
          <w:sz w:val="21"/>
          <w:szCs w:val="21"/>
          <w:highlight w:val="white"/>
          <w:lang w:eastAsia="zh-CN"/>
        </w:rPr>
        <w:t>2</w:t>
      </w:r>
      <w:r>
        <w:rPr>
          <w:rFonts w:hint="eastAsia"/>
          <w:color w:val="000000" w:themeColor="text1"/>
          <w:sz w:val="21"/>
          <w:szCs w:val="21"/>
          <w:highlight w:val="white"/>
          <w:lang w:eastAsia="zh-CN"/>
        </w:rPr>
        <w:t>、基金管理人和基金托管人除为履行法律法规、《基金合同》及本协议规定的义务所必要之外，</w:t>
      </w:r>
      <w:r>
        <w:rPr>
          <w:rFonts w:hint="eastAsia"/>
          <w:color w:val="000000" w:themeColor="text1"/>
          <w:sz w:val="21"/>
          <w:szCs w:val="21"/>
          <w:highlight w:val="white"/>
          <w:lang w:eastAsia="zh-CN"/>
        </w:rPr>
        <w:t>不得为其他目的使用、利用其所知悉的基金的保密信息，并且应当将保密信息限制在为履行前述义务而需要了解该保密信息的职员范围之内。但是，如下情况不应视为基金管理人或基金托管人违反保密义务：</w:t>
      </w:r>
    </w:p>
    <w:p w:rsidR="00F14202">
      <w:pPr>
        <w:spacing w:line="360" w:lineRule="auto"/>
        <w:ind w:firstLine="420"/>
        <w:jc w:val="left"/>
        <w:rPr>
          <w:color w:val="000000"/>
          <w:sz w:val="21"/>
          <w:szCs w:val="21"/>
          <w:lang w:eastAsia="zh-CN"/>
        </w:rPr>
      </w:pPr>
      <w:r>
        <w:rPr>
          <w:rFonts w:hint="eastAsia"/>
          <w:color w:val="000000" w:themeColor="text1"/>
          <w:sz w:val="21"/>
          <w:szCs w:val="21"/>
          <w:highlight w:val="white"/>
          <w:lang w:eastAsia="zh-CN"/>
        </w:rPr>
        <w:t>（</w:t>
      </w:r>
      <w:r>
        <w:rPr>
          <w:rFonts w:ascii="宋体" w:hAnsi="宋体" w:cs="宋体"/>
          <w:color w:val="000000" w:themeColor="text1"/>
          <w:sz w:val="21"/>
          <w:szCs w:val="21"/>
          <w:highlight w:val="white"/>
          <w:lang w:eastAsia="zh-CN"/>
        </w:rPr>
        <w:t>1</w:t>
      </w:r>
      <w:r>
        <w:rPr>
          <w:rFonts w:hint="eastAsia"/>
          <w:color w:val="000000" w:themeColor="text1"/>
          <w:sz w:val="21"/>
          <w:szCs w:val="21"/>
          <w:highlight w:val="white"/>
          <w:lang w:eastAsia="zh-CN"/>
        </w:rPr>
        <w:t>）非因基金管理人和基金托管人的原因导致保密信息被披露、泄露或公开；</w:t>
      </w:r>
    </w:p>
    <w:p w:rsidR="00F14202">
      <w:pPr>
        <w:spacing w:line="360" w:lineRule="auto"/>
        <w:ind w:firstLine="420"/>
        <w:jc w:val="left"/>
        <w:rPr>
          <w:color w:val="000000"/>
          <w:sz w:val="21"/>
          <w:szCs w:val="21"/>
          <w:lang w:eastAsia="zh-CN"/>
        </w:rPr>
      </w:pPr>
      <w:r>
        <w:rPr>
          <w:rFonts w:hint="eastAsia"/>
          <w:color w:val="000000" w:themeColor="text1"/>
          <w:sz w:val="21"/>
          <w:szCs w:val="21"/>
          <w:highlight w:val="white"/>
          <w:lang w:eastAsia="zh-CN"/>
        </w:rPr>
        <w:t>（</w:t>
      </w:r>
      <w:r>
        <w:rPr>
          <w:rFonts w:ascii="宋体" w:hAnsi="宋体" w:cs="宋体"/>
          <w:color w:val="000000" w:themeColor="text1"/>
          <w:sz w:val="21"/>
          <w:szCs w:val="21"/>
          <w:highlight w:val="white"/>
          <w:lang w:eastAsia="zh-CN"/>
        </w:rPr>
        <w:t>2</w:t>
      </w:r>
      <w:r>
        <w:rPr>
          <w:rFonts w:hint="eastAsia"/>
          <w:color w:val="000000" w:themeColor="text1"/>
          <w:sz w:val="21"/>
          <w:szCs w:val="21"/>
          <w:highlight w:val="white"/>
          <w:lang w:eastAsia="zh-CN"/>
        </w:rPr>
        <w:t>）基金管理人和基金托管人为遵守和服从法院判决、仲裁裁决或中国证监会等监管机构的命令、决定所做出的信息披露或公开；</w:t>
      </w:r>
    </w:p>
    <w:p w:rsidR="00F14202">
      <w:pPr>
        <w:spacing w:line="360" w:lineRule="auto"/>
        <w:ind w:firstLine="420"/>
        <w:jc w:val="left"/>
        <w:rPr>
          <w:color w:val="000000"/>
          <w:sz w:val="21"/>
          <w:szCs w:val="21"/>
          <w:lang w:eastAsia="zh-CN"/>
        </w:rPr>
      </w:pPr>
      <w:r>
        <w:rPr>
          <w:rFonts w:hint="eastAsia"/>
          <w:color w:val="000000" w:themeColor="text1"/>
          <w:sz w:val="21"/>
          <w:szCs w:val="21"/>
          <w:highlight w:val="white"/>
          <w:lang w:eastAsia="zh-CN"/>
        </w:rPr>
        <w:t>（</w:t>
      </w:r>
      <w:r>
        <w:rPr>
          <w:rFonts w:ascii="宋体" w:hAnsi="宋体" w:cs="宋体"/>
          <w:color w:val="000000" w:themeColor="text1"/>
          <w:sz w:val="21"/>
          <w:szCs w:val="21"/>
          <w:highlight w:val="white"/>
          <w:lang w:eastAsia="zh-CN"/>
        </w:rPr>
        <w:t>3</w:t>
      </w:r>
      <w:r>
        <w:rPr>
          <w:rFonts w:hint="eastAsia"/>
          <w:color w:val="000000" w:themeColor="text1"/>
          <w:sz w:val="21"/>
          <w:szCs w:val="21"/>
          <w:highlight w:val="white"/>
          <w:lang w:eastAsia="zh-CN"/>
        </w:rPr>
        <w:t>）法律法规或有权机构要求披露的；</w:t>
      </w:r>
    </w:p>
    <w:p w:rsidR="00F14202">
      <w:pPr>
        <w:spacing w:line="360" w:lineRule="auto"/>
        <w:ind w:firstLine="420"/>
        <w:jc w:val="left"/>
        <w:rPr>
          <w:color w:val="000000"/>
          <w:sz w:val="21"/>
          <w:szCs w:val="21"/>
          <w:lang w:eastAsia="zh-CN"/>
        </w:rPr>
      </w:pPr>
      <w:r>
        <w:rPr>
          <w:rFonts w:hint="eastAsia"/>
          <w:color w:val="000000" w:themeColor="text1"/>
          <w:sz w:val="21"/>
          <w:szCs w:val="21"/>
          <w:highlight w:val="white"/>
          <w:lang w:eastAsia="zh-CN"/>
        </w:rPr>
        <w:t>（</w:t>
      </w:r>
      <w:r>
        <w:rPr>
          <w:rFonts w:ascii="宋体" w:hAnsi="宋体" w:cs="宋体"/>
          <w:color w:val="000000" w:themeColor="text1"/>
          <w:sz w:val="21"/>
          <w:szCs w:val="21"/>
          <w:highlight w:val="white"/>
          <w:lang w:eastAsia="zh-CN"/>
        </w:rPr>
        <w:t>4</w:t>
      </w:r>
      <w:r>
        <w:rPr>
          <w:rFonts w:hint="eastAsia"/>
          <w:color w:val="000000" w:themeColor="text1"/>
          <w:sz w:val="21"/>
          <w:szCs w:val="21"/>
          <w:highlight w:val="white"/>
          <w:lang w:eastAsia="zh-CN"/>
        </w:rPr>
        <w:t>）因不可抗力发生信息披露或公开的。</w:t>
      </w:r>
    </w:p>
    <w:p w:rsidR="00F14202">
      <w:pPr>
        <w:spacing w:line="360" w:lineRule="auto"/>
        <w:ind w:firstLine="420"/>
        <w:jc w:val="left"/>
        <w:rPr>
          <w:color w:val="000000"/>
          <w:sz w:val="21"/>
          <w:szCs w:val="21"/>
          <w:lang w:eastAsia="zh-CN"/>
        </w:rPr>
      </w:pPr>
      <w:r>
        <w:rPr>
          <w:rFonts w:hint="eastAsia"/>
          <w:color w:val="000000" w:themeColor="text1"/>
          <w:sz w:val="21"/>
          <w:szCs w:val="21"/>
          <w:highlight w:val="white"/>
          <w:lang w:eastAsia="zh-CN"/>
        </w:rPr>
        <w:t>（二）信息披露的内容</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基金的信息披露内容主要包括基金招募说明书、《基金合同》、托管协议、基金产品资料概要、基金份额发售公告、《基金合同》生效公告、基金资产净值、基金份额净值、基金份额申购、赎回价格、基金定期报告（包括基金年度报告、基金中期报告和基金季度报告）、临时报告、澄清公告、基金份额持有人大会决议及中国证监会规定的其他信息。基金年度报告需经符合《证券法》规定的会计师事务所审计后，方可披露。</w:t>
      </w:r>
    </w:p>
    <w:p w:rsidR="00F14202">
      <w:pPr>
        <w:spacing w:line="360" w:lineRule="auto"/>
        <w:ind w:firstLine="420"/>
        <w:jc w:val="left"/>
        <w:rPr>
          <w:color w:val="000000"/>
          <w:sz w:val="21"/>
          <w:szCs w:val="21"/>
          <w:lang w:eastAsia="zh-CN"/>
        </w:rPr>
      </w:pPr>
      <w:r>
        <w:rPr>
          <w:rFonts w:hint="eastAsia"/>
          <w:color w:val="000000" w:themeColor="text1"/>
          <w:sz w:val="21"/>
          <w:szCs w:val="21"/>
          <w:highlight w:val="white"/>
          <w:lang w:eastAsia="zh-CN"/>
        </w:rPr>
        <w:t>（三）基金管理人和基金托管人在信息披露中的职责和信息披露程序</w:t>
      </w:r>
    </w:p>
    <w:p w:rsidR="00F14202">
      <w:pPr>
        <w:spacing w:line="360" w:lineRule="auto"/>
        <w:ind w:firstLine="420"/>
        <w:jc w:val="left"/>
        <w:rPr>
          <w:color w:val="000000"/>
          <w:sz w:val="21"/>
          <w:szCs w:val="21"/>
          <w:lang w:eastAsia="zh-CN"/>
        </w:rPr>
      </w:pPr>
      <w:r>
        <w:rPr>
          <w:rFonts w:ascii="宋体" w:hAnsi="宋体" w:cs="宋体"/>
          <w:color w:val="000000" w:themeColor="text1"/>
          <w:sz w:val="21"/>
          <w:szCs w:val="21"/>
          <w:highlight w:val="white"/>
          <w:lang w:eastAsia="zh-CN"/>
        </w:rPr>
        <w:t>1</w:t>
      </w:r>
      <w:r>
        <w:rPr>
          <w:rFonts w:hint="eastAsia"/>
          <w:color w:val="000000" w:themeColor="text1"/>
          <w:sz w:val="21"/>
          <w:szCs w:val="21"/>
          <w:highlight w:val="white"/>
          <w:lang w:eastAsia="zh-CN"/>
        </w:rPr>
        <w:t>、职责</w:t>
      </w:r>
    </w:p>
    <w:p w:rsidR="00F14202">
      <w:pPr>
        <w:spacing w:line="360" w:lineRule="auto"/>
        <w:ind w:firstLine="420"/>
        <w:jc w:val="left"/>
        <w:rPr>
          <w:color w:val="000000"/>
          <w:sz w:val="21"/>
          <w:szCs w:val="21"/>
          <w:lang w:eastAsia="zh-CN"/>
        </w:rPr>
      </w:pPr>
      <w:r>
        <w:rPr>
          <w:rFonts w:hint="eastAsia"/>
          <w:color w:val="000000" w:themeColor="text1"/>
          <w:sz w:val="21"/>
          <w:szCs w:val="21"/>
          <w:highlight w:val="white"/>
          <w:lang w:eastAsia="zh-CN"/>
        </w:rPr>
        <w:t>基金托管人和基金管理人在信息披露过程中应以保护基金份额持有人利益</w:t>
      </w:r>
      <w:r>
        <w:rPr>
          <w:rFonts w:hint="eastAsia"/>
          <w:color w:val="000000" w:themeColor="text1"/>
          <w:sz w:val="21"/>
          <w:szCs w:val="21"/>
          <w:highlight w:val="white"/>
          <w:lang w:eastAsia="zh-CN"/>
        </w:rPr>
        <w:t>为宗旨，诚实信用，严守秘密。基金管理人和基金托管人应根据相关法律法规、《基金合同》的规定各自承担相应的信息披露职责。基金管理人负责办理与基金有关的信息披露事宜，基金托管人应当按照相关法律法规和《基金合同》的约定，对于应由基金托管人复核的事项进行复核，基金托管人复核无误后，由基金管理人予以公布。</w:t>
      </w:r>
    </w:p>
    <w:p w:rsidR="00F14202">
      <w:pPr>
        <w:spacing w:line="360" w:lineRule="auto"/>
        <w:ind w:firstLine="420"/>
        <w:jc w:val="left"/>
        <w:rPr>
          <w:color w:val="000000"/>
          <w:sz w:val="21"/>
          <w:szCs w:val="21"/>
          <w:lang w:eastAsia="zh-CN"/>
        </w:rPr>
      </w:pPr>
      <w:r>
        <w:rPr>
          <w:rFonts w:hint="eastAsia"/>
          <w:color w:val="000000" w:themeColor="text1"/>
          <w:sz w:val="21"/>
          <w:szCs w:val="21"/>
          <w:highlight w:val="white"/>
          <w:lang w:eastAsia="zh-CN"/>
        </w:rPr>
        <w:t>基金管理人和基金托管人应积极配合、互相监督，保证按照法定的方式和时限履行信息披露义务。</w:t>
      </w:r>
    </w:p>
    <w:p w:rsidR="00F14202">
      <w:pPr>
        <w:spacing w:line="360" w:lineRule="auto"/>
        <w:ind w:firstLine="420"/>
        <w:jc w:val="left"/>
        <w:rPr>
          <w:color w:val="000000"/>
          <w:sz w:val="21"/>
          <w:szCs w:val="21"/>
          <w:lang w:eastAsia="zh-CN"/>
        </w:rPr>
      </w:pPr>
      <w:r>
        <w:rPr>
          <w:rFonts w:hint="eastAsia"/>
          <w:color w:val="000000" w:themeColor="text1"/>
          <w:sz w:val="21"/>
          <w:szCs w:val="21"/>
          <w:highlight w:val="white"/>
          <w:lang w:eastAsia="zh-CN"/>
        </w:rPr>
        <w:t>基金管理人和基金托管人应当在中国证监会规定时间内，将应予披露的基金信息通过规定媒介披露。</w:t>
      </w:r>
    </w:p>
    <w:p w:rsidR="00F14202">
      <w:pPr>
        <w:spacing w:line="360" w:lineRule="auto"/>
        <w:ind w:firstLine="420"/>
        <w:jc w:val="left"/>
        <w:rPr>
          <w:color w:val="000000"/>
          <w:sz w:val="21"/>
          <w:szCs w:val="21"/>
          <w:lang w:eastAsia="zh-CN"/>
        </w:rPr>
      </w:pPr>
      <w:r>
        <w:rPr>
          <w:rFonts w:hint="eastAsia"/>
          <w:color w:val="000000" w:themeColor="text1"/>
          <w:sz w:val="21"/>
          <w:szCs w:val="21"/>
          <w:highlight w:val="white"/>
          <w:lang w:eastAsia="zh-CN"/>
        </w:rPr>
        <w:t>当出现下述情况时，基金管理人和基金托管</w:t>
      </w:r>
      <w:r>
        <w:rPr>
          <w:rFonts w:hint="eastAsia"/>
          <w:color w:val="000000" w:themeColor="text1"/>
          <w:sz w:val="21"/>
          <w:szCs w:val="21"/>
          <w:highlight w:val="white"/>
          <w:lang w:eastAsia="zh-CN"/>
        </w:rPr>
        <w:t>人可暂停或延迟披露基金相关信息：</w:t>
      </w:r>
    </w:p>
    <w:p w:rsidR="00F14202">
      <w:pPr>
        <w:spacing w:line="360" w:lineRule="auto"/>
        <w:ind w:firstLine="420"/>
        <w:jc w:val="left"/>
        <w:rPr>
          <w:color w:val="000000"/>
          <w:sz w:val="21"/>
          <w:szCs w:val="21"/>
          <w:lang w:eastAsia="zh-CN"/>
        </w:rPr>
      </w:pPr>
      <w:r>
        <w:rPr>
          <w:rFonts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1</w:t>
      </w:r>
      <w:r>
        <w:rPr>
          <w:rFonts w:hint="eastAsia"/>
          <w:color w:val="000000" w:themeColor="text1"/>
          <w:sz w:val="21"/>
          <w:szCs w:val="21"/>
          <w:highlight w:val="white"/>
          <w:lang w:eastAsia="zh-CN"/>
        </w:rPr>
        <w:t>）基金投资所涉及的证券、期货交易市场遇法定节假日或因其他原因暂停营业时；</w:t>
      </w:r>
    </w:p>
    <w:p w:rsidR="00F14202">
      <w:pPr>
        <w:spacing w:line="360" w:lineRule="auto"/>
        <w:ind w:firstLine="420"/>
        <w:jc w:val="left"/>
        <w:rPr>
          <w:color w:val="000000"/>
          <w:sz w:val="21"/>
          <w:szCs w:val="21"/>
          <w:lang w:eastAsia="zh-CN"/>
        </w:rPr>
      </w:pPr>
      <w:r>
        <w:rPr>
          <w:rFonts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2</w:t>
      </w:r>
      <w:r>
        <w:rPr>
          <w:rFonts w:hint="eastAsia"/>
          <w:color w:val="000000" w:themeColor="text1"/>
          <w:sz w:val="21"/>
          <w:szCs w:val="21"/>
          <w:highlight w:val="white"/>
          <w:lang w:eastAsia="zh-CN"/>
        </w:rPr>
        <w:t>）因不可抗力或其他情形致使基金管理人、基金托管人无法准确评估基金资产价值时；</w:t>
      </w:r>
    </w:p>
    <w:p w:rsidR="00F14202">
      <w:pPr>
        <w:spacing w:line="360" w:lineRule="auto"/>
        <w:ind w:firstLine="480"/>
        <w:rPr>
          <w:color w:val="000000"/>
          <w:sz w:val="21"/>
          <w:szCs w:val="21"/>
          <w:lang w:eastAsia="zh-CN"/>
        </w:rPr>
      </w:pPr>
      <w:r>
        <w:rPr>
          <w:rFonts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3</w:t>
      </w:r>
      <w:r>
        <w:rPr>
          <w:rFonts w:hint="eastAsia"/>
          <w:color w:val="000000" w:themeColor="text1"/>
          <w:sz w:val="21"/>
          <w:szCs w:val="21"/>
          <w:highlight w:val="white"/>
          <w:lang w:eastAsia="zh-CN"/>
        </w:rPr>
        <w:t>）当特定资产占前一估值日基金资产净值</w:t>
      </w:r>
      <w:r>
        <w:rPr>
          <w:rFonts w:ascii="宋体" w:hAnsi="宋体" w:cs="宋体"/>
          <w:color w:val="000000" w:themeColor="text1"/>
          <w:sz w:val="21"/>
          <w:szCs w:val="21"/>
          <w:highlight w:val="white"/>
          <w:lang w:eastAsia="zh-CN"/>
        </w:rPr>
        <w:t>50%</w:t>
      </w:r>
      <w:r>
        <w:rPr>
          <w:rFonts w:hint="eastAsia"/>
          <w:color w:val="000000" w:themeColor="text1"/>
          <w:sz w:val="21"/>
          <w:szCs w:val="21"/>
          <w:highlight w:val="white"/>
          <w:lang w:eastAsia="zh-CN"/>
        </w:rPr>
        <w:t>以上的，经与基金托管人协商确认后，基金管理人应当暂停估值；</w:t>
      </w:r>
    </w:p>
    <w:p w:rsidR="00F14202">
      <w:pPr>
        <w:spacing w:line="360" w:lineRule="auto"/>
        <w:ind w:firstLine="420"/>
        <w:jc w:val="left"/>
        <w:rPr>
          <w:color w:val="000000"/>
          <w:sz w:val="21"/>
          <w:szCs w:val="21"/>
          <w:lang w:eastAsia="zh-CN"/>
        </w:rPr>
      </w:pPr>
      <w:r>
        <w:rPr>
          <w:rFonts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4</w:t>
      </w:r>
      <w:r>
        <w:rPr>
          <w:rFonts w:hint="eastAsia"/>
          <w:color w:val="000000" w:themeColor="text1"/>
          <w:sz w:val="21"/>
          <w:szCs w:val="21"/>
          <w:highlight w:val="white"/>
          <w:lang w:eastAsia="zh-CN"/>
        </w:rPr>
        <w:t>）法律法规规定、中国证监会或《基金合同》认定的其他情形。</w:t>
      </w:r>
    </w:p>
    <w:p w:rsidR="00F14202">
      <w:pPr>
        <w:spacing w:line="360" w:lineRule="auto"/>
        <w:ind w:firstLine="420"/>
        <w:jc w:val="left"/>
        <w:rPr>
          <w:color w:val="000000"/>
          <w:sz w:val="21"/>
          <w:szCs w:val="21"/>
          <w:lang w:eastAsia="zh-CN"/>
        </w:rPr>
      </w:pPr>
      <w:r>
        <w:rPr>
          <w:rFonts w:ascii="宋体" w:hAnsi="宋体" w:cs="宋体"/>
          <w:color w:val="000000" w:themeColor="text1"/>
          <w:sz w:val="21"/>
          <w:szCs w:val="21"/>
          <w:highlight w:val="white"/>
          <w:lang w:eastAsia="zh-CN"/>
        </w:rPr>
        <w:t>2</w:t>
      </w:r>
      <w:r>
        <w:rPr>
          <w:rFonts w:hint="eastAsia"/>
          <w:color w:val="000000" w:themeColor="text1"/>
          <w:sz w:val="21"/>
          <w:szCs w:val="21"/>
          <w:highlight w:val="white"/>
          <w:lang w:eastAsia="zh-CN"/>
        </w:rPr>
        <w:t>、程序</w:t>
      </w:r>
    </w:p>
    <w:p w:rsidR="00F14202">
      <w:pPr>
        <w:spacing w:line="360" w:lineRule="auto"/>
        <w:ind w:firstLine="420"/>
        <w:jc w:val="left"/>
        <w:rPr>
          <w:color w:val="000000"/>
          <w:sz w:val="21"/>
          <w:szCs w:val="21"/>
          <w:lang w:eastAsia="zh-CN"/>
        </w:rPr>
      </w:pPr>
      <w:r>
        <w:rPr>
          <w:rFonts w:hint="eastAsia"/>
          <w:color w:val="000000" w:themeColor="text1"/>
          <w:sz w:val="21"/>
          <w:szCs w:val="21"/>
          <w:highlight w:val="white"/>
          <w:lang w:eastAsia="zh-CN"/>
        </w:rPr>
        <w:t>基金托管人应当按照相关法律、行政法规、中国证监会的规定和《基金合同》的约定，对基金管理人编制的基金资产净值、基金份额净值、基金业绩表现数据、</w:t>
      </w:r>
      <w:r>
        <w:rPr>
          <w:rFonts w:hint="eastAsia"/>
          <w:color w:val="000000" w:themeColor="text1"/>
          <w:sz w:val="21"/>
          <w:szCs w:val="21"/>
          <w:highlight w:val="white"/>
          <w:lang w:eastAsia="zh-CN"/>
        </w:rPr>
        <w:t>基金定期报告和更新的招募说明书等公开披露的相关基金信息进行复核、审查，并向基金管理人出具书面文件或者盖章确认。</w:t>
      </w:r>
    </w:p>
    <w:p w:rsidR="00F14202">
      <w:pPr>
        <w:spacing w:line="360" w:lineRule="auto"/>
        <w:ind w:firstLine="420"/>
        <w:jc w:val="left"/>
        <w:rPr>
          <w:color w:val="000000"/>
          <w:sz w:val="21"/>
          <w:szCs w:val="21"/>
          <w:lang w:eastAsia="zh-CN"/>
        </w:rPr>
      </w:pPr>
      <w:r>
        <w:rPr>
          <w:rFonts w:hint="eastAsia"/>
          <w:color w:val="000000" w:themeColor="text1"/>
          <w:sz w:val="21"/>
          <w:szCs w:val="21"/>
          <w:highlight w:val="white"/>
          <w:lang w:eastAsia="zh-CN"/>
        </w:rPr>
        <w:t>基金年度报告中的财务会计报告必须经符合《证券法》规定的会计师事务所审计。</w:t>
      </w:r>
    </w:p>
    <w:p w:rsidR="00F14202">
      <w:pPr>
        <w:spacing w:line="360" w:lineRule="auto"/>
        <w:ind w:firstLine="420"/>
        <w:jc w:val="left"/>
        <w:rPr>
          <w:color w:val="000000"/>
          <w:sz w:val="21"/>
          <w:szCs w:val="21"/>
          <w:lang w:eastAsia="zh-CN"/>
        </w:rPr>
      </w:pPr>
      <w:r>
        <w:rPr>
          <w:rFonts w:ascii="宋体" w:hAnsi="宋体" w:cs="宋体"/>
          <w:color w:val="000000" w:themeColor="text1"/>
          <w:sz w:val="21"/>
          <w:szCs w:val="21"/>
          <w:highlight w:val="white"/>
          <w:lang w:eastAsia="zh-CN"/>
        </w:rPr>
        <w:t>3</w:t>
      </w:r>
      <w:r>
        <w:rPr>
          <w:rFonts w:hint="eastAsia"/>
          <w:color w:val="000000" w:themeColor="text1"/>
          <w:sz w:val="21"/>
          <w:szCs w:val="21"/>
          <w:highlight w:val="white"/>
          <w:lang w:eastAsia="zh-CN"/>
        </w:rPr>
        <w:t>、信息文本的存放与备查</w:t>
      </w:r>
    </w:p>
    <w:p w:rsidR="00F14202">
      <w:pPr>
        <w:spacing w:line="360" w:lineRule="auto"/>
        <w:ind w:firstLine="420"/>
        <w:jc w:val="left"/>
        <w:rPr>
          <w:color w:val="000000"/>
          <w:sz w:val="21"/>
          <w:szCs w:val="21"/>
          <w:lang w:eastAsia="zh-CN"/>
        </w:rPr>
      </w:pPr>
      <w:r>
        <w:rPr>
          <w:rFonts w:hint="eastAsia"/>
          <w:color w:val="000000" w:themeColor="text1"/>
          <w:sz w:val="21"/>
          <w:szCs w:val="21"/>
          <w:highlight w:val="white"/>
          <w:lang w:eastAsia="zh-CN"/>
        </w:rPr>
        <w:t>依法必须披露的信息发布后，基金管理人、基金托管人应当按照相关法律法规规定将信息置备于各自办公场所，供社会公众查阅、复制。基金管理人、基金托管人应为文本存放、基金份额持有人查询有关文件提供必要的场所和其他便利。</w:t>
      </w:r>
    </w:p>
    <w:p w:rsidR="00F14202">
      <w:pPr>
        <w:spacing w:line="360" w:lineRule="auto"/>
        <w:ind w:firstLine="420"/>
        <w:jc w:val="left"/>
        <w:rPr>
          <w:color w:val="000000"/>
          <w:sz w:val="21"/>
          <w:szCs w:val="21"/>
          <w:lang w:eastAsia="zh-CN"/>
        </w:rPr>
      </w:pPr>
      <w:r>
        <w:rPr>
          <w:rFonts w:hint="eastAsia"/>
          <w:color w:val="000000" w:themeColor="text1"/>
          <w:sz w:val="21"/>
          <w:szCs w:val="21"/>
          <w:highlight w:val="white"/>
          <w:lang w:eastAsia="zh-CN"/>
        </w:rPr>
        <w:t>基金管理人和基金托管人应保证文本的内容与所公告的内容完全一致。</w:t>
      </w:r>
    </w:p>
    <w:p w:rsidR="00F14202">
      <w:pPr>
        <w:spacing w:line="360" w:lineRule="auto"/>
        <w:ind w:firstLine="420"/>
        <w:jc w:val="left"/>
        <w:rPr>
          <w:color w:val="000000"/>
          <w:sz w:val="21"/>
          <w:szCs w:val="21"/>
          <w:lang w:eastAsia="zh-CN"/>
        </w:rPr>
      </w:pPr>
      <w:r>
        <w:rPr>
          <w:rFonts w:hint="eastAsia"/>
          <w:color w:val="000000" w:themeColor="text1"/>
          <w:sz w:val="21"/>
          <w:szCs w:val="21"/>
          <w:highlight w:val="white"/>
          <w:lang w:eastAsia="zh-CN"/>
        </w:rPr>
        <w:t>（四）基金托管人报告</w:t>
      </w:r>
    </w:p>
    <w:p w:rsidR="00F14202">
      <w:pPr>
        <w:spacing w:line="360" w:lineRule="auto"/>
        <w:ind w:firstLine="420"/>
        <w:jc w:val="left"/>
        <w:rPr>
          <w:color w:val="000000"/>
          <w:sz w:val="21"/>
          <w:szCs w:val="21"/>
          <w:lang w:eastAsia="zh-CN"/>
        </w:rPr>
      </w:pPr>
      <w:r>
        <w:rPr>
          <w:rFonts w:hint="eastAsia"/>
          <w:color w:val="000000" w:themeColor="text1"/>
          <w:sz w:val="21"/>
          <w:szCs w:val="21"/>
          <w:highlight w:val="white"/>
          <w:lang w:eastAsia="zh-CN"/>
        </w:rPr>
        <w:t>基金</w:t>
      </w:r>
      <w:r>
        <w:rPr>
          <w:rFonts w:hint="eastAsia"/>
          <w:color w:val="000000" w:themeColor="text1"/>
          <w:sz w:val="21"/>
          <w:szCs w:val="21"/>
          <w:highlight w:val="white"/>
          <w:lang w:eastAsia="zh-CN"/>
        </w:rPr>
        <w:t>托管人应按《基金法》、《信息披露办法》和其他有关法律法规的规定于上半年度结束后两个月内、每年结束之日起三个月内在基金中期报告及年度报告中分别出具托管人报告。</w:t>
      </w:r>
    </w:p>
    <w:p w:rsidR="00F14202">
      <w:pPr>
        <w:pStyle w:val="Heading1"/>
        <w:numPr>
          <w:ilvl w:val="0"/>
          <w:numId w:val="1"/>
        </w:numPr>
        <w:spacing w:before="120" w:after="120" w:line="360" w:lineRule="auto"/>
        <w:jc w:val="center"/>
        <w:rPr>
          <w:b w:val="0"/>
          <w:color w:val="000000"/>
          <w:sz w:val="24"/>
          <w:szCs w:val="24"/>
        </w:rPr>
      </w:pPr>
      <w:bookmarkStart w:id="29" w:name="_Toc394474006"/>
      <w:bookmarkStart w:id="30" w:name="_Toc881141"/>
      <w:r>
        <w:rPr>
          <w:rFonts w:hint="eastAsia"/>
          <w:color w:val="000000" w:themeColor="text1"/>
          <w:sz w:val="24"/>
          <w:szCs w:val="24"/>
          <w:highlight w:val="white"/>
        </w:rPr>
        <w:t>基金费用</w:t>
      </w:r>
      <w:bookmarkEnd w:id="29"/>
      <w:bookmarkEnd w:id="30"/>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（一）基金管理费的计提比例和计提方法</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本基金投资于本基金管理人所管理的公开募集证券投资基金的部分不收取管理费。本基金管理费按前一日基金资产净值扣除前一日所持有本基金管理人管理的其他基金公允价值后的余额（若为负数，则取</w:t>
      </w:r>
      <w:r>
        <w:rPr>
          <w:rFonts w:ascii="宋体" w:hAnsi="宋体" w:cs="宋体" w:hint="eastAsia"/>
          <w:color w:val="000000" w:themeColor="text1"/>
          <w:sz w:val="21"/>
          <w:szCs w:val="21"/>
          <w:highlight w:val="white"/>
          <w:lang w:eastAsia="zh-CN"/>
        </w:rPr>
        <w:t>0</w:t>
      </w:r>
      <w:r>
        <w:rPr>
          <w:rFonts w:hint="eastAsia"/>
          <w:color w:val="000000" w:themeColor="text1"/>
          <w:sz w:val="21"/>
          <w:szCs w:val="21"/>
          <w:highlight w:val="white"/>
          <w:lang w:eastAsia="zh-CN"/>
        </w:rPr>
        <w:t>）的</w:t>
      </w:r>
      <w:r>
        <w:rPr>
          <w:rFonts w:ascii="宋体" w:hAnsi="宋体" w:cs="宋体" w:hint="eastAsia"/>
          <w:color w:val="000000" w:themeColor="text1"/>
          <w:sz w:val="21"/>
          <w:szCs w:val="21"/>
          <w:highlight w:val="white"/>
          <w:lang w:eastAsia="zh-CN"/>
        </w:rPr>
        <w:t>0.40%</w:t>
      </w:r>
      <w:r>
        <w:rPr>
          <w:rFonts w:hint="eastAsia"/>
          <w:color w:val="000000" w:themeColor="text1"/>
          <w:sz w:val="21"/>
          <w:szCs w:val="21"/>
          <w:highlight w:val="white"/>
          <w:lang w:eastAsia="zh-CN"/>
        </w:rPr>
        <w:t>年费率计提。管理费的计算方法如下：</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H</w:t>
      </w:r>
      <w:r>
        <w:rPr>
          <w:rFonts w:ascii="宋体" w:hAnsi="宋体" w:cs="宋体"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E</w:t>
      </w:r>
      <w:r>
        <w:rPr>
          <w:rFonts w:ascii="宋体" w:hAnsi="宋体" w:cs="宋体"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0.40%</w:t>
      </w:r>
      <w:r>
        <w:rPr>
          <w:rFonts w:ascii="宋体" w:hAnsi="宋体" w:cs="宋体" w:hint="eastAsia"/>
          <w:color w:val="000000" w:themeColor="text1"/>
          <w:sz w:val="21"/>
          <w:szCs w:val="21"/>
          <w:highlight w:val="white"/>
          <w:lang w:eastAsia="zh-CN"/>
        </w:rPr>
        <w:t>÷当年天数</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H</w:t>
      </w:r>
      <w:r>
        <w:rPr>
          <w:rFonts w:ascii="宋体" w:hAnsi="宋体" w:cs="宋体" w:hint="eastAsia"/>
          <w:color w:val="000000" w:themeColor="text1"/>
          <w:sz w:val="21"/>
          <w:szCs w:val="21"/>
          <w:highlight w:val="white"/>
          <w:lang w:eastAsia="zh-CN"/>
        </w:rPr>
        <w:t>为每日应计提的基金管理费</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E</w:t>
      </w:r>
      <w:r>
        <w:rPr>
          <w:rFonts w:ascii="宋体" w:hAnsi="宋体" w:cs="宋体" w:hint="eastAsia"/>
          <w:color w:val="000000" w:themeColor="text1"/>
          <w:sz w:val="21"/>
          <w:szCs w:val="21"/>
          <w:highlight w:val="white"/>
          <w:lang w:eastAsia="zh-CN"/>
        </w:rPr>
        <w:t>为前一日的基金资产净值扣除前一日所持有的基金管理人管理的其他基金公允价值后的余额，若为负数，则</w:t>
      </w:r>
      <w:r>
        <w:rPr>
          <w:rFonts w:ascii="宋体" w:hAnsi="宋体" w:cs="宋体" w:hint="eastAsia"/>
          <w:color w:val="000000" w:themeColor="text1"/>
          <w:sz w:val="21"/>
          <w:szCs w:val="21"/>
          <w:highlight w:val="white"/>
          <w:lang w:eastAsia="zh-CN"/>
        </w:rPr>
        <w:t>E</w:t>
      </w:r>
      <w:r>
        <w:rPr>
          <w:rFonts w:ascii="宋体" w:hAnsi="宋体" w:cs="宋体" w:hint="eastAsia"/>
          <w:color w:val="000000" w:themeColor="text1"/>
          <w:sz w:val="21"/>
          <w:szCs w:val="21"/>
          <w:highlight w:val="white"/>
          <w:lang w:eastAsia="zh-CN"/>
        </w:rPr>
        <w:t>取</w:t>
      </w:r>
      <w:r>
        <w:rPr>
          <w:rFonts w:ascii="宋体" w:hAnsi="宋体" w:cs="宋体" w:hint="eastAsia"/>
          <w:color w:val="000000" w:themeColor="text1"/>
          <w:sz w:val="21"/>
          <w:szCs w:val="21"/>
          <w:highlight w:val="white"/>
          <w:lang w:eastAsia="zh-CN"/>
        </w:rPr>
        <w:t>0</w:t>
      </w:r>
    </w:p>
    <w:p w:rsidR="00F14202">
      <w:pPr>
        <w:spacing w:line="360" w:lineRule="auto"/>
        <w:ind w:firstLine="420"/>
        <w:rPr>
          <w:color w:val="000000"/>
          <w:sz w:val="21"/>
          <w:szCs w:val="21"/>
          <w:lang w:eastAsia="zh-CN"/>
        </w:rPr>
      </w:pP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基金管理费每日计提，逐日累计至每月月末，按月支付，</w:t>
      </w:r>
      <w:r>
        <w:rPr>
          <w:color w:val="000000" w:themeColor="text1"/>
          <w:sz w:val="21"/>
          <w:szCs w:val="21"/>
          <w:highlight w:val="white"/>
          <w:lang w:eastAsia="zh-CN"/>
        </w:rPr>
        <w:t>由基金托管人根据与基金管理人核</w:t>
      </w:r>
      <w:r>
        <w:rPr>
          <w:rFonts w:hint="eastAsia"/>
          <w:color w:val="000000" w:themeColor="text1"/>
          <w:sz w:val="21"/>
          <w:szCs w:val="21"/>
          <w:highlight w:val="white"/>
          <w:lang w:eastAsia="zh-CN"/>
        </w:rPr>
        <w:t>对</w:t>
      </w:r>
      <w:r>
        <w:rPr>
          <w:color w:val="000000" w:themeColor="text1"/>
          <w:sz w:val="21"/>
          <w:szCs w:val="21"/>
          <w:highlight w:val="white"/>
          <w:lang w:eastAsia="zh-CN"/>
        </w:rPr>
        <w:t>一致的</w:t>
      </w:r>
      <w:r>
        <w:rPr>
          <w:rFonts w:hint="eastAsia"/>
          <w:color w:val="000000" w:themeColor="text1"/>
          <w:sz w:val="21"/>
          <w:szCs w:val="21"/>
          <w:highlight w:val="white"/>
          <w:lang w:eastAsia="zh-CN"/>
        </w:rPr>
        <w:t>财务</w:t>
      </w:r>
      <w:r>
        <w:rPr>
          <w:color w:val="000000" w:themeColor="text1"/>
          <w:sz w:val="21"/>
          <w:szCs w:val="21"/>
          <w:highlight w:val="white"/>
          <w:lang w:eastAsia="zh-CN"/>
        </w:rPr>
        <w:t>数据，自</w:t>
      </w:r>
      <w:r>
        <w:rPr>
          <w:rFonts w:hint="eastAsia"/>
          <w:color w:val="000000" w:themeColor="text1"/>
          <w:sz w:val="21"/>
          <w:szCs w:val="21"/>
          <w:highlight w:val="white"/>
          <w:lang w:eastAsia="zh-CN"/>
        </w:rPr>
        <w:t>动</w:t>
      </w:r>
      <w:r>
        <w:rPr>
          <w:color w:val="000000" w:themeColor="text1"/>
          <w:sz w:val="21"/>
          <w:szCs w:val="21"/>
          <w:highlight w:val="white"/>
          <w:lang w:eastAsia="zh-CN"/>
        </w:rPr>
        <w:t>在月初</w:t>
      </w:r>
      <w:r>
        <w:rPr>
          <w:rFonts w:ascii="宋体" w:hAnsi="宋体" w:cs="宋体"/>
          <w:color w:val="000000" w:themeColor="text1"/>
          <w:sz w:val="21"/>
          <w:szCs w:val="21"/>
          <w:highlight w:val="white"/>
          <w:lang w:eastAsia="zh-CN"/>
        </w:rPr>
        <w:t>5</w:t>
      </w:r>
      <w:r>
        <w:rPr>
          <w:color w:val="000000" w:themeColor="text1"/>
          <w:sz w:val="21"/>
          <w:szCs w:val="21"/>
          <w:highlight w:val="white"/>
          <w:lang w:eastAsia="zh-CN"/>
        </w:rPr>
        <w:t>个工作日内、按照指定的</w:t>
      </w:r>
      <w:r>
        <w:rPr>
          <w:rFonts w:hint="eastAsia"/>
          <w:color w:val="000000" w:themeColor="text1"/>
          <w:sz w:val="21"/>
          <w:szCs w:val="21"/>
          <w:highlight w:val="white"/>
          <w:lang w:eastAsia="zh-CN"/>
        </w:rPr>
        <w:t>账户</w:t>
      </w:r>
      <w:r>
        <w:rPr>
          <w:color w:val="000000" w:themeColor="text1"/>
          <w:sz w:val="21"/>
          <w:szCs w:val="21"/>
          <w:highlight w:val="white"/>
          <w:lang w:eastAsia="zh-CN"/>
        </w:rPr>
        <w:t>路径</w:t>
      </w:r>
      <w:r>
        <w:rPr>
          <w:rFonts w:hint="eastAsia"/>
          <w:color w:val="000000" w:themeColor="text1"/>
          <w:sz w:val="21"/>
          <w:szCs w:val="21"/>
          <w:highlight w:val="white"/>
          <w:lang w:eastAsia="zh-CN"/>
        </w:rPr>
        <w:t>进</w:t>
      </w:r>
      <w:r>
        <w:rPr>
          <w:color w:val="000000" w:themeColor="text1"/>
          <w:sz w:val="21"/>
          <w:szCs w:val="21"/>
          <w:highlight w:val="white"/>
          <w:lang w:eastAsia="zh-CN"/>
        </w:rPr>
        <w:t>行</w:t>
      </w:r>
      <w:r>
        <w:rPr>
          <w:rFonts w:hint="eastAsia"/>
          <w:color w:val="000000" w:themeColor="text1"/>
          <w:sz w:val="21"/>
          <w:szCs w:val="21"/>
          <w:highlight w:val="white"/>
          <w:lang w:eastAsia="zh-CN"/>
        </w:rPr>
        <w:t>资</w:t>
      </w:r>
      <w:r>
        <w:rPr>
          <w:color w:val="000000" w:themeColor="text1"/>
          <w:sz w:val="21"/>
          <w:szCs w:val="21"/>
          <w:highlight w:val="white"/>
          <w:lang w:eastAsia="zh-CN"/>
        </w:rPr>
        <w:t>金支付，基金管理人无需再出具</w:t>
      </w:r>
      <w:r>
        <w:rPr>
          <w:rFonts w:hint="eastAsia"/>
          <w:color w:val="000000" w:themeColor="text1"/>
          <w:sz w:val="21"/>
          <w:szCs w:val="21"/>
          <w:highlight w:val="white"/>
          <w:lang w:eastAsia="zh-CN"/>
        </w:rPr>
        <w:t>资</w:t>
      </w:r>
      <w:r>
        <w:rPr>
          <w:color w:val="000000" w:themeColor="text1"/>
          <w:sz w:val="21"/>
          <w:szCs w:val="21"/>
          <w:highlight w:val="white"/>
          <w:lang w:eastAsia="zh-CN"/>
        </w:rPr>
        <w:t>金划</w:t>
      </w:r>
      <w:r>
        <w:rPr>
          <w:rFonts w:hint="eastAsia"/>
          <w:color w:val="000000" w:themeColor="text1"/>
          <w:sz w:val="21"/>
          <w:szCs w:val="21"/>
          <w:highlight w:val="white"/>
          <w:lang w:eastAsia="zh-CN"/>
        </w:rPr>
        <w:t>拨</w:t>
      </w:r>
      <w:r>
        <w:rPr>
          <w:color w:val="000000" w:themeColor="text1"/>
          <w:sz w:val="21"/>
          <w:szCs w:val="21"/>
          <w:highlight w:val="white"/>
          <w:lang w:eastAsia="zh-CN"/>
        </w:rPr>
        <w:t>指令</w:t>
      </w:r>
      <w:r>
        <w:rPr>
          <w:rFonts w:hint="eastAsia"/>
          <w:color w:val="000000" w:themeColor="text1"/>
          <w:sz w:val="21"/>
          <w:szCs w:val="21"/>
          <w:highlight w:val="white"/>
          <w:lang w:eastAsia="zh-CN"/>
        </w:rPr>
        <w:t>。若遇法定节假日、公休</w:t>
      </w:r>
      <w:r>
        <w:rPr>
          <w:color w:val="000000" w:themeColor="text1"/>
          <w:sz w:val="21"/>
          <w:szCs w:val="21"/>
          <w:highlight w:val="white"/>
          <w:lang w:eastAsia="zh-CN"/>
        </w:rPr>
        <w:t>日</w:t>
      </w:r>
      <w:r>
        <w:rPr>
          <w:rFonts w:hint="eastAsia"/>
          <w:color w:val="000000" w:themeColor="text1"/>
          <w:sz w:val="21"/>
          <w:szCs w:val="21"/>
          <w:highlight w:val="white"/>
          <w:lang w:eastAsia="zh-CN"/>
        </w:rPr>
        <w:t>等，支付日期顺延至最近可支付日支付。</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（二）基金托管费的计提比例和计提方法</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本基金投资于本基金托管人所托管的公开募集证券投资基金的部分不收取托管费。本基金托管费按前一日基金资产净值扣除前一日所持有</w:t>
      </w:r>
      <w:r>
        <w:rPr>
          <w:rFonts w:hint="eastAsia"/>
          <w:color w:val="000000" w:themeColor="text1"/>
          <w:sz w:val="21"/>
          <w:szCs w:val="21"/>
          <w:highlight w:val="white"/>
          <w:lang w:eastAsia="zh-CN"/>
        </w:rPr>
        <w:t>本基金托管人托管的其他基金公允价值后的余额（若为负数，则取</w:t>
      </w:r>
      <w:r>
        <w:rPr>
          <w:rFonts w:ascii="宋体" w:hAnsi="宋体" w:cs="宋体" w:hint="eastAsia"/>
          <w:color w:val="000000" w:themeColor="text1"/>
          <w:sz w:val="21"/>
          <w:szCs w:val="21"/>
          <w:highlight w:val="white"/>
          <w:lang w:eastAsia="zh-CN"/>
        </w:rPr>
        <w:t>0</w:t>
      </w:r>
      <w:r>
        <w:rPr>
          <w:rFonts w:hint="eastAsia"/>
          <w:color w:val="000000" w:themeColor="text1"/>
          <w:sz w:val="21"/>
          <w:szCs w:val="21"/>
          <w:highlight w:val="white"/>
          <w:lang w:eastAsia="zh-CN"/>
        </w:rPr>
        <w:t>）的</w:t>
      </w:r>
      <w:r>
        <w:rPr>
          <w:rFonts w:ascii="宋体" w:hAnsi="宋体" w:cs="宋体" w:hint="eastAsia"/>
          <w:color w:val="000000" w:themeColor="text1"/>
          <w:sz w:val="21"/>
          <w:szCs w:val="21"/>
          <w:highlight w:val="white"/>
          <w:lang w:eastAsia="zh-CN"/>
        </w:rPr>
        <w:t>0.05%</w:t>
      </w:r>
      <w:r>
        <w:rPr>
          <w:rFonts w:hint="eastAsia"/>
          <w:color w:val="000000" w:themeColor="text1"/>
          <w:sz w:val="21"/>
          <w:szCs w:val="21"/>
          <w:highlight w:val="white"/>
          <w:lang w:eastAsia="zh-CN"/>
        </w:rPr>
        <w:t>年费率计提。托管费的计算方法如下：</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H</w:t>
      </w:r>
      <w:r>
        <w:rPr>
          <w:rFonts w:ascii="宋体" w:hAnsi="宋体" w:cs="宋体"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E</w:t>
      </w:r>
      <w:r>
        <w:rPr>
          <w:rFonts w:ascii="宋体" w:hAnsi="宋体" w:cs="宋体"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0.05%</w:t>
      </w:r>
      <w:r>
        <w:rPr>
          <w:rFonts w:ascii="宋体" w:hAnsi="宋体" w:cs="宋体" w:hint="eastAsia"/>
          <w:color w:val="000000" w:themeColor="text1"/>
          <w:sz w:val="21"/>
          <w:szCs w:val="21"/>
          <w:highlight w:val="white"/>
          <w:lang w:eastAsia="zh-CN"/>
        </w:rPr>
        <w:t>÷当年天数</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H</w:t>
      </w:r>
      <w:r>
        <w:rPr>
          <w:rFonts w:ascii="宋体" w:hAnsi="宋体" w:cs="宋体" w:hint="eastAsia"/>
          <w:color w:val="000000" w:themeColor="text1"/>
          <w:sz w:val="21"/>
          <w:szCs w:val="21"/>
          <w:highlight w:val="white"/>
          <w:lang w:eastAsia="zh-CN"/>
        </w:rPr>
        <w:t>为每日应计提的基金托管费</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E</w:t>
      </w:r>
      <w:r>
        <w:rPr>
          <w:rFonts w:ascii="宋体" w:hAnsi="宋体" w:cs="宋体" w:hint="eastAsia"/>
          <w:color w:val="000000" w:themeColor="text1"/>
          <w:sz w:val="21"/>
          <w:szCs w:val="21"/>
          <w:highlight w:val="white"/>
          <w:lang w:eastAsia="zh-CN"/>
        </w:rPr>
        <w:t>为前一日的基金资产净值扣除前一日所持有的基金托管人托管的其他基金公允价值后的余额，若为负数，则</w:t>
      </w:r>
      <w:r>
        <w:rPr>
          <w:rFonts w:ascii="宋体" w:hAnsi="宋体" w:cs="宋体" w:hint="eastAsia"/>
          <w:color w:val="000000" w:themeColor="text1"/>
          <w:sz w:val="21"/>
          <w:szCs w:val="21"/>
          <w:highlight w:val="white"/>
          <w:lang w:eastAsia="zh-CN"/>
        </w:rPr>
        <w:t>E</w:t>
      </w:r>
      <w:r>
        <w:rPr>
          <w:rFonts w:ascii="宋体" w:hAnsi="宋体" w:cs="宋体" w:hint="eastAsia"/>
          <w:color w:val="000000" w:themeColor="text1"/>
          <w:sz w:val="21"/>
          <w:szCs w:val="21"/>
          <w:highlight w:val="white"/>
          <w:lang w:eastAsia="zh-CN"/>
        </w:rPr>
        <w:t>取</w:t>
      </w:r>
      <w:r>
        <w:rPr>
          <w:rFonts w:ascii="宋体" w:hAnsi="宋体" w:cs="宋体" w:hint="eastAsia"/>
          <w:color w:val="000000" w:themeColor="text1"/>
          <w:sz w:val="21"/>
          <w:szCs w:val="21"/>
          <w:highlight w:val="white"/>
          <w:lang w:eastAsia="zh-CN"/>
        </w:rPr>
        <w:t>0</w:t>
      </w:r>
    </w:p>
    <w:p w:rsidR="00F14202">
      <w:pPr>
        <w:spacing w:line="360" w:lineRule="auto"/>
        <w:ind w:firstLine="420"/>
        <w:rPr>
          <w:color w:val="000000"/>
          <w:sz w:val="21"/>
          <w:szCs w:val="21"/>
          <w:lang w:eastAsia="zh-CN"/>
        </w:rPr>
      </w:pP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基金托管费每日计提，逐日累计至每月月末，按月支付，</w:t>
      </w:r>
      <w:r>
        <w:rPr>
          <w:color w:val="000000" w:themeColor="text1"/>
          <w:sz w:val="21"/>
          <w:szCs w:val="21"/>
          <w:highlight w:val="white"/>
          <w:lang w:eastAsia="zh-CN"/>
        </w:rPr>
        <w:t>由基金托管人根据与基金管理人核</w:t>
      </w:r>
      <w:r>
        <w:rPr>
          <w:rFonts w:hint="eastAsia"/>
          <w:color w:val="000000" w:themeColor="text1"/>
          <w:sz w:val="21"/>
          <w:szCs w:val="21"/>
          <w:highlight w:val="white"/>
          <w:lang w:eastAsia="zh-CN"/>
        </w:rPr>
        <w:t>对</w:t>
      </w:r>
      <w:r>
        <w:rPr>
          <w:color w:val="000000" w:themeColor="text1"/>
          <w:sz w:val="21"/>
          <w:szCs w:val="21"/>
          <w:highlight w:val="white"/>
          <w:lang w:eastAsia="zh-CN"/>
        </w:rPr>
        <w:t>一致的</w:t>
      </w:r>
      <w:r>
        <w:rPr>
          <w:rFonts w:hint="eastAsia"/>
          <w:color w:val="000000" w:themeColor="text1"/>
          <w:sz w:val="21"/>
          <w:szCs w:val="21"/>
          <w:highlight w:val="white"/>
          <w:lang w:eastAsia="zh-CN"/>
        </w:rPr>
        <w:t>财务</w:t>
      </w:r>
      <w:r>
        <w:rPr>
          <w:color w:val="000000" w:themeColor="text1"/>
          <w:sz w:val="21"/>
          <w:szCs w:val="21"/>
          <w:highlight w:val="white"/>
          <w:lang w:eastAsia="zh-CN"/>
        </w:rPr>
        <w:t>数据，自</w:t>
      </w:r>
      <w:r>
        <w:rPr>
          <w:rFonts w:hint="eastAsia"/>
          <w:color w:val="000000" w:themeColor="text1"/>
          <w:sz w:val="21"/>
          <w:szCs w:val="21"/>
          <w:highlight w:val="white"/>
          <w:lang w:eastAsia="zh-CN"/>
        </w:rPr>
        <w:t>动</w:t>
      </w:r>
      <w:r>
        <w:rPr>
          <w:color w:val="000000" w:themeColor="text1"/>
          <w:sz w:val="21"/>
          <w:szCs w:val="21"/>
          <w:highlight w:val="white"/>
          <w:lang w:eastAsia="zh-CN"/>
        </w:rPr>
        <w:t>在月初</w:t>
      </w:r>
      <w:r>
        <w:rPr>
          <w:rFonts w:ascii="宋体" w:hAnsi="宋体" w:cs="宋体"/>
          <w:color w:val="000000" w:themeColor="text1"/>
          <w:sz w:val="21"/>
          <w:szCs w:val="21"/>
          <w:highlight w:val="white"/>
          <w:lang w:eastAsia="zh-CN"/>
        </w:rPr>
        <w:t>5</w:t>
      </w:r>
      <w:r>
        <w:rPr>
          <w:color w:val="000000" w:themeColor="text1"/>
          <w:sz w:val="21"/>
          <w:szCs w:val="21"/>
          <w:highlight w:val="white"/>
          <w:lang w:eastAsia="zh-CN"/>
        </w:rPr>
        <w:t>个工作日内、按照指定的</w:t>
      </w:r>
      <w:r>
        <w:rPr>
          <w:rFonts w:hint="eastAsia"/>
          <w:color w:val="000000" w:themeColor="text1"/>
          <w:sz w:val="21"/>
          <w:szCs w:val="21"/>
          <w:highlight w:val="white"/>
          <w:lang w:eastAsia="zh-CN"/>
        </w:rPr>
        <w:t>账户</w:t>
      </w:r>
      <w:r>
        <w:rPr>
          <w:color w:val="000000" w:themeColor="text1"/>
          <w:sz w:val="21"/>
          <w:szCs w:val="21"/>
          <w:highlight w:val="white"/>
          <w:lang w:eastAsia="zh-CN"/>
        </w:rPr>
        <w:t>路径</w:t>
      </w:r>
      <w:r>
        <w:rPr>
          <w:rFonts w:hint="eastAsia"/>
          <w:color w:val="000000" w:themeColor="text1"/>
          <w:sz w:val="21"/>
          <w:szCs w:val="21"/>
          <w:highlight w:val="white"/>
          <w:lang w:eastAsia="zh-CN"/>
        </w:rPr>
        <w:t>进</w:t>
      </w:r>
      <w:r>
        <w:rPr>
          <w:color w:val="000000" w:themeColor="text1"/>
          <w:sz w:val="21"/>
          <w:szCs w:val="21"/>
          <w:highlight w:val="white"/>
          <w:lang w:eastAsia="zh-CN"/>
        </w:rPr>
        <w:t>行</w:t>
      </w:r>
      <w:r>
        <w:rPr>
          <w:rFonts w:hint="eastAsia"/>
          <w:color w:val="000000" w:themeColor="text1"/>
          <w:sz w:val="21"/>
          <w:szCs w:val="21"/>
          <w:highlight w:val="white"/>
          <w:lang w:eastAsia="zh-CN"/>
        </w:rPr>
        <w:t>资</w:t>
      </w:r>
      <w:r>
        <w:rPr>
          <w:color w:val="000000" w:themeColor="text1"/>
          <w:sz w:val="21"/>
          <w:szCs w:val="21"/>
          <w:highlight w:val="white"/>
          <w:lang w:eastAsia="zh-CN"/>
        </w:rPr>
        <w:t>金支付，基金管理人无需再出具</w:t>
      </w:r>
      <w:r>
        <w:rPr>
          <w:rFonts w:hint="eastAsia"/>
          <w:color w:val="000000" w:themeColor="text1"/>
          <w:sz w:val="21"/>
          <w:szCs w:val="21"/>
          <w:highlight w:val="white"/>
          <w:lang w:eastAsia="zh-CN"/>
        </w:rPr>
        <w:t>资</w:t>
      </w:r>
      <w:r>
        <w:rPr>
          <w:color w:val="000000" w:themeColor="text1"/>
          <w:sz w:val="21"/>
          <w:szCs w:val="21"/>
          <w:highlight w:val="white"/>
          <w:lang w:eastAsia="zh-CN"/>
        </w:rPr>
        <w:t>金划</w:t>
      </w:r>
      <w:r>
        <w:rPr>
          <w:rFonts w:hint="eastAsia"/>
          <w:color w:val="000000" w:themeColor="text1"/>
          <w:sz w:val="21"/>
          <w:szCs w:val="21"/>
          <w:highlight w:val="white"/>
          <w:lang w:eastAsia="zh-CN"/>
        </w:rPr>
        <w:t>拨</w:t>
      </w:r>
      <w:r>
        <w:rPr>
          <w:color w:val="000000" w:themeColor="text1"/>
          <w:sz w:val="21"/>
          <w:szCs w:val="21"/>
          <w:highlight w:val="white"/>
          <w:lang w:eastAsia="zh-CN"/>
        </w:rPr>
        <w:t>指令</w:t>
      </w:r>
      <w:r>
        <w:rPr>
          <w:rFonts w:hint="eastAsia"/>
          <w:color w:val="000000" w:themeColor="text1"/>
          <w:sz w:val="21"/>
          <w:szCs w:val="21"/>
          <w:highlight w:val="white"/>
          <w:lang w:eastAsia="zh-CN"/>
        </w:rPr>
        <w:t>。若遇法定节假日、公休日等，支付日期顺延至最近可支付日支付。</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（三）基金销</w:t>
      </w:r>
      <w:r>
        <w:rPr>
          <w:color w:val="000000" w:themeColor="text1"/>
          <w:sz w:val="21"/>
          <w:szCs w:val="21"/>
          <w:highlight w:val="white"/>
          <w:lang w:eastAsia="zh-CN"/>
        </w:rPr>
        <w:t>售服</w:t>
      </w:r>
      <w:r>
        <w:rPr>
          <w:rFonts w:hint="eastAsia"/>
          <w:color w:val="000000" w:themeColor="text1"/>
          <w:sz w:val="21"/>
          <w:szCs w:val="21"/>
          <w:highlight w:val="white"/>
          <w:lang w:eastAsia="zh-CN"/>
        </w:rPr>
        <w:t>务费</w:t>
      </w:r>
      <w:r>
        <w:rPr>
          <w:color w:val="000000" w:themeColor="text1"/>
          <w:sz w:val="21"/>
          <w:szCs w:val="21"/>
          <w:highlight w:val="white"/>
          <w:lang w:eastAsia="zh-CN"/>
        </w:rPr>
        <w:t>的</w:t>
      </w:r>
      <w:r>
        <w:rPr>
          <w:rFonts w:hint="eastAsia"/>
          <w:color w:val="000000" w:themeColor="text1"/>
          <w:sz w:val="21"/>
          <w:szCs w:val="21"/>
          <w:highlight w:val="white"/>
          <w:lang w:eastAsia="zh-CN"/>
        </w:rPr>
        <w:t>计</w:t>
      </w:r>
      <w:r>
        <w:rPr>
          <w:color w:val="000000" w:themeColor="text1"/>
          <w:sz w:val="21"/>
          <w:szCs w:val="21"/>
          <w:highlight w:val="white"/>
          <w:lang w:eastAsia="zh-CN"/>
        </w:rPr>
        <w:t>提比例和</w:t>
      </w:r>
      <w:r>
        <w:rPr>
          <w:rFonts w:hint="eastAsia"/>
          <w:color w:val="000000" w:themeColor="text1"/>
          <w:sz w:val="21"/>
          <w:szCs w:val="21"/>
          <w:highlight w:val="white"/>
          <w:lang w:eastAsia="zh-CN"/>
        </w:rPr>
        <w:t>计</w:t>
      </w:r>
      <w:r>
        <w:rPr>
          <w:color w:val="000000" w:themeColor="text1"/>
          <w:sz w:val="21"/>
          <w:szCs w:val="21"/>
          <w:highlight w:val="white"/>
          <w:lang w:eastAsia="zh-CN"/>
        </w:rPr>
        <w:t>提方法</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本基金</w:t>
      </w:r>
      <w:r>
        <w:rPr>
          <w:rFonts w:ascii="宋体" w:hAnsi="宋体" w:cs="宋体" w:hint="eastAsia"/>
          <w:color w:val="000000" w:themeColor="text1"/>
          <w:sz w:val="21"/>
          <w:szCs w:val="21"/>
          <w:highlight w:val="white"/>
          <w:lang w:eastAsia="zh-CN"/>
        </w:rPr>
        <w:t>A</w:t>
      </w:r>
      <w:r>
        <w:rPr>
          <w:rFonts w:hint="eastAsia"/>
          <w:color w:val="000000" w:themeColor="text1"/>
          <w:sz w:val="21"/>
          <w:szCs w:val="21"/>
          <w:highlight w:val="white"/>
          <w:lang w:eastAsia="zh-CN"/>
        </w:rPr>
        <w:t>类基金份额不收取销售服务费，</w:t>
      </w:r>
      <w:r>
        <w:rPr>
          <w:rFonts w:ascii="宋体" w:hAnsi="宋体" w:cs="宋体" w:hint="eastAsia"/>
          <w:color w:val="000000" w:themeColor="text1"/>
          <w:sz w:val="21"/>
          <w:szCs w:val="21"/>
          <w:highlight w:val="white"/>
          <w:lang w:eastAsia="zh-CN"/>
        </w:rPr>
        <w:t>C</w:t>
      </w:r>
      <w:r>
        <w:rPr>
          <w:rFonts w:hint="eastAsia"/>
          <w:color w:val="000000" w:themeColor="text1"/>
          <w:sz w:val="21"/>
          <w:szCs w:val="21"/>
          <w:highlight w:val="white"/>
          <w:lang w:eastAsia="zh-CN"/>
        </w:rPr>
        <w:t>类基金份额的销售服务费年费率为</w:t>
      </w:r>
      <w:r>
        <w:rPr>
          <w:rFonts w:ascii="宋体" w:hAnsi="宋体" w:cs="宋体" w:hint="eastAsia"/>
          <w:color w:val="000000" w:themeColor="text1"/>
          <w:sz w:val="21"/>
          <w:szCs w:val="21"/>
          <w:highlight w:val="white"/>
          <w:lang w:eastAsia="zh-CN"/>
        </w:rPr>
        <w:t>0.20%</w:t>
      </w:r>
      <w:r>
        <w:rPr>
          <w:rFonts w:hint="eastAsia"/>
          <w:color w:val="000000" w:themeColor="text1"/>
          <w:sz w:val="21"/>
          <w:szCs w:val="21"/>
          <w:highlight w:val="white"/>
          <w:lang w:eastAsia="zh-CN"/>
        </w:rPr>
        <w:t>，按</w:t>
      </w:r>
      <w:r>
        <w:rPr>
          <w:rFonts w:ascii="宋体" w:hAnsi="宋体" w:cs="宋体" w:hint="eastAsia"/>
          <w:color w:val="000000" w:themeColor="text1"/>
          <w:sz w:val="21"/>
          <w:szCs w:val="21"/>
          <w:highlight w:val="white"/>
          <w:lang w:eastAsia="zh-CN"/>
        </w:rPr>
        <w:t>C</w:t>
      </w:r>
      <w:r>
        <w:rPr>
          <w:rFonts w:hint="eastAsia"/>
          <w:color w:val="000000" w:themeColor="text1"/>
          <w:sz w:val="21"/>
          <w:szCs w:val="21"/>
          <w:highlight w:val="white"/>
          <w:lang w:eastAsia="zh-CN"/>
        </w:rPr>
        <w:t>类基金份额前一日基金资产净值的</w:t>
      </w:r>
      <w:r>
        <w:rPr>
          <w:rFonts w:ascii="宋体" w:hAnsi="宋体" w:cs="宋体" w:hint="eastAsia"/>
          <w:color w:val="000000" w:themeColor="text1"/>
          <w:sz w:val="21"/>
          <w:szCs w:val="21"/>
          <w:highlight w:val="white"/>
          <w:lang w:eastAsia="zh-CN"/>
        </w:rPr>
        <w:t>0.20%</w:t>
      </w:r>
      <w:r>
        <w:rPr>
          <w:rFonts w:hint="eastAsia"/>
          <w:color w:val="000000" w:themeColor="text1"/>
          <w:sz w:val="21"/>
          <w:szCs w:val="21"/>
          <w:highlight w:val="white"/>
          <w:lang w:eastAsia="zh-CN"/>
        </w:rPr>
        <w:t>年费率计提。</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销售服务费的计算方法如下：</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H</w:t>
      </w:r>
      <w:r>
        <w:rPr>
          <w:rFonts w:ascii="宋体" w:hAnsi="宋体" w:cs="宋体"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E</w:t>
      </w:r>
      <w:r>
        <w:rPr>
          <w:rFonts w:ascii="宋体" w:hAnsi="宋体" w:cs="宋体"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0.20%</w:t>
      </w:r>
      <w:r>
        <w:rPr>
          <w:rFonts w:ascii="宋体" w:hAnsi="宋体" w:cs="宋体" w:hint="eastAsia"/>
          <w:color w:val="000000" w:themeColor="text1"/>
          <w:sz w:val="21"/>
          <w:szCs w:val="21"/>
          <w:highlight w:val="white"/>
          <w:lang w:eastAsia="zh-CN"/>
        </w:rPr>
        <w:t>÷当年天数</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 xml:space="preserve">H </w:t>
      </w:r>
      <w:r>
        <w:rPr>
          <w:rFonts w:ascii="宋体" w:hAnsi="宋体" w:cs="宋体" w:hint="eastAsia"/>
          <w:color w:val="000000" w:themeColor="text1"/>
          <w:sz w:val="21"/>
          <w:szCs w:val="21"/>
          <w:highlight w:val="white"/>
          <w:lang w:eastAsia="zh-CN"/>
        </w:rPr>
        <w:t>为</w:t>
      </w:r>
      <w:r>
        <w:rPr>
          <w:rFonts w:ascii="宋体" w:hAnsi="宋体" w:cs="宋体" w:hint="eastAsia"/>
          <w:color w:val="000000" w:themeColor="text1"/>
          <w:sz w:val="21"/>
          <w:szCs w:val="21"/>
          <w:highlight w:val="white"/>
          <w:lang w:eastAsia="zh-CN"/>
        </w:rPr>
        <w:t>C</w:t>
      </w:r>
      <w:r>
        <w:rPr>
          <w:rFonts w:ascii="宋体" w:hAnsi="宋体" w:cs="宋体" w:hint="eastAsia"/>
          <w:color w:val="000000" w:themeColor="text1"/>
          <w:sz w:val="21"/>
          <w:szCs w:val="21"/>
          <w:highlight w:val="white"/>
          <w:lang w:eastAsia="zh-CN"/>
        </w:rPr>
        <w:t>类基金份额每日应计提的销售服务费</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 xml:space="preserve">E </w:t>
      </w:r>
      <w:r>
        <w:rPr>
          <w:rFonts w:ascii="宋体" w:hAnsi="宋体" w:cs="宋体" w:hint="eastAsia"/>
          <w:color w:val="000000" w:themeColor="text1"/>
          <w:sz w:val="21"/>
          <w:szCs w:val="21"/>
          <w:highlight w:val="white"/>
          <w:lang w:eastAsia="zh-CN"/>
        </w:rPr>
        <w:t>为</w:t>
      </w:r>
      <w:r>
        <w:rPr>
          <w:rFonts w:ascii="宋体" w:hAnsi="宋体" w:cs="宋体" w:hint="eastAsia"/>
          <w:color w:val="000000" w:themeColor="text1"/>
          <w:sz w:val="21"/>
          <w:szCs w:val="21"/>
          <w:highlight w:val="white"/>
          <w:lang w:eastAsia="zh-CN"/>
        </w:rPr>
        <w:t>C</w:t>
      </w:r>
      <w:r>
        <w:rPr>
          <w:rFonts w:ascii="宋体" w:hAnsi="宋体" w:cs="宋体" w:hint="eastAsia"/>
          <w:color w:val="000000" w:themeColor="text1"/>
          <w:sz w:val="21"/>
          <w:szCs w:val="21"/>
          <w:highlight w:val="white"/>
          <w:lang w:eastAsia="zh-CN"/>
        </w:rPr>
        <w:t>类基金份额前一日基金资产净值</w:t>
      </w:r>
    </w:p>
    <w:p w:rsidR="00F14202">
      <w:pPr>
        <w:spacing w:line="360" w:lineRule="auto"/>
        <w:ind w:firstLine="420"/>
        <w:rPr>
          <w:color w:val="000000"/>
          <w:sz w:val="21"/>
          <w:szCs w:val="21"/>
          <w:lang w:eastAsia="zh-CN"/>
        </w:rPr>
      </w:pP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销</w:t>
      </w:r>
      <w:r>
        <w:rPr>
          <w:color w:val="000000" w:themeColor="text1"/>
          <w:sz w:val="21"/>
          <w:szCs w:val="21"/>
          <w:highlight w:val="white"/>
          <w:lang w:eastAsia="zh-CN"/>
        </w:rPr>
        <w:t>售服</w:t>
      </w:r>
      <w:r>
        <w:rPr>
          <w:rFonts w:hint="eastAsia"/>
          <w:color w:val="000000" w:themeColor="text1"/>
          <w:sz w:val="21"/>
          <w:szCs w:val="21"/>
          <w:highlight w:val="white"/>
          <w:lang w:eastAsia="zh-CN"/>
        </w:rPr>
        <w:t>务费每日计提。</w:t>
      </w:r>
    </w:p>
    <w:p w:rsidR="00F14202">
      <w:pPr>
        <w:spacing w:line="360" w:lineRule="auto"/>
        <w:ind w:firstLine="420"/>
        <w:rPr>
          <w:lang w:eastAsia="zh-CN"/>
        </w:rPr>
      </w:pPr>
      <w:r>
        <w:rPr>
          <w:rFonts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1</w:t>
      </w:r>
      <w:r>
        <w:rPr>
          <w:rFonts w:hint="eastAsia"/>
          <w:color w:val="000000" w:themeColor="text1"/>
          <w:sz w:val="21"/>
          <w:szCs w:val="21"/>
          <w:highlight w:val="white"/>
          <w:lang w:eastAsia="zh-CN"/>
        </w:rPr>
        <w:t>）通过基金管理人或其基金销售子公司投资的</w:t>
      </w:r>
      <w:r>
        <w:rPr>
          <w:rFonts w:ascii="宋体" w:hAnsi="宋体" w:cs="宋体" w:hint="eastAsia"/>
          <w:color w:val="000000" w:themeColor="text1"/>
          <w:sz w:val="21"/>
          <w:szCs w:val="21"/>
          <w:highlight w:val="white"/>
          <w:lang w:eastAsia="zh-CN"/>
        </w:rPr>
        <w:t>C</w:t>
      </w:r>
      <w:r>
        <w:rPr>
          <w:rFonts w:hint="eastAsia"/>
          <w:color w:val="000000" w:themeColor="text1"/>
          <w:sz w:val="21"/>
          <w:szCs w:val="21"/>
          <w:highlight w:val="white"/>
          <w:lang w:eastAsia="zh-CN"/>
        </w:rPr>
        <w:t>类基金份额</w:t>
      </w:r>
    </w:p>
    <w:p w:rsidR="00F14202">
      <w:pPr>
        <w:spacing w:line="360" w:lineRule="auto"/>
        <w:ind w:firstLine="420"/>
        <w:rPr>
          <w:lang w:eastAsia="zh-CN"/>
        </w:rPr>
      </w:pPr>
      <w:r>
        <w:rPr>
          <w:rFonts w:hint="eastAsia"/>
          <w:color w:val="000000" w:themeColor="text1"/>
          <w:sz w:val="21"/>
          <w:szCs w:val="21"/>
          <w:highlight w:val="white"/>
          <w:lang w:eastAsia="zh-CN"/>
        </w:rPr>
        <w:t>对于基金份额计提的销售服务费，在投资者赎回基金份额</w:t>
      </w:r>
      <w:r>
        <w:rPr>
          <w:rFonts w:hint="eastAsia"/>
          <w:color w:val="000000" w:themeColor="text1"/>
          <w:sz w:val="21"/>
          <w:szCs w:val="21"/>
          <w:highlight w:val="white"/>
          <w:lang w:eastAsia="zh-CN"/>
        </w:rPr>
        <w:t>或基金合同终止时，随赎回款（或清算款）一并返还给投资者。</w:t>
      </w:r>
    </w:p>
    <w:p w:rsidR="00F14202">
      <w:pPr>
        <w:spacing w:line="360" w:lineRule="auto"/>
        <w:ind w:firstLine="420"/>
        <w:rPr>
          <w:lang w:eastAsia="zh-CN"/>
        </w:rPr>
      </w:pPr>
      <w:r>
        <w:rPr>
          <w:rFonts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2</w:t>
      </w:r>
      <w:r>
        <w:rPr>
          <w:rFonts w:hint="eastAsia"/>
          <w:color w:val="000000" w:themeColor="text1"/>
          <w:sz w:val="21"/>
          <w:szCs w:val="21"/>
          <w:highlight w:val="white"/>
          <w:lang w:eastAsia="zh-CN"/>
        </w:rPr>
        <w:t>）通过其他销售机构投资的</w:t>
      </w:r>
      <w:r>
        <w:rPr>
          <w:rFonts w:ascii="宋体" w:hAnsi="宋体" w:cs="宋体" w:hint="eastAsia"/>
          <w:color w:val="000000" w:themeColor="text1"/>
          <w:sz w:val="21"/>
          <w:szCs w:val="21"/>
          <w:highlight w:val="white"/>
          <w:lang w:eastAsia="zh-CN"/>
        </w:rPr>
        <w:t>C</w:t>
      </w:r>
      <w:r>
        <w:rPr>
          <w:rFonts w:hint="eastAsia"/>
          <w:color w:val="000000" w:themeColor="text1"/>
          <w:sz w:val="21"/>
          <w:szCs w:val="21"/>
          <w:highlight w:val="white"/>
          <w:lang w:eastAsia="zh-CN"/>
        </w:rPr>
        <w:t>类基金份额</w:t>
      </w:r>
    </w:p>
    <w:p w:rsidR="00F14202">
      <w:pPr>
        <w:spacing w:line="360" w:lineRule="auto"/>
        <w:ind w:firstLine="420"/>
        <w:rPr>
          <w:color w:val="000000"/>
          <w:sz w:val="21"/>
          <w:lang w:eastAsia="zh-CN"/>
        </w:rPr>
      </w:pPr>
      <w:r>
        <w:rPr>
          <w:rFonts w:hint="eastAsia"/>
          <w:color w:val="000000" w:themeColor="text1"/>
          <w:sz w:val="21"/>
          <w:szCs w:val="21"/>
          <w:highlight w:val="white"/>
          <w:lang w:eastAsia="zh-CN"/>
        </w:rPr>
        <w:t>对于投资者持续持有期限不超过一年（即</w:t>
      </w:r>
      <w:r>
        <w:rPr>
          <w:rFonts w:ascii="宋体" w:hAnsi="宋体" w:cs="宋体" w:hint="eastAsia"/>
          <w:color w:val="000000" w:themeColor="text1"/>
          <w:sz w:val="21"/>
          <w:szCs w:val="21"/>
          <w:highlight w:val="white"/>
          <w:lang w:eastAsia="zh-CN"/>
        </w:rPr>
        <w:t>365</w:t>
      </w:r>
      <w:r>
        <w:rPr>
          <w:rFonts w:hint="eastAsia"/>
          <w:color w:val="000000" w:themeColor="text1"/>
          <w:sz w:val="21"/>
          <w:szCs w:val="21"/>
          <w:highlight w:val="white"/>
          <w:lang w:eastAsia="zh-CN"/>
        </w:rPr>
        <w:t>天，下同）的基金份额计提的销售服务费，逐日累计至每月月末，按月支付，</w:t>
      </w:r>
      <w:r>
        <w:rPr>
          <w:color w:val="000000" w:themeColor="text1"/>
          <w:sz w:val="21"/>
          <w:szCs w:val="21"/>
          <w:highlight w:val="white"/>
          <w:lang w:eastAsia="zh-CN"/>
        </w:rPr>
        <w:t>由基金托管人自</w:t>
      </w:r>
      <w:r>
        <w:rPr>
          <w:rFonts w:hint="eastAsia"/>
          <w:color w:val="000000" w:themeColor="text1"/>
          <w:sz w:val="21"/>
          <w:szCs w:val="21"/>
          <w:highlight w:val="white"/>
          <w:lang w:eastAsia="zh-CN"/>
        </w:rPr>
        <w:t>动</w:t>
      </w:r>
      <w:r>
        <w:rPr>
          <w:color w:val="000000" w:themeColor="text1"/>
          <w:sz w:val="21"/>
          <w:szCs w:val="21"/>
          <w:highlight w:val="white"/>
          <w:lang w:eastAsia="zh-CN"/>
        </w:rPr>
        <w:t>在月初</w:t>
      </w:r>
      <w:r>
        <w:rPr>
          <w:rFonts w:ascii="宋体" w:hAnsi="宋体" w:cs="宋体"/>
          <w:color w:val="000000" w:themeColor="text1"/>
          <w:sz w:val="21"/>
          <w:szCs w:val="21"/>
          <w:highlight w:val="white"/>
          <w:lang w:eastAsia="zh-CN"/>
        </w:rPr>
        <w:t>3</w:t>
      </w:r>
      <w:r>
        <w:rPr>
          <w:color w:val="000000" w:themeColor="text1"/>
          <w:sz w:val="21"/>
          <w:szCs w:val="21"/>
          <w:highlight w:val="white"/>
          <w:lang w:eastAsia="zh-CN"/>
        </w:rPr>
        <w:t>个工作日内、按照指定的</w:t>
      </w:r>
      <w:r>
        <w:rPr>
          <w:rFonts w:hint="eastAsia"/>
          <w:color w:val="000000" w:themeColor="text1"/>
          <w:sz w:val="21"/>
          <w:szCs w:val="21"/>
          <w:highlight w:val="white"/>
          <w:lang w:eastAsia="zh-CN"/>
        </w:rPr>
        <w:t>账户</w:t>
      </w:r>
      <w:r>
        <w:rPr>
          <w:color w:val="000000" w:themeColor="text1"/>
          <w:sz w:val="21"/>
          <w:szCs w:val="21"/>
          <w:highlight w:val="white"/>
          <w:lang w:eastAsia="zh-CN"/>
        </w:rPr>
        <w:t>路径</w:t>
      </w:r>
      <w:r>
        <w:rPr>
          <w:rFonts w:hint="eastAsia"/>
          <w:color w:val="000000" w:themeColor="text1"/>
          <w:sz w:val="21"/>
          <w:szCs w:val="21"/>
          <w:highlight w:val="white"/>
          <w:lang w:eastAsia="zh-CN"/>
        </w:rPr>
        <w:t>进</w:t>
      </w:r>
      <w:r>
        <w:rPr>
          <w:color w:val="000000" w:themeColor="text1"/>
          <w:sz w:val="21"/>
          <w:szCs w:val="21"/>
          <w:highlight w:val="white"/>
          <w:lang w:eastAsia="zh-CN"/>
        </w:rPr>
        <w:t>行</w:t>
      </w:r>
      <w:r>
        <w:rPr>
          <w:rFonts w:hint="eastAsia"/>
          <w:color w:val="000000" w:themeColor="text1"/>
          <w:sz w:val="21"/>
          <w:szCs w:val="21"/>
          <w:highlight w:val="white"/>
          <w:lang w:eastAsia="zh-CN"/>
        </w:rPr>
        <w:t>资</w:t>
      </w:r>
      <w:r>
        <w:rPr>
          <w:color w:val="000000" w:themeColor="text1"/>
          <w:sz w:val="21"/>
          <w:szCs w:val="21"/>
          <w:highlight w:val="white"/>
          <w:lang w:eastAsia="zh-CN"/>
        </w:rPr>
        <w:t>金支付，基金管理人无需再出具</w:t>
      </w:r>
      <w:r>
        <w:rPr>
          <w:rFonts w:hint="eastAsia"/>
          <w:color w:val="000000" w:themeColor="text1"/>
          <w:sz w:val="21"/>
          <w:szCs w:val="21"/>
          <w:highlight w:val="white"/>
          <w:lang w:eastAsia="zh-CN"/>
        </w:rPr>
        <w:t>资</w:t>
      </w:r>
      <w:r>
        <w:rPr>
          <w:color w:val="000000" w:themeColor="text1"/>
          <w:sz w:val="21"/>
          <w:szCs w:val="21"/>
          <w:highlight w:val="white"/>
          <w:lang w:eastAsia="zh-CN"/>
        </w:rPr>
        <w:t>金划</w:t>
      </w:r>
      <w:r>
        <w:rPr>
          <w:rFonts w:hint="eastAsia"/>
          <w:color w:val="000000" w:themeColor="text1"/>
          <w:sz w:val="21"/>
          <w:szCs w:val="21"/>
          <w:highlight w:val="white"/>
          <w:lang w:eastAsia="zh-CN"/>
        </w:rPr>
        <w:t>拨</w:t>
      </w:r>
      <w:r>
        <w:rPr>
          <w:color w:val="000000" w:themeColor="text1"/>
          <w:sz w:val="21"/>
          <w:szCs w:val="21"/>
          <w:highlight w:val="white"/>
          <w:lang w:eastAsia="zh-CN"/>
        </w:rPr>
        <w:t>指令</w:t>
      </w:r>
      <w:r>
        <w:rPr>
          <w:rFonts w:hint="eastAsia"/>
          <w:color w:val="000000" w:themeColor="text1"/>
          <w:sz w:val="21"/>
          <w:szCs w:val="21"/>
          <w:highlight w:val="white"/>
          <w:lang w:eastAsia="zh-CN"/>
        </w:rPr>
        <w:t>。若遇法定节假日、公休日等，支付日期顺延至最近可支付日支付。</w:t>
      </w:r>
    </w:p>
    <w:p w:rsidR="00F14202">
      <w:pPr>
        <w:spacing w:line="360" w:lineRule="auto"/>
        <w:ind w:firstLine="420"/>
        <w:rPr>
          <w:lang w:eastAsia="zh-CN"/>
        </w:rPr>
      </w:pPr>
      <w:r>
        <w:rPr>
          <w:rFonts w:hint="eastAsia"/>
          <w:color w:val="000000" w:themeColor="text1"/>
          <w:sz w:val="21"/>
          <w:szCs w:val="21"/>
          <w:highlight w:val="white"/>
          <w:lang w:eastAsia="zh-CN"/>
        </w:rPr>
        <w:t>对于持续持有期限超过一年的基金份额继续计提的销售服务费，在投资者赎回基金份额或基金合同终止时，随赎回款（或清算款）一并返还给投资者。</w:t>
      </w:r>
    </w:p>
    <w:p w:rsidR="00F14202">
      <w:pPr>
        <w:spacing w:line="360" w:lineRule="auto"/>
        <w:ind w:firstLine="420"/>
        <w:rPr>
          <w:lang w:eastAsia="zh-CN"/>
        </w:rPr>
      </w:pPr>
      <w:r>
        <w:rPr>
          <w:rFonts w:hint="eastAsia"/>
          <w:color w:val="000000" w:themeColor="text1"/>
          <w:sz w:val="21"/>
          <w:szCs w:val="21"/>
          <w:highlight w:val="white"/>
          <w:lang w:eastAsia="zh-CN"/>
        </w:rPr>
        <w:t>销售服务费计提后按规定收取或返还投资者的金额以登记机构的计算结果为准。</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（四）证券交易费用、《基金合同》生效后与基金相关的信息披露费用、基金份额持有人大会费用、《基金合同》生效后与基金相关的会计师费、律师费、仲裁费和诉讼费、基金的银行汇划费用、</w:t>
      </w:r>
      <w:r>
        <w:rPr>
          <w:color w:val="000000" w:themeColor="text1"/>
          <w:sz w:val="21"/>
          <w:szCs w:val="21"/>
          <w:highlight w:val="white"/>
          <w:lang w:eastAsia="zh-CN"/>
        </w:rPr>
        <w:t>证券</w:t>
      </w:r>
      <w:r>
        <w:rPr>
          <w:rFonts w:hint="eastAsia"/>
          <w:color w:val="000000" w:themeColor="text1"/>
          <w:sz w:val="21"/>
          <w:szCs w:val="21"/>
          <w:highlight w:val="white"/>
          <w:lang w:eastAsia="zh-CN"/>
        </w:rPr>
        <w:t>账户开户费用及维护费用等根据有关法规、《基金合同》及相应协议的规定，由基金托管人按基金管理人的划款指令并根据费用实际支出金额支付，列入当期基金费用。</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（五）不列入基金费用的项目</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基金管理人与基金托管人因未履行或未完全履行义务导致的费用支出或基金财产的损失、《基金合</w:t>
      </w:r>
      <w:r>
        <w:rPr>
          <w:rFonts w:hint="eastAsia"/>
          <w:color w:val="000000" w:themeColor="text1"/>
          <w:sz w:val="21"/>
          <w:szCs w:val="21"/>
          <w:highlight w:val="white"/>
          <w:lang w:eastAsia="zh-CN"/>
        </w:rPr>
        <w:t>同》生效前的相关费用（包括但不限于验资费、会计师和律师费、信息披露费用等费用）、处理与基金运作无关的事项发生的费用、</w:t>
      </w:r>
      <w:r>
        <w:rPr>
          <w:color w:val="000000" w:themeColor="text1"/>
          <w:sz w:val="21"/>
          <w:szCs w:val="21"/>
          <w:highlight w:val="white"/>
          <w:lang w:eastAsia="zh-CN"/>
        </w:rPr>
        <w:t>其他根据相关法律法规以及中国证监会的有关规定不得列入基金费用的项目不列入基金费用。</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w:t>
      </w:r>
      <w:r>
        <w:rPr>
          <w:color w:val="000000" w:themeColor="text1"/>
          <w:sz w:val="21"/>
          <w:szCs w:val="21"/>
          <w:highlight w:val="white"/>
          <w:lang w:eastAsia="zh-CN"/>
        </w:rPr>
        <w:t>六</w:t>
      </w:r>
      <w:r>
        <w:rPr>
          <w:rFonts w:hint="eastAsia"/>
          <w:color w:val="000000" w:themeColor="text1"/>
          <w:sz w:val="21"/>
          <w:szCs w:val="21"/>
          <w:highlight w:val="white"/>
          <w:lang w:eastAsia="zh-CN"/>
        </w:rPr>
        <w:t>）基金管理费、基金托管费和销售服务费的复核程序</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基金托管人对不符合《基金法》、《运作办法》等有关规定、《基金合同》以及本协议的其他费用有权拒绝执行。</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基金托管人对基金管理人计提的基金管理费、基金托管费和销售服务费等，根据本托管协议和《基金合同》的有关规定进行复核。</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w:t>
      </w:r>
      <w:r>
        <w:rPr>
          <w:color w:val="000000" w:themeColor="text1"/>
          <w:sz w:val="21"/>
          <w:szCs w:val="21"/>
          <w:highlight w:val="white"/>
          <w:lang w:eastAsia="zh-CN"/>
        </w:rPr>
        <w:t>七</w:t>
      </w:r>
      <w:r>
        <w:rPr>
          <w:rFonts w:hint="eastAsia"/>
          <w:color w:val="000000" w:themeColor="text1"/>
          <w:sz w:val="21"/>
          <w:szCs w:val="21"/>
          <w:highlight w:val="white"/>
          <w:lang w:eastAsia="zh-CN"/>
        </w:rPr>
        <w:t>）如果基金托管人发现基金管理人违反有关法律法规的有关规定和《基金合同》、本协议的约定，从基金财产中列支费用，有权要求基金管理人做出书面解释，如果基金托管人认为基金管理人无正当或合理的理由，可以拒绝支付。</w:t>
      </w:r>
    </w:p>
    <w:p w:rsidR="00F14202">
      <w:pPr>
        <w:spacing w:line="360" w:lineRule="auto"/>
        <w:rPr>
          <w:b/>
          <w:color w:val="000000"/>
          <w:sz w:val="21"/>
          <w:szCs w:val="21"/>
          <w:lang w:eastAsia="zh-CN"/>
        </w:rPr>
      </w:pPr>
    </w:p>
    <w:p w:rsidR="00F14202">
      <w:pPr>
        <w:pStyle w:val="Heading1"/>
        <w:numPr>
          <w:ilvl w:val="0"/>
          <w:numId w:val="1"/>
        </w:numPr>
        <w:spacing w:before="120" w:after="120" w:line="360" w:lineRule="auto"/>
        <w:jc w:val="center"/>
        <w:rPr>
          <w:b w:val="0"/>
          <w:color w:val="000000"/>
          <w:sz w:val="24"/>
          <w:szCs w:val="24"/>
          <w:lang w:eastAsia="zh-CN"/>
        </w:rPr>
      </w:pPr>
      <w:bookmarkStart w:id="31" w:name="_Toc394474007"/>
      <w:bookmarkStart w:id="32" w:name="_Toc881142"/>
      <w:r>
        <w:rPr>
          <w:rFonts w:hint="eastAsia"/>
          <w:color w:val="000000" w:themeColor="text1"/>
          <w:sz w:val="24"/>
          <w:szCs w:val="24"/>
          <w:highlight w:val="white"/>
          <w:lang w:eastAsia="zh-CN"/>
        </w:rPr>
        <w:t>基金份额持有人名册的保管</w:t>
      </w:r>
      <w:bookmarkEnd w:id="31"/>
      <w:bookmarkEnd w:id="32"/>
    </w:p>
    <w:p w:rsidR="00F14202">
      <w:pPr>
        <w:spacing w:line="360" w:lineRule="auto"/>
        <w:ind w:firstLine="420"/>
        <w:rPr>
          <w:color w:val="000000"/>
          <w:sz w:val="21"/>
          <w:szCs w:val="21"/>
          <w:lang w:eastAsia="zh-CN"/>
        </w:rPr>
      </w:pPr>
    </w:p>
    <w:p w:rsidR="00F14202">
      <w:pPr>
        <w:spacing w:line="360" w:lineRule="auto"/>
        <w:ind w:firstLine="420"/>
        <w:rPr>
          <w:lang w:eastAsia="zh-CN"/>
        </w:rPr>
      </w:pPr>
      <w:r>
        <w:rPr>
          <w:rFonts w:ascii="宋体" w:hAnsi="宋体" w:cs="宋体"/>
          <w:color w:val="000000"/>
          <w:sz w:val="21"/>
          <w:highlight w:val="white"/>
          <w:lang w:eastAsia="zh-CN"/>
        </w:rPr>
        <w:t>（一）基金份额持有人名册的保管</w:t>
      </w:r>
    </w:p>
    <w:p w:rsidR="00F14202">
      <w:pPr>
        <w:spacing w:line="360" w:lineRule="auto"/>
        <w:ind w:firstLine="420"/>
        <w:rPr>
          <w:lang w:eastAsia="zh-CN"/>
        </w:rPr>
      </w:pPr>
      <w:r>
        <w:rPr>
          <w:rFonts w:ascii="宋体" w:hAnsi="宋体" w:cs="宋体"/>
          <w:color w:val="000000"/>
          <w:sz w:val="21"/>
          <w:highlight w:val="white"/>
          <w:lang w:eastAsia="zh-CN"/>
        </w:rPr>
        <w:t>基金份额持有人名册至少应包括基金份额持有人的名称和持有的基金份额。基金份额持有人名册由登记机构根据基金管理人的指令编制和保管，基金管理人和基金托管人应按照目前相关规则分别保管基金份额持有人名册。保管方式可以采用电子或文档的形式。保管期限不低于法定</w:t>
      </w:r>
      <w:r>
        <w:rPr>
          <w:rFonts w:ascii="宋体" w:hAnsi="宋体" w:cs="宋体"/>
          <w:color w:val="000000"/>
          <w:sz w:val="21"/>
          <w:highlight w:val="white"/>
          <w:lang w:eastAsia="zh-CN"/>
        </w:rPr>
        <w:t>最低期限。</w:t>
      </w:r>
    </w:p>
    <w:p w:rsidR="00F14202">
      <w:pPr>
        <w:spacing w:line="360" w:lineRule="auto"/>
        <w:ind w:firstLine="420"/>
        <w:rPr>
          <w:lang w:eastAsia="zh-CN"/>
        </w:rPr>
      </w:pPr>
      <w:r>
        <w:rPr>
          <w:rFonts w:ascii="宋体" w:hAnsi="宋体" w:cs="宋体"/>
          <w:color w:val="000000"/>
          <w:sz w:val="21"/>
          <w:highlight w:val="white"/>
          <w:lang w:eastAsia="zh-CN"/>
        </w:rPr>
        <w:t>在基金托管人要求或编制中期报告和年度报告前，基金管理人应将有关资料送交基金托管人，不得无故拒绝或延误提供，并保证其真实性、准确性和完整性。基金托管人不得将所保管的基金份额持有人名册用于基金托管业务以外的其他用途，并应遵守保密义务。</w:t>
      </w:r>
    </w:p>
    <w:p w:rsidR="00F14202">
      <w:pPr>
        <w:spacing w:line="360" w:lineRule="auto"/>
        <w:ind w:firstLine="420"/>
        <w:rPr>
          <w:lang w:eastAsia="zh-CN"/>
        </w:rPr>
      </w:pPr>
      <w:r>
        <w:rPr>
          <w:rFonts w:ascii="宋体" w:hAnsi="宋体" w:cs="宋体"/>
          <w:color w:val="000000"/>
          <w:sz w:val="21"/>
          <w:highlight w:val="white"/>
          <w:lang w:eastAsia="zh-CN"/>
        </w:rPr>
        <w:t>若基金管理人或基金托管人由于自身原因无法妥善保管基金份额持有人名册，应按有关法规规定各自承担相应的责任。</w:t>
      </w:r>
    </w:p>
    <w:p w:rsidR="00F14202">
      <w:pPr>
        <w:spacing w:line="360" w:lineRule="auto"/>
        <w:ind w:firstLine="420"/>
        <w:rPr>
          <w:lang w:eastAsia="zh-CN"/>
        </w:rPr>
      </w:pPr>
      <w:r>
        <w:rPr>
          <w:rFonts w:ascii="宋体" w:hAnsi="宋体" w:cs="宋体"/>
          <w:color w:val="000000"/>
          <w:sz w:val="21"/>
          <w:highlight w:val="white"/>
          <w:lang w:eastAsia="zh-CN"/>
        </w:rPr>
        <w:t>（二）基金份额持有人名册的提交</w:t>
      </w:r>
    </w:p>
    <w:p w:rsidR="00F14202">
      <w:pPr>
        <w:spacing w:line="360" w:lineRule="auto"/>
        <w:ind w:firstLine="420"/>
        <w:rPr>
          <w:lang w:eastAsia="zh-CN"/>
        </w:rPr>
      </w:pPr>
      <w:r>
        <w:rPr>
          <w:rFonts w:ascii="宋体" w:hAnsi="宋体" w:cs="宋体"/>
          <w:color w:val="000000"/>
          <w:sz w:val="21"/>
          <w:highlight w:val="white"/>
          <w:lang w:eastAsia="zh-CN"/>
        </w:rPr>
        <w:t>基金管理人应当及时向基金托管人提交下列日期的基金份额持有人名册：《基金合同》生效日、《基金合同》终止日、基金份额持有人大会权益登记</w:t>
      </w:r>
      <w:r>
        <w:rPr>
          <w:rFonts w:ascii="宋体" w:hAnsi="宋体" w:cs="宋体"/>
          <w:color w:val="000000"/>
          <w:sz w:val="21"/>
          <w:highlight w:val="white"/>
          <w:lang w:eastAsia="zh-CN"/>
        </w:rPr>
        <w:t>日、每年</w:t>
      </w:r>
      <w:r>
        <w:rPr>
          <w:rFonts w:ascii="宋体" w:hAnsi="宋体" w:cs="宋体"/>
          <w:color w:val="000000"/>
          <w:sz w:val="21"/>
          <w:highlight w:val="white"/>
          <w:lang w:eastAsia="zh-CN"/>
        </w:rPr>
        <w:t>6</w:t>
      </w:r>
      <w:r>
        <w:rPr>
          <w:rFonts w:ascii="宋体" w:hAnsi="宋体" w:cs="宋体"/>
          <w:color w:val="000000"/>
          <w:sz w:val="21"/>
          <w:highlight w:val="white"/>
          <w:lang w:eastAsia="zh-CN"/>
        </w:rPr>
        <w:t>月</w:t>
      </w:r>
      <w:r>
        <w:rPr>
          <w:rFonts w:ascii="宋体" w:hAnsi="宋体" w:cs="宋体"/>
          <w:color w:val="000000"/>
          <w:sz w:val="21"/>
          <w:highlight w:val="white"/>
          <w:lang w:eastAsia="zh-CN"/>
        </w:rPr>
        <w:t>30</w:t>
      </w:r>
      <w:r>
        <w:rPr>
          <w:rFonts w:ascii="宋体" w:hAnsi="宋体" w:cs="宋体"/>
          <w:color w:val="000000"/>
          <w:sz w:val="21"/>
          <w:highlight w:val="white"/>
          <w:lang w:eastAsia="zh-CN"/>
        </w:rPr>
        <w:t>日、每年</w:t>
      </w:r>
      <w:r>
        <w:rPr>
          <w:rFonts w:ascii="宋体" w:hAnsi="宋体" w:cs="宋体"/>
          <w:color w:val="000000"/>
          <w:sz w:val="21"/>
          <w:highlight w:val="white"/>
          <w:lang w:eastAsia="zh-CN"/>
        </w:rPr>
        <w:t>12</w:t>
      </w:r>
      <w:r>
        <w:rPr>
          <w:rFonts w:ascii="宋体" w:hAnsi="宋体" w:cs="宋体"/>
          <w:color w:val="000000"/>
          <w:sz w:val="21"/>
          <w:highlight w:val="white"/>
          <w:lang w:eastAsia="zh-CN"/>
        </w:rPr>
        <w:t>月</w:t>
      </w:r>
      <w:r>
        <w:rPr>
          <w:rFonts w:ascii="宋体" w:hAnsi="宋体" w:cs="宋体"/>
          <w:color w:val="000000"/>
          <w:sz w:val="21"/>
          <w:highlight w:val="white"/>
          <w:lang w:eastAsia="zh-CN"/>
        </w:rPr>
        <w:t>31</w:t>
      </w:r>
      <w:r>
        <w:rPr>
          <w:rFonts w:ascii="宋体" w:hAnsi="宋体" w:cs="宋体"/>
          <w:color w:val="000000"/>
          <w:sz w:val="21"/>
          <w:highlight w:val="white"/>
          <w:lang w:eastAsia="zh-CN"/>
        </w:rPr>
        <w:t>日的基金份额持有人名册。基金份额持有人名册的内容必须包括基金份额持有人的名称和持有的基金份额。其中每年</w:t>
      </w:r>
      <w:r>
        <w:rPr>
          <w:rFonts w:ascii="宋体" w:hAnsi="宋体" w:cs="宋体"/>
          <w:color w:val="000000"/>
          <w:sz w:val="21"/>
          <w:highlight w:val="white"/>
          <w:lang w:eastAsia="zh-CN"/>
        </w:rPr>
        <w:t>12</w:t>
      </w:r>
      <w:r>
        <w:rPr>
          <w:rFonts w:ascii="宋体" w:hAnsi="宋体" w:cs="宋体"/>
          <w:color w:val="000000"/>
          <w:sz w:val="21"/>
          <w:highlight w:val="white"/>
          <w:lang w:eastAsia="zh-CN"/>
        </w:rPr>
        <w:t>月</w:t>
      </w:r>
      <w:r>
        <w:rPr>
          <w:rFonts w:ascii="宋体" w:hAnsi="宋体" w:cs="宋体"/>
          <w:color w:val="000000"/>
          <w:sz w:val="21"/>
          <w:highlight w:val="white"/>
          <w:lang w:eastAsia="zh-CN"/>
        </w:rPr>
        <w:t>31</w:t>
      </w:r>
      <w:r>
        <w:rPr>
          <w:rFonts w:ascii="宋体" w:hAnsi="宋体" w:cs="宋体"/>
          <w:color w:val="000000"/>
          <w:sz w:val="21"/>
          <w:highlight w:val="white"/>
          <w:lang w:eastAsia="zh-CN"/>
        </w:rPr>
        <w:t>日的基金份额持有人名册应于下月前十个工作日内提交；《基金合同》生效日、《基金合同》终止日等涉及到基金重要事项日期的基金份额持有人名册应于发生日后十个工作日内提交</w:t>
      </w:r>
      <w:r>
        <w:rPr>
          <w:rFonts w:hint="eastAsia"/>
          <w:color w:val="000000" w:themeColor="text1"/>
          <w:sz w:val="21"/>
          <w:szCs w:val="21"/>
          <w:highlight w:val="white"/>
          <w:lang w:eastAsia="zh-CN"/>
        </w:rPr>
        <w:t>。</w:t>
      </w:r>
    </w:p>
    <w:p w:rsidR="00F14202">
      <w:pPr>
        <w:spacing w:line="360" w:lineRule="auto"/>
        <w:ind w:firstLine="420"/>
        <w:rPr>
          <w:color w:val="000000"/>
          <w:sz w:val="21"/>
          <w:szCs w:val="21"/>
          <w:lang w:eastAsia="zh-CN"/>
        </w:rPr>
      </w:pPr>
    </w:p>
    <w:p w:rsidR="00F14202">
      <w:pPr>
        <w:pStyle w:val="Heading1"/>
        <w:numPr>
          <w:ilvl w:val="0"/>
          <w:numId w:val="1"/>
        </w:numPr>
        <w:spacing w:before="120" w:after="120" w:line="360" w:lineRule="auto"/>
        <w:jc w:val="center"/>
        <w:rPr>
          <w:b w:val="0"/>
          <w:color w:val="000000"/>
          <w:sz w:val="24"/>
          <w:szCs w:val="24"/>
          <w:lang w:eastAsia="zh-CN"/>
        </w:rPr>
      </w:pPr>
      <w:bookmarkStart w:id="33" w:name="_Toc881143"/>
      <w:bookmarkStart w:id="34" w:name="_Toc394474008"/>
      <w:r>
        <w:rPr>
          <w:rFonts w:hint="eastAsia"/>
          <w:color w:val="000000" w:themeColor="text1"/>
          <w:sz w:val="24"/>
          <w:szCs w:val="24"/>
          <w:highlight w:val="white"/>
          <w:lang w:eastAsia="zh-CN"/>
        </w:rPr>
        <w:t>基金有关文件档案的保存</w:t>
      </w:r>
      <w:bookmarkEnd w:id="33"/>
      <w:bookmarkEnd w:id="34"/>
    </w:p>
    <w:p w:rsidR="00F14202">
      <w:pPr>
        <w:spacing w:line="360" w:lineRule="auto"/>
        <w:ind w:firstLine="420"/>
        <w:rPr>
          <w:color w:val="000000"/>
          <w:sz w:val="21"/>
          <w:szCs w:val="21"/>
          <w:lang w:eastAsia="zh-CN"/>
        </w:rPr>
      </w:pP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（一）档案保存</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基金管理人应保存财产业务活动的记录、账册报表和其他相关资料。基金托管人应保存基金托管业务活动的记录、账册、报表和其他相关资料。基金管理人和基金托管人都应当按规定的期限保管，保存期限不</w:t>
      </w:r>
      <w:r>
        <w:rPr>
          <w:rFonts w:hint="eastAsia"/>
          <w:color w:val="000000" w:themeColor="text1"/>
          <w:highlight w:val="white"/>
          <w:lang w:eastAsia="zh-CN"/>
        </w:rPr>
        <w:t>低于</w:t>
      </w:r>
      <w:r>
        <w:rPr>
          <w:rFonts w:hint="eastAsia"/>
          <w:color w:val="000000" w:themeColor="text1"/>
          <w:sz w:val="21"/>
          <w:highlight w:val="white"/>
          <w:lang w:eastAsia="zh-CN"/>
        </w:rPr>
        <w:t>法定最低期限</w:t>
      </w:r>
      <w:r>
        <w:rPr>
          <w:rFonts w:hint="eastAsia"/>
          <w:color w:val="000000" w:themeColor="text1"/>
          <w:sz w:val="21"/>
          <w:szCs w:val="21"/>
          <w:highlight w:val="white"/>
          <w:lang w:eastAsia="zh-CN"/>
        </w:rPr>
        <w:t>。</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（二）合同档案的建立</w:t>
      </w:r>
    </w:p>
    <w:p w:rsidR="00F14202">
      <w:pPr>
        <w:spacing w:line="360" w:lineRule="auto"/>
        <w:ind w:firstLine="420"/>
        <w:rPr>
          <w:color w:val="000000"/>
          <w:sz w:val="21"/>
          <w:szCs w:val="21"/>
          <w:lang w:eastAsia="zh-CN"/>
        </w:rPr>
      </w:pPr>
      <w:r>
        <w:rPr>
          <w:rFonts w:ascii="宋体" w:hAnsi="宋体" w:cs="宋体"/>
          <w:color w:val="000000" w:themeColor="text1"/>
          <w:sz w:val="21"/>
          <w:szCs w:val="21"/>
          <w:highlight w:val="white"/>
          <w:lang w:eastAsia="zh-CN"/>
        </w:rPr>
        <w:t>1</w:t>
      </w:r>
      <w:r>
        <w:rPr>
          <w:rFonts w:hint="eastAsia"/>
          <w:color w:val="000000" w:themeColor="text1"/>
          <w:sz w:val="21"/>
          <w:szCs w:val="21"/>
          <w:highlight w:val="white"/>
          <w:lang w:eastAsia="zh-CN"/>
        </w:rPr>
        <w:t>、基金管理人代表基金签署与基金相关的重大合同文本后，应及时将重大合同传真给基金托管人，并在</w:t>
      </w:r>
      <w:r>
        <w:rPr>
          <w:rFonts w:ascii="宋体" w:hAnsi="宋体" w:cs="宋体" w:hint="eastAsia"/>
          <w:color w:val="000000" w:themeColor="text1"/>
          <w:sz w:val="21"/>
          <w:szCs w:val="21"/>
          <w:highlight w:val="white"/>
          <w:lang w:eastAsia="zh-CN"/>
        </w:rPr>
        <w:t>10</w:t>
      </w:r>
      <w:r>
        <w:rPr>
          <w:rFonts w:hint="eastAsia"/>
          <w:color w:val="000000" w:themeColor="text1"/>
          <w:sz w:val="21"/>
          <w:szCs w:val="21"/>
          <w:highlight w:val="white"/>
          <w:lang w:eastAsia="zh-CN"/>
        </w:rPr>
        <w:t>个工作日内将合同文本正本送达基金托管人处。</w:t>
      </w:r>
    </w:p>
    <w:p w:rsidR="00F14202">
      <w:pPr>
        <w:spacing w:line="360" w:lineRule="auto"/>
        <w:ind w:firstLine="420"/>
        <w:rPr>
          <w:color w:val="000000"/>
          <w:sz w:val="21"/>
          <w:szCs w:val="21"/>
          <w:lang w:eastAsia="zh-CN"/>
        </w:rPr>
      </w:pPr>
      <w:r>
        <w:rPr>
          <w:rFonts w:ascii="宋体" w:hAnsi="宋体" w:cs="宋体"/>
          <w:color w:val="000000" w:themeColor="text1"/>
          <w:sz w:val="21"/>
          <w:szCs w:val="21"/>
          <w:highlight w:val="white"/>
          <w:lang w:eastAsia="zh-CN"/>
        </w:rPr>
        <w:t>2</w:t>
      </w:r>
      <w:r>
        <w:rPr>
          <w:rFonts w:hint="eastAsia"/>
          <w:color w:val="000000" w:themeColor="text1"/>
          <w:sz w:val="21"/>
          <w:szCs w:val="21"/>
          <w:highlight w:val="white"/>
          <w:lang w:eastAsia="zh-CN"/>
        </w:rPr>
        <w:t>、基金管理人应及时将与本基金账务处理、资金划拨等有关的合同、协议以传真或者双方约定的其他方式发送给基金托管人。</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（三）变更与协助</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若基金管理人</w:t>
      </w:r>
      <w:r>
        <w:rPr>
          <w:rFonts w:ascii="宋体" w:hAnsi="宋体" w:cs="宋体"/>
          <w:color w:val="000000" w:themeColor="text1"/>
          <w:sz w:val="21"/>
          <w:szCs w:val="21"/>
          <w:highlight w:val="white"/>
          <w:lang w:eastAsia="zh-CN"/>
        </w:rPr>
        <w:t>/</w:t>
      </w:r>
      <w:r>
        <w:rPr>
          <w:rFonts w:hint="eastAsia"/>
          <w:color w:val="000000" w:themeColor="text1"/>
          <w:sz w:val="21"/>
          <w:szCs w:val="21"/>
          <w:highlight w:val="white"/>
          <w:lang w:eastAsia="zh-CN"/>
        </w:rPr>
        <w:t>基</w:t>
      </w:r>
      <w:r>
        <w:rPr>
          <w:rFonts w:hint="eastAsia"/>
          <w:color w:val="000000" w:themeColor="text1"/>
          <w:sz w:val="21"/>
          <w:szCs w:val="21"/>
          <w:highlight w:val="white"/>
          <w:lang w:eastAsia="zh-CN"/>
        </w:rPr>
        <w:t>金托管人发生变更，未变更的一方有义务协助变更后的接任人接收相应文件。</w:t>
      </w:r>
    </w:p>
    <w:p w:rsidR="00F14202">
      <w:pPr>
        <w:spacing w:line="360" w:lineRule="auto"/>
        <w:ind w:firstLine="420"/>
        <w:rPr>
          <w:color w:val="000000"/>
          <w:sz w:val="21"/>
          <w:lang w:eastAsia="zh-CN"/>
        </w:rPr>
      </w:pPr>
      <w:r>
        <w:rPr>
          <w:rFonts w:hint="eastAsia"/>
          <w:color w:val="000000" w:themeColor="text1"/>
          <w:sz w:val="21"/>
          <w:szCs w:val="21"/>
          <w:highlight w:val="white"/>
          <w:lang w:eastAsia="zh-CN"/>
        </w:rPr>
        <w:t>（四）基金管理人和基金托管人应按各自职责完整保存原始凭证、记账凭证、基金账册、交易记录和重要合同等，承担保密义务并保存</w:t>
      </w:r>
      <w:r>
        <w:rPr>
          <w:rFonts w:hint="eastAsia"/>
          <w:color w:val="000000" w:themeColor="text1"/>
          <w:sz w:val="21"/>
          <w:highlight w:val="white"/>
          <w:lang w:eastAsia="zh-CN"/>
        </w:rPr>
        <w:t>不低于法定最低期限</w:t>
      </w:r>
      <w:r>
        <w:rPr>
          <w:rFonts w:hint="eastAsia"/>
          <w:color w:val="000000" w:themeColor="text1"/>
          <w:sz w:val="21"/>
          <w:szCs w:val="21"/>
          <w:highlight w:val="white"/>
          <w:lang w:eastAsia="zh-CN"/>
        </w:rPr>
        <w:t>。</w:t>
      </w:r>
    </w:p>
    <w:p w:rsidR="00F14202">
      <w:pPr>
        <w:ind w:firstLine="420"/>
        <w:rPr>
          <w:color w:val="000000"/>
          <w:lang w:eastAsia="zh-CN"/>
        </w:rPr>
      </w:pPr>
    </w:p>
    <w:p w:rsidR="00F14202">
      <w:pPr>
        <w:pStyle w:val="Heading1"/>
        <w:numPr>
          <w:ilvl w:val="0"/>
          <w:numId w:val="1"/>
        </w:numPr>
        <w:spacing w:before="120" w:after="120" w:line="360" w:lineRule="auto"/>
        <w:jc w:val="center"/>
        <w:rPr>
          <w:b w:val="0"/>
          <w:color w:val="000000"/>
          <w:sz w:val="24"/>
          <w:szCs w:val="24"/>
          <w:lang w:eastAsia="zh-CN"/>
        </w:rPr>
      </w:pPr>
      <w:bookmarkStart w:id="35" w:name="_Toc394474009"/>
      <w:bookmarkStart w:id="36" w:name="_Toc881144"/>
      <w:r>
        <w:rPr>
          <w:rFonts w:hint="eastAsia"/>
          <w:color w:val="000000" w:themeColor="text1"/>
          <w:sz w:val="24"/>
          <w:szCs w:val="24"/>
          <w:highlight w:val="white"/>
          <w:lang w:eastAsia="zh-CN"/>
        </w:rPr>
        <w:t>基金托管人和基金管理人的更换</w:t>
      </w:r>
      <w:bookmarkEnd w:id="35"/>
      <w:bookmarkEnd w:id="36"/>
    </w:p>
    <w:p w:rsidR="00F14202">
      <w:pPr>
        <w:spacing w:line="360" w:lineRule="auto"/>
        <w:ind w:firstLine="420"/>
        <w:rPr>
          <w:color w:val="000000"/>
          <w:sz w:val="21"/>
          <w:szCs w:val="21"/>
          <w:lang w:eastAsia="zh-CN"/>
        </w:rPr>
      </w:pP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（一）基金管理人的更换</w:t>
      </w:r>
    </w:p>
    <w:p w:rsidR="00F14202">
      <w:pPr>
        <w:spacing w:line="360" w:lineRule="auto"/>
        <w:ind w:firstLine="420"/>
        <w:rPr>
          <w:color w:val="000000"/>
          <w:sz w:val="21"/>
          <w:szCs w:val="21"/>
          <w:lang w:eastAsia="zh-CN"/>
        </w:rPr>
      </w:pPr>
      <w:r>
        <w:rPr>
          <w:rFonts w:ascii="宋体" w:hAnsi="宋体" w:cs="宋体"/>
          <w:color w:val="000000" w:themeColor="text1"/>
          <w:sz w:val="21"/>
          <w:szCs w:val="21"/>
          <w:highlight w:val="white"/>
          <w:lang w:eastAsia="zh-CN"/>
        </w:rPr>
        <w:t>1</w:t>
      </w:r>
      <w:r>
        <w:rPr>
          <w:rFonts w:hint="eastAsia"/>
          <w:color w:val="000000" w:themeColor="text1"/>
          <w:sz w:val="21"/>
          <w:szCs w:val="21"/>
          <w:highlight w:val="white"/>
          <w:lang w:eastAsia="zh-CN"/>
        </w:rPr>
        <w:t>、基金管理人的更换条件</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有下列情形之一的，基金管理人职责终止：</w:t>
      </w:r>
    </w:p>
    <w:p w:rsidR="00F14202">
      <w:pPr>
        <w:spacing w:line="360" w:lineRule="auto"/>
        <w:ind w:firstLine="420"/>
        <w:rPr>
          <w:color w:val="000000"/>
          <w:sz w:val="21"/>
          <w:szCs w:val="21"/>
          <w:lang w:eastAsia="zh-CN"/>
        </w:rPr>
      </w:pPr>
      <w:r w:rsidR="006D5AAE">
        <w:rPr>
          <w:rFonts w:ascii="宋体" w:hAnsi="宋体" w:cs="宋体" w:hint="eastAsia"/>
          <w:color w:val="000000" w:themeColor="text1"/>
          <w:sz w:val="21"/>
          <w:szCs w:val="21"/>
          <w:highlight w:val="white"/>
          <w:lang w:eastAsia="zh-CN"/>
        </w:rPr>
        <w:t>（1）</w:t>
      </w:r>
      <w:r>
        <w:rPr>
          <w:rFonts w:ascii="宋体" w:hAnsi="宋体" w:cs="宋体" w:hint="eastAsia"/>
          <w:color w:val="000000" w:themeColor="text1"/>
          <w:sz w:val="21"/>
          <w:szCs w:val="21"/>
          <w:highlight w:val="white"/>
          <w:lang w:eastAsia="zh-CN"/>
        </w:rPr>
        <w:t>被依法取消基金管理资格；</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2</w:t>
      </w:r>
      <w:r>
        <w:rPr>
          <w:rFonts w:ascii="宋体" w:hAnsi="宋体" w:cs="宋体" w:hint="eastAsia"/>
          <w:color w:val="000000" w:themeColor="text1"/>
          <w:sz w:val="21"/>
          <w:szCs w:val="21"/>
          <w:highlight w:val="white"/>
          <w:lang w:eastAsia="zh-CN"/>
        </w:rPr>
        <w:t>）</w:t>
      </w:r>
      <w:r w:rsidR="00331671">
        <w:rPr>
          <w:rFonts w:ascii="宋体" w:hAnsi="宋体" w:cs="宋体" w:hint="eastAsia"/>
          <w:color w:val="000000" w:themeColor="text1"/>
          <w:sz w:val="21"/>
          <w:szCs w:val="21"/>
          <w:highlight w:val="white"/>
          <w:lang w:eastAsia="zh-CN"/>
        </w:rPr>
        <w:t>被基金份额持有人大会解任；</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3</w:t>
      </w:r>
      <w:r>
        <w:rPr>
          <w:rFonts w:ascii="宋体" w:hAnsi="宋体" w:cs="宋体" w:hint="eastAsia"/>
          <w:color w:val="000000" w:themeColor="text1"/>
          <w:sz w:val="21"/>
          <w:szCs w:val="21"/>
          <w:highlight w:val="white"/>
          <w:lang w:eastAsia="zh-CN"/>
        </w:rPr>
        <w:t>）</w:t>
      </w:r>
      <w:r w:rsidR="00331671">
        <w:rPr>
          <w:rFonts w:ascii="宋体" w:hAnsi="宋体" w:cs="宋体" w:hint="eastAsia"/>
          <w:color w:val="000000" w:themeColor="text1"/>
          <w:sz w:val="21"/>
          <w:szCs w:val="21"/>
          <w:highlight w:val="white"/>
          <w:lang w:eastAsia="zh-CN"/>
        </w:rPr>
        <w:t>依法解散、被依法撤销或被依法宣告破产；</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w:t>
      </w:r>
      <w:r>
        <w:rPr>
          <w:rFonts w:ascii="宋体" w:hAnsi="宋体" w:cs="宋体"/>
          <w:color w:val="000000" w:themeColor="text1"/>
          <w:sz w:val="21"/>
          <w:szCs w:val="21"/>
          <w:highlight w:val="white"/>
          <w:lang w:eastAsia="zh-CN"/>
        </w:rPr>
        <w:t>4</w:t>
      </w:r>
      <w:r>
        <w:rPr>
          <w:rFonts w:ascii="宋体" w:hAnsi="宋体" w:cs="宋体" w:hint="eastAsia"/>
          <w:color w:val="000000" w:themeColor="text1"/>
          <w:sz w:val="21"/>
          <w:szCs w:val="21"/>
          <w:highlight w:val="white"/>
          <w:lang w:eastAsia="zh-CN"/>
        </w:rPr>
        <w:t>）</w:t>
      </w:r>
      <w:r w:rsidR="00331671">
        <w:rPr>
          <w:rFonts w:ascii="宋体" w:hAnsi="宋体" w:cs="宋体" w:hint="eastAsia"/>
          <w:color w:val="000000" w:themeColor="text1"/>
          <w:sz w:val="21"/>
          <w:szCs w:val="21"/>
          <w:highlight w:val="white"/>
          <w:lang w:eastAsia="zh-CN"/>
        </w:rPr>
        <w:t>法律法规及中国证监会规定的和《基金合同》约定的其他情形。</w:t>
      </w:r>
    </w:p>
    <w:p w:rsidR="00F14202" w:rsidRPr="006D5AAE">
      <w:pPr>
        <w:spacing w:line="360" w:lineRule="auto"/>
        <w:ind w:firstLine="420"/>
        <w:rPr>
          <w:color w:val="000000"/>
          <w:sz w:val="21"/>
          <w:szCs w:val="21"/>
          <w:lang w:eastAsia="zh-CN"/>
        </w:rPr>
      </w:pPr>
    </w:p>
    <w:p w:rsidR="00F14202">
      <w:pPr>
        <w:spacing w:line="360" w:lineRule="auto"/>
        <w:ind w:firstLine="420"/>
        <w:rPr>
          <w:color w:val="000000"/>
          <w:sz w:val="21"/>
          <w:szCs w:val="21"/>
          <w:lang w:eastAsia="zh-CN"/>
        </w:rPr>
      </w:pPr>
      <w:r>
        <w:rPr>
          <w:rFonts w:ascii="宋体" w:hAnsi="宋体" w:cs="宋体"/>
          <w:color w:val="000000" w:themeColor="text1"/>
          <w:sz w:val="21"/>
          <w:szCs w:val="21"/>
          <w:highlight w:val="white"/>
          <w:lang w:eastAsia="zh-CN"/>
        </w:rPr>
        <w:t>2</w:t>
      </w:r>
      <w:r>
        <w:rPr>
          <w:rFonts w:hint="eastAsia"/>
          <w:color w:val="000000" w:themeColor="text1"/>
          <w:sz w:val="21"/>
          <w:szCs w:val="21"/>
          <w:highlight w:val="white"/>
          <w:lang w:eastAsia="zh-CN"/>
        </w:rPr>
        <w:t>、更换基金管理人的程序</w:t>
      </w:r>
    </w:p>
    <w:p w:rsidR="00F14202">
      <w:pPr>
        <w:spacing w:line="360" w:lineRule="auto"/>
        <w:ind w:firstLine="420"/>
        <w:rPr>
          <w:color w:val="000000"/>
          <w:sz w:val="21"/>
          <w:szCs w:val="21"/>
          <w:lang w:eastAsia="zh-CN"/>
        </w:rPr>
      </w:pPr>
      <w:r w:rsidR="006D5AAE">
        <w:rPr>
          <w:rFonts w:ascii="宋体" w:hAnsi="宋体" w:cs="宋体" w:hint="eastAsia"/>
          <w:color w:val="000000" w:themeColor="text1"/>
          <w:sz w:val="21"/>
          <w:szCs w:val="21"/>
          <w:highlight w:val="white"/>
          <w:lang w:eastAsia="zh-CN"/>
        </w:rPr>
        <w:t>（1）</w:t>
      </w:r>
      <w:r>
        <w:rPr>
          <w:rFonts w:ascii="宋体" w:hAnsi="宋体" w:cs="宋体" w:hint="eastAsia"/>
          <w:color w:val="000000" w:themeColor="text1"/>
          <w:sz w:val="21"/>
          <w:szCs w:val="21"/>
          <w:highlight w:val="white"/>
          <w:lang w:eastAsia="zh-CN"/>
        </w:rPr>
        <w:t>提名：新任基金管理人由基金托管人或由单独或合计持有</w:t>
      </w:r>
      <w:r>
        <w:rPr>
          <w:rFonts w:ascii="宋体" w:hAnsi="宋体" w:cs="宋体" w:hint="eastAsia"/>
          <w:color w:val="000000" w:themeColor="text1"/>
          <w:sz w:val="21"/>
          <w:szCs w:val="21"/>
          <w:highlight w:val="white"/>
          <w:lang w:eastAsia="zh-CN"/>
        </w:rPr>
        <w:t>10%</w:t>
      </w:r>
      <w:r>
        <w:rPr>
          <w:rFonts w:ascii="宋体" w:hAnsi="宋体" w:cs="宋体" w:hint="eastAsia"/>
          <w:color w:val="000000" w:themeColor="text1"/>
          <w:sz w:val="21"/>
          <w:szCs w:val="21"/>
          <w:highlight w:val="white"/>
          <w:lang w:eastAsia="zh-CN"/>
        </w:rPr>
        <w:t>以上（含</w:t>
      </w:r>
      <w:r>
        <w:rPr>
          <w:rFonts w:ascii="宋体" w:hAnsi="宋体" w:cs="宋体" w:hint="eastAsia"/>
          <w:color w:val="000000" w:themeColor="text1"/>
          <w:sz w:val="21"/>
          <w:szCs w:val="21"/>
          <w:highlight w:val="white"/>
          <w:lang w:eastAsia="zh-CN"/>
        </w:rPr>
        <w:t>10%</w:t>
      </w:r>
      <w:r>
        <w:rPr>
          <w:rFonts w:ascii="宋体" w:hAnsi="宋体" w:cs="宋体" w:hint="eastAsia"/>
          <w:color w:val="000000" w:themeColor="text1"/>
          <w:sz w:val="21"/>
          <w:szCs w:val="21"/>
          <w:highlight w:val="white"/>
          <w:lang w:eastAsia="zh-CN"/>
        </w:rPr>
        <w:t>）基金份额的基金份额持有人提名；</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2</w:t>
      </w:r>
      <w:r>
        <w:rPr>
          <w:rFonts w:ascii="宋体" w:hAnsi="宋体" w:cs="宋体" w:hint="eastAsia"/>
          <w:color w:val="000000" w:themeColor="text1"/>
          <w:sz w:val="21"/>
          <w:szCs w:val="21"/>
          <w:highlight w:val="white"/>
          <w:lang w:eastAsia="zh-CN"/>
        </w:rPr>
        <w:t>）</w:t>
      </w:r>
      <w:r w:rsidR="00331671">
        <w:rPr>
          <w:rFonts w:ascii="宋体" w:hAnsi="宋体" w:cs="宋体" w:hint="eastAsia"/>
          <w:color w:val="000000" w:themeColor="text1"/>
          <w:sz w:val="21"/>
          <w:szCs w:val="21"/>
          <w:highlight w:val="white"/>
          <w:lang w:eastAsia="zh-CN"/>
        </w:rPr>
        <w:t>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3</w:t>
      </w:r>
      <w:r>
        <w:rPr>
          <w:rFonts w:ascii="宋体" w:hAnsi="宋体" w:cs="宋体" w:hint="eastAsia"/>
          <w:color w:val="000000" w:themeColor="text1"/>
          <w:sz w:val="21"/>
          <w:szCs w:val="21"/>
          <w:highlight w:val="white"/>
          <w:lang w:eastAsia="zh-CN"/>
        </w:rPr>
        <w:t>）</w:t>
      </w:r>
      <w:r w:rsidR="00331671">
        <w:rPr>
          <w:rFonts w:ascii="宋体" w:hAnsi="宋体" w:cs="宋体" w:hint="eastAsia"/>
          <w:color w:val="000000" w:themeColor="text1"/>
          <w:sz w:val="21"/>
          <w:szCs w:val="21"/>
          <w:highlight w:val="white"/>
          <w:lang w:eastAsia="zh-CN"/>
        </w:rPr>
        <w:t>临时基金管理人：新任基金管理人产生之前，由中国证监会指定临时基金管理人；</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4</w:t>
      </w:r>
      <w:r>
        <w:rPr>
          <w:rFonts w:ascii="宋体" w:hAnsi="宋体" w:cs="宋体" w:hint="eastAsia"/>
          <w:color w:val="000000" w:themeColor="text1"/>
          <w:sz w:val="21"/>
          <w:szCs w:val="21"/>
          <w:highlight w:val="white"/>
          <w:lang w:eastAsia="zh-CN"/>
        </w:rPr>
        <w:t>）</w:t>
      </w:r>
      <w:r w:rsidR="00331671">
        <w:rPr>
          <w:rFonts w:ascii="宋体" w:hAnsi="宋体" w:cs="宋体" w:hint="eastAsia"/>
          <w:color w:val="000000" w:themeColor="text1"/>
          <w:sz w:val="21"/>
          <w:szCs w:val="21"/>
          <w:highlight w:val="white"/>
          <w:lang w:eastAsia="zh-CN"/>
        </w:rPr>
        <w:t>备案：基金份额持有人大会更换基金管理人的决议须报中国证监会备案；</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5</w:t>
      </w:r>
      <w:r>
        <w:rPr>
          <w:rFonts w:ascii="宋体" w:hAnsi="宋体" w:cs="宋体" w:hint="eastAsia"/>
          <w:color w:val="000000" w:themeColor="text1"/>
          <w:sz w:val="21"/>
          <w:szCs w:val="21"/>
          <w:highlight w:val="white"/>
          <w:lang w:eastAsia="zh-CN"/>
        </w:rPr>
        <w:t>）</w:t>
      </w:r>
      <w:r w:rsidR="00331671">
        <w:rPr>
          <w:rFonts w:ascii="宋体" w:hAnsi="宋体" w:cs="宋体" w:hint="eastAsia"/>
          <w:color w:val="000000" w:themeColor="text1"/>
          <w:sz w:val="21"/>
          <w:szCs w:val="21"/>
          <w:highlight w:val="white"/>
          <w:lang w:eastAsia="zh-CN"/>
        </w:rPr>
        <w:t>公告：基金管理人更换后，由基金托管人在更换基金管理人的基金份额持有人大会决议生效后2日内在规定媒介公告；</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6</w:t>
      </w:r>
      <w:r>
        <w:rPr>
          <w:rFonts w:ascii="宋体" w:hAnsi="宋体" w:cs="宋体" w:hint="eastAsia"/>
          <w:color w:val="000000" w:themeColor="text1"/>
          <w:sz w:val="21"/>
          <w:szCs w:val="21"/>
          <w:highlight w:val="white"/>
          <w:lang w:eastAsia="zh-CN"/>
        </w:rPr>
        <w:t>）</w:t>
      </w:r>
      <w:r w:rsidR="00331671">
        <w:rPr>
          <w:rFonts w:ascii="宋体" w:hAnsi="宋体" w:cs="宋体" w:hint="eastAsia"/>
          <w:color w:val="000000" w:themeColor="text1"/>
          <w:sz w:val="21"/>
          <w:szCs w:val="21"/>
          <w:highlight w:val="white"/>
          <w:lang w:eastAsia="zh-CN"/>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7</w:t>
      </w:r>
      <w:r>
        <w:rPr>
          <w:rFonts w:ascii="宋体" w:hAnsi="宋体" w:cs="宋体" w:hint="eastAsia"/>
          <w:color w:val="000000" w:themeColor="text1"/>
          <w:sz w:val="21"/>
          <w:szCs w:val="21"/>
          <w:highlight w:val="white"/>
          <w:lang w:eastAsia="zh-CN"/>
        </w:rPr>
        <w:t>）</w:t>
      </w:r>
      <w:r w:rsidR="00331671">
        <w:rPr>
          <w:rFonts w:ascii="宋体" w:hAnsi="宋体" w:cs="宋体" w:hint="eastAsia"/>
          <w:color w:val="000000" w:themeColor="text1"/>
          <w:sz w:val="21"/>
          <w:szCs w:val="21"/>
          <w:highlight w:val="white"/>
          <w:lang w:eastAsia="zh-CN"/>
        </w:rPr>
        <w:t>审计：基金管理人职责终止的，应当按照法律法规规定聘请会计师事务所对基金财产进行审计，并将审计结果予以公告，同时报中国证监会备案。审计费用从基金财产中列支；</w:t>
      </w:r>
    </w:p>
    <w:p w:rsidR="00F14202">
      <w:pPr>
        <w:spacing w:line="360" w:lineRule="auto"/>
        <w:ind w:firstLine="420"/>
        <w:rPr>
          <w:color w:val="000000"/>
          <w:sz w:val="21"/>
          <w:szCs w:val="21"/>
          <w:lang w:eastAsia="zh-CN"/>
        </w:rPr>
      </w:pPr>
      <w:r w:rsidR="006D5AAE">
        <w:rPr>
          <w:rFonts w:ascii="宋体" w:hAnsi="宋体" w:cs="宋体" w:hint="eastAsia"/>
          <w:color w:val="000000" w:themeColor="text1"/>
          <w:sz w:val="21"/>
          <w:szCs w:val="21"/>
          <w:highlight w:val="white"/>
          <w:lang w:eastAsia="zh-CN"/>
        </w:rPr>
        <w:t>（8）</w:t>
      </w:r>
      <w:r>
        <w:rPr>
          <w:rFonts w:ascii="宋体" w:hAnsi="宋体" w:cs="宋体" w:hint="eastAsia"/>
          <w:color w:val="000000" w:themeColor="text1"/>
          <w:sz w:val="21"/>
          <w:szCs w:val="21"/>
          <w:highlight w:val="white"/>
          <w:lang w:eastAsia="zh-CN"/>
        </w:rPr>
        <w:t>基金名称变更：基金管理人更换后，如果原任或新任基金管理人要求，应按其要求替换或删除基金名称中与原基金管理人有关的名称字样。</w:t>
      </w:r>
    </w:p>
    <w:p w:rsidR="00F14202" w:rsidRPr="006D5AAE">
      <w:pPr>
        <w:spacing w:line="360" w:lineRule="auto"/>
        <w:ind w:firstLine="420"/>
        <w:rPr>
          <w:color w:val="000000"/>
          <w:sz w:val="21"/>
          <w:szCs w:val="21"/>
          <w:lang w:eastAsia="zh-CN"/>
        </w:rPr>
      </w:pP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3</w:t>
      </w:r>
      <w:r>
        <w:rPr>
          <w:rFonts w:hint="eastAsia"/>
          <w:color w:val="000000" w:themeColor="text1"/>
          <w:sz w:val="21"/>
          <w:szCs w:val="21"/>
          <w:highlight w:val="white"/>
          <w:lang w:eastAsia="zh-CN"/>
        </w:rPr>
        <w:t>、原任基金管理人职责终止后，新任基金管理人或临时基金管理人接受基金管理业务前，原任基金管理人和基金托管人需采取审慎措施确保基金财产的安全，不对基金份额持有人的利益造成损失，并有义务协助新任基金管理人或临时基金管理人尽快恢复基金财产的投资运作。</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（二）基金托管人的更换</w:t>
      </w:r>
    </w:p>
    <w:p w:rsidR="00F14202">
      <w:pPr>
        <w:spacing w:line="360" w:lineRule="auto"/>
        <w:ind w:firstLine="420"/>
        <w:rPr>
          <w:color w:val="000000"/>
          <w:sz w:val="21"/>
          <w:szCs w:val="21"/>
          <w:lang w:eastAsia="zh-CN"/>
        </w:rPr>
      </w:pPr>
      <w:r>
        <w:rPr>
          <w:rFonts w:ascii="宋体" w:hAnsi="宋体" w:cs="宋体"/>
          <w:color w:val="000000" w:themeColor="text1"/>
          <w:sz w:val="21"/>
          <w:szCs w:val="21"/>
          <w:highlight w:val="white"/>
          <w:lang w:eastAsia="zh-CN"/>
        </w:rPr>
        <w:t>1</w:t>
      </w:r>
      <w:r>
        <w:rPr>
          <w:rFonts w:hint="eastAsia"/>
          <w:color w:val="000000" w:themeColor="text1"/>
          <w:sz w:val="21"/>
          <w:szCs w:val="21"/>
          <w:highlight w:val="white"/>
          <w:lang w:eastAsia="zh-CN"/>
        </w:rPr>
        <w:t>、基金托管人的更换条件</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有下列情形之一的，基金托管人职责终止：</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1</w:t>
      </w:r>
      <w:r>
        <w:rPr>
          <w:rFonts w:ascii="宋体" w:hAnsi="宋体" w:cs="宋体" w:hint="eastAsia"/>
          <w:color w:val="000000" w:themeColor="text1"/>
          <w:sz w:val="21"/>
          <w:szCs w:val="21"/>
          <w:highlight w:val="white"/>
          <w:lang w:eastAsia="zh-CN"/>
        </w:rPr>
        <w:t>）</w:t>
      </w:r>
      <w:r w:rsidR="00331671">
        <w:rPr>
          <w:rFonts w:ascii="宋体" w:hAnsi="宋体" w:cs="宋体" w:hint="eastAsia"/>
          <w:color w:val="000000" w:themeColor="text1"/>
          <w:sz w:val="21"/>
          <w:szCs w:val="21"/>
          <w:highlight w:val="white"/>
          <w:lang w:eastAsia="zh-CN"/>
        </w:rPr>
        <w:t>被依法取消基金托管资格；</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2</w:t>
      </w:r>
      <w:r>
        <w:rPr>
          <w:rFonts w:ascii="宋体" w:hAnsi="宋体" w:cs="宋体" w:hint="eastAsia"/>
          <w:color w:val="000000" w:themeColor="text1"/>
          <w:sz w:val="21"/>
          <w:szCs w:val="21"/>
          <w:highlight w:val="white"/>
          <w:lang w:eastAsia="zh-CN"/>
        </w:rPr>
        <w:t>）</w:t>
      </w:r>
      <w:r w:rsidR="00331671">
        <w:rPr>
          <w:rFonts w:ascii="宋体" w:hAnsi="宋体" w:cs="宋体" w:hint="eastAsia"/>
          <w:color w:val="000000" w:themeColor="text1"/>
          <w:sz w:val="21"/>
          <w:szCs w:val="21"/>
          <w:highlight w:val="white"/>
          <w:lang w:eastAsia="zh-CN"/>
        </w:rPr>
        <w:t>被基金份额持有人大会解任；</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3</w:t>
      </w:r>
      <w:r>
        <w:rPr>
          <w:rFonts w:ascii="宋体" w:hAnsi="宋体" w:cs="宋体" w:hint="eastAsia"/>
          <w:color w:val="000000" w:themeColor="text1"/>
          <w:sz w:val="21"/>
          <w:szCs w:val="21"/>
          <w:highlight w:val="white"/>
          <w:lang w:eastAsia="zh-CN"/>
        </w:rPr>
        <w:t>）</w:t>
      </w:r>
      <w:r w:rsidR="00331671">
        <w:rPr>
          <w:rFonts w:ascii="宋体" w:hAnsi="宋体" w:cs="宋体" w:hint="eastAsia"/>
          <w:color w:val="000000" w:themeColor="text1"/>
          <w:sz w:val="21"/>
          <w:szCs w:val="21"/>
          <w:highlight w:val="white"/>
          <w:lang w:eastAsia="zh-CN"/>
        </w:rPr>
        <w:t>依法解散、被依法撤销或被依法宣告破产；</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4</w:t>
      </w:r>
      <w:r>
        <w:rPr>
          <w:rFonts w:ascii="宋体" w:hAnsi="宋体" w:cs="宋体" w:hint="eastAsia"/>
          <w:color w:val="000000" w:themeColor="text1"/>
          <w:sz w:val="21"/>
          <w:szCs w:val="21"/>
          <w:highlight w:val="white"/>
          <w:lang w:eastAsia="zh-CN"/>
        </w:rPr>
        <w:t>）</w:t>
      </w:r>
      <w:r w:rsidR="00331671">
        <w:rPr>
          <w:rFonts w:ascii="宋体" w:hAnsi="宋体" w:cs="宋体" w:hint="eastAsia"/>
          <w:color w:val="000000" w:themeColor="text1"/>
          <w:sz w:val="21"/>
          <w:szCs w:val="21"/>
          <w:highlight w:val="white"/>
          <w:lang w:eastAsia="zh-CN"/>
        </w:rPr>
        <w:t>法律法规及中国证监会规定的和《基金合同》约定的其他情形。</w:t>
      </w:r>
    </w:p>
    <w:p w:rsidR="00F14202" w:rsidRPr="006D5AAE">
      <w:pPr>
        <w:spacing w:line="360" w:lineRule="auto"/>
        <w:ind w:firstLine="420"/>
        <w:rPr>
          <w:color w:val="000000"/>
          <w:sz w:val="21"/>
          <w:szCs w:val="21"/>
          <w:lang w:eastAsia="zh-CN"/>
        </w:rPr>
      </w:pPr>
    </w:p>
    <w:p w:rsidR="00F14202">
      <w:pPr>
        <w:spacing w:line="360" w:lineRule="auto"/>
        <w:ind w:firstLine="420"/>
        <w:rPr>
          <w:color w:val="000000"/>
          <w:sz w:val="21"/>
          <w:szCs w:val="21"/>
          <w:lang w:eastAsia="zh-CN"/>
        </w:rPr>
      </w:pPr>
      <w:r>
        <w:rPr>
          <w:rFonts w:ascii="宋体" w:hAnsi="宋体" w:cs="宋体"/>
          <w:color w:val="000000" w:themeColor="text1"/>
          <w:sz w:val="21"/>
          <w:szCs w:val="21"/>
          <w:highlight w:val="white"/>
          <w:lang w:eastAsia="zh-CN"/>
        </w:rPr>
        <w:t>2</w:t>
      </w:r>
      <w:r>
        <w:rPr>
          <w:rFonts w:hint="eastAsia"/>
          <w:color w:val="000000" w:themeColor="text1"/>
          <w:sz w:val="21"/>
          <w:szCs w:val="21"/>
          <w:highlight w:val="white"/>
          <w:lang w:eastAsia="zh-CN"/>
        </w:rPr>
        <w:t>、更换基金托管人的程序</w:t>
      </w:r>
    </w:p>
    <w:p w:rsidR="00F14202">
      <w:pPr>
        <w:spacing w:line="360" w:lineRule="auto"/>
        <w:ind w:firstLine="420"/>
        <w:rPr>
          <w:color w:val="000000"/>
          <w:sz w:val="21"/>
          <w:szCs w:val="21"/>
          <w:lang w:eastAsia="zh-CN"/>
        </w:rPr>
      </w:pPr>
      <w:r w:rsidR="006D5AAE">
        <w:rPr>
          <w:rFonts w:ascii="宋体" w:hAnsi="宋体" w:cs="宋体" w:hint="eastAsia"/>
          <w:color w:val="000000" w:themeColor="text1"/>
          <w:sz w:val="21"/>
          <w:szCs w:val="21"/>
          <w:highlight w:val="white"/>
          <w:lang w:eastAsia="zh-CN"/>
        </w:rPr>
        <w:t>（1）</w:t>
      </w:r>
      <w:r>
        <w:rPr>
          <w:rFonts w:ascii="宋体" w:hAnsi="宋体" w:cs="宋体" w:hint="eastAsia"/>
          <w:color w:val="000000" w:themeColor="text1"/>
          <w:sz w:val="21"/>
          <w:szCs w:val="21"/>
          <w:highlight w:val="white"/>
          <w:lang w:eastAsia="zh-CN"/>
        </w:rPr>
        <w:t>提名：新任基金托管人由基金管理人或由单独或合计持有</w:t>
      </w:r>
      <w:r>
        <w:rPr>
          <w:rFonts w:ascii="宋体" w:hAnsi="宋体" w:cs="宋体" w:hint="eastAsia"/>
          <w:color w:val="000000" w:themeColor="text1"/>
          <w:sz w:val="21"/>
          <w:szCs w:val="21"/>
          <w:highlight w:val="white"/>
          <w:lang w:eastAsia="zh-CN"/>
        </w:rPr>
        <w:t>10%</w:t>
      </w:r>
      <w:r>
        <w:rPr>
          <w:rFonts w:ascii="宋体" w:hAnsi="宋体" w:cs="宋体" w:hint="eastAsia"/>
          <w:color w:val="000000" w:themeColor="text1"/>
          <w:sz w:val="21"/>
          <w:szCs w:val="21"/>
          <w:highlight w:val="white"/>
          <w:lang w:eastAsia="zh-CN"/>
        </w:rPr>
        <w:t>以上（含</w:t>
      </w:r>
      <w:r>
        <w:rPr>
          <w:rFonts w:ascii="宋体" w:hAnsi="宋体" w:cs="宋体" w:hint="eastAsia"/>
          <w:color w:val="000000" w:themeColor="text1"/>
          <w:sz w:val="21"/>
          <w:szCs w:val="21"/>
          <w:highlight w:val="white"/>
          <w:lang w:eastAsia="zh-CN"/>
        </w:rPr>
        <w:t>10%</w:t>
      </w:r>
      <w:r>
        <w:rPr>
          <w:rFonts w:ascii="宋体" w:hAnsi="宋体" w:cs="宋体" w:hint="eastAsia"/>
          <w:color w:val="000000" w:themeColor="text1"/>
          <w:sz w:val="21"/>
          <w:szCs w:val="21"/>
          <w:highlight w:val="white"/>
          <w:lang w:eastAsia="zh-CN"/>
        </w:rPr>
        <w:t>）基金份额的基金份额持有人提名；</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2</w:t>
      </w:r>
      <w:r>
        <w:rPr>
          <w:rFonts w:ascii="宋体" w:hAnsi="宋体" w:cs="宋体" w:hint="eastAsia"/>
          <w:color w:val="000000" w:themeColor="text1"/>
          <w:sz w:val="21"/>
          <w:szCs w:val="21"/>
          <w:highlight w:val="white"/>
          <w:lang w:eastAsia="zh-CN"/>
        </w:rPr>
        <w:t>）</w:t>
      </w:r>
      <w:r w:rsidR="00331671">
        <w:rPr>
          <w:rFonts w:ascii="宋体" w:hAnsi="宋体" w:cs="宋体" w:hint="eastAsia"/>
          <w:color w:val="000000" w:themeColor="text1"/>
          <w:sz w:val="21"/>
          <w:szCs w:val="21"/>
          <w:highlight w:val="white"/>
          <w:lang w:eastAsia="zh-CN"/>
        </w:rPr>
        <w:t>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3</w:t>
      </w:r>
      <w:r>
        <w:rPr>
          <w:rFonts w:ascii="宋体" w:hAnsi="宋体" w:cs="宋体" w:hint="eastAsia"/>
          <w:color w:val="000000" w:themeColor="text1"/>
          <w:sz w:val="21"/>
          <w:szCs w:val="21"/>
          <w:highlight w:val="white"/>
          <w:lang w:eastAsia="zh-CN"/>
        </w:rPr>
        <w:t>）</w:t>
      </w:r>
      <w:r w:rsidR="00331671">
        <w:rPr>
          <w:rFonts w:ascii="宋体" w:hAnsi="宋体" w:cs="宋体" w:hint="eastAsia"/>
          <w:color w:val="000000" w:themeColor="text1"/>
          <w:sz w:val="21"/>
          <w:szCs w:val="21"/>
          <w:highlight w:val="white"/>
          <w:lang w:eastAsia="zh-CN"/>
        </w:rPr>
        <w:t>临时基金托管人：新任基金托管人产生之前，由中国证监会指定临时基金托管人；</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4</w:t>
      </w:r>
      <w:r>
        <w:rPr>
          <w:rFonts w:ascii="宋体" w:hAnsi="宋体" w:cs="宋体" w:hint="eastAsia"/>
          <w:color w:val="000000" w:themeColor="text1"/>
          <w:sz w:val="21"/>
          <w:szCs w:val="21"/>
          <w:highlight w:val="white"/>
          <w:lang w:eastAsia="zh-CN"/>
        </w:rPr>
        <w:t>）</w:t>
      </w:r>
      <w:r w:rsidR="00331671">
        <w:rPr>
          <w:rFonts w:ascii="宋体" w:hAnsi="宋体" w:cs="宋体" w:hint="eastAsia"/>
          <w:color w:val="000000" w:themeColor="text1"/>
          <w:sz w:val="21"/>
          <w:szCs w:val="21"/>
          <w:highlight w:val="white"/>
          <w:lang w:eastAsia="zh-CN"/>
        </w:rPr>
        <w:t>备案：基金份额持有人大会更换基金托管人的决议须报中国证监会备案；</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5</w:t>
      </w:r>
      <w:r>
        <w:rPr>
          <w:rFonts w:ascii="宋体" w:hAnsi="宋体" w:cs="宋体" w:hint="eastAsia"/>
          <w:color w:val="000000" w:themeColor="text1"/>
          <w:sz w:val="21"/>
          <w:szCs w:val="21"/>
          <w:highlight w:val="white"/>
          <w:lang w:eastAsia="zh-CN"/>
        </w:rPr>
        <w:t>）</w:t>
      </w:r>
      <w:r w:rsidR="00331671">
        <w:rPr>
          <w:rFonts w:ascii="宋体" w:hAnsi="宋体" w:cs="宋体" w:hint="eastAsia"/>
          <w:color w:val="000000" w:themeColor="text1"/>
          <w:sz w:val="21"/>
          <w:szCs w:val="21"/>
          <w:highlight w:val="white"/>
          <w:lang w:eastAsia="zh-CN"/>
        </w:rPr>
        <w:t>公告：基金托管人更换后，由基金管理人在更换基金托管人的基金份额持有人大会决议生效后2日内在规定媒介公告；</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w:t>
      </w:r>
      <w:r>
        <w:rPr>
          <w:rFonts w:ascii="宋体" w:hAnsi="宋体" w:cs="宋体" w:hint="eastAsia"/>
          <w:color w:val="000000" w:themeColor="text1"/>
          <w:sz w:val="21"/>
          <w:szCs w:val="21"/>
          <w:highlight w:val="white"/>
          <w:lang w:eastAsia="zh-CN"/>
        </w:rPr>
        <w:t>6</w:t>
      </w:r>
      <w:r>
        <w:rPr>
          <w:rFonts w:ascii="宋体" w:hAnsi="宋体" w:cs="宋体" w:hint="eastAsia"/>
          <w:color w:val="000000" w:themeColor="text1"/>
          <w:sz w:val="21"/>
          <w:szCs w:val="21"/>
          <w:highlight w:val="white"/>
          <w:lang w:eastAsia="zh-CN"/>
        </w:rPr>
        <w:t>）</w:t>
      </w:r>
      <w:r w:rsidR="00331671">
        <w:rPr>
          <w:rFonts w:ascii="宋体" w:hAnsi="宋体" w:cs="宋体" w:hint="eastAsia"/>
          <w:color w:val="000000" w:themeColor="text1"/>
          <w:sz w:val="21"/>
          <w:szCs w:val="21"/>
          <w:highlight w:val="white"/>
          <w:lang w:eastAsia="zh-CN"/>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F14202">
      <w:pPr>
        <w:spacing w:line="360" w:lineRule="auto"/>
        <w:ind w:firstLine="420"/>
        <w:rPr>
          <w:color w:val="000000"/>
          <w:sz w:val="21"/>
          <w:szCs w:val="21"/>
          <w:lang w:eastAsia="zh-CN"/>
        </w:rPr>
      </w:pPr>
      <w:r w:rsidR="006D5AAE">
        <w:rPr>
          <w:rFonts w:ascii="宋体" w:hAnsi="宋体" w:cs="宋体" w:hint="eastAsia"/>
          <w:color w:val="000000" w:themeColor="text1"/>
          <w:sz w:val="21"/>
          <w:szCs w:val="21"/>
          <w:highlight w:val="white"/>
          <w:lang w:eastAsia="zh-CN"/>
        </w:rPr>
        <w:t>（7）</w:t>
      </w:r>
      <w:r>
        <w:rPr>
          <w:rFonts w:ascii="宋体" w:hAnsi="宋体" w:cs="宋体" w:hint="eastAsia"/>
          <w:color w:val="000000" w:themeColor="text1"/>
          <w:sz w:val="21"/>
          <w:szCs w:val="21"/>
          <w:highlight w:val="white"/>
          <w:lang w:eastAsia="zh-CN"/>
        </w:rPr>
        <w:t>审计：基金托管人职责终止的，应当按照法律法规规定聘请会计师事务所对基金财产进行审计，并将审计结果予以公告，同时报中国证监会备案。审计费用从基金财产中列支。</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3</w:t>
      </w:r>
      <w:r>
        <w:rPr>
          <w:rFonts w:hint="eastAsia"/>
          <w:color w:val="000000" w:themeColor="text1"/>
          <w:sz w:val="21"/>
          <w:szCs w:val="21"/>
          <w:highlight w:val="white"/>
          <w:lang w:eastAsia="zh-CN"/>
        </w:rPr>
        <w:t>、原任基金托管人职责终止后，新任基金托管人或临时基金托管人接受基金财产和基金托管业务前，原基金托管人和基金管理人需采取审慎措施确保基金财产的安全，不对基金份额持有人的利益造成</w:t>
      </w:r>
      <w:r>
        <w:rPr>
          <w:rFonts w:hint="eastAsia"/>
          <w:color w:val="000000" w:themeColor="text1"/>
          <w:sz w:val="21"/>
          <w:szCs w:val="21"/>
          <w:highlight w:val="white"/>
          <w:lang w:eastAsia="zh-CN"/>
        </w:rPr>
        <w:t>损失，并有义务协助新任基金托管人或临时基金托管人尽快交接基金资产。</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（三）基金管理人和基金托管人的同时更换</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1</w:t>
      </w:r>
      <w:r>
        <w:rPr>
          <w:rFonts w:ascii="宋体" w:hAnsi="宋体" w:cs="宋体" w:hint="eastAsia"/>
          <w:color w:val="000000" w:themeColor="text1"/>
          <w:sz w:val="21"/>
          <w:szCs w:val="21"/>
          <w:highlight w:val="white"/>
          <w:lang w:eastAsia="zh-CN"/>
        </w:rPr>
        <w:t>、提名：如果基金管理人和基金托管人同时更换，由单独或合计持有基金总份额</w:t>
      </w:r>
      <w:r>
        <w:rPr>
          <w:rFonts w:ascii="宋体" w:hAnsi="宋体" w:cs="宋体" w:hint="eastAsia"/>
          <w:color w:val="000000" w:themeColor="text1"/>
          <w:sz w:val="21"/>
          <w:szCs w:val="21"/>
          <w:highlight w:val="white"/>
          <w:lang w:eastAsia="zh-CN"/>
        </w:rPr>
        <w:t>10%</w:t>
      </w:r>
      <w:r>
        <w:rPr>
          <w:rFonts w:ascii="宋体" w:hAnsi="宋体" w:cs="宋体" w:hint="eastAsia"/>
          <w:color w:val="000000" w:themeColor="text1"/>
          <w:sz w:val="21"/>
          <w:szCs w:val="21"/>
          <w:highlight w:val="white"/>
          <w:lang w:eastAsia="zh-CN"/>
        </w:rPr>
        <w:t>以上（含</w:t>
      </w:r>
      <w:r>
        <w:rPr>
          <w:rFonts w:ascii="宋体" w:hAnsi="宋体" w:cs="宋体" w:hint="eastAsia"/>
          <w:color w:val="000000" w:themeColor="text1"/>
          <w:sz w:val="21"/>
          <w:szCs w:val="21"/>
          <w:highlight w:val="white"/>
          <w:lang w:eastAsia="zh-CN"/>
        </w:rPr>
        <w:t>10%</w:t>
      </w:r>
      <w:r>
        <w:rPr>
          <w:rFonts w:ascii="宋体" w:hAnsi="宋体" w:cs="宋体" w:hint="eastAsia"/>
          <w:color w:val="000000" w:themeColor="text1"/>
          <w:sz w:val="21"/>
          <w:szCs w:val="21"/>
          <w:highlight w:val="white"/>
          <w:lang w:eastAsia="zh-CN"/>
        </w:rPr>
        <w:t>）的基金份额持有人提名新的基金管理人和基金托管人；</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2</w:t>
      </w:r>
      <w:r>
        <w:rPr>
          <w:rFonts w:ascii="宋体" w:hAnsi="宋体" w:cs="宋体" w:hint="eastAsia"/>
          <w:color w:val="000000" w:themeColor="text1"/>
          <w:sz w:val="21"/>
          <w:szCs w:val="21"/>
          <w:highlight w:val="white"/>
          <w:lang w:eastAsia="zh-CN"/>
        </w:rPr>
        <w:t>、基金管理人和基金托管人的更换分别按上述程序进行；</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3</w:t>
      </w:r>
      <w:r>
        <w:rPr>
          <w:rFonts w:ascii="宋体" w:hAnsi="宋体" w:cs="宋体" w:hint="eastAsia"/>
          <w:color w:val="000000" w:themeColor="text1"/>
          <w:sz w:val="21"/>
          <w:szCs w:val="21"/>
          <w:highlight w:val="white"/>
          <w:lang w:eastAsia="zh-CN"/>
        </w:rPr>
        <w:t>、公告：新任基金管理人和新任基金托管人应在更换基金管理人和基金托管人的基金份额持有人大会决议生效后</w:t>
      </w:r>
      <w:r>
        <w:rPr>
          <w:rFonts w:ascii="宋体" w:hAnsi="宋体" w:cs="宋体" w:hint="eastAsia"/>
          <w:color w:val="000000" w:themeColor="text1"/>
          <w:sz w:val="21"/>
          <w:szCs w:val="21"/>
          <w:highlight w:val="white"/>
          <w:lang w:eastAsia="zh-CN"/>
        </w:rPr>
        <w:t>2</w:t>
      </w:r>
      <w:r>
        <w:rPr>
          <w:rFonts w:ascii="宋体" w:hAnsi="宋体" w:cs="宋体" w:hint="eastAsia"/>
          <w:color w:val="000000" w:themeColor="text1"/>
          <w:sz w:val="21"/>
          <w:szCs w:val="21"/>
          <w:highlight w:val="white"/>
          <w:lang w:eastAsia="zh-CN"/>
        </w:rPr>
        <w:t>日内在规定媒介上联合公告。</w:t>
      </w:r>
    </w:p>
    <w:p w:rsidR="00F14202">
      <w:pPr>
        <w:spacing w:line="360" w:lineRule="auto"/>
        <w:ind w:firstLine="420"/>
        <w:rPr>
          <w:color w:val="000000"/>
          <w:sz w:val="21"/>
          <w:szCs w:val="21"/>
          <w:lang w:eastAsia="zh-CN"/>
        </w:rPr>
      </w:pPr>
    </w:p>
    <w:p w:rsidR="00F14202">
      <w:pPr>
        <w:spacing w:line="360" w:lineRule="auto"/>
        <w:ind w:firstLine="420"/>
        <w:rPr>
          <w:color w:val="000000"/>
          <w:sz w:val="21"/>
          <w:szCs w:val="21"/>
          <w:lang w:eastAsia="zh-CN"/>
        </w:rPr>
      </w:pPr>
      <w:r>
        <w:rPr>
          <w:rFonts w:hint="eastAsia"/>
          <w:color w:val="000000"/>
          <w:sz w:val="21"/>
          <w:szCs w:val="21"/>
          <w:highlight w:val="white"/>
          <w:lang w:eastAsia="zh-CN"/>
        </w:rPr>
        <w:t>（四）基金托管人更换的特殊程序</w:t>
      </w:r>
      <w:r>
        <w:rPr>
          <w:rFonts w:ascii="宋体" w:hAnsi="宋体" w:cs="宋体" w:hint="eastAsia"/>
          <w:color w:val="000000"/>
          <w:sz w:val="21"/>
          <w:szCs w:val="21"/>
          <w:highlight w:val="white"/>
          <w:lang w:eastAsia="zh-CN"/>
        </w:rPr>
        <w:t xml:space="preserve"> </w:t>
      </w:r>
    </w:p>
    <w:p w:rsidR="00F14202">
      <w:pPr>
        <w:spacing w:line="360" w:lineRule="auto"/>
        <w:ind w:firstLine="420"/>
        <w:rPr>
          <w:color w:val="000000"/>
          <w:sz w:val="21"/>
          <w:szCs w:val="21"/>
          <w:lang w:eastAsia="zh-CN"/>
        </w:rPr>
      </w:pPr>
      <w:r>
        <w:rPr>
          <w:rFonts w:hint="eastAsia"/>
          <w:color w:val="000000"/>
          <w:sz w:val="21"/>
          <w:szCs w:val="21"/>
          <w:highlight w:val="white"/>
          <w:lang w:eastAsia="zh-CN"/>
        </w:rPr>
        <w:t>下述更换基金托管人的情形仅适用于以下特殊程序，不适用其他约定：</w:t>
      </w:r>
    </w:p>
    <w:p w:rsidR="00F14202">
      <w:pPr>
        <w:spacing w:line="360" w:lineRule="auto"/>
        <w:ind w:firstLine="420"/>
        <w:rPr>
          <w:color w:val="000000"/>
          <w:sz w:val="21"/>
          <w:szCs w:val="21"/>
          <w:lang w:eastAsia="zh-CN"/>
        </w:rPr>
      </w:pPr>
      <w:r>
        <w:rPr>
          <w:rFonts w:hint="eastAsia"/>
          <w:color w:val="000000"/>
          <w:sz w:val="21"/>
          <w:szCs w:val="21"/>
          <w:highlight w:val="white"/>
          <w:lang w:eastAsia="zh-CN"/>
        </w:rPr>
        <w:t>当基金托管人获得监管机构批复或核准可以通过其独资或者控股的、具有独立法人资格的子公司（“托管子公司”）从事托管业务后，在符合相关法律法规及监管规定的基础上，经基金管理人和基金托管人协商一致，基金托管人有权在对基金合同无实质性修改的前提下，将基金合同中应由基金托管人享有的权利和承担的义务概括转让给托管子公司，本基金的基金托管人变更为托管子公司。前述基金托管人变更事项无需另行征询基金份额持有人同意或召开基金份额持有人大会审议，亦无需另行签订基金合同</w:t>
      </w:r>
      <w:r>
        <w:rPr>
          <w:rFonts w:hint="eastAsia"/>
          <w:color w:val="000000"/>
          <w:sz w:val="21"/>
          <w:szCs w:val="21"/>
          <w:highlight w:val="white"/>
          <w:lang w:eastAsia="zh-CN"/>
        </w:rPr>
        <w:t>或托管协议，但基金管理人、基金托管人应当按照法律法规和中国证监会的要求履行相关程序，并按照《信息披露办法》的规定在规定媒介公告。自该等公告通知载明的指定时间（含）起，上述概括转让被视为自动完成，本托管协议项下的托管人自此变更为托管子公司。</w:t>
      </w:r>
    </w:p>
    <w:p w:rsidR="00F14202">
      <w:pPr>
        <w:spacing w:line="360" w:lineRule="auto"/>
        <w:ind w:firstLine="420"/>
        <w:rPr>
          <w:color w:val="000000"/>
          <w:sz w:val="21"/>
          <w:szCs w:val="21"/>
          <w:lang w:eastAsia="zh-CN"/>
        </w:rPr>
      </w:pPr>
      <w:r>
        <w:rPr>
          <w:rFonts w:hint="eastAsia"/>
          <w:color w:val="000000"/>
          <w:sz w:val="21"/>
          <w:szCs w:val="21"/>
          <w:highlight w:val="white"/>
          <w:lang w:eastAsia="zh-CN"/>
        </w:rPr>
        <w:t>为避免疑义，上述基金托管人变更事项不属于基金托管人职责终止或解任情形，继任的基金托管人将依据监管规定和基金合同、托管协议的约定履行相应的权利与义务。上述基金托管人变更事项不触发基金合同或托管协议的终止事由，不会导致基金合同或托管协议终止。</w:t>
      </w:r>
    </w:p>
    <w:p w:rsidR="00F14202">
      <w:pPr>
        <w:spacing w:line="360" w:lineRule="auto"/>
        <w:ind w:firstLine="420"/>
        <w:rPr>
          <w:color w:val="000000"/>
          <w:sz w:val="21"/>
          <w:szCs w:val="21"/>
          <w:lang w:eastAsia="zh-CN"/>
        </w:rPr>
      </w:pPr>
    </w:p>
    <w:p w:rsidR="00F14202">
      <w:pPr>
        <w:pStyle w:val="Heading1"/>
        <w:numPr>
          <w:ilvl w:val="0"/>
          <w:numId w:val="1"/>
        </w:numPr>
        <w:spacing w:before="120" w:after="120" w:line="360" w:lineRule="auto"/>
        <w:jc w:val="center"/>
        <w:rPr>
          <w:b w:val="0"/>
          <w:color w:val="000000"/>
          <w:sz w:val="24"/>
          <w:szCs w:val="24"/>
        </w:rPr>
      </w:pPr>
      <w:bookmarkStart w:id="37" w:name="_Toc394474010"/>
      <w:bookmarkStart w:id="38" w:name="_Toc881145"/>
      <w:r>
        <w:rPr>
          <w:rFonts w:hint="eastAsia"/>
          <w:color w:val="000000" w:themeColor="text1"/>
          <w:sz w:val="24"/>
          <w:szCs w:val="24"/>
          <w:highlight w:val="white"/>
        </w:rPr>
        <w:t>禁止行为</w:t>
      </w:r>
      <w:bookmarkEnd w:id="37"/>
      <w:bookmarkEnd w:id="38"/>
    </w:p>
    <w:p w:rsidR="00F14202">
      <w:pPr>
        <w:spacing w:line="360" w:lineRule="auto"/>
        <w:ind w:firstLine="420"/>
        <w:rPr>
          <w:color w:val="000000"/>
          <w:sz w:val="21"/>
          <w:szCs w:val="21"/>
        </w:rPr>
      </w:pP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托管协议当事人禁止</w:t>
      </w:r>
      <w:r>
        <w:rPr>
          <w:rFonts w:hint="eastAsia"/>
          <w:color w:val="000000" w:themeColor="text1"/>
          <w:sz w:val="21"/>
          <w:szCs w:val="21"/>
          <w:highlight w:val="white"/>
          <w:lang w:eastAsia="zh-CN"/>
        </w:rPr>
        <w:t>从事的行为，包括但不限于：</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（一）基金管理人、基金托管人将其固有财产或者他人财产混同于基金财产从事证券投资。</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（二）基金管理人、基金托管人不公平地对待其管理或托管的不同基金财产。</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（三）基金管理人、基金托管人利用基金财产为基金份额持有人以外的第三人牟取利益。</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（四）基金管理人、基金托管人向基金份额持有人违规承诺收益或者承担损失。</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（五）基金管理人、基金托管人对他人泄露基金经营过程中任何尚未按法律法规规定的方式公开披露的信息。</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（六）基金管理人在没有充足资金的情况下向基金托管人发出投资指令和赎回、分红资金的划拨指令，或违规向基金托管人发出指令。</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（七）基金托管人对基金管理人的正常有效指令拖延或拒绝执行。</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（八）基金管理人、基金托管人在行政上、财务上不独立，其高级基金管理人员和其他从业人员相互兼职。</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（九）基金托管人私自动用或处分基金资产，根据基金管理人的合法指令、</w:t>
      </w:r>
      <w:r>
        <w:rPr>
          <w:rFonts w:ascii="宋体" w:hAnsi="Calibri" w:cs="宋体" w:hint="eastAsia"/>
          <w:color w:val="000000" w:themeColor="text1"/>
          <w:sz w:val="21"/>
          <w:szCs w:val="21"/>
          <w:highlight w:val="white"/>
          <w:lang w:eastAsia="zh-CN"/>
        </w:rPr>
        <w:t>《基金合同》</w:t>
      </w:r>
      <w:r>
        <w:rPr>
          <w:rFonts w:hint="eastAsia"/>
          <w:color w:val="000000" w:themeColor="text1"/>
          <w:sz w:val="21"/>
          <w:szCs w:val="21"/>
          <w:highlight w:val="white"/>
          <w:lang w:eastAsia="zh-CN"/>
        </w:rPr>
        <w:t>或托管协议的规定进行处分的除外。</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（十）基金管理人、基金托管人不得利用基金财产用于下列投资或者活动（同本协议第三章约定内容）：</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1</w:t>
      </w:r>
      <w:r w:rsidR="009A2B8E">
        <w:rPr>
          <w:rFonts w:hint="eastAsia"/>
          <w:color w:val="000000" w:themeColor="text1"/>
          <w:sz w:val="21"/>
          <w:szCs w:val="21"/>
          <w:highlight w:val="white"/>
          <w:lang w:eastAsia="zh-CN"/>
        </w:rPr>
        <w:t>、</w:t>
      </w:r>
      <w:r>
        <w:rPr>
          <w:rFonts w:hint="eastAsia"/>
          <w:color w:val="000000" w:themeColor="text1"/>
          <w:sz w:val="21"/>
          <w:szCs w:val="21"/>
          <w:highlight w:val="white"/>
          <w:lang w:eastAsia="zh-CN"/>
        </w:rPr>
        <w:t>承销证券；</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2</w:t>
      </w:r>
      <w:r w:rsidR="009A2B8E">
        <w:rPr>
          <w:rFonts w:hint="eastAsia"/>
          <w:color w:val="000000" w:themeColor="text1"/>
          <w:sz w:val="21"/>
          <w:szCs w:val="21"/>
          <w:highlight w:val="white"/>
          <w:lang w:eastAsia="zh-CN"/>
        </w:rPr>
        <w:t>、</w:t>
      </w:r>
      <w:r>
        <w:rPr>
          <w:rFonts w:hint="eastAsia"/>
          <w:color w:val="000000" w:themeColor="text1"/>
          <w:sz w:val="21"/>
          <w:szCs w:val="21"/>
          <w:highlight w:val="white"/>
          <w:lang w:eastAsia="zh-CN"/>
        </w:rPr>
        <w:t>违反规定向他人贷款或者提供担保；</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3</w:t>
      </w:r>
      <w:r w:rsidR="009A2B8E">
        <w:rPr>
          <w:rFonts w:hint="eastAsia"/>
          <w:color w:val="000000" w:themeColor="text1"/>
          <w:sz w:val="21"/>
          <w:szCs w:val="21"/>
          <w:highlight w:val="white"/>
          <w:lang w:eastAsia="zh-CN"/>
        </w:rPr>
        <w:t>、</w:t>
      </w:r>
      <w:r>
        <w:rPr>
          <w:rFonts w:hint="eastAsia"/>
          <w:color w:val="000000" w:themeColor="text1"/>
          <w:sz w:val="21"/>
          <w:szCs w:val="21"/>
          <w:highlight w:val="white"/>
          <w:lang w:eastAsia="zh-CN"/>
        </w:rPr>
        <w:t>从事承担无限责任的投资；</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4</w:t>
      </w:r>
      <w:r w:rsidR="009A2B8E">
        <w:rPr>
          <w:rFonts w:hint="eastAsia"/>
          <w:color w:val="000000" w:themeColor="text1"/>
          <w:sz w:val="21"/>
          <w:szCs w:val="21"/>
          <w:highlight w:val="white"/>
          <w:lang w:eastAsia="zh-CN"/>
        </w:rPr>
        <w:t>、</w:t>
      </w:r>
      <w:r>
        <w:rPr>
          <w:rFonts w:hint="eastAsia"/>
          <w:color w:val="000000" w:themeColor="text1"/>
          <w:sz w:val="21"/>
          <w:szCs w:val="21"/>
          <w:highlight w:val="white"/>
          <w:lang w:eastAsia="zh-CN"/>
        </w:rPr>
        <w:t>向其基金管理人、基金托管人出资；</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5</w:t>
      </w:r>
      <w:r w:rsidR="009A2B8E">
        <w:rPr>
          <w:rFonts w:ascii="宋体" w:hAnsi="宋体" w:cs="宋体" w:hint="eastAsia"/>
          <w:color w:val="000000" w:themeColor="text1"/>
          <w:sz w:val="21"/>
          <w:szCs w:val="21"/>
          <w:highlight w:val="white"/>
          <w:lang w:eastAsia="zh-CN"/>
        </w:rPr>
        <w:t>、</w:t>
      </w:r>
      <w:r>
        <w:rPr>
          <w:rFonts w:hint="eastAsia"/>
          <w:color w:val="000000" w:themeColor="text1"/>
          <w:sz w:val="21"/>
          <w:szCs w:val="21"/>
          <w:highlight w:val="white"/>
          <w:lang w:eastAsia="zh-CN"/>
        </w:rPr>
        <w:t>从事内幕交易、操纵证券交易价格及其他不正当的证券交易活动；</w:t>
      </w:r>
    </w:p>
    <w:p w:rsidR="00F14202">
      <w:pPr>
        <w:spacing w:line="360" w:lineRule="auto"/>
        <w:ind w:firstLine="420"/>
        <w:rPr>
          <w:color w:val="000000"/>
          <w:sz w:val="21"/>
          <w:szCs w:val="21"/>
          <w:lang w:eastAsia="zh-CN"/>
        </w:rPr>
      </w:pPr>
      <w:r>
        <w:rPr>
          <w:rFonts w:ascii="宋体" w:hAnsi="宋体" w:cs="宋体" w:hint="eastAsia"/>
          <w:color w:val="000000" w:themeColor="text1"/>
          <w:sz w:val="21"/>
          <w:szCs w:val="21"/>
          <w:highlight w:val="white"/>
          <w:lang w:eastAsia="zh-CN"/>
        </w:rPr>
        <w:t>6</w:t>
      </w:r>
      <w:r w:rsidR="009A2B8E">
        <w:rPr>
          <w:rFonts w:hint="eastAsia"/>
          <w:color w:val="000000" w:themeColor="text1"/>
          <w:sz w:val="21"/>
          <w:szCs w:val="21"/>
          <w:highlight w:val="white"/>
          <w:lang w:eastAsia="zh-CN"/>
        </w:rPr>
        <w:t>、</w:t>
      </w:r>
      <w:r>
        <w:rPr>
          <w:rFonts w:hint="eastAsia"/>
          <w:color w:val="000000" w:themeColor="text1"/>
          <w:sz w:val="21"/>
          <w:szCs w:val="21"/>
          <w:highlight w:val="white"/>
          <w:lang w:eastAsia="zh-CN"/>
        </w:rPr>
        <w:t>法律、行政法规和中国证监会规定禁止的其他活动。</w:t>
      </w:r>
    </w:p>
    <w:p w:rsidR="00F14202">
      <w:pPr>
        <w:spacing w:line="360" w:lineRule="auto"/>
        <w:ind w:firstLine="420"/>
        <w:rPr>
          <w:color w:val="000000"/>
          <w:sz w:val="21"/>
          <w:szCs w:val="21"/>
          <w:lang w:eastAsia="zh-CN"/>
        </w:rPr>
      </w:pPr>
      <w:r>
        <w:rPr>
          <w:rFonts w:hint="eastAsia"/>
          <w:sz w:val="21"/>
          <w:szCs w:val="21"/>
          <w:highlight w:val="white"/>
          <w:lang w:eastAsia="zh-CN"/>
        </w:rPr>
        <w:t>如法律法规或监管部门取消或</w:t>
      </w:r>
      <w:r>
        <w:rPr>
          <w:rFonts w:hint="eastAsia"/>
          <w:color w:val="000000" w:themeColor="text1"/>
          <w:sz w:val="21"/>
          <w:szCs w:val="21"/>
          <w:highlight w:val="white"/>
          <w:lang w:eastAsia="zh-CN"/>
        </w:rPr>
        <w:t>调整</w:t>
      </w:r>
      <w:r>
        <w:rPr>
          <w:rFonts w:hint="eastAsia"/>
          <w:sz w:val="21"/>
          <w:szCs w:val="21"/>
          <w:highlight w:val="white"/>
          <w:lang w:eastAsia="zh-CN"/>
        </w:rPr>
        <w:t>上述禁止性规定，则本基金投资不再受相关限制或</w:t>
      </w:r>
      <w:r>
        <w:rPr>
          <w:rFonts w:hint="eastAsia"/>
          <w:color w:val="000000" w:themeColor="text1"/>
          <w:sz w:val="21"/>
          <w:szCs w:val="21"/>
          <w:highlight w:val="white"/>
          <w:lang w:eastAsia="zh-CN"/>
        </w:rPr>
        <w:t>按照调整</w:t>
      </w:r>
      <w:r>
        <w:rPr>
          <w:rFonts w:hint="eastAsia"/>
          <w:sz w:val="21"/>
          <w:szCs w:val="21"/>
          <w:highlight w:val="white"/>
          <w:lang w:eastAsia="zh-CN"/>
        </w:rPr>
        <w:t>后的规定</w:t>
      </w:r>
      <w:r>
        <w:rPr>
          <w:rFonts w:hint="eastAsia"/>
          <w:color w:val="000000" w:themeColor="text1"/>
          <w:sz w:val="21"/>
          <w:szCs w:val="21"/>
          <w:highlight w:val="white"/>
          <w:lang w:eastAsia="zh-CN"/>
        </w:rPr>
        <w:t>执行</w:t>
      </w:r>
      <w:r>
        <w:rPr>
          <w:rFonts w:hint="eastAsia"/>
          <w:sz w:val="21"/>
          <w:szCs w:val="21"/>
          <w:highlight w:val="white"/>
          <w:lang w:eastAsia="zh-CN"/>
        </w:rPr>
        <w:t>。</w:t>
      </w:r>
    </w:p>
    <w:p w:rsidR="00F14202">
      <w:pPr>
        <w:spacing w:line="360" w:lineRule="auto"/>
        <w:ind w:firstLine="420"/>
        <w:rPr>
          <w:color w:val="000000"/>
          <w:sz w:val="21"/>
          <w:szCs w:val="21"/>
          <w:lang w:eastAsia="zh-CN"/>
        </w:rPr>
      </w:pPr>
    </w:p>
    <w:p w:rsidR="00F14202">
      <w:pPr>
        <w:pStyle w:val="Heading1"/>
        <w:numPr>
          <w:ilvl w:val="0"/>
          <w:numId w:val="1"/>
        </w:numPr>
        <w:spacing w:before="120" w:after="120" w:line="360" w:lineRule="auto"/>
        <w:jc w:val="center"/>
        <w:rPr>
          <w:b w:val="0"/>
          <w:color w:val="000000"/>
          <w:sz w:val="24"/>
          <w:szCs w:val="24"/>
          <w:lang w:eastAsia="zh-CN"/>
        </w:rPr>
      </w:pPr>
      <w:bookmarkStart w:id="39" w:name="_Toc394474011"/>
      <w:bookmarkStart w:id="40" w:name="_Toc881146"/>
      <w:r>
        <w:rPr>
          <w:rFonts w:hint="eastAsia"/>
          <w:color w:val="000000" w:themeColor="text1"/>
          <w:sz w:val="24"/>
          <w:szCs w:val="24"/>
          <w:highlight w:val="white"/>
          <w:lang w:eastAsia="zh-CN"/>
        </w:rPr>
        <w:t>托管协议的变更、终止与基金财产的清算</w:t>
      </w:r>
      <w:bookmarkEnd w:id="39"/>
      <w:bookmarkEnd w:id="40"/>
    </w:p>
    <w:p w:rsidR="00F14202">
      <w:pPr>
        <w:spacing w:line="360" w:lineRule="auto"/>
        <w:jc w:val="left"/>
        <w:rPr>
          <w:color w:val="000000"/>
          <w:sz w:val="21"/>
          <w:szCs w:val="21"/>
          <w:lang w:eastAsia="zh-CN"/>
        </w:rPr>
      </w:pPr>
    </w:p>
    <w:p w:rsidR="00F14202">
      <w:pPr>
        <w:spacing w:line="360" w:lineRule="auto"/>
        <w:ind w:firstLine="315"/>
        <w:jc w:val="left"/>
        <w:rPr>
          <w:color w:val="000000"/>
          <w:sz w:val="21"/>
          <w:szCs w:val="21"/>
          <w:lang w:eastAsia="zh-CN"/>
        </w:rPr>
      </w:pPr>
      <w:r>
        <w:rPr>
          <w:rFonts w:hint="eastAsia"/>
          <w:color w:val="000000" w:themeColor="text1"/>
          <w:sz w:val="21"/>
          <w:szCs w:val="21"/>
          <w:highlight w:val="white"/>
          <w:lang w:eastAsia="zh-CN"/>
        </w:rPr>
        <w:t>（一）托管协议的变更与终止</w:t>
      </w:r>
    </w:p>
    <w:p w:rsidR="00F14202">
      <w:pPr>
        <w:spacing w:line="360" w:lineRule="auto"/>
        <w:ind w:firstLine="420"/>
        <w:jc w:val="left"/>
        <w:rPr>
          <w:color w:val="000000"/>
          <w:sz w:val="21"/>
          <w:szCs w:val="21"/>
          <w:lang w:eastAsia="zh-CN"/>
        </w:rPr>
      </w:pPr>
      <w:r>
        <w:rPr>
          <w:rFonts w:ascii="宋体" w:hAnsi="宋体" w:cs="宋体"/>
          <w:color w:val="000000" w:themeColor="text1"/>
          <w:sz w:val="21"/>
          <w:szCs w:val="21"/>
          <w:highlight w:val="white"/>
          <w:lang w:eastAsia="zh-CN"/>
        </w:rPr>
        <w:t>1</w:t>
      </w:r>
      <w:r>
        <w:rPr>
          <w:rFonts w:hint="eastAsia"/>
          <w:color w:val="000000" w:themeColor="text1"/>
          <w:sz w:val="21"/>
          <w:szCs w:val="21"/>
          <w:highlight w:val="white"/>
          <w:lang w:eastAsia="zh-CN"/>
        </w:rPr>
        <w:t>、托管协议的变更程序</w:t>
      </w:r>
    </w:p>
    <w:p w:rsidR="00F14202">
      <w:pPr>
        <w:spacing w:line="360" w:lineRule="auto"/>
        <w:ind w:firstLine="420"/>
        <w:jc w:val="left"/>
        <w:rPr>
          <w:color w:val="000000"/>
          <w:sz w:val="21"/>
          <w:szCs w:val="21"/>
          <w:lang w:eastAsia="zh-CN"/>
        </w:rPr>
      </w:pPr>
      <w:r>
        <w:rPr>
          <w:rFonts w:hint="eastAsia"/>
          <w:color w:val="000000" w:themeColor="text1"/>
          <w:sz w:val="21"/>
          <w:szCs w:val="21"/>
          <w:highlight w:val="white"/>
          <w:lang w:eastAsia="zh-CN"/>
        </w:rPr>
        <w:t>本协议双方当事人经协商一致，可以对协议的内容进行变更。变更后的托管协议，其内容不得与《基金合同》的规定有任何冲突。</w:t>
      </w:r>
    </w:p>
    <w:p w:rsidR="00F14202">
      <w:pPr>
        <w:spacing w:line="360" w:lineRule="auto"/>
        <w:ind w:firstLine="420"/>
        <w:jc w:val="left"/>
        <w:rPr>
          <w:color w:val="000000"/>
          <w:sz w:val="21"/>
          <w:szCs w:val="21"/>
          <w:lang w:eastAsia="zh-CN"/>
        </w:rPr>
      </w:pPr>
      <w:r>
        <w:rPr>
          <w:rFonts w:ascii="宋体" w:hAnsi="宋体" w:cs="宋体"/>
          <w:color w:val="000000" w:themeColor="text1"/>
          <w:sz w:val="21"/>
          <w:szCs w:val="21"/>
          <w:highlight w:val="white"/>
          <w:lang w:eastAsia="zh-CN"/>
        </w:rPr>
        <w:t>2</w:t>
      </w:r>
      <w:r>
        <w:rPr>
          <w:rFonts w:hint="eastAsia"/>
          <w:color w:val="000000" w:themeColor="text1"/>
          <w:sz w:val="21"/>
          <w:szCs w:val="21"/>
          <w:highlight w:val="white"/>
          <w:lang w:eastAsia="zh-CN"/>
        </w:rPr>
        <w:t>、基金托管协议终止的情形</w:t>
      </w:r>
    </w:p>
    <w:p w:rsidR="00F14202">
      <w:pPr>
        <w:spacing w:line="360" w:lineRule="auto"/>
        <w:ind w:firstLine="420"/>
        <w:jc w:val="left"/>
        <w:rPr>
          <w:color w:val="000000"/>
          <w:sz w:val="21"/>
          <w:szCs w:val="21"/>
          <w:lang w:eastAsia="zh-CN"/>
        </w:rPr>
      </w:pPr>
      <w:r>
        <w:rPr>
          <w:rFonts w:hint="eastAsia"/>
          <w:color w:val="000000" w:themeColor="text1"/>
          <w:sz w:val="21"/>
          <w:szCs w:val="21"/>
          <w:highlight w:val="white"/>
          <w:lang w:eastAsia="zh-CN"/>
        </w:rPr>
        <w:t>发生以下情况，本托管协议终止：</w:t>
      </w:r>
    </w:p>
    <w:p w:rsidR="00F14202">
      <w:pPr>
        <w:spacing w:line="360" w:lineRule="auto"/>
        <w:ind w:firstLine="420"/>
        <w:jc w:val="left"/>
        <w:rPr>
          <w:color w:val="000000"/>
          <w:sz w:val="21"/>
          <w:szCs w:val="21"/>
          <w:lang w:eastAsia="zh-CN"/>
        </w:rPr>
      </w:pPr>
      <w:r>
        <w:rPr>
          <w:rFonts w:hint="eastAsia"/>
          <w:color w:val="000000" w:themeColor="text1"/>
          <w:sz w:val="21"/>
          <w:szCs w:val="21"/>
          <w:highlight w:val="white"/>
          <w:lang w:eastAsia="zh-CN"/>
        </w:rPr>
        <w:t>（</w:t>
      </w:r>
      <w:r>
        <w:rPr>
          <w:rFonts w:ascii="宋体" w:hAnsi="宋体" w:cs="宋体"/>
          <w:color w:val="000000" w:themeColor="text1"/>
          <w:sz w:val="21"/>
          <w:szCs w:val="21"/>
          <w:highlight w:val="white"/>
          <w:lang w:eastAsia="zh-CN"/>
        </w:rPr>
        <w:t>1</w:t>
      </w:r>
      <w:r>
        <w:rPr>
          <w:rFonts w:hint="eastAsia"/>
          <w:color w:val="000000" w:themeColor="text1"/>
          <w:sz w:val="21"/>
          <w:szCs w:val="21"/>
          <w:highlight w:val="white"/>
          <w:lang w:eastAsia="zh-CN"/>
        </w:rPr>
        <w:t>）《基金合同》终止；</w:t>
      </w:r>
    </w:p>
    <w:p w:rsidR="00F14202">
      <w:pPr>
        <w:spacing w:line="360" w:lineRule="auto"/>
        <w:ind w:firstLine="420"/>
        <w:jc w:val="left"/>
        <w:rPr>
          <w:color w:val="000000"/>
          <w:sz w:val="21"/>
          <w:szCs w:val="21"/>
          <w:lang w:eastAsia="zh-CN"/>
        </w:rPr>
      </w:pPr>
      <w:r>
        <w:rPr>
          <w:rFonts w:hint="eastAsia"/>
          <w:color w:val="000000" w:themeColor="text1"/>
          <w:sz w:val="21"/>
          <w:szCs w:val="21"/>
          <w:highlight w:val="white"/>
          <w:lang w:eastAsia="zh-CN"/>
        </w:rPr>
        <w:t>（</w:t>
      </w:r>
      <w:r>
        <w:rPr>
          <w:rFonts w:ascii="宋体" w:hAnsi="宋体" w:cs="宋体"/>
          <w:color w:val="000000" w:themeColor="text1"/>
          <w:sz w:val="21"/>
          <w:szCs w:val="21"/>
          <w:highlight w:val="white"/>
          <w:lang w:eastAsia="zh-CN"/>
        </w:rPr>
        <w:t>2</w:t>
      </w:r>
      <w:r>
        <w:rPr>
          <w:rFonts w:hint="eastAsia"/>
          <w:color w:val="000000" w:themeColor="text1"/>
          <w:sz w:val="21"/>
          <w:szCs w:val="21"/>
          <w:highlight w:val="white"/>
          <w:lang w:eastAsia="zh-CN"/>
        </w:rPr>
        <w:t>）基金托管人解散、依法被撤销、破产或有其他基金托管人接管基金资产；</w:t>
      </w:r>
    </w:p>
    <w:p w:rsidR="00F14202">
      <w:pPr>
        <w:spacing w:line="360" w:lineRule="auto"/>
        <w:ind w:firstLine="420"/>
        <w:jc w:val="left"/>
        <w:rPr>
          <w:color w:val="000000"/>
          <w:sz w:val="21"/>
          <w:szCs w:val="21"/>
          <w:lang w:eastAsia="zh-CN"/>
        </w:rPr>
      </w:pPr>
      <w:r>
        <w:rPr>
          <w:rFonts w:hint="eastAsia"/>
          <w:color w:val="000000" w:themeColor="text1"/>
          <w:sz w:val="21"/>
          <w:szCs w:val="21"/>
          <w:highlight w:val="white"/>
          <w:lang w:eastAsia="zh-CN"/>
        </w:rPr>
        <w:t>（</w:t>
      </w:r>
      <w:r>
        <w:rPr>
          <w:rFonts w:ascii="宋体" w:hAnsi="宋体" w:cs="宋体"/>
          <w:color w:val="000000" w:themeColor="text1"/>
          <w:sz w:val="21"/>
          <w:szCs w:val="21"/>
          <w:highlight w:val="white"/>
          <w:lang w:eastAsia="zh-CN"/>
        </w:rPr>
        <w:t>3</w:t>
      </w:r>
      <w:r>
        <w:rPr>
          <w:rFonts w:hint="eastAsia"/>
          <w:color w:val="000000" w:themeColor="text1"/>
          <w:sz w:val="21"/>
          <w:szCs w:val="21"/>
          <w:highlight w:val="white"/>
          <w:lang w:eastAsia="zh-CN"/>
        </w:rPr>
        <w:t>）基金管理人解散、依法被撤销、破产或有其他基金管理人接管基金管理权；</w:t>
      </w:r>
    </w:p>
    <w:p w:rsidR="00F14202">
      <w:pPr>
        <w:spacing w:line="360" w:lineRule="auto"/>
        <w:ind w:firstLine="420"/>
        <w:jc w:val="left"/>
        <w:rPr>
          <w:color w:val="000000"/>
          <w:sz w:val="21"/>
          <w:szCs w:val="21"/>
          <w:lang w:eastAsia="zh-CN"/>
        </w:rPr>
      </w:pPr>
      <w:r>
        <w:rPr>
          <w:rFonts w:hint="eastAsia"/>
          <w:color w:val="000000" w:themeColor="text1"/>
          <w:sz w:val="21"/>
          <w:szCs w:val="21"/>
          <w:highlight w:val="white"/>
          <w:lang w:eastAsia="zh-CN"/>
        </w:rPr>
        <w:t>（</w:t>
      </w:r>
      <w:r>
        <w:rPr>
          <w:rFonts w:ascii="宋体" w:hAnsi="宋体" w:cs="宋体"/>
          <w:color w:val="000000" w:themeColor="text1"/>
          <w:sz w:val="21"/>
          <w:szCs w:val="21"/>
          <w:highlight w:val="white"/>
          <w:lang w:eastAsia="zh-CN"/>
        </w:rPr>
        <w:t>4</w:t>
      </w:r>
      <w:r>
        <w:rPr>
          <w:rFonts w:hint="eastAsia"/>
          <w:color w:val="000000" w:themeColor="text1"/>
          <w:sz w:val="21"/>
          <w:szCs w:val="21"/>
          <w:highlight w:val="white"/>
          <w:lang w:eastAsia="zh-CN"/>
        </w:rPr>
        <w:t>）发生法律法规、中国证监会或《基金合同》规定的终止事项。</w:t>
      </w:r>
    </w:p>
    <w:p w:rsidR="00F14202">
      <w:pPr>
        <w:spacing w:line="360" w:lineRule="auto"/>
        <w:ind w:firstLine="420"/>
        <w:jc w:val="left"/>
        <w:rPr>
          <w:color w:val="000000"/>
          <w:sz w:val="21"/>
          <w:szCs w:val="21"/>
          <w:lang w:eastAsia="zh-CN"/>
        </w:rPr>
      </w:pPr>
      <w:r>
        <w:rPr>
          <w:rFonts w:hint="eastAsia"/>
          <w:color w:val="000000" w:themeColor="text1"/>
          <w:sz w:val="21"/>
          <w:szCs w:val="21"/>
          <w:highlight w:val="white"/>
          <w:lang w:eastAsia="zh-CN"/>
        </w:rPr>
        <w:t>（二）基金财产的清算</w:t>
      </w:r>
    </w:p>
    <w:p w:rsidR="00F14202">
      <w:pPr>
        <w:spacing w:line="360" w:lineRule="auto"/>
        <w:ind w:firstLine="420"/>
        <w:jc w:val="left"/>
        <w:rPr>
          <w:color w:val="000000"/>
          <w:sz w:val="21"/>
          <w:szCs w:val="21"/>
          <w:lang w:eastAsia="zh-CN"/>
        </w:rPr>
      </w:pPr>
      <w:r>
        <w:rPr>
          <w:rFonts w:ascii="宋体" w:hAnsi="宋体" w:cs="宋体"/>
          <w:color w:val="000000" w:themeColor="text1"/>
          <w:sz w:val="21"/>
          <w:szCs w:val="21"/>
          <w:highlight w:val="white"/>
          <w:lang w:eastAsia="zh-CN"/>
        </w:rPr>
        <w:t>1</w:t>
      </w:r>
      <w:r>
        <w:rPr>
          <w:rFonts w:ascii="宋体" w:hAnsi="宋体" w:cs="宋体"/>
          <w:color w:val="000000" w:themeColor="text1"/>
          <w:sz w:val="21"/>
          <w:szCs w:val="21"/>
          <w:highlight w:val="white"/>
          <w:lang w:eastAsia="zh-CN"/>
        </w:rPr>
        <w:t>、基金财产清算小组：自出现《基金合同》终止事由之日起</w:t>
      </w:r>
      <w:r>
        <w:rPr>
          <w:rFonts w:ascii="宋体" w:hAnsi="宋体" w:cs="宋体"/>
          <w:color w:val="000000" w:themeColor="text1"/>
          <w:sz w:val="21"/>
          <w:szCs w:val="21"/>
          <w:highlight w:val="white"/>
          <w:lang w:eastAsia="zh-CN"/>
        </w:rPr>
        <w:t>30</w:t>
      </w:r>
      <w:r>
        <w:rPr>
          <w:rFonts w:ascii="宋体" w:hAnsi="宋体" w:cs="宋体"/>
          <w:color w:val="000000" w:themeColor="text1"/>
          <w:sz w:val="21"/>
          <w:szCs w:val="21"/>
          <w:highlight w:val="white"/>
          <w:lang w:eastAsia="zh-CN"/>
        </w:rPr>
        <w:t>个工作日内成立清算小组，基金管理人组织基金财产清算小组并在中国证监会的监督下进行基金清算。</w:t>
      </w:r>
    </w:p>
    <w:p w:rsidR="00F14202">
      <w:pPr>
        <w:spacing w:line="360" w:lineRule="auto"/>
        <w:ind w:firstLine="420"/>
        <w:jc w:val="left"/>
        <w:rPr>
          <w:color w:val="000000"/>
          <w:sz w:val="21"/>
          <w:szCs w:val="21"/>
          <w:lang w:eastAsia="zh-CN"/>
        </w:rPr>
      </w:pPr>
      <w:r>
        <w:rPr>
          <w:rFonts w:ascii="宋体" w:hAnsi="宋体" w:cs="宋体"/>
          <w:color w:val="000000" w:themeColor="text1"/>
          <w:sz w:val="21"/>
          <w:szCs w:val="21"/>
          <w:highlight w:val="white"/>
          <w:lang w:eastAsia="zh-CN"/>
        </w:rPr>
        <w:t>2</w:t>
      </w:r>
      <w:r>
        <w:rPr>
          <w:rFonts w:ascii="宋体" w:hAnsi="宋体" w:cs="宋体"/>
          <w:color w:val="000000" w:themeColor="text1"/>
          <w:sz w:val="21"/>
          <w:szCs w:val="21"/>
          <w:highlight w:val="white"/>
          <w:lang w:eastAsia="zh-CN"/>
        </w:rPr>
        <w:t>、基金财产清算小组组成：基金财产清算小组成员由基金管理人、基金托管人、注册会计师、律师以及中国证监会指定的人员组成。基金财产清算小组可以聘用必要的工作人员。</w:t>
      </w:r>
    </w:p>
    <w:p w:rsidR="00F14202">
      <w:pPr>
        <w:spacing w:line="360" w:lineRule="auto"/>
        <w:ind w:firstLine="420"/>
        <w:jc w:val="left"/>
        <w:rPr>
          <w:color w:val="000000"/>
          <w:sz w:val="21"/>
          <w:szCs w:val="21"/>
          <w:lang w:eastAsia="zh-CN"/>
        </w:rPr>
      </w:pPr>
      <w:r>
        <w:rPr>
          <w:rFonts w:ascii="宋体" w:hAnsi="宋体" w:cs="宋体"/>
          <w:color w:val="000000" w:themeColor="text1"/>
          <w:sz w:val="21"/>
          <w:szCs w:val="21"/>
          <w:highlight w:val="white"/>
          <w:lang w:eastAsia="zh-CN"/>
        </w:rPr>
        <w:t>3</w:t>
      </w:r>
      <w:r>
        <w:rPr>
          <w:rFonts w:ascii="宋体" w:hAnsi="宋体" w:cs="宋体"/>
          <w:color w:val="000000" w:themeColor="text1"/>
          <w:sz w:val="21"/>
          <w:szCs w:val="21"/>
          <w:highlight w:val="white"/>
          <w:lang w:eastAsia="zh-CN"/>
        </w:rPr>
        <w:t>、基金财产清算小组职责：基金财产清算小组负责基金财产的保管、清理、估价、变现和分配。基金财产清算小组可以依法进行必要的民事活动。</w:t>
      </w:r>
    </w:p>
    <w:p w:rsidR="00F14202">
      <w:pPr>
        <w:spacing w:line="360" w:lineRule="auto"/>
        <w:ind w:firstLine="420"/>
        <w:jc w:val="left"/>
        <w:rPr>
          <w:color w:val="000000"/>
          <w:sz w:val="21"/>
          <w:szCs w:val="21"/>
          <w:lang w:eastAsia="zh-CN"/>
        </w:rPr>
      </w:pPr>
      <w:r>
        <w:rPr>
          <w:rFonts w:ascii="宋体" w:hAnsi="宋体" w:cs="宋体"/>
          <w:color w:val="000000" w:themeColor="text1"/>
          <w:sz w:val="21"/>
          <w:szCs w:val="21"/>
          <w:highlight w:val="white"/>
          <w:lang w:eastAsia="zh-CN"/>
        </w:rPr>
        <w:t>4</w:t>
      </w:r>
      <w:r>
        <w:rPr>
          <w:rFonts w:ascii="宋体" w:hAnsi="宋体" w:cs="宋体"/>
          <w:color w:val="000000" w:themeColor="text1"/>
          <w:sz w:val="21"/>
          <w:szCs w:val="21"/>
          <w:highlight w:val="white"/>
          <w:lang w:eastAsia="zh-CN"/>
        </w:rPr>
        <w:t>、基金财产清算程序：</w:t>
      </w:r>
    </w:p>
    <w:p w:rsidR="00F14202">
      <w:pPr>
        <w:spacing w:line="360" w:lineRule="auto"/>
        <w:ind w:firstLine="420"/>
        <w:jc w:val="left"/>
        <w:rPr>
          <w:color w:val="000000"/>
          <w:sz w:val="21"/>
          <w:szCs w:val="21"/>
          <w:lang w:eastAsia="zh-CN"/>
        </w:rPr>
      </w:pPr>
      <w:r>
        <w:rPr>
          <w:color w:val="000000" w:themeColor="text1"/>
          <w:sz w:val="21"/>
          <w:szCs w:val="21"/>
          <w:highlight w:val="white"/>
          <w:lang w:eastAsia="zh-CN"/>
        </w:rPr>
        <w:t>（</w:t>
      </w:r>
      <w:r>
        <w:rPr>
          <w:rFonts w:ascii="宋体" w:hAnsi="宋体" w:cs="宋体"/>
          <w:color w:val="000000" w:themeColor="text1"/>
          <w:sz w:val="21"/>
          <w:szCs w:val="21"/>
          <w:highlight w:val="white"/>
          <w:lang w:eastAsia="zh-CN"/>
        </w:rPr>
        <w:t>1</w:t>
      </w:r>
      <w:r>
        <w:rPr>
          <w:color w:val="000000" w:themeColor="text1"/>
          <w:sz w:val="21"/>
          <w:szCs w:val="21"/>
          <w:highlight w:val="white"/>
          <w:lang w:eastAsia="zh-CN"/>
        </w:rPr>
        <w:t>）《基金合同》终止情形出现时，由基金财产清</w:t>
      </w:r>
      <w:r>
        <w:rPr>
          <w:color w:val="000000" w:themeColor="text1"/>
          <w:sz w:val="21"/>
          <w:szCs w:val="21"/>
          <w:highlight w:val="white"/>
          <w:lang w:eastAsia="zh-CN"/>
        </w:rPr>
        <w:t>算小组统一接管基金；</w:t>
      </w:r>
    </w:p>
    <w:p w:rsidR="00F14202">
      <w:pPr>
        <w:spacing w:line="360" w:lineRule="auto"/>
        <w:ind w:firstLine="420"/>
        <w:jc w:val="left"/>
        <w:rPr>
          <w:color w:val="000000"/>
          <w:sz w:val="21"/>
          <w:szCs w:val="21"/>
          <w:lang w:eastAsia="zh-CN"/>
        </w:rPr>
      </w:pPr>
      <w:r>
        <w:rPr>
          <w:color w:val="000000" w:themeColor="text1"/>
          <w:sz w:val="21"/>
          <w:szCs w:val="21"/>
          <w:highlight w:val="white"/>
          <w:lang w:eastAsia="zh-CN"/>
        </w:rPr>
        <w:t>（</w:t>
      </w:r>
      <w:r>
        <w:rPr>
          <w:rFonts w:ascii="宋体" w:hAnsi="宋体" w:cs="宋体"/>
          <w:color w:val="000000" w:themeColor="text1"/>
          <w:sz w:val="21"/>
          <w:szCs w:val="21"/>
          <w:highlight w:val="white"/>
          <w:lang w:eastAsia="zh-CN"/>
        </w:rPr>
        <w:t>2</w:t>
      </w:r>
      <w:r>
        <w:rPr>
          <w:color w:val="000000" w:themeColor="text1"/>
          <w:sz w:val="21"/>
          <w:szCs w:val="21"/>
          <w:highlight w:val="white"/>
          <w:lang w:eastAsia="zh-CN"/>
        </w:rPr>
        <w:t>）对基金财产和债权债务进行清理和确认；</w:t>
      </w:r>
    </w:p>
    <w:p w:rsidR="00F14202">
      <w:pPr>
        <w:spacing w:line="360" w:lineRule="auto"/>
        <w:ind w:firstLine="420"/>
        <w:jc w:val="left"/>
        <w:rPr>
          <w:color w:val="000000"/>
          <w:sz w:val="21"/>
          <w:szCs w:val="21"/>
          <w:lang w:eastAsia="zh-CN"/>
        </w:rPr>
      </w:pPr>
      <w:r>
        <w:rPr>
          <w:color w:val="000000" w:themeColor="text1"/>
          <w:sz w:val="21"/>
          <w:szCs w:val="21"/>
          <w:highlight w:val="white"/>
          <w:lang w:eastAsia="zh-CN"/>
        </w:rPr>
        <w:t>（</w:t>
      </w:r>
      <w:r>
        <w:rPr>
          <w:rFonts w:ascii="宋体" w:hAnsi="宋体" w:cs="宋体"/>
          <w:color w:val="000000" w:themeColor="text1"/>
          <w:sz w:val="21"/>
          <w:szCs w:val="21"/>
          <w:highlight w:val="white"/>
          <w:lang w:eastAsia="zh-CN"/>
        </w:rPr>
        <w:t>3</w:t>
      </w:r>
      <w:r>
        <w:rPr>
          <w:color w:val="000000" w:themeColor="text1"/>
          <w:sz w:val="21"/>
          <w:szCs w:val="21"/>
          <w:highlight w:val="white"/>
          <w:lang w:eastAsia="zh-CN"/>
        </w:rPr>
        <w:t>）对基金财产进行估值和变现；</w:t>
      </w:r>
    </w:p>
    <w:p w:rsidR="00F14202">
      <w:pPr>
        <w:spacing w:line="360" w:lineRule="auto"/>
        <w:ind w:firstLine="420"/>
        <w:jc w:val="left"/>
        <w:rPr>
          <w:color w:val="000000"/>
          <w:sz w:val="21"/>
          <w:szCs w:val="21"/>
          <w:lang w:eastAsia="zh-CN"/>
        </w:rPr>
      </w:pPr>
      <w:r>
        <w:rPr>
          <w:color w:val="000000" w:themeColor="text1"/>
          <w:sz w:val="21"/>
          <w:szCs w:val="21"/>
          <w:highlight w:val="white"/>
          <w:lang w:eastAsia="zh-CN"/>
        </w:rPr>
        <w:t>（</w:t>
      </w:r>
      <w:r>
        <w:rPr>
          <w:rFonts w:ascii="宋体" w:hAnsi="宋体" w:cs="宋体"/>
          <w:color w:val="000000" w:themeColor="text1"/>
          <w:sz w:val="21"/>
          <w:szCs w:val="21"/>
          <w:highlight w:val="white"/>
          <w:lang w:eastAsia="zh-CN"/>
        </w:rPr>
        <w:t>4</w:t>
      </w:r>
      <w:r>
        <w:rPr>
          <w:color w:val="000000" w:themeColor="text1"/>
          <w:sz w:val="21"/>
          <w:szCs w:val="21"/>
          <w:highlight w:val="white"/>
          <w:lang w:eastAsia="zh-CN"/>
        </w:rPr>
        <w:t>）制作清算报告；</w:t>
      </w:r>
    </w:p>
    <w:p w:rsidR="00F14202">
      <w:pPr>
        <w:spacing w:line="360" w:lineRule="auto"/>
        <w:ind w:firstLine="420"/>
        <w:jc w:val="left"/>
        <w:rPr>
          <w:color w:val="000000"/>
          <w:sz w:val="21"/>
          <w:szCs w:val="21"/>
          <w:lang w:eastAsia="zh-CN"/>
        </w:rPr>
      </w:pPr>
      <w:r>
        <w:rPr>
          <w:color w:val="000000" w:themeColor="text1"/>
          <w:sz w:val="21"/>
          <w:szCs w:val="21"/>
          <w:highlight w:val="white"/>
          <w:lang w:eastAsia="zh-CN"/>
        </w:rPr>
        <w:t>（</w:t>
      </w:r>
      <w:r>
        <w:rPr>
          <w:rFonts w:ascii="宋体" w:hAnsi="宋体" w:cs="宋体"/>
          <w:color w:val="000000" w:themeColor="text1"/>
          <w:sz w:val="21"/>
          <w:szCs w:val="21"/>
          <w:highlight w:val="white"/>
          <w:lang w:eastAsia="zh-CN"/>
        </w:rPr>
        <w:t>5</w:t>
      </w:r>
      <w:r>
        <w:rPr>
          <w:color w:val="000000" w:themeColor="text1"/>
          <w:sz w:val="21"/>
          <w:szCs w:val="21"/>
          <w:highlight w:val="white"/>
          <w:lang w:eastAsia="zh-CN"/>
        </w:rPr>
        <w:t>）聘请会计师事务所对清算报告进行外部审计，聘请律师事务所对清算报告出具法律意见书；</w:t>
      </w:r>
    </w:p>
    <w:p w:rsidR="00F14202">
      <w:pPr>
        <w:spacing w:line="360" w:lineRule="auto"/>
        <w:ind w:firstLine="420"/>
        <w:jc w:val="left"/>
        <w:rPr>
          <w:color w:val="000000"/>
          <w:sz w:val="21"/>
          <w:szCs w:val="21"/>
          <w:lang w:eastAsia="zh-CN"/>
        </w:rPr>
      </w:pPr>
      <w:r>
        <w:rPr>
          <w:color w:val="000000" w:themeColor="text1"/>
          <w:sz w:val="21"/>
          <w:szCs w:val="21"/>
          <w:highlight w:val="white"/>
          <w:lang w:eastAsia="zh-CN"/>
        </w:rPr>
        <w:t>（</w:t>
      </w:r>
      <w:r>
        <w:rPr>
          <w:rFonts w:ascii="宋体" w:hAnsi="宋体" w:cs="宋体"/>
          <w:color w:val="000000" w:themeColor="text1"/>
          <w:sz w:val="21"/>
          <w:szCs w:val="21"/>
          <w:highlight w:val="white"/>
          <w:lang w:eastAsia="zh-CN"/>
        </w:rPr>
        <w:t>6</w:t>
      </w:r>
      <w:r>
        <w:rPr>
          <w:color w:val="000000" w:themeColor="text1"/>
          <w:sz w:val="21"/>
          <w:szCs w:val="21"/>
          <w:highlight w:val="white"/>
          <w:lang w:eastAsia="zh-CN"/>
        </w:rPr>
        <w:t>）将清算报告报中国证监会备案并公告；</w:t>
      </w:r>
    </w:p>
    <w:p w:rsidR="00F14202">
      <w:pPr>
        <w:spacing w:line="360" w:lineRule="auto"/>
        <w:ind w:firstLine="420"/>
        <w:jc w:val="left"/>
        <w:rPr>
          <w:color w:val="000000"/>
          <w:sz w:val="21"/>
          <w:szCs w:val="21"/>
          <w:lang w:eastAsia="zh-CN"/>
        </w:rPr>
      </w:pPr>
      <w:r>
        <w:rPr>
          <w:color w:val="000000" w:themeColor="text1"/>
          <w:sz w:val="21"/>
          <w:szCs w:val="21"/>
          <w:highlight w:val="white"/>
          <w:lang w:eastAsia="zh-CN"/>
        </w:rPr>
        <w:t>（</w:t>
      </w:r>
      <w:r>
        <w:rPr>
          <w:rFonts w:ascii="宋体" w:hAnsi="宋体" w:cs="宋体"/>
          <w:color w:val="000000" w:themeColor="text1"/>
          <w:sz w:val="21"/>
          <w:szCs w:val="21"/>
          <w:highlight w:val="white"/>
          <w:lang w:eastAsia="zh-CN"/>
        </w:rPr>
        <w:t>7</w:t>
      </w:r>
      <w:r>
        <w:rPr>
          <w:color w:val="000000" w:themeColor="text1"/>
          <w:sz w:val="21"/>
          <w:szCs w:val="21"/>
          <w:highlight w:val="white"/>
          <w:lang w:eastAsia="zh-CN"/>
        </w:rPr>
        <w:t>）对基金剩余财产进行分配。</w:t>
      </w:r>
    </w:p>
    <w:p w:rsidR="00F14202">
      <w:pPr>
        <w:spacing w:line="360" w:lineRule="auto"/>
        <w:ind w:firstLine="420"/>
        <w:jc w:val="left"/>
        <w:rPr>
          <w:color w:val="000000"/>
          <w:sz w:val="21"/>
          <w:szCs w:val="21"/>
          <w:lang w:eastAsia="zh-CN"/>
        </w:rPr>
      </w:pPr>
      <w:r>
        <w:rPr>
          <w:rFonts w:ascii="宋体" w:hAnsi="宋体" w:cs="宋体"/>
          <w:color w:val="000000" w:themeColor="text1"/>
          <w:sz w:val="21"/>
          <w:szCs w:val="21"/>
          <w:highlight w:val="white"/>
          <w:lang w:eastAsia="zh-CN"/>
        </w:rPr>
        <w:t>5</w:t>
      </w:r>
      <w:r>
        <w:rPr>
          <w:rFonts w:ascii="宋体" w:hAnsi="宋体" w:cs="宋体"/>
          <w:color w:val="000000" w:themeColor="text1"/>
          <w:sz w:val="21"/>
          <w:szCs w:val="21"/>
          <w:highlight w:val="white"/>
          <w:lang w:eastAsia="zh-CN"/>
        </w:rPr>
        <w:t>、基金财产清算的期限为</w:t>
      </w:r>
      <w:r>
        <w:rPr>
          <w:rFonts w:ascii="宋体" w:hAnsi="宋体" w:cs="宋体"/>
          <w:color w:val="000000" w:themeColor="text1"/>
          <w:sz w:val="21"/>
          <w:szCs w:val="21"/>
          <w:highlight w:val="white"/>
          <w:lang w:eastAsia="zh-CN"/>
        </w:rPr>
        <w:t>6</w:t>
      </w:r>
      <w:r>
        <w:rPr>
          <w:rFonts w:ascii="宋体" w:hAnsi="宋体" w:cs="宋体"/>
          <w:color w:val="000000" w:themeColor="text1"/>
          <w:sz w:val="21"/>
          <w:szCs w:val="21"/>
          <w:highlight w:val="white"/>
          <w:lang w:eastAsia="zh-CN"/>
        </w:rPr>
        <w:t>个月，但因本基金所持证券、基金的流动性受到限制而不能及时变现的，清算期限相应顺延。</w:t>
      </w:r>
    </w:p>
    <w:p w:rsidR="00F14202">
      <w:pPr>
        <w:spacing w:line="360" w:lineRule="auto"/>
        <w:ind w:firstLine="420"/>
        <w:jc w:val="left"/>
        <w:rPr>
          <w:color w:val="000000"/>
          <w:sz w:val="21"/>
          <w:szCs w:val="21"/>
          <w:lang w:eastAsia="zh-CN"/>
        </w:rPr>
      </w:pPr>
      <w:r>
        <w:rPr>
          <w:color w:val="000000" w:themeColor="text1"/>
          <w:sz w:val="21"/>
          <w:szCs w:val="21"/>
          <w:highlight w:val="white"/>
          <w:lang w:eastAsia="zh-CN"/>
        </w:rPr>
        <w:t>（三）清算费用</w:t>
      </w:r>
    </w:p>
    <w:p w:rsidR="00F14202">
      <w:pPr>
        <w:spacing w:line="360" w:lineRule="auto"/>
        <w:ind w:firstLine="420"/>
        <w:jc w:val="left"/>
        <w:rPr>
          <w:color w:val="000000"/>
          <w:sz w:val="21"/>
          <w:szCs w:val="21"/>
          <w:lang w:eastAsia="zh-CN"/>
        </w:rPr>
      </w:pPr>
      <w:r>
        <w:rPr>
          <w:color w:val="000000" w:themeColor="text1"/>
          <w:sz w:val="21"/>
          <w:szCs w:val="21"/>
          <w:highlight w:val="white"/>
          <w:lang w:eastAsia="zh-CN"/>
        </w:rPr>
        <w:t>清算费用是指基金财产清算小组在进行基金清算过程中发生的所有合理费用，清算费用由基金财产清算小组优先从基金财产中支付。</w:t>
      </w:r>
    </w:p>
    <w:p w:rsidR="00F14202">
      <w:pPr>
        <w:spacing w:line="360" w:lineRule="auto"/>
        <w:ind w:firstLine="420"/>
        <w:jc w:val="left"/>
        <w:rPr>
          <w:color w:val="000000"/>
          <w:sz w:val="21"/>
          <w:szCs w:val="21"/>
          <w:lang w:eastAsia="zh-CN"/>
        </w:rPr>
      </w:pPr>
      <w:r>
        <w:rPr>
          <w:color w:val="000000" w:themeColor="text1"/>
          <w:sz w:val="21"/>
          <w:szCs w:val="21"/>
          <w:highlight w:val="white"/>
          <w:lang w:eastAsia="zh-CN"/>
        </w:rPr>
        <w:t>（四）基金财产清算剩余资产的分配</w:t>
      </w:r>
    </w:p>
    <w:p w:rsidR="00F14202">
      <w:pPr>
        <w:spacing w:line="360" w:lineRule="auto"/>
        <w:ind w:firstLine="420"/>
        <w:jc w:val="left"/>
        <w:rPr>
          <w:color w:val="000000"/>
          <w:sz w:val="21"/>
          <w:szCs w:val="21"/>
          <w:lang w:eastAsia="zh-CN"/>
        </w:rPr>
      </w:pPr>
      <w:r>
        <w:rPr>
          <w:color w:val="000000" w:themeColor="text1"/>
          <w:sz w:val="21"/>
          <w:szCs w:val="21"/>
          <w:highlight w:val="white"/>
          <w:lang w:eastAsia="zh-CN"/>
        </w:rPr>
        <w:t>依据基金财产清算的分配方案，将基金财产清算后的全部剩余资产扣除基金财产清算费用、交纳所欠税款并清偿基金债务后，按基金份额持有人持有的基金份额比例进行分配。分配金额需加上返还基金份额持有人的销售服务费（如有）。</w:t>
      </w:r>
    </w:p>
    <w:p w:rsidR="00F14202">
      <w:pPr>
        <w:spacing w:line="360" w:lineRule="auto"/>
        <w:ind w:firstLine="420"/>
        <w:jc w:val="left"/>
        <w:rPr>
          <w:color w:val="000000"/>
          <w:sz w:val="21"/>
          <w:szCs w:val="21"/>
          <w:lang w:eastAsia="zh-CN"/>
        </w:rPr>
      </w:pPr>
      <w:r>
        <w:rPr>
          <w:color w:val="000000" w:themeColor="text1"/>
          <w:sz w:val="21"/>
          <w:szCs w:val="21"/>
          <w:highlight w:val="white"/>
          <w:lang w:eastAsia="zh-CN"/>
        </w:rPr>
        <w:t>（五）基金财产清算的公告</w:t>
      </w:r>
    </w:p>
    <w:p w:rsidR="00F14202">
      <w:pPr>
        <w:spacing w:line="360" w:lineRule="auto"/>
        <w:ind w:firstLine="420"/>
        <w:jc w:val="left"/>
        <w:rPr>
          <w:color w:val="000000"/>
          <w:sz w:val="21"/>
          <w:szCs w:val="21"/>
          <w:lang w:eastAsia="zh-CN"/>
        </w:rPr>
      </w:pPr>
      <w:r>
        <w:rPr>
          <w:color w:val="000000" w:themeColor="text1"/>
          <w:sz w:val="21"/>
          <w:szCs w:val="21"/>
          <w:highlight w:val="white"/>
          <w:lang w:eastAsia="zh-CN"/>
        </w:rPr>
        <w:t>清算过程中的有关重大事项须及时公告；基金财产清算报告经符合《证券法》规定的会计师事务所审计并由律师事务所出具法律意见书后报中</w:t>
      </w:r>
      <w:r>
        <w:rPr>
          <w:color w:val="000000" w:themeColor="text1"/>
          <w:sz w:val="21"/>
          <w:szCs w:val="21"/>
          <w:highlight w:val="white"/>
          <w:lang w:eastAsia="zh-CN"/>
        </w:rPr>
        <w:t>国证监会备案并公告。基金财产清算公告于基金财产清算报告报中国证监会备案后</w:t>
      </w:r>
      <w:r>
        <w:rPr>
          <w:rFonts w:ascii="宋体" w:hAnsi="宋体" w:cs="宋体"/>
          <w:color w:val="000000" w:themeColor="text1"/>
          <w:sz w:val="21"/>
          <w:szCs w:val="21"/>
          <w:highlight w:val="white"/>
          <w:lang w:eastAsia="zh-CN"/>
        </w:rPr>
        <w:t>5</w:t>
      </w:r>
      <w:r>
        <w:rPr>
          <w:color w:val="000000" w:themeColor="text1"/>
          <w:sz w:val="21"/>
          <w:szCs w:val="21"/>
          <w:highlight w:val="white"/>
          <w:lang w:eastAsia="zh-CN"/>
        </w:rPr>
        <w:t>个工作日内由基金财产清算小组进行公告。</w:t>
      </w:r>
    </w:p>
    <w:p w:rsidR="00F14202">
      <w:pPr>
        <w:spacing w:line="360" w:lineRule="auto"/>
        <w:ind w:firstLine="420"/>
        <w:jc w:val="left"/>
        <w:rPr>
          <w:color w:val="000000"/>
          <w:sz w:val="21"/>
          <w:szCs w:val="21"/>
          <w:lang w:eastAsia="zh-CN"/>
        </w:rPr>
      </w:pPr>
      <w:r>
        <w:rPr>
          <w:color w:val="000000" w:themeColor="text1"/>
          <w:sz w:val="21"/>
          <w:szCs w:val="21"/>
          <w:highlight w:val="white"/>
          <w:lang w:eastAsia="zh-CN"/>
        </w:rPr>
        <w:t>（六）基金财产清算账册及文件的保存</w:t>
      </w:r>
    </w:p>
    <w:p w:rsidR="00F14202">
      <w:pPr>
        <w:spacing w:line="360" w:lineRule="auto"/>
        <w:ind w:firstLine="420"/>
        <w:jc w:val="left"/>
        <w:rPr>
          <w:color w:val="000000"/>
          <w:sz w:val="21"/>
          <w:szCs w:val="21"/>
          <w:lang w:eastAsia="zh-CN"/>
        </w:rPr>
      </w:pPr>
      <w:r>
        <w:rPr>
          <w:color w:val="000000" w:themeColor="text1"/>
          <w:sz w:val="21"/>
          <w:szCs w:val="21"/>
          <w:highlight w:val="white"/>
          <w:lang w:eastAsia="zh-CN"/>
        </w:rPr>
        <w:t>基金财产清算账册及有关文件由基金托管人保存</w:t>
      </w:r>
      <w:r>
        <w:rPr>
          <w:rFonts w:ascii="宋体" w:hAnsi="宋体" w:cs="宋体"/>
          <w:color w:val="000000" w:themeColor="text1"/>
          <w:sz w:val="21"/>
          <w:szCs w:val="21"/>
          <w:highlight w:val="white"/>
          <w:lang w:eastAsia="zh-CN"/>
        </w:rPr>
        <w:t>20</w:t>
      </w:r>
      <w:r>
        <w:rPr>
          <w:color w:val="000000" w:themeColor="text1"/>
          <w:sz w:val="21"/>
          <w:szCs w:val="21"/>
          <w:highlight w:val="white"/>
          <w:lang w:eastAsia="zh-CN"/>
        </w:rPr>
        <w:t>年以上。</w:t>
      </w:r>
    </w:p>
    <w:p w:rsidR="00F14202">
      <w:pPr>
        <w:spacing w:line="360" w:lineRule="auto"/>
        <w:ind w:firstLine="420"/>
        <w:rPr>
          <w:color w:val="000000"/>
          <w:sz w:val="21"/>
          <w:szCs w:val="21"/>
          <w:lang w:eastAsia="zh-CN"/>
        </w:rPr>
      </w:pPr>
      <w:r>
        <w:rPr>
          <w:rFonts w:ascii="宋体" w:hAnsi="宋体" w:cs="宋体"/>
          <w:color w:val="000000"/>
          <w:sz w:val="21"/>
          <w:szCs w:val="21"/>
          <w:highlight w:val="white"/>
          <w:lang w:eastAsia="zh-CN"/>
        </w:rPr>
        <w:tab/>
      </w:r>
    </w:p>
    <w:p w:rsidR="00F14202">
      <w:pPr>
        <w:pStyle w:val="Heading1"/>
        <w:numPr>
          <w:ilvl w:val="0"/>
          <w:numId w:val="1"/>
        </w:numPr>
        <w:spacing w:before="120" w:after="120" w:line="360" w:lineRule="auto"/>
        <w:jc w:val="center"/>
        <w:rPr>
          <w:b w:val="0"/>
          <w:color w:val="000000"/>
          <w:sz w:val="24"/>
          <w:szCs w:val="24"/>
        </w:rPr>
      </w:pPr>
      <w:bookmarkStart w:id="41" w:name="_Toc394474012"/>
      <w:bookmarkStart w:id="42" w:name="_Toc881147"/>
      <w:r>
        <w:rPr>
          <w:rFonts w:hint="eastAsia"/>
          <w:color w:val="000000" w:themeColor="text1"/>
          <w:sz w:val="24"/>
          <w:szCs w:val="24"/>
          <w:highlight w:val="white"/>
        </w:rPr>
        <w:t>违约责任和责任划分</w:t>
      </w:r>
      <w:bookmarkEnd w:id="41"/>
      <w:bookmarkEnd w:id="42"/>
    </w:p>
    <w:p w:rsidR="00F14202">
      <w:pPr>
        <w:spacing w:line="360" w:lineRule="auto"/>
        <w:ind w:firstLine="420"/>
        <w:rPr>
          <w:color w:val="000000"/>
          <w:sz w:val="21"/>
          <w:szCs w:val="21"/>
        </w:rPr>
      </w:pP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（一）本协议当事人不履行本协议或履行本协议不符合约定的，应当承担违约责任。</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（二）因本协议当事人违约给基金财产或者基金份额持有人造成损害的，应当分别对各自的行为依法承担赔偿责任，因共同行为给基金财产或者基金份额持有人造成损害的，应当承担连带赔偿责任。</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（三）一方当事人违反本协议，给另一方当事人造成损失的，应承担赔偿责任。</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（四）发生下列情况时，当事人免责：</w:t>
      </w:r>
    </w:p>
    <w:p w:rsidR="00F14202">
      <w:pPr>
        <w:spacing w:line="360" w:lineRule="auto"/>
        <w:ind w:firstLine="420"/>
        <w:rPr>
          <w:color w:val="000000"/>
          <w:sz w:val="21"/>
          <w:szCs w:val="21"/>
          <w:lang w:eastAsia="zh-CN"/>
        </w:rPr>
      </w:pPr>
      <w:r>
        <w:rPr>
          <w:rFonts w:ascii="宋体" w:hAnsi="宋体" w:cs="宋体"/>
          <w:color w:val="000000" w:themeColor="text1"/>
          <w:sz w:val="21"/>
          <w:szCs w:val="21"/>
          <w:highlight w:val="white"/>
          <w:lang w:eastAsia="zh-CN"/>
        </w:rPr>
        <w:t>1</w:t>
      </w:r>
      <w:r>
        <w:rPr>
          <w:rFonts w:ascii="宋体" w:hAnsi="宋体" w:cs="宋体"/>
          <w:color w:val="000000" w:themeColor="text1"/>
          <w:sz w:val="21"/>
          <w:szCs w:val="21"/>
          <w:highlight w:val="white"/>
          <w:lang w:eastAsia="zh-CN"/>
        </w:rPr>
        <w:t>、不可抗力；</w:t>
      </w:r>
    </w:p>
    <w:p w:rsidR="00F14202">
      <w:pPr>
        <w:spacing w:line="360" w:lineRule="auto"/>
        <w:ind w:firstLine="420"/>
        <w:rPr>
          <w:color w:val="000000"/>
          <w:sz w:val="21"/>
          <w:szCs w:val="21"/>
          <w:lang w:eastAsia="zh-CN"/>
        </w:rPr>
      </w:pPr>
      <w:r>
        <w:rPr>
          <w:rFonts w:ascii="宋体" w:hAnsi="宋体" w:cs="宋体"/>
          <w:color w:val="000000" w:themeColor="text1"/>
          <w:sz w:val="21"/>
          <w:szCs w:val="21"/>
          <w:highlight w:val="white"/>
          <w:lang w:eastAsia="zh-CN"/>
        </w:rPr>
        <w:t>2</w:t>
      </w:r>
      <w:r>
        <w:rPr>
          <w:rFonts w:ascii="宋体" w:hAnsi="宋体" w:cs="宋体"/>
          <w:color w:val="000000" w:themeColor="text1"/>
          <w:sz w:val="21"/>
          <w:szCs w:val="21"/>
          <w:highlight w:val="white"/>
          <w:lang w:eastAsia="zh-CN"/>
        </w:rPr>
        <w:t>、基金管理人和</w:t>
      </w:r>
      <w:r>
        <w:rPr>
          <w:rFonts w:ascii="宋体" w:hAnsi="宋体" w:cs="宋体"/>
          <w:color w:val="000000" w:themeColor="text1"/>
          <w:sz w:val="21"/>
          <w:szCs w:val="21"/>
          <w:highlight w:val="white"/>
          <w:lang w:eastAsia="zh-CN"/>
        </w:rPr>
        <w:t>/</w:t>
      </w:r>
      <w:r>
        <w:rPr>
          <w:rFonts w:ascii="宋体" w:hAnsi="宋体" w:cs="宋体"/>
          <w:color w:val="000000" w:themeColor="text1"/>
          <w:sz w:val="21"/>
          <w:szCs w:val="21"/>
          <w:highlight w:val="white"/>
          <w:lang w:eastAsia="zh-CN"/>
        </w:rPr>
        <w:t>或基金托管人按照当时有效的法律法规或中国证监会的规定作为或不作为而造成的损失等；</w:t>
      </w:r>
    </w:p>
    <w:p w:rsidR="00F14202">
      <w:pPr>
        <w:spacing w:line="360" w:lineRule="auto"/>
        <w:ind w:firstLine="420"/>
        <w:rPr>
          <w:color w:val="000000"/>
          <w:sz w:val="21"/>
          <w:szCs w:val="21"/>
          <w:lang w:eastAsia="zh-CN"/>
        </w:rPr>
      </w:pPr>
      <w:r>
        <w:rPr>
          <w:rFonts w:ascii="宋体" w:hAnsi="宋体" w:cs="宋体"/>
          <w:color w:val="000000" w:themeColor="text1"/>
          <w:sz w:val="21"/>
          <w:szCs w:val="21"/>
          <w:highlight w:val="white"/>
          <w:lang w:eastAsia="zh-CN"/>
        </w:rPr>
        <w:t>3</w:t>
      </w:r>
      <w:r>
        <w:rPr>
          <w:rFonts w:ascii="宋体" w:hAnsi="宋体" w:cs="宋体"/>
          <w:color w:val="000000" w:themeColor="text1"/>
          <w:sz w:val="21"/>
          <w:szCs w:val="21"/>
          <w:highlight w:val="white"/>
          <w:lang w:eastAsia="zh-CN"/>
        </w:rPr>
        <w:t>、基金管理人由于按照基金合同规定的投资原则投资或不投资造成的损失等。</w:t>
      </w:r>
    </w:p>
    <w:p w:rsidR="00F14202">
      <w:pPr>
        <w:spacing w:line="360" w:lineRule="auto"/>
        <w:ind w:firstLine="420"/>
        <w:rPr>
          <w:color w:val="000000"/>
          <w:sz w:val="21"/>
          <w:szCs w:val="21"/>
          <w:lang w:eastAsia="zh-CN"/>
        </w:rPr>
      </w:pP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（五）当事人一方违约，另一方在职责范围内有义务及时采取必要的措施，尽力防止损失的扩大。</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（六）违约行为虽已发生，但本协议能够继续履行的，在最大限度地保护基金份额持有人利益的前提下，基金管理人和基金托管人应当继续履行本协议。</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（七）本协议所述责任划分仅指基金</w:t>
      </w:r>
      <w:r>
        <w:rPr>
          <w:rFonts w:ascii="宋体" w:hAnsi="宋体" w:cs="宋体"/>
          <w:color w:val="000000" w:themeColor="text1"/>
          <w:sz w:val="21"/>
          <w:szCs w:val="21"/>
          <w:highlight w:val="white"/>
          <w:lang w:eastAsia="zh-CN"/>
        </w:rPr>
        <w:t>/</w:t>
      </w:r>
      <w:r>
        <w:rPr>
          <w:rFonts w:hint="eastAsia"/>
          <w:color w:val="000000" w:themeColor="text1"/>
          <w:sz w:val="21"/>
          <w:szCs w:val="21"/>
          <w:highlight w:val="white"/>
          <w:lang w:eastAsia="zh-CN"/>
        </w:rPr>
        <w:t>基金管理人、基金</w:t>
      </w:r>
      <w:r>
        <w:rPr>
          <w:rFonts w:ascii="宋体" w:hAnsi="宋体" w:cs="宋体"/>
          <w:color w:val="000000" w:themeColor="text1"/>
          <w:sz w:val="21"/>
          <w:szCs w:val="21"/>
          <w:highlight w:val="white"/>
          <w:lang w:eastAsia="zh-CN"/>
        </w:rPr>
        <w:t>/</w:t>
      </w:r>
      <w:r>
        <w:rPr>
          <w:rFonts w:hint="eastAsia"/>
          <w:color w:val="000000" w:themeColor="text1"/>
          <w:sz w:val="21"/>
          <w:szCs w:val="21"/>
          <w:highlight w:val="white"/>
          <w:lang w:eastAsia="zh-CN"/>
        </w:rPr>
        <w:t>基金托管人之间的责任划分，并不影响承担责任一方向其他责任方追索的权利。</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（八）本协议所指损失均为直接损失。</w:t>
      </w:r>
    </w:p>
    <w:p w:rsidR="00F14202">
      <w:pPr>
        <w:spacing w:line="360" w:lineRule="auto"/>
        <w:ind w:firstLine="420"/>
        <w:rPr>
          <w:color w:val="000000"/>
          <w:sz w:val="21"/>
          <w:szCs w:val="21"/>
          <w:lang w:eastAsia="zh-CN"/>
        </w:rPr>
      </w:pPr>
    </w:p>
    <w:p w:rsidR="00F14202">
      <w:pPr>
        <w:pStyle w:val="Heading1"/>
        <w:numPr>
          <w:ilvl w:val="0"/>
          <w:numId w:val="1"/>
        </w:numPr>
        <w:spacing w:before="120" w:after="120" w:line="360" w:lineRule="auto"/>
        <w:jc w:val="center"/>
        <w:rPr>
          <w:b w:val="0"/>
          <w:color w:val="000000"/>
          <w:sz w:val="24"/>
          <w:szCs w:val="24"/>
          <w:lang w:eastAsia="zh-CN"/>
        </w:rPr>
      </w:pPr>
      <w:bookmarkStart w:id="43" w:name="_Toc881148"/>
      <w:bookmarkStart w:id="44" w:name="_Toc394474013"/>
      <w:r>
        <w:rPr>
          <w:rFonts w:hint="eastAsia"/>
          <w:color w:val="000000" w:themeColor="text1"/>
          <w:sz w:val="24"/>
          <w:szCs w:val="24"/>
          <w:highlight w:val="white"/>
          <w:lang w:eastAsia="zh-CN"/>
        </w:rPr>
        <w:t>适用法律与争议解决方式</w:t>
      </w:r>
      <w:bookmarkEnd w:id="43"/>
      <w:bookmarkEnd w:id="44"/>
    </w:p>
    <w:p w:rsidR="00F14202">
      <w:pPr>
        <w:spacing w:line="360" w:lineRule="auto"/>
        <w:ind w:firstLine="420"/>
        <w:rPr>
          <w:color w:val="000000"/>
          <w:sz w:val="21"/>
          <w:szCs w:val="21"/>
          <w:lang w:eastAsia="zh-CN"/>
        </w:rPr>
      </w:pP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（一）本协议适用中华人民共和国法律并从其解释。</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（二）基金管理人与基金托管人之间因本协议产生的或与本协议有关的争议可通过友好协商解决。但争议未能以协商方式解决的，则任何一方有权将争议提交</w:t>
      </w:r>
      <w:r>
        <w:rPr>
          <w:rFonts w:ascii="宋体" w:hAnsi="宋体" w:cs="宋体"/>
          <w:color w:val="000000"/>
          <w:sz w:val="21"/>
          <w:highlight w:val="white"/>
          <w:lang w:eastAsia="zh-CN"/>
        </w:rPr>
        <w:t>中</w:t>
      </w:r>
      <w:r>
        <w:rPr>
          <w:rFonts w:ascii="宋体" w:hAnsi="宋体" w:cs="宋体"/>
          <w:color w:val="000000"/>
          <w:sz w:val="21"/>
          <w:highlight w:val="white"/>
          <w:lang w:eastAsia="zh-CN"/>
        </w:rPr>
        <w:t>国国际经济贸易仲裁委员会</w:t>
      </w:r>
      <w:r>
        <w:rPr>
          <w:rFonts w:hint="eastAsia"/>
          <w:color w:val="000000" w:themeColor="text1"/>
          <w:sz w:val="21"/>
          <w:szCs w:val="21"/>
          <w:highlight w:val="white"/>
          <w:lang w:eastAsia="zh-CN"/>
        </w:rPr>
        <w:t>，根据提交仲裁时该会的仲裁规则进行仲裁，仲裁地点为北京市。仲裁裁决是终局的，对仲裁各方当事人均具有约束力。除非仲裁裁决另有规定，仲裁费用由败诉方承担。</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（三）争议处理期间，双方当事人应恪守基金管理人和基金托管人职责，各自继续忠实、勤勉、尽责地履行《基金合同》和《托管协议》规定的义务，维护基金份额持有人的合法权益。</w:t>
      </w:r>
    </w:p>
    <w:p w:rsidR="00F14202">
      <w:pPr>
        <w:spacing w:line="360" w:lineRule="auto"/>
        <w:ind w:firstLine="420"/>
        <w:rPr>
          <w:color w:val="000000"/>
          <w:sz w:val="21"/>
          <w:szCs w:val="21"/>
          <w:lang w:eastAsia="zh-CN"/>
        </w:rPr>
      </w:pPr>
    </w:p>
    <w:p w:rsidR="00F14202">
      <w:pPr>
        <w:pStyle w:val="Heading1"/>
        <w:numPr>
          <w:ilvl w:val="0"/>
          <w:numId w:val="1"/>
        </w:numPr>
        <w:spacing w:before="120" w:after="120" w:line="360" w:lineRule="auto"/>
        <w:jc w:val="center"/>
        <w:rPr>
          <w:b w:val="0"/>
          <w:color w:val="000000"/>
          <w:sz w:val="24"/>
          <w:szCs w:val="24"/>
        </w:rPr>
      </w:pPr>
      <w:bookmarkStart w:id="45" w:name="_Toc881149"/>
      <w:bookmarkStart w:id="46" w:name="_Toc394474014"/>
      <w:r>
        <w:rPr>
          <w:rFonts w:hint="eastAsia"/>
          <w:color w:val="000000" w:themeColor="text1"/>
          <w:sz w:val="24"/>
          <w:szCs w:val="24"/>
          <w:highlight w:val="white"/>
        </w:rPr>
        <w:t>托管协议的效力</w:t>
      </w:r>
      <w:bookmarkEnd w:id="45"/>
      <w:bookmarkEnd w:id="46"/>
    </w:p>
    <w:p w:rsidR="00F14202">
      <w:pPr>
        <w:spacing w:line="360" w:lineRule="auto"/>
        <w:ind w:firstLine="420"/>
        <w:rPr>
          <w:color w:val="000000"/>
          <w:sz w:val="21"/>
          <w:szCs w:val="21"/>
        </w:rPr>
      </w:pP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（一）基金管理人在向中国证监会申请发售基金份额时提交的基金托管协议草案，应经托管协议当事人双方盖章以及双方法定代表人或授权代表签字或盖章，协议当事人双方</w:t>
      </w:r>
      <w:r>
        <w:rPr>
          <w:rFonts w:hint="eastAsia"/>
          <w:color w:val="000000" w:themeColor="text1"/>
          <w:sz w:val="21"/>
          <w:szCs w:val="21"/>
          <w:highlight w:val="white"/>
          <w:lang w:eastAsia="zh-CN"/>
        </w:rPr>
        <w:t>根据中国证监会的意见修改托管协议草案。托管协议以中国证监会注册的文本为正式文本。</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（二）本协议自《基金合同》成立之日起成立，自</w:t>
      </w:r>
      <w:r>
        <w:rPr>
          <w:rFonts w:ascii="宋体" w:hAnsi="Calibri" w:cs="宋体" w:hint="eastAsia"/>
          <w:color w:val="000000" w:themeColor="text1"/>
          <w:sz w:val="21"/>
          <w:szCs w:val="21"/>
          <w:highlight w:val="white"/>
          <w:lang w:eastAsia="zh-CN"/>
        </w:rPr>
        <w:t>《基金合同》</w:t>
      </w:r>
      <w:r>
        <w:rPr>
          <w:rFonts w:hint="eastAsia"/>
          <w:color w:val="000000" w:themeColor="text1"/>
          <w:sz w:val="21"/>
          <w:szCs w:val="21"/>
          <w:highlight w:val="white"/>
          <w:lang w:eastAsia="zh-CN"/>
        </w:rPr>
        <w:t>生效之日起生效，与</w:t>
      </w:r>
      <w:r>
        <w:rPr>
          <w:rFonts w:ascii="宋体" w:hAnsi="Calibri" w:cs="宋体" w:hint="eastAsia"/>
          <w:color w:val="000000" w:themeColor="text1"/>
          <w:sz w:val="21"/>
          <w:szCs w:val="21"/>
          <w:highlight w:val="white"/>
          <w:lang w:eastAsia="zh-CN"/>
        </w:rPr>
        <w:t>《基金合同》</w:t>
      </w:r>
      <w:r>
        <w:rPr>
          <w:rFonts w:hint="eastAsia"/>
          <w:color w:val="000000" w:themeColor="text1"/>
          <w:sz w:val="21"/>
          <w:szCs w:val="21"/>
          <w:highlight w:val="white"/>
          <w:lang w:eastAsia="zh-CN"/>
        </w:rPr>
        <w:t>具有同等法律效力。本协议的有效期自其生效之日起至基金财产清算结果报中国证监会备案并公告之日止。</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（三）本协议自生效之日起对双方当事人具有同等的法律约束力。</w:t>
      </w: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（四）本协议正本一式</w:t>
      </w:r>
      <w:r>
        <w:rPr>
          <w:rFonts w:ascii="宋体" w:hAnsi="宋体" w:cs="宋体"/>
          <w:color w:val="000000" w:themeColor="text1"/>
          <w:sz w:val="21"/>
          <w:szCs w:val="21"/>
          <w:highlight w:val="white"/>
          <w:lang w:eastAsia="zh-CN"/>
        </w:rPr>
        <w:t>3</w:t>
      </w:r>
      <w:r>
        <w:rPr>
          <w:rFonts w:hint="eastAsia"/>
          <w:color w:val="000000" w:themeColor="text1"/>
          <w:sz w:val="21"/>
          <w:szCs w:val="21"/>
          <w:highlight w:val="white"/>
          <w:lang w:eastAsia="zh-CN"/>
        </w:rPr>
        <w:t>份，协议双方各执</w:t>
      </w:r>
      <w:r>
        <w:rPr>
          <w:rFonts w:ascii="宋体" w:hAnsi="宋体" w:cs="宋体"/>
          <w:color w:val="000000" w:themeColor="text1"/>
          <w:sz w:val="21"/>
          <w:szCs w:val="21"/>
          <w:highlight w:val="white"/>
          <w:lang w:eastAsia="zh-CN"/>
        </w:rPr>
        <w:t>1</w:t>
      </w:r>
      <w:r>
        <w:rPr>
          <w:rFonts w:hint="eastAsia"/>
          <w:color w:val="000000" w:themeColor="text1"/>
          <w:sz w:val="21"/>
          <w:szCs w:val="21"/>
          <w:highlight w:val="white"/>
          <w:lang w:eastAsia="zh-CN"/>
        </w:rPr>
        <w:t>份，上报有关监管部门</w:t>
      </w:r>
      <w:r>
        <w:rPr>
          <w:rFonts w:ascii="宋体" w:hAnsi="宋体" w:cs="宋体"/>
          <w:color w:val="000000" w:themeColor="text1"/>
          <w:sz w:val="21"/>
          <w:szCs w:val="21"/>
          <w:highlight w:val="white"/>
          <w:lang w:eastAsia="zh-CN"/>
        </w:rPr>
        <w:t>1</w:t>
      </w:r>
      <w:r>
        <w:rPr>
          <w:rFonts w:hint="eastAsia"/>
          <w:color w:val="000000" w:themeColor="text1"/>
          <w:sz w:val="21"/>
          <w:szCs w:val="21"/>
          <w:highlight w:val="white"/>
          <w:lang w:eastAsia="zh-CN"/>
        </w:rPr>
        <w:t>份，每份具有同等法律效力。</w:t>
      </w:r>
    </w:p>
    <w:p w:rsidR="00F14202">
      <w:pPr>
        <w:pStyle w:val="Heading1"/>
        <w:numPr>
          <w:ilvl w:val="0"/>
          <w:numId w:val="1"/>
        </w:numPr>
        <w:spacing w:before="120" w:after="120" w:line="360" w:lineRule="auto"/>
        <w:jc w:val="center"/>
        <w:rPr>
          <w:b w:val="0"/>
          <w:color w:val="000000"/>
          <w:sz w:val="24"/>
          <w:szCs w:val="24"/>
        </w:rPr>
      </w:pPr>
      <w:bookmarkStart w:id="47" w:name="_Toc394474015"/>
      <w:bookmarkStart w:id="48" w:name="_Toc881150"/>
      <w:r>
        <w:rPr>
          <w:rFonts w:hint="eastAsia"/>
          <w:color w:val="000000" w:themeColor="text1"/>
          <w:sz w:val="24"/>
          <w:szCs w:val="24"/>
          <w:highlight w:val="white"/>
        </w:rPr>
        <w:t>托管协议的签订</w:t>
      </w:r>
      <w:bookmarkEnd w:id="47"/>
      <w:bookmarkEnd w:id="48"/>
    </w:p>
    <w:p w:rsidR="00F14202">
      <w:pPr>
        <w:spacing w:line="360" w:lineRule="auto"/>
        <w:ind w:firstLine="420"/>
        <w:rPr>
          <w:color w:val="000000"/>
          <w:sz w:val="21"/>
          <w:szCs w:val="21"/>
        </w:rPr>
      </w:pPr>
    </w:p>
    <w:p w:rsidR="00F14202">
      <w:pPr>
        <w:spacing w:line="360" w:lineRule="auto"/>
        <w:ind w:firstLine="420"/>
        <w:rPr>
          <w:color w:val="000000"/>
          <w:sz w:val="21"/>
          <w:szCs w:val="21"/>
          <w:lang w:eastAsia="zh-CN"/>
        </w:rPr>
      </w:pPr>
      <w:r>
        <w:rPr>
          <w:rFonts w:hint="eastAsia"/>
          <w:color w:val="000000" w:themeColor="text1"/>
          <w:sz w:val="21"/>
          <w:szCs w:val="21"/>
          <w:highlight w:val="white"/>
          <w:lang w:eastAsia="zh-CN"/>
        </w:rPr>
        <w:t>本托管协议经基金管理人和基金托管人认可后，由该双方当事人在基金托管协议上盖章，并由各自的法定代表人或授权代表签字或盖章，并注明基金托管协议的签订地点和签订日期。</w:t>
      </w:r>
    </w:p>
    <w:p w:rsidR="00F14202">
      <w:pPr>
        <w:widowControl/>
        <w:jc w:val="left"/>
        <w:rPr>
          <w:color w:val="000000"/>
          <w:sz w:val="21"/>
          <w:szCs w:val="21"/>
          <w:lang w:eastAsia="zh-CN"/>
        </w:rPr>
      </w:pPr>
      <w:r>
        <w:rPr>
          <w:rFonts w:ascii="宋体" w:hAnsi="宋体" w:cs="宋体"/>
          <w:color w:val="000000" w:themeColor="text1"/>
          <w:sz w:val="21"/>
          <w:szCs w:val="21"/>
          <w:highlight w:val="white"/>
          <w:lang w:eastAsia="zh-CN"/>
        </w:rPr>
        <w:br w:type="page"/>
      </w:r>
    </w:p>
    <w:p w:rsidR="00F14202">
      <w:pPr>
        <w:pStyle w:val="20"/>
        <w:ind w:firstLine="480"/>
        <w:rPr>
          <w:color w:val="000000"/>
          <w:sz w:val="21"/>
          <w:szCs w:val="21"/>
          <w:lang w:eastAsia="zh-CN"/>
        </w:rPr>
      </w:pPr>
      <w:r>
        <w:rPr>
          <w:color w:val="000000"/>
          <w:sz w:val="21"/>
          <w:szCs w:val="21"/>
          <w:highlight w:val="white"/>
          <w:lang w:eastAsia="zh-CN"/>
        </w:rPr>
        <w:t>本页无正文，为《</w:t>
      </w:r>
      <w:r>
        <w:rPr>
          <w:rFonts w:hint="eastAsia"/>
          <w:color w:val="000000"/>
          <w:sz w:val="21"/>
          <w:szCs w:val="21"/>
          <w:lang w:eastAsia="zh-CN"/>
        </w:rPr>
        <w:t>易方达丰瑞债券型证券投资基金</w:t>
      </w:r>
      <w:r>
        <w:rPr>
          <w:rFonts w:hint="eastAsia"/>
          <w:color w:val="000000"/>
          <w:sz w:val="21"/>
          <w:szCs w:val="21"/>
          <w:highlight w:val="white"/>
          <w:lang w:eastAsia="zh-CN"/>
        </w:rPr>
        <w:t>托管</w:t>
      </w:r>
      <w:r>
        <w:rPr>
          <w:color w:val="000000"/>
          <w:sz w:val="21"/>
          <w:szCs w:val="21"/>
          <w:highlight w:val="white"/>
          <w:lang w:eastAsia="zh-CN"/>
        </w:rPr>
        <w:t>协议</w:t>
      </w:r>
      <w:r>
        <w:rPr>
          <w:color w:val="000000"/>
          <w:sz w:val="21"/>
          <w:szCs w:val="21"/>
          <w:highlight w:val="white"/>
          <w:lang w:eastAsia="zh-CN"/>
        </w:rPr>
        <w:t>》的签字盖章页。</w:t>
      </w:r>
    </w:p>
    <w:p w:rsidR="00F14202">
      <w:pPr>
        <w:pStyle w:val="20"/>
        <w:ind w:firstLine="480"/>
        <w:rPr>
          <w:color w:val="000000"/>
          <w:sz w:val="21"/>
          <w:szCs w:val="21"/>
          <w:lang w:eastAsia="zh-CN"/>
        </w:rPr>
      </w:pPr>
    </w:p>
    <w:p w:rsidR="00F14202">
      <w:pPr>
        <w:pStyle w:val="20"/>
        <w:ind w:firstLine="480"/>
        <w:rPr>
          <w:color w:val="000000"/>
          <w:sz w:val="21"/>
          <w:szCs w:val="21"/>
          <w:lang w:eastAsia="zh-CN"/>
        </w:rPr>
      </w:pPr>
      <w:r>
        <w:rPr>
          <w:rFonts w:hint="eastAsia"/>
          <w:color w:val="000000"/>
          <w:sz w:val="21"/>
          <w:szCs w:val="21"/>
          <w:highlight w:val="white"/>
          <w:lang w:eastAsia="zh-CN"/>
        </w:rPr>
        <w:t>《托管协议</w:t>
      </w:r>
      <w:r>
        <w:rPr>
          <w:color w:val="000000"/>
          <w:sz w:val="21"/>
          <w:szCs w:val="21"/>
          <w:highlight w:val="white"/>
          <w:lang w:eastAsia="zh-CN"/>
        </w:rPr>
        <w:t>》当事人盖章及法定代表人或授</w:t>
      </w:r>
      <w:r>
        <w:rPr>
          <w:rFonts w:hint="eastAsia"/>
          <w:color w:val="000000"/>
          <w:sz w:val="21"/>
          <w:szCs w:val="21"/>
          <w:highlight w:val="white"/>
          <w:lang w:eastAsia="zh-CN"/>
        </w:rPr>
        <w:t>权</w:t>
      </w:r>
      <w:r>
        <w:rPr>
          <w:color w:val="000000"/>
          <w:sz w:val="21"/>
          <w:szCs w:val="21"/>
          <w:highlight w:val="white"/>
          <w:lang w:eastAsia="zh-CN"/>
        </w:rPr>
        <w:t>代表签字</w:t>
      </w:r>
      <w:r>
        <w:rPr>
          <w:rFonts w:ascii="宋体" w:hAnsi="宋体" w:cs="宋体"/>
          <w:color w:val="000000"/>
          <w:sz w:val="21"/>
          <w:szCs w:val="21"/>
          <w:highlight w:val="white"/>
          <w:lang w:eastAsia="zh-CN"/>
        </w:rPr>
        <w:t>/</w:t>
      </w:r>
      <w:r>
        <w:rPr>
          <w:color w:val="000000"/>
          <w:sz w:val="21"/>
          <w:szCs w:val="21"/>
          <w:highlight w:val="white"/>
          <w:lang w:eastAsia="zh-CN"/>
        </w:rPr>
        <w:t>签章、</w:t>
      </w:r>
      <w:r>
        <w:rPr>
          <w:rFonts w:hint="eastAsia"/>
          <w:color w:val="000000"/>
          <w:sz w:val="21"/>
          <w:szCs w:val="21"/>
          <w:highlight w:val="white"/>
          <w:lang w:eastAsia="zh-CN"/>
        </w:rPr>
        <w:t>签</w:t>
      </w:r>
      <w:r>
        <w:rPr>
          <w:color w:val="000000"/>
          <w:sz w:val="21"/>
          <w:szCs w:val="21"/>
          <w:highlight w:val="white"/>
          <w:lang w:eastAsia="zh-CN"/>
        </w:rPr>
        <w:t>订地、</w:t>
      </w:r>
      <w:r>
        <w:rPr>
          <w:rFonts w:hint="eastAsia"/>
          <w:color w:val="000000"/>
          <w:sz w:val="21"/>
          <w:szCs w:val="21"/>
          <w:highlight w:val="white"/>
          <w:lang w:eastAsia="zh-CN"/>
        </w:rPr>
        <w:t>签订</w:t>
      </w:r>
      <w:r>
        <w:rPr>
          <w:color w:val="000000"/>
          <w:sz w:val="21"/>
          <w:szCs w:val="21"/>
          <w:highlight w:val="white"/>
          <w:lang w:eastAsia="zh-CN"/>
        </w:rPr>
        <w:t>日</w:t>
      </w:r>
    </w:p>
    <w:p w:rsidR="00F14202">
      <w:pPr>
        <w:pStyle w:val="20"/>
        <w:ind w:firstLine="480"/>
        <w:rPr>
          <w:color w:val="000000"/>
          <w:sz w:val="21"/>
          <w:szCs w:val="21"/>
          <w:lang w:eastAsia="zh-CN"/>
        </w:rPr>
      </w:pPr>
    </w:p>
    <w:p w:rsidR="00F14202">
      <w:pPr>
        <w:pStyle w:val="20"/>
        <w:ind w:firstLine="480"/>
        <w:rPr>
          <w:color w:val="000000"/>
          <w:sz w:val="21"/>
          <w:szCs w:val="21"/>
          <w:lang w:eastAsia="zh-CN"/>
        </w:rPr>
      </w:pPr>
    </w:p>
    <w:p w:rsidR="00F14202">
      <w:pPr>
        <w:pStyle w:val="20"/>
        <w:ind w:firstLine="480"/>
        <w:rPr>
          <w:color w:val="000000"/>
          <w:sz w:val="21"/>
          <w:szCs w:val="21"/>
          <w:lang w:eastAsia="zh-CN"/>
        </w:rPr>
      </w:pPr>
    </w:p>
    <w:p w:rsidR="00F14202">
      <w:pPr>
        <w:pStyle w:val="20"/>
        <w:ind w:firstLine="480"/>
        <w:rPr>
          <w:color w:val="000000"/>
          <w:sz w:val="21"/>
          <w:szCs w:val="21"/>
          <w:lang w:eastAsia="zh-CN"/>
        </w:rPr>
      </w:pPr>
      <w:r>
        <w:rPr>
          <w:color w:val="000000"/>
          <w:sz w:val="21"/>
          <w:szCs w:val="21"/>
          <w:highlight w:val="white"/>
          <w:lang w:eastAsia="zh-CN"/>
        </w:rPr>
        <w:t>基金管理人：</w:t>
      </w:r>
      <w:r>
        <w:rPr>
          <w:rFonts w:hint="eastAsia"/>
          <w:color w:val="000000"/>
          <w:sz w:val="21"/>
          <w:szCs w:val="21"/>
          <w:highlight w:val="white"/>
          <w:lang w:eastAsia="zh-CN"/>
        </w:rPr>
        <w:t>易方达基金管理有限公司</w:t>
      </w:r>
      <w:r>
        <w:rPr>
          <w:color w:val="000000"/>
          <w:sz w:val="21"/>
          <w:szCs w:val="21"/>
          <w:highlight w:val="white"/>
          <w:lang w:eastAsia="zh-CN"/>
        </w:rPr>
        <w:t>（</w:t>
      </w:r>
      <w:r>
        <w:rPr>
          <w:rFonts w:hint="eastAsia"/>
          <w:color w:val="000000"/>
          <w:sz w:val="21"/>
          <w:szCs w:val="21"/>
          <w:highlight w:val="white"/>
          <w:lang w:eastAsia="zh-CN"/>
        </w:rPr>
        <w:t>章</w:t>
      </w:r>
      <w:r>
        <w:rPr>
          <w:color w:val="000000"/>
          <w:sz w:val="21"/>
          <w:szCs w:val="21"/>
          <w:highlight w:val="white"/>
          <w:lang w:eastAsia="zh-CN"/>
        </w:rPr>
        <w:t>）</w:t>
      </w:r>
    </w:p>
    <w:p w:rsidR="00F14202">
      <w:pPr>
        <w:pStyle w:val="20"/>
        <w:ind w:firstLine="480"/>
        <w:rPr>
          <w:color w:val="000000"/>
          <w:sz w:val="21"/>
          <w:szCs w:val="21"/>
          <w:lang w:eastAsia="zh-CN"/>
        </w:rPr>
      </w:pPr>
    </w:p>
    <w:p w:rsidR="00F14202">
      <w:pPr>
        <w:pStyle w:val="20"/>
        <w:ind w:firstLine="480"/>
        <w:rPr>
          <w:color w:val="000000"/>
          <w:sz w:val="21"/>
          <w:szCs w:val="21"/>
          <w:lang w:eastAsia="zh-CN"/>
        </w:rPr>
      </w:pPr>
    </w:p>
    <w:p w:rsidR="00F14202">
      <w:pPr>
        <w:pStyle w:val="20"/>
        <w:ind w:firstLine="480"/>
        <w:rPr>
          <w:color w:val="000000"/>
          <w:sz w:val="21"/>
          <w:szCs w:val="21"/>
          <w:lang w:eastAsia="zh-CN"/>
        </w:rPr>
      </w:pPr>
    </w:p>
    <w:p w:rsidR="00F14202">
      <w:pPr>
        <w:pStyle w:val="20"/>
        <w:ind w:firstLine="480"/>
        <w:rPr>
          <w:color w:val="000000"/>
          <w:sz w:val="21"/>
          <w:szCs w:val="21"/>
          <w:lang w:eastAsia="zh-CN"/>
        </w:rPr>
      </w:pPr>
    </w:p>
    <w:p w:rsidR="00F14202">
      <w:pPr>
        <w:pStyle w:val="20"/>
        <w:ind w:firstLine="480"/>
        <w:rPr>
          <w:color w:val="000000"/>
          <w:sz w:val="21"/>
          <w:szCs w:val="21"/>
          <w:lang w:eastAsia="zh-CN"/>
        </w:rPr>
      </w:pPr>
      <w:r>
        <w:rPr>
          <w:color w:val="000000"/>
          <w:sz w:val="21"/>
          <w:szCs w:val="21"/>
          <w:highlight w:val="white"/>
          <w:lang w:eastAsia="zh-CN"/>
        </w:rPr>
        <w:t>法定代表人或授权代表</w:t>
      </w:r>
      <w:r>
        <w:rPr>
          <w:rFonts w:hint="eastAsia"/>
          <w:color w:val="000000"/>
          <w:sz w:val="21"/>
          <w:szCs w:val="21"/>
          <w:highlight w:val="white"/>
          <w:lang w:eastAsia="zh-CN"/>
        </w:rPr>
        <w:t>（签字</w:t>
      </w:r>
      <w:r>
        <w:rPr>
          <w:rFonts w:ascii="宋体" w:hAnsi="宋体" w:cs="宋体" w:hint="eastAsia"/>
          <w:color w:val="000000"/>
          <w:sz w:val="21"/>
          <w:szCs w:val="21"/>
          <w:highlight w:val="white"/>
          <w:lang w:eastAsia="zh-CN"/>
        </w:rPr>
        <w:t>/</w:t>
      </w:r>
      <w:r>
        <w:rPr>
          <w:rFonts w:hint="eastAsia"/>
          <w:color w:val="000000"/>
          <w:sz w:val="21"/>
          <w:szCs w:val="21"/>
          <w:highlight w:val="white"/>
          <w:lang w:eastAsia="zh-CN"/>
        </w:rPr>
        <w:t>盖章）</w:t>
      </w:r>
      <w:r>
        <w:rPr>
          <w:color w:val="000000"/>
          <w:sz w:val="21"/>
          <w:szCs w:val="21"/>
          <w:highlight w:val="white"/>
          <w:lang w:eastAsia="zh-CN"/>
        </w:rPr>
        <w:t>：</w:t>
      </w:r>
    </w:p>
    <w:p w:rsidR="00F14202">
      <w:pPr>
        <w:pStyle w:val="20"/>
        <w:ind w:firstLine="480"/>
        <w:rPr>
          <w:color w:val="000000"/>
          <w:sz w:val="21"/>
          <w:szCs w:val="21"/>
          <w:lang w:eastAsia="zh-CN"/>
        </w:rPr>
      </w:pPr>
    </w:p>
    <w:p w:rsidR="00F14202">
      <w:pPr>
        <w:pStyle w:val="20"/>
        <w:ind w:firstLine="480"/>
        <w:rPr>
          <w:color w:val="000000"/>
          <w:sz w:val="21"/>
          <w:szCs w:val="21"/>
          <w:lang w:eastAsia="zh-CN"/>
        </w:rPr>
      </w:pPr>
    </w:p>
    <w:p w:rsidR="00F14202">
      <w:pPr>
        <w:pStyle w:val="20"/>
        <w:ind w:firstLine="480"/>
        <w:rPr>
          <w:color w:val="000000"/>
          <w:sz w:val="21"/>
          <w:szCs w:val="21"/>
          <w:lang w:eastAsia="zh-CN"/>
        </w:rPr>
      </w:pPr>
    </w:p>
    <w:p w:rsidR="00F14202">
      <w:pPr>
        <w:pStyle w:val="20"/>
        <w:ind w:firstLine="480"/>
        <w:rPr>
          <w:color w:val="000000"/>
          <w:sz w:val="21"/>
          <w:szCs w:val="21"/>
          <w:lang w:eastAsia="zh-CN"/>
        </w:rPr>
      </w:pPr>
    </w:p>
    <w:p w:rsidR="00F14202">
      <w:pPr>
        <w:pStyle w:val="20"/>
        <w:ind w:firstLine="480"/>
        <w:rPr>
          <w:color w:val="000000"/>
          <w:sz w:val="21"/>
          <w:szCs w:val="21"/>
          <w:lang w:eastAsia="zh-CN"/>
        </w:rPr>
      </w:pPr>
      <w:r>
        <w:rPr>
          <w:color w:val="000000"/>
          <w:sz w:val="21"/>
          <w:szCs w:val="21"/>
          <w:highlight w:val="white"/>
          <w:lang w:eastAsia="zh-CN"/>
        </w:rPr>
        <w:t>基金托管人：中信证券股份有限公司（</w:t>
      </w:r>
      <w:r>
        <w:rPr>
          <w:rFonts w:hint="eastAsia"/>
          <w:color w:val="000000"/>
          <w:sz w:val="21"/>
          <w:szCs w:val="21"/>
          <w:highlight w:val="white"/>
          <w:lang w:eastAsia="zh-CN"/>
        </w:rPr>
        <w:t>章</w:t>
      </w:r>
      <w:r>
        <w:rPr>
          <w:color w:val="000000"/>
          <w:sz w:val="21"/>
          <w:szCs w:val="21"/>
          <w:highlight w:val="white"/>
          <w:lang w:eastAsia="zh-CN"/>
        </w:rPr>
        <w:t>）</w:t>
      </w:r>
    </w:p>
    <w:p w:rsidR="00F14202">
      <w:pPr>
        <w:pStyle w:val="20"/>
        <w:ind w:firstLine="480"/>
        <w:rPr>
          <w:color w:val="000000"/>
          <w:sz w:val="21"/>
          <w:szCs w:val="21"/>
          <w:lang w:eastAsia="zh-CN"/>
        </w:rPr>
      </w:pPr>
    </w:p>
    <w:p w:rsidR="00F14202">
      <w:pPr>
        <w:pStyle w:val="20"/>
        <w:ind w:firstLine="480"/>
        <w:rPr>
          <w:color w:val="000000"/>
          <w:sz w:val="21"/>
          <w:szCs w:val="21"/>
          <w:lang w:eastAsia="zh-CN"/>
        </w:rPr>
      </w:pPr>
    </w:p>
    <w:p w:rsidR="00F14202">
      <w:pPr>
        <w:pStyle w:val="20"/>
        <w:ind w:firstLine="480"/>
        <w:rPr>
          <w:color w:val="000000"/>
          <w:sz w:val="21"/>
          <w:szCs w:val="21"/>
          <w:lang w:eastAsia="zh-CN"/>
        </w:rPr>
      </w:pPr>
    </w:p>
    <w:p w:rsidR="00F14202">
      <w:pPr>
        <w:pStyle w:val="20"/>
        <w:ind w:firstLine="480"/>
        <w:rPr>
          <w:color w:val="000000"/>
          <w:sz w:val="21"/>
          <w:szCs w:val="21"/>
          <w:lang w:eastAsia="zh-CN"/>
        </w:rPr>
      </w:pPr>
    </w:p>
    <w:p w:rsidR="00F14202">
      <w:pPr>
        <w:pStyle w:val="20"/>
        <w:ind w:firstLine="480"/>
        <w:rPr>
          <w:color w:val="000000"/>
          <w:sz w:val="21"/>
          <w:szCs w:val="21"/>
          <w:lang w:eastAsia="zh-CN"/>
        </w:rPr>
      </w:pPr>
      <w:r>
        <w:rPr>
          <w:color w:val="000000"/>
          <w:sz w:val="21"/>
          <w:szCs w:val="21"/>
          <w:highlight w:val="white"/>
          <w:lang w:eastAsia="zh-CN"/>
        </w:rPr>
        <w:t>法定代表人或授权代表</w:t>
      </w:r>
      <w:r>
        <w:rPr>
          <w:rFonts w:hint="eastAsia"/>
          <w:color w:val="000000"/>
          <w:sz w:val="21"/>
          <w:szCs w:val="21"/>
          <w:highlight w:val="white"/>
          <w:lang w:eastAsia="zh-CN"/>
        </w:rPr>
        <w:t>（签字</w:t>
      </w:r>
      <w:r>
        <w:rPr>
          <w:rFonts w:ascii="宋体" w:hAnsi="宋体" w:cs="宋体" w:hint="eastAsia"/>
          <w:color w:val="000000"/>
          <w:sz w:val="21"/>
          <w:szCs w:val="21"/>
          <w:highlight w:val="white"/>
          <w:lang w:eastAsia="zh-CN"/>
        </w:rPr>
        <w:t>/</w:t>
      </w:r>
      <w:r>
        <w:rPr>
          <w:rFonts w:hint="eastAsia"/>
          <w:color w:val="000000"/>
          <w:sz w:val="21"/>
          <w:szCs w:val="21"/>
          <w:highlight w:val="white"/>
          <w:lang w:eastAsia="zh-CN"/>
        </w:rPr>
        <w:t>盖章）</w:t>
      </w:r>
      <w:r>
        <w:rPr>
          <w:color w:val="000000"/>
          <w:sz w:val="21"/>
          <w:szCs w:val="21"/>
          <w:highlight w:val="white"/>
          <w:lang w:eastAsia="zh-CN"/>
        </w:rPr>
        <w:t>：</w:t>
      </w:r>
    </w:p>
    <w:p w:rsidR="00F14202">
      <w:pPr>
        <w:pStyle w:val="20"/>
        <w:ind w:firstLine="480"/>
        <w:rPr>
          <w:color w:val="000000"/>
          <w:sz w:val="21"/>
          <w:szCs w:val="21"/>
          <w:lang w:eastAsia="zh-CN"/>
        </w:rPr>
      </w:pPr>
    </w:p>
    <w:p w:rsidR="00F14202">
      <w:pPr>
        <w:pStyle w:val="20"/>
        <w:ind w:firstLine="480"/>
        <w:rPr>
          <w:color w:val="000000"/>
          <w:sz w:val="21"/>
          <w:szCs w:val="21"/>
          <w:lang w:eastAsia="zh-CN"/>
        </w:rPr>
      </w:pPr>
    </w:p>
    <w:p w:rsidR="00F14202">
      <w:pPr>
        <w:pStyle w:val="20"/>
        <w:ind w:firstLine="480"/>
        <w:rPr>
          <w:color w:val="000000"/>
          <w:sz w:val="21"/>
          <w:szCs w:val="21"/>
          <w:lang w:eastAsia="zh-CN"/>
        </w:rPr>
      </w:pPr>
    </w:p>
    <w:p w:rsidR="00F14202">
      <w:pPr>
        <w:pStyle w:val="20"/>
        <w:ind w:firstLine="480"/>
        <w:rPr>
          <w:color w:val="000000"/>
          <w:sz w:val="21"/>
          <w:szCs w:val="21"/>
          <w:lang w:eastAsia="zh-CN"/>
        </w:rPr>
      </w:pPr>
    </w:p>
    <w:p w:rsidR="00F14202">
      <w:pPr>
        <w:pStyle w:val="20"/>
        <w:ind w:firstLine="480"/>
        <w:rPr>
          <w:color w:val="000000"/>
          <w:sz w:val="21"/>
          <w:szCs w:val="21"/>
          <w:lang w:eastAsia="zh-CN"/>
        </w:rPr>
      </w:pPr>
      <w:r>
        <w:rPr>
          <w:color w:val="000000"/>
          <w:sz w:val="21"/>
          <w:szCs w:val="21"/>
          <w:highlight w:val="white"/>
          <w:lang w:eastAsia="zh-CN"/>
        </w:rPr>
        <w:t>签订地点：北京</w:t>
      </w:r>
    </w:p>
    <w:p w:rsidR="00F14202">
      <w:pPr>
        <w:pStyle w:val="20"/>
        <w:ind w:firstLine="480"/>
        <w:rPr>
          <w:color w:val="000000"/>
          <w:sz w:val="21"/>
          <w:szCs w:val="21"/>
          <w:lang w:eastAsia="zh-CN"/>
        </w:rPr>
      </w:pPr>
      <w:r>
        <w:rPr>
          <w:color w:val="000000"/>
          <w:sz w:val="21"/>
          <w:szCs w:val="21"/>
          <w:highlight w:val="white"/>
          <w:lang w:eastAsia="zh-CN"/>
        </w:rPr>
        <w:t>签订日期：</w:t>
      </w:r>
      <w:r>
        <w:rPr>
          <w:rFonts w:ascii="宋体" w:hAnsi="宋体" w:cs="宋体"/>
          <w:color w:val="000000"/>
          <w:sz w:val="21"/>
          <w:szCs w:val="21"/>
          <w:highlight w:val="white"/>
          <w:lang w:eastAsia="zh-CN"/>
        </w:rPr>
        <w:t xml:space="preserve">    </w:t>
      </w:r>
      <w:r>
        <w:rPr>
          <w:rFonts w:ascii="宋体" w:hAnsi="宋体" w:cs="宋体" w:hint="eastAsia"/>
          <w:color w:val="000000"/>
          <w:sz w:val="21"/>
          <w:szCs w:val="21"/>
          <w:highlight w:val="white"/>
          <w:lang w:eastAsia="zh-CN"/>
        </w:rPr>
        <w:t xml:space="preserve"> </w:t>
      </w:r>
      <w:r>
        <w:rPr>
          <w:rFonts w:ascii="宋体" w:hAnsi="宋体" w:cs="宋体"/>
          <w:color w:val="000000"/>
          <w:sz w:val="21"/>
          <w:szCs w:val="21"/>
          <w:highlight w:val="white"/>
          <w:lang w:eastAsia="zh-CN"/>
        </w:rPr>
        <w:t xml:space="preserve"> </w:t>
      </w:r>
      <w:r>
        <w:rPr>
          <w:color w:val="000000"/>
          <w:sz w:val="21"/>
          <w:szCs w:val="21"/>
          <w:highlight w:val="white"/>
          <w:lang w:eastAsia="zh-CN"/>
        </w:rPr>
        <w:t>年</w:t>
      </w:r>
      <w:r>
        <w:rPr>
          <w:rFonts w:ascii="宋体" w:hAnsi="宋体" w:cs="宋体"/>
          <w:color w:val="000000"/>
          <w:sz w:val="21"/>
          <w:szCs w:val="21"/>
          <w:highlight w:val="white"/>
          <w:lang w:eastAsia="zh-CN"/>
        </w:rPr>
        <w:t xml:space="preserve">    </w:t>
      </w:r>
      <w:r>
        <w:rPr>
          <w:color w:val="000000"/>
          <w:sz w:val="21"/>
          <w:szCs w:val="21"/>
          <w:highlight w:val="white"/>
          <w:lang w:eastAsia="zh-CN"/>
        </w:rPr>
        <w:t>月</w:t>
      </w:r>
      <w:r>
        <w:rPr>
          <w:rFonts w:ascii="宋体" w:hAnsi="宋体" w:cs="宋体"/>
          <w:color w:val="000000"/>
          <w:sz w:val="21"/>
          <w:szCs w:val="21"/>
          <w:highlight w:val="white"/>
          <w:lang w:eastAsia="zh-CN"/>
        </w:rPr>
        <w:t xml:space="preserve">     </w:t>
      </w:r>
      <w:r>
        <w:rPr>
          <w:color w:val="000000"/>
          <w:sz w:val="21"/>
          <w:szCs w:val="21"/>
          <w:highlight w:val="white"/>
          <w:lang w:eastAsia="zh-CN"/>
        </w:rPr>
        <w:t>日</w:t>
      </w:r>
    </w:p>
    <w:p w:rsidR="00F14202">
      <w:pPr>
        <w:spacing w:line="360" w:lineRule="auto"/>
        <w:ind w:firstLine="420"/>
        <w:rPr>
          <w:color w:val="000000"/>
          <w:sz w:val="21"/>
          <w:szCs w:val="21"/>
          <w:lang w:eastAsia="zh-CN"/>
        </w:rPr>
      </w:pPr>
    </w:p>
    <w:p w:rsidR="00F14202">
      <w:pPr>
        <w:rPr>
          <w:lang w:eastAsia="zh-CN"/>
        </w:rPr>
      </w:pPr>
    </w:p>
    <w:sectPr>
      <w:headerReference w:type="default" r:id="rId7"/>
      <w:footerReference w:type="default" r:id="rId8"/>
      <w:pgSz w:w="11906" w:h="16838"/>
      <w:pgMar w:top="1440" w:right="1800" w:bottom="1440" w:left="1800" w:header="851" w:footer="992" w:gutter="0"/>
      <w:pgNumType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serif">
    <w:altName w:val="Arial"/>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4202">
    <w:pPr>
      <w:pStyle w:val="Footer"/>
      <w:snapToGrid/>
      <w:jc w:val="center"/>
    </w:pPr>
  </w:p>
  <w:p w:rsidR="00F14202">
    <w:pPr>
      <w:pStyle w:val="Footer"/>
      <w:snapToGri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80866400"/>
      <w:placeholder>
        <w:docPart w:val="d711216d8b4343b2954503ee7c873e7e"/>
      </w:placeholder>
      <w:docPartObj>
        <w:docPartGallery w:val="AutoText"/>
      </w:docPartObj>
    </w:sdtPr>
    <w:sdtContent>
      <w:p w:rsidR="00F14202">
        <w:pPr>
          <w:pStyle w:val="Footer"/>
          <w:snapToGrid/>
          <w:jc w:val="center"/>
        </w:pPr>
        <w:r>
          <w:fldChar w:fldCharType="begin"/>
        </w:r>
        <w:r>
          <w:rPr>
            <w:highlight w:val="white"/>
          </w:rPr>
          <w:instrText>PAGE   \* MERGEFORMAT</w:instrText>
        </w:r>
        <w:r>
          <w:fldChar w:fldCharType="separate"/>
        </w:r>
        <w:r w:rsidRPr="003A25F2">
          <w:rPr>
            <w:noProof/>
            <w:highlight w:val="white"/>
            <w:lang w:val="zh-CN"/>
          </w:rPr>
          <w:t>41</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42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4202">
    <w:pPr>
      <w:pStyle w:val="Header"/>
      <w:pBdr>
        <w:bottom w:val="none" w:sz="0" w:space="0" w:color="auto"/>
      </w:pBdr>
      <w:snapToGrid/>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56CCD39"/>
    <w:multiLevelType w:val="multilevel"/>
    <w:tmpl w:val="356CCD39"/>
    <w:lvl w:ilvl="0">
      <w:start w:val="1"/>
      <w:numFmt w:val="chi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47F5D2D0"/>
    <w:multiLevelType w:val="multilevel"/>
    <w:tmpl w:val="47F5D2D0"/>
    <w:lvl w:ilvl="0">
      <w:start w:val="1"/>
      <w:numFmt w:val="chineseCounting"/>
      <w:lvlText w:val="%1、"/>
      <w:lvlJc w:val="left"/>
      <w:pPr>
        <w:ind w:left="450" w:hanging="450"/>
      </w:pPr>
      <w:rPr>
        <w:rFonts w:hint="default"/>
        <w:b/>
        <w:sz w:val="24"/>
        <w:szCs w:val="24"/>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王子豪">
    <w15:presenceInfo w15:providerId="None" w15:userId="王子豪"/>
  </w15:person>
  <w15:person w15:author="王子豪0331">
    <w15:presenceInfo w15:providerId="None" w15:userId="王子豪0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271"/>
    <w:rsid w:val="EB6A44E1"/>
    <w:rsid w:val="00331671"/>
    <w:rsid w:val="003A25F2"/>
    <w:rsid w:val="004750D2"/>
    <w:rsid w:val="004A799D"/>
    <w:rsid w:val="005D1DAE"/>
    <w:rsid w:val="006374D9"/>
    <w:rsid w:val="006A4E4D"/>
    <w:rsid w:val="006D5AAE"/>
    <w:rsid w:val="00961271"/>
    <w:rsid w:val="009A2B8E"/>
    <w:rsid w:val="00B376F5"/>
    <w:rsid w:val="00E91580"/>
    <w:rsid w:val="00F1420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5:docId w15:val="{14CD6254-2C05-428B-883D-35E06B0FE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宋体" w:hAnsi="等线" w:cs="等线"/>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0"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imes New Roman" w:hAnsi="Times New Roman" w:cs="Times New Roman"/>
      <w:sz w:val="24"/>
      <w:szCs w:val="24"/>
      <w:lang w:eastAsia="en-US"/>
    </w:rPr>
  </w:style>
  <w:style w:type="paragraph" w:styleId="Heading1">
    <w:name w:val="heading 1"/>
    <w:basedOn w:val="Normal"/>
    <w:next w:val="Normal"/>
    <w:link w:val="1"/>
    <w:qFormat/>
    <w:pPr>
      <w:keepNext/>
      <w:keepLines/>
      <w:spacing w:before="340" w:after="330" w:line="578" w:lineRule="auto"/>
      <w:outlineLvl w:val="0"/>
    </w:pPr>
    <w:rPr>
      <w:b/>
      <w:bCs/>
      <w:sz w:val="44"/>
      <w:szCs w:val="44"/>
    </w:rPr>
  </w:style>
  <w:style w:type="paragraph" w:styleId="Heading2">
    <w:name w:val="heading 2"/>
    <w:basedOn w:val="Normal"/>
    <w:next w:val="Normal"/>
    <w:link w:val="2"/>
    <w:uiPriority w:val="9"/>
    <w:unhideWhenUsed/>
    <w:qFormat/>
    <w:pPr>
      <w:keepNext/>
      <w:keepLines/>
      <w:spacing w:before="360" w:after="200"/>
      <w:outlineLvl w:val="1"/>
    </w:pPr>
    <w:rPr>
      <w:rFonts w:ascii="Arial" w:hAnsi="Arial" w:cs="Arial"/>
      <w:sz w:val="34"/>
    </w:rPr>
  </w:style>
  <w:style w:type="paragraph" w:styleId="Heading3">
    <w:name w:val="heading 3"/>
    <w:basedOn w:val="Normal"/>
    <w:next w:val="Normal"/>
    <w:link w:val="3"/>
    <w:uiPriority w:val="9"/>
    <w:unhideWhenUsed/>
    <w:qFormat/>
    <w:pPr>
      <w:keepNext/>
      <w:keepLines/>
      <w:spacing w:before="320" w:after="200"/>
      <w:outlineLvl w:val="2"/>
    </w:pPr>
    <w:rPr>
      <w:rFonts w:ascii="Arial" w:hAnsi="Arial" w:cs="Arial"/>
      <w:sz w:val="30"/>
      <w:szCs w:val="30"/>
    </w:rPr>
  </w:style>
  <w:style w:type="paragraph" w:styleId="Heading4">
    <w:name w:val="heading 4"/>
    <w:basedOn w:val="Normal"/>
    <w:next w:val="Normal"/>
    <w:link w:val="4"/>
    <w:uiPriority w:val="9"/>
    <w:unhideWhenUsed/>
    <w:qFormat/>
    <w:pPr>
      <w:keepNext/>
      <w:keepLines/>
      <w:spacing w:before="320" w:after="200"/>
      <w:outlineLvl w:val="3"/>
    </w:pPr>
    <w:rPr>
      <w:rFonts w:ascii="Arial" w:hAnsi="Arial" w:cs="Arial"/>
      <w:b/>
      <w:bCs/>
      <w:sz w:val="26"/>
      <w:szCs w:val="26"/>
    </w:rPr>
  </w:style>
  <w:style w:type="paragraph" w:styleId="Heading5">
    <w:name w:val="heading 5"/>
    <w:basedOn w:val="Normal"/>
    <w:next w:val="Normal"/>
    <w:link w:val="5"/>
    <w:uiPriority w:val="9"/>
    <w:unhideWhenUsed/>
    <w:qFormat/>
    <w:pPr>
      <w:keepNext/>
      <w:keepLines/>
      <w:spacing w:before="320" w:after="200"/>
      <w:outlineLvl w:val="4"/>
    </w:pPr>
    <w:rPr>
      <w:rFonts w:ascii="Arial" w:hAnsi="Arial" w:cs="Arial"/>
      <w:b/>
      <w:bCs/>
    </w:rPr>
  </w:style>
  <w:style w:type="paragraph" w:styleId="Heading6">
    <w:name w:val="heading 6"/>
    <w:basedOn w:val="Normal"/>
    <w:next w:val="Normal"/>
    <w:link w:val="6"/>
    <w:uiPriority w:val="9"/>
    <w:unhideWhenUsed/>
    <w:qFormat/>
    <w:pPr>
      <w:keepNext/>
      <w:keepLines/>
      <w:spacing w:before="320" w:after="200"/>
      <w:outlineLvl w:val="5"/>
    </w:pPr>
    <w:rPr>
      <w:rFonts w:ascii="Arial" w:hAnsi="Arial" w:cs="Arial"/>
      <w:b/>
      <w:bCs/>
      <w:sz w:val="22"/>
      <w:szCs w:val="22"/>
    </w:rPr>
  </w:style>
  <w:style w:type="paragraph" w:styleId="Heading7">
    <w:name w:val="heading 7"/>
    <w:basedOn w:val="Normal"/>
    <w:next w:val="Normal"/>
    <w:link w:val="7"/>
    <w:uiPriority w:val="9"/>
    <w:unhideWhenUsed/>
    <w:qFormat/>
    <w:pPr>
      <w:keepNext/>
      <w:keepLines/>
      <w:spacing w:before="320" w:after="200"/>
      <w:outlineLvl w:val="6"/>
    </w:pPr>
    <w:rPr>
      <w:rFonts w:ascii="Arial" w:hAnsi="Arial" w:cs="Arial"/>
      <w:b/>
      <w:bCs/>
      <w:i/>
      <w:iCs/>
      <w:sz w:val="22"/>
      <w:szCs w:val="22"/>
    </w:rPr>
  </w:style>
  <w:style w:type="paragraph" w:styleId="Heading8">
    <w:name w:val="heading 8"/>
    <w:basedOn w:val="Normal"/>
    <w:next w:val="Normal"/>
    <w:link w:val="8"/>
    <w:uiPriority w:val="9"/>
    <w:unhideWhenUsed/>
    <w:qFormat/>
    <w:pPr>
      <w:keepNext/>
      <w:keepLines/>
      <w:spacing w:before="320" w:after="200"/>
      <w:outlineLvl w:val="7"/>
    </w:pPr>
    <w:rPr>
      <w:rFonts w:ascii="Arial" w:hAnsi="Arial" w:cs="Arial"/>
      <w:i/>
      <w:iCs/>
      <w:sz w:val="22"/>
      <w:szCs w:val="22"/>
    </w:rPr>
  </w:style>
  <w:style w:type="paragraph" w:styleId="Heading9">
    <w:name w:val="heading 9"/>
    <w:basedOn w:val="Normal"/>
    <w:next w:val="Normal"/>
    <w:link w:val="9"/>
    <w:uiPriority w:val="9"/>
    <w:unhideWhenUsed/>
    <w:qFormat/>
    <w:pPr>
      <w:keepNext/>
      <w:keepLines/>
      <w:spacing w:before="320" w:after="200"/>
      <w:outlineLvl w:val="8"/>
    </w:pPr>
    <w:rPr>
      <w:rFonts w:ascii="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unhideWhenUsed/>
    <w:qFormat/>
    <w:pPr>
      <w:spacing w:after="57"/>
      <w:ind w:left="1701"/>
    </w:p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paragraph" w:styleId="DocumentMap">
    <w:name w:val="Document Map"/>
    <w:basedOn w:val="Normal"/>
    <w:link w:val="a11"/>
    <w:uiPriority w:val="99"/>
    <w:semiHidden/>
    <w:unhideWhenUsed/>
    <w:rPr>
      <w:rFonts w:ascii="宋体"/>
      <w:sz w:val="18"/>
      <w:szCs w:val="18"/>
    </w:rPr>
  </w:style>
  <w:style w:type="paragraph" w:styleId="CommentText">
    <w:name w:val="annotation text"/>
    <w:basedOn w:val="Normal"/>
    <w:link w:val="a9"/>
    <w:unhideWhenUsed/>
    <w:pPr>
      <w:jc w:val="left"/>
    </w:pPr>
  </w:style>
  <w:style w:type="paragraph" w:styleId="BodyTextIndent">
    <w:name w:val="Body Text Indent"/>
    <w:basedOn w:val="Normal"/>
    <w:link w:val="a5"/>
    <w:semiHidden/>
    <w:pPr>
      <w:spacing w:line="360" w:lineRule="auto"/>
      <w:ind w:firstLine="420"/>
    </w:pPr>
  </w:style>
  <w:style w:type="paragraph" w:styleId="TOC5">
    <w:name w:val="toc 5"/>
    <w:basedOn w:val="Normal"/>
    <w:next w:val="Normal"/>
    <w:uiPriority w:val="39"/>
    <w:unhideWhenUsed/>
    <w:pPr>
      <w:spacing w:after="57"/>
      <w:ind w:left="1134"/>
    </w:pPr>
  </w:style>
  <w:style w:type="paragraph" w:styleId="TOC3">
    <w:name w:val="toc 3"/>
    <w:basedOn w:val="Normal"/>
    <w:next w:val="Normal"/>
    <w:uiPriority w:val="39"/>
    <w:unhideWhenUsed/>
    <w:pPr>
      <w:spacing w:after="57"/>
      <w:ind w:left="567"/>
    </w:pPr>
  </w:style>
  <w:style w:type="paragraph" w:styleId="TOC8">
    <w:name w:val="toc 8"/>
    <w:basedOn w:val="Normal"/>
    <w:next w:val="Normal"/>
    <w:uiPriority w:val="39"/>
    <w:unhideWhenUsed/>
    <w:qFormat/>
    <w:pPr>
      <w:spacing w:after="57"/>
      <w:ind w:left="1984"/>
    </w:pPr>
  </w:style>
  <w:style w:type="paragraph" w:styleId="EndnoteText">
    <w:name w:val="endnote text"/>
    <w:basedOn w:val="Normal"/>
    <w:link w:val="a4"/>
    <w:uiPriority w:val="99"/>
    <w:semiHidden/>
    <w:unhideWhenUsed/>
    <w:rPr>
      <w:sz w:val="20"/>
    </w:rPr>
  </w:style>
  <w:style w:type="paragraph" w:styleId="BalloonText">
    <w:name w:val="Balloon Text"/>
    <w:basedOn w:val="Normal"/>
    <w:link w:val="a8"/>
    <w:uiPriority w:val="99"/>
    <w:semiHidden/>
    <w:unhideWhenUsed/>
    <w:rPr>
      <w:sz w:val="18"/>
      <w:szCs w:val="18"/>
    </w:rPr>
  </w:style>
  <w:style w:type="paragraph" w:styleId="Footer">
    <w:name w:val="footer"/>
    <w:basedOn w:val="Normal"/>
    <w:link w:val="a7"/>
    <w:uiPriority w:val="99"/>
    <w:unhideWhenUsed/>
    <w:pPr>
      <w:tabs>
        <w:tab w:val="center" w:pos="4153"/>
        <w:tab w:val="right" w:pos="8306"/>
      </w:tabs>
      <w:snapToGrid w:val="0"/>
      <w:jc w:val="left"/>
    </w:pPr>
    <w:rPr>
      <w:sz w:val="18"/>
      <w:szCs w:val="18"/>
    </w:rPr>
  </w:style>
  <w:style w:type="paragraph" w:styleId="Header">
    <w:name w:val="header"/>
    <w:basedOn w:val="Normal"/>
    <w:link w:val="a6"/>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pPr>
      <w:tabs>
        <w:tab w:val="left" w:pos="426"/>
        <w:tab w:val="right" w:leader="dot" w:pos="8647"/>
      </w:tabs>
      <w:spacing w:before="120" w:after="120" w:line="360" w:lineRule="auto"/>
      <w:ind w:left="-424"/>
      <w:jc w:val="left"/>
    </w:pPr>
    <w:rPr>
      <w:caps/>
      <w:sz w:val="20"/>
      <w:szCs w:val="20"/>
    </w:rPr>
  </w:style>
  <w:style w:type="paragraph" w:styleId="TOC4">
    <w:name w:val="toc 4"/>
    <w:basedOn w:val="Normal"/>
    <w:next w:val="Normal"/>
    <w:uiPriority w:val="39"/>
    <w:unhideWhenUsed/>
    <w:pPr>
      <w:spacing w:after="57"/>
      <w:ind w:left="850"/>
    </w:pPr>
  </w:style>
  <w:style w:type="paragraph" w:styleId="Subtitle">
    <w:name w:val="Subtitle"/>
    <w:basedOn w:val="Normal"/>
    <w:next w:val="Normal"/>
    <w:link w:val="a0"/>
    <w:uiPriority w:val="11"/>
    <w:qFormat/>
    <w:pPr>
      <w:spacing w:before="200" w:after="200"/>
    </w:pPr>
  </w:style>
  <w:style w:type="paragraph" w:styleId="FootnoteText">
    <w:name w:val="footnote text"/>
    <w:basedOn w:val="Normal"/>
    <w:link w:val="a3"/>
    <w:uiPriority w:val="99"/>
    <w:semiHidden/>
    <w:unhideWhenUsed/>
    <w:pPr>
      <w:spacing w:after="40"/>
    </w:pPr>
    <w:rPr>
      <w:sz w:val="18"/>
    </w:rPr>
  </w:style>
  <w:style w:type="paragraph" w:styleId="TOC6">
    <w:name w:val="toc 6"/>
    <w:basedOn w:val="Normal"/>
    <w:next w:val="Normal"/>
    <w:uiPriority w:val="39"/>
    <w:unhideWhenUsed/>
    <w:qFormat/>
    <w:pPr>
      <w:spacing w:after="57"/>
      <w:ind w:left="1417"/>
    </w:pPr>
  </w:style>
  <w:style w:type="paragraph" w:styleId="TableofFigures">
    <w:name w:val="table of figures"/>
    <w:basedOn w:val="Normal"/>
    <w:next w:val="Normal"/>
    <w:uiPriority w:val="99"/>
    <w:unhideWhenUsed/>
  </w:style>
  <w:style w:type="paragraph" w:styleId="TOC2">
    <w:name w:val="toc 2"/>
    <w:basedOn w:val="Normal"/>
    <w:next w:val="Normal"/>
    <w:uiPriority w:val="39"/>
    <w:unhideWhenUsed/>
    <w:pPr>
      <w:spacing w:after="57"/>
      <w:ind w:left="283"/>
    </w:pPr>
  </w:style>
  <w:style w:type="paragraph" w:styleId="TOC9">
    <w:name w:val="toc 9"/>
    <w:basedOn w:val="Normal"/>
    <w:next w:val="Normal"/>
    <w:uiPriority w:val="39"/>
    <w:unhideWhenUsed/>
    <w:qFormat/>
    <w:pPr>
      <w:spacing w:after="57"/>
      <w:ind w:left="2268"/>
    </w:pPr>
  </w:style>
  <w:style w:type="paragraph" w:styleId="Title">
    <w:name w:val="Title"/>
    <w:basedOn w:val="Normal"/>
    <w:next w:val="Normal"/>
    <w:link w:val="a"/>
    <w:uiPriority w:val="10"/>
    <w:qFormat/>
    <w:pPr>
      <w:spacing w:before="300" w:after="200"/>
      <w:contextualSpacing/>
    </w:pPr>
    <w:rPr>
      <w:sz w:val="48"/>
      <w:szCs w:val="48"/>
    </w:rPr>
  </w:style>
  <w:style w:type="paragraph" w:styleId="CommentSubject">
    <w:name w:val="annotation subject"/>
    <w:basedOn w:val="CommentText"/>
    <w:next w:val="CommentText"/>
    <w:link w:val="a10"/>
    <w:uiPriority w:val="99"/>
    <w:semiHidden/>
    <w:unhideWhenUsed/>
    <w:rPr>
      <w:b/>
      <w:bCs/>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nhideWhenUsed/>
    <w:rPr>
      <w:sz w:val="21"/>
      <w:szCs w:val="21"/>
    </w:rPr>
  </w:style>
  <w:style w:type="character" w:styleId="FootnoteReference">
    <w:name w:val="footnote reference"/>
    <w:basedOn w:val="DefaultParagraphFont"/>
    <w:uiPriority w:val="99"/>
    <w:unhideWhenUsed/>
    <w:rPr>
      <w:vertAlign w:val="superscript"/>
    </w:rPr>
  </w:style>
  <w:style w:type="character" w:customStyle="1" w:styleId="2">
    <w:name w:val="标题 2 字符"/>
    <w:basedOn w:val="DefaultParagraphFont"/>
    <w:link w:val="Heading2"/>
    <w:uiPriority w:val="9"/>
    <w:rPr>
      <w:rFonts w:ascii="Arial" w:hAnsi="Arial" w:cs="Arial"/>
      <w:sz w:val="34"/>
    </w:rPr>
  </w:style>
  <w:style w:type="character" w:customStyle="1" w:styleId="3">
    <w:name w:val="标题 3 字符"/>
    <w:basedOn w:val="DefaultParagraphFont"/>
    <w:link w:val="Heading3"/>
    <w:uiPriority w:val="9"/>
    <w:rPr>
      <w:rFonts w:ascii="Arial" w:hAnsi="Arial" w:cs="Arial"/>
      <w:sz w:val="30"/>
      <w:szCs w:val="30"/>
    </w:rPr>
  </w:style>
  <w:style w:type="character" w:customStyle="1" w:styleId="4">
    <w:name w:val="标题 4 字符"/>
    <w:basedOn w:val="DefaultParagraphFont"/>
    <w:link w:val="Heading4"/>
    <w:uiPriority w:val="9"/>
    <w:qFormat/>
    <w:rPr>
      <w:rFonts w:ascii="Arial" w:hAnsi="Arial" w:cs="Arial"/>
      <w:b/>
      <w:bCs/>
      <w:sz w:val="26"/>
      <w:szCs w:val="26"/>
    </w:rPr>
  </w:style>
  <w:style w:type="character" w:customStyle="1" w:styleId="5">
    <w:name w:val="标题 5 字符"/>
    <w:basedOn w:val="DefaultParagraphFont"/>
    <w:link w:val="Heading5"/>
    <w:uiPriority w:val="9"/>
    <w:rPr>
      <w:rFonts w:ascii="Arial" w:hAnsi="Arial" w:cs="Arial"/>
      <w:b/>
      <w:bCs/>
      <w:sz w:val="24"/>
      <w:szCs w:val="24"/>
    </w:rPr>
  </w:style>
  <w:style w:type="character" w:customStyle="1" w:styleId="6">
    <w:name w:val="标题 6 字符"/>
    <w:basedOn w:val="DefaultParagraphFont"/>
    <w:link w:val="Heading6"/>
    <w:uiPriority w:val="9"/>
    <w:rPr>
      <w:rFonts w:ascii="Arial" w:hAnsi="Arial" w:cs="Arial"/>
      <w:b/>
      <w:bCs/>
      <w:sz w:val="22"/>
      <w:szCs w:val="22"/>
    </w:rPr>
  </w:style>
  <w:style w:type="character" w:customStyle="1" w:styleId="7">
    <w:name w:val="标题 7 字符"/>
    <w:basedOn w:val="DefaultParagraphFont"/>
    <w:link w:val="Heading7"/>
    <w:uiPriority w:val="9"/>
    <w:qFormat/>
    <w:rPr>
      <w:rFonts w:ascii="Arial" w:hAnsi="Arial" w:cs="Arial"/>
      <w:b/>
      <w:bCs/>
      <w:i/>
      <w:iCs/>
      <w:sz w:val="22"/>
      <w:szCs w:val="22"/>
    </w:rPr>
  </w:style>
  <w:style w:type="character" w:customStyle="1" w:styleId="8">
    <w:name w:val="标题 8 字符"/>
    <w:basedOn w:val="DefaultParagraphFont"/>
    <w:link w:val="Heading8"/>
    <w:uiPriority w:val="9"/>
    <w:rPr>
      <w:rFonts w:ascii="Arial" w:hAnsi="Arial" w:cs="Arial"/>
      <w:i/>
      <w:iCs/>
      <w:sz w:val="22"/>
      <w:szCs w:val="22"/>
    </w:rPr>
  </w:style>
  <w:style w:type="character" w:customStyle="1" w:styleId="9">
    <w:name w:val="标题 9 字符"/>
    <w:basedOn w:val="DefaultParagraphFont"/>
    <w:link w:val="Heading9"/>
    <w:uiPriority w:val="9"/>
    <w:rPr>
      <w:rFonts w:ascii="Arial" w:hAnsi="Arial" w:cs="Arial"/>
      <w:i/>
      <w:iCs/>
      <w:sz w:val="21"/>
      <w:szCs w:val="21"/>
    </w:rPr>
  </w:style>
  <w:style w:type="paragraph" w:styleId="NoSpacing">
    <w:name w:val="No Spacing"/>
    <w:uiPriority w:val="1"/>
    <w:qFormat/>
    <w:rPr>
      <w:sz w:val="21"/>
      <w:szCs w:val="22"/>
      <w:lang w:eastAsia="en-US"/>
    </w:rPr>
  </w:style>
  <w:style w:type="character" w:customStyle="1" w:styleId="a">
    <w:name w:val="标题 字符"/>
    <w:basedOn w:val="DefaultParagraphFont"/>
    <w:link w:val="Title"/>
    <w:uiPriority w:val="10"/>
    <w:qFormat/>
    <w:rPr>
      <w:sz w:val="48"/>
      <w:szCs w:val="48"/>
    </w:rPr>
  </w:style>
  <w:style w:type="character" w:customStyle="1" w:styleId="a0">
    <w:name w:val="副标题 字符"/>
    <w:basedOn w:val="DefaultParagraphFont"/>
    <w:link w:val="Subtitle"/>
    <w:uiPriority w:val="11"/>
    <w:rPr>
      <w:sz w:val="24"/>
      <w:szCs w:val="24"/>
    </w:rPr>
  </w:style>
  <w:style w:type="paragraph" w:styleId="Quote">
    <w:name w:val="Quote"/>
    <w:basedOn w:val="Normal"/>
    <w:next w:val="Normal"/>
    <w:link w:val="a1"/>
    <w:uiPriority w:val="29"/>
    <w:qFormat/>
    <w:pPr>
      <w:ind w:left="720" w:right="720"/>
    </w:pPr>
    <w:rPr>
      <w:i/>
    </w:rPr>
  </w:style>
  <w:style w:type="character" w:customStyle="1" w:styleId="a1">
    <w:name w:val="引用 字符"/>
    <w:link w:val="Quote"/>
    <w:uiPriority w:val="29"/>
    <w:rPr>
      <w:i/>
    </w:rPr>
  </w:style>
  <w:style w:type="paragraph" w:styleId="IntenseQuote">
    <w:name w:val="Intense Quote"/>
    <w:basedOn w:val="Normal"/>
    <w:next w:val="Normal"/>
    <w:link w:val="a2"/>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2">
    <w:name w:val="明显引用 字符"/>
    <w:link w:val="IntenseQuote"/>
    <w:uiPriority w:val="30"/>
    <w:rPr>
      <w:i/>
    </w:rPr>
  </w:style>
  <w:style w:type="character" w:customStyle="1" w:styleId="a3">
    <w:name w:val="脚注文本 字符"/>
    <w:link w:val="FootnoteText"/>
    <w:uiPriority w:val="99"/>
    <w:rPr>
      <w:sz w:val="18"/>
    </w:rPr>
  </w:style>
  <w:style w:type="character" w:customStyle="1" w:styleId="a4">
    <w:name w:val="尾注文本 字符"/>
    <w:link w:val="EndnoteText"/>
    <w:uiPriority w:val="99"/>
    <w:rPr>
      <w:sz w:val="20"/>
    </w:rPr>
  </w:style>
  <w:style w:type="character" w:customStyle="1" w:styleId="1">
    <w:name w:val="标题 1 字符"/>
    <w:basedOn w:val="DefaultParagraphFont"/>
    <w:link w:val="Heading1"/>
    <w:rPr>
      <w:rFonts w:ascii="Times New Roman" w:eastAsia="宋体" w:hAnsi="Times New Roman" w:cs="Times New Roman"/>
      <w:b/>
      <w:bCs/>
      <w:sz w:val="44"/>
      <w:szCs w:val="44"/>
    </w:rPr>
  </w:style>
  <w:style w:type="character" w:customStyle="1" w:styleId="a5">
    <w:name w:val="正文文本缩进 字符"/>
    <w:basedOn w:val="DefaultParagraphFont"/>
    <w:link w:val="BodyTextIndent"/>
    <w:semiHidden/>
    <w:rPr>
      <w:rFonts w:ascii="Times New Roman" w:eastAsia="宋体" w:hAnsi="Times New Roman" w:cs="Times New Roman"/>
      <w:sz w:val="24"/>
      <w:szCs w:val="24"/>
    </w:rPr>
  </w:style>
  <w:style w:type="paragraph" w:styleId="ListParagraph">
    <w:name w:val="List Paragraph"/>
    <w:basedOn w:val="Normal"/>
    <w:uiPriority w:val="34"/>
    <w:qFormat/>
    <w:pPr>
      <w:ind w:firstLine="420"/>
    </w:pPr>
  </w:style>
  <w:style w:type="character" w:customStyle="1" w:styleId="a6">
    <w:name w:val="页眉 字符"/>
    <w:basedOn w:val="DefaultParagraphFont"/>
    <w:link w:val="Header"/>
    <w:uiPriority w:val="99"/>
    <w:rPr>
      <w:rFonts w:ascii="Times New Roman" w:eastAsia="宋体" w:hAnsi="Times New Roman" w:cs="Times New Roman"/>
      <w:sz w:val="18"/>
      <w:szCs w:val="18"/>
    </w:rPr>
  </w:style>
  <w:style w:type="character" w:customStyle="1" w:styleId="a7">
    <w:name w:val="页脚 字符"/>
    <w:basedOn w:val="DefaultParagraphFont"/>
    <w:link w:val="Footer"/>
    <w:uiPriority w:val="99"/>
    <w:rPr>
      <w:rFonts w:ascii="Times New Roman" w:eastAsia="宋体" w:hAnsi="Times New Roman" w:cs="Times New Roman"/>
      <w:sz w:val="18"/>
      <w:szCs w:val="18"/>
    </w:rPr>
  </w:style>
  <w:style w:type="character" w:customStyle="1" w:styleId="a8">
    <w:name w:val="批注框文本 字符"/>
    <w:basedOn w:val="DefaultParagraphFont"/>
    <w:link w:val="BalloonText"/>
    <w:uiPriority w:val="99"/>
    <w:semiHidden/>
    <w:rPr>
      <w:rFonts w:ascii="Times New Roman" w:eastAsia="宋体" w:hAnsi="Times New Roman" w:cs="Times New Roman"/>
      <w:sz w:val="18"/>
      <w:szCs w:val="18"/>
    </w:rPr>
  </w:style>
  <w:style w:type="character" w:customStyle="1" w:styleId="a9">
    <w:name w:val="批注文字 字符"/>
    <w:basedOn w:val="DefaultParagraphFont"/>
    <w:link w:val="CommentText"/>
    <w:rPr>
      <w:rFonts w:ascii="Times New Roman" w:eastAsia="宋体" w:hAnsi="Times New Roman" w:cs="Times New Roman"/>
      <w:sz w:val="24"/>
      <w:szCs w:val="24"/>
    </w:rPr>
  </w:style>
  <w:style w:type="character" w:customStyle="1" w:styleId="a10">
    <w:name w:val="批注主题 字符"/>
    <w:basedOn w:val="a9"/>
    <w:link w:val="CommentSubject"/>
    <w:uiPriority w:val="99"/>
    <w:semiHidden/>
    <w:rPr>
      <w:rFonts w:ascii="Times New Roman" w:eastAsia="宋体" w:hAnsi="Times New Roman" w:cs="Times New Roman"/>
      <w:b/>
      <w:bCs/>
      <w:sz w:val="24"/>
      <w:szCs w:val="24"/>
    </w:rPr>
  </w:style>
  <w:style w:type="character" w:customStyle="1" w:styleId="a11">
    <w:name w:val="文档结构图 字符"/>
    <w:basedOn w:val="DefaultParagraphFont"/>
    <w:link w:val="DocumentMap"/>
    <w:uiPriority w:val="99"/>
    <w:semiHidden/>
    <w:rPr>
      <w:rFonts w:ascii="宋体" w:eastAsia="宋体" w:hAnsi="Times New Roman" w:cs="Times New Roman"/>
      <w:sz w:val="18"/>
      <w:szCs w:val="18"/>
    </w:rPr>
  </w:style>
  <w:style w:type="paragraph" w:customStyle="1" w:styleId="20">
    <w:name w:val="！正文缩进2字符"/>
    <w:basedOn w:val="Normal"/>
    <w:qFormat/>
    <w:pPr>
      <w:widowControl/>
      <w:spacing w:line="360" w:lineRule="auto"/>
      <w:ind w:firstLine="20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glossaryDocument" Target="glossary/document.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711216d8b4343b2954503ee7c873e7e"/>
        <w:category>
          <w:name w:val="(Empty Category)"/>
          <w:gallery w:val="any"/>
        </w:category>
        <w:behaviors>
          <w:behavior w:val="content"/>
        </w:behaviors>
        <w:guid w:val="{8277890E-0F82-402A-9190-3CA44B709D93}"/>
      </w:docPartPr>
      <w:docPartBody>
        <w:p w:rsidR="004750D2">
          <w:r>
            <w:t>请在此放置您的文字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serif">
    <w:altName w:val="Arial"/>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DAE"/>
    <w:rsid w:val="000270D9"/>
    <w:rsid w:val="004750D2"/>
    <w:rsid w:val="005D1DAE"/>
    <w:rsid w:val="00817C07"/>
    <w:rsid w:val="009F6396"/>
    <w:rsid w:val="00A37B93"/>
    <w:rsid w:val="00B369D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宋体" w:hAnsi="Arial"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paragraph" w:styleId="Heading1">
    <w:name w:val="heading 1"/>
    <w:basedOn w:val="Normal"/>
    <w:next w:val="Normal"/>
    <w:link w:val="1"/>
    <w:uiPriority w:val="9"/>
    <w:qFormat/>
    <w:pPr>
      <w:keepNext/>
      <w:keepLines/>
      <w:spacing w:before="480" w:after="200"/>
      <w:outlineLvl w:val="0"/>
    </w:pPr>
    <w:rPr>
      <w:sz w:val="40"/>
      <w:szCs w:val="40"/>
    </w:rPr>
  </w:style>
  <w:style w:type="paragraph" w:styleId="Heading2">
    <w:name w:val="heading 2"/>
    <w:basedOn w:val="Normal"/>
    <w:next w:val="Normal"/>
    <w:link w:val="2"/>
    <w:uiPriority w:val="9"/>
    <w:unhideWhenUsed/>
    <w:qFormat/>
    <w:pPr>
      <w:keepNext/>
      <w:keepLines/>
      <w:spacing w:before="360" w:after="200"/>
      <w:outlineLvl w:val="1"/>
    </w:pPr>
    <w:rPr>
      <w:sz w:val="34"/>
    </w:rPr>
  </w:style>
  <w:style w:type="paragraph" w:styleId="Heading3">
    <w:name w:val="heading 3"/>
    <w:basedOn w:val="Normal"/>
    <w:next w:val="Normal"/>
    <w:link w:val="3"/>
    <w:uiPriority w:val="9"/>
    <w:unhideWhenUsed/>
    <w:qFormat/>
    <w:pPr>
      <w:keepNext/>
      <w:keepLines/>
      <w:spacing w:before="320" w:after="200"/>
      <w:outlineLvl w:val="2"/>
    </w:pPr>
    <w:rPr>
      <w:sz w:val="30"/>
      <w:szCs w:val="30"/>
    </w:rPr>
  </w:style>
  <w:style w:type="paragraph" w:styleId="Heading4">
    <w:name w:val="heading 4"/>
    <w:basedOn w:val="Normal"/>
    <w:next w:val="Normal"/>
    <w:link w:val="4"/>
    <w:uiPriority w:val="9"/>
    <w:unhideWhenUsed/>
    <w:qFormat/>
    <w:pPr>
      <w:keepNext/>
      <w:keepLines/>
      <w:spacing w:before="320" w:after="200"/>
      <w:outlineLvl w:val="3"/>
    </w:pPr>
    <w:rPr>
      <w:b/>
      <w:bCs/>
      <w:sz w:val="26"/>
      <w:szCs w:val="26"/>
    </w:rPr>
  </w:style>
  <w:style w:type="paragraph" w:styleId="Heading5">
    <w:name w:val="heading 5"/>
    <w:basedOn w:val="Normal"/>
    <w:next w:val="Normal"/>
    <w:link w:val="5"/>
    <w:uiPriority w:val="9"/>
    <w:unhideWhenUsed/>
    <w:qFormat/>
    <w:pPr>
      <w:keepNext/>
      <w:keepLines/>
      <w:spacing w:before="320" w:after="200"/>
      <w:outlineLvl w:val="4"/>
    </w:pPr>
    <w:rPr>
      <w:b/>
      <w:bCs/>
      <w:sz w:val="24"/>
      <w:szCs w:val="24"/>
    </w:rPr>
  </w:style>
  <w:style w:type="paragraph" w:styleId="Heading6">
    <w:name w:val="heading 6"/>
    <w:basedOn w:val="Normal"/>
    <w:next w:val="Normal"/>
    <w:link w:val="6"/>
    <w:uiPriority w:val="9"/>
    <w:unhideWhenUsed/>
    <w:qFormat/>
    <w:pPr>
      <w:keepNext/>
      <w:keepLines/>
      <w:spacing w:before="320" w:after="200"/>
      <w:outlineLvl w:val="5"/>
    </w:pPr>
    <w:rPr>
      <w:b/>
      <w:bCs/>
    </w:rPr>
  </w:style>
  <w:style w:type="paragraph" w:styleId="Heading7">
    <w:name w:val="heading 7"/>
    <w:basedOn w:val="Normal"/>
    <w:next w:val="Normal"/>
    <w:link w:val="7"/>
    <w:uiPriority w:val="9"/>
    <w:unhideWhenUsed/>
    <w:qFormat/>
    <w:pPr>
      <w:keepNext/>
      <w:keepLines/>
      <w:spacing w:before="320" w:after="200"/>
      <w:outlineLvl w:val="6"/>
    </w:pPr>
    <w:rPr>
      <w:b/>
      <w:bCs/>
      <w:i/>
      <w:iCs/>
    </w:rPr>
  </w:style>
  <w:style w:type="paragraph" w:styleId="Heading8">
    <w:name w:val="heading 8"/>
    <w:basedOn w:val="Normal"/>
    <w:next w:val="Normal"/>
    <w:link w:val="8"/>
    <w:uiPriority w:val="9"/>
    <w:unhideWhenUsed/>
    <w:qFormat/>
    <w:pPr>
      <w:keepNext/>
      <w:keepLines/>
      <w:spacing w:before="320" w:after="200"/>
      <w:outlineLvl w:val="7"/>
    </w:pPr>
    <w:rPr>
      <w:i/>
      <w:iCs/>
    </w:rPr>
  </w:style>
  <w:style w:type="paragraph" w:styleId="Heading9">
    <w:name w:val="heading 9"/>
    <w:basedOn w:val="Normal"/>
    <w:next w:val="Normal"/>
    <w:link w:val="9"/>
    <w:uiPriority w:val="9"/>
    <w:unhideWhenUsed/>
    <w:qFormat/>
    <w:pPr>
      <w:keepNext/>
      <w:keepLines/>
      <w:spacing w:before="320" w:after="200"/>
      <w:outlineLvl w:val="8"/>
    </w:pPr>
    <w:rPr>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qFormat/>
    <w:rPr>
      <w:rFonts w:ascii="Arial" w:hAnsi="Arial" w:cs="Arial"/>
      <w:sz w:val="40"/>
      <w:szCs w:val="40"/>
    </w:rPr>
  </w:style>
  <w:style w:type="character" w:customStyle="1" w:styleId="2">
    <w:name w:val="标题 2 字符"/>
    <w:basedOn w:val="DefaultParagraphFont"/>
    <w:link w:val="Heading2"/>
    <w:uiPriority w:val="9"/>
    <w:rPr>
      <w:rFonts w:ascii="Arial" w:hAnsi="Arial" w:cs="Arial"/>
      <w:sz w:val="34"/>
    </w:rPr>
  </w:style>
  <w:style w:type="character" w:customStyle="1" w:styleId="3">
    <w:name w:val="标题 3 字符"/>
    <w:basedOn w:val="DefaultParagraphFont"/>
    <w:link w:val="Heading3"/>
    <w:uiPriority w:val="9"/>
    <w:rPr>
      <w:rFonts w:ascii="Arial" w:hAnsi="Arial" w:cs="Arial"/>
      <w:sz w:val="30"/>
      <w:szCs w:val="30"/>
    </w:rPr>
  </w:style>
  <w:style w:type="character" w:customStyle="1" w:styleId="4">
    <w:name w:val="标题 4 字符"/>
    <w:basedOn w:val="DefaultParagraphFont"/>
    <w:link w:val="Heading4"/>
    <w:uiPriority w:val="9"/>
    <w:qFormat/>
    <w:rPr>
      <w:rFonts w:ascii="Arial" w:hAnsi="Arial" w:cs="Arial"/>
      <w:b/>
      <w:bCs/>
      <w:sz w:val="26"/>
      <w:szCs w:val="26"/>
    </w:rPr>
  </w:style>
  <w:style w:type="character" w:customStyle="1" w:styleId="5">
    <w:name w:val="标题 5 字符"/>
    <w:basedOn w:val="DefaultParagraphFont"/>
    <w:link w:val="Heading5"/>
    <w:uiPriority w:val="9"/>
    <w:rPr>
      <w:rFonts w:ascii="Arial" w:hAnsi="Arial" w:cs="Arial"/>
      <w:b/>
      <w:bCs/>
      <w:sz w:val="24"/>
      <w:szCs w:val="24"/>
    </w:rPr>
  </w:style>
  <w:style w:type="character" w:customStyle="1" w:styleId="6">
    <w:name w:val="标题 6 字符"/>
    <w:basedOn w:val="DefaultParagraphFont"/>
    <w:link w:val="Heading6"/>
    <w:uiPriority w:val="9"/>
    <w:rPr>
      <w:rFonts w:ascii="Arial" w:hAnsi="Arial" w:cs="Arial"/>
      <w:b/>
      <w:bCs/>
      <w:sz w:val="22"/>
      <w:szCs w:val="22"/>
    </w:rPr>
  </w:style>
  <w:style w:type="character" w:customStyle="1" w:styleId="7">
    <w:name w:val="标题 7 字符"/>
    <w:basedOn w:val="DefaultParagraphFont"/>
    <w:link w:val="Heading7"/>
    <w:uiPriority w:val="9"/>
    <w:rPr>
      <w:rFonts w:ascii="Arial" w:hAnsi="Arial" w:cs="Arial"/>
      <w:b/>
      <w:bCs/>
      <w:i/>
      <w:iCs/>
      <w:sz w:val="22"/>
      <w:szCs w:val="22"/>
    </w:rPr>
  </w:style>
  <w:style w:type="character" w:customStyle="1" w:styleId="8">
    <w:name w:val="标题 8 字符"/>
    <w:basedOn w:val="DefaultParagraphFont"/>
    <w:link w:val="Heading8"/>
    <w:uiPriority w:val="9"/>
    <w:rPr>
      <w:rFonts w:ascii="Arial" w:hAnsi="Arial" w:cs="Arial"/>
      <w:i/>
      <w:iCs/>
      <w:sz w:val="22"/>
      <w:szCs w:val="22"/>
    </w:rPr>
  </w:style>
  <w:style w:type="character" w:customStyle="1" w:styleId="9">
    <w:name w:val="标题 9 字符"/>
    <w:basedOn w:val="DefaultParagraphFont"/>
    <w:link w:val="Heading9"/>
    <w:uiPriority w:val="9"/>
    <w:qFormat/>
    <w:rPr>
      <w:rFonts w:ascii="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rPr>
      <w:sz w:val="22"/>
      <w:szCs w:val="22"/>
      <w:lang w:eastAsia="en-US"/>
    </w:rPr>
  </w:style>
  <w:style w:type="paragraph" w:styleId="Title">
    <w:name w:val="Title"/>
    <w:basedOn w:val="Normal"/>
    <w:next w:val="Normal"/>
    <w:link w:val="a"/>
    <w:uiPriority w:val="10"/>
    <w:qFormat/>
    <w:pPr>
      <w:spacing w:before="300" w:after="200"/>
      <w:contextualSpacing/>
    </w:pPr>
    <w:rPr>
      <w:sz w:val="48"/>
      <w:szCs w:val="48"/>
    </w:rPr>
  </w:style>
  <w:style w:type="character" w:customStyle="1" w:styleId="a">
    <w:name w:val="标题 字符"/>
    <w:basedOn w:val="DefaultParagraphFont"/>
    <w:link w:val="Title"/>
    <w:uiPriority w:val="10"/>
    <w:rPr>
      <w:sz w:val="48"/>
      <w:szCs w:val="48"/>
    </w:rPr>
  </w:style>
  <w:style w:type="paragraph" w:styleId="Subtitle">
    <w:name w:val="Subtitle"/>
    <w:basedOn w:val="Normal"/>
    <w:next w:val="Normal"/>
    <w:link w:val="a0"/>
    <w:uiPriority w:val="11"/>
    <w:qFormat/>
    <w:pPr>
      <w:spacing w:before="200" w:after="200"/>
    </w:pPr>
    <w:rPr>
      <w:sz w:val="24"/>
      <w:szCs w:val="24"/>
    </w:rPr>
  </w:style>
  <w:style w:type="character" w:customStyle="1" w:styleId="a0">
    <w:name w:val="副标题 字符"/>
    <w:basedOn w:val="DefaultParagraphFont"/>
    <w:link w:val="Subtitle"/>
    <w:uiPriority w:val="11"/>
    <w:rPr>
      <w:sz w:val="24"/>
      <w:szCs w:val="24"/>
    </w:rPr>
  </w:style>
  <w:style w:type="paragraph" w:styleId="Quote">
    <w:name w:val="Quote"/>
    <w:basedOn w:val="Normal"/>
    <w:next w:val="Normal"/>
    <w:link w:val="a1"/>
    <w:uiPriority w:val="29"/>
    <w:qFormat/>
    <w:pPr>
      <w:ind w:left="720" w:right="720"/>
    </w:pPr>
    <w:rPr>
      <w:i/>
    </w:rPr>
  </w:style>
  <w:style w:type="character" w:customStyle="1" w:styleId="a1">
    <w:name w:val="引用 字符"/>
    <w:link w:val="Quote"/>
    <w:uiPriority w:val="29"/>
    <w:rPr>
      <w:i/>
    </w:rPr>
  </w:style>
  <w:style w:type="paragraph" w:styleId="IntenseQuote">
    <w:name w:val="Intense Quote"/>
    <w:basedOn w:val="Normal"/>
    <w:next w:val="Normal"/>
    <w:link w:val="a2"/>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2">
    <w:name w:val="明显引用 字符"/>
    <w:link w:val="IntenseQuote"/>
    <w:uiPriority w:val="30"/>
    <w:qFormat/>
    <w:rPr>
      <w:i/>
    </w:rPr>
  </w:style>
  <w:style w:type="paragraph" w:styleId="Header">
    <w:name w:val="header"/>
    <w:basedOn w:val="Normal"/>
    <w:link w:val="a3"/>
    <w:uiPriority w:val="99"/>
    <w:unhideWhenUsed/>
    <w:pPr>
      <w:tabs>
        <w:tab w:val="center" w:pos="7143"/>
        <w:tab w:val="right" w:pos="14287"/>
      </w:tabs>
    </w:pPr>
  </w:style>
  <w:style w:type="character" w:customStyle="1" w:styleId="a3">
    <w:name w:val="页眉 字符"/>
    <w:basedOn w:val="DefaultParagraphFont"/>
    <w:link w:val="Header"/>
    <w:uiPriority w:val="99"/>
  </w:style>
  <w:style w:type="paragraph" w:styleId="Footer">
    <w:name w:val="footer"/>
    <w:basedOn w:val="Normal"/>
    <w:link w:val="a4"/>
    <w:uiPriority w:val="99"/>
    <w:unhideWhenUsed/>
    <w:pPr>
      <w:tabs>
        <w:tab w:val="center" w:pos="7143"/>
        <w:tab w:val="right" w:pos="14287"/>
      </w:tabs>
    </w:pPr>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a4">
    <w:name w:val="页脚 字符"/>
    <w:link w:val="Footer"/>
    <w:uiPriority w:val="99"/>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a5"/>
    <w:uiPriority w:val="99"/>
    <w:semiHidden/>
    <w:unhideWhenUsed/>
    <w:pPr>
      <w:spacing w:after="40"/>
    </w:pPr>
    <w:rPr>
      <w:sz w:val="18"/>
    </w:rPr>
  </w:style>
  <w:style w:type="character" w:customStyle="1" w:styleId="a5">
    <w:name w:val="脚注文本 字符"/>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a6"/>
    <w:uiPriority w:val="99"/>
    <w:semiHidden/>
    <w:unhideWhenUsed/>
    <w:qFormat/>
    <w:rPr>
      <w:sz w:val="20"/>
    </w:rPr>
  </w:style>
  <w:style w:type="character" w:customStyle="1" w:styleId="a6">
    <w:name w:val="尾注文本 字符"/>
    <w:link w:val="EndnoteText"/>
    <w:uiPriority w:val="99"/>
    <w:qFormat/>
    <w:rPr>
      <w:sz w:val="20"/>
    </w:rPr>
  </w:style>
  <w:style w:type="character" w:styleId="EndnoteReference">
    <w:name w:val="endnote reference"/>
    <w:basedOn w:val="DefaultParagraphFont"/>
    <w:uiPriority w:val="99"/>
    <w:semiHidden/>
    <w:unhideWhenUsed/>
    <w:qFormat/>
    <w:rPr>
      <w:vertAlign w:val="superscript"/>
    </w:rPr>
  </w:style>
  <w:style w:type="paragraph" w:styleId="TOC1">
    <w:name w:val="toc 1"/>
    <w:basedOn w:val="Normal"/>
    <w:next w:val="Normal"/>
    <w:uiPriority w:val="39"/>
    <w:unhideWhenUsed/>
    <w:qFormat/>
    <w:pPr>
      <w:spacing w:after="57"/>
    </w:pPr>
  </w:style>
  <w:style w:type="paragraph" w:styleId="TOC2">
    <w:name w:val="toc 2"/>
    <w:basedOn w:val="Normal"/>
    <w:next w:val="Normal"/>
    <w:uiPriority w:val="39"/>
    <w:unhideWhenUsed/>
    <w:qFormat/>
    <w:pPr>
      <w:spacing w:after="57"/>
      <w:ind w:left="283"/>
    </w:pPr>
  </w:style>
  <w:style w:type="paragraph" w:styleId="TOC3">
    <w:name w:val="toc 3"/>
    <w:basedOn w:val="Normal"/>
    <w:next w:val="Normal"/>
    <w:uiPriority w:val="39"/>
    <w:unhideWhenUsed/>
    <w:qFormat/>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ableofFigures">
    <w:name w:val="table of figures"/>
    <w:basedOn w:val="Normal"/>
    <w:next w:val="Normal"/>
    <w:uiPriority w:val="99"/>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43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