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97367D">
      <w:pPr>
        <w:snapToGrid w:val="0"/>
        <w:spacing w:line="360" w:lineRule="auto"/>
        <w:jc w:val="left"/>
        <w:rPr>
          <w:rFonts w:ascii="宋体" w:hAnsi="Calibri" w:cs="宋体"/>
          <w:szCs w:val="21"/>
        </w:rPr>
      </w:pPr>
    </w:p>
    <w:p w:rsidR="0097367D">
      <w:pPr>
        <w:tabs>
          <w:tab w:val="left" w:pos="1890"/>
        </w:tabs>
        <w:rPr>
          <w:rFonts w:ascii="宋体" w:hAnsi="Calibri" w:cs="宋体"/>
          <w:i/>
          <w:iCs/>
          <w:sz w:val="28"/>
          <w:szCs w:val="28"/>
        </w:rPr>
      </w:pPr>
    </w:p>
    <w:p w:rsidR="0097367D">
      <w:pPr>
        <w:spacing w:line="360" w:lineRule="auto"/>
        <w:ind w:firstLine="881"/>
        <w:jc w:val="center"/>
        <w:rPr>
          <w:rFonts w:ascii="宋体" w:hAnsi="Calibri" w:cs="宋体"/>
          <w:b/>
          <w:sz w:val="44"/>
        </w:rPr>
      </w:pPr>
    </w:p>
    <w:p w:rsidR="0097367D">
      <w:pPr>
        <w:spacing w:line="360" w:lineRule="auto"/>
        <w:ind w:firstLine="881"/>
        <w:jc w:val="center"/>
        <w:rPr>
          <w:rFonts w:ascii="宋体" w:hAnsi="Calibri" w:cs="宋体"/>
          <w:b/>
          <w:sz w:val="44"/>
        </w:rPr>
      </w:pPr>
    </w:p>
    <w:p w:rsidR="0097367D">
      <w:pPr>
        <w:spacing w:line="360" w:lineRule="auto"/>
        <w:ind w:firstLine="881"/>
        <w:jc w:val="center"/>
        <w:rPr>
          <w:rFonts w:ascii="宋体" w:hAnsi="Calibri" w:cs="宋体"/>
          <w:b/>
          <w:sz w:val="44"/>
        </w:rPr>
      </w:pPr>
    </w:p>
    <w:p w:rsidR="0097367D">
      <w:pPr>
        <w:spacing w:line="360" w:lineRule="auto"/>
        <w:ind w:firstLine="881"/>
        <w:jc w:val="center"/>
        <w:rPr>
          <w:rFonts w:ascii="宋体" w:hAnsi="Calibri" w:cs="宋体"/>
          <w:b/>
          <w:sz w:val="44"/>
        </w:rPr>
      </w:pPr>
    </w:p>
    <w:p w:rsidR="0097367D">
      <w:pPr>
        <w:spacing w:line="360" w:lineRule="auto"/>
        <w:ind w:hanging="141"/>
        <w:jc w:val="center"/>
        <w:rPr>
          <w:rFonts w:ascii="宋体" w:hAnsi="Calibri" w:cs="宋体"/>
          <w:b/>
          <w:sz w:val="44"/>
          <w:lang w:eastAsia="zh-CN"/>
        </w:rPr>
      </w:pPr>
      <w:r>
        <w:rPr>
          <w:rFonts w:ascii="宋体" w:hAnsi="Calibri" w:cs="宋体" w:hint="eastAsia"/>
          <w:b/>
          <w:sz w:val="44"/>
          <w:szCs w:val="44"/>
          <w:lang w:eastAsia="zh-CN"/>
        </w:rPr>
        <w:t>易方达中证电池主题交易型开放式指数证券投资基金发起式联接基金</w:t>
      </w:r>
      <w:r>
        <w:rPr>
          <w:rFonts w:ascii="宋体" w:hAnsi="Calibri" w:cs="宋体" w:hint="eastAsia"/>
          <w:b/>
          <w:sz w:val="44"/>
          <w:szCs w:val="44"/>
          <w:highlight w:val="white"/>
          <w:lang w:eastAsia="zh-CN"/>
        </w:rPr>
        <w:t>招募说明书</w:t>
      </w:r>
    </w:p>
    <w:p w:rsidR="0097367D">
      <w:pPr>
        <w:spacing w:line="360" w:lineRule="auto"/>
        <w:ind w:left="1680" w:firstLine="181"/>
        <w:rPr>
          <w:rFonts w:ascii="宋体" w:hAnsi="Calibri" w:cs="宋体"/>
          <w:sz w:val="30"/>
          <w:szCs w:val="30"/>
          <w:lang w:eastAsia="zh-CN"/>
        </w:rPr>
      </w:pPr>
    </w:p>
    <w:p w:rsidR="0097367D">
      <w:pPr>
        <w:spacing w:line="360" w:lineRule="auto"/>
        <w:ind w:left="1680" w:firstLine="181"/>
        <w:rPr>
          <w:rFonts w:ascii="宋体" w:hAnsi="Calibri" w:cs="宋体"/>
          <w:sz w:val="30"/>
          <w:szCs w:val="30"/>
          <w:lang w:eastAsia="zh-CN"/>
        </w:rPr>
      </w:pPr>
    </w:p>
    <w:p w:rsidR="0097367D">
      <w:pPr>
        <w:spacing w:line="360" w:lineRule="auto"/>
        <w:ind w:left="1680"/>
        <w:rPr>
          <w:rFonts w:ascii="宋体" w:hAnsi="Calibri" w:cs="宋体"/>
          <w:sz w:val="30"/>
          <w:szCs w:val="30"/>
          <w:lang w:eastAsia="zh-CN"/>
        </w:rPr>
      </w:pPr>
    </w:p>
    <w:p w:rsidR="0097367D">
      <w:pPr>
        <w:spacing w:line="360" w:lineRule="auto"/>
        <w:ind w:left="1680"/>
        <w:rPr>
          <w:rFonts w:ascii="宋体" w:hAnsi="Calibri" w:cs="宋体"/>
          <w:sz w:val="30"/>
          <w:szCs w:val="30"/>
          <w:lang w:eastAsia="zh-CN"/>
        </w:rPr>
      </w:pPr>
    </w:p>
    <w:p w:rsidR="0097367D">
      <w:pPr>
        <w:spacing w:line="360" w:lineRule="auto"/>
        <w:ind w:left="1680"/>
        <w:rPr>
          <w:rFonts w:ascii="宋体" w:hAnsi="Calibri" w:cs="宋体"/>
          <w:sz w:val="30"/>
          <w:szCs w:val="30"/>
          <w:lang w:eastAsia="zh-CN"/>
        </w:rPr>
      </w:pPr>
    </w:p>
    <w:p w:rsidR="0097367D">
      <w:pPr>
        <w:spacing w:line="360" w:lineRule="auto"/>
        <w:ind w:left="1680"/>
        <w:rPr>
          <w:rFonts w:ascii="宋体" w:hAnsi="Calibri" w:cs="宋体"/>
          <w:sz w:val="30"/>
          <w:szCs w:val="30"/>
          <w:lang w:eastAsia="zh-CN"/>
        </w:rPr>
      </w:pPr>
    </w:p>
    <w:p w:rsidR="0097367D">
      <w:pPr>
        <w:spacing w:line="360" w:lineRule="auto"/>
        <w:ind w:left="1679" w:hanging="238"/>
        <w:rPr>
          <w:rFonts w:ascii="宋体" w:hAnsi="Calibri" w:cs="宋体"/>
          <w:b/>
          <w:sz w:val="32"/>
          <w:szCs w:val="32"/>
          <w:lang w:eastAsia="zh-CN"/>
        </w:rPr>
      </w:pPr>
      <w:r>
        <w:rPr>
          <w:rFonts w:ascii="宋体" w:hAnsi="Calibri" w:cs="宋体" w:hint="eastAsia"/>
          <w:b/>
          <w:sz w:val="32"/>
          <w:szCs w:val="32"/>
          <w:highlight w:val="white"/>
          <w:lang w:eastAsia="zh-CN"/>
        </w:rPr>
        <w:t>基金管理人：易方达基金管理有限公司</w:t>
      </w:r>
    </w:p>
    <w:p w:rsidR="0097367D">
      <w:pPr>
        <w:spacing w:line="360" w:lineRule="auto"/>
        <w:ind w:left="1438"/>
        <w:rPr>
          <w:rFonts w:ascii="宋体" w:hAnsi="Calibri" w:cs="宋体"/>
          <w:b/>
          <w:sz w:val="32"/>
          <w:szCs w:val="32"/>
          <w:lang w:eastAsia="zh-CN"/>
        </w:rPr>
      </w:pPr>
      <w:r>
        <w:rPr>
          <w:rFonts w:ascii="宋体" w:hAnsi="Calibri" w:cs="宋体" w:hint="eastAsia"/>
          <w:b/>
          <w:sz w:val="32"/>
          <w:szCs w:val="32"/>
          <w:highlight w:val="white"/>
          <w:lang w:eastAsia="zh-CN"/>
        </w:rPr>
        <w:t>基金托管人：</w:t>
      </w:r>
      <w:r>
        <w:rPr>
          <w:rFonts w:ascii="宋体" w:hAnsi="Calibri" w:cs="宋体" w:hint="eastAsia"/>
          <w:b/>
          <w:sz w:val="32"/>
          <w:szCs w:val="32"/>
          <w:lang w:eastAsia="zh-CN"/>
        </w:rPr>
        <w:t>中国民生银行股份有限公司</w:t>
      </w:r>
    </w:p>
    <w:p w:rsidR="0097367D">
      <w:pPr>
        <w:jc w:val="center"/>
        <w:rPr>
          <w:rFonts w:ascii="宋体" w:hAnsi="Calibri"/>
          <w:lang w:eastAsia="zh-CN"/>
        </w:rPr>
      </w:pPr>
      <w:r>
        <w:rPr>
          <w:rFonts w:ascii="宋体" w:hAnsi="Calibri" w:cs="宋体"/>
          <w:color w:val="000000"/>
          <w:sz w:val="32"/>
          <w:highlight w:val="white"/>
          <w:lang w:eastAsia="zh-CN"/>
        </w:rPr>
        <w:t>二〇二</w:t>
      </w:r>
      <w:r w:rsidR="00B657D7">
        <w:rPr>
          <w:rFonts w:ascii="宋体" w:hAnsi="Calibri" w:cs="Calibri" w:hint="eastAsia"/>
          <w:color w:val="000000"/>
          <w:sz w:val="32"/>
          <w:highlight w:val="white"/>
          <w:lang w:eastAsia="zh-CN"/>
        </w:rPr>
        <w:t>六</w:t>
      </w:r>
      <w:r>
        <w:rPr>
          <w:rFonts w:ascii="宋体" w:hAnsi="Calibri" w:cs="宋体"/>
          <w:color w:val="000000"/>
          <w:sz w:val="32"/>
          <w:highlight w:val="white"/>
          <w:lang w:eastAsia="zh-CN"/>
        </w:rPr>
        <w:t>年</w:t>
      </w:r>
      <w:r w:rsidR="00B657D7">
        <w:rPr>
          <w:rFonts w:ascii="宋体" w:hAnsi="Calibri" w:cs="Calibri" w:hint="eastAsia"/>
          <w:color w:val="000000"/>
          <w:sz w:val="32"/>
          <w:highlight w:val="white"/>
          <w:lang w:eastAsia="zh-CN"/>
        </w:rPr>
        <w:t>五</w:t>
      </w:r>
      <w:r>
        <w:rPr>
          <w:rFonts w:ascii="宋体" w:hAnsi="Calibri" w:cs="宋体"/>
          <w:color w:val="000000"/>
          <w:sz w:val="32"/>
          <w:highlight w:val="white"/>
          <w:lang w:eastAsia="zh-CN"/>
        </w:rPr>
        <w:t>月</w:t>
      </w:r>
    </w:p>
    <w:p w:rsidR="0097367D">
      <w:pPr>
        <w:jc w:val="center"/>
        <w:rPr>
          <w:rFonts w:ascii="宋体" w:hAnsi="Calibri" w:cs="宋体"/>
          <w:sz w:val="22"/>
          <w:szCs w:val="32"/>
          <w:lang w:eastAsia="zh-CN"/>
        </w:rPr>
      </w:pPr>
    </w:p>
    <w:p w:rsidR="0097367D">
      <w:pPr>
        <w:spacing w:line="360" w:lineRule="auto"/>
        <w:rPr>
          <w:rFonts w:ascii="宋体" w:hAnsi="Calibri" w:cs="宋体"/>
          <w:b/>
          <w:sz w:val="24"/>
          <w:lang w:eastAsia="zh-CN"/>
        </w:rPr>
        <w:sectPr>
          <w:headerReference w:type="even" r:id="rId5"/>
          <w:headerReference w:type="default" r:id="rId6"/>
          <w:footerReference w:type="even" r:id="rId7"/>
          <w:footerReference w:type="default" r:id="rId8"/>
          <w:headerReference w:type="first" r:id="rId9"/>
          <w:footerReference w:type="first" r:id="rId10"/>
          <w:pgSz w:w="11906" w:h="16838"/>
          <w:pgMar w:top="1440" w:right="1803" w:bottom="1440" w:left="1803" w:header="1134" w:footer="1247" w:gutter="0"/>
          <w:pgNumType w:start="1"/>
          <w:cols w:space="720"/>
          <w:docGrid w:type="lines" w:linePitch="447"/>
        </w:sectPr>
      </w:pPr>
    </w:p>
    <w:p w:rsidR="0097367D">
      <w:pPr>
        <w:spacing w:before="447" w:after="447" w:line="320" w:lineRule="exact"/>
        <w:jc w:val="center"/>
        <w:rPr>
          <w:rFonts w:ascii="宋体" w:hAnsi="Calibri" w:cs="宋体"/>
          <w:sz w:val="30"/>
          <w:lang w:eastAsia="zh-CN"/>
        </w:rPr>
      </w:pPr>
      <w:r>
        <w:rPr>
          <w:rFonts w:ascii="宋体" w:hAnsi="Calibri" w:cs="宋体" w:hint="eastAsia"/>
          <w:sz w:val="30"/>
          <w:lang w:eastAsia="zh-CN"/>
        </w:rPr>
        <w:t>易方达中证电池主题交易型开放式指数证券投资基金发起式联接基金</w:t>
      </w:r>
      <w:r>
        <w:rPr>
          <w:rFonts w:ascii="宋体" w:hAnsi="Calibri" w:cs="宋体" w:hint="eastAsia"/>
          <w:sz w:val="30"/>
          <w:highlight w:val="white"/>
          <w:lang w:eastAsia="zh-CN"/>
        </w:rPr>
        <w:t>招募说明书</w:t>
      </w:r>
    </w:p>
    <w:p w:rsidR="0097367D">
      <w:pPr>
        <w:spacing w:before="447" w:after="447" w:line="320" w:lineRule="exact"/>
        <w:jc w:val="center"/>
        <w:rPr>
          <w:rFonts w:ascii="宋体" w:hAnsi="Calibri" w:cs="宋体"/>
          <w:sz w:val="30"/>
          <w:lang w:eastAsia="zh-CN"/>
        </w:rPr>
      </w:pPr>
    </w:p>
    <w:p w:rsidR="0097367D">
      <w:pPr>
        <w:spacing w:line="288" w:lineRule="auto"/>
        <w:jc w:val="center"/>
        <w:rPr>
          <w:rFonts w:ascii="宋体" w:hAnsi="Calibri" w:cs="宋体"/>
          <w:b/>
          <w:sz w:val="28"/>
          <w:szCs w:val="28"/>
          <w:lang w:eastAsia="zh-CN"/>
        </w:rPr>
      </w:pPr>
      <w:r>
        <w:rPr>
          <w:rFonts w:ascii="宋体" w:hAnsi="Calibri" w:cs="宋体" w:hint="eastAsia"/>
          <w:b/>
          <w:sz w:val="28"/>
          <w:szCs w:val="28"/>
          <w:highlight w:val="white"/>
          <w:lang w:eastAsia="zh-CN"/>
        </w:rPr>
        <w:t>重要提示</w:t>
      </w:r>
    </w:p>
    <w:p w:rsidR="0097367D">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1、本基金根据</w:t>
      </w:r>
      <w:r w:rsidR="00301325">
        <w:rPr>
          <w:rFonts w:ascii="宋体" w:hAnsi="Calibri" w:cs="宋体"/>
          <w:b/>
          <w:szCs w:val="21"/>
          <w:highlight w:val="white"/>
          <w:lang w:eastAsia="zh-CN"/>
        </w:rPr>
        <w:t>2026</w:t>
      </w:r>
      <w:r>
        <w:rPr>
          <w:rFonts w:ascii="宋体" w:hAnsi="Calibri" w:cs="宋体" w:hint="eastAsia"/>
          <w:b/>
          <w:szCs w:val="21"/>
          <w:highlight w:val="white"/>
          <w:lang w:eastAsia="zh-CN"/>
        </w:rPr>
        <w:t>年</w:t>
      </w:r>
      <w:r w:rsidR="00301325">
        <w:rPr>
          <w:rFonts w:ascii="宋体" w:hAnsi="Calibri" w:cs="宋体"/>
          <w:b/>
          <w:szCs w:val="21"/>
          <w:highlight w:val="white"/>
          <w:lang w:eastAsia="zh-CN"/>
        </w:rPr>
        <w:t>4</w:t>
      </w:r>
      <w:r>
        <w:rPr>
          <w:rFonts w:ascii="宋体" w:hAnsi="Calibri" w:cs="宋体" w:hint="eastAsia"/>
          <w:b/>
          <w:szCs w:val="21"/>
          <w:highlight w:val="white"/>
          <w:lang w:eastAsia="zh-CN"/>
        </w:rPr>
        <w:t>月</w:t>
      </w:r>
      <w:r w:rsidR="00301325">
        <w:rPr>
          <w:rFonts w:ascii="宋体" w:hAnsi="Calibri" w:cs="宋体"/>
          <w:b/>
          <w:szCs w:val="21"/>
          <w:highlight w:val="white"/>
          <w:lang w:eastAsia="zh-CN"/>
        </w:rPr>
        <w:t>27</w:t>
      </w:r>
      <w:r>
        <w:rPr>
          <w:rFonts w:ascii="宋体" w:hAnsi="Calibri" w:cs="宋体" w:hint="eastAsia"/>
          <w:b/>
          <w:szCs w:val="21"/>
          <w:highlight w:val="white"/>
          <w:lang w:eastAsia="zh-CN"/>
        </w:rPr>
        <w:t>日中国证券监督管理委员会《关于准予</w:t>
      </w:r>
      <w:r>
        <w:rPr>
          <w:rFonts w:ascii="宋体" w:hAnsi="Calibri" w:cs="宋体"/>
          <w:b/>
          <w:szCs w:val="21"/>
          <w:lang w:eastAsia="zh-CN"/>
        </w:rPr>
        <w:t>易方达中证电池主题交易型开放式指数证券投资基金发起式联接基金</w:t>
      </w:r>
      <w:r>
        <w:rPr>
          <w:rFonts w:ascii="宋体" w:hAnsi="Calibri" w:cs="宋体"/>
          <w:b/>
          <w:szCs w:val="21"/>
          <w:highlight w:val="white"/>
          <w:lang w:eastAsia="zh-CN"/>
        </w:rPr>
        <w:t>注册的批复》（证监许可[</w:t>
      </w:r>
      <w:r w:rsidR="00301325">
        <w:rPr>
          <w:rFonts w:ascii="宋体" w:hAnsi="Calibri" w:cs="宋体"/>
          <w:b/>
          <w:szCs w:val="21"/>
          <w:highlight w:val="white"/>
          <w:lang w:eastAsia="zh-CN"/>
        </w:rPr>
        <w:t>2026</w:t>
      </w:r>
      <w:r>
        <w:rPr>
          <w:rFonts w:ascii="宋体" w:hAnsi="Calibri" w:cs="宋体" w:hint="eastAsia"/>
          <w:b/>
          <w:szCs w:val="21"/>
          <w:highlight w:val="white"/>
          <w:lang w:eastAsia="zh-CN"/>
        </w:rPr>
        <w:t>]</w:t>
      </w:r>
      <w:r w:rsidR="00301325">
        <w:rPr>
          <w:rFonts w:ascii="宋体" w:hAnsi="Calibri" w:cs="宋体"/>
          <w:b/>
          <w:szCs w:val="21"/>
          <w:highlight w:val="white"/>
          <w:lang w:eastAsia="zh-CN"/>
        </w:rPr>
        <w:t>936</w:t>
      </w:r>
      <w:r>
        <w:rPr>
          <w:rFonts w:ascii="宋体" w:hAnsi="Calibri" w:cs="宋体" w:hint="eastAsia"/>
          <w:b/>
          <w:szCs w:val="21"/>
          <w:highlight w:val="white"/>
          <w:lang w:eastAsia="zh-CN"/>
        </w:rPr>
        <w:t>号）进行募集。</w:t>
      </w:r>
    </w:p>
    <w:p w:rsidR="0097367D">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2、基金管理人保证《招募说明书》的内容真实、准确、完整。本基金经中国证监会注册，但中国证监会对本基金募集的注册，并不表明其对本基金的投资价值、市场前景和收益</w:t>
      </w:r>
      <w:r>
        <w:rPr>
          <w:rFonts w:ascii="宋体" w:hAnsi="Calibri" w:cs="宋体" w:hint="eastAsia"/>
          <w:b/>
          <w:szCs w:val="21"/>
          <w:highlight w:val="white"/>
          <w:lang w:eastAsia="zh-CN"/>
        </w:rPr>
        <w:t>作出</w:t>
      </w:r>
      <w:r>
        <w:rPr>
          <w:rFonts w:ascii="宋体" w:hAnsi="Calibri" w:cs="宋体" w:hint="eastAsia"/>
          <w:b/>
          <w:szCs w:val="21"/>
          <w:highlight w:val="white"/>
          <w:lang w:eastAsia="zh-CN"/>
        </w:rPr>
        <w:t>实质性判断或保证，也不表明投资于本基金没有风险。</w:t>
      </w:r>
    </w:p>
    <w:p w:rsidR="0097367D">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基金管理人依照恪尽职守、诚实信用、谨慎勤勉的原则管理和运用基金财产，但不保证基金一定盈利，也不保证最低收益。</w:t>
      </w:r>
    </w:p>
    <w:p w:rsidR="0097367D">
      <w:pPr>
        <w:spacing w:line="360" w:lineRule="auto"/>
        <w:ind w:firstLine="422"/>
        <w:rPr>
          <w:rFonts w:ascii="宋体" w:hAnsi="Calibri" w:cs="宋体"/>
          <w:b/>
          <w:szCs w:val="21"/>
          <w:lang w:eastAsia="zh-CN"/>
        </w:rPr>
      </w:pPr>
      <w:r>
        <w:rPr>
          <w:rFonts w:ascii="宋体" w:hAnsi="Calibri" w:cs="宋体" w:hint="eastAsia"/>
          <w:b/>
          <w:szCs w:val="21"/>
          <w:highlight w:val="white"/>
          <w:lang w:eastAsia="zh-CN"/>
        </w:rPr>
        <w:t>3、本基金标的指数为</w:t>
      </w:r>
      <w:r>
        <w:rPr>
          <w:rFonts w:ascii="宋体" w:hAnsi="Calibri" w:cs="宋体" w:hint="eastAsia"/>
          <w:b/>
          <w:szCs w:val="21"/>
          <w:lang w:eastAsia="zh-CN"/>
        </w:rPr>
        <w:t>中证电池主题指数</w:t>
      </w:r>
      <w:r>
        <w:rPr>
          <w:rFonts w:ascii="宋体" w:hAnsi="Calibri" w:cs="宋体" w:hint="eastAsia"/>
          <w:b/>
          <w:szCs w:val="21"/>
          <w:highlight w:val="white"/>
          <w:lang w:eastAsia="zh-CN"/>
        </w:rPr>
        <w:t>。</w:t>
      </w:r>
    </w:p>
    <w:p w:rsidR="0097367D">
      <w:pPr>
        <w:spacing w:line="360" w:lineRule="auto"/>
        <w:ind w:firstLine="420"/>
        <w:rPr>
          <w:rFonts w:ascii="宋体" w:hAnsi="Calibri" w:cs="宋体"/>
          <w:b/>
          <w:szCs w:val="21"/>
          <w:lang w:eastAsia="zh-CN"/>
        </w:rPr>
      </w:pPr>
      <w:r>
        <w:rPr>
          <w:rFonts w:ascii="宋体" w:hAnsi="Calibri" w:cs="宋体" w:hint="eastAsia"/>
          <w:b/>
          <w:szCs w:val="21"/>
          <w:lang w:eastAsia="zh-CN"/>
        </w:rPr>
        <w:t>（1）样本空间</w:t>
      </w:r>
    </w:p>
    <w:p w:rsidR="0097367D">
      <w:pPr>
        <w:spacing w:line="360" w:lineRule="auto"/>
        <w:ind w:firstLine="420"/>
        <w:rPr>
          <w:rFonts w:ascii="宋体" w:hAnsi="Calibri" w:cs="宋体"/>
          <w:b/>
          <w:szCs w:val="21"/>
          <w:lang w:eastAsia="zh-CN"/>
        </w:rPr>
      </w:pPr>
      <w:r>
        <w:rPr>
          <w:rFonts w:ascii="宋体" w:hAnsi="Calibri" w:cs="宋体" w:hint="eastAsia"/>
          <w:b/>
          <w:szCs w:val="21"/>
          <w:lang w:eastAsia="zh-CN"/>
        </w:rPr>
        <w:t>同</w:t>
      </w:r>
      <w:r>
        <w:rPr>
          <w:rFonts w:ascii="宋体" w:hAnsi="Calibri" w:cs="宋体" w:hint="eastAsia"/>
          <w:b/>
          <w:szCs w:val="21"/>
          <w:lang w:eastAsia="zh-CN"/>
        </w:rPr>
        <w:t>中证全指</w:t>
      </w:r>
      <w:r>
        <w:rPr>
          <w:rFonts w:ascii="宋体" w:hAnsi="Calibri" w:cs="宋体" w:hint="eastAsia"/>
          <w:b/>
          <w:szCs w:val="21"/>
          <w:lang w:eastAsia="zh-CN"/>
        </w:rPr>
        <w:t>指数的样本空间</w:t>
      </w:r>
    </w:p>
    <w:p w:rsidR="0097367D">
      <w:pPr>
        <w:spacing w:line="360" w:lineRule="auto"/>
        <w:ind w:firstLine="420"/>
        <w:rPr>
          <w:rFonts w:ascii="宋体" w:hAnsi="Calibri" w:cs="宋体"/>
          <w:b/>
          <w:szCs w:val="21"/>
          <w:lang w:eastAsia="zh-CN"/>
        </w:rPr>
      </w:pPr>
      <w:r>
        <w:rPr>
          <w:rFonts w:ascii="宋体" w:hAnsi="Calibri" w:cs="宋体" w:hint="eastAsia"/>
          <w:b/>
          <w:szCs w:val="21"/>
          <w:lang w:eastAsia="zh-CN"/>
        </w:rPr>
        <w:t>（2）可投资性筛选</w:t>
      </w:r>
    </w:p>
    <w:p w:rsidR="0097367D">
      <w:pPr>
        <w:spacing w:line="360" w:lineRule="auto"/>
        <w:ind w:firstLine="420"/>
        <w:rPr>
          <w:rFonts w:ascii="宋体" w:hAnsi="Calibri" w:cs="宋体"/>
          <w:b/>
          <w:szCs w:val="21"/>
          <w:lang w:eastAsia="zh-CN"/>
        </w:rPr>
      </w:pPr>
      <w:r>
        <w:rPr>
          <w:rFonts w:ascii="宋体" w:hAnsi="Calibri" w:cs="宋体" w:hint="eastAsia"/>
          <w:b/>
          <w:szCs w:val="21"/>
          <w:lang w:eastAsia="zh-CN"/>
        </w:rPr>
        <w:t>流动性要求：过去一年日均成交金额排名位于样本空间前90%。</w:t>
      </w:r>
    </w:p>
    <w:p w:rsidR="0097367D">
      <w:pPr>
        <w:spacing w:line="360" w:lineRule="auto"/>
        <w:ind w:firstLine="420"/>
        <w:rPr>
          <w:rFonts w:ascii="宋体" w:hAnsi="Calibri" w:cs="宋体"/>
          <w:b/>
          <w:szCs w:val="21"/>
          <w:lang w:eastAsia="zh-CN"/>
        </w:rPr>
      </w:pPr>
      <w:r>
        <w:rPr>
          <w:rFonts w:ascii="宋体" w:hAnsi="Calibri" w:cs="宋体" w:hint="eastAsia"/>
          <w:b/>
          <w:szCs w:val="21"/>
          <w:lang w:eastAsia="zh-CN"/>
        </w:rPr>
        <w:t>（3）选样方法</w:t>
      </w:r>
    </w:p>
    <w:p w:rsidR="0097367D">
      <w:pPr>
        <w:spacing w:line="360" w:lineRule="auto"/>
        <w:ind w:firstLine="420"/>
        <w:rPr>
          <w:rFonts w:ascii="宋体" w:hAnsi="Calibri" w:cs="宋体"/>
          <w:b/>
          <w:szCs w:val="21"/>
          <w:lang w:eastAsia="zh-CN"/>
        </w:rPr>
      </w:pPr>
      <w:r>
        <w:rPr>
          <w:rFonts w:ascii="宋体" w:hAnsi="Calibri" w:cs="宋体" w:hint="eastAsia"/>
          <w:b/>
          <w:szCs w:val="21"/>
          <w:lang w:eastAsia="zh-CN"/>
        </w:rPr>
        <w:t>1）对于样本空间内符合可投资性筛选条件的证券，选取业务涉及动力电池、储能电池、消费电子电池以及相关产业链上下游的上市公司证券作为待选样本；</w:t>
      </w:r>
    </w:p>
    <w:p w:rsidR="0097367D">
      <w:pPr>
        <w:spacing w:line="360" w:lineRule="auto"/>
        <w:ind w:firstLine="420"/>
        <w:rPr>
          <w:rFonts w:ascii="宋体" w:hAnsi="Calibri" w:cs="宋体"/>
          <w:b/>
          <w:szCs w:val="21"/>
          <w:lang w:eastAsia="zh-CN"/>
        </w:rPr>
      </w:pPr>
      <w:r>
        <w:rPr>
          <w:rFonts w:ascii="宋体" w:hAnsi="Calibri" w:cs="宋体" w:hint="eastAsia"/>
          <w:b/>
          <w:szCs w:val="21"/>
          <w:lang w:eastAsia="zh-CN"/>
        </w:rPr>
        <w:t>2）将待选样</w:t>
      </w:r>
      <w:r>
        <w:rPr>
          <w:rFonts w:ascii="宋体" w:hAnsi="Calibri" w:cs="宋体" w:hint="eastAsia"/>
          <w:b/>
          <w:szCs w:val="21"/>
          <w:lang w:eastAsia="zh-CN"/>
        </w:rPr>
        <w:t>本按照</w:t>
      </w:r>
      <w:r>
        <w:rPr>
          <w:rFonts w:ascii="宋体" w:hAnsi="Calibri" w:cs="宋体" w:hint="eastAsia"/>
          <w:b/>
          <w:szCs w:val="21"/>
          <w:lang w:eastAsia="zh-CN"/>
        </w:rPr>
        <w:t>过去一年</w:t>
      </w:r>
      <w:r>
        <w:rPr>
          <w:rFonts w:ascii="宋体" w:hAnsi="Calibri" w:cs="宋体" w:hint="eastAsia"/>
          <w:b/>
          <w:szCs w:val="21"/>
          <w:lang w:eastAsia="zh-CN"/>
        </w:rPr>
        <w:t>日均总</w:t>
      </w:r>
      <w:r>
        <w:rPr>
          <w:rFonts w:ascii="宋体" w:hAnsi="Calibri" w:cs="宋体" w:hint="eastAsia"/>
          <w:b/>
          <w:szCs w:val="21"/>
          <w:lang w:eastAsia="zh-CN"/>
        </w:rPr>
        <w:t>市值由高到低排名，选取排名前50名的证券作为指数样本。</w:t>
      </w:r>
    </w:p>
    <w:p w:rsidR="0097367D">
      <w:pPr>
        <w:spacing w:line="360" w:lineRule="auto"/>
        <w:ind w:firstLine="420"/>
        <w:rPr>
          <w:rFonts w:ascii="宋体" w:hAnsi="Calibri" w:cs="宋体"/>
          <w:b/>
          <w:szCs w:val="21"/>
          <w:lang w:eastAsia="zh-CN"/>
        </w:rPr>
      </w:pPr>
      <w:r>
        <w:rPr>
          <w:rFonts w:ascii="宋体" w:hAnsi="Calibri" w:cs="宋体" w:hint="eastAsia"/>
          <w:b/>
          <w:szCs w:val="21"/>
          <w:lang w:eastAsia="zh-CN"/>
        </w:rPr>
        <w:t>（4）指数计算</w:t>
      </w:r>
    </w:p>
    <w:p w:rsidR="0097367D">
      <w:pPr>
        <w:spacing w:line="360" w:lineRule="auto"/>
        <w:ind w:firstLine="420"/>
        <w:rPr>
          <w:rFonts w:ascii="宋体" w:hAnsi="Calibri" w:cs="宋体"/>
          <w:b/>
          <w:szCs w:val="21"/>
          <w:lang w:eastAsia="zh-CN"/>
        </w:rPr>
      </w:pPr>
      <w:r>
        <w:rPr>
          <w:rFonts w:ascii="宋体" w:hAnsi="Calibri" w:cs="宋体" w:hint="eastAsia"/>
          <w:b/>
          <w:szCs w:val="21"/>
          <w:lang w:eastAsia="zh-CN"/>
        </w:rPr>
        <w:t>指数计算公式为：</w:t>
      </w:r>
    </w:p>
    <w:p w:rsidR="0097367D">
      <w:pPr>
        <w:spacing w:line="360" w:lineRule="auto"/>
        <w:ind w:firstLine="420"/>
        <w:rPr>
          <w:rFonts w:ascii="宋体" w:hAnsi="Calibri" w:cs="宋体"/>
          <w:b/>
          <w:szCs w:val="21"/>
          <w:lang w:eastAsia="zh-CN"/>
        </w:rPr>
      </w:pPr>
      <w:r>
        <w:rPr>
          <w:rFonts w:ascii="宋体" w:hAnsi="Calibri" w:cs="宋体" w:hint="eastAsia"/>
          <w:b/>
          <w:szCs w:val="21"/>
          <w:lang w:eastAsia="zh-CN"/>
        </w:rPr>
        <w:t>报告</w:t>
      </w:r>
      <w:r>
        <w:rPr>
          <w:rFonts w:ascii="宋体" w:hAnsi="Calibri" w:cs="宋体" w:hint="eastAsia"/>
          <w:b/>
          <w:szCs w:val="21"/>
          <w:lang w:eastAsia="zh-CN"/>
        </w:rPr>
        <w:t>期指数</w:t>
      </w:r>
      <w:r>
        <w:rPr>
          <w:rFonts w:ascii="宋体" w:hAnsi="Calibri" w:cs="宋体" w:hint="eastAsia"/>
          <w:b/>
          <w:szCs w:val="21"/>
          <w:lang w:eastAsia="zh-CN"/>
        </w:rPr>
        <w:t>=报告期样本的调整市值/除数×1000。其中，调整市值＝∑(证券价格×调整股本数×权重因子)。调整股本数的计算方法、除数修正方法参见中证指数有限公司发布的计算与维护细则。权重因子介于0和1之间，以使单个样本权重不超过10%。</w:t>
      </w:r>
    </w:p>
    <w:p w:rsidR="0097367D">
      <w:pPr>
        <w:spacing w:line="360" w:lineRule="auto"/>
        <w:ind w:firstLine="420"/>
        <w:rPr>
          <w:rFonts w:ascii="宋体" w:hAnsi="Calibri"/>
          <w:b/>
          <w:szCs w:val="21"/>
        </w:rPr>
      </w:pPr>
      <w:r>
        <w:rPr>
          <w:rFonts w:ascii="宋体" w:hAnsi="Calibri" w:hint="eastAsia"/>
          <w:b/>
          <w:szCs w:val="21"/>
          <w:highlight w:val="white"/>
        </w:rPr>
        <w:t>有关标的指数具体编制方案等指数信息详见中证指数有限公司网站，网址：www.csindex.com.cn。</w:t>
      </w:r>
    </w:p>
    <w:p w:rsidR="0097367D">
      <w:pPr>
        <w:spacing w:line="360" w:lineRule="auto"/>
        <w:ind w:firstLine="422"/>
        <w:rPr>
          <w:rFonts w:ascii="宋体" w:hAnsi="Calibri" w:cs="宋体"/>
          <w:b/>
          <w:szCs w:val="21"/>
          <w:lang w:eastAsia="zh-CN"/>
        </w:rPr>
      </w:pPr>
      <w:r>
        <w:rPr>
          <w:rFonts w:ascii="宋体" w:hAnsi="Calibri" w:cs="宋体"/>
          <w:b/>
          <w:szCs w:val="21"/>
          <w:highlight w:val="white"/>
          <w:lang w:eastAsia="zh-CN"/>
        </w:rPr>
        <w:t>4、</w:t>
      </w:r>
      <w:r>
        <w:rPr>
          <w:rFonts w:ascii="宋体" w:hAnsi="Calibri" w:hint="eastAsia"/>
          <w:b/>
          <w:highlight w:val="white"/>
          <w:lang w:eastAsia="zh-CN"/>
        </w:rPr>
        <w:t>本基金为</w:t>
      </w:r>
      <w:r>
        <w:rPr>
          <w:rFonts w:ascii="宋体" w:hAnsi="Calibri" w:hint="eastAsia"/>
          <w:b/>
          <w:lang w:eastAsia="zh-CN"/>
        </w:rPr>
        <w:t>易方达中证电池主题交易型开放式指数证券投资基金</w:t>
      </w:r>
      <w:r>
        <w:rPr>
          <w:rFonts w:ascii="宋体" w:hAnsi="Calibri" w:hint="eastAsia"/>
          <w:b/>
          <w:highlight w:val="white"/>
          <w:lang w:eastAsia="zh-CN"/>
        </w:rPr>
        <w:t>（以下简称“目标ETF”）的联接基金，投资于目标ETF的资产不低于基金资产净值的90%，其投资目标是紧密跟踪业绩比较基准，追求跟踪偏离度和跟踪误差的最小化。</w:t>
      </w:r>
      <w:r>
        <w:rPr>
          <w:rFonts w:ascii="宋体" w:hAnsi="Calibri" w:cs="宋体" w:hint="eastAsia"/>
          <w:b/>
          <w:szCs w:val="21"/>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投资基金的意愿、时机、数量等投资行为</w:t>
      </w:r>
      <w:r>
        <w:rPr>
          <w:rFonts w:ascii="宋体" w:hAnsi="Calibri" w:cs="宋体" w:hint="eastAsia"/>
          <w:b/>
          <w:szCs w:val="21"/>
          <w:highlight w:val="white"/>
          <w:lang w:eastAsia="zh-CN"/>
        </w:rPr>
        <w:t>作出</w:t>
      </w:r>
      <w:r>
        <w:rPr>
          <w:rFonts w:ascii="宋体" w:hAnsi="Calibri" w:cs="宋体" w:hint="eastAsia"/>
          <w:b/>
          <w:szCs w:val="21"/>
          <w:highlight w:val="white"/>
          <w:lang w:eastAsia="zh-CN"/>
        </w:rPr>
        <w:t>独立决策，承担基金投资中出现的各类风险。</w:t>
      </w:r>
    </w:p>
    <w:p w:rsidR="0097367D">
      <w:pPr>
        <w:spacing w:line="360" w:lineRule="auto"/>
        <w:ind w:firstLine="422"/>
        <w:rPr>
          <w:rFonts w:ascii="宋体" w:hAnsi="Calibri" w:cs="宋体"/>
          <w:b/>
          <w:szCs w:val="21"/>
          <w:lang w:eastAsia="zh-CN"/>
        </w:rPr>
      </w:pPr>
      <w:r>
        <w:rPr>
          <w:rFonts w:ascii="宋体" w:hAnsi="Calibri" w:cs="宋体"/>
          <w:b/>
          <w:szCs w:val="21"/>
          <w:highlight w:val="white"/>
          <w:lang w:eastAsia="zh-CN"/>
        </w:rPr>
        <w:t>投资</w:t>
      </w:r>
      <w:r>
        <w:rPr>
          <w:rFonts w:ascii="宋体" w:hAnsi="Calibri"/>
          <w:b/>
          <w:highlight w:val="white"/>
          <w:lang w:eastAsia="zh-CN"/>
        </w:rPr>
        <w:t>本基金可能遇到的主要风险包括：本基金特有风险、市场风险、流动性风险、管理风险、</w:t>
      </w:r>
      <w:r>
        <w:rPr>
          <w:rFonts w:ascii="宋体" w:hAnsi="Calibri" w:hint="eastAsia"/>
          <w:b/>
          <w:highlight w:val="white"/>
          <w:lang w:eastAsia="zh-CN"/>
        </w:rPr>
        <w:t>税收风险、</w:t>
      </w:r>
      <w:r>
        <w:rPr>
          <w:rFonts w:ascii="宋体" w:hAnsi="Calibri"/>
          <w:b/>
          <w:highlight w:val="white"/>
          <w:lang w:eastAsia="zh-CN"/>
        </w:rPr>
        <w:t>本基金法律文件中涉及基金风险特征的表述与销售机构对基金的风险评级可能不一致的风险及其他风险等。</w:t>
      </w:r>
      <w:r>
        <w:rPr>
          <w:rFonts w:ascii="宋体" w:hAnsi="Calibri" w:hint="eastAsia"/>
          <w:b/>
          <w:highlight w:val="white"/>
          <w:lang w:eastAsia="zh-CN"/>
        </w:rPr>
        <w:t>本基金特有风险包括：</w:t>
      </w:r>
      <w:r>
        <w:rPr>
          <w:rFonts w:ascii="宋体" w:hAnsi="宋体" w:cs="宋体"/>
          <w:b/>
          <w:color w:val="000000"/>
          <w:highlight w:val="white"/>
          <w:lang w:eastAsia="zh-CN"/>
        </w:rPr>
        <w:t>（1）</w:t>
      </w:r>
      <w:r>
        <w:rPr>
          <w:rFonts w:ascii="宋体" w:hAnsi="Calibri" w:hint="eastAsia"/>
          <w:b/>
          <w:highlight w:val="white"/>
          <w:lang w:eastAsia="zh-CN"/>
        </w:rPr>
        <w:t>指数</w:t>
      </w:r>
      <w:r>
        <w:rPr>
          <w:rFonts w:ascii="宋体" w:hAnsi="Calibri" w:hint="eastAsia"/>
          <w:b/>
          <w:highlight w:val="white"/>
          <w:lang w:eastAsia="zh-CN"/>
        </w:rPr>
        <w:t>化投资</w:t>
      </w:r>
      <w:r>
        <w:rPr>
          <w:rFonts w:ascii="宋体" w:hAnsi="Calibri" w:hint="eastAsia"/>
          <w:b/>
          <w:highlight w:val="white"/>
          <w:lang w:eastAsia="zh-CN"/>
        </w:rPr>
        <w:t>的风险，包括标的指数回报与股票市场平均回报偏离的风险、标的指数波动的风险、指数成份股主要集中于电池主题公司的集中度风险、部分成份股权</w:t>
      </w:r>
      <w:r>
        <w:rPr>
          <w:rFonts w:ascii="宋体" w:hAnsi="Calibri" w:hint="eastAsia"/>
          <w:b/>
          <w:highlight w:val="white"/>
          <w:lang w:eastAsia="zh-CN"/>
        </w:rPr>
        <w:t>重较大</w:t>
      </w:r>
      <w:r>
        <w:rPr>
          <w:rFonts w:ascii="宋体" w:hAnsi="Calibri" w:hint="eastAsia"/>
          <w:b/>
          <w:highlight w:val="white"/>
          <w:lang w:eastAsia="zh-CN"/>
        </w:rPr>
        <w:t>的风险、成份股停牌的风险、基金分红特殊安排的风险、基金收益率与业绩比较基准收益率偏离的风险、跟踪误差控制未达约定目标的风险、标的指数值计算出错的风险、标的指数编制方案带来的风险、指数编制机构停止服务的风险；（2）联接基金的特殊风险，包括可能具有与目标ETF不同的风险收益特征及净值增长率的风险、目标ETF面临的风险可能直接或间接成为本基金的风险、由目标ETF的联接基金变更为直接投资目标ETF标的指数成份股及备选成份股的指数基金的风险；（3）投资特定品种（包括股指期货、国债期货、股票期权等金融衍生品、</w:t>
      </w:r>
      <w:r>
        <w:rPr>
          <w:rFonts w:ascii="宋体" w:hAnsi="宋体" w:cs="宋体" w:hint="eastAsia"/>
          <w:b/>
          <w:highlight w:val="white"/>
          <w:lang w:eastAsia="zh-CN"/>
        </w:rPr>
        <w:t>科创板</w:t>
      </w:r>
      <w:r>
        <w:rPr>
          <w:rFonts w:ascii="宋体" w:hAnsi="宋体" w:cs="宋体" w:hint="eastAsia"/>
          <w:b/>
          <w:highlight w:val="white"/>
          <w:lang w:eastAsia="zh-CN"/>
        </w:rPr>
        <w:t>股票</w:t>
      </w:r>
      <w:r>
        <w:rPr>
          <w:rFonts w:ascii="宋体" w:hAnsi="宋体" w:cs="宋体"/>
          <w:b/>
          <w:highlight w:val="white"/>
          <w:lang w:eastAsia="zh-CN"/>
        </w:rPr>
        <w:t>、</w:t>
      </w:r>
      <w:r>
        <w:rPr>
          <w:rFonts w:ascii="宋体" w:hAnsi="Calibri" w:cs="宋体" w:hint="eastAsia"/>
          <w:b/>
          <w:szCs w:val="21"/>
          <w:highlight w:val="white"/>
          <w:lang w:eastAsia="zh-CN"/>
        </w:rPr>
        <w:t>北交所股票、</w:t>
      </w:r>
      <w:r>
        <w:rPr>
          <w:rFonts w:ascii="宋体" w:hAnsi="Calibri" w:hint="eastAsia"/>
          <w:b/>
          <w:highlight w:val="white"/>
          <w:lang w:eastAsia="zh-CN"/>
        </w:rPr>
        <w:t>资产支持证券、存托凭证等）的特有风险；（</w:t>
      </w:r>
      <w:r>
        <w:rPr>
          <w:rFonts w:ascii="宋体" w:hAnsi="Calibri"/>
          <w:b/>
          <w:highlight w:val="white"/>
          <w:lang w:eastAsia="zh-CN"/>
        </w:rPr>
        <w:t>4</w:t>
      </w:r>
      <w:r>
        <w:rPr>
          <w:rFonts w:ascii="宋体" w:hAnsi="Calibri" w:hint="eastAsia"/>
          <w:b/>
          <w:highlight w:val="white"/>
          <w:lang w:eastAsia="zh-CN"/>
        </w:rPr>
        <w:t>）参与转融通证券出借业务的风险；（5）基金合同终止的风险等</w:t>
      </w:r>
      <w:r>
        <w:rPr>
          <w:rFonts w:ascii="宋体" w:hAnsi="Calibri" w:cs="宋体"/>
          <w:b/>
          <w:szCs w:val="21"/>
          <w:highlight w:val="white"/>
          <w:lang w:eastAsia="zh-CN"/>
        </w:rPr>
        <w:t>。</w:t>
      </w:r>
    </w:p>
    <w:p w:rsidR="0097367D">
      <w:pPr>
        <w:snapToGrid w:val="0"/>
        <w:spacing w:line="360" w:lineRule="auto"/>
        <w:ind w:firstLine="422"/>
        <w:rPr>
          <w:rFonts w:ascii="宋体" w:hAnsi="Calibri" w:cs="宋体"/>
          <w:b/>
          <w:szCs w:val="21"/>
          <w:lang w:eastAsia="zh-CN"/>
        </w:rPr>
      </w:pPr>
      <w:r>
        <w:rPr>
          <w:rFonts w:ascii="宋体" w:hAnsi="Calibri" w:cs="宋体" w:hint="eastAsia"/>
          <w:b/>
          <w:szCs w:val="21"/>
          <w:highlight w:val="white"/>
          <w:lang w:eastAsia="zh-CN"/>
        </w:rPr>
        <w:t>本基金的具体运作特点详见基金合同和招募说明书的约定。</w:t>
      </w:r>
      <w:r>
        <w:rPr>
          <w:rFonts w:ascii="宋体" w:hAnsi="Calibri" w:cs="宋体"/>
          <w:b/>
          <w:szCs w:val="21"/>
          <w:highlight w:val="white"/>
          <w:lang w:eastAsia="zh-CN"/>
        </w:rPr>
        <w:t>投资本基金可能面临的风险详见招募说明书的</w:t>
      </w:r>
      <w:r>
        <w:rPr>
          <w:rFonts w:ascii="宋体" w:hAnsi="Calibri" w:cs="宋体"/>
          <w:b/>
          <w:szCs w:val="21"/>
          <w:highlight w:val="white"/>
          <w:lang w:eastAsia="zh-CN"/>
        </w:rPr>
        <w:t>“</w:t>
      </w:r>
      <w:r>
        <w:rPr>
          <w:rFonts w:ascii="宋体" w:hAnsi="Calibri" w:cs="宋体"/>
          <w:b/>
          <w:szCs w:val="21"/>
          <w:highlight w:val="white"/>
          <w:lang w:eastAsia="zh-CN"/>
        </w:rPr>
        <w:t>风险揭示</w:t>
      </w:r>
      <w:r>
        <w:rPr>
          <w:rFonts w:ascii="宋体" w:hAnsi="Calibri" w:cs="宋体"/>
          <w:b/>
          <w:szCs w:val="21"/>
          <w:highlight w:val="white"/>
          <w:lang w:eastAsia="zh-CN"/>
        </w:rPr>
        <w:t>”</w:t>
      </w:r>
      <w:r>
        <w:rPr>
          <w:rFonts w:ascii="宋体" w:hAnsi="Calibri" w:cs="宋体"/>
          <w:b/>
          <w:szCs w:val="21"/>
          <w:highlight w:val="white"/>
          <w:lang w:eastAsia="zh-CN"/>
        </w:rPr>
        <w:t>部分。</w:t>
      </w:r>
    </w:p>
    <w:p w:rsidR="0097367D">
      <w:pPr>
        <w:snapToGrid w:val="0"/>
        <w:spacing w:line="360" w:lineRule="auto"/>
        <w:ind w:firstLine="422"/>
        <w:rPr>
          <w:rFonts w:ascii="宋体" w:hAnsi="Calibri" w:cs="宋体"/>
          <w:b/>
          <w:szCs w:val="21"/>
          <w:lang w:eastAsia="zh-CN"/>
        </w:rPr>
      </w:pPr>
      <w:r>
        <w:rPr>
          <w:rFonts w:ascii="宋体" w:hAnsi="Calibri" w:cs="宋体"/>
          <w:b/>
          <w:szCs w:val="21"/>
          <w:highlight w:val="white"/>
          <w:lang w:eastAsia="zh-CN"/>
        </w:rPr>
        <w:t>5</w:t>
      </w:r>
      <w:r>
        <w:rPr>
          <w:rFonts w:ascii="宋体" w:hAnsi="Calibri" w:cs="宋体" w:hint="eastAsia"/>
          <w:b/>
          <w:szCs w:val="21"/>
          <w:highlight w:val="white"/>
          <w:lang w:eastAsia="zh-CN"/>
        </w:rPr>
        <w:t>、</w:t>
      </w:r>
      <w:r>
        <w:rPr>
          <w:rFonts w:ascii="宋体" w:hAnsi="Calibri" w:cs="宋体"/>
          <w:b/>
          <w:szCs w:val="21"/>
          <w:lang w:eastAsia="zh-CN"/>
        </w:rPr>
        <w:t>本基金为ETF联接基金，预期风险与预期收益水平高于混合型基金、债券型基金与货币市场基金。本基金主要通过投资于目标ETF实现对业绩比较基准的紧密跟踪。因此，本基金的业绩表现与标的指数的表现密切相关。</w:t>
      </w:r>
    </w:p>
    <w:p w:rsidR="0097367D">
      <w:pPr>
        <w:spacing w:line="360" w:lineRule="auto"/>
        <w:ind w:firstLine="420" w:firstLineChars="200"/>
        <w:rPr>
          <w:rFonts w:ascii="宋体" w:hAnsi="Calibri"/>
          <w:b/>
          <w:szCs w:val="21"/>
          <w:lang w:eastAsia="zh-CN"/>
        </w:rPr>
      </w:pPr>
      <w:r>
        <w:rPr>
          <w:rFonts w:ascii="宋体" w:hAnsi="Calibri"/>
          <w:b/>
          <w:szCs w:val="21"/>
          <w:highlight w:val="white"/>
          <w:lang w:eastAsia="zh-CN"/>
        </w:rPr>
        <w:t>6</w:t>
      </w:r>
      <w:r>
        <w:rPr>
          <w:rFonts w:ascii="宋体" w:hAnsi="Calibri" w:hint="eastAsia"/>
          <w:b/>
          <w:szCs w:val="21"/>
          <w:highlight w:val="white"/>
          <w:lang w:eastAsia="zh-CN"/>
        </w:rPr>
        <w:t>、</w:t>
      </w:r>
      <w:r>
        <w:rPr>
          <w:rFonts w:ascii="宋体" w:hAnsi="Calibri"/>
          <w:b/>
          <w:szCs w:val="21"/>
          <w:highlight w:val="white"/>
          <w:lang w:eastAsia="zh-CN"/>
        </w:rPr>
        <w:t>本基金为发起式基金，本基金发起资金来源</w:t>
      </w:r>
      <w:r>
        <w:rPr>
          <w:rFonts w:ascii="宋体" w:hAnsi="Calibri" w:hint="eastAsia"/>
          <w:b/>
          <w:szCs w:val="21"/>
          <w:highlight w:val="white"/>
          <w:lang w:eastAsia="zh-CN"/>
        </w:rPr>
        <w:t>范围</w:t>
      </w:r>
      <w:r>
        <w:rPr>
          <w:rFonts w:ascii="宋体" w:hAnsi="Calibri"/>
          <w:b/>
          <w:szCs w:val="21"/>
          <w:highlight w:val="white"/>
          <w:lang w:eastAsia="zh-CN"/>
        </w:rPr>
        <w:t>为基金管理人固有资金</w:t>
      </w:r>
      <w:r>
        <w:rPr>
          <w:rFonts w:ascii="宋体" w:hAnsi="Calibri" w:hint="eastAsia"/>
          <w:b/>
          <w:szCs w:val="21"/>
          <w:highlight w:val="white"/>
          <w:lang w:eastAsia="zh-CN"/>
        </w:rPr>
        <w:t>，本基金发起资金的认购情况详见管理人届时发布的基金合同生效公告</w:t>
      </w:r>
      <w:r>
        <w:rPr>
          <w:rFonts w:ascii="宋体" w:hAnsi="Calibri"/>
          <w:b/>
          <w:szCs w:val="21"/>
          <w:highlight w:val="white"/>
          <w:lang w:eastAsia="zh-CN"/>
        </w:rPr>
        <w:t>。发起资金提供方认购基金的金额不少于1000万元人民币，且持有认购份额的期限不少于3年。本基金发起资金提供方对本基金的发起认购，并不代表对本基金的风险或收益的任何判断、预测、推荐和保证，发起资金也并不用于对投资人投资亏损的补偿，投资人及发起资金认购人均自行承担投资风险。本基金发起资金认购的本基金份额持有期限自基金合同生效日起满3年后，发起资金提供方将根据自身情况决定是否继续持有，届时发起资金提供方有可能赎回认购的本基金份额。</w:t>
      </w:r>
    </w:p>
    <w:p w:rsidR="0097367D">
      <w:pPr>
        <w:spacing w:line="360" w:lineRule="auto"/>
        <w:ind w:firstLine="422"/>
        <w:rPr>
          <w:rFonts w:ascii="宋体" w:hAnsi="Calibri" w:cs="宋体"/>
          <w:b/>
          <w:szCs w:val="21"/>
          <w:lang w:eastAsia="zh-CN"/>
        </w:rPr>
      </w:pPr>
      <w:r>
        <w:rPr>
          <w:rFonts w:ascii="宋体" w:hAnsi="Calibri" w:cs="宋体"/>
          <w:b/>
          <w:szCs w:val="21"/>
          <w:highlight w:val="white"/>
          <w:lang w:eastAsia="zh-CN"/>
        </w:rPr>
        <w:t>7、本基金将基金份额分为A类基金份额和C类基金份额。A类基金份额在投资人认购/申购时</w:t>
      </w:r>
      <w:r>
        <w:rPr>
          <w:rFonts w:ascii="宋体" w:hAnsi="宋体" w:cs="宋体" w:hint="eastAsia"/>
          <w:b/>
          <w:highlight w:val="white"/>
          <w:lang w:eastAsia="zh-CN"/>
        </w:rPr>
        <w:t>按规定</w:t>
      </w:r>
      <w:r>
        <w:rPr>
          <w:rFonts w:ascii="宋体" w:hAnsi="Calibri" w:cs="宋体"/>
          <w:b/>
          <w:szCs w:val="21"/>
          <w:highlight w:val="white"/>
          <w:lang w:eastAsia="zh-CN"/>
        </w:rPr>
        <w:t>收取认购/申购费用，在持有期间不收取销售服务费；C类基金份额在投资人认购/申购时不收取认购/申购费用，在持有期间</w:t>
      </w:r>
      <w:r>
        <w:rPr>
          <w:rFonts w:ascii="宋体" w:hAnsi="宋体" w:cs="宋体"/>
          <w:b/>
          <w:highlight w:val="white"/>
          <w:lang w:eastAsia="zh-CN"/>
        </w:rPr>
        <w:t>计提销售服务费</w:t>
      </w:r>
      <w:r>
        <w:rPr>
          <w:rFonts w:ascii="宋体" w:hAnsi="宋体" w:cs="宋体" w:hint="eastAsia"/>
          <w:b/>
          <w:highlight w:val="white"/>
          <w:lang w:eastAsia="zh-CN"/>
        </w:rPr>
        <w:t>并按规定收取或返还</w:t>
      </w:r>
      <w:r>
        <w:rPr>
          <w:rFonts w:ascii="宋体" w:hAnsi="Calibri" w:cs="宋体"/>
          <w:b/>
          <w:szCs w:val="21"/>
          <w:highlight w:val="white"/>
          <w:lang w:eastAsia="zh-CN"/>
        </w:rPr>
        <w:t>。</w:t>
      </w:r>
    </w:p>
    <w:p w:rsidR="0097367D">
      <w:pPr>
        <w:spacing w:line="360" w:lineRule="auto"/>
        <w:ind w:firstLine="422"/>
        <w:rPr>
          <w:rFonts w:ascii="宋体" w:hAnsi="Calibri" w:cs="宋体"/>
          <w:b/>
          <w:szCs w:val="21"/>
          <w:lang w:eastAsia="zh-CN"/>
        </w:rPr>
      </w:pPr>
      <w:r>
        <w:rPr>
          <w:rFonts w:ascii="宋体" w:hAnsi="Calibri" w:cs="宋体"/>
          <w:b/>
          <w:szCs w:val="21"/>
          <w:highlight w:val="white"/>
          <w:lang w:eastAsia="zh-CN"/>
        </w:rPr>
        <w:t>8</w:t>
      </w:r>
      <w:r>
        <w:rPr>
          <w:rFonts w:ascii="宋体" w:hAnsi="Calibri" w:cs="宋体" w:hint="eastAsia"/>
          <w:b/>
          <w:szCs w:val="21"/>
          <w:highlight w:val="white"/>
          <w:lang w:eastAsia="zh-CN"/>
        </w:rPr>
        <w:t>、基金管理人提醒投资者基金投资的“买者自负”原则，在投资者</w:t>
      </w:r>
      <w:r>
        <w:rPr>
          <w:rFonts w:ascii="宋体" w:hAnsi="Calibri" w:cs="宋体" w:hint="eastAsia"/>
          <w:b/>
          <w:szCs w:val="21"/>
          <w:highlight w:val="white"/>
          <w:lang w:eastAsia="zh-CN"/>
        </w:rPr>
        <w:t>作出</w:t>
      </w:r>
      <w:r>
        <w:rPr>
          <w:rFonts w:ascii="宋体" w:hAnsi="Calibri" w:cs="宋体" w:hint="eastAsia"/>
          <w:b/>
          <w:szCs w:val="21"/>
          <w:highlight w:val="white"/>
          <w:lang w:eastAsia="zh-CN"/>
        </w:rPr>
        <w:t>投资决策后，基金运营状况与基金净值变化引致的投资风险，由投资者自行负责。此外，本基金以1元初始面值进行募集，在市场波动等因素的影响下，存在单位份额净值跌破1元初始面值的风险。</w:t>
      </w:r>
    </w:p>
    <w:p w:rsidR="0097367D">
      <w:pPr>
        <w:spacing w:line="360" w:lineRule="auto"/>
        <w:ind w:firstLine="422"/>
        <w:rPr>
          <w:rFonts w:ascii="宋体" w:hAnsi="Calibri" w:cs="宋体"/>
          <w:b/>
          <w:szCs w:val="21"/>
          <w:lang w:eastAsia="zh-CN"/>
        </w:rPr>
      </w:pPr>
      <w:r>
        <w:rPr>
          <w:rFonts w:ascii="宋体" w:hAnsi="Calibri" w:cs="宋体"/>
          <w:b/>
          <w:szCs w:val="21"/>
          <w:highlight w:val="white"/>
          <w:lang w:eastAsia="zh-CN"/>
        </w:rPr>
        <w:t>9</w:t>
      </w:r>
      <w:r>
        <w:rPr>
          <w:rFonts w:ascii="宋体" w:hAnsi="Calibri" w:cs="宋体" w:hint="eastAsia"/>
          <w:b/>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97367D">
      <w:pPr>
        <w:spacing w:line="360" w:lineRule="auto"/>
        <w:ind w:firstLine="422"/>
        <w:rPr>
          <w:rFonts w:ascii="宋体" w:hAnsi="Calibri" w:cs="宋体"/>
          <w:b/>
          <w:szCs w:val="21"/>
          <w:lang w:eastAsia="zh-CN"/>
        </w:rPr>
      </w:pPr>
      <w:r>
        <w:rPr>
          <w:rFonts w:ascii="宋体" w:hAnsi="Calibri" w:cs="宋体"/>
          <w:b/>
          <w:szCs w:val="21"/>
          <w:highlight w:val="white"/>
          <w:lang w:eastAsia="zh-CN"/>
        </w:rPr>
        <w:t>10</w:t>
      </w:r>
      <w:r>
        <w:rPr>
          <w:rFonts w:ascii="宋体" w:hAnsi="Calibri" w:cs="宋体" w:hint="eastAsia"/>
          <w:b/>
          <w:szCs w:val="21"/>
          <w:highlight w:val="white"/>
          <w:lang w:eastAsia="zh-CN"/>
        </w:rPr>
        <w:t>、基金的过往业绩并不预示其未来表现，基金管理人管理的其他基金的业绩并不构成对本基金表现的保证。</w:t>
      </w:r>
    </w:p>
    <w:p w:rsidR="0097367D">
      <w:pPr>
        <w:spacing w:line="360" w:lineRule="auto"/>
        <w:ind w:firstLine="420" w:firstLineChars="200"/>
        <w:rPr>
          <w:rFonts w:ascii="宋体" w:hAnsi="Calibri"/>
          <w:b/>
          <w:lang w:eastAsia="zh-CN"/>
        </w:rPr>
      </w:pPr>
      <w:r>
        <w:rPr>
          <w:rFonts w:ascii="宋体" w:hAnsi="Calibri" w:hint="eastAsia"/>
          <w:b/>
          <w:highlight w:val="white"/>
          <w:lang w:eastAsia="zh-CN"/>
        </w:rPr>
        <w:t>11、本基金与目标ETF的联系与区别</w:t>
      </w:r>
    </w:p>
    <w:p w:rsidR="0097367D">
      <w:pPr>
        <w:spacing w:line="360" w:lineRule="auto"/>
        <w:ind w:firstLine="420" w:firstLineChars="200"/>
        <w:rPr>
          <w:rFonts w:ascii="宋体" w:hAnsi="Calibri"/>
          <w:b/>
          <w:lang w:eastAsia="zh-CN"/>
        </w:rPr>
      </w:pPr>
      <w:r>
        <w:rPr>
          <w:rFonts w:ascii="宋体" w:hAnsi="Calibri" w:hint="eastAsia"/>
          <w:b/>
          <w:highlight w:val="white"/>
          <w:lang w:eastAsia="zh-CN"/>
        </w:rPr>
        <w:t>本基金与目标ETF之间的联系：（1）两只基金的投资目标均为紧密跟踪业绩比较基准；（2）两只基金具有相似的风险收益特征；（3）目标ETF是本基金的主要投资对象。</w:t>
      </w:r>
    </w:p>
    <w:p w:rsidR="0097367D">
      <w:pPr>
        <w:spacing w:line="360" w:lineRule="auto"/>
        <w:ind w:firstLine="420" w:firstLineChars="200"/>
        <w:rPr>
          <w:rFonts w:ascii="宋体" w:hAnsi="Calibri"/>
          <w:b/>
          <w:lang w:eastAsia="zh-CN"/>
        </w:rPr>
      </w:pPr>
      <w:r>
        <w:rPr>
          <w:rFonts w:ascii="宋体" w:hAnsi="Calibri" w:hint="eastAsia"/>
          <w:b/>
          <w:highlight w:val="white"/>
          <w:lang w:eastAsia="zh-CN"/>
        </w:rPr>
        <w:t>本基金与目标ETF之间的区别：（1）在基金的投资方法方面，目标ETF主要采取完全复制法，直接投资于标的指数的成份股、备选成份股；而本基金则采取间接的方法，通过将绝大部分基金财产投资于目标ETF，实现对业绩比较基准的紧密跟踪。（2）在交易方式方面，投资者既可以像买卖股票一样在交易所买卖目标ETF的基金份额，也可以按照最小申购、赎回单位和申购、赎回清单的要求</w:t>
      </w:r>
      <w:r>
        <w:rPr>
          <w:rFonts w:ascii="宋体" w:hAnsi="Calibri" w:hint="eastAsia"/>
          <w:b/>
          <w:highlight w:val="white"/>
          <w:lang w:eastAsia="zh-CN"/>
        </w:rPr>
        <w:t>申赎目标</w:t>
      </w:r>
      <w:r>
        <w:rPr>
          <w:rFonts w:ascii="宋体" w:hAnsi="Calibri" w:hint="eastAsia"/>
          <w:b/>
          <w:highlight w:val="white"/>
          <w:lang w:eastAsia="zh-CN"/>
        </w:rPr>
        <w:t>ETF；而本基金则像普通的开放式基金一样，投资者可以通过基金管理人及非直销销售机构按未知价法进行基金的申购与赎回。</w:t>
      </w:r>
    </w:p>
    <w:p w:rsidR="0097367D">
      <w:pPr>
        <w:spacing w:line="360" w:lineRule="auto"/>
        <w:ind w:firstLine="420" w:firstLineChars="200"/>
        <w:rPr>
          <w:rFonts w:ascii="宋体" w:hAnsi="Calibri"/>
          <w:b/>
          <w:lang w:eastAsia="zh-CN"/>
        </w:rPr>
      </w:pPr>
      <w:r>
        <w:rPr>
          <w:rFonts w:ascii="宋体" w:hAnsi="Calibri" w:hint="eastAsia"/>
          <w:b/>
          <w:highlight w:val="white"/>
          <w:lang w:eastAsia="zh-CN"/>
        </w:rPr>
        <w:t>本基金与目标ETF业绩表现仍可能出现差异。可能引发差异的因素主要包括：（1）法规对投资比例的要求。目标ETF作为一种特殊的基金品种，可将全部或接近全部的基金资产，用于跟踪标的指数的表现；而本基金作为普通的开放式基金，仍需将不低于基金资产净值5%的资产投资于现金或者到期日在一年以内的政府债券。（2）申购赎回的影响。目标ETF采取按照最小申购、赎回单位和申购、赎回清单要求</w:t>
      </w:r>
      <w:r>
        <w:rPr>
          <w:rFonts w:ascii="宋体" w:hAnsi="Calibri" w:hint="eastAsia"/>
          <w:b/>
          <w:highlight w:val="white"/>
          <w:lang w:eastAsia="zh-CN"/>
        </w:rPr>
        <w:t>进行申赎的</w:t>
      </w:r>
      <w:r>
        <w:rPr>
          <w:rFonts w:ascii="宋体" w:hAnsi="Calibri" w:hint="eastAsia"/>
          <w:b/>
          <w:highlight w:val="white"/>
          <w:lang w:eastAsia="zh-CN"/>
        </w:rPr>
        <w:t>方式，申购赎回对基金净值影响较小；而本基金采取按照未知价法</w:t>
      </w:r>
      <w:r>
        <w:rPr>
          <w:rFonts w:ascii="宋体" w:hAnsi="Calibri" w:hint="eastAsia"/>
          <w:b/>
          <w:highlight w:val="white"/>
          <w:lang w:eastAsia="zh-CN"/>
        </w:rPr>
        <w:t>进行申赎的</w:t>
      </w:r>
      <w:r>
        <w:rPr>
          <w:rFonts w:ascii="宋体" w:hAnsi="Calibri" w:hint="eastAsia"/>
          <w:b/>
          <w:highlight w:val="white"/>
          <w:lang w:eastAsia="zh-CN"/>
        </w:rPr>
        <w:t>方式，大额</w:t>
      </w:r>
      <w:r>
        <w:rPr>
          <w:rFonts w:ascii="宋体" w:hAnsi="Calibri" w:hint="eastAsia"/>
          <w:b/>
          <w:highlight w:val="white"/>
          <w:lang w:eastAsia="zh-CN"/>
        </w:rPr>
        <w:t>申赎可能</w:t>
      </w:r>
      <w:r>
        <w:rPr>
          <w:rFonts w:ascii="宋体" w:hAnsi="Calibri" w:hint="eastAsia"/>
          <w:b/>
          <w:highlight w:val="white"/>
          <w:lang w:eastAsia="zh-CN"/>
        </w:rPr>
        <w:t>会对基金资产净值产生一定影响。</w:t>
      </w:r>
    </w:p>
    <w:p w:rsidR="0097367D">
      <w:pPr>
        <w:spacing w:line="360" w:lineRule="auto"/>
        <w:ind w:firstLine="422"/>
        <w:rPr>
          <w:rFonts w:ascii="宋体" w:hAnsi="Calibri" w:cs="宋体"/>
          <w:b/>
          <w:szCs w:val="21"/>
          <w:lang w:eastAsia="zh-CN"/>
        </w:rPr>
      </w:pPr>
    </w:p>
    <w:p w:rsidR="0097367D">
      <w:pPr>
        <w:spacing w:line="360" w:lineRule="auto"/>
        <w:ind w:firstLine="422"/>
        <w:rPr>
          <w:rFonts w:ascii="宋体" w:hAnsi="Calibri" w:cs="宋体"/>
          <w:b/>
          <w:szCs w:val="21"/>
          <w:lang w:eastAsia="zh-CN"/>
        </w:rPr>
      </w:pPr>
    </w:p>
    <w:p w:rsidR="0097367D">
      <w:pPr>
        <w:snapToGrid w:val="0"/>
        <w:spacing w:before="100" w:after="100" w:line="360" w:lineRule="auto"/>
        <w:jc w:val="center"/>
        <w:rPr>
          <w:rFonts w:ascii="宋体" w:hAnsi="Calibri" w:cs="宋体"/>
          <w:sz w:val="30"/>
        </w:rPr>
      </w:pPr>
      <w:r>
        <w:rPr>
          <w:rFonts w:ascii="宋体" w:hAnsi="Calibri" w:cs="宋体" w:hint="eastAsia"/>
          <w:b/>
          <w:szCs w:val="21"/>
          <w:highlight w:val="white"/>
          <w:lang w:eastAsia="zh-CN"/>
        </w:rPr>
        <w:br w:type="column"/>
      </w:r>
      <w:r>
        <w:rPr>
          <w:rFonts w:ascii="宋体" w:hAnsi="Calibri" w:cs="宋体" w:hint="eastAsia"/>
          <w:sz w:val="30"/>
          <w:highlight w:val="white"/>
        </w:rPr>
        <w:t>目     录</w:t>
      </w:r>
    </w:p>
    <w:p w:rsidR="0097367D">
      <w:pPr>
        <w:snapToGrid w:val="0"/>
        <w:spacing w:before="100" w:after="100" w:line="320" w:lineRule="exact"/>
        <w:ind w:firstLine="480"/>
        <w:jc w:val="center"/>
        <w:rPr>
          <w:rFonts w:ascii="宋体" w:hAnsi="Calibri" w:cs="宋体"/>
          <w:b/>
        </w:rPr>
      </w:pPr>
    </w:p>
    <w:p w:rsidR="0097367D">
      <w:pPr>
        <w:pStyle w:val="TOC1"/>
        <w:rPr>
          <w:rFonts w:eastAsia="宋体" w:hAnsi="Calibri" w:cs="Calibri"/>
          <w:caps w:val="0"/>
          <w:noProof/>
          <w:color w:val="auto"/>
          <w:sz w:val="21"/>
          <w:szCs w:val="22"/>
        </w:rPr>
      </w:pPr>
      <w:r>
        <w:rPr>
          <w:rFonts w:eastAsia="宋体" w:hAnsi="Calibri" w:cs="宋体"/>
          <w:b/>
          <w:color w:val="auto"/>
        </w:rPr>
        <w:fldChar w:fldCharType="begin"/>
      </w:r>
      <w:r>
        <w:rPr>
          <w:rFonts w:eastAsia="宋体" w:hAnsi="Calibri" w:cs="宋体"/>
          <w:b/>
          <w:color w:val="auto"/>
          <w:highlight w:val="white"/>
        </w:rPr>
        <w:instrText xml:space="preserve"> TOC \o "1-1" \h \z \u </w:instrText>
      </w:r>
      <w:r>
        <w:rPr>
          <w:rFonts w:eastAsia="宋体" w:hAnsi="Calibri" w:cs="宋体"/>
          <w:b/>
          <w:color w:val="auto"/>
        </w:rPr>
        <w:fldChar w:fldCharType="separate"/>
      </w:r>
      <w:hyperlink w:anchor="_Toc129511523" w:tooltip="Current Document" w:history="1">
        <w:r>
          <w:rPr>
            <w:rStyle w:val="Hyperlink"/>
            <w:rFonts w:eastAsia="宋体" w:hAnsi="Calibri" w:cs="宋体" w:hint="eastAsia"/>
            <w:noProof/>
            <w:highlight w:val="white"/>
          </w:rPr>
          <w:t>第一部分</w:t>
        </w:r>
        <w:r>
          <w:rPr>
            <w:rStyle w:val="Hyperlink"/>
            <w:rFonts w:eastAsia="宋体" w:hAnsi="Calibri" w:cs="宋体"/>
            <w:noProof/>
            <w:highlight w:val="white"/>
          </w:rPr>
          <w:t xml:space="preserve"> </w:t>
        </w:r>
        <w:r>
          <w:rPr>
            <w:rStyle w:val="Hyperlink"/>
            <w:rFonts w:eastAsia="宋体" w:hAnsi="Calibri" w:cs="宋体" w:hint="eastAsia"/>
            <w:noProof/>
            <w:highlight w:val="white"/>
          </w:rPr>
          <w:t>绪</w:t>
        </w:r>
        <w:r>
          <w:rPr>
            <w:rStyle w:val="Hyperlink"/>
            <w:rFonts w:eastAsia="宋体" w:hAnsi="Calibri" w:cs="宋体"/>
            <w:noProof/>
            <w:highlight w:val="white"/>
          </w:rPr>
          <w:t xml:space="preserve">  </w:t>
        </w:r>
        <w:r>
          <w:rPr>
            <w:rStyle w:val="Hyperlink"/>
            <w:rFonts w:eastAsia="宋体" w:hAnsi="Calibri" w:cs="宋体" w:hint="eastAsia"/>
            <w:noProof/>
            <w:highlight w:val="white"/>
          </w:rPr>
          <w:t>言</w:t>
        </w:r>
        <w:r>
          <w:rPr>
            <w:rFonts w:eastAsia="宋体" w:hAnsi="Calibri"/>
            <w:noProof/>
            <w:highlight w:val="white"/>
          </w:rPr>
          <w:tab/>
        </w:r>
        <w:r>
          <w:rPr>
            <w:rFonts w:eastAsia="宋体" w:hAnsi="Calibri"/>
            <w:noProof/>
          </w:rPr>
          <w:fldChar w:fldCharType="begin"/>
        </w:r>
        <w:r>
          <w:rPr>
            <w:rFonts w:eastAsia="宋体" w:hAnsi="Calibri"/>
            <w:noProof/>
            <w:highlight w:val="white"/>
          </w:rPr>
          <w:instrText xml:space="preserve"> PAGEREF _Toc129511523 \h </w:instrText>
        </w:r>
        <w:r>
          <w:rPr>
            <w:rFonts w:eastAsia="宋体" w:hAnsi="Calibri"/>
            <w:noProof/>
          </w:rPr>
          <w:fldChar w:fldCharType="separate"/>
        </w:r>
        <w:r w:rsidR="006C2C8D">
          <w:rPr>
            <w:rFonts w:eastAsia="宋体" w:hAnsi="Calibri"/>
            <w:noProof/>
            <w:highlight w:val="white"/>
          </w:rPr>
          <w:t>1</w:t>
        </w:r>
        <w:r>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24" w:tooltip="Current Document" w:history="1">
        <w:r w:rsidR="005B60B1">
          <w:rPr>
            <w:rStyle w:val="Hyperlink"/>
            <w:rFonts w:eastAsia="宋体" w:hAnsi="Calibri" w:cs="宋体" w:hint="eastAsia"/>
            <w:noProof/>
            <w:highlight w:val="white"/>
          </w:rPr>
          <w:t>第二部分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释</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义</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_Toc129511524 \h </w:instrText>
        </w:r>
        <w:r w:rsidR="005B60B1">
          <w:rPr>
            <w:rFonts w:eastAsia="宋体" w:hAnsi="Calibri"/>
            <w:noProof/>
          </w:rPr>
          <w:fldChar w:fldCharType="separate"/>
        </w:r>
        <w:r>
          <w:rPr>
            <w:rFonts w:eastAsia="宋体" w:hAnsi="Calibri"/>
            <w:noProof/>
            <w:highlight w:val="white"/>
          </w:rPr>
          <w:t>2</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25" w:tooltip="Current Document" w:history="1">
        <w:r w:rsidR="005B60B1">
          <w:rPr>
            <w:rStyle w:val="Hyperlink"/>
            <w:rFonts w:eastAsia="宋体" w:hAnsi="Calibri" w:cs="宋体" w:hint="eastAsia"/>
            <w:noProof/>
            <w:highlight w:val="white"/>
          </w:rPr>
          <w:t>第三部分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基金管理人</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_Toc129511525 \h </w:instrText>
        </w:r>
        <w:r w:rsidR="005B60B1">
          <w:rPr>
            <w:rFonts w:eastAsia="宋体" w:hAnsi="Calibri"/>
            <w:noProof/>
          </w:rPr>
          <w:fldChar w:fldCharType="separate"/>
        </w:r>
        <w:r>
          <w:rPr>
            <w:rFonts w:eastAsia="宋体" w:hAnsi="Calibri"/>
            <w:noProof/>
            <w:highlight w:val="white"/>
          </w:rPr>
          <w:t>8</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26" w:tooltip="Current Document" w:history="1">
        <w:r w:rsidR="005B60B1">
          <w:rPr>
            <w:rStyle w:val="Hyperlink"/>
            <w:rFonts w:eastAsia="宋体" w:hAnsi="Calibri" w:cs="宋体" w:hint="eastAsia"/>
            <w:noProof/>
            <w:highlight w:val="white"/>
          </w:rPr>
          <w:t>第四部分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基金托管人</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_Toc129511526 \h </w:instrText>
        </w:r>
        <w:r w:rsidR="005B60B1">
          <w:rPr>
            <w:rFonts w:eastAsia="宋体" w:hAnsi="Calibri"/>
            <w:noProof/>
          </w:rPr>
          <w:fldChar w:fldCharType="separate"/>
        </w:r>
        <w:r>
          <w:rPr>
            <w:rFonts w:eastAsia="宋体" w:hAnsi="Calibri"/>
            <w:noProof/>
            <w:highlight w:val="white"/>
          </w:rPr>
          <w:t>20</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27" w:tooltip="Current Document" w:history="1">
        <w:r w:rsidR="005B60B1">
          <w:rPr>
            <w:rStyle w:val="Hyperlink"/>
            <w:rFonts w:eastAsia="宋体" w:hAnsi="Calibri" w:cs="宋体" w:hint="eastAsia"/>
            <w:noProof/>
            <w:highlight w:val="white"/>
          </w:rPr>
          <w:t>第五部分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相关服务机构</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_Toc129511527 \h </w:instrText>
        </w:r>
        <w:r w:rsidR="005B60B1">
          <w:rPr>
            <w:rFonts w:eastAsia="宋体" w:hAnsi="Calibri"/>
            <w:noProof/>
          </w:rPr>
          <w:fldChar w:fldCharType="separate"/>
        </w:r>
        <w:r>
          <w:rPr>
            <w:rFonts w:eastAsia="宋体" w:hAnsi="Calibri"/>
            <w:noProof/>
            <w:highlight w:val="white"/>
          </w:rPr>
          <w:t>25</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28" w:tooltip="Current Document" w:history="1">
        <w:r w:rsidR="005B60B1">
          <w:rPr>
            <w:rStyle w:val="Hyperlink"/>
            <w:rFonts w:eastAsia="宋体" w:hAnsi="Calibri" w:cs="宋体" w:hint="eastAsia"/>
            <w:bCs/>
            <w:noProof/>
            <w:highlight w:val="white"/>
          </w:rPr>
          <w:t>第六部分</w:t>
        </w:r>
        <w:r w:rsidR="005B60B1">
          <w:rPr>
            <w:rStyle w:val="Hyperlink"/>
            <w:rFonts w:eastAsia="宋体" w:hAnsi="Calibri" w:cs="宋体"/>
            <w:bCs/>
            <w:noProof/>
            <w:highlight w:val="white"/>
          </w:rPr>
          <w:t xml:space="preserve"> </w:t>
        </w:r>
        <w:r w:rsidR="005B60B1">
          <w:rPr>
            <w:rStyle w:val="Hyperlink"/>
            <w:rFonts w:eastAsia="宋体" w:hAnsi="Calibri" w:cs="宋体" w:hint="eastAsia"/>
            <w:bCs/>
            <w:noProof/>
            <w:highlight w:val="white"/>
          </w:rPr>
          <w:t>基金份额的分类</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_Toc129511528 \h </w:instrText>
        </w:r>
        <w:r w:rsidR="005B60B1">
          <w:rPr>
            <w:rFonts w:eastAsia="宋体" w:hAnsi="Calibri"/>
            <w:noProof/>
          </w:rPr>
          <w:fldChar w:fldCharType="separate"/>
        </w:r>
        <w:r>
          <w:rPr>
            <w:rFonts w:eastAsia="宋体" w:hAnsi="Calibri"/>
            <w:noProof/>
            <w:highlight w:val="white"/>
          </w:rPr>
          <w:t>27</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29" w:tooltip="Current Document" w:history="1">
        <w:r w:rsidR="005B60B1">
          <w:rPr>
            <w:rStyle w:val="Hyperlink"/>
            <w:rFonts w:eastAsia="宋体" w:hAnsi="Calibri" w:cs="宋体" w:hint="eastAsia"/>
            <w:bCs/>
            <w:noProof/>
            <w:highlight w:val="white"/>
          </w:rPr>
          <w:t>第七部分</w:t>
        </w:r>
        <w:r w:rsidR="005B60B1">
          <w:rPr>
            <w:rStyle w:val="Hyperlink"/>
            <w:rFonts w:eastAsia="宋体" w:hAnsi="Calibri" w:cs="宋体"/>
            <w:bCs/>
            <w:noProof/>
            <w:highlight w:val="white"/>
          </w:rPr>
          <w:t xml:space="preserve"> </w:t>
        </w:r>
        <w:r w:rsidR="005B60B1">
          <w:rPr>
            <w:rStyle w:val="Hyperlink"/>
            <w:rFonts w:eastAsia="宋体" w:hAnsi="Calibri" w:cs="宋体" w:hint="eastAsia"/>
            <w:bCs/>
            <w:noProof/>
            <w:highlight w:val="white"/>
          </w:rPr>
          <w:t>基金的募集安排</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_Toc129511529 \h </w:instrText>
        </w:r>
        <w:r w:rsidR="005B60B1">
          <w:rPr>
            <w:rFonts w:eastAsia="宋体" w:hAnsi="Calibri"/>
            <w:noProof/>
          </w:rPr>
          <w:fldChar w:fldCharType="separate"/>
        </w:r>
        <w:r>
          <w:rPr>
            <w:rFonts w:eastAsia="宋体" w:hAnsi="Calibri"/>
            <w:noProof/>
            <w:highlight w:val="white"/>
          </w:rPr>
          <w:t>28</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30" w:tooltip="Current Document" w:history="1">
        <w:r w:rsidR="005B60B1">
          <w:rPr>
            <w:rStyle w:val="Hyperlink"/>
            <w:rFonts w:eastAsia="宋体" w:hAnsi="Calibri" w:cs="宋体" w:hint="eastAsia"/>
            <w:bCs/>
            <w:noProof/>
            <w:highlight w:val="white"/>
          </w:rPr>
          <w:t>第八部分</w:t>
        </w:r>
        <w:r w:rsidR="005B60B1">
          <w:rPr>
            <w:rStyle w:val="Hyperlink"/>
            <w:rFonts w:eastAsia="宋体" w:hAnsi="Calibri" w:cs="宋体"/>
            <w:bCs/>
            <w:noProof/>
            <w:highlight w:val="white"/>
          </w:rPr>
          <w:t xml:space="preserve"> </w:t>
        </w:r>
        <w:r w:rsidR="005B60B1">
          <w:rPr>
            <w:rStyle w:val="Hyperlink"/>
            <w:rFonts w:eastAsia="宋体" w:hAnsi="Calibri" w:cs="宋体" w:hint="eastAsia"/>
            <w:bCs/>
            <w:noProof/>
            <w:highlight w:val="white"/>
          </w:rPr>
          <w:t>基金合同的生效</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_Toc129511530 \h </w:instrText>
        </w:r>
        <w:r w:rsidR="005B60B1">
          <w:rPr>
            <w:rFonts w:eastAsia="宋体" w:hAnsi="Calibri"/>
            <w:noProof/>
          </w:rPr>
          <w:fldChar w:fldCharType="separate"/>
        </w:r>
        <w:r>
          <w:rPr>
            <w:rFonts w:eastAsia="宋体" w:hAnsi="Calibri"/>
            <w:noProof/>
            <w:highlight w:val="white"/>
          </w:rPr>
          <w:t>32</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31" w:tooltip="Current Document" w:history="1">
        <w:r w:rsidR="005B60B1">
          <w:rPr>
            <w:rStyle w:val="Hyperlink"/>
            <w:rFonts w:eastAsia="宋体" w:hAnsi="Calibri" w:cs="宋体" w:hint="eastAsia"/>
            <w:bCs/>
            <w:noProof/>
            <w:highlight w:val="white"/>
          </w:rPr>
          <w:t>第九部分</w:t>
        </w:r>
        <w:r w:rsidR="005B60B1">
          <w:rPr>
            <w:rStyle w:val="Hyperlink"/>
            <w:rFonts w:eastAsia="宋体" w:hAnsi="Calibri" w:cs="宋体"/>
            <w:bCs/>
            <w:noProof/>
            <w:highlight w:val="white"/>
          </w:rPr>
          <w:t xml:space="preserve"> </w:t>
        </w:r>
        <w:r w:rsidR="005B60B1">
          <w:rPr>
            <w:rStyle w:val="Hyperlink"/>
            <w:rFonts w:eastAsia="宋体" w:hAnsi="Calibri" w:cs="宋体" w:hint="eastAsia"/>
            <w:bCs/>
            <w:noProof/>
            <w:highlight w:val="white"/>
          </w:rPr>
          <w:t>基金份额的申购、赎回</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_Toc129511531 \h </w:instrText>
        </w:r>
        <w:r w:rsidR="005B60B1">
          <w:rPr>
            <w:rFonts w:eastAsia="宋体" w:hAnsi="Calibri"/>
            <w:noProof/>
          </w:rPr>
          <w:fldChar w:fldCharType="separate"/>
        </w:r>
        <w:r>
          <w:rPr>
            <w:rFonts w:eastAsia="宋体" w:hAnsi="Calibri"/>
            <w:noProof/>
            <w:highlight w:val="white"/>
          </w:rPr>
          <w:t>34</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32" w:tooltip="Current Document" w:history="1">
        <w:r w:rsidR="005B60B1">
          <w:rPr>
            <w:rStyle w:val="Hyperlink"/>
            <w:rFonts w:eastAsia="宋体" w:hAnsi="Calibri" w:cs="宋体" w:hint="eastAsia"/>
            <w:noProof/>
            <w:highlight w:val="white"/>
          </w:rPr>
          <w:t>第十部分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基金转换和定期定额投资计划</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_Toc129511532 \h </w:instrText>
        </w:r>
        <w:r w:rsidR="005B60B1">
          <w:rPr>
            <w:rFonts w:eastAsia="宋体" w:hAnsi="Calibri"/>
            <w:noProof/>
          </w:rPr>
          <w:fldChar w:fldCharType="separate"/>
        </w:r>
        <w:r>
          <w:rPr>
            <w:rFonts w:eastAsia="宋体" w:hAnsi="Calibri"/>
            <w:noProof/>
            <w:highlight w:val="white"/>
          </w:rPr>
          <w:t>44</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33" w:tooltip="Current Document" w:history="1">
        <w:r w:rsidR="005B60B1">
          <w:rPr>
            <w:rStyle w:val="Hyperlink"/>
            <w:rFonts w:eastAsia="宋体" w:hAnsi="Calibri" w:cs="宋体" w:hint="eastAsia"/>
            <w:noProof/>
            <w:highlight w:val="white"/>
          </w:rPr>
          <w:t>第十一部分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基金的转托管、质押、非交易过户、冻结与解冻</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_Toc129511533 \h </w:instrText>
        </w:r>
        <w:r w:rsidR="005B60B1">
          <w:rPr>
            <w:rFonts w:eastAsia="宋体" w:hAnsi="Calibri"/>
            <w:noProof/>
          </w:rPr>
          <w:fldChar w:fldCharType="separate"/>
        </w:r>
        <w:r>
          <w:rPr>
            <w:rFonts w:eastAsia="宋体" w:hAnsi="Calibri"/>
            <w:noProof/>
            <w:highlight w:val="white"/>
          </w:rPr>
          <w:t>45</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34" w:tooltip="Current Document" w:history="1">
        <w:r w:rsidR="005B60B1">
          <w:rPr>
            <w:rStyle w:val="Hyperlink"/>
            <w:rFonts w:eastAsia="宋体" w:hAnsi="Calibri" w:cs="宋体" w:hint="eastAsia"/>
            <w:noProof/>
            <w:highlight w:val="white"/>
          </w:rPr>
          <w:t>第十二部分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基金的投资</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_Toc129511534 \h </w:instrText>
        </w:r>
        <w:r w:rsidR="005B60B1">
          <w:rPr>
            <w:rFonts w:eastAsia="宋体" w:hAnsi="Calibri"/>
            <w:noProof/>
          </w:rPr>
          <w:fldChar w:fldCharType="separate"/>
        </w:r>
        <w:r>
          <w:rPr>
            <w:rFonts w:eastAsia="宋体" w:hAnsi="Calibri"/>
            <w:noProof/>
            <w:highlight w:val="white"/>
          </w:rPr>
          <w:t>46</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35" w:tooltip="Current Document" w:history="1">
        <w:r w:rsidR="005B60B1">
          <w:rPr>
            <w:rStyle w:val="Hyperlink"/>
            <w:rFonts w:eastAsia="宋体" w:hAnsi="Calibri" w:cs="宋体" w:hint="eastAsia"/>
            <w:noProof/>
            <w:highlight w:val="white"/>
          </w:rPr>
          <w:t>第十三部分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基金的财产</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_Toc129511535 \h </w:instrText>
        </w:r>
        <w:r w:rsidR="005B60B1">
          <w:rPr>
            <w:rFonts w:eastAsia="宋体" w:hAnsi="Calibri"/>
            <w:noProof/>
          </w:rPr>
          <w:fldChar w:fldCharType="separate"/>
        </w:r>
        <w:r>
          <w:rPr>
            <w:rFonts w:eastAsia="宋体" w:hAnsi="Calibri"/>
            <w:noProof/>
            <w:highlight w:val="white"/>
          </w:rPr>
          <w:t>54</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36" w:tooltip="Current Document" w:history="1">
        <w:r w:rsidR="005B60B1">
          <w:rPr>
            <w:rStyle w:val="Hyperlink"/>
            <w:rFonts w:eastAsia="宋体" w:hAnsi="Calibri" w:cs="宋体" w:hint="eastAsia"/>
            <w:noProof/>
            <w:highlight w:val="white"/>
          </w:rPr>
          <w:t>第十四部分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基金资产的估值</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_Toc129511536 \h </w:instrText>
        </w:r>
        <w:r w:rsidR="005B60B1">
          <w:rPr>
            <w:rFonts w:eastAsia="宋体" w:hAnsi="Calibri"/>
            <w:noProof/>
          </w:rPr>
          <w:fldChar w:fldCharType="separate"/>
        </w:r>
        <w:r>
          <w:rPr>
            <w:rFonts w:eastAsia="宋体" w:hAnsi="Calibri"/>
            <w:noProof/>
            <w:highlight w:val="white"/>
          </w:rPr>
          <w:t>55</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37" w:tooltip="Current Document" w:history="1">
        <w:r w:rsidR="005B60B1">
          <w:rPr>
            <w:rStyle w:val="Hyperlink"/>
            <w:rFonts w:eastAsia="宋体" w:hAnsi="Calibri" w:cs="宋体" w:hint="eastAsia"/>
            <w:noProof/>
            <w:highlight w:val="white"/>
          </w:rPr>
          <w:t>第十五部分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基金的收益分配</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_Toc129511537 \h </w:instrText>
        </w:r>
        <w:r w:rsidR="005B60B1">
          <w:rPr>
            <w:rFonts w:eastAsia="宋体" w:hAnsi="Calibri"/>
            <w:noProof/>
          </w:rPr>
          <w:fldChar w:fldCharType="separate"/>
        </w:r>
        <w:r>
          <w:rPr>
            <w:rFonts w:eastAsia="宋体" w:hAnsi="Calibri"/>
            <w:noProof/>
            <w:highlight w:val="white"/>
          </w:rPr>
          <w:t>61</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38" w:tooltip="Current Document" w:history="1">
        <w:r w:rsidR="005B60B1">
          <w:rPr>
            <w:rStyle w:val="Hyperlink"/>
            <w:rFonts w:eastAsia="宋体" w:hAnsi="Calibri" w:cs="宋体" w:hint="eastAsia"/>
            <w:noProof/>
            <w:highlight w:val="white"/>
          </w:rPr>
          <w:t>第十六部分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基金的费用与税收</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_Toc129511538 \h </w:instrText>
        </w:r>
        <w:r w:rsidR="005B60B1">
          <w:rPr>
            <w:rFonts w:eastAsia="宋体" w:hAnsi="Calibri"/>
            <w:noProof/>
          </w:rPr>
          <w:fldChar w:fldCharType="separate"/>
        </w:r>
        <w:r>
          <w:rPr>
            <w:rFonts w:eastAsia="宋体" w:hAnsi="Calibri"/>
            <w:noProof/>
            <w:highlight w:val="white"/>
          </w:rPr>
          <w:t>63</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39" w:tooltip="Current Document" w:history="1">
        <w:r w:rsidR="005B60B1">
          <w:rPr>
            <w:rStyle w:val="Hyperlink"/>
            <w:rFonts w:eastAsia="宋体" w:hAnsi="Calibri" w:cs="宋体" w:hint="eastAsia"/>
            <w:noProof/>
            <w:highlight w:val="white"/>
          </w:rPr>
          <w:t>第十七部分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基金的会计与审计</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_Toc129511539 \h </w:instrText>
        </w:r>
        <w:r w:rsidR="005B60B1">
          <w:rPr>
            <w:rFonts w:eastAsia="宋体" w:hAnsi="Calibri"/>
            <w:noProof/>
          </w:rPr>
          <w:fldChar w:fldCharType="separate"/>
        </w:r>
        <w:r>
          <w:rPr>
            <w:rFonts w:eastAsia="宋体" w:hAnsi="Calibri"/>
            <w:noProof/>
            <w:highlight w:val="white"/>
          </w:rPr>
          <w:t>66</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40" w:tooltip="Current Document" w:history="1">
        <w:r w:rsidR="005B60B1">
          <w:rPr>
            <w:rStyle w:val="Hyperlink"/>
            <w:rFonts w:eastAsia="宋体" w:hAnsi="Calibri" w:cs="宋体" w:hint="eastAsia"/>
            <w:noProof/>
            <w:highlight w:val="white"/>
          </w:rPr>
          <w:t>第十八部分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基金的信息披露</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_Toc129511540 \h </w:instrText>
        </w:r>
        <w:r w:rsidR="005B60B1">
          <w:rPr>
            <w:rFonts w:eastAsia="宋体" w:hAnsi="Calibri"/>
            <w:noProof/>
          </w:rPr>
          <w:fldChar w:fldCharType="separate"/>
        </w:r>
        <w:r>
          <w:rPr>
            <w:rFonts w:eastAsia="宋体" w:hAnsi="Calibri"/>
            <w:noProof/>
            <w:highlight w:val="white"/>
          </w:rPr>
          <w:t>67</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41" w:tooltip="Current Document" w:history="1">
        <w:r w:rsidR="005B60B1">
          <w:rPr>
            <w:rStyle w:val="Hyperlink"/>
            <w:rFonts w:eastAsia="宋体" w:hAnsi="Calibri" w:cs="宋体" w:hint="eastAsia"/>
            <w:noProof/>
            <w:highlight w:val="white"/>
          </w:rPr>
          <w:t>第十九部分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侧袋机制</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_Toc129511541 \h </w:instrText>
        </w:r>
        <w:r w:rsidR="005B60B1">
          <w:rPr>
            <w:rFonts w:eastAsia="宋体" w:hAnsi="Calibri"/>
            <w:noProof/>
          </w:rPr>
          <w:fldChar w:fldCharType="separate"/>
        </w:r>
        <w:r>
          <w:rPr>
            <w:rFonts w:eastAsia="宋体" w:hAnsi="Calibri"/>
            <w:noProof/>
            <w:highlight w:val="white"/>
          </w:rPr>
          <w:t>73</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42" w:tooltip="Current Document" w:history="1">
        <w:r w:rsidR="005B60B1">
          <w:rPr>
            <w:rStyle w:val="Hyperlink"/>
            <w:rFonts w:eastAsia="宋体" w:hAnsi="Calibri" w:cs="宋体" w:hint="eastAsia"/>
            <w:noProof/>
            <w:highlight w:val="white"/>
          </w:rPr>
          <w:t>第二十部分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风险揭示</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_Toc129511542 \h </w:instrText>
        </w:r>
        <w:r w:rsidR="005B60B1">
          <w:rPr>
            <w:rFonts w:eastAsia="宋体" w:hAnsi="Calibri"/>
            <w:noProof/>
          </w:rPr>
          <w:fldChar w:fldCharType="separate"/>
        </w:r>
        <w:r>
          <w:rPr>
            <w:rFonts w:eastAsia="宋体" w:hAnsi="Calibri"/>
            <w:noProof/>
            <w:highlight w:val="white"/>
          </w:rPr>
          <w:t>75</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43" w:tooltip="Current Document" w:history="1">
        <w:r w:rsidR="005B60B1">
          <w:rPr>
            <w:rStyle w:val="Hyperlink"/>
            <w:rFonts w:eastAsia="宋体" w:hAnsi="Calibri" w:cs="宋体" w:hint="eastAsia"/>
            <w:noProof/>
            <w:highlight w:val="white"/>
          </w:rPr>
          <w:t>第二十一部分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基金合同的变更、终止与基金财产的清算</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_Toc129511543 \h </w:instrText>
        </w:r>
        <w:r w:rsidR="005B60B1">
          <w:rPr>
            <w:rFonts w:eastAsia="宋体" w:hAnsi="Calibri"/>
            <w:noProof/>
          </w:rPr>
          <w:fldChar w:fldCharType="separate"/>
        </w:r>
        <w:r>
          <w:rPr>
            <w:rFonts w:eastAsia="宋体" w:hAnsi="Calibri"/>
            <w:noProof/>
            <w:highlight w:val="white"/>
          </w:rPr>
          <w:t>84</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44" w:tooltip="Current Document" w:history="1">
        <w:r w:rsidR="005B60B1">
          <w:rPr>
            <w:rStyle w:val="Hyperlink"/>
            <w:rFonts w:eastAsia="宋体" w:hAnsi="Calibri" w:cs="宋体" w:hint="eastAsia"/>
            <w:noProof/>
            <w:highlight w:val="white"/>
          </w:rPr>
          <w:t>第二十二部分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基金合同的内容摘要</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_Toc129511544 \h </w:instrText>
        </w:r>
        <w:r w:rsidR="005B60B1">
          <w:rPr>
            <w:rFonts w:eastAsia="宋体" w:hAnsi="Calibri"/>
            <w:noProof/>
          </w:rPr>
          <w:fldChar w:fldCharType="separate"/>
        </w:r>
        <w:r>
          <w:rPr>
            <w:rFonts w:eastAsia="宋体" w:hAnsi="Calibri"/>
            <w:noProof/>
            <w:highlight w:val="white"/>
          </w:rPr>
          <w:t>86</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45" w:tooltip="Current Document" w:history="1">
        <w:r w:rsidR="005B60B1">
          <w:rPr>
            <w:rStyle w:val="Hyperlink"/>
            <w:rFonts w:eastAsia="宋体" w:hAnsi="Calibri" w:cs="宋体" w:hint="eastAsia"/>
            <w:noProof/>
            <w:highlight w:val="white"/>
          </w:rPr>
          <w:t>第二十三部分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基金托管协议的内容摘要</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_Toc129511545 \h </w:instrText>
        </w:r>
        <w:r w:rsidR="005B60B1">
          <w:rPr>
            <w:rFonts w:eastAsia="宋体" w:hAnsi="Calibri"/>
            <w:noProof/>
          </w:rPr>
          <w:fldChar w:fldCharType="separate"/>
        </w:r>
        <w:r>
          <w:rPr>
            <w:rFonts w:eastAsia="宋体" w:hAnsi="Calibri"/>
            <w:noProof/>
            <w:highlight w:val="white"/>
          </w:rPr>
          <w:t>103</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46" w:tooltip="Current Document" w:history="1">
        <w:r w:rsidR="005B60B1">
          <w:rPr>
            <w:rStyle w:val="Hyperlink"/>
            <w:rFonts w:eastAsia="宋体" w:hAnsi="Calibri" w:cs="宋体" w:hint="eastAsia"/>
            <w:noProof/>
            <w:highlight w:val="white"/>
          </w:rPr>
          <w:t>第二十四部分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对基金份额持有人的服务</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_Toc129511546 \h </w:instrText>
        </w:r>
        <w:r w:rsidR="005B60B1">
          <w:rPr>
            <w:rFonts w:eastAsia="宋体" w:hAnsi="Calibri"/>
            <w:noProof/>
          </w:rPr>
          <w:fldChar w:fldCharType="separate"/>
        </w:r>
        <w:r>
          <w:rPr>
            <w:rFonts w:eastAsia="宋体" w:hAnsi="Calibri"/>
            <w:noProof/>
            <w:highlight w:val="white"/>
          </w:rPr>
          <w:t>123</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47" w:tooltip="Current Document" w:history="1">
        <w:r w:rsidR="005B60B1">
          <w:rPr>
            <w:rStyle w:val="Hyperlink"/>
            <w:rFonts w:eastAsia="宋体" w:hAnsi="Calibri" w:cs="宋体" w:hint="eastAsia"/>
            <w:noProof/>
            <w:highlight w:val="white"/>
          </w:rPr>
          <w:t>第二十五部分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其他应披露事项</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_Toc129511547 \h </w:instrText>
        </w:r>
        <w:r w:rsidR="005B60B1">
          <w:rPr>
            <w:rFonts w:eastAsia="宋体" w:hAnsi="Calibri"/>
            <w:noProof/>
          </w:rPr>
          <w:fldChar w:fldCharType="separate"/>
        </w:r>
        <w:r>
          <w:rPr>
            <w:rFonts w:eastAsia="宋体" w:hAnsi="Calibri"/>
            <w:noProof/>
            <w:highlight w:val="white"/>
          </w:rPr>
          <w:t>124</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48" w:tooltip="Current Document" w:history="1">
        <w:r w:rsidR="005B60B1">
          <w:rPr>
            <w:rStyle w:val="Hyperlink"/>
            <w:rFonts w:eastAsia="宋体" w:hAnsi="Calibri" w:cs="宋体" w:hint="eastAsia"/>
            <w:noProof/>
            <w:highlight w:val="white"/>
          </w:rPr>
          <w:t>第二十六部分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招募说明书的存放及查阅方式</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_Toc129511548 \h </w:instrText>
        </w:r>
        <w:r w:rsidR="005B60B1">
          <w:rPr>
            <w:rFonts w:eastAsia="宋体" w:hAnsi="Calibri"/>
            <w:noProof/>
          </w:rPr>
          <w:fldChar w:fldCharType="separate"/>
        </w:r>
        <w:r>
          <w:rPr>
            <w:rFonts w:eastAsia="宋体" w:hAnsi="Calibri"/>
            <w:noProof/>
            <w:highlight w:val="white"/>
          </w:rPr>
          <w:t>125</w:t>
        </w:r>
        <w:r w:rsidR="005B60B1">
          <w:rPr>
            <w:rFonts w:eastAsia="宋体" w:hAnsi="Calibri"/>
            <w:noProof/>
          </w:rPr>
          <w:fldChar w:fldCharType="end"/>
        </w:r>
      </w:hyperlink>
    </w:p>
    <w:p w:rsidR="0097367D">
      <w:pPr>
        <w:pStyle w:val="TOC1"/>
        <w:rPr>
          <w:rFonts w:eastAsia="宋体" w:hAnsi="Calibri" w:cs="Calibri"/>
          <w:caps w:val="0"/>
          <w:noProof/>
          <w:color w:val="auto"/>
          <w:sz w:val="21"/>
          <w:szCs w:val="22"/>
        </w:rPr>
      </w:pPr>
      <w:hyperlink w:anchor="_Toc129511549" w:tooltip="Current Document" w:history="1">
        <w:r w:rsidR="005B60B1">
          <w:rPr>
            <w:rStyle w:val="Hyperlink"/>
            <w:rFonts w:eastAsia="宋体" w:hAnsi="Calibri" w:cs="宋体" w:hint="eastAsia"/>
            <w:noProof/>
            <w:highlight w:val="white"/>
          </w:rPr>
          <w:t>第二十七部分</w:t>
        </w:r>
        <w:r w:rsidR="005B60B1">
          <w:rPr>
            <w:rStyle w:val="Hyperlink"/>
            <w:rFonts w:eastAsia="宋体" w:hAnsi="Calibri" w:cs="宋体"/>
            <w:noProof/>
            <w:highlight w:val="white"/>
          </w:rPr>
          <w:t xml:space="preserve"> </w:t>
        </w:r>
        <w:r w:rsidR="005B60B1">
          <w:rPr>
            <w:rStyle w:val="Hyperlink"/>
            <w:rFonts w:eastAsia="宋体" w:hAnsi="Calibri" w:cs="宋体" w:hint="eastAsia"/>
            <w:noProof/>
            <w:highlight w:val="white"/>
          </w:rPr>
          <w:t>备查文件</w:t>
        </w:r>
        <w:r w:rsidR="005B60B1">
          <w:rPr>
            <w:rFonts w:eastAsia="宋体" w:hAnsi="Calibri"/>
            <w:noProof/>
            <w:highlight w:val="white"/>
          </w:rPr>
          <w:tab/>
        </w:r>
        <w:r w:rsidR="005B60B1">
          <w:rPr>
            <w:rFonts w:eastAsia="宋体" w:hAnsi="Calibri"/>
            <w:noProof/>
          </w:rPr>
          <w:fldChar w:fldCharType="begin"/>
        </w:r>
        <w:r w:rsidR="005B60B1">
          <w:rPr>
            <w:rFonts w:eastAsia="宋体" w:hAnsi="Calibri"/>
            <w:noProof/>
            <w:highlight w:val="white"/>
          </w:rPr>
          <w:instrText xml:space="preserve"> PAGEREF _Toc129511549 \h </w:instrText>
        </w:r>
        <w:r w:rsidR="005B60B1">
          <w:rPr>
            <w:rFonts w:eastAsia="宋体" w:hAnsi="Calibri"/>
            <w:noProof/>
          </w:rPr>
          <w:fldChar w:fldCharType="separate"/>
        </w:r>
        <w:r>
          <w:rPr>
            <w:rFonts w:eastAsia="宋体" w:hAnsi="Calibri"/>
            <w:noProof/>
            <w:highlight w:val="white"/>
          </w:rPr>
          <w:t>126</w:t>
        </w:r>
        <w:r w:rsidR="005B60B1">
          <w:rPr>
            <w:rFonts w:eastAsia="宋体" w:hAnsi="Calibri"/>
            <w:noProof/>
          </w:rPr>
          <w:fldChar w:fldCharType="end"/>
        </w:r>
      </w:hyperlink>
    </w:p>
    <w:p w:rsidR="0097367D">
      <w:pPr>
        <w:ind w:firstLine="560"/>
        <w:jc w:val="center"/>
        <w:rPr>
          <w:rFonts w:ascii="宋体" w:hAnsi="Calibri" w:cs="宋体"/>
          <w:b/>
          <w:caps/>
          <w:sz w:val="24"/>
          <w:szCs w:val="28"/>
        </w:rPr>
      </w:pPr>
      <w:r>
        <w:rPr>
          <w:rFonts w:ascii="宋体" w:hAnsi="Calibri" w:cs="宋体"/>
          <w:b/>
          <w:caps/>
          <w:sz w:val="24"/>
          <w:szCs w:val="28"/>
        </w:rPr>
        <w:fldChar w:fldCharType="end"/>
      </w:r>
    </w:p>
    <w:p w:rsidR="0097367D">
      <w:pPr>
        <w:ind w:firstLine="560"/>
        <w:jc w:val="center"/>
        <w:rPr>
          <w:rFonts w:ascii="宋体" w:hAnsi="Calibri" w:cs="宋体"/>
          <w:b/>
          <w:caps/>
          <w:sz w:val="24"/>
          <w:szCs w:val="28"/>
        </w:rPr>
        <w:sectPr>
          <w:headerReference w:type="even" r:id="rId11"/>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7"/>
        </w:sectPr>
      </w:pPr>
    </w:p>
    <w:p w:rsidR="0097367D">
      <w:pPr>
        <w:pStyle w:val="10"/>
        <w:spacing w:before="317" w:after="317" w:line="320" w:lineRule="exact"/>
        <w:ind w:firstLine="600"/>
        <w:rPr>
          <w:rFonts w:ascii="宋体" w:eastAsia="宋体" w:hAnsi="Calibri" w:cs="宋体"/>
          <w:b w:val="0"/>
          <w:sz w:val="30"/>
          <w:szCs w:val="30"/>
          <w:lang w:eastAsia="zh-CN"/>
        </w:rPr>
      </w:pPr>
      <w:bookmarkStart w:id="0" w:name="_Toc332373444"/>
      <w:bookmarkStart w:id="1" w:name="_Toc129511523"/>
      <w:r>
        <w:rPr>
          <w:rFonts w:ascii="宋体" w:eastAsia="宋体" w:hAnsi="Calibri" w:cs="宋体" w:hint="eastAsia"/>
          <w:b w:val="0"/>
          <w:sz w:val="30"/>
          <w:szCs w:val="30"/>
          <w:highlight w:val="white"/>
          <w:lang w:eastAsia="zh-CN"/>
        </w:rPr>
        <w:t>第一部分</w:t>
      </w:r>
      <w:r>
        <w:rPr>
          <w:rFonts w:ascii="宋体" w:eastAsia="宋体" w:hAnsi="Calibri" w:cs="宋体"/>
          <w:b w:val="0"/>
          <w:sz w:val="30"/>
          <w:szCs w:val="30"/>
          <w:highlight w:val="white"/>
          <w:lang w:eastAsia="zh-CN"/>
        </w:rPr>
        <w:t xml:space="preserve"> </w:t>
      </w:r>
      <w:r>
        <w:rPr>
          <w:rFonts w:ascii="宋体" w:eastAsia="宋体" w:hAnsi="Calibri" w:cs="宋体" w:hint="eastAsia"/>
          <w:b w:val="0"/>
          <w:sz w:val="30"/>
          <w:szCs w:val="30"/>
          <w:highlight w:val="white"/>
          <w:lang w:eastAsia="zh-CN"/>
        </w:rPr>
        <w:t>绪</w:t>
      </w:r>
      <w:r>
        <w:rPr>
          <w:rFonts w:ascii="宋体" w:eastAsia="宋体" w:hAnsi="Calibri" w:cs="宋体"/>
          <w:b w:val="0"/>
          <w:sz w:val="30"/>
          <w:szCs w:val="30"/>
          <w:highlight w:val="white"/>
          <w:lang w:eastAsia="zh-CN"/>
        </w:rPr>
        <w:t xml:space="preserve">  言</w:t>
      </w:r>
      <w:bookmarkEnd w:id="0"/>
      <w:bookmarkEnd w:id="1"/>
    </w:p>
    <w:p w:rsidR="0097367D">
      <w:pPr>
        <w:spacing w:line="360" w:lineRule="auto"/>
        <w:ind w:firstLine="420"/>
        <w:rPr>
          <w:rFonts w:ascii="宋体" w:hAnsi="Calibri" w:cs="宋体"/>
          <w:szCs w:val="21"/>
          <w:lang w:eastAsia="zh-CN"/>
        </w:rPr>
      </w:pP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5号&lt;招募说明书的内容与格式&gt;》《公开募集开放式证券投资基金流动性风险管理规定》（以下简称《</w:t>
      </w:r>
      <w:r>
        <w:rPr>
          <w:rStyle w:val="da"/>
          <w:rFonts w:ascii="宋体" w:hAnsi="Calibri" w:cs="宋体" w:hint="eastAsia"/>
          <w:szCs w:val="21"/>
          <w:highlight w:val="white"/>
          <w:lang w:eastAsia="zh-CN"/>
        </w:rPr>
        <w:t>流动性风险</w:t>
      </w:r>
      <w:r>
        <w:rPr>
          <w:rFonts w:ascii="宋体" w:hAnsi="Calibri" w:cs="宋体" w:hint="eastAsia"/>
          <w:szCs w:val="21"/>
          <w:highlight w:val="white"/>
          <w:lang w:eastAsia="zh-CN"/>
        </w:rPr>
        <w:t>管理规定》）、</w:t>
      </w:r>
      <w:r>
        <w:rPr>
          <w:rFonts w:ascii="宋体" w:hAnsi="Calibri" w:cs="宋体"/>
          <w:color w:val="000000"/>
          <w:szCs w:val="21"/>
          <w:highlight w:val="white"/>
          <w:lang w:eastAsia="zh-CN"/>
        </w:rPr>
        <w:t>《公开募集证券投资基金运作指引第3号</w:t>
      </w:r>
      <w:r>
        <w:rPr>
          <w:rFonts w:ascii="宋体" w:hAnsi="Calibri" w:cs="宋体"/>
          <w:color w:val="000000"/>
          <w:szCs w:val="21"/>
          <w:highlight w:val="white"/>
          <w:lang w:eastAsia="zh-CN"/>
        </w:rPr>
        <w:t>——</w:t>
      </w:r>
      <w:r>
        <w:rPr>
          <w:rFonts w:ascii="宋体" w:hAnsi="Calibri" w:cs="宋体"/>
          <w:color w:val="000000"/>
          <w:szCs w:val="21"/>
          <w:highlight w:val="white"/>
          <w:lang w:eastAsia="zh-CN"/>
        </w:rPr>
        <w:t>指数基金指引》（以下简称《指数基金指引》）、</w:t>
      </w:r>
      <w:r>
        <w:rPr>
          <w:rFonts w:ascii="宋体" w:hAnsi="Calibri" w:cs="宋体"/>
          <w:szCs w:val="21"/>
          <w:highlight w:val="white"/>
          <w:lang w:eastAsia="zh-CN"/>
        </w:rPr>
        <w:t>《</w:t>
      </w:r>
      <w:r>
        <w:rPr>
          <w:rFonts w:ascii="宋体" w:hAnsi="Calibri" w:cs="宋体" w:hint="eastAsia"/>
          <w:szCs w:val="21"/>
          <w:lang w:eastAsia="zh-CN"/>
        </w:rPr>
        <w:t>易方达中证电池主题交易型开放式指数证券投资基金发起式联接基金</w:t>
      </w:r>
      <w:r>
        <w:rPr>
          <w:rFonts w:ascii="宋体" w:hAnsi="Calibri" w:cs="宋体" w:hint="eastAsia"/>
          <w:szCs w:val="21"/>
          <w:highlight w:val="white"/>
          <w:lang w:eastAsia="zh-CN"/>
        </w:rPr>
        <w:t>基金合同》（以下简称基金合同）及其它有关规定等编写。</w:t>
      </w:r>
    </w:p>
    <w:p w:rsidR="0097367D">
      <w:pPr>
        <w:spacing w:line="360" w:lineRule="auto"/>
        <w:ind w:firstLine="420"/>
        <w:rPr>
          <w:rFonts w:ascii="宋体" w:hAnsi="Calibri" w:cs="宋体"/>
          <w:szCs w:val="21"/>
          <w:lang w:eastAsia="zh-CN"/>
        </w:rPr>
      </w:pPr>
      <w:r>
        <w:rPr>
          <w:rStyle w:val="da"/>
          <w:rFonts w:ascii="宋体" w:hAnsi="Calibri" w:cs="宋体" w:hint="eastAsia"/>
          <w:szCs w:val="21"/>
          <w:highlight w:val="white"/>
          <w:lang w:eastAsia="zh-CN"/>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97367D">
      <w:pPr>
        <w:spacing w:line="360" w:lineRule="auto"/>
        <w:ind w:firstLine="482"/>
        <w:rPr>
          <w:rFonts w:ascii="宋体" w:hAnsi="Calibri" w:cs="宋体"/>
          <w:szCs w:val="21"/>
          <w:lang w:eastAsia="zh-CN"/>
        </w:rPr>
      </w:pPr>
      <w:r>
        <w:rPr>
          <w:rFonts w:ascii="宋体" w:hAnsi="Calibri" w:cs="宋体" w:hint="eastAsia"/>
          <w:szCs w:val="21"/>
          <w:highlight w:val="white"/>
          <w:lang w:eastAsia="zh-CN"/>
        </w:rPr>
        <w:t>本基金按照中国法律法规成立并运作，</w:t>
      </w:r>
      <w:r>
        <w:rPr>
          <w:rFonts w:ascii="宋体" w:hAnsi="Calibri" w:cs="宋体" w:hint="eastAsia"/>
          <w:szCs w:val="21"/>
          <w:highlight w:val="white"/>
          <w:lang w:eastAsia="zh-CN"/>
        </w:rPr>
        <w:t>若基金</w:t>
      </w:r>
      <w:r>
        <w:rPr>
          <w:rFonts w:ascii="宋体" w:hAnsi="Calibri" w:cs="宋体" w:hint="eastAsia"/>
          <w:szCs w:val="21"/>
          <w:highlight w:val="white"/>
          <w:lang w:eastAsia="zh-CN"/>
        </w:rPr>
        <w:t>合同、招募说明书等基金法律文件的内容与届时有效的法律法规的强制性规定不一致，应当以届时有效的法律法规的规定为准。</w:t>
      </w:r>
    </w:p>
    <w:p w:rsidR="0097367D">
      <w:pPr>
        <w:spacing w:line="360" w:lineRule="auto"/>
        <w:ind w:firstLine="482"/>
        <w:rPr>
          <w:rFonts w:ascii="宋体" w:hAnsi="Calibri" w:cs="宋体"/>
          <w:szCs w:val="21"/>
          <w:lang w:eastAsia="zh-CN"/>
        </w:rPr>
      </w:pPr>
    </w:p>
    <w:p w:rsidR="0097367D">
      <w:pPr>
        <w:widowControl/>
        <w:jc w:val="left"/>
        <w:rPr>
          <w:rFonts w:ascii="宋体" w:hAnsi="Calibri" w:cs="宋体"/>
          <w:sz w:val="30"/>
          <w:szCs w:val="20"/>
          <w:lang w:eastAsia="zh-CN"/>
        </w:rPr>
      </w:pPr>
      <w:bookmarkStart w:id="2" w:name="_Toc332373445"/>
      <w:r>
        <w:rPr>
          <w:rFonts w:ascii="宋体" w:hAnsi="Calibri" w:cs="宋体"/>
          <w:sz w:val="30"/>
          <w:highlight w:val="white"/>
          <w:lang w:eastAsia="zh-CN"/>
        </w:rPr>
        <w:br w:type="page"/>
      </w:r>
    </w:p>
    <w:p w:rsidR="0097367D">
      <w:pPr>
        <w:pStyle w:val="111"/>
        <w:pageBreakBefore w:val="0"/>
        <w:spacing w:before="317" w:after="317" w:line="320" w:lineRule="exact"/>
        <w:ind w:firstLine="600"/>
        <w:rPr>
          <w:rFonts w:ascii="宋体" w:eastAsia="宋体" w:hAnsi="Calibri" w:cs="宋体"/>
          <w:sz w:val="30"/>
          <w:szCs w:val="30"/>
          <w:lang w:eastAsia="zh-CN"/>
        </w:rPr>
      </w:pPr>
      <w:bookmarkStart w:id="3" w:name="_Toc129511524"/>
      <w:r>
        <w:rPr>
          <w:rFonts w:ascii="宋体" w:eastAsia="宋体" w:hAnsi="Calibri" w:cs="宋体"/>
          <w:sz w:val="30"/>
          <w:szCs w:val="30"/>
          <w:highlight w:val="white"/>
          <w:lang w:eastAsia="zh-CN"/>
        </w:rPr>
        <w:t>第二部分 释  义</w:t>
      </w:r>
      <w:bookmarkEnd w:id="2"/>
      <w:bookmarkEnd w:id="3"/>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本招募说明书中除非文意另有所指，下列词语或</w:t>
      </w:r>
      <w:r>
        <w:rPr>
          <w:rStyle w:val="da"/>
          <w:rFonts w:ascii="宋体" w:hAnsi="Calibri" w:cs="宋体"/>
          <w:szCs w:val="21"/>
          <w:highlight w:val="white"/>
          <w:lang w:eastAsia="zh-CN"/>
        </w:rPr>
        <w:t>简称</w:t>
      </w:r>
      <w:r>
        <w:rPr>
          <w:rStyle w:val="da"/>
          <w:rFonts w:ascii="宋体" w:hAnsi="Calibri" w:cs="宋体" w:hint="eastAsia"/>
          <w:szCs w:val="21"/>
          <w:highlight w:val="white"/>
          <w:lang w:eastAsia="zh-CN"/>
        </w:rPr>
        <w:t>具有如下含义：</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1、基金或本基金：指</w:t>
      </w:r>
      <w:r>
        <w:rPr>
          <w:rStyle w:val="da"/>
          <w:rFonts w:ascii="宋体" w:hAnsi="Calibri" w:cs="宋体" w:hint="eastAsia"/>
          <w:szCs w:val="21"/>
          <w:lang w:eastAsia="zh-CN"/>
        </w:rPr>
        <w:t>易方达中证电池主题交易型开放式指数证券投资基金发起式联接基金</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 xml:space="preserve">2、基金管理人：指易方达基金管理有限公司          </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3、基金托管人：指</w:t>
      </w:r>
      <w:r>
        <w:rPr>
          <w:rStyle w:val="da"/>
          <w:rFonts w:ascii="宋体" w:hAnsi="Calibri" w:cs="宋体" w:hint="eastAsia"/>
          <w:szCs w:val="21"/>
          <w:lang w:eastAsia="zh-CN"/>
        </w:rPr>
        <w:t>中国民生银行股份有限公司</w:t>
      </w:r>
      <w:r>
        <w:rPr>
          <w:rStyle w:val="da"/>
          <w:rFonts w:ascii="宋体" w:hAnsi="Calibri" w:cs="宋体" w:hint="eastAsia"/>
          <w:szCs w:val="21"/>
          <w:highlight w:val="white"/>
          <w:lang w:eastAsia="zh-CN"/>
        </w:rPr>
        <w:t xml:space="preserve"> </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4、基金合同：指《</w:t>
      </w:r>
      <w:r>
        <w:rPr>
          <w:rStyle w:val="da"/>
          <w:rFonts w:ascii="宋体" w:hAnsi="Calibri" w:cs="宋体" w:hint="eastAsia"/>
          <w:szCs w:val="21"/>
          <w:lang w:eastAsia="zh-CN"/>
        </w:rPr>
        <w:t>易方达中证电池主题交易型开放式指数证券投资基金发起式联接基金</w:t>
      </w:r>
      <w:r>
        <w:rPr>
          <w:rStyle w:val="da"/>
          <w:rFonts w:ascii="宋体" w:hAnsi="Calibri" w:cs="宋体" w:hint="eastAsia"/>
          <w:szCs w:val="21"/>
          <w:highlight w:val="white"/>
          <w:lang w:eastAsia="zh-CN"/>
        </w:rPr>
        <w:t>基金合同》及对基金合同的任何有效修订和补充</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5、托管协议：指基金管理人与基金托管人就本基金签订之《</w:t>
      </w:r>
      <w:r>
        <w:rPr>
          <w:rStyle w:val="da"/>
          <w:rFonts w:ascii="宋体" w:hAnsi="Calibri" w:cs="宋体" w:hint="eastAsia"/>
          <w:szCs w:val="21"/>
          <w:lang w:eastAsia="zh-CN"/>
        </w:rPr>
        <w:t>易方达中证电池主题交易型开放式指数证券投资基金发起式联接基金</w:t>
      </w:r>
      <w:r>
        <w:rPr>
          <w:rStyle w:val="da"/>
          <w:rFonts w:ascii="宋体" w:hAnsi="Calibri" w:cs="宋体" w:hint="eastAsia"/>
          <w:szCs w:val="21"/>
          <w:highlight w:val="white"/>
          <w:lang w:eastAsia="zh-CN"/>
        </w:rPr>
        <w:t>托管协议》及对该托管协议的任何有效修订和补充</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6、招募说明书或本招募说明书：指《</w:t>
      </w:r>
      <w:r>
        <w:rPr>
          <w:rStyle w:val="da"/>
          <w:rFonts w:ascii="宋体" w:hAnsi="Calibri" w:cs="宋体" w:hint="eastAsia"/>
          <w:szCs w:val="21"/>
          <w:lang w:eastAsia="zh-CN"/>
        </w:rPr>
        <w:t>易方达中证电池主题交易型开放式指数证券投资基金发起式联接基金</w:t>
      </w:r>
      <w:r>
        <w:rPr>
          <w:rStyle w:val="da"/>
          <w:rFonts w:ascii="宋体" w:hAnsi="Calibri" w:cs="宋体" w:hint="eastAsia"/>
          <w:szCs w:val="21"/>
          <w:highlight w:val="white"/>
          <w:lang w:eastAsia="zh-CN"/>
        </w:rPr>
        <w:t>招募说明书》及其更新</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7、基金产品资料概要：指《易方达中证电池主题交易型开放式指数证券投资基金发起式联接基金基金产品资料概要》及其更新</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8、基金份额发售公告：指《易方达中证电池主题交易型开放式指数证券投资基金发起式联接基金基金份额发售公告》</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9、标的指数：指中证电池主题指数及其未来可能发生的变更</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10、目标ETF：指易方达中证电池主题交易型开放式指数证券投资基金</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11、ETF联接基金：指将绝大部分基金财产投资于跟踪同一标的指数的ETF（以下简称目标ETF），紧密跟踪标的指数表现，追求跟踪偏离度和跟踪误差最小化，采用开放式运作方式的基金，简称联接基金</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12、法律法规：指中国现行有效并公布实施的法律、行政法规、规范性文件、司法解释、行政规章以及其他对基金合同当事人有约束力的决定、决议、通知等</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13、《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14、《销售办法》：指中国证监会2020年8月28日颁布、同年10月1日实施的《公开募集证券投资基金销售机构监督管理办法》及颁布机关对其不时做出的修订</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15、《信息披露办法》：指中国证监会2019年7月26日颁布、同年9月1日实施的《公开募集证券投资基金信息披露管理办法》及颁布机关对其不时做出的修订</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16、《运作办法》：指中国证监会2014年7月7日颁布、同年8月8日实施的《公开募集证券投资基金运作管理办法》及颁布机关对其不时做出的修订</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17、《流动性风险管理规定》：指中国证监会2017年8月31日颁布、同年10月1日实施的《公开募集开放式证券投资基金流动性风险管理规定》及颁布机关对其不时做出的修订</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18、《指数基金指引》：指中国证监会2021年1月22日颁布、同年2月1日实施的《公开募集证券投资基金运作指引第3号</w:t>
      </w:r>
      <w:r>
        <w:rPr>
          <w:rStyle w:val="da"/>
          <w:rFonts w:ascii="宋体" w:hAnsi="Calibri" w:cs="宋体"/>
          <w:szCs w:val="21"/>
          <w:highlight w:val="white"/>
          <w:lang w:eastAsia="zh-CN"/>
        </w:rPr>
        <w:t>——</w:t>
      </w:r>
      <w:r>
        <w:rPr>
          <w:rStyle w:val="da"/>
          <w:rFonts w:ascii="宋体" w:hAnsi="Calibri" w:cs="宋体"/>
          <w:szCs w:val="21"/>
          <w:highlight w:val="white"/>
          <w:lang w:eastAsia="zh-CN"/>
        </w:rPr>
        <w:t>指数基金指引》及颁布机关对其不时做出的修订</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19、中国证监会：指中国证券监督管理委员会</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20、银行业监督管理机构：指中国人民银行和/或国家金融监督管理总局</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21、基金合同当事人：指受基金合同约束，根据基金合同享有权利并承担义务的法律主体，包括基金管理人、基金托管人和基金份额持有人</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22、个人投资者：指依据有关法律法规规定可投资于证券投资基金的自然人</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23、机构投资者：指依法可以投资证券投资基金的、在中华人民共和国境内合法登记并存续或经有关政府部门批准设立并存续的企业法人、事业法人、社会团体或其他组织</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24、合格境外投资者：指符合相关法律法规规定使用来自境外的资金进行境内证券期货投资的境外机构投资者，包括合格境外机构投资者和人民币合格境外机构投资者</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25、投资人、投资者：指个人投资者、机构投资者、合格境外投资者以及法律法规或中国证监会允许购买证券投资基金的其他投资人的合称</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26、基金份额持有人：指依基金合同和招募说明书合法取得基金份额的投资人</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27、基金销售业务：指基金管理人或销售机构宣传推介基金，发售基金份额，办理基金份额的申购、赎回、转换、转托管及定期定额投资等业务</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28、销售机构：指易方达基金管理有限公司以及符合《销售办法》和中国证监会规定的其他条件，取得基金销售业务资格并与基金管理人签订了基金销售服务协议，办理基金销售业务的机构</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29、登记业务：指基金登记、存管、过户、清算和结算业务，具体内容包括投资人基金账户的建立和管理、基金份额登记、基金销售业务的确认、清算和结算、代理发放红利、建立并保管基金份额持有人名册和办理</w:t>
      </w:r>
      <w:r>
        <w:rPr>
          <w:rStyle w:val="da"/>
          <w:rFonts w:ascii="宋体" w:hAnsi="Calibri" w:cs="宋体"/>
          <w:szCs w:val="21"/>
          <w:highlight w:val="white"/>
          <w:lang w:eastAsia="zh-CN"/>
        </w:rPr>
        <w:t>非交易</w:t>
      </w:r>
      <w:r>
        <w:rPr>
          <w:rStyle w:val="da"/>
          <w:rFonts w:ascii="宋体" w:hAnsi="Calibri" w:cs="宋体"/>
          <w:szCs w:val="21"/>
          <w:highlight w:val="white"/>
          <w:lang w:eastAsia="zh-CN"/>
        </w:rPr>
        <w:t>过户等</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30、登记机构：</w:t>
      </w:r>
      <w:r>
        <w:rPr>
          <w:rStyle w:val="da"/>
          <w:rFonts w:ascii="宋体" w:hAnsi="Calibri" w:cs="宋体"/>
          <w:szCs w:val="21"/>
          <w:highlight w:val="white"/>
          <w:lang w:eastAsia="zh-CN"/>
        </w:rPr>
        <w:t>指办理</w:t>
      </w:r>
      <w:r>
        <w:rPr>
          <w:rStyle w:val="da"/>
          <w:rFonts w:ascii="宋体" w:hAnsi="Calibri" w:cs="宋体"/>
          <w:szCs w:val="21"/>
          <w:highlight w:val="white"/>
          <w:lang w:eastAsia="zh-CN"/>
        </w:rPr>
        <w:t>登记业务的机构。基金的登记机构为易方达基金管理有限公司或接受易方达基金管理有限公司委托代为办理登记业务的机构</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31、基金账户：指登记机构为投资人开立的、记录其持有的、基金管理人所管理的基金份额余额及其变动情况的账户</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32、基金交易账户：指销售机构为投资人开立的、记录投资人通过该销售机构办理认购、申购、赎回、转换、转托管及定期定额投资等业务而引起的基金份额变动及结余情况的账户</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33、基金合同生效日：指基金募集达到法律法规规定及基金合同规定的条件，基金管理人向中国证监会办理基金备案手续完毕，并获得中国证监会书面确认的日期</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34、基金合同终止日：指基金合同规定的基金合同终止事由出现后，基金财产清算完毕，清算结果报中国证监会备案并予以公告的日期</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35、基金募集期：指自基金份额发售之日起至发售结束之日止的期间，最长不得超过3个月</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36、存续期：指基金合同生效日至终止日之间的不定期期限</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37、工作日：指上海证券交易所、深圳证券交易所的交易日</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38、T日：指销售机构在规定时间受理投资人申购、赎回或其他业务申请的开放日</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39、T+n日：指自T日起第n</w:t>
      </w:r>
      <w:r>
        <w:rPr>
          <w:rStyle w:val="da"/>
          <w:rFonts w:ascii="宋体" w:hAnsi="Calibri" w:cs="宋体"/>
          <w:szCs w:val="21"/>
          <w:highlight w:val="white"/>
          <w:lang w:eastAsia="zh-CN"/>
        </w:rPr>
        <w:t>个</w:t>
      </w:r>
      <w:r>
        <w:rPr>
          <w:rStyle w:val="da"/>
          <w:rFonts w:ascii="宋体" w:hAnsi="Calibri" w:cs="宋体"/>
          <w:szCs w:val="21"/>
          <w:highlight w:val="white"/>
          <w:lang w:eastAsia="zh-CN"/>
        </w:rPr>
        <w:t>工作日（不包含T日），n为自然数</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40、开放日：指为投资人办理基金份额申购、赎回或其他业务的工作日</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41、开放时间：指开放日基金接受申购、赎回或其他交易的时间段</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42、《业务规则》：指《易方达基金管理有限公司开放式基金业务规则》，是规范基金管理人所管理的开放式证券投资基金登记方面的业务规则，由基金管理人和投资人共同遵守</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43、认购：指在基金募集期内，投资人根据基金合同和招募说明书的规定申请购买基金份额的行为</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44、申购：指基金合同生效后，投资人根据基金合同和招募说明书的规定申请购买基金份额的行为</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45、赎回：指基金合同生效后，基金份额持有人按基金合同和招募说明书规定的条件要求将基金份额兑换为现金的行为</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46、基金转换：指基金份额持有人按照基金合同和基金管理人届时有效公告规定的条件，申请将其持有基金管理人管理的、某一基金的基金份额转换为基金管理人管理的其他</w:t>
      </w:r>
      <w:r>
        <w:rPr>
          <w:rStyle w:val="da"/>
          <w:rFonts w:ascii="宋体" w:hAnsi="Calibri" w:cs="宋体"/>
          <w:szCs w:val="21"/>
          <w:highlight w:val="white"/>
          <w:lang w:eastAsia="zh-CN"/>
        </w:rPr>
        <w:t>基金基金</w:t>
      </w:r>
      <w:r>
        <w:rPr>
          <w:rStyle w:val="da"/>
          <w:rFonts w:ascii="宋体" w:hAnsi="Calibri" w:cs="宋体"/>
          <w:szCs w:val="21"/>
          <w:highlight w:val="white"/>
          <w:lang w:eastAsia="zh-CN"/>
        </w:rPr>
        <w:t>份额的行为</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47、转托管：指基金份额持有人在本基金的不同销售机构之间实施的变更所持基金份额销售机构的操作</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48、定期定额投资计划：指投资人通过有关销售机构提出申请，约定每期申购日、扣款金额及扣款方式，由销售机构于每期约定扣款日在投资人指定银行账户内自动完成扣款及受理基金申购申请的一种投资方式</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49、巨额赎回：指本基金单个开放日，基金净赎回申请（赎回申请份额总数加上基金转换中转出申请份额总数后扣除申购申请份额总数及基金转换中转入申请份额总数后的余额）超过上一开放日基金总份额的10%</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50、元：指人民币元</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51、基金收益：指基金投资所得红利、股息、债券利息、买卖证券价差、银行存款利息、已实现的其他合法收入及因运用基金财产带来的成本和费用的节约</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52、基金资产总值：指基金拥有的目标ETF基金份额、各类有价证券、银行存款本息、基金应收申购款及其他资产的价值总和</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53、基金资产净值：指基金资产总值减去基金负债后的价值</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54、基金份额净值：指计算日基金资产净值除以计算日基金份额总数</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55、基金资产估值：指计算评估基金资产和负债的价值，以确定基金资产净值和基金份额净值的过程</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56、基金份额折算：指基金管理人根据基金运作的需要，在基金资产净值不变的前提下，按照一定比例调整基金份额总额及基金份额净值</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57、规定媒介：指符合中国证监会规定条件的全国性报刊（以下简称规定报刊）及《信息披露办法》规定的互联网网站（以下简称规定网站，包括基金管理人网站、基金托管人网站、中国证监会基金电子披露网站）等媒介</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58、发起式基金：指符合中国证监会有关规定，由基金管理人、基金管理人股东、基金管理人高级管理人员或基金经理等人员承诺认购一定金额并持有一定期限的证券投资基金</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59、发起资金：指用于认购发起</w:t>
      </w:r>
      <w:r>
        <w:rPr>
          <w:rStyle w:val="da"/>
          <w:rFonts w:ascii="宋体" w:hAnsi="Calibri" w:cs="宋体"/>
          <w:szCs w:val="21"/>
          <w:highlight w:val="white"/>
          <w:lang w:eastAsia="zh-CN"/>
        </w:rPr>
        <w:t>式基金</w:t>
      </w:r>
      <w:r>
        <w:rPr>
          <w:rStyle w:val="da"/>
          <w:rFonts w:ascii="宋体" w:hAnsi="Calibri" w:cs="宋体"/>
          <w:szCs w:val="21"/>
          <w:highlight w:val="white"/>
          <w:lang w:eastAsia="zh-CN"/>
        </w:rPr>
        <w:t>且资金来源于基金管理人的股东资金、基金管理人固有资金、基金管理人高级管理人员或基金经理等人员的资金</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60、年度对应日：指某一特定日期在后续日历年度中的对应日期，若该日历年度中不存在对应日期的，则该年度对日为该特定日期在后续日历年度中的对应月度的最后一日。如该年度对日为非工作日的，则顺延至下一个工作日</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61、销售服务费：指从基金财产中计提的，用于本基金市场推广、销售以及基金份额持有人服务的费用</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62、A类基金份额：在投资人认购/申购基金时按规定收取认购/申购费用，并不再从本类别基金资产中计</w:t>
      </w:r>
      <w:r>
        <w:rPr>
          <w:rStyle w:val="da"/>
          <w:rFonts w:ascii="宋体" w:hAnsi="Calibri" w:cs="宋体"/>
          <w:szCs w:val="21"/>
          <w:highlight w:val="white"/>
          <w:lang w:eastAsia="zh-CN"/>
        </w:rPr>
        <w:t>提销售</w:t>
      </w:r>
      <w:r>
        <w:rPr>
          <w:rStyle w:val="da"/>
          <w:rFonts w:ascii="宋体" w:hAnsi="Calibri" w:cs="宋体"/>
          <w:szCs w:val="21"/>
          <w:highlight w:val="white"/>
          <w:lang w:eastAsia="zh-CN"/>
        </w:rPr>
        <w:t>服务费的基金份额，称为A类基金份额</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63、C类基金份额：从本类别基金资产中计</w:t>
      </w:r>
      <w:r>
        <w:rPr>
          <w:rStyle w:val="da"/>
          <w:rFonts w:ascii="宋体" w:hAnsi="Calibri" w:cs="宋体"/>
          <w:szCs w:val="21"/>
          <w:highlight w:val="white"/>
          <w:lang w:eastAsia="zh-CN"/>
        </w:rPr>
        <w:t>提销售</w:t>
      </w:r>
      <w:r>
        <w:rPr>
          <w:rStyle w:val="da"/>
          <w:rFonts w:ascii="宋体" w:hAnsi="Calibri" w:cs="宋体"/>
          <w:szCs w:val="21"/>
          <w:highlight w:val="white"/>
          <w:lang w:eastAsia="zh-CN"/>
        </w:rPr>
        <w:t>服务费并按规定收取或返还，不收取认购/申购费用的基金份额，称为C类基金份额</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64、流动性受限资产：指由于法律法规、监管、合同或操作障碍等原因无法以合理价格予以变现的资产，包括但不限于到期日在10个交易日以上的逆回购与银行定期存款（</w:t>
      </w:r>
      <w:r>
        <w:rPr>
          <w:rStyle w:val="da"/>
          <w:rFonts w:ascii="宋体" w:hAnsi="Calibri" w:cs="宋体"/>
          <w:szCs w:val="21"/>
          <w:highlight w:val="white"/>
          <w:lang w:eastAsia="zh-CN"/>
        </w:rPr>
        <w:t>含协议</w:t>
      </w:r>
      <w:r>
        <w:rPr>
          <w:rStyle w:val="da"/>
          <w:rFonts w:ascii="宋体" w:hAnsi="Calibri" w:cs="宋体"/>
          <w:szCs w:val="21"/>
          <w:highlight w:val="white"/>
          <w:lang w:eastAsia="zh-CN"/>
        </w:rPr>
        <w:t>约定有条件提前支取的银行存款）、停牌股票、流通受限的新股及非公开发行股票、资产支持证券、因发行人债务违约无法进行转让或交易的债券等</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65、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66、</w:t>
      </w:r>
      <w:r>
        <w:rPr>
          <w:rStyle w:val="da"/>
          <w:rFonts w:ascii="宋体" w:hAnsi="Calibri" w:cs="宋体"/>
          <w:szCs w:val="21"/>
          <w:highlight w:val="white"/>
          <w:lang w:eastAsia="zh-CN"/>
        </w:rPr>
        <w:t>侧袋机制</w:t>
      </w:r>
      <w:r>
        <w:rPr>
          <w:rStyle w:val="da"/>
          <w:rFonts w:ascii="宋体" w:hAnsi="Calibri" w:cs="宋体"/>
          <w:szCs w:val="21"/>
          <w:highlight w:val="white"/>
          <w:lang w:eastAsia="zh-CN"/>
        </w:rPr>
        <w:t>：指将基金投资组合中的特定资产从原有账户分离至一个专门账户进行处置清算，目的在于有效隔离并化解风险，确保投资者得到公平对待，属于流动性风险管理工具。</w:t>
      </w:r>
      <w:r>
        <w:rPr>
          <w:rStyle w:val="da"/>
          <w:rFonts w:ascii="宋体" w:hAnsi="Calibri" w:cs="宋体"/>
          <w:szCs w:val="21"/>
          <w:highlight w:val="white"/>
          <w:lang w:eastAsia="zh-CN"/>
        </w:rPr>
        <w:t>侧袋机制</w:t>
      </w:r>
      <w:r>
        <w:rPr>
          <w:rStyle w:val="da"/>
          <w:rFonts w:ascii="宋体" w:hAnsi="Calibri" w:cs="宋体"/>
          <w:szCs w:val="21"/>
          <w:highlight w:val="white"/>
          <w:lang w:eastAsia="zh-CN"/>
        </w:rPr>
        <w:t>实施期间，原有账户称为主袋账户，专门账户</w:t>
      </w:r>
      <w:r>
        <w:rPr>
          <w:rStyle w:val="da"/>
          <w:rFonts w:ascii="宋体" w:hAnsi="Calibri" w:cs="宋体"/>
          <w:szCs w:val="21"/>
          <w:highlight w:val="white"/>
          <w:lang w:eastAsia="zh-CN"/>
        </w:rPr>
        <w:t>称为侧袋账户</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67、特定资产：包括：（一）无可参考的活跃市场价格且采用估值技术</w:t>
      </w:r>
      <w:r>
        <w:rPr>
          <w:rStyle w:val="da"/>
          <w:rFonts w:ascii="宋体" w:hAnsi="Calibri" w:cs="宋体"/>
          <w:szCs w:val="21"/>
          <w:highlight w:val="white"/>
          <w:lang w:eastAsia="zh-CN"/>
        </w:rPr>
        <w:t>仍导致</w:t>
      </w:r>
      <w:r>
        <w:rPr>
          <w:rStyle w:val="da"/>
          <w:rFonts w:ascii="宋体" w:hAnsi="Calibri" w:cs="宋体"/>
          <w:szCs w:val="21"/>
          <w:highlight w:val="white"/>
          <w:lang w:eastAsia="zh-CN"/>
        </w:rPr>
        <w:t>公允价值存在重大不确定性的资产；（二）</w:t>
      </w:r>
      <w:r>
        <w:rPr>
          <w:rStyle w:val="da"/>
          <w:rFonts w:ascii="宋体" w:hAnsi="Calibri" w:cs="宋体"/>
          <w:szCs w:val="21"/>
          <w:highlight w:val="white"/>
          <w:lang w:eastAsia="zh-CN"/>
        </w:rPr>
        <w:t>按摊余成本</w:t>
      </w:r>
      <w:r>
        <w:rPr>
          <w:rStyle w:val="da"/>
          <w:rFonts w:ascii="宋体" w:hAnsi="Calibri" w:cs="宋体"/>
          <w:szCs w:val="21"/>
          <w:highlight w:val="white"/>
          <w:lang w:eastAsia="zh-CN"/>
        </w:rPr>
        <w:t>计量且计提资产减值</w:t>
      </w:r>
      <w:r>
        <w:rPr>
          <w:rStyle w:val="da"/>
          <w:rFonts w:ascii="宋体" w:hAnsi="Calibri" w:cs="宋体"/>
          <w:szCs w:val="21"/>
          <w:highlight w:val="white"/>
          <w:lang w:eastAsia="zh-CN"/>
        </w:rPr>
        <w:t>准备仍导致</w:t>
      </w:r>
      <w:r>
        <w:rPr>
          <w:rStyle w:val="da"/>
          <w:rFonts w:ascii="宋体" w:hAnsi="Calibri" w:cs="宋体"/>
          <w:szCs w:val="21"/>
          <w:highlight w:val="white"/>
          <w:lang w:eastAsia="zh-CN"/>
        </w:rPr>
        <w:t>资产价值存在重大不确定性的资产；（三）其他资产价值存在重大不确定性的资产</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68、转融通证券出借业务：指本基金以一定费率通过证券交易所综合业务平台向中国证券金融股份有限公司出借证券，中国证券金融股份有限公司到期归还所借证券及相应权益补偿并支付费用的业务</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69、不可抗力：指基金合同当事人不能预见、不能避免且不能克服的客观事件</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70</w:t>
      </w:r>
      <w:r>
        <w:rPr>
          <w:rStyle w:val="da"/>
          <w:rFonts w:ascii="宋体" w:hAnsi="Calibri" w:cs="宋体" w:hint="eastAsia"/>
          <w:szCs w:val="21"/>
          <w:highlight w:val="white"/>
          <w:lang w:eastAsia="zh-CN"/>
        </w:rPr>
        <w:t>、直销机构：指易方达基金管理有限公司</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71</w:t>
      </w:r>
      <w:r>
        <w:rPr>
          <w:rStyle w:val="da"/>
          <w:rFonts w:ascii="宋体" w:hAnsi="Calibri" w:cs="宋体" w:hint="eastAsia"/>
          <w:szCs w:val="21"/>
          <w:highlight w:val="white"/>
          <w:lang w:eastAsia="zh-CN"/>
        </w:rPr>
        <w:t>、非直销销售机构：指符合《销售办法》和中国证监会规定的其他条件，取得基金销售业务资格并与基金管理人签订了基金销售服务协议，办理基金销售业务的机构</w:t>
      </w:r>
    </w:p>
    <w:p w:rsidR="0097367D">
      <w:pPr>
        <w:pStyle w:val="111"/>
        <w:pageBreakBefore w:val="0"/>
        <w:spacing w:before="317" w:after="317" w:line="320" w:lineRule="exact"/>
        <w:ind w:firstLine="640"/>
        <w:rPr>
          <w:rFonts w:ascii="宋体" w:eastAsia="宋体" w:hAnsi="Calibri" w:cs="宋体"/>
          <w:sz w:val="30"/>
          <w:szCs w:val="30"/>
          <w:lang w:eastAsia="zh-CN"/>
        </w:rPr>
      </w:pPr>
      <w:r>
        <w:rPr>
          <w:rFonts w:ascii="宋体" w:eastAsia="宋体" w:hAnsi="Calibri" w:cs="宋体" w:hint="eastAsia"/>
          <w:highlight w:val="white"/>
          <w:lang w:eastAsia="zh-CN"/>
        </w:rPr>
        <w:br w:type="column"/>
      </w:r>
      <w:bookmarkStart w:id="4" w:name="_Toc332373446"/>
      <w:bookmarkStart w:id="5" w:name="_Toc129511525"/>
      <w:r>
        <w:rPr>
          <w:rFonts w:ascii="宋体" w:eastAsia="宋体" w:hAnsi="Calibri" w:cs="宋体"/>
          <w:sz w:val="30"/>
          <w:szCs w:val="30"/>
          <w:highlight w:val="white"/>
          <w:lang w:eastAsia="zh-CN"/>
        </w:rPr>
        <w:t>第</w:t>
      </w:r>
      <w:r>
        <w:rPr>
          <w:rFonts w:ascii="宋体" w:eastAsia="宋体" w:hAnsi="Calibri" w:cs="宋体" w:hint="eastAsia"/>
          <w:sz w:val="30"/>
          <w:szCs w:val="30"/>
          <w:highlight w:val="white"/>
          <w:lang w:eastAsia="zh-CN"/>
        </w:rPr>
        <w:t>三部分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基金管理人</w:t>
      </w:r>
      <w:bookmarkEnd w:id="4"/>
      <w:bookmarkEnd w:id="5"/>
    </w:p>
    <w:p w:rsidR="0097367D">
      <w:pPr>
        <w:spacing w:line="360" w:lineRule="auto"/>
        <w:ind w:firstLine="420"/>
        <w:rPr>
          <w:rFonts w:ascii="宋体" w:hAnsi="Calibri" w:cs="宋体"/>
          <w:bCs/>
          <w:szCs w:val="21"/>
          <w:lang w:eastAsia="zh-CN"/>
        </w:rPr>
      </w:pPr>
      <w:bookmarkStart w:id="6" w:name="_Toc332373447"/>
      <w:r>
        <w:rPr>
          <w:rFonts w:ascii="宋体" w:hAnsi="Calibri" w:cs="宋体" w:hint="eastAsia"/>
          <w:bCs/>
          <w:szCs w:val="21"/>
          <w:highlight w:val="white"/>
          <w:lang w:eastAsia="zh-CN"/>
        </w:rPr>
        <w:t>一、基金管理人基本情况</w:t>
      </w:r>
      <w:bookmarkEnd w:id="6"/>
    </w:p>
    <w:p w:rsidR="0097367D">
      <w:pPr>
        <w:spacing w:line="360" w:lineRule="auto"/>
        <w:ind w:firstLine="420"/>
        <w:rPr>
          <w:rFonts w:ascii="宋体" w:hAnsi="Calibri" w:cs="宋体"/>
          <w:bCs/>
          <w:szCs w:val="21"/>
          <w:lang w:eastAsia="zh-CN"/>
        </w:rPr>
      </w:pPr>
      <w:r>
        <w:rPr>
          <w:rFonts w:ascii="宋体" w:hAnsi="Calibri" w:cs="宋体"/>
          <w:bCs/>
          <w:szCs w:val="21"/>
          <w:lang w:eastAsia="zh-CN"/>
        </w:rPr>
        <w:t>1、基金管理人：易方达基金管理有限公司</w:t>
      </w:r>
    </w:p>
    <w:p w:rsidR="0097367D">
      <w:pPr>
        <w:spacing w:line="360" w:lineRule="auto"/>
        <w:ind w:firstLine="420"/>
        <w:rPr>
          <w:rFonts w:ascii="宋体" w:hAnsi="Calibri" w:cs="宋体"/>
          <w:bCs/>
          <w:szCs w:val="21"/>
          <w:lang w:eastAsia="zh-CN"/>
        </w:rPr>
      </w:pPr>
      <w:r>
        <w:rPr>
          <w:rFonts w:ascii="宋体" w:hAnsi="Calibri" w:cs="宋体"/>
          <w:bCs/>
          <w:szCs w:val="21"/>
          <w:lang w:eastAsia="zh-CN"/>
        </w:rPr>
        <w:t>注册地址：广东省珠海市横琴新区</w:t>
      </w:r>
      <w:r>
        <w:rPr>
          <w:rFonts w:ascii="宋体" w:hAnsi="Calibri" w:cs="宋体"/>
          <w:bCs/>
          <w:szCs w:val="21"/>
          <w:lang w:eastAsia="zh-CN"/>
        </w:rPr>
        <w:t>荣粤道</w:t>
      </w:r>
      <w:r>
        <w:rPr>
          <w:rFonts w:ascii="宋体" w:hAnsi="Calibri" w:cs="宋体"/>
          <w:bCs/>
          <w:szCs w:val="21"/>
          <w:lang w:eastAsia="zh-CN"/>
        </w:rPr>
        <w:t>188号6层</w:t>
      </w:r>
    </w:p>
    <w:p w:rsidR="0097367D">
      <w:pPr>
        <w:spacing w:line="360" w:lineRule="auto"/>
        <w:ind w:firstLine="420"/>
        <w:rPr>
          <w:rFonts w:ascii="宋体" w:hAnsi="Calibri" w:cs="宋体"/>
          <w:bCs/>
          <w:szCs w:val="21"/>
          <w:lang w:eastAsia="zh-CN"/>
        </w:rPr>
      </w:pPr>
      <w:r>
        <w:rPr>
          <w:rFonts w:ascii="宋体" w:hAnsi="Calibri" w:cs="宋体"/>
          <w:bCs/>
          <w:szCs w:val="21"/>
          <w:lang w:eastAsia="zh-CN"/>
        </w:rPr>
        <w:t>办公地址：广东省广州市天河区珠江西路21号52层；广东省广州市天河区珠江东路30号42层；广东省珠海市横琴新区</w:t>
      </w:r>
      <w:r>
        <w:rPr>
          <w:rFonts w:ascii="宋体" w:hAnsi="Calibri" w:cs="宋体"/>
          <w:bCs/>
          <w:szCs w:val="21"/>
          <w:lang w:eastAsia="zh-CN"/>
        </w:rPr>
        <w:t>荣粤道</w:t>
      </w:r>
      <w:r>
        <w:rPr>
          <w:rFonts w:ascii="宋体" w:hAnsi="Calibri" w:cs="宋体"/>
          <w:bCs/>
          <w:szCs w:val="21"/>
          <w:lang w:eastAsia="zh-CN"/>
        </w:rPr>
        <w:t>188号6层</w:t>
      </w:r>
    </w:p>
    <w:p w:rsidR="0097367D">
      <w:pPr>
        <w:spacing w:line="360" w:lineRule="auto"/>
        <w:ind w:firstLine="420"/>
        <w:rPr>
          <w:rFonts w:ascii="宋体" w:hAnsi="Calibri" w:cs="宋体"/>
          <w:bCs/>
          <w:szCs w:val="21"/>
          <w:lang w:eastAsia="zh-CN"/>
        </w:rPr>
      </w:pPr>
      <w:r>
        <w:rPr>
          <w:rFonts w:ascii="宋体" w:hAnsi="Calibri" w:cs="宋体"/>
          <w:bCs/>
          <w:szCs w:val="21"/>
          <w:lang w:eastAsia="zh-CN"/>
        </w:rPr>
        <w:t>设立日期：2001年4月17日</w:t>
      </w:r>
    </w:p>
    <w:p w:rsidR="0097367D">
      <w:pPr>
        <w:spacing w:line="360" w:lineRule="auto"/>
        <w:ind w:firstLine="420"/>
        <w:rPr>
          <w:rFonts w:ascii="宋体" w:hAnsi="Calibri" w:cs="宋体"/>
          <w:bCs/>
          <w:szCs w:val="21"/>
          <w:lang w:eastAsia="zh-CN"/>
        </w:rPr>
      </w:pPr>
      <w:r>
        <w:rPr>
          <w:rFonts w:ascii="宋体" w:hAnsi="Calibri" w:cs="宋体"/>
          <w:bCs/>
          <w:szCs w:val="21"/>
          <w:lang w:eastAsia="zh-CN"/>
        </w:rPr>
        <w:t xml:space="preserve">法定代表人：吴欣荣 </w:t>
      </w:r>
    </w:p>
    <w:p w:rsidR="0097367D">
      <w:pPr>
        <w:spacing w:line="360" w:lineRule="auto"/>
        <w:ind w:firstLine="420"/>
        <w:rPr>
          <w:rFonts w:ascii="宋体" w:hAnsi="Calibri" w:cs="宋体"/>
          <w:bCs/>
          <w:szCs w:val="21"/>
          <w:lang w:eastAsia="zh-CN"/>
        </w:rPr>
      </w:pPr>
      <w:r>
        <w:rPr>
          <w:rFonts w:ascii="宋体" w:hAnsi="Calibri" w:cs="宋体"/>
          <w:bCs/>
          <w:szCs w:val="21"/>
          <w:lang w:eastAsia="zh-CN"/>
        </w:rPr>
        <w:t>联系电话：400 881 8088</w:t>
      </w:r>
    </w:p>
    <w:p w:rsidR="0097367D">
      <w:pPr>
        <w:spacing w:line="360" w:lineRule="auto"/>
        <w:ind w:firstLine="420"/>
        <w:rPr>
          <w:rFonts w:ascii="宋体" w:hAnsi="Calibri" w:cs="宋体"/>
          <w:bCs/>
          <w:szCs w:val="21"/>
          <w:lang w:eastAsia="zh-CN"/>
        </w:rPr>
      </w:pPr>
      <w:r>
        <w:rPr>
          <w:rFonts w:ascii="宋体" w:hAnsi="Calibri" w:cs="宋体"/>
          <w:bCs/>
          <w:szCs w:val="21"/>
          <w:lang w:eastAsia="zh-CN"/>
        </w:rPr>
        <w:t>联系人：李红枫</w:t>
      </w:r>
    </w:p>
    <w:p w:rsidR="0097367D">
      <w:pPr>
        <w:spacing w:line="360" w:lineRule="auto"/>
        <w:ind w:firstLine="420"/>
        <w:rPr>
          <w:rFonts w:ascii="宋体" w:hAnsi="Calibri" w:cs="宋体"/>
          <w:bCs/>
          <w:szCs w:val="21"/>
          <w:lang w:eastAsia="zh-CN"/>
        </w:rPr>
      </w:pPr>
      <w:r>
        <w:rPr>
          <w:rFonts w:ascii="宋体" w:hAnsi="Calibri" w:cs="宋体"/>
          <w:bCs/>
          <w:szCs w:val="21"/>
          <w:lang w:eastAsia="zh-CN"/>
        </w:rPr>
        <w:t>注册资本：13,244.2万元人民币</w:t>
      </w:r>
    </w:p>
    <w:p w:rsidR="0097367D">
      <w:pPr>
        <w:spacing w:line="360" w:lineRule="auto"/>
        <w:ind w:firstLine="420"/>
        <w:rPr>
          <w:rFonts w:ascii="宋体" w:hAnsi="Calibri" w:cs="宋体"/>
          <w:bCs/>
          <w:szCs w:val="21"/>
          <w:lang w:eastAsia="zh-CN"/>
        </w:rPr>
      </w:pPr>
      <w:r>
        <w:rPr>
          <w:rFonts w:ascii="宋体" w:hAnsi="Calibri" w:cs="宋体"/>
          <w:bCs/>
          <w:szCs w:val="21"/>
          <w:lang w:eastAsia="zh-CN"/>
        </w:rPr>
        <w:t>批准设立机关及文号：中国证券监督管理委员会，证</w:t>
      </w:r>
      <w:r>
        <w:rPr>
          <w:rFonts w:ascii="宋体" w:hAnsi="Calibri" w:cs="宋体"/>
          <w:bCs/>
          <w:szCs w:val="21"/>
          <w:lang w:eastAsia="zh-CN"/>
        </w:rPr>
        <w:t>监基金字</w:t>
      </w:r>
      <w:r>
        <w:rPr>
          <w:rFonts w:ascii="宋体" w:hAnsi="Calibri" w:cs="宋体"/>
          <w:bCs/>
          <w:szCs w:val="21"/>
          <w:lang w:eastAsia="zh-CN"/>
        </w:rPr>
        <w:t>[2001]4号</w:t>
      </w:r>
    </w:p>
    <w:p w:rsidR="0097367D">
      <w:pPr>
        <w:spacing w:line="360" w:lineRule="auto"/>
        <w:ind w:firstLine="420"/>
        <w:rPr>
          <w:rFonts w:ascii="宋体" w:hAnsi="Calibri" w:cs="宋体"/>
          <w:bCs/>
          <w:szCs w:val="21"/>
          <w:lang w:eastAsia="zh-CN"/>
        </w:rPr>
      </w:pPr>
      <w:r>
        <w:rPr>
          <w:rFonts w:ascii="宋体" w:hAnsi="Calibri" w:cs="宋体"/>
          <w:bCs/>
          <w:szCs w:val="21"/>
          <w:lang w:eastAsia="zh-CN"/>
        </w:rPr>
        <w:t>经营范围：公开募集证券投资基金管理、基金销售、特定客户资产管理</w:t>
      </w:r>
    </w:p>
    <w:p w:rsidR="0097367D">
      <w:pPr>
        <w:spacing w:line="360" w:lineRule="auto"/>
        <w:ind w:firstLine="420"/>
        <w:rPr>
          <w:rFonts w:ascii="宋体" w:hAnsi="Calibri" w:cs="宋体"/>
          <w:bCs/>
          <w:szCs w:val="21"/>
        </w:rPr>
      </w:pPr>
      <w:r>
        <w:rPr>
          <w:rFonts w:ascii="宋体" w:hAnsi="Calibri" w:cs="宋体" w:hint="eastAsia"/>
          <w:bCs/>
          <w:szCs w:val="21"/>
          <w:highlight w:val="white"/>
        </w:rPr>
        <w:t>2、股权结构：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出资比例</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7367D">
            <w:pPr>
              <w:ind w:firstLine="420"/>
              <w:rPr>
                <w:rFonts w:ascii="宋体" w:hAnsi="宋体"/>
                <w:lang w:eastAsia="zh-CN"/>
              </w:rPr>
            </w:pPr>
            <w:r>
              <w:rPr>
                <w:rFonts w:ascii="宋体" w:hAnsi="Calibri" w:cs="宋体"/>
                <w:szCs w:val="21"/>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7367D">
            <w:pPr>
              <w:ind w:firstLine="420"/>
              <w:rPr>
                <w:rFonts w:ascii="宋体" w:hAnsi="宋体"/>
                <w:lang w:eastAsia="zh-CN"/>
              </w:rPr>
            </w:pPr>
            <w:r>
              <w:rPr>
                <w:rFonts w:ascii="宋体" w:hAnsi="Calibri" w:cs="宋体"/>
                <w:szCs w:val="21"/>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7367D">
            <w:pPr>
              <w:ind w:firstLine="420"/>
              <w:rPr>
                <w:rFonts w:ascii="宋体" w:hAnsi="宋体"/>
              </w:rPr>
            </w:pPr>
            <w:r>
              <w:rPr>
                <w:rFonts w:ascii="宋体" w:hAnsi="Calibri" w:cs="宋体"/>
                <w:szCs w:val="21"/>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7367D">
            <w:pPr>
              <w:ind w:firstLine="420"/>
              <w:rPr>
                <w:rFonts w:ascii="宋体" w:hAnsi="宋体"/>
                <w:lang w:eastAsia="zh-CN"/>
              </w:rPr>
            </w:pPr>
            <w:r>
              <w:rPr>
                <w:rFonts w:ascii="宋体" w:hAnsi="Calibri" w:cs="宋体"/>
                <w:szCs w:val="21"/>
                <w:lang w:eastAsia="zh-CN"/>
              </w:rPr>
              <w:t>广东省广</w:t>
            </w:r>
            <w:r>
              <w:rPr>
                <w:rFonts w:ascii="宋体" w:hAnsi="Calibri" w:cs="宋体"/>
                <w:szCs w:val="21"/>
                <w:lang w:eastAsia="zh-CN"/>
              </w:rPr>
              <w:t>晟</w:t>
            </w:r>
            <w:r>
              <w:rPr>
                <w:rFonts w:ascii="宋体" w:hAnsi="Calibri" w:cs="宋体"/>
                <w:szCs w:val="21"/>
                <w:lang w:eastAsia="zh-CN"/>
              </w:rPr>
              <w:t>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15.1010％</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7367D">
            <w:pPr>
              <w:ind w:firstLine="420"/>
              <w:rPr>
                <w:rFonts w:ascii="宋体" w:hAnsi="宋体"/>
                <w:lang w:eastAsia="zh-CN"/>
              </w:rPr>
            </w:pPr>
            <w:r>
              <w:rPr>
                <w:rFonts w:ascii="宋体" w:hAnsi="Calibri" w:cs="宋体"/>
                <w:szCs w:val="21"/>
                <w:lang w:eastAsia="zh-CN"/>
              </w:rPr>
              <w:t>广州市</w:t>
            </w:r>
            <w:r>
              <w:rPr>
                <w:rFonts w:ascii="宋体" w:hAnsi="Calibri" w:cs="宋体"/>
                <w:szCs w:val="21"/>
                <w:lang w:eastAsia="zh-CN"/>
              </w:rPr>
              <w:t>广永国有</w:t>
            </w:r>
            <w:r>
              <w:rPr>
                <w:rFonts w:ascii="宋体" w:hAnsi="Calibri" w:cs="宋体"/>
                <w:szCs w:val="21"/>
                <w:lang w:eastAsia="zh-CN"/>
              </w:rPr>
              <w:t>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7.5505％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7367D">
            <w:pPr>
              <w:ind w:firstLine="420"/>
              <w:rPr>
                <w:rFonts w:ascii="宋体" w:hAnsi="宋体"/>
                <w:lang w:eastAsia="zh-CN"/>
              </w:rPr>
            </w:pPr>
            <w:r>
              <w:rPr>
                <w:rFonts w:ascii="宋体" w:hAnsi="Calibri" w:cs="宋体"/>
                <w:szCs w:val="21"/>
                <w:lang w:eastAsia="zh-CN"/>
              </w:rPr>
              <w:t>珠海</w:t>
            </w:r>
            <w:r>
              <w:rPr>
                <w:rFonts w:ascii="宋体" w:hAnsi="Calibri" w:cs="宋体"/>
                <w:szCs w:val="21"/>
                <w:lang w:eastAsia="zh-CN"/>
              </w:rPr>
              <w:t>祺</w:t>
            </w:r>
            <w:r>
              <w:rPr>
                <w:rFonts w:ascii="宋体" w:hAnsi="Calibri" w:cs="宋体"/>
                <w:szCs w:val="21"/>
                <w:lang w:eastAsia="zh-CN"/>
              </w:rPr>
              <w:t>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1.5087％</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97367D">
            <w:pPr>
              <w:ind w:firstLine="420"/>
              <w:rPr>
                <w:rFonts w:ascii="宋体" w:hAnsi="宋体"/>
                <w:lang w:eastAsia="zh-CN"/>
              </w:rPr>
            </w:pPr>
            <w:r>
              <w:rPr>
                <w:rFonts w:ascii="宋体" w:hAnsi="Calibri" w:cs="宋体"/>
                <w:szCs w:val="21"/>
                <w:lang w:eastAsia="zh-CN"/>
              </w:rPr>
              <w:t>珠海</w:t>
            </w:r>
            <w:r>
              <w:rPr>
                <w:rFonts w:ascii="宋体" w:hAnsi="Calibri" w:cs="宋体"/>
                <w:szCs w:val="21"/>
                <w:lang w:eastAsia="zh-CN"/>
              </w:rPr>
              <w:t>祺</w:t>
            </w:r>
            <w:r>
              <w:rPr>
                <w:rFonts w:ascii="宋体" w:hAnsi="Calibri" w:cs="宋体"/>
                <w:szCs w:val="21"/>
                <w:lang w:eastAsia="zh-CN"/>
              </w:rPr>
              <w:t>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1.6205％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97367D">
            <w:pPr>
              <w:ind w:firstLine="420"/>
              <w:rPr>
                <w:rFonts w:ascii="宋体" w:hAnsi="宋体"/>
                <w:lang w:eastAsia="zh-CN"/>
              </w:rPr>
            </w:pPr>
            <w:r>
              <w:rPr>
                <w:rFonts w:ascii="宋体" w:hAnsi="Calibri" w:cs="宋体"/>
                <w:szCs w:val="21"/>
                <w:lang w:eastAsia="zh-CN"/>
              </w:rPr>
              <w:t>珠海</w:t>
            </w:r>
            <w:r>
              <w:rPr>
                <w:rFonts w:ascii="宋体" w:hAnsi="Calibri" w:cs="宋体"/>
                <w:szCs w:val="21"/>
                <w:lang w:eastAsia="zh-CN"/>
              </w:rPr>
              <w:t>祺丰宝</w:t>
            </w:r>
            <w:r>
              <w:rPr>
                <w:rFonts w:ascii="宋体" w:hAnsi="Calibri" w:cs="宋体"/>
                <w:szCs w:val="21"/>
                <w:lang w:eastAsia="zh-CN"/>
              </w:rPr>
              <w:t>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1.5309％</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97367D">
            <w:pPr>
              <w:ind w:firstLine="420"/>
              <w:rPr>
                <w:rFonts w:ascii="宋体" w:hAnsi="宋体"/>
                <w:lang w:eastAsia="zh-CN"/>
              </w:rPr>
            </w:pPr>
            <w:r>
              <w:rPr>
                <w:rFonts w:ascii="宋体" w:hAnsi="Calibri" w:cs="宋体"/>
                <w:szCs w:val="21"/>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1.7558％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97367D">
            <w:pPr>
              <w:ind w:firstLine="420"/>
              <w:rPr>
                <w:rFonts w:ascii="宋体" w:hAnsi="宋体"/>
                <w:lang w:eastAsia="zh-CN"/>
              </w:rPr>
            </w:pPr>
            <w:r>
              <w:rPr>
                <w:rFonts w:ascii="宋体" w:hAnsi="Calibri" w:cs="宋体"/>
                <w:szCs w:val="21"/>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1.4396％</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97367D">
            <w:pPr>
              <w:ind w:firstLine="420"/>
              <w:rPr>
                <w:rFonts w:ascii="宋体" w:hAnsi="宋体"/>
                <w:lang w:eastAsia="zh-CN"/>
              </w:rPr>
            </w:pPr>
            <w:r>
              <w:rPr>
                <w:rFonts w:ascii="宋体" w:hAnsi="Calibri" w:cs="宋体"/>
                <w:szCs w:val="21"/>
                <w:lang w:eastAsia="zh-CN"/>
              </w:rPr>
              <w:t>珠海</w:t>
            </w:r>
            <w:r>
              <w:rPr>
                <w:rFonts w:ascii="宋体" w:hAnsi="Calibri" w:cs="宋体"/>
                <w:szCs w:val="21"/>
                <w:lang w:eastAsia="zh-CN"/>
              </w:rPr>
              <w:t>聚弘康投资</w:t>
            </w:r>
            <w:r>
              <w:rPr>
                <w:rFonts w:ascii="宋体" w:hAnsi="Calibri" w:cs="宋体"/>
                <w:szCs w:val="21"/>
                <w:lang w:eastAsia="zh-CN"/>
              </w:rPr>
              <w:t>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1.5388％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97367D">
            <w:pPr>
              <w:ind w:firstLine="420"/>
              <w:rPr>
                <w:rFonts w:ascii="宋体" w:hAnsi="宋体"/>
              </w:rPr>
            </w:pPr>
            <w:r>
              <w:rPr>
                <w:rFonts w:ascii="宋体" w:hAnsi="Calibri" w:cs="宋体"/>
                <w:szCs w:val="21"/>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97367D">
            <w:pPr>
              <w:ind w:firstLine="420"/>
              <w:jc w:val="center"/>
              <w:rPr>
                <w:rFonts w:ascii="宋体" w:hAnsi="宋体"/>
              </w:rPr>
            </w:pPr>
            <w:r>
              <w:rPr>
                <w:rFonts w:ascii="宋体" w:hAnsi="Calibri" w:cs="宋体"/>
                <w:szCs w:val="21"/>
              </w:rPr>
              <w:t>100％</w:t>
            </w:r>
          </w:p>
        </w:tc>
      </w:tr>
    </w:tbl>
    <w:p w:rsidR="0097367D"/>
    <w:p w:rsidR="0097367D">
      <w:pPr>
        <w:spacing w:line="360" w:lineRule="auto"/>
        <w:ind w:firstLine="420"/>
        <w:rPr>
          <w:rFonts w:ascii="宋体" w:hAnsi="Calibri" w:cs="宋体"/>
          <w:bCs/>
          <w:szCs w:val="21"/>
        </w:rPr>
      </w:pPr>
      <w:r>
        <w:rPr>
          <w:rFonts w:ascii="宋体" w:hAnsi="Calibri" w:cs="宋体" w:hint="eastAsia"/>
          <w:bCs/>
          <w:szCs w:val="21"/>
          <w:highlight w:val="white"/>
        </w:rPr>
        <w:t>二、主要人员情况</w:t>
      </w:r>
    </w:p>
    <w:p w:rsidR="0097367D">
      <w:pPr>
        <w:spacing w:line="360" w:lineRule="auto"/>
        <w:ind w:firstLine="420"/>
        <w:rPr>
          <w:bCs/>
          <w:lang w:eastAsia="zh-CN"/>
        </w:rPr>
      </w:pPr>
      <w:r>
        <w:rPr>
          <w:rFonts w:ascii="宋体" w:hAnsi="宋体" w:cs="宋体"/>
          <w:bCs/>
          <w:highlight w:val="white"/>
          <w:lang w:eastAsia="zh-CN"/>
        </w:rPr>
        <w:t>1</w:t>
      </w:r>
      <w:r>
        <w:rPr>
          <w:rFonts w:hint="eastAsia"/>
          <w:bCs/>
          <w:highlight w:val="white"/>
          <w:lang w:eastAsia="zh-CN"/>
        </w:rPr>
        <w:t>、董事、监事及高级管理人员</w:t>
      </w:r>
    </w:p>
    <w:p w:rsidR="001E5C91" w:rsidRPr="001E5C91" w:rsidP="001E5C91">
      <w:pPr>
        <w:pStyle w:val="HTMLPreformatted"/>
        <w:shd w:val="clear" w:color="auto" w:fill="FFFFFF"/>
        <w:spacing w:line="360" w:lineRule="auto"/>
        <w:ind w:firstLine="420" w:firstLineChars="200"/>
        <w:jc w:val="both"/>
        <w:rPr>
          <w:sz w:val="21"/>
          <w:szCs w:val="21"/>
          <w:lang w:eastAsia="zh-CN"/>
        </w:rPr>
      </w:pPr>
      <w:r w:rsidRPr="001E5C91">
        <w:rPr>
          <w:rFonts w:hint="eastAsia"/>
          <w:sz w:val="21"/>
          <w:szCs w:val="21"/>
          <w:lang w:eastAsia="zh-CN"/>
        </w:rPr>
        <w:t>刘晓艳女士，经济学博士。现任易方达基金管理有限公司董事长，易方达资产管理（新加坡）有限公司董事长，广州投资顾问学院管理有限公司董事。</w:t>
      </w:r>
      <w:r w:rsidRPr="001E5C91">
        <w:rPr>
          <w:rFonts w:hint="eastAsia"/>
          <w:sz w:val="21"/>
          <w:szCs w:val="21"/>
          <w:lang w:eastAsia="zh-CN"/>
        </w:rPr>
        <w:t>曾任广发</w:t>
      </w:r>
      <w:r w:rsidRPr="001E5C91">
        <w:rPr>
          <w:rFonts w:hint="eastAsia"/>
          <w:sz w:val="21"/>
          <w:szCs w:val="21"/>
          <w:lang w:eastAsia="zh-CN"/>
        </w:rPr>
        <w:t>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1E5C91" w:rsidRPr="001E5C91" w:rsidP="001E5C91">
      <w:pPr>
        <w:pStyle w:val="HTMLPreformatted"/>
        <w:shd w:val="clear" w:color="auto" w:fill="FFFFFF"/>
        <w:spacing w:line="360" w:lineRule="auto"/>
        <w:ind w:firstLine="420" w:firstLineChars="200"/>
        <w:jc w:val="both"/>
        <w:rPr>
          <w:rFonts w:cs="Courier New"/>
          <w:sz w:val="21"/>
          <w:szCs w:val="21"/>
          <w:lang w:val="x-none" w:eastAsia="x-none"/>
        </w:rPr>
      </w:pPr>
      <w:r w:rsidRPr="001E5C91">
        <w:rPr>
          <w:rFonts w:cs="Courier New" w:hint="eastAsia"/>
          <w:sz w:val="21"/>
          <w:szCs w:val="21"/>
          <w:lang w:eastAsia="zh-CN"/>
        </w:rPr>
        <w:t>吴欣荣先生，工学硕士。现任易方达基金管理有限公司董事、总经理，易方达资产管理（香港）有限公司董事长。曾任易方达基金管理有限公司研究员、投资管理部经理、基金经理、基金投资部副总经理、研究部副总经理、研究部总经理、基金投资部总经理、总裁助理、公</w:t>
      </w:r>
      <w:r w:rsidRPr="001E5C91">
        <w:rPr>
          <w:rFonts w:cs="Courier New" w:hint="eastAsia"/>
          <w:sz w:val="21"/>
          <w:szCs w:val="21"/>
          <w:lang w:eastAsia="zh-CN"/>
        </w:rPr>
        <w:t>募基金</w:t>
      </w:r>
      <w:r w:rsidRPr="001E5C91">
        <w:rPr>
          <w:rFonts w:cs="Courier New" w:hint="eastAsia"/>
          <w:sz w:val="21"/>
          <w:szCs w:val="21"/>
          <w:lang w:eastAsia="zh-CN"/>
        </w:rPr>
        <w:t>投资部总经理、权益投资总部总经理、权益投资总监、权益投资决策委员会委员、副总经理级高级管理人员、执行总经理，易方达国际控股有限公司董事。</w:t>
      </w:r>
    </w:p>
    <w:p w:rsidR="001E5C91" w:rsidRPr="001E5C91">
      <w:pPr>
        <w:pStyle w:val="HTMLPreformatted"/>
        <w:shd w:val="clear" w:color="auto" w:fill="FFFFFF"/>
        <w:spacing w:line="360" w:lineRule="auto"/>
        <w:ind w:firstLine="420" w:firstLineChars="200"/>
        <w:jc w:val="both"/>
        <w:rPr>
          <w:rFonts w:cs="Times New Roman"/>
          <w:sz w:val="21"/>
          <w:szCs w:val="21"/>
          <w:lang w:eastAsia="zh-CN"/>
        </w:rPr>
      </w:pPr>
      <w:r w:rsidRPr="001E5C91">
        <w:rPr>
          <w:rFonts w:hint="eastAsia"/>
          <w:sz w:val="21"/>
          <w:szCs w:val="21"/>
          <w:lang w:eastAsia="zh-CN"/>
        </w:rPr>
        <w:t>王麒麟先生，管理学、法学学士。现任易方</w:t>
      </w:r>
      <w:r w:rsidRPr="001E5C91">
        <w:rPr>
          <w:rFonts w:cs="Courier New" w:hint="eastAsia"/>
          <w:sz w:val="21"/>
          <w:szCs w:val="21"/>
          <w:lang w:eastAsia="zh-CN"/>
        </w:rPr>
        <w:t>达基金管理有限公司董事，广东粤财信托有限公司党委副书记、董事、总经理</w:t>
      </w:r>
      <w:r w:rsidRPr="001E5C91">
        <w:rPr>
          <w:rFonts w:hint="eastAsia"/>
          <w:sz w:val="21"/>
          <w:szCs w:val="21"/>
          <w:lang w:eastAsia="zh-CN"/>
        </w:rPr>
        <w:t>。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1E5C91" w:rsidRPr="001E5C91">
      <w:pPr>
        <w:pStyle w:val="HTMLPreformatted"/>
        <w:shd w:val="clear" w:color="auto" w:fill="FFFFFF"/>
        <w:spacing w:line="360" w:lineRule="auto"/>
        <w:ind w:firstLine="420" w:firstLineChars="200"/>
        <w:jc w:val="both"/>
        <w:rPr>
          <w:sz w:val="21"/>
          <w:szCs w:val="21"/>
          <w:lang w:eastAsia="zh-CN"/>
        </w:rPr>
      </w:pPr>
      <w:r w:rsidRPr="001E5C91">
        <w:rPr>
          <w:rFonts w:hint="eastAsia"/>
          <w:sz w:val="21"/>
          <w:szCs w:val="21"/>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w:t>
      </w:r>
      <w:r w:rsidRPr="001E5C91">
        <w:rPr>
          <w:rFonts w:hint="eastAsia"/>
          <w:sz w:val="21"/>
          <w:szCs w:val="21"/>
          <w:lang w:eastAsia="zh-CN"/>
        </w:rPr>
        <w:t>规</w:t>
      </w:r>
      <w:r w:rsidRPr="001E5C91">
        <w:rPr>
          <w:rFonts w:hint="eastAsia"/>
          <w:sz w:val="21"/>
          <w:szCs w:val="21"/>
          <w:lang w:eastAsia="zh-CN"/>
        </w:rPr>
        <w:t>总监、合</w:t>
      </w:r>
      <w:r w:rsidRPr="001E5C91">
        <w:rPr>
          <w:rFonts w:hint="eastAsia"/>
          <w:sz w:val="21"/>
          <w:szCs w:val="21"/>
          <w:lang w:eastAsia="zh-CN"/>
        </w:rPr>
        <w:t>规</w:t>
      </w:r>
      <w:r w:rsidRPr="001E5C91">
        <w:rPr>
          <w:rFonts w:hint="eastAsia"/>
          <w:sz w:val="21"/>
          <w:szCs w:val="21"/>
          <w:lang w:eastAsia="zh-CN"/>
        </w:rPr>
        <w:t>与法律事务部总经理。</w:t>
      </w:r>
    </w:p>
    <w:p w:rsidR="001E5C91" w:rsidRPr="001E5C91">
      <w:pPr>
        <w:pStyle w:val="HTMLPreformatted"/>
        <w:shd w:val="clear" w:color="auto" w:fill="FFFFFF"/>
        <w:spacing w:line="360" w:lineRule="auto"/>
        <w:ind w:firstLine="420" w:firstLineChars="200"/>
        <w:jc w:val="both"/>
        <w:rPr>
          <w:sz w:val="21"/>
          <w:szCs w:val="21"/>
          <w:lang w:eastAsia="zh-CN"/>
        </w:rPr>
      </w:pPr>
      <w:r w:rsidRPr="001E5C91">
        <w:rPr>
          <w:rFonts w:hint="eastAsia"/>
          <w:sz w:val="21"/>
          <w:szCs w:val="21"/>
          <w:lang w:eastAsia="zh-CN"/>
        </w:rPr>
        <w:t>邝广雄先生，工商管理硕士。现任易方达基金管理有限公司董事，</w:t>
      </w:r>
      <w:r w:rsidRPr="001E5C91">
        <w:rPr>
          <w:rFonts w:hint="eastAsia"/>
          <w:sz w:val="21"/>
          <w:szCs w:val="21"/>
          <w:lang w:eastAsia="zh-CN"/>
        </w:rPr>
        <w:t>盈峰集团</w:t>
      </w:r>
      <w:r w:rsidRPr="001E5C91">
        <w:rPr>
          <w:rFonts w:hint="eastAsia"/>
          <w:sz w:val="21"/>
          <w:szCs w:val="21"/>
          <w:lang w:eastAsia="zh-CN"/>
        </w:rPr>
        <w:t>有限公司董事、执行总裁，顾家家居股份有限公司董事长，</w:t>
      </w:r>
      <w:r w:rsidRPr="001E5C91">
        <w:rPr>
          <w:rFonts w:hint="eastAsia"/>
          <w:sz w:val="21"/>
          <w:szCs w:val="21"/>
          <w:lang w:eastAsia="zh-CN"/>
        </w:rPr>
        <w:t>盈峰环境</w:t>
      </w:r>
      <w:r w:rsidRPr="001E5C91">
        <w:rPr>
          <w:rFonts w:hint="eastAsia"/>
          <w:sz w:val="21"/>
          <w:szCs w:val="21"/>
          <w:lang w:eastAsia="zh-CN"/>
        </w:rPr>
        <w:t>科技集团股份有限公司董事，广东</w:t>
      </w:r>
      <w:r w:rsidRPr="001E5C91">
        <w:rPr>
          <w:rFonts w:hint="eastAsia"/>
          <w:sz w:val="21"/>
          <w:szCs w:val="21"/>
          <w:lang w:eastAsia="zh-CN"/>
        </w:rPr>
        <w:t>盈峰普</w:t>
      </w:r>
      <w:r w:rsidRPr="001E5C91">
        <w:rPr>
          <w:rFonts w:hint="eastAsia"/>
          <w:sz w:val="21"/>
          <w:szCs w:val="21"/>
          <w:lang w:eastAsia="zh-CN"/>
        </w:rPr>
        <w:t>惠互联小额贷款股份有限公司董事，盈合（深圳）机器人与自动化科技有限公司董事长，广东盈峰材料技术股份有限公司董事长，佛山市</w:t>
      </w:r>
      <w:r w:rsidRPr="001E5C91">
        <w:rPr>
          <w:rFonts w:hint="eastAsia"/>
          <w:sz w:val="21"/>
          <w:szCs w:val="21"/>
          <w:lang w:eastAsia="zh-CN"/>
        </w:rPr>
        <w:t>盈峰贸易</w:t>
      </w:r>
      <w:r w:rsidRPr="001E5C91">
        <w:rPr>
          <w:rFonts w:hint="eastAsia"/>
          <w:sz w:val="21"/>
          <w:szCs w:val="21"/>
          <w:lang w:eastAsia="zh-CN"/>
        </w:rPr>
        <w:t>有限公司执行董事兼总经理，宁波盈峰</w:t>
      </w:r>
      <w:r w:rsidRPr="001E5C91">
        <w:rPr>
          <w:rFonts w:hint="eastAsia"/>
          <w:sz w:val="21"/>
          <w:szCs w:val="21"/>
          <w:lang w:eastAsia="zh-CN"/>
        </w:rPr>
        <w:t>睿</w:t>
      </w:r>
      <w:r w:rsidRPr="001E5C91">
        <w:rPr>
          <w:rFonts w:hint="eastAsia"/>
          <w:sz w:val="21"/>
          <w:szCs w:val="21"/>
          <w:lang w:eastAsia="zh-CN"/>
        </w:rPr>
        <w:t>和投资管理有限公司执行董事、经理，</w:t>
      </w:r>
      <w:r w:rsidRPr="001E5C91">
        <w:rPr>
          <w:rFonts w:hint="eastAsia"/>
          <w:sz w:val="21"/>
          <w:szCs w:val="21"/>
          <w:lang w:eastAsia="zh-CN"/>
        </w:rPr>
        <w:t>宁波盈峰捭阖</w:t>
      </w:r>
      <w:r w:rsidRPr="001E5C91">
        <w:rPr>
          <w:rFonts w:hint="eastAsia"/>
          <w:sz w:val="21"/>
          <w:szCs w:val="21"/>
          <w:lang w:eastAsia="zh-CN"/>
        </w:rPr>
        <w:t>文化产业投资有限公司执行董事、经理，宁波</w:t>
      </w:r>
      <w:r w:rsidRPr="001E5C91">
        <w:rPr>
          <w:rFonts w:hint="eastAsia"/>
          <w:sz w:val="21"/>
          <w:szCs w:val="21"/>
          <w:lang w:eastAsia="zh-CN"/>
        </w:rPr>
        <w:t>盈峰资产</w:t>
      </w:r>
      <w:r w:rsidRPr="001E5C91">
        <w:rPr>
          <w:rFonts w:hint="eastAsia"/>
          <w:sz w:val="21"/>
          <w:szCs w:val="21"/>
          <w:lang w:eastAsia="zh-CN"/>
        </w:rPr>
        <w:t>管理有限公司执行董事、经理。曾任美的日电集团财务经理，美的美国公司财务经理，美的厨房电器财务总监，美的中央空调财务总监，美的库卡中国合资公司财务总监。</w:t>
      </w:r>
    </w:p>
    <w:p w:rsidR="001E5C91" w:rsidRPr="001E5C91">
      <w:pPr>
        <w:pStyle w:val="HTMLPreformatted"/>
        <w:shd w:val="clear" w:color="auto" w:fill="FFFFFF"/>
        <w:spacing w:line="360" w:lineRule="auto"/>
        <w:ind w:firstLine="420" w:firstLineChars="200"/>
        <w:jc w:val="both"/>
        <w:rPr>
          <w:rFonts w:hAnsi="Courier New" w:cs="Courier New"/>
          <w:kern w:val="2"/>
          <w:sz w:val="21"/>
          <w:szCs w:val="21"/>
          <w:lang w:val="x-none" w:eastAsia="x-none"/>
        </w:rPr>
      </w:pPr>
      <w:r w:rsidRPr="001E5C91">
        <w:rPr>
          <w:rFonts w:hAnsi="Courier New" w:cs="Courier New" w:hint="eastAsia"/>
          <w:kern w:val="2"/>
          <w:sz w:val="21"/>
          <w:szCs w:val="21"/>
          <w:lang w:eastAsia="zh-CN"/>
        </w:rPr>
        <w:t>陈媛女士，经济学硕士。现任易方达基金管理有限公司董事，</w:t>
      </w:r>
      <w:r w:rsidRPr="001E5C91">
        <w:rPr>
          <w:rFonts w:ascii="Arial" w:hAnsi="Arial" w:hint="eastAsia"/>
          <w:color w:val="333333"/>
          <w:sz w:val="21"/>
          <w:szCs w:val="21"/>
          <w:shd w:val="clear" w:color="auto" w:fill="FFFFFF"/>
          <w:lang w:eastAsia="zh-CN"/>
        </w:rPr>
        <w:t>广东省广</w:t>
      </w:r>
      <w:r w:rsidRPr="001E5C91">
        <w:rPr>
          <w:rFonts w:ascii="Arial" w:hAnsi="Arial" w:hint="eastAsia"/>
          <w:color w:val="333333"/>
          <w:sz w:val="21"/>
          <w:szCs w:val="21"/>
          <w:shd w:val="clear" w:color="auto" w:fill="FFFFFF"/>
          <w:lang w:eastAsia="zh-CN"/>
        </w:rPr>
        <w:t>晟</w:t>
      </w:r>
      <w:r w:rsidRPr="001E5C91">
        <w:rPr>
          <w:rFonts w:ascii="Arial" w:hAnsi="Arial" w:hint="eastAsia"/>
          <w:color w:val="333333"/>
          <w:sz w:val="21"/>
          <w:szCs w:val="21"/>
          <w:shd w:val="clear" w:color="auto" w:fill="FFFFFF"/>
          <w:lang w:eastAsia="zh-CN"/>
        </w:rPr>
        <w:t>财务有限公司董事、总经理</w:t>
      </w:r>
      <w:r w:rsidRPr="001E5C91">
        <w:rPr>
          <w:rFonts w:hAnsi="Courier New" w:cs="Courier New" w:hint="eastAsia"/>
          <w:kern w:val="2"/>
          <w:sz w:val="21"/>
          <w:szCs w:val="21"/>
          <w:lang w:eastAsia="zh-CN"/>
        </w:rPr>
        <w:t>。曾任广东省广</w:t>
      </w:r>
      <w:r w:rsidRPr="001E5C91">
        <w:rPr>
          <w:rFonts w:hAnsi="Courier New" w:cs="Courier New" w:hint="eastAsia"/>
          <w:kern w:val="2"/>
          <w:sz w:val="21"/>
          <w:szCs w:val="21"/>
          <w:lang w:eastAsia="zh-CN"/>
        </w:rPr>
        <w:t>晟</w:t>
      </w:r>
      <w:r w:rsidRPr="001E5C91">
        <w:rPr>
          <w:rFonts w:hAnsi="Courier New" w:cs="Courier New" w:hint="eastAsia"/>
          <w:kern w:val="2"/>
          <w:sz w:val="21"/>
          <w:szCs w:val="21"/>
          <w:lang w:eastAsia="zh-CN"/>
        </w:rPr>
        <w:t>财务有限公司资金业务部副部长（主持工作）、资金业务部部长、融资</w:t>
      </w:r>
      <w:r w:rsidRPr="001E5C91">
        <w:rPr>
          <w:rFonts w:hAnsi="Courier New" w:cs="Courier New" w:hint="eastAsia"/>
          <w:kern w:val="2"/>
          <w:sz w:val="21"/>
          <w:szCs w:val="21"/>
          <w:lang w:eastAsia="zh-CN"/>
        </w:rPr>
        <w:t>管控部部长</w:t>
      </w:r>
      <w:r w:rsidRPr="001E5C91">
        <w:rPr>
          <w:rFonts w:hAnsi="Courier New" w:cs="Courier New" w:hint="eastAsia"/>
          <w:kern w:val="2"/>
          <w:sz w:val="21"/>
          <w:szCs w:val="21"/>
          <w:lang w:eastAsia="zh-CN"/>
        </w:rPr>
        <w:t>，广东省广</w:t>
      </w:r>
      <w:r w:rsidRPr="001E5C91">
        <w:rPr>
          <w:rFonts w:hAnsi="Courier New" w:cs="Courier New" w:hint="eastAsia"/>
          <w:kern w:val="2"/>
          <w:sz w:val="21"/>
          <w:szCs w:val="21"/>
          <w:lang w:eastAsia="zh-CN"/>
        </w:rPr>
        <w:t>晟</w:t>
      </w:r>
      <w:r w:rsidRPr="001E5C91">
        <w:rPr>
          <w:rFonts w:hAnsi="Courier New" w:cs="Courier New" w:hint="eastAsia"/>
          <w:kern w:val="2"/>
          <w:sz w:val="21"/>
          <w:szCs w:val="21"/>
          <w:lang w:eastAsia="zh-CN"/>
        </w:rPr>
        <w:t>控股集团有限公司财务管理部副部长、资本运营部部长。</w:t>
      </w:r>
    </w:p>
    <w:p w:rsidR="001E5C91" w:rsidRPr="001E5C91">
      <w:pPr>
        <w:pStyle w:val="HTMLPreformatted"/>
        <w:shd w:val="clear" w:color="auto" w:fill="FFFFFF"/>
        <w:spacing w:line="360" w:lineRule="auto"/>
        <w:ind w:firstLine="420" w:firstLineChars="200"/>
        <w:jc w:val="both"/>
        <w:rPr>
          <w:rFonts w:cs="Courier New"/>
          <w:sz w:val="21"/>
          <w:szCs w:val="21"/>
          <w:lang w:eastAsia="zh-CN"/>
        </w:rPr>
      </w:pPr>
      <w:r w:rsidRPr="001E5C91">
        <w:rPr>
          <w:rFonts w:hAnsi="Courier New" w:cs="Courier New" w:hint="eastAsia"/>
          <w:kern w:val="2"/>
          <w:sz w:val="21"/>
          <w:szCs w:val="21"/>
          <w:lang w:eastAsia="zh-CN"/>
        </w:rPr>
        <w:t>王承志先生，法学博士。现任易方达基金管理有限公司独立董事，中山大学法学院副教授、博士生导师，广东省法学会国际法学研究会秘书长，中国国际私法学会理事，</w:t>
      </w:r>
      <w:r w:rsidRPr="001E5C91">
        <w:rPr>
          <w:rFonts w:cs="Courier New" w:hint="eastAsia"/>
          <w:sz w:val="21"/>
          <w:szCs w:val="21"/>
          <w:lang w:eastAsia="zh-CN"/>
        </w:rPr>
        <w:t>广东神朗律师事务所兼职律师，深圳市美之高科技股份有限公司独立董事，</w:t>
      </w:r>
      <w:r w:rsidRPr="001E5C91">
        <w:rPr>
          <w:rFonts w:cs="Courier New" w:hint="eastAsia"/>
          <w:sz w:val="21"/>
          <w:szCs w:val="21"/>
          <w:lang w:eastAsia="zh-CN"/>
        </w:rPr>
        <w:t>祥鑫</w:t>
      </w:r>
      <w:r w:rsidRPr="001E5C91">
        <w:rPr>
          <w:rFonts w:cs="Courier New" w:hint="eastAsia"/>
          <w:sz w:val="21"/>
          <w:szCs w:val="21"/>
          <w:lang w:eastAsia="zh-CN"/>
        </w:rPr>
        <w:t>科技股份有限公司独立</w:t>
      </w:r>
      <w:r w:rsidRPr="001E5C91">
        <w:rPr>
          <w:rFonts w:hAnsi="Courier New" w:cs="Courier New" w:hint="eastAsia"/>
          <w:kern w:val="2"/>
          <w:sz w:val="21"/>
          <w:szCs w:val="21"/>
          <w:lang w:eastAsia="zh-CN"/>
        </w:rPr>
        <w:t>董事，广州恒运企业集团股份有限公司独立董事。曾任美国天普大学法学院访问副教</w:t>
      </w:r>
      <w:r w:rsidRPr="001E5C91">
        <w:rPr>
          <w:rFonts w:cs="Courier New" w:hint="eastAsia"/>
          <w:sz w:val="21"/>
          <w:szCs w:val="21"/>
          <w:lang w:eastAsia="zh-CN"/>
        </w:rPr>
        <w:t>授，广东凯金新能源科技股份有限公司独立董事，</w:t>
      </w:r>
      <w:r w:rsidRPr="001E5C91">
        <w:rPr>
          <w:rFonts w:hAnsi="Courier New" w:cs="Courier New" w:hint="eastAsia"/>
          <w:kern w:val="2"/>
          <w:sz w:val="21"/>
          <w:szCs w:val="21"/>
          <w:lang w:eastAsia="zh-CN"/>
        </w:rPr>
        <w:t>江苏凯强医学检验有限公司董事，广东茉莉数字科技集团股份有</w:t>
      </w:r>
      <w:r w:rsidRPr="001E5C91">
        <w:rPr>
          <w:rFonts w:cs="Courier New" w:hint="eastAsia"/>
          <w:sz w:val="21"/>
          <w:szCs w:val="21"/>
          <w:lang w:eastAsia="zh-CN"/>
        </w:rPr>
        <w:t>限公司独立董事，艾尔玛科技股份有限公司独立董事。</w:t>
      </w:r>
    </w:p>
    <w:p w:rsidR="001E5C91" w:rsidRPr="001E5C91">
      <w:pPr>
        <w:pStyle w:val="HTMLPreformatted"/>
        <w:shd w:val="clear" w:color="auto" w:fill="FFFFFF"/>
        <w:spacing w:line="360" w:lineRule="auto"/>
        <w:ind w:firstLine="420" w:firstLineChars="200"/>
        <w:jc w:val="both"/>
        <w:rPr>
          <w:rFonts w:cs="Courier New"/>
          <w:sz w:val="21"/>
          <w:szCs w:val="21"/>
          <w:lang w:eastAsia="zh-CN"/>
        </w:rPr>
      </w:pPr>
      <w:r w:rsidRPr="001E5C91">
        <w:rPr>
          <w:rFonts w:cs="Courier New" w:hint="eastAsia"/>
          <w:sz w:val="21"/>
          <w:szCs w:val="21"/>
          <w:lang w:eastAsia="zh-CN"/>
        </w:rPr>
        <w:t>高建先生，工学博士。现任易方达基金管理有限公司独立董事，清华大学经济管理学院教授、博士生导师、学术委员会副主任，南通</w:t>
      </w:r>
      <w:r w:rsidRPr="001E5C91">
        <w:rPr>
          <w:rFonts w:cs="Courier New" w:hint="eastAsia"/>
          <w:sz w:val="21"/>
          <w:szCs w:val="21"/>
          <w:lang w:eastAsia="zh-CN"/>
        </w:rPr>
        <w:t>苏锡通控股</w:t>
      </w:r>
      <w:r w:rsidRPr="001E5C91">
        <w:rPr>
          <w:rFonts w:cs="Courier New" w:hint="eastAsia"/>
          <w:sz w:val="21"/>
          <w:szCs w:val="21"/>
          <w:lang w:eastAsia="zh-CN"/>
        </w:rPr>
        <w:t>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w:t>
      </w:r>
      <w:r w:rsidRPr="001E5C91">
        <w:rPr>
          <w:rFonts w:cs="Courier New" w:hint="eastAsia"/>
          <w:sz w:val="21"/>
          <w:szCs w:val="21"/>
          <w:lang w:eastAsia="zh-CN"/>
        </w:rPr>
        <w:t>中融人寿保险</w:t>
      </w:r>
      <w:r w:rsidRPr="001E5C91">
        <w:rPr>
          <w:rFonts w:cs="Courier New" w:hint="eastAsia"/>
          <w:sz w:val="21"/>
          <w:szCs w:val="21"/>
          <w:lang w:eastAsia="zh-CN"/>
        </w:rPr>
        <w:t>股份有限公司独立董事</w:t>
      </w:r>
      <w:r w:rsidRPr="001E5C91">
        <w:rPr>
          <w:rFonts w:cs="Courier New"/>
          <w:sz w:val="21"/>
          <w:szCs w:val="21"/>
          <w:lang w:eastAsia="zh-CN"/>
        </w:rPr>
        <w:t>,深圳市力</w:t>
      </w:r>
      <w:r w:rsidRPr="001E5C91">
        <w:rPr>
          <w:rFonts w:cs="Courier New"/>
          <w:sz w:val="21"/>
          <w:szCs w:val="21"/>
          <w:lang w:eastAsia="zh-CN"/>
        </w:rPr>
        <w:t>合科创</w:t>
      </w:r>
      <w:r w:rsidRPr="001E5C91">
        <w:rPr>
          <w:rFonts w:cs="Courier New"/>
          <w:sz w:val="21"/>
          <w:szCs w:val="21"/>
          <w:lang w:eastAsia="zh-CN"/>
        </w:rPr>
        <w:t>股份有限公司独立董事，</w:t>
      </w:r>
      <w:r w:rsidRPr="001E5C91">
        <w:rPr>
          <w:rFonts w:cs="Courier New"/>
          <w:sz w:val="21"/>
          <w:szCs w:val="21"/>
          <w:lang w:eastAsia="zh-CN"/>
        </w:rPr>
        <w:t>固生堂</w:t>
      </w:r>
      <w:r w:rsidRPr="001E5C91">
        <w:rPr>
          <w:rFonts w:cs="Courier New"/>
          <w:sz w:val="21"/>
          <w:szCs w:val="21"/>
          <w:lang w:eastAsia="zh-CN"/>
        </w:rPr>
        <w:t>控股有限公司非执行董事。</w:t>
      </w:r>
    </w:p>
    <w:p w:rsidR="001E5C91" w:rsidRPr="001E5C91">
      <w:pPr>
        <w:pStyle w:val="HTMLPreformatted"/>
        <w:shd w:val="clear" w:color="auto" w:fill="FFFFFF"/>
        <w:spacing w:line="360" w:lineRule="auto"/>
        <w:ind w:firstLine="420" w:firstLineChars="200"/>
        <w:jc w:val="both"/>
        <w:rPr>
          <w:rFonts w:cs="Courier New"/>
          <w:sz w:val="21"/>
          <w:szCs w:val="21"/>
          <w:lang w:val="x-none" w:eastAsia="zh-CN"/>
        </w:rPr>
      </w:pPr>
      <w:r w:rsidRPr="001E5C91">
        <w:rPr>
          <w:rFonts w:cs="Courier New" w:hint="eastAsia"/>
          <w:sz w:val="21"/>
          <w:szCs w:val="21"/>
          <w:lang w:eastAsia="zh-CN"/>
        </w:rPr>
        <w:t>刘劲先生，工商管理博士。现任易方达基金管理有限公司独立董事，长江商学院会计与金融教授、投资研究中心主任、教授管理委员会主席，</w:t>
      </w:r>
      <w:r w:rsidRPr="001E5C91">
        <w:rPr>
          <w:rFonts w:cs="Courier New" w:hint="eastAsia"/>
          <w:sz w:val="21"/>
          <w:szCs w:val="21"/>
          <w:lang w:eastAsia="zh-CN"/>
        </w:rPr>
        <w:t>闪送必</w:t>
      </w:r>
      <w:r w:rsidRPr="001E5C91">
        <w:rPr>
          <w:rFonts w:cs="Courier New" w:hint="eastAsia"/>
          <w:sz w:val="21"/>
          <w:szCs w:val="21"/>
          <w:lang w:eastAsia="zh-CN"/>
        </w:rPr>
        <w:t>应有限公司独立董事。曾任哥伦比亚大学经济学讲师，加州大学洛杉矶分校安德森管理学院助理教授、副教授、终身教授，长江商学院行政副院长、</w:t>
      </w:r>
      <w:r w:rsidRPr="001E5C91">
        <w:rPr>
          <w:rFonts w:cs="Courier New"/>
          <w:sz w:val="21"/>
          <w:szCs w:val="21"/>
          <w:lang w:eastAsia="zh-CN"/>
        </w:rPr>
        <w:t>DBA项目副院长、创</w:t>
      </w:r>
      <w:r w:rsidRPr="001E5C91">
        <w:rPr>
          <w:rFonts w:cs="Courier New"/>
          <w:sz w:val="21"/>
          <w:szCs w:val="21"/>
          <w:lang w:eastAsia="zh-CN"/>
        </w:rPr>
        <w:t>创</w:t>
      </w:r>
      <w:r w:rsidRPr="001E5C91">
        <w:rPr>
          <w:rFonts w:cs="Courier New"/>
          <w:sz w:val="21"/>
          <w:szCs w:val="21"/>
          <w:lang w:eastAsia="zh-CN"/>
        </w:rPr>
        <w:t>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1E5C91" w:rsidRPr="001E5C91">
      <w:pPr>
        <w:pStyle w:val="HTMLPreformatted"/>
        <w:shd w:val="clear" w:color="auto" w:fill="FFFFFF"/>
        <w:spacing w:line="360" w:lineRule="auto"/>
        <w:ind w:firstLine="420" w:firstLineChars="200"/>
        <w:jc w:val="both"/>
        <w:rPr>
          <w:rFonts w:cs="Times New Roman"/>
          <w:sz w:val="21"/>
          <w:szCs w:val="21"/>
          <w:lang w:eastAsia="zh-CN"/>
        </w:rPr>
      </w:pPr>
      <w:r w:rsidRPr="001E5C91">
        <w:rPr>
          <w:rFonts w:hint="eastAsia"/>
          <w:sz w:val="21"/>
          <w:szCs w:val="21"/>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1E5C91" w:rsidRPr="001E5C91">
      <w:pPr>
        <w:pStyle w:val="HTMLPreformatted"/>
        <w:shd w:val="clear" w:color="auto" w:fill="FFFFFF"/>
        <w:spacing w:line="360" w:lineRule="auto"/>
        <w:ind w:firstLine="420" w:firstLineChars="200"/>
        <w:jc w:val="both"/>
        <w:rPr>
          <w:rFonts w:cs="Courier New"/>
          <w:sz w:val="21"/>
          <w:szCs w:val="21"/>
          <w:lang w:eastAsia="zh-CN"/>
        </w:rPr>
      </w:pPr>
      <w:r w:rsidRPr="001E5C91">
        <w:rPr>
          <w:rFonts w:hint="eastAsia"/>
          <w:sz w:val="21"/>
          <w:szCs w:val="21"/>
          <w:lang w:eastAsia="zh-CN"/>
        </w:rPr>
        <w:t>危勇先生，经济学博士。现任易方达基金管理有限公司监事，广州市</w:t>
      </w:r>
      <w:r w:rsidRPr="001E5C91">
        <w:rPr>
          <w:rFonts w:hint="eastAsia"/>
          <w:sz w:val="21"/>
          <w:szCs w:val="21"/>
          <w:lang w:eastAsia="zh-CN"/>
        </w:rPr>
        <w:t>广永国有</w:t>
      </w:r>
      <w:r w:rsidRPr="001E5C91">
        <w:rPr>
          <w:rFonts w:hint="eastAsia"/>
          <w:sz w:val="21"/>
          <w:szCs w:val="21"/>
          <w:lang w:eastAsia="zh-CN"/>
        </w:rPr>
        <w:t>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w:t>
      </w:r>
      <w:r w:rsidRPr="001E5C91">
        <w:rPr>
          <w:rFonts w:hint="eastAsia"/>
          <w:sz w:val="21"/>
          <w:szCs w:val="21"/>
          <w:lang w:eastAsia="zh-CN"/>
        </w:rPr>
        <w:t>广永国有</w:t>
      </w:r>
      <w:r w:rsidRPr="001E5C91">
        <w:rPr>
          <w:rFonts w:hint="eastAsia"/>
          <w:sz w:val="21"/>
          <w:szCs w:val="21"/>
          <w:lang w:eastAsia="zh-CN"/>
        </w:rPr>
        <w:t>资产经营有限公司总裁，广州金融资产交易中心有限公司董事，广州股权交易中心有限公司董事，</w:t>
      </w:r>
      <w:r w:rsidRPr="001E5C91">
        <w:rPr>
          <w:rFonts w:hint="eastAsia"/>
          <w:sz w:val="21"/>
          <w:szCs w:val="21"/>
          <w:lang w:eastAsia="zh-CN"/>
        </w:rPr>
        <w:t>广州广永丽都酒店有限公司</w:t>
      </w:r>
      <w:r w:rsidRPr="001E5C91">
        <w:rPr>
          <w:rFonts w:hint="eastAsia"/>
          <w:sz w:val="21"/>
          <w:szCs w:val="21"/>
          <w:lang w:eastAsia="zh-CN"/>
        </w:rPr>
        <w:t>董事长，</w:t>
      </w:r>
      <w:r w:rsidRPr="001E5C91">
        <w:rPr>
          <w:rFonts w:hint="eastAsia"/>
          <w:sz w:val="21"/>
          <w:szCs w:val="21"/>
          <w:lang w:eastAsia="zh-CN"/>
        </w:rPr>
        <w:t>万联证券</w:t>
      </w:r>
      <w:r w:rsidRPr="001E5C91">
        <w:rPr>
          <w:rFonts w:hint="eastAsia"/>
          <w:sz w:val="21"/>
          <w:szCs w:val="21"/>
          <w:lang w:eastAsia="zh-CN"/>
        </w:rPr>
        <w:t>股份有限公司监事，广州广永股权投资基金管理有限公司董事长，广州赛马娱乐总公司董事，广州广永投资管理有限公司董事长，广州银行股份有限公司董事。</w:t>
      </w:r>
    </w:p>
    <w:p w:rsidR="001E5C91" w:rsidRPr="001E5C91">
      <w:pPr>
        <w:pStyle w:val="HTMLPreformatted"/>
        <w:shd w:val="clear" w:color="auto" w:fill="FFFFFF"/>
        <w:spacing w:line="360" w:lineRule="auto"/>
        <w:ind w:firstLine="420" w:firstLineChars="200"/>
        <w:jc w:val="both"/>
        <w:rPr>
          <w:rFonts w:cs="Courier New"/>
          <w:sz w:val="21"/>
          <w:szCs w:val="21"/>
          <w:lang w:eastAsia="x-none"/>
        </w:rPr>
      </w:pPr>
      <w:r w:rsidRPr="001E5C91">
        <w:rPr>
          <w:rFonts w:cs="Courier New" w:hint="eastAsia"/>
          <w:sz w:val="21"/>
          <w:szCs w:val="21"/>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1E5C91" w:rsidRPr="001E5C91">
      <w:pPr>
        <w:pStyle w:val="HTMLPreformatted"/>
        <w:shd w:val="clear" w:color="auto" w:fill="FFFFFF"/>
        <w:spacing w:line="360" w:lineRule="auto"/>
        <w:ind w:firstLine="420" w:firstLineChars="200"/>
        <w:jc w:val="both"/>
        <w:rPr>
          <w:rFonts w:cs="Courier New"/>
          <w:sz w:val="21"/>
          <w:szCs w:val="21"/>
          <w:lang w:eastAsia="zh-CN"/>
        </w:rPr>
      </w:pPr>
      <w:r w:rsidRPr="001E5C91">
        <w:rPr>
          <w:rFonts w:cs="Courier New" w:hint="eastAsia"/>
          <w:sz w:val="21"/>
          <w:szCs w:val="21"/>
          <w:lang w:eastAsia="zh-CN"/>
        </w:rPr>
        <w:t>付浩先生，经济学硕士。现任易方达基金管理有限公司监事、权益投资管理部总经理、权益投资决策委员会委员、</w:t>
      </w:r>
      <w:r w:rsidRPr="001E5C91">
        <w:rPr>
          <w:rFonts w:cs="Courier New" w:hint="eastAsia"/>
          <w:sz w:val="21"/>
          <w:szCs w:val="21"/>
          <w:lang w:eastAsia="zh-CN"/>
        </w:rPr>
        <w:t>多资产</w:t>
      </w:r>
      <w:r w:rsidRPr="001E5C91">
        <w:rPr>
          <w:rFonts w:cs="Courier New" w:hint="eastAsia"/>
          <w:sz w:val="21"/>
          <w:szCs w:val="21"/>
          <w:lang w:eastAsia="zh-CN"/>
        </w:rPr>
        <w:t>投资决策委员会委员。曾任广东粤财信托投资有限公司国际金融部职员，深圳和</w:t>
      </w:r>
      <w:r w:rsidRPr="001E5C91">
        <w:rPr>
          <w:rFonts w:cs="Courier New" w:hint="eastAsia"/>
          <w:sz w:val="21"/>
          <w:szCs w:val="21"/>
          <w:lang w:eastAsia="zh-CN"/>
        </w:rPr>
        <w:t>君创业</w:t>
      </w:r>
      <w:r w:rsidRPr="001E5C91">
        <w:rPr>
          <w:rFonts w:cs="Courier New" w:hint="eastAsia"/>
          <w:sz w:val="21"/>
          <w:szCs w:val="21"/>
          <w:lang w:eastAsia="zh-CN"/>
        </w:rPr>
        <w:t>研究咨询有限公司管理咨询项目经理，湖南证券投资银行总部项目经理，融通基金管理有限公司研究策划部研究员，易方达基金管理有限公司权益投资总部副总经理、养老金与专户权益投资部副总经理、公</w:t>
      </w:r>
      <w:r w:rsidRPr="001E5C91">
        <w:rPr>
          <w:rFonts w:cs="Courier New" w:hint="eastAsia"/>
          <w:sz w:val="21"/>
          <w:szCs w:val="21"/>
          <w:lang w:eastAsia="zh-CN"/>
        </w:rPr>
        <w:t>募基金</w:t>
      </w:r>
      <w:r w:rsidRPr="001E5C91">
        <w:rPr>
          <w:rFonts w:cs="Courier New" w:hint="eastAsia"/>
          <w:sz w:val="21"/>
          <w:szCs w:val="21"/>
          <w:lang w:eastAsia="zh-CN"/>
        </w:rPr>
        <w:t>投资部总经理、基金经理助理、投资经理、基金经理。</w:t>
      </w:r>
    </w:p>
    <w:p w:rsidR="001E5C91" w:rsidRPr="001E5C91">
      <w:pPr>
        <w:pStyle w:val="HTMLPreformatted"/>
        <w:shd w:val="clear" w:color="auto" w:fill="FFFFFF"/>
        <w:spacing w:line="360" w:lineRule="auto"/>
        <w:ind w:firstLine="420" w:firstLineChars="200"/>
        <w:jc w:val="both"/>
        <w:rPr>
          <w:rFonts w:cs="Courier New"/>
          <w:sz w:val="21"/>
          <w:szCs w:val="21"/>
          <w:lang w:eastAsia="zh-CN"/>
        </w:rPr>
      </w:pPr>
      <w:r w:rsidRPr="001E5C91">
        <w:rPr>
          <w:rFonts w:cs="Courier New" w:hint="eastAsia"/>
          <w:sz w:val="21"/>
          <w:szCs w:val="21"/>
          <w:lang w:eastAsia="zh-CN"/>
        </w:rPr>
        <w:t>吴镝先生，经济学硕士。现任易方达基金管理有限公司监事、人力资源部总经理、办公室总经理</w:t>
      </w:r>
      <w:r w:rsidRPr="001E5C91">
        <w:rPr>
          <w:rFonts w:hint="eastAsia"/>
          <w:sz w:val="21"/>
          <w:szCs w:val="21"/>
          <w:lang w:eastAsia="zh-CN"/>
        </w:rPr>
        <w:t>，</w:t>
      </w:r>
      <w:r w:rsidRPr="001E5C91">
        <w:rPr>
          <w:rFonts w:cs="Courier New" w:hint="eastAsia"/>
          <w:sz w:val="21"/>
          <w:szCs w:val="21"/>
          <w:lang w:eastAsia="zh-CN"/>
        </w:rPr>
        <w:t>易方达资产管理有限公司董事，易方达私募基金管理有限公司董事，易方达财富管理基金销售（广州）有限公司董事，易方达资产管理（香港）有限公司董事，易方达资产管理（新加坡）有限公司董事。曾任江南证券有限责任公司职员，金鹰基金管理有限公司投资管理部交易员，易方达基金管理有限公司集中交易</w:t>
      </w:r>
      <w:r w:rsidRPr="001E5C91">
        <w:rPr>
          <w:rFonts w:cs="Courier New" w:hint="eastAsia"/>
          <w:sz w:val="21"/>
          <w:szCs w:val="21"/>
          <w:lang w:eastAsia="zh-CN"/>
        </w:rPr>
        <w:t>室交易</w:t>
      </w:r>
      <w:r w:rsidRPr="001E5C91">
        <w:rPr>
          <w:rFonts w:cs="Courier New" w:hint="eastAsia"/>
          <w:sz w:val="21"/>
          <w:szCs w:val="21"/>
          <w:lang w:eastAsia="zh-CN"/>
        </w:rPr>
        <w:t>员、总经理助理、副总经理，研究部总经理助理、副总经理，权益运作支持部总经理。</w:t>
      </w:r>
    </w:p>
    <w:p w:rsidR="001E5C91" w:rsidRPr="001E5C91">
      <w:pPr>
        <w:pStyle w:val="HTMLPreformatted"/>
        <w:shd w:val="clear" w:color="auto" w:fill="FFFFFF"/>
        <w:spacing w:line="360" w:lineRule="auto"/>
        <w:ind w:firstLine="420" w:firstLineChars="200"/>
        <w:jc w:val="both"/>
        <w:rPr>
          <w:rFonts w:cs="Courier New"/>
          <w:sz w:val="21"/>
          <w:szCs w:val="21"/>
          <w:lang w:val="x-none" w:eastAsia="zh-CN"/>
        </w:rPr>
      </w:pPr>
      <w:r w:rsidRPr="001E5C91">
        <w:rPr>
          <w:rFonts w:cs="Courier New" w:hint="eastAsia"/>
          <w:sz w:val="21"/>
          <w:szCs w:val="21"/>
          <w:lang w:eastAsia="zh-CN"/>
        </w:rPr>
        <w:t>马骏先生，工商管理硕士（</w:t>
      </w:r>
      <w:r w:rsidRPr="001E5C91">
        <w:rPr>
          <w:rFonts w:cs="Courier New"/>
          <w:sz w:val="21"/>
          <w:szCs w:val="21"/>
          <w:lang w:eastAsia="zh-CN"/>
        </w:rPr>
        <w:t>EMBA）。现任易方达基金管理有限公司副总经理级高级管理人员、固定收益投资决策委员会委员、基础设施资产管理委员会委员</w:t>
      </w:r>
      <w:r w:rsidRPr="001E5C91">
        <w:rPr>
          <w:rFonts w:hint="eastAsia"/>
          <w:sz w:val="21"/>
          <w:szCs w:val="21"/>
          <w:lang w:eastAsia="zh-CN"/>
        </w:rPr>
        <w:t>，</w:t>
      </w:r>
      <w:r w:rsidRPr="001E5C91">
        <w:rPr>
          <w:rFonts w:cs="Courier New" w:hint="eastAsia"/>
          <w:sz w:val="21"/>
          <w:szCs w:val="21"/>
          <w:lang w:eastAsia="zh-CN"/>
        </w:rPr>
        <w:t>易方达资产管理有限公司董事，易方达私募基金管理有限公司董事长。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董事长、市场及产品委员会委员、</w:t>
      </w:r>
      <w:r w:rsidRPr="001E5C91">
        <w:rPr>
          <w:rFonts w:cs="Courier New"/>
          <w:sz w:val="21"/>
          <w:szCs w:val="21"/>
          <w:lang w:eastAsia="zh-CN"/>
        </w:rPr>
        <w:t>QFI业务负责人。</w:t>
      </w:r>
    </w:p>
    <w:p w:rsidR="001E5C91" w:rsidRPr="001E5C91">
      <w:pPr>
        <w:pStyle w:val="HTMLPreformatted"/>
        <w:shd w:val="clear" w:color="auto" w:fill="FFFFFF"/>
        <w:spacing w:line="360" w:lineRule="auto"/>
        <w:ind w:firstLine="420" w:firstLineChars="200"/>
        <w:jc w:val="both"/>
        <w:rPr>
          <w:rFonts w:cs="Courier New"/>
          <w:sz w:val="21"/>
          <w:szCs w:val="21"/>
          <w:lang w:eastAsia="zh-CN"/>
        </w:rPr>
      </w:pPr>
      <w:r w:rsidRPr="001E5C91">
        <w:rPr>
          <w:rFonts w:cs="Courier New" w:hint="eastAsia"/>
          <w:sz w:val="21"/>
          <w:szCs w:val="21"/>
          <w:lang w:eastAsia="zh-CN"/>
        </w:rPr>
        <w:t>娄利舟女士，工商管理硕士（</w:t>
      </w:r>
      <w:r w:rsidRPr="001E5C91">
        <w:rPr>
          <w:rFonts w:cs="Courier New"/>
          <w:sz w:val="21"/>
          <w:szCs w:val="21"/>
          <w:lang w:eastAsia="zh-CN"/>
        </w:rPr>
        <w:t>EMBA）、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FOF投资决策委员会委员，易方达资产管理有限公司总经理、董事长。</w:t>
      </w:r>
    </w:p>
    <w:p w:rsidR="001E5C91" w:rsidRPr="001E5C91">
      <w:pPr>
        <w:pStyle w:val="HTMLPreformatted"/>
        <w:shd w:val="clear" w:color="auto" w:fill="FFFFFF"/>
        <w:spacing w:line="360" w:lineRule="auto"/>
        <w:ind w:firstLine="420" w:firstLineChars="200"/>
        <w:jc w:val="both"/>
        <w:rPr>
          <w:rFonts w:cs="Courier New"/>
          <w:sz w:val="21"/>
          <w:szCs w:val="21"/>
          <w:lang w:eastAsia="zh-CN"/>
        </w:rPr>
      </w:pPr>
      <w:r w:rsidRPr="001E5C91">
        <w:rPr>
          <w:rFonts w:cs="Courier New" w:hint="eastAsia"/>
          <w:sz w:val="21"/>
          <w:szCs w:val="21"/>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w:t>
      </w:r>
      <w:r w:rsidRPr="001E5C91">
        <w:rPr>
          <w:rFonts w:cs="Courier New" w:hint="eastAsia"/>
          <w:sz w:val="21"/>
          <w:szCs w:val="21"/>
          <w:lang w:eastAsia="zh-CN"/>
        </w:rPr>
        <w:t>部行业</w:t>
      </w:r>
      <w:r w:rsidRPr="001E5C91">
        <w:rPr>
          <w:rFonts w:cs="Courier New" w:hint="eastAsia"/>
          <w:sz w:val="21"/>
          <w:szCs w:val="21"/>
          <w:lang w:eastAsia="zh-CN"/>
        </w:rPr>
        <w:t>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1E5C91" w:rsidRPr="001E5C91">
      <w:pPr>
        <w:pStyle w:val="HTMLPreformatted"/>
        <w:shd w:val="clear" w:color="auto" w:fill="FFFFFF"/>
        <w:spacing w:line="360" w:lineRule="auto"/>
        <w:ind w:firstLine="420" w:firstLineChars="200"/>
        <w:jc w:val="both"/>
        <w:rPr>
          <w:rFonts w:cs="Courier New"/>
          <w:sz w:val="21"/>
          <w:szCs w:val="21"/>
          <w:lang w:eastAsia="zh-CN"/>
        </w:rPr>
      </w:pPr>
      <w:r w:rsidRPr="001E5C91">
        <w:rPr>
          <w:rFonts w:cs="Courier New" w:hint="eastAsia"/>
          <w:sz w:val="21"/>
          <w:szCs w:val="21"/>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1E5C91" w:rsidRPr="001E5C91">
      <w:pPr>
        <w:pStyle w:val="HTMLPreformatted"/>
        <w:shd w:val="clear" w:color="auto" w:fill="FFFFFF"/>
        <w:spacing w:line="360" w:lineRule="auto"/>
        <w:ind w:firstLine="420" w:firstLineChars="200"/>
        <w:jc w:val="both"/>
        <w:rPr>
          <w:rFonts w:cs="Courier New"/>
          <w:sz w:val="21"/>
          <w:szCs w:val="21"/>
          <w:lang w:eastAsia="zh-CN"/>
        </w:rPr>
      </w:pPr>
      <w:r w:rsidRPr="001E5C91">
        <w:rPr>
          <w:rFonts w:cs="Courier New" w:hint="eastAsia"/>
          <w:sz w:val="21"/>
          <w:szCs w:val="21"/>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1E5C91" w:rsidRPr="001E5C91">
      <w:pPr>
        <w:pStyle w:val="PlainText"/>
        <w:adjustRightInd w:val="0"/>
        <w:spacing w:line="360" w:lineRule="auto"/>
        <w:ind w:firstLine="420" w:firstLineChars="200"/>
        <w:textAlignment w:val="baseline"/>
        <w:rPr>
          <w:rFonts w:hAnsi="宋体" w:cs="Courier New"/>
          <w:sz w:val="21"/>
          <w:lang w:eastAsia="zh-CN"/>
        </w:rPr>
      </w:pPr>
      <w:r w:rsidRPr="001E5C91">
        <w:rPr>
          <w:rFonts w:hAnsi="宋体" w:hint="eastAsia"/>
          <w:sz w:val="21"/>
          <w:lang w:eastAsia="zh-CN"/>
        </w:rPr>
        <w:t>陈荣女士，经济学博士。</w:t>
      </w:r>
      <w:r w:rsidRPr="001E5C91">
        <w:rPr>
          <w:rFonts w:hint="eastAsia"/>
          <w:sz w:val="21"/>
          <w:lang w:eastAsia="zh-CN"/>
        </w:rPr>
        <w:t>现任易方达基金管理有限公司副总经理级高级管理人员，易方达财富管理基金销售（广州）有限公司董事，易方达国际控股有限公司董事。曾任中国人民银行广州分行统计研究处科员，易方达基金管理有限公司运作支持部经理、</w:t>
      </w:r>
      <w:r w:rsidRPr="001E5C91">
        <w:rPr>
          <w:rFonts w:hint="eastAsia"/>
          <w:sz w:val="21"/>
          <w:lang w:eastAsia="zh-CN"/>
        </w:rPr>
        <w:t>核算部</w:t>
      </w:r>
      <w:r w:rsidRPr="001E5C91">
        <w:rPr>
          <w:rFonts w:hint="eastAsia"/>
          <w:sz w:val="21"/>
          <w:lang w:eastAsia="zh-CN"/>
        </w:rPr>
        <w:t>总经理助理、</w:t>
      </w:r>
      <w:r w:rsidRPr="001E5C91">
        <w:rPr>
          <w:rFonts w:hint="eastAsia"/>
          <w:sz w:val="21"/>
          <w:lang w:eastAsia="zh-CN"/>
        </w:rPr>
        <w:t>核算部</w:t>
      </w:r>
      <w:r w:rsidRPr="001E5C91">
        <w:rPr>
          <w:rFonts w:hint="eastAsia"/>
          <w:sz w:val="21"/>
          <w:lang w:eastAsia="zh-CN"/>
        </w:rPr>
        <w:t>副总经理、</w:t>
      </w:r>
      <w:r w:rsidRPr="001E5C91">
        <w:rPr>
          <w:rFonts w:hint="eastAsia"/>
          <w:sz w:val="21"/>
          <w:lang w:eastAsia="zh-CN"/>
        </w:rPr>
        <w:t>核算部</w:t>
      </w:r>
      <w:r w:rsidRPr="001E5C91">
        <w:rPr>
          <w:rFonts w:hint="eastAsia"/>
          <w:sz w:val="21"/>
          <w:lang w:eastAsia="zh-CN"/>
        </w:rPr>
        <w:t>总经理、投资风险管理部总经理、总裁助理、董事会秘书、公司财务中心主任，易方达资产管理（香港）有限公司董事，易方达私募基金管理有限公司监事，易方达资产管理有限公司监事。</w:t>
      </w:r>
    </w:p>
    <w:p w:rsidR="001E5C91" w:rsidRPr="001E5C91">
      <w:pPr>
        <w:pStyle w:val="PlainText"/>
        <w:adjustRightInd w:val="0"/>
        <w:spacing w:line="360" w:lineRule="auto"/>
        <w:ind w:firstLine="420" w:firstLineChars="200"/>
        <w:textAlignment w:val="baseline"/>
        <w:rPr>
          <w:sz w:val="21"/>
          <w:lang w:eastAsia="zh-CN"/>
        </w:rPr>
      </w:pPr>
      <w:r w:rsidRPr="001E5C91">
        <w:rPr>
          <w:rFonts w:ascii="Calibri" w:hAnsi="Calibri" w:hint="eastAsia"/>
          <w:sz w:val="21"/>
          <w:lang w:eastAsia="zh-CN"/>
        </w:rPr>
        <w:t>陈丽园女士，管理学硕士、法律硕士。现任易方达基金管理有限公司副总经理级高级管理人员</w:t>
      </w:r>
      <w:r w:rsidRPr="001E5C91">
        <w:rPr>
          <w:rFonts w:hint="eastAsia"/>
          <w:sz w:val="21"/>
          <w:lang w:eastAsia="zh-CN"/>
        </w:rPr>
        <w:t>，易方达财富管理基金销售（广州）有限公司董事</w:t>
      </w:r>
      <w:r w:rsidRPr="001E5C91">
        <w:rPr>
          <w:rFonts w:ascii="Calibri" w:hAnsi="Calibri" w:hint="eastAsia"/>
          <w:sz w:val="21"/>
          <w:lang w:eastAsia="zh-CN"/>
        </w:rPr>
        <w:t>，易方达国际控股有限公司董事，</w:t>
      </w:r>
      <w:r w:rsidRPr="001E5C91">
        <w:rPr>
          <w:rFonts w:hint="eastAsia"/>
          <w:sz w:val="21"/>
          <w:lang w:eastAsia="zh-CN"/>
        </w:rPr>
        <w:t>易方达资产管理（新加坡）有限公司董事</w:t>
      </w:r>
      <w:r w:rsidRPr="001E5C91">
        <w:rPr>
          <w:rFonts w:ascii="Calibri" w:hAnsi="Calibri" w:hint="eastAsia"/>
          <w:sz w:val="21"/>
          <w:lang w:eastAsia="zh-CN"/>
        </w:rPr>
        <w:t>。曾任易方达基金管理有限公司监察部监察员、总经理助理、副总经理、总经理，监察与合</w:t>
      </w:r>
      <w:r w:rsidRPr="001E5C91">
        <w:rPr>
          <w:rFonts w:ascii="Calibri" w:hAnsi="Calibri" w:hint="eastAsia"/>
          <w:sz w:val="21"/>
          <w:lang w:eastAsia="zh-CN"/>
        </w:rPr>
        <w:t>规</w:t>
      </w:r>
      <w:r w:rsidRPr="001E5C91">
        <w:rPr>
          <w:rFonts w:ascii="Calibri" w:hAnsi="Calibri" w:hint="eastAsia"/>
          <w:sz w:val="21"/>
          <w:lang w:eastAsia="zh-CN"/>
        </w:rPr>
        <w:t>管理总部总经理兼合</w:t>
      </w:r>
      <w:r w:rsidRPr="001E5C91">
        <w:rPr>
          <w:rFonts w:ascii="Calibri" w:hAnsi="Calibri" w:hint="eastAsia"/>
          <w:sz w:val="21"/>
          <w:lang w:eastAsia="zh-CN"/>
        </w:rPr>
        <w:t>规内审部总经理</w:t>
      </w:r>
      <w:r w:rsidRPr="001E5C91">
        <w:rPr>
          <w:rFonts w:ascii="Calibri" w:hAnsi="Calibri" w:hint="eastAsia"/>
          <w:sz w:val="21"/>
          <w:lang w:eastAsia="zh-CN"/>
        </w:rPr>
        <w:t>，首席营运官，易方达资产管理有限公司董事，易方达资产管理（香港）有限公司董事。</w:t>
      </w:r>
    </w:p>
    <w:p w:rsidR="001E5C91" w:rsidRPr="001E5C91" w:rsidP="001E5C91">
      <w:pPr>
        <w:autoSpaceDE w:val="0"/>
        <w:autoSpaceDN w:val="0"/>
        <w:spacing w:line="360" w:lineRule="auto"/>
        <w:ind w:firstLine="420" w:firstLineChars="200"/>
        <w:jc w:val="left"/>
        <w:rPr>
          <w:rFonts w:ascii="宋体" w:hAnsi="宋体"/>
          <w:color w:val="000000"/>
          <w:szCs w:val="21"/>
          <w:lang w:eastAsia="zh-CN"/>
        </w:rPr>
      </w:pPr>
      <w:r w:rsidRPr="001E5C91">
        <w:rPr>
          <w:rFonts w:ascii="宋体" w:hAnsi="宋体" w:hint="eastAsia"/>
          <w:color w:val="000000"/>
          <w:szCs w:val="21"/>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1E5C91" w:rsidRPr="006C2C8D">
      <w:pPr>
        <w:spacing w:line="360" w:lineRule="auto"/>
        <w:ind w:firstLine="420" w:firstLineChars="200"/>
        <w:rPr>
          <w:rFonts w:ascii="Calibri" w:hAnsi="Calibri"/>
          <w:kern w:val="2"/>
          <w:szCs w:val="21"/>
          <w:lang w:eastAsia="zh-CN"/>
        </w:rPr>
      </w:pPr>
      <w:r w:rsidRPr="006C2C8D">
        <w:rPr>
          <w:rFonts w:ascii="Calibri" w:hAnsi="Calibri" w:hint="eastAsia"/>
          <w:szCs w:val="21"/>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1E5C91" w:rsidRPr="006C2C8D">
      <w:pPr>
        <w:spacing w:line="360" w:lineRule="auto"/>
        <w:ind w:firstLine="420" w:firstLineChars="200"/>
        <w:rPr>
          <w:rFonts w:ascii="宋体" w:hAnsi="宋体"/>
          <w:szCs w:val="21"/>
          <w:lang w:eastAsia="zh-CN"/>
        </w:rPr>
      </w:pPr>
      <w:r w:rsidRPr="006C2C8D">
        <w:rPr>
          <w:rFonts w:ascii="宋体" w:hAnsi="宋体" w:hint="eastAsia"/>
          <w:szCs w:val="21"/>
          <w:lang w:eastAsia="zh-CN"/>
        </w:rPr>
        <w:t>杨冬梅女士，工商管理博士。现任易方达基金管理有限公司副总经理级高级管理人员、董事会秘书</w:t>
      </w:r>
      <w:r w:rsidRPr="001E5C91">
        <w:rPr>
          <w:rFonts w:cs="Courier New" w:hint="eastAsia"/>
          <w:szCs w:val="21"/>
          <w:lang w:eastAsia="zh-CN"/>
        </w:rPr>
        <w:t>，易方达财富管理基金销售（广州）有限公司董事</w:t>
      </w:r>
      <w:r w:rsidRPr="006C2C8D">
        <w:rPr>
          <w:rFonts w:ascii="宋体" w:hAnsi="宋体" w:hint="eastAsia"/>
          <w:szCs w:val="21"/>
          <w:lang w:eastAsia="zh-CN"/>
        </w:rPr>
        <w:t>，</w:t>
      </w:r>
      <w:r w:rsidRPr="006C2C8D">
        <w:rPr>
          <w:rFonts w:hint="eastAsia"/>
          <w:szCs w:val="21"/>
          <w:lang w:eastAsia="zh-CN"/>
        </w:rPr>
        <w:t>易方达国际控股有限公司董事</w:t>
      </w:r>
      <w:r w:rsidRPr="001E5C91">
        <w:rPr>
          <w:rFonts w:hint="eastAsia"/>
          <w:szCs w:val="21"/>
          <w:lang w:eastAsia="zh-CN"/>
        </w:rPr>
        <w:t>，易方达资产管理（新加坡）有限公司董事</w:t>
      </w:r>
      <w:r w:rsidRPr="006C2C8D">
        <w:rPr>
          <w:rFonts w:ascii="宋体" w:hAnsi="宋体" w:hint="eastAsia"/>
          <w:szCs w:val="21"/>
          <w:lang w:eastAsia="zh-CN"/>
        </w:rPr>
        <w:t>。</w:t>
      </w:r>
      <w:r w:rsidRPr="006C2C8D">
        <w:rPr>
          <w:rFonts w:ascii="宋体" w:hAnsi="宋体" w:hint="eastAsia"/>
          <w:szCs w:val="21"/>
          <w:lang w:eastAsia="zh-CN"/>
        </w:rPr>
        <w:t>曾任广发</w:t>
      </w:r>
      <w:r w:rsidRPr="006C2C8D">
        <w:rPr>
          <w:rFonts w:ascii="宋体" w:hAnsi="宋体" w:hint="eastAsia"/>
          <w:szCs w:val="21"/>
          <w:lang w:eastAsia="zh-CN"/>
        </w:rPr>
        <w:t>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1E5C91" w:rsidRPr="001E5C91">
      <w:pPr>
        <w:spacing w:line="360" w:lineRule="auto"/>
        <w:ind w:firstLine="420" w:firstLineChars="200"/>
        <w:rPr>
          <w:rFonts w:ascii="宋体" w:hAnsi="宋体"/>
          <w:szCs w:val="21"/>
          <w:lang w:eastAsia="zh-CN"/>
        </w:rPr>
      </w:pPr>
      <w:r w:rsidRPr="006C2C8D">
        <w:rPr>
          <w:rFonts w:ascii="宋体" w:hAnsi="宋体" w:hint="eastAsia"/>
          <w:szCs w:val="21"/>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1E5C91" w:rsidRPr="006C2C8D">
      <w:pPr>
        <w:spacing w:line="360" w:lineRule="auto"/>
        <w:ind w:firstLine="420" w:firstLineChars="200"/>
        <w:rPr>
          <w:rFonts w:ascii="宋体" w:hAnsi="宋体"/>
          <w:szCs w:val="21"/>
          <w:lang w:eastAsia="zh-CN"/>
        </w:rPr>
      </w:pPr>
      <w:r w:rsidRPr="001E5C91">
        <w:rPr>
          <w:rFonts w:ascii="宋体" w:hAnsi="宋体" w:hint="eastAsia"/>
          <w:szCs w:val="21"/>
          <w:lang w:eastAsia="zh-CN"/>
        </w:rPr>
        <w:t>王玉女士，法学硕士。现任易方达基金管理有限公司督察长、内审稽核部总经理</w:t>
      </w:r>
      <w:r w:rsidRPr="001E5C91">
        <w:rPr>
          <w:rFonts w:cs="Courier New" w:hint="eastAsia"/>
          <w:szCs w:val="21"/>
          <w:lang w:eastAsia="zh-CN"/>
        </w:rPr>
        <w:t>、发展研究中心总经理，易方达财富管理基金销售（广州）有限公司董事</w:t>
      </w:r>
      <w:r w:rsidRPr="006C2C8D">
        <w:rPr>
          <w:rFonts w:ascii="宋体" w:hAnsi="宋体" w:hint="eastAsia"/>
          <w:szCs w:val="21"/>
          <w:lang w:eastAsia="zh-CN"/>
        </w:rPr>
        <w:t>，</w:t>
      </w:r>
      <w:r w:rsidRPr="006C2C8D">
        <w:rPr>
          <w:rFonts w:hint="eastAsia"/>
          <w:szCs w:val="21"/>
          <w:lang w:eastAsia="zh-CN"/>
        </w:rPr>
        <w:t>易方达国际控股有限公司董事</w:t>
      </w:r>
      <w:r w:rsidRPr="006C2C8D">
        <w:rPr>
          <w:rFonts w:ascii="宋体" w:hAnsi="宋体" w:hint="eastAsia"/>
          <w:szCs w:val="21"/>
          <w:lang w:eastAsia="zh-CN"/>
        </w:rPr>
        <w:t>。曾在北京市国枫律师事务所、中国证监会工作，曾任易方达基金管理有限公司公司法律事务部总经理，易方达资产管理有限公司董事。</w:t>
      </w:r>
    </w:p>
    <w:p w:rsidR="001E5C91" w:rsidRPr="001E5C91">
      <w:pPr>
        <w:spacing w:line="360" w:lineRule="auto"/>
        <w:ind w:firstLine="420" w:firstLineChars="200"/>
        <w:rPr>
          <w:rFonts w:ascii="Calibri" w:hAnsi="Calibri"/>
          <w:szCs w:val="21"/>
          <w:lang w:eastAsia="zh-CN"/>
        </w:rPr>
      </w:pPr>
      <w:r w:rsidRPr="001E5C91">
        <w:rPr>
          <w:rFonts w:ascii="Calibri" w:hAnsi="Calibri" w:hint="eastAsia"/>
          <w:szCs w:val="21"/>
          <w:lang w:eastAsia="zh-CN"/>
        </w:rPr>
        <w:t>王骏先生，会计硕士。现任易方达基金管理有限公司副总经理级高级管理人员（首席市场官）、渠道与营销管理部总经理、产品设计与业务</w:t>
      </w:r>
      <w:r w:rsidRPr="001E5C91">
        <w:rPr>
          <w:rFonts w:ascii="Calibri" w:hAnsi="Calibri" w:hint="eastAsia"/>
          <w:szCs w:val="21"/>
          <w:lang w:eastAsia="zh-CN"/>
        </w:rPr>
        <w:t>创新部</w:t>
      </w:r>
      <w:r w:rsidRPr="001E5C91">
        <w:rPr>
          <w:rFonts w:ascii="Calibri" w:hAnsi="Calibri" w:hint="eastAsia"/>
          <w:szCs w:val="21"/>
          <w:lang w:eastAsia="zh-CN"/>
        </w:rPr>
        <w:t>总经理。曾在普华永道中天会计师事务所、证监会广东监管局工作，曾任易方达资产管理有限公司副总经理、合</w:t>
      </w:r>
      <w:r w:rsidRPr="001E5C91">
        <w:rPr>
          <w:rFonts w:ascii="Calibri" w:hAnsi="Calibri" w:hint="eastAsia"/>
          <w:szCs w:val="21"/>
          <w:lang w:eastAsia="zh-CN"/>
        </w:rPr>
        <w:t>规风控</w:t>
      </w:r>
      <w:r w:rsidRPr="001E5C91">
        <w:rPr>
          <w:rFonts w:ascii="Calibri" w:hAnsi="Calibri" w:hint="eastAsia"/>
          <w:szCs w:val="21"/>
          <w:lang w:eastAsia="zh-CN"/>
        </w:rPr>
        <w:t>负责人、常务副总经理、董事。</w:t>
      </w:r>
    </w:p>
    <w:p w:rsidR="0097367D">
      <w:pPr>
        <w:spacing w:line="360" w:lineRule="auto"/>
        <w:ind w:firstLine="420"/>
        <w:rPr>
          <w:bCs/>
          <w:lang w:eastAsia="zh-CN"/>
        </w:rPr>
      </w:pPr>
      <w:r w:rsidRPr="001E5C91">
        <w:rPr>
          <w:rFonts w:ascii="Calibri" w:hAnsi="Calibri" w:hint="eastAsia"/>
          <w:szCs w:val="21"/>
          <w:lang w:eastAsia="zh-CN"/>
        </w:rPr>
        <w:t>刘硕凌先生，工学博士。现任易方达基金管理有限公司首席信息官、前沿科技研究部总经理、智能应用研究部总经理，易方达私募基金管理有限公司董事，易方达资产管理（香港）有限公司董事。曾</w:t>
      </w:r>
      <w:r w:rsidRPr="001E5C91">
        <w:rPr>
          <w:rFonts w:ascii="Calibri" w:hAnsi="Calibri" w:hint="eastAsia"/>
          <w:szCs w:val="21"/>
          <w:lang w:eastAsia="zh-CN"/>
        </w:rPr>
        <w:t>任嘉实基金</w:t>
      </w:r>
      <w:r w:rsidRPr="001E5C91">
        <w:rPr>
          <w:rFonts w:ascii="Calibri" w:hAnsi="Calibri" w:hint="eastAsia"/>
          <w:szCs w:val="21"/>
          <w:lang w:eastAsia="zh-CN"/>
        </w:rPr>
        <w:t>管理有限公司信息技术部高级项目经理、科技子公司副总经理，</w:t>
      </w:r>
      <w:r w:rsidRPr="001E5C91">
        <w:rPr>
          <w:rFonts w:ascii="Calibri" w:hAnsi="Calibri" w:hint="eastAsia"/>
          <w:szCs w:val="21"/>
          <w:lang w:eastAsia="zh-CN"/>
        </w:rPr>
        <w:t>天弘基金</w:t>
      </w:r>
      <w:r w:rsidRPr="001E5C91">
        <w:rPr>
          <w:rFonts w:ascii="Calibri" w:hAnsi="Calibri" w:hint="eastAsia"/>
          <w:szCs w:val="21"/>
          <w:lang w:eastAsia="zh-CN"/>
        </w:rPr>
        <w:t>管理有限公司智能投资部总经理助理，易方达基金管理有限公司金融科技部副总经理、创新研究中心副总经理、系统研发中心副总经理、创新研究中心总经理。</w:t>
      </w:r>
    </w:p>
    <w:p w:rsidR="0097367D">
      <w:pPr>
        <w:spacing w:line="360" w:lineRule="auto"/>
        <w:ind w:firstLine="420"/>
        <w:rPr>
          <w:bCs/>
          <w:lang w:eastAsia="zh-CN"/>
        </w:rPr>
      </w:pPr>
      <w:r>
        <w:rPr>
          <w:rFonts w:ascii="宋体" w:hAnsi="宋体" w:cs="宋体"/>
          <w:bCs/>
          <w:highlight w:val="white"/>
          <w:lang w:eastAsia="zh-CN"/>
        </w:rPr>
        <w:t>2</w:t>
      </w:r>
      <w:r>
        <w:rPr>
          <w:rFonts w:hint="eastAsia"/>
          <w:bCs/>
          <w:highlight w:val="white"/>
          <w:lang w:eastAsia="zh-CN"/>
        </w:rPr>
        <w:t>、基金经理</w:t>
      </w:r>
    </w:p>
    <w:p w:rsidR="00957C22">
      <w:pPr>
        <w:spacing w:line="360" w:lineRule="auto"/>
        <w:ind w:firstLine="420"/>
        <w:rPr>
          <w:bCs/>
          <w:lang w:eastAsia="zh-CN"/>
        </w:rPr>
      </w:pPr>
      <w:r>
        <w:rPr>
          <w:rFonts w:hint="eastAsia"/>
          <w:bCs/>
          <w:lang w:eastAsia="zh-CN"/>
        </w:rPr>
        <w:t>李栩先生，金融硕士，本基金的基金经理。现任易方达基金管理有限公司指数研究发展部总经理助理、基金经理、基金经理助理。曾任国泰君安证券股份有限公司分析师，易方达基金管理有限公司研究员、指数投资部总经理助理。李栩历任基金经理及现任基金经理助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957C22">
            <w:r>
              <w:rPr>
                <w:rFonts w:hint="eastAsia"/>
                <w:b/>
                <w:szCs w:val="21"/>
              </w:rPr>
              <w:t>历任基金经理的基金</w:t>
            </w:r>
          </w:p>
        </w:tc>
        <w:tc>
          <w:tcPr>
            <w:tcW w:w="1835" w:type="dxa"/>
          </w:tcPr>
          <w:p w:rsidR="00957C22">
            <w:pPr>
              <w:jc w:val="center"/>
            </w:pPr>
            <w:r>
              <w:rPr>
                <w:rFonts w:hint="eastAsia"/>
                <w:b/>
                <w:szCs w:val="21"/>
              </w:rPr>
              <w:t>任职时间</w:t>
            </w:r>
          </w:p>
        </w:tc>
        <w:tc>
          <w:tcPr>
            <w:tcW w:w="1835" w:type="dxa"/>
          </w:tcPr>
          <w:p w:rsidR="00957C22">
            <w:pPr>
              <w:jc w:val="center"/>
            </w:pPr>
            <w:r>
              <w:rPr>
                <w:rFonts w:hint="eastAsia"/>
                <w:b/>
                <w:szCs w:val="21"/>
              </w:rPr>
              <w:t>离任时间</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易方达中证港股通互联网</w:t>
            </w:r>
            <w:r>
              <w:rPr>
                <w:rFonts w:hint="eastAsia"/>
                <w:szCs w:val="21"/>
                <w:lang w:eastAsia="zh-CN"/>
              </w:rPr>
              <w:t>ETF</w:t>
            </w:r>
          </w:p>
        </w:tc>
        <w:tc>
          <w:tcPr>
            <w:tcW w:w="1835" w:type="dxa"/>
          </w:tcPr>
          <w:p w:rsidR="00957C22">
            <w:pPr>
              <w:rPr>
                <w:lang w:eastAsia="zh-CN"/>
              </w:rPr>
            </w:pPr>
            <w:r>
              <w:rPr>
                <w:rFonts w:hint="eastAsia"/>
                <w:szCs w:val="21"/>
                <w:lang w:eastAsia="zh-CN"/>
              </w:rPr>
              <w:t>2023-05-31</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易方达中证</w:t>
            </w:r>
            <w:r>
              <w:rPr>
                <w:rFonts w:hint="eastAsia"/>
                <w:szCs w:val="21"/>
                <w:lang w:eastAsia="zh-CN"/>
              </w:rPr>
              <w:t>2000ETF</w:t>
            </w:r>
          </w:p>
        </w:tc>
        <w:tc>
          <w:tcPr>
            <w:tcW w:w="1835" w:type="dxa"/>
          </w:tcPr>
          <w:p w:rsidR="00957C22">
            <w:pPr>
              <w:rPr>
                <w:lang w:eastAsia="zh-CN"/>
              </w:rPr>
            </w:pPr>
            <w:r>
              <w:rPr>
                <w:rFonts w:hint="eastAsia"/>
                <w:szCs w:val="21"/>
                <w:lang w:eastAsia="zh-CN"/>
              </w:rPr>
              <w:t>2023-09-13</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易方达国证信息技术</w:t>
            </w:r>
            <w:r>
              <w:rPr>
                <w:rFonts w:hint="eastAsia"/>
                <w:szCs w:val="21"/>
                <w:lang w:eastAsia="zh-CN"/>
              </w:rPr>
              <w:t>创新主题</w:t>
            </w:r>
            <w:r>
              <w:rPr>
                <w:rFonts w:hint="eastAsia"/>
                <w:szCs w:val="21"/>
                <w:lang w:eastAsia="zh-CN"/>
              </w:rPr>
              <w:t>ETF</w:t>
            </w:r>
          </w:p>
        </w:tc>
        <w:tc>
          <w:tcPr>
            <w:tcW w:w="1835" w:type="dxa"/>
          </w:tcPr>
          <w:p w:rsidR="00957C22">
            <w:pPr>
              <w:rPr>
                <w:lang w:eastAsia="zh-CN"/>
              </w:rPr>
            </w:pPr>
            <w:r>
              <w:rPr>
                <w:rFonts w:hint="eastAsia"/>
                <w:szCs w:val="21"/>
                <w:lang w:eastAsia="zh-CN"/>
              </w:rPr>
              <w:t>2023-09-20</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易方达中证港股通互联网</w:t>
            </w:r>
            <w:r>
              <w:rPr>
                <w:rFonts w:hint="eastAsia"/>
                <w:szCs w:val="21"/>
                <w:lang w:eastAsia="zh-CN"/>
              </w:rPr>
              <w:t>ETF</w:t>
            </w:r>
            <w:r>
              <w:rPr>
                <w:rFonts w:hint="eastAsia"/>
                <w:szCs w:val="21"/>
                <w:lang w:eastAsia="zh-CN"/>
              </w:rPr>
              <w:t>联接发起式</w:t>
            </w:r>
          </w:p>
        </w:tc>
        <w:tc>
          <w:tcPr>
            <w:tcW w:w="1835" w:type="dxa"/>
          </w:tcPr>
          <w:p w:rsidR="00957C22">
            <w:pPr>
              <w:rPr>
                <w:lang w:eastAsia="zh-CN"/>
              </w:rPr>
            </w:pPr>
            <w:r>
              <w:rPr>
                <w:rFonts w:hint="eastAsia"/>
                <w:szCs w:val="21"/>
                <w:lang w:eastAsia="zh-CN"/>
              </w:rPr>
              <w:t>2023-09-21</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易方达国证机器人</w:t>
            </w:r>
            <w:r>
              <w:rPr>
                <w:rFonts w:hint="eastAsia"/>
                <w:szCs w:val="21"/>
                <w:lang w:eastAsia="zh-CN"/>
              </w:rPr>
              <w:t>产业</w:t>
            </w:r>
            <w:r>
              <w:rPr>
                <w:rFonts w:hint="eastAsia"/>
                <w:szCs w:val="21"/>
                <w:lang w:eastAsia="zh-CN"/>
              </w:rPr>
              <w:t>ETF</w:t>
            </w:r>
          </w:p>
        </w:tc>
        <w:tc>
          <w:tcPr>
            <w:tcW w:w="1835" w:type="dxa"/>
          </w:tcPr>
          <w:p w:rsidR="00957C22">
            <w:pPr>
              <w:rPr>
                <w:lang w:eastAsia="zh-CN"/>
              </w:rPr>
            </w:pPr>
            <w:r>
              <w:rPr>
                <w:rFonts w:hint="eastAsia"/>
                <w:szCs w:val="21"/>
                <w:lang w:eastAsia="zh-CN"/>
              </w:rPr>
              <w:t>2024-01-10</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易方达国证新能源</w:t>
            </w:r>
            <w:r>
              <w:rPr>
                <w:rFonts w:hint="eastAsia"/>
                <w:szCs w:val="21"/>
                <w:lang w:eastAsia="zh-CN"/>
              </w:rPr>
              <w:t>电池</w:t>
            </w:r>
            <w:r>
              <w:rPr>
                <w:rFonts w:hint="eastAsia"/>
                <w:szCs w:val="21"/>
                <w:lang w:eastAsia="zh-CN"/>
              </w:rPr>
              <w:t>ETF</w:t>
            </w:r>
          </w:p>
        </w:tc>
        <w:tc>
          <w:tcPr>
            <w:tcW w:w="1835" w:type="dxa"/>
          </w:tcPr>
          <w:p w:rsidR="00957C22">
            <w:pPr>
              <w:rPr>
                <w:lang w:eastAsia="zh-CN"/>
              </w:rPr>
            </w:pPr>
            <w:r>
              <w:rPr>
                <w:rFonts w:hint="eastAsia"/>
                <w:szCs w:val="21"/>
                <w:lang w:eastAsia="zh-CN"/>
              </w:rPr>
              <w:t>2024-01-31</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易方达上证</w:t>
            </w:r>
            <w:r>
              <w:rPr>
                <w:rFonts w:hint="eastAsia"/>
                <w:szCs w:val="21"/>
                <w:lang w:eastAsia="zh-CN"/>
              </w:rPr>
              <w:t>科创板</w:t>
            </w:r>
            <w:r>
              <w:rPr>
                <w:rFonts w:hint="eastAsia"/>
                <w:szCs w:val="21"/>
                <w:lang w:eastAsia="zh-CN"/>
              </w:rPr>
              <w:t>芯片</w:t>
            </w:r>
            <w:r>
              <w:rPr>
                <w:rFonts w:hint="eastAsia"/>
                <w:szCs w:val="21"/>
                <w:lang w:eastAsia="zh-CN"/>
              </w:rPr>
              <w:t>ETF</w:t>
            </w:r>
            <w:r>
              <w:rPr>
                <w:rFonts w:hint="eastAsia"/>
                <w:szCs w:val="21"/>
                <w:lang w:eastAsia="zh-CN"/>
              </w:rPr>
              <w:t>联接发起式</w:t>
            </w:r>
          </w:p>
        </w:tc>
        <w:tc>
          <w:tcPr>
            <w:tcW w:w="1835" w:type="dxa"/>
          </w:tcPr>
          <w:p w:rsidR="00957C22">
            <w:pPr>
              <w:rPr>
                <w:lang w:eastAsia="zh-CN"/>
              </w:rPr>
            </w:pPr>
            <w:r>
              <w:rPr>
                <w:rFonts w:hint="eastAsia"/>
                <w:szCs w:val="21"/>
                <w:lang w:eastAsia="zh-CN"/>
              </w:rPr>
              <w:t>2024-01-31</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易方达中证</w:t>
            </w:r>
            <w:r>
              <w:rPr>
                <w:rFonts w:hint="eastAsia"/>
                <w:szCs w:val="21"/>
                <w:lang w:eastAsia="zh-CN"/>
              </w:rPr>
              <w:t>A50ETF</w:t>
            </w:r>
          </w:p>
        </w:tc>
        <w:tc>
          <w:tcPr>
            <w:tcW w:w="1835" w:type="dxa"/>
          </w:tcPr>
          <w:p w:rsidR="00957C22">
            <w:pPr>
              <w:rPr>
                <w:lang w:eastAsia="zh-CN"/>
              </w:rPr>
            </w:pPr>
            <w:r>
              <w:rPr>
                <w:rFonts w:hint="eastAsia"/>
                <w:szCs w:val="21"/>
                <w:lang w:eastAsia="zh-CN"/>
              </w:rPr>
              <w:t>2024-04-03</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易方达中证半导体材料设备主题</w:t>
            </w:r>
            <w:r>
              <w:rPr>
                <w:rFonts w:hint="eastAsia"/>
                <w:szCs w:val="21"/>
                <w:lang w:eastAsia="zh-CN"/>
              </w:rPr>
              <w:t>ETF</w:t>
            </w:r>
          </w:p>
        </w:tc>
        <w:tc>
          <w:tcPr>
            <w:tcW w:w="1835" w:type="dxa"/>
          </w:tcPr>
          <w:p w:rsidR="00957C22">
            <w:pPr>
              <w:rPr>
                <w:lang w:eastAsia="zh-CN"/>
              </w:rPr>
            </w:pPr>
            <w:r>
              <w:rPr>
                <w:rFonts w:hint="eastAsia"/>
                <w:szCs w:val="21"/>
                <w:lang w:eastAsia="zh-CN"/>
              </w:rPr>
              <w:t>2024-06-06</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易方达上证</w:t>
            </w:r>
            <w:r>
              <w:rPr>
                <w:rFonts w:hint="eastAsia"/>
                <w:szCs w:val="21"/>
                <w:lang w:eastAsia="zh-CN"/>
              </w:rPr>
              <w:t>科创板</w:t>
            </w:r>
            <w:r>
              <w:rPr>
                <w:rFonts w:hint="eastAsia"/>
                <w:szCs w:val="21"/>
                <w:lang w:eastAsia="zh-CN"/>
              </w:rPr>
              <w:t>芯片</w:t>
            </w:r>
            <w:r>
              <w:rPr>
                <w:rFonts w:hint="eastAsia"/>
                <w:szCs w:val="21"/>
                <w:lang w:eastAsia="zh-CN"/>
              </w:rPr>
              <w:t>ETF</w:t>
            </w:r>
          </w:p>
        </w:tc>
        <w:tc>
          <w:tcPr>
            <w:tcW w:w="1835" w:type="dxa"/>
          </w:tcPr>
          <w:p w:rsidR="00957C22">
            <w:pPr>
              <w:rPr>
                <w:lang w:eastAsia="zh-CN"/>
              </w:rPr>
            </w:pPr>
            <w:r>
              <w:rPr>
                <w:rFonts w:hint="eastAsia"/>
                <w:szCs w:val="21"/>
                <w:lang w:eastAsia="zh-CN"/>
              </w:rPr>
              <w:t>2025-12-29</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易方达上证</w:t>
            </w:r>
            <w:r>
              <w:rPr>
                <w:rFonts w:hint="eastAsia"/>
                <w:szCs w:val="21"/>
                <w:lang w:eastAsia="zh-CN"/>
              </w:rPr>
              <w:t>科创板</w:t>
            </w:r>
            <w:r>
              <w:rPr>
                <w:rFonts w:hint="eastAsia"/>
                <w:szCs w:val="21"/>
                <w:lang w:eastAsia="zh-CN"/>
              </w:rPr>
              <w:t>芯片设计主题</w:t>
            </w:r>
            <w:r>
              <w:rPr>
                <w:rFonts w:hint="eastAsia"/>
                <w:szCs w:val="21"/>
                <w:lang w:eastAsia="zh-CN"/>
              </w:rPr>
              <w:t>ETF</w:t>
            </w:r>
          </w:p>
        </w:tc>
        <w:tc>
          <w:tcPr>
            <w:tcW w:w="1835" w:type="dxa"/>
          </w:tcPr>
          <w:p w:rsidR="00957C22">
            <w:pPr>
              <w:rPr>
                <w:lang w:eastAsia="zh-CN"/>
              </w:rPr>
            </w:pPr>
            <w:r>
              <w:rPr>
                <w:rFonts w:hint="eastAsia"/>
                <w:szCs w:val="21"/>
                <w:lang w:eastAsia="zh-CN"/>
              </w:rPr>
              <w:t>2025-12-31</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易方达中证电池主题</w:t>
            </w:r>
            <w:r>
              <w:rPr>
                <w:rFonts w:hint="eastAsia"/>
                <w:szCs w:val="21"/>
                <w:lang w:eastAsia="zh-CN"/>
              </w:rPr>
              <w:t>ETF</w:t>
            </w:r>
          </w:p>
        </w:tc>
        <w:tc>
          <w:tcPr>
            <w:tcW w:w="1835" w:type="dxa"/>
          </w:tcPr>
          <w:p w:rsidR="00957C22">
            <w:pPr>
              <w:rPr>
                <w:lang w:eastAsia="zh-CN"/>
              </w:rPr>
            </w:pPr>
            <w:r>
              <w:rPr>
                <w:rFonts w:hint="eastAsia"/>
                <w:szCs w:val="21"/>
                <w:lang w:eastAsia="zh-CN"/>
              </w:rPr>
              <w:t>2026-02-25</w:t>
            </w:r>
          </w:p>
        </w:tc>
        <w:tc>
          <w:tcPr>
            <w:tcW w:w="1835" w:type="dxa"/>
          </w:tcPr>
          <w:p w:rsidR="00957C22">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w:t>
            </w:r>
            <w:r>
              <w:rPr>
                <w:rFonts w:hint="eastAsia"/>
                <w:szCs w:val="21"/>
                <w:lang w:eastAsia="zh-CN"/>
              </w:rPr>
              <w:t>中证沪港</w:t>
            </w:r>
            <w:r>
              <w:rPr>
                <w:rFonts w:hint="eastAsia"/>
                <w:szCs w:val="21"/>
                <w:lang w:eastAsia="zh-CN"/>
              </w:rPr>
              <w:t>深</w:t>
            </w:r>
            <w:r>
              <w:rPr>
                <w:rFonts w:hint="eastAsia"/>
                <w:szCs w:val="21"/>
                <w:lang w:eastAsia="zh-CN"/>
              </w:rPr>
              <w:t>500ETF</w:t>
            </w:r>
          </w:p>
        </w:tc>
        <w:tc>
          <w:tcPr>
            <w:tcW w:w="1835" w:type="dxa"/>
          </w:tcPr>
          <w:p w:rsidR="00957C22">
            <w:pPr>
              <w:rPr>
                <w:lang w:eastAsia="zh-CN"/>
              </w:rPr>
            </w:pPr>
            <w:r>
              <w:rPr>
                <w:rFonts w:hint="eastAsia"/>
                <w:szCs w:val="21"/>
                <w:lang w:eastAsia="zh-CN"/>
              </w:rPr>
              <w:t>2022-12-03</w:t>
            </w:r>
          </w:p>
        </w:tc>
        <w:tc>
          <w:tcPr>
            <w:tcW w:w="1835" w:type="dxa"/>
          </w:tcPr>
          <w:p w:rsidR="00957C22">
            <w:pPr>
              <w:rPr>
                <w:lang w:eastAsia="zh-CN"/>
              </w:rPr>
            </w:pPr>
            <w:r>
              <w:rPr>
                <w:rFonts w:hint="eastAsia"/>
                <w:szCs w:val="21"/>
                <w:lang w:eastAsia="zh-CN"/>
              </w:rPr>
              <w:t>2025-11-29</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w:t>
            </w:r>
            <w:r>
              <w:rPr>
                <w:rFonts w:hint="eastAsia"/>
                <w:szCs w:val="21"/>
                <w:lang w:eastAsia="zh-CN"/>
              </w:rPr>
              <w:t>中证沪港</w:t>
            </w:r>
            <w:r>
              <w:rPr>
                <w:rFonts w:hint="eastAsia"/>
                <w:szCs w:val="21"/>
                <w:lang w:eastAsia="zh-CN"/>
              </w:rPr>
              <w:t>深</w:t>
            </w:r>
            <w:r>
              <w:rPr>
                <w:rFonts w:hint="eastAsia"/>
                <w:szCs w:val="21"/>
                <w:lang w:eastAsia="zh-CN"/>
              </w:rPr>
              <w:t>500ETF</w:t>
            </w:r>
            <w:r>
              <w:rPr>
                <w:rFonts w:hint="eastAsia"/>
                <w:szCs w:val="21"/>
                <w:lang w:eastAsia="zh-CN"/>
              </w:rPr>
              <w:t>联接发起式</w:t>
            </w:r>
          </w:p>
        </w:tc>
        <w:tc>
          <w:tcPr>
            <w:tcW w:w="1835" w:type="dxa"/>
          </w:tcPr>
          <w:p w:rsidR="00957C22">
            <w:pPr>
              <w:rPr>
                <w:lang w:eastAsia="zh-CN"/>
              </w:rPr>
            </w:pPr>
            <w:r>
              <w:rPr>
                <w:rFonts w:hint="eastAsia"/>
                <w:szCs w:val="21"/>
                <w:lang w:eastAsia="zh-CN"/>
              </w:rPr>
              <w:t>2024-01-04</w:t>
            </w:r>
          </w:p>
        </w:tc>
        <w:tc>
          <w:tcPr>
            <w:tcW w:w="1835" w:type="dxa"/>
          </w:tcPr>
          <w:p w:rsidR="00957C22">
            <w:pPr>
              <w:rPr>
                <w:lang w:eastAsia="zh-CN"/>
              </w:rPr>
            </w:pPr>
            <w:r>
              <w:rPr>
                <w:rFonts w:hint="eastAsia"/>
                <w:szCs w:val="21"/>
                <w:lang w:eastAsia="zh-CN"/>
              </w:rPr>
              <w:t>2025-11-29</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易方达中证物联网主题</w:t>
            </w:r>
            <w:r>
              <w:rPr>
                <w:rFonts w:hint="eastAsia"/>
                <w:szCs w:val="21"/>
                <w:lang w:eastAsia="zh-CN"/>
              </w:rPr>
              <w:t>ETF</w:t>
            </w:r>
          </w:p>
        </w:tc>
        <w:tc>
          <w:tcPr>
            <w:tcW w:w="1835" w:type="dxa"/>
          </w:tcPr>
          <w:p w:rsidR="00957C22">
            <w:pPr>
              <w:rPr>
                <w:lang w:eastAsia="zh-CN"/>
              </w:rPr>
            </w:pPr>
            <w:r>
              <w:rPr>
                <w:rFonts w:hint="eastAsia"/>
                <w:szCs w:val="21"/>
                <w:lang w:eastAsia="zh-CN"/>
              </w:rPr>
              <w:t>2022-11-26</w:t>
            </w:r>
          </w:p>
        </w:tc>
        <w:tc>
          <w:tcPr>
            <w:tcW w:w="1835" w:type="dxa"/>
          </w:tcPr>
          <w:p w:rsidR="00957C22">
            <w:pPr>
              <w:rPr>
                <w:lang w:eastAsia="zh-CN"/>
              </w:rPr>
            </w:pPr>
            <w:r>
              <w:rPr>
                <w:rFonts w:hint="eastAsia"/>
                <w:szCs w:val="21"/>
                <w:lang w:eastAsia="zh-CN"/>
              </w:rPr>
              <w:t>2025-12-24</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易方达中证物联网主题</w:t>
            </w:r>
            <w:r>
              <w:rPr>
                <w:rFonts w:hint="eastAsia"/>
                <w:szCs w:val="21"/>
                <w:lang w:eastAsia="zh-CN"/>
              </w:rPr>
              <w:t>ETF</w:t>
            </w:r>
            <w:r>
              <w:rPr>
                <w:rFonts w:hint="eastAsia"/>
                <w:szCs w:val="21"/>
                <w:lang w:eastAsia="zh-CN"/>
              </w:rPr>
              <w:t>联接发起式</w:t>
            </w:r>
          </w:p>
        </w:tc>
        <w:tc>
          <w:tcPr>
            <w:tcW w:w="1835" w:type="dxa"/>
          </w:tcPr>
          <w:p w:rsidR="00957C22">
            <w:pPr>
              <w:rPr>
                <w:lang w:eastAsia="zh-CN"/>
              </w:rPr>
            </w:pPr>
            <w:r>
              <w:rPr>
                <w:rFonts w:hint="eastAsia"/>
                <w:szCs w:val="21"/>
                <w:lang w:eastAsia="zh-CN"/>
              </w:rPr>
              <w:t>2023-09-26</w:t>
            </w:r>
          </w:p>
        </w:tc>
        <w:tc>
          <w:tcPr>
            <w:tcW w:w="1835" w:type="dxa"/>
          </w:tcPr>
          <w:p w:rsidR="00957C22">
            <w:pPr>
              <w:rPr>
                <w:lang w:eastAsia="zh-CN"/>
              </w:rPr>
            </w:pPr>
            <w:r>
              <w:rPr>
                <w:rFonts w:hint="eastAsia"/>
                <w:szCs w:val="21"/>
                <w:lang w:eastAsia="zh-CN"/>
              </w:rPr>
              <w:t>2025-12-24</w:t>
            </w:r>
          </w:p>
        </w:tc>
      </w:tr>
      <w:tr>
        <w:tblPrEx>
          <w:tblW w:w="0" w:type="auto"/>
          <w:jc w:val="center"/>
          <w:tblLayout w:type="fixed"/>
          <w:tblLook w:val="04A0"/>
        </w:tblPrEx>
        <w:trPr>
          <w:trHeight w:val="360"/>
          <w:jc w:val="center"/>
        </w:trPr>
        <w:tc>
          <w:tcPr>
            <w:tcW w:w="4626" w:type="dxa"/>
          </w:tcPr>
          <w:p w:rsidR="00957C22">
            <w:pPr>
              <w:rPr>
                <w:lang w:eastAsia="zh-CN"/>
              </w:rPr>
            </w:pPr>
            <w:r>
              <w:rPr>
                <w:rFonts w:hint="eastAsia"/>
                <w:szCs w:val="21"/>
                <w:lang w:eastAsia="zh-CN"/>
              </w:rPr>
              <w:t>易方达中证生物科技主题</w:t>
            </w:r>
            <w:r>
              <w:rPr>
                <w:rFonts w:hint="eastAsia"/>
                <w:szCs w:val="21"/>
                <w:lang w:eastAsia="zh-CN"/>
              </w:rPr>
              <w:t>ETF</w:t>
            </w:r>
            <w:r>
              <w:rPr>
                <w:rFonts w:hint="eastAsia"/>
                <w:szCs w:val="21"/>
                <w:lang w:eastAsia="zh-CN"/>
              </w:rPr>
              <w:t>联接发起式</w:t>
            </w:r>
          </w:p>
        </w:tc>
        <w:tc>
          <w:tcPr>
            <w:tcW w:w="1835" w:type="dxa"/>
          </w:tcPr>
          <w:p w:rsidR="00957C22">
            <w:pPr>
              <w:rPr>
                <w:lang w:eastAsia="zh-CN"/>
              </w:rPr>
            </w:pPr>
            <w:r>
              <w:rPr>
                <w:rFonts w:hint="eastAsia"/>
                <w:szCs w:val="21"/>
                <w:lang w:eastAsia="zh-CN"/>
              </w:rPr>
              <w:t>2023-09-19</w:t>
            </w:r>
          </w:p>
        </w:tc>
        <w:tc>
          <w:tcPr>
            <w:tcW w:w="1835" w:type="dxa"/>
          </w:tcPr>
          <w:p w:rsidR="00957C22">
            <w:pPr>
              <w:rPr>
                <w:lang w:eastAsia="zh-CN"/>
              </w:rPr>
            </w:pPr>
            <w:r>
              <w:rPr>
                <w:rFonts w:hint="eastAsia"/>
                <w:szCs w:val="21"/>
                <w:lang w:eastAsia="zh-CN"/>
              </w:rPr>
              <w:t>2026-04-11</w:t>
            </w:r>
          </w:p>
        </w:tc>
      </w:tr>
    </w:tbl>
    <w:p w:rsidR="00957C22">
      <w:pPr>
        <w:spacing w:line="360" w:lineRule="auto"/>
        <w:ind w:firstLine="420"/>
        <w:rPr>
          <w:bCs/>
          <w:lang w:eastAsia="zh-CN"/>
        </w:rPr>
      </w:pPr>
    </w:p>
    <w:tbl>
      <w:tblPr>
        <w:tblStyle w:val="TableGrid"/>
        <w:tblW w:w="0" w:type="auto"/>
        <w:jc w:val="center"/>
        <w:tblLayout w:type="fixed"/>
        <w:tblLook w:val="04A0"/>
      </w:tblPr>
      <w:tblGrid>
        <w:gridCol w:w="4148"/>
        <w:gridCol w:w="4148"/>
      </w:tblGrid>
      <w:tr>
        <w:tblPrEx>
          <w:tblW w:w="0" w:type="auto"/>
          <w:jc w:val="center"/>
          <w:tblLayout w:type="fixed"/>
          <w:tblLook w:val="04A0"/>
        </w:tblPrEx>
        <w:trPr>
          <w:jc w:val="center"/>
        </w:trPr>
        <w:tc>
          <w:tcPr>
            <w:tcW w:w="8296" w:type="dxa"/>
            <w:gridSpan w:val="2"/>
          </w:tcPr>
          <w:p w:rsidR="00957C22">
            <w:pPr>
              <w:rPr>
                <w:lang w:eastAsia="zh-CN"/>
              </w:rPr>
            </w:pPr>
            <w:r>
              <w:rPr>
                <w:rFonts w:hint="eastAsia"/>
                <w:b/>
                <w:szCs w:val="21"/>
                <w:lang w:eastAsia="zh-CN"/>
              </w:rPr>
              <w:t>现任基金经理助理的基金</w:t>
            </w:r>
          </w:p>
        </w:tc>
      </w:tr>
      <w:tr>
        <w:tblPrEx>
          <w:tblW w:w="0" w:type="auto"/>
          <w:jc w:val="center"/>
          <w:tblLayout w:type="fixed"/>
          <w:tblLook w:val="04A0"/>
        </w:tblPrEx>
        <w:trPr>
          <w:trHeight w:val="360"/>
          <w:jc w:val="center"/>
        </w:trPr>
        <w:tc>
          <w:tcPr>
            <w:tcW w:w="4148" w:type="dxa"/>
          </w:tcPr>
          <w:p w:rsidR="00957C22">
            <w:pPr>
              <w:rPr>
                <w:lang w:eastAsia="zh-CN"/>
              </w:rPr>
            </w:pPr>
            <w:r>
              <w:rPr>
                <w:rFonts w:hint="eastAsia"/>
                <w:szCs w:val="21"/>
                <w:lang w:eastAsia="zh-CN"/>
              </w:rPr>
              <w:t>易方达中</w:t>
            </w:r>
            <w:r>
              <w:rPr>
                <w:rFonts w:hint="eastAsia"/>
                <w:szCs w:val="21"/>
                <w:lang w:eastAsia="zh-CN"/>
              </w:rPr>
              <w:t>证海外</w:t>
            </w:r>
            <w:r>
              <w:rPr>
                <w:rFonts w:hint="eastAsia"/>
                <w:szCs w:val="21"/>
                <w:lang w:eastAsia="zh-CN"/>
              </w:rPr>
              <w:t>中国互联网</w:t>
            </w:r>
            <w:r>
              <w:rPr>
                <w:rFonts w:hint="eastAsia"/>
                <w:szCs w:val="21"/>
                <w:lang w:eastAsia="zh-CN"/>
              </w:rPr>
              <w:t>50</w:t>
            </w:r>
            <w:r>
              <w:rPr>
                <w:rFonts w:hint="eastAsia"/>
                <w:szCs w:val="21"/>
                <w:lang w:eastAsia="zh-CN"/>
              </w:rPr>
              <w:t>（</w:t>
            </w:r>
            <w:r>
              <w:rPr>
                <w:rFonts w:hint="eastAsia"/>
                <w:szCs w:val="21"/>
                <w:lang w:eastAsia="zh-CN"/>
              </w:rPr>
              <w:t>QDII-ETF</w:t>
            </w:r>
            <w:r>
              <w:rPr>
                <w:rFonts w:hint="eastAsia"/>
                <w:szCs w:val="21"/>
                <w:lang w:eastAsia="zh-CN"/>
              </w:rPr>
              <w:t>）</w:t>
            </w:r>
          </w:p>
        </w:tc>
        <w:tc>
          <w:tcPr>
            <w:tcW w:w="4148" w:type="dxa"/>
          </w:tcPr>
          <w:p w:rsidR="00957C22">
            <w:pPr>
              <w:rPr>
                <w:lang w:eastAsia="zh-CN"/>
              </w:rPr>
            </w:pPr>
            <w:r>
              <w:rPr>
                <w:rFonts w:hint="eastAsia"/>
                <w:szCs w:val="21"/>
                <w:lang w:eastAsia="zh-CN"/>
              </w:rPr>
              <w:t>易方达中证</w:t>
            </w:r>
            <w:r>
              <w:rPr>
                <w:rFonts w:hint="eastAsia"/>
                <w:szCs w:val="21"/>
                <w:lang w:eastAsia="zh-CN"/>
              </w:rPr>
              <w:t>A50ETF</w:t>
            </w:r>
            <w:r>
              <w:rPr>
                <w:rFonts w:hint="eastAsia"/>
                <w:szCs w:val="21"/>
                <w:lang w:eastAsia="zh-CN"/>
              </w:rPr>
              <w:t>联接发起式</w:t>
            </w:r>
          </w:p>
        </w:tc>
      </w:tr>
      <w:tr>
        <w:tblPrEx>
          <w:tblW w:w="0" w:type="auto"/>
          <w:jc w:val="center"/>
          <w:tblLayout w:type="fixed"/>
          <w:tblLook w:val="04A0"/>
        </w:tblPrEx>
        <w:trPr>
          <w:trHeight w:val="360"/>
          <w:jc w:val="center"/>
        </w:trPr>
        <w:tc>
          <w:tcPr>
            <w:tcW w:w="4148" w:type="dxa"/>
          </w:tcPr>
          <w:p w:rsidR="00957C22">
            <w:pPr>
              <w:rPr>
                <w:lang w:eastAsia="zh-CN"/>
              </w:rPr>
            </w:pPr>
            <w:r>
              <w:rPr>
                <w:rFonts w:hint="eastAsia"/>
                <w:szCs w:val="21"/>
                <w:lang w:eastAsia="zh-CN"/>
              </w:rPr>
              <w:t>易方达国证信息技术</w:t>
            </w:r>
            <w:r>
              <w:rPr>
                <w:rFonts w:hint="eastAsia"/>
                <w:szCs w:val="21"/>
                <w:lang w:eastAsia="zh-CN"/>
              </w:rPr>
              <w:t>创新主题</w:t>
            </w:r>
            <w:r>
              <w:rPr>
                <w:rFonts w:hint="eastAsia"/>
                <w:szCs w:val="21"/>
                <w:lang w:eastAsia="zh-CN"/>
              </w:rPr>
              <w:t>ETF</w:t>
            </w:r>
            <w:r>
              <w:rPr>
                <w:rFonts w:hint="eastAsia"/>
                <w:szCs w:val="21"/>
                <w:lang w:eastAsia="zh-CN"/>
              </w:rPr>
              <w:t>联接发起式</w:t>
            </w:r>
          </w:p>
        </w:tc>
        <w:tc>
          <w:tcPr>
            <w:tcW w:w="4148" w:type="dxa"/>
          </w:tcPr>
          <w:p w:rsidR="00957C22">
            <w:pPr>
              <w:rPr>
                <w:lang w:eastAsia="zh-CN"/>
              </w:rPr>
            </w:pPr>
            <w:r>
              <w:rPr>
                <w:rFonts w:hint="eastAsia"/>
                <w:szCs w:val="21"/>
                <w:lang w:eastAsia="zh-CN"/>
              </w:rPr>
              <w:t>易方达国证机器人</w:t>
            </w:r>
            <w:r>
              <w:rPr>
                <w:rFonts w:hint="eastAsia"/>
                <w:szCs w:val="21"/>
                <w:lang w:eastAsia="zh-CN"/>
              </w:rPr>
              <w:t>产业</w:t>
            </w:r>
            <w:r>
              <w:rPr>
                <w:rFonts w:hint="eastAsia"/>
                <w:szCs w:val="21"/>
                <w:lang w:eastAsia="zh-CN"/>
              </w:rPr>
              <w:t>ETF</w:t>
            </w:r>
            <w:r>
              <w:rPr>
                <w:rFonts w:hint="eastAsia"/>
                <w:szCs w:val="21"/>
                <w:lang w:eastAsia="zh-CN"/>
              </w:rPr>
              <w:t>联接发起式</w:t>
            </w:r>
          </w:p>
        </w:tc>
      </w:tr>
      <w:tr>
        <w:tblPrEx>
          <w:tblW w:w="0" w:type="auto"/>
          <w:jc w:val="center"/>
          <w:tblLayout w:type="fixed"/>
          <w:tblLook w:val="04A0"/>
        </w:tblPrEx>
        <w:trPr>
          <w:trHeight w:val="360"/>
          <w:jc w:val="center"/>
        </w:trPr>
        <w:tc>
          <w:tcPr>
            <w:tcW w:w="4148" w:type="dxa"/>
          </w:tcPr>
          <w:p w:rsidR="00957C22">
            <w:pPr>
              <w:rPr>
                <w:lang w:eastAsia="zh-CN"/>
              </w:rPr>
            </w:pPr>
            <w:r>
              <w:rPr>
                <w:rFonts w:hint="eastAsia"/>
                <w:szCs w:val="21"/>
                <w:lang w:eastAsia="zh-CN"/>
              </w:rPr>
              <w:t>易方达国证新能源</w:t>
            </w:r>
            <w:r>
              <w:rPr>
                <w:rFonts w:hint="eastAsia"/>
                <w:szCs w:val="21"/>
                <w:lang w:eastAsia="zh-CN"/>
              </w:rPr>
              <w:t>电池</w:t>
            </w:r>
            <w:r>
              <w:rPr>
                <w:rFonts w:hint="eastAsia"/>
                <w:szCs w:val="21"/>
                <w:lang w:eastAsia="zh-CN"/>
              </w:rPr>
              <w:t>ETF</w:t>
            </w:r>
            <w:r>
              <w:rPr>
                <w:rFonts w:hint="eastAsia"/>
                <w:szCs w:val="21"/>
                <w:lang w:eastAsia="zh-CN"/>
              </w:rPr>
              <w:t>联接发起式</w:t>
            </w:r>
          </w:p>
        </w:tc>
        <w:tc>
          <w:tcPr>
            <w:tcW w:w="4148" w:type="dxa"/>
          </w:tcPr>
          <w:p w:rsidR="00957C22">
            <w:pPr>
              <w:rPr>
                <w:lang w:eastAsia="zh-CN"/>
              </w:rPr>
            </w:pPr>
            <w:r>
              <w:rPr>
                <w:rFonts w:hint="eastAsia"/>
                <w:szCs w:val="21"/>
                <w:lang w:eastAsia="zh-CN"/>
              </w:rPr>
              <w:t>易方达中证半导体材料设备主题</w:t>
            </w:r>
            <w:r>
              <w:rPr>
                <w:rFonts w:hint="eastAsia"/>
                <w:szCs w:val="21"/>
                <w:lang w:eastAsia="zh-CN"/>
              </w:rPr>
              <w:t>ETF</w:t>
            </w:r>
            <w:r>
              <w:rPr>
                <w:rFonts w:hint="eastAsia"/>
                <w:szCs w:val="21"/>
                <w:lang w:eastAsia="zh-CN"/>
              </w:rPr>
              <w:t>联接发起式</w:t>
            </w:r>
          </w:p>
        </w:tc>
      </w:tr>
    </w:tbl>
    <w:p w:rsidR="0097367D">
      <w:pPr>
        <w:spacing w:line="360" w:lineRule="auto"/>
        <w:ind w:firstLine="420"/>
        <w:rPr>
          <w:bCs/>
          <w:lang w:eastAsia="zh-CN"/>
        </w:rPr>
      </w:pPr>
      <w:r>
        <w:rPr>
          <w:rFonts w:hint="eastAsia"/>
          <w:bCs/>
          <w:lang w:eastAsia="zh-CN"/>
        </w:rPr>
        <w:t>3</w:t>
      </w:r>
      <w:r>
        <w:rPr>
          <w:rFonts w:hint="eastAsia"/>
          <w:bCs/>
          <w:lang w:eastAsia="zh-CN"/>
        </w:rPr>
        <w:t>、指数投资决策委员会成员</w:t>
      </w:r>
    </w:p>
    <w:p w:rsidR="00957C22">
      <w:pPr>
        <w:spacing w:line="360" w:lineRule="auto"/>
        <w:ind w:firstLine="420"/>
        <w:rPr>
          <w:bCs/>
          <w:lang w:eastAsia="zh-CN"/>
        </w:rPr>
      </w:pPr>
      <w:r>
        <w:rPr>
          <w:rFonts w:hint="eastAsia"/>
          <w:bCs/>
          <w:lang w:eastAsia="zh-CN"/>
        </w:rPr>
        <w:t>本公司指数投资决策委员会成员包括：林伟斌先生、庞亚平先生、余海燕女士。</w:t>
      </w:r>
    </w:p>
    <w:p w:rsidR="00957C22">
      <w:pPr>
        <w:spacing w:line="360" w:lineRule="auto"/>
        <w:ind w:firstLine="420"/>
        <w:rPr>
          <w:bCs/>
          <w:lang w:eastAsia="zh-CN"/>
        </w:rPr>
      </w:pPr>
      <w:r>
        <w:rPr>
          <w:rFonts w:hint="eastAsia"/>
          <w:bCs/>
          <w:lang w:eastAsia="zh-CN"/>
        </w:rPr>
        <w:t>林伟斌先生，易方达基金管理有限公司指数投资部总经理、国际指数部总经理、基金经理，易方达资产管理（香港）有限公司投资决策委员会委员、国际指数部总经理。</w:t>
      </w:r>
    </w:p>
    <w:p w:rsidR="00957C22">
      <w:pPr>
        <w:spacing w:line="360" w:lineRule="auto"/>
        <w:ind w:firstLine="420"/>
        <w:rPr>
          <w:bCs/>
          <w:lang w:eastAsia="zh-CN"/>
        </w:rPr>
      </w:pPr>
      <w:r>
        <w:rPr>
          <w:rFonts w:hint="eastAsia"/>
          <w:bCs/>
          <w:lang w:eastAsia="zh-CN"/>
        </w:rPr>
        <w:t>庞亚平先生，易方达基金管理有限公司指数研究发展部总经理、基金经理。</w:t>
      </w:r>
    </w:p>
    <w:p w:rsidR="00957C22">
      <w:pPr>
        <w:spacing w:line="360" w:lineRule="auto"/>
        <w:ind w:firstLine="420"/>
        <w:rPr>
          <w:bCs/>
          <w:lang w:eastAsia="zh-CN"/>
        </w:rPr>
      </w:pPr>
      <w:r>
        <w:rPr>
          <w:rFonts w:hint="eastAsia"/>
          <w:bCs/>
          <w:lang w:eastAsia="zh-CN"/>
        </w:rPr>
        <w:t>余海燕女士，易方达基金管理有限公司指数投资部副总经理、基金经理。</w:t>
      </w:r>
    </w:p>
    <w:p w:rsidR="0097367D">
      <w:pPr>
        <w:spacing w:line="360" w:lineRule="auto"/>
        <w:ind w:firstLine="420"/>
        <w:rPr>
          <w:bCs/>
          <w:lang w:eastAsia="zh-CN"/>
        </w:rPr>
      </w:pPr>
      <w:bookmarkStart w:id="7" w:name="_Toc332373449"/>
      <w:r>
        <w:rPr>
          <w:rFonts w:hint="eastAsia"/>
          <w:bCs/>
          <w:lang w:eastAsia="zh-CN"/>
        </w:rPr>
        <w:t>4</w:t>
      </w:r>
      <w:bookmarkEnd w:id="7"/>
      <w:r>
        <w:rPr>
          <w:rFonts w:hint="eastAsia"/>
          <w:bCs/>
          <w:highlight w:val="white"/>
          <w:lang w:eastAsia="zh-CN"/>
        </w:rPr>
        <w:t>、上述人员之间均不存在近亲属关系。</w:t>
      </w:r>
    </w:p>
    <w:p w:rsidR="0097367D">
      <w:pPr>
        <w:spacing w:line="360" w:lineRule="auto"/>
        <w:ind w:firstLine="420"/>
        <w:rPr>
          <w:rFonts w:ascii="宋体" w:hAnsi="Calibri" w:cs="宋体"/>
          <w:szCs w:val="21"/>
          <w:lang w:eastAsia="zh-CN"/>
        </w:rPr>
      </w:pPr>
      <w:bookmarkStart w:id="8" w:name="_Toc332373451"/>
      <w:r>
        <w:rPr>
          <w:rFonts w:ascii="宋体" w:hAnsi="Calibri" w:cs="宋体" w:hint="eastAsia"/>
          <w:szCs w:val="21"/>
          <w:highlight w:val="white"/>
          <w:lang w:eastAsia="zh-CN"/>
        </w:rPr>
        <w:t>三、基金管理人的职责</w:t>
      </w:r>
      <w:bookmarkEnd w:id="8"/>
    </w:p>
    <w:p w:rsidR="0097367D">
      <w:pPr>
        <w:spacing w:line="360" w:lineRule="auto"/>
        <w:ind w:firstLine="420"/>
        <w:rPr>
          <w:rFonts w:ascii="宋体" w:hAnsi="Calibri" w:cs="宋体"/>
          <w:szCs w:val="21"/>
          <w:lang w:eastAsia="zh-CN"/>
        </w:rPr>
      </w:pPr>
      <w:bookmarkStart w:id="9" w:name="_Toc332373455"/>
      <w:r>
        <w:rPr>
          <w:rFonts w:ascii="宋体" w:hAnsi="Calibri" w:cs="宋体"/>
          <w:szCs w:val="21"/>
          <w:highlight w:val="white"/>
          <w:lang w:eastAsia="zh-CN"/>
        </w:rPr>
        <w:t>1、依法募集资金，办理基金份额的发售和登记事宜；</w:t>
      </w:r>
    </w:p>
    <w:p w:rsidR="0097367D">
      <w:pPr>
        <w:spacing w:line="360" w:lineRule="auto"/>
        <w:ind w:firstLine="420"/>
        <w:rPr>
          <w:rFonts w:ascii="宋体" w:hAnsi="Calibri" w:cs="宋体"/>
          <w:szCs w:val="21"/>
          <w:lang w:eastAsia="zh-CN"/>
        </w:rPr>
      </w:pPr>
      <w:bookmarkStart w:id="10" w:name="_Toc332373452"/>
      <w:r>
        <w:rPr>
          <w:rFonts w:ascii="宋体" w:hAnsi="Calibri" w:cs="宋体"/>
          <w:szCs w:val="21"/>
          <w:highlight w:val="white"/>
          <w:lang w:eastAsia="zh-CN"/>
        </w:rPr>
        <w:t>2、办理基金备案手续；</w:t>
      </w:r>
      <w:bookmarkEnd w:id="10"/>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3、对所管理的不同基金财产分别管理、分别记账，进行证券投资；</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4、按照基金合同的约定及时向基金份额持有人分配收益；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5、进行基金会计核算并编制基金财务会计报告；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6、编制</w:t>
      </w:r>
      <w:r>
        <w:rPr>
          <w:rFonts w:ascii="宋体" w:hAnsi="Calibri" w:cs="宋体" w:hint="eastAsia"/>
          <w:szCs w:val="21"/>
          <w:highlight w:val="white"/>
          <w:lang w:eastAsia="zh-CN"/>
        </w:rPr>
        <w:t>季度报告、中期报告和年度报告；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7、计算并公告</w:t>
      </w:r>
      <w:r>
        <w:rPr>
          <w:rFonts w:ascii="宋体" w:hAnsi="Calibri" w:cs="宋体" w:hint="eastAsia"/>
          <w:szCs w:val="21"/>
          <w:highlight w:val="white"/>
          <w:lang w:eastAsia="zh-CN"/>
        </w:rPr>
        <w:t>基金净值信息，确定基金份额申购、赎回价格；</w:t>
      </w:r>
    </w:p>
    <w:p w:rsidR="0097367D">
      <w:pPr>
        <w:spacing w:line="360" w:lineRule="auto"/>
        <w:ind w:firstLine="420"/>
        <w:rPr>
          <w:rFonts w:ascii="宋体" w:hAnsi="Calibri" w:cs="宋体"/>
          <w:szCs w:val="21"/>
          <w:lang w:eastAsia="zh-CN"/>
        </w:rPr>
      </w:pPr>
      <w:bookmarkStart w:id="11" w:name="_Toc332373453"/>
      <w:r>
        <w:rPr>
          <w:rFonts w:ascii="宋体" w:hAnsi="Calibri" w:cs="宋体"/>
          <w:szCs w:val="21"/>
          <w:highlight w:val="white"/>
          <w:lang w:eastAsia="zh-CN"/>
        </w:rPr>
        <w:t>8、办理与基金财产管理业务活动有关的信息披露事项；</w:t>
      </w:r>
      <w:bookmarkEnd w:id="11"/>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9、按照规定召集基金份额持有人大会；</w:t>
      </w:r>
    </w:p>
    <w:p w:rsidR="0097367D">
      <w:pPr>
        <w:spacing w:line="360" w:lineRule="auto"/>
        <w:ind w:firstLine="420"/>
        <w:rPr>
          <w:rFonts w:ascii="宋体" w:hAnsi="Calibri" w:cs="宋体"/>
          <w:szCs w:val="21"/>
          <w:lang w:eastAsia="zh-CN"/>
        </w:rPr>
      </w:pPr>
      <w:bookmarkStart w:id="12" w:name="_Toc332373454"/>
      <w:r>
        <w:rPr>
          <w:rFonts w:ascii="宋体" w:hAnsi="Calibri" w:cs="宋体"/>
          <w:szCs w:val="21"/>
          <w:highlight w:val="white"/>
          <w:lang w:eastAsia="zh-CN"/>
        </w:rPr>
        <w:t>10、保存基金财产管理业务活动的记录、账册、报表和其他相关资料；</w:t>
      </w:r>
      <w:bookmarkEnd w:id="12"/>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11、以基金管理人名义，代表基金份额持有人利益行使诉讼权利或者实施其他法律行为；</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12、中国证监会规定的其他职责。</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四、基金管理人的承诺</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2、本基金管理人承诺严格遵守《证券法》、《基金法》及有关法律法规，建立健全内部控制制度，采取有效措施，防止下列行为发生：</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（1）将其固有财产或者他人财产混同于基金财产从事证券投资；</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（2）不公平地对待其管理的不同基金财产；</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（3）利用基金财产或职务之便为基金份额持有人以外的人谋取利益；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（4）向基金份额持有人违规承诺收益或者承担损失；</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（5）侵占、挪用基金财产；</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（6）泄露因职务便利获取的未公开信息、利用该信息从事或者明示、暗示他人从事相关的交易活动；</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（7）玩忽职守，不按照规定履行职责；</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（8）法律、行政法规和中国证监会禁止的其他行为。</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3、本基金管理人承诺加强人员管理，强化职业操守，督促和约束员工遵守国家有关法律、法规及行业规范，诚实信用、勤勉尽责，不从事以下活动：</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（1）越权或违规经营；</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（2）违反基金合同或托管协议；</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（3）故意损害基金份额持有人或其他基金相关机构的合法利益；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（4）在向中国证监会报送的资料中弄虚作假；</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（5）拒绝、干扰、阻挠或严重影响中国证监会依法监管；</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（6）玩忽职守、滥用职权；</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（7）违反现行有效的有关法律、法规、规章、基金合同和中国证监会的有关规定，泄露在任职期间知悉的有关证券、基金的商业秘密，尚未依法公开的基金投资内容、基金投资计划等信息；</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（8）违反证券交易场所业务规则，利用对敲、倒仓等手段操纵市场价格，扰乱市场秩序；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（9）贬损同行，以抬高自己；</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（10）以不正当手段谋求业务发展；</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（11）有悖社会公德，损害证券投资基金从业人员形象；</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（12）在公开信息披露和广告中故意含有虚假、误导、欺诈成分；</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（13）其他法律、行政法规以及中国证监会禁止的行为。</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4、基金经理承诺</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（1）依照有关法律、法规和基金合同的规定，本着谨慎的原则为基金份额持有人谋取最大利益；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（2）不利用职务之便为自己及其代理人、受雇人或任何第三人谋取利益；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（3）不违反现行有效的有关法律、法规、规章、基金合同和中国证监会的有关规定，泄露在任职期间知悉的有关证券、基金的商业秘密、尚未依法公开的基金投资内容、基金投资计划等信息；</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（4）不从事损害基金财产和基金份额持有人利益的证券交易及其他活动。</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五、基金管理人的内部控制制度</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1、公司内部控制的总体目标</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（1）保证公司经营管理活动的合法合</w:t>
      </w:r>
      <w:r>
        <w:rPr>
          <w:rFonts w:ascii="宋体" w:hAnsi="Calibri" w:cs="宋体" w:hint="eastAsia"/>
          <w:szCs w:val="21"/>
          <w:highlight w:val="white"/>
          <w:lang w:eastAsia="zh-CN"/>
        </w:rPr>
        <w:t>规</w:t>
      </w:r>
      <w:r>
        <w:rPr>
          <w:rFonts w:ascii="宋体" w:hAnsi="Calibri" w:cs="宋体" w:hint="eastAsia"/>
          <w:szCs w:val="21"/>
          <w:highlight w:val="white"/>
          <w:lang w:eastAsia="zh-CN"/>
        </w:rPr>
        <w:t>性；</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（2）保证各类基金份额持有人及委托人的合法权益不受侵犯；</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（3）防范和化解经营风险，提高经营管理效率，确保业务稳健经营运行和受托资产安全完整，实现公司的持续、健康发展，促进公司实现发展战略；</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（4）督促公司全体员工恪守职业操守，正直诚信，廉洁自律，勤勉尽责；</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（5）维护公司的声誉，保持公司的良好形象。</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2、公司内部控制遵循的原则</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（1）健全性原则。内部控制应当包括公司的各项业务、各个部门或机构和各级人员，并涵盖到决策、执行、监督、反馈等各个环节。</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（2）有效性原则。通过科学的内控手段和方法，建立合理的内控程序，维护内控制度的有效执行。</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（3）独立性原则。公司机构、部门和岗位职责应当保持相对独立，除非法律法规另有规定，公司基金资产、自有资产、其他资产的运作应当分离。</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（4）相互制约原则。公司内部部门和岗位的设置应当体现权责分明、相互制衡。</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（5）成本效益原则。公司运用科学化的经营管理方法降低运作成本，提高经济效益，力争以合理的控制成本达到最佳的内部控制效果。</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3、内部控制的制度体系</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4、关于授权、研究、投资、交易等方面的控制点</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（1）授权制度</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（2）公司研究业务</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（3）基金投资业务</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基金投资应确立科学的投资理念，根据风险防范原则和效率性原则制定合理的决策程序；在进行投资时应有明确的投资授权制度，并应建立与所授权</w:t>
      </w:r>
      <w:r>
        <w:rPr>
          <w:rFonts w:ascii="宋体" w:hAnsi="Calibri" w:cs="宋体" w:hint="eastAsia"/>
          <w:szCs w:val="21"/>
          <w:highlight w:val="white"/>
          <w:lang w:eastAsia="zh-CN"/>
        </w:rPr>
        <w:t>限相应</w:t>
      </w:r>
      <w:r>
        <w:rPr>
          <w:rFonts w:ascii="宋体" w:hAnsi="Calibri" w:cs="宋体" w:hint="eastAsia"/>
          <w:szCs w:val="21"/>
          <w:highlight w:val="white"/>
          <w:lang w:eastAsia="zh-CN"/>
        </w:rPr>
        <w:t>的约束制度和考核制度。建立严格的投资禁止和投资限制制度，保证基金投资的合法合</w:t>
      </w:r>
      <w:r>
        <w:rPr>
          <w:rFonts w:ascii="宋体" w:hAnsi="Calibri" w:cs="宋体" w:hint="eastAsia"/>
          <w:szCs w:val="21"/>
          <w:highlight w:val="white"/>
          <w:lang w:eastAsia="zh-CN"/>
        </w:rPr>
        <w:t>规</w:t>
      </w:r>
      <w:r>
        <w:rPr>
          <w:rFonts w:ascii="宋体" w:hAnsi="Calibri" w:cs="宋体" w:hint="eastAsia"/>
          <w:szCs w:val="21"/>
          <w:highlight w:val="white"/>
          <w:lang w:eastAsia="zh-CN"/>
        </w:rPr>
        <w:t>性。建立投资风险评估与管理制度，将重点投资限制在规定的风险权限范围内；建立科学的投资业绩评价体系，及时回顾分析和评估投资结果。</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（4）交易业务</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（5）基金会计核算</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（6）信息披露</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（7）监察与合</w:t>
      </w:r>
      <w:r>
        <w:rPr>
          <w:rFonts w:ascii="宋体" w:hAnsi="Calibri" w:cs="宋体" w:hint="eastAsia"/>
          <w:szCs w:val="21"/>
          <w:highlight w:val="white"/>
          <w:lang w:eastAsia="zh-CN"/>
        </w:rPr>
        <w:t>规</w:t>
      </w:r>
      <w:r>
        <w:rPr>
          <w:rFonts w:ascii="宋体" w:hAnsi="Calibri" w:cs="宋体" w:hint="eastAsia"/>
          <w:szCs w:val="21"/>
          <w:highlight w:val="white"/>
          <w:lang w:eastAsia="zh-CN"/>
        </w:rPr>
        <w:t>管理</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公司设立督察长，由董事会聘任，向董事会负责。根据公司监察与合</w:t>
      </w:r>
      <w:r>
        <w:rPr>
          <w:rFonts w:ascii="宋体" w:hAnsi="Calibri" w:cs="宋体" w:hint="eastAsia"/>
          <w:szCs w:val="21"/>
          <w:highlight w:val="white"/>
          <w:lang w:eastAsia="zh-CN"/>
        </w:rPr>
        <w:t>规</w:t>
      </w:r>
      <w:r>
        <w:rPr>
          <w:rFonts w:ascii="宋体" w:hAnsi="Calibri" w:cs="宋体" w:hint="eastAsia"/>
          <w:szCs w:val="21"/>
          <w:highlight w:val="white"/>
          <w:lang w:eastAsia="zh-CN"/>
        </w:rPr>
        <w:t>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公司设立监察合</w:t>
      </w:r>
      <w:r>
        <w:rPr>
          <w:rFonts w:ascii="宋体" w:hAnsi="Calibri" w:cs="宋体" w:hint="eastAsia"/>
          <w:szCs w:val="21"/>
          <w:highlight w:val="white"/>
          <w:lang w:eastAsia="zh-CN"/>
        </w:rPr>
        <w:t>规</w:t>
      </w:r>
      <w:r>
        <w:rPr>
          <w:rFonts w:ascii="宋体" w:hAnsi="Calibri" w:cs="宋体" w:hint="eastAsia"/>
          <w:szCs w:val="21"/>
          <w:highlight w:val="white"/>
          <w:lang w:eastAsia="zh-CN"/>
        </w:rPr>
        <w:t>管理部门，并保障其独立性。监察合</w:t>
      </w:r>
      <w:r>
        <w:rPr>
          <w:rFonts w:ascii="宋体" w:hAnsi="Calibri" w:cs="宋体" w:hint="eastAsia"/>
          <w:szCs w:val="21"/>
          <w:highlight w:val="white"/>
          <w:lang w:eastAsia="zh-CN"/>
        </w:rPr>
        <w:t>规</w:t>
      </w:r>
      <w:r>
        <w:rPr>
          <w:rFonts w:ascii="宋体" w:hAnsi="Calibri" w:cs="宋体" w:hint="eastAsia"/>
          <w:szCs w:val="21"/>
          <w:highlight w:val="white"/>
          <w:lang w:eastAsia="zh-CN"/>
        </w:rPr>
        <w:t>管理部门按照公司规定和督察长的安排履行监察与合</w:t>
      </w:r>
      <w:r>
        <w:rPr>
          <w:rFonts w:ascii="宋体" w:hAnsi="Calibri" w:cs="宋体" w:hint="eastAsia"/>
          <w:szCs w:val="21"/>
          <w:highlight w:val="white"/>
          <w:lang w:eastAsia="zh-CN"/>
        </w:rPr>
        <w:t>规</w:t>
      </w:r>
      <w:r>
        <w:rPr>
          <w:rFonts w:ascii="宋体" w:hAnsi="Calibri" w:cs="宋体" w:hint="eastAsia"/>
          <w:szCs w:val="21"/>
          <w:highlight w:val="white"/>
          <w:lang w:eastAsia="zh-CN"/>
        </w:rPr>
        <w:t>管理职责。</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监察合</w:t>
      </w:r>
      <w:r>
        <w:rPr>
          <w:rFonts w:ascii="宋体" w:hAnsi="Calibri" w:cs="宋体" w:hint="eastAsia"/>
          <w:szCs w:val="21"/>
          <w:highlight w:val="white"/>
          <w:lang w:eastAsia="zh-CN"/>
        </w:rPr>
        <w:t>规</w:t>
      </w:r>
      <w:r>
        <w:rPr>
          <w:rFonts w:ascii="宋体" w:hAnsi="Calibri" w:cs="宋体" w:hint="eastAsia"/>
          <w:szCs w:val="21"/>
          <w:highlight w:val="white"/>
          <w:lang w:eastAsia="zh-CN"/>
        </w:rPr>
        <w:t>管理部门通过定期或不定期检查内部控制制度的执行情况，督促公司和旗下基金的管理运作规范进行。</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公司董事会和管理层充分重视和支持监察与合</w:t>
      </w:r>
      <w:r>
        <w:rPr>
          <w:rFonts w:ascii="宋体" w:hAnsi="Calibri" w:cs="宋体" w:hint="eastAsia"/>
          <w:szCs w:val="21"/>
          <w:highlight w:val="white"/>
          <w:lang w:eastAsia="zh-CN"/>
        </w:rPr>
        <w:t>规</w:t>
      </w:r>
      <w:r>
        <w:rPr>
          <w:rFonts w:ascii="宋体" w:hAnsi="Calibri" w:cs="宋体" w:hint="eastAsia"/>
          <w:szCs w:val="21"/>
          <w:highlight w:val="white"/>
          <w:lang w:eastAsia="zh-CN"/>
        </w:rPr>
        <w:t>管理工作，对违反法律、法规和公司内部控制制度的，追究有关部门和人员的责任。</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5、基金管理人关于内部控制制度声明书</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（1）本公司承诺以上关于内部控制制度的披露真实、准确；</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（2）本公司承诺根据市场变化和公司业务发展不断完善内部控制制度。</w:t>
      </w:r>
      <w:bookmarkStart w:id="13" w:name="_Toc308697599"/>
      <w:bookmarkStart w:id="14" w:name="_Toc296526934"/>
      <w:bookmarkStart w:id="15" w:name="_Toc296526936"/>
      <w:bookmarkStart w:id="16" w:name="_Toc310513348"/>
      <w:bookmarkStart w:id="17" w:name="_Toc323051024"/>
      <w:bookmarkStart w:id="18" w:name="_Toc185222016"/>
      <w:bookmarkStart w:id="19" w:name="_Toc185222488"/>
      <w:bookmarkStart w:id="20" w:name="_Toc277787882"/>
      <w:bookmarkStart w:id="21" w:name="_Toc309286020"/>
      <w:bookmarkStart w:id="22" w:name="_Toc272569770"/>
      <w:bookmarkStart w:id="23" w:name="_Toc272569771"/>
      <w:bookmarkStart w:id="24" w:name="_Toc296526927"/>
      <w:bookmarkStart w:id="25" w:name="_Toc296526928"/>
      <w:bookmarkStart w:id="26" w:name="_Toc309286121"/>
      <w:bookmarkStart w:id="27" w:name="_Toc309286027"/>
      <w:bookmarkStart w:id="28" w:name="_Toc296526931"/>
      <w:bookmarkStart w:id="29" w:name="_Toc296526989"/>
      <w:bookmarkStart w:id="30" w:name="_Toc323051008"/>
      <w:bookmarkStart w:id="31" w:name="_Toc308697497"/>
      <w:bookmarkStart w:id="32" w:name="_Toc278409393"/>
      <w:bookmarkStart w:id="33" w:name="_Toc296526929"/>
      <w:bookmarkStart w:id="34" w:name="_Toc272569765"/>
      <w:bookmarkStart w:id="35" w:name="_Toc272569766"/>
      <w:bookmarkStart w:id="36" w:name="_Toc309286021"/>
      <w:bookmarkStart w:id="37" w:name="_Toc296526932"/>
      <w:bookmarkStart w:id="38" w:name="_Toc272569767"/>
      <w:bookmarkStart w:id="39" w:name="_Toc308697498"/>
      <w:bookmarkStart w:id="40" w:name="_Toc272569773"/>
      <w:bookmarkStart w:id="41" w:name="_Toc308697506"/>
      <w:bookmarkStart w:id="42" w:name="_Toc296526926"/>
      <w:bookmarkStart w:id="43" w:name="_Toc185222591"/>
      <w:bookmarkStart w:id="44" w:name="_Toc185222757"/>
      <w:bookmarkStart w:id="45" w:name="_Hlt80958353"/>
      <w:bookmarkStart w:id="46" w:name="_Toc308697488"/>
      <w:bookmarkStart w:id="47" w:name="_Toc277787604"/>
      <w:bookmarkStart w:id="48" w:name="_Toc277787878"/>
      <w:bookmarkStart w:id="49" w:name="_Toc272569768"/>
      <w:bookmarkStart w:id="50" w:name="_Toc296440126"/>
      <w:bookmarkStart w:id="51" w:name="_Toc296526963"/>
      <w:bookmarkStart w:id="52" w:name="_Toc296526993"/>
      <w:bookmarkStart w:id="53" w:name="_Toc296526933"/>
      <w:bookmarkStart w:id="54" w:name="_Toc308697600"/>
      <w:bookmarkStart w:id="55" w:name="_Toc309286122"/>
      <w:bookmarkStart w:id="56" w:name="_Toc308697601"/>
      <w:bookmarkStart w:id="57" w:name="_Toc296526958"/>
      <w:bookmarkStart w:id="58" w:name="_Toc309286024"/>
      <w:bookmarkStart w:id="59" w:name="_Toc308697503"/>
      <w:bookmarkStart w:id="60" w:name="_Toc309286025"/>
      <w:bookmarkStart w:id="61" w:name="_Toc308697504"/>
      <w:bookmarkStart w:id="62" w:name="_Toc309286026"/>
      <w:bookmarkStart w:id="63" w:name="_Toc308697505"/>
      <w:bookmarkStart w:id="64" w:name="_Toc310513212"/>
      <w:bookmarkStart w:id="65" w:name="_Toc308697626"/>
      <w:bookmarkStart w:id="66" w:name="_Toc309286148"/>
      <w:bookmarkStart w:id="67" w:name="_Toc308697627"/>
      <w:bookmarkStart w:id="68" w:name="_Toc309286149"/>
      <w:bookmarkStart w:id="69" w:name="_Toc308697628"/>
      <w:bookmarkStart w:id="70" w:name="_Toc309286150"/>
      <w:bookmarkStart w:id="71" w:name="_Toc272569769"/>
      <w:bookmarkStart w:id="72" w:name="_Toc310512464"/>
      <w:bookmarkStart w:id="73" w:name="_Toc310512628"/>
      <w:bookmarkStart w:id="74" w:name="_Toc310512781"/>
      <w:bookmarkStart w:id="75" w:name="_Toc272569772"/>
      <w:bookmarkStart w:id="76" w:name="_Toc309286033"/>
      <w:bookmarkStart w:id="77" w:name="_Toc308697512"/>
      <w:bookmarkStart w:id="78" w:name="_Toc309286034"/>
      <w:bookmarkStart w:id="79" w:name="_Toc308697513"/>
      <w:bookmarkStart w:id="80" w:name="_Toc309286035"/>
      <w:bookmarkStart w:id="81" w:name="_Toc277752504"/>
      <w:bookmarkStart w:id="82" w:name="_Toc277786083"/>
      <w:bookmarkStart w:id="83" w:name="_Toc309286190"/>
      <w:bookmarkStart w:id="84" w:name="_Toc308697669"/>
      <w:bookmarkStart w:id="85" w:name="_Toc309286191"/>
      <w:bookmarkStart w:id="86" w:name="_Toc308697670"/>
      <w:bookmarkStart w:id="87" w:name="_Toc309286192"/>
      <w:bookmarkStart w:id="88" w:name="_Toc308697671"/>
      <w:bookmarkStart w:id="89" w:name="_Toc309286193"/>
      <w:bookmarkStart w:id="90" w:name="_Toc308697672"/>
      <w:bookmarkStart w:id="91" w:name="_Toc278409426"/>
      <w:bookmarkStart w:id="92" w:name="_Toc309286010"/>
      <w:bookmarkStart w:id="93" w:name="_Toc278409389"/>
      <w:bookmarkStart w:id="94" w:name="_Toc277752505"/>
      <w:bookmarkStart w:id="95" w:name="_Toc277786084"/>
      <w:bookmarkStart w:id="96" w:name="_Toc296526992"/>
      <w:bookmarkStart w:id="97" w:name="_Toc277786086"/>
      <w:bookmarkStart w:id="98" w:name="_Toc277787607"/>
      <w:bookmarkStart w:id="99" w:name="_Toc277787881"/>
      <w:bookmarkStart w:id="100" w:name="_Toc278409392"/>
      <w:bookmarkStart w:id="101" w:name="_Toc277752508"/>
      <w:bookmarkStart w:id="102" w:name="_Toc277786087"/>
      <w:bookmarkStart w:id="103" w:name="_Toc277787608"/>
      <w:bookmarkStart w:id="104" w:name="_Toc38440889"/>
      <w:bookmarkStart w:id="105" w:name="_Toc38441221"/>
      <w:bookmarkStart w:id="106" w:name="_Toc38441553"/>
      <w:bookmarkStart w:id="107" w:name="_Toc38441881"/>
      <w:bookmarkStart w:id="108" w:name="_Toc38442213"/>
      <w:bookmarkStart w:id="109" w:name="_Toc38442545"/>
      <w:bookmarkStart w:id="110" w:name="_Toc38442876"/>
      <w:bookmarkStart w:id="111" w:name="_Toc38443207"/>
      <w:bookmarkStart w:id="112" w:name="_Toc309286123"/>
      <w:bookmarkStart w:id="113" w:name="_Toc309286019"/>
      <w:bookmarkStart w:id="114" w:name="_Toc277752509"/>
      <w:bookmarkStart w:id="115" w:name="_Toc277786088"/>
      <w:bookmarkStart w:id="116" w:name="_Toc277787609"/>
      <w:bookmarkStart w:id="117" w:name="_Toc308697499"/>
      <w:bookmarkStart w:id="118" w:name="_Toc308697624"/>
      <w:bookmarkStart w:id="119" w:name="_Toc309286146"/>
      <w:bookmarkStart w:id="120" w:name="_Toc308697625"/>
      <w:bookmarkStart w:id="121" w:name="_Toc309286147"/>
      <w:bookmarkStart w:id="122" w:name="_Toc38439015"/>
      <w:bookmarkStart w:id="123" w:name="_Toc38439352"/>
      <w:bookmarkStart w:id="124" w:name="_Toc38439689"/>
      <w:bookmarkStart w:id="125" w:name="_Toc38440026"/>
      <w:bookmarkStart w:id="126" w:name="_Toc38440363"/>
      <w:bookmarkStart w:id="127" w:name="_Toc38440895"/>
      <w:bookmarkStart w:id="128" w:name="_Toc38441227"/>
      <w:bookmarkStart w:id="129" w:name="_Toc38441559"/>
      <w:bookmarkStart w:id="130" w:name="_Toc38441887"/>
      <w:bookmarkStart w:id="131" w:name="_Toc38442219"/>
      <w:bookmarkStart w:id="132" w:name="_Toc38442551"/>
      <w:bookmarkStart w:id="133" w:name="_Toc38442882"/>
      <w:bookmarkStart w:id="134" w:name="_Toc38443213"/>
      <w:bookmarkStart w:id="135" w:name="_Toc38443544"/>
      <w:bookmarkStart w:id="136" w:name="_Toc308697630"/>
      <w:bookmarkStart w:id="137" w:name="_Toc309286152"/>
      <w:bookmarkStart w:id="138" w:name="_Toc310513213"/>
      <w:bookmarkStart w:id="139" w:name="_Toc310513349"/>
      <w:bookmarkStart w:id="140" w:name="_Toc323051025"/>
      <w:bookmarkStart w:id="141" w:name="_Toc310512465"/>
      <w:bookmarkStart w:id="142" w:name="_Toc310512629"/>
      <w:bookmarkStart w:id="143" w:name="_Toc308697629"/>
      <w:bookmarkStart w:id="144" w:name="_Toc309286151"/>
      <w:bookmarkStart w:id="145" w:name="_Toc310512934"/>
      <w:bookmarkStart w:id="146" w:name="_Toc309286028"/>
      <w:bookmarkStart w:id="147" w:name="_Toc308697507"/>
      <w:bookmarkStart w:id="148" w:name="_Toc309286029"/>
      <w:bookmarkStart w:id="149" w:name="_Toc296526974"/>
      <w:bookmarkStart w:id="150" w:name="_Toc323051000"/>
      <w:bookmarkStart w:id="151" w:name="_Toc44229112"/>
      <w:bookmarkStart w:id="152" w:name="_Toc44229207"/>
      <w:bookmarkStart w:id="153" w:name="_Toc44229113"/>
      <w:bookmarkStart w:id="154" w:name="_Toc44229208"/>
      <w:bookmarkStart w:id="155" w:name="_Toc308697665"/>
      <w:bookmarkStart w:id="156" w:name="_Toc309286187"/>
      <w:bookmarkStart w:id="157" w:name="_Toc308697666"/>
      <w:bookmarkStart w:id="158" w:name="_Toc309286188"/>
      <w:bookmarkStart w:id="159" w:name="_Toc308697667"/>
      <w:bookmarkStart w:id="160" w:name="_Toc309286189"/>
      <w:bookmarkStart w:id="161" w:name="_Toc308697668"/>
      <w:bookmarkStart w:id="162" w:name="_Toc272570319"/>
      <w:bookmarkStart w:id="163" w:name="_Toc272570452"/>
      <w:bookmarkStart w:id="164" w:name="_Toc272570586"/>
      <w:bookmarkStart w:id="165" w:name="_Toc272570719"/>
      <w:bookmarkStart w:id="166" w:name="_Toc272570852"/>
      <w:bookmarkStart w:id="167" w:name="_Toc272569103"/>
      <w:bookmarkStart w:id="168" w:name="_Toc272569255"/>
      <w:bookmarkStart w:id="169" w:name="_Toc272569439"/>
      <w:bookmarkStart w:id="170" w:name="_Toc272569576"/>
      <w:bookmarkStart w:id="171" w:name="_Toc272569712"/>
      <w:bookmarkStart w:id="172" w:name="_Toc272569863"/>
      <w:bookmarkStart w:id="173" w:name="_Toc272570186"/>
      <w:bookmarkStart w:id="174" w:name="_Toc272570320"/>
      <w:bookmarkStart w:id="175" w:name="_Toc272570453"/>
      <w:bookmarkStart w:id="176" w:name="_Toc272570587"/>
      <w:bookmarkStart w:id="177" w:name="_Toc308697673"/>
      <w:bookmarkStart w:id="178" w:name="_Toc309286194"/>
      <w:bookmarkStart w:id="179" w:name="_Toc323051055"/>
      <w:bookmarkStart w:id="180" w:name="_Toc308697583"/>
      <w:bookmarkStart w:id="181" w:name="_Toc309286105"/>
      <w:bookmarkStart w:id="182" w:name="_Toc308697584"/>
      <w:bookmarkStart w:id="183" w:name="_Toc309286106"/>
      <w:bookmarkStart w:id="184" w:name="_Toc323051053"/>
      <w:bookmarkStart w:id="185" w:name="_Toc323051054"/>
      <w:bookmarkStart w:id="186" w:name="_Toc277787605"/>
      <w:bookmarkStart w:id="187" w:name="_Toc277752499"/>
      <w:bookmarkStart w:id="188" w:name="_Toc277786078"/>
      <w:bookmarkStart w:id="189" w:name="_Toc277787599"/>
      <w:bookmarkStart w:id="190" w:name="_Toc277787873"/>
      <w:bookmarkStart w:id="191" w:name="_Toc278409384"/>
      <w:bookmarkStart w:id="192" w:name="_Toc308697597"/>
      <w:bookmarkStart w:id="193" w:name="_Toc309286119"/>
      <w:bookmarkStart w:id="194" w:name="_Toc308697598"/>
      <w:bookmarkStart w:id="195" w:name="_Toc309286120"/>
      <w:bookmarkStart w:id="196" w:name="_Toc38438335"/>
      <w:bookmarkStart w:id="197" w:name="_Toc38438672"/>
      <w:bookmarkStart w:id="198" w:name="_Toc38439009"/>
      <w:bookmarkStart w:id="199" w:name="_Toc38439346"/>
      <w:bookmarkStart w:id="200" w:name="_Toc38439683"/>
      <w:bookmarkStart w:id="201" w:name="_Toc38440020"/>
      <w:bookmarkStart w:id="202" w:name="_Toc38440357"/>
      <w:bookmarkStart w:id="203" w:name="_Toc38439286"/>
      <w:bookmarkStart w:id="204" w:name="_Toc38439623"/>
      <w:bookmarkStart w:id="205" w:name="_Toc38439960"/>
      <w:bookmarkStart w:id="206" w:name="_Toc38440297"/>
      <w:bookmarkStart w:id="207" w:name="_Toc38440630"/>
      <w:bookmarkStart w:id="208" w:name="_Toc38440829"/>
      <w:bookmarkStart w:id="209" w:name="_Toc38441161"/>
      <w:bookmarkStart w:id="210" w:name="_Toc38441493"/>
      <w:bookmarkStart w:id="211" w:name="_Toc38441821"/>
      <w:bookmarkStart w:id="212" w:name="_Toc38442153"/>
      <w:bookmarkStart w:id="213" w:name="_Toc38442485"/>
      <w:bookmarkStart w:id="214" w:name="_Toc38442816"/>
      <w:bookmarkStart w:id="215" w:name="_Toc38443147"/>
      <w:bookmarkStart w:id="216" w:name="_Toc38443478"/>
      <w:bookmarkStart w:id="217" w:name="_Toc38443809"/>
      <w:bookmarkStart w:id="218" w:name="_Toc38443869"/>
      <w:bookmarkStart w:id="219" w:name="_Toc38443538"/>
      <w:bookmarkStart w:id="220" w:name="_Toc308697603"/>
      <w:bookmarkStart w:id="221" w:name="_Toc309286125"/>
      <w:bookmarkStart w:id="222" w:name="_Toc308697604"/>
      <w:bookmarkStart w:id="223" w:name="_Toc309286126"/>
      <w:bookmarkStart w:id="224" w:name="_Toc308697605"/>
      <w:bookmarkStart w:id="225" w:name="_Toc308697602"/>
      <w:bookmarkStart w:id="226" w:name="_Toc309286124"/>
      <w:bookmarkStart w:id="227" w:name="_Toc277787883"/>
      <w:bookmarkStart w:id="228" w:name="_Toc308697500"/>
      <w:bookmarkStart w:id="229" w:name="_Toc309286022"/>
      <w:bookmarkStart w:id="230" w:name="_Toc308697501"/>
      <w:bookmarkStart w:id="231" w:name="_Toc309286023"/>
      <w:bookmarkStart w:id="232" w:name="_Toc308697502"/>
      <w:bookmarkStart w:id="233" w:name="_Toc310512780"/>
      <w:bookmarkStart w:id="234" w:name="_Toc310512933"/>
      <w:bookmarkStart w:id="235" w:name="_Toc310513073"/>
      <w:bookmarkStart w:id="236" w:name="_Toc308697622"/>
      <w:bookmarkStart w:id="237" w:name="_Toc309286144"/>
      <w:bookmarkStart w:id="238" w:name="_Toc308697623"/>
      <w:bookmarkStart w:id="239" w:name="_Toc309286145"/>
      <w:bookmarkStart w:id="240" w:name="_Toc38443489"/>
      <w:bookmarkStart w:id="241" w:name="_Toc38443820"/>
      <w:bookmarkStart w:id="242" w:name="_Toc38438287"/>
      <w:bookmarkStart w:id="243" w:name="_Toc38438624"/>
      <w:bookmarkStart w:id="244" w:name="_Toc38438961"/>
      <w:bookmarkStart w:id="245" w:name="_Toc38439298"/>
      <w:bookmarkStart w:id="246" w:name="_Toc38439635"/>
      <w:bookmarkStart w:id="247" w:name="_Toc38439972"/>
      <w:bookmarkStart w:id="248" w:name="_Toc38440309"/>
      <w:bookmarkStart w:id="249" w:name="_Toc38440642"/>
      <w:bookmarkStart w:id="250" w:name="_Toc38440841"/>
      <w:bookmarkStart w:id="251" w:name="_Toc38441173"/>
      <w:bookmarkStart w:id="252" w:name="_Toc38441505"/>
      <w:bookmarkStart w:id="253" w:name="_Toc38441833"/>
      <w:bookmarkStart w:id="254" w:name="_Toc38442165"/>
      <w:bookmarkStart w:id="255" w:name="_Toc38442497"/>
      <w:bookmarkStart w:id="256" w:name="_Toc38442828"/>
      <w:bookmarkStart w:id="257" w:name="_Toc38443159"/>
      <w:bookmarkStart w:id="258" w:name="_Toc38443490"/>
      <w:bookmarkStart w:id="259" w:name="_Toc38443821"/>
      <w:bookmarkStart w:id="260" w:name="_Toc38438288"/>
      <w:bookmarkStart w:id="261" w:name="_Toc38438625"/>
      <w:bookmarkStart w:id="262" w:name="_Toc38438962"/>
      <w:bookmarkStart w:id="263" w:name="_Toc38439299"/>
      <w:bookmarkStart w:id="264" w:name="_Toc38439636"/>
      <w:bookmarkStart w:id="265" w:name="_Toc38439973"/>
      <w:bookmarkStart w:id="266" w:name="_Toc38440310"/>
      <w:bookmarkStart w:id="267" w:name="_Toc38440643"/>
      <w:bookmarkStart w:id="268" w:name="_Toc38440842"/>
      <w:bookmarkStart w:id="269" w:name="_Toc38441174"/>
      <w:bookmarkStart w:id="270" w:name="_Toc38441506"/>
      <w:bookmarkStart w:id="271" w:name="_Toc38441834"/>
      <w:bookmarkStart w:id="272" w:name="_Toc308697631"/>
      <w:bookmarkStart w:id="273" w:name="_Toc309286153"/>
      <w:bookmarkStart w:id="274" w:name="_Toc308697632"/>
      <w:bookmarkStart w:id="275" w:name="_Toc309286154"/>
      <w:bookmarkStart w:id="276" w:name="_Toc308697633"/>
      <w:bookmarkStart w:id="277" w:name="_Toc309286155"/>
      <w:bookmarkStart w:id="278" w:name="_Toc308697634"/>
      <w:bookmarkStart w:id="279" w:name="_Toc309286156"/>
      <w:bookmarkStart w:id="280" w:name="_Toc308697635"/>
      <w:bookmarkStart w:id="281" w:name="_Toc309286157"/>
      <w:bookmarkStart w:id="282" w:name="_Toc308697636"/>
      <w:bookmarkStart w:id="283" w:name="_Toc309286158"/>
      <w:bookmarkStart w:id="284" w:name="_Toc308697637"/>
      <w:bookmarkStart w:id="285" w:name="_Toc309286159"/>
      <w:bookmarkStart w:id="286" w:name="_Toc308697638"/>
      <w:bookmarkStart w:id="287" w:name="_Toc309286160"/>
      <w:bookmarkStart w:id="288" w:name="_Toc308697639"/>
      <w:bookmarkStart w:id="289" w:name="_Toc309286161"/>
      <w:bookmarkStart w:id="290" w:name="_Toc308697640"/>
      <w:bookmarkStart w:id="291" w:name="_Toc310512935"/>
      <w:bookmarkStart w:id="292" w:name="_Toc310512782"/>
      <w:bookmarkStart w:id="293" w:name="_Toc310513074"/>
      <w:bookmarkStart w:id="294" w:name="_Toc308697508"/>
      <w:bookmarkStart w:id="295" w:name="_Toc309286030"/>
      <w:bookmarkStart w:id="296" w:name="_Toc308697509"/>
      <w:bookmarkStart w:id="297" w:name="_Toc309286031"/>
      <w:bookmarkStart w:id="298" w:name="_Toc308697510"/>
      <w:bookmarkStart w:id="299" w:name="_Toc309286032"/>
      <w:bookmarkStart w:id="300" w:name="_Toc308697511"/>
      <w:bookmarkStart w:id="301" w:name="_Toc44229203"/>
      <w:bookmarkStart w:id="302" w:name="_Toc44229109"/>
      <w:bookmarkStart w:id="303" w:name="_Toc44229204"/>
      <w:bookmarkStart w:id="304" w:name="_Toc44229110"/>
      <w:bookmarkStart w:id="305" w:name="_Toc44229205"/>
      <w:bookmarkStart w:id="306" w:name="_Toc44229111"/>
      <w:bookmarkStart w:id="307" w:name="_Toc44229206"/>
      <w:bookmarkStart w:id="308" w:name="_Toc272569436"/>
      <w:bookmarkStart w:id="309" w:name="_Toc272569573"/>
      <w:bookmarkStart w:id="310" w:name="_Toc272569709"/>
      <w:bookmarkStart w:id="311" w:name="_Toc272569860"/>
      <w:bookmarkStart w:id="312" w:name="_Toc272570183"/>
      <w:bookmarkStart w:id="313" w:name="_Toc272570317"/>
      <w:bookmarkStart w:id="314" w:name="_Toc272570450"/>
      <w:bookmarkStart w:id="315" w:name="_Toc272570584"/>
      <w:bookmarkStart w:id="316" w:name="_Toc272570717"/>
      <w:bookmarkStart w:id="317" w:name="_Toc272570850"/>
      <w:bookmarkStart w:id="318" w:name="_Toc272569102"/>
      <w:bookmarkStart w:id="319" w:name="_Toc272569254"/>
      <w:bookmarkStart w:id="320" w:name="_Toc272569438"/>
      <w:bookmarkStart w:id="321" w:name="_Toc272569575"/>
      <w:bookmarkStart w:id="322" w:name="_Toc272569711"/>
      <w:bookmarkStart w:id="323" w:name="_Toc272569862"/>
      <w:bookmarkStart w:id="324" w:name="_Toc272570185"/>
      <w:bookmarkStart w:id="325" w:name="_Toc309286223"/>
      <w:bookmarkStart w:id="326" w:name="_Toc308697702"/>
      <w:bookmarkStart w:id="327" w:name="_Toc309286224"/>
      <w:bookmarkStart w:id="328" w:name="_Toc308697703"/>
      <w:bookmarkStart w:id="329" w:name="_Toc309286225"/>
      <w:bookmarkStart w:id="330" w:name="_Toc308697704"/>
      <w:bookmarkStart w:id="331" w:name="_Toc309286226"/>
      <w:bookmarkStart w:id="332" w:name="_Toc308697705"/>
      <w:bookmarkStart w:id="333" w:name="_Toc309286227"/>
      <w:bookmarkStart w:id="334" w:name="_Toc308697706"/>
      <w:bookmarkStart w:id="335" w:name="_Toc309286228"/>
      <w:bookmarkStart w:id="336" w:name="_Toc296440221"/>
      <w:bookmarkStart w:id="337" w:name="_Toc272569113"/>
      <w:bookmarkStart w:id="338" w:name="_Toc272569265"/>
      <w:bookmarkStart w:id="339" w:name="_Toc272569449"/>
      <w:bookmarkStart w:id="340" w:name="_Toc272569586"/>
      <w:bookmarkStart w:id="341" w:name="_Toc272569722"/>
      <w:bookmarkStart w:id="342" w:name="_Toc272569873"/>
      <w:bookmarkStart w:id="343" w:name="_Toc272569114"/>
      <w:bookmarkStart w:id="344" w:name="_Toc272569266"/>
      <w:bookmarkStart w:id="345" w:name="_Toc272569450"/>
      <w:bookmarkStart w:id="346" w:name="_Toc272569587"/>
      <w:bookmarkStart w:id="347" w:name="_Toc272569723"/>
      <w:bookmarkStart w:id="348" w:name="_Toc272569874"/>
      <w:bookmarkStart w:id="349" w:name="_Toc272569115"/>
      <w:bookmarkStart w:id="350" w:name="_Toc272569267"/>
      <w:bookmarkStart w:id="351" w:name="_Toc272569451"/>
      <w:bookmarkStart w:id="352" w:name="_Toc272569588"/>
      <w:bookmarkStart w:id="353" w:name="_Toc272569724"/>
      <w:bookmarkStart w:id="354" w:name="_Toc272569875"/>
      <w:bookmarkStart w:id="355" w:name="_Toc272569116"/>
      <w:bookmarkStart w:id="356" w:name="_Toc272569268"/>
      <w:bookmarkStart w:id="357" w:name="_Toc309286195"/>
      <w:bookmarkStart w:id="358" w:name="_Toc308697674"/>
      <w:bookmarkStart w:id="359" w:name="_Toc309286196"/>
      <w:bookmarkStart w:id="360" w:name="_Toc308697675"/>
      <w:bookmarkStart w:id="361" w:name="_Toc309286197"/>
      <w:bookmarkStart w:id="362" w:name="_Toc308697676"/>
      <w:bookmarkStart w:id="363" w:name="_Toc309286198"/>
      <w:bookmarkStart w:id="364" w:name="_Toc308697677"/>
      <w:bookmarkStart w:id="365" w:name="_Toc309286199"/>
      <w:bookmarkStart w:id="366" w:name="_Toc308697678"/>
      <w:bookmarkStart w:id="367" w:name="_Toc309286200"/>
      <w:bookmarkStart w:id="368" w:name="_Toc308697679"/>
      <w:bookmarkStart w:id="369" w:name="_Toc309286201"/>
      <w:bookmarkStart w:id="370" w:name="_Toc308697680"/>
      <w:bookmarkStart w:id="371" w:name="_Toc309286202"/>
      <w:bookmarkStart w:id="372" w:name="_Toc308697681"/>
      <w:bookmarkStart w:id="373" w:name="_Toc309286203"/>
      <w:bookmarkStart w:id="374" w:name="_Toc308697682"/>
      <w:bookmarkStart w:id="375" w:name="_Toc309286107"/>
      <w:bookmarkStart w:id="376" w:name="_Toc308697585"/>
      <w:bookmarkStart w:id="377" w:name="_Toc277787879"/>
      <w:bookmarkStart w:id="378" w:name="_Toc278409390"/>
      <w:bookmarkStart w:id="379" w:name="_Toc277752506"/>
      <w:bookmarkStart w:id="380" w:name="_Toc277786085"/>
      <w:bookmarkStart w:id="381" w:name="_Toc277787606"/>
      <w:bookmarkStart w:id="382" w:name="_Toc277787880"/>
      <w:bookmarkStart w:id="383" w:name="_Toc278409391"/>
      <w:bookmarkStart w:id="384" w:name="_Toc277752507"/>
      <w:bookmarkStart w:id="385" w:name="_Toc309286115"/>
      <w:bookmarkStart w:id="386" w:name="_Toc308697594"/>
      <w:bookmarkStart w:id="387" w:name="_Toc309286116"/>
      <w:bookmarkStart w:id="388" w:name="_Toc308697595"/>
      <w:bookmarkStart w:id="389" w:name="_Toc309286117"/>
      <w:bookmarkStart w:id="390" w:name="_Toc308697596"/>
      <w:bookmarkStart w:id="391" w:name="_Toc309286118"/>
      <w:bookmarkStart w:id="392" w:name="_Toc308697717"/>
      <w:bookmarkStart w:id="393" w:name="_Toc309286239"/>
      <w:bookmarkStart w:id="394" w:name="_Toc308697718"/>
      <w:bookmarkStart w:id="395" w:name="_Toc309286240"/>
      <w:bookmarkStart w:id="396" w:name="_Toc308697719"/>
      <w:bookmarkStart w:id="397" w:name="_Toc309286241"/>
      <w:bookmarkStart w:id="398" w:name="_Toc308697720"/>
      <w:bookmarkStart w:id="399" w:name="_Toc309286242"/>
      <w:bookmarkStart w:id="400" w:name="_Toc308697721"/>
      <w:bookmarkStart w:id="401" w:name="_Toc309286243"/>
      <w:bookmarkStart w:id="402" w:name="_Toc308697722"/>
      <w:bookmarkStart w:id="403" w:name="_Toc309286244"/>
      <w:bookmarkStart w:id="404" w:name="_Toc308697723"/>
      <w:bookmarkStart w:id="405" w:name="_Toc309286245"/>
      <w:bookmarkStart w:id="406" w:name="_Toc38438275"/>
      <w:bookmarkStart w:id="407" w:name="_Toc38438612"/>
      <w:bookmarkStart w:id="408" w:name="_Toc38438949"/>
      <w:bookmarkStart w:id="409" w:name="_Toc38441167"/>
      <w:bookmarkStart w:id="410" w:name="_Toc38441499"/>
      <w:bookmarkStart w:id="411" w:name="_Toc38441827"/>
      <w:bookmarkStart w:id="412" w:name="_Toc38442159"/>
      <w:bookmarkStart w:id="413" w:name="_Toc38442491"/>
      <w:bookmarkStart w:id="414" w:name="_Toc38442822"/>
      <w:bookmarkStart w:id="415" w:name="_Toc38443153"/>
      <w:bookmarkStart w:id="416" w:name="_Toc38443484"/>
      <w:bookmarkStart w:id="417" w:name="_Toc38443815"/>
      <w:bookmarkStart w:id="418" w:name="_Toc38438282"/>
      <w:bookmarkStart w:id="419" w:name="_Toc38438619"/>
      <w:bookmarkStart w:id="420" w:name="_Toc38438956"/>
      <w:bookmarkStart w:id="421" w:name="_Toc38439293"/>
      <w:bookmarkStart w:id="422" w:name="_Toc38439630"/>
      <w:bookmarkStart w:id="423" w:name="_Toc38439967"/>
      <w:bookmarkStart w:id="424" w:name="_Toc38440304"/>
      <w:bookmarkStart w:id="425" w:name="_Toc38440637"/>
      <w:bookmarkStart w:id="426" w:name="_Toc38440836"/>
      <w:bookmarkStart w:id="427" w:name="_Toc38441168"/>
      <w:bookmarkStart w:id="428" w:name="_Toc38441500"/>
      <w:bookmarkStart w:id="429" w:name="_Toc38441828"/>
      <w:bookmarkStart w:id="430" w:name="_Toc38442160"/>
      <w:bookmarkStart w:id="431" w:name="_Toc38442492"/>
      <w:bookmarkStart w:id="432" w:name="_Toc38442823"/>
      <w:bookmarkStart w:id="433" w:name="_Toc38443154"/>
      <w:bookmarkStart w:id="434" w:name="_Toc38443485"/>
      <w:bookmarkStart w:id="435" w:name="_Toc38443816"/>
      <w:bookmarkStart w:id="436" w:name="_Toc38438283"/>
      <w:bookmarkStart w:id="437" w:name="_Toc38438620"/>
      <w:bookmarkStart w:id="438" w:name="_Toc38438957"/>
      <w:bookmarkStart w:id="439" w:name="_Toc38439294"/>
      <w:bookmarkStart w:id="440" w:name="_Toc38439631"/>
      <w:bookmarkStart w:id="441" w:name="_Toc38438336"/>
      <w:bookmarkStart w:id="442" w:name="_Toc38438673"/>
      <w:bookmarkStart w:id="443" w:name="_Toc38439010"/>
      <w:bookmarkStart w:id="444" w:name="_Toc38439347"/>
      <w:bookmarkStart w:id="445" w:name="_Toc38439684"/>
      <w:bookmarkStart w:id="446" w:name="_Toc38440021"/>
      <w:bookmarkStart w:id="447" w:name="_Toc38440358"/>
      <w:bookmarkStart w:id="448" w:name="_Toc38440890"/>
      <w:bookmarkStart w:id="449" w:name="_Toc38441222"/>
      <w:bookmarkStart w:id="450" w:name="_Toc38441554"/>
      <w:bookmarkStart w:id="451" w:name="_Toc38441882"/>
      <w:bookmarkStart w:id="452" w:name="_Toc38442214"/>
      <w:bookmarkStart w:id="453" w:name="_Toc38442546"/>
      <w:bookmarkStart w:id="454" w:name="_Toc38442877"/>
      <w:bookmarkStart w:id="455" w:name="_Toc38443208"/>
      <w:bookmarkStart w:id="456" w:name="_Toc38443539"/>
      <w:bookmarkStart w:id="457" w:name="_Toc38443870"/>
      <w:bookmarkStart w:id="458" w:name="_Toc38438337"/>
      <w:bookmarkStart w:id="459" w:name="_Toc308697606"/>
      <w:bookmarkStart w:id="460" w:name="_Toc309286127"/>
      <w:bookmarkStart w:id="461" w:name="_Toc278409394"/>
      <w:bookmarkStart w:id="462" w:name="_Toc308697516"/>
      <w:bookmarkStart w:id="463" w:name="_Toc309286038"/>
      <w:bookmarkStart w:id="464" w:name="_Toc308697517"/>
      <w:bookmarkStart w:id="465" w:name="_Toc309286039"/>
      <w:bookmarkStart w:id="466" w:name="_Toc296527004"/>
      <w:bookmarkStart w:id="467" w:name="_Toc308697541"/>
      <w:bookmarkStart w:id="468" w:name="_Toc309286063"/>
      <w:bookmarkStart w:id="469" w:name="_Toc308697542"/>
      <w:bookmarkStart w:id="470" w:name="_Toc309286064"/>
      <w:bookmarkStart w:id="471" w:name="_Toc308697543"/>
      <w:bookmarkStart w:id="472" w:name="_Toc309286065"/>
      <w:bookmarkStart w:id="473" w:name="_Toc306614238"/>
      <w:bookmarkStart w:id="474" w:name="_Toc310512463"/>
      <w:bookmarkStart w:id="475" w:name="_Toc310512627"/>
      <w:bookmarkStart w:id="476" w:name="_Toc38439014"/>
      <w:bookmarkStart w:id="477" w:name="_Toc38439351"/>
      <w:bookmarkStart w:id="478" w:name="_Toc38439688"/>
      <w:bookmarkStart w:id="479" w:name="_Toc38440025"/>
      <w:bookmarkStart w:id="480" w:name="_Toc38440362"/>
      <w:bookmarkStart w:id="481" w:name="_Toc38440894"/>
      <w:bookmarkStart w:id="482" w:name="_Toc38441226"/>
      <w:bookmarkStart w:id="483" w:name="_Toc38441558"/>
      <w:bookmarkStart w:id="484" w:name="_Toc38441886"/>
      <w:bookmarkStart w:id="485" w:name="_Toc38442218"/>
      <w:bookmarkStart w:id="486" w:name="_Toc38442550"/>
      <w:bookmarkStart w:id="487" w:name="_Toc38442881"/>
      <w:bookmarkStart w:id="488" w:name="_Toc38443212"/>
      <w:bookmarkStart w:id="489" w:name="_Toc38443543"/>
      <w:bookmarkStart w:id="490" w:name="_Toc38443874"/>
      <w:bookmarkStart w:id="491" w:name="_Toc38438341"/>
      <w:bookmarkStart w:id="492" w:name="_Toc38438678"/>
      <w:bookmarkStart w:id="493" w:name="_Toc272569094"/>
      <w:bookmarkStart w:id="494" w:name="_Toc272569246"/>
      <w:bookmarkStart w:id="495" w:name="_Toc272569430"/>
      <w:bookmarkStart w:id="496" w:name="_Toc272569567"/>
      <w:bookmarkStart w:id="497" w:name="_Toc272569703"/>
      <w:bookmarkStart w:id="498" w:name="_Toc272569854"/>
      <w:bookmarkStart w:id="499" w:name="_Toc272570177"/>
      <w:bookmarkStart w:id="500" w:name="_Toc272570311"/>
      <w:bookmarkStart w:id="501" w:name="_Toc272570444"/>
      <w:bookmarkStart w:id="502" w:name="_Toc272570578"/>
      <w:bookmarkStart w:id="503" w:name="_Toc272570711"/>
      <w:bookmarkStart w:id="504" w:name="_Toc272570844"/>
      <w:bookmarkStart w:id="505" w:name="_Toc272569095"/>
      <w:bookmarkStart w:id="506" w:name="_Toc272569247"/>
      <w:bookmarkStart w:id="507" w:name="_Toc272569431"/>
      <w:bookmarkStart w:id="508" w:name="_Toc272569568"/>
      <w:bookmarkStart w:id="509" w:name="_Toc272569704"/>
      <w:bookmarkStart w:id="510" w:name="_Toc272569855"/>
      <w:bookmarkStart w:id="511" w:name="_Toc272570178"/>
      <w:bookmarkStart w:id="512" w:name="_Toc272570312"/>
      <w:bookmarkStart w:id="513" w:name="_Toc272570445"/>
      <w:bookmarkStart w:id="514" w:name="_Toc272570579"/>
      <w:bookmarkStart w:id="515" w:name="_Toc272570712"/>
      <w:bookmarkStart w:id="516" w:name="_Toc272570845"/>
      <w:bookmarkStart w:id="517" w:name="_Toc272569096"/>
      <w:bookmarkStart w:id="518" w:name="_Toc272569248"/>
      <w:bookmarkStart w:id="519" w:name="_Toc272569432"/>
      <w:bookmarkStart w:id="520" w:name="_Toc272569569"/>
      <w:bookmarkStart w:id="521" w:name="_Toc272569705"/>
      <w:bookmarkStart w:id="522" w:name="_Toc272569856"/>
      <w:bookmarkStart w:id="523" w:name="_Toc272570179"/>
      <w:bookmarkStart w:id="524" w:name="_Toc272570313"/>
      <w:bookmarkStart w:id="525" w:name="_Toc272570446"/>
      <w:bookmarkStart w:id="526" w:name="_Toc272570580"/>
      <w:bookmarkStart w:id="527" w:name="_Toc272570713"/>
      <w:bookmarkStart w:id="528" w:name="_Toc272570846"/>
      <w:bookmarkStart w:id="529" w:name="_Toc272569097"/>
      <w:bookmarkStart w:id="530" w:name="_Toc272569249"/>
      <w:bookmarkStart w:id="531" w:name="_Toc272569433"/>
      <w:bookmarkStart w:id="532" w:name="_Toc272569570"/>
      <w:bookmarkStart w:id="533" w:name="_Toc272569706"/>
      <w:bookmarkStart w:id="534" w:name="_Toc272569857"/>
      <w:bookmarkStart w:id="535" w:name="_Toc272570180"/>
      <w:bookmarkStart w:id="536" w:name="_Toc272570314"/>
      <w:bookmarkStart w:id="537" w:name="_Toc272570447"/>
      <w:bookmarkStart w:id="538" w:name="_Toc272570581"/>
      <w:bookmarkStart w:id="539" w:name="_Toc272570714"/>
      <w:bookmarkStart w:id="540" w:name="_Toc272570847"/>
      <w:bookmarkStart w:id="541" w:name="_Toc272569098"/>
      <w:bookmarkStart w:id="542" w:name="_Toc272569250"/>
      <w:bookmarkStart w:id="543" w:name="_Toc272569434"/>
      <w:bookmarkStart w:id="544" w:name="_Toc272569571"/>
      <w:bookmarkStart w:id="545" w:name="_Toc272569707"/>
      <w:bookmarkStart w:id="546" w:name="_Toc272569858"/>
      <w:bookmarkStart w:id="547" w:name="_Toc38441547"/>
      <w:bookmarkStart w:id="548" w:name="_Toc38441875"/>
      <w:bookmarkStart w:id="549" w:name="_Toc38442166"/>
      <w:bookmarkStart w:id="550" w:name="_Toc38442498"/>
      <w:bookmarkStart w:id="551" w:name="_Toc38442829"/>
      <w:bookmarkStart w:id="552" w:name="_Toc38443875"/>
      <w:bookmarkStart w:id="553" w:name="_Toc38438342"/>
      <w:bookmarkStart w:id="554" w:name="_Toc38438679"/>
      <w:bookmarkStart w:id="555" w:name="_Toc38439016"/>
      <w:bookmarkStart w:id="556" w:name="_Toc38439353"/>
      <w:bookmarkStart w:id="557" w:name="_Toc38439690"/>
      <w:bookmarkStart w:id="558" w:name="_Toc38440027"/>
      <w:bookmarkStart w:id="559" w:name="_Toc38440364"/>
      <w:bookmarkStart w:id="560" w:name="_Toc38440896"/>
      <w:bookmarkStart w:id="561" w:name="_Toc38441228"/>
      <w:bookmarkStart w:id="562" w:name="_Toc38441560"/>
      <w:bookmarkStart w:id="563" w:name="_Toc38441888"/>
      <w:bookmarkStart w:id="564" w:name="_Toc38442220"/>
      <w:bookmarkStart w:id="565" w:name="_Toc38442552"/>
      <w:bookmarkStart w:id="566" w:name="_Toc38442883"/>
      <w:bookmarkStart w:id="567" w:name="_Toc38443214"/>
      <w:bookmarkStart w:id="568" w:name="_Toc38443545"/>
      <w:bookmarkStart w:id="569" w:name="_Toc38443876"/>
      <w:bookmarkStart w:id="570" w:name="_Toc38438343"/>
      <w:bookmarkStart w:id="571" w:name="_Toc38438680"/>
      <w:bookmarkStart w:id="572" w:name="_Toc38439017"/>
      <w:bookmarkStart w:id="573" w:name="_Toc38439354"/>
      <w:bookmarkStart w:id="574" w:name="_Toc38439691"/>
      <w:bookmarkStart w:id="575" w:name="_Toc38440028"/>
      <w:bookmarkStart w:id="576" w:name="_Toc38440365"/>
      <w:bookmarkStart w:id="577" w:name="_Toc38440897"/>
      <w:bookmarkStart w:id="578" w:name="_Toc38441229"/>
      <w:bookmarkStart w:id="579" w:name="_Toc38441561"/>
      <w:bookmarkStart w:id="580" w:name="_Toc38441889"/>
      <w:bookmarkStart w:id="581" w:name="_Toc38442221"/>
      <w:bookmarkStart w:id="582" w:name="_Toc38442553"/>
      <w:bookmarkStart w:id="583" w:name="_Toc38442884"/>
      <w:bookmarkStart w:id="584" w:name="_Toc38443215"/>
      <w:bookmarkStart w:id="585" w:name="_Toc38443546"/>
      <w:bookmarkStart w:id="586" w:name="_Toc38443877"/>
      <w:bookmarkStart w:id="587" w:name="_Toc272569243"/>
      <w:bookmarkStart w:id="588" w:name="_Toc272569427"/>
      <w:bookmarkStart w:id="589" w:name="_Toc272569564"/>
      <w:bookmarkStart w:id="590" w:name="_Toc272569700"/>
      <w:bookmarkStart w:id="591" w:name="_Toc272569851"/>
      <w:bookmarkStart w:id="592" w:name="_Toc272570174"/>
      <w:bookmarkStart w:id="593" w:name="_Toc272570308"/>
      <w:bookmarkStart w:id="594" w:name="_Toc272570441"/>
      <w:bookmarkStart w:id="595" w:name="_Toc272570575"/>
      <w:bookmarkStart w:id="596" w:name="_Toc310513075"/>
      <w:bookmarkStart w:id="597" w:name="_Toc310513214"/>
      <w:bookmarkStart w:id="598" w:name="_Toc310513350"/>
      <w:bookmarkStart w:id="599" w:name="_Toc323051026"/>
      <w:bookmarkStart w:id="600" w:name="_Toc308697560"/>
      <w:bookmarkStart w:id="601" w:name="_Toc309286082"/>
      <w:bookmarkStart w:id="602" w:name="_Toc308697561"/>
      <w:bookmarkStart w:id="603" w:name="_Toc309286083"/>
      <w:bookmarkStart w:id="604" w:name="_Toc308697562"/>
      <w:bookmarkStart w:id="605" w:name="_Toc309286084"/>
      <w:bookmarkStart w:id="606" w:name="_Toc44229106"/>
      <w:bookmarkStart w:id="607" w:name="_Toc44229201"/>
      <w:bookmarkStart w:id="608" w:name="_Toc44229107"/>
      <w:bookmarkStart w:id="609" w:name="_Toc44229202"/>
      <w:bookmarkStart w:id="610" w:name="_Toc44229108"/>
      <w:bookmarkStart w:id="611" w:name="_Toc309286178"/>
      <w:bookmarkStart w:id="612" w:name="_Toc308697657"/>
      <w:bookmarkStart w:id="613" w:name="_Toc309286179"/>
      <w:bookmarkStart w:id="614" w:name="_Toc308697658"/>
      <w:bookmarkStart w:id="615" w:name="_Toc309286180"/>
      <w:bookmarkStart w:id="616" w:name="_Toc308697659"/>
      <w:bookmarkStart w:id="617" w:name="_Toc309286181"/>
      <w:bookmarkStart w:id="618" w:name="_Toc308697660"/>
      <w:bookmarkStart w:id="619" w:name="_Toc309286182"/>
      <w:bookmarkStart w:id="620" w:name="_Toc308697661"/>
      <w:bookmarkStart w:id="621" w:name="_Toc309286183"/>
      <w:bookmarkStart w:id="622" w:name="_Toc308697662"/>
      <w:bookmarkStart w:id="623" w:name="_Toc309286184"/>
      <w:bookmarkStart w:id="624" w:name="_Toc308697663"/>
      <w:bookmarkStart w:id="625" w:name="_Toc309286185"/>
      <w:bookmarkStart w:id="626" w:name="_Toc308697664"/>
      <w:bookmarkStart w:id="627" w:name="_Toc309286186"/>
      <w:bookmarkStart w:id="628" w:name="_Toc272570858"/>
      <w:bookmarkStart w:id="629" w:name="_Toc272569109"/>
      <w:bookmarkStart w:id="630" w:name="_Toc272569261"/>
      <w:bookmarkStart w:id="631" w:name="_Toc272569445"/>
      <w:bookmarkStart w:id="632" w:name="_Toc272569582"/>
      <w:bookmarkStart w:id="633" w:name="_Toc272569718"/>
      <w:bookmarkStart w:id="634" w:name="_Toc272569869"/>
      <w:bookmarkStart w:id="635" w:name="_Toc272570192"/>
      <w:bookmarkStart w:id="636" w:name="_Toc272570326"/>
      <w:bookmarkStart w:id="637" w:name="_Toc272570459"/>
      <w:bookmarkStart w:id="638" w:name="_Toc272570593"/>
      <w:bookmarkStart w:id="639" w:name="_Toc272570726"/>
      <w:bookmarkStart w:id="640" w:name="_Toc272570859"/>
      <w:bookmarkStart w:id="641" w:name="_Toc308697698"/>
      <w:bookmarkStart w:id="642" w:name="_Toc309286220"/>
      <w:bookmarkStart w:id="643" w:name="_Toc308697699"/>
      <w:bookmarkStart w:id="644" w:name="_Toc309286221"/>
      <w:bookmarkStart w:id="645" w:name="_Toc308697700"/>
      <w:bookmarkStart w:id="646" w:name="_Toc309286222"/>
      <w:bookmarkStart w:id="647" w:name="_Toc308697701"/>
      <w:bookmarkStart w:id="648" w:name="_Toc272570857"/>
      <w:bookmarkStart w:id="649" w:name="_Toc272569108"/>
      <w:bookmarkStart w:id="650" w:name="_Toc309286204"/>
      <w:bookmarkStart w:id="651" w:name="_Toc308697683"/>
      <w:bookmarkStart w:id="652" w:name="_Toc309286205"/>
      <w:bookmarkStart w:id="653" w:name="_Toc308697684"/>
      <w:bookmarkStart w:id="654" w:name="_Toc309286206"/>
      <w:bookmarkStart w:id="655" w:name="_Toc308697685"/>
      <w:bookmarkStart w:id="656" w:name="_Toc309286207"/>
      <w:bookmarkStart w:id="657" w:name="_Toc97031319"/>
      <w:bookmarkStart w:id="658" w:name="_Toc97107279"/>
      <w:bookmarkStart w:id="659" w:name="_Toc272569090"/>
      <w:bookmarkStart w:id="660" w:name="_Toc272569242"/>
      <w:bookmarkStart w:id="661" w:name="_Toc272569426"/>
      <w:bookmarkStart w:id="662" w:name="_Toc272569563"/>
      <w:bookmarkStart w:id="663" w:name="_Toc272569699"/>
      <w:bookmarkStart w:id="664" w:name="_Toc272569850"/>
      <w:bookmarkStart w:id="665" w:name="_Toc272570173"/>
      <w:bookmarkStart w:id="666" w:name="_Toc272570307"/>
      <w:bookmarkStart w:id="667" w:name="_Toc272570440"/>
      <w:bookmarkStart w:id="668" w:name="_Toc272570574"/>
      <w:bookmarkStart w:id="669" w:name="_Toc272570707"/>
      <w:bookmarkStart w:id="670" w:name="_Toc272570840"/>
      <w:bookmarkStart w:id="671" w:name="_Toc272569091"/>
      <w:bookmarkStart w:id="672" w:name="_Toc38440887"/>
      <w:bookmarkStart w:id="673" w:name="_Toc38441219"/>
      <w:bookmarkStart w:id="674" w:name="_Toc38441551"/>
      <w:bookmarkStart w:id="675" w:name="_Toc38441879"/>
      <w:bookmarkStart w:id="676" w:name="_Toc38442211"/>
      <w:bookmarkStart w:id="677" w:name="_Toc38442543"/>
      <w:bookmarkStart w:id="678" w:name="_Toc38442874"/>
      <w:bookmarkStart w:id="679" w:name="_Toc38443205"/>
      <w:bookmarkStart w:id="680" w:name="_Toc38443536"/>
      <w:bookmarkStart w:id="681" w:name="_Toc38443867"/>
      <w:bookmarkStart w:id="682" w:name="_Toc272569725"/>
      <w:bookmarkStart w:id="683" w:name="_Toc272569876"/>
      <w:bookmarkStart w:id="684" w:name="_Toc272569117"/>
      <w:bookmarkStart w:id="685" w:name="_Toc272569269"/>
      <w:bookmarkStart w:id="686" w:name="_Toc272569453"/>
      <w:bookmarkStart w:id="687" w:name="_Toc272569590"/>
      <w:bookmarkStart w:id="688" w:name="_Toc272569726"/>
      <w:bookmarkStart w:id="689" w:name="_Toc272569877"/>
      <w:bookmarkStart w:id="690" w:name="_Toc272569118"/>
      <w:bookmarkStart w:id="691" w:name="_Toc272569270"/>
      <w:bookmarkStart w:id="692" w:name="_Toc272569454"/>
      <w:bookmarkStart w:id="693" w:name="_Toc272569591"/>
      <w:bookmarkStart w:id="694" w:name="_Toc272569727"/>
      <w:bookmarkStart w:id="695" w:name="_Toc272569878"/>
      <w:bookmarkStart w:id="696" w:name="_Toc308697714"/>
      <w:bookmarkStart w:id="697" w:name="_Toc309286236"/>
      <w:bookmarkStart w:id="698" w:name="_Hlt133147570"/>
      <w:bookmarkStart w:id="699" w:name="_Hlt133151691"/>
      <w:bookmarkStart w:id="700" w:name="_Toc308697716"/>
      <w:bookmarkStart w:id="701" w:name="_Toc309286238"/>
      <w:bookmarkStart w:id="702" w:name="_Toc38443813"/>
      <w:bookmarkStart w:id="703" w:name="_Toc38438280"/>
      <w:bookmarkStart w:id="704" w:name="_Toc38438617"/>
      <w:bookmarkStart w:id="705" w:name="_Toc38438954"/>
      <w:bookmarkStart w:id="706" w:name="_Toc38439291"/>
      <w:bookmarkStart w:id="707" w:name="_Toc38439628"/>
      <w:bookmarkStart w:id="708" w:name="_Toc38439965"/>
      <w:bookmarkStart w:id="709" w:name="_Toc38440302"/>
      <w:bookmarkStart w:id="710" w:name="_Toc38442203"/>
      <w:bookmarkStart w:id="711" w:name="_Toc38442535"/>
      <w:bookmarkStart w:id="712" w:name="_Toc272569452"/>
      <w:bookmarkStart w:id="713" w:name="_Toc272569589"/>
      <w:bookmarkStart w:id="714" w:name="_Toc38441217"/>
      <w:bookmarkStart w:id="715" w:name="_Toc38441549"/>
      <w:bookmarkStart w:id="716" w:name="_Toc272570720"/>
      <w:bookmarkStart w:id="717" w:name="_Toc272570853"/>
      <w:bookmarkStart w:id="718" w:name="_Toc272569104"/>
      <w:bookmarkStart w:id="719" w:name="_Toc272569256"/>
      <w:bookmarkStart w:id="720" w:name="_Toc272569440"/>
      <w:bookmarkStart w:id="721" w:name="_Toc272569577"/>
      <w:bookmarkStart w:id="722" w:name="_Toc272569713"/>
      <w:bookmarkStart w:id="723" w:name="_Toc272569864"/>
      <w:bookmarkStart w:id="724" w:name="_Toc272570187"/>
      <w:bookmarkStart w:id="725" w:name="_Toc272570321"/>
      <w:bookmarkStart w:id="726" w:name="_Toc272570454"/>
      <w:bookmarkStart w:id="727" w:name="_Toc272570588"/>
      <w:bookmarkStart w:id="728" w:name="_Toc272570721"/>
      <w:bookmarkStart w:id="729" w:name="_Toc272570854"/>
      <w:bookmarkStart w:id="730" w:name="_Toc272569105"/>
      <w:bookmarkStart w:id="731" w:name="_Toc272569257"/>
      <w:bookmarkStart w:id="732" w:name="_Toc272569441"/>
      <w:bookmarkStart w:id="733" w:name="_Toc272569578"/>
      <w:bookmarkStart w:id="734" w:name="_Toc272569714"/>
      <w:bookmarkStart w:id="735" w:name="_Toc272569865"/>
      <w:bookmarkStart w:id="736" w:name="_Toc272570188"/>
      <w:bookmarkStart w:id="737" w:name="_Toc272570322"/>
      <w:bookmarkStart w:id="738" w:name="_Toc272570455"/>
      <w:bookmarkStart w:id="739" w:name="_Toc272570589"/>
      <w:bookmarkStart w:id="740" w:name="_Toc272570722"/>
      <w:bookmarkStart w:id="741" w:name="_Toc272570855"/>
      <w:bookmarkStart w:id="742" w:name="_Toc272569106"/>
      <w:bookmarkStart w:id="743" w:name="_Toc272569258"/>
      <w:bookmarkStart w:id="744" w:name="_Toc272569442"/>
      <w:bookmarkStart w:id="745" w:name="_Toc272569579"/>
      <w:bookmarkStart w:id="746" w:name="_Toc272569715"/>
      <w:bookmarkStart w:id="747" w:name="_Toc272569866"/>
      <w:bookmarkStart w:id="748" w:name="_Toc272570189"/>
      <w:bookmarkStart w:id="749" w:name="_Toc272570323"/>
      <w:bookmarkStart w:id="750" w:name="_Toc272570456"/>
      <w:bookmarkStart w:id="751" w:name="_Toc272570590"/>
      <w:bookmarkStart w:id="752" w:name="_Toc272570723"/>
      <w:bookmarkStart w:id="753" w:name="_Toc272570856"/>
      <w:bookmarkStart w:id="754" w:name="_Toc272569107"/>
      <w:bookmarkStart w:id="755" w:name="_Toc272569259"/>
      <w:bookmarkStart w:id="756" w:name="_Toc272569443"/>
      <w:bookmarkStart w:id="757" w:name="_Toc272569580"/>
      <w:bookmarkStart w:id="758" w:name="_Toc272569716"/>
      <w:bookmarkStart w:id="759" w:name="_Toc272569867"/>
      <w:bookmarkStart w:id="760" w:name="_Toc272570190"/>
      <w:bookmarkStart w:id="761" w:name="_Toc272570324"/>
      <w:bookmarkStart w:id="762" w:name="_Toc272570457"/>
      <w:bookmarkStart w:id="763" w:name="_Toc308697586"/>
      <w:bookmarkStart w:id="764" w:name="_Toc309286108"/>
      <w:bookmarkStart w:id="765" w:name="_Toc308697587"/>
      <w:bookmarkStart w:id="766" w:name="_Toc309286109"/>
      <w:bookmarkStart w:id="767" w:name="_Toc308697588"/>
      <w:bookmarkStart w:id="768" w:name="_Toc309286110"/>
      <w:bookmarkStart w:id="769" w:name="_Toc308697589"/>
      <w:bookmarkStart w:id="770" w:name="_Toc309286111"/>
      <w:bookmarkStart w:id="771" w:name="_Toc308697590"/>
      <w:bookmarkStart w:id="772" w:name="_Toc309286112"/>
      <w:bookmarkStart w:id="773" w:name="_Toc308697591"/>
      <w:bookmarkStart w:id="774" w:name="_Toc309286113"/>
      <w:bookmarkStart w:id="775" w:name="_Toc308697592"/>
      <w:bookmarkStart w:id="776" w:name="_Toc309286114"/>
      <w:bookmarkStart w:id="777" w:name="_Toc308697593"/>
      <w:bookmarkStart w:id="778" w:name="_Toc38438334"/>
      <w:bookmarkStart w:id="779" w:name="_Toc38438671"/>
      <w:bookmarkStart w:id="780" w:name="_Toc38439008"/>
      <w:bookmarkStart w:id="781" w:name="_Toc38439345"/>
      <w:bookmarkStart w:id="782" w:name="_Toc38439682"/>
      <w:bookmarkStart w:id="783" w:name="_Toc38440019"/>
      <w:bookmarkStart w:id="784" w:name="_Toc38440356"/>
      <w:bookmarkStart w:id="785" w:name="_Toc38440888"/>
      <w:bookmarkStart w:id="786" w:name="_Toc38441220"/>
      <w:bookmarkStart w:id="787" w:name="_Toc38441552"/>
      <w:bookmarkStart w:id="788" w:name="_Toc38441880"/>
      <w:bookmarkStart w:id="789" w:name="_Toc38442212"/>
      <w:bookmarkStart w:id="790" w:name="_Toc38442544"/>
      <w:bookmarkStart w:id="791" w:name="_Toc38442875"/>
      <w:bookmarkStart w:id="792" w:name="_Toc38443206"/>
      <w:bookmarkStart w:id="793" w:name="_Toc38443537"/>
      <w:bookmarkStart w:id="794" w:name="_Toc38443868"/>
      <w:bookmarkStart w:id="795" w:name="_Toc38440635"/>
      <w:bookmarkStart w:id="796" w:name="_Toc38440834"/>
      <w:bookmarkStart w:id="797" w:name="_Toc38441166"/>
      <w:bookmarkStart w:id="798" w:name="_Toc38441498"/>
      <w:bookmarkStart w:id="799" w:name="_Toc38441826"/>
      <w:bookmarkStart w:id="800" w:name="_Toc38442158"/>
      <w:bookmarkStart w:id="801" w:name="_Toc38442490"/>
      <w:bookmarkStart w:id="802" w:name="_Toc38442821"/>
      <w:bookmarkStart w:id="803" w:name="_Toc38443152"/>
      <w:bookmarkStart w:id="804" w:name="_Toc38443483"/>
      <w:bookmarkStart w:id="805" w:name="_Toc38443814"/>
      <w:bookmarkStart w:id="806" w:name="_Toc38438281"/>
      <w:bookmarkStart w:id="807" w:name="_Toc38438618"/>
      <w:bookmarkStart w:id="808" w:name="_Toc38438955"/>
      <w:bookmarkStart w:id="809" w:name="_Toc38439292"/>
      <w:bookmarkStart w:id="810" w:name="_Toc38439629"/>
      <w:bookmarkStart w:id="811" w:name="_Toc38439966"/>
      <w:bookmarkStart w:id="812" w:name="_Toc38440303"/>
      <w:bookmarkStart w:id="813" w:name="_Toc38440636"/>
      <w:bookmarkStart w:id="814" w:name="_Toc38440835"/>
      <w:bookmarkStart w:id="815" w:name="_Toc38442489"/>
      <w:bookmarkStart w:id="816" w:name="_Toc38442820"/>
      <w:bookmarkStart w:id="817" w:name="_Toc38438674"/>
      <w:bookmarkStart w:id="818" w:name="_Toc38439011"/>
      <w:bookmarkStart w:id="819" w:name="_Toc38439348"/>
      <w:bookmarkStart w:id="820" w:name="_Toc38439685"/>
      <w:bookmarkStart w:id="821" w:name="_Toc38440022"/>
      <w:bookmarkStart w:id="822" w:name="_Toc38440359"/>
      <w:bookmarkStart w:id="823" w:name="_Toc38440891"/>
      <w:bookmarkStart w:id="824" w:name="_Toc38441223"/>
      <w:bookmarkStart w:id="825" w:name="_Toc38441555"/>
      <w:bookmarkStart w:id="826" w:name="_Toc38441883"/>
      <w:bookmarkStart w:id="827" w:name="_Toc38442215"/>
      <w:bookmarkStart w:id="828" w:name="_Toc38442547"/>
      <w:bookmarkStart w:id="829" w:name="_Toc38442878"/>
      <w:bookmarkStart w:id="830" w:name="_Toc38443209"/>
      <w:bookmarkStart w:id="831" w:name="_Toc38443540"/>
      <w:bookmarkStart w:id="832" w:name="_Toc38443871"/>
      <w:bookmarkStart w:id="833" w:name="_Toc38438338"/>
      <w:bookmarkStart w:id="834" w:name="_Toc38438675"/>
      <w:bookmarkStart w:id="835" w:name="_Toc38439012"/>
      <w:bookmarkStart w:id="836" w:name="_Toc38439349"/>
      <w:bookmarkStart w:id="837" w:name="_Toc38439686"/>
      <w:bookmarkStart w:id="838" w:name="_Toc38440023"/>
      <w:bookmarkStart w:id="839" w:name="_Toc38440360"/>
      <w:bookmarkStart w:id="840" w:name="_Toc38440892"/>
      <w:bookmarkStart w:id="841" w:name="_Toc38441224"/>
      <w:bookmarkStart w:id="842" w:name="_Toc38441556"/>
      <w:bookmarkStart w:id="843" w:name="_Toc38441884"/>
      <w:bookmarkStart w:id="844" w:name="_Toc38442216"/>
      <w:bookmarkStart w:id="845" w:name="_Toc38442548"/>
      <w:bookmarkStart w:id="846" w:name="_Toc38442879"/>
      <w:bookmarkStart w:id="847" w:name="_Toc38443210"/>
      <w:bookmarkStart w:id="848" w:name="_Toc38443541"/>
      <w:bookmarkStart w:id="849" w:name="_Toc38443872"/>
      <w:bookmarkStart w:id="850" w:name="_Toc38438339"/>
      <w:bookmarkStart w:id="851" w:name="_Toc38438676"/>
      <w:bookmarkStart w:id="852" w:name="_Toc38439013"/>
      <w:bookmarkStart w:id="853" w:name="_Toc38439350"/>
      <w:bookmarkStart w:id="854" w:name="_Toc38439687"/>
      <w:bookmarkStart w:id="855" w:name="_Toc38440024"/>
      <w:bookmarkStart w:id="856" w:name="_Toc38440361"/>
      <w:bookmarkStart w:id="857" w:name="_Toc38440893"/>
      <w:bookmarkStart w:id="858" w:name="_Toc38441225"/>
      <w:bookmarkStart w:id="859" w:name="_Toc38441557"/>
      <w:bookmarkStart w:id="860" w:name="_Toc38441885"/>
      <w:bookmarkStart w:id="861" w:name="_Toc38442217"/>
      <w:bookmarkStart w:id="862" w:name="_Toc38442549"/>
      <w:bookmarkStart w:id="863" w:name="_Toc38442880"/>
      <w:bookmarkStart w:id="864" w:name="_Toc38443211"/>
      <w:bookmarkStart w:id="865" w:name="_Toc38443542"/>
      <w:bookmarkStart w:id="866" w:name="_Toc38443873"/>
      <w:bookmarkStart w:id="867" w:name="_Toc38438340"/>
      <w:bookmarkStart w:id="868" w:name="_Toc38439970"/>
      <w:bookmarkStart w:id="869" w:name="_Toc38440307"/>
      <w:bookmarkStart w:id="870" w:name="_Toc38440640"/>
      <w:bookmarkStart w:id="871" w:name="_Toc38440839"/>
      <w:bookmarkStart w:id="872" w:name="_Toc38441171"/>
      <w:bookmarkStart w:id="873" w:name="_Toc38441503"/>
      <w:bookmarkStart w:id="874" w:name="_Toc38441831"/>
      <w:bookmarkStart w:id="875" w:name="_Toc38442163"/>
      <w:bookmarkStart w:id="876" w:name="_Toc38442495"/>
      <w:bookmarkStart w:id="877" w:name="_Toc38441873"/>
      <w:bookmarkStart w:id="878" w:name="_Toc38442205"/>
      <w:bookmarkStart w:id="879" w:name="_Toc38439968"/>
      <w:bookmarkStart w:id="880" w:name="_Toc38440305"/>
      <w:bookmarkStart w:id="881" w:name="_Toc38440638"/>
      <w:bookmarkStart w:id="882" w:name="_Toc38440837"/>
      <w:bookmarkStart w:id="883" w:name="_Toc38438277"/>
      <w:bookmarkStart w:id="884" w:name="_Toc38438614"/>
      <w:bookmarkStart w:id="885" w:name="_Toc38438951"/>
      <w:bookmarkStart w:id="886" w:name="_Toc38439288"/>
      <w:bookmarkStart w:id="887" w:name="_Toc38439625"/>
      <w:bookmarkStart w:id="888" w:name="_Toc38439962"/>
      <w:bookmarkStart w:id="889" w:name="_Toc38440299"/>
      <w:bookmarkStart w:id="890" w:name="_Toc38440632"/>
      <w:bookmarkStart w:id="891" w:name="_Toc38440831"/>
      <w:bookmarkStart w:id="892" w:name="_Toc38441163"/>
      <w:bookmarkStart w:id="893" w:name="_Toc38441495"/>
      <w:bookmarkStart w:id="894" w:name="_Toc38441823"/>
      <w:bookmarkStart w:id="895" w:name="_Toc38442155"/>
      <w:bookmarkStart w:id="896" w:name="_Toc38442487"/>
      <w:bookmarkStart w:id="897" w:name="_Toc38442818"/>
      <w:bookmarkStart w:id="898" w:name="_Toc38443149"/>
      <w:bookmarkStart w:id="899" w:name="_Toc38443480"/>
      <w:bookmarkStart w:id="900" w:name="_Toc38443811"/>
      <w:bookmarkStart w:id="901" w:name="_Toc38438278"/>
      <w:bookmarkStart w:id="902" w:name="_Toc38438615"/>
      <w:bookmarkStart w:id="903" w:name="_Toc38438952"/>
      <w:bookmarkStart w:id="904" w:name="_Toc38439289"/>
      <w:bookmarkStart w:id="905" w:name="_Toc38439626"/>
      <w:bookmarkStart w:id="906" w:name="_Toc38439963"/>
      <w:bookmarkStart w:id="907" w:name="_Toc38440300"/>
      <w:bookmarkStart w:id="908" w:name="_Toc38440633"/>
      <w:bookmarkStart w:id="909" w:name="_Toc38440832"/>
      <w:bookmarkStart w:id="910" w:name="_Toc38441164"/>
      <w:bookmarkStart w:id="911" w:name="_Toc38441496"/>
      <w:bookmarkStart w:id="912" w:name="_Toc38441824"/>
      <w:bookmarkStart w:id="913" w:name="_Toc38442156"/>
      <w:bookmarkStart w:id="914" w:name="_Toc38442488"/>
      <w:bookmarkStart w:id="915" w:name="_Toc38442819"/>
      <w:bookmarkStart w:id="916" w:name="_Toc38443150"/>
      <w:bookmarkStart w:id="917" w:name="_Toc38443481"/>
      <w:bookmarkStart w:id="918" w:name="_Toc38443812"/>
      <w:bookmarkStart w:id="919" w:name="_Toc38438279"/>
      <w:bookmarkStart w:id="920" w:name="_Toc38438616"/>
      <w:bookmarkStart w:id="921" w:name="_Toc38438953"/>
      <w:bookmarkStart w:id="922" w:name="_Toc38439290"/>
      <w:bookmarkStart w:id="923" w:name="_Toc38439627"/>
      <w:bookmarkStart w:id="924" w:name="_Toc38439964"/>
      <w:bookmarkStart w:id="925" w:name="_Toc38440301"/>
      <w:bookmarkStart w:id="926" w:name="_Toc38440634"/>
      <w:bookmarkStart w:id="927" w:name="_Toc38440833"/>
      <w:bookmarkStart w:id="928" w:name="_Toc38441165"/>
      <w:bookmarkStart w:id="929" w:name="_Toc38441497"/>
      <w:bookmarkStart w:id="930" w:name="_Toc309286128"/>
      <w:bookmarkStart w:id="931" w:name="_Toc308697607"/>
      <w:bookmarkStart w:id="932" w:name="_Toc309286129"/>
      <w:bookmarkStart w:id="933" w:name="_Toc308697608"/>
      <w:bookmarkStart w:id="934" w:name="_Toc309286130"/>
      <w:bookmarkStart w:id="935" w:name="_Toc308697609"/>
      <w:bookmarkStart w:id="936" w:name="_Toc309286131"/>
      <w:bookmarkStart w:id="937" w:name="_Toc308697610"/>
      <w:bookmarkStart w:id="938" w:name="_Toc309286132"/>
      <w:bookmarkStart w:id="939" w:name="_Toc308697611"/>
      <w:bookmarkStart w:id="940" w:name="_Toc309286133"/>
      <w:bookmarkStart w:id="941" w:name="_Toc308697612"/>
      <w:bookmarkStart w:id="942" w:name="_Toc309286134"/>
      <w:bookmarkStart w:id="943" w:name="_Toc308697613"/>
      <w:bookmarkStart w:id="944" w:name="_Toc309286135"/>
      <w:bookmarkStart w:id="945" w:name="_Toc308697614"/>
      <w:bookmarkStart w:id="946" w:name="_Toc309286136"/>
      <w:bookmarkStart w:id="947" w:name="_Toc308697615"/>
      <w:bookmarkStart w:id="948" w:name="_Toc309286137"/>
      <w:bookmarkStart w:id="949" w:name="_Toc308697616"/>
      <w:bookmarkStart w:id="950" w:name="_Toc309286138"/>
      <w:bookmarkStart w:id="951" w:name="_Toc308697617"/>
      <w:bookmarkStart w:id="952" w:name="_Toc309286139"/>
      <w:bookmarkStart w:id="953" w:name="_Toc308697618"/>
      <w:bookmarkStart w:id="954" w:name="_Toc309286140"/>
      <w:bookmarkStart w:id="955" w:name="_Toc308697619"/>
      <w:bookmarkStart w:id="956" w:name="_Toc309286141"/>
      <w:bookmarkStart w:id="957" w:name="_Toc308697620"/>
      <w:bookmarkStart w:id="958" w:name="_Toc309286142"/>
      <w:bookmarkStart w:id="959" w:name="_Toc308697621"/>
      <w:bookmarkStart w:id="960" w:name="_Toc309286143"/>
      <w:bookmarkStart w:id="961" w:name="_Toc38438677"/>
      <w:bookmarkStart w:id="962" w:name="_Toc38442826"/>
      <w:bookmarkStart w:id="963" w:name="_Toc38443157"/>
      <w:bookmarkStart w:id="964" w:name="_Toc38443488"/>
      <w:bookmarkStart w:id="965" w:name="_Toc38443819"/>
      <w:bookmarkStart w:id="966" w:name="_Toc38438286"/>
      <w:bookmarkStart w:id="967" w:name="_Toc38438623"/>
      <w:bookmarkStart w:id="968" w:name="_Toc38438960"/>
      <w:bookmarkStart w:id="969" w:name="_Toc38439297"/>
      <w:bookmarkStart w:id="970" w:name="_Toc38439634"/>
      <w:bookmarkStart w:id="971" w:name="_Toc38439971"/>
      <w:bookmarkStart w:id="972" w:name="_Toc38440308"/>
      <w:bookmarkStart w:id="973" w:name="_Toc38440641"/>
      <w:bookmarkStart w:id="974" w:name="_Toc38440840"/>
      <w:bookmarkStart w:id="975" w:name="_Toc38441172"/>
      <w:bookmarkStart w:id="976" w:name="_Toc38441504"/>
      <w:bookmarkStart w:id="977" w:name="_Toc38441832"/>
      <w:bookmarkStart w:id="978" w:name="_Toc38442164"/>
      <w:bookmarkStart w:id="979" w:name="_Toc38442496"/>
      <w:bookmarkStart w:id="980" w:name="_Toc38442827"/>
      <w:bookmarkStart w:id="981" w:name="_Toc38443158"/>
      <w:bookmarkStart w:id="982" w:name="_Toc272569702"/>
      <w:bookmarkStart w:id="983" w:name="_Toc272569853"/>
      <w:bookmarkStart w:id="984" w:name="_Toc272570176"/>
      <w:bookmarkStart w:id="985" w:name="_Toc272570310"/>
      <w:bookmarkStart w:id="986" w:name="_Toc272570443"/>
      <w:bookmarkStart w:id="987" w:name="_Toc272570577"/>
      <w:bookmarkStart w:id="988" w:name="_Toc272570710"/>
      <w:bookmarkStart w:id="989" w:name="_Toc272570843"/>
      <w:bookmarkStart w:id="990" w:name="_Toc38443855"/>
      <w:bookmarkStart w:id="991" w:name="_Toc38438322"/>
      <w:bookmarkStart w:id="992" w:name="_Toc38438659"/>
      <w:bookmarkStart w:id="993" w:name="_Toc38438996"/>
      <w:bookmarkStart w:id="994" w:name="_Toc38439333"/>
      <w:bookmarkStart w:id="995" w:name="_Toc38439670"/>
      <w:bookmarkStart w:id="996" w:name="_Toc38440007"/>
      <w:bookmarkStart w:id="997" w:name="_Toc38440344"/>
      <w:bookmarkStart w:id="998" w:name="_Toc38440677"/>
      <w:bookmarkStart w:id="999" w:name="_Toc38440876"/>
      <w:bookmarkStart w:id="1000" w:name="_Toc38441208"/>
      <w:bookmarkStart w:id="1001" w:name="_Toc38441540"/>
      <w:bookmarkStart w:id="1002" w:name="_Toc38441868"/>
      <w:bookmarkStart w:id="1003" w:name="_Toc38442200"/>
      <w:bookmarkStart w:id="1004" w:name="_Toc38442532"/>
      <w:bookmarkStart w:id="1005" w:name="_Toc38442863"/>
      <w:bookmarkStart w:id="1006" w:name="_Toc38443194"/>
      <w:bookmarkStart w:id="1007" w:name="_Toc38443525"/>
      <w:bookmarkStart w:id="1008" w:name="_Toc38443856"/>
      <w:bookmarkStart w:id="1009" w:name="_Toc38438323"/>
      <w:bookmarkStart w:id="1010" w:name="_Toc38438660"/>
      <w:bookmarkStart w:id="1011" w:name="_Toc38438997"/>
      <w:bookmarkStart w:id="1012" w:name="_Toc38439334"/>
      <w:bookmarkStart w:id="1013" w:name="_Toc38439671"/>
      <w:bookmarkStart w:id="1014" w:name="_Toc38440008"/>
      <w:bookmarkStart w:id="1015" w:name="_Toc38440345"/>
      <w:bookmarkStart w:id="1016" w:name="_Toc38440678"/>
      <w:bookmarkStart w:id="1017" w:name="_Toc38440877"/>
      <w:bookmarkStart w:id="1018" w:name="_Toc38441209"/>
      <w:bookmarkStart w:id="1019" w:name="_Toc38441541"/>
      <w:bookmarkStart w:id="1020" w:name="_Toc38441869"/>
      <w:bookmarkStart w:id="1021" w:name="_Toc38442201"/>
      <w:bookmarkStart w:id="1022" w:name="_Toc38442533"/>
      <w:bookmarkStart w:id="1023" w:name="_Toc272570708"/>
      <w:bookmarkStart w:id="1024" w:name="_Toc272570841"/>
      <w:bookmarkStart w:id="1025" w:name="_Toc272569093"/>
      <w:bookmarkStart w:id="1026" w:name="_Toc272569245"/>
      <w:bookmarkStart w:id="1027" w:name="_Toc309286162"/>
      <w:bookmarkStart w:id="1028" w:name="_Toc308697641"/>
      <w:bookmarkStart w:id="1029" w:name="_Toc309286163"/>
      <w:bookmarkStart w:id="1030" w:name="_Toc308697642"/>
      <w:bookmarkStart w:id="1031" w:name="_Toc309286164"/>
      <w:bookmarkStart w:id="1032" w:name="_Toc308697643"/>
      <w:bookmarkStart w:id="1033" w:name="_Toc309286165"/>
      <w:bookmarkStart w:id="1034" w:name="_Toc308697644"/>
      <w:bookmarkStart w:id="1035" w:name="_Toc309286166"/>
      <w:bookmarkStart w:id="1036" w:name="_Toc308697645"/>
      <w:bookmarkStart w:id="1037" w:name="_Toc309286167"/>
      <w:bookmarkStart w:id="1038" w:name="_Toc308697646"/>
      <w:bookmarkStart w:id="1039" w:name="_Toc309286168"/>
      <w:bookmarkStart w:id="1040" w:name="_Toc308697647"/>
      <w:bookmarkStart w:id="1041" w:name="_Toc309286169"/>
      <w:bookmarkStart w:id="1042" w:name="_Toc308697648"/>
      <w:bookmarkStart w:id="1043" w:name="_Toc309286170"/>
      <w:bookmarkStart w:id="1044" w:name="_Toc308697649"/>
      <w:bookmarkStart w:id="1045" w:name="_Toc309286171"/>
      <w:bookmarkStart w:id="1046" w:name="_Toc308697650"/>
      <w:bookmarkStart w:id="1047" w:name="_Toc309286172"/>
      <w:bookmarkStart w:id="1048" w:name="_Toc308697651"/>
      <w:bookmarkStart w:id="1049" w:name="_Toc309286173"/>
      <w:bookmarkStart w:id="1050" w:name="_Toc308697652"/>
      <w:bookmarkStart w:id="1051" w:name="_Toc309286174"/>
      <w:bookmarkStart w:id="1052" w:name="_Toc308697653"/>
      <w:bookmarkStart w:id="1053" w:name="_Toc309286175"/>
      <w:bookmarkStart w:id="1054" w:name="_Toc308697654"/>
      <w:bookmarkStart w:id="1055" w:name="_Toc309286176"/>
      <w:bookmarkStart w:id="1056" w:name="_Toc308697655"/>
      <w:bookmarkStart w:id="1057" w:name="_Toc309286177"/>
      <w:bookmarkStart w:id="1058" w:name="_Toc308697656"/>
      <w:bookmarkStart w:id="1059" w:name="_Toc272570181"/>
      <w:bookmarkStart w:id="1060" w:name="_Toc272570315"/>
      <w:bookmarkStart w:id="1061" w:name="_Toc272570448"/>
      <w:bookmarkStart w:id="1062" w:name="_Toc272570582"/>
      <w:bookmarkStart w:id="1063" w:name="_Toc272570715"/>
      <w:bookmarkStart w:id="1064" w:name="_Toc272570848"/>
      <w:bookmarkStart w:id="1065" w:name="_Toc272569099"/>
      <w:bookmarkStart w:id="1066" w:name="_Toc272569251"/>
      <w:bookmarkStart w:id="1067" w:name="_Toc272569435"/>
      <w:bookmarkStart w:id="1068" w:name="_Toc272569572"/>
      <w:bookmarkStart w:id="1069" w:name="_Toc272569708"/>
      <w:bookmarkStart w:id="1070" w:name="_Toc272569859"/>
      <w:bookmarkStart w:id="1071" w:name="_Toc272570182"/>
      <w:bookmarkStart w:id="1072" w:name="_Toc272570316"/>
      <w:bookmarkStart w:id="1073" w:name="_Toc272570449"/>
      <w:bookmarkStart w:id="1074" w:name="_Toc272570583"/>
      <w:bookmarkStart w:id="1075" w:name="_Toc272570716"/>
      <w:bookmarkStart w:id="1076" w:name="_Toc272570849"/>
      <w:bookmarkStart w:id="1077" w:name="_Toc272569100"/>
      <w:bookmarkStart w:id="1078" w:name="_Toc272569252"/>
      <w:bookmarkStart w:id="1079" w:name="_Toc272569581"/>
      <w:bookmarkStart w:id="1080" w:name="_Toc272569717"/>
      <w:bookmarkStart w:id="1081" w:name="_Toc272569868"/>
      <w:bookmarkStart w:id="1082" w:name="_Toc272570191"/>
      <w:bookmarkStart w:id="1083" w:name="_Toc272570325"/>
      <w:bookmarkStart w:id="1084" w:name="_Toc272570458"/>
      <w:bookmarkStart w:id="1085" w:name="_Toc272570592"/>
      <w:bookmarkStart w:id="1086" w:name="_Toc272570725"/>
      <w:bookmarkStart w:id="1087" w:name="_Toc38442864"/>
      <w:bookmarkStart w:id="1088" w:name="_Toc38443195"/>
      <w:bookmarkStart w:id="1089" w:name="_Toc38443526"/>
      <w:bookmarkStart w:id="1090" w:name="_Toc38443857"/>
      <w:bookmarkStart w:id="1091" w:name="_Toc38438324"/>
      <w:bookmarkStart w:id="1092" w:name="_Toc38438661"/>
      <w:bookmarkStart w:id="1093" w:name="_Toc38438998"/>
      <w:bookmarkStart w:id="1094" w:name="_Toc38439335"/>
      <w:bookmarkStart w:id="1095" w:name="_Toc38439672"/>
      <w:bookmarkStart w:id="1096" w:name="_Toc38440009"/>
      <w:bookmarkStart w:id="1097" w:name="_Toc38440346"/>
      <w:bookmarkStart w:id="1098" w:name="_Toc38440679"/>
      <w:bookmarkStart w:id="1099" w:name="_Toc38440878"/>
      <w:bookmarkStart w:id="1100" w:name="_Toc38441210"/>
      <w:bookmarkStart w:id="1101" w:name="_Toc38441542"/>
      <w:bookmarkStart w:id="1102" w:name="_Toc38441870"/>
      <w:bookmarkStart w:id="1103" w:name="_Toc38442202"/>
      <w:bookmarkStart w:id="1104" w:name="_Toc38442534"/>
      <w:bookmarkStart w:id="1105" w:name="_Toc38442865"/>
      <w:bookmarkStart w:id="1106" w:name="_Toc38443196"/>
      <w:bookmarkStart w:id="1107" w:name="_Toc38443527"/>
      <w:bookmarkStart w:id="1108" w:name="_Toc38443858"/>
      <w:bookmarkStart w:id="1109" w:name="_Toc38438325"/>
      <w:bookmarkStart w:id="1110" w:name="_Toc38438662"/>
      <w:bookmarkStart w:id="1111" w:name="_Toc38438999"/>
      <w:bookmarkStart w:id="1112" w:name="_Toc38439336"/>
      <w:bookmarkStart w:id="1113" w:name="_Toc38439673"/>
      <w:bookmarkStart w:id="1114" w:name="_Toc38440010"/>
      <w:bookmarkStart w:id="1115" w:name="_Toc38440347"/>
      <w:bookmarkStart w:id="1116" w:name="_Toc38440879"/>
      <w:bookmarkStart w:id="1117" w:name="_Toc38441211"/>
      <w:bookmarkStart w:id="1118" w:name="_Toc38441543"/>
      <w:bookmarkStart w:id="1119" w:name="_Toc38441871"/>
      <w:bookmarkStart w:id="1120" w:name="_Toc272570591"/>
      <w:bookmarkStart w:id="1121" w:name="_Toc272570724"/>
      <w:bookmarkStart w:id="1122" w:name="_Toc38442866"/>
      <w:bookmarkStart w:id="1123" w:name="_Toc38443197"/>
      <w:bookmarkStart w:id="1124" w:name="_Toc38443528"/>
      <w:bookmarkStart w:id="1125" w:name="_Toc38443859"/>
      <w:bookmarkStart w:id="1126" w:name="_Toc38438326"/>
      <w:bookmarkStart w:id="1127" w:name="_Toc38438663"/>
      <w:bookmarkStart w:id="1128" w:name="_Toc38439000"/>
      <w:bookmarkStart w:id="1129" w:name="_Toc38439337"/>
      <w:bookmarkStart w:id="1130" w:name="_Toc38439674"/>
      <w:bookmarkStart w:id="1131" w:name="_Toc38440011"/>
      <w:bookmarkStart w:id="1132" w:name="_Toc38440348"/>
      <w:bookmarkStart w:id="1133" w:name="_Toc38440880"/>
      <w:bookmarkStart w:id="1134" w:name="_Toc38441212"/>
      <w:bookmarkStart w:id="1135" w:name="_Toc38441544"/>
      <w:bookmarkStart w:id="1136" w:name="_Toc38441872"/>
      <w:bookmarkStart w:id="1137" w:name="_Toc38442204"/>
      <w:bookmarkStart w:id="1138" w:name="_Toc38442536"/>
      <w:bookmarkStart w:id="1139" w:name="_Toc38442867"/>
      <w:bookmarkStart w:id="1140" w:name="_Toc38443198"/>
      <w:bookmarkStart w:id="1141" w:name="_Toc38443529"/>
      <w:bookmarkStart w:id="1142" w:name="_Toc38443860"/>
      <w:bookmarkStart w:id="1143" w:name="_Toc38438327"/>
      <w:bookmarkStart w:id="1144" w:name="_Toc38438664"/>
      <w:bookmarkStart w:id="1145" w:name="_Toc38439001"/>
      <w:bookmarkStart w:id="1146" w:name="_Toc38439338"/>
      <w:bookmarkStart w:id="1147" w:name="_Toc38439675"/>
      <w:bookmarkStart w:id="1148" w:name="_Toc38440012"/>
      <w:bookmarkStart w:id="1149" w:name="_Toc38440349"/>
      <w:bookmarkStart w:id="1150" w:name="_Toc38440881"/>
      <w:bookmarkStart w:id="1151" w:name="_Toc38441213"/>
      <w:bookmarkStart w:id="1152" w:name="_Toc38441545"/>
      <w:bookmarkStart w:id="1153" w:name="_Toc38441825"/>
      <w:bookmarkStart w:id="1154" w:name="_Toc38442157"/>
      <w:bookmarkStart w:id="1155" w:name="_Toc38442537"/>
      <w:bookmarkStart w:id="1156" w:name="_Toc38442868"/>
      <w:bookmarkStart w:id="1157" w:name="_Toc38443199"/>
      <w:bookmarkStart w:id="1158" w:name="_Toc38443530"/>
      <w:bookmarkStart w:id="1159" w:name="_Toc38443861"/>
      <w:bookmarkStart w:id="1160" w:name="_Toc38438328"/>
      <w:bookmarkStart w:id="1161" w:name="_Toc38438665"/>
      <w:bookmarkStart w:id="1162" w:name="_Toc38439002"/>
      <w:bookmarkStart w:id="1163" w:name="_Toc38439339"/>
      <w:bookmarkStart w:id="1164" w:name="_Toc38439676"/>
      <w:bookmarkStart w:id="1165" w:name="_Toc38440013"/>
      <w:bookmarkStart w:id="1166" w:name="_Toc38440350"/>
      <w:bookmarkStart w:id="1167" w:name="_Toc38440882"/>
      <w:bookmarkStart w:id="1168" w:name="_Toc38441214"/>
      <w:bookmarkStart w:id="1169" w:name="_Toc38441546"/>
      <w:bookmarkStart w:id="1170" w:name="_Toc38441874"/>
      <w:bookmarkStart w:id="1171" w:name="_Toc38442206"/>
      <w:bookmarkStart w:id="1172" w:name="_Toc38442538"/>
      <w:bookmarkStart w:id="1173" w:name="_Toc38442869"/>
      <w:bookmarkStart w:id="1174" w:name="_Toc38443200"/>
      <w:bookmarkStart w:id="1175" w:name="_Toc38443531"/>
      <w:bookmarkStart w:id="1176" w:name="_Toc38443862"/>
      <w:bookmarkStart w:id="1177" w:name="_Toc38438329"/>
      <w:bookmarkStart w:id="1178" w:name="_Toc38438666"/>
      <w:bookmarkStart w:id="1179" w:name="_Toc38439003"/>
      <w:bookmarkStart w:id="1180" w:name="_Toc38439340"/>
      <w:bookmarkStart w:id="1181" w:name="_Toc38439677"/>
      <w:bookmarkStart w:id="1182" w:name="_Toc38440014"/>
      <w:bookmarkStart w:id="1183" w:name="_Toc38440351"/>
      <w:bookmarkStart w:id="1184" w:name="_Toc38440883"/>
      <w:bookmarkStart w:id="1185" w:name="_Toc38441215"/>
      <w:bookmarkStart w:id="1186" w:name="_Toc272569429"/>
      <w:bookmarkStart w:id="1187" w:name="_Toc272569566"/>
      <w:bookmarkStart w:id="1188" w:name="_Toc38442207"/>
      <w:bookmarkStart w:id="1189" w:name="_Toc38442539"/>
      <w:bookmarkStart w:id="1190" w:name="_Toc38442870"/>
      <w:bookmarkStart w:id="1191" w:name="_Toc38443201"/>
      <w:bookmarkStart w:id="1192" w:name="_Toc38443532"/>
      <w:bookmarkStart w:id="1193" w:name="_Toc38443863"/>
      <w:bookmarkStart w:id="1194" w:name="_Toc38438330"/>
      <w:bookmarkStart w:id="1195" w:name="_Toc38438667"/>
      <w:bookmarkStart w:id="1196" w:name="_Toc38439004"/>
      <w:bookmarkStart w:id="1197" w:name="_Toc38439341"/>
      <w:bookmarkStart w:id="1198" w:name="_Toc38439678"/>
      <w:bookmarkStart w:id="1199" w:name="_Toc38440015"/>
      <w:bookmarkStart w:id="1200" w:name="_Toc38440352"/>
      <w:bookmarkStart w:id="1201" w:name="_Toc38440884"/>
      <w:bookmarkStart w:id="1202" w:name="_Toc38441216"/>
      <w:bookmarkStart w:id="1203" w:name="_Toc38441548"/>
      <w:bookmarkStart w:id="1204" w:name="_Toc38441876"/>
      <w:bookmarkStart w:id="1205" w:name="_Toc38442208"/>
      <w:bookmarkStart w:id="1206" w:name="_Toc38442540"/>
      <w:bookmarkStart w:id="1207" w:name="_Toc38442871"/>
      <w:bookmarkStart w:id="1208" w:name="_Toc38443202"/>
      <w:bookmarkStart w:id="1209" w:name="_Toc38443533"/>
      <w:bookmarkStart w:id="1210" w:name="_Toc38443864"/>
      <w:bookmarkStart w:id="1211" w:name="_Toc38438331"/>
      <w:bookmarkStart w:id="1212" w:name="_Toc38438668"/>
      <w:bookmarkStart w:id="1213" w:name="_Toc38439005"/>
      <w:bookmarkStart w:id="1214" w:name="_Toc38439342"/>
      <w:bookmarkStart w:id="1215" w:name="_Toc38439679"/>
      <w:bookmarkStart w:id="1216" w:name="_Toc38440016"/>
      <w:bookmarkStart w:id="1217" w:name="_Toc38440353"/>
      <w:bookmarkStart w:id="1218" w:name="_Toc38440885"/>
      <w:bookmarkStart w:id="1219" w:name="_Toc272569260"/>
      <w:bookmarkStart w:id="1220" w:name="_Toc272569444"/>
      <w:bookmarkStart w:id="1221" w:name="_Toc38441877"/>
      <w:bookmarkStart w:id="1222" w:name="_Toc38442209"/>
      <w:bookmarkStart w:id="1223" w:name="_Toc38442541"/>
      <w:bookmarkStart w:id="1224" w:name="_Toc38442872"/>
      <w:bookmarkStart w:id="1225" w:name="_Toc38443203"/>
      <w:bookmarkStart w:id="1226" w:name="_Toc38443534"/>
      <w:bookmarkStart w:id="1227" w:name="_Toc38443865"/>
      <w:bookmarkStart w:id="1228" w:name="_Toc38438332"/>
      <w:bookmarkStart w:id="1229" w:name="_Toc38438669"/>
      <w:bookmarkStart w:id="1230" w:name="_Toc38439006"/>
      <w:bookmarkStart w:id="1231" w:name="_Toc38439343"/>
      <w:bookmarkStart w:id="1232" w:name="_Toc38439680"/>
      <w:bookmarkStart w:id="1233" w:name="_Toc38440017"/>
      <w:bookmarkStart w:id="1234" w:name="_Toc38440354"/>
      <w:bookmarkStart w:id="1235" w:name="_Toc38440886"/>
      <w:bookmarkStart w:id="1236" w:name="_Toc38441218"/>
      <w:bookmarkStart w:id="1237" w:name="_Toc38441550"/>
      <w:bookmarkStart w:id="1238" w:name="_Toc38441878"/>
      <w:bookmarkStart w:id="1239" w:name="_Toc38442210"/>
      <w:bookmarkStart w:id="1240" w:name="_Toc38442542"/>
      <w:bookmarkStart w:id="1241" w:name="_Toc38442873"/>
      <w:bookmarkStart w:id="1242" w:name="_Toc38443204"/>
      <w:bookmarkStart w:id="1243" w:name="_Toc38443535"/>
      <w:bookmarkStart w:id="1244" w:name="_Toc38443866"/>
      <w:bookmarkStart w:id="1245" w:name="_Toc38438333"/>
      <w:bookmarkStart w:id="1246" w:name="_Toc38438670"/>
      <w:bookmarkStart w:id="1247" w:name="_Toc38439007"/>
      <w:bookmarkStart w:id="1248" w:name="_Toc38439344"/>
      <w:bookmarkStart w:id="1249" w:name="_Toc38439681"/>
      <w:bookmarkStart w:id="1250" w:name="_Toc38440018"/>
      <w:bookmarkStart w:id="1251" w:name="_Toc38440355"/>
      <w:bookmarkStart w:id="1252" w:name="_Toc38443151"/>
      <w:bookmarkStart w:id="1253" w:name="_Toc38443482"/>
      <w:bookmarkStart w:id="1254" w:name="_Toc38441169"/>
      <w:bookmarkStart w:id="1255" w:name="_Toc38441501"/>
      <w:bookmarkStart w:id="1256" w:name="_Toc38441829"/>
      <w:bookmarkStart w:id="1257" w:name="_Toc38442161"/>
      <w:bookmarkStart w:id="1258" w:name="_Toc38442493"/>
      <w:bookmarkStart w:id="1259" w:name="_Toc38442824"/>
      <w:bookmarkStart w:id="1260" w:name="_Toc38443155"/>
      <w:bookmarkStart w:id="1261" w:name="_Toc38443486"/>
      <w:bookmarkStart w:id="1262" w:name="_Toc38443817"/>
      <w:bookmarkStart w:id="1263" w:name="_Toc38438284"/>
      <w:bookmarkStart w:id="1264" w:name="_Toc38438621"/>
      <w:bookmarkStart w:id="1265" w:name="_Toc38438958"/>
      <w:bookmarkStart w:id="1266" w:name="_Toc38439295"/>
      <w:bookmarkStart w:id="1267" w:name="_Toc38439632"/>
      <w:bookmarkStart w:id="1268" w:name="_Toc38439969"/>
      <w:bookmarkStart w:id="1269" w:name="_Toc38440306"/>
      <w:bookmarkStart w:id="1270" w:name="_Toc38440639"/>
      <w:bookmarkStart w:id="1271" w:name="_Toc38440838"/>
      <w:bookmarkStart w:id="1272" w:name="_Toc38441170"/>
      <w:bookmarkStart w:id="1273" w:name="_Toc38441502"/>
      <w:bookmarkStart w:id="1274" w:name="_Toc38441830"/>
      <w:bookmarkStart w:id="1275" w:name="_Toc38442162"/>
      <w:bookmarkStart w:id="1276" w:name="_Toc38442494"/>
      <w:bookmarkStart w:id="1277" w:name="_Toc38442825"/>
      <w:bookmarkStart w:id="1278" w:name="_Toc38443156"/>
      <w:bookmarkStart w:id="1279" w:name="_Toc38443487"/>
      <w:bookmarkStart w:id="1280" w:name="_Toc38443818"/>
      <w:bookmarkStart w:id="1281" w:name="_Toc38438285"/>
      <w:bookmarkStart w:id="1282" w:name="_Toc38438622"/>
      <w:bookmarkStart w:id="1283" w:name="_Toc38438959"/>
      <w:bookmarkStart w:id="1284" w:name="_Toc38439296"/>
      <w:bookmarkStart w:id="1285" w:name="_Toc38439633"/>
      <w:bookmarkStart w:id="1286" w:name="_Toc38443160"/>
      <w:bookmarkStart w:id="1287" w:name="_Toc38443491"/>
      <w:bookmarkStart w:id="1288" w:name="_Toc38443822"/>
      <w:bookmarkStart w:id="1289" w:name="_Toc38438289"/>
      <w:bookmarkStart w:id="1290" w:name="_Toc38438626"/>
      <w:bookmarkStart w:id="1291" w:name="_Toc38438963"/>
      <w:bookmarkStart w:id="1292" w:name="_Toc38439300"/>
      <w:bookmarkStart w:id="1293" w:name="_Toc38439637"/>
      <w:bookmarkStart w:id="1294" w:name="_Toc38439974"/>
      <w:bookmarkStart w:id="1295" w:name="_Toc38440311"/>
      <w:bookmarkStart w:id="1296" w:name="_Toc38440644"/>
      <w:bookmarkStart w:id="1297" w:name="_Toc38440843"/>
      <w:bookmarkStart w:id="1298" w:name="_Toc38441175"/>
      <w:bookmarkStart w:id="1299" w:name="_Toc38441507"/>
      <w:bookmarkStart w:id="1300" w:name="_Toc38441835"/>
      <w:bookmarkStart w:id="1301" w:name="_Toc38442167"/>
      <w:bookmarkStart w:id="1302" w:name="_Toc38442499"/>
      <w:bookmarkStart w:id="1303" w:name="_Toc38442830"/>
      <w:bookmarkStart w:id="1304" w:name="_Toc38443161"/>
      <w:bookmarkStart w:id="1305" w:name="_Toc38443492"/>
      <w:bookmarkStart w:id="1306" w:name="_Toc38443823"/>
      <w:bookmarkStart w:id="1307" w:name="_Toc38438290"/>
      <w:bookmarkStart w:id="1308" w:name="_Toc38438627"/>
      <w:bookmarkStart w:id="1309" w:name="_Toc38438964"/>
      <w:bookmarkStart w:id="1310" w:name="_Toc38439301"/>
      <w:bookmarkStart w:id="1311" w:name="_Toc38439638"/>
      <w:bookmarkStart w:id="1312" w:name="_Toc38439975"/>
      <w:bookmarkStart w:id="1313" w:name="_Toc38440312"/>
      <w:bookmarkStart w:id="1314" w:name="_Toc38440645"/>
      <w:bookmarkStart w:id="1315" w:name="_Toc38440844"/>
      <w:bookmarkStart w:id="1316" w:name="_Toc38441176"/>
      <w:bookmarkStart w:id="1317" w:name="_Toc38441508"/>
      <w:bookmarkStart w:id="1318" w:name="_Toc38441836"/>
      <w:bookmarkStart w:id="1319" w:name="_Toc38442168"/>
      <w:bookmarkStart w:id="1320" w:name="_Toc38442500"/>
      <w:bookmarkStart w:id="1321" w:name="_Toc38442831"/>
      <w:bookmarkStart w:id="1322" w:name="_Toc38443162"/>
      <w:bookmarkStart w:id="1323" w:name="_Toc38443493"/>
      <w:bookmarkStart w:id="1324" w:name="_Toc38443824"/>
      <w:bookmarkStart w:id="1325" w:name="_Toc38438291"/>
      <w:bookmarkStart w:id="1326" w:name="_Toc38438628"/>
      <w:bookmarkStart w:id="1327" w:name="_Toc38438965"/>
      <w:bookmarkStart w:id="1328" w:name="_Toc38439302"/>
      <w:bookmarkStart w:id="1329" w:name="_Toc38439639"/>
      <w:bookmarkStart w:id="1330" w:name="_Toc38439976"/>
      <w:bookmarkStart w:id="1331" w:name="_Toc38440313"/>
      <w:bookmarkStart w:id="1332" w:name="_Toc38440646"/>
      <w:bookmarkStart w:id="1333" w:name="_Toc38440845"/>
      <w:bookmarkStart w:id="1334" w:name="_Toc38441177"/>
      <w:bookmarkStart w:id="1335" w:name="_Toc38441509"/>
      <w:bookmarkStart w:id="1336" w:name="_Toc38441837"/>
      <w:bookmarkStart w:id="1337" w:name="_Toc38442169"/>
      <w:bookmarkStart w:id="1338" w:name="_Toc38442501"/>
      <w:bookmarkStart w:id="1339" w:name="_Toc38442832"/>
      <w:bookmarkStart w:id="1340" w:name="_Toc38443163"/>
      <w:bookmarkStart w:id="1341" w:name="_Toc38443494"/>
      <w:bookmarkStart w:id="1342" w:name="_Toc38443825"/>
      <w:bookmarkStart w:id="1343" w:name="_Toc38438292"/>
      <w:bookmarkStart w:id="1344" w:name="_Toc38438629"/>
      <w:bookmarkStart w:id="1345" w:name="_Toc38438966"/>
      <w:bookmarkStart w:id="1346" w:name="_Toc38439303"/>
      <w:bookmarkStart w:id="1347" w:name="_Toc38439640"/>
      <w:bookmarkStart w:id="1348" w:name="_Toc38439977"/>
      <w:bookmarkStart w:id="1349" w:name="_Toc38440314"/>
      <w:bookmarkStart w:id="1350" w:name="_Toc38440647"/>
      <w:bookmarkStart w:id="1351" w:name="_Toc38440846"/>
      <w:bookmarkStart w:id="1352" w:name="_Toc38441178"/>
      <w:bookmarkStart w:id="1353" w:name="_Toc38441510"/>
      <w:bookmarkStart w:id="1354" w:name="_Toc38441838"/>
      <w:bookmarkStart w:id="1355" w:name="_Toc38442170"/>
      <w:bookmarkStart w:id="1356" w:name="_Toc38442502"/>
      <w:bookmarkStart w:id="1357" w:name="_Toc38442833"/>
      <w:bookmarkStart w:id="1358" w:name="_Toc38443164"/>
      <w:bookmarkStart w:id="1359" w:name="_Toc38443495"/>
      <w:bookmarkStart w:id="1360" w:name="_Toc38443826"/>
      <w:bookmarkStart w:id="1361" w:name="_Toc38438293"/>
      <w:bookmarkStart w:id="1362" w:name="_Toc38438630"/>
      <w:bookmarkStart w:id="1363" w:name="_Toc38438967"/>
      <w:bookmarkStart w:id="1364" w:name="_Toc38439304"/>
      <w:bookmarkStart w:id="1365" w:name="_Toc38439641"/>
      <w:bookmarkStart w:id="1366" w:name="_Toc38439978"/>
      <w:bookmarkStart w:id="1367" w:name="_Toc38440315"/>
      <w:bookmarkStart w:id="1368" w:name="_Toc38440648"/>
      <w:bookmarkStart w:id="1369" w:name="_Toc38440847"/>
      <w:bookmarkStart w:id="1370" w:name="_Toc38441179"/>
      <w:bookmarkStart w:id="1371" w:name="_Toc38441511"/>
      <w:bookmarkStart w:id="1372" w:name="_Toc38441839"/>
      <w:bookmarkStart w:id="1373" w:name="_Toc38442171"/>
      <w:bookmarkStart w:id="1374" w:name="_Toc38442503"/>
      <w:bookmarkStart w:id="1375" w:name="_Toc38442834"/>
      <w:bookmarkStart w:id="1376" w:name="_Toc38443165"/>
      <w:bookmarkStart w:id="1377" w:name="_Toc38443496"/>
      <w:bookmarkStart w:id="1378" w:name="_Toc38443827"/>
      <w:bookmarkStart w:id="1379" w:name="_Toc38438296"/>
      <w:bookmarkStart w:id="1380" w:name="_Toc38438633"/>
      <w:bookmarkStart w:id="1381" w:name="_Toc38438970"/>
      <w:bookmarkStart w:id="1382" w:name="_Toc38439307"/>
      <w:bookmarkStart w:id="1383" w:name="_Toc38439644"/>
      <w:bookmarkStart w:id="1384" w:name="_Toc38439981"/>
      <w:bookmarkStart w:id="1385" w:name="_Toc38440318"/>
      <w:bookmarkStart w:id="1386" w:name="_Toc38440651"/>
      <w:bookmarkStart w:id="1387" w:name="_Toc38440850"/>
      <w:bookmarkStart w:id="1388" w:name="_Toc38441182"/>
      <w:bookmarkStart w:id="1389" w:name="_Toc38441514"/>
      <w:bookmarkStart w:id="1390" w:name="_Toc38441842"/>
      <w:bookmarkStart w:id="1391" w:name="_Toc38442174"/>
      <w:bookmarkStart w:id="1392" w:name="_Toc38442506"/>
      <w:bookmarkStart w:id="1393" w:name="_Toc38442837"/>
      <w:bookmarkStart w:id="1394" w:name="_Toc38443168"/>
      <w:bookmarkStart w:id="1395" w:name="_Toc38443499"/>
      <w:bookmarkStart w:id="1396" w:name="_Toc38443830"/>
      <w:bookmarkStart w:id="1397" w:name="_Toc38438297"/>
      <w:bookmarkStart w:id="1398" w:name="_Toc38438634"/>
      <w:bookmarkStart w:id="1399" w:name="_Toc38438971"/>
      <w:bookmarkStart w:id="1400" w:name="_Toc38439308"/>
      <w:bookmarkStart w:id="1401" w:name="_Toc38439645"/>
      <w:bookmarkStart w:id="1402" w:name="_Toc38439982"/>
      <w:bookmarkStart w:id="1403" w:name="_Toc38440319"/>
      <w:bookmarkStart w:id="1404" w:name="_Toc38440652"/>
      <w:bookmarkStart w:id="1405" w:name="_Toc38440851"/>
      <w:bookmarkStart w:id="1406" w:name="_Toc38441183"/>
      <w:bookmarkStart w:id="1407" w:name="_Toc38441515"/>
      <w:bookmarkStart w:id="1408" w:name="_Toc38441843"/>
      <w:bookmarkStart w:id="1409" w:name="_Toc38442175"/>
      <w:bookmarkStart w:id="1410" w:name="_Toc38442507"/>
      <w:bookmarkStart w:id="1411" w:name="_Toc38442838"/>
      <w:bookmarkStart w:id="1412" w:name="_Toc38443169"/>
      <w:bookmarkStart w:id="1413" w:name="_Toc38443500"/>
      <w:bookmarkStart w:id="1414" w:name="_Toc38443831"/>
      <w:bookmarkStart w:id="1415" w:name="_Toc38438298"/>
      <w:bookmarkStart w:id="1416" w:name="_Toc38438635"/>
      <w:bookmarkStart w:id="1417" w:name="_Toc38438972"/>
      <w:bookmarkStart w:id="1418" w:name="_Toc38439309"/>
      <w:bookmarkStart w:id="1419" w:name="_Toc38439646"/>
      <w:bookmarkStart w:id="1420" w:name="_Toc38439983"/>
      <w:bookmarkStart w:id="1421" w:name="_Toc38440320"/>
      <w:bookmarkStart w:id="1422" w:name="_Toc38440653"/>
      <w:bookmarkStart w:id="1423" w:name="_Toc38440852"/>
      <w:bookmarkStart w:id="1424" w:name="_Toc38441184"/>
      <w:bookmarkStart w:id="1425" w:name="_Toc38441516"/>
      <w:bookmarkStart w:id="1426" w:name="_Toc38441844"/>
      <w:bookmarkStart w:id="1427" w:name="_Toc38442176"/>
      <w:bookmarkStart w:id="1428" w:name="_Toc38442508"/>
      <w:bookmarkStart w:id="1429" w:name="_Toc38442839"/>
      <w:bookmarkStart w:id="1430" w:name="_Toc38443170"/>
      <w:bookmarkStart w:id="1431" w:name="_Toc38443501"/>
      <w:bookmarkStart w:id="1432" w:name="_Toc38443832"/>
      <w:bookmarkStart w:id="1433" w:name="_Toc38438299"/>
      <w:bookmarkStart w:id="1434" w:name="_Toc38438636"/>
      <w:bookmarkStart w:id="1435" w:name="_Toc38438973"/>
      <w:bookmarkStart w:id="1436" w:name="_Toc38439310"/>
      <w:bookmarkStart w:id="1437" w:name="_Toc38439647"/>
      <w:bookmarkStart w:id="1438" w:name="_Toc38439984"/>
      <w:bookmarkStart w:id="1439" w:name="_Toc38440321"/>
      <w:bookmarkStart w:id="1440" w:name="_Toc38440654"/>
      <w:bookmarkStart w:id="1441" w:name="_Toc38440853"/>
      <w:bookmarkStart w:id="1442" w:name="_Toc38441185"/>
      <w:bookmarkStart w:id="1443" w:name="_Toc38441517"/>
      <w:bookmarkStart w:id="1444" w:name="_Toc38441845"/>
      <w:bookmarkStart w:id="1445" w:name="_Toc38442177"/>
      <w:bookmarkStart w:id="1446" w:name="_Toc38442509"/>
      <w:bookmarkStart w:id="1447" w:name="_Toc38442840"/>
      <w:bookmarkStart w:id="1448" w:name="_Toc38443171"/>
      <w:bookmarkStart w:id="1449" w:name="_Toc38443502"/>
      <w:bookmarkStart w:id="1450" w:name="_Toc38443833"/>
      <w:bookmarkStart w:id="1451" w:name="_Toc38438301"/>
      <w:bookmarkStart w:id="1452" w:name="_Toc38438638"/>
      <w:bookmarkStart w:id="1453" w:name="_Toc38438975"/>
      <w:bookmarkStart w:id="1454" w:name="_Toc38439312"/>
      <w:bookmarkStart w:id="1455" w:name="_Toc38439649"/>
      <w:bookmarkStart w:id="1456" w:name="_Toc38439986"/>
      <w:bookmarkStart w:id="1457" w:name="_Toc38440323"/>
      <w:bookmarkStart w:id="1458" w:name="_Toc38440656"/>
      <w:bookmarkStart w:id="1459" w:name="_Toc38440855"/>
      <w:bookmarkStart w:id="1460" w:name="_Toc38441187"/>
      <w:bookmarkStart w:id="1461" w:name="_Toc38441519"/>
      <w:bookmarkStart w:id="1462" w:name="_Toc38441847"/>
      <w:bookmarkStart w:id="1463" w:name="_Toc38442179"/>
      <w:bookmarkStart w:id="1464" w:name="_Toc38442511"/>
      <w:bookmarkStart w:id="1465" w:name="_Toc38442842"/>
      <w:bookmarkStart w:id="1466" w:name="_Toc38443173"/>
      <w:bookmarkStart w:id="1467" w:name="_Toc38443504"/>
      <w:bookmarkStart w:id="1468" w:name="_Toc38443835"/>
      <w:bookmarkStart w:id="1469" w:name="_Toc38438302"/>
      <w:bookmarkStart w:id="1470" w:name="_Toc38438639"/>
      <w:bookmarkStart w:id="1471" w:name="_Toc38438976"/>
      <w:bookmarkStart w:id="1472" w:name="_Toc38439313"/>
      <w:bookmarkStart w:id="1473" w:name="_Toc38439650"/>
      <w:bookmarkStart w:id="1474" w:name="_Toc38439987"/>
      <w:bookmarkStart w:id="1475" w:name="_Toc38440324"/>
      <w:bookmarkStart w:id="1476" w:name="_Toc38440657"/>
      <w:bookmarkStart w:id="1477" w:name="_Toc38440856"/>
      <w:bookmarkStart w:id="1478" w:name="_Toc38441188"/>
      <w:bookmarkStart w:id="1479" w:name="_Toc38441520"/>
      <w:bookmarkStart w:id="1480" w:name="_Toc38441848"/>
      <w:bookmarkStart w:id="1481" w:name="_Toc38442180"/>
      <w:bookmarkStart w:id="1482" w:name="_Toc38442512"/>
      <w:bookmarkStart w:id="1483" w:name="_Toc38442843"/>
      <w:bookmarkStart w:id="1484" w:name="_Toc38443174"/>
      <w:bookmarkStart w:id="1485" w:name="_Toc38443505"/>
      <w:bookmarkStart w:id="1486" w:name="_Toc38443836"/>
      <w:bookmarkStart w:id="1487" w:name="_Toc38438303"/>
      <w:bookmarkStart w:id="1488" w:name="_Toc38438640"/>
      <w:bookmarkStart w:id="1489" w:name="_Toc38438977"/>
      <w:bookmarkStart w:id="1490" w:name="_Toc38439314"/>
      <w:bookmarkStart w:id="1491" w:name="_Toc38439651"/>
      <w:bookmarkStart w:id="1492" w:name="_Toc38439988"/>
      <w:bookmarkStart w:id="1493" w:name="_Toc38440325"/>
      <w:bookmarkStart w:id="1494" w:name="_Toc38440658"/>
      <w:bookmarkStart w:id="1495" w:name="_Toc38440857"/>
      <w:bookmarkStart w:id="1496" w:name="_Toc38441189"/>
      <w:bookmarkStart w:id="1497" w:name="_Toc38441521"/>
      <w:bookmarkStart w:id="1498" w:name="_Toc38441849"/>
      <w:bookmarkStart w:id="1499" w:name="_Toc38442181"/>
      <w:bookmarkStart w:id="1500" w:name="_Toc38442513"/>
      <w:bookmarkStart w:id="1501" w:name="_Toc38442844"/>
      <w:bookmarkStart w:id="1502" w:name="_Toc38443175"/>
      <w:bookmarkStart w:id="1503" w:name="_Toc38443506"/>
      <w:bookmarkStart w:id="1504" w:name="_Toc38443837"/>
      <w:bookmarkStart w:id="1505" w:name="_Toc38438304"/>
      <w:bookmarkStart w:id="1506" w:name="_Toc38438641"/>
      <w:bookmarkStart w:id="1507" w:name="_Toc38438978"/>
      <w:bookmarkStart w:id="1508" w:name="_Toc38439315"/>
      <w:bookmarkStart w:id="1509" w:name="_Toc38439652"/>
      <w:bookmarkStart w:id="1510" w:name="_Toc38439989"/>
      <w:bookmarkStart w:id="1511" w:name="_Toc38440326"/>
      <w:bookmarkStart w:id="1512" w:name="_Toc38440659"/>
      <w:bookmarkStart w:id="1513" w:name="_Toc38440858"/>
      <w:bookmarkStart w:id="1514" w:name="_Toc38441190"/>
      <w:bookmarkStart w:id="1515" w:name="_Toc38441522"/>
      <w:bookmarkStart w:id="1516" w:name="_Toc38441850"/>
      <w:bookmarkStart w:id="1517" w:name="_Toc38442182"/>
      <w:bookmarkStart w:id="1518" w:name="_Toc38442514"/>
      <w:bookmarkStart w:id="1519" w:name="_Toc38442845"/>
      <w:bookmarkStart w:id="1520" w:name="_Toc38443176"/>
      <w:bookmarkStart w:id="1521" w:name="_Toc38443507"/>
      <w:bookmarkStart w:id="1522" w:name="_Toc38443838"/>
      <w:bookmarkStart w:id="1523" w:name="_Toc38438305"/>
      <w:bookmarkStart w:id="1524" w:name="_Toc38438642"/>
      <w:bookmarkStart w:id="1525" w:name="_Toc38438979"/>
      <w:bookmarkStart w:id="1526" w:name="_Toc38439316"/>
      <w:bookmarkStart w:id="1527" w:name="_Toc38439653"/>
      <w:bookmarkStart w:id="1528" w:name="_Toc38439990"/>
      <w:bookmarkStart w:id="1529" w:name="_Toc38440327"/>
      <w:bookmarkStart w:id="1530" w:name="_Toc38440660"/>
      <w:bookmarkStart w:id="1531" w:name="_Toc38440859"/>
      <w:bookmarkStart w:id="1532" w:name="_Toc38441191"/>
      <w:bookmarkStart w:id="1533" w:name="_Toc38441523"/>
      <w:bookmarkStart w:id="1534" w:name="_Toc38441851"/>
      <w:bookmarkStart w:id="1535" w:name="_Toc38442183"/>
      <w:bookmarkStart w:id="1536" w:name="_Toc38442515"/>
      <w:bookmarkStart w:id="1537" w:name="_Toc38442846"/>
      <w:bookmarkStart w:id="1538" w:name="_Toc38443177"/>
      <w:bookmarkStart w:id="1539" w:name="_Toc38443508"/>
      <w:bookmarkStart w:id="1540" w:name="_Toc38443839"/>
      <w:bookmarkStart w:id="1541" w:name="_Toc38438306"/>
      <w:bookmarkStart w:id="1542" w:name="_Toc38438643"/>
      <w:bookmarkStart w:id="1543" w:name="_Toc38438980"/>
      <w:bookmarkStart w:id="1544" w:name="_Toc38439317"/>
      <w:bookmarkStart w:id="1545" w:name="_Toc38439654"/>
      <w:bookmarkStart w:id="1546" w:name="_Toc38439991"/>
      <w:bookmarkStart w:id="1547" w:name="_Toc38440328"/>
      <w:bookmarkStart w:id="1548" w:name="_Toc38440661"/>
      <w:bookmarkStart w:id="1549" w:name="_Toc38440860"/>
      <w:bookmarkStart w:id="1550" w:name="_Toc38441192"/>
      <w:bookmarkStart w:id="1551" w:name="_Toc38441524"/>
      <w:bookmarkStart w:id="1552" w:name="_Toc38441852"/>
      <w:bookmarkStart w:id="1553" w:name="_Toc38442184"/>
      <w:bookmarkStart w:id="1554" w:name="_Toc38442516"/>
      <w:bookmarkStart w:id="1555" w:name="_Toc38442847"/>
      <w:bookmarkStart w:id="1556" w:name="_Toc38443178"/>
      <w:bookmarkStart w:id="1557" w:name="_Toc38443509"/>
      <w:bookmarkStart w:id="1558" w:name="_Toc38443840"/>
      <w:bookmarkStart w:id="1559" w:name="_Toc38438310"/>
      <w:bookmarkStart w:id="1560" w:name="_Toc38438647"/>
      <w:bookmarkStart w:id="1561" w:name="_Toc38438984"/>
      <w:bookmarkStart w:id="1562" w:name="_Toc38439321"/>
      <w:bookmarkStart w:id="1563" w:name="_Toc38439658"/>
      <w:bookmarkStart w:id="1564" w:name="_Toc38439995"/>
      <w:bookmarkStart w:id="1565" w:name="_Toc38440332"/>
      <w:bookmarkStart w:id="1566" w:name="_Toc38440665"/>
      <w:bookmarkStart w:id="1567" w:name="_Toc38440864"/>
      <w:bookmarkStart w:id="1568" w:name="_Toc38441196"/>
      <w:bookmarkStart w:id="1569" w:name="_Toc38441528"/>
      <w:bookmarkStart w:id="1570" w:name="_Toc38441856"/>
      <w:bookmarkStart w:id="1571" w:name="_Toc38442188"/>
      <w:bookmarkStart w:id="1572" w:name="_Toc38442520"/>
      <w:bookmarkStart w:id="1573" w:name="_Toc38442851"/>
      <w:bookmarkStart w:id="1574" w:name="_Toc38443182"/>
      <w:bookmarkStart w:id="1575" w:name="_Toc38443513"/>
      <w:bookmarkStart w:id="1576" w:name="_Toc38443844"/>
      <w:bookmarkStart w:id="1577" w:name="_Toc38438311"/>
      <w:bookmarkStart w:id="1578" w:name="_Toc38438648"/>
      <w:bookmarkStart w:id="1579" w:name="_Toc38438985"/>
      <w:bookmarkStart w:id="1580" w:name="_Toc38439322"/>
      <w:bookmarkStart w:id="1581" w:name="_Toc38439659"/>
      <w:bookmarkStart w:id="1582" w:name="_Toc38439996"/>
      <w:bookmarkStart w:id="1583" w:name="_Toc38440333"/>
      <w:bookmarkStart w:id="1584" w:name="_Toc38440666"/>
      <w:bookmarkStart w:id="1585" w:name="_Toc38440865"/>
      <w:bookmarkStart w:id="1586" w:name="_Toc38441197"/>
      <w:bookmarkStart w:id="1587" w:name="_Toc38441529"/>
      <w:bookmarkStart w:id="1588" w:name="_Toc38441857"/>
      <w:bookmarkStart w:id="1589" w:name="_Toc38442189"/>
      <w:bookmarkStart w:id="1590" w:name="_Toc38442521"/>
      <w:bookmarkStart w:id="1591" w:name="_Toc38442852"/>
      <w:bookmarkStart w:id="1592" w:name="_Toc38443183"/>
      <w:bookmarkStart w:id="1593" w:name="_Toc38443514"/>
      <w:bookmarkStart w:id="1594" w:name="_Toc38443845"/>
      <w:bookmarkStart w:id="1595" w:name="_Toc38438312"/>
      <w:bookmarkStart w:id="1596" w:name="_Toc38438649"/>
      <w:bookmarkStart w:id="1597" w:name="_Toc38438986"/>
      <w:bookmarkStart w:id="1598" w:name="_Toc38439323"/>
      <w:bookmarkStart w:id="1599" w:name="_Toc38439660"/>
      <w:bookmarkStart w:id="1600" w:name="_Toc38439997"/>
      <w:bookmarkStart w:id="1601" w:name="_Toc38440334"/>
      <w:bookmarkStart w:id="1602" w:name="_Toc38440667"/>
      <w:bookmarkStart w:id="1603" w:name="_Toc38440866"/>
      <w:bookmarkStart w:id="1604" w:name="_Toc38441198"/>
      <w:bookmarkStart w:id="1605" w:name="_Toc38441530"/>
      <w:bookmarkStart w:id="1606" w:name="_Toc38441858"/>
      <w:bookmarkStart w:id="1607" w:name="_Toc38442190"/>
      <w:bookmarkStart w:id="1608" w:name="_Toc38442522"/>
      <w:bookmarkStart w:id="1609" w:name="_Toc38442853"/>
      <w:bookmarkStart w:id="1610" w:name="_Toc38443184"/>
      <w:bookmarkStart w:id="1611" w:name="_Toc38443515"/>
      <w:bookmarkStart w:id="1612" w:name="_Toc38443846"/>
      <w:bookmarkStart w:id="1613" w:name="_Toc38438313"/>
      <w:bookmarkStart w:id="1614" w:name="_Toc38438650"/>
      <w:bookmarkStart w:id="1615" w:name="_Toc38438987"/>
      <w:bookmarkStart w:id="1616" w:name="_Toc38439324"/>
      <w:bookmarkStart w:id="1617" w:name="_Toc38439661"/>
      <w:bookmarkStart w:id="1618" w:name="_Toc38439998"/>
      <w:bookmarkStart w:id="1619" w:name="_Toc38440335"/>
      <w:bookmarkStart w:id="1620" w:name="_Toc38440668"/>
      <w:bookmarkStart w:id="1621" w:name="_Toc38440867"/>
      <w:bookmarkStart w:id="1622" w:name="_Toc38441199"/>
      <w:bookmarkStart w:id="1623" w:name="_Toc38441531"/>
      <w:bookmarkStart w:id="1624" w:name="_Toc38441859"/>
      <w:bookmarkStart w:id="1625" w:name="_Toc38442191"/>
      <w:bookmarkStart w:id="1626" w:name="_Toc38442523"/>
      <w:bookmarkStart w:id="1627" w:name="_Toc38442854"/>
      <w:bookmarkStart w:id="1628" w:name="_Toc38443185"/>
      <w:bookmarkStart w:id="1629" w:name="_Toc38443516"/>
      <w:bookmarkStart w:id="1630" w:name="_Toc38443847"/>
      <w:bookmarkStart w:id="1631" w:name="_Toc38438314"/>
      <w:bookmarkStart w:id="1632" w:name="_Toc38438651"/>
      <w:bookmarkStart w:id="1633" w:name="_Toc38438988"/>
      <w:bookmarkStart w:id="1634" w:name="_Toc38439325"/>
      <w:bookmarkStart w:id="1635" w:name="_Toc38439662"/>
      <w:bookmarkStart w:id="1636" w:name="_Toc38439999"/>
      <w:bookmarkStart w:id="1637" w:name="_Toc38440336"/>
      <w:bookmarkStart w:id="1638" w:name="_Toc38440669"/>
      <w:bookmarkStart w:id="1639" w:name="_Toc38440868"/>
      <w:bookmarkStart w:id="1640" w:name="_Toc38441200"/>
      <w:bookmarkStart w:id="1641" w:name="_Toc38441532"/>
      <w:bookmarkStart w:id="1642" w:name="_Toc38441860"/>
      <w:bookmarkStart w:id="1643" w:name="_Toc38442192"/>
      <w:bookmarkStart w:id="1644" w:name="_Toc38442524"/>
      <w:bookmarkStart w:id="1645" w:name="_Toc38442855"/>
      <w:bookmarkStart w:id="1646" w:name="_Toc38443186"/>
      <w:bookmarkStart w:id="1647" w:name="_Toc38443517"/>
      <w:bookmarkStart w:id="1648" w:name="_Toc38443848"/>
      <w:bookmarkStart w:id="1649" w:name="_Toc38438315"/>
      <w:bookmarkStart w:id="1650" w:name="_Toc38438652"/>
      <w:bookmarkStart w:id="1651" w:name="_Toc38438989"/>
      <w:bookmarkStart w:id="1652" w:name="_Toc38439326"/>
      <w:bookmarkStart w:id="1653" w:name="_Toc38439663"/>
      <w:bookmarkStart w:id="1654" w:name="_Toc38440000"/>
      <w:bookmarkStart w:id="1655" w:name="_Toc38440337"/>
      <w:bookmarkStart w:id="1656" w:name="_Toc38440670"/>
      <w:bookmarkStart w:id="1657" w:name="_Toc38440869"/>
      <w:bookmarkStart w:id="1658" w:name="_Toc38441201"/>
      <w:bookmarkStart w:id="1659" w:name="_Toc38441533"/>
      <w:bookmarkStart w:id="1660" w:name="_Toc38441861"/>
      <w:bookmarkStart w:id="1661" w:name="_Toc38442193"/>
      <w:bookmarkStart w:id="1662" w:name="_Toc38442525"/>
      <w:bookmarkStart w:id="1663" w:name="_Toc38442856"/>
      <w:bookmarkStart w:id="1664" w:name="_Toc38443187"/>
      <w:bookmarkStart w:id="1665" w:name="_Toc38443518"/>
      <w:bookmarkStart w:id="1666" w:name="_Toc38443849"/>
      <w:bookmarkStart w:id="1667" w:name="_Toc38438316"/>
      <w:bookmarkStart w:id="1668" w:name="_Toc38438653"/>
      <w:bookmarkStart w:id="1669" w:name="_Toc38438990"/>
      <w:bookmarkStart w:id="1670" w:name="_Toc38439327"/>
      <w:bookmarkStart w:id="1671" w:name="_Toc38439664"/>
      <w:bookmarkStart w:id="1672" w:name="_Toc38440001"/>
      <w:bookmarkStart w:id="1673" w:name="_Toc38440338"/>
      <w:bookmarkStart w:id="1674" w:name="_Toc38440671"/>
      <w:bookmarkStart w:id="1675" w:name="_Toc38440870"/>
      <w:bookmarkStart w:id="1676" w:name="_Toc38441202"/>
      <w:bookmarkStart w:id="1677" w:name="_Toc38441534"/>
      <w:bookmarkStart w:id="1678" w:name="_Toc38441862"/>
      <w:bookmarkStart w:id="1679" w:name="_Toc38442194"/>
      <w:bookmarkStart w:id="1680" w:name="_Toc38442526"/>
      <w:bookmarkStart w:id="1681" w:name="_Toc38442857"/>
      <w:bookmarkStart w:id="1682" w:name="_Toc38443188"/>
      <w:bookmarkStart w:id="1683" w:name="_Toc38443519"/>
      <w:bookmarkStart w:id="1684" w:name="_Toc38443850"/>
      <w:bookmarkStart w:id="1685" w:name="_Toc38438317"/>
      <w:bookmarkStart w:id="1686" w:name="_Toc38438654"/>
      <w:bookmarkStart w:id="1687" w:name="_Toc38438991"/>
      <w:bookmarkStart w:id="1688" w:name="_Toc38439328"/>
      <w:bookmarkStart w:id="1689" w:name="_Toc38439665"/>
      <w:bookmarkStart w:id="1690" w:name="_Toc38440002"/>
      <w:bookmarkStart w:id="1691" w:name="_Toc38440339"/>
      <w:bookmarkStart w:id="1692" w:name="_Toc38440672"/>
      <w:bookmarkStart w:id="1693" w:name="_Toc38440871"/>
      <w:bookmarkStart w:id="1694" w:name="_Toc38441203"/>
      <w:bookmarkStart w:id="1695" w:name="_Toc38441535"/>
      <w:bookmarkStart w:id="1696" w:name="_Toc38441863"/>
      <w:bookmarkStart w:id="1697" w:name="_Toc38442195"/>
      <w:bookmarkStart w:id="1698" w:name="_Toc38442527"/>
      <w:bookmarkStart w:id="1699" w:name="_Toc38442858"/>
      <w:bookmarkStart w:id="1700" w:name="_Toc38443189"/>
      <w:bookmarkStart w:id="1701" w:name="_Toc38443520"/>
      <w:bookmarkStart w:id="1702" w:name="_Toc38443851"/>
      <w:bookmarkStart w:id="1703" w:name="_Toc38438318"/>
      <w:bookmarkStart w:id="1704" w:name="_Toc38438655"/>
      <w:bookmarkStart w:id="1705" w:name="_Toc38438992"/>
      <w:bookmarkStart w:id="1706" w:name="_Toc38439329"/>
      <w:bookmarkStart w:id="1707" w:name="_Toc38439666"/>
      <w:bookmarkStart w:id="1708" w:name="_Toc38440003"/>
      <w:bookmarkStart w:id="1709" w:name="_Toc38440340"/>
      <w:bookmarkStart w:id="1710" w:name="_Toc38440673"/>
      <w:bookmarkStart w:id="1711" w:name="_Toc38440872"/>
      <w:bookmarkStart w:id="1712" w:name="_Toc38441204"/>
      <w:bookmarkStart w:id="1713" w:name="_Toc38441536"/>
      <w:bookmarkStart w:id="1714" w:name="_Toc38441864"/>
      <w:bookmarkStart w:id="1715" w:name="_Toc38442196"/>
      <w:bookmarkStart w:id="1716" w:name="_Toc38442528"/>
      <w:bookmarkStart w:id="1717" w:name="_Toc38442859"/>
      <w:bookmarkStart w:id="1718" w:name="_Toc38443190"/>
      <w:bookmarkStart w:id="1719" w:name="_Toc38443521"/>
      <w:bookmarkStart w:id="1720" w:name="_Toc38443852"/>
      <w:bookmarkStart w:id="1721" w:name="_Toc38438319"/>
      <w:bookmarkStart w:id="1722" w:name="_Toc38438656"/>
      <w:bookmarkStart w:id="1723" w:name="_Toc38438993"/>
      <w:bookmarkStart w:id="1724" w:name="_Toc38439330"/>
      <w:bookmarkStart w:id="1725" w:name="_Toc38439667"/>
      <w:bookmarkStart w:id="1726" w:name="_Toc38440004"/>
      <w:bookmarkStart w:id="1727" w:name="_Toc38440341"/>
      <w:bookmarkStart w:id="1728" w:name="_Toc38440674"/>
      <w:bookmarkStart w:id="1729" w:name="_Toc38440873"/>
      <w:bookmarkStart w:id="1730" w:name="_Toc38441205"/>
      <w:bookmarkStart w:id="1731" w:name="_Toc38441537"/>
      <w:bookmarkStart w:id="1732" w:name="_Toc38441865"/>
      <w:bookmarkStart w:id="1733" w:name="_Toc38442197"/>
      <w:bookmarkStart w:id="1734" w:name="_Toc38442529"/>
      <w:bookmarkStart w:id="1735" w:name="_Toc38442860"/>
      <w:bookmarkStart w:id="1736" w:name="_Toc38443191"/>
      <w:bookmarkStart w:id="1737" w:name="_Toc38443522"/>
      <w:bookmarkStart w:id="1738" w:name="_Toc38443853"/>
      <w:bookmarkStart w:id="1739" w:name="_Toc38438320"/>
      <w:bookmarkStart w:id="1740" w:name="_Toc38438657"/>
      <w:bookmarkStart w:id="1741" w:name="_Toc38438994"/>
      <w:bookmarkStart w:id="1742" w:name="_Toc38439331"/>
      <w:bookmarkStart w:id="1743" w:name="_Toc38439668"/>
      <w:bookmarkStart w:id="1744" w:name="_Toc38440005"/>
      <w:bookmarkStart w:id="1745" w:name="_Toc38440342"/>
      <w:bookmarkStart w:id="1746" w:name="_Toc38440675"/>
      <w:bookmarkStart w:id="1747" w:name="_Toc38440874"/>
      <w:bookmarkStart w:id="1748" w:name="_Toc38441206"/>
      <w:bookmarkStart w:id="1749" w:name="_Toc38441538"/>
      <w:bookmarkStart w:id="1750" w:name="_Toc38441866"/>
      <w:bookmarkStart w:id="1751" w:name="_Toc38442198"/>
      <w:bookmarkStart w:id="1752" w:name="_Toc38442530"/>
      <w:bookmarkStart w:id="1753" w:name="_Toc38442861"/>
      <w:bookmarkStart w:id="1754" w:name="_Toc38443192"/>
      <w:bookmarkStart w:id="1755" w:name="_Toc38443523"/>
      <w:bookmarkStart w:id="1756" w:name="_Toc38443854"/>
      <w:bookmarkStart w:id="1757" w:name="_Toc38438321"/>
      <w:bookmarkStart w:id="1758" w:name="_Toc38438658"/>
      <w:bookmarkStart w:id="1759" w:name="_Toc38438995"/>
      <w:bookmarkStart w:id="1760" w:name="_Toc38439332"/>
      <w:bookmarkStart w:id="1761" w:name="_Toc38439669"/>
      <w:bookmarkStart w:id="1762" w:name="_Toc38440006"/>
      <w:bookmarkStart w:id="1763" w:name="_Toc38440343"/>
      <w:bookmarkStart w:id="1764" w:name="_Toc38440676"/>
      <w:bookmarkStart w:id="1765" w:name="_Toc38440875"/>
      <w:bookmarkStart w:id="1766" w:name="_Toc38441207"/>
      <w:bookmarkStart w:id="1767" w:name="_Toc38441539"/>
      <w:bookmarkStart w:id="1768" w:name="_Toc38441867"/>
      <w:bookmarkStart w:id="1769" w:name="_Toc38442199"/>
      <w:bookmarkStart w:id="1770" w:name="_Toc38442531"/>
      <w:bookmarkStart w:id="1771" w:name="_Toc38442862"/>
      <w:bookmarkStart w:id="1772" w:name="_Toc38443193"/>
      <w:bookmarkStart w:id="1773" w:name="_Toc38443524"/>
      <w:bookmarkEnd w:id="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rsidR="0097367D">
      <w:pPr>
        <w:pStyle w:val="Heading1"/>
        <w:spacing w:before="317" w:after="317" w:line="360" w:lineRule="auto"/>
        <w:ind w:firstLine="643"/>
        <w:rPr>
          <w:rFonts w:ascii="宋体" w:eastAsia="宋体" w:hAnsi="Calibri" w:cs="宋体"/>
          <w:sz w:val="30"/>
          <w:szCs w:val="30"/>
          <w:lang w:eastAsia="zh-CN"/>
        </w:rPr>
      </w:pPr>
      <w:r>
        <w:rPr>
          <w:rFonts w:ascii="宋体" w:eastAsia="宋体" w:hAnsi="Calibri" w:cs="宋体"/>
          <w:b/>
          <w:bCs/>
          <w:i/>
          <w:highlight w:val="white"/>
          <w:lang w:eastAsia="zh-CN"/>
        </w:rPr>
        <w:br w:type="column"/>
      </w:r>
      <w:bookmarkStart w:id="1774" w:name="_Toc129511526"/>
      <w:bookmarkStart w:id="1775" w:name="_Toc332373471"/>
      <w:r>
        <w:rPr>
          <w:rFonts w:ascii="宋体" w:eastAsia="宋体" w:hAnsi="Calibri" w:cs="宋体"/>
          <w:sz w:val="30"/>
          <w:szCs w:val="30"/>
          <w:highlight w:val="white"/>
          <w:lang w:eastAsia="zh-CN"/>
        </w:rPr>
        <w:t>第</w:t>
      </w:r>
      <w:r>
        <w:rPr>
          <w:rFonts w:ascii="宋体" w:eastAsia="宋体" w:hAnsi="Calibri" w:cs="宋体" w:hint="eastAsia"/>
          <w:sz w:val="30"/>
          <w:szCs w:val="30"/>
          <w:highlight w:val="white"/>
          <w:lang w:eastAsia="zh-CN"/>
        </w:rPr>
        <w:t>四部分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基金托管人</w:t>
      </w:r>
      <w:bookmarkEnd w:id="1774"/>
      <w:bookmarkEnd w:id="1775"/>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一</w:t>
      </w:r>
      <w:r>
        <w:rPr>
          <w:rFonts w:ascii="宋体" w:hAnsi="Calibri" w:cs="宋体" w:hint="eastAsia"/>
          <w:szCs w:val="21"/>
          <w:lang w:eastAsia="zh-CN"/>
        </w:rPr>
        <w:t>、</w:t>
      </w:r>
      <w:r w:rsidRPr="004A41B5">
        <w:rPr>
          <w:rFonts w:ascii="宋体" w:hAnsi="Calibri" w:cs="宋体" w:hint="eastAsia"/>
          <w:szCs w:val="21"/>
          <w:lang w:eastAsia="zh-CN"/>
        </w:rPr>
        <w:t>基金托管人概况</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1</w:t>
      </w:r>
      <w:r>
        <w:rPr>
          <w:rFonts w:ascii="宋体" w:hAnsi="Calibri" w:cs="宋体" w:hint="eastAsia"/>
          <w:szCs w:val="21"/>
          <w:lang w:eastAsia="zh-CN"/>
        </w:rPr>
        <w:t>、</w:t>
      </w:r>
      <w:r w:rsidRPr="004A41B5">
        <w:rPr>
          <w:rFonts w:ascii="宋体" w:hAnsi="Calibri" w:cs="宋体" w:hint="eastAsia"/>
          <w:szCs w:val="21"/>
          <w:lang w:eastAsia="zh-CN"/>
        </w:rPr>
        <w:t>基本情况</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名称：中国民生银行股份有限公司（以下简称“中国民生银行”）</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住所：北京市西城区复兴门内大街2号</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办公地址：北京市西城区复兴门内大街2号</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法定代表人：高迎欣</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成立日期：1996年2月7日</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基金托管业务批准文号：证</w:t>
      </w:r>
      <w:r w:rsidRPr="004A41B5">
        <w:rPr>
          <w:rFonts w:ascii="宋体" w:hAnsi="Calibri" w:cs="宋体" w:hint="eastAsia"/>
          <w:szCs w:val="21"/>
          <w:lang w:eastAsia="zh-CN"/>
        </w:rPr>
        <w:t>监基金字</w:t>
      </w:r>
      <w:r w:rsidRPr="004A41B5">
        <w:rPr>
          <w:rFonts w:ascii="宋体" w:hAnsi="Calibri" w:cs="宋体" w:hint="eastAsia"/>
          <w:szCs w:val="21"/>
          <w:lang w:eastAsia="zh-CN"/>
        </w:rPr>
        <w:t>［2004］101号</w:t>
      </w:r>
      <w:r w:rsidRPr="004A41B5">
        <w:rPr>
          <w:rFonts w:ascii="宋体" w:hAnsi="Calibri" w:cs="宋体" w:hint="eastAsia"/>
          <w:szCs w:val="21"/>
          <w:lang w:eastAsia="zh-CN"/>
        </w:rPr>
        <w:tab/>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组织形式：其他股份有限公司（上市）</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注册资本：43,782,418,502元人民币</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 xml:space="preserve">电话：010-58560666 </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联系人：罗菲菲</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中国民生银行成立于1996年，是中国第一家主要由民营企业发起设立的全国性股份制商业银行，也是严格按照中国《公司法》和《商业银行法》设立的一家现代金融企业。</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2000年12月19日，中国民生银行A 股股票（代码：600016）在上海证券交易所挂牌上市。2005年10月26日，中国民生银行完成股权分置改革，成为国内首家实施股权分置改革的商业银行。2009年11月26日，中国民生银行H股股票（代码：01988）在香港证券交易所挂牌上市。成立30年以来，中国民生银行始终秉承“服务大众，情系民生”的企业使命，聚焦“民营企业的银行、敏捷开放的银行、用心服务的银行”战略定位，坚持走市场化、差异化经营之路，努力建设一家特色鲜明、持续创新、价值成长、稳健经营的一流商业银行，致力于成就“长青银行，百年民生”的</w:t>
      </w:r>
      <w:r w:rsidRPr="004A41B5">
        <w:rPr>
          <w:rFonts w:ascii="宋体" w:hAnsi="Calibri" w:cs="宋体" w:hint="eastAsia"/>
          <w:szCs w:val="21"/>
          <w:lang w:eastAsia="zh-CN"/>
        </w:rPr>
        <w:t>宏伟愿景</w:t>
      </w:r>
      <w:r w:rsidRPr="004A41B5">
        <w:rPr>
          <w:rFonts w:ascii="宋体" w:hAnsi="Calibri" w:cs="宋体" w:hint="eastAsia"/>
          <w:szCs w:val="21"/>
          <w:lang w:eastAsia="zh-CN"/>
        </w:rPr>
        <w:t>。</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2、主要人员情况</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崔岩女士，中国民生银行资产托管部负责人，博士研究生，具有基金托管人高级管理人员任职资格，从事</w:t>
      </w:r>
      <w:r w:rsidRPr="004A41B5">
        <w:rPr>
          <w:rFonts w:ascii="宋体" w:hAnsi="Calibri" w:cs="宋体" w:hint="eastAsia"/>
          <w:szCs w:val="21"/>
          <w:lang w:eastAsia="zh-CN"/>
        </w:rPr>
        <w:t>过全球</w:t>
      </w:r>
      <w:r w:rsidRPr="004A41B5">
        <w:rPr>
          <w:rFonts w:ascii="宋体" w:hAnsi="Calibri" w:cs="宋体" w:hint="eastAsia"/>
          <w:szCs w:val="21"/>
          <w:lang w:eastAsia="zh-CN"/>
        </w:rPr>
        <w:t>托管业务、托管业务运作、银行信息管理等工作，具有多年金融从业经历，具备扎实的总部管理经历。曾任中国工商银行总行资产托管部营销专家。</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3、基金托管业务经营情况</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中国民生银行股份有限公司于2004年7月9日获得基金托管资格，成为《中华人民共和国证券投资基金法》颁布后首家获</w:t>
      </w:r>
      <w:r w:rsidRPr="004A41B5">
        <w:rPr>
          <w:rFonts w:ascii="宋体" w:hAnsi="Calibri" w:cs="宋体" w:hint="eastAsia"/>
          <w:szCs w:val="21"/>
          <w:lang w:eastAsia="zh-CN"/>
        </w:rPr>
        <w:t>批从事</w:t>
      </w:r>
      <w:r w:rsidRPr="004A41B5">
        <w:rPr>
          <w:rFonts w:ascii="宋体" w:hAnsi="Calibri" w:cs="宋体" w:hint="eastAsia"/>
          <w:szCs w:val="21"/>
          <w:lang w:eastAsia="zh-CN"/>
        </w:rPr>
        <w:t>基金托管业务的银行。为了更好地发挥后发优势，大力发展托管业务，中国民生银行股份有限公司资产托管部从成立伊始就本着充分保护基金持有人的利益、为客户提供高品质托管服务的原则，高起点地建立系统、完善制度、组织人员。资产托管部目前共有员工108人，平均年龄38岁，100%员工拥有大学本科以上学历，67%以上员工具有硕士以上学位。</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中国民生银行坚持以客户需求为导向，秉承“诚信、严谨、高效、务实”的经营理念，依托丰富的资产托管经验、专业的托管业务服务和先进的托管业务平台，为境内外客户提供安全、准确、及时、高效的专业托管服务。中国民生银行资产托管部于2018年2月6日发布了“爱托管”品牌，近百余</w:t>
      </w:r>
      <w:r w:rsidRPr="004A41B5">
        <w:rPr>
          <w:rFonts w:ascii="宋体" w:hAnsi="Calibri" w:cs="宋体" w:hint="eastAsia"/>
          <w:szCs w:val="21"/>
          <w:lang w:eastAsia="zh-CN"/>
        </w:rPr>
        <w:t>家资管</w:t>
      </w:r>
      <w:r w:rsidRPr="004A41B5">
        <w:rPr>
          <w:rFonts w:ascii="宋体" w:hAnsi="Calibri" w:cs="宋体" w:hint="eastAsia"/>
          <w:szCs w:val="21"/>
          <w:lang w:eastAsia="zh-CN"/>
        </w:rPr>
        <w:t>机构及合作客户的代表受邀参加了启动仪式。资产托管部始终坚持以客户为中心，致力于为客户提供全面的综合金融服务。对内大力整合行内资源，对外广泛搭建客户服务平台，向各类托管客户提供专业化、增值化的托管综合金融服务，得到各界的充分认可，也在市场上树立了良好品牌形象，成为市场上一家有特色的托管银行。自2021年以来，中国民生银行荣获人力资源社会保障部颁发的“2020 年度企业年金和养老金产品信息报告工作优秀管理机构”奖，连续三年蝉联中央国债登记结算有限责任公司“年度优秀资产托管机构”奖项，获评《金融理财》颁发的“第十三届金貔貅奖2022年度金牌资产托管银行”。2023年至今，本行荣获《金融时报》“年度最佳资产托管银行”，《证券时报》“2023年度杰出资产托管银行天玑奖”、“2024年度杰出资产托管银行天玑奖”，《新浪财经》“养老金融服务创新银行”奖，《每日经济新闻报》“2024年度卓越资产托管银行奖”《经济观察报》“2025年度卓越养老金托管银行”、《中国经营报》“2025卓越竞争力资产托管银行”、《金融时报》2025年度入选金融高水平开发案例等奖项。</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截至2026年3月31日，中国民生银行托管建</w:t>
      </w:r>
      <w:r w:rsidRPr="004A41B5">
        <w:rPr>
          <w:rFonts w:ascii="宋体" w:hAnsi="Calibri" w:cs="宋体" w:hint="eastAsia"/>
          <w:szCs w:val="21"/>
          <w:lang w:eastAsia="zh-CN"/>
        </w:rPr>
        <w:t>信稳定</w:t>
      </w:r>
      <w:r w:rsidRPr="004A41B5">
        <w:rPr>
          <w:rFonts w:ascii="宋体" w:hAnsi="Calibri" w:cs="宋体" w:hint="eastAsia"/>
          <w:szCs w:val="21"/>
          <w:lang w:eastAsia="zh-CN"/>
        </w:rPr>
        <w:t>得利债券型证券投资基金、中银新趋势灵活配置混合型证券投资基金等共333只证券投资基金，基金托管规模14246.4724亿元。</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二</w:t>
      </w:r>
      <w:r>
        <w:rPr>
          <w:rFonts w:ascii="宋体" w:hAnsi="Calibri" w:cs="宋体" w:hint="eastAsia"/>
          <w:szCs w:val="21"/>
          <w:lang w:eastAsia="zh-CN"/>
        </w:rPr>
        <w:t>、</w:t>
      </w:r>
      <w:r w:rsidRPr="004A41B5">
        <w:rPr>
          <w:rFonts w:ascii="宋体" w:hAnsi="Calibri" w:cs="宋体" w:hint="eastAsia"/>
          <w:szCs w:val="21"/>
          <w:lang w:eastAsia="zh-CN"/>
        </w:rPr>
        <w:t>基金托管人的内部控制制度</w:t>
      </w:r>
    </w:p>
    <w:p w:rsidR="004A41B5" w:rsidRPr="004A41B5" w:rsidP="004A41B5">
      <w:pPr>
        <w:spacing w:line="360" w:lineRule="auto"/>
        <w:ind w:firstLine="420"/>
        <w:rPr>
          <w:rFonts w:ascii="宋体" w:hAnsi="Calibri" w:cs="宋体"/>
          <w:szCs w:val="21"/>
          <w:lang w:eastAsia="zh-CN"/>
        </w:rPr>
      </w:pPr>
      <w:r>
        <w:rPr>
          <w:rFonts w:ascii="宋体" w:hAnsi="Calibri" w:cs="宋体"/>
          <w:szCs w:val="21"/>
          <w:lang w:eastAsia="zh-CN"/>
        </w:rPr>
        <w:t>1</w:t>
      </w:r>
      <w:r>
        <w:rPr>
          <w:rFonts w:ascii="宋体" w:hAnsi="Calibri" w:cs="宋体" w:hint="eastAsia"/>
          <w:szCs w:val="21"/>
          <w:lang w:eastAsia="zh-CN"/>
        </w:rPr>
        <w:t>、</w:t>
      </w:r>
      <w:r w:rsidRPr="004A41B5">
        <w:rPr>
          <w:rFonts w:ascii="宋体" w:hAnsi="Calibri" w:cs="宋体" w:hint="eastAsia"/>
          <w:szCs w:val="21"/>
          <w:lang w:eastAsia="zh-CN"/>
        </w:rPr>
        <w:t>内部风险控制目标</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（1）</w:t>
      </w:r>
      <w:r w:rsidRPr="004A41B5">
        <w:rPr>
          <w:rFonts w:ascii="宋体" w:hAnsi="Calibri" w:cs="宋体" w:hint="eastAsia"/>
          <w:szCs w:val="21"/>
          <w:lang w:eastAsia="zh-CN"/>
        </w:rPr>
        <w:t>建立完整、严密、高效的风险控制体系，形成科学的决策机制、执行机制和监督机制，防范和化解经营风险，保障资产托管业务的稳健运行和托管财产的安全完整。</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（2）</w:t>
      </w:r>
      <w:r w:rsidRPr="004A41B5">
        <w:rPr>
          <w:rFonts w:ascii="宋体" w:hAnsi="Calibri" w:cs="宋体" w:hint="eastAsia"/>
          <w:szCs w:val="21"/>
          <w:lang w:eastAsia="zh-CN"/>
        </w:rPr>
        <w:t>大力培育合</w:t>
      </w:r>
      <w:r w:rsidRPr="004A41B5">
        <w:rPr>
          <w:rFonts w:ascii="宋体" w:hAnsi="Calibri" w:cs="宋体" w:hint="eastAsia"/>
          <w:szCs w:val="21"/>
          <w:lang w:eastAsia="zh-CN"/>
        </w:rPr>
        <w:t>规</w:t>
      </w:r>
      <w:r w:rsidRPr="004A41B5">
        <w:rPr>
          <w:rFonts w:ascii="宋体" w:hAnsi="Calibri" w:cs="宋体" w:hint="eastAsia"/>
          <w:szCs w:val="21"/>
          <w:lang w:eastAsia="zh-CN"/>
        </w:rPr>
        <w:t>文化，自觉形成守法经营、规范运作的经营思想和经营理念，严格控制合</w:t>
      </w:r>
      <w:r w:rsidRPr="004A41B5">
        <w:rPr>
          <w:rFonts w:ascii="宋体" w:hAnsi="Calibri" w:cs="宋体" w:hint="eastAsia"/>
          <w:szCs w:val="21"/>
          <w:lang w:eastAsia="zh-CN"/>
        </w:rPr>
        <w:t>规</w:t>
      </w:r>
      <w:r w:rsidRPr="004A41B5">
        <w:rPr>
          <w:rFonts w:ascii="宋体" w:hAnsi="Calibri" w:cs="宋体" w:hint="eastAsia"/>
          <w:szCs w:val="21"/>
          <w:lang w:eastAsia="zh-CN"/>
        </w:rPr>
        <w:t>风险，保证资产托管业务符合国家有关法律法规和行业监管规则。</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（3）</w:t>
      </w:r>
      <w:r w:rsidRPr="004A41B5">
        <w:rPr>
          <w:rFonts w:ascii="宋体" w:hAnsi="Calibri" w:cs="宋体" w:hint="eastAsia"/>
          <w:szCs w:val="21"/>
          <w:lang w:eastAsia="zh-CN"/>
        </w:rPr>
        <w:t>以相互制衡健全有效的</w:t>
      </w:r>
      <w:r w:rsidRPr="004A41B5">
        <w:rPr>
          <w:rFonts w:ascii="宋体" w:hAnsi="Calibri" w:cs="宋体" w:hint="eastAsia"/>
          <w:szCs w:val="21"/>
          <w:lang w:eastAsia="zh-CN"/>
        </w:rPr>
        <w:t>风控组织</w:t>
      </w:r>
      <w:r w:rsidRPr="004A41B5">
        <w:rPr>
          <w:rFonts w:ascii="宋体" w:hAnsi="Calibri" w:cs="宋体" w:hint="eastAsia"/>
          <w:szCs w:val="21"/>
          <w:lang w:eastAsia="zh-CN"/>
        </w:rPr>
        <w:t>结构为保障，以完善健全的制度为基础，以落实到位的过程控制为着眼点，以先进的信息技术手段为依托，建立全面、系统、动态、主动、有利于差错防弊、堵塞漏洞、消除隐患、保证业务稳健运行的风险控制制度，确保托管业务信息真实、准确、完整、及时。</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2</w:t>
      </w:r>
      <w:r>
        <w:rPr>
          <w:rFonts w:ascii="宋体" w:hAnsi="Calibri" w:cs="宋体" w:hint="eastAsia"/>
          <w:szCs w:val="21"/>
          <w:lang w:eastAsia="zh-CN"/>
        </w:rPr>
        <w:t>、</w:t>
      </w:r>
      <w:r w:rsidRPr="004A41B5">
        <w:rPr>
          <w:rFonts w:ascii="宋体" w:hAnsi="Calibri" w:cs="宋体" w:hint="eastAsia"/>
          <w:szCs w:val="21"/>
          <w:lang w:eastAsia="zh-CN"/>
        </w:rPr>
        <w:t>内部风险控制组织结构</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总行高级管理</w:t>
      </w:r>
      <w:r w:rsidRPr="004A41B5">
        <w:rPr>
          <w:rFonts w:ascii="宋体" w:hAnsi="Calibri" w:cs="宋体" w:hint="eastAsia"/>
          <w:szCs w:val="21"/>
          <w:lang w:eastAsia="zh-CN"/>
        </w:rPr>
        <w:t>层负责</w:t>
      </w:r>
      <w:r w:rsidRPr="004A41B5">
        <w:rPr>
          <w:rFonts w:ascii="宋体" w:hAnsi="Calibri" w:cs="宋体" w:hint="eastAsia"/>
          <w:szCs w:val="21"/>
          <w:lang w:eastAsia="zh-CN"/>
        </w:rPr>
        <w:t>部署全行的风险管理工作。总行风险管理委员会是总行高级管理层下设的风险管理专业委员会，对高级管理层负责，支持高级管理</w:t>
      </w:r>
      <w:r w:rsidRPr="004A41B5">
        <w:rPr>
          <w:rFonts w:ascii="宋体" w:hAnsi="Calibri" w:cs="宋体" w:hint="eastAsia"/>
          <w:szCs w:val="21"/>
          <w:lang w:eastAsia="zh-CN"/>
        </w:rPr>
        <w:t>层履行</w:t>
      </w:r>
      <w:r w:rsidRPr="004A41B5">
        <w:rPr>
          <w:rFonts w:ascii="宋体" w:hAnsi="Calibri" w:cs="宋体" w:hint="eastAsia"/>
          <w:szCs w:val="21"/>
          <w:lang w:eastAsia="zh-CN"/>
        </w:rPr>
        <w:t>职责。资产托管业务风险控制工作在总行风险管理委员会的统一部署和指导下开展。</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总行各部门紧密配合，共同把</w:t>
      </w:r>
      <w:r w:rsidRPr="004A41B5">
        <w:rPr>
          <w:rFonts w:ascii="宋体" w:hAnsi="Calibri" w:cs="宋体" w:hint="eastAsia"/>
          <w:szCs w:val="21"/>
          <w:lang w:eastAsia="zh-CN"/>
        </w:rPr>
        <w:t>控资产</w:t>
      </w:r>
      <w:r w:rsidRPr="004A41B5">
        <w:rPr>
          <w:rFonts w:ascii="宋体" w:hAnsi="Calibri" w:cs="宋体" w:hint="eastAsia"/>
          <w:szCs w:val="21"/>
          <w:lang w:eastAsia="zh-CN"/>
        </w:rPr>
        <w:t>托管业务运行中的风险，具体职责与分工如下：总行风险管理部作为总行风险管理委员会秘书机构，是全行风险管理的统筹部门，对资产托管部的风险控制工作进行指导；总行法律合</w:t>
      </w:r>
      <w:r w:rsidRPr="004A41B5">
        <w:rPr>
          <w:rFonts w:ascii="宋体" w:hAnsi="Calibri" w:cs="宋体" w:hint="eastAsia"/>
          <w:szCs w:val="21"/>
          <w:lang w:eastAsia="zh-CN"/>
        </w:rPr>
        <w:t>规</w:t>
      </w:r>
      <w:r w:rsidRPr="004A41B5">
        <w:rPr>
          <w:rFonts w:ascii="宋体" w:hAnsi="Calibri" w:cs="宋体" w:hint="eastAsia"/>
          <w:szCs w:val="21"/>
          <w:lang w:eastAsia="zh-CN"/>
        </w:rPr>
        <w:t>部负责资产托管业务项下的相关合同、协议等法律性文件的审定，对业务开展进行合</w:t>
      </w:r>
      <w:r w:rsidRPr="004A41B5">
        <w:rPr>
          <w:rFonts w:ascii="宋体" w:hAnsi="Calibri" w:cs="宋体" w:hint="eastAsia"/>
          <w:szCs w:val="21"/>
          <w:lang w:eastAsia="zh-CN"/>
        </w:rPr>
        <w:t>规</w:t>
      </w:r>
      <w:r w:rsidRPr="004A41B5">
        <w:rPr>
          <w:rFonts w:ascii="宋体" w:hAnsi="Calibri" w:cs="宋体" w:hint="eastAsia"/>
          <w:szCs w:val="21"/>
          <w:lang w:eastAsia="zh-CN"/>
        </w:rPr>
        <w:t>检查并督导问题整改落实；总行审计部对全行托管业务进行内部审计，包括定期内部审计、现场和非现场检查等；总行办公室与资产托管部共同制定声誉风险应急预案。</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3</w:t>
      </w:r>
      <w:r>
        <w:rPr>
          <w:rFonts w:ascii="宋体" w:hAnsi="Calibri" w:cs="宋体" w:hint="eastAsia"/>
          <w:szCs w:val="21"/>
          <w:lang w:eastAsia="zh-CN"/>
        </w:rPr>
        <w:t>、</w:t>
      </w:r>
      <w:r w:rsidRPr="004A41B5">
        <w:rPr>
          <w:rFonts w:ascii="宋体" w:hAnsi="Calibri" w:cs="宋体" w:hint="eastAsia"/>
          <w:szCs w:val="21"/>
          <w:lang w:eastAsia="zh-CN"/>
        </w:rPr>
        <w:t>内部风险控制原则</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（1）</w:t>
      </w:r>
      <w:r w:rsidRPr="004A41B5">
        <w:rPr>
          <w:rFonts w:ascii="宋体" w:hAnsi="Calibri" w:cs="宋体" w:hint="eastAsia"/>
          <w:szCs w:val="21"/>
          <w:lang w:eastAsia="zh-CN"/>
        </w:rPr>
        <w:t>合法合</w:t>
      </w:r>
      <w:r w:rsidRPr="004A41B5">
        <w:rPr>
          <w:rFonts w:ascii="宋体" w:hAnsi="Calibri" w:cs="宋体" w:hint="eastAsia"/>
          <w:szCs w:val="21"/>
          <w:lang w:eastAsia="zh-CN"/>
        </w:rPr>
        <w:t>规</w:t>
      </w:r>
      <w:r w:rsidRPr="004A41B5">
        <w:rPr>
          <w:rFonts w:ascii="宋体" w:hAnsi="Calibri" w:cs="宋体" w:hint="eastAsia"/>
          <w:szCs w:val="21"/>
          <w:lang w:eastAsia="zh-CN"/>
        </w:rPr>
        <w:t>原则。风险控制应符合和体现国家法律、法规、规章和各项政策。</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（2）</w:t>
      </w:r>
      <w:r w:rsidRPr="004A41B5">
        <w:rPr>
          <w:rFonts w:ascii="宋体" w:hAnsi="Calibri" w:cs="宋体" w:hint="eastAsia"/>
          <w:szCs w:val="21"/>
          <w:lang w:eastAsia="zh-CN"/>
        </w:rPr>
        <w:t>全面性原则。风险控制覆盖托管部的各个业务中心、各个岗位和各级人员，并涵盖资产托管业务各环节。</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（3）</w:t>
      </w:r>
      <w:r w:rsidRPr="004A41B5">
        <w:rPr>
          <w:rFonts w:ascii="宋体" w:hAnsi="Calibri" w:cs="宋体" w:hint="eastAsia"/>
          <w:szCs w:val="21"/>
          <w:lang w:eastAsia="zh-CN"/>
        </w:rPr>
        <w:t>有效性原则。资产托管业务从业人员应全力维护内部控制制度的有效执行，任何人都没有超越制度约束的权力。</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（4）</w:t>
      </w:r>
      <w:r w:rsidRPr="004A41B5">
        <w:rPr>
          <w:rFonts w:ascii="宋体" w:hAnsi="Calibri" w:cs="宋体" w:hint="eastAsia"/>
          <w:szCs w:val="21"/>
          <w:lang w:eastAsia="zh-CN"/>
        </w:rPr>
        <w:t>预防性原则。必须树立“预防为主”的管理理念，控制资产托管业务中风险发生的源头，防患于未然，尽量避免业务操作中各种问题的产生。</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（5）</w:t>
      </w:r>
      <w:r w:rsidRPr="004A41B5">
        <w:rPr>
          <w:rFonts w:ascii="宋体" w:hAnsi="Calibri" w:cs="宋体" w:hint="eastAsia"/>
          <w:szCs w:val="21"/>
          <w:lang w:eastAsia="zh-CN"/>
        </w:rPr>
        <w:t>及时性原则。资产托管业务风险控制制度的制定应当具有前瞻性，并且随着托管部经营战略、经营方针、经营理念等内部环境的变化和国家法律法规、政策制度等外部环境的改变进行及时的修改或完善。发现问题，要及时处理，堵塞漏洞。</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（6）</w:t>
      </w:r>
      <w:r w:rsidRPr="004A41B5">
        <w:rPr>
          <w:rFonts w:ascii="宋体" w:hAnsi="Calibri" w:cs="宋体" w:hint="eastAsia"/>
          <w:szCs w:val="21"/>
          <w:lang w:eastAsia="zh-CN"/>
        </w:rPr>
        <w:t>独立性原则。各业务中心、各岗位职能上保持相对独立性。风险合</w:t>
      </w:r>
      <w:r w:rsidRPr="004A41B5">
        <w:rPr>
          <w:rFonts w:ascii="宋体" w:hAnsi="Calibri" w:cs="宋体" w:hint="eastAsia"/>
          <w:szCs w:val="21"/>
          <w:lang w:eastAsia="zh-CN"/>
        </w:rPr>
        <w:t>规</w:t>
      </w:r>
      <w:r w:rsidRPr="004A41B5">
        <w:rPr>
          <w:rFonts w:ascii="宋体" w:hAnsi="Calibri" w:cs="宋体" w:hint="eastAsia"/>
          <w:szCs w:val="21"/>
          <w:lang w:eastAsia="zh-CN"/>
        </w:rPr>
        <w:t>管理中心是资产托管部下设的执行机构，不受其他业务中心和个人干涉。业务操作人员和检查人员严格分开，以保证风险控制机构的工作不受干扰。</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（7）</w:t>
      </w:r>
      <w:r w:rsidRPr="004A41B5">
        <w:rPr>
          <w:rFonts w:ascii="宋体" w:hAnsi="Calibri" w:cs="宋体" w:hint="eastAsia"/>
          <w:szCs w:val="21"/>
          <w:lang w:eastAsia="zh-CN"/>
        </w:rPr>
        <w:t>相互制约原则。各业务中心、各岗位权责明确，相互牵制，通过切实可行的相互制衡措施来消除风险控制的盲点。</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（8）</w:t>
      </w:r>
      <w:r w:rsidRPr="004A41B5">
        <w:rPr>
          <w:rFonts w:ascii="宋体" w:hAnsi="Calibri" w:cs="宋体" w:hint="eastAsia"/>
          <w:szCs w:val="21"/>
          <w:lang w:eastAsia="zh-CN"/>
        </w:rPr>
        <w:t>防火墙原则。托管银行自身财务与托管资产财务严格分开；托管业务日常操作部门与行政、研发和营销等部门隔离。</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4</w:t>
      </w:r>
      <w:r>
        <w:rPr>
          <w:rFonts w:ascii="宋体" w:hAnsi="Calibri" w:cs="宋体" w:hint="eastAsia"/>
          <w:szCs w:val="21"/>
          <w:lang w:eastAsia="zh-CN"/>
        </w:rPr>
        <w:t>、</w:t>
      </w:r>
      <w:r w:rsidRPr="004A41B5">
        <w:rPr>
          <w:rFonts w:ascii="宋体" w:hAnsi="Calibri" w:cs="宋体" w:hint="eastAsia"/>
          <w:szCs w:val="21"/>
          <w:lang w:eastAsia="zh-CN"/>
        </w:rPr>
        <w:t>内部风险控制制度和措施</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（1）</w:t>
      </w:r>
      <w:r w:rsidRPr="004A41B5">
        <w:rPr>
          <w:rFonts w:ascii="宋体" w:hAnsi="Calibri" w:cs="宋体" w:hint="eastAsia"/>
          <w:szCs w:val="21"/>
          <w:lang w:eastAsia="zh-CN"/>
        </w:rPr>
        <w:t>制度建设：建立了明确的岗位职责、科学的业务流程、详细的操作手册、严格的人员行为规范等一系列规章制度。</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（2）</w:t>
      </w:r>
      <w:r w:rsidRPr="004A41B5">
        <w:rPr>
          <w:rFonts w:ascii="宋体" w:hAnsi="Calibri" w:cs="宋体" w:hint="eastAsia"/>
          <w:szCs w:val="21"/>
          <w:lang w:eastAsia="zh-CN"/>
        </w:rPr>
        <w:t>建立健全的组织管理结构：前后台分离，不同部门、岗位相互牵制。</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（3）</w:t>
      </w:r>
      <w:r w:rsidRPr="004A41B5">
        <w:rPr>
          <w:rFonts w:ascii="宋体" w:hAnsi="Calibri" w:cs="宋体" w:hint="eastAsia"/>
          <w:szCs w:val="21"/>
          <w:lang w:eastAsia="zh-CN"/>
        </w:rPr>
        <w:t>风险识别与评估：定期组织进行风险识别、评估，制定并实施风险控制措施。</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（4）</w:t>
      </w:r>
      <w:r w:rsidRPr="004A41B5">
        <w:rPr>
          <w:rFonts w:ascii="宋体" w:hAnsi="Calibri" w:cs="宋体" w:hint="eastAsia"/>
          <w:szCs w:val="21"/>
          <w:lang w:eastAsia="zh-CN"/>
        </w:rPr>
        <w:t>相对独立的业务操作空间：业务</w:t>
      </w:r>
      <w:r w:rsidRPr="004A41B5">
        <w:rPr>
          <w:rFonts w:ascii="宋体" w:hAnsi="Calibri" w:cs="宋体" w:hint="eastAsia"/>
          <w:szCs w:val="21"/>
          <w:lang w:eastAsia="zh-CN"/>
        </w:rPr>
        <w:t>操作区</w:t>
      </w:r>
      <w:r w:rsidRPr="004A41B5">
        <w:rPr>
          <w:rFonts w:ascii="宋体" w:hAnsi="Calibri" w:cs="宋体" w:hint="eastAsia"/>
          <w:szCs w:val="21"/>
          <w:lang w:eastAsia="zh-CN"/>
        </w:rPr>
        <w:t>相对独立，实施门禁管理和音像监控。</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（5）</w:t>
      </w:r>
      <w:r w:rsidRPr="004A41B5">
        <w:rPr>
          <w:rFonts w:ascii="宋体" w:hAnsi="Calibri" w:cs="宋体" w:hint="eastAsia"/>
          <w:szCs w:val="21"/>
          <w:lang w:eastAsia="zh-CN"/>
        </w:rPr>
        <w:t>人员管理：进行定期的业务与职业道德培训，使员工树立风险防范与控制理念，并签订承诺书。</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（6）</w:t>
      </w:r>
      <w:r w:rsidRPr="004A41B5">
        <w:rPr>
          <w:rFonts w:ascii="宋体" w:hAnsi="Calibri" w:cs="宋体" w:hint="eastAsia"/>
          <w:szCs w:val="21"/>
          <w:lang w:eastAsia="zh-CN"/>
        </w:rPr>
        <w:t>应急预案：制定完备的应急预案，并组织员工定期演练；建立</w:t>
      </w:r>
      <w:r w:rsidRPr="004A41B5">
        <w:rPr>
          <w:rFonts w:ascii="宋体" w:hAnsi="Calibri" w:cs="宋体" w:hint="eastAsia"/>
          <w:szCs w:val="21"/>
          <w:lang w:eastAsia="zh-CN"/>
        </w:rPr>
        <w:t>异地灾备中心</w:t>
      </w:r>
      <w:r w:rsidRPr="004A41B5">
        <w:rPr>
          <w:rFonts w:ascii="宋体" w:hAnsi="Calibri" w:cs="宋体" w:hint="eastAsia"/>
          <w:szCs w:val="21"/>
          <w:lang w:eastAsia="zh-CN"/>
        </w:rPr>
        <w:t>，保证业务不中断。</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5</w:t>
      </w:r>
      <w:r>
        <w:rPr>
          <w:rFonts w:ascii="宋体" w:hAnsi="Calibri" w:cs="宋体" w:hint="eastAsia"/>
          <w:szCs w:val="21"/>
          <w:lang w:eastAsia="zh-CN"/>
        </w:rPr>
        <w:t>、</w:t>
      </w:r>
      <w:r w:rsidRPr="004A41B5">
        <w:rPr>
          <w:rFonts w:ascii="宋体" w:hAnsi="Calibri" w:cs="宋体" w:hint="eastAsia"/>
          <w:szCs w:val="21"/>
          <w:lang w:eastAsia="zh-CN"/>
        </w:rPr>
        <w:t>资产托管部内部风险控制</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中国民生银行股份有限公司从控制环境、风险评估、控制活动、信息沟通、监控等五个方面构建了托管业务风险控制体系。</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（1）</w:t>
      </w:r>
      <w:r w:rsidRPr="004A41B5">
        <w:rPr>
          <w:rFonts w:ascii="宋体" w:hAnsi="Calibri" w:cs="宋体" w:hint="eastAsia"/>
          <w:szCs w:val="21"/>
          <w:lang w:eastAsia="zh-CN"/>
        </w:rPr>
        <w:t>坚持风险管理与业务发展同等重要的理念。中国民生银行股份有限公司资产托管部从成立之日起就特别强调规范运作，一直将建立一个系统、高效的风险防范和控制体系作为工作重点。随着市场环境的变化和托管业务的快速发展，新问题新情况不断出现，我们始终将风险管理放在与业务发展同等重要的位置，</w:t>
      </w:r>
      <w:r w:rsidRPr="004A41B5">
        <w:rPr>
          <w:rFonts w:ascii="宋体" w:hAnsi="Calibri" w:cs="宋体" w:hint="eastAsia"/>
          <w:szCs w:val="21"/>
          <w:lang w:eastAsia="zh-CN"/>
        </w:rPr>
        <w:t>视风险</w:t>
      </w:r>
      <w:r w:rsidRPr="004A41B5">
        <w:rPr>
          <w:rFonts w:ascii="宋体" w:hAnsi="Calibri" w:cs="宋体" w:hint="eastAsia"/>
          <w:szCs w:val="21"/>
          <w:lang w:eastAsia="zh-CN"/>
        </w:rPr>
        <w:t>防范和控制为托管业务生存和发展的生命线。</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（2）</w:t>
      </w:r>
      <w:r w:rsidRPr="004A41B5">
        <w:rPr>
          <w:rFonts w:ascii="宋体" w:hAnsi="Calibri" w:cs="宋体" w:hint="eastAsia"/>
          <w:szCs w:val="21"/>
          <w:lang w:eastAsia="zh-CN"/>
        </w:rPr>
        <w:t>实施全员风险管理。将风险控制责任落实到具体业务中心和业务岗位，每位员工对自己岗位职责范围内的风险负责。</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（3）</w:t>
      </w:r>
      <w:r w:rsidRPr="004A41B5">
        <w:rPr>
          <w:rFonts w:ascii="宋体" w:hAnsi="Calibri" w:cs="宋体" w:hint="eastAsia"/>
          <w:szCs w:val="21"/>
          <w:lang w:eastAsia="zh-CN"/>
        </w:rPr>
        <w:t>建立分工明确、相互牵制的风险控制组织结构。我们通过建立纵向双</w:t>
      </w:r>
      <w:r w:rsidRPr="004A41B5">
        <w:rPr>
          <w:rFonts w:ascii="宋体" w:hAnsi="Calibri" w:cs="宋体" w:hint="eastAsia"/>
          <w:szCs w:val="21"/>
          <w:lang w:eastAsia="zh-CN"/>
        </w:rPr>
        <w:t>人制</w:t>
      </w:r>
      <w:r w:rsidRPr="004A41B5">
        <w:rPr>
          <w:rFonts w:ascii="宋体" w:hAnsi="Calibri" w:cs="宋体" w:hint="eastAsia"/>
          <w:szCs w:val="21"/>
          <w:lang w:eastAsia="zh-CN"/>
        </w:rPr>
        <w:t>，横向多中心制的内部组织结构，形成不同中心、不同岗位相互制衡的组织结构。</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（4）</w:t>
      </w:r>
      <w:r w:rsidRPr="004A41B5">
        <w:rPr>
          <w:rFonts w:ascii="宋体" w:hAnsi="Calibri" w:cs="宋体" w:hint="eastAsia"/>
          <w:szCs w:val="21"/>
          <w:lang w:eastAsia="zh-CN"/>
        </w:rPr>
        <w:t>以制度建设作为风险管理的核心。我们十分重视内部控制制度的建设，已经建立了一整套内部风险控制制度，包括业务管理办法、内部控制制度、员工行为规范、岗位职责及涵括所有后台运作环节的操作手册。以上制度随着外部环境和业务的发展还会不断增加和完善。</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（5）</w:t>
      </w:r>
      <w:r w:rsidRPr="004A41B5">
        <w:rPr>
          <w:rFonts w:ascii="宋体" w:hAnsi="Calibri" w:cs="宋体" w:hint="eastAsia"/>
          <w:szCs w:val="21"/>
          <w:lang w:eastAsia="zh-CN"/>
        </w:rPr>
        <w:t>制度的执行和监督是风险控制的关键。制度落实检查是风险控制管理的有力保证。资产托管部内部设置风险合</w:t>
      </w:r>
      <w:r w:rsidRPr="004A41B5">
        <w:rPr>
          <w:rFonts w:ascii="宋体" w:hAnsi="Calibri" w:cs="宋体" w:hint="eastAsia"/>
          <w:szCs w:val="21"/>
          <w:lang w:eastAsia="zh-CN"/>
        </w:rPr>
        <w:t>规</w:t>
      </w:r>
      <w:r w:rsidRPr="004A41B5">
        <w:rPr>
          <w:rFonts w:ascii="宋体" w:hAnsi="Calibri" w:cs="宋体" w:hint="eastAsia"/>
          <w:szCs w:val="21"/>
          <w:lang w:eastAsia="zh-CN"/>
        </w:rPr>
        <w:t>管理中心，依照有关法律规章，定期对业务的运行进行检查。总行审计部不定期对托管业务进行审计。</w:t>
      </w:r>
    </w:p>
    <w:p w:rsidR="004A41B5" w:rsidRPr="004A41B5" w:rsidP="004A41B5">
      <w:pPr>
        <w:spacing w:line="360" w:lineRule="auto"/>
        <w:ind w:firstLine="420"/>
        <w:rPr>
          <w:rFonts w:ascii="宋体" w:hAnsi="Calibri" w:cs="宋体"/>
          <w:szCs w:val="21"/>
          <w:lang w:eastAsia="zh-CN"/>
        </w:rPr>
      </w:pPr>
      <w:r>
        <w:rPr>
          <w:rFonts w:ascii="宋体" w:hAnsi="Calibri" w:cs="宋体" w:hint="eastAsia"/>
          <w:szCs w:val="21"/>
          <w:lang w:eastAsia="zh-CN"/>
        </w:rPr>
        <w:t>（6）</w:t>
      </w:r>
      <w:r w:rsidRPr="004A41B5">
        <w:rPr>
          <w:rFonts w:ascii="宋体" w:hAnsi="Calibri" w:cs="宋体" w:hint="eastAsia"/>
          <w:szCs w:val="21"/>
          <w:lang w:eastAsia="zh-CN"/>
        </w:rPr>
        <w:t>将先进的技术手段运用于风险控制中。托管业务系统需求不仅从业务方面而且从风险控制方面都要经过多方论证，托管业务技术系统具有较强的自动风险控制功能。</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三</w:t>
      </w:r>
      <w:r>
        <w:rPr>
          <w:rFonts w:ascii="宋体" w:hAnsi="Calibri" w:cs="宋体" w:hint="eastAsia"/>
          <w:szCs w:val="21"/>
          <w:lang w:eastAsia="zh-CN"/>
        </w:rPr>
        <w:t>、</w:t>
      </w:r>
      <w:r w:rsidRPr="004A41B5">
        <w:rPr>
          <w:rFonts w:ascii="宋体" w:hAnsi="Calibri" w:cs="宋体" w:hint="eastAsia"/>
          <w:szCs w:val="21"/>
          <w:lang w:eastAsia="zh-CN"/>
        </w:rPr>
        <w:t>基金托管人对基金管理人运作基金进行监督的方法和程序</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根据《中华人民共和国证券投资基金法》《公开募集证券投资基金运作管理办法》《公开募集证券投资基金信息披露管理办法》等有关法律法规的规定及基金合同、基金托管协议的约定，基金托管人对基金的投资范围、基金投资比例、基金资产的核算、基金资产净值的计算、基金份额净值的计算、基金管理人报酬的计提和支付、基金托管人报酬的计提和支付、基金申购资金的到账和赎回资金的划付、基金收益分配等进行监督和核查。</w:t>
      </w:r>
    </w:p>
    <w:p w:rsidR="004A41B5" w:rsidRP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基金托管人发现基金管理人违反《中华人民共和国证券投资基金法》等有关法律法规规定及基金合同、基金托管协议约定的行为，应及时以书面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rsidR="004A41B5" w:rsidP="004A41B5">
      <w:pPr>
        <w:spacing w:line="360" w:lineRule="auto"/>
        <w:ind w:firstLine="420"/>
        <w:rPr>
          <w:rFonts w:ascii="宋体" w:hAnsi="Calibri" w:cs="宋体"/>
          <w:szCs w:val="21"/>
          <w:lang w:eastAsia="zh-CN"/>
        </w:rPr>
      </w:pPr>
      <w:r w:rsidRPr="004A41B5">
        <w:rPr>
          <w:rFonts w:ascii="宋体" w:hAnsi="Calibri" w:cs="宋体" w:hint="eastAsia"/>
          <w:szCs w:val="21"/>
          <w:lang w:eastAsia="zh-CN"/>
        </w:rPr>
        <w:t>基金托管人发现基金管理人有重大违规行为，应立即报告中国证监会，同时通知基金管理人限期纠正。</w:t>
      </w:r>
    </w:p>
    <w:p w:rsidR="0097367D">
      <w:pPr>
        <w:pStyle w:val="111"/>
        <w:spacing w:before="317" w:after="317" w:line="360" w:lineRule="auto"/>
        <w:ind w:firstLine="640"/>
        <w:rPr>
          <w:rFonts w:ascii="宋体" w:eastAsia="宋体" w:hAnsi="Calibri" w:cs="宋体"/>
          <w:sz w:val="30"/>
          <w:szCs w:val="30"/>
          <w:lang w:eastAsia="zh-CN"/>
        </w:rPr>
      </w:pPr>
      <w:bookmarkStart w:id="1776" w:name="_Toc332373481"/>
      <w:bookmarkStart w:id="1777" w:name="_Toc129511527"/>
      <w:r>
        <w:rPr>
          <w:rFonts w:ascii="宋体" w:eastAsia="宋体" w:hAnsi="Calibri" w:cs="宋体" w:hint="eastAsia"/>
          <w:sz w:val="30"/>
          <w:szCs w:val="30"/>
          <w:highlight w:val="white"/>
          <w:lang w:eastAsia="zh-CN"/>
        </w:rPr>
        <w:t>第五部分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相关服务机构</w:t>
      </w:r>
      <w:bookmarkEnd w:id="1776"/>
      <w:bookmarkEnd w:id="1777"/>
    </w:p>
    <w:p w:rsidR="0097367D">
      <w:pPr>
        <w:spacing w:line="360" w:lineRule="auto"/>
        <w:ind w:firstLine="420"/>
        <w:rPr>
          <w:rStyle w:val="da"/>
          <w:rFonts w:ascii="宋体" w:hAnsi="Calibri" w:cs="宋体"/>
          <w:szCs w:val="21"/>
          <w:lang w:eastAsia="zh-CN"/>
        </w:rPr>
      </w:pPr>
      <w:bookmarkStart w:id="1778" w:name="_Toc332373482"/>
      <w:r>
        <w:rPr>
          <w:rStyle w:val="da"/>
          <w:rFonts w:ascii="宋体" w:hAnsi="Calibri" w:cs="宋体" w:hint="eastAsia"/>
          <w:szCs w:val="21"/>
          <w:highlight w:val="white"/>
          <w:lang w:eastAsia="zh-CN"/>
        </w:rPr>
        <w:t>一、基金份额发售机构</w:t>
      </w:r>
      <w:bookmarkEnd w:id="1778"/>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1、直销机构：易方达基金管理有限公司</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注册地址：</w:t>
      </w:r>
      <w:r>
        <w:rPr>
          <w:rFonts w:ascii="宋体" w:hAnsi="Calibri" w:cs="宋体"/>
          <w:color w:val="000000"/>
          <w:szCs w:val="21"/>
          <w:highlight w:val="white"/>
          <w:lang w:eastAsia="zh-CN"/>
        </w:rPr>
        <w:t>广东省珠海市横琴新区</w:t>
      </w:r>
      <w:r>
        <w:rPr>
          <w:rFonts w:ascii="宋体" w:hAnsi="Calibri" w:cs="宋体"/>
          <w:color w:val="000000"/>
          <w:szCs w:val="21"/>
          <w:highlight w:val="white"/>
          <w:lang w:eastAsia="zh-CN"/>
        </w:rPr>
        <w:t>荣粤道</w:t>
      </w:r>
      <w:r>
        <w:rPr>
          <w:rFonts w:ascii="宋体" w:hAnsi="Calibri" w:cs="宋体"/>
          <w:color w:val="000000"/>
          <w:szCs w:val="21"/>
          <w:highlight w:val="white"/>
          <w:lang w:eastAsia="zh-CN"/>
        </w:rPr>
        <w:t>188号6层</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办公地址：广东省广州市天河区珠江西路21号52层；广东省广州市天河区珠江东路30号42层；广东省珠海市横琴新区</w:t>
      </w:r>
      <w:r>
        <w:rPr>
          <w:rStyle w:val="da"/>
          <w:rFonts w:ascii="宋体" w:hAnsi="Calibri" w:cs="宋体" w:hint="eastAsia"/>
          <w:szCs w:val="21"/>
          <w:highlight w:val="white"/>
          <w:lang w:eastAsia="zh-CN"/>
        </w:rPr>
        <w:t>荣粤道</w:t>
      </w:r>
      <w:r>
        <w:rPr>
          <w:rStyle w:val="da"/>
          <w:rFonts w:ascii="宋体" w:hAnsi="Calibri" w:cs="宋体" w:hint="eastAsia"/>
          <w:szCs w:val="21"/>
          <w:highlight w:val="white"/>
          <w:lang w:eastAsia="zh-CN"/>
        </w:rPr>
        <w:t>188号6层</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法定代表人：吴欣荣</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电话：020-85102506</w:t>
      </w:r>
    </w:p>
    <w:p w:rsidR="0097367D">
      <w:pPr>
        <w:spacing w:line="360" w:lineRule="auto"/>
        <w:ind w:firstLine="420"/>
        <w:rPr>
          <w:rStyle w:val="da"/>
          <w:rFonts w:ascii="宋体" w:hAnsi="Calibri" w:cs="宋体"/>
          <w:szCs w:val="21"/>
        </w:rPr>
      </w:pPr>
      <w:r>
        <w:rPr>
          <w:rStyle w:val="da"/>
          <w:rFonts w:ascii="宋体" w:hAnsi="Calibri" w:cs="宋体" w:hint="eastAsia"/>
          <w:szCs w:val="21"/>
          <w:highlight w:val="white"/>
        </w:rPr>
        <w:t>传真：4008818099</w:t>
      </w:r>
    </w:p>
    <w:p w:rsidR="0097367D">
      <w:pPr>
        <w:spacing w:line="360" w:lineRule="auto"/>
        <w:ind w:firstLine="420"/>
        <w:rPr>
          <w:rStyle w:val="da"/>
          <w:rFonts w:ascii="宋体" w:hAnsi="Calibri" w:cs="宋体"/>
          <w:szCs w:val="21"/>
        </w:rPr>
      </w:pPr>
      <w:r>
        <w:rPr>
          <w:rStyle w:val="da"/>
          <w:rFonts w:ascii="宋体" w:hAnsi="Calibri" w:cs="宋体" w:hint="eastAsia"/>
          <w:szCs w:val="21"/>
          <w:highlight w:val="white"/>
        </w:rPr>
        <w:t>联系人：梁美</w:t>
      </w:r>
    </w:p>
    <w:p w:rsidR="0097367D">
      <w:pPr>
        <w:spacing w:line="360" w:lineRule="auto"/>
        <w:ind w:firstLine="420"/>
        <w:rPr>
          <w:rStyle w:val="da"/>
          <w:rFonts w:ascii="宋体" w:hAnsi="Calibri" w:cs="宋体"/>
          <w:szCs w:val="21"/>
        </w:rPr>
      </w:pPr>
      <w:r>
        <w:rPr>
          <w:rStyle w:val="da"/>
          <w:rFonts w:ascii="宋体" w:hAnsi="Calibri" w:cs="宋体" w:hint="eastAsia"/>
          <w:szCs w:val="21"/>
          <w:highlight w:val="white"/>
        </w:rPr>
        <w:t>网址：</w:t>
      </w:r>
      <w:hyperlink r:id="rId15" w:history="1">
        <w:r>
          <w:rPr>
            <w:rStyle w:val="da"/>
            <w:rFonts w:ascii="宋体" w:hAnsi="Calibri" w:cs="宋体" w:hint="eastAsia"/>
            <w:szCs w:val="21"/>
            <w:highlight w:val="white"/>
          </w:rPr>
          <w:t>www.efunds.com.cn</w:t>
        </w:r>
      </w:hyperlink>
    </w:p>
    <w:p w:rsidR="0097367D">
      <w:pPr>
        <w:spacing w:line="360" w:lineRule="auto"/>
        <w:ind w:firstLine="420"/>
        <w:rPr>
          <w:rFonts w:ascii="宋体" w:hAnsi="Calibri"/>
          <w:szCs w:val="21"/>
          <w:lang w:eastAsia="zh-CN"/>
        </w:rPr>
      </w:pPr>
      <w:r>
        <w:rPr>
          <w:rFonts w:ascii="宋体" w:hAnsi="Calibri" w:cs="宋体"/>
          <w:color w:val="000000"/>
          <w:szCs w:val="21"/>
          <w:highlight w:val="white"/>
          <w:lang w:eastAsia="zh-CN"/>
        </w:rPr>
        <w:t>直销机构网点信息：</w:t>
      </w:r>
    </w:p>
    <w:p w:rsidR="0097367D">
      <w:pPr>
        <w:spacing w:line="360" w:lineRule="auto"/>
        <w:ind w:firstLine="420"/>
        <w:rPr>
          <w:rFonts w:ascii="宋体" w:hAnsi="Calibri"/>
          <w:szCs w:val="21"/>
          <w:lang w:eastAsia="zh-CN"/>
        </w:rPr>
      </w:pPr>
      <w:r>
        <w:rPr>
          <w:rFonts w:ascii="宋体" w:hAnsi="Calibri" w:cs="宋体"/>
          <w:color w:val="000000"/>
          <w:szCs w:val="21"/>
          <w:highlight w:val="white"/>
          <w:lang w:eastAsia="zh-CN"/>
        </w:rPr>
        <w:t>本公司直销中心和网上直销系统销售本基金</w:t>
      </w:r>
      <w:r>
        <w:rPr>
          <w:rFonts w:ascii="宋体" w:hAnsi="Calibri" w:cs="宋体" w:hint="eastAsia"/>
          <w:color w:val="000000"/>
          <w:szCs w:val="21"/>
          <w:highlight w:val="white"/>
          <w:lang w:eastAsia="zh-CN"/>
        </w:rPr>
        <w:t>A类</w:t>
      </w:r>
      <w:r w:rsidRPr="00962530" w:rsidR="00962530">
        <w:rPr>
          <w:rFonts w:ascii="宋体" w:hAnsi="Calibri" w:cs="宋体" w:hint="eastAsia"/>
          <w:color w:val="000000"/>
          <w:szCs w:val="21"/>
          <w:lang w:eastAsia="zh-CN"/>
        </w:rPr>
        <w:t>基金</w:t>
      </w:r>
      <w:r>
        <w:rPr>
          <w:rFonts w:ascii="宋体" w:hAnsi="Calibri" w:cs="宋体" w:hint="eastAsia"/>
          <w:color w:val="000000"/>
          <w:szCs w:val="21"/>
          <w:highlight w:val="white"/>
          <w:lang w:eastAsia="zh-CN"/>
        </w:rPr>
        <w:t>份额，若后续销售本基金C类</w:t>
      </w:r>
      <w:r w:rsidRPr="00962530" w:rsidR="00962530">
        <w:rPr>
          <w:rFonts w:ascii="宋体" w:hAnsi="Calibri" w:cs="宋体" w:hint="eastAsia"/>
          <w:color w:val="000000"/>
          <w:szCs w:val="21"/>
          <w:lang w:eastAsia="zh-CN"/>
        </w:rPr>
        <w:t>基金</w:t>
      </w:r>
      <w:r>
        <w:rPr>
          <w:rFonts w:ascii="宋体" w:hAnsi="Calibri" w:cs="宋体" w:hint="eastAsia"/>
          <w:color w:val="000000"/>
          <w:szCs w:val="21"/>
          <w:highlight w:val="white"/>
          <w:lang w:eastAsia="zh-CN"/>
        </w:rPr>
        <w:t>份额，将另行公告</w:t>
      </w:r>
      <w:r>
        <w:rPr>
          <w:rFonts w:ascii="宋体" w:hAnsi="Calibri" w:cs="宋体"/>
          <w:color w:val="000000"/>
          <w:szCs w:val="21"/>
          <w:highlight w:val="white"/>
          <w:lang w:eastAsia="zh-CN"/>
        </w:rPr>
        <w:t>，网点具体信息详见本公司网站。</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2、非直销销售机构</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详见基金份额发售公告。</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基金管理人可根据情况变更或增减销售机构并在基金管理人网站公示。</w:t>
      </w:r>
    </w:p>
    <w:p w:rsidR="0097367D">
      <w:pPr>
        <w:spacing w:line="360" w:lineRule="auto"/>
        <w:ind w:firstLine="420"/>
        <w:rPr>
          <w:rStyle w:val="da"/>
          <w:rFonts w:ascii="宋体" w:hAnsi="Calibri" w:cs="宋体"/>
          <w:szCs w:val="21"/>
          <w:lang w:eastAsia="zh-CN"/>
        </w:rPr>
      </w:pPr>
      <w:bookmarkStart w:id="1779" w:name="_Toc332373483"/>
      <w:r>
        <w:rPr>
          <w:rStyle w:val="da"/>
          <w:rFonts w:ascii="宋体" w:hAnsi="Calibri" w:cs="宋体" w:hint="eastAsia"/>
          <w:szCs w:val="21"/>
          <w:highlight w:val="white"/>
          <w:lang w:eastAsia="zh-CN"/>
        </w:rPr>
        <w:t>二、</w:t>
      </w:r>
      <w:bookmarkEnd w:id="1779"/>
      <w:r>
        <w:rPr>
          <w:rStyle w:val="da"/>
          <w:rFonts w:ascii="宋体" w:hAnsi="Calibri" w:cs="宋体" w:hint="eastAsia"/>
          <w:szCs w:val="21"/>
          <w:highlight w:val="white"/>
          <w:lang w:eastAsia="zh-CN"/>
        </w:rPr>
        <w:t>登记机构</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名称：易方达基金管理有限公司</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注册地址：</w:t>
      </w:r>
      <w:r>
        <w:rPr>
          <w:rFonts w:ascii="宋体" w:hAnsi="Calibri" w:cs="宋体"/>
          <w:color w:val="000000"/>
          <w:szCs w:val="21"/>
          <w:highlight w:val="white"/>
          <w:lang w:eastAsia="zh-CN"/>
        </w:rPr>
        <w:t>广东省珠海市横琴新区</w:t>
      </w:r>
      <w:r>
        <w:rPr>
          <w:rFonts w:ascii="宋体" w:hAnsi="Calibri" w:cs="宋体"/>
          <w:color w:val="000000"/>
          <w:szCs w:val="21"/>
          <w:highlight w:val="white"/>
          <w:lang w:eastAsia="zh-CN"/>
        </w:rPr>
        <w:t>荣粤道</w:t>
      </w:r>
      <w:r>
        <w:rPr>
          <w:rFonts w:ascii="宋体" w:hAnsi="Calibri" w:cs="宋体"/>
          <w:color w:val="000000"/>
          <w:szCs w:val="21"/>
          <w:highlight w:val="white"/>
          <w:lang w:eastAsia="zh-CN"/>
        </w:rPr>
        <w:t>188号6层</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办公</w:t>
      </w:r>
      <w:r>
        <w:rPr>
          <w:rStyle w:val="da"/>
          <w:rFonts w:ascii="宋体" w:hAnsi="Calibri" w:cs="宋体" w:hint="eastAsia"/>
          <w:szCs w:val="21"/>
          <w:highlight w:val="white"/>
          <w:lang w:eastAsia="zh-CN"/>
        </w:rPr>
        <w:t>地址：广东省广州市天河区珠江西路21号52层；广东省广州市天河区珠江东路30号42层；广东省珠海市横琴新区</w:t>
      </w:r>
      <w:r>
        <w:rPr>
          <w:rStyle w:val="da"/>
          <w:rFonts w:ascii="宋体" w:hAnsi="Calibri" w:cs="宋体" w:hint="eastAsia"/>
          <w:szCs w:val="21"/>
          <w:highlight w:val="white"/>
          <w:lang w:eastAsia="zh-CN"/>
        </w:rPr>
        <w:t>荣粤道</w:t>
      </w:r>
      <w:r>
        <w:rPr>
          <w:rStyle w:val="da"/>
          <w:rFonts w:ascii="宋体" w:hAnsi="Calibri" w:cs="宋体" w:hint="eastAsia"/>
          <w:szCs w:val="21"/>
          <w:highlight w:val="white"/>
          <w:lang w:eastAsia="zh-CN"/>
        </w:rPr>
        <w:t>188号6层</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法定代表人：吴欣荣</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电话：4008818088</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传真：</w:t>
      </w:r>
      <w:r>
        <w:rPr>
          <w:rStyle w:val="da"/>
          <w:rFonts w:ascii="宋体" w:hAnsi="Calibri" w:cs="宋体"/>
          <w:szCs w:val="21"/>
          <w:highlight w:val="white"/>
          <w:lang w:eastAsia="zh-CN"/>
        </w:rPr>
        <w:t>020</w:t>
      </w:r>
      <w:r>
        <w:rPr>
          <w:rStyle w:val="da"/>
          <w:rFonts w:ascii="宋体" w:hAnsi="Calibri" w:cs="宋体" w:hint="eastAsia"/>
          <w:szCs w:val="21"/>
          <w:highlight w:val="white"/>
          <w:lang w:eastAsia="zh-CN"/>
        </w:rPr>
        <w:t>-38799249</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联系人：</w:t>
      </w:r>
      <w:r>
        <w:rPr>
          <w:rStyle w:val="da"/>
          <w:rFonts w:ascii="宋体" w:hAnsi="Calibri" w:cs="宋体" w:hint="eastAsia"/>
          <w:szCs w:val="21"/>
          <w:highlight w:val="white"/>
          <w:lang w:eastAsia="zh-CN"/>
        </w:rPr>
        <w:t>余贤高</w:t>
      </w:r>
    </w:p>
    <w:p w:rsidR="0097367D">
      <w:pPr>
        <w:spacing w:line="360" w:lineRule="auto"/>
        <w:ind w:firstLine="420"/>
        <w:rPr>
          <w:rStyle w:val="da"/>
          <w:rFonts w:ascii="宋体" w:hAnsi="Calibri" w:cs="宋体"/>
          <w:szCs w:val="21"/>
          <w:lang w:eastAsia="zh-CN"/>
        </w:rPr>
      </w:pPr>
      <w:bookmarkStart w:id="1780" w:name="_Toc332373484"/>
      <w:r>
        <w:rPr>
          <w:rStyle w:val="da"/>
          <w:rFonts w:ascii="宋体" w:hAnsi="Calibri" w:cs="宋体" w:hint="eastAsia"/>
          <w:szCs w:val="21"/>
          <w:highlight w:val="white"/>
          <w:lang w:eastAsia="zh-CN"/>
        </w:rPr>
        <w:t>三、律师事务所和经办律师</w:t>
      </w:r>
      <w:bookmarkEnd w:id="1780"/>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律师事务所：广东金桥百信律师事务所</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住所：广东省广州市天河区珠江东路16号24-26层</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办公地址：广州市珠江新城珠江东路16号高德置地</w:t>
      </w:r>
      <w:r>
        <w:rPr>
          <w:rStyle w:val="da"/>
          <w:rFonts w:ascii="宋体" w:hAnsi="Calibri" w:cs="宋体" w:hint="eastAsia"/>
          <w:szCs w:val="21"/>
          <w:highlight w:val="white"/>
          <w:lang w:eastAsia="zh-CN"/>
        </w:rPr>
        <w:t>冬广场</w:t>
      </w:r>
      <w:r>
        <w:rPr>
          <w:rStyle w:val="da"/>
          <w:rFonts w:ascii="宋体" w:hAnsi="Calibri" w:cs="宋体" w:hint="eastAsia"/>
          <w:szCs w:val="21"/>
          <w:highlight w:val="white"/>
          <w:lang w:eastAsia="zh-CN"/>
        </w:rPr>
        <w:t>G座26楼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负责人：</w:t>
      </w:r>
      <w:r>
        <w:rPr>
          <w:rStyle w:val="da"/>
          <w:rFonts w:ascii="宋体" w:hAnsi="Calibri" w:hint="eastAsia"/>
          <w:highlight w:val="white"/>
          <w:lang w:eastAsia="zh-CN"/>
        </w:rPr>
        <w:t>莫哲</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w:t>
      </w:r>
      <w:r>
        <w:rPr>
          <w:rStyle w:val="da"/>
          <w:rFonts w:ascii="宋体" w:hAnsi="Calibri" w:cs="宋体"/>
          <w:szCs w:val="21"/>
          <w:highlight w:val="white"/>
          <w:lang w:eastAsia="zh-CN"/>
        </w:rPr>
        <w:t>020-83338668</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传真：</w:t>
      </w:r>
      <w:r>
        <w:rPr>
          <w:rStyle w:val="da"/>
          <w:rFonts w:ascii="宋体" w:hAnsi="Calibri" w:cs="宋体"/>
          <w:szCs w:val="21"/>
          <w:highlight w:val="white"/>
          <w:lang w:eastAsia="zh-CN"/>
        </w:rPr>
        <w:t>020-83338088</w:t>
      </w:r>
    </w:p>
    <w:p w:rsidR="0097367D">
      <w:pPr>
        <w:spacing w:line="360" w:lineRule="auto"/>
        <w:ind w:firstLine="420"/>
        <w:rPr>
          <w:rStyle w:val="da"/>
          <w:rFonts w:ascii="宋体" w:hAnsi="Calibri"/>
          <w:lang w:eastAsia="zh-CN"/>
        </w:rPr>
      </w:pPr>
      <w:r>
        <w:rPr>
          <w:rStyle w:val="da"/>
          <w:rFonts w:ascii="宋体" w:hAnsi="Calibri" w:hint="eastAsia"/>
          <w:highlight w:val="white"/>
          <w:lang w:eastAsia="zh-CN"/>
        </w:rPr>
        <w:t>经办律师：郭东雪、李海</w:t>
      </w:r>
      <w:r>
        <w:rPr>
          <w:rStyle w:val="da"/>
          <w:rFonts w:ascii="宋体" w:hAnsi="Calibri" w:hint="eastAsia"/>
          <w:highlight w:val="white"/>
          <w:lang w:eastAsia="zh-CN"/>
        </w:rPr>
        <w:t>滢</w:t>
      </w:r>
    </w:p>
    <w:p w:rsidR="0097367D">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联系人：李海</w:t>
      </w:r>
      <w:r>
        <w:rPr>
          <w:rStyle w:val="da"/>
          <w:rFonts w:ascii="宋体" w:hAnsi="Calibri" w:hint="eastAsia"/>
          <w:highlight w:val="white"/>
          <w:lang w:eastAsia="zh-CN"/>
        </w:rPr>
        <w:t>滢</w:t>
      </w:r>
      <w:bookmarkStart w:id="1781" w:name="_Toc332373485"/>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四、会计师事务所</w:t>
      </w:r>
    </w:p>
    <w:p w:rsidR="00221B89" w:rsidRPr="00221B89" w:rsidP="00221B89">
      <w:pPr>
        <w:spacing w:line="360" w:lineRule="auto"/>
        <w:ind w:firstLine="420"/>
        <w:rPr>
          <w:rStyle w:val="da"/>
          <w:rFonts w:ascii="宋体" w:hAnsi="Calibri" w:cs="宋体"/>
          <w:szCs w:val="21"/>
          <w:lang w:eastAsia="zh-CN"/>
        </w:rPr>
      </w:pPr>
      <w:r w:rsidRPr="00221B89">
        <w:rPr>
          <w:rStyle w:val="da"/>
          <w:rFonts w:ascii="宋体" w:hAnsi="Calibri" w:cs="宋体" w:hint="eastAsia"/>
          <w:szCs w:val="21"/>
          <w:lang w:eastAsia="zh-CN"/>
        </w:rPr>
        <w:t>会计师事务所：德勤华永会计师事务所（特殊普通合伙）</w:t>
      </w:r>
    </w:p>
    <w:p w:rsidR="00221B89" w:rsidRPr="00221B89" w:rsidP="00221B89">
      <w:pPr>
        <w:spacing w:line="360" w:lineRule="auto"/>
        <w:ind w:firstLine="420"/>
        <w:rPr>
          <w:rStyle w:val="da"/>
          <w:rFonts w:ascii="宋体" w:hAnsi="Calibri" w:cs="宋体"/>
          <w:szCs w:val="21"/>
          <w:lang w:eastAsia="zh-CN"/>
        </w:rPr>
      </w:pPr>
      <w:r w:rsidRPr="00221B89">
        <w:rPr>
          <w:rStyle w:val="da"/>
          <w:rFonts w:ascii="宋体" w:hAnsi="Calibri" w:cs="宋体" w:hint="eastAsia"/>
          <w:szCs w:val="21"/>
          <w:lang w:eastAsia="zh-CN"/>
        </w:rPr>
        <w:t>住所：中国上海市延安东路222号外</w:t>
      </w:r>
      <w:r w:rsidRPr="00221B89">
        <w:rPr>
          <w:rStyle w:val="da"/>
          <w:rFonts w:ascii="宋体" w:hAnsi="Calibri" w:cs="宋体" w:hint="eastAsia"/>
          <w:szCs w:val="21"/>
          <w:lang w:eastAsia="zh-CN"/>
        </w:rPr>
        <w:t>滩中心</w:t>
      </w:r>
      <w:r w:rsidRPr="00221B89">
        <w:rPr>
          <w:rStyle w:val="da"/>
          <w:rFonts w:ascii="宋体" w:hAnsi="Calibri" w:cs="宋体" w:hint="eastAsia"/>
          <w:szCs w:val="21"/>
          <w:lang w:eastAsia="zh-CN"/>
        </w:rPr>
        <w:t>30楼</w:t>
      </w:r>
    </w:p>
    <w:p w:rsidR="00221B89" w:rsidRPr="00221B89" w:rsidP="00221B89">
      <w:pPr>
        <w:spacing w:line="360" w:lineRule="auto"/>
        <w:ind w:firstLine="420"/>
        <w:rPr>
          <w:rStyle w:val="da"/>
          <w:rFonts w:ascii="宋体" w:hAnsi="Calibri" w:cs="宋体"/>
          <w:szCs w:val="21"/>
          <w:lang w:eastAsia="zh-CN"/>
        </w:rPr>
      </w:pPr>
      <w:r w:rsidRPr="00221B89">
        <w:rPr>
          <w:rStyle w:val="da"/>
          <w:rFonts w:ascii="宋体" w:hAnsi="Calibri" w:cs="宋体" w:hint="eastAsia"/>
          <w:szCs w:val="21"/>
          <w:lang w:eastAsia="zh-CN"/>
        </w:rPr>
        <w:t>主要经营场所：中国上海市延安东路222号外</w:t>
      </w:r>
      <w:r w:rsidRPr="00221B89">
        <w:rPr>
          <w:rStyle w:val="da"/>
          <w:rFonts w:ascii="宋体" w:hAnsi="Calibri" w:cs="宋体" w:hint="eastAsia"/>
          <w:szCs w:val="21"/>
          <w:lang w:eastAsia="zh-CN"/>
        </w:rPr>
        <w:t>滩中心</w:t>
      </w:r>
      <w:r w:rsidRPr="00221B89">
        <w:rPr>
          <w:rStyle w:val="da"/>
          <w:rFonts w:ascii="宋体" w:hAnsi="Calibri" w:cs="宋体" w:hint="eastAsia"/>
          <w:szCs w:val="21"/>
          <w:lang w:eastAsia="zh-CN"/>
        </w:rPr>
        <w:t>30楼</w:t>
      </w:r>
    </w:p>
    <w:p w:rsidR="00221B89" w:rsidRPr="00221B89" w:rsidP="00221B89">
      <w:pPr>
        <w:spacing w:line="360" w:lineRule="auto"/>
        <w:ind w:firstLine="420"/>
        <w:rPr>
          <w:rStyle w:val="da"/>
          <w:rFonts w:ascii="宋体" w:hAnsi="Calibri" w:cs="宋体"/>
          <w:szCs w:val="21"/>
          <w:lang w:eastAsia="zh-CN"/>
        </w:rPr>
      </w:pPr>
      <w:r w:rsidRPr="00221B89">
        <w:rPr>
          <w:rStyle w:val="da"/>
          <w:rFonts w:ascii="宋体" w:hAnsi="Calibri" w:cs="宋体" w:hint="eastAsia"/>
          <w:szCs w:val="21"/>
          <w:lang w:eastAsia="zh-CN"/>
        </w:rPr>
        <w:t>执行事务合伙人：唐恋炯</w:t>
      </w:r>
    </w:p>
    <w:p w:rsidR="00221B89" w:rsidRPr="00221B89" w:rsidP="00221B89">
      <w:pPr>
        <w:spacing w:line="360" w:lineRule="auto"/>
        <w:ind w:firstLine="420"/>
        <w:rPr>
          <w:rStyle w:val="da"/>
          <w:rFonts w:ascii="宋体" w:hAnsi="Calibri" w:cs="宋体"/>
          <w:szCs w:val="21"/>
          <w:lang w:eastAsia="zh-CN"/>
        </w:rPr>
      </w:pPr>
      <w:r w:rsidRPr="00221B89">
        <w:rPr>
          <w:rStyle w:val="da"/>
          <w:rFonts w:ascii="宋体" w:hAnsi="Calibri" w:cs="宋体" w:hint="eastAsia"/>
          <w:szCs w:val="21"/>
          <w:lang w:eastAsia="zh-CN"/>
        </w:rPr>
        <w:t>电话：021-61418888</w:t>
      </w:r>
    </w:p>
    <w:p w:rsidR="00221B89" w:rsidRPr="00221B89" w:rsidP="00221B89">
      <w:pPr>
        <w:spacing w:line="360" w:lineRule="auto"/>
        <w:ind w:firstLine="420"/>
        <w:rPr>
          <w:rStyle w:val="da"/>
          <w:rFonts w:ascii="宋体" w:hAnsi="Calibri" w:cs="宋体"/>
          <w:szCs w:val="21"/>
          <w:lang w:eastAsia="zh-CN"/>
        </w:rPr>
      </w:pPr>
      <w:r w:rsidRPr="00221B89">
        <w:rPr>
          <w:rStyle w:val="da"/>
          <w:rFonts w:ascii="宋体" w:hAnsi="Calibri" w:cs="宋体" w:hint="eastAsia"/>
          <w:szCs w:val="21"/>
          <w:lang w:eastAsia="zh-CN"/>
        </w:rPr>
        <w:t>传真：021-63350003</w:t>
      </w:r>
    </w:p>
    <w:p w:rsidR="0097367D">
      <w:pPr>
        <w:spacing w:line="360" w:lineRule="auto"/>
        <w:ind w:firstLine="420"/>
        <w:rPr>
          <w:rStyle w:val="da"/>
          <w:rFonts w:ascii="宋体" w:hAnsi="Calibri" w:cs="宋体"/>
          <w:szCs w:val="21"/>
          <w:lang w:eastAsia="zh-CN"/>
        </w:rPr>
      </w:pPr>
      <w:r w:rsidRPr="00221B89">
        <w:rPr>
          <w:rStyle w:val="da"/>
          <w:rFonts w:ascii="宋体" w:hAnsi="Calibri" w:cs="宋体" w:hint="eastAsia"/>
          <w:szCs w:val="21"/>
          <w:lang w:eastAsia="zh-CN"/>
        </w:rPr>
        <w:t>联系人：江丽雅</w:t>
      </w:r>
    </w:p>
    <w:bookmarkEnd w:id="1781"/>
    <w:p w:rsidR="0097367D">
      <w:pPr>
        <w:spacing w:line="360" w:lineRule="auto"/>
        <w:ind w:firstLine="420"/>
        <w:rPr>
          <w:rStyle w:val="da"/>
          <w:rFonts w:ascii="宋体" w:hAnsi="Calibri"/>
          <w:lang w:eastAsia="zh-CN"/>
        </w:rPr>
      </w:pPr>
    </w:p>
    <w:p w:rsidR="0097367D">
      <w:pPr>
        <w:pStyle w:val="Heading1"/>
        <w:pageBreakBefore/>
        <w:spacing w:before="317" w:after="317" w:line="360" w:lineRule="auto"/>
        <w:ind w:firstLine="640"/>
        <w:rPr>
          <w:rFonts w:ascii="宋体" w:eastAsia="宋体" w:hAnsi="Calibri" w:cs="宋体"/>
          <w:bCs/>
          <w:sz w:val="30"/>
          <w:szCs w:val="30"/>
          <w:lang w:eastAsia="zh-CN"/>
        </w:rPr>
      </w:pPr>
      <w:bookmarkStart w:id="1782" w:name="_Toc11178790"/>
      <w:bookmarkStart w:id="1783" w:name="_Toc52177265"/>
      <w:bookmarkStart w:id="1784" w:name="_Toc129511528"/>
      <w:bookmarkStart w:id="1785" w:name="_Toc332373486"/>
      <w:r>
        <w:rPr>
          <w:rFonts w:ascii="宋体" w:eastAsia="宋体" w:hAnsi="Calibri" w:cs="宋体" w:hint="eastAsia"/>
          <w:bCs/>
          <w:sz w:val="30"/>
          <w:szCs w:val="30"/>
          <w:highlight w:val="white"/>
          <w:lang w:eastAsia="zh-CN"/>
        </w:rPr>
        <w:t>第六部分</w:t>
      </w:r>
      <w:r>
        <w:rPr>
          <w:rFonts w:ascii="宋体" w:eastAsia="宋体" w:hAnsi="Calibri" w:cs="宋体"/>
          <w:bCs/>
          <w:sz w:val="30"/>
          <w:szCs w:val="30"/>
          <w:highlight w:val="white"/>
          <w:lang w:eastAsia="zh-CN"/>
        </w:rPr>
        <w:t xml:space="preserve"> 基金份额的分类</w:t>
      </w:r>
      <w:bookmarkEnd w:id="1782"/>
      <w:bookmarkEnd w:id="1783"/>
      <w:bookmarkEnd w:id="1784"/>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一、基金份额类别</w:t>
      </w:r>
    </w:p>
    <w:p w:rsidR="0097367D">
      <w:pPr>
        <w:spacing w:line="360" w:lineRule="auto"/>
        <w:ind w:firstLine="420"/>
        <w:rPr>
          <w:rStyle w:val="da"/>
          <w:rFonts w:ascii="宋体" w:hAnsi="Calibri" w:cs="宋体"/>
          <w:lang w:eastAsia="zh-CN"/>
        </w:rPr>
      </w:pPr>
      <w:r>
        <w:rPr>
          <w:rStyle w:val="da"/>
          <w:rFonts w:ascii="宋体" w:hAnsi="Calibri" w:cs="宋体" w:hint="eastAsia"/>
          <w:lang w:eastAsia="zh-CN"/>
        </w:rPr>
        <w:t>本基金将基金份额分为不同的类别。在投资人认购/申购基金时按规定收取认购/申购费用，并不再从本类别基金资产中计</w:t>
      </w:r>
      <w:r>
        <w:rPr>
          <w:rStyle w:val="da"/>
          <w:rFonts w:ascii="宋体" w:hAnsi="Calibri" w:cs="宋体" w:hint="eastAsia"/>
          <w:lang w:eastAsia="zh-CN"/>
        </w:rPr>
        <w:t>提销售</w:t>
      </w:r>
      <w:r>
        <w:rPr>
          <w:rStyle w:val="da"/>
          <w:rFonts w:ascii="宋体" w:hAnsi="Calibri" w:cs="宋体" w:hint="eastAsia"/>
          <w:lang w:eastAsia="zh-CN"/>
        </w:rPr>
        <w:t>服务费的基金份额，称为A类基金份额；从本类基金资产中计</w:t>
      </w:r>
      <w:r>
        <w:rPr>
          <w:rStyle w:val="da"/>
          <w:rFonts w:ascii="宋体" w:hAnsi="Calibri" w:cs="宋体" w:hint="eastAsia"/>
          <w:lang w:eastAsia="zh-CN"/>
        </w:rPr>
        <w:t>提销售</w:t>
      </w:r>
      <w:r>
        <w:rPr>
          <w:rStyle w:val="da"/>
          <w:rFonts w:ascii="宋体" w:hAnsi="Calibri" w:cs="宋体" w:hint="eastAsia"/>
          <w:lang w:eastAsia="zh-CN"/>
        </w:rPr>
        <w:t>服务费并按规定收取或返还，不收取认购/申购费用的基金份额，称为C类基金份额。</w:t>
      </w:r>
    </w:p>
    <w:p w:rsidR="0097367D">
      <w:pPr>
        <w:spacing w:line="360" w:lineRule="auto"/>
        <w:ind w:firstLine="480"/>
        <w:rPr>
          <w:rStyle w:val="da"/>
          <w:rFonts w:ascii="宋体" w:hAnsi="Calibri" w:cs="宋体"/>
          <w:lang w:eastAsia="zh-CN"/>
        </w:rPr>
      </w:pPr>
      <w:r>
        <w:rPr>
          <w:rStyle w:val="da"/>
          <w:rFonts w:ascii="宋体" w:hAnsi="Calibri" w:cs="宋体" w:hint="eastAsia"/>
          <w:highlight w:val="white"/>
          <w:lang w:eastAsia="zh-CN"/>
        </w:rPr>
        <w:t>本基金各类基金份额分别设置代码，分别计算并公布基金份额净值和基金份额累计净值。投资人在认购/申购基金份额时可自行选择基金份额类别。本基金暂不开通各份额类别之间的转换业务，今后若开通本基金各份额类别之间的转换业务，业务规则详见届时发布的有关公告或更新的招募说明书。</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每类基金</w:t>
      </w:r>
      <w:r>
        <w:rPr>
          <w:rFonts w:ascii="宋体" w:hAnsi="Calibri" w:cs="宋体"/>
          <w:szCs w:val="21"/>
          <w:highlight w:val="white"/>
          <w:lang w:eastAsia="zh-CN"/>
        </w:rPr>
        <w:t>份额的具体</w:t>
      </w:r>
      <w:r>
        <w:rPr>
          <w:rFonts w:ascii="宋体" w:hAnsi="Calibri" w:cs="宋体" w:hint="eastAsia"/>
          <w:szCs w:val="21"/>
          <w:highlight w:val="white"/>
          <w:lang w:eastAsia="zh-CN"/>
        </w:rPr>
        <w:t>规定</w:t>
      </w:r>
      <w:r>
        <w:rPr>
          <w:rFonts w:ascii="宋体" w:hAnsi="Calibri" w:cs="宋体"/>
          <w:szCs w:val="21"/>
          <w:highlight w:val="white"/>
          <w:lang w:eastAsia="zh-CN"/>
        </w:rPr>
        <w:t>详见下表：</w:t>
      </w:r>
    </w:p>
    <w:tbl>
      <w:tblPr>
        <w:tblpPr w:leftFromText="180" w:rightFromText="180" w:vertAnchor="text" w:horzAnchor="page" w:tblpX="1749" w:tblpY="124"/>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551"/>
      </w:tblGrid>
      <w:tr>
        <w:tblPrEx>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97367D">
            <w:pPr>
              <w:snapToGrid w:val="0"/>
              <w:spacing w:line="360" w:lineRule="auto"/>
              <w:jc w:val="center"/>
              <w:rPr>
                <w:rFonts w:ascii="宋体" w:hAnsi="Calibri" w:cs="宋体"/>
                <w:b/>
                <w:szCs w:val="21"/>
              </w:rPr>
            </w:pPr>
            <w:r>
              <w:rPr>
                <w:rFonts w:ascii="宋体" w:hAnsi="Calibri" w:cs="宋体"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97367D">
            <w:pPr>
              <w:snapToGrid w:val="0"/>
              <w:spacing w:line="360" w:lineRule="auto"/>
              <w:jc w:val="center"/>
              <w:rPr>
                <w:rFonts w:ascii="宋体" w:hAnsi="Calibri" w:cs="宋体"/>
                <w:b/>
                <w:szCs w:val="21"/>
              </w:rPr>
            </w:pPr>
            <w:r>
              <w:rPr>
                <w:rFonts w:ascii="宋体" w:hAnsi="Calibri" w:cs="宋体"/>
                <w:b/>
                <w:bCs/>
                <w:szCs w:val="21"/>
                <w:highlight w:val="white"/>
              </w:rPr>
              <w:t>A类基金份额</w:t>
            </w:r>
          </w:p>
        </w:tc>
        <w:tc>
          <w:tcPr>
            <w:tcW w:w="2551" w:type="dxa"/>
            <w:tcBorders>
              <w:top w:val="single" w:sz="4" w:space="0" w:color="auto"/>
              <w:left w:val="single" w:sz="4" w:space="0" w:color="auto"/>
              <w:bottom w:val="single" w:sz="4" w:space="0" w:color="auto"/>
              <w:right w:val="single" w:sz="4" w:space="0" w:color="auto"/>
            </w:tcBorders>
            <w:vAlign w:val="center"/>
          </w:tcPr>
          <w:p w:rsidR="0097367D">
            <w:pPr>
              <w:snapToGrid w:val="0"/>
              <w:spacing w:line="360" w:lineRule="auto"/>
              <w:jc w:val="center"/>
              <w:rPr>
                <w:rFonts w:ascii="宋体" w:hAnsi="Calibri" w:cs="宋体"/>
                <w:b/>
                <w:bCs/>
                <w:szCs w:val="21"/>
              </w:rPr>
            </w:pPr>
            <w:r>
              <w:rPr>
                <w:rFonts w:ascii="宋体" w:hAnsi="Calibri" w:cs="宋体"/>
                <w:b/>
                <w:bCs/>
                <w:szCs w:val="21"/>
                <w:highlight w:val="white"/>
              </w:rPr>
              <w:t>C类基金份额</w:t>
            </w:r>
          </w:p>
        </w:tc>
      </w:tr>
      <w:tr>
        <w:tblPrEx>
          <w:tblW w:w="7933" w:type="dxa"/>
          <w:tblLayout w:type="fixed"/>
          <w:tblLook w:val="04A0"/>
        </w:tblPrEx>
        <w:trPr>
          <w:trHeight w:val="159"/>
        </w:trPr>
        <w:tc>
          <w:tcPr>
            <w:tcW w:w="2547"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认/申购费</w:t>
            </w:r>
          </w:p>
        </w:tc>
        <w:tc>
          <w:tcPr>
            <w:tcW w:w="2835"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按规定收取</w:t>
            </w:r>
          </w:p>
        </w:tc>
        <w:tc>
          <w:tcPr>
            <w:tcW w:w="2551"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不</w:t>
            </w:r>
            <w:r>
              <w:rPr>
                <w:rFonts w:ascii="宋体" w:hAnsi="Calibri" w:cs="宋体"/>
                <w:szCs w:val="21"/>
                <w:highlight w:val="white"/>
              </w:rPr>
              <w:t>收取</w:t>
            </w:r>
          </w:p>
        </w:tc>
      </w:tr>
      <w:tr>
        <w:tblPrEx>
          <w:tblW w:w="7933" w:type="dxa"/>
          <w:tblLayout w:type="fixed"/>
          <w:tblLook w:val="04A0"/>
        </w:tblPrEx>
        <w:trPr>
          <w:trHeight w:val="857"/>
        </w:trPr>
        <w:tc>
          <w:tcPr>
            <w:tcW w:w="2547"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首次认/申购最低金额</w:t>
            </w:r>
          </w:p>
        </w:tc>
        <w:tc>
          <w:tcPr>
            <w:tcW w:w="2835"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(直销中心为5</w:t>
            </w:r>
            <w:r>
              <w:rPr>
                <w:rFonts w:ascii="宋体" w:hAnsi="Calibri" w:cs="宋体" w:hint="eastAsia"/>
                <w:szCs w:val="21"/>
                <w:highlight w:val="white"/>
              </w:rPr>
              <w:t>万元</w:t>
            </w:r>
            <w:r>
              <w:rPr>
                <w:rFonts w:ascii="宋体" w:hAnsi="Calibri" w:cs="宋体"/>
                <w:szCs w:val="21"/>
                <w:highlight w:val="white"/>
              </w:rPr>
              <w:t>)</w:t>
            </w:r>
          </w:p>
        </w:tc>
        <w:tc>
          <w:tcPr>
            <w:tcW w:w="2551"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(直销中心为5</w:t>
            </w:r>
            <w:r>
              <w:rPr>
                <w:rFonts w:ascii="宋体" w:hAnsi="Calibri" w:cs="宋体" w:hint="eastAsia"/>
                <w:szCs w:val="21"/>
                <w:highlight w:val="white"/>
              </w:rPr>
              <w:t>万元</w:t>
            </w:r>
            <w:r>
              <w:rPr>
                <w:rFonts w:ascii="宋体" w:hAnsi="Calibri" w:cs="宋体"/>
                <w:szCs w:val="21"/>
                <w:highlight w:val="white"/>
              </w:rPr>
              <w:t>)</w:t>
            </w:r>
          </w:p>
        </w:tc>
      </w:tr>
      <w:tr>
        <w:tblPrEx>
          <w:tblW w:w="7933" w:type="dxa"/>
          <w:tblLayout w:type="fixed"/>
          <w:tblLook w:val="04A0"/>
        </w:tblPrEx>
        <w:trPr>
          <w:trHeight w:val="157"/>
        </w:trPr>
        <w:tc>
          <w:tcPr>
            <w:tcW w:w="2547"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追加认</w:t>
            </w:r>
            <w:r>
              <w:rPr>
                <w:rFonts w:ascii="宋体" w:hAnsi="Calibri" w:cs="宋体"/>
                <w:szCs w:val="21"/>
                <w:highlight w:val="white"/>
              </w:rPr>
              <w:t>/</w:t>
            </w:r>
            <w:r>
              <w:rPr>
                <w:rFonts w:ascii="宋体" w:hAnsi="Calibri" w:cs="宋体" w:hint="eastAsia"/>
                <w:szCs w:val="21"/>
                <w:highlight w:val="white"/>
              </w:rPr>
              <w:t>申购最低金额</w:t>
            </w:r>
          </w:p>
        </w:tc>
        <w:tc>
          <w:tcPr>
            <w:tcW w:w="2835"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(直销中心为1000</w:t>
            </w:r>
            <w:r>
              <w:rPr>
                <w:rFonts w:ascii="宋体" w:hAnsi="Calibri" w:cs="宋体" w:hint="eastAsia"/>
                <w:szCs w:val="21"/>
                <w:highlight w:val="white"/>
              </w:rPr>
              <w:t>元</w:t>
            </w:r>
            <w:r>
              <w:rPr>
                <w:rFonts w:ascii="宋体" w:hAnsi="Calibri" w:cs="宋体"/>
                <w:szCs w:val="21"/>
                <w:highlight w:val="white"/>
              </w:rPr>
              <w:t>)</w:t>
            </w:r>
          </w:p>
        </w:tc>
        <w:tc>
          <w:tcPr>
            <w:tcW w:w="2551"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1元</w:t>
            </w:r>
            <w:r>
              <w:rPr>
                <w:rFonts w:ascii="宋体" w:hAnsi="Calibri" w:cs="宋体"/>
                <w:szCs w:val="21"/>
                <w:highlight w:val="white"/>
              </w:rPr>
              <w:t>(直销中心为1000</w:t>
            </w:r>
            <w:r>
              <w:rPr>
                <w:rFonts w:ascii="宋体" w:hAnsi="Calibri" w:cs="宋体" w:hint="eastAsia"/>
                <w:szCs w:val="21"/>
                <w:highlight w:val="white"/>
              </w:rPr>
              <w:t>元</w:t>
            </w:r>
            <w:r>
              <w:rPr>
                <w:rFonts w:ascii="宋体" w:hAnsi="Calibri" w:cs="宋体"/>
                <w:szCs w:val="21"/>
                <w:highlight w:val="white"/>
              </w:rPr>
              <w:t>)</w:t>
            </w:r>
          </w:p>
        </w:tc>
      </w:tr>
      <w:tr>
        <w:tblPrEx>
          <w:tblW w:w="7933" w:type="dxa"/>
          <w:tblLayout w:type="fixed"/>
          <w:tblLook w:val="04A0"/>
        </w:tblPrEx>
        <w:trPr>
          <w:trHeight w:val="157"/>
        </w:trPr>
        <w:tc>
          <w:tcPr>
            <w:tcW w:w="2547"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单笔赎回最低份额</w:t>
            </w:r>
          </w:p>
        </w:tc>
        <w:tc>
          <w:tcPr>
            <w:tcW w:w="2835"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1份</w:t>
            </w:r>
          </w:p>
        </w:tc>
        <w:tc>
          <w:tcPr>
            <w:tcW w:w="2551"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1份</w:t>
            </w:r>
          </w:p>
        </w:tc>
      </w:tr>
      <w:tr>
        <w:tblPrEx>
          <w:tblW w:w="7933" w:type="dxa"/>
          <w:tblLayout w:type="fixed"/>
          <w:tblLook w:val="04A0"/>
        </w:tblPrEx>
        <w:trPr>
          <w:trHeight w:val="157"/>
        </w:trPr>
        <w:tc>
          <w:tcPr>
            <w:tcW w:w="2547" w:type="dxa"/>
            <w:vAlign w:val="center"/>
          </w:tcPr>
          <w:p w:rsidR="0097367D">
            <w:pPr>
              <w:snapToGrid w:val="0"/>
              <w:spacing w:line="360" w:lineRule="auto"/>
              <w:jc w:val="center"/>
              <w:rPr>
                <w:rFonts w:ascii="宋体" w:hAnsi="Calibri" w:cs="宋体"/>
                <w:szCs w:val="21"/>
                <w:lang w:eastAsia="zh-CN"/>
              </w:rPr>
            </w:pPr>
            <w:r>
              <w:rPr>
                <w:rFonts w:ascii="宋体" w:hAnsi="Calibri" w:cs="宋体" w:hint="eastAsia"/>
                <w:szCs w:val="21"/>
                <w:highlight w:val="white"/>
                <w:lang w:eastAsia="zh-CN"/>
              </w:rPr>
              <w:t>基金交易账户最低基金份额余额</w:t>
            </w:r>
          </w:p>
        </w:tc>
        <w:tc>
          <w:tcPr>
            <w:tcW w:w="2835"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1份</w:t>
            </w:r>
          </w:p>
        </w:tc>
        <w:tc>
          <w:tcPr>
            <w:tcW w:w="2551" w:type="dxa"/>
            <w:vAlign w:val="center"/>
          </w:tcPr>
          <w:p w:rsidR="0097367D">
            <w:pPr>
              <w:snapToGrid w:val="0"/>
              <w:spacing w:line="360" w:lineRule="auto"/>
              <w:jc w:val="center"/>
              <w:rPr>
                <w:rFonts w:ascii="宋体" w:hAnsi="Calibri" w:cs="宋体"/>
                <w:szCs w:val="21"/>
              </w:rPr>
            </w:pPr>
            <w:r>
              <w:rPr>
                <w:rFonts w:ascii="宋体" w:hAnsi="Calibri" w:cs="宋体" w:hint="eastAsia"/>
                <w:szCs w:val="21"/>
                <w:highlight w:val="white"/>
              </w:rPr>
              <w:t>1份</w:t>
            </w:r>
          </w:p>
        </w:tc>
      </w:tr>
      <w:tr>
        <w:tblPrEx>
          <w:tblW w:w="7933" w:type="dxa"/>
          <w:tblLayout w:type="fixed"/>
          <w:tblLook w:val="04A0"/>
        </w:tblPrEx>
        <w:trPr>
          <w:trHeight w:val="360"/>
        </w:trPr>
        <w:tc>
          <w:tcPr>
            <w:tcW w:w="2547" w:type="dxa"/>
            <w:vAlign w:val="center"/>
          </w:tcPr>
          <w:p w:rsidR="0097367D">
            <w:pPr>
              <w:snapToGrid w:val="0"/>
              <w:spacing w:line="360" w:lineRule="auto"/>
              <w:jc w:val="center"/>
              <w:rPr>
                <w:rFonts w:ascii="宋体" w:hAnsi="Calibri" w:cs="宋体"/>
                <w:bCs/>
                <w:szCs w:val="21"/>
              </w:rPr>
            </w:pPr>
            <w:r>
              <w:rPr>
                <w:rFonts w:ascii="宋体" w:hAnsi="Calibri" w:cs="宋体" w:hint="eastAsia"/>
                <w:bCs/>
                <w:szCs w:val="21"/>
                <w:highlight w:val="white"/>
              </w:rPr>
              <w:t>销售服务费</w:t>
            </w:r>
            <w:r>
              <w:rPr>
                <w:rFonts w:ascii="宋体" w:hAnsi="Calibri" w:cs="宋体"/>
                <w:bCs/>
                <w:szCs w:val="21"/>
                <w:highlight w:val="white"/>
              </w:rPr>
              <w:t>(年费率)</w:t>
            </w:r>
          </w:p>
        </w:tc>
        <w:tc>
          <w:tcPr>
            <w:tcW w:w="2835" w:type="dxa"/>
            <w:vAlign w:val="center"/>
          </w:tcPr>
          <w:p w:rsidR="0097367D">
            <w:pPr>
              <w:snapToGrid w:val="0"/>
              <w:spacing w:line="360" w:lineRule="auto"/>
              <w:jc w:val="center"/>
              <w:rPr>
                <w:rFonts w:ascii="宋体" w:hAnsi="Calibri" w:cs="宋体"/>
                <w:bCs/>
                <w:sz w:val="20"/>
                <w:szCs w:val="20"/>
              </w:rPr>
            </w:pPr>
            <w:r>
              <w:rPr>
                <w:rFonts w:ascii="宋体" w:hAnsi="Calibri" w:cs="宋体"/>
                <w:highlight w:val="white"/>
              </w:rPr>
              <w:t>不收取</w:t>
            </w:r>
          </w:p>
        </w:tc>
        <w:tc>
          <w:tcPr>
            <w:tcW w:w="2551" w:type="dxa"/>
            <w:vAlign w:val="center"/>
          </w:tcPr>
          <w:p w:rsidR="0097367D">
            <w:pPr>
              <w:snapToGrid w:val="0"/>
              <w:spacing w:line="360" w:lineRule="auto"/>
              <w:jc w:val="center"/>
              <w:rPr>
                <w:rFonts w:ascii="宋体" w:hAnsi="Calibri" w:cs="宋体"/>
                <w:bCs/>
                <w:sz w:val="20"/>
                <w:szCs w:val="20"/>
                <w:lang w:eastAsia="zh-CN"/>
              </w:rPr>
            </w:pPr>
            <w:r>
              <w:rPr>
                <w:rFonts w:ascii="宋体" w:hAnsi="Calibri" w:cs="宋体" w:hint="eastAsia"/>
                <w:iCs/>
                <w:lang w:eastAsia="zh-CN"/>
              </w:rPr>
              <w:t>0.20%</w:t>
            </w:r>
            <w:r>
              <w:rPr>
                <w:rFonts w:ascii="宋体" w:hAnsi="Calibri" w:cs="宋体" w:hint="eastAsia"/>
                <w:iCs/>
                <w:highlight w:val="white"/>
                <w:lang w:eastAsia="zh-CN"/>
              </w:rPr>
              <w:t>（按规定收取或返还）</w:t>
            </w:r>
          </w:p>
        </w:tc>
      </w:tr>
    </w:tbl>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注</w:t>
      </w:r>
      <w:r>
        <w:rPr>
          <w:rFonts w:ascii="宋体" w:hAnsi="Calibri" w:cs="宋体"/>
          <w:szCs w:val="21"/>
          <w:highlight w:val="white"/>
          <w:lang w:eastAsia="zh-CN"/>
        </w:rPr>
        <w:t>：本基金不同份额</w:t>
      </w:r>
      <w:r>
        <w:rPr>
          <w:rFonts w:ascii="宋体" w:hAnsi="Calibri" w:cs="宋体" w:hint="eastAsia"/>
          <w:szCs w:val="21"/>
          <w:highlight w:val="white"/>
          <w:lang w:eastAsia="zh-CN"/>
        </w:rPr>
        <w:t>类别的</w:t>
      </w:r>
      <w:r>
        <w:rPr>
          <w:rFonts w:ascii="宋体" w:hAnsi="Calibri" w:cs="宋体"/>
          <w:szCs w:val="21"/>
          <w:highlight w:val="white"/>
          <w:lang w:eastAsia="zh-CN"/>
        </w:rPr>
        <w:t>适用费率及销售渠道</w:t>
      </w:r>
      <w:r>
        <w:rPr>
          <w:rFonts w:ascii="宋体" w:hAnsi="Calibri" w:cs="宋体" w:hint="eastAsia"/>
          <w:szCs w:val="21"/>
          <w:highlight w:val="white"/>
          <w:lang w:eastAsia="zh-CN"/>
        </w:rPr>
        <w:t>等有</w:t>
      </w:r>
      <w:r>
        <w:rPr>
          <w:rFonts w:ascii="宋体" w:hAnsi="Calibri" w:cs="宋体"/>
          <w:szCs w:val="21"/>
          <w:highlight w:val="white"/>
          <w:lang w:eastAsia="zh-CN"/>
        </w:rPr>
        <w:t>所差</w:t>
      </w:r>
      <w:r>
        <w:rPr>
          <w:rFonts w:ascii="宋体" w:hAnsi="Calibri" w:cs="宋体" w:hint="eastAsia"/>
          <w:szCs w:val="21"/>
          <w:highlight w:val="white"/>
          <w:lang w:eastAsia="zh-CN"/>
        </w:rPr>
        <w:t>异</w:t>
      </w:r>
      <w:r>
        <w:rPr>
          <w:rFonts w:ascii="宋体" w:hAnsi="Calibri" w:cs="宋体"/>
          <w:szCs w:val="21"/>
          <w:highlight w:val="white"/>
          <w:lang w:eastAsia="zh-CN"/>
        </w:rPr>
        <w:t>，</w:t>
      </w:r>
      <w:r>
        <w:rPr>
          <w:rFonts w:ascii="宋体" w:hAnsi="Calibri" w:cs="宋体" w:hint="eastAsia"/>
          <w:szCs w:val="21"/>
          <w:highlight w:val="white"/>
          <w:lang w:eastAsia="zh-CN"/>
        </w:rPr>
        <w:t>并可能发生</w:t>
      </w:r>
      <w:r>
        <w:rPr>
          <w:rFonts w:ascii="宋体" w:hAnsi="Calibri" w:cs="宋体"/>
          <w:szCs w:val="21"/>
          <w:highlight w:val="white"/>
          <w:lang w:eastAsia="zh-CN"/>
        </w:rPr>
        <w:t>调整</w:t>
      </w:r>
      <w:r>
        <w:rPr>
          <w:rFonts w:ascii="宋体" w:hAnsi="Calibri" w:cs="宋体" w:hint="eastAsia"/>
          <w:szCs w:val="21"/>
          <w:highlight w:val="white"/>
          <w:lang w:eastAsia="zh-CN"/>
        </w:rPr>
        <w:t>，敬请</w:t>
      </w:r>
      <w:r>
        <w:rPr>
          <w:rFonts w:ascii="宋体" w:hAnsi="Calibri" w:cs="宋体"/>
          <w:szCs w:val="21"/>
          <w:highlight w:val="white"/>
          <w:lang w:eastAsia="zh-CN"/>
        </w:rPr>
        <w:t>投资者予以关注</w:t>
      </w:r>
      <w:r>
        <w:rPr>
          <w:rFonts w:ascii="宋体" w:hAnsi="Calibri" w:cs="宋体" w:hint="eastAsia"/>
          <w:szCs w:val="21"/>
          <w:highlight w:val="white"/>
          <w:lang w:eastAsia="zh-CN"/>
        </w:rPr>
        <w:t>。</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二</w:t>
      </w:r>
      <w:r>
        <w:rPr>
          <w:rFonts w:ascii="宋体" w:hAnsi="Calibri" w:cs="宋体"/>
          <w:szCs w:val="21"/>
          <w:highlight w:val="white"/>
          <w:lang w:eastAsia="zh-CN"/>
        </w:rPr>
        <w:t>、</w:t>
      </w:r>
      <w:r>
        <w:rPr>
          <w:rFonts w:ascii="宋体" w:hAnsi="Calibri"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97367D">
      <w:pPr>
        <w:pStyle w:val="Heading1"/>
        <w:pageBreakBefore/>
        <w:spacing w:before="317" w:after="317" w:line="360" w:lineRule="auto"/>
        <w:ind w:firstLine="640"/>
        <w:rPr>
          <w:rFonts w:ascii="宋体" w:eastAsia="宋体" w:hAnsi="Calibri" w:cs="宋体"/>
          <w:bCs/>
          <w:sz w:val="30"/>
          <w:szCs w:val="30"/>
        </w:rPr>
      </w:pPr>
      <w:bookmarkStart w:id="1786" w:name="_Toc129511529"/>
      <w:r>
        <w:rPr>
          <w:rFonts w:ascii="宋体" w:eastAsia="宋体" w:hAnsi="Calibri" w:cs="宋体" w:hint="eastAsia"/>
          <w:bCs/>
          <w:sz w:val="30"/>
          <w:szCs w:val="30"/>
          <w:highlight w:val="white"/>
        </w:rPr>
        <w:t>第七部分</w:t>
      </w:r>
      <w:r>
        <w:rPr>
          <w:rFonts w:ascii="宋体" w:eastAsia="宋体" w:hAnsi="Calibri" w:cs="宋体"/>
          <w:bCs/>
          <w:sz w:val="30"/>
          <w:szCs w:val="30"/>
          <w:highlight w:val="white"/>
        </w:rPr>
        <w:t xml:space="preserve"> </w:t>
      </w:r>
      <w:r>
        <w:rPr>
          <w:rFonts w:ascii="宋体" w:eastAsia="宋体" w:hAnsi="Calibri" w:cs="宋体" w:hint="eastAsia"/>
          <w:bCs/>
          <w:sz w:val="30"/>
          <w:szCs w:val="30"/>
          <w:highlight w:val="white"/>
        </w:rPr>
        <w:t>基金的募集安排</w:t>
      </w:r>
      <w:bookmarkEnd w:id="1785"/>
      <w:bookmarkEnd w:id="1786"/>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本基金由基金管理人依照《基金法》《运作办法》《销售办法》、基金合同的相关规定募集，并经中国证券监督管理委员会</w:t>
      </w:r>
      <w:r w:rsidR="00301325">
        <w:rPr>
          <w:rFonts w:ascii="宋体" w:hAnsi="Calibri" w:cs="宋体"/>
          <w:szCs w:val="21"/>
          <w:highlight w:val="white"/>
          <w:lang w:eastAsia="zh-CN"/>
        </w:rPr>
        <w:t>2026</w:t>
      </w:r>
      <w:r>
        <w:rPr>
          <w:rFonts w:ascii="宋体" w:hAnsi="Calibri" w:cs="宋体" w:hint="eastAsia"/>
          <w:szCs w:val="21"/>
          <w:highlight w:val="white"/>
          <w:lang w:eastAsia="zh-CN"/>
        </w:rPr>
        <w:t>年</w:t>
      </w:r>
      <w:r w:rsidR="00301325">
        <w:rPr>
          <w:rFonts w:ascii="宋体" w:hAnsi="Calibri" w:cs="宋体" w:hint="eastAsia"/>
          <w:szCs w:val="21"/>
          <w:highlight w:val="white"/>
          <w:lang w:eastAsia="zh-CN"/>
        </w:rPr>
        <w:t>4</w:t>
      </w:r>
      <w:r>
        <w:rPr>
          <w:rFonts w:ascii="宋体" w:hAnsi="Calibri" w:cs="宋体" w:hint="eastAsia"/>
          <w:szCs w:val="21"/>
          <w:highlight w:val="white"/>
          <w:lang w:eastAsia="zh-CN"/>
        </w:rPr>
        <w:t>月</w:t>
      </w:r>
      <w:r w:rsidR="00301325">
        <w:rPr>
          <w:rFonts w:ascii="宋体" w:hAnsi="Calibri" w:cs="宋体"/>
          <w:szCs w:val="21"/>
          <w:highlight w:val="white"/>
          <w:lang w:eastAsia="zh-CN"/>
        </w:rPr>
        <w:t>27</w:t>
      </w:r>
      <w:r>
        <w:rPr>
          <w:rFonts w:ascii="宋体" w:hAnsi="Calibri" w:cs="宋体" w:hint="eastAsia"/>
          <w:szCs w:val="21"/>
          <w:highlight w:val="white"/>
          <w:lang w:eastAsia="zh-CN"/>
        </w:rPr>
        <w:t>日</w:t>
      </w:r>
      <w:r>
        <w:rPr>
          <w:rStyle w:val="da"/>
          <w:rFonts w:ascii="宋体" w:hAnsi="Calibri" w:cs="宋体" w:hint="eastAsia"/>
          <w:highlight w:val="white"/>
          <w:lang w:eastAsia="zh-CN"/>
        </w:rPr>
        <w:t>《关于准予</w:t>
      </w:r>
      <w:r>
        <w:rPr>
          <w:rStyle w:val="da"/>
          <w:rFonts w:ascii="宋体" w:hAnsi="Calibri" w:cs="宋体"/>
          <w:lang w:eastAsia="zh-CN"/>
        </w:rPr>
        <w:t>易方达中证电池主题交易型开放式指数证券投资基金发起式联接基金</w:t>
      </w:r>
      <w:r>
        <w:rPr>
          <w:rStyle w:val="da"/>
          <w:rFonts w:ascii="宋体" w:hAnsi="Calibri" w:cs="宋体"/>
          <w:highlight w:val="white"/>
          <w:lang w:eastAsia="zh-CN"/>
        </w:rPr>
        <w:t>注册的批复》（证监许可[</w:t>
      </w:r>
      <w:r w:rsidR="00301325">
        <w:rPr>
          <w:rStyle w:val="da"/>
          <w:rFonts w:ascii="宋体" w:hAnsi="Calibri" w:cs="宋体"/>
          <w:highlight w:val="white"/>
          <w:lang w:eastAsia="zh-CN"/>
        </w:rPr>
        <w:t>2026</w:t>
      </w:r>
      <w:r>
        <w:rPr>
          <w:rStyle w:val="da"/>
          <w:rFonts w:ascii="宋体" w:hAnsi="Calibri" w:cs="宋体" w:hint="eastAsia"/>
          <w:highlight w:val="white"/>
          <w:lang w:eastAsia="zh-CN"/>
        </w:rPr>
        <w:t>]</w:t>
      </w:r>
      <w:r w:rsidR="00301325">
        <w:rPr>
          <w:rStyle w:val="da"/>
          <w:rFonts w:ascii="宋体" w:hAnsi="Calibri" w:cs="宋体"/>
          <w:highlight w:val="white"/>
          <w:lang w:eastAsia="zh-CN"/>
        </w:rPr>
        <w:t>936</w:t>
      </w:r>
      <w:r>
        <w:rPr>
          <w:rStyle w:val="da"/>
          <w:rFonts w:ascii="宋体" w:hAnsi="Calibri" w:cs="宋体" w:hint="eastAsia"/>
          <w:highlight w:val="white"/>
          <w:lang w:eastAsia="zh-CN"/>
        </w:rPr>
        <w:t>号）注册。</w:t>
      </w:r>
    </w:p>
    <w:p w:rsidR="0097367D">
      <w:pPr>
        <w:spacing w:line="360" w:lineRule="auto"/>
        <w:ind w:firstLine="420"/>
        <w:rPr>
          <w:rStyle w:val="da"/>
          <w:rFonts w:ascii="宋体" w:hAnsi="Calibri" w:cs="宋体"/>
          <w:lang w:eastAsia="zh-CN"/>
        </w:rPr>
      </w:pPr>
      <w:bookmarkStart w:id="1787" w:name="_Toc332373487"/>
      <w:bookmarkStart w:id="1788" w:name="_Toc332373490"/>
      <w:r>
        <w:rPr>
          <w:rStyle w:val="da"/>
          <w:rFonts w:ascii="宋体" w:hAnsi="Calibri" w:cs="宋体" w:hint="eastAsia"/>
          <w:highlight w:val="white"/>
          <w:lang w:eastAsia="zh-CN"/>
        </w:rPr>
        <w:t>一、基金的类别</w:t>
      </w:r>
      <w:bookmarkEnd w:id="1787"/>
    </w:p>
    <w:p w:rsidR="0097367D">
      <w:pPr>
        <w:spacing w:line="360" w:lineRule="auto"/>
        <w:ind w:firstLine="420"/>
        <w:rPr>
          <w:rStyle w:val="da"/>
          <w:rFonts w:ascii="宋体" w:hAnsi="Calibri" w:cs="宋体"/>
          <w:lang w:eastAsia="zh-CN"/>
        </w:rPr>
      </w:pPr>
      <w:r>
        <w:rPr>
          <w:rStyle w:val="da"/>
          <w:rFonts w:ascii="宋体" w:hAnsi="Calibri" w:cs="宋体"/>
          <w:lang w:eastAsia="zh-CN"/>
        </w:rPr>
        <w:t>指数基金、联接基金</w:t>
      </w:r>
    </w:p>
    <w:p w:rsidR="0097367D">
      <w:pPr>
        <w:spacing w:line="360" w:lineRule="auto"/>
        <w:ind w:firstLine="420"/>
        <w:rPr>
          <w:rStyle w:val="da"/>
          <w:rFonts w:ascii="宋体" w:hAnsi="Calibri" w:cs="宋体"/>
          <w:lang w:eastAsia="zh-CN"/>
        </w:rPr>
      </w:pPr>
      <w:bookmarkStart w:id="1789" w:name="_Toc332373488"/>
      <w:r>
        <w:rPr>
          <w:rStyle w:val="da"/>
          <w:rFonts w:ascii="宋体" w:hAnsi="Calibri" w:cs="宋体" w:hint="eastAsia"/>
          <w:highlight w:val="white"/>
          <w:lang w:eastAsia="zh-CN"/>
        </w:rPr>
        <w:t>二、基金的运作方式</w:t>
      </w:r>
      <w:bookmarkEnd w:id="1789"/>
    </w:p>
    <w:p w:rsidR="0097367D">
      <w:pPr>
        <w:spacing w:line="360" w:lineRule="auto"/>
        <w:ind w:firstLine="420"/>
        <w:rPr>
          <w:rStyle w:val="da"/>
          <w:rFonts w:ascii="宋体" w:hAnsi="Calibri" w:cs="宋体"/>
          <w:lang w:eastAsia="zh-CN"/>
        </w:rPr>
      </w:pPr>
      <w:r>
        <w:rPr>
          <w:rStyle w:val="da"/>
          <w:rFonts w:ascii="宋体" w:hAnsi="Calibri" w:cs="宋体"/>
          <w:lang w:eastAsia="zh-CN"/>
        </w:rPr>
        <w:t>契约型开放式</w:t>
      </w:r>
    </w:p>
    <w:p w:rsidR="0097367D">
      <w:pPr>
        <w:spacing w:line="360" w:lineRule="auto"/>
        <w:ind w:firstLine="420"/>
        <w:rPr>
          <w:rStyle w:val="da"/>
          <w:rFonts w:ascii="宋体" w:hAnsi="Calibri" w:cs="宋体"/>
          <w:lang w:eastAsia="zh-CN"/>
        </w:rPr>
      </w:pPr>
      <w:bookmarkStart w:id="1790" w:name="_Toc332373489"/>
      <w:r>
        <w:rPr>
          <w:rStyle w:val="da"/>
          <w:rFonts w:ascii="宋体" w:hAnsi="Calibri" w:cs="宋体" w:hint="eastAsia"/>
          <w:highlight w:val="white"/>
          <w:lang w:eastAsia="zh-CN"/>
        </w:rPr>
        <w:t>三、基金存续期</w:t>
      </w:r>
      <w:bookmarkEnd w:id="1790"/>
    </w:p>
    <w:p w:rsidR="0097367D">
      <w:pPr>
        <w:spacing w:line="360" w:lineRule="auto"/>
        <w:ind w:firstLine="420"/>
        <w:rPr>
          <w:rStyle w:val="da"/>
          <w:rFonts w:ascii="宋体" w:hAnsi="Calibri" w:cs="宋体"/>
          <w:lang w:eastAsia="zh-CN"/>
        </w:rPr>
      </w:pPr>
      <w:r>
        <w:rPr>
          <w:rStyle w:val="da"/>
          <w:rFonts w:ascii="宋体" w:hAnsi="Calibri" w:cs="宋体" w:hint="eastAsia"/>
          <w:lang w:eastAsia="zh-CN"/>
        </w:rPr>
        <w:t>不定期</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四、募集期限</w:t>
      </w:r>
      <w:bookmarkEnd w:id="1788"/>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自</w:t>
      </w:r>
      <w:r>
        <w:rPr>
          <w:rStyle w:val="da"/>
          <w:rFonts w:ascii="宋体" w:hAnsi="Calibri" w:cs="宋体"/>
          <w:highlight w:val="white"/>
          <w:lang w:eastAsia="zh-CN"/>
        </w:rPr>
        <w:t>基金份额发售</w:t>
      </w:r>
      <w:r>
        <w:rPr>
          <w:rStyle w:val="da"/>
          <w:rFonts w:ascii="宋体" w:hAnsi="Calibri" w:cs="宋体" w:hint="eastAsia"/>
          <w:highlight w:val="white"/>
          <w:lang w:eastAsia="zh-CN"/>
        </w:rPr>
        <w:t>之日起最长不得超过3个月，具体发售时间</w:t>
      </w:r>
      <w:r>
        <w:rPr>
          <w:rStyle w:val="da"/>
          <w:rFonts w:ascii="宋体" w:hAnsi="Calibri" w:cs="宋体" w:hint="eastAsia"/>
          <w:highlight w:val="white"/>
          <w:lang w:eastAsia="zh-CN"/>
        </w:rPr>
        <w:t>见基金</w:t>
      </w:r>
      <w:r>
        <w:rPr>
          <w:rStyle w:val="da"/>
          <w:rFonts w:ascii="宋体" w:hAnsi="Calibri" w:cs="宋体" w:hint="eastAsia"/>
          <w:highlight w:val="white"/>
          <w:lang w:eastAsia="zh-CN"/>
        </w:rPr>
        <w:t>份额发售公告。</w:t>
      </w:r>
    </w:p>
    <w:p w:rsidR="0097367D">
      <w:pPr>
        <w:spacing w:line="360" w:lineRule="auto"/>
        <w:ind w:firstLine="420"/>
        <w:rPr>
          <w:rStyle w:val="da"/>
          <w:rFonts w:ascii="宋体" w:hAnsi="Calibri" w:cs="宋体"/>
          <w:lang w:eastAsia="zh-CN"/>
        </w:rPr>
      </w:pPr>
      <w:bookmarkStart w:id="1791" w:name="_Toc332373491"/>
      <w:r>
        <w:rPr>
          <w:rStyle w:val="da"/>
          <w:rFonts w:ascii="宋体" w:hAnsi="Calibri" w:cs="宋体" w:hint="eastAsia"/>
          <w:highlight w:val="white"/>
          <w:lang w:eastAsia="zh-CN"/>
        </w:rPr>
        <w:t>五、募集对象</w:t>
      </w:r>
      <w:bookmarkEnd w:id="1791"/>
    </w:p>
    <w:p w:rsidR="0097367D">
      <w:pPr>
        <w:spacing w:line="360" w:lineRule="auto"/>
        <w:ind w:firstLine="420"/>
        <w:rPr>
          <w:rFonts w:ascii="宋体" w:hAnsi="Calibri" w:cs="宋体"/>
          <w:bCs/>
          <w:lang w:eastAsia="zh-CN"/>
        </w:rPr>
      </w:pPr>
      <w:r>
        <w:rPr>
          <w:rFonts w:ascii="宋体" w:hAnsi="Calibri"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97367D">
      <w:pPr>
        <w:spacing w:line="360" w:lineRule="auto"/>
        <w:ind w:firstLine="420"/>
        <w:rPr>
          <w:rStyle w:val="da"/>
          <w:rFonts w:ascii="宋体" w:hAnsi="Calibri" w:cs="宋体"/>
          <w:lang w:eastAsia="zh-CN"/>
        </w:rPr>
      </w:pPr>
      <w:bookmarkStart w:id="1792" w:name="_Toc332373492"/>
      <w:r>
        <w:rPr>
          <w:rStyle w:val="da"/>
          <w:rFonts w:ascii="宋体" w:hAnsi="Calibri" w:cs="宋体" w:hint="eastAsia"/>
          <w:highlight w:val="white"/>
          <w:lang w:eastAsia="zh-CN"/>
        </w:rPr>
        <w:t>六、募集方式及场所</w:t>
      </w:r>
      <w:bookmarkEnd w:id="1792"/>
    </w:p>
    <w:p w:rsidR="0097367D">
      <w:pPr>
        <w:spacing w:line="360" w:lineRule="auto"/>
        <w:ind w:firstLine="422"/>
        <w:rPr>
          <w:rStyle w:val="da"/>
          <w:rFonts w:ascii="宋体" w:hAnsi="Calibri" w:cs="宋体"/>
          <w:lang w:eastAsia="zh-CN"/>
        </w:rPr>
      </w:pPr>
      <w:r>
        <w:rPr>
          <w:rStyle w:val="da"/>
          <w:rFonts w:ascii="宋体" w:hAnsi="Calibri" w:cs="宋体" w:hint="eastAsia"/>
          <w:highlight w:val="white"/>
          <w:lang w:eastAsia="zh-CN"/>
        </w:rPr>
        <w:t>本基金通过各销售机构的基金销售网</w:t>
      </w:r>
      <w:r>
        <w:rPr>
          <w:rStyle w:val="da"/>
          <w:rFonts w:ascii="宋体" w:hAnsi="Calibri" w:cs="宋体" w:hint="eastAsia"/>
          <w:highlight w:val="white"/>
          <w:lang w:eastAsia="zh-CN"/>
        </w:rPr>
        <w:t>点公开</w:t>
      </w:r>
      <w:r>
        <w:rPr>
          <w:rStyle w:val="da"/>
          <w:rFonts w:ascii="宋体" w:hAnsi="Calibri" w:cs="宋体" w:hint="eastAsia"/>
          <w:highlight w:val="white"/>
          <w:lang w:eastAsia="zh-CN"/>
        </w:rPr>
        <w:t>发售，销售机构具体名单及联系方式</w:t>
      </w:r>
      <w:r>
        <w:rPr>
          <w:rStyle w:val="da"/>
          <w:rFonts w:ascii="宋体" w:hAnsi="Calibri" w:cs="宋体" w:hint="eastAsia"/>
          <w:highlight w:val="white"/>
          <w:lang w:eastAsia="zh-CN"/>
        </w:rPr>
        <w:t>见基金</w:t>
      </w:r>
      <w:r>
        <w:rPr>
          <w:rStyle w:val="da"/>
          <w:rFonts w:ascii="宋体" w:hAnsi="Calibri" w:cs="宋体" w:hint="eastAsia"/>
          <w:highlight w:val="white"/>
          <w:lang w:eastAsia="zh-CN"/>
        </w:rPr>
        <w:t>份额发售公告，基金管理人可根据情况变更或增减销售机构并在基金管理人网站公示。</w:t>
      </w:r>
    </w:p>
    <w:p w:rsidR="0097367D">
      <w:pPr>
        <w:spacing w:line="360" w:lineRule="auto"/>
        <w:ind w:firstLine="422"/>
        <w:rPr>
          <w:rStyle w:val="da"/>
          <w:rFonts w:ascii="宋体" w:hAnsi="Calibri" w:cs="宋体"/>
          <w:lang w:eastAsia="zh-CN"/>
        </w:rPr>
      </w:pPr>
      <w:r>
        <w:rPr>
          <w:rStyle w:val="da"/>
          <w:rFonts w:ascii="宋体" w:hAnsi="Calibri" w:cs="宋体" w:hint="eastAsia"/>
          <w:highlight w:val="white"/>
          <w:lang w:eastAsia="zh-CN"/>
        </w:rPr>
        <w:t>本基金具体发售方案以基金份额发售公告为准，请投资人就募集和认购的具体事宜仔细阅读基金份额发售公告</w:t>
      </w:r>
      <w:r>
        <w:rPr>
          <w:rStyle w:val="da"/>
          <w:rFonts w:ascii="宋体" w:hAnsi="Calibri" w:cs="宋体"/>
          <w:highlight w:val="white"/>
          <w:lang w:eastAsia="zh-CN"/>
        </w:rPr>
        <w:t>。</w:t>
      </w:r>
    </w:p>
    <w:p w:rsidR="0097367D">
      <w:pPr>
        <w:spacing w:line="360" w:lineRule="auto"/>
        <w:ind w:firstLine="420"/>
        <w:rPr>
          <w:rStyle w:val="da"/>
          <w:rFonts w:ascii="宋体" w:hAnsi="Calibri" w:cs="宋体"/>
          <w:lang w:eastAsia="zh-CN"/>
        </w:rPr>
      </w:pPr>
      <w:bookmarkStart w:id="1793" w:name="_Toc332373493"/>
      <w:r>
        <w:rPr>
          <w:rStyle w:val="da"/>
          <w:rFonts w:ascii="宋体" w:hAnsi="Calibri" w:cs="宋体" w:hint="eastAsia"/>
          <w:highlight w:val="white"/>
          <w:lang w:eastAsia="zh-CN"/>
        </w:rPr>
        <w:t>七、认购安排</w:t>
      </w:r>
      <w:bookmarkEnd w:id="1793"/>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1、认购时间</w:t>
      </w:r>
    </w:p>
    <w:p w:rsidR="0097367D">
      <w:pPr>
        <w:spacing w:line="360" w:lineRule="auto"/>
        <w:ind w:firstLine="420"/>
        <w:rPr>
          <w:rStyle w:val="da"/>
          <w:rFonts w:ascii="宋体" w:hAnsi="Calibri" w:cs="宋体"/>
          <w:lang w:eastAsia="zh-CN"/>
        </w:rPr>
      </w:pPr>
      <w:r>
        <w:rPr>
          <w:rFonts w:ascii="宋体" w:hAnsi="Calibri" w:cs="宋体" w:hint="eastAsia"/>
          <w:szCs w:val="21"/>
          <w:highlight w:val="white"/>
          <w:lang w:eastAsia="zh-CN"/>
        </w:rPr>
        <w:t>认购的具体业务办理时间由基金管理人依据相关法律法规、基金合同确定并公告。</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2、募集规模上限</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3、认购数量限制 </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（1）本基金采用金额认购方式。 </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（2）投资人认购基金份额采用全额缴款的认购方式。投资人认购时，需按销售机构规定的方式全额缴款。</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（3）投资人在募集期内可以多次认购基金份额，</w:t>
      </w:r>
      <w:r>
        <w:rPr>
          <w:rFonts w:ascii="宋体" w:hAnsi="Calibri" w:cs="宋体"/>
          <w:color w:val="000000"/>
          <w:highlight w:val="white"/>
          <w:lang w:eastAsia="zh-CN"/>
        </w:rPr>
        <w:t>登记机构一旦确认认购份额，将不再办理撤销</w:t>
      </w:r>
      <w:r>
        <w:rPr>
          <w:rStyle w:val="da"/>
          <w:rFonts w:ascii="宋体" w:hAnsi="Calibri" w:cs="宋体"/>
          <w:highlight w:val="white"/>
          <w:lang w:eastAsia="zh-CN"/>
        </w:rPr>
        <w:t>。</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（4）在基金募集期内，除基金份额发售公告另有规定，投资人通过非直销销售机构或本公司</w:t>
      </w:r>
      <w:r>
        <w:rPr>
          <w:rFonts w:ascii="宋体" w:hAnsi="Calibri" w:cs="宋体" w:hint="eastAsia"/>
          <w:szCs w:val="21"/>
          <w:highlight w:val="white"/>
          <w:lang w:eastAsia="zh-CN"/>
        </w:rPr>
        <w:t>网上直销系统</w:t>
      </w:r>
      <w:r>
        <w:rPr>
          <w:rStyle w:val="da"/>
          <w:rFonts w:ascii="宋体" w:hAnsi="Calibri" w:cs="宋体" w:hint="eastAsia"/>
          <w:highlight w:val="white"/>
          <w:lang w:eastAsia="zh-CN"/>
        </w:rPr>
        <w:t>首次认购的单笔最低限额为人民币1元，追加认购单笔最低限额为人民币1元；投资人通过本公司直销中心首次认购的单笔最低限额为人民币50,000元，追加认购单笔最低限额是人民币1,000元。在符合法律法规规定的前提下，各销售机构对最低认购限额及交易级差有其他规定的，需要同时遵循该销售机构的相关规定。（以上金额均含认购费）。</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4、募集期利息的处理方式 </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有效认购款项在募集期间产生的利息将折算为基金份额</w:t>
      </w:r>
      <w:r>
        <w:rPr>
          <w:rStyle w:val="da"/>
          <w:rFonts w:ascii="宋体" w:hAnsi="Calibri" w:cs="宋体" w:hint="eastAsia"/>
          <w:highlight w:val="white"/>
          <w:lang w:eastAsia="zh-CN"/>
        </w:rPr>
        <w:t>归基金</w:t>
      </w:r>
      <w:r>
        <w:rPr>
          <w:rStyle w:val="da"/>
          <w:rFonts w:ascii="宋体" w:hAnsi="Calibri" w:cs="宋体" w:hint="eastAsia"/>
          <w:highlight w:val="white"/>
          <w:lang w:eastAsia="zh-CN"/>
        </w:rPr>
        <w:t>份额持有人所有，其中利息转份额的数额以登记机构的记录为准。</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5、基金份额的认购费用及认购份额的计算公式</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 xml:space="preserve">（1）认购费率 </w:t>
      </w:r>
    </w:p>
    <w:p w:rsidR="0097367D">
      <w:pPr>
        <w:spacing w:line="360" w:lineRule="auto"/>
        <w:ind w:firstLine="420"/>
        <w:rPr>
          <w:rFonts w:ascii="宋体" w:hAnsi="Calibri" w:cs="宋体"/>
          <w:lang w:eastAsia="zh-CN"/>
        </w:rPr>
      </w:pPr>
      <w:r>
        <w:rPr>
          <w:rStyle w:val="da"/>
          <w:rFonts w:ascii="宋体" w:hAnsi="Calibri" w:cs="宋体" w:hint="eastAsia"/>
          <w:highlight w:val="white"/>
          <w:lang w:eastAsia="zh-CN"/>
        </w:rPr>
        <w:t>本基金</w:t>
      </w:r>
      <w:r>
        <w:rPr>
          <w:rStyle w:val="da"/>
          <w:rFonts w:ascii="宋体" w:hAnsi="Calibri" w:cs="宋体"/>
          <w:highlight w:val="white"/>
          <w:lang w:eastAsia="zh-CN"/>
        </w:rPr>
        <w:t>A</w:t>
      </w:r>
      <w:r>
        <w:rPr>
          <w:rStyle w:val="da"/>
          <w:rFonts w:ascii="宋体" w:hAnsi="Calibri" w:cs="宋体" w:hint="eastAsia"/>
          <w:highlight w:val="white"/>
          <w:lang w:eastAsia="zh-CN"/>
        </w:rPr>
        <w:t>类基金份额在认购时</w:t>
      </w:r>
      <w:r>
        <w:rPr>
          <w:rStyle w:val="da"/>
          <w:rFonts w:ascii="宋体" w:hAnsi="宋体" w:cs="宋体" w:hint="eastAsia"/>
          <w:highlight w:val="white"/>
          <w:lang w:eastAsia="zh-CN"/>
        </w:rPr>
        <w:t>按规定</w:t>
      </w:r>
      <w:r>
        <w:rPr>
          <w:rStyle w:val="da"/>
          <w:rFonts w:ascii="宋体" w:hAnsi="Calibri" w:cs="宋体" w:hint="eastAsia"/>
          <w:highlight w:val="white"/>
          <w:lang w:eastAsia="zh-CN"/>
        </w:rPr>
        <w:t>收取基金认购费用</w:t>
      </w:r>
      <w:r>
        <w:rPr>
          <w:rFonts w:ascii="宋体" w:hAnsi="Calibri" w:cs="宋体"/>
          <w:color w:val="000000"/>
          <w:highlight w:val="white"/>
          <w:lang w:eastAsia="zh-CN"/>
        </w:rPr>
        <w:t>。本基金C类基金份额不收取认购费用，在投资者持有期间</w:t>
      </w:r>
      <w:r>
        <w:rPr>
          <w:rFonts w:ascii="宋体" w:hAnsi="宋体" w:cs="宋体"/>
          <w:color w:val="000000"/>
          <w:highlight w:val="white"/>
          <w:lang w:eastAsia="zh-CN"/>
        </w:rPr>
        <w:t>计提销售服务费</w:t>
      </w:r>
      <w:r>
        <w:rPr>
          <w:rFonts w:ascii="宋体" w:hAnsi="宋体" w:cs="宋体" w:hint="eastAsia"/>
          <w:color w:val="000000"/>
          <w:highlight w:val="white"/>
          <w:lang w:eastAsia="zh-CN"/>
        </w:rPr>
        <w:t>并按规定收取或返还</w:t>
      </w:r>
      <w:r>
        <w:rPr>
          <w:rStyle w:val="da"/>
          <w:rFonts w:ascii="宋体" w:hAnsi="Calibri" w:cs="宋体" w:hint="eastAsia"/>
          <w:highlight w:val="white"/>
          <w:lang w:eastAsia="zh-CN"/>
        </w:rPr>
        <w:t>。</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26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539" w:type="dxa"/>
            <w:tcBorders>
              <w:top w:val="single" w:sz="4" w:space="0" w:color="auto"/>
              <w:left w:val="single" w:sz="4" w:space="0" w:color="auto"/>
              <w:bottom w:val="single" w:sz="4" w:space="0" w:color="auto"/>
              <w:right w:val="single" w:sz="4" w:space="0" w:color="auto"/>
            </w:tcBorders>
          </w:tcPr>
          <w:p w:rsidR="0097367D">
            <w:pPr>
              <w:spacing w:line="360" w:lineRule="auto"/>
              <w:jc w:val="center"/>
              <w:rPr>
                <w:rFonts w:ascii="宋体" w:hAnsi="Calibri" w:cs="宋体"/>
                <w:lang w:eastAsia="zh-CN"/>
              </w:rPr>
            </w:pPr>
            <w:r>
              <w:rPr>
                <w:rFonts w:ascii="宋体" w:hAnsi="Calibri" w:cs="宋体"/>
                <w:highlight w:val="white"/>
                <w:lang w:eastAsia="zh-CN"/>
              </w:rPr>
              <w:t>认购</w:t>
            </w:r>
            <w:r>
              <w:rPr>
                <w:rFonts w:ascii="宋体" w:hAnsi="Calibri" w:cs="宋体" w:hint="eastAsia"/>
                <w:highlight w:val="white"/>
                <w:lang w:eastAsia="zh-CN"/>
              </w:rPr>
              <w:t>申请</w:t>
            </w:r>
            <w:r>
              <w:rPr>
                <w:rFonts w:ascii="宋体" w:hAnsi="Calibri" w:cs="宋体"/>
                <w:highlight w:val="white"/>
                <w:lang w:eastAsia="zh-CN"/>
              </w:rPr>
              <w:t>金额M（元）（含认购费）</w:t>
            </w:r>
          </w:p>
        </w:tc>
        <w:tc>
          <w:tcPr>
            <w:tcW w:w="2669" w:type="dxa"/>
            <w:tcBorders>
              <w:top w:val="single" w:sz="4" w:space="0" w:color="auto"/>
              <w:left w:val="single" w:sz="4" w:space="0" w:color="auto"/>
              <w:bottom w:val="single" w:sz="4" w:space="0" w:color="auto"/>
              <w:right w:val="single" w:sz="4" w:space="0" w:color="auto"/>
            </w:tcBorders>
          </w:tcPr>
          <w:p w:rsidR="0097367D">
            <w:pPr>
              <w:spacing w:line="360" w:lineRule="auto"/>
              <w:jc w:val="center"/>
              <w:rPr>
                <w:rFonts w:ascii="宋体" w:hAnsi="Calibri" w:cs="宋体"/>
                <w:lang w:eastAsia="zh-CN"/>
              </w:rPr>
            </w:pPr>
            <w:r>
              <w:rPr>
                <w:rStyle w:val="da"/>
                <w:rFonts w:ascii="宋体" w:hAnsi="Calibri" w:cs="宋体"/>
                <w:highlight w:val="white"/>
                <w:lang w:eastAsia="zh-CN"/>
              </w:rPr>
              <w:t>A类基金份额</w:t>
            </w:r>
            <w:r>
              <w:rPr>
                <w:rFonts w:ascii="宋体" w:hAnsi="Calibri" w:cs="宋体"/>
                <w:highlight w:val="white"/>
                <w:lang w:eastAsia="zh-CN"/>
              </w:rPr>
              <w:t>认购费率</w:t>
            </w:r>
          </w:p>
        </w:tc>
      </w:tr>
      <w:tr>
        <w:tblPrEx>
          <w:tblW w:w="6208" w:type="dxa"/>
          <w:jc w:val="center"/>
          <w:tblLayout w:type="fixed"/>
          <w:tblLook w:val="04A0"/>
        </w:tblPrEx>
        <w:trPr>
          <w:trHeight w:val="360"/>
          <w:jc w:val="center"/>
        </w:trPr>
        <w:tc>
          <w:tcPr>
            <w:tcW w:w="3539" w:type="dxa"/>
          </w:tcPr>
          <w:p w:rsidR="0097367D">
            <w:pPr>
              <w:spacing w:line="360" w:lineRule="auto"/>
              <w:jc w:val="center"/>
              <w:rPr>
                <w:rFonts w:ascii="宋体" w:hAnsi="Calibri" w:cs="宋体"/>
              </w:rPr>
            </w:pPr>
            <w:r>
              <w:rPr>
                <w:rFonts w:ascii="宋体" w:hAnsi="Calibri" w:cs="宋体" w:hint="eastAsia"/>
                <w:bCs/>
                <w:iCs/>
              </w:rPr>
              <w:t>M＜100万</w:t>
            </w:r>
          </w:p>
        </w:tc>
        <w:tc>
          <w:tcPr>
            <w:tcW w:w="2669" w:type="dxa"/>
          </w:tcPr>
          <w:p w:rsidR="0097367D">
            <w:pPr>
              <w:spacing w:line="360" w:lineRule="auto"/>
              <w:jc w:val="center"/>
              <w:rPr>
                <w:rFonts w:ascii="宋体" w:hAnsi="Calibri" w:cs="宋体"/>
              </w:rPr>
            </w:pPr>
            <w:r>
              <w:rPr>
                <w:rFonts w:ascii="宋体" w:hAnsi="Calibri" w:cs="宋体" w:hint="eastAsia"/>
                <w:bCs/>
                <w:iCs/>
              </w:rPr>
              <w:t>0.30%</w:t>
            </w:r>
          </w:p>
        </w:tc>
      </w:tr>
      <w:tr>
        <w:tblPrEx>
          <w:tblW w:w="6208" w:type="dxa"/>
          <w:jc w:val="center"/>
          <w:tblLayout w:type="fixed"/>
          <w:tblLook w:val="04A0"/>
        </w:tblPrEx>
        <w:trPr>
          <w:trHeight w:val="360"/>
          <w:jc w:val="center"/>
        </w:trPr>
        <w:tc>
          <w:tcPr>
            <w:tcW w:w="3539" w:type="dxa"/>
          </w:tcPr>
          <w:p w:rsidR="0097367D">
            <w:pPr>
              <w:spacing w:line="360" w:lineRule="auto"/>
              <w:jc w:val="center"/>
              <w:rPr>
                <w:rFonts w:ascii="宋体" w:hAnsi="Calibri" w:cs="宋体"/>
              </w:rPr>
            </w:pPr>
            <w:r>
              <w:rPr>
                <w:rFonts w:ascii="宋体" w:hAnsi="Calibri" w:cs="宋体" w:hint="eastAsia"/>
                <w:bCs/>
                <w:iCs/>
              </w:rPr>
              <w:t>100万≤M＜500万</w:t>
            </w:r>
          </w:p>
        </w:tc>
        <w:tc>
          <w:tcPr>
            <w:tcW w:w="2669" w:type="dxa"/>
          </w:tcPr>
          <w:p w:rsidR="0097367D">
            <w:pPr>
              <w:spacing w:line="360" w:lineRule="auto"/>
              <w:jc w:val="center"/>
              <w:rPr>
                <w:rFonts w:ascii="宋体" w:hAnsi="Calibri" w:cs="宋体"/>
              </w:rPr>
            </w:pPr>
            <w:r>
              <w:rPr>
                <w:rFonts w:ascii="宋体" w:hAnsi="Calibri" w:cs="宋体" w:hint="eastAsia"/>
                <w:bCs/>
                <w:iCs/>
              </w:rPr>
              <w:t>0.20%</w:t>
            </w:r>
          </w:p>
        </w:tc>
      </w:tr>
      <w:tr>
        <w:tblPrEx>
          <w:tblW w:w="6208" w:type="dxa"/>
          <w:jc w:val="center"/>
          <w:tblLayout w:type="fixed"/>
          <w:tblLook w:val="04A0"/>
        </w:tblPrEx>
        <w:trPr>
          <w:trHeight w:val="360"/>
          <w:jc w:val="center"/>
        </w:trPr>
        <w:tc>
          <w:tcPr>
            <w:tcW w:w="3539" w:type="dxa"/>
          </w:tcPr>
          <w:p w:rsidR="0097367D">
            <w:pPr>
              <w:spacing w:line="360" w:lineRule="auto"/>
              <w:jc w:val="center"/>
              <w:rPr>
                <w:rFonts w:ascii="宋体" w:hAnsi="Calibri" w:cs="宋体"/>
              </w:rPr>
            </w:pPr>
            <w:r>
              <w:rPr>
                <w:rFonts w:ascii="宋体" w:hAnsi="Calibri" w:cs="宋体" w:hint="eastAsia"/>
                <w:bCs/>
                <w:iCs/>
              </w:rPr>
              <w:t>M≥500万</w:t>
            </w:r>
          </w:p>
        </w:tc>
        <w:tc>
          <w:tcPr>
            <w:tcW w:w="2669" w:type="dxa"/>
          </w:tcPr>
          <w:p w:rsidR="0097367D">
            <w:pPr>
              <w:spacing w:line="360" w:lineRule="auto"/>
              <w:jc w:val="center"/>
              <w:rPr>
                <w:rFonts w:ascii="宋体" w:hAnsi="Calibri" w:cs="宋体"/>
              </w:rPr>
            </w:pPr>
            <w:r>
              <w:rPr>
                <w:rFonts w:ascii="宋体" w:hAnsi="Calibri" w:cs="宋体" w:hint="eastAsia"/>
                <w:bCs/>
                <w:iCs/>
              </w:rPr>
              <w:t>1000元/笔</w:t>
            </w:r>
          </w:p>
        </w:tc>
      </w:tr>
    </w:tbl>
    <w:p w:rsidR="0097367D">
      <w:pPr>
        <w:spacing w:line="360" w:lineRule="auto"/>
        <w:ind w:firstLine="420" w:firstLineChars="200"/>
        <w:rPr>
          <w:lang w:eastAsia="zh-CN"/>
        </w:rPr>
      </w:pPr>
      <w:r>
        <w:rPr>
          <w:rStyle w:val="da"/>
          <w:rFonts w:ascii="宋体" w:hAnsi="Calibri" w:cs="宋体"/>
          <w:highlight w:val="white"/>
          <w:lang w:eastAsia="zh-CN"/>
        </w:rPr>
        <w:t>1</w:t>
      </w:r>
      <w:r>
        <w:rPr>
          <w:rStyle w:val="da"/>
          <w:rFonts w:ascii="宋体" w:hAnsi="Calibri" w:cs="宋体" w:hint="eastAsia"/>
          <w:highlight w:val="white"/>
          <w:lang w:eastAsia="zh-CN"/>
        </w:rPr>
        <w:t>）</w:t>
      </w:r>
      <w:r>
        <w:rPr>
          <w:highlight w:val="white"/>
          <w:lang w:eastAsia="zh-CN"/>
        </w:rPr>
        <w:t>投资者通过</w:t>
      </w:r>
      <w:r>
        <w:rPr>
          <w:rFonts w:hint="eastAsia"/>
          <w:highlight w:val="white"/>
          <w:lang w:eastAsia="zh-CN"/>
        </w:rPr>
        <w:t>基金</w:t>
      </w:r>
      <w:r>
        <w:rPr>
          <w:highlight w:val="white"/>
          <w:lang w:eastAsia="zh-CN"/>
        </w:rPr>
        <w:t>管理人或其基金销售子公司认</w:t>
      </w:r>
      <w:r>
        <w:rPr>
          <w:rFonts w:ascii="宋体" w:hAnsi="宋体"/>
          <w:highlight w:val="white"/>
          <w:lang w:eastAsia="zh-CN"/>
        </w:rPr>
        <w:t>购本基金A类基金份</w:t>
      </w:r>
      <w:r>
        <w:rPr>
          <w:highlight w:val="white"/>
          <w:lang w:eastAsia="zh-CN"/>
        </w:rPr>
        <w:t>额，不收取认购费用。</w:t>
      </w:r>
    </w:p>
    <w:p w:rsidR="0097367D">
      <w:pPr>
        <w:spacing w:line="360" w:lineRule="auto"/>
        <w:ind w:firstLine="420"/>
        <w:rPr>
          <w:rFonts w:ascii="宋体" w:hAnsi="Calibri" w:cs="宋体"/>
          <w:lang w:eastAsia="zh-CN"/>
        </w:rPr>
      </w:pPr>
      <w:r>
        <w:rPr>
          <w:rFonts w:ascii="宋体" w:hAnsi="宋体"/>
          <w:highlight w:val="white"/>
          <w:lang w:eastAsia="zh-CN"/>
        </w:rPr>
        <w:t>2</w:t>
      </w:r>
      <w:r>
        <w:rPr>
          <w:rFonts w:ascii="宋体" w:hAnsi="宋体" w:cs="宋体" w:hint="eastAsia"/>
          <w:highlight w:val="white"/>
          <w:lang w:eastAsia="zh-CN"/>
        </w:rPr>
        <w:t>）</w:t>
      </w:r>
      <w:r>
        <w:rPr>
          <w:rFonts w:hint="eastAsia"/>
          <w:highlight w:val="white"/>
          <w:lang w:eastAsia="zh-CN"/>
        </w:rPr>
        <w:t>投资者通过其他销售机构</w:t>
      </w:r>
      <w:r>
        <w:rPr>
          <w:rFonts w:ascii="宋体" w:hAnsi="宋体" w:cs="宋体" w:hint="eastAsia"/>
          <w:highlight w:val="white"/>
          <w:lang w:eastAsia="zh-CN"/>
        </w:rPr>
        <w:t>认购本基金</w:t>
      </w:r>
      <w:r>
        <w:rPr>
          <w:rStyle w:val="da"/>
          <w:rFonts w:ascii="宋体" w:hAnsi="宋体"/>
          <w:highlight w:val="white"/>
          <w:lang w:eastAsia="zh-CN"/>
        </w:rPr>
        <w:t>A</w:t>
      </w:r>
      <w:r>
        <w:rPr>
          <w:rStyle w:val="da"/>
          <w:rFonts w:ascii="宋体" w:hAnsi="宋体" w:cs="宋体"/>
          <w:highlight w:val="white"/>
          <w:lang w:eastAsia="zh-CN"/>
        </w:rPr>
        <w:t>类基金份额的</w:t>
      </w:r>
      <w:r>
        <w:rPr>
          <w:rFonts w:ascii="宋体" w:hAnsi="宋体" w:cs="宋体" w:hint="eastAsia"/>
          <w:highlight w:val="white"/>
          <w:lang w:eastAsia="zh-CN"/>
        </w:rPr>
        <w:t>认购费率见上表。</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募集期投资者可以多次认购本基金，</w:t>
      </w:r>
      <w:r>
        <w:rPr>
          <w:rStyle w:val="da"/>
          <w:rFonts w:ascii="宋体" w:hAnsi="Calibri" w:cs="宋体"/>
          <w:highlight w:val="white"/>
          <w:lang w:eastAsia="zh-CN"/>
        </w:rPr>
        <w:t>A类基金份额</w:t>
      </w:r>
      <w:r>
        <w:rPr>
          <w:rStyle w:val="da"/>
          <w:rFonts w:ascii="宋体" w:hAnsi="Calibri" w:cs="宋体" w:hint="eastAsia"/>
          <w:highlight w:val="white"/>
          <w:lang w:eastAsia="zh-CN"/>
        </w:rPr>
        <w:t>认购费用按每笔</w:t>
      </w:r>
      <w:r>
        <w:rPr>
          <w:rStyle w:val="da"/>
          <w:rFonts w:ascii="宋体" w:hAnsi="Calibri" w:cs="宋体"/>
          <w:highlight w:val="white"/>
          <w:lang w:eastAsia="zh-CN"/>
        </w:rPr>
        <w:t>A类基金份额</w:t>
      </w:r>
      <w:r>
        <w:rPr>
          <w:rStyle w:val="da"/>
          <w:rFonts w:ascii="宋体" w:hAnsi="Calibri" w:cs="宋体" w:hint="eastAsia"/>
          <w:highlight w:val="white"/>
          <w:lang w:eastAsia="zh-CN"/>
        </w:rPr>
        <w:t>认购申请单独计算。</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w:t>
      </w:r>
      <w:r>
        <w:rPr>
          <w:rStyle w:val="da"/>
          <w:rFonts w:ascii="宋体" w:hAnsi="Calibri" w:cs="宋体"/>
          <w:szCs w:val="21"/>
          <w:highlight w:val="white"/>
          <w:lang w:eastAsia="zh-CN"/>
        </w:rPr>
        <w:t>A类基金份额</w:t>
      </w:r>
      <w:r>
        <w:rPr>
          <w:rStyle w:val="da"/>
          <w:rFonts w:ascii="宋体" w:hAnsi="Calibri" w:cs="宋体" w:hint="eastAsia"/>
          <w:szCs w:val="21"/>
          <w:highlight w:val="white"/>
          <w:lang w:eastAsia="zh-CN"/>
        </w:rPr>
        <w:t>按规定收取</w:t>
      </w:r>
      <w:r>
        <w:rPr>
          <w:rFonts w:ascii="宋体" w:hAnsi="Calibri" w:cs="宋体" w:hint="eastAsia"/>
          <w:szCs w:val="21"/>
          <w:highlight w:val="white"/>
          <w:lang w:eastAsia="zh-CN"/>
        </w:rPr>
        <w:t xml:space="preserve">的认购费用由认购该类基金份额的投资人承担，主要用于本基金的市场推广、销售等募集期间发生的各项费用。 </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本基金C类基金份额不收取认购费用</w:t>
      </w:r>
      <w:r>
        <w:rPr>
          <w:rFonts w:ascii="宋体" w:hAnsi="Calibri" w:cs="宋体"/>
          <w:color w:val="000000"/>
          <w:szCs w:val="21"/>
          <w:highlight w:val="white"/>
          <w:lang w:eastAsia="zh-CN"/>
        </w:rPr>
        <w:t>，在投资者持有期间</w:t>
      </w:r>
      <w:r>
        <w:rPr>
          <w:rFonts w:ascii="宋体" w:hAnsi="宋体" w:cs="宋体"/>
          <w:color w:val="000000"/>
          <w:highlight w:val="white"/>
          <w:lang w:eastAsia="zh-CN"/>
        </w:rPr>
        <w:t>计提</w:t>
      </w:r>
      <w:r>
        <w:rPr>
          <w:rFonts w:ascii="宋体" w:hAnsi="宋体" w:cs="宋体"/>
          <w:color w:val="000000"/>
          <w:szCs w:val="21"/>
          <w:highlight w:val="white"/>
          <w:lang w:eastAsia="zh-CN"/>
        </w:rPr>
        <w:t>销售服务费</w:t>
      </w:r>
      <w:r>
        <w:rPr>
          <w:rFonts w:ascii="宋体" w:hAnsi="宋体" w:cs="宋体" w:hint="eastAsia"/>
          <w:color w:val="000000"/>
          <w:highlight w:val="white"/>
          <w:lang w:eastAsia="zh-CN"/>
        </w:rPr>
        <w:t>并按规定收取或返还</w:t>
      </w:r>
      <w:r>
        <w:rPr>
          <w:rFonts w:ascii="宋体" w:hAnsi="Calibri" w:cs="宋体"/>
          <w:szCs w:val="21"/>
          <w:highlight w:val="white"/>
          <w:lang w:eastAsia="zh-CN"/>
        </w:rPr>
        <w:t>。</w:t>
      </w:r>
    </w:p>
    <w:p w:rsidR="0097367D">
      <w:pPr>
        <w:spacing w:line="360" w:lineRule="auto"/>
        <w:ind w:firstLine="420"/>
        <w:rPr>
          <w:rFonts w:ascii="宋体" w:hAnsi="Calibri" w:cs="宋体"/>
          <w:szCs w:val="21"/>
          <w:lang w:eastAsia="zh-CN"/>
        </w:rPr>
      </w:pPr>
      <w:r>
        <w:rPr>
          <w:rFonts w:ascii="宋体" w:hAnsi="宋体" w:cs="宋体"/>
          <w:color w:val="000000"/>
          <w:highlight w:val="white"/>
          <w:lang w:eastAsia="zh-CN"/>
        </w:rPr>
        <w:t>本基金暂不开通基金管理人及其基金销售子公司销售本基金C类基金份额，若日后开通，将另行公告。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（2）认购份额的计算</w:t>
      </w:r>
    </w:p>
    <w:p w:rsidR="0097367D">
      <w:pPr>
        <w:spacing w:line="360" w:lineRule="auto"/>
        <w:ind w:firstLine="420"/>
        <w:rPr>
          <w:rFonts w:ascii="宋体" w:hAnsi="Calibri"/>
          <w:lang w:eastAsia="zh-CN"/>
        </w:rPr>
      </w:pPr>
      <w:r>
        <w:rPr>
          <w:rFonts w:ascii="宋体" w:hAnsi="Calibri"/>
          <w:highlight w:val="white"/>
          <w:lang w:eastAsia="zh-CN"/>
        </w:rPr>
        <w:t xml:space="preserve">本基金认购采用金额认购方式。计算公式如下： </w:t>
      </w:r>
    </w:p>
    <w:p w:rsidR="0097367D">
      <w:pPr>
        <w:spacing w:line="360" w:lineRule="auto"/>
        <w:ind w:firstLine="420"/>
        <w:rPr>
          <w:rFonts w:ascii="宋体" w:hAnsi="Calibri"/>
          <w:szCs w:val="21"/>
          <w:lang w:eastAsia="zh-CN"/>
        </w:rPr>
      </w:pPr>
      <w:r>
        <w:rPr>
          <w:rFonts w:ascii="宋体" w:hAnsi="Calibri"/>
          <w:szCs w:val="21"/>
          <w:highlight w:val="white"/>
          <w:lang w:eastAsia="zh-CN"/>
        </w:rPr>
        <w:t>a.若投资人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w:t>
      </w:r>
      <w:r>
        <w:rPr>
          <w:rFonts w:hint="eastAsia"/>
          <w:highlight w:val="white"/>
          <w:lang w:eastAsia="zh-CN"/>
        </w:rPr>
        <w:t>其</w:t>
      </w:r>
      <w:r>
        <w:rPr>
          <w:highlight w:val="white"/>
          <w:lang w:eastAsia="zh-CN"/>
        </w:rPr>
        <w:t>基金销售子公司以外的销售机构</w:t>
      </w:r>
      <w:r>
        <w:rPr>
          <w:rFonts w:ascii="宋体" w:hAnsi="Calibri"/>
          <w:szCs w:val="21"/>
          <w:highlight w:val="white"/>
          <w:lang w:eastAsia="zh-CN"/>
        </w:rPr>
        <w:t>认购本基金A类</w:t>
      </w:r>
      <w:r>
        <w:rPr>
          <w:rFonts w:ascii="宋体" w:hAnsi="Calibri" w:hint="eastAsia"/>
          <w:szCs w:val="21"/>
          <w:highlight w:val="white"/>
          <w:lang w:eastAsia="zh-CN"/>
        </w:rPr>
        <w:t>基金</w:t>
      </w:r>
      <w:r>
        <w:rPr>
          <w:rFonts w:ascii="宋体" w:hAnsi="Calibri"/>
          <w:szCs w:val="21"/>
          <w:highlight w:val="white"/>
          <w:lang w:eastAsia="zh-CN"/>
        </w:rPr>
        <w:t>份额，则认购份额的计算公式为：</w:t>
      </w:r>
    </w:p>
    <w:p w:rsidR="0097367D">
      <w:pPr>
        <w:spacing w:line="360" w:lineRule="auto"/>
        <w:ind w:firstLine="420"/>
        <w:rPr>
          <w:rFonts w:ascii="宋体" w:hAnsi="Calibri"/>
          <w:lang w:eastAsia="zh-CN"/>
        </w:rPr>
      </w:pPr>
      <w:r>
        <w:rPr>
          <w:rFonts w:ascii="宋体" w:hAnsi="Calibri"/>
          <w:highlight w:val="white"/>
          <w:lang w:eastAsia="zh-CN"/>
        </w:rPr>
        <w:t xml:space="preserve">净认购金额=认购金额/（1+认购费率） </w:t>
      </w:r>
    </w:p>
    <w:p w:rsidR="0097367D">
      <w:pPr>
        <w:spacing w:line="360" w:lineRule="auto"/>
        <w:ind w:firstLine="420"/>
        <w:rPr>
          <w:rFonts w:ascii="宋体" w:hAnsi="Calibri"/>
          <w:lang w:eastAsia="zh-CN"/>
        </w:rPr>
      </w:pPr>
      <w:r>
        <w:rPr>
          <w:rFonts w:ascii="宋体" w:hAnsi="Calibri"/>
          <w:highlight w:val="white"/>
          <w:lang w:eastAsia="zh-CN"/>
        </w:rPr>
        <w:t>（注：对于认购金额在500万元（含）以上适用固定金额认购费的认购，净认购金额=认购金额－固定认购费金额）</w:t>
      </w:r>
    </w:p>
    <w:p w:rsidR="0097367D">
      <w:pPr>
        <w:spacing w:line="360" w:lineRule="auto"/>
        <w:ind w:firstLine="420"/>
        <w:rPr>
          <w:rFonts w:ascii="宋体" w:hAnsi="Calibri"/>
          <w:lang w:eastAsia="zh-CN"/>
        </w:rPr>
      </w:pPr>
      <w:r>
        <w:rPr>
          <w:rFonts w:ascii="宋体" w:hAnsi="Calibri"/>
          <w:highlight w:val="white"/>
          <w:lang w:eastAsia="zh-CN"/>
        </w:rPr>
        <w:t xml:space="preserve">认购费用=认购金额-净认购金额 </w:t>
      </w:r>
    </w:p>
    <w:p w:rsidR="0097367D">
      <w:pPr>
        <w:spacing w:line="360" w:lineRule="auto"/>
        <w:ind w:firstLine="420"/>
        <w:rPr>
          <w:rFonts w:ascii="宋体" w:hAnsi="Calibri"/>
          <w:lang w:eastAsia="zh-CN"/>
        </w:rPr>
      </w:pPr>
      <w:r>
        <w:rPr>
          <w:rFonts w:ascii="宋体" w:hAnsi="Calibri"/>
          <w:highlight w:val="white"/>
          <w:lang w:eastAsia="zh-CN"/>
        </w:rPr>
        <w:t xml:space="preserve">认购份额=（净认购金额+认购利息）/基金份额面值 </w:t>
      </w:r>
    </w:p>
    <w:p w:rsidR="0097367D">
      <w:pPr>
        <w:spacing w:line="360" w:lineRule="auto"/>
        <w:ind w:firstLine="420"/>
        <w:rPr>
          <w:rFonts w:ascii="宋体" w:hAnsi="Calibri"/>
          <w:lang w:eastAsia="zh-CN"/>
        </w:rPr>
      </w:pPr>
      <w:r>
        <w:rPr>
          <w:rFonts w:ascii="宋体" w:hAnsi="Calibri" w:hint="eastAsia"/>
          <w:highlight w:val="white"/>
          <w:lang w:eastAsia="zh-CN"/>
        </w:rPr>
        <w:t>例</w:t>
      </w:r>
      <w:r>
        <w:rPr>
          <w:rFonts w:ascii="宋体" w:hAnsi="Calibri" w:hint="eastAsia"/>
          <w:highlight w:val="white"/>
          <w:lang w:eastAsia="zh-CN"/>
        </w:rPr>
        <w:t>一</w:t>
      </w:r>
      <w:r>
        <w:rPr>
          <w:rFonts w:ascii="宋体" w:hAnsi="Calibri" w:hint="eastAsia"/>
          <w:highlight w:val="white"/>
          <w:lang w:eastAsia="zh-CN"/>
        </w:rPr>
        <w:t>：某投资人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w:t>
      </w:r>
      <w:r>
        <w:rPr>
          <w:rFonts w:hint="eastAsia"/>
          <w:highlight w:val="white"/>
          <w:lang w:eastAsia="zh-CN"/>
        </w:rPr>
        <w:t>其</w:t>
      </w:r>
      <w:r>
        <w:rPr>
          <w:highlight w:val="white"/>
          <w:lang w:eastAsia="zh-CN"/>
        </w:rPr>
        <w:t>基金销售子公司以外的销售机构</w:t>
      </w:r>
      <w:r w:rsidR="00962530">
        <w:rPr>
          <w:rFonts w:ascii="宋体" w:hAnsi="Calibri" w:hint="eastAsia"/>
          <w:highlight w:val="white"/>
          <w:lang w:eastAsia="zh-CN"/>
        </w:rPr>
        <w:t>认购</w:t>
      </w:r>
      <w:r>
        <w:rPr>
          <w:rFonts w:ascii="宋体" w:hAnsi="Calibri" w:hint="eastAsia"/>
          <w:highlight w:val="white"/>
          <w:lang w:eastAsia="zh-CN"/>
        </w:rPr>
        <w:t>本基金</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ghlight w:val="white"/>
          <w:lang w:eastAsia="zh-CN"/>
        </w:rPr>
        <w:t>100,000</w:t>
      </w:r>
      <w:r>
        <w:rPr>
          <w:rFonts w:ascii="宋体" w:hAnsi="Calibri" w:hint="eastAsia"/>
          <w:highlight w:val="white"/>
          <w:lang w:eastAsia="zh-CN"/>
        </w:rPr>
        <w:t>元，认购费率为</w:t>
      </w:r>
      <w:r>
        <w:rPr>
          <w:rFonts w:ascii="宋体" w:hAnsi="Calibri"/>
          <w:highlight w:val="white"/>
          <w:lang w:eastAsia="zh-CN"/>
        </w:rPr>
        <w:t>0.30%</w:t>
      </w:r>
      <w:r>
        <w:rPr>
          <w:rFonts w:ascii="宋体" w:hAnsi="Calibri" w:hint="eastAsia"/>
          <w:highlight w:val="white"/>
          <w:lang w:eastAsia="zh-CN"/>
        </w:rPr>
        <w:t>，假定该笔有效认购申请金额募集期产生的利息为</w:t>
      </w:r>
      <w:r>
        <w:rPr>
          <w:rFonts w:ascii="宋体" w:hAnsi="Calibri"/>
          <w:highlight w:val="white"/>
          <w:lang w:eastAsia="zh-CN"/>
        </w:rPr>
        <w:t>50</w:t>
      </w:r>
      <w:r>
        <w:rPr>
          <w:rFonts w:ascii="宋体" w:hAnsi="Calibri" w:hint="eastAsia"/>
          <w:highlight w:val="white"/>
          <w:lang w:eastAsia="zh-CN"/>
        </w:rPr>
        <w:t>元，则可认购</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nt="eastAsia"/>
          <w:highlight w:val="white"/>
          <w:lang w:eastAsia="zh-CN"/>
        </w:rPr>
        <w:t>为：</w:t>
      </w:r>
      <w:r>
        <w:rPr>
          <w:rFonts w:ascii="宋体" w:hAnsi="Calibri"/>
          <w:highlight w:val="white"/>
          <w:lang w:eastAsia="zh-CN"/>
        </w:rPr>
        <w:t xml:space="preserve"> </w:t>
      </w:r>
    </w:p>
    <w:p w:rsidR="0097367D">
      <w:pPr>
        <w:spacing w:line="360" w:lineRule="auto"/>
        <w:ind w:firstLine="420" w:firstLineChars="200"/>
        <w:rPr>
          <w:rFonts w:ascii="宋体" w:hAnsi="Calibri"/>
          <w:lang w:eastAsia="zh-CN"/>
        </w:rPr>
      </w:pPr>
      <w:r>
        <w:rPr>
          <w:rFonts w:ascii="宋体" w:hAnsi="Calibri" w:hint="eastAsia"/>
          <w:highlight w:val="white"/>
          <w:lang w:eastAsia="zh-CN"/>
        </w:rPr>
        <w:t>净认购金额＝100,000/（1＋</w:t>
      </w:r>
      <w:r>
        <w:rPr>
          <w:rFonts w:ascii="宋体" w:hAnsi="Calibri"/>
          <w:highlight w:val="white"/>
          <w:lang w:eastAsia="zh-CN"/>
        </w:rPr>
        <w:t>0.30</w:t>
      </w:r>
      <w:r>
        <w:rPr>
          <w:rFonts w:ascii="宋体" w:hAnsi="Calibri" w:hint="eastAsia"/>
          <w:highlight w:val="white"/>
          <w:lang w:eastAsia="zh-CN"/>
        </w:rPr>
        <w:t>%）＝</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700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 xml:space="preserve">元 </w:t>
      </w:r>
    </w:p>
    <w:p w:rsidR="0097367D">
      <w:pPr>
        <w:spacing w:line="360" w:lineRule="auto"/>
        <w:ind w:firstLine="420" w:firstLineChars="200"/>
        <w:rPr>
          <w:rFonts w:ascii="宋体" w:hAnsi="Calibri"/>
          <w:lang w:eastAsia="zh-CN"/>
        </w:rPr>
      </w:pPr>
      <w:r>
        <w:rPr>
          <w:rFonts w:ascii="宋体" w:hAnsi="Calibri" w:hint="eastAsia"/>
          <w:highlight w:val="white"/>
          <w:lang w:eastAsia="zh-CN"/>
        </w:rPr>
        <w:t>认购费用＝100,000-</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700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w:t>
      </w:r>
      <w:r>
        <w:rPr>
          <w:rFonts w:ascii="宋体" w:hAnsi="Calibri"/>
          <w:highlight w:val="white"/>
          <w:lang w:eastAsia="zh-CN"/>
        </w:rPr>
        <w:t>299.10</w:t>
      </w:r>
      <w:r>
        <w:rPr>
          <w:rFonts w:ascii="宋体" w:hAnsi="Calibri" w:hint="eastAsia"/>
          <w:highlight w:val="white"/>
          <w:lang w:eastAsia="zh-CN"/>
        </w:rPr>
        <w:t xml:space="preserve">元 </w:t>
      </w:r>
    </w:p>
    <w:p w:rsidR="0097367D">
      <w:pPr>
        <w:spacing w:line="360" w:lineRule="auto"/>
        <w:ind w:firstLine="420"/>
        <w:rPr>
          <w:rFonts w:ascii="宋体" w:hAnsi="Calibri"/>
          <w:lang w:eastAsia="zh-CN"/>
        </w:rPr>
      </w:pPr>
      <w:r>
        <w:rPr>
          <w:rFonts w:ascii="宋体" w:hAnsi="Calibri" w:hint="eastAsia"/>
          <w:highlight w:val="white"/>
          <w:lang w:eastAsia="zh-CN"/>
        </w:rPr>
        <w:t>认购份额＝（</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700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w:t>
      </w:r>
      <w:r>
        <w:rPr>
          <w:rFonts w:ascii="宋体" w:hAnsi="Calibri"/>
          <w:highlight w:val="white"/>
          <w:lang w:eastAsia="zh-CN"/>
        </w:rPr>
        <w:t>5</w:t>
      </w:r>
      <w:r>
        <w:rPr>
          <w:rFonts w:ascii="宋体" w:hAnsi="Calibri" w:hint="eastAsia"/>
          <w:highlight w:val="white"/>
          <w:lang w:eastAsia="zh-CN"/>
        </w:rPr>
        <w:t>0）/1.00＝</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750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份</w:t>
      </w:r>
    </w:p>
    <w:p w:rsidR="0097367D">
      <w:pPr>
        <w:spacing w:line="360" w:lineRule="auto"/>
        <w:ind w:firstLine="420"/>
        <w:rPr>
          <w:rFonts w:ascii="宋体" w:hAnsi="Calibri"/>
          <w:lang w:eastAsia="zh-CN"/>
        </w:rPr>
      </w:pPr>
      <w:r>
        <w:rPr>
          <w:rFonts w:ascii="宋体" w:hAnsi="Calibri" w:hint="eastAsia"/>
          <w:highlight w:val="white"/>
          <w:lang w:eastAsia="zh-CN"/>
        </w:rPr>
        <w:t>即：该投资人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w:t>
      </w:r>
      <w:r>
        <w:rPr>
          <w:rFonts w:hint="eastAsia"/>
          <w:highlight w:val="white"/>
          <w:lang w:eastAsia="zh-CN"/>
        </w:rPr>
        <w:t>其</w:t>
      </w:r>
      <w:r>
        <w:rPr>
          <w:highlight w:val="white"/>
          <w:lang w:eastAsia="zh-CN"/>
        </w:rPr>
        <w:t>基金销售子公司以外的销售机构</w:t>
      </w:r>
      <w:r>
        <w:rPr>
          <w:rFonts w:ascii="宋体" w:hAnsi="Calibri" w:hint="eastAsia"/>
          <w:highlight w:val="white"/>
          <w:lang w:eastAsia="zh-CN"/>
        </w:rPr>
        <w:t>认购本基金</w:t>
      </w:r>
      <w:r>
        <w:rPr>
          <w:rFonts w:ascii="宋体" w:hAnsi="Calibri"/>
          <w:szCs w:val="21"/>
          <w:highlight w:val="white"/>
          <w:lang w:eastAsia="zh-CN"/>
        </w:rPr>
        <w:t>A</w:t>
      </w:r>
      <w:r>
        <w:rPr>
          <w:rFonts w:ascii="宋体" w:hAnsi="Calibri" w:hint="eastAsia"/>
          <w:szCs w:val="21"/>
          <w:highlight w:val="white"/>
          <w:lang w:eastAsia="zh-CN"/>
        </w:rPr>
        <w:t>类基金份额</w:t>
      </w:r>
      <w:r w:rsidRPr="00962530" w:rsidR="00962530">
        <w:rPr>
          <w:rFonts w:ascii="宋体" w:hAnsi="Calibri" w:hint="eastAsia"/>
          <w:szCs w:val="21"/>
          <w:lang w:eastAsia="zh-CN"/>
        </w:rPr>
        <w:t>100,000元</w:t>
      </w:r>
      <w:r>
        <w:rPr>
          <w:rFonts w:ascii="宋体" w:hAnsi="Calibri" w:hint="eastAsia"/>
          <w:highlight w:val="white"/>
          <w:lang w:eastAsia="zh-CN"/>
        </w:rPr>
        <w:t>，假定该笔有效认购申请金额募集期产生的利息为</w:t>
      </w:r>
      <w:r>
        <w:rPr>
          <w:rFonts w:ascii="宋体" w:hAnsi="Calibri"/>
          <w:highlight w:val="white"/>
          <w:lang w:eastAsia="zh-CN"/>
        </w:rPr>
        <w:t>50</w:t>
      </w:r>
      <w:r>
        <w:rPr>
          <w:rFonts w:ascii="宋体" w:hAnsi="Calibri" w:hint="eastAsia"/>
          <w:highlight w:val="white"/>
          <w:lang w:eastAsia="zh-CN"/>
        </w:rPr>
        <w:t>元，可得到</w:t>
      </w:r>
      <w:r>
        <w:rPr>
          <w:rFonts w:ascii="宋体" w:hAnsi="Calibri"/>
          <w:highlight w:val="white"/>
          <w:lang w:eastAsia="zh-CN"/>
        </w:rPr>
        <w:t>99</w:t>
      </w:r>
      <w:r>
        <w:rPr>
          <w:rFonts w:ascii="宋体" w:hAnsi="Calibri" w:hint="eastAsia"/>
          <w:highlight w:val="white"/>
          <w:lang w:eastAsia="zh-CN"/>
        </w:rPr>
        <w:t>,</w:t>
      </w:r>
      <w:r>
        <w:rPr>
          <w:rFonts w:ascii="宋体" w:hAnsi="Calibri"/>
          <w:highlight w:val="white"/>
          <w:lang w:eastAsia="zh-CN"/>
        </w:rPr>
        <w:t>750</w:t>
      </w:r>
      <w:r>
        <w:rPr>
          <w:rFonts w:ascii="宋体" w:hAnsi="Calibri" w:hint="eastAsia"/>
          <w:highlight w:val="white"/>
          <w:lang w:eastAsia="zh-CN"/>
        </w:rPr>
        <w:t>.</w:t>
      </w:r>
      <w:r>
        <w:rPr>
          <w:rFonts w:ascii="宋体" w:hAnsi="Calibri"/>
          <w:highlight w:val="white"/>
          <w:lang w:eastAsia="zh-CN"/>
        </w:rPr>
        <w:t>90</w:t>
      </w:r>
      <w:r>
        <w:rPr>
          <w:rFonts w:ascii="宋体" w:hAnsi="Calibri" w:hint="eastAsia"/>
          <w:highlight w:val="white"/>
          <w:lang w:eastAsia="zh-CN"/>
        </w:rPr>
        <w:t>份</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nt="eastAsia"/>
          <w:highlight w:val="white"/>
          <w:lang w:eastAsia="zh-CN"/>
        </w:rPr>
        <w:t>。</w:t>
      </w:r>
      <w:r>
        <w:rPr>
          <w:rFonts w:ascii="宋体" w:hAnsi="Calibri"/>
          <w:highlight w:val="white"/>
          <w:lang w:eastAsia="zh-CN"/>
        </w:rPr>
        <w:t xml:space="preserve"> </w:t>
      </w:r>
    </w:p>
    <w:p w:rsidR="0097367D">
      <w:pPr>
        <w:spacing w:line="360" w:lineRule="auto"/>
        <w:ind w:firstLine="420"/>
        <w:rPr>
          <w:rFonts w:ascii="宋体" w:hAnsi="Calibri"/>
          <w:szCs w:val="21"/>
          <w:lang w:eastAsia="zh-CN"/>
        </w:rPr>
      </w:pPr>
      <w:r>
        <w:rPr>
          <w:rFonts w:ascii="宋体" w:hAnsi="Calibri"/>
          <w:szCs w:val="21"/>
          <w:highlight w:val="white"/>
          <w:lang w:eastAsia="zh-CN"/>
        </w:rPr>
        <w:t>b.若投资人选择认购本基金C类</w:t>
      </w:r>
      <w:r>
        <w:rPr>
          <w:rFonts w:ascii="宋体" w:hAnsi="Calibri" w:hint="eastAsia"/>
          <w:szCs w:val="21"/>
          <w:highlight w:val="white"/>
          <w:lang w:eastAsia="zh-CN"/>
        </w:rPr>
        <w:t>基金</w:t>
      </w:r>
      <w:r>
        <w:rPr>
          <w:rFonts w:ascii="宋体" w:hAnsi="Calibri"/>
          <w:szCs w:val="21"/>
          <w:highlight w:val="white"/>
          <w:lang w:eastAsia="zh-CN"/>
        </w:rPr>
        <w:t>份额，</w:t>
      </w:r>
      <w:r>
        <w:rPr>
          <w:rFonts w:ascii="宋体" w:hAnsi="Calibri" w:hint="eastAsia"/>
          <w:szCs w:val="21"/>
          <w:highlight w:val="white"/>
          <w:lang w:eastAsia="zh-CN"/>
        </w:rPr>
        <w:t>或者通过基金管理人或其基金销售子公司认购本基金A类基金份额，</w:t>
      </w:r>
      <w:r>
        <w:rPr>
          <w:rFonts w:ascii="宋体" w:hAnsi="Calibri"/>
          <w:szCs w:val="21"/>
          <w:highlight w:val="white"/>
          <w:lang w:eastAsia="zh-CN"/>
        </w:rPr>
        <w:t>则认购份额的计算公式为：</w:t>
      </w:r>
    </w:p>
    <w:p w:rsidR="0097367D">
      <w:pPr>
        <w:spacing w:line="360" w:lineRule="auto"/>
        <w:ind w:firstLine="420"/>
        <w:rPr>
          <w:rFonts w:ascii="宋体" w:hAnsi="Calibri"/>
          <w:szCs w:val="21"/>
          <w:lang w:eastAsia="zh-CN"/>
        </w:rPr>
      </w:pPr>
      <w:r>
        <w:rPr>
          <w:rFonts w:ascii="宋体" w:hAnsi="Calibri"/>
          <w:szCs w:val="21"/>
          <w:highlight w:val="white"/>
          <w:lang w:eastAsia="zh-CN"/>
        </w:rPr>
        <w:t xml:space="preserve">认购份额=(认购金额+认购利息)/基金份额面值 </w:t>
      </w:r>
    </w:p>
    <w:p w:rsidR="0097367D">
      <w:pPr>
        <w:spacing w:line="360" w:lineRule="auto"/>
        <w:ind w:firstLine="420"/>
        <w:rPr>
          <w:rFonts w:ascii="宋体" w:hAnsi="Calibri"/>
          <w:szCs w:val="21"/>
          <w:lang w:eastAsia="zh-CN"/>
        </w:rPr>
      </w:pPr>
      <w:r>
        <w:rPr>
          <w:rFonts w:ascii="宋体" w:hAnsi="Calibri"/>
          <w:szCs w:val="21"/>
          <w:highlight w:val="white"/>
          <w:lang w:eastAsia="zh-CN"/>
        </w:rPr>
        <w:t>例</w:t>
      </w:r>
      <w:r>
        <w:rPr>
          <w:rFonts w:ascii="宋体" w:hAnsi="Calibri" w:hint="eastAsia"/>
          <w:szCs w:val="21"/>
          <w:highlight w:val="white"/>
          <w:lang w:eastAsia="zh-CN"/>
        </w:rPr>
        <w:t>二</w:t>
      </w:r>
      <w:r>
        <w:rPr>
          <w:rFonts w:ascii="宋体" w:hAnsi="Calibri"/>
          <w:szCs w:val="21"/>
          <w:highlight w:val="white"/>
          <w:lang w:eastAsia="zh-CN"/>
        </w:rPr>
        <w:t>：某投资人</w:t>
      </w:r>
      <w:r w:rsidR="00962530">
        <w:rPr>
          <w:rFonts w:ascii="宋体" w:hAnsi="Calibri" w:hint="eastAsia"/>
          <w:szCs w:val="21"/>
          <w:highlight w:val="white"/>
          <w:lang w:eastAsia="zh-CN"/>
        </w:rPr>
        <w:t>认购</w:t>
      </w:r>
      <w:r>
        <w:rPr>
          <w:rFonts w:ascii="宋体" w:hAnsi="Calibri"/>
          <w:szCs w:val="21"/>
          <w:highlight w:val="white"/>
          <w:lang w:eastAsia="zh-CN"/>
        </w:rPr>
        <w:t>本基金C类</w:t>
      </w:r>
      <w:r>
        <w:rPr>
          <w:rFonts w:ascii="宋体" w:hAnsi="Calibri" w:hint="eastAsia"/>
          <w:szCs w:val="21"/>
          <w:highlight w:val="white"/>
          <w:lang w:eastAsia="zh-CN"/>
        </w:rPr>
        <w:t>基金</w:t>
      </w:r>
      <w:r>
        <w:rPr>
          <w:rFonts w:ascii="宋体" w:hAnsi="Calibri"/>
          <w:szCs w:val="21"/>
          <w:highlight w:val="white"/>
          <w:lang w:eastAsia="zh-CN"/>
        </w:rPr>
        <w:t xml:space="preserve">份额100,000元，假定该笔有效认购申请金额募集期产生的利息为50元，则可认购C类基金份额为： </w:t>
      </w:r>
    </w:p>
    <w:p w:rsidR="0097367D">
      <w:pPr>
        <w:spacing w:line="360" w:lineRule="auto"/>
        <w:ind w:firstLine="420"/>
        <w:rPr>
          <w:rFonts w:ascii="宋体" w:hAnsi="Calibri"/>
          <w:szCs w:val="21"/>
          <w:lang w:eastAsia="zh-CN"/>
        </w:rPr>
      </w:pPr>
      <w:r>
        <w:rPr>
          <w:rFonts w:ascii="宋体" w:hAnsi="Calibri"/>
          <w:szCs w:val="21"/>
          <w:highlight w:val="white"/>
          <w:lang w:eastAsia="zh-CN"/>
        </w:rPr>
        <w:t xml:space="preserve">认购份额＝(100,000＋50)/1.00＝100,050.00份 </w:t>
      </w:r>
    </w:p>
    <w:p w:rsidR="0097367D">
      <w:pPr>
        <w:spacing w:line="360" w:lineRule="auto"/>
        <w:ind w:firstLine="420"/>
        <w:rPr>
          <w:rFonts w:ascii="宋体" w:hAnsi="Calibri"/>
          <w:szCs w:val="21"/>
          <w:lang w:eastAsia="zh-CN"/>
        </w:rPr>
      </w:pPr>
      <w:r>
        <w:rPr>
          <w:rFonts w:ascii="宋体" w:hAnsi="Calibri"/>
          <w:szCs w:val="21"/>
          <w:highlight w:val="white"/>
          <w:lang w:eastAsia="zh-CN"/>
        </w:rPr>
        <w:t>即：该投资人投资100,000元认购本基金C类</w:t>
      </w:r>
      <w:r>
        <w:rPr>
          <w:rFonts w:ascii="宋体" w:hAnsi="Calibri" w:hint="eastAsia"/>
          <w:szCs w:val="21"/>
          <w:highlight w:val="white"/>
          <w:lang w:eastAsia="zh-CN"/>
        </w:rPr>
        <w:t>基金</w:t>
      </w:r>
      <w:r>
        <w:rPr>
          <w:rFonts w:ascii="宋体" w:hAnsi="Calibri"/>
          <w:szCs w:val="21"/>
          <w:highlight w:val="white"/>
          <w:lang w:eastAsia="zh-CN"/>
        </w:rPr>
        <w:t>份额，假定该笔有效认购申请金额募集期产生的利息为50元，可得到100,050.00份C类基金份额。</w:t>
      </w:r>
    </w:p>
    <w:p w:rsidR="0097367D">
      <w:pPr>
        <w:spacing w:line="360" w:lineRule="auto"/>
        <w:ind w:firstLine="420"/>
        <w:rPr>
          <w:rFonts w:ascii="宋体" w:hAnsi="Calibri" w:cs="宋体"/>
          <w:szCs w:val="21"/>
          <w:lang w:eastAsia="zh-CN"/>
        </w:rPr>
      </w:pPr>
      <w:r>
        <w:rPr>
          <w:rFonts w:ascii="宋体" w:hAnsi="Calibri"/>
          <w:highlight w:val="white"/>
          <w:lang w:eastAsia="zh-CN"/>
        </w:rPr>
        <w:t>（3）认购份额的计算中涉及金额的计算结果均以人民币元为单位，四舍五入，保留小数点后2位；认购份数采取四舍五入的方法保留小数点后2位，由此产生的误差计入基金财产。认购费用不属于基金资产。</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6、认购的确认 </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当日（T日）在规定时间内提交的申请，投资人通常可在T+2日后（包括该日）到基金销售网点查询交易情况。销售机构对投资人认购申请的受理并不表示对该申请的成功确认，而仅代表</w:t>
      </w:r>
      <w:r>
        <w:rPr>
          <w:rFonts w:ascii="宋体" w:hAnsi="Calibri" w:cs="宋体" w:hint="eastAsia"/>
          <w:szCs w:val="21"/>
          <w:highlight w:val="white"/>
          <w:lang w:eastAsia="zh-CN"/>
        </w:rPr>
        <w:t>销售机构</w:t>
      </w:r>
      <w:r>
        <w:rPr>
          <w:rFonts w:ascii="宋体" w:hAnsi="Calibri" w:cs="宋体"/>
          <w:szCs w:val="21"/>
          <w:highlight w:val="white"/>
          <w:lang w:eastAsia="zh-CN"/>
        </w:rPr>
        <w:t>确实收到了认购申请。申请是否有效应以基金登记机构的确认登记为准。</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投资人开户和认购所需提交的文件和办理的具体程序，请参阅基金份额发售公告。 </w:t>
      </w:r>
    </w:p>
    <w:p w:rsidR="0097367D">
      <w:pPr>
        <w:spacing w:line="360" w:lineRule="auto"/>
        <w:ind w:firstLine="420"/>
        <w:rPr>
          <w:rStyle w:val="da"/>
          <w:rFonts w:ascii="宋体" w:hAnsi="Calibri" w:cs="宋体"/>
          <w:szCs w:val="21"/>
          <w:lang w:eastAsia="zh-CN"/>
        </w:rPr>
      </w:pPr>
      <w:bookmarkStart w:id="1794" w:name="_Toc332373494"/>
      <w:r>
        <w:rPr>
          <w:rStyle w:val="da"/>
          <w:rFonts w:ascii="宋体" w:hAnsi="Calibri" w:cs="宋体" w:hint="eastAsia"/>
          <w:szCs w:val="21"/>
          <w:highlight w:val="white"/>
          <w:lang w:eastAsia="zh-CN"/>
        </w:rPr>
        <w:t>八、募集期间的资金存放和费用</w:t>
      </w:r>
      <w:bookmarkEnd w:id="1794"/>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97367D">
      <w:pPr>
        <w:pStyle w:val="Heading1"/>
        <w:pageBreakBefore/>
        <w:spacing w:before="317" w:after="317" w:line="360" w:lineRule="auto"/>
        <w:ind w:firstLine="640"/>
        <w:rPr>
          <w:rFonts w:ascii="宋体" w:eastAsia="宋体" w:hAnsi="Calibri" w:cs="宋体"/>
          <w:bCs/>
          <w:sz w:val="30"/>
          <w:szCs w:val="30"/>
        </w:rPr>
      </w:pPr>
      <w:bookmarkStart w:id="1795" w:name="_Toc332373495"/>
      <w:bookmarkStart w:id="1796" w:name="_Toc129511530"/>
      <w:r>
        <w:rPr>
          <w:rFonts w:ascii="宋体" w:eastAsia="宋体" w:hAnsi="Calibri" w:cs="宋体" w:hint="eastAsia"/>
          <w:bCs/>
          <w:sz w:val="30"/>
          <w:szCs w:val="30"/>
          <w:highlight w:val="white"/>
        </w:rPr>
        <w:t>第</w:t>
      </w:r>
      <w:r>
        <w:rPr>
          <w:rFonts w:ascii="宋体" w:eastAsia="宋体" w:hAnsi="Calibri" w:cs="宋体"/>
          <w:bCs/>
          <w:sz w:val="30"/>
          <w:szCs w:val="30"/>
          <w:highlight w:val="white"/>
        </w:rPr>
        <w:t>八</w:t>
      </w:r>
      <w:r>
        <w:rPr>
          <w:rFonts w:ascii="宋体" w:eastAsia="宋体" w:hAnsi="Calibri" w:cs="宋体" w:hint="eastAsia"/>
          <w:bCs/>
          <w:sz w:val="30"/>
          <w:szCs w:val="30"/>
          <w:highlight w:val="white"/>
        </w:rPr>
        <w:t>部分</w:t>
      </w:r>
      <w:r>
        <w:rPr>
          <w:rFonts w:ascii="宋体" w:eastAsia="宋体" w:hAnsi="Calibri" w:cs="宋体"/>
          <w:bCs/>
          <w:sz w:val="30"/>
          <w:szCs w:val="30"/>
          <w:highlight w:val="white"/>
        </w:rPr>
        <w:t xml:space="preserve"> </w:t>
      </w:r>
      <w:r>
        <w:rPr>
          <w:rFonts w:ascii="宋体" w:eastAsia="宋体" w:hAnsi="Calibri" w:cs="宋体" w:hint="eastAsia"/>
          <w:bCs/>
          <w:sz w:val="30"/>
          <w:szCs w:val="30"/>
          <w:highlight w:val="white"/>
        </w:rPr>
        <w:t>基金合同的生效</w:t>
      </w:r>
      <w:bookmarkEnd w:id="1795"/>
      <w:bookmarkEnd w:id="1796"/>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一、基金备案的条件</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本基金自基金份额发售之日起3个月内，在基金募集份额总额不少于1000万份，基金募集金额不少于1000万元人民币的条件下，基金募集期届满或基金管理人依据法律法规及招募说明书可以决定停止基金发售，并在10日内聘请法定验资机构验资。验资机构应在验资报告中对发起资金的持有人及其持有份额进行专门说明。基金管理人自收到验资报告之日起10日内，向中国证监会办理基金备案手续。</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二、基金合同不能生效时募集资金的处理方式</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如果募集期限届满，未满足基金备案条件，基金管理人应当承担下列责任：</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1、以其固有财产承担因募集行为而产生的债务和费用；</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2、在基金募集期限届满后30日内返还投资者已缴纳的款项，并加计银行同期活期存款利息；</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3、如基金募集失败，基金管理人、基金托管人及销售机构不得请求报酬。基金管理人、基金托管人和销售机构为基金募集支付之一切费用应由各方各自承担。</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三、基金存续期内的基金份额持有人数量和资产规模</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基金合同》生效满三年后的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法律法规或中国证监会另有规定时，从其规定。</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四、基金的终止</w:t>
      </w:r>
    </w:p>
    <w:p w:rsidR="0097367D">
      <w:pPr>
        <w:spacing w:line="360" w:lineRule="auto"/>
        <w:ind w:firstLine="420"/>
        <w:rPr>
          <w:rFonts w:ascii="宋体" w:hAnsi="Calibri" w:cs="宋体"/>
          <w:lang w:eastAsia="zh-CN"/>
        </w:rPr>
      </w:pPr>
      <w:r>
        <w:rPr>
          <w:rFonts w:ascii="宋体" w:hAnsi="Calibri" w:cs="宋体" w:hint="eastAsia"/>
          <w:szCs w:val="21"/>
          <w:highlight w:val="white"/>
          <w:lang w:eastAsia="zh-CN"/>
        </w:rPr>
        <w:t>《基金合同》生效之日起三年后的年度对应日，</w:t>
      </w:r>
      <w:r>
        <w:rPr>
          <w:rFonts w:ascii="宋体" w:hAnsi="Calibri" w:cs="宋体" w:hint="eastAsia"/>
          <w:szCs w:val="21"/>
          <w:highlight w:val="white"/>
          <w:lang w:eastAsia="zh-CN"/>
        </w:rPr>
        <w:t>若基金</w:t>
      </w:r>
      <w:r>
        <w:rPr>
          <w:rFonts w:ascii="宋体" w:hAnsi="Calibri" w:cs="宋体" w:hint="eastAsia"/>
          <w:szCs w:val="21"/>
          <w:highlight w:val="white"/>
          <w:lang w:eastAsia="zh-CN"/>
        </w:rPr>
        <w:t>资产净值低于2亿元的，《基金合同》自动终止，不得通过召开基金份额持有人大会的方式延续。若届时的法律法规或中国证监会规定发生变化，上述终止规定被取消、更改或补充时，则本基金可以参照届时有效的法律法规或中国证监会规定执行。</w:t>
      </w:r>
    </w:p>
    <w:p w:rsidR="0097367D">
      <w:pPr>
        <w:pStyle w:val="Heading1"/>
        <w:pageBreakBefore/>
        <w:spacing w:before="317" w:after="317" w:line="360" w:lineRule="auto"/>
        <w:ind w:firstLine="0"/>
        <w:rPr>
          <w:rFonts w:ascii="宋体" w:eastAsia="宋体" w:hAnsi="Calibri" w:cs="宋体"/>
          <w:bCs/>
          <w:sz w:val="30"/>
          <w:szCs w:val="30"/>
          <w:lang w:eastAsia="zh-CN"/>
        </w:rPr>
      </w:pPr>
      <w:bookmarkStart w:id="1797" w:name="_Toc332373499"/>
      <w:bookmarkStart w:id="1798" w:name="_Toc129511531"/>
      <w:r>
        <w:rPr>
          <w:rFonts w:ascii="宋体" w:eastAsia="宋体" w:hAnsi="Calibri" w:cs="宋体" w:hint="eastAsia"/>
          <w:bCs/>
          <w:sz w:val="30"/>
          <w:szCs w:val="30"/>
          <w:highlight w:val="white"/>
          <w:lang w:eastAsia="zh-CN"/>
        </w:rPr>
        <w:t>第</w:t>
      </w:r>
      <w:r>
        <w:rPr>
          <w:rFonts w:ascii="宋体" w:eastAsia="宋体" w:hAnsi="Calibri" w:cs="宋体"/>
          <w:bCs/>
          <w:sz w:val="30"/>
          <w:szCs w:val="30"/>
          <w:highlight w:val="white"/>
          <w:lang w:eastAsia="zh-CN"/>
        </w:rPr>
        <w:t>九</w:t>
      </w:r>
      <w:r>
        <w:rPr>
          <w:rFonts w:ascii="宋体" w:eastAsia="宋体" w:hAnsi="Calibri" w:cs="宋体" w:hint="eastAsia"/>
          <w:bCs/>
          <w:sz w:val="30"/>
          <w:szCs w:val="30"/>
          <w:highlight w:val="white"/>
          <w:lang w:eastAsia="zh-CN"/>
        </w:rPr>
        <w:t>部分</w:t>
      </w:r>
      <w:r>
        <w:rPr>
          <w:rFonts w:ascii="宋体" w:eastAsia="宋体" w:hAnsi="Calibri" w:cs="宋体"/>
          <w:bCs/>
          <w:sz w:val="30"/>
          <w:szCs w:val="30"/>
          <w:highlight w:val="white"/>
          <w:lang w:eastAsia="zh-CN"/>
        </w:rPr>
        <w:t xml:space="preserve"> </w:t>
      </w:r>
      <w:r>
        <w:rPr>
          <w:rFonts w:ascii="宋体" w:eastAsia="宋体" w:hAnsi="Calibri" w:cs="宋体" w:hint="eastAsia"/>
          <w:bCs/>
          <w:sz w:val="30"/>
          <w:szCs w:val="30"/>
          <w:highlight w:val="white"/>
          <w:lang w:eastAsia="zh-CN"/>
        </w:rPr>
        <w:t>基金份额的申购、赎回</w:t>
      </w:r>
      <w:bookmarkEnd w:id="1797"/>
      <w:bookmarkEnd w:id="1798"/>
    </w:p>
    <w:p w:rsidR="0097367D">
      <w:pPr>
        <w:spacing w:line="360" w:lineRule="auto"/>
        <w:ind w:firstLine="420"/>
        <w:rPr>
          <w:rStyle w:val="da"/>
          <w:rFonts w:ascii="宋体" w:hAnsi="Calibri" w:cs="宋体"/>
          <w:szCs w:val="21"/>
          <w:lang w:eastAsia="zh-CN"/>
        </w:rPr>
      </w:pPr>
      <w:bookmarkStart w:id="1799" w:name="_Toc332373500"/>
      <w:r>
        <w:rPr>
          <w:rStyle w:val="da"/>
          <w:rFonts w:ascii="宋体" w:hAnsi="Calibri" w:cs="宋体" w:hint="eastAsia"/>
          <w:szCs w:val="21"/>
          <w:highlight w:val="white"/>
          <w:lang w:eastAsia="zh-CN"/>
        </w:rPr>
        <w:t>一、基金投资人范围</w:t>
      </w:r>
      <w:bookmarkEnd w:id="1799"/>
    </w:p>
    <w:p w:rsidR="0097367D">
      <w:pPr>
        <w:spacing w:line="360" w:lineRule="auto"/>
        <w:ind w:firstLine="424"/>
        <w:rPr>
          <w:rFonts w:ascii="宋体" w:hAnsi="Calibri" w:cs="宋体"/>
          <w:szCs w:val="21"/>
          <w:lang w:eastAsia="zh-CN"/>
        </w:rPr>
      </w:pPr>
      <w:r>
        <w:rPr>
          <w:rFonts w:ascii="宋体" w:hAnsi="Calibri"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97367D">
      <w:pPr>
        <w:spacing w:line="360" w:lineRule="auto"/>
        <w:ind w:firstLine="420"/>
        <w:rPr>
          <w:rStyle w:val="da"/>
          <w:rFonts w:ascii="宋体" w:hAnsi="Calibri" w:cs="宋体"/>
          <w:lang w:eastAsia="zh-CN"/>
        </w:rPr>
      </w:pPr>
      <w:bookmarkStart w:id="1800" w:name="_Toc332373501"/>
      <w:r>
        <w:rPr>
          <w:rStyle w:val="da"/>
          <w:rFonts w:ascii="宋体" w:hAnsi="Calibri" w:cs="宋体" w:hint="eastAsia"/>
          <w:highlight w:val="white"/>
          <w:lang w:eastAsia="zh-CN"/>
        </w:rPr>
        <w:t>二、申购与赎回的场所</w:t>
      </w:r>
      <w:bookmarkEnd w:id="1800"/>
    </w:p>
    <w:p w:rsidR="0097367D">
      <w:pPr>
        <w:spacing w:line="360" w:lineRule="auto"/>
        <w:ind w:firstLine="420"/>
        <w:rPr>
          <w:rFonts w:ascii="宋体" w:hAnsi="Calibri" w:cs="宋体"/>
          <w:bCs/>
          <w:lang w:eastAsia="zh-CN"/>
        </w:rPr>
      </w:pPr>
      <w:r>
        <w:rPr>
          <w:rFonts w:ascii="宋体" w:hAnsi="Calibri"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97367D">
      <w:pPr>
        <w:spacing w:line="360" w:lineRule="auto"/>
        <w:ind w:firstLine="420"/>
        <w:rPr>
          <w:rFonts w:ascii="宋体" w:hAnsi="Calibri" w:cs="宋体"/>
          <w:bCs/>
          <w:lang w:eastAsia="zh-CN"/>
        </w:rPr>
      </w:pPr>
      <w:r>
        <w:rPr>
          <w:rFonts w:ascii="宋体" w:hAnsi="Calibri" w:cs="宋体" w:hint="eastAsia"/>
          <w:bCs/>
          <w:highlight w:val="white"/>
          <w:lang w:eastAsia="zh-CN"/>
        </w:rPr>
        <w:t>本基金不同类别份额的申购、赎回的销售机构可能不同，具体详见基金管理人网站公示。</w:t>
      </w:r>
    </w:p>
    <w:p w:rsidR="0097367D">
      <w:pPr>
        <w:spacing w:line="360" w:lineRule="auto"/>
        <w:ind w:firstLine="420"/>
        <w:rPr>
          <w:rStyle w:val="da"/>
          <w:rFonts w:ascii="宋体" w:hAnsi="Calibri" w:cs="宋体"/>
          <w:szCs w:val="21"/>
          <w:lang w:eastAsia="zh-CN"/>
        </w:rPr>
      </w:pPr>
      <w:bookmarkStart w:id="1801" w:name="_Toc332373502"/>
      <w:r>
        <w:rPr>
          <w:rStyle w:val="da"/>
          <w:rFonts w:ascii="宋体" w:hAnsi="Calibri" w:cs="宋体" w:hint="eastAsia"/>
          <w:szCs w:val="21"/>
          <w:highlight w:val="white"/>
          <w:lang w:eastAsia="zh-CN"/>
        </w:rPr>
        <w:t>三、申购与赎回办理的开放日及时间</w:t>
      </w:r>
      <w:bookmarkEnd w:id="1801"/>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1、开放日及开放时间</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投资人在开放日办理基金份额的申购和赎回，本基金的开放日为上海证券交易所、深圳证券交易所的交易日，但基金管理人根据法律法规、中国证监会的要求或基金合同的规定公告暂停申购、赎回时除外。开放日的具体业务办理时间</w:t>
      </w:r>
      <w:r>
        <w:rPr>
          <w:rStyle w:val="da"/>
          <w:rFonts w:ascii="宋体" w:hAnsi="Calibri" w:cs="宋体" w:hint="eastAsia"/>
          <w:szCs w:val="21"/>
          <w:highlight w:val="white"/>
          <w:lang w:eastAsia="zh-CN"/>
        </w:rPr>
        <w:t>见相关</w:t>
      </w:r>
      <w:r>
        <w:rPr>
          <w:rStyle w:val="da"/>
          <w:rFonts w:ascii="宋体" w:hAnsi="Calibri" w:cs="宋体" w:hint="eastAsia"/>
          <w:szCs w:val="21"/>
          <w:highlight w:val="white"/>
          <w:lang w:eastAsia="zh-CN"/>
        </w:rPr>
        <w:t>公告。</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合同生效后，若出现新的证券/期货交易市场、证券/期货交易所交易时间变更、其他特殊情况或根据业务需要，基金管理人将视情况对前述开放日及开放时间进行相应的调整，但应在实施前依照《信息披露办法》的有关规定在规定媒介上公告。</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2、申购、赎回开始日及业务办理时间</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基金管理人可根据实际情况依法决定本基金开始办理申购的具体日期，具体业务办理时间在申购开始公告中规定。</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基金管理人自基金合同生效之日起不超过三个月开始办理赎回，具体业务办理时间在赎回开始公告中规定。</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w:t>
      </w:r>
      <w:r>
        <w:rPr>
          <w:rStyle w:val="da"/>
          <w:rFonts w:ascii="宋体" w:hAnsi="Calibri" w:cs="宋体" w:hint="eastAsia"/>
          <w:szCs w:val="21"/>
          <w:highlight w:val="white"/>
          <w:lang w:eastAsia="zh-CN"/>
        </w:rPr>
        <w:t>且登记</w:t>
      </w:r>
      <w:r>
        <w:rPr>
          <w:rStyle w:val="da"/>
          <w:rFonts w:ascii="宋体" w:hAnsi="Calibri" w:cs="宋体" w:hint="eastAsia"/>
          <w:szCs w:val="21"/>
          <w:highlight w:val="white"/>
          <w:lang w:eastAsia="zh-CN"/>
        </w:rPr>
        <w:t>机构确认接受的，其基金份额申购、赎回价格为下一开放日基金份额申购、赎回的价格。</w:t>
      </w:r>
    </w:p>
    <w:p w:rsidR="0097367D">
      <w:pPr>
        <w:spacing w:line="360" w:lineRule="auto"/>
        <w:ind w:firstLine="420"/>
        <w:rPr>
          <w:rFonts w:ascii="宋体" w:hAnsi="Calibri" w:cs="宋体"/>
          <w:bCs/>
          <w:sz w:val="24"/>
          <w:lang w:eastAsia="zh-CN"/>
        </w:rPr>
      </w:pPr>
      <w:bookmarkStart w:id="1802" w:name="_Toc332373503"/>
      <w:r>
        <w:rPr>
          <w:rStyle w:val="da"/>
          <w:rFonts w:ascii="宋体" w:hAnsi="Calibri" w:cs="宋体" w:hint="eastAsia"/>
          <w:szCs w:val="21"/>
          <w:highlight w:val="white"/>
          <w:lang w:eastAsia="zh-CN"/>
        </w:rPr>
        <w:t>四、</w:t>
      </w:r>
      <w:r>
        <w:rPr>
          <w:rStyle w:val="da"/>
          <w:rFonts w:ascii="宋体" w:hAnsi="Calibri" w:cs="宋体"/>
          <w:szCs w:val="21"/>
          <w:highlight w:val="white"/>
          <w:lang w:eastAsia="zh-CN"/>
        </w:rPr>
        <w:t>申购与赎回的原则</w:t>
      </w:r>
      <w:bookmarkEnd w:id="1802"/>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Pr>
          <w:rFonts w:ascii="宋体" w:hAnsi="Calibri" w:cs="宋体"/>
          <w:bCs/>
          <w:szCs w:val="21"/>
          <w:highlight w:val="white"/>
          <w:lang w:eastAsia="zh-CN"/>
        </w:rPr>
        <w:t>“</w:t>
      </w:r>
      <w:r>
        <w:rPr>
          <w:rFonts w:ascii="宋体" w:hAnsi="Calibri" w:cs="宋体"/>
          <w:bCs/>
          <w:szCs w:val="21"/>
          <w:highlight w:val="white"/>
          <w:lang w:eastAsia="zh-CN"/>
        </w:rPr>
        <w:t>未知价</w:t>
      </w:r>
      <w:r>
        <w:rPr>
          <w:rFonts w:ascii="宋体" w:hAnsi="Calibri" w:cs="宋体"/>
          <w:bCs/>
          <w:szCs w:val="21"/>
          <w:highlight w:val="white"/>
          <w:lang w:eastAsia="zh-CN"/>
        </w:rPr>
        <w:t>”</w:t>
      </w:r>
      <w:r>
        <w:rPr>
          <w:rFonts w:ascii="宋体" w:hAnsi="Calibri" w:cs="宋体"/>
          <w:bCs/>
          <w:szCs w:val="21"/>
          <w:highlight w:val="white"/>
          <w:lang w:eastAsia="zh-CN"/>
        </w:rPr>
        <w:t>原则，即申购、赎回价格以申请当日收市后计算的对应份额类别的基金份额净值为基准进行计算；</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Pr>
          <w:rFonts w:ascii="宋体" w:hAnsi="Calibri" w:cs="宋体"/>
          <w:bCs/>
          <w:szCs w:val="21"/>
          <w:highlight w:val="white"/>
          <w:lang w:eastAsia="zh-CN"/>
        </w:rPr>
        <w:t>“</w:t>
      </w:r>
      <w:r>
        <w:rPr>
          <w:rFonts w:ascii="宋体" w:hAnsi="Calibri" w:cs="宋体"/>
          <w:bCs/>
          <w:szCs w:val="21"/>
          <w:highlight w:val="white"/>
          <w:lang w:eastAsia="zh-CN"/>
        </w:rPr>
        <w:t>金额申购、份额赎回</w:t>
      </w:r>
      <w:r>
        <w:rPr>
          <w:rFonts w:ascii="宋体" w:hAnsi="Calibri" w:cs="宋体"/>
          <w:bCs/>
          <w:szCs w:val="21"/>
          <w:highlight w:val="white"/>
          <w:lang w:eastAsia="zh-CN"/>
        </w:rPr>
        <w:t>”</w:t>
      </w:r>
      <w:r>
        <w:rPr>
          <w:rFonts w:ascii="宋体" w:hAnsi="Calibri" w:cs="宋体"/>
          <w:bCs/>
          <w:szCs w:val="21"/>
          <w:highlight w:val="white"/>
          <w:lang w:eastAsia="zh-CN"/>
        </w:rPr>
        <w:t>原则，即申购以金额申请，赎回以份额申请；</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3、当日的申购与赎回申请可以在基金管理人规定的时间以内撤销；</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4、基金份额持有人赎回时，除指定赎回外，基金管理人按先进先出的原则，对该持有人账户在该销售机构托管的基金份额进行处理，即先确认的份额先赎回，后确认的份额后赎回，以确定所适用的赎回费率；</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5、办理申购、赎回业务时，应当遵循基金份额持有人利益优先原则，确保投资者的合法权益不受损害并得到公平对待。</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五、申购与赎回的程序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1、申购和赎回的申请方式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投资人必须根据销售机构规定的程序，在开放日的具体业务办理时间内提出申购或赎回的申请。</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2、申购和赎回申请的确认</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以交易时间结束前受理有效申购和赎回申请的当天作为申购或赎回申请日（T日），在正常情况下，本基金登记机构在T+1日内对该交易的有效性进行确认。T日提交的有效申请，投资人应在T+2日后（包括该日）</w:t>
      </w:r>
      <w:r>
        <w:rPr>
          <w:rFonts w:ascii="宋体" w:hAnsi="Calibri" w:cs="宋体"/>
          <w:bCs/>
          <w:szCs w:val="21"/>
          <w:highlight w:val="white"/>
          <w:lang w:eastAsia="zh-CN"/>
        </w:rPr>
        <w:t>到销售网点柜台或以销售机构规定的其他方式查询申请的确认情况。若申购不成功，则申购款项本金退还给投资人。</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3、申购和赎回的款项支付</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97367D">
      <w:pPr>
        <w:spacing w:line="360" w:lineRule="auto"/>
        <w:ind w:firstLine="420"/>
        <w:rPr>
          <w:rStyle w:val="da"/>
          <w:rFonts w:ascii="宋体" w:hAnsi="Calibri" w:cs="宋体"/>
          <w:szCs w:val="21"/>
          <w:lang w:eastAsia="zh-CN"/>
        </w:rPr>
      </w:pPr>
      <w:r>
        <w:rPr>
          <w:rFonts w:ascii="宋体" w:hAnsi="Calibri" w:cs="宋体" w:hint="eastAsia"/>
          <w:szCs w:val="21"/>
          <w:highlight w:val="white"/>
          <w:lang w:eastAsia="zh-CN"/>
        </w:rPr>
        <w:t>基金份额持有人递交赎回申请，赎回成立；登记机构确认赎回时，赎回生效。投资者赎回申请生效后，基金管理人将在</w:t>
      </w:r>
      <w:r>
        <w:rPr>
          <w:rFonts w:ascii="宋体" w:hAnsi="Calibri" w:cs="宋体"/>
          <w:szCs w:val="21"/>
          <w:highlight w:val="white"/>
          <w:lang w:eastAsia="zh-CN"/>
        </w:rPr>
        <w:t>T＋</w:t>
      </w:r>
      <w:r>
        <w:rPr>
          <w:rFonts w:ascii="宋体" w:hAnsi="Calibri" w:cs="宋体" w:hint="eastAsia"/>
          <w:szCs w:val="21"/>
          <w:highlight w:val="white"/>
          <w:lang w:eastAsia="zh-CN"/>
        </w:rPr>
        <w:t>7日（包括该日）</w:t>
      </w:r>
      <w:r>
        <w:rPr>
          <w:rFonts w:ascii="宋体" w:hAnsi="Calibri" w:cs="宋体"/>
          <w:szCs w:val="21"/>
          <w:highlight w:val="white"/>
          <w:lang w:eastAsia="zh-CN"/>
        </w:rPr>
        <w:t>内支付赎回款项。</w:t>
      </w:r>
      <w:r>
        <w:rPr>
          <w:rStyle w:val="da"/>
          <w:rFonts w:ascii="宋体" w:hAnsi="Calibri" w:cs="宋体" w:hint="eastAsia"/>
          <w:szCs w:val="21"/>
          <w:highlight w:val="white"/>
          <w:lang w:eastAsia="zh-CN"/>
        </w:rPr>
        <w:t>如</w:t>
      </w:r>
      <w:r>
        <w:rPr>
          <w:rStyle w:val="da"/>
          <w:rFonts w:ascii="宋体" w:hAnsi="Calibri" w:cs="宋体" w:hint="eastAsia"/>
          <w:szCs w:val="21"/>
          <w:highlight w:val="white"/>
          <w:lang w:eastAsia="zh-CN"/>
        </w:rPr>
        <w:t>遇登记</w:t>
      </w:r>
      <w:r>
        <w:rPr>
          <w:rStyle w:val="da"/>
          <w:rFonts w:ascii="宋体" w:hAnsi="Calibri" w:cs="宋体" w:hint="eastAsia"/>
          <w:szCs w:val="21"/>
          <w:highlight w:val="white"/>
          <w:lang w:eastAsia="zh-CN"/>
        </w:rPr>
        <w:t>公司系统故障、交易所或交易市场数据传输延迟、通讯系统故障、银行数据交换系统故障或其它</w:t>
      </w:r>
      <w:r>
        <w:rPr>
          <w:rStyle w:val="da"/>
          <w:rFonts w:ascii="宋体" w:hAnsi="Calibri" w:cs="宋体" w:hint="eastAsia"/>
          <w:szCs w:val="21"/>
          <w:highlight w:val="white"/>
          <w:lang w:eastAsia="zh-CN"/>
        </w:rPr>
        <w:t>非基金</w:t>
      </w:r>
      <w:r>
        <w:rPr>
          <w:rStyle w:val="da"/>
          <w:rFonts w:ascii="宋体" w:hAnsi="Calibri" w:cs="宋体" w:hint="eastAsia"/>
          <w:szCs w:val="21"/>
          <w:highlight w:val="white"/>
          <w:lang w:eastAsia="zh-CN"/>
        </w:rPr>
        <w:t>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97367D">
      <w:pPr>
        <w:spacing w:line="360" w:lineRule="auto"/>
        <w:ind w:firstLine="420"/>
        <w:rPr>
          <w:rStyle w:val="da"/>
          <w:rFonts w:ascii="宋体" w:hAnsi="Calibri" w:cs="宋体"/>
          <w:szCs w:val="21"/>
          <w:lang w:eastAsia="zh-CN"/>
        </w:rPr>
      </w:pPr>
      <w:bookmarkStart w:id="1803" w:name="_Toc332373505"/>
      <w:r>
        <w:rPr>
          <w:rStyle w:val="da"/>
          <w:rFonts w:ascii="宋体" w:hAnsi="Calibri" w:cs="宋体" w:hint="eastAsia"/>
          <w:szCs w:val="21"/>
          <w:highlight w:val="white"/>
          <w:lang w:eastAsia="zh-CN"/>
        </w:rPr>
        <w:t>六、申购与赎回的数额限制</w:t>
      </w:r>
      <w:bookmarkEnd w:id="1803"/>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 xml:space="preserve">1、申购金额的限制 </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投资人通过非直销销售机构或本公司网上直销系统首次申购的单笔最低</w:t>
      </w:r>
      <w:r>
        <w:rPr>
          <w:rFonts w:ascii="宋体" w:hAnsi="Calibri" w:cs="宋体"/>
          <w:szCs w:val="21"/>
          <w:highlight w:val="white"/>
          <w:lang w:eastAsia="zh-CN"/>
        </w:rPr>
        <w:t>限额</w:t>
      </w:r>
      <w:r>
        <w:rPr>
          <w:rFonts w:ascii="宋体" w:hAnsi="Calibri" w:cs="宋体" w:hint="eastAsia"/>
          <w:szCs w:val="21"/>
          <w:highlight w:val="white"/>
          <w:lang w:eastAsia="zh-CN"/>
        </w:rPr>
        <w:t>为人民币1元，追加申购单笔最低</w:t>
      </w:r>
      <w:r>
        <w:rPr>
          <w:rFonts w:ascii="宋体" w:hAnsi="Calibri" w:cs="宋体"/>
          <w:szCs w:val="21"/>
          <w:highlight w:val="white"/>
          <w:lang w:eastAsia="zh-CN"/>
        </w:rPr>
        <w:t>限额</w:t>
      </w:r>
      <w:r>
        <w:rPr>
          <w:rFonts w:ascii="宋体" w:hAnsi="Calibri" w:cs="宋体" w:hint="eastAsia"/>
          <w:szCs w:val="21"/>
          <w:highlight w:val="white"/>
          <w:lang w:eastAsia="zh-CN"/>
        </w:rPr>
        <w:t>为人民币1元；投资人通过本公司直销中心首次申购的单笔最低</w:t>
      </w:r>
      <w:r>
        <w:rPr>
          <w:rFonts w:ascii="宋体" w:hAnsi="Calibri" w:cs="宋体"/>
          <w:szCs w:val="21"/>
          <w:highlight w:val="white"/>
          <w:lang w:eastAsia="zh-CN"/>
        </w:rPr>
        <w:t>限额</w:t>
      </w:r>
      <w:r>
        <w:rPr>
          <w:rFonts w:ascii="宋体" w:hAnsi="Calibri" w:cs="宋体" w:hint="eastAsia"/>
          <w:szCs w:val="21"/>
          <w:highlight w:val="white"/>
          <w:lang w:eastAsia="zh-CN"/>
        </w:rPr>
        <w:t>为人民币50,000元，追加申购单笔最低</w:t>
      </w:r>
      <w:r>
        <w:rPr>
          <w:rFonts w:ascii="宋体" w:hAnsi="Calibri" w:cs="宋体"/>
          <w:szCs w:val="21"/>
          <w:highlight w:val="white"/>
          <w:lang w:eastAsia="zh-CN"/>
        </w:rPr>
        <w:t>限额</w:t>
      </w:r>
      <w:r>
        <w:rPr>
          <w:rFonts w:ascii="宋体" w:hAnsi="Calibri" w:cs="宋体" w:hint="eastAsia"/>
          <w:szCs w:val="21"/>
          <w:highlight w:val="white"/>
          <w:lang w:eastAsia="zh-CN"/>
        </w:rPr>
        <w:t>是人民币1,000元。</w:t>
      </w:r>
      <w:r>
        <w:rPr>
          <w:rStyle w:val="da"/>
          <w:rFonts w:ascii="宋体" w:hAnsi="Calibri" w:cs="宋体" w:hint="eastAsia"/>
          <w:highlight w:val="white"/>
          <w:lang w:eastAsia="zh-CN"/>
        </w:rPr>
        <w:t>在符合法律法规规定的前提下，</w:t>
      </w:r>
      <w:r>
        <w:rPr>
          <w:rFonts w:ascii="宋体" w:hAnsi="Calibri" w:cs="宋体" w:hint="eastAsia"/>
          <w:szCs w:val="21"/>
          <w:highlight w:val="white"/>
          <w:lang w:eastAsia="zh-CN"/>
        </w:rPr>
        <w:t>各销售机构对申购</w:t>
      </w:r>
      <w:r>
        <w:rPr>
          <w:rFonts w:ascii="宋体" w:hAnsi="Calibri" w:cs="宋体"/>
          <w:szCs w:val="21"/>
          <w:highlight w:val="white"/>
          <w:lang w:eastAsia="zh-CN"/>
        </w:rPr>
        <w:t>限额</w:t>
      </w:r>
      <w:r>
        <w:rPr>
          <w:rFonts w:ascii="宋体" w:hAnsi="Calibri" w:cs="宋体" w:hint="eastAsia"/>
          <w:szCs w:val="21"/>
          <w:highlight w:val="white"/>
          <w:lang w:eastAsia="zh-CN"/>
        </w:rPr>
        <w:t>及交易级差有其他规定的，需同时遵循该销售机构的相关规定。</w:t>
      </w:r>
      <w:r>
        <w:rPr>
          <w:rFonts w:ascii="宋体" w:hAnsi="Calibri" w:cs="宋体"/>
          <w:szCs w:val="21"/>
          <w:highlight w:val="white"/>
          <w:lang w:eastAsia="zh-CN"/>
        </w:rPr>
        <w:t>（以上金额</w:t>
      </w:r>
      <w:r>
        <w:rPr>
          <w:rFonts w:ascii="宋体" w:hAnsi="Calibri" w:cs="宋体" w:hint="eastAsia"/>
          <w:szCs w:val="21"/>
          <w:highlight w:val="white"/>
          <w:lang w:eastAsia="zh-CN"/>
        </w:rPr>
        <w:t>均</w:t>
      </w:r>
      <w:r>
        <w:rPr>
          <w:rFonts w:ascii="宋体" w:hAnsi="Calibri" w:cs="宋体"/>
          <w:szCs w:val="21"/>
          <w:highlight w:val="white"/>
          <w:lang w:eastAsia="zh-CN"/>
        </w:rPr>
        <w:t>含</w:t>
      </w:r>
      <w:r>
        <w:rPr>
          <w:rFonts w:ascii="宋体" w:hAnsi="Calibri" w:cs="宋体" w:hint="eastAsia"/>
          <w:szCs w:val="21"/>
          <w:highlight w:val="white"/>
          <w:lang w:eastAsia="zh-CN"/>
        </w:rPr>
        <w:t>申</w:t>
      </w:r>
      <w:r>
        <w:rPr>
          <w:rFonts w:ascii="宋体" w:hAnsi="Calibri" w:cs="宋体"/>
          <w:szCs w:val="21"/>
          <w:highlight w:val="white"/>
          <w:lang w:eastAsia="zh-CN"/>
        </w:rPr>
        <w:t>购费）</w:t>
      </w:r>
      <w:r>
        <w:rPr>
          <w:rFonts w:ascii="宋体" w:hAnsi="Calibri" w:cs="宋体" w:hint="eastAsia"/>
          <w:szCs w:val="21"/>
          <w:highlight w:val="white"/>
          <w:lang w:eastAsia="zh-CN"/>
        </w:rPr>
        <w:t>。</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投资人将当期分配的基金收益转购基金份额或采用定期定额投资计划时，不受最低申购金额的限制。</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Calibri" w:cs="宋体"/>
          <w:szCs w:val="21"/>
          <w:highlight w:val="white"/>
          <w:lang w:eastAsia="zh-CN"/>
        </w:rPr>
        <w:t>,</w:t>
      </w:r>
      <w:r>
        <w:rPr>
          <w:rFonts w:ascii="宋体" w:hAnsi="Calibri"/>
          <w:szCs w:val="21"/>
          <w:highlight w:val="white"/>
          <w:lang w:eastAsia="zh-CN"/>
        </w:rPr>
        <w:t>基金管理人基于投资运作与风险控制的需要，可采取上述措施对基金规模予以控制。具体</w:t>
      </w:r>
      <w:r>
        <w:rPr>
          <w:rFonts w:ascii="宋体" w:hAnsi="Calibri"/>
          <w:szCs w:val="21"/>
          <w:highlight w:val="white"/>
          <w:lang w:eastAsia="zh-CN"/>
        </w:rPr>
        <w:t>见基金</w:t>
      </w:r>
      <w:r>
        <w:rPr>
          <w:rFonts w:ascii="宋体" w:hAnsi="Calibri"/>
          <w:szCs w:val="21"/>
          <w:highlight w:val="white"/>
          <w:lang w:eastAsia="zh-CN"/>
        </w:rPr>
        <w:t>管理人相关公告</w:t>
      </w:r>
      <w:r>
        <w:rPr>
          <w:rFonts w:ascii="宋体" w:hAnsi="Calibri" w:cs="宋体" w:hint="eastAsia"/>
          <w:szCs w:val="21"/>
          <w:highlight w:val="white"/>
          <w:lang w:eastAsia="zh-CN"/>
        </w:rPr>
        <w:t>。法律法规、中国证监会另有规定的除外。</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2、赎回份额的限制</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投资人可将其全部或部分基金份额赎回。</w:t>
      </w:r>
      <w:r>
        <w:rPr>
          <w:rFonts w:ascii="宋体" w:hAnsi="Calibri" w:cs="宋体"/>
          <w:szCs w:val="21"/>
          <w:highlight w:val="white"/>
          <w:lang w:eastAsia="zh-CN"/>
        </w:rPr>
        <w:t>每类</w:t>
      </w:r>
      <w:r>
        <w:rPr>
          <w:rFonts w:ascii="宋体" w:hAnsi="Calibri" w:cs="宋体" w:hint="eastAsia"/>
          <w:szCs w:val="21"/>
          <w:highlight w:val="white"/>
          <w:lang w:eastAsia="zh-CN"/>
        </w:rPr>
        <w:t>基金份额单笔赎回或转换不得少于1份（如该账户在该销售机构托管的该</w:t>
      </w:r>
      <w:r>
        <w:rPr>
          <w:rFonts w:ascii="宋体" w:hAnsi="Calibri" w:cs="宋体"/>
          <w:szCs w:val="21"/>
          <w:highlight w:val="white"/>
          <w:lang w:eastAsia="zh-CN"/>
        </w:rPr>
        <w:t>类</w:t>
      </w:r>
      <w:r>
        <w:rPr>
          <w:rFonts w:ascii="宋体" w:hAnsi="Calibri" w:cs="宋体" w:hint="eastAsia"/>
          <w:szCs w:val="21"/>
          <w:highlight w:val="white"/>
          <w:lang w:eastAsia="zh-CN"/>
        </w:rPr>
        <w:t>基金份额余额不足1份，则必须一次性赎回或转出该类基金份额全部份额）；若某笔赎回将导致投资人在该销售机构托管的该类基金份额余额不足1份时，基金管理人有权将投资人在该销售机构托管的该类基金份额剩余份额一次性全部赎回。</w:t>
      </w:r>
      <w:r>
        <w:rPr>
          <w:rStyle w:val="da"/>
          <w:rFonts w:ascii="宋体" w:hAnsi="Calibri" w:cs="宋体" w:hint="eastAsia"/>
          <w:highlight w:val="white"/>
          <w:lang w:eastAsia="zh-CN"/>
        </w:rPr>
        <w:t>在符合法律法规规定的前提下，</w:t>
      </w:r>
      <w:r>
        <w:rPr>
          <w:rFonts w:ascii="宋体" w:hAnsi="Calibri" w:cs="宋体" w:hint="eastAsia"/>
          <w:szCs w:val="21"/>
          <w:highlight w:val="white"/>
          <w:lang w:eastAsia="zh-CN"/>
        </w:rPr>
        <w:t>各销售机构对赎回份额限制有其他规定的，需同时遵循该销售机构的相关规定。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3、基金管理人可在不违反法律法规的情况下，调整上述规定申购金额和赎回份额的数量限制，或者新增基金规模控制措施。基金管理人必须在调整前依照《信息披露办法》的有关规定在规定媒介上公告。</w:t>
      </w:r>
    </w:p>
    <w:p w:rsidR="0097367D">
      <w:pPr>
        <w:spacing w:line="360" w:lineRule="auto"/>
        <w:ind w:firstLine="420"/>
        <w:rPr>
          <w:rStyle w:val="da"/>
          <w:rFonts w:ascii="宋体" w:hAnsi="Calibri" w:cs="宋体"/>
          <w:szCs w:val="21"/>
          <w:lang w:eastAsia="zh-CN"/>
        </w:rPr>
      </w:pPr>
      <w:bookmarkStart w:id="1804" w:name="_Toc332373506"/>
      <w:r>
        <w:rPr>
          <w:rStyle w:val="da"/>
          <w:rFonts w:ascii="宋体" w:hAnsi="Calibri" w:cs="宋体" w:hint="eastAsia"/>
          <w:szCs w:val="21"/>
          <w:highlight w:val="white"/>
          <w:lang w:eastAsia="zh-CN"/>
        </w:rPr>
        <w:t>七、基金的申购费和赎回费</w:t>
      </w:r>
      <w:bookmarkEnd w:id="1804"/>
    </w:p>
    <w:p w:rsidR="0097367D">
      <w:pPr>
        <w:spacing w:line="360" w:lineRule="auto"/>
        <w:ind w:firstLine="420"/>
        <w:rPr>
          <w:rFonts w:ascii="宋体" w:hAnsi="Calibri" w:cs="宋体"/>
          <w:szCs w:val="21"/>
        </w:rPr>
      </w:pPr>
      <w:r>
        <w:rPr>
          <w:rFonts w:ascii="宋体" w:hAnsi="Calibri" w:cs="宋体" w:hint="eastAsia"/>
          <w:szCs w:val="21"/>
          <w:highlight w:val="white"/>
          <w:lang w:eastAsia="zh-CN"/>
        </w:rPr>
        <w:t>1、</w:t>
      </w:r>
      <w:r>
        <w:rPr>
          <w:rFonts w:ascii="宋体" w:hAnsi="Calibri" w:cs="宋体" w:hint="eastAsia"/>
          <w:bCs/>
          <w:szCs w:val="21"/>
          <w:highlight w:val="white"/>
          <w:lang w:eastAsia="zh-CN"/>
        </w:rPr>
        <w:t>本基金</w:t>
      </w:r>
      <w:r>
        <w:rPr>
          <w:rFonts w:ascii="宋体" w:hAnsi="Calibri" w:cs="宋体"/>
          <w:bCs/>
          <w:szCs w:val="21"/>
          <w:highlight w:val="white"/>
          <w:lang w:eastAsia="zh-CN"/>
        </w:rPr>
        <w:t>A类基金份额</w:t>
      </w:r>
      <w:r>
        <w:rPr>
          <w:rFonts w:ascii="宋体" w:hAnsi="Calibri" w:cs="宋体" w:hint="eastAsia"/>
          <w:bCs/>
          <w:szCs w:val="21"/>
          <w:highlight w:val="white"/>
          <w:lang w:eastAsia="zh-CN"/>
        </w:rPr>
        <w:t>按规定收取的</w:t>
      </w:r>
      <w:r>
        <w:rPr>
          <w:rFonts w:ascii="宋体" w:hAnsi="Calibri" w:cs="宋体"/>
          <w:bCs/>
          <w:szCs w:val="21"/>
          <w:highlight w:val="white"/>
          <w:lang w:eastAsia="zh-CN"/>
        </w:rPr>
        <w:t>申购费用由</w:t>
      </w:r>
      <w:r>
        <w:rPr>
          <w:rFonts w:ascii="宋体" w:hAnsi="Calibri" w:cs="宋体" w:hint="eastAsia"/>
          <w:bCs/>
          <w:szCs w:val="21"/>
          <w:highlight w:val="white"/>
          <w:lang w:eastAsia="zh-CN"/>
        </w:rPr>
        <w:t>申购</w:t>
      </w:r>
      <w:r>
        <w:rPr>
          <w:rFonts w:ascii="宋体" w:hAnsi="Calibri" w:cs="宋体" w:hint="eastAsia"/>
          <w:highlight w:val="white"/>
          <w:lang w:eastAsia="zh-CN"/>
        </w:rPr>
        <w:t>该类</w:t>
      </w:r>
      <w:r>
        <w:rPr>
          <w:rFonts w:ascii="宋体" w:hAnsi="Calibri" w:cs="宋体" w:hint="eastAsia"/>
          <w:bCs/>
          <w:szCs w:val="21"/>
          <w:highlight w:val="white"/>
          <w:lang w:eastAsia="zh-CN"/>
        </w:rPr>
        <w:t>基金份额的</w:t>
      </w:r>
      <w:r>
        <w:rPr>
          <w:rFonts w:ascii="宋体" w:hAnsi="Calibri" w:cs="宋体"/>
          <w:bCs/>
          <w:szCs w:val="21"/>
          <w:highlight w:val="white"/>
          <w:lang w:eastAsia="zh-CN"/>
        </w:rPr>
        <w:t>投资人承担</w:t>
      </w:r>
      <w:r>
        <w:rPr>
          <w:rFonts w:ascii="宋体" w:hAnsi="Calibri" w:cs="宋体" w:hint="eastAsia"/>
          <w:szCs w:val="21"/>
          <w:highlight w:val="white"/>
          <w:lang w:eastAsia="zh-CN"/>
        </w:rPr>
        <w:t>，</w:t>
      </w:r>
      <w:r>
        <w:rPr>
          <w:rFonts w:ascii="宋体" w:hAnsi="Calibri" w:cs="宋体"/>
          <w:szCs w:val="21"/>
          <w:highlight w:val="white"/>
          <w:lang w:eastAsia="zh-CN"/>
        </w:rPr>
        <w:t>不列入基金财产，主要用于本基金的市场推广、销售等各项费用。C类基金份额不收取申购费</w:t>
      </w:r>
      <w:r>
        <w:rPr>
          <w:rFonts w:ascii="宋体" w:hAnsi="Calibri" w:cs="宋体"/>
          <w:color w:val="000000"/>
          <w:highlight w:val="white"/>
          <w:lang w:eastAsia="zh-CN"/>
        </w:rPr>
        <w:t>，在投资者持有期间</w:t>
      </w:r>
      <w:r>
        <w:rPr>
          <w:rFonts w:ascii="宋体" w:hAnsi="宋体" w:cs="宋体"/>
          <w:color w:val="000000"/>
          <w:highlight w:val="white"/>
          <w:lang w:eastAsia="zh-CN"/>
        </w:rPr>
        <w:t>计提销售服务费</w:t>
      </w:r>
      <w:r>
        <w:rPr>
          <w:rFonts w:ascii="宋体" w:hAnsi="宋体" w:cs="宋体" w:hint="eastAsia"/>
          <w:color w:val="000000"/>
          <w:highlight w:val="white"/>
          <w:lang w:eastAsia="zh-CN"/>
        </w:rPr>
        <w:t>并按规定收取或返还</w:t>
      </w:r>
      <w:r>
        <w:rPr>
          <w:rFonts w:ascii="宋体" w:hAnsi="Calibri" w:cs="宋体"/>
          <w:szCs w:val="21"/>
          <w:highlight w:val="white"/>
          <w:lang w:eastAsia="zh-CN"/>
        </w:rPr>
        <w:t>。</w:t>
      </w:r>
      <w:r>
        <w:rPr>
          <w:rFonts w:ascii="宋体" w:hAnsi="Calibri" w:cs="宋体"/>
          <w:szCs w:val="21"/>
          <w:highlight w:val="white"/>
        </w:rPr>
        <w:t>赎回费用由基金赎回人承担。</w:t>
      </w:r>
    </w:p>
    <w:p w:rsidR="0097367D">
      <w:pPr>
        <w:spacing w:line="360" w:lineRule="auto"/>
        <w:ind w:firstLine="420"/>
        <w:rPr>
          <w:rFonts w:ascii="宋体" w:hAnsi="Calibri" w:cs="宋体"/>
        </w:rPr>
      </w:pPr>
      <w:r>
        <w:rPr>
          <w:rFonts w:ascii="宋体" w:hAnsi="Calibri" w:cs="宋体" w:hint="eastAsia"/>
          <w:szCs w:val="21"/>
          <w:highlight w:val="white"/>
        </w:rPr>
        <w:t>2、申购费率</w:t>
      </w:r>
    </w:p>
    <w:tbl>
      <w:tblPr>
        <w:tblW w:w="7574" w:type="dxa"/>
        <w:jc w:val="center"/>
        <w:tblLayout w:type="fixed"/>
        <w:tblLook w:val="04A0"/>
      </w:tblPr>
      <w:tblGrid>
        <w:gridCol w:w="3794"/>
        <w:gridCol w:w="3780"/>
      </w:tblGrid>
      <w:tr>
        <w:tblPrEx>
          <w:tblW w:w="7574" w:type="dxa"/>
          <w:jc w:val="center"/>
          <w:tblLayout w:type="fixed"/>
          <w:tblLook w:val="04A0"/>
        </w:tblPrEx>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97367D">
            <w:pPr>
              <w:widowControl/>
              <w:spacing w:line="360" w:lineRule="auto"/>
              <w:jc w:val="center"/>
              <w:rPr>
                <w:rFonts w:ascii="宋体" w:hAnsi="Calibri" w:cs="宋体"/>
                <w:bCs/>
                <w:szCs w:val="21"/>
                <w:lang w:eastAsia="zh-CN"/>
              </w:rPr>
            </w:pPr>
            <w:r>
              <w:rPr>
                <w:rFonts w:ascii="宋体" w:hAnsi="Calibri" w:cs="宋体"/>
                <w:bCs/>
                <w:szCs w:val="21"/>
                <w:highlight w:val="white"/>
                <w:lang w:eastAsia="zh-CN"/>
              </w:rPr>
              <w:t>申购</w:t>
            </w:r>
            <w:r>
              <w:rPr>
                <w:rFonts w:ascii="宋体" w:hAnsi="Calibri"/>
                <w:highlight w:val="white"/>
                <w:lang w:eastAsia="zh-CN"/>
              </w:rPr>
              <w:t>确认</w:t>
            </w:r>
            <w:r>
              <w:rPr>
                <w:rFonts w:ascii="宋体" w:hAnsi="Calibri" w:cs="宋体"/>
                <w:bCs/>
                <w:szCs w:val="21"/>
                <w:highlight w:val="white"/>
                <w:lang w:eastAsia="zh-CN"/>
              </w:rPr>
              <w:t>金额M（元）（含申购费）</w:t>
            </w:r>
          </w:p>
        </w:tc>
        <w:tc>
          <w:tcPr>
            <w:tcW w:w="3780" w:type="dxa"/>
            <w:tcBorders>
              <w:top w:val="single" w:sz="8" w:space="0" w:color="auto"/>
              <w:left w:val="nil"/>
              <w:bottom w:val="single" w:sz="8" w:space="0" w:color="auto"/>
              <w:right w:val="single" w:sz="8" w:space="0" w:color="auto"/>
            </w:tcBorders>
            <w:shd w:val="clear" w:color="auto" w:fill="auto"/>
          </w:tcPr>
          <w:p w:rsidR="0097367D">
            <w:pPr>
              <w:widowControl/>
              <w:spacing w:line="360" w:lineRule="auto"/>
              <w:jc w:val="center"/>
              <w:rPr>
                <w:rFonts w:ascii="宋体" w:hAnsi="Calibri" w:cs="宋体"/>
                <w:bCs/>
                <w:szCs w:val="21"/>
                <w:lang w:eastAsia="zh-CN"/>
              </w:rPr>
            </w:pPr>
            <w:r>
              <w:rPr>
                <w:rStyle w:val="da"/>
                <w:rFonts w:ascii="宋体" w:hAnsi="Calibri" w:cs="宋体"/>
                <w:highlight w:val="white"/>
                <w:lang w:eastAsia="zh-CN"/>
              </w:rPr>
              <w:t>A类基金份额</w:t>
            </w:r>
            <w:r>
              <w:rPr>
                <w:rFonts w:ascii="宋体" w:hAnsi="Calibri" w:cs="宋体"/>
                <w:bCs/>
                <w:szCs w:val="21"/>
                <w:highlight w:val="white"/>
                <w:lang w:eastAsia="zh-CN"/>
              </w:rPr>
              <w:t>申购费率</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97367D">
            <w:pPr>
              <w:widowControl/>
              <w:spacing w:line="360" w:lineRule="auto"/>
              <w:jc w:val="center"/>
              <w:rPr>
                <w:rFonts w:ascii="宋体" w:hAnsi="Calibri" w:cs="宋体"/>
                <w:szCs w:val="21"/>
              </w:rPr>
            </w:pPr>
            <w:r>
              <w:rPr>
                <w:rFonts w:ascii="宋体" w:hAnsi="Calibri" w:cs="宋体" w:hint="eastAsia"/>
                <w:bCs/>
                <w:iCs/>
              </w:rPr>
              <w:t>M＜100万</w:t>
            </w:r>
          </w:p>
        </w:tc>
        <w:tc>
          <w:tcPr>
            <w:tcW w:w="3780" w:type="dxa"/>
            <w:tcBorders>
              <w:top w:val="nil"/>
              <w:left w:val="nil"/>
              <w:bottom w:val="single" w:sz="8" w:space="0" w:color="auto"/>
              <w:right w:val="single" w:sz="8" w:space="0" w:color="auto"/>
            </w:tcBorders>
            <w:shd w:val="clear" w:color="auto" w:fill="auto"/>
          </w:tcPr>
          <w:p w:rsidR="0097367D">
            <w:pPr>
              <w:widowControl/>
              <w:spacing w:line="360" w:lineRule="auto"/>
              <w:jc w:val="center"/>
              <w:rPr>
                <w:rFonts w:ascii="宋体" w:hAnsi="Calibri" w:cs="宋体"/>
                <w:szCs w:val="21"/>
              </w:rPr>
            </w:pPr>
            <w:r>
              <w:rPr>
                <w:rFonts w:ascii="宋体" w:hAnsi="Calibri" w:cs="宋体" w:hint="eastAsia"/>
                <w:bCs/>
                <w:iCs/>
              </w:rPr>
              <w:t>0.30%</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97367D">
            <w:pPr>
              <w:widowControl/>
              <w:spacing w:line="360" w:lineRule="auto"/>
              <w:jc w:val="center"/>
              <w:rPr>
                <w:rFonts w:ascii="宋体" w:hAnsi="Calibri" w:cs="宋体"/>
                <w:szCs w:val="21"/>
              </w:rPr>
            </w:pPr>
            <w:r>
              <w:rPr>
                <w:rFonts w:ascii="宋体" w:hAnsi="Calibri" w:cs="宋体" w:hint="eastAsia"/>
                <w:bCs/>
                <w:iCs/>
              </w:rPr>
              <w:t>100万≤M＜500万</w:t>
            </w:r>
          </w:p>
        </w:tc>
        <w:tc>
          <w:tcPr>
            <w:tcW w:w="3780" w:type="dxa"/>
            <w:tcBorders>
              <w:top w:val="nil"/>
              <w:left w:val="nil"/>
              <w:bottom w:val="single" w:sz="8" w:space="0" w:color="auto"/>
              <w:right w:val="single" w:sz="8" w:space="0" w:color="auto"/>
            </w:tcBorders>
            <w:shd w:val="clear" w:color="auto" w:fill="auto"/>
          </w:tcPr>
          <w:p w:rsidR="0097367D">
            <w:pPr>
              <w:widowControl/>
              <w:spacing w:line="360" w:lineRule="auto"/>
              <w:jc w:val="center"/>
              <w:rPr>
                <w:rFonts w:ascii="宋体" w:hAnsi="Calibri" w:cs="宋体"/>
                <w:szCs w:val="21"/>
              </w:rPr>
            </w:pPr>
            <w:r>
              <w:rPr>
                <w:rFonts w:ascii="宋体" w:hAnsi="Calibri" w:cs="宋体" w:hint="eastAsia"/>
                <w:bCs/>
                <w:iCs/>
              </w:rPr>
              <w:t>0.20%</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97367D">
            <w:pPr>
              <w:widowControl/>
              <w:spacing w:line="360" w:lineRule="auto"/>
              <w:jc w:val="center"/>
              <w:rPr>
                <w:rFonts w:ascii="宋体" w:hAnsi="Calibri" w:cs="宋体"/>
                <w:szCs w:val="21"/>
              </w:rPr>
            </w:pPr>
            <w:r>
              <w:rPr>
                <w:rFonts w:ascii="宋体" w:hAnsi="Calibri" w:cs="宋体" w:hint="eastAsia"/>
                <w:bCs/>
                <w:iCs/>
              </w:rPr>
              <w:t>M≥500万</w:t>
            </w:r>
          </w:p>
        </w:tc>
        <w:tc>
          <w:tcPr>
            <w:tcW w:w="3780" w:type="dxa"/>
            <w:tcBorders>
              <w:top w:val="nil"/>
              <w:left w:val="nil"/>
              <w:bottom w:val="single" w:sz="8" w:space="0" w:color="auto"/>
              <w:right w:val="single" w:sz="8" w:space="0" w:color="auto"/>
            </w:tcBorders>
            <w:shd w:val="clear" w:color="auto" w:fill="auto"/>
          </w:tcPr>
          <w:p w:rsidR="0097367D">
            <w:pPr>
              <w:widowControl/>
              <w:spacing w:line="360" w:lineRule="auto"/>
              <w:jc w:val="center"/>
              <w:rPr>
                <w:rFonts w:ascii="宋体" w:hAnsi="Calibri" w:cs="宋体"/>
                <w:szCs w:val="21"/>
              </w:rPr>
            </w:pPr>
            <w:r>
              <w:rPr>
                <w:rFonts w:ascii="宋体" w:hAnsi="Calibri" w:cs="宋体" w:hint="eastAsia"/>
                <w:bCs/>
                <w:iCs/>
              </w:rPr>
              <w:t>1000元/笔</w:t>
            </w:r>
          </w:p>
        </w:tc>
      </w:tr>
    </w:tbl>
    <w:p w:rsidR="0097367D">
      <w:pPr>
        <w:spacing w:line="360" w:lineRule="auto"/>
        <w:ind w:firstLine="420"/>
        <w:rPr>
          <w:rStyle w:val="da"/>
          <w:rFonts w:ascii="宋体" w:hAnsi="Calibri" w:cs="宋体"/>
          <w:lang w:eastAsia="zh-CN"/>
        </w:rPr>
      </w:pPr>
      <w:r>
        <w:rPr>
          <w:rStyle w:val="da"/>
          <w:rFonts w:ascii="宋体" w:hAnsi="Calibri" w:cs="宋体"/>
          <w:highlight w:val="white"/>
          <w:lang w:eastAsia="zh-CN"/>
        </w:rPr>
        <w:t>（1</w:t>
      </w:r>
      <w:r>
        <w:rPr>
          <w:rStyle w:val="da"/>
          <w:rFonts w:ascii="宋体" w:hAnsi="Calibri" w:cs="宋体" w:hint="eastAsia"/>
          <w:highlight w:val="white"/>
          <w:lang w:eastAsia="zh-CN"/>
        </w:rPr>
        <w:t>）投资者通过基金管理人或其基金销售子公司申购本基金A类基金份额，不收取申购费用。</w:t>
      </w:r>
    </w:p>
    <w:p w:rsidR="0097367D">
      <w:pPr>
        <w:spacing w:line="360" w:lineRule="auto"/>
        <w:ind w:firstLine="420"/>
        <w:rPr>
          <w:rFonts w:ascii="宋体" w:hAnsi="Calibri" w:cs="宋体"/>
          <w:lang w:eastAsia="zh-CN"/>
        </w:rPr>
      </w:pPr>
      <w:r>
        <w:rPr>
          <w:rFonts w:ascii="宋体" w:hAnsi="Calibri" w:cs="宋体" w:hint="eastAsia"/>
          <w:highlight w:val="white"/>
          <w:lang w:eastAsia="zh-CN"/>
        </w:rPr>
        <w:t>（2）</w:t>
      </w:r>
      <w:r>
        <w:rPr>
          <w:rFonts w:hint="eastAsia"/>
          <w:highlight w:val="white"/>
          <w:lang w:eastAsia="zh-CN"/>
        </w:rPr>
        <w:t>投资者通过其他销售机构</w:t>
      </w:r>
      <w:r>
        <w:rPr>
          <w:rFonts w:ascii="宋体" w:hAnsi="Calibri" w:cs="宋体" w:hint="eastAsia"/>
          <w:highlight w:val="white"/>
          <w:lang w:eastAsia="zh-CN"/>
        </w:rPr>
        <w:t>申购本基金</w:t>
      </w:r>
      <w:r>
        <w:rPr>
          <w:rStyle w:val="da"/>
          <w:rFonts w:ascii="宋体" w:hAnsi="Calibri" w:cs="宋体"/>
          <w:highlight w:val="white"/>
          <w:lang w:eastAsia="zh-CN"/>
        </w:rPr>
        <w:t>A类基金份额</w:t>
      </w:r>
      <w:r>
        <w:rPr>
          <w:rFonts w:ascii="宋体" w:hAnsi="Calibri" w:cs="宋体" w:hint="eastAsia"/>
          <w:highlight w:val="white"/>
          <w:lang w:eastAsia="zh-CN"/>
        </w:rPr>
        <w:t>的申购费率见上表。</w:t>
      </w:r>
    </w:p>
    <w:p w:rsidR="0097367D">
      <w:pPr>
        <w:spacing w:line="312" w:lineRule="auto"/>
        <w:ind w:firstLine="420"/>
        <w:rPr>
          <w:rFonts w:ascii="宋体" w:hAnsi="Calibri" w:cs="宋体"/>
          <w:szCs w:val="21"/>
          <w:lang w:eastAsia="zh-CN"/>
        </w:rPr>
      </w:pPr>
      <w:r>
        <w:rPr>
          <w:rFonts w:ascii="宋体" w:hAnsi="Calibri" w:cs="宋体" w:hint="eastAsia"/>
          <w:szCs w:val="21"/>
          <w:highlight w:val="white"/>
          <w:lang w:eastAsia="zh-CN"/>
        </w:rPr>
        <w:t>在申购费按金额分档的情况下，如果投资者多次申购</w:t>
      </w:r>
      <w:r>
        <w:rPr>
          <w:rStyle w:val="da"/>
          <w:rFonts w:ascii="宋体" w:hAnsi="Calibri" w:cs="宋体"/>
          <w:highlight w:val="white"/>
          <w:lang w:eastAsia="zh-CN"/>
        </w:rPr>
        <w:t>A类基金份额</w:t>
      </w:r>
      <w:r>
        <w:rPr>
          <w:rFonts w:ascii="宋体" w:hAnsi="Calibri" w:cs="宋体" w:hint="eastAsia"/>
          <w:szCs w:val="21"/>
          <w:highlight w:val="white"/>
          <w:lang w:eastAsia="zh-CN"/>
        </w:rPr>
        <w:t>，申购费适用单笔申购金额所对应的费率。</w:t>
      </w:r>
    </w:p>
    <w:p w:rsidR="0097367D">
      <w:pPr>
        <w:spacing w:line="312" w:lineRule="auto"/>
        <w:ind w:firstLine="420"/>
        <w:rPr>
          <w:rFonts w:ascii="宋体" w:hAnsi="Calibri" w:cs="宋体"/>
          <w:szCs w:val="21"/>
          <w:lang w:eastAsia="zh-CN"/>
        </w:rPr>
      </w:pPr>
      <w:r>
        <w:rPr>
          <w:rFonts w:ascii="宋体" w:hAnsi="Calibri" w:cs="宋体" w:hint="eastAsia"/>
          <w:szCs w:val="21"/>
          <w:highlight w:val="white"/>
          <w:lang w:eastAsia="zh-CN"/>
        </w:rPr>
        <w:t>本基金C类基金份额不收取申购费用</w:t>
      </w:r>
      <w:r>
        <w:rPr>
          <w:rFonts w:ascii="宋体" w:hAnsi="Calibri" w:cs="宋体"/>
          <w:color w:val="000000"/>
          <w:highlight w:val="white"/>
          <w:lang w:eastAsia="zh-CN"/>
        </w:rPr>
        <w:t>，在投资者持有期间</w:t>
      </w:r>
      <w:r>
        <w:rPr>
          <w:rFonts w:ascii="宋体" w:hAnsi="Calibri" w:cs="宋体" w:hint="eastAsia"/>
          <w:color w:val="000000"/>
          <w:highlight w:val="white"/>
          <w:lang w:eastAsia="zh-CN"/>
        </w:rPr>
        <w:t>计提销售服务费</w:t>
      </w:r>
      <w:r>
        <w:rPr>
          <w:rFonts w:ascii="宋体" w:hAnsi="宋体" w:cs="宋体" w:hint="eastAsia"/>
          <w:color w:val="000000"/>
          <w:highlight w:val="white"/>
          <w:lang w:eastAsia="zh-CN"/>
        </w:rPr>
        <w:t>并按规定收取或返还</w:t>
      </w:r>
      <w:r>
        <w:rPr>
          <w:rFonts w:ascii="宋体" w:hAnsi="Calibri" w:cs="宋体"/>
          <w:szCs w:val="21"/>
          <w:highlight w:val="white"/>
          <w:lang w:eastAsia="zh-CN"/>
        </w:rPr>
        <w:t>。</w:t>
      </w:r>
    </w:p>
    <w:p w:rsidR="0097367D">
      <w:pPr>
        <w:spacing w:line="312" w:lineRule="auto"/>
        <w:ind w:firstLine="420"/>
        <w:rPr>
          <w:rFonts w:ascii="宋体" w:hAnsi="Calibri" w:cs="宋体"/>
          <w:szCs w:val="21"/>
          <w:lang w:eastAsia="zh-CN"/>
        </w:rPr>
      </w:pPr>
      <w:r>
        <w:rPr>
          <w:rFonts w:ascii="宋体" w:hAnsi="Calibri" w:cs="宋体"/>
          <w:szCs w:val="21"/>
          <w:highlight w:val="white"/>
          <w:lang w:eastAsia="zh-CN"/>
        </w:rPr>
        <w:t>本基金暂不开通基金管理人及其基金销售子公司销售本基金C类基金份额，若日后开通，将另行公告。</w:t>
      </w:r>
    </w:p>
    <w:p w:rsidR="0097367D">
      <w:pPr>
        <w:spacing w:line="312" w:lineRule="auto"/>
        <w:ind w:firstLine="420"/>
        <w:rPr>
          <w:rFonts w:ascii="宋体" w:hAnsi="Calibri" w:cs="宋体"/>
          <w:szCs w:val="21"/>
          <w:lang w:eastAsia="zh-CN"/>
        </w:rPr>
      </w:pPr>
      <w:bookmarkStart w:id="1805" w:name="_Toc332373507"/>
      <w:r>
        <w:rPr>
          <w:rFonts w:ascii="宋体" w:hAnsi="Calibri" w:cs="宋体" w:hint="eastAsia"/>
          <w:szCs w:val="21"/>
          <w:highlight w:val="white"/>
          <w:lang w:eastAsia="zh-CN"/>
        </w:rPr>
        <w:t>3、赎回费率</w:t>
      </w:r>
    </w:p>
    <w:p w:rsidR="0097367D">
      <w:pPr>
        <w:spacing w:line="312" w:lineRule="auto"/>
        <w:ind w:firstLine="420"/>
        <w:rPr>
          <w:rFonts w:ascii="宋体" w:hAnsi="Calibri" w:cs="宋体"/>
          <w:szCs w:val="21"/>
          <w:lang w:eastAsia="zh-CN"/>
        </w:rPr>
      </w:pPr>
      <w:r>
        <w:rPr>
          <w:rFonts w:ascii="宋体" w:hAnsi="Calibri" w:cs="宋体" w:hint="eastAsia"/>
          <w:szCs w:val="21"/>
          <w:highlight w:val="white"/>
          <w:lang w:eastAsia="zh-CN"/>
        </w:rPr>
        <w:t>（1）个人投资者持有的基金份额赎回费率见下表：</w:t>
      </w:r>
    </w:p>
    <w:tbl>
      <w:tblPr>
        <w:tblStyle w:val="TableGrid"/>
        <w:tblW w:w="7229" w:type="dxa"/>
        <w:tblInd w:w="704" w:type="dxa"/>
        <w:tblLayout w:type="fixed"/>
        <w:tblLook w:val="04A0"/>
      </w:tblPr>
      <w:tblGrid>
        <w:gridCol w:w="2268"/>
        <w:gridCol w:w="4961"/>
      </w:tblGrid>
      <w:tr>
        <w:tblPrEx>
          <w:tblW w:w="7229" w:type="dxa"/>
          <w:tblInd w:w="704" w:type="dxa"/>
          <w:tblLayout w:type="fixed"/>
          <w:tblLook w:val="04A0"/>
        </w:tblPrEx>
        <w:tc>
          <w:tcPr>
            <w:tcW w:w="2268" w:type="dxa"/>
          </w:tcPr>
          <w:p w:rsidR="0097367D">
            <w:pPr>
              <w:spacing w:line="280" w:lineRule="exact"/>
              <w:jc w:val="center"/>
              <w:rPr>
                <w:rFonts w:ascii="宋体" w:hAnsi="Calibri" w:cs="宋体"/>
                <w:iCs/>
              </w:rPr>
            </w:pPr>
            <w:r>
              <w:rPr>
                <w:rFonts w:ascii="宋体" w:hAnsi="Calibri" w:cs="宋体" w:hint="eastAsia"/>
                <w:bCs/>
                <w:iCs/>
                <w:highlight w:val="white"/>
              </w:rPr>
              <w:t>持有时间（天）</w:t>
            </w:r>
          </w:p>
        </w:tc>
        <w:tc>
          <w:tcPr>
            <w:tcW w:w="4961" w:type="dxa"/>
          </w:tcPr>
          <w:p w:rsidR="0097367D">
            <w:pPr>
              <w:spacing w:line="280" w:lineRule="exact"/>
              <w:jc w:val="center"/>
              <w:rPr>
                <w:rFonts w:ascii="宋体" w:hAnsi="Calibri" w:cs="宋体"/>
                <w:iCs/>
                <w:lang w:eastAsia="zh-CN"/>
              </w:rPr>
            </w:pPr>
            <w:r>
              <w:rPr>
                <w:rFonts w:ascii="宋体" w:cs="宋体" w:hint="eastAsia"/>
                <w:bCs/>
                <w:iCs/>
                <w:highlight w:val="white"/>
                <w:lang w:eastAsia="zh-CN"/>
              </w:rPr>
              <w:t>个人投资者持有的</w:t>
            </w:r>
            <w:r>
              <w:rPr>
                <w:rFonts w:ascii="宋体" w:hAnsi="Calibri" w:cs="宋体" w:hint="eastAsia"/>
                <w:bCs/>
                <w:iCs/>
                <w:highlight w:val="white"/>
                <w:lang w:eastAsia="zh-CN"/>
              </w:rPr>
              <w:t>A类/</w:t>
            </w:r>
            <w:r>
              <w:rPr>
                <w:rFonts w:ascii="宋体" w:hAnsi="Calibri" w:cs="宋体"/>
                <w:bCs/>
                <w:iCs/>
                <w:highlight w:val="white"/>
                <w:lang w:eastAsia="zh-CN"/>
              </w:rPr>
              <w:t>C</w:t>
            </w:r>
            <w:r>
              <w:rPr>
                <w:rFonts w:ascii="宋体" w:hAnsi="Calibri" w:cs="宋体" w:hint="eastAsia"/>
                <w:bCs/>
                <w:iCs/>
                <w:highlight w:val="white"/>
                <w:lang w:eastAsia="zh-CN"/>
              </w:rPr>
              <w:t>类基金份额赎回费率</w:t>
            </w:r>
          </w:p>
        </w:tc>
      </w:tr>
      <w:tr>
        <w:tblPrEx>
          <w:tblW w:w="7229" w:type="dxa"/>
          <w:tblInd w:w="704" w:type="dxa"/>
          <w:tblLayout w:type="fixed"/>
          <w:tblLook w:val="04A0"/>
        </w:tblPrEx>
        <w:trPr>
          <w:trHeight w:val="360"/>
        </w:trPr>
        <w:tc>
          <w:tcPr>
            <w:tcW w:w="2268" w:type="dxa"/>
          </w:tcPr>
          <w:p w:rsidR="0097367D">
            <w:pPr>
              <w:spacing w:line="280" w:lineRule="exact"/>
              <w:jc w:val="center"/>
              <w:rPr>
                <w:rFonts w:ascii="宋体" w:hAnsi="Calibri" w:cs="宋体"/>
                <w:iCs/>
              </w:rPr>
            </w:pPr>
            <w:r>
              <w:rPr>
                <w:rFonts w:ascii="宋体" w:hAnsi="Calibri" w:cs="宋体" w:hint="eastAsia"/>
                <w:bCs/>
                <w:iCs/>
              </w:rPr>
              <w:t>0-6</w:t>
            </w:r>
          </w:p>
        </w:tc>
        <w:tc>
          <w:tcPr>
            <w:tcW w:w="4961" w:type="dxa"/>
          </w:tcPr>
          <w:p w:rsidR="0097367D">
            <w:pPr>
              <w:spacing w:line="280" w:lineRule="exact"/>
              <w:jc w:val="center"/>
              <w:rPr>
                <w:rFonts w:ascii="宋体" w:hAnsi="Calibri" w:cs="宋体"/>
                <w:iCs/>
              </w:rPr>
            </w:pPr>
            <w:r>
              <w:rPr>
                <w:rFonts w:ascii="宋体" w:hAnsi="Calibri" w:cs="宋体" w:hint="eastAsia"/>
                <w:bCs/>
                <w:iCs/>
              </w:rPr>
              <w:t>1.50%</w:t>
            </w:r>
          </w:p>
        </w:tc>
      </w:tr>
      <w:tr>
        <w:tblPrEx>
          <w:tblW w:w="7229" w:type="dxa"/>
          <w:tblInd w:w="704" w:type="dxa"/>
          <w:tblLayout w:type="fixed"/>
          <w:tblLook w:val="04A0"/>
        </w:tblPrEx>
        <w:trPr>
          <w:trHeight w:val="360"/>
        </w:trPr>
        <w:tc>
          <w:tcPr>
            <w:tcW w:w="2268" w:type="dxa"/>
          </w:tcPr>
          <w:p w:rsidR="0097367D">
            <w:pPr>
              <w:spacing w:line="280" w:lineRule="exact"/>
              <w:jc w:val="center"/>
              <w:rPr>
                <w:rFonts w:ascii="宋体" w:hAnsi="Calibri" w:cs="宋体"/>
                <w:iCs/>
              </w:rPr>
            </w:pPr>
            <w:r>
              <w:rPr>
                <w:rFonts w:ascii="宋体" w:hAnsi="Calibri" w:cs="宋体" w:hint="eastAsia"/>
                <w:bCs/>
                <w:iCs/>
              </w:rPr>
              <w:t>7及以上</w:t>
            </w:r>
          </w:p>
        </w:tc>
        <w:tc>
          <w:tcPr>
            <w:tcW w:w="4961" w:type="dxa"/>
          </w:tcPr>
          <w:p w:rsidR="0097367D">
            <w:pPr>
              <w:spacing w:line="280" w:lineRule="exact"/>
              <w:jc w:val="center"/>
              <w:rPr>
                <w:rFonts w:ascii="宋体" w:hAnsi="Calibri" w:cs="宋体"/>
                <w:iCs/>
              </w:rPr>
            </w:pPr>
            <w:r>
              <w:rPr>
                <w:rFonts w:ascii="宋体" w:hAnsi="Calibri" w:cs="宋体" w:hint="eastAsia"/>
                <w:bCs/>
                <w:iCs/>
              </w:rPr>
              <w:t>0.00%</w:t>
            </w:r>
          </w:p>
        </w:tc>
      </w:tr>
    </w:tbl>
    <w:p w:rsidR="0097367D">
      <w:pPr>
        <w:spacing w:line="312" w:lineRule="auto"/>
        <w:ind w:firstLine="420"/>
        <w:rPr>
          <w:rFonts w:ascii="宋体" w:hAnsi="Calibri" w:cs="宋体"/>
          <w:szCs w:val="21"/>
          <w:lang w:eastAsia="zh-CN"/>
        </w:rPr>
      </w:pPr>
      <w:r>
        <w:rPr>
          <w:rFonts w:ascii="宋体" w:hAnsi="Calibri" w:cs="宋体" w:hint="eastAsia"/>
          <w:szCs w:val="21"/>
          <w:highlight w:val="white"/>
          <w:lang w:eastAsia="zh-CN"/>
        </w:rPr>
        <w:t>（</w:t>
      </w:r>
      <w:r>
        <w:rPr>
          <w:rFonts w:ascii="宋体" w:hAnsi="Calibri" w:cs="宋体"/>
          <w:szCs w:val="21"/>
          <w:highlight w:val="white"/>
          <w:lang w:eastAsia="zh-CN"/>
        </w:rPr>
        <w:t>2</w:t>
      </w:r>
      <w:r>
        <w:rPr>
          <w:rFonts w:ascii="宋体" w:hAnsi="Calibri" w:cs="宋体" w:hint="eastAsia"/>
          <w:szCs w:val="21"/>
          <w:highlight w:val="white"/>
          <w:lang w:eastAsia="zh-CN"/>
        </w:rPr>
        <w:t>）机构投资者持有的基金份额赎回费率见下表：</w:t>
      </w:r>
    </w:p>
    <w:tbl>
      <w:tblPr>
        <w:tblStyle w:val="TableGrid"/>
        <w:tblW w:w="7229" w:type="dxa"/>
        <w:tblInd w:w="704" w:type="dxa"/>
        <w:tblLayout w:type="fixed"/>
        <w:tblLook w:val="04A0"/>
      </w:tblPr>
      <w:tblGrid>
        <w:gridCol w:w="2268"/>
        <w:gridCol w:w="4961"/>
      </w:tblGrid>
      <w:tr>
        <w:tblPrEx>
          <w:tblW w:w="7229" w:type="dxa"/>
          <w:tblInd w:w="704" w:type="dxa"/>
          <w:tblLayout w:type="fixed"/>
          <w:tblLook w:val="04A0"/>
        </w:tblPrEx>
        <w:tc>
          <w:tcPr>
            <w:tcW w:w="2268" w:type="dxa"/>
          </w:tcPr>
          <w:p w:rsidR="0097367D">
            <w:pPr>
              <w:spacing w:line="280" w:lineRule="exact"/>
              <w:jc w:val="center"/>
              <w:rPr>
                <w:rFonts w:ascii="宋体" w:hAnsi="Calibri" w:cs="宋体"/>
                <w:iCs/>
              </w:rPr>
            </w:pPr>
            <w:r>
              <w:rPr>
                <w:rFonts w:ascii="宋体" w:hAnsi="Calibri" w:cs="宋体" w:hint="eastAsia"/>
                <w:bCs/>
                <w:iCs/>
                <w:highlight w:val="white"/>
              </w:rPr>
              <w:t>持有时间（天）</w:t>
            </w:r>
          </w:p>
        </w:tc>
        <w:tc>
          <w:tcPr>
            <w:tcW w:w="4961" w:type="dxa"/>
          </w:tcPr>
          <w:p w:rsidR="0097367D">
            <w:pPr>
              <w:spacing w:line="280" w:lineRule="exact"/>
              <w:jc w:val="center"/>
              <w:rPr>
                <w:rFonts w:ascii="宋体" w:hAnsi="Calibri" w:cs="宋体"/>
                <w:iCs/>
                <w:lang w:eastAsia="zh-CN"/>
              </w:rPr>
            </w:pPr>
            <w:r>
              <w:rPr>
                <w:rFonts w:ascii="宋体" w:cs="宋体" w:hint="eastAsia"/>
                <w:szCs w:val="21"/>
                <w:highlight w:val="white"/>
                <w:lang w:eastAsia="zh-CN"/>
              </w:rPr>
              <w:t>机构</w:t>
            </w:r>
            <w:r>
              <w:rPr>
                <w:rFonts w:ascii="宋体" w:cs="宋体" w:hint="eastAsia"/>
                <w:bCs/>
                <w:iCs/>
                <w:highlight w:val="white"/>
                <w:lang w:eastAsia="zh-CN"/>
              </w:rPr>
              <w:t>投资者持有的</w:t>
            </w:r>
            <w:r>
              <w:rPr>
                <w:rFonts w:ascii="宋体" w:hAnsi="Calibri" w:cs="宋体" w:hint="eastAsia"/>
                <w:bCs/>
                <w:iCs/>
                <w:highlight w:val="white"/>
                <w:lang w:eastAsia="zh-CN"/>
              </w:rPr>
              <w:t>A类/</w:t>
            </w:r>
            <w:r>
              <w:rPr>
                <w:rFonts w:ascii="宋体" w:hAnsi="Calibri" w:cs="宋体"/>
                <w:bCs/>
                <w:iCs/>
                <w:highlight w:val="white"/>
                <w:lang w:eastAsia="zh-CN"/>
              </w:rPr>
              <w:t>C</w:t>
            </w:r>
            <w:r>
              <w:rPr>
                <w:rFonts w:ascii="宋体" w:hAnsi="Calibri" w:cs="宋体" w:hint="eastAsia"/>
                <w:bCs/>
                <w:iCs/>
                <w:highlight w:val="white"/>
                <w:lang w:eastAsia="zh-CN"/>
              </w:rPr>
              <w:t>类基金份额赎回费率</w:t>
            </w:r>
          </w:p>
        </w:tc>
      </w:tr>
      <w:tr>
        <w:tblPrEx>
          <w:tblW w:w="7229" w:type="dxa"/>
          <w:tblInd w:w="704" w:type="dxa"/>
          <w:tblLayout w:type="fixed"/>
          <w:tblLook w:val="04A0"/>
        </w:tblPrEx>
        <w:trPr>
          <w:trHeight w:val="360"/>
        </w:trPr>
        <w:tc>
          <w:tcPr>
            <w:tcW w:w="2268" w:type="dxa"/>
          </w:tcPr>
          <w:p w:rsidR="0097367D">
            <w:pPr>
              <w:spacing w:line="280" w:lineRule="exact"/>
              <w:jc w:val="center"/>
              <w:rPr>
                <w:rFonts w:ascii="宋体" w:hAnsi="Calibri" w:cs="宋体"/>
                <w:iCs/>
              </w:rPr>
            </w:pPr>
            <w:r>
              <w:rPr>
                <w:rFonts w:ascii="宋体" w:hAnsi="Calibri" w:cs="宋体" w:hint="eastAsia"/>
                <w:bCs/>
                <w:iCs/>
              </w:rPr>
              <w:t>0-6</w:t>
            </w:r>
          </w:p>
        </w:tc>
        <w:tc>
          <w:tcPr>
            <w:tcW w:w="4961" w:type="dxa"/>
          </w:tcPr>
          <w:p w:rsidR="0097367D">
            <w:pPr>
              <w:spacing w:line="280" w:lineRule="exact"/>
              <w:jc w:val="center"/>
              <w:rPr>
                <w:rFonts w:ascii="宋体" w:hAnsi="Calibri" w:cs="宋体"/>
                <w:iCs/>
              </w:rPr>
            </w:pPr>
            <w:r>
              <w:rPr>
                <w:rFonts w:ascii="宋体" w:hAnsi="Calibri" w:cs="宋体" w:hint="eastAsia"/>
                <w:bCs/>
                <w:iCs/>
              </w:rPr>
              <w:t>1.50%</w:t>
            </w:r>
          </w:p>
        </w:tc>
      </w:tr>
      <w:tr>
        <w:tblPrEx>
          <w:tblW w:w="7229" w:type="dxa"/>
          <w:tblInd w:w="704" w:type="dxa"/>
          <w:tblLayout w:type="fixed"/>
          <w:tblLook w:val="04A0"/>
        </w:tblPrEx>
        <w:trPr>
          <w:trHeight w:val="360"/>
        </w:trPr>
        <w:tc>
          <w:tcPr>
            <w:tcW w:w="2268" w:type="dxa"/>
          </w:tcPr>
          <w:p w:rsidR="0097367D">
            <w:pPr>
              <w:spacing w:line="280" w:lineRule="exact"/>
              <w:jc w:val="center"/>
              <w:rPr>
                <w:rFonts w:ascii="宋体" w:hAnsi="Calibri" w:cs="宋体"/>
                <w:iCs/>
              </w:rPr>
            </w:pPr>
            <w:r>
              <w:rPr>
                <w:rFonts w:ascii="宋体" w:hAnsi="Calibri" w:cs="宋体" w:hint="eastAsia"/>
                <w:bCs/>
                <w:iCs/>
              </w:rPr>
              <w:t>7-29</w:t>
            </w:r>
          </w:p>
        </w:tc>
        <w:tc>
          <w:tcPr>
            <w:tcW w:w="4961" w:type="dxa"/>
          </w:tcPr>
          <w:p w:rsidR="0097367D">
            <w:pPr>
              <w:spacing w:line="280" w:lineRule="exact"/>
              <w:jc w:val="center"/>
              <w:rPr>
                <w:rFonts w:ascii="宋体" w:hAnsi="Calibri" w:cs="宋体"/>
                <w:iCs/>
              </w:rPr>
            </w:pPr>
            <w:r>
              <w:rPr>
                <w:rFonts w:ascii="宋体" w:hAnsi="Calibri" w:cs="宋体" w:hint="eastAsia"/>
                <w:bCs/>
                <w:iCs/>
              </w:rPr>
              <w:t>1.00%</w:t>
            </w:r>
          </w:p>
        </w:tc>
      </w:tr>
      <w:tr>
        <w:tblPrEx>
          <w:tblW w:w="7229" w:type="dxa"/>
          <w:tblInd w:w="704" w:type="dxa"/>
          <w:tblLayout w:type="fixed"/>
          <w:tblLook w:val="04A0"/>
        </w:tblPrEx>
        <w:trPr>
          <w:trHeight w:val="360"/>
        </w:trPr>
        <w:tc>
          <w:tcPr>
            <w:tcW w:w="2268" w:type="dxa"/>
          </w:tcPr>
          <w:p w:rsidR="0097367D">
            <w:pPr>
              <w:spacing w:line="280" w:lineRule="exact"/>
              <w:jc w:val="center"/>
              <w:rPr>
                <w:rFonts w:ascii="宋体" w:hAnsi="Calibri" w:cs="宋体"/>
                <w:iCs/>
              </w:rPr>
            </w:pPr>
            <w:r>
              <w:rPr>
                <w:rFonts w:ascii="宋体" w:hAnsi="Calibri" w:cs="宋体" w:hint="eastAsia"/>
                <w:bCs/>
                <w:iCs/>
              </w:rPr>
              <w:t>30-179</w:t>
            </w:r>
          </w:p>
        </w:tc>
        <w:tc>
          <w:tcPr>
            <w:tcW w:w="4961" w:type="dxa"/>
          </w:tcPr>
          <w:p w:rsidR="0097367D">
            <w:pPr>
              <w:spacing w:line="280" w:lineRule="exact"/>
              <w:jc w:val="center"/>
              <w:rPr>
                <w:rFonts w:ascii="宋体" w:hAnsi="Calibri" w:cs="宋体"/>
                <w:iCs/>
              </w:rPr>
            </w:pPr>
            <w:r>
              <w:rPr>
                <w:rFonts w:ascii="宋体" w:hAnsi="Calibri" w:cs="宋体" w:hint="eastAsia"/>
                <w:bCs/>
                <w:iCs/>
              </w:rPr>
              <w:t>0.50%</w:t>
            </w:r>
          </w:p>
        </w:tc>
      </w:tr>
      <w:tr>
        <w:tblPrEx>
          <w:tblW w:w="7229" w:type="dxa"/>
          <w:tblInd w:w="704" w:type="dxa"/>
          <w:tblLayout w:type="fixed"/>
          <w:tblLook w:val="04A0"/>
        </w:tblPrEx>
        <w:trPr>
          <w:trHeight w:val="360"/>
        </w:trPr>
        <w:tc>
          <w:tcPr>
            <w:tcW w:w="2268" w:type="dxa"/>
          </w:tcPr>
          <w:p w:rsidR="0097367D">
            <w:pPr>
              <w:spacing w:line="280" w:lineRule="exact"/>
              <w:jc w:val="center"/>
              <w:rPr>
                <w:rFonts w:ascii="宋体" w:hAnsi="Calibri" w:cs="宋体"/>
                <w:iCs/>
              </w:rPr>
            </w:pPr>
            <w:r>
              <w:rPr>
                <w:rFonts w:ascii="宋体" w:hAnsi="Calibri" w:cs="宋体" w:hint="eastAsia"/>
                <w:bCs/>
                <w:iCs/>
              </w:rPr>
              <w:t>180及以上</w:t>
            </w:r>
          </w:p>
        </w:tc>
        <w:tc>
          <w:tcPr>
            <w:tcW w:w="4961" w:type="dxa"/>
          </w:tcPr>
          <w:p w:rsidR="0097367D">
            <w:pPr>
              <w:spacing w:line="280" w:lineRule="exact"/>
              <w:jc w:val="center"/>
              <w:rPr>
                <w:rFonts w:ascii="宋体" w:hAnsi="Calibri" w:cs="宋体"/>
                <w:iCs/>
              </w:rPr>
            </w:pPr>
            <w:r>
              <w:rPr>
                <w:rFonts w:ascii="宋体" w:hAnsi="Calibri" w:cs="宋体" w:hint="eastAsia"/>
                <w:bCs/>
                <w:iCs/>
              </w:rPr>
              <w:t>0.00%</w:t>
            </w:r>
          </w:p>
        </w:tc>
      </w:tr>
    </w:tbl>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投资者可将其持有的全部或部分</w:t>
      </w:r>
      <w:r>
        <w:rPr>
          <w:rFonts w:ascii="宋体" w:hAnsi="Calibri" w:cs="宋体" w:hint="eastAsia"/>
          <w:bCs/>
          <w:iCs/>
          <w:highlight w:val="white"/>
          <w:lang w:eastAsia="zh-CN"/>
        </w:rPr>
        <w:t>A类/C类</w:t>
      </w:r>
      <w:r>
        <w:rPr>
          <w:rFonts w:ascii="宋体" w:hAnsi="Calibri" w:cs="宋体" w:hint="eastAsia"/>
          <w:szCs w:val="21"/>
          <w:highlight w:val="white"/>
          <w:lang w:eastAsia="zh-CN"/>
        </w:rPr>
        <w:t>基金份额赎回。</w:t>
      </w:r>
      <w:r>
        <w:rPr>
          <w:rFonts w:ascii="宋体" w:hAnsi="Calibri" w:cs="宋体"/>
          <w:szCs w:val="21"/>
          <w:highlight w:val="white"/>
          <w:lang w:eastAsia="zh-CN"/>
        </w:rPr>
        <w:t>赎回费用由赎回基金份额的基金份额持有人承担，</w:t>
      </w:r>
      <w:r>
        <w:rPr>
          <w:rFonts w:ascii="宋体" w:hAnsi="Calibri" w:cs="宋体" w:hint="eastAsia"/>
          <w:szCs w:val="21"/>
          <w:highlight w:val="white"/>
          <w:lang w:eastAsia="zh-CN"/>
        </w:rPr>
        <w:t>在基金份额持有人赎回基金份额时收取，赎回费用全额计入基金财产。</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对于每份认购份额，持有期自基金合同生效日至该基金份额赎回确认日（不含该日）；对于每份申购份额，持有期自该基金份额申购确认日至赎回确认日（不含该日）。</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hAnsi="Calibri" w:cs="宋体"/>
          <w:szCs w:val="21"/>
          <w:highlight w:val="white"/>
          <w:lang w:eastAsia="zh-CN"/>
        </w:rPr>
        <w:t>规</w:t>
      </w:r>
      <w:r>
        <w:rPr>
          <w:rFonts w:ascii="宋体" w:hAnsi="Calibri" w:cs="宋体" w:hint="eastAsia"/>
          <w:szCs w:val="21"/>
          <w:highlight w:val="white"/>
          <w:lang w:eastAsia="zh-CN"/>
        </w:rPr>
        <w:t>定媒介上公告。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Calibri" w:cs="宋体" w:hint="eastAsia"/>
          <w:szCs w:val="21"/>
          <w:highlight w:val="white"/>
          <w:lang w:eastAsia="zh-CN"/>
        </w:rPr>
        <w:t>在基金促销活动期间，基金管理人可以适当调低基金销售费率，或开展有差别的费率优惠活动</w:t>
      </w:r>
      <w:r>
        <w:rPr>
          <w:rFonts w:ascii="宋体" w:hAnsi="Calibri" w:cs="宋体" w:hint="eastAsia"/>
          <w:bCs/>
          <w:szCs w:val="21"/>
          <w:highlight w:val="white"/>
          <w:lang w:eastAsia="zh-CN"/>
        </w:rPr>
        <w:t>。</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八、申购和赎回的数额和价格</w:t>
      </w:r>
      <w:bookmarkEnd w:id="1805"/>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1、申购和赎回数额、余额的处理方式 </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（1）申购的有效份额为按实际确认的申购金额在扣除相应的费用后，以申购当日</w:t>
      </w:r>
      <w:r>
        <w:rPr>
          <w:rFonts w:ascii="宋体" w:hAnsi="Calibri" w:cs="宋体"/>
          <w:color w:val="000000"/>
          <w:szCs w:val="21"/>
          <w:highlight w:val="white"/>
          <w:lang w:eastAsia="zh-CN"/>
        </w:rPr>
        <w:t>该类基金份额</w:t>
      </w:r>
      <w:r>
        <w:rPr>
          <w:rFonts w:ascii="宋体" w:hAnsi="Calibri" w:cs="宋体" w:hint="eastAsia"/>
          <w:color w:val="000000"/>
          <w:szCs w:val="21"/>
          <w:highlight w:val="white"/>
          <w:lang w:eastAsia="zh-CN"/>
        </w:rPr>
        <w:t>的</w:t>
      </w:r>
      <w:r>
        <w:rPr>
          <w:rFonts w:ascii="宋体" w:hAnsi="Calibri" w:cs="宋体"/>
          <w:szCs w:val="21"/>
          <w:highlight w:val="white"/>
          <w:lang w:eastAsia="zh-CN"/>
        </w:rPr>
        <w:t>基金份额净值为基准计算。申购涉及金额、份额的计算结果保留到小数点后两位，小数点后两位以后的部分四舍五入，由此产生的误差计入基金财产。</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（2）赎回金额的处理方式：赎回金额为按实际确认的有效赎回份额乘以申请当日</w:t>
      </w:r>
      <w:r>
        <w:rPr>
          <w:rFonts w:ascii="宋体" w:hAnsi="Calibri" w:cs="宋体"/>
          <w:color w:val="000000"/>
          <w:szCs w:val="21"/>
          <w:highlight w:val="white"/>
          <w:lang w:eastAsia="zh-CN"/>
        </w:rPr>
        <w:t>该类基金份额的</w:t>
      </w:r>
      <w:r>
        <w:rPr>
          <w:rFonts w:ascii="宋体" w:hAnsi="Calibri" w:cs="宋体" w:hint="eastAsia"/>
          <w:szCs w:val="21"/>
          <w:highlight w:val="white"/>
          <w:lang w:eastAsia="zh-CN"/>
        </w:rPr>
        <w:t>基金份额</w:t>
      </w:r>
      <w:r>
        <w:rPr>
          <w:rFonts w:ascii="宋体" w:hAnsi="Calibri" w:cs="宋体"/>
          <w:szCs w:val="21"/>
          <w:highlight w:val="white"/>
          <w:lang w:eastAsia="zh-CN"/>
        </w:rPr>
        <w:t>净值为基准并扣除相应的费用</w:t>
      </w:r>
      <w:r>
        <w:rPr>
          <w:rFonts w:ascii="宋体" w:hAnsi="宋体" w:cs="宋体"/>
          <w:color w:val="000000"/>
          <w:highlight w:val="white"/>
          <w:lang w:eastAsia="zh-CN"/>
        </w:rPr>
        <w:t>，再加上</w:t>
      </w:r>
      <w:r>
        <w:rPr>
          <w:rFonts w:ascii="宋体" w:hAnsi="宋体" w:cs="宋体" w:hint="eastAsia"/>
          <w:color w:val="000000"/>
          <w:highlight w:val="white"/>
          <w:lang w:eastAsia="zh-CN"/>
        </w:rPr>
        <w:t>返还的销售服务费（如有）</w:t>
      </w:r>
      <w:r>
        <w:rPr>
          <w:rFonts w:ascii="宋体" w:hAnsi="Calibri" w:cs="宋体"/>
          <w:szCs w:val="21"/>
          <w:highlight w:val="white"/>
          <w:lang w:eastAsia="zh-CN"/>
        </w:rPr>
        <w:t xml:space="preserve">，赎回费用、赎回金额的单位为人民币元，计算结果保留到小数点后两位，小数点后两位以后的部分四舍五入，由此产生的误差计入基金财产。 </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 xml:space="preserve">2、申购份额的计算 </w:t>
      </w:r>
    </w:p>
    <w:p w:rsidR="0097367D">
      <w:pPr>
        <w:spacing w:line="360" w:lineRule="auto"/>
        <w:ind w:firstLine="420"/>
        <w:rPr>
          <w:rFonts w:ascii="宋体" w:hAnsi="Calibri"/>
          <w:szCs w:val="21"/>
          <w:lang w:eastAsia="zh-CN"/>
        </w:rPr>
      </w:pPr>
      <w:r>
        <w:rPr>
          <w:rFonts w:ascii="宋体" w:hAnsi="Calibri"/>
          <w:szCs w:val="21"/>
          <w:highlight w:val="white"/>
          <w:lang w:eastAsia="zh-CN"/>
        </w:rPr>
        <w:t>（1）若投资人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管理人及其基金销售子公司以外的销售机构</w:t>
      </w:r>
      <w:r>
        <w:rPr>
          <w:rFonts w:ascii="宋体" w:hAnsi="宋体" w:cs="宋体"/>
          <w:szCs w:val="21"/>
          <w:highlight w:val="white"/>
          <w:lang w:eastAsia="zh-CN"/>
        </w:rPr>
        <w:t>申购</w:t>
      </w:r>
      <w:r>
        <w:rPr>
          <w:rFonts w:ascii="宋体" w:hAnsi="Calibri"/>
          <w:szCs w:val="21"/>
          <w:highlight w:val="white"/>
          <w:lang w:eastAsia="zh-CN"/>
        </w:rPr>
        <w:t>A类基金份额，则申购份额的计算公式如下：</w:t>
      </w:r>
    </w:p>
    <w:p w:rsidR="0097367D">
      <w:pPr>
        <w:spacing w:line="360" w:lineRule="auto"/>
        <w:ind w:firstLine="420"/>
        <w:rPr>
          <w:rFonts w:ascii="宋体" w:hAnsi="Calibri"/>
          <w:szCs w:val="21"/>
          <w:lang w:eastAsia="zh-CN"/>
        </w:rPr>
      </w:pPr>
      <w:r>
        <w:rPr>
          <w:rFonts w:ascii="宋体" w:hAnsi="Calibri"/>
          <w:szCs w:val="21"/>
          <w:highlight w:val="white"/>
          <w:lang w:eastAsia="zh-CN"/>
        </w:rPr>
        <w:t xml:space="preserve">净申购金额=申购金额/（1+申购费率） </w:t>
      </w:r>
    </w:p>
    <w:p w:rsidR="0097367D">
      <w:pPr>
        <w:spacing w:line="360" w:lineRule="auto"/>
        <w:ind w:firstLine="420"/>
        <w:rPr>
          <w:rFonts w:ascii="宋体" w:hAnsi="Calibri"/>
          <w:szCs w:val="21"/>
          <w:lang w:eastAsia="zh-CN"/>
        </w:rPr>
      </w:pPr>
      <w:r>
        <w:rPr>
          <w:rFonts w:ascii="宋体" w:hAnsi="Calibri"/>
          <w:szCs w:val="21"/>
          <w:highlight w:val="white"/>
          <w:lang w:eastAsia="zh-CN"/>
        </w:rPr>
        <w:t>（注：对于500万（含）以上适用固定金额申购费的申购，净申购金额＝申购金额－固定申购费金额）</w:t>
      </w:r>
    </w:p>
    <w:p w:rsidR="0097367D">
      <w:pPr>
        <w:spacing w:line="360" w:lineRule="auto"/>
        <w:ind w:firstLine="420"/>
        <w:rPr>
          <w:rFonts w:ascii="宋体" w:hAnsi="Calibri"/>
          <w:szCs w:val="21"/>
          <w:lang w:eastAsia="zh-CN"/>
        </w:rPr>
      </w:pPr>
      <w:r>
        <w:rPr>
          <w:rFonts w:ascii="宋体" w:hAnsi="Calibri"/>
          <w:szCs w:val="21"/>
          <w:highlight w:val="white"/>
          <w:lang w:eastAsia="zh-CN"/>
        </w:rPr>
        <w:t xml:space="preserve">申购费用=申购金额-净申购金额 </w:t>
      </w:r>
    </w:p>
    <w:p w:rsidR="0097367D">
      <w:pPr>
        <w:spacing w:line="360" w:lineRule="auto"/>
        <w:ind w:firstLine="420"/>
        <w:rPr>
          <w:rFonts w:ascii="宋体" w:hAnsi="Calibri"/>
          <w:szCs w:val="21"/>
          <w:lang w:eastAsia="zh-CN"/>
        </w:rPr>
      </w:pPr>
      <w:r>
        <w:rPr>
          <w:rFonts w:ascii="宋体" w:hAnsi="Calibri"/>
          <w:szCs w:val="21"/>
          <w:highlight w:val="white"/>
          <w:lang w:eastAsia="zh-CN"/>
        </w:rPr>
        <w:t>申购份额=净申购金额/ T日A类基金份额的基金份额净值</w:t>
      </w:r>
    </w:p>
    <w:p w:rsidR="0097367D">
      <w:pPr>
        <w:spacing w:line="360" w:lineRule="auto"/>
        <w:ind w:firstLine="420"/>
        <w:rPr>
          <w:rFonts w:ascii="宋体" w:hAnsi="Calibri"/>
          <w:szCs w:val="21"/>
          <w:lang w:eastAsia="zh-CN"/>
        </w:rPr>
      </w:pPr>
      <w:r>
        <w:rPr>
          <w:rFonts w:ascii="宋体" w:hAnsi="Calibri" w:hint="eastAsia"/>
          <w:szCs w:val="21"/>
          <w:highlight w:val="white"/>
          <w:lang w:eastAsia="zh-CN"/>
        </w:rPr>
        <w:t>例</w:t>
      </w:r>
      <w:r>
        <w:rPr>
          <w:rFonts w:ascii="宋体" w:hAnsi="Calibri" w:hint="eastAsia"/>
          <w:szCs w:val="21"/>
          <w:highlight w:val="white"/>
          <w:lang w:eastAsia="zh-CN"/>
        </w:rPr>
        <w:t>一</w:t>
      </w:r>
      <w:r>
        <w:rPr>
          <w:rFonts w:ascii="宋体" w:hAnsi="Calibri" w:hint="eastAsia"/>
          <w:szCs w:val="21"/>
          <w:highlight w:val="white"/>
          <w:lang w:eastAsia="zh-CN"/>
        </w:rPr>
        <w:t>：某投资人</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管理人及其基金销售子公司以外的销售机构</w:t>
      </w:r>
      <w:r>
        <w:rPr>
          <w:rFonts w:ascii="宋体" w:hAnsi="Calibri" w:hint="eastAsia"/>
          <w:szCs w:val="21"/>
          <w:highlight w:val="white"/>
          <w:lang w:eastAsia="zh-CN"/>
        </w:rPr>
        <w:t>申购本基金</w:t>
      </w:r>
      <w:r>
        <w:rPr>
          <w:rFonts w:ascii="宋体" w:hAnsi="Calibri"/>
          <w:szCs w:val="21"/>
          <w:highlight w:val="white"/>
          <w:lang w:eastAsia="zh-CN"/>
        </w:rPr>
        <w:t>A</w:t>
      </w:r>
      <w:r>
        <w:rPr>
          <w:rFonts w:ascii="宋体" w:hAnsi="Calibri" w:hint="eastAsia"/>
          <w:szCs w:val="21"/>
          <w:highlight w:val="white"/>
          <w:lang w:eastAsia="zh-CN"/>
        </w:rPr>
        <w:t>类基金份额</w:t>
      </w:r>
      <w:r w:rsidRPr="006C5ADD" w:rsidR="006C5ADD">
        <w:rPr>
          <w:rFonts w:ascii="宋体" w:hAnsi="Calibri" w:hint="eastAsia"/>
          <w:szCs w:val="21"/>
          <w:lang w:eastAsia="zh-CN"/>
        </w:rPr>
        <w:t>100,000元</w:t>
      </w:r>
      <w:r>
        <w:rPr>
          <w:rFonts w:ascii="宋体" w:hAnsi="Calibri" w:hint="eastAsia"/>
          <w:szCs w:val="21"/>
          <w:highlight w:val="white"/>
          <w:lang w:eastAsia="zh-CN"/>
        </w:rPr>
        <w:t>，申购费率为</w:t>
      </w:r>
      <w:r>
        <w:rPr>
          <w:rFonts w:ascii="宋体" w:hAnsi="Calibri"/>
          <w:szCs w:val="21"/>
          <w:highlight w:val="white"/>
          <w:lang w:eastAsia="zh-CN"/>
        </w:rPr>
        <w:t>0.30%</w:t>
      </w:r>
      <w:r>
        <w:rPr>
          <w:rFonts w:ascii="宋体" w:hAnsi="Calibri" w:hint="eastAsia"/>
          <w:szCs w:val="21"/>
          <w:highlight w:val="white"/>
          <w:lang w:eastAsia="zh-CN"/>
        </w:rPr>
        <w:t>，假设申购当日</w:t>
      </w:r>
      <w:r>
        <w:rPr>
          <w:rFonts w:ascii="宋体" w:hAnsi="Calibri"/>
          <w:szCs w:val="21"/>
          <w:highlight w:val="white"/>
          <w:lang w:eastAsia="zh-CN"/>
        </w:rPr>
        <w:t>A</w:t>
      </w:r>
      <w:r>
        <w:rPr>
          <w:rFonts w:ascii="宋体" w:hAnsi="Calibri" w:hint="eastAsia"/>
          <w:szCs w:val="21"/>
          <w:highlight w:val="white"/>
          <w:lang w:eastAsia="zh-CN"/>
        </w:rPr>
        <w:t>类基金份额的基金份额净值为</w:t>
      </w:r>
      <w:r>
        <w:rPr>
          <w:rFonts w:ascii="宋体" w:hAnsi="Calibri"/>
          <w:szCs w:val="21"/>
          <w:highlight w:val="white"/>
          <w:lang w:eastAsia="zh-CN"/>
        </w:rPr>
        <w:t>1.0400</w:t>
      </w:r>
      <w:r>
        <w:rPr>
          <w:rFonts w:ascii="宋体" w:hAnsi="Calibri" w:hint="eastAsia"/>
          <w:szCs w:val="21"/>
          <w:highlight w:val="white"/>
          <w:lang w:eastAsia="zh-CN"/>
        </w:rPr>
        <w:t>元，则其可得到的申购份额为：</w:t>
      </w:r>
      <w:r>
        <w:rPr>
          <w:rFonts w:ascii="宋体" w:hAnsi="Calibri"/>
          <w:szCs w:val="21"/>
          <w:highlight w:val="white"/>
          <w:lang w:eastAsia="zh-CN"/>
        </w:rPr>
        <w:t xml:space="preserve"> </w:t>
      </w:r>
    </w:p>
    <w:p w:rsidR="0097367D">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净申购金额=100,000/（1+0.30%）=99,700.90元 </w:t>
      </w:r>
    </w:p>
    <w:p w:rsidR="0097367D">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申购费用=100,000-99,700.90=299.10元 </w:t>
      </w:r>
    </w:p>
    <w:p w:rsidR="0097367D">
      <w:pPr>
        <w:spacing w:line="360" w:lineRule="auto"/>
        <w:ind w:firstLine="420"/>
        <w:rPr>
          <w:rFonts w:ascii="宋体" w:hAnsi="Calibri"/>
          <w:szCs w:val="21"/>
          <w:lang w:eastAsia="zh-CN"/>
        </w:rPr>
      </w:pPr>
      <w:r>
        <w:rPr>
          <w:rFonts w:ascii="宋体" w:hAnsi="Calibri"/>
          <w:szCs w:val="21"/>
          <w:highlight w:val="white"/>
          <w:lang w:eastAsia="zh-CN"/>
        </w:rPr>
        <w:t>申购份额=99,700.90/1.0400=95,866.25份</w:t>
      </w:r>
    </w:p>
    <w:p w:rsidR="0097367D">
      <w:pPr>
        <w:spacing w:line="360" w:lineRule="auto"/>
        <w:ind w:firstLine="420"/>
        <w:rPr>
          <w:rFonts w:ascii="宋体" w:hAnsi="Calibri"/>
          <w:szCs w:val="21"/>
          <w:lang w:eastAsia="zh-CN"/>
        </w:rPr>
      </w:pPr>
      <w:r>
        <w:rPr>
          <w:rFonts w:ascii="宋体" w:hAnsi="Calibri"/>
          <w:szCs w:val="21"/>
          <w:highlight w:val="white"/>
          <w:lang w:eastAsia="zh-CN"/>
        </w:rPr>
        <w:t>（2）若投资人选择</w:t>
      </w:r>
      <w:r w:rsidR="006C5ADD">
        <w:rPr>
          <w:rFonts w:ascii="宋体" w:hAnsi="Calibri" w:hint="eastAsia"/>
          <w:szCs w:val="21"/>
          <w:highlight w:val="white"/>
          <w:lang w:eastAsia="zh-CN"/>
        </w:rPr>
        <w:t>申购</w:t>
      </w:r>
      <w:r>
        <w:rPr>
          <w:rFonts w:ascii="宋体" w:hAnsi="Calibri" w:hint="eastAsia"/>
          <w:szCs w:val="21"/>
          <w:highlight w:val="white"/>
          <w:lang w:eastAsia="zh-CN"/>
        </w:rPr>
        <w:t>本基金</w:t>
      </w:r>
      <w:r>
        <w:rPr>
          <w:rFonts w:ascii="宋体" w:hAnsi="Calibri"/>
          <w:szCs w:val="21"/>
          <w:highlight w:val="white"/>
          <w:lang w:eastAsia="zh-CN"/>
        </w:rPr>
        <w:t>C类基金份额，</w:t>
      </w:r>
      <w:r>
        <w:rPr>
          <w:rFonts w:ascii="宋体" w:hAnsi="宋体" w:cs="宋体"/>
          <w:szCs w:val="21"/>
          <w:highlight w:val="white"/>
          <w:lang w:eastAsia="zh-CN"/>
        </w:rPr>
        <w:t>或者通过</w:t>
      </w:r>
      <w:r>
        <w:rPr>
          <w:rFonts w:hint="eastAsia"/>
          <w:highlight w:val="white"/>
          <w:lang w:eastAsia="zh-CN"/>
        </w:rPr>
        <w:t>基金</w:t>
      </w:r>
      <w:r>
        <w:rPr>
          <w:highlight w:val="white"/>
          <w:lang w:eastAsia="zh-CN"/>
        </w:rPr>
        <w:t>管理人</w:t>
      </w:r>
      <w:r>
        <w:rPr>
          <w:rFonts w:hint="eastAsia"/>
          <w:highlight w:val="white"/>
          <w:lang w:eastAsia="zh-CN"/>
        </w:rPr>
        <w:t>或其</w:t>
      </w:r>
      <w:r>
        <w:rPr>
          <w:highlight w:val="white"/>
          <w:lang w:eastAsia="zh-CN"/>
        </w:rPr>
        <w:t>基金销售子公司申购本基金</w:t>
      </w:r>
      <w:r>
        <w:rPr>
          <w:rFonts w:ascii="宋体" w:hAnsi="宋体"/>
          <w:szCs w:val="21"/>
          <w:highlight w:val="white"/>
          <w:lang w:eastAsia="zh-CN"/>
        </w:rPr>
        <w:t>A</w:t>
      </w:r>
      <w:r>
        <w:rPr>
          <w:rFonts w:ascii="宋体" w:hAnsi="宋体" w:cs="宋体" w:hint="eastAsia"/>
          <w:szCs w:val="21"/>
          <w:highlight w:val="white"/>
          <w:lang w:eastAsia="zh-CN"/>
        </w:rPr>
        <w:t>类基金份额</w:t>
      </w:r>
      <w:r>
        <w:rPr>
          <w:rFonts w:ascii="宋体" w:hAnsi="宋体" w:cs="宋体"/>
          <w:szCs w:val="21"/>
          <w:highlight w:val="white"/>
          <w:lang w:eastAsia="zh-CN"/>
        </w:rPr>
        <w:t>，</w:t>
      </w:r>
      <w:r>
        <w:rPr>
          <w:rFonts w:ascii="宋体" w:hAnsi="Calibri"/>
          <w:szCs w:val="21"/>
          <w:highlight w:val="white"/>
          <w:lang w:eastAsia="zh-CN"/>
        </w:rPr>
        <w:t>则申购份额的计算公式如下：</w:t>
      </w:r>
    </w:p>
    <w:p w:rsidR="0097367D">
      <w:pPr>
        <w:spacing w:line="360" w:lineRule="auto"/>
        <w:ind w:firstLine="420"/>
        <w:rPr>
          <w:rFonts w:ascii="宋体" w:hAnsi="Calibri"/>
          <w:szCs w:val="21"/>
          <w:lang w:eastAsia="zh-CN"/>
        </w:rPr>
      </w:pPr>
      <w:r>
        <w:rPr>
          <w:rFonts w:ascii="宋体" w:hAnsi="Calibri"/>
          <w:szCs w:val="21"/>
          <w:highlight w:val="white"/>
          <w:lang w:eastAsia="zh-CN"/>
        </w:rPr>
        <w:t>申购份额=申购金额/ T日</w:t>
      </w:r>
      <w:r>
        <w:rPr>
          <w:rFonts w:ascii="宋体" w:hAnsi="Calibri" w:hint="eastAsia"/>
          <w:szCs w:val="21"/>
          <w:highlight w:val="white"/>
          <w:lang w:eastAsia="zh-CN"/>
        </w:rPr>
        <w:t>该类份额的</w:t>
      </w:r>
      <w:r>
        <w:rPr>
          <w:rFonts w:ascii="宋体" w:hAnsi="Calibri"/>
          <w:szCs w:val="21"/>
          <w:highlight w:val="white"/>
          <w:lang w:eastAsia="zh-CN"/>
        </w:rPr>
        <w:t xml:space="preserve">基金份额净值 </w:t>
      </w:r>
    </w:p>
    <w:p w:rsidR="0097367D">
      <w:pPr>
        <w:spacing w:line="360" w:lineRule="auto"/>
        <w:ind w:firstLine="420"/>
        <w:rPr>
          <w:rFonts w:ascii="宋体" w:hAnsi="Calibri"/>
          <w:szCs w:val="21"/>
          <w:lang w:eastAsia="zh-CN"/>
        </w:rPr>
      </w:pPr>
      <w:r>
        <w:rPr>
          <w:rFonts w:ascii="宋体" w:hAnsi="Calibri"/>
          <w:szCs w:val="21"/>
          <w:highlight w:val="white"/>
          <w:lang w:eastAsia="zh-CN"/>
        </w:rPr>
        <w:t>例</w:t>
      </w:r>
      <w:r>
        <w:rPr>
          <w:rFonts w:ascii="宋体" w:hAnsi="Calibri" w:hint="eastAsia"/>
          <w:szCs w:val="21"/>
          <w:highlight w:val="white"/>
          <w:lang w:eastAsia="zh-CN"/>
        </w:rPr>
        <w:t>二</w:t>
      </w:r>
      <w:r>
        <w:rPr>
          <w:rFonts w:ascii="宋体" w:hAnsi="Calibri"/>
          <w:szCs w:val="21"/>
          <w:highlight w:val="white"/>
          <w:lang w:eastAsia="zh-CN"/>
        </w:rPr>
        <w:t>：某投资人</w:t>
      </w:r>
      <w:r>
        <w:rPr>
          <w:rFonts w:ascii="宋体" w:hAnsi="Calibri"/>
          <w:szCs w:val="21"/>
          <w:highlight w:val="white"/>
          <w:lang w:eastAsia="zh-CN"/>
        </w:rPr>
        <w:t>申购本基金C类基金份额</w:t>
      </w:r>
      <w:r w:rsidRPr="006C5ADD" w:rsidR="006C5ADD">
        <w:rPr>
          <w:rFonts w:ascii="宋体" w:hAnsi="Calibri" w:hint="eastAsia"/>
          <w:szCs w:val="21"/>
          <w:lang w:eastAsia="zh-CN"/>
        </w:rPr>
        <w:t>100,000元</w:t>
      </w:r>
      <w:r>
        <w:rPr>
          <w:rFonts w:ascii="宋体" w:hAnsi="Calibri"/>
          <w:szCs w:val="21"/>
          <w:highlight w:val="white"/>
          <w:lang w:eastAsia="zh-CN"/>
        </w:rPr>
        <w:t>，假设申购当日C类基金份额</w:t>
      </w:r>
      <w:r>
        <w:rPr>
          <w:rFonts w:ascii="宋体" w:hAnsi="Calibri" w:hint="eastAsia"/>
          <w:szCs w:val="21"/>
          <w:highlight w:val="white"/>
          <w:lang w:eastAsia="zh-CN"/>
        </w:rPr>
        <w:t>的基金</w:t>
      </w:r>
      <w:r>
        <w:rPr>
          <w:rFonts w:ascii="宋体" w:hAnsi="Calibri"/>
          <w:szCs w:val="21"/>
          <w:highlight w:val="white"/>
          <w:lang w:eastAsia="zh-CN"/>
        </w:rPr>
        <w:t xml:space="preserve">份额净值为1.0400元，则其可得到的申购份额为： </w:t>
      </w:r>
    </w:p>
    <w:p w:rsidR="0097367D">
      <w:pPr>
        <w:spacing w:line="360" w:lineRule="auto"/>
        <w:ind w:firstLine="420"/>
        <w:rPr>
          <w:rFonts w:ascii="宋体" w:hAnsi="Calibri"/>
          <w:szCs w:val="21"/>
          <w:lang w:eastAsia="zh-CN"/>
        </w:rPr>
      </w:pPr>
      <w:r>
        <w:rPr>
          <w:rFonts w:ascii="宋体" w:hAnsi="Calibri"/>
          <w:szCs w:val="21"/>
          <w:highlight w:val="white"/>
          <w:lang w:eastAsia="zh-CN"/>
        </w:rPr>
        <w:t>申购份额=100,000/1.0400=96,153.85份</w:t>
      </w:r>
    </w:p>
    <w:p w:rsidR="0097367D">
      <w:pPr>
        <w:spacing w:line="360" w:lineRule="auto"/>
        <w:ind w:firstLine="420"/>
        <w:rPr>
          <w:rFonts w:ascii="宋体" w:hAnsi="Calibri"/>
          <w:szCs w:val="21"/>
          <w:lang w:eastAsia="zh-CN"/>
        </w:rPr>
      </w:pPr>
      <w:r>
        <w:rPr>
          <w:rFonts w:ascii="宋体" w:hAnsi="Calibri"/>
          <w:szCs w:val="21"/>
          <w:highlight w:val="white"/>
          <w:lang w:eastAsia="zh-CN"/>
        </w:rPr>
        <w:t xml:space="preserve">3、赎回金额的计算 </w:t>
      </w:r>
    </w:p>
    <w:p w:rsidR="0097367D">
      <w:pPr>
        <w:spacing w:line="360" w:lineRule="auto"/>
        <w:ind w:firstLine="420"/>
        <w:rPr>
          <w:rFonts w:ascii="宋体" w:hAnsi="Calibri"/>
          <w:szCs w:val="21"/>
          <w:lang w:eastAsia="zh-CN"/>
        </w:rPr>
      </w:pPr>
      <w:r>
        <w:rPr>
          <w:rFonts w:ascii="宋体" w:hAnsi="Calibri"/>
          <w:szCs w:val="21"/>
          <w:highlight w:val="white"/>
          <w:lang w:eastAsia="zh-CN"/>
        </w:rPr>
        <w:t xml:space="preserve">赎回金额的计算方法如下： </w:t>
      </w:r>
    </w:p>
    <w:p w:rsidR="0097367D">
      <w:pPr>
        <w:spacing w:line="360" w:lineRule="auto"/>
        <w:ind w:firstLine="420"/>
        <w:rPr>
          <w:rFonts w:ascii="宋体" w:hAnsi="Calibri"/>
          <w:szCs w:val="21"/>
          <w:lang w:eastAsia="zh-CN"/>
        </w:rPr>
      </w:pPr>
      <w:r>
        <w:rPr>
          <w:rFonts w:ascii="宋体" w:hAnsi="Calibri"/>
          <w:szCs w:val="21"/>
          <w:highlight w:val="white"/>
          <w:lang w:eastAsia="zh-CN"/>
        </w:rPr>
        <w:t>赎回费用=赎回份额</w:t>
      </w:r>
      <w:r>
        <w:rPr>
          <w:rFonts w:ascii="宋体" w:hAnsi="Calibri"/>
          <w:szCs w:val="21"/>
          <w:highlight w:val="white"/>
          <w:lang w:eastAsia="zh-CN"/>
        </w:rPr>
        <w:t>×</w:t>
      </w:r>
      <w:r>
        <w:rPr>
          <w:rFonts w:ascii="宋体" w:hAnsi="Calibri"/>
          <w:szCs w:val="21"/>
          <w:highlight w:val="white"/>
          <w:lang w:eastAsia="zh-CN"/>
        </w:rPr>
        <w:t>T日</w:t>
      </w:r>
      <w:r>
        <w:rPr>
          <w:rFonts w:ascii="宋体" w:hAnsi="Calibri" w:hint="eastAsia"/>
          <w:szCs w:val="21"/>
          <w:highlight w:val="white"/>
          <w:lang w:eastAsia="zh-CN"/>
        </w:rPr>
        <w:t>该类份额的</w:t>
      </w:r>
      <w:r>
        <w:rPr>
          <w:rFonts w:ascii="宋体" w:hAnsi="Calibri"/>
          <w:szCs w:val="21"/>
          <w:highlight w:val="white"/>
          <w:lang w:eastAsia="zh-CN"/>
        </w:rPr>
        <w:t>基金份额净值</w:t>
      </w:r>
      <w:r>
        <w:rPr>
          <w:rFonts w:ascii="宋体" w:hAnsi="Calibri"/>
          <w:szCs w:val="21"/>
          <w:highlight w:val="white"/>
          <w:lang w:eastAsia="zh-CN"/>
        </w:rPr>
        <w:t>×</w:t>
      </w:r>
      <w:r>
        <w:rPr>
          <w:rFonts w:ascii="宋体" w:hAnsi="Calibri" w:hint="eastAsia"/>
          <w:szCs w:val="21"/>
          <w:highlight w:val="white"/>
          <w:lang w:eastAsia="zh-CN"/>
        </w:rPr>
        <w:t>该类份额对应该类投资者的</w:t>
      </w:r>
      <w:r>
        <w:rPr>
          <w:rFonts w:ascii="宋体" w:hAnsi="Calibri"/>
          <w:szCs w:val="21"/>
          <w:highlight w:val="white"/>
          <w:lang w:eastAsia="zh-CN"/>
        </w:rPr>
        <w:t xml:space="preserve">赎回费率 </w:t>
      </w:r>
    </w:p>
    <w:p w:rsidR="0097367D">
      <w:pPr>
        <w:spacing w:line="360" w:lineRule="auto"/>
        <w:ind w:firstLine="420"/>
        <w:rPr>
          <w:rFonts w:ascii="宋体" w:hAnsi="宋体" w:cs="宋体"/>
          <w:color w:val="000000"/>
          <w:lang w:eastAsia="zh-CN"/>
        </w:rPr>
      </w:pPr>
      <w:r>
        <w:rPr>
          <w:rFonts w:ascii="宋体" w:hAnsi="Calibri"/>
          <w:szCs w:val="21"/>
          <w:highlight w:val="white"/>
          <w:lang w:eastAsia="zh-CN"/>
        </w:rPr>
        <w:t>赎回金额=赎回份额</w:t>
      </w:r>
      <w:r>
        <w:rPr>
          <w:rFonts w:ascii="宋体" w:hAnsi="Calibri"/>
          <w:szCs w:val="21"/>
          <w:highlight w:val="white"/>
          <w:lang w:eastAsia="zh-CN"/>
        </w:rPr>
        <w:t>×</w:t>
      </w:r>
      <w:r>
        <w:rPr>
          <w:rFonts w:ascii="宋体" w:hAnsi="Calibri"/>
          <w:szCs w:val="21"/>
          <w:highlight w:val="white"/>
          <w:lang w:eastAsia="zh-CN"/>
        </w:rPr>
        <w:t>T日</w:t>
      </w:r>
      <w:r>
        <w:rPr>
          <w:rFonts w:ascii="宋体" w:hAnsi="Calibri" w:hint="eastAsia"/>
          <w:szCs w:val="21"/>
          <w:highlight w:val="white"/>
          <w:lang w:eastAsia="zh-CN"/>
        </w:rPr>
        <w:t>该类份额的</w:t>
      </w:r>
      <w:r>
        <w:rPr>
          <w:rFonts w:ascii="宋体" w:hAnsi="Calibri"/>
          <w:szCs w:val="21"/>
          <w:highlight w:val="white"/>
          <w:lang w:eastAsia="zh-CN"/>
        </w:rPr>
        <w:t>基金份额净值-赎回费用</w:t>
      </w:r>
      <w:r>
        <w:rPr>
          <w:rFonts w:ascii="宋体" w:hAnsi="宋体" w:cs="宋体" w:hint="eastAsia"/>
          <w:color w:val="000000"/>
          <w:highlight w:val="white"/>
          <w:lang w:eastAsia="zh-CN"/>
        </w:rPr>
        <w:t>+返还投资者的销售服务费（如有）</w:t>
      </w:r>
    </w:p>
    <w:p w:rsidR="0097367D">
      <w:pPr>
        <w:spacing w:line="360" w:lineRule="auto"/>
        <w:ind w:firstLine="420"/>
        <w:rPr>
          <w:rFonts w:ascii="宋体" w:hAnsi="Calibri"/>
          <w:szCs w:val="21"/>
          <w:lang w:eastAsia="zh-CN"/>
        </w:rPr>
      </w:pPr>
      <w:r>
        <w:rPr>
          <w:rFonts w:ascii="宋体" w:hAnsi="宋体" w:cs="宋体"/>
          <w:color w:val="000000"/>
          <w:highlight w:val="white"/>
          <w:lang w:eastAsia="zh-CN"/>
        </w:rPr>
        <w:t>该笔赎回是否涉及</w:t>
      </w:r>
      <w:r>
        <w:rPr>
          <w:rFonts w:ascii="宋体" w:hAnsi="宋体" w:cs="宋体" w:hint="eastAsia"/>
          <w:color w:val="000000"/>
          <w:highlight w:val="white"/>
          <w:lang w:eastAsia="zh-CN"/>
        </w:rPr>
        <w:t>返还销售服务费</w:t>
      </w:r>
      <w:r>
        <w:rPr>
          <w:rFonts w:ascii="宋体" w:hAnsi="宋体" w:cs="宋体"/>
          <w:color w:val="000000"/>
          <w:highlight w:val="white"/>
          <w:lang w:eastAsia="zh-CN"/>
        </w:rPr>
        <w:t>的具体条件等具体安排详见本招募说明书“基金的费用与税收”部分。</w:t>
      </w:r>
      <w:r>
        <w:rPr>
          <w:rFonts w:ascii="宋体" w:hAnsi="Calibri"/>
          <w:szCs w:val="21"/>
          <w:highlight w:val="white"/>
          <w:lang w:eastAsia="zh-CN"/>
        </w:rPr>
        <w:t xml:space="preserve"> </w:t>
      </w:r>
    </w:p>
    <w:p w:rsidR="0097367D">
      <w:pPr>
        <w:spacing w:line="360" w:lineRule="auto"/>
        <w:ind w:firstLine="420"/>
        <w:rPr>
          <w:rFonts w:ascii="宋体" w:hAnsi="Calibri"/>
          <w:szCs w:val="21"/>
          <w:lang w:eastAsia="zh-CN"/>
        </w:rPr>
      </w:pPr>
      <w:r>
        <w:rPr>
          <w:rFonts w:ascii="宋体" w:hAnsi="Calibri"/>
          <w:szCs w:val="21"/>
          <w:highlight w:val="white"/>
          <w:lang w:eastAsia="zh-CN"/>
        </w:rPr>
        <w:t>例</w:t>
      </w:r>
      <w:r>
        <w:rPr>
          <w:rFonts w:ascii="宋体" w:hAnsi="Calibri" w:hint="eastAsia"/>
          <w:szCs w:val="21"/>
          <w:highlight w:val="white"/>
          <w:lang w:eastAsia="zh-CN"/>
        </w:rPr>
        <w:t>三</w:t>
      </w:r>
      <w:r>
        <w:rPr>
          <w:rFonts w:ascii="宋体" w:hAnsi="Calibri"/>
          <w:szCs w:val="21"/>
          <w:highlight w:val="white"/>
          <w:lang w:eastAsia="zh-CN"/>
        </w:rPr>
        <w:t>：某</w:t>
      </w:r>
      <w:r>
        <w:rPr>
          <w:rFonts w:ascii="宋体" w:hAnsi="Calibri" w:hint="eastAsia"/>
          <w:szCs w:val="21"/>
          <w:highlight w:val="white"/>
          <w:lang w:eastAsia="zh-CN"/>
        </w:rPr>
        <w:t>个人</w:t>
      </w:r>
      <w:r>
        <w:rPr>
          <w:rFonts w:ascii="宋体" w:hAnsi="Calibri"/>
          <w:szCs w:val="21"/>
          <w:highlight w:val="white"/>
          <w:lang w:eastAsia="zh-CN"/>
        </w:rPr>
        <w:t>投资人赎回</w:t>
      </w:r>
      <w:r>
        <w:rPr>
          <w:rFonts w:ascii="宋体" w:hAnsi="宋体" w:cs="宋体" w:hint="eastAsia"/>
          <w:szCs w:val="21"/>
          <w:highlight w:val="white"/>
          <w:lang w:eastAsia="zh-CN"/>
        </w:rPr>
        <w:t>通过除</w:t>
      </w:r>
      <w:r>
        <w:rPr>
          <w:rFonts w:hint="eastAsia"/>
          <w:highlight w:val="white"/>
          <w:lang w:eastAsia="zh-CN"/>
        </w:rPr>
        <w:t>基金</w:t>
      </w:r>
      <w:r>
        <w:rPr>
          <w:highlight w:val="white"/>
          <w:lang w:eastAsia="zh-CN"/>
        </w:rPr>
        <w:t>管理人及其基金销售子公司以外的销售机构</w:t>
      </w:r>
      <w:r>
        <w:rPr>
          <w:rFonts w:hint="eastAsia"/>
          <w:highlight w:val="white"/>
          <w:lang w:eastAsia="zh-CN"/>
        </w:rPr>
        <w:t>投资的</w:t>
      </w:r>
      <w:r>
        <w:rPr>
          <w:rFonts w:ascii="宋体" w:hAnsi="Calibri"/>
          <w:szCs w:val="21"/>
          <w:highlight w:val="white"/>
          <w:lang w:eastAsia="zh-CN"/>
        </w:rPr>
        <w:t>10,000份C类基金份额，假设该笔份额持有期限为5天，则对应的</w:t>
      </w:r>
      <w:r>
        <w:rPr>
          <w:rFonts w:ascii="宋体" w:hAnsi="Calibri" w:hint="eastAsia"/>
          <w:szCs w:val="21"/>
          <w:highlight w:val="white"/>
          <w:lang w:eastAsia="zh-CN"/>
        </w:rPr>
        <w:t>该类投资者的</w:t>
      </w:r>
      <w:r>
        <w:rPr>
          <w:rFonts w:ascii="宋体" w:hAnsi="Calibri"/>
          <w:szCs w:val="21"/>
          <w:highlight w:val="white"/>
          <w:lang w:eastAsia="zh-CN"/>
        </w:rPr>
        <w:t>赎回费率为1.50%，假设赎回当日</w:t>
      </w:r>
      <w:r>
        <w:rPr>
          <w:rFonts w:ascii="宋体" w:hAnsi="Calibri" w:hint="eastAsia"/>
          <w:szCs w:val="21"/>
          <w:highlight w:val="white"/>
          <w:lang w:eastAsia="zh-CN"/>
        </w:rPr>
        <w:t>对应份额类别的</w:t>
      </w:r>
      <w:r>
        <w:rPr>
          <w:rFonts w:ascii="宋体" w:hAnsi="Calibri"/>
          <w:szCs w:val="21"/>
          <w:highlight w:val="white"/>
          <w:lang w:eastAsia="zh-CN"/>
        </w:rPr>
        <w:t>基金份额净值是1.0160元，</w:t>
      </w:r>
      <w:r>
        <w:rPr>
          <w:rFonts w:ascii="宋体" w:hAnsi="宋体" w:cs="宋体"/>
          <w:color w:val="000000"/>
          <w:highlight w:val="white"/>
          <w:lang w:eastAsia="zh-CN"/>
        </w:rPr>
        <w:t>该笔赎回</w:t>
      </w:r>
      <w:r>
        <w:rPr>
          <w:rFonts w:ascii="宋体" w:hAnsi="宋体" w:cs="宋体" w:hint="eastAsia"/>
          <w:color w:val="000000"/>
          <w:highlight w:val="white"/>
          <w:lang w:eastAsia="zh-CN"/>
        </w:rPr>
        <w:t>不</w:t>
      </w:r>
      <w:r>
        <w:rPr>
          <w:rFonts w:ascii="宋体" w:hAnsi="宋体" w:cs="宋体"/>
          <w:color w:val="000000"/>
          <w:highlight w:val="white"/>
          <w:lang w:eastAsia="zh-CN"/>
        </w:rPr>
        <w:t>涉及</w:t>
      </w:r>
      <w:r>
        <w:rPr>
          <w:rFonts w:ascii="宋体" w:hAnsi="宋体" w:cs="宋体" w:hint="eastAsia"/>
          <w:color w:val="000000"/>
          <w:highlight w:val="white"/>
          <w:lang w:eastAsia="zh-CN"/>
        </w:rPr>
        <w:t>返还销售服务费，</w:t>
      </w:r>
      <w:r>
        <w:rPr>
          <w:rFonts w:ascii="宋体" w:hAnsi="Calibri"/>
          <w:szCs w:val="21"/>
          <w:highlight w:val="white"/>
          <w:lang w:eastAsia="zh-CN"/>
        </w:rPr>
        <w:t xml:space="preserve">则其可得到的赎回金额为： </w:t>
      </w:r>
    </w:p>
    <w:p w:rsidR="0097367D">
      <w:pPr>
        <w:spacing w:line="360" w:lineRule="auto"/>
        <w:ind w:firstLine="420"/>
        <w:rPr>
          <w:rFonts w:ascii="宋体" w:hAnsi="Calibri"/>
          <w:szCs w:val="21"/>
          <w:lang w:eastAsia="zh-CN"/>
        </w:rPr>
      </w:pPr>
      <w:r>
        <w:rPr>
          <w:rFonts w:ascii="宋体" w:hAnsi="Calibri"/>
          <w:szCs w:val="21"/>
          <w:highlight w:val="white"/>
          <w:lang w:eastAsia="zh-CN"/>
        </w:rPr>
        <w:t>赎回费用 = 10,000</w:t>
      </w:r>
      <w:r>
        <w:rPr>
          <w:rFonts w:ascii="宋体" w:hAnsi="Calibri"/>
          <w:szCs w:val="21"/>
          <w:highlight w:val="white"/>
          <w:lang w:eastAsia="zh-CN"/>
        </w:rPr>
        <w:t>×</w:t>
      </w:r>
      <w:r>
        <w:rPr>
          <w:rFonts w:ascii="宋体" w:hAnsi="Calibri"/>
          <w:szCs w:val="21"/>
          <w:highlight w:val="white"/>
          <w:lang w:eastAsia="zh-CN"/>
        </w:rPr>
        <w:t>1.0160</w:t>
      </w:r>
      <w:r>
        <w:rPr>
          <w:rFonts w:ascii="宋体" w:hAnsi="Calibri"/>
          <w:szCs w:val="21"/>
          <w:highlight w:val="white"/>
          <w:lang w:eastAsia="zh-CN"/>
        </w:rPr>
        <w:t>×</w:t>
      </w:r>
      <w:r>
        <w:rPr>
          <w:rFonts w:ascii="宋体" w:hAnsi="Calibri"/>
          <w:szCs w:val="21"/>
          <w:highlight w:val="white"/>
          <w:lang w:eastAsia="zh-CN"/>
        </w:rPr>
        <w:t>1.50% ＝152.40元</w:t>
      </w:r>
    </w:p>
    <w:p w:rsidR="0097367D">
      <w:pPr>
        <w:spacing w:line="360" w:lineRule="auto"/>
        <w:ind w:firstLine="420"/>
        <w:rPr>
          <w:rFonts w:ascii="宋体" w:hAnsi="Calibri" w:cs="宋体"/>
          <w:szCs w:val="21"/>
          <w:lang w:eastAsia="zh-CN"/>
        </w:rPr>
      </w:pPr>
      <w:r>
        <w:rPr>
          <w:rFonts w:ascii="宋体" w:hAnsi="Calibri"/>
          <w:szCs w:val="21"/>
          <w:highlight w:val="white"/>
          <w:lang w:eastAsia="zh-CN"/>
        </w:rPr>
        <w:t>赎回金额 = 10,000</w:t>
      </w:r>
      <w:r>
        <w:rPr>
          <w:rFonts w:ascii="宋体" w:hAnsi="Calibri"/>
          <w:szCs w:val="21"/>
          <w:highlight w:val="white"/>
          <w:lang w:eastAsia="zh-CN"/>
        </w:rPr>
        <w:t>×</w:t>
      </w:r>
      <w:r>
        <w:rPr>
          <w:rFonts w:ascii="宋体" w:hAnsi="Calibri"/>
          <w:szCs w:val="21"/>
          <w:highlight w:val="white"/>
          <w:lang w:eastAsia="zh-CN"/>
        </w:rPr>
        <w:t>1.0160-152.40+0＝10,007.60元</w:t>
      </w:r>
      <w:bookmarkStart w:id="1806" w:name="_Toc332373509"/>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4、基金份额净值的计算公式</w:t>
      </w:r>
      <w:bookmarkEnd w:id="1806"/>
      <w:r>
        <w:rPr>
          <w:rFonts w:ascii="宋体" w:hAnsi="Calibri" w:cs="宋体"/>
          <w:szCs w:val="21"/>
          <w:highlight w:val="white"/>
          <w:lang w:eastAsia="zh-CN"/>
        </w:rPr>
        <w:t xml:space="preserve"> </w:t>
      </w:r>
    </w:p>
    <w:p w:rsidR="0097367D">
      <w:pPr>
        <w:spacing w:line="360" w:lineRule="auto"/>
        <w:ind w:firstLine="422"/>
        <w:rPr>
          <w:rFonts w:ascii="宋体" w:hAnsi="Calibri" w:cs="宋体"/>
          <w:szCs w:val="21"/>
          <w:lang w:eastAsia="zh-CN"/>
        </w:rPr>
      </w:pPr>
      <w:r>
        <w:rPr>
          <w:rFonts w:ascii="宋体" w:hAnsi="Calibri" w:cs="宋体"/>
          <w:szCs w:val="21"/>
          <w:highlight w:val="white"/>
          <w:lang w:eastAsia="zh-CN"/>
        </w:rPr>
        <w:t>计算日</w:t>
      </w:r>
      <w:r>
        <w:rPr>
          <w:rFonts w:ascii="宋体" w:hAnsi="Calibri" w:cs="宋体" w:hint="eastAsia"/>
          <w:szCs w:val="21"/>
          <w:highlight w:val="white"/>
          <w:lang w:eastAsia="zh-CN"/>
        </w:rPr>
        <w:t>该类基金份额的</w:t>
      </w:r>
      <w:r>
        <w:rPr>
          <w:rFonts w:ascii="宋体" w:hAnsi="Calibri" w:cs="宋体"/>
          <w:szCs w:val="21"/>
          <w:highlight w:val="white"/>
          <w:lang w:eastAsia="zh-CN"/>
        </w:rPr>
        <w:t>基金份额净值=计算日</w:t>
      </w:r>
      <w:r>
        <w:rPr>
          <w:rFonts w:ascii="宋体" w:hAnsi="Calibri" w:cs="宋体" w:hint="eastAsia"/>
          <w:szCs w:val="21"/>
          <w:highlight w:val="white"/>
          <w:lang w:eastAsia="zh-CN"/>
        </w:rPr>
        <w:t>该类基金份额的</w:t>
      </w:r>
      <w:r>
        <w:rPr>
          <w:rFonts w:ascii="宋体" w:hAnsi="Calibri" w:cs="宋体"/>
          <w:szCs w:val="21"/>
          <w:highlight w:val="white"/>
          <w:lang w:eastAsia="zh-CN"/>
        </w:rPr>
        <w:t>基金资产净值/计算日</w:t>
      </w:r>
      <w:r>
        <w:rPr>
          <w:rFonts w:ascii="宋体" w:hAnsi="Calibri" w:cs="宋体" w:hint="eastAsia"/>
          <w:szCs w:val="21"/>
          <w:highlight w:val="white"/>
          <w:lang w:eastAsia="zh-CN"/>
        </w:rPr>
        <w:t>该类</w:t>
      </w:r>
      <w:r>
        <w:rPr>
          <w:rFonts w:ascii="宋体" w:hAnsi="Calibri" w:cs="宋体"/>
          <w:szCs w:val="21"/>
          <w:highlight w:val="white"/>
          <w:lang w:eastAsia="zh-CN"/>
        </w:rPr>
        <w:t>基金</w:t>
      </w:r>
      <w:r>
        <w:rPr>
          <w:rFonts w:ascii="宋体" w:hAnsi="Calibri" w:cs="宋体" w:hint="eastAsia"/>
          <w:szCs w:val="21"/>
          <w:highlight w:val="white"/>
          <w:lang w:eastAsia="zh-CN"/>
        </w:rPr>
        <w:t>份额</w:t>
      </w:r>
      <w:r>
        <w:rPr>
          <w:rFonts w:ascii="宋体" w:hAnsi="Calibri" w:cs="宋体"/>
          <w:szCs w:val="21"/>
          <w:highlight w:val="white"/>
          <w:lang w:eastAsia="zh-CN"/>
        </w:rPr>
        <w:t>总份额</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本基金各类基金份额净值的计算，保留到小数点后4位，小数点后第5位四舍五入，由此产生的收益或损失由基金财产承担。遇特殊情况，经履行适当程序，可以适当延迟计算或公告。</w:t>
      </w:r>
    </w:p>
    <w:p w:rsidR="0097367D">
      <w:pPr>
        <w:spacing w:line="360" w:lineRule="auto"/>
        <w:ind w:firstLine="420"/>
        <w:rPr>
          <w:rStyle w:val="da"/>
          <w:rFonts w:ascii="宋体" w:hAnsi="Calibri" w:cs="宋体"/>
          <w:szCs w:val="21"/>
          <w:lang w:eastAsia="zh-CN"/>
        </w:rPr>
      </w:pPr>
      <w:bookmarkStart w:id="1807" w:name="_Toc332373510"/>
      <w:r>
        <w:rPr>
          <w:rStyle w:val="da"/>
          <w:rFonts w:ascii="宋体" w:hAnsi="Calibri" w:cs="宋体" w:hint="eastAsia"/>
          <w:szCs w:val="21"/>
          <w:highlight w:val="white"/>
          <w:lang w:eastAsia="zh-CN"/>
        </w:rPr>
        <w:t>九、申购和赎回的登记</w:t>
      </w:r>
    </w:p>
    <w:p w:rsidR="0097367D">
      <w:pPr>
        <w:spacing w:line="360" w:lineRule="auto"/>
        <w:ind w:firstLine="422"/>
        <w:rPr>
          <w:rStyle w:val="da"/>
          <w:rFonts w:ascii="宋体" w:hAnsi="Calibri" w:cs="宋体"/>
          <w:szCs w:val="21"/>
          <w:lang w:eastAsia="zh-CN"/>
        </w:rPr>
      </w:pPr>
      <w:r>
        <w:rPr>
          <w:rStyle w:val="da"/>
          <w:rFonts w:ascii="宋体" w:hAnsi="Calibri" w:cs="宋体" w:hint="eastAsia"/>
          <w:szCs w:val="21"/>
          <w:highlight w:val="white"/>
          <w:lang w:eastAsia="zh-CN"/>
        </w:rPr>
        <w:t>正常情况下，投资者</w:t>
      </w:r>
      <w:r>
        <w:rPr>
          <w:rStyle w:val="da"/>
          <w:rFonts w:ascii="宋体" w:hAnsi="Calibri" w:cs="宋体"/>
          <w:szCs w:val="21"/>
          <w:highlight w:val="white"/>
          <w:lang w:eastAsia="zh-CN"/>
        </w:rPr>
        <w:t>T</w:t>
      </w:r>
      <w:r>
        <w:rPr>
          <w:rStyle w:val="da"/>
          <w:rFonts w:ascii="宋体" w:hAnsi="Calibri" w:cs="宋体" w:hint="eastAsia"/>
          <w:szCs w:val="21"/>
          <w:highlight w:val="white"/>
          <w:lang w:eastAsia="zh-CN"/>
        </w:rPr>
        <w:t>日申购基金成功后，登记机构在</w:t>
      </w:r>
      <w:r>
        <w:rPr>
          <w:rStyle w:val="da"/>
          <w:rFonts w:ascii="宋体" w:hAnsi="Calibri" w:cs="宋体"/>
          <w:szCs w:val="21"/>
          <w:highlight w:val="white"/>
          <w:lang w:eastAsia="zh-CN"/>
        </w:rPr>
        <w:t>T+1</w:t>
      </w:r>
      <w:r>
        <w:rPr>
          <w:rStyle w:val="da"/>
          <w:rFonts w:ascii="宋体" w:hAnsi="Calibri" w:cs="宋体" w:hint="eastAsia"/>
          <w:szCs w:val="21"/>
          <w:highlight w:val="white"/>
          <w:lang w:eastAsia="zh-CN"/>
        </w:rPr>
        <w:t>日为投资者增加权益并办理登记手续</w:t>
      </w:r>
      <w:r>
        <w:rPr>
          <w:rStyle w:val="da"/>
          <w:rFonts w:ascii="宋体" w:hAnsi="Calibri" w:cs="宋体" w:hint="eastAsia"/>
          <w:szCs w:val="21"/>
          <w:highlight w:val="white"/>
          <w:lang w:eastAsia="zh-CN"/>
        </w:rPr>
        <w:t>。</w:t>
      </w:r>
    </w:p>
    <w:p w:rsidR="0097367D">
      <w:pPr>
        <w:spacing w:line="360" w:lineRule="auto"/>
        <w:ind w:firstLine="422"/>
        <w:rPr>
          <w:rStyle w:val="da"/>
          <w:rFonts w:ascii="宋体" w:hAnsi="Calibri" w:cs="宋体"/>
          <w:szCs w:val="21"/>
          <w:lang w:eastAsia="zh-CN"/>
        </w:rPr>
      </w:pPr>
      <w:r>
        <w:rPr>
          <w:rStyle w:val="da"/>
          <w:rFonts w:ascii="宋体" w:hAnsi="Calibri" w:cs="宋体" w:hint="eastAsia"/>
          <w:szCs w:val="21"/>
          <w:highlight w:val="white"/>
          <w:lang w:eastAsia="zh-CN"/>
        </w:rPr>
        <w:t>基金份额持有人</w:t>
      </w:r>
      <w:r>
        <w:rPr>
          <w:rStyle w:val="da"/>
          <w:rFonts w:ascii="宋体" w:hAnsi="Calibri" w:cs="宋体"/>
          <w:szCs w:val="21"/>
          <w:highlight w:val="white"/>
          <w:lang w:eastAsia="zh-CN"/>
        </w:rPr>
        <w:t>T</w:t>
      </w:r>
      <w:r>
        <w:rPr>
          <w:rStyle w:val="da"/>
          <w:rFonts w:ascii="宋体" w:hAnsi="Calibri" w:cs="宋体" w:hint="eastAsia"/>
          <w:szCs w:val="21"/>
          <w:highlight w:val="white"/>
          <w:lang w:eastAsia="zh-CN"/>
        </w:rPr>
        <w:t>日赎回基金成功后，正常情况下，登记机构在</w:t>
      </w:r>
      <w:r>
        <w:rPr>
          <w:rStyle w:val="da"/>
          <w:rFonts w:ascii="宋体" w:hAnsi="Calibri" w:cs="宋体"/>
          <w:szCs w:val="21"/>
          <w:highlight w:val="white"/>
          <w:lang w:eastAsia="zh-CN"/>
        </w:rPr>
        <w:t>T+1</w:t>
      </w:r>
      <w:r>
        <w:rPr>
          <w:rStyle w:val="da"/>
          <w:rFonts w:ascii="宋体" w:hAnsi="Calibri" w:cs="宋体" w:hint="eastAsia"/>
          <w:szCs w:val="21"/>
          <w:highlight w:val="white"/>
          <w:lang w:eastAsia="zh-CN"/>
        </w:rPr>
        <w:t>日为其办理扣除权益的登记手续。</w:t>
      </w:r>
    </w:p>
    <w:p w:rsidR="0097367D">
      <w:pPr>
        <w:spacing w:line="360" w:lineRule="auto"/>
        <w:ind w:firstLine="422"/>
        <w:rPr>
          <w:rStyle w:val="da"/>
          <w:rFonts w:ascii="宋体" w:hAnsi="Calibri" w:cs="宋体"/>
          <w:szCs w:val="21"/>
          <w:lang w:eastAsia="zh-CN"/>
        </w:rPr>
      </w:pPr>
      <w:r>
        <w:rPr>
          <w:rStyle w:val="da"/>
          <w:rFonts w:ascii="宋体" w:hAnsi="Calibri"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07"/>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十、拒绝或暂停申购的情形</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发生下列情况时，基金管理人可拒绝或暂停接受投资人的某一类或多类份额申购申请：</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1、因不可抗力导致基金无法正常运作。</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2、发生基金合同规定的暂停基金资产估值情况时。</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3、基金进行交易的主要证券/期货交易市场交易时间非正常停市。</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4、基金管理人认为接受某笔或某些申购申请可能会影响或损害现有基金份额持有人利益时。</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5、基金资产规模过大，使基金管理人无法找到合适的投资品种，或其他可能对基金业绩产生负面影响，或基金管理人认定的其他损害现有基金份额持有人利益的情形。</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6、基金管理人、基金托管人、登记机构、销售机构、支付结算机构等因异常情况导致基金销售系统、基金销售支付结算系统、基金登记系统、基金会计系统等无法正常运行。</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8、当前一估值日基金资产净值50%以上的资产出现无可参考的活跃市场价格且采用估值技术</w:t>
      </w:r>
      <w:r>
        <w:rPr>
          <w:rStyle w:val="da"/>
          <w:rFonts w:ascii="宋体" w:hAnsi="Calibri" w:cs="宋体" w:hint="eastAsia"/>
          <w:szCs w:val="21"/>
          <w:highlight w:val="white"/>
          <w:lang w:eastAsia="zh-CN"/>
        </w:rPr>
        <w:t>仍导致</w:t>
      </w:r>
      <w:r>
        <w:rPr>
          <w:rStyle w:val="da"/>
          <w:rFonts w:ascii="宋体" w:hAnsi="Calibri" w:cs="宋体" w:hint="eastAsia"/>
          <w:szCs w:val="21"/>
          <w:highlight w:val="white"/>
          <w:lang w:eastAsia="zh-CN"/>
        </w:rPr>
        <w:t>公允价值存在重大不确定性时，经与基金托管人协商确认后，基金管理人应当暂停接受基金申购申请。</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9、目标ETF暂停估值，导致基金管理人无法计算当日基金资产净值。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10、目标ETF暂停申购、暂停上市或目标ETF停牌，基金管理人认为有必要暂停本基金申购的。</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11、法律法规规定或中国证监会认定的其他情形。</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发生上述第1、2、3、5、6、7、8、9、10、11项情形</w:t>
      </w:r>
      <w:r>
        <w:rPr>
          <w:rStyle w:val="da"/>
          <w:rFonts w:ascii="宋体" w:hAnsi="Calibri" w:cs="宋体" w:hint="eastAsia"/>
          <w:szCs w:val="21"/>
          <w:highlight w:val="white"/>
          <w:lang w:eastAsia="zh-CN"/>
        </w:rPr>
        <w:t>且基金</w:t>
      </w:r>
      <w:r>
        <w:rPr>
          <w:rStyle w:val="da"/>
          <w:rFonts w:ascii="宋体" w:hAnsi="Calibri" w:cs="宋体" w:hint="eastAsia"/>
          <w:szCs w:val="21"/>
          <w:highlight w:val="white"/>
          <w:lang w:eastAsia="zh-CN"/>
        </w:rPr>
        <w:t>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十一、暂停赎回或延缓支付赎回款项的情形</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发生下列情形时，基金管理人可暂停接受投资人的某一类或多类份额赎回申请或延缓支付赎回款项：</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1、因不可抗力导致基金管理人不能支付赎回款项。</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2、发生基金合同规定的暂停基金资产估值情况时。</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3、基金进行交易的主要证券/期货交易市场交易时间非正常停市。</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4、连续两个或两个以上开放日发生巨额赎回。</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5、发生继续接受赎回申请将损害现有基金份额持有人利益的情形时，基金管理人可暂停接受基金份额持有人的赎回申请。</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6、当前一估值日基金资产净值50%以上的资产出现无可参考的活跃市场价格且采用估值技术</w:t>
      </w:r>
      <w:r>
        <w:rPr>
          <w:rStyle w:val="da"/>
          <w:rFonts w:ascii="宋体" w:hAnsi="Calibri" w:cs="宋体" w:hint="eastAsia"/>
          <w:szCs w:val="21"/>
          <w:highlight w:val="white"/>
          <w:lang w:eastAsia="zh-CN"/>
        </w:rPr>
        <w:t>仍导致</w:t>
      </w:r>
      <w:r>
        <w:rPr>
          <w:rStyle w:val="da"/>
          <w:rFonts w:ascii="宋体" w:hAnsi="Calibri" w:cs="宋体" w:hint="eastAsia"/>
          <w:szCs w:val="21"/>
          <w:highlight w:val="white"/>
          <w:lang w:eastAsia="zh-CN"/>
        </w:rPr>
        <w:t>公允价值存在重大不确定性时，经与基金托管人协商确认后，基金管理人应当延缓支付赎回款项或暂停接受基金赎回申请。</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7</w:t>
      </w:r>
      <w:r>
        <w:rPr>
          <w:rStyle w:val="da"/>
          <w:rFonts w:ascii="宋体" w:hAnsi="Calibri" w:cs="宋体" w:hint="eastAsia"/>
          <w:szCs w:val="21"/>
          <w:highlight w:val="white"/>
          <w:lang w:eastAsia="zh-CN"/>
        </w:rPr>
        <w:t>、本基金的资产组合中的重要部分发生暂停交易或其他重大事件，继续接受赎回可能会影响或损害基金份额持有人利益时。</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8</w:t>
      </w:r>
      <w:r>
        <w:rPr>
          <w:rStyle w:val="da"/>
          <w:rFonts w:ascii="宋体" w:hAnsi="Calibri" w:cs="宋体" w:hint="eastAsia"/>
          <w:szCs w:val="21"/>
          <w:highlight w:val="white"/>
          <w:lang w:eastAsia="zh-CN"/>
        </w:rPr>
        <w:t>、目标ETF暂停估值，导致基金管理人无法计算当日基金资产净值。</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9</w:t>
      </w:r>
      <w:r>
        <w:rPr>
          <w:rStyle w:val="da"/>
          <w:rFonts w:ascii="宋体" w:hAnsi="Calibri" w:cs="宋体" w:hint="eastAsia"/>
          <w:szCs w:val="21"/>
          <w:highlight w:val="white"/>
          <w:lang w:eastAsia="zh-CN"/>
        </w:rPr>
        <w:t>、目标ETF暂停赎回、暂停上市或目标ETF停牌，基金管理人认为有必要暂停本基金赎回的。</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w:t>
      </w:r>
      <w:r>
        <w:rPr>
          <w:rStyle w:val="da"/>
          <w:rFonts w:ascii="宋体" w:hAnsi="Calibri" w:cs="宋体"/>
          <w:szCs w:val="21"/>
          <w:highlight w:val="white"/>
          <w:lang w:eastAsia="zh-CN"/>
        </w:rPr>
        <w:t>0</w:t>
      </w:r>
      <w:r>
        <w:rPr>
          <w:rStyle w:val="da"/>
          <w:rFonts w:ascii="宋体" w:hAnsi="Calibri" w:cs="宋体" w:hint="eastAsia"/>
          <w:szCs w:val="21"/>
          <w:highlight w:val="white"/>
          <w:lang w:eastAsia="zh-CN"/>
        </w:rPr>
        <w:t>、法律法规规定或中国证监会认定的其他情形。</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发生上述情形之一</w:t>
      </w:r>
      <w:r>
        <w:rPr>
          <w:rStyle w:val="da"/>
          <w:rFonts w:ascii="宋体" w:hAnsi="Calibri" w:cs="宋体" w:hint="eastAsia"/>
          <w:szCs w:val="21"/>
          <w:highlight w:val="white"/>
          <w:lang w:eastAsia="zh-CN"/>
        </w:rPr>
        <w:t>且基金</w:t>
      </w:r>
      <w:r>
        <w:rPr>
          <w:rStyle w:val="da"/>
          <w:rFonts w:ascii="宋体" w:hAnsi="Calibri" w:cs="宋体" w:hint="eastAsia"/>
          <w:szCs w:val="21"/>
          <w:highlight w:val="white"/>
          <w:lang w:eastAsia="zh-CN"/>
        </w:rPr>
        <w:t>管理人决定暂停赎回或延缓支付赎回款项时，基金管理人应按规定报中国证监会备案。若出现上述第4项所述情形，按基金合同的相关条款处理。基金份额持有人在申请赎回时可事先选择将当日可能未获受理部分予以撤销。在暂停赎回的情况消除时，基金管理人应及时恢复赎回业务的办理。</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十二、巨额赎回的情形及处理方式</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1、巨额赎回的认定</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2、巨额赎回的处理方式</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当基金出现巨额赎回时，基金管理人可以根据基金当时的资产组合状况决定全额赎回或部分延期赎回。</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（1）全额赎回：当基金管理人认为有能力支付投资人的全部赎回申请时，按正常赎回程序执行。</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r>
        <w:rPr>
          <w:rStyle w:val="da"/>
          <w:rFonts w:ascii="宋体" w:hAnsi="Calibri" w:cs="宋体"/>
          <w:szCs w:val="21"/>
          <w:highlight w:val="white"/>
          <w:lang w:eastAsia="zh-CN"/>
        </w:rPr>
        <w:t>并以下</w:t>
      </w:r>
      <w:r>
        <w:rPr>
          <w:rStyle w:val="da"/>
          <w:rFonts w:ascii="宋体" w:hAnsi="Calibri" w:cs="宋体"/>
          <w:szCs w:val="21"/>
          <w:highlight w:val="white"/>
          <w:lang w:eastAsia="zh-CN"/>
        </w:rPr>
        <w:t>一开放日该类基金份额的基金份额净值为基础计算赎回金额，以此类推，直到全部赎回为止。如投资人在提交赎回申请时未作明确选择，投资人未能赎回部分作自动延期赎回处理。</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若本基金发生巨额赎回且单个基金份额持有人的赎回申请超过上一开放日基金总份额10%的，基金管理人有权对该单个基金份额持有人超出该比例的赎回申请实施延期办理；对该单个基金份额持有人剩余赎回申请，基金管理人可以根据前款</w:t>
      </w:r>
      <w:r>
        <w:rPr>
          <w:rStyle w:val="da"/>
          <w:rFonts w:ascii="宋体" w:hAnsi="Calibri" w:cs="宋体"/>
          <w:szCs w:val="21"/>
          <w:highlight w:val="white"/>
          <w:lang w:eastAsia="zh-CN"/>
        </w:rPr>
        <w:t>“</w:t>
      </w:r>
      <w:r>
        <w:rPr>
          <w:rStyle w:val="da"/>
          <w:rFonts w:ascii="宋体" w:hAnsi="Calibri" w:cs="宋体"/>
          <w:szCs w:val="21"/>
          <w:highlight w:val="white"/>
          <w:lang w:eastAsia="zh-CN"/>
        </w:rPr>
        <w:t>（1）全额赎回</w:t>
      </w:r>
      <w:r>
        <w:rPr>
          <w:rStyle w:val="da"/>
          <w:rFonts w:ascii="宋体" w:hAnsi="Calibri" w:cs="宋体"/>
          <w:szCs w:val="21"/>
          <w:highlight w:val="white"/>
          <w:lang w:eastAsia="zh-CN"/>
        </w:rPr>
        <w:t>”</w:t>
      </w:r>
      <w:r>
        <w:rPr>
          <w:rStyle w:val="da"/>
          <w:rFonts w:ascii="宋体" w:hAnsi="Calibri" w:cs="宋体"/>
          <w:szCs w:val="21"/>
          <w:highlight w:val="white"/>
          <w:lang w:eastAsia="zh-CN"/>
        </w:rPr>
        <w:t>或</w:t>
      </w:r>
      <w:r>
        <w:rPr>
          <w:rStyle w:val="da"/>
          <w:rFonts w:ascii="宋体" w:hAnsi="Calibri" w:cs="宋体"/>
          <w:szCs w:val="21"/>
          <w:highlight w:val="white"/>
          <w:lang w:eastAsia="zh-CN"/>
        </w:rPr>
        <w:t>“</w:t>
      </w:r>
      <w:r>
        <w:rPr>
          <w:rStyle w:val="da"/>
          <w:rFonts w:ascii="宋体" w:hAnsi="Calibri" w:cs="宋体"/>
          <w:szCs w:val="21"/>
          <w:highlight w:val="white"/>
          <w:lang w:eastAsia="zh-CN"/>
        </w:rPr>
        <w:t>（2）部分延期赎回</w:t>
      </w:r>
      <w:r>
        <w:rPr>
          <w:rStyle w:val="da"/>
          <w:rFonts w:ascii="宋体" w:hAnsi="Calibri" w:cs="宋体"/>
          <w:szCs w:val="21"/>
          <w:highlight w:val="white"/>
          <w:lang w:eastAsia="zh-CN"/>
        </w:rPr>
        <w:t>”</w:t>
      </w:r>
      <w:r>
        <w:rPr>
          <w:rStyle w:val="da"/>
          <w:rFonts w:ascii="宋体" w:hAnsi="Calibri" w:cs="宋体"/>
          <w:szCs w:val="21"/>
          <w:highlight w:val="white"/>
          <w:lang w:eastAsia="zh-CN"/>
        </w:rPr>
        <w:t>约定的方式与其他账户的赎回申请一并办理。</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3、巨额赎回的公告</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当发生上述巨额赎回并延期办理时，基金管理人应当通过邮寄、传真或者招募说明书规定的其他方式在3个交易日内通知基金份额持有人，说明有关处理方法，并在2日内在规定媒介上刊登公告。</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十三、暂停申购或赎回的公告和重新开放申购或赎回的公告</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1、发生上述暂停申购或赎回情况的，基金管理人应在规定期限内在规定媒介上刊登暂停公告。</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97367D">
      <w:pPr>
        <w:spacing w:line="360" w:lineRule="auto"/>
        <w:ind w:firstLine="420"/>
        <w:rPr>
          <w:rStyle w:val="da"/>
          <w:rFonts w:ascii="宋体" w:hAnsi="Calibri" w:cs="宋体"/>
          <w:szCs w:val="21"/>
          <w:lang w:eastAsia="zh-CN"/>
        </w:rPr>
      </w:pPr>
      <w:bookmarkStart w:id="1808" w:name="_Hlt70481650"/>
      <w:bookmarkEnd w:id="1808"/>
      <w:r>
        <w:rPr>
          <w:rStyle w:val="da"/>
          <w:rFonts w:ascii="宋体" w:hAnsi="Calibri" w:cs="宋体" w:hint="eastAsia"/>
          <w:szCs w:val="21"/>
          <w:highlight w:val="white"/>
          <w:lang w:eastAsia="zh-CN"/>
        </w:rPr>
        <w:t>十四、基金份额折算</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十五、实施</w:t>
      </w:r>
      <w:r>
        <w:rPr>
          <w:rStyle w:val="da"/>
          <w:rFonts w:ascii="宋体" w:hAnsi="Calibri" w:cs="宋体" w:hint="eastAsia"/>
          <w:szCs w:val="21"/>
          <w:highlight w:val="white"/>
          <w:lang w:eastAsia="zh-CN"/>
        </w:rPr>
        <w:t>侧袋机制</w:t>
      </w:r>
      <w:r>
        <w:rPr>
          <w:rStyle w:val="da"/>
          <w:rFonts w:ascii="宋体" w:hAnsi="Calibri" w:cs="宋体" w:hint="eastAsia"/>
          <w:szCs w:val="21"/>
          <w:highlight w:val="white"/>
          <w:lang w:eastAsia="zh-CN"/>
        </w:rPr>
        <w:t>期间本基金的申购与赎回</w:t>
      </w:r>
    </w:p>
    <w:p w:rsidR="0097367D">
      <w:pPr>
        <w:spacing w:line="360" w:lineRule="auto"/>
        <w:ind w:firstLine="420"/>
        <w:rPr>
          <w:rFonts w:ascii="宋体" w:hAnsi="Calibri" w:cs="宋体"/>
          <w:szCs w:val="21"/>
          <w:lang w:eastAsia="zh-CN"/>
        </w:rPr>
      </w:pPr>
      <w:r>
        <w:rPr>
          <w:rStyle w:val="da"/>
          <w:rFonts w:ascii="宋体" w:hAnsi="Calibri" w:cs="宋体" w:hint="eastAsia"/>
          <w:szCs w:val="21"/>
          <w:highlight w:val="white"/>
          <w:lang w:eastAsia="zh-CN"/>
        </w:rPr>
        <w:t>本基金实施</w:t>
      </w:r>
      <w:r>
        <w:rPr>
          <w:rStyle w:val="da"/>
          <w:rFonts w:ascii="宋体" w:hAnsi="Calibri" w:cs="宋体" w:hint="eastAsia"/>
          <w:szCs w:val="21"/>
          <w:highlight w:val="white"/>
          <w:lang w:eastAsia="zh-CN"/>
        </w:rPr>
        <w:t>侧袋机制</w:t>
      </w:r>
      <w:r>
        <w:rPr>
          <w:rStyle w:val="da"/>
          <w:rFonts w:ascii="宋体" w:hAnsi="Calibri" w:cs="宋体" w:hint="eastAsia"/>
          <w:szCs w:val="21"/>
          <w:highlight w:val="white"/>
          <w:lang w:eastAsia="zh-CN"/>
        </w:rPr>
        <w:t>的，本基金的申购和赎回安排详见本招募说明书“侧袋机制”部分的规定或相关公告。</w:t>
      </w:r>
    </w:p>
    <w:p w:rsidR="0097367D">
      <w:pPr>
        <w:widowControl/>
        <w:jc w:val="left"/>
        <w:rPr>
          <w:rFonts w:ascii="宋体" w:hAnsi="Calibri" w:cs="宋体"/>
          <w:sz w:val="30"/>
          <w:szCs w:val="32"/>
          <w:lang w:eastAsia="zh-CN"/>
        </w:rPr>
      </w:pPr>
      <w:r>
        <w:rPr>
          <w:rFonts w:ascii="宋体" w:hAnsi="Calibri" w:cs="宋体"/>
          <w:sz w:val="30"/>
          <w:highlight w:val="white"/>
          <w:lang w:eastAsia="zh-CN"/>
        </w:rPr>
        <w:br w:type="page"/>
      </w:r>
    </w:p>
    <w:p w:rsidR="0097367D">
      <w:pPr>
        <w:pStyle w:val="Heading1"/>
        <w:spacing w:before="317" w:after="317" w:line="320" w:lineRule="exact"/>
        <w:ind w:firstLine="600"/>
        <w:rPr>
          <w:rFonts w:ascii="宋体" w:eastAsia="宋体" w:hAnsi="Calibri" w:cs="宋体"/>
          <w:sz w:val="30"/>
          <w:szCs w:val="30"/>
          <w:lang w:eastAsia="zh-CN"/>
        </w:rPr>
      </w:pPr>
      <w:bookmarkStart w:id="1809" w:name="_Toc129511532"/>
      <w:r>
        <w:rPr>
          <w:rFonts w:ascii="宋体" w:eastAsia="宋体" w:hAnsi="Calibri" w:cs="宋体"/>
          <w:sz w:val="30"/>
          <w:szCs w:val="30"/>
          <w:highlight w:val="white"/>
          <w:lang w:eastAsia="zh-CN"/>
        </w:rPr>
        <w:t xml:space="preserve">第十部分 </w:t>
      </w:r>
      <w:r>
        <w:rPr>
          <w:rFonts w:ascii="宋体" w:eastAsia="宋体" w:hAnsi="Calibri" w:cs="宋体" w:hint="eastAsia"/>
          <w:sz w:val="30"/>
          <w:szCs w:val="30"/>
          <w:highlight w:val="white"/>
          <w:lang w:eastAsia="zh-CN"/>
        </w:rPr>
        <w:t>基金转换和定期定额投资计划</w:t>
      </w:r>
      <w:bookmarkEnd w:id="1809"/>
    </w:p>
    <w:p w:rsidR="0097367D">
      <w:pPr>
        <w:spacing w:line="360" w:lineRule="auto"/>
        <w:ind w:firstLine="420"/>
        <w:rPr>
          <w:rStyle w:val="da"/>
          <w:rFonts w:ascii="宋体" w:hAnsi="Calibri" w:cs="宋体"/>
          <w:lang w:eastAsia="zh-CN"/>
        </w:rPr>
      </w:pPr>
      <w:bookmarkStart w:id="1810" w:name="_Toc332373517"/>
      <w:r>
        <w:rPr>
          <w:rStyle w:val="da"/>
          <w:rFonts w:ascii="宋体" w:hAnsi="Calibri" w:cs="宋体" w:hint="eastAsia"/>
          <w:highlight w:val="white"/>
          <w:lang w:eastAsia="zh-CN"/>
        </w:rPr>
        <w:t>一、基金转换</w:t>
      </w:r>
      <w:bookmarkEnd w:id="1810"/>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二、定期定额投资计划</w:t>
      </w:r>
    </w:p>
    <w:p w:rsidR="0097367D">
      <w:pPr>
        <w:spacing w:line="360" w:lineRule="auto"/>
        <w:ind w:firstLine="420"/>
        <w:rPr>
          <w:rStyle w:val="da"/>
          <w:rFonts w:ascii="宋体" w:hAnsi="Calibri"/>
          <w:lang w:eastAsia="zh-CN"/>
        </w:rPr>
      </w:pPr>
      <w:r>
        <w:rPr>
          <w:rStyle w:val="da"/>
          <w:rFonts w:ascii="宋体" w:hAnsi="Calibri" w:hint="eastAsia"/>
          <w:highlight w:val="white"/>
          <w:lang w:eastAsia="zh-CN"/>
        </w:rPr>
        <w:t>基金管理人可利用非直销销售机构网点和本公司网上直销系统为投资者提供定期定额投资的服务（本公司网上直销系统的定期定额投资服务目前仅对个人投资者开通），具体实施方法见有关公告。</w:t>
      </w:r>
      <w:r>
        <w:rPr>
          <w:rStyle w:val="da"/>
          <w:rFonts w:ascii="宋体" w:hAnsi="Calibri"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97367D">
      <w:pPr>
        <w:pStyle w:val="Heading1"/>
        <w:spacing w:before="317" w:after="317" w:line="320" w:lineRule="exact"/>
        <w:ind w:firstLine="600"/>
        <w:rPr>
          <w:rFonts w:ascii="宋体" w:eastAsia="宋体" w:hAnsi="Calibri" w:cs="宋体"/>
          <w:bCs/>
          <w:sz w:val="30"/>
          <w:szCs w:val="30"/>
          <w:lang w:eastAsia="zh-CN"/>
        </w:rPr>
      </w:pPr>
      <w:r>
        <w:rPr>
          <w:rFonts w:ascii="宋体" w:eastAsia="宋体" w:hAnsi="Calibri" w:cs="宋体" w:hint="eastAsia"/>
          <w:sz w:val="30"/>
          <w:highlight w:val="white"/>
          <w:lang w:eastAsia="zh-CN"/>
        </w:rPr>
        <w:br w:type="column"/>
      </w:r>
      <w:bookmarkStart w:id="1811" w:name="_Toc332373519"/>
      <w:bookmarkStart w:id="1812" w:name="_Toc129511533"/>
      <w:r>
        <w:rPr>
          <w:rFonts w:ascii="宋体" w:eastAsia="宋体" w:hAnsi="Calibri" w:cs="宋体" w:hint="eastAsia"/>
          <w:sz w:val="30"/>
          <w:szCs w:val="30"/>
          <w:highlight w:val="white"/>
          <w:lang w:eastAsia="zh-CN"/>
        </w:rPr>
        <w:t>第十一部分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基金的转托管、质押、</w:t>
      </w:r>
      <w:r>
        <w:rPr>
          <w:rFonts w:ascii="宋体" w:eastAsia="宋体" w:hAnsi="Calibri" w:cs="宋体" w:hint="eastAsia"/>
          <w:sz w:val="30"/>
          <w:szCs w:val="30"/>
          <w:highlight w:val="white"/>
          <w:lang w:eastAsia="zh-CN"/>
        </w:rPr>
        <w:t>非交易</w:t>
      </w:r>
      <w:r>
        <w:rPr>
          <w:rFonts w:ascii="宋体" w:eastAsia="宋体" w:hAnsi="Calibri" w:cs="宋体" w:hint="eastAsia"/>
          <w:sz w:val="30"/>
          <w:szCs w:val="30"/>
          <w:highlight w:val="white"/>
          <w:lang w:eastAsia="zh-CN"/>
        </w:rPr>
        <w:t>过户、冻结与解冻</w:t>
      </w:r>
      <w:bookmarkEnd w:id="1811"/>
      <w:bookmarkEnd w:id="1812"/>
    </w:p>
    <w:p w:rsidR="0097367D">
      <w:pPr>
        <w:spacing w:line="360" w:lineRule="auto"/>
        <w:ind w:firstLine="420"/>
        <w:rPr>
          <w:rStyle w:val="da"/>
          <w:rFonts w:ascii="宋体" w:hAnsi="Calibri" w:cs="宋体"/>
          <w:lang w:eastAsia="zh-CN"/>
        </w:rPr>
      </w:pPr>
      <w:bookmarkStart w:id="1813" w:name="_Toc332373520"/>
      <w:r>
        <w:rPr>
          <w:rStyle w:val="da"/>
          <w:rFonts w:ascii="宋体" w:hAnsi="Calibri" w:cs="宋体" w:hint="eastAsia"/>
          <w:highlight w:val="white"/>
          <w:lang w:eastAsia="zh-CN"/>
        </w:rPr>
        <w:t>一、基金的转托管</w:t>
      </w:r>
      <w:bookmarkEnd w:id="1813"/>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基金份额持有人可办理已持有基金份额在不同销售机构之间的转托管，基金销售机构可以按照规定的标准收取转托管费。</w:t>
      </w:r>
    </w:p>
    <w:p w:rsidR="0097367D">
      <w:pPr>
        <w:spacing w:line="360" w:lineRule="auto"/>
        <w:ind w:firstLine="422"/>
        <w:rPr>
          <w:rStyle w:val="da"/>
          <w:rFonts w:ascii="宋体" w:hAnsi="Calibri" w:cs="宋体"/>
          <w:lang w:eastAsia="zh-CN"/>
        </w:rPr>
      </w:pPr>
      <w:r>
        <w:rPr>
          <w:rStyle w:val="da"/>
          <w:rFonts w:ascii="宋体" w:hAnsi="Calibri" w:cs="宋体" w:hint="eastAsia"/>
          <w:highlight w:val="white"/>
          <w:lang w:eastAsia="zh-CN"/>
        </w:rPr>
        <w:t>具体办理方法参照《业务规则》的有关规定以及各销售机构的业务规则。</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二、基金份额的质押</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在条件许可的情况下，基金登记机构可依据相关法律法规及其业务规则，办理基金份额质押业务，并可收取一定的手续费。</w:t>
      </w:r>
    </w:p>
    <w:p w:rsidR="0097367D">
      <w:pPr>
        <w:spacing w:line="360" w:lineRule="auto"/>
        <w:ind w:firstLine="420"/>
        <w:rPr>
          <w:rStyle w:val="da"/>
          <w:rFonts w:ascii="宋体" w:hAnsi="Calibri" w:cs="宋体"/>
          <w:lang w:eastAsia="zh-CN"/>
        </w:rPr>
      </w:pPr>
      <w:bookmarkStart w:id="1814" w:name="_Toc332373521"/>
      <w:r>
        <w:rPr>
          <w:rStyle w:val="da"/>
          <w:rFonts w:ascii="宋体" w:hAnsi="Calibri" w:cs="宋体" w:hint="eastAsia"/>
          <w:highlight w:val="white"/>
          <w:lang w:eastAsia="zh-CN"/>
        </w:rPr>
        <w:t>三、基金的</w:t>
      </w:r>
      <w:r>
        <w:rPr>
          <w:rStyle w:val="da"/>
          <w:rFonts w:ascii="宋体" w:hAnsi="Calibri" w:cs="宋体" w:hint="eastAsia"/>
          <w:highlight w:val="white"/>
          <w:lang w:eastAsia="zh-CN"/>
        </w:rPr>
        <w:t>非交易</w:t>
      </w:r>
      <w:r>
        <w:rPr>
          <w:rStyle w:val="da"/>
          <w:rFonts w:ascii="宋体" w:hAnsi="Calibri" w:cs="宋体" w:hint="eastAsia"/>
          <w:highlight w:val="white"/>
          <w:lang w:eastAsia="zh-CN"/>
        </w:rPr>
        <w:t>过户</w:t>
      </w:r>
      <w:bookmarkEnd w:id="1814"/>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基金的</w:t>
      </w:r>
      <w:r>
        <w:rPr>
          <w:rStyle w:val="da"/>
          <w:rFonts w:ascii="宋体" w:hAnsi="Calibri" w:cs="宋体" w:hint="eastAsia"/>
          <w:highlight w:val="white"/>
          <w:lang w:eastAsia="zh-CN"/>
        </w:rPr>
        <w:t>非交易</w:t>
      </w:r>
      <w:r>
        <w:rPr>
          <w:rStyle w:val="da"/>
          <w:rFonts w:ascii="宋体" w:hAnsi="Calibri" w:cs="宋体" w:hint="eastAsia"/>
          <w:highlight w:val="white"/>
          <w:lang w:eastAsia="zh-CN"/>
        </w:rPr>
        <w:t>过户是指基金登记机构受理继承、捐赠和司法强制执行等情形而产生的</w:t>
      </w:r>
      <w:r>
        <w:rPr>
          <w:rStyle w:val="da"/>
          <w:rFonts w:ascii="宋体" w:hAnsi="Calibri" w:cs="宋体" w:hint="eastAsia"/>
          <w:highlight w:val="white"/>
          <w:lang w:eastAsia="zh-CN"/>
        </w:rPr>
        <w:t>非交易</w:t>
      </w:r>
      <w:r>
        <w:rPr>
          <w:rStyle w:val="da"/>
          <w:rFonts w:ascii="宋体" w:hAnsi="Calibri" w:cs="宋体" w:hint="eastAsia"/>
          <w:highlight w:val="white"/>
          <w:lang w:eastAsia="zh-CN"/>
        </w:rPr>
        <w:t>过户以及登记机构认可、符合法律法规的其它</w:t>
      </w:r>
      <w:r>
        <w:rPr>
          <w:rStyle w:val="da"/>
          <w:rFonts w:ascii="宋体" w:hAnsi="Calibri" w:cs="宋体" w:hint="eastAsia"/>
          <w:highlight w:val="white"/>
          <w:lang w:eastAsia="zh-CN"/>
        </w:rPr>
        <w:t>非交易</w:t>
      </w:r>
      <w:r>
        <w:rPr>
          <w:rStyle w:val="da"/>
          <w:rFonts w:ascii="宋体" w:hAnsi="Calibri" w:cs="宋体" w:hint="eastAsia"/>
          <w:highlight w:val="white"/>
          <w:lang w:eastAsia="zh-CN"/>
        </w:rPr>
        <w:t>过户。无论在上述何种情况下，接受划转的主体必须是依法可以持有本</w:t>
      </w:r>
      <w:r>
        <w:rPr>
          <w:rStyle w:val="da"/>
          <w:rFonts w:ascii="宋体" w:hAnsi="Calibri" w:cs="宋体" w:hint="eastAsia"/>
          <w:highlight w:val="white"/>
          <w:lang w:eastAsia="zh-CN"/>
        </w:rPr>
        <w:t>基金基金</w:t>
      </w:r>
      <w:r>
        <w:rPr>
          <w:rStyle w:val="da"/>
          <w:rFonts w:ascii="宋体" w:hAnsi="Calibri" w:cs="宋体" w:hint="eastAsia"/>
          <w:highlight w:val="white"/>
          <w:lang w:eastAsia="zh-CN"/>
        </w:rPr>
        <w:t>份额的投资人。</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继承是指基金份额持有人死亡，其持有的基金份额由其合法的继承人继承；</w:t>
      </w:r>
      <w:r>
        <w:rPr>
          <w:rStyle w:val="da"/>
          <w:rFonts w:ascii="宋体" w:hAnsi="Calibri" w:cs="宋体" w:hint="eastAsia"/>
          <w:highlight w:val="white"/>
          <w:lang w:eastAsia="zh-CN"/>
        </w:rPr>
        <w:t>捐赠指</w:t>
      </w:r>
      <w:r>
        <w:rPr>
          <w:rStyle w:val="da"/>
          <w:rFonts w:ascii="宋体" w:hAnsi="Calibri" w:cs="宋体" w:hint="eastAsia"/>
          <w:highlight w:val="white"/>
          <w:lang w:eastAsia="zh-CN"/>
        </w:rPr>
        <w:t>基金份额持有人将其合法持有的基金份额捐赠给福利性质的基金会或社会团体；司法强制执行是指司法机构依据生效司法文书将基金份额持有人持有的基金份额强制划转给其他自然人、法人或其他组织。办理</w:t>
      </w:r>
      <w:r>
        <w:rPr>
          <w:rStyle w:val="da"/>
          <w:rFonts w:ascii="宋体" w:hAnsi="Calibri" w:cs="宋体" w:hint="eastAsia"/>
          <w:highlight w:val="white"/>
          <w:lang w:eastAsia="zh-CN"/>
        </w:rPr>
        <w:t>非交易</w:t>
      </w:r>
      <w:r>
        <w:rPr>
          <w:rStyle w:val="da"/>
          <w:rFonts w:ascii="宋体" w:hAnsi="Calibri" w:cs="宋体" w:hint="eastAsia"/>
          <w:highlight w:val="white"/>
          <w:lang w:eastAsia="zh-CN"/>
        </w:rPr>
        <w:t>过户必须提供基金登记机构要求提供的相关资料，对于符合条件的</w:t>
      </w:r>
      <w:r>
        <w:rPr>
          <w:rStyle w:val="da"/>
          <w:rFonts w:ascii="宋体" w:hAnsi="Calibri" w:cs="宋体" w:hint="eastAsia"/>
          <w:highlight w:val="white"/>
          <w:lang w:eastAsia="zh-CN"/>
        </w:rPr>
        <w:t>非交易过户申请按</w:t>
      </w:r>
      <w:r>
        <w:rPr>
          <w:rStyle w:val="da"/>
          <w:rFonts w:ascii="宋体" w:hAnsi="Calibri" w:cs="宋体" w:hint="eastAsia"/>
          <w:highlight w:val="white"/>
          <w:lang w:eastAsia="zh-CN"/>
        </w:rPr>
        <w:t>基金登记机构的规定办理，并按基金登记机构规定的标准收费。</w:t>
      </w:r>
    </w:p>
    <w:p w:rsidR="0097367D">
      <w:pPr>
        <w:spacing w:line="360" w:lineRule="auto"/>
        <w:ind w:firstLine="420"/>
        <w:rPr>
          <w:rStyle w:val="da"/>
          <w:rFonts w:ascii="宋体" w:hAnsi="Calibri" w:cs="宋体"/>
          <w:lang w:eastAsia="zh-CN"/>
        </w:rPr>
      </w:pPr>
      <w:bookmarkStart w:id="1815" w:name="_Toc332373522"/>
      <w:r>
        <w:rPr>
          <w:rStyle w:val="da"/>
          <w:rFonts w:ascii="宋体" w:hAnsi="Calibri" w:cs="宋体" w:hint="eastAsia"/>
          <w:highlight w:val="white"/>
          <w:lang w:eastAsia="zh-CN"/>
        </w:rPr>
        <w:t>四、基金的冻结与解冻</w:t>
      </w:r>
      <w:bookmarkEnd w:id="1815"/>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基金登记机构只受理国家有权机关依法要求的基金份额的冻结与解冻，以及登记机构认可、符合法律法规的其他情况下的冻结与解冻。</w:t>
      </w:r>
    </w:p>
    <w:p w:rsidR="0097367D">
      <w:pPr>
        <w:pStyle w:val="Heading1"/>
        <w:spacing w:before="317" w:after="317" w:line="320" w:lineRule="exact"/>
        <w:ind w:firstLine="640"/>
        <w:rPr>
          <w:rFonts w:ascii="宋体" w:eastAsia="宋体" w:hAnsi="Calibri" w:cs="宋体"/>
          <w:sz w:val="30"/>
          <w:szCs w:val="30"/>
          <w:lang w:eastAsia="zh-CN"/>
        </w:rPr>
      </w:pPr>
      <w:r>
        <w:rPr>
          <w:rFonts w:ascii="宋体" w:eastAsia="宋体" w:hAnsi="Calibri" w:cs="宋体" w:hint="eastAsia"/>
          <w:highlight w:val="white"/>
          <w:lang w:eastAsia="zh-CN"/>
        </w:rPr>
        <w:br w:type="column"/>
      </w:r>
      <w:bookmarkStart w:id="1816" w:name="_Toc332373523"/>
      <w:bookmarkStart w:id="1817" w:name="_Toc129511534"/>
      <w:r>
        <w:rPr>
          <w:rFonts w:ascii="宋体" w:eastAsia="宋体" w:hAnsi="Calibri" w:cs="宋体" w:hint="eastAsia"/>
          <w:sz w:val="30"/>
          <w:szCs w:val="30"/>
          <w:highlight w:val="white"/>
          <w:lang w:eastAsia="zh-CN"/>
        </w:rPr>
        <w:t>第十</w:t>
      </w:r>
      <w:r>
        <w:rPr>
          <w:rFonts w:ascii="宋体" w:eastAsia="宋体" w:hAnsi="Calibri" w:cs="宋体"/>
          <w:sz w:val="30"/>
          <w:szCs w:val="30"/>
          <w:highlight w:val="white"/>
          <w:lang w:eastAsia="zh-CN"/>
        </w:rPr>
        <w:t>二</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基金的投资</w:t>
      </w:r>
      <w:bookmarkEnd w:id="1816"/>
      <w:bookmarkEnd w:id="1817"/>
    </w:p>
    <w:p w:rsidR="0097367D">
      <w:pPr>
        <w:spacing w:line="360" w:lineRule="auto"/>
        <w:ind w:firstLine="420"/>
        <w:rPr>
          <w:rStyle w:val="da"/>
          <w:rFonts w:ascii="宋体" w:hAnsi="Calibri" w:cs="宋体"/>
          <w:szCs w:val="21"/>
          <w:lang w:eastAsia="zh-CN"/>
        </w:rPr>
      </w:pPr>
      <w:bookmarkStart w:id="1818" w:name="_Toc332373524"/>
      <w:r>
        <w:rPr>
          <w:rStyle w:val="da"/>
          <w:rFonts w:ascii="宋体" w:hAnsi="Calibri" w:cs="宋体" w:hint="eastAsia"/>
          <w:szCs w:val="21"/>
          <w:highlight w:val="white"/>
          <w:lang w:eastAsia="zh-CN"/>
        </w:rPr>
        <w:t>一、投资目标</w:t>
      </w:r>
      <w:bookmarkEnd w:id="1818"/>
    </w:p>
    <w:p w:rsidR="0097367D">
      <w:pPr>
        <w:spacing w:line="360" w:lineRule="auto"/>
        <w:ind w:firstLine="420"/>
        <w:rPr>
          <w:rStyle w:val="da"/>
          <w:rFonts w:ascii="宋体" w:hAnsi="Calibri" w:cs="宋体"/>
          <w:szCs w:val="21"/>
          <w:lang w:eastAsia="zh-CN"/>
        </w:rPr>
      </w:pPr>
      <w:bookmarkStart w:id="1819" w:name="_Toc332373525"/>
      <w:r>
        <w:rPr>
          <w:rStyle w:val="da"/>
          <w:rFonts w:ascii="宋体" w:hAnsi="Calibri" w:cs="宋体"/>
          <w:szCs w:val="21"/>
          <w:lang w:eastAsia="zh-CN"/>
        </w:rPr>
        <w:t>紧密跟踪业绩比较基准，追求跟踪偏离度和跟踪误差的最小化。</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二、投资范围</w:t>
      </w:r>
      <w:bookmarkEnd w:id="1819"/>
    </w:p>
    <w:p w:rsidR="0097367D">
      <w:pPr>
        <w:widowControl/>
        <w:spacing w:line="360" w:lineRule="auto"/>
        <w:ind w:firstLine="420"/>
        <w:rPr>
          <w:rStyle w:val="da"/>
          <w:rFonts w:ascii="宋体" w:hAnsi="Calibri" w:cs="宋体"/>
          <w:szCs w:val="21"/>
          <w:lang w:eastAsia="zh-CN"/>
        </w:rPr>
      </w:pPr>
      <w:bookmarkStart w:id="1820" w:name="_Toc359426195"/>
      <w:bookmarkStart w:id="1821" w:name="_Toc332373526"/>
      <w:r>
        <w:rPr>
          <w:rStyle w:val="da"/>
          <w:rFonts w:ascii="宋体" w:hAnsi="Calibri" w:cs="宋体"/>
          <w:szCs w:val="21"/>
          <w:lang w:eastAsia="zh-CN"/>
        </w:rPr>
        <w:t>本基金的投资范围包括目标ETF、标的指数成份股及备选成份股（</w:t>
      </w:r>
      <w:r>
        <w:rPr>
          <w:rStyle w:val="da"/>
          <w:rFonts w:ascii="宋体" w:hAnsi="Calibri" w:cs="宋体"/>
          <w:szCs w:val="21"/>
          <w:lang w:eastAsia="zh-CN"/>
        </w:rPr>
        <w:t>含存托</w:t>
      </w:r>
      <w:r>
        <w:rPr>
          <w:rStyle w:val="da"/>
          <w:rFonts w:ascii="宋体" w:hAnsi="Calibri" w:cs="宋体"/>
          <w:szCs w:val="21"/>
          <w:lang w:eastAsia="zh-CN"/>
        </w:rPr>
        <w:t>凭证）、除标的指数成份股及备选成份股以外的其他股票（包括创业板、</w:t>
      </w:r>
      <w:r>
        <w:rPr>
          <w:rStyle w:val="da"/>
          <w:rFonts w:ascii="宋体" w:hAnsi="Calibri" w:cs="宋体"/>
          <w:szCs w:val="21"/>
          <w:lang w:eastAsia="zh-CN"/>
        </w:rPr>
        <w:t>科创板</w:t>
      </w:r>
      <w:r>
        <w:rPr>
          <w:rStyle w:val="da"/>
          <w:rFonts w:ascii="宋体" w:hAnsi="Calibri" w:cs="宋体"/>
          <w:szCs w:val="21"/>
          <w:lang w:eastAsia="zh-CN"/>
        </w:rPr>
        <w:t>及其他依法发行上市的股票、存托凭证）、债券（包括国债、央行票据、地方政府债、金融债、企业债、公司债、次级债、中期票据、短期融资</w:t>
      </w:r>
      <w:r>
        <w:rPr>
          <w:rStyle w:val="da"/>
          <w:rFonts w:ascii="宋体" w:hAnsi="Calibri" w:cs="宋体"/>
          <w:szCs w:val="21"/>
          <w:lang w:eastAsia="zh-CN"/>
        </w:rPr>
        <w:t>券</w:t>
      </w:r>
      <w:r>
        <w:rPr>
          <w:rStyle w:val="da"/>
          <w:rFonts w:ascii="宋体" w:hAnsi="Calibri" w:cs="宋体"/>
          <w:szCs w:val="21"/>
          <w:lang w:eastAsia="zh-CN"/>
        </w:rPr>
        <w:t>、超短期融资</w:t>
      </w:r>
      <w:r>
        <w:rPr>
          <w:rStyle w:val="da"/>
          <w:rFonts w:ascii="宋体" w:hAnsi="Calibri" w:cs="宋体"/>
          <w:szCs w:val="21"/>
          <w:lang w:eastAsia="zh-CN"/>
        </w:rPr>
        <w:t>券</w:t>
      </w:r>
      <w:r>
        <w:rPr>
          <w:rStyle w:val="da"/>
          <w:rFonts w:ascii="宋体" w:hAnsi="Calibri" w:cs="宋体"/>
          <w:szCs w:val="21"/>
          <w:lang w:eastAsia="zh-CN"/>
        </w:rPr>
        <w:t>、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97367D">
      <w:pPr>
        <w:widowControl/>
        <w:spacing w:line="360" w:lineRule="auto"/>
        <w:ind w:firstLine="420"/>
        <w:rPr>
          <w:rStyle w:val="da"/>
          <w:rFonts w:ascii="宋体" w:hAnsi="Calibri" w:cs="宋体"/>
          <w:szCs w:val="21"/>
          <w:lang w:eastAsia="zh-CN"/>
        </w:rPr>
      </w:pPr>
      <w:r>
        <w:rPr>
          <w:rStyle w:val="da"/>
          <w:rFonts w:ascii="宋体" w:hAnsi="Calibri" w:cs="宋体"/>
          <w:szCs w:val="21"/>
          <w:lang w:eastAsia="zh-CN"/>
        </w:rPr>
        <w:t>如法律法规或监管机构以后允许基金投资其他品种，基金管理人在履行适当程序后，本基金可以将其纳入投资范围。</w:t>
      </w:r>
    </w:p>
    <w:p w:rsidR="0097367D">
      <w:pPr>
        <w:widowControl/>
        <w:spacing w:line="360" w:lineRule="auto"/>
        <w:ind w:firstLine="420"/>
        <w:rPr>
          <w:rStyle w:val="da"/>
          <w:rFonts w:ascii="宋体" w:hAnsi="Calibri" w:cs="宋体"/>
          <w:szCs w:val="21"/>
          <w:lang w:eastAsia="zh-CN"/>
        </w:rPr>
      </w:pPr>
      <w:r>
        <w:rPr>
          <w:rStyle w:val="da"/>
          <w:rFonts w:ascii="宋体" w:hAnsi="Calibri" w:cs="宋体"/>
          <w:szCs w:val="21"/>
          <w:lang w:eastAsia="zh-CN"/>
        </w:rPr>
        <w:t>本基金将根据法律法规的规定参与转融通证券出借及融资业务。</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本基金投资于目标ETF的资产不低于基金资产净值的90%，保持不低于基金资产净值5%的现金或者到期日在一年以内的政府债券，其中现金不包括结算备付金、存出保证金和应收申购款等。</w:t>
      </w:r>
      <w:bookmarkEnd w:id="1820"/>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三、投资策略</w:t>
      </w:r>
      <w:bookmarkEnd w:id="1821"/>
    </w:p>
    <w:p w:rsidR="0097367D">
      <w:pPr>
        <w:spacing w:line="360" w:lineRule="auto"/>
        <w:ind w:firstLine="420"/>
        <w:rPr>
          <w:rStyle w:val="da"/>
          <w:rFonts w:ascii="宋体" w:hAnsi="Calibri" w:cs="宋体"/>
          <w:szCs w:val="21"/>
          <w:lang w:eastAsia="zh-CN"/>
        </w:rPr>
      </w:pPr>
      <w:bookmarkStart w:id="1822" w:name="_Toc332373530"/>
      <w:bookmarkStart w:id="1823" w:name="question3"/>
      <w:r>
        <w:rPr>
          <w:rStyle w:val="da"/>
          <w:rFonts w:ascii="宋体" w:hAnsi="Calibri" w:cs="宋体"/>
          <w:szCs w:val="21"/>
          <w:lang w:eastAsia="zh-CN"/>
        </w:rPr>
        <w:t>本基金为目标ETF的联接基金，主要通过投资于目标ETF实现对业绩比较基准的紧密跟踪，力争将日均跟踪偏离度的绝对值控制在0.35%以内，</w:t>
      </w:r>
      <w:r>
        <w:rPr>
          <w:rStyle w:val="da"/>
          <w:rFonts w:ascii="宋体" w:hAnsi="Calibri" w:cs="宋体"/>
          <w:szCs w:val="21"/>
          <w:lang w:eastAsia="zh-CN"/>
        </w:rPr>
        <w:t>年化跟踪误差</w:t>
      </w:r>
      <w:r>
        <w:rPr>
          <w:rStyle w:val="da"/>
          <w:rFonts w:ascii="宋体" w:hAnsi="Calibri" w:cs="宋体"/>
          <w:szCs w:val="21"/>
          <w:lang w:eastAsia="zh-CN"/>
        </w:rPr>
        <w:t>控制在4%以内。如因标的指数编制规则调整或其他因素导致跟踪误差超过上述范围，基金管理人应采取合理措施避免跟踪误差进一步扩大。</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1、目标ETF投资策略</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本基金投资目标ETF的方式如下：</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（1）申购、赎回方式：按照目标ETF法律文件约定的方式申购、赎回目标ETF。</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（2）二级市场方式：在二级市场进行目标ETF基金份额的交易。</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当目标ETF申购、赎回或交易模式进行了变更或调整，本基金也将作相应的变更或调整，无须召开基金份额持有人大会。</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本基金将在综合考虑合</w:t>
      </w:r>
      <w:r>
        <w:rPr>
          <w:rStyle w:val="da"/>
          <w:rFonts w:ascii="宋体" w:hAnsi="Calibri" w:cs="宋体"/>
          <w:szCs w:val="21"/>
          <w:lang w:eastAsia="zh-CN"/>
        </w:rPr>
        <w:t>规</w:t>
      </w:r>
      <w:r>
        <w:rPr>
          <w:rStyle w:val="da"/>
          <w:rFonts w:ascii="宋体" w:hAnsi="Calibri" w:cs="宋体"/>
          <w:szCs w:val="21"/>
          <w:lang w:eastAsia="zh-CN"/>
        </w:rPr>
        <w:t>、风险、效率、成本等因素的基础上，决定采用申购、赎回方式或二级市场方式进行目标ETF的投资。</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2、股票（</w:t>
      </w:r>
      <w:r>
        <w:rPr>
          <w:rStyle w:val="da"/>
          <w:rFonts w:ascii="宋体" w:hAnsi="Calibri" w:cs="宋体"/>
          <w:szCs w:val="21"/>
          <w:lang w:eastAsia="zh-CN"/>
        </w:rPr>
        <w:t>含存托</w:t>
      </w:r>
      <w:r>
        <w:rPr>
          <w:rStyle w:val="da"/>
          <w:rFonts w:ascii="宋体" w:hAnsi="Calibri" w:cs="宋体"/>
          <w:szCs w:val="21"/>
          <w:lang w:eastAsia="zh-CN"/>
        </w:rPr>
        <w:t>凭证）投资策略</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可投资于标的指数成份股、备选成份股，以更好的跟踪业绩比较基准。同时，在条件允许的情况下还可通过买入标的指数成份股、备选成份股来构建组合以申购目标ETF。因此对可投资于标的指数成份股、备选成份股的资金头寸，主要采取复制法，即按照标的指数的成份</w:t>
      </w:r>
      <w:r>
        <w:rPr>
          <w:rStyle w:val="da"/>
          <w:rFonts w:ascii="宋体" w:hAnsi="Calibri" w:cs="宋体"/>
          <w:szCs w:val="21"/>
          <w:lang w:eastAsia="zh-CN"/>
        </w:rPr>
        <w:t>股组成</w:t>
      </w:r>
      <w:r>
        <w:rPr>
          <w:rStyle w:val="da"/>
          <w:rFonts w:ascii="宋体" w:hAnsi="Calibri" w:cs="宋体"/>
          <w:szCs w:val="21"/>
          <w:lang w:eastAsia="zh-CN"/>
        </w:rPr>
        <w:t>及其权重构建基金投资组合，并根据标的指数组成及其权重的变动而进行相应调整。但在因特殊情况（如流动性不足等）导致无法获得足够数量的</w:t>
      </w:r>
      <w:r>
        <w:rPr>
          <w:rStyle w:val="da"/>
          <w:rFonts w:ascii="宋体" w:hAnsi="Calibri" w:cs="宋体"/>
          <w:szCs w:val="21"/>
          <w:lang w:eastAsia="zh-CN"/>
        </w:rPr>
        <w:t>个券</w:t>
      </w:r>
      <w:r>
        <w:rPr>
          <w:rStyle w:val="da"/>
          <w:rFonts w:ascii="宋体" w:hAnsi="Calibri" w:cs="宋体"/>
          <w:szCs w:val="21"/>
          <w:lang w:eastAsia="zh-CN"/>
        </w:rPr>
        <w:t>时，基金管理人将搭配使用其他合理方法进行适当的替代，包括通过投资其他股票进行替代，以降低跟踪误差，优化投资组合的配置结构。</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3、债券和货币市场工具投资策略</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本基金将以降低跟踪误差和流动性管理为目的，综合考虑流动性和收益性，适当参与债券和货币市场工具的投资。</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4、衍生</w:t>
      </w:r>
      <w:r>
        <w:rPr>
          <w:rStyle w:val="da"/>
          <w:rFonts w:ascii="宋体" w:hAnsi="Calibri" w:cs="宋体"/>
          <w:szCs w:val="21"/>
          <w:lang w:eastAsia="zh-CN"/>
        </w:rPr>
        <w:t>品投资</w:t>
      </w:r>
      <w:r>
        <w:rPr>
          <w:rStyle w:val="da"/>
          <w:rFonts w:ascii="宋体" w:hAnsi="Calibri" w:cs="宋体"/>
          <w:szCs w:val="21"/>
          <w:lang w:eastAsia="zh-CN"/>
        </w:rPr>
        <w:t>策略</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为更好地实现投资目标，本基金可投资股指期货、国债期货、股票期权。</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若本基金投资股指期货、国债期货，将根据风险管理的原则，以套期保值为目的，综合考虑流动性、</w:t>
      </w:r>
      <w:r>
        <w:rPr>
          <w:rStyle w:val="da"/>
          <w:rFonts w:ascii="宋体" w:hAnsi="Calibri" w:cs="宋体"/>
          <w:szCs w:val="21"/>
          <w:lang w:eastAsia="zh-CN"/>
        </w:rPr>
        <w:t>基差水平</w:t>
      </w:r>
      <w:r>
        <w:rPr>
          <w:rStyle w:val="da"/>
          <w:rFonts w:ascii="宋体" w:hAnsi="Calibri" w:cs="宋体"/>
          <w:szCs w:val="21"/>
          <w:lang w:eastAsia="zh-CN"/>
        </w:rPr>
        <w:t>等因素。</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若本基金投资股票期权，将根据风险管理的原则，以套期保值为主要目的，综合考虑流动性、价格等因素。</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5、参与转融通证券出借业务策略</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为更好地实现投资目标，在加强风险防范并遵守审慎原则的前提下，本基金可根据投资管理的需要参与转融通证券出借业务。本基金将在分析市场环境、投资者类型与结构、基金</w:t>
      </w:r>
      <w:r>
        <w:rPr>
          <w:rStyle w:val="da"/>
          <w:rFonts w:ascii="宋体" w:hAnsi="Calibri" w:cs="宋体"/>
          <w:szCs w:val="21"/>
          <w:lang w:eastAsia="zh-CN"/>
        </w:rPr>
        <w:t>历史申赎情况</w:t>
      </w:r>
      <w:r>
        <w:rPr>
          <w:rStyle w:val="da"/>
          <w:rFonts w:ascii="宋体" w:hAnsi="Calibri" w:cs="宋体"/>
          <w:szCs w:val="21"/>
          <w:lang w:eastAsia="zh-CN"/>
        </w:rPr>
        <w:t>、出借证券流动性情况等因素的基础上，合理确定出借证券的范围、期限和比例。</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6、融资业务策略</w:t>
      </w:r>
    </w:p>
    <w:p w:rsidR="0097367D">
      <w:pPr>
        <w:spacing w:line="360" w:lineRule="auto"/>
        <w:ind w:firstLine="420"/>
        <w:rPr>
          <w:rStyle w:val="da"/>
          <w:rFonts w:ascii="宋体" w:hAnsi="Calibri" w:cs="宋体"/>
          <w:szCs w:val="21"/>
          <w:lang w:eastAsia="zh-CN"/>
        </w:rPr>
      </w:pPr>
      <w:r>
        <w:rPr>
          <w:rStyle w:val="da"/>
          <w:rFonts w:ascii="宋体" w:hAnsi="Calibri" w:cs="宋体"/>
          <w:szCs w:val="21"/>
          <w:lang w:eastAsia="zh-CN"/>
        </w:rPr>
        <w:t>为更好地实现投资目标，在加强风险防范并遵守审慎原则的前提下，基金管理人可根据相关法律法规，参与融资业务，以提高投资效率及进行风险管理。</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四、业绩比较基准</w:t>
      </w:r>
      <w:bookmarkEnd w:id="1822"/>
      <w:r>
        <w:rPr>
          <w:rStyle w:val="da"/>
          <w:rFonts w:ascii="宋体" w:hAnsi="Calibri" w:cs="宋体" w:hint="eastAsia"/>
          <w:szCs w:val="21"/>
          <w:highlight w:val="white"/>
          <w:lang w:eastAsia="zh-CN"/>
        </w:rPr>
        <w:t xml:space="preserve"> </w:t>
      </w:r>
      <w:bookmarkEnd w:id="1823"/>
    </w:p>
    <w:p w:rsidR="0097367D">
      <w:pPr>
        <w:spacing w:line="360" w:lineRule="auto"/>
        <w:ind w:firstLine="420"/>
        <w:rPr>
          <w:rStyle w:val="da"/>
          <w:rFonts w:ascii="宋体" w:hAnsi="Calibri" w:cs="宋体"/>
          <w:szCs w:val="21"/>
          <w:lang w:eastAsia="zh-CN"/>
        </w:rPr>
      </w:pPr>
      <w:bookmarkStart w:id="1824" w:name="_Toc332373531"/>
      <w:r>
        <w:rPr>
          <w:rStyle w:val="da"/>
          <w:rFonts w:ascii="宋体" w:hAnsi="Calibri" w:cs="宋体" w:hint="eastAsia"/>
          <w:szCs w:val="21"/>
          <w:lang w:eastAsia="zh-CN"/>
        </w:rPr>
        <w:t>本基金业绩比较基准为：</w:t>
      </w:r>
      <w:r>
        <w:rPr>
          <w:rStyle w:val="da"/>
          <w:rFonts w:ascii="宋体" w:hAnsi="Calibri" w:cs="宋体"/>
          <w:szCs w:val="21"/>
          <w:lang w:eastAsia="zh-CN"/>
        </w:rPr>
        <w:t>中证电池主题指数收益率</w:t>
      </w:r>
      <w:r>
        <w:rPr>
          <w:rStyle w:val="da"/>
          <w:rFonts w:ascii="宋体" w:hAnsi="Calibri" w:cs="宋体"/>
          <w:szCs w:val="21"/>
          <w:lang w:eastAsia="zh-CN"/>
        </w:rPr>
        <w:t>×</w:t>
      </w:r>
      <w:r>
        <w:rPr>
          <w:rStyle w:val="da"/>
          <w:rFonts w:ascii="宋体" w:hAnsi="Calibri" w:cs="宋体"/>
          <w:szCs w:val="21"/>
          <w:lang w:eastAsia="zh-CN"/>
        </w:rPr>
        <w:t>95%+活期存款基准利率</w:t>
      </w:r>
      <w:r>
        <w:rPr>
          <w:rStyle w:val="da"/>
          <w:rFonts w:ascii="宋体" w:hAnsi="Calibri" w:cs="宋体"/>
          <w:szCs w:val="21"/>
          <w:lang w:eastAsia="zh-CN"/>
        </w:rPr>
        <w:t>×</w:t>
      </w:r>
      <w:r>
        <w:rPr>
          <w:rStyle w:val="da"/>
          <w:rFonts w:ascii="宋体" w:hAnsi="Calibri" w:cs="宋体"/>
          <w:szCs w:val="21"/>
          <w:lang w:eastAsia="zh-CN"/>
        </w:rPr>
        <w:t>5%</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1、业绩比较基准设定的原因</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本基金为目标ETF的联接基金，主要通过投资于目标ETF实现对业绩比较基准的紧密跟踪，以“紧密跟踪业绩比较基准，追求跟踪偏离度和跟踪误差的最小化”作为投资目标，在投资中将不低于基金资产净值90%的资产投资于目标ETF并保留不低于基金资产净值5%的现金或者到期日在一年以内的政府债券。</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本基金的标的指数为中证电池主题指数，选取中证电池主题指数作为权益资产的基准要素，选取活期存款基准利率作为现金类资产的基准要素，并按照预期大类资产配置的情况，将权益资产与现金类资产所对应的基准要素权重分别设置为95%与5%。</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综上，本基金选取的业绩比较基准与基金投资目标、投资范围、投资策略、投资比例限制相匹配。</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2、业绩比较基准要素的基本信息</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中证电池主题指数由中证指数有限公司编制发布，指数代码为931719，指数具体信息详见中证指数有限公司网站，网址：www.csindex.com.cn。</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活期存款基准利率由中国人民银行发布，具体信息详见中国人民银行网站，网址：www.pbc.gov.cn。</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3、业绩比较基准的计算方法</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本基金业绩比较基准收益率的计算方法以每日收益率为基础，以时间加权为计算原则。本基金先分别计算业绩比较基准中</w:t>
      </w:r>
      <w:r>
        <w:rPr>
          <w:rStyle w:val="da"/>
          <w:rFonts w:ascii="宋体" w:hAnsi="Calibri" w:cs="宋体" w:hint="eastAsia"/>
          <w:szCs w:val="21"/>
          <w:lang w:eastAsia="zh-CN"/>
        </w:rPr>
        <w:t>中</w:t>
      </w:r>
      <w:r>
        <w:rPr>
          <w:rStyle w:val="da"/>
          <w:rFonts w:ascii="宋体" w:hAnsi="Calibri" w:cs="宋体" w:hint="eastAsia"/>
          <w:szCs w:val="21"/>
          <w:lang w:eastAsia="zh-CN"/>
        </w:rPr>
        <w:t>证电池主题指数、活期存款基准利率的每日收益率，再按照预设权重比例计算当日组合要素基准的日收益率，最后通过每日连乘的方式计算业绩比较基准收益率。</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4、管理投资偏离业绩比较基准的定性或定量方法</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本基金为目标ETF的联接基金，主要通过投资于目标ETF实现对业绩比较基准的紧密跟踪，力争将日均跟踪偏离度的绝对值控制在0.35%以内，</w:t>
      </w:r>
      <w:r>
        <w:rPr>
          <w:rStyle w:val="da"/>
          <w:rFonts w:ascii="宋体" w:hAnsi="Calibri" w:cs="宋体" w:hint="eastAsia"/>
          <w:szCs w:val="21"/>
          <w:lang w:eastAsia="zh-CN"/>
        </w:rPr>
        <w:t>年化跟踪误差</w:t>
      </w:r>
      <w:r>
        <w:rPr>
          <w:rStyle w:val="da"/>
          <w:rFonts w:ascii="宋体" w:hAnsi="Calibri" w:cs="宋体" w:hint="eastAsia"/>
          <w:szCs w:val="21"/>
          <w:lang w:eastAsia="zh-CN"/>
        </w:rPr>
        <w:t>控制在4%以内。如因标的指数编制规则调整或其他因素导致跟踪误差超过上述范围，基金管理人应采取合理措施避免跟踪误差进一步扩大。</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5、未来可能变更业绩比较基准的情况和程序</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lang w:eastAsia="zh-CN"/>
        </w:rPr>
        <w:t>若本基金调整业绩比较基准的要素权重，本基金将根据法律法规、中国证监会的规定和基金合同约定履行相关程序。</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自指数</w:t>
      </w:r>
      <w:r>
        <w:rPr>
          <w:rStyle w:val="da"/>
          <w:rFonts w:ascii="宋体" w:hAnsi="Calibri" w:cs="宋体" w:hint="eastAsia"/>
          <w:szCs w:val="21"/>
          <w:highlight w:val="white"/>
          <w:lang w:eastAsia="zh-CN"/>
        </w:rPr>
        <w:t>编制机构停止标的指数的编制及发布</w:t>
      </w:r>
      <w:r>
        <w:rPr>
          <w:rStyle w:val="da"/>
          <w:rFonts w:ascii="宋体" w:hAnsi="Calibri" w:cs="宋体" w:hint="eastAsia"/>
          <w:szCs w:val="21"/>
          <w:highlight w:val="white"/>
          <w:lang w:eastAsia="zh-CN"/>
        </w:rPr>
        <w:t>至解决</w:t>
      </w:r>
      <w:r>
        <w:rPr>
          <w:rStyle w:val="da"/>
          <w:rFonts w:ascii="宋体" w:hAnsi="Calibri" w:cs="宋体" w:hint="eastAsia"/>
          <w:szCs w:val="21"/>
          <w:highlight w:val="white"/>
          <w:lang w:eastAsia="zh-CN"/>
        </w:rPr>
        <w:t>方案确定期间，基金管理人应按照指数编制机构提供的最近一个交易日的指数信息遵循基金份额持有人利益优先原则维持基金投资运作。</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法律法规或监管机构另有规定的，从其规定。</w:t>
      </w:r>
    </w:p>
    <w:p w:rsidR="0097367D">
      <w:pPr>
        <w:spacing w:line="360" w:lineRule="auto"/>
        <w:ind w:firstLine="420"/>
        <w:rPr>
          <w:rStyle w:val="da"/>
          <w:rFonts w:ascii="宋体" w:hAnsi="Calibri" w:cs="宋体"/>
          <w:szCs w:val="21"/>
          <w:lang w:eastAsia="zh-CN"/>
        </w:rPr>
      </w:pPr>
      <w:r>
        <w:rPr>
          <w:rFonts w:ascii="宋体" w:hAnsi="Calibri" w:cs="宋体" w:hint="eastAsia"/>
          <w:color w:val="000000"/>
          <w:szCs w:val="21"/>
          <w:highlight w:val="white"/>
          <w:lang w:eastAsia="zh-CN"/>
        </w:rPr>
        <w:t>五</w:t>
      </w:r>
      <w:r>
        <w:rPr>
          <w:rStyle w:val="da"/>
          <w:rFonts w:ascii="宋体" w:hAnsi="Calibri" w:cs="宋体" w:hint="eastAsia"/>
          <w:szCs w:val="21"/>
          <w:highlight w:val="white"/>
          <w:lang w:eastAsia="zh-CN"/>
        </w:rPr>
        <w:t>、风险收益特征</w:t>
      </w:r>
      <w:bookmarkEnd w:id="1824"/>
    </w:p>
    <w:p w:rsidR="0097367D">
      <w:pPr>
        <w:spacing w:line="360" w:lineRule="auto"/>
        <w:ind w:firstLine="420"/>
        <w:rPr>
          <w:rStyle w:val="da"/>
          <w:rFonts w:ascii="宋体" w:hAnsi="Calibri" w:cs="宋体"/>
          <w:szCs w:val="21"/>
          <w:lang w:eastAsia="zh-CN"/>
        </w:rPr>
      </w:pPr>
      <w:bookmarkStart w:id="1825" w:name="_Toc332373533"/>
      <w:r>
        <w:rPr>
          <w:rStyle w:val="da"/>
          <w:rFonts w:ascii="宋体" w:hAnsi="Calibri" w:cs="宋体" w:hint="eastAsia"/>
          <w:szCs w:val="21"/>
          <w:lang w:eastAsia="zh-CN"/>
        </w:rPr>
        <w:t>本基金为ETF联接基金，预期风险与预期收益水平高于混合型基金、债券型基金与货币市场基金。本基金主要通过投资于目标ETF实现对业绩比较基准的紧密跟踪。因此，本基金的业绩表现与标的指数的表现密切相关。</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六、投资禁止行为与限制</w:t>
      </w:r>
      <w:bookmarkEnd w:id="1825"/>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1、禁止行为</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为维护基金份额持有人的合法权益，基金财产不得用于下列投资或者活动：</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（1）承销证券；</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（2）违反规定向他人贷款或者提供担保；</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（3）从事承担无限责任的投资；</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（4）向其基金管理人、基金托管人出资；</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（5）从事内幕交易、操纵证券交易价格及其他不正当的证券交易活动；</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（6）法律、行政法规和中国证监会规定禁止的其他活动。</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2、投资组合限制</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基金的投资组合应遵循以下限制：</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（1）本基金投资于目标ETF的资产不低于基金资产净值的90%；</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（2）保持不低于基金资产净值5%的现金或者到期日在一年以内的政府债券，其中现金不包括结算备付金、存出保证金和应收申购款等；</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（3）本基金投资于同一原始权益人的各类资产支持证券的比例，不得超过基金资产净值的10%；</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（4）本基金持有的全部资产支持证券，其市值不得超过基金资产净值的20%；</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（5）本基金持有的同一(指同一信用级别)资产支持证券的比例，不得超过该资产支持证券规模的10%；</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（6）本基金管理人管理的全部基金投资于同一原始权益人的各类资产支持证券，不得超过其各类资产支持证券合计规模的10%；</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（8）基金财产参与股票发行申购，本基金所申报的金额不超过本基金的总资产，本基金所申报的股票数量不超过拟发行股票公司本次发行股票的总量；</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（12）基金参与融资业务后，在任何交易日日终，持有的融资买入股票与其他有价证券市值之和，不得超过基金资产净值的95%；</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（15）本基金与私募类</w:t>
      </w:r>
      <w:r>
        <w:rPr>
          <w:rStyle w:val="da"/>
          <w:rFonts w:ascii="宋体" w:hAnsi="Calibri" w:cs="宋体" w:hint="eastAsia"/>
          <w:szCs w:val="21"/>
          <w:highlight w:val="white"/>
          <w:lang w:eastAsia="zh-CN"/>
        </w:rPr>
        <w:t>证券资管产品</w:t>
      </w:r>
      <w:r>
        <w:rPr>
          <w:rStyle w:val="da"/>
          <w:rFonts w:ascii="宋体" w:hAnsi="Calibri" w:cs="宋体" w:hint="eastAsia"/>
          <w:szCs w:val="21"/>
          <w:highlight w:val="white"/>
          <w:lang w:eastAsia="zh-CN"/>
        </w:rPr>
        <w:t>及中国证监会认定的其他主体为交易对手开展逆回购交易的，可接受质押品的资质要求应当与基金合同约定的投资范围保持一致；</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（16）本基金资产总值不超过基金资产净值的140%；</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（17）本基金投资存托凭证的比例限制依照境内上市交易的股票执行，与境内上市交易的股票合并计算；</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（18）法律法规及中国证监会规定的和《基金合同》约定的其他投资限制。</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因证券/期货市场波动、证券发行人合并、基金规模变动、标的指数成份股调整、流动性限制、目标ETF暂停申购、赎回或二级市场交易停牌等基金管理人之外的因素致使基金投资比例不符合上述第（1）项规定投资比例的，基金管理人应当在20个交易日内进行调整；除上述（1）、（2）、（7）、（8）、（13）、（14）、（15）情形之外，因证券/期货市场波动、证券发行人合并、基金规模变动、标的指数成份股调整、流动性限制、目标ETF暂停申购、赎回或二级市场交易停牌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w:t>
      </w:r>
      <w:r>
        <w:rPr>
          <w:rStyle w:val="da"/>
          <w:rFonts w:ascii="宋体" w:hAnsi="Calibri"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w:t>
      </w:r>
      <w:r>
        <w:rPr>
          <w:rStyle w:val="da"/>
          <w:rFonts w:ascii="宋体" w:hAnsi="Calibri"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七、目标ETF发生相关变更情形的处理方式</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目标ETF出现下述情形之一的，本基金将由投资于目标ETF的联接基金变更为直接投资该标的指数的指数基金，无需召开基金份额持有人大会。相应地，本</w:t>
      </w:r>
      <w:r>
        <w:rPr>
          <w:rStyle w:val="da"/>
          <w:rFonts w:ascii="宋体" w:hAnsi="Calibri" w:cs="宋体" w:hint="eastAsia"/>
          <w:szCs w:val="21"/>
          <w:highlight w:val="white"/>
          <w:lang w:eastAsia="zh-CN"/>
        </w:rPr>
        <w:t>基金基金</w:t>
      </w:r>
      <w:r>
        <w:rPr>
          <w:rStyle w:val="da"/>
          <w:rFonts w:ascii="宋体" w:hAnsi="Calibri" w:cs="宋体" w:hint="eastAsia"/>
          <w:szCs w:val="21"/>
          <w:highlight w:val="white"/>
          <w:lang w:eastAsia="zh-CN"/>
        </w:rPr>
        <w:t>合同中将删除关于目标ETF的表述部分，届时将由基金管理人另行公告。</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1、目标ETF交易方式发生重大变更致使本基金的投资策略难以实现；</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2、目标ETF终止上市；</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3、目标ETF基金合同终止；</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4、目标ETF与其他基金进行合并；</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5、目标ETF的基金管理人发生变更；</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6、中国证监会规定的其他情形。</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若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p w:rsidR="0097367D">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八、基金管理人代表基金行使股东或债权人权利的处理原则及方法</w:t>
      </w:r>
    </w:p>
    <w:p w:rsidR="0097367D">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 xml:space="preserve">1、基金管理人按照国家有关规定代表基金独立行使股东或债权人权利，保护基金份额持有人的利益； </w:t>
      </w:r>
    </w:p>
    <w:p w:rsidR="0097367D">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 xml:space="preserve">2、不谋求对上市公司的控股； </w:t>
      </w:r>
    </w:p>
    <w:p w:rsidR="0097367D">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 xml:space="preserve">3、有利于基金财产的安全与增值； </w:t>
      </w:r>
    </w:p>
    <w:p w:rsidR="0097367D">
      <w:pPr>
        <w:spacing w:line="360" w:lineRule="auto"/>
        <w:ind w:firstLine="420"/>
        <w:rPr>
          <w:rStyle w:val="da"/>
          <w:rFonts w:ascii="宋体" w:hAnsi="Calibri" w:cs="宋体"/>
          <w:szCs w:val="21"/>
          <w:lang w:eastAsia="zh-CN"/>
        </w:rPr>
      </w:pPr>
      <w:r>
        <w:rPr>
          <w:rStyle w:val="da"/>
          <w:rFonts w:ascii="宋体" w:hAnsi="Calibri" w:hint="eastAsia"/>
          <w:highlight w:val="white"/>
          <w:lang w:eastAsia="zh-CN"/>
        </w:rPr>
        <w:t>4、不通过关联交易为自身、雇员、授权代理人或任何存在利害关系的第三人牟取任何不当利益。</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九、</w:t>
      </w:r>
      <w:r>
        <w:rPr>
          <w:rStyle w:val="da"/>
          <w:rFonts w:ascii="宋体" w:hAnsi="Calibri" w:cs="宋体" w:hint="eastAsia"/>
          <w:szCs w:val="21"/>
          <w:highlight w:val="white"/>
          <w:lang w:eastAsia="zh-CN"/>
        </w:rPr>
        <w:t>侧袋机制</w:t>
      </w:r>
      <w:r>
        <w:rPr>
          <w:rStyle w:val="da"/>
          <w:rFonts w:ascii="宋体" w:hAnsi="Calibri" w:cs="宋体" w:hint="eastAsia"/>
          <w:szCs w:val="21"/>
          <w:highlight w:val="white"/>
          <w:lang w:eastAsia="zh-CN"/>
        </w:rPr>
        <w:t>的实施和投资运作安排</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w:t>
      </w:r>
      <w:r>
        <w:rPr>
          <w:rStyle w:val="da"/>
          <w:rFonts w:ascii="宋体" w:hAnsi="Calibri" w:cs="宋体" w:hint="eastAsia"/>
          <w:szCs w:val="21"/>
          <w:highlight w:val="white"/>
          <w:lang w:eastAsia="zh-CN"/>
        </w:rPr>
        <w:t>启用侧袋机制</w:t>
      </w:r>
      <w:r>
        <w:rPr>
          <w:rStyle w:val="da"/>
          <w:rFonts w:ascii="宋体" w:hAnsi="Calibri" w:cs="宋体" w:hint="eastAsia"/>
          <w:szCs w:val="21"/>
          <w:highlight w:val="white"/>
          <w:lang w:eastAsia="zh-CN"/>
        </w:rPr>
        <w:t>。</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侧袋机制</w:t>
      </w:r>
      <w:r>
        <w:rPr>
          <w:rStyle w:val="da"/>
          <w:rFonts w:ascii="宋体" w:hAnsi="Calibri" w:cs="宋体" w:hint="eastAsia"/>
          <w:szCs w:val="21"/>
          <w:highlight w:val="white"/>
          <w:lang w:eastAsia="zh-CN"/>
        </w:rPr>
        <w:t>实施期间，本部分约定的投资组合比例、投资策略、组合限制、业绩比较基准、风险收益特征等约定仅</w:t>
      </w:r>
      <w:r>
        <w:rPr>
          <w:rStyle w:val="da"/>
          <w:rFonts w:ascii="宋体" w:hAnsi="Calibri" w:cs="宋体" w:hint="eastAsia"/>
          <w:szCs w:val="21"/>
          <w:highlight w:val="white"/>
          <w:lang w:eastAsia="zh-CN"/>
        </w:rPr>
        <w:t>适用于主袋账户</w:t>
      </w:r>
      <w:r>
        <w:rPr>
          <w:rStyle w:val="da"/>
          <w:rFonts w:ascii="宋体" w:hAnsi="Calibri" w:cs="宋体" w:hint="eastAsia"/>
          <w:szCs w:val="21"/>
          <w:highlight w:val="white"/>
          <w:lang w:eastAsia="zh-CN"/>
        </w:rPr>
        <w:t>。</w:t>
      </w:r>
    </w:p>
    <w:p w:rsidR="0097367D">
      <w:pPr>
        <w:spacing w:line="360" w:lineRule="auto"/>
        <w:ind w:firstLine="422"/>
        <w:rPr>
          <w:rFonts w:ascii="宋体" w:hAnsi="Calibri" w:cs="宋体"/>
          <w:b/>
          <w:i/>
          <w:szCs w:val="21"/>
          <w:lang w:eastAsia="zh-CN"/>
        </w:rPr>
      </w:pPr>
      <w:r>
        <w:rPr>
          <w:rStyle w:val="da"/>
          <w:rFonts w:ascii="宋体" w:hAnsi="Calibri" w:cs="宋体" w:hint="eastAsia"/>
          <w:szCs w:val="21"/>
          <w:highlight w:val="white"/>
          <w:lang w:eastAsia="zh-CN"/>
        </w:rPr>
        <w:t>侧袋账户</w:t>
      </w:r>
      <w:r>
        <w:rPr>
          <w:rStyle w:val="da"/>
          <w:rFonts w:ascii="宋体" w:hAnsi="Calibri" w:cs="宋体" w:hint="eastAsia"/>
          <w:szCs w:val="21"/>
          <w:highlight w:val="white"/>
          <w:lang w:eastAsia="zh-CN"/>
        </w:rPr>
        <w:t>的实施条件、实施程序、运作安排、投资安排、特定资产的处置变现和支付等对投资者权益有重大影响的事项，详见本招募说明书“侧袋机制”部分的规定。</w:t>
      </w:r>
    </w:p>
    <w:p w:rsidR="0097367D">
      <w:pPr>
        <w:pStyle w:val="Heading1"/>
        <w:spacing w:before="317" w:after="317" w:line="360" w:lineRule="auto"/>
        <w:ind w:firstLine="420"/>
        <w:rPr>
          <w:rFonts w:ascii="宋体" w:eastAsia="宋体" w:hAnsi="Calibri" w:cs="宋体"/>
          <w:sz w:val="30"/>
          <w:szCs w:val="30"/>
          <w:lang w:eastAsia="zh-CN"/>
        </w:rPr>
      </w:pPr>
      <w:r>
        <w:rPr>
          <w:rFonts w:ascii="宋体" w:eastAsia="宋体" w:hAnsi="Calibri" w:cs="宋体" w:hint="eastAsia"/>
          <w:sz w:val="21"/>
          <w:szCs w:val="21"/>
          <w:highlight w:val="white"/>
          <w:lang w:eastAsia="zh-CN"/>
        </w:rPr>
        <w:br w:type="page"/>
      </w:r>
      <w:bookmarkStart w:id="1826" w:name="_Toc129511535"/>
      <w:bookmarkStart w:id="1827" w:name="_Toc332373538"/>
      <w:r>
        <w:rPr>
          <w:rFonts w:ascii="宋体" w:eastAsia="宋体" w:hAnsi="Calibri" w:cs="宋体" w:hint="eastAsia"/>
          <w:sz w:val="30"/>
          <w:szCs w:val="30"/>
          <w:highlight w:val="white"/>
          <w:lang w:eastAsia="zh-CN"/>
        </w:rPr>
        <w:t>第十</w:t>
      </w:r>
      <w:r>
        <w:rPr>
          <w:rFonts w:ascii="宋体" w:eastAsia="宋体" w:hAnsi="Calibri" w:cs="宋体"/>
          <w:sz w:val="30"/>
          <w:szCs w:val="30"/>
          <w:highlight w:val="white"/>
          <w:lang w:eastAsia="zh-CN"/>
        </w:rPr>
        <w:t>三</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基金的财产</w:t>
      </w:r>
      <w:bookmarkEnd w:id="1826"/>
      <w:bookmarkEnd w:id="1827"/>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一、基金资产总值</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基金资产总值是指购买的目标ETF基金份额、各类证券及票据价值、银行存款本息和基金应收的申购基金款以及其他投资所形成的价值总和。</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二、基金资产净值</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基金资产净值是指基金资产总值减去基金负债后的价值。</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三、基金财产的账户</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四、基金财产的保管和处分</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w:t>
      </w:r>
      <w:r>
        <w:rPr>
          <w:rStyle w:val="da"/>
          <w:rFonts w:ascii="宋体" w:hAnsi="Calibri" w:cs="宋体" w:hint="eastAsia"/>
          <w:highlight w:val="white"/>
          <w:lang w:eastAsia="zh-CN"/>
        </w:rPr>
        <w:t>律法规</w:t>
      </w:r>
      <w:r>
        <w:rPr>
          <w:rStyle w:val="da"/>
          <w:rFonts w:ascii="宋体" w:hAnsi="Calibri" w:cs="宋体" w:hint="eastAsia"/>
          <w:highlight w:val="white"/>
          <w:lang w:eastAsia="zh-CN"/>
        </w:rPr>
        <w:t>和《基金合同》的规定处分外，基金财产不得被处分。</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w:t>
      </w:r>
      <w:r>
        <w:rPr>
          <w:rStyle w:val="da"/>
          <w:rFonts w:ascii="宋体" w:hAnsi="Calibri" w:cs="宋体" w:hint="eastAsia"/>
          <w:highlight w:val="white"/>
          <w:lang w:eastAsia="zh-CN"/>
        </w:rPr>
        <w:t>抵销</w:t>
      </w:r>
      <w:r>
        <w:rPr>
          <w:rStyle w:val="da"/>
          <w:rFonts w:ascii="宋体" w:hAnsi="Calibri" w:cs="宋体" w:hint="eastAsia"/>
          <w:highlight w:val="white"/>
          <w:lang w:eastAsia="zh-CN"/>
        </w:rPr>
        <w:t>；基金管理人管理运作不同基金的基金财产所产生的债权债务不得相互</w:t>
      </w:r>
      <w:r>
        <w:rPr>
          <w:rStyle w:val="da"/>
          <w:rFonts w:ascii="宋体" w:hAnsi="Calibri" w:cs="宋体" w:hint="eastAsia"/>
          <w:highlight w:val="white"/>
          <w:lang w:eastAsia="zh-CN"/>
        </w:rPr>
        <w:t>抵销</w:t>
      </w:r>
      <w:r>
        <w:rPr>
          <w:rStyle w:val="da"/>
          <w:rFonts w:ascii="宋体" w:hAnsi="Calibri" w:cs="宋体" w:hint="eastAsia"/>
          <w:highlight w:val="white"/>
          <w:lang w:eastAsia="zh-CN"/>
        </w:rPr>
        <w:t>。非因基金财产本身承担的债务，不得对基金财产强制执行。</w:t>
      </w:r>
    </w:p>
    <w:p w:rsidR="0097367D">
      <w:pPr>
        <w:widowControl/>
        <w:jc w:val="left"/>
        <w:rPr>
          <w:rFonts w:ascii="宋体" w:hAnsi="Calibri" w:cs="宋体"/>
          <w:sz w:val="30"/>
          <w:szCs w:val="32"/>
          <w:lang w:eastAsia="zh-CN"/>
        </w:rPr>
      </w:pPr>
      <w:bookmarkStart w:id="1828" w:name="_Hlt88900062"/>
      <w:bookmarkStart w:id="1829" w:name="_Hlt88841837"/>
      <w:bookmarkStart w:id="1830" w:name="_Toc332373543"/>
      <w:bookmarkEnd w:id="1828"/>
      <w:bookmarkEnd w:id="1829"/>
      <w:r>
        <w:rPr>
          <w:rFonts w:ascii="宋体" w:hAnsi="Calibri" w:cs="宋体"/>
          <w:sz w:val="30"/>
          <w:highlight w:val="white"/>
          <w:lang w:eastAsia="zh-CN"/>
        </w:rPr>
        <w:br w:type="page"/>
      </w:r>
    </w:p>
    <w:p w:rsidR="0097367D">
      <w:pPr>
        <w:pStyle w:val="Heading1"/>
        <w:spacing w:before="317" w:after="317" w:line="360" w:lineRule="auto"/>
        <w:ind w:firstLine="600"/>
        <w:rPr>
          <w:rFonts w:ascii="宋体" w:eastAsia="宋体" w:hAnsi="Calibri" w:cs="宋体"/>
          <w:sz w:val="30"/>
          <w:szCs w:val="30"/>
          <w:lang w:eastAsia="zh-CN"/>
        </w:rPr>
      </w:pPr>
      <w:bookmarkStart w:id="1831" w:name="_Toc129511536"/>
      <w:r>
        <w:rPr>
          <w:rFonts w:ascii="宋体" w:eastAsia="宋体" w:hAnsi="Calibri" w:cs="宋体"/>
          <w:sz w:val="30"/>
          <w:szCs w:val="30"/>
          <w:highlight w:val="white"/>
          <w:lang w:eastAsia="zh-CN"/>
        </w:rPr>
        <w:t>第十四部分 基金资产的估值</w:t>
      </w:r>
      <w:bookmarkEnd w:id="1830"/>
      <w:bookmarkEnd w:id="1831"/>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一、估值日</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本基金的估值日为本基金相关的证券交易场所的交易日以及国家法律法规规定需要对外披露基金净值的</w:t>
      </w:r>
      <w:r>
        <w:rPr>
          <w:rStyle w:val="da"/>
          <w:rFonts w:ascii="宋体" w:hAnsi="Calibri" w:cs="宋体" w:hint="eastAsia"/>
          <w:szCs w:val="21"/>
          <w:highlight w:val="white"/>
          <w:lang w:eastAsia="zh-CN"/>
        </w:rPr>
        <w:t>非交易</w:t>
      </w:r>
      <w:r>
        <w:rPr>
          <w:rStyle w:val="da"/>
          <w:rFonts w:ascii="宋体" w:hAnsi="Calibri" w:cs="宋体" w:hint="eastAsia"/>
          <w:szCs w:val="21"/>
          <w:highlight w:val="white"/>
          <w:lang w:eastAsia="zh-CN"/>
        </w:rPr>
        <w:t>日。</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二、估值对象</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基金所拥有的目标ETF基金份额、股票、债券和银行存款本息、应收款项、其它投资等资产及负债。</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三、估值原则</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基金管理人在确定相关金融资产和金融负债的公允价值时，应符合《企业会计准则》、监管部门有关规定。</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四、估值方法</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1、目标ETF基金份额估值方法</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对持有的目标ETF基金份额，按估值</w:t>
      </w:r>
      <w:r>
        <w:rPr>
          <w:rStyle w:val="da"/>
          <w:rFonts w:ascii="宋体" w:hAnsi="Calibri" w:cs="宋体" w:hint="eastAsia"/>
          <w:szCs w:val="21"/>
          <w:highlight w:val="white"/>
          <w:lang w:eastAsia="zh-CN"/>
        </w:rPr>
        <w:t>日目标</w:t>
      </w:r>
      <w:r>
        <w:rPr>
          <w:rStyle w:val="da"/>
          <w:rFonts w:ascii="宋体" w:hAnsi="Calibri" w:cs="宋体" w:hint="eastAsia"/>
          <w:szCs w:val="21"/>
          <w:highlight w:val="white"/>
          <w:lang w:eastAsia="zh-CN"/>
        </w:rPr>
        <w:t>ETF基金的份额净值估值。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3、处于未上市期间的有价证券应区分如下情况处理：</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（1）送股、转增股、配股和公开增发的新股，按估值日在证券交易所挂牌的同一股票的估值方法估值；该日无交易的，以最近一日的市价（收盘价）估值；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（2）首次公开发行未上市的股票，采用估值技术确定公允价值；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w:t>
      </w:r>
      <w:r>
        <w:rPr>
          <w:rStyle w:val="da"/>
          <w:rFonts w:ascii="宋体" w:hAnsi="Calibri" w:cs="宋体" w:hint="eastAsia"/>
          <w:szCs w:val="21"/>
          <w:highlight w:val="white"/>
          <w:lang w:eastAsia="zh-CN"/>
        </w:rPr>
        <w:t>券</w:t>
      </w:r>
      <w:r>
        <w:rPr>
          <w:rStyle w:val="da"/>
          <w:rFonts w:ascii="宋体" w:hAnsi="Calibri" w:cs="宋体" w:hint="eastAsia"/>
          <w:szCs w:val="21"/>
          <w:highlight w:val="white"/>
          <w:lang w:eastAsia="zh-CN"/>
        </w:rPr>
        <w:t>等流通受限股票，按监管机构或行业协会有关规定确定公允价值。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4、对于已上市或已挂牌转让的不含</w:t>
      </w:r>
      <w:r>
        <w:rPr>
          <w:rStyle w:val="da"/>
          <w:rFonts w:ascii="宋体" w:hAnsi="Calibri" w:cs="宋体" w:hint="eastAsia"/>
          <w:szCs w:val="21"/>
          <w:highlight w:val="white"/>
          <w:lang w:eastAsia="zh-CN"/>
        </w:rPr>
        <w:t>权固定</w:t>
      </w:r>
      <w:r>
        <w:rPr>
          <w:rStyle w:val="da"/>
          <w:rFonts w:ascii="宋体" w:hAnsi="Calibri" w:cs="宋体" w:hint="eastAsia"/>
          <w:szCs w:val="21"/>
          <w:highlight w:val="white"/>
          <w:lang w:eastAsia="zh-CN"/>
        </w:rPr>
        <w:t>收益品种，选取估值日第三方估值基准服务机构提供的相应品种当日的估值全价进行估值。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5、对于已上市或已挂牌转让的含</w:t>
      </w:r>
      <w:r>
        <w:rPr>
          <w:rStyle w:val="da"/>
          <w:rFonts w:ascii="宋体" w:hAnsi="Calibri" w:cs="宋体" w:hint="eastAsia"/>
          <w:szCs w:val="21"/>
          <w:highlight w:val="white"/>
          <w:lang w:eastAsia="zh-CN"/>
        </w:rPr>
        <w:t>权固定</w:t>
      </w:r>
      <w:r>
        <w:rPr>
          <w:rStyle w:val="da"/>
          <w:rFonts w:ascii="宋体" w:hAnsi="Calibri" w:cs="宋体" w:hint="eastAsia"/>
          <w:szCs w:val="21"/>
          <w:highlight w:val="white"/>
          <w:lang w:eastAsia="zh-CN"/>
        </w:rPr>
        <w:t>收益品种，选取估值日第三方估值基准服务机构提供的相应品种当日的唯一估值全价或推荐估值全价进行估值。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6、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7、对于未上市或未挂牌转让且不存在活跃市场的固定收益品种，采用在当前情况下适用并且有足够可利用数据和其他信息支持的估值技术确定其公允价值。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8、期货合约以估值当日结算价进行估值，估值当日无结算价的，且最近交易日后经济环境未发生重大变化的，采用最近交易日结算价估值。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9、本基金投资期权，根据相关法律法规以及监管部门的规定估值。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10、本基金参与融资业务的，按照相关法律法规、监管部门和行业协会的相关规定进行估值。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11、本基金参与转融通证券出借业务的，按照相关法律法规和行业协会的相关规定进行估值。</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12、本基金投资存托凭证的估值核算，依照境内上市交易的股票执行。</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13、如有充分理由表明按上述方法进行估值不能客观反映其公允价值的，基金管理人可根据具体情况与基金托管人商定后，按最能反映公允价值的价格估值。</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14、当发生大额申购或赎回情形时，基金管理人可以采用摆动定价机制，以确保基金估值的公平性。</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15、相关法律法规以及监管部门有强制规定的，从其规定。如有新增事项，按国家最新规定估值。</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五、估值程序</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每个估值日计算基金资产净值及基金份额净值，并按规定公告。</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2、基金管理人</w:t>
      </w:r>
      <w:r>
        <w:rPr>
          <w:rStyle w:val="da"/>
          <w:rFonts w:ascii="宋体" w:hAnsi="Calibri" w:cs="宋体"/>
          <w:szCs w:val="21"/>
          <w:highlight w:val="white"/>
          <w:lang w:eastAsia="zh-CN"/>
        </w:rPr>
        <w:t>应每个</w:t>
      </w:r>
      <w:r>
        <w:rPr>
          <w:rStyle w:val="da"/>
          <w:rFonts w:ascii="宋体" w:hAnsi="Calibri" w:cs="宋体"/>
          <w:szCs w:val="21"/>
          <w:highlight w:val="white"/>
          <w:lang w:eastAsia="zh-CN"/>
        </w:rPr>
        <w:t>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六、估值错误的处理</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基金管理人和基金托管人将采取必要、适当、合理的措施确保基金资产估值的准确性、及时性。当基金份额净值小数点后4位以内（含第4位）发生估值错误时，视为基金份额净值错误。</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基金合同的当事人应按照以下约定处理：</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1、估值错误类型</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Style w:val="da"/>
          <w:rFonts w:ascii="宋体" w:hAnsi="Calibri" w:cs="宋体"/>
          <w:szCs w:val="21"/>
          <w:highlight w:val="white"/>
          <w:lang w:eastAsia="zh-CN"/>
        </w:rPr>
        <w:t>“</w:t>
      </w:r>
      <w:r>
        <w:rPr>
          <w:rStyle w:val="da"/>
          <w:rFonts w:ascii="宋体" w:hAnsi="Calibri" w:cs="宋体"/>
          <w:szCs w:val="21"/>
          <w:highlight w:val="white"/>
          <w:lang w:eastAsia="zh-CN"/>
        </w:rPr>
        <w:t>受损方</w:t>
      </w:r>
      <w:r>
        <w:rPr>
          <w:rStyle w:val="da"/>
          <w:rFonts w:ascii="宋体" w:hAnsi="Calibri" w:cs="宋体"/>
          <w:szCs w:val="21"/>
          <w:highlight w:val="white"/>
          <w:lang w:eastAsia="zh-CN"/>
        </w:rPr>
        <w:t>”</w:t>
      </w:r>
      <w:r>
        <w:rPr>
          <w:rStyle w:val="da"/>
          <w:rFonts w:ascii="宋体" w:hAnsi="Calibri" w:cs="宋体"/>
          <w:szCs w:val="21"/>
          <w:highlight w:val="white"/>
          <w:lang w:eastAsia="zh-CN"/>
        </w:rPr>
        <w:t>）的直接损失按下述</w:t>
      </w:r>
      <w:r>
        <w:rPr>
          <w:rStyle w:val="da"/>
          <w:rFonts w:ascii="宋体" w:hAnsi="Calibri" w:cs="宋体"/>
          <w:szCs w:val="21"/>
          <w:highlight w:val="white"/>
          <w:lang w:eastAsia="zh-CN"/>
        </w:rPr>
        <w:t>“</w:t>
      </w:r>
      <w:r>
        <w:rPr>
          <w:rStyle w:val="da"/>
          <w:rFonts w:ascii="宋体" w:hAnsi="Calibri" w:cs="宋体"/>
          <w:szCs w:val="21"/>
          <w:highlight w:val="white"/>
          <w:lang w:eastAsia="zh-CN"/>
        </w:rPr>
        <w:t>估值错误处理原则</w:t>
      </w:r>
      <w:r>
        <w:rPr>
          <w:rStyle w:val="da"/>
          <w:rFonts w:ascii="宋体" w:hAnsi="Calibri" w:cs="宋体"/>
          <w:szCs w:val="21"/>
          <w:highlight w:val="white"/>
          <w:lang w:eastAsia="zh-CN"/>
        </w:rPr>
        <w:t>”</w:t>
      </w:r>
      <w:r>
        <w:rPr>
          <w:rStyle w:val="da"/>
          <w:rFonts w:ascii="宋体" w:hAnsi="Calibri" w:cs="宋体"/>
          <w:szCs w:val="21"/>
          <w:highlight w:val="white"/>
          <w:lang w:eastAsia="zh-CN"/>
        </w:rPr>
        <w:t>给予赔偿，承担赔偿责任。</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上述估值错误的主要类型包括但不限于：资料申报差错、数据传输差错、数据计算差错、系统故障差错、下达指令差错等。</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2、估值错误处理原则</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（2）估值错误的责任方对有关当事人的直接损失负责，不对间接损失负责，并且仅对估值错误的有关直接当事人负责，不对第三方负责。</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（3）因估值错误而获得不当得利的当事人负有及时返还不当得利的义务。但估值错误责任方仍应对估值错误负责。如果由于获得不当得利的当事人</w:t>
      </w:r>
      <w:r>
        <w:rPr>
          <w:rStyle w:val="da"/>
          <w:rFonts w:ascii="宋体" w:hAnsi="Calibri" w:cs="宋体"/>
          <w:szCs w:val="21"/>
          <w:highlight w:val="white"/>
          <w:lang w:eastAsia="zh-CN"/>
        </w:rPr>
        <w:t>不</w:t>
      </w:r>
      <w:r>
        <w:rPr>
          <w:rStyle w:val="da"/>
          <w:rFonts w:ascii="宋体" w:hAnsi="Calibri" w:cs="宋体"/>
          <w:szCs w:val="21"/>
          <w:highlight w:val="white"/>
          <w:lang w:eastAsia="zh-CN"/>
        </w:rPr>
        <w:t>返还或不全部返还不当得利造成其他当事人的利益损失（</w:t>
      </w:r>
      <w:r>
        <w:rPr>
          <w:rStyle w:val="da"/>
          <w:rFonts w:ascii="宋体" w:hAnsi="Calibri" w:cs="宋体"/>
          <w:szCs w:val="21"/>
          <w:highlight w:val="white"/>
          <w:lang w:eastAsia="zh-CN"/>
        </w:rPr>
        <w:t>“</w:t>
      </w:r>
      <w:r>
        <w:rPr>
          <w:rStyle w:val="da"/>
          <w:rFonts w:ascii="宋体" w:hAnsi="Calibri" w:cs="宋体"/>
          <w:szCs w:val="21"/>
          <w:highlight w:val="white"/>
          <w:lang w:eastAsia="zh-CN"/>
        </w:rPr>
        <w:t>受损方</w:t>
      </w:r>
      <w:r>
        <w:rPr>
          <w:rStyle w:val="da"/>
          <w:rFonts w:ascii="宋体" w:hAnsi="Calibri" w:cs="宋体"/>
          <w:szCs w:val="21"/>
          <w:highlight w:val="white"/>
          <w:lang w:eastAsia="zh-CN"/>
        </w:rPr>
        <w:t>”</w:t>
      </w:r>
      <w:r>
        <w:rPr>
          <w:rStyle w:val="da"/>
          <w:rFonts w:ascii="宋体" w:hAnsi="Calibri" w:cs="宋体"/>
          <w:szCs w:val="21"/>
          <w:highlight w:val="white"/>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（4）估值错误调整采用尽量恢复至假设未发生估值错误的正确情形的方式。</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3、估值错误处理程序</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估值错误被发现后，有关的当事人应当及时进行处理，处理的程序如下：</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（1）查明估值错误发生的原因，列明所有的当事人，并根据估值错误发生的原因确定估值错误的责任方；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（2）根据估值错误处理原则或当事人协商的方法对因估值错误造成的损失进行评估；</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（3）根据估值错误处理原则或当事人协商的方法由估值错误的责任方进行更正和赔偿损失；</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（4）根据估值错误处理的方法，需要修改基金登记机构交易数据的，由基金登记机构进行更正，并就估值错误的更正向有关当事人进行确认。</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4、基金份额净值估值错误处理的方法如下：</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（1）基金份额净值计算出现错误时，基金管理人应当立即予以纠正，通报基金托管人，并采取合理的措施防止损失进一步扩大。</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（3）前述内容如法律法规或监管机关另有规定的，从其规定处理。</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七、暂停估值的情形</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1、基金投资所涉及的证券交易市场遇法定节假日或因其他原因暂停营业时；</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2、因不可抗力致使基金管理人、基金托管人无法准确评估基金资产价值时；</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3、当特定资产占前一估值日基金资产净值50%以上的，经与基金托管人协商确认后，基金管理人应当暂停估值；</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4、基金所投资的目标ETF发生暂停估值、暂停公告基金份额净值的情形；</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5、中国证监会和基金合同认定的其它情形。</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八、基金净值的确认</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九、特殊情况的处理</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1、基金管理人或基金托管人按估值方法的第13项进行估值时，所造成的误差不作为基金资产估值错误处理。</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2、由于不可抗力，或证券交易所、登记结算机构、指数编制机构及存款银行等第三方机构发送的数据错误，或国家会计政策变更、市场规则变更等</w:t>
      </w:r>
      <w:r>
        <w:rPr>
          <w:rStyle w:val="da"/>
          <w:rFonts w:ascii="宋体" w:hAnsi="Calibri" w:cs="宋体"/>
          <w:szCs w:val="21"/>
          <w:highlight w:val="white"/>
          <w:lang w:eastAsia="zh-CN"/>
        </w:rPr>
        <w:t>非基金</w:t>
      </w:r>
      <w:r>
        <w:rPr>
          <w:rStyle w:val="da"/>
          <w:rFonts w:ascii="宋体" w:hAnsi="Calibri" w:cs="宋体"/>
          <w:szCs w:val="21"/>
          <w:highlight w:val="white"/>
          <w:lang w:eastAsia="zh-CN"/>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十、实施</w:t>
      </w:r>
      <w:r>
        <w:rPr>
          <w:rStyle w:val="da"/>
          <w:rFonts w:ascii="宋体" w:hAnsi="Calibri" w:cs="宋体"/>
          <w:szCs w:val="21"/>
          <w:highlight w:val="white"/>
          <w:lang w:eastAsia="zh-CN"/>
        </w:rPr>
        <w:t>侧袋机制</w:t>
      </w:r>
      <w:r>
        <w:rPr>
          <w:rStyle w:val="da"/>
          <w:rFonts w:ascii="宋体" w:hAnsi="Calibri" w:cs="宋体"/>
          <w:szCs w:val="21"/>
          <w:highlight w:val="white"/>
          <w:lang w:eastAsia="zh-CN"/>
        </w:rPr>
        <w:t>期间的基金资产估值</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本基金实施</w:t>
      </w:r>
      <w:r>
        <w:rPr>
          <w:rStyle w:val="da"/>
          <w:rFonts w:ascii="宋体" w:hAnsi="Calibri" w:cs="宋体"/>
          <w:szCs w:val="21"/>
          <w:highlight w:val="white"/>
          <w:lang w:eastAsia="zh-CN"/>
        </w:rPr>
        <w:t>侧袋机制</w:t>
      </w:r>
      <w:r>
        <w:rPr>
          <w:rStyle w:val="da"/>
          <w:rFonts w:ascii="宋体" w:hAnsi="Calibri" w:cs="宋体"/>
          <w:szCs w:val="21"/>
          <w:highlight w:val="white"/>
          <w:lang w:eastAsia="zh-CN"/>
        </w:rPr>
        <w:t>的，应根据本部分的约定</w:t>
      </w:r>
      <w:r>
        <w:rPr>
          <w:rStyle w:val="da"/>
          <w:rFonts w:ascii="宋体" w:hAnsi="Calibri" w:cs="宋体"/>
          <w:szCs w:val="21"/>
          <w:highlight w:val="white"/>
          <w:lang w:eastAsia="zh-CN"/>
        </w:rPr>
        <w:t>对主袋账户</w:t>
      </w:r>
      <w:r>
        <w:rPr>
          <w:rStyle w:val="da"/>
          <w:rFonts w:ascii="宋体" w:hAnsi="Calibri" w:cs="宋体"/>
          <w:szCs w:val="21"/>
          <w:highlight w:val="white"/>
          <w:lang w:eastAsia="zh-CN"/>
        </w:rPr>
        <w:t>资产进行估值并</w:t>
      </w:r>
      <w:r>
        <w:rPr>
          <w:rStyle w:val="da"/>
          <w:rFonts w:ascii="宋体" w:hAnsi="Calibri" w:cs="宋体"/>
          <w:szCs w:val="21"/>
          <w:highlight w:val="white"/>
          <w:lang w:eastAsia="zh-CN"/>
        </w:rPr>
        <w:t>披露主袋账户</w:t>
      </w:r>
      <w:r>
        <w:rPr>
          <w:rStyle w:val="da"/>
          <w:rFonts w:ascii="宋体" w:hAnsi="Calibri" w:cs="宋体"/>
          <w:szCs w:val="21"/>
          <w:highlight w:val="white"/>
          <w:lang w:eastAsia="zh-CN"/>
        </w:rPr>
        <w:t>的基金资产净值和份额净值，暂停</w:t>
      </w:r>
      <w:r>
        <w:rPr>
          <w:rStyle w:val="da"/>
          <w:rFonts w:ascii="宋体" w:hAnsi="Calibri" w:cs="宋体"/>
          <w:szCs w:val="21"/>
          <w:highlight w:val="white"/>
          <w:lang w:eastAsia="zh-CN"/>
        </w:rPr>
        <w:t>披露侧袋账户</w:t>
      </w:r>
      <w:r>
        <w:rPr>
          <w:rStyle w:val="da"/>
          <w:rFonts w:ascii="宋体" w:hAnsi="Calibri" w:cs="宋体"/>
          <w:szCs w:val="21"/>
          <w:highlight w:val="white"/>
          <w:lang w:eastAsia="zh-CN"/>
        </w:rPr>
        <w:t>份额净值。</w:t>
      </w:r>
    </w:p>
    <w:p w:rsidR="0097367D">
      <w:pPr>
        <w:pStyle w:val="Heading1"/>
        <w:spacing w:before="317" w:after="317" w:line="360" w:lineRule="auto"/>
        <w:ind w:firstLine="420"/>
        <w:rPr>
          <w:rFonts w:ascii="宋体" w:eastAsia="宋体" w:hAnsi="Calibri" w:cs="宋体"/>
          <w:bCs/>
          <w:sz w:val="30"/>
          <w:szCs w:val="30"/>
        </w:rPr>
      </w:pPr>
      <w:r>
        <w:rPr>
          <w:rFonts w:ascii="宋体" w:eastAsia="宋体" w:hAnsi="Calibri" w:cs="宋体"/>
          <w:sz w:val="21"/>
          <w:szCs w:val="21"/>
          <w:highlight w:val="white"/>
          <w:lang w:eastAsia="zh-CN"/>
        </w:rPr>
        <w:br w:type="page"/>
      </w:r>
      <w:bookmarkStart w:id="1832" w:name="_Toc129511537"/>
      <w:r>
        <w:rPr>
          <w:rFonts w:ascii="宋体" w:eastAsia="宋体" w:hAnsi="Calibri" w:cs="宋体"/>
          <w:sz w:val="30"/>
          <w:szCs w:val="30"/>
          <w:highlight w:val="white"/>
        </w:rPr>
        <w:t>第</w:t>
      </w:r>
      <w:r>
        <w:rPr>
          <w:rFonts w:ascii="宋体" w:eastAsia="宋体" w:hAnsi="Calibri" w:cs="宋体" w:hint="eastAsia"/>
          <w:sz w:val="30"/>
          <w:szCs w:val="30"/>
          <w:highlight w:val="white"/>
        </w:rPr>
        <w:t>十</w:t>
      </w:r>
      <w:bookmarkStart w:id="1833" w:name="_Toc332373553"/>
      <w:r>
        <w:rPr>
          <w:rFonts w:ascii="宋体" w:eastAsia="宋体" w:hAnsi="Calibri" w:cs="宋体"/>
          <w:sz w:val="30"/>
          <w:szCs w:val="30"/>
          <w:highlight w:val="white"/>
        </w:rPr>
        <w:t>五</w:t>
      </w:r>
      <w:r>
        <w:rPr>
          <w:rFonts w:ascii="宋体" w:eastAsia="宋体" w:hAnsi="Calibri" w:cs="宋体" w:hint="eastAsia"/>
          <w:sz w:val="30"/>
          <w:szCs w:val="30"/>
          <w:highlight w:val="white"/>
        </w:rPr>
        <w:t>部分</w:t>
      </w:r>
      <w:r>
        <w:rPr>
          <w:rFonts w:ascii="宋体" w:eastAsia="宋体" w:hAnsi="Calibri" w:cs="宋体"/>
          <w:sz w:val="30"/>
          <w:szCs w:val="30"/>
          <w:highlight w:val="white"/>
        </w:rPr>
        <w:t xml:space="preserve"> </w:t>
      </w:r>
      <w:r>
        <w:rPr>
          <w:rFonts w:ascii="宋体" w:eastAsia="宋体" w:hAnsi="Calibri" w:cs="宋体" w:hint="eastAsia"/>
          <w:sz w:val="30"/>
          <w:szCs w:val="30"/>
          <w:highlight w:val="white"/>
        </w:rPr>
        <w:t>基金的收益分配</w:t>
      </w:r>
      <w:bookmarkEnd w:id="1832"/>
      <w:bookmarkEnd w:id="1833"/>
    </w:p>
    <w:p w:rsidR="0097367D">
      <w:pPr>
        <w:spacing w:line="360" w:lineRule="auto"/>
        <w:ind w:firstLine="420"/>
        <w:rPr>
          <w:rStyle w:val="da"/>
          <w:rFonts w:cs="宋体"/>
          <w:lang w:eastAsia="zh-CN"/>
        </w:rPr>
      </w:pPr>
      <w:r>
        <w:rPr>
          <w:rStyle w:val="da"/>
          <w:rFonts w:cs="宋体" w:hint="eastAsia"/>
          <w:highlight w:val="white"/>
          <w:lang w:eastAsia="zh-CN"/>
        </w:rPr>
        <w:t>一、基金利润的构成</w:t>
      </w:r>
    </w:p>
    <w:p w:rsidR="0097367D">
      <w:pPr>
        <w:spacing w:line="360" w:lineRule="auto"/>
        <w:ind w:firstLine="420"/>
        <w:rPr>
          <w:rStyle w:val="da"/>
          <w:rFonts w:cs="宋体"/>
          <w:lang w:eastAsia="zh-CN"/>
        </w:rPr>
      </w:pPr>
      <w:r>
        <w:rPr>
          <w:rStyle w:val="da"/>
          <w:rFonts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97367D">
      <w:pPr>
        <w:spacing w:line="360" w:lineRule="auto"/>
        <w:ind w:firstLine="420"/>
        <w:rPr>
          <w:rStyle w:val="da"/>
          <w:rFonts w:cs="宋体"/>
          <w:lang w:eastAsia="zh-CN"/>
        </w:rPr>
      </w:pPr>
      <w:r>
        <w:rPr>
          <w:rStyle w:val="da"/>
          <w:rFonts w:cs="宋体" w:hint="eastAsia"/>
          <w:highlight w:val="white"/>
          <w:lang w:eastAsia="zh-CN"/>
        </w:rPr>
        <w:t>二、基金可供分配利润</w:t>
      </w:r>
    </w:p>
    <w:p w:rsidR="0097367D">
      <w:pPr>
        <w:spacing w:line="360" w:lineRule="auto"/>
        <w:ind w:firstLine="420"/>
        <w:rPr>
          <w:rStyle w:val="da"/>
          <w:rFonts w:cs="宋体"/>
          <w:lang w:eastAsia="zh-CN"/>
        </w:rPr>
      </w:pPr>
      <w:r>
        <w:rPr>
          <w:rStyle w:val="da"/>
          <w:rFonts w:cs="宋体" w:hint="eastAsia"/>
          <w:highlight w:val="white"/>
          <w:lang w:eastAsia="zh-CN"/>
        </w:rPr>
        <w:t>基金可供分配利润指截至收益分配基准日基金未分配利润与未分配利润中已实现收益的孰低数。</w:t>
      </w:r>
    </w:p>
    <w:p w:rsidR="0097367D">
      <w:pPr>
        <w:spacing w:line="360" w:lineRule="auto"/>
        <w:ind w:firstLine="420"/>
        <w:rPr>
          <w:rFonts w:ascii="宋体" w:hAnsi="Calibri"/>
          <w:bCs/>
          <w:szCs w:val="21"/>
          <w:lang w:eastAsia="zh-CN"/>
        </w:rPr>
      </w:pPr>
      <w:r>
        <w:rPr>
          <w:rStyle w:val="da"/>
          <w:rFonts w:ascii="宋体" w:hAnsi="Calibri" w:cs="宋体" w:hint="eastAsia"/>
          <w:highlight w:val="white"/>
          <w:lang w:eastAsia="zh-CN"/>
        </w:rPr>
        <w:t>三、</w:t>
      </w:r>
      <w:r>
        <w:rPr>
          <w:rFonts w:ascii="宋体" w:hAnsi="Calibri" w:hint="eastAsia"/>
          <w:bCs/>
          <w:szCs w:val="21"/>
          <w:highlight w:val="white"/>
          <w:lang w:eastAsia="zh-CN"/>
        </w:rPr>
        <w:t>基金收益分配原则</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1、本基金收益分配方式分两种：现金分红与红利再投资，投资者可选择现金红利或将现金红利自动转为对应类别的基金份额进行再投资；若投资者不选择，本基金默认的收益分配方式是现金分红；</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2、本基金各基金份额类别在费用收取上不同，其对应的可分配收益可能有所不同。同一类别的每一基金份额享有同等分配权；</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3、在符合以下有关基金分红条件的情形下，基金管理人可以根据实际情况进行收益分配，具体分配方案以届时的公告为准：</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（1）本基金收益</w:t>
      </w:r>
      <w:r>
        <w:rPr>
          <w:rFonts w:ascii="宋体" w:hAnsi="Calibri" w:hint="eastAsia"/>
          <w:bCs/>
          <w:szCs w:val="21"/>
          <w:highlight w:val="white"/>
          <w:lang w:eastAsia="zh-CN"/>
        </w:rPr>
        <w:t>评价日核定</w:t>
      </w:r>
      <w:r>
        <w:rPr>
          <w:rFonts w:ascii="宋体" w:hAnsi="Calibri" w:hint="eastAsia"/>
          <w:bCs/>
          <w:szCs w:val="21"/>
          <w:highlight w:val="white"/>
          <w:lang w:eastAsia="zh-CN"/>
        </w:rPr>
        <w:t>的基金累计报酬率超过业绩比较基准同期累计报酬</w:t>
      </w:r>
      <w:r>
        <w:rPr>
          <w:rFonts w:ascii="宋体" w:hAnsi="Calibri" w:hint="eastAsia"/>
          <w:bCs/>
          <w:szCs w:val="21"/>
          <w:highlight w:val="white"/>
          <w:lang w:eastAsia="zh-CN"/>
        </w:rPr>
        <w:t>率或者</w:t>
      </w:r>
      <w:r>
        <w:rPr>
          <w:rFonts w:ascii="宋体" w:hAnsi="Calibri" w:hint="eastAsia"/>
          <w:bCs/>
          <w:szCs w:val="21"/>
          <w:highlight w:val="white"/>
          <w:lang w:eastAsia="zh-CN"/>
        </w:rPr>
        <w:t>基金可供分配利润金额大于0元时，基金管理人可进行收益分配；若《基金合同》生效不满3个月可不进行收益分配；</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4、在对基金份额持有人利益无实质不利影响的前提下，基金管理人可调整基金收益的分配原则和支付方式，不需召开基金份额持有人大会审议；</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5、法律法规或监管机关另有规定的，从其规定。</w:t>
      </w:r>
    </w:p>
    <w:p w:rsidR="0097367D">
      <w:pPr>
        <w:spacing w:line="360" w:lineRule="auto"/>
        <w:ind w:firstLine="420" w:firstLineChars="200"/>
        <w:rPr>
          <w:rFonts w:ascii="宋体" w:hAnsi="宋体"/>
          <w:bCs/>
          <w:szCs w:val="21"/>
          <w:lang w:eastAsia="zh-CN"/>
        </w:rPr>
      </w:pPr>
      <w:r>
        <w:rPr>
          <w:rFonts w:ascii="宋体" w:hAnsi="宋体" w:hint="eastAsia"/>
          <w:bCs/>
          <w:szCs w:val="21"/>
          <w:highlight w:val="white"/>
          <w:lang w:eastAsia="zh-CN"/>
        </w:rPr>
        <w:t>四、</w:t>
      </w:r>
      <w:r>
        <w:rPr>
          <w:rStyle w:val="da"/>
          <w:rFonts w:ascii="宋体" w:hAnsi="宋体" w:cs="宋体" w:hint="eastAsia"/>
          <w:highlight w:val="white"/>
          <w:lang w:eastAsia="zh-CN"/>
        </w:rPr>
        <w:t>基金相对业绩比较基准的超额收益率计算</w:t>
      </w:r>
    </w:p>
    <w:p w:rsidR="0097367D">
      <w:pPr>
        <w:spacing w:line="360" w:lineRule="auto"/>
        <w:ind w:firstLine="420"/>
        <w:rPr>
          <w:lang w:eastAsia="zh-CN"/>
        </w:rPr>
      </w:pPr>
      <w:r>
        <w:rPr>
          <w:rStyle w:val="da"/>
          <w:rFonts w:ascii="宋体" w:hAnsi="Calibri" w:cs="宋体"/>
          <w:highlight w:val="white"/>
          <w:lang w:eastAsia="zh-CN"/>
        </w:rPr>
        <w:t xml:space="preserve">在收益评价日，基金管理人计算基金累计报酬率、业绩比较基准同期累计报酬率。 </w:t>
      </w:r>
    </w:p>
    <w:p w:rsidR="0097367D">
      <w:pPr>
        <w:spacing w:line="360" w:lineRule="auto"/>
        <w:ind w:firstLine="420"/>
        <w:rPr>
          <w:lang w:eastAsia="zh-CN"/>
        </w:rPr>
      </w:pPr>
      <w:r>
        <w:rPr>
          <w:rStyle w:val="da"/>
          <w:rFonts w:ascii="宋体" w:hAnsi="Calibri" w:cs="宋体"/>
          <w:highlight w:val="white"/>
          <w:lang w:eastAsia="zh-CN"/>
        </w:rPr>
        <w:t>基金收益评价日本基金相对业绩比较基准的超额收益率＝基金累计报酬率 - 业绩比较基准同期累计报酬率</w:t>
      </w:r>
    </w:p>
    <w:p w:rsidR="0097367D">
      <w:pPr>
        <w:spacing w:line="360" w:lineRule="auto"/>
        <w:ind w:firstLine="420"/>
        <w:rPr>
          <w:lang w:eastAsia="zh-CN"/>
        </w:rPr>
      </w:pPr>
      <w:r>
        <w:rPr>
          <w:rStyle w:val="da"/>
          <w:rFonts w:ascii="宋体" w:hAnsi="Calibri" w:cs="宋体"/>
          <w:highlight w:val="white"/>
          <w:lang w:eastAsia="zh-CN"/>
        </w:rPr>
        <w:t>基金累计报酬率=收益</w:t>
      </w:r>
      <w:r>
        <w:rPr>
          <w:rStyle w:val="da"/>
          <w:rFonts w:ascii="宋体" w:hAnsi="Calibri" w:cs="宋体"/>
          <w:highlight w:val="white"/>
          <w:lang w:eastAsia="zh-CN"/>
        </w:rPr>
        <w:t>评价日</w:t>
      </w:r>
      <w:r>
        <w:rPr>
          <w:rStyle w:val="da"/>
          <w:rFonts w:ascii="宋体" w:hAnsi="Calibri" w:cs="宋体"/>
          <w:highlight w:val="white"/>
          <w:lang w:eastAsia="zh-CN"/>
        </w:rPr>
        <w:t>基金份额净值（如基金合同生效满3个月后基金份额发生折算，则采用剔除折算因素的基金份额净值）/基金合同生效日所对应的3个月月度对日的前一工作日基金份额净值-100%</w:t>
      </w:r>
    </w:p>
    <w:p w:rsidR="0097367D">
      <w:pPr>
        <w:spacing w:line="360" w:lineRule="auto"/>
        <w:ind w:firstLine="420"/>
        <w:rPr>
          <w:rStyle w:val="da"/>
          <w:rFonts w:ascii="宋体" w:hAnsi="Calibri" w:cs="宋体"/>
          <w:highlight w:val="magenta"/>
          <w:lang w:eastAsia="zh-CN"/>
        </w:rPr>
      </w:pPr>
      <w:r>
        <w:rPr>
          <w:rStyle w:val="da"/>
          <w:rFonts w:ascii="宋体" w:hAnsi="Calibri" w:cs="宋体"/>
          <w:highlight w:val="white"/>
          <w:lang w:eastAsia="zh-CN"/>
        </w:rPr>
        <w:t>剔除折算因素的基金份额净值＝</w:t>
      </w:r>
    </w:p>
    <w:p w:rsidR="0097367D">
      <w:pPr>
        <w:spacing w:line="360" w:lineRule="auto"/>
        <w:ind w:firstLine="420"/>
      </w:pPr>
      <w:r>
        <w:rPr>
          <w:bCs/>
          <w:position w:val="-2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44pt;height:36pt" o:oleicon="f" o:ole="">
            <v:imagedata r:id="rId16" o:title=""/>
          </v:shape>
          <o:OLEObject Type="Embed" ProgID="Equation.3" ShapeID="_x0000_i1025" DrawAspect="Content" ObjectID="_1840284714" r:id="rId17"/>
        </w:object>
      </w:r>
    </w:p>
    <w:p w:rsidR="0097367D">
      <w:pPr>
        <w:spacing w:line="360" w:lineRule="auto"/>
        <w:ind w:firstLine="420"/>
        <w:rPr>
          <w:lang w:eastAsia="zh-CN"/>
        </w:rPr>
      </w:pPr>
      <w:r>
        <w:rPr>
          <w:rFonts w:ascii="宋体" w:hAnsi="Calibri"/>
          <w:bCs/>
          <w:szCs w:val="21"/>
          <w:highlight w:val="white"/>
          <w:lang w:eastAsia="zh-CN"/>
        </w:rPr>
        <w:t>注：</w:t>
      </w:r>
      <w:r>
        <w:rPr>
          <w:rFonts w:ascii="宋体" w:hAnsi="Calibri"/>
          <w:bCs/>
        </w:rPr>
        <w:object>
          <v:shape id="_x0000_i1026" type="#_x0000_t75" style="width:15.45pt;height:20.55pt" o:oleicon="f" o:ole="">
            <v:imagedata r:id="rId18" o:title=""/>
          </v:shape>
          <o:OLEObject Type="Embed" ProgID="Equation.DSMT4" ShapeID="_x0000_i1026" DrawAspect="Content" ObjectID="_1840284715" r:id="rId19"/>
        </w:object>
      </w:r>
      <w:r>
        <w:rPr>
          <w:rFonts w:ascii="宋体" w:hAnsi="Calibri"/>
          <w:bCs/>
          <w:szCs w:val="21"/>
          <w:highlight w:val="white"/>
          <w:lang w:eastAsia="zh-CN"/>
        </w:rPr>
        <w:t>为连乘符号</w:t>
      </w:r>
      <w:r>
        <w:rPr>
          <w:rFonts w:ascii="宋体" w:hAnsi="宋体" w:cs="宋体"/>
          <w:color w:val="000000"/>
          <w:highlight w:val="white"/>
          <w:lang w:eastAsia="zh-CN"/>
        </w:rPr>
        <w:t>。当基金份额折算比例为N时，表示每一份基金份额折算为N份。</w:t>
      </w:r>
    </w:p>
    <w:p w:rsidR="0097367D">
      <w:pPr>
        <w:spacing w:line="360" w:lineRule="auto"/>
        <w:ind w:firstLine="420" w:firstLineChars="200"/>
        <w:rPr>
          <w:rFonts w:ascii="宋体" w:hAnsi="宋体" w:cs="宋体"/>
          <w:color w:val="000000"/>
          <w:lang w:eastAsia="zh-CN"/>
        </w:rPr>
      </w:pPr>
      <w:r>
        <w:rPr>
          <w:rFonts w:ascii="宋体" w:hAnsi="宋体" w:cs="宋体" w:hint="eastAsia"/>
          <w:color w:val="000000"/>
          <w:highlight w:val="white"/>
          <w:lang w:eastAsia="zh-CN"/>
        </w:rPr>
        <w:t>业绩比较基准同期累计报酬率为基金合同生效日所对应的3个月月度对日至收益</w:t>
      </w:r>
      <w:r>
        <w:rPr>
          <w:rFonts w:ascii="宋体" w:hAnsi="宋体" w:cs="宋体" w:hint="eastAsia"/>
          <w:color w:val="000000"/>
          <w:highlight w:val="white"/>
          <w:lang w:eastAsia="zh-CN"/>
        </w:rPr>
        <w:t>评价日</w:t>
      </w:r>
      <w:r>
        <w:rPr>
          <w:rFonts w:ascii="宋体" w:hAnsi="宋体" w:cs="宋体" w:hint="eastAsia"/>
          <w:color w:val="000000"/>
          <w:highlight w:val="white"/>
          <w:lang w:eastAsia="zh-CN"/>
        </w:rPr>
        <w:t>期间的业绩比较基准收益率。</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五、收益分配方案</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基金收益分配方案中应载明基金收益分配对象、分配时间、分配数额、分配方式等内容。</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六、收益分配方案的确定、公告与实施</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本基金收益分配方案由基金管理人拟定，并由基金托管人复核，在2日内在规定媒介公告。</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七、基金收益分配中发生的费用</w:t>
      </w:r>
    </w:p>
    <w:p w:rsidR="0097367D">
      <w:pPr>
        <w:spacing w:line="360" w:lineRule="auto"/>
        <w:ind w:firstLine="420"/>
        <w:rPr>
          <w:rStyle w:val="da"/>
          <w:rFonts w:ascii="宋体" w:hAnsi="Calibri" w:cs="宋体"/>
          <w:lang w:eastAsia="zh-CN"/>
        </w:rPr>
      </w:pPr>
      <w:r>
        <w:rPr>
          <w:rFonts w:ascii="宋体" w:hAnsi="Calibri" w:hint="eastAsia"/>
          <w:bCs/>
          <w:szCs w:val="21"/>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八、实施</w:t>
      </w:r>
      <w:r>
        <w:rPr>
          <w:rStyle w:val="da"/>
          <w:rFonts w:ascii="宋体" w:hAnsi="Calibri" w:cs="宋体" w:hint="eastAsia"/>
          <w:highlight w:val="white"/>
          <w:lang w:eastAsia="zh-CN"/>
        </w:rPr>
        <w:t>侧袋机制</w:t>
      </w:r>
      <w:r>
        <w:rPr>
          <w:rStyle w:val="da"/>
          <w:rFonts w:ascii="宋体" w:hAnsi="Calibri" w:cs="宋体" w:hint="eastAsia"/>
          <w:highlight w:val="white"/>
          <w:lang w:eastAsia="zh-CN"/>
        </w:rPr>
        <w:t>期间的收益分配</w:t>
      </w:r>
    </w:p>
    <w:p w:rsidR="0097367D">
      <w:pPr>
        <w:spacing w:line="360" w:lineRule="auto"/>
        <w:ind w:firstLine="420"/>
        <w:rPr>
          <w:rStyle w:val="da"/>
          <w:rFonts w:ascii="宋体" w:hAnsi="Calibri" w:cs="宋体"/>
          <w:lang w:eastAsia="zh-CN"/>
        </w:rPr>
      </w:pPr>
      <w:r>
        <w:rPr>
          <w:rStyle w:val="da"/>
          <w:rFonts w:ascii="宋体" w:hAnsi="Calibri" w:cs="宋体" w:hint="eastAsia"/>
          <w:highlight w:val="white"/>
          <w:lang w:eastAsia="zh-CN"/>
        </w:rPr>
        <w:t>本基金实施</w:t>
      </w:r>
      <w:r>
        <w:rPr>
          <w:rStyle w:val="da"/>
          <w:rFonts w:ascii="宋体" w:hAnsi="Calibri" w:cs="宋体" w:hint="eastAsia"/>
          <w:highlight w:val="white"/>
          <w:lang w:eastAsia="zh-CN"/>
        </w:rPr>
        <w:t>侧袋机制</w:t>
      </w:r>
      <w:r>
        <w:rPr>
          <w:rStyle w:val="da"/>
          <w:rFonts w:ascii="宋体" w:hAnsi="Calibri" w:cs="宋体" w:hint="eastAsia"/>
          <w:highlight w:val="white"/>
          <w:lang w:eastAsia="zh-CN"/>
        </w:rPr>
        <w:t>的，</w:t>
      </w:r>
      <w:r>
        <w:rPr>
          <w:rStyle w:val="da"/>
          <w:rFonts w:ascii="宋体" w:hAnsi="Calibri" w:cs="宋体" w:hint="eastAsia"/>
          <w:highlight w:val="white"/>
          <w:lang w:eastAsia="zh-CN"/>
        </w:rPr>
        <w:t>侧袋账户</w:t>
      </w:r>
      <w:r>
        <w:rPr>
          <w:rStyle w:val="da"/>
          <w:rFonts w:ascii="宋体" w:hAnsi="Calibri" w:cs="宋体" w:hint="eastAsia"/>
          <w:highlight w:val="white"/>
          <w:lang w:eastAsia="zh-CN"/>
        </w:rPr>
        <w:t>不进行收益分配。</w:t>
      </w:r>
    </w:p>
    <w:p w:rsidR="0097367D">
      <w:pPr>
        <w:spacing w:line="360" w:lineRule="auto"/>
        <w:ind w:firstLine="420"/>
        <w:rPr>
          <w:rFonts w:ascii="宋体" w:hAnsi="Calibri" w:cs="宋体"/>
          <w:szCs w:val="21"/>
          <w:lang w:eastAsia="zh-CN"/>
        </w:rPr>
      </w:pPr>
      <w:r>
        <w:rPr>
          <w:rStyle w:val="da"/>
          <w:rFonts w:ascii="宋体" w:hAnsi="Calibri" w:cs="宋体"/>
          <w:highlight w:val="white"/>
          <w:lang w:eastAsia="zh-CN"/>
        </w:rPr>
        <w:br w:type="page"/>
      </w:r>
    </w:p>
    <w:p w:rsidR="0097367D">
      <w:pPr>
        <w:pStyle w:val="Heading1"/>
        <w:spacing w:before="317" w:after="317" w:line="360" w:lineRule="auto"/>
        <w:ind w:firstLine="600"/>
        <w:rPr>
          <w:rFonts w:ascii="宋体" w:eastAsia="宋体" w:hAnsi="Calibri" w:cs="宋体"/>
          <w:sz w:val="30"/>
          <w:szCs w:val="30"/>
          <w:lang w:eastAsia="zh-CN"/>
        </w:rPr>
      </w:pPr>
      <w:bookmarkStart w:id="1834" w:name="_Toc129511538"/>
      <w:r>
        <w:rPr>
          <w:rFonts w:ascii="宋体" w:eastAsia="宋体" w:hAnsi="Calibri" w:cs="宋体" w:hint="eastAsia"/>
          <w:sz w:val="30"/>
          <w:szCs w:val="30"/>
          <w:highlight w:val="white"/>
          <w:lang w:eastAsia="zh-CN"/>
        </w:rPr>
        <w:t>第十</w:t>
      </w:r>
      <w:bookmarkStart w:id="1835" w:name="_Toc332373560"/>
      <w:r>
        <w:rPr>
          <w:rFonts w:ascii="宋体" w:eastAsia="宋体" w:hAnsi="Calibri" w:cs="宋体"/>
          <w:sz w:val="30"/>
          <w:szCs w:val="30"/>
          <w:highlight w:val="white"/>
          <w:lang w:eastAsia="zh-CN"/>
        </w:rPr>
        <w:t>六</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基金的费用与税收</w:t>
      </w:r>
      <w:bookmarkEnd w:id="1834"/>
      <w:bookmarkEnd w:id="1835"/>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一、基金费用的种类</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1、基金管理人的管理费；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2、基金托管人的托管费；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3、销售服务费；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4、《基金合同》生效后与基金相关的信息披露费用；</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5、《基金合同》生效后与基金相关的会计师费、律师费、诉讼费和仲裁费；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6、基金份额持有人大会费用；</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7、基金的证券/期货交易费用；</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8、基金的银行汇划费用；</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9、证券账户开户费用、银行账户维护费用；</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10、按照国家有关规定和《基金合同》约定，可以在基金财产中列支的其他费用。</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二、基金费用计提方法、计提标准和支付方式</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1、基金管理人的管理费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本基金的管理费按前一日基金资产净值扣除前一日所持有目标ETF公允价值后的余额（若为负数，则取0）的0.</w:t>
      </w:r>
      <w:r>
        <w:rPr>
          <w:rStyle w:val="da"/>
          <w:rFonts w:ascii="宋体" w:hAnsi="Calibri" w:cs="宋体"/>
          <w:szCs w:val="21"/>
          <w:highlight w:val="white"/>
          <w:lang w:eastAsia="zh-CN"/>
        </w:rPr>
        <w:t>15</w:t>
      </w:r>
      <w:r>
        <w:rPr>
          <w:rStyle w:val="da"/>
          <w:rFonts w:ascii="宋体" w:hAnsi="Calibri" w:cs="宋体"/>
          <w:szCs w:val="21"/>
          <w:highlight w:val="white"/>
          <w:lang w:eastAsia="zh-CN"/>
        </w:rPr>
        <w:t>%年费率计提。管理费的计算方法如下：</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H＝E</w:t>
      </w:r>
      <w:r>
        <w:rPr>
          <w:rStyle w:val="da"/>
          <w:rFonts w:ascii="宋体" w:hAnsi="Calibri" w:cs="宋体"/>
          <w:szCs w:val="21"/>
          <w:highlight w:val="white"/>
          <w:lang w:eastAsia="zh-CN"/>
        </w:rPr>
        <w:t>×</w:t>
      </w:r>
      <w:r>
        <w:rPr>
          <w:rStyle w:val="da"/>
          <w:rFonts w:ascii="宋体" w:hAnsi="Calibri" w:cs="宋体"/>
          <w:szCs w:val="21"/>
          <w:highlight w:val="white"/>
          <w:lang w:eastAsia="zh-CN"/>
        </w:rPr>
        <w:t>0.</w:t>
      </w:r>
      <w:r>
        <w:rPr>
          <w:rStyle w:val="da"/>
          <w:rFonts w:ascii="宋体" w:hAnsi="Calibri" w:cs="宋体"/>
          <w:szCs w:val="21"/>
          <w:highlight w:val="white"/>
          <w:lang w:eastAsia="zh-CN"/>
        </w:rPr>
        <w:t>15</w:t>
      </w:r>
      <w:r>
        <w:rPr>
          <w:rStyle w:val="da"/>
          <w:rFonts w:ascii="宋体" w:hAnsi="Calibri" w:cs="宋体"/>
          <w:szCs w:val="21"/>
          <w:highlight w:val="white"/>
          <w:lang w:eastAsia="zh-CN"/>
        </w:rPr>
        <w:t>%</w:t>
      </w:r>
      <w:r>
        <w:rPr>
          <w:rStyle w:val="da"/>
          <w:rFonts w:ascii="宋体" w:hAnsi="Calibri" w:cs="宋体"/>
          <w:szCs w:val="21"/>
          <w:highlight w:val="white"/>
          <w:lang w:eastAsia="zh-CN"/>
        </w:rPr>
        <w:t>÷</w:t>
      </w:r>
      <w:r>
        <w:rPr>
          <w:rStyle w:val="da"/>
          <w:rFonts w:ascii="宋体" w:hAnsi="Calibri" w:cs="宋体"/>
          <w:szCs w:val="21"/>
          <w:highlight w:val="white"/>
          <w:lang w:eastAsia="zh-CN"/>
        </w:rPr>
        <w:t>当年天数</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H为每日应计提的基金管理费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E为调整后的前一日的基金资产净值。调整后的前一日基金资产净值＝前一日基金资产净值－前一日本基金持有的目标ETF公允价值，金额为负时以零计</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管理费每日计提，按月支付，经基金管理人与基金托管人核对一致后，基金托管人根据与基金管理人协商一致的方式于次月前3个工作日内从基金财产中一次性支付。若遇法定节假日、休息日或不可抗力等致使无法按时支付的，顺延至最近可支付日支付。</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2、基金托管人的托管费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本基金的托管费按前一日基金资产净值扣除前一日所持有目标ETF公允价值后的余额（若为负数，则取0）的0.</w:t>
      </w:r>
      <w:r>
        <w:rPr>
          <w:rStyle w:val="da"/>
          <w:rFonts w:ascii="宋体" w:hAnsi="Calibri" w:cs="宋体"/>
          <w:szCs w:val="21"/>
          <w:highlight w:val="white"/>
          <w:lang w:eastAsia="zh-CN"/>
        </w:rPr>
        <w:t>05</w:t>
      </w:r>
      <w:r>
        <w:rPr>
          <w:rStyle w:val="da"/>
          <w:rFonts w:ascii="宋体" w:hAnsi="Calibri" w:cs="宋体"/>
          <w:szCs w:val="21"/>
          <w:highlight w:val="white"/>
          <w:lang w:eastAsia="zh-CN"/>
        </w:rPr>
        <w:t>%年费率计提。托管费的计算方法如下：</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H＝E</w:t>
      </w:r>
      <w:r>
        <w:rPr>
          <w:rStyle w:val="da"/>
          <w:rFonts w:ascii="宋体" w:hAnsi="Calibri" w:cs="宋体"/>
          <w:szCs w:val="21"/>
          <w:highlight w:val="white"/>
          <w:lang w:eastAsia="zh-CN"/>
        </w:rPr>
        <w:t>×</w:t>
      </w:r>
      <w:r>
        <w:rPr>
          <w:rStyle w:val="da"/>
          <w:rFonts w:ascii="宋体" w:hAnsi="Calibri" w:cs="宋体"/>
          <w:szCs w:val="21"/>
          <w:highlight w:val="white"/>
          <w:lang w:eastAsia="zh-CN"/>
        </w:rPr>
        <w:t>0.</w:t>
      </w:r>
      <w:r>
        <w:rPr>
          <w:rStyle w:val="da"/>
          <w:rFonts w:ascii="宋体" w:hAnsi="Calibri" w:cs="宋体"/>
          <w:szCs w:val="21"/>
          <w:highlight w:val="white"/>
          <w:lang w:eastAsia="zh-CN"/>
        </w:rPr>
        <w:t>05</w:t>
      </w:r>
      <w:r>
        <w:rPr>
          <w:rStyle w:val="da"/>
          <w:rFonts w:ascii="宋体" w:hAnsi="Calibri" w:cs="宋体"/>
          <w:szCs w:val="21"/>
          <w:highlight w:val="white"/>
          <w:lang w:eastAsia="zh-CN"/>
        </w:rPr>
        <w:t>%</w:t>
      </w:r>
      <w:r>
        <w:rPr>
          <w:rStyle w:val="da"/>
          <w:rFonts w:ascii="宋体" w:hAnsi="Calibri" w:cs="宋体"/>
          <w:szCs w:val="21"/>
          <w:highlight w:val="white"/>
          <w:lang w:eastAsia="zh-CN"/>
        </w:rPr>
        <w:t>÷</w:t>
      </w:r>
      <w:r>
        <w:rPr>
          <w:rStyle w:val="da"/>
          <w:rFonts w:ascii="宋体" w:hAnsi="Calibri" w:cs="宋体"/>
          <w:szCs w:val="21"/>
          <w:highlight w:val="white"/>
          <w:lang w:eastAsia="zh-CN"/>
        </w:rPr>
        <w:t>当年天数</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H为每日应计提的基金托管费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E为调整后的前一日的基金资产净值。调整后的前一日基金资产净值＝前一日基金资产净值－前一日本基金持有的目标ETF公允价值，金额为负时以零计</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托管费每日计提，按月支付，经基金管理人与基金托管人核对一致后，基金托管人根据与基金管理人协商一致的方式于次月前3个工作日内从基金财产中一次性支付。若遇法定节假日、休息日或不可抗力等致使无法按时支付的，顺延至最近可支付日支付。</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3、销售服务费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本基金A类基金份额不收取销售服务费，C类基金份额的销售服务费年费率为0.20%，按前一日C类基金资产净值的0.20%年费率计提。</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销售服务费的计算方法如下：</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H＝E</w:t>
      </w:r>
      <w:r>
        <w:rPr>
          <w:rStyle w:val="da"/>
          <w:rFonts w:ascii="宋体" w:hAnsi="Calibri" w:cs="宋体"/>
          <w:szCs w:val="21"/>
          <w:highlight w:val="white"/>
          <w:lang w:eastAsia="zh-CN"/>
        </w:rPr>
        <w:t>×</w:t>
      </w:r>
      <w:r>
        <w:rPr>
          <w:rStyle w:val="da"/>
          <w:rFonts w:ascii="宋体" w:hAnsi="Calibri" w:cs="宋体"/>
          <w:szCs w:val="21"/>
          <w:highlight w:val="white"/>
          <w:lang w:eastAsia="zh-CN"/>
        </w:rPr>
        <w:t>0.20%</w:t>
      </w:r>
      <w:r>
        <w:rPr>
          <w:rStyle w:val="da"/>
          <w:rFonts w:ascii="宋体" w:hAnsi="Calibri" w:cs="宋体"/>
          <w:szCs w:val="21"/>
          <w:highlight w:val="white"/>
          <w:lang w:eastAsia="zh-CN"/>
        </w:rPr>
        <w:t>÷</w:t>
      </w:r>
      <w:r>
        <w:rPr>
          <w:rStyle w:val="da"/>
          <w:rFonts w:ascii="宋体" w:hAnsi="Calibri" w:cs="宋体"/>
          <w:szCs w:val="21"/>
          <w:highlight w:val="white"/>
          <w:lang w:eastAsia="zh-CN"/>
        </w:rPr>
        <w:t>当年天数</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H为C类基金份额每日应计提的销售服务费</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E为C类基金份额前一日基金资产净值</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基金销售服务费每日计提。</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（1）通过基金管理人或其基金销售子公司投资的C类基金份额</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对于基金份额计提的销售服务费，在投资者赎回基金份额或基金合同终止时，随赎回款（或清算款）一并返还给投资者</w:t>
      </w:r>
      <w:r>
        <w:rPr>
          <w:rStyle w:val="da"/>
          <w:rFonts w:ascii="宋体" w:hAnsi="Calibri" w:cs="宋体" w:hint="eastAsia"/>
          <w:szCs w:val="21"/>
          <w:highlight w:val="white"/>
          <w:lang w:eastAsia="zh-CN"/>
        </w:rPr>
        <w:t>；对于转换转出业务，销售服务费将作为转换转出份额对应的款项一并划转至转换转入的基金</w:t>
      </w:r>
      <w:r>
        <w:rPr>
          <w:rStyle w:val="da"/>
          <w:rFonts w:ascii="宋体" w:hAnsi="Calibri" w:cs="宋体"/>
          <w:szCs w:val="21"/>
          <w:highlight w:val="white"/>
          <w:lang w:eastAsia="zh-CN"/>
        </w:rPr>
        <w:t>。</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（2）通过其他销售机构投资的C类基金份额</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对于投资者持续持有期限不</w:t>
      </w:r>
      <w:r>
        <w:rPr>
          <w:rStyle w:val="da"/>
          <w:rFonts w:ascii="宋体" w:hAnsi="Calibri" w:cs="宋体"/>
          <w:szCs w:val="21"/>
          <w:highlight w:val="white"/>
          <w:lang w:eastAsia="zh-CN"/>
        </w:rPr>
        <w:t>超过</w:t>
      </w:r>
      <w:r>
        <w:rPr>
          <w:rStyle w:val="da"/>
          <w:rFonts w:ascii="宋体" w:hAnsi="Calibri" w:cs="宋体"/>
          <w:szCs w:val="21"/>
          <w:highlight w:val="white"/>
          <w:lang w:eastAsia="zh-CN"/>
        </w:rPr>
        <w:t>一年（即365天，下同）的基金份额计提的销售服务费，基金托管人根据与基金管理人协商一致的方式于次月前3个工作日内从基金财产中一次性支付。若遇法定节假日、休息日或不可抗力等致使无法按时支付的，顺延至最近可支付日支付。</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对于持续持有期限超过一年的基金份额继续计提的销售服务费，在投资者赎回基金份额或基金合同终止时，随赎回款（或清算款）一并返还给投资者</w:t>
      </w:r>
      <w:r>
        <w:rPr>
          <w:rStyle w:val="da"/>
          <w:rFonts w:ascii="宋体" w:hAnsi="Calibri" w:cs="宋体" w:hint="eastAsia"/>
          <w:szCs w:val="21"/>
          <w:highlight w:val="white"/>
          <w:lang w:eastAsia="zh-CN"/>
        </w:rPr>
        <w:t>；对于转换转出业务，销售服务费将作为转换转出份额对应的款项一并划转至转换转入的基金</w:t>
      </w:r>
      <w:r>
        <w:rPr>
          <w:rStyle w:val="da"/>
          <w:rFonts w:ascii="宋体" w:hAnsi="Calibri" w:cs="宋体"/>
          <w:szCs w:val="21"/>
          <w:highlight w:val="white"/>
          <w:lang w:eastAsia="zh-CN"/>
        </w:rPr>
        <w:t>。</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销售服务费计提后按规定收取或返还投资者的金额以登记机构的计算结果为准。</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上述</w:t>
      </w:r>
      <w:r>
        <w:rPr>
          <w:rStyle w:val="da"/>
          <w:rFonts w:ascii="宋体" w:hAnsi="Calibri" w:cs="宋体"/>
          <w:szCs w:val="21"/>
          <w:highlight w:val="white"/>
          <w:lang w:eastAsia="zh-CN"/>
        </w:rPr>
        <w:t>“</w:t>
      </w:r>
      <w:r>
        <w:rPr>
          <w:rStyle w:val="da"/>
          <w:rFonts w:ascii="宋体" w:hAnsi="Calibri" w:cs="宋体"/>
          <w:szCs w:val="21"/>
          <w:highlight w:val="white"/>
          <w:lang w:eastAsia="zh-CN"/>
        </w:rPr>
        <w:t>一、基金费用的种类</w:t>
      </w:r>
      <w:r>
        <w:rPr>
          <w:rStyle w:val="da"/>
          <w:rFonts w:ascii="宋体" w:hAnsi="Calibri" w:cs="宋体"/>
          <w:szCs w:val="21"/>
          <w:highlight w:val="white"/>
          <w:lang w:eastAsia="zh-CN"/>
        </w:rPr>
        <w:t>”</w:t>
      </w:r>
      <w:r>
        <w:rPr>
          <w:rStyle w:val="da"/>
          <w:rFonts w:ascii="宋体" w:hAnsi="Calibri" w:cs="宋体"/>
          <w:szCs w:val="21"/>
          <w:highlight w:val="white"/>
          <w:lang w:eastAsia="zh-CN"/>
        </w:rPr>
        <w:t>中第4－10项费用，根据有关法规及相应协议规定，按费用实际支出金额列入当期费用，由基金托管人从基金财产中支付。</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三、不列入基金费用的项目</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下列费用不列入基金费用：</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1、基金管理人和基金托管人因未履行或未完全履行义务导致的费用支出或基金财产的损失；</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2、基金管理人和基金托管人处理与基金运作无关的事项发生的费用；</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3、《基金合同》生效前的相关费用；</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4、标的指数许可使用费。标的指数许可使用费由基金管理人承担，不得从基金财产中列支；</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5、其他根据相关法律法规及中国证监会的有关规定不得列入基金费用的项目。</w:t>
      </w:r>
    </w:p>
    <w:p w:rsidR="0097367D">
      <w:pPr>
        <w:spacing w:line="360" w:lineRule="auto"/>
        <w:ind w:firstLine="420"/>
        <w:rPr>
          <w:rStyle w:val="da"/>
          <w:rFonts w:ascii="宋体" w:hAnsi="Calibri" w:cs="宋体"/>
          <w:szCs w:val="21"/>
          <w:lang w:eastAsia="zh-CN"/>
        </w:rPr>
      </w:pPr>
      <w:bookmarkStart w:id="1836" w:name="_Hlt88827255"/>
      <w:bookmarkStart w:id="1837" w:name="_Toc332373564"/>
      <w:bookmarkEnd w:id="1836"/>
      <w:r>
        <w:rPr>
          <w:rStyle w:val="da"/>
          <w:rFonts w:ascii="宋体" w:hAnsi="Calibri" w:cs="宋体" w:hint="eastAsia"/>
          <w:szCs w:val="21"/>
          <w:highlight w:val="white"/>
          <w:lang w:eastAsia="zh-CN"/>
        </w:rPr>
        <w:t>四、实施</w:t>
      </w:r>
      <w:r>
        <w:rPr>
          <w:rStyle w:val="da"/>
          <w:rFonts w:ascii="宋体" w:hAnsi="Calibri" w:cs="宋体" w:hint="eastAsia"/>
          <w:szCs w:val="21"/>
          <w:highlight w:val="white"/>
          <w:lang w:eastAsia="zh-CN"/>
        </w:rPr>
        <w:t>侧袋机制</w:t>
      </w:r>
      <w:r>
        <w:rPr>
          <w:rStyle w:val="da"/>
          <w:rFonts w:ascii="宋体" w:hAnsi="Calibri" w:cs="宋体" w:hint="eastAsia"/>
          <w:szCs w:val="21"/>
          <w:highlight w:val="white"/>
          <w:lang w:eastAsia="zh-CN"/>
        </w:rPr>
        <w:t>期间的基金费用</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本基金实施</w:t>
      </w:r>
      <w:r>
        <w:rPr>
          <w:rStyle w:val="da"/>
          <w:rFonts w:ascii="宋体" w:hAnsi="Calibri" w:cs="宋体" w:hint="eastAsia"/>
          <w:szCs w:val="21"/>
          <w:highlight w:val="white"/>
          <w:lang w:eastAsia="zh-CN"/>
        </w:rPr>
        <w:t>侧袋机制</w:t>
      </w:r>
      <w:r>
        <w:rPr>
          <w:rStyle w:val="da"/>
          <w:rFonts w:ascii="宋体" w:hAnsi="Calibri" w:cs="宋体" w:hint="eastAsia"/>
          <w:szCs w:val="21"/>
          <w:highlight w:val="white"/>
          <w:lang w:eastAsia="zh-CN"/>
        </w:rPr>
        <w:t>的，</w:t>
      </w:r>
      <w:r>
        <w:rPr>
          <w:rStyle w:val="da"/>
          <w:rFonts w:ascii="宋体" w:hAnsi="Calibri" w:cs="宋体" w:hint="eastAsia"/>
          <w:szCs w:val="21"/>
          <w:highlight w:val="white"/>
          <w:lang w:eastAsia="zh-CN"/>
        </w:rPr>
        <w:t>与侧袋账户</w:t>
      </w:r>
      <w:r>
        <w:rPr>
          <w:rStyle w:val="da"/>
          <w:rFonts w:ascii="宋体" w:hAnsi="Calibri" w:cs="宋体" w:hint="eastAsia"/>
          <w:szCs w:val="21"/>
          <w:highlight w:val="white"/>
          <w:lang w:eastAsia="zh-CN"/>
        </w:rPr>
        <w:t>有关的费用可以</w:t>
      </w:r>
      <w:r>
        <w:rPr>
          <w:rStyle w:val="da"/>
          <w:rFonts w:ascii="宋体" w:hAnsi="Calibri" w:cs="宋体" w:hint="eastAsia"/>
          <w:szCs w:val="21"/>
          <w:highlight w:val="white"/>
          <w:lang w:eastAsia="zh-CN"/>
        </w:rPr>
        <w:t>从侧袋账户</w:t>
      </w:r>
      <w:r>
        <w:rPr>
          <w:rStyle w:val="da"/>
          <w:rFonts w:ascii="宋体" w:hAnsi="Calibri" w:cs="宋体" w:hint="eastAsia"/>
          <w:szCs w:val="21"/>
          <w:highlight w:val="white"/>
          <w:lang w:eastAsia="zh-CN"/>
        </w:rPr>
        <w:t>中列支，但应</w:t>
      </w:r>
      <w:r>
        <w:rPr>
          <w:rStyle w:val="da"/>
          <w:rFonts w:ascii="宋体" w:hAnsi="Calibri" w:cs="宋体" w:hint="eastAsia"/>
          <w:szCs w:val="21"/>
          <w:highlight w:val="white"/>
          <w:lang w:eastAsia="zh-CN"/>
        </w:rPr>
        <w:t>待侧袋</w:t>
      </w:r>
      <w:r>
        <w:rPr>
          <w:rStyle w:val="da"/>
          <w:rFonts w:ascii="宋体" w:hAnsi="Calibri" w:cs="宋体" w:hint="eastAsia"/>
          <w:szCs w:val="21"/>
          <w:highlight w:val="white"/>
          <w:lang w:eastAsia="zh-CN"/>
        </w:rPr>
        <w:t>账户资产变现后方可列支，有关费用可酌情收取或减免，但不得收取管理费。</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五、与基金销售有关的费用</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1</w:t>
      </w:r>
      <w:r>
        <w:rPr>
          <w:rStyle w:val="da"/>
          <w:rFonts w:ascii="宋体" w:hAnsi="Calibri" w:cs="宋体" w:hint="eastAsia"/>
          <w:szCs w:val="21"/>
          <w:highlight w:val="white"/>
          <w:lang w:eastAsia="zh-CN"/>
        </w:rPr>
        <w:t>、本基金认购费的费率水平、计算公式、收取方式和使用方式请详见本招募说明书“基金的募集安排”中“认购安排”中的相关规定。</w:t>
      </w:r>
    </w:p>
    <w:p w:rsidR="0097367D">
      <w:pPr>
        <w:spacing w:line="360" w:lineRule="auto"/>
        <w:ind w:firstLine="420"/>
        <w:rPr>
          <w:rStyle w:val="da"/>
          <w:rFonts w:ascii="宋体" w:hAnsi="Calibri" w:cs="宋体"/>
          <w:szCs w:val="21"/>
          <w:lang w:eastAsia="zh-CN"/>
        </w:rPr>
      </w:pPr>
      <w:r>
        <w:rPr>
          <w:rStyle w:val="da"/>
          <w:rFonts w:ascii="宋体" w:hAnsi="Calibri" w:cs="宋体"/>
          <w:szCs w:val="21"/>
          <w:highlight w:val="white"/>
          <w:lang w:eastAsia="zh-CN"/>
        </w:rPr>
        <w:t>2</w:t>
      </w:r>
      <w:r>
        <w:rPr>
          <w:rStyle w:val="da"/>
          <w:rFonts w:ascii="宋体" w:hAnsi="Calibri" w:cs="宋体" w:hint="eastAsia"/>
          <w:szCs w:val="21"/>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六、基金税收</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w:t>
      </w:r>
      <w:r>
        <w:rPr>
          <w:rFonts w:ascii="宋体" w:hAnsi="Calibri" w:cs="宋体" w:hint="eastAsia"/>
          <w:bCs/>
          <w:szCs w:val="21"/>
          <w:highlight w:val="white"/>
          <w:lang w:eastAsia="zh-CN"/>
        </w:rPr>
        <w:t>若基金</w:t>
      </w:r>
      <w:r>
        <w:rPr>
          <w:rFonts w:ascii="宋体" w:hAnsi="Calibri" w:cs="宋体" w:hint="eastAsia"/>
          <w:bCs/>
          <w:szCs w:val="21"/>
          <w:highlight w:val="white"/>
          <w:lang w:eastAsia="zh-CN"/>
        </w:rPr>
        <w:t>管理人被税务机关要求补缴上述税费及可能涉及的滞纳金等，基金管理人有权向投资人就相关金额进行追偿。</w:t>
      </w:r>
      <w:bookmarkEnd w:id="1837"/>
    </w:p>
    <w:p w:rsidR="0097367D">
      <w:pPr>
        <w:widowControl/>
        <w:jc w:val="left"/>
        <w:rPr>
          <w:rFonts w:ascii="宋体" w:hAnsi="Calibri" w:cs="宋体"/>
          <w:sz w:val="30"/>
          <w:szCs w:val="32"/>
          <w:lang w:eastAsia="zh-CN"/>
        </w:rPr>
      </w:pPr>
      <w:r>
        <w:rPr>
          <w:rFonts w:ascii="宋体" w:hAnsi="Calibri" w:cs="宋体"/>
          <w:sz w:val="30"/>
          <w:highlight w:val="white"/>
          <w:lang w:eastAsia="zh-CN"/>
        </w:rPr>
        <w:br w:type="page"/>
      </w:r>
    </w:p>
    <w:p w:rsidR="0097367D">
      <w:pPr>
        <w:pStyle w:val="Heading1"/>
        <w:spacing w:before="317" w:after="317" w:line="360" w:lineRule="auto"/>
        <w:ind w:firstLine="600"/>
        <w:rPr>
          <w:rFonts w:ascii="宋体" w:eastAsia="宋体" w:hAnsi="Calibri" w:cs="宋体"/>
          <w:bCs/>
          <w:sz w:val="30"/>
          <w:szCs w:val="30"/>
          <w:lang w:eastAsia="zh-CN"/>
        </w:rPr>
      </w:pPr>
      <w:bookmarkStart w:id="1838" w:name="_Toc129511539"/>
      <w:r>
        <w:rPr>
          <w:rFonts w:ascii="宋体" w:eastAsia="宋体" w:hAnsi="Calibri" w:cs="宋体" w:hint="eastAsia"/>
          <w:sz w:val="30"/>
          <w:szCs w:val="30"/>
          <w:highlight w:val="white"/>
          <w:lang w:eastAsia="zh-CN"/>
        </w:rPr>
        <w:t>第十</w:t>
      </w:r>
      <w:bookmarkStart w:id="1839" w:name="_Toc332373566"/>
      <w:r>
        <w:rPr>
          <w:rFonts w:ascii="宋体" w:eastAsia="宋体" w:hAnsi="Calibri" w:cs="宋体"/>
          <w:sz w:val="30"/>
          <w:szCs w:val="30"/>
          <w:highlight w:val="white"/>
          <w:lang w:eastAsia="zh-CN"/>
        </w:rPr>
        <w:t>七</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基金的会计与审计</w:t>
      </w:r>
      <w:bookmarkEnd w:id="1838"/>
      <w:bookmarkEnd w:id="1839"/>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一、基金会计政策</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1、基金管理人为本基金的基金会计责任方；</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2、基金的会计年度为公历年度的1月1日至12月31日；基金首次募集的会计年度按如下原则：如果《基金合同》生效少于2个月，可以并入下一个会计年度；</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3、基金核算以人民币为记账本位币，以人民币元为记账单位；</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4、会计制度执行国家有关会计制度；</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5、本基金独立建账、独立核算；</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6、基金管理人及基金托管人各自保留完整的会计账目、凭证并进行日常的会计核算，按照有关规定编制基金会计报表；</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7、基金托管人每月与基金管理人就基金的会计核算、报表编制等进行核对确认。</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二、基金的年度审计</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1、基金管理人聘请与基金管理人、基金托管人相互独立的符合《证券法》规定的会计师事务所及其注册会计师对本基金的年度财务报表进行审计。</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2、会计师事务所更换经办注册会计师，应事先征得基金管理人同意。</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3、基金管理人认为有充足理由更换会计师事务所，须通报基金托管人。更换会计师事务所需在2日内在规定媒介公告。</w:t>
      </w:r>
    </w:p>
    <w:p w:rsidR="0097367D">
      <w:pPr>
        <w:pStyle w:val="Heading1"/>
        <w:spacing w:before="317" w:after="317" w:line="360" w:lineRule="auto"/>
        <w:ind w:firstLine="420"/>
        <w:rPr>
          <w:rFonts w:ascii="宋体" w:eastAsia="宋体" w:hAnsi="Calibri" w:cs="宋体"/>
          <w:sz w:val="30"/>
          <w:szCs w:val="30"/>
        </w:rPr>
      </w:pPr>
      <w:bookmarkStart w:id="1840" w:name="_Hlt4221115"/>
      <w:bookmarkEnd w:id="1840"/>
      <w:r>
        <w:rPr>
          <w:rFonts w:ascii="宋体" w:eastAsia="宋体" w:hAnsi="Calibri" w:cs="宋体"/>
          <w:sz w:val="21"/>
          <w:szCs w:val="21"/>
          <w:highlight w:val="white"/>
          <w:lang w:eastAsia="zh-CN"/>
        </w:rPr>
        <w:br w:type="column"/>
      </w:r>
      <w:bookmarkStart w:id="1841" w:name="_Toc129511540"/>
      <w:r>
        <w:rPr>
          <w:rFonts w:ascii="宋体" w:eastAsia="宋体" w:hAnsi="Calibri" w:cs="宋体"/>
          <w:sz w:val="30"/>
          <w:szCs w:val="30"/>
          <w:highlight w:val="white"/>
        </w:rPr>
        <w:t>第</w:t>
      </w:r>
      <w:r>
        <w:rPr>
          <w:rFonts w:ascii="宋体" w:eastAsia="宋体" w:hAnsi="Calibri" w:cs="宋体" w:hint="eastAsia"/>
          <w:sz w:val="30"/>
          <w:szCs w:val="30"/>
          <w:highlight w:val="white"/>
        </w:rPr>
        <w:t>十</w:t>
      </w:r>
      <w:bookmarkStart w:id="1842" w:name="_Toc332373569"/>
      <w:r>
        <w:rPr>
          <w:rFonts w:ascii="宋体" w:eastAsia="宋体" w:hAnsi="Calibri" w:cs="宋体"/>
          <w:sz w:val="30"/>
          <w:szCs w:val="30"/>
          <w:highlight w:val="white"/>
        </w:rPr>
        <w:t>八</w:t>
      </w:r>
      <w:r>
        <w:rPr>
          <w:rFonts w:ascii="宋体" w:eastAsia="宋体" w:hAnsi="Calibri" w:cs="宋体" w:hint="eastAsia"/>
          <w:sz w:val="30"/>
          <w:szCs w:val="30"/>
          <w:highlight w:val="white"/>
        </w:rPr>
        <w:t>部分</w:t>
      </w:r>
      <w:r>
        <w:rPr>
          <w:rFonts w:ascii="宋体" w:eastAsia="宋体" w:hAnsi="Calibri" w:cs="宋体"/>
          <w:sz w:val="30"/>
          <w:szCs w:val="30"/>
          <w:highlight w:val="white"/>
        </w:rPr>
        <w:t xml:space="preserve"> </w:t>
      </w:r>
      <w:r>
        <w:rPr>
          <w:rFonts w:ascii="宋体" w:eastAsia="宋体" w:hAnsi="Calibri" w:cs="宋体" w:hint="eastAsia"/>
          <w:sz w:val="30"/>
          <w:szCs w:val="30"/>
          <w:highlight w:val="white"/>
        </w:rPr>
        <w:t>基金的信息披露</w:t>
      </w:r>
      <w:bookmarkEnd w:id="1841"/>
      <w:bookmarkEnd w:id="1842"/>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二、信息披露义务人</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三、本基金信息披露义务人承诺公开披露的基金信息，不得有下列行为：</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1、虚假记载、误导性陈述或者重大遗漏；</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2、对证券投资业绩进行预测；</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3、违规承诺收益或者承担损失；</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4、诋毁其他基金管理人、基金托管人或者基金销售机构；</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5、登载任何自然人、法人和非法人组织的祝贺性、恭维性或推荐性的文字；</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6、中国证监会禁止的其他行为。</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本基金公开披露的信息采用阿拉伯数字；除特别说明外，货币单位为人民币元。</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五、公开披露的基金信息</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公开披露的基金信息包括：</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（一）基金招募说明书、《基金合同》、基金托管协议、基金产品资料概要</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3、基金托管协议是界定基金托管人和基金管理人在基金财产保管及基金运作监督等活动中的权利、义务关系的法律文件。</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（二）基金份额发售公告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基金管理人应当就基金份额发售的具体事宜编制基金份额发售公告，并在披露招募说明书的当日登载于规定媒介上。</w:t>
      </w:r>
    </w:p>
    <w:p w:rsidR="0097367D">
      <w:pPr>
        <w:spacing w:line="360" w:lineRule="auto"/>
        <w:ind w:firstLine="420"/>
        <w:rPr>
          <w:rFonts w:ascii="宋体" w:hAnsi="Calibri" w:cs="宋体"/>
          <w:bCs/>
          <w:szCs w:val="21"/>
        </w:rPr>
      </w:pPr>
      <w:r>
        <w:rPr>
          <w:rFonts w:ascii="宋体" w:hAnsi="Calibri" w:cs="宋体" w:hint="eastAsia"/>
          <w:bCs/>
          <w:szCs w:val="21"/>
          <w:highlight w:val="white"/>
        </w:rPr>
        <w:t>（三）《基金合同》生效公告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基金管理人应当在收到中国证监会确认文件的次日在规定媒介上登载《基金合同》生效公告。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（四）基金净值信息</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《基金合同》生效后，在开始办理基金份额申购或者赎回前，基金管理人应当至少每周在规定网站披露一次基金份额净值和基金份额累计净值。</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基金管理人应当在不晚于半年度和年度最后一日的次日，在规定网站披露半年度和年度最后一日的基金份额净值和基金份额累计净值。</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（五）基金份额申购、赎回价格</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基金管理人应当在《基金合同》、招募说明书等信息披露文件上载</w:t>
      </w:r>
      <w:r>
        <w:rPr>
          <w:rFonts w:ascii="宋体" w:hAnsi="Calibri" w:cs="宋体" w:hint="eastAsia"/>
          <w:bCs/>
          <w:szCs w:val="21"/>
          <w:highlight w:val="white"/>
          <w:lang w:eastAsia="zh-CN"/>
        </w:rPr>
        <w:t>明基金</w:t>
      </w:r>
      <w:r>
        <w:rPr>
          <w:rFonts w:ascii="宋体" w:hAnsi="Calibri" w:cs="宋体" w:hint="eastAsia"/>
          <w:bCs/>
          <w:szCs w:val="21"/>
          <w:highlight w:val="white"/>
          <w:lang w:eastAsia="zh-CN"/>
        </w:rPr>
        <w:t>份额申购、赎回价格的计算方式及有关申购、赎回费率，并保证投资者能够在基金销售机构网站或营业网点查阅或者复制前述信息资料。</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（六）基金定期报告，包括基金年度报告、基金中期报告和基金季度报告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《基金合同》生效不足2个月的，基金管理人可以不编制当期季度报告、中期报告或者年度报告。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基金管理人应当在基金年度报告和中期报告中披露基金组合资产情况及其流动性风险分析等。</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（七）临时报告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本基金发生重大事件，有关信息披露义务人应当在2日内编制临时报告书，并登载在规定报刊和规定网站上。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前款所称重大事件，是指可能对基金份额持有人权益或者基金份额的价格产生重大影响的下列事件：</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1、基金份额持有人大会的召开及决定的事项；</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2、基金合同终止、基金清算；</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3、转换基金运作方式、基金合并；</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4、更换基金管理人、基金托管人、基金份额登记机构，基金改聘会计师事务所；</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6、基金管理人、基金托管人的法定名称、住所发生变更；</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7、基金管理公司变更持有百分之五以上股权的股东、基金管理人的实际控制人变更；</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8、基金募集期延长或提前结束募集；</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9、基金管理人的高级管理人员、基金经理和基金托管人专门基金托管部门负责人发生变动；</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11、涉及基金财产、基金管理业务、基金托管业务的诉讼或仲裁；</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14、基金收益分配事项；</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15、管理费、托管费、销售服务费、申购费、赎回费等费用计提标准、计提方式和费率发生变更；</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16、基金份额净值计价错误</w:t>
      </w:r>
      <w:r>
        <w:rPr>
          <w:rFonts w:ascii="宋体" w:hAnsi="Calibri" w:cs="宋体" w:hint="eastAsia"/>
          <w:bCs/>
          <w:szCs w:val="21"/>
          <w:highlight w:val="white"/>
          <w:lang w:eastAsia="zh-CN"/>
        </w:rPr>
        <w:t>达基金</w:t>
      </w:r>
      <w:r>
        <w:rPr>
          <w:rFonts w:ascii="宋体" w:hAnsi="Calibri" w:cs="宋体" w:hint="eastAsia"/>
          <w:bCs/>
          <w:szCs w:val="21"/>
          <w:highlight w:val="white"/>
          <w:lang w:eastAsia="zh-CN"/>
        </w:rPr>
        <w:t>份额净值百分之零点五；</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17、本基金开始办理申购、赎回；</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18、本基金发生巨额赎回并延期办理；</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19、本基金连续发生巨额赎回并暂停接受赎回申请或延缓支付赎回款项；</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20、本基金暂停接受申购、赎回申请或重新接受申购、赎回申请；</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21、调整基金份额类别的设置；</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22、基金推出新业务或服务；</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23、发生涉及基金申购、赎回事项调整或潜在影响投资者赎回等重大事项时；</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24、基金管理人采用摆动定价机制进行估值；</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25、目标ETF变更；</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26、基金信息披露义务人认为可能对基金份额持有人权益或者基金份额的价格产生重大影响的其他事项或中国证监会规定的其他事项。</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（八）澄清公告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（九）清算报告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基金合同终止的，基金管理人应当依法组织基金财产清算小组对基金财产进行清算并</w:t>
      </w:r>
      <w:r>
        <w:rPr>
          <w:rFonts w:ascii="宋体" w:hAnsi="Calibri" w:cs="宋体" w:hint="eastAsia"/>
          <w:bCs/>
          <w:szCs w:val="21"/>
          <w:highlight w:val="white"/>
          <w:lang w:eastAsia="zh-CN"/>
        </w:rPr>
        <w:t>作出</w:t>
      </w:r>
      <w:r>
        <w:rPr>
          <w:rFonts w:ascii="宋体" w:hAnsi="Calibri" w:cs="宋体" w:hint="eastAsia"/>
          <w:bCs/>
          <w:szCs w:val="21"/>
          <w:highlight w:val="white"/>
          <w:lang w:eastAsia="zh-CN"/>
        </w:rPr>
        <w:t>清算报告。基金财产清算小组应当将清算报告登载在规定网站上，并将清算报告提示性公告登载在规定报刊上。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（十）基金份额持有人大会决议</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基金份额持有人大会决定的事项，应当依法报中国证监会备案，并予以公告。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（十一）实施</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期间的信息披露</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本基金实施</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的，相关信息披露义务人应当根据法律法规、基金合同和招募说明书的规定进行信息披露，详见本招募说明书“侧袋机制”部分的规定。</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（十二）中国证监会规定的其他信息</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若本基金投资股指期货、国债期货、资产支持证券、股票期权，参与融资及转融通证券出借业务，基金管理人将按相关法律法规要求进行披露。</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当相关</w:t>
      </w:r>
      <w:r>
        <w:rPr>
          <w:rFonts w:ascii="宋体" w:hAnsi="Calibri" w:cs="宋体" w:hint="eastAsia"/>
          <w:bCs/>
          <w:szCs w:val="21"/>
          <w:highlight w:val="white"/>
          <w:lang w:eastAsia="zh-CN"/>
        </w:rPr>
        <w:t>法律法规关于上述信息披露的规定发生变化时，基金管理人将按最新规定进行信息披露。</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六、信息披露事务管理</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基金管理人、基金托管人应当建立健全信息披露管理制度，指定专门部门及高级管理人员负责管理信息披露事务。</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基金信息披露义务人公开披露基金信息，应当符合中国证监会相关基金信息披露内容与格式准则等法规的规定。</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基金管理人、基金托管人除按法律法规要求披露信息外，也可着眼于为投资者决策提供有用信息的角度，在保证公平对待投资者、</w:t>
      </w:r>
      <w:r>
        <w:rPr>
          <w:rFonts w:ascii="宋体" w:hAnsi="Calibri" w:cs="宋体" w:hint="eastAsia"/>
          <w:bCs/>
          <w:szCs w:val="21"/>
          <w:highlight w:val="white"/>
          <w:lang w:eastAsia="zh-CN"/>
        </w:rPr>
        <w:t>不</w:t>
      </w:r>
      <w:r>
        <w:rPr>
          <w:rFonts w:ascii="宋体" w:hAnsi="Calibri" w:cs="宋体" w:hint="eastAsia"/>
          <w:bCs/>
          <w:szCs w:val="21"/>
          <w:highlight w:val="white"/>
          <w:lang w:eastAsia="zh-CN"/>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七、信息披露文件的存放与查阅</w:t>
      </w:r>
    </w:p>
    <w:p w:rsidR="0097367D">
      <w:pPr>
        <w:spacing w:line="360" w:lineRule="auto"/>
        <w:ind w:firstLine="420"/>
        <w:rPr>
          <w:rFonts w:ascii="宋体" w:hAnsi="Calibri" w:cs="宋体"/>
          <w:szCs w:val="21"/>
          <w:lang w:eastAsia="zh-CN"/>
        </w:rPr>
      </w:pPr>
      <w:r>
        <w:rPr>
          <w:rFonts w:ascii="宋体" w:hAnsi="Calibri" w:cs="宋体" w:hint="eastAsia"/>
          <w:bCs/>
          <w:szCs w:val="21"/>
          <w:highlight w:val="white"/>
          <w:lang w:eastAsia="zh-CN"/>
        </w:rPr>
        <w:t>依法必须披露的信息发布后，基金管理人、基金托管人应当按照相关法律法规规定将信息置备于公司办公场所，供社会公众查阅、复制。</w:t>
      </w:r>
    </w:p>
    <w:p w:rsidR="0097367D">
      <w:pPr>
        <w:widowControl/>
        <w:jc w:val="left"/>
        <w:rPr>
          <w:rFonts w:ascii="宋体" w:hAnsi="Calibri" w:cs="宋体"/>
          <w:sz w:val="30"/>
          <w:szCs w:val="32"/>
          <w:lang w:eastAsia="zh-CN"/>
        </w:rPr>
      </w:pPr>
      <w:bookmarkStart w:id="1843" w:name="_Toc46737675"/>
      <w:bookmarkStart w:id="1844" w:name="_Toc46676683"/>
      <w:r>
        <w:rPr>
          <w:rFonts w:ascii="宋体" w:hAnsi="Calibri" w:cs="宋体"/>
          <w:sz w:val="30"/>
          <w:highlight w:val="white"/>
          <w:lang w:eastAsia="zh-CN"/>
        </w:rPr>
        <w:br w:type="page"/>
      </w:r>
    </w:p>
    <w:p w:rsidR="0097367D">
      <w:pPr>
        <w:pStyle w:val="Heading1"/>
        <w:spacing w:before="317" w:after="317" w:line="360" w:lineRule="auto"/>
        <w:ind w:firstLine="600"/>
        <w:rPr>
          <w:rFonts w:ascii="宋体" w:eastAsia="宋体" w:hAnsi="Calibri" w:cs="宋体"/>
          <w:sz w:val="30"/>
          <w:szCs w:val="30"/>
          <w:lang w:eastAsia="zh-CN"/>
        </w:rPr>
      </w:pPr>
      <w:bookmarkStart w:id="1845" w:name="_Toc129511541"/>
      <w:r>
        <w:rPr>
          <w:rFonts w:ascii="宋体" w:eastAsia="宋体" w:hAnsi="Calibri" w:cs="宋体" w:hint="eastAsia"/>
          <w:sz w:val="30"/>
          <w:szCs w:val="30"/>
          <w:highlight w:val="white"/>
          <w:lang w:eastAsia="zh-CN"/>
        </w:rPr>
        <w:t>第十</w:t>
      </w:r>
      <w:r>
        <w:rPr>
          <w:rFonts w:ascii="宋体" w:eastAsia="宋体" w:hAnsi="Calibri" w:cs="宋体"/>
          <w:sz w:val="30"/>
          <w:szCs w:val="30"/>
          <w:highlight w:val="white"/>
          <w:lang w:eastAsia="zh-CN"/>
        </w:rPr>
        <w:t>九</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侧袋机制</w:t>
      </w:r>
      <w:bookmarkEnd w:id="1843"/>
      <w:bookmarkEnd w:id="1844"/>
      <w:bookmarkEnd w:id="1845"/>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一、</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的实施条件和程序</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w:t>
      </w:r>
      <w:r>
        <w:rPr>
          <w:rFonts w:ascii="宋体" w:hAnsi="Calibri" w:cs="宋体" w:hint="eastAsia"/>
          <w:bCs/>
          <w:szCs w:val="21"/>
          <w:highlight w:val="white"/>
          <w:lang w:eastAsia="zh-CN"/>
        </w:rPr>
        <w:t>启用侧袋机制</w:t>
      </w:r>
      <w:r>
        <w:rPr>
          <w:rFonts w:ascii="宋体" w:hAnsi="Calibri" w:cs="宋体" w:hint="eastAsia"/>
          <w:bCs/>
          <w:szCs w:val="21"/>
          <w:highlight w:val="white"/>
          <w:lang w:eastAsia="zh-CN"/>
        </w:rPr>
        <w:t>。</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基金管理人应当在启用</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后及时发布临时公告，并及时聘请符合《证券法》规定的会计师事务所进行审计并披露专项审计意见。</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二、实施</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期间基金份额的申购与赎回</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Pr>
          <w:rFonts w:ascii="宋体" w:hAnsi="Calibri" w:cs="宋体" w:hint="eastAsia"/>
          <w:bCs/>
          <w:szCs w:val="21"/>
          <w:highlight w:val="white"/>
          <w:lang w:eastAsia="zh-CN"/>
        </w:rPr>
        <w:t>、启用</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当日，本基金登记机构以基金份额持有人的原有账户份额为基础，确认基金份额持有人的</w:t>
      </w:r>
      <w:r>
        <w:rPr>
          <w:rFonts w:ascii="宋体" w:hAnsi="Calibri" w:cs="宋体" w:hint="eastAsia"/>
          <w:bCs/>
          <w:szCs w:val="21"/>
          <w:highlight w:val="white"/>
          <w:lang w:eastAsia="zh-CN"/>
        </w:rPr>
        <w:t>相应侧袋账户</w:t>
      </w:r>
      <w:r>
        <w:rPr>
          <w:rFonts w:ascii="宋体" w:hAnsi="Calibri" w:cs="宋体" w:hint="eastAsia"/>
          <w:bCs/>
          <w:szCs w:val="21"/>
          <w:highlight w:val="white"/>
          <w:lang w:eastAsia="zh-CN"/>
        </w:rPr>
        <w:t>份额；当日收到的申购申请，按照启用</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后</w:t>
      </w:r>
      <w:r>
        <w:rPr>
          <w:rFonts w:ascii="宋体" w:hAnsi="Calibri" w:cs="宋体" w:hint="eastAsia"/>
          <w:bCs/>
          <w:szCs w:val="21"/>
          <w:highlight w:val="white"/>
          <w:lang w:eastAsia="zh-CN"/>
        </w:rPr>
        <w:t>的主袋账户</w:t>
      </w:r>
      <w:r>
        <w:rPr>
          <w:rFonts w:ascii="宋体" w:hAnsi="Calibri" w:cs="宋体" w:hint="eastAsia"/>
          <w:bCs/>
          <w:szCs w:val="21"/>
          <w:highlight w:val="white"/>
          <w:lang w:eastAsia="zh-CN"/>
        </w:rPr>
        <w:t>份额办理；当日收到的赎回申请，仅</w:t>
      </w:r>
      <w:r>
        <w:rPr>
          <w:rFonts w:ascii="宋体" w:hAnsi="Calibri" w:cs="宋体" w:hint="eastAsia"/>
          <w:bCs/>
          <w:szCs w:val="21"/>
          <w:highlight w:val="white"/>
          <w:lang w:eastAsia="zh-CN"/>
        </w:rPr>
        <w:t>办理主袋账户</w:t>
      </w:r>
      <w:r>
        <w:rPr>
          <w:rFonts w:ascii="宋体" w:hAnsi="Calibri" w:cs="宋体" w:hint="eastAsia"/>
          <w:bCs/>
          <w:szCs w:val="21"/>
          <w:highlight w:val="white"/>
          <w:lang w:eastAsia="zh-CN"/>
        </w:rPr>
        <w:t>份额的赎回申请并支付赎回款项。</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Pr>
          <w:rFonts w:ascii="宋体" w:hAnsi="Calibri" w:cs="宋体" w:hint="eastAsia"/>
          <w:bCs/>
          <w:szCs w:val="21"/>
          <w:highlight w:val="white"/>
          <w:lang w:eastAsia="zh-CN"/>
        </w:rPr>
        <w:t>、实施</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期间，基金管理人不</w:t>
      </w:r>
      <w:r>
        <w:rPr>
          <w:rFonts w:ascii="宋体" w:hAnsi="Calibri" w:cs="宋体" w:hint="eastAsia"/>
          <w:bCs/>
          <w:szCs w:val="21"/>
          <w:highlight w:val="white"/>
          <w:lang w:eastAsia="zh-CN"/>
        </w:rPr>
        <w:t>办理侧袋账户</w:t>
      </w:r>
      <w:r>
        <w:rPr>
          <w:rFonts w:ascii="宋体" w:hAnsi="Calibri" w:cs="宋体" w:hint="eastAsia"/>
          <w:bCs/>
          <w:szCs w:val="21"/>
          <w:highlight w:val="white"/>
          <w:lang w:eastAsia="zh-CN"/>
        </w:rPr>
        <w:t>份额的申购、赎回和转换；同时，基金管理人按照基金合同和招募说明书约定的政策</w:t>
      </w:r>
      <w:r>
        <w:rPr>
          <w:rFonts w:ascii="宋体" w:hAnsi="Calibri" w:cs="宋体" w:hint="eastAsia"/>
          <w:bCs/>
          <w:szCs w:val="21"/>
          <w:highlight w:val="white"/>
          <w:lang w:eastAsia="zh-CN"/>
        </w:rPr>
        <w:t>办理主袋账户</w:t>
      </w:r>
      <w:r>
        <w:rPr>
          <w:rFonts w:ascii="宋体" w:hAnsi="Calibri" w:cs="宋体" w:hint="eastAsia"/>
          <w:bCs/>
          <w:szCs w:val="21"/>
          <w:highlight w:val="white"/>
          <w:lang w:eastAsia="zh-CN"/>
        </w:rPr>
        <w:t>份额的赎回，并</w:t>
      </w:r>
      <w:r>
        <w:rPr>
          <w:rFonts w:ascii="宋体" w:hAnsi="Calibri" w:cs="宋体" w:hint="eastAsia"/>
          <w:bCs/>
          <w:szCs w:val="21"/>
          <w:highlight w:val="white"/>
          <w:lang w:eastAsia="zh-CN"/>
        </w:rPr>
        <w:t>根据主袋账户</w:t>
      </w:r>
      <w:r>
        <w:rPr>
          <w:rFonts w:ascii="宋体" w:hAnsi="Calibri" w:cs="宋体" w:hint="eastAsia"/>
          <w:bCs/>
          <w:szCs w:val="21"/>
          <w:highlight w:val="white"/>
          <w:lang w:eastAsia="zh-CN"/>
        </w:rPr>
        <w:t>运作情况确定是否暂停申购。本招募说明书“基金份额的申购、赎回”部分的申购、赎回规定</w:t>
      </w:r>
      <w:r>
        <w:rPr>
          <w:rFonts w:ascii="宋体" w:hAnsi="Calibri" w:cs="宋体" w:hint="eastAsia"/>
          <w:bCs/>
          <w:szCs w:val="21"/>
          <w:highlight w:val="white"/>
          <w:lang w:eastAsia="zh-CN"/>
        </w:rPr>
        <w:t>适用于主袋账户</w:t>
      </w:r>
      <w:r>
        <w:rPr>
          <w:rFonts w:ascii="宋体" w:hAnsi="Calibri" w:cs="宋体" w:hint="eastAsia"/>
          <w:bCs/>
          <w:szCs w:val="21"/>
          <w:highlight w:val="white"/>
          <w:lang w:eastAsia="zh-CN"/>
        </w:rPr>
        <w:t>份额。</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Pr>
          <w:rFonts w:ascii="宋体" w:hAnsi="Calibri" w:cs="宋体" w:hint="eastAsia"/>
          <w:bCs/>
          <w:szCs w:val="21"/>
          <w:highlight w:val="white"/>
          <w:lang w:eastAsia="zh-CN"/>
        </w:rPr>
        <w:t>、基金管理人应</w:t>
      </w:r>
      <w:r>
        <w:rPr>
          <w:rFonts w:ascii="宋体" w:hAnsi="Calibri" w:cs="宋体" w:hint="eastAsia"/>
          <w:bCs/>
          <w:szCs w:val="21"/>
          <w:highlight w:val="white"/>
          <w:lang w:eastAsia="zh-CN"/>
        </w:rPr>
        <w:t>按照主袋账户</w:t>
      </w:r>
      <w:r>
        <w:rPr>
          <w:rFonts w:ascii="宋体" w:hAnsi="Calibri" w:cs="宋体" w:hint="eastAsia"/>
          <w:bCs/>
          <w:szCs w:val="21"/>
          <w:highlight w:val="white"/>
          <w:lang w:eastAsia="zh-CN"/>
        </w:rPr>
        <w:t>的份额净值</w:t>
      </w:r>
      <w:r>
        <w:rPr>
          <w:rFonts w:ascii="宋体" w:hAnsi="Calibri" w:cs="宋体" w:hint="eastAsia"/>
          <w:bCs/>
          <w:szCs w:val="21"/>
          <w:highlight w:val="white"/>
          <w:lang w:eastAsia="zh-CN"/>
        </w:rPr>
        <w:t>办理主袋账户</w:t>
      </w:r>
      <w:r>
        <w:rPr>
          <w:rFonts w:ascii="宋体" w:hAnsi="Calibri" w:cs="宋体" w:hint="eastAsia"/>
          <w:bCs/>
          <w:szCs w:val="21"/>
          <w:highlight w:val="white"/>
          <w:lang w:eastAsia="zh-CN"/>
        </w:rPr>
        <w:t>份额的申购和赎回。巨额赎回按照单个开放</w:t>
      </w:r>
      <w:r>
        <w:rPr>
          <w:rFonts w:ascii="宋体" w:hAnsi="Calibri" w:cs="宋体" w:hint="eastAsia"/>
          <w:bCs/>
          <w:szCs w:val="21"/>
          <w:highlight w:val="white"/>
          <w:lang w:eastAsia="zh-CN"/>
        </w:rPr>
        <w:t>日内主袋账户</w:t>
      </w:r>
      <w:r>
        <w:rPr>
          <w:rFonts w:ascii="宋体" w:hAnsi="Calibri" w:cs="宋体" w:hint="eastAsia"/>
          <w:bCs/>
          <w:szCs w:val="21"/>
          <w:highlight w:val="white"/>
          <w:lang w:eastAsia="zh-CN"/>
        </w:rPr>
        <w:t>份额净赎回申请超过前一开放</w:t>
      </w:r>
      <w:r>
        <w:rPr>
          <w:rFonts w:ascii="宋体" w:hAnsi="Calibri" w:cs="宋体" w:hint="eastAsia"/>
          <w:bCs/>
          <w:szCs w:val="21"/>
          <w:highlight w:val="white"/>
          <w:lang w:eastAsia="zh-CN"/>
        </w:rPr>
        <w:t>日主袋账户</w:t>
      </w:r>
      <w:r>
        <w:rPr>
          <w:rFonts w:ascii="宋体" w:hAnsi="Calibri" w:cs="宋体" w:hint="eastAsia"/>
          <w:bCs/>
          <w:szCs w:val="21"/>
          <w:highlight w:val="white"/>
          <w:lang w:eastAsia="zh-CN"/>
        </w:rPr>
        <w:t>总份额的</w:t>
      </w:r>
      <w:r>
        <w:rPr>
          <w:rFonts w:ascii="宋体" w:hAnsi="Calibri" w:cs="宋体"/>
          <w:bCs/>
          <w:szCs w:val="21"/>
          <w:highlight w:val="white"/>
          <w:lang w:eastAsia="zh-CN"/>
        </w:rPr>
        <w:t>10%</w:t>
      </w:r>
      <w:r>
        <w:rPr>
          <w:rFonts w:ascii="宋体" w:hAnsi="Calibri" w:cs="宋体" w:hint="eastAsia"/>
          <w:bCs/>
          <w:szCs w:val="21"/>
          <w:highlight w:val="white"/>
          <w:lang w:eastAsia="zh-CN"/>
        </w:rPr>
        <w:t>认定。</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三、实施</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期间的基金投资</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实施期间，招募说明书“基金的投资”部分约定的投资组合比例、投资策略、组合限制、业绩比较基准、风险收益特征等约定仅</w:t>
      </w:r>
      <w:r>
        <w:rPr>
          <w:rFonts w:ascii="宋体" w:hAnsi="Calibri" w:cs="宋体" w:hint="eastAsia"/>
          <w:bCs/>
          <w:szCs w:val="21"/>
          <w:highlight w:val="white"/>
          <w:lang w:eastAsia="zh-CN"/>
        </w:rPr>
        <w:t>适用于主袋账户</w:t>
      </w:r>
      <w:r>
        <w:rPr>
          <w:rFonts w:ascii="宋体" w:hAnsi="Calibri" w:cs="宋体" w:hint="eastAsia"/>
          <w:bCs/>
          <w:szCs w:val="21"/>
          <w:highlight w:val="white"/>
          <w:lang w:eastAsia="zh-CN"/>
        </w:rPr>
        <w:t>。基金管理人计算各项投资运作指标和基金业绩指标时应当</w:t>
      </w:r>
      <w:r>
        <w:rPr>
          <w:rFonts w:ascii="宋体" w:hAnsi="Calibri" w:cs="宋体" w:hint="eastAsia"/>
          <w:bCs/>
          <w:szCs w:val="21"/>
          <w:highlight w:val="white"/>
          <w:lang w:eastAsia="zh-CN"/>
        </w:rPr>
        <w:t>以主袋账户</w:t>
      </w:r>
      <w:r>
        <w:rPr>
          <w:rFonts w:ascii="宋体" w:hAnsi="Calibri" w:cs="宋体" w:hint="eastAsia"/>
          <w:bCs/>
          <w:szCs w:val="21"/>
          <w:highlight w:val="white"/>
          <w:lang w:eastAsia="zh-CN"/>
        </w:rPr>
        <w:t>资产</w:t>
      </w:r>
      <w:r>
        <w:rPr>
          <w:rFonts w:ascii="宋体" w:hAnsi="Calibri" w:cs="宋体"/>
          <w:bCs/>
          <w:szCs w:val="21"/>
          <w:highlight w:val="white"/>
          <w:lang w:eastAsia="zh-CN"/>
        </w:rPr>
        <w:t>为基准</w:t>
      </w:r>
      <w:r>
        <w:rPr>
          <w:rFonts w:ascii="宋体" w:hAnsi="Calibri" w:cs="宋体" w:hint="eastAsia"/>
          <w:bCs/>
          <w:szCs w:val="21"/>
          <w:highlight w:val="white"/>
          <w:lang w:eastAsia="zh-CN"/>
        </w:rPr>
        <w:t>。</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基金管理人原则上应当在</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启动后</w:t>
      </w:r>
      <w:r>
        <w:rPr>
          <w:rFonts w:ascii="宋体" w:hAnsi="Calibri" w:cs="宋体"/>
          <w:bCs/>
          <w:szCs w:val="21"/>
          <w:highlight w:val="white"/>
          <w:lang w:eastAsia="zh-CN"/>
        </w:rPr>
        <w:t>20</w:t>
      </w:r>
      <w:r>
        <w:rPr>
          <w:rFonts w:ascii="宋体" w:hAnsi="Calibri" w:cs="宋体" w:hint="eastAsia"/>
          <w:bCs/>
          <w:szCs w:val="21"/>
          <w:highlight w:val="white"/>
          <w:lang w:eastAsia="zh-CN"/>
        </w:rPr>
        <w:t>个交易日内完成</w:t>
      </w:r>
      <w:r>
        <w:rPr>
          <w:rFonts w:ascii="宋体" w:hAnsi="Calibri" w:cs="宋体" w:hint="eastAsia"/>
          <w:bCs/>
          <w:szCs w:val="21"/>
          <w:highlight w:val="white"/>
          <w:lang w:eastAsia="zh-CN"/>
        </w:rPr>
        <w:t>对主袋账户</w:t>
      </w:r>
      <w:r>
        <w:rPr>
          <w:rFonts w:ascii="宋体" w:hAnsi="Calibri" w:cs="宋体" w:hint="eastAsia"/>
          <w:bCs/>
          <w:szCs w:val="21"/>
          <w:highlight w:val="white"/>
          <w:lang w:eastAsia="zh-CN"/>
        </w:rPr>
        <w:t>投资组合的调整，因资产流动性受限等中国证监会规定的情形除外。</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基金管理人不得</w:t>
      </w:r>
      <w:r>
        <w:rPr>
          <w:rFonts w:ascii="宋体" w:hAnsi="Calibri" w:cs="宋体" w:hint="eastAsia"/>
          <w:bCs/>
          <w:szCs w:val="21"/>
          <w:highlight w:val="white"/>
          <w:lang w:eastAsia="zh-CN"/>
        </w:rPr>
        <w:t>在侧袋账户</w:t>
      </w:r>
      <w:r>
        <w:rPr>
          <w:rFonts w:ascii="宋体" w:hAnsi="Calibri" w:cs="宋体" w:hint="eastAsia"/>
          <w:bCs/>
          <w:szCs w:val="21"/>
          <w:highlight w:val="white"/>
          <w:lang w:eastAsia="zh-CN"/>
        </w:rPr>
        <w:t>中进行除特定资产处置变现以外的其他投资操作。</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四、</w:t>
      </w:r>
      <w:r>
        <w:rPr>
          <w:rFonts w:ascii="宋体" w:hAnsi="Calibri" w:cs="宋体" w:hint="eastAsia"/>
          <w:bCs/>
          <w:szCs w:val="21"/>
          <w:highlight w:val="white"/>
          <w:lang w:eastAsia="zh-CN"/>
        </w:rPr>
        <w:t>侧袋账户</w:t>
      </w:r>
      <w:r>
        <w:rPr>
          <w:rFonts w:ascii="宋体" w:hAnsi="Calibri" w:cs="宋体" w:hint="eastAsia"/>
          <w:bCs/>
          <w:szCs w:val="21"/>
          <w:highlight w:val="white"/>
          <w:lang w:eastAsia="zh-CN"/>
        </w:rPr>
        <w:t>中特定资产的处置变现和支付</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w:t>
      </w:r>
      <w:r>
        <w:rPr>
          <w:rFonts w:ascii="宋体" w:hAnsi="Calibri" w:cs="宋体" w:hint="eastAsia"/>
          <w:bCs/>
          <w:szCs w:val="21"/>
          <w:highlight w:val="white"/>
          <w:lang w:eastAsia="zh-CN"/>
        </w:rPr>
        <w:t>向侧袋账户</w:t>
      </w:r>
      <w:r>
        <w:rPr>
          <w:rFonts w:ascii="宋体" w:hAnsi="Calibri" w:cs="宋体" w:hint="eastAsia"/>
          <w:bCs/>
          <w:szCs w:val="21"/>
          <w:highlight w:val="white"/>
          <w:lang w:eastAsia="zh-CN"/>
        </w:rPr>
        <w:t>份额持有人支付对应款项。</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终止</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后，基金管理人及时聘请符合《证券法》规定的会计师事务所进行审计并披露专项审计意见。</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五、</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的信息披露</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Pr>
          <w:rFonts w:ascii="宋体" w:hAnsi="Calibri" w:cs="宋体" w:hint="eastAsia"/>
          <w:bCs/>
          <w:szCs w:val="21"/>
          <w:highlight w:val="white"/>
          <w:lang w:eastAsia="zh-CN"/>
        </w:rPr>
        <w:t>、临时公告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在</w:t>
      </w:r>
      <w:r>
        <w:rPr>
          <w:rFonts w:ascii="宋体" w:hAnsi="Calibri" w:cs="宋体" w:hint="eastAsia"/>
          <w:bCs/>
          <w:szCs w:val="21"/>
          <w:highlight w:val="white"/>
          <w:lang w:eastAsia="zh-CN"/>
        </w:rPr>
        <w:t>启用侧袋机制</w:t>
      </w:r>
      <w:r>
        <w:rPr>
          <w:rFonts w:ascii="宋体" w:hAnsi="Calibri" w:cs="宋体" w:hint="eastAsia"/>
          <w:bCs/>
          <w:szCs w:val="21"/>
          <w:highlight w:val="white"/>
          <w:lang w:eastAsia="zh-CN"/>
        </w:rPr>
        <w:t>、处置特定资产、终止</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以及发生其他可能对投资者利益产生重大影响的事项后，基金管理人应及时发布临时公告。</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Pr>
          <w:rFonts w:ascii="宋体" w:hAnsi="Calibri" w:cs="宋体" w:hint="eastAsia"/>
          <w:bCs/>
          <w:szCs w:val="21"/>
          <w:highlight w:val="white"/>
          <w:lang w:eastAsia="zh-CN"/>
        </w:rPr>
        <w:t>、基金净值信息</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基金管理人应按照招募说明书“基金的信息披露”部分规定的基金净值信息披露方式和频率</w:t>
      </w:r>
      <w:r>
        <w:rPr>
          <w:rFonts w:ascii="宋体" w:hAnsi="Calibri" w:cs="宋体" w:hint="eastAsia"/>
          <w:bCs/>
          <w:szCs w:val="21"/>
          <w:highlight w:val="white"/>
          <w:lang w:eastAsia="zh-CN"/>
        </w:rPr>
        <w:t>披露主袋账户</w:t>
      </w:r>
      <w:r>
        <w:rPr>
          <w:rFonts w:ascii="宋体" w:hAnsi="Calibri" w:cs="宋体" w:hint="eastAsia"/>
          <w:bCs/>
          <w:szCs w:val="21"/>
          <w:highlight w:val="white"/>
          <w:lang w:eastAsia="zh-CN"/>
        </w:rPr>
        <w:t>份额的基金份额净值和基金份额累计净值。实施</w:t>
      </w: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期间本基金暂停</w:t>
      </w:r>
      <w:r>
        <w:rPr>
          <w:rFonts w:ascii="宋体" w:hAnsi="Calibri" w:cs="宋体" w:hint="eastAsia"/>
          <w:bCs/>
          <w:szCs w:val="21"/>
          <w:highlight w:val="white"/>
          <w:lang w:eastAsia="zh-CN"/>
        </w:rPr>
        <w:t>披露侧袋账户</w:t>
      </w:r>
      <w:r>
        <w:rPr>
          <w:rFonts w:ascii="宋体" w:hAnsi="Calibri" w:cs="宋体" w:hint="eastAsia"/>
          <w:bCs/>
          <w:szCs w:val="21"/>
          <w:highlight w:val="white"/>
          <w:lang w:eastAsia="zh-CN"/>
        </w:rPr>
        <w:t>份额净值。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Pr>
          <w:rFonts w:ascii="宋体" w:hAnsi="Calibri" w:cs="宋体" w:hint="eastAsia"/>
          <w:bCs/>
          <w:szCs w:val="21"/>
          <w:highlight w:val="white"/>
          <w:lang w:eastAsia="zh-CN"/>
        </w:rPr>
        <w:t>、定期报告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侧袋机制</w:t>
      </w:r>
      <w:r>
        <w:rPr>
          <w:rFonts w:ascii="宋体" w:hAnsi="Calibri" w:cs="宋体" w:hint="eastAsia"/>
          <w:bCs/>
          <w:szCs w:val="21"/>
          <w:highlight w:val="white"/>
          <w:lang w:eastAsia="zh-CN"/>
        </w:rPr>
        <w:t>实施期间，基金管理人应当在基金定期报告中披露报告期内特定资产处置进展情况，披露报告期末特定资产可变现净值或净值区间的，需同时注明不作为特定资产最终变现价格的承诺。</w:t>
      </w:r>
    </w:p>
    <w:p w:rsidR="0097367D">
      <w:pPr>
        <w:widowControl/>
        <w:jc w:val="left"/>
        <w:rPr>
          <w:rFonts w:ascii="宋体" w:hAnsi="Calibri" w:cs="宋体"/>
          <w:sz w:val="30"/>
          <w:szCs w:val="32"/>
          <w:lang w:eastAsia="zh-CN"/>
        </w:rPr>
      </w:pPr>
      <w:r>
        <w:rPr>
          <w:rFonts w:ascii="宋体" w:hAnsi="Calibri" w:cs="宋体"/>
          <w:sz w:val="30"/>
          <w:highlight w:val="white"/>
          <w:lang w:eastAsia="zh-CN"/>
        </w:rPr>
        <w:br w:type="page"/>
      </w:r>
    </w:p>
    <w:p w:rsidR="0097367D">
      <w:pPr>
        <w:pStyle w:val="Heading1"/>
        <w:spacing w:before="317" w:after="317" w:line="360" w:lineRule="auto"/>
        <w:ind w:firstLine="600"/>
        <w:rPr>
          <w:rFonts w:ascii="宋体" w:eastAsia="宋体" w:hAnsi="Calibri" w:cs="宋体"/>
          <w:sz w:val="30"/>
          <w:szCs w:val="30"/>
          <w:lang w:eastAsia="zh-CN"/>
        </w:rPr>
      </w:pPr>
      <w:bookmarkStart w:id="1846" w:name="_Toc129511542"/>
      <w:r>
        <w:rPr>
          <w:rFonts w:ascii="宋体" w:eastAsia="宋体" w:hAnsi="Calibri" w:cs="宋体" w:hint="eastAsia"/>
          <w:sz w:val="30"/>
          <w:szCs w:val="30"/>
          <w:highlight w:val="white"/>
          <w:lang w:eastAsia="zh-CN"/>
        </w:rPr>
        <w:t>第二十</w:t>
      </w:r>
      <w:bookmarkStart w:id="1847" w:name="_Toc332373573"/>
      <w:r>
        <w:rPr>
          <w:rFonts w:ascii="宋体" w:eastAsia="宋体" w:hAnsi="Calibri" w:cs="宋体"/>
          <w:sz w:val="30"/>
          <w:szCs w:val="30"/>
          <w:highlight w:val="white"/>
          <w:lang w:eastAsia="zh-CN"/>
        </w:rPr>
        <w:t>部分 风险揭示</w:t>
      </w:r>
      <w:bookmarkEnd w:id="1846"/>
      <w:bookmarkEnd w:id="1847"/>
    </w:p>
    <w:p w:rsidR="0097367D">
      <w:pPr>
        <w:spacing w:line="360" w:lineRule="auto"/>
        <w:ind w:firstLine="420"/>
        <w:rPr>
          <w:rFonts w:ascii="宋体" w:hAnsi="Calibri" w:cs="宋体"/>
          <w:szCs w:val="21"/>
          <w:lang w:eastAsia="zh-CN"/>
        </w:rPr>
      </w:pPr>
      <w:bookmarkStart w:id="1848" w:name="_Toc332373574"/>
      <w:r>
        <w:rPr>
          <w:rFonts w:ascii="宋体" w:hAnsi="Calibri" w:cs="宋体" w:hint="eastAsia"/>
          <w:szCs w:val="21"/>
          <w:highlight w:val="white"/>
          <w:lang w:eastAsia="zh-CN"/>
        </w:rPr>
        <w:t>一、本基金的特有风险</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1、指数</w:t>
      </w:r>
      <w:r>
        <w:rPr>
          <w:rFonts w:ascii="宋体" w:hAnsi="Calibri"/>
          <w:spacing w:val="-2"/>
          <w:szCs w:val="21"/>
          <w:highlight w:val="white"/>
          <w:lang w:eastAsia="zh-CN"/>
        </w:rPr>
        <w:t>化投资</w:t>
      </w:r>
      <w:r>
        <w:rPr>
          <w:rFonts w:ascii="宋体" w:hAnsi="Calibri"/>
          <w:spacing w:val="-2"/>
          <w:szCs w:val="21"/>
          <w:highlight w:val="white"/>
          <w:lang w:eastAsia="zh-CN"/>
        </w:rPr>
        <w:t>的风险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本基金投资于目标ETF的资产不低于基金资产净值的90%，目标ETF投资标的指数成份股及备选成份股的资产不低于基金资产净值的90%</w:t>
      </w:r>
      <w:r>
        <w:rPr>
          <w:rFonts w:ascii="宋体" w:hAnsi="Calibri"/>
          <w:spacing w:val="-2"/>
          <w:szCs w:val="21"/>
          <w:highlight w:val="white"/>
          <w:lang w:eastAsia="zh-CN"/>
        </w:rPr>
        <w:t>，业绩表现将会随着标的指数的波动而波动；同时本基金在多数情况下将维持较高的股票</w:t>
      </w:r>
      <w:r>
        <w:rPr>
          <w:rFonts w:ascii="宋体" w:hAnsi="Calibri"/>
          <w:spacing w:val="-2"/>
          <w:szCs w:val="21"/>
          <w:highlight w:val="white"/>
          <w:lang w:eastAsia="zh-CN"/>
        </w:rPr>
        <w:t>仓位</w:t>
      </w:r>
      <w:r>
        <w:rPr>
          <w:rFonts w:ascii="宋体" w:hAnsi="Calibri"/>
          <w:spacing w:val="-2"/>
          <w:szCs w:val="21"/>
          <w:highlight w:val="white"/>
          <w:lang w:eastAsia="zh-CN"/>
        </w:rPr>
        <w:t>，在股票市场下跌的过程中，可能面临基金净值与标的指数同步下跌的风险。</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（1）标的指数回报与股票市场平均回报偏离的风险</w:t>
      </w:r>
    </w:p>
    <w:p w:rsidR="0097367D">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标的指数并不能代表整个股票市场。标的指数成份股的平均回报率与整个股票市场的平均回报率可能存在偏离。</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（2）标的指数波动的风险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目标ETF标的指数成份股及备选成份股的价格可能受到政治因素、经济因素、上市公司经营状况、投资者心理和交易制度等各种因素的影响而波动，导致指数波动。由于本基金主要投资于目标ETF，基金收益水平会因为目标ETF标的指数的波动发生变化，从而产生风险。</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（3）</w:t>
      </w:r>
      <w:r>
        <w:rPr>
          <w:rFonts w:ascii="宋体" w:hAnsi="Calibri" w:hint="eastAsia"/>
          <w:spacing w:val="-2"/>
          <w:szCs w:val="21"/>
          <w:highlight w:val="white"/>
          <w:lang w:eastAsia="zh-CN"/>
        </w:rPr>
        <w:t>指数成份股主要集中于电池主题公司</w:t>
      </w:r>
      <w:r>
        <w:rPr>
          <w:rFonts w:ascii="宋体" w:hAnsi="Calibri" w:hint="eastAsia"/>
          <w:bCs/>
          <w:szCs w:val="21"/>
          <w:highlight w:val="white"/>
          <w:lang w:eastAsia="zh-CN"/>
        </w:rPr>
        <w:t>的</w:t>
      </w:r>
      <w:r>
        <w:rPr>
          <w:rFonts w:ascii="宋体" w:hAnsi="Calibri" w:hint="eastAsia"/>
          <w:spacing w:val="-2"/>
          <w:szCs w:val="21"/>
          <w:highlight w:val="white"/>
          <w:lang w:eastAsia="zh-CN"/>
        </w:rPr>
        <w:t>集中度风险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目标ETF标的指数成份股主要集中于电池主题公司，须承受因政府政策变化、行业景气度变化等影响电池主题公司的因素所带来的</w:t>
      </w:r>
      <w:r>
        <w:rPr>
          <w:rFonts w:ascii="宋体" w:hAnsi="Calibri" w:hint="eastAsia"/>
          <w:bCs/>
          <w:szCs w:val="21"/>
          <w:highlight w:val="white"/>
          <w:lang w:eastAsia="zh-CN"/>
        </w:rPr>
        <w:t>相关</w:t>
      </w:r>
      <w:r>
        <w:rPr>
          <w:rFonts w:ascii="宋体" w:hAnsi="Calibri" w:hint="eastAsia"/>
          <w:spacing w:val="-2"/>
          <w:szCs w:val="21"/>
          <w:highlight w:val="white"/>
          <w:lang w:eastAsia="zh-CN"/>
        </w:rPr>
        <w:t>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4</w:t>
      </w:r>
      <w:r>
        <w:rPr>
          <w:rFonts w:ascii="宋体" w:hAnsi="Calibri" w:hint="eastAsia"/>
          <w:spacing w:val="-2"/>
          <w:szCs w:val="21"/>
          <w:highlight w:val="white"/>
          <w:lang w:eastAsia="zh-CN"/>
        </w:rPr>
        <w:t>）部分成份股权</w:t>
      </w:r>
      <w:r>
        <w:rPr>
          <w:rFonts w:ascii="宋体" w:hAnsi="Calibri" w:hint="eastAsia"/>
          <w:spacing w:val="-2"/>
          <w:szCs w:val="21"/>
          <w:highlight w:val="white"/>
          <w:lang w:eastAsia="zh-CN"/>
        </w:rPr>
        <w:t>重较大</w:t>
      </w:r>
      <w:r>
        <w:rPr>
          <w:rFonts w:ascii="宋体" w:hAnsi="Calibri" w:hint="eastAsia"/>
          <w:spacing w:val="-2"/>
          <w:szCs w:val="21"/>
          <w:highlight w:val="white"/>
          <w:lang w:eastAsia="zh-CN"/>
        </w:rPr>
        <w:t>的风险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根据本基金标的指数编制方案，存在个别成份股权重较大、集中度较高的情况，可能使基金面临较大波动风险或流动性风险。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5</w:t>
      </w:r>
      <w:r>
        <w:rPr>
          <w:rFonts w:ascii="宋体" w:hAnsi="Calibri" w:hint="eastAsia"/>
          <w:spacing w:val="-2"/>
          <w:szCs w:val="21"/>
          <w:highlight w:val="white"/>
          <w:lang w:eastAsia="zh-CN"/>
        </w:rPr>
        <w:t>）成份股停牌的风险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标的指数成份股可能因各种原因临时或长期停牌，发生成份股停牌时可能面临如下风险：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1）目标ETF可能因无法及时调整投资组合而导致本基金跟踪偏离度和跟踪误差扩大。</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2）在极端情况下，标的指数成份股可能大面积停牌，目标ETF可能无法及时卖出成份股以获取足额的符合要求的赎回对价，由此基金管理人可能在申购赎回清单中设置较低的赎回份额上限或者采取暂停赎回的措施，本基金将面临无法赎回全部或部分ETF份额的风险。</w:t>
      </w:r>
    </w:p>
    <w:p w:rsidR="0097367D">
      <w:pPr>
        <w:spacing w:line="360" w:lineRule="auto"/>
        <w:ind w:firstLine="420"/>
        <w:rPr>
          <w:lang w:eastAsia="zh-CN"/>
        </w:rPr>
      </w:pPr>
      <w:r>
        <w:rPr>
          <w:rFonts w:ascii="宋体" w:hAnsi="Calibri"/>
          <w:spacing w:val="-2"/>
          <w:szCs w:val="21"/>
          <w:highlight w:val="white"/>
          <w:lang w:eastAsia="zh-CN"/>
        </w:rPr>
        <w:t>（6）基金分红特殊安排的风险</w:t>
      </w:r>
    </w:p>
    <w:p w:rsidR="0097367D">
      <w:pPr>
        <w:spacing w:line="360" w:lineRule="auto"/>
        <w:ind w:firstLine="420"/>
        <w:rPr>
          <w:lang w:eastAsia="zh-CN"/>
        </w:rPr>
      </w:pPr>
      <w:r>
        <w:rPr>
          <w:rFonts w:ascii="宋体" w:hAnsi="Calibri" w:hint="eastAsia"/>
          <w:bCs/>
          <w:szCs w:val="21"/>
          <w:highlight w:val="white"/>
          <w:lang w:eastAsia="zh-CN"/>
        </w:rPr>
        <w:t>本基金设定了不同的基金分红条件：</w:t>
      </w:r>
    </w:p>
    <w:p w:rsidR="0097367D">
      <w:pPr>
        <w:spacing w:line="360" w:lineRule="auto"/>
        <w:ind w:firstLine="420"/>
        <w:rPr>
          <w:lang w:eastAsia="zh-CN"/>
        </w:rPr>
      </w:pPr>
      <w:r>
        <w:rPr>
          <w:rFonts w:ascii="宋体" w:hAnsi="Calibri"/>
          <w:spacing w:val="-2"/>
          <w:szCs w:val="21"/>
          <w:highlight w:val="white"/>
          <w:lang w:eastAsia="zh-CN"/>
        </w:rPr>
        <w:t>1）当基金相对业绩比较基准的超额收益大于0时，基金管理人可进行收益分配。在此情形下，基于本基金的特点，本基金收益分配无需以弥补亏损为前提，收益分配后可能存在基金份额净值低于面值的风险；</w:t>
      </w:r>
    </w:p>
    <w:p w:rsidR="0097367D">
      <w:pPr>
        <w:spacing w:line="360" w:lineRule="auto"/>
        <w:ind w:firstLine="420"/>
        <w:rPr>
          <w:lang w:eastAsia="zh-CN"/>
        </w:rPr>
      </w:pPr>
      <w:r>
        <w:rPr>
          <w:rFonts w:ascii="宋体" w:hAnsi="Calibri"/>
          <w:spacing w:val="-2"/>
          <w:szCs w:val="21"/>
          <w:highlight w:val="white"/>
          <w:lang w:eastAsia="zh-CN"/>
        </w:rPr>
        <w:t>2）当基金可供分配利润金额高于0元时，基金管理人可进行收益分配。在此情形下，基金收益分配后基金份额净值不能低于面值，即基金收益分配基准日的基金份额净值减去每单位基金份额收益分配金额后不能低于面值</w:t>
      </w:r>
      <w:r>
        <w:rPr>
          <w:rFonts w:ascii="宋体" w:hAnsi="Calibri" w:hint="eastAsia"/>
          <w:spacing w:val="-2"/>
          <w:szCs w:val="21"/>
          <w:highlight w:val="white"/>
          <w:lang w:eastAsia="zh-CN"/>
        </w:rPr>
        <w:t>；</w:t>
      </w:r>
    </w:p>
    <w:p w:rsidR="0097367D">
      <w:pPr>
        <w:spacing w:line="360" w:lineRule="auto"/>
        <w:ind w:firstLine="420"/>
        <w:rPr>
          <w:lang w:eastAsia="zh-CN"/>
        </w:rPr>
      </w:pPr>
      <w:r>
        <w:rPr>
          <w:rFonts w:ascii="宋体" w:hAnsi="Calibri"/>
          <w:spacing w:val="-2"/>
          <w:szCs w:val="21"/>
          <w:highlight w:val="white"/>
          <w:lang w:eastAsia="zh-CN"/>
        </w:rPr>
        <w:t>3）在符合有关基金分红条件的情形下，基金管理人可以根据实际情况进行收益分配，具体分配方案以届时的公告为准。</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以上分红安排较为特殊，可能对投资者的投资行为和结果产生一定的影响。此外，在分红过程中可能因证券买卖价格波动、证券交易成本、基金</w:t>
      </w:r>
      <w:r>
        <w:rPr>
          <w:rFonts w:ascii="宋体" w:hAnsi="Calibri"/>
          <w:spacing w:val="-2"/>
          <w:szCs w:val="21"/>
          <w:highlight w:val="white"/>
          <w:lang w:eastAsia="zh-CN"/>
        </w:rPr>
        <w:t>仓位</w:t>
      </w:r>
      <w:r>
        <w:rPr>
          <w:rFonts w:ascii="宋体" w:hAnsi="Calibri"/>
          <w:spacing w:val="-2"/>
          <w:szCs w:val="21"/>
          <w:highlight w:val="white"/>
          <w:lang w:eastAsia="zh-CN"/>
        </w:rPr>
        <w:t>变动等对基金跟踪误差有所影响。请投资者知悉上述事项并做好相应安排。</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7</w:t>
      </w:r>
      <w:r>
        <w:rPr>
          <w:rFonts w:ascii="宋体" w:hAnsi="Calibri" w:hint="eastAsia"/>
          <w:spacing w:val="-2"/>
          <w:szCs w:val="21"/>
          <w:highlight w:val="white"/>
          <w:lang w:eastAsia="zh-CN"/>
        </w:rPr>
        <w:t>）基金收益率与业绩比较基准收益率偏离的风险，主要影响因素包括：</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1）目标ETF对指数的跟踪误差：本基金主要通过投资于目标ETF实现对业绩比较基准的紧密跟踪，目标ETF对指数的跟踪误差会影响本基金对业绩比较基准的跟踪误差；</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2）本基金发生申购赎回、管理费和托管费收取等其他导致基金跟踪误差的情形。</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8</w:t>
      </w:r>
      <w:r>
        <w:rPr>
          <w:rFonts w:ascii="宋体" w:hAnsi="Calibri" w:hint="eastAsia"/>
          <w:spacing w:val="-2"/>
          <w:szCs w:val="21"/>
          <w:highlight w:val="white"/>
          <w:lang w:eastAsia="zh-CN"/>
        </w:rPr>
        <w:t>）跟踪误差控制未达约定目标的风险</w:t>
      </w:r>
    </w:p>
    <w:p w:rsidR="0097367D">
      <w:pPr>
        <w:spacing w:line="360" w:lineRule="auto"/>
        <w:ind w:firstLine="420" w:firstLineChars="200"/>
        <w:rPr>
          <w:rFonts w:ascii="宋体" w:hAnsi="Calibri"/>
          <w:spacing w:val="-2"/>
          <w:szCs w:val="21"/>
          <w:lang w:eastAsia="zh-CN"/>
        </w:rPr>
      </w:pPr>
      <w:r>
        <w:rPr>
          <w:rFonts w:ascii="宋体" w:hAnsi="Calibri" w:hint="eastAsia"/>
          <w:szCs w:val="21"/>
          <w:highlight w:val="white"/>
          <w:lang w:eastAsia="zh-CN"/>
        </w:rPr>
        <w:t>本基金为目标ETF的联接基金，主要通过投资于目标ETF实现对业绩比较基准的紧密跟踪，力争将日均跟踪偏离度的绝对值控制在0.35%以内，</w:t>
      </w:r>
      <w:r>
        <w:rPr>
          <w:rFonts w:ascii="宋体" w:hAnsi="Calibri" w:hint="eastAsia"/>
          <w:szCs w:val="21"/>
          <w:highlight w:val="white"/>
          <w:lang w:eastAsia="zh-CN"/>
        </w:rPr>
        <w:t>年化跟踪误差</w:t>
      </w:r>
      <w:r>
        <w:rPr>
          <w:rFonts w:ascii="宋体" w:hAnsi="Calibri" w:hint="eastAsia"/>
          <w:szCs w:val="21"/>
          <w:highlight w:val="white"/>
          <w:lang w:eastAsia="zh-CN"/>
        </w:rPr>
        <w:t>控制在4%以内</w:t>
      </w:r>
      <w:r>
        <w:rPr>
          <w:rFonts w:ascii="宋体" w:hAnsi="Calibri" w:hint="eastAsia"/>
          <w:spacing w:val="-2"/>
          <w:szCs w:val="21"/>
          <w:highlight w:val="white"/>
          <w:lang w:eastAsia="zh-CN"/>
        </w:rPr>
        <w:t>，但因标的指数编制规则调整或其他因素可能导致跟踪误差超过上述范围，本基金净值表现与指数价格走势可能发生较大偏离</w:t>
      </w:r>
      <w:r>
        <w:rPr>
          <w:rFonts w:ascii="宋体" w:hAnsi="Calibri" w:hint="eastAsia"/>
          <w:szCs w:val="21"/>
          <w:highlight w:val="white"/>
          <w:lang w:eastAsia="zh-CN"/>
        </w:rPr>
        <w:t>。</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9</w:t>
      </w:r>
      <w:r>
        <w:rPr>
          <w:rFonts w:ascii="宋体" w:hAnsi="Calibri" w:hint="eastAsia"/>
          <w:spacing w:val="-2"/>
          <w:szCs w:val="21"/>
          <w:highlight w:val="white"/>
          <w:lang w:eastAsia="zh-CN"/>
        </w:rPr>
        <w:t>）标的指数值计算出错的风险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尽管</w:t>
      </w:r>
      <w:r>
        <w:rPr>
          <w:rFonts w:ascii="宋体" w:hAnsi="Calibri"/>
          <w:spacing w:val="-2"/>
          <w:szCs w:val="21"/>
          <w:highlight w:val="white"/>
          <w:lang w:eastAsia="zh-CN"/>
        </w:rPr>
        <w:t>指数公司</w:t>
      </w:r>
      <w:r>
        <w:rPr>
          <w:rFonts w:ascii="宋体" w:hAnsi="Calibri" w:hint="eastAsia"/>
          <w:spacing w:val="-2"/>
          <w:szCs w:val="21"/>
          <w:highlight w:val="white"/>
          <w:lang w:eastAsia="zh-CN"/>
        </w:rPr>
        <w:t>将采取一切必要措施以确保指数的准确性，但</w:t>
      </w:r>
      <w:r>
        <w:rPr>
          <w:rFonts w:ascii="宋体" w:hAnsi="Calibri" w:hint="eastAsia"/>
          <w:spacing w:val="-2"/>
          <w:szCs w:val="21"/>
          <w:highlight w:val="white"/>
          <w:lang w:eastAsia="zh-CN"/>
        </w:rPr>
        <w:t>不</w:t>
      </w:r>
      <w:r>
        <w:rPr>
          <w:rFonts w:ascii="宋体" w:hAnsi="Calibri" w:hint="eastAsia"/>
          <w:spacing w:val="-2"/>
          <w:szCs w:val="21"/>
          <w:highlight w:val="white"/>
          <w:lang w:eastAsia="zh-CN"/>
        </w:rPr>
        <w:t>对此作任何保证，亦不因指数的任何错误对任何人负责。因此，如果标的指数值出现错误，投资人参考指数值进行投资决策，则可能导致损失。</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10</w:t>
      </w:r>
      <w:r>
        <w:rPr>
          <w:rFonts w:ascii="宋体" w:hAnsi="Calibri" w:hint="eastAsia"/>
          <w:spacing w:val="-2"/>
          <w:szCs w:val="21"/>
          <w:highlight w:val="white"/>
          <w:lang w:eastAsia="zh-CN"/>
        </w:rPr>
        <w:t>）标的指数编制方案带来的风险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本基金标的指数</w:t>
      </w:r>
      <w:r>
        <w:rPr>
          <w:rFonts w:ascii="宋体" w:hAnsi="Calibri" w:hint="eastAsia"/>
          <w:spacing w:val="-2"/>
          <w:szCs w:val="21"/>
          <w:highlight w:val="white"/>
          <w:lang w:eastAsia="zh-CN"/>
        </w:rPr>
        <w:t>由指数</w:t>
      </w:r>
      <w:r>
        <w:rPr>
          <w:rFonts w:ascii="宋体" w:hAnsi="Calibri" w:hint="eastAsia"/>
          <w:spacing w:val="-2"/>
          <w:szCs w:val="21"/>
          <w:highlight w:val="white"/>
          <w:lang w:eastAsia="zh-CN"/>
        </w:rPr>
        <w:t>编制机构发布并管理和维护，指数编制机构有权停止编制标的指数、变更标的指数编制方案。而指数编制方案基于其样本空间仅能选取部分证券予以构建，其表征性与可投资性可能存在不成熟或不完备之处。</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当指数编制机构变更标的指数编制方案，导致指数成份股样本与权重发生调整，基金管理人需调整目标ETF和本基金投资组合，从而可能增加基金运作难度、跟踪误差和组合调整的风险与成本，并可能导致基金风险收益特征发生较大变化。此外，当市场环境发生变化，但指数编制机构未能及时对指数编制方案进行调整时，可能导致标的指数的表现与总体市场表现存在差异，从而影响投资收益。投资人需关注并承担上述风险，谨慎</w:t>
      </w:r>
      <w:r>
        <w:rPr>
          <w:rFonts w:ascii="宋体" w:hAnsi="Calibri" w:hint="eastAsia"/>
          <w:spacing w:val="-2"/>
          <w:szCs w:val="21"/>
          <w:highlight w:val="white"/>
          <w:lang w:eastAsia="zh-CN"/>
        </w:rPr>
        <w:t>作出</w:t>
      </w:r>
      <w:r>
        <w:rPr>
          <w:rFonts w:ascii="宋体" w:hAnsi="Calibri" w:hint="eastAsia"/>
          <w:spacing w:val="-2"/>
          <w:szCs w:val="21"/>
          <w:highlight w:val="white"/>
          <w:lang w:eastAsia="zh-CN"/>
        </w:rPr>
        <w:t>投资决策。</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w:t>
      </w:r>
      <w:r>
        <w:rPr>
          <w:rFonts w:ascii="宋体" w:hAnsi="Calibri"/>
          <w:spacing w:val="-2"/>
          <w:szCs w:val="21"/>
          <w:highlight w:val="white"/>
          <w:lang w:eastAsia="zh-CN"/>
        </w:rPr>
        <w:t>11</w:t>
      </w:r>
      <w:r>
        <w:rPr>
          <w:rFonts w:ascii="宋体" w:hAnsi="Calibri" w:hint="eastAsia"/>
          <w:spacing w:val="-2"/>
          <w:szCs w:val="21"/>
          <w:highlight w:val="white"/>
          <w:lang w:eastAsia="zh-CN"/>
        </w:rPr>
        <w:t>）指数编制机构停止服务的风险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本基金的标的指数</w:t>
      </w:r>
      <w:r>
        <w:rPr>
          <w:rFonts w:ascii="宋体" w:hAnsi="Calibri" w:hint="eastAsia"/>
          <w:spacing w:val="-2"/>
          <w:szCs w:val="21"/>
          <w:highlight w:val="white"/>
          <w:lang w:eastAsia="zh-CN"/>
        </w:rPr>
        <w:t>由指数</w:t>
      </w:r>
      <w:r>
        <w:rPr>
          <w:rFonts w:ascii="宋体" w:hAnsi="Calibri" w:hint="eastAsia"/>
          <w:spacing w:val="-2"/>
          <w:szCs w:val="21"/>
          <w:highlight w:val="white"/>
          <w:lang w:eastAsia="zh-CN"/>
        </w:rPr>
        <w:t>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投资人将面临转换运作方式、与其他基金合并、或者终止基金合同等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自指数</w:t>
      </w:r>
      <w:r>
        <w:rPr>
          <w:rFonts w:ascii="宋体" w:hAnsi="Calibri" w:hint="eastAsia"/>
          <w:spacing w:val="-2"/>
          <w:szCs w:val="21"/>
          <w:highlight w:val="white"/>
          <w:lang w:eastAsia="zh-CN"/>
        </w:rPr>
        <w:t>编制机构停止标的指数的编制及发布</w:t>
      </w:r>
      <w:r>
        <w:rPr>
          <w:rFonts w:ascii="宋体" w:hAnsi="Calibri" w:hint="eastAsia"/>
          <w:spacing w:val="-2"/>
          <w:szCs w:val="21"/>
          <w:highlight w:val="white"/>
          <w:lang w:eastAsia="zh-CN"/>
        </w:rPr>
        <w:t>至解决</w:t>
      </w:r>
      <w:r>
        <w:rPr>
          <w:rFonts w:ascii="宋体" w:hAnsi="Calibri" w:hint="eastAsia"/>
          <w:spacing w:val="-2"/>
          <w:szCs w:val="21"/>
          <w:highlight w:val="white"/>
          <w:lang w:eastAsia="zh-CN"/>
        </w:rPr>
        <w:t>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2、联接基金的特殊风险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（1）可能具有与目标ETF不同的风险收益特征及净值增长率的风险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由于本基金在投资限制、运作机制和投资策略等方面与目标ETF不同，因此本基金可能具有与目标ETF不同的风险收益特征及净值增长率。</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（2）目标ETF面临的风险可能直接或间接成为本基金的风险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本基金属于联接基金，主要投资于目标ETF，因此目标ETF面临的风险可能直接或间接成为本基金的风险，投资者应知悉并关注目标ETF招募说明书等文件中的风险揭示内容。</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（3）由目标ETF的联接基金变更为直接投资目标ETF标的指数成份股及备选成份股的指数基金的风险。</w:t>
      </w:r>
    </w:p>
    <w:p w:rsidR="0097367D">
      <w:pPr>
        <w:spacing w:line="360" w:lineRule="auto"/>
        <w:ind w:firstLine="420" w:firstLineChars="200"/>
        <w:rPr>
          <w:rFonts w:ascii="宋体" w:hAnsi="Calibri"/>
          <w:spacing w:val="-2"/>
          <w:szCs w:val="21"/>
          <w:lang w:eastAsia="zh-CN"/>
        </w:rPr>
      </w:pPr>
      <w:r>
        <w:rPr>
          <w:rFonts w:ascii="宋体" w:hAnsi="Calibri" w:hint="eastAsia"/>
          <w:spacing w:val="-2"/>
          <w:szCs w:val="21"/>
          <w:highlight w:val="white"/>
          <w:lang w:eastAsia="zh-CN"/>
        </w:rPr>
        <w:t>当目标ETF发生基金合同约定的特殊情况时，本基金可能由目标ETF的联接基金变更为直接投资目标ETF标的指数成份股及备选成份股的指数基金，投资者届时须承担变更基金类型所带来的风险。</w:t>
      </w:r>
    </w:p>
    <w:p w:rsidR="0097367D">
      <w:pPr>
        <w:spacing w:line="360" w:lineRule="auto"/>
        <w:ind w:firstLine="420" w:firstLineChars="200"/>
        <w:rPr>
          <w:rFonts w:ascii="宋体" w:hAnsi="Calibri"/>
          <w:bCs/>
          <w:szCs w:val="21"/>
          <w:lang w:eastAsia="zh-CN"/>
        </w:rPr>
      </w:pPr>
      <w:r>
        <w:rPr>
          <w:rFonts w:ascii="宋体" w:hAnsi="Calibri" w:hint="eastAsia"/>
          <w:bCs/>
          <w:color w:val="000000" w:themeColor="text1"/>
          <w:szCs w:val="21"/>
          <w:highlight w:val="white"/>
          <w:lang w:eastAsia="zh-CN"/>
        </w:rPr>
        <w:t>3、</w:t>
      </w:r>
      <w:r>
        <w:rPr>
          <w:rFonts w:ascii="宋体" w:hAnsi="宋体" w:cs="宋体"/>
          <w:color w:val="000000"/>
          <w:highlight w:val="white"/>
          <w:lang w:eastAsia="zh-CN"/>
        </w:rPr>
        <w:t>本基金可投资</w:t>
      </w:r>
      <w:r>
        <w:rPr>
          <w:rFonts w:ascii="宋体" w:hAnsi="宋体" w:cs="宋体"/>
          <w:color w:val="000000"/>
          <w:highlight w:val="white"/>
          <w:lang w:eastAsia="zh-CN"/>
        </w:rPr>
        <w:t>科创板</w:t>
      </w:r>
      <w:r>
        <w:rPr>
          <w:rFonts w:ascii="宋体" w:hAnsi="宋体" w:cs="宋体"/>
          <w:color w:val="000000"/>
          <w:highlight w:val="white"/>
          <w:lang w:eastAsia="zh-CN"/>
        </w:rPr>
        <w:t>股票，</w:t>
      </w:r>
      <w:r>
        <w:rPr>
          <w:rFonts w:ascii="宋体" w:hAnsi="宋体" w:cs="宋体"/>
          <w:color w:val="000000"/>
          <w:highlight w:val="white"/>
          <w:lang w:eastAsia="zh-CN"/>
        </w:rPr>
        <w:t>科创板股票</w:t>
      </w:r>
      <w:r>
        <w:rPr>
          <w:rFonts w:ascii="宋体" w:hAnsi="宋体" w:cs="宋体"/>
          <w:color w:val="000000"/>
          <w:highlight w:val="white"/>
          <w:lang w:eastAsia="zh-CN"/>
        </w:rPr>
        <w:t>在发行、上市、交易、退市等方面的规则与其</w:t>
      </w:r>
      <w:r>
        <w:rPr>
          <w:rFonts w:ascii="宋体" w:hAnsi="宋体" w:cs="宋体"/>
          <w:color w:val="000000"/>
          <w:highlight w:val="white"/>
          <w:lang w:eastAsia="zh-CN"/>
        </w:rPr>
        <w:t>他板块</w:t>
      </w:r>
      <w:r>
        <w:rPr>
          <w:rFonts w:ascii="宋体" w:hAnsi="宋体" w:cs="宋体"/>
          <w:color w:val="000000"/>
          <w:highlight w:val="white"/>
          <w:lang w:eastAsia="zh-CN"/>
        </w:rPr>
        <w:t>存在差异，基金投资</w:t>
      </w:r>
      <w:r>
        <w:rPr>
          <w:rFonts w:ascii="宋体" w:hAnsi="宋体" w:cs="宋体"/>
          <w:color w:val="000000"/>
          <w:highlight w:val="white"/>
          <w:lang w:eastAsia="zh-CN"/>
        </w:rPr>
        <w:t>科创板股票</w:t>
      </w:r>
      <w:r>
        <w:rPr>
          <w:rFonts w:ascii="宋体" w:hAnsi="宋体" w:cs="宋体"/>
          <w:color w:val="000000"/>
          <w:highlight w:val="white"/>
          <w:lang w:eastAsia="zh-CN"/>
        </w:rPr>
        <w:t>可能面临退市风险、市场风险、流动性风险、监管规则变化的风险等特有风险，从而可能给基金净值带来不利影响或损失。</w:t>
      </w:r>
    </w:p>
    <w:p w:rsidR="0097367D">
      <w:pPr>
        <w:spacing w:line="360" w:lineRule="auto"/>
        <w:ind w:firstLine="420" w:firstLineChars="200"/>
        <w:rPr>
          <w:rFonts w:ascii="宋体" w:hAnsi="Calibri"/>
          <w:spacing w:val="-2"/>
          <w:szCs w:val="21"/>
          <w:lang w:eastAsia="zh-CN"/>
        </w:rPr>
      </w:pPr>
      <w:r>
        <w:rPr>
          <w:rFonts w:ascii="宋体" w:hAnsi="Calibri" w:hint="eastAsia"/>
          <w:bCs/>
          <w:color w:val="000000" w:themeColor="text1"/>
          <w:szCs w:val="21"/>
          <w:highlight w:val="white"/>
          <w:lang w:eastAsia="zh-CN"/>
        </w:rPr>
        <w:t>4、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5、本基金投资特定品种的特有风险</w:t>
      </w:r>
    </w:p>
    <w:p w:rsidR="0097367D">
      <w:pPr>
        <w:spacing w:line="360" w:lineRule="auto"/>
        <w:ind w:firstLine="420" w:firstLineChars="200"/>
        <w:rPr>
          <w:rFonts w:ascii="宋体" w:hAnsi="Calibri"/>
          <w:szCs w:val="21"/>
          <w:lang w:eastAsia="zh-CN"/>
        </w:rPr>
      </w:pPr>
      <w:r>
        <w:rPr>
          <w:rFonts w:ascii="宋体" w:hAnsi="Calibri"/>
          <w:spacing w:val="-2"/>
          <w:szCs w:val="21"/>
          <w:highlight w:val="white"/>
          <w:lang w:eastAsia="zh-CN"/>
        </w:rPr>
        <w:t>（1）本基金投资范围包括股指期货、</w:t>
      </w:r>
      <w:r>
        <w:rPr>
          <w:rFonts w:ascii="宋体" w:hAnsi="Calibri" w:hint="eastAsia"/>
          <w:spacing w:val="-2"/>
          <w:szCs w:val="21"/>
          <w:highlight w:val="white"/>
          <w:lang w:eastAsia="zh-CN"/>
        </w:rPr>
        <w:t>国债期货、</w:t>
      </w:r>
      <w:r>
        <w:rPr>
          <w:rFonts w:ascii="宋体" w:hAnsi="Calibri"/>
          <w:spacing w:val="-2"/>
          <w:szCs w:val="21"/>
          <w:highlight w:val="white"/>
          <w:lang w:eastAsia="zh-CN"/>
        </w:rPr>
        <w:t>股票期权等金融衍生品，股指期货、</w:t>
      </w:r>
      <w:r>
        <w:rPr>
          <w:rFonts w:ascii="宋体" w:hAnsi="Calibri" w:hint="eastAsia"/>
          <w:spacing w:val="-2"/>
          <w:szCs w:val="21"/>
          <w:highlight w:val="white"/>
          <w:lang w:eastAsia="zh-CN"/>
        </w:rPr>
        <w:t>国债期货、</w:t>
      </w:r>
      <w:r>
        <w:rPr>
          <w:rFonts w:ascii="宋体" w:hAnsi="Calibri"/>
          <w:spacing w:val="-2"/>
          <w:szCs w:val="21"/>
          <w:highlight w:val="white"/>
          <w:lang w:eastAsia="zh-CN"/>
        </w:rPr>
        <w:t>股票期权等金融衍生</w:t>
      </w:r>
      <w:r>
        <w:rPr>
          <w:rFonts w:ascii="宋体" w:hAnsi="Calibri"/>
          <w:spacing w:val="-2"/>
          <w:szCs w:val="21"/>
          <w:highlight w:val="white"/>
          <w:lang w:eastAsia="zh-CN"/>
        </w:rPr>
        <w:t>品投资</w:t>
      </w:r>
      <w:r>
        <w:rPr>
          <w:rFonts w:ascii="宋体" w:hAnsi="Calibri"/>
          <w:spacing w:val="-2"/>
          <w:szCs w:val="21"/>
          <w:highlight w:val="white"/>
          <w:lang w:eastAsia="zh-CN"/>
        </w:rPr>
        <w:t>可能给本基金带来额外风险。投资股指期货、</w:t>
      </w:r>
      <w:r>
        <w:rPr>
          <w:rFonts w:ascii="宋体" w:hAnsi="Calibri" w:hint="eastAsia"/>
          <w:spacing w:val="-2"/>
          <w:szCs w:val="21"/>
          <w:highlight w:val="white"/>
          <w:lang w:eastAsia="zh-CN"/>
        </w:rPr>
        <w:t>国债期货</w:t>
      </w:r>
      <w:r>
        <w:rPr>
          <w:rFonts w:ascii="宋体" w:hAnsi="Calibri"/>
          <w:spacing w:val="-2"/>
          <w:szCs w:val="21"/>
          <w:highlight w:val="white"/>
          <w:lang w:eastAsia="zh-CN"/>
        </w:rPr>
        <w:t>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（2）本基金的投资范围包括资产支持证券，资产支持证券存在一定的信用风险、利率风险、流动性风险、提前偿付风险、操作风险和法律风险，由此可能给基金净值带来不利影响或损失。</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3）本基金的投资范围包括存托凭证，除与其他投资于股票的基金所面临的共同风险外，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r>
        <w:rPr>
          <w:rFonts w:ascii="宋体" w:hAnsi="Calibri"/>
          <w:spacing w:val="-2"/>
          <w:szCs w:val="21"/>
          <w:highlight w:val="white"/>
          <w:lang w:eastAsia="zh-CN"/>
        </w:rPr>
        <w:t>托协议</w:t>
      </w:r>
      <w:r>
        <w:rPr>
          <w:rFonts w:ascii="宋体" w:hAnsi="Calibri"/>
          <w:spacing w:val="-2"/>
          <w:szCs w:val="21"/>
          <w:highlight w:val="white"/>
          <w:lang w:eastAsia="zh-CN"/>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6、参与转融通证券出借业务的风险</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本基金可参与转融通证券出借业务，面临的风险包括但不限于：（1）流动性风险，指面临大额赎回时，可能因证券出借原因发生无法及时变</w:t>
      </w:r>
      <w:r>
        <w:rPr>
          <w:rFonts w:ascii="宋体" w:hAnsi="Calibri"/>
          <w:spacing w:val="-2"/>
          <w:szCs w:val="21"/>
          <w:highlight w:val="white"/>
          <w:lang w:eastAsia="zh-CN"/>
        </w:rPr>
        <w:t>现支付</w:t>
      </w:r>
      <w:r>
        <w:rPr>
          <w:rFonts w:ascii="宋体" w:hAnsi="Calibri"/>
          <w:spacing w:val="-2"/>
          <w:szCs w:val="21"/>
          <w:highlight w:val="white"/>
          <w:lang w:eastAsia="zh-CN"/>
        </w:rPr>
        <w:t>赎回款项的风险；（2）信用风险，指证券出借对手方可能无法及时归还证券、无法支付相应权益补偿及借券费用的风险；（3）市场风险，指证券出借后可能面临出借期间无法及时处置证券的市场风险；（4）其他风险，如宏观政策变化、证券市场剧烈波动、个别证券出现重大事件、交易对手方违约、业务规则调整、信息技术不能正常运行等风险。</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7、本基金为发起式基金，本基金发起资金来源于基金管理人固有资金。发起资金提供方认购基金的金额不少于1000万元人民币，且持有认购份额的期限不少于3年。本基金发起资金提供方对本基金的发起认购，并不代表对本基金的风险或收益的任何判断、预测、推荐和保证，发起资金也并不用于对投资人投资亏损的补偿，投资人及发起资金认购人均自行承担投资风险。本基金发起资金认购的本基金份额持有期限自基金合同生效日起满3年后，发起资金提供方将根据自身情况决定是否继续持有，届时发起资金提供方有可能赎回认购的本基金份额。</w:t>
      </w:r>
    </w:p>
    <w:p w:rsidR="0097367D">
      <w:pPr>
        <w:spacing w:line="360" w:lineRule="auto"/>
        <w:ind w:firstLine="420" w:firstLineChars="200"/>
        <w:rPr>
          <w:rFonts w:ascii="宋体" w:hAnsi="Calibri"/>
          <w:spacing w:val="-2"/>
          <w:szCs w:val="21"/>
          <w:lang w:eastAsia="zh-CN"/>
        </w:rPr>
      </w:pPr>
      <w:r>
        <w:rPr>
          <w:rFonts w:ascii="宋体" w:hAnsi="Calibri"/>
          <w:spacing w:val="-2"/>
          <w:szCs w:val="21"/>
          <w:highlight w:val="white"/>
          <w:lang w:eastAsia="zh-CN"/>
        </w:rPr>
        <w:t>8、</w:t>
      </w:r>
      <w:r>
        <w:rPr>
          <w:rFonts w:ascii="宋体" w:hAnsi="Calibri" w:hint="eastAsia"/>
          <w:bCs/>
          <w:szCs w:val="21"/>
          <w:highlight w:val="white"/>
          <w:lang w:eastAsia="zh-CN"/>
        </w:rPr>
        <w:t>基金合同</w:t>
      </w:r>
      <w:r>
        <w:rPr>
          <w:rFonts w:ascii="宋体" w:hAnsi="Calibri"/>
          <w:bCs/>
          <w:szCs w:val="21"/>
          <w:highlight w:val="white"/>
          <w:lang w:eastAsia="zh-CN"/>
        </w:rPr>
        <w:t>终止</w:t>
      </w:r>
      <w:r>
        <w:rPr>
          <w:rFonts w:ascii="宋体" w:hAnsi="Calibri" w:hint="eastAsia"/>
          <w:bCs/>
          <w:szCs w:val="21"/>
          <w:highlight w:val="white"/>
          <w:lang w:eastAsia="zh-CN"/>
        </w:rPr>
        <w:t>的</w:t>
      </w:r>
      <w:r>
        <w:rPr>
          <w:rFonts w:ascii="宋体" w:hAnsi="Calibri"/>
          <w:bCs/>
          <w:szCs w:val="21"/>
          <w:highlight w:val="white"/>
          <w:lang w:eastAsia="zh-CN"/>
        </w:rPr>
        <w:t>风险</w:t>
      </w:r>
    </w:p>
    <w:p w:rsidR="0097367D">
      <w:pPr>
        <w:spacing w:line="360" w:lineRule="auto"/>
        <w:ind w:firstLine="420"/>
        <w:rPr>
          <w:rFonts w:ascii="宋体" w:hAnsi="Calibri"/>
          <w:spacing w:val="-2"/>
          <w:szCs w:val="21"/>
          <w:lang w:eastAsia="zh-CN"/>
        </w:rPr>
      </w:pPr>
      <w:r>
        <w:rPr>
          <w:rFonts w:ascii="宋体" w:hAnsi="Calibri" w:hint="eastAsia"/>
          <w:spacing w:val="-2"/>
          <w:szCs w:val="21"/>
          <w:highlight w:val="white"/>
          <w:lang w:eastAsia="zh-CN"/>
        </w:rPr>
        <w:t>基金合同生效之日起三年后的年度对应日，</w:t>
      </w:r>
      <w:r>
        <w:rPr>
          <w:rFonts w:ascii="宋体" w:hAnsi="Calibri" w:hint="eastAsia"/>
          <w:spacing w:val="-2"/>
          <w:szCs w:val="21"/>
          <w:highlight w:val="white"/>
          <w:lang w:eastAsia="zh-CN"/>
        </w:rPr>
        <w:t>若基金</w:t>
      </w:r>
      <w:r>
        <w:rPr>
          <w:rFonts w:ascii="宋体" w:hAnsi="Calibri" w:hint="eastAsia"/>
          <w:spacing w:val="-2"/>
          <w:szCs w:val="21"/>
          <w:highlight w:val="white"/>
          <w:lang w:eastAsia="zh-CN"/>
        </w:rPr>
        <w:t>资产净值低于2亿元，基金合同自动终止且不得通过召开基金份额持有人大会的方式延续，投资人将面临基金合同可能终止的不确定性风险。</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二、市场风险</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w:t>
      </w:r>
      <w:r>
        <w:rPr>
          <w:rFonts w:ascii="宋体" w:hAnsi="Calibri" w:cs="宋体" w:hint="eastAsia"/>
          <w:szCs w:val="21"/>
          <w:highlight w:val="white"/>
          <w:lang w:eastAsia="zh-CN"/>
        </w:rPr>
        <w:t>、政策风险</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因国家宏观政策（如货币政策、财政政策、产业政策、地区发展政策等）发生变化，导致市场价格波动而产生风险。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、利率风险</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基金可投资于股票和债券，其收益水平可能会受到利率变化的影响。</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3</w:t>
      </w:r>
      <w:r>
        <w:rPr>
          <w:rFonts w:ascii="宋体" w:hAnsi="Calibri" w:cs="宋体" w:hint="eastAsia"/>
          <w:szCs w:val="21"/>
          <w:highlight w:val="white"/>
          <w:lang w:eastAsia="zh-CN"/>
        </w:rPr>
        <w:t>、购买力风险</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如果发生通货膨胀，基金投资于证券所获得的收益可能会被通货膨胀抵消，从而影响基金资产的实际收益率。</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4</w:t>
      </w:r>
      <w:r>
        <w:rPr>
          <w:rFonts w:ascii="宋体" w:hAnsi="Calibri" w:cs="宋体" w:hint="eastAsia"/>
          <w:szCs w:val="21"/>
          <w:highlight w:val="white"/>
          <w:lang w:eastAsia="zh-CN"/>
        </w:rPr>
        <w:t>、信用风险</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信用风险主要指债券、票据发行主体、存款银行信用状况可能恶化而可能产生的到期不能兑付的风险。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5</w:t>
      </w:r>
      <w:r>
        <w:rPr>
          <w:rFonts w:ascii="宋体" w:hAnsi="Calibri" w:cs="宋体" w:hint="eastAsia"/>
          <w:szCs w:val="21"/>
          <w:highlight w:val="white"/>
          <w:lang w:eastAsia="zh-CN"/>
        </w:rPr>
        <w:t>、公司经营风险</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6</w:t>
      </w:r>
      <w:r>
        <w:rPr>
          <w:rFonts w:ascii="宋体" w:hAnsi="Calibri" w:cs="宋体" w:hint="eastAsia"/>
          <w:szCs w:val="21"/>
          <w:highlight w:val="white"/>
          <w:lang w:eastAsia="zh-CN"/>
        </w:rPr>
        <w:t>、经济周期风险</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随着经济运行的周期性变化，证券市场的收益水平也呈周期性变化，基金投资的收益水平也会随之变化，从而产生风险。</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三、流动性风险</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w:t>
      </w:r>
      <w:r>
        <w:rPr>
          <w:rFonts w:ascii="宋体" w:hAnsi="Calibri" w:cs="宋体"/>
          <w:szCs w:val="21"/>
          <w:highlight w:val="white"/>
          <w:lang w:eastAsia="zh-CN"/>
        </w:rPr>
        <w:t>流</w:t>
      </w:r>
      <w:r>
        <w:rPr>
          <w:rFonts w:ascii="宋体" w:hAnsi="Calibri" w:cs="宋体" w:hint="eastAsia"/>
          <w:szCs w:val="21"/>
          <w:highlight w:val="white"/>
          <w:lang w:eastAsia="zh-CN"/>
        </w:rPr>
        <w:t>动</w:t>
      </w:r>
      <w:r>
        <w:rPr>
          <w:rFonts w:ascii="宋体" w:hAnsi="Calibri" w:cs="宋体"/>
          <w:szCs w:val="21"/>
          <w:highlight w:val="white"/>
          <w:lang w:eastAsia="zh-CN"/>
        </w:rPr>
        <w:t>性风险评估</w:t>
      </w:r>
    </w:p>
    <w:p w:rsidR="0097367D">
      <w:pPr>
        <w:spacing w:line="360" w:lineRule="auto"/>
        <w:ind w:firstLine="420"/>
        <w:rPr>
          <w:rFonts w:ascii="宋体" w:hAnsi="Calibri" w:cs="宋体"/>
          <w:szCs w:val="21"/>
          <w:lang w:eastAsia="zh-CN"/>
        </w:rPr>
      </w:pPr>
      <w:r>
        <w:rPr>
          <w:rFonts w:ascii="宋体" w:hAnsi="Calibri" w:hint="eastAsia"/>
          <w:spacing w:val="-2"/>
          <w:szCs w:val="21"/>
          <w:highlight w:val="white"/>
          <w:lang w:eastAsia="zh-CN"/>
        </w:rPr>
        <w:t>本基金是ETF联接基金，主要投资于具有良好流动性的金融工具，包括目标ETF、标的指数成份股及备选成份股。此外，为更好地实现投资目标，本基金可少量投资于非成份股、债券、货币市场工具、金融衍生品以及法律法规或中国证监会允许基金投资的其他金融工具。一般情况下，上述资产市场流动性较好。但不排除在特定阶段、特定市场环境下特定投资标的出现流动性较差的情况，因此，本基金投资于上述资产时，可能存在以下流动性风险：一是基金管理人建仓或进行组合调整时，可能由于特定投资标的流动性相对不足而无法按预期的价格买卖或</w:t>
      </w:r>
      <w:r>
        <w:rPr>
          <w:rFonts w:ascii="宋体" w:hAnsi="Calibri" w:hint="eastAsia"/>
          <w:spacing w:val="-2"/>
          <w:szCs w:val="21"/>
          <w:highlight w:val="white"/>
          <w:lang w:eastAsia="zh-CN"/>
        </w:rPr>
        <w:t>申赎目标</w:t>
      </w:r>
      <w:r>
        <w:rPr>
          <w:rFonts w:ascii="宋体" w:hAnsi="Calibri" w:hint="eastAsia"/>
          <w:spacing w:val="-2"/>
          <w:szCs w:val="21"/>
          <w:highlight w:val="white"/>
          <w:lang w:eastAsia="zh-CN"/>
        </w:rPr>
        <w:t>ETF；二是为应付投资者的赎回，基金被迫以不适当的价格卖出或赎回目标ETF，或卖出股票、债券、其他资产。两者均可能使基金净值受到不利影响。</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w:t>
      </w:r>
      <w:r>
        <w:rPr>
          <w:rFonts w:ascii="宋体" w:hAnsi="Calibri" w:cs="宋体"/>
          <w:szCs w:val="21"/>
          <w:highlight w:val="white"/>
          <w:lang w:eastAsia="zh-CN"/>
        </w:rPr>
        <w:t>巨额赎回情形下</w:t>
      </w:r>
      <w:r>
        <w:rPr>
          <w:rFonts w:ascii="宋体" w:hAnsi="Calibri" w:cs="宋体" w:hint="eastAsia"/>
          <w:szCs w:val="21"/>
          <w:highlight w:val="white"/>
          <w:lang w:eastAsia="zh-CN"/>
        </w:rPr>
        <w:t>的流动性</w:t>
      </w:r>
      <w:r>
        <w:rPr>
          <w:rFonts w:ascii="宋体" w:hAnsi="Calibri" w:cs="宋体"/>
          <w:szCs w:val="21"/>
          <w:highlight w:val="white"/>
          <w:lang w:eastAsia="zh-CN"/>
        </w:rPr>
        <w:t>风险管理措施</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hAnsi="Calibri" w:cs="宋体"/>
          <w:szCs w:val="21"/>
          <w:highlight w:val="white"/>
          <w:lang w:eastAsia="zh-CN"/>
        </w:rPr>
        <w:t>本基金发生巨额赎回且</w:t>
      </w:r>
      <w:r>
        <w:rPr>
          <w:rFonts w:ascii="宋体" w:hAnsi="Calibri" w:cs="宋体" w:hint="eastAsia"/>
          <w:szCs w:val="21"/>
          <w:highlight w:val="white"/>
          <w:lang w:eastAsia="zh-CN"/>
        </w:rPr>
        <w:t>单个基金份额持有人的赎回申请超过上一开放日基金总份额10%的，基金管理人有权对该单个基金份额持有人超出该比例的赎回申请实施延期办理。具体</w:t>
      </w:r>
      <w:r>
        <w:rPr>
          <w:rFonts w:ascii="宋体" w:hAnsi="Calibri" w:cs="宋体"/>
          <w:szCs w:val="21"/>
          <w:highlight w:val="white"/>
          <w:lang w:eastAsia="zh-CN"/>
        </w:rPr>
        <w:t>情形、</w:t>
      </w:r>
      <w:r>
        <w:rPr>
          <w:rFonts w:ascii="宋体" w:hAnsi="Calibri" w:cs="宋体" w:hint="eastAsia"/>
          <w:szCs w:val="21"/>
          <w:highlight w:val="white"/>
          <w:lang w:eastAsia="zh-CN"/>
        </w:rPr>
        <w:t>程序见</w:t>
      </w:r>
      <w:r>
        <w:rPr>
          <w:rFonts w:ascii="宋体" w:hAnsi="Calibri" w:cs="宋体"/>
          <w:szCs w:val="21"/>
          <w:highlight w:val="white"/>
          <w:lang w:eastAsia="zh-CN"/>
        </w:rPr>
        <w:t>招募说明书</w:t>
      </w:r>
      <w:r>
        <w:rPr>
          <w:rFonts w:ascii="宋体" w:hAnsi="Calibri" w:cs="宋体" w:hint="eastAsia"/>
          <w:szCs w:val="21"/>
          <w:highlight w:val="white"/>
          <w:lang w:eastAsia="zh-CN"/>
        </w:rPr>
        <w:t>“基金份额的申购、赎回”之“</w:t>
      </w:r>
      <w:r>
        <w:rPr>
          <w:rFonts w:ascii="宋体" w:hAnsi="Calibri" w:cs="宋体"/>
          <w:szCs w:val="21"/>
          <w:highlight w:val="white"/>
          <w:lang w:eastAsia="zh-CN"/>
        </w:rPr>
        <w:t>巨额赎回的</w:t>
      </w:r>
      <w:r>
        <w:rPr>
          <w:rFonts w:ascii="宋体" w:hAnsi="Calibri" w:cs="宋体"/>
          <w:color w:val="000000"/>
          <w:szCs w:val="21"/>
          <w:highlight w:val="white"/>
          <w:lang w:eastAsia="zh-CN"/>
        </w:rPr>
        <w:t>情形</w:t>
      </w:r>
      <w:r>
        <w:rPr>
          <w:rFonts w:ascii="宋体" w:hAnsi="Calibri" w:cs="宋体"/>
          <w:szCs w:val="21"/>
          <w:highlight w:val="white"/>
          <w:lang w:eastAsia="zh-CN"/>
        </w:rPr>
        <w:t>及处理方式</w:t>
      </w:r>
      <w:r>
        <w:rPr>
          <w:rFonts w:ascii="宋体" w:hAnsi="Calibri" w:cs="宋体" w:hint="eastAsia"/>
          <w:szCs w:val="21"/>
          <w:highlight w:val="white"/>
          <w:lang w:eastAsia="zh-CN"/>
        </w:rPr>
        <w:t>”。</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发生</w:t>
      </w:r>
      <w:r>
        <w:rPr>
          <w:rFonts w:ascii="宋体" w:hAnsi="Calibri" w:cs="宋体"/>
          <w:szCs w:val="21"/>
          <w:highlight w:val="white"/>
          <w:lang w:eastAsia="zh-CN"/>
        </w:rPr>
        <w:t>上述情形时，投资人面临无法</w:t>
      </w:r>
      <w:r>
        <w:rPr>
          <w:rFonts w:ascii="宋体" w:hAnsi="Calibri" w:cs="宋体" w:hint="eastAsia"/>
          <w:szCs w:val="21"/>
          <w:highlight w:val="white"/>
          <w:lang w:eastAsia="zh-CN"/>
        </w:rPr>
        <w:t>全</w:t>
      </w:r>
      <w:r>
        <w:rPr>
          <w:rFonts w:ascii="宋体" w:hAnsi="Calibri" w:cs="宋体"/>
          <w:szCs w:val="21"/>
          <w:highlight w:val="white"/>
          <w:lang w:eastAsia="zh-CN"/>
        </w:rPr>
        <w:t>部赎回或无法及时获得</w:t>
      </w:r>
      <w:r>
        <w:rPr>
          <w:rFonts w:ascii="宋体" w:hAnsi="Calibri" w:cs="宋体" w:hint="eastAsia"/>
          <w:szCs w:val="21"/>
          <w:highlight w:val="white"/>
          <w:lang w:eastAsia="zh-CN"/>
        </w:rPr>
        <w:t>赎</w:t>
      </w:r>
      <w:r>
        <w:rPr>
          <w:rFonts w:ascii="宋体" w:hAnsi="Calibri" w:cs="宋体"/>
          <w:szCs w:val="21"/>
          <w:highlight w:val="white"/>
          <w:lang w:eastAsia="zh-CN"/>
        </w:rPr>
        <w:t>回资金的风险</w:t>
      </w:r>
      <w:r>
        <w:rPr>
          <w:rFonts w:ascii="宋体" w:hAnsi="Calibri" w:cs="宋体" w:hint="eastAsia"/>
          <w:szCs w:val="21"/>
          <w:highlight w:val="white"/>
          <w:lang w:eastAsia="zh-CN"/>
        </w:rPr>
        <w:t>。在</w:t>
      </w:r>
      <w:r>
        <w:rPr>
          <w:rFonts w:ascii="宋体" w:hAnsi="Calibri" w:cs="宋体"/>
          <w:szCs w:val="21"/>
          <w:highlight w:val="white"/>
          <w:lang w:eastAsia="zh-CN"/>
        </w:rPr>
        <w:t>本基金暂停</w:t>
      </w:r>
      <w:r>
        <w:rPr>
          <w:rFonts w:ascii="宋体" w:hAnsi="Calibri" w:cs="宋体" w:hint="eastAsia"/>
          <w:szCs w:val="21"/>
          <w:highlight w:val="white"/>
          <w:lang w:eastAsia="zh-CN"/>
        </w:rPr>
        <w:t>或</w:t>
      </w:r>
      <w:r>
        <w:rPr>
          <w:rFonts w:ascii="宋体" w:hAnsi="Calibri" w:cs="宋体"/>
          <w:szCs w:val="21"/>
          <w:highlight w:val="white"/>
          <w:lang w:eastAsia="zh-CN"/>
        </w:rPr>
        <w:t>延期办理</w:t>
      </w:r>
      <w:r>
        <w:rPr>
          <w:rFonts w:ascii="宋体" w:hAnsi="Calibri" w:cs="宋体" w:hint="eastAsia"/>
          <w:szCs w:val="21"/>
          <w:highlight w:val="white"/>
          <w:lang w:eastAsia="zh-CN"/>
        </w:rPr>
        <w:t>投资者</w:t>
      </w:r>
      <w:r>
        <w:rPr>
          <w:rFonts w:ascii="宋体" w:hAnsi="Calibri" w:cs="宋体"/>
          <w:szCs w:val="21"/>
          <w:highlight w:val="white"/>
          <w:lang w:eastAsia="zh-CN"/>
        </w:rPr>
        <w:t>赎回申请</w:t>
      </w:r>
      <w:r>
        <w:rPr>
          <w:rFonts w:ascii="宋体" w:hAnsi="Calibri" w:cs="宋体" w:hint="eastAsia"/>
          <w:szCs w:val="21"/>
          <w:highlight w:val="white"/>
          <w:lang w:eastAsia="zh-CN"/>
        </w:rPr>
        <w:t>的</w:t>
      </w:r>
      <w:r>
        <w:rPr>
          <w:rFonts w:ascii="宋体" w:hAnsi="Calibri" w:cs="宋体"/>
          <w:szCs w:val="21"/>
          <w:highlight w:val="white"/>
          <w:lang w:eastAsia="zh-CN"/>
        </w:rPr>
        <w:t>情况下，投资者</w:t>
      </w:r>
      <w:r>
        <w:rPr>
          <w:rFonts w:ascii="宋体" w:hAnsi="Calibri" w:cs="宋体" w:hint="eastAsia"/>
          <w:szCs w:val="21"/>
          <w:highlight w:val="white"/>
          <w:lang w:eastAsia="zh-CN"/>
        </w:rPr>
        <w:t>未能</w:t>
      </w:r>
      <w:r>
        <w:rPr>
          <w:rFonts w:ascii="宋体" w:hAnsi="Calibri" w:cs="宋体"/>
          <w:szCs w:val="21"/>
          <w:highlight w:val="white"/>
          <w:lang w:eastAsia="zh-CN"/>
        </w:rPr>
        <w:t>赎回的基金份额还将面临净值波动的风险。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3</w:t>
      </w:r>
      <w:r>
        <w:rPr>
          <w:rFonts w:ascii="宋体" w:hAnsi="Calibri" w:cs="宋体" w:hint="eastAsia"/>
          <w:szCs w:val="21"/>
          <w:highlight w:val="white"/>
          <w:lang w:eastAsia="zh-CN"/>
        </w:rPr>
        <w:t>、除巨额</w:t>
      </w:r>
      <w:r>
        <w:rPr>
          <w:rFonts w:ascii="宋体" w:hAnsi="Calibri" w:cs="宋体"/>
          <w:szCs w:val="21"/>
          <w:highlight w:val="white"/>
          <w:lang w:eastAsia="zh-CN"/>
        </w:rPr>
        <w:t>赎回情形外</w:t>
      </w:r>
      <w:r>
        <w:rPr>
          <w:rFonts w:ascii="宋体" w:hAnsi="Calibri" w:cs="宋体" w:hint="eastAsia"/>
          <w:szCs w:val="21"/>
          <w:highlight w:val="white"/>
          <w:lang w:eastAsia="zh-CN"/>
        </w:rPr>
        <w:t>实施</w:t>
      </w:r>
      <w:r>
        <w:rPr>
          <w:rFonts w:ascii="宋体" w:hAnsi="Calibri" w:cs="宋体"/>
          <w:szCs w:val="21"/>
          <w:highlight w:val="white"/>
          <w:lang w:eastAsia="zh-CN"/>
        </w:rPr>
        <w:t>备</w:t>
      </w:r>
      <w:r>
        <w:rPr>
          <w:rFonts w:ascii="宋体" w:hAnsi="Calibri" w:cs="宋体" w:hint="eastAsia"/>
          <w:szCs w:val="21"/>
          <w:highlight w:val="white"/>
          <w:lang w:eastAsia="zh-CN"/>
        </w:rPr>
        <w:t>用</w:t>
      </w:r>
      <w:r>
        <w:rPr>
          <w:rFonts w:ascii="宋体" w:hAnsi="Calibri" w:cs="宋体"/>
          <w:szCs w:val="21"/>
          <w:highlight w:val="white"/>
          <w:lang w:eastAsia="zh-CN"/>
        </w:rPr>
        <w:t>的流动性风险管理工具的情形、程序及对投资者的潜在影响</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除</w:t>
      </w:r>
      <w:r>
        <w:rPr>
          <w:rFonts w:ascii="宋体" w:hAnsi="Calibri" w:cs="宋体"/>
          <w:szCs w:val="21"/>
          <w:highlight w:val="white"/>
          <w:lang w:eastAsia="zh-CN"/>
        </w:rPr>
        <w:t>巨额赎回</w:t>
      </w:r>
      <w:r>
        <w:rPr>
          <w:rFonts w:ascii="宋体" w:hAnsi="Calibri" w:cs="宋体" w:hint="eastAsia"/>
          <w:szCs w:val="21"/>
          <w:highlight w:val="white"/>
          <w:lang w:eastAsia="zh-CN"/>
        </w:rPr>
        <w:t>情形外</w:t>
      </w:r>
      <w:r>
        <w:rPr>
          <w:rFonts w:ascii="宋体" w:hAnsi="Calibri" w:cs="宋体"/>
          <w:szCs w:val="21"/>
          <w:highlight w:val="white"/>
          <w:lang w:eastAsia="zh-CN"/>
        </w:rPr>
        <w:t>，</w:t>
      </w:r>
      <w:r>
        <w:rPr>
          <w:rFonts w:ascii="宋体" w:hAnsi="Calibri" w:cs="宋体" w:hint="eastAsia"/>
          <w:szCs w:val="21"/>
          <w:highlight w:val="white"/>
          <w:lang w:eastAsia="zh-CN"/>
        </w:rPr>
        <w:t>本基金</w:t>
      </w:r>
      <w:r>
        <w:rPr>
          <w:rFonts w:ascii="宋体" w:hAnsi="Calibri" w:cs="宋体"/>
          <w:szCs w:val="21"/>
          <w:highlight w:val="white"/>
          <w:lang w:eastAsia="zh-CN"/>
        </w:rPr>
        <w:t>备用流动性风险管理工具</w:t>
      </w:r>
      <w:r>
        <w:rPr>
          <w:rFonts w:ascii="宋体" w:hAnsi="Calibri" w:cs="宋体" w:hint="eastAsia"/>
          <w:szCs w:val="21"/>
          <w:highlight w:val="white"/>
          <w:lang w:eastAsia="zh-CN"/>
        </w:rPr>
        <w:t>包括但</w:t>
      </w:r>
      <w:r>
        <w:rPr>
          <w:rFonts w:ascii="宋体" w:hAnsi="Calibri" w:cs="宋体"/>
          <w:szCs w:val="21"/>
          <w:highlight w:val="white"/>
          <w:lang w:eastAsia="zh-CN"/>
        </w:rPr>
        <w:t>不限于</w:t>
      </w:r>
      <w:r>
        <w:rPr>
          <w:rFonts w:ascii="宋体" w:hAnsi="Calibri" w:cs="宋体" w:hint="eastAsia"/>
          <w:szCs w:val="21"/>
          <w:highlight w:val="white"/>
          <w:lang w:eastAsia="zh-CN"/>
        </w:rPr>
        <w:t>暂停</w:t>
      </w:r>
      <w:r>
        <w:rPr>
          <w:rFonts w:ascii="宋体" w:hAnsi="Calibri" w:cs="宋体"/>
          <w:szCs w:val="21"/>
          <w:highlight w:val="white"/>
          <w:lang w:eastAsia="zh-CN"/>
        </w:rPr>
        <w:t>接受赎回申请、延缓支付赎回款项、收取短期赎回费、暂停基金估值</w:t>
      </w:r>
      <w:r>
        <w:rPr>
          <w:rFonts w:ascii="宋体" w:hAnsi="Calibri" w:cs="宋体" w:hint="eastAsia"/>
          <w:szCs w:val="21"/>
          <w:highlight w:val="white"/>
          <w:lang w:eastAsia="zh-CN"/>
        </w:rPr>
        <w:t>、</w:t>
      </w:r>
      <w:r>
        <w:rPr>
          <w:rFonts w:ascii="宋体" w:hAnsi="Calibri" w:cs="宋体"/>
          <w:szCs w:val="21"/>
          <w:highlight w:val="white"/>
          <w:lang w:eastAsia="zh-CN"/>
        </w:rPr>
        <w:t>摆动定价</w:t>
      </w:r>
      <w:r>
        <w:rPr>
          <w:rFonts w:ascii="宋体" w:hAnsi="Calibri" w:cs="宋体" w:hint="eastAsia"/>
          <w:szCs w:val="21"/>
          <w:highlight w:val="white"/>
          <w:lang w:eastAsia="zh-CN"/>
        </w:rPr>
        <w:t>、实施</w:t>
      </w:r>
      <w:r>
        <w:rPr>
          <w:rFonts w:ascii="宋体" w:hAnsi="Calibri" w:cs="宋体" w:hint="eastAsia"/>
          <w:szCs w:val="21"/>
          <w:highlight w:val="white"/>
          <w:lang w:eastAsia="zh-CN"/>
        </w:rPr>
        <w:t>侧袋机制</w:t>
      </w:r>
      <w:r>
        <w:rPr>
          <w:rFonts w:ascii="宋体" w:hAnsi="Calibri" w:cs="宋体" w:hint="eastAsia"/>
          <w:szCs w:val="21"/>
          <w:highlight w:val="white"/>
          <w:lang w:eastAsia="zh-CN"/>
        </w:rPr>
        <w:t>以及证</w:t>
      </w:r>
      <w:r>
        <w:rPr>
          <w:rFonts w:ascii="宋体" w:hAnsi="Calibri" w:cs="宋体"/>
          <w:szCs w:val="21"/>
          <w:highlight w:val="white"/>
          <w:lang w:eastAsia="zh-CN"/>
        </w:rPr>
        <w:t>监会认定的其他措施。</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暂停</w:t>
      </w:r>
      <w:r>
        <w:rPr>
          <w:rFonts w:ascii="宋体" w:hAnsi="Calibri" w:cs="宋体"/>
          <w:szCs w:val="21"/>
          <w:highlight w:val="white"/>
          <w:lang w:eastAsia="zh-CN"/>
        </w:rPr>
        <w:t>接受赎回申请、延缓支付赎回款项</w:t>
      </w:r>
      <w:r>
        <w:rPr>
          <w:rFonts w:ascii="宋体" w:hAnsi="Calibri" w:cs="宋体" w:hint="eastAsia"/>
          <w:szCs w:val="21"/>
          <w:highlight w:val="white"/>
          <w:lang w:eastAsia="zh-CN"/>
        </w:rPr>
        <w:t>等</w:t>
      </w:r>
      <w:r>
        <w:rPr>
          <w:rFonts w:ascii="宋体" w:hAnsi="Calibri" w:cs="宋体"/>
          <w:szCs w:val="21"/>
          <w:highlight w:val="white"/>
          <w:lang w:eastAsia="zh-CN"/>
        </w:rPr>
        <w:t>工具的情形、程序</w:t>
      </w:r>
      <w:r>
        <w:rPr>
          <w:rFonts w:ascii="宋体" w:hAnsi="Calibri" w:cs="宋体" w:hint="eastAsia"/>
          <w:szCs w:val="21"/>
          <w:highlight w:val="white"/>
          <w:lang w:eastAsia="zh-CN"/>
        </w:rPr>
        <w:t>见招募</w:t>
      </w:r>
      <w:r>
        <w:rPr>
          <w:rFonts w:ascii="宋体" w:hAnsi="Calibri" w:cs="宋体"/>
          <w:szCs w:val="21"/>
          <w:highlight w:val="white"/>
          <w:lang w:eastAsia="zh-CN"/>
        </w:rPr>
        <w:t>说明</w:t>
      </w:r>
      <w:r>
        <w:rPr>
          <w:rFonts w:ascii="宋体" w:hAnsi="Calibri" w:cs="宋体" w:hint="eastAsia"/>
          <w:szCs w:val="21"/>
          <w:highlight w:val="white"/>
          <w:lang w:eastAsia="zh-CN"/>
        </w:rPr>
        <w:t>书“基金份额的申购、赎回”</w:t>
      </w:r>
      <w:r>
        <w:rPr>
          <w:rFonts w:ascii="宋体" w:hAnsi="Calibri" w:cs="宋体"/>
          <w:szCs w:val="21"/>
          <w:highlight w:val="white"/>
          <w:lang w:eastAsia="zh-CN"/>
        </w:rPr>
        <w:t>之</w:t>
      </w:r>
      <w:r>
        <w:rPr>
          <w:rFonts w:ascii="宋体" w:hAnsi="Calibri" w:cs="宋体" w:hint="eastAsia"/>
          <w:szCs w:val="21"/>
          <w:highlight w:val="white"/>
          <w:lang w:eastAsia="zh-CN"/>
        </w:rPr>
        <w:t>“</w:t>
      </w:r>
      <w:r>
        <w:rPr>
          <w:rFonts w:ascii="宋体" w:hAnsi="Calibri" w:cs="宋体"/>
          <w:color w:val="000000"/>
          <w:szCs w:val="21"/>
          <w:highlight w:val="white"/>
          <w:lang w:eastAsia="zh-CN"/>
        </w:rPr>
        <w:t>暂停赎回或延缓支付赎回款项的情形</w:t>
      </w:r>
      <w:r>
        <w:rPr>
          <w:rFonts w:ascii="宋体" w:hAnsi="Calibri" w:cs="宋体" w:hint="eastAsia"/>
          <w:szCs w:val="21"/>
          <w:highlight w:val="white"/>
          <w:lang w:eastAsia="zh-CN"/>
        </w:rPr>
        <w:t>”的相关规定。若</w:t>
      </w:r>
      <w:r>
        <w:rPr>
          <w:rFonts w:ascii="宋体" w:hAnsi="Calibri" w:cs="宋体"/>
          <w:szCs w:val="21"/>
          <w:highlight w:val="white"/>
          <w:lang w:eastAsia="zh-CN"/>
        </w:rPr>
        <w:t>本基金暂停赎回申请</w:t>
      </w:r>
      <w:r>
        <w:rPr>
          <w:rFonts w:ascii="宋体" w:hAnsi="Calibri" w:cs="宋体" w:hint="eastAsia"/>
          <w:szCs w:val="21"/>
          <w:highlight w:val="white"/>
          <w:lang w:eastAsia="zh-CN"/>
        </w:rPr>
        <w:t>，</w:t>
      </w:r>
      <w:r>
        <w:rPr>
          <w:rFonts w:ascii="宋体" w:hAnsi="Calibri" w:cs="宋体"/>
          <w:szCs w:val="21"/>
          <w:highlight w:val="white"/>
          <w:lang w:eastAsia="zh-CN"/>
        </w:rPr>
        <w:t>投资</w:t>
      </w:r>
      <w:r>
        <w:rPr>
          <w:rFonts w:ascii="宋体" w:hAnsi="Calibri" w:cs="宋体" w:hint="eastAsia"/>
          <w:szCs w:val="21"/>
          <w:highlight w:val="white"/>
          <w:lang w:eastAsia="zh-CN"/>
        </w:rPr>
        <w:t>者在</w:t>
      </w:r>
      <w:r>
        <w:rPr>
          <w:rFonts w:ascii="宋体" w:hAnsi="Calibri" w:cs="宋体"/>
          <w:szCs w:val="21"/>
          <w:highlight w:val="white"/>
          <w:lang w:eastAsia="zh-CN"/>
        </w:rPr>
        <w:t>暂停赎回期间将</w:t>
      </w:r>
      <w:r>
        <w:rPr>
          <w:rFonts w:ascii="宋体" w:hAnsi="Calibri" w:cs="宋体" w:hint="eastAsia"/>
          <w:szCs w:val="21"/>
          <w:highlight w:val="white"/>
          <w:lang w:eastAsia="zh-CN"/>
        </w:rPr>
        <w:t>无法</w:t>
      </w:r>
      <w:r>
        <w:rPr>
          <w:rFonts w:ascii="宋体" w:hAnsi="Calibri" w:cs="宋体"/>
          <w:szCs w:val="21"/>
          <w:highlight w:val="white"/>
          <w:lang w:eastAsia="zh-CN"/>
        </w:rPr>
        <w:t>赎回</w:t>
      </w:r>
      <w:r>
        <w:rPr>
          <w:rFonts w:ascii="宋体" w:hAnsi="Calibri" w:cs="宋体" w:hint="eastAsia"/>
          <w:szCs w:val="21"/>
          <w:highlight w:val="white"/>
          <w:lang w:eastAsia="zh-CN"/>
        </w:rPr>
        <w:t>其持有</w:t>
      </w:r>
      <w:r>
        <w:rPr>
          <w:rFonts w:ascii="宋体" w:hAnsi="Calibri" w:cs="宋体"/>
          <w:szCs w:val="21"/>
          <w:highlight w:val="white"/>
          <w:lang w:eastAsia="zh-CN"/>
        </w:rPr>
        <w:t>的基金份额。</w:t>
      </w:r>
      <w:r>
        <w:rPr>
          <w:rFonts w:ascii="宋体" w:hAnsi="Calibri" w:cs="宋体" w:hint="eastAsia"/>
          <w:szCs w:val="21"/>
          <w:highlight w:val="white"/>
          <w:lang w:eastAsia="zh-CN"/>
        </w:rPr>
        <w:t>若本</w:t>
      </w:r>
      <w:r>
        <w:rPr>
          <w:rFonts w:ascii="宋体" w:hAnsi="Calibri" w:cs="宋体"/>
          <w:szCs w:val="21"/>
          <w:highlight w:val="white"/>
          <w:lang w:eastAsia="zh-CN"/>
        </w:rPr>
        <w:t>基金延缓</w:t>
      </w:r>
      <w:r>
        <w:rPr>
          <w:rFonts w:ascii="宋体" w:hAnsi="Calibri" w:cs="宋体" w:hint="eastAsia"/>
          <w:szCs w:val="21"/>
          <w:highlight w:val="white"/>
          <w:lang w:eastAsia="zh-CN"/>
        </w:rPr>
        <w:t>支付</w:t>
      </w:r>
      <w:r>
        <w:rPr>
          <w:rFonts w:ascii="宋体" w:hAnsi="Calibri" w:cs="宋体"/>
          <w:szCs w:val="21"/>
          <w:highlight w:val="white"/>
          <w:lang w:eastAsia="zh-CN"/>
        </w:rPr>
        <w:t>赎回</w:t>
      </w:r>
      <w:r>
        <w:rPr>
          <w:rFonts w:ascii="宋体" w:hAnsi="Calibri" w:cs="宋体" w:hint="eastAsia"/>
          <w:szCs w:val="21"/>
          <w:highlight w:val="white"/>
          <w:lang w:eastAsia="zh-CN"/>
        </w:rPr>
        <w:t>款项，</w:t>
      </w:r>
      <w:r>
        <w:rPr>
          <w:rFonts w:ascii="宋体" w:hAnsi="Calibri" w:cs="宋体" w:hint="eastAsia"/>
          <w:szCs w:val="21"/>
          <w:highlight w:val="white"/>
          <w:lang w:eastAsia="zh-CN"/>
        </w:rPr>
        <w:t>赎回</w:t>
      </w:r>
      <w:r>
        <w:rPr>
          <w:rFonts w:ascii="宋体" w:hAnsi="Calibri" w:cs="宋体"/>
          <w:szCs w:val="21"/>
          <w:highlight w:val="white"/>
          <w:lang w:eastAsia="zh-CN"/>
        </w:rPr>
        <w:t>款</w:t>
      </w:r>
      <w:r>
        <w:rPr>
          <w:rFonts w:ascii="宋体" w:hAnsi="Calibri" w:cs="宋体" w:hint="eastAsia"/>
          <w:szCs w:val="21"/>
          <w:highlight w:val="white"/>
          <w:lang w:eastAsia="zh-CN"/>
        </w:rPr>
        <w:t>支付</w:t>
      </w:r>
      <w:r>
        <w:rPr>
          <w:rFonts w:ascii="宋体" w:hAnsi="Calibri" w:cs="宋体"/>
          <w:szCs w:val="21"/>
          <w:highlight w:val="white"/>
          <w:lang w:eastAsia="zh-CN"/>
        </w:rPr>
        <w:t>时间将后延</w:t>
      </w:r>
      <w:r>
        <w:rPr>
          <w:rFonts w:ascii="宋体" w:hAnsi="Calibri" w:cs="宋体" w:hint="eastAsia"/>
          <w:szCs w:val="21"/>
          <w:highlight w:val="white"/>
          <w:lang w:eastAsia="zh-CN"/>
        </w:rPr>
        <w:t>，可能对</w:t>
      </w:r>
      <w:r>
        <w:rPr>
          <w:rFonts w:ascii="宋体" w:hAnsi="Calibri" w:cs="宋体"/>
          <w:szCs w:val="21"/>
          <w:highlight w:val="white"/>
          <w:lang w:eastAsia="zh-CN"/>
        </w:rPr>
        <w:t>投资者的资金安排带来不利影响。</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短期赎回费</w:t>
      </w:r>
      <w:r>
        <w:rPr>
          <w:rFonts w:ascii="宋体" w:hAnsi="Calibri" w:cs="宋体" w:hint="eastAsia"/>
          <w:szCs w:val="21"/>
          <w:highlight w:val="white"/>
          <w:lang w:eastAsia="zh-CN"/>
        </w:rPr>
        <w:t>适用</w:t>
      </w:r>
      <w:r>
        <w:rPr>
          <w:rFonts w:ascii="宋体" w:hAnsi="Calibri" w:cs="宋体"/>
          <w:szCs w:val="21"/>
          <w:highlight w:val="white"/>
          <w:lang w:eastAsia="zh-CN"/>
        </w:rPr>
        <w:t>于</w:t>
      </w:r>
      <w:r>
        <w:rPr>
          <w:rFonts w:ascii="宋体" w:hAnsi="Calibri" w:cs="宋体" w:hint="eastAsia"/>
          <w:szCs w:val="21"/>
          <w:highlight w:val="white"/>
          <w:lang w:eastAsia="zh-CN"/>
        </w:rPr>
        <w:t>持续持有期少于</w:t>
      </w:r>
      <w:r>
        <w:rPr>
          <w:rFonts w:ascii="宋体" w:hAnsi="Calibri" w:cs="宋体"/>
          <w:szCs w:val="21"/>
          <w:highlight w:val="white"/>
          <w:lang w:eastAsia="zh-CN"/>
        </w:rPr>
        <w:t>7</w:t>
      </w:r>
      <w:r>
        <w:rPr>
          <w:rFonts w:ascii="宋体" w:hAnsi="Calibri" w:cs="宋体" w:hint="eastAsia"/>
          <w:szCs w:val="21"/>
          <w:highlight w:val="white"/>
          <w:lang w:eastAsia="zh-CN"/>
        </w:rPr>
        <w:t>日的投资者，</w:t>
      </w:r>
      <w:r>
        <w:rPr>
          <w:rFonts w:ascii="宋体" w:hAnsi="Calibri" w:cs="宋体"/>
          <w:szCs w:val="21"/>
          <w:highlight w:val="white"/>
          <w:lang w:eastAsia="zh-CN"/>
        </w:rPr>
        <w:t>费率为1.5%</w:t>
      </w:r>
      <w:r>
        <w:rPr>
          <w:rFonts w:ascii="宋体" w:hAnsi="Calibri" w:cs="宋体" w:hint="eastAsia"/>
          <w:szCs w:val="21"/>
          <w:highlight w:val="white"/>
          <w:lang w:eastAsia="zh-CN"/>
        </w:rPr>
        <w:t>。</w:t>
      </w:r>
      <w:r>
        <w:rPr>
          <w:rFonts w:ascii="宋体" w:hAnsi="Calibri" w:cs="宋体"/>
          <w:szCs w:val="21"/>
          <w:highlight w:val="white"/>
          <w:lang w:eastAsia="zh-CN"/>
        </w:rPr>
        <w:t>短期赎回费</w:t>
      </w:r>
      <w:r>
        <w:rPr>
          <w:rFonts w:ascii="宋体" w:hAnsi="Calibri" w:cs="宋体" w:hint="eastAsia"/>
          <w:szCs w:val="21"/>
          <w:highlight w:val="white"/>
          <w:lang w:eastAsia="zh-CN"/>
        </w:rPr>
        <w:t>由赎回基金份额的基金份额持有人承担，在基金份额持有人赎回基金份额时收取。短期</w:t>
      </w:r>
      <w:r>
        <w:rPr>
          <w:rFonts w:ascii="宋体" w:hAnsi="Calibri" w:cs="宋体"/>
          <w:szCs w:val="21"/>
          <w:highlight w:val="white"/>
          <w:lang w:eastAsia="zh-CN"/>
        </w:rPr>
        <w:t>赎回费的</w:t>
      </w:r>
      <w:r>
        <w:rPr>
          <w:rFonts w:ascii="宋体" w:hAnsi="Calibri" w:cs="宋体" w:hint="eastAsia"/>
          <w:szCs w:val="21"/>
          <w:highlight w:val="white"/>
          <w:lang w:eastAsia="zh-CN"/>
        </w:rPr>
        <w:t>收取</w:t>
      </w:r>
      <w:r>
        <w:rPr>
          <w:rFonts w:ascii="宋体" w:hAnsi="Calibri" w:cs="宋体"/>
          <w:szCs w:val="21"/>
          <w:highlight w:val="white"/>
          <w:lang w:eastAsia="zh-CN"/>
        </w:rPr>
        <w:t>将</w:t>
      </w:r>
      <w:r>
        <w:rPr>
          <w:rFonts w:ascii="宋体" w:hAnsi="Calibri" w:cs="宋体" w:hint="eastAsia"/>
          <w:szCs w:val="21"/>
          <w:highlight w:val="white"/>
          <w:lang w:eastAsia="zh-CN"/>
        </w:rPr>
        <w:t>使得</w:t>
      </w:r>
      <w:r>
        <w:rPr>
          <w:rFonts w:ascii="宋体" w:hAnsi="Calibri" w:cs="宋体"/>
          <w:szCs w:val="21"/>
          <w:highlight w:val="white"/>
          <w:lang w:eastAsia="zh-CN"/>
        </w:rPr>
        <w:t>投资者</w:t>
      </w:r>
      <w:r>
        <w:rPr>
          <w:rFonts w:ascii="宋体" w:hAnsi="Calibri" w:cs="宋体" w:hint="eastAsia"/>
          <w:szCs w:val="21"/>
          <w:highlight w:val="white"/>
          <w:lang w:eastAsia="zh-CN"/>
        </w:rPr>
        <w:t>在持续</w:t>
      </w:r>
      <w:r>
        <w:rPr>
          <w:rFonts w:ascii="宋体" w:hAnsi="Calibri" w:cs="宋体"/>
          <w:szCs w:val="21"/>
          <w:highlight w:val="white"/>
          <w:lang w:eastAsia="zh-CN"/>
        </w:rPr>
        <w:t>持有期限少于7日时</w:t>
      </w:r>
      <w:r>
        <w:rPr>
          <w:rFonts w:ascii="宋体" w:hAnsi="Calibri" w:cs="宋体" w:hint="eastAsia"/>
          <w:szCs w:val="21"/>
          <w:highlight w:val="white"/>
          <w:lang w:eastAsia="zh-CN"/>
        </w:rPr>
        <w:t>会</w:t>
      </w:r>
      <w:r>
        <w:rPr>
          <w:rFonts w:ascii="宋体" w:hAnsi="Calibri" w:cs="宋体"/>
          <w:szCs w:val="21"/>
          <w:highlight w:val="white"/>
          <w:lang w:eastAsia="zh-CN"/>
        </w:rPr>
        <w:t>承担较高的赎回费</w:t>
      </w:r>
      <w:r>
        <w:rPr>
          <w:rFonts w:ascii="宋体" w:hAnsi="Calibri" w:cs="宋体" w:hint="eastAsia"/>
          <w:szCs w:val="21"/>
          <w:highlight w:val="white"/>
          <w:lang w:eastAsia="zh-CN"/>
        </w:rPr>
        <w:t>。</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暂停基金</w:t>
      </w:r>
      <w:r>
        <w:rPr>
          <w:rFonts w:ascii="宋体" w:hAnsi="Calibri" w:cs="宋体"/>
          <w:szCs w:val="21"/>
          <w:highlight w:val="white"/>
          <w:lang w:eastAsia="zh-CN"/>
        </w:rPr>
        <w:t>估值</w:t>
      </w:r>
      <w:r>
        <w:rPr>
          <w:rFonts w:ascii="宋体" w:hAnsi="Calibri" w:cs="宋体" w:hint="eastAsia"/>
          <w:szCs w:val="21"/>
          <w:highlight w:val="white"/>
          <w:lang w:eastAsia="zh-CN"/>
        </w:rPr>
        <w:t>的</w:t>
      </w:r>
      <w:r>
        <w:rPr>
          <w:rFonts w:ascii="宋体" w:hAnsi="Calibri" w:cs="宋体"/>
          <w:szCs w:val="21"/>
          <w:highlight w:val="white"/>
          <w:lang w:eastAsia="zh-CN"/>
        </w:rPr>
        <w:t>情形、程序</w:t>
      </w:r>
      <w:r>
        <w:rPr>
          <w:rFonts w:ascii="宋体" w:hAnsi="Calibri" w:cs="宋体" w:hint="eastAsia"/>
          <w:szCs w:val="21"/>
          <w:highlight w:val="white"/>
          <w:lang w:eastAsia="zh-CN"/>
        </w:rPr>
        <w:t>见招募</w:t>
      </w:r>
      <w:r>
        <w:rPr>
          <w:rFonts w:ascii="宋体" w:hAnsi="Calibri" w:cs="宋体"/>
          <w:szCs w:val="21"/>
          <w:highlight w:val="white"/>
          <w:lang w:eastAsia="zh-CN"/>
        </w:rPr>
        <w:t>说明</w:t>
      </w:r>
      <w:r>
        <w:rPr>
          <w:rFonts w:ascii="宋体" w:hAnsi="Calibri" w:cs="宋体" w:hint="eastAsia"/>
          <w:szCs w:val="21"/>
          <w:highlight w:val="white"/>
          <w:lang w:eastAsia="zh-CN"/>
        </w:rPr>
        <w:t>书“基金资产的估值”</w:t>
      </w:r>
      <w:r>
        <w:rPr>
          <w:rFonts w:ascii="宋体" w:hAnsi="Calibri" w:cs="宋体"/>
          <w:szCs w:val="21"/>
          <w:highlight w:val="white"/>
          <w:lang w:eastAsia="zh-CN"/>
        </w:rPr>
        <w:t>之</w:t>
      </w:r>
      <w:r>
        <w:rPr>
          <w:rFonts w:ascii="宋体" w:hAnsi="Calibri" w:cs="宋体" w:hint="eastAsia"/>
          <w:szCs w:val="21"/>
          <w:highlight w:val="white"/>
          <w:lang w:eastAsia="zh-CN"/>
        </w:rPr>
        <w:t>“暂停估值的情形”的相关规定。若</w:t>
      </w:r>
      <w:r>
        <w:rPr>
          <w:rFonts w:ascii="宋体" w:hAnsi="Calibri" w:cs="宋体"/>
          <w:szCs w:val="21"/>
          <w:highlight w:val="white"/>
          <w:lang w:eastAsia="zh-CN"/>
        </w:rPr>
        <w:t>本基金暂停基金估值，</w:t>
      </w:r>
      <w:r>
        <w:rPr>
          <w:rFonts w:ascii="宋体" w:hAnsi="Calibri" w:cs="宋体" w:hint="eastAsia"/>
          <w:szCs w:val="21"/>
          <w:highlight w:val="white"/>
          <w:lang w:eastAsia="zh-CN"/>
        </w:rPr>
        <w:t>一方面</w:t>
      </w:r>
      <w:r>
        <w:rPr>
          <w:rFonts w:ascii="宋体" w:hAnsi="Calibri" w:cs="宋体"/>
          <w:szCs w:val="21"/>
          <w:highlight w:val="white"/>
          <w:lang w:eastAsia="zh-CN"/>
        </w:rPr>
        <w:t>投资者将无法知晓本基金的基金份额净值，</w:t>
      </w:r>
      <w:r>
        <w:rPr>
          <w:rFonts w:ascii="宋体" w:hAnsi="Calibri" w:cs="宋体" w:hint="eastAsia"/>
          <w:szCs w:val="21"/>
          <w:highlight w:val="white"/>
          <w:lang w:eastAsia="zh-CN"/>
        </w:rPr>
        <w:t>另一方面基金</w:t>
      </w:r>
      <w:r>
        <w:rPr>
          <w:rFonts w:ascii="宋体" w:hAnsi="Calibri" w:cs="宋体"/>
          <w:szCs w:val="21"/>
          <w:highlight w:val="white"/>
          <w:lang w:eastAsia="zh-CN"/>
        </w:rPr>
        <w:t>将</w:t>
      </w:r>
      <w:r>
        <w:rPr>
          <w:rFonts w:ascii="宋体" w:hAnsi="Calibri" w:cs="宋体" w:hint="eastAsia"/>
          <w:szCs w:val="21"/>
          <w:highlight w:val="white"/>
          <w:lang w:eastAsia="zh-CN"/>
        </w:rPr>
        <w:t>延缓支付赎回款项或暂停接受基金申购赎回申请</w:t>
      </w:r>
      <w:r>
        <w:rPr>
          <w:rFonts w:ascii="宋体" w:hAnsi="Calibri" w:cs="宋体"/>
          <w:szCs w:val="21"/>
          <w:highlight w:val="white"/>
          <w:lang w:eastAsia="zh-CN"/>
        </w:rPr>
        <w:t>，</w:t>
      </w:r>
      <w:r>
        <w:rPr>
          <w:rFonts w:ascii="宋体" w:hAnsi="Calibri" w:cs="宋体" w:hint="eastAsia"/>
          <w:szCs w:val="21"/>
          <w:highlight w:val="white"/>
          <w:lang w:eastAsia="zh-CN"/>
        </w:rPr>
        <w:t>延缓支付赎回款项</w:t>
      </w:r>
      <w:r>
        <w:rPr>
          <w:rFonts w:ascii="宋体" w:hAnsi="Calibri" w:cs="宋体"/>
          <w:szCs w:val="21"/>
          <w:highlight w:val="white"/>
          <w:lang w:eastAsia="zh-CN"/>
        </w:rPr>
        <w:t>可能影响投资</w:t>
      </w:r>
      <w:r>
        <w:rPr>
          <w:rFonts w:ascii="宋体" w:hAnsi="Calibri" w:cs="宋体" w:hint="eastAsia"/>
          <w:szCs w:val="21"/>
          <w:highlight w:val="white"/>
          <w:lang w:eastAsia="zh-CN"/>
        </w:rPr>
        <w:t>者</w:t>
      </w:r>
      <w:r>
        <w:rPr>
          <w:rFonts w:ascii="宋体" w:hAnsi="Calibri" w:cs="宋体"/>
          <w:szCs w:val="21"/>
          <w:highlight w:val="white"/>
          <w:lang w:eastAsia="zh-CN"/>
        </w:rPr>
        <w:t>的资金安排</w:t>
      </w:r>
      <w:r>
        <w:rPr>
          <w:rFonts w:ascii="宋体" w:hAnsi="Calibri" w:cs="宋体" w:hint="eastAsia"/>
          <w:szCs w:val="21"/>
          <w:highlight w:val="white"/>
          <w:lang w:eastAsia="zh-CN"/>
        </w:rPr>
        <w:t>，暂停接受基金申购赎回申请将</w:t>
      </w:r>
      <w:r>
        <w:rPr>
          <w:rFonts w:ascii="宋体" w:hAnsi="Calibri" w:cs="宋体"/>
          <w:szCs w:val="21"/>
          <w:highlight w:val="white"/>
          <w:lang w:eastAsia="zh-CN"/>
        </w:rPr>
        <w:t>导致投资者无法申购或赎回本基金。</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采用</w:t>
      </w:r>
      <w:r>
        <w:rPr>
          <w:rFonts w:ascii="宋体" w:hAnsi="Calibri" w:cs="宋体"/>
          <w:szCs w:val="21"/>
          <w:highlight w:val="white"/>
          <w:lang w:eastAsia="zh-CN"/>
        </w:rPr>
        <w:t>摆动定价</w:t>
      </w:r>
      <w:r>
        <w:rPr>
          <w:rFonts w:ascii="宋体" w:hAnsi="Calibri" w:cs="宋体" w:hint="eastAsia"/>
          <w:szCs w:val="21"/>
          <w:highlight w:val="white"/>
          <w:lang w:eastAsia="zh-CN"/>
        </w:rPr>
        <w:t>机制的</w:t>
      </w:r>
      <w:r>
        <w:rPr>
          <w:rFonts w:ascii="宋体" w:hAnsi="Calibri" w:cs="宋体"/>
          <w:szCs w:val="21"/>
          <w:highlight w:val="white"/>
          <w:lang w:eastAsia="zh-CN"/>
        </w:rPr>
        <w:t>情形、程序</w:t>
      </w:r>
      <w:r>
        <w:rPr>
          <w:rFonts w:ascii="宋体" w:hAnsi="Calibri" w:cs="宋体" w:hint="eastAsia"/>
          <w:szCs w:val="21"/>
          <w:highlight w:val="white"/>
          <w:lang w:eastAsia="zh-CN"/>
        </w:rPr>
        <w:t>见招募</w:t>
      </w:r>
      <w:r>
        <w:rPr>
          <w:rFonts w:ascii="宋体" w:hAnsi="Calibri" w:cs="宋体"/>
          <w:szCs w:val="21"/>
          <w:highlight w:val="white"/>
          <w:lang w:eastAsia="zh-CN"/>
        </w:rPr>
        <w:t>说明</w:t>
      </w:r>
      <w:r>
        <w:rPr>
          <w:rFonts w:ascii="宋体" w:hAnsi="Calibri" w:cs="宋体" w:hint="eastAsia"/>
          <w:szCs w:val="21"/>
          <w:highlight w:val="white"/>
          <w:lang w:eastAsia="zh-CN"/>
        </w:rPr>
        <w:t>书“基金资产的估值”</w:t>
      </w:r>
      <w:r>
        <w:rPr>
          <w:rFonts w:ascii="宋体" w:hAnsi="Calibri" w:cs="宋体"/>
          <w:szCs w:val="21"/>
          <w:highlight w:val="white"/>
          <w:lang w:eastAsia="zh-CN"/>
        </w:rPr>
        <w:t>之</w:t>
      </w:r>
      <w:r>
        <w:rPr>
          <w:rFonts w:ascii="宋体" w:hAnsi="Calibri" w:cs="宋体" w:hint="eastAsia"/>
          <w:szCs w:val="21"/>
          <w:highlight w:val="white"/>
          <w:lang w:eastAsia="zh-CN"/>
        </w:rPr>
        <w:t>“</w:t>
      </w:r>
      <w:r>
        <w:rPr>
          <w:rStyle w:val="da"/>
          <w:rFonts w:ascii="宋体" w:hAnsi="Calibri" w:cs="宋体"/>
          <w:szCs w:val="21"/>
          <w:highlight w:val="white"/>
          <w:lang w:eastAsia="zh-CN"/>
        </w:rPr>
        <w:t>估值方法</w:t>
      </w:r>
      <w:r>
        <w:rPr>
          <w:rFonts w:ascii="宋体" w:hAnsi="Calibri" w:cs="宋体" w:hint="eastAsia"/>
          <w:szCs w:val="21"/>
          <w:highlight w:val="white"/>
          <w:lang w:eastAsia="zh-CN"/>
        </w:rPr>
        <w:t>”的相关规定。</w:t>
      </w:r>
      <w:r>
        <w:rPr>
          <w:rFonts w:ascii="宋体" w:hAnsi="Calibri" w:cs="宋体"/>
          <w:szCs w:val="21"/>
          <w:highlight w:val="white"/>
          <w:lang w:eastAsia="zh-CN"/>
        </w:rPr>
        <w:t>若</w:t>
      </w:r>
      <w:r>
        <w:rPr>
          <w:rFonts w:ascii="宋体" w:hAnsi="Calibri" w:cs="宋体" w:hint="eastAsia"/>
          <w:szCs w:val="21"/>
          <w:highlight w:val="white"/>
          <w:lang w:eastAsia="zh-CN"/>
        </w:rPr>
        <w:t>本</w:t>
      </w:r>
      <w:r>
        <w:rPr>
          <w:rFonts w:ascii="宋体" w:hAnsi="Calibri" w:cs="宋体"/>
          <w:szCs w:val="21"/>
          <w:highlight w:val="white"/>
          <w:lang w:eastAsia="zh-CN"/>
        </w:rPr>
        <w:t>基金采取摆动定价机制，</w:t>
      </w:r>
      <w:r>
        <w:rPr>
          <w:rFonts w:ascii="宋体" w:hAnsi="Calibri" w:cs="宋体" w:hint="eastAsia"/>
          <w:szCs w:val="21"/>
          <w:highlight w:val="white"/>
          <w:lang w:eastAsia="zh-CN"/>
        </w:rPr>
        <w:t>投资</w:t>
      </w:r>
      <w:r>
        <w:rPr>
          <w:rFonts w:ascii="宋体" w:hAnsi="Calibri" w:cs="宋体"/>
          <w:szCs w:val="21"/>
          <w:highlight w:val="white"/>
          <w:lang w:eastAsia="zh-CN"/>
        </w:rPr>
        <w:t>者申购基金获得的</w:t>
      </w:r>
      <w:r>
        <w:rPr>
          <w:rFonts w:ascii="宋体" w:hAnsi="Calibri" w:cs="宋体" w:hint="eastAsia"/>
          <w:szCs w:val="21"/>
          <w:highlight w:val="white"/>
          <w:lang w:eastAsia="zh-CN"/>
        </w:rPr>
        <w:t>申购</w:t>
      </w:r>
      <w:r>
        <w:rPr>
          <w:rFonts w:ascii="宋体" w:hAnsi="Calibri" w:cs="宋体"/>
          <w:szCs w:val="21"/>
          <w:highlight w:val="white"/>
          <w:lang w:eastAsia="zh-CN"/>
        </w:rPr>
        <w:t>份额</w:t>
      </w:r>
      <w:r>
        <w:rPr>
          <w:rFonts w:ascii="宋体" w:hAnsi="Calibri" w:cs="宋体" w:hint="eastAsia"/>
          <w:szCs w:val="21"/>
          <w:highlight w:val="white"/>
          <w:lang w:eastAsia="zh-CN"/>
        </w:rPr>
        <w:t>及赎回</w:t>
      </w:r>
      <w:r>
        <w:rPr>
          <w:rFonts w:ascii="宋体" w:hAnsi="Calibri" w:cs="宋体"/>
          <w:szCs w:val="21"/>
          <w:highlight w:val="white"/>
          <w:lang w:eastAsia="zh-CN"/>
        </w:rPr>
        <w:t>基金获得的赎回金额均可能受到不利影响。</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侧袋机制</w:t>
      </w:r>
      <w:r>
        <w:rPr>
          <w:rFonts w:ascii="宋体" w:hAnsi="Calibri" w:cs="宋体"/>
          <w:szCs w:val="21"/>
          <w:highlight w:val="white"/>
          <w:lang w:eastAsia="zh-CN"/>
        </w:rPr>
        <w:t>是一种流动性风险管理工具，是将特定资产分离</w:t>
      </w:r>
      <w:r>
        <w:rPr>
          <w:rFonts w:ascii="宋体" w:hAnsi="Calibri" w:cs="宋体"/>
          <w:szCs w:val="21"/>
          <w:highlight w:val="white"/>
          <w:lang w:eastAsia="zh-CN"/>
        </w:rPr>
        <w:t>至专门的侧袋</w:t>
      </w:r>
      <w:r>
        <w:rPr>
          <w:rFonts w:ascii="宋体" w:hAnsi="Calibri" w:cs="宋体"/>
          <w:szCs w:val="21"/>
          <w:highlight w:val="white"/>
          <w:lang w:eastAsia="zh-CN"/>
        </w:rPr>
        <w:t>账户进行处置清算，并以处置变现后的款项向基金份额持有人进行支付，目的在于有效隔离并化解风险，但基金启用</w:t>
      </w:r>
      <w:r>
        <w:rPr>
          <w:rFonts w:ascii="宋体" w:hAnsi="Calibri" w:cs="宋体"/>
          <w:szCs w:val="21"/>
          <w:highlight w:val="white"/>
          <w:lang w:eastAsia="zh-CN"/>
        </w:rPr>
        <w:t>侧袋机制</w:t>
      </w:r>
      <w:r>
        <w:rPr>
          <w:rFonts w:ascii="宋体" w:hAnsi="Calibri" w:cs="宋体"/>
          <w:szCs w:val="21"/>
          <w:highlight w:val="white"/>
          <w:lang w:eastAsia="zh-CN"/>
        </w:rPr>
        <w:t>后，</w:t>
      </w:r>
      <w:r>
        <w:rPr>
          <w:rFonts w:ascii="宋体" w:hAnsi="Calibri" w:cs="宋体"/>
          <w:szCs w:val="21"/>
          <w:highlight w:val="white"/>
          <w:lang w:eastAsia="zh-CN"/>
        </w:rPr>
        <w:t>侧袋账户</w:t>
      </w:r>
      <w:r>
        <w:rPr>
          <w:rFonts w:ascii="宋体" w:hAnsi="Calibri" w:cs="宋体"/>
          <w:szCs w:val="21"/>
          <w:highlight w:val="white"/>
          <w:lang w:eastAsia="zh-CN"/>
        </w:rPr>
        <w:t>份额将停止披露基金份额净值，并不得办理申购、赎回和转换，</w:t>
      </w:r>
      <w:r>
        <w:rPr>
          <w:rFonts w:ascii="宋体" w:hAnsi="Calibri" w:cs="宋体"/>
          <w:szCs w:val="21"/>
          <w:highlight w:val="white"/>
          <w:lang w:eastAsia="zh-CN"/>
        </w:rPr>
        <w:t>仅主袋</w:t>
      </w:r>
      <w:r>
        <w:rPr>
          <w:rFonts w:ascii="宋体" w:hAnsi="Calibri" w:cs="宋体"/>
          <w:szCs w:val="21"/>
          <w:highlight w:val="white"/>
          <w:lang w:eastAsia="zh-CN"/>
        </w:rPr>
        <w:t>账户份额正常开放赎回，因此启用</w:t>
      </w:r>
      <w:r>
        <w:rPr>
          <w:rFonts w:ascii="宋体" w:hAnsi="Calibri" w:cs="宋体"/>
          <w:szCs w:val="21"/>
          <w:highlight w:val="white"/>
          <w:lang w:eastAsia="zh-CN"/>
        </w:rPr>
        <w:t>侧袋机制</w:t>
      </w:r>
      <w:r>
        <w:rPr>
          <w:rFonts w:ascii="宋体" w:hAnsi="Calibri" w:cs="宋体"/>
          <w:szCs w:val="21"/>
          <w:highlight w:val="white"/>
          <w:lang w:eastAsia="zh-CN"/>
        </w:rPr>
        <w:t>时持有基金份额的持有人将在启用</w:t>
      </w:r>
      <w:r>
        <w:rPr>
          <w:rFonts w:ascii="宋体" w:hAnsi="Calibri" w:cs="宋体"/>
          <w:szCs w:val="21"/>
          <w:highlight w:val="white"/>
          <w:lang w:eastAsia="zh-CN"/>
        </w:rPr>
        <w:t>侧袋机制</w:t>
      </w:r>
      <w:r>
        <w:rPr>
          <w:rFonts w:ascii="宋体" w:hAnsi="Calibri" w:cs="宋体"/>
          <w:szCs w:val="21"/>
          <w:highlight w:val="white"/>
          <w:lang w:eastAsia="zh-CN"/>
        </w:rPr>
        <w:t>后同时</w:t>
      </w:r>
      <w:r>
        <w:rPr>
          <w:rFonts w:ascii="宋体" w:hAnsi="Calibri" w:cs="宋体"/>
          <w:szCs w:val="21"/>
          <w:highlight w:val="white"/>
          <w:lang w:eastAsia="zh-CN"/>
        </w:rPr>
        <w:t>拥有主袋账户</w:t>
      </w:r>
      <w:r>
        <w:rPr>
          <w:rFonts w:ascii="宋体" w:hAnsi="Calibri" w:cs="宋体"/>
          <w:szCs w:val="21"/>
          <w:highlight w:val="white"/>
          <w:lang w:eastAsia="zh-CN"/>
        </w:rPr>
        <w:t>份额和</w:t>
      </w:r>
      <w:r>
        <w:rPr>
          <w:rFonts w:ascii="宋体" w:hAnsi="Calibri" w:cs="宋体"/>
          <w:szCs w:val="21"/>
          <w:highlight w:val="white"/>
          <w:lang w:eastAsia="zh-CN"/>
        </w:rPr>
        <w:t>侧袋</w:t>
      </w:r>
      <w:r>
        <w:rPr>
          <w:rFonts w:ascii="宋体" w:hAnsi="Calibri" w:cs="宋体"/>
          <w:szCs w:val="21"/>
          <w:highlight w:val="white"/>
          <w:lang w:eastAsia="zh-CN"/>
        </w:rPr>
        <w:t>账户份额，</w:t>
      </w:r>
      <w:r>
        <w:rPr>
          <w:rFonts w:ascii="宋体" w:hAnsi="Calibri" w:cs="宋体"/>
          <w:szCs w:val="21"/>
          <w:highlight w:val="white"/>
          <w:lang w:eastAsia="zh-CN"/>
        </w:rPr>
        <w:t>侧袋账户</w:t>
      </w:r>
      <w:r>
        <w:rPr>
          <w:rFonts w:ascii="宋体" w:hAnsi="Calibri" w:cs="宋体"/>
          <w:szCs w:val="21"/>
          <w:highlight w:val="white"/>
          <w:lang w:eastAsia="zh-CN"/>
        </w:rPr>
        <w:t>份额不能赎回，其对应特定资产的变现时间具有不确定性，最终变现价格也具有不确定性并且有可能大幅低于启用</w:t>
      </w:r>
      <w:r>
        <w:rPr>
          <w:rFonts w:ascii="宋体" w:hAnsi="Calibri" w:cs="宋体"/>
          <w:szCs w:val="21"/>
          <w:highlight w:val="white"/>
          <w:lang w:eastAsia="zh-CN"/>
        </w:rPr>
        <w:t>侧袋机制</w:t>
      </w:r>
      <w:r>
        <w:rPr>
          <w:rFonts w:ascii="宋体" w:hAnsi="Calibri" w:cs="宋体"/>
          <w:szCs w:val="21"/>
          <w:highlight w:val="white"/>
          <w:lang w:eastAsia="zh-CN"/>
        </w:rPr>
        <w:t>时的特定资产的估值，基金份额持有人可能因此面临损失。</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实施</w:t>
      </w:r>
      <w:r>
        <w:rPr>
          <w:rFonts w:ascii="宋体" w:hAnsi="Calibri" w:cs="宋体" w:hint="eastAsia"/>
          <w:szCs w:val="21"/>
          <w:highlight w:val="white"/>
          <w:lang w:eastAsia="zh-CN"/>
        </w:rPr>
        <w:t>侧袋机制</w:t>
      </w:r>
      <w:r>
        <w:rPr>
          <w:rFonts w:ascii="宋体" w:hAnsi="Calibri" w:cs="宋体" w:hint="eastAsia"/>
          <w:szCs w:val="21"/>
          <w:highlight w:val="white"/>
          <w:lang w:eastAsia="zh-CN"/>
        </w:rPr>
        <w:t>期间，基金管理人计算各项投资运作指标和基金业绩指标时</w:t>
      </w:r>
      <w:r>
        <w:rPr>
          <w:rFonts w:ascii="宋体" w:hAnsi="Calibri" w:cs="宋体" w:hint="eastAsia"/>
          <w:szCs w:val="21"/>
          <w:highlight w:val="white"/>
          <w:lang w:eastAsia="zh-CN"/>
        </w:rPr>
        <w:t>以主袋账户</w:t>
      </w:r>
      <w:r>
        <w:rPr>
          <w:rFonts w:ascii="宋体" w:hAnsi="Calibri" w:cs="宋体" w:hint="eastAsia"/>
          <w:szCs w:val="21"/>
          <w:highlight w:val="white"/>
          <w:lang w:eastAsia="zh-CN"/>
        </w:rPr>
        <w:t>资产为基准，不</w:t>
      </w:r>
      <w:r>
        <w:rPr>
          <w:rFonts w:ascii="宋体" w:hAnsi="Calibri" w:cs="宋体" w:hint="eastAsia"/>
          <w:szCs w:val="21"/>
          <w:highlight w:val="white"/>
          <w:lang w:eastAsia="zh-CN"/>
        </w:rPr>
        <w:t>反映侧袋账户</w:t>
      </w:r>
      <w:r>
        <w:rPr>
          <w:rFonts w:ascii="宋体" w:hAnsi="Calibri" w:cs="宋体" w:hint="eastAsia"/>
          <w:szCs w:val="21"/>
          <w:highlight w:val="white"/>
          <w:lang w:eastAsia="zh-CN"/>
        </w:rPr>
        <w:t>特定资产的真实价值及变化情况。本基金不</w:t>
      </w:r>
      <w:r>
        <w:rPr>
          <w:rFonts w:ascii="宋体" w:hAnsi="Calibri" w:cs="宋体" w:hint="eastAsia"/>
          <w:szCs w:val="21"/>
          <w:highlight w:val="white"/>
          <w:lang w:eastAsia="zh-CN"/>
        </w:rPr>
        <w:t>披露侧袋账户</w:t>
      </w:r>
      <w:r>
        <w:rPr>
          <w:rFonts w:ascii="宋体" w:hAnsi="Calibri" w:cs="宋体" w:hint="eastAsia"/>
          <w:szCs w:val="21"/>
          <w:highlight w:val="white"/>
          <w:lang w:eastAsia="zh-CN"/>
        </w:rPr>
        <w:t>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基金管理人将</w:t>
      </w:r>
      <w:r>
        <w:rPr>
          <w:rFonts w:ascii="宋体" w:hAnsi="Calibri" w:cs="宋体" w:hint="eastAsia"/>
          <w:szCs w:val="21"/>
          <w:highlight w:val="white"/>
          <w:lang w:eastAsia="zh-CN"/>
        </w:rPr>
        <w:t>根据主袋账户</w:t>
      </w:r>
      <w:r>
        <w:rPr>
          <w:rFonts w:ascii="宋体" w:hAnsi="Calibri" w:cs="宋体" w:hint="eastAsia"/>
          <w:szCs w:val="21"/>
          <w:highlight w:val="white"/>
          <w:lang w:eastAsia="zh-CN"/>
        </w:rPr>
        <w:t>运作情况合理确定申购政策，因此实施</w:t>
      </w:r>
      <w:r>
        <w:rPr>
          <w:rFonts w:ascii="宋体" w:hAnsi="Calibri" w:cs="宋体" w:hint="eastAsia"/>
          <w:szCs w:val="21"/>
          <w:highlight w:val="white"/>
          <w:lang w:eastAsia="zh-CN"/>
        </w:rPr>
        <w:t>侧袋机制</w:t>
      </w:r>
      <w:r>
        <w:rPr>
          <w:rFonts w:ascii="宋体" w:hAnsi="Calibri" w:cs="宋体" w:hint="eastAsia"/>
          <w:szCs w:val="21"/>
          <w:highlight w:val="white"/>
          <w:lang w:eastAsia="zh-CN"/>
        </w:rPr>
        <w:t>后主袋账户份额存在暂停申购的可能。</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四、管理风险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w:t>
      </w:r>
      <w:r>
        <w:rPr>
          <w:rFonts w:ascii="宋体" w:hAnsi="Calibri"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、基金管理人的管理手段和管理技术等因素的变化也会影响基金收益水平。</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五、税收风险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六、</w:t>
      </w:r>
      <w:r>
        <w:rPr>
          <w:rFonts w:ascii="宋体" w:hAnsi="Calibri" w:cs="宋体" w:hint="eastAsia"/>
          <w:szCs w:val="21"/>
          <w:highlight w:val="white"/>
          <w:lang w:eastAsia="zh-CN"/>
        </w:rPr>
        <w:t>本基金法律文件中涉及基金风险特征的表述与销售机构对基金的风险评级可能不一致的风险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本</w:t>
      </w:r>
      <w:r>
        <w:rPr>
          <w:rFonts w:ascii="宋体" w:hAnsi="Calibri" w:cs="宋体"/>
          <w:szCs w:val="21"/>
          <w:highlight w:val="white"/>
          <w:lang w:eastAsia="zh-CN"/>
        </w:rPr>
        <w:t>基金基金</w:t>
      </w:r>
      <w:r>
        <w:rPr>
          <w:rFonts w:ascii="宋体" w:hAnsi="Calibri" w:cs="宋体"/>
          <w:szCs w:val="21"/>
          <w:highlight w:val="white"/>
          <w:lang w:eastAsia="zh-CN"/>
        </w:rPr>
        <w:t>合同、招募说明书等法律文件中涉及基金风险收益特征或风险状况的</w:t>
      </w:r>
      <w:r>
        <w:rPr>
          <w:rFonts w:ascii="宋体" w:hAnsi="Calibri" w:cs="宋体"/>
          <w:szCs w:val="21"/>
          <w:highlight w:val="white"/>
          <w:lang w:eastAsia="zh-CN"/>
        </w:rPr>
        <w:t>表述仅</w:t>
      </w:r>
      <w:r>
        <w:rPr>
          <w:rFonts w:ascii="宋体" w:hAnsi="Calibri" w:cs="宋体"/>
          <w:szCs w:val="21"/>
          <w:highlight w:val="white"/>
          <w:lang w:eastAsia="zh-CN"/>
        </w:rPr>
        <w:t>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w:t>
      </w:r>
      <w:r>
        <w:rPr>
          <w:rFonts w:ascii="宋体" w:hAnsi="Calibri" w:cs="宋体"/>
          <w:szCs w:val="21"/>
          <w:highlight w:val="white"/>
          <w:lang w:eastAsia="zh-CN"/>
        </w:rPr>
        <w:t>作出</w:t>
      </w:r>
      <w:r>
        <w:rPr>
          <w:rFonts w:ascii="宋体" w:hAnsi="Calibri" w:cs="宋体"/>
          <w:szCs w:val="21"/>
          <w:highlight w:val="white"/>
          <w:lang w:eastAsia="zh-CN"/>
        </w:rPr>
        <w:t>投资决策。</w:t>
      </w:r>
    </w:p>
    <w:p w:rsidR="0097367D">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七、其他风险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w:t>
      </w:r>
      <w:r>
        <w:rPr>
          <w:rFonts w:ascii="宋体" w:hAnsi="Calibri" w:cs="宋体" w:hint="eastAsia"/>
          <w:szCs w:val="21"/>
          <w:highlight w:val="white"/>
          <w:lang w:eastAsia="zh-CN"/>
        </w:rPr>
        <w:t>、因技术因素而产生的风险，如电脑等技术系统的故障或差错产生的风险。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w:t>
      </w:r>
      <w:r>
        <w:rPr>
          <w:rFonts w:ascii="宋体" w:hAnsi="Calibri" w:cs="宋体" w:hint="eastAsia"/>
          <w:szCs w:val="21"/>
          <w:highlight w:val="white"/>
          <w:lang w:eastAsia="zh-CN"/>
        </w:rPr>
        <w:t>、因战争、自然灾害等不可抗力导致的基金管理人、基金托管人、基金服务机构等机构无法正常工作，从而影响基金运作的风险。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3</w:t>
      </w:r>
      <w:r>
        <w:rPr>
          <w:rFonts w:ascii="宋体" w:hAnsi="Calibri"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4</w:t>
      </w:r>
      <w:r>
        <w:rPr>
          <w:rFonts w:ascii="宋体" w:hAnsi="Calibri"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97367D">
      <w:pPr>
        <w:spacing w:line="360" w:lineRule="auto"/>
        <w:ind w:firstLine="420"/>
        <w:rPr>
          <w:rFonts w:ascii="宋体" w:hAnsi="Calibri"/>
          <w:lang w:eastAsia="zh-CN"/>
        </w:rPr>
      </w:pPr>
      <w:r>
        <w:rPr>
          <w:rFonts w:ascii="宋体" w:hAnsi="Calibri" w:cs="宋体"/>
          <w:color w:val="000000"/>
          <w:szCs w:val="21"/>
          <w:highlight w:val="white"/>
          <w:lang w:eastAsia="zh-CN"/>
        </w:rPr>
        <w:t>5、</w:t>
      </w:r>
      <w:r>
        <w:rPr>
          <w:rFonts w:ascii="宋体" w:hAnsi="Calibri" w:cs="宋体" w:hint="eastAsia"/>
          <w:szCs w:val="21"/>
          <w:highlight w:val="white"/>
          <w:lang w:eastAsia="zh-CN"/>
        </w:rPr>
        <w:t>其他意外导致的风险。</w:t>
      </w:r>
    </w:p>
    <w:p w:rsidR="0097367D">
      <w:pPr>
        <w:pStyle w:val="Heading1"/>
        <w:spacing w:before="317" w:after="317" w:line="360" w:lineRule="auto"/>
        <w:ind w:firstLine="600"/>
        <w:rPr>
          <w:rFonts w:ascii="宋体" w:eastAsia="宋体" w:hAnsi="Calibri" w:cs="宋体"/>
          <w:sz w:val="30"/>
          <w:szCs w:val="30"/>
          <w:lang w:eastAsia="zh-CN"/>
        </w:rPr>
      </w:pPr>
      <w:r>
        <w:rPr>
          <w:rFonts w:ascii="宋体" w:eastAsia="宋体" w:hAnsi="Calibri" w:cs="宋体" w:hint="eastAsia"/>
          <w:sz w:val="30"/>
          <w:highlight w:val="white"/>
          <w:lang w:eastAsia="zh-CN"/>
        </w:rPr>
        <w:br w:type="column"/>
      </w:r>
      <w:bookmarkStart w:id="1849" w:name="_Toc129511543"/>
      <w:bookmarkEnd w:id="1848"/>
      <w:r>
        <w:rPr>
          <w:rFonts w:ascii="宋体" w:eastAsia="宋体" w:hAnsi="Calibri" w:cs="宋体" w:hint="eastAsia"/>
          <w:sz w:val="30"/>
          <w:szCs w:val="30"/>
          <w:highlight w:val="white"/>
          <w:lang w:eastAsia="zh-CN"/>
        </w:rPr>
        <w:t>第二十</w:t>
      </w:r>
      <w:bookmarkStart w:id="1850" w:name="_Toc332373579"/>
      <w:r>
        <w:rPr>
          <w:rFonts w:ascii="宋体" w:eastAsia="宋体" w:hAnsi="Calibri" w:cs="宋体" w:hint="eastAsia"/>
          <w:sz w:val="30"/>
          <w:szCs w:val="30"/>
          <w:highlight w:val="white"/>
          <w:lang w:eastAsia="zh-CN"/>
        </w:rPr>
        <w:t>一部分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基金合同的变更、终止与基金财产的清算</w:t>
      </w:r>
      <w:bookmarkEnd w:id="1849"/>
      <w:bookmarkEnd w:id="1850"/>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一、《基金合同》的变更</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1、变更基金合同涉及法律法规规定或基金合同约定应经基金份额持有人大会决议通过的事项的，应召</w:t>
      </w:r>
      <w:r>
        <w:rPr>
          <w:rFonts w:ascii="宋体" w:hAnsi="Calibri" w:cs="宋体" w:hint="eastAsia"/>
          <w:szCs w:val="21"/>
          <w:highlight w:val="white"/>
          <w:lang w:eastAsia="zh-CN"/>
        </w:rPr>
        <w:t>开基金</w:t>
      </w:r>
      <w:r>
        <w:rPr>
          <w:rFonts w:ascii="宋体" w:hAnsi="Calibri" w:cs="宋体" w:hint="eastAsia"/>
          <w:szCs w:val="21"/>
          <w:highlight w:val="white"/>
          <w:lang w:eastAsia="zh-CN"/>
        </w:rPr>
        <w:t>份额持有人大会决议通过。对于法律法规规定和基金合同约定可不经基金份额持有人大会决议通过的事项，由基金管理人和基金托管人同意后变更并公告。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2、关于《基金合同》变更的基金份额持有人大会决议自生效后方可执行，</w:t>
      </w:r>
      <w:r>
        <w:rPr>
          <w:rFonts w:ascii="宋体" w:hAnsi="Calibri" w:cs="宋体" w:hint="eastAsia"/>
          <w:szCs w:val="21"/>
          <w:highlight w:val="white"/>
          <w:lang w:eastAsia="zh-CN"/>
        </w:rPr>
        <w:t>自决议</w:t>
      </w:r>
      <w:r>
        <w:rPr>
          <w:rFonts w:ascii="宋体" w:hAnsi="Calibri" w:cs="宋体" w:hint="eastAsia"/>
          <w:szCs w:val="21"/>
          <w:highlight w:val="white"/>
          <w:lang w:eastAsia="zh-CN"/>
        </w:rPr>
        <w:t>生效后两日内在规定媒介公告。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二、《基金合同》的终止事由</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有下列情形之一的，经履行相关程序后，《基金合同》应当终止：</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1、《基金合同》生效之日起三年后的年度对应日，</w:t>
      </w:r>
      <w:r>
        <w:rPr>
          <w:rFonts w:ascii="宋体" w:hAnsi="Calibri" w:cs="宋体" w:hint="eastAsia"/>
          <w:szCs w:val="21"/>
          <w:highlight w:val="white"/>
          <w:lang w:eastAsia="zh-CN"/>
        </w:rPr>
        <w:t>若基金</w:t>
      </w:r>
      <w:r>
        <w:rPr>
          <w:rFonts w:ascii="宋体" w:hAnsi="Calibri" w:cs="宋体" w:hint="eastAsia"/>
          <w:szCs w:val="21"/>
          <w:highlight w:val="white"/>
          <w:lang w:eastAsia="zh-CN"/>
        </w:rPr>
        <w:t>资产净值低于2</w:t>
      </w:r>
      <w:r>
        <w:rPr>
          <w:rFonts w:ascii="宋体" w:hAnsi="Calibri" w:cs="宋体" w:hint="eastAsia"/>
          <w:szCs w:val="21"/>
          <w:highlight w:val="white"/>
          <w:lang w:eastAsia="zh-CN"/>
        </w:rPr>
        <w:t>亿元的；若届时的法律法规或中国证监会规定发生变化，上述终止规定被取消、更改或补充，则本基金可以参照届时有效的法律法规或中国证监会规定执行；</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2、基金份额持有人大会决定终止的；</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3、基金管理人、基金托管人职责终止，在6个月内没有新基金管理人、新基金托管人承接的；</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5、《基金合同》约定的其他情形；</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6、相关法律法规和中国证监会规定的其他情况。</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三、基金财产的清算</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3、基金财产清算小组职责：基金财产清算小组负责基金财产的保管、清理、估价、变现和分配。基金财产清算小组可以依法进行必要的民事活动。</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4、基金财产清算程序：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（1）《基金合同》终止情形出现时，由基金财产清算小组统一接管基金；</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（2）对基金财产和债权债务进行清理和确认；</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（3）对基金财产进行估值和变现；</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（4）制作清算报告；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（5）聘请会计师事务所对清算报告进行外部审计，聘请律师事务所对清算报告出具法律意见书；</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（6）将清算报告报中国证监会备案并公告；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（7）对基金剩余财产进行分配。</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5、基金财产清算的期限为6个月，但因本基金所持证券的流动性受到限制而不能及时变现的，清算期限相应顺延。</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四、清算费用</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清算费用是指基金财产清算小组在进行基金清算过程中发生的所有合理费用，清算费用由基金财产清算小组优先从基金财产中支付。</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五、基金财产清算剩余资产的分配</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六、基金财产清算的公告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清算过程中的有关重大事项须及时公告；基金财产清算报告</w:t>
      </w:r>
      <w:r>
        <w:rPr>
          <w:rFonts w:ascii="宋体" w:hAnsi="Calibri" w:cs="宋体" w:hint="eastAsia"/>
          <w:szCs w:val="21"/>
          <w:highlight w:val="white"/>
          <w:lang w:eastAsia="zh-CN"/>
        </w:rPr>
        <w:t>经符合</w:t>
      </w:r>
      <w:r>
        <w:rPr>
          <w:rFonts w:ascii="宋体" w:hAnsi="Calibri" w:cs="宋体" w:hint="eastAsia"/>
          <w:szCs w:val="21"/>
          <w:highlight w:val="white"/>
          <w:lang w:eastAsia="zh-CN"/>
        </w:rPr>
        <w:t>《证券法》规定的会计师事务所审计并由律师事务所出具法律意见书后报中国证监会备案并公告。基金财产清算公告于基金财产清算报告报中国证监会备案后5个工作日内由基金财产清算小组进行公告。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七、基金财产清算账册及文件的保存</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基金财产清算账册及有关文件由基金托管人保存20年以上。</w:t>
      </w:r>
    </w:p>
    <w:p w:rsidR="0097367D">
      <w:pPr>
        <w:pStyle w:val="Heading1"/>
        <w:spacing w:before="317" w:after="317" w:line="360" w:lineRule="auto"/>
        <w:ind w:firstLine="600"/>
        <w:rPr>
          <w:rFonts w:ascii="宋体" w:eastAsia="宋体" w:hAnsi="Calibri" w:cs="宋体"/>
          <w:sz w:val="30"/>
          <w:szCs w:val="30"/>
          <w:lang w:eastAsia="zh-CN"/>
        </w:rPr>
      </w:pPr>
      <w:r>
        <w:rPr>
          <w:rFonts w:ascii="宋体" w:eastAsia="宋体" w:hAnsi="Calibri" w:cs="宋体" w:hint="eastAsia"/>
          <w:sz w:val="30"/>
          <w:highlight w:val="white"/>
          <w:lang w:eastAsia="zh-CN"/>
        </w:rPr>
        <w:br w:type="column"/>
      </w:r>
      <w:bookmarkStart w:id="1851" w:name="_Toc129511544"/>
      <w:r>
        <w:rPr>
          <w:rFonts w:ascii="宋体" w:eastAsia="宋体" w:hAnsi="Calibri" w:cs="宋体" w:hint="eastAsia"/>
          <w:sz w:val="30"/>
          <w:szCs w:val="30"/>
          <w:highlight w:val="white"/>
          <w:lang w:eastAsia="zh-CN"/>
        </w:rPr>
        <w:t>第二</w:t>
      </w:r>
      <w:bookmarkStart w:id="1852" w:name="_Toc332373588"/>
      <w:r>
        <w:rPr>
          <w:rFonts w:ascii="宋体" w:eastAsia="宋体" w:hAnsi="Calibri" w:cs="宋体" w:hint="eastAsia"/>
          <w:sz w:val="30"/>
          <w:szCs w:val="30"/>
          <w:highlight w:val="white"/>
          <w:lang w:eastAsia="zh-CN"/>
        </w:rPr>
        <w:t>十</w:t>
      </w:r>
      <w:r>
        <w:rPr>
          <w:rFonts w:ascii="宋体" w:eastAsia="宋体" w:hAnsi="Calibri" w:cs="宋体"/>
          <w:sz w:val="30"/>
          <w:szCs w:val="30"/>
          <w:highlight w:val="white"/>
          <w:lang w:eastAsia="zh-CN"/>
        </w:rPr>
        <w:t>二</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基金合同的内容摘要</w:t>
      </w:r>
      <w:bookmarkEnd w:id="1851"/>
      <w:bookmarkEnd w:id="1852"/>
    </w:p>
    <w:p w:rsidR="0097367D">
      <w:pPr>
        <w:spacing w:line="360" w:lineRule="auto"/>
        <w:ind w:firstLine="420"/>
        <w:rPr>
          <w:rFonts w:ascii="宋体" w:hAnsi="Calibri" w:cs="宋体"/>
          <w:szCs w:val="21"/>
          <w:lang w:eastAsia="zh-CN"/>
        </w:rPr>
      </w:pPr>
      <w:bookmarkStart w:id="1853" w:name="_Toc516750717"/>
      <w:r>
        <w:rPr>
          <w:rFonts w:ascii="宋体" w:hAnsi="Calibri" w:cs="宋体" w:hint="eastAsia"/>
          <w:szCs w:val="21"/>
          <w:highlight w:val="white"/>
          <w:lang w:eastAsia="zh-CN"/>
        </w:rPr>
        <w:t>第一节 基金份额持有人、基金管理人和基金托管人的权利、义务</w:t>
      </w:r>
      <w:bookmarkEnd w:id="1853"/>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一、基金份额持有人的权利、义务</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1、根据《基金法》、《运作办法》及其他有关规定，基金份额持有人的权利包括但不限于：</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（1）分享基金财产收益；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（2）参与分配清算后的剩余基金财产；</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（3）依法转让或者申请赎回其持有的基金份额；</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（4）按照规定要求召开基金份额持有人大会或者召集基金份额持有人大会；</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（5）出席或者委派代表出席本基金或目标ETF的基金份额持有人大会，对本基金或目标ETF的基金份额持有人大会审议事项行使表决权；</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（6）查阅或者复制公开披露的基金信息资料；</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（7）监督基金管理人的投资运作；</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（8）对基金管理人、基金托管人、基金服务机构损害其合法权益的行为依法提起诉讼或仲裁；</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（9）法律法规及中国证监会规定的和《基金合同》约定的其他权利。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2、根据《基金法》、《运作办法》及其他有关规定，基金份额持有人的义务包括但不限于：</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（1）认真阅读并遵守《基金合同》、招募说明书等信息披露文件；</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（2）了解所投资基金产品，了解自身风险承受能力，自主判断基金的投资价值，自主做出投资决策，自行承担投资风险；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（3）关注基金信息披露，及时行使权利和履行义务；</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（4）交纳基金认购、申购款项及法律法规和《基金合同》所规定的费用；</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（5）在其持有的基金份额范围内，承担基金亏损或者《基金合同》终止的有限责任；</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（6）不从事任何有损基金及其他《基金合同》当事人合法权益的活动；</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（7）执行生效的基金份额持有人大会的决议；</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（8）返还在基金交易过程中因任何原因获得的不当得利；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（9）法律法规及中国证监会规定的和《基金合同》约定的其他义务。</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二、基金管理人的权利与义务</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1、根据《基金法》、《运作办法》及其他有关规定，基金管理人的权利包括但不限于：</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（1）依法募集资金；</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（2）自《基金合同》生效之日起，根据法律法规和《基金合同》独立运用并管理基金财产；</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（3）依照《基金合同》收取基金管理费以及法律法规规定或中国证监会批准的其他费用；</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（4）销售基金份额；</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（5）按照规定召集基金份额持有人大会；</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（7）在基金托管人更换时，提名新的基金托管人；</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（8）选择、更换基金销售机构，对基金销售机构的相关行为进行监督和处理；</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（9）担任或委托其他符合条件的机构担任基金登记机构办理基金登记业务并获得《基金合同》规定的费用；</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（10）依据《基金合同》及有关法律规定决定基金收益的分配方案；</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（11）在《基金合同》约定的范围内，拒绝或暂停受理申购、赎回及转换申请；</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（12）依照法律法规为基金的利益对被投资公司行使股东权利，为基金的利益行使因基金财产投资于证券所产生的权利；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（13）在法律法规允许的前提下，为基金的利益依法为基金进行融资、融券及转融通证券出借业务；</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（14）以基金管理人的名义，代表基金份额持有人的利益行使诉讼权利或者实施其他法律行为；</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（15）选择、更换律师事务所、会计师事务所、证券经纪商或其他为基金提供服务的外部机构；</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（16）在符合有关法律、法规的前提下，制订和调整有关基金认购、申购、赎回、转换、</w:t>
      </w:r>
      <w:r>
        <w:rPr>
          <w:rFonts w:ascii="宋体" w:hAnsi="Calibri" w:cs="宋体"/>
          <w:szCs w:val="21"/>
          <w:highlight w:val="white"/>
          <w:lang w:eastAsia="zh-CN"/>
        </w:rPr>
        <w:t>非交易</w:t>
      </w:r>
      <w:r>
        <w:rPr>
          <w:rFonts w:ascii="宋体" w:hAnsi="Calibri" w:cs="宋体"/>
          <w:szCs w:val="21"/>
          <w:highlight w:val="white"/>
          <w:lang w:eastAsia="zh-CN"/>
        </w:rPr>
        <w:t>过户、转托管和收益分配等的业务规则；</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（18）委托第三方机构办理本基金的交易、清算、估值、结算等业务；</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（19）法律法规及中国证监会规定的和《基金合同》约定的其他权利。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2、根据《基金法》、《运作办法》及其他有关规定，基金管理人的义务包括但不限于：</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（1）依法募集资金，办理或者委托经中国证监会认定的其他机构办理基金份额的发售、申购、赎回和登记事宜；</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（2）办理基金备案手续；</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（3）自《基金合同》生效之日起，以诚实信用、谨慎勤勉的原则管理和运用基金财产；</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（4）配备足够的具有专业资格的人员进行基金投资分析、决策，以专业化的经营方式管理和运作基金财产；</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（6）除依据《基金法》、《基金合同》及其他有关规定外，不得利用基金财产为自己及任何第三人谋取利益，不得委托第三人运作基金财产；</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（7）依法接受基金托管人的监督；</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（9）进行基金会计核算并编制基金财务会计报告；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（10）编制季度报告、中期报告和年度报告；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（11）严格按照《基金法》、《基金合同》及其他有关规定，履行信息披露及报告义务；</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（13）按《基金合同》的约定确定基金收益分配方案，及时向基金份额持有人分配基金收益；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（14）按规定受理申购与赎回申请，及时、足额支付赎回款项；</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（15）依据《基金法》、《基金合同》及其他有关规定召集基金份额持有人大会或配合基金托管人、基金份额持有人依法召集基金份额持有人大会；</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（16）按规定保存基金财产管理业务活动的会计账册、报表、记录和其他相关资料20年以上；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（18）组织并参加基金财产清算小组，参与基金财产的保管、清理、估价、变现和分配；</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（19）面临解散、依法被撤销或者被依法宣告破产时，及时报告中国证监会并通知基金托管人；</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（20）因违反《基金合同》导致基金财产的损失或损害基金份额持有人合法权益时，应当承担赔偿责任，其赔偿责任不因其退任而免除；</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（22）当基金管理人将其义务委托第三方处理时，应当对第三方处理有关基金事务的行为承担责任；</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（23）以基金管理人名义，代表基金份额持有人利益行使诉讼权利或实施其他法律行为；</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（25）执行生效的基金份额持有人大会的决议；</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（26）建立并保存基金份额持有人名册；</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（27）法律法规及中国证监会规定的和《基金合同》约定的其他义务。</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三、基金托管人的权利与义务</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1、根据《基金法》、《运作办法》及其他有关规定，基金托管人的权利包括但不限于：</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（1）自《基金合同》生效之日起，依法</w:t>
      </w:r>
      <w:r>
        <w:rPr>
          <w:rFonts w:ascii="宋体" w:hAnsi="Calibri" w:cs="宋体"/>
          <w:szCs w:val="21"/>
          <w:highlight w:val="white"/>
          <w:lang w:eastAsia="zh-CN"/>
        </w:rPr>
        <w:t>律法规</w:t>
      </w:r>
      <w:r>
        <w:rPr>
          <w:rFonts w:ascii="宋体" w:hAnsi="Calibri" w:cs="宋体"/>
          <w:szCs w:val="21"/>
          <w:highlight w:val="white"/>
          <w:lang w:eastAsia="zh-CN"/>
        </w:rPr>
        <w:t>和《基金合同》的规定安全保管基金财产；</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（2）依《基金合同》约定获得基金托管费以及法律法规规定或监管部门批准的其他费用；</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（4）根据相关市场规则，为基金开设资金账户、证券账户等投资所需账户、为基金办理证券交易资金清算；</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（5）提议召开或召集基金份额持有人大会；</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（6）在基金管理人更换时，提名新的基金管理人；</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（7）法律法规及中国证监会规定的和《基金合同》约定的其他权利。</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2、根据《基金法》、《运作办法》及其他有关规定，基金托管人的义务包括但不限于：</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（1）以诚实信用、勤勉尽责的原则持有并安全保管基金财产；</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（2）设立专门的基金托管部门，具有符合要求的营业场所，配备足够的、合格的熟悉基金托管业务的专职人员，负责基金财产托管事宜；</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（4）除依据《基金法》、《基金合同》及其他有关规定外，不得利用基金财产为自己及任何第三人谋取利益，不得委托第三人托管基金财产；</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（5）保管由基金管理人代表基金签订的与基金有关的重大合同及有关凭证；</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（6）按规定开设基金财产的资金账户和证券账户等投资所需账户，按照《基金合同》的约定，根据基金管理人的投资指令，及时办理清算、交割事宜；</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（8）复核、审查基金管理人计算的基金资产净值、基金份额净值、基金份额申购、赎回价格；</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（9）办理与基金托管业务活动有关的信息披露事项；</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（11）保存基金托管业务活动的记录、账册、报表和其他相关资料20年以上；</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（12）建立并保存基金份额持有人名册；</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（13）按规定制作相关账册并与基金管理人核对；</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（14）依据基金管理人的指令或有关规定向基金份额持有人支付基金收益和赎回款项；</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（15）依据《基金法》、《基金合同》及其他有关规定，召集基金份额持有人大会或配合基金管理人、基金份额持有人依法召集基金份额持有人大会；</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（16）按照法律法规和《基金合同》的规定监督基金管理人的投资运作；</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（17）参加基金财产清算小组，参与基金财产的保管、清理、估价、变现和分配；</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（18）面临解散、依法被撤销或者被依法宣告破产时，及时报告中国证监会和银行监管机构，并通知基金管理人；</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（19）因违反《基金合同》导致基金财产损失时，应承担赔偿责任，其赔偿责任不因其退任而免除；</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（21）执行生效的基金份额持有人大会的决议；</w:t>
      </w: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（22）法律法规及中国证监会规定的和《基金合同》约定的其他义务。</w:t>
      </w:r>
    </w:p>
    <w:p w:rsidR="0097367D">
      <w:pPr>
        <w:spacing w:line="360" w:lineRule="auto"/>
        <w:ind w:firstLine="420"/>
        <w:rPr>
          <w:rFonts w:ascii="宋体" w:hAnsi="Calibri" w:cs="宋体"/>
          <w:szCs w:val="21"/>
          <w:lang w:eastAsia="zh-CN"/>
        </w:rPr>
      </w:pP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第</w:t>
      </w:r>
      <w:bookmarkStart w:id="1854" w:name="_Toc516750718"/>
      <w:r>
        <w:rPr>
          <w:rFonts w:ascii="宋体" w:hAnsi="Calibri" w:cs="宋体" w:hint="eastAsia"/>
          <w:szCs w:val="21"/>
          <w:highlight w:val="white"/>
          <w:lang w:eastAsia="zh-CN"/>
        </w:rPr>
        <w:t>二节 基金份额持有人大会召集、议事及表决的程序和规则</w:t>
      </w:r>
      <w:bookmarkEnd w:id="1854"/>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鉴于本</w:t>
      </w:r>
      <w:r>
        <w:rPr>
          <w:rFonts w:ascii="宋体" w:hAnsi="Calibri" w:cs="宋体" w:hint="eastAsia"/>
          <w:szCs w:val="21"/>
          <w:highlight w:val="white"/>
          <w:lang w:eastAsia="zh-CN"/>
        </w:rPr>
        <w:t>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本基金的基金管理人不应以本基金的名义代表本基金的全体基金份额持有人以目标ETF的基金份额持有人的身份行使表决权，但可接受本基金的</w:t>
      </w:r>
      <w:r>
        <w:rPr>
          <w:rFonts w:ascii="宋体" w:hAnsi="Calibri" w:cs="宋体" w:hint="eastAsia"/>
          <w:szCs w:val="21"/>
          <w:highlight w:val="white"/>
          <w:lang w:eastAsia="zh-CN"/>
        </w:rPr>
        <w:t>特定基金</w:t>
      </w:r>
      <w:r>
        <w:rPr>
          <w:rFonts w:ascii="宋体" w:hAnsi="Calibri" w:cs="宋体" w:hint="eastAsia"/>
          <w:szCs w:val="21"/>
          <w:highlight w:val="white"/>
          <w:lang w:eastAsia="zh-CN"/>
        </w:rPr>
        <w:t>份额持有人的委托以本基金的基金份额持有人代理人的身份出席目标ETF的基金份额持有人大会并参与表决。</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w:t>
      </w:r>
      <w:r>
        <w:rPr>
          <w:rFonts w:ascii="宋体" w:hAnsi="Calibri" w:cs="宋体" w:hint="eastAsia"/>
          <w:szCs w:val="21"/>
          <w:highlight w:val="white"/>
          <w:lang w:eastAsia="zh-CN"/>
        </w:rPr>
        <w:t>基金基金</w:t>
      </w:r>
      <w:r>
        <w:rPr>
          <w:rFonts w:ascii="宋体" w:hAnsi="Calibri" w:cs="宋体" w:hint="eastAsia"/>
          <w:szCs w:val="21"/>
          <w:highlight w:val="white"/>
          <w:lang w:eastAsia="zh-CN"/>
        </w:rPr>
        <w:t>管理人代表本基金的基金份额持有人提议召开或召集目标ETF基金份额持有人大会。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本基金份额持有人大会不设日常机构。</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一、召开事由</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1、除法律法规、中国证监会和基金合同另有规定外，当出现或需要决定下列事由之一的，应当召开基金份额持有人大会：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（1）终止《基金合同》；</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（2）更换基金管理人；</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（3）更换基金托管人；</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（4）转换基金运作方式；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（5）调整基金管理人、基金托管人的报酬标准；</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（6）变更基金类别；</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（7）本基金与其他基金的合并；</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（8）变更基金投资目标、范围或策略；</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（9）基金管理人代表本基金的基金份额持有人提议召开或召集目标ETF基金份额持有人大会；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（10）变更基金份额持有人大会程序；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（11）基金管理人或基金托管人要求召开基金份额持有人大会；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（12）单独或合计持有本基金总份额10%以上（含10%）基金份额的基金份额持有人（以基金管理人收到提议当日的基金份额计算，下同）就同一事项书面要求召开基金份额持有人大会；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（13）对基金合同当事人权利和义务产生重大影响的其他事项；</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（14）法律法规、《基金合同》或中国证监会规定的其他应当召开基金份额持有人大会的事项。</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（1）调低销售服务费率；</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（2）法律法规要求增加的基金费用的收取；</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（3）在法律法规和《基金合同》规定的范围内，调整本基金的申购费率、收费方式或基金份额类别设置；</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w:t>
      </w:r>
      <w:r>
        <w:rPr>
          <w:rFonts w:ascii="宋体" w:hAnsi="Calibri" w:cs="宋体" w:hint="eastAsia"/>
          <w:szCs w:val="21"/>
          <w:highlight w:val="white"/>
          <w:lang w:eastAsia="zh-CN"/>
        </w:rPr>
        <w:t>因相应</w:t>
      </w:r>
      <w:r>
        <w:rPr>
          <w:rFonts w:ascii="宋体" w:hAnsi="Calibri" w:cs="宋体" w:hint="eastAsia"/>
          <w:szCs w:val="21"/>
          <w:highlight w:val="white"/>
          <w:lang w:eastAsia="zh-CN"/>
        </w:rPr>
        <w:t>的法律法规发生变动而应当对《基金合同》进行修改；</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（5）对《基金合同》的修改对基金份额持有人利益无实质性不利影响或修改不涉及《基金合同》当事人权利义务关系发生重大变化；</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（6）基金管理人、销售机构、登记机构在法律法规规定的范围内调整有关基金认购、申购、赎回、转换、基金交易、</w:t>
      </w:r>
      <w:r>
        <w:rPr>
          <w:rFonts w:ascii="宋体" w:hAnsi="Calibri" w:cs="宋体" w:hint="eastAsia"/>
          <w:szCs w:val="21"/>
          <w:highlight w:val="white"/>
          <w:lang w:eastAsia="zh-CN"/>
        </w:rPr>
        <w:t>非交易</w:t>
      </w:r>
      <w:r>
        <w:rPr>
          <w:rFonts w:ascii="宋体" w:hAnsi="Calibri" w:cs="宋体" w:hint="eastAsia"/>
          <w:szCs w:val="21"/>
          <w:highlight w:val="white"/>
          <w:lang w:eastAsia="zh-CN"/>
        </w:rPr>
        <w:t>过户、转托管、转让、质押等业务的规则；</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（7）调整基金收益的分配原则和支付方式；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（8）在法律法规或中国证监会允许的范围内推出新业务或服务；</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（9）由于目标ETF变更交易方式、终止上市、基金合同终止、与其他基金进行合并而变更基金投资目标、范围或策略；</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（10）按照法律法规和《基金合同》规定不需召开基金份额持有人大会的其他情形。</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二、会议召集人及召集方式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1、除法律法规规定或《基金合同》另有约定外，基金份额持有人大会由基金管理人召集。</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2、基金管理人未按规定召集或不能召开时，由基金托管人召集。</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6、基金份额持有人会议的召集人负责选择确定开会时间、地点、方式和权益登记日。</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三、召开基金份额持有人大会的通知时间、通知内容、通知方式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1、召开基金份额持有人大会，召集人应于会议召开前30日，在规定媒介公告。基金份额持有人大会通知应至少载明以下内容：</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（1）会议召开的时间、地点和会议形式；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（2）会议</w:t>
      </w:r>
      <w:r>
        <w:rPr>
          <w:rFonts w:ascii="宋体" w:hAnsi="Calibri" w:cs="宋体" w:hint="eastAsia"/>
          <w:szCs w:val="21"/>
          <w:highlight w:val="white"/>
          <w:lang w:eastAsia="zh-CN"/>
        </w:rPr>
        <w:t>拟审议</w:t>
      </w:r>
      <w:r>
        <w:rPr>
          <w:rFonts w:ascii="宋体" w:hAnsi="Calibri" w:cs="宋体" w:hint="eastAsia"/>
          <w:szCs w:val="21"/>
          <w:highlight w:val="white"/>
          <w:lang w:eastAsia="zh-CN"/>
        </w:rPr>
        <w:t>的事项、议事程序和表决方式；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（3）有权出席基金份额持有人大会的基金份额持有人的权益登记日；</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（4）授权委托证明的内容要求（包括但不限于代理人身份，代理权限和代理有效期限等）、送达时间和地点；</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（5）会务常设联系人姓名及联系电话；</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（6）出席会议者必须准备的文件和必须履行的手续；</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（7）召集人需要通知的其他事项。</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r>
        <w:rPr>
          <w:rFonts w:ascii="宋体" w:hAnsi="Calibri" w:cs="宋体" w:hint="eastAsia"/>
          <w:szCs w:val="21"/>
          <w:highlight w:val="white"/>
          <w:lang w:eastAsia="zh-CN"/>
        </w:rPr>
        <w:t>拒不派</w:t>
      </w:r>
      <w:r>
        <w:rPr>
          <w:rFonts w:ascii="宋体" w:hAnsi="Calibri" w:cs="宋体" w:hint="eastAsia"/>
          <w:szCs w:val="21"/>
          <w:highlight w:val="white"/>
          <w:lang w:eastAsia="zh-CN"/>
        </w:rPr>
        <w:t>代表对书面表决意见的计票进行监督的，不影响表决意见的计票效力。</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四、基金份额持有人出席会议的方式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基金份额持有人大会可通过现场开会方式、通讯开会方式或法律法规、监管机构允许的其他方式召开，会议的召开方式由会议召集人确定。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在同时符合以下条件时，通讯开会的方式视为有效：</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（1）会议召集人按《基金合同》约定公布会议通知后，在2个工作日内连续公布相关提示性公告；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五、议事内容与程序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1、议事内容及提案权</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基金份额持有人大会的召集人发出召集会议的通知后，对原有提案的修改应当在基金份额持有人大会召开前及时公告。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基金份额持有人大会不得对未事先公告的议事内容进行表决。</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2、议事程序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（1）现场开会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r>
        <w:rPr>
          <w:rFonts w:ascii="宋体" w:hAnsi="Calibri" w:cs="宋体" w:hint="eastAsia"/>
          <w:szCs w:val="21"/>
          <w:highlight w:val="white"/>
          <w:lang w:eastAsia="zh-CN"/>
        </w:rPr>
        <w:t>作出</w:t>
      </w:r>
      <w:r>
        <w:rPr>
          <w:rFonts w:ascii="宋体" w:hAnsi="Calibri" w:cs="宋体" w:hint="eastAsia"/>
          <w:szCs w:val="21"/>
          <w:highlight w:val="white"/>
          <w:lang w:eastAsia="zh-CN"/>
        </w:rPr>
        <w:t>的决议的效力。</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会议召集人应当制作出席会议人员的签名册。签名</w:t>
      </w:r>
      <w:r>
        <w:rPr>
          <w:rFonts w:ascii="宋体" w:hAnsi="Calibri" w:cs="宋体" w:hint="eastAsia"/>
          <w:szCs w:val="21"/>
          <w:highlight w:val="white"/>
          <w:lang w:eastAsia="zh-CN"/>
        </w:rPr>
        <w:t>册</w:t>
      </w:r>
      <w:r>
        <w:rPr>
          <w:rFonts w:ascii="宋体" w:hAnsi="Calibri" w:cs="宋体" w:hint="eastAsia"/>
          <w:szCs w:val="21"/>
          <w:highlight w:val="white"/>
          <w:lang w:eastAsia="zh-CN"/>
        </w:rPr>
        <w:t>载明参加会议人员姓名（或单位名称）、身份证明文件号码、持有或代表有表决权的基金份额、委托人姓名（或单位名称）和联系方式等事项。</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（2）通讯开会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六、表决</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基金份额持有人所持每份基金份额有一票表决权。</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基金份额持有人大会决议分为一般决议和特别决议：</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基金份额持有人大会采取记名方式进行投票表决。</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基金份额持有人大会的各项提案或同一项提案内并列的各项议题应当分开审议、逐项表决。</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七、计票</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1、现场开会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r>
        <w:rPr>
          <w:rFonts w:ascii="宋体" w:hAnsi="Calibri" w:cs="宋体" w:hint="eastAsia"/>
          <w:szCs w:val="21"/>
          <w:highlight w:val="white"/>
          <w:lang w:eastAsia="zh-CN"/>
        </w:rPr>
        <w:t>或大会</w:t>
      </w:r>
      <w:r>
        <w:rPr>
          <w:rFonts w:ascii="宋体" w:hAnsi="Calibri" w:cs="宋体" w:hint="eastAsia"/>
          <w:szCs w:val="21"/>
          <w:highlight w:val="white"/>
          <w:lang w:eastAsia="zh-CN"/>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（2）监票人应当在基金份额持有人表决后立即进行清点并由大会主持人当场公布计票结果。</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（3）如果会议主持人或基金份额持有人或代理人对于提交的表决结果有怀疑，可以在宣布表决结果后立即对所投票</w:t>
      </w:r>
      <w:r>
        <w:rPr>
          <w:rFonts w:ascii="宋体" w:hAnsi="Calibri" w:cs="宋体" w:hint="eastAsia"/>
          <w:szCs w:val="21"/>
          <w:highlight w:val="white"/>
          <w:lang w:eastAsia="zh-CN"/>
        </w:rPr>
        <w:t>数要求</w:t>
      </w:r>
      <w:r>
        <w:rPr>
          <w:rFonts w:ascii="宋体" w:hAnsi="Calibri" w:cs="宋体" w:hint="eastAsia"/>
          <w:szCs w:val="21"/>
          <w:highlight w:val="white"/>
          <w:lang w:eastAsia="zh-CN"/>
        </w:rPr>
        <w:t>进行重新清点。监票人应当进行重新清点，重新清点以一次为限。重新清点后，大会主持人应当当场公布重新清点结果。</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（4）计票过程应由公证机关予以公证，基金管理人或基金托管人拒不出席大会的，不影响计票的效力。</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2、通讯开会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r>
        <w:rPr>
          <w:rFonts w:ascii="宋体" w:hAnsi="Calibri" w:cs="宋体" w:hint="eastAsia"/>
          <w:szCs w:val="21"/>
          <w:highlight w:val="white"/>
          <w:lang w:eastAsia="zh-CN"/>
        </w:rPr>
        <w:t>人拒派</w:t>
      </w:r>
      <w:r>
        <w:rPr>
          <w:rFonts w:ascii="宋体" w:hAnsi="Calibri" w:cs="宋体" w:hint="eastAsia"/>
          <w:szCs w:val="21"/>
          <w:highlight w:val="white"/>
          <w:lang w:eastAsia="zh-CN"/>
        </w:rPr>
        <w:t>代表对书面表决意见的计票进行监督的，不影响计票和表决结果。</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八、生效与公告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基金份额持有人大会的决议，召集人应当自通过之日起5日内报中国证监会备案。</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基金份额持有人大会的决议自表决通过之日起生效。</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基金份额持有人大会决议自生效之日起2日内在规定媒介上公告。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九、实施</w:t>
      </w:r>
      <w:r>
        <w:rPr>
          <w:rFonts w:ascii="宋体" w:hAnsi="Calibri" w:cs="宋体" w:hint="eastAsia"/>
          <w:szCs w:val="21"/>
          <w:highlight w:val="white"/>
          <w:lang w:eastAsia="zh-CN"/>
        </w:rPr>
        <w:t>侧袋机制</w:t>
      </w:r>
      <w:r>
        <w:rPr>
          <w:rFonts w:ascii="宋体" w:hAnsi="Calibri" w:cs="宋体" w:hint="eastAsia"/>
          <w:szCs w:val="21"/>
          <w:highlight w:val="white"/>
          <w:lang w:eastAsia="zh-CN"/>
        </w:rPr>
        <w:t>期间基金份额持有人大会的特殊约定</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若本基金</w:t>
      </w:r>
      <w:r>
        <w:rPr>
          <w:rFonts w:ascii="宋体" w:hAnsi="Calibri" w:cs="宋体" w:hint="eastAsia"/>
          <w:szCs w:val="21"/>
          <w:highlight w:val="white"/>
          <w:lang w:eastAsia="zh-CN"/>
        </w:rPr>
        <w:t>实施侧袋机制</w:t>
      </w:r>
      <w:r>
        <w:rPr>
          <w:rFonts w:ascii="宋体" w:hAnsi="Calibri" w:cs="宋体" w:hint="eastAsia"/>
          <w:szCs w:val="21"/>
          <w:highlight w:val="white"/>
          <w:lang w:eastAsia="zh-CN"/>
        </w:rPr>
        <w:t>，</w:t>
      </w:r>
      <w:r>
        <w:rPr>
          <w:rFonts w:ascii="宋体" w:hAnsi="Calibri" w:cs="宋体" w:hint="eastAsia"/>
          <w:szCs w:val="21"/>
          <w:highlight w:val="white"/>
          <w:lang w:eastAsia="zh-CN"/>
        </w:rPr>
        <w:t>则相关</w:t>
      </w:r>
      <w:r>
        <w:rPr>
          <w:rFonts w:ascii="宋体" w:hAnsi="Calibri" w:cs="宋体" w:hint="eastAsia"/>
          <w:szCs w:val="21"/>
          <w:highlight w:val="white"/>
          <w:lang w:eastAsia="zh-CN"/>
        </w:rPr>
        <w:t>基金份额或表决权的比例</w:t>
      </w:r>
      <w:r>
        <w:rPr>
          <w:rFonts w:ascii="宋体" w:hAnsi="Calibri" w:cs="宋体" w:hint="eastAsia"/>
          <w:szCs w:val="21"/>
          <w:highlight w:val="white"/>
          <w:lang w:eastAsia="zh-CN"/>
        </w:rPr>
        <w:t>指主袋份额</w:t>
      </w:r>
      <w:r>
        <w:rPr>
          <w:rFonts w:ascii="宋体" w:hAnsi="Calibri" w:cs="宋体" w:hint="eastAsia"/>
          <w:szCs w:val="21"/>
          <w:highlight w:val="white"/>
          <w:lang w:eastAsia="zh-CN"/>
        </w:rPr>
        <w:t>持有</w:t>
      </w:r>
      <w:r>
        <w:rPr>
          <w:rFonts w:ascii="宋体" w:hAnsi="Calibri" w:cs="宋体" w:hint="eastAsia"/>
          <w:szCs w:val="21"/>
          <w:highlight w:val="white"/>
          <w:lang w:eastAsia="zh-CN"/>
        </w:rPr>
        <w:t>人和侧袋份额</w:t>
      </w:r>
      <w:r>
        <w:rPr>
          <w:rFonts w:ascii="宋体" w:hAnsi="Calibri" w:cs="宋体" w:hint="eastAsia"/>
          <w:szCs w:val="21"/>
          <w:highlight w:val="white"/>
          <w:lang w:eastAsia="zh-CN"/>
        </w:rPr>
        <w:t>持有人分别持有或代表的基金份额或表决权符合该等比例，但</w:t>
      </w:r>
      <w:r>
        <w:rPr>
          <w:rFonts w:ascii="宋体" w:hAnsi="Calibri" w:cs="宋体" w:hint="eastAsia"/>
          <w:szCs w:val="21"/>
          <w:highlight w:val="white"/>
          <w:lang w:eastAsia="zh-CN"/>
        </w:rPr>
        <w:t>若相关</w:t>
      </w:r>
      <w:r>
        <w:rPr>
          <w:rFonts w:ascii="宋体" w:hAnsi="Calibri" w:cs="宋体" w:hint="eastAsia"/>
          <w:szCs w:val="21"/>
          <w:highlight w:val="white"/>
          <w:lang w:eastAsia="zh-CN"/>
        </w:rPr>
        <w:t>基金份额持有人大会召集和审议事项不</w:t>
      </w:r>
      <w:r>
        <w:rPr>
          <w:rFonts w:ascii="宋体" w:hAnsi="Calibri" w:cs="宋体" w:hint="eastAsia"/>
          <w:szCs w:val="21"/>
          <w:highlight w:val="white"/>
          <w:lang w:eastAsia="zh-CN"/>
        </w:rPr>
        <w:t>涉及侧袋账户</w:t>
      </w:r>
      <w:r>
        <w:rPr>
          <w:rFonts w:ascii="宋体" w:hAnsi="Calibri" w:cs="宋体" w:hint="eastAsia"/>
          <w:szCs w:val="21"/>
          <w:highlight w:val="white"/>
          <w:lang w:eastAsia="zh-CN"/>
        </w:rPr>
        <w:t>的，则仅</w:t>
      </w:r>
      <w:r>
        <w:rPr>
          <w:rFonts w:ascii="宋体" w:hAnsi="Calibri" w:cs="宋体" w:hint="eastAsia"/>
          <w:szCs w:val="21"/>
          <w:highlight w:val="white"/>
          <w:lang w:eastAsia="zh-CN"/>
        </w:rPr>
        <w:t>指主袋份额</w:t>
      </w:r>
      <w:r>
        <w:rPr>
          <w:rFonts w:ascii="宋体" w:hAnsi="Calibri" w:cs="宋体" w:hint="eastAsia"/>
          <w:szCs w:val="21"/>
          <w:highlight w:val="white"/>
          <w:lang w:eastAsia="zh-CN"/>
        </w:rPr>
        <w:t>持有人持有或代表的基金份额或表决权符合该等比例：</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1、基金份额持有人行使提议权、召集权、提名权所需单独或合计代表相关基金份额10%以上（含10%）；</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2、现场开会的到会者在权益登记日代表的基金份额不少于本基金在权益登记</w:t>
      </w:r>
      <w:r>
        <w:rPr>
          <w:rFonts w:ascii="宋体" w:hAnsi="Calibri" w:cs="宋体" w:hint="eastAsia"/>
          <w:szCs w:val="21"/>
          <w:highlight w:val="white"/>
          <w:lang w:eastAsia="zh-CN"/>
        </w:rPr>
        <w:t>日相关</w:t>
      </w:r>
      <w:r>
        <w:rPr>
          <w:rFonts w:ascii="宋体" w:hAnsi="Calibri" w:cs="宋体" w:hint="eastAsia"/>
          <w:szCs w:val="21"/>
          <w:highlight w:val="white"/>
          <w:lang w:eastAsia="zh-CN"/>
        </w:rPr>
        <w:t>基金份额的二分之一（含二分之一）；</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3、通讯开会的直接出具书面意见或授权他人代表出具书面意见的基金份额持有人所持有的基金份额不小于在权益登记</w:t>
      </w:r>
      <w:r>
        <w:rPr>
          <w:rFonts w:ascii="宋体" w:hAnsi="Calibri" w:cs="宋体" w:hint="eastAsia"/>
          <w:szCs w:val="21"/>
          <w:highlight w:val="white"/>
          <w:lang w:eastAsia="zh-CN"/>
        </w:rPr>
        <w:t>日相关</w:t>
      </w:r>
      <w:r>
        <w:rPr>
          <w:rFonts w:ascii="宋体" w:hAnsi="Calibri" w:cs="宋体" w:hint="eastAsia"/>
          <w:szCs w:val="21"/>
          <w:highlight w:val="white"/>
          <w:lang w:eastAsia="zh-CN"/>
        </w:rPr>
        <w:t>基金份额的二分之一（含二分之一）；</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4、在参与基金份额持有人大会投票的基金份额持有人所持有的基金份额小于在权益登记</w:t>
      </w:r>
      <w:r>
        <w:rPr>
          <w:rFonts w:ascii="宋体" w:hAnsi="Calibri" w:cs="宋体" w:hint="eastAsia"/>
          <w:szCs w:val="21"/>
          <w:highlight w:val="white"/>
          <w:lang w:eastAsia="zh-CN"/>
        </w:rPr>
        <w:t>日相关</w:t>
      </w:r>
      <w:r>
        <w:rPr>
          <w:rFonts w:ascii="宋体" w:hAnsi="Calibri" w:cs="宋体" w:hint="eastAsia"/>
          <w:szCs w:val="21"/>
          <w:highlight w:val="white"/>
          <w:lang w:eastAsia="zh-CN"/>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6、一般决议须经参加大会的基金份额持有人或其代理人所持表决权的二分之一以上（含二分之一）通过；</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7、特别决议应当经参加大会的基金份额持有人或其代理人所持表决权的三分之二以上（含三分之二）通过。</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同</w:t>
      </w:r>
      <w:r>
        <w:rPr>
          <w:rFonts w:ascii="宋体" w:hAnsi="Calibri" w:cs="宋体" w:hint="eastAsia"/>
          <w:szCs w:val="21"/>
          <w:highlight w:val="white"/>
          <w:lang w:eastAsia="zh-CN"/>
        </w:rPr>
        <w:t>一主侧袋账户</w:t>
      </w:r>
      <w:r>
        <w:rPr>
          <w:rFonts w:ascii="宋体" w:hAnsi="Calibri" w:cs="宋体" w:hint="eastAsia"/>
          <w:szCs w:val="21"/>
          <w:highlight w:val="white"/>
          <w:lang w:eastAsia="zh-CN"/>
        </w:rPr>
        <w:t>内的每份基金份额具有平等的表决权。</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十、本部</w:t>
      </w:r>
      <w:r>
        <w:rPr>
          <w:rFonts w:ascii="宋体" w:hAnsi="Calibri" w:cs="宋体" w:hint="eastAsia"/>
          <w:szCs w:val="21"/>
          <w:highlight w:val="white"/>
          <w:lang w:eastAsia="zh-CN"/>
        </w:rPr>
        <w:t>分关于</w:t>
      </w:r>
      <w:r>
        <w:rPr>
          <w:rFonts w:ascii="宋体" w:hAnsi="Calibri" w:cs="宋体" w:hint="eastAsia"/>
          <w:szCs w:val="21"/>
          <w:highlight w:val="white"/>
          <w:lang w:eastAsia="zh-CN"/>
        </w:rPr>
        <w:t>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97367D">
      <w:pPr>
        <w:spacing w:line="360" w:lineRule="auto"/>
        <w:ind w:firstLine="420"/>
        <w:rPr>
          <w:rFonts w:ascii="宋体" w:hAnsi="Calibri" w:cs="宋体"/>
          <w:szCs w:val="21"/>
          <w:lang w:eastAsia="zh-CN"/>
        </w:rPr>
      </w:pPr>
    </w:p>
    <w:p w:rsidR="0097367D">
      <w:pPr>
        <w:spacing w:line="360" w:lineRule="auto"/>
        <w:ind w:firstLine="420"/>
        <w:rPr>
          <w:rFonts w:ascii="宋体" w:hAnsi="Calibri" w:cs="宋体"/>
          <w:szCs w:val="21"/>
          <w:lang w:eastAsia="zh-CN"/>
        </w:rPr>
      </w:pPr>
      <w:bookmarkStart w:id="1855" w:name="_Hlt88820702"/>
      <w:bookmarkEnd w:id="1855"/>
      <w:r>
        <w:rPr>
          <w:rFonts w:ascii="宋体" w:hAnsi="Calibri" w:cs="宋体" w:hint="eastAsia"/>
          <w:szCs w:val="21"/>
          <w:highlight w:val="white"/>
          <w:lang w:eastAsia="zh-CN"/>
        </w:rPr>
        <w:t>第三节 基金合同解除和终止的事由、程序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一、《基金合同》的变更</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1、变更基金合同涉及法律法规规定或基金合同约定应经基金份额持有人大会决议通过的事项的，应召</w:t>
      </w:r>
      <w:r>
        <w:rPr>
          <w:rFonts w:ascii="宋体" w:hAnsi="Calibri" w:cs="宋体" w:hint="eastAsia"/>
          <w:szCs w:val="21"/>
          <w:highlight w:val="white"/>
          <w:lang w:eastAsia="zh-CN"/>
        </w:rPr>
        <w:t>开基金</w:t>
      </w:r>
      <w:r>
        <w:rPr>
          <w:rFonts w:ascii="宋体" w:hAnsi="Calibri" w:cs="宋体" w:hint="eastAsia"/>
          <w:szCs w:val="21"/>
          <w:highlight w:val="white"/>
          <w:lang w:eastAsia="zh-CN"/>
        </w:rPr>
        <w:t>份额持有人大会决议通过。对于法律法规规定和基金合同约定可不经基金份额持有人大会决议通过的事项，由基金管理人和基金托管人同意后变更并公告。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2、关于《基金合同》变更的基金份额持有人大会决议自生效后方可执行，</w:t>
      </w:r>
      <w:r>
        <w:rPr>
          <w:rFonts w:ascii="宋体" w:hAnsi="Calibri" w:cs="宋体" w:hint="eastAsia"/>
          <w:szCs w:val="21"/>
          <w:highlight w:val="white"/>
          <w:lang w:eastAsia="zh-CN"/>
        </w:rPr>
        <w:t>自决议</w:t>
      </w:r>
      <w:r>
        <w:rPr>
          <w:rFonts w:ascii="宋体" w:hAnsi="Calibri" w:cs="宋体" w:hint="eastAsia"/>
          <w:szCs w:val="21"/>
          <w:highlight w:val="white"/>
          <w:lang w:eastAsia="zh-CN"/>
        </w:rPr>
        <w:t>生效后两日内在规定媒介公告。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二、《基金合同》的终止事由</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有下列情形之一的，经履行相关程序后，《基金合同》应当终止：</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1、《基金合同》生效之日起三年后的年度对应日，</w:t>
      </w:r>
      <w:r>
        <w:rPr>
          <w:rFonts w:ascii="宋体" w:hAnsi="Calibri" w:cs="宋体" w:hint="eastAsia"/>
          <w:szCs w:val="21"/>
          <w:highlight w:val="white"/>
          <w:lang w:eastAsia="zh-CN"/>
        </w:rPr>
        <w:t>若基金</w:t>
      </w:r>
      <w:r>
        <w:rPr>
          <w:rFonts w:ascii="宋体" w:hAnsi="Calibri" w:cs="宋体" w:hint="eastAsia"/>
          <w:szCs w:val="21"/>
          <w:highlight w:val="white"/>
          <w:lang w:eastAsia="zh-CN"/>
        </w:rPr>
        <w:t>资产净值低于2</w:t>
      </w:r>
      <w:r>
        <w:rPr>
          <w:rFonts w:ascii="宋体" w:hAnsi="Calibri" w:cs="宋体" w:hint="eastAsia"/>
          <w:szCs w:val="21"/>
          <w:highlight w:val="white"/>
          <w:lang w:eastAsia="zh-CN"/>
        </w:rPr>
        <w:t>亿元的；若届时的法律法规或中国证监会规定发生变化，上述终止规定被取消、更改或补充，则本基金可以参照届时有效的法律法规或中国证监会规定执行；</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2、基金份额持有人大会决定终止的；</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3、基金管理人、基金托管人职责终止，在6个月内没有新基金管理人、新基金托管人承接的；</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5、《基金合同》约定的其他情形；</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6、相关法律法规和中国证监会规定的其他情况。</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三、基金财产的清算</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3、基金财产清算小组职责：基金财产清算小组负责基金财产的保管、清理、估价、变现和分配。基金财产清算小组可以依法进行必要的民事活动。</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4、基金财产清算程序：</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（1）《基金合同》终止情形出现时，由基金财产清算小组统一接管基金；</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（2）对基金财产和债权债务进行清理和确认；</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（3）对基金财产进行估值和变现；</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（4）制作清算报告；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（5）聘请会计师事务所对清算报告进行外部审计，聘请律师事务所对清算报告出具法律意见书；</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（6）将清算报告报中国证监会备案并公告；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（7）对基金剩余财产进行分配。</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5、基金财产清算的期限为6个月，但因本基金所持证券的流动性受到限制而不能及时变现的，清算期限相应顺延。</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四、清算费用</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清算费用是指基金财产清算小组在进行基金清算过程中发生的所有合理费用，清算费用由基金财产清算小组优先从基金财产中支付。</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五、基金财产清算剩余资产的分配</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六、基金财产清算的公告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清算过程中的有关重大事项须及时公告；基金财产清算报告</w:t>
      </w:r>
      <w:r>
        <w:rPr>
          <w:rFonts w:ascii="宋体" w:hAnsi="Calibri" w:cs="宋体" w:hint="eastAsia"/>
          <w:szCs w:val="21"/>
          <w:highlight w:val="white"/>
          <w:lang w:eastAsia="zh-CN"/>
        </w:rPr>
        <w:t>经符合</w:t>
      </w:r>
      <w:r>
        <w:rPr>
          <w:rFonts w:ascii="宋体" w:hAnsi="Calibri" w:cs="宋体" w:hint="eastAsia"/>
          <w:szCs w:val="21"/>
          <w:highlight w:val="white"/>
          <w:lang w:eastAsia="zh-CN"/>
        </w:rPr>
        <w:t>《证券法》规定的会计师事务所审计并由律师事务所出具法律意见书后报中国证监会备案并公告。基金财产清算公告于基金财产清算报告报中国证监会备案后5个工作日内由基金财产清算小组进行公告。</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七、基金财产清算账册及文件的保存</w:t>
      </w:r>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基金财产清算账册及有关文件由基金托管人保存20年以上。</w:t>
      </w:r>
    </w:p>
    <w:p w:rsidR="0097367D">
      <w:pPr>
        <w:spacing w:line="360" w:lineRule="auto"/>
        <w:ind w:firstLine="420"/>
        <w:rPr>
          <w:rFonts w:ascii="宋体" w:hAnsi="Calibri" w:cs="宋体"/>
          <w:szCs w:val="21"/>
          <w:lang w:eastAsia="zh-CN"/>
        </w:rPr>
      </w:pP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第</w:t>
      </w:r>
      <w:bookmarkStart w:id="1856" w:name="_Toc516750735"/>
      <w:r>
        <w:rPr>
          <w:rFonts w:ascii="宋体" w:hAnsi="Calibri" w:cs="宋体" w:hint="eastAsia"/>
          <w:szCs w:val="21"/>
          <w:highlight w:val="white"/>
          <w:lang w:eastAsia="zh-CN"/>
        </w:rPr>
        <w:t>四节 争议解决方式</w:t>
      </w:r>
      <w:bookmarkEnd w:id="1856"/>
    </w:p>
    <w:p w:rsidR="0097367D">
      <w:pPr>
        <w:spacing w:line="360" w:lineRule="auto"/>
        <w:ind w:firstLine="480"/>
        <w:rPr>
          <w:rFonts w:ascii="宋体" w:hAnsi="Calibri"/>
          <w:b/>
          <w:szCs w:val="21"/>
          <w:lang w:eastAsia="zh-CN"/>
        </w:rPr>
      </w:pPr>
      <w:r>
        <w:rPr>
          <w:rFonts w:ascii="宋体" w:hAnsi="Calibri" w:hint="eastAsia"/>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97367D" w:rsidRPr="006C2C8D">
      <w:pPr>
        <w:spacing w:line="360" w:lineRule="auto"/>
        <w:ind w:firstLine="480"/>
        <w:rPr>
          <w:rFonts w:ascii="宋体" w:hAnsi="Calibri"/>
          <w:b w:val="0"/>
          <w:szCs w:val="21"/>
          <w:lang w:eastAsia="zh-CN"/>
        </w:rPr>
      </w:pPr>
      <w:bookmarkStart w:id="1857" w:name="_GoBack"/>
      <w:r w:rsidRPr="006C2C8D">
        <w:rPr>
          <w:rFonts w:ascii="宋体" w:hAnsi="Calibri" w:hint="eastAsia"/>
          <w:b w:val="0"/>
          <w:szCs w:val="21"/>
          <w:highlight w:val="white"/>
          <w:lang w:eastAsia="zh-CN"/>
        </w:rPr>
        <w:t>争议处理期间，基金合同当事人应恪守各自的职责，继续忠实、勤勉、尽责地履行基金合同规定的义务，维护基金份额持有人的合法权益。</w:t>
      </w:r>
    </w:p>
    <w:p w:rsidR="0097367D" w:rsidRPr="006C2C8D">
      <w:pPr>
        <w:spacing w:line="360" w:lineRule="auto"/>
        <w:ind w:firstLine="480"/>
        <w:rPr>
          <w:rFonts w:ascii="宋体" w:hAnsi="Calibri"/>
          <w:b w:val="0"/>
          <w:szCs w:val="21"/>
          <w:lang w:eastAsia="zh-CN"/>
        </w:rPr>
      </w:pPr>
      <w:r w:rsidRPr="006C2C8D">
        <w:rPr>
          <w:rFonts w:ascii="宋体" w:hAnsi="Calibri" w:hint="eastAsia"/>
          <w:b w:val="0"/>
          <w:szCs w:val="21"/>
          <w:highlight w:val="white"/>
          <w:lang w:eastAsia="zh-CN"/>
        </w:rPr>
        <w:t>《基金合同》受中国法律管辖。</w:t>
      </w:r>
    </w:p>
    <w:bookmarkEnd w:id="1857"/>
    <w:p w:rsidR="0097367D">
      <w:pPr>
        <w:spacing w:line="360" w:lineRule="auto"/>
        <w:ind w:firstLine="420"/>
        <w:rPr>
          <w:rFonts w:ascii="宋体" w:hAnsi="Calibri" w:cs="宋体"/>
          <w:szCs w:val="21"/>
          <w:lang w:eastAsia="zh-CN"/>
        </w:rPr>
      </w:pPr>
    </w:p>
    <w:p w:rsidR="0097367D">
      <w:pPr>
        <w:spacing w:line="360" w:lineRule="auto"/>
        <w:ind w:firstLine="420"/>
        <w:rPr>
          <w:rFonts w:ascii="宋体" w:hAnsi="Calibri" w:cs="宋体"/>
          <w:szCs w:val="21"/>
          <w:lang w:eastAsia="zh-CN"/>
        </w:rPr>
      </w:pPr>
      <w:r>
        <w:rPr>
          <w:rFonts w:ascii="宋体" w:hAnsi="Calibri" w:cs="宋体"/>
          <w:szCs w:val="21"/>
          <w:highlight w:val="white"/>
          <w:lang w:eastAsia="zh-CN"/>
        </w:rPr>
        <w:t>第</w:t>
      </w:r>
      <w:bookmarkStart w:id="1858" w:name="_Toc516750736"/>
      <w:r>
        <w:rPr>
          <w:rFonts w:ascii="宋体" w:hAnsi="Calibri" w:cs="宋体" w:hint="eastAsia"/>
          <w:szCs w:val="21"/>
          <w:highlight w:val="white"/>
          <w:lang w:eastAsia="zh-CN"/>
        </w:rPr>
        <w:t>五节 基金合同存放地和投资者取得基金合同的方式</w:t>
      </w:r>
      <w:bookmarkEnd w:id="1858"/>
    </w:p>
    <w:p w:rsidR="0097367D">
      <w:pPr>
        <w:spacing w:line="360" w:lineRule="auto"/>
        <w:ind w:firstLine="420"/>
        <w:rPr>
          <w:rFonts w:ascii="宋体" w:hAnsi="Calibri" w:cs="宋体"/>
          <w:szCs w:val="21"/>
          <w:lang w:eastAsia="zh-CN"/>
        </w:rPr>
      </w:pPr>
      <w:r>
        <w:rPr>
          <w:rFonts w:ascii="宋体" w:hAnsi="Calibri" w:cs="宋体" w:hint="eastAsia"/>
          <w:szCs w:val="21"/>
          <w:highlight w:val="white"/>
          <w:lang w:eastAsia="zh-CN"/>
        </w:rPr>
        <w:t>《基金合同》可印制成册，供投资者在基金管理人、基金托管人、销售机构的办公场所和营业场所查阅。</w:t>
      </w:r>
    </w:p>
    <w:p w:rsidR="0097367D">
      <w:pPr>
        <w:pStyle w:val="Heading1"/>
        <w:spacing w:before="317" w:after="317" w:line="360" w:lineRule="auto"/>
        <w:ind w:firstLine="420"/>
        <w:rPr>
          <w:rFonts w:ascii="宋体" w:eastAsia="宋体" w:hAnsi="Calibri" w:cs="宋体"/>
          <w:sz w:val="30"/>
          <w:szCs w:val="30"/>
          <w:lang w:eastAsia="zh-CN"/>
        </w:rPr>
      </w:pPr>
      <w:bookmarkStart w:id="1859" w:name="_Toc332373589"/>
      <w:r>
        <w:rPr>
          <w:rFonts w:ascii="宋体" w:eastAsia="宋体" w:hAnsi="Calibri" w:cs="宋体" w:hint="eastAsia"/>
          <w:bCs/>
          <w:sz w:val="21"/>
          <w:szCs w:val="21"/>
          <w:highlight w:val="white"/>
          <w:lang w:eastAsia="zh-CN"/>
        </w:rPr>
        <w:br w:type="page"/>
      </w:r>
      <w:bookmarkStart w:id="1860" w:name="_Toc129511545"/>
      <w:bookmarkEnd w:id="1859"/>
      <w:r>
        <w:rPr>
          <w:rFonts w:ascii="宋体" w:eastAsia="宋体" w:hAnsi="Calibri" w:cs="宋体" w:hint="eastAsia"/>
          <w:sz w:val="30"/>
          <w:szCs w:val="30"/>
          <w:highlight w:val="white"/>
          <w:lang w:eastAsia="zh-CN"/>
        </w:rPr>
        <w:t>第二</w:t>
      </w:r>
      <w:bookmarkStart w:id="1861" w:name="_Toc332374170"/>
      <w:bookmarkStart w:id="1862" w:name="_Toc332373590"/>
      <w:r>
        <w:rPr>
          <w:rFonts w:ascii="宋体" w:eastAsia="宋体" w:hAnsi="Calibri" w:cs="宋体" w:hint="eastAsia"/>
          <w:sz w:val="30"/>
          <w:szCs w:val="30"/>
          <w:highlight w:val="white"/>
          <w:lang w:eastAsia="zh-CN"/>
        </w:rPr>
        <w:t>十</w:t>
      </w:r>
      <w:r>
        <w:rPr>
          <w:rFonts w:ascii="宋体" w:eastAsia="宋体" w:hAnsi="Calibri" w:cs="宋体"/>
          <w:sz w:val="30"/>
          <w:szCs w:val="30"/>
          <w:highlight w:val="white"/>
          <w:lang w:eastAsia="zh-CN"/>
        </w:rPr>
        <w:t>三部分 基金托管协议的内容摘要</w:t>
      </w:r>
      <w:bookmarkEnd w:id="1860"/>
      <w:bookmarkEnd w:id="1861"/>
      <w:bookmarkEnd w:id="1862"/>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 xml:space="preserve">第一节 </w:t>
      </w:r>
      <w:r>
        <w:rPr>
          <w:rFonts w:ascii="宋体" w:hAnsi="Calibri" w:cs="宋体" w:hint="eastAsia"/>
          <w:bCs/>
          <w:szCs w:val="21"/>
          <w:highlight w:val="white"/>
          <w:lang w:eastAsia="zh-CN"/>
        </w:rPr>
        <w:t>托管协议当事人</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（一）基金管理人</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名称：易方达基金管理有限公司</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住所：广东省珠海市横琴新区</w:t>
      </w:r>
      <w:r>
        <w:rPr>
          <w:rFonts w:ascii="宋体" w:hAnsi="Calibri" w:cs="宋体"/>
          <w:bCs/>
          <w:szCs w:val="21"/>
          <w:highlight w:val="white"/>
          <w:lang w:eastAsia="zh-CN"/>
        </w:rPr>
        <w:t>荣粤道</w:t>
      </w:r>
      <w:r>
        <w:rPr>
          <w:rFonts w:ascii="宋体" w:hAnsi="Calibri" w:cs="宋体"/>
          <w:bCs/>
          <w:szCs w:val="21"/>
          <w:highlight w:val="white"/>
          <w:lang w:eastAsia="zh-CN"/>
        </w:rPr>
        <w:t>188号6层</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法定代表人：吴欣荣</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设立日期：2001年4月17日</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批准设立机关及批准设立文号：中国证券监督管理委员会，证</w:t>
      </w:r>
      <w:r>
        <w:rPr>
          <w:rFonts w:ascii="宋体" w:hAnsi="Calibri" w:cs="宋体"/>
          <w:bCs/>
          <w:szCs w:val="21"/>
          <w:highlight w:val="white"/>
          <w:lang w:eastAsia="zh-CN"/>
        </w:rPr>
        <w:t>监基金字</w:t>
      </w:r>
      <w:r>
        <w:rPr>
          <w:rFonts w:ascii="宋体" w:hAnsi="Calibri" w:cs="宋体"/>
          <w:bCs/>
          <w:szCs w:val="21"/>
          <w:highlight w:val="white"/>
          <w:lang w:eastAsia="zh-CN"/>
        </w:rPr>
        <w:t>[2001]4号</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组织形式：有限责任公司</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注册资本：13,244.2万元人民币</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存续期限：持续经营</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联系电话：4008818088</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（二）基金托管人</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名称：中国民生银行股份有限公司</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注册地址：北京市西城区复兴门内大街2号</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办公地址：北京市西城区复兴门内大街2号</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邮政编码：100031</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法定代表人：高迎欣</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成立日期：1996年2月7日</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基金托管业务批准文号：证</w:t>
      </w:r>
      <w:r>
        <w:rPr>
          <w:rFonts w:ascii="宋体" w:hAnsi="Calibri" w:cs="宋体"/>
          <w:bCs/>
          <w:szCs w:val="21"/>
          <w:highlight w:val="white"/>
          <w:lang w:eastAsia="zh-CN"/>
        </w:rPr>
        <w:t>监基金字</w:t>
      </w:r>
      <w:r>
        <w:rPr>
          <w:rFonts w:ascii="宋体" w:hAnsi="Calibri" w:cs="宋体"/>
          <w:bCs/>
          <w:szCs w:val="21"/>
          <w:highlight w:val="white"/>
          <w:lang w:eastAsia="zh-CN"/>
        </w:rPr>
        <w:t>[2004]101号</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组织形式：其他股份有限公司（上市）</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注册资本：43,782,418,502元人民币</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存续期间：1996年02月07日至长期</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提供保管箱服务；经国务院银行业监督管理机构批准的其他业务；保险兼业代理业务；证券投资基金销售、证券投资基金托管。（市场主体依法自主选择经营项目，开展经营活动；保险兼业代理业务、证券投资基金销售、证券投资基金托管以及依法须经批准的项目，经相关部门批准后依批准的内容开展经营活动；不得从事国家和本市产业政策禁止和限制类项目的经营活动。）</w:t>
      </w:r>
    </w:p>
    <w:p w:rsidR="0097367D">
      <w:pPr>
        <w:spacing w:line="360" w:lineRule="auto"/>
        <w:ind w:firstLine="420"/>
        <w:rPr>
          <w:rFonts w:ascii="宋体" w:hAnsi="Calibri" w:cs="宋体"/>
          <w:bCs/>
          <w:szCs w:val="21"/>
          <w:lang w:eastAsia="zh-CN"/>
        </w:rPr>
      </w:pP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第二节 基金托管人对基金管理人的业务监督和核查</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（一）基金托管人根据有关法律法规的规定及基金合同的约定，对基金投资范围、投资对象进行监督。基金合同明确约定基金投资风格或证券选择标准的，基金管理人应</w:t>
      </w:r>
      <w:r>
        <w:rPr>
          <w:rFonts w:ascii="宋体" w:hAnsi="Calibri" w:cs="宋体" w:hint="eastAsia"/>
          <w:bCs/>
          <w:szCs w:val="21"/>
          <w:highlight w:val="white"/>
          <w:lang w:eastAsia="zh-CN"/>
        </w:rPr>
        <w:t>按照基金托管人要求的格式</w:t>
      </w:r>
      <w:r>
        <w:rPr>
          <w:rFonts w:ascii="宋体" w:hAnsi="Calibri" w:cs="宋体"/>
          <w:bCs/>
          <w:szCs w:val="21"/>
          <w:highlight w:val="white"/>
          <w:lang w:eastAsia="zh-CN"/>
        </w:rPr>
        <w:t>提供投资品种池，以便基金托管人运用相关技术系统，对基金实际投资是否符合基金合同关于主题证券投资比例的约定进行监督，对存在疑义的事项进行核查。基金管理人应通过电子邮件或双方认可的其他方式完整、准确地向基金托管人提供投资品种池信息，如因基金管理</w:t>
      </w:r>
      <w:r>
        <w:rPr>
          <w:rFonts w:ascii="宋体" w:hAnsi="Calibri" w:cs="宋体"/>
          <w:bCs/>
          <w:szCs w:val="21"/>
          <w:highlight w:val="white"/>
          <w:lang w:eastAsia="zh-CN"/>
        </w:rPr>
        <w:t>人原因</w:t>
      </w:r>
      <w:r>
        <w:rPr>
          <w:rFonts w:ascii="宋体" w:hAnsi="Calibri" w:cs="宋体"/>
          <w:bCs/>
          <w:szCs w:val="21"/>
          <w:highlight w:val="white"/>
          <w:lang w:eastAsia="zh-CN"/>
        </w:rPr>
        <w:t>未向基金托管人提供投资品种池而造成基金托管人投资监督不及时的，基金托管人不承担相关责任。</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本基金的投资范围包括目标ETF、标的指数成份股及备选成份股（</w:t>
      </w:r>
      <w:r>
        <w:rPr>
          <w:rFonts w:ascii="宋体" w:hAnsi="Calibri" w:cs="宋体"/>
          <w:bCs/>
          <w:szCs w:val="21"/>
          <w:highlight w:val="white"/>
          <w:lang w:eastAsia="zh-CN"/>
        </w:rPr>
        <w:t>含存托</w:t>
      </w:r>
      <w:r>
        <w:rPr>
          <w:rFonts w:ascii="宋体" w:hAnsi="Calibri" w:cs="宋体"/>
          <w:bCs/>
          <w:szCs w:val="21"/>
          <w:highlight w:val="white"/>
          <w:lang w:eastAsia="zh-CN"/>
        </w:rPr>
        <w:t>凭证）、除标的指数成份股及备选成份股以外的其他股票（包括创业板、</w:t>
      </w:r>
      <w:r>
        <w:rPr>
          <w:rFonts w:ascii="宋体" w:hAnsi="Calibri" w:cs="宋体"/>
          <w:bCs/>
          <w:szCs w:val="21"/>
          <w:highlight w:val="white"/>
          <w:lang w:eastAsia="zh-CN"/>
        </w:rPr>
        <w:t>科创板</w:t>
      </w:r>
      <w:r>
        <w:rPr>
          <w:rFonts w:ascii="宋体" w:hAnsi="Calibri" w:cs="宋体"/>
          <w:bCs/>
          <w:szCs w:val="21"/>
          <w:highlight w:val="white"/>
          <w:lang w:eastAsia="zh-CN"/>
        </w:rPr>
        <w:t>及其他依法发行上市的股票、存托凭证）、债券（包括国债、央行票据、地方政府债、金融债、企业债、公司债、次级债、中期票据、短期融资</w:t>
      </w:r>
      <w:r>
        <w:rPr>
          <w:rFonts w:ascii="宋体" w:hAnsi="Calibri" w:cs="宋体"/>
          <w:bCs/>
          <w:szCs w:val="21"/>
          <w:highlight w:val="white"/>
          <w:lang w:eastAsia="zh-CN"/>
        </w:rPr>
        <w:t>券</w:t>
      </w:r>
      <w:r>
        <w:rPr>
          <w:rFonts w:ascii="宋体" w:hAnsi="Calibri" w:cs="宋体"/>
          <w:bCs/>
          <w:szCs w:val="21"/>
          <w:highlight w:val="white"/>
          <w:lang w:eastAsia="zh-CN"/>
        </w:rPr>
        <w:t>、超短期融资</w:t>
      </w:r>
      <w:r>
        <w:rPr>
          <w:rFonts w:ascii="宋体" w:hAnsi="Calibri" w:cs="宋体"/>
          <w:bCs/>
          <w:szCs w:val="21"/>
          <w:highlight w:val="white"/>
          <w:lang w:eastAsia="zh-CN"/>
        </w:rPr>
        <w:t>券</w:t>
      </w:r>
      <w:r>
        <w:rPr>
          <w:rFonts w:ascii="宋体" w:hAnsi="Calibri" w:cs="宋体"/>
          <w:bCs/>
          <w:szCs w:val="21"/>
          <w:highlight w:val="white"/>
          <w:lang w:eastAsia="zh-CN"/>
        </w:rPr>
        <w:t>、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如法律法规或监管机构以后允许基金投资其他品种，基金管理人在履行适当程序后，本基金可以将其纳入投资范围。</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本基金将根据法律法规的规定参与转融通证券出借及融资业务。</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基金的投资组合比例为：本基金投资于目标ETF的资产不低于基金资产净值的90%，保持不低于基金资产净值5%的现金或者到期日在一年以内的政府债券，其中现金不包括结算备付金、存出保证金和应收申购款等。</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（二）基金托管人根据有关法律法规的规定及基金合同的约定，对基金投资、融资比例进行监督。基金托管人按下述比例和调整期限进行监督：</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本基金投资于目标ETF的资产不低于基金资产净值的90%；</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sidR="00FA0C15">
        <w:rPr>
          <w:rFonts w:ascii="宋体" w:hAnsi="Calibri" w:cs="宋体" w:hint="eastAsia"/>
          <w:bCs/>
          <w:szCs w:val="21"/>
          <w:highlight w:val="white"/>
          <w:lang w:eastAsia="zh-CN"/>
        </w:rPr>
        <w:t>．</w:t>
      </w:r>
      <w:r>
        <w:rPr>
          <w:rFonts w:ascii="宋体" w:hAnsi="Calibri" w:cs="宋体"/>
          <w:bCs/>
          <w:szCs w:val="21"/>
          <w:highlight w:val="white"/>
          <w:lang w:eastAsia="zh-CN"/>
        </w:rPr>
        <w:t>保持不低于基金资产净值5%的现金或者到期日在一年以内的政府债券，其中现金不包括结算备付金、存出保证金和应收申购款等；</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本基金投资于同一原始权益人的各类资产支持证券的比例，不得超过基金资产净值的10%；</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本基金持有的全部资产支持证券，其市值不得超过基金资产净值的20%；</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5</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本基金持有的同一(指同一信用级别)资产支持证券的比例，不得超过该资产支持证券规模的10%；</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6</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本基金管理人管理的全部基金投资于同一原始权益人的各类资产支持证券，不得超过其各类资产支持证券合计规模的10%；</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7</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本基金应投资于信用级别评级为BBB以上(含BBB)的资产支持证券。基金持有资产支持证券期间，如果其信用等级下降、不再符合投资标准，应在评级报告发布之日起3个月内予以全部卖出；</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8</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基金财产参与股票发行申购，本基金所申报的金额不超过本基金的总资产，本基金所申报的股票数量不超过拟发行股票公司本次发行股票的总量；</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9</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10</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11</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12</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基金参与融资业务后，在任何交易日日终，持有的融资买入股票与其他有价证券市值之和，不得超过基金资产净值的95%；</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13</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14</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15</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本基金与私募类</w:t>
      </w:r>
      <w:r>
        <w:rPr>
          <w:rFonts w:ascii="宋体" w:hAnsi="Calibri" w:cs="宋体"/>
          <w:bCs/>
          <w:szCs w:val="21"/>
          <w:highlight w:val="white"/>
          <w:lang w:eastAsia="zh-CN"/>
        </w:rPr>
        <w:t>证券资管产品</w:t>
      </w:r>
      <w:r>
        <w:rPr>
          <w:rFonts w:ascii="宋体" w:hAnsi="Calibri" w:cs="宋体"/>
          <w:bCs/>
          <w:szCs w:val="21"/>
          <w:highlight w:val="white"/>
          <w:lang w:eastAsia="zh-CN"/>
        </w:rPr>
        <w:t>及中国证监会认定的其他主体为交易对手开展逆回购交易的，可接受质押品的资质要求应当与基金合同约定的投资范围保持一致；</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16</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本基金资产总值不超过基金资产净值的140%；</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17</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本基金投资存托凭证的比例限制依照境内上市交易的股票执行，与境内上市交易的股票合并计算；</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18</w:t>
      </w:r>
      <w:r w:rsidR="00FA0C15">
        <w:rPr>
          <w:rFonts w:ascii="宋体" w:hAnsi="Calibri" w:cs="宋体" w:hint="eastAsia"/>
          <w:bCs/>
          <w:szCs w:val="21"/>
          <w:highlight w:val="white"/>
          <w:lang w:eastAsia="zh-CN"/>
        </w:rPr>
        <w:t>．</w:t>
      </w:r>
      <w:r>
        <w:rPr>
          <w:rFonts w:ascii="宋体" w:hAnsi="Calibri" w:cs="宋体"/>
          <w:bCs/>
          <w:szCs w:val="21"/>
          <w:highlight w:val="white"/>
          <w:lang w:eastAsia="zh-CN"/>
        </w:rPr>
        <w:t>法律法规及中国证监会规定的和《基金合同》约定的其他投资限制。</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因证券/期货市场波动、证券发行人合并、基金规模变动、标的指数成份股调整、流动性限制、目标ETF暂停申购、赎回或二级市场交易停牌等基金管理人之外的因素致使基金投资比例不符合上述第</w:t>
      </w:r>
      <w:r>
        <w:rPr>
          <w:rFonts w:ascii="宋体" w:hAnsi="Calibri" w:cs="宋体"/>
          <w:bCs/>
          <w:szCs w:val="21"/>
          <w:highlight w:val="white"/>
          <w:lang w:eastAsia="zh-CN"/>
        </w:rPr>
        <w:t>1</w:t>
      </w:r>
      <w:r>
        <w:rPr>
          <w:rFonts w:ascii="宋体" w:hAnsi="Calibri" w:cs="宋体"/>
          <w:bCs/>
          <w:szCs w:val="21"/>
          <w:highlight w:val="white"/>
          <w:lang w:eastAsia="zh-CN"/>
        </w:rPr>
        <w:t>项规定投资比例的，基金管理人应当在20个交易日内进行调整；除上述</w:t>
      </w:r>
      <w:r>
        <w:rPr>
          <w:rFonts w:ascii="宋体" w:hAnsi="Calibri" w:cs="宋体"/>
          <w:bCs/>
          <w:szCs w:val="21"/>
          <w:highlight w:val="white"/>
          <w:lang w:eastAsia="zh-CN"/>
        </w:rPr>
        <w:t>1</w:t>
      </w:r>
      <w:r>
        <w:rPr>
          <w:rFonts w:ascii="宋体" w:hAnsi="Calibri" w:cs="宋体"/>
          <w:bCs/>
          <w:szCs w:val="21"/>
          <w:highlight w:val="white"/>
          <w:lang w:eastAsia="zh-CN"/>
        </w:rPr>
        <w:t>、</w:t>
      </w:r>
      <w:r>
        <w:rPr>
          <w:rFonts w:ascii="宋体" w:hAnsi="Calibri" w:cs="宋体"/>
          <w:bCs/>
          <w:szCs w:val="21"/>
          <w:highlight w:val="white"/>
          <w:lang w:eastAsia="zh-CN"/>
        </w:rPr>
        <w:t>2</w:t>
      </w:r>
      <w:r>
        <w:rPr>
          <w:rFonts w:ascii="宋体" w:hAnsi="Calibri" w:cs="宋体"/>
          <w:bCs/>
          <w:szCs w:val="21"/>
          <w:highlight w:val="white"/>
          <w:lang w:eastAsia="zh-CN"/>
        </w:rPr>
        <w:t>、</w:t>
      </w:r>
      <w:r>
        <w:rPr>
          <w:rFonts w:ascii="宋体" w:hAnsi="Calibri" w:cs="宋体"/>
          <w:bCs/>
          <w:szCs w:val="21"/>
          <w:highlight w:val="white"/>
          <w:lang w:eastAsia="zh-CN"/>
        </w:rPr>
        <w:t>7</w:t>
      </w:r>
      <w:r>
        <w:rPr>
          <w:rFonts w:ascii="宋体" w:hAnsi="Calibri" w:cs="宋体"/>
          <w:bCs/>
          <w:szCs w:val="21"/>
          <w:highlight w:val="white"/>
          <w:lang w:eastAsia="zh-CN"/>
        </w:rPr>
        <w:t>、</w:t>
      </w:r>
      <w:r>
        <w:rPr>
          <w:rFonts w:ascii="宋体" w:hAnsi="Calibri" w:cs="宋体"/>
          <w:bCs/>
          <w:szCs w:val="21"/>
          <w:highlight w:val="white"/>
          <w:lang w:eastAsia="zh-CN"/>
        </w:rPr>
        <w:t>8</w:t>
      </w:r>
      <w:r>
        <w:rPr>
          <w:rFonts w:ascii="宋体" w:hAnsi="Calibri" w:cs="宋体"/>
          <w:bCs/>
          <w:szCs w:val="21"/>
          <w:highlight w:val="white"/>
          <w:lang w:eastAsia="zh-CN"/>
        </w:rPr>
        <w:t>、</w:t>
      </w:r>
      <w:r>
        <w:rPr>
          <w:rFonts w:ascii="宋体" w:hAnsi="Calibri" w:cs="宋体"/>
          <w:bCs/>
          <w:szCs w:val="21"/>
          <w:highlight w:val="white"/>
          <w:lang w:eastAsia="zh-CN"/>
        </w:rPr>
        <w:t>13</w:t>
      </w:r>
      <w:r>
        <w:rPr>
          <w:rFonts w:ascii="宋体" w:hAnsi="Calibri" w:cs="宋体"/>
          <w:bCs/>
          <w:szCs w:val="21"/>
          <w:highlight w:val="white"/>
          <w:lang w:eastAsia="zh-CN"/>
        </w:rPr>
        <w:t>、</w:t>
      </w:r>
      <w:r>
        <w:rPr>
          <w:rFonts w:ascii="宋体" w:hAnsi="Calibri" w:cs="宋体"/>
          <w:bCs/>
          <w:szCs w:val="21"/>
          <w:highlight w:val="white"/>
          <w:lang w:eastAsia="zh-CN"/>
        </w:rPr>
        <w:t>14</w:t>
      </w:r>
      <w:r>
        <w:rPr>
          <w:rFonts w:ascii="宋体" w:hAnsi="Calibri" w:cs="宋体"/>
          <w:bCs/>
          <w:szCs w:val="21"/>
          <w:highlight w:val="white"/>
          <w:lang w:eastAsia="zh-CN"/>
        </w:rPr>
        <w:t>、</w:t>
      </w:r>
      <w:r>
        <w:rPr>
          <w:rFonts w:ascii="宋体" w:hAnsi="Calibri" w:cs="宋体"/>
          <w:bCs/>
          <w:szCs w:val="21"/>
          <w:highlight w:val="white"/>
          <w:lang w:eastAsia="zh-CN"/>
        </w:rPr>
        <w:t>15</w:t>
      </w:r>
      <w:r>
        <w:rPr>
          <w:rFonts w:ascii="宋体" w:hAnsi="Calibri" w:cs="宋体"/>
          <w:bCs/>
          <w:szCs w:val="21"/>
          <w:highlight w:val="white"/>
          <w:lang w:eastAsia="zh-CN"/>
        </w:rPr>
        <w:t>情形之外，因证券/期货市场波动、证券发行人合并、基金规模变动、标的指数成份股调整、流动性限制、目标ETF暂停申购、赎回或二级市场交易停牌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w:t>
      </w:r>
      <w:r>
        <w:rPr>
          <w:rFonts w:ascii="宋体" w:hAnsi="Calibri" w:cs="宋体"/>
          <w:bCs/>
          <w:szCs w:val="21"/>
          <w:highlight w:val="white"/>
          <w:lang w:eastAsia="zh-CN"/>
        </w:rPr>
        <w:t>13</w:t>
      </w:r>
      <w:r>
        <w:rPr>
          <w:rFonts w:ascii="宋体" w:hAnsi="Calibri" w:cs="宋体"/>
          <w:bCs/>
          <w:szCs w:val="21"/>
          <w:highlight w:val="white"/>
          <w:lang w:eastAsia="zh-CN"/>
        </w:rPr>
        <w:t>项规定的，基金管理人不得新增出借业务。法律法规或监管部门另有规定的，届时按最新规定执行。</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（三）基金托管人根据有关法律法规的规定及基金合同的约定，对本托管协议第十五条第九款基金投资禁止行为进行监督。基金托管人通过事后监督方式对基金管理人基金投资禁止行为进行监督。</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如基金管理人在基金投资运作之前未向基金托管人提供银行间债券市场交易对手名单的，视为基金管理人认可全市场交易对手。基金管理人在银行间债券市场交易对手名单有更新时应及时发送给基金托管人，新名单确定前已与本次剔除的交易对手所进行但尚未结算的交易，仍应按照协议进行结算。如因基金管理人未能及时提供相关信息导致托管人无法有效监督，托管人不承担责任。</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基金管理人负责对交易对手的资信控制，按银行间债券市场的交易规则进行交易，并负责解决因交易对手不履行合同而造成的纠纷</w:t>
      </w:r>
      <w:r>
        <w:rPr>
          <w:rFonts w:ascii="宋体" w:hAnsi="Calibri" w:cs="宋体" w:hint="eastAsia"/>
          <w:bCs/>
          <w:szCs w:val="21"/>
          <w:highlight w:val="white"/>
          <w:lang w:eastAsia="zh-CN"/>
        </w:rPr>
        <w:t>及损失，基金托管人不承担由此造成的任何法律责任及损失</w:t>
      </w:r>
      <w:r>
        <w:rPr>
          <w:rFonts w:ascii="宋体" w:hAnsi="Calibri" w:cs="宋体"/>
          <w:bCs/>
          <w:szCs w:val="21"/>
          <w:highlight w:val="white"/>
          <w:lang w:eastAsia="zh-CN"/>
        </w:rPr>
        <w:t>。如基金托管人事后发现基金管理人没有按照事先约定的交易对手进行交易时，基金托管人应及时提醒基金管理人，基金托管人不承担由此造成的任何损失和责任。</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（五）基金托管人根据有关法律法规的规定及基金合同的约定，对基金管理人投资流通受限证券进行监督。</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首次投资流通受限证券前，基金管理人应与基金托管人</w:t>
      </w:r>
      <w:r>
        <w:rPr>
          <w:rFonts w:ascii="宋体" w:hAnsi="Calibri" w:cs="宋体"/>
          <w:bCs/>
          <w:szCs w:val="21"/>
          <w:highlight w:val="white"/>
          <w:lang w:eastAsia="zh-CN"/>
        </w:rPr>
        <w:t>就流通</w:t>
      </w:r>
      <w:r>
        <w:rPr>
          <w:rFonts w:ascii="宋体" w:hAnsi="Calibri" w:cs="宋体"/>
          <w:bCs/>
          <w:szCs w:val="21"/>
          <w:highlight w:val="white"/>
          <w:lang w:eastAsia="zh-CN"/>
        </w:rPr>
        <w:t>受限证券投资签订风险控制补充协议。</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本基金投资的流通受限证券与上文所述的流动性受限资产范围并不完全一致，须为经中国证监会批准的在发行时明确一定期限锁定期的可交易证券，不包括由于发布重大消息或其他原因而临时停牌的证券、已发行未上市证券、回购交易中的质押</w:t>
      </w:r>
      <w:r>
        <w:rPr>
          <w:rFonts w:ascii="宋体" w:hAnsi="Calibri" w:cs="宋体"/>
          <w:bCs/>
          <w:szCs w:val="21"/>
          <w:highlight w:val="white"/>
          <w:lang w:eastAsia="zh-CN"/>
        </w:rPr>
        <w:t>券</w:t>
      </w:r>
      <w:r>
        <w:rPr>
          <w:rFonts w:ascii="宋体" w:hAnsi="Calibri" w:cs="宋体"/>
          <w:bCs/>
          <w:szCs w:val="21"/>
          <w:highlight w:val="white"/>
          <w:lang w:eastAsia="zh-CN"/>
        </w:rPr>
        <w:t>等流通受限证券。本基金不投资有</w:t>
      </w:r>
      <w:r>
        <w:rPr>
          <w:rFonts w:ascii="宋体" w:hAnsi="Calibri" w:cs="宋体"/>
          <w:bCs/>
          <w:szCs w:val="21"/>
          <w:highlight w:val="white"/>
          <w:lang w:eastAsia="zh-CN"/>
        </w:rPr>
        <w:t>锁定期但锁定</w:t>
      </w:r>
      <w:r>
        <w:rPr>
          <w:rFonts w:ascii="宋体" w:hAnsi="Calibri" w:cs="宋体"/>
          <w:bCs/>
          <w:szCs w:val="21"/>
          <w:highlight w:val="white"/>
          <w:lang w:eastAsia="zh-CN"/>
        </w:rPr>
        <w:t>期不明确的证券。</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本基金投资的流通受限证券限于可由中国证券登记结算有限责任公司或中央国债登记结算有限责任公司、银行间清算所股份有限公司负责登记和存管，并可在证券交易所或全国银行间债券市场交易的证券。</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本基金投资的流通受限证券应保证登记存管在本基金名下，基金管理人负责相关工作的落实和协调，并确保基金托管人能够正常查询。因基金管理</w:t>
      </w:r>
      <w:r>
        <w:rPr>
          <w:rFonts w:ascii="宋体" w:hAnsi="Calibri" w:cs="宋体"/>
          <w:bCs/>
          <w:szCs w:val="21"/>
          <w:highlight w:val="white"/>
          <w:lang w:eastAsia="zh-CN"/>
        </w:rPr>
        <w:t>人原因</w:t>
      </w:r>
      <w:r>
        <w:rPr>
          <w:rFonts w:ascii="宋体" w:hAnsi="Calibri" w:cs="宋体"/>
          <w:bCs/>
          <w:szCs w:val="21"/>
          <w:highlight w:val="white"/>
          <w:lang w:eastAsia="zh-CN"/>
        </w:rPr>
        <w:t>产生的流通受限证券登记存管问题，造成基金托管人无法安全保管本基金资产的责任与损失，及因流通受限证券存管直接影响本基金安全的责任及损失，由基金管理人承担。</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本基金投资流通受限证券，不得预付任何形式的保证金。</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2.基金管理人对本基金投资流通受限证券的流动性风险负责</w:t>
      </w:r>
      <w:r>
        <w:rPr>
          <w:rFonts w:ascii="宋体" w:hAnsi="Calibri" w:cs="宋体" w:hint="eastAsia"/>
          <w:bCs/>
          <w:szCs w:val="21"/>
          <w:highlight w:val="white"/>
          <w:lang w:eastAsia="zh-CN"/>
        </w:rPr>
        <w:t>，确保对相关风险采取积极有效的措施，在合理的时间内有效解决基金运作的流动性问题。如因基金巨额赎回或市场发生剧烈变动等原因而导致基金现金周转困难时，基金管理人应保证提供足额现金确保基金的支付结算。对本基金因投资流通受限证券导致的流动性风险，基金托管人不承担任何责任。如因基金管理人违反基金合同或预先确定的投资流通受限证券的比例导致本基金出现损失致使基金托管人承担连带赔偿责任的，基金管理人应赔偿基金托管人由此遭受的直接损失</w:t>
      </w:r>
      <w:r>
        <w:rPr>
          <w:rFonts w:ascii="宋体" w:hAnsi="Calibri" w:cs="宋体"/>
          <w:bCs/>
          <w:szCs w:val="21"/>
          <w:highlight w:val="white"/>
          <w:lang w:eastAsia="zh-CN"/>
        </w:rPr>
        <w:t>。</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3.基金托管人根据有关规定有权对基金管理人进行以下事项监督：</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1)本基金投资流通受限证券时的法律法规遵守情况。</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2)在基金投资流通受限证券管理工作方面有关制度、流动性风险处置预案的建立与完善情况。</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3)有关比例限制的执行情况。</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4)信息披露情况。</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4.相关法律法规对基金投资流通受限证券有新规定的，从其规定。</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六）基金如投资银行存款，基金托管人根据有关法律法规的规定及基金合同的约定，对基金投资银行存款的交易对手范围是否符合有关规定进行监督；基金管理人在签署银行存款协议前，应将草拟的银行存款协议</w:t>
      </w:r>
      <w:r>
        <w:rPr>
          <w:rFonts w:ascii="宋体" w:hAnsi="Calibri" w:cs="宋体"/>
          <w:bCs/>
          <w:szCs w:val="21"/>
          <w:highlight w:val="white"/>
          <w:lang w:eastAsia="zh-CN"/>
        </w:rPr>
        <w:t>送基金</w:t>
      </w:r>
      <w:r>
        <w:rPr>
          <w:rFonts w:ascii="宋体" w:hAnsi="Calibri" w:cs="宋体"/>
          <w:bCs/>
          <w:szCs w:val="21"/>
          <w:highlight w:val="white"/>
          <w:lang w:eastAsia="zh-CN"/>
        </w:rPr>
        <w:t>托管人审核。如基金托管人事后发现基金管理人没有按照事先约定的交易对手进行交易时，基金托管人应及时提醒基金管理人，基金托管人不承担由此造成的任何损失和责任。如因基金管理人未能及时提供相关信息导致托管人无法有效监督，托管人不承担责任。</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八）基金托管人发现基金管理人的上述事项及投资指令或实际投资运作违反法律法规、基金合同和本托管协议的规定，应及时以电话提醒或书面提示等方式通知基金管理人限期纠正，并及时向中国证监会报告。基金管理人应积极配合和协助基金托管人的监督和核查。基金管理人收到书面通知后及时核对并以书面形式给基金托管人发出回函，就基金托管人的疑义进行解释或举证，说明违规原因及纠正期限，并保证在规定期限内及时改正。基金管理人指定专人接收托管人的通知和提示。在上述规定期限内，基金托管人有权随时对通知事项进行复查，督促基金管理人改正。基金管理人对基金托管人通知的违规事项未能在限期内纠正的，基金托管人应报告中国证监会（如需）。</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（十）</w:t>
      </w:r>
      <w:r>
        <w:rPr>
          <w:rFonts w:ascii="宋体" w:hAnsi="Calibri" w:cs="宋体"/>
          <w:bCs/>
          <w:szCs w:val="21"/>
          <w:highlight w:val="white"/>
          <w:lang w:eastAsia="zh-CN"/>
        </w:rPr>
        <w:t>若基金</w:t>
      </w:r>
      <w:r>
        <w:rPr>
          <w:rFonts w:ascii="宋体" w:hAnsi="Calibri" w:cs="宋体"/>
          <w:bCs/>
          <w:szCs w:val="21"/>
          <w:highlight w:val="white"/>
          <w:lang w:eastAsia="zh-CN"/>
        </w:rPr>
        <w:t>托管人发现基金管理人依据交易程序已经生效的指令违反法律、行政法规和其他有关规定，或者违反基金合同约定的，应当立即通知基金管理人，由此造成的损失由基金管理人承担，并及时向中国证监会报告。</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十二）当基金持有特定资产且存在或潜在大额赎回申请时，根据最大限度保护基金份额持有人利益的原则，基金管理人经与基金托管人协商一致，并咨询会计师事务所意见后，可以依照法律法规及基金合同的约定</w:t>
      </w:r>
      <w:r>
        <w:rPr>
          <w:rFonts w:ascii="宋体" w:hAnsi="Calibri" w:cs="宋体"/>
          <w:bCs/>
          <w:szCs w:val="21"/>
          <w:highlight w:val="white"/>
          <w:lang w:eastAsia="zh-CN"/>
        </w:rPr>
        <w:t>启用侧袋机制</w:t>
      </w:r>
      <w:r>
        <w:rPr>
          <w:rFonts w:ascii="宋体" w:hAnsi="Calibri" w:cs="宋体"/>
          <w:bCs/>
          <w:szCs w:val="21"/>
          <w:highlight w:val="white"/>
          <w:lang w:eastAsia="zh-CN"/>
        </w:rPr>
        <w:t>，无需召开基金份额持有人大会审议。</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侧袋机制</w:t>
      </w:r>
      <w:r>
        <w:rPr>
          <w:rFonts w:ascii="宋体" w:hAnsi="Calibri" w:cs="宋体"/>
          <w:bCs/>
          <w:szCs w:val="21"/>
          <w:highlight w:val="white"/>
          <w:lang w:eastAsia="zh-CN"/>
        </w:rPr>
        <w:t>实施期间，本基金的投资组合比例、投资策略、组合限制、业绩比较基准、风险收益特征等约定仅</w:t>
      </w:r>
      <w:r>
        <w:rPr>
          <w:rFonts w:ascii="宋体" w:hAnsi="Calibri" w:cs="宋体"/>
          <w:bCs/>
          <w:szCs w:val="21"/>
          <w:highlight w:val="white"/>
          <w:lang w:eastAsia="zh-CN"/>
        </w:rPr>
        <w:t>适用于主袋账户</w:t>
      </w:r>
      <w:r>
        <w:rPr>
          <w:rFonts w:ascii="宋体" w:hAnsi="Calibri" w:cs="宋体"/>
          <w:bCs/>
          <w:szCs w:val="21"/>
          <w:highlight w:val="white"/>
          <w:lang w:eastAsia="zh-CN"/>
        </w:rPr>
        <w:t>。</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侧袋账户</w:t>
      </w:r>
      <w:r>
        <w:rPr>
          <w:rFonts w:ascii="宋体" w:hAnsi="Calibri" w:cs="宋体"/>
          <w:bCs/>
          <w:szCs w:val="21"/>
          <w:highlight w:val="white"/>
          <w:lang w:eastAsia="zh-CN"/>
        </w:rPr>
        <w:t>的实施条件、实施程序、运作安排（包括但不限于对基金赎回的影响、信息披露、费用列支等）、投资安排、特定资产的处置变现和支付等对投资者权益有重大影响的事项详见基金合同和招募说明书的规定。</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基金托管人依照相关法律法规的规定以及基金合同和招募说明书的约定，对侧</w:t>
      </w:r>
      <w:r>
        <w:rPr>
          <w:rFonts w:ascii="宋体" w:hAnsi="Calibri" w:cs="宋体"/>
          <w:bCs/>
          <w:szCs w:val="21"/>
          <w:highlight w:val="white"/>
          <w:lang w:eastAsia="zh-CN"/>
        </w:rPr>
        <w:t>袋机制</w:t>
      </w:r>
      <w:r>
        <w:rPr>
          <w:rFonts w:ascii="宋体" w:hAnsi="Calibri" w:cs="宋体"/>
          <w:bCs/>
          <w:szCs w:val="21"/>
          <w:highlight w:val="white"/>
          <w:lang w:eastAsia="zh-CN"/>
        </w:rPr>
        <w:t>启用、特定资产处置和信息披露等方面进行监督。</w:t>
      </w:r>
    </w:p>
    <w:p w:rsidR="0097367D">
      <w:pPr>
        <w:spacing w:line="360" w:lineRule="auto"/>
        <w:ind w:firstLine="420"/>
        <w:rPr>
          <w:rFonts w:ascii="宋体" w:hAnsi="Calibri" w:cs="宋体"/>
          <w:bCs/>
          <w:szCs w:val="21"/>
          <w:lang w:eastAsia="zh-CN"/>
        </w:rPr>
      </w:pP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第三节 基金管理人对基金托管人的业务核查</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管理人对基金托管人履行托管职责情况进行核查，核查事项包括基金托管人安全保管基金财产、开设基金财产的资金账户、证券账户等投资所需账户、复核基金管理人计算的基金资产净值、各类基金份额净值、根据基金管理人指令办理清算交收、相关信息披露和监督基金投资运作等行为。</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r>
        <w:rPr>
          <w:rFonts w:ascii="宋体" w:hAnsi="Calibri" w:cs="宋体"/>
          <w:bCs/>
          <w:szCs w:val="21"/>
          <w:highlight w:val="white"/>
          <w:lang w:eastAsia="zh-CN"/>
        </w:rPr>
        <w:t>供基金</w:t>
      </w:r>
      <w:r>
        <w:rPr>
          <w:rFonts w:ascii="宋体" w:hAnsi="Calibri" w:cs="宋体"/>
          <w:bCs/>
          <w:szCs w:val="21"/>
          <w:highlight w:val="white"/>
          <w:lang w:eastAsia="zh-CN"/>
        </w:rPr>
        <w:t>管理人核查托管财产的完整性和真实性，在规定时间内答复基金管理人并改正。</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r>
        <w:rPr>
          <w:rFonts w:ascii="宋体" w:hAnsi="Calibri" w:cs="宋体"/>
          <w:bCs/>
          <w:szCs w:val="21"/>
          <w:highlight w:val="white"/>
          <w:lang w:eastAsia="zh-CN"/>
        </w:rPr>
        <w:t>供基金</w:t>
      </w:r>
      <w:r>
        <w:rPr>
          <w:rFonts w:ascii="宋体" w:hAnsi="Calibri" w:cs="宋体"/>
          <w:bCs/>
          <w:szCs w:val="21"/>
          <w:highlight w:val="white"/>
          <w:lang w:eastAsia="zh-CN"/>
        </w:rPr>
        <w:t>管理人核查托管财产的完整性和真实性。</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四）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7367D">
      <w:pPr>
        <w:spacing w:line="360" w:lineRule="auto"/>
        <w:ind w:firstLine="420"/>
        <w:rPr>
          <w:rFonts w:ascii="宋体" w:hAnsi="Calibri" w:cs="宋体"/>
          <w:bCs/>
          <w:szCs w:val="21"/>
          <w:lang w:eastAsia="zh-CN"/>
        </w:rPr>
      </w:pP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第四节 基金财产的保管</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（一）基金财产保管的原则</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1</w:t>
      </w:r>
      <w:r>
        <w:rPr>
          <w:rFonts w:ascii="宋体" w:hAnsi="Calibri" w:cs="宋体"/>
          <w:bCs/>
          <w:szCs w:val="21"/>
          <w:highlight w:val="white"/>
          <w:lang w:eastAsia="zh-CN"/>
        </w:rPr>
        <w:t>.</w:t>
      </w:r>
      <w:r w:rsidR="005B60B1">
        <w:rPr>
          <w:rFonts w:ascii="宋体" w:hAnsi="Calibri" w:cs="宋体"/>
          <w:bCs/>
          <w:szCs w:val="21"/>
          <w:highlight w:val="white"/>
          <w:lang w:eastAsia="zh-CN"/>
        </w:rPr>
        <w:t>基金财产应独立于基金管理人、基金托管人的固有财产。基金财产的债权、不得与基金管理人、基金托管人固有财产的债务相</w:t>
      </w:r>
      <w:r w:rsidR="005B60B1">
        <w:rPr>
          <w:rFonts w:ascii="宋体" w:hAnsi="Calibri" w:cs="宋体"/>
          <w:bCs/>
          <w:szCs w:val="21"/>
          <w:highlight w:val="white"/>
          <w:lang w:eastAsia="zh-CN"/>
        </w:rPr>
        <w:t>抵销</w:t>
      </w:r>
      <w:r w:rsidR="005B60B1">
        <w:rPr>
          <w:rFonts w:ascii="宋体" w:hAnsi="Calibri" w:cs="宋体"/>
          <w:bCs/>
          <w:szCs w:val="21"/>
          <w:highlight w:val="white"/>
          <w:lang w:eastAsia="zh-CN"/>
        </w:rPr>
        <w:t>，不同基金财产的债权债务，不得相互</w:t>
      </w:r>
      <w:r w:rsidR="005B60B1">
        <w:rPr>
          <w:rFonts w:ascii="宋体" w:hAnsi="Calibri" w:cs="宋体"/>
          <w:bCs/>
          <w:szCs w:val="21"/>
          <w:highlight w:val="white"/>
          <w:lang w:eastAsia="zh-CN"/>
        </w:rPr>
        <w:t>抵销</w:t>
      </w:r>
      <w:r w:rsidR="005B60B1">
        <w:rPr>
          <w:rFonts w:ascii="宋体" w:hAnsi="Calibri" w:cs="宋体"/>
          <w:bCs/>
          <w:szCs w:val="21"/>
          <w:highlight w:val="white"/>
          <w:lang w:eastAsia="zh-CN"/>
        </w:rPr>
        <w:t>。基金管理人、基金托管人以其自有资产承担法律责任，其债权人不得对基金财产行使请求冻结、扣押和其他权利。</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2</w:t>
      </w:r>
      <w:r>
        <w:rPr>
          <w:rFonts w:ascii="宋体" w:hAnsi="Calibri" w:cs="宋体"/>
          <w:bCs/>
          <w:szCs w:val="21"/>
          <w:highlight w:val="white"/>
          <w:lang w:eastAsia="zh-CN"/>
        </w:rPr>
        <w:t>.</w:t>
      </w:r>
      <w:r w:rsidR="005B60B1">
        <w:rPr>
          <w:rFonts w:ascii="宋体" w:hAnsi="Calibri" w:cs="宋体"/>
          <w:bCs/>
          <w:szCs w:val="21"/>
          <w:highlight w:val="white"/>
          <w:lang w:eastAsia="zh-CN"/>
        </w:rPr>
        <w:t>基金管理人、基金托管人因依法解散、被依法撤销或者被依法宣告破产等原因进行清算的，基金财产不属于其清算财产。</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3</w:t>
      </w:r>
      <w:r>
        <w:rPr>
          <w:rFonts w:ascii="宋体" w:hAnsi="Calibri" w:cs="宋体"/>
          <w:bCs/>
          <w:szCs w:val="21"/>
          <w:highlight w:val="white"/>
          <w:lang w:eastAsia="zh-CN"/>
        </w:rPr>
        <w:t>.</w:t>
      </w:r>
      <w:r w:rsidR="005B60B1">
        <w:rPr>
          <w:rFonts w:ascii="宋体" w:hAnsi="Calibri" w:cs="宋体"/>
          <w:bCs/>
          <w:szCs w:val="21"/>
          <w:highlight w:val="white"/>
          <w:lang w:eastAsia="zh-CN"/>
        </w:rPr>
        <w:t>基金托管人应安全保管基金财产。未经基金管理人依据合法程序</w:t>
      </w:r>
      <w:r w:rsidR="005B60B1">
        <w:rPr>
          <w:rFonts w:ascii="宋体" w:hAnsi="Calibri" w:cs="宋体"/>
          <w:bCs/>
          <w:szCs w:val="21"/>
          <w:highlight w:val="white"/>
          <w:lang w:eastAsia="zh-CN"/>
        </w:rPr>
        <w:t>作出</w:t>
      </w:r>
      <w:r w:rsidR="005B60B1">
        <w:rPr>
          <w:rFonts w:ascii="宋体" w:hAnsi="Calibri" w:cs="宋体"/>
          <w:bCs/>
          <w:szCs w:val="21"/>
          <w:highlight w:val="white"/>
          <w:lang w:eastAsia="zh-CN"/>
        </w:rPr>
        <w:t>的合法合</w:t>
      </w:r>
      <w:r w:rsidR="005B60B1">
        <w:rPr>
          <w:rFonts w:ascii="宋体" w:hAnsi="Calibri" w:cs="宋体"/>
          <w:bCs/>
          <w:szCs w:val="21"/>
          <w:highlight w:val="white"/>
          <w:lang w:eastAsia="zh-CN"/>
        </w:rPr>
        <w:t>规</w:t>
      </w:r>
      <w:r w:rsidR="005B60B1">
        <w:rPr>
          <w:rFonts w:ascii="宋体" w:hAnsi="Calibri" w:cs="宋体"/>
          <w:bCs/>
          <w:szCs w:val="21"/>
          <w:highlight w:val="white"/>
          <w:lang w:eastAsia="zh-CN"/>
        </w:rPr>
        <w:t>指令，基金托管人不得自行运用、处分、分配基金的任何财产。非因基金财产本身承担的债务，不得对基金财产强制执行。</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4</w:t>
      </w:r>
      <w:r>
        <w:rPr>
          <w:rFonts w:ascii="宋体" w:hAnsi="Calibri" w:cs="宋体"/>
          <w:bCs/>
          <w:szCs w:val="21"/>
          <w:highlight w:val="white"/>
          <w:lang w:eastAsia="zh-CN"/>
        </w:rPr>
        <w:t>.</w:t>
      </w:r>
      <w:r w:rsidR="005B60B1">
        <w:rPr>
          <w:rFonts w:ascii="宋体" w:hAnsi="Calibri" w:cs="宋体"/>
          <w:bCs/>
          <w:szCs w:val="21"/>
          <w:highlight w:val="white"/>
          <w:lang w:eastAsia="zh-CN"/>
        </w:rPr>
        <w:t>基金托管人按照规定开设基金财产的资金账户、证券账户等投资需要的账户。</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5</w:t>
      </w:r>
      <w:r>
        <w:rPr>
          <w:rFonts w:ascii="宋体" w:hAnsi="Calibri" w:cs="宋体"/>
          <w:bCs/>
          <w:szCs w:val="21"/>
          <w:highlight w:val="white"/>
          <w:lang w:eastAsia="zh-CN"/>
        </w:rPr>
        <w:t>.</w:t>
      </w:r>
      <w:r w:rsidR="005B60B1">
        <w:rPr>
          <w:rFonts w:ascii="宋体" w:hAnsi="Calibri" w:cs="宋体"/>
          <w:bCs/>
          <w:szCs w:val="21"/>
          <w:highlight w:val="white"/>
          <w:lang w:eastAsia="zh-CN"/>
        </w:rPr>
        <w:t>基金托管人对所托管的不同基金财产分别设置账户，独立核算，分账管理，确保基金财产的完整与独立。</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6</w:t>
      </w:r>
      <w:r>
        <w:rPr>
          <w:rFonts w:ascii="宋体" w:hAnsi="Calibri" w:cs="宋体"/>
          <w:bCs/>
          <w:szCs w:val="21"/>
          <w:highlight w:val="white"/>
          <w:lang w:eastAsia="zh-CN"/>
        </w:rPr>
        <w:t>.</w:t>
      </w:r>
      <w:r w:rsidR="005B60B1">
        <w:rPr>
          <w:rFonts w:ascii="宋体" w:hAnsi="Calibri" w:cs="宋体"/>
          <w:bCs/>
          <w:szCs w:val="21"/>
          <w:highlight w:val="white"/>
          <w:lang w:eastAsia="zh-CN"/>
        </w:rPr>
        <w:t>基金托管人根据基金管理人的指令，按照基金合同和本协议的约定保管基金财产，如有特殊情况双方可另行协商解决。</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7</w:t>
      </w:r>
      <w:r>
        <w:rPr>
          <w:rFonts w:ascii="宋体" w:hAnsi="Calibri" w:cs="宋体"/>
          <w:bCs/>
          <w:szCs w:val="21"/>
          <w:highlight w:val="white"/>
          <w:lang w:eastAsia="zh-CN"/>
        </w:rPr>
        <w:t>.</w:t>
      </w:r>
      <w:r w:rsidR="005B60B1">
        <w:rPr>
          <w:rFonts w:ascii="宋体" w:hAnsi="Calibri" w:cs="宋体"/>
          <w:bCs/>
          <w:szCs w:val="21"/>
          <w:highlight w:val="white"/>
          <w:lang w:eastAsia="zh-CN"/>
        </w:rPr>
        <w:t>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8</w:t>
      </w:r>
      <w:r>
        <w:rPr>
          <w:rFonts w:ascii="宋体" w:hAnsi="Calibri" w:cs="宋体"/>
          <w:bCs/>
          <w:szCs w:val="21"/>
          <w:highlight w:val="white"/>
          <w:lang w:eastAsia="zh-CN"/>
        </w:rPr>
        <w:t>.</w:t>
      </w:r>
      <w:r w:rsidR="005B60B1">
        <w:rPr>
          <w:rFonts w:ascii="宋体" w:hAnsi="Calibri" w:cs="宋体"/>
          <w:bCs/>
          <w:szCs w:val="21"/>
          <w:highlight w:val="white"/>
          <w:lang w:eastAsia="zh-CN"/>
        </w:rPr>
        <w:t>除依据法律法规和基金合同的规定外，基金托管人不得委托第三人托管基金财产。</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（二）基金募集期间及募集资金的验资</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1.基金募集期间的资金应存于基金认购专户。</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募集期满或基金停止募集时，募集的基金份额总额、基金募集金额、基金份额持有人人数符合《基金法》、《运作办法》等有关规定后，属于基金财产的全部资金划入基金托管人为本基金开立的基金银行账户，同时在规定时间内，聘请符合《证券法》规定的会计师事务所进行验资，出具验资报告。出具的验资报告由参加验资的2名或2名以上中国注册会计师签字并加盖会计师事务所公章方为有效。</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Pr>
          <w:rFonts w:ascii="宋体" w:hAnsi="Calibri" w:cs="宋体"/>
          <w:bCs/>
          <w:szCs w:val="21"/>
          <w:highlight w:val="white"/>
          <w:lang w:eastAsia="zh-CN"/>
        </w:rPr>
        <w:t>若基金</w:t>
      </w:r>
      <w:r>
        <w:rPr>
          <w:rFonts w:ascii="宋体" w:hAnsi="Calibri" w:cs="宋体"/>
          <w:bCs/>
          <w:szCs w:val="21"/>
          <w:highlight w:val="white"/>
          <w:lang w:eastAsia="zh-CN"/>
        </w:rPr>
        <w:t>募集期限届满或基金停止募集时，未能达到基金合同生效的条件，由基金管理人按规定办理退款等事宜，基金托管人应提供充分协助。</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（三）基金银行账户的开立和管理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1.基金托管人应负责本基金的银行账户的开设和管理。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2.基金托管人应以本基金名义在其营业机构开立基金的银行账户，</w:t>
      </w:r>
      <w:r w:rsidRPr="00FA0C15" w:rsidR="00FA0C15">
        <w:rPr>
          <w:rFonts w:ascii="宋体" w:hAnsi="Calibri" w:cs="宋体" w:hint="eastAsia"/>
          <w:bCs/>
          <w:szCs w:val="21"/>
          <w:lang w:eastAsia="zh-CN"/>
        </w:rPr>
        <w:t>账户名称原则上应当包含开户主体和产品名称字样（具体名称以实际开立为准）</w:t>
      </w:r>
      <w:r w:rsidR="00FA0C15">
        <w:rPr>
          <w:rFonts w:ascii="宋体" w:hAnsi="Calibri" w:cs="宋体" w:hint="eastAsia"/>
          <w:bCs/>
          <w:szCs w:val="21"/>
          <w:lang w:eastAsia="zh-CN"/>
        </w:rPr>
        <w:t>，</w:t>
      </w:r>
      <w:r>
        <w:rPr>
          <w:rFonts w:ascii="宋体" w:hAnsi="Calibri" w:cs="宋体"/>
          <w:bCs/>
          <w:szCs w:val="21"/>
          <w:highlight w:val="white"/>
          <w:lang w:eastAsia="zh-CN"/>
        </w:rPr>
        <w:t>并根据基金管理人合法合</w:t>
      </w:r>
      <w:r>
        <w:rPr>
          <w:rFonts w:ascii="宋体" w:hAnsi="Calibri" w:cs="宋体"/>
          <w:bCs/>
          <w:szCs w:val="21"/>
          <w:highlight w:val="white"/>
          <w:lang w:eastAsia="zh-CN"/>
        </w:rPr>
        <w:t>规</w:t>
      </w:r>
      <w:r>
        <w:rPr>
          <w:rFonts w:ascii="宋体" w:hAnsi="Calibri" w:cs="宋体"/>
          <w:bCs/>
          <w:szCs w:val="21"/>
          <w:highlight w:val="white"/>
          <w:lang w:eastAsia="zh-CN"/>
        </w:rPr>
        <w:t>的指令办理资金收付。账户名称、账户预留印鉴以基金管理人向基金托管人出具的开户委托文件为准。该账户为不可通兑、不可提现账户。</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3.基金银行账户的开立和使用，限于满足开展本基金业务的需要。基金托管人和基金管理人不得假借本基金的名义开立任何其他银行账户；亦不得使用基金的任何账户进行本基金业务以外的活动。</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4.基金银行账户的开立和管理应符合银行保险监督管理机构的有关规定。</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5.基金管理人在业务运作中应遵守监管部门及基金托管人对银行结算账户的相关规定，如因基金管理</w:t>
      </w:r>
      <w:r>
        <w:rPr>
          <w:rFonts w:ascii="宋体" w:hAnsi="Calibri" w:cs="宋体"/>
          <w:bCs/>
          <w:szCs w:val="21"/>
          <w:highlight w:val="white"/>
          <w:lang w:eastAsia="zh-CN"/>
        </w:rPr>
        <w:t>人原因</w:t>
      </w:r>
      <w:r>
        <w:rPr>
          <w:rFonts w:ascii="宋体" w:hAnsi="Calibri" w:cs="宋体"/>
          <w:bCs/>
          <w:szCs w:val="21"/>
          <w:highlight w:val="white"/>
          <w:lang w:eastAsia="zh-CN"/>
        </w:rPr>
        <w:t>造成保管账户无法使用，基金托管人不承担相关责任。基金管理人应依法履行客户身份识别义务，在开立托管账户时按照开户银行要求，就受益所有人识别等相关信息的核实提供必要的协助，并确保所提供信息以及证明材料的真实性、准确性。基金管理人应遵守反洗钱相关法律法规规定，相关业务背景及交易真实、合法，不涉及洗钱、恐怖融资、制裁违规、逃税或其他违法犯罪活动。</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6.在符合法律法规规定的条件下，基金托管人可以通过基金托管人专用账户办理基金资产的支付。</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7.基金托管人因协助司法机关、行政机关或其他有权机关依法执行对托管账户或基金管理人在托管人开立的其他账户内资金执行查询、冻结、扣划，</w:t>
      </w:r>
      <w:r>
        <w:rPr>
          <w:rFonts w:ascii="宋体" w:hAnsi="Calibri" w:cs="宋体"/>
          <w:bCs/>
          <w:szCs w:val="21"/>
          <w:highlight w:val="white"/>
          <w:lang w:eastAsia="zh-CN"/>
        </w:rPr>
        <w:t>不</w:t>
      </w:r>
      <w:r>
        <w:rPr>
          <w:rFonts w:ascii="宋体" w:hAnsi="Calibri" w:cs="宋体"/>
          <w:bCs/>
          <w:szCs w:val="21"/>
          <w:highlight w:val="white"/>
          <w:lang w:eastAsia="zh-CN"/>
        </w:rPr>
        <w:t>视为基金托管人对本协议的违反，基金托管人</w:t>
      </w:r>
      <w:r>
        <w:rPr>
          <w:rFonts w:ascii="宋体" w:hAnsi="Calibri" w:cs="宋体"/>
          <w:bCs/>
          <w:szCs w:val="21"/>
          <w:highlight w:val="white"/>
          <w:lang w:eastAsia="zh-CN"/>
        </w:rPr>
        <w:t>不</w:t>
      </w:r>
      <w:r>
        <w:rPr>
          <w:rFonts w:ascii="宋体" w:hAnsi="Calibri" w:cs="宋体"/>
          <w:bCs/>
          <w:szCs w:val="21"/>
          <w:highlight w:val="white"/>
          <w:lang w:eastAsia="zh-CN"/>
        </w:rPr>
        <w:t>因此承担责任。</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（四）基金证券账户的开立和管理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1.基金托管人在中国证券登记结算有限责任公司为本基金开立基金托管人与本基金联名的证券账户。</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2.基金证券账户的开立和使用，仅限于满足开展本基金业务的需要。基金托管人和基金管理人不得出借或未经对方书面同意擅自转让基金的任何证券账户，亦不得使用基金的任何账户进行本基金业务以外的活动。</w:t>
      </w:r>
    </w:p>
    <w:p w:rsidR="0097367D">
      <w:pPr>
        <w:spacing w:line="360" w:lineRule="auto"/>
        <w:ind w:firstLine="420"/>
        <w:rPr>
          <w:rFonts w:ascii="宋体" w:hAnsi="Calibri" w:cs="宋体"/>
          <w:bCs/>
          <w:szCs w:val="21"/>
          <w:highlight w:val="white"/>
          <w:lang w:eastAsia="zh-CN"/>
        </w:rPr>
      </w:pPr>
      <w:r>
        <w:rPr>
          <w:rFonts w:ascii="宋体" w:hAnsi="Calibri" w:cs="宋体"/>
          <w:bCs/>
          <w:szCs w:val="21"/>
          <w:highlight w:val="white"/>
          <w:lang w:eastAsia="zh-CN"/>
        </w:rPr>
        <w:t>3.基金证券账户的开立由基金托管人负责，账户资产的管理和运用由基金管理人负责。</w:t>
      </w:r>
    </w:p>
    <w:p w:rsidR="0097367D">
      <w:pPr>
        <w:spacing w:line="360" w:lineRule="auto"/>
        <w:ind w:firstLine="420"/>
        <w:rPr>
          <w:rFonts w:ascii="宋体" w:hAnsi="Calibri" w:cs="宋体"/>
          <w:bCs/>
          <w:szCs w:val="21"/>
          <w:highlight w:val="white"/>
          <w:lang w:eastAsia="zh-CN"/>
        </w:rPr>
      </w:pPr>
      <w:r>
        <w:rPr>
          <w:rFonts w:ascii="宋体" w:hAnsi="Calibri" w:cs="宋体" w:hint="eastAsia"/>
          <w:bCs/>
          <w:szCs w:val="21"/>
          <w:highlight w:val="white"/>
          <w:lang w:eastAsia="zh-CN"/>
        </w:rPr>
        <w:t>4.</w:t>
      </w:r>
      <w:r>
        <w:rPr>
          <w:rFonts w:ascii="宋体" w:hAnsi="Calibri" w:cs="宋体" w:hint="eastAsia"/>
          <w:bCs/>
          <w:szCs w:val="21"/>
          <w:highlight w:val="white"/>
          <w:lang w:eastAsia="zh-CN"/>
        </w:rPr>
        <w:tab/>
        <w:t>基金托管人以自身法人名义在中国证券登记结算有限责任公司开立结算备付金账户，并代表所托管的基金完成与中国证券登记结算有限责任公司的一级法人清算工作，基金管理人应予以积极协助。结算备付金、证券结算保证金等的收取按照中国证券登记结算有限责任公司的规定执行。</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5.若中国证监会或其他监管机构在本托管协议订立日之后允许基金从事其他投资品种的投资业务，涉及相关账户的开立、使用的，若无相关规定，</w:t>
      </w:r>
      <w:r>
        <w:rPr>
          <w:rFonts w:ascii="宋体" w:hAnsi="Calibri" w:cs="宋体"/>
          <w:bCs/>
          <w:szCs w:val="21"/>
          <w:highlight w:val="white"/>
          <w:lang w:eastAsia="zh-CN"/>
        </w:rPr>
        <w:t>则基金</w:t>
      </w:r>
      <w:r>
        <w:rPr>
          <w:rFonts w:ascii="宋体" w:hAnsi="Calibri" w:cs="宋体"/>
          <w:bCs/>
          <w:szCs w:val="21"/>
          <w:highlight w:val="white"/>
          <w:lang w:eastAsia="zh-CN"/>
        </w:rPr>
        <w:t>托管人比照上述关于账户开立、使用的规定执行。</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（五）债券托管账户的开设和管理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合同生效后，基金管理人代本基金向中国人民银行发起银行间债券市场准入备案，备案通过后，根据基金管理人申请，基金托管人代本基金根据中国人民银行、中央国债登记结算有限责任公司、银行间市场清算所股份有限公司的有关规定，以本基金的名义在中央国债登记结算有限责任公司、银行间市场清算所股份有限公司开立债券托管与结算账户，并代表基金进行银行间市场债券的结算，基金管理人应在过程中给予必要的配合。基金管理人代表本基金签订全国银行间债券市场债券回购主协议。</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（六）定期存款账户的开设与管理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投资定期存款需在存款机构开立银行账户，定期存款账户户名原则上应与托管账户或产品名称保持一致,该账户预留印鉴经与基金托管人商议后预留。基金管理人与存款机构签订定期存款协议，协议中涉及基金托管人相关职责的约定须由基金管理人和基金托管人双方协商一致后签署。该协议内容应至少包含起息日、到期日、存款金额、存款账户、存款利率、存款是否可以提前支取、定存到期支取账户、存款证实</w:t>
      </w:r>
      <w:r>
        <w:rPr>
          <w:rFonts w:ascii="宋体" w:hAnsi="Calibri" w:cs="宋体"/>
          <w:bCs/>
          <w:szCs w:val="21"/>
          <w:highlight w:val="white"/>
          <w:lang w:eastAsia="zh-CN"/>
        </w:rPr>
        <w:t>书如何</w:t>
      </w:r>
      <w:r>
        <w:rPr>
          <w:rFonts w:ascii="宋体" w:hAnsi="Calibri" w:cs="宋体"/>
          <w:bCs/>
          <w:szCs w:val="21"/>
          <w:highlight w:val="white"/>
          <w:lang w:eastAsia="zh-CN"/>
        </w:rPr>
        <w:t>交接以及存款证实书不得转让质押等条款，并将本基金托管账户指定为唯一回款账户。</w:t>
      </w:r>
      <w:r>
        <w:rPr>
          <w:rFonts w:ascii="宋体" w:hAnsi="Calibri" w:cs="宋体"/>
          <w:bCs/>
          <w:szCs w:val="21"/>
          <w:highlight w:val="white"/>
          <w:lang w:eastAsia="zh-CN"/>
        </w:rPr>
        <w:t> </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（七）其他账户的开立和管理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1.因业务发展需要而开立的其他账户，可以根据法律法规和基金合同的规定开立，在基金管理人和基金托管人商议后由基金托管人负责开立。新账户按有关规定使用并管理。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2.法律法规等有关规定对相关账户的开立和管理另有规定的，从其规定办理。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（八）基金财产投资的有关有价凭证等的保管</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财产投资的有关实物证券、银行存款开户证实书等有价凭证由基金托管人存放于基金托管人的保管库，也可存入中央国债登记结算有限责任公司、银行间市场清算所股份有限公司、中国证券登记结算有限责任公司上海分公司/深圳分公司或票据营业中心的代保管库，保管凭证由基金托管人持有。实物证券、银行存款开户证实书等有价凭证的购买和转让，由基金管理人和基金托管人共同办理。基金托管人对由基金托管人及基金托管人委托保管的机构以外机构实际有效控制的证券不承担保管责任，但基金托管人应妥善保管凭证。</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（九）与基金财产有关的重大合同的保管</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重大合同的保管期限为基金合同终止后20年，法律法规或监管部门另有规定的，从其规定。</w:t>
      </w:r>
    </w:p>
    <w:p w:rsidR="0097367D">
      <w:pPr>
        <w:spacing w:line="360" w:lineRule="auto"/>
        <w:ind w:firstLine="420"/>
        <w:rPr>
          <w:rFonts w:ascii="宋体" w:hAnsi="Calibri" w:cs="宋体"/>
          <w:bCs/>
          <w:szCs w:val="21"/>
          <w:lang w:eastAsia="zh-CN"/>
        </w:rPr>
      </w:pPr>
    </w:p>
    <w:p w:rsidR="0097367D">
      <w:pPr>
        <w:spacing w:line="360" w:lineRule="auto"/>
        <w:ind w:firstLine="420"/>
        <w:rPr>
          <w:rFonts w:ascii="宋体" w:hAnsi="Calibri" w:cs="宋体"/>
          <w:bCs/>
          <w:szCs w:val="21"/>
          <w:lang w:eastAsia="zh-CN"/>
        </w:rPr>
      </w:pP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第五节 基金资产净值计算与复核</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（一）基金资产净值的计算、复核与完成的时间及程序</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1.基金资产净值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基金资产净值是指基金资产总值减去基金负债后的价值。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份额净值是按照每个估值日闭市后，基金资产净值除以当日基金份额的余额数量计算，基金份额净值精确到0.0001元，小数点后第5位四舍五入。基金管理人可以设立大额赎回情形下的净值精度应急调整机制。国家另有规定的，从其规定。</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基金管理人每个估值日计算基金资产净值及基金份额净值，经基金托管人复核，并按规定公告。</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2.复核程序</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每个估值日对基金资产进行估值后，将净值结果以双方约定的方式提交给基金托管人，经基金托管人复核无误后，以约定的方式将复核结果提交给基金管理人，由基金管理人依据基金合同和有关法律法规对外公布。</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的计算结果对外予以公布。</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（二）基金资产估值方法和特殊情形的处理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1.估值对象</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基金所拥有的目标ETF基金份额、股票、债券和银行存款本息、应收款项、其它投资等资产及负债。</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2.估值方法</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（1）目标ETF基金份额估值方法</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对持有的目标ETF基金份额，按估值</w:t>
      </w:r>
      <w:r>
        <w:rPr>
          <w:rFonts w:ascii="宋体" w:hAnsi="Calibri" w:cs="宋体"/>
          <w:bCs/>
          <w:szCs w:val="21"/>
          <w:highlight w:val="white"/>
          <w:lang w:eastAsia="zh-CN"/>
        </w:rPr>
        <w:t>日目标</w:t>
      </w:r>
      <w:r>
        <w:rPr>
          <w:rFonts w:ascii="宋体" w:hAnsi="Calibri" w:cs="宋体"/>
          <w:bCs/>
          <w:szCs w:val="21"/>
          <w:highlight w:val="white"/>
          <w:lang w:eastAsia="zh-CN"/>
        </w:rPr>
        <w:t>ETF基金的份额净值估值。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（3）处于未上市期间的有价证券应区分如下情况处理：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1）送股、转增股、配股和公开增发的新股，按估值日在证券交易所挂牌的同一股票的估值方法估值；该日无交易的，以最近一日的市价（收盘价）估值；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2）首次公开发行未上市的股票，采用估值技术确定公允价值；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w:t>
      </w:r>
      <w:r>
        <w:rPr>
          <w:rFonts w:ascii="宋体" w:hAnsi="Calibri" w:cs="宋体"/>
          <w:bCs/>
          <w:szCs w:val="21"/>
          <w:highlight w:val="white"/>
          <w:lang w:eastAsia="zh-CN"/>
        </w:rPr>
        <w:t>券</w:t>
      </w:r>
      <w:r>
        <w:rPr>
          <w:rFonts w:ascii="宋体" w:hAnsi="Calibri" w:cs="宋体"/>
          <w:bCs/>
          <w:szCs w:val="21"/>
          <w:highlight w:val="white"/>
          <w:lang w:eastAsia="zh-CN"/>
        </w:rPr>
        <w:t>等流通受限股票，按监管机构或行业协会有关规定确定公允价值。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（4）对于已上市或已挂牌转让的不含</w:t>
      </w:r>
      <w:r>
        <w:rPr>
          <w:rFonts w:ascii="宋体" w:hAnsi="Calibri" w:cs="宋体"/>
          <w:bCs/>
          <w:szCs w:val="21"/>
          <w:highlight w:val="white"/>
          <w:lang w:eastAsia="zh-CN"/>
        </w:rPr>
        <w:t>权固定</w:t>
      </w:r>
      <w:r>
        <w:rPr>
          <w:rFonts w:ascii="宋体" w:hAnsi="Calibri" w:cs="宋体"/>
          <w:bCs/>
          <w:szCs w:val="21"/>
          <w:highlight w:val="white"/>
          <w:lang w:eastAsia="zh-CN"/>
        </w:rPr>
        <w:t>收益品种，选取估值日第三方估值基准服务机构提供的相应品种当日的估值全价进行估值。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（5）对于已上市或已挂牌转让的含</w:t>
      </w:r>
      <w:r>
        <w:rPr>
          <w:rFonts w:ascii="宋体" w:hAnsi="Calibri" w:cs="宋体"/>
          <w:bCs/>
          <w:szCs w:val="21"/>
          <w:highlight w:val="white"/>
          <w:lang w:eastAsia="zh-CN"/>
        </w:rPr>
        <w:t>权固定</w:t>
      </w:r>
      <w:r>
        <w:rPr>
          <w:rFonts w:ascii="宋体" w:hAnsi="Calibri" w:cs="宋体"/>
          <w:bCs/>
          <w:szCs w:val="21"/>
          <w:highlight w:val="white"/>
          <w:lang w:eastAsia="zh-CN"/>
        </w:rPr>
        <w:t>收益品种，选取估值日第三方估值基准服务机构提供的相应品种当日的唯一估值全价或推荐估值全价进行估值。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6）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（7）对于未上市或未挂牌转让且不存在活跃市场的固定收益品种，采用在当前情况下适用并且有足够可利用数据和其他信息支持的估值技术确定其公允价值。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（8）期货合约以估值当日结算价进行估值，估值当日无结算价的，且最近交易日后经济环境未发生重大变化的，采用最近交易日结算价估值。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（9）本基金投资期权，根据相关法律法规以及监管部门的规定估值。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（10）本基金参与融资业务的，按照相关法律法规、监管部门和行业协会的相关规定进行估值。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（11）本基金参与转融通证券出借业务的，按照相关法律法规和行业协会的相关规定进行估值。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（12）本基金投资存托凭证的估值核算，依照境内上市交易的股票执行。</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（13）如有充分理由表明按上述方法进行估值不能客观反映其公允价值的，基金管理人可根据具体情况与基金托管人商定后，按最能反映公允价值的价格估值。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（14）当发生大额申购或赎回情形时，基金管理人可以采用摆动定价机制，以确保基金估值的公平性。</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（15）相关法律法规以及监管部门有强制规定的，从其规定。如有新增事项，按国家最新规定估值。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3.特殊情形的处理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基金管理人、基金托管人按估值方法的第（13）项进行估值时，所造成的误差不作为基金资产估值错误处理。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由于不可抗力，或证券交易所、登记结算机构、指数编制机构及存款银行等第三方机构发送的数据错误，或国家会计政策变更、市场规则变更等</w:t>
      </w:r>
      <w:r>
        <w:rPr>
          <w:rFonts w:ascii="宋体" w:hAnsi="Calibri" w:cs="宋体"/>
          <w:bCs/>
          <w:szCs w:val="21"/>
          <w:highlight w:val="white"/>
          <w:lang w:eastAsia="zh-CN"/>
        </w:rPr>
        <w:t>非基金</w:t>
      </w:r>
      <w:r>
        <w:rPr>
          <w:rFonts w:ascii="宋体" w:hAnsi="Calibri" w:cs="宋体"/>
          <w:bCs/>
          <w:szCs w:val="21"/>
          <w:highlight w:val="white"/>
          <w:lang w:eastAsia="zh-CN"/>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（三）基金份额净值错误的处理方式</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基金管理人和基金托管人将采取必要、适当、合理的措施确保基金资产估值的准确性、及时性。当基金份额净值小数点后4位以内（含第4位）发生估值错误时，视为基金份额净值错误。</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基金合同的当事人应按照以下约定处理：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sidR="00FA0C15">
        <w:rPr>
          <w:rFonts w:ascii="宋体" w:hAnsi="Calibri" w:cs="宋体" w:hint="eastAsia"/>
          <w:bCs/>
          <w:szCs w:val="21"/>
          <w:highlight w:val="white"/>
          <w:lang w:eastAsia="zh-CN"/>
        </w:rPr>
        <w:t>．</w:t>
      </w:r>
      <w:r>
        <w:rPr>
          <w:rFonts w:ascii="宋体" w:hAnsi="Calibri" w:cs="宋体"/>
          <w:bCs/>
          <w:szCs w:val="21"/>
          <w:highlight w:val="white"/>
          <w:lang w:eastAsia="zh-CN"/>
        </w:rPr>
        <w:t>估值错误类型</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Calibri" w:cs="宋体"/>
          <w:bCs/>
          <w:szCs w:val="21"/>
          <w:highlight w:val="white"/>
          <w:lang w:eastAsia="zh-CN"/>
        </w:rPr>
        <w:t>“</w:t>
      </w:r>
      <w:r>
        <w:rPr>
          <w:rFonts w:ascii="宋体" w:hAnsi="Calibri" w:cs="宋体"/>
          <w:bCs/>
          <w:szCs w:val="21"/>
          <w:highlight w:val="white"/>
          <w:lang w:eastAsia="zh-CN"/>
        </w:rPr>
        <w:t>受损方</w:t>
      </w:r>
      <w:r>
        <w:rPr>
          <w:rFonts w:ascii="宋体" w:hAnsi="Calibri" w:cs="宋体"/>
          <w:bCs/>
          <w:szCs w:val="21"/>
          <w:highlight w:val="white"/>
          <w:lang w:eastAsia="zh-CN"/>
        </w:rPr>
        <w:t>”</w:t>
      </w:r>
      <w:r>
        <w:rPr>
          <w:rFonts w:ascii="宋体" w:hAnsi="Calibri" w:cs="宋体"/>
          <w:bCs/>
          <w:szCs w:val="21"/>
          <w:highlight w:val="white"/>
          <w:lang w:eastAsia="zh-CN"/>
        </w:rPr>
        <w:t>）的直接损失按下述</w:t>
      </w:r>
      <w:r>
        <w:rPr>
          <w:rFonts w:ascii="宋体" w:hAnsi="Calibri" w:cs="宋体"/>
          <w:bCs/>
          <w:szCs w:val="21"/>
          <w:highlight w:val="white"/>
          <w:lang w:eastAsia="zh-CN"/>
        </w:rPr>
        <w:t>“</w:t>
      </w:r>
      <w:r>
        <w:rPr>
          <w:rFonts w:ascii="宋体" w:hAnsi="Calibri" w:cs="宋体"/>
          <w:bCs/>
          <w:szCs w:val="21"/>
          <w:highlight w:val="white"/>
          <w:lang w:eastAsia="zh-CN"/>
        </w:rPr>
        <w:t>估值错误处理原则</w:t>
      </w:r>
      <w:r>
        <w:rPr>
          <w:rFonts w:ascii="宋体" w:hAnsi="Calibri" w:cs="宋体"/>
          <w:bCs/>
          <w:szCs w:val="21"/>
          <w:highlight w:val="white"/>
          <w:lang w:eastAsia="zh-CN"/>
        </w:rPr>
        <w:t>”</w:t>
      </w:r>
      <w:r>
        <w:rPr>
          <w:rFonts w:ascii="宋体" w:hAnsi="Calibri" w:cs="宋体"/>
          <w:bCs/>
          <w:szCs w:val="21"/>
          <w:highlight w:val="white"/>
          <w:lang w:eastAsia="zh-CN"/>
        </w:rPr>
        <w:t>给予赔偿，承担赔偿责任。</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上述估值错误的主要类型包括但不限于：资料申报差错、数据传输差错、数据计算差错、系统故障差错、下达指令差错等。</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sidR="00FA0C15">
        <w:rPr>
          <w:rFonts w:ascii="宋体" w:hAnsi="Calibri" w:cs="宋体" w:hint="eastAsia"/>
          <w:bCs/>
          <w:szCs w:val="21"/>
          <w:highlight w:val="white"/>
          <w:lang w:eastAsia="zh-CN"/>
        </w:rPr>
        <w:t>．</w:t>
      </w:r>
      <w:r>
        <w:rPr>
          <w:rFonts w:ascii="宋体" w:hAnsi="Calibri" w:cs="宋体"/>
          <w:bCs/>
          <w:szCs w:val="21"/>
          <w:highlight w:val="white"/>
          <w:lang w:eastAsia="zh-CN"/>
        </w:rPr>
        <w:t>估值错误处理原则</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（2）估值错误的责任方对有关当事人的直接损失负责，不对间接损失负责，并且仅对估值错误的有关直接当事人负责，不对第三方负责。</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（3）因估值错误而获得不当得利的当事人负有及时返还不当得利的义务。但估值错误责任方仍应对估值错误负责。如果由于获得不当得利的当事人</w:t>
      </w:r>
      <w:r>
        <w:rPr>
          <w:rFonts w:ascii="宋体" w:hAnsi="Calibri" w:cs="宋体"/>
          <w:bCs/>
          <w:szCs w:val="21"/>
          <w:highlight w:val="white"/>
          <w:lang w:eastAsia="zh-CN"/>
        </w:rPr>
        <w:t>不</w:t>
      </w:r>
      <w:r>
        <w:rPr>
          <w:rFonts w:ascii="宋体" w:hAnsi="Calibri" w:cs="宋体"/>
          <w:bCs/>
          <w:szCs w:val="21"/>
          <w:highlight w:val="white"/>
          <w:lang w:eastAsia="zh-CN"/>
        </w:rPr>
        <w:t>返还或不全部返还不当得利造成其他当事人的利益损失（</w:t>
      </w:r>
      <w:r>
        <w:rPr>
          <w:rFonts w:ascii="宋体" w:hAnsi="Calibri" w:cs="宋体"/>
          <w:bCs/>
          <w:szCs w:val="21"/>
          <w:highlight w:val="white"/>
          <w:lang w:eastAsia="zh-CN"/>
        </w:rPr>
        <w:t>“</w:t>
      </w:r>
      <w:r>
        <w:rPr>
          <w:rFonts w:ascii="宋体" w:hAnsi="Calibri" w:cs="宋体"/>
          <w:bCs/>
          <w:szCs w:val="21"/>
          <w:highlight w:val="white"/>
          <w:lang w:eastAsia="zh-CN"/>
        </w:rPr>
        <w:t>受损方</w:t>
      </w:r>
      <w:r>
        <w:rPr>
          <w:rFonts w:ascii="宋体" w:hAnsi="Calibri" w:cs="宋体"/>
          <w:bCs/>
          <w:szCs w:val="21"/>
          <w:highlight w:val="white"/>
          <w:lang w:eastAsia="zh-CN"/>
        </w:rPr>
        <w:t>”</w:t>
      </w:r>
      <w:r>
        <w:rPr>
          <w:rFonts w:ascii="宋体" w:hAnsi="Calibri" w:cs="宋体"/>
          <w:bCs/>
          <w:szCs w:val="21"/>
          <w:highlight w:val="white"/>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（4）估值错误调整采用尽量恢复至假设未发生估值错误的正确情形的方式。</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sidR="00FA0C15">
        <w:rPr>
          <w:rFonts w:ascii="宋体" w:hAnsi="Calibri" w:cs="宋体" w:hint="eastAsia"/>
          <w:bCs/>
          <w:szCs w:val="21"/>
          <w:highlight w:val="white"/>
          <w:lang w:eastAsia="zh-CN"/>
        </w:rPr>
        <w:t>．</w:t>
      </w:r>
      <w:r>
        <w:rPr>
          <w:rFonts w:ascii="宋体" w:hAnsi="Calibri" w:cs="宋体"/>
          <w:bCs/>
          <w:szCs w:val="21"/>
          <w:highlight w:val="white"/>
          <w:lang w:eastAsia="zh-CN"/>
        </w:rPr>
        <w:t>估值错误处理程序</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估值错误被发现后，有关的当事人应当及时进行处理，处理的程序如下：</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（1）查明估值错误发生的原因，列明所有的当事人，并根据估值错误发生的原因确定估值错误的责任方；</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（2）根据估值错误处理原则或当事人协商的方法对因估值错误造成的损失进行评估；</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（3）根据估值错误处理原则或当事人协商的方法由估值错误的责任方进行更正和赔偿损失；</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（4）根据估值错误处理的方法，需要修改基金登记机构交易数据的，由基金登记机构进行更正，并就估值错误的更正向有关当事人进行确认。</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基金份额净值估值错误处理的方法如下：</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（1）基金份额净值计算出现错误时，基金管理人应当立即予以纠正，通报基金托管人，并采取合理的措施防止损失进一步扩大。</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（3）前述内容如法律法规或监管机关另有规定的，从其规定处理。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（四）暂停估值的情形</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基金投资所涉及的证券交易市场遇法定节假日或因其他原因暂停营业时；</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因不可抗力致使基金管理人、基金托管人无法准确评估基金资产价值时；</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当特定资产占前一估值日基金资产净值50%以上的，经与基金托管人协商确认后，基金管理人应当暂停估值；</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基金所投资的目标ETF发生暂停估值、暂停公告基金份额净值的情形；</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5</w:t>
      </w:r>
      <w:r w:rsidR="00FA0C15">
        <w:rPr>
          <w:rFonts w:ascii="宋体" w:hAnsi="Calibri" w:cs="宋体" w:hint="eastAsia"/>
          <w:bCs/>
          <w:szCs w:val="21"/>
          <w:highlight w:val="white"/>
          <w:lang w:eastAsia="zh-CN"/>
        </w:rPr>
        <w:t>．</w:t>
      </w:r>
      <w:r>
        <w:rPr>
          <w:rFonts w:ascii="宋体" w:hAnsi="Calibri" w:cs="宋体"/>
          <w:bCs/>
          <w:szCs w:val="21"/>
          <w:highlight w:val="white"/>
          <w:lang w:eastAsia="zh-CN"/>
        </w:rPr>
        <w:t>中国证监会和基金合同认定的其它情形。</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（五）基金会计制度</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按国家有关部门规定的会计制度执行。</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（六）基金账册的建立</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基金管理人进行基金会计核算并编制基金财务会计报告。基金管理人、基金托管人分别独立地设置、记录和保管本基金的全套账册。基金托管人按规定制作相关账册并与基金管理人核对。</w:t>
      </w:r>
      <w:r>
        <w:rPr>
          <w:rFonts w:ascii="宋体" w:hAnsi="Calibri" w:cs="宋体"/>
          <w:bCs/>
          <w:szCs w:val="21"/>
          <w:highlight w:val="white"/>
          <w:lang w:eastAsia="zh-CN"/>
        </w:rPr>
        <w:t>若基金</w:t>
      </w:r>
      <w:r>
        <w:rPr>
          <w:rFonts w:ascii="宋体" w:hAnsi="Calibri" w:cs="宋体"/>
          <w:bCs/>
          <w:szCs w:val="21"/>
          <w:highlight w:val="white"/>
          <w:lang w:eastAsia="zh-CN"/>
        </w:rPr>
        <w:t>管理人和基金托管人对会计处理方法存在分歧，应以基金管理人的处理方法为准。若当日核对不符，暂时无法查找到错账的原因而影响到基金净值的计算和公告的，以基金管理人的账册为准。</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（七）基金财务报表与报告的编制和复核</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1.财务报表的编制</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基金财务报表由基金管理人编制，基金托管人复核。</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2.报表复核</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托管人应当按照相关法律、行政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3.财务报表的编制与复核时间安排</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当在每月结束后5个工作日内完成月度报表的编制，并将月度报表以双方认可方式发送给基金托管人复核；在季度结束之日起15个工作日内完成基金季度报告的编制，并将季度报表以双方认可方式发送给基金托管人复核；基金招募说明书、产品资料概要的信息发生重大变更的，基金管理人应当在三个工作日内，更新基金招募说明书、产品资料概要并登载在规定网站上；基金招募说明书、产品资料概要其他信息发生变更的，基金管理人至少每年更新一次。基金终止运作的，基金管理人不再更新基金招募说明书、产品资料概要。中期报告在上半年结束之日起两个月内予以公告；年度报告在</w:t>
      </w:r>
      <w:r>
        <w:rPr>
          <w:rFonts w:ascii="宋体" w:hAnsi="Calibri" w:cs="宋体"/>
          <w:bCs/>
          <w:szCs w:val="21"/>
          <w:highlight w:val="white"/>
          <w:lang w:eastAsia="zh-CN"/>
        </w:rPr>
        <w:t>每年结束之日起三个月内公告。《基金合同》生效不足两个月的，可以不编制当期季度报告、中期报告或者年度报告。</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基金管理人应留足充分的时间，便于基金托管人复核相关报表及报告。</w:t>
      </w: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（八）</w:t>
      </w:r>
      <w:r w:rsidR="005B60B1">
        <w:rPr>
          <w:rFonts w:ascii="宋体" w:hAnsi="Calibri" w:cs="宋体"/>
          <w:bCs/>
          <w:szCs w:val="21"/>
          <w:highlight w:val="white"/>
          <w:lang w:eastAsia="zh-CN"/>
        </w:rPr>
        <w:t>本基金实施</w:t>
      </w:r>
      <w:r w:rsidR="005B60B1">
        <w:rPr>
          <w:rFonts w:ascii="宋体" w:hAnsi="Calibri" w:cs="宋体"/>
          <w:bCs/>
          <w:szCs w:val="21"/>
          <w:highlight w:val="white"/>
          <w:lang w:eastAsia="zh-CN"/>
        </w:rPr>
        <w:t>侧袋机制</w:t>
      </w:r>
      <w:r w:rsidR="005B60B1">
        <w:rPr>
          <w:rFonts w:ascii="宋体" w:hAnsi="Calibri" w:cs="宋体"/>
          <w:bCs/>
          <w:szCs w:val="21"/>
          <w:highlight w:val="white"/>
          <w:lang w:eastAsia="zh-CN"/>
        </w:rPr>
        <w:t>的，应根据本部分的约定</w:t>
      </w:r>
      <w:r w:rsidR="005B60B1">
        <w:rPr>
          <w:rFonts w:ascii="宋体" w:hAnsi="Calibri" w:cs="宋体"/>
          <w:bCs/>
          <w:szCs w:val="21"/>
          <w:highlight w:val="white"/>
          <w:lang w:eastAsia="zh-CN"/>
        </w:rPr>
        <w:t>对主袋账户</w:t>
      </w:r>
      <w:r w:rsidR="005B60B1">
        <w:rPr>
          <w:rFonts w:ascii="宋体" w:hAnsi="Calibri" w:cs="宋体"/>
          <w:bCs/>
          <w:szCs w:val="21"/>
          <w:highlight w:val="white"/>
          <w:lang w:eastAsia="zh-CN"/>
        </w:rPr>
        <w:t>资产进行估值并</w:t>
      </w:r>
      <w:r w:rsidR="005B60B1">
        <w:rPr>
          <w:rFonts w:ascii="宋体" w:hAnsi="Calibri" w:cs="宋体"/>
          <w:bCs/>
          <w:szCs w:val="21"/>
          <w:highlight w:val="white"/>
          <w:lang w:eastAsia="zh-CN"/>
        </w:rPr>
        <w:t>披露主袋账户</w:t>
      </w:r>
      <w:r w:rsidR="005B60B1">
        <w:rPr>
          <w:rFonts w:ascii="宋体" w:hAnsi="Calibri" w:cs="宋体"/>
          <w:bCs/>
          <w:szCs w:val="21"/>
          <w:highlight w:val="white"/>
          <w:lang w:eastAsia="zh-CN"/>
        </w:rPr>
        <w:t>的基金资产净值和份额净值，暂停</w:t>
      </w:r>
      <w:r w:rsidR="005B60B1">
        <w:rPr>
          <w:rFonts w:ascii="宋体" w:hAnsi="Calibri" w:cs="宋体"/>
          <w:bCs/>
          <w:szCs w:val="21"/>
          <w:highlight w:val="white"/>
          <w:lang w:eastAsia="zh-CN"/>
        </w:rPr>
        <w:t>披露侧袋账户</w:t>
      </w:r>
      <w:r w:rsidR="005B60B1">
        <w:rPr>
          <w:rFonts w:ascii="宋体" w:hAnsi="Calibri" w:cs="宋体"/>
          <w:bCs/>
          <w:szCs w:val="21"/>
          <w:highlight w:val="white"/>
          <w:lang w:eastAsia="zh-CN"/>
        </w:rPr>
        <w:t>份额净值。</w:t>
      </w:r>
    </w:p>
    <w:p w:rsidR="0097367D">
      <w:pPr>
        <w:spacing w:line="360" w:lineRule="auto"/>
        <w:ind w:firstLine="420"/>
        <w:rPr>
          <w:rFonts w:ascii="宋体" w:hAnsi="Calibri" w:cs="宋体"/>
          <w:bCs/>
          <w:szCs w:val="21"/>
          <w:lang w:eastAsia="zh-CN"/>
        </w:rPr>
      </w:pP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第六节 基金份额持有人名册的登记与保管</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份额持有人名册至少应包括基金份额持有人的名称和持有的基金份额。基金份额持有人名册由登记机构根据基金管理人的指令编制和保管，保存期自基金账户销户之日起不少于20年，基金管理人和基金托管人应分别保管基金份额持有人名册，保存期不少于20年，法律法规另有规定或有权机关另有要求的除外。如不能妥善保管，则按相关法规承担责任。</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管理人应及时以双方认可的方式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因基金管理人未能及时提供或提供信息有误的，托管人不承担相关责任。</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在基金托管人要求或编制中期报告和年报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97367D">
      <w:pPr>
        <w:spacing w:line="360" w:lineRule="auto"/>
        <w:ind w:firstLine="420"/>
        <w:rPr>
          <w:rStyle w:val="CommentReference"/>
          <w:rFonts w:ascii="宋体" w:hAnsi="Calibri" w:cs="宋体"/>
          <w:lang w:eastAsia="zh-CN"/>
        </w:rPr>
      </w:pPr>
    </w:p>
    <w:p w:rsidR="0097367D">
      <w:pPr>
        <w:spacing w:line="360" w:lineRule="auto"/>
        <w:ind w:firstLine="420"/>
        <w:rPr>
          <w:rFonts w:ascii="宋体" w:hAnsi="Calibri" w:cs="宋体"/>
          <w:bCs/>
          <w:szCs w:val="21"/>
          <w:lang w:eastAsia="zh-CN"/>
        </w:rPr>
      </w:pPr>
      <w:r>
        <w:rPr>
          <w:rStyle w:val="CommentReference"/>
          <w:rFonts w:ascii="宋体" w:hAnsi="Calibri" w:cs="宋体"/>
          <w:highlight w:val="white"/>
          <w:lang w:eastAsia="zh-CN"/>
        </w:rPr>
        <w:t>第七节</w:t>
      </w:r>
      <w:r>
        <w:rPr>
          <w:rFonts w:ascii="宋体" w:hAnsi="Calibri" w:cs="宋体" w:hint="eastAsia"/>
          <w:bCs/>
          <w:szCs w:val="21"/>
          <w:highlight w:val="white"/>
          <w:lang w:eastAsia="zh-CN"/>
        </w:rPr>
        <w:t xml:space="preserve"> 争议解决方式</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因本托管协议产生或与之相关的争议，双方当事人应通过协商、调解解决，协商、调解不能解决的，任何一方均有权将争议提交中国国际经济贸易仲裁委员会，按照该会届时有效的仲裁规则进行仲裁。仲裁地点为北京市。仲裁裁决是终局的，对各方当事人均有约束力，仲裁费、律师费用由败诉方承担。</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争议处理期间，本托管协议双方当事人应恪守基金管理人和基金托管人职责，各自继续忠实、勤勉、尽责地履行基金合同和本托管协议规定的义务，维护基金份额持有人的合法权益。</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本协议受中国法律管辖。</w:t>
      </w:r>
    </w:p>
    <w:p w:rsidR="0097367D">
      <w:pPr>
        <w:spacing w:line="360" w:lineRule="auto"/>
        <w:ind w:firstLine="420"/>
        <w:rPr>
          <w:rFonts w:ascii="宋体" w:hAnsi="Calibri" w:cs="宋体"/>
          <w:bCs/>
          <w:szCs w:val="21"/>
          <w:lang w:eastAsia="zh-CN"/>
        </w:rPr>
      </w:pPr>
    </w:p>
    <w:p w:rsidR="0097367D">
      <w:pPr>
        <w:spacing w:line="360" w:lineRule="auto"/>
        <w:ind w:firstLine="420"/>
        <w:rPr>
          <w:rFonts w:ascii="宋体" w:hAnsi="Calibri" w:cs="宋体"/>
          <w:bCs/>
          <w:szCs w:val="21"/>
          <w:lang w:eastAsia="zh-CN"/>
        </w:rPr>
      </w:pPr>
      <w:r>
        <w:rPr>
          <w:rFonts w:ascii="宋体" w:hAnsi="Calibri" w:cs="宋体" w:hint="eastAsia"/>
          <w:bCs/>
          <w:szCs w:val="21"/>
          <w:highlight w:val="white"/>
          <w:lang w:eastAsia="zh-CN"/>
        </w:rPr>
        <w:t>第八节 托管协议的修改与终止</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（一）本托管协议的变更程序</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本托管协议双方当事人经协商一致，可以对本托管协议进行修改。修改后的新托管协议，其内容不得与基金合同的规定有任何冲突。</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（二）基金托管协议终止的情形</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1.基金合同终止；</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2.基金托管人解散、依法被撤销、破产或由其他基金托管人接管基金资产；</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3.基金管理人解散、依法被撤销、破产或由其他基金管理人接管基金管理权；</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4.发生法律法规、中国证监会或基金合同规定的终止事项。</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（三）基金财产的清算</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基金财产清算小组：自出现《基金合同》终止事由之日起30个工作日内成立清算小组，基金管理人组织基金财产清算小组并在中国证监会的监督下进行基金清算。</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基金财产清算小组职责：基金财产清算小组负责基金财产的保管、清理、估价、变现和分配。基金财产清算小组可以依法进行必要的民事活动。</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w:t>
      </w:r>
      <w:r w:rsidR="00FA0C15">
        <w:rPr>
          <w:rFonts w:ascii="宋体" w:hAnsi="Calibri" w:cs="宋体" w:hint="eastAsia"/>
          <w:bCs/>
          <w:szCs w:val="21"/>
          <w:highlight w:val="white"/>
          <w:lang w:eastAsia="zh-CN"/>
        </w:rPr>
        <w:t>．</w:t>
      </w:r>
      <w:r>
        <w:rPr>
          <w:rFonts w:ascii="宋体" w:hAnsi="Calibri" w:cs="宋体"/>
          <w:bCs/>
          <w:szCs w:val="21"/>
          <w:highlight w:val="white"/>
          <w:lang w:eastAsia="zh-CN"/>
        </w:rPr>
        <w:t>基金财产清算程序：</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（1）《基金合同》终止情形出现时，由基金财产清算小组统一接管基金；</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（2）对基金财产和债权债务进行清理和确认；</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（3）对基金财产进行估值和变现；</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（4）制作清算报告；</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（5）聘请会计师事务所对清算报告进行外部审计，聘请律师事务所对清算报告出具法律意见书；</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（6）将清算报告报中国证监会备案并公告；</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（7）对基金剩余财产进行分配。</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5、基金财产清算的期限为6个月，但因本基金所持证券的流动性受到限制而不能及时变现的，清算期限相应顺延。</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（四）清算费用</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清算费用是指基金财产清算小组在进行基金清算过程中发生的所有合理费用，清算费用由基金财产清算小组优先从基金财产中支付。</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（五）基金财产清算剩余资产的分配</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（六）基金财产清算的公告</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清算过程中的有关重大事项须及时公告；基金财产清算报告</w:t>
      </w:r>
      <w:r>
        <w:rPr>
          <w:rFonts w:ascii="宋体" w:hAnsi="Calibri" w:cs="宋体"/>
          <w:bCs/>
          <w:szCs w:val="21"/>
          <w:highlight w:val="white"/>
          <w:lang w:eastAsia="zh-CN"/>
        </w:rPr>
        <w:t>经符合</w:t>
      </w:r>
      <w:r>
        <w:rPr>
          <w:rFonts w:ascii="宋体" w:hAnsi="Calibri" w:cs="宋体"/>
          <w:bCs/>
          <w:szCs w:val="21"/>
          <w:highlight w:val="white"/>
          <w:lang w:eastAsia="zh-CN"/>
        </w:rPr>
        <w:t>《证券法》规定的会计师事务所审计并由律师事务所出具法律意见书后报中国证监会备案并公告。基金财产清算公告于基金财产清算报告报中国证监会备案后5个工作日内由基金财产清算小组进行公告。</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（七）基金财产清算账册及文件的保存</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基金财产清算账册及有关文件由基金托管人保存20年以上。</w:t>
      </w:r>
    </w:p>
    <w:p w:rsidR="0097367D">
      <w:pPr>
        <w:spacing w:line="360" w:lineRule="auto"/>
        <w:ind w:firstLine="420"/>
        <w:rPr>
          <w:rFonts w:ascii="宋体" w:hAnsi="Calibri" w:cs="宋体"/>
          <w:bCs/>
          <w:szCs w:val="21"/>
          <w:lang w:eastAsia="zh-CN"/>
        </w:rPr>
      </w:pPr>
      <w:r>
        <w:rPr>
          <w:rFonts w:ascii="宋体" w:hAnsi="Calibri" w:cs="宋体"/>
          <w:bCs/>
          <w:szCs w:val="21"/>
          <w:highlight w:val="white"/>
          <w:lang w:eastAsia="zh-CN"/>
        </w:rPr>
        <w:t xml:space="preserve"> </w:t>
      </w:r>
    </w:p>
    <w:p w:rsidR="0097367D">
      <w:pPr>
        <w:pStyle w:val="Heading1"/>
        <w:pageBreakBefore/>
        <w:spacing w:before="317" w:after="317" w:line="360" w:lineRule="auto"/>
        <w:ind w:firstLine="600"/>
        <w:rPr>
          <w:rFonts w:ascii="宋体" w:eastAsia="宋体" w:hAnsi="Calibri" w:cs="宋体"/>
          <w:bCs/>
          <w:sz w:val="30"/>
          <w:szCs w:val="30"/>
          <w:lang w:eastAsia="zh-CN"/>
        </w:rPr>
      </w:pPr>
      <w:bookmarkStart w:id="1863" w:name="_Toc129511546"/>
      <w:r>
        <w:rPr>
          <w:rFonts w:ascii="宋体" w:eastAsia="宋体" w:hAnsi="Calibri" w:cs="宋体" w:hint="eastAsia"/>
          <w:sz w:val="30"/>
          <w:szCs w:val="30"/>
          <w:highlight w:val="white"/>
          <w:lang w:eastAsia="zh-CN"/>
        </w:rPr>
        <w:t>第二</w:t>
      </w:r>
      <w:bookmarkStart w:id="1864" w:name="_Toc332373591"/>
      <w:r>
        <w:rPr>
          <w:rFonts w:ascii="宋体" w:eastAsia="宋体" w:hAnsi="Calibri" w:cs="宋体" w:hint="eastAsia"/>
          <w:sz w:val="30"/>
          <w:szCs w:val="30"/>
          <w:highlight w:val="white"/>
          <w:lang w:eastAsia="zh-CN"/>
        </w:rPr>
        <w:t>十</w:t>
      </w:r>
      <w:r>
        <w:rPr>
          <w:rFonts w:ascii="宋体" w:eastAsia="宋体" w:hAnsi="Calibri" w:cs="宋体"/>
          <w:sz w:val="30"/>
          <w:szCs w:val="30"/>
          <w:highlight w:val="white"/>
          <w:lang w:eastAsia="zh-CN"/>
        </w:rPr>
        <w:t>四部分 对基金份额持有人的服务</w:t>
      </w:r>
      <w:bookmarkEnd w:id="1863"/>
      <w:bookmarkEnd w:id="1864"/>
    </w:p>
    <w:p w:rsidR="0097367D">
      <w:pPr>
        <w:pStyle w:val="BodyTextFirstIndent"/>
        <w:spacing w:after="0" w:line="360" w:lineRule="auto"/>
        <w:rPr>
          <w:rFonts w:ascii="宋体" w:hAnsi="Calibri" w:cs="宋体"/>
          <w:lang w:eastAsia="zh-CN"/>
        </w:rPr>
      </w:pPr>
      <w:r>
        <w:rPr>
          <w:rFonts w:ascii="宋体" w:hAnsi="Calibri"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97367D">
      <w:pPr>
        <w:pStyle w:val="BodyTextFirstIndent"/>
        <w:spacing w:after="0" w:line="360" w:lineRule="auto"/>
        <w:rPr>
          <w:rFonts w:ascii="宋体" w:hAnsi="Calibri" w:cs="宋体"/>
          <w:lang w:eastAsia="zh-CN"/>
        </w:rPr>
      </w:pPr>
      <w:r>
        <w:rPr>
          <w:rFonts w:ascii="宋体" w:hAnsi="Calibri" w:cs="宋体" w:hint="eastAsia"/>
          <w:highlight w:val="white"/>
          <w:lang w:eastAsia="zh-CN"/>
        </w:rPr>
        <w:t>一、基金份额持有人投资交易确认服务</w:t>
      </w:r>
    </w:p>
    <w:p w:rsidR="0097367D">
      <w:pPr>
        <w:pStyle w:val="BodyTextFirstIndent"/>
        <w:spacing w:after="0" w:line="360" w:lineRule="auto"/>
        <w:rPr>
          <w:rFonts w:ascii="宋体" w:hAnsi="Calibri" w:cs="宋体"/>
          <w:lang w:eastAsia="zh-CN"/>
        </w:rPr>
      </w:pPr>
      <w:r>
        <w:rPr>
          <w:rFonts w:ascii="宋体" w:hAnsi="Calibri" w:cs="宋体" w:hint="eastAsia"/>
          <w:highlight w:val="white"/>
          <w:lang w:eastAsia="zh-CN"/>
        </w:rPr>
        <w:t>登记机构保留基金份额持有人名册上列明的所有基金份额持有人的基金交易记录。本公司根据在直销网点进行交易的投资人的要求提供成交确认单。非直销销售机构基金份额持有人投资交易确认</w:t>
      </w:r>
      <w:r>
        <w:rPr>
          <w:rFonts w:ascii="宋体" w:hAnsi="Calibri" w:cs="宋体" w:hint="eastAsia"/>
          <w:highlight w:val="white"/>
          <w:lang w:eastAsia="zh-CN"/>
        </w:rPr>
        <w:t>服务请</w:t>
      </w:r>
      <w:r>
        <w:rPr>
          <w:rFonts w:ascii="宋体" w:hAnsi="Calibri" w:cs="宋体" w:hint="eastAsia"/>
          <w:highlight w:val="white"/>
          <w:lang w:eastAsia="zh-CN"/>
        </w:rPr>
        <w:t>参照各销售机构实际业务流程及规定。</w:t>
      </w:r>
    </w:p>
    <w:p w:rsidR="0097367D">
      <w:pPr>
        <w:pStyle w:val="BodyTextFirstIndent"/>
        <w:spacing w:after="0" w:line="360" w:lineRule="auto"/>
        <w:rPr>
          <w:rFonts w:ascii="宋体" w:hAnsi="宋体" w:cs="宋体"/>
          <w:lang w:eastAsia="zh-CN"/>
        </w:rPr>
      </w:pPr>
      <w:r>
        <w:rPr>
          <w:rFonts w:ascii="宋体" w:hAnsi="宋体" w:cs="宋体" w:hint="eastAsia"/>
          <w:highlight w:val="white"/>
          <w:lang w:eastAsia="zh-CN"/>
        </w:rPr>
        <w:t>二、基金份额持有人交易记录查询服务</w:t>
      </w:r>
    </w:p>
    <w:p w:rsidR="0097367D">
      <w:pPr>
        <w:pStyle w:val="BodyTextFirstIndent"/>
        <w:spacing w:after="0" w:line="360" w:lineRule="auto"/>
        <w:rPr>
          <w:rFonts w:ascii="宋体" w:hAnsi="宋体" w:cs="宋体"/>
          <w:lang w:eastAsia="zh-CN"/>
        </w:rPr>
      </w:pPr>
      <w:r>
        <w:rPr>
          <w:rFonts w:ascii="宋体" w:hAnsi="宋体" w:cs="宋体" w:hint="eastAsia"/>
          <w:highlight w:val="white"/>
          <w:lang w:eastAsia="zh-CN"/>
        </w:rPr>
        <w:t>本基金份额持有人可通过基金管理人的客户服务中心、</w:t>
      </w:r>
      <w:r>
        <w:rPr>
          <w:rFonts w:ascii="宋体" w:hAnsi="宋体" w:cs="宋体" w:hint="eastAsia"/>
          <w:highlight w:val="white"/>
          <w:lang w:eastAsia="zh-CN"/>
        </w:rPr>
        <w:t>微信小</w:t>
      </w:r>
      <w:r>
        <w:rPr>
          <w:rFonts w:ascii="宋体" w:hAnsi="宋体" w:cs="宋体" w:hint="eastAsia"/>
          <w:highlight w:val="white"/>
          <w:lang w:eastAsia="zh-CN"/>
        </w:rPr>
        <w:t>程序“易方达易服务”查询历史交易记录。</w:t>
      </w:r>
    </w:p>
    <w:p w:rsidR="0097367D">
      <w:pPr>
        <w:pStyle w:val="BodyTextFirstIndent"/>
        <w:spacing w:after="0" w:line="360" w:lineRule="auto"/>
        <w:rPr>
          <w:rFonts w:ascii="宋体" w:hAnsi="宋体" w:cs="宋体"/>
          <w:lang w:eastAsia="zh-CN"/>
        </w:rPr>
      </w:pPr>
      <w:r>
        <w:rPr>
          <w:rFonts w:ascii="宋体" w:hAnsi="宋体" w:cs="宋体" w:hint="eastAsia"/>
          <w:highlight w:val="white"/>
          <w:lang w:eastAsia="zh-CN"/>
        </w:rPr>
        <w:t>三、基金份额持有人的对账单服务</w:t>
      </w:r>
    </w:p>
    <w:p w:rsidR="0097367D">
      <w:pPr>
        <w:pStyle w:val="BodyTextFirstIndent"/>
        <w:spacing w:after="0" w:line="360" w:lineRule="auto"/>
        <w:rPr>
          <w:rFonts w:ascii="宋体" w:hAnsi="宋体" w:cs="宋体"/>
        </w:rPr>
      </w:pPr>
      <w:r>
        <w:rPr>
          <w:rFonts w:ascii="宋体" w:hAnsi="宋体" w:cs="宋体" w:hint="eastAsia"/>
          <w:highlight w:val="white"/>
        </w:rPr>
        <w:t>1、基金份额持有人可登录本公司网站</w:t>
      </w:r>
      <w:r>
        <w:rPr>
          <w:rFonts w:ascii="宋体" w:hAnsi="宋体" w:cs="宋体" w:hint="eastAsia"/>
          <w:szCs w:val="21"/>
          <w:highlight w:val="white"/>
        </w:rPr>
        <w:t>（www.efunds.com.cn）、微信小程序</w:t>
      </w:r>
      <w:r>
        <w:rPr>
          <w:rFonts w:ascii="宋体" w:hAnsi="宋体" w:cs="宋体" w:hint="eastAsia"/>
          <w:highlight w:val="white"/>
        </w:rPr>
        <w:t>“易方达易服务”查阅对账单。</w:t>
      </w:r>
    </w:p>
    <w:p w:rsidR="0097367D">
      <w:pPr>
        <w:pStyle w:val="BodyTextFirstIndent"/>
        <w:spacing w:after="0" w:line="360" w:lineRule="auto"/>
        <w:rPr>
          <w:rFonts w:ascii="宋体" w:hAnsi="Calibri" w:cs="宋体"/>
          <w:lang w:eastAsia="zh-CN"/>
        </w:rPr>
      </w:pPr>
      <w:r>
        <w:rPr>
          <w:rFonts w:ascii="宋体" w:hAnsi="宋体" w:cs="宋体"/>
          <w:highlight w:val="white"/>
          <w:lang w:eastAsia="zh-CN"/>
        </w:rPr>
        <w:t>2、</w:t>
      </w:r>
      <w:r>
        <w:rPr>
          <w:rFonts w:ascii="宋体" w:hAnsi="宋体" w:cs="宋体" w:hint="eastAsia"/>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97367D">
      <w:pPr>
        <w:pStyle w:val="BodyTextFirstIndent"/>
        <w:spacing w:after="0" w:line="360" w:lineRule="auto"/>
        <w:rPr>
          <w:rFonts w:ascii="宋体" w:hAnsi="Calibri" w:cs="宋体"/>
          <w:lang w:eastAsia="zh-CN"/>
        </w:rPr>
      </w:pPr>
      <w:r>
        <w:rPr>
          <w:rFonts w:ascii="宋体" w:hAnsi="Calibri" w:cs="宋体" w:hint="eastAsia"/>
          <w:highlight w:val="white"/>
          <w:lang w:eastAsia="zh-CN"/>
        </w:rPr>
        <w:t>具体查阅和定制账单的方法可参见本公司网站或拨打客服热线咨询。</w:t>
      </w:r>
    </w:p>
    <w:p w:rsidR="0097367D">
      <w:pPr>
        <w:pStyle w:val="BodyTextFirstIndent"/>
        <w:spacing w:after="0" w:line="360" w:lineRule="auto"/>
        <w:rPr>
          <w:rFonts w:ascii="宋体" w:hAnsi="Calibri" w:cs="宋体"/>
          <w:lang w:eastAsia="zh-CN"/>
        </w:rPr>
      </w:pPr>
      <w:r>
        <w:rPr>
          <w:rFonts w:ascii="宋体" w:hAnsi="Calibri" w:cs="宋体" w:hint="eastAsia"/>
          <w:highlight w:val="white"/>
          <w:lang w:eastAsia="zh-CN"/>
        </w:rPr>
        <w:t>四、资讯服务</w:t>
      </w:r>
    </w:p>
    <w:p w:rsidR="0097367D">
      <w:pPr>
        <w:spacing w:line="360" w:lineRule="auto"/>
        <w:ind w:firstLine="424"/>
        <w:rPr>
          <w:rFonts w:ascii="宋体" w:hAnsi="Calibri" w:cs="宋体"/>
          <w:lang w:eastAsia="zh-CN"/>
        </w:rPr>
      </w:pPr>
      <w:r>
        <w:rPr>
          <w:rFonts w:ascii="宋体" w:hAnsi="Calibri" w:cs="宋体"/>
          <w:highlight w:val="white"/>
          <w:lang w:eastAsia="zh-CN"/>
        </w:rPr>
        <w:t>1、客户服务电话</w:t>
      </w:r>
    </w:p>
    <w:p w:rsidR="0097367D">
      <w:pPr>
        <w:spacing w:line="360" w:lineRule="auto"/>
        <w:ind w:firstLine="424"/>
        <w:rPr>
          <w:rFonts w:ascii="宋体" w:hAnsi="Calibri" w:cs="宋体"/>
          <w:lang w:eastAsia="zh-CN"/>
        </w:rPr>
      </w:pPr>
      <w:r>
        <w:rPr>
          <w:rFonts w:ascii="宋体" w:hAnsi="Calibri" w:cs="宋体" w:hint="eastAsia"/>
          <w:highlight w:val="white"/>
          <w:lang w:eastAsia="zh-CN"/>
        </w:rPr>
        <w:t>投资者如果想了解基金产品、服务等信息，或反馈投资过程中需要投诉与建议的情况，可拨打如下电话：</w:t>
      </w:r>
      <w:r>
        <w:rPr>
          <w:rFonts w:ascii="宋体" w:hAnsi="Calibri" w:cs="宋体"/>
          <w:highlight w:val="white"/>
          <w:lang w:eastAsia="zh-CN"/>
        </w:rPr>
        <w:t>4008818088。</w:t>
      </w:r>
      <w:r>
        <w:rPr>
          <w:rFonts w:ascii="宋体" w:hAnsi="Calibri" w:cs="宋体" w:hint="eastAsia"/>
          <w:highlight w:val="white"/>
          <w:lang w:eastAsia="zh-CN"/>
        </w:rPr>
        <w:t>投资者如果认为自己不能准确理解本基金《招募说明书》《基金合同》的具体内容，也可拨打上述电话详</w:t>
      </w:r>
      <w:r>
        <w:rPr>
          <w:rFonts w:ascii="宋体" w:hAnsi="Calibri" w:cs="宋体" w:hint="eastAsia"/>
          <w:highlight w:val="white"/>
          <w:lang w:eastAsia="zh-CN"/>
        </w:rPr>
        <w:t>询</w:t>
      </w:r>
      <w:r>
        <w:rPr>
          <w:rFonts w:ascii="宋体" w:hAnsi="Calibri" w:cs="宋体" w:hint="eastAsia"/>
          <w:highlight w:val="white"/>
          <w:lang w:eastAsia="zh-CN"/>
        </w:rPr>
        <w:t>。</w:t>
      </w:r>
    </w:p>
    <w:p w:rsidR="0097367D">
      <w:pPr>
        <w:spacing w:line="360" w:lineRule="auto"/>
        <w:ind w:firstLine="424"/>
        <w:rPr>
          <w:rFonts w:ascii="宋体" w:hAnsi="Calibri" w:cs="宋体"/>
        </w:rPr>
      </w:pPr>
      <w:r>
        <w:rPr>
          <w:rFonts w:ascii="宋体" w:hAnsi="Calibri" w:cs="宋体"/>
          <w:highlight w:val="white"/>
        </w:rPr>
        <w:t>2、互联网站及电子信箱</w:t>
      </w:r>
    </w:p>
    <w:p w:rsidR="0097367D">
      <w:pPr>
        <w:spacing w:line="360" w:lineRule="auto"/>
        <w:ind w:firstLine="424"/>
        <w:rPr>
          <w:rFonts w:ascii="宋体" w:hAnsi="Calibri" w:cs="宋体"/>
        </w:rPr>
      </w:pPr>
      <w:r>
        <w:rPr>
          <w:rFonts w:ascii="宋体" w:hAnsi="Calibri" w:cs="宋体" w:hint="eastAsia"/>
          <w:highlight w:val="white"/>
        </w:rPr>
        <w:t>网址：</w:t>
      </w:r>
      <w:r>
        <w:rPr>
          <w:rFonts w:ascii="宋体" w:hAnsi="Calibri" w:cs="宋体"/>
          <w:highlight w:val="white"/>
        </w:rPr>
        <w:t>www.efunds.com.cn</w:t>
      </w:r>
    </w:p>
    <w:p w:rsidR="0097367D">
      <w:pPr>
        <w:spacing w:line="360" w:lineRule="auto"/>
        <w:ind w:firstLine="424"/>
        <w:rPr>
          <w:rFonts w:ascii="宋体" w:hAnsi="Calibri" w:cs="宋体"/>
        </w:rPr>
      </w:pPr>
      <w:r>
        <w:rPr>
          <w:rFonts w:ascii="宋体" w:hAnsi="Calibri" w:cs="宋体" w:hint="eastAsia"/>
          <w:highlight w:val="white"/>
        </w:rPr>
        <w:t>电子信箱：</w:t>
      </w:r>
      <w:r>
        <w:rPr>
          <w:rFonts w:ascii="宋体" w:hAnsi="Calibri" w:cs="宋体"/>
          <w:highlight w:val="white"/>
        </w:rPr>
        <w:t xml:space="preserve">service@efunds.com.cn </w:t>
      </w:r>
    </w:p>
    <w:p w:rsidR="0097367D">
      <w:pPr>
        <w:pStyle w:val="Heading1"/>
        <w:pageBreakBefore/>
        <w:spacing w:before="317" w:after="317" w:line="360" w:lineRule="auto"/>
        <w:ind w:firstLine="2550"/>
        <w:jc w:val="both"/>
        <w:rPr>
          <w:rFonts w:ascii="宋体" w:eastAsia="宋体" w:hAnsi="Calibri" w:cs="宋体"/>
          <w:sz w:val="30"/>
          <w:szCs w:val="30"/>
          <w:lang w:eastAsia="zh-CN"/>
        </w:rPr>
      </w:pPr>
      <w:bookmarkStart w:id="1865" w:name="_Toc332373592"/>
      <w:bookmarkStart w:id="1866" w:name="_Toc129511547"/>
      <w:r>
        <w:rPr>
          <w:rFonts w:ascii="宋体" w:eastAsia="宋体" w:hAnsi="Calibri" w:cs="宋体" w:hint="eastAsia"/>
          <w:sz w:val="30"/>
          <w:szCs w:val="30"/>
          <w:highlight w:val="white"/>
          <w:lang w:eastAsia="zh-CN"/>
        </w:rPr>
        <w:t>第二十</w:t>
      </w:r>
      <w:r>
        <w:rPr>
          <w:rFonts w:ascii="宋体" w:eastAsia="宋体" w:hAnsi="Calibri" w:cs="宋体"/>
          <w:sz w:val="30"/>
          <w:szCs w:val="30"/>
          <w:highlight w:val="white"/>
          <w:lang w:eastAsia="zh-CN"/>
        </w:rPr>
        <w:t>五</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其他应披露事项</w:t>
      </w:r>
      <w:bookmarkEnd w:id="1865"/>
      <w:bookmarkEnd w:id="1866"/>
    </w:p>
    <w:p w:rsidR="0097367D">
      <w:pPr>
        <w:spacing w:line="400" w:lineRule="exact"/>
        <w:ind w:firstLine="420"/>
        <w:rPr>
          <w:rFonts w:ascii="宋体" w:hAnsi="Calibri" w:cs="宋体"/>
          <w:lang w:eastAsia="zh-CN"/>
        </w:rPr>
      </w:pPr>
      <w:r>
        <w:rPr>
          <w:rFonts w:ascii="宋体" w:hAnsi="Calibri" w:cs="宋体" w:hint="eastAsia"/>
          <w:highlight w:val="white"/>
          <w:lang w:eastAsia="zh-CN"/>
        </w:rPr>
        <w:t>无</w:t>
      </w:r>
    </w:p>
    <w:p w:rsidR="0097367D">
      <w:pPr>
        <w:pStyle w:val="NormalIndent"/>
        <w:rPr>
          <w:rFonts w:ascii="宋体" w:hAnsi="Calibri" w:cs="宋体"/>
          <w:lang w:eastAsia="zh-CN"/>
        </w:rPr>
      </w:pPr>
    </w:p>
    <w:p w:rsidR="0097367D">
      <w:pPr>
        <w:pStyle w:val="NormalIndent"/>
        <w:rPr>
          <w:rFonts w:ascii="宋体" w:hAnsi="Calibri" w:cs="宋体"/>
          <w:lang w:eastAsia="zh-CN"/>
        </w:rPr>
      </w:pPr>
    </w:p>
    <w:p w:rsidR="0097367D">
      <w:pPr>
        <w:pStyle w:val="NormalIndent"/>
        <w:rPr>
          <w:rFonts w:ascii="宋体" w:hAnsi="Calibri" w:cs="宋体"/>
          <w:lang w:eastAsia="zh-CN"/>
        </w:rPr>
      </w:pPr>
    </w:p>
    <w:p w:rsidR="0097367D">
      <w:pPr>
        <w:pStyle w:val="NormalIndent"/>
        <w:rPr>
          <w:rFonts w:ascii="宋体" w:hAnsi="Calibri" w:cs="宋体"/>
          <w:lang w:eastAsia="zh-CN"/>
        </w:rPr>
      </w:pPr>
    </w:p>
    <w:p w:rsidR="0097367D">
      <w:pPr>
        <w:pStyle w:val="NormalIndent"/>
        <w:rPr>
          <w:rFonts w:ascii="宋体" w:hAnsi="Calibri" w:cs="宋体"/>
          <w:lang w:eastAsia="zh-CN"/>
        </w:rPr>
      </w:pPr>
    </w:p>
    <w:p w:rsidR="0097367D">
      <w:pPr>
        <w:pStyle w:val="NormalIndent"/>
        <w:rPr>
          <w:rFonts w:ascii="宋体" w:hAnsi="Calibri" w:cs="宋体"/>
          <w:lang w:eastAsia="zh-CN"/>
        </w:rPr>
      </w:pPr>
    </w:p>
    <w:p w:rsidR="0097367D">
      <w:pPr>
        <w:pStyle w:val="NormalIndent"/>
        <w:rPr>
          <w:rFonts w:ascii="宋体" w:hAnsi="Calibri" w:cs="宋体"/>
          <w:lang w:eastAsia="zh-CN"/>
        </w:rPr>
      </w:pPr>
    </w:p>
    <w:p w:rsidR="0097367D">
      <w:pPr>
        <w:pStyle w:val="NormalIndent"/>
        <w:rPr>
          <w:rFonts w:ascii="宋体" w:hAnsi="Calibri" w:cs="宋体"/>
          <w:lang w:eastAsia="zh-CN"/>
        </w:rPr>
      </w:pPr>
    </w:p>
    <w:p w:rsidR="0097367D">
      <w:pPr>
        <w:pStyle w:val="NormalIndent"/>
        <w:rPr>
          <w:rFonts w:ascii="宋体" w:hAnsi="Calibri" w:cs="宋体"/>
          <w:lang w:eastAsia="zh-CN"/>
        </w:rPr>
      </w:pPr>
    </w:p>
    <w:p w:rsidR="0097367D">
      <w:pPr>
        <w:widowControl/>
        <w:jc w:val="left"/>
        <w:rPr>
          <w:rFonts w:ascii="宋体" w:hAnsi="Calibri" w:cs="宋体"/>
          <w:sz w:val="30"/>
          <w:szCs w:val="32"/>
          <w:lang w:eastAsia="zh-CN"/>
        </w:rPr>
      </w:pPr>
      <w:r>
        <w:rPr>
          <w:rFonts w:ascii="宋体" w:hAnsi="Calibri" w:cs="宋体"/>
          <w:sz w:val="30"/>
          <w:highlight w:val="white"/>
          <w:lang w:eastAsia="zh-CN"/>
        </w:rPr>
        <w:br w:type="page"/>
      </w:r>
    </w:p>
    <w:p w:rsidR="0097367D">
      <w:pPr>
        <w:pStyle w:val="Heading1"/>
        <w:spacing w:before="317" w:after="317" w:line="360" w:lineRule="auto"/>
        <w:ind w:firstLine="600"/>
        <w:rPr>
          <w:rFonts w:ascii="宋体" w:eastAsia="宋体" w:hAnsi="Calibri" w:cs="宋体"/>
          <w:bCs/>
          <w:sz w:val="30"/>
          <w:szCs w:val="30"/>
          <w:lang w:eastAsia="zh-CN"/>
        </w:rPr>
      </w:pPr>
      <w:bookmarkStart w:id="1867" w:name="_Toc129511548"/>
      <w:r>
        <w:rPr>
          <w:rFonts w:ascii="宋体" w:eastAsia="宋体" w:hAnsi="Calibri" w:cs="宋体" w:hint="eastAsia"/>
          <w:sz w:val="30"/>
          <w:szCs w:val="30"/>
          <w:highlight w:val="white"/>
          <w:lang w:eastAsia="zh-CN"/>
        </w:rPr>
        <w:t>第二</w:t>
      </w:r>
      <w:bookmarkStart w:id="1868" w:name="_Toc332373593"/>
      <w:r>
        <w:rPr>
          <w:rFonts w:ascii="宋体" w:eastAsia="宋体" w:hAnsi="Calibri" w:cs="宋体" w:hint="eastAsia"/>
          <w:sz w:val="30"/>
          <w:szCs w:val="30"/>
          <w:highlight w:val="white"/>
          <w:lang w:eastAsia="zh-CN"/>
        </w:rPr>
        <w:t>十</w:t>
      </w:r>
      <w:r>
        <w:rPr>
          <w:rFonts w:ascii="宋体" w:eastAsia="宋体" w:hAnsi="Calibri" w:cs="宋体"/>
          <w:sz w:val="30"/>
          <w:szCs w:val="30"/>
          <w:highlight w:val="white"/>
          <w:lang w:eastAsia="zh-CN"/>
        </w:rPr>
        <w:t>六</w:t>
      </w:r>
      <w:r>
        <w:rPr>
          <w:rFonts w:ascii="宋体" w:eastAsia="宋体" w:hAnsi="Calibri" w:cs="宋体" w:hint="eastAsia"/>
          <w:sz w:val="30"/>
          <w:szCs w:val="30"/>
          <w:highlight w:val="white"/>
          <w:lang w:eastAsia="zh-CN"/>
        </w:rPr>
        <w:t>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招募说明书的存放及查阅方式</w:t>
      </w:r>
      <w:bookmarkEnd w:id="1867"/>
      <w:bookmarkEnd w:id="1868"/>
    </w:p>
    <w:p w:rsidR="0097367D">
      <w:pPr>
        <w:spacing w:line="360" w:lineRule="auto"/>
        <w:ind w:firstLine="420"/>
        <w:rPr>
          <w:rFonts w:ascii="宋体" w:hAnsi="Calibri" w:cs="宋体"/>
          <w:lang w:eastAsia="zh-CN"/>
        </w:rPr>
      </w:pPr>
      <w:r>
        <w:rPr>
          <w:rFonts w:ascii="宋体" w:hAnsi="Calibri" w:cs="宋体" w:hint="eastAsia"/>
          <w:highlight w:val="white"/>
          <w:lang w:eastAsia="zh-CN"/>
        </w:rPr>
        <w:t>本招募说明书存放在基金管理人、基金托管人及其他基金销售机构处，投资者可在营业时间免费查阅，也可按工本费购买复印件。</w:t>
      </w:r>
    </w:p>
    <w:p w:rsidR="0097367D">
      <w:pPr>
        <w:spacing w:line="360" w:lineRule="auto"/>
        <w:ind w:firstLine="420"/>
        <w:rPr>
          <w:rFonts w:ascii="宋体" w:hAnsi="Calibri" w:cs="宋体"/>
          <w:lang w:eastAsia="zh-CN"/>
        </w:rPr>
      </w:pPr>
      <w:r>
        <w:rPr>
          <w:rFonts w:ascii="宋体" w:hAnsi="Calibri" w:cs="宋体" w:hint="eastAsia"/>
          <w:highlight w:val="white"/>
          <w:lang w:eastAsia="zh-CN"/>
        </w:rPr>
        <w:t>基金管理人和基金托管人保证文本的内容与公告的内容完全一致。</w:t>
      </w:r>
    </w:p>
    <w:p w:rsidR="0097367D">
      <w:pPr>
        <w:pStyle w:val="Heading1"/>
        <w:spacing w:before="317" w:after="317" w:line="360" w:lineRule="auto"/>
        <w:ind w:firstLine="600"/>
        <w:rPr>
          <w:rFonts w:ascii="宋体" w:eastAsia="宋体" w:hAnsi="Calibri" w:cs="宋体"/>
          <w:bCs/>
          <w:sz w:val="30"/>
          <w:szCs w:val="30"/>
          <w:lang w:eastAsia="zh-CN"/>
        </w:rPr>
      </w:pPr>
      <w:r>
        <w:rPr>
          <w:rFonts w:ascii="宋体" w:eastAsia="宋体" w:hAnsi="Calibri" w:cs="宋体"/>
          <w:sz w:val="30"/>
          <w:highlight w:val="white"/>
          <w:lang w:eastAsia="zh-CN"/>
        </w:rPr>
        <w:br w:type="column"/>
      </w:r>
      <w:bookmarkStart w:id="1869" w:name="_Toc129511549"/>
      <w:r>
        <w:rPr>
          <w:rFonts w:ascii="宋体" w:eastAsia="宋体" w:hAnsi="Calibri" w:cs="宋体"/>
          <w:sz w:val="30"/>
          <w:szCs w:val="30"/>
          <w:highlight w:val="white"/>
          <w:lang w:eastAsia="zh-CN"/>
        </w:rPr>
        <w:t>第</w:t>
      </w:r>
      <w:r>
        <w:rPr>
          <w:rFonts w:ascii="宋体" w:eastAsia="宋体" w:hAnsi="Calibri" w:cs="宋体" w:hint="eastAsia"/>
          <w:sz w:val="30"/>
          <w:szCs w:val="30"/>
          <w:highlight w:val="white"/>
          <w:lang w:eastAsia="zh-CN"/>
        </w:rPr>
        <w:t>二</w:t>
      </w:r>
      <w:bookmarkStart w:id="1870" w:name="_Toc332373594"/>
      <w:r>
        <w:rPr>
          <w:rFonts w:ascii="宋体" w:eastAsia="宋体" w:hAnsi="Calibri" w:cs="宋体" w:hint="eastAsia"/>
          <w:sz w:val="30"/>
          <w:szCs w:val="30"/>
          <w:highlight w:val="white"/>
          <w:lang w:eastAsia="zh-CN"/>
        </w:rPr>
        <w:t>十七部分</w:t>
      </w:r>
      <w:r>
        <w:rPr>
          <w:rFonts w:ascii="宋体" w:eastAsia="宋体" w:hAnsi="Calibri" w:cs="宋体"/>
          <w:sz w:val="30"/>
          <w:szCs w:val="30"/>
          <w:highlight w:val="white"/>
          <w:lang w:eastAsia="zh-CN"/>
        </w:rPr>
        <w:t xml:space="preserve"> </w:t>
      </w:r>
      <w:r>
        <w:rPr>
          <w:rFonts w:ascii="宋体" w:eastAsia="宋体" w:hAnsi="Calibri" w:cs="宋体" w:hint="eastAsia"/>
          <w:sz w:val="30"/>
          <w:szCs w:val="30"/>
          <w:highlight w:val="white"/>
          <w:lang w:eastAsia="zh-CN"/>
        </w:rPr>
        <w:t>备查文件</w:t>
      </w:r>
      <w:bookmarkEnd w:id="1869"/>
      <w:bookmarkEnd w:id="1870"/>
    </w:p>
    <w:p w:rsidR="0097367D">
      <w:pPr>
        <w:spacing w:line="360" w:lineRule="auto"/>
        <w:ind w:firstLine="420"/>
        <w:rPr>
          <w:rFonts w:ascii="宋体" w:hAnsi="Calibri" w:cs="宋体"/>
          <w:lang w:eastAsia="zh-CN"/>
        </w:rPr>
      </w:pPr>
      <w:r>
        <w:rPr>
          <w:rFonts w:ascii="宋体" w:hAnsi="Calibri" w:cs="宋体" w:hint="eastAsia"/>
          <w:highlight w:val="white"/>
          <w:lang w:eastAsia="zh-CN"/>
        </w:rPr>
        <w:t>1.中国证监会准予</w:t>
      </w:r>
      <w:r>
        <w:rPr>
          <w:rFonts w:ascii="宋体" w:hAnsi="Calibri" w:cs="宋体" w:hint="eastAsia"/>
          <w:lang w:eastAsia="zh-CN"/>
        </w:rPr>
        <w:t>易方达中证电池主题交易型开放式指数证券投资基金发起式联接基金</w:t>
      </w:r>
      <w:r>
        <w:rPr>
          <w:rFonts w:ascii="宋体" w:hAnsi="Calibri" w:cs="宋体" w:hint="eastAsia"/>
          <w:highlight w:val="white"/>
          <w:lang w:eastAsia="zh-CN"/>
        </w:rPr>
        <w:t>注册的文件；</w:t>
      </w:r>
    </w:p>
    <w:p w:rsidR="0097367D">
      <w:pPr>
        <w:spacing w:line="360" w:lineRule="auto"/>
        <w:ind w:firstLine="420"/>
        <w:rPr>
          <w:rFonts w:ascii="宋体" w:hAnsi="Calibri" w:cs="宋体"/>
          <w:lang w:eastAsia="zh-CN"/>
        </w:rPr>
      </w:pPr>
      <w:r>
        <w:rPr>
          <w:rFonts w:ascii="宋体" w:hAnsi="Calibri" w:cs="宋体" w:hint="eastAsia"/>
          <w:highlight w:val="white"/>
          <w:lang w:eastAsia="zh-CN"/>
        </w:rPr>
        <w:t>2.《</w:t>
      </w:r>
      <w:r>
        <w:rPr>
          <w:rFonts w:ascii="宋体" w:hAnsi="Calibri" w:cs="宋体" w:hint="eastAsia"/>
          <w:lang w:eastAsia="zh-CN"/>
        </w:rPr>
        <w:t>易方达中证电池主题交易型开放式指数证券投资基金发起式联接基金</w:t>
      </w:r>
      <w:r>
        <w:rPr>
          <w:rFonts w:ascii="宋体" w:hAnsi="Calibri" w:cs="宋体" w:hint="eastAsia"/>
          <w:highlight w:val="white"/>
          <w:lang w:eastAsia="zh-CN"/>
        </w:rPr>
        <w:t>基金合同》；</w:t>
      </w:r>
    </w:p>
    <w:p w:rsidR="0097367D">
      <w:pPr>
        <w:spacing w:line="360" w:lineRule="auto"/>
        <w:ind w:firstLine="420"/>
        <w:rPr>
          <w:rFonts w:ascii="宋体" w:hAnsi="Calibri" w:cs="宋体"/>
          <w:lang w:eastAsia="zh-CN"/>
        </w:rPr>
      </w:pPr>
      <w:r>
        <w:rPr>
          <w:rFonts w:ascii="宋体" w:hAnsi="Calibri" w:cs="宋体" w:hint="eastAsia"/>
          <w:highlight w:val="white"/>
          <w:lang w:eastAsia="zh-CN"/>
        </w:rPr>
        <w:t>3.《</w:t>
      </w:r>
      <w:r>
        <w:rPr>
          <w:rFonts w:ascii="宋体" w:hAnsi="Calibri" w:cs="宋体" w:hint="eastAsia"/>
          <w:lang w:eastAsia="zh-CN"/>
        </w:rPr>
        <w:t>易方达中证电池主题交易型开放式指数证券投资基金发起式联接基金</w:t>
      </w:r>
      <w:r>
        <w:rPr>
          <w:rFonts w:ascii="宋体" w:hAnsi="Calibri" w:cs="宋体" w:hint="eastAsia"/>
          <w:highlight w:val="white"/>
          <w:lang w:eastAsia="zh-CN"/>
        </w:rPr>
        <w:t>托管协议》；</w:t>
      </w:r>
    </w:p>
    <w:p w:rsidR="0097367D">
      <w:pPr>
        <w:spacing w:line="360" w:lineRule="auto"/>
        <w:ind w:firstLine="420"/>
        <w:rPr>
          <w:rFonts w:ascii="宋体" w:hAnsi="Calibri" w:cs="宋体"/>
          <w:lang w:eastAsia="zh-CN"/>
        </w:rPr>
      </w:pPr>
      <w:r>
        <w:rPr>
          <w:rFonts w:ascii="宋体" w:hAnsi="Calibri" w:cs="宋体" w:hint="eastAsia"/>
          <w:highlight w:val="white"/>
          <w:lang w:eastAsia="zh-CN"/>
        </w:rPr>
        <w:t>4.《易方达基金管理有限公司开放式基金业务规则》；</w:t>
      </w:r>
    </w:p>
    <w:p w:rsidR="0097367D">
      <w:pPr>
        <w:spacing w:line="360" w:lineRule="auto"/>
        <w:ind w:firstLine="420"/>
        <w:rPr>
          <w:rFonts w:ascii="宋体" w:hAnsi="Calibri" w:cs="宋体"/>
          <w:lang w:eastAsia="zh-CN"/>
        </w:rPr>
      </w:pPr>
      <w:r>
        <w:rPr>
          <w:rFonts w:ascii="宋体" w:hAnsi="Calibri" w:cs="宋体" w:hint="eastAsia"/>
          <w:highlight w:val="white"/>
          <w:lang w:eastAsia="zh-CN"/>
        </w:rPr>
        <w:t>5.法律意见书；</w:t>
      </w:r>
    </w:p>
    <w:p w:rsidR="0097367D">
      <w:pPr>
        <w:spacing w:line="360" w:lineRule="auto"/>
        <w:ind w:firstLine="420"/>
        <w:rPr>
          <w:rFonts w:ascii="宋体" w:hAnsi="Calibri" w:cs="宋体"/>
          <w:lang w:eastAsia="zh-CN"/>
        </w:rPr>
      </w:pPr>
      <w:r>
        <w:rPr>
          <w:rFonts w:ascii="宋体" w:hAnsi="Calibri" w:cs="宋体" w:hint="eastAsia"/>
          <w:highlight w:val="white"/>
          <w:lang w:eastAsia="zh-CN"/>
        </w:rPr>
        <w:t>6.基金管理人业务资格批件、营业执照；</w:t>
      </w:r>
    </w:p>
    <w:p w:rsidR="0097367D">
      <w:pPr>
        <w:spacing w:line="360" w:lineRule="auto"/>
        <w:ind w:firstLine="420"/>
        <w:rPr>
          <w:rFonts w:ascii="宋体" w:hAnsi="Calibri" w:cs="宋体"/>
          <w:lang w:eastAsia="zh-CN"/>
        </w:rPr>
      </w:pPr>
      <w:r>
        <w:rPr>
          <w:rFonts w:ascii="宋体" w:hAnsi="Calibri" w:cs="宋体" w:hint="eastAsia"/>
          <w:highlight w:val="white"/>
          <w:lang w:eastAsia="zh-CN"/>
        </w:rPr>
        <w:t>7.基金托管人业务资格批件、营业执照。</w:t>
      </w:r>
    </w:p>
    <w:p w:rsidR="0097367D">
      <w:pPr>
        <w:spacing w:line="360" w:lineRule="auto"/>
        <w:ind w:firstLine="420"/>
        <w:rPr>
          <w:rFonts w:ascii="宋体" w:hAnsi="Calibri" w:cs="宋体"/>
          <w:lang w:eastAsia="zh-CN"/>
        </w:rPr>
      </w:pPr>
      <w:r>
        <w:rPr>
          <w:rFonts w:ascii="宋体" w:hAnsi="Calibri" w:cs="宋体" w:hint="eastAsia"/>
          <w:highlight w:val="white"/>
          <w:lang w:eastAsia="zh-CN"/>
        </w:rPr>
        <w:t>存放地点：基金管理人、基金托管人处</w:t>
      </w:r>
    </w:p>
    <w:p w:rsidR="0097367D">
      <w:pPr>
        <w:pStyle w:val="PlainText"/>
        <w:spacing w:line="360" w:lineRule="auto"/>
        <w:ind w:firstLine="420"/>
        <w:rPr>
          <w:rFonts w:hAnsi="Calibri" w:cs="宋体"/>
          <w:sz w:val="21"/>
          <w:lang w:eastAsia="zh-CN"/>
        </w:rPr>
      </w:pPr>
      <w:r>
        <w:rPr>
          <w:rFonts w:hAnsi="Calibri" w:cs="宋体" w:hint="eastAsia"/>
          <w:sz w:val="21"/>
          <w:highlight w:val="white"/>
          <w:lang w:eastAsia="zh-CN"/>
        </w:rPr>
        <w:t>查阅方式：投资者可在营业时间免费查阅，也可按工本费购买复印件。</w:t>
      </w:r>
    </w:p>
    <w:p w:rsidR="0097367D">
      <w:pPr>
        <w:pStyle w:val="PlainText"/>
        <w:spacing w:line="360" w:lineRule="auto"/>
        <w:ind w:firstLine="420"/>
        <w:rPr>
          <w:rFonts w:hAnsi="Calibri" w:cs="宋体"/>
          <w:sz w:val="21"/>
          <w:lang w:eastAsia="zh-CN"/>
        </w:rPr>
      </w:pPr>
    </w:p>
    <w:p w:rsidR="0097367D">
      <w:pPr>
        <w:pStyle w:val="PlainText"/>
        <w:spacing w:line="360" w:lineRule="auto"/>
        <w:ind w:firstLine="420"/>
        <w:rPr>
          <w:rFonts w:hAnsi="Calibri" w:cs="宋体"/>
          <w:sz w:val="21"/>
          <w:lang w:eastAsia="zh-CN"/>
        </w:rPr>
      </w:pPr>
    </w:p>
    <w:p w:rsidR="0097367D">
      <w:pPr>
        <w:snapToGrid w:val="0"/>
        <w:spacing w:line="360" w:lineRule="auto"/>
        <w:ind w:firstLine="420"/>
        <w:jc w:val="right"/>
        <w:rPr>
          <w:rFonts w:ascii="宋体" w:hAnsi="Calibri" w:cs="宋体"/>
          <w:szCs w:val="21"/>
          <w:lang w:eastAsia="zh-CN"/>
        </w:rPr>
      </w:pPr>
      <w:r>
        <w:rPr>
          <w:rFonts w:ascii="宋体" w:hAnsi="Calibri" w:cs="宋体" w:hint="eastAsia"/>
          <w:szCs w:val="21"/>
          <w:highlight w:val="white"/>
          <w:lang w:eastAsia="zh-CN"/>
        </w:rPr>
        <w:t>易方达基金管理有限公司</w:t>
      </w:r>
    </w:p>
    <w:p w:rsidR="0097367D">
      <w:pPr>
        <w:jc w:val="right"/>
        <w:rPr>
          <w:rFonts w:ascii="宋体" w:hAnsi="Calibri"/>
          <w:szCs w:val="21"/>
        </w:rPr>
      </w:pPr>
      <w:r w:rsidR="00301325">
        <w:rPr>
          <w:rFonts w:ascii="宋体" w:hAnsi="Calibri"/>
          <w:color w:val="000000"/>
          <w:szCs w:val="21"/>
          <w:highlight w:val="white"/>
        </w:rPr>
        <w:t>202</w:t>
      </w:r>
      <w:r w:rsidR="00301325">
        <w:rPr>
          <w:rFonts w:ascii="宋体" w:hAnsi="Calibri" w:cs="Calibri"/>
          <w:color w:val="000000"/>
          <w:szCs w:val="21"/>
          <w:highlight w:val="white"/>
        </w:rPr>
        <w:t>6</w:t>
      </w:r>
      <w:r>
        <w:rPr>
          <w:rFonts w:ascii="宋体" w:hAnsi="Calibri" w:cs="宋体"/>
          <w:color w:val="000000"/>
          <w:szCs w:val="21"/>
          <w:highlight w:val="white"/>
        </w:rPr>
        <w:t>年</w:t>
      </w:r>
      <w:r w:rsidR="00B657D7">
        <w:rPr>
          <w:rFonts w:ascii="宋体" w:hAnsi="Calibri" w:cs="Calibri"/>
          <w:color w:val="000000"/>
          <w:szCs w:val="21"/>
          <w:highlight w:val="white"/>
        </w:rPr>
        <w:t>5</w:t>
      </w:r>
      <w:r>
        <w:rPr>
          <w:rFonts w:ascii="宋体" w:hAnsi="Calibri" w:cs="宋体"/>
          <w:color w:val="000000"/>
          <w:szCs w:val="21"/>
          <w:highlight w:val="white"/>
        </w:rPr>
        <w:t>月</w:t>
      </w:r>
      <w:r w:rsidR="00B657D7">
        <w:rPr>
          <w:rFonts w:ascii="宋体" w:hAnsi="Calibri" w:cs="Calibri"/>
          <w:color w:val="000000"/>
          <w:szCs w:val="21"/>
          <w:highlight w:val="white"/>
        </w:rPr>
        <w:t>15</w:t>
      </w:r>
      <w:r>
        <w:rPr>
          <w:rFonts w:ascii="宋体" w:hAnsi="Calibri" w:cs="宋体"/>
          <w:color w:val="000000"/>
          <w:szCs w:val="21"/>
          <w:highlight w:val="white"/>
        </w:rPr>
        <w:t>日</w:t>
      </w:r>
    </w:p>
    <w:p w:rsidR="0097367D">
      <w:pPr>
        <w:spacing w:line="360" w:lineRule="auto"/>
        <w:ind w:right="420" w:firstLine="420"/>
        <w:jc w:val="right"/>
        <w:rPr>
          <w:rFonts w:ascii="宋体" w:hAnsi="Calibri" w:cs="宋体"/>
        </w:rPr>
      </w:pPr>
    </w:p>
    <w:p w:rsidR="0097367D">
      <w:pPr>
        <w:snapToGrid w:val="0"/>
        <w:spacing w:line="360" w:lineRule="auto"/>
        <w:ind w:right="210" w:firstLine="420"/>
        <w:jc w:val="right"/>
        <w:rPr>
          <w:rFonts w:ascii="宋体" w:hAnsi="Calibri" w:cs="宋体"/>
          <w:szCs w:val="21"/>
        </w:rPr>
      </w:pPr>
    </w:p>
    <w:p w:rsidR="0097367D">
      <w:pPr>
        <w:pStyle w:val="PlainText"/>
        <w:spacing w:line="400" w:lineRule="exact"/>
        <w:ind w:firstLine="480"/>
        <w:rPr>
          <w:rFonts w:hAnsi="Calibri" w:cs="宋体"/>
          <w:bCs/>
          <w:sz w:val="20"/>
          <w:szCs w:val="20"/>
        </w:rPr>
      </w:pPr>
    </w:p>
    <w:p w:rsidR="0097367D">
      <w:pPr>
        <w:pStyle w:val="PlainText"/>
        <w:spacing w:line="400" w:lineRule="exact"/>
        <w:ind w:firstLine="420"/>
        <w:jc w:val="right"/>
        <w:rPr>
          <w:rFonts w:hAnsi="Calibri" w:cs="宋体"/>
          <w:sz w:val="21"/>
        </w:rPr>
      </w:pPr>
    </w:p>
    <w:p w:rsidR="0097367D">
      <w:pPr>
        <w:rPr>
          <w:rFonts w:ascii="宋体" w:hAnsi="Calibri" w:cs="宋体"/>
        </w:rPr>
      </w:pPr>
      <w:bookmarkStart w:id="1871" w:name="_Toc38443230"/>
      <w:bookmarkStart w:id="1872" w:name="_Toc38443561"/>
      <w:bookmarkStart w:id="1873" w:name="_Toc38443891"/>
      <w:bookmarkStart w:id="1874" w:name="_Toc38438359"/>
      <w:bookmarkStart w:id="1875" w:name="_Toc38438696"/>
      <w:bookmarkStart w:id="1876" w:name="_Toc38439033"/>
      <w:bookmarkStart w:id="1877" w:name="_Toc38439370"/>
      <w:bookmarkStart w:id="1878" w:name="_Toc38439707"/>
      <w:bookmarkStart w:id="1879" w:name="_Toc38440044"/>
      <w:bookmarkStart w:id="1880" w:name="_Toc38440381"/>
      <w:bookmarkStart w:id="1881" w:name="_Toc38440913"/>
      <w:bookmarkStart w:id="1882" w:name="_Toc38441245"/>
      <w:bookmarkStart w:id="1883" w:name="_Toc38441577"/>
      <w:bookmarkStart w:id="1884" w:name="_Toc38441905"/>
      <w:bookmarkStart w:id="1885" w:name="_Toc38442237"/>
      <w:bookmarkStart w:id="1886" w:name="_Toc38442569"/>
      <w:bookmarkStart w:id="1887" w:name="_Toc38442900"/>
      <w:bookmarkStart w:id="1888" w:name="_Toc38443231"/>
      <w:bookmarkStart w:id="1889" w:name="_Toc38443562"/>
      <w:bookmarkStart w:id="1890" w:name="_Toc38443892"/>
      <w:bookmarkStart w:id="1891" w:name="_Toc38438360"/>
      <w:bookmarkStart w:id="1892" w:name="_Toc38438697"/>
      <w:bookmarkStart w:id="1893" w:name="_Toc38439034"/>
      <w:bookmarkStart w:id="1894" w:name="_Toc38439371"/>
      <w:bookmarkStart w:id="1895" w:name="_Toc38439708"/>
      <w:bookmarkStart w:id="1896" w:name="_Toc38440045"/>
      <w:bookmarkStart w:id="1897" w:name="_Toc38440382"/>
      <w:bookmarkStart w:id="1898" w:name="_Toc38440914"/>
      <w:bookmarkStart w:id="1899" w:name="_Toc38441246"/>
      <w:bookmarkStart w:id="1900" w:name="_Toc38441578"/>
      <w:bookmarkStart w:id="1901" w:name="_Toc38441906"/>
      <w:bookmarkStart w:id="1902" w:name="_Toc38442238"/>
      <w:bookmarkStart w:id="1903" w:name="_Toc38442570"/>
      <w:bookmarkStart w:id="1904" w:name="_Toc38442901"/>
      <w:bookmarkStart w:id="1905" w:name="_Toc38443232"/>
      <w:bookmarkStart w:id="1906" w:name="_Toc38443563"/>
      <w:bookmarkStart w:id="1907" w:name="_Toc38443893"/>
      <w:bookmarkStart w:id="1908" w:name="_Toc38438361"/>
      <w:bookmarkStart w:id="1909" w:name="_Toc38438698"/>
      <w:bookmarkStart w:id="1910" w:name="_Toc38439035"/>
      <w:bookmarkStart w:id="1911" w:name="_Toc38439372"/>
      <w:bookmarkStart w:id="1912" w:name="_Toc38439709"/>
      <w:bookmarkStart w:id="1913" w:name="_Toc38440046"/>
      <w:bookmarkStart w:id="1914" w:name="_Toc38440383"/>
      <w:bookmarkStart w:id="1915" w:name="_Toc38440915"/>
      <w:bookmarkStart w:id="1916" w:name="_Toc38441247"/>
      <w:bookmarkStart w:id="1917" w:name="_Toc38441579"/>
      <w:bookmarkStart w:id="1918" w:name="_Toc38441907"/>
      <w:bookmarkStart w:id="1919" w:name="_Toc38442239"/>
      <w:bookmarkStart w:id="1920" w:name="_Toc38442571"/>
      <w:bookmarkStart w:id="1921" w:name="_Toc38442902"/>
      <w:bookmarkStart w:id="1922" w:name="_Toc38443233"/>
      <w:bookmarkStart w:id="1923" w:name="_Toc38443564"/>
      <w:bookmarkStart w:id="1924" w:name="_Toc38443894"/>
      <w:bookmarkStart w:id="1925" w:name="_Toc38438362"/>
      <w:bookmarkStart w:id="1926" w:name="_Toc38438699"/>
      <w:bookmarkStart w:id="1927" w:name="_Toc38439036"/>
      <w:bookmarkStart w:id="1928" w:name="_Toc38439373"/>
      <w:bookmarkStart w:id="1929" w:name="_Toc38439710"/>
      <w:bookmarkStart w:id="1930" w:name="_Toc38440047"/>
      <w:bookmarkStart w:id="1931" w:name="_Toc38440384"/>
      <w:bookmarkStart w:id="1932" w:name="_Toc38440916"/>
      <w:bookmarkStart w:id="1933" w:name="_Toc38441248"/>
      <w:bookmarkStart w:id="1934" w:name="_Toc38441580"/>
      <w:bookmarkStart w:id="1935" w:name="_Toc38441908"/>
      <w:bookmarkStart w:id="1936" w:name="_Toc38442240"/>
      <w:bookmarkStart w:id="1937" w:name="_Toc38442572"/>
      <w:bookmarkStart w:id="1938" w:name="_Toc38442903"/>
      <w:bookmarkStart w:id="1939" w:name="_Toc38443234"/>
      <w:bookmarkStart w:id="1940" w:name="_Toc38443565"/>
      <w:bookmarkStart w:id="1941" w:name="_Toc38443895"/>
      <w:bookmarkStart w:id="1942" w:name="_Toc38438363"/>
      <w:bookmarkStart w:id="1943" w:name="_Toc38438700"/>
      <w:bookmarkStart w:id="1944" w:name="_Toc38439037"/>
      <w:bookmarkStart w:id="1945" w:name="_Toc38439374"/>
      <w:bookmarkStart w:id="1946" w:name="_Toc38439711"/>
      <w:bookmarkStart w:id="1947" w:name="_Toc38440048"/>
      <w:bookmarkStart w:id="1948" w:name="_Toc38440385"/>
      <w:bookmarkStart w:id="1949" w:name="_Toc38440917"/>
      <w:bookmarkStart w:id="1950" w:name="_Toc38441249"/>
      <w:bookmarkStart w:id="1951" w:name="_Toc38441581"/>
      <w:bookmarkStart w:id="1952" w:name="_Toc38441909"/>
      <w:bookmarkStart w:id="1953" w:name="_Toc38442241"/>
      <w:bookmarkStart w:id="1954" w:name="_Toc38442573"/>
      <w:bookmarkStart w:id="1955" w:name="_Toc38442904"/>
      <w:bookmarkStart w:id="1956" w:name="_Toc38443235"/>
      <w:bookmarkStart w:id="1957" w:name="_Toc38443566"/>
      <w:bookmarkStart w:id="1958" w:name="_Toc38443896"/>
      <w:bookmarkStart w:id="1959" w:name="_Toc38438364"/>
      <w:bookmarkStart w:id="1960" w:name="_Toc38438701"/>
      <w:bookmarkStart w:id="1961" w:name="_Toc38439038"/>
      <w:bookmarkStart w:id="1962" w:name="_Toc38439375"/>
      <w:bookmarkStart w:id="1963" w:name="_Toc38439712"/>
      <w:bookmarkStart w:id="1964" w:name="_Toc38440049"/>
      <w:bookmarkStart w:id="1965" w:name="_Toc38440386"/>
      <w:bookmarkStart w:id="1966" w:name="_Toc38440918"/>
      <w:bookmarkStart w:id="1967" w:name="_Toc38441250"/>
      <w:bookmarkStart w:id="1968" w:name="_Toc38441582"/>
      <w:bookmarkStart w:id="1969" w:name="_Toc38441910"/>
      <w:bookmarkStart w:id="1970" w:name="_Toc38442242"/>
      <w:bookmarkStart w:id="1971" w:name="_Toc38442574"/>
      <w:bookmarkStart w:id="1972" w:name="_Toc38442905"/>
      <w:bookmarkStart w:id="1973" w:name="_Toc38443236"/>
      <w:bookmarkStart w:id="1974" w:name="_Toc38443567"/>
      <w:bookmarkStart w:id="1975" w:name="_Toc38443897"/>
      <w:bookmarkStart w:id="1976" w:name="_Toc38438365"/>
      <w:bookmarkStart w:id="1977" w:name="_Toc38438702"/>
      <w:bookmarkStart w:id="1978" w:name="_Toc38439039"/>
      <w:bookmarkStart w:id="1979" w:name="_Toc38439376"/>
      <w:bookmarkStart w:id="1980" w:name="_Toc38439713"/>
      <w:bookmarkStart w:id="1981" w:name="_Toc38440050"/>
      <w:bookmarkStart w:id="1982" w:name="_Toc38440387"/>
      <w:bookmarkStart w:id="1983" w:name="_Toc38440919"/>
      <w:bookmarkStart w:id="1984" w:name="_Toc38441251"/>
      <w:bookmarkStart w:id="1985" w:name="_Toc38441583"/>
      <w:bookmarkStart w:id="1986" w:name="_Toc38441911"/>
      <w:bookmarkStart w:id="1987" w:name="_Toc38442243"/>
      <w:bookmarkStart w:id="1988" w:name="_Toc38442575"/>
      <w:bookmarkStart w:id="1989" w:name="_Toc38442906"/>
      <w:bookmarkStart w:id="1990" w:name="_Toc38443237"/>
      <w:bookmarkStart w:id="1991" w:name="_Toc38443568"/>
      <w:bookmarkStart w:id="1992" w:name="_Toc38443898"/>
      <w:bookmarkStart w:id="1993" w:name="_Toc38438366"/>
      <w:bookmarkStart w:id="1994" w:name="_Toc38438703"/>
      <w:bookmarkStart w:id="1995" w:name="_Toc38439040"/>
      <w:bookmarkStart w:id="1996" w:name="_Toc38439377"/>
      <w:bookmarkStart w:id="1997" w:name="_Toc38439714"/>
      <w:bookmarkStart w:id="1998" w:name="_Toc38440051"/>
      <w:bookmarkStart w:id="1999" w:name="_Toc38440388"/>
      <w:bookmarkStart w:id="2000" w:name="_Toc38440920"/>
      <w:bookmarkStart w:id="2001" w:name="_Toc38441252"/>
      <w:bookmarkStart w:id="2002" w:name="_Toc38441584"/>
      <w:bookmarkStart w:id="2003" w:name="_Toc38441912"/>
      <w:bookmarkStart w:id="2004" w:name="_Toc38442244"/>
      <w:bookmarkStart w:id="2005" w:name="_Toc38442576"/>
      <w:bookmarkStart w:id="2006" w:name="_Toc38442907"/>
      <w:bookmarkStart w:id="2007" w:name="_Toc38443238"/>
      <w:bookmarkStart w:id="2008" w:name="_Toc38443569"/>
      <w:bookmarkStart w:id="2009" w:name="_Toc38443899"/>
      <w:bookmarkStart w:id="2010" w:name="_Toc38438367"/>
      <w:bookmarkStart w:id="2011" w:name="_Toc38438704"/>
      <w:bookmarkStart w:id="2012" w:name="_Toc38439041"/>
      <w:bookmarkStart w:id="2013" w:name="_Toc38439378"/>
      <w:bookmarkStart w:id="2014" w:name="_Toc38439715"/>
      <w:bookmarkStart w:id="2015" w:name="_Toc38440052"/>
      <w:bookmarkStart w:id="2016" w:name="_Toc38440389"/>
      <w:bookmarkStart w:id="2017" w:name="_Toc38440921"/>
      <w:bookmarkStart w:id="2018" w:name="_Toc38441253"/>
      <w:bookmarkStart w:id="2019" w:name="_Toc38441585"/>
      <w:bookmarkStart w:id="2020" w:name="_Toc38441913"/>
      <w:bookmarkStart w:id="2021" w:name="_Toc38442245"/>
      <w:bookmarkStart w:id="2022" w:name="_Toc38442577"/>
      <w:bookmarkStart w:id="2023" w:name="_Toc38442908"/>
      <w:bookmarkStart w:id="2024" w:name="_Toc38443239"/>
      <w:bookmarkStart w:id="2025" w:name="_Toc38443570"/>
      <w:bookmarkStart w:id="2026" w:name="_Toc38443900"/>
      <w:bookmarkStart w:id="2027" w:name="_Toc38438350"/>
      <w:bookmarkStart w:id="2028" w:name="_Toc38438687"/>
      <w:bookmarkStart w:id="2029" w:name="_Toc38439024"/>
      <w:bookmarkStart w:id="2030" w:name="_Toc38439361"/>
      <w:bookmarkStart w:id="2031" w:name="_Toc38439698"/>
      <w:bookmarkStart w:id="2032" w:name="_Toc38440035"/>
      <w:bookmarkStart w:id="2033" w:name="_Toc38440372"/>
      <w:bookmarkStart w:id="2034" w:name="_Toc38440904"/>
      <w:bookmarkStart w:id="2035" w:name="_Toc38441236"/>
      <w:bookmarkStart w:id="2036" w:name="_Toc38441568"/>
      <w:bookmarkStart w:id="2037" w:name="_Toc38441896"/>
      <w:bookmarkStart w:id="2038" w:name="_Toc38442228"/>
      <w:bookmarkStart w:id="2039" w:name="_Toc38442560"/>
      <w:bookmarkStart w:id="2040" w:name="_Toc38442891"/>
      <w:bookmarkStart w:id="2041" w:name="_Toc38443222"/>
      <w:bookmarkStart w:id="2042" w:name="_Toc38443553"/>
      <w:bookmarkStart w:id="2043" w:name="_Toc38443883"/>
      <w:bookmarkStart w:id="2044" w:name="_Toc38438351"/>
      <w:bookmarkStart w:id="2045" w:name="_Toc38438688"/>
      <w:bookmarkStart w:id="2046" w:name="_Toc38439025"/>
      <w:bookmarkStart w:id="2047" w:name="_Toc38439362"/>
      <w:bookmarkStart w:id="2048" w:name="_Toc38439699"/>
      <w:bookmarkStart w:id="2049" w:name="_Toc38440036"/>
      <w:bookmarkStart w:id="2050" w:name="_Toc38440373"/>
      <w:bookmarkStart w:id="2051" w:name="_Toc38440905"/>
      <w:bookmarkStart w:id="2052" w:name="_Toc38441237"/>
      <w:bookmarkStart w:id="2053" w:name="_Toc38441569"/>
      <w:bookmarkStart w:id="2054" w:name="_Toc38441897"/>
      <w:bookmarkStart w:id="2055" w:name="_Toc38442229"/>
      <w:bookmarkStart w:id="2056" w:name="_Toc38442561"/>
      <w:bookmarkStart w:id="2057" w:name="_Toc38442892"/>
      <w:bookmarkStart w:id="2058" w:name="_Toc38443223"/>
      <w:bookmarkStart w:id="2059" w:name="_Toc38443554"/>
      <w:bookmarkStart w:id="2060" w:name="_Toc38443884"/>
      <w:bookmarkStart w:id="2061" w:name="_Toc38438352"/>
      <w:bookmarkStart w:id="2062" w:name="_Toc38438689"/>
      <w:bookmarkStart w:id="2063" w:name="_Toc38439026"/>
      <w:bookmarkStart w:id="2064" w:name="_Toc38439363"/>
      <w:bookmarkStart w:id="2065" w:name="_Toc38439700"/>
      <w:bookmarkStart w:id="2066" w:name="_Toc38440037"/>
      <w:bookmarkStart w:id="2067" w:name="_Toc38440374"/>
      <w:bookmarkStart w:id="2068" w:name="_Toc38440906"/>
      <w:bookmarkStart w:id="2069" w:name="_Toc38441238"/>
      <w:bookmarkStart w:id="2070" w:name="_Toc38441570"/>
      <w:bookmarkStart w:id="2071" w:name="_Toc38441898"/>
      <w:bookmarkStart w:id="2072" w:name="_Toc38442230"/>
      <w:bookmarkStart w:id="2073" w:name="_Toc38442562"/>
      <w:bookmarkStart w:id="2074" w:name="_Toc38442893"/>
      <w:bookmarkStart w:id="2075" w:name="_Toc38443224"/>
      <w:bookmarkStart w:id="2076" w:name="_Toc38443555"/>
      <w:bookmarkStart w:id="2077" w:name="_Toc38443885"/>
      <w:bookmarkStart w:id="2078" w:name="_Toc38438353"/>
      <w:bookmarkStart w:id="2079" w:name="_Toc38438690"/>
      <w:bookmarkStart w:id="2080" w:name="_Toc38439027"/>
      <w:bookmarkStart w:id="2081" w:name="_Toc38439364"/>
      <w:bookmarkStart w:id="2082" w:name="_Toc38439701"/>
      <w:bookmarkStart w:id="2083" w:name="_Toc38440038"/>
      <w:bookmarkStart w:id="2084" w:name="_Toc38440375"/>
      <w:bookmarkStart w:id="2085" w:name="_Toc38440907"/>
      <w:bookmarkStart w:id="2086" w:name="_Toc38441239"/>
      <w:bookmarkStart w:id="2087" w:name="_Toc38441571"/>
      <w:bookmarkStart w:id="2088" w:name="_Toc38441899"/>
      <w:bookmarkStart w:id="2089" w:name="_Toc38442231"/>
      <w:bookmarkStart w:id="2090" w:name="_Toc38442563"/>
      <w:bookmarkStart w:id="2091" w:name="_Toc38442894"/>
      <w:bookmarkStart w:id="2092" w:name="_Toc38443225"/>
      <w:bookmarkStart w:id="2093" w:name="_Toc38443556"/>
      <w:bookmarkStart w:id="2094" w:name="_Toc38443886"/>
      <w:bookmarkStart w:id="2095" w:name="_Toc38438354"/>
      <w:bookmarkStart w:id="2096" w:name="_Toc38438691"/>
      <w:bookmarkStart w:id="2097" w:name="_Toc38439028"/>
      <w:bookmarkStart w:id="2098" w:name="_Toc38439365"/>
      <w:bookmarkStart w:id="2099" w:name="_Toc38439702"/>
      <w:bookmarkStart w:id="2100" w:name="_Toc38440039"/>
      <w:bookmarkStart w:id="2101" w:name="_Toc38440376"/>
      <w:bookmarkStart w:id="2102" w:name="_Toc38440908"/>
      <w:bookmarkStart w:id="2103" w:name="_Toc38441240"/>
      <w:bookmarkStart w:id="2104" w:name="_Toc38441572"/>
      <w:bookmarkStart w:id="2105" w:name="_Toc38441900"/>
      <w:bookmarkStart w:id="2106" w:name="_Toc38442232"/>
      <w:bookmarkStart w:id="2107" w:name="_Toc38442564"/>
      <w:bookmarkStart w:id="2108" w:name="_Toc38442895"/>
      <w:bookmarkStart w:id="2109" w:name="_Toc38443226"/>
      <w:bookmarkStart w:id="2110" w:name="_Toc38443557"/>
      <w:bookmarkStart w:id="2111" w:name="_Toc38443887"/>
      <w:bookmarkStart w:id="2112" w:name="_Toc38438355"/>
      <w:bookmarkStart w:id="2113" w:name="_Toc38438692"/>
      <w:bookmarkStart w:id="2114" w:name="_Toc38439029"/>
      <w:bookmarkStart w:id="2115" w:name="_Toc38439366"/>
      <w:bookmarkStart w:id="2116" w:name="_Toc38439703"/>
      <w:bookmarkStart w:id="2117" w:name="_Toc38440040"/>
      <w:bookmarkStart w:id="2118" w:name="_Toc38440377"/>
      <w:bookmarkStart w:id="2119" w:name="_Toc38440909"/>
      <w:bookmarkStart w:id="2120" w:name="_Toc38441241"/>
      <w:bookmarkStart w:id="2121" w:name="_Toc38441573"/>
      <w:bookmarkStart w:id="2122" w:name="_Toc38441901"/>
      <w:bookmarkStart w:id="2123" w:name="_Toc38442233"/>
      <w:bookmarkStart w:id="2124" w:name="_Toc38442565"/>
      <w:bookmarkStart w:id="2125" w:name="_Toc38442896"/>
      <w:bookmarkStart w:id="2126" w:name="_Toc38443227"/>
      <w:bookmarkStart w:id="2127" w:name="_Toc38443558"/>
      <w:bookmarkStart w:id="2128" w:name="_Toc38443888"/>
      <w:bookmarkStart w:id="2129" w:name="_Toc38438356"/>
      <w:bookmarkStart w:id="2130" w:name="_Toc38438693"/>
      <w:bookmarkStart w:id="2131" w:name="_Toc38439030"/>
      <w:bookmarkStart w:id="2132" w:name="_Toc38439367"/>
      <w:bookmarkStart w:id="2133" w:name="_Toc38439704"/>
      <w:bookmarkStart w:id="2134" w:name="_Toc38440041"/>
      <w:bookmarkStart w:id="2135" w:name="_Toc38440378"/>
      <w:bookmarkStart w:id="2136" w:name="_Toc38440910"/>
      <w:bookmarkStart w:id="2137" w:name="_Toc38441242"/>
      <w:bookmarkStart w:id="2138" w:name="_Toc38441574"/>
      <w:bookmarkStart w:id="2139" w:name="_Toc38441902"/>
      <w:bookmarkStart w:id="2140" w:name="_Toc38442234"/>
      <w:bookmarkStart w:id="2141" w:name="_Toc38442566"/>
      <w:bookmarkStart w:id="2142" w:name="_Toc38442897"/>
      <w:bookmarkStart w:id="2143" w:name="_Toc38443228"/>
      <w:bookmarkStart w:id="2144" w:name="_Toc38443559"/>
      <w:bookmarkStart w:id="2145" w:name="_Toc38443889"/>
      <w:bookmarkStart w:id="2146" w:name="_Toc38438357"/>
      <w:bookmarkStart w:id="2147" w:name="_Toc38438694"/>
      <w:bookmarkStart w:id="2148" w:name="_Toc38439031"/>
      <w:bookmarkStart w:id="2149" w:name="_Toc38439368"/>
      <w:bookmarkStart w:id="2150" w:name="_Toc38439705"/>
      <w:bookmarkStart w:id="2151" w:name="_Toc38440042"/>
      <w:bookmarkStart w:id="2152" w:name="_Toc38440379"/>
      <w:bookmarkStart w:id="2153" w:name="_Toc38440911"/>
      <w:bookmarkStart w:id="2154" w:name="_Toc38441243"/>
      <w:bookmarkStart w:id="2155" w:name="_Toc38441575"/>
      <w:bookmarkStart w:id="2156" w:name="_Toc38441903"/>
      <w:bookmarkStart w:id="2157" w:name="_Toc38442235"/>
      <w:bookmarkStart w:id="2158" w:name="_Toc38442567"/>
      <w:bookmarkStart w:id="2159" w:name="_Toc38442898"/>
      <w:bookmarkStart w:id="2160" w:name="_Toc38443229"/>
      <w:bookmarkStart w:id="2161" w:name="_Toc38443560"/>
      <w:bookmarkStart w:id="2162" w:name="_Toc38443890"/>
      <w:bookmarkStart w:id="2163" w:name="_Toc38438358"/>
      <w:bookmarkStart w:id="2164" w:name="_Toc38438695"/>
      <w:bookmarkStart w:id="2165" w:name="_Toc38439032"/>
      <w:bookmarkStart w:id="2166" w:name="_Toc38439369"/>
      <w:bookmarkStart w:id="2167" w:name="_Toc38439706"/>
      <w:bookmarkStart w:id="2168" w:name="_Toc38440043"/>
      <w:bookmarkStart w:id="2169" w:name="_Toc38440380"/>
      <w:bookmarkStart w:id="2170" w:name="_Toc38440912"/>
      <w:bookmarkStart w:id="2171" w:name="_Toc38441244"/>
      <w:bookmarkStart w:id="2172" w:name="_Toc38441576"/>
      <w:bookmarkStart w:id="2173" w:name="_Toc38441904"/>
      <w:bookmarkStart w:id="2174" w:name="_Toc38442236"/>
      <w:bookmarkStart w:id="2175" w:name="_Toc38442568"/>
      <w:bookmarkStart w:id="2176" w:name="_Toc38442899"/>
      <w:bookmarkStart w:id="2177" w:name="_Toc38438368"/>
      <w:bookmarkStart w:id="2178" w:name="_Toc38438705"/>
      <w:bookmarkStart w:id="2179" w:name="_Toc38439042"/>
      <w:bookmarkStart w:id="2180" w:name="_Toc38439379"/>
      <w:bookmarkStart w:id="2181" w:name="_Toc38439716"/>
      <w:bookmarkStart w:id="2182" w:name="_Toc38440053"/>
      <w:bookmarkStart w:id="2183" w:name="_Toc38440390"/>
      <w:bookmarkStart w:id="2184" w:name="_Toc38440922"/>
      <w:bookmarkStart w:id="2185" w:name="_Toc38441254"/>
      <w:bookmarkStart w:id="2186" w:name="_Toc38441586"/>
      <w:bookmarkStart w:id="2187" w:name="_Toc38441914"/>
      <w:bookmarkStart w:id="2188" w:name="_Toc38442246"/>
      <w:bookmarkStart w:id="2189" w:name="_Toc38442578"/>
      <w:bookmarkStart w:id="2190" w:name="_Toc38442909"/>
      <w:bookmarkStart w:id="2191" w:name="_Toc38443240"/>
      <w:bookmarkStart w:id="2192" w:name="_Toc38443571"/>
      <w:bookmarkStart w:id="2193" w:name="_Toc38443901"/>
      <w:bookmarkStart w:id="2194" w:name="_Toc38438369"/>
      <w:bookmarkStart w:id="2195" w:name="_Toc38438706"/>
      <w:bookmarkStart w:id="2196" w:name="_Toc38439043"/>
      <w:bookmarkStart w:id="2197" w:name="_Toc38439380"/>
      <w:bookmarkStart w:id="2198" w:name="_Toc38439717"/>
      <w:bookmarkStart w:id="2199" w:name="_Toc38440054"/>
      <w:bookmarkStart w:id="2200" w:name="_Toc38440391"/>
      <w:bookmarkStart w:id="2201" w:name="_Toc38440923"/>
      <w:bookmarkStart w:id="2202" w:name="_Toc38441255"/>
      <w:bookmarkStart w:id="2203" w:name="_Toc38441587"/>
      <w:bookmarkStart w:id="2204" w:name="_Toc38441915"/>
      <w:bookmarkStart w:id="2205" w:name="_Toc38442247"/>
      <w:bookmarkStart w:id="2206" w:name="_Toc38442579"/>
      <w:bookmarkStart w:id="2207" w:name="_Toc38442910"/>
      <w:bookmarkStart w:id="2208" w:name="_Toc38443241"/>
      <w:bookmarkStart w:id="2209" w:name="_Toc38443572"/>
      <w:bookmarkStart w:id="2210" w:name="_Toc38443902"/>
      <w:bookmarkStart w:id="2211" w:name="_Toc38438371"/>
      <w:bookmarkStart w:id="2212" w:name="_Toc38438708"/>
      <w:bookmarkStart w:id="2213" w:name="_Toc38439045"/>
      <w:bookmarkStart w:id="2214" w:name="_Toc38439382"/>
      <w:bookmarkStart w:id="2215" w:name="_Toc38439719"/>
      <w:bookmarkStart w:id="2216" w:name="_Toc38440056"/>
      <w:bookmarkStart w:id="2217" w:name="_Toc38440393"/>
      <w:bookmarkStart w:id="2218" w:name="_Toc38440925"/>
      <w:bookmarkStart w:id="2219" w:name="_Toc38441257"/>
      <w:bookmarkStart w:id="2220" w:name="_Toc38441589"/>
      <w:bookmarkStart w:id="2221" w:name="_Toc38441917"/>
      <w:bookmarkStart w:id="2222" w:name="_Toc38442249"/>
      <w:bookmarkStart w:id="2223" w:name="_Toc38442581"/>
      <w:bookmarkStart w:id="2224" w:name="_Toc38442912"/>
      <w:bookmarkStart w:id="2225" w:name="_Toc38443243"/>
      <w:bookmarkStart w:id="2226" w:name="_Toc38443574"/>
      <w:bookmarkStart w:id="2227" w:name="_Toc38443904"/>
      <w:bookmarkStart w:id="2228" w:name="_Toc38438372"/>
      <w:bookmarkStart w:id="2229" w:name="_Toc38438709"/>
      <w:bookmarkStart w:id="2230" w:name="_Toc38439046"/>
      <w:bookmarkStart w:id="2231" w:name="_Toc38439383"/>
      <w:bookmarkStart w:id="2232" w:name="_Toc38439720"/>
      <w:bookmarkStart w:id="2233" w:name="_Toc38440057"/>
      <w:bookmarkStart w:id="2234" w:name="_Toc38440394"/>
      <w:bookmarkStart w:id="2235" w:name="_Toc38440926"/>
      <w:bookmarkStart w:id="2236" w:name="_Toc38441258"/>
      <w:bookmarkStart w:id="2237" w:name="_Toc38441590"/>
      <w:bookmarkStart w:id="2238" w:name="_Toc38441918"/>
      <w:bookmarkStart w:id="2239" w:name="_Toc38442250"/>
      <w:bookmarkStart w:id="2240" w:name="_Toc38442582"/>
      <w:bookmarkStart w:id="2241" w:name="_Toc38442913"/>
      <w:bookmarkStart w:id="2242" w:name="_Toc38443244"/>
      <w:bookmarkStart w:id="2243" w:name="_Toc38443575"/>
      <w:bookmarkStart w:id="2244" w:name="_Toc38443905"/>
      <w:bookmarkStart w:id="2245" w:name="_Toc38438373"/>
      <w:bookmarkStart w:id="2246" w:name="_Toc38438710"/>
      <w:bookmarkStart w:id="2247" w:name="_Toc38439047"/>
      <w:bookmarkStart w:id="2248" w:name="_Toc38439384"/>
      <w:bookmarkStart w:id="2249" w:name="_Toc38439721"/>
      <w:bookmarkStart w:id="2250" w:name="_Toc38440058"/>
      <w:bookmarkStart w:id="2251" w:name="_Toc38440395"/>
      <w:bookmarkStart w:id="2252" w:name="_Toc38440927"/>
      <w:bookmarkStart w:id="2253" w:name="_Toc38441259"/>
      <w:bookmarkStart w:id="2254" w:name="_Toc38441591"/>
      <w:bookmarkStart w:id="2255" w:name="_Toc38441919"/>
      <w:bookmarkStart w:id="2256" w:name="_Toc38442251"/>
      <w:bookmarkStart w:id="2257" w:name="_Toc38442583"/>
      <w:bookmarkStart w:id="2258" w:name="_Toc38442914"/>
      <w:bookmarkStart w:id="2259" w:name="_Toc38443245"/>
      <w:bookmarkStart w:id="2260" w:name="_Toc38443576"/>
      <w:bookmarkStart w:id="2261" w:name="_Toc38443906"/>
      <w:bookmarkStart w:id="2262" w:name="_Toc38438374"/>
      <w:bookmarkStart w:id="2263" w:name="_Toc38438711"/>
      <w:bookmarkStart w:id="2264" w:name="_Toc38439048"/>
      <w:bookmarkStart w:id="2265" w:name="_Toc38439385"/>
      <w:bookmarkStart w:id="2266" w:name="_Toc38439722"/>
      <w:bookmarkStart w:id="2267" w:name="_Toc38440059"/>
      <w:bookmarkStart w:id="2268" w:name="_Toc38440396"/>
      <w:bookmarkStart w:id="2269" w:name="_Toc38440928"/>
      <w:bookmarkStart w:id="2270" w:name="_Toc38441260"/>
      <w:bookmarkStart w:id="2271" w:name="_Toc38441592"/>
      <w:bookmarkStart w:id="2272" w:name="_Toc38441920"/>
      <w:bookmarkStart w:id="2273" w:name="_Toc38442252"/>
      <w:bookmarkStart w:id="2274" w:name="_Toc38442584"/>
      <w:bookmarkStart w:id="2275" w:name="_Toc38442915"/>
      <w:bookmarkStart w:id="2276" w:name="_Toc38443246"/>
      <w:bookmarkStart w:id="2277" w:name="_Toc38443577"/>
      <w:bookmarkStart w:id="2278" w:name="_Toc38443907"/>
      <w:bookmarkStart w:id="2279" w:name="_Toc38438375"/>
      <w:bookmarkStart w:id="2280" w:name="_Toc38438712"/>
      <w:bookmarkStart w:id="2281" w:name="_Toc38439049"/>
      <w:bookmarkStart w:id="2282" w:name="_Toc38439386"/>
      <w:bookmarkStart w:id="2283" w:name="_Toc38439723"/>
      <w:bookmarkStart w:id="2284" w:name="_Toc38440060"/>
      <w:bookmarkStart w:id="2285" w:name="_Toc38440397"/>
      <w:bookmarkStart w:id="2286" w:name="_Toc38440929"/>
      <w:bookmarkStart w:id="2287" w:name="_Toc38441261"/>
      <w:bookmarkStart w:id="2288" w:name="_Toc38441593"/>
      <w:bookmarkStart w:id="2289" w:name="_Toc38441921"/>
      <w:bookmarkStart w:id="2290" w:name="_Toc38442253"/>
      <w:bookmarkStart w:id="2291" w:name="_Toc38442585"/>
      <w:bookmarkStart w:id="2292" w:name="_Toc38442916"/>
      <w:bookmarkStart w:id="2293" w:name="_Toc38443247"/>
      <w:bookmarkStart w:id="2294" w:name="_Toc38443578"/>
      <w:bookmarkStart w:id="2295" w:name="_Toc38443908"/>
      <w:bookmarkStart w:id="2296" w:name="_Toc38438376"/>
      <w:bookmarkStart w:id="2297" w:name="_Toc38438713"/>
      <w:bookmarkStart w:id="2298" w:name="_Toc38439050"/>
      <w:bookmarkStart w:id="2299" w:name="_Toc38439387"/>
      <w:bookmarkStart w:id="2300" w:name="_Toc38439724"/>
      <w:bookmarkStart w:id="2301" w:name="_Toc38440061"/>
      <w:bookmarkStart w:id="2302" w:name="_Toc38440398"/>
      <w:bookmarkStart w:id="2303" w:name="_Toc38440930"/>
      <w:bookmarkStart w:id="2304" w:name="_Toc38441262"/>
      <w:bookmarkStart w:id="2305" w:name="_Toc38441594"/>
      <w:bookmarkStart w:id="2306" w:name="_Toc38441922"/>
      <w:bookmarkStart w:id="2307" w:name="_Toc38442254"/>
      <w:bookmarkStart w:id="2308" w:name="_Toc38442586"/>
      <w:bookmarkStart w:id="2309" w:name="_Toc38442917"/>
      <w:bookmarkStart w:id="2310" w:name="_Toc38443248"/>
      <w:bookmarkStart w:id="2311" w:name="_Toc38443579"/>
      <w:bookmarkStart w:id="2312" w:name="_Toc38443909"/>
      <w:bookmarkStart w:id="2313" w:name="_Toc38438377"/>
      <w:bookmarkStart w:id="2314" w:name="_Toc38438714"/>
      <w:bookmarkStart w:id="2315" w:name="_Toc38439051"/>
      <w:bookmarkStart w:id="2316" w:name="_Toc38439388"/>
      <w:bookmarkStart w:id="2317" w:name="_Toc38439725"/>
      <w:bookmarkStart w:id="2318" w:name="_Toc38440062"/>
      <w:bookmarkStart w:id="2319" w:name="_Toc38440399"/>
      <w:bookmarkStart w:id="2320" w:name="_Toc38440931"/>
      <w:bookmarkStart w:id="2321" w:name="_Toc38441263"/>
      <w:bookmarkStart w:id="2322" w:name="_Toc38441595"/>
      <w:bookmarkStart w:id="2323" w:name="_Toc38441923"/>
      <w:bookmarkStart w:id="2324" w:name="_Toc38442255"/>
      <w:bookmarkStart w:id="2325" w:name="_Toc38442587"/>
      <w:bookmarkStart w:id="2326" w:name="_Toc38442918"/>
      <w:bookmarkStart w:id="2327" w:name="_Toc38443249"/>
      <w:bookmarkStart w:id="2328" w:name="_Toc38443580"/>
      <w:bookmarkStart w:id="2329" w:name="_Toc38443910"/>
      <w:bookmarkStart w:id="2330" w:name="_Toc38438378"/>
      <w:bookmarkStart w:id="2331" w:name="_Toc38438715"/>
      <w:bookmarkStart w:id="2332" w:name="_Toc38439052"/>
      <w:bookmarkStart w:id="2333" w:name="_Toc38439389"/>
      <w:bookmarkStart w:id="2334" w:name="_Toc38439726"/>
      <w:bookmarkStart w:id="2335" w:name="_Toc38440063"/>
      <w:bookmarkStart w:id="2336" w:name="_Toc38440400"/>
      <w:bookmarkStart w:id="2337" w:name="_Toc38440932"/>
      <w:bookmarkStart w:id="2338" w:name="_Toc38441264"/>
      <w:bookmarkStart w:id="2339" w:name="_Toc38441596"/>
      <w:bookmarkStart w:id="2340" w:name="_Toc38441924"/>
      <w:bookmarkStart w:id="2341" w:name="_Toc38442256"/>
      <w:bookmarkStart w:id="2342" w:name="_Toc38442588"/>
      <w:bookmarkStart w:id="2343" w:name="_Toc38442919"/>
      <w:bookmarkStart w:id="2344" w:name="_Toc38443250"/>
      <w:bookmarkStart w:id="2345" w:name="_Toc38443581"/>
      <w:bookmarkStart w:id="2346" w:name="_Toc38443911"/>
      <w:bookmarkStart w:id="2347" w:name="_Toc38438379"/>
      <w:bookmarkStart w:id="2348" w:name="_Toc38438716"/>
      <w:bookmarkStart w:id="2349" w:name="_Toc38439053"/>
      <w:bookmarkStart w:id="2350" w:name="_Toc38439390"/>
      <w:bookmarkStart w:id="2351" w:name="_Toc38439727"/>
      <w:bookmarkStart w:id="2352" w:name="_Toc38440064"/>
      <w:bookmarkStart w:id="2353" w:name="_Toc38440401"/>
      <w:bookmarkStart w:id="2354" w:name="_Toc38440933"/>
      <w:bookmarkStart w:id="2355" w:name="_Toc38441265"/>
      <w:bookmarkStart w:id="2356" w:name="_Toc38441597"/>
      <w:bookmarkStart w:id="2357" w:name="_Toc38441925"/>
      <w:bookmarkStart w:id="2358" w:name="_Toc38442257"/>
      <w:bookmarkStart w:id="2359" w:name="_Toc38442589"/>
      <w:bookmarkStart w:id="2360" w:name="_Toc38442920"/>
      <w:bookmarkStart w:id="2361" w:name="_Toc38443251"/>
      <w:bookmarkStart w:id="2362" w:name="_Toc38443582"/>
      <w:bookmarkStart w:id="2363" w:name="_Toc38443912"/>
      <w:bookmarkStart w:id="2364" w:name="_Toc38438380"/>
      <w:bookmarkStart w:id="2365" w:name="_Toc38438717"/>
      <w:bookmarkStart w:id="2366" w:name="_Toc38439054"/>
      <w:bookmarkStart w:id="2367" w:name="_Toc38439391"/>
      <w:bookmarkStart w:id="2368" w:name="_Toc38439728"/>
      <w:bookmarkStart w:id="2369" w:name="_Toc38440065"/>
      <w:bookmarkStart w:id="2370" w:name="_Toc38440402"/>
      <w:bookmarkStart w:id="2371" w:name="_Toc38440934"/>
      <w:bookmarkStart w:id="2372" w:name="_Toc38441266"/>
      <w:bookmarkStart w:id="2373" w:name="_Toc38441598"/>
      <w:bookmarkStart w:id="2374" w:name="_Toc38441926"/>
      <w:bookmarkStart w:id="2375" w:name="_Toc38442258"/>
      <w:bookmarkStart w:id="2376" w:name="_Toc38442590"/>
      <w:bookmarkStart w:id="2377" w:name="_Toc38442921"/>
      <w:bookmarkStart w:id="2378" w:name="_Toc38443252"/>
      <w:bookmarkStart w:id="2379" w:name="_Toc38443583"/>
      <w:bookmarkStart w:id="2380" w:name="_Toc38443913"/>
      <w:bookmarkStart w:id="2381" w:name="_Toc38438381"/>
      <w:bookmarkStart w:id="2382" w:name="_Toc38438718"/>
      <w:bookmarkStart w:id="2383" w:name="_Toc38439055"/>
      <w:bookmarkStart w:id="2384" w:name="_Toc38439392"/>
      <w:bookmarkStart w:id="2385" w:name="_Toc38439729"/>
      <w:bookmarkStart w:id="2386" w:name="_Toc38440066"/>
      <w:bookmarkStart w:id="2387" w:name="_Toc38440403"/>
      <w:bookmarkStart w:id="2388" w:name="_Toc38440935"/>
      <w:bookmarkStart w:id="2389" w:name="_Toc38441267"/>
      <w:bookmarkStart w:id="2390" w:name="_Toc38441599"/>
      <w:bookmarkStart w:id="2391" w:name="_Toc38441927"/>
      <w:bookmarkStart w:id="2392" w:name="_Toc38442259"/>
      <w:bookmarkStart w:id="2393" w:name="_Toc38442591"/>
      <w:bookmarkStart w:id="2394" w:name="_Toc38442922"/>
      <w:bookmarkStart w:id="2395" w:name="_Toc38443253"/>
      <w:bookmarkStart w:id="2396" w:name="_Toc38443584"/>
      <w:bookmarkStart w:id="2397" w:name="_Toc38443914"/>
      <w:bookmarkStart w:id="2398" w:name="_Toc38438382"/>
      <w:bookmarkStart w:id="2399" w:name="_Toc38438719"/>
      <w:bookmarkStart w:id="2400" w:name="_Toc38439056"/>
      <w:bookmarkStart w:id="2401" w:name="_Toc38439393"/>
      <w:bookmarkStart w:id="2402" w:name="_Toc38439730"/>
      <w:bookmarkStart w:id="2403" w:name="_Toc38440067"/>
      <w:bookmarkStart w:id="2404" w:name="_Toc38440404"/>
      <w:bookmarkStart w:id="2405" w:name="_Toc38440936"/>
      <w:bookmarkStart w:id="2406" w:name="_Toc38441268"/>
      <w:bookmarkStart w:id="2407" w:name="_Toc38441600"/>
      <w:bookmarkStart w:id="2408" w:name="_Toc38441928"/>
      <w:bookmarkStart w:id="2409" w:name="_Toc38442260"/>
      <w:bookmarkStart w:id="2410" w:name="_Toc38442592"/>
      <w:bookmarkStart w:id="2411" w:name="_Toc38442923"/>
      <w:bookmarkStart w:id="2412" w:name="_Toc38443254"/>
      <w:bookmarkStart w:id="2413" w:name="_Toc38443585"/>
      <w:bookmarkStart w:id="2414" w:name="_Toc38443915"/>
      <w:bookmarkStart w:id="2415" w:name="_Toc38438383"/>
      <w:bookmarkStart w:id="2416" w:name="_Toc38438720"/>
      <w:bookmarkStart w:id="2417" w:name="_Toc38439057"/>
      <w:bookmarkStart w:id="2418" w:name="_Toc38439394"/>
      <w:bookmarkStart w:id="2419" w:name="_Toc38439731"/>
      <w:bookmarkStart w:id="2420" w:name="_Toc38440068"/>
      <w:bookmarkStart w:id="2421" w:name="_Toc38440405"/>
      <w:bookmarkStart w:id="2422" w:name="_Toc38440937"/>
      <w:bookmarkStart w:id="2423" w:name="_Toc38441269"/>
      <w:bookmarkStart w:id="2424" w:name="_Toc38441601"/>
      <w:bookmarkStart w:id="2425" w:name="_Toc38441929"/>
      <w:bookmarkStart w:id="2426" w:name="_Toc38442261"/>
      <w:bookmarkStart w:id="2427" w:name="_Toc38442593"/>
      <w:bookmarkStart w:id="2428" w:name="_Toc38442924"/>
      <w:bookmarkStart w:id="2429" w:name="_Toc38443255"/>
      <w:bookmarkStart w:id="2430" w:name="_Toc38443586"/>
      <w:bookmarkStart w:id="2431" w:name="_Toc38443916"/>
      <w:bookmarkStart w:id="2432" w:name="_Toc38438384"/>
      <w:bookmarkStart w:id="2433" w:name="_Toc38438721"/>
      <w:bookmarkStart w:id="2434" w:name="_Toc38439058"/>
      <w:bookmarkStart w:id="2435" w:name="_Toc38439395"/>
      <w:bookmarkStart w:id="2436" w:name="_Toc38439732"/>
      <w:bookmarkStart w:id="2437" w:name="_Toc38440069"/>
      <w:bookmarkStart w:id="2438" w:name="_Toc38440406"/>
      <w:bookmarkStart w:id="2439" w:name="_Toc38440938"/>
      <w:bookmarkStart w:id="2440" w:name="_Toc38441270"/>
      <w:bookmarkStart w:id="2441" w:name="_Toc38441602"/>
      <w:bookmarkStart w:id="2442" w:name="_Toc38441930"/>
      <w:bookmarkStart w:id="2443" w:name="_Toc38442262"/>
      <w:bookmarkStart w:id="2444" w:name="_Toc38442594"/>
      <w:bookmarkStart w:id="2445" w:name="_Toc38442925"/>
      <w:bookmarkStart w:id="2446" w:name="_Toc38443256"/>
      <w:bookmarkStart w:id="2447" w:name="_Toc38443587"/>
      <w:bookmarkStart w:id="2448" w:name="_Toc38443917"/>
      <w:bookmarkStart w:id="2449" w:name="_Toc38438385"/>
      <w:bookmarkStart w:id="2450" w:name="_Toc38438722"/>
      <w:bookmarkStart w:id="2451" w:name="_Toc38439059"/>
      <w:bookmarkStart w:id="2452" w:name="_Toc38439396"/>
      <w:bookmarkStart w:id="2453" w:name="_Toc38439733"/>
      <w:bookmarkStart w:id="2454" w:name="_Toc38440070"/>
      <w:bookmarkStart w:id="2455" w:name="_Toc38440407"/>
      <w:bookmarkStart w:id="2456" w:name="_Toc38440939"/>
      <w:bookmarkStart w:id="2457" w:name="_Toc38441271"/>
      <w:bookmarkStart w:id="2458" w:name="_Toc38441603"/>
      <w:bookmarkStart w:id="2459" w:name="_Toc38441931"/>
      <w:bookmarkStart w:id="2460" w:name="_Toc38442263"/>
      <w:bookmarkStart w:id="2461" w:name="_Toc38442595"/>
      <w:bookmarkStart w:id="2462" w:name="_Toc38442926"/>
      <w:bookmarkStart w:id="2463" w:name="_Toc38443257"/>
      <w:bookmarkStart w:id="2464" w:name="_Toc38443588"/>
      <w:bookmarkStart w:id="2465" w:name="_Toc38443918"/>
      <w:bookmarkStart w:id="2466" w:name="_Toc38438386"/>
      <w:bookmarkStart w:id="2467" w:name="_Toc38438723"/>
      <w:bookmarkStart w:id="2468" w:name="_Toc38439060"/>
      <w:bookmarkStart w:id="2469" w:name="_Toc38439397"/>
      <w:bookmarkStart w:id="2470" w:name="_Toc38439734"/>
      <w:bookmarkStart w:id="2471" w:name="_Toc38440071"/>
      <w:bookmarkStart w:id="2472" w:name="_Toc38440408"/>
      <w:bookmarkStart w:id="2473" w:name="_Toc38440940"/>
      <w:bookmarkStart w:id="2474" w:name="_Toc38441272"/>
      <w:bookmarkStart w:id="2475" w:name="_Toc38441604"/>
      <w:bookmarkStart w:id="2476" w:name="_Toc38441932"/>
      <w:bookmarkStart w:id="2477" w:name="_Toc38442264"/>
      <w:bookmarkStart w:id="2478" w:name="_Toc38442596"/>
      <w:bookmarkStart w:id="2479" w:name="_Toc38442927"/>
      <w:bookmarkStart w:id="2480" w:name="_Toc38443258"/>
      <w:bookmarkStart w:id="2481" w:name="_Toc38443589"/>
      <w:bookmarkStart w:id="2482" w:name="_Toc38443919"/>
      <w:bookmarkStart w:id="2483" w:name="_Toc38438387"/>
      <w:bookmarkStart w:id="2484" w:name="_Toc38438724"/>
      <w:bookmarkStart w:id="2485" w:name="_Toc38439061"/>
      <w:bookmarkStart w:id="2486" w:name="_Toc38439398"/>
      <w:bookmarkStart w:id="2487" w:name="_Toc38439735"/>
      <w:bookmarkStart w:id="2488" w:name="_Toc38440072"/>
      <w:bookmarkStart w:id="2489" w:name="_Toc38440409"/>
      <w:bookmarkStart w:id="2490" w:name="_Toc38440941"/>
      <w:bookmarkStart w:id="2491" w:name="_Toc38441273"/>
      <w:bookmarkStart w:id="2492" w:name="_Toc38441605"/>
      <w:bookmarkStart w:id="2493" w:name="_Toc38441933"/>
      <w:bookmarkStart w:id="2494" w:name="_Toc38442265"/>
      <w:bookmarkStart w:id="2495" w:name="_Toc38442597"/>
      <w:bookmarkStart w:id="2496" w:name="_Toc38442928"/>
      <w:bookmarkStart w:id="2497" w:name="_Toc38443259"/>
      <w:bookmarkStart w:id="2498" w:name="_Toc38443590"/>
      <w:bookmarkStart w:id="2499" w:name="_Toc38443920"/>
      <w:bookmarkStart w:id="2500" w:name="_Toc38438388"/>
      <w:bookmarkStart w:id="2501" w:name="_Toc38438725"/>
      <w:bookmarkStart w:id="2502" w:name="_Toc38439062"/>
      <w:bookmarkStart w:id="2503" w:name="_Toc38439399"/>
      <w:bookmarkStart w:id="2504" w:name="_Toc38439736"/>
      <w:bookmarkStart w:id="2505" w:name="_Toc38440073"/>
      <w:bookmarkStart w:id="2506" w:name="_Toc38440410"/>
      <w:bookmarkStart w:id="2507" w:name="_Toc38440942"/>
      <w:bookmarkStart w:id="2508" w:name="_Toc38441274"/>
      <w:bookmarkStart w:id="2509" w:name="_Toc38441606"/>
      <w:bookmarkStart w:id="2510" w:name="_Toc38441934"/>
      <w:bookmarkStart w:id="2511" w:name="_Toc38442266"/>
      <w:bookmarkStart w:id="2512" w:name="_Toc38442598"/>
      <w:bookmarkStart w:id="2513" w:name="_Toc38442929"/>
      <w:bookmarkStart w:id="2514" w:name="_Toc38443260"/>
      <w:bookmarkStart w:id="2515" w:name="_Toc38443591"/>
      <w:bookmarkStart w:id="2516" w:name="_Toc38443921"/>
      <w:bookmarkStart w:id="2517" w:name="_Toc38438389"/>
      <w:bookmarkStart w:id="2518" w:name="_Toc38438726"/>
      <w:bookmarkStart w:id="2519" w:name="_Toc38439063"/>
      <w:bookmarkStart w:id="2520" w:name="_Toc38439400"/>
      <w:bookmarkStart w:id="2521" w:name="_Toc38439737"/>
      <w:bookmarkStart w:id="2522" w:name="_Toc38440074"/>
      <w:bookmarkStart w:id="2523" w:name="_Toc38440411"/>
      <w:bookmarkStart w:id="2524" w:name="_Toc38440943"/>
      <w:bookmarkStart w:id="2525" w:name="_Toc38441275"/>
      <w:bookmarkStart w:id="2526" w:name="_Toc38441607"/>
      <w:bookmarkStart w:id="2527" w:name="_Toc38441935"/>
      <w:bookmarkStart w:id="2528" w:name="_Toc38442267"/>
      <w:bookmarkStart w:id="2529" w:name="_Toc38442599"/>
      <w:bookmarkStart w:id="2530" w:name="_Toc38442930"/>
      <w:bookmarkStart w:id="2531" w:name="_Toc38443261"/>
      <w:bookmarkStart w:id="2532" w:name="_Toc38443592"/>
      <w:bookmarkStart w:id="2533" w:name="_Toc38443922"/>
      <w:bookmarkStart w:id="2534" w:name="_Toc38438390"/>
      <w:bookmarkStart w:id="2535" w:name="_Toc38438727"/>
      <w:bookmarkStart w:id="2536" w:name="_Toc38439064"/>
      <w:bookmarkStart w:id="2537" w:name="_Toc38439401"/>
      <w:bookmarkStart w:id="2538" w:name="_Toc38439738"/>
      <w:bookmarkStart w:id="2539" w:name="_Toc38440075"/>
      <w:bookmarkStart w:id="2540" w:name="_Toc38440412"/>
      <w:bookmarkStart w:id="2541" w:name="_Toc38440944"/>
      <w:bookmarkStart w:id="2542" w:name="_Toc38441276"/>
      <w:bookmarkStart w:id="2543" w:name="_Toc38441608"/>
      <w:bookmarkStart w:id="2544" w:name="_Toc38441936"/>
      <w:bookmarkStart w:id="2545" w:name="_Toc38442268"/>
      <w:bookmarkStart w:id="2546" w:name="_Toc38442600"/>
      <w:bookmarkStart w:id="2547" w:name="_Toc38442931"/>
      <w:bookmarkStart w:id="2548" w:name="_Toc38443262"/>
      <w:bookmarkStart w:id="2549" w:name="_Toc38443593"/>
      <w:bookmarkStart w:id="2550" w:name="_Toc38443923"/>
      <w:bookmarkStart w:id="2551" w:name="_Toc38438391"/>
      <w:bookmarkStart w:id="2552" w:name="_Toc38438728"/>
      <w:bookmarkStart w:id="2553" w:name="_Toc38439065"/>
      <w:bookmarkStart w:id="2554" w:name="_Toc38439402"/>
      <w:bookmarkStart w:id="2555" w:name="_Toc38439739"/>
      <w:bookmarkStart w:id="2556" w:name="_Toc38440076"/>
      <w:bookmarkStart w:id="2557" w:name="_Toc38440413"/>
      <w:bookmarkStart w:id="2558" w:name="_Toc38440945"/>
      <w:bookmarkStart w:id="2559" w:name="_Toc38441277"/>
      <w:bookmarkStart w:id="2560" w:name="_Toc38441609"/>
      <w:bookmarkStart w:id="2561" w:name="_Toc38441937"/>
      <w:bookmarkStart w:id="2562" w:name="_Toc38442269"/>
      <w:bookmarkStart w:id="2563" w:name="_Toc38442601"/>
      <w:bookmarkStart w:id="2564" w:name="_Toc38442932"/>
      <w:bookmarkStart w:id="2565" w:name="_Toc38443263"/>
      <w:bookmarkStart w:id="2566" w:name="_Toc38443594"/>
      <w:bookmarkStart w:id="2567" w:name="_Toc38443924"/>
      <w:bookmarkStart w:id="2568" w:name="_Toc38438392"/>
      <w:bookmarkStart w:id="2569" w:name="_Toc38438729"/>
      <w:bookmarkStart w:id="2570" w:name="_Toc38439066"/>
      <w:bookmarkStart w:id="2571" w:name="_Toc38439403"/>
      <w:bookmarkStart w:id="2572" w:name="_Toc38439740"/>
      <w:bookmarkStart w:id="2573" w:name="_Toc38440077"/>
      <w:bookmarkStart w:id="2574" w:name="_Toc38440414"/>
      <w:bookmarkStart w:id="2575" w:name="_Toc38440946"/>
      <w:bookmarkStart w:id="2576" w:name="_Toc38441278"/>
      <w:bookmarkStart w:id="2577" w:name="_Toc38441610"/>
      <w:bookmarkStart w:id="2578" w:name="_Toc38441938"/>
      <w:bookmarkStart w:id="2579" w:name="_Toc38442270"/>
      <w:bookmarkStart w:id="2580" w:name="_Toc38442602"/>
      <w:bookmarkStart w:id="2581" w:name="_Toc38442933"/>
      <w:bookmarkStart w:id="2582" w:name="_Toc38443264"/>
      <w:bookmarkStart w:id="2583" w:name="_Toc38443595"/>
      <w:bookmarkStart w:id="2584" w:name="_Toc38443925"/>
      <w:bookmarkStart w:id="2585" w:name="_Toc38438393"/>
      <w:bookmarkStart w:id="2586" w:name="_Toc38438730"/>
      <w:bookmarkStart w:id="2587" w:name="_Toc38439067"/>
      <w:bookmarkStart w:id="2588" w:name="_Toc38439404"/>
      <w:bookmarkStart w:id="2589" w:name="_Toc38439741"/>
      <w:bookmarkStart w:id="2590" w:name="_Toc38440078"/>
      <w:bookmarkStart w:id="2591" w:name="_Toc38440415"/>
      <w:bookmarkStart w:id="2592" w:name="_Toc38440947"/>
      <w:bookmarkStart w:id="2593" w:name="_Toc38441279"/>
      <w:bookmarkStart w:id="2594" w:name="_Toc38441611"/>
      <w:bookmarkStart w:id="2595" w:name="_Toc38441939"/>
      <w:bookmarkStart w:id="2596" w:name="_Toc38442271"/>
      <w:bookmarkStart w:id="2597" w:name="_Toc38442603"/>
      <w:bookmarkStart w:id="2598" w:name="_Toc38442934"/>
      <w:bookmarkStart w:id="2599" w:name="_Toc38443265"/>
      <w:bookmarkStart w:id="2600" w:name="_Toc38443596"/>
      <w:bookmarkStart w:id="2601" w:name="_Toc38443926"/>
      <w:bookmarkStart w:id="2602" w:name="_Toc38438394"/>
      <w:bookmarkStart w:id="2603" w:name="_Toc38438731"/>
      <w:bookmarkStart w:id="2604" w:name="_Toc38439068"/>
      <w:bookmarkStart w:id="2605" w:name="_Toc38439405"/>
      <w:bookmarkStart w:id="2606" w:name="_Toc38439742"/>
      <w:bookmarkStart w:id="2607" w:name="_Toc38440079"/>
      <w:bookmarkStart w:id="2608" w:name="_Toc38440416"/>
      <w:bookmarkStart w:id="2609" w:name="_Toc38440948"/>
      <w:bookmarkStart w:id="2610" w:name="_Toc38441280"/>
      <w:bookmarkStart w:id="2611" w:name="_Toc38441612"/>
      <w:bookmarkStart w:id="2612" w:name="_Toc38441940"/>
      <w:bookmarkStart w:id="2613" w:name="_Toc38442272"/>
      <w:bookmarkStart w:id="2614" w:name="_Toc38442604"/>
      <w:bookmarkStart w:id="2615" w:name="_Toc38442935"/>
      <w:bookmarkStart w:id="2616" w:name="_Toc38443266"/>
      <w:bookmarkStart w:id="2617" w:name="_Toc38443597"/>
      <w:bookmarkStart w:id="2618" w:name="_Toc38443927"/>
      <w:bookmarkStart w:id="2619" w:name="_Toc38438395"/>
      <w:bookmarkStart w:id="2620" w:name="_Toc38438732"/>
      <w:bookmarkStart w:id="2621" w:name="_Toc38439069"/>
      <w:bookmarkStart w:id="2622" w:name="_Toc38439406"/>
      <w:bookmarkStart w:id="2623" w:name="_Toc38439743"/>
      <w:bookmarkStart w:id="2624" w:name="_Toc38440080"/>
      <w:bookmarkStart w:id="2625" w:name="_Toc38440417"/>
      <w:bookmarkStart w:id="2626" w:name="_Toc38440949"/>
      <w:bookmarkStart w:id="2627" w:name="_Toc38441281"/>
      <w:bookmarkStart w:id="2628" w:name="_Toc38441613"/>
      <w:bookmarkStart w:id="2629" w:name="_Toc38441941"/>
      <w:bookmarkStart w:id="2630" w:name="_Toc38442273"/>
      <w:bookmarkStart w:id="2631" w:name="_Toc38442605"/>
      <w:bookmarkStart w:id="2632" w:name="_Toc38442936"/>
      <w:bookmarkStart w:id="2633" w:name="_Toc38443267"/>
      <w:bookmarkStart w:id="2634" w:name="_Toc38443598"/>
      <w:bookmarkStart w:id="2635" w:name="_Toc38443928"/>
      <w:bookmarkStart w:id="2636" w:name="_Toc38438396"/>
      <w:bookmarkStart w:id="2637" w:name="_Toc38438733"/>
      <w:bookmarkStart w:id="2638" w:name="_Toc38439070"/>
      <w:bookmarkStart w:id="2639" w:name="_Toc38439407"/>
      <w:bookmarkStart w:id="2640" w:name="_Toc38439744"/>
      <w:bookmarkStart w:id="2641" w:name="_Toc38440081"/>
      <w:bookmarkStart w:id="2642" w:name="_Toc38440418"/>
      <w:bookmarkStart w:id="2643" w:name="_Toc38440950"/>
      <w:bookmarkStart w:id="2644" w:name="_Toc38441282"/>
      <w:bookmarkStart w:id="2645" w:name="_Toc38441614"/>
      <w:bookmarkStart w:id="2646" w:name="_Toc38441942"/>
      <w:bookmarkStart w:id="2647" w:name="_Toc38442274"/>
      <w:bookmarkStart w:id="2648" w:name="_Toc38442606"/>
      <w:bookmarkStart w:id="2649" w:name="_Toc38442937"/>
      <w:bookmarkStart w:id="2650" w:name="_Toc38443268"/>
      <w:bookmarkStart w:id="2651" w:name="_Toc38443599"/>
      <w:bookmarkStart w:id="2652" w:name="_Toc38443929"/>
      <w:bookmarkStart w:id="2653" w:name="_Toc38438397"/>
      <w:bookmarkStart w:id="2654" w:name="_Toc38438734"/>
      <w:bookmarkStart w:id="2655" w:name="_Toc38439071"/>
      <w:bookmarkStart w:id="2656" w:name="_Toc38439408"/>
      <w:bookmarkStart w:id="2657" w:name="_Toc38439745"/>
      <w:bookmarkStart w:id="2658" w:name="_Toc38440082"/>
      <w:bookmarkStart w:id="2659" w:name="_Toc38440419"/>
      <w:bookmarkStart w:id="2660" w:name="_Toc38440951"/>
      <w:bookmarkStart w:id="2661" w:name="_Toc38441283"/>
      <w:bookmarkStart w:id="2662" w:name="_Toc38441615"/>
      <w:bookmarkStart w:id="2663" w:name="_Toc38441943"/>
      <w:bookmarkStart w:id="2664" w:name="_Toc38442275"/>
      <w:bookmarkStart w:id="2665" w:name="_Toc38442607"/>
      <w:bookmarkStart w:id="2666" w:name="_Toc38442938"/>
      <w:bookmarkStart w:id="2667" w:name="_Toc38443269"/>
      <w:bookmarkStart w:id="2668" w:name="_Toc38443600"/>
      <w:bookmarkStart w:id="2669" w:name="_Toc38443930"/>
      <w:bookmarkStart w:id="2670" w:name="_Toc38438398"/>
      <w:bookmarkStart w:id="2671" w:name="_Toc38438735"/>
      <w:bookmarkStart w:id="2672" w:name="_Toc38439072"/>
      <w:bookmarkStart w:id="2673" w:name="_Toc38439409"/>
      <w:bookmarkStart w:id="2674" w:name="_Toc38439746"/>
      <w:bookmarkStart w:id="2675" w:name="_Toc38440083"/>
      <w:bookmarkStart w:id="2676" w:name="_Toc38440420"/>
      <w:bookmarkStart w:id="2677" w:name="_Toc38440952"/>
      <w:bookmarkStart w:id="2678" w:name="_Toc38441284"/>
      <w:bookmarkStart w:id="2679" w:name="_Toc38441616"/>
      <w:bookmarkStart w:id="2680" w:name="_Toc38441944"/>
      <w:bookmarkStart w:id="2681" w:name="_Toc38442276"/>
      <w:bookmarkStart w:id="2682" w:name="_Toc38442608"/>
      <w:bookmarkStart w:id="2683" w:name="_Toc38442939"/>
      <w:bookmarkStart w:id="2684" w:name="_Toc38443270"/>
      <w:bookmarkStart w:id="2685" w:name="_Toc38443601"/>
      <w:bookmarkStart w:id="2686" w:name="_Toc38443931"/>
      <w:bookmarkStart w:id="2687" w:name="_Toc38438400"/>
      <w:bookmarkStart w:id="2688" w:name="_Toc38438737"/>
      <w:bookmarkStart w:id="2689" w:name="_Toc38439074"/>
      <w:bookmarkStart w:id="2690" w:name="_Toc38439411"/>
      <w:bookmarkStart w:id="2691" w:name="_Toc38439748"/>
      <w:bookmarkStart w:id="2692" w:name="_Toc38440085"/>
      <w:bookmarkStart w:id="2693" w:name="_Toc38440422"/>
      <w:bookmarkStart w:id="2694" w:name="_Toc38440954"/>
      <w:bookmarkStart w:id="2695" w:name="_Toc38441286"/>
      <w:bookmarkStart w:id="2696" w:name="_Toc38441618"/>
      <w:bookmarkStart w:id="2697" w:name="_Toc38441946"/>
      <w:bookmarkStart w:id="2698" w:name="_Toc38442278"/>
      <w:bookmarkStart w:id="2699" w:name="_Toc38442610"/>
      <w:bookmarkStart w:id="2700" w:name="_Toc38442941"/>
      <w:bookmarkStart w:id="2701" w:name="_Toc38443272"/>
      <w:bookmarkStart w:id="2702" w:name="_Toc38443603"/>
      <w:bookmarkStart w:id="2703" w:name="_Toc38443933"/>
      <w:bookmarkStart w:id="2704" w:name="_Toc38438401"/>
      <w:bookmarkStart w:id="2705" w:name="_Toc38438738"/>
      <w:bookmarkStart w:id="2706" w:name="_Toc38439075"/>
      <w:bookmarkStart w:id="2707" w:name="_Toc38439412"/>
      <w:bookmarkStart w:id="2708" w:name="_Toc38439749"/>
      <w:bookmarkStart w:id="2709" w:name="_Toc38440086"/>
      <w:bookmarkStart w:id="2710" w:name="_Toc38440423"/>
      <w:bookmarkStart w:id="2711" w:name="_Toc38440955"/>
      <w:bookmarkStart w:id="2712" w:name="_Toc38441287"/>
      <w:bookmarkStart w:id="2713" w:name="_Toc38441619"/>
      <w:bookmarkStart w:id="2714" w:name="_Toc38441947"/>
      <w:bookmarkStart w:id="2715" w:name="_Toc38442279"/>
      <w:bookmarkStart w:id="2716" w:name="_Toc38442611"/>
      <w:bookmarkStart w:id="2717" w:name="_Toc38442942"/>
      <w:bookmarkStart w:id="2718" w:name="_Toc38443273"/>
      <w:bookmarkStart w:id="2719" w:name="_Toc38443604"/>
      <w:bookmarkStart w:id="2720" w:name="_Toc38443934"/>
      <w:bookmarkStart w:id="2721" w:name="_Toc38438402"/>
      <w:bookmarkStart w:id="2722" w:name="_Toc38438739"/>
      <w:bookmarkStart w:id="2723" w:name="_Toc38439076"/>
      <w:bookmarkStart w:id="2724" w:name="_Toc38439413"/>
      <w:bookmarkStart w:id="2725" w:name="_Toc38439750"/>
      <w:bookmarkStart w:id="2726" w:name="_Toc38440087"/>
      <w:bookmarkStart w:id="2727" w:name="_Toc38440424"/>
      <w:bookmarkStart w:id="2728" w:name="_Toc38440956"/>
      <w:bookmarkStart w:id="2729" w:name="_Toc38441288"/>
      <w:bookmarkStart w:id="2730" w:name="_Toc38441620"/>
      <w:bookmarkStart w:id="2731" w:name="_Toc38441948"/>
      <w:bookmarkStart w:id="2732" w:name="_Toc38442280"/>
      <w:bookmarkStart w:id="2733" w:name="_Toc38442612"/>
      <w:bookmarkStart w:id="2734" w:name="_Toc38442943"/>
      <w:bookmarkStart w:id="2735" w:name="_Toc38443274"/>
      <w:bookmarkStart w:id="2736" w:name="_Toc38443605"/>
      <w:bookmarkStart w:id="2737" w:name="_Toc38443935"/>
      <w:bookmarkStart w:id="2738" w:name="_Toc38438404"/>
      <w:bookmarkStart w:id="2739" w:name="_Toc38438741"/>
      <w:bookmarkStart w:id="2740" w:name="_Toc38439078"/>
      <w:bookmarkStart w:id="2741" w:name="_Toc38439415"/>
      <w:bookmarkStart w:id="2742" w:name="_Toc38439752"/>
      <w:bookmarkStart w:id="2743" w:name="_Toc38440089"/>
      <w:bookmarkStart w:id="2744" w:name="_Toc38440426"/>
      <w:bookmarkStart w:id="2745" w:name="_Toc38440958"/>
      <w:bookmarkStart w:id="2746" w:name="_Toc38441290"/>
      <w:bookmarkStart w:id="2747" w:name="_Toc38441622"/>
      <w:bookmarkStart w:id="2748" w:name="_Toc38441950"/>
      <w:bookmarkStart w:id="2749" w:name="_Toc38442282"/>
      <w:bookmarkStart w:id="2750" w:name="_Toc38442614"/>
      <w:bookmarkStart w:id="2751" w:name="_Toc38442945"/>
      <w:bookmarkStart w:id="2752" w:name="_Toc38443276"/>
      <w:bookmarkStart w:id="2753" w:name="_Toc38443607"/>
      <w:bookmarkStart w:id="2754" w:name="_Toc38443937"/>
      <w:bookmarkStart w:id="2755" w:name="_Toc38438405"/>
      <w:bookmarkStart w:id="2756" w:name="_Toc38438742"/>
      <w:bookmarkStart w:id="2757" w:name="_Toc38439079"/>
      <w:bookmarkStart w:id="2758" w:name="_Toc38439416"/>
      <w:bookmarkStart w:id="2759" w:name="_Toc38439753"/>
      <w:bookmarkStart w:id="2760" w:name="_Toc38440090"/>
      <w:bookmarkStart w:id="2761" w:name="_Toc38440427"/>
      <w:bookmarkStart w:id="2762" w:name="_Toc38440959"/>
      <w:bookmarkStart w:id="2763" w:name="_Toc38441291"/>
      <w:bookmarkStart w:id="2764" w:name="_Toc38441623"/>
      <w:bookmarkStart w:id="2765" w:name="_Toc38441951"/>
      <w:bookmarkStart w:id="2766" w:name="_Toc38442283"/>
      <w:bookmarkStart w:id="2767" w:name="_Toc38442615"/>
      <w:bookmarkStart w:id="2768" w:name="_Toc38442946"/>
      <w:bookmarkStart w:id="2769" w:name="_Toc38443277"/>
      <w:bookmarkStart w:id="2770" w:name="_Toc38443608"/>
      <w:bookmarkStart w:id="2771" w:name="_Toc38443938"/>
      <w:bookmarkStart w:id="2772" w:name="_Toc38438406"/>
      <w:bookmarkStart w:id="2773" w:name="_Toc38438743"/>
      <w:bookmarkStart w:id="2774" w:name="_Toc38439080"/>
      <w:bookmarkStart w:id="2775" w:name="_Toc38439417"/>
      <w:bookmarkStart w:id="2776" w:name="_Toc38439754"/>
      <w:bookmarkStart w:id="2777" w:name="_Toc38440091"/>
      <w:bookmarkStart w:id="2778" w:name="_Toc38440428"/>
      <w:bookmarkStart w:id="2779" w:name="_Toc38440960"/>
      <w:bookmarkStart w:id="2780" w:name="_Toc38441292"/>
      <w:bookmarkStart w:id="2781" w:name="_Toc38441624"/>
      <w:bookmarkStart w:id="2782" w:name="_Toc38441952"/>
      <w:bookmarkStart w:id="2783" w:name="_Toc38442284"/>
      <w:bookmarkStart w:id="2784" w:name="_Toc38442616"/>
      <w:bookmarkStart w:id="2785" w:name="_Toc38442947"/>
      <w:bookmarkStart w:id="2786" w:name="_Toc38443278"/>
      <w:bookmarkStart w:id="2787" w:name="_Toc38443609"/>
      <w:bookmarkStart w:id="2788" w:name="_Toc38443939"/>
      <w:bookmarkStart w:id="2789" w:name="_Toc38438407"/>
      <w:bookmarkStart w:id="2790" w:name="_Toc38438744"/>
      <w:bookmarkStart w:id="2791" w:name="_Toc38439081"/>
      <w:bookmarkStart w:id="2792" w:name="_Toc38439418"/>
      <w:bookmarkStart w:id="2793" w:name="_Toc38439755"/>
      <w:bookmarkStart w:id="2794" w:name="_Toc38440092"/>
      <w:bookmarkStart w:id="2795" w:name="_Toc38440429"/>
      <w:bookmarkStart w:id="2796" w:name="_Toc38440961"/>
      <w:bookmarkStart w:id="2797" w:name="_Toc38441293"/>
      <w:bookmarkStart w:id="2798" w:name="_Toc38441625"/>
      <w:bookmarkStart w:id="2799" w:name="_Toc38441953"/>
      <w:bookmarkStart w:id="2800" w:name="_Toc38442285"/>
      <w:bookmarkStart w:id="2801" w:name="_Toc38442617"/>
      <w:bookmarkStart w:id="2802" w:name="_Toc38442948"/>
      <w:bookmarkStart w:id="2803" w:name="_Toc38443279"/>
      <w:bookmarkStart w:id="2804" w:name="_Toc38443610"/>
      <w:bookmarkStart w:id="2805" w:name="_Toc38443940"/>
      <w:bookmarkStart w:id="2806" w:name="_Toc38438408"/>
      <w:bookmarkStart w:id="2807" w:name="_Toc38438745"/>
      <w:bookmarkStart w:id="2808" w:name="_Toc38439082"/>
      <w:bookmarkStart w:id="2809" w:name="_Toc38439419"/>
      <w:bookmarkStart w:id="2810" w:name="_Toc38439756"/>
      <w:bookmarkStart w:id="2811" w:name="_Toc38440093"/>
      <w:bookmarkStart w:id="2812" w:name="_Toc38440430"/>
      <w:bookmarkStart w:id="2813" w:name="_Toc38440962"/>
      <w:bookmarkStart w:id="2814" w:name="_Toc38441294"/>
      <w:bookmarkStart w:id="2815" w:name="_Toc38441626"/>
      <w:bookmarkStart w:id="2816" w:name="_Toc38441954"/>
      <w:bookmarkStart w:id="2817" w:name="_Toc38442286"/>
      <w:bookmarkStart w:id="2818" w:name="_Toc38442618"/>
      <w:bookmarkStart w:id="2819" w:name="_Toc38442949"/>
      <w:bookmarkStart w:id="2820" w:name="_Toc38443280"/>
      <w:bookmarkStart w:id="2821" w:name="_Toc38443611"/>
      <w:bookmarkStart w:id="2822" w:name="_Toc38443941"/>
      <w:bookmarkStart w:id="2823" w:name="_Toc38438409"/>
      <w:bookmarkStart w:id="2824" w:name="_Toc38438746"/>
      <w:bookmarkStart w:id="2825" w:name="_Toc38439083"/>
      <w:bookmarkStart w:id="2826" w:name="_Toc38439420"/>
      <w:bookmarkStart w:id="2827" w:name="_Toc38439757"/>
      <w:bookmarkStart w:id="2828" w:name="_Toc38440094"/>
      <w:bookmarkStart w:id="2829" w:name="_Toc38440431"/>
      <w:bookmarkStart w:id="2830" w:name="_Toc38440963"/>
      <w:bookmarkStart w:id="2831" w:name="_Toc38441295"/>
      <w:bookmarkStart w:id="2832" w:name="_Toc38441627"/>
      <w:bookmarkStart w:id="2833" w:name="_Toc38441955"/>
      <w:bookmarkStart w:id="2834" w:name="_Toc38442287"/>
      <w:bookmarkStart w:id="2835" w:name="_Toc38442619"/>
      <w:bookmarkStart w:id="2836" w:name="_Toc38442950"/>
      <w:bookmarkStart w:id="2837" w:name="_Toc38443281"/>
      <w:bookmarkStart w:id="2838" w:name="_Toc38443612"/>
      <w:bookmarkStart w:id="2839" w:name="_Toc38443942"/>
      <w:bookmarkStart w:id="2840" w:name="_Toc38438410"/>
      <w:bookmarkStart w:id="2841" w:name="_Toc38438747"/>
      <w:bookmarkStart w:id="2842" w:name="_Toc38439084"/>
      <w:bookmarkStart w:id="2843" w:name="_Toc38439421"/>
      <w:bookmarkStart w:id="2844" w:name="_Toc38439758"/>
      <w:bookmarkStart w:id="2845" w:name="_Toc38440095"/>
      <w:bookmarkStart w:id="2846" w:name="_Toc38440432"/>
      <w:bookmarkStart w:id="2847" w:name="_Toc38440964"/>
      <w:bookmarkStart w:id="2848" w:name="_Toc38441296"/>
      <w:bookmarkStart w:id="2849" w:name="_Toc38441628"/>
      <w:bookmarkStart w:id="2850" w:name="_Toc38441956"/>
      <w:bookmarkStart w:id="2851" w:name="_Toc38442288"/>
      <w:bookmarkStart w:id="2852" w:name="_Toc38442620"/>
      <w:bookmarkStart w:id="2853" w:name="_Toc38442951"/>
      <w:bookmarkStart w:id="2854" w:name="_Toc38443282"/>
      <w:bookmarkStart w:id="2855" w:name="_Toc38443613"/>
      <w:bookmarkStart w:id="2856" w:name="_Toc38443943"/>
      <w:bookmarkStart w:id="2857" w:name="_Toc38438411"/>
      <w:bookmarkStart w:id="2858" w:name="_Toc38438748"/>
      <w:bookmarkStart w:id="2859" w:name="_Toc38439085"/>
      <w:bookmarkStart w:id="2860" w:name="_Toc38439422"/>
      <w:bookmarkStart w:id="2861" w:name="_Toc38439759"/>
      <w:bookmarkStart w:id="2862" w:name="_Toc38440096"/>
      <w:bookmarkStart w:id="2863" w:name="_Toc38440433"/>
      <w:bookmarkStart w:id="2864" w:name="_Toc38440965"/>
      <w:bookmarkStart w:id="2865" w:name="_Toc38441297"/>
      <w:bookmarkStart w:id="2866" w:name="_Toc38441629"/>
      <w:bookmarkStart w:id="2867" w:name="_Toc38441957"/>
      <w:bookmarkStart w:id="2868" w:name="_Toc38442289"/>
      <w:bookmarkStart w:id="2869" w:name="_Toc38442621"/>
      <w:bookmarkStart w:id="2870" w:name="_Toc38442952"/>
      <w:bookmarkStart w:id="2871" w:name="_Toc38443283"/>
      <w:bookmarkStart w:id="2872" w:name="_Toc38443614"/>
      <w:bookmarkStart w:id="2873" w:name="_Toc38443944"/>
      <w:bookmarkStart w:id="2874" w:name="_Toc38438412"/>
      <w:bookmarkStart w:id="2875" w:name="_Toc38438749"/>
      <w:bookmarkStart w:id="2876" w:name="_Toc38439086"/>
      <w:bookmarkStart w:id="2877" w:name="_Toc38439423"/>
      <w:bookmarkStart w:id="2878" w:name="_Toc38439760"/>
      <w:bookmarkStart w:id="2879" w:name="_Toc38440097"/>
      <w:bookmarkStart w:id="2880" w:name="_Toc38440434"/>
      <w:bookmarkStart w:id="2881" w:name="_Toc38440966"/>
      <w:bookmarkStart w:id="2882" w:name="_Toc38441298"/>
      <w:bookmarkStart w:id="2883" w:name="_Toc38441630"/>
      <w:bookmarkStart w:id="2884" w:name="_Toc38441958"/>
      <w:bookmarkStart w:id="2885" w:name="_Toc38442290"/>
      <w:bookmarkStart w:id="2886" w:name="_Toc38442622"/>
      <w:bookmarkStart w:id="2887" w:name="_Toc38442953"/>
      <w:bookmarkStart w:id="2888" w:name="_Toc38443284"/>
      <w:bookmarkStart w:id="2889" w:name="_Toc38443615"/>
      <w:bookmarkStart w:id="2890" w:name="_Toc38443945"/>
      <w:bookmarkStart w:id="2891" w:name="_Toc38438413"/>
      <w:bookmarkStart w:id="2892" w:name="_Toc38438750"/>
      <w:bookmarkStart w:id="2893" w:name="_Toc38439087"/>
      <w:bookmarkStart w:id="2894" w:name="_Toc38439424"/>
      <w:bookmarkStart w:id="2895" w:name="_Toc38439761"/>
      <w:bookmarkStart w:id="2896" w:name="_Toc38440098"/>
      <w:bookmarkStart w:id="2897" w:name="_Toc38440435"/>
      <w:bookmarkStart w:id="2898" w:name="_Toc38440967"/>
      <w:bookmarkStart w:id="2899" w:name="_Toc38441299"/>
      <w:bookmarkStart w:id="2900" w:name="_Toc38441631"/>
      <w:bookmarkStart w:id="2901" w:name="_Toc38441959"/>
      <w:bookmarkStart w:id="2902" w:name="_Toc38442291"/>
      <w:bookmarkStart w:id="2903" w:name="_Toc38442623"/>
      <w:bookmarkStart w:id="2904" w:name="_Toc38442954"/>
      <w:bookmarkStart w:id="2905" w:name="_Toc38443285"/>
      <w:bookmarkStart w:id="2906" w:name="_Toc38443616"/>
      <w:bookmarkStart w:id="2907" w:name="_Toc38443946"/>
      <w:bookmarkStart w:id="2908" w:name="_Toc38438414"/>
      <w:bookmarkStart w:id="2909" w:name="_Toc38438751"/>
      <w:bookmarkStart w:id="2910" w:name="_Toc38439088"/>
      <w:bookmarkStart w:id="2911" w:name="_Toc38439425"/>
      <w:bookmarkStart w:id="2912" w:name="_Toc38439762"/>
      <w:bookmarkStart w:id="2913" w:name="_Toc38440099"/>
      <w:bookmarkStart w:id="2914" w:name="_Toc38440436"/>
      <w:bookmarkStart w:id="2915" w:name="_Toc38440968"/>
      <w:bookmarkStart w:id="2916" w:name="_Toc38441300"/>
      <w:bookmarkStart w:id="2917" w:name="_Toc38441632"/>
      <w:bookmarkStart w:id="2918" w:name="_Toc38441960"/>
      <w:bookmarkStart w:id="2919" w:name="_Toc38442292"/>
      <w:bookmarkStart w:id="2920" w:name="_Toc38442624"/>
      <w:bookmarkStart w:id="2921" w:name="_Toc38442955"/>
      <w:bookmarkStart w:id="2922" w:name="_Toc38443286"/>
      <w:bookmarkStart w:id="2923" w:name="_Toc38443617"/>
      <w:bookmarkStart w:id="2924" w:name="_Toc38443947"/>
      <w:bookmarkStart w:id="2925" w:name="_Toc38438415"/>
      <w:bookmarkStart w:id="2926" w:name="_Toc38438752"/>
      <w:bookmarkStart w:id="2927" w:name="_Toc38439089"/>
      <w:bookmarkStart w:id="2928" w:name="_Toc38439426"/>
      <w:bookmarkStart w:id="2929" w:name="_Toc38439763"/>
      <w:bookmarkStart w:id="2930" w:name="_Toc38440100"/>
      <w:bookmarkStart w:id="2931" w:name="_Toc38440437"/>
      <w:bookmarkStart w:id="2932" w:name="_Toc38440969"/>
      <w:bookmarkStart w:id="2933" w:name="_Toc38441301"/>
      <w:bookmarkStart w:id="2934" w:name="_Toc38441633"/>
      <w:bookmarkStart w:id="2935" w:name="_Toc38441961"/>
      <w:bookmarkStart w:id="2936" w:name="_Toc38442293"/>
      <w:bookmarkStart w:id="2937" w:name="_Toc38442625"/>
      <w:bookmarkStart w:id="2938" w:name="_Toc38442956"/>
      <w:bookmarkStart w:id="2939" w:name="_Toc38443287"/>
      <w:bookmarkStart w:id="2940" w:name="_Toc38443618"/>
      <w:bookmarkStart w:id="2941" w:name="_Toc38443948"/>
      <w:bookmarkStart w:id="2942" w:name="_Toc38438416"/>
      <w:bookmarkStart w:id="2943" w:name="_Toc38438753"/>
      <w:bookmarkStart w:id="2944" w:name="_Toc38439090"/>
      <w:bookmarkStart w:id="2945" w:name="_Toc38439427"/>
      <w:bookmarkStart w:id="2946" w:name="_Toc38439764"/>
      <w:bookmarkStart w:id="2947" w:name="_Toc38440101"/>
      <w:bookmarkStart w:id="2948" w:name="_Toc38440438"/>
      <w:bookmarkStart w:id="2949" w:name="_Toc38440970"/>
      <w:bookmarkStart w:id="2950" w:name="_Toc38441302"/>
      <w:bookmarkStart w:id="2951" w:name="_Toc38441634"/>
      <w:bookmarkStart w:id="2952" w:name="_Toc38441962"/>
      <w:bookmarkStart w:id="2953" w:name="_Toc38442294"/>
      <w:bookmarkStart w:id="2954" w:name="_Toc38442626"/>
      <w:bookmarkStart w:id="2955" w:name="_Toc38442957"/>
      <w:bookmarkStart w:id="2956" w:name="_Toc38443288"/>
      <w:bookmarkStart w:id="2957" w:name="_Toc38443619"/>
      <w:bookmarkStart w:id="2958" w:name="_Toc38443949"/>
      <w:bookmarkStart w:id="2959" w:name="_Toc38438417"/>
      <w:bookmarkStart w:id="2960" w:name="_Toc38438754"/>
      <w:bookmarkStart w:id="2961" w:name="_Toc38439091"/>
      <w:bookmarkStart w:id="2962" w:name="_Toc38439428"/>
      <w:bookmarkStart w:id="2963" w:name="_Toc38439765"/>
      <w:bookmarkStart w:id="2964" w:name="_Toc38440102"/>
      <w:bookmarkStart w:id="2965" w:name="_Toc38440439"/>
      <w:bookmarkStart w:id="2966" w:name="_Toc38440971"/>
      <w:bookmarkStart w:id="2967" w:name="_Toc38441303"/>
      <w:bookmarkStart w:id="2968" w:name="_Toc38441635"/>
      <w:bookmarkStart w:id="2969" w:name="_Toc38441963"/>
      <w:bookmarkStart w:id="2970" w:name="_Toc38442295"/>
      <w:bookmarkStart w:id="2971" w:name="_Toc38442627"/>
      <w:bookmarkStart w:id="2972" w:name="_Toc38442958"/>
      <w:bookmarkStart w:id="2973" w:name="_Toc38443289"/>
      <w:bookmarkStart w:id="2974" w:name="_Toc38443620"/>
      <w:bookmarkStart w:id="2975" w:name="_Toc38443950"/>
      <w:bookmarkStart w:id="2976" w:name="_Toc38438418"/>
      <w:bookmarkStart w:id="2977" w:name="_Toc38438755"/>
      <w:bookmarkStart w:id="2978" w:name="_Toc38439092"/>
      <w:bookmarkStart w:id="2979" w:name="_Toc38439429"/>
      <w:bookmarkStart w:id="2980" w:name="_Toc38439766"/>
      <w:bookmarkStart w:id="2981" w:name="_Toc38440103"/>
      <w:bookmarkStart w:id="2982" w:name="_Toc38440440"/>
      <w:bookmarkStart w:id="2983" w:name="_Toc38440972"/>
      <w:bookmarkStart w:id="2984" w:name="_Toc38441304"/>
      <w:bookmarkStart w:id="2985" w:name="_Toc38441636"/>
      <w:bookmarkStart w:id="2986" w:name="_Toc38441964"/>
      <w:bookmarkStart w:id="2987" w:name="_Toc38442296"/>
      <w:bookmarkStart w:id="2988" w:name="_Toc38442628"/>
      <w:bookmarkStart w:id="2989" w:name="_Toc38442959"/>
      <w:bookmarkStart w:id="2990" w:name="_Toc38443290"/>
      <w:bookmarkStart w:id="2991" w:name="_Toc38443621"/>
      <w:bookmarkStart w:id="2992" w:name="_Toc38443951"/>
      <w:bookmarkStart w:id="2993" w:name="_Toc38438419"/>
      <w:bookmarkStart w:id="2994" w:name="_Toc38438756"/>
      <w:bookmarkStart w:id="2995" w:name="_Toc38439093"/>
      <w:bookmarkStart w:id="2996" w:name="_Toc38439430"/>
      <w:bookmarkStart w:id="2997" w:name="_Toc38439767"/>
      <w:bookmarkStart w:id="2998" w:name="_Toc38440104"/>
      <w:bookmarkStart w:id="2999" w:name="_Toc38440441"/>
      <w:bookmarkStart w:id="3000" w:name="_Toc38440973"/>
      <w:bookmarkStart w:id="3001" w:name="_Toc38441305"/>
      <w:bookmarkStart w:id="3002" w:name="_Toc38441637"/>
      <w:bookmarkStart w:id="3003" w:name="_Toc38441965"/>
      <w:bookmarkStart w:id="3004" w:name="_Toc38442297"/>
      <w:bookmarkStart w:id="3005" w:name="_Toc38442629"/>
      <w:bookmarkStart w:id="3006" w:name="_Toc38442960"/>
      <w:bookmarkStart w:id="3007" w:name="_Toc38443291"/>
      <w:bookmarkStart w:id="3008" w:name="_Toc38443622"/>
      <w:bookmarkStart w:id="3009" w:name="_Toc38443952"/>
      <w:bookmarkStart w:id="3010" w:name="_Toc38438420"/>
      <w:bookmarkStart w:id="3011" w:name="_Toc38438757"/>
      <w:bookmarkStart w:id="3012" w:name="_Toc38439094"/>
      <w:bookmarkStart w:id="3013" w:name="_Toc38439431"/>
      <w:bookmarkStart w:id="3014" w:name="_Toc38439768"/>
      <w:bookmarkStart w:id="3015" w:name="_Toc38440105"/>
      <w:bookmarkStart w:id="3016" w:name="_Toc38440442"/>
      <w:bookmarkStart w:id="3017" w:name="_Toc38440974"/>
      <w:bookmarkStart w:id="3018" w:name="_Toc38441306"/>
      <w:bookmarkStart w:id="3019" w:name="_Toc38441638"/>
      <w:bookmarkStart w:id="3020" w:name="_Toc38441966"/>
      <w:bookmarkStart w:id="3021" w:name="_Toc38442298"/>
      <w:bookmarkStart w:id="3022" w:name="_Toc38442630"/>
      <w:bookmarkStart w:id="3023" w:name="_Toc38442961"/>
      <w:bookmarkStart w:id="3024" w:name="_Toc38443292"/>
      <w:bookmarkStart w:id="3025" w:name="_Toc38443623"/>
      <w:bookmarkStart w:id="3026" w:name="_Toc38443953"/>
      <w:bookmarkStart w:id="3027" w:name="_Toc38438421"/>
      <w:bookmarkStart w:id="3028" w:name="_Toc38438758"/>
      <w:bookmarkStart w:id="3029" w:name="_Toc38439095"/>
      <w:bookmarkStart w:id="3030" w:name="_Toc38439432"/>
      <w:bookmarkStart w:id="3031" w:name="_Toc38439769"/>
      <w:bookmarkStart w:id="3032" w:name="_Toc38440106"/>
      <w:bookmarkStart w:id="3033" w:name="_Toc38440443"/>
      <w:bookmarkStart w:id="3034" w:name="_Toc38440975"/>
      <w:bookmarkStart w:id="3035" w:name="_Toc38441307"/>
      <w:bookmarkStart w:id="3036" w:name="_Toc38441639"/>
      <w:bookmarkStart w:id="3037" w:name="_Toc38441967"/>
      <w:bookmarkStart w:id="3038" w:name="_Toc38442299"/>
      <w:bookmarkStart w:id="3039" w:name="_Toc38442631"/>
      <w:bookmarkStart w:id="3040" w:name="_Toc38442962"/>
      <w:bookmarkStart w:id="3041" w:name="_Toc38443293"/>
      <w:bookmarkStart w:id="3042" w:name="_Toc38443624"/>
      <w:bookmarkStart w:id="3043" w:name="_Toc38443954"/>
      <w:bookmarkStart w:id="3044" w:name="_Toc38438422"/>
      <w:bookmarkStart w:id="3045" w:name="_Toc38438759"/>
      <w:bookmarkStart w:id="3046" w:name="_Toc38439096"/>
      <w:bookmarkStart w:id="3047" w:name="_Toc38439433"/>
      <w:bookmarkStart w:id="3048" w:name="_Toc38439770"/>
      <w:bookmarkStart w:id="3049" w:name="_Toc38440107"/>
      <w:bookmarkStart w:id="3050" w:name="_Toc38440444"/>
      <w:bookmarkStart w:id="3051" w:name="_Toc38440976"/>
      <w:bookmarkStart w:id="3052" w:name="_Toc38441308"/>
      <w:bookmarkStart w:id="3053" w:name="_Toc38441640"/>
      <w:bookmarkStart w:id="3054" w:name="_Toc38441968"/>
      <w:bookmarkStart w:id="3055" w:name="_Toc38442300"/>
      <w:bookmarkStart w:id="3056" w:name="_Toc38442632"/>
      <w:bookmarkStart w:id="3057" w:name="_Toc38442963"/>
      <w:bookmarkStart w:id="3058" w:name="_Toc38443294"/>
      <w:bookmarkStart w:id="3059" w:name="_Toc38443625"/>
      <w:bookmarkStart w:id="3060" w:name="_Toc38443955"/>
      <w:bookmarkStart w:id="3061" w:name="_Toc38438423"/>
      <w:bookmarkStart w:id="3062" w:name="_Toc38438760"/>
      <w:bookmarkStart w:id="3063" w:name="_Toc38439097"/>
      <w:bookmarkStart w:id="3064" w:name="_Toc38439434"/>
      <w:bookmarkStart w:id="3065" w:name="_Toc38439771"/>
      <w:bookmarkStart w:id="3066" w:name="_Toc38440108"/>
      <w:bookmarkStart w:id="3067" w:name="_Toc38440445"/>
      <w:bookmarkStart w:id="3068" w:name="_Toc38440977"/>
      <w:bookmarkStart w:id="3069" w:name="_Toc38441309"/>
      <w:bookmarkStart w:id="3070" w:name="_Toc38441641"/>
      <w:bookmarkStart w:id="3071" w:name="_Toc38441969"/>
      <w:bookmarkStart w:id="3072" w:name="_Toc38442301"/>
      <w:bookmarkStart w:id="3073" w:name="_Toc38442633"/>
      <w:bookmarkStart w:id="3074" w:name="_Toc38442964"/>
      <w:bookmarkStart w:id="3075" w:name="_Toc38443295"/>
      <w:bookmarkStart w:id="3076" w:name="_Toc38443626"/>
      <w:bookmarkStart w:id="3077" w:name="_Toc38443956"/>
      <w:bookmarkStart w:id="3078" w:name="_Toc38438424"/>
      <w:bookmarkStart w:id="3079" w:name="_Toc38438761"/>
      <w:bookmarkStart w:id="3080" w:name="_Toc38439098"/>
      <w:bookmarkStart w:id="3081" w:name="_Toc38439435"/>
      <w:bookmarkStart w:id="3082" w:name="_Toc38439772"/>
      <w:bookmarkStart w:id="3083" w:name="_Toc38440109"/>
      <w:bookmarkStart w:id="3084" w:name="_Toc38440446"/>
      <w:bookmarkStart w:id="3085" w:name="_Toc38440978"/>
      <w:bookmarkStart w:id="3086" w:name="_Toc38441310"/>
      <w:bookmarkStart w:id="3087" w:name="_Toc38441642"/>
      <w:bookmarkStart w:id="3088" w:name="_Toc38441970"/>
      <w:bookmarkStart w:id="3089" w:name="_Toc38442302"/>
      <w:bookmarkStart w:id="3090" w:name="_Toc38442634"/>
      <w:bookmarkStart w:id="3091" w:name="_Toc38442965"/>
      <w:bookmarkStart w:id="3092" w:name="_Toc38443296"/>
      <w:bookmarkStart w:id="3093" w:name="_Toc38443627"/>
      <w:bookmarkStart w:id="3094" w:name="_Toc38443957"/>
      <w:bookmarkStart w:id="3095" w:name="_Toc38438425"/>
      <w:bookmarkStart w:id="3096" w:name="_Toc38438762"/>
      <w:bookmarkStart w:id="3097" w:name="_Toc38439099"/>
      <w:bookmarkStart w:id="3098" w:name="_Toc38439436"/>
      <w:bookmarkStart w:id="3099" w:name="_Toc38439773"/>
      <w:bookmarkStart w:id="3100" w:name="_Toc38440110"/>
      <w:bookmarkStart w:id="3101" w:name="_Toc38440447"/>
      <w:bookmarkStart w:id="3102" w:name="_Toc38440979"/>
      <w:bookmarkStart w:id="3103" w:name="_Toc38441311"/>
      <w:bookmarkStart w:id="3104" w:name="_Toc38441643"/>
      <w:bookmarkStart w:id="3105" w:name="_Toc38441971"/>
      <w:bookmarkStart w:id="3106" w:name="_Toc38442303"/>
      <w:bookmarkStart w:id="3107" w:name="_Toc38442635"/>
      <w:bookmarkStart w:id="3108" w:name="_Toc38442966"/>
      <w:bookmarkStart w:id="3109" w:name="_Toc38443297"/>
      <w:bookmarkStart w:id="3110" w:name="_Toc38443628"/>
      <w:bookmarkStart w:id="3111" w:name="_Toc38443958"/>
      <w:bookmarkStart w:id="3112" w:name="_Toc38438426"/>
      <w:bookmarkStart w:id="3113" w:name="_Toc38438763"/>
      <w:bookmarkStart w:id="3114" w:name="_Toc38439100"/>
      <w:bookmarkStart w:id="3115" w:name="_Toc38439437"/>
      <w:bookmarkStart w:id="3116" w:name="_Toc38439774"/>
      <w:bookmarkStart w:id="3117" w:name="_Toc38440111"/>
      <w:bookmarkStart w:id="3118" w:name="_Toc38440448"/>
      <w:bookmarkStart w:id="3119" w:name="_Toc38440980"/>
      <w:bookmarkStart w:id="3120" w:name="_Toc38441312"/>
      <w:bookmarkStart w:id="3121" w:name="_Toc38441644"/>
      <w:bookmarkStart w:id="3122" w:name="_Toc38441972"/>
      <w:bookmarkStart w:id="3123" w:name="_Toc38442304"/>
      <w:bookmarkStart w:id="3124" w:name="_Toc38442636"/>
      <w:bookmarkStart w:id="3125" w:name="_Toc38442967"/>
      <w:bookmarkStart w:id="3126" w:name="_Toc38443298"/>
      <w:bookmarkStart w:id="3127" w:name="_Toc38443629"/>
      <w:bookmarkStart w:id="3128" w:name="_Toc38443959"/>
      <w:bookmarkStart w:id="3129" w:name="_Toc38438427"/>
      <w:bookmarkStart w:id="3130" w:name="_Toc38438764"/>
      <w:bookmarkStart w:id="3131" w:name="_Toc38439101"/>
      <w:bookmarkStart w:id="3132" w:name="_Toc38439438"/>
      <w:bookmarkStart w:id="3133" w:name="_Toc38439775"/>
      <w:bookmarkStart w:id="3134" w:name="_Toc38440112"/>
      <w:bookmarkStart w:id="3135" w:name="_Toc38440449"/>
      <w:bookmarkStart w:id="3136" w:name="_Toc38440981"/>
      <w:bookmarkStart w:id="3137" w:name="_Toc38441313"/>
      <w:bookmarkStart w:id="3138" w:name="_Toc38441645"/>
      <w:bookmarkStart w:id="3139" w:name="_Toc38441973"/>
      <w:bookmarkStart w:id="3140" w:name="_Toc38442305"/>
      <w:bookmarkStart w:id="3141" w:name="_Toc38442637"/>
      <w:bookmarkStart w:id="3142" w:name="_Toc38442968"/>
      <w:bookmarkStart w:id="3143" w:name="_Toc38443299"/>
      <w:bookmarkStart w:id="3144" w:name="_Toc38443630"/>
      <w:bookmarkStart w:id="3145" w:name="_Toc38443960"/>
      <w:bookmarkStart w:id="3146" w:name="_Toc38438428"/>
      <w:bookmarkStart w:id="3147" w:name="_Toc38438765"/>
      <w:bookmarkStart w:id="3148" w:name="_Toc38439102"/>
      <w:bookmarkStart w:id="3149" w:name="_Toc38439439"/>
      <w:bookmarkStart w:id="3150" w:name="_Toc38439776"/>
      <w:bookmarkStart w:id="3151" w:name="_Toc38440113"/>
      <w:bookmarkStart w:id="3152" w:name="_Toc38440450"/>
      <w:bookmarkStart w:id="3153" w:name="_Toc38440982"/>
      <w:bookmarkStart w:id="3154" w:name="_Toc38441314"/>
      <w:bookmarkStart w:id="3155" w:name="_Toc38441646"/>
      <w:bookmarkStart w:id="3156" w:name="_Toc38441974"/>
      <w:bookmarkStart w:id="3157" w:name="_Toc38442306"/>
      <w:bookmarkStart w:id="3158" w:name="_Toc38442638"/>
      <w:bookmarkStart w:id="3159" w:name="_Toc38442969"/>
      <w:bookmarkStart w:id="3160" w:name="_Toc38443300"/>
      <w:bookmarkStart w:id="3161" w:name="_Toc38443631"/>
      <w:bookmarkStart w:id="3162" w:name="_Toc38443961"/>
      <w:bookmarkStart w:id="3163" w:name="_Toc38438429"/>
      <w:bookmarkStart w:id="3164" w:name="_Toc38438766"/>
      <w:bookmarkStart w:id="3165" w:name="_Toc38439103"/>
      <w:bookmarkStart w:id="3166" w:name="_Toc38439440"/>
      <w:bookmarkStart w:id="3167" w:name="_Toc38439777"/>
      <w:bookmarkStart w:id="3168" w:name="_Toc38440114"/>
      <w:bookmarkStart w:id="3169" w:name="_Toc38440451"/>
      <w:bookmarkStart w:id="3170" w:name="_Toc38440983"/>
      <w:bookmarkStart w:id="3171" w:name="_Toc38441315"/>
      <w:bookmarkStart w:id="3172" w:name="_Toc38441647"/>
      <w:bookmarkStart w:id="3173" w:name="_Toc38441975"/>
      <w:bookmarkStart w:id="3174" w:name="_Toc38442307"/>
      <w:bookmarkStart w:id="3175" w:name="_Toc38442639"/>
      <w:bookmarkStart w:id="3176" w:name="_Toc38442970"/>
      <w:bookmarkStart w:id="3177" w:name="_Toc38443301"/>
      <w:bookmarkStart w:id="3178" w:name="_Toc38443632"/>
      <w:bookmarkStart w:id="3179" w:name="_Toc38443962"/>
      <w:bookmarkStart w:id="3180" w:name="_Toc38438430"/>
      <w:bookmarkStart w:id="3181" w:name="_Toc38438767"/>
      <w:bookmarkStart w:id="3182" w:name="_Toc38439104"/>
      <w:bookmarkStart w:id="3183" w:name="_Toc38439441"/>
      <w:bookmarkStart w:id="3184" w:name="_Toc38439778"/>
      <w:bookmarkStart w:id="3185" w:name="_Toc38440115"/>
      <w:bookmarkStart w:id="3186" w:name="_Toc38440452"/>
      <w:bookmarkStart w:id="3187" w:name="_Toc38440984"/>
      <w:bookmarkStart w:id="3188" w:name="_Toc38441316"/>
      <w:bookmarkStart w:id="3189" w:name="_Toc38441648"/>
      <w:bookmarkStart w:id="3190" w:name="_Toc38441976"/>
      <w:bookmarkStart w:id="3191" w:name="_Toc38442308"/>
      <w:bookmarkStart w:id="3192" w:name="_Toc38442640"/>
      <w:bookmarkStart w:id="3193" w:name="_Toc38442971"/>
      <w:bookmarkStart w:id="3194" w:name="_Toc38443302"/>
      <w:bookmarkStart w:id="3195" w:name="_Toc38443633"/>
      <w:bookmarkStart w:id="3196" w:name="_Toc38443963"/>
      <w:bookmarkStart w:id="3197" w:name="_Toc38438431"/>
      <w:bookmarkStart w:id="3198" w:name="_Toc38438768"/>
      <w:bookmarkStart w:id="3199" w:name="_Toc38439105"/>
      <w:bookmarkStart w:id="3200" w:name="_Toc38439442"/>
      <w:bookmarkStart w:id="3201" w:name="_Toc38439779"/>
      <w:bookmarkStart w:id="3202" w:name="_Toc38440116"/>
      <w:bookmarkStart w:id="3203" w:name="_Toc38440453"/>
      <w:bookmarkStart w:id="3204" w:name="_Toc38440985"/>
      <w:bookmarkStart w:id="3205" w:name="_Toc38441317"/>
      <w:bookmarkStart w:id="3206" w:name="_Toc38441649"/>
      <w:bookmarkStart w:id="3207" w:name="_Toc38441977"/>
      <w:bookmarkStart w:id="3208" w:name="_Toc38442309"/>
      <w:bookmarkStart w:id="3209" w:name="_Toc38442641"/>
      <w:bookmarkStart w:id="3210" w:name="_Toc38442972"/>
      <w:bookmarkStart w:id="3211" w:name="_Toc38443303"/>
      <w:bookmarkStart w:id="3212" w:name="_Toc38443634"/>
      <w:bookmarkStart w:id="3213" w:name="_Toc38443964"/>
      <w:bookmarkStart w:id="3214" w:name="_Toc38438432"/>
      <w:bookmarkStart w:id="3215" w:name="_Toc38438769"/>
      <w:bookmarkStart w:id="3216" w:name="_Toc38439106"/>
      <w:bookmarkStart w:id="3217" w:name="_Toc38439443"/>
      <w:bookmarkStart w:id="3218" w:name="_Toc38439780"/>
      <w:bookmarkStart w:id="3219" w:name="_Toc38440117"/>
      <w:bookmarkStart w:id="3220" w:name="_Toc38440454"/>
      <w:bookmarkStart w:id="3221" w:name="_Toc38440986"/>
      <w:bookmarkStart w:id="3222" w:name="_Toc38441318"/>
      <w:bookmarkStart w:id="3223" w:name="_Toc38441650"/>
      <w:bookmarkStart w:id="3224" w:name="_Toc38441978"/>
      <w:bookmarkStart w:id="3225" w:name="_Toc38442310"/>
      <w:bookmarkStart w:id="3226" w:name="_Toc38442642"/>
      <w:bookmarkStart w:id="3227" w:name="_Toc38442973"/>
      <w:bookmarkStart w:id="3228" w:name="_Toc38443304"/>
      <w:bookmarkStart w:id="3229" w:name="_Toc38443635"/>
      <w:bookmarkStart w:id="3230" w:name="_Toc38443965"/>
      <w:bookmarkStart w:id="3231" w:name="_Toc38438433"/>
      <w:bookmarkStart w:id="3232" w:name="_Toc38438770"/>
      <w:bookmarkStart w:id="3233" w:name="_Toc38439107"/>
      <w:bookmarkStart w:id="3234" w:name="_Toc38439444"/>
      <w:bookmarkStart w:id="3235" w:name="_Toc38439781"/>
      <w:bookmarkStart w:id="3236" w:name="_Toc38440118"/>
      <w:bookmarkStart w:id="3237" w:name="_Toc38440455"/>
      <w:bookmarkStart w:id="3238" w:name="_Toc38440987"/>
      <w:bookmarkStart w:id="3239" w:name="_Toc38441319"/>
      <w:bookmarkStart w:id="3240" w:name="_Toc38441651"/>
      <w:bookmarkStart w:id="3241" w:name="_Toc38441979"/>
      <w:bookmarkStart w:id="3242" w:name="_Toc38442311"/>
      <w:bookmarkStart w:id="3243" w:name="_Toc38442643"/>
      <w:bookmarkStart w:id="3244" w:name="_Toc38442974"/>
      <w:bookmarkStart w:id="3245" w:name="_Toc38443305"/>
      <w:bookmarkStart w:id="3246" w:name="_Toc38443636"/>
      <w:bookmarkStart w:id="3247" w:name="_Toc38443966"/>
      <w:bookmarkStart w:id="3248" w:name="_Toc38438434"/>
      <w:bookmarkStart w:id="3249" w:name="_Toc38438771"/>
      <w:bookmarkStart w:id="3250" w:name="_Toc38439108"/>
      <w:bookmarkStart w:id="3251" w:name="_Toc38439445"/>
      <w:bookmarkStart w:id="3252" w:name="_Toc38439782"/>
      <w:bookmarkStart w:id="3253" w:name="_Toc38440119"/>
      <w:bookmarkStart w:id="3254" w:name="_Toc38440456"/>
      <w:bookmarkStart w:id="3255" w:name="_Toc38440988"/>
      <w:bookmarkStart w:id="3256" w:name="_Toc38441320"/>
      <w:bookmarkStart w:id="3257" w:name="_Toc38441652"/>
      <w:bookmarkStart w:id="3258" w:name="_Toc38441980"/>
      <w:bookmarkStart w:id="3259" w:name="_Toc38442312"/>
      <w:bookmarkStart w:id="3260" w:name="_Toc38442644"/>
      <w:bookmarkStart w:id="3261" w:name="_Toc38442975"/>
      <w:bookmarkStart w:id="3262" w:name="_Toc38443306"/>
      <w:bookmarkStart w:id="3263" w:name="_Toc38443637"/>
      <w:bookmarkStart w:id="3264" w:name="_Toc38443967"/>
      <w:bookmarkStart w:id="3265" w:name="_Toc38438435"/>
      <w:bookmarkStart w:id="3266" w:name="_Toc38438772"/>
      <w:bookmarkStart w:id="3267" w:name="_Toc38439109"/>
      <w:bookmarkStart w:id="3268" w:name="_Toc38439446"/>
      <w:bookmarkStart w:id="3269" w:name="_Toc38439783"/>
      <w:bookmarkStart w:id="3270" w:name="_Toc38440120"/>
      <w:bookmarkStart w:id="3271" w:name="_Toc38440457"/>
      <w:bookmarkStart w:id="3272" w:name="_Toc38440989"/>
      <w:bookmarkStart w:id="3273" w:name="_Toc38441321"/>
      <w:bookmarkStart w:id="3274" w:name="_Toc38441653"/>
      <w:bookmarkStart w:id="3275" w:name="_Toc38441981"/>
      <w:bookmarkStart w:id="3276" w:name="_Toc38442313"/>
      <w:bookmarkStart w:id="3277" w:name="_Toc38442645"/>
      <w:bookmarkStart w:id="3278" w:name="_Toc38442976"/>
      <w:bookmarkStart w:id="3279" w:name="_Toc38443307"/>
      <w:bookmarkStart w:id="3280" w:name="_Toc38443638"/>
      <w:bookmarkStart w:id="3281" w:name="_Toc38443968"/>
      <w:bookmarkStart w:id="3282" w:name="_Toc38438436"/>
      <w:bookmarkStart w:id="3283" w:name="_Toc38438773"/>
      <w:bookmarkStart w:id="3284" w:name="_Toc38439110"/>
      <w:bookmarkStart w:id="3285" w:name="_Toc38439447"/>
      <w:bookmarkStart w:id="3286" w:name="_Toc38439784"/>
      <w:bookmarkStart w:id="3287" w:name="_Toc38440121"/>
      <w:bookmarkStart w:id="3288" w:name="_Toc38440458"/>
      <w:bookmarkStart w:id="3289" w:name="_Toc38440990"/>
      <w:bookmarkStart w:id="3290" w:name="_Toc38441322"/>
      <w:bookmarkStart w:id="3291" w:name="_Toc38441654"/>
      <w:bookmarkStart w:id="3292" w:name="_Toc38441982"/>
      <w:bookmarkStart w:id="3293" w:name="_Toc38442314"/>
      <w:bookmarkStart w:id="3294" w:name="_Toc38442646"/>
      <w:bookmarkStart w:id="3295" w:name="_Toc38442977"/>
      <w:bookmarkStart w:id="3296" w:name="_Toc38443308"/>
      <w:bookmarkStart w:id="3297" w:name="_Toc38443639"/>
      <w:bookmarkStart w:id="3298" w:name="_Toc38443969"/>
      <w:bookmarkStart w:id="3299" w:name="_Toc38438437"/>
      <w:bookmarkStart w:id="3300" w:name="_Toc38438774"/>
      <w:bookmarkStart w:id="3301" w:name="_Toc38439111"/>
      <w:bookmarkStart w:id="3302" w:name="_Toc38439448"/>
      <w:bookmarkStart w:id="3303" w:name="_Toc38439785"/>
      <w:bookmarkStart w:id="3304" w:name="_Toc38440122"/>
      <w:bookmarkStart w:id="3305" w:name="_Toc38440459"/>
      <w:bookmarkStart w:id="3306" w:name="_Toc38440991"/>
      <w:bookmarkStart w:id="3307" w:name="_Toc38441323"/>
      <w:bookmarkStart w:id="3308" w:name="_Toc38441655"/>
      <w:bookmarkStart w:id="3309" w:name="_Toc38441983"/>
      <w:bookmarkStart w:id="3310" w:name="_Toc38442315"/>
      <w:bookmarkStart w:id="3311" w:name="_Toc38442647"/>
      <w:bookmarkStart w:id="3312" w:name="_Toc38442978"/>
      <w:bookmarkStart w:id="3313" w:name="_Toc38443309"/>
      <w:bookmarkStart w:id="3314" w:name="_Toc38443640"/>
      <w:bookmarkStart w:id="3315" w:name="_Toc38443970"/>
      <w:bookmarkStart w:id="3316" w:name="_Toc38438438"/>
      <w:bookmarkStart w:id="3317" w:name="_Toc38438775"/>
      <w:bookmarkStart w:id="3318" w:name="_Toc38439112"/>
      <w:bookmarkStart w:id="3319" w:name="_Toc38439449"/>
      <w:bookmarkStart w:id="3320" w:name="_Toc38439786"/>
      <w:bookmarkStart w:id="3321" w:name="_Toc38440123"/>
      <w:bookmarkStart w:id="3322" w:name="_Toc38440460"/>
      <w:bookmarkStart w:id="3323" w:name="_Toc38440992"/>
      <w:bookmarkStart w:id="3324" w:name="_Toc38441324"/>
      <w:bookmarkStart w:id="3325" w:name="_Toc38441656"/>
      <w:bookmarkStart w:id="3326" w:name="_Toc38441984"/>
      <w:bookmarkStart w:id="3327" w:name="_Toc38442316"/>
      <w:bookmarkStart w:id="3328" w:name="_Toc38442648"/>
      <w:bookmarkStart w:id="3329" w:name="_Toc38442979"/>
      <w:bookmarkStart w:id="3330" w:name="_Toc38443310"/>
      <w:bookmarkStart w:id="3331" w:name="_Toc38443641"/>
      <w:bookmarkStart w:id="3332" w:name="_Toc38443971"/>
      <w:bookmarkStart w:id="3333" w:name="_Toc38438439"/>
      <w:bookmarkStart w:id="3334" w:name="_Toc38438776"/>
      <w:bookmarkStart w:id="3335" w:name="_Toc38439113"/>
      <w:bookmarkStart w:id="3336" w:name="_Toc38439450"/>
      <w:bookmarkStart w:id="3337" w:name="_Toc38439787"/>
      <w:bookmarkStart w:id="3338" w:name="_Toc38440124"/>
      <w:bookmarkStart w:id="3339" w:name="_Toc38440461"/>
      <w:bookmarkStart w:id="3340" w:name="_Toc38440993"/>
      <w:bookmarkStart w:id="3341" w:name="_Toc38441325"/>
      <w:bookmarkStart w:id="3342" w:name="_Toc38441657"/>
      <w:bookmarkStart w:id="3343" w:name="_Toc38441985"/>
      <w:bookmarkStart w:id="3344" w:name="_Toc38442317"/>
      <w:bookmarkStart w:id="3345" w:name="_Toc38442649"/>
      <w:bookmarkStart w:id="3346" w:name="_Toc38442980"/>
      <w:bookmarkStart w:id="3347" w:name="_Toc38443311"/>
      <w:bookmarkStart w:id="3348" w:name="_Toc38443642"/>
      <w:bookmarkStart w:id="3349" w:name="_Toc38443972"/>
      <w:bookmarkStart w:id="3350" w:name="_Toc38438440"/>
      <w:bookmarkStart w:id="3351" w:name="_Toc38438777"/>
      <w:bookmarkStart w:id="3352" w:name="_Toc38439114"/>
      <w:bookmarkStart w:id="3353" w:name="_Toc38439451"/>
      <w:bookmarkStart w:id="3354" w:name="_Toc38439788"/>
      <w:bookmarkStart w:id="3355" w:name="_Toc38440125"/>
      <w:bookmarkStart w:id="3356" w:name="_Toc38440462"/>
      <w:bookmarkStart w:id="3357" w:name="_Toc38440994"/>
      <w:bookmarkStart w:id="3358" w:name="_Toc38441326"/>
      <w:bookmarkStart w:id="3359" w:name="_Toc38441658"/>
      <w:bookmarkStart w:id="3360" w:name="_Toc38441986"/>
      <w:bookmarkStart w:id="3361" w:name="_Toc38442318"/>
      <w:bookmarkStart w:id="3362" w:name="_Toc38442650"/>
      <w:bookmarkStart w:id="3363" w:name="_Toc38442981"/>
      <w:bookmarkStart w:id="3364" w:name="_Toc38443312"/>
      <w:bookmarkStart w:id="3365" w:name="_Toc38443643"/>
      <w:bookmarkStart w:id="3366" w:name="_Toc38443973"/>
      <w:bookmarkStart w:id="3367" w:name="_Toc38438441"/>
      <w:bookmarkStart w:id="3368" w:name="_Toc38438778"/>
      <w:bookmarkStart w:id="3369" w:name="_Toc38439115"/>
      <w:bookmarkStart w:id="3370" w:name="_Toc38439452"/>
      <w:bookmarkStart w:id="3371" w:name="_Toc38439789"/>
      <w:bookmarkStart w:id="3372" w:name="_Toc38440126"/>
      <w:bookmarkStart w:id="3373" w:name="_Toc38440463"/>
      <w:bookmarkStart w:id="3374" w:name="_Toc38440995"/>
      <w:bookmarkStart w:id="3375" w:name="_Toc38441327"/>
      <w:bookmarkStart w:id="3376" w:name="_Toc38441659"/>
      <w:bookmarkStart w:id="3377" w:name="_Toc38441987"/>
      <w:bookmarkStart w:id="3378" w:name="_Toc38442319"/>
      <w:bookmarkStart w:id="3379" w:name="_Toc38442651"/>
      <w:bookmarkStart w:id="3380" w:name="_Toc38442982"/>
      <w:bookmarkStart w:id="3381" w:name="_Toc38443313"/>
      <w:bookmarkStart w:id="3382" w:name="_Toc38443644"/>
      <w:bookmarkStart w:id="3383" w:name="_Toc38443974"/>
      <w:bookmarkStart w:id="3384" w:name="_Toc38438442"/>
      <w:bookmarkStart w:id="3385" w:name="_Toc38438779"/>
      <w:bookmarkStart w:id="3386" w:name="_Toc38439116"/>
      <w:bookmarkStart w:id="3387" w:name="_Toc38439453"/>
      <w:bookmarkStart w:id="3388" w:name="_Toc38439790"/>
      <w:bookmarkStart w:id="3389" w:name="_Toc38440127"/>
      <w:bookmarkStart w:id="3390" w:name="_Toc38440464"/>
      <w:bookmarkStart w:id="3391" w:name="_Toc38440996"/>
      <w:bookmarkStart w:id="3392" w:name="_Toc38441328"/>
      <w:bookmarkStart w:id="3393" w:name="_Toc38441660"/>
      <w:bookmarkStart w:id="3394" w:name="_Toc38441988"/>
      <w:bookmarkStart w:id="3395" w:name="_Toc38442320"/>
      <w:bookmarkStart w:id="3396" w:name="_Toc38442652"/>
      <w:bookmarkStart w:id="3397" w:name="_Toc38442983"/>
      <w:bookmarkStart w:id="3398" w:name="_Toc38443314"/>
      <w:bookmarkStart w:id="3399" w:name="_Toc38443645"/>
      <w:bookmarkStart w:id="3400" w:name="_Toc38443975"/>
      <w:bookmarkStart w:id="3401" w:name="_Toc38438443"/>
      <w:bookmarkStart w:id="3402" w:name="_Toc38438780"/>
      <w:bookmarkStart w:id="3403" w:name="_Toc38439117"/>
      <w:bookmarkStart w:id="3404" w:name="_Toc38439454"/>
      <w:bookmarkStart w:id="3405" w:name="_Toc38439791"/>
      <w:bookmarkStart w:id="3406" w:name="_Toc38440128"/>
      <w:bookmarkStart w:id="3407" w:name="_Toc38440465"/>
      <w:bookmarkStart w:id="3408" w:name="_Toc38440997"/>
      <w:bookmarkStart w:id="3409" w:name="_Toc38441329"/>
      <w:bookmarkStart w:id="3410" w:name="_Toc38441661"/>
      <w:bookmarkStart w:id="3411" w:name="_Toc38441989"/>
      <w:bookmarkStart w:id="3412" w:name="_Toc38442321"/>
      <w:bookmarkStart w:id="3413" w:name="_Toc38442653"/>
      <w:bookmarkStart w:id="3414" w:name="_Toc38442984"/>
      <w:bookmarkStart w:id="3415" w:name="_Toc38443315"/>
      <w:bookmarkStart w:id="3416" w:name="_Toc38443646"/>
      <w:bookmarkStart w:id="3417" w:name="_Toc38443976"/>
      <w:bookmarkStart w:id="3418" w:name="_Toc38438444"/>
      <w:bookmarkStart w:id="3419" w:name="_Toc38438781"/>
      <w:bookmarkStart w:id="3420" w:name="_Toc38439118"/>
      <w:bookmarkStart w:id="3421" w:name="_Toc38439455"/>
      <w:bookmarkStart w:id="3422" w:name="_Toc38439792"/>
      <w:bookmarkStart w:id="3423" w:name="_Toc38440129"/>
      <w:bookmarkStart w:id="3424" w:name="_Toc38440466"/>
      <w:bookmarkStart w:id="3425" w:name="_Toc38440998"/>
      <w:bookmarkStart w:id="3426" w:name="_Toc38441330"/>
      <w:bookmarkStart w:id="3427" w:name="_Toc38441662"/>
      <w:bookmarkStart w:id="3428" w:name="_Toc38441990"/>
      <w:bookmarkStart w:id="3429" w:name="_Toc38442322"/>
      <w:bookmarkStart w:id="3430" w:name="_Toc38442654"/>
      <w:bookmarkStart w:id="3431" w:name="_Toc38442985"/>
      <w:bookmarkStart w:id="3432" w:name="_Toc38443316"/>
      <w:bookmarkStart w:id="3433" w:name="_Toc38443647"/>
      <w:bookmarkStart w:id="3434" w:name="_Toc38443977"/>
      <w:bookmarkStart w:id="3435" w:name="_Toc38438445"/>
      <w:bookmarkStart w:id="3436" w:name="_Toc38438782"/>
      <w:bookmarkStart w:id="3437" w:name="_Toc38439119"/>
      <w:bookmarkStart w:id="3438" w:name="_Toc38439456"/>
      <w:bookmarkStart w:id="3439" w:name="_Toc38439793"/>
      <w:bookmarkStart w:id="3440" w:name="_Toc38440130"/>
      <w:bookmarkStart w:id="3441" w:name="_Toc38440467"/>
      <w:bookmarkStart w:id="3442" w:name="_Toc38440999"/>
      <w:bookmarkStart w:id="3443" w:name="_Toc38441331"/>
      <w:bookmarkStart w:id="3444" w:name="_Toc38441663"/>
      <w:bookmarkStart w:id="3445" w:name="_Toc38441991"/>
      <w:bookmarkStart w:id="3446" w:name="_Toc38442323"/>
      <w:bookmarkStart w:id="3447" w:name="_Toc38442655"/>
      <w:bookmarkStart w:id="3448" w:name="_Toc38442986"/>
      <w:bookmarkStart w:id="3449" w:name="_Toc38443317"/>
      <w:bookmarkStart w:id="3450" w:name="_Toc38443648"/>
      <w:bookmarkStart w:id="3451" w:name="_Toc38443978"/>
      <w:bookmarkStart w:id="3452" w:name="_Toc38438446"/>
      <w:bookmarkStart w:id="3453" w:name="_Toc38438783"/>
      <w:bookmarkStart w:id="3454" w:name="_Toc38439120"/>
      <w:bookmarkStart w:id="3455" w:name="_Toc38439457"/>
      <w:bookmarkStart w:id="3456" w:name="_Toc38439794"/>
      <w:bookmarkStart w:id="3457" w:name="_Toc38440131"/>
      <w:bookmarkStart w:id="3458" w:name="_Toc38440468"/>
      <w:bookmarkStart w:id="3459" w:name="_Toc38441000"/>
      <w:bookmarkStart w:id="3460" w:name="_Toc38441332"/>
      <w:bookmarkStart w:id="3461" w:name="_Toc38441664"/>
      <w:bookmarkStart w:id="3462" w:name="_Toc38441992"/>
      <w:bookmarkStart w:id="3463" w:name="_Toc38442324"/>
      <w:bookmarkStart w:id="3464" w:name="_Toc38442656"/>
      <w:bookmarkStart w:id="3465" w:name="_Toc38442987"/>
      <w:bookmarkStart w:id="3466" w:name="_Toc38443318"/>
      <w:bookmarkStart w:id="3467" w:name="_Toc38443649"/>
      <w:bookmarkStart w:id="3468" w:name="_Toc38443979"/>
      <w:bookmarkStart w:id="3469" w:name="_Toc38438447"/>
      <w:bookmarkStart w:id="3470" w:name="_Toc38438784"/>
      <w:bookmarkStart w:id="3471" w:name="_Toc38439121"/>
      <w:bookmarkStart w:id="3472" w:name="_Toc38439458"/>
      <w:bookmarkStart w:id="3473" w:name="_Toc38439795"/>
      <w:bookmarkStart w:id="3474" w:name="_Toc38440132"/>
      <w:bookmarkStart w:id="3475" w:name="_Toc38440469"/>
      <w:bookmarkStart w:id="3476" w:name="_Toc38441001"/>
      <w:bookmarkStart w:id="3477" w:name="_Toc38441333"/>
      <w:bookmarkStart w:id="3478" w:name="_Toc38441665"/>
      <w:bookmarkStart w:id="3479" w:name="_Toc38441993"/>
      <w:bookmarkStart w:id="3480" w:name="_Toc38442325"/>
      <w:bookmarkStart w:id="3481" w:name="_Toc38442657"/>
      <w:bookmarkStart w:id="3482" w:name="_Toc38442988"/>
      <w:bookmarkStart w:id="3483" w:name="_Toc38443319"/>
      <w:bookmarkStart w:id="3484" w:name="_Toc38443650"/>
      <w:bookmarkStart w:id="3485" w:name="_Toc38443980"/>
      <w:bookmarkStart w:id="3486" w:name="_Toc38438448"/>
      <w:bookmarkStart w:id="3487" w:name="_Toc38438785"/>
      <w:bookmarkStart w:id="3488" w:name="_Toc38439122"/>
      <w:bookmarkStart w:id="3489" w:name="_Toc38439459"/>
      <w:bookmarkStart w:id="3490" w:name="_Toc38439796"/>
      <w:bookmarkStart w:id="3491" w:name="_Toc38440133"/>
      <w:bookmarkStart w:id="3492" w:name="_Toc38440470"/>
      <w:bookmarkStart w:id="3493" w:name="_Toc38441002"/>
      <w:bookmarkStart w:id="3494" w:name="_Toc38441334"/>
      <w:bookmarkStart w:id="3495" w:name="_Toc38441666"/>
      <w:bookmarkStart w:id="3496" w:name="_Toc38441994"/>
      <w:bookmarkStart w:id="3497" w:name="_Toc38442326"/>
      <w:bookmarkStart w:id="3498" w:name="_Toc38442658"/>
      <w:bookmarkStart w:id="3499" w:name="_Toc38442989"/>
      <w:bookmarkStart w:id="3500" w:name="_Toc38443320"/>
      <w:bookmarkStart w:id="3501" w:name="_Toc38443651"/>
      <w:bookmarkStart w:id="3502" w:name="_Toc38443981"/>
      <w:bookmarkStart w:id="3503" w:name="_Toc38438449"/>
      <w:bookmarkStart w:id="3504" w:name="_Toc38438786"/>
      <w:bookmarkStart w:id="3505" w:name="_Toc38439123"/>
      <w:bookmarkStart w:id="3506" w:name="_Toc38439460"/>
      <w:bookmarkStart w:id="3507" w:name="_Toc38439797"/>
      <w:bookmarkStart w:id="3508" w:name="_Toc38440134"/>
      <w:bookmarkStart w:id="3509" w:name="_Toc38440471"/>
      <w:bookmarkStart w:id="3510" w:name="_Toc38441003"/>
      <w:bookmarkStart w:id="3511" w:name="_Toc38441335"/>
      <w:bookmarkStart w:id="3512" w:name="_Toc38441667"/>
      <w:bookmarkStart w:id="3513" w:name="_Toc38441995"/>
      <w:bookmarkStart w:id="3514" w:name="_Toc38442327"/>
      <w:bookmarkStart w:id="3515" w:name="_Toc38442659"/>
      <w:bookmarkStart w:id="3516" w:name="_Toc38442990"/>
      <w:bookmarkStart w:id="3517" w:name="_Toc38443321"/>
      <w:bookmarkStart w:id="3518" w:name="_Toc38443652"/>
      <w:bookmarkStart w:id="3519" w:name="_Toc38443982"/>
      <w:bookmarkStart w:id="3520" w:name="_Toc38438450"/>
      <w:bookmarkStart w:id="3521" w:name="_Toc38438787"/>
      <w:bookmarkStart w:id="3522" w:name="_Toc38439124"/>
      <w:bookmarkStart w:id="3523" w:name="_Toc38439461"/>
      <w:bookmarkStart w:id="3524" w:name="_Toc38439798"/>
      <w:bookmarkStart w:id="3525" w:name="_Toc38440135"/>
      <w:bookmarkStart w:id="3526" w:name="_Toc38440472"/>
      <w:bookmarkStart w:id="3527" w:name="_Toc38441004"/>
      <w:bookmarkStart w:id="3528" w:name="_Toc38441336"/>
      <w:bookmarkStart w:id="3529" w:name="_Toc38441668"/>
      <w:bookmarkStart w:id="3530" w:name="_Toc38441996"/>
      <w:bookmarkStart w:id="3531" w:name="_Toc38442328"/>
      <w:bookmarkStart w:id="3532" w:name="_Toc38442660"/>
      <w:bookmarkStart w:id="3533" w:name="_Toc38442991"/>
      <w:bookmarkStart w:id="3534" w:name="_Toc38443322"/>
      <w:bookmarkStart w:id="3535" w:name="_Toc38443653"/>
      <w:bookmarkStart w:id="3536" w:name="_Toc38443983"/>
      <w:bookmarkStart w:id="3537" w:name="_Toc38438451"/>
      <w:bookmarkStart w:id="3538" w:name="_Toc38438788"/>
      <w:bookmarkStart w:id="3539" w:name="_Toc38439125"/>
      <w:bookmarkStart w:id="3540" w:name="_Toc38439462"/>
      <w:bookmarkStart w:id="3541" w:name="_Toc38439799"/>
      <w:bookmarkStart w:id="3542" w:name="_Toc38440136"/>
      <w:bookmarkStart w:id="3543" w:name="_Toc38440473"/>
      <w:bookmarkStart w:id="3544" w:name="_Toc38441005"/>
      <w:bookmarkStart w:id="3545" w:name="_Toc38441337"/>
      <w:bookmarkStart w:id="3546" w:name="_Toc38441669"/>
      <w:bookmarkStart w:id="3547" w:name="_Toc38441997"/>
      <w:bookmarkStart w:id="3548" w:name="_Toc38442329"/>
      <w:bookmarkStart w:id="3549" w:name="_Toc38442661"/>
      <w:bookmarkStart w:id="3550" w:name="_Toc38442992"/>
      <w:bookmarkStart w:id="3551" w:name="_Toc38443323"/>
      <w:bookmarkStart w:id="3552" w:name="_Toc38443654"/>
      <w:bookmarkStart w:id="3553" w:name="_Toc38443984"/>
      <w:bookmarkStart w:id="3554" w:name="_Toc38438452"/>
      <w:bookmarkStart w:id="3555" w:name="_Toc38438789"/>
      <w:bookmarkStart w:id="3556" w:name="_Toc38439126"/>
      <w:bookmarkStart w:id="3557" w:name="_Toc38439463"/>
      <w:bookmarkStart w:id="3558" w:name="_Toc38439800"/>
      <w:bookmarkStart w:id="3559" w:name="_Toc38440137"/>
      <w:bookmarkStart w:id="3560" w:name="_Toc38440474"/>
      <w:bookmarkStart w:id="3561" w:name="_Toc38441006"/>
      <w:bookmarkStart w:id="3562" w:name="_Toc38441338"/>
      <w:bookmarkStart w:id="3563" w:name="_Toc38441670"/>
      <w:bookmarkStart w:id="3564" w:name="_Toc38441998"/>
      <w:bookmarkStart w:id="3565" w:name="_Toc38442330"/>
      <w:bookmarkStart w:id="3566" w:name="_Toc38442662"/>
      <w:bookmarkStart w:id="3567" w:name="_Toc38442993"/>
      <w:bookmarkStart w:id="3568" w:name="_Toc38443324"/>
      <w:bookmarkStart w:id="3569" w:name="_Toc38443655"/>
      <w:bookmarkStart w:id="3570" w:name="_Toc38443985"/>
      <w:bookmarkStart w:id="3571" w:name="_Toc38438453"/>
      <w:bookmarkStart w:id="3572" w:name="_Toc38438790"/>
      <w:bookmarkStart w:id="3573" w:name="_Toc38439127"/>
      <w:bookmarkStart w:id="3574" w:name="_Toc38439464"/>
      <w:bookmarkStart w:id="3575" w:name="_Toc38439801"/>
      <w:bookmarkStart w:id="3576" w:name="_Toc38440138"/>
      <w:bookmarkStart w:id="3577" w:name="_Toc38440475"/>
      <w:bookmarkStart w:id="3578" w:name="_Toc38441007"/>
      <w:bookmarkStart w:id="3579" w:name="_Toc38441339"/>
      <w:bookmarkStart w:id="3580" w:name="_Toc38441671"/>
      <w:bookmarkStart w:id="3581" w:name="_Toc38441999"/>
      <w:bookmarkStart w:id="3582" w:name="_Toc38442331"/>
      <w:bookmarkStart w:id="3583" w:name="_Toc38442663"/>
      <w:bookmarkStart w:id="3584" w:name="_Toc38442994"/>
      <w:bookmarkStart w:id="3585" w:name="_Toc38443325"/>
      <w:bookmarkStart w:id="3586" w:name="_Toc38443656"/>
      <w:bookmarkStart w:id="3587" w:name="_Toc38443986"/>
      <w:bookmarkStart w:id="3588" w:name="_Toc38438454"/>
      <w:bookmarkStart w:id="3589" w:name="_Toc38438791"/>
      <w:bookmarkStart w:id="3590" w:name="_Toc38439128"/>
      <w:bookmarkStart w:id="3591" w:name="_Toc38439465"/>
      <w:bookmarkStart w:id="3592" w:name="_Toc38439802"/>
      <w:bookmarkStart w:id="3593" w:name="_Toc38440139"/>
      <w:bookmarkStart w:id="3594" w:name="_Toc38440476"/>
      <w:bookmarkStart w:id="3595" w:name="_Toc38441008"/>
      <w:bookmarkStart w:id="3596" w:name="_Toc38441340"/>
      <w:bookmarkStart w:id="3597" w:name="_Toc38441672"/>
      <w:bookmarkStart w:id="3598" w:name="_Toc38442000"/>
      <w:bookmarkStart w:id="3599" w:name="_Toc38442332"/>
      <w:bookmarkStart w:id="3600" w:name="_Toc38442664"/>
      <w:bookmarkStart w:id="3601" w:name="_Toc38442995"/>
      <w:bookmarkStart w:id="3602" w:name="_Toc38443326"/>
      <w:bookmarkStart w:id="3603" w:name="_Toc38443657"/>
      <w:bookmarkStart w:id="3604" w:name="_Toc38443987"/>
      <w:bookmarkStart w:id="3605" w:name="_Toc38438455"/>
      <w:bookmarkStart w:id="3606" w:name="_Toc38438792"/>
      <w:bookmarkStart w:id="3607" w:name="_Toc38439129"/>
      <w:bookmarkStart w:id="3608" w:name="_Toc38439466"/>
      <w:bookmarkStart w:id="3609" w:name="_Toc38439803"/>
      <w:bookmarkStart w:id="3610" w:name="_Toc38440140"/>
      <w:bookmarkStart w:id="3611" w:name="_Toc38440477"/>
      <w:bookmarkStart w:id="3612" w:name="_Toc38441009"/>
      <w:bookmarkStart w:id="3613" w:name="_Toc38441341"/>
      <w:bookmarkStart w:id="3614" w:name="_Toc38441673"/>
      <w:bookmarkStart w:id="3615" w:name="_Toc38442001"/>
      <w:bookmarkStart w:id="3616" w:name="_Toc38442333"/>
      <w:bookmarkStart w:id="3617" w:name="_Toc38442665"/>
      <w:bookmarkStart w:id="3618" w:name="_Toc38442996"/>
      <w:bookmarkStart w:id="3619" w:name="_Toc38443327"/>
      <w:bookmarkStart w:id="3620" w:name="_Toc38443658"/>
      <w:bookmarkStart w:id="3621" w:name="_Toc38443988"/>
      <w:bookmarkStart w:id="3622" w:name="_Toc38438456"/>
      <w:bookmarkStart w:id="3623" w:name="_Toc38438793"/>
      <w:bookmarkStart w:id="3624" w:name="_Toc38439130"/>
      <w:bookmarkStart w:id="3625" w:name="_Toc38439467"/>
      <w:bookmarkStart w:id="3626" w:name="_Toc38439804"/>
      <w:bookmarkStart w:id="3627" w:name="_Toc38440141"/>
      <w:bookmarkStart w:id="3628" w:name="_Toc38440478"/>
      <w:bookmarkStart w:id="3629" w:name="_Toc38441010"/>
      <w:bookmarkStart w:id="3630" w:name="_Toc38441342"/>
      <w:bookmarkStart w:id="3631" w:name="_Toc38441674"/>
      <w:bookmarkStart w:id="3632" w:name="_Toc38442002"/>
      <w:bookmarkStart w:id="3633" w:name="_Toc38442334"/>
      <w:bookmarkStart w:id="3634" w:name="_Toc38442666"/>
      <w:bookmarkStart w:id="3635" w:name="_Toc38442997"/>
      <w:bookmarkStart w:id="3636" w:name="_Toc38443328"/>
      <w:bookmarkStart w:id="3637" w:name="_Toc38443659"/>
      <w:bookmarkStart w:id="3638" w:name="_Toc38443989"/>
      <w:bookmarkStart w:id="3639" w:name="_Toc38438457"/>
      <w:bookmarkStart w:id="3640" w:name="_Toc38438794"/>
      <w:bookmarkStart w:id="3641" w:name="_Toc38439131"/>
      <w:bookmarkStart w:id="3642" w:name="_Toc38439468"/>
      <w:bookmarkStart w:id="3643" w:name="_Toc38439805"/>
      <w:bookmarkStart w:id="3644" w:name="_Toc38440142"/>
      <w:bookmarkStart w:id="3645" w:name="_Toc38440479"/>
      <w:bookmarkStart w:id="3646" w:name="_Toc38441011"/>
      <w:bookmarkStart w:id="3647" w:name="_Toc38441343"/>
      <w:bookmarkStart w:id="3648" w:name="_Toc38441675"/>
      <w:bookmarkStart w:id="3649" w:name="_Toc38442003"/>
      <w:bookmarkStart w:id="3650" w:name="_Toc38442335"/>
      <w:bookmarkStart w:id="3651" w:name="_Toc38442667"/>
      <w:bookmarkStart w:id="3652" w:name="_Toc38442998"/>
      <w:bookmarkStart w:id="3653" w:name="_Toc38443329"/>
      <w:bookmarkStart w:id="3654" w:name="_Toc38443660"/>
      <w:bookmarkStart w:id="3655" w:name="_Toc38443990"/>
      <w:bookmarkStart w:id="3656" w:name="_Toc38438458"/>
      <w:bookmarkStart w:id="3657" w:name="_Toc38438795"/>
      <w:bookmarkStart w:id="3658" w:name="_Toc38439132"/>
      <w:bookmarkStart w:id="3659" w:name="_Toc38439469"/>
      <w:bookmarkStart w:id="3660" w:name="_Toc38439806"/>
      <w:bookmarkStart w:id="3661" w:name="_Toc38440143"/>
      <w:bookmarkStart w:id="3662" w:name="_Toc38440480"/>
      <w:bookmarkStart w:id="3663" w:name="_Toc38441012"/>
      <w:bookmarkStart w:id="3664" w:name="_Toc38441344"/>
      <w:bookmarkStart w:id="3665" w:name="_Toc38441676"/>
      <w:bookmarkStart w:id="3666" w:name="_Toc38442004"/>
      <w:bookmarkStart w:id="3667" w:name="_Toc38442336"/>
      <w:bookmarkStart w:id="3668" w:name="_Toc38442668"/>
      <w:bookmarkStart w:id="3669" w:name="_Toc38442999"/>
      <w:bookmarkStart w:id="3670" w:name="_Toc38443330"/>
      <w:bookmarkStart w:id="3671" w:name="_Toc38443661"/>
      <w:bookmarkStart w:id="3672" w:name="_Toc38443991"/>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p>
    <w:sectPr>
      <w:footerReference w:type="default" r:id="rId20"/>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pPr>
      <w:pStyle w:val="Footer"/>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97367D">
    <w:pPr>
      <w:pStyle w:val="Footer"/>
      <w:snapToGrid/>
      <w:ind w:right="360" w:firstLine="360"/>
    </w:pPr>
  </w:p>
  <w:p w:rsidR="0097367D">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pPr>
      <w:pStyle w:val="Footer"/>
      <w:snapToGrid/>
      <w:ind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pPr>
      <w:pStyle w:val="Footer"/>
      <w:snapToGrid/>
      <w:ind w:firstLine="360"/>
      <w:jc w:val="center"/>
    </w:pPr>
    <w:r>
      <w:fldChar w:fldCharType="begin"/>
    </w:r>
    <w:r>
      <w:rPr>
        <w:highlight w:val="white"/>
      </w:rPr>
      <w:instrText xml:space="preserve"> PAGE   \* MERGEFORMAT </w:instrText>
    </w:r>
    <w:r>
      <w:fldChar w:fldCharType="separate"/>
    </w:r>
    <w:r w:rsidRPr="006C2C8D" w:rsidR="006C2C8D">
      <w:rPr>
        <w:noProof/>
        <w:highlight w:val="white"/>
        <w:lang w:val="zh-CN"/>
      </w:rPr>
      <w:t>126</w:t>
    </w:r>
    <w:r>
      <w:rPr>
        <w:lang w:val="zh-C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6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9A1FB5"/>
    <w:multiLevelType w:val="multilevel"/>
    <w:tmpl w:val="069A1FB5"/>
    <w:lvl w:ilvl="0">
      <w:start w:val="1"/>
      <w:numFmt w:val="chineseCountingThousand"/>
      <w:suff w:val="space"/>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bullet"/>
      <w:pStyle w:val="Heading4"/>
      <w:suff w:val="nothing"/>
      <w:lvlText w:val="·"/>
      <w:lvlJc w:val="left"/>
      <w:pPr>
        <w:ind w:left="851" w:firstLine="0"/>
      </w:pPr>
      <w:rPr>
        <w:rFonts w:hint="eastAsia"/>
      </w:rPr>
    </w:lvl>
    <w:lvl w:ilvl="4">
      <w:start w:val="1"/>
      <w:numFmt w:val="bullet"/>
      <w:pStyle w:val="Heading5"/>
      <w:suff w:val="nothing"/>
      <w:lvlText w:val="o"/>
      <w:lvlJc w:val="left"/>
      <w:pPr>
        <w:ind w:left="851" w:firstLine="0"/>
      </w:pPr>
      <w:rPr>
        <w:rFonts w:hint="eastAsia"/>
      </w:rPr>
    </w:lvl>
    <w:lvl w:ilvl="5">
      <w:start w:val="1"/>
      <w:numFmt w:val="bullet"/>
      <w:pStyle w:val="Heading6"/>
      <w:suff w:val="nothing"/>
      <w:lvlText w:val="§"/>
      <w:lvlJc w:val="left"/>
      <w:pPr>
        <w:ind w:left="851" w:firstLine="0"/>
      </w:pPr>
      <w:rPr>
        <w:rFonts w:hint="eastAsia"/>
      </w:rPr>
    </w:lvl>
    <w:lvl w:ilvl="6">
      <w:start w:val="1"/>
      <w:numFmt w:val="bullet"/>
      <w:pStyle w:val="Heading7"/>
      <w:suff w:val="nothing"/>
      <w:lvlText w:val="·"/>
      <w:lvlJc w:val="left"/>
      <w:pPr>
        <w:ind w:left="851" w:firstLine="0"/>
      </w:pPr>
      <w:rPr>
        <w:rFonts w:hint="eastAsia"/>
      </w:rPr>
    </w:lvl>
    <w:lvl w:ilvl="7">
      <w:start w:val="1"/>
      <w:numFmt w:val="bullet"/>
      <w:pStyle w:val="Heading8"/>
      <w:suff w:val="nothing"/>
      <w:lvlText w:val="o"/>
      <w:lvlJc w:val="left"/>
      <w:pPr>
        <w:ind w:left="851" w:firstLine="0"/>
      </w:pPr>
      <w:rPr>
        <w:rFonts w:hint="eastAsia"/>
      </w:rPr>
    </w:lvl>
    <w:lvl w:ilvl="8">
      <w:start w:val="1"/>
      <w:numFmt w:val="bullet"/>
      <w:pStyle w:val="Heading9"/>
      <w:suff w:val="nothing"/>
      <w:lvlText w:val="§"/>
      <w:lvlJc w:val="left"/>
      <w:pPr>
        <w:ind w:left="851" w:firstLine="0"/>
      </w:pPr>
      <w:rPr>
        <w:rFonts w:hint="eastAsia"/>
      </w:rPr>
    </w:lvl>
  </w:abstractNum>
  <w:abstractNum w:abstractNumId="1">
    <w:nsid w:val="0B0747EA"/>
    <w:multiLevelType w:val="multilevel"/>
    <w:tmpl w:val="0B0747EA"/>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76AE01CE"/>
    <w:multiLevelType w:val="multilevel"/>
    <w:tmpl w:val="76AE01CE"/>
    <w:lvl w:ilvl="0">
      <w:start w:val="1"/>
      <w:numFmt w:val="chineseCounting"/>
      <w:lvlText w:val="（%1）"/>
      <w:lvlJc w:val="left"/>
      <w:pPr>
        <w:tabs>
          <w:tab w:val="left" w:pos="990"/>
        </w:tabs>
        <w:ind w:left="990" w:hanging="840"/>
      </w:pPr>
      <w:rPr>
        <w:rFonts w:hint="eastAsia"/>
      </w:rPr>
    </w:lvl>
    <w:lvl w:ilvl="1">
      <w:start w:val="1"/>
      <w:numFmt w:val="decimal"/>
      <w:lvlText w:val="（%2）"/>
      <w:lvlJc w:val="left"/>
      <w:pPr>
        <w:tabs>
          <w:tab w:val="left" w:pos="1290"/>
        </w:tabs>
        <w:ind w:left="1290" w:hanging="720"/>
      </w:pPr>
      <w:rPr>
        <w:rFonts w:hint="eastAsia"/>
      </w:rPr>
    </w:lvl>
    <w:lvl w:ilvl="2">
      <w:start w:val="4"/>
      <w:numFmt w:val="chineseCounting"/>
      <w:pStyle w:val="Heading3"/>
      <w:lvlText w:val="%3、"/>
      <w:lvlJc w:val="left"/>
      <w:pPr>
        <w:tabs>
          <w:tab w:val="left" w:pos="1710"/>
        </w:tabs>
        <w:ind w:left="1710" w:hanging="720"/>
      </w:pPr>
      <w:rPr>
        <w:rFonts w:eastAsia="宋体" w:hint="eastAsia"/>
        <w:b/>
        <w:color w:val="auto"/>
      </w:r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梅源">
    <w15:presenceInfo w15:providerId="None" w15:userId="梅源"/>
  </w15:person>
  <w15:person w15:author="冯聪">
    <w15:presenceInfo w15:providerId="None" w15:userId="冯聪"/>
  </w15:person>
  <w15:person w15:author="王子豪0331">
    <w15:presenceInfo w15:providerId="None" w15:userId="王子豪0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bordersDoNotSurroundHeader/>
  <w:bordersDoNotSurroundFooter/>
  <w:proofState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26"/>
    <w:rsid w:val="A7BF876D"/>
    <w:rsid w:val="BDA83612"/>
    <w:rsid w:val="EFFD0ECC"/>
    <w:rsid w:val="FEC5FD04"/>
    <w:rsid w:val="00052DC5"/>
    <w:rsid w:val="00073A26"/>
    <w:rsid w:val="00164776"/>
    <w:rsid w:val="001E5C91"/>
    <w:rsid w:val="001F7211"/>
    <w:rsid w:val="00221B89"/>
    <w:rsid w:val="00281013"/>
    <w:rsid w:val="00301325"/>
    <w:rsid w:val="0035666E"/>
    <w:rsid w:val="004822F3"/>
    <w:rsid w:val="004A41B5"/>
    <w:rsid w:val="005716F5"/>
    <w:rsid w:val="005B60B1"/>
    <w:rsid w:val="00657CC9"/>
    <w:rsid w:val="00677BA8"/>
    <w:rsid w:val="00682670"/>
    <w:rsid w:val="006C2C8D"/>
    <w:rsid w:val="006C5ADD"/>
    <w:rsid w:val="007D039E"/>
    <w:rsid w:val="008D6124"/>
    <w:rsid w:val="00913945"/>
    <w:rsid w:val="009410D2"/>
    <w:rsid w:val="00957C22"/>
    <w:rsid w:val="00962530"/>
    <w:rsid w:val="0097367D"/>
    <w:rsid w:val="00A4564A"/>
    <w:rsid w:val="00B54B84"/>
    <w:rsid w:val="00B657D7"/>
    <w:rsid w:val="00BC207D"/>
    <w:rsid w:val="00C92B26"/>
    <w:rsid w:val="00E03835"/>
    <w:rsid w:val="00FA0C15"/>
    <w:rsid w:val="00FC6B87"/>
    <w:rsid w:val="2F2F334F"/>
    <w:rsid w:val="77E60D3B"/>
    <w:rsid w:val="7F59E0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12437EE0-7113-46C0-A3D1-DACBB475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4"/>
      <w:lang w:eastAsia="en-US"/>
    </w:rPr>
  </w:style>
  <w:style w:type="paragraph" w:styleId="Heading1">
    <w:name w:val="heading 1"/>
    <w:basedOn w:val="Normal"/>
    <w:next w:val="Normal"/>
    <w:link w:val="1"/>
    <w:qFormat/>
    <w:pPr>
      <w:keepNext/>
      <w:ind w:firstLine="200"/>
      <w:jc w:val="center"/>
      <w:outlineLvl w:val="0"/>
    </w:pPr>
    <w:rPr>
      <w:rFonts w:ascii="黑体" w:eastAsia="黑体"/>
      <w:sz w:val="32"/>
      <w:szCs w:val="32"/>
    </w:rPr>
  </w:style>
  <w:style w:type="paragraph" w:styleId="Heading2">
    <w:name w:val="heading 2"/>
    <w:basedOn w:val="Normal"/>
    <w:next w:val="Normal"/>
    <w:link w:val="2"/>
    <w:qFormat/>
    <w:pPr>
      <w:keepNext/>
      <w:keepLines/>
      <w:ind w:firstLine="200"/>
      <w:outlineLvl w:val="1"/>
    </w:pPr>
    <w:rPr>
      <w:b/>
      <w:sz w:val="28"/>
      <w:szCs w:val="28"/>
    </w:rPr>
  </w:style>
  <w:style w:type="paragraph" w:styleId="Heading3">
    <w:name w:val="heading 3"/>
    <w:basedOn w:val="Normal"/>
    <w:next w:val="Normal"/>
    <w:link w:val="3"/>
    <w:qFormat/>
    <w:pPr>
      <w:numPr>
        <w:ilvl w:val="2"/>
        <w:numId w:val="1"/>
      </w:numPr>
      <w:spacing w:before="260" w:after="260" w:line="416" w:lineRule="auto"/>
      <w:outlineLvl w:val="2"/>
    </w:pPr>
    <w:rPr>
      <w:rFonts w:ascii="仿宋_GB2312" w:eastAsia="仿宋_GB2312"/>
      <w:sz w:val="24"/>
      <w:szCs w:val="20"/>
    </w:rPr>
  </w:style>
  <w:style w:type="paragraph" w:styleId="Heading4">
    <w:name w:val="heading 4"/>
    <w:basedOn w:val="Normal"/>
    <w:next w:val="Normal"/>
    <w:link w:val="4"/>
    <w:qFormat/>
    <w:pPr>
      <w:keepNext/>
      <w:keepLines/>
      <w:numPr>
        <w:ilvl w:val="3"/>
        <w:numId w:val="2"/>
      </w:numPr>
      <w:spacing w:before="280" w:after="290" w:line="376" w:lineRule="auto"/>
      <w:outlineLvl w:val="3"/>
    </w:pPr>
    <w:rPr>
      <w:rFonts w:eastAsia="黑体"/>
      <w:b/>
      <w:bCs/>
      <w:sz w:val="28"/>
      <w:szCs w:val="28"/>
    </w:rPr>
  </w:style>
  <w:style w:type="paragraph" w:styleId="Heading5">
    <w:name w:val="heading 5"/>
    <w:basedOn w:val="Normal"/>
    <w:next w:val="Normal"/>
    <w:link w:val="5"/>
    <w:qFormat/>
    <w:pPr>
      <w:keepNext/>
      <w:keepLines/>
      <w:numPr>
        <w:ilvl w:val="4"/>
        <w:numId w:val="2"/>
      </w:numPr>
      <w:spacing w:before="280" w:after="290" w:line="376" w:lineRule="auto"/>
      <w:ind w:firstLine="200"/>
      <w:outlineLvl w:val="4"/>
    </w:pPr>
    <w:rPr>
      <w:b/>
      <w:bCs/>
      <w:sz w:val="28"/>
      <w:szCs w:val="28"/>
    </w:rPr>
  </w:style>
  <w:style w:type="paragraph" w:styleId="Heading6">
    <w:name w:val="heading 6"/>
    <w:basedOn w:val="Normal"/>
    <w:next w:val="Normal"/>
    <w:link w:val="6"/>
    <w:qFormat/>
    <w:pPr>
      <w:keepNext/>
      <w:keepLines/>
      <w:numPr>
        <w:ilvl w:val="5"/>
        <w:numId w:val="2"/>
      </w:numPr>
      <w:spacing w:before="240" w:after="64" w:line="320" w:lineRule="auto"/>
      <w:ind w:firstLine="200"/>
      <w:outlineLvl w:val="5"/>
    </w:pPr>
    <w:rPr>
      <w:rFonts w:eastAsia="黑体"/>
      <w:b/>
      <w:bCs/>
      <w:sz w:val="24"/>
    </w:rPr>
  </w:style>
  <w:style w:type="paragraph" w:styleId="Heading7">
    <w:name w:val="heading 7"/>
    <w:basedOn w:val="Normal"/>
    <w:next w:val="Normal"/>
    <w:link w:val="7"/>
    <w:qFormat/>
    <w:pPr>
      <w:keepNext/>
      <w:keepLines/>
      <w:numPr>
        <w:ilvl w:val="6"/>
        <w:numId w:val="2"/>
      </w:numPr>
      <w:spacing w:before="240" w:after="64" w:line="320" w:lineRule="auto"/>
      <w:ind w:firstLine="200"/>
      <w:outlineLvl w:val="6"/>
    </w:pPr>
    <w:rPr>
      <w:b/>
      <w:bCs/>
      <w:sz w:val="24"/>
    </w:rPr>
  </w:style>
  <w:style w:type="paragraph" w:styleId="Heading8">
    <w:name w:val="heading 8"/>
    <w:basedOn w:val="Normal"/>
    <w:next w:val="Normal"/>
    <w:link w:val="8"/>
    <w:qFormat/>
    <w:pPr>
      <w:keepNext/>
      <w:keepLines/>
      <w:numPr>
        <w:ilvl w:val="7"/>
        <w:numId w:val="2"/>
      </w:numPr>
      <w:spacing w:before="240" w:after="64" w:line="320" w:lineRule="auto"/>
      <w:ind w:firstLine="200"/>
      <w:outlineLvl w:val="7"/>
    </w:pPr>
    <w:rPr>
      <w:rFonts w:eastAsia="黑体"/>
      <w:sz w:val="24"/>
    </w:rPr>
  </w:style>
  <w:style w:type="paragraph" w:styleId="Heading9">
    <w:name w:val="heading 9"/>
    <w:basedOn w:val="Normal"/>
    <w:next w:val="Normal"/>
    <w:link w:val="9"/>
    <w:qFormat/>
    <w:pPr>
      <w:keepNext/>
      <w:keepLines/>
      <w:numPr>
        <w:ilvl w:val="8"/>
        <w:numId w:val="2"/>
      </w:numPr>
      <w:spacing w:before="240" w:after="64" w:line="320" w:lineRule="auto"/>
      <w:ind w:firstLine="200"/>
      <w:outlineLvl w:val="8"/>
    </w:pPr>
    <w:rPr>
      <w:rFonts w:eastAsia="黑体"/>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6"/>
    <w:qFormat/>
    <w:rPr>
      <w:rFonts w:ascii="宋体"/>
      <w:sz w:val="18"/>
      <w:szCs w:val="18"/>
    </w:rPr>
  </w:style>
  <w:style w:type="paragraph" w:styleId="CommentText">
    <w:name w:val="annotation text"/>
    <w:basedOn w:val="Normal"/>
    <w:link w:val="a5"/>
    <w:qFormat/>
    <w:pPr>
      <w:jc w:val="left"/>
    </w:pPr>
  </w:style>
  <w:style w:type="paragraph" w:styleId="BodyText">
    <w:name w:val="Body Text"/>
    <w:basedOn w:val="Normal"/>
    <w:qFormat/>
    <w:pPr>
      <w:numPr>
        <w:ilvl w:val="1"/>
        <w:numId w:val="3"/>
      </w:numPr>
      <w:tabs>
        <w:tab w:val="left" w:pos="0"/>
      </w:tabs>
      <w:ind w:left="0" w:firstLine="540"/>
      <w:jc w:val="left"/>
    </w:pPr>
    <w:rPr>
      <w:rFonts w:ascii="宋体"/>
      <w:sz w:val="24"/>
    </w:rPr>
  </w:style>
  <w:style w:type="paragraph" w:styleId="BodyTextIndent">
    <w:name w:val="Body Text Indent"/>
    <w:basedOn w:val="Normal"/>
    <w:link w:val="a11"/>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a9"/>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0"/>
    <w:semiHidden/>
    <w:unhideWhenUsed/>
    <w:qFormat/>
    <w:pPr>
      <w:spacing w:after="120" w:line="480" w:lineRule="auto"/>
      <w:ind w:left="420"/>
    </w:pPr>
  </w:style>
  <w:style w:type="paragraph" w:styleId="EndnoteText">
    <w:name w:val="endnote text"/>
    <w:basedOn w:val="Normal"/>
    <w:link w:val="a"/>
    <w:uiPriority w:val="99"/>
    <w:semiHidden/>
    <w:unhideWhenUsed/>
    <w:qFormat/>
    <w:rPr>
      <w:sz w:val="20"/>
    </w:rPr>
  </w:style>
  <w:style w:type="paragraph" w:styleId="BalloonText">
    <w:name w:val="Balloon Text"/>
    <w:basedOn w:val="Normal"/>
    <w:semiHidden/>
    <w:qFormat/>
    <w:pPr>
      <w:ind w:firstLine="200"/>
    </w:pPr>
    <w:rPr>
      <w:sz w:val="18"/>
      <w:szCs w:val="18"/>
    </w:rPr>
  </w:style>
  <w:style w:type="paragraph" w:styleId="Footer">
    <w:name w:val="footer"/>
    <w:basedOn w:val="Normal"/>
    <w:link w:val="a8"/>
    <w:uiPriority w:val="99"/>
    <w:qFormat/>
    <w:pPr>
      <w:tabs>
        <w:tab w:val="center" w:pos="4153"/>
        <w:tab w:val="right" w:pos="8306"/>
      </w:tabs>
      <w:snapToGrid w:val="0"/>
      <w:ind w:firstLine="200"/>
      <w:jc w:val="left"/>
    </w:pPr>
    <w:rPr>
      <w:rFonts w:eastAsia="仿宋_GB2312"/>
      <w:sz w:val="18"/>
      <w:szCs w:val="20"/>
    </w:rPr>
  </w:style>
  <w:style w:type="paragraph" w:styleId="Header">
    <w:name w:val="header"/>
    <w:basedOn w:val="Normal"/>
    <w:link w:val="a7"/>
    <w:uiPriority w:val="99"/>
    <w:qFormat/>
    <w:pPr>
      <w:pBdr>
        <w:bottom w:val="single" w:sz="6" w:space="1" w:color="auto"/>
      </w:pBdr>
      <w:tabs>
        <w:tab w:val="center" w:pos="4153"/>
        <w:tab w:val="right" w:pos="8306"/>
      </w:tabs>
      <w:snapToGrid w:val="0"/>
      <w:ind w:firstLine="200"/>
      <w:jc w:val="center"/>
    </w:pPr>
    <w:rPr>
      <w:rFonts w:eastAsia="仿宋_GB2312"/>
      <w:sz w:val="18"/>
      <w:szCs w:val="20"/>
    </w:r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1"/>
    <w:uiPriority w:val="11"/>
    <w:qFormat/>
    <w:pPr>
      <w:spacing w:before="200" w:after="200"/>
    </w:pPr>
    <w:rPr>
      <w:sz w:val="24"/>
    </w:rPr>
  </w:style>
  <w:style w:type="paragraph" w:styleId="FootnoteText">
    <w:name w:val="footnote text"/>
    <w:basedOn w:val="Normal"/>
    <w:link w:val="a4"/>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semiHidden/>
    <w:unhideWhenUsed/>
    <w:qFormat/>
    <w:pPr>
      <w:spacing w:after="120"/>
      <w:ind w:left="420"/>
    </w:pPr>
    <w:rPr>
      <w:sz w:val="16"/>
      <w:szCs w:val="16"/>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a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a10"/>
    <w:qFormat/>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a">
    <w:name w:val="尾注文本 字符"/>
    <w:link w:val="EndnoteText"/>
    <w:uiPriority w:val="99"/>
    <w:qFormat/>
    <w:rPr>
      <w:sz w:val="20"/>
    </w:rPr>
  </w:style>
  <w:style w:type="character" w:customStyle="1" w:styleId="1">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paragraph" w:styleId="NoSpacing">
    <w:name w:val="No Spacing"/>
    <w:uiPriority w:val="1"/>
    <w:qFormat/>
    <w:rPr>
      <w:sz w:val="22"/>
      <w:szCs w:val="22"/>
      <w:lang w:eastAsia="en-US"/>
    </w:rPr>
  </w:style>
  <w:style w:type="character" w:customStyle="1" w:styleId="a0">
    <w:name w:val="标题 字符"/>
    <w:basedOn w:val="DefaultParagraphFont"/>
    <w:link w:val="Title"/>
    <w:uiPriority w:val="10"/>
    <w:qFormat/>
    <w:rPr>
      <w:sz w:val="48"/>
      <w:szCs w:val="48"/>
    </w:rPr>
  </w:style>
  <w:style w:type="character" w:customStyle="1" w:styleId="a1">
    <w:name w:val="副标题 字符"/>
    <w:basedOn w:val="DefaultParagraphFont"/>
    <w:link w:val="Subtitle"/>
    <w:uiPriority w:val="11"/>
    <w:qFormat/>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qFormat/>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qFormat/>
    <w:rPr>
      <w:i/>
    </w:rPr>
  </w:style>
  <w:style w:type="character" w:customStyle="1" w:styleId="a4">
    <w:name w:val="脚注文本 字符"/>
    <w:link w:val="FootnoteText"/>
    <w:uiPriority w:val="99"/>
    <w:qFormat/>
    <w:rPr>
      <w:sz w:val="18"/>
    </w:rPr>
  </w:style>
  <w:style w:type="paragraph" w:customStyle="1" w:styleId="10">
    <w:name w:val="样式 标题 1 + 黑体 非加粗"/>
    <w:basedOn w:val="Heading1"/>
    <w:qFormat/>
    <w:pPr>
      <w:pageBreakBefore/>
    </w:pPr>
    <w:rPr>
      <w:rFonts w:hAnsi="黑体"/>
      <w:b/>
    </w:rPr>
  </w:style>
  <w:style w:type="paragraph" w:customStyle="1" w:styleId="111">
    <w:name w:val="样式 标题 1 + 段前: 1 行 段后: 1 行"/>
    <w:basedOn w:val="Heading1"/>
    <w:qFormat/>
    <w:pPr>
      <w:pageBreakBefore/>
    </w:pPr>
    <w:rPr>
      <w:sz w:val="20"/>
      <w:szCs w:val="20"/>
    </w:rPr>
  </w:style>
  <w:style w:type="character" w:customStyle="1" w:styleId="da">
    <w:name w:val="da"/>
    <w:basedOn w:val="DefaultParagraphFont"/>
    <w:qFormat/>
  </w:style>
  <w:style w:type="character" w:customStyle="1" w:styleId="a5">
    <w:name w:val="批注文字 字符"/>
    <w:basedOn w:val="DefaultParagraphFont"/>
    <w:link w:val="CommentText"/>
    <w:qFormat/>
    <w:rPr>
      <w:rFonts w:eastAsia="宋体"/>
      <w:sz w:val="21"/>
      <w:szCs w:val="24"/>
      <w:lang w:val="en-US" w:eastAsia="zh-CN" w:bidi="ar-SA"/>
    </w:rPr>
  </w:style>
  <w:style w:type="character" w:customStyle="1" w:styleId="a6">
    <w:name w:val="文档结构图 字符"/>
    <w:basedOn w:val="DefaultParagraphFont"/>
    <w:link w:val="DocumentMap"/>
    <w:qFormat/>
    <w:rPr>
      <w:rFonts w:ascii="宋体"/>
      <w:sz w:val="18"/>
      <w:szCs w:val="18"/>
    </w:rPr>
  </w:style>
  <w:style w:type="character" w:customStyle="1" w:styleId="a7">
    <w:name w:val="页眉 字符"/>
    <w:basedOn w:val="DefaultParagraphFont"/>
    <w:link w:val="Header"/>
    <w:uiPriority w:val="99"/>
    <w:qFormat/>
    <w:rPr>
      <w:rFonts w:eastAsia="仿宋_GB2312"/>
      <w:sz w:val="18"/>
    </w:rPr>
  </w:style>
  <w:style w:type="character" w:customStyle="1" w:styleId="a8">
    <w:name w:val="页脚 字符"/>
    <w:basedOn w:val="DefaultParagraphFont"/>
    <w:link w:val="Footer"/>
    <w:uiPriority w:val="99"/>
    <w:qFormat/>
    <w:rPr>
      <w:rFonts w:eastAsia="仿宋_GB2312"/>
      <w:sz w:val="18"/>
    </w:rPr>
  </w:style>
  <w:style w:type="character" w:customStyle="1" w:styleId="a9">
    <w:name w:val="纯文本 字符"/>
    <w:basedOn w:val="DefaultParagraphFont"/>
    <w:link w:val="PlainText"/>
    <w:qFormat/>
    <w:rPr>
      <w:rFonts w:ascii="宋体" w:hAnsi="Courier New"/>
      <w:sz w:val="24"/>
      <w:szCs w:val="21"/>
    </w:rPr>
  </w:style>
  <w:style w:type="character" w:customStyle="1" w:styleId="a10">
    <w:name w:val="正文首行缩进 字符"/>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a11">
    <w:name w:val="正文文本缩进 字符"/>
    <w:basedOn w:val="DefaultParagraphFont"/>
    <w:link w:val="BodyTextIndent"/>
    <w:semiHidden/>
    <w:qFormat/>
    <w:rPr>
      <w:sz w:val="21"/>
      <w:szCs w:val="24"/>
    </w:rPr>
  </w:style>
  <w:style w:type="character" w:customStyle="1" w:styleId="30">
    <w:name w:val="正文文本缩进 3 字符"/>
    <w:basedOn w:val="DefaultParagraphFont"/>
    <w:link w:val="BodyTextIndent3"/>
    <w:semiHidden/>
    <w:qFormat/>
    <w:rPr>
      <w:sz w:val="16"/>
      <w:szCs w:val="16"/>
    </w:rPr>
  </w:style>
  <w:style w:type="character" w:customStyle="1" w:styleId="HTML">
    <w:name w:val="HTML 预设格式 字符"/>
    <w:basedOn w:val="DefaultParagraphFont"/>
    <w:link w:val="HTMLPreformatted"/>
    <w:uiPriority w:val="99"/>
    <w:qFormat/>
    <w:rPr>
      <w:rFonts w:ascii="宋体" w:hAnsi="宋体"/>
      <w:sz w:val="24"/>
      <w:szCs w:val="24"/>
    </w:rPr>
  </w:style>
  <w:style w:type="character" w:customStyle="1" w:styleId="20">
    <w:name w:val="正文文本缩进 2 字符"/>
    <w:basedOn w:val="DefaultParagraphFont"/>
    <w:link w:val="BodyTextIndent2"/>
    <w:semiHidden/>
    <w:qFormat/>
    <w:rPr>
      <w:sz w:val="21"/>
      <w:szCs w:val="24"/>
    </w:rPr>
  </w:style>
  <w:style w:type="table" w:styleId="TableGrid">
    <w:name w:val="Table Grid"/>
    <w:basedOn w:val="TableNormal"/>
    <w:uiPriority w:val="59"/>
    <w:pPr>
      <w:spacing w:line="360" w:lineRule="exact"/>
    </w:pPr>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HTML1">
    <w:name w:val="HTML 预设格式 字符1"/>
    <w:uiPriority w:val="99"/>
    <w:semiHidden/>
    <w:locked/>
    <w:rsid w:val="001E5C91"/>
    <w:rPr>
      <w:rFonts w:ascii="宋体" w:hAnsi="宋体"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efunds.com.cn" TargetMode="External" /><Relationship Id="rId16" Type="http://schemas.openxmlformats.org/officeDocument/2006/relationships/image" Target="media/image1.wmf" /><Relationship Id="rId17" Type="http://schemas.openxmlformats.org/officeDocument/2006/relationships/oleObject" Target="embeddings/oleObject1.bin" /><Relationship Id="rId18" Type="http://schemas.openxmlformats.org/officeDocument/2006/relationships/image" Target="media/image2.wmf" /><Relationship Id="rId19" Type="http://schemas.openxmlformats.org/officeDocument/2006/relationships/oleObject" Target="embeddings/oleObject2.bin"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