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7742B" w14:textId="77777777" w:rsidR="00EB48E5" w:rsidRDefault="00EB48E5" w:rsidP="00CE4024">
      <w:pPr>
        <w:widowControl/>
        <w:jc w:val="center"/>
        <w:rPr>
          <w:rFonts w:ascii="Calibri" w:eastAsia="宋体" w:hAnsi="Calibri" w:cs="宋体"/>
          <w:color w:val="000000"/>
          <w:kern w:val="0"/>
          <w:szCs w:val="21"/>
        </w:rPr>
      </w:pPr>
    </w:p>
    <w:p w14:paraId="0E906CC4" w14:textId="77777777" w:rsidR="00EB48E5" w:rsidRDefault="00EB48E5" w:rsidP="00CE4024">
      <w:pPr>
        <w:widowControl/>
        <w:jc w:val="center"/>
        <w:rPr>
          <w:rFonts w:ascii="Calibri" w:eastAsia="宋体" w:hAnsi="Calibri" w:cs="宋体"/>
          <w:color w:val="000000"/>
          <w:kern w:val="0"/>
          <w:szCs w:val="21"/>
        </w:rPr>
      </w:pPr>
    </w:p>
    <w:p w14:paraId="55A95832" w14:textId="77777777" w:rsidR="00EB48E5" w:rsidRDefault="00EB48E5" w:rsidP="00CE4024">
      <w:pPr>
        <w:widowControl/>
        <w:jc w:val="center"/>
        <w:rPr>
          <w:rFonts w:ascii="Calibri" w:eastAsia="宋体" w:hAnsi="Calibri" w:cs="宋体"/>
          <w:color w:val="000000"/>
          <w:kern w:val="0"/>
          <w:szCs w:val="21"/>
        </w:rPr>
      </w:pPr>
    </w:p>
    <w:p w14:paraId="5CA94A75" w14:textId="77777777" w:rsidR="00EB48E5" w:rsidRDefault="00EB48E5" w:rsidP="00CE4024">
      <w:pPr>
        <w:widowControl/>
        <w:jc w:val="center"/>
        <w:rPr>
          <w:rFonts w:ascii="Calibri" w:eastAsia="宋体" w:hAnsi="Calibri" w:cs="宋体"/>
          <w:color w:val="000000"/>
          <w:kern w:val="0"/>
          <w:szCs w:val="21"/>
        </w:rPr>
      </w:pPr>
    </w:p>
    <w:p w14:paraId="659A519A" w14:textId="77777777" w:rsidR="00EB48E5" w:rsidRDefault="00EB48E5" w:rsidP="00CE4024">
      <w:pPr>
        <w:widowControl/>
        <w:jc w:val="center"/>
        <w:rPr>
          <w:rFonts w:ascii="Calibri" w:eastAsia="宋体" w:hAnsi="Calibri" w:cs="宋体"/>
          <w:color w:val="000000"/>
          <w:kern w:val="0"/>
          <w:szCs w:val="21"/>
        </w:rPr>
      </w:pPr>
    </w:p>
    <w:p w14:paraId="6C397EBF" w14:textId="77777777" w:rsidR="00EB48E5" w:rsidRDefault="00EB48E5" w:rsidP="00CE4024">
      <w:pPr>
        <w:widowControl/>
        <w:jc w:val="center"/>
        <w:rPr>
          <w:rFonts w:ascii="Calibri" w:eastAsia="宋体" w:hAnsi="Calibri" w:cs="宋体"/>
          <w:color w:val="000000"/>
          <w:kern w:val="0"/>
          <w:szCs w:val="21"/>
        </w:rPr>
      </w:pPr>
    </w:p>
    <w:p w14:paraId="74C0649D" w14:textId="77777777" w:rsidR="00EB48E5" w:rsidRDefault="00EB48E5" w:rsidP="00CE4024">
      <w:pPr>
        <w:widowControl/>
        <w:jc w:val="center"/>
        <w:rPr>
          <w:rFonts w:ascii="Calibri" w:eastAsia="宋体" w:hAnsi="Calibri" w:cs="宋体"/>
          <w:color w:val="000000"/>
          <w:kern w:val="0"/>
          <w:szCs w:val="21"/>
        </w:rPr>
      </w:pPr>
    </w:p>
    <w:p w14:paraId="13E0C55D" w14:textId="77777777" w:rsidR="00EB48E5" w:rsidRDefault="00EB48E5" w:rsidP="00CE4024">
      <w:pPr>
        <w:widowControl/>
        <w:jc w:val="center"/>
        <w:rPr>
          <w:rFonts w:ascii="Calibri" w:eastAsia="宋体" w:hAnsi="Calibri" w:cs="宋体"/>
          <w:color w:val="000000"/>
          <w:kern w:val="0"/>
          <w:szCs w:val="21"/>
        </w:rPr>
      </w:pPr>
    </w:p>
    <w:p w14:paraId="31002AAC" w14:textId="77777777" w:rsidR="00980446" w:rsidRDefault="00980446" w:rsidP="00CE4024">
      <w:pPr>
        <w:jc w:val="center"/>
        <w:rPr>
          <w:rFonts w:ascii="宋体" w:eastAsia="宋体" w:hAnsi="宋体" w:cs="Times New Roman"/>
          <w:b/>
          <w:bCs/>
          <w:color w:val="000000"/>
          <w:kern w:val="36"/>
          <w:sz w:val="36"/>
          <w:szCs w:val="36"/>
        </w:rPr>
      </w:pPr>
      <w:r w:rsidRPr="00980446">
        <w:rPr>
          <w:rFonts w:ascii="宋体" w:eastAsia="宋体" w:hAnsi="宋体" w:cs="Times New Roman" w:hint="eastAsia"/>
          <w:b/>
          <w:bCs/>
          <w:color w:val="000000"/>
          <w:kern w:val="36"/>
          <w:sz w:val="36"/>
          <w:szCs w:val="36"/>
        </w:rPr>
        <w:t>广发上证</w:t>
      </w:r>
      <w:proofErr w:type="gramStart"/>
      <w:r w:rsidRPr="00980446">
        <w:rPr>
          <w:rFonts w:ascii="宋体" w:eastAsia="宋体" w:hAnsi="宋体" w:cs="Times New Roman" w:hint="eastAsia"/>
          <w:b/>
          <w:bCs/>
          <w:color w:val="000000"/>
          <w:kern w:val="36"/>
          <w:sz w:val="36"/>
          <w:szCs w:val="36"/>
        </w:rPr>
        <w:t>科创板</w:t>
      </w:r>
      <w:proofErr w:type="gramEnd"/>
      <w:r w:rsidRPr="00980446">
        <w:rPr>
          <w:rFonts w:ascii="宋体" w:eastAsia="宋体" w:hAnsi="宋体" w:cs="Times New Roman" w:hint="eastAsia"/>
          <w:b/>
          <w:bCs/>
          <w:color w:val="000000"/>
          <w:kern w:val="36"/>
          <w:sz w:val="36"/>
          <w:szCs w:val="36"/>
        </w:rPr>
        <w:t>芯片设计主题交易型开放式指数</w:t>
      </w:r>
    </w:p>
    <w:p w14:paraId="1F5B1A7A" w14:textId="10DC64DE" w:rsidR="00EB48E5" w:rsidRDefault="00980446" w:rsidP="00CE4024">
      <w:pPr>
        <w:jc w:val="center"/>
        <w:rPr>
          <w:rFonts w:ascii="Times New Roman" w:eastAsia="微软雅黑" w:hAnsi="Times New Roman" w:cs="Times New Roman"/>
          <w:b/>
          <w:bCs/>
          <w:color w:val="000000"/>
          <w:kern w:val="36"/>
          <w:sz w:val="28"/>
          <w:szCs w:val="28"/>
        </w:rPr>
      </w:pPr>
      <w:r w:rsidRPr="00980446">
        <w:rPr>
          <w:rFonts w:ascii="宋体" w:eastAsia="宋体" w:hAnsi="宋体" w:cs="Times New Roman" w:hint="eastAsia"/>
          <w:b/>
          <w:bCs/>
          <w:color w:val="000000"/>
          <w:kern w:val="36"/>
          <w:sz w:val="36"/>
          <w:szCs w:val="36"/>
        </w:rPr>
        <w:t>证券投资基金发起式联接基金</w:t>
      </w:r>
      <w:r w:rsidR="001F2E4C">
        <w:rPr>
          <w:rFonts w:ascii="宋体" w:eastAsia="宋体" w:hAnsi="宋体" w:cs="Times New Roman" w:hint="eastAsia"/>
          <w:b/>
          <w:bCs/>
          <w:color w:val="000000"/>
          <w:kern w:val="36"/>
          <w:sz w:val="36"/>
          <w:szCs w:val="36"/>
        </w:rPr>
        <w:t>托管协议</w:t>
      </w:r>
    </w:p>
    <w:p w14:paraId="05137F09" w14:textId="77777777" w:rsidR="00EB48E5" w:rsidRDefault="00EB48E5" w:rsidP="00CE4024">
      <w:pPr>
        <w:widowControl/>
        <w:jc w:val="center"/>
        <w:rPr>
          <w:rFonts w:ascii="Calibri" w:eastAsia="宋体" w:hAnsi="Calibri" w:cs="宋体"/>
          <w:color w:val="000000"/>
          <w:kern w:val="0"/>
          <w:szCs w:val="21"/>
        </w:rPr>
      </w:pPr>
    </w:p>
    <w:p w14:paraId="57FD1F09" w14:textId="77777777" w:rsidR="00EB48E5" w:rsidRDefault="00EB48E5" w:rsidP="00CE4024">
      <w:pPr>
        <w:widowControl/>
        <w:jc w:val="center"/>
        <w:rPr>
          <w:rFonts w:ascii="Calibri" w:eastAsia="宋体" w:hAnsi="Calibri" w:cs="宋体"/>
          <w:color w:val="000000"/>
          <w:kern w:val="0"/>
          <w:szCs w:val="21"/>
        </w:rPr>
      </w:pPr>
    </w:p>
    <w:p w14:paraId="249C80E6" w14:textId="77777777" w:rsidR="00EB48E5" w:rsidRDefault="00EB48E5" w:rsidP="00CE4024">
      <w:pPr>
        <w:widowControl/>
        <w:jc w:val="center"/>
        <w:rPr>
          <w:rFonts w:ascii="Calibri" w:eastAsia="宋体" w:hAnsi="Calibri" w:cs="宋体"/>
          <w:color w:val="000000"/>
          <w:kern w:val="0"/>
          <w:szCs w:val="21"/>
        </w:rPr>
      </w:pPr>
    </w:p>
    <w:p w14:paraId="2309CF39" w14:textId="77777777" w:rsidR="00EB48E5" w:rsidRDefault="00EB48E5" w:rsidP="00CE4024">
      <w:pPr>
        <w:widowControl/>
        <w:jc w:val="center"/>
        <w:rPr>
          <w:rFonts w:ascii="Calibri" w:eastAsia="宋体" w:hAnsi="Calibri" w:cs="宋体"/>
          <w:color w:val="000000"/>
          <w:kern w:val="0"/>
          <w:szCs w:val="21"/>
        </w:rPr>
      </w:pPr>
    </w:p>
    <w:p w14:paraId="4A5F851D" w14:textId="77777777" w:rsidR="00EB48E5" w:rsidRDefault="00EB48E5" w:rsidP="00CE4024">
      <w:pPr>
        <w:widowControl/>
        <w:jc w:val="center"/>
        <w:rPr>
          <w:rFonts w:ascii="Calibri" w:eastAsia="宋体" w:hAnsi="Calibri" w:cs="宋体"/>
          <w:color w:val="000000"/>
          <w:kern w:val="0"/>
          <w:szCs w:val="21"/>
        </w:rPr>
      </w:pPr>
    </w:p>
    <w:p w14:paraId="4D828758" w14:textId="77777777" w:rsidR="00EB48E5" w:rsidRDefault="00EB48E5" w:rsidP="00CE4024">
      <w:pPr>
        <w:widowControl/>
        <w:jc w:val="center"/>
        <w:rPr>
          <w:rFonts w:ascii="Calibri" w:eastAsia="宋体" w:hAnsi="Calibri" w:cs="宋体"/>
          <w:color w:val="000000"/>
          <w:kern w:val="0"/>
          <w:szCs w:val="21"/>
        </w:rPr>
      </w:pPr>
    </w:p>
    <w:p w14:paraId="238F24B2" w14:textId="77777777" w:rsidR="00EB48E5" w:rsidRDefault="00EB48E5" w:rsidP="00CE4024">
      <w:pPr>
        <w:widowControl/>
        <w:jc w:val="center"/>
        <w:rPr>
          <w:rFonts w:ascii="Calibri" w:eastAsia="宋体" w:hAnsi="Calibri" w:cs="宋体"/>
          <w:color w:val="000000"/>
          <w:kern w:val="0"/>
          <w:szCs w:val="21"/>
        </w:rPr>
      </w:pPr>
    </w:p>
    <w:p w14:paraId="457F7F74" w14:textId="77777777" w:rsidR="00EB48E5" w:rsidRDefault="00EB48E5" w:rsidP="00CE4024">
      <w:pPr>
        <w:widowControl/>
        <w:jc w:val="center"/>
        <w:rPr>
          <w:rFonts w:ascii="Calibri" w:eastAsia="宋体" w:hAnsi="Calibri" w:cs="宋体"/>
          <w:color w:val="000000"/>
          <w:kern w:val="0"/>
          <w:szCs w:val="21"/>
        </w:rPr>
      </w:pPr>
    </w:p>
    <w:p w14:paraId="47496739" w14:textId="77777777" w:rsidR="00EB48E5" w:rsidRDefault="00EB48E5" w:rsidP="00CE4024">
      <w:pPr>
        <w:widowControl/>
        <w:jc w:val="center"/>
        <w:rPr>
          <w:rFonts w:ascii="Calibri" w:eastAsia="宋体" w:hAnsi="Calibri" w:cs="宋体"/>
          <w:color w:val="000000"/>
          <w:kern w:val="0"/>
          <w:szCs w:val="21"/>
        </w:rPr>
      </w:pPr>
    </w:p>
    <w:p w14:paraId="6609C6A1" w14:textId="77777777" w:rsidR="00EB48E5" w:rsidRDefault="00EB48E5" w:rsidP="00CE4024">
      <w:pPr>
        <w:widowControl/>
        <w:jc w:val="center"/>
        <w:rPr>
          <w:rFonts w:ascii="Calibri" w:eastAsia="宋体" w:hAnsi="Calibri" w:cs="宋体"/>
          <w:color w:val="000000"/>
          <w:kern w:val="0"/>
          <w:szCs w:val="21"/>
        </w:rPr>
      </w:pPr>
      <w:bookmarkStart w:id="0" w:name="_GoBack"/>
      <w:bookmarkEnd w:id="0"/>
    </w:p>
    <w:p w14:paraId="2015EEEC" w14:textId="77777777" w:rsidR="00EB48E5" w:rsidRDefault="00EB48E5" w:rsidP="00CE4024">
      <w:pPr>
        <w:widowControl/>
        <w:jc w:val="center"/>
        <w:rPr>
          <w:rFonts w:ascii="Calibri" w:eastAsia="宋体" w:hAnsi="Calibri" w:cs="宋体"/>
          <w:color w:val="000000"/>
          <w:kern w:val="0"/>
          <w:szCs w:val="21"/>
        </w:rPr>
      </w:pPr>
    </w:p>
    <w:p w14:paraId="047BA4D0" w14:textId="77777777" w:rsidR="00EB48E5" w:rsidRDefault="00EB48E5" w:rsidP="00CE4024">
      <w:pPr>
        <w:widowControl/>
        <w:jc w:val="center"/>
        <w:rPr>
          <w:rFonts w:ascii="Calibri" w:eastAsia="宋体" w:hAnsi="Calibri" w:cs="宋体"/>
          <w:color w:val="000000"/>
          <w:kern w:val="0"/>
          <w:szCs w:val="21"/>
        </w:rPr>
      </w:pPr>
    </w:p>
    <w:p w14:paraId="166E6135" w14:textId="77777777" w:rsidR="00EB48E5" w:rsidRDefault="00EB48E5" w:rsidP="00CE4024">
      <w:pPr>
        <w:widowControl/>
        <w:jc w:val="center"/>
        <w:rPr>
          <w:rFonts w:ascii="Calibri" w:eastAsia="宋体" w:hAnsi="Calibri" w:cs="宋体"/>
          <w:color w:val="000000"/>
          <w:kern w:val="0"/>
          <w:szCs w:val="21"/>
        </w:rPr>
      </w:pPr>
    </w:p>
    <w:p w14:paraId="2393F716" w14:textId="77777777" w:rsidR="00EB48E5" w:rsidRDefault="00EB48E5" w:rsidP="00CE4024">
      <w:pPr>
        <w:widowControl/>
        <w:jc w:val="center"/>
        <w:rPr>
          <w:rFonts w:ascii="Calibri" w:eastAsia="宋体" w:hAnsi="Calibri" w:cs="宋体"/>
          <w:color w:val="000000"/>
          <w:kern w:val="0"/>
          <w:szCs w:val="21"/>
        </w:rPr>
      </w:pPr>
    </w:p>
    <w:p w14:paraId="7E7ACFBE" w14:textId="77777777" w:rsidR="00EB48E5" w:rsidRDefault="00EB48E5" w:rsidP="00CE4024">
      <w:pPr>
        <w:widowControl/>
        <w:jc w:val="center"/>
        <w:rPr>
          <w:rFonts w:ascii="Calibri" w:eastAsia="宋体" w:hAnsi="Calibri" w:cs="宋体"/>
          <w:color w:val="000000"/>
          <w:kern w:val="0"/>
          <w:szCs w:val="21"/>
        </w:rPr>
      </w:pPr>
    </w:p>
    <w:p w14:paraId="4880BA89" w14:textId="77777777" w:rsidR="00EB48E5" w:rsidRDefault="00EB48E5" w:rsidP="00CE4024">
      <w:pPr>
        <w:widowControl/>
        <w:jc w:val="center"/>
        <w:rPr>
          <w:rFonts w:ascii="Calibri" w:eastAsia="宋体" w:hAnsi="Calibri" w:cs="宋体"/>
          <w:color w:val="000000"/>
          <w:kern w:val="0"/>
          <w:szCs w:val="21"/>
        </w:rPr>
      </w:pPr>
    </w:p>
    <w:p w14:paraId="0D810632" w14:textId="77777777" w:rsidR="00EB48E5" w:rsidRDefault="00EB48E5" w:rsidP="00CE4024">
      <w:pPr>
        <w:widowControl/>
        <w:jc w:val="center"/>
        <w:rPr>
          <w:rFonts w:ascii="Calibri" w:eastAsia="宋体" w:hAnsi="Calibri" w:cs="宋体"/>
          <w:color w:val="000000"/>
          <w:kern w:val="0"/>
          <w:szCs w:val="21"/>
        </w:rPr>
      </w:pPr>
    </w:p>
    <w:p w14:paraId="29D75946" w14:textId="77777777" w:rsidR="00EB48E5" w:rsidRDefault="00EB48E5" w:rsidP="00CE4024">
      <w:pPr>
        <w:widowControl/>
        <w:jc w:val="center"/>
        <w:rPr>
          <w:rFonts w:ascii="Calibri" w:eastAsia="宋体" w:hAnsi="Calibri" w:cs="宋体"/>
          <w:color w:val="000000"/>
          <w:kern w:val="0"/>
          <w:szCs w:val="21"/>
        </w:rPr>
      </w:pPr>
    </w:p>
    <w:p w14:paraId="4588933E" w14:textId="77777777" w:rsidR="00EB48E5" w:rsidRDefault="00EB48E5" w:rsidP="00CE4024">
      <w:pPr>
        <w:widowControl/>
        <w:jc w:val="center"/>
        <w:rPr>
          <w:rFonts w:ascii="Calibri" w:eastAsia="宋体" w:hAnsi="Calibri" w:cs="宋体"/>
          <w:color w:val="000000"/>
          <w:kern w:val="0"/>
          <w:szCs w:val="21"/>
        </w:rPr>
      </w:pPr>
    </w:p>
    <w:p w14:paraId="23858FEF" w14:textId="77777777" w:rsidR="00EB48E5" w:rsidRDefault="00EB48E5" w:rsidP="00CE4024">
      <w:pPr>
        <w:widowControl/>
        <w:jc w:val="center"/>
        <w:rPr>
          <w:rFonts w:ascii="Calibri" w:eastAsia="宋体" w:hAnsi="Calibri" w:cs="宋体"/>
          <w:color w:val="000000"/>
          <w:kern w:val="0"/>
          <w:szCs w:val="21"/>
        </w:rPr>
      </w:pPr>
    </w:p>
    <w:p w14:paraId="55EF9891" w14:textId="77777777" w:rsidR="00EB48E5" w:rsidRDefault="00EB48E5" w:rsidP="00CE4024">
      <w:pPr>
        <w:widowControl/>
        <w:jc w:val="center"/>
        <w:rPr>
          <w:rFonts w:ascii="Calibri" w:eastAsia="宋体" w:hAnsi="Calibri" w:cs="宋体"/>
          <w:color w:val="000000"/>
          <w:kern w:val="0"/>
          <w:szCs w:val="21"/>
        </w:rPr>
      </w:pPr>
    </w:p>
    <w:p w14:paraId="63BCDD39" w14:textId="5BB514BE" w:rsidR="00EB48E5" w:rsidRDefault="001F2E4C" w:rsidP="00CE4024">
      <w:pPr>
        <w:widowControl/>
        <w:jc w:val="center"/>
        <w:rPr>
          <w:rFonts w:ascii="Calibri" w:eastAsia="宋体" w:hAnsi="Calibri" w:cs="宋体"/>
          <w:color w:val="000000"/>
          <w:kern w:val="0"/>
          <w:szCs w:val="21"/>
        </w:rPr>
      </w:pPr>
      <w:bookmarkStart w:id="1" w:name="_Toc375230473"/>
      <w:bookmarkStart w:id="2" w:name="_Toc125361069"/>
      <w:bookmarkStart w:id="3" w:name="_Toc375229542"/>
      <w:bookmarkStart w:id="4" w:name="_Toc140002332"/>
      <w:bookmarkStart w:id="5" w:name="_Toc296429141"/>
      <w:bookmarkStart w:id="6" w:name="_Toc296428028"/>
      <w:bookmarkEnd w:id="1"/>
      <w:bookmarkEnd w:id="2"/>
      <w:bookmarkEnd w:id="3"/>
      <w:bookmarkEnd w:id="4"/>
      <w:bookmarkEnd w:id="5"/>
      <w:bookmarkEnd w:id="6"/>
      <w:r>
        <w:rPr>
          <w:rFonts w:ascii="宋体" w:eastAsia="宋体" w:hAnsi="宋体" w:cs="宋体" w:hint="eastAsia"/>
          <w:b/>
          <w:bCs/>
          <w:color w:val="000000"/>
          <w:kern w:val="0"/>
          <w:sz w:val="30"/>
          <w:szCs w:val="30"/>
        </w:rPr>
        <w:t>基金管理人：</w:t>
      </w:r>
      <w:bookmarkStart w:id="7" w:name="_Toc140002333"/>
      <w:bookmarkStart w:id="8" w:name="_Toc296428029"/>
      <w:bookmarkStart w:id="9" w:name="_Toc125361070"/>
      <w:bookmarkEnd w:id="7"/>
      <w:bookmarkEnd w:id="8"/>
      <w:bookmarkEnd w:id="9"/>
      <w:r w:rsidR="00980446" w:rsidRPr="00980446">
        <w:rPr>
          <w:rFonts w:ascii="宋体" w:eastAsia="宋体" w:hAnsi="宋体" w:cs="宋体" w:hint="eastAsia"/>
          <w:b/>
          <w:bCs/>
          <w:color w:val="000000"/>
          <w:kern w:val="0"/>
          <w:sz w:val="30"/>
          <w:szCs w:val="30"/>
        </w:rPr>
        <w:t>广发基金管理有限公司</w:t>
      </w:r>
    </w:p>
    <w:p w14:paraId="5F7FB8C9" w14:textId="77777777" w:rsidR="00EB48E5" w:rsidRDefault="001F2E4C" w:rsidP="00CE4024">
      <w:pPr>
        <w:widowControl/>
        <w:jc w:val="center"/>
        <w:rPr>
          <w:rFonts w:ascii="Calibri" w:eastAsia="宋体" w:hAnsi="Calibri" w:cs="宋体"/>
          <w:color w:val="000000"/>
          <w:kern w:val="0"/>
          <w:szCs w:val="21"/>
        </w:rPr>
      </w:pPr>
      <w:bookmarkStart w:id="10" w:name="_Toc375230474"/>
      <w:bookmarkStart w:id="11" w:name="_Toc375229543"/>
      <w:bookmarkEnd w:id="10"/>
      <w:bookmarkEnd w:id="11"/>
      <w:r>
        <w:rPr>
          <w:rFonts w:ascii="宋体" w:eastAsia="宋体" w:hAnsi="宋体" w:cs="宋体" w:hint="eastAsia"/>
          <w:b/>
          <w:bCs/>
          <w:color w:val="000000"/>
          <w:kern w:val="0"/>
          <w:sz w:val="30"/>
          <w:szCs w:val="30"/>
        </w:rPr>
        <w:t>基金托管人：中泰证券股份有限公司</w:t>
      </w:r>
    </w:p>
    <w:p w14:paraId="41E0D222" w14:textId="77777777" w:rsidR="00EB48E5" w:rsidRDefault="00EB48E5" w:rsidP="00055DD6">
      <w:pPr>
        <w:widowControl/>
        <w:spacing w:line="360" w:lineRule="auto"/>
        <w:rPr>
          <w:rFonts w:ascii="Calibri" w:eastAsia="宋体" w:hAnsi="Calibri" w:cs="宋体"/>
          <w:color w:val="000000"/>
          <w:kern w:val="0"/>
          <w:szCs w:val="21"/>
        </w:rPr>
      </w:pPr>
    </w:p>
    <w:p w14:paraId="68EA3765" w14:textId="77777777" w:rsidR="00EB48E5" w:rsidRDefault="00EB48E5" w:rsidP="00055DD6">
      <w:pPr>
        <w:widowControl/>
        <w:spacing w:line="360" w:lineRule="auto"/>
        <w:rPr>
          <w:rFonts w:ascii="Calibri" w:eastAsia="宋体" w:hAnsi="Calibri" w:cs="宋体"/>
          <w:color w:val="000000"/>
          <w:kern w:val="0"/>
          <w:szCs w:val="21"/>
        </w:rPr>
      </w:pPr>
    </w:p>
    <w:p w14:paraId="7C5BFDBF" w14:textId="77777777" w:rsidR="00EB48E5" w:rsidRPr="006B435B" w:rsidRDefault="00EB48E5" w:rsidP="00055DD6">
      <w:pPr>
        <w:widowControl/>
        <w:spacing w:line="360" w:lineRule="auto"/>
        <w:rPr>
          <w:rFonts w:ascii="Calibri" w:eastAsia="宋体" w:hAnsi="Calibri" w:cs="宋体"/>
          <w:color w:val="000000"/>
          <w:kern w:val="0"/>
          <w:szCs w:val="21"/>
        </w:rPr>
      </w:pPr>
    </w:p>
    <w:p w14:paraId="70228357" w14:textId="77777777" w:rsidR="00EB48E5" w:rsidRDefault="001F2E4C" w:rsidP="00055DD6">
      <w:pPr>
        <w:spacing w:line="360" w:lineRule="auto"/>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br w:type="page" w:clear="all"/>
      </w:r>
    </w:p>
    <w:bookmarkStart w:id="12" w:name="_Toc296428030" w:displacedByCustomXml="next"/>
    <w:bookmarkEnd w:id="12" w:displacedByCustomXml="next"/>
    <w:bookmarkStart w:id="13" w:name="_Toc125361072" w:displacedByCustomXml="next"/>
    <w:bookmarkEnd w:id="13" w:displacedByCustomXml="next"/>
    <w:bookmarkStart w:id="14" w:name="_Toc296429142" w:displacedByCustomXml="next"/>
    <w:bookmarkEnd w:id="14" w:displacedByCustomXml="next"/>
    <w:bookmarkStart w:id="15" w:name="_Toc375230475" w:displacedByCustomXml="next"/>
    <w:bookmarkEnd w:id="15" w:displacedByCustomXml="next"/>
    <w:bookmarkStart w:id="16" w:name="_Toc375229544" w:displacedByCustomXml="next"/>
    <w:bookmarkEnd w:id="16" w:displacedByCustomXml="next"/>
    <w:bookmarkStart w:id="17" w:name="_Toc140002335" w:displacedByCustomXml="next"/>
    <w:bookmarkEnd w:id="17" w:displacedByCustomXml="next"/>
    <w:sdt>
      <w:sdtPr>
        <w:rPr>
          <w:rFonts w:asciiTheme="minorHAnsi" w:eastAsiaTheme="minorEastAsia" w:hAnsiTheme="minorHAnsi" w:cstheme="minorBidi"/>
          <w:b w:val="0"/>
          <w:bCs w:val="0"/>
          <w:color w:val="auto"/>
          <w:kern w:val="2"/>
          <w:sz w:val="21"/>
          <w:szCs w:val="22"/>
          <w:lang w:val="zh-CN"/>
        </w:rPr>
        <w:id w:val="-1642804306"/>
        <w:docPartObj>
          <w:docPartGallery w:val="Table of Contents"/>
          <w:docPartUnique/>
        </w:docPartObj>
      </w:sdtPr>
      <w:sdtEndPr/>
      <w:sdtContent>
        <w:p w14:paraId="7715A3A7" w14:textId="77777777" w:rsidR="00EB48E5" w:rsidRDefault="001F2E4C" w:rsidP="00CE4024">
          <w:pPr>
            <w:pStyle w:val="TOC1"/>
            <w:jc w:val="center"/>
            <w:rPr>
              <w:color w:val="auto"/>
            </w:rPr>
          </w:pPr>
          <w:r>
            <w:rPr>
              <w:rFonts w:hint="eastAsia"/>
              <w:color w:val="auto"/>
              <w:lang w:val="zh-CN"/>
            </w:rPr>
            <w:t>目录</w:t>
          </w:r>
        </w:p>
        <w:p w14:paraId="14343209" w14:textId="5053E987" w:rsidR="00EB48E5" w:rsidRDefault="001F2E4C" w:rsidP="00CE4024">
          <w:pPr>
            <w:pStyle w:val="10"/>
            <w:tabs>
              <w:tab w:val="right" w:leader="dot" w:pos="8306"/>
            </w:tabs>
            <w:rPr>
              <w:noProof/>
            </w:rPr>
          </w:pPr>
          <w:r>
            <w:fldChar w:fldCharType="begin"/>
          </w:r>
          <w:r>
            <w:instrText xml:space="preserve"> TOC \o "1-3" \h \z \u </w:instrText>
          </w:r>
          <w:r>
            <w:fldChar w:fldCharType="separate"/>
          </w:r>
          <w:hyperlink w:anchor="_Toc28982" w:history="1">
            <w:r>
              <w:rPr>
                <w:rFonts w:hint="eastAsia"/>
                <w:noProof/>
                <w:szCs w:val="30"/>
              </w:rPr>
              <w:t>一、基金托管协议当事人</w:t>
            </w:r>
            <w:r>
              <w:rPr>
                <w:noProof/>
              </w:rPr>
              <w:tab/>
            </w:r>
            <w:r>
              <w:rPr>
                <w:noProof/>
              </w:rPr>
              <w:fldChar w:fldCharType="begin"/>
            </w:r>
            <w:r>
              <w:rPr>
                <w:noProof/>
              </w:rPr>
              <w:instrText xml:space="preserve"> PAGEREF _Toc28982 \h </w:instrText>
            </w:r>
            <w:r>
              <w:rPr>
                <w:noProof/>
              </w:rPr>
            </w:r>
            <w:r>
              <w:rPr>
                <w:noProof/>
              </w:rPr>
              <w:fldChar w:fldCharType="separate"/>
            </w:r>
            <w:r w:rsidR="00251F2F">
              <w:rPr>
                <w:noProof/>
              </w:rPr>
              <w:t>1</w:t>
            </w:r>
            <w:r>
              <w:rPr>
                <w:noProof/>
              </w:rPr>
              <w:fldChar w:fldCharType="end"/>
            </w:r>
          </w:hyperlink>
        </w:p>
        <w:p w14:paraId="31703A31" w14:textId="3DA9E6E6" w:rsidR="00EB48E5" w:rsidRDefault="00726D71" w:rsidP="00CE4024">
          <w:pPr>
            <w:pStyle w:val="10"/>
            <w:tabs>
              <w:tab w:val="right" w:leader="dot" w:pos="8306"/>
            </w:tabs>
            <w:rPr>
              <w:noProof/>
            </w:rPr>
          </w:pPr>
          <w:hyperlink w:anchor="_Toc12663" w:history="1">
            <w:r w:rsidR="001F2E4C">
              <w:rPr>
                <w:rFonts w:hint="eastAsia"/>
                <w:noProof/>
                <w:szCs w:val="30"/>
              </w:rPr>
              <w:t>二、基金托管协议的依据、目的和原则</w:t>
            </w:r>
            <w:r w:rsidR="001F2E4C">
              <w:rPr>
                <w:noProof/>
              </w:rPr>
              <w:tab/>
            </w:r>
            <w:r w:rsidR="001F2E4C">
              <w:rPr>
                <w:noProof/>
              </w:rPr>
              <w:fldChar w:fldCharType="begin"/>
            </w:r>
            <w:r w:rsidR="001F2E4C">
              <w:rPr>
                <w:noProof/>
              </w:rPr>
              <w:instrText xml:space="preserve"> PAGEREF _Toc12663 \h </w:instrText>
            </w:r>
            <w:r w:rsidR="001F2E4C">
              <w:rPr>
                <w:noProof/>
              </w:rPr>
            </w:r>
            <w:r w:rsidR="001F2E4C">
              <w:rPr>
                <w:noProof/>
              </w:rPr>
              <w:fldChar w:fldCharType="separate"/>
            </w:r>
            <w:r w:rsidR="00251F2F">
              <w:rPr>
                <w:noProof/>
              </w:rPr>
              <w:t>2</w:t>
            </w:r>
            <w:r w:rsidR="001F2E4C">
              <w:rPr>
                <w:noProof/>
              </w:rPr>
              <w:fldChar w:fldCharType="end"/>
            </w:r>
          </w:hyperlink>
        </w:p>
        <w:p w14:paraId="3975491C" w14:textId="7585CBDA" w:rsidR="00EB48E5" w:rsidRDefault="00726D71" w:rsidP="00CE4024">
          <w:pPr>
            <w:pStyle w:val="10"/>
            <w:tabs>
              <w:tab w:val="right" w:leader="dot" w:pos="8306"/>
            </w:tabs>
            <w:rPr>
              <w:noProof/>
            </w:rPr>
          </w:pPr>
          <w:hyperlink w:anchor="_Toc15984" w:history="1">
            <w:r w:rsidR="001F2E4C">
              <w:rPr>
                <w:rFonts w:hint="eastAsia"/>
                <w:noProof/>
                <w:szCs w:val="30"/>
              </w:rPr>
              <w:t>三、基金托管人对基金管理人的业务监督和核查</w:t>
            </w:r>
            <w:r w:rsidR="001F2E4C">
              <w:rPr>
                <w:noProof/>
              </w:rPr>
              <w:tab/>
            </w:r>
            <w:r w:rsidR="001F2E4C">
              <w:rPr>
                <w:noProof/>
              </w:rPr>
              <w:fldChar w:fldCharType="begin"/>
            </w:r>
            <w:r w:rsidR="001F2E4C">
              <w:rPr>
                <w:noProof/>
              </w:rPr>
              <w:instrText xml:space="preserve"> PAGEREF _Toc15984 \h </w:instrText>
            </w:r>
            <w:r w:rsidR="001F2E4C">
              <w:rPr>
                <w:noProof/>
              </w:rPr>
            </w:r>
            <w:r w:rsidR="001F2E4C">
              <w:rPr>
                <w:noProof/>
              </w:rPr>
              <w:fldChar w:fldCharType="separate"/>
            </w:r>
            <w:r w:rsidR="00251F2F">
              <w:rPr>
                <w:noProof/>
              </w:rPr>
              <w:t>3</w:t>
            </w:r>
            <w:r w:rsidR="001F2E4C">
              <w:rPr>
                <w:noProof/>
              </w:rPr>
              <w:fldChar w:fldCharType="end"/>
            </w:r>
          </w:hyperlink>
        </w:p>
        <w:p w14:paraId="638292CF" w14:textId="40B662C5" w:rsidR="00EB48E5" w:rsidRDefault="00726D71" w:rsidP="00CE4024">
          <w:pPr>
            <w:pStyle w:val="10"/>
            <w:tabs>
              <w:tab w:val="right" w:leader="dot" w:pos="8306"/>
            </w:tabs>
            <w:rPr>
              <w:noProof/>
            </w:rPr>
          </w:pPr>
          <w:hyperlink w:anchor="_Toc3075" w:history="1">
            <w:r w:rsidR="001F2E4C">
              <w:rPr>
                <w:rFonts w:hint="eastAsia"/>
                <w:noProof/>
                <w:szCs w:val="30"/>
              </w:rPr>
              <w:t>四、基金管理人对基金托管人的业务核查</w:t>
            </w:r>
            <w:r w:rsidR="001F2E4C">
              <w:rPr>
                <w:noProof/>
              </w:rPr>
              <w:tab/>
            </w:r>
            <w:r w:rsidR="001F2E4C">
              <w:rPr>
                <w:noProof/>
              </w:rPr>
              <w:fldChar w:fldCharType="begin"/>
            </w:r>
            <w:r w:rsidR="001F2E4C">
              <w:rPr>
                <w:noProof/>
              </w:rPr>
              <w:instrText xml:space="preserve"> PAGEREF _Toc3075 \h </w:instrText>
            </w:r>
            <w:r w:rsidR="001F2E4C">
              <w:rPr>
                <w:noProof/>
              </w:rPr>
            </w:r>
            <w:r w:rsidR="001F2E4C">
              <w:rPr>
                <w:noProof/>
              </w:rPr>
              <w:fldChar w:fldCharType="separate"/>
            </w:r>
            <w:r w:rsidR="00251F2F">
              <w:rPr>
                <w:noProof/>
              </w:rPr>
              <w:t>9</w:t>
            </w:r>
            <w:r w:rsidR="001F2E4C">
              <w:rPr>
                <w:noProof/>
              </w:rPr>
              <w:fldChar w:fldCharType="end"/>
            </w:r>
          </w:hyperlink>
        </w:p>
        <w:p w14:paraId="2346EEA9" w14:textId="562807F6" w:rsidR="00EB48E5" w:rsidRDefault="00726D71" w:rsidP="00CE4024">
          <w:pPr>
            <w:pStyle w:val="10"/>
            <w:tabs>
              <w:tab w:val="right" w:leader="dot" w:pos="8306"/>
            </w:tabs>
            <w:rPr>
              <w:noProof/>
            </w:rPr>
          </w:pPr>
          <w:hyperlink w:anchor="_Toc27843" w:history="1">
            <w:r w:rsidR="001F2E4C">
              <w:rPr>
                <w:rFonts w:hint="eastAsia"/>
                <w:noProof/>
                <w:szCs w:val="30"/>
              </w:rPr>
              <w:t>五、基金财产保管</w:t>
            </w:r>
            <w:r w:rsidR="001F2E4C">
              <w:rPr>
                <w:noProof/>
              </w:rPr>
              <w:tab/>
            </w:r>
            <w:r w:rsidR="001F2E4C">
              <w:rPr>
                <w:noProof/>
              </w:rPr>
              <w:fldChar w:fldCharType="begin"/>
            </w:r>
            <w:r w:rsidR="001F2E4C">
              <w:rPr>
                <w:noProof/>
              </w:rPr>
              <w:instrText xml:space="preserve"> PAGEREF _Toc27843 \h </w:instrText>
            </w:r>
            <w:r w:rsidR="001F2E4C">
              <w:rPr>
                <w:noProof/>
              </w:rPr>
            </w:r>
            <w:r w:rsidR="001F2E4C">
              <w:rPr>
                <w:noProof/>
              </w:rPr>
              <w:fldChar w:fldCharType="separate"/>
            </w:r>
            <w:r w:rsidR="00251F2F">
              <w:rPr>
                <w:noProof/>
              </w:rPr>
              <w:t>10</w:t>
            </w:r>
            <w:r w:rsidR="001F2E4C">
              <w:rPr>
                <w:noProof/>
              </w:rPr>
              <w:fldChar w:fldCharType="end"/>
            </w:r>
          </w:hyperlink>
        </w:p>
        <w:p w14:paraId="733E8C9A" w14:textId="4C0E7896" w:rsidR="00EB48E5" w:rsidRDefault="00726D71" w:rsidP="00CE4024">
          <w:pPr>
            <w:pStyle w:val="10"/>
            <w:tabs>
              <w:tab w:val="right" w:leader="dot" w:pos="8306"/>
            </w:tabs>
            <w:rPr>
              <w:noProof/>
            </w:rPr>
          </w:pPr>
          <w:hyperlink w:anchor="_Toc14664" w:history="1">
            <w:r w:rsidR="001F2E4C">
              <w:rPr>
                <w:rFonts w:hint="eastAsia"/>
                <w:noProof/>
                <w:szCs w:val="30"/>
              </w:rPr>
              <w:t>六、指令的发送、确认和执行</w:t>
            </w:r>
            <w:r w:rsidR="001F2E4C">
              <w:rPr>
                <w:noProof/>
              </w:rPr>
              <w:tab/>
            </w:r>
            <w:r w:rsidR="001F2E4C">
              <w:rPr>
                <w:noProof/>
              </w:rPr>
              <w:fldChar w:fldCharType="begin"/>
            </w:r>
            <w:r w:rsidR="001F2E4C">
              <w:rPr>
                <w:noProof/>
              </w:rPr>
              <w:instrText xml:space="preserve"> PAGEREF _Toc14664 \h </w:instrText>
            </w:r>
            <w:r w:rsidR="001F2E4C">
              <w:rPr>
                <w:noProof/>
              </w:rPr>
            </w:r>
            <w:r w:rsidR="001F2E4C">
              <w:rPr>
                <w:noProof/>
              </w:rPr>
              <w:fldChar w:fldCharType="separate"/>
            </w:r>
            <w:r w:rsidR="00251F2F">
              <w:rPr>
                <w:noProof/>
              </w:rPr>
              <w:t>13</w:t>
            </w:r>
            <w:r w:rsidR="001F2E4C">
              <w:rPr>
                <w:noProof/>
              </w:rPr>
              <w:fldChar w:fldCharType="end"/>
            </w:r>
          </w:hyperlink>
        </w:p>
        <w:p w14:paraId="41A4ED86" w14:textId="2238F79D" w:rsidR="00EB48E5" w:rsidRDefault="00726D71" w:rsidP="00CE4024">
          <w:pPr>
            <w:pStyle w:val="10"/>
            <w:tabs>
              <w:tab w:val="right" w:leader="dot" w:pos="8306"/>
            </w:tabs>
            <w:rPr>
              <w:noProof/>
            </w:rPr>
          </w:pPr>
          <w:hyperlink w:anchor="_Toc26074" w:history="1">
            <w:r w:rsidR="001F2E4C">
              <w:rPr>
                <w:rFonts w:hint="eastAsia"/>
                <w:noProof/>
                <w:szCs w:val="30"/>
              </w:rPr>
              <w:t>七、交易及清算交收安排</w:t>
            </w:r>
            <w:r w:rsidR="001F2E4C">
              <w:rPr>
                <w:noProof/>
              </w:rPr>
              <w:tab/>
            </w:r>
            <w:r w:rsidR="001F2E4C">
              <w:rPr>
                <w:noProof/>
              </w:rPr>
              <w:fldChar w:fldCharType="begin"/>
            </w:r>
            <w:r w:rsidR="001F2E4C">
              <w:rPr>
                <w:noProof/>
              </w:rPr>
              <w:instrText xml:space="preserve"> PAGEREF _Toc26074 \h </w:instrText>
            </w:r>
            <w:r w:rsidR="001F2E4C">
              <w:rPr>
                <w:noProof/>
              </w:rPr>
            </w:r>
            <w:r w:rsidR="001F2E4C">
              <w:rPr>
                <w:noProof/>
              </w:rPr>
              <w:fldChar w:fldCharType="separate"/>
            </w:r>
            <w:r w:rsidR="00251F2F">
              <w:rPr>
                <w:noProof/>
              </w:rPr>
              <w:t>16</w:t>
            </w:r>
            <w:r w:rsidR="001F2E4C">
              <w:rPr>
                <w:noProof/>
              </w:rPr>
              <w:fldChar w:fldCharType="end"/>
            </w:r>
          </w:hyperlink>
        </w:p>
        <w:p w14:paraId="6F391800" w14:textId="12CB9CC9" w:rsidR="00EB48E5" w:rsidRDefault="00726D71" w:rsidP="00CE4024">
          <w:pPr>
            <w:pStyle w:val="10"/>
            <w:tabs>
              <w:tab w:val="right" w:leader="dot" w:pos="8306"/>
            </w:tabs>
            <w:rPr>
              <w:noProof/>
            </w:rPr>
          </w:pPr>
          <w:hyperlink w:anchor="_Toc20082" w:history="1">
            <w:r w:rsidR="001F2E4C">
              <w:rPr>
                <w:rFonts w:hint="eastAsia"/>
                <w:noProof/>
                <w:szCs w:val="30"/>
              </w:rPr>
              <w:t>八、基金资产净值计算和会计核算</w:t>
            </w:r>
            <w:r w:rsidR="001F2E4C">
              <w:rPr>
                <w:noProof/>
              </w:rPr>
              <w:tab/>
            </w:r>
            <w:r w:rsidR="001F2E4C">
              <w:rPr>
                <w:noProof/>
              </w:rPr>
              <w:fldChar w:fldCharType="begin"/>
            </w:r>
            <w:r w:rsidR="001F2E4C">
              <w:rPr>
                <w:noProof/>
              </w:rPr>
              <w:instrText xml:space="preserve"> PAGEREF _Toc20082 \h </w:instrText>
            </w:r>
            <w:r w:rsidR="001F2E4C">
              <w:rPr>
                <w:noProof/>
              </w:rPr>
            </w:r>
            <w:r w:rsidR="001F2E4C">
              <w:rPr>
                <w:noProof/>
              </w:rPr>
              <w:fldChar w:fldCharType="separate"/>
            </w:r>
            <w:r w:rsidR="00251F2F">
              <w:rPr>
                <w:noProof/>
              </w:rPr>
              <w:t>18</w:t>
            </w:r>
            <w:r w:rsidR="001F2E4C">
              <w:rPr>
                <w:noProof/>
              </w:rPr>
              <w:fldChar w:fldCharType="end"/>
            </w:r>
          </w:hyperlink>
        </w:p>
        <w:p w14:paraId="7C5AAE89" w14:textId="4C59A604" w:rsidR="00EB48E5" w:rsidRDefault="00726D71" w:rsidP="00CE4024">
          <w:pPr>
            <w:pStyle w:val="10"/>
            <w:tabs>
              <w:tab w:val="right" w:leader="dot" w:pos="8306"/>
            </w:tabs>
            <w:rPr>
              <w:noProof/>
            </w:rPr>
          </w:pPr>
          <w:hyperlink w:anchor="_Toc7095" w:history="1">
            <w:r w:rsidR="001F2E4C">
              <w:rPr>
                <w:rFonts w:hint="eastAsia"/>
                <w:noProof/>
                <w:szCs w:val="30"/>
              </w:rPr>
              <w:t>九、基金收益分配</w:t>
            </w:r>
            <w:r w:rsidR="001F2E4C">
              <w:rPr>
                <w:noProof/>
              </w:rPr>
              <w:tab/>
            </w:r>
            <w:r w:rsidR="001F2E4C">
              <w:rPr>
                <w:noProof/>
              </w:rPr>
              <w:fldChar w:fldCharType="begin"/>
            </w:r>
            <w:r w:rsidR="001F2E4C">
              <w:rPr>
                <w:noProof/>
              </w:rPr>
              <w:instrText xml:space="preserve"> PAGEREF _Toc7095 \h </w:instrText>
            </w:r>
            <w:r w:rsidR="001F2E4C">
              <w:rPr>
                <w:noProof/>
              </w:rPr>
            </w:r>
            <w:r w:rsidR="001F2E4C">
              <w:rPr>
                <w:noProof/>
              </w:rPr>
              <w:fldChar w:fldCharType="separate"/>
            </w:r>
            <w:r w:rsidR="00251F2F">
              <w:rPr>
                <w:noProof/>
              </w:rPr>
              <w:t>25</w:t>
            </w:r>
            <w:r w:rsidR="001F2E4C">
              <w:rPr>
                <w:noProof/>
              </w:rPr>
              <w:fldChar w:fldCharType="end"/>
            </w:r>
          </w:hyperlink>
        </w:p>
        <w:p w14:paraId="3DE6A565" w14:textId="6AD2E258" w:rsidR="00EB48E5" w:rsidRDefault="00726D71" w:rsidP="00CE4024">
          <w:pPr>
            <w:pStyle w:val="10"/>
            <w:tabs>
              <w:tab w:val="right" w:leader="dot" w:pos="8306"/>
            </w:tabs>
            <w:rPr>
              <w:noProof/>
            </w:rPr>
          </w:pPr>
          <w:hyperlink w:anchor="_Toc26865" w:history="1">
            <w:r w:rsidR="001F2E4C">
              <w:rPr>
                <w:rFonts w:hint="eastAsia"/>
                <w:noProof/>
                <w:szCs w:val="30"/>
              </w:rPr>
              <w:t>十、信息披露</w:t>
            </w:r>
            <w:r w:rsidR="001F2E4C">
              <w:rPr>
                <w:noProof/>
              </w:rPr>
              <w:tab/>
            </w:r>
            <w:r w:rsidR="001F2E4C">
              <w:rPr>
                <w:noProof/>
              </w:rPr>
              <w:fldChar w:fldCharType="begin"/>
            </w:r>
            <w:r w:rsidR="001F2E4C">
              <w:rPr>
                <w:noProof/>
              </w:rPr>
              <w:instrText xml:space="preserve"> PAGEREF _Toc26865 \h </w:instrText>
            </w:r>
            <w:r w:rsidR="001F2E4C">
              <w:rPr>
                <w:noProof/>
              </w:rPr>
            </w:r>
            <w:r w:rsidR="001F2E4C">
              <w:rPr>
                <w:noProof/>
              </w:rPr>
              <w:fldChar w:fldCharType="separate"/>
            </w:r>
            <w:r w:rsidR="00251F2F">
              <w:rPr>
                <w:noProof/>
              </w:rPr>
              <w:t>26</w:t>
            </w:r>
            <w:r w:rsidR="001F2E4C">
              <w:rPr>
                <w:noProof/>
              </w:rPr>
              <w:fldChar w:fldCharType="end"/>
            </w:r>
          </w:hyperlink>
        </w:p>
        <w:p w14:paraId="5463F59F" w14:textId="055DC926" w:rsidR="00EB48E5" w:rsidRDefault="00726D71" w:rsidP="00CE4024">
          <w:pPr>
            <w:pStyle w:val="10"/>
            <w:tabs>
              <w:tab w:val="right" w:leader="dot" w:pos="8306"/>
            </w:tabs>
            <w:rPr>
              <w:noProof/>
            </w:rPr>
          </w:pPr>
          <w:hyperlink w:anchor="_Toc17301" w:history="1">
            <w:r w:rsidR="001F2E4C">
              <w:rPr>
                <w:rFonts w:hint="eastAsia"/>
                <w:noProof/>
                <w:szCs w:val="30"/>
              </w:rPr>
              <w:t>十一、基金费用</w:t>
            </w:r>
            <w:r w:rsidR="001F2E4C">
              <w:rPr>
                <w:noProof/>
              </w:rPr>
              <w:tab/>
            </w:r>
            <w:r w:rsidR="001F2E4C">
              <w:rPr>
                <w:noProof/>
              </w:rPr>
              <w:fldChar w:fldCharType="begin"/>
            </w:r>
            <w:r w:rsidR="001F2E4C">
              <w:rPr>
                <w:noProof/>
              </w:rPr>
              <w:instrText xml:space="preserve"> PAGEREF _Toc17301 \h </w:instrText>
            </w:r>
            <w:r w:rsidR="001F2E4C">
              <w:rPr>
                <w:noProof/>
              </w:rPr>
            </w:r>
            <w:r w:rsidR="001F2E4C">
              <w:rPr>
                <w:noProof/>
              </w:rPr>
              <w:fldChar w:fldCharType="separate"/>
            </w:r>
            <w:r w:rsidR="00251F2F">
              <w:rPr>
                <w:noProof/>
              </w:rPr>
              <w:t>27</w:t>
            </w:r>
            <w:r w:rsidR="001F2E4C">
              <w:rPr>
                <w:noProof/>
              </w:rPr>
              <w:fldChar w:fldCharType="end"/>
            </w:r>
          </w:hyperlink>
        </w:p>
        <w:p w14:paraId="19D2BE1D" w14:textId="16EBBC69" w:rsidR="00EB48E5" w:rsidRDefault="00726D71" w:rsidP="00CE4024">
          <w:pPr>
            <w:pStyle w:val="10"/>
            <w:tabs>
              <w:tab w:val="right" w:leader="dot" w:pos="8306"/>
            </w:tabs>
            <w:rPr>
              <w:noProof/>
            </w:rPr>
          </w:pPr>
          <w:hyperlink w:anchor="_Toc2143" w:history="1">
            <w:r w:rsidR="001F2E4C">
              <w:rPr>
                <w:rFonts w:hint="eastAsia"/>
                <w:noProof/>
                <w:szCs w:val="30"/>
              </w:rPr>
              <w:t>十二、基金份额持有人名册的保管</w:t>
            </w:r>
            <w:r w:rsidR="001F2E4C">
              <w:rPr>
                <w:noProof/>
              </w:rPr>
              <w:tab/>
            </w:r>
            <w:r w:rsidR="001F2E4C">
              <w:rPr>
                <w:noProof/>
              </w:rPr>
              <w:fldChar w:fldCharType="begin"/>
            </w:r>
            <w:r w:rsidR="001F2E4C">
              <w:rPr>
                <w:noProof/>
              </w:rPr>
              <w:instrText xml:space="preserve"> PAGEREF _Toc2143 \h </w:instrText>
            </w:r>
            <w:r w:rsidR="001F2E4C">
              <w:rPr>
                <w:noProof/>
              </w:rPr>
            </w:r>
            <w:r w:rsidR="001F2E4C">
              <w:rPr>
                <w:noProof/>
              </w:rPr>
              <w:fldChar w:fldCharType="separate"/>
            </w:r>
            <w:r w:rsidR="00251F2F">
              <w:rPr>
                <w:noProof/>
              </w:rPr>
              <w:t>30</w:t>
            </w:r>
            <w:r w:rsidR="001F2E4C">
              <w:rPr>
                <w:noProof/>
              </w:rPr>
              <w:fldChar w:fldCharType="end"/>
            </w:r>
          </w:hyperlink>
        </w:p>
        <w:p w14:paraId="44D420D9" w14:textId="78BBE11B" w:rsidR="00EB48E5" w:rsidRDefault="00726D71" w:rsidP="00CE4024">
          <w:pPr>
            <w:pStyle w:val="10"/>
            <w:tabs>
              <w:tab w:val="right" w:leader="dot" w:pos="8306"/>
            </w:tabs>
            <w:rPr>
              <w:noProof/>
            </w:rPr>
          </w:pPr>
          <w:hyperlink w:anchor="_Toc10447" w:history="1">
            <w:r w:rsidR="001F2E4C">
              <w:rPr>
                <w:rFonts w:hint="eastAsia"/>
                <w:noProof/>
                <w:szCs w:val="30"/>
              </w:rPr>
              <w:t>十三、基金有关文件和档案的保存</w:t>
            </w:r>
            <w:r w:rsidR="001F2E4C">
              <w:rPr>
                <w:noProof/>
              </w:rPr>
              <w:tab/>
            </w:r>
            <w:r w:rsidR="001F2E4C">
              <w:rPr>
                <w:noProof/>
              </w:rPr>
              <w:fldChar w:fldCharType="begin"/>
            </w:r>
            <w:r w:rsidR="001F2E4C">
              <w:rPr>
                <w:noProof/>
              </w:rPr>
              <w:instrText xml:space="preserve"> PAGEREF _Toc10447 \h </w:instrText>
            </w:r>
            <w:r w:rsidR="001F2E4C">
              <w:rPr>
                <w:noProof/>
              </w:rPr>
            </w:r>
            <w:r w:rsidR="001F2E4C">
              <w:rPr>
                <w:noProof/>
              </w:rPr>
              <w:fldChar w:fldCharType="separate"/>
            </w:r>
            <w:r w:rsidR="00251F2F">
              <w:rPr>
                <w:noProof/>
              </w:rPr>
              <w:t>30</w:t>
            </w:r>
            <w:r w:rsidR="001F2E4C">
              <w:rPr>
                <w:noProof/>
              </w:rPr>
              <w:fldChar w:fldCharType="end"/>
            </w:r>
          </w:hyperlink>
        </w:p>
        <w:p w14:paraId="18FCF528" w14:textId="54DE69E9" w:rsidR="00EB48E5" w:rsidRDefault="00726D71" w:rsidP="00CE4024">
          <w:pPr>
            <w:pStyle w:val="10"/>
            <w:tabs>
              <w:tab w:val="right" w:leader="dot" w:pos="8306"/>
            </w:tabs>
            <w:rPr>
              <w:noProof/>
            </w:rPr>
          </w:pPr>
          <w:hyperlink w:anchor="_Toc29768" w:history="1">
            <w:r w:rsidR="001F2E4C">
              <w:rPr>
                <w:rFonts w:hint="eastAsia"/>
                <w:noProof/>
                <w:szCs w:val="30"/>
              </w:rPr>
              <w:t>十四、基金管理人和基金托管人的更换</w:t>
            </w:r>
            <w:r w:rsidR="001F2E4C">
              <w:rPr>
                <w:noProof/>
              </w:rPr>
              <w:tab/>
            </w:r>
            <w:r w:rsidR="001F2E4C">
              <w:rPr>
                <w:noProof/>
              </w:rPr>
              <w:fldChar w:fldCharType="begin"/>
            </w:r>
            <w:r w:rsidR="001F2E4C">
              <w:rPr>
                <w:noProof/>
              </w:rPr>
              <w:instrText xml:space="preserve"> PAGEREF _Toc29768 \h </w:instrText>
            </w:r>
            <w:r w:rsidR="001F2E4C">
              <w:rPr>
                <w:noProof/>
              </w:rPr>
            </w:r>
            <w:r w:rsidR="001F2E4C">
              <w:rPr>
                <w:noProof/>
              </w:rPr>
              <w:fldChar w:fldCharType="separate"/>
            </w:r>
            <w:r w:rsidR="00251F2F">
              <w:rPr>
                <w:noProof/>
              </w:rPr>
              <w:t>31</w:t>
            </w:r>
            <w:r w:rsidR="001F2E4C">
              <w:rPr>
                <w:noProof/>
              </w:rPr>
              <w:fldChar w:fldCharType="end"/>
            </w:r>
          </w:hyperlink>
        </w:p>
        <w:p w14:paraId="3B55CE95" w14:textId="3EA03844" w:rsidR="00EB48E5" w:rsidRDefault="00726D71" w:rsidP="00CE4024">
          <w:pPr>
            <w:pStyle w:val="10"/>
            <w:tabs>
              <w:tab w:val="right" w:leader="dot" w:pos="8306"/>
            </w:tabs>
            <w:rPr>
              <w:noProof/>
            </w:rPr>
          </w:pPr>
          <w:hyperlink w:anchor="_Toc24559" w:history="1">
            <w:r w:rsidR="001F2E4C">
              <w:rPr>
                <w:rFonts w:hint="eastAsia"/>
                <w:noProof/>
                <w:szCs w:val="30"/>
              </w:rPr>
              <w:t>十五、禁止行为</w:t>
            </w:r>
            <w:r w:rsidR="001F2E4C">
              <w:rPr>
                <w:noProof/>
              </w:rPr>
              <w:tab/>
            </w:r>
            <w:r w:rsidR="001F2E4C">
              <w:rPr>
                <w:noProof/>
              </w:rPr>
              <w:fldChar w:fldCharType="begin"/>
            </w:r>
            <w:r w:rsidR="001F2E4C">
              <w:rPr>
                <w:noProof/>
              </w:rPr>
              <w:instrText xml:space="preserve"> PAGEREF _Toc24559 \h </w:instrText>
            </w:r>
            <w:r w:rsidR="001F2E4C">
              <w:rPr>
                <w:noProof/>
              </w:rPr>
            </w:r>
            <w:r w:rsidR="001F2E4C">
              <w:rPr>
                <w:noProof/>
              </w:rPr>
              <w:fldChar w:fldCharType="separate"/>
            </w:r>
            <w:r w:rsidR="00251F2F">
              <w:rPr>
                <w:noProof/>
              </w:rPr>
              <w:t>33</w:t>
            </w:r>
            <w:r w:rsidR="001F2E4C">
              <w:rPr>
                <w:noProof/>
              </w:rPr>
              <w:fldChar w:fldCharType="end"/>
            </w:r>
          </w:hyperlink>
        </w:p>
        <w:p w14:paraId="65E2F5CE" w14:textId="17BC273A" w:rsidR="00EB48E5" w:rsidRDefault="00726D71" w:rsidP="00CE4024">
          <w:pPr>
            <w:pStyle w:val="10"/>
            <w:tabs>
              <w:tab w:val="right" w:leader="dot" w:pos="8306"/>
            </w:tabs>
            <w:rPr>
              <w:noProof/>
            </w:rPr>
          </w:pPr>
          <w:hyperlink w:anchor="_Toc30071" w:history="1">
            <w:r w:rsidR="001F2E4C">
              <w:rPr>
                <w:rFonts w:hint="eastAsia"/>
                <w:noProof/>
                <w:szCs w:val="30"/>
              </w:rPr>
              <w:t>十六、基金托管协议的变更、终止与基金财产的清算</w:t>
            </w:r>
            <w:r w:rsidR="001F2E4C">
              <w:rPr>
                <w:noProof/>
              </w:rPr>
              <w:tab/>
            </w:r>
            <w:r w:rsidR="001F2E4C">
              <w:rPr>
                <w:noProof/>
              </w:rPr>
              <w:fldChar w:fldCharType="begin"/>
            </w:r>
            <w:r w:rsidR="001F2E4C">
              <w:rPr>
                <w:noProof/>
              </w:rPr>
              <w:instrText xml:space="preserve"> PAGEREF _Toc30071 \h </w:instrText>
            </w:r>
            <w:r w:rsidR="001F2E4C">
              <w:rPr>
                <w:noProof/>
              </w:rPr>
            </w:r>
            <w:r w:rsidR="001F2E4C">
              <w:rPr>
                <w:noProof/>
              </w:rPr>
              <w:fldChar w:fldCharType="separate"/>
            </w:r>
            <w:r w:rsidR="00251F2F">
              <w:rPr>
                <w:noProof/>
              </w:rPr>
              <w:t>34</w:t>
            </w:r>
            <w:r w:rsidR="001F2E4C">
              <w:rPr>
                <w:noProof/>
              </w:rPr>
              <w:fldChar w:fldCharType="end"/>
            </w:r>
          </w:hyperlink>
        </w:p>
        <w:p w14:paraId="4EFCCB35" w14:textId="45BD2314" w:rsidR="00EB48E5" w:rsidRDefault="00726D71" w:rsidP="00CE4024">
          <w:pPr>
            <w:pStyle w:val="10"/>
            <w:tabs>
              <w:tab w:val="right" w:leader="dot" w:pos="8306"/>
            </w:tabs>
            <w:rPr>
              <w:noProof/>
            </w:rPr>
          </w:pPr>
          <w:hyperlink w:anchor="_Toc9048" w:history="1">
            <w:r w:rsidR="001F2E4C">
              <w:rPr>
                <w:rFonts w:hint="eastAsia"/>
                <w:noProof/>
                <w:szCs w:val="30"/>
              </w:rPr>
              <w:t>十七、违约责任</w:t>
            </w:r>
            <w:r w:rsidR="001F2E4C">
              <w:rPr>
                <w:noProof/>
              </w:rPr>
              <w:tab/>
            </w:r>
            <w:r w:rsidR="001F2E4C">
              <w:rPr>
                <w:noProof/>
              </w:rPr>
              <w:fldChar w:fldCharType="begin"/>
            </w:r>
            <w:r w:rsidR="001F2E4C">
              <w:rPr>
                <w:noProof/>
              </w:rPr>
              <w:instrText xml:space="preserve"> PAGEREF _Toc9048 \h </w:instrText>
            </w:r>
            <w:r w:rsidR="001F2E4C">
              <w:rPr>
                <w:noProof/>
              </w:rPr>
            </w:r>
            <w:r w:rsidR="001F2E4C">
              <w:rPr>
                <w:noProof/>
              </w:rPr>
              <w:fldChar w:fldCharType="separate"/>
            </w:r>
            <w:r w:rsidR="00251F2F">
              <w:rPr>
                <w:noProof/>
              </w:rPr>
              <w:t>35</w:t>
            </w:r>
            <w:r w:rsidR="001F2E4C">
              <w:rPr>
                <w:noProof/>
              </w:rPr>
              <w:fldChar w:fldCharType="end"/>
            </w:r>
          </w:hyperlink>
        </w:p>
        <w:p w14:paraId="530C9542" w14:textId="4D6B55F1" w:rsidR="00EB48E5" w:rsidRDefault="00726D71" w:rsidP="00CE4024">
          <w:pPr>
            <w:pStyle w:val="10"/>
            <w:tabs>
              <w:tab w:val="right" w:leader="dot" w:pos="8306"/>
            </w:tabs>
            <w:rPr>
              <w:noProof/>
            </w:rPr>
          </w:pPr>
          <w:hyperlink w:anchor="_Toc9852" w:history="1">
            <w:r w:rsidR="001F2E4C">
              <w:rPr>
                <w:rFonts w:hint="eastAsia"/>
                <w:noProof/>
                <w:szCs w:val="30"/>
              </w:rPr>
              <w:t>十八、争议解决方式</w:t>
            </w:r>
            <w:r w:rsidR="001F2E4C">
              <w:rPr>
                <w:noProof/>
              </w:rPr>
              <w:tab/>
            </w:r>
            <w:r w:rsidR="001F2E4C">
              <w:rPr>
                <w:noProof/>
              </w:rPr>
              <w:fldChar w:fldCharType="begin"/>
            </w:r>
            <w:r w:rsidR="001F2E4C">
              <w:rPr>
                <w:noProof/>
              </w:rPr>
              <w:instrText xml:space="preserve"> PAGEREF _Toc9852 \h </w:instrText>
            </w:r>
            <w:r w:rsidR="001F2E4C">
              <w:rPr>
                <w:noProof/>
              </w:rPr>
            </w:r>
            <w:r w:rsidR="001F2E4C">
              <w:rPr>
                <w:noProof/>
              </w:rPr>
              <w:fldChar w:fldCharType="separate"/>
            </w:r>
            <w:r w:rsidR="00251F2F">
              <w:rPr>
                <w:noProof/>
              </w:rPr>
              <w:t>36</w:t>
            </w:r>
            <w:r w:rsidR="001F2E4C">
              <w:rPr>
                <w:noProof/>
              </w:rPr>
              <w:fldChar w:fldCharType="end"/>
            </w:r>
          </w:hyperlink>
        </w:p>
        <w:p w14:paraId="24C6D91F" w14:textId="351A2908" w:rsidR="00EB48E5" w:rsidRDefault="00726D71" w:rsidP="00CE4024">
          <w:pPr>
            <w:pStyle w:val="10"/>
            <w:tabs>
              <w:tab w:val="right" w:leader="dot" w:pos="8306"/>
            </w:tabs>
            <w:rPr>
              <w:noProof/>
            </w:rPr>
          </w:pPr>
          <w:hyperlink w:anchor="_Toc11818" w:history="1">
            <w:r w:rsidR="001F2E4C">
              <w:rPr>
                <w:rFonts w:hint="eastAsia"/>
                <w:noProof/>
                <w:szCs w:val="30"/>
              </w:rPr>
              <w:t>十九、基金托管协议的效力</w:t>
            </w:r>
            <w:r w:rsidR="001F2E4C">
              <w:rPr>
                <w:noProof/>
              </w:rPr>
              <w:tab/>
            </w:r>
            <w:r w:rsidR="001F2E4C">
              <w:rPr>
                <w:noProof/>
              </w:rPr>
              <w:fldChar w:fldCharType="begin"/>
            </w:r>
            <w:r w:rsidR="001F2E4C">
              <w:rPr>
                <w:noProof/>
              </w:rPr>
              <w:instrText xml:space="preserve"> PAGEREF _Toc11818 \h </w:instrText>
            </w:r>
            <w:r w:rsidR="001F2E4C">
              <w:rPr>
                <w:noProof/>
              </w:rPr>
            </w:r>
            <w:r w:rsidR="001F2E4C">
              <w:rPr>
                <w:noProof/>
              </w:rPr>
              <w:fldChar w:fldCharType="separate"/>
            </w:r>
            <w:r w:rsidR="00251F2F">
              <w:rPr>
                <w:noProof/>
              </w:rPr>
              <w:t>36</w:t>
            </w:r>
            <w:r w:rsidR="001F2E4C">
              <w:rPr>
                <w:noProof/>
              </w:rPr>
              <w:fldChar w:fldCharType="end"/>
            </w:r>
          </w:hyperlink>
        </w:p>
        <w:p w14:paraId="7B84536C" w14:textId="1D6DC2FA" w:rsidR="00EB48E5" w:rsidRDefault="00726D71" w:rsidP="00CE4024">
          <w:pPr>
            <w:pStyle w:val="10"/>
            <w:tabs>
              <w:tab w:val="right" w:leader="dot" w:pos="8306"/>
            </w:tabs>
            <w:rPr>
              <w:noProof/>
            </w:rPr>
          </w:pPr>
          <w:hyperlink w:anchor="_Toc32129" w:history="1">
            <w:r w:rsidR="001F2E4C">
              <w:rPr>
                <w:rFonts w:hint="eastAsia"/>
                <w:noProof/>
                <w:szCs w:val="30"/>
              </w:rPr>
              <w:t>二十、其他事项</w:t>
            </w:r>
            <w:r w:rsidR="001F2E4C">
              <w:rPr>
                <w:noProof/>
              </w:rPr>
              <w:tab/>
            </w:r>
            <w:r w:rsidR="001F2E4C">
              <w:rPr>
                <w:noProof/>
              </w:rPr>
              <w:fldChar w:fldCharType="begin"/>
            </w:r>
            <w:r w:rsidR="001F2E4C">
              <w:rPr>
                <w:noProof/>
              </w:rPr>
              <w:instrText xml:space="preserve"> PAGEREF _Toc32129 \h </w:instrText>
            </w:r>
            <w:r w:rsidR="001F2E4C">
              <w:rPr>
                <w:noProof/>
              </w:rPr>
            </w:r>
            <w:r w:rsidR="001F2E4C">
              <w:rPr>
                <w:noProof/>
              </w:rPr>
              <w:fldChar w:fldCharType="separate"/>
            </w:r>
            <w:r w:rsidR="00251F2F">
              <w:rPr>
                <w:noProof/>
              </w:rPr>
              <w:t>37</w:t>
            </w:r>
            <w:r w:rsidR="001F2E4C">
              <w:rPr>
                <w:noProof/>
              </w:rPr>
              <w:fldChar w:fldCharType="end"/>
            </w:r>
          </w:hyperlink>
        </w:p>
        <w:p w14:paraId="1E815C49" w14:textId="505C44A0" w:rsidR="00EB48E5" w:rsidRDefault="00726D71" w:rsidP="00CE4024">
          <w:pPr>
            <w:pStyle w:val="10"/>
            <w:tabs>
              <w:tab w:val="right" w:leader="dot" w:pos="8306"/>
            </w:tabs>
            <w:rPr>
              <w:noProof/>
            </w:rPr>
          </w:pPr>
          <w:hyperlink w:anchor="_Toc20300" w:history="1">
            <w:r w:rsidR="001F2E4C">
              <w:rPr>
                <w:rFonts w:hint="eastAsia"/>
                <w:noProof/>
                <w:szCs w:val="30"/>
              </w:rPr>
              <w:t>二十一、基金托管协议的签订</w:t>
            </w:r>
            <w:r w:rsidR="001F2E4C">
              <w:rPr>
                <w:noProof/>
              </w:rPr>
              <w:tab/>
            </w:r>
            <w:r w:rsidR="001F2E4C">
              <w:rPr>
                <w:noProof/>
              </w:rPr>
              <w:fldChar w:fldCharType="begin"/>
            </w:r>
            <w:r w:rsidR="001F2E4C">
              <w:rPr>
                <w:noProof/>
              </w:rPr>
              <w:instrText xml:space="preserve"> PAGEREF _Toc20300 \h </w:instrText>
            </w:r>
            <w:r w:rsidR="001F2E4C">
              <w:rPr>
                <w:noProof/>
              </w:rPr>
            </w:r>
            <w:r w:rsidR="001F2E4C">
              <w:rPr>
                <w:noProof/>
              </w:rPr>
              <w:fldChar w:fldCharType="separate"/>
            </w:r>
            <w:r w:rsidR="00251F2F">
              <w:rPr>
                <w:noProof/>
              </w:rPr>
              <w:t>37</w:t>
            </w:r>
            <w:r w:rsidR="001F2E4C">
              <w:rPr>
                <w:noProof/>
              </w:rPr>
              <w:fldChar w:fldCharType="end"/>
            </w:r>
          </w:hyperlink>
        </w:p>
        <w:p w14:paraId="63BE0E58" w14:textId="77777777" w:rsidR="00EB48E5" w:rsidRDefault="001F2E4C" w:rsidP="00CE4024">
          <w:r>
            <w:rPr>
              <w:bCs/>
              <w:lang w:val="zh-CN"/>
            </w:rPr>
            <w:fldChar w:fldCharType="end"/>
          </w:r>
        </w:p>
      </w:sdtContent>
    </w:sdt>
    <w:p w14:paraId="0D393E28" w14:textId="77777777" w:rsidR="00EB48E5" w:rsidRDefault="00EB48E5" w:rsidP="00055DD6">
      <w:pPr>
        <w:widowControl/>
        <w:spacing w:line="360" w:lineRule="auto"/>
        <w:ind w:firstLine="420"/>
        <w:rPr>
          <w:rFonts w:ascii="Times New Roman" w:eastAsia="宋体" w:hAnsi="Times New Roman" w:cs="Times New Roman"/>
          <w:b/>
          <w:bCs/>
          <w:color w:val="000000"/>
          <w:kern w:val="0"/>
          <w:sz w:val="28"/>
          <w:szCs w:val="28"/>
        </w:rPr>
        <w:sectPr w:rsidR="00EB48E5">
          <w:headerReference w:type="default" r:id="rId8"/>
          <w:footerReference w:type="default" r:id="rId9"/>
          <w:footerReference w:type="first" r:id="rId10"/>
          <w:pgSz w:w="11906" w:h="16838"/>
          <w:pgMar w:top="1440" w:right="1800" w:bottom="1440" w:left="1800" w:header="851" w:footer="992" w:gutter="0"/>
          <w:cols w:space="425"/>
          <w:titlePg/>
          <w:docGrid w:type="lines" w:linePitch="312"/>
        </w:sectPr>
      </w:pPr>
    </w:p>
    <w:p w14:paraId="6812457E" w14:textId="156E0E3C"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鉴于</w:t>
      </w:r>
      <w:r w:rsidR="00980446" w:rsidRPr="00980446">
        <w:rPr>
          <w:rFonts w:ascii="宋体" w:eastAsia="宋体" w:hAnsi="宋体" w:cs="宋体" w:hint="eastAsia"/>
          <w:color w:val="000000"/>
          <w:kern w:val="0"/>
          <w:sz w:val="24"/>
          <w:szCs w:val="24"/>
        </w:rPr>
        <w:t>广发基金管理有限公司</w:t>
      </w:r>
      <w:r>
        <w:rPr>
          <w:rFonts w:ascii="宋体" w:eastAsia="宋体" w:hAnsi="宋体" w:cs="宋体" w:hint="eastAsia"/>
          <w:color w:val="000000"/>
          <w:kern w:val="0"/>
          <w:sz w:val="24"/>
          <w:szCs w:val="24"/>
        </w:rPr>
        <w:t>是一家依照中国法律合法成立并有效存续的有限责任公司，按照相关法律法规的规定具备担任基金管理人的资格和能力；</w:t>
      </w:r>
    </w:p>
    <w:p w14:paraId="2000DF1F"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鉴于中泰证券股份有限公司是一家依照中国法律合法成立并有效存续的证券公司，按照相关法律法规的规定具备担任基金托管人的资格和能力；</w:t>
      </w:r>
    </w:p>
    <w:p w14:paraId="5C7C74C3" w14:textId="3A926A7B"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鉴于</w:t>
      </w:r>
      <w:r w:rsidR="00980446" w:rsidRPr="00980446">
        <w:rPr>
          <w:rFonts w:ascii="宋体" w:eastAsia="宋体" w:hAnsi="宋体" w:cs="宋体" w:hint="eastAsia"/>
          <w:color w:val="000000"/>
          <w:kern w:val="0"/>
          <w:sz w:val="24"/>
          <w:szCs w:val="24"/>
        </w:rPr>
        <w:t>广发基金管理有限公司</w:t>
      </w:r>
      <w:r>
        <w:rPr>
          <w:rFonts w:ascii="宋体" w:eastAsia="宋体" w:hAnsi="宋体" w:cs="宋体" w:hint="eastAsia"/>
          <w:color w:val="000000"/>
          <w:kern w:val="0"/>
          <w:sz w:val="24"/>
          <w:szCs w:val="24"/>
        </w:rPr>
        <w:t>拟担任</w:t>
      </w:r>
      <w:r w:rsidR="00980446" w:rsidRPr="00980446">
        <w:rPr>
          <w:rFonts w:ascii="宋体" w:eastAsia="宋体" w:hAnsi="宋体" w:cs="宋体" w:hint="eastAsia"/>
          <w:color w:val="000000"/>
          <w:kern w:val="0"/>
          <w:sz w:val="24"/>
          <w:szCs w:val="24"/>
        </w:rPr>
        <w:t>广发上证</w:t>
      </w:r>
      <w:proofErr w:type="gramStart"/>
      <w:r w:rsidR="00980446" w:rsidRPr="00980446">
        <w:rPr>
          <w:rFonts w:ascii="宋体" w:eastAsia="宋体" w:hAnsi="宋体" w:cs="宋体" w:hint="eastAsia"/>
          <w:color w:val="000000"/>
          <w:kern w:val="0"/>
          <w:sz w:val="24"/>
          <w:szCs w:val="24"/>
        </w:rPr>
        <w:t>科创板</w:t>
      </w:r>
      <w:proofErr w:type="gramEnd"/>
      <w:r w:rsidR="00980446" w:rsidRPr="00980446">
        <w:rPr>
          <w:rFonts w:ascii="宋体" w:eastAsia="宋体" w:hAnsi="宋体" w:cs="宋体" w:hint="eastAsia"/>
          <w:color w:val="000000"/>
          <w:kern w:val="0"/>
          <w:sz w:val="24"/>
          <w:szCs w:val="24"/>
        </w:rPr>
        <w:t>芯片设计主题交易型开放式指数证券投资基金发起式联接基金</w:t>
      </w:r>
      <w:r>
        <w:rPr>
          <w:rFonts w:ascii="宋体" w:eastAsia="宋体" w:hAnsi="宋体" w:cs="宋体" w:hint="eastAsia"/>
          <w:color w:val="000000"/>
          <w:kern w:val="0"/>
          <w:sz w:val="24"/>
          <w:szCs w:val="24"/>
        </w:rPr>
        <w:t>的基金管理人，中泰证券股份有限公司拟担任</w:t>
      </w:r>
      <w:r w:rsidR="00980446" w:rsidRPr="00980446">
        <w:rPr>
          <w:rFonts w:ascii="宋体" w:eastAsia="宋体" w:hAnsi="宋体" w:cs="宋体" w:hint="eastAsia"/>
          <w:color w:val="000000"/>
          <w:kern w:val="0"/>
          <w:sz w:val="24"/>
          <w:szCs w:val="24"/>
        </w:rPr>
        <w:t>广发上证</w:t>
      </w:r>
      <w:proofErr w:type="gramStart"/>
      <w:r w:rsidR="00980446" w:rsidRPr="00980446">
        <w:rPr>
          <w:rFonts w:ascii="宋体" w:eastAsia="宋体" w:hAnsi="宋体" w:cs="宋体" w:hint="eastAsia"/>
          <w:color w:val="000000"/>
          <w:kern w:val="0"/>
          <w:sz w:val="24"/>
          <w:szCs w:val="24"/>
        </w:rPr>
        <w:t>科创板</w:t>
      </w:r>
      <w:proofErr w:type="gramEnd"/>
      <w:r w:rsidR="00980446" w:rsidRPr="00980446">
        <w:rPr>
          <w:rFonts w:ascii="宋体" w:eastAsia="宋体" w:hAnsi="宋体" w:cs="宋体" w:hint="eastAsia"/>
          <w:color w:val="000000"/>
          <w:kern w:val="0"/>
          <w:sz w:val="24"/>
          <w:szCs w:val="24"/>
        </w:rPr>
        <w:t>芯片设计主题交易型开放式指数证券投资基金发起式联接基金</w:t>
      </w:r>
      <w:r>
        <w:rPr>
          <w:rFonts w:ascii="宋体" w:eastAsia="宋体" w:hAnsi="宋体" w:cs="宋体" w:hint="eastAsia"/>
          <w:color w:val="000000"/>
          <w:kern w:val="0"/>
          <w:sz w:val="24"/>
          <w:szCs w:val="24"/>
        </w:rPr>
        <w:t>的基金托管人；</w:t>
      </w:r>
    </w:p>
    <w:p w14:paraId="2D984823" w14:textId="466DBC74"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为</w:t>
      </w:r>
      <w:proofErr w:type="gramStart"/>
      <w:r>
        <w:rPr>
          <w:rFonts w:ascii="宋体" w:eastAsia="宋体" w:hAnsi="宋体" w:cs="宋体" w:hint="eastAsia"/>
          <w:color w:val="000000"/>
          <w:kern w:val="0"/>
          <w:sz w:val="24"/>
          <w:szCs w:val="24"/>
        </w:rPr>
        <w:t>明确</w:t>
      </w:r>
      <w:r w:rsidR="00493D1C" w:rsidRPr="00493D1C">
        <w:rPr>
          <w:rFonts w:ascii="宋体" w:eastAsia="宋体" w:hAnsi="宋体" w:cs="宋体" w:hint="eastAsia"/>
          <w:color w:val="000000"/>
          <w:kern w:val="0"/>
          <w:sz w:val="24"/>
          <w:szCs w:val="24"/>
        </w:rPr>
        <w:t>广</w:t>
      </w:r>
      <w:proofErr w:type="gramEnd"/>
      <w:r w:rsidR="00493D1C" w:rsidRPr="00493D1C">
        <w:rPr>
          <w:rFonts w:ascii="宋体" w:eastAsia="宋体" w:hAnsi="宋体" w:cs="宋体" w:hint="eastAsia"/>
          <w:color w:val="000000"/>
          <w:kern w:val="0"/>
          <w:sz w:val="24"/>
          <w:szCs w:val="24"/>
        </w:rPr>
        <w:t>发上证</w:t>
      </w:r>
      <w:proofErr w:type="gramStart"/>
      <w:r w:rsidR="00493D1C" w:rsidRPr="00493D1C">
        <w:rPr>
          <w:rFonts w:ascii="宋体" w:eastAsia="宋体" w:hAnsi="宋体" w:cs="宋体" w:hint="eastAsia"/>
          <w:color w:val="000000"/>
          <w:kern w:val="0"/>
          <w:sz w:val="24"/>
          <w:szCs w:val="24"/>
        </w:rPr>
        <w:t>科创板</w:t>
      </w:r>
      <w:proofErr w:type="gramEnd"/>
      <w:r w:rsidR="00493D1C" w:rsidRPr="00493D1C">
        <w:rPr>
          <w:rFonts w:ascii="宋体" w:eastAsia="宋体" w:hAnsi="宋体" w:cs="宋体" w:hint="eastAsia"/>
          <w:color w:val="000000"/>
          <w:kern w:val="0"/>
          <w:sz w:val="24"/>
          <w:szCs w:val="24"/>
        </w:rPr>
        <w:t>芯片设计主题交易型开放式指数证券投资基金发起式联接</w:t>
      </w:r>
      <w:proofErr w:type="gramStart"/>
      <w:r w:rsidR="00493D1C" w:rsidRPr="00493D1C">
        <w:rPr>
          <w:rFonts w:ascii="宋体" w:eastAsia="宋体" w:hAnsi="宋体" w:cs="宋体" w:hint="eastAsia"/>
          <w:color w:val="000000"/>
          <w:kern w:val="0"/>
          <w:sz w:val="24"/>
          <w:szCs w:val="24"/>
        </w:rPr>
        <w:t>基金</w:t>
      </w:r>
      <w:r>
        <w:rPr>
          <w:rFonts w:ascii="宋体" w:eastAsia="宋体" w:hAnsi="宋体" w:cs="宋体" w:hint="eastAsia"/>
          <w:color w:val="000000"/>
          <w:kern w:val="0"/>
          <w:sz w:val="24"/>
          <w:szCs w:val="24"/>
        </w:rPr>
        <w:t>基金</w:t>
      </w:r>
      <w:proofErr w:type="gramEnd"/>
      <w:r>
        <w:rPr>
          <w:rFonts w:ascii="宋体" w:eastAsia="宋体" w:hAnsi="宋体" w:cs="宋体" w:hint="eastAsia"/>
          <w:color w:val="000000"/>
          <w:kern w:val="0"/>
          <w:sz w:val="24"/>
          <w:szCs w:val="24"/>
        </w:rPr>
        <w:t>管理人和基金托管人之间的权利义务关系，特制订本协议。</w:t>
      </w:r>
      <w:r>
        <w:rPr>
          <w:rFonts w:ascii="宋体" w:eastAsia="宋体" w:hAnsi="宋体" w:cs="宋体" w:hint="eastAsia"/>
          <w:color w:val="000000"/>
          <w:kern w:val="0"/>
          <w:sz w:val="24"/>
          <w:szCs w:val="24"/>
        </w:rPr>
        <w:br w:type="textWrapping" w:clear="all"/>
      </w:r>
      <w:bookmarkStart w:id="18" w:name="_Toc48703884"/>
      <w:bookmarkStart w:id="19" w:name="_Toc375230476"/>
      <w:bookmarkStart w:id="20" w:name="_Toc123626167"/>
      <w:bookmarkStart w:id="21" w:name="_Toc22454432"/>
      <w:bookmarkStart w:id="22" w:name="_Toc125361073"/>
      <w:bookmarkStart w:id="23" w:name="_Toc124749936"/>
      <w:bookmarkStart w:id="24" w:name="_Toc523829992"/>
      <w:bookmarkStart w:id="25" w:name="_Toc124749225"/>
      <w:bookmarkEnd w:id="18"/>
      <w:bookmarkEnd w:id="19"/>
      <w:bookmarkEnd w:id="20"/>
      <w:bookmarkEnd w:id="21"/>
      <w:bookmarkEnd w:id="22"/>
      <w:bookmarkEnd w:id="23"/>
      <w:bookmarkEnd w:id="24"/>
      <w:bookmarkEnd w:id="25"/>
      <w:r>
        <w:rPr>
          <w:rFonts w:ascii="宋体" w:eastAsia="宋体" w:hAnsi="宋体" w:cs="宋体" w:hint="eastAsia"/>
          <w:color w:val="000000"/>
          <w:kern w:val="0"/>
          <w:sz w:val="24"/>
          <w:szCs w:val="24"/>
        </w:rPr>
        <w:t> </w:t>
      </w:r>
    </w:p>
    <w:p w14:paraId="461444C0" w14:textId="77777777" w:rsidR="00EB48E5" w:rsidRDefault="001F2E4C" w:rsidP="00055DD6">
      <w:pPr>
        <w:pStyle w:val="1"/>
        <w:spacing w:line="360" w:lineRule="auto"/>
        <w:jc w:val="center"/>
        <w:rPr>
          <w:color w:val="000000"/>
          <w:kern w:val="0"/>
          <w:szCs w:val="21"/>
        </w:rPr>
      </w:pPr>
      <w:bookmarkStart w:id="26" w:name="_Toc477274810"/>
      <w:bookmarkStart w:id="27" w:name="_Toc28982"/>
      <w:r>
        <w:rPr>
          <w:rFonts w:hint="eastAsia"/>
          <w:color w:val="000000"/>
          <w:kern w:val="0"/>
          <w:sz w:val="30"/>
          <w:szCs w:val="30"/>
        </w:rPr>
        <w:t>一、基金托管协议当事人</w:t>
      </w:r>
      <w:bookmarkEnd w:id="26"/>
      <w:bookmarkEnd w:id="27"/>
    </w:p>
    <w:p w14:paraId="129E5205" w14:textId="77777777" w:rsidR="00EB48E5" w:rsidRDefault="001F2E4C" w:rsidP="00055DD6">
      <w:pPr>
        <w:widowControl/>
        <w:spacing w:line="360" w:lineRule="auto"/>
        <w:ind w:firstLine="480"/>
        <w:rPr>
          <w:rFonts w:ascii="宋体" w:eastAsia="宋体" w:hAnsi="宋体" w:cs="宋体"/>
          <w:color w:val="000000"/>
          <w:kern w:val="0"/>
          <w:sz w:val="24"/>
          <w:szCs w:val="24"/>
        </w:rPr>
      </w:pPr>
      <w:bookmarkStart w:id="28" w:name="_Toc477272399"/>
      <w:bookmarkStart w:id="29" w:name="_Toc22454433"/>
      <w:bookmarkStart w:id="30" w:name="_Toc477270354"/>
      <w:bookmarkStart w:id="31" w:name="_Toc48703885"/>
      <w:bookmarkEnd w:id="28"/>
      <w:bookmarkEnd w:id="29"/>
      <w:bookmarkEnd w:id="30"/>
      <w:bookmarkEnd w:id="31"/>
      <w:r>
        <w:rPr>
          <w:rFonts w:ascii="宋体" w:eastAsia="宋体" w:hAnsi="宋体" w:cs="宋体" w:hint="eastAsia"/>
          <w:color w:val="000000"/>
          <w:kern w:val="0"/>
          <w:sz w:val="24"/>
          <w:szCs w:val="24"/>
        </w:rPr>
        <w:t>（一）基金管理人</w:t>
      </w:r>
    </w:p>
    <w:p w14:paraId="5EBD3C3E" w14:textId="06DB9BE2" w:rsidR="00EB48E5" w:rsidRDefault="001F2E4C" w:rsidP="00055DD6">
      <w:pPr>
        <w:widowControl/>
        <w:spacing w:line="360" w:lineRule="auto"/>
        <w:ind w:firstLine="480"/>
        <w:rPr>
          <w:rFonts w:ascii="宋体" w:eastAsia="宋体" w:hAnsi="宋体" w:cs="宋体"/>
          <w:color w:val="000000"/>
          <w:kern w:val="0"/>
          <w:sz w:val="24"/>
          <w:szCs w:val="24"/>
        </w:rPr>
      </w:pPr>
      <w:bookmarkStart w:id="32" w:name="_Toc15118236"/>
      <w:r>
        <w:rPr>
          <w:rFonts w:ascii="宋体" w:eastAsia="宋体" w:hAnsi="宋体" w:cs="宋体" w:hint="eastAsia"/>
          <w:color w:val="000000"/>
          <w:kern w:val="0"/>
          <w:sz w:val="24"/>
          <w:szCs w:val="24"/>
        </w:rPr>
        <w:t>名称：</w:t>
      </w:r>
      <w:r w:rsidR="00493D1C" w:rsidRPr="00493D1C">
        <w:rPr>
          <w:rFonts w:ascii="宋体" w:eastAsia="宋体" w:hAnsi="宋体" w:cs="宋体" w:hint="eastAsia"/>
          <w:color w:val="000000"/>
          <w:kern w:val="0"/>
          <w:sz w:val="24"/>
          <w:szCs w:val="24"/>
        </w:rPr>
        <w:t>广发基金管理有限公司</w:t>
      </w:r>
    </w:p>
    <w:p w14:paraId="1CBCF9BB"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住所：</w:t>
      </w:r>
      <w:r w:rsidR="00493D1C" w:rsidRPr="00493D1C">
        <w:rPr>
          <w:rFonts w:ascii="宋体" w:eastAsia="宋体" w:hAnsi="宋体" w:cs="宋体" w:hint="eastAsia"/>
          <w:color w:val="000000"/>
          <w:kern w:val="0"/>
          <w:sz w:val="24"/>
          <w:szCs w:val="24"/>
        </w:rPr>
        <w:t>广东省珠海市横琴新区环岛东路3018号2608室</w:t>
      </w:r>
    </w:p>
    <w:p w14:paraId="18C5414B"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法定代表人：</w:t>
      </w:r>
      <w:r w:rsidR="00493D1C" w:rsidRPr="00493D1C">
        <w:rPr>
          <w:rFonts w:ascii="宋体" w:eastAsia="宋体" w:hAnsi="宋体" w:cs="宋体" w:hint="eastAsia"/>
          <w:color w:val="000000"/>
          <w:kern w:val="0"/>
          <w:sz w:val="24"/>
          <w:szCs w:val="24"/>
        </w:rPr>
        <w:t>葛长伟</w:t>
      </w:r>
    </w:p>
    <w:p w14:paraId="6266A339" w14:textId="31F7E440"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设立日期：</w:t>
      </w:r>
      <w:r w:rsidR="00493D1C" w:rsidRPr="00493D1C">
        <w:rPr>
          <w:rFonts w:ascii="宋体" w:eastAsia="宋体" w:hAnsi="宋体" w:cs="宋体" w:hint="eastAsia"/>
          <w:color w:val="000000"/>
          <w:kern w:val="0"/>
          <w:sz w:val="24"/>
          <w:szCs w:val="24"/>
        </w:rPr>
        <w:t>2003年8月5日</w:t>
      </w:r>
    </w:p>
    <w:p w14:paraId="1690BEC4"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批准设立机关及批准设立文号：</w:t>
      </w:r>
      <w:r w:rsidR="00493D1C" w:rsidRPr="00493D1C">
        <w:rPr>
          <w:rFonts w:ascii="宋体" w:eastAsia="宋体" w:hAnsi="宋体" w:cs="宋体" w:hint="eastAsia"/>
          <w:color w:val="000000"/>
          <w:kern w:val="0"/>
          <w:sz w:val="24"/>
          <w:szCs w:val="24"/>
        </w:rPr>
        <w:t>中国证券监督管理委员会证</w:t>
      </w:r>
      <w:proofErr w:type="gramStart"/>
      <w:r w:rsidR="00493D1C" w:rsidRPr="00493D1C">
        <w:rPr>
          <w:rFonts w:ascii="宋体" w:eastAsia="宋体" w:hAnsi="宋体" w:cs="宋体" w:hint="eastAsia"/>
          <w:color w:val="000000"/>
          <w:kern w:val="0"/>
          <w:sz w:val="24"/>
          <w:szCs w:val="24"/>
        </w:rPr>
        <w:t>监基金字</w:t>
      </w:r>
      <w:proofErr w:type="gramEnd"/>
      <w:r w:rsidR="00493D1C" w:rsidRPr="00493D1C">
        <w:rPr>
          <w:rFonts w:ascii="宋体" w:eastAsia="宋体" w:hAnsi="宋体" w:cs="宋体" w:hint="eastAsia"/>
          <w:color w:val="000000"/>
          <w:kern w:val="0"/>
          <w:sz w:val="24"/>
          <w:szCs w:val="24"/>
        </w:rPr>
        <w:t>[2003]91号</w:t>
      </w:r>
    </w:p>
    <w:p w14:paraId="49F31EBF"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组织形式：</w:t>
      </w:r>
      <w:r w:rsidR="00493D1C" w:rsidRPr="00493D1C">
        <w:rPr>
          <w:rFonts w:ascii="宋体" w:eastAsia="宋体" w:hAnsi="宋体" w:cs="宋体" w:hint="eastAsia"/>
          <w:color w:val="000000"/>
          <w:kern w:val="0"/>
          <w:sz w:val="24"/>
          <w:szCs w:val="24"/>
        </w:rPr>
        <w:t>有限责任公司</w:t>
      </w:r>
    </w:p>
    <w:p w14:paraId="0EEF7269"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注册资本： </w:t>
      </w:r>
      <w:r w:rsidR="00493D1C" w:rsidRPr="00493D1C">
        <w:rPr>
          <w:rFonts w:ascii="宋体" w:eastAsia="宋体" w:hAnsi="宋体" w:cs="宋体" w:hint="eastAsia"/>
          <w:color w:val="000000"/>
          <w:kern w:val="0"/>
          <w:sz w:val="24"/>
          <w:szCs w:val="24"/>
        </w:rPr>
        <w:t>14,097.8万元人民币</w:t>
      </w:r>
    </w:p>
    <w:p w14:paraId="1304E4A3"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存续期限：</w:t>
      </w:r>
      <w:r w:rsidR="00493D1C">
        <w:rPr>
          <w:rFonts w:ascii="宋体" w:eastAsia="宋体" w:hAnsi="宋体" w:cs="宋体" w:hint="eastAsia"/>
          <w:color w:val="000000"/>
          <w:kern w:val="0"/>
          <w:sz w:val="24"/>
          <w:szCs w:val="24"/>
        </w:rPr>
        <w:t>持续经营</w:t>
      </w:r>
    </w:p>
    <w:p w14:paraId="3DC4076C"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联系电话：</w:t>
      </w:r>
      <w:r w:rsidR="00493D1C" w:rsidRPr="00493D1C">
        <w:rPr>
          <w:rFonts w:ascii="宋体" w:eastAsia="宋体" w:hAnsi="宋体" w:cs="宋体"/>
          <w:color w:val="000000"/>
          <w:kern w:val="0"/>
          <w:sz w:val="24"/>
          <w:szCs w:val="24"/>
        </w:rPr>
        <w:t>020-83936666</w:t>
      </w:r>
    </w:p>
    <w:p w14:paraId="245D9BA5" w14:textId="77777777" w:rsidR="00EB48E5" w:rsidRDefault="001F2E4C" w:rsidP="00055DD6">
      <w:pPr>
        <w:widowControl/>
        <w:spacing w:line="360" w:lineRule="auto"/>
        <w:ind w:firstLine="480"/>
        <w:rPr>
          <w:rFonts w:ascii="宋体" w:eastAsia="宋体" w:hAnsi="宋体" w:cs="宋体"/>
          <w:color w:val="000000"/>
          <w:kern w:val="0"/>
          <w:sz w:val="24"/>
          <w:szCs w:val="24"/>
        </w:rPr>
      </w:pPr>
      <w:bookmarkStart w:id="33" w:name="_Toc477270355"/>
      <w:bookmarkStart w:id="34" w:name="_Toc48703886"/>
      <w:bookmarkStart w:id="35" w:name="_Toc477272400"/>
      <w:bookmarkStart w:id="36" w:name="_Toc22454434"/>
      <w:bookmarkEnd w:id="32"/>
      <w:bookmarkEnd w:id="33"/>
      <w:bookmarkEnd w:id="34"/>
      <w:bookmarkEnd w:id="35"/>
      <w:bookmarkEnd w:id="36"/>
      <w:r>
        <w:rPr>
          <w:rFonts w:ascii="宋体" w:eastAsia="宋体" w:hAnsi="宋体" w:cs="宋体" w:hint="eastAsia"/>
          <w:color w:val="000000"/>
          <w:kern w:val="0"/>
          <w:sz w:val="24"/>
          <w:szCs w:val="24"/>
        </w:rPr>
        <w:t>（二）基金托管人</w:t>
      </w:r>
    </w:p>
    <w:p w14:paraId="3628C183"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名称：中泰证券股份有限公司</w:t>
      </w:r>
    </w:p>
    <w:p w14:paraId="54949DBF" w14:textId="230F986E"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住所：</w:t>
      </w:r>
      <w:r w:rsidR="006B435B" w:rsidRPr="006B435B">
        <w:rPr>
          <w:rFonts w:ascii="宋体" w:eastAsia="宋体" w:hAnsi="宋体" w:cs="宋体" w:hint="eastAsia"/>
          <w:color w:val="000000"/>
          <w:kern w:val="0"/>
          <w:sz w:val="24"/>
          <w:szCs w:val="24"/>
        </w:rPr>
        <w:t>济南市高新区经十路7000号</w:t>
      </w:r>
      <w:proofErr w:type="gramStart"/>
      <w:r w:rsidR="006B435B" w:rsidRPr="006B435B">
        <w:rPr>
          <w:rFonts w:ascii="宋体" w:eastAsia="宋体" w:hAnsi="宋体" w:cs="宋体" w:hint="eastAsia"/>
          <w:color w:val="000000"/>
          <w:kern w:val="0"/>
          <w:sz w:val="24"/>
          <w:szCs w:val="24"/>
        </w:rPr>
        <w:t>汉峪金融</w:t>
      </w:r>
      <w:proofErr w:type="gramEnd"/>
      <w:r w:rsidR="006B435B" w:rsidRPr="006B435B">
        <w:rPr>
          <w:rFonts w:ascii="宋体" w:eastAsia="宋体" w:hAnsi="宋体" w:cs="宋体" w:hint="eastAsia"/>
          <w:color w:val="000000"/>
          <w:kern w:val="0"/>
          <w:sz w:val="24"/>
          <w:szCs w:val="24"/>
        </w:rPr>
        <w:t>商务中心五区3号楼</w:t>
      </w:r>
    </w:p>
    <w:p w14:paraId="64749C73"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办公地址：山东省济南市经十路7000号</w:t>
      </w:r>
      <w:proofErr w:type="gramStart"/>
      <w:r>
        <w:rPr>
          <w:rFonts w:ascii="宋体" w:eastAsia="宋体" w:hAnsi="宋体" w:cs="宋体" w:hint="eastAsia"/>
          <w:color w:val="000000"/>
          <w:kern w:val="0"/>
          <w:sz w:val="24"/>
          <w:szCs w:val="24"/>
        </w:rPr>
        <w:t>汉峪金融</w:t>
      </w:r>
      <w:proofErr w:type="gramEnd"/>
      <w:r>
        <w:rPr>
          <w:rFonts w:ascii="宋体" w:eastAsia="宋体" w:hAnsi="宋体" w:cs="宋体" w:hint="eastAsia"/>
          <w:color w:val="000000"/>
          <w:kern w:val="0"/>
          <w:sz w:val="24"/>
          <w:szCs w:val="24"/>
        </w:rPr>
        <w:t>商务中心五区3号楼35层</w:t>
      </w:r>
    </w:p>
    <w:p w14:paraId="68A2CF7A"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法定代表人：王洪</w:t>
      </w:r>
    </w:p>
    <w:p w14:paraId="48FE6425"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成立时间：2001年05月15日</w:t>
      </w:r>
    </w:p>
    <w:p w14:paraId="6254BDB3"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组织形式：股份有限公司</w:t>
      </w:r>
    </w:p>
    <w:p w14:paraId="67FE6932" w14:textId="28576C9C"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注册资本：</w:t>
      </w:r>
      <w:r w:rsidR="006B435B" w:rsidRPr="006B435B">
        <w:rPr>
          <w:rFonts w:ascii="宋体" w:eastAsia="宋体" w:hAnsi="宋体" w:cs="宋体"/>
          <w:color w:val="000000"/>
          <w:kern w:val="0"/>
          <w:sz w:val="24"/>
          <w:szCs w:val="24"/>
        </w:rPr>
        <w:t>791834.0996</w:t>
      </w:r>
      <w:r>
        <w:rPr>
          <w:rFonts w:ascii="宋体" w:eastAsia="宋体" w:hAnsi="宋体" w:cs="宋体" w:hint="eastAsia"/>
          <w:color w:val="000000"/>
          <w:kern w:val="0"/>
          <w:sz w:val="24"/>
          <w:szCs w:val="24"/>
        </w:rPr>
        <w:t>万人民币</w:t>
      </w:r>
    </w:p>
    <w:p w14:paraId="261695F5"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存续期间：持续经营</w:t>
      </w:r>
    </w:p>
    <w:p w14:paraId="4B8395F8" w14:textId="721640BB"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基金托管业务批准文号：中国证监会证监许可[2015]3037号</w:t>
      </w:r>
    </w:p>
    <w:p w14:paraId="121D2D41" w14:textId="77777777" w:rsidR="00EB48E5" w:rsidRDefault="001F2E4C" w:rsidP="00055DD6">
      <w:pPr>
        <w:pStyle w:val="1"/>
        <w:spacing w:line="360" w:lineRule="auto"/>
        <w:jc w:val="center"/>
        <w:rPr>
          <w:color w:val="000000"/>
          <w:kern w:val="0"/>
          <w:szCs w:val="21"/>
        </w:rPr>
      </w:pPr>
      <w:bookmarkStart w:id="37" w:name="_Toc477274811"/>
      <w:bookmarkStart w:id="38" w:name="_Toc375230477"/>
      <w:bookmarkStart w:id="39" w:name="_Toc125361074"/>
      <w:bookmarkStart w:id="40" w:name="_Toc466788852"/>
      <w:bookmarkStart w:id="41" w:name="_Toc124749937"/>
      <w:bookmarkStart w:id="42" w:name="_Toc48703887"/>
      <w:bookmarkStart w:id="43" w:name="_Toc124749226"/>
      <w:bookmarkStart w:id="44" w:name="_Toc123626168"/>
      <w:bookmarkStart w:id="45" w:name="_Toc22454435"/>
      <w:bookmarkStart w:id="46" w:name="_Toc523829993"/>
      <w:bookmarkStart w:id="47" w:name="_Toc12663"/>
      <w:bookmarkEnd w:id="37"/>
      <w:bookmarkEnd w:id="38"/>
      <w:bookmarkEnd w:id="39"/>
      <w:bookmarkEnd w:id="40"/>
      <w:bookmarkEnd w:id="41"/>
      <w:bookmarkEnd w:id="42"/>
      <w:bookmarkEnd w:id="43"/>
      <w:bookmarkEnd w:id="44"/>
      <w:bookmarkEnd w:id="45"/>
      <w:bookmarkEnd w:id="46"/>
      <w:r>
        <w:rPr>
          <w:rFonts w:hint="eastAsia"/>
          <w:color w:val="000000"/>
          <w:kern w:val="0"/>
          <w:sz w:val="30"/>
          <w:szCs w:val="30"/>
        </w:rPr>
        <w:t>二、基金托管协议的依据、目的和原则</w:t>
      </w:r>
      <w:bookmarkEnd w:id="47"/>
    </w:p>
    <w:p w14:paraId="045DC825" w14:textId="0540D54B" w:rsidR="00EB48E5" w:rsidRDefault="001F2E4C" w:rsidP="00055DD6">
      <w:pPr>
        <w:widowControl/>
        <w:spacing w:after="120"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订立本协议的依据是《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 号——指数基金指引》、《证券投资基金信息披露内容与格式准则第7号〈托管协议的内容与格式〉》、《</w:t>
      </w:r>
      <w:r w:rsidR="00493D1C" w:rsidRPr="00493D1C">
        <w:rPr>
          <w:rFonts w:ascii="宋体" w:eastAsia="宋体" w:hAnsi="宋体" w:cs="宋体" w:hint="eastAsia"/>
          <w:color w:val="000000"/>
          <w:kern w:val="0"/>
          <w:sz w:val="24"/>
          <w:szCs w:val="24"/>
        </w:rPr>
        <w:t>广发上证科创板芯片设计主题交易型开放式指数证券投资基金发起式联接基金</w:t>
      </w:r>
      <w:r>
        <w:rPr>
          <w:rFonts w:ascii="宋体" w:eastAsia="宋体" w:hAnsi="宋体" w:cs="宋体" w:hint="eastAsia"/>
          <w:color w:val="000000"/>
          <w:kern w:val="0"/>
          <w:sz w:val="24"/>
          <w:szCs w:val="24"/>
        </w:rPr>
        <w:t>基金合同》（以下简称《基金合同》）及其他有关规定。</w:t>
      </w:r>
    </w:p>
    <w:p w14:paraId="1CD3E964" w14:textId="77777777" w:rsidR="00EB48E5" w:rsidRDefault="001F2E4C" w:rsidP="00055DD6">
      <w:pPr>
        <w:widowControl/>
        <w:spacing w:after="120"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订立本协议的目的是明确基金托管人与基金管理人之间在基金财产的保管、投资运作、净值计算、收益分配、信息披露及相互监督等有关事宜中的权利、义务及职责，保护基金份额持有人的合法权益。</w:t>
      </w:r>
    </w:p>
    <w:p w14:paraId="08AD72C7" w14:textId="77777777" w:rsidR="00EB48E5" w:rsidRDefault="001F2E4C" w:rsidP="00055DD6">
      <w:pPr>
        <w:widowControl/>
        <w:spacing w:after="120"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基金管理人和基金托管人本着平等自愿、诚实信用、充分保护基金份额持有人合法权益的原则，经协商一致，签订本协议。</w:t>
      </w:r>
    </w:p>
    <w:p w14:paraId="011900C8" w14:textId="77777777" w:rsidR="00EB48E5" w:rsidRDefault="001F2E4C" w:rsidP="00055DD6">
      <w:pPr>
        <w:widowControl/>
        <w:spacing w:after="120"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除非本协议另有约定，本协议所使用的词语或简称与其在《基金合同》的释义部分具有相同含义。若有抵触，应以《基金合同》为准，并依其条款解释。</w:t>
      </w:r>
    </w:p>
    <w:p w14:paraId="373FACE2" w14:textId="77777777" w:rsidR="00EB48E5" w:rsidRDefault="001F2E4C" w:rsidP="00055DD6">
      <w:pPr>
        <w:widowControl/>
        <w:spacing w:after="120"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本基金信息披露事项以法律法规规定及基金合同“基金的信息披露”部分约定的内容为准。</w:t>
      </w:r>
    </w:p>
    <w:p w14:paraId="20D824BC" w14:textId="77777777" w:rsidR="00CE4024" w:rsidRDefault="00CE4024" w:rsidP="00055DD6">
      <w:pPr>
        <w:widowControl/>
        <w:spacing w:after="120" w:line="360" w:lineRule="auto"/>
        <w:ind w:firstLine="480"/>
        <w:rPr>
          <w:rFonts w:ascii="宋体" w:eastAsia="宋体" w:hAnsi="宋体" w:cs="宋体"/>
          <w:color w:val="000000"/>
          <w:kern w:val="0"/>
          <w:sz w:val="27"/>
          <w:szCs w:val="27"/>
        </w:rPr>
      </w:pPr>
    </w:p>
    <w:p w14:paraId="1F05FBF1" w14:textId="77777777" w:rsidR="00EB48E5" w:rsidRDefault="001F2E4C" w:rsidP="00055DD6">
      <w:pPr>
        <w:pStyle w:val="1"/>
        <w:spacing w:line="360" w:lineRule="auto"/>
        <w:jc w:val="center"/>
        <w:rPr>
          <w:color w:val="000000"/>
          <w:kern w:val="0"/>
          <w:szCs w:val="21"/>
        </w:rPr>
      </w:pPr>
      <w:bookmarkStart w:id="48" w:name="_Toc125361075"/>
      <w:bookmarkStart w:id="49" w:name="_Toc477274812"/>
      <w:bookmarkStart w:id="50" w:name="_Toc375230478"/>
      <w:bookmarkStart w:id="51" w:name="_Toc124749938"/>
      <w:bookmarkStart w:id="52" w:name="_Toc124749227"/>
      <w:bookmarkStart w:id="53" w:name="_Toc15984"/>
      <w:bookmarkEnd w:id="48"/>
      <w:bookmarkEnd w:id="49"/>
      <w:bookmarkEnd w:id="50"/>
      <w:bookmarkEnd w:id="51"/>
      <w:bookmarkEnd w:id="52"/>
      <w:r>
        <w:rPr>
          <w:rFonts w:hint="eastAsia"/>
          <w:color w:val="000000"/>
          <w:kern w:val="0"/>
          <w:sz w:val="30"/>
          <w:szCs w:val="30"/>
        </w:rPr>
        <w:lastRenderedPageBreak/>
        <w:t>三、基金托管人对基金管理人的业务监督和核查</w:t>
      </w:r>
      <w:bookmarkEnd w:id="53"/>
    </w:p>
    <w:p w14:paraId="439F1681" w14:textId="77777777" w:rsidR="00EB48E5" w:rsidRDefault="001F2E4C" w:rsidP="00055DD6">
      <w:pPr>
        <w:widowControl/>
        <w:spacing w:before="156" w:after="156" w:line="360" w:lineRule="auto"/>
        <w:ind w:firstLine="361"/>
        <w:textAlignment w:val="baseline"/>
        <w:rPr>
          <w:rFonts w:ascii="宋体" w:eastAsia="宋体" w:hAnsi="宋体" w:cs="宋体"/>
          <w:color w:val="000000"/>
          <w:kern w:val="0"/>
          <w:szCs w:val="21"/>
        </w:rPr>
      </w:pPr>
      <w:bookmarkStart w:id="54" w:name="_Toc477272403"/>
      <w:bookmarkStart w:id="55" w:name="_Toc477270358"/>
      <w:bookmarkEnd w:id="54"/>
      <w:r>
        <w:rPr>
          <w:rFonts w:ascii="宋体" w:eastAsia="宋体" w:hAnsi="宋体" w:cs="宋体" w:hint="eastAsia"/>
          <w:color w:val="000000"/>
          <w:kern w:val="0"/>
          <w:sz w:val="24"/>
          <w:szCs w:val="24"/>
        </w:rPr>
        <w:t>（一）基金托管人对基金管理人的投资行为行使监督权</w:t>
      </w:r>
      <w:bookmarkEnd w:id="55"/>
    </w:p>
    <w:p w14:paraId="492F376B"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1、基金托管人根据有关法律法规的规定和《基金合同》的约定，对下述基金投资范围、投资对象进行监督。</w:t>
      </w:r>
    </w:p>
    <w:p w14:paraId="336DD492"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bookmarkStart w:id="56" w:name="_Hlk104479621"/>
      <w:r w:rsidRPr="00493D1C">
        <w:rPr>
          <w:rFonts w:ascii="宋体" w:eastAsia="宋体" w:hAnsi="宋体" w:cs="宋体" w:hint="eastAsia"/>
          <w:color w:val="000000"/>
          <w:kern w:val="0"/>
          <w:sz w:val="24"/>
          <w:szCs w:val="24"/>
        </w:rPr>
        <w:t>本基金以目标ETF基金份额、标的指数成份股及备选成份股（</w:t>
      </w:r>
      <w:proofErr w:type="gramStart"/>
      <w:r w:rsidRPr="00493D1C">
        <w:rPr>
          <w:rFonts w:ascii="宋体" w:eastAsia="宋体" w:hAnsi="宋体" w:cs="宋体" w:hint="eastAsia"/>
          <w:color w:val="000000"/>
          <w:kern w:val="0"/>
          <w:sz w:val="24"/>
          <w:szCs w:val="24"/>
        </w:rPr>
        <w:t>含存托</w:t>
      </w:r>
      <w:proofErr w:type="gramEnd"/>
      <w:r w:rsidRPr="00493D1C">
        <w:rPr>
          <w:rFonts w:ascii="宋体" w:eastAsia="宋体" w:hAnsi="宋体" w:cs="宋体" w:hint="eastAsia"/>
          <w:color w:val="000000"/>
          <w:kern w:val="0"/>
          <w:sz w:val="24"/>
          <w:szCs w:val="24"/>
        </w:rPr>
        <w:t>凭证）为主要投资对象。此外，为更好地实现投资目标，本基金可少量投资于非成份股（包括</w:t>
      </w:r>
      <w:proofErr w:type="gramStart"/>
      <w:r w:rsidRPr="00493D1C">
        <w:rPr>
          <w:rFonts w:ascii="宋体" w:eastAsia="宋体" w:hAnsi="宋体" w:cs="宋体" w:hint="eastAsia"/>
          <w:color w:val="000000"/>
          <w:kern w:val="0"/>
          <w:sz w:val="24"/>
          <w:szCs w:val="24"/>
        </w:rPr>
        <w:t>科创板</w:t>
      </w:r>
      <w:proofErr w:type="gramEnd"/>
      <w:r w:rsidRPr="00493D1C">
        <w:rPr>
          <w:rFonts w:ascii="宋体" w:eastAsia="宋体" w:hAnsi="宋体" w:cs="宋体" w:hint="eastAsia"/>
          <w:color w:val="000000"/>
          <w:kern w:val="0"/>
          <w:sz w:val="24"/>
          <w:szCs w:val="24"/>
        </w:rPr>
        <w:t>、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1780B092"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本基金的目标ETF为广发上证</w:t>
      </w:r>
      <w:proofErr w:type="gramStart"/>
      <w:r w:rsidRPr="00493D1C">
        <w:rPr>
          <w:rFonts w:ascii="宋体" w:eastAsia="宋体" w:hAnsi="宋体" w:cs="宋体" w:hint="eastAsia"/>
          <w:color w:val="000000"/>
          <w:kern w:val="0"/>
          <w:sz w:val="24"/>
          <w:szCs w:val="24"/>
        </w:rPr>
        <w:t>科创板</w:t>
      </w:r>
      <w:proofErr w:type="gramEnd"/>
      <w:r w:rsidRPr="00493D1C">
        <w:rPr>
          <w:rFonts w:ascii="宋体" w:eastAsia="宋体" w:hAnsi="宋体" w:cs="宋体" w:hint="eastAsia"/>
          <w:color w:val="000000"/>
          <w:kern w:val="0"/>
          <w:sz w:val="24"/>
          <w:szCs w:val="24"/>
        </w:rPr>
        <w:t>芯片设计主题交易型开放式指数证券投资基金。</w:t>
      </w:r>
    </w:p>
    <w:p w14:paraId="3F02881D"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本基金可根据相关法律法规的规定参与转融通证券出借及融资业务。</w:t>
      </w:r>
    </w:p>
    <w:p w14:paraId="5F2C876A" w14:textId="77777777" w:rsid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如法律法规或监管机构以后允许基金投资于其他品种，基金管理人在履行适当程序后，可以将其纳入投资范围。</w:t>
      </w:r>
    </w:p>
    <w:p w14:paraId="34E61EB8"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基金的投资组合比例为：投资于目标ETF的比例不低于基金资产净值的90%且不低于非现金基金资产的80%；每个交易日日终在扣除股指期货合约、国债期货合约、股票期权合约需缴纳的交易保证金后，现金及到期日在一年以内的政府债券的比例合计不低于基金资产净值的5%，现金不包括结算备付金、存出保证金、应收申购款等。股指期货、国债期货、股票期权及其他金融工具的投资比例依照法律法规或监管机构的规定执行。</w:t>
      </w:r>
    </w:p>
    <w:p w14:paraId="7B35408C" w14:textId="3726CA67" w:rsidR="00EB48E5"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如法律法规或中国证监会变更投资品</w:t>
      </w:r>
      <w:r>
        <w:rPr>
          <w:rFonts w:ascii="宋体" w:eastAsia="宋体" w:hAnsi="宋体" w:cs="宋体" w:hint="eastAsia"/>
          <w:color w:val="000000"/>
          <w:kern w:val="0"/>
          <w:sz w:val="24"/>
          <w:szCs w:val="24"/>
        </w:rPr>
        <w:t>种的投资比例限制，基金管理人在履行适当程序后，可以做出相应调整</w:t>
      </w:r>
      <w:r w:rsidR="001F2E4C">
        <w:rPr>
          <w:rFonts w:ascii="宋体" w:eastAsia="宋体" w:hAnsi="宋体" w:cs="宋体" w:hint="eastAsia"/>
          <w:color w:val="000000"/>
          <w:kern w:val="0"/>
          <w:sz w:val="24"/>
          <w:szCs w:val="24"/>
        </w:rPr>
        <w:t>。</w:t>
      </w:r>
    </w:p>
    <w:p w14:paraId="4DBE91BC"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2、基金托管人根据有关法律法规的规定及《基金合同》的约定对下述基金投融资比例进行监督：</w:t>
      </w:r>
    </w:p>
    <w:p w14:paraId="22E9BFF3"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基金的投资组合应遵循以下限制：</w:t>
      </w:r>
    </w:p>
    <w:p w14:paraId="7C75A145"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（1）本基金投资于目标ETF的比例不低于基金资产净值的90%且不低于非现金基金资产的80%；</w:t>
      </w:r>
    </w:p>
    <w:p w14:paraId="47B8C5A8"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lastRenderedPageBreak/>
        <w:t>（2）每个交易日日终在扣除股指期货合约、国债期货合约、股票期权合约需缴纳的交易保证金后，保持不低于基金资产净值5%的现金或者到期日在一年以内的政府债券，其中现金不包括结算备付金、存出保证金及应收申购款等；</w:t>
      </w:r>
    </w:p>
    <w:p w14:paraId="1683A5F6"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（3）本基金参与股指期货交易的，应当符合下列投资限制：</w:t>
      </w:r>
    </w:p>
    <w:p w14:paraId="53827F5F"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在任何交易日日终，持有的买入股指期货合约价值，不得超过基金资产净值的10%；在任何交易日日终，持有的买入股指期货合约、国债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05D3168"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4）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 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223D5114"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（5）本基金参与股票期权交易的，应当符合下列风险控制指标要求：</w:t>
      </w:r>
    </w:p>
    <w:p w14:paraId="255C2E21"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基金因未平仓的股票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股票期权合约面值不得超过基金资产净值的20%。其中，合约面值按照行权价乘以合约乘数计算；</w:t>
      </w:r>
    </w:p>
    <w:p w14:paraId="5C6274DD"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（6）本基金参与转融通证券出借业务的，还须符合以下限制：出借证券资产不得超过基金资产净值的30%；参与出借业务的单只证券不得超过基金持有该</w:t>
      </w:r>
      <w:r w:rsidRPr="00493D1C">
        <w:rPr>
          <w:rFonts w:ascii="宋体" w:eastAsia="宋体" w:hAnsi="宋体" w:cs="宋体" w:hint="eastAsia"/>
          <w:color w:val="000000"/>
          <w:kern w:val="0"/>
          <w:sz w:val="24"/>
          <w:szCs w:val="24"/>
        </w:rPr>
        <w:lastRenderedPageBreak/>
        <w:t>证券总量的50%；最近6个月内日均基金资产净值不得低于2亿元；证券出借的平均剩余期限不得超过30天，平均剩余期限按照市值加权平均计算；</w:t>
      </w:r>
    </w:p>
    <w:p w14:paraId="482A2A10"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（7）本基金投资于同一原始权益人的各类资产支持证券的比例，不得超过基金资产净值的10%；</w:t>
      </w:r>
    </w:p>
    <w:p w14:paraId="149C713F"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（8）本基金持有的全部资产支持证券，其市值不得超过基金资产净值的20%；</w:t>
      </w:r>
    </w:p>
    <w:p w14:paraId="50B131A9"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（9）本基金持有的同一（指同一信用级别）资产支持证券的比例，不得超过该资产支持证券规模的10%；</w:t>
      </w:r>
    </w:p>
    <w:p w14:paraId="38CB0DF1"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（10）本基金管理人管理的全部基金投资于同一原始权益人的各类资产支持证券，不得超过其各类资产支持证券合计规模的10%；</w:t>
      </w:r>
    </w:p>
    <w:p w14:paraId="60E29F74"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（11）本基金应投资于信用级别评级为BBB以上（含BBB）的资产支持证券。基金持有资产支持证券期间，如果其信用等级下降、不再符合投资标准，应在评级报告发布之日起3个月内予以全部卖出；</w:t>
      </w:r>
    </w:p>
    <w:p w14:paraId="710C1B3A"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（12）本基金主动投资于流动性受限资产的市值合计不得超过该基金资产净值的 15%。因期货市场波动、证券市场波动、证券停牌、基金规模变动等基金管理人之外的因素致使基金不符合该规定比例限制的，基金管理人不得主动新增流动性受限资产的投资；</w:t>
      </w:r>
    </w:p>
    <w:p w14:paraId="787D6419"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（13）本基金与私募类</w:t>
      </w:r>
      <w:proofErr w:type="gramStart"/>
      <w:r w:rsidRPr="00493D1C">
        <w:rPr>
          <w:rFonts w:ascii="宋体" w:eastAsia="宋体" w:hAnsi="宋体" w:cs="宋体" w:hint="eastAsia"/>
          <w:color w:val="000000"/>
          <w:kern w:val="0"/>
          <w:sz w:val="24"/>
          <w:szCs w:val="24"/>
        </w:rPr>
        <w:t>证券资管产品</w:t>
      </w:r>
      <w:proofErr w:type="gramEnd"/>
      <w:r w:rsidRPr="00493D1C">
        <w:rPr>
          <w:rFonts w:ascii="宋体" w:eastAsia="宋体" w:hAnsi="宋体" w:cs="宋体" w:hint="eastAsia"/>
          <w:color w:val="000000"/>
          <w:kern w:val="0"/>
          <w:sz w:val="24"/>
          <w:szCs w:val="24"/>
        </w:rPr>
        <w:t>及中国证监会认定的其他主体为交易对手开展逆回购交易的，可接受质押品的资质要求应当与基金合同约定的投资范围保持一致；</w:t>
      </w:r>
    </w:p>
    <w:p w14:paraId="7D75FFCD"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（14）基金资产总值不得超过基金资产净值的140%；</w:t>
      </w:r>
    </w:p>
    <w:p w14:paraId="32E34AE4"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（15）本基金投资存托凭证的比例限制依照境内上市交易的股票执行，与境内上市交易的股票合并计算；</w:t>
      </w:r>
    </w:p>
    <w:p w14:paraId="54BCEA90"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（16）基金财产参与股票发行申购，本基金所申报的金额不超过本基金的总资产，本基金所申报的股票数量不超过拟发行股票公司本次发行股票的总量；</w:t>
      </w:r>
    </w:p>
    <w:p w14:paraId="6E7F7911"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（17）法律法规及中国证监会规定的和《基金合同》约定的其他投资限制。</w:t>
      </w:r>
    </w:p>
    <w:p w14:paraId="2B546A74"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除第（1）、（2）、（6）、（11）、（12）、（13）条规定的情形外，因证券市场波动、期货市场波动、证券发行人合并、基金规模变动、目标ETF暂停申购、赎回或二级市场交易停牌等基金管理人之外的因素致使基金投资比例不符合</w:t>
      </w:r>
      <w:r w:rsidRPr="00493D1C">
        <w:rPr>
          <w:rFonts w:ascii="宋体" w:eastAsia="宋体" w:hAnsi="宋体" w:cs="宋体" w:hint="eastAsia"/>
          <w:color w:val="000000"/>
          <w:kern w:val="0"/>
          <w:sz w:val="24"/>
          <w:szCs w:val="24"/>
        </w:rPr>
        <w:lastRenderedPageBreak/>
        <w:t>上述规定投资比例的，基金管理人应当在10个交易日内进行调整，但中国证监会规定的特殊情形除外。</w:t>
      </w:r>
    </w:p>
    <w:p w14:paraId="60849F8F"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因证券市场波动、期货市场波动、证券发行人合并、基金规模变动、目标ETF暂停申购、赎回或二级市场交易停牌等基金管理人之外的因素致使基金投资比例不符合上述第（1）项规定的比例的，基金管理人应当在20个交易日内进行调整，但中国证监会规定的特殊情形除外。</w:t>
      </w:r>
    </w:p>
    <w:p w14:paraId="5AEA0C5C" w14:textId="77777777" w:rsidR="00493D1C" w:rsidRPr="00493D1C"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因证券市场波动、证券发行人合并、基金规模变动等基金管理人之外的因素致使基金投资不符合第（6）项规定的，基金管理人不得新增出借业务。基金参与出借业务不终止确认出借证券。基金持有证券的持有期计算不因出借而受影响，出借证券应纳入基金投资运作指标计算范围。</w:t>
      </w:r>
    </w:p>
    <w:p w14:paraId="0C0AD72F" w14:textId="3F3BFD9C" w:rsidR="00EB48E5" w:rsidRDefault="00493D1C" w:rsidP="00055DD6">
      <w:pPr>
        <w:widowControl/>
        <w:spacing w:line="360" w:lineRule="auto"/>
        <w:ind w:firstLine="480"/>
        <w:rPr>
          <w:rFonts w:ascii="宋体" w:eastAsia="宋体" w:hAnsi="宋体" w:cs="宋体"/>
          <w:color w:val="000000"/>
          <w:kern w:val="0"/>
          <w:sz w:val="24"/>
          <w:szCs w:val="24"/>
        </w:rPr>
      </w:pPr>
      <w:r w:rsidRPr="00493D1C">
        <w:rPr>
          <w:rFonts w:ascii="宋体" w:eastAsia="宋体" w:hAnsi="宋体" w:cs="宋体" w:hint="eastAsia"/>
          <w:color w:val="000000"/>
          <w:kern w:val="0"/>
          <w:sz w:val="24"/>
          <w:szCs w:val="24"/>
        </w:rPr>
        <w:t>基金管理人应当自基金合同生效之日起6个月内使基金的投资组合比例符合基金合同的有关约定。在上述期间内，本基金的投资范围、投资策</w:t>
      </w:r>
      <w:r w:rsidR="00C526B5">
        <w:rPr>
          <w:rFonts w:ascii="宋体" w:eastAsia="宋体" w:hAnsi="宋体" w:cs="宋体" w:hint="eastAsia"/>
          <w:color w:val="000000"/>
          <w:kern w:val="0"/>
          <w:sz w:val="24"/>
          <w:szCs w:val="24"/>
        </w:rPr>
        <w:t>略应当符合基金合同的约定。基金托管人对基金的投资的监督与检查自</w:t>
      </w:r>
      <w:r w:rsidRPr="00493D1C">
        <w:rPr>
          <w:rFonts w:ascii="宋体" w:eastAsia="宋体" w:hAnsi="宋体" w:cs="宋体" w:hint="eastAsia"/>
          <w:color w:val="000000"/>
          <w:kern w:val="0"/>
          <w:sz w:val="24"/>
          <w:szCs w:val="24"/>
        </w:rPr>
        <w:t>基金合同生效之日起开始。</w:t>
      </w:r>
    </w:p>
    <w:p w14:paraId="16EDD5CE"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3、基金托管人根据有关法律法规的规定及《基金合同》的约定对下述基金投资禁止行为进行监督：</w:t>
      </w:r>
    </w:p>
    <w:p w14:paraId="3D300E5C" w14:textId="77777777" w:rsidR="00EB48E5" w:rsidRDefault="001F2E4C" w:rsidP="00055DD6">
      <w:pPr>
        <w:widowControl/>
        <w:spacing w:line="360" w:lineRule="auto"/>
        <w:ind w:firstLine="540"/>
        <w:rPr>
          <w:rFonts w:ascii="宋体" w:eastAsia="宋体" w:hAnsi="宋体" w:cs="宋体"/>
          <w:color w:val="000000"/>
          <w:kern w:val="0"/>
          <w:szCs w:val="21"/>
        </w:rPr>
      </w:pPr>
      <w:r>
        <w:rPr>
          <w:rFonts w:ascii="宋体" w:eastAsia="宋体" w:hAnsi="宋体" w:cs="宋体" w:hint="eastAsia"/>
          <w:color w:val="000000"/>
          <w:kern w:val="0"/>
          <w:sz w:val="24"/>
          <w:szCs w:val="24"/>
        </w:rPr>
        <w:t>根据法律法规的规定及《基金合同》的约定，本基金禁止从事下列行为：</w:t>
      </w:r>
    </w:p>
    <w:p w14:paraId="77A3C70B" w14:textId="77777777" w:rsidR="00EB48E5" w:rsidRDefault="001F2E4C" w:rsidP="00055DD6">
      <w:pPr>
        <w:widowControl/>
        <w:spacing w:line="360" w:lineRule="auto"/>
        <w:ind w:firstLine="420"/>
        <w:rPr>
          <w:rFonts w:ascii="宋体" w:eastAsia="宋体" w:hAnsi="宋体" w:cs="宋体"/>
          <w:color w:val="000000"/>
          <w:kern w:val="0"/>
          <w:szCs w:val="21"/>
        </w:rPr>
      </w:pPr>
      <w:r>
        <w:rPr>
          <w:rFonts w:ascii="宋体" w:eastAsia="宋体" w:hAnsi="宋体" w:cs="宋体" w:hint="eastAsia"/>
          <w:color w:val="000000"/>
          <w:kern w:val="0"/>
          <w:sz w:val="24"/>
          <w:szCs w:val="24"/>
        </w:rPr>
        <w:t>（1）承销证券；</w:t>
      </w:r>
    </w:p>
    <w:p w14:paraId="6117F937" w14:textId="77777777" w:rsidR="00EB48E5" w:rsidRDefault="001F2E4C" w:rsidP="00055DD6">
      <w:pPr>
        <w:widowControl/>
        <w:spacing w:line="360" w:lineRule="auto"/>
        <w:ind w:firstLine="420"/>
        <w:rPr>
          <w:rFonts w:ascii="宋体" w:eastAsia="宋体" w:hAnsi="宋体" w:cs="宋体"/>
          <w:color w:val="000000"/>
          <w:kern w:val="0"/>
          <w:szCs w:val="21"/>
        </w:rPr>
      </w:pPr>
      <w:r>
        <w:rPr>
          <w:rFonts w:ascii="宋体" w:eastAsia="宋体" w:hAnsi="宋体" w:cs="宋体" w:hint="eastAsia"/>
          <w:color w:val="000000"/>
          <w:kern w:val="0"/>
          <w:sz w:val="24"/>
          <w:szCs w:val="24"/>
        </w:rPr>
        <w:t>（2）违反规定向他人贷款或提供担保；</w:t>
      </w:r>
    </w:p>
    <w:p w14:paraId="6FC09582" w14:textId="77777777" w:rsidR="00EB48E5" w:rsidRDefault="001F2E4C" w:rsidP="00055DD6">
      <w:pPr>
        <w:widowControl/>
        <w:spacing w:line="360" w:lineRule="auto"/>
        <w:ind w:firstLine="420"/>
        <w:rPr>
          <w:rFonts w:ascii="宋体" w:eastAsia="宋体" w:hAnsi="宋体" w:cs="宋体"/>
          <w:color w:val="000000"/>
          <w:kern w:val="0"/>
          <w:szCs w:val="21"/>
        </w:rPr>
      </w:pPr>
      <w:r>
        <w:rPr>
          <w:rFonts w:ascii="宋体" w:eastAsia="宋体" w:hAnsi="宋体" w:cs="宋体" w:hint="eastAsia"/>
          <w:color w:val="000000"/>
          <w:kern w:val="0"/>
          <w:sz w:val="24"/>
          <w:szCs w:val="24"/>
        </w:rPr>
        <w:t>（3）从事承担无限责任的投资；</w:t>
      </w:r>
    </w:p>
    <w:p w14:paraId="5E902339" w14:textId="793DF132" w:rsidR="00EB48E5" w:rsidRDefault="001F2E4C" w:rsidP="00055DD6">
      <w:pPr>
        <w:widowControl/>
        <w:spacing w:line="360" w:lineRule="auto"/>
        <w:ind w:firstLine="420"/>
        <w:rPr>
          <w:rFonts w:ascii="宋体" w:eastAsia="宋体" w:hAnsi="宋体" w:cs="宋体"/>
          <w:color w:val="000000"/>
          <w:kern w:val="0"/>
          <w:szCs w:val="21"/>
        </w:rPr>
      </w:pPr>
      <w:r>
        <w:rPr>
          <w:rFonts w:ascii="宋体" w:eastAsia="宋体" w:hAnsi="宋体" w:cs="宋体" w:hint="eastAsia"/>
          <w:color w:val="000000"/>
          <w:kern w:val="0"/>
          <w:sz w:val="24"/>
          <w:szCs w:val="24"/>
        </w:rPr>
        <w:t>（4）向其基金管理人、基金托管人出资；</w:t>
      </w:r>
    </w:p>
    <w:p w14:paraId="5AA422F6" w14:textId="585AF7F5" w:rsidR="00EB48E5" w:rsidRDefault="001F2E4C" w:rsidP="00055DD6">
      <w:pPr>
        <w:widowControl/>
        <w:spacing w:line="360" w:lineRule="auto"/>
        <w:ind w:firstLine="420"/>
        <w:rPr>
          <w:rFonts w:ascii="宋体" w:eastAsia="宋体" w:hAnsi="宋体" w:cs="宋体"/>
          <w:color w:val="000000"/>
          <w:kern w:val="0"/>
          <w:szCs w:val="21"/>
        </w:rPr>
      </w:pPr>
      <w:r>
        <w:rPr>
          <w:rFonts w:ascii="宋体" w:eastAsia="宋体" w:hAnsi="宋体" w:cs="宋体" w:hint="eastAsia"/>
          <w:color w:val="000000"/>
          <w:kern w:val="0"/>
          <w:sz w:val="24"/>
          <w:szCs w:val="24"/>
        </w:rPr>
        <w:t>（</w:t>
      </w:r>
      <w:r w:rsidR="00EB2E72">
        <w:rPr>
          <w:rFonts w:ascii="宋体" w:eastAsia="宋体" w:hAnsi="宋体" w:cs="宋体"/>
          <w:color w:val="000000"/>
          <w:kern w:val="0"/>
          <w:sz w:val="24"/>
          <w:szCs w:val="24"/>
        </w:rPr>
        <w:t>5</w:t>
      </w:r>
      <w:r>
        <w:rPr>
          <w:rFonts w:ascii="宋体" w:eastAsia="宋体" w:hAnsi="宋体" w:cs="宋体" w:hint="eastAsia"/>
          <w:color w:val="000000"/>
          <w:kern w:val="0"/>
          <w:sz w:val="24"/>
          <w:szCs w:val="24"/>
        </w:rPr>
        <w:t>）从事内幕交易、操纵证券交易价格及其他不正当的证券交易活动；</w:t>
      </w:r>
    </w:p>
    <w:p w14:paraId="65DE2EBA" w14:textId="34E76851" w:rsidR="00EB48E5" w:rsidRDefault="001F2E4C" w:rsidP="00055DD6">
      <w:pPr>
        <w:widowControl/>
        <w:spacing w:line="360" w:lineRule="auto"/>
        <w:ind w:firstLine="420"/>
        <w:rPr>
          <w:rFonts w:ascii="宋体" w:eastAsia="宋体" w:hAnsi="宋体" w:cs="宋体"/>
          <w:color w:val="000000"/>
          <w:kern w:val="0"/>
          <w:szCs w:val="21"/>
        </w:rPr>
      </w:pPr>
      <w:r>
        <w:rPr>
          <w:rFonts w:ascii="宋体" w:eastAsia="宋体" w:hAnsi="宋体" w:cs="宋体" w:hint="eastAsia"/>
          <w:color w:val="000000"/>
          <w:kern w:val="0"/>
          <w:sz w:val="24"/>
          <w:szCs w:val="24"/>
        </w:rPr>
        <w:t>（</w:t>
      </w:r>
      <w:r w:rsidR="00EB2E72">
        <w:rPr>
          <w:rFonts w:ascii="宋体" w:eastAsia="宋体" w:hAnsi="宋体" w:cs="宋体"/>
          <w:color w:val="000000"/>
          <w:kern w:val="0"/>
          <w:sz w:val="24"/>
          <w:szCs w:val="24"/>
        </w:rPr>
        <w:t>6</w:t>
      </w:r>
      <w:r>
        <w:rPr>
          <w:rFonts w:ascii="宋体" w:eastAsia="宋体" w:hAnsi="宋体" w:cs="宋体" w:hint="eastAsia"/>
          <w:color w:val="000000"/>
          <w:kern w:val="0"/>
          <w:sz w:val="24"/>
          <w:szCs w:val="24"/>
        </w:rPr>
        <w:t>）法律、行政法规和中国证监会规定禁止的其他活动。</w:t>
      </w:r>
    </w:p>
    <w:p w14:paraId="17B37CF9" w14:textId="77777777" w:rsidR="00EB48E5" w:rsidRDefault="001F2E4C" w:rsidP="00055DD6">
      <w:pPr>
        <w:widowControl/>
        <w:spacing w:line="360" w:lineRule="auto"/>
        <w:ind w:left="1" w:firstLine="54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Pr>
          <w:rFonts w:ascii="宋体" w:eastAsia="宋体" w:hAnsi="宋体" w:cs="宋体" w:hint="eastAsia"/>
          <w:color w:val="000000"/>
          <w:kern w:val="0"/>
          <w:sz w:val="24"/>
          <w:szCs w:val="24"/>
        </w:rPr>
        <w:lastRenderedPageBreak/>
        <w:t>法规予以披露。重大关联交易应提交基金管理人董事会审议，并经过三分之二以上的独立董事通过。基金管理人董事会应至少每半年对关联交易事项进行审查。</w:t>
      </w:r>
    </w:p>
    <w:p w14:paraId="5BCE2968" w14:textId="77777777" w:rsidR="00EB48E5" w:rsidRDefault="001F2E4C" w:rsidP="00055DD6">
      <w:pPr>
        <w:widowControl/>
        <w:spacing w:line="360" w:lineRule="auto"/>
        <w:ind w:left="1" w:firstLine="540"/>
        <w:rPr>
          <w:rFonts w:ascii="宋体" w:eastAsia="宋体" w:hAnsi="宋体" w:cs="宋体"/>
          <w:color w:val="000000"/>
          <w:kern w:val="0"/>
          <w:sz w:val="24"/>
          <w:szCs w:val="24"/>
        </w:rPr>
      </w:pPr>
      <w:r>
        <w:rPr>
          <w:rFonts w:ascii="宋体" w:eastAsia="宋体" w:hAnsi="宋体" w:cs="宋体" w:hint="eastAsia"/>
          <w:color w:val="000000"/>
          <w:kern w:val="0"/>
          <w:sz w:val="24"/>
          <w:szCs w:val="24"/>
        </w:rPr>
        <w:t>法律法规或监管部门取消或调整上述限制，如适用于本基金，基金管理人在履行适当程序后，则本基金投资按照取消或调整后的规定执行。</w:t>
      </w:r>
      <w:bookmarkEnd w:id="56"/>
    </w:p>
    <w:p w14:paraId="0F176987" w14:textId="77777777" w:rsidR="00EB48E5" w:rsidRDefault="001F2E4C" w:rsidP="00055DD6">
      <w:pPr>
        <w:widowControl/>
        <w:spacing w:line="360" w:lineRule="auto"/>
        <w:ind w:left="1" w:firstLine="540"/>
        <w:rPr>
          <w:rFonts w:ascii="宋体" w:eastAsia="宋体" w:hAnsi="宋体" w:cs="宋体"/>
          <w:color w:val="000000"/>
          <w:kern w:val="0"/>
          <w:sz w:val="24"/>
          <w:szCs w:val="24"/>
        </w:rPr>
      </w:pPr>
      <w:r>
        <w:rPr>
          <w:rFonts w:ascii="宋体" w:eastAsia="宋体" w:hAnsi="宋体" w:cs="宋体" w:hint="eastAsia"/>
          <w:color w:val="000000"/>
          <w:kern w:val="0"/>
          <w:sz w:val="24"/>
          <w:szCs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并负责及时将更新后的名单发送给对方。</w:t>
      </w:r>
    </w:p>
    <w:p w14:paraId="1038255B" w14:textId="77777777" w:rsidR="00EB48E5" w:rsidRDefault="001F2E4C" w:rsidP="00055DD6">
      <w:pPr>
        <w:widowControl/>
        <w:spacing w:line="360" w:lineRule="auto"/>
        <w:ind w:left="1" w:firstLine="54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参与融资及转融通证券出借业务，基金管理人应当遵守谨慎经营的原则，配备技术系统和专业人员，制定科学合理的投资策略和风险管理制度，完善业务流程，有效防范和控制风险，基金托管人将对基金参与出借业务进行监督。</w:t>
      </w:r>
    </w:p>
    <w:p w14:paraId="54FDC835"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4、基金托管人依据有关法律法规的规定和《基金合同》的约定对基金管理人参与银行间债券市场进行监督。</w:t>
      </w:r>
    </w:p>
    <w:p w14:paraId="26F68347" w14:textId="77777777" w:rsidR="00EB48E5" w:rsidRDefault="001F2E4C" w:rsidP="00055DD6">
      <w:pPr>
        <w:widowControl/>
        <w:spacing w:line="360" w:lineRule="auto"/>
        <w:ind w:left="1" w:firstLine="540"/>
        <w:rPr>
          <w:rFonts w:ascii="宋体" w:eastAsia="宋体" w:hAnsi="宋体" w:cs="宋体"/>
          <w:color w:val="000000"/>
          <w:kern w:val="0"/>
          <w:szCs w:val="21"/>
        </w:rPr>
      </w:pPr>
      <w:r>
        <w:rPr>
          <w:rFonts w:ascii="宋体" w:eastAsia="宋体" w:hAnsi="宋体" w:cs="宋体" w:hint="eastAsia"/>
          <w:color w:val="000000"/>
          <w:kern w:val="0"/>
          <w:sz w:val="24"/>
          <w:szCs w:val="24"/>
        </w:rPr>
        <w:t>基金管理人应在基金投资运作之前向基金托管人提供符合法律法规及行业标准的、经慎重选择的、本基金适用的银行间债券市场交易对手名单并约定各交易对手所适用的交易结算方式。基金管理人有责任确保及时将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定期更新交易对手名单，但应将调整结果至少提前一个工作日书面通知基金托管人。新名单确定前已与本次剔除的交易对手所进行但尚未结算的交易，仍应按照协议进行结算。如基金管理人根据市场需要临时调整银行间债券交易对手名单及结算方式的，应在交易后及时向基金托管人说明理由。如基金管理人在基金投资运作之前未向基金托管人提供银行间债券市场交易对手名单的，视为基金管理人认可全市场交易对手。</w:t>
      </w:r>
    </w:p>
    <w:p w14:paraId="5A171574" w14:textId="77777777" w:rsidR="00EB48E5" w:rsidRDefault="001F2E4C" w:rsidP="00055DD6">
      <w:pPr>
        <w:widowControl/>
        <w:spacing w:line="360" w:lineRule="auto"/>
        <w:ind w:left="1"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负责对交易对手的资信控制，按银行间债券市场的交易规则进行交易，并负责解决因交易对手不履行合同而造成的纠纷及损失，基金托管人不承担由此造成的相应法律责任及损失。若未履约的交易对手在基金托管人与基金管理人确定的时间前仍未承担违约责任及其他相关法律责任的，基金管理人应向相</w:t>
      </w:r>
      <w:r>
        <w:rPr>
          <w:rFonts w:ascii="宋体" w:eastAsia="宋体" w:hAnsi="宋体" w:cs="宋体" w:hint="eastAsia"/>
          <w:color w:val="000000"/>
          <w:kern w:val="0"/>
          <w:sz w:val="24"/>
          <w:szCs w:val="24"/>
        </w:rPr>
        <w:lastRenderedPageBreak/>
        <w:t>关交易对手追偿。基金托管人则根据银行间债券市场成交单对合同履行情况进行监督。对于基金托管人仅承担事后监督的事项，如基金托管人事后发现基金管理人没有按照事先约定的交易对手进行交易时，基金托管人应及时提醒基金管理人，基金托管人不承担由此造成的相应损失和责任。</w:t>
      </w:r>
    </w:p>
    <w:p w14:paraId="429EFB1A" w14:textId="77777777" w:rsidR="00EB48E5" w:rsidRDefault="001F2E4C" w:rsidP="00055DD6">
      <w:pPr>
        <w:widowControl/>
        <w:spacing w:line="360" w:lineRule="auto"/>
        <w:ind w:firstLine="516"/>
        <w:rPr>
          <w:rFonts w:ascii="宋体" w:eastAsia="宋体" w:hAnsi="宋体" w:cs="宋体"/>
          <w:color w:val="000000"/>
          <w:kern w:val="0"/>
          <w:szCs w:val="21"/>
        </w:rPr>
      </w:pPr>
      <w:r>
        <w:rPr>
          <w:rFonts w:ascii="宋体" w:eastAsia="宋体" w:hAnsi="宋体" w:cs="宋体" w:hint="eastAsia"/>
          <w:color w:val="000000"/>
          <w:kern w:val="0"/>
          <w:sz w:val="24"/>
          <w:szCs w:val="24"/>
        </w:rPr>
        <w:t>5、基金托管人对基金管理人选择存款银行进行监督。</w:t>
      </w:r>
    </w:p>
    <w:p w14:paraId="6813E6DD" w14:textId="77777777"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按存款银行名单交易进行监督。如基金管理人未向基金托管人提供符合条件的存款银行名单，基金托管人有权拒绝划付投资款，由此带来的损失由基金管理人承担，基金托管人对此不承担任何责任。</w:t>
      </w:r>
    </w:p>
    <w:p w14:paraId="5E8CA4FE" w14:textId="77777777"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（二）基金托管人应根据有关法律法规的规定及《基金合同》的约定，对基金资产净值计算、基金份额净值计算、应收资金到账、基金费用开支及收入确定、基金收益分配、相关信息披露等进行监督和核查。</w:t>
      </w:r>
    </w:p>
    <w:p w14:paraId="54A29603" w14:textId="77777777" w:rsidR="00EB48E5" w:rsidRDefault="001F2E4C" w:rsidP="00055DD6">
      <w:pPr>
        <w:widowControl/>
        <w:spacing w:after="120" w:line="360" w:lineRule="auto"/>
        <w:ind w:firstLine="480"/>
        <w:rPr>
          <w:rFonts w:ascii="宋体" w:eastAsia="宋体" w:hAnsi="宋体" w:cs="宋体"/>
          <w:color w:val="000000"/>
          <w:kern w:val="0"/>
          <w:szCs w:val="21"/>
        </w:rPr>
      </w:pPr>
      <w:bookmarkStart w:id="57" w:name="_Toc477270359"/>
      <w:r>
        <w:rPr>
          <w:rFonts w:ascii="宋体" w:eastAsia="宋体" w:hAnsi="宋体" w:cs="宋体" w:hint="eastAsia"/>
          <w:color w:val="000000"/>
          <w:kern w:val="0"/>
          <w:sz w:val="24"/>
          <w:szCs w:val="24"/>
        </w:rPr>
        <w:t>（三）基金托管人发现基金管理人根据交易程序已生效的投资运作及其他运作违反《基金法》、《基金合同》、基金托管协议及其他有关规定时，应及时以书面形式通知基金管理人限期纠正，基金管理人收到通知后应及时核对，并以书面形式向基金托管人发出回函，进行解释或举证。</w:t>
      </w:r>
      <w:bookmarkEnd w:id="57"/>
    </w:p>
    <w:p w14:paraId="7C61E6F3" w14:textId="77777777"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在限期内，基金托管人有权随时对书面通知事项进行复查，督促基金管理人改正。基金管理人对基金托管人通知的违规事项未能在限期内纠正的，基金托管人应报告中国证监会。</w:t>
      </w:r>
    </w:p>
    <w:p w14:paraId="52E5EDC4" w14:textId="6BB92BBD"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基金托管人发现基金管理人的投资指令违反</w:t>
      </w:r>
      <w:r w:rsidR="00387D73">
        <w:rPr>
          <w:rFonts w:ascii="宋体" w:eastAsia="宋体" w:hAnsi="宋体" w:cs="宋体" w:hint="eastAsia"/>
          <w:color w:val="000000"/>
          <w:kern w:val="0"/>
          <w:sz w:val="24"/>
          <w:szCs w:val="24"/>
        </w:rPr>
        <w:t>相</w:t>
      </w:r>
      <w:r>
        <w:rPr>
          <w:rFonts w:ascii="宋体" w:eastAsia="宋体" w:hAnsi="宋体" w:cs="宋体" w:hint="eastAsia"/>
          <w:color w:val="000000"/>
          <w:kern w:val="0"/>
          <w:sz w:val="24"/>
          <w:szCs w:val="24"/>
        </w:rPr>
        <w:t>关法律法规规定或者违反《基金合同》约定的，应当拒绝执行，立即通知基金管理人。</w:t>
      </w:r>
    </w:p>
    <w:p w14:paraId="59DF4AD9" w14:textId="77777777"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基金托管人发现基金管理人依据交易程序已经生效的投资指令违反法律、行政法规和其他有关规定，或者违反《基金合同》约定的，应当立即书面通知基金管理人，并报告中国证监会。</w:t>
      </w:r>
    </w:p>
    <w:p w14:paraId="66474E15" w14:textId="77777777"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基金管理人应积极配合和协助基金托管人的监督和核查，必须在规定时间内答复基金托管人并改正，就基金托管人的合理疑义进行解释或举证，对基金托管</w:t>
      </w:r>
      <w:r>
        <w:rPr>
          <w:rFonts w:ascii="宋体" w:eastAsia="宋体" w:hAnsi="宋体" w:cs="宋体" w:hint="eastAsia"/>
          <w:color w:val="000000"/>
          <w:kern w:val="0"/>
          <w:sz w:val="24"/>
          <w:szCs w:val="24"/>
        </w:rPr>
        <w:lastRenderedPageBreak/>
        <w:t>人按照法律法规要求需向中国证监会报送基金监督报告的，基金管理人应积极配合提供相关数据资料和制度等。</w:t>
      </w:r>
    </w:p>
    <w:p w14:paraId="588B6101" w14:textId="77777777"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基金托管人发现基金管理人有重大违规行为，应立即报告中国证监会，同时书面通知基金管理人限期纠正。</w:t>
      </w:r>
    </w:p>
    <w:p w14:paraId="76155A59" w14:textId="77777777" w:rsidR="00EB48E5" w:rsidRDefault="001F2E4C" w:rsidP="00055DD6">
      <w:pPr>
        <w:widowControl/>
        <w:spacing w:after="120" w:line="360" w:lineRule="auto"/>
        <w:ind w:firstLine="480"/>
        <w:rPr>
          <w:rFonts w:ascii="宋体" w:eastAsia="宋体" w:hAnsi="宋体" w:cs="宋体"/>
          <w:color w:val="000000"/>
          <w:kern w:val="0"/>
          <w:sz w:val="27"/>
          <w:szCs w:val="27"/>
        </w:rPr>
      </w:pPr>
      <w:r>
        <w:rPr>
          <w:rFonts w:ascii="宋体" w:eastAsia="宋体" w:hAnsi="宋体" w:cs="宋体" w:hint="eastAsia"/>
          <w:color w:val="000000"/>
          <w:kern w:val="0"/>
          <w:sz w:val="24"/>
          <w:szCs w:val="24"/>
        </w:rPr>
        <w:t>基金管理人无正当理由，拒绝、阻挠基金托管人根据本协议规定行使监督权，或采取拖延、欺诈等手段妨碍基金托管人进行有效监督，情节严重或经基金托管人提出书面警告仍不改正的，基金托管人应报告中国证监会。</w:t>
      </w:r>
    </w:p>
    <w:p w14:paraId="2C37F342" w14:textId="77777777" w:rsidR="00EB48E5" w:rsidRDefault="001F2E4C" w:rsidP="00055DD6">
      <w:pPr>
        <w:pStyle w:val="1"/>
        <w:spacing w:line="360" w:lineRule="auto"/>
        <w:jc w:val="center"/>
        <w:rPr>
          <w:color w:val="000000"/>
          <w:kern w:val="0"/>
          <w:szCs w:val="21"/>
        </w:rPr>
      </w:pPr>
      <w:bookmarkStart w:id="58" w:name="_Toc477274813"/>
      <w:bookmarkStart w:id="59" w:name="_Toc375230479"/>
      <w:bookmarkStart w:id="60" w:name="_Toc3075"/>
      <w:bookmarkEnd w:id="58"/>
      <w:r>
        <w:rPr>
          <w:rFonts w:hint="eastAsia"/>
          <w:color w:val="000000"/>
          <w:kern w:val="0"/>
          <w:sz w:val="30"/>
          <w:szCs w:val="30"/>
        </w:rPr>
        <w:t>四、</w:t>
      </w:r>
      <w:bookmarkStart w:id="61" w:name="_Toc123705448"/>
      <w:bookmarkStart w:id="62" w:name="_Toc125361076"/>
      <w:bookmarkStart w:id="63" w:name="_Toc375230480"/>
      <w:bookmarkStart w:id="64" w:name="_Toc124749228"/>
      <w:bookmarkStart w:id="65" w:name="_Toc124749939"/>
      <w:bookmarkEnd w:id="59"/>
      <w:bookmarkEnd w:id="61"/>
      <w:bookmarkEnd w:id="62"/>
      <w:bookmarkEnd w:id="63"/>
      <w:bookmarkEnd w:id="64"/>
      <w:bookmarkEnd w:id="65"/>
      <w:r>
        <w:rPr>
          <w:rFonts w:hint="eastAsia"/>
          <w:color w:val="000000"/>
          <w:kern w:val="0"/>
          <w:sz w:val="30"/>
          <w:szCs w:val="30"/>
        </w:rPr>
        <w:t>基金管理人对基金托管人的业务核查</w:t>
      </w:r>
      <w:bookmarkEnd w:id="60"/>
    </w:p>
    <w:p w14:paraId="797BE63E"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根据有关法律法规、《基金合同》及本协议规定，基金管理人对基金托管人履行托管职责情况进行核查，核查事项包括基金托管人安全保管基金财产、开设基金财产的资金账户、证券账户和期货结算账户等投资所需账户、复核基金管理人计算的基金资产净值和基金份额净值，根据基金管理人指令办理清算交收、相关信息披露和监督基金投资运作等行为。</w:t>
      </w:r>
    </w:p>
    <w:p w14:paraId="213CCC5D"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发现基金托管人擅自挪用基金财产、未对基金财产实行分账管理或独立核算、未执行或无故延迟执行基金管理人的有效资金划拨指令、违反约定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p>
    <w:p w14:paraId="3478DEBB"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基金管理人发现基金托管人有重大违规行为，应立即报告中国证监会和银行业监督管理机构，同时通知基金托管人限期纠正。</w:t>
      </w:r>
    </w:p>
    <w:p w14:paraId="1C0588B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基金托管人应积极配合基金管理人的核查行为，包括但不限于：提交相关资料以</w:t>
      </w:r>
      <w:proofErr w:type="gramStart"/>
      <w:r>
        <w:rPr>
          <w:rFonts w:ascii="宋体" w:eastAsia="宋体" w:hAnsi="宋体" w:cs="宋体" w:hint="eastAsia"/>
          <w:color w:val="000000"/>
          <w:kern w:val="0"/>
          <w:sz w:val="24"/>
          <w:szCs w:val="24"/>
        </w:rPr>
        <w:t>供基金</w:t>
      </w:r>
      <w:proofErr w:type="gramEnd"/>
      <w:r>
        <w:rPr>
          <w:rFonts w:ascii="宋体" w:eastAsia="宋体" w:hAnsi="宋体" w:cs="宋体" w:hint="eastAsia"/>
          <w:color w:val="000000"/>
          <w:kern w:val="0"/>
          <w:sz w:val="24"/>
          <w:szCs w:val="24"/>
        </w:rPr>
        <w:t>管理人核查托管财产的完整性和真实性，在规定时间内答复基金管理人并改正。</w:t>
      </w:r>
    </w:p>
    <w:p w14:paraId="1B59E98F"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lastRenderedPageBreak/>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361E512" w14:textId="77777777" w:rsidR="00EB48E5" w:rsidRDefault="001F2E4C" w:rsidP="00055DD6">
      <w:pPr>
        <w:pStyle w:val="1"/>
        <w:spacing w:line="360" w:lineRule="auto"/>
        <w:jc w:val="center"/>
        <w:rPr>
          <w:color w:val="000000"/>
          <w:kern w:val="0"/>
          <w:szCs w:val="21"/>
        </w:rPr>
      </w:pPr>
      <w:bookmarkStart w:id="66" w:name="_Toc466788854"/>
      <w:bookmarkStart w:id="67" w:name="_Toc48703889"/>
      <w:bookmarkStart w:id="68" w:name="_Toc124749940"/>
      <w:bookmarkStart w:id="69" w:name="_Toc477274814"/>
      <w:bookmarkStart w:id="70" w:name="_Toc125361077"/>
      <w:bookmarkStart w:id="71" w:name="_Hlt88903324"/>
      <w:bookmarkStart w:id="72" w:name="_Toc375230481"/>
      <w:bookmarkStart w:id="73" w:name="_Toc523829995"/>
      <w:bookmarkStart w:id="74" w:name="_Toc123626171"/>
      <w:bookmarkStart w:id="75" w:name="_Toc124749229"/>
      <w:bookmarkStart w:id="76" w:name="_Toc22454437"/>
      <w:bookmarkStart w:id="77" w:name="_Toc27843"/>
      <w:bookmarkEnd w:id="66"/>
      <w:bookmarkEnd w:id="67"/>
      <w:bookmarkEnd w:id="68"/>
      <w:bookmarkEnd w:id="69"/>
      <w:bookmarkEnd w:id="70"/>
      <w:bookmarkEnd w:id="71"/>
      <w:bookmarkEnd w:id="72"/>
      <w:bookmarkEnd w:id="73"/>
      <w:bookmarkEnd w:id="74"/>
      <w:bookmarkEnd w:id="75"/>
      <w:bookmarkEnd w:id="76"/>
      <w:r>
        <w:rPr>
          <w:rFonts w:hint="eastAsia"/>
          <w:color w:val="000000"/>
          <w:kern w:val="0"/>
          <w:sz w:val="30"/>
          <w:szCs w:val="30"/>
        </w:rPr>
        <w:t>五、基金财产保管</w:t>
      </w:r>
      <w:bookmarkEnd w:id="77"/>
    </w:p>
    <w:p w14:paraId="3D9DC060" w14:textId="77777777" w:rsidR="00EB48E5" w:rsidRDefault="001F2E4C" w:rsidP="00055DD6">
      <w:pPr>
        <w:widowControl/>
        <w:spacing w:line="360" w:lineRule="auto"/>
        <w:ind w:firstLine="361"/>
        <w:textAlignment w:val="baseline"/>
        <w:rPr>
          <w:rFonts w:ascii="宋体" w:eastAsia="宋体" w:hAnsi="宋体" w:cs="宋体"/>
          <w:color w:val="000000"/>
          <w:kern w:val="0"/>
          <w:szCs w:val="21"/>
        </w:rPr>
      </w:pPr>
      <w:bookmarkStart w:id="78" w:name="_Toc477272406"/>
      <w:bookmarkStart w:id="79" w:name="_Toc477270362"/>
      <w:bookmarkStart w:id="80" w:name="_Toc37159173"/>
      <w:bookmarkEnd w:id="78"/>
      <w:bookmarkEnd w:id="79"/>
      <w:r>
        <w:rPr>
          <w:rFonts w:ascii="宋体" w:eastAsia="宋体" w:hAnsi="宋体" w:cs="宋体" w:hint="eastAsia"/>
          <w:color w:val="000000"/>
          <w:kern w:val="0"/>
          <w:sz w:val="24"/>
          <w:szCs w:val="24"/>
        </w:rPr>
        <w:t>（一）基金财产保管的原则</w:t>
      </w:r>
      <w:bookmarkStart w:id="81" w:name="_Hlt88903033"/>
      <w:bookmarkEnd w:id="80"/>
      <w:bookmarkEnd w:id="81"/>
    </w:p>
    <w:p w14:paraId="67E9FEBC"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1、基金财产应独立于基金管理人、基金托管人的固有财产。</w:t>
      </w:r>
    </w:p>
    <w:p w14:paraId="16DE66AA"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2、基金托管人应安全保管基金财产。未经基金管理人的正当指令，不得自行运用、处分、分配基金的任何财产。</w:t>
      </w:r>
    </w:p>
    <w:p w14:paraId="6D153E9A"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3、基金托管人按照规定开设基金财产的资金账户、证券账户和期货结算账户等投资所需账户。</w:t>
      </w:r>
    </w:p>
    <w:p w14:paraId="630F98A6"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4、基金托管人对所托管的不同基金财产分别设置账户，与基金托管人的其他业务和其他基金的托管业务实行严格的分账管理，独立核算，确保基金财产的完整与独立。</w:t>
      </w:r>
    </w:p>
    <w:p w14:paraId="685FF82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5、基金托管人根据基金管理人的指令，按照法律法规的规定、基金合同和本协议的约定保管基金财产。</w:t>
      </w:r>
    </w:p>
    <w:p w14:paraId="44BF3CC4" w14:textId="20D207CE"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6、</w:t>
      </w:r>
      <w:r w:rsidR="00EB2E72" w:rsidRPr="00EB2E72">
        <w:rPr>
          <w:rFonts w:ascii="宋体" w:eastAsia="宋体" w:hAnsi="宋体" w:cs="宋体" w:hint="eastAsia"/>
          <w:color w:val="000000"/>
          <w:kern w:val="0"/>
          <w:sz w:val="24"/>
          <w:szCs w:val="24"/>
        </w:rPr>
        <w:t>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由此给基金财产造成损失的，基金管理人应负责向有关当事人追偿基金财产的损失，基金托管人有义务在合理</w:t>
      </w:r>
      <w:proofErr w:type="gramStart"/>
      <w:r w:rsidR="00EB2E72" w:rsidRPr="00EB2E72">
        <w:rPr>
          <w:rFonts w:ascii="宋体" w:eastAsia="宋体" w:hAnsi="宋体" w:cs="宋体" w:hint="eastAsia"/>
          <w:color w:val="000000"/>
          <w:kern w:val="0"/>
          <w:sz w:val="24"/>
          <w:szCs w:val="24"/>
        </w:rPr>
        <w:t>且必要</w:t>
      </w:r>
      <w:proofErr w:type="gramEnd"/>
      <w:r w:rsidR="00EB2E72" w:rsidRPr="00EB2E72">
        <w:rPr>
          <w:rFonts w:ascii="宋体" w:eastAsia="宋体" w:hAnsi="宋体" w:cs="宋体" w:hint="eastAsia"/>
          <w:color w:val="000000"/>
          <w:kern w:val="0"/>
          <w:sz w:val="24"/>
          <w:szCs w:val="24"/>
        </w:rPr>
        <w:t>的范围内配合基金管理人进行追偿，但对此不承担相应责任</w:t>
      </w:r>
      <w:r>
        <w:rPr>
          <w:rFonts w:ascii="宋体" w:eastAsia="宋体" w:hAnsi="宋体" w:cs="宋体" w:hint="eastAsia"/>
          <w:color w:val="000000"/>
          <w:kern w:val="0"/>
          <w:sz w:val="24"/>
          <w:szCs w:val="24"/>
        </w:rPr>
        <w:t>。</w:t>
      </w:r>
      <w:bookmarkStart w:id="82" w:name="_Hlt88902859"/>
      <w:bookmarkEnd w:id="82"/>
    </w:p>
    <w:p w14:paraId="778B142D" w14:textId="77777777" w:rsidR="00EB48E5" w:rsidRDefault="001F2E4C" w:rsidP="00055DD6">
      <w:pPr>
        <w:widowControl/>
        <w:spacing w:line="360" w:lineRule="auto"/>
        <w:ind w:firstLine="482"/>
        <w:rPr>
          <w:rFonts w:ascii="宋体" w:eastAsia="宋体" w:hAnsi="宋体" w:cs="宋体"/>
          <w:color w:val="000000"/>
          <w:kern w:val="0"/>
          <w:szCs w:val="21"/>
        </w:rPr>
      </w:pPr>
      <w:r>
        <w:rPr>
          <w:rFonts w:ascii="宋体" w:eastAsia="宋体" w:hAnsi="宋体" w:cs="宋体" w:hint="eastAsia"/>
          <w:color w:val="000000"/>
          <w:kern w:val="0"/>
          <w:sz w:val="24"/>
          <w:szCs w:val="24"/>
        </w:rPr>
        <w:t>7、除依据法律法规和基金合同的规定外，基金托管人不得委托第三人托管基金财产。</w:t>
      </w:r>
    </w:p>
    <w:p w14:paraId="2D91EE8C" w14:textId="6102CCB3"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83" w:name="_Toc477272407"/>
      <w:bookmarkStart w:id="84" w:name="_Toc477270363"/>
      <w:bookmarkStart w:id="85" w:name="_Toc37159174"/>
      <w:bookmarkEnd w:id="83"/>
      <w:bookmarkEnd w:id="84"/>
      <w:r>
        <w:rPr>
          <w:rFonts w:ascii="宋体" w:eastAsia="宋体" w:hAnsi="宋体" w:cs="宋体" w:hint="eastAsia"/>
          <w:color w:val="000000"/>
          <w:kern w:val="0"/>
          <w:sz w:val="24"/>
          <w:szCs w:val="24"/>
        </w:rPr>
        <w:t>（二）募集资金的</w:t>
      </w:r>
      <w:r w:rsidR="00A65359">
        <w:rPr>
          <w:rFonts w:ascii="宋体" w:eastAsia="宋体" w:hAnsi="宋体" w:cs="宋体" w:hint="eastAsia"/>
          <w:color w:val="000000"/>
          <w:kern w:val="0"/>
          <w:sz w:val="24"/>
          <w:szCs w:val="24"/>
        </w:rPr>
        <w:t>验资</w:t>
      </w:r>
      <w:bookmarkEnd w:id="85"/>
    </w:p>
    <w:p w14:paraId="52792F6C" w14:textId="77777777" w:rsidR="006E455A" w:rsidRPr="006E455A" w:rsidRDefault="006E455A" w:rsidP="00055DD6">
      <w:pPr>
        <w:widowControl/>
        <w:spacing w:line="360" w:lineRule="auto"/>
        <w:ind w:firstLine="480"/>
        <w:rPr>
          <w:rFonts w:ascii="宋体" w:eastAsia="宋体" w:hAnsi="宋体" w:cs="宋体"/>
          <w:color w:val="000000"/>
          <w:kern w:val="0"/>
          <w:sz w:val="24"/>
          <w:szCs w:val="24"/>
        </w:rPr>
      </w:pPr>
      <w:r w:rsidRPr="006E455A">
        <w:rPr>
          <w:rFonts w:ascii="宋体" w:eastAsia="宋体" w:hAnsi="宋体" w:cs="宋体" w:hint="eastAsia"/>
          <w:color w:val="000000"/>
          <w:kern w:val="0"/>
          <w:sz w:val="24"/>
          <w:szCs w:val="24"/>
        </w:rPr>
        <w:t>1、基金募集期满或基金管理人宣布停止募集时，募集的基金份额总额、基金募集金额、基金份额持有人人数符合《基金法》、《运作办法》等有关规定的，由基金管理人在法定期限内聘请符合《证券法》规定的会计师事务所对基金进行</w:t>
      </w:r>
      <w:r w:rsidRPr="006E455A">
        <w:rPr>
          <w:rFonts w:ascii="宋体" w:eastAsia="宋体" w:hAnsi="宋体" w:cs="宋体" w:hint="eastAsia"/>
          <w:color w:val="000000"/>
          <w:kern w:val="0"/>
          <w:sz w:val="24"/>
          <w:szCs w:val="24"/>
        </w:rPr>
        <w:lastRenderedPageBreak/>
        <w:t>验资，并出具验资报告，出具的验资报告应由参加验资的2名以上（含2名）符合《证券法》规定的注册会计师签章方为有效。</w:t>
      </w:r>
    </w:p>
    <w:p w14:paraId="0E1D35C7" w14:textId="77777777" w:rsidR="006E455A" w:rsidRPr="006E455A" w:rsidRDefault="006E455A" w:rsidP="00055DD6">
      <w:pPr>
        <w:widowControl/>
        <w:spacing w:line="360" w:lineRule="auto"/>
        <w:ind w:firstLine="480"/>
        <w:rPr>
          <w:rFonts w:ascii="宋体" w:eastAsia="宋体" w:hAnsi="宋体" w:cs="宋体"/>
          <w:color w:val="000000"/>
          <w:kern w:val="0"/>
          <w:sz w:val="24"/>
          <w:szCs w:val="24"/>
        </w:rPr>
      </w:pPr>
      <w:r w:rsidRPr="006E455A">
        <w:rPr>
          <w:rFonts w:ascii="宋体" w:eastAsia="宋体" w:hAnsi="宋体" w:cs="宋体" w:hint="eastAsia"/>
          <w:color w:val="000000"/>
          <w:kern w:val="0"/>
          <w:sz w:val="24"/>
          <w:szCs w:val="24"/>
        </w:rPr>
        <w:t>2、基金管理人应将属于本基金财产的全部资金划入在基金托管人处为本基金开立的基金托管账户中。</w:t>
      </w:r>
    </w:p>
    <w:p w14:paraId="4D961585" w14:textId="3E59EECB" w:rsidR="00EB48E5" w:rsidRDefault="006E455A" w:rsidP="00055DD6">
      <w:pPr>
        <w:widowControl/>
        <w:spacing w:line="360" w:lineRule="auto"/>
        <w:ind w:left="13" w:firstLine="480"/>
        <w:rPr>
          <w:rFonts w:ascii="宋体" w:eastAsia="宋体" w:hAnsi="宋体" w:cs="宋体"/>
          <w:color w:val="000000"/>
          <w:kern w:val="0"/>
          <w:szCs w:val="21"/>
        </w:rPr>
      </w:pPr>
      <w:r w:rsidRPr="006E455A">
        <w:rPr>
          <w:rFonts w:ascii="宋体" w:eastAsia="宋体" w:hAnsi="宋体" w:cs="宋体" w:hint="eastAsia"/>
          <w:color w:val="000000"/>
          <w:kern w:val="0"/>
          <w:sz w:val="24"/>
          <w:szCs w:val="24"/>
        </w:rPr>
        <w:t>3、</w:t>
      </w:r>
      <w:proofErr w:type="gramStart"/>
      <w:r w:rsidRPr="006E455A">
        <w:rPr>
          <w:rFonts w:ascii="宋体" w:eastAsia="宋体" w:hAnsi="宋体" w:cs="宋体" w:hint="eastAsia"/>
          <w:color w:val="000000"/>
          <w:kern w:val="0"/>
          <w:sz w:val="24"/>
          <w:szCs w:val="24"/>
        </w:rPr>
        <w:t>若基金</w:t>
      </w:r>
      <w:proofErr w:type="gramEnd"/>
      <w:r w:rsidRPr="006E455A">
        <w:rPr>
          <w:rFonts w:ascii="宋体" w:eastAsia="宋体" w:hAnsi="宋体" w:cs="宋体" w:hint="eastAsia"/>
          <w:color w:val="000000"/>
          <w:kern w:val="0"/>
          <w:sz w:val="24"/>
          <w:szCs w:val="24"/>
        </w:rPr>
        <w:t>募集期限届满，未能达到《基金合同》生效的条件，在基金募集期限届满后30日内返还投资者已缴纳的款项并加计银行同期活期存款利息，基金托管人应予以必要的协助和配合</w:t>
      </w:r>
      <w:r w:rsidR="001F2E4C">
        <w:rPr>
          <w:rFonts w:ascii="宋体" w:eastAsia="宋体" w:hAnsi="宋体" w:cs="宋体" w:hint="eastAsia"/>
          <w:color w:val="000000"/>
          <w:kern w:val="0"/>
          <w:sz w:val="24"/>
          <w:szCs w:val="24"/>
        </w:rPr>
        <w:t>。</w:t>
      </w:r>
    </w:p>
    <w:p w14:paraId="11C46EDA"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86" w:name="_Toc477272408"/>
      <w:bookmarkStart w:id="87" w:name="_Toc477270364"/>
      <w:bookmarkEnd w:id="86"/>
      <w:r>
        <w:rPr>
          <w:rFonts w:ascii="宋体" w:eastAsia="宋体" w:hAnsi="宋体" w:cs="宋体" w:hint="eastAsia"/>
          <w:color w:val="000000"/>
          <w:kern w:val="0"/>
          <w:sz w:val="24"/>
          <w:szCs w:val="24"/>
        </w:rPr>
        <w:t>（三）基金资金账户的开立和管理</w:t>
      </w:r>
      <w:bookmarkEnd w:id="87"/>
    </w:p>
    <w:p w14:paraId="37DD6B6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基金托管人应以本基金名义在具有托管资格的商业银行开立基金资金账户（托管账户），托管账户名称以实际开立为准，并根据基金管理人合法合</w:t>
      </w:r>
      <w:proofErr w:type="gramStart"/>
      <w:r>
        <w:rPr>
          <w:rFonts w:ascii="宋体" w:eastAsia="宋体" w:hAnsi="宋体" w:cs="宋体" w:hint="eastAsia"/>
          <w:color w:val="000000"/>
          <w:kern w:val="0"/>
          <w:sz w:val="24"/>
          <w:szCs w:val="24"/>
        </w:rPr>
        <w:t>规</w:t>
      </w:r>
      <w:proofErr w:type="gramEnd"/>
      <w:r>
        <w:rPr>
          <w:rFonts w:ascii="宋体" w:eastAsia="宋体" w:hAnsi="宋体" w:cs="宋体" w:hint="eastAsia"/>
          <w:color w:val="000000"/>
          <w:kern w:val="0"/>
          <w:sz w:val="24"/>
          <w:szCs w:val="24"/>
        </w:rPr>
        <w:t>的指令办理资金收付，本基金的银行预留印鉴由基金托管人保管和使用。基金管理人保证本基金的一切货币收支活动，包括但不限于投资、支付赎回金额、支付基金收益、收取申购款，均需通过本基金资金账户进行。</w:t>
      </w:r>
    </w:p>
    <w:p w14:paraId="446D14F8"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基金托管人和基金管理人不得假借本基金的名义开立其他任何银行账户；亦不得使用基金的任何银行账户进行本基金业务以外的活动。</w:t>
      </w:r>
    </w:p>
    <w:p w14:paraId="27CA58CB"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基金资金账户的开立和管理应符合法律、法规以及银行业监督管理机构的有关规定。</w:t>
      </w:r>
    </w:p>
    <w:p w14:paraId="18BD3067"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基金托管人应严格管理基金在基金托管人处开立的基金资金账户、定时核查基金资金账户余额。</w:t>
      </w:r>
    </w:p>
    <w:p w14:paraId="2CF68BED"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88" w:name="_Toc477272409"/>
      <w:bookmarkStart w:id="89" w:name="_Toc477270365"/>
      <w:bookmarkEnd w:id="88"/>
      <w:r>
        <w:rPr>
          <w:rFonts w:ascii="宋体" w:eastAsia="宋体" w:hAnsi="宋体" w:cs="宋体" w:hint="eastAsia"/>
          <w:color w:val="000000"/>
          <w:kern w:val="0"/>
          <w:sz w:val="24"/>
          <w:szCs w:val="24"/>
        </w:rPr>
        <w:t>（四）基金证券账户与证券交易资金账户的开设和管理</w:t>
      </w:r>
      <w:bookmarkEnd w:id="89"/>
    </w:p>
    <w:p w14:paraId="0962D8E5" w14:textId="4BA4876C"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基金托管人以基金托管人和本基金联名的方式在中国证券登记结算有限责任公司开设证券账户。证券账户开户费由基金托管人先行垫付的，</w:t>
      </w:r>
      <w:proofErr w:type="gramStart"/>
      <w:r>
        <w:rPr>
          <w:rFonts w:ascii="宋体" w:eastAsia="宋体" w:hAnsi="宋体" w:cs="宋体" w:hint="eastAsia"/>
          <w:color w:val="000000"/>
          <w:kern w:val="0"/>
          <w:sz w:val="24"/>
          <w:szCs w:val="24"/>
        </w:rPr>
        <w:t>待本基金</w:t>
      </w:r>
      <w:proofErr w:type="gramEnd"/>
      <w:r>
        <w:rPr>
          <w:rFonts w:ascii="宋体" w:eastAsia="宋体" w:hAnsi="宋体" w:cs="宋体" w:hint="eastAsia"/>
          <w:color w:val="000000"/>
          <w:kern w:val="0"/>
          <w:sz w:val="24"/>
          <w:szCs w:val="24"/>
        </w:rPr>
        <w:t>启始运营后，由基金管理人向基金托管人出具划款指令，将代垫的开户费从本基金托管资金账户中扣还基金托管人。</w:t>
      </w:r>
    </w:p>
    <w:p w14:paraId="30277BD8"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基金证券账户的开立和使用，限于满足开展本基金业务的需要。基金托管人和基金管理人不得出借和未经对方书面同意擅自转让基金的任何证券账户；亦不得使用基金的任何证券账户进行本基金业务以外的活动。</w:t>
      </w:r>
    </w:p>
    <w:p w14:paraId="75C6DF36"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基金管理人为基金财产在证券经纪机构开立证券交易资金账户，用于基金财产证券交易结算资金的存管、记载交易结算资金的变动明细以及场内证券交易清</w:t>
      </w:r>
      <w:r>
        <w:rPr>
          <w:rFonts w:ascii="宋体" w:eastAsia="宋体" w:hAnsi="宋体" w:cs="宋体" w:hint="eastAsia"/>
          <w:color w:val="000000"/>
          <w:kern w:val="0"/>
          <w:sz w:val="24"/>
          <w:szCs w:val="24"/>
        </w:rPr>
        <w:lastRenderedPageBreak/>
        <w:t>算。基金托管人和基金管理人不得出借或转让证券交易资金账户，亦不得使用证券交易资金账户进行本基金业务以外的活动。</w:t>
      </w:r>
    </w:p>
    <w:p w14:paraId="696E2156"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90" w:name="_Toc477272410"/>
      <w:bookmarkStart w:id="91" w:name="_Toc477270366"/>
      <w:bookmarkEnd w:id="90"/>
      <w:r>
        <w:rPr>
          <w:rFonts w:ascii="宋体" w:eastAsia="宋体" w:hAnsi="宋体" w:cs="宋体" w:hint="eastAsia"/>
          <w:color w:val="000000"/>
          <w:kern w:val="0"/>
          <w:sz w:val="24"/>
          <w:szCs w:val="24"/>
        </w:rPr>
        <w:t>（五）债券托管账户的开立和管理</w:t>
      </w:r>
      <w:bookmarkEnd w:id="91"/>
    </w:p>
    <w:p w14:paraId="4101D0DC"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基金合同》生效后，基金管理人负责以基金的名义申请并取得进入全国银行间同业拆借市场的交易资格，并代表基金进行交易；基金托管人负责根据中国人民银行、银行间市场登记结算机构的有关规定，在银行间市场登记结算机构开立债券托管账户，持有人账户和资金结算账户，并由基金托管人负责基金的债券的后台确认及资金的清算。</w:t>
      </w:r>
    </w:p>
    <w:p w14:paraId="7DB661FB"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2、基金管理人负责为基金对外签订全国银行间债券市场回购主协议。</w:t>
      </w:r>
    </w:p>
    <w:p w14:paraId="58D9E71F" w14:textId="77777777" w:rsidR="00EB48E5" w:rsidRDefault="001F2E4C" w:rsidP="00055DD6">
      <w:pPr>
        <w:widowControl/>
        <w:spacing w:line="360" w:lineRule="auto"/>
        <w:ind w:firstLine="482"/>
        <w:rPr>
          <w:rFonts w:ascii="宋体" w:eastAsia="宋体" w:hAnsi="宋体" w:cs="宋体"/>
          <w:color w:val="000000"/>
          <w:kern w:val="0"/>
          <w:szCs w:val="21"/>
        </w:rPr>
      </w:pPr>
      <w:r>
        <w:rPr>
          <w:rFonts w:ascii="宋体" w:eastAsia="宋体" w:hAnsi="宋体" w:cs="宋体" w:hint="eastAsia"/>
          <w:color w:val="000000"/>
          <w:kern w:val="0"/>
          <w:sz w:val="24"/>
          <w:szCs w:val="24"/>
        </w:rPr>
        <w:t>（六）其他账户的开设和管理</w:t>
      </w:r>
    </w:p>
    <w:p w14:paraId="3A8483BA"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08BE4CE4"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法律法规等有关规定对相关账户的开立和管理另有规定的，从其规定办理。</w:t>
      </w:r>
    </w:p>
    <w:p w14:paraId="079883E6"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92" w:name="_Toc477272411"/>
      <w:bookmarkStart w:id="93" w:name="_Toc477270367"/>
      <w:bookmarkEnd w:id="92"/>
      <w:r>
        <w:rPr>
          <w:rFonts w:ascii="宋体" w:eastAsia="宋体" w:hAnsi="宋体" w:cs="宋体" w:hint="eastAsia"/>
          <w:color w:val="000000"/>
          <w:kern w:val="0"/>
          <w:sz w:val="24"/>
          <w:szCs w:val="24"/>
        </w:rPr>
        <w:t>（七）基金财产投资的有关实物证券、银行定期存款存单等有价凭证的保管</w:t>
      </w:r>
      <w:bookmarkEnd w:id="93"/>
    </w:p>
    <w:p w14:paraId="0108C375" w14:textId="5D03900C"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财产投资的有关实物证券根据实际需要，可存放于基金托管人的保管库，也可存入中央国债登记结算有限责任公司、中国证券登记结算有限责任公司、银行间市场清算所股份有限公司或票据营业中心的代保管库。实物证券的购买和转让，由基金托管人根据基金管理人的正当指令办理。属于基金托管人实际有效控制下的实物证券及银行定期存款存单等有价凭证在基金托管人保管期间的损坏、灭失，由此产生的责任应由基金托管人承担。基金托管人对基金托管人以外机构实际有效控制的有价凭证不承担保管责任。</w:t>
      </w:r>
    </w:p>
    <w:p w14:paraId="483F1C1F"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94" w:name="_Toc477272412"/>
      <w:bookmarkStart w:id="95" w:name="_Toc477270368"/>
      <w:bookmarkStart w:id="96" w:name="_Toc37159180"/>
      <w:bookmarkEnd w:id="94"/>
      <w:bookmarkEnd w:id="95"/>
      <w:r>
        <w:rPr>
          <w:rFonts w:ascii="宋体" w:eastAsia="宋体" w:hAnsi="宋体" w:cs="宋体" w:hint="eastAsia"/>
          <w:color w:val="000000"/>
          <w:kern w:val="0"/>
          <w:sz w:val="24"/>
          <w:szCs w:val="24"/>
        </w:rPr>
        <w:t>（八）与基金财产有关的重大合同的保管</w:t>
      </w:r>
      <w:bookmarkEnd w:id="96"/>
    </w:p>
    <w:p w14:paraId="3826A914"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由基金管理人代表基金签署的与基金有关的重大合同的原件分别应由基金托管人、基金管理人保管。除本协议另有约定外，基金管理人在代表基金签署与基金有关的重大合同时应保证持有两份以上的正本，以便基金管理人和基金托管人至少各持有一份正本的原件。基金管理人在合同签署后30个工作日内通过专</w:t>
      </w:r>
      <w:r>
        <w:rPr>
          <w:rFonts w:ascii="宋体" w:eastAsia="宋体" w:hAnsi="宋体" w:cs="宋体" w:hint="eastAsia"/>
          <w:color w:val="000000"/>
          <w:kern w:val="0"/>
          <w:sz w:val="24"/>
          <w:szCs w:val="24"/>
        </w:rPr>
        <w:lastRenderedPageBreak/>
        <w:t>人送达、挂号邮寄等安全方式将合同原件送达基金托管人处。合同原件应存放于基金管理人和基金托管人各自文件保管部门，保存期限按照法律法规的规定执行。</w:t>
      </w:r>
    </w:p>
    <w:p w14:paraId="3E31451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对于无法取得二份以上的正本的，基金管理人应向基金托管人提供加盖授权业务章的合同</w:t>
      </w:r>
      <w:proofErr w:type="gramStart"/>
      <w:r>
        <w:rPr>
          <w:rFonts w:ascii="宋体" w:eastAsia="宋体" w:hAnsi="宋体" w:cs="宋体" w:hint="eastAsia"/>
          <w:color w:val="000000"/>
          <w:kern w:val="0"/>
          <w:sz w:val="24"/>
          <w:szCs w:val="24"/>
        </w:rPr>
        <w:t>传真件并保证</w:t>
      </w:r>
      <w:proofErr w:type="gramEnd"/>
      <w:r>
        <w:rPr>
          <w:rFonts w:ascii="宋体" w:eastAsia="宋体" w:hAnsi="宋体" w:cs="宋体" w:hint="eastAsia"/>
          <w:color w:val="000000"/>
          <w:kern w:val="0"/>
          <w:sz w:val="24"/>
          <w:szCs w:val="24"/>
        </w:rPr>
        <w:t>其真实性及其与原件的完全一致性，未经双方协商或未在合同约定范围内，合同原件不得转移。</w:t>
      </w:r>
    </w:p>
    <w:p w14:paraId="0333B775" w14:textId="77777777" w:rsidR="00EB48E5" w:rsidRDefault="001F2E4C" w:rsidP="00055DD6">
      <w:pPr>
        <w:pStyle w:val="1"/>
        <w:spacing w:line="360" w:lineRule="auto"/>
        <w:jc w:val="center"/>
        <w:rPr>
          <w:color w:val="000000"/>
          <w:kern w:val="0"/>
          <w:szCs w:val="21"/>
        </w:rPr>
      </w:pPr>
      <w:bookmarkStart w:id="97" w:name="_Toc124749230"/>
      <w:bookmarkStart w:id="98" w:name="_Toc477274815"/>
      <w:bookmarkStart w:id="99" w:name="_Toc125361078"/>
      <w:bookmarkStart w:id="100" w:name="_Toc124749941"/>
      <w:bookmarkStart w:id="101" w:name="_Toc375230482"/>
      <w:bookmarkStart w:id="102" w:name="_Toc14664"/>
      <w:bookmarkEnd w:id="97"/>
      <w:bookmarkEnd w:id="98"/>
      <w:bookmarkEnd w:id="99"/>
      <w:bookmarkEnd w:id="100"/>
      <w:bookmarkEnd w:id="101"/>
      <w:r>
        <w:rPr>
          <w:rFonts w:hint="eastAsia"/>
          <w:color w:val="000000"/>
          <w:kern w:val="0"/>
          <w:sz w:val="30"/>
          <w:szCs w:val="30"/>
        </w:rPr>
        <w:t>六、指令的发送、确认和执行</w:t>
      </w:r>
      <w:bookmarkEnd w:id="102"/>
    </w:p>
    <w:p w14:paraId="7211B6E7"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03" w:name="_Toc477272414"/>
      <w:bookmarkStart w:id="104" w:name="_Toc477270370"/>
      <w:bookmarkStart w:id="105" w:name="_Toc48703899"/>
      <w:bookmarkEnd w:id="103"/>
      <w:bookmarkEnd w:id="104"/>
      <w:r>
        <w:rPr>
          <w:rFonts w:ascii="宋体" w:eastAsia="宋体" w:hAnsi="宋体" w:cs="宋体" w:hint="eastAsia"/>
          <w:color w:val="000000"/>
          <w:kern w:val="0"/>
          <w:sz w:val="24"/>
          <w:szCs w:val="24"/>
        </w:rPr>
        <w:t>（一）基金管理人对发送指令人员的书面授权</w:t>
      </w:r>
      <w:bookmarkEnd w:id="105"/>
    </w:p>
    <w:p w14:paraId="2CA2ACFD" w14:textId="77777777" w:rsidR="00EB48E5" w:rsidRDefault="001F2E4C" w:rsidP="00055DD6">
      <w:pPr>
        <w:widowControl/>
        <w:spacing w:line="360" w:lineRule="auto"/>
        <w:ind w:firstLine="480"/>
        <w:rPr>
          <w:rFonts w:ascii="宋体" w:eastAsia="宋体" w:hAnsi="宋体" w:cs="宋体"/>
          <w:sz w:val="24"/>
          <w:szCs w:val="21"/>
        </w:rPr>
      </w:pPr>
      <w:r>
        <w:rPr>
          <w:rFonts w:ascii="宋体" w:eastAsia="宋体" w:hAnsi="宋体" w:cs="宋体" w:hint="eastAsia"/>
          <w:sz w:val="24"/>
          <w:szCs w:val="21"/>
        </w:rPr>
        <w:t>基金管理人应于指令发送前向基金托管人提供预留印鉴和授权人签章样本，事先书面通知（以下称“授权通知”）基金托管人有权发送指令的人员名单，注明相应的交易权限，并规定基金管理人向基金托管人发送指令时基金托管人确认有权发送人员身份的方法，并加盖基金管理人公章。基金管理人在发送授权通知当日通过电话向基金托管人确认，授权通知自基金托管人确认收到后于授权通知载明的生效时间生效（如基金托管人收到授权通知的时间晚于授权通知载明的生效时间，则授权通知自基金托管人确认收到授权通知的时间生效）。基金管理人在与基金托管人电话确认授权通知后的三个工作日内将授权通知的正本送交基金托管人。基金管理人应确保授权通知的正本与扫描件或传真件一致。若授权通知正本内容与基金托管人收到的扫描件或传真件不一致的，以基金托管人收到的已生效的扫描件或传真件为准。基金管理人和基金托管人对授权文件负有保密义务，其内容不得向授权人、被授权人及相关操作人员以外的任何人泄露，但法律法规规定或有权机关要求的除外。</w:t>
      </w:r>
    </w:p>
    <w:p w14:paraId="77D3340F"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06" w:name="_Toc477270371"/>
      <w:bookmarkStart w:id="107" w:name="_Toc477272415"/>
      <w:bookmarkStart w:id="108" w:name="_Toc48703900"/>
      <w:bookmarkEnd w:id="106"/>
      <w:bookmarkEnd w:id="107"/>
      <w:r>
        <w:rPr>
          <w:rFonts w:ascii="宋体" w:eastAsia="宋体" w:hAnsi="宋体" w:cs="宋体" w:hint="eastAsia"/>
          <w:color w:val="000000"/>
          <w:kern w:val="0"/>
          <w:sz w:val="24"/>
          <w:szCs w:val="24"/>
        </w:rPr>
        <w:t>（二）指令的内容</w:t>
      </w:r>
      <w:bookmarkEnd w:id="108"/>
    </w:p>
    <w:p w14:paraId="7C810E98"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指令是基金管理人在运用基金财产时，向基金托管人发出的资金划拨及其他款项支付的指令。基金管理人发给基金托管人的指令应写明款项事由、支付时间、到账时间、金额、账户等，加盖预留印鉴并由被授权人签章。</w:t>
      </w:r>
      <w:r>
        <w:rPr>
          <w:rFonts w:ascii="宋体" w:eastAsia="宋体" w:hAnsi="宋体" w:cs="宋体" w:hint="eastAsia"/>
          <w:sz w:val="24"/>
          <w:szCs w:val="21"/>
        </w:rPr>
        <w:t>相关登记结算公司向基金托管人发送的结算通知视为基金管理人向基金托管人发出的指令。</w:t>
      </w:r>
    </w:p>
    <w:p w14:paraId="7E19D3D4"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09" w:name="_Toc477270372"/>
      <w:bookmarkStart w:id="110" w:name="_Toc477272416"/>
      <w:bookmarkStart w:id="111" w:name="_Toc48703901"/>
      <w:bookmarkEnd w:id="109"/>
      <w:bookmarkEnd w:id="110"/>
      <w:r>
        <w:rPr>
          <w:rFonts w:ascii="宋体" w:eastAsia="宋体" w:hAnsi="宋体" w:cs="宋体" w:hint="eastAsia"/>
          <w:color w:val="000000"/>
          <w:kern w:val="0"/>
          <w:sz w:val="24"/>
          <w:szCs w:val="24"/>
        </w:rPr>
        <w:t>（三）指令的发送、确认和执行</w:t>
      </w:r>
      <w:bookmarkEnd w:id="111"/>
      <w:r>
        <w:rPr>
          <w:rFonts w:ascii="宋体" w:eastAsia="宋体" w:hAnsi="宋体" w:cs="宋体" w:hint="eastAsia"/>
          <w:color w:val="000000"/>
          <w:kern w:val="0"/>
          <w:sz w:val="24"/>
          <w:szCs w:val="24"/>
        </w:rPr>
        <w:t>的时间和程序</w:t>
      </w:r>
    </w:p>
    <w:p w14:paraId="3FE05A89" w14:textId="61B8E28D" w:rsidR="00EB48E5" w:rsidRDefault="001F2E4C" w:rsidP="00055DD6">
      <w:pPr>
        <w:widowControl/>
        <w:spacing w:line="360" w:lineRule="auto"/>
        <w:ind w:firstLineChars="200" w:firstLine="480"/>
        <w:jc w:val="left"/>
        <w:rPr>
          <w:rFonts w:ascii="宋体" w:eastAsia="宋体" w:hAnsi="宋体" w:cs="宋体"/>
          <w:sz w:val="24"/>
          <w:szCs w:val="21"/>
          <w:lang w:bidi="ar"/>
        </w:rPr>
      </w:pPr>
      <w:r>
        <w:rPr>
          <w:rFonts w:ascii="宋体" w:eastAsia="宋体" w:hAnsi="宋体" w:cs="宋体" w:hint="eastAsia"/>
          <w:sz w:val="24"/>
          <w:szCs w:val="21"/>
        </w:rPr>
        <w:t>指令由“授权通知”确定的有权发送人（下称“被授权人”）代表基金管理人用邮件、传真的方式或其他基金托管人和基金管理人书面确认过的方式向</w:t>
      </w:r>
      <w:r>
        <w:rPr>
          <w:rFonts w:ascii="宋体" w:eastAsia="宋体" w:hAnsi="宋体" w:cs="宋体" w:hint="eastAsia"/>
          <w:sz w:val="24"/>
          <w:szCs w:val="21"/>
        </w:rPr>
        <w:lastRenderedPageBreak/>
        <w:t>基金托管人发送。</w:t>
      </w:r>
      <w:r w:rsidR="00A75A93" w:rsidRPr="00A75A93">
        <w:rPr>
          <w:rFonts w:ascii="宋体" w:eastAsia="宋体" w:hAnsi="宋体" w:cs="宋体" w:hint="eastAsia"/>
          <w:sz w:val="24"/>
          <w:szCs w:val="21"/>
        </w:rPr>
        <w:t>管理人应及时以电话方式或者双方约定一致</w:t>
      </w:r>
      <w:r w:rsidR="00A75A93">
        <w:rPr>
          <w:rFonts w:ascii="宋体" w:eastAsia="宋体" w:hAnsi="宋体" w:cs="宋体" w:hint="eastAsia"/>
          <w:sz w:val="24"/>
          <w:szCs w:val="21"/>
        </w:rPr>
        <w:t>的方式向基金托管人确认，基金托管人指定专人接收基金管理人的指令</w:t>
      </w:r>
      <w:r>
        <w:rPr>
          <w:rFonts w:ascii="宋体" w:eastAsia="宋体" w:hAnsi="宋体" w:cs="宋体" w:hint="eastAsia"/>
          <w:sz w:val="24"/>
          <w:szCs w:val="21"/>
        </w:rPr>
        <w:t>。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基金管理人发送指令（包括原指令被撤销、变更后再次发送的新指令）的截止时间为当天的15:00，如基金管理人要求当天某一时点到账，则交易结算指令需提前2个工作小时发送，并进行电话确认。</w:t>
      </w:r>
      <w:r>
        <w:rPr>
          <w:rFonts w:ascii="宋体" w:eastAsia="宋体" w:hAnsi="宋体" w:cs="宋体" w:hint="eastAsia"/>
          <w:sz w:val="24"/>
          <w:szCs w:val="21"/>
          <w:lang w:bidi="ar"/>
        </w:rPr>
        <w:t>对于中国证券登记结算有限责任公司实行 T+0 非担保交收的业务，基金管理人应在交易日14：00 前将划款指令发送至基金托管人。因基金管理人指令传输不及时，致使资金未能及时划入中国证券登记结算有限责任公司所造成的损失由基金管理人承担。</w:t>
      </w:r>
    </w:p>
    <w:p w14:paraId="1CFE109D" w14:textId="77777777" w:rsidR="00A75A93" w:rsidRDefault="00A75A93" w:rsidP="00055DD6">
      <w:pPr>
        <w:widowControl/>
        <w:spacing w:line="360" w:lineRule="auto"/>
        <w:ind w:firstLineChars="200" w:firstLine="480"/>
        <w:jc w:val="left"/>
        <w:rPr>
          <w:rFonts w:ascii="宋体" w:eastAsia="宋体" w:hAnsi="宋体" w:cs="宋体"/>
          <w:sz w:val="24"/>
          <w:szCs w:val="21"/>
        </w:rPr>
      </w:pPr>
      <w:r w:rsidRPr="00A75A93">
        <w:rPr>
          <w:rFonts w:ascii="宋体" w:eastAsia="宋体" w:hAnsi="宋体" w:cs="宋体" w:hint="eastAsia"/>
          <w:sz w:val="24"/>
          <w:szCs w:val="21"/>
        </w:rPr>
        <w:t>如划款指令中给予基金托管人的划拨时间小于2个工作小时或晚于前述指令截至时间的，基金托管人应尽力在指定时间内完成资金划拨,但不承担因时间不足导致执行失败的责任。</w:t>
      </w:r>
    </w:p>
    <w:p w14:paraId="59D01E84" w14:textId="77777777" w:rsidR="00EB48E5" w:rsidRDefault="001F2E4C" w:rsidP="00055DD6">
      <w:pPr>
        <w:widowControl/>
        <w:spacing w:line="360" w:lineRule="auto"/>
        <w:ind w:firstLine="480"/>
        <w:rPr>
          <w:rFonts w:ascii="宋体" w:eastAsia="宋体" w:hAnsi="宋体" w:cs="宋体"/>
          <w:sz w:val="24"/>
          <w:szCs w:val="21"/>
        </w:rPr>
      </w:pPr>
      <w:r>
        <w:rPr>
          <w:rFonts w:ascii="宋体" w:eastAsia="宋体" w:hAnsi="宋体" w:cs="宋体" w:hint="eastAsia"/>
          <w:sz w:val="24"/>
          <w:szCs w:val="21"/>
        </w:rPr>
        <w:t>由于基金管理</w:t>
      </w:r>
      <w:proofErr w:type="gramStart"/>
      <w:r>
        <w:rPr>
          <w:rFonts w:ascii="宋体" w:eastAsia="宋体" w:hAnsi="宋体" w:cs="宋体" w:hint="eastAsia"/>
          <w:sz w:val="24"/>
          <w:szCs w:val="21"/>
        </w:rPr>
        <w:t>人原因</w:t>
      </w:r>
      <w:proofErr w:type="gramEnd"/>
      <w:r>
        <w:rPr>
          <w:rFonts w:ascii="宋体" w:eastAsia="宋体" w:hAnsi="宋体" w:cs="宋体" w:hint="eastAsia"/>
          <w:sz w:val="24"/>
          <w:szCs w:val="21"/>
        </w:rPr>
        <w:t>导致的指令传输不及时、未能留出足够的划款时间，致使资金未能及时到账所造成的损失由基金管理人承担。基金托管人收到基金管理人发送的指令后，应立即审慎验证有关内容及印鉴和签章的表面一致性，并判断指令内容是否符合法律法规、基金合同及本协议约定，复核无误后应在规定期限内执行，不得延误。基金托管人有权要求基金管理人提供相关交易凭证、合同或其他有效会计资料，以确保基金托管人有足够的资料来判断指令的有效性。基金管理人应保证所提供的文件资料的真实、有效、完整、准确、合法，没有任何重大遗漏或误导；基金托管人对此类文件资料仅进行形式审查，对其真实性和有效性不作实质性判断，不承担相应责任。</w:t>
      </w:r>
    </w:p>
    <w:p w14:paraId="202F92BC" w14:textId="77777777" w:rsidR="00EB48E5" w:rsidRDefault="001F2E4C" w:rsidP="00055DD6">
      <w:pPr>
        <w:widowControl/>
        <w:spacing w:line="360" w:lineRule="auto"/>
        <w:ind w:firstLine="480"/>
        <w:rPr>
          <w:rFonts w:ascii="宋体" w:eastAsia="宋体" w:hAnsi="宋体" w:cs="宋体"/>
          <w:sz w:val="24"/>
          <w:szCs w:val="21"/>
        </w:rPr>
      </w:pPr>
      <w:r>
        <w:rPr>
          <w:rFonts w:ascii="宋体" w:eastAsia="宋体" w:hAnsi="宋体" w:cs="宋体" w:hint="eastAsia"/>
          <w:sz w:val="24"/>
          <w:szCs w:val="21"/>
        </w:rPr>
        <w:t>基金管理人向基金托管人下达指令时，应确保基金银行账户有足够的资金可用余额，对基金管理人在没有充足资金的情况下向基金托管人发出的指令，基金托管人有权不予执行，并应立即通知基金管理人，基金托管人不承担因为不执行该指令而造成损失的责任。</w:t>
      </w:r>
    </w:p>
    <w:p w14:paraId="5C1CF589"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12" w:name="_Toc477272417"/>
      <w:bookmarkStart w:id="113" w:name="_Toc477270373"/>
      <w:bookmarkEnd w:id="112"/>
      <w:r>
        <w:rPr>
          <w:rFonts w:ascii="宋体" w:eastAsia="宋体" w:hAnsi="宋体" w:cs="宋体" w:hint="eastAsia"/>
          <w:color w:val="000000"/>
          <w:kern w:val="0"/>
          <w:sz w:val="24"/>
          <w:szCs w:val="24"/>
        </w:rPr>
        <w:lastRenderedPageBreak/>
        <w:t>（四）基金管理人发送错误指令的情形和处理程序</w:t>
      </w:r>
      <w:bookmarkEnd w:id="113"/>
    </w:p>
    <w:p w14:paraId="5E046E4C" w14:textId="77777777" w:rsidR="00EB48E5" w:rsidRDefault="001F2E4C" w:rsidP="00055DD6">
      <w:pPr>
        <w:widowControl/>
        <w:spacing w:after="120"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基金管理人发送错误指令的情形包括指令发送人员无权或超越权限发送指令及交割信息错误，指令中重要信息模糊不清或不全等。</w:t>
      </w:r>
    </w:p>
    <w:p w14:paraId="6B08382B"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基金托管人在履行监督职能时，发现基金管理人的指令错误时，应拒绝执行，并及时通知基金管理人改正。</w:t>
      </w:r>
    </w:p>
    <w:p w14:paraId="355FAC4D"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14" w:name="_Toc477272418"/>
      <w:bookmarkStart w:id="115" w:name="_Toc477270374"/>
      <w:bookmarkEnd w:id="114"/>
      <w:r>
        <w:rPr>
          <w:rFonts w:ascii="宋体" w:eastAsia="宋体" w:hAnsi="宋体" w:cs="宋体" w:hint="eastAsia"/>
          <w:color w:val="000000"/>
          <w:kern w:val="0"/>
          <w:sz w:val="24"/>
          <w:szCs w:val="24"/>
        </w:rPr>
        <w:t>（五）基金托管人依照法律法规暂缓、拒绝执行指令的情形和处理程序</w:t>
      </w:r>
      <w:bookmarkEnd w:id="115"/>
    </w:p>
    <w:p w14:paraId="3261E85B"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发现基金管理人发送的指令违反《基金法》、《基金合同》、本协议或有关基金法规的有关规定，应视情况暂缓或不予执行，并应及时以书面形式通知基金管理人纠正，基金管理人收到通知后应及时核对，并以书面形式对基金托管人发出回函确认，由此造成基金财产或基金份额持有人的损失由基金管理人承担。</w:t>
      </w:r>
    </w:p>
    <w:p w14:paraId="711BB17D"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16" w:name="_Toc477272419"/>
      <w:bookmarkStart w:id="117" w:name="_Toc477270375"/>
      <w:bookmarkEnd w:id="116"/>
      <w:r>
        <w:rPr>
          <w:rFonts w:ascii="宋体" w:eastAsia="宋体" w:hAnsi="宋体" w:cs="宋体" w:hint="eastAsia"/>
          <w:color w:val="000000"/>
          <w:kern w:val="0"/>
          <w:sz w:val="24"/>
          <w:szCs w:val="24"/>
        </w:rPr>
        <w:t>（六）基金托管人未按照基金管理人指令执行的处理方法</w:t>
      </w:r>
      <w:bookmarkEnd w:id="117"/>
    </w:p>
    <w:p w14:paraId="4E74FEB9"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由于自身原因造成未按照或者未及时按照基金管理人发送的正常的有效资金划拨指令执行，应在发现后及时采取措施予以补救，给基金财产、基金管理人或基金份额持有人造成损失的，应负赔偿责任，但仅限于赔偿直接经济损失。</w:t>
      </w:r>
    </w:p>
    <w:p w14:paraId="795CD1DA"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18" w:name="_Toc477272420"/>
      <w:bookmarkStart w:id="119" w:name="_Toc477270376"/>
      <w:bookmarkStart w:id="120" w:name="_Toc48703902"/>
      <w:bookmarkEnd w:id="118"/>
      <w:bookmarkEnd w:id="119"/>
      <w:r>
        <w:rPr>
          <w:rFonts w:ascii="宋体" w:eastAsia="宋体" w:hAnsi="宋体" w:cs="宋体" w:hint="eastAsia"/>
          <w:color w:val="000000"/>
          <w:kern w:val="0"/>
          <w:sz w:val="24"/>
          <w:szCs w:val="24"/>
        </w:rPr>
        <w:t>（七）更换被授权人的</w:t>
      </w:r>
      <w:bookmarkEnd w:id="120"/>
      <w:r>
        <w:rPr>
          <w:rFonts w:ascii="宋体" w:eastAsia="宋体" w:hAnsi="宋体" w:cs="宋体" w:hint="eastAsia"/>
          <w:color w:val="000000"/>
          <w:kern w:val="0"/>
          <w:sz w:val="24"/>
          <w:szCs w:val="24"/>
        </w:rPr>
        <w:t>程序</w:t>
      </w:r>
    </w:p>
    <w:p w14:paraId="78EB7F72"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撤换被授权人或改变被授权人的权限，必须提前至少一个交易日，使用邮件、传真或其他基金托管人和基金管理人书面确认过的方式向基金托管人发出由基金管理人加盖公章的被授权人变更通知，并提供新的被授权人的签章样本，同时电话通知基金托管人，并于变更通知当日通过电话向基金托管人确认。被授权人变更通知，</w:t>
      </w:r>
      <w:r>
        <w:rPr>
          <w:rFonts w:ascii="宋体" w:eastAsia="宋体" w:hAnsi="宋体" w:cs="宋体" w:hint="eastAsia"/>
          <w:sz w:val="24"/>
          <w:szCs w:val="21"/>
        </w:rPr>
        <w:t>自基金托管人确认收到授权通知后于授权通知载明的生效时间生效（如基金托管人收到授权通知的时间晚于授权通知载明的生效时间，则授权通知自基金托管人确认收到授权通知的时间生效）</w:t>
      </w:r>
      <w:r>
        <w:rPr>
          <w:rFonts w:ascii="宋体" w:eastAsia="宋体" w:hAnsi="宋体" w:cs="宋体" w:hint="eastAsia"/>
          <w:color w:val="000000"/>
          <w:kern w:val="0"/>
          <w:sz w:val="24"/>
          <w:szCs w:val="24"/>
        </w:rPr>
        <w:t>。基金管理人在此后三个工作日内将被授权人变更通知的正本送交基金托管人。</w:t>
      </w:r>
      <w:r>
        <w:rPr>
          <w:rFonts w:ascii="宋体" w:eastAsia="宋体" w:hAnsi="宋体" w:cs="宋体" w:hint="eastAsia"/>
          <w:sz w:val="24"/>
          <w:szCs w:val="21"/>
        </w:rPr>
        <w:t>若变更授权通知正本内容与基金托管人收到的扫描件或传真件不一致的，以基金托管人收到的已生效的扫描件或传真件为准。</w:t>
      </w:r>
      <w:r>
        <w:rPr>
          <w:rFonts w:ascii="宋体" w:eastAsia="宋体" w:hAnsi="宋体" w:cs="宋体" w:hint="eastAsia"/>
          <w:color w:val="000000"/>
          <w:kern w:val="0"/>
          <w:sz w:val="24"/>
          <w:szCs w:val="24"/>
        </w:rPr>
        <w:t>基金管理人更换被授权人通知生效后，对于已被撤换的人员无权发送的指令，或被改变授权人员超权限发送的指令，基金管理人不承担责任。</w:t>
      </w:r>
    </w:p>
    <w:p w14:paraId="7D851DF0" w14:textId="77777777" w:rsidR="00EB48E5" w:rsidRDefault="001F2E4C" w:rsidP="00055DD6">
      <w:pPr>
        <w:widowControl/>
        <w:spacing w:line="360" w:lineRule="auto"/>
        <w:ind w:firstLine="482"/>
        <w:textAlignment w:val="baseline"/>
        <w:rPr>
          <w:rFonts w:ascii="宋体" w:eastAsia="宋体" w:hAnsi="宋体" w:cs="宋体"/>
          <w:color w:val="000000"/>
          <w:kern w:val="0"/>
          <w:sz w:val="24"/>
          <w:szCs w:val="24"/>
        </w:rPr>
      </w:pPr>
      <w:r>
        <w:rPr>
          <w:rFonts w:ascii="宋体" w:eastAsia="宋体" w:hAnsi="宋体" w:cs="宋体" w:hint="eastAsia"/>
          <w:color w:val="000000"/>
          <w:kern w:val="0"/>
          <w:sz w:val="24"/>
          <w:szCs w:val="24"/>
        </w:rPr>
        <w:t>（八）相关的责任</w:t>
      </w:r>
    </w:p>
    <w:p w14:paraId="76DA852F"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基金托管人正确执行基金管理人符合本协议约定、合法合</w:t>
      </w:r>
      <w:proofErr w:type="gramStart"/>
      <w:r>
        <w:rPr>
          <w:rFonts w:ascii="宋体" w:eastAsia="宋体" w:hAnsi="宋体" w:cs="宋体" w:hint="eastAsia"/>
          <w:color w:val="000000"/>
          <w:kern w:val="0"/>
          <w:sz w:val="24"/>
          <w:szCs w:val="24"/>
        </w:rPr>
        <w:t>规</w:t>
      </w:r>
      <w:proofErr w:type="gramEnd"/>
      <w:r>
        <w:rPr>
          <w:rFonts w:ascii="宋体" w:eastAsia="宋体" w:hAnsi="宋体" w:cs="宋体" w:hint="eastAsia"/>
          <w:color w:val="000000"/>
          <w:kern w:val="0"/>
          <w:sz w:val="24"/>
          <w:szCs w:val="24"/>
        </w:rPr>
        <w:t>的划款指令，基金财产发生损失的，基金托管人不承担相应责任，但应当予以必要的协助和配合。在正常业务受理渠道和指令规定的时间内，因基金托管人过错导致未能及时或正确执行符合本协议约定、合法合</w:t>
      </w:r>
      <w:proofErr w:type="gramStart"/>
      <w:r>
        <w:rPr>
          <w:rFonts w:ascii="宋体" w:eastAsia="宋体" w:hAnsi="宋体" w:cs="宋体" w:hint="eastAsia"/>
          <w:color w:val="000000"/>
          <w:kern w:val="0"/>
          <w:sz w:val="24"/>
          <w:szCs w:val="24"/>
        </w:rPr>
        <w:t>规</w:t>
      </w:r>
      <w:proofErr w:type="gramEnd"/>
      <w:r>
        <w:rPr>
          <w:rFonts w:ascii="宋体" w:eastAsia="宋体" w:hAnsi="宋体" w:cs="宋体" w:hint="eastAsia"/>
          <w:color w:val="000000"/>
          <w:kern w:val="0"/>
          <w:sz w:val="24"/>
          <w:szCs w:val="24"/>
        </w:rPr>
        <w:t>的划款指令而导致基金财产受损的，基金托管人应承担相应的责任，但托管账户及其他账户余额不足或基金托管人遇到不可抗力等非可归责于托管人过错的情况除外。</w:t>
      </w:r>
    </w:p>
    <w:p w14:paraId="383445CD" w14:textId="77777777" w:rsidR="00EB48E5" w:rsidRDefault="001F2E4C" w:rsidP="00055DD6">
      <w:pPr>
        <w:widowControl/>
        <w:spacing w:line="360" w:lineRule="auto"/>
        <w:ind w:firstLine="480"/>
        <w:rPr>
          <w:rFonts w:ascii="宋体" w:eastAsia="宋体" w:hAnsi="宋体" w:cs="宋体"/>
          <w:color w:val="000000"/>
          <w:kern w:val="0"/>
          <w:sz w:val="27"/>
          <w:szCs w:val="27"/>
        </w:rPr>
      </w:pPr>
      <w:r>
        <w:rPr>
          <w:rFonts w:ascii="宋体" w:eastAsia="宋体" w:hAnsi="宋体" w:cs="宋体" w:hint="eastAsia"/>
          <w:color w:val="000000"/>
          <w:kern w:val="0"/>
          <w:sz w:val="24"/>
          <w:szCs w:val="24"/>
        </w:rPr>
        <w:t>如果基金管理人的划款指令存在事实上未经授权、欺诈、伪造或未能按时提供划款指令人员的预留印鉴和签章样本等</w:t>
      </w:r>
      <w:proofErr w:type="gramStart"/>
      <w:r>
        <w:rPr>
          <w:rFonts w:ascii="宋体" w:eastAsia="宋体" w:hAnsi="宋体" w:cs="宋体" w:hint="eastAsia"/>
          <w:color w:val="000000"/>
          <w:kern w:val="0"/>
          <w:sz w:val="24"/>
          <w:szCs w:val="24"/>
        </w:rPr>
        <w:t>非基金托管人原因</w:t>
      </w:r>
      <w:proofErr w:type="gramEnd"/>
      <w:r>
        <w:rPr>
          <w:rFonts w:ascii="宋体" w:eastAsia="宋体" w:hAnsi="宋体" w:cs="宋体" w:hint="eastAsia"/>
          <w:color w:val="000000"/>
          <w:kern w:val="0"/>
          <w:sz w:val="24"/>
          <w:szCs w:val="24"/>
        </w:rPr>
        <w:t>造成的情形，只要基金托管人根据本协议相关规定验证有关印鉴与签章无误，基金托管人不承担因正确执行有关指令而给基金管理人或基金财产或任何第三人带来的损失。</w:t>
      </w:r>
    </w:p>
    <w:p w14:paraId="48668856" w14:textId="77777777" w:rsidR="00EB48E5" w:rsidRDefault="001F2E4C" w:rsidP="00055DD6">
      <w:pPr>
        <w:pStyle w:val="1"/>
        <w:spacing w:line="360" w:lineRule="auto"/>
        <w:jc w:val="center"/>
        <w:rPr>
          <w:color w:val="000000"/>
          <w:kern w:val="0"/>
          <w:szCs w:val="21"/>
        </w:rPr>
      </w:pPr>
      <w:bookmarkStart w:id="121" w:name="_Toc477274816"/>
      <w:bookmarkStart w:id="122" w:name="_Toc375230483"/>
      <w:bookmarkEnd w:id="121"/>
      <w:r>
        <w:rPr>
          <w:rFonts w:hint="eastAsia"/>
          <w:color w:val="000000"/>
          <w:kern w:val="0"/>
          <w:sz w:val="30"/>
          <w:szCs w:val="30"/>
        </w:rPr>
        <w:t xml:space="preserve"> </w:t>
      </w:r>
      <w:bookmarkStart w:id="123" w:name="_Toc26074"/>
      <w:r>
        <w:rPr>
          <w:rFonts w:hint="eastAsia"/>
          <w:color w:val="000000"/>
          <w:kern w:val="0"/>
          <w:sz w:val="30"/>
          <w:szCs w:val="30"/>
        </w:rPr>
        <w:t>七、</w:t>
      </w:r>
      <w:bookmarkStart w:id="124" w:name="_Toc466788856"/>
      <w:bookmarkStart w:id="125" w:name="_Toc123626173"/>
      <w:bookmarkStart w:id="126" w:name="_Toc523829997"/>
      <w:bookmarkStart w:id="127" w:name="_Toc124749231"/>
      <w:bookmarkStart w:id="128" w:name="_Toc124749942"/>
      <w:bookmarkStart w:id="129" w:name="_Toc22454451"/>
      <w:bookmarkStart w:id="130" w:name="_Toc375230484"/>
      <w:bookmarkStart w:id="131" w:name="_Toc48703903"/>
      <w:bookmarkStart w:id="132" w:name="_Toc125361079"/>
      <w:bookmarkEnd w:id="122"/>
      <w:bookmarkEnd w:id="124"/>
      <w:bookmarkEnd w:id="125"/>
      <w:bookmarkEnd w:id="126"/>
      <w:bookmarkEnd w:id="127"/>
      <w:bookmarkEnd w:id="128"/>
      <w:bookmarkEnd w:id="129"/>
      <w:bookmarkEnd w:id="130"/>
      <w:bookmarkEnd w:id="131"/>
      <w:bookmarkEnd w:id="132"/>
      <w:r>
        <w:rPr>
          <w:rFonts w:hint="eastAsia"/>
          <w:color w:val="000000"/>
          <w:kern w:val="0"/>
          <w:sz w:val="30"/>
          <w:szCs w:val="30"/>
        </w:rPr>
        <w:t>交易及清算交收安排</w:t>
      </w:r>
      <w:bookmarkEnd w:id="123"/>
    </w:p>
    <w:p w14:paraId="2089344B" w14:textId="77777777"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bookmarkStart w:id="133" w:name="_Toc22454452"/>
      <w:bookmarkStart w:id="134" w:name="_Toc48703904"/>
      <w:bookmarkStart w:id="135" w:name="_Toc477270378"/>
      <w:bookmarkStart w:id="136" w:name="_Toc477272422"/>
      <w:bookmarkEnd w:id="133"/>
      <w:bookmarkEnd w:id="134"/>
      <w:bookmarkEnd w:id="135"/>
      <w:bookmarkEnd w:id="136"/>
      <w:r>
        <w:rPr>
          <w:rFonts w:ascii="宋体" w:eastAsia="宋体" w:hAnsi="宋体" w:cs="宋体" w:hint="eastAsia"/>
          <w:bCs/>
          <w:color w:val="000000"/>
          <w:kern w:val="0"/>
          <w:sz w:val="24"/>
          <w:szCs w:val="24"/>
        </w:rPr>
        <w:t>（一）选择代理证券、期货买卖的证券、期货经纪机构</w:t>
      </w:r>
    </w:p>
    <w:p w14:paraId="4AA7EE0C" w14:textId="77777777"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1、基金管理人应制</w:t>
      </w:r>
      <w:proofErr w:type="gramStart"/>
      <w:r>
        <w:rPr>
          <w:rFonts w:ascii="宋体" w:eastAsia="宋体" w:hAnsi="宋体" w:cs="宋体" w:hint="eastAsia"/>
          <w:bCs/>
          <w:color w:val="000000"/>
          <w:kern w:val="0"/>
          <w:sz w:val="24"/>
          <w:szCs w:val="24"/>
        </w:rPr>
        <w:t>定选择</w:t>
      </w:r>
      <w:proofErr w:type="gramEnd"/>
      <w:r>
        <w:rPr>
          <w:rFonts w:ascii="宋体" w:eastAsia="宋体" w:hAnsi="宋体" w:cs="宋体" w:hint="eastAsia"/>
          <w:bCs/>
          <w:color w:val="000000"/>
          <w:kern w:val="0"/>
          <w:sz w:val="24"/>
          <w:szCs w:val="24"/>
        </w:rPr>
        <w:t>的标准和程序，并负责根据相关标准以及内部管理制度对有关证券经纪机构进行考察后确定代理本基金证券买卖证券经纪机构，并承担相应责任。基金管理人和被选择的证券经纪机构签订证券经纪合同或其他约定的形式，由基金管理人通知基金托管人，并按法律法规要求在法定信息披露报告中披露有关内容。基金管理人、基金托管人和证券经纪机构可就本基金参与证券交易的具体事项另行签订证券经纪服务协议。</w:t>
      </w:r>
    </w:p>
    <w:p w14:paraId="448FD285" w14:textId="565798A9"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2、</w:t>
      </w:r>
      <w:r w:rsidR="00A75A93" w:rsidRPr="00A75A93">
        <w:rPr>
          <w:rFonts w:ascii="宋体" w:eastAsia="宋体" w:hAnsi="宋体" w:cs="宋体" w:hint="eastAsia"/>
          <w:bCs/>
          <w:color w:val="000000"/>
          <w:kern w:val="0"/>
          <w:sz w:val="24"/>
          <w:szCs w:val="24"/>
        </w:rPr>
        <w:t>基金管理人负责选择为本基金提供期货交易服务的期货经纪机构，并与其签订期货经纪合同。其他事宜根据法律法规、《基金合同》的相关规定执行，若无明确规定的，可参照有关证券买卖、证券经营机构选择的规则执行。基金管理人所选择的期货经纪机构负责办理委托资产的期货交易的清算交割。</w:t>
      </w:r>
    </w:p>
    <w:p w14:paraId="5C8C0797" w14:textId="77777777"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（二）基金投资证券后的清算交收安排</w:t>
      </w:r>
    </w:p>
    <w:p w14:paraId="030C0C71" w14:textId="77777777"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w:t>
      </w:r>
      <w:r>
        <w:rPr>
          <w:rFonts w:ascii="宋体" w:eastAsia="宋体" w:hAnsi="宋体" w:cs="宋体" w:hint="eastAsia"/>
          <w:bCs/>
          <w:color w:val="000000"/>
          <w:kern w:val="0"/>
          <w:sz w:val="24"/>
          <w:szCs w:val="24"/>
        </w:rPr>
        <w:lastRenderedPageBreak/>
        <w:t xml:space="preserve">律法规及相关业务规则，签订证券经纪服务协议，用以具体明确三方在证券交易资金结算业务中的责任。 </w:t>
      </w:r>
    </w:p>
    <w:p w14:paraId="004603B3" w14:textId="77777777"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本基金投资于所有场外交易的资金汇划，由基金托管人负责办理。</w:t>
      </w:r>
    </w:p>
    <w:p w14:paraId="1908A9CC" w14:textId="77777777"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对基金管理人的资金划拨指令，基金托管人在复核无误后应在规定期限内执行不得延误。</w:t>
      </w:r>
    </w:p>
    <w:p w14:paraId="7C66B152" w14:textId="77777777"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证券经纪机构代理本基金财产与中国证券登记结算有限责任公司完成证券交易及</w:t>
      </w:r>
      <w:proofErr w:type="gramStart"/>
      <w:r>
        <w:rPr>
          <w:rFonts w:ascii="宋体" w:eastAsia="宋体" w:hAnsi="宋体" w:cs="宋体" w:hint="eastAsia"/>
          <w:bCs/>
          <w:color w:val="000000"/>
          <w:kern w:val="0"/>
          <w:sz w:val="24"/>
          <w:szCs w:val="24"/>
        </w:rPr>
        <w:t>非交易</w:t>
      </w:r>
      <w:proofErr w:type="gramEnd"/>
      <w:r>
        <w:rPr>
          <w:rFonts w:ascii="宋体" w:eastAsia="宋体" w:hAnsi="宋体" w:cs="宋体" w:hint="eastAsia"/>
          <w:bCs/>
          <w:color w:val="000000"/>
          <w:kern w:val="0"/>
          <w:sz w:val="24"/>
          <w:szCs w:val="24"/>
        </w:rPr>
        <w:t>涉及的证券资金结算业务，并承担由证券经纪机构原因造成的正常结算、交收业务无法完成的责任。</w:t>
      </w:r>
    </w:p>
    <w:p w14:paraId="0AAD8BE8" w14:textId="77777777" w:rsidR="00EB48E5" w:rsidRDefault="001F2E4C" w:rsidP="00055DD6">
      <w:pPr>
        <w:widowControl/>
        <w:numPr>
          <w:ilvl w:val="0"/>
          <w:numId w:val="1"/>
        </w:numPr>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基金申购、赎回和转换业务处理的基本规定</w:t>
      </w:r>
    </w:p>
    <w:p w14:paraId="3D69485B" w14:textId="6C1756BD"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1、托管协议当事人在开放式基金的申购</w:t>
      </w:r>
      <w:r w:rsidR="00BC1500">
        <w:rPr>
          <w:rFonts w:ascii="宋体" w:eastAsia="宋体" w:hAnsi="宋体" w:cs="宋体" w:hint="eastAsia"/>
          <w:bCs/>
          <w:color w:val="000000"/>
          <w:kern w:val="0"/>
          <w:sz w:val="24"/>
          <w:szCs w:val="24"/>
        </w:rPr>
        <w:t>、</w:t>
      </w:r>
      <w:r w:rsidRPr="00861C86">
        <w:rPr>
          <w:rFonts w:ascii="宋体" w:eastAsia="宋体" w:hAnsi="宋体" w:cs="宋体" w:hint="eastAsia"/>
          <w:bCs/>
          <w:color w:val="000000"/>
          <w:kern w:val="0"/>
          <w:sz w:val="24"/>
          <w:szCs w:val="24"/>
        </w:rPr>
        <w:t>赎回、转换中的责任</w:t>
      </w:r>
    </w:p>
    <w:p w14:paraId="0B09AA72" w14:textId="77777777"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基金的投资者可通过基金管理人直销和销售代理人的代销网点进行申购、赎回、转换，由基金管理人办理基金份额的过户和登记，基金托管人负责接收并确认</w:t>
      </w:r>
      <w:r w:rsidR="00A65359">
        <w:rPr>
          <w:rFonts w:ascii="宋体" w:eastAsia="宋体" w:hAnsi="宋体" w:cs="宋体" w:hint="eastAsia"/>
          <w:bCs/>
          <w:color w:val="000000"/>
          <w:kern w:val="0"/>
          <w:sz w:val="24"/>
          <w:szCs w:val="24"/>
        </w:rPr>
        <w:t>净应收款的到账情况，以及依照基金管理人的投资指令来划付净应付款</w:t>
      </w:r>
      <w:r w:rsidRPr="00861C86">
        <w:rPr>
          <w:rFonts w:ascii="宋体" w:eastAsia="宋体" w:hAnsi="宋体" w:cs="宋体" w:hint="eastAsia"/>
          <w:bCs/>
          <w:color w:val="000000"/>
          <w:kern w:val="0"/>
          <w:sz w:val="24"/>
          <w:szCs w:val="24"/>
        </w:rPr>
        <w:t>。</w:t>
      </w:r>
    </w:p>
    <w:p w14:paraId="0CDC93A9" w14:textId="77777777"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2、开放式基金的数据传递</w:t>
      </w:r>
    </w:p>
    <w:p w14:paraId="05196F5F" w14:textId="77777777"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基金管理人应于每个开放日15：00之前将发送前一开放</w:t>
      </w:r>
      <w:proofErr w:type="gramStart"/>
      <w:r w:rsidRPr="00861C86">
        <w:rPr>
          <w:rFonts w:ascii="宋体" w:eastAsia="宋体" w:hAnsi="宋体" w:cs="宋体" w:hint="eastAsia"/>
          <w:bCs/>
          <w:color w:val="000000"/>
          <w:kern w:val="0"/>
          <w:sz w:val="24"/>
          <w:szCs w:val="24"/>
        </w:rPr>
        <w:t>日上述</w:t>
      </w:r>
      <w:proofErr w:type="gramEnd"/>
      <w:r w:rsidRPr="00861C86">
        <w:rPr>
          <w:rFonts w:ascii="宋体" w:eastAsia="宋体" w:hAnsi="宋体" w:cs="宋体" w:hint="eastAsia"/>
          <w:bCs/>
          <w:color w:val="000000"/>
          <w:kern w:val="0"/>
          <w:sz w:val="24"/>
          <w:szCs w:val="24"/>
        </w:rPr>
        <w:t>有关数据，并保证相关数据的准确、完整。</w:t>
      </w:r>
    </w:p>
    <w:p w14:paraId="3BD25319" w14:textId="77777777"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3、开放式基金的资金清算</w:t>
      </w:r>
    </w:p>
    <w:p w14:paraId="0ECAB9C8" w14:textId="77777777"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基金申购、赎回</w:t>
      </w:r>
      <w:r w:rsidR="00A65359">
        <w:rPr>
          <w:rFonts w:ascii="宋体" w:eastAsia="宋体" w:hAnsi="宋体" w:cs="宋体" w:hint="eastAsia"/>
          <w:bCs/>
          <w:color w:val="000000"/>
          <w:kern w:val="0"/>
          <w:sz w:val="24"/>
          <w:szCs w:val="24"/>
        </w:rPr>
        <w:t>、转换</w:t>
      </w:r>
      <w:r w:rsidRPr="00861C86">
        <w:rPr>
          <w:rFonts w:ascii="宋体" w:eastAsia="宋体" w:hAnsi="宋体" w:cs="宋体" w:hint="eastAsia"/>
          <w:bCs/>
          <w:color w:val="000000"/>
          <w:kern w:val="0"/>
          <w:sz w:val="24"/>
          <w:szCs w:val="24"/>
        </w:rPr>
        <w:t>等款项采用</w:t>
      </w:r>
      <w:proofErr w:type="gramStart"/>
      <w:r w:rsidRPr="00861C86">
        <w:rPr>
          <w:rFonts w:ascii="宋体" w:eastAsia="宋体" w:hAnsi="宋体" w:cs="宋体" w:hint="eastAsia"/>
          <w:bCs/>
          <w:color w:val="000000"/>
          <w:kern w:val="0"/>
          <w:sz w:val="24"/>
          <w:szCs w:val="24"/>
        </w:rPr>
        <w:t>轧差交收</w:t>
      </w:r>
      <w:proofErr w:type="gramEnd"/>
      <w:r w:rsidRPr="00861C86">
        <w:rPr>
          <w:rFonts w:ascii="宋体" w:eastAsia="宋体" w:hAnsi="宋体" w:cs="宋体" w:hint="eastAsia"/>
          <w:bCs/>
          <w:color w:val="000000"/>
          <w:kern w:val="0"/>
          <w:sz w:val="24"/>
          <w:szCs w:val="24"/>
        </w:rPr>
        <w:t>的结算方式，净额在基金管理人总清算账户和资产托管专户之间交收。</w:t>
      </w:r>
    </w:p>
    <w:p w14:paraId="1245DD04" w14:textId="77777777"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如果当日基金为净应收款，基金托管人应及时查收资金是否到账，对于未准时划付的资金，基金托管人应及时通知基金管理人划付，由此产生的责任应由基金管理人承担。后果严重的基金托管人可以向中国证监会报告。</w:t>
      </w:r>
    </w:p>
    <w:p w14:paraId="1D3C8E24" w14:textId="77777777" w:rsidR="00861C86" w:rsidRPr="00861C86"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如果当日基金为净应付款，基金托管人应根据基金管理人的指令及时进行划付。对于未准时划付的资金，基金管理人应及时通知基金托管人划付，因基金托管</w:t>
      </w:r>
      <w:proofErr w:type="gramStart"/>
      <w:r w:rsidRPr="00861C86">
        <w:rPr>
          <w:rFonts w:ascii="宋体" w:eastAsia="宋体" w:hAnsi="宋体" w:cs="宋体" w:hint="eastAsia"/>
          <w:bCs/>
          <w:color w:val="000000"/>
          <w:kern w:val="0"/>
          <w:sz w:val="24"/>
          <w:szCs w:val="24"/>
        </w:rPr>
        <w:t>人原因</w:t>
      </w:r>
      <w:proofErr w:type="gramEnd"/>
      <w:r w:rsidRPr="00861C86">
        <w:rPr>
          <w:rFonts w:ascii="宋体" w:eastAsia="宋体" w:hAnsi="宋体" w:cs="宋体" w:hint="eastAsia"/>
          <w:bCs/>
          <w:color w:val="000000"/>
          <w:kern w:val="0"/>
          <w:sz w:val="24"/>
          <w:szCs w:val="24"/>
        </w:rPr>
        <w:t>导致产生的责任应由基金托管人承担。</w:t>
      </w:r>
    </w:p>
    <w:p w14:paraId="3725AA95" w14:textId="77777777" w:rsidR="00EB48E5" w:rsidRDefault="00861C86" w:rsidP="00055DD6">
      <w:pPr>
        <w:widowControl/>
        <w:spacing w:line="360" w:lineRule="auto"/>
        <w:ind w:firstLineChars="200" w:firstLine="480"/>
        <w:jc w:val="left"/>
        <w:rPr>
          <w:rFonts w:ascii="宋体" w:eastAsia="宋体" w:hAnsi="宋体" w:cs="宋体"/>
          <w:bCs/>
          <w:color w:val="000000"/>
          <w:kern w:val="0"/>
          <w:sz w:val="24"/>
          <w:szCs w:val="24"/>
        </w:rPr>
      </w:pPr>
      <w:r w:rsidRPr="00861C86">
        <w:rPr>
          <w:rFonts w:ascii="宋体" w:eastAsia="宋体" w:hAnsi="宋体" w:cs="宋体" w:hint="eastAsia"/>
          <w:bCs/>
          <w:color w:val="000000"/>
          <w:kern w:val="0"/>
          <w:sz w:val="24"/>
          <w:szCs w:val="24"/>
        </w:rPr>
        <w:t>在发生基金合同载明的暂停赎回或延缓支付赎回款项的情形时，款项的支付办法参照基金合同有关条款处理。</w:t>
      </w:r>
    </w:p>
    <w:p w14:paraId="3B0DF61D" w14:textId="77777777" w:rsidR="00EB48E5" w:rsidRDefault="001F2E4C" w:rsidP="00055DD6">
      <w:pPr>
        <w:widowControl/>
        <w:numPr>
          <w:ilvl w:val="0"/>
          <w:numId w:val="1"/>
        </w:numPr>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基金现金分红</w:t>
      </w:r>
    </w:p>
    <w:p w14:paraId="21A7842A" w14:textId="5667712B"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lastRenderedPageBreak/>
        <w:t>1、基金管理人确定分红方案通知基金托管人，双方核定后依照《信息披露办法》的有关规定在规定媒介上公告。</w:t>
      </w:r>
    </w:p>
    <w:p w14:paraId="3285F9A1" w14:textId="596D56A9" w:rsidR="00EB48E5" w:rsidRDefault="001F2E4C" w:rsidP="00055DD6">
      <w:pPr>
        <w:widowControl/>
        <w:spacing w:line="360" w:lineRule="auto"/>
        <w:ind w:firstLineChars="177" w:firstLine="425"/>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2、基金托管人和基金管理人对基金分红进行账务处理并核对后，基金管理人向基金托管人发送现金红利的划款指令，基金托管人应根据指令及时将分红</w:t>
      </w:r>
      <w:proofErr w:type="gramStart"/>
      <w:r>
        <w:rPr>
          <w:rFonts w:ascii="宋体" w:eastAsia="宋体" w:hAnsi="宋体" w:cs="宋体" w:hint="eastAsia"/>
          <w:bCs/>
          <w:color w:val="000000"/>
          <w:kern w:val="0"/>
          <w:sz w:val="24"/>
          <w:szCs w:val="24"/>
        </w:rPr>
        <w:t>款划往</w:t>
      </w:r>
      <w:r w:rsidR="00861C86">
        <w:rPr>
          <w:rFonts w:ascii="宋体" w:eastAsia="宋体" w:hAnsi="宋体" w:cs="宋体" w:hint="eastAsia"/>
          <w:bCs/>
          <w:color w:val="000000"/>
          <w:kern w:val="0"/>
          <w:sz w:val="24"/>
          <w:szCs w:val="24"/>
        </w:rPr>
        <w:t>指定</w:t>
      </w:r>
      <w:proofErr w:type="gramEnd"/>
      <w:r>
        <w:rPr>
          <w:rFonts w:ascii="宋体" w:eastAsia="宋体" w:hAnsi="宋体" w:cs="宋体" w:hint="eastAsia"/>
          <w:bCs/>
          <w:color w:val="000000"/>
          <w:kern w:val="0"/>
          <w:sz w:val="24"/>
          <w:szCs w:val="24"/>
        </w:rPr>
        <w:t>账户。</w:t>
      </w:r>
    </w:p>
    <w:p w14:paraId="58C65C12" w14:textId="77777777" w:rsidR="00EB48E5" w:rsidRDefault="001F2E4C" w:rsidP="00055DD6">
      <w:pPr>
        <w:widowControl/>
        <w:spacing w:line="360" w:lineRule="auto"/>
        <w:ind w:firstLineChars="177" w:firstLine="425"/>
        <w:jc w:val="left"/>
        <w:rPr>
          <w:rFonts w:ascii="宋体" w:eastAsia="宋体" w:hAnsi="宋体" w:cs="宋体"/>
          <w:color w:val="000000"/>
          <w:kern w:val="0"/>
          <w:sz w:val="27"/>
          <w:szCs w:val="27"/>
        </w:rPr>
      </w:pPr>
      <w:r>
        <w:rPr>
          <w:rFonts w:ascii="宋体" w:eastAsia="宋体" w:hAnsi="宋体" w:cs="宋体" w:hint="eastAsia"/>
          <w:bCs/>
          <w:color w:val="000000"/>
          <w:kern w:val="0"/>
          <w:sz w:val="24"/>
          <w:szCs w:val="24"/>
        </w:rPr>
        <w:t>3、基金管理人在下达指令时，应给基金托管人留出必需的划款时间。</w:t>
      </w:r>
      <w:bookmarkStart w:id="137" w:name="_Toc124749232"/>
      <w:bookmarkStart w:id="138" w:name="_Toc477272423"/>
      <w:bookmarkStart w:id="139" w:name="_Toc477272424"/>
      <w:bookmarkStart w:id="140" w:name="_Toc477270380"/>
      <w:bookmarkStart w:id="141" w:name="_Toc123626174"/>
      <w:bookmarkStart w:id="142" w:name="_Toc124749943"/>
      <w:bookmarkStart w:id="143" w:name="_Toc477270379"/>
      <w:bookmarkStart w:id="144" w:name="_Toc477272425"/>
      <w:bookmarkEnd w:id="137"/>
      <w:bookmarkEnd w:id="138"/>
      <w:bookmarkEnd w:id="139"/>
      <w:bookmarkEnd w:id="140"/>
      <w:bookmarkEnd w:id="141"/>
      <w:bookmarkEnd w:id="142"/>
      <w:bookmarkEnd w:id="143"/>
      <w:bookmarkEnd w:id="144"/>
    </w:p>
    <w:p w14:paraId="4CC6FC6C" w14:textId="77777777" w:rsidR="00EB48E5" w:rsidRDefault="001F2E4C" w:rsidP="00055DD6">
      <w:pPr>
        <w:pStyle w:val="1"/>
        <w:spacing w:line="360" w:lineRule="auto"/>
        <w:jc w:val="center"/>
        <w:rPr>
          <w:color w:val="000000"/>
          <w:kern w:val="0"/>
          <w:szCs w:val="21"/>
        </w:rPr>
      </w:pPr>
      <w:bookmarkStart w:id="145" w:name="_Toc125361080"/>
      <w:bookmarkStart w:id="146" w:name="_Toc375230485"/>
      <w:bookmarkStart w:id="147" w:name="_Toc477274817"/>
      <w:bookmarkStart w:id="148" w:name="_Toc20082"/>
      <w:bookmarkEnd w:id="145"/>
      <w:bookmarkEnd w:id="146"/>
      <w:bookmarkEnd w:id="147"/>
      <w:r>
        <w:rPr>
          <w:rFonts w:hint="eastAsia"/>
          <w:color w:val="000000"/>
          <w:kern w:val="0"/>
          <w:sz w:val="30"/>
          <w:szCs w:val="30"/>
        </w:rPr>
        <w:t>八、基金资产净值计算和会计核算</w:t>
      </w:r>
      <w:bookmarkStart w:id="149" w:name="_Toc48703909"/>
      <w:bookmarkEnd w:id="148"/>
      <w:bookmarkEnd w:id="149"/>
    </w:p>
    <w:p w14:paraId="08CEABEE"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50" w:name="_Toc477272427"/>
      <w:bookmarkStart w:id="151" w:name="_Toc477270383"/>
      <w:bookmarkEnd w:id="150"/>
      <w:r>
        <w:rPr>
          <w:rFonts w:ascii="宋体" w:eastAsia="宋体" w:hAnsi="宋体" w:cs="宋体" w:hint="eastAsia"/>
          <w:color w:val="000000"/>
          <w:kern w:val="0"/>
          <w:sz w:val="24"/>
          <w:szCs w:val="24"/>
        </w:rPr>
        <w:t>（一）基金资产净值的计算</w:t>
      </w:r>
      <w:bookmarkEnd w:id="151"/>
    </w:p>
    <w:p w14:paraId="7BA68420" w14:textId="77777777" w:rsidR="00EB48E5" w:rsidRDefault="001F2E4C" w:rsidP="00055DD6">
      <w:pPr>
        <w:widowControl/>
        <w:spacing w:line="360" w:lineRule="auto"/>
        <w:ind w:right="28" w:firstLine="480"/>
        <w:rPr>
          <w:rFonts w:ascii="宋体" w:eastAsia="宋体" w:hAnsi="宋体" w:cs="宋体"/>
          <w:color w:val="000000"/>
          <w:kern w:val="0"/>
          <w:szCs w:val="21"/>
        </w:rPr>
      </w:pPr>
      <w:r>
        <w:rPr>
          <w:rFonts w:ascii="宋体" w:eastAsia="宋体" w:hAnsi="宋体" w:cs="宋体" w:hint="eastAsia"/>
          <w:color w:val="000000"/>
          <w:kern w:val="0"/>
          <w:sz w:val="24"/>
          <w:szCs w:val="24"/>
        </w:rPr>
        <w:t>1、基金资产净值的计算、复核的时间和程序</w:t>
      </w:r>
    </w:p>
    <w:p w14:paraId="3E27C872" w14:textId="05BCA2EF" w:rsidR="00EB48E5" w:rsidRDefault="001F2E4C" w:rsidP="00055DD6">
      <w:pPr>
        <w:widowControl/>
        <w:spacing w:line="360" w:lineRule="auto"/>
        <w:ind w:right="28"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基金资产净值是指基金资产总值减去基金负债后的价值。</w:t>
      </w:r>
      <w:r w:rsidR="00861C86">
        <w:rPr>
          <w:rFonts w:ascii="宋体" w:eastAsia="宋体" w:hAnsi="宋体" w:cs="宋体" w:hint="eastAsia"/>
          <w:color w:val="000000"/>
          <w:kern w:val="0"/>
          <w:sz w:val="24"/>
          <w:szCs w:val="24"/>
        </w:rPr>
        <w:t>各类</w:t>
      </w:r>
      <w:r>
        <w:rPr>
          <w:rFonts w:ascii="宋体" w:eastAsia="宋体" w:hAnsi="宋体" w:cs="宋体" w:hint="eastAsia"/>
          <w:color w:val="000000"/>
          <w:kern w:val="0"/>
          <w:sz w:val="24"/>
          <w:szCs w:val="24"/>
        </w:rPr>
        <w:t>基金份额净值是按照每个</w:t>
      </w:r>
      <w:r w:rsidR="00E75E10">
        <w:rPr>
          <w:rFonts w:ascii="宋体" w:eastAsia="宋体" w:hAnsi="宋体" w:cs="宋体" w:hint="eastAsia"/>
          <w:color w:val="000000"/>
          <w:kern w:val="0"/>
          <w:sz w:val="24"/>
          <w:szCs w:val="24"/>
        </w:rPr>
        <w:t>估值</w:t>
      </w:r>
      <w:r>
        <w:rPr>
          <w:rFonts w:ascii="宋体" w:eastAsia="宋体" w:hAnsi="宋体" w:cs="宋体" w:hint="eastAsia"/>
          <w:color w:val="000000"/>
          <w:kern w:val="0"/>
          <w:sz w:val="24"/>
          <w:szCs w:val="24"/>
        </w:rPr>
        <w:t>日闭市后，</w:t>
      </w:r>
      <w:r w:rsidR="00861C86">
        <w:rPr>
          <w:rFonts w:ascii="宋体" w:eastAsia="宋体" w:hAnsi="宋体" w:cs="宋体" w:hint="eastAsia"/>
          <w:color w:val="000000"/>
          <w:kern w:val="0"/>
          <w:sz w:val="24"/>
          <w:szCs w:val="24"/>
        </w:rPr>
        <w:t>各类基金份额的</w:t>
      </w:r>
      <w:r>
        <w:rPr>
          <w:rFonts w:ascii="宋体" w:eastAsia="宋体" w:hAnsi="宋体" w:cs="宋体" w:hint="eastAsia"/>
          <w:color w:val="000000"/>
          <w:kern w:val="0"/>
          <w:sz w:val="24"/>
          <w:szCs w:val="24"/>
        </w:rPr>
        <w:t>基金资产净值除以当日</w:t>
      </w:r>
      <w:r w:rsidR="00861C86">
        <w:rPr>
          <w:rFonts w:ascii="宋体" w:eastAsia="宋体" w:hAnsi="宋体" w:cs="宋体" w:hint="eastAsia"/>
          <w:color w:val="000000"/>
          <w:kern w:val="0"/>
          <w:sz w:val="24"/>
          <w:szCs w:val="24"/>
        </w:rPr>
        <w:t>该类</w:t>
      </w:r>
      <w:r>
        <w:rPr>
          <w:rFonts w:ascii="宋体" w:eastAsia="宋体" w:hAnsi="宋体" w:cs="宋体" w:hint="eastAsia"/>
          <w:color w:val="000000"/>
          <w:kern w:val="0"/>
          <w:sz w:val="24"/>
          <w:szCs w:val="24"/>
        </w:rPr>
        <w:t>基金份额的余额</w:t>
      </w:r>
      <w:r w:rsidR="004553FC">
        <w:rPr>
          <w:rFonts w:ascii="宋体" w:eastAsia="宋体" w:hAnsi="宋体" w:cs="宋体" w:hint="eastAsia"/>
          <w:color w:val="000000"/>
          <w:kern w:val="0"/>
          <w:sz w:val="24"/>
          <w:szCs w:val="24"/>
        </w:rPr>
        <w:t>总数</w:t>
      </w:r>
      <w:r>
        <w:rPr>
          <w:rFonts w:ascii="宋体" w:eastAsia="宋体" w:hAnsi="宋体" w:cs="宋体" w:hint="eastAsia"/>
          <w:color w:val="000000"/>
          <w:kern w:val="0"/>
          <w:sz w:val="24"/>
          <w:szCs w:val="24"/>
        </w:rPr>
        <w:t>计算，精确到0.0001元，小数点后第5位四舍五入，由此产生的误差由基金财产承担。基金管理人可以设立大额赎回情形下的净值精度应急调整机制。国家另有规定的，从其规定。</w:t>
      </w:r>
    </w:p>
    <w:p w14:paraId="17418AF8" w14:textId="53FF6AE2" w:rsidR="00EB48E5" w:rsidRDefault="001F2E4C" w:rsidP="00055DD6">
      <w:pPr>
        <w:widowControl/>
        <w:spacing w:line="360" w:lineRule="auto"/>
        <w:ind w:right="28"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基金管理人应于每个</w:t>
      </w:r>
      <w:r w:rsidR="00E75E10">
        <w:rPr>
          <w:rFonts w:ascii="宋体" w:eastAsia="宋体" w:hAnsi="宋体" w:cs="宋体" w:hint="eastAsia"/>
          <w:color w:val="000000"/>
          <w:kern w:val="0"/>
          <w:sz w:val="24"/>
          <w:szCs w:val="24"/>
        </w:rPr>
        <w:t>估值</w:t>
      </w:r>
      <w:r>
        <w:rPr>
          <w:rFonts w:ascii="宋体" w:eastAsia="宋体" w:hAnsi="宋体" w:cs="宋体" w:hint="eastAsia"/>
          <w:color w:val="000000"/>
          <w:kern w:val="0"/>
          <w:sz w:val="24"/>
          <w:szCs w:val="24"/>
        </w:rPr>
        <w:t>日对基金资产估值。但基金管理人根据法律法规或基金合同的规定暂停估值时除外。估值原则应符合《基金合同》、《证券投资基金会计核算业务指引》及其他法律、法规的规定。基金资产净值和基金份额净值由基金管理人负责计算，基金托管人复核。基金管理人应于每个</w:t>
      </w:r>
      <w:r w:rsidR="004553FC">
        <w:rPr>
          <w:rFonts w:ascii="宋体" w:eastAsia="宋体" w:hAnsi="宋体" w:cs="宋体" w:hint="eastAsia"/>
          <w:color w:val="000000"/>
          <w:kern w:val="0"/>
          <w:sz w:val="24"/>
          <w:szCs w:val="24"/>
        </w:rPr>
        <w:t>估值</w:t>
      </w:r>
      <w:r>
        <w:rPr>
          <w:rFonts w:ascii="宋体" w:eastAsia="宋体" w:hAnsi="宋体" w:cs="宋体" w:hint="eastAsia"/>
          <w:color w:val="000000"/>
          <w:kern w:val="0"/>
          <w:sz w:val="24"/>
          <w:szCs w:val="24"/>
        </w:rPr>
        <w:t>日交易结束后计算当日的基金资产净值和基金份额净值并以双方认可的方式发送给基金托管人。基金托管人对净值计算结果复核确认后以双方认可的方式发送给基金管理人，由基金管理人对基金净值信息的计算结果按约定予以公布。</w:t>
      </w:r>
    </w:p>
    <w:p w14:paraId="487CFF7F" w14:textId="77777777" w:rsidR="00EB48E5" w:rsidRDefault="001F2E4C" w:rsidP="00055DD6">
      <w:pPr>
        <w:widowControl/>
        <w:spacing w:line="360" w:lineRule="auto"/>
        <w:ind w:right="28" w:firstLine="480"/>
        <w:rPr>
          <w:rFonts w:ascii="宋体" w:eastAsia="宋体" w:hAnsi="宋体" w:cs="宋体"/>
          <w:color w:val="000000"/>
          <w:kern w:val="0"/>
          <w:szCs w:val="21"/>
        </w:rPr>
      </w:pPr>
      <w:r>
        <w:rPr>
          <w:rFonts w:ascii="宋体" w:eastAsia="宋体" w:hAnsi="宋体" w:cs="宋体" w:hint="eastAsia"/>
          <w:color w:val="000000"/>
          <w:kern w:val="0"/>
          <w:sz w:val="24"/>
          <w:szCs w:val="24"/>
        </w:rPr>
        <w:t>根据《基金法》，基金资产净值计算和基金会计核算的义务由基金管理人承担，基金管理人计算并公告基金净值信息，基金托管人复核、审查基金管理人计算的基金净值信息。因此，本基金的会计责任方是基金管理人，就与本基金有关的会计问题，如经双方在平等基础上充分讨论后，仍无法达成一致的意见，按照基金管理人对基金净值信息的计算结果对外予以公布。法律法规以及监管部门有强制规定的，从其规定。如有新增事项，按国家最新规定估值。</w:t>
      </w:r>
    </w:p>
    <w:p w14:paraId="7E6275D6"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52" w:name="_Toc477272428"/>
      <w:bookmarkStart w:id="153" w:name="_Toc477270384"/>
      <w:bookmarkEnd w:id="152"/>
      <w:r>
        <w:rPr>
          <w:rFonts w:ascii="宋体" w:eastAsia="宋体" w:hAnsi="宋体" w:cs="宋体" w:hint="eastAsia"/>
          <w:color w:val="000000"/>
          <w:kern w:val="0"/>
          <w:sz w:val="24"/>
          <w:szCs w:val="24"/>
        </w:rPr>
        <w:t>（二）基金资产估值方法</w:t>
      </w:r>
      <w:bookmarkEnd w:id="153"/>
    </w:p>
    <w:p w14:paraId="224F969E" w14:textId="77777777" w:rsidR="00EB48E5" w:rsidRDefault="001F2E4C" w:rsidP="00055DD6">
      <w:pPr>
        <w:widowControl/>
        <w:spacing w:line="360" w:lineRule="auto"/>
        <w:ind w:right="28"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1、估值对象</w:t>
      </w:r>
    </w:p>
    <w:p w14:paraId="6251F93F" w14:textId="6A20DD95" w:rsidR="00EB48E5" w:rsidRDefault="00E75E10" w:rsidP="00055DD6">
      <w:pPr>
        <w:widowControl/>
        <w:spacing w:line="360" w:lineRule="auto"/>
        <w:ind w:right="28"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基金所拥有的目标ETF份额、股票、股指期货合约、国债期货合约、股票期权合约、债券和银行存款本息、应收款项、其它投资等资产及负债</w:t>
      </w:r>
      <w:r w:rsidR="001F2E4C">
        <w:rPr>
          <w:rFonts w:ascii="宋体" w:eastAsia="宋体" w:hAnsi="宋体" w:cs="宋体" w:hint="eastAsia"/>
          <w:color w:val="000000"/>
          <w:kern w:val="0"/>
          <w:sz w:val="24"/>
          <w:szCs w:val="24"/>
        </w:rPr>
        <w:t>。</w:t>
      </w:r>
    </w:p>
    <w:p w14:paraId="7DD3DB85" w14:textId="77777777" w:rsidR="00EB48E5" w:rsidRDefault="001F2E4C" w:rsidP="00055DD6">
      <w:pPr>
        <w:widowControl/>
        <w:spacing w:line="360" w:lineRule="auto"/>
        <w:ind w:right="28"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2、估值原则</w:t>
      </w:r>
    </w:p>
    <w:p w14:paraId="43998443" w14:textId="77777777" w:rsidR="00E75E10" w:rsidRPr="00E75E10" w:rsidRDefault="00E75E10" w:rsidP="00055DD6">
      <w:pPr>
        <w:widowControl/>
        <w:spacing w:line="360" w:lineRule="auto"/>
        <w:ind w:right="28"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基金管理人在确定相关金融资产和金融负债的公允价值时，应符合《企业会计准则》、监管部门有关规定。</w:t>
      </w:r>
    </w:p>
    <w:p w14:paraId="7373DD6C" w14:textId="77777777" w:rsidR="00E75E10" w:rsidRPr="00E75E10" w:rsidRDefault="00E75E10" w:rsidP="00055DD6">
      <w:pPr>
        <w:widowControl/>
        <w:spacing w:line="360" w:lineRule="auto"/>
        <w:ind w:right="28"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sidRPr="00E75E10">
        <w:rPr>
          <w:rFonts w:ascii="宋体" w:eastAsia="宋体" w:hAnsi="宋体" w:cs="宋体" w:hint="eastAsia"/>
          <w:color w:val="000000"/>
          <w:kern w:val="0"/>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F026555" w14:textId="77777777" w:rsidR="00E75E10" w:rsidRPr="00E75E10" w:rsidRDefault="00E75E10" w:rsidP="00055DD6">
      <w:pPr>
        <w:widowControl/>
        <w:spacing w:line="360" w:lineRule="auto"/>
        <w:ind w:right="28"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9F63356" w14:textId="77777777" w:rsidR="00E75E10" w:rsidRPr="00E75E10" w:rsidRDefault="00E75E10" w:rsidP="00055DD6">
      <w:pPr>
        <w:widowControl/>
        <w:spacing w:line="360" w:lineRule="auto"/>
        <w:ind w:right="28"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sidRPr="00E75E10">
        <w:rPr>
          <w:rFonts w:ascii="宋体" w:eastAsia="宋体" w:hAnsi="宋体" w:cs="宋体" w:hint="eastAsia"/>
          <w:color w:val="000000"/>
          <w:kern w:val="0"/>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D7063CD" w14:textId="222D8D06" w:rsidR="00EB48E5"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w:t>
      </w:r>
      <w:r w:rsidRPr="00E75E10">
        <w:rPr>
          <w:rFonts w:ascii="宋体" w:eastAsia="宋体" w:hAnsi="宋体" w:cs="宋体" w:hint="eastAsia"/>
          <w:color w:val="000000"/>
          <w:kern w:val="0"/>
          <w:sz w:val="24"/>
          <w:szCs w:val="24"/>
        </w:rPr>
        <w:t>）如经济环境发生重大变化或证券发行人发生影响证券价格的重大事件，使潜在估值调整对前一估值日的基金资产净值的影响在0.25%以上的，应对估值进行调整并确定公允价值。</w:t>
      </w:r>
    </w:p>
    <w:p w14:paraId="2BB15F34" w14:textId="77777777" w:rsidR="00EB48E5" w:rsidRDefault="001F2E4C" w:rsidP="00055DD6">
      <w:pPr>
        <w:widowControl/>
        <w:spacing w:line="360" w:lineRule="auto"/>
        <w:ind w:right="28" w:firstLineChars="200" w:firstLine="480"/>
        <w:rPr>
          <w:rFonts w:ascii="宋体" w:eastAsia="宋体" w:hAnsi="宋体" w:cs="宋体"/>
          <w:color w:val="000000"/>
          <w:kern w:val="0"/>
          <w:szCs w:val="21"/>
        </w:rPr>
      </w:pPr>
      <w:r>
        <w:rPr>
          <w:rFonts w:ascii="宋体" w:eastAsia="宋体" w:hAnsi="宋体" w:cs="宋体" w:hint="eastAsia"/>
          <w:color w:val="000000"/>
          <w:kern w:val="0"/>
          <w:sz w:val="24"/>
          <w:szCs w:val="24"/>
        </w:rPr>
        <w:t>3、估值方法</w:t>
      </w:r>
    </w:p>
    <w:p w14:paraId="4E9E1C6A"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Pr="00E75E10">
        <w:rPr>
          <w:rFonts w:ascii="宋体" w:eastAsia="宋体" w:hAnsi="宋体" w:cs="宋体" w:hint="eastAsia"/>
          <w:color w:val="000000"/>
          <w:kern w:val="0"/>
          <w:sz w:val="24"/>
          <w:szCs w:val="24"/>
        </w:rPr>
        <w:t>目标ETF份额的估值</w:t>
      </w:r>
    </w:p>
    <w:p w14:paraId="22B4F623"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本基金投资的目标ETF份额以目标ETF估值日基金份额净值估值，若估值日为非交易所营业日，以该基金最近估值日的基金份额净值估值。</w:t>
      </w:r>
    </w:p>
    <w:p w14:paraId="13535836"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Pr="00E75E10">
        <w:rPr>
          <w:rFonts w:ascii="宋体" w:eastAsia="宋体" w:hAnsi="宋体" w:cs="宋体" w:hint="eastAsia"/>
          <w:color w:val="000000"/>
          <w:kern w:val="0"/>
          <w:sz w:val="24"/>
          <w:szCs w:val="24"/>
        </w:rPr>
        <w:t>证券交易所上市的有价证券（目标ETF除外）的估值</w:t>
      </w:r>
    </w:p>
    <w:p w14:paraId="7F6BCBA2"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lastRenderedPageBreak/>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56FF2A5"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2）交易所上市交易或挂牌转让的不含</w:t>
      </w:r>
      <w:proofErr w:type="gramStart"/>
      <w:r w:rsidRPr="00E75E10">
        <w:rPr>
          <w:rFonts w:ascii="宋体" w:eastAsia="宋体" w:hAnsi="宋体" w:cs="宋体" w:hint="eastAsia"/>
          <w:color w:val="000000"/>
          <w:kern w:val="0"/>
          <w:sz w:val="24"/>
          <w:szCs w:val="24"/>
        </w:rPr>
        <w:t>权固定</w:t>
      </w:r>
      <w:proofErr w:type="gramEnd"/>
      <w:r w:rsidRPr="00E75E10">
        <w:rPr>
          <w:rFonts w:ascii="宋体" w:eastAsia="宋体" w:hAnsi="宋体" w:cs="宋体" w:hint="eastAsia"/>
          <w:color w:val="000000"/>
          <w:kern w:val="0"/>
          <w:sz w:val="24"/>
          <w:szCs w:val="24"/>
        </w:rPr>
        <w:t>收益品种，选取估值日第三方估值基准服务机构提供的相应品种当日的估值全价；交易所上市交易或挂牌转让的含</w:t>
      </w:r>
      <w:proofErr w:type="gramStart"/>
      <w:r w:rsidRPr="00E75E10">
        <w:rPr>
          <w:rFonts w:ascii="宋体" w:eastAsia="宋体" w:hAnsi="宋体" w:cs="宋体" w:hint="eastAsia"/>
          <w:color w:val="000000"/>
          <w:kern w:val="0"/>
          <w:sz w:val="24"/>
          <w:szCs w:val="24"/>
        </w:rPr>
        <w:t>权固定</w:t>
      </w:r>
      <w:proofErr w:type="gramEnd"/>
      <w:r w:rsidRPr="00E75E10">
        <w:rPr>
          <w:rFonts w:ascii="宋体" w:eastAsia="宋体" w:hAnsi="宋体" w:cs="宋体" w:hint="eastAsia"/>
          <w:color w:val="000000"/>
          <w:kern w:val="0"/>
          <w:sz w:val="24"/>
          <w:szCs w:val="24"/>
        </w:rPr>
        <w:t>收益品种，选取估值日第三方估值基准服务机构提供的相应品种当日的唯一估值全价或推荐估值全价；</w:t>
      </w:r>
    </w:p>
    <w:p w14:paraId="12BC9A42"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876822F"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4）交易所上市不存在活跃市场的有价证券，采用估值技术确定公允价值。</w:t>
      </w:r>
    </w:p>
    <w:p w14:paraId="256D255C"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Pr="00E75E10">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w:t>
      </w:r>
      <w:r w:rsidRPr="00E75E10">
        <w:rPr>
          <w:rFonts w:ascii="宋体" w:eastAsia="宋体" w:hAnsi="宋体" w:cs="宋体" w:hint="eastAsia"/>
          <w:color w:val="000000"/>
          <w:kern w:val="0"/>
          <w:sz w:val="24"/>
          <w:szCs w:val="24"/>
        </w:rPr>
        <w:t>处于未上市期间或流通受限的有价证券应区分如下情况处理：</w:t>
      </w:r>
    </w:p>
    <w:p w14:paraId="673EFD8E"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 xml:space="preserve">1）送股、转增股、配股和公开增发的新股，按估值日在证券交易所挂牌的同一股票的估值方法估值；该日无交易的，以最近一日的市价（收盘价）估值； </w:t>
      </w:r>
    </w:p>
    <w:p w14:paraId="76922732"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2）首次公开发行未上市的股票，采用估值技术确定公允价值；</w:t>
      </w:r>
    </w:p>
    <w:p w14:paraId="5FF6979B"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E75E10">
        <w:rPr>
          <w:rFonts w:ascii="宋体" w:eastAsia="宋体" w:hAnsi="宋体" w:cs="宋体" w:hint="eastAsia"/>
          <w:color w:val="000000"/>
          <w:kern w:val="0"/>
          <w:sz w:val="24"/>
          <w:szCs w:val="24"/>
        </w:rPr>
        <w:t>券</w:t>
      </w:r>
      <w:proofErr w:type="gramEnd"/>
      <w:r w:rsidRPr="00E75E10">
        <w:rPr>
          <w:rFonts w:ascii="宋体" w:eastAsia="宋体" w:hAnsi="宋体" w:cs="宋体" w:hint="eastAsia"/>
          <w:color w:val="000000"/>
          <w:kern w:val="0"/>
          <w:sz w:val="24"/>
          <w:szCs w:val="24"/>
        </w:rPr>
        <w:t>等流通受限股票，按监管机构或行业协会有关规定确定公允价值；</w:t>
      </w:r>
    </w:p>
    <w:p w14:paraId="12230BA0"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4）交易所未上市或未挂牌转让且不存在活跃市场的固定收益品种，应采用在当前情况下适用并且有足够可利用数据和其他信息支持的估值技术确定其公允价值。</w:t>
      </w:r>
    </w:p>
    <w:p w14:paraId="6581A555"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Pr="00E75E10">
        <w:rPr>
          <w:rFonts w:ascii="宋体" w:eastAsia="宋体" w:hAnsi="宋体" w:cs="宋体" w:hint="eastAsia"/>
          <w:color w:val="000000"/>
          <w:kern w:val="0"/>
          <w:sz w:val="24"/>
          <w:szCs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39B08E2A"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lastRenderedPageBreak/>
        <w:t>对全国银行间市场未上市或未挂牌转让且不存在活跃市场的固定收益品种，应采用在当前情况下适用并且有足够可利用数据和其他信息支持的估值技术确定其公允价值。</w:t>
      </w:r>
    </w:p>
    <w:p w14:paraId="454AA465"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sidRPr="00E75E10">
        <w:rPr>
          <w:rFonts w:ascii="宋体" w:eastAsia="宋体" w:hAnsi="宋体" w:cs="宋体" w:hint="eastAsia"/>
          <w:color w:val="000000"/>
          <w:kern w:val="0"/>
          <w:sz w:val="24"/>
          <w:szCs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B9186F0"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sidRPr="00E75E10">
        <w:rPr>
          <w:rFonts w:ascii="宋体" w:eastAsia="宋体" w:hAnsi="宋体" w:cs="宋体" w:hint="eastAsia"/>
          <w:color w:val="000000"/>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78F293A1"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sidRPr="00E75E10">
        <w:rPr>
          <w:rFonts w:ascii="宋体" w:eastAsia="宋体" w:hAnsi="宋体" w:cs="宋体" w:hint="eastAsia"/>
          <w:color w:val="000000"/>
          <w:kern w:val="0"/>
          <w:sz w:val="24"/>
          <w:szCs w:val="24"/>
        </w:rPr>
        <w:t>同一证券同时在两个或两个以上市场交易的，按证券所处的市场分别估值。</w:t>
      </w:r>
    </w:p>
    <w:p w14:paraId="0D167DA7"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sidRPr="00E75E10">
        <w:rPr>
          <w:rFonts w:ascii="宋体" w:eastAsia="宋体" w:hAnsi="宋体" w:cs="宋体" w:hint="eastAsia"/>
          <w:color w:val="000000"/>
          <w:kern w:val="0"/>
          <w:sz w:val="24"/>
          <w:szCs w:val="24"/>
        </w:rPr>
        <w:t>期货合约以估值当日结算价进行估值，估值当日无结算价的，且最近交易日后经济环境未发生重大变化的，采用最近交易日结算价估值。</w:t>
      </w:r>
    </w:p>
    <w:p w14:paraId="32DF3461"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sidRPr="00E75E10">
        <w:rPr>
          <w:rFonts w:ascii="宋体" w:eastAsia="宋体" w:hAnsi="宋体" w:cs="宋体" w:hint="eastAsia"/>
          <w:color w:val="000000"/>
          <w:kern w:val="0"/>
          <w:sz w:val="24"/>
          <w:szCs w:val="24"/>
        </w:rPr>
        <w:t>本基金投资股票期权，根据相关法律法规以及监管部门的规定估值。</w:t>
      </w:r>
    </w:p>
    <w:p w14:paraId="37E9365E"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w:t>
      </w:r>
      <w:r w:rsidRPr="00E75E10">
        <w:rPr>
          <w:rFonts w:ascii="宋体" w:eastAsia="宋体" w:hAnsi="宋体" w:cs="宋体" w:hint="eastAsia"/>
          <w:color w:val="000000"/>
          <w:kern w:val="0"/>
          <w:sz w:val="24"/>
          <w:szCs w:val="24"/>
        </w:rPr>
        <w:t>本基金投资存托凭证的估值核算，依照境内上市交易的股票执行。</w:t>
      </w:r>
    </w:p>
    <w:p w14:paraId="08D798C8"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w:t>
      </w:r>
      <w:r w:rsidRPr="00E75E10">
        <w:rPr>
          <w:rFonts w:ascii="宋体" w:eastAsia="宋体" w:hAnsi="宋体" w:cs="宋体" w:hint="eastAsia"/>
          <w:color w:val="000000"/>
          <w:kern w:val="0"/>
          <w:sz w:val="24"/>
          <w:szCs w:val="24"/>
        </w:rPr>
        <w:t>本基金参与融资和转融通证券出借业务，按照相关法律法规和行业协会的相关规定进行估值。</w:t>
      </w:r>
    </w:p>
    <w:p w14:paraId="520CE1F5"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w:t>
      </w:r>
      <w:r w:rsidRPr="00E75E10">
        <w:rPr>
          <w:rFonts w:ascii="宋体" w:eastAsia="宋体" w:hAnsi="宋体" w:cs="宋体" w:hint="eastAsia"/>
          <w:color w:val="000000"/>
          <w:kern w:val="0"/>
          <w:sz w:val="24"/>
          <w:szCs w:val="24"/>
        </w:rPr>
        <w:t>当发生大额申购或赎回情形时，基金管理人可以采用摆动定价机制，以确保基金估值的公平性。</w:t>
      </w:r>
    </w:p>
    <w:p w14:paraId="534561C6" w14:textId="77777777" w:rsidR="00E75E10" w:rsidRPr="00E75E10" w:rsidRDefault="00E75E10" w:rsidP="00055DD6">
      <w:pPr>
        <w:widowControl/>
        <w:spacing w:line="360" w:lineRule="auto"/>
        <w:ind w:right="28"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w:t>
      </w:r>
      <w:r w:rsidRPr="00E75E10">
        <w:rPr>
          <w:rFonts w:ascii="宋体" w:eastAsia="宋体" w:hAnsi="宋体" w:cs="宋体" w:hint="eastAsia"/>
          <w:color w:val="000000"/>
          <w:kern w:val="0"/>
          <w:sz w:val="24"/>
          <w:szCs w:val="24"/>
        </w:rPr>
        <w:t xml:space="preserve">如有确凿证据表明按上述方法进行估值不能客观反映其公允价值的，基金管理人可根据具体情况与基金托管人商定后，按最能反映公允价值的价格估值。 </w:t>
      </w:r>
    </w:p>
    <w:p w14:paraId="564CFA87" w14:textId="32756432" w:rsidR="00E75E10" w:rsidRDefault="00E75E10" w:rsidP="00055DD6">
      <w:pPr>
        <w:widowControl/>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w:t>
      </w:r>
      <w:r w:rsidRPr="00E75E10">
        <w:rPr>
          <w:rFonts w:ascii="宋体" w:eastAsia="宋体" w:hAnsi="宋体" w:cs="宋体" w:hint="eastAsia"/>
          <w:color w:val="000000"/>
          <w:kern w:val="0"/>
          <w:sz w:val="24"/>
          <w:szCs w:val="24"/>
        </w:rPr>
        <w:t>相关法律法规以及监管部门有强制规定的，从其规定。如有新增事项，按国家最新规定估值</w:t>
      </w:r>
      <w:bookmarkStart w:id="154" w:name="_Hlt88821719"/>
      <w:bookmarkStart w:id="155" w:name="_Hlt88900318"/>
      <w:bookmarkEnd w:id="154"/>
      <w:bookmarkEnd w:id="155"/>
      <w:r w:rsidR="001F2E4C">
        <w:rPr>
          <w:rFonts w:ascii="宋体" w:eastAsia="宋体" w:hAnsi="宋体" w:cs="宋体" w:hint="eastAsia"/>
          <w:color w:val="000000"/>
          <w:kern w:val="0"/>
          <w:sz w:val="24"/>
          <w:szCs w:val="24"/>
        </w:rPr>
        <w:t>。</w:t>
      </w:r>
    </w:p>
    <w:p w14:paraId="6233DF2A" w14:textId="77777777" w:rsidR="00E75E10" w:rsidRPr="00E75E10" w:rsidRDefault="00E75E10" w:rsidP="00055DD6">
      <w:pPr>
        <w:widowControl/>
        <w:spacing w:line="360" w:lineRule="auto"/>
        <w:ind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7B052B17" w14:textId="77777777" w:rsidR="00E75E10" w:rsidRPr="00055DD6" w:rsidRDefault="00E75E10" w:rsidP="00055DD6">
      <w:pPr>
        <w:widowControl/>
        <w:spacing w:line="360" w:lineRule="auto"/>
        <w:ind w:firstLineChars="200" w:firstLine="48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0531396"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56" w:name="_Toc477272429"/>
      <w:bookmarkStart w:id="157" w:name="_Toc477270385"/>
      <w:bookmarkStart w:id="158" w:name="_Toc22454458"/>
      <w:bookmarkEnd w:id="156"/>
      <w:bookmarkEnd w:id="157"/>
      <w:r>
        <w:rPr>
          <w:rFonts w:ascii="宋体" w:eastAsia="宋体" w:hAnsi="宋体" w:cs="宋体" w:hint="eastAsia"/>
          <w:color w:val="000000"/>
          <w:kern w:val="0"/>
          <w:sz w:val="24"/>
          <w:szCs w:val="24"/>
        </w:rPr>
        <w:t>（三）估值差错处理</w:t>
      </w:r>
      <w:bookmarkEnd w:id="158"/>
    </w:p>
    <w:p w14:paraId="5E230947"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基金管理人和基金托管人将采取必要、适当、合理的措施确保基金资产估值的准确性、及时性。当基金份额净值小数点后4位以内(含第4位)发生估值错误时，视为基金份额净值估值错误。</w:t>
      </w:r>
    </w:p>
    <w:p w14:paraId="0127D3F2"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基金合同的当事人应按照以下约定处理：</w:t>
      </w:r>
    </w:p>
    <w:p w14:paraId="6FFA94A6"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1、估值错误类型</w:t>
      </w:r>
    </w:p>
    <w:p w14:paraId="7B2584CF"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9650324"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上述估值错误的主要类型包括但不限于：资料申报差错、数据传输差错、数据计算差错、系统故障差错、下达指令差错等。</w:t>
      </w:r>
    </w:p>
    <w:p w14:paraId="6336655A"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2、估值错误处理原则</w:t>
      </w:r>
    </w:p>
    <w:p w14:paraId="38DB0F67"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6EAB6DD"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（2）估值错误的责任方对有关当事人的直接损失负责，不对间接损失负责，并且仅对估值错误的有关直接当事人负责，不对第三方负责。</w:t>
      </w:r>
    </w:p>
    <w:p w14:paraId="35760AF6"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（3）因估值错误而获得不当得利的当事人负有及时返还不当得利的义务。但估值错误责任方仍应对估值错误负责。如果由于获得不当得利的当事人</w:t>
      </w:r>
      <w:proofErr w:type="gramStart"/>
      <w:r>
        <w:rPr>
          <w:rFonts w:ascii="宋体" w:eastAsia="宋体" w:hAnsi="宋体" w:cs="宋体" w:hint="eastAsia"/>
          <w:color w:val="000000"/>
          <w:kern w:val="0"/>
          <w:sz w:val="24"/>
          <w:szCs w:val="24"/>
        </w:rPr>
        <w:t>不</w:t>
      </w:r>
      <w:proofErr w:type="gramEnd"/>
      <w:r>
        <w:rPr>
          <w:rFonts w:ascii="宋体" w:eastAsia="宋体" w:hAnsi="宋体" w:cs="宋体" w:hint="eastAsia"/>
          <w:color w:val="000000"/>
          <w:kern w:val="0"/>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C8F4E92"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（4）估值错误调整采用尽量恢复至假设未发生估值错误的正确情形的方式。</w:t>
      </w:r>
    </w:p>
    <w:p w14:paraId="70C5EA4A"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（5）按法律法规规定的其他原则处理估值错误。</w:t>
      </w:r>
    </w:p>
    <w:p w14:paraId="73B9FC03"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3、估值错误处理程序</w:t>
      </w:r>
    </w:p>
    <w:p w14:paraId="4105E4EB"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估值错误被发现后，有关的当事人应当及时进行处理，处理的程序如下：</w:t>
      </w:r>
    </w:p>
    <w:p w14:paraId="1A2BDF85"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（1）查明估值错误发生的原因，列明所有的当事人，并根据估值错误发生的原因确定估值错误的责任方；</w:t>
      </w:r>
    </w:p>
    <w:p w14:paraId="202AA41F"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（2）根据估值错误处理原则或当事人协商的方法对因估值错误造成的损失进行评估；</w:t>
      </w:r>
    </w:p>
    <w:p w14:paraId="1EE6F296"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（3）根据估值错误处理原则或当事人协商的方法由估值错误的责任方进行更正和赔偿损失；</w:t>
      </w:r>
    </w:p>
    <w:p w14:paraId="1CF5163F"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（4）根据估值错误处理的方法，需要修改基金登记</w:t>
      </w:r>
      <w:r w:rsidR="00E75E10">
        <w:rPr>
          <w:rFonts w:ascii="宋体" w:eastAsia="宋体" w:hAnsi="宋体" w:cs="宋体" w:hint="eastAsia"/>
          <w:color w:val="000000"/>
          <w:kern w:val="0"/>
          <w:sz w:val="24"/>
          <w:szCs w:val="24"/>
        </w:rPr>
        <w:t>结算</w:t>
      </w:r>
      <w:r>
        <w:rPr>
          <w:rFonts w:ascii="宋体" w:eastAsia="宋体" w:hAnsi="宋体" w:cs="宋体" w:hint="eastAsia"/>
          <w:color w:val="000000"/>
          <w:kern w:val="0"/>
          <w:sz w:val="24"/>
          <w:szCs w:val="24"/>
        </w:rPr>
        <w:t>机构交易数据的，由基金登记</w:t>
      </w:r>
      <w:r w:rsidR="00E75E10">
        <w:rPr>
          <w:rFonts w:ascii="宋体" w:eastAsia="宋体" w:hAnsi="宋体" w:cs="宋体" w:hint="eastAsia"/>
          <w:color w:val="000000"/>
          <w:kern w:val="0"/>
          <w:sz w:val="24"/>
          <w:szCs w:val="24"/>
        </w:rPr>
        <w:t>结算</w:t>
      </w:r>
      <w:r>
        <w:rPr>
          <w:rFonts w:ascii="宋体" w:eastAsia="宋体" w:hAnsi="宋体" w:cs="宋体" w:hint="eastAsia"/>
          <w:color w:val="000000"/>
          <w:kern w:val="0"/>
          <w:sz w:val="24"/>
          <w:szCs w:val="24"/>
        </w:rPr>
        <w:t>机构进行更正，并就估值错误的更正向有关当事人进行确认。</w:t>
      </w:r>
    </w:p>
    <w:p w14:paraId="016339BF"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4、基金份额净值估值错误处理的方法如下：</w:t>
      </w:r>
    </w:p>
    <w:p w14:paraId="56AAF31B"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（1）基金份额净值计算出现错误时，基金管理人应当立即予以纠正，通报基金托管人，并采取合理的措施防止损失进一步扩大。</w:t>
      </w:r>
    </w:p>
    <w:p w14:paraId="773D3EC7"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（2）错误偏差达到基金份额净值的0.25%时，基金管理人应当通报基金托管人并报中国证监会备案；错误偏差达到基金份额净值的0.5</w:t>
      </w:r>
      <w:r w:rsidR="00E75E10">
        <w:rPr>
          <w:rFonts w:ascii="宋体" w:eastAsia="宋体" w:hAnsi="宋体" w:cs="宋体"/>
          <w:color w:val="000000"/>
          <w:kern w:val="0"/>
          <w:sz w:val="24"/>
          <w:szCs w:val="24"/>
        </w:rPr>
        <w:t>0</w:t>
      </w:r>
      <w:r>
        <w:rPr>
          <w:rFonts w:ascii="宋体" w:eastAsia="宋体" w:hAnsi="宋体" w:cs="宋体" w:hint="eastAsia"/>
          <w:color w:val="000000"/>
          <w:kern w:val="0"/>
          <w:sz w:val="24"/>
          <w:szCs w:val="24"/>
        </w:rPr>
        <w:t>%时，基金管理人应当公告，并报中国证监会备案。</w:t>
      </w:r>
    </w:p>
    <w:p w14:paraId="6CF50F09" w14:textId="052A9CFB"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（3）前述内容如法律法规或监管机关另有规定的，从其规定处理。如果行业另有通行做法，基金管理人和基金托管人应本着平等和保护基金份额持有人利益的原则进行协商。</w:t>
      </w:r>
      <w:bookmarkStart w:id="159" w:name="_Toc22454459"/>
      <w:bookmarkStart w:id="160" w:name="_Toc477270386"/>
      <w:bookmarkStart w:id="161" w:name="_Toc48703910"/>
      <w:bookmarkStart w:id="162" w:name="_Toc477272430"/>
      <w:bookmarkEnd w:id="159"/>
      <w:bookmarkEnd w:id="160"/>
      <w:bookmarkEnd w:id="161"/>
      <w:bookmarkEnd w:id="162"/>
    </w:p>
    <w:p w14:paraId="104EC50F"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r>
        <w:rPr>
          <w:rFonts w:ascii="宋体" w:eastAsia="宋体" w:hAnsi="宋体" w:cs="宋体" w:hint="eastAsia"/>
          <w:color w:val="000000"/>
          <w:kern w:val="0"/>
          <w:sz w:val="24"/>
          <w:szCs w:val="24"/>
        </w:rPr>
        <w:t>（四）基金账册的建立</w:t>
      </w:r>
    </w:p>
    <w:p w14:paraId="38EA7C6F"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lastRenderedPageBreak/>
        <w:t>基金管理人和基金托管人在《基金合同》生效后，应按照双方约定的同一记账方法和会计处理原则，分别独立地设置、登记和保管本基金的全套账册，对双方各自的账册定期进行核对，互相监督，以保证基金资产的安全。若双方对会计处理方法存在分歧，应以基金管理人的处理方法为准。</w:t>
      </w:r>
    </w:p>
    <w:p w14:paraId="16B479B4"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经对账发现双方的账目存在不符的，基金管理人和基金托管人必须及时查明原因并纠正，确保核对一致。若当日核对不符，暂时无法查找到错账的原因而影响到基金净值信息的计算和公告的，以基金管理人的账册为准。</w:t>
      </w:r>
    </w:p>
    <w:p w14:paraId="24ADBDE4"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63" w:name="_Toc477270387"/>
      <w:bookmarkStart w:id="164" w:name="_Toc22454460"/>
      <w:bookmarkStart w:id="165" w:name="_Toc477272431"/>
      <w:bookmarkStart w:id="166" w:name="_Toc48703911"/>
      <w:bookmarkEnd w:id="163"/>
      <w:bookmarkEnd w:id="164"/>
      <w:bookmarkEnd w:id="165"/>
      <w:bookmarkEnd w:id="166"/>
      <w:r>
        <w:rPr>
          <w:rFonts w:ascii="宋体" w:eastAsia="宋体" w:hAnsi="宋体" w:cs="宋体" w:hint="eastAsia"/>
          <w:color w:val="000000"/>
          <w:kern w:val="0"/>
          <w:sz w:val="24"/>
          <w:szCs w:val="24"/>
        </w:rPr>
        <w:t>（五）基金财务报表与定期报告的编制和复核</w:t>
      </w:r>
      <w:bookmarkStart w:id="167" w:name="_Hlt89687912"/>
      <w:bookmarkEnd w:id="167"/>
    </w:p>
    <w:p w14:paraId="385AA2F4" w14:textId="77777777" w:rsidR="00EB48E5" w:rsidRDefault="001F2E4C" w:rsidP="00055DD6">
      <w:pPr>
        <w:widowControl/>
        <w:spacing w:line="360" w:lineRule="auto"/>
        <w:ind w:firstLine="480"/>
        <w:rPr>
          <w:rFonts w:ascii="宋体" w:eastAsia="宋体" w:hAnsi="宋体" w:cs="宋体"/>
          <w:color w:val="000000"/>
          <w:kern w:val="0"/>
          <w:sz w:val="24"/>
          <w:szCs w:val="24"/>
        </w:rPr>
      </w:pPr>
      <w:bookmarkStart w:id="168" w:name="_Hlk104479808"/>
      <w:r>
        <w:rPr>
          <w:rFonts w:ascii="宋体" w:eastAsia="宋体" w:hAnsi="宋体" w:cs="宋体" w:hint="eastAsia"/>
          <w:color w:val="000000"/>
          <w:kern w:val="0"/>
          <w:sz w:val="24"/>
          <w:szCs w:val="24"/>
        </w:rPr>
        <w:t>1、财务报表与定期报告的编制</w:t>
      </w:r>
    </w:p>
    <w:p w14:paraId="082A3D4A"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基金财务报表与定期报告由基金管理人编制，基金托管人复核。</w:t>
      </w:r>
    </w:p>
    <w:p w14:paraId="577E00C5"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2、财务报表与定期报告的复核</w:t>
      </w:r>
    </w:p>
    <w:p w14:paraId="17F06AF2"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基金托管人在收到基金管理人编制的基金财务报表与定期报告后，进行独立的复核。核对不符时，应及时通知基金管理人共同查出原因，进行调整，调整以双方认可的账务处理方式为准。</w:t>
      </w:r>
    </w:p>
    <w:p w14:paraId="7D439689"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3、财务报表与定期报告的编制与复核时间安排</w:t>
      </w:r>
    </w:p>
    <w:p w14:paraId="24F2F0B2" w14:textId="77777777" w:rsidR="00EB48E5" w:rsidRDefault="001F2E4C" w:rsidP="00055DD6">
      <w:pPr>
        <w:widowControl/>
        <w:spacing w:line="360" w:lineRule="auto"/>
        <w:ind w:firstLine="482"/>
        <w:rPr>
          <w:rFonts w:ascii="宋体" w:eastAsia="宋体" w:hAnsi="宋体" w:cs="宋体"/>
          <w:color w:val="000000"/>
          <w:kern w:val="0"/>
          <w:sz w:val="24"/>
          <w:szCs w:val="24"/>
        </w:rPr>
      </w:pPr>
      <w:r>
        <w:rPr>
          <w:rFonts w:ascii="宋体" w:eastAsia="宋体" w:hAnsi="宋体" w:cs="宋体" w:hint="eastAsia"/>
          <w:color w:val="000000"/>
          <w:kern w:val="0"/>
          <w:sz w:val="24"/>
          <w:szCs w:val="24"/>
        </w:rPr>
        <w:t>基金管理人、基金托管人应当在每月结束后5个工作日内完成月度财务报表的编制及复核；在季度结束之日起15个工作日内完成基金季度报告的编制及复核并予以公告；在上半年结束之日起两个月内完成基金中期报告的编制及复核并予以公告；在每年结束之日起三个月内完成基金年度报告的编制及复核并予以公告。基金托管人在复核过程中，发现双方的财务报表或定期报告存在不符时，基金管理人和基金托管人应共同查明原因，进行调整，调整以双方认可的账务处理方式为准。基金年度报告中的财务会计报告应当经过符合《中华人民共和国证券法》规定的会计师事务所审计。基金合同生效不足两个月的，基金管理人可以不编制当期季度报告、中期报告或者年度报告。</w:t>
      </w:r>
    </w:p>
    <w:p w14:paraId="170897EF" w14:textId="77777777" w:rsidR="004553FC" w:rsidRPr="004553FC" w:rsidRDefault="004553FC" w:rsidP="00055DD6">
      <w:pPr>
        <w:widowControl/>
        <w:spacing w:line="360" w:lineRule="auto"/>
        <w:ind w:firstLine="482"/>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t>（六）暂停估值的情形</w:t>
      </w:r>
    </w:p>
    <w:p w14:paraId="3FB9794D" w14:textId="77777777" w:rsidR="004553FC" w:rsidRPr="004553FC" w:rsidRDefault="004553FC" w:rsidP="00055DD6">
      <w:pPr>
        <w:widowControl/>
        <w:spacing w:line="360" w:lineRule="auto"/>
        <w:ind w:firstLine="482"/>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t>1、基金投资所涉及的证券交易市场遇法定节假日或因其他原因暂停营业时；</w:t>
      </w:r>
    </w:p>
    <w:p w14:paraId="496F51C5" w14:textId="77777777" w:rsidR="004553FC" w:rsidRPr="004553FC" w:rsidRDefault="004553FC" w:rsidP="00055DD6">
      <w:pPr>
        <w:widowControl/>
        <w:spacing w:line="360" w:lineRule="auto"/>
        <w:ind w:firstLine="482"/>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t>2、因不可抗力致使基金管理人、基金托管人无法准确评估基金资产价值时；</w:t>
      </w:r>
    </w:p>
    <w:p w14:paraId="4EA0C164" w14:textId="77777777" w:rsidR="004553FC" w:rsidRPr="004553FC" w:rsidRDefault="004553FC" w:rsidP="00055DD6">
      <w:pPr>
        <w:widowControl/>
        <w:spacing w:line="360" w:lineRule="auto"/>
        <w:ind w:firstLine="482"/>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t>3、当特定资产占前一估值日基金资产净值50%以上的，经与基金托管人协商确认后，基金管理人应当暂停估值；</w:t>
      </w:r>
    </w:p>
    <w:p w14:paraId="0827F678" w14:textId="77777777" w:rsidR="004553FC" w:rsidRPr="004553FC" w:rsidRDefault="004553FC" w:rsidP="00055DD6">
      <w:pPr>
        <w:widowControl/>
        <w:spacing w:line="360" w:lineRule="auto"/>
        <w:ind w:firstLine="482"/>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lastRenderedPageBreak/>
        <w:t>4、基金所投资的目标ETF发生暂停估值、暂停公告基金份额净值的情形；</w:t>
      </w:r>
    </w:p>
    <w:p w14:paraId="0027049B" w14:textId="77777777" w:rsidR="004553FC" w:rsidRPr="004553FC" w:rsidRDefault="004553FC" w:rsidP="00055DD6">
      <w:pPr>
        <w:widowControl/>
        <w:spacing w:line="360" w:lineRule="auto"/>
        <w:ind w:firstLine="482"/>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t>5、中国证监会和基金合同认定的其它情形。</w:t>
      </w:r>
    </w:p>
    <w:p w14:paraId="73E86BD2" w14:textId="77777777" w:rsidR="004553FC" w:rsidRPr="004553FC" w:rsidRDefault="004553FC" w:rsidP="00055DD6">
      <w:pPr>
        <w:widowControl/>
        <w:spacing w:line="360" w:lineRule="auto"/>
        <w:ind w:firstLine="482"/>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t>（七）实施</w:t>
      </w:r>
      <w:proofErr w:type="gramStart"/>
      <w:r w:rsidRPr="004553FC">
        <w:rPr>
          <w:rFonts w:ascii="宋体" w:eastAsia="宋体" w:hAnsi="宋体" w:cs="宋体" w:hint="eastAsia"/>
          <w:color w:val="000000"/>
          <w:kern w:val="0"/>
          <w:sz w:val="24"/>
          <w:szCs w:val="24"/>
        </w:rPr>
        <w:t>侧袋机制</w:t>
      </w:r>
      <w:proofErr w:type="gramEnd"/>
      <w:r w:rsidRPr="004553FC">
        <w:rPr>
          <w:rFonts w:ascii="宋体" w:eastAsia="宋体" w:hAnsi="宋体" w:cs="宋体" w:hint="eastAsia"/>
          <w:color w:val="000000"/>
          <w:kern w:val="0"/>
          <w:sz w:val="24"/>
          <w:szCs w:val="24"/>
        </w:rPr>
        <w:t>期间的基金资产估值</w:t>
      </w:r>
    </w:p>
    <w:p w14:paraId="31AF5B7C" w14:textId="29843D4E" w:rsidR="00EB48E5" w:rsidRDefault="004553FC" w:rsidP="00055DD6">
      <w:pPr>
        <w:widowControl/>
        <w:spacing w:line="360" w:lineRule="auto"/>
        <w:ind w:firstLine="480"/>
        <w:rPr>
          <w:rFonts w:ascii="宋体" w:eastAsia="宋体" w:hAnsi="宋体" w:cs="宋体"/>
          <w:color w:val="000000"/>
          <w:kern w:val="0"/>
          <w:szCs w:val="21"/>
        </w:rPr>
      </w:pPr>
      <w:r w:rsidRPr="004553FC">
        <w:rPr>
          <w:rFonts w:ascii="宋体" w:eastAsia="宋体" w:hAnsi="宋体" w:cs="宋体" w:hint="eastAsia"/>
          <w:color w:val="000000"/>
          <w:kern w:val="0"/>
          <w:sz w:val="24"/>
          <w:szCs w:val="24"/>
        </w:rPr>
        <w:t>本基金实施</w:t>
      </w:r>
      <w:proofErr w:type="gramStart"/>
      <w:r w:rsidRPr="004553FC">
        <w:rPr>
          <w:rFonts w:ascii="宋体" w:eastAsia="宋体" w:hAnsi="宋体" w:cs="宋体" w:hint="eastAsia"/>
          <w:color w:val="000000"/>
          <w:kern w:val="0"/>
          <w:sz w:val="24"/>
          <w:szCs w:val="24"/>
        </w:rPr>
        <w:t>侧袋机制</w:t>
      </w:r>
      <w:proofErr w:type="gramEnd"/>
      <w:r w:rsidRPr="004553FC">
        <w:rPr>
          <w:rFonts w:ascii="宋体" w:eastAsia="宋体" w:hAnsi="宋体" w:cs="宋体" w:hint="eastAsia"/>
          <w:color w:val="000000"/>
          <w:kern w:val="0"/>
          <w:sz w:val="24"/>
          <w:szCs w:val="24"/>
        </w:rPr>
        <w:t>的，应根据本部分的约定</w:t>
      </w:r>
      <w:proofErr w:type="gramStart"/>
      <w:r w:rsidRPr="004553FC">
        <w:rPr>
          <w:rFonts w:ascii="宋体" w:eastAsia="宋体" w:hAnsi="宋体" w:cs="宋体" w:hint="eastAsia"/>
          <w:color w:val="000000"/>
          <w:kern w:val="0"/>
          <w:sz w:val="24"/>
          <w:szCs w:val="24"/>
        </w:rPr>
        <w:t>对主袋账户</w:t>
      </w:r>
      <w:proofErr w:type="gramEnd"/>
      <w:r w:rsidRPr="004553FC">
        <w:rPr>
          <w:rFonts w:ascii="宋体" w:eastAsia="宋体" w:hAnsi="宋体" w:cs="宋体" w:hint="eastAsia"/>
          <w:color w:val="000000"/>
          <w:kern w:val="0"/>
          <w:sz w:val="24"/>
          <w:szCs w:val="24"/>
        </w:rPr>
        <w:t>资产进行估值并</w:t>
      </w:r>
      <w:proofErr w:type="gramStart"/>
      <w:r>
        <w:rPr>
          <w:rFonts w:ascii="宋体" w:eastAsia="宋体" w:hAnsi="宋体" w:cs="宋体" w:hint="eastAsia"/>
          <w:color w:val="000000"/>
          <w:kern w:val="0"/>
          <w:sz w:val="24"/>
          <w:szCs w:val="24"/>
        </w:rPr>
        <w:t>披露主袋账户</w:t>
      </w:r>
      <w:proofErr w:type="gramEnd"/>
      <w:r>
        <w:rPr>
          <w:rFonts w:ascii="宋体" w:eastAsia="宋体" w:hAnsi="宋体" w:cs="宋体" w:hint="eastAsia"/>
          <w:color w:val="000000"/>
          <w:kern w:val="0"/>
          <w:sz w:val="24"/>
          <w:szCs w:val="24"/>
        </w:rPr>
        <w:t>的基金资产净值和份额净值，暂停</w:t>
      </w:r>
      <w:proofErr w:type="gramStart"/>
      <w:r>
        <w:rPr>
          <w:rFonts w:ascii="宋体" w:eastAsia="宋体" w:hAnsi="宋体" w:cs="宋体" w:hint="eastAsia"/>
          <w:color w:val="000000"/>
          <w:kern w:val="0"/>
          <w:sz w:val="24"/>
          <w:szCs w:val="24"/>
        </w:rPr>
        <w:t>披露侧袋账户</w:t>
      </w:r>
      <w:proofErr w:type="gramEnd"/>
      <w:r>
        <w:rPr>
          <w:rFonts w:ascii="宋体" w:eastAsia="宋体" w:hAnsi="宋体" w:cs="宋体" w:hint="eastAsia"/>
          <w:color w:val="000000"/>
          <w:kern w:val="0"/>
          <w:sz w:val="24"/>
          <w:szCs w:val="24"/>
        </w:rPr>
        <w:t>份额净值</w:t>
      </w:r>
      <w:r w:rsidR="001F2E4C">
        <w:rPr>
          <w:rFonts w:ascii="宋体" w:eastAsia="宋体" w:hAnsi="宋体" w:cs="宋体" w:hint="eastAsia"/>
          <w:color w:val="000000"/>
          <w:kern w:val="0"/>
          <w:sz w:val="24"/>
          <w:szCs w:val="24"/>
        </w:rPr>
        <w:t>。</w:t>
      </w:r>
    </w:p>
    <w:p w14:paraId="2F5578B8" w14:textId="77777777" w:rsidR="00EB48E5" w:rsidRDefault="001F2E4C" w:rsidP="00055DD6">
      <w:pPr>
        <w:pStyle w:val="1"/>
        <w:spacing w:line="360" w:lineRule="auto"/>
        <w:jc w:val="center"/>
        <w:rPr>
          <w:color w:val="000000"/>
          <w:kern w:val="0"/>
          <w:sz w:val="30"/>
          <w:szCs w:val="30"/>
        </w:rPr>
      </w:pPr>
      <w:bookmarkStart w:id="169" w:name="_Toc375230486"/>
      <w:bookmarkStart w:id="170" w:name="_Toc125361081"/>
      <w:bookmarkStart w:id="171" w:name="_Toc124749233"/>
      <w:bookmarkStart w:id="172" w:name="_Toc124749944"/>
      <w:bookmarkStart w:id="173" w:name="_Toc477274818"/>
      <w:bookmarkStart w:id="174" w:name="_Toc123626175"/>
      <w:bookmarkStart w:id="175" w:name="_Toc7095"/>
      <w:bookmarkEnd w:id="168"/>
      <w:bookmarkEnd w:id="169"/>
      <w:bookmarkEnd w:id="170"/>
      <w:bookmarkEnd w:id="171"/>
      <w:bookmarkEnd w:id="172"/>
      <w:bookmarkEnd w:id="173"/>
      <w:bookmarkEnd w:id="174"/>
      <w:r>
        <w:rPr>
          <w:rFonts w:hint="eastAsia"/>
          <w:color w:val="000000"/>
          <w:kern w:val="0"/>
          <w:sz w:val="30"/>
          <w:szCs w:val="30"/>
        </w:rPr>
        <w:t>九、基金收益分配</w:t>
      </w:r>
      <w:bookmarkEnd w:id="175"/>
    </w:p>
    <w:p w14:paraId="7D04E80F"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176" w:name="_Toc477272433"/>
      <w:bookmarkStart w:id="177" w:name="_Toc22454462"/>
      <w:bookmarkStart w:id="178" w:name="_Toc477270389"/>
      <w:bookmarkStart w:id="179" w:name="_Toc48703913"/>
      <w:bookmarkEnd w:id="176"/>
      <w:bookmarkEnd w:id="177"/>
      <w:bookmarkEnd w:id="178"/>
      <w:bookmarkEnd w:id="179"/>
      <w:r>
        <w:rPr>
          <w:rFonts w:ascii="宋体" w:eastAsia="宋体" w:hAnsi="宋体" w:cs="宋体" w:hint="eastAsia"/>
          <w:color w:val="000000"/>
          <w:kern w:val="0"/>
          <w:sz w:val="24"/>
        </w:rPr>
        <w:t>（一）</w:t>
      </w:r>
      <w:r>
        <w:rPr>
          <w:rFonts w:ascii="宋体" w:eastAsia="宋体" w:hAnsi="宋体" w:cs="宋体" w:hint="eastAsia"/>
          <w:bCs/>
          <w:color w:val="000000"/>
          <w:kern w:val="0"/>
          <w:sz w:val="24"/>
          <w:szCs w:val="24"/>
        </w:rPr>
        <w:t>基金</w:t>
      </w:r>
      <w:r>
        <w:rPr>
          <w:rFonts w:ascii="宋体" w:eastAsia="宋体" w:hAnsi="宋体" w:cs="宋体" w:hint="eastAsia"/>
          <w:color w:val="000000"/>
          <w:kern w:val="0"/>
          <w:sz w:val="24"/>
        </w:rPr>
        <w:t>收益分配的原则</w:t>
      </w:r>
    </w:p>
    <w:p w14:paraId="404770A6" w14:textId="77777777" w:rsidR="00C526B5" w:rsidRPr="00C526B5" w:rsidRDefault="00C526B5" w:rsidP="00055DD6">
      <w:pPr>
        <w:widowControl/>
        <w:spacing w:line="360" w:lineRule="auto"/>
        <w:ind w:firstLine="482"/>
        <w:textAlignment w:val="baseline"/>
        <w:rPr>
          <w:rFonts w:ascii="宋体" w:eastAsia="宋体" w:hAnsi="宋体" w:cs="宋体"/>
          <w:color w:val="000000"/>
          <w:kern w:val="0"/>
          <w:sz w:val="24"/>
          <w:szCs w:val="24"/>
        </w:rPr>
      </w:pPr>
      <w:bookmarkStart w:id="180" w:name="_Hlt80958353"/>
      <w:bookmarkStart w:id="181" w:name="_Toc375230487"/>
      <w:bookmarkStart w:id="182" w:name="_Toc375229556"/>
      <w:bookmarkEnd w:id="180"/>
      <w:bookmarkEnd w:id="181"/>
      <w:bookmarkEnd w:id="182"/>
      <w:r w:rsidRPr="00C526B5">
        <w:rPr>
          <w:rFonts w:ascii="宋体" w:eastAsia="宋体" w:hAnsi="宋体" w:cs="宋体" w:hint="eastAsia"/>
          <w:color w:val="000000"/>
          <w:kern w:val="0"/>
          <w:sz w:val="24"/>
          <w:szCs w:val="24"/>
        </w:rPr>
        <w:t>1、在符合有关基金分红条件的前提下，基金管理人可以根据实际情况进行收益分配，具体分配方案以公告为准。若《基金合同》生效不满3个月可不进行收益分配；</w:t>
      </w:r>
    </w:p>
    <w:p w14:paraId="0FB96B0C" w14:textId="77777777" w:rsidR="00C526B5" w:rsidRPr="00C526B5" w:rsidRDefault="00C526B5" w:rsidP="00055DD6">
      <w:pPr>
        <w:widowControl/>
        <w:spacing w:line="360" w:lineRule="auto"/>
        <w:ind w:firstLine="482"/>
        <w:textAlignment w:val="baseline"/>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2、本基金收益分配方式分两种：现金分红与红利再投资，投资者可选择现金红利或将现金红利自动转为对应类别的基金份额进行再投资；若投资者不选择，本基金默认的收益分配方式是现金分红；</w:t>
      </w:r>
    </w:p>
    <w:p w14:paraId="574C5D8F" w14:textId="77777777" w:rsidR="00C526B5" w:rsidRPr="00C526B5" w:rsidRDefault="00C526B5" w:rsidP="00055DD6">
      <w:pPr>
        <w:widowControl/>
        <w:spacing w:line="360" w:lineRule="auto"/>
        <w:ind w:firstLine="482"/>
        <w:textAlignment w:val="baseline"/>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3、基金收益分配后各类基金份额净值不能低于面值；即基金收益分配基准日的各类基金份额净值减去每单位该类基金份额收益分配金额后不能低于面值；</w:t>
      </w:r>
    </w:p>
    <w:p w14:paraId="27AE2B9D" w14:textId="77777777" w:rsidR="00C526B5" w:rsidRPr="00C526B5" w:rsidRDefault="00C526B5" w:rsidP="00055DD6">
      <w:pPr>
        <w:widowControl/>
        <w:spacing w:line="360" w:lineRule="auto"/>
        <w:ind w:firstLine="482"/>
        <w:textAlignment w:val="baseline"/>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4、由于本基金A类基金份额和C类基金份额费用收取不同，不同类别基金份额对应的可供分配收益将有所不同，基金管理人可对各类别基金份额分别制定收益分配方案。本基金同一类别的每一基金份额享有同等分配权；</w:t>
      </w:r>
    </w:p>
    <w:p w14:paraId="5FCBF8C1" w14:textId="77777777" w:rsidR="00C526B5" w:rsidRPr="00C526B5" w:rsidRDefault="00C526B5" w:rsidP="00055DD6">
      <w:pPr>
        <w:widowControl/>
        <w:spacing w:line="360" w:lineRule="auto"/>
        <w:ind w:firstLine="482"/>
        <w:textAlignment w:val="baseline"/>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5、法律法规或监管机关另有规定的，从其规定。</w:t>
      </w:r>
    </w:p>
    <w:p w14:paraId="57A26981" w14:textId="09B096B4" w:rsidR="00EB48E5" w:rsidRDefault="00C526B5" w:rsidP="00055DD6">
      <w:pPr>
        <w:widowControl/>
        <w:spacing w:line="360" w:lineRule="auto"/>
        <w:ind w:firstLine="54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在符合法律法规及基金合同约定，并对基金份额持有人利益无实质性不利影响的前提下，经与基金托管人协商一致并履行适当程序后，基金管理人可对基金收益分配原则和支付方式进行调整，无需召开基金份额持有人大会审议</w:t>
      </w:r>
      <w:r w:rsidR="00E75E10" w:rsidRPr="00E75E10">
        <w:rPr>
          <w:rFonts w:ascii="宋体" w:eastAsia="宋体" w:hAnsi="宋体" w:cs="宋体" w:hint="eastAsia"/>
          <w:color w:val="000000"/>
          <w:kern w:val="0"/>
          <w:sz w:val="24"/>
          <w:szCs w:val="24"/>
        </w:rPr>
        <w:t>。</w:t>
      </w:r>
    </w:p>
    <w:p w14:paraId="0CB663E4" w14:textId="569228D8" w:rsidR="00EB48E5" w:rsidRDefault="001F2E4C" w:rsidP="00055DD6">
      <w:pPr>
        <w:widowControl/>
        <w:spacing w:line="360" w:lineRule="auto"/>
        <w:ind w:firstLine="540"/>
        <w:rPr>
          <w:rFonts w:ascii="宋体" w:eastAsia="宋体" w:hAnsi="宋体" w:cs="宋体"/>
          <w:color w:val="000000"/>
          <w:kern w:val="0"/>
          <w:szCs w:val="21"/>
        </w:rPr>
      </w:pPr>
      <w:r>
        <w:rPr>
          <w:rFonts w:ascii="宋体" w:eastAsia="宋体" w:hAnsi="宋体" w:cs="宋体" w:hint="eastAsia"/>
          <w:color w:val="000000"/>
          <w:kern w:val="0"/>
          <w:sz w:val="24"/>
          <w:szCs w:val="24"/>
        </w:rPr>
        <w:t>（二）基金收益分配方案</w:t>
      </w:r>
    </w:p>
    <w:p w14:paraId="6F7D8195" w14:textId="04B1E8FB" w:rsidR="00E75E10" w:rsidRDefault="00E75E10" w:rsidP="00055DD6">
      <w:pPr>
        <w:widowControl/>
        <w:spacing w:line="360" w:lineRule="auto"/>
        <w:ind w:firstLine="54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基金收益分配方案中应载明截至收益分配基准日的可供分配利润、基金收益分配对象、分配时间、分配数额、分配方式等内容。</w:t>
      </w:r>
    </w:p>
    <w:p w14:paraId="3CE129EA" w14:textId="77777777" w:rsidR="00E75E10" w:rsidRPr="00E75E10" w:rsidRDefault="00E75E10" w:rsidP="00055DD6">
      <w:pPr>
        <w:widowControl/>
        <w:spacing w:line="360" w:lineRule="auto"/>
        <w:ind w:firstLine="540"/>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E75E10">
        <w:rPr>
          <w:rFonts w:ascii="宋体" w:eastAsia="宋体" w:hAnsi="宋体" w:cs="宋体" w:hint="eastAsia"/>
          <w:color w:val="000000"/>
          <w:kern w:val="0"/>
          <w:sz w:val="24"/>
          <w:szCs w:val="24"/>
        </w:rPr>
        <w:t>收益分配方案的确定、公告与实施</w:t>
      </w:r>
    </w:p>
    <w:p w14:paraId="2511C85B" w14:textId="77777777" w:rsidR="00E75E10" w:rsidRPr="00E75E10" w:rsidRDefault="00E75E10" w:rsidP="00055DD6">
      <w:pPr>
        <w:widowControl/>
        <w:spacing w:line="360" w:lineRule="auto"/>
        <w:ind w:firstLine="54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t>本基金收益分配方案由基金管理人拟定，并由基金托管人复核，依照《信息披露办法》的有关规定在规定媒介公告。</w:t>
      </w:r>
    </w:p>
    <w:p w14:paraId="36401670" w14:textId="77777777" w:rsidR="00EB48E5" w:rsidRDefault="00E75E10" w:rsidP="00055DD6">
      <w:pPr>
        <w:widowControl/>
        <w:spacing w:line="360" w:lineRule="auto"/>
        <w:ind w:firstLine="540"/>
        <w:rPr>
          <w:rFonts w:ascii="宋体" w:eastAsia="宋体" w:hAnsi="宋体" w:cs="宋体"/>
          <w:color w:val="000000"/>
          <w:kern w:val="0"/>
          <w:sz w:val="24"/>
          <w:szCs w:val="24"/>
        </w:rPr>
      </w:pPr>
      <w:r w:rsidRPr="00E75E10">
        <w:rPr>
          <w:rFonts w:ascii="宋体" w:eastAsia="宋体" w:hAnsi="宋体" w:cs="宋体" w:hint="eastAsia"/>
          <w:color w:val="000000"/>
          <w:kern w:val="0"/>
          <w:sz w:val="24"/>
          <w:szCs w:val="24"/>
        </w:rPr>
        <w:lastRenderedPageBreak/>
        <w:t>法律法规或监管机关另有规定的，从其规定。</w:t>
      </w:r>
    </w:p>
    <w:p w14:paraId="53A9962F" w14:textId="77777777" w:rsidR="00E75E10" w:rsidRPr="00E75E10" w:rsidRDefault="00E75E10" w:rsidP="00055DD6">
      <w:pPr>
        <w:widowControl/>
        <w:spacing w:line="360" w:lineRule="auto"/>
        <w:ind w:firstLine="540"/>
        <w:rPr>
          <w:rFonts w:ascii="宋体" w:eastAsia="宋体" w:hAnsi="宋体" w:cs="宋体"/>
          <w:color w:val="000000"/>
          <w:kern w:val="0"/>
          <w:sz w:val="27"/>
          <w:szCs w:val="27"/>
        </w:rPr>
      </w:pPr>
    </w:p>
    <w:p w14:paraId="2BF37E90" w14:textId="77777777" w:rsidR="00EB48E5" w:rsidRDefault="001F2E4C" w:rsidP="00055DD6">
      <w:pPr>
        <w:pStyle w:val="1"/>
        <w:spacing w:line="360" w:lineRule="auto"/>
        <w:jc w:val="center"/>
        <w:rPr>
          <w:color w:val="000000"/>
          <w:kern w:val="0"/>
          <w:szCs w:val="21"/>
        </w:rPr>
      </w:pPr>
      <w:bookmarkStart w:id="183" w:name="_Toc477274819"/>
      <w:bookmarkStart w:id="184" w:name="_Toc375230492"/>
      <w:bookmarkStart w:id="185" w:name="_Toc26865"/>
      <w:bookmarkEnd w:id="183"/>
      <w:r>
        <w:rPr>
          <w:rFonts w:hint="eastAsia"/>
          <w:color w:val="000000"/>
          <w:kern w:val="0"/>
          <w:sz w:val="30"/>
          <w:szCs w:val="30"/>
        </w:rPr>
        <w:t>十、</w:t>
      </w:r>
      <w:bookmarkStart w:id="186" w:name="_Toc466788861"/>
      <w:bookmarkStart w:id="187" w:name="_Toc375230493"/>
      <w:bookmarkStart w:id="188" w:name="_Toc124749234"/>
      <w:bookmarkStart w:id="189" w:name="_Toc22454465"/>
      <w:bookmarkStart w:id="190" w:name="_Toc125361082"/>
      <w:bookmarkStart w:id="191" w:name="_Toc123626176"/>
      <w:bookmarkStart w:id="192" w:name="_Toc523830002"/>
      <w:bookmarkStart w:id="193" w:name="_Toc124749945"/>
      <w:bookmarkStart w:id="194" w:name="_Toc48703916"/>
      <w:bookmarkEnd w:id="184"/>
      <w:bookmarkEnd w:id="186"/>
      <w:bookmarkEnd w:id="187"/>
      <w:bookmarkEnd w:id="188"/>
      <w:bookmarkEnd w:id="189"/>
      <w:bookmarkEnd w:id="190"/>
      <w:bookmarkEnd w:id="191"/>
      <w:bookmarkEnd w:id="192"/>
      <w:bookmarkEnd w:id="193"/>
      <w:bookmarkEnd w:id="194"/>
      <w:r>
        <w:rPr>
          <w:rFonts w:hint="eastAsia"/>
          <w:color w:val="000000"/>
          <w:kern w:val="0"/>
          <w:sz w:val="30"/>
          <w:szCs w:val="30"/>
        </w:rPr>
        <w:t>信息披露</w:t>
      </w:r>
      <w:bookmarkStart w:id="195" w:name="_Hlt89687670"/>
      <w:bookmarkEnd w:id="185"/>
      <w:bookmarkEnd w:id="195"/>
    </w:p>
    <w:p w14:paraId="374B2CF6" w14:textId="77777777" w:rsidR="00EB48E5" w:rsidRDefault="001F2E4C" w:rsidP="00055DD6">
      <w:pPr>
        <w:widowControl/>
        <w:spacing w:line="360" w:lineRule="auto"/>
        <w:ind w:firstLine="472"/>
        <w:textAlignment w:val="baseline"/>
        <w:rPr>
          <w:rFonts w:ascii="宋体" w:eastAsia="宋体" w:hAnsi="宋体" w:cs="宋体"/>
          <w:color w:val="000000"/>
          <w:kern w:val="0"/>
          <w:szCs w:val="21"/>
        </w:rPr>
      </w:pPr>
      <w:bookmarkStart w:id="196" w:name="_Toc22454466"/>
      <w:bookmarkStart w:id="197" w:name="_Toc477270391"/>
      <w:bookmarkStart w:id="198" w:name="_Toc48703917"/>
      <w:bookmarkStart w:id="199" w:name="_Toc477272435"/>
      <w:bookmarkEnd w:id="196"/>
      <w:bookmarkEnd w:id="197"/>
      <w:bookmarkEnd w:id="198"/>
      <w:bookmarkEnd w:id="199"/>
      <w:r>
        <w:rPr>
          <w:rFonts w:ascii="宋体" w:eastAsia="宋体" w:hAnsi="宋体" w:cs="宋体" w:hint="eastAsia"/>
          <w:color w:val="000000"/>
          <w:kern w:val="0"/>
          <w:sz w:val="24"/>
          <w:szCs w:val="24"/>
        </w:rPr>
        <w:t>（一）保密义务</w:t>
      </w:r>
    </w:p>
    <w:p w14:paraId="5A089A41" w14:textId="77777777" w:rsidR="00EB48E5" w:rsidRDefault="001F2E4C" w:rsidP="00055DD6">
      <w:pPr>
        <w:widowControl/>
        <w:spacing w:line="360" w:lineRule="auto"/>
        <w:ind w:right="28"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和基金管理人应按法律法规、基金合同的有关规定进行信息披露，拟公开披露的信息在公开披露之前应予保密。除按照《基金法》、《运作办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不得在其公开披露之前，先行对任何第三方披露。但是，如下情况不应视为基金管理人或基金托管人违反保密义务：</w:t>
      </w:r>
    </w:p>
    <w:p w14:paraId="171294FE" w14:textId="77777777" w:rsidR="00EB48E5" w:rsidRDefault="001F2E4C" w:rsidP="00055DD6">
      <w:pPr>
        <w:widowControl/>
        <w:spacing w:line="360" w:lineRule="auto"/>
        <w:ind w:left="420"/>
        <w:rPr>
          <w:rFonts w:ascii="宋体" w:eastAsia="宋体" w:hAnsi="宋体" w:cs="宋体"/>
          <w:color w:val="000000"/>
          <w:kern w:val="0"/>
          <w:szCs w:val="21"/>
        </w:rPr>
      </w:pPr>
      <w:r>
        <w:rPr>
          <w:rFonts w:ascii="宋体" w:eastAsia="宋体" w:hAnsi="宋体" w:cs="宋体" w:hint="eastAsia"/>
          <w:color w:val="000000"/>
          <w:kern w:val="0"/>
          <w:sz w:val="24"/>
          <w:szCs w:val="24"/>
        </w:rPr>
        <w:t>1、非因基金管理人和基金托管人的原因导致保密信息被披露、泄露或公开；</w:t>
      </w:r>
    </w:p>
    <w:p w14:paraId="3EEAA4E6"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2、基金管理人和基金托管人为遵守和服从法院判决、仲裁裁决或中国证监会、银行业监管机构等监管机构及其他有权机构的命令、决定所做出的信息披露或公开；</w:t>
      </w:r>
    </w:p>
    <w:p w14:paraId="4AC4D01D"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3、基金管理人和基金托管人在要求保密的前提下对自身聘请的外部法律顾问、财务顾问、审计人员、技术顾问等做出的必要信息披露。</w:t>
      </w:r>
    </w:p>
    <w:p w14:paraId="7B70CA17" w14:textId="77777777" w:rsidR="00EB48E5" w:rsidRDefault="001F2E4C" w:rsidP="00055DD6">
      <w:pPr>
        <w:widowControl/>
        <w:spacing w:line="360" w:lineRule="auto"/>
        <w:ind w:firstLine="482"/>
        <w:textAlignment w:val="baseline"/>
        <w:rPr>
          <w:rFonts w:ascii="宋体" w:eastAsia="宋体" w:hAnsi="宋体" w:cs="宋体"/>
          <w:color w:val="000000"/>
          <w:kern w:val="0"/>
          <w:szCs w:val="21"/>
        </w:rPr>
      </w:pPr>
      <w:bookmarkStart w:id="200" w:name="_Toc477272436"/>
      <w:bookmarkStart w:id="201" w:name="_Toc22454467"/>
      <w:bookmarkStart w:id="202" w:name="_Toc477270392"/>
      <w:bookmarkStart w:id="203" w:name="_Toc48703918"/>
      <w:bookmarkEnd w:id="200"/>
      <w:bookmarkEnd w:id="201"/>
      <w:bookmarkEnd w:id="202"/>
      <w:bookmarkEnd w:id="203"/>
      <w:r>
        <w:rPr>
          <w:rFonts w:ascii="宋体" w:eastAsia="宋体" w:hAnsi="宋体" w:cs="宋体" w:hint="eastAsia"/>
          <w:color w:val="000000"/>
          <w:kern w:val="0"/>
          <w:sz w:val="24"/>
          <w:szCs w:val="24"/>
        </w:rPr>
        <w:t>（二）基金管理人和基金托管人在信息披露中的职责和信息披露程序</w:t>
      </w:r>
    </w:p>
    <w:p w14:paraId="3105C13A" w14:textId="77777777" w:rsidR="00EB48E5" w:rsidRDefault="001F2E4C" w:rsidP="00055DD6">
      <w:pPr>
        <w:widowControl/>
        <w:spacing w:line="360" w:lineRule="auto"/>
        <w:ind w:right="28"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60132C3B" w14:textId="00F17DC7" w:rsidR="004553FC" w:rsidRDefault="004553FC" w:rsidP="00055DD6">
      <w:pPr>
        <w:widowControl/>
        <w:spacing w:line="360" w:lineRule="auto"/>
        <w:ind w:firstLine="480"/>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t>根据《信息披露办法》的要求，本基金信息披露的文件包括基金招募说明书、《基金合同》、基金托管协议、基金产品资料概要、基金份额发售公告、《基金合同》生效公告、基金净值信息、基金份额申购、赎回价格、定期报告（包括基金年度报告、基金中期报告和基金季度报告）、临时报告、澄清公告、</w:t>
      </w:r>
      <w:r w:rsidR="006B435B" w:rsidRPr="004553FC">
        <w:rPr>
          <w:rFonts w:ascii="宋体" w:eastAsia="宋体" w:hAnsi="宋体" w:cs="宋体" w:hint="eastAsia"/>
          <w:color w:val="000000"/>
          <w:kern w:val="0"/>
          <w:sz w:val="24"/>
          <w:szCs w:val="24"/>
        </w:rPr>
        <w:t>基金份额持有人大会决议、</w:t>
      </w:r>
      <w:r w:rsidRPr="004553FC">
        <w:rPr>
          <w:rFonts w:ascii="宋体" w:eastAsia="宋体" w:hAnsi="宋体" w:cs="宋体" w:hint="eastAsia"/>
          <w:color w:val="000000"/>
          <w:kern w:val="0"/>
          <w:sz w:val="24"/>
          <w:szCs w:val="24"/>
        </w:rPr>
        <w:t>清算报告、实施</w:t>
      </w:r>
      <w:proofErr w:type="gramStart"/>
      <w:r w:rsidRPr="004553FC">
        <w:rPr>
          <w:rFonts w:ascii="宋体" w:eastAsia="宋体" w:hAnsi="宋体" w:cs="宋体" w:hint="eastAsia"/>
          <w:color w:val="000000"/>
          <w:kern w:val="0"/>
          <w:sz w:val="24"/>
          <w:szCs w:val="24"/>
        </w:rPr>
        <w:t>侧袋机制</w:t>
      </w:r>
      <w:proofErr w:type="gramEnd"/>
      <w:r w:rsidRPr="004553FC">
        <w:rPr>
          <w:rFonts w:ascii="宋体" w:eastAsia="宋体" w:hAnsi="宋体" w:cs="宋体" w:hint="eastAsia"/>
          <w:color w:val="000000"/>
          <w:kern w:val="0"/>
          <w:sz w:val="24"/>
          <w:szCs w:val="24"/>
        </w:rPr>
        <w:t>期间的信息披露及中国证监会规定的其他信息，由基金管理人拟定并负责公布</w:t>
      </w:r>
      <w:r>
        <w:rPr>
          <w:rFonts w:ascii="宋体" w:eastAsia="宋体" w:hAnsi="宋体" w:cs="宋体" w:hint="eastAsia"/>
          <w:color w:val="000000"/>
          <w:kern w:val="0"/>
          <w:sz w:val="24"/>
          <w:szCs w:val="24"/>
        </w:rPr>
        <w:t>。</w:t>
      </w:r>
    </w:p>
    <w:p w14:paraId="5A94AFF8" w14:textId="4B522124" w:rsidR="00EB48E5" w:rsidRDefault="004553FC" w:rsidP="00055DD6">
      <w:pPr>
        <w:widowControl/>
        <w:spacing w:line="360" w:lineRule="auto"/>
        <w:ind w:firstLine="480"/>
        <w:rPr>
          <w:rFonts w:ascii="宋体" w:eastAsia="宋体" w:hAnsi="宋体" w:cs="宋体"/>
          <w:color w:val="000000"/>
          <w:kern w:val="0"/>
          <w:sz w:val="24"/>
          <w:szCs w:val="24"/>
        </w:rPr>
      </w:pPr>
      <w:r w:rsidRPr="004553FC">
        <w:rPr>
          <w:rFonts w:ascii="宋体" w:eastAsia="宋体" w:hAnsi="宋体" w:cs="宋体" w:hint="eastAsia"/>
          <w:color w:val="000000"/>
          <w:kern w:val="0"/>
          <w:sz w:val="24"/>
          <w:szCs w:val="24"/>
        </w:rPr>
        <w:lastRenderedPageBreak/>
        <w:t>基金托管人应当按照相关法律法规、中国证监会的规定和《基金合同》的约定，对基金管理人编制的基金资产净值、</w:t>
      </w:r>
      <w:r w:rsidR="006B435B" w:rsidRPr="006B435B">
        <w:rPr>
          <w:rFonts w:ascii="宋体" w:eastAsia="宋体" w:hAnsi="宋体" w:cs="宋体" w:hint="eastAsia"/>
          <w:color w:val="000000"/>
          <w:kern w:val="0"/>
          <w:sz w:val="24"/>
          <w:szCs w:val="24"/>
        </w:rPr>
        <w:t>各类基金份额的</w:t>
      </w:r>
      <w:r w:rsidRPr="004553FC">
        <w:rPr>
          <w:rFonts w:ascii="宋体" w:eastAsia="宋体" w:hAnsi="宋体" w:cs="宋体" w:hint="eastAsia"/>
          <w:color w:val="000000"/>
          <w:kern w:val="0"/>
          <w:sz w:val="24"/>
          <w:szCs w:val="24"/>
        </w:rPr>
        <w:t>基金份额净值、基金份额申购赎回价格、基金定期报告、更新的招募说明书、基金产品资料概要、基金清算报告等公开披露的相关基金信息进行复核、审查，并向基金管理人进行书面或者电子确认</w:t>
      </w:r>
      <w:r>
        <w:rPr>
          <w:rFonts w:ascii="宋体" w:eastAsia="宋体" w:hAnsi="宋体" w:cs="宋体" w:hint="eastAsia"/>
          <w:color w:val="000000"/>
          <w:kern w:val="0"/>
          <w:sz w:val="24"/>
          <w:szCs w:val="24"/>
        </w:rPr>
        <w:t>。</w:t>
      </w:r>
    </w:p>
    <w:p w14:paraId="5F9E2AE6"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基金年报中的财务会计报告部分，</w:t>
      </w:r>
      <w:proofErr w:type="gramStart"/>
      <w:r>
        <w:rPr>
          <w:rFonts w:ascii="宋体" w:eastAsia="宋体" w:hAnsi="宋体" w:cs="宋体" w:hint="eastAsia"/>
          <w:color w:val="000000"/>
          <w:kern w:val="0"/>
          <w:sz w:val="24"/>
          <w:szCs w:val="24"/>
        </w:rPr>
        <w:t>经符合</w:t>
      </w:r>
      <w:proofErr w:type="gramEnd"/>
      <w:r>
        <w:rPr>
          <w:rFonts w:ascii="宋体" w:eastAsia="宋体" w:hAnsi="宋体" w:cs="宋体" w:hint="eastAsia"/>
          <w:color w:val="000000"/>
          <w:kern w:val="0"/>
          <w:sz w:val="24"/>
          <w:szCs w:val="24"/>
        </w:rPr>
        <w:t>《中华人民共和国证券法》规定的会计师事务所审计后，方可披露。</w:t>
      </w:r>
    </w:p>
    <w:p w14:paraId="51E09544"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基金管理人应当在中国证监会规定的时间内，将应予披露的基金信息通过规定媒介披露。根据法律法规应由基金托管人公开披露的信息，基金托管人将通过规定媒介公开披露。</w:t>
      </w:r>
    </w:p>
    <w:p w14:paraId="2FCB3822" w14:textId="4B72F6A3" w:rsidR="00EB48E5" w:rsidRDefault="001F2E4C" w:rsidP="00055DD6">
      <w:pPr>
        <w:widowControl/>
        <w:spacing w:line="360" w:lineRule="auto"/>
        <w:ind w:firstLine="480"/>
        <w:rPr>
          <w:rFonts w:ascii="宋体" w:eastAsia="宋体" w:hAnsi="宋体" w:cs="宋体"/>
          <w:bCs/>
          <w:color w:val="000000"/>
          <w:kern w:val="0"/>
          <w:szCs w:val="21"/>
        </w:rPr>
      </w:pPr>
      <w:r>
        <w:rPr>
          <w:rFonts w:ascii="宋体" w:eastAsia="宋体" w:hAnsi="宋体" w:cs="宋体" w:hint="eastAsia"/>
          <w:bCs/>
          <w:sz w:val="24"/>
        </w:rPr>
        <w:t>依法必须</w:t>
      </w:r>
      <w:r>
        <w:rPr>
          <w:rFonts w:ascii="宋体" w:eastAsia="宋体" w:hAnsi="宋体" w:cs="宋体" w:hint="eastAsia"/>
          <w:color w:val="000000"/>
          <w:kern w:val="0"/>
          <w:sz w:val="24"/>
          <w:szCs w:val="24"/>
        </w:rPr>
        <w:t>披露的信息</w:t>
      </w:r>
      <w:r>
        <w:rPr>
          <w:rFonts w:ascii="宋体" w:eastAsia="宋体" w:hAnsi="宋体" w:cs="宋体" w:hint="eastAsia"/>
          <w:bCs/>
          <w:sz w:val="24"/>
        </w:rPr>
        <w:t>发布后，基金管理人、基金托管人应当按照相关法律法规规定将信息置备于各自住所，供社会公众查阅、复制。</w:t>
      </w:r>
    </w:p>
    <w:p w14:paraId="22352F71"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（三）暂停或延迟信息披露的情形</w:t>
      </w:r>
    </w:p>
    <w:p w14:paraId="6D69D9A4"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当出现下述情况时，基金管理人和基金托管人可暂停或延迟披露基金信息：</w:t>
      </w:r>
    </w:p>
    <w:p w14:paraId="10CF4F62"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1、基金投资所涉及的证券交易市场遇法定节假日或因其他原因暂停营业时；</w:t>
      </w:r>
    </w:p>
    <w:p w14:paraId="7C251E2B"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2、因不可抗力致使基金管理人、基金托管人无法准确评估基金资产价值时；</w:t>
      </w:r>
    </w:p>
    <w:p w14:paraId="370340F9"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3、当特定资产占前一估值日基金资产净值50%以上的，经与基金托管人协商确认后，基金管理人应当暂停估值；</w:t>
      </w:r>
    </w:p>
    <w:p w14:paraId="12E052EC"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4、基金所投资的目标ETF发生暂停估值、暂停公告基金份额净值的情形；</w:t>
      </w:r>
    </w:p>
    <w:p w14:paraId="42D9DFA2"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5、中国证监会和基金合同认定的其它情形。</w:t>
      </w:r>
    </w:p>
    <w:p w14:paraId="3B6510A9" w14:textId="77777777" w:rsidR="004553FC" w:rsidRPr="004553FC" w:rsidRDefault="004553FC" w:rsidP="00055DD6">
      <w:pPr>
        <w:widowControl/>
        <w:spacing w:line="360" w:lineRule="auto"/>
        <w:ind w:firstLine="480"/>
        <w:rPr>
          <w:rFonts w:ascii="宋体" w:eastAsia="宋体" w:hAnsi="宋体" w:cs="宋体"/>
          <w:bCs/>
          <w:color w:val="000000"/>
          <w:kern w:val="0"/>
          <w:sz w:val="24"/>
          <w:szCs w:val="24"/>
        </w:rPr>
      </w:pPr>
      <w:r w:rsidRPr="004553FC">
        <w:rPr>
          <w:rFonts w:ascii="宋体" w:eastAsia="宋体" w:hAnsi="宋体" w:cs="宋体" w:hint="eastAsia"/>
          <w:bCs/>
          <w:color w:val="000000"/>
          <w:kern w:val="0"/>
          <w:sz w:val="24"/>
          <w:szCs w:val="24"/>
        </w:rPr>
        <w:t>（四）实施</w:t>
      </w:r>
      <w:proofErr w:type="gramStart"/>
      <w:r w:rsidRPr="004553FC">
        <w:rPr>
          <w:rFonts w:ascii="宋体" w:eastAsia="宋体" w:hAnsi="宋体" w:cs="宋体" w:hint="eastAsia"/>
          <w:bCs/>
          <w:color w:val="000000"/>
          <w:kern w:val="0"/>
          <w:sz w:val="24"/>
          <w:szCs w:val="24"/>
        </w:rPr>
        <w:t>侧袋机制</w:t>
      </w:r>
      <w:proofErr w:type="gramEnd"/>
      <w:r w:rsidRPr="004553FC">
        <w:rPr>
          <w:rFonts w:ascii="宋体" w:eastAsia="宋体" w:hAnsi="宋体" w:cs="宋体" w:hint="eastAsia"/>
          <w:bCs/>
          <w:color w:val="000000"/>
          <w:kern w:val="0"/>
          <w:sz w:val="24"/>
          <w:szCs w:val="24"/>
        </w:rPr>
        <w:t>期间的信息披露</w:t>
      </w:r>
    </w:p>
    <w:p w14:paraId="1E148D2C" w14:textId="2E46B501" w:rsidR="00EB48E5" w:rsidRDefault="004553FC" w:rsidP="00055DD6">
      <w:pPr>
        <w:widowControl/>
        <w:spacing w:line="360" w:lineRule="auto"/>
        <w:ind w:firstLine="480"/>
        <w:rPr>
          <w:rFonts w:ascii="宋体" w:eastAsia="宋体" w:hAnsi="宋体" w:cs="宋体"/>
          <w:color w:val="000000"/>
          <w:kern w:val="0"/>
          <w:sz w:val="27"/>
          <w:szCs w:val="27"/>
        </w:rPr>
      </w:pPr>
      <w:r w:rsidRPr="004553FC">
        <w:rPr>
          <w:rFonts w:ascii="宋体" w:eastAsia="宋体" w:hAnsi="宋体" w:cs="宋体" w:hint="eastAsia"/>
          <w:bCs/>
          <w:color w:val="000000"/>
          <w:kern w:val="0"/>
          <w:sz w:val="24"/>
          <w:szCs w:val="24"/>
        </w:rPr>
        <w:t>本基金实施</w:t>
      </w:r>
      <w:proofErr w:type="gramStart"/>
      <w:r w:rsidRPr="004553FC">
        <w:rPr>
          <w:rFonts w:ascii="宋体" w:eastAsia="宋体" w:hAnsi="宋体" w:cs="宋体" w:hint="eastAsia"/>
          <w:bCs/>
          <w:color w:val="000000"/>
          <w:kern w:val="0"/>
          <w:sz w:val="24"/>
          <w:szCs w:val="24"/>
        </w:rPr>
        <w:t>侧袋机制</w:t>
      </w:r>
      <w:proofErr w:type="gramEnd"/>
      <w:r w:rsidRPr="004553FC">
        <w:rPr>
          <w:rFonts w:ascii="宋体" w:eastAsia="宋体" w:hAnsi="宋体" w:cs="宋体" w:hint="eastAsia"/>
          <w:bCs/>
          <w:color w:val="000000"/>
          <w:kern w:val="0"/>
          <w:sz w:val="24"/>
          <w:szCs w:val="24"/>
        </w:rPr>
        <w:t>的，相关信息披露义务人应当根据法律法规、基金合同和招募说明书的规定进行信息披露，详见招募说明书的规定。</w:t>
      </w:r>
    </w:p>
    <w:p w14:paraId="1578915A" w14:textId="77777777" w:rsidR="00EB48E5" w:rsidRDefault="001F2E4C" w:rsidP="00055DD6">
      <w:pPr>
        <w:pStyle w:val="1"/>
        <w:spacing w:line="360" w:lineRule="auto"/>
        <w:jc w:val="center"/>
        <w:rPr>
          <w:color w:val="000000"/>
          <w:kern w:val="0"/>
          <w:szCs w:val="21"/>
        </w:rPr>
      </w:pPr>
      <w:bookmarkStart w:id="204" w:name="_Toc124749235"/>
      <w:bookmarkStart w:id="205" w:name="_Toc125361083"/>
      <w:bookmarkStart w:id="206" w:name="_Toc477274820"/>
      <w:bookmarkStart w:id="207" w:name="_Toc375230494"/>
      <w:bookmarkStart w:id="208" w:name="_Toc123626177"/>
      <w:bookmarkStart w:id="209" w:name="_Toc124749946"/>
      <w:bookmarkStart w:id="210" w:name="_Toc17301"/>
      <w:bookmarkEnd w:id="204"/>
      <w:bookmarkEnd w:id="205"/>
      <w:bookmarkEnd w:id="206"/>
      <w:bookmarkEnd w:id="207"/>
      <w:bookmarkEnd w:id="208"/>
      <w:bookmarkEnd w:id="209"/>
      <w:r>
        <w:rPr>
          <w:rFonts w:hint="eastAsia"/>
          <w:color w:val="000000"/>
          <w:kern w:val="0"/>
          <w:sz w:val="30"/>
          <w:szCs w:val="30"/>
        </w:rPr>
        <w:t>十一、基金费用</w:t>
      </w:r>
      <w:bookmarkEnd w:id="210"/>
    </w:p>
    <w:p w14:paraId="4D6CDE4B" w14:textId="77777777" w:rsidR="00EB48E5" w:rsidRDefault="001F2E4C" w:rsidP="00055DD6">
      <w:pPr>
        <w:widowControl/>
        <w:spacing w:line="360" w:lineRule="auto"/>
        <w:ind w:firstLine="482"/>
        <w:rPr>
          <w:rFonts w:ascii="宋体" w:eastAsia="宋体" w:hAnsi="宋体" w:cs="宋体"/>
          <w:color w:val="000000"/>
          <w:kern w:val="0"/>
          <w:szCs w:val="21"/>
        </w:rPr>
      </w:pPr>
      <w:bookmarkStart w:id="211" w:name="_Hlk104481126"/>
      <w:r>
        <w:rPr>
          <w:rFonts w:ascii="宋体" w:eastAsia="宋体" w:hAnsi="宋体" w:cs="宋体" w:hint="eastAsia"/>
          <w:color w:val="000000"/>
          <w:kern w:val="0"/>
          <w:sz w:val="24"/>
          <w:szCs w:val="24"/>
        </w:rPr>
        <w:t>（一）基金管理费的计提比例和计提方法</w:t>
      </w:r>
    </w:p>
    <w:p w14:paraId="6498D0B7"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本</w:t>
      </w:r>
      <w:proofErr w:type="gramStart"/>
      <w:r w:rsidRPr="00C526B5">
        <w:rPr>
          <w:rFonts w:ascii="宋体" w:eastAsia="宋体" w:hAnsi="宋体" w:cs="宋体" w:hint="eastAsia"/>
          <w:color w:val="000000"/>
          <w:kern w:val="0"/>
          <w:sz w:val="24"/>
          <w:szCs w:val="24"/>
        </w:rPr>
        <w:t>基金基金</w:t>
      </w:r>
      <w:proofErr w:type="gramEnd"/>
      <w:r w:rsidRPr="00C526B5">
        <w:rPr>
          <w:rFonts w:ascii="宋体" w:eastAsia="宋体" w:hAnsi="宋体" w:cs="宋体" w:hint="eastAsia"/>
          <w:color w:val="000000"/>
          <w:kern w:val="0"/>
          <w:sz w:val="24"/>
          <w:szCs w:val="24"/>
        </w:rPr>
        <w:t>财产中投资于目标ETF的部分不收取管理费。本基金管理费按前一日基金资产净值扣除所持有目标ETF基金份额部分的基金资产净值后的余额（若为负数，则取0）的0.50%年费率计提。管理费的计算方法如下：</w:t>
      </w:r>
    </w:p>
    <w:p w14:paraId="558BE4C8"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lastRenderedPageBreak/>
        <w:t>H＝E×0.50%÷当年天数</w:t>
      </w:r>
    </w:p>
    <w:p w14:paraId="72D4A080"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H为每日应计提的基金管理费</w:t>
      </w:r>
    </w:p>
    <w:p w14:paraId="3096DBA5" w14:textId="202C3B10" w:rsidR="00EB48E5" w:rsidRDefault="00C526B5" w:rsidP="00055DD6">
      <w:pPr>
        <w:widowControl/>
        <w:spacing w:line="360" w:lineRule="auto"/>
        <w:ind w:firstLine="480"/>
        <w:rPr>
          <w:rFonts w:ascii="宋体" w:eastAsia="宋体" w:hAnsi="宋体" w:cs="宋体"/>
          <w:color w:val="000000"/>
          <w:kern w:val="0"/>
          <w:szCs w:val="21"/>
        </w:rPr>
      </w:pPr>
      <w:r w:rsidRPr="00C526B5">
        <w:rPr>
          <w:rFonts w:ascii="宋体" w:eastAsia="宋体" w:hAnsi="宋体" w:cs="宋体" w:hint="eastAsia"/>
          <w:color w:val="000000"/>
          <w:kern w:val="0"/>
          <w:sz w:val="24"/>
          <w:szCs w:val="24"/>
        </w:rPr>
        <w:t>E为前一日的基金资产净值－前一日所持有目标ETF基金份额部分的基金资产净值，若为负数，则E取0</w:t>
      </w:r>
    </w:p>
    <w:p w14:paraId="26751479" w14:textId="77777777" w:rsidR="00EB48E5" w:rsidRDefault="001F2E4C" w:rsidP="00055DD6">
      <w:pPr>
        <w:widowControl/>
        <w:spacing w:line="360" w:lineRule="auto"/>
        <w:ind w:firstLine="482"/>
        <w:rPr>
          <w:rFonts w:ascii="宋体" w:eastAsia="宋体" w:hAnsi="宋体" w:cs="宋体"/>
          <w:color w:val="000000"/>
          <w:kern w:val="0"/>
          <w:szCs w:val="21"/>
        </w:rPr>
      </w:pPr>
      <w:r>
        <w:rPr>
          <w:rFonts w:ascii="宋体" w:eastAsia="宋体" w:hAnsi="宋体" w:cs="宋体" w:hint="eastAsia"/>
          <w:color w:val="000000"/>
          <w:kern w:val="0"/>
          <w:sz w:val="24"/>
          <w:szCs w:val="24"/>
        </w:rPr>
        <w:t>（二）基金托管费的计提比例和计提方法</w:t>
      </w:r>
    </w:p>
    <w:p w14:paraId="749F1D07"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本</w:t>
      </w:r>
      <w:proofErr w:type="gramStart"/>
      <w:r w:rsidRPr="00C526B5">
        <w:rPr>
          <w:rFonts w:ascii="宋体" w:eastAsia="宋体" w:hAnsi="宋体" w:cs="宋体" w:hint="eastAsia"/>
          <w:color w:val="000000"/>
          <w:kern w:val="0"/>
          <w:sz w:val="24"/>
          <w:szCs w:val="24"/>
        </w:rPr>
        <w:t>基金基金</w:t>
      </w:r>
      <w:proofErr w:type="gramEnd"/>
      <w:r w:rsidRPr="00C526B5">
        <w:rPr>
          <w:rFonts w:ascii="宋体" w:eastAsia="宋体" w:hAnsi="宋体" w:cs="宋体" w:hint="eastAsia"/>
          <w:color w:val="000000"/>
          <w:kern w:val="0"/>
          <w:sz w:val="24"/>
          <w:szCs w:val="24"/>
        </w:rPr>
        <w:t>财产中投资于目标ETF的部分不收取托管费。本基金托管费按前一日基金资产净值扣除所持有目标ETF基金份额部分的基金资产净值后的余额（若为负数，则取0）的</w:t>
      </w:r>
      <w:r w:rsidR="00474BA8">
        <w:rPr>
          <w:rFonts w:ascii="宋体" w:eastAsia="宋体" w:hAnsi="宋体" w:cs="宋体" w:hint="eastAsia"/>
          <w:color w:val="000000"/>
          <w:kern w:val="0"/>
          <w:sz w:val="24"/>
          <w:szCs w:val="24"/>
        </w:rPr>
        <w:t>0.</w:t>
      </w:r>
      <w:r w:rsidR="00474BA8">
        <w:rPr>
          <w:rFonts w:ascii="宋体" w:eastAsia="宋体" w:hAnsi="宋体" w:cs="宋体"/>
          <w:color w:val="000000"/>
          <w:kern w:val="0"/>
          <w:sz w:val="24"/>
          <w:szCs w:val="24"/>
        </w:rPr>
        <w:t>10</w:t>
      </w:r>
      <w:r w:rsidRPr="00C526B5">
        <w:rPr>
          <w:rFonts w:ascii="宋体" w:eastAsia="宋体" w:hAnsi="宋体" w:cs="宋体" w:hint="eastAsia"/>
          <w:color w:val="000000"/>
          <w:kern w:val="0"/>
          <w:sz w:val="24"/>
          <w:szCs w:val="24"/>
        </w:rPr>
        <w:t>%的年费率计提。托管费的计算方法如下：</w:t>
      </w:r>
    </w:p>
    <w:p w14:paraId="172982CB"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H＝E×</w:t>
      </w:r>
      <w:r w:rsidR="00474BA8">
        <w:rPr>
          <w:rFonts w:ascii="宋体" w:eastAsia="宋体" w:hAnsi="宋体" w:cs="宋体" w:hint="eastAsia"/>
          <w:color w:val="000000"/>
          <w:kern w:val="0"/>
          <w:sz w:val="24"/>
          <w:szCs w:val="24"/>
        </w:rPr>
        <w:t>0.</w:t>
      </w:r>
      <w:r w:rsidR="00474BA8">
        <w:rPr>
          <w:rFonts w:ascii="宋体" w:eastAsia="宋体" w:hAnsi="宋体" w:cs="宋体"/>
          <w:color w:val="000000"/>
          <w:kern w:val="0"/>
          <w:sz w:val="24"/>
          <w:szCs w:val="24"/>
        </w:rPr>
        <w:t>10</w:t>
      </w:r>
      <w:r w:rsidRPr="00C526B5">
        <w:rPr>
          <w:rFonts w:ascii="宋体" w:eastAsia="宋体" w:hAnsi="宋体" w:cs="宋体" w:hint="eastAsia"/>
          <w:color w:val="000000"/>
          <w:kern w:val="0"/>
          <w:sz w:val="24"/>
          <w:szCs w:val="24"/>
        </w:rPr>
        <w:t>%÷当年天数</w:t>
      </w:r>
    </w:p>
    <w:p w14:paraId="2E8B52EE"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H为每日应计提的基金托管费</w:t>
      </w:r>
    </w:p>
    <w:p w14:paraId="143B1E18" w14:textId="77777777" w:rsidR="000A5836"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E为前一日的基金资产净值－前一日所持有目标ETF基金份额部分的基金资产净值，若为负数，则E取0</w:t>
      </w:r>
      <w:bookmarkEnd w:id="211"/>
    </w:p>
    <w:p w14:paraId="261376A3" w14:textId="3AFE4CF2" w:rsidR="00474BA8" w:rsidRPr="00474BA8" w:rsidRDefault="00474BA8" w:rsidP="00055DD6">
      <w:pPr>
        <w:widowControl/>
        <w:spacing w:line="360" w:lineRule="auto"/>
        <w:ind w:firstLine="480"/>
        <w:rPr>
          <w:rFonts w:ascii="宋体" w:eastAsia="宋体" w:hAnsi="宋体" w:cs="宋体"/>
          <w:color w:val="000000"/>
          <w:kern w:val="0"/>
          <w:sz w:val="24"/>
          <w:szCs w:val="24"/>
        </w:rPr>
      </w:pPr>
      <w:r w:rsidRPr="00474BA8">
        <w:rPr>
          <w:rFonts w:ascii="宋体" w:eastAsia="宋体" w:hAnsi="宋体" w:cs="宋体" w:hint="eastAsia"/>
          <w:color w:val="000000"/>
          <w:kern w:val="0"/>
          <w:sz w:val="24"/>
          <w:szCs w:val="24"/>
        </w:rPr>
        <w:t>（三）C类份额的销售服务费的计提比例和计提方法</w:t>
      </w:r>
    </w:p>
    <w:p w14:paraId="53BB01D6" w14:textId="77777777" w:rsidR="00474BA8" w:rsidRPr="00474BA8" w:rsidRDefault="00474BA8" w:rsidP="00055DD6">
      <w:pPr>
        <w:widowControl/>
        <w:spacing w:line="360" w:lineRule="auto"/>
        <w:ind w:firstLine="480"/>
        <w:rPr>
          <w:rFonts w:ascii="宋体" w:eastAsia="宋体" w:hAnsi="宋体" w:cs="宋体"/>
          <w:color w:val="000000"/>
          <w:kern w:val="0"/>
          <w:sz w:val="24"/>
          <w:szCs w:val="24"/>
        </w:rPr>
      </w:pPr>
      <w:r w:rsidRPr="00474BA8">
        <w:rPr>
          <w:rFonts w:ascii="宋体" w:eastAsia="宋体" w:hAnsi="宋体" w:cs="宋体" w:hint="eastAsia"/>
          <w:color w:val="000000"/>
          <w:kern w:val="0"/>
          <w:sz w:val="24"/>
          <w:szCs w:val="24"/>
        </w:rPr>
        <w:t>本基金A类基金份额不收取销售服务费，C类基金份额的销售服务费按前一日C类基金份额资产净值的</w:t>
      </w: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w:t>
      </w:r>
      <w:r w:rsidRPr="00474BA8">
        <w:rPr>
          <w:rFonts w:ascii="宋体" w:eastAsia="宋体" w:hAnsi="宋体" w:cs="宋体" w:hint="eastAsia"/>
          <w:color w:val="000000"/>
          <w:kern w:val="0"/>
          <w:sz w:val="24"/>
          <w:szCs w:val="24"/>
        </w:rPr>
        <w:t>0%年费率计提。计算方法如下：</w:t>
      </w:r>
    </w:p>
    <w:p w14:paraId="4842588A" w14:textId="77777777" w:rsidR="00474BA8" w:rsidRPr="00474BA8" w:rsidRDefault="00474BA8" w:rsidP="00055DD6">
      <w:pPr>
        <w:widowControl/>
        <w:spacing w:line="360" w:lineRule="auto"/>
        <w:ind w:firstLine="480"/>
        <w:rPr>
          <w:rFonts w:ascii="宋体" w:eastAsia="宋体" w:hAnsi="宋体" w:cs="宋体"/>
          <w:color w:val="000000"/>
          <w:kern w:val="0"/>
          <w:sz w:val="24"/>
          <w:szCs w:val="24"/>
        </w:rPr>
      </w:pPr>
      <w:r w:rsidRPr="00474BA8">
        <w:rPr>
          <w:rFonts w:ascii="宋体" w:eastAsia="宋体" w:hAnsi="宋体" w:cs="宋体" w:hint="eastAsia"/>
          <w:color w:val="000000"/>
          <w:kern w:val="0"/>
          <w:sz w:val="24"/>
          <w:szCs w:val="24"/>
        </w:rPr>
        <w:t>H＝E×</w:t>
      </w:r>
      <w:r>
        <w:rPr>
          <w:rFonts w:ascii="宋体" w:eastAsia="宋体" w:hAnsi="宋体" w:cs="宋体" w:hint="eastAsia"/>
          <w:color w:val="000000"/>
          <w:kern w:val="0"/>
          <w:sz w:val="24"/>
          <w:szCs w:val="24"/>
        </w:rPr>
        <w:t>0.</w:t>
      </w:r>
      <w:r>
        <w:rPr>
          <w:rFonts w:ascii="宋体" w:eastAsia="宋体" w:hAnsi="宋体" w:cs="宋体"/>
          <w:color w:val="000000"/>
          <w:kern w:val="0"/>
          <w:sz w:val="24"/>
          <w:szCs w:val="24"/>
        </w:rPr>
        <w:t>2</w:t>
      </w:r>
      <w:r w:rsidRPr="00474BA8">
        <w:rPr>
          <w:rFonts w:ascii="宋体" w:eastAsia="宋体" w:hAnsi="宋体" w:cs="宋体" w:hint="eastAsia"/>
          <w:color w:val="000000"/>
          <w:kern w:val="0"/>
          <w:sz w:val="24"/>
          <w:szCs w:val="24"/>
        </w:rPr>
        <w:t>0%÷当年天数</w:t>
      </w:r>
    </w:p>
    <w:p w14:paraId="344B9241" w14:textId="77777777" w:rsidR="00474BA8" w:rsidRPr="00474BA8" w:rsidRDefault="00474BA8" w:rsidP="00055DD6">
      <w:pPr>
        <w:widowControl/>
        <w:spacing w:line="360" w:lineRule="auto"/>
        <w:ind w:firstLine="480"/>
        <w:rPr>
          <w:rFonts w:ascii="宋体" w:eastAsia="宋体" w:hAnsi="宋体" w:cs="宋体"/>
          <w:color w:val="000000"/>
          <w:kern w:val="0"/>
          <w:sz w:val="24"/>
          <w:szCs w:val="24"/>
        </w:rPr>
      </w:pPr>
      <w:r w:rsidRPr="00474BA8">
        <w:rPr>
          <w:rFonts w:ascii="宋体" w:eastAsia="宋体" w:hAnsi="宋体" w:cs="宋体" w:hint="eastAsia"/>
          <w:color w:val="000000"/>
          <w:kern w:val="0"/>
          <w:sz w:val="24"/>
          <w:szCs w:val="24"/>
        </w:rPr>
        <w:t>H为C类基金份额每日应计提的销售服务费</w:t>
      </w:r>
    </w:p>
    <w:p w14:paraId="5236A593" w14:textId="77777777" w:rsidR="00EB48E5" w:rsidRDefault="00474BA8" w:rsidP="00055DD6">
      <w:pPr>
        <w:widowControl/>
        <w:spacing w:line="360" w:lineRule="auto"/>
        <w:ind w:firstLine="480"/>
        <w:rPr>
          <w:rFonts w:ascii="宋体" w:eastAsia="宋体" w:hAnsi="宋体" w:cs="宋体"/>
          <w:color w:val="000000"/>
          <w:kern w:val="0"/>
          <w:sz w:val="24"/>
          <w:szCs w:val="24"/>
        </w:rPr>
      </w:pPr>
      <w:r w:rsidRPr="00474BA8">
        <w:rPr>
          <w:rFonts w:ascii="宋体" w:eastAsia="宋体" w:hAnsi="宋体" w:cs="宋体" w:hint="eastAsia"/>
          <w:color w:val="000000"/>
          <w:kern w:val="0"/>
          <w:sz w:val="24"/>
          <w:szCs w:val="24"/>
        </w:rPr>
        <w:t>E为C类基金份额前一日基金资产净值</w:t>
      </w:r>
    </w:p>
    <w:p w14:paraId="157AC9B4" w14:textId="0C181596"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w:t>
      </w:r>
      <w:r w:rsidR="00474BA8">
        <w:rPr>
          <w:rFonts w:ascii="宋体" w:eastAsia="宋体" w:hAnsi="宋体" w:cs="宋体" w:hint="eastAsia"/>
          <w:color w:val="000000"/>
          <w:kern w:val="0"/>
          <w:sz w:val="24"/>
          <w:szCs w:val="24"/>
        </w:rPr>
        <w:t>四</w:t>
      </w:r>
      <w:r>
        <w:rPr>
          <w:rFonts w:ascii="宋体" w:eastAsia="宋体" w:hAnsi="宋体" w:cs="宋体" w:hint="eastAsia"/>
          <w:color w:val="000000"/>
          <w:kern w:val="0"/>
          <w:sz w:val="24"/>
          <w:szCs w:val="24"/>
        </w:rPr>
        <w:t>）</w:t>
      </w:r>
      <w:r w:rsidR="00474BA8" w:rsidRPr="00474BA8">
        <w:rPr>
          <w:rFonts w:ascii="宋体" w:eastAsia="宋体" w:hAnsi="宋体" w:cs="宋体" w:hint="eastAsia"/>
          <w:color w:val="000000"/>
          <w:kern w:val="0"/>
          <w:sz w:val="24"/>
          <w:szCs w:val="24"/>
        </w:rPr>
        <w:t>从基金财产中列支基金管理人的管理费、基金托管人的托管费、销售服务费之外的其他基金费用，应当依据有关法律法规、《基金合同》的规定执行。本基金实施</w:t>
      </w:r>
      <w:proofErr w:type="gramStart"/>
      <w:r w:rsidR="00474BA8" w:rsidRPr="00474BA8">
        <w:rPr>
          <w:rFonts w:ascii="宋体" w:eastAsia="宋体" w:hAnsi="宋体" w:cs="宋体" w:hint="eastAsia"/>
          <w:color w:val="000000"/>
          <w:kern w:val="0"/>
          <w:sz w:val="24"/>
          <w:szCs w:val="24"/>
        </w:rPr>
        <w:t>侧袋机制</w:t>
      </w:r>
      <w:proofErr w:type="gramEnd"/>
      <w:r w:rsidR="00474BA8" w:rsidRPr="00474BA8">
        <w:rPr>
          <w:rFonts w:ascii="宋体" w:eastAsia="宋体" w:hAnsi="宋体" w:cs="宋体" w:hint="eastAsia"/>
          <w:color w:val="000000"/>
          <w:kern w:val="0"/>
          <w:sz w:val="24"/>
          <w:szCs w:val="24"/>
        </w:rPr>
        <w:t>的，</w:t>
      </w:r>
      <w:proofErr w:type="gramStart"/>
      <w:r w:rsidR="00474BA8" w:rsidRPr="00474BA8">
        <w:rPr>
          <w:rFonts w:ascii="宋体" w:eastAsia="宋体" w:hAnsi="宋体" w:cs="宋体" w:hint="eastAsia"/>
          <w:color w:val="000000"/>
          <w:kern w:val="0"/>
          <w:sz w:val="24"/>
          <w:szCs w:val="24"/>
        </w:rPr>
        <w:t>与侧袋账户</w:t>
      </w:r>
      <w:proofErr w:type="gramEnd"/>
      <w:r w:rsidR="00474BA8" w:rsidRPr="00474BA8">
        <w:rPr>
          <w:rFonts w:ascii="宋体" w:eastAsia="宋体" w:hAnsi="宋体" w:cs="宋体" w:hint="eastAsia"/>
          <w:color w:val="000000"/>
          <w:kern w:val="0"/>
          <w:sz w:val="24"/>
          <w:szCs w:val="24"/>
        </w:rPr>
        <w:t>有关的费用可以</w:t>
      </w:r>
      <w:proofErr w:type="gramStart"/>
      <w:r w:rsidR="00474BA8" w:rsidRPr="00474BA8">
        <w:rPr>
          <w:rFonts w:ascii="宋体" w:eastAsia="宋体" w:hAnsi="宋体" w:cs="宋体" w:hint="eastAsia"/>
          <w:color w:val="000000"/>
          <w:kern w:val="0"/>
          <w:sz w:val="24"/>
          <w:szCs w:val="24"/>
        </w:rPr>
        <w:t>从侧袋账户</w:t>
      </w:r>
      <w:proofErr w:type="gramEnd"/>
      <w:r w:rsidR="00474BA8" w:rsidRPr="00474BA8">
        <w:rPr>
          <w:rFonts w:ascii="宋体" w:eastAsia="宋体" w:hAnsi="宋体" w:cs="宋体" w:hint="eastAsia"/>
          <w:color w:val="000000"/>
          <w:kern w:val="0"/>
          <w:sz w:val="24"/>
          <w:szCs w:val="24"/>
        </w:rPr>
        <w:t>中列支，但应</w:t>
      </w:r>
      <w:proofErr w:type="gramStart"/>
      <w:r w:rsidR="00474BA8" w:rsidRPr="00474BA8">
        <w:rPr>
          <w:rFonts w:ascii="宋体" w:eastAsia="宋体" w:hAnsi="宋体" w:cs="宋体" w:hint="eastAsia"/>
          <w:color w:val="000000"/>
          <w:kern w:val="0"/>
          <w:sz w:val="24"/>
          <w:szCs w:val="24"/>
        </w:rPr>
        <w:t>待侧袋</w:t>
      </w:r>
      <w:proofErr w:type="gramEnd"/>
      <w:r w:rsidR="00474BA8" w:rsidRPr="00474BA8">
        <w:rPr>
          <w:rFonts w:ascii="宋体" w:eastAsia="宋体" w:hAnsi="宋体" w:cs="宋体" w:hint="eastAsia"/>
          <w:color w:val="000000"/>
          <w:kern w:val="0"/>
          <w:sz w:val="24"/>
          <w:szCs w:val="24"/>
        </w:rPr>
        <w:t>账户</w:t>
      </w:r>
      <w:r w:rsidR="00474BA8">
        <w:rPr>
          <w:rFonts w:ascii="宋体" w:eastAsia="宋体" w:hAnsi="宋体" w:cs="宋体" w:hint="eastAsia"/>
          <w:color w:val="000000"/>
          <w:kern w:val="0"/>
          <w:sz w:val="24"/>
          <w:szCs w:val="24"/>
        </w:rPr>
        <w:t>资产变现后方可列支，有关费用可酌情收取或减免，但不得收取管理费</w:t>
      </w:r>
      <w:r>
        <w:rPr>
          <w:rFonts w:ascii="宋体" w:eastAsia="宋体" w:hAnsi="宋体" w:cs="宋体" w:hint="eastAsia"/>
          <w:color w:val="000000"/>
          <w:kern w:val="0"/>
          <w:sz w:val="24"/>
          <w:szCs w:val="24"/>
        </w:rPr>
        <w:t>。</w:t>
      </w:r>
    </w:p>
    <w:p w14:paraId="2298B4F1" w14:textId="1300C4A2" w:rsidR="00EB48E5" w:rsidRDefault="001F2E4C" w:rsidP="00055DD6">
      <w:pPr>
        <w:widowControl/>
        <w:spacing w:line="360" w:lineRule="auto"/>
        <w:ind w:firstLine="482"/>
        <w:rPr>
          <w:rFonts w:ascii="宋体" w:eastAsia="宋体" w:hAnsi="宋体" w:cs="宋体"/>
          <w:color w:val="000000"/>
          <w:kern w:val="0"/>
          <w:szCs w:val="21"/>
        </w:rPr>
      </w:pPr>
      <w:r>
        <w:rPr>
          <w:rFonts w:ascii="宋体" w:eastAsia="宋体" w:hAnsi="宋体" w:cs="宋体" w:hint="eastAsia"/>
          <w:color w:val="000000"/>
          <w:kern w:val="0"/>
          <w:sz w:val="24"/>
          <w:szCs w:val="24"/>
        </w:rPr>
        <w:t>（</w:t>
      </w:r>
      <w:r w:rsidR="00474BA8">
        <w:rPr>
          <w:rFonts w:ascii="宋体" w:eastAsia="宋体" w:hAnsi="宋体" w:cs="宋体" w:hint="eastAsia"/>
          <w:color w:val="000000"/>
          <w:kern w:val="0"/>
          <w:sz w:val="24"/>
          <w:szCs w:val="24"/>
        </w:rPr>
        <w:t>五</w:t>
      </w:r>
      <w:r>
        <w:rPr>
          <w:rFonts w:ascii="宋体" w:eastAsia="宋体" w:hAnsi="宋体" w:cs="宋体" w:hint="eastAsia"/>
          <w:color w:val="000000"/>
          <w:kern w:val="0"/>
          <w:sz w:val="24"/>
          <w:szCs w:val="24"/>
        </w:rPr>
        <w:t>）不列入基金费用的项目</w:t>
      </w:r>
    </w:p>
    <w:p w14:paraId="57623E04"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基金管理人和基金托管人因未履行或未完全履行义务导致的费用支出或基金财产的损失；基金管理人和基金托管人处理与基金运作无关的事项发生的费用；《基金合同》生效前的相关费用；</w:t>
      </w:r>
      <w:r>
        <w:rPr>
          <w:rFonts w:ascii="宋体" w:eastAsia="宋体" w:hAnsi="宋体" w:cs="宋体" w:hint="eastAsia"/>
          <w:sz w:val="24"/>
        </w:rPr>
        <w:t>标的</w:t>
      </w:r>
      <w:r>
        <w:rPr>
          <w:rFonts w:ascii="宋体" w:eastAsia="宋体" w:hAnsi="宋体" w:cs="宋体" w:hint="eastAsia"/>
          <w:color w:val="000000"/>
          <w:kern w:val="0"/>
          <w:sz w:val="24"/>
          <w:szCs w:val="24"/>
        </w:rPr>
        <w:t>指数许可使用费（本基金的标的指数许可使用费由基金管理人承担）；其他根据相关法律法规及中国证监会的有关规定不得列入基金费用的项目不列入基金费用。</w:t>
      </w:r>
    </w:p>
    <w:p w14:paraId="6EF20FB1" w14:textId="1F843A9C" w:rsidR="00EB48E5" w:rsidRDefault="001F2E4C" w:rsidP="00055DD6">
      <w:pPr>
        <w:widowControl/>
        <w:spacing w:line="360" w:lineRule="auto"/>
        <w:ind w:firstLine="482"/>
        <w:rPr>
          <w:rFonts w:ascii="宋体" w:eastAsia="宋体" w:hAnsi="宋体" w:cs="宋体"/>
          <w:color w:val="000000"/>
          <w:kern w:val="0"/>
          <w:szCs w:val="21"/>
        </w:rPr>
      </w:pPr>
      <w:r>
        <w:rPr>
          <w:rFonts w:ascii="宋体" w:eastAsia="宋体" w:hAnsi="宋体" w:cs="宋体" w:hint="eastAsia"/>
          <w:color w:val="000000"/>
          <w:kern w:val="0"/>
          <w:sz w:val="24"/>
          <w:szCs w:val="24"/>
        </w:rPr>
        <w:t>（</w:t>
      </w:r>
      <w:r w:rsidR="00474BA8">
        <w:rPr>
          <w:rFonts w:ascii="宋体" w:eastAsia="宋体" w:hAnsi="宋体" w:cs="宋体" w:hint="eastAsia"/>
          <w:color w:val="000000"/>
          <w:kern w:val="0"/>
          <w:sz w:val="24"/>
          <w:szCs w:val="24"/>
        </w:rPr>
        <w:t>六</w:t>
      </w:r>
      <w:r>
        <w:rPr>
          <w:rFonts w:ascii="宋体" w:eastAsia="宋体" w:hAnsi="宋体" w:cs="宋体" w:hint="eastAsia"/>
          <w:color w:val="000000"/>
          <w:kern w:val="0"/>
          <w:sz w:val="24"/>
          <w:szCs w:val="24"/>
        </w:rPr>
        <w:t>）基金管理费、基金托管费</w:t>
      </w:r>
      <w:r w:rsidR="00474BA8">
        <w:rPr>
          <w:rFonts w:ascii="宋体" w:eastAsia="宋体" w:hAnsi="宋体" w:cs="宋体" w:hint="eastAsia"/>
          <w:color w:val="000000"/>
          <w:kern w:val="0"/>
          <w:sz w:val="24"/>
          <w:szCs w:val="24"/>
        </w:rPr>
        <w:t>和销售服务费</w:t>
      </w:r>
      <w:r>
        <w:rPr>
          <w:rFonts w:ascii="宋体" w:eastAsia="宋体" w:hAnsi="宋体" w:cs="宋体" w:hint="eastAsia"/>
          <w:color w:val="000000"/>
          <w:kern w:val="0"/>
          <w:sz w:val="24"/>
          <w:szCs w:val="24"/>
        </w:rPr>
        <w:t>的复核程序、支付方式和时间</w:t>
      </w:r>
    </w:p>
    <w:p w14:paraId="5750FD4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lastRenderedPageBreak/>
        <w:t>基金托管人对基金管理人计提的基金管理费、基金托管费</w:t>
      </w:r>
      <w:r w:rsidR="00C973D1" w:rsidRPr="00C973D1">
        <w:rPr>
          <w:rFonts w:ascii="宋体" w:eastAsia="宋体" w:hAnsi="宋体" w:cs="宋体" w:hint="eastAsia"/>
          <w:color w:val="000000"/>
          <w:kern w:val="0"/>
          <w:sz w:val="24"/>
          <w:szCs w:val="24"/>
        </w:rPr>
        <w:t>、销售服务费</w:t>
      </w:r>
      <w:r>
        <w:rPr>
          <w:rFonts w:ascii="宋体" w:eastAsia="宋体" w:hAnsi="宋体" w:cs="宋体" w:hint="eastAsia"/>
          <w:color w:val="000000"/>
          <w:kern w:val="0"/>
          <w:sz w:val="24"/>
          <w:szCs w:val="24"/>
        </w:rPr>
        <w:t>，根据本托管协议和《基金合同》的有关规定进行复核。</w:t>
      </w:r>
    </w:p>
    <w:p w14:paraId="59105524" w14:textId="77777777" w:rsidR="00C526B5" w:rsidRDefault="00C526B5" w:rsidP="00055DD6">
      <w:pPr>
        <w:widowControl/>
        <w:spacing w:line="360" w:lineRule="auto"/>
        <w:ind w:firstLine="480"/>
        <w:rPr>
          <w:rFonts w:ascii="宋体" w:eastAsia="宋体" w:hAnsi="宋体" w:cs="宋体"/>
          <w:color w:val="000000"/>
          <w:kern w:val="0"/>
          <w:sz w:val="24"/>
          <w:szCs w:val="24"/>
        </w:rPr>
      </w:pPr>
      <w:bookmarkStart w:id="212" w:name="_Hlk104481151"/>
      <w:r w:rsidRPr="00C526B5">
        <w:rPr>
          <w:rFonts w:ascii="宋体" w:eastAsia="宋体" w:hAnsi="宋体" w:cs="宋体" w:hint="eastAsia"/>
          <w:color w:val="000000"/>
          <w:kern w:val="0"/>
          <w:sz w:val="24"/>
          <w:szCs w:val="24"/>
        </w:rPr>
        <w:t>基金管理费每日计提，逐日累计至每月月末，按月支付。由基金托管人根据与基金管理人核对一致的财务数据，按照与基金管理人协商一致的方式在月初5</w:t>
      </w:r>
      <w:proofErr w:type="gramStart"/>
      <w:r w:rsidRPr="00C526B5">
        <w:rPr>
          <w:rFonts w:ascii="宋体" w:eastAsia="宋体" w:hAnsi="宋体" w:cs="宋体" w:hint="eastAsia"/>
          <w:color w:val="000000"/>
          <w:kern w:val="0"/>
          <w:sz w:val="24"/>
          <w:szCs w:val="24"/>
        </w:rPr>
        <w:t>个</w:t>
      </w:r>
      <w:proofErr w:type="gramEnd"/>
      <w:r w:rsidRPr="00C526B5">
        <w:rPr>
          <w:rFonts w:ascii="宋体" w:eastAsia="宋体" w:hAnsi="宋体" w:cs="宋体" w:hint="eastAsia"/>
          <w:color w:val="000000"/>
          <w:kern w:val="0"/>
          <w:sz w:val="24"/>
          <w:szCs w:val="24"/>
        </w:rPr>
        <w:t>工作日内、按照指定的账户路径进行资金支付。若遇法定节假日、公休日等，支付日期顺延</w:t>
      </w:r>
      <w:r>
        <w:rPr>
          <w:rFonts w:ascii="宋体" w:eastAsia="宋体" w:hAnsi="宋体" w:cs="宋体" w:hint="eastAsia"/>
          <w:color w:val="000000"/>
          <w:kern w:val="0"/>
          <w:sz w:val="24"/>
          <w:szCs w:val="24"/>
        </w:rPr>
        <w:t>。</w:t>
      </w:r>
    </w:p>
    <w:p w14:paraId="629F3E90" w14:textId="77777777" w:rsid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基金托管费每日计提，逐日累计至每月月末，按月支付。由基金托管人根据与基金管理人核对一致的财务数据，按照与基金管理人协商一致的方式在月初5</w:t>
      </w:r>
      <w:proofErr w:type="gramStart"/>
      <w:r w:rsidRPr="00C526B5">
        <w:rPr>
          <w:rFonts w:ascii="宋体" w:eastAsia="宋体" w:hAnsi="宋体" w:cs="宋体" w:hint="eastAsia"/>
          <w:color w:val="000000"/>
          <w:kern w:val="0"/>
          <w:sz w:val="24"/>
          <w:szCs w:val="24"/>
        </w:rPr>
        <w:t>个</w:t>
      </w:r>
      <w:proofErr w:type="gramEnd"/>
      <w:r w:rsidRPr="00C526B5">
        <w:rPr>
          <w:rFonts w:ascii="宋体" w:eastAsia="宋体" w:hAnsi="宋体" w:cs="宋体" w:hint="eastAsia"/>
          <w:color w:val="000000"/>
          <w:kern w:val="0"/>
          <w:sz w:val="24"/>
          <w:szCs w:val="24"/>
        </w:rPr>
        <w:t>工作日内、按照指定的账户路径进行资金支付。若遇法定节假日、公休日等，支付日期顺延。</w:t>
      </w:r>
    </w:p>
    <w:p w14:paraId="122FF727"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基金销售服务费每日计提。</w:t>
      </w:r>
    </w:p>
    <w:p w14:paraId="552948AA"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 xml:space="preserve">（1）直销机构： </w:t>
      </w:r>
    </w:p>
    <w:p w14:paraId="2BD5961F"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 xml:space="preserve">对于投资者通过直销机构持有的C类基金份额计提的销售服务费，在投资者赎回C类基金份额或基金合同终止时，随赎回款（或清算款）一并返还给投资者。 </w:t>
      </w:r>
    </w:p>
    <w:p w14:paraId="3BED0079"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基金管理人基金销售子公司销售母公司所管理基金的，按照本条要求执行。</w:t>
      </w:r>
    </w:p>
    <w:p w14:paraId="0E37FA4D"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（2）直销机构以外的其他销售机构：</w:t>
      </w:r>
    </w:p>
    <w:p w14:paraId="148A155F" w14:textId="77777777" w:rsidR="00C526B5" w:rsidRPr="00C526B5"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对于投资者持续持有期限未超过一年（即365天，下同） 的基金份额收取的销售服务费，逐日累计至每月月末，按月支付 ，按照与基金管理人协商一致的方式在次月初5</w:t>
      </w:r>
      <w:proofErr w:type="gramStart"/>
      <w:r w:rsidRPr="00C526B5">
        <w:rPr>
          <w:rFonts w:ascii="宋体" w:eastAsia="宋体" w:hAnsi="宋体" w:cs="宋体" w:hint="eastAsia"/>
          <w:color w:val="000000"/>
          <w:kern w:val="0"/>
          <w:sz w:val="24"/>
          <w:szCs w:val="24"/>
        </w:rPr>
        <w:t>个</w:t>
      </w:r>
      <w:proofErr w:type="gramEnd"/>
      <w:r w:rsidRPr="00C526B5">
        <w:rPr>
          <w:rFonts w:ascii="宋体" w:eastAsia="宋体" w:hAnsi="宋体" w:cs="宋体" w:hint="eastAsia"/>
          <w:color w:val="000000"/>
          <w:kern w:val="0"/>
          <w:sz w:val="24"/>
          <w:szCs w:val="24"/>
        </w:rPr>
        <w:t>工作日内按照指定的账户路径进行支付。若遇法定节假日、公休假等，支付日期顺延。</w:t>
      </w:r>
    </w:p>
    <w:p w14:paraId="3D4720DE" w14:textId="0D39924B" w:rsidR="00E23638" w:rsidRDefault="00C526B5" w:rsidP="00055DD6">
      <w:pPr>
        <w:widowControl/>
        <w:spacing w:line="360" w:lineRule="auto"/>
        <w:ind w:firstLine="480"/>
        <w:rPr>
          <w:rFonts w:ascii="宋体" w:eastAsia="宋体" w:hAnsi="宋体" w:cs="宋体"/>
          <w:color w:val="000000"/>
          <w:kern w:val="0"/>
          <w:sz w:val="24"/>
          <w:szCs w:val="24"/>
        </w:rPr>
      </w:pPr>
      <w:r w:rsidRPr="00C526B5">
        <w:rPr>
          <w:rFonts w:ascii="宋体" w:eastAsia="宋体" w:hAnsi="宋体" w:cs="宋体" w:hint="eastAsia"/>
          <w:color w:val="000000"/>
          <w:kern w:val="0"/>
          <w:sz w:val="24"/>
          <w:szCs w:val="24"/>
        </w:rPr>
        <w:t>对于持续持有期限超过一年的基金份额，持有超过一年后继续计提的销售服务费，在投资者赎回基金份额或基金合同终止时，随赎回款（或清算款）一并返还给投资者。</w:t>
      </w:r>
      <w:bookmarkStart w:id="213" w:name="_Hlk104481158"/>
      <w:bookmarkEnd w:id="212"/>
    </w:p>
    <w:bookmarkEnd w:id="213"/>
    <w:p w14:paraId="6CC4A6BC" w14:textId="520C987A"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sidR="00474BA8">
        <w:rPr>
          <w:rFonts w:ascii="宋体" w:eastAsia="宋体" w:hAnsi="宋体" w:cs="宋体" w:hint="eastAsia"/>
          <w:color w:val="000000"/>
          <w:kern w:val="0"/>
          <w:sz w:val="24"/>
          <w:szCs w:val="24"/>
        </w:rPr>
        <w:t>七</w:t>
      </w:r>
      <w:r>
        <w:rPr>
          <w:rFonts w:ascii="宋体" w:eastAsia="宋体" w:hAnsi="宋体" w:cs="宋体" w:hint="eastAsia"/>
          <w:color w:val="000000"/>
          <w:kern w:val="0"/>
          <w:sz w:val="24"/>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并及时告知基金管理人。</w:t>
      </w:r>
    </w:p>
    <w:p w14:paraId="4F3D5C14" w14:textId="77777777" w:rsidR="00CE4024" w:rsidRDefault="00CE4024" w:rsidP="00055DD6">
      <w:pPr>
        <w:widowControl/>
        <w:spacing w:line="360" w:lineRule="auto"/>
        <w:ind w:firstLine="480"/>
        <w:rPr>
          <w:rFonts w:ascii="宋体" w:eastAsia="宋体" w:hAnsi="宋体" w:cs="宋体"/>
          <w:color w:val="000000"/>
          <w:kern w:val="0"/>
          <w:sz w:val="27"/>
          <w:szCs w:val="27"/>
        </w:rPr>
      </w:pPr>
    </w:p>
    <w:p w14:paraId="000246C2" w14:textId="77777777" w:rsidR="00EB48E5" w:rsidRDefault="001F2E4C" w:rsidP="00055DD6">
      <w:pPr>
        <w:pStyle w:val="1"/>
        <w:spacing w:line="360" w:lineRule="auto"/>
        <w:jc w:val="center"/>
        <w:rPr>
          <w:color w:val="000000"/>
          <w:kern w:val="0"/>
          <w:szCs w:val="21"/>
        </w:rPr>
      </w:pPr>
      <w:bookmarkStart w:id="214" w:name="_Toc375230495"/>
      <w:bookmarkStart w:id="215" w:name="_Toc477274821"/>
      <w:bookmarkStart w:id="216" w:name="_Toc125361084"/>
      <w:bookmarkStart w:id="217" w:name="_Toc124749947"/>
      <w:bookmarkStart w:id="218" w:name="_Toc2143"/>
      <w:bookmarkEnd w:id="214"/>
      <w:bookmarkEnd w:id="215"/>
      <w:bookmarkEnd w:id="216"/>
      <w:bookmarkEnd w:id="217"/>
      <w:r>
        <w:rPr>
          <w:rFonts w:hint="eastAsia"/>
          <w:color w:val="000000"/>
          <w:kern w:val="0"/>
          <w:sz w:val="30"/>
          <w:szCs w:val="30"/>
        </w:rPr>
        <w:lastRenderedPageBreak/>
        <w:t>十二、基金份额持有人名册的保管</w:t>
      </w:r>
      <w:bookmarkEnd w:id="218"/>
    </w:p>
    <w:p w14:paraId="72612BA2"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基金管理人和基金托管人须分别妥善保管基金份额持有人名册。基金份额持有人名册的内容必须包括基金份额持有人的名称和持有的基金份额。</w:t>
      </w:r>
    </w:p>
    <w:p w14:paraId="14D3D7AC"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份额持有人名册由基金的基金登记机构根据基金管理人的指令编制和保管，基金管理人和基金托管人应按照目前相关规则分别保管基金份额持有人名册。保管方式可以采用电子或文档的形式。保存期限不低于法律法规规定的最低期限。</w:t>
      </w:r>
    </w:p>
    <w:p w14:paraId="1E059F74"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托管人以电子版形式妥善保管基金份额持有人名册，并定期备份，保存期限不低于法律法规规定的最低年限。基金托管人不得将所保管的基金份额持有人名册用于基金托管业务以外的其他用途，并应遵守保密义务。</w:t>
      </w:r>
    </w:p>
    <w:p w14:paraId="58C2E0EF" w14:textId="77777777" w:rsidR="00EB48E5" w:rsidRDefault="001F2E4C" w:rsidP="00055DD6">
      <w:pPr>
        <w:widowControl/>
        <w:spacing w:line="360" w:lineRule="auto"/>
        <w:ind w:firstLine="480"/>
        <w:rPr>
          <w:rFonts w:ascii="宋体" w:eastAsia="宋体" w:hAnsi="宋体" w:cs="宋体"/>
          <w:color w:val="000000"/>
          <w:kern w:val="0"/>
          <w:sz w:val="27"/>
          <w:szCs w:val="27"/>
        </w:rPr>
      </w:pPr>
      <w:proofErr w:type="gramStart"/>
      <w:r>
        <w:rPr>
          <w:rFonts w:ascii="宋体" w:eastAsia="宋体" w:hAnsi="宋体" w:cs="宋体" w:hint="eastAsia"/>
          <w:color w:val="000000"/>
          <w:kern w:val="0"/>
          <w:sz w:val="24"/>
          <w:szCs w:val="24"/>
        </w:rPr>
        <w:t>若基金</w:t>
      </w:r>
      <w:proofErr w:type="gramEnd"/>
      <w:r>
        <w:rPr>
          <w:rFonts w:ascii="宋体" w:eastAsia="宋体" w:hAnsi="宋体" w:cs="宋体" w:hint="eastAsia"/>
          <w:color w:val="000000"/>
          <w:kern w:val="0"/>
          <w:sz w:val="24"/>
          <w:szCs w:val="24"/>
        </w:rPr>
        <w:t>管理人或基金托管人由于自身原因无法妥善保管基金份额持有人名册，应按有关法规规定各自承担相应的责任。</w:t>
      </w:r>
    </w:p>
    <w:p w14:paraId="473C08B7" w14:textId="77777777" w:rsidR="00EB48E5" w:rsidRDefault="001F2E4C" w:rsidP="00055DD6">
      <w:pPr>
        <w:pStyle w:val="1"/>
        <w:spacing w:line="360" w:lineRule="auto"/>
        <w:jc w:val="center"/>
        <w:rPr>
          <w:color w:val="000000"/>
          <w:kern w:val="0"/>
          <w:szCs w:val="21"/>
        </w:rPr>
      </w:pPr>
      <w:bookmarkStart w:id="219" w:name="_Toc477274822"/>
      <w:bookmarkStart w:id="220" w:name="_Hlt112616834"/>
      <w:bookmarkStart w:id="221" w:name="_Toc125361085"/>
      <w:bookmarkStart w:id="222" w:name="_Toc375230496"/>
      <w:bookmarkStart w:id="223" w:name="_Toc124749948"/>
      <w:bookmarkStart w:id="224" w:name="_Toc10447"/>
      <w:bookmarkEnd w:id="219"/>
      <w:bookmarkEnd w:id="220"/>
      <w:bookmarkEnd w:id="221"/>
      <w:bookmarkEnd w:id="222"/>
      <w:bookmarkEnd w:id="223"/>
      <w:r>
        <w:rPr>
          <w:rFonts w:hint="eastAsia"/>
          <w:color w:val="000000"/>
          <w:kern w:val="0"/>
          <w:sz w:val="30"/>
          <w:szCs w:val="30"/>
        </w:rPr>
        <w:t>十三、基金有关文件和档案的保存</w:t>
      </w:r>
      <w:bookmarkEnd w:id="224"/>
    </w:p>
    <w:p w14:paraId="652730CA"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基金托管人按各自职责完整保存原始凭证、记账凭证、基金账册、交易记录和重要合同等，保存期限按照法律法规的规定执行，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保存期限不低于法律法规规定的最低期限。</w:t>
      </w:r>
    </w:p>
    <w:p w14:paraId="2B87AD32"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基金管理人签署重大合同文本后，应及时将合同文本正本送达基金托管人处。基金管理人应及时将与本基金账务处理、资金划拨等有关的合同、协议传真给基金托管人。</w:t>
      </w:r>
    </w:p>
    <w:p w14:paraId="0F0C1BA7"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基金管理人或基金托管人变更后，未变更的一方有义务协助接任人接受基金的有关文件。</w:t>
      </w:r>
    </w:p>
    <w:p w14:paraId="5E8D89E4" w14:textId="77777777" w:rsidR="00CE4024" w:rsidRDefault="00CE4024" w:rsidP="00055DD6">
      <w:pPr>
        <w:widowControl/>
        <w:spacing w:line="360" w:lineRule="auto"/>
        <w:ind w:firstLine="480"/>
        <w:rPr>
          <w:rFonts w:ascii="宋体" w:eastAsia="宋体" w:hAnsi="宋体" w:cs="宋体"/>
          <w:color w:val="000000"/>
          <w:kern w:val="0"/>
          <w:sz w:val="24"/>
          <w:szCs w:val="24"/>
        </w:rPr>
      </w:pPr>
    </w:p>
    <w:p w14:paraId="76EFE0D1" w14:textId="77777777" w:rsidR="00CE4024" w:rsidRDefault="00CE4024" w:rsidP="00055DD6">
      <w:pPr>
        <w:widowControl/>
        <w:spacing w:line="360" w:lineRule="auto"/>
        <w:ind w:firstLine="480"/>
        <w:rPr>
          <w:rFonts w:ascii="宋体" w:eastAsia="宋体" w:hAnsi="宋体" w:cs="宋体"/>
          <w:color w:val="000000"/>
          <w:kern w:val="0"/>
          <w:sz w:val="27"/>
          <w:szCs w:val="27"/>
        </w:rPr>
      </w:pPr>
    </w:p>
    <w:p w14:paraId="6B90AED4" w14:textId="77777777" w:rsidR="00EB48E5" w:rsidRDefault="001F2E4C" w:rsidP="00055DD6">
      <w:pPr>
        <w:pStyle w:val="1"/>
        <w:spacing w:line="360" w:lineRule="auto"/>
        <w:jc w:val="center"/>
        <w:rPr>
          <w:color w:val="000000"/>
          <w:kern w:val="0"/>
          <w:szCs w:val="21"/>
        </w:rPr>
      </w:pPr>
      <w:bookmarkStart w:id="225" w:name="_Toc125361086"/>
      <w:bookmarkStart w:id="226" w:name="_Toc477274823"/>
      <w:bookmarkStart w:id="227" w:name="_Toc124749236"/>
      <w:bookmarkStart w:id="228" w:name="_Toc375230497"/>
      <w:bookmarkStart w:id="229" w:name="_Toc123626180"/>
      <w:bookmarkStart w:id="230" w:name="_Toc124749949"/>
      <w:bookmarkStart w:id="231" w:name="_Toc29768"/>
      <w:bookmarkEnd w:id="225"/>
      <w:bookmarkEnd w:id="226"/>
      <w:bookmarkEnd w:id="227"/>
      <w:bookmarkEnd w:id="228"/>
      <w:bookmarkEnd w:id="229"/>
      <w:bookmarkEnd w:id="230"/>
      <w:r>
        <w:rPr>
          <w:rFonts w:hint="eastAsia"/>
          <w:color w:val="000000"/>
          <w:kern w:val="0"/>
          <w:sz w:val="30"/>
          <w:szCs w:val="30"/>
        </w:rPr>
        <w:lastRenderedPageBreak/>
        <w:t>十四、基金管理人和基金托管人的更换</w:t>
      </w:r>
      <w:bookmarkEnd w:id="231"/>
    </w:p>
    <w:p w14:paraId="288FF36D" w14:textId="77777777" w:rsidR="00EB48E5" w:rsidRDefault="001F2E4C" w:rsidP="00055DD6">
      <w:pPr>
        <w:widowControl/>
        <w:spacing w:line="360" w:lineRule="auto"/>
        <w:ind w:firstLine="354"/>
        <w:textAlignment w:val="baseline"/>
        <w:rPr>
          <w:rFonts w:ascii="宋体" w:eastAsia="宋体" w:hAnsi="宋体" w:cs="宋体"/>
          <w:color w:val="000000"/>
          <w:kern w:val="0"/>
          <w:szCs w:val="21"/>
        </w:rPr>
      </w:pPr>
      <w:bookmarkStart w:id="232" w:name="_Toc477270397"/>
      <w:bookmarkStart w:id="233" w:name="_Toc123705485"/>
      <w:bookmarkStart w:id="234" w:name="_Toc48703925"/>
      <w:bookmarkStart w:id="235" w:name="_Toc15118246"/>
      <w:bookmarkStart w:id="236" w:name="_Toc57530253"/>
      <w:bookmarkStart w:id="237" w:name="_Toc79392594"/>
      <w:bookmarkStart w:id="238" w:name="_Toc477272441"/>
      <w:bookmarkStart w:id="239" w:name="_Toc22454474"/>
      <w:bookmarkStart w:id="240" w:name="_Hlk104481224"/>
      <w:bookmarkEnd w:id="232"/>
      <w:bookmarkEnd w:id="233"/>
      <w:bookmarkEnd w:id="234"/>
      <w:bookmarkEnd w:id="235"/>
      <w:bookmarkEnd w:id="236"/>
      <w:bookmarkEnd w:id="237"/>
      <w:bookmarkEnd w:id="238"/>
      <w:bookmarkEnd w:id="239"/>
      <w:r>
        <w:rPr>
          <w:rFonts w:ascii="宋体" w:eastAsia="宋体" w:hAnsi="宋体" w:cs="宋体" w:hint="eastAsia"/>
          <w:color w:val="000000"/>
          <w:kern w:val="0"/>
          <w:sz w:val="24"/>
          <w:szCs w:val="24"/>
        </w:rPr>
        <w:t>（一）基金管理人的更换</w:t>
      </w:r>
    </w:p>
    <w:p w14:paraId="357A728B" w14:textId="77777777" w:rsidR="00EB48E5" w:rsidRDefault="001F2E4C" w:rsidP="00055DD6">
      <w:pPr>
        <w:widowControl/>
        <w:spacing w:line="360" w:lineRule="auto"/>
        <w:ind w:firstLine="480"/>
        <w:rPr>
          <w:rFonts w:ascii="宋体" w:eastAsia="宋体" w:hAnsi="宋体" w:cs="宋体"/>
          <w:color w:val="000000"/>
          <w:kern w:val="0"/>
          <w:szCs w:val="21"/>
        </w:rPr>
      </w:pPr>
      <w:bookmarkStart w:id="241" w:name="_Toc48703926"/>
      <w:bookmarkStart w:id="242" w:name="_Toc22454475"/>
      <w:bookmarkEnd w:id="241"/>
      <w:bookmarkEnd w:id="242"/>
      <w:r>
        <w:rPr>
          <w:rFonts w:ascii="宋体" w:eastAsia="宋体" w:hAnsi="宋体" w:cs="宋体" w:hint="eastAsia"/>
          <w:color w:val="000000"/>
          <w:kern w:val="0"/>
          <w:sz w:val="24"/>
          <w:szCs w:val="24"/>
        </w:rPr>
        <w:t>1、基金管理人的更换条件</w:t>
      </w:r>
    </w:p>
    <w:p w14:paraId="3588FF16"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有下列情形之一的，基金管理人职责终止：</w:t>
      </w:r>
    </w:p>
    <w:p w14:paraId="63AEB87F"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（1）被依法取消基金管理资格；</w:t>
      </w:r>
      <w:bookmarkStart w:id="243" w:name="_Hlt80887029"/>
      <w:bookmarkEnd w:id="243"/>
    </w:p>
    <w:p w14:paraId="40E8C13E"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（2）被基金份额持有人大会解任；</w:t>
      </w:r>
    </w:p>
    <w:p w14:paraId="3C4A50F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（3）依法解散、被依法撤销或被依法宣告破产；</w:t>
      </w:r>
    </w:p>
    <w:p w14:paraId="0A10439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（4）法律法规及中国证监会规定的和《基金合同》约定的其他情形。</w:t>
      </w:r>
    </w:p>
    <w:p w14:paraId="2CFC9127" w14:textId="77777777" w:rsidR="00EB48E5" w:rsidRDefault="001F2E4C" w:rsidP="00055DD6">
      <w:pPr>
        <w:widowControl/>
        <w:spacing w:line="360" w:lineRule="auto"/>
        <w:ind w:firstLine="480"/>
        <w:rPr>
          <w:rFonts w:ascii="宋体" w:eastAsia="宋体" w:hAnsi="宋体" w:cs="宋体"/>
          <w:color w:val="000000"/>
          <w:kern w:val="0"/>
          <w:szCs w:val="21"/>
        </w:rPr>
      </w:pPr>
      <w:bookmarkStart w:id="244" w:name="_Toc22454476"/>
      <w:bookmarkStart w:id="245" w:name="_Toc48703927"/>
      <w:bookmarkEnd w:id="244"/>
      <w:bookmarkEnd w:id="245"/>
      <w:r>
        <w:rPr>
          <w:rFonts w:ascii="宋体" w:eastAsia="宋体" w:hAnsi="宋体" w:cs="宋体" w:hint="eastAsia"/>
          <w:color w:val="000000"/>
          <w:kern w:val="0"/>
          <w:sz w:val="24"/>
          <w:szCs w:val="24"/>
        </w:rPr>
        <w:t>2、更换基金管理人的程序</w:t>
      </w:r>
    </w:p>
    <w:p w14:paraId="70595497"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（1）提名：</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管理人由基金托管人或由单独或合计持有10%以上（含10%）基金份额的基金份额持有人提名；</w:t>
      </w:r>
    </w:p>
    <w:p w14:paraId="2E0F136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（2）决议：基金份额持有人大会在基金管理人职责终止后6个月内对被提名的基金管理人形成决议，该决议需经参加大会的基金份额持有人所持表决权的三分之二以上（含三分之二）表决通过</w:t>
      </w:r>
      <w:r>
        <w:rPr>
          <w:rFonts w:ascii="宋体" w:eastAsia="宋体" w:hAnsi="宋体" w:cs="宋体" w:hint="eastAsia"/>
          <w:sz w:val="24"/>
        </w:rPr>
        <w:t>，决议自表决通过之日起生效</w:t>
      </w:r>
      <w:r>
        <w:rPr>
          <w:rFonts w:ascii="宋体" w:eastAsia="宋体" w:hAnsi="宋体" w:cs="宋体" w:hint="eastAsia"/>
          <w:color w:val="000000"/>
          <w:kern w:val="0"/>
          <w:sz w:val="24"/>
          <w:szCs w:val="24"/>
        </w:rPr>
        <w:t>；</w:t>
      </w:r>
    </w:p>
    <w:p w14:paraId="136720B8"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（3）临时基金管理人：</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管理人产生之前，由中国证监会指定临时基金管理人；</w:t>
      </w:r>
    </w:p>
    <w:p w14:paraId="765EFA5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（4）备案：基金份额持有人大会更换基金管理人的决议须经中国证监会备案；</w:t>
      </w:r>
    </w:p>
    <w:p w14:paraId="34B626EF"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（5）公告：基金管理人更换后，由基金托管人在更换基金管理人的基金份额持有人大会决议生效后2日内在规定媒介公告；</w:t>
      </w:r>
    </w:p>
    <w:p w14:paraId="4B005E2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（6）交接：基金管理人职责终止的，基金管理人应妥善保管基金管理业务资料，及时向临时基金管理人或</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管理人办理基金管理业务的移交手续，临时基金管理人或</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管理人应及时接收。临时基金管理人或</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管理人应与基金托管人核对基金资产总值和基金资产净值；</w:t>
      </w:r>
    </w:p>
    <w:p w14:paraId="68285135"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14:paraId="6DC05F0E"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（8）基金名称变更：基金管理人更换后，如果原任或</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管理人要求，应按其要求替换或删除基金名称中与原任基金管理人有关的名称字样。</w:t>
      </w:r>
    </w:p>
    <w:p w14:paraId="080B7F25" w14:textId="77777777" w:rsidR="00EB48E5" w:rsidRDefault="001F2E4C" w:rsidP="00055DD6">
      <w:pPr>
        <w:widowControl/>
        <w:spacing w:line="360" w:lineRule="auto"/>
        <w:ind w:firstLine="354"/>
        <w:textAlignment w:val="baseline"/>
        <w:rPr>
          <w:rFonts w:ascii="宋体" w:eastAsia="宋体" w:hAnsi="宋体" w:cs="宋体"/>
          <w:color w:val="000000"/>
          <w:kern w:val="0"/>
          <w:szCs w:val="21"/>
        </w:rPr>
      </w:pPr>
      <w:bookmarkStart w:id="246" w:name="_Toc22454471"/>
      <w:bookmarkStart w:id="247" w:name="_Toc123705486"/>
      <w:bookmarkStart w:id="248" w:name="_Toc477270398"/>
      <w:bookmarkStart w:id="249" w:name="_Toc477272442"/>
      <w:bookmarkStart w:id="250" w:name="_Toc48703922"/>
      <w:bookmarkEnd w:id="246"/>
      <w:bookmarkEnd w:id="247"/>
      <w:bookmarkEnd w:id="248"/>
      <w:bookmarkEnd w:id="249"/>
      <w:bookmarkEnd w:id="250"/>
      <w:r>
        <w:rPr>
          <w:rFonts w:ascii="宋体" w:eastAsia="宋体" w:hAnsi="宋体" w:cs="宋体" w:hint="eastAsia"/>
          <w:color w:val="000000"/>
          <w:kern w:val="0"/>
          <w:sz w:val="24"/>
          <w:szCs w:val="24"/>
        </w:rPr>
        <w:lastRenderedPageBreak/>
        <w:t>（二）基金托管人的更换</w:t>
      </w:r>
    </w:p>
    <w:p w14:paraId="3C196703" w14:textId="77777777" w:rsidR="00EB48E5" w:rsidRDefault="001F2E4C" w:rsidP="00055DD6">
      <w:pPr>
        <w:widowControl/>
        <w:spacing w:line="360" w:lineRule="auto"/>
        <w:ind w:firstLine="480"/>
        <w:rPr>
          <w:rFonts w:ascii="宋体" w:eastAsia="宋体" w:hAnsi="宋体" w:cs="宋体"/>
          <w:color w:val="000000"/>
          <w:kern w:val="0"/>
          <w:szCs w:val="21"/>
        </w:rPr>
      </w:pPr>
      <w:bookmarkStart w:id="251" w:name="_Toc48703923"/>
      <w:bookmarkStart w:id="252" w:name="_Toc22454472"/>
      <w:bookmarkEnd w:id="251"/>
      <w:bookmarkEnd w:id="252"/>
      <w:r>
        <w:rPr>
          <w:rFonts w:ascii="宋体" w:eastAsia="宋体" w:hAnsi="宋体" w:cs="宋体" w:hint="eastAsia"/>
          <w:color w:val="000000"/>
          <w:kern w:val="0"/>
          <w:sz w:val="24"/>
          <w:szCs w:val="24"/>
        </w:rPr>
        <w:t>1、基金托管人的更换条件</w:t>
      </w:r>
    </w:p>
    <w:p w14:paraId="3591BD4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有下列情形之一的，基金托管人职责终止：</w:t>
      </w:r>
    </w:p>
    <w:p w14:paraId="33160DF4"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（1）被依法取消基金托管资格；</w:t>
      </w:r>
    </w:p>
    <w:p w14:paraId="70220AFA"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（2）被基金份额持有人大会解任；</w:t>
      </w:r>
    </w:p>
    <w:p w14:paraId="650C01A5"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（3）依法解散、被依法撤销或被依法宣告破产；</w:t>
      </w:r>
    </w:p>
    <w:p w14:paraId="18A7F547"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（4）法律法规及中国证监会规定的和《基金合同》约定的其他情形。</w:t>
      </w:r>
    </w:p>
    <w:p w14:paraId="7E797291" w14:textId="77777777" w:rsidR="00EB48E5" w:rsidRDefault="001F2E4C" w:rsidP="00055DD6">
      <w:pPr>
        <w:widowControl/>
        <w:spacing w:line="360" w:lineRule="auto"/>
        <w:ind w:firstLine="480"/>
        <w:rPr>
          <w:rFonts w:ascii="宋体" w:eastAsia="宋体" w:hAnsi="宋体" w:cs="宋体"/>
          <w:color w:val="000000"/>
          <w:kern w:val="0"/>
          <w:szCs w:val="21"/>
        </w:rPr>
      </w:pPr>
      <w:bookmarkStart w:id="253" w:name="_Toc22454473"/>
      <w:bookmarkStart w:id="254" w:name="_Toc48703924"/>
      <w:bookmarkEnd w:id="253"/>
      <w:bookmarkEnd w:id="254"/>
      <w:r>
        <w:rPr>
          <w:rFonts w:ascii="宋体" w:eastAsia="宋体" w:hAnsi="宋体" w:cs="宋体" w:hint="eastAsia"/>
          <w:color w:val="000000"/>
          <w:kern w:val="0"/>
          <w:sz w:val="24"/>
          <w:szCs w:val="24"/>
        </w:rPr>
        <w:t>2、更换基金托管人的程序</w:t>
      </w:r>
    </w:p>
    <w:p w14:paraId="142D1359"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（1）提名：</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托管人由基金管理人或由单独或合计持有10%以上（含10%）基金份额的基金份额持有人提名；</w:t>
      </w:r>
    </w:p>
    <w:p w14:paraId="204BFBC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（2）决议：基金份额持有人大会在基金托管人职责终止后6个月内对被提名的基金托管人形成决议，该决议需经参加大会的基金份额持有人所持表决权的三分之二以上（含三分之二）表决通过</w:t>
      </w:r>
      <w:r>
        <w:rPr>
          <w:rFonts w:ascii="宋体" w:eastAsia="宋体" w:hAnsi="宋体" w:cs="宋体" w:hint="eastAsia"/>
          <w:sz w:val="24"/>
        </w:rPr>
        <w:t>，决议自表决通过之日起生效</w:t>
      </w:r>
      <w:r>
        <w:rPr>
          <w:rFonts w:ascii="宋体" w:eastAsia="宋体" w:hAnsi="宋体" w:cs="宋体" w:hint="eastAsia"/>
          <w:color w:val="000000"/>
          <w:kern w:val="0"/>
          <w:sz w:val="24"/>
          <w:szCs w:val="24"/>
        </w:rPr>
        <w:t>；</w:t>
      </w:r>
    </w:p>
    <w:p w14:paraId="1E05B3FE"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（3）临时基金托管人：</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托管人产生之前，由中国证监会指定临时基金托管人；</w:t>
      </w:r>
    </w:p>
    <w:p w14:paraId="5BD6D67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（4）备案：基金份额持有人大会更换基金托管人的决议须经中国证监会备案；</w:t>
      </w:r>
    </w:p>
    <w:p w14:paraId="5BED653F"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（5）公告：基金托管人更换后，由基金管理人在更换基金托管人的基金份额持有人大会决议生效后2日内在规定媒介公告；</w:t>
      </w:r>
    </w:p>
    <w:p w14:paraId="3D520491"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（6）交接：基金托管人职责终止的，应当妥善保管基金财产和基金托管业务资料，及时办理基金财产和基金托管业务的移交手续，</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托管人或者临时基金托管人应当及时接收。</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托管人或临时基金托管人应与基金管理人核对基金资产总值和基金资产净值；</w:t>
      </w:r>
    </w:p>
    <w:p w14:paraId="0E8610FC"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（7）审计：基金托管人职责终止的，应当按照法律法规规定聘请符合《中华人民共和国证券法》规定的会计师事务所对基金财产进行审计，并将审计结果予以公告，同时报中国证监会备案，</w:t>
      </w:r>
      <w:r>
        <w:rPr>
          <w:rFonts w:ascii="宋体" w:eastAsia="宋体" w:hAnsi="宋体" w:cs="宋体" w:hint="eastAsia"/>
          <w:sz w:val="24"/>
        </w:rPr>
        <w:t>审计费用在基金财产中列支</w:t>
      </w:r>
      <w:r>
        <w:rPr>
          <w:rFonts w:ascii="宋体" w:eastAsia="宋体" w:hAnsi="宋体" w:cs="宋体" w:hint="eastAsia"/>
          <w:color w:val="000000"/>
          <w:kern w:val="0"/>
          <w:sz w:val="24"/>
          <w:szCs w:val="24"/>
        </w:rPr>
        <w:t>。</w:t>
      </w:r>
    </w:p>
    <w:p w14:paraId="48465303" w14:textId="77777777" w:rsidR="00EB48E5" w:rsidRDefault="001F2E4C" w:rsidP="00055DD6">
      <w:pPr>
        <w:widowControl/>
        <w:spacing w:line="360" w:lineRule="auto"/>
        <w:ind w:firstLine="482"/>
        <w:rPr>
          <w:rFonts w:ascii="宋体" w:eastAsia="宋体" w:hAnsi="宋体" w:cs="宋体"/>
          <w:color w:val="000000"/>
          <w:kern w:val="0"/>
          <w:szCs w:val="21"/>
        </w:rPr>
      </w:pPr>
      <w:r>
        <w:rPr>
          <w:rFonts w:ascii="宋体" w:eastAsia="宋体" w:hAnsi="宋体" w:cs="宋体" w:hint="eastAsia"/>
          <w:color w:val="000000"/>
          <w:kern w:val="0"/>
          <w:sz w:val="24"/>
          <w:szCs w:val="24"/>
        </w:rPr>
        <w:t>（三）基金管理人和基金托管人的同时更换程序</w:t>
      </w:r>
    </w:p>
    <w:p w14:paraId="4CEB6E29"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1、提名：如果基金管理人和基金托管人同时更换，由单独或合计持有基金总份额10%以上（含10%）的基金份额持有人提名新的基金管理人和基金托管人；</w:t>
      </w:r>
    </w:p>
    <w:p w14:paraId="7EEDED16"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lastRenderedPageBreak/>
        <w:t>2、基金管理人和基金托管人的更换分别按上述程序进行；</w:t>
      </w:r>
    </w:p>
    <w:p w14:paraId="08AD6F2A"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3、公告：</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管理人和</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托管人应在更换基金管理人和基金托管人的基金份额持有人大会决议生效后2日内在规定媒介上联合公告。</w:t>
      </w:r>
    </w:p>
    <w:p w14:paraId="008E4FA4"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（四）</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管理人或临时基金管理人接收基金管理业务或</w:t>
      </w:r>
      <w:proofErr w:type="gramStart"/>
      <w:r>
        <w:rPr>
          <w:rFonts w:ascii="宋体" w:eastAsia="宋体" w:hAnsi="宋体" w:cs="宋体" w:hint="eastAsia"/>
          <w:color w:val="000000"/>
          <w:kern w:val="0"/>
          <w:sz w:val="24"/>
          <w:szCs w:val="24"/>
        </w:rPr>
        <w:t>新任基金</w:t>
      </w:r>
      <w:proofErr w:type="gramEnd"/>
      <w:r>
        <w:rPr>
          <w:rFonts w:ascii="宋体" w:eastAsia="宋体" w:hAnsi="宋体" w:cs="宋体" w:hint="eastAsia"/>
          <w:color w:val="000000"/>
          <w:kern w:val="0"/>
          <w:sz w:val="24"/>
          <w:szCs w:val="24"/>
        </w:rPr>
        <w:t>托管人或临时基金托管人接收基金财产和基金托管业务前，</w:t>
      </w:r>
      <w:proofErr w:type="gramStart"/>
      <w:r>
        <w:rPr>
          <w:rFonts w:ascii="宋体" w:eastAsia="宋体" w:hAnsi="宋体" w:cs="宋体" w:hint="eastAsia"/>
          <w:color w:val="000000"/>
          <w:kern w:val="0"/>
          <w:sz w:val="24"/>
          <w:szCs w:val="24"/>
        </w:rPr>
        <w:t>原基金</w:t>
      </w:r>
      <w:proofErr w:type="gramEnd"/>
      <w:r>
        <w:rPr>
          <w:rFonts w:ascii="宋体" w:eastAsia="宋体" w:hAnsi="宋体" w:cs="宋体" w:hint="eastAsia"/>
          <w:color w:val="000000"/>
          <w:kern w:val="0"/>
          <w:sz w:val="24"/>
          <w:szCs w:val="24"/>
        </w:rPr>
        <w:t>管理人或</w:t>
      </w:r>
      <w:proofErr w:type="gramStart"/>
      <w:r>
        <w:rPr>
          <w:rFonts w:ascii="宋体" w:eastAsia="宋体" w:hAnsi="宋体" w:cs="宋体" w:hint="eastAsia"/>
          <w:color w:val="000000"/>
          <w:kern w:val="0"/>
          <w:sz w:val="24"/>
          <w:szCs w:val="24"/>
        </w:rPr>
        <w:t>原基金</w:t>
      </w:r>
      <w:proofErr w:type="gramEnd"/>
      <w:r>
        <w:rPr>
          <w:rFonts w:ascii="宋体" w:eastAsia="宋体" w:hAnsi="宋体" w:cs="宋体" w:hint="eastAsia"/>
          <w:color w:val="000000"/>
          <w:kern w:val="0"/>
          <w:sz w:val="24"/>
          <w:szCs w:val="24"/>
        </w:rPr>
        <w:t>托管人应继续履行相关职责，并保证不</w:t>
      </w:r>
      <w:proofErr w:type="gramStart"/>
      <w:r>
        <w:rPr>
          <w:rFonts w:ascii="宋体" w:eastAsia="宋体" w:hAnsi="宋体" w:cs="宋体" w:hint="eastAsia"/>
          <w:color w:val="000000"/>
          <w:kern w:val="0"/>
          <w:sz w:val="24"/>
          <w:szCs w:val="24"/>
        </w:rPr>
        <w:t>作出</w:t>
      </w:r>
      <w:proofErr w:type="gramEnd"/>
      <w:r>
        <w:rPr>
          <w:rFonts w:ascii="宋体" w:eastAsia="宋体" w:hAnsi="宋体" w:cs="宋体" w:hint="eastAsia"/>
          <w:color w:val="000000"/>
          <w:kern w:val="0"/>
          <w:sz w:val="24"/>
          <w:szCs w:val="24"/>
        </w:rPr>
        <w:t>对基金份额持有人的利益造成损害的行为。</w:t>
      </w:r>
      <w:proofErr w:type="gramStart"/>
      <w:r>
        <w:rPr>
          <w:rFonts w:ascii="宋体" w:eastAsia="宋体" w:hAnsi="宋体" w:cs="宋体" w:hint="eastAsia"/>
          <w:color w:val="000000"/>
          <w:kern w:val="0"/>
          <w:sz w:val="24"/>
          <w:szCs w:val="24"/>
        </w:rPr>
        <w:t>原基金</w:t>
      </w:r>
      <w:proofErr w:type="gramEnd"/>
      <w:r>
        <w:rPr>
          <w:rFonts w:ascii="宋体" w:eastAsia="宋体" w:hAnsi="宋体" w:cs="宋体" w:hint="eastAsia"/>
          <w:color w:val="000000"/>
          <w:kern w:val="0"/>
          <w:sz w:val="24"/>
          <w:szCs w:val="24"/>
        </w:rPr>
        <w:t>管理人或</w:t>
      </w:r>
      <w:proofErr w:type="gramStart"/>
      <w:r>
        <w:rPr>
          <w:rFonts w:ascii="宋体" w:eastAsia="宋体" w:hAnsi="宋体" w:cs="宋体" w:hint="eastAsia"/>
          <w:color w:val="000000"/>
          <w:kern w:val="0"/>
          <w:sz w:val="24"/>
          <w:szCs w:val="24"/>
        </w:rPr>
        <w:t>原基金</w:t>
      </w:r>
      <w:proofErr w:type="gramEnd"/>
      <w:r>
        <w:rPr>
          <w:rFonts w:ascii="宋体" w:eastAsia="宋体" w:hAnsi="宋体" w:cs="宋体" w:hint="eastAsia"/>
          <w:color w:val="000000"/>
          <w:kern w:val="0"/>
          <w:sz w:val="24"/>
          <w:szCs w:val="24"/>
        </w:rPr>
        <w:t>托管人在继续履行相关职责期间，仍有权按照基金合同的规定收取基金管理费或基金托管费。</w:t>
      </w:r>
    </w:p>
    <w:p w14:paraId="6E91EE96" w14:textId="77777777" w:rsidR="00EB48E5" w:rsidRDefault="001F2E4C" w:rsidP="00055DD6">
      <w:pPr>
        <w:widowControl/>
        <w:spacing w:line="360" w:lineRule="auto"/>
        <w:ind w:firstLine="540"/>
        <w:rPr>
          <w:rFonts w:ascii="宋体" w:eastAsia="宋体" w:hAnsi="宋体" w:cs="宋体"/>
          <w:color w:val="000000"/>
          <w:kern w:val="0"/>
          <w:sz w:val="27"/>
          <w:szCs w:val="27"/>
        </w:rPr>
      </w:pPr>
      <w:r>
        <w:rPr>
          <w:rFonts w:ascii="宋体" w:eastAsia="宋体" w:hAnsi="宋体" w:cs="宋体" w:hint="eastAsia"/>
          <w:color w:val="000000"/>
          <w:kern w:val="0"/>
          <w:sz w:val="24"/>
          <w:szCs w:val="24"/>
        </w:rPr>
        <w:t>（五）本部</w:t>
      </w:r>
      <w:proofErr w:type="gramStart"/>
      <w:r>
        <w:rPr>
          <w:rFonts w:ascii="宋体" w:eastAsia="宋体" w:hAnsi="宋体" w:cs="宋体" w:hint="eastAsia"/>
          <w:color w:val="000000"/>
          <w:kern w:val="0"/>
          <w:sz w:val="24"/>
          <w:szCs w:val="24"/>
        </w:rPr>
        <w:t>分关于</w:t>
      </w:r>
      <w:proofErr w:type="gramEnd"/>
      <w:r>
        <w:rPr>
          <w:rFonts w:ascii="宋体" w:eastAsia="宋体" w:hAnsi="宋体" w:cs="宋体" w:hint="eastAsia"/>
          <w:color w:val="000000"/>
          <w:kern w:val="0"/>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End w:id="240"/>
    </w:p>
    <w:p w14:paraId="6F7AF08B" w14:textId="77777777" w:rsidR="00EB48E5" w:rsidRDefault="001F2E4C" w:rsidP="00055DD6">
      <w:pPr>
        <w:pStyle w:val="1"/>
        <w:spacing w:line="360" w:lineRule="auto"/>
        <w:jc w:val="center"/>
        <w:rPr>
          <w:color w:val="000000"/>
          <w:kern w:val="0"/>
          <w:szCs w:val="21"/>
        </w:rPr>
      </w:pPr>
      <w:bookmarkStart w:id="255" w:name="_Toc125361087"/>
      <w:bookmarkStart w:id="256" w:name="_Toc123626181"/>
      <w:bookmarkStart w:id="257" w:name="_Toc375230498"/>
      <w:bookmarkStart w:id="258" w:name="_Toc124749237"/>
      <w:bookmarkStart w:id="259" w:name="_Toc477274824"/>
      <w:bookmarkStart w:id="260" w:name="_Toc124749950"/>
      <w:bookmarkStart w:id="261" w:name="_Toc24559"/>
      <w:bookmarkEnd w:id="255"/>
      <w:bookmarkEnd w:id="256"/>
      <w:bookmarkEnd w:id="257"/>
      <w:bookmarkEnd w:id="258"/>
      <w:bookmarkEnd w:id="259"/>
      <w:bookmarkEnd w:id="260"/>
      <w:r>
        <w:rPr>
          <w:rFonts w:hint="eastAsia"/>
          <w:color w:val="000000"/>
          <w:kern w:val="0"/>
          <w:sz w:val="30"/>
          <w:szCs w:val="30"/>
        </w:rPr>
        <w:t>十五、禁止行为</w:t>
      </w:r>
      <w:bookmarkEnd w:id="261"/>
    </w:p>
    <w:p w14:paraId="5A6AFA35"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1、基金管理人不得从事《基金法》第二十条禁止的任一行为。</w:t>
      </w:r>
    </w:p>
    <w:p w14:paraId="550DAAE1"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2、基金托管人不得从事《基金法》第三十八条禁止的任一行为。</w:t>
      </w:r>
    </w:p>
    <w:p w14:paraId="08615B99"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3、除非法律法规及中国证监会另有规定，本协议当事人</w:t>
      </w:r>
      <w:proofErr w:type="gramStart"/>
      <w:r>
        <w:rPr>
          <w:rFonts w:ascii="宋体" w:eastAsia="宋体" w:hAnsi="宋体" w:cs="宋体" w:hint="eastAsia"/>
          <w:color w:val="000000"/>
          <w:kern w:val="0"/>
          <w:sz w:val="24"/>
          <w:szCs w:val="24"/>
        </w:rPr>
        <w:t>不</w:t>
      </w:r>
      <w:proofErr w:type="gramEnd"/>
      <w:r>
        <w:rPr>
          <w:rFonts w:ascii="宋体" w:eastAsia="宋体" w:hAnsi="宋体" w:cs="宋体" w:hint="eastAsia"/>
          <w:color w:val="000000"/>
          <w:kern w:val="0"/>
          <w:sz w:val="24"/>
          <w:szCs w:val="24"/>
        </w:rPr>
        <w:t>得用基金财产从事《基金法》第七十三条禁止的投资或活动。</w:t>
      </w:r>
    </w:p>
    <w:p w14:paraId="1A03B89A"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4、除《基金法》、《基金合同》及中国证监会另有规定，基金管理人、基金托管人不得利用基金财产为自身和任何第三人谋取利益。</w:t>
      </w:r>
    </w:p>
    <w:p w14:paraId="1BCDB261"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5、基金管理人与基金托管人对基金经营过程中任何尚未按基金法规规定的方式公开披露的信息，不得违反本协议约定对他人泄露。</w:t>
      </w:r>
    </w:p>
    <w:p w14:paraId="3D410330"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6、基金托管人对基金管理人的正当指令不得拖延和拒绝执行。</w:t>
      </w:r>
    </w:p>
    <w:p w14:paraId="02241B0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7、除根据基金管理人指令或《基金合同》另有规定的，基金托管人不得动用或处分基金财产。</w:t>
      </w:r>
    </w:p>
    <w:p w14:paraId="3E2CFC03"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8、基金托管人、基金管理人的高级管理人员和其他从业人员不得相互兼职。</w:t>
      </w:r>
    </w:p>
    <w:p w14:paraId="5ECCC23A"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9、基金管理人不得从事《基金合同》投资限制中禁止投资的行为。</w:t>
      </w:r>
    </w:p>
    <w:p w14:paraId="70441252"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10、本协议当事人不得从事法律法规、中国证监会、《基金合同》和本协议禁止的其他行为。</w:t>
      </w:r>
    </w:p>
    <w:p w14:paraId="7E7FB92A" w14:textId="77777777" w:rsidR="00EB48E5" w:rsidRDefault="001F2E4C" w:rsidP="00055DD6">
      <w:pPr>
        <w:widowControl/>
        <w:spacing w:line="360" w:lineRule="auto"/>
        <w:ind w:firstLine="480"/>
        <w:rPr>
          <w:rFonts w:ascii="宋体" w:eastAsia="宋体" w:hAnsi="宋体" w:cs="宋体"/>
          <w:color w:val="000000"/>
          <w:kern w:val="0"/>
          <w:sz w:val="30"/>
          <w:szCs w:val="30"/>
        </w:rPr>
      </w:pPr>
      <w:r>
        <w:rPr>
          <w:rFonts w:ascii="宋体" w:eastAsia="宋体" w:hAnsi="宋体" w:cs="宋体" w:hint="eastAsia"/>
          <w:color w:val="000000"/>
          <w:kern w:val="0"/>
          <w:sz w:val="24"/>
          <w:szCs w:val="24"/>
        </w:rPr>
        <w:lastRenderedPageBreak/>
        <w:t>法律法规和监管部门取消或变更上述禁止性规定的，如适用于本基金，基金管理人在履行适当程序后，则本基金不受上述相关限制或按照变更后的规定执行。</w:t>
      </w:r>
    </w:p>
    <w:p w14:paraId="04EF7753" w14:textId="77777777" w:rsidR="00EB48E5" w:rsidRDefault="001F2E4C" w:rsidP="00055DD6">
      <w:pPr>
        <w:pStyle w:val="1"/>
        <w:spacing w:line="360" w:lineRule="auto"/>
        <w:jc w:val="center"/>
        <w:rPr>
          <w:color w:val="000000"/>
          <w:kern w:val="0"/>
          <w:szCs w:val="21"/>
        </w:rPr>
      </w:pPr>
      <w:bookmarkStart w:id="262" w:name="_Toc124749238"/>
      <w:bookmarkStart w:id="263" w:name="_Toc477274825"/>
      <w:bookmarkStart w:id="264" w:name="_Toc124749951"/>
      <w:bookmarkStart w:id="265" w:name="_Toc125361088"/>
      <w:bookmarkStart w:id="266" w:name="_Toc375230499"/>
      <w:bookmarkStart w:id="267" w:name="_Toc123626182"/>
      <w:bookmarkStart w:id="268" w:name="_Toc30071"/>
      <w:bookmarkEnd w:id="262"/>
      <w:bookmarkEnd w:id="263"/>
      <w:bookmarkEnd w:id="264"/>
      <w:bookmarkEnd w:id="265"/>
      <w:bookmarkEnd w:id="266"/>
      <w:bookmarkEnd w:id="267"/>
      <w:r>
        <w:rPr>
          <w:rFonts w:hint="eastAsia"/>
          <w:color w:val="000000"/>
          <w:kern w:val="0"/>
          <w:sz w:val="30"/>
          <w:szCs w:val="30"/>
        </w:rPr>
        <w:t>十六、基金托管协议的变更、终止与基金财产的清算</w:t>
      </w:r>
      <w:bookmarkEnd w:id="268"/>
    </w:p>
    <w:p w14:paraId="71C15064" w14:textId="77777777" w:rsidR="00DE39BF" w:rsidRDefault="00DE39BF" w:rsidP="00055DD6">
      <w:pPr>
        <w:widowControl/>
        <w:spacing w:line="360" w:lineRule="auto"/>
        <w:ind w:firstLine="482"/>
        <w:rPr>
          <w:rFonts w:ascii="宋体" w:hAnsi="宋体" w:cs="宋体"/>
          <w:color w:val="000000"/>
          <w:szCs w:val="21"/>
        </w:rPr>
      </w:pPr>
      <w:r>
        <w:rPr>
          <w:rFonts w:ascii="宋体" w:hAnsi="宋体" w:cs="宋体" w:hint="eastAsia"/>
          <w:color w:val="000000"/>
          <w:sz w:val="24"/>
          <w:szCs w:val="24"/>
        </w:rPr>
        <w:t>（一）托管协议的变更与终止</w:t>
      </w:r>
    </w:p>
    <w:p w14:paraId="2035F0BC"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rPr>
        <w:t>1、托管协议的变更程序</w:t>
      </w:r>
    </w:p>
    <w:p w14:paraId="50611F0F" w14:textId="77777777" w:rsidR="00DE39BF" w:rsidRDefault="00DE39BF" w:rsidP="00055DD6">
      <w:pPr>
        <w:widowControl/>
        <w:spacing w:line="360" w:lineRule="auto"/>
        <w:ind w:firstLine="504"/>
        <w:jc w:val="left"/>
        <w:rPr>
          <w:rFonts w:ascii="宋体" w:hAnsi="宋体" w:cs="宋体"/>
          <w:color w:val="000000"/>
          <w:szCs w:val="21"/>
        </w:rPr>
      </w:pPr>
      <w:r>
        <w:rPr>
          <w:rFonts w:ascii="宋体" w:hAnsi="宋体" w:cs="宋体" w:hint="eastAsia"/>
          <w:color w:val="000000"/>
          <w:spacing w:val="6"/>
          <w:sz w:val="24"/>
          <w:szCs w:val="24"/>
        </w:rPr>
        <w:t>本协议双方当事人经协商一致，可以对协议的内容进行变更。变更后的托管协议，其内容不得与《基金合同》的规定有任何冲突。</w:t>
      </w:r>
    </w:p>
    <w:p w14:paraId="38F15638"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rPr>
        <w:t>2、基金托管协议终止的情形</w:t>
      </w:r>
    </w:p>
    <w:p w14:paraId="1D857F08" w14:textId="77777777" w:rsidR="00DE39BF" w:rsidRDefault="00DE39BF" w:rsidP="00055DD6">
      <w:pPr>
        <w:widowControl/>
        <w:spacing w:line="360" w:lineRule="auto"/>
        <w:ind w:firstLine="504"/>
        <w:jc w:val="left"/>
        <w:rPr>
          <w:rFonts w:ascii="宋体" w:hAnsi="宋体" w:cs="宋体"/>
          <w:color w:val="000000"/>
          <w:szCs w:val="21"/>
        </w:rPr>
      </w:pPr>
      <w:r>
        <w:rPr>
          <w:rFonts w:ascii="宋体" w:hAnsi="宋体" w:cs="宋体" w:hint="eastAsia"/>
          <w:color w:val="000000"/>
          <w:spacing w:val="6"/>
          <w:sz w:val="24"/>
          <w:szCs w:val="24"/>
        </w:rPr>
        <w:t>发生以下情况，本托管协议终止：</w:t>
      </w:r>
    </w:p>
    <w:p w14:paraId="256723D5" w14:textId="77777777" w:rsidR="00DE39BF" w:rsidRDefault="00DE39BF" w:rsidP="00055DD6">
      <w:pPr>
        <w:widowControl/>
        <w:spacing w:line="360" w:lineRule="auto"/>
        <w:ind w:firstLine="504"/>
        <w:jc w:val="left"/>
        <w:rPr>
          <w:rFonts w:ascii="宋体" w:hAnsi="宋体" w:cs="宋体"/>
          <w:color w:val="000000"/>
          <w:szCs w:val="21"/>
        </w:rPr>
      </w:pPr>
      <w:r>
        <w:rPr>
          <w:rFonts w:ascii="宋体" w:hAnsi="宋体" w:cs="宋体" w:hint="eastAsia"/>
          <w:color w:val="000000"/>
          <w:spacing w:val="6"/>
          <w:sz w:val="24"/>
          <w:szCs w:val="24"/>
        </w:rPr>
        <w:t>（1）《基金合同》终止；</w:t>
      </w:r>
    </w:p>
    <w:p w14:paraId="00D678A0" w14:textId="77777777" w:rsidR="00DE39BF" w:rsidRDefault="00DE39BF" w:rsidP="00055DD6">
      <w:pPr>
        <w:widowControl/>
        <w:spacing w:line="360" w:lineRule="auto"/>
        <w:ind w:firstLine="504"/>
        <w:jc w:val="left"/>
        <w:rPr>
          <w:rFonts w:ascii="宋体" w:hAnsi="宋体" w:cs="宋体"/>
          <w:color w:val="000000"/>
          <w:szCs w:val="21"/>
        </w:rPr>
      </w:pPr>
      <w:r>
        <w:rPr>
          <w:rFonts w:ascii="宋体" w:hAnsi="宋体" w:cs="宋体" w:hint="eastAsia"/>
          <w:color w:val="000000"/>
          <w:spacing w:val="6"/>
          <w:sz w:val="24"/>
          <w:szCs w:val="24"/>
        </w:rPr>
        <w:t>（2）基金托管人解散、依法被撤销、破产或有其他基金托管人接管基金资产；</w:t>
      </w:r>
    </w:p>
    <w:p w14:paraId="3EDE4839" w14:textId="77777777" w:rsidR="00DE39BF" w:rsidRDefault="00DE39BF" w:rsidP="00055DD6">
      <w:pPr>
        <w:widowControl/>
        <w:spacing w:line="360" w:lineRule="auto"/>
        <w:ind w:firstLine="504"/>
        <w:jc w:val="left"/>
        <w:rPr>
          <w:rFonts w:ascii="宋体" w:hAnsi="宋体" w:cs="宋体"/>
          <w:color w:val="000000"/>
          <w:szCs w:val="21"/>
        </w:rPr>
      </w:pPr>
      <w:r>
        <w:rPr>
          <w:rFonts w:ascii="宋体" w:hAnsi="宋体" w:cs="宋体" w:hint="eastAsia"/>
          <w:color w:val="000000"/>
          <w:spacing w:val="6"/>
          <w:sz w:val="24"/>
          <w:szCs w:val="24"/>
        </w:rPr>
        <w:t>（3）基金管理人解散、依法被撤销、破产或有其他基金管理人接管基金管理权；</w:t>
      </w:r>
    </w:p>
    <w:p w14:paraId="70859217" w14:textId="77777777" w:rsidR="00DE39BF" w:rsidRDefault="00DE39BF" w:rsidP="00055DD6">
      <w:pPr>
        <w:widowControl/>
        <w:spacing w:line="360" w:lineRule="auto"/>
        <w:ind w:firstLine="504"/>
        <w:jc w:val="left"/>
        <w:rPr>
          <w:rFonts w:ascii="宋体" w:hAnsi="宋体" w:cs="宋体"/>
          <w:color w:val="000000"/>
          <w:szCs w:val="21"/>
        </w:rPr>
      </w:pPr>
      <w:r>
        <w:rPr>
          <w:rFonts w:ascii="宋体" w:hAnsi="宋体" w:cs="宋体" w:hint="eastAsia"/>
          <w:color w:val="000000"/>
          <w:spacing w:val="6"/>
          <w:sz w:val="24"/>
          <w:szCs w:val="24"/>
        </w:rPr>
        <w:t>（4）发生法律法规、中国证监会或《基金合同》规定的终止事项。</w:t>
      </w:r>
    </w:p>
    <w:p w14:paraId="4F426A6D" w14:textId="77777777" w:rsidR="00DE39BF" w:rsidRDefault="00DE39BF" w:rsidP="00055DD6">
      <w:pPr>
        <w:widowControl/>
        <w:spacing w:line="360" w:lineRule="auto"/>
        <w:ind w:firstLine="482"/>
        <w:rPr>
          <w:rFonts w:ascii="宋体" w:hAnsi="宋体" w:cs="宋体"/>
          <w:color w:val="000000"/>
          <w:szCs w:val="21"/>
        </w:rPr>
      </w:pPr>
      <w:r>
        <w:rPr>
          <w:rFonts w:ascii="宋体" w:hAnsi="宋体" w:cs="宋体" w:hint="eastAsia"/>
          <w:color w:val="000000"/>
          <w:sz w:val="24"/>
          <w:szCs w:val="24"/>
        </w:rPr>
        <w:t>（二）基金财产的清算</w:t>
      </w:r>
    </w:p>
    <w:p w14:paraId="41F9AAFE"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1、基金财产清算小组：自出现《基金合同》终止事由之日起30个工作日内成立清算小组，基金管理人组织基金财产清算小组并在中国证监会的监督下进行基金清算。</w:t>
      </w:r>
    </w:p>
    <w:p w14:paraId="2221B27C"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2、基金财产清算小组组成：基金财产清算小组成员由基金管理人、基金托管人、注册会计师、律师以及中国证监会指定的人员组成。基金财产清算小组可以聘用必要的工作人员。</w:t>
      </w:r>
    </w:p>
    <w:p w14:paraId="01C8FB38"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3、基金财产清算小组职责：基金财产清算小组负责基金财产的保管、清理、估价、变现和分配。基金财产清算小组可以依法进行必要的民事活动。</w:t>
      </w:r>
    </w:p>
    <w:p w14:paraId="165A415A"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4、基金财产清算程序：</w:t>
      </w:r>
    </w:p>
    <w:p w14:paraId="1F89E168"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（1）《基金合同》终止情形出现时，由基金财产清算小组统一接管基金；</w:t>
      </w:r>
    </w:p>
    <w:p w14:paraId="079916BF"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（2）对基金财产和债权债务进行清理和确认；</w:t>
      </w:r>
    </w:p>
    <w:p w14:paraId="170A4733"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（3）对基金财产进行估值和变现；</w:t>
      </w:r>
    </w:p>
    <w:p w14:paraId="005A30A5"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lastRenderedPageBreak/>
        <w:t>（4）制作清算报告；</w:t>
      </w:r>
    </w:p>
    <w:p w14:paraId="1F08D780"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（5）聘请会计师事务所对清算报告进行外部审计，聘请律师事务所对清算报告出具法律意见书；</w:t>
      </w:r>
    </w:p>
    <w:p w14:paraId="31400DC3"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（6）将清算报告报中国证监会备案并公告；</w:t>
      </w:r>
    </w:p>
    <w:p w14:paraId="015CC5EA"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（7）对基金剩余财产进行分配。</w:t>
      </w:r>
    </w:p>
    <w:p w14:paraId="5F214DD7"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5、基金财产清算的期限为6个月，但因本基金所持证券的流动性受到限制而不能及时变现的，清算期限相应顺延。</w:t>
      </w:r>
    </w:p>
    <w:p w14:paraId="1BB414EA"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6、清算费用</w:t>
      </w:r>
    </w:p>
    <w:p w14:paraId="669311D9"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清算费用是指基金财产清算小组在进行基金清算过程中发生的所有合理费用，清算费用由基金财产清算小组优先从基金财产中支付。</w:t>
      </w:r>
    </w:p>
    <w:p w14:paraId="33209E8E"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7、基金财产清算剩余资产的分配</w:t>
      </w:r>
    </w:p>
    <w:p w14:paraId="056F7692"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14:paraId="20246F5F"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8、基金财产清算的公告</w:t>
      </w:r>
    </w:p>
    <w:p w14:paraId="30D1490F"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清算过程中的有关重大事项须及时公告；基金财产清算报告</w:t>
      </w:r>
      <w:proofErr w:type="gramStart"/>
      <w:r>
        <w:rPr>
          <w:rFonts w:ascii="宋体" w:hAnsi="宋体" w:cs="宋体" w:hint="eastAsia"/>
          <w:color w:val="000000"/>
          <w:sz w:val="24"/>
          <w:szCs w:val="24"/>
          <w:highlight w:val="white"/>
        </w:rPr>
        <w:t>经符合</w:t>
      </w:r>
      <w:proofErr w:type="gramEnd"/>
      <w:r>
        <w:rPr>
          <w:rFonts w:ascii="宋体" w:hAnsi="宋体" w:cs="宋体" w:hint="eastAsia"/>
          <w:color w:val="000000"/>
          <w:sz w:val="24"/>
          <w:szCs w:val="24"/>
          <w:highlight w:val="white"/>
        </w:rPr>
        <w:t>《证券法》规定的会计师事务所审计并由律师事务所出具法律意见书后报中国证监会备案并公告。基金财产清算公告于基金财产清算报告报中国证监会备案后5个工作日内由基金财产清算小组进行公告。</w:t>
      </w:r>
    </w:p>
    <w:p w14:paraId="67EC8B1B" w14:textId="77777777" w:rsidR="00DE39BF" w:rsidRDefault="00DE39BF" w:rsidP="00055DD6">
      <w:pPr>
        <w:widowControl/>
        <w:spacing w:line="360" w:lineRule="auto"/>
        <w:ind w:firstLine="480"/>
        <w:rPr>
          <w:rFonts w:ascii="宋体" w:hAnsi="宋体" w:cs="宋体"/>
          <w:color w:val="000000"/>
          <w:szCs w:val="21"/>
        </w:rPr>
      </w:pPr>
      <w:r>
        <w:rPr>
          <w:rFonts w:ascii="宋体" w:hAnsi="宋体" w:cs="宋体" w:hint="eastAsia"/>
          <w:color w:val="000000"/>
          <w:sz w:val="24"/>
          <w:szCs w:val="24"/>
          <w:highlight w:val="white"/>
        </w:rPr>
        <w:t>9、基金财产清算账册及文件的保存</w:t>
      </w:r>
    </w:p>
    <w:p w14:paraId="17DF41AF" w14:textId="75B2DA47" w:rsidR="00EB48E5" w:rsidRDefault="00DE39BF" w:rsidP="00055DD6">
      <w:pPr>
        <w:widowControl/>
        <w:spacing w:line="360" w:lineRule="auto"/>
        <w:ind w:firstLine="482"/>
        <w:rPr>
          <w:rFonts w:ascii="宋体" w:eastAsia="宋体" w:hAnsi="宋体" w:cs="宋体"/>
          <w:color w:val="000000"/>
          <w:kern w:val="0"/>
          <w:sz w:val="27"/>
          <w:szCs w:val="27"/>
        </w:rPr>
      </w:pPr>
      <w:r>
        <w:rPr>
          <w:rFonts w:ascii="宋体" w:hAnsi="宋体" w:cs="宋体" w:hint="eastAsia"/>
          <w:color w:val="000000"/>
          <w:sz w:val="24"/>
          <w:szCs w:val="24"/>
          <w:highlight w:val="white"/>
        </w:rPr>
        <w:t>基金财产清算账册及有关文件由基金托管人保存20年以上。</w:t>
      </w:r>
    </w:p>
    <w:p w14:paraId="6AE78481" w14:textId="77777777" w:rsidR="00EB48E5" w:rsidRDefault="001F2E4C" w:rsidP="00055DD6">
      <w:pPr>
        <w:pStyle w:val="1"/>
        <w:spacing w:line="360" w:lineRule="auto"/>
        <w:jc w:val="center"/>
        <w:rPr>
          <w:color w:val="000000"/>
          <w:kern w:val="0"/>
          <w:szCs w:val="21"/>
        </w:rPr>
      </w:pPr>
      <w:bookmarkStart w:id="269" w:name="_Toc124749239"/>
      <w:bookmarkStart w:id="270" w:name="_Toc375230500"/>
      <w:bookmarkStart w:id="271" w:name="_Toc124749952"/>
      <w:bookmarkStart w:id="272" w:name="_Toc125361089"/>
      <w:bookmarkStart w:id="273" w:name="_Toc477274826"/>
      <w:bookmarkStart w:id="274" w:name="_Toc123626183"/>
      <w:bookmarkStart w:id="275" w:name="_Toc9048"/>
      <w:bookmarkEnd w:id="269"/>
      <w:bookmarkEnd w:id="270"/>
      <w:bookmarkEnd w:id="271"/>
      <w:bookmarkEnd w:id="272"/>
      <w:bookmarkEnd w:id="273"/>
      <w:bookmarkEnd w:id="274"/>
      <w:r>
        <w:rPr>
          <w:rFonts w:hint="eastAsia"/>
          <w:color w:val="000000"/>
          <w:kern w:val="0"/>
          <w:sz w:val="30"/>
          <w:szCs w:val="30"/>
        </w:rPr>
        <w:t>十七、违约责任</w:t>
      </w:r>
      <w:bookmarkEnd w:id="275"/>
    </w:p>
    <w:p w14:paraId="4ED32FF7"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（一）</w:t>
      </w:r>
      <w:r>
        <w:rPr>
          <w:rFonts w:ascii="宋体" w:eastAsia="宋体" w:hAnsi="宋体" w:cs="宋体" w:hint="eastAsia"/>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eastAsia="宋体" w:hAnsi="宋体" w:cs="宋体" w:hint="eastAsia"/>
          <w:color w:val="000000"/>
          <w:kern w:val="0"/>
          <w:sz w:val="24"/>
          <w:szCs w:val="24"/>
        </w:rPr>
        <w:t>但是发生下列情况的</w:t>
      </w:r>
      <w:r w:rsidR="00E23638">
        <w:rPr>
          <w:rFonts w:ascii="宋体" w:eastAsia="宋体" w:hAnsi="宋体" w:cs="宋体" w:hint="eastAsia"/>
          <w:color w:val="000000"/>
          <w:kern w:val="0"/>
          <w:sz w:val="24"/>
          <w:szCs w:val="24"/>
        </w:rPr>
        <w:t>之一的</w:t>
      </w:r>
      <w:r>
        <w:rPr>
          <w:rFonts w:ascii="宋体" w:eastAsia="宋体" w:hAnsi="宋体" w:cs="宋体" w:hint="eastAsia"/>
          <w:color w:val="000000"/>
          <w:kern w:val="0"/>
          <w:sz w:val="24"/>
          <w:szCs w:val="24"/>
        </w:rPr>
        <w:t>，当事人免责：</w:t>
      </w:r>
    </w:p>
    <w:p w14:paraId="16E3EE2D"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1、不可抗力；</w:t>
      </w:r>
    </w:p>
    <w:p w14:paraId="4134E6D9"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lastRenderedPageBreak/>
        <w:t>2、基金管理人和/或基金托管人按照当时有效的法律法规或中国证监会的规定作为或不作为而造成的损失等；</w:t>
      </w:r>
    </w:p>
    <w:p w14:paraId="2588FD02"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3、基金管理人由于按照《基金合同》规定的投资原则行使或不行使其投资权而造成的损失等。</w:t>
      </w:r>
    </w:p>
    <w:p w14:paraId="135EF7F7" w14:textId="7777777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3D5B8816" w14:textId="77777777" w:rsidR="00EB48E5" w:rsidRDefault="001F2E4C" w:rsidP="00055DD6">
      <w:pPr>
        <w:widowControl/>
        <w:spacing w:line="360" w:lineRule="auto"/>
        <w:ind w:firstLine="480"/>
        <w:rPr>
          <w:rFonts w:ascii="宋体" w:eastAsia="宋体" w:hAnsi="宋体" w:cs="宋体"/>
          <w:color w:val="000000"/>
          <w:kern w:val="0"/>
          <w:sz w:val="27"/>
          <w:szCs w:val="27"/>
        </w:rPr>
      </w:pPr>
      <w:r>
        <w:rPr>
          <w:rFonts w:ascii="宋体" w:eastAsia="宋体" w:hAnsi="宋体" w:cs="宋体" w:hint="eastAsia"/>
          <w:color w:val="000000"/>
          <w:kern w:val="0"/>
          <w:sz w:val="24"/>
          <w:szCs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B808729" w14:textId="77777777" w:rsidR="00EB48E5" w:rsidRDefault="001F2E4C" w:rsidP="00055DD6">
      <w:pPr>
        <w:pStyle w:val="1"/>
        <w:spacing w:line="360" w:lineRule="auto"/>
        <w:jc w:val="center"/>
        <w:rPr>
          <w:color w:val="000000"/>
          <w:kern w:val="0"/>
          <w:szCs w:val="21"/>
        </w:rPr>
      </w:pPr>
      <w:bookmarkStart w:id="276" w:name="_Toc477274827"/>
      <w:bookmarkStart w:id="277" w:name="_Toc375230501"/>
      <w:bookmarkStart w:id="278" w:name="_Toc9852"/>
      <w:bookmarkEnd w:id="276"/>
      <w:r>
        <w:rPr>
          <w:rFonts w:hint="eastAsia"/>
          <w:color w:val="000000"/>
          <w:kern w:val="0"/>
          <w:sz w:val="30"/>
          <w:szCs w:val="30"/>
        </w:rPr>
        <w:t>十八、</w:t>
      </w:r>
      <w:bookmarkStart w:id="279" w:name="_Toc375230502"/>
      <w:bookmarkStart w:id="280" w:name="_Toc124749953"/>
      <w:bookmarkStart w:id="281" w:name="_Toc125361090"/>
      <w:bookmarkStart w:id="282" w:name="_Toc124749240"/>
      <w:bookmarkStart w:id="283" w:name="_Toc123626184"/>
      <w:bookmarkEnd w:id="277"/>
      <w:bookmarkEnd w:id="279"/>
      <w:bookmarkEnd w:id="280"/>
      <w:bookmarkEnd w:id="281"/>
      <w:bookmarkEnd w:id="282"/>
      <w:bookmarkEnd w:id="283"/>
      <w:r>
        <w:rPr>
          <w:rFonts w:hint="eastAsia"/>
          <w:color w:val="000000"/>
          <w:kern w:val="0"/>
          <w:sz w:val="30"/>
          <w:szCs w:val="30"/>
        </w:rPr>
        <w:t>争议解决方式</w:t>
      </w:r>
      <w:bookmarkEnd w:id="278"/>
    </w:p>
    <w:p w14:paraId="0CCE2190" w14:textId="27CF3D87" w:rsidR="00EB48E5" w:rsidRDefault="001F2E4C" w:rsidP="00055DD6">
      <w:pPr>
        <w:widowControl/>
        <w:spacing w:line="360" w:lineRule="auto"/>
        <w:ind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双方当事人同意，因本协议而产生的或与本协议有关的一切争议，</w:t>
      </w:r>
      <w:r w:rsidR="00E23638" w:rsidRPr="00E23638">
        <w:rPr>
          <w:rFonts w:ascii="宋体" w:eastAsia="宋体" w:hAnsi="宋体" w:cs="宋体" w:hint="eastAsia"/>
          <w:color w:val="000000"/>
          <w:kern w:val="0"/>
          <w:sz w:val="24"/>
          <w:szCs w:val="24"/>
        </w:rPr>
        <w:t>如经友好协商未能解决的，任何一方均有权提交广州仲裁委员会，根据该会当时有效的仲裁规则进行仲裁，仲裁地点为广州市，仲裁裁决是终局性的并对各方当事人具有约束力，仲裁费由败诉方承担</w:t>
      </w:r>
      <w:r>
        <w:rPr>
          <w:rFonts w:ascii="宋体" w:eastAsia="宋体" w:hAnsi="宋体" w:cs="宋体" w:hint="eastAsia"/>
          <w:kern w:val="0"/>
          <w:sz w:val="24"/>
          <w:lang w:val="zh-CN"/>
        </w:rPr>
        <w:t>。</w:t>
      </w:r>
    </w:p>
    <w:p w14:paraId="5AEA59EB"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争议处理期间，双方当事人应恪守各自的职责，继续忠实、勤勉、尽责地履行基金合同和托管协议规定的义务，维护基金份额持有人的合法权益。</w:t>
      </w:r>
    </w:p>
    <w:p w14:paraId="6B886695" w14:textId="77777777" w:rsidR="00EB48E5" w:rsidRDefault="001F2E4C" w:rsidP="00055DD6">
      <w:pPr>
        <w:widowControl/>
        <w:spacing w:line="360" w:lineRule="auto"/>
        <w:ind w:firstLineChars="177" w:firstLine="425"/>
        <w:jc w:val="left"/>
        <w:rPr>
          <w:rFonts w:ascii="宋体" w:eastAsia="宋体" w:hAnsi="宋体" w:cs="宋体"/>
          <w:color w:val="000000"/>
          <w:kern w:val="0"/>
          <w:sz w:val="27"/>
          <w:szCs w:val="27"/>
        </w:rPr>
      </w:pPr>
      <w:r>
        <w:rPr>
          <w:rFonts w:ascii="宋体" w:eastAsia="宋体" w:hAnsi="宋体" w:cs="宋体" w:hint="eastAsia"/>
          <w:color w:val="000000"/>
          <w:kern w:val="0"/>
          <w:sz w:val="24"/>
          <w:szCs w:val="24"/>
        </w:rPr>
        <w:t>本协议适用中华人民共和国法律（为本协议之目的，不包括</w:t>
      </w:r>
      <w:bookmarkStart w:id="284" w:name="_Hlk110421995"/>
      <w:r>
        <w:rPr>
          <w:rFonts w:ascii="宋体" w:eastAsia="宋体" w:hAnsi="宋体" w:cs="宋体" w:hint="eastAsia"/>
          <w:color w:val="000000"/>
          <w:kern w:val="0"/>
          <w:sz w:val="24"/>
          <w:szCs w:val="24"/>
        </w:rPr>
        <w:t>香港特别行政区、澳门特别行政区和台湾地区法律</w:t>
      </w:r>
      <w:bookmarkEnd w:id="284"/>
      <w:r>
        <w:rPr>
          <w:rFonts w:ascii="宋体" w:eastAsia="宋体" w:hAnsi="宋体" w:cs="宋体" w:hint="eastAsia"/>
          <w:color w:val="000000"/>
          <w:kern w:val="0"/>
          <w:sz w:val="24"/>
          <w:szCs w:val="24"/>
        </w:rPr>
        <w:t>）并从其解释。</w:t>
      </w:r>
    </w:p>
    <w:p w14:paraId="6AD456A4" w14:textId="77777777" w:rsidR="00EB48E5" w:rsidRDefault="001F2E4C" w:rsidP="00055DD6">
      <w:pPr>
        <w:pStyle w:val="1"/>
        <w:spacing w:line="360" w:lineRule="auto"/>
        <w:jc w:val="center"/>
        <w:rPr>
          <w:color w:val="000000"/>
          <w:kern w:val="0"/>
          <w:szCs w:val="21"/>
        </w:rPr>
      </w:pPr>
      <w:bookmarkStart w:id="285" w:name="_Toc123626185"/>
      <w:bookmarkStart w:id="286" w:name="_Toc375230503"/>
      <w:bookmarkStart w:id="287" w:name="_Toc125361091"/>
      <w:bookmarkStart w:id="288" w:name="_Toc477274828"/>
      <w:bookmarkStart w:id="289" w:name="_Toc124749954"/>
      <w:bookmarkStart w:id="290" w:name="_Toc124749241"/>
      <w:bookmarkStart w:id="291" w:name="_Toc11818"/>
      <w:bookmarkEnd w:id="285"/>
      <w:bookmarkEnd w:id="286"/>
      <w:bookmarkEnd w:id="287"/>
      <w:bookmarkEnd w:id="288"/>
      <w:bookmarkEnd w:id="289"/>
      <w:bookmarkEnd w:id="290"/>
      <w:r>
        <w:rPr>
          <w:rFonts w:hint="eastAsia"/>
          <w:color w:val="000000"/>
          <w:kern w:val="0"/>
          <w:sz w:val="30"/>
          <w:szCs w:val="30"/>
        </w:rPr>
        <w:t>十九、基金托管协议的效力</w:t>
      </w:r>
      <w:bookmarkEnd w:id="291"/>
    </w:p>
    <w:p w14:paraId="6F0CBCCC"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（一）基金管理人在向中国证监会申请募集注册时提交的本基金托管协议草案，该等草案系经托管协议当事人双方盖章以及双方法定代表人或授权代表签字</w:t>
      </w:r>
      <w:r>
        <w:rPr>
          <w:rFonts w:ascii="宋体" w:eastAsia="宋体" w:hAnsi="宋体" w:cs="宋体" w:hint="eastAsia"/>
          <w:color w:val="000000"/>
          <w:kern w:val="0"/>
          <w:sz w:val="24"/>
          <w:szCs w:val="24"/>
        </w:rPr>
        <w:lastRenderedPageBreak/>
        <w:t>或盖章，协议当事人双方可能不时根据中国证监会的意见修改托管协议草案。托管协议以中国证监会注册的文本为正式文本。</w:t>
      </w:r>
    </w:p>
    <w:p w14:paraId="56B3DB9D"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（二）基金托管协议自《基金合同》成立之日起成立，自《基金合同》生效之日起生效。基金托管协议的有效期自其生效之日起至该基金财产清算结果报中国证监会备案并公告之日止。</w:t>
      </w:r>
    </w:p>
    <w:p w14:paraId="4CFCF977"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（三）基金托管协议自生效之日对托管协议当事人具有同等的法律约束力。</w:t>
      </w:r>
    </w:p>
    <w:p w14:paraId="00DA35C2" w14:textId="50CF7763" w:rsidR="00EB48E5" w:rsidRDefault="001F2E4C" w:rsidP="00055DD6">
      <w:pPr>
        <w:widowControl/>
        <w:spacing w:line="360" w:lineRule="auto"/>
        <w:ind w:firstLine="480"/>
        <w:rPr>
          <w:rFonts w:ascii="宋体" w:eastAsia="宋体" w:hAnsi="宋体" w:cs="宋体"/>
          <w:color w:val="000000"/>
          <w:kern w:val="0"/>
          <w:sz w:val="27"/>
          <w:szCs w:val="27"/>
        </w:rPr>
      </w:pPr>
      <w:r>
        <w:rPr>
          <w:rFonts w:ascii="宋体" w:eastAsia="宋体" w:hAnsi="宋体" w:cs="宋体" w:hint="eastAsia"/>
          <w:color w:val="000000"/>
          <w:kern w:val="0"/>
          <w:sz w:val="24"/>
          <w:szCs w:val="24"/>
        </w:rPr>
        <w:t>（四）基金托管协议正本一式三份，协议双方各持一份，上报中国证监会一份，每份具有同等法律效力。</w:t>
      </w:r>
    </w:p>
    <w:p w14:paraId="4E4D04EE" w14:textId="77777777" w:rsidR="00EB48E5" w:rsidRDefault="001F2E4C" w:rsidP="00055DD6">
      <w:pPr>
        <w:pStyle w:val="1"/>
        <w:spacing w:line="360" w:lineRule="auto"/>
        <w:jc w:val="center"/>
        <w:rPr>
          <w:color w:val="000000"/>
          <w:kern w:val="0"/>
          <w:sz w:val="30"/>
          <w:szCs w:val="30"/>
        </w:rPr>
      </w:pPr>
      <w:bookmarkStart w:id="292" w:name="_Toc477274829"/>
      <w:bookmarkStart w:id="293" w:name="_Toc32129"/>
      <w:bookmarkStart w:id="294" w:name="_Toc375230504"/>
      <w:bookmarkEnd w:id="292"/>
      <w:r>
        <w:rPr>
          <w:rFonts w:hint="eastAsia"/>
          <w:color w:val="000000"/>
          <w:kern w:val="0"/>
          <w:sz w:val="30"/>
          <w:szCs w:val="30"/>
        </w:rPr>
        <w:t>二十、其他事项</w:t>
      </w:r>
      <w:bookmarkEnd w:id="293"/>
      <w:bookmarkEnd w:id="294"/>
    </w:p>
    <w:p w14:paraId="7BC2F3CD" w14:textId="77777777" w:rsidR="00EB48E5" w:rsidRDefault="001F2E4C" w:rsidP="00055DD6">
      <w:pPr>
        <w:widowControl/>
        <w:spacing w:line="360" w:lineRule="auto"/>
        <w:ind w:firstLine="480"/>
        <w:rPr>
          <w:rFonts w:ascii="宋体" w:eastAsia="宋体" w:hAnsi="宋体" w:cs="宋体"/>
          <w:color w:val="000000"/>
          <w:kern w:val="0"/>
          <w:sz w:val="27"/>
          <w:szCs w:val="27"/>
        </w:rPr>
      </w:pPr>
      <w:r>
        <w:rPr>
          <w:rFonts w:ascii="宋体" w:eastAsia="宋体" w:hAnsi="宋体" w:cs="宋体" w:hint="eastAsia"/>
          <w:color w:val="000000"/>
          <w:kern w:val="0"/>
          <w:sz w:val="24"/>
          <w:szCs w:val="24"/>
        </w:rPr>
        <w:t>除本协议有明确定义外，本协议的用语定义适用基金合同的约定。</w:t>
      </w:r>
    </w:p>
    <w:p w14:paraId="011006DF" w14:textId="77777777" w:rsidR="00EB48E5" w:rsidRDefault="001F2E4C" w:rsidP="00055DD6">
      <w:pPr>
        <w:pStyle w:val="1"/>
        <w:spacing w:line="360" w:lineRule="auto"/>
        <w:jc w:val="center"/>
        <w:rPr>
          <w:color w:val="000000"/>
          <w:kern w:val="0"/>
          <w:szCs w:val="21"/>
        </w:rPr>
      </w:pPr>
      <w:bookmarkStart w:id="295" w:name="_Toc125361092"/>
      <w:bookmarkStart w:id="296" w:name="_Toc375230505"/>
      <w:bookmarkStart w:id="297" w:name="_Toc123626186"/>
      <w:bookmarkStart w:id="298" w:name="_Toc477274830"/>
      <w:bookmarkStart w:id="299" w:name="_Toc124749955"/>
      <w:bookmarkStart w:id="300" w:name="_Toc124749242"/>
      <w:bookmarkStart w:id="301" w:name="_Toc20300"/>
      <w:bookmarkEnd w:id="295"/>
      <w:bookmarkEnd w:id="296"/>
      <w:bookmarkEnd w:id="297"/>
      <w:bookmarkEnd w:id="298"/>
      <w:bookmarkEnd w:id="299"/>
      <w:bookmarkEnd w:id="300"/>
      <w:r>
        <w:rPr>
          <w:rFonts w:hint="eastAsia"/>
          <w:color w:val="000000"/>
          <w:kern w:val="0"/>
          <w:sz w:val="30"/>
          <w:szCs w:val="30"/>
        </w:rPr>
        <w:t>二十一、基金托管协议的签订</w:t>
      </w:r>
      <w:bookmarkEnd w:id="301"/>
    </w:p>
    <w:p w14:paraId="5EE4552D" w14:textId="77777777" w:rsidR="00EB48E5" w:rsidRDefault="001F2E4C" w:rsidP="00055DD6">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 w:val="24"/>
          <w:szCs w:val="24"/>
        </w:rPr>
        <w:t>本托管协议经基金管理人和基金托管人认可后，由该双方当事人在基金托管协议上盖章，并由各自的法定代表人或授权代表签字或盖章，并注明基金托管协议的签订地点和签订日期。</w:t>
      </w:r>
    </w:p>
    <w:p w14:paraId="78A49A14" w14:textId="77777777" w:rsidR="00EB48E5" w:rsidRDefault="00EB48E5" w:rsidP="00055DD6">
      <w:pPr>
        <w:widowControl/>
        <w:spacing w:line="360" w:lineRule="auto"/>
        <w:jc w:val="left"/>
        <w:rPr>
          <w:rFonts w:ascii="宋体" w:eastAsia="宋体" w:hAnsi="宋体" w:cs="宋体"/>
          <w:color w:val="000000"/>
          <w:kern w:val="0"/>
          <w:sz w:val="24"/>
          <w:szCs w:val="24"/>
        </w:rPr>
        <w:sectPr w:rsidR="00EB48E5" w:rsidSect="00251F2F">
          <w:footerReference w:type="default" r:id="rId11"/>
          <w:pgSz w:w="11906" w:h="16838"/>
          <w:pgMar w:top="1440" w:right="1800" w:bottom="1440" w:left="1800" w:header="851" w:footer="992" w:gutter="0"/>
          <w:pgNumType w:start="1"/>
          <w:cols w:space="425"/>
          <w:docGrid w:type="lines" w:linePitch="312"/>
        </w:sectPr>
      </w:pPr>
    </w:p>
    <w:p w14:paraId="5DB7EACC" w14:textId="5ABE4CF4" w:rsidR="00EB48E5" w:rsidRDefault="001F2E4C" w:rsidP="00257231">
      <w:pPr>
        <w:widowControl/>
        <w:jc w:val="left"/>
        <w:rPr>
          <w:rFonts w:ascii="宋体" w:eastAsia="宋体" w:hAnsi="宋体" w:cs="宋体"/>
          <w:color w:val="000000"/>
          <w:kern w:val="0"/>
          <w:szCs w:val="21"/>
        </w:rPr>
      </w:pPr>
      <w:r>
        <w:rPr>
          <w:rFonts w:ascii="宋体" w:eastAsia="宋体" w:hAnsi="宋体" w:cs="宋体" w:hint="eastAsia"/>
          <w:color w:val="000000"/>
          <w:kern w:val="0"/>
          <w:sz w:val="24"/>
          <w:szCs w:val="24"/>
        </w:rPr>
        <w:lastRenderedPageBreak/>
        <w:t>本页无正文，为《</w:t>
      </w:r>
      <w:r w:rsidR="00023637" w:rsidRPr="00023637">
        <w:rPr>
          <w:rFonts w:ascii="宋体" w:eastAsia="宋体" w:hAnsi="宋体" w:cs="宋体" w:hint="eastAsia"/>
          <w:color w:val="000000"/>
          <w:kern w:val="0"/>
          <w:sz w:val="24"/>
          <w:szCs w:val="24"/>
        </w:rPr>
        <w:t>广发上证科创板芯片设计主题交易型开放式指数证券投资基金发起式联接基金托管协议</w:t>
      </w:r>
      <w:r>
        <w:rPr>
          <w:rFonts w:ascii="宋体" w:eastAsia="宋体" w:hAnsi="宋体" w:cs="宋体" w:hint="eastAsia"/>
          <w:color w:val="000000"/>
          <w:kern w:val="0"/>
          <w:sz w:val="24"/>
          <w:szCs w:val="24"/>
        </w:rPr>
        <w:t>》签字盖章页。</w:t>
      </w:r>
    </w:p>
    <w:p w14:paraId="73B785EC" w14:textId="77777777" w:rsidR="00EB48E5" w:rsidRDefault="001F2E4C" w:rsidP="00257231">
      <w:pPr>
        <w:widowControl/>
        <w:spacing w:line="315" w:lineRule="atLeast"/>
        <w:textAlignment w:val="bottom"/>
        <w:rPr>
          <w:rFonts w:ascii="宋体" w:eastAsia="宋体" w:hAnsi="宋体" w:cs="宋体"/>
          <w:color w:val="000000"/>
          <w:kern w:val="0"/>
          <w:szCs w:val="21"/>
        </w:rPr>
      </w:pPr>
      <w:r>
        <w:rPr>
          <w:rFonts w:ascii="宋体" w:eastAsia="宋体" w:hAnsi="宋体" w:cs="宋体" w:hint="eastAsia"/>
          <w:color w:val="000000"/>
          <w:kern w:val="0"/>
          <w:sz w:val="24"/>
          <w:szCs w:val="24"/>
        </w:rPr>
        <w:t> </w:t>
      </w:r>
    </w:p>
    <w:p w14:paraId="6299AB90" w14:textId="21FFD16C" w:rsidR="00EB48E5" w:rsidRDefault="003859F4" w:rsidP="00257231">
      <w:pPr>
        <w:widowControl/>
        <w:spacing w:line="315" w:lineRule="atLeast"/>
        <w:textAlignment w:val="bottom"/>
        <w:rPr>
          <w:rFonts w:ascii="宋体" w:eastAsia="宋体" w:hAnsi="宋体" w:cs="宋体"/>
          <w:color w:val="000000"/>
          <w:kern w:val="0"/>
          <w:szCs w:val="21"/>
        </w:rPr>
      </w:pPr>
      <w:r>
        <w:rPr>
          <w:rFonts w:ascii="宋体" w:eastAsia="宋体" w:hAnsi="宋体" w:cs="宋体" w:hint="eastAsia"/>
          <w:color w:val="000000"/>
          <w:kern w:val="0"/>
          <w:sz w:val="24"/>
          <w:szCs w:val="24"/>
        </w:rPr>
        <w:t>托管协议</w:t>
      </w:r>
      <w:r w:rsidR="001F2E4C">
        <w:rPr>
          <w:rFonts w:ascii="宋体" w:eastAsia="宋体" w:hAnsi="宋体" w:cs="宋体" w:hint="eastAsia"/>
          <w:color w:val="000000"/>
          <w:kern w:val="0"/>
          <w:sz w:val="24"/>
          <w:szCs w:val="24"/>
        </w:rPr>
        <w:t>当事人盖章及其法定代表人或授权代表签章、签订地、签订日</w:t>
      </w:r>
    </w:p>
    <w:p w14:paraId="3C57A4D4" w14:textId="77777777" w:rsidR="00EB48E5" w:rsidRDefault="001F2E4C" w:rsidP="00257231">
      <w:pPr>
        <w:widowControl/>
        <w:spacing w:line="315" w:lineRule="atLeast"/>
        <w:ind w:firstLine="425"/>
        <w:textAlignment w:val="bottom"/>
        <w:rPr>
          <w:rFonts w:ascii="宋体" w:eastAsia="宋体" w:hAnsi="宋体" w:cs="宋体"/>
          <w:color w:val="000000"/>
          <w:kern w:val="0"/>
          <w:szCs w:val="21"/>
        </w:rPr>
      </w:pPr>
      <w:r>
        <w:rPr>
          <w:rFonts w:ascii="宋体" w:eastAsia="宋体" w:hAnsi="宋体" w:cs="宋体" w:hint="eastAsia"/>
          <w:color w:val="000000"/>
          <w:kern w:val="0"/>
          <w:sz w:val="24"/>
          <w:szCs w:val="24"/>
        </w:rPr>
        <w:t> </w:t>
      </w:r>
    </w:p>
    <w:p w14:paraId="095B39FA" w14:textId="77777777" w:rsidR="00EB48E5" w:rsidRDefault="001F2E4C" w:rsidP="00257231">
      <w:pPr>
        <w:widowControl/>
        <w:spacing w:line="315" w:lineRule="atLeast"/>
        <w:ind w:firstLine="425"/>
        <w:textAlignment w:val="bottom"/>
        <w:rPr>
          <w:rFonts w:ascii="宋体" w:eastAsia="宋体" w:hAnsi="宋体" w:cs="宋体"/>
          <w:color w:val="000000"/>
          <w:kern w:val="0"/>
          <w:szCs w:val="21"/>
        </w:rPr>
      </w:pPr>
      <w:r>
        <w:rPr>
          <w:rFonts w:ascii="宋体" w:eastAsia="宋体" w:hAnsi="宋体" w:cs="宋体" w:hint="eastAsia"/>
          <w:color w:val="000000"/>
          <w:kern w:val="0"/>
          <w:sz w:val="24"/>
          <w:szCs w:val="24"/>
        </w:rPr>
        <w:t> </w:t>
      </w:r>
    </w:p>
    <w:p w14:paraId="0BCBE0F3"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color w:val="000000"/>
          <w:kern w:val="0"/>
          <w:sz w:val="24"/>
          <w:szCs w:val="24"/>
        </w:rPr>
        <w:t> </w:t>
      </w:r>
    </w:p>
    <w:p w14:paraId="27817570"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基金管理人：</w:t>
      </w:r>
      <w:r w:rsidR="00E23638">
        <w:rPr>
          <w:rFonts w:ascii="宋体" w:eastAsia="宋体" w:hAnsi="宋体" w:cs="宋体" w:hint="eastAsia"/>
          <w:b/>
          <w:bCs/>
          <w:color w:val="000000"/>
          <w:kern w:val="0"/>
          <w:sz w:val="24"/>
          <w:szCs w:val="24"/>
        </w:rPr>
        <w:t>广发基金管理有限公司</w:t>
      </w:r>
      <w:r w:rsidR="00E23638" w:rsidRPr="00E23638">
        <w:rPr>
          <w:rFonts w:ascii="宋体" w:eastAsia="宋体" w:hAnsi="宋体" w:cs="宋体" w:hint="eastAsia"/>
          <w:b/>
          <w:bCs/>
          <w:color w:val="000000"/>
          <w:kern w:val="0"/>
          <w:sz w:val="24"/>
          <w:szCs w:val="24"/>
        </w:rPr>
        <w:t>（公章或合同专用章）</w:t>
      </w:r>
    </w:p>
    <w:p w14:paraId="2C831524"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3BCEDC8C"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09EFB1DE"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4B873E4E"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法定代表人或授权代表：                 </w:t>
      </w:r>
      <w:r w:rsidR="00E23638" w:rsidRPr="00E23638">
        <w:rPr>
          <w:rFonts w:ascii="宋体" w:eastAsia="宋体" w:hAnsi="宋体" w:cs="宋体" w:hint="eastAsia"/>
          <w:b/>
          <w:bCs/>
          <w:color w:val="000000"/>
          <w:kern w:val="0"/>
          <w:sz w:val="24"/>
          <w:szCs w:val="24"/>
        </w:rPr>
        <w:t>（签字或盖章）</w:t>
      </w:r>
    </w:p>
    <w:p w14:paraId="1E6E1A11"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00EACEF4"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4B1212C6"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0F670F40" w14:textId="77777777" w:rsidR="00EB48E5" w:rsidRDefault="001F2E4C" w:rsidP="00257231">
      <w:pPr>
        <w:widowControl/>
        <w:spacing w:line="315" w:lineRule="atLeast"/>
        <w:ind w:right="26"/>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w:t>
      </w:r>
    </w:p>
    <w:p w14:paraId="7FC0B69B"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1F2A4688"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33E08A60"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48295CD7"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75DB8762"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01E5AE4C"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635C381A" w14:textId="77777777" w:rsidR="00EB48E5" w:rsidRDefault="00EB48E5" w:rsidP="00257231">
      <w:pPr>
        <w:widowControl/>
        <w:spacing w:line="315" w:lineRule="atLeast"/>
        <w:ind w:right="26"/>
        <w:rPr>
          <w:rFonts w:ascii="宋体" w:eastAsia="宋体" w:hAnsi="宋体" w:cs="宋体"/>
          <w:color w:val="000000"/>
          <w:kern w:val="0"/>
          <w:szCs w:val="21"/>
        </w:rPr>
      </w:pPr>
    </w:p>
    <w:p w14:paraId="63E13AE0" w14:textId="77777777" w:rsidR="00EB48E5" w:rsidRDefault="00F24D09"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基金托管人：中泰证券股份有限公司</w:t>
      </w:r>
      <w:r w:rsidR="00E23638" w:rsidRPr="00E23638">
        <w:rPr>
          <w:rFonts w:ascii="宋体" w:eastAsia="宋体" w:hAnsi="宋体" w:cs="宋体" w:hint="eastAsia"/>
          <w:b/>
          <w:bCs/>
          <w:color w:val="000000"/>
          <w:kern w:val="0"/>
          <w:sz w:val="24"/>
          <w:szCs w:val="24"/>
        </w:rPr>
        <w:t>（公章或合同专用章）</w:t>
      </w:r>
    </w:p>
    <w:p w14:paraId="529C96C4"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5C50AC8D"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1DF884C7" w14:textId="77777777" w:rsidR="00EB48E5" w:rsidRDefault="00EB48E5" w:rsidP="00257231">
      <w:pPr>
        <w:widowControl/>
        <w:spacing w:line="315" w:lineRule="atLeast"/>
        <w:ind w:right="26"/>
        <w:rPr>
          <w:rFonts w:ascii="宋体" w:eastAsia="宋体" w:hAnsi="宋体" w:cs="宋体"/>
          <w:color w:val="000000"/>
          <w:kern w:val="0"/>
          <w:szCs w:val="21"/>
        </w:rPr>
      </w:pPr>
    </w:p>
    <w:p w14:paraId="620A7AD1" w14:textId="77777777" w:rsidR="00EB48E5" w:rsidRPr="00E23638"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法定代表人或授权代表：                </w:t>
      </w:r>
      <w:r w:rsidR="00E23638" w:rsidRPr="00E23638">
        <w:rPr>
          <w:rFonts w:ascii="宋体" w:eastAsia="宋体" w:hAnsi="宋体" w:cs="宋体" w:hint="eastAsia"/>
          <w:b/>
          <w:bCs/>
          <w:color w:val="000000"/>
          <w:kern w:val="0"/>
          <w:sz w:val="24"/>
          <w:szCs w:val="24"/>
        </w:rPr>
        <w:t>（签字或盖章）</w:t>
      </w:r>
    </w:p>
    <w:p w14:paraId="47168A6D"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46C96405"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370EE74A"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51CBC2B2"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10F90514"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 </w:t>
      </w:r>
    </w:p>
    <w:p w14:paraId="3C447EA6" w14:textId="77777777" w:rsidR="00EB48E5" w:rsidRDefault="001F2E4C" w:rsidP="00257231">
      <w:pPr>
        <w:widowControl/>
        <w:spacing w:line="315" w:lineRule="atLeast"/>
        <w:ind w:right="26"/>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 </w:t>
      </w:r>
    </w:p>
    <w:p w14:paraId="2ABB6A7E"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72F1227C"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27C4F086"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494C19B9"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0783AE45" w14:textId="77777777" w:rsidR="00EB48E5" w:rsidRDefault="00EB48E5" w:rsidP="00257231">
      <w:pPr>
        <w:widowControl/>
        <w:spacing w:line="315" w:lineRule="atLeast"/>
        <w:ind w:right="26"/>
        <w:rPr>
          <w:rFonts w:ascii="宋体" w:eastAsia="宋体" w:hAnsi="宋体" w:cs="宋体"/>
          <w:b/>
          <w:bCs/>
          <w:color w:val="000000"/>
          <w:kern w:val="0"/>
          <w:sz w:val="24"/>
          <w:szCs w:val="24"/>
        </w:rPr>
      </w:pPr>
    </w:p>
    <w:p w14:paraId="61C13B4C" w14:textId="77777777" w:rsidR="00EB48E5" w:rsidRDefault="00EB48E5" w:rsidP="00257231">
      <w:pPr>
        <w:widowControl/>
        <w:spacing w:line="315" w:lineRule="atLeast"/>
        <w:ind w:right="26"/>
        <w:rPr>
          <w:rFonts w:ascii="宋体" w:eastAsia="宋体" w:hAnsi="宋体" w:cs="宋体"/>
          <w:color w:val="000000"/>
          <w:kern w:val="0"/>
          <w:szCs w:val="21"/>
        </w:rPr>
      </w:pPr>
    </w:p>
    <w:p w14:paraId="4D0CAF38" w14:textId="77777777" w:rsidR="00EB48E5" w:rsidRDefault="001F2E4C" w:rsidP="00257231">
      <w:pPr>
        <w:widowControl/>
        <w:spacing w:line="315" w:lineRule="atLeast"/>
        <w:ind w:right="26"/>
        <w:rPr>
          <w:rFonts w:ascii="宋体" w:eastAsia="宋体" w:hAnsi="宋体" w:cs="宋体"/>
          <w:color w:val="000000"/>
          <w:kern w:val="0"/>
          <w:szCs w:val="21"/>
        </w:rPr>
      </w:pPr>
      <w:r>
        <w:rPr>
          <w:rFonts w:ascii="宋体" w:eastAsia="宋体" w:hAnsi="宋体" w:cs="宋体" w:hint="eastAsia"/>
          <w:b/>
          <w:bCs/>
          <w:color w:val="000000"/>
          <w:kern w:val="0"/>
          <w:sz w:val="24"/>
          <w:szCs w:val="24"/>
        </w:rPr>
        <w:t>签订地点：</w:t>
      </w:r>
    </w:p>
    <w:p w14:paraId="7AAAE4A9" w14:textId="77777777" w:rsidR="00EB48E5" w:rsidRDefault="001F2E4C" w:rsidP="00257231">
      <w:pPr>
        <w:widowControl/>
        <w:spacing w:line="315" w:lineRule="atLeast"/>
        <w:rPr>
          <w:rFonts w:ascii="宋体" w:eastAsia="宋体" w:hAnsi="宋体" w:cs="宋体"/>
        </w:rPr>
      </w:pPr>
      <w:r>
        <w:rPr>
          <w:rFonts w:ascii="宋体" w:eastAsia="宋体" w:hAnsi="宋体" w:cs="宋体" w:hint="eastAsia"/>
          <w:b/>
          <w:bCs/>
          <w:color w:val="000000"/>
          <w:kern w:val="0"/>
          <w:sz w:val="24"/>
          <w:szCs w:val="24"/>
        </w:rPr>
        <w:t>签 订 日：     年  月  日</w:t>
      </w:r>
      <w:bookmarkStart w:id="302" w:name="_Toc48703935"/>
      <w:bookmarkStart w:id="303" w:name="_Toc22454484"/>
      <w:bookmarkEnd w:id="302"/>
      <w:bookmarkEnd w:id="303"/>
      <w:r>
        <w:rPr>
          <w:rFonts w:ascii="宋体" w:eastAsia="宋体" w:hAnsi="宋体" w:cs="宋体" w:hint="eastAsia"/>
          <w:color w:val="000000"/>
          <w:kern w:val="0"/>
          <w:szCs w:val="21"/>
        </w:rPr>
        <w:t> </w:t>
      </w:r>
    </w:p>
    <w:p w14:paraId="09132820" w14:textId="77777777" w:rsidR="00EB48E5" w:rsidRDefault="00EB48E5" w:rsidP="00055DD6">
      <w:pPr>
        <w:spacing w:line="360" w:lineRule="auto"/>
      </w:pPr>
    </w:p>
    <w:sectPr w:rsidR="00EB48E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C5A14" w14:textId="77777777" w:rsidR="00726D71" w:rsidRDefault="00726D71">
      <w:r>
        <w:separator/>
      </w:r>
    </w:p>
  </w:endnote>
  <w:endnote w:type="continuationSeparator" w:id="0">
    <w:p w14:paraId="4043989A" w14:textId="77777777" w:rsidR="00726D71" w:rsidRDefault="0072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86851"/>
    </w:sdtPr>
    <w:sdtEndPr/>
    <w:sdtContent>
      <w:p w14:paraId="6BEF7BAB" w14:textId="5221D2EA" w:rsidR="00C973D1" w:rsidRDefault="00726D71">
        <w:pPr>
          <w:pStyle w:val="a3"/>
          <w:rPr>
            <w:rFonts w:hint="eastAsia"/>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5537" w14:textId="77777777" w:rsidR="00C973D1" w:rsidRDefault="00C973D1">
    <w:pPr>
      <w:pStyle w:val="a3"/>
      <w:jc w:val="center"/>
    </w:pPr>
  </w:p>
  <w:p w14:paraId="3264DE5F" w14:textId="77777777" w:rsidR="00C973D1" w:rsidRDefault="00C973D1">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04996"/>
    </w:sdtPr>
    <w:sdtContent>
      <w:p w14:paraId="38EFF9EA" w14:textId="3791E336" w:rsidR="00251F2F" w:rsidRDefault="00251F2F">
        <w:pPr>
          <w:pStyle w:val="a3"/>
          <w:jc w:val="center"/>
        </w:pPr>
        <w:r>
          <w:fldChar w:fldCharType="begin"/>
        </w:r>
        <w:r>
          <w:instrText>PAGE   \* MERGEFORMAT</w:instrText>
        </w:r>
        <w:r>
          <w:fldChar w:fldCharType="separate"/>
        </w:r>
        <w:r w:rsidRPr="00251F2F">
          <w:rPr>
            <w:noProof/>
            <w:lang w:val="zh-CN"/>
          </w:rPr>
          <w:t>34</w:t>
        </w:r>
        <w:r>
          <w:fldChar w:fldCharType="end"/>
        </w:r>
      </w:p>
    </w:sdtContent>
  </w:sdt>
  <w:p w14:paraId="69536A1C" w14:textId="77777777" w:rsidR="00251F2F" w:rsidRDefault="00251F2F">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4F05B" w14:textId="77777777" w:rsidR="00C973D1" w:rsidRDefault="00C973D1">
    <w:pPr>
      <w:pStyle w:val="a3"/>
      <w:jc w:val="center"/>
    </w:pPr>
  </w:p>
  <w:p w14:paraId="15659021" w14:textId="77777777" w:rsidR="00C973D1" w:rsidRDefault="00C973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A83C" w14:textId="77777777" w:rsidR="00726D71" w:rsidRDefault="00726D71">
      <w:r>
        <w:separator/>
      </w:r>
    </w:p>
  </w:footnote>
  <w:footnote w:type="continuationSeparator" w:id="0">
    <w:p w14:paraId="24852806" w14:textId="77777777" w:rsidR="00726D71" w:rsidRDefault="00726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71A3" w14:textId="7848ECA4" w:rsidR="00C973D1" w:rsidRDefault="00C973D1" w:rsidP="00055DD6">
    <w:pPr>
      <w:pStyle w:val="a5"/>
      <w:jc w:val="right"/>
    </w:pPr>
    <w:r>
      <w:rPr>
        <w:rFonts w:hint="eastAsia"/>
      </w:rPr>
      <w:t>托管协议</w:t>
    </w:r>
  </w:p>
  <w:p w14:paraId="4ADF4C90" w14:textId="77777777" w:rsidR="00C973D1" w:rsidRDefault="00C973D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B3123"/>
    <w:multiLevelType w:val="singleLevel"/>
    <w:tmpl w:val="4CFB312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A354B"/>
    <w:rsid w:val="00023637"/>
    <w:rsid w:val="00034192"/>
    <w:rsid w:val="00055DD6"/>
    <w:rsid w:val="000A5836"/>
    <w:rsid w:val="000C62DA"/>
    <w:rsid w:val="00153749"/>
    <w:rsid w:val="00171A6B"/>
    <w:rsid w:val="001B260A"/>
    <w:rsid w:val="001F2E4C"/>
    <w:rsid w:val="00251F2F"/>
    <w:rsid w:val="00257231"/>
    <w:rsid w:val="002C18B9"/>
    <w:rsid w:val="003072DE"/>
    <w:rsid w:val="003718DA"/>
    <w:rsid w:val="003859F4"/>
    <w:rsid w:val="00387D73"/>
    <w:rsid w:val="00397F8E"/>
    <w:rsid w:val="00411A41"/>
    <w:rsid w:val="004553FC"/>
    <w:rsid w:val="00474BA8"/>
    <w:rsid w:val="00493D1C"/>
    <w:rsid w:val="00573091"/>
    <w:rsid w:val="005A1C79"/>
    <w:rsid w:val="006B435B"/>
    <w:rsid w:val="006E455A"/>
    <w:rsid w:val="00726D71"/>
    <w:rsid w:val="0076306B"/>
    <w:rsid w:val="007F0FAA"/>
    <w:rsid w:val="00861C86"/>
    <w:rsid w:val="008B0F0F"/>
    <w:rsid w:val="009630BD"/>
    <w:rsid w:val="00980446"/>
    <w:rsid w:val="00A149B9"/>
    <w:rsid w:val="00A27EF2"/>
    <w:rsid w:val="00A65359"/>
    <w:rsid w:val="00A75A93"/>
    <w:rsid w:val="00A92F0E"/>
    <w:rsid w:val="00AF3373"/>
    <w:rsid w:val="00BC1500"/>
    <w:rsid w:val="00C01B49"/>
    <w:rsid w:val="00C526B5"/>
    <w:rsid w:val="00C973D1"/>
    <w:rsid w:val="00CB12EB"/>
    <w:rsid w:val="00CE4024"/>
    <w:rsid w:val="00DE39BF"/>
    <w:rsid w:val="00E23638"/>
    <w:rsid w:val="00E75E10"/>
    <w:rsid w:val="00EB2E72"/>
    <w:rsid w:val="00EB48E5"/>
    <w:rsid w:val="00F24D09"/>
    <w:rsid w:val="00FA4A7B"/>
    <w:rsid w:val="0B462DFA"/>
    <w:rsid w:val="0C233205"/>
    <w:rsid w:val="13F86B10"/>
    <w:rsid w:val="14403689"/>
    <w:rsid w:val="16891142"/>
    <w:rsid w:val="1C2B26C7"/>
    <w:rsid w:val="1CC86B3C"/>
    <w:rsid w:val="1E3F46A9"/>
    <w:rsid w:val="272E5C65"/>
    <w:rsid w:val="2E0D3512"/>
    <w:rsid w:val="3CDA354B"/>
    <w:rsid w:val="40BF7091"/>
    <w:rsid w:val="41FD133E"/>
    <w:rsid w:val="50C865F8"/>
    <w:rsid w:val="5217603C"/>
    <w:rsid w:val="52E64521"/>
    <w:rsid w:val="57B24594"/>
    <w:rsid w:val="74141BD8"/>
    <w:rsid w:val="792451CB"/>
    <w:rsid w:val="7A997372"/>
    <w:rsid w:val="7DC4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2219D"/>
  <w15:docId w15:val="{12E2A2F9-BCF1-41A8-9A87-2C41F044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uiPriority="99"/>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10">
    <w:name w:val="toc 1"/>
    <w:basedOn w:val="a"/>
    <w:next w:val="a"/>
    <w:uiPriority w:val="3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Pr>
      <w:color w:val="0000FF"/>
      <w:u w:val="single"/>
    </w:rPr>
  </w:style>
  <w:style w:type="paragraph" w:customStyle="1" w:styleId="TOC1">
    <w:name w:val="TOC 标题1"/>
    <w:basedOn w:val="1"/>
    <w:next w:val="a"/>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a5">
    <w:name w:val="header"/>
    <w:basedOn w:val="a"/>
    <w:link w:val="a6"/>
    <w:uiPriority w:val="99"/>
    <w:rsid w:val="00F24D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24D09"/>
    <w:rPr>
      <w:rFonts w:asciiTheme="minorHAnsi" w:eastAsiaTheme="minorEastAsia" w:hAnsiTheme="minorHAnsi" w:cstheme="minorBidi"/>
      <w:kern w:val="2"/>
      <w:sz w:val="18"/>
      <w:szCs w:val="18"/>
    </w:rPr>
  </w:style>
  <w:style w:type="paragraph" w:styleId="a7">
    <w:name w:val="Balloon Text"/>
    <w:basedOn w:val="a"/>
    <w:link w:val="a8"/>
    <w:rsid w:val="00E23638"/>
    <w:rPr>
      <w:sz w:val="18"/>
      <w:szCs w:val="18"/>
    </w:rPr>
  </w:style>
  <w:style w:type="character" w:customStyle="1" w:styleId="a8">
    <w:name w:val="批注框文本 字符"/>
    <w:basedOn w:val="a0"/>
    <w:link w:val="a7"/>
    <w:rsid w:val="00E23638"/>
    <w:rPr>
      <w:rFonts w:asciiTheme="minorHAnsi" w:eastAsiaTheme="minorEastAsia" w:hAnsiTheme="minorHAnsi" w:cstheme="minorBidi"/>
      <w:kern w:val="2"/>
      <w:sz w:val="18"/>
      <w:szCs w:val="18"/>
    </w:rPr>
  </w:style>
  <w:style w:type="paragraph" w:styleId="a9">
    <w:name w:val="Revision"/>
    <w:hidden/>
    <w:uiPriority w:val="99"/>
    <w:semiHidden/>
    <w:rsid w:val="006B435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78C46-F377-4499-9534-6BF4E2B9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4537</Words>
  <Characters>25862</Characters>
  <Application>Microsoft Office Word</Application>
  <DocSecurity>0</DocSecurity>
  <Lines>215</Lines>
  <Paragraphs>60</Paragraphs>
  <ScaleCrop>false</ScaleCrop>
  <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姜琬：起草</dc:creator>
  <cp:lastModifiedBy>晁梦婷</cp:lastModifiedBy>
  <cp:revision>4</cp:revision>
  <dcterms:created xsi:type="dcterms:W3CDTF">2026-05-08T05:59:00Z</dcterms:created>
  <dcterms:modified xsi:type="dcterms:W3CDTF">2026-05-08T06:05:00Z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788ABE5BC1B5415E93A0849F500F70FC</vt:lpwstr>
  </property>
</Properties>
</file>