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2B8A2" w14:textId="77777777" w:rsidR="00264E55" w:rsidRDefault="00264E55">
      <w:pPr>
        <w:spacing w:line="360" w:lineRule="auto"/>
        <w:jc w:val="center"/>
        <w:rPr>
          <w:color w:val="000000" w:themeColor="text1"/>
          <w:sz w:val="28"/>
        </w:rPr>
      </w:pPr>
    </w:p>
    <w:p w14:paraId="24920FB2" w14:textId="77777777" w:rsidR="00264E55" w:rsidRDefault="00264E55">
      <w:pPr>
        <w:spacing w:line="360" w:lineRule="auto"/>
        <w:jc w:val="center"/>
        <w:rPr>
          <w:color w:val="000000" w:themeColor="text1"/>
          <w:sz w:val="28"/>
        </w:rPr>
      </w:pPr>
    </w:p>
    <w:p w14:paraId="1270E846" w14:textId="77777777" w:rsidR="00264E55" w:rsidRDefault="00264E55">
      <w:pPr>
        <w:spacing w:line="360" w:lineRule="auto"/>
        <w:jc w:val="center"/>
        <w:rPr>
          <w:color w:val="000000" w:themeColor="text1"/>
          <w:sz w:val="28"/>
        </w:rPr>
      </w:pPr>
    </w:p>
    <w:p w14:paraId="108B7949" w14:textId="77777777" w:rsidR="00264E55" w:rsidRDefault="00264E55">
      <w:pPr>
        <w:spacing w:line="360" w:lineRule="auto"/>
        <w:jc w:val="center"/>
        <w:rPr>
          <w:color w:val="000000" w:themeColor="text1"/>
          <w:sz w:val="28"/>
        </w:rPr>
      </w:pPr>
    </w:p>
    <w:p w14:paraId="51B88D4E" w14:textId="77777777" w:rsidR="00264E55" w:rsidRDefault="00264E55">
      <w:pPr>
        <w:spacing w:line="360" w:lineRule="auto"/>
        <w:jc w:val="center"/>
        <w:rPr>
          <w:color w:val="000000" w:themeColor="text1"/>
          <w:sz w:val="28"/>
        </w:rPr>
      </w:pPr>
    </w:p>
    <w:p w14:paraId="3011D47C" w14:textId="77777777" w:rsidR="00264E55" w:rsidRDefault="00264E55">
      <w:pPr>
        <w:spacing w:line="360" w:lineRule="auto"/>
        <w:jc w:val="center"/>
        <w:rPr>
          <w:color w:val="000000" w:themeColor="text1"/>
          <w:sz w:val="28"/>
        </w:rPr>
      </w:pPr>
    </w:p>
    <w:p w14:paraId="37116925" w14:textId="358E58EE" w:rsidR="00264E55" w:rsidRDefault="008040BB">
      <w:pPr>
        <w:spacing w:line="360" w:lineRule="auto"/>
        <w:jc w:val="center"/>
        <w:rPr>
          <w:b/>
          <w:color w:val="000000" w:themeColor="text1"/>
          <w:sz w:val="44"/>
          <w:szCs w:val="44"/>
        </w:rPr>
      </w:pPr>
      <w:r>
        <w:rPr>
          <w:rFonts w:hint="eastAsia"/>
          <w:b/>
          <w:color w:val="000000" w:themeColor="text1"/>
          <w:sz w:val="44"/>
          <w:szCs w:val="44"/>
        </w:rPr>
        <w:t>南方</w:t>
      </w:r>
      <w:proofErr w:type="gramStart"/>
      <w:r>
        <w:rPr>
          <w:rFonts w:hint="eastAsia"/>
          <w:b/>
          <w:color w:val="000000" w:themeColor="text1"/>
          <w:sz w:val="44"/>
          <w:szCs w:val="44"/>
        </w:rPr>
        <w:t>中证全指</w:t>
      </w:r>
      <w:proofErr w:type="gramEnd"/>
      <w:r>
        <w:rPr>
          <w:rFonts w:hint="eastAsia"/>
          <w:b/>
          <w:color w:val="000000" w:themeColor="text1"/>
          <w:sz w:val="44"/>
          <w:szCs w:val="44"/>
        </w:rPr>
        <w:t>红利质量交易型开放式指数证券投资基金发起式联接基金托管协议</w:t>
      </w:r>
    </w:p>
    <w:p w14:paraId="31FB90F3" w14:textId="77777777" w:rsidR="00264E55" w:rsidRDefault="00264E55">
      <w:pPr>
        <w:spacing w:line="360" w:lineRule="auto"/>
        <w:jc w:val="center"/>
        <w:rPr>
          <w:color w:val="000000" w:themeColor="text1"/>
          <w:sz w:val="28"/>
        </w:rPr>
      </w:pPr>
    </w:p>
    <w:p w14:paraId="1AF49252" w14:textId="77777777" w:rsidR="00264E55" w:rsidRDefault="00264E55">
      <w:pPr>
        <w:spacing w:line="360" w:lineRule="auto"/>
        <w:jc w:val="center"/>
        <w:rPr>
          <w:color w:val="000000" w:themeColor="text1"/>
          <w:sz w:val="28"/>
        </w:rPr>
      </w:pPr>
    </w:p>
    <w:p w14:paraId="339E17AD" w14:textId="77777777" w:rsidR="00264E55" w:rsidRDefault="00264E55">
      <w:pPr>
        <w:spacing w:line="360" w:lineRule="auto"/>
        <w:jc w:val="center"/>
        <w:rPr>
          <w:color w:val="000000" w:themeColor="text1"/>
          <w:sz w:val="28"/>
        </w:rPr>
      </w:pPr>
    </w:p>
    <w:p w14:paraId="52FF110D" w14:textId="77777777" w:rsidR="00264E55" w:rsidRDefault="00264E55">
      <w:pPr>
        <w:spacing w:line="360" w:lineRule="auto"/>
        <w:jc w:val="center"/>
        <w:rPr>
          <w:color w:val="000000" w:themeColor="text1"/>
          <w:sz w:val="28"/>
        </w:rPr>
      </w:pPr>
    </w:p>
    <w:p w14:paraId="1E3E0B52" w14:textId="77777777" w:rsidR="00264E55" w:rsidRDefault="00264E55">
      <w:pPr>
        <w:spacing w:line="360" w:lineRule="auto"/>
        <w:jc w:val="center"/>
        <w:rPr>
          <w:color w:val="000000" w:themeColor="text1"/>
          <w:sz w:val="28"/>
        </w:rPr>
      </w:pPr>
    </w:p>
    <w:p w14:paraId="4D451C55" w14:textId="77777777" w:rsidR="00264E55" w:rsidRDefault="00264E55">
      <w:pPr>
        <w:spacing w:line="360" w:lineRule="auto"/>
        <w:jc w:val="center"/>
        <w:rPr>
          <w:color w:val="000000" w:themeColor="text1"/>
          <w:sz w:val="28"/>
        </w:rPr>
      </w:pPr>
    </w:p>
    <w:p w14:paraId="6F5CD705" w14:textId="77777777" w:rsidR="00264E55" w:rsidRDefault="00264E55">
      <w:pPr>
        <w:spacing w:line="360" w:lineRule="auto"/>
        <w:jc w:val="center"/>
        <w:rPr>
          <w:color w:val="000000" w:themeColor="text1"/>
          <w:sz w:val="28"/>
        </w:rPr>
      </w:pPr>
    </w:p>
    <w:p w14:paraId="57B1DB78" w14:textId="77777777" w:rsidR="00264E55" w:rsidRDefault="008040BB">
      <w:pPr>
        <w:spacing w:line="360" w:lineRule="auto"/>
        <w:ind w:firstLineChars="700" w:firstLine="1960"/>
        <w:rPr>
          <w:color w:val="000000" w:themeColor="text1"/>
          <w:sz w:val="28"/>
        </w:rPr>
      </w:pPr>
      <w:r>
        <w:rPr>
          <w:rFonts w:hint="eastAsia"/>
          <w:color w:val="000000" w:themeColor="text1"/>
          <w:sz w:val="28"/>
        </w:rPr>
        <w:t>基金管理人：南方基金管理股份有限公司</w:t>
      </w:r>
    </w:p>
    <w:p w14:paraId="5D3D5FC9" w14:textId="77777777" w:rsidR="00264E55" w:rsidRDefault="008040BB">
      <w:pPr>
        <w:spacing w:line="360" w:lineRule="auto"/>
        <w:ind w:firstLineChars="700" w:firstLine="1960"/>
        <w:rPr>
          <w:color w:val="000000" w:themeColor="text1"/>
          <w:sz w:val="28"/>
        </w:rPr>
      </w:pPr>
      <w:r>
        <w:rPr>
          <w:rFonts w:hint="eastAsia"/>
          <w:color w:val="000000" w:themeColor="text1"/>
          <w:sz w:val="28"/>
        </w:rPr>
        <w:t>基金托管人：中信证券股份有限公司</w:t>
      </w:r>
    </w:p>
    <w:p w14:paraId="16909004" w14:textId="22DEFF51" w:rsidR="00264E55" w:rsidRDefault="00264E55">
      <w:pPr>
        <w:spacing w:line="360" w:lineRule="auto"/>
        <w:ind w:firstLineChars="900" w:firstLine="2520"/>
        <w:rPr>
          <w:color w:val="000000" w:themeColor="text1"/>
          <w:sz w:val="28"/>
        </w:rPr>
      </w:pPr>
    </w:p>
    <w:p w14:paraId="5FF596AC" w14:textId="74C7E579" w:rsidR="00422124" w:rsidRDefault="00422124" w:rsidP="00422124">
      <w:pPr>
        <w:spacing w:line="360" w:lineRule="auto"/>
        <w:jc w:val="center"/>
        <w:rPr>
          <w:rFonts w:hint="eastAsia"/>
          <w:color w:val="000000" w:themeColor="text1"/>
          <w:sz w:val="28"/>
        </w:rPr>
      </w:pPr>
      <w:bookmarkStart w:id="0" w:name="_GoBack"/>
      <w:bookmarkEnd w:id="0"/>
      <w:r>
        <w:rPr>
          <w:rFonts w:hint="eastAsia"/>
          <w:color w:val="000000" w:themeColor="text1"/>
          <w:sz w:val="28"/>
        </w:rPr>
        <w:t>20</w:t>
      </w:r>
      <w:r>
        <w:rPr>
          <w:color w:val="000000" w:themeColor="text1"/>
          <w:sz w:val="28"/>
        </w:rPr>
        <w:t>26</w:t>
      </w:r>
      <w:r>
        <w:rPr>
          <w:rFonts w:hint="eastAsia"/>
          <w:color w:val="000000" w:themeColor="text1"/>
          <w:sz w:val="28"/>
        </w:rPr>
        <w:t>年</w:t>
      </w:r>
      <w:r>
        <w:rPr>
          <w:color w:val="000000" w:themeColor="text1"/>
          <w:sz w:val="28"/>
        </w:rPr>
        <w:t>5</w:t>
      </w:r>
      <w:r>
        <w:rPr>
          <w:rFonts w:hint="eastAsia"/>
          <w:color w:val="000000" w:themeColor="text1"/>
          <w:sz w:val="28"/>
        </w:rPr>
        <w:t>月</w:t>
      </w:r>
    </w:p>
    <w:p w14:paraId="42F1B5CE" w14:textId="77777777" w:rsidR="00264E55" w:rsidRDefault="00264E55">
      <w:pPr>
        <w:spacing w:line="360" w:lineRule="auto"/>
        <w:ind w:firstLineChars="900" w:firstLine="2520"/>
        <w:rPr>
          <w:color w:val="000000" w:themeColor="text1"/>
          <w:sz w:val="28"/>
        </w:rPr>
      </w:pPr>
    </w:p>
    <w:p w14:paraId="41ABCB3F" w14:textId="77777777" w:rsidR="00264E55" w:rsidRDefault="00264E55">
      <w:pPr>
        <w:spacing w:line="360" w:lineRule="auto"/>
        <w:rPr>
          <w:color w:val="000000" w:themeColor="text1"/>
          <w:sz w:val="28"/>
        </w:rPr>
        <w:sectPr w:rsidR="00264E55">
          <w:footerReference w:type="default" r:id="rId8"/>
          <w:pgSz w:w="11906" w:h="16838"/>
          <w:pgMar w:top="1440" w:right="1797" w:bottom="1440" w:left="1797" w:header="851" w:footer="992" w:gutter="0"/>
          <w:cols w:space="425"/>
          <w:docGrid w:type="lines" w:linePitch="312"/>
        </w:sectPr>
      </w:pPr>
    </w:p>
    <w:p w14:paraId="76A105AD" w14:textId="77777777" w:rsidR="00264E55" w:rsidRDefault="008040BB">
      <w:pPr>
        <w:spacing w:line="360" w:lineRule="auto"/>
        <w:jc w:val="center"/>
        <w:rPr>
          <w:b/>
          <w:bCs/>
          <w:color w:val="000000" w:themeColor="text1"/>
          <w:sz w:val="24"/>
        </w:rPr>
      </w:pPr>
      <w:r>
        <w:rPr>
          <w:rFonts w:hint="eastAsia"/>
          <w:b/>
          <w:bCs/>
          <w:color w:val="000000" w:themeColor="text1"/>
          <w:sz w:val="24"/>
        </w:rPr>
        <w:lastRenderedPageBreak/>
        <w:t>目录</w:t>
      </w:r>
    </w:p>
    <w:p w14:paraId="1A63BD3A" w14:textId="77777777" w:rsidR="00264E55" w:rsidRDefault="00264E55">
      <w:pPr>
        <w:spacing w:line="360" w:lineRule="auto"/>
        <w:jc w:val="center"/>
        <w:rPr>
          <w:b/>
          <w:bCs/>
          <w:color w:val="000000" w:themeColor="text1"/>
          <w:sz w:val="24"/>
        </w:rPr>
      </w:pPr>
    </w:p>
    <w:p w14:paraId="7F5F2BD0" w14:textId="21F8D7ED" w:rsidR="00264E55" w:rsidRDefault="008040BB">
      <w:pPr>
        <w:pStyle w:val="11"/>
        <w:rPr>
          <w:rFonts w:asciiTheme="minorHAnsi" w:eastAsiaTheme="minorEastAsia" w:hAnsiTheme="minorHAnsi" w:cstheme="minorBidi"/>
          <w:caps w:val="0"/>
          <w:noProof/>
          <w:szCs w:val="22"/>
        </w:rPr>
      </w:pPr>
      <w:r>
        <w:rPr>
          <w:b/>
          <w:bCs/>
          <w:color w:val="000000" w:themeColor="text1"/>
        </w:rPr>
        <w:fldChar w:fldCharType="begin"/>
      </w:r>
      <w:r>
        <w:rPr>
          <w:b/>
          <w:bCs/>
          <w:color w:val="000000" w:themeColor="text1"/>
        </w:rPr>
        <w:instrText xml:space="preserve"> TOC \o "1-3" \h \z </w:instrText>
      </w:r>
      <w:r>
        <w:rPr>
          <w:b/>
          <w:bCs/>
          <w:color w:val="000000" w:themeColor="text1"/>
        </w:rPr>
        <w:fldChar w:fldCharType="separate"/>
      </w:r>
      <w:hyperlink w:anchor="_Toc881131" w:history="1">
        <w:r>
          <w:rPr>
            <w:rStyle w:val="af1"/>
            <w:rFonts w:ascii="宋体" w:hint="eastAsia"/>
            <w:noProof/>
            <w:kern w:val="0"/>
          </w:rPr>
          <w:t>一、</w:t>
        </w:r>
        <w:r>
          <w:rPr>
            <w:rFonts w:asciiTheme="minorHAnsi" w:eastAsiaTheme="minorEastAsia" w:hAnsiTheme="minorHAnsi" w:cstheme="minorBidi"/>
            <w:caps w:val="0"/>
            <w:noProof/>
            <w:szCs w:val="22"/>
          </w:rPr>
          <w:tab/>
        </w:r>
        <w:r>
          <w:rPr>
            <w:rStyle w:val="af1"/>
            <w:rFonts w:ascii="宋体" w:hint="eastAsia"/>
            <w:noProof/>
            <w:kern w:val="0"/>
          </w:rPr>
          <w:t>托管协议当事人</w:t>
        </w:r>
        <w:r>
          <w:rPr>
            <w:noProof/>
          </w:rPr>
          <w:tab/>
        </w:r>
        <w:r>
          <w:rPr>
            <w:noProof/>
          </w:rPr>
          <w:fldChar w:fldCharType="begin"/>
        </w:r>
        <w:r>
          <w:rPr>
            <w:noProof/>
          </w:rPr>
          <w:instrText xml:space="preserve"> PAGEREF _Toc881131 \h </w:instrText>
        </w:r>
        <w:r>
          <w:rPr>
            <w:noProof/>
          </w:rPr>
        </w:r>
        <w:r>
          <w:rPr>
            <w:noProof/>
          </w:rPr>
          <w:fldChar w:fldCharType="separate"/>
        </w:r>
        <w:r w:rsidR="009D5ADE">
          <w:rPr>
            <w:noProof/>
          </w:rPr>
          <w:t>2</w:t>
        </w:r>
        <w:r>
          <w:rPr>
            <w:noProof/>
          </w:rPr>
          <w:fldChar w:fldCharType="end"/>
        </w:r>
      </w:hyperlink>
    </w:p>
    <w:p w14:paraId="0120D14A" w14:textId="00DF635C" w:rsidR="00264E55" w:rsidRDefault="00324416">
      <w:pPr>
        <w:pStyle w:val="11"/>
        <w:rPr>
          <w:rFonts w:asciiTheme="minorHAnsi" w:eastAsiaTheme="minorEastAsia" w:hAnsiTheme="minorHAnsi" w:cstheme="minorBidi"/>
          <w:caps w:val="0"/>
          <w:noProof/>
          <w:szCs w:val="22"/>
        </w:rPr>
      </w:pPr>
      <w:hyperlink w:anchor="_Toc881132" w:history="1">
        <w:r w:rsidR="008040BB">
          <w:rPr>
            <w:rStyle w:val="af1"/>
            <w:rFonts w:ascii="宋体" w:hint="eastAsia"/>
            <w:noProof/>
            <w:kern w:val="0"/>
          </w:rPr>
          <w:t>二、</w:t>
        </w:r>
        <w:r w:rsidR="008040BB">
          <w:rPr>
            <w:rFonts w:asciiTheme="minorHAnsi" w:eastAsiaTheme="minorEastAsia" w:hAnsiTheme="minorHAnsi" w:cstheme="minorBidi"/>
            <w:caps w:val="0"/>
            <w:noProof/>
            <w:szCs w:val="22"/>
          </w:rPr>
          <w:tab/>
        </w:r>
        <w:r w:rsidR="008040BB">
          <w:rPr>
            <w:rStyle w:val="af1"/>
            <w:rFonts w:ascii="宋体" w:hint="eastAsia"/>
            <w:noProof/>
            <w:kern w:val="0"/>
          </w:rPr>
          <w:t>托管协议的依据、目的、原则和解释</w:t>
        </w:r>
        <w:r w:rsidR="008040BB">
          <w:rPr>
            <w:noProof/>
          </w:rPr>
          <w:tab/>
        </w:r>
        <w:r w:rsidR="008040BB">
          <w:rPr>
            <w:noProof/>
          </w:rPr>
          <w:fldChar w:fldCharType="begin"/>
        </w:r>
        <w:r w:rsidR="008040BB">
          <w:rPr>
            <w:noProof/>
          </w:rPr>
          <w:instrText xml:space="preserve"> PAGEREF _Toc881132 \h </w:instrText>
        </w:r>
        <w:r w:rsidR="008040BB">
          <w:rPr>
            <w:noProof/>
          </w:rPr>
        </w:r>
        <w:r w:rsidR="008040BB">
          <w:rPr>
            <w:noProof/>
          </w:rPr>
          <w:fldChar w:fldCharType="separate"/>
        </w:r>
        <w:r w:rsidR="009D5ADE">
          <w:rPr>
            <w:noProof/>
          </w:rPr>
          <w:t>3</w:t>
        </w:r>
        <w:r w:rsidR="008040BB">
          <w:rPr>
            <w:noProof/>
          </w:rPr>
          <w:fldChar w:fldCharType="end"/>
        </w:r>
      </w:hyperlink>
    </w:p>
    <w:p w14:paraId="6309A7C6" w14:textId="13748B29" w:rsidR="00264E55" w:rsidRDefault="00324416">
      <w:pPr>
        <w:pStyle w:val="11"/>
        <w:rPr>
          <w:rFonts w:asciiTheme="minorHAnsi" w:eastAsiaTheme="minorEastAsia" w:hAnsiTheme="minorHAnsi" w:cstheme="minorBidi"/>
          <w:caps w:val="0"/>
          <w:noProof/>
          <w:szCs w:val="22"/>
        </w:rPr>
      </w:pPr>
      <w:hyperlink w:anchor="_Toc881133" w:history="1">
        <w:r w:rsidR="008040BB">
          <w:rPr>
            <w:rStyle w:val="af1"/>
            <w:rFonts w:ascii="宋体" w:hint="eastAsia"/>
            <w:noProof/>
            <w:kern w:val="0"/>
          </w:rPr>
          <w:t>三、</w:t>
        </w:r>
        <w:r w:rsidR="008040BB">
          <w:rPr>
            <w:rFonts w:asciiTheme="minorHAnsi" w:eastAsiaTheme="minorEastAsia" w:hAnsiTheme="minorHAnsi" w:cstheme="minorBidi"/>
            <w:caps w:val="0"/>
            <w:noProof/>
            <w:szCs w:val="22"/>
          </w:rPr>
          <w:tab/>
        </w:r>
        <w:r w:rsidR="008040BB">
          <w:rPr>
            <w:rStyle w:val="af1"/>
            <w:rFonts w:ascii="宋体" w:hint="eastAsia"/>
            <w:noProof/>
            <w:kern w:val="0"/>
          </w:rPr>
          <w:t>基金托管人对基金管理人的业务监督和核查</w:t>
        </w:r>
        <w:r w:rsidR="008040BB">
          <w:rPr>
            <w:noProof/>
          </w:rPr>
          <w:tab/>
        </w:r>
        <w:r w:rsidR="008040BB">
          <w:rPr>
            <w:noProof/>
          </w:rPr>
          <w:fldChar w:fldCharType="begin"/>
        </w:r>
        <w:r w:rsidR="008040BB">
          <w:rPr>
            <w:noProof/>
          </w:rPr>
          <w:instrText xml:space="preserve"> PAGEREF _Toc881133 \h </w:instrText>
        </w:r>
        <w:r w:rsidR="008040BB">
          <w:rPr>
            <w:noProof/>
          </w:rPr>
        </w:r>
        <w:r w:rsidR="008040BB">
          <w:rPr>
            <w:noProof/>
          </w:rPr>
          <w:fldChar w:fldCharType="separate"/>
        </w:r>
        <w:r w:rsidR="009D5ADE">
          <w:rPr>
            <w:noProof/>
          </w:rPr>
          <w:t>4</w:t>
        </w:r>
        <w:r w:rsidR="008040BB">
          <w:rPr>
            <w:noProof/>
          </w:rPr>
          <w:fldChar w:fldCharType="end"/>
        </w:r>
      </w:hyperlink>
    </w:p>
    <w:p w14:paraId="04763100" w14:textId="4E4968FD" w:rsidR="00264E55" w:rsidRDefault="00324416">
      <w:pPr>
        <w:pStyle w:val="11"/>
        <w:rPr>
          <w:rFonts w:asciiTheme="minorHAnsi" w:eastAsiaTheme="minorEastAsia" w:hAnsiTheme="minorHAnsi" w:cstheme="minorBidi"/>
          <w:caps w:val="0"/>
          <w:noProof/>
          <w:szCs w:val="22"/>
        </w:rPr>
      </w:pPr>
      <w:hyperlink w:anchor="_Toc881134" w:history="1">
        <w:r w:rsidR="008040BB">
          <w:rPr>
            <w:rStyle w:val="af1"/>
            <w:rFonts w:ascii="宋体" w:hAnsi="Calibri" w:cs="宋体" w:hint="eastAsia"/>
            <w:noProof/>
            <w:kern w:val="0"/>
          </w:rPr>
          <w:t>四、</w:t>
        </w:r>
        <w:r w:rsidR="008040BB">
          <w:rPr>
            <w:rFonts w:asciiTheme="minorHAnsi" w:eastAsiaTheme="minorEastAsia" w:hAnsiTheme="minorHAnsi" w:cstheme="minorBidi"/>
            <w:caps w:val="0"/>
            <w:noProof/>
            <w:szCs w:val="22"/>
          </w:rPr>
          <w:tab/>
        </w:r>
        <w:r w:rsidR="008040BB">
          <w:rPr>
            <w:rStyle w:val="af1"/>
            <w:rFonts w:ascii="宋体" w:hAnsi="Calibri" w:cs="宋体" w:hint="eastAsia"/>
            <w:noProof/>
            <w:kern w:val="0"/>
          </w:rPr>
          <w:t>基金管理人对基金托管人的业务核查</w:t>
        </w:r>
        <w:r w:rsidR="008040BB">
          <w:rPr>
            <w:noProof/>
          </w:rPr>
          <w:tab/>
        </w:r>
        <w:r w:rsidR="008040BB">
          <w:rPr>
            <w:noProof/>
          </w:rPr>
          <w:fldChar w:fldCharType="begin"/>
        </w:r>
        <w:r w:rsidR="008040BB">
          <w:rPr>
            <w:noProof/>
          </w:rPr>
          <w:instrText xml:space="preserve"> PAGEREF _Toc881134 \h </w:instrText>
        </w:r>
        <w:r w:rsidR="008040BB">
          <w:rPr>
            <w:noProof/>
          </w:rPr>
        </w:r>
        <w:r w:rsidR="008040BB">
          <w:rPr>
            <w:noProof/>
          </w:rPr>
          <w:fldChar w:fldCharType="separate"/>
        </w:r>
        <w:r w:rsidR="009D5ADE">
          <w:rPr>
            <w:noProof/>
          </w:rPr>
          <w:t>11</w:t>
        </w:r>
        <w:r w:rsidR="008040BB">
          <w:rPr>
            <w:noProof/>
          </w:rPr>
          <w:fldChar w:fldCharType="end"/>
        </w:r>
      </w:hyperlink>
    </w:p>
    <w:p w14:paraId="45427250" w14:textId="7CC1C6BC" w:rsidR="00264E55" w:rsidRDefault="00324416">
      <w:pPr>
        <w:pStyle w:val="11"/>
        <w:rPr>
          <w:rFonts w:asciiTheme="minorHAnsi" w:eastAsiaTheme="minorEastAsia" w:hAnsiTheme="minorHAnsi" w:cstheme="minorBidi"/>
          <w:caps w:val="0"/>
          <w:noProof/>
          <w:szCs w:val="22"/>
        </w:rPr>
      </w:pPr>
      <w:hyperlink w:anchor="_Toc881135" w:history="1">
        <w:r w:rsidR="008040BB">
          <w:rPr>
            <w:rStyle w:val="af1"/>
            <w:rFonts w:ascii="宋体" w:hAnsi="Calibri" w:cs="宋体" w:hint="eastAsia"/>
            <w:noProof/>
            <w:kern w:val="0"/>
          </w:rPr>
          <w:t>五、</w:t>
        </w:r>
        <w:r w:rsidR="008040BB">
          <w:rPr>
            <w:rFonts w:asciiTheme="minorHAnsi" w:eastAsiaTheme="minorEastAsia" w:hAnsiTheme="minorHAnsi" w:cstheme="minorBidi"/>
            <w:caps w:val="0"/>
            <w:noProof/>
            <w:szCs w:val="22"/>
          </w:rPr>
          <w:tab/>
        </w:r>
        <w:r w:rsidR="008040BB">
          <w:rPr>
            <w:rStyle w:val="af1"/>
            <w:rFonts w:ascii="宋体" w:hAnsi="Calibri" w:cs="宋体" w:hint="eastAsia"/>
            <w:noProof/>
            <w:kern w:val="0"/>
          </w:rPr>
          <w:t>基金财产保管</w:t>
        </w:r>
        <w:r w:rsidR="008040BB">
          <w:rPr>
            <w:noProof/>
          </w:rPr>
          <w:tab/>
        </w:r>
        <w:r w:rsidR="008040BB">
          <w:rPr>
            <w:noProof/>
          </w:rPr>
          <w:fldChar w:fldCharType="begin"/>
        </w:r>
        <w:r w:rsidR="008040BB">
          <w:rPr>
            <w:noProof/>
          </w:rPr>
          <w:instrText xml:space="preserve"> PAGEREF _Toc881135 \h </w:instrText>
        </w:r>
        <w:r w:rsidR="008040BB">
          <w:rPr>
            <w:noProof/>
          </w:rPr>
        </w:r>
        <w:r w:rsidR="008040BB">
          <w:rPr>
            <w:noProof/>
          </w:rPr>
          <w:fldChar w:fldCharType="separate"/>
        </w:r>
        <w:r w:rsidR="009D5ADE">
          <w:rPr>
            <w:noProof/>
          </w:rPr>
          <w:t>11</w:t>
        </w:r>
        <w:r w:rsidR="008040BB">
          <w:rPr>
            <w:noProof/>
          </w:rPr>
          <w:fldChar w:fldCharType="end"/>
        </w:r>
      </w:hyperlink>
    </w:p>
    <w:p w14:paraId="21285270" w14:textId="4AAA8665" w:rsidR="00264E55" w:rsidRDefault="00324416">
      <w:pPr>
        <w:pStyle w:val="11"/>
        <w:rPr>
          <w:rFonts w:asciiTheme="minorHAnsi" w:eastAsiaTheme="minorEastAsia" w:hAnsiTheme="minorHAnsi" w:cstheme="minorBidi"/>
          <w:caps w:val="0"/>
          <w:noProof/>
          <w:szCs w:val="22"/>
        </w:rPr>
      </w:pPr>
      <w:hyperlink w:anchor="_Toc881136" w:history="1">
        <w:r w:rsidR="008040BB">
          <w:rPr>
            <w:rStyle w:val="af1"/>
            <w:rFonts w:ascii="宋体" w:hint="eastAsia"/>
            <w:noProof/>
            <w:kern w:val="0"/>
          </w:rPr>
          <w:t>六、</w:t>
        </w:r>
        <w:r w:rsidR="008040BB">
          <w:rPr>
            <w:rFonts w:asciiTheme="minorHAnsi" w:eastAsiaTheme="minorEastAsia" w:hAnsiTheme="minorHAnsi" w:cstheme="minorBidi"/>
            <w:caps w:val="0"/>
            <w:noProof/>
            <w:szCs w:val="22"/>
          </w:rPr>
          <w:tab/>
        </w:r>
        <w:r w:rsidR="008040BB">
          <w:rPr>
            <w:rStyle w:val="af1"/>
            <w:rFonts w:ascii="宋体" w:hint="eastAsia"/>
            <w:noProof/>
            <w:kern w:val="0"/>
          </w:rPr>
          <w:t>指令的发送、确认及执行</w:t>
        </w:r>
        <w:r w:rsidR="008040BB">
          <w:rPr>
            <w:noProof/>
          </w:rPr>
          <w:tab/>
        </w:r>
        <w:r w:rsidR="008040BB">
          <w:rPr>
            <w:noProof/>
          </w:rPr>
          <w:fldChar w:fldCharType="begin"/>
        </w:r>
        <w:r w:rsidR="008040BB">
          <w:rPr>
            <w:noProof/>
          </w:rPr>
          <w:instrText xml:space="preserve"> PAGEREF _Toc881136 \h </w:instrText>
        </w:r>
        <w:r w:rsidR="008040BB">
          <w:rPr>
            <w:noProof/>
          </w:rPr>
        </w:r>
        <w:r w:rsidR="008040BB">
          <w:rPr>
            <w:noProof/>
          </w:rPr>
          <w:fldChar w:fldCharType="separate"/>
        </w:r>
        <w:r w:rsidR="009D5ADE">
          <w:rPr>
            <w:noProof/>
          </w:rPr>
          <w:t>15</w:t>
        </w:r>
        <w:r w:rsidR="008040BB">
          <w:rPr>
            <w:noProof/>
          </w:rPr>
          <w:fldChar w:fldCharType="end"/>
        </w:r>
      </w:hyperlink>
    </w:p>
    <w:p w14:paraId="22EF5154" w14:textId="3AAE4BB0" w:rsidR="00264E55" w:rsidRDefault="00324416">
      <w:pPr>
        <w:pStyle w:val="11"/>
        <w:rPr>
          <w:rFonts w:asciiTheme="minorHAnsi" w:eastAsiaTheme="minorEastAsia" w:hAnsiTheme="minorHAnsi" w:cstheme="minorBidi"/>
          <w:caps w:val="0"/>
          <w:noProof/>
          <w:szCs w:val="22"/>
        </w:rPr>
      </w:pPr>
      <w:hyperlink w:anchor="_Toc881137" w:history="1">
        <w:r w:rsidR="008040BB">
          <w:rPr>
            <w:rStyle w:val="af1"/>
            <w:rFonts w:ascii="宋体" w:hint="eastAsia"/>
            <w:noProof/>
            <w:kern w:val="0"/>
          </w:rPr>
          <w:t>七、</w:t>
        </w:r>
        <w:r w:rsidR="008040BB">
          <w:rPr>
            <w:rFonts w:asciiTheme="minorHAnsi" w:eastAsiaTheme="minorEastAsia" w:hAnsiTheme="minorHAnsi" w:cstheme="minorBidi"/>
            <w:caps w:val="0"/>
            <w:noProof/>
            <w:szCs w:val="22"/>
          </w:rPr>
          <w:tab/>
        </w:r>
        <w:r w:rsidR="008040BB">
          <w:rPr>
            <w:rStyle w:val="af1"/>
            <w:rFonts w:ascii="宋体" w:hint="eastAsia"/>
            <w:noProof/>
            <w:kern w:val="0"/>
          </w:rPr>
          <w:t>交易及清算交收安排</w:t>
        </w:r>
        <w:r w:rsidR="008040BB">
          <w:rPr>
            <w:noProof/>
          </w:rPr>
          <w:tab/>
        </w:r>
        <w:r w:rsidR="008040BB">
          <w:rPr>
            <w:noProof/>
          </w:rPr>
          <w:fldChar w:fldCharType="begin"/>
        </w:r>
        <w:r w:rsidR="008040BB">
          <w:rPr>
            <w:noProof/>
          </w:rPr>
          <w:instrText xml:space="preserve"> PAGEREF _Toc881137 \h </w:instrText>
        </w:r>
        <w:r w:rsidR="008040BB">
          <w:rPr>
            <w:noProof/>
          </w:rPr>
        </w:r>
        <w:r w:rsidR="008040BB">
          <w:rPr>
            <w:noProof/>
          </w:rPr>
          <w:fldChar w:fldCharType="separate"/>
        </w:r>
        <w:r w:rsidR="009D5ADE">
          <w:rPr>
            <w:noProof/>
          </w:rPr>
          <w:t>18</w:t>
        </w:r>
        <w:r w:rsidR="008040BB">
          <w:rPr>
            <w:noProof/>
          </w:rPr>
          <w:fldChar w:fldCharType="end"/>
        </w:r>
      </w:hyperlink>
    </w:p>
    <w:p w14:paraId="520FD7A9" w14:textId="3CE0693A" w:rsidR="00264E55" w:rsidRDefault="00324416">
      <w:pPr>
        <w:pStyle w:val="11"/>
        <w:rPr>
          <w:rFonts w:asciiTheme="minorHAnsi" w:eastAsiaTheme="minorEastAsia" w:hAnsiTheme="minorHAnsi" w:cstheme="minorBidi"/>
          <w:caps w:val="0"/>
          <w:noProof/>
          <w:szCs w:val="22"/>
        </w:rPr>
      </w:pPr>
      <w:hyperlink w:anchor="_Toc881138" w:history="1">
        <w:r w:rsidR="008040BB">
          <w:rPr>
            <w:rStyle w:val="af1"/>
            <w:rFonts w:ascii="宋体" w:hint="eastAsia"/>
            <w:noProof/>
            <w:kern w:val="0"/>
          </w:rPr>
          <w:t>八、</w:t>
        </w:r>
        <w:r w:rsidR="008040BB">
          <w:rPr>
            <w:rFonts w:asciiTheme="minorHAnsi" w:eastAsiaTheme="minorEastAsia" w:hAnsiTheme="minorHAnsi" w:cstheme="minorBidi"/>
            <w:caps w:val="0"/>
            <w:noProof/>
            <w:szCs w:val="22"/>
          </w:rPr>
          <w:tab/>
        </w:r>
        <w:r w:rsidR="008040BB">
          <w:rPr>
            <w:rStyle w:val="af1"/>
            <w:rFonts w:ascii="宋体" w:hint="eastAsia"/>
            <w:noProof/>
            <w:kern w:val="0"/>
          </w:rPr>
          <w:t>基金资产净值计算和会计核算</w:t>
        </w:r>
        <w:r w:rsidR="008040BB">
          <w:rPr>
            <w:noProof/>
          </w:rPr>
          <w:tab/>
        </w:r>
        <w:r w:rsidR="008040BB">
          <w:rPr>
            <w:noProof/>
          </w:rPr>
          <w:fldChar w:fldCharType="begin"/>
        </w:r>
        <w:r w:rsidR="008040BB">
          <w:rPr>
            <w:noProof/>
          </w:rPr>
          <w:instrText xml:space="preserve"> PAGEREF _Toc881138 \h </w:instrText>
        </w:r>
        <w:r w:rsidR="008040BB">
          <w:rPr>
            <w:noProof/>
          </w:rPr>
        </w:r>
        <w:r w:rsidR="008040BB">
          <w:rPr>
            <w:noProof/>
          </w:rPr>
          <w:fldChar w:fldCharType="separate"/>
        </w:r>
        <w:r w:rsidR="009D5ADE">
          <w:rPr>
            <w:noProof/>
          </w:rPr>
          <w:t>20</w:t>
        </w:r>
        <w:r w:rsidR="008040BB">
          <w:rPr>
            <w:noProof/>
          </w:rPr>
          <w:fldChar w:fldCharType="end"/>
        </w:r>
      </w:hyperlink>
    </w:p>
    <w:p w14:paraId="44D1478F" w14:textId="085AEC52" w:rsidR="00264E55" w:rsidRDefault="00324416">
      <w:pPr>
        <w:pStyle w:val="11"/>
        <w:rPr>
          <w:rFonts w:asciiTheme="minorHAnsi" w:eastAsiaTheme="minorEastAsia" w:hAnsiTheme="minorHAnsi" w:cstheme="minorBidi"/>
          <w:caps w:val="0"/>
          <w:noProof/>
          <w:szCs w:val="22"/>
        </w:rPr>
      </w:pPr>
      <w:hyperlink w:anchor="_Toc881139" w:history="1">
        <w:r w:rsidR="008040BB">
          <w:rPr>
            <w:rStyle w:val="af1"/>
            <w:rFonts w:hint="eastAsia"/>
            <w:noProof/>
          </w:rPr>
          <w:t>九、</w:t>
        </w:r>
        <w:r w:rsidR="008040BB">
          <w:rPr>
            <w:rFonts w:asciiTheme="minorHAnsi" w:eastAsiaTheme="minorEastAsia" w:hAnsiTheme="minorHAnsi" w:cstheme="minorBidi"/>
            <w:caps w:val="0"/>
            <w:noProof/>
            <w:szCs w:val="22"/>
          </w:rPr>
          <w:tab/>
        </w:r>
        <w:r w:rsidR="008040BB">
          <w:rPr>
            <w:rStyle w:val="af1"/>
            <w:rFonts w:hint="eastAsia"/>
            <w:noProof/>
          </w:rPr>
          <w:t>基金收益分配</w:t>
        </w:r>
        <w:r w:rsidR="008040BB">
          <w:rPr>
            <w:noProof/>
          </w:rPr>
          <w:tab/>
        </w:r>
        <w:r w:rsidR="008040BB">
          <w:rPr>
            <w:noProof/>
          </w:rPr>
          <w:fldChar w:fldCharType="begin"/>
        </w:r>
        <w:r w:rsidR="008040BB">
          <w:rPr>
            <w:noProof/>
          </w:rPr>
          <w:instrText xml:space="preserve"> PAGEREF _Toc881139 \h </w:instrText>
        </w:r>
        <w:r w:rsidR="008040BB">
          <w:rPr>
            <w:noProof/>
          </w:rPr>
        </w:r>
        <w:r w:rsidR="008040BB">
          <w:rPr>
            <w:noProof/>
          </w:rPr>
          <w:fldChar w:fldCharType="separate"/>
        </w:r>
        <w:r w:rsidR="009D5ADE">
          <w:rPr>
            <w:noProof/>
          </w:rPr>
          <w:t>27</w:t>
        </w:r>
        <w:r w:rsidR="008040BB">
          <w:rPr>
            <w:noProof/>
          </w:rPr>
          <w:fldChar w:fldCharType="end"/>
        </w:r>
      </w:hyperlink>
    </w:p>
    <w:p w14:paraId="2BB318A2" w14:textId="24F7B29C" w:rsidR="00264E55" w:rsidRDefault="00324416">
      <w:pPr>
        <w:pStyle w:val="11"/>
        <w:rPr>
          <w:rFonts w:asciiTheme="minorHAnsi" w:eastAsiaTheme="minorEastAsia" w:hAnsiTheme="minorHAnsi" w:cstheme="minorBidi"/>
          <w:caps w:val="0"/>
          <w:noProof/>
          <w:szCs w:val="22"/>
        </w:rPr>
      </w:pPr>
      <w:hyperlink w:anchor="_Toc881140" w:history="1">
        <w:r w:rsidR="008040BB">
          <w:rPr>
            <w:rStyle w:val="af1"/>
            <w:rFonts w:hint="eastAsia"/>
            <w:noProof/>
          </w:rPr>
          <w:t>十、</w:t>
        </w:r>
        <w:r w:rsidR="008040BB">
          <w:rPr>
            <w:rFonts w:asciiTheme="minorHAnsi" w:eastAsiaTheme="minorEastAsia" w:hAnsiTheme="minorHAnsi" w:cstheme="minorBidi"/>
            <w:caps w:val="0"/>
            <w:noProof/>
            <w:szCs w:val="22"/>
          </w:rPr>
          <w:tab/>
        </w:r>
        <w:r w:rsidR="008040BB">
          <w:rPr>
            <w:rStyle w:val="af1"/>
            <w:rFonts w:hint="eastAsia"/>
            <w:noProof/>
          </w:rPr>
          <w:t>基金信息披露</w:t>
        </w:r>
        <w:r w:rsidR="008040BB">
          <w:rPr>
            <w:noProof/>
          </w:rPr>
          <w:tab/>
        </w:r>
        <w:r w:rsidR="008040BB">
          <w:rPr>
            <w:noProof/>
          </w:rPr>
          <w:fldChar w:fldCharType="begin"/>
        </w:r>
        <w:r w:rsidR="008040BB">
          <w:rPr>
            <w:noProof/>
          </w:rPr>
          <w:instrText xml:space="preserve"> PAGEREF _Toc881140 \h </w:instrText>
        </w:r>
        <w:r w:rsidR="008040BB">
          <w:rPr>
            <w:noProof/>
          </w:rPr>
        </w:r>
        <w:r w:rsidR="008040BB">
          <w:rPr>
            <w:noProof/>
          </w:rPr>
          <w:fldChar w:fldCharType="separate"/>
        </w:r>
        <w:r w:rsidR="009D5ADE">
          <w:rPr>
            <w:noProof/>
          </w:rPr>
          <w:t>28</w:t>
        </w:r>
        <w:r w:rsidR="008040BB">
          <w:rPr>
            <w:noProof/>
          </w:rPr>
          <w:fldChar w:fldCharType="end"/>
        </w:r>
      </w:hyperlink>
    </w:p>
    <w:p w14:paraId="10C4D6F8" w14:textId="2301644A" w:rsidR="00264E55" w:rsidRDefault="00324416">
      <w:pPr>
        <w:pStyle w:val="11"/>
        <w:rPr>
          <w:rFonts w:asciiTheme="minorHAnsi" w:eastAsiaTheme="minorEastAsia" w:hAnsiTheme="minorHAnsi" w:cstheme="minorBidi"/>
          <w:caps w:val="0"/>
          <w:noProof/>
          <w:szCs w:val="22"/>
        </w:rPr>
      </w:pPr>
      <w:hyperlink w:anchor="_Toc881141" w:history="1">
        <w:r w:rsidR="008040BB">
          <w:rPr>
            <w:rStyle w:val="af1"/>
            <w:rFonts w:hint="eastAsia"/>
            <w:noProof/>
          </w:rPr>
          <w:t>十一、</w:t>
        </w:r>
        <w:r w:rsidR="008040BB">
          <w:rPr>
            <w:rFonts w:asciiTheme="minorHAnsi" w:eastAsiaTheme="minorEastAsia" w:hAnsiTheme="minorHAnsi" w:cstheme="minorBidi"/>
            <w:caps w:val="0"/>
            <w:noProof/>
            <w:szCs w:val="22"/>
          </w:rPr>
          <w:tab/>
        </w:r>
        <w:r w:rsidR="008040BB">
          <w:rPr>
            <w:rStyle w:val="af1"/>
            <w:rFonts w:hint="eastAsia"/>
            <w:noProof/>
          </w:rPr>
          <w:t>基金费用</w:t>
        </w:r>
        <w:r w:rsidR="008040BB">
          <w:rPr>
            <w:noProof/>
          </w:rPr>
          <w:tab/>
        </w:r>
        <w:r w:rsidR="008040BB">
          <w:rPr>
            <w:noProof/>
          </w:rPr>
          <w:fldChar w:fldCharType="begin"/>
        </w:r>
        <w:r w:rsidR="008040BB">
          <w:rPr>
            <w:noProof/>
          </w:rPr>
          <w:instrText xml:space="preserve"> PAGEREF _Toc881141 \h </w:instrText>
        </w:r>
        <w:r w:rsidR="008040BB">
          <w:rPr>
            <w:noProof/>
          </w:rPr>
        </w:r>
        <w:r w:rsidR="008040BB">
          <w:rPr>
            <w:noProof/>
          </w:rPr>
          <w:fldChar w:fldCharType="separate"/>
        </w:r>
        <w:r w:rsidR="009D5ADE">
          <w:rPr>
            <w:noProof/>
          </w:rPr>
          <w:t>30</w:t>
        </w:r>
        <w:r w:rsidR="008040BB">
          <w:rPr>
            <w:noProof/>
          </w:rPr>
          <w:fldChar w:fldCharType="end"/>
        </w:r>
      </w:hyperlink>
    </w:p>
    <w:p w14:paraId="6A77B2F2" w14:textId="66304DE2" w:rsidR="00264E55" w:rsidRDefault="00324416">
      <w:pPr>
        <w:pStyle w:val="11"/>
        <w:rPr>
          <w:rFonts w:asciiTheme="minorHAnsi" w:eastAsiaTheme="minorEastAsia" w:hAnsiTheme="minorHAnsi" w:cstheme="minorBidi"/>
          <w:caps w:val="0"/>
          <w:noProof/>
          <w:szCs w:val="22"/>
        </w:rPr>
      </w:pPr>
      <w:hyperlink w:anchor="_Toc881142" w:history="1">
        <w:r w:rsidR="008040BB">
          <w:rPr>
            <w:rStyle w:val="af1"/>
            <w:rFonts w:hint="eastAsia"/>
            <w:noProof/>
          </w:rPr>
          <w:t>十二、</w:t>
        </w:r>
        <w:r w:rsidR="008040BB">
          <w:rPr>
            <w:rFonts w:asciiTheme="minorHAnsi" w:eastAsiaTheme="minorEastAsia" w:hAnsiTheme="minorHAnsi" w:cstheme="minorBidi"/>
            <w:caps w:val="0"/>
            <w:noProof/>
            <w:szCs w:val="22"/>
          </w:rPr>
          <w:tab/>
        </w:r>
        <w:r w:rsidR="008040BB">
          <w:rPr>
            <w:rStyle w:val="af1"/>
            <w:rFonts w:hint="eastAsia"/>
            <w:noProof/>
          </w:rPr>
          <w:t>基金份额持有人名册的保管</w:t>
        </w:r>
        <w:r w:rsidR="008040BB">
          <w:rPr>
            <w:noProof/>
          </w:rPr>
          <w:tab/>
        </w:r>
        <w:r w:rsidR="008040BB">
          <w:rPr>
            <w:noProof/>
          </w:rPr>
          <w:fldChar w:fldCharType="begin"/>
        </w:r>
        <w:r w:rsidR="008040BB">
          <w:rPr>
            <w:noProof/>
          </w:rPr>
          <w:instrText xml:space="preserve"> PAGEREF _Toc881142 \h </w:instrText>
        </w:r>
        <w:r w:rsidR="008040BB">
          <w:rPr>
            <w:noProof/>
          </w:rPr>
        </w:r>
        <w:r w:rsidR="008040BB">
          <w:rPr>
            <w:noProof/>
          </w:rPr>
          <w:fldChar w:fldCharType="separate"/>
        </w:r>
        <w:r w:rsidR="009D5ADE">
          <w:rPr>
            <w:noProof/>
          </w:rPr>
          <w:t>32</w:t>
        </w:r>
        <w:r w:rsidR="008040BB">
          <w:rPr>
            <w:noProof/>
          </w:rPr>
          <w:fldChar w:fldCharType="end"/>
        </w:r>
      </w:hyperlink>
    </w:p>
    <w:p w14:paraId="0D18D95D" w14:textId="3D5FB3E1" w:rsidR="00264E55" w:rsidRDefault="00324416">
      <w:pPr>
        <w:pStyle w:val="11"/>
        <w:rPr>
          <w:rFonts w:asciiTheme="minorHAnsi" w:eastAsiaTheme="minorEastAsia" w:hAnsiTheme="minorHAnsi" w:cstheme="minorBidi"/>
          <w:caps w:val="0"/>
          <w:noProof/>
          <w:szCs w:val="22"/>
        </w:rPr>
      </w:pPr>
      <w:hyperlink w:anchor="_Toc881143" w:history="1">
        <w:r w:rsidR="008040BB">
          <w:rPr>
            <w:rStyle w:val="af1"/>
            <w:rFonts w:hint="eastAsia"/>
            <w:noProof/>
          </w:rPr>
          <w:t>十三、</w:t>
        </w:r>
        <w:r w:rsidR="008040BB">
          <w:rPr>
            <w:rFonts w:asciiTheme="minorHAnsi" w:eastAsiaTheme="minorEastAsia" w:hAnsiTheme="minorHAnsi" w:cstheme="minorBidi"/>
            <w:caps w:val="0"/>
            <w:noProof/>
            <w:szCs w:val="22"/>
          </w:rPr>
          <w:tab/>
        </w:r>
        <w:r w:rsidR="008040BB">
          <w:rPr>
            <w:rStyle w:val="af1"/>
            <w:rFonts w:hint="eastAsia"/>
            <w:noProof/>
          </w:rPr>
          <w:t>基金有关文件档案的保存</w:t>
        </w:r>
        <w:r w:rsidR="008040BB">
          <w:rPr>
            <w:noProof/>
          </w:rPr>
          <w:tab/>
        </w:r>
        <w:r w:rsidR="008040BB">
          <w:rPr>
            <w:noProof/>
          </w:rPr>
          <w:fldChar w:fldCharType="begin"/>
        </w:r>
        <w:r w:rsidR="008040BB">
          <w:rPr>
            <w:noProof/>
          </w:rPr>
          <w:instrText xml:space="preserve"> PAGEREF _Toc881143 \h </w:instrText>
        </w:r>
        <w:r w:rsidR="008040BB">
          <w:rPr>
            <w:noProof/>
          </w:rPr>
        </w:r>
        <w:r w:rsidR="008040BB">
          <w:rPr>
            <w:noProof/>
          </w:rPr>
          <w:fldChar w:fldCharType="separate"/>
        </w:r>
        <w:r w:rsidR="009D5ADE">
          <w:rPr>
            <w:noProof/>
          </w:rPr>
          <w:t>33</w:t>
        </w:r>
        <w:r w:rsidR="008040BB">
          <w:rPr>
            <w:noProof/>
          </w:rPr>
          <w:fldChar w:fldCharType="end"/>
        </w:r>
      </w:hyperlink>
    </w:p>
    <w:p w14:paraId="0D578A66" w14:textId="7223FFF1" w:rsidR="00264E55" w:rsidRDefault="00324416">
      <w:pPr>
        <w:pStyle w:val="11"/>
        <w:rPr>
          <w:rFonts w:asciiTheme="minorHAnsi" w:eastAsiaTheme="minorEastAsia" w:hAnsiTheme="minorHAnsi" w:cstheme="minorBidi"/>
          <w:caps w:val="0"/>
          <w:noProof/>
          <w:szCs w:val="22"/>
        </w:rPr>
      </w:pPr>
      <w:hyperlink w:anchor="_Toc881144" w:history="1">
        <w:r w:rsidR="008040BB">
          <w:rPr>
            <w:rStyle w:val="af1"/>
            <w:rFonts w:hint="eastAsia"/>
            <w:noProof/>
          </w:rPr>
          <w:t>十四、</w:t>
        </w:r>
        <w:r w:rsidR="008040BB">
          <w:rPr>
            <w:rFonts w:asciiTheme="minorHAnsi" w:eastAsiaTheme="minorEastAsia" w:hAnsiTheme="minorHAnsi" w:cstheme="minorBidi"/>
            <w:caps w:val="0"/>
            <w:noProof/>
            <w:szCs w:val="22"/>
          </w:rPr>
          <w:tab/>
        </w:r>
        <w:r w:rsidR="008040BB">
          <w:rPr>
            <w:rStyle w:val="af1"/>
            <w:rFonts w:hint="eastAsia"/>
            <w:noProof/>
          </w:rPr>
          <w:t>基金托管人和基金管理人的更换</w:t>
        </w:r>
        <w:r w:rsidR="008040BB">
          <w:rPr>
            <w:noProof/>
          </w:rPr>
          <w:tab/>
        </w:r>
        <w:r w:rsidR="008040BB">
          <w:rPr>
            <w:noProof/>
          </w:rPr>
          <w:fldChar w:fldCharType="begin"/>
        </w:r>
        <w:r w:rsidR="008040BB">
          <w:rPr>
            <w:noProof/>
          </w:rPr>
          <w:instrText xml:space="preserve"> PAGEREF _Toc881144 \h </w:instrText>
        </w:r>
        <w:r w:rsidR="008040BB">
          <w:rPr>
            <w:noProof/>
          </w:rPr>
        </w:r>
        <w:r w:rsidR="008040BB">
          <w:rPr>
            <w:noProof/>
          </w:rPr>
          <w:fldChar w:fldCharType="separate"/>
        </w:r>
        <w:r w:rsidR="009D5ADE">
          <w:rPr>
            <w:noProof/>
          </w:rPr>
          <w:t>34</w:t>
        </w:r>
        <w:r w:rsidR="008040BB">
          <w:rPr>
            <w:noProof/>
          </w:rPr>
          <w:fldChar w:fldCharType="end"/>
        </w:r>
      </w:hyperlink>
    </w:p>
    <w:p w14:paraId="726514B6" w14:textId="7DAC8284" w:rsidR="00264E55" w:rsidRDefault="00324416">
      <w:pPr>
        <w:pStyle w:val="11"/>
        <w:rPr>
          <w:rFonts w:asciiTheme="minorHAnsi" w:eastAsiaTheme="minorEastAsia" w:hAnsiTheme="minorHAnsi" w:cstheme="minorBidi"/>
          <w:caps w:val="0"/>
          <w:noProof/>
          <w:szCs w:val="22"/>
        </w:rPr>
      </w:pPr>
      <w:hyperlink w:anchor="_Toc881145" w:history="1">
        <w:r w:rsidR="008040BB">
          <w:rPr>
            <w:rStyle w:val="af1"/>
            <w:rFonts w:hint="eastAsia"/>
            <w:noProof/>
          </w:rPr>
          <w:t>十五、</w:t>
        </w:r>
        <w:r w:rsidR="008040BB">
          <w:rPr>
            <w:rFonts w:asciiTheme="minorHAnsi" w:eastAsiaTheme="minorEastAsia" w:hAnsiTheme="minorHAnsi" w:cstheme="minorBidi"/>
            <w:caps w:val="0"/>
            <w:noProof/>
            <w:szCs w:val="22"/>
          </w:rPr>
          <w:tab/>
        </w:r>
        <w:r w:rsidR="008040BB">
          <w:rPr>
            <w:rStyle w:val="af1"/>
            <w:rFonts w:hint="eastAsia"/>
            <w:noProof/>
          </w:rPr>
          <w:t>禁止行为</w:t>
        </w:r>
        <w:r w:rsidR="008040BB">
          <w:rPr>
            <w:noProof/>
          </w:rPr>
          <w:tab/>
        </w:r>
        <w:r w:rsidR="008040BB">
          <w:rPr>
            <w:noProof/>
          </w:rPr>
          <w:fldChar w:fldCharType="begin"/>
        </w:r>
        <w:r w:rsidR="008040BB">
          <w:rPr>
            <w:noProof/>
          </w:rPr>
          <w:instrText xml:space="preserve"> PAGEREF _Toc881145 \h </w:instrText>
        </w:r>
        <w:r w:rsidR="008040BB">
          <w:rPr>
            <w:noProof/>
          </w:rPr>
        </w:r>
        <w:r w:rsidR="008040BB">
          <w:rPr>
            <w:noProof/>
          </w:rPr>
          <w:fldChar w:fldCharType="separate"/>
        </w:r>
        <w:r w:rsidR="009D5ADE">
          <w:rPr>
            <w:noProof/>
          </w:rPr>
          <w:t>36</w:t>
        </w:r>
        <w:r w:rsidR="008040BB">
          <w:rPr>
            <w:noProof/>
          </w:rPr>
          <w:fldChar w:fldCharType="end"/>
        </w:r>
      </w:hyperlink>
    </w:p>
    <w:p w14:paraId="2AD88A05" w14:textId="42C4675D" w:rsidR="00264E55" w:rsidRDefault="00324416">
      <w:pPr>
        <w:pStyle w:val="11"/>
        <w:rPr>
          <w:rFonts w:asciiTheme="minorHAnsi" w:eastAsiaTheme="minorEastAsia" w:hAnsiTheme="minorHAnsi" w:cstheme="minorBidi"/>
          <w:caps w:val="0"/>
          <w:noProof/>
          <w:szCs w:val="22"/>
        </w:rPr>
      </w:pPr>
      <w:hyperlink w:anchor="_Toc881146" w:history="1">
        <w:r w:rsidR="008040BB">
          <w:rPr>
            <w:rStyle w:val="af1"/>
            <w:rFonts w:hint="eastAsia"/>
            <w:noProof/>
          </w:rPr>
          <w:t>十六、</w:t>
        </w:r>
        <w:r w:rsidR="008040BB">
          <w:rPr>
            <w:rFonts w:asciiTheme="minorHAnsi" w:eastAsiaTheme="minorEastAsia" w:hAnsiTheme="minorHAnsi" w:cstheme="minorBidi"/>
            <w:caps w:val="0"/>
            <w:noProof/>
            <w:szCs w:val="22"/>
          </w:rPr>
          <w:tab/>
        </w:r>
        <w:r w:rsidR="008040BB">
          <w:rPr>
            <w:rStyle w:val="af1"/>
            <w:rFonts w:hint="eastAsia"/>
            <w:noProof/>
          </w:rPr>
          <w:t>托管协议的变更、终止与基金财产的清算</w:t>
        </w:r>
        <w:r w:rsidR="008040BB">
          <w:rPr>
            <w:noProof/>
          </w:rPr>
          <w:tab/>
        </w:r>
        <w:r w:rsidR="008040BB">
          <w:rPr>
            <w:noProof/>
          </w:rPr>
          <w:fldChar w:fldCharType="begin"/>
        </w:r>
        <w:r w:rsidR="008040BB">
          <w:rPr>
            <w:noProof/>
          </w:rPr>
          <w:instrText xml:space="preserve"> PAGEREF _Toc881146 \h </w:instrText>
        </w:r>
        <w:r w:rsidR="008040BB">
          <w:rPr>
            <w:noProof/>
          </w:rPr>
        </w:r>
        <w:r w:rsidR="008040BB">
          <w:rPr>
            <w:noProof/>
          </w:rPr>
          <w:fldChar w:fldCharType="separate"/>
        </w:r>
        <w:r w:rsidR="009D5ADE">
          <w:rPr>
            <w:noProof/>
          </w:rPr>
          <w:t>37</w:t>
        </w:r>
        <w:r w:rsidR="008040BB">
          <w:rPr>
            <w:noProof/>
          </w:rPr>
          <w:fldChar w:fldCharType="end"/>
        </w:r>
      </w:hyperlink>
    </w:p>
    <w:p w14:paraId="5033BE0D" w14:textId="637D778E" w:rsidR="00264E55" w:rsidRDefault="00324416">
      <w:pPr>
        <w:pStyle w:val="11"/>
        <w:rPr>
          <w:rFonts w:asciiTheme="minorHAnsi" w:eastAsiaTheme="minorEastAsia" w:hAnsiTheme="minorHAnsi" w:cstheme="minorBidi"/>
          <w:caps w:val="0"/>
          <w:noProof/>
          <w:szCs w:val="22"/>
        </w:rPr>
      </w:pPr>
      <w:hyperlink w:anchor="_Toc881147" w:history="1">
        <w:r w:rsidR="008040BB">
          <w:rPr>
            <w:rStyle w:val="af1"/>
            <w:rFonts w:hint="eastAsia"/>
            <w:noProof/>
          </w:rPr>
          <w:t>十七、</w:t>
        </w:r>
        <w:r w:rsidR="008040BB">
          <w:rPr>
            <w:rFonts w:asciiTheme="minorHAnsi" w:eastAsiaTheme="minorEastAsia" w:hAnsiTheme="minorHAnsi" w:cstheme="minorBidi"/>
            <w:caps w:val="0"/>
            <w:noProof/>
            <w:szCs w:val="22"/>
          </w:rPr>
          <w:tab/>
        </w:r>
        <w:r w:rsidR="008040BB">
          <w:rPr>
            <w:rStyle w:val="af1"/>
            <w:rFonts w:hint="eastAsia"/>
            <w:noProof/>
          </w:rPr>
          <w:t>违约责任和责任划分</w:t>
        </w:r>
        <w:r w:rsidR="008040BB">
          <w:rPr>
            <w:noProof/>
          </w:rPr>
          <w:tab/>
        </w:r>
        <w:r w:rsidR="008040BB">
          <w:rPr>
            <w:noProof/>
          </w:rPr>
          <w:fldChar w:fldCharType="begin"/>
        </w:r>
        <w:r w:rsidR="008040BB">
          <w:rPr>
            <w:noProof/>
          </w:rPr>
          <w:instrText xml:space="preserve"> PAGEREF _Toc881147 \h </w:instrText>
        </w:r>
        <w:r w:rsidR="008040BB">
          <w:rPr>
            <w:noProof/>
          </w:rPr>
        </w:r>
        <w:r w:rsidR="008040BB">
          <w:rPr>
            <w:noProof/>
          </w:rPr>
          <w:fldChar w:fldCharType="separate"/>
        </w:r>
        <w:r w:rsidR="009D5ADE">
          <w:rPr>
            <w:noProof/>
          </w:rPr>
          <w:t>39</w:t>
        </w:r>
        <w:r w:rsidR="008040BB">
          <w:rPr>
            <w:noProof/>
          </w:rPr>
          <w:fldChar w:fldCharType="end"/>
        </w:r>
      </w:hyperlink>
    </w:p>
    <w:p w14:paraId="6C0EE990" w14:textId="498767BA" w:rsidR="00264E55" w:rsidRDefault="00324416">
      <w:pPr>
        <w:pStyle w:val="11"/>
        <w:rPr>
          <w:rFonts w:asciiTheme="minorHAnsi" w:eastAsiaTheme="minorEastAsia" w:hAnsiTheme="minorHAnsi" w:cstheme="minorBidi"/>
          <w:caps w:val="0"/>
          <w:noProof/>
          <w:szCs w:val="22"/>
        </w:rPr>
      </w:pPr>
      <w:hyperlink w:anchor="_Toc881148" w:history="1">
        <w:r w:rsidR="008040BB">
          <w:rPr>
            <w:rStyle w:val="af1"/>
            <w:rFonts w:hint="eastAsia"/>
            <w:noProof/>
          </w:rPr>
          <w:t>十八、</w:t>
        </w:r>
        <w:r w:rsidR="008040BB">
          <w:rPr>
            <w:rFonts w:asciiTheme="minorHAnsi" w:eastAsiaTheme="minorEastAsia" w:hAnsiTheme="minorHAnsi" w:cstheme="minorBidi"/>
            <w:caps w:val="0"/>
            <w:noProof/>
            <w:szCs w:val="22"/>
          </w:rPr>
          <w:tab/>
        </w:r>
        <w:r w:rsidR="008040BB">
          <w:rPr>
            <w:rStyle w:val="af1"/>
            <w:rFonts w:hint="eastAsia"/>
            <w:noProof/>
          </w:rPr>
          <w:t>适用法律与争议解决方式</w:t>
        </w:r>
        <w:r w:rsidR="008040BB">
          <w:rPr>
            <w:noProof/>
          </w:rPr>
          <w:tab/>
        </w:r>
        <w:r w:rsidR="008040BB">
          <w:rPr>
            <w:noProof/>
          </w:rPr>
          <w:fldChar w:fldCharType="begin"/>
        </w:r>
        <w:r w:rsidR="008040BB">
          <w:rPr>
            <w:noProof/>
          </w:rPr>
          <w:instrText xml:space="preserve"> PAGEREF _Toc881148 \h </w:instrText>
        </w:r>
        <w:r w:rsidR="008040BB">
          <w:rPr>
            <w:noProof/>
          </w:rPr>
        </w:r>
        <w:r w:rsidR="008040BB">
          <w:rPr>
            <w:noProof/>
          </w:rPr>
          <w:fldChar w:fldCharType="separate"/>
        </w:r>
        <w:r w:rsidR="009D5ADE">
          <w:rPr>
            <w:noProof/>
          </w:rPr>
          <w:t>40</w:t>
        </w:r>
        <w:r w:rsidR="008040BB">
          <w:rPr>
            <w:noProof/>
          </w:rPr>
          <w:fldChar w:fldCharType="end"/>
        </w:r>
      </w:hyperlink>
    </w:p>
    <w:p w14:paraId="13232849" w14:textId="1814D497" w:rsidR="00264E55" w:rsidRDefault="00324416">
      <w:pPr>
        <w:pStyle w:val="11"/>
        <w:rPr>
          <w:rFonts w:asciiTheme="minorHAnsi" w:eastAsiaTheme="minorEastAsia" w:hAnsiTheme="minorHAnsi" w:cstheme="minorBidi"/>
          <w:caps w:val="0"/>
          <w:noProof/>
          <w:szCs w:val="22"/>
        </w:rPr>
      </w:pPr>
      <w:hyperlink w:anchor="_Toc881149" w:history="1">
        <w:r w:rsidR="008040BB">
          <w:rPr>
            <w:rStyle w:val="af1"/>
            <w:rFonts w:hint="eastAsia"/>
            <w:noProof/>
          </w:rPr>
          <w:t>十九、</w:t>
        </w:r>
        <w:r w:rsidR="008040BB">
          <w:rPr>
            <w:rFonts w:asciiTheme="minorHAnsi" w:eastAsiaTheme="minorEastAsia" w:hAnsiTheme="minorHAnsi" w:cstheme="minorBidi"/>
            <w:caps w:val="0"/>
            <w:noProof/>
            <w:szCs w:val="22"/>
          </w:rPr>
          <w:tab/>
        </w:r>
        <w:r w:rsidR="008040BB">
          <w:rPr>
            <w:rStyle w:val="af1"/>
            <w:rFonts w:hint="eastAsia"/>
            <w:noProof/>
          </w:rPr>
          <w:t>托管协议的效力</w:t>
        </w:r>
        <w:r w:rsidR="008040BB">
          <w:rPr>
            <w:noProof/>
          </w:rPr>
          <w:tab/>
        </w:r>
        <w:r w:rsidR="008040BB">
          <w:rPr>
            <w:noProof/>
          </w:rPr>
          <w:fldChar w:fldCharType="begin"/>
        </w:r>
        <w:r w:rsidR="008040BB">
          <w:rPr>
            <w:noProof/>
          </w:rPr>
          <w:instrText xml:space="preserve"> PAGEREF _Toc881149 \h </w:instrText>
        </w:r>
        <w:r w:rsidR="008040BB">
          <w:rPr>
            <w:noProof/>
          </w:rPr>
        </w:r>
        <w:r w:rsidR="008040BB">
          <w:rPr>
            <w:noProof/>
          </w:rPr>
          <w:fldChar w:fldCharType="separate"/>
        </w:r>
        <w:r w:rsidR="009D5ADE">
          <w:rPr>
            <w:noProof/>
          </w:rPr>
          <w:t>40</w:t>
        </w:r>
        <w:r w:rsidR="008040BB">
          <w:rPr>
            <w:noProof/>
          </w:rPr>
          <w:fldChar w:fldCharType="end"/>
        </w:r>
      </w:hyperlink>
    </w:p>
    <w:p w14:paraId="46CD2C72" w14:textId="04D1C110" w:rsidR="00264E55" w:rsidRDefault="00324416">
      <w:pPr>
        <w:pStyle w:val="11"/>
        <w:rPr>
          <w:rFonts w:asciiTheme="minorHAnsi" w:eastAsiaTheme="minorEastAsia" w:hAnsiTheme="minorHAnsi" w:cstheme="minorBidi"/>
          <w:caps w:val="0"/>
          <w:noProof/>
          <w:szCs w:val="22"/>
        </w:rPr>
      </w:pPr>
      <w:hyperlink w:anchor="_Toc881150" w:history="1">
        <w:r w:rsidR="008040BB">
          <w:rPr>
            <w:rStyle w:val="af1"/>
            <w:rFonts w:hint="eastAsia"/>
            <w:noProof/>
          </w:rPr>
          <w:t>二十、</w:t>
        </w:r>
        <w:r w:rsidR="008040BB">
          <w:rPr>
            <w:rFonts w:asciiTheme="minorHAnsi" w:eastAsiaTheme="minorEastAsia" w:hAnsiTheme="minorHAnsi" w:cstheme="minorBidi"/>
            <w:caps w:val="0"/>
            <w:noProof/>
            <w:szCs w:val="22"/>
          </w:rPr>
          <w:tab/>
        </w:r>
        <w:r w:rsidR="008040BB">
          <w:rPr>
            <w:rStyle w:val="af1"/>
            <w:rFonts w:hint="eastAsia"/>
            <w:noProof/>
          </w:rPr>
          <w:t>托管协议的签订</w:t>
        </w:r>
        <w:r w:rsidR="008040BB">
          <w:rPr>
            <w:noProof/>
          </w:rPr>
          <w:tab/>
        </w:r>
        <w:r w:rsidR="008040BB">
          <w:rPr>
            <w:noProof/>
          </w:rPr>
          <w:fldChar w:fldCharType="begin"/>
        </w:r>
        <w:r w:rsidR="008040BB">
          <w:rPr>
            <w:noProof/>
          </w:rPr>
          <w:instrText xml:space="preserve"> PAGEREF _Toc881150 \h </w:instrText>
        </w:r>
        <w:r w:rsidR="008040BB">
          <w:rPr>
            <w:noProof/>
          </w:rPr>
        </w:r>
        <w:r w:rsidR="008040BB">
          <w:rPr>
            <w:noProof/>
          </w:rPr>
          <w:fldChar w:fldCharType="separate"/>
        </w:r>
        <w:r w:rsidR="009D5ADE">
          <w:rPr>
            <w:noProof/>
          </w:rPr>
          <w:t>41</w:t>
        </w:r>
        <w:r w:rsidR="008040BB">
          <w:rPr>
            <w:noProof/>
          </w:rPr>
          <w:fldChar w:fldCharType="end"/>
        </w:r>
      </w:hyperlink>
    </w:p>
    <w:p w14:paraId="482EE688" w14:textId="77777777" w:rsidR="00264E55" w:rsidRDefault="008040BB">
      <w:pPr>
        <w:spacing w:line="360" w:lineRule="auto"/>
        <w:ind w:firstLineChars="900" w:firstLine="1890"/>
        <w:jc w:val="left"/>
        <w:rPr>
          <w:color w:val="000000" w:themeColor="text1"/>
          <w:sz w:val="28"/>
        </w:rPr>
      </w:pPr>
      <w:r>
        <w:rPr>
          <w:color w:val="000000" w:themeColor="text1"/>
        </w:rPr>
        <w:fldChar w:fldCharType="end"/>
      </w:r>
    </w:p>
    <w:p w14:paraId="4A4ED66F" w14:textId="77777777" w:rsidR="00264E55" w:rsidRDefault="00264E55">
      <w:pPr>
        <w:rPr>
          <w:color w:val="000000" w:themeColor="text1"/>
        </w:rPr>
      </w:pPr>
    </w:p>
    <w:p w14:paraId="6E548584" w14:textId="77777777" w:rsidR="00264E55" w:rsidRDefault="00264E55">
      <w:pPr>
        <w:spacing w:line="360" w:lineRule="auto"/>
        <w:rPr>
          <w:color w:val="000000" w:themeColor="text1"/>
        </w:rPr>
        <w:sectPr w:rsidR="00264E55" w:rsidSect="009D5ADE">
          <w:headerReference w:type="default" r:id="rId9"/>
          <w:footerReference w:type="default" r:id="rId10"/>
          <w:pgSz w:w="11906" w:h="16838"/>
          <w:pgMar w:top="1440" w:right="1800" w:bottom="1440" w:left="1800" w:header="851" w:footer="992" w:gutter="0"/>
          <w:pgNumType w:start="1"/>
          <w:cols w:space="425"/>
          <w:docGrid w:type="lines" w:linePitch="312"/>
        </w:sectPr>
      </w:pPr>
    </w:p>
    <w:p w14:paraId="3B930513" w14:textId="77777777" w:rsidR="00264E55" w:rsidRDefault="008040BB">
      <w:pPr>
        <w:spacing w:line="360" w:lineRule="auto"/>
        <w:ind w:firstLineChars="200" w:firstLine="420"/>
        <w:jc w:val="left"/>
        <w:rPr>
          <w:color w:val="000000" w:themeColor="text1"/>
        </w:rPr>
      </w:pPr>
      <w:r>
        <w:rPr>
          <w:rFonts w:hint="eastAsia"/>
          <w:color w:val="000000" w:themeColor="text1"/>
        </w:rPr>
        <w:lastRenderedPageBreak/>
        <w:t>鉴于南方基金管理股份有限公司（以下简称“南方基金”）是一家依照中国法律合法成立并有效存续的股份有限公司，按照相关法律法规的规定具备担任基金管理人的资格和能力；</w:t>
      </w:r>
    </w:p>
    <w:p w14:paraId="123687F1" w14:textId="77777777" w:rsidR="00264E55" w:rsidRDefault="008040BB">
      <w:pPr>
        <w:spacing w:line="360" w:lineRule="auto"/>
        <w:ind w:firstLineChars="200" w:firstLine="420"/>
        <w:rPr>
          <w:color w:val="000000" w:themeColor="text1"/>
        </w:rPr>
      </w:pPr>
      <w:r>
        <w:rPr>
          <w:rFonts w:hint="eastAsia"/>
          <w:color w:val="000000" w:themeColor="text1"/>
        </w:rPr>
        <w:t>鉴于中信证券股份有限公司（以下简称“中信证券”）是一家依照中国法律合法成立并有效存续的机构，按照相关法律法规的规定具备担任基金托管人的资格和能力；</w:t>
      </w:r>
    </w:p>
    <w:p w14:paraId="5109DA74" w14:textId="77777777" w:rsidR="00264E55" w:rsidRDefault="008040BB">
      <w:pPr>
        <w:spacing w:line="360" w:lineRule="auto"/>
        <w:ind w:firstLineChars="200" w:firstLine="420"/>
        <w:rPr>
          <w:color w:val="000000" w:themeColor="text1"/>
        </w:rPr>
      </w:pPr>
      <w:r>
        <w:rPr>
          <w:rFonts w:hint="eastAsia"/>
          <w:color w:val="000000" w:themeColor="text1"/>
        </w:rPr>
        <w:t>鉴于南方基金为南方</w:t>
      </w:r>
      <w:proofErr w:type="gramStart"/>
      <w:r>
        <w:rPr>
          <w:rFonts w:hint="eastAsia"/>
          <w:color w:val="000000" w:themeColor="text1"/>
        </w:rPr>
        <w:t>中证全指</w:t>
      </w:r>
      <w:proofErr w:type="gramEnd"/>
      <w:r>
        <w:rPr>
          <w:rFonts w:hint="eastAsia"/>
          <w:color w:val="000000" w:themeColor="text1"/>
        </w:rPr>
        <w:t>红利质量交易型开放式指数证券投资基金发起式联接基金的基金管理人，中信证券为南方</w:t>
      </w:r>
      <w:proofErr w:type="gramStart"/>
      <w:r>
        <w:rPr>
          <w:rFonts w:hint="eastAsia"/>
          <w:color w:val="000000" w:themeColor="text1"/>
        </w:rPr>
        <w:t>中证全指</w:t>
      </w:r>
      <w:proofErr w:type="gramEnd"/>
      <w:r>
        <w:rPr>
          <w:rFonts w:hint="eastAsia"/>
          <w:color w:val="000000" w:themeColor="text1"/>
        </w:rPr>
        <w:t>红利质量交易型开放式指数证券投资基金发起式联接基金的基金托管人；</w:t>
      </w:r>
    </w:p>
    <w:p w14:paraId="020E6CEF" w14:textId="77777777" w:rsidR="00264E55" w:rsidRDefault="008040BB">
      <w:pPr>
        <w:pStyle w:val="a7"/>
        <w:rPr>
          <w:color w:val="000000" w:themeColor="text1"/>
        </w:rPr>
      </w:pPr>
      <w:r>
        <w:rPr>
          <w:rFonts w:hint="eastAsia"/>
          <w:color w:val="000000" w:themeColor="text1"/>
        </w:rPr>
        <w:t>为明确南方</w:t>
      </w:r>
      <w:proofErr w:type="gramStart"/>
      <w:r>
        <w:rPr>
          <w:rFonts w:hint="eastAsia"/>
          <w:color w:val="000000" w:themeColor="text1"/>
        </w:rPr>
        <w:t>中证全指</w:t>
      </w:r>
      <w:proofErr w:type="gramEnd"/>
      <w:r>
        <w:rPr>
          <w:rFonts w:hint="eastAsia"/>
          <w:color w:val="000000" w:themeColor="text1"/>
        </w:rPr>
        <w:t>红利质量交易型开放式指数证券投资基金发起式联接</w:t>
      </w:r>
      <w:proofErr w:type="gramStart"/>
      <w:r>
        <w:rPr>
          <w:rFonts w:hint="eastAsia"/>
          <w:color w:val="000000" w:themeColor="text1"/>
        </w:rPr>
        <w:t>基金基金</w:t>
      </w:r>
      <w:proofErr w:type="gramEnd"/>
      <w:r>
        <w:rPr>
          <w:rFonts w:hint="eastAsia"/>
          <w:color w:val="000000" w:themeColor="text1"/>
        </w:rPr>
        <w:t>管理人和基金托管人之间的权利义务关系，特制订本协议。</w:t>
      </w:r>
    </w:p>
    <w:p w14:paraId="7E75C9AA" w14:textId="77777777" w:rsidR="00264E55" w:rsidRDefault="00264E55">
      <w:pPr>
        <w:pStyle w:val="a7"/>
        <w:rPr>
          <w:color w:val="000000" w:themeColor="text1"/>
        </w:rPr>
      </w:pPr>
    </w:p>
    <w:p w14:paraId="07C66B7C" w14:textId="77777777" w:rsidR="00264E55" w:rsidRDefault="008040BB">
      <w:pPr>
        <w:pStyle w:val="1"/>
        <w:numPr>
          <w:ilvl w:val="0"/>
          <w:numId w:val="1"/>
        </w:numPr>
        <w:spacing w:before="120" w:after="120" w:line="360" w:lineRule="auto"/>
        <w:jc w:val="center"/>
        <w:rPr>
          <w:rFonts w:ascii="宋体"/>
          <w:bCs w:val="0"/>
          <w:color w:val="000000" w:themeColor="text1"/>
          <w:kern w:val="0"/>
          <w:sz w:val="24"/>
          <w:szCs w:val="24"/>
        </w:rPr>
      </w:pPr>
      <w:bookmarkStart w:id="1" w:name="_Toc394473996"/>
      <w:bookmarkStart w:id="2" w:name="_Toc881131"/>
      <w:r>
        <w:rPr>
          <w:rFonts w:ascii="宋体" w:hint="eastAsia"/>
          <w:bCs w:val="0"/>
          <w:color w:val="000000" w:themeColor="text1"/>
          <w:kern w:val="0"/>
          <w:sz w:val="24"/>
          <w:szCs w:val="24"/>
        </w:rPr>
        <w:t>托管协议当事人</w:t>
      </w:r>
      <w:bookmarkEnd w:id="1"/>
      <w:bookmarkEnd w:id="2"/>
    </w:p>
    <w:p w14:paraId="62162DAA" w14:textId="77777777" w:rsidR="00264E55" w:rsidRDefault="00264E55">
      <w:pPr>
        <w:rPr>
          <w:color w:val="000000" w:themeColor="text1"/>
        </w:rPr>
      </w:pPr>
    </w:p>
    <w:p w14:paraId="07E2C6C0" w14:textId="77777777" w:rsidR="00264E55" w:rsidRDefault="008040BB">
      <w:pPr>
        <w:pStyle w:val="af3"/>
        <w:numPr>
          <w:ilvl w:val="0"/>
          <w:numId w:val="2"/>
        </w:numPr>
        <w:spacing w:line="360" w:lineRule="auto"/>
        <w:ind w:firstLineChars="0"/>
        <w:rPr>
          <w:color w:val="000000" w:themeColor="text1"/>
        </w:rPr>
      </w:pPr>
      <w:r>
        <w:rPr>
          <w:rFonts w:hint="eastAsia"/>
          <w:color w:val="000000" w:themeColor="text1"/>
        </w:rPr>
        <w:t>基金管理人</w:t>
      </w:r>
    </w:p>
    <w:p w14:paraId="21EF6E1F" w14:textId="77777777" w:rsidR="00264E55" w:rsidRDefault="008040BB">
      <w:pPr>
        <w:spacing w:line="360" w:lineRule="auto"/>
        <w:ind w:firstLineChars="200" w:firstLine="420"/>
        <w:rPr>
          <w:color w:val="000000" w:themeColor="text1"/>
        </w:rPr>
      </w:pPr>
      <w:r>
        <w:rPr>
          <w:rFonts w:hint="eastAsia"/>
          <w:color w:val="000000" w:themeColor="text1"/>
        </w:rPr>
        <w:t>名称：南方基金管理股份有限公司</w:t>
      </w:r>
    </w:p>
    <w:p w14:paraId="796061D7" w14:textId="77777777" w:rsidR="00264E55" w:rsidRDefault="008040BB">
      <w:pPr>
        <w:spacing w:line="360" w:lineRule="auto"/>
        <w:ind w:firstLineChars="200" w:firstLine="420"/>
        <w:rPr>
          <w:color w:val="000000" w:themeColor="text1"/>
        </w:rPr>
      </w:pPr>
      <w:r>
        <w:rPr>
          <w:rFonts w:hint="eastAsia"/>
          <w:color w:val="000000" w:themeColor="text1"/>
        </w:rPr>
        <w:t>住所：深圳市福田区莲花街道益田路</w:t>
      </w:r>
      <w:r>
        <w:rPr>
          <w:rFonts w:hint="eastAsia"/>
          <w:color w:val="000000" w:themeColor="text1"/>
        </w:rPr>
        <w:t>5999</w:t>
      </w:r>
      <w:r>
        <w:rPr>
          <w:rFonts w:hint="eastAsia"/>
          <w:color w:val="000000" w:themeColor="text1"/>
        </w:rPr>
        <w:t>号基金大厦</w:t>
      </w:r>
      <w:r>
        <w:rPr>
          <w:rFonts w:hint="eastAsia"/>
          <w:color w:val="000000" w:themeColor="text1"/>
        </w:rPr>
        <w:t>32-42</w:t>
      </w:r>
      <w:r>
        <w:rPr>
          <w:rFonts w:hint="eastAsia"/>
          <w:color w:val="000000" w:themeColor="text1"/>
        </w:rPr>
        <w:t>楼</w:t>
      </w:r>
    </w:p>
    <w:p w14:paraId="0196795C" w14:textId="77777777" w:rsidR="00264E55" w:rsidRDefault="008040BB">
      <w:pPr>
        <w:spacing w:line="360" w:lineRule="auto"/>
        <w:ind w:firstLineChars="200" w:firstLine="420"/>
        <w:rPr>
          <w:color w:val="000000" w:themeColor="text1"/>
        </w:rPr>
      </w:pPr>
      <w:r>
        <w:rPr>
          <w:rFonts w:hint="eastAsia"/>
          <w:color w:val="000000" w:themeColor="text1"/>
        </w:rPr>
        <w:t>法定代表人：周易</w:t>
      </w:r>
    </w:p>
    <w:p w14:paraId="04BA6277" w14:textId="77777777" w:rsidR="00264E55" w:rsidRDefault="008040BB">
      <w:pPr>
        <w:spacing w:line="360" w:lineRule="auto"/>
        <w:ind w:firstLineChars="200" w:firstLine="420"/>
        <w:rPr>
          <w:color w:val="000000" w:themeColor="text1"/>
        </w:rPr>
      </w:pPr>
      <w:r>
        <w:rPr>
          <w:rFonts w:hint="eastAsia"/>
          <w:color w:val="000000" w:themeColor="text1"/>
        </w:rPr>
        <w:t>设立日期：</w:t>
      </w:r>
      <w:r>
        <w:rPr>
          <w:rFonts w:hint="eastAsia"/>
          <w:color w:val="000000" w:themeColor="text1"/>
        </w:rPr>
        <w:t>1998</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6</w:t>
      </w:r>
      <w:r>
        <w:rPr>
          <w:rFonts w:hint="eastAsia"/>
          <w:color w:val="000000" w:themeColor="text1"/>
        </w:rPr>
        <w:t>日</w:t>
      </w:r>
    </w:p>
    <w:p w14:paraId="7D6030DE" w14:textId="77777777" w:rsidR="00264E55" w:rsidRDefault="008040BB">
      <w:pPr>
        <w:spacing w:line="360" w:lineRule="auto"/>
        <w:ind w:firstLineChars="200" w:firstLine="420"/>
        <w:rPr>
          <w:color w:val="000000" w:themeColor="text1"/>
        </w:rPr>
      </w:pPr>
      <w:r>
        <w:rPr>
          <w:rFonts w:hint="eastAsia"/>
          <w:color w:val="000000" w:themeColor="text1"/>
        </w:rPr>
        <w:t>批准设立机关及批准设立文号：中国证监会</w:t>
      </w:r>
      <w:proofErr w:type="gramStart"/>
      <w:r>
        <w:rPr>
          <w:rFonts w:hint="eastAsia"/>
          <w:color w:val="000000" w:themeColor="text1"/>
        </w:rPr>
        <w:t>证监基字</w:t>
      </w:r>
      <w:proofErr w:type="gramEnd"/>
      <w:r>
        <w:rPr>
          <w:rFonts w:hint="eastAsia"/>
          <w:color w:val="000000" w:themeColor="text1"/>
        </w:rPr>
        <w:t>[1998]4</w:t>
      </w:r>
      <w:r>
        <w:rPr>
          <w:rFonts w:hint="eastAsia"/>
          <w:color w:val="000000" w:themeColor="text1"/>
        </w:rPr>
        <w:t>号</w:t>
      </w:r>
    </w:p>
    <w:p w14:paraId="6E3F9E7A" w14:textId="77777777" w:rsidR="00264E55" w:rsidRDefault="008040BB">
      <w:pPr>
        <w:spacing w:line="360" w:lineRule="auto"/>
        <w:ind w:firstLineChars="200" w:firstLine="420"/>
        <w:rPr>
          <w:color w:val="000000" w:themeColor="text1"/>
        </w:rPr>
      </w:pPr>
      <w:r>
        <w:rPr>
          <w:rFonts w:hint="eastAsia"/>
          <w:color w:val="000000" w:themeColor="text1"/>
        </w:rPr>
        <w:t>组织形式：股份有限公司</w:t>
      </w:r>
    </w:p>
    <w:p w14:paraId="19AFA994" w14:textId="77777777" w:rsidR="00264E55" w:rsidRDefault="008040BB">
      <w:pPr>
        <w:spacing w:line="360" w:lineRule="auto"/>
        <w:ind w:firstLineChars="200" w:firstLine="420"/>
        <w:rPr>
          <w:color w:val="000000" w:themeColor="text1"/>
        </w:rPr>
      </w:pPr>
      <w:r>
        <w:rPr>
          <w:rFonts w:hint="eastAsia"/>
          <w:color w:val="000000" w:themeColor="text1"/>
        </w:rPr>
        <w:t>注册资本：</w:t>
      </w:r>
      <w:r>
        <w:rPr>
          <w:rFonts w:hint="eastAsia"/>
          <w:color w:val="000000" w:themeColor="text1"/>
        </w:rPr>
        <w:t>3.6172</w:t>
      </w:r>
      <w:r>
        <w:rPr>
          <w:rFonts w:hint="eastAsia"/>
          <w:color w:val="000000" w:themeColor="text1"/>
        </w:rPr>
        <w:t>亿元人民币</w:t>
      </w:r>
    </w:p>
    <w:p w14:paraId="030964F7" w14:textId="77777777" w:rsidR="00264E55" w:rsidRDefault="008040BB">
      <w:pPr>
        <w:spacing w:line="360" w:lineRule="auto"/>
        <w:ind w:firstLineChars="200" w:firstLine="420"/>
        <w:rPr>
          <w:color w:val="000000" w:themeColor="text1"/>
        </w:rPr>
      </w:pPr>
      <w:r>
        <w:rPr>
          <w:rFonts w:hint="eastAsia"/>
          <w:color w:val="000000" w:themeColor="text1"/>
        </w:rPr>
        <w:t>存续期限：持续经营</w:t>
      </w:r>
    </w:p>
    <w:p w14:paraId="1A73152D" w14:textId="77777777" w:rsidR="00264E55" w:rsidRDefault="008040BB">
      <w:pPr>
        <w:spacing w:line="360" w:lineRule="auto"/>
        <w:ind w:firstLineChars="200" w:firstLine="420"/>
        <w:rPr>
          <w:color w:val="000000" w:themeColor="text1"/>
        </w:rPr>
      </w:pPr>
      <w:r>
        <w:rPr>
          <w:rFonts w:hint="eastAsia"/>
          <w:color w:val="000000" w:themeColor="text1"/>
        </w:rPr>
        <w:t>联系电话：（</w:t>
      </w:r>
      <w:r>
        <w:rPr>
          <w:rFonts w:hint="eastAsia"/>
          <w:color w:val="000000" w:themeColor="text1"/>
        </w:rPr>
        <w:t>0755</w:t>
      </w:r>
      <w:r>
        <w:rPr>
          <w:rFonts w:hint="eastAsia"/>
          <w:color w:val="000000" w:themeColor="text1"/>
        </w:rPr>
        <w:t>）</w:t>
      </w:r>
      <w:r>
        <w:rPr>
          <w:rFonts w:hint="eastAsia"/>
          <w:color w:val="000000" w:themeColor="text1"/>
        </w:rPr>
        <w:t>82763888</w:t>
      </w:r>
    </w:p>
    <w:p w14:paraId="4C0010BA" w14:textId="77777777" w:rsidR="00264E55" w:rsidRDefault="008040BB">
      <w:pPr>
        <w:spacing w:line="360" w:lineRule="auto"/>
        <w:ind w:firstLineChars="200" w:firstLine="420"/>
        <w:rPr>
          <w:color w:val="000000" w:themeColor="text1"/>
        </w:rPr>
      </w:pPr>
      <w:r>
        <w:rPr>
          <w:rFonts w:hint="eastAsia"/>
          <w:color w:val="000000" w:themeColor="text1"/>
        </w:rPr>
        <w:t>经营范围：基金募集、基金销售、资产管理、中国证监会许可的其它业务。</w:t>
      </w:r>
    </w:p>
    <w:p w14:paraId="398E94F3" w14:textId="77777777" w:rsidR="00264E55" w:rsidRDefault="008040BB">
      <w:pPr>
        <w:pStyle w:val="af3"/>
        <w:numPr>
          <w:ilvl w:val="0"/>
          <w:numId w:val="2"/>
        </w:numPr>
        <w:spacing w:line="360" w:lineRule="auto"/>
        <w:ind w:firstLineChars="0"/>
        <w:rPr>
          <w:color w:val="000000" w:themeColor="text1"/>
        </w:rPr>
      </w:pPr>
      <w:r>
        <w:rPr>
          <w:rFonts w:hint="eastAsia"/>
          <w:color w:val="000000" w:themeColor="text1"/>
        </w:rPr>
        <w:t>基金托管人</w:t>
      </w:r>
    </w:p>
    <w:p w14:paraId="2DF4FEE7" w14:textId="77777777" w:rsidR="00264E55" w:rsidRDefault="008040BB">
      <w:pPr>
        <w:spacing w:line="360" w:lineRule="auto"/>
        <w:ind w:firstLineChars="200" w:firstLine="420"/>
        <w:rPr>
          <w:color w:val="000000" w:themeColor="text1"/>
        </w:rPr>
      </w:pPr>
      <w:r>
        <w:rPr>
          <w:rFonts w:hint="eastAsia"/>
          <w:color w:val="000000" w:themeColor="text1"/>
        </w:rPr>
        <w:t>名称：中信证券股份有限公司</w:t>
      </w:r>
    </w:p>
    <w:p w14:paraId="2AE3A87B" w14:textId="77777777" w:rsidR="00264E55" w:rsidRDefault="008040BB">
      <w:pPr>
        <w:spacing w:line="360" w:lineRule="auto"/>
        <w:ind w:firstLineChars="200" w:firstLine="420"/>
        <w:rPr>
          <w:color w:val="000000" w:themeColor="text1"/>
        </w:rPr>
      </w:pPr>
      <w:r>
        <w:rPr>
          <w:rFonts w:hint="eastAsia"/>
          <w:color w:val="000000" w:themeColor="text1"/>
        </w:rPr>
        <w:t>注册地址：广东省深圳市福田区中心三路</w:t>
      </w:r>
      <w:r>
        <w:rPr>
          <w:color w:val="000000" w:themeColor="text1"/>
        </w:rPr>
        <w:t>8</w:t>
      </w:r>
      <w:r>
        <w:rPr>
          <w:rFonts w:hint="eastAsia"/>
          <w:color w:val="000000" w:themeColor="text1"/>
        </w:rPr>
        <w:t>号卓越时代广场（二期）北座</w:t>
      </w:r>
    </w:p>
    <w:p w14:paraId="7AC331E0" w14:textId="77777777" w:rsidR="00264E55" w:rsidRDefault="008040BB">
      <w:pPr>
        <w:spacing w:line="360" w:lineRule="auto"/>
        <w:ind w:firstLineChars="200" w:firstLine="420"/>
        <w:rPr>
          <w:color w:val="000000" w:themeColor="text1"/>
        </w:rPr>
      </w:pPr>
      <w:r>
        <w:rPr>
          <w:rFonts w:hint="eastAsia"/>
          <w:color w:val="000000" w:themeColor="text1"/>
        </w:rPr>
        <w:t>办公地址：北京市朝阳区亮马桥路</w:t>
      </w:r>
      <w:r>
        <w:rPr>
          <w:color w:val="000000" w:themeColor="text1"/>
        </w:rPr>
        <w:t>48</w:t>
      </w:r>
      <w:r>
        <w:rPr>
          <w:rFonts w:hint="eastAsia"/>
          <w:color w:val="000000" w:themeColor="text1"/>
        </w:rPr>
        <w:t>号</w:t>
      </w:r>
    </w:p>
    <w:p w14:paraId="2D5D4B3F" w14:textId="77777777" w:rsidR="00264E55" w:rsidRDefault="008040BB">
      <w:pPr>
        <w:spacing w:line="360" w:lineRule="auto"/>
        <w:ind w:rightChars="-85" w:right="-178" w:firstLineChars="200" w:firstLine="420"/>
        <w:rPr>
          <w:color w:val="000000" w:themeColor="text1"/>
        </w:rPr>
      </w:pPr>
      <w:r>
        <w:rPr>
          <w:rFonts w:hint="eastAsia"/>
          <w:color w:val="000000" w:themeColor="text1"/>
        </w:rPr>
        <w:t>法定代表人：张佑君</w:t>
      </w:r>
    </w:p>
    <w:p w14:paraId="6F1C86E0" w14:textId="77777777" w:rsidR="00264E55" w:rsidRDefault="008040BB">
      <w:pPr>
        <w:spacing w:line="360" w:lineRule="auto"/>
        <w:ind w:firstLineChars="200" w:firstLine="420"/>
        <w:rPr>
          <w:color w:val="000000" w:themeColor="text1"/>
        </w:rPr>
      </w:pPr>
      <w:r>
        <w:rPr>
          <w:rFonts w:hint="eastAsia"/>
          <w:color w:val="000000" w:themeColor="text1"/>
        </w:rPr>
        <w:lastRenderedPageBreak/>
        <w:t>成立时间：</w:t>
      </w:r>
      <w:r>
        <w:rPr>
          <w:color w:val="000000" w:themeColor="text1"/>
        </w:rPr>
        <w:t>1995</w:t>
      </w:r>
      <w:r>
        <w:rPr>
          <w:rFonts w:hint="eastAsia"/>
          <w:color w:val="000000" w:themeColor="text1"/>
        </w:rPr>
        <w:t>年</w:t>
      </w:r>
      <w:r>
        <w:rPr>
          <w:color w:val="000000" w:themeColor="text1"/>
        </w:rPr>
        <w:t>10</w:t>
      </w:r>
      <w:r>
        <w:rPr>
          <w:rFonts w:hint="eastAsia"/>
          <w:color w:val="000000" w:themeColor="text1"/>
        </w:rPr>
        <w:t>月</w:t>
      </w:r>
      <w:r>
        <w:rPr>
          <w:color w:val="000000" w:themeColor="text1"/>
        </w:rPr>
        <w:t>25</w:t>
      </w:r>
      <w:r>
        <w:rPr>
          <w:rFonts w:hint="eastAsia"/>
          <w:color w:val="000000" w:themeColor="text1"/>
        </w:rPr>
        <w:t>日</w:t>
      </w:r>
    </w:p>
    <w:p w14:paraId="346F3B28" w14:textId="77777777" w:rsidR="00264E55" w:rsidRDefault="008040BB">
      <w:pPr>
        <w:spacing w:line="360" w:lineRule="auto"/>
        <w:ind w:firstLineChars="200" w:firstLine="420"/>
        <w:rPr>
          <w:color w:val="000000" w:themeColor="text1"/>
        </w:rPr>
      </w:pPr>
      <w:r>
        <w:rPr>
          <w:rFonts w:hint="eastAsia"/>
          <w:color w:val="000000" w:themeColor="text1"/>
        </w:rPr>
        <w:t>批准设立机关：国家工商总局</w:t>
      </w:r>
    </w:p>
    <w:p w14:paraId="2A3D4A12" w14:textId="77777777" w:rsidR="00264E55" w:rsidRDefault="008040BB">
      <w:pPr>
        <w:spacing w:line="360" w:lineRule="auto"/>
        <w:ind w:firstLineChars="200" w:firstLine="420"/>
        <w:rPr>
          <w:color w:val="000000" w:themeColor="text1"/>
        </w:rPr>
      </w:pPr>
      <w:r>
        <w:rPr>
          <w:rFonts w:hint="eastAsia"/>
          <w:color w:val="000000" w:themeColor="text1"/>
        </w:rPr>
        <w:t>批准设立文号：</w:t>
      </w:r>
      <w:r>
        <w:rPr>
          <w:color w:val="000000" w:themeColor="text1"/>
        </w:rPr>
        <w:t>100000000018305</w:t>
      </w:r>
    </w:p>
    <w:p w14:paraId="0C4F5488" w14:textId="77777777" w:rsidR="00264E55" w:rsidRDefault="008040BB">
      <w:pPr>
        <w:spacing w:line="360" w:lineRule="auto"/>
        <w:ind w:firstLineChars="200" w:firstLine="420"/>
        <w:rPr>
          <w:color w:val="000000" w:themeColor="text1"/>
        </w:rPr>
      </w:pPr>
      <w:r>
        <w:rPr>
          <w:rFonts w:hint="eastAsia"/>
          <w:color w:val="000000" w:themeColor="text1"/>
        </w:rPr>
        <w:t>组织形式：股份有限公司（上市）</w:t>
      </w:r>
    </w:p>
    <w:p w14:paraId="5A6A9D87" w14:textId="77777777" w:rsidR="00264E55" w:rsidRDefault="008040BB">
      <w:pPr>
        <w:spacing w:line="360" w:lineRule="auto"/>
        <w:ind w:firstLineChars="200" w:firstLine="420"/>
        <w:rPr>
          <w:bCs/>
        </w:rPr>
      </w:pPr>
      <w:r>
        <w:rPr>
          <w:rFonts w:hint="eastAsia"/>
          <w:color w:val="000000" w:themeColor="text1"/>
        </w:rPr>
        <w:t>注册资本：</w:t>
      </w:r>
      <w:r>
        <w:rPr>
          <w:rFonts w:hint="eastAsia"/>
          <w:bCs/>
        </w:rPr>
        <w:t>14,820,546,829</w:t>
      </w:r>
      <w:r>
        <w:rPr>
          <w:rFonts w:hint="eastAsia"/>
          <w:bCs/>
        </w:rPr>
        <w:t>元人民币</w:t>
      </w:r>
    </w:p>
    <w:p w14:paraId="472A1FC1" w14:textId="77777777" w:rsidR="00264E55" w:rsidRDefault="008040BB">
      <w:pPr>
        <w:spacing w:line="360" w:lineRule="auto"/>
        <w:ind w:firstLineChars="200" w:firstLine="420"/>
        <w:rPr>
          <w:color w:val="000000" w:themeColor="text1"/>
        </w:rPr>
      </w:pPr>
      <w:r>
        <w:rPr>
          <w:rFonts w:hint="eastAsia"/>
          <w:color w:val="000000" w:themeColor="text1"/>
        </w:rPr>
        <w:t>基金托管资格批文及文号：《关于核准中信证券股份有限公司证券投资基金托管资格的批复》（证监许可</w:t>
      </w:r>
      <w:r>
        <w:rPr>
          <w:rFonts w:hint="eastAsia"/>
          <w:color w:val="000000" w:themeColor="text1"/>
        </w:rPr>
        <w:t>[2014]1044</w:t>
      </w:r>
      <w:r>
        <w:rPr>
          <w:rFonts w:hint="eastAsia"/>
          <w:color w:val="000000" w:themeColor="text1"/>
        </w:rPr>
        <w:t>号）</w:t>
      </w:r>
    </w:p>
    <w:p w14:paraId="3611158B" w14:textId="77777777" w:rsidR="00264E55" w:rsidRDefault="008040BB">
      <w:pPr>
        <w:spacing w:line="360" w:lineRule="auto"/>
        <w:ind w:firstLineChars="200" w:firstLine="420"/>
        <w:rPr>
          <w:color w:val="000000" w:themeColor="text1"/>
        </w:rPr>
      </w:pPr>
      <w:r>
        <w:rPr>
          <w:rFonts w:hint="eastAsia"/>
          <w:color w:val="000000" w:themeColor="text1"/>
        </w:rPr>
        <w:t>经营范围：证券经纪（限山东省、河南省、浙江省天台县、浙江省苍南县以外区域）；证券投资咨询；与证券交易、证券投资活动有关的财务顾问；证券承销与保荐；证券自营；证券资产管理（全国社会保障基金境内委托投资管理、基本养老保险基金证券投资管理、企业年金基金投资管理和职业年金基金投资管理）；融资融券；证券投资基金代销；为期货公司提供中间介绍业务；代销金融产品；股票期权做市。上市证券做市交易。（依法须经批准的项目，经相关部门批准后方可开展经营活动，具体经营项目以相关部门批准文件或许可证件为准）。</w:t>
      </w:r>
    </w:p>
    <w:p w14:paraId="48743496" w14:textId="77777777" w:rsidR="00264E55" w:rsidRDefault="008040BB">
      <w:pPr>
        <w:spacing w:line="360" w:lineRule="auto"/>
        <w:ind w:firstLineChars="200" w:firstLine="420"/>
        <w:rPr>
          <w:color w:val="000000" w:themeColor="text1"/>
        </w:rPr>
      </w:pPr>
      <w:r>
        <w:rPr>
          <w:rFonts w:hint="eastAsia"/>
          <w:color w:val="000000" w:themeColor="text1"/>
        </w:rPr>
        <w:t>存续期间：无限期</w:t>
      </w:r>
    </w:p>
    <w:p w14:paraId="2D123616" w14:textId="77777777" w:rsidR="00264E55" w:rsidRDefault="00264E55">
      <w:pPr>
        <w:spacing w:line="360" w:lineRule="auto"/>
        <w:ind w:firstLineChars="200" w:firstLine="420"/>
        <w:rPr>
          <w:color w:val="000000" w:themeColor="text1"/>
        </w:rPr>
      </w:pPr>
    </w:p>
    <w:p w14:paraId="2EB1AA6F" w14:textId="77777777" w:rsidR="00264E55" w:rsidRDefault="008040BB">
      <w:pPr>
        <w:pStyle w:val="1"/>
        <w:numPr>
          <w:ilvl w:val="0"/>
          <w:numId w:val="1"/>
        </w:numPr>
        <w:spacing w:before="120" w:after="120" w:line="360" w:lineRule="auto"/>
        <w:jc w:val="center"/>
        <w:rPr>
          <w:rFonts w:ascii="宋体"/>
          <w:bCs w:val="0"/>
          <w:color w:val="000000" w:themeColor="text1"/>
          <w:kern w:val="0"/>
          <w:sz w:val="21"/>
          <w:szCs w:val="20"/>
        </w:rPr>
      </w:pPr>
      <w:bookmarkStart w:id="3" w:name="_Toc394473997"/>
      <w:bookmarkStart w:id="4" w:name="_Toc881132"/>
      <w:r>
        <w:rPr>
          <w:rFonts w:ascii="宋体" w:hint="eastAsia"/>
          <w:bCs w:val="0"/>
          <w:color w:val="000000" w:themeColor="text1"/>
          <w:kern w:val="0"/>
          <w:sz w:val="21"/>
          <w:szCs w:val="20"/>
        </w:rPr>
        <w:t>托管协议的依据、目的、原则和解释</w:t>
      </w:r>
      <w:bookmarkEnd w:id="3"/>
      <w:bookmarkEnd w:id="4"/>
    </w:p>
    <w:p w14:paraId="70E41FE4" w14:textId="77777777" w:rsidR="00264E55" w:rsidRDefault="00264E55">
      <w:pPr>
        <w:pStyle w:val="af3"/>
        <w:ind w:left="450" w:firstLineChars="0" w:firstLine="0"/>
        <w:rPr>
          <w:color w:val="000000" w:themeColor="text1"/>
        </w:rPr>
      </w:pPr>
    </w:p>
    <w:p w14:paraId="7AA8572D" w14:textId="77777777" w:rsidR="00264E55" w:rsidRDefault="008040BB">
      <w:pPr>
        <w:spacing w:line="360" w:lineRule="auto"/>
        <w:ind w:firstLineChars="200" w:firstLine="420"/>
        <w:rPr>
          <w:color w:val="000000" w:themeColor="text1"/>
        </w:rPr>
      </w:pPr>
      <w:r>
        <w:rPr>
          <w:rFonts w:hint="eastAsia"/>
          <w:color w:val="000000" w:themeColor="text1"/>
        </w:rPr>
        <w:t>（一）依据</w:t>
      </w:r>
    </w:p>
    <w:p w14:paraId="2725422D" w14:textId="77777777" w:rsidR="00264E55" w:rsidRDefault="008040BB">
      <w:pPr>
        <w:autoSpaceDE w:val="0"/>
        <w:autoSpaceDN w:val="0"/>
        <w:adjustRightInd w:val="0"/>
        <w:spacing w:line="360" w:lineRule="auto"/>
        <w:ind w:firstLineChars="200" w:firstLine="420"/>
        <w:jc w:val="left"/>
        <w:rPr>
          <w:color w:val="000000" w:themeColor="text1"/>
        </w:rPr>
      </w:pPr>
      <w:r>
        <w:rPr>
          <w:rFonts w:hint="eastAsia"/>
          <w:color w:val="000000" w:themeColor="text1"/>
        </w:rPr>
        <w:t>本协议依据《中华人民共和国证券投资基金法》（以下简称《基金法》）、《公开募集证券投资基金运作管理办法》（以下简称《运作办法》）、《公开募集证券投资基金销售机构监督管理办法》、《公开募集证券投资基金信息披露管理办法》（以下简称《信息披露办法》）、《证券投资基金托管业务管理办法》、《证券投资基金信息披露内容与格式准则第</w:t>
      </w:r>
      <w:r>
        <w:rPr>
          <w:color w:val="000000" w:themeColor="text1"/>
        </w:rPr>
        <w:t>7</w:t>
      </w:r>
      <w:r>
        <w:rPr>
          <w:rFonts w:hint="eastAsia"/>
          <w:color w:val="000000" w:themeColor="text1"/>
        </w:rPr>
        <w:t>号〈托管协议的内容与格式〉》、《公开募集开放式证券投资基金流动性风险管理规定》（以下简称《流动性风险管理规定》）、《公开募集证券投资基金运作指引第</w:t>
      </w:r>
      <w:r>
        <w:rPr>
          <w:color w:val="000000" w:themeColor="text1"/>
        </w:rPr>
        <w:t>2</w:t>
      </w:r>
      <w:r>
        <w:rPr>
          <w:rFonts w:hint="eastAsia"/>
          <w:color w:val="000000" w:themeColor="text1"/>
        </w:rPr>
        <w:t>号——基金中基金指引》、《公开募集证券投资基金运作指引第</w:t>
      </w:r>
      <w:r>
        <w:rPr>
          <w:rFonts w:hint="eastAsia"/>
          <w:color w:val="000000" w:themeColor="text1"/>
        </w:rPr>
        <w:t>3</w:t>
      </w:r>
      <w:r>
        <w:rPr>
          <w:rFonts w:hint="eastAsia"/>
          <w:color w:val="000000" w:themeColor="text1"/>
        </w:rPr>
        <w:t>号——指数基金指引》、</w:t>
      </w:r>
      <w:r>
        <w:rPr>
          <w:rFonts w:hint="eastAsia"/>
        </w:rPr>
        <w:t>《关于规范金融机构资产管理业务的指导意见》、</w:t>
      </w:r>
      <w:r>
        <w:rPr>
          <w:rFonts w:hint="eastAsia"/>
          <w:color w:val="000000" w:themeColor="text1"/>
        </w:rPr>
        <w:t>《南方中证全指红利质量交易型开放式指数证券投资基金发起式联接基金基金合同》（以下简称《基金合同》或基金合同）及其他有关法律、法规制定。</w:t>
      </w:r>
    </w:p>
    <w:p w14:paraId="5B687051" w14:textId="77777777" w:rsidR="00264E55" w:rsidRDefault="008040BB">
      <w:pPr>
        <w:spacing w:line="360" w:lineRule="auto"/>
        <w:ind w:firstLineChars="200" w:firstLine="420"/>
        <w:rPr>
          <w:color w:val="000000" w:themeColor="text1"/>
        </w:rPr>
      </w:pPr>
      <w:r>
        <w:rPr>
          <w:rFonts w:hint="eastAsia"/>
          <w:color w:val="000000" w:themeColor="text1"/>
        </w:rPr>
        <w:t>（二）目的</w:t>
      </w:r>
    </w:p>
    <w:p w14:paraId="50A9C790" w14:textId="77777777" w:rsidR="00264E55" w:rsidRDefault="008040BB">
      <w:pPr>
        <w:autoSpaceDE w:val="0"/>
        <w:autoSpaceDN w:val="0"/>
        <w:adjustRightInd w:val="0"/>
        <w:spacing w:line="360" w:lineRule="auto"/>
        <w:ind w:firstLineChars="200" w:firstLine="420"/>
        <w:jc w:val="left"/>
        <w:rPr>
          <w:color w:val="000000" w:themeColor="text1"/>
        </w:rPr>
      </w:pPr>
      <w:r>
        <w:rPr>
          <w:rFonts w:hint="eastAsia"/>
          <w:color w:val="000000" w:themeColor="text1"/>
        </w:rPr>
        <w:lastRenderedPageBreak/>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1C59CDFC" w14:textId="77777777" w:rsidR="00264E55" w:rsidRDefault="008040BB">
      <w:pPr>
        <w:spacing w:line="360" w:lineRule="auto"/>
        <w:ind w:firstLineChars="200" w:firstLine="420"/>
        <w:rPr>
          <w:color w:val="000000" w:themeColor="text1"/>
        </w:rPr>
      </w:pPr>
      <w:r>
        <w:rPr>
          <w:rFonts w:hint="eastAsia"/>
          <w:color w:val="000000" w:themeColor="text1"/>
        </w:rPr>
        <w:t>（三）原则</w:t>
      </w:r>
    </w:p>
    <w:p w14:paraId="3C3FFAE3" w14:textId="77777777" w:rsidR="00264E55" w:rsidRDefault="008040BB">
      <w:pPr>
        <w:autoSpaceDE w:val="0"/>
        <w:autoSpaceDN w:val="0"/>
        <w:adjustRightInd w:val="0"/>
        <w:spacing w:line="360" w:lineRule="auto"/>
        <w:ind w:firstLineChars="200" w:firstLine="420"/>
        <w:jc w:val="left"/>
        <w:rPr>
          <w:color w:val="000000" w:themeColor="text1"/>
        </w:rPr>
      </w:pPr>
      <w:r>
        <w:rPr>
          <w:rFonts w:hint="eastAsia"/>
          <w:color w:val="000000" w:themeColor="text1"/>
        </w:rPr>
        <w:t>基金管理人和基金托管人本着平等自愿、诚实信用、充分保护基金份额持有人合法权益的原则，经协商一致，签订本协议。</w:t>
      </w:r>
    </w:p>
    <w:p w14:paraId="7D88B519" w14:textId="77777777" w:rsidR="00264E55" w:rsidRDefault="008040BB">
      <w:pPr>
        <w:spacing w:line="360" w:lineRule="auto"/>
        <w:ind w:firstLineChars="200" w:firstLine="420"/>
        <w:rPr>
          <w:color w:val="000000" w:themeColor="text1"/>
        </w:rPr>
      </w:pPr>
      <w:r>
        <w:rPr>
          <w:rFonts w:hint="eastAsia"/>
          <w:color w:val="000000" w:themeColor="text1"/>
        </w:rPr>
        <w:t>（四）解释</w:t>
      </w:r>
    </w:p>
    <w:p w14:paraId="009869BC"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除非本协议另有约定，本协议所有术语与《基金合同》的相应术语具有相同含义；若有抵触应以《基金合同》为准，并依其条款解释。</w:t>
      </w:r>
    </w:p>
    <w:p w14:paraId="721D0944"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（五）若本基金实施</w:t>
      </w:r>
      <w:proofErr w:type="gramStart"/>
      <w:r>
        <w:rPr>
          <w:rFonts w:ascii="宋体" w:hAnsi="Calibri" w:cs="宋体" w:hint="eastAsia"/>
          <w:color w:val="000000" w:themeColor="text1"/>
          <w:kern w:val="0"/>
          <w:szCs w:val="21"/>
        </w:rPr>
        <w:t>侧袋机制</w:t>
      </w:r>
      <w:proofErr w:type="gramEnd"/>
      <w:r>
        <w:rPr>
          <w:rFonts w:ascii="宋体" w:hAnsi="Calibri" w:cs="宋体" w:hint="eastAsia"/>
          <w:color w:val="000000" w:themeColor="text1"/>
          <w:kern w:val="0"/>
          <w:szCs w:val="21"/>
        </w:rPr>
        <w:t>的，</w:t>
      </w:r>
      <w:proofErr w:type="gramStart"/>
      <w:r>
        <w:rPr>
          <w:rFonts w:ascii="宋体" w:hAnsi="Calibri" w:cs="宋体" w:hint="eastAsia"/>
          <w:color w:val="000000" w:themeColor="text1"/>
          <w:kern w:val="0"/>
          <w:szCs w:val="21"/>
        </w:rPr>
        <w:t>侧袋机制</w:t>
      </w:r>
      <w:proofErr w:type="gramEnd"/>
      <w:r>
        <w:rPr>
          <w:rFonts w:ascii="宋体" w:hAnsi="Calibri" w:cs="宋体" w:hint="eastAsia"/>
          <w:color w:val="000000" w:themeColor="text1"/>
          <w:kern w:val="0"/>
          <w:szCs w:val="21"/>
        </w:rPr>
        <w:t>实施期间的相关安排</w:t>
      </w:r>
      <w:proofErr w:type="gramStart"/>
      <w:r>
        <w:rPr>
          <w:rFonts w:ascii="宋体" w:hAnsi="Calibri" w:cs="宋体" w:hint="eastAsia"/>
          <w:color w:val="000000" w:themeColor="text1"/>
          <w:kern w:val="0"/>
          <w:szCs w:val="21"/>
        </w:rPr>
        <w:t>见基金</w:t>
      </w:r>
      <w:proofErr w:type="gramEnd"/>
      <w:r>
        <w:rPr>
          <w:rFonts w:ascii="宋体" w:hAnsi="Calibri" w:cs="宋体" w:hint="eastAsia"/>
          <w:color w:val="000000" w:themeColor="text1"/>
          <w:kern w:val="0"/>
          <w:szCs w:val="21"/>
        </w:rPr>
        <w:t>合同和招募说明书的规定。</w:t>
      </w:r>
    </w:p>
    <w:p w14:paraId="5EF969D7" w14:textId="77777777" w:rsidR="00264E55" w:rsidRDefault="00264E55">
      <w:pPr>
        <w:autoSpaceDE w:val="0"/>
        <w:autoSpaceDN w:val="0"/>
        <w:adjustRightInd w:val="0"/>
        <w:spacing w:line="360" w:lineRule="auto"/>
        <w:ind w:firstLineChars="200" w:firstLine="420"/>
        <w:jc w:val="left"/>
        <w:rPr>
          <w:rFonts w:ascii="宋体" w:hAnsi="Calibri" w:cs="宋体"/>
          <w:color w:val="000000" w:themeColor="text1"/>
          <w:kern w:val="0"/>
          <w:szCs w:val="21"/>
        </w:rPr>
      </w:pPr>
    </w:p>
    <w:p w14:paraId="215E5751" w14:textId="77777777" w:rsidR="00264E55" w:rsidRDefault="00264E55">
      <w:pPr>
        <w:spacing w:line="360" w:lineRule="auto"/>
        <w:rPr>
          <w:color w:val="000000" w:themeColor="text1"/>
        </w:rPr>
      </w:pPr>
    </w:p>
    <w:p w14:paraId="3B487BB8" w14:textId="77777777" w:rsidR="00264E55" w:rsidRDefault="008040BB">
      <w:pPr>
        <w:pStyle w:val="1"/>
        <w:numPr>
          <w:ilvl w:val="0"/>
          <w:numId w:val="1"/>
        </w:numPr>
        <w:spacing w:before="120" w:after="120" w:line="360" w:lineRule="auto"/>
        <w:jc w:val="center"/>
        <w:rPr>
          <w:rFonts w:ascii="宋体"/>
          <w:bCs w:val="0"/>
          <w:color w:val="000000" w:themeColor="text1"/>
          <w:kern w:val="0"/>
          <w:sz w:val="24"/>
          <w:szCs w:val="24"/>
        </w:rPr>
      </w:pPr>
      <w:bookmarkStart w:id="5" w:name="_Toc394473998"/>
      <w:bookmarkStart w:id="6" w:name="_Toc881133"/>
      <w:r>
        <w:rPr>
          <w:rFonts w:ascii="宋体" w:hint="eastAsia"/>
          <w:bCs w:val="0"/>
          <w:color w:val="000000" w:themeColor="text1"/>
          <w:kern w:val="0"/>
          <w:sz w:val="24"/>
          <w:szCs w:val="24"/>
        </w:rPr>
        <w:t>基金托管人对基金管理人的业务监督和核查</w:t>
      </w:r>
      <w:bookmarkEnd w:id="5"/>
      <w:bookmarkEnd w:id="6"/>
    </w:p>
    <w:p w14:paraId="66BF0BA5" w14:textId="77777777" w:rsidR="00264E55" w:rsidRDefault="00264E55">
      <w:pPr>
        <w:pStyle w:val="af3"/>
        <w:ind w:left="450" w:firstLineChars="0" w:firstLine="0"/>
        <w:rPr>
          <w:color w:val="000000" w:themeColor="text1"/>
        </w:rPr>
      </w:pPr>
    </w:p>
    <w:p w14:paraId="4A2EB5EC" w14:textId="77777777" w:rsidR="00264E55" w:rsidRDefault="008040BB">
      <w:pPr>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（一）基金托管人对基金管理人的投资行为行使监督权</w:t>
      </w:r>
    </w:p>
    <w:p w14:paraId="7D05F7AC"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color w:val="000000" w:themeColor="text1"/>
          <w:kern w:val="0"/>
          <w:szCs w:val="21"/>
        </w:rPr>
        <w:t>1</w:t>
      </w:r>
      <w:r>
        <w:rPr>
          <w:rFonts w:ascii="宋体" w:hAnsi="Calibri" w:cs="宋体" w:hint="eastAsia"/>
          <w:color w:val="000000" w:themeColor="text1"/>
          <w:kern w:val="0"/>
          <w:szCs w:val="21"/>
        </w:rPr>
        <w:t>、 基金托管人根据有关法律法规的规定和《基金合同》的约定，对下述基金投资范围进行监督。</w:t>
      </w:r>
    </w:p>
    <w:p w14:paraId="68FB72A0"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本基金将投资于以下金融工具：</w:t>
      </w:r>
    </w:p>
    <w:p w14:paraId="116948C2"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本基金主要投资于目标ETF基金份额、标的指数成份股、备选成份股（</w:t>
      </w:r>
      <w:proofErr w:type="gramStart"/>
      <w:r>
        <w:rPr>
          <w:rFonts w:ascii="宋体" w:hAnsi="Calibri" w:cs="宋体" w:hint="eastAsia"/>
          <w:color w:val="000000" w:themeColor="text1"/>
          <w:kern w:val="0"/>
          <w:szCs w:val="21"/>
        </w:rPr>
        <w:t>含存托</w:t>
      </w:r>
      <w:proofErr w:type="gramEnd"/>
      <w:r>
        <w:rPr>
          <w:rFonts w:ascii="宋体" w:hAnsi="Calibri" w:cs="宋体" w:hint="eastAsia"/>
          <w:color w:val="000000" w:themeColor="text1"/>
          <w:kern w:val="0"/>
          <w:szCs w:val="21"/>
        </w:rPr>
        <w:t>凭证）。为更好地实现投资目标，本基金可少量投资于非成份股（包含主板、创业板、</w:t>
      </w:r>
      <w:proofErr w:type="gramStart"/>
      <w:r>
        <w:rPr>
          <w:rFonts w:ascii="宋体" w:hAnsi="Calibri" w:cs="宋体" w:hint="eastAsia"/>
          <w:color w:val="000000" w:themeColor="text1"/>
          <w:kern w:val="0"/>
          <w:szCs w:val="21"/>
        </w:rPr>
        <w:t>科创板</w:t>
      </w:r>
      <w:proofErr w:type="gramEnd"/>
      <w:r>
        <w:rPr>
          <w:rFonts w:ascii="宋体" w:hAnsi="Calibri" w:cs="宋体" w:hint="eastAsia"/>
          <w:color w:val="000000" w:themeColor="text1"/>
          <w:kern w:val="0"/>
          <w:szCs w:val="21"/>
        </w:rPr>
        <w:t>及其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Pr>
          <w:rFonts w:ascii="宋体" w:hAnsi="Calibri" w:cs="宋体" w:hint="eastAsia"/>
          <w:color w:val="000000" w:themeColor="text1"/>
          <w:kern w:val="0"/>
          <w:szCs w:val="21"/>
        </w:rPr>
        <w:t>券</w:t>
      </w:r>
      <w:proofErr w:type="gramEnd"/>
      <w:r>
        <w:rPr>
          <w:rFonts w:ascii="宋体" w:hAnsi="Calibri" w:cs="宋体" w:hint="eastAsia"/>
          <w:color w:val="000000" w:themeColor="text1"/>
          <w:kern w:val="0"/>
          <w:szCs w:val="21"/>
        </w:rPr>
        <w:t>、超短期融资</w:t>
      </w:r>
      <w:proofErr w:type="gramStart"/>
      <w:r>
        <w:rPr>
          <w:rFonts w:ascii="宋体" w:hAnsi="Calibri" w:cs="宋体" w:hint="eastAsia"/>
          <w:color w:val="000000" w:themeColor="text1"/>
          <w:kern w:val="0"/>
          <w:szCs w:val="21"/>
        </w:rPr>
        <w:t>券</w:t>
      </w:r>
      <w:proofErr w:type="gramEnd"/>
      <w:r>
        <w:rPr>
          <w:rFonts w:ascii="宋体" w:hAnsi="Calibri" w:cs="宋体" w:hint="eastAsia"/>
          <w:color w:val="000000" w:themeColor="text1"/>
          <w:kern w:val="0"/>
          <w:szCs w:val="21"/>
        </w:rPr>
        <w:t>等）、资产支持证券、债券回购、银行存款（包括协议存款、定期存款及其他银行存款）、同业存单、货币市场工具以及法律法规或中国证监会允许基金投资的其他金融工具（但须符合中国证监会的相关规定）。</w:t>
      </w:r>
    </w:p>
    <w:p w14:paraId="0F18EBC8"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本基金根据相关规定可参与融资、转融通证券出借业务。</w:t>
      </w:r>
    </w:p>
    <w:p w14:paraId="4A1A1F10"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如法律法规或监管机构以后允许基金投资其他品种，基金管理人在履行适当程序后，</w:t>
      </w:r>
      <w:r>
        <w:rPr>
          <w:rFonts w:ascii="宋体" w:hAnsi="Calibri" w:cs="宋体" w:hint="eastAsia"/>
          <w:color w:val="000000" w:themeColor="text1"/>
          <w:kern w:val="0"/>
          <w:szCs w:val="21"/>
        </w:rPr>
        <w:lastRenderedPageBreak/>
        <w:t>可以将其纳入投资范围。</w:t>
      </w:r>
    </w:p>
    <w:p w14:paraId="6726869F"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2</w:t>
      </w:r>
      <w:r>
        <w:rPr>
          <w:rFonts w:hint="eastAsia"/>
          <w:color w:val="000000" w:themeColor="text1"/>
          <w:szCs w:val="21"/>
        </w:rPr>
        <w:t>、</w:t>
      </w:r>
      <w:r>
        <w:rPr>
          <w:color w:val="000000" w:themeColor="text1"/>
          <w:szCs w:val="21"/>
        </w:rPr>
        <w:t xml:space="preserve"> </w:t>
      </w:r>
      <w:r>
        <w:rPr>
          <w:rFonts w:hint="eastAsia"/>
          <w:color w:val="000000" w:themeColor="text1"/>
          <w:szCs w:val="21"/>
        </w:rPr>
        <w:t>基金托管人根据有关法律法规的规定及《基金合同》的约定对下述基金投资比例进行监督。</w:t>
      </w:r>
    </w:p>
    <w:p w14:paraId="4C076B7C"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）按法律法规的规定及《基金合同》的约定，本基金的投资资产配置比例为：</w:t>
      </w:r>
    </w:p>
    <w:p w14:paraId="53B35933"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在建仓完成后，本基金投资于目标ETF的比例不低于基金资产净值的90%。每个交易日日终在扣除金融衍生品合约需缴纳的交易保证金后，现金或到期日在一年以内的政府债券的投资比例不低于基金资产净值的5%，其中现金不包括结算备付金、存出保证金、应收申购款等。</w:t>
      </w:r>
    </w:p>
    <w:p w14:paraId="2271DB9C"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如法律法规</w:t>
      </w:r>
      <w:r>
        <w:rPr>
          <w:rFonts w:ascii="宋体" w:hAnsi="Calibri" w:cs="宋体" w:hint="eastAsia"/>
          <w:color w:val="000000" w:themeColor="text1"/>
          <w:kern w:val="0"/>
          <w:szCs w:val="21"/>
        </w:rPr>
        <w:t>或监管机构</w:t>
      </w:r>
      <w:r>
        <w:rPr>
          <w:rFonts w:hint="eastAsia"/>
          <w:color w:val="000000" w:themeColor="text1"/>
          <w:szCs w:val="21"/>
        </w:rPr>
        <w:t>变更投资品种的投资比例限制，基金管理人在履行适当程序后，可以调整上述投资品种的投资比例。</w:t>
      </w:r>
    </w:p>
    <w:p w14:paraId="0502C099"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）根据法律法规的规定及《基金合同》的约定，本基金投资组合遵循以下投资限制：</w:t>
      </w:r>
    </w:p>
    <w:p w14:paraId="55A367A7"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1）本基金投资于目标ETF的比例不低于基金资产净值的90%；</w:t>
      </w:r>
    </w:p>
    <w:p w14:paraId="78CC42BD"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2）每个交易日日终在扣除金融衍生品合约需缴纳的交易保证金后，现金或到期日在一年以内的政府债券的投资比例不低于基金资产净值的5％，其中现金不包括结算备付金、存出保证金、应收申购款等；</w:t>
      </w:r>
    </w:p>
    <w:p w14:paraId="4F293B07"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3）本基金投资于同一原始权益人的各类资产支持证券的比例，不得超过基金资产净值的10％；</w:t>
      </w:r>
    </w:p>
    <w:p w14:paraId="7BCA6ACF"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4）本基金持有的全部资产支持证券，其市值不得超过基金资产净值的20％；</w:t>
      </w:r>
    </w:p>
    <w:p w14:paraId="1F707D4A"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5）本基金持有的同一（指同一信用级别）资产支持证券的比例，不得超过该资产支持证券规模的10％；</w:t>
      </w:r>
    </w:p>
    <w:p w14:paraId="39833D8D"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6）本基金管理人管理的且由本基金托管人托管的全部基金投资于同一原始权益人的各类资产支持证券，不得超过其各类资产支持证券合计规模的10％；</w:t>
      </w:r>
    </w:p>
    <w:p w14:paraId="7ADD1081"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7）本基金应投资于信用级别评级为BBB以上（含BBB）的资产支持证券。基金持有资产支持证券期间，如果其信用等级下降、不再符合投资标准，应在评级报告发布之日起3个月内予以全部卖出；</w:t>
      </w:r>
    </w:p>
    <w:p w14:paraId="0DCF0D3E"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8）基金财产参与股票发行申购，本基金所申报的金额不超过本基金的总资产，本基金所申报的股票数量不超过拟发行股票公司本次发行股票的总量；</w:t>
      </w:r>
    </w:p>
    <w:p w14:paraId="5B3BB80C"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9）本基金主动投资于流动性受限资产的市值合计不得超过基金资产净值的15%；因证</w:t>
      </w:r>
      <w:r>
        <w:rPr>
          <w:rFonts w:ascii="宋体" w:hAnsi="Calibri" w:cs="宋体" w:hint="eastAsia"/>
          <w:color w:val="000000" w:themeColor="text1"/>
          <w:kern w:val="0"/>
          <w:szCs w:val="21"/>
        </w:rPr>
        <w:lastRenderedPageBreak/>
        <w:t>券市场波动、上市公司股票停牌、基金规模变动等基金管理人之外的因素致使基金不符合前款所规定比例限制的，基金管理人不得主动新增流动性受限资产的投资；</w:t>
      </w:r>
    </w:p>
    <w:p w14:paraId="1D108ADD"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10）本基金与私募类</w:t>
      </w:r>
      <w:proofErr w:type="gramStart"/>
      <w:r>
        <w:rPr>
          <w:rFonts w:ascii="宋体" w:hAnsi="Calibri" w:cs="宋体" w:hint="eastAsia"/>
          <w:color w:val="000000" w:themeColor="text1"/>
          <w:kern w:val="0"/>
          <w:szCs w:val="21"/>
        </w:rPr>
        <w:t>证券资管产品</w:t>
      </w:r>
      <w:proofErr w:type="gramEnd"/>
      <w:r>
        <w:rPr>
          <w:rFonts w:ascii="宋体" w:hAnsi="Calibri" w:cs="宋体" w:hint="eastAsia"/>
          <w:color w:val="000000" w:themeColor="text1"/>
          <w:kern w:val="0"/>
          <w:szCs w:val="21"/>
        </w:rPr>
        <w:t>及中国证监会认定的其他主体为交易对手开展逆回购交易的，可接受质押品的资质要求应当与基金合同约定的投资范围保持一致；</w:t>
      </w:r>
    </w:p>
    <w:p w14:paraId="1EAC0658"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11）本基金资产总值不超过基金资产净值的140%；</w:t>
      </w:r>
    </w:p>
    <w:p w14:paraId="487C3170"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12）本基金参与股指期货交易，应当符合下列投资限制：</w:t>
      </w:r>
    </w:p>
    <w:p w14:paraId="5F817CDD"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①本基金在任何交易日日终，持有的买入股指期货合约价值，不得超过基金资产净值的10%；</w:t>
      </w:r>
    </w:p>
    <w:p w14:paraId="05A008B3"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②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677A6968"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③本基金在任何交易日日终，持有的卖出股指期货合约价值不得超过基金持有的股票总市值的20%；</w:t>
      </w:r>
    </w:p>
    <w:p w14:paraId="5E2AA554"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④本基金所持有的股票市值和买入、卖出股指期货合约价值，合计（轧差计算）应当符合基金合同关于股票投资比例的有关约定；</w:t>
      </w:r>
    </w:p>
    <w:p w14:paraId="25156C99"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⑤本基金在任何交易日内交易（不包括平仓）的股指期货合约的成交金额不得超过上一交易日基金资产净值的20%；</w:t>
      </w:r>
    </w:p>
    <w:p w14:paraId="41F3DE55"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13）本基金参与股票期权交易，应当符合下列投资限制：</w:t>
      </w:r>
    </w:p>
    <w:p w14:paraId="43A537EC"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①基金因未平仓的期权合约支付和收取的权利金总额不得超过基金资产净值的10%；</w:t>
      </w:r>
    </w:p>
    <w:p w14:paraId="345F38CB"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②开仓卖出认购期权的，应持有足额标的证券；开仓卖出认沽期权的，应持有合约行权所需的全额现金或交易所规则认可的可冲抵期权保证金的现金等价物；</w:t>
      </w:r>
    </w:p>
    <w:p w14:paraId="44129857"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③未平仓的期权合约面值不得超过基金资产净值的20%。其中，合约面值按照行权价乘以合约乘数计算；</w:t>
      </w:r>
    </w:p>
    <w:p w14:paraId="186B1E38"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14）本基金参与转融通证券出借业务的，应当符合下列要求：</w:t>
      </w:r>
    </w:p>
    <w:p w14:paraId="6073114D"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①本基金在任何交易日日终，参与转融通证券出借业务的资产不得超过基金资产净值的30%，其中出借期限在10个交易日以上的出借证券应纳入《流动性风险管理规定》所述流动性受限证券的范围；</w:t>
      </w:r>
    </w:p>
    <w:p w14:paraId="396B9156"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②本基金在任何交易日日终，参与出借业务的单只证券不得超过基金持有该证券总量的50%；</w:t>
      </w:r>
    </w:p>
    <w:p w14:paraId="6EB36C54"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lastRenderedPageBreak/>
        <w:t>③证券出借的平均剩余期限不得超过30天，平均剩余期限按市值加权平均计算；</w:t>
      </w:r>
    </w:p>
    <w:p w14:paraId="744FB56B"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④最近6个月内日均基金资产净值不得低于2亿元；</w:t>
      </w:r>
    </w:p>
    <w:p w14:paraId="30EFC115"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15）本基金投资存托凭证的比例限制依照境内上市交易的股票执行，与境内上市交易的股票合并计算，法律法规或监管部门另有要求的除外；</w:t>
      </w:r>
    </w:p>
    <w:p w14:paraId="78CF1C2A"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16）本基金参与融资，每个交易日日终，本基金持有的融资买入股票与其他有价证券市值之和，不得超过基金资产净值的95%；</w:t>
      </w:r>
    </w:p>
    <w:p w14:paraId="3C7879C9"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17）法律法规及中国证监会规定的和《基金合同》约定的其他投资限制。</w:t>
      </w:r>
    </w:p>
    <w:p w14:paraId="74E4D7AD"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因证券/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应当在20个交易日内进行调整，但中国证监会规定的特殊情形除外；除上述第1）、2）、7）、9）、10）、14）项另有约定外，因证券/期货市场波动、证券发行人合并、基金规模变动、标的指数成份股调整、标的指数成份股流动性限制、目标 ETF 暂停申购、赎回或二级市场交易停牌等基金管理人之外的因素致使基金投资比例不符合上述规定投资比例的，基金管理人应当在10个交易日内进行调整，但中国证监会规定的特殊情形除外。法律法规另有规定的，从其规定。</w:t>
      </w:r>
    </w:p>
    <w:p w14:paraId="0A3308E1"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本基金参与转融通证券出借业务，因证券/期货市场波动、证券发行人合并、基金规模变动等基金管理人之外的因素致使基金投资不符合上述第14）项规定的，基金管理人不得新增出借业务。</w:t>
      </w:r>
    </w:p>
    <w:p w14:paraId="62E84B1F"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基金管理人应当自基金合同生效之日起6个月内使基金的投资组合比例符合基金合同的有关约定。在上述期间内，本基金的投资范围应当符合基金合同的约定。基金托管人对基金的投资的监督与检查自基金合同生效之日起开始。</w:t>
      </w:r>
    </w:p>
    <w:p w14:paraId="0496C4A0"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法律法规或监管部门取消或变更上述限制，如适用于本基金，基金管理人在履行适当程序后，则本基金投资不再受相关限制或按变更后的规定执行。</w:t>
      </w:r>
    </w:p>
    <w:p w14:paraId="2701D1DE"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3</w:t>
      </w:r>
      <w:r>
        <w:rPr>
          <w:rFonts w:hint="eastAsia"/>
          <w:color w:val="000000" w:themeColor="text1"/>
          <w:szCs w:val="21"/>
        </w:rPr>
        <w:t>、</w:t>
      </w:r>
      <w:r>
        <w:rPr>
          <w:color w:val="000000" w:themeColor="text1"/>
          <w:szCs w:val="21"/>
        </w:rPr>
        <w:t xml:space="preserve"> </w:t>
      </w:r>
      <w:r>
        <w:rPr>
          <w:rFonts w:hint="eastAsia"/>
          <w:color w:val="000000" w:themeColor="text1"/>
          <w:szCs w:val="21"/>
        </w:rPr>
        <w:t>基金托管人根据有关法律法规的规定及《基金合同》的约定对下述基金投资禁止行为通过事后监督方式进行监督：</w:t>
      </w:r>
    </w:p>
    <w:p w14:paraId="0BDCFDC7"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）承销证券；</w:t>
      </w:r>
    </w:p>
    <w:p w14:paraId="380083C0"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）违反规定向他人贷款或者提供担保；</w:t>
      </w:r>
    </w:p>
    <w:p w14:paraId="06CB2908"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）从事承担无限责任的投资；</w:t>
      </w:r>
    </w:p>
    <w:p w14:paraId="3AF1C7F0" w14:textId="77777777" w:rsidR="00264E55" w:rsidRDefault="008040BB">
      <w:pPr>
        <w:autoSpaceDE w:val="0"/>
        <w:autoSpaceDN w:val="0"/>
        <w:adjustRightInd w:val="0"/>
        <w:spacing w:line="360" w:lineRule="auto"/>
        <w:ind w:firstLineChars="200" w:firstLine="420"/>
        <w:jc w:val="left"/>
        <w:rPr>
          <w:color w:val="000000" w:themeColor="text1"/>
          <w:szCs w:val="21"/>
        </w:rPr>
      </w:pPr>
      <w:bookmarkStart w:id="7" w:name="_Hlk531772207"/>
      <w:r>
        <w:rPr>
          <w:rFonts w:hint="eastAsia"/>
          <w:color w:val="000000" w:themeColor="text1"/>
          <w:szCs w:val="21"/>
        </w:rPr>
        <w:lastRenderedPageBreak/>
        <w:t>（</w:t>
      </w:r>
      <w:r>
        <w:rPr>
          <w:color w:val="000000" w:themeColor="text1"/>
          <w:szCs w:val="21"/>
        </w:rPr>
        <w:t>4</w:t>
      </w:r>
      <w:r>
        <w:rPr>
          <w:rFonts w:hint="eastAsia"/>
          <w:color w:val="000000" w:themeColor="text1"/>
          <w:szCs w:val="21"/>
        </w:rPr>
        <w:t>）买卖</w:t>
      </w:r>
      <w:proofErr w:type="gramStart"/>
      <w:r>
        <w:rPr>
          <w:rFonts w:hint="eastAsia"/>
          <w:color w:val="000000" w:themeColor="text1"/>
        </w:rPr>
        <w:t>除目标</w:t>
      </w:r>
      <w:proofErr w:type="gramEnd"/>
      <w:r>
        <w:rPr>
          <w:rFonts w:hint="eastAsia"/>
          <w:color w:val="000000" w:themeColor="text1"/>
        </w:rPr>
        <w:t>ETF</w:t>
      </w:r>
      <w:r>
        <w:rPr>
          <w:rFonts w:hint="eastAsia"/>
          <w:color w:val="000000" w:themeColor="text1"/>
        </w:rPr>
        <w:t>以外的</w:t>
      </w:r>
      <w:r>
        <w:rPr>
          <w:rFonts w:hint="eastAsia"/>
          <w:color w:val="000000" w:themeColor="text1"/>
          <w:szCs w:val="21"/>
        </w:rPr>
        <w:t>其他基金份额，但是中国证监会另有规定的除外；</w:t>
      </w:r>
    </w:p>
    <w:bookmarkEnd w:id="7"/>
    <w:p w14:paraId="68900638"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）向其基金管理人、基金托管人出资；</w:t>
      </w:r>
    </w:p>
    <w:p w14:paraId="784B8FD8"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）从事内幕交易、操纵证券交易价格及其他不正当的证券交易活动；</w:t>
      </w:r>
    </w:p>
    <w:p w14:paraId="05DA5B31"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）法律、行政法规和中国证监会规定禁止的其他活动。</w:t>
      </w:r>
    </w:p>
    <w:p w14:paraId="24E914E2" w14:textId="77777777" w:rsidR="00264E55" w:rsidRDefault="008040BB">
      <w:pPr>
        <w:autoSpaceDE w:val="0"/>
        <w:autoSpaceDN w:val="0"/>
        <w:adjustRightInd w:val="0"/>
        <w:spacing w:line="360" w:lineRule="auto"/>
        <w:ind w:firstLineChars="200" w:firstLine="420"/>
        <w:jc w:val="left"/>
        <w:rPr>
          <w:szCs w:val="21"/>
        </w:rPr>
      </w:pPr>
      <w:r>
        <w:rPr>
          <w:rFonts w:hint="eastAsia"/>
          <w:szCs w:val="21"/>
        </w:rPr>
        <w:t>法律、行政法规或监管部门取消或</w:t>
      </w:r>
      <w:r>
        <w:rPr>
          <w:rFonts w:hint="eastAsia"/>
          <w:color w:val="000000" w:themeColor="text1"/>
          <w:szCs w:val="21"/>
        </w:rPr>
        <w:t>变更上述限制</w:t>
      </w:r>
      <w:r>
        <w:rPr>
          <w:rFonts w:hint="eastAsia"/>
          <w:szCs w:val="21"/>
        </w:rPr>
        <w:t>，如适用于本基金，基金管理人在履行适当程序后，则本基金投资不再受相关限制或</w:t>
      </w:r>
      <w:r>
        <w:rPr>
          <w:rFonts w:hint="eastAsia"/>
          <w:color w:val="000000" w:themeColor="text1"/>
          <w:szCs w:val="21"/>
        </w:rPr>
        <w:t>按变更</w:t>
      </w:r>
      <w:r>
        <w:rPr>
          <w:rFonts w:hint="eastAsia"/>
          <w:szCs w:val="21"/>
        </w:rPr>
        <w:t>后的规定</w:t>
      </w:r>
      <w:r>
        <w:rPr>
          <w:rFonts w:hint="eastAsia"/>
          <w:color w:val="000000" w:themeColor="text1"/>
          <w:szCs w:val="21"/>
        </w:rPr>
        <w:t>执行</w:t>
      </w:r>
      <w:r>
        <w:rPr>
          <w:rFonts w:hint="eastAsia"/>
          <w:szCs w:val="21"/>
        </w:rPr>
        <w:t>。</w:t>
      </w:r>
    </w:p>
    <w:p w14:paraId="1CD2F0C7"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4</w:t>
      </w:r>
      <w:r>
        <w:rPr>
          <w:rFonts w:hint="eastAsia"/>
          <w:color w:val="000000" w:themeColor="text1"/>
          <w:szCs w:val="21"/>
        </w:rPr>
        <w:t>、基金托管人依据有关法律法规的规定和《基金合同》的约定对于基金关联投资限制进行监督。</w:t>
      </w:r>
    </w:p>
    <w:p w14:paraId="636BD17E"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A50A86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szCs w:val="21"/>
        </w:rPr>
        <w:t>法律、行政法规或监管部门取消或</w:t>
      </w:r>
      <w:r>
        <w:rPr>
          <w:rFonts w:hint="eastAsia"/>
          <w:color w:val="000000" w:themeColor="text1"/>
          <w:szCs w:val="21"/>
        </w:rPr>
        <w:t>变更上述限制</w:t>
      </w:r>
      <w:r>
        <w:rPr>
          <w:rFonts w:hint="eastAsia"/>
          <w:szCs w:val="21"/>
        </w:rPr>
        <w:t>，如适用于本基金，基金管理人在履行适当程序后，则本基金投资不再受相关限制或</w:t>
      </w:r>
      <w:r>
        <w:rPr>
          <w:rFonts w:hint="eastAsia"/>
          <w:color w:val="000000" w:themeColor="text1"/>
          <w:szCs w:val="21"/>
        </w:rPr>
        <w:t>按变更</w:t>
      </w:r>
      <w:r>
        <w:rPr>
          <w:rFonts w:hint="eastAsia"/>
          <w:szCs w:val="21"/>
        </w:rPr>
        <w:t>后的规定</w:t>
      </w:r>
      <w:r>
        <w:rPr>
          <w:rFonts w:hint="eastAsia"/>
          <w:color w:val="000000" w:themeColor="text1"/>
          <w:szCs w:val="21"/>
        </w:rPr>
        <w:t>执行</w:t>
      </w:r>
      <w:r>
        <w:rPr>
          <w:rFonts w:hint="eastAsia"/>
          <w:szCs w:val="21"/>
        </w:rPr>
        <w:t>。</w:t>
      </w:r>
    </w:p>
    <w:p w14:paraId="4358C118"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5、本基金参与银行间市场交易，由基金管理人决定银行间市场交易对手的名单，并按照审慎的风险控制原则在该名单中约定各交易对手所适用的交易结算方式。基金管理人应严格按照交易对手名单的范围在银行间债券市场选择交易对手；基金管理人在银行间市场进行现券买卖和回购交易时，需按交易对手名单中约定的该交易对手所适用的交易结算方式进行交易。基金托管人不对本基金参与银行间市场交易的交易对手和交易结算方式进行监控。</w:t>
      </w:r>
    </w:p>
    <w:p w14:paraId="3EF49B79" w14:textId="77777777" w:rsidR="00264E55" w:rsidRDefault="008040BB">
      <w:pPr>
        <w:autoSpaceDE w:val="0"/>
        <w:autoSpaceDN w:val="0"/>
        <w:adjustRightInd w:val="0"/>
        <w:spacing w:line="360" w:lineRule="auto"/>
        <w:ind w:firstLineChars="200" w:firstLine="420"/>
        <w:jc w:val="left"/>
        <w:rPr>
          <w:rFonts w:ascii="宋体" w:hAnsi="Calibri" w:cs="宋体"/>
          <w:kern w:val="0"/>
          <w:szCs w:val="21"/>
        </w:rPr>
      </w:pPr>
      <w:r>
        <w:rPr>
          <w:rFonts w:ascii="宋体" w:hAnsi="Calibri" w:cs="宋体" w:hint="eastAsia"/>
          <w:kern w:val="0"/>
          <w:szCs w:val="21"/>
        </w:rPr>
        <w:t>6、基金托管人对基金投资流通受限证券的监督</w:t>
      </w:r>
    </w:p>
    <w:p w14:paraId="48FD3E0F" w14:textId="77777777" w:rsidR="00264E55" w:rsidRDefault="008040BB">
      <w:pPr>
        <w:autoSpaceDE w:val="0"/>
        <w:autoSpaceDN w:val="0"/>
        <w:adjustRightInd w:val="0"/>
        <w:spacing w:line="360" w:lineRule="auto"/>
        <w:ind w:firstLineChars="200" w:firstLine="420"/>
        <w:jc w:val="left"/>
        <w:rPr>
          <w:rFonts w:hAnsi="Calibri"/>
          <w:szCs w:val="21"/>
        </w:rPr>
      </w:pPr>
      <w:r>
        <w:rPr>
          <w:rFonts w:ascii="宋体" w:hAnsi="Calibri" w:cs="宋体" w:hint="eastAsia"/>
          <w:kern w:val="0"/>
          <w:szCs w:val="21"/>
        </w:rPr>
        <w:t>（1）</w:t>
      </w:r>
      <w:r>
        <w:rPr>
          <w:rFonts w:ascii="宋体" w:hAnsi="Calibri" w:cs="宋体"/>
          <w:kern w:val="0"/>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6429BC4" w14:textId="77777777" w:rsidR="00264E55" w:rsidRDefault="008040BB">
      <w:pPr>
        <w:autoSpaceDE w:val="0"/>
        <w:autoSpaceDN w:val="0"/>
        <w:adjustRightInd w:val="0"/>
        <w:spacing w:line="360" w:lineRule="auto"/>
        <w:ind w:firstLineChars="200" w:firstLine="420"/>
        <w:jc w:val="left"/>
        <w:rPr>
          <w:rFonts w:ascii="宋体" w:hAnsi="Calibri" w:cs="宋体"/>
          <w:kern w:val="0"/>
          <w:szCs w:val="21"/>
        </w:rPr>
      </w:pPr>
      <w:r>
        <w:rPr>
          <w:rFonts w:ascii="宋体" w:hAnsi="Calibri" w:cs="宋体" w:hint="eastAsia"/>
          <w:kern w:val="0"/>
          <w:szCs w:val="21"/>
        </w:rPr>
        <w:t>（</w:t>
      </w:r>
      <w:r>
        <w:rPr>
          <w:rFonts w:ascii="宋体" w:hAnsi="Calibri" w:cs="宋体"/>
          <w:kern w:val="0"/>
          <w:szCs w:val="21"/>
        </w:rPr>
        <w:t>2</w:t>
      </w:r>
      <w:r>
        <w:rPr>
          <w:rFonts w:ascii="宋体" w:hAnsi="Calibri" w:cs="宋体" w:hint="eastAsia"/>
          <w:kern w:val="0"/>
          <w:szCs w:val="21"/>
        </w:rPr>
        <w:t>）此处流通受限证券与上文所述的流动性受限资产并不完全一致，包括经中国证监</w:t>
      </w:r>
      <w:r>
        <w:rPr>
          <w:rFonts w:ascii="宋体" w:hAnsi="Calibri" w:cs="宋体" w:hint="eastAsia"/>
          <w:kern w:val="0"/>
          <w:szCs w:val="21"/>
        </w:rPr>
        <w:lastRenderedPageBreak/>
        <w:t>会批准的非公开发行股票、公开发行股票网下配售部分等在发行时明确一定期限锁定期的可交易证券</w:t>
      </w:r>
      <w:r>
        <w:rPr>
          <w:rFonts w:ascii="宋体" w:hAnsi="Calibri" w:cs="宋体"/>
          <w:kern w:val="0"/>
          <w:szCs w:val="21"/>
        </w:rPr>
        <w:t>,</w:t>
      </w:r>
      <w:r>
        <w:rPr>
          <w:rFonts w:ascii="宋体" w:hAnsi="Calibri" w:cs="宋体" w:hint="eastAsia"/>
          <w:kern w:val="0"/>
          <w:szCs w:val="21"/>
        </w:rPr>
        <w:t>不包括由于发布重大消息或其他原因而临时停牌的证券、已发行未上市证券、回购交易中的质押</w:t>
      </w:r>
      <w:proofErr w:type="gramStart"/>
      <w:r>
        <w:rPr>
          <w:rFonts w:ascii="宋体" w:hAnsi="Calibri" w:cs="宋体" w:hint="eastAsia"/>
          <w:kern w:val="0"/>
          <w:szCs w:val="21"/>
        </w:rPr>
        <w:t>券</w:t>
      </w:r>
      <w:proofErr w:type="gramEnd"/>
      <w:r>
        <w:rPr>
          <w:rFonts w:ascii="宋体" w:hAnsi="Calibri" w:cs="宋体" w:hint="eastAsia"/>
          <w:kern w:val="0"/>
          <w:szCs w:val="21"/>
        </w:rPr>
        <w:t>等流通受限证券。</w:t>
      </w:r>
    </w:p>
    <w:p w14:paraId="345E91A2" w14:textId="77777777" w:rsidR="00264E55" w:rsidRDefault="008040BB">
      <w:pPr>
        <w:autoSpaceDE w:val="0"/>
        <w:autoSpaceDN w:val="0"/>
        <w:adjustRightInd w:val="0"/>
        <w:spacing w:line="360" w:lineRule="auto"/>
        <w:ind w:firstLineChars="200" w:firstLine="420"/>
        <w:jc w:val="left"/>
        <w:rPr>
          <w:rFonts w:ascii="宋体" w:hAnsi="Calibri" w:cs="宋体"/>
          <w:kern w:val="0"/>
          <w:szCs w:val="21"/>
        </w:rPr>
      </w:pPr>
      <w:r>
        <w:rPr>
          <w:rFonts w:ascii="宋体" w:hAnsi="Calibri" w:cs="宋体" w:hint="eastAsia"/>
          <w:kern w:val="0"/>
          <w:szCs w:val="21"/>
        </w:rPr>
        <w:t>（</w:t>
      </w:r>
      <w:r>
        <w:rPr>
          <w:rFonts w:ascii="宋体" w:hAnsi="Calibri" w:cs="宋体"/>
          <w:kern w:val="0"/>
          <w:szCs w:val="21"/>
        </w:rPr>
        <w:t>3</w:t>
      </w:r>
      <w:r>
        <w:rPr>
          <w:rFonts w:ascii="宋体" w:hAnsi="Calibri" w:cs="宋体" w:hint="eastAsia"/>
          <w:kern w:val="0"/>
          <w:szCs w:val="21"/>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B05CF1E" w14:textId="77777777" w:rsidR="00264E55" w:rsidRDefault="008040BB">
      <w:pPr>
        <w:autoSpaceDE w:val="0"/>
        <w:autoSpaceDN w:val="0"/>
        <w:adjustRightInd w:val="0"/>
        <w:spacing w:line="360" w:lineRule="auto"/>
        <w:ind w:firstLineChars="200" w:firstLine="420"/>
        <w:jc w:val="left"/>
        <w:rPr>
          <w:rFonts w:ascii="宋体" w:hAnsi="Calibri" w:cs="宋体"/>
          <w:kern w:val="0"/>
          <w:szCs w:val="21"/>
        </w:rPr>
      </w:pPr>
      <w:r>
        <w:rPr>
          <w:rFonts w:ascii="宋体" w:hAnsi="Calibri" w:cs="宋体" w:hint="eastAsia"/>
          <w:kern w:val="0"/>
          <w:szCs w:val="21"/>
        </w:rPr>
        <w:t>基金管理人应至少</w:t>
      </w:r>
      <w:proofErr w:type="gramStart"/>
      <w:r>
        <w:rPr>
          <w:rFonts w:ascii="宋体" w:hAnsi="Calibri" w:cs="宋体" w:hint="eastAsia"/>
          <w:kern w:val="0"/>
          <w:szCs w:val="21"/>
        </w:rPr>
        <w:t>于首次</w:t>
      </w:r>
      <w:proofErr w:type="gramEnd"/>
      <w:r>
        <w:rPr>
          <w:rFonts w:ascii="宋体" w:hAnsi="Calibri" w:cs="宋体" w:hint="eastAsia"/>
          <w:kern w:val="0"/>
          <w:szCs w:val="21"/>
        </w:rPr>
        <w:t>执行投资指令之前两个工作日将上述资料书面发至基金托管人，保证基金托管人有足够的时间进行审核。基金托管人应在收到上述资料后两个工作日内，以书面或其他双方认可的方式进行确认。</w:t>
      </w:r>
    </w:p>
    <w:p w14:paraId="18E76E85" w14:textId="77777777" w:rsidR="00264E55" w:rsidRDefault="008040BB">
      <w:pPr>
        <w:autoSpaceDE w:val="0"/>
        <w:autoSpaceDN w:val="0"/>
        <w:adjustRightInd w:val="0"/>
        <w:spacing w:line="360" w:lineRule="auto"/>
        <w:ind w:firstLineChars="200" w:firstLine="420"/>
        <w:jc w:val="left"/>
        <w:rPr>
          <w:rFonts w:ascii="宋体" w:hAnsi="Calibri" w:cs="宋体"/>
          <w:kern w:val="0"/>
          <w:szCs w:val="21"/>
        </w:rPr>
      </w:pPr>
      <w:r>
        <w:rPr>
          <w:rFonts w:ascii="宋体" w:hAnsi="Calibri" w:cs="宋体" w:hint="eastAsia"/>
          <w:kern w:val="0"/>
          <w:szCs w:val="21"/>
        </w:rPr>
        <w:t>（</w:t>
      </w:r>
      <w:r>
        <w:rPr>
          <w:rFonts w:ascii="宋体" w:hAnsi="Calibri" w:cs="宋体"/>
          <w:kern w:val="0"/>
          <w:szCs w:val="21"/>
        </w:rPr>
        <w:t>4</w:t>
      </w:r>
      <w:r>
        <w:rPr>
          <w:rFonts w:ascii="宋体" w:hAnsi="Calibri" w:cs="宋体" w:hint="eastAsia"/>
          <w:kern w:val="0"/>
          <w:szCs w:val="21"/>
        </w:rPr>
        <w:t>）基金投资</w:t>
      </w:r>
      <w:r>
        <w:t>非公开发行</w:t>
      </w:r>
      <w:r>
        <w:rPr>
          <w:rFonts w:ascii="宋体" w:hAnsi="Calibri" w:cs="宋体" w:hint="eastAsia"/>
          <w:kern w:val="0"/>
          <w:szCs w:val="21"/>
        </w:rPr>
        <w:t>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w:t>
      </w:r>
      <w:proofErr w:type="gramStart"/>
      <w:r>
        <w:rPr>
          <w:rFonts w:ascii="宋体" w:hAnsi="Calibri" w:cs="宋体" w:hint="eastAsia"/>
          <w:kern w:val="0"/>
          <w:szCs w:val="21"/>
        </w:rPr>
        <w:t>于拟执行</w:t>
      </w:r>
      <w:proofErr w:type="gramEnd"/>
      <w:r>
        <w:rPr>
          <w:rFonts w:ascii="宋体" w:hAnsi="Calibri" w:cs="宋体" w:hint="eastAsia"/>
          <w:kern w:val="0"/>
          <w:szCs w:val="21"/>
        </w:rPr>
        <w:t>投资指令前将上述信息书面发至基金托管人，保证基金托管人有足够的时间进行审核。</w:t>
      </w:r>
    </w:p>
    <w:p w14:paraId="018795C6" w14:textId="77777777" w:rsidR="00264E55" w:rsidRDefault="008040BB">
      <w:pPr>
        <w:autoSpaceDE w:val="0"/>
        <w:autoSpaceDN w:val="0"/>
        <w:adjustRightInd w:val="0"/>
        <w:spacing w:line="360" w:lineRule="auto"/>
        <w:ind w:firstLineChars="200" w:firstLine="420"/>
        <w:jc w:val="left"/>
        <w:rPr>
          <w:rFonts w:ascii="宋体" w:hAnsi="Calibri" w:cs="宋体"/>
          <w:kern w:val="0"/>
          <w:szCs w:val="21"/>
        </w:rPr>
      </w:pPr>
      <w:r>
        <w:rPr>
          <w:rFonts w:ascii="宋体" w:hAnsi="Calibri" w:cs="宋体" w:hint="eastAsia"/>
          <w:kern w:val="0"/>
          <w:szCs w:val="21"/>
        </w:rPr>
        <w:t>（</w:t>
      </w:r>
      <w:r>
        <w:rPr>
          <w:rFonts w:ascii="宋体" w:hAnsi="Calibri" w:cs="宋体"/>
          <w:kern w:val="0"/>
          <w:szCs w:val="21"/>
        </w:rPr>
        <w:t>5</w:t>
      </w:r>
      <w:r>
        <w:rPr>
          <w:rFonts w:ascii="宋体" w:hAnsi="Calibri" w:cs="宋体" w:hint="eastAsia"/>
          <w:kern w:val="0"/>
          <w:szCs w:val="21"/>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49897BE9"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kern w:val="0"/>
          <w:szCs w:val="21"/>
        </w:rPr>
        <w:t>如基金管理人和基金托管人无法达成一致，应及时上报中国证监会请求解决。如果基金托管人切实履行监督职责，则不承担任何责任。</w:t>
      </w:r>
    </w:p>
    <w:p w14:paraId="3A636F37"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color w:val="000000" w:themeColor="text1"/>
          <w:kern w:val="0"/>
          <w:szCs w:val="21"/>
        </w:rPr>
        <w:t>7</w:t>
      </w:r>
      <w:r>
        <w:rPr>
          <w:rFonts w:ascii="宋体" w:hAnsi="Calibri" w:cs="宋体" w:hint="eastAsia"/>
          <w:color w:val="000000" w:themeColor="text1"/>
          <w:kern w:val="0"/>
          <w:szCs w:val="21"/>
        </w:rPr>
        <w:t>、本基金投资银行存款的信用风险主要包括存款银行的信用等级、存款银行的支付能力等涉及到存款银行选择方面的风险。本基金的基金管理人根据相应规则确定存款银行，本基金投资存款银行以外的银行存款出现由于存款银行信用风险而造成的损失时由相关责任人进行赔偿。基金托管人不对本基金投资银行存款的存款银行进行监控。</w:t>
      </w:r>
    </w:p>
    <w:p w14:paraId="13AE608F"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lastRenderedPageBreak/>
        <w:t>8、基金参与转融通证券出借业务，基金管理人应当遵守审慎经营原则，配备技术系统和专业人员，制定科学合理的投资策略和风险管理制度，完善业务流程，有效防范和控制风险。基金托管人将对基金参与转融通出借业务的投资比例进行监督和复核。</w:t>
      </w:r>
    </w:p>
    <w:p w14:paraId="23BAFDAE"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二）基金托管人应根据有关法律法规的规定及《基金合同》的约定，对基金资产净值计算、各类基金份额净值计算、应收资金到账、基金费用开支及收入确定、基金收益分配、相关信息披露、基金宣传推介材料（</w:t>
      </w:r>
      <w:proofErr w:type="gramStart"/>
      <w:r>
        <w:rPr>
          <w:rFonts w:ascii="宋体" w:hAnsi="Calibri" w:cs="宋体" w:hint="eastAsia"/>
          <w:color w:val="000000" w:themeColor="text1"/>
          <w:kern w:val="0"/>
          <w:szCs w:val="21"/>
        </w:rPr>
        <w:t>需基金</w:t>
      </w:r>
      <w:proofErr w:type="gramEnd"/>
      <w:r>
        <w:rPr>
          <w:rFonts w:ascii="宋体" w:hAnsi="Calibri" w:cs="宋体" w:hint="eastAsia"/>
          <w:color w:val="000000" w:themeColor="text1"/>
          <w:kern w:val="0"/>
          <w:szCs w:val="21"/>
        </w:rPr>
        <w:t>管理人主动提供）中登载基金业绩表现数据等进行监督和核查。</w:t>
      </w:r>
    </w:p>
    <w:p w14:paraId="57A2CABC"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（三） 基金托管人发现基金管理人的投资运作及其他运作违反法律法规、《基金合同》、本托管协议及其他有关规定时，应及时以书面形式通知基金管理人限期纠正，基金管理人收到通知后应在下一个工作日前及时核对，并以书面形式向基金托管人发出回函，进行解释或举证，说明违规原因及纠正期限。</w:t>
      </w:r>
    </w:p>
    <w:p w14:paraId="1B4875ED"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在限期内，基金托管人有权随时对通知事项进行复查，督促基金管理人改正。基金管理人对基金托管人通知的违规事项未能在限期内纠正的，基金托管人应报告中国证监会。基金管理人应赔偿因其违反法律法规、行业自律性规定或《基金合同》或本托管协议及其他有关规定而致使投资者和基金托管人遭受的损失。</w:t>
      </w:r>
    </w:p>
    <w:p w14:paraId="45E0C097"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对于依据交易程序尚未成交的</w:t>
      </w:r>
      <w:proofErr w:type="gramStart"/>
      <w:r>
        <w:rPr>
          <w:rFonts w:ascii="宋体" w:hAnsi="Calibri" w:cs="宋体" w:hint="eastAsia"/>
          <w:color w:val="000000" w:themeColor="text1"/>
          <w:kern w:val="0"/>
          <w:szCs w:val="21"/>
        </w:rPr>
        <w:t>且基金</w:t>
      </w:r>
      <w:proofErr w:type="gramEnd"/>
      <w:r>
        <w:rPr>
          <w:rFonts w:ascii="宋体" w:hAnsi="Calibri" w:cs="宋体" w:hint="eastAsia"/>
          <w:color w:val="000000" w:themeColor="text1"/>
          <w:kern w:val="0"/>
          <w:szCs w:val="21"/>
        </w:rPr>
        <w:t>托管人在交易前能够监控的投资指令，基金托管人发现该投资指令违反有关法律法规规定或者违反《基金合同》约定的，应当拒绝执行，立即通知基金管理人，并向中国证监会报告。</w:t>
      </w:r>
    </w:p>
    <w:p w14:paraId="5A49433C"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对于必须于估值完成后方可获知的监控指标或依据交易程序已经成交的投资指令，基金托管人发现该投资指令违反有关法律法规或者违反《基金合同》约定的，应当立即通知基金管理人，并报告中国证监会。</w:t>
      </w:r>
    </w:p>
    <w:p w14:paraId="47A54198"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29D2342B"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基金托管人发现基金管理人有重大违规行为，应立即报告中国证监会，同时通知基金管理人限期纠正。</w:t>
      </w:r>
    </w:p>
    <w:p w14:paraId="00282832"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1F9AC016" w14:textId="77777777" w:rsidR="00264E55" w:rsidRDefault="00264E55">
      <w:pPr>
        <w:autoSpaceDE w:val="0"/>
        <w:autoSpaceDN w:val="0"/>
        <w:adjustRightInd w:val="0"/>
        <w:spacing w:line="360" w:lineRule="auto"/>
        <w:ind w:firstLineChars="200" w:firstLine="420"/>
        <w:jc w:val="left"/>
        <w:rPr>
          <w:rFonts w:ascii="宋体" w:hAnsi="Calibri" w:cs="宋体"/>
          <w:color w:val="000000" w:themeColor="text1"/>
          <w:kern w:val="0"/>
          <w:szCs w:val="21"/>
        </w:rPr>
      </w:pPr>
    </w:p>
    <w:p w14:paraId="0EC7CF22" w14:textId="77777777" w:rsidR="00264E55" w:rsidRDefault="008040BB">
      <w:pPr>
        <w:pStyle w:val="1"/>
        <w:numPr>
          <w:ilvl w:val="0"/>
          <w:numId w:val="1"/>
        </w:numPr>
        <w:spacing w:before="120" w:after="120" w:line="360" w:lineRule="auto"/>
        <w:jc w:val="center"/>
        <w:rPr>
          <w:rFonts w:ascii="宋体" w:hAnsi="Calibri" w:cs="宋体"/>
          <w:color w:val="000000" w:themeColor="text1"/>
          <w:kern w:val="0"/>
          <w:sz w:val="24"/>
        </w:rPr>
      </w:pPr>
      <w:bookmarkStart w:id="8" w:name="_Toc881134"/>
      <w:bookmarkStart w:id="9" w:name="_Toc394473999"/>
      <w:r>
        <w:rPr>
          <w:rFonts w:ascii="宋体" w:hAnsi="Calibri" w:cs="宋体" w:hint="eastAsia"/>
          <w:color w:val="000000" w:themeColor="text1"/>
          <w:kern w:val="0"/>
          <w:sz w:val="24"/>
        </w:rPr>
        <w:t>基金管理人对基金托管人的业务核查</w:t>
      </w:r>
      <w:bookmarkEnd w:id="8"/>
      <w:bookmarkEnd w:id="9"/>
    </w:p>
    <w:p w14:paraId="226203A0" w14:textId="77777777" w:rsidR="00264E55" w:rsidRDefault="00264E55">
      <w:pPr>
        <w:pStyle w:val="af3"/>
        <w:autoSpaceDE w:val="0"/>
        <w:autoSpaceDN w:val="0"/>
        <w:adjustRightInd w:val="0"/>
        <w:spacing w:line="360" w:lineRule="auto"/>
        <w:ind w:left="450" w:firstLineChars="0" w:firstLine="0"/>
        <w:rPr>
          <w:rFonts w:ascii="宋体" w:hAnsi="Calibri" w:cs="宋体"/>
          <w:b/>
          <w:color w:val="000000" w:themeColor="text1"/>
          <w:kern w:val="0"/>
          <w:sz w:val="24"/>
        </w:rPr>
      </w:pPr>
    </w:p>
    <w:p w14:paraId="2531D46A" w14:textId="77777777" w:rsidR="00264E55" w:rsidRDefault="008040BB">
      <w:pPr>
        <w:autoSpaceDE w:val="0"/>
        <w:autoSpaceDN w:val="0"/>
        <w:adjustRightInd w:val="0"/>
        <w:spacing w:line="360" w:lineRule="auto"/>
        <w:ind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一）基金管理人对基金托管人履行托管职责情况进行核查，核查事项包括但不限于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03AE9E55" w14:textId="77777777" w:rsidR="00264E55" w:rsidRDefault="008040BB">
      <w:pPr>
        <w:autoSpaceDE w:val="0"/>
        <w:autoSpaceDN w:val="0"/>
        <w:adjustRightInd w:val="0"/>
        <w:spacing w:line="360" w:lineRule="auto"/>
        <w:ind w:firstLineChars="150" w:firstLine="315"/>
        <w:jc w:val="left"/>
        <w:rPr>
          <w:rFonts w:ascii="宋体" w:hAnsi="Calibri" w:cs="宋体"/>
          <w:color w:val="000000" w:themeColor="text1"/>
          <w:kern w:val="0"/>
          <w:szCs w:val="21"/>
        </w:rPr>
      </w:pPr>
      <w:r>
        <w:rPr>
          <w:rFonts w:ascii="宋体" w:hAnsi="Calibri" w:cs="宋体" w:hint="eastAsia"/>
          <w:color w:val="000000" w:themeColor="text1"/>
          <w:kern w:val="0"/>
          <w:szCs w:val="21"/>
        </w:rPr>
        <w:t>（二）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w:t>
      </w:r>
      <w:r>
        <w:rPr>
          <w:rFonts w:hint="eastAsia"/>
          <w:color w:val="000000" w:themeColor="text1"/>
          <w:szCs w:val="20"/>
        </w:rPr>
        <w:t>说明违规原因及纠正期限，并保证在规定期限内及时改正。</w:t>
      </w:r>
      <w:r>
        <w:rPr>
          <w:rFonts w:ascii="宋体" w:hAnsi="Calibri" w:cs="宋体" w:hint="eastAsia"/>
          <w:color w:val="000000" w:themeColor="text1"/>
          <w:kern w:val="0"/>
          <w:szCs w:val="21"/>
        </w:rPr>
        <w:t>在上述限期内，基金管理人有权随时对通知事项进行复查，督促基金托管人改正，并予协助配合。基金托管人应积极配合基金管理人的核查行为，包括但不限于：提交相关资料以</w:t>
      </w:r>
      <w:proofErr w:type="gramStart"/>
      <w:r>
        <w:rPr>
          <w:rFonts w:ascii="宋体" w:hAnsi="Calibri" w:cs="宋体" w:hint="eastAsia"/>
          <w:color w:val="000000" w:themeColor="text1"/>
          <w:kern w:val="0"/>
          <w:szCs w:val="21"/>
        </w:rPr>
        <w:t>供基金</w:t>
      </w:r>
      <w:proofErr w:type="gramEnd"/>
      <w:r>
        <w:rPr>
          <w:rFonts w:ascii="宋体" w:hAnsi="Calibri" w:cs="宋体" w:hint="eastAsia"/>
          <w:color w:val="000000" w:themeColor="text1"/>
          <w:kern w:val="0"/>
          <w:szCs w:val="21"/>
        </w:rPr>
        <w:t>管理人核查基金财产的完整性和真实性，在规定时间内答复基金管理人并改正。基金托管人对基金管理人通知的违规事项未能在限期内纠正的，基金管理人应报告中国证监会。</w:t>
      </w:r>
    </w:p>
    <w:p w14:paraId="5CFCE2B7"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（三）基金管理人发现基金托管人有重大违规行为，应立即报告中国证监会，同时通知基金托管人限期纠正，并将纠正结果报告中国证监会。</w:t>
      </w:r>
    </w:p>
    <w:p w14:paraId="6C927D64" w14:textId="77777777" w:rsidR="00264E55" w:rsidRDefault="008040BB">
      <w:pPr>
        <w:autoSpaceDE w:val="0"/>
        <w:autoSpaceDN w:val="0"/>
        <w:adjustRightInd w:val="0"/>
        <w:spacing w:line="360" w:lineRule="auto"/>
        <w:ind w:firstLineChars="200" w:firstLine="420"/>
        <w:jc w:val="left"/>
        <w:rPr>
          <w:rFonts w:ascii="宋体" w:hAnsi="Calibri" w:cs="宋体"/>
          <w:color w:val="000000" w:themeColor="text1"/>
          <w:kern w:val="0"/>
          <w:szCs w:val="21"/>
        </w:rPr>
      </w:pPr>
      <w:r>
        <w:rPr>
          <w:rFonts w:ascii="宋体" w:hAnsi="Calibri" w:cs="宋体" w:hint="eastAsia"/>
          <w:color w:val="000000" w:themeColor="text1"/>
          <w:kern w:val="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AE14948" w14:textId="77777777" w:rsidR="00264E55" w:rsidRDefault="00264E55">
      <w:pPr>
        <w:autoSpaceDE w:val="0"/>
        <w:autoSpaceDN w:val="0"/>
        <w:adjustRightInd w:val="0"/>
        <w:spacing w:line="360" w:lineRule="auto"/>
        <w:ind w:firstLineChars="200" w:firstLine="420"/>
        <w:jc w:val="left"/>
        <w:rPr>
          <w:rFonts w:ascii="宋体" w:hAnsi="Calibri" w:cs="宋体"/>
          <w:color w:val="000000" w:themeColor="text1"/>
          <w:kern w:val="0"/>
          <w:szCs w:val="21"/>
        </w:rPr>
      </w:pPr>
    </w:p>
    <w:p w14:paraId="3FC534FC" w14:textId="77777777" w:rsidR="00264E55" w:rsidRDefault="008040BB">
      <w:pPr>
        <w:pStyle w:val="1"/>
        <w:numPr>
          <w:ilvl w:val="0"/>
          <w:numId w:val="1"/>
        </w:numPr>
        <w:spacing w:before="120" w:after="120" w:line="360" w:lineRule="auto"/>
        <w:jc w:val="center"/>
        <w:rPr>
          <w:rFonts w:ascii="宋体" w:hAnsi="Calibri" w:cs="宋体"/>
          <w:color w:val="000000" w:themeColor="text1"/>
          <w:kern w:val="0"/>
          <w:szCs w:val="21"/>
        </w:rPr>
      </w:pPr>
      <w:bookmarkStart w:id="10" w:name="_Toc881135"/>
      <w:bookmarkStart w:id="11" w:name="_Toc394474000"/>
      <w:r>
        <w:rPr>
          <w:rFonts w:ascii="宋体" w:hAnsi="Calibri" w:cs="宋体" w:hint="eastAsia"/>
          <w:color w:val="000000" w:themeColor="text1"/>
          <w:kern w:val="0"/>
          <w:sz w:val="24"/>
        </w:rPr>
        <w:t>基金财产保管</w:t>
      </w:r>
      <w:bookmarkEnd w:id="10"/>
      <w:bookmarkEnd w:id="11"/>
    </w:p>
    <w:p w14:paraId="0B8E7B9F" w14:textId="77777777" w:rsidR="00264E55" w:rsidRDefault="00264E55">
      <w:pPr>
        <w:autoSpaceDE w:val="0"/>
        <w:autoSpaceDN w:val="0"/>
        <w:adjustRightInd w:val="0"/>
        <w:spacing w:line="360" w:lineRule="auto"/>
        <w:jc w:val="left"/>
        <w:rPr>
          <w:rFonts w:ascii="宋体" w:hAnsi="Calibri" w:cs="宋体"/>
          <w:color w:val="000000" w:themeColor="text1"/>
          <w:kern w:val="0"/>
          <w:szCs w:val="21"/>
        </w:rPr>
      </w:pPr>
    </w:p>
    <w:p w14:paraId="74292E98" w14:textId="77777777" w:rsidR="00264E55" w:rsidRDefault="008040BB">
      <w:pPr>
        <w:spacing w:line="360" w:lineRule="auto"/>
        <w:ind w:firstLineChars="200" w:firstLine="420"/>
        <w:rPr>
          <w:color w:val="000000" w:themeColor="text1"/>
        </w:rPr>
      </w:pPr>
      <w:r>
        <w:rPr>
          <w:rFonts w:hint="eastAsia"/>
          <w:color w:val="000000" w:themeColor="text1"/>
        </w:rPr>
        <w:t>（一）基金财产保管的原则</w:t>
      </w:r>
    </w:p>
    <w:p w14:paraId="6AED6105" w14:textId="77777777" w:rsidR="00264E55" w:rsidRDefault="008040BB">
      <w:pPr>
        <w:spacing w:line="360" w:lineRule="auto"/>
        <w:ind w:firstLineChars="200" w:firstLine="420"/>
        <w:rPr>
          <w:color w:val="000000" w:themeColor="text1"/>
        </w:rPr>
      </w:pPr>
      <w:r>
        <w:rPr>
          <w:color w:val="000000" w:themeColor="text1"/>
        </w:rPr>
        <w:t>1</w:t>
      </w:r>
      <w:r>
        <w:rPr>
          <w:rFonts w:hint="eastAsia"/>
          <w:color w:val="000000" w:themeColor="text1"/>
        </w:rPr>
        <w:t>、基金财产应独立于基金管理人、基金托管人的固有财产。</w:t>
      </w:r>
    </w:p>
    <w:p w14:paraId="2FAFFAEC" w14:textId="77777777" w:rsidR="00264E55" w:rsidRDefault="008040BB">
      <w:pPr>
        <w:spacing w:line="360" w:lineRule="auto"/>
        <w:ind w:firstLineChars="200" w:firstLine="420"/>
        <w:rPr>
          <w:color w:val="000000" w:themeColor="text1"/>
        </w:rPr>
      </w:pPr>
      <w:r>
        <w:rPr>
          <w:color w:val="000000" w:themeColor="text1"/>
        </w:rPr>
        <w:t>2</w:t>
      </w:r>
      <w:r>
        <w:rPr>
          <w:rFonts w:hint="eastAsia"/>
          <w:color w:val="000000" w:themeColor="text1"/>
        </w:rPr>
        <w:t>、基金托管人应安全保管基金财产，未经基金管理人的合法合</w:t>
      </w:r>
      <w:proofErr w:type="gramStart"/>
      <w:r>
        <w:rPr>
          <w:rFonts w:hint="eastAsia"/>
          <w:color w:val="000000" w:themeColor="text1"/>
        </w:rPr>
        <w:t>规</w:t>
      </w:r>
      <w:proofErr w:type="gramEnd"/>
      <w:r>
        <w:rPr>
          <w:rFonts w:hint="eastAsia"/>
          <w:color w:val="000000" w:themeColor="text1"/>
        </w:rPr>
        <w:t>指令或法律法规、《基金合同》及本协议另有规定，不得自行运用、处分、分配基金的任何财产。</w:t>
      </w:r>
    </w:p>
    <w:p w14:paraId="0D39FE30" w14:textId="77777777" w:rsidR="00264E55" w:rsidRDefault="008040BB">
      <w:pPr>
        <w:spacing w:line="360" w:lineRule="auto"/>
        <w:ind w:firstLineChars="200" w:firstLine="420"/>
        <w:rPr>
          <w:color w:val="000000" w:themeColor="text1"/>
        </w:rPr>
      </w:pPr>
      <w:r>
        <w:rPr>
          <w:color w:val="000000" w:themeColor="text1"/>
        </w:rPr>
        <w:lastRenderedPageBreak/>
        <w:t>3</w:t>
      </w:r>
      <w:r>
        <w:rPr>
          <w:rFonts w:hint="eastAsia"/>
          <w:color w:val="000000" w:themeColor="text1"/>
        </w:rPr>
        <w:t>、基金托管人按照规定开设基金财产的资金账户、证券账户等投资所需账户，相关开户费用由基金资产承担。</w:t>
      </w:r>
    </w:p>
    <w:p w14:paraId="04D931BC" w14:textId="77777777" w:rsidR="00264E55" w:rsidRDefault="008040BB">
      <w:pPr>
        <w:spacing w:line="360" w:lineRule="auto"/>
        <w:ind w:firstLineChars="200" w:firstLine="420"/>
        <w:rPr>
          <w:color w:val="000000" w:themeColor="text1"/>
        </w:rPr>
      </w:pPr>
      <w:r>
        <w:rPr>
          <w:color w:val="000000" w:themeColor="text1"/>
        </w:rPr>
        <w:t>4</w:t>
      </w:r>
      <w:r>
        <w:rPr>
          <w:rFonts w:hint="eastAsia"/>
          <w:color w:val="000000" w:themeColor="text1"/>
        </w:rPr>
        <w:t>、基金托管人对所托管的不同基金财产分别设置账户，分账管理，独立核算，确保基金财产的完整与独立。</w:t>
      </w:r>
    </w:p>
    <w:p w14:paraId="1B55B8EA" w14:textId="77777777" w:rsidR="00264E55" w:rsidRDefault="008040BB">
      <w:pPr>
        <w:spacing w:line="360" w:lineRule="auto"/>
        <w:ind w:firstLineChars="200" w:firstLine="420"/>
        <w:rPr>
          <w:color w:val="000000" w:themeColor="text1"/>
          <w:szCs w:val="21"/>
        </w:rPr>
      </w:pPr>
      <w:r>
        <w:rPr>
          <w:color w:val="000000" w:themeColor="text1"/>
        </w:rPr>
        <w:t>5</w:t>
      </w:r>
      <w:r>
        <w:rPr>
          <w:rFonts w:hint="eastAsia"/>
          <w:color w:val="000000" w:themeColor="text1"/>
        </w:rPr>
        <w:t>、</w:t>
      </w:r>
      <w:r>
        <w:rPr>
          <w:rFonts w:hint="eastAsia"/>
          <w:color w:val="000000" w:themeColor="text1"/>
          <w:szCs w:val="21"/>
        </w:rPr>
        <w:t>对于因为基金认申购、投资产生的应收资产，应由基金管理人负责与有关当事人确定到账日期并通知基金托管人，到账日基金财产没有到达基金账户的，基金托管人应及时通知基金管理人采取措施进行催收。基金管理人未及时催收给基金财产造成损失的，基金管理人应负责向有关当事人追偿基金财产的损失，基金托管人对此不承担任何责任。</w:t>
      </w:r>
    </w:p>
    <w:p w14:paraId="42A3A4A7" w14:textId="77777777" w:rsidR="00264E55" w:rsidRDefault="008040BB">
      <w:pPr>
        <w:spacing w:line="360" w:lineRule="auto"/>
        <w:ind w:firstLineChars="200" w:firstLine="420"/>
        <w:rPr>
          <w:color w:val="000000" w:themeColor="text1"/>
        </w:rPr>
      </w:pPr>
      <w:r>
        <w:rPr>
          <w:color w:val="000000" w:themeColor="text1"/>
          <w:szCs w:val="21"/>
        </w:rPr>
        <w:t>6</w:t>
      </w:r>
      <w:r>
        <w:rPr>
          <w:rFonts w:hint="eastAsia"/>
          <w:color w:val="000000" w:themeColor="text1"/>
          <w:szCs w:val="21"/>
        </w:rPr>
        <w:t>、对因为基金管理人投资产生的存放或存管在基金托管人以外机构的基金财产，或交由期货公司负责清算交收的基金财产（包括但不限于期货保证金账户内的资金、期货合约等）及其收益，若由于该等机构或该机构会员单位等本协议当事人外第三方的原因给基金财产造成的损失等，基金托管人不承担责任。</w:t>
      </w:r>
    </w:p>
    <w:p w14:paraId="1AF064A0" w14:textId="77777777" w:rsidR="00264E55" w:rsidRDefault="008040BB">
      <w:pPr>
        <w:spacing w:line="360" w:lineRule="auto"/>
        <w:ind w:firstLineChars="200" w:firstLine="420"/>
        <w:rPr>
          <w:color w:val="000000" w:themeColor="text1"/>
        </w:rPr>
      </w:pPr>
      <w:r>
        <w:rPr>
          <w:color w:val="000000" w:themeColor="text1"/>
        </w:rPr>
        <w:t>7</w:t>
      </w:r>
      <w:r>
        <w:rPr>
          <w:rFonts w:hint="eastAsia"/>
          <w:color w:val="000000" w:themeColor="text1"/>
        </w:rPr>
        <w:t>、除依据</w:t>
      </w:r>
      <w:r>
        <w:rPr>
          <w:rFonts w:hint="eastAsia"/>
          <w:color w:val="000000" w:themeColor="text1"/>
          <w:sz w:val="23"/>
          <w:szCs w:val="23"/>
        </w:rPr>
        <w:t>法律法规</w:t>
      </w:r>
      <w:r>
        <w:rPr>
          <w:rFonts w:hint="eastAsia"/>
          <w:color w:val="000000" w:themeColor="text1"/>
        </w:rPr>
        <w:t>、《基金合同》及其他有关规定外，基金托管人不得委托第三人托管基金财产。</w:t>
      </w:r>
    </w:p>
    <w:p w14:paraId="13510C52" w14:textId="77777777" w:rsidR="00264E55" w:rsidRDefault="008040BB">
      <w:pPr>
        <w:spacing w:line="360" w:lineRule="auto"/>
        <w:ind w:firstLineChars="200" w:firstLine="420"/>
        <w:rPr>
          <w:color w:val="000000" w:themeColor="text1"/>
        </w:rPr>
      </w:pPr>
      <w:r>
        <w:rPr>
          <w:rFonts w:hint="eastAsia"/>
          <w:color w:val="000000" w:themeColor="text1"/>
        </w:rPr>
        <w:t>（二）</w:t>
      </w:r>
      <w:r>
        <w:rPr>
          <w:rFonts w:ascii="宋体" w:hAnsi="Calibri" w:cs="宋体" w:hint="eastAsia"/>
          <w:color w:val="000000" w:themeColor="text1"/>
          <w:kern w:val="0"/>
          <w:szCs w:val="21"/>
        </w:rPr>
        <w:t>《基金合同》</w:t>
      </w:r>
      <w:r>
        <w:rPr>
          <w:rFonts w:hint="eastAsia"/>
          <w:color w:val="000000" w:themeColor="text1"/>
        </w:rPr>
        <w:t>生效前募集资金的验资和入账</w:t>
      </w:r>
    </w:p>
    <w:p w14:paraId="27525020" w14:textId="77777777" w:rsidR="00264E55" w:rsidRDefault="008040BB">
      <w:pPr>
        <w:spacing w:line="360" w:lineRule="auto"/>
        <w:ind w:firstLineChars="200" w:firstLine="420"/>
        <w:rPr>
          <w:color w:val="000000" w:themeColor="text1"/>
        </w:rPr>
      </w:pPr>
      <w:r>
        <w:rPr>
          <w:color w:val="000000" w:themeColor="text1"/>
        </w:rPr>
        <w:t>1</w:t>
      </w:r>
      <w:r>
        <w:rPr>
          <w:rFonts w:hint="eastAsia"/>
          <w:color w:val="000000" w:themeColor="text1"/>
        </w:rPr>
        <w:t>、基金募集期间募集的资金应存于基金管理人在具有托管资格的银行开立的“基金募集专户”，该账户由基金管理人开立并管理。基金募集期满或基金管理人宣布停止募集时，发起资金提供方认购金额及承诺持有期限符合《基金法》、《运作办法》等有关规定后，基金管理人应将属于本基金财产的全部资金划入在基金托管人为本基金开立的基金银行账户。同时在</w:t>
      </w:r>
      <w:r>
        <w:rPr>
          <w:color w:val="000000" w:themeColor="text1"/>
        </w:rPr>
        <w:t>规定时间内</w:t>
      </w:r>
      <w:r>
        <w:rPr>
          <w:rFonts w:hint="eastAsia"/>
          <w:color w:val="000000" w:themeColor="text1"/>
        </w:rPr>
        <w:t>，由基金管理人在法定期限内聘请符合《中华人民共和国证券法》规定的会计师事务所对基金进行验资，并出具验资报告，验资报告需对发起资金提供方及其持有基金份额进行专门说明，出具的验资报告应由参加验资的</w:t>
      </w:r>
      <w:r>
        <w:rPr>
          <w:color w:val="000000" w:themeColor="text1"/>
        </w:rPr>
        <w:t>2</w:t>
      </w:r>
      <w:r>
        <w:rPr>
          <w:rFonts w:hint="eastAsia"/>
          <w:color w:val="000000" w:themeColor="text1"/>
        </w:rPr>
        <w:t>名以上</w:t>
      </w:r>
      <w:r>
        <w:rPr>
          <w:color w:val="000000" w:themeColor="text1"/>
        </w:rPr>
        <w:t>(</w:t>
      </w:r>
      <w:r>
        <w:rPr>
          <w:rFonts w:hint="eastAsia"/>
          <w:color w:val="000000" w:themeColor="text1"/>
        </w:rPr>
        <w:t>含</w:t>
      </w:r>
      <w:r>
        <w:rPr>
          <w:color w:val="000000" w:themeColor="text1"/>
        </w:rPr>
        <w:t>2</w:t>
      </w:r>
      <w:r>
        <w:rPr>
          <w:rFonts w:hint="eastAsia"/>
          <w:color w:val="000000" w:themeColor="text1"/>
        </w:rPr>
        <w:t>名</w:t>
      </w:r>
      <w:r>
        <w:rPr>
          <w:color w:val="000000" w:themeColor="text1"/>
        </w:rPr>
        <w:t>)</w:t>
      </w:r>
      <w:r>
        <w:rPr>
          <w:rFonts w:hint="eastAsia"/>
          <w:color w:val="000000" w:themeColor="text1"/>
        </w:rPr>
        <w:t>中国注册会计师签字方为有效。</w:t>
      </w:r>
    </w:p>
    <w:p w14:paraId="1BD8A728" w14:textId="77777777" w:rsidR="00264E55" w:rsidRDefault="008040BB">
      <w:pPr>
        <w:spacing w:line="360" w:lineRule="auto"/>
        <w:ind w:firstLineChars="200" w:firstLine="420"/>
        <w:rPr>
          <w:color w:val="000000" w:themeColor="text1"/>
        </w:rPr>
      </w:pPr>
      <w:r>
        <w:rPr>
          <w:color w:val="000000" w:themeColor="text1"/>
        </w:rPr>
        <w:t>2</w:t>
      </w:r>
      <w:r>
        <w:rPr>
          <w:rFonts w:hint="eastAsia"/>
          <w:color w:val="000000" w:themeColor="text1"/>
        </w:rPr>
        <w:t>、</w:t>
      </w:r>
      <w:proofErr w:type="gramStart"/>
      <w:r>
        <w:rPr>
          <w:rFonts w:hint="eastAsia"/>
          <w:color w:val="000000" w:themeColor="text1"/>
        </w:rPr>
        <w:t>若基金</w:t>
      </w:r>
      <w:proofErr w:type="gramEnd"/>
      <w:r>
        <w:rPr>
          <w:rFonts w:hint="eastAsia"/>
          <w:color w:val="000000" w:themeColor="text1"/>
        </w:rPr>
        <w:t>募集期限届满，未能达到</w:t>
      </w:r>
      <w:r>
        <w:rPr>
          <w:rFonts w:ascii="宋体" w:hAnsi="Calibri" w:cs="宋体" w:hint="eastAsia"/>
          <w:color w:val="000000" w:themeColor="text1"/>
          <w:kern w:val="0"/>
          <w:szCs w:val="21"/>
        </w:rPr>
        <w:t>《基金合同》</w:t>
      </w:r>
      <w:r>
        <w:rPr>
          <w:rFonts w:hint="eastAsia"/>
          <w:color w:val="000000" w:themeColor="text1"/>
        </w:rPr>
        <w:t>生效的条件，由基</w:t>
      </w:r>
      <w:r>
        <w:rPr>
          <w:rFonts w:hint="eastAsia"/>
          <w:color w:val="000000" w:themeColor="text1"/>
          <w:szCs w:val="21"/>
        </w:rPr>
        <w:t>金管理人按规定办理退款等事宜，基金托管人应提供必要的协助。</w:t>
      </w:r>
    </w:p>
    <w:p w14:paraId="6191609A" w14:textId="77777777" w:rsidR="00264E55" w:rsidRDefault="008040BB">
      <w:pPr>
        <w:spacing w:line="360" w:lineRule="auto"/>
        <w:ind w:firstLineChars="200" w:firstLine="420"/>
        <w:rPr>
          <w:color w:val="000000" w:themeColor="text1"/>
        </w:rPr>
      </w:pPr>
      <w:r>
        <w:rPr>
          <w:rFonts w:hint="eastAsia"/>
          <w:color w:val="000000" w:themeColor="text1"/>
        </w:rPr>
        <w:t>（三）基金的银行账户的开设和管理</w:t>
      </w:r>
    </w:p>
    <w:p w14:paraId="2133E131" w14:textId="77777777" w:rsidR="00264E55" w:rsidRDefault="008040BB">
      <w:pPr>
        <w:spacing w:line="360" w:lineRule="auto"/>
        <w:ind w:firstLineChars="200" w:firstLine="420"/>
        <w:rPr>
          <w:color w:val="000000" w:themeColor="text1"/>
        </w:rPr>
      </w:pPr>
      <w:r>
        <w:rPr>
          <w:color w:val="000000" w:themeColor="text1"/>
        </w:rPr>
        <w:t>1</w:t>
      </w:r>
      <w:r>
        <w:rPr>
          <w:rFonts w:hint="eastAsia"/>
          <w:color w:val="000000" w:themeColor="text1"/>
        </w:rPr>
        <w:t>、基金托管人应负责本基金的银行账户的开设和管理。</w:t>
      </w:r>
    </w:p>
    <w:p w14:paraId="5E52E832" w14:textId="77777777" w:rsidR="00264E55" w:rsidRDefault="008040BB">
      <w:pPr>
        <w:spacing w:line="360" w:lineRule="auto"/>
        <w:ind w:firstLineChars="200" w:firstLine="420"/>
        <w:rPr>
          <w:color w:val="000000" w:themeColor="text1"/>
        </w:rPr>
      </w:pPr>
      <w:r>
        <w:rPr>
          <w:color w:val="000000" w:themeColor="text1"/>
        </w:rPr>
        <w:t>2</w:t>
      </w:r>
      <w:r>
        <w:rPr>
          <w:rFonts w:hint="eastAsia"/>
          <w:color w:val="000000" w:themeColor="text1"/>
        </w:rPr>
        <w:t>、基金托管人以本基金的名义在具有基金托管资格的商业银行开设本基金的银行账户。本基金的银行预留印鉴为“中信证券股份有限公司托管业务结算专用章”和</w:t>
      </w:r>
      <w:r>
        <w:rPr>
          <w:rFonts w:hint="eastAsia"/>
        </w:rPr>
        <w:t>基金托管人</w:t>
      </w:r>
      <w:r>
        <w:rPr>
          <w:rFonts w:hint="eastAsia"/>
          <w:color w:val="000000" w:themeColor="text1"/>
        </w:rPr>
        <w:t>有权</w:t>
      </w:r>
      <w:r>
        <w:rPr>
          <w:rFonts w:hint="eastAsia"/>
          <w:color w:val="000000" w:themeColor="text1"/>
        </w:rPr>
        <w:lastRenderedPageBreak/>
        <w:t>人名章。本基金的一切货币收支活动，包括但不限于投资、支付赎回金额、支付基金收益、收取申购款，均需通过本基金的银行账户进行。</w:t>
      </w:r>
    </w:p>
    <w:p w14:paraId="2DA2A660" w14:textId="77777777" w:rsidR="00264E55" w:rsidRDefault="008040BB">
      <w:pPr>
        <w:spacing w:line="360" w:lineRule="auto"/>
        <w:ind w:firstLineChars="200" w:firstLine="420"/>
        <w:rPr>
          <w:color w:val="000000" w:themeColor="text1"/>
        </w:rPr>
      </w:pPr>
      <w:r>
        <w:rPr>
          <w:color w:val="000000" w:themeColor="text1"/>
        </w:rPr>
        <w:t>3</w:t>
      </w:r>
      <w:r>
        <w:rPr>
          <w:rFonts w:hint="eastAsia"/>
          <w:color w:val="000000" w:themeColor="text1"/>
        </w:rPr>
        <w:t>、本基金银行账户的开立和使用，限于满足开展本基金业务的需要。基金托管人和基金管理人不得假借本基金的名义开立其他任何银行账户；亦不得使用本基金的银行账户进行本基金业务以外的活动。</w:t>
      </w:r>
    </w:p>
    <w:p w14:paraId="53D56D0B" w14:textId="77777777" w:rsidR="00264E55" w:rsidRDefault="008040BB">
      <w:pPr>
        <w:spacing w:line="360" w:lineRule="auto"/>
        <w:ind w:firstLineChars="200" w:firstLine="420"/>
        <w:rPr>
          <w:color w:val="000000" w:themeColor="text1"/>
        </w:rPr>
      </w:pPr>
      <w:r>
        <w:rPr>
          <w:color w:val="000000" w:themeColor="text1"/>
        </w:rPr>
        <w:t>4</w:t>
      </w:r>
      <w:r>
        <w:rPr>
          <w:rFonts w:hint="eastAsia"/>
          <w:color w:val="000000" w:themeColor="text1"/>
        </w:rPr>
        <w:t>、本基金托管账户的开立和管理应符合法律法规及银行业监督管理机构的有关规定。</w:t>
      </w:r>
    </w:p>
    <w:p w14:paraId="3DC5135E" w14:textId="77777777" w:rsidR="00264E55" w:rsidRDefault="008040BB">
      <w:pPr>
        <w:spacing w:line="360" w:lineRule="auto"/>
        <w:ind w:firstLineChars="200" w:firstLine="420"/>
        <w:rPr>
          <w:color w:val="000000" w:themeColor="text1"/>
        </w:rPr>
      </w:pPr>
      <w:r>
        <w:rPr>
          <w:rFonts w:hint="eastAsia"/>
          <w:color w:val="000000" w:themeColor="text1"/>
        </w:rPr>
        <w:t>（四）基金证券账户和结算备付金账户的开设和管理</w:t>
      </w:r>
    </w:p>
    <w:p w14:paraId="4C84C4DB" w14:textId="77777777" w:rsidR="00264E55" w:rsidRDefault="008040BB">
      <w:pPr>
        <w:spacing w:line="360" w:lineRule="auto"/>
        <w:ind w:firstLine="420"/>
        <w:rPr>
          <w:color w:val="000000" w:themeColor="text1"/>
        </w:rPr>
      </w:pPr>
      <w:r>
        <w:rPr>
          <w:color w:val="000000" w:themeColor="text1"/>
        </w:rPr>
        <w:t>1</w:t>
      </w:r>
      <w:r>
        <w:rPr>
          <w:rFonts w:hint="eastAsia"/>
          <w:color w:val="000000" w:themeColor="text1"/>
        </w:rPr>
        <w:t>、基金托管人应当代表本基金，以基金托管人和本基金联名的方式在中国证券登记结算有限责任公司开设证券账户。</w:t>
      </w:r>
    </w:p>
    <w:p w14:paraId="1C80D8E2" w14:textId="77777777" w:rsidR="00264E55" w:rsidRDefault="008040BB">
      <w:pPr>
        <w:spacing w:line="360" w:lineRule="auto"/>
        <w:ind w:firstLine="420"/>
        <w:rPr>
          <w:color w:val="000000" w:themeColor="text1"/>
        </w:rPr>
      </w:pPr>
      <w:r>
        <w:rPr>
          <w:color w:val="000000" w:themeColor="text1"/>
        </w:rPr>
        <w:t>2</w:t>
      </w:r>
      <w:r>
        <w:rPr>
          <w:rFonts w:hint="eastAsia"/>
          <w:color w:val="000000" w:themeColor="text1"/>
        </w:rPr>
        <w:t>、本基金证券账户的开立和使用，限于满足开展本基金业务的需要。基金托管人和基金管理人不得出借或未经另一方同意擅自转让本基金的证券账户；亦不得使用本基金的证券账户进行本基金业务以外的活动。</w:t>
      </w:r>
    </w:p>
    <w:p w14:paraId="160D08FB" w14:textId="77777777" w:rsidR="00264E55" w:rsidRDefault="008040BB">
      <w:pPr>
        <w:spacing w:line="360" w:lineRule="auto"/>
        <w:ind w:firstLine="420"/>
        <w:rPr>
          <w:color w:val="000000" w:themeColor="text1"/>
        </w:rPr>
      </w:pPr>
      <w:r>
        <w:rPr>
          <w:color w:val="000000" w:themeColor="text1"/>
        </w:rPr>
        <w:t>3</w:t>
      </w:r>
      <w:r>
        <w:rPr>
          <w:rFonts w:hint="eastAsia"/>
          <w:color w:val="000000" w:themeColor="text1"/>
        </w:rPr>
        <w:t>、</w:t>
      </w:r>
      <w:r>
        <w:rPr>
          <w:rFonts w:hint="eastAsia"/>
          <w:color w:val="000000" w:themeColor="text1"/>
          <w:szCs w:val="21"/>
        </w:rPr>
        <w:t>基金证券账户的开立由基金托管人负责，账户资产的管理和运用由基金管理人负责。</w:t>
      </w:r>
    </w:p>
    <w:p w14:paraId="0D1E457A" w14:textId="77777777" w:rsidR="00264E55" w:rsidRDefault="008040BB">
      <w:pPr>
        <w:spacing w:line="360" w:lineRule="auto"/>
        <w:ind w:firstLine="420"/>
        <w:rPr>
          <w:color w:val="000000" w:themeColor="text1"/>
        </w:rPr>
      </w:pPr>
      <w:r>
        <w:rPr>
          <w:color w:val="000000" w:themeColor="text1"/>
        </w:rPr>
        <w:t>4</w:t>
      </w:r>
      <w:r>
        <w:rPr>
          <w:rFonts w:hint="eastAsia"/>
          <w:color w:val="000000" w:themeColor="text1"/>
        </w:rPr>
        <w:t>、基金托管人以托管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5D5C06F3" w14:textId="77777777" w:rsidR="00264E55" w:rsidRDefault="008040BB">
      <w:pPr>
        <w:spacing w:line="360" w:lineRule="auto"/>
        <w:ind w:firstLineChars="200" w:firstLine="420"/>
        <w:rPr>
          <w:color w:val="000000" w:themeColor="text1"/>
        </w:rPr>
      </w:pPr>
      <w:r>
        <w:rPr>
          <w:color w:val="000000" w:themeColor="text1"/>
        </w:rPr>
        <w:t>5</w:t>
      </w:r>
      <w:r>
        <w:rPr>
          <w:rFonts w:hint="eastAsia"/>
          <w:color w:val="000000" w:themeColor="text1"/>
        </w:rPr>
        <w:t>、在本托管协议生效日之后，本基金被允许从事其他投资品种的投资业务的，涉及相关账户的开设、使用的，若无相关规定，</w:t>
      </w:r>
      <w:proofErr w:type="gramStart"/>
      <w:r>
        <w:rPr>
          <w:rFonts w:hint="eastAsia"/>
          <w:color w:val="000000" w:themeColor="text1"/>
        </w:rPr>
        <w:t>则基金</w:t>
      </w:r>
      <w:proofErr w:type="gramEnd"/>
      <w:r>
        <w:rPr>
          <w:rFonts w:hint="eastAsia"/>
          <w:color w:val="000000" w:themeColor="text1"/>
        </w:rPr>
        <w:t>托管人应当比照并遵守上述关于账户开设、使用的规定。</w:t>
      </w:r>
    </w:p>
    <w:p w14:paraId="2E8389DF" w14:textId="77777777" w:rsidR="00264E55" w:rsidRDefault="008040BB">
      <w:pPr>
        <w:spacing w:line="360" w:lineRule="auto"/>
        <w:ind w:firstLineChars="150" w:firstLine="315"/>
        <w:rPr>
          <w:color w:val="000000" w:themeColor="text1"/>
        </w:rPr>
      </w:pPr>
      <w:r>
        <w:rPr>
          <w:rFonts w:hint="eastAsia"/>
          <w:color w:val="000000" w:themeColor="text1"/>
        </w:rPr>
        <w:t>（五）债券托管账户的开设和管理</w:t>
      </w:r>
    </w:p>
    <w:p w14:paraId="074CF194" w14:textId="77777777" w:rsidR="00264E55" w:rsidRDefault="008040BB">
      <w:pPr>
        <w:spacing w:line="360" w:lineRule="auto"/>
        <w:ind w:firstLineChars="150" w:firstLine="315"/>
        <w:rPr>
          <w:color w:val="000000" w:themeColor="text1"/>
        </w:rPr>
      </w:pPr>
      <w:r>
        <w:rPr>
          <w:rFonts w:hint="eastAsia"/>
          <w:color w:val="000000" w:themeColor="text1"/>
        </w:rPr>
        <w:t>《基金合同》生效后，基金管理人负责以基金的名义申请并取得进入全国银行间同业拆借市场的交易资格，并代表基金进行交易；基金托管人根据中国人民银行、银行间市场登记结算机构的有关规定，以基金的名义在中央国债登记结算有限责任公司、银行间市场清算所股份有限公司开设银行间债券市场债券托管账户和资金结算专户，并代表基金进行银行间债券市场债券和资金的清算。基金管理人和基金托管人应共同负责完成银行间债券市场准入备案。</w:t>
      </w:r>
    </w:p>
    <w:p w14:paraId="2DDC6BC5" w14:textId="77777777" w:rsidR="00264E55" w:rsidRDefault="008040BB">
      <w:pPr>
        <w:spacing w:line="360" w:lineRule="auto"/>
        <w:ind w:firstLineChars="150" w:firstLine="315"/>
        <w:rPr>
          <w:color w:val="000000" w:themeColor="text1"/>
        </w:rPr>
      </w:pPr>
      <w:r>
        <w:rPr>
          <w:rFonts w:hint="eastAsia"/>
          <w:color w:val="000000" w:themeColor="text1"/>
        </w:rPr>
        <w:t>（六）期货账户的开设和管理</w:t>
      </w:r>
    </w:p>
    <w:p w14:paraId="7C1F3676" w14:textId="77777777" w:rsidR="00264E55" w:rsidRDefault="008040BB">
      <w:pPr>
        <w:spacing w:line="360" w:lineRule="auto"/>
        <w:ind w:firstLineChars="250" w:firstLine="525"/>
        <w:rPr>
          <w:color w:val="000000" w:themeColor="text1"/>
        </w:rPr>
      </w:pPr>
      <w:r>
        <w:rPr>
          <w:rFonts w:hint="eastAsia"/>
          <w:color w:val="000000" w:themeColor="text1"/>
        </w:rPr>
        <w:t>基金管理人根据投资需要按照规定开立期货保证金账户及期货交易编码等。完成上述账户开立后，基金管理人应以书面形式将期货公司提供的期货保证金账户的初始资金密码和</w:t>
      </w:r>
      <w:r>
        <w:rPr>
          <w:rFonts w:hint="eastAsia"/>
          <w:color w:val="000000" w:themeColor="text1"/>
        </w:rPr>
        <w:lastRenderedPageBreak/>
        <w:t>市场监控中心的登录用户名及密码告知基金托管人。资金密码和市场监控中心登录密码重置由基金管理人进行，重置后务必及时通知托管人。</w:t>
      </w:r>
    </w:p>
    <w:p w14:paraId="54793B29" w14:textId="77777777" w:rsidR="00264E55" w:rsidRDefault="008040BB">
      <w:pPr>
        <w:spacing w:line="360" w:lineRule="auto"/>
        <w:ind w:firstLineChars="250" w:firstLine="525"/>
        <w:rPr>
          <w:color w:val="000000" w:themeColor="text1"/>
        </w:rPr>
      </w:pPr>
      <w:r>
        <w:rPr>
          <w:rFonts w:hint="eastAsia"/>
          <w:color w:val="000000" w:themeColor="text1"/>
        </w:rPr>
        <w:t>基金托管人和基金管理人应当在开户过程中相互配合，并提供所需资料。基金管理人保证所提供的账户开户材料的真实性和有效性，且在相关资料变更后及时将变更的资料提供给基金托管人。</w:t>
      </w:r>
    </w:p>
    <w:p w14:paraId="49DF7C1F" w14:textId="77777777" w:rsidR="00264E55" w:rsidRDefault="008040BB">
      <w:pPr>
        <w:spacing w:line="360" w:lineRule="auto"/>
        <w:ind w:firstLineChars="150" w:firstLine="315"/>
        <w:rPr>
          <w:color w:val="000000" w:themeColor="text1"/>
        </w:rPr>
      </w:pPr>
      <w:r>
        <w:rPr>
          <w:rFonts w:hint="eastAsia"/>
          <w:color w:val="000000" w:themeColor="text1"/>
        </w:rPr>
        <w:t>（七）其他账户的开立和管理</w:t>
      </w:r>
    </w:p>
    <w:p w14:paraId="1DA97E24" w14:textId="77777777" w:rsidR="00264E55" w:rsidRDefault="008040BB">
      <w:pPr>
        <w:spacing w:line="360" w:lineRule="auto"/>
        <w:ind w:firstLineChars="250" w:firstLine="525"/>
        <w:rPr>
          <w:color w:val="000000" w:themeColor="text1"/>
        </w:rPr>
      </w:pPr>
      <w:r>
        <w:rPr>
          <w:color w:val="000000" w:themeColor="text1"/>
        </w:rPr>
        <w:t>1</w:t>
      </w:r>
      <w:r>
        <w:rPr>
          <w:rFonts w:hint="eastAsia"/>
          <w:color w:val="000000" w:themeColor="text1"/>
        </w:rPr>
        <w:t>、因业务发展需要而开立的其他账户，可以根据法律法规和</w:t>
      </w:r>
      <w:r>
        <w:rPr>
          <w:rFonts w:ascii="宋体" w:hAnsi="Calibri" w:cs="宋体" w:hint="eastAsia"/>
          <w:color w:val="000000" w:themeColor="text1"/>
          <w:kern w:val="0"/>
          <w:szCs w:val="21"/>
        </w:rPr>
        <w:t>《基金合同》</w:t>
      </w:r>
      <w:r>
        <w:rPr>
          <w:rFonts w:hint="eastAsia"/>
          <w:color w:val="000000" w:themeColor="text1"/>
        </w:rPr>
        <w:t>的规定，由基金管理人协助基金托管人按照有关法律法规和本协议的约定协商后开立。新账户按有关规定使用并管理。</w:t>
      </w:r>
    </w:p>
    <w:p w14:paraId="0A58EC7E" w14:textId="77777777" w:rsidR="00264E55" w:rsidRDefault="008040BB">
      <w:pPr>
        <w:spacing w:line="360" w:lineRule="auto"/>
        <w:ind w:firstLineChars="250" w:firstLine="525"/>
        <w:rPr>
          <w:color w:val="000000" w:themeColor="text1"/>
        </w:rPr>
      </w:pPr>
      <w:r>
        <w:rPr>
          <w:color w:val="000000" w:themeColor="text1"/>
        </w:rPr>
        <w:t>2</w:t>
      </w:r>
      <w:r>
        <w:rPr>
          <w:rFonts w:hint="eastAsia"/>
          <w:color w:val="000000" w:themeColor="text1"/>
        </w:rPr>
        <w:t>、法律法规等有关规定对相关账户的开立和管理另有规定的，从其规定办理。</w:t>
      </w:r>
    </w:p>
    <w:p w14:paraId="10756735" w14:textId="77777777" w:rsidR="00264E55" w:rsidRDefault="008040BB">
      <w:pPr>
        <w:spacing w:line="360" w:lineRule="auto"/>
        <w:ind w:firstLineChars="250" w:firstLine="525"/>
        <w:rPr>
          <w:color w:val="000000" w:themeColor="text1"/>
        </w:rPr>
      </w:pPr>
      <w:r>
        <w:rPr>
          <w:rFonts w:hint="eastAsia"/>
          <w:color w:val="000000" w:themeColor="text1"/>
        </w:rPr>
        <w:t>（八）基金投资银行存款账户的开立和管理</w:t>
      </w:r>
    </w:p>
    <w:p w14:paraId="03051009" w14:textId="77777777" w:rsidR="00264E55" w:rsidRDefault="008040BB">
      <w:pPr>
        <w:spacing w:line="360" w:lineRule="auto"/>
        <w:ind w:firstLineChars="250" w:firstLine="525"/>
        <w:rPr>
          <w:color w:val="000000" w:themeColor="text1"/>
        </w:rPr>
      </w:pPr>
      <w:r>
        <w:rPr>
          <w:rFonts w:hint="eastAsia"/>
          <w:color w:val="000000" w:themeColor="text1"/>
        </w:rPr>
        <w:t>基金投资银行定期存款应由基金管理人与存款银行总行或其授权分行签订总体合作协议，并将资金存放于存款银行总行或其授权分行指定的分支机构。</w:t>
      </w:r>
    </w:p>
    <w:p w14:paraId="7444CA16" w14:textId="77777777" w:rsidR="00264E55" w:rsidRDefault="008040BB">
      <w:pPr>
        <w:spacing w:line="360" w:lineRule="auto"/>
        <w:ind w:firstLineChars="250" w:firstLine="525"/>
        <w:rPr>
          <w:color w:val="000000" w:themeColor="text1"/>
        </w:rPr>
      </w:pPr>
      <w:r>
        <w:rPr>
          <w:rFonts w:hint="eastAsia"/>
          <w:color w:val="000000" w:themeColor="text1"/>
        </w:rPr>
        <w:t>存款账户必须以基金名义开立，账户名称为基金名称，存款账户开户文件上加盖预留印鉴及基金管理人公章。预留印鉴为“中信证券股份有限公司托管业务结算专用章”和</w:t>
      </w:r>
      <w:r>
        <w:rPr>
          <w:rFonts w:hint="eastAsia"/>
        </w:rPr>
        <w:t>基金托管人</w:t>
      </w:r>
      <w:r>
        <w:rPr>
          <w:rFonts w:hint="eastAsia"/>
          <w:color w:val="000000" w:themeColor="text1"/>
        </w:rPr>
        <w:t>有权人名章。存款证实书原件由托管人负责保管。</w:t>
      </w:r>
    </w:p>
    <w:p w14:paraId="0E099D44" w14:textId="77777777" w:rsidR="00264E55" w:rsidRDefault="008040BB">
      <w:pPr>
        <w:spacing w:line="360" w:lineRule="auto"/>
        <w:ind w:firstLineChars="250" w:firstLine="525"/>
        <w:rPr>
          <w:color w:val="000000" w:themeColor="text1"/>
        </w:rPr>
      </w:pPr>
      <w:r>
        <w:rPr>
          <w:rFonts w:hint="eastAsia"/>
          <w:color w:val="000000" w:themeColor="text1"/>
        </w:rPr>
        <w:t>本基金投资银行存款时，基金管理人应当与存款银行签订具体存款协议，明确存款的类型、期限、利率、金额、账号、对账方式、支取方式、账户管理等细则。存款协议</w:t>
      </w:r>
      <w:r>
        <w:rPr>
          <w:rFonts w:hint="eastAsia"/>
          <w:bCs/>
          <w:color w:val="000000" w:themeColor="text1"/>
        </w:rPr>
        <w:t>须约定将基金托管人为本</w:t>
      </w:r>
      <w:r>
        <w:rPr>
          <w:rFonts w:hint="eastAsia"/>
          <w:color w:val="000000" w:themeColor="text1"/>
        </w:rPr>
        <w:t>基金</w:t>
      </w:r>
      <w:r>
        <w:rPr>
          <w:rFonts w:hint="eastAsia"/>
          <w:bCs/>
          <w:color w:val="000000" w:themeColor="text1"/>
        </w:rPr>
        <w:t>开立的托管银行账户指定为唯一回款账户，</w:t>
      </w:r>
      <w:r>
        <w:rPr>
          <w:rFonts w:hint="eastAsia"/>
          <w:color w:val="000000" w:themeColor="text1"/>
        </w:rPr>
        <w:t>任何情况下，存款银行都不得将存款</w:t>
      </w:r>
      <w:proofErr w:type="gramStart"/>
      <w:r>
        <w:rPr>
          <w:rFonts w:hint="eastAsia"/>
          <w:color w:val="000000" w:themeColor="text1"/>
        </w:rPr>
        <w:t>本息划往任何</w:t>
      </w:r>
      <w:proofErr w:type="gramEnd"/>
      <w:r>
        <w:rPr>
          <w:rFonts w:hint="eastAsia"/>
          <w:color w:val="000000" w:themeColor="text1"/>
        </w:rPr>
        <w:t>其他账户。</w:t>
      </w:r>
    </w:p>
    <w:p w14:paraId="21E2FA12" w14:textId="77777777" w:rsidR="00264E55" w:rsidRDefault="008040BB">
      <w:pPr>
        <w:spacing w:line="360" w:lineRule="auto"/>
        <w:ind w:firstLineChars="250" w:firstLine="525"/>
        <w:rPr>
          <w:color w:val="000000" w:themeColor="text1"/>
        </w:rPr>
      </w:pPr>
      <w:r>
        <w:rPr>
          <w:rFonts w:hint="eastAsia"/>
          <w:color w:val="000000" w:themeColor="text1"/>
        </w:rPr>
        <w:t>为防范特殊情况下的流动性风险，定期存款协议中应当约定提前支取条款。</w:t>
      </w:r>
    </w:p>
    <w:p w14:paraId="1BA03924" w14:textId="77777777" w:rsidR="00264E55" w:rsidRDefault="008040BB">
      <w:pPr>
        <w:spacing w:line="360" w:lineRule="auto"/>
        <w:ind w:firstLineChars="250" w:firstLine="525"/>
        <w:rPr>
          <w:color w:val="000000" w:themeColor="text1"/>
        </w:rPr>
      </w:pPr>
      <w:r>
        <w:rPr>
          <w:rFonts w:hint="eastAsia"/>
          <w:color w:val="000000" w:themeColor="text1"/>
        </w:rPr>
        <w:t>基金所投资定期存款存续期间，基金管理人、基金托管人应当与存款银行建立定期对账机制，确保基金银行存款业务账目及核对的真实、准确。</w:t>
      </w:r>
    </w:p>
    <w:p w14:paraId="6CBCE12F" w14:textId="77777777" w:rsidR="00264E55" w:rsidRDefault="008040BB">
      <w:pPr>
        <w:spacing w:line="360" w:lineRule="auto"/>
        <w:ind w:firstLineChars="200" w:firstLine="420"/>
        <w:rPr>
          <w:color w:val="000000" w:themeColor="text1"/>
        </w:rPr>
      </w:pPr>
      <w:r>
        <w:rPr>
          <w:rFonts w:hint="eastAsia"/>
          <w:color w:val="000000" w:themeColor="text1"/>
        </w:rPr>
        <w:t>（九）基金财产投资的有关有价凭证的保管</w:t>
      </w:r>
    </w:p>
    <w:p w14:paraId="2517B060" w14:textId="77777777" w:rsidR="00264E55" w:rsidRDefault="008040BB">
      <w:pPr>
        <w:spacing w:line="360" w:lineRule="auto"/>
        <w:ind w:firstLineChars="200" w:firstLine="420"/>
        <w:rPr>
          <w:color w:val="000000" w:themeColor="text1"/>
        </w:rPr>
      </w:pPr>
      <w:r>
        <w:rPr>
          <w:rFonts w:hint="eastAsia"/>
          <w:color w:val="000000" w:themeColor="text1"/>
        </w:rPr>
        <w:t>实物证券、银行定期存款存单等有价凭证由基金托管人存放于其档案库</w:t>
      </w:r>
      <w:r>
        <w:rPr>
          <w:rFonts w:hint="eastAsia"/>
        </w:rPr>
        <w:t>或保险柜</w:t>
      </w:r>
      <w:r>
        <w:rPr>
          <w:rFonts w:hint="eastAsia"/>
          <w:color w:val="000000" w:themeColor="text1"/>
        </w:rPr>
        <w:t>，但要与非本基金的其他有价凭证分开保管。保管凭证由基金托管人持有，基金托管人承担保管职责。</w:t>
      </w:r>
      <w:r>
        <w:rPr>
          <w:rFonts w:ascii="宋体" w:hAnsi="Calibri" w:cs="宋体" w:hint="eastAsia"/>
          <w:color w:val="000000" w:themeColor="text1"/>
          <w:kern w:val="0"/>
          <w:sz w:val="22"/>
          <w:szCs w:val="22"/>
          <w:lang w:val="zh-CN"/>
        </w:rPr>
        <w:t>基金托管人对由基金托管人以外机构实际有效控制的证券不承担保管责任</w:t>
      </w:r>
      <w:r>
        <w:rPr>
          <w:rFonts w:hint="eastAsia"/>
          <w:color w:val="000000" w:themeColor="text1"/>
        </w:rPr>
        <w:t>。</w:t>
      </w:r>
    </w:p>
    <w:p w14:paraId="18D626B9" w14:textId="77777777" w:rsidR="00264E55" w:rsidRDefault="008040BB">
      <w:pPr>
        <w:spacing w:line="360" w:lineRule="auto"/>
        <w:ind w:firstLineChars="200" w:firstLine="420"/>
        <w:rPr>
          <w:color w:val="000000" w:themeColor="text1"/>
        </w:rPr>
      </w:pPr>
      <w:r>
        <w:rPr>
          <w:rFonts w:hint="eastAsia"/>
          <w:color w:val="000000" w:themeColor="text1"/>
        </w:rPr>
        <w:t>（十）与基金财产有关的重大合同及有关凭证的保管</w:t>
      </w:r>
    </w:p>
    <w:p w14:paraId="6A98447F" w14:textId="77777777" w:rsidR="00264E55" w:rsidRDefault="008040BB">
      <w:pPr>
        <w:spacing w:line="360" w:lineRule="auto"/>
        <w:ind w:firstLineChars="200" w:firstLine="420"/>
        <w:rPr>
          <w:color w:val="000000" w:themeColor="text1"/>
        </w:rPr>
      </w:pPr>
      <w:r>
        <w:rPr>
          <w:rFonts w:hint="eastAsia"/>
          <w:color w:val="000000" w:themeColor="text1"/>
        </w:rPr>
        <w:t>基金托管人按照法律法规保管由基金管理人代表基金签署的与基金有关的重大合同及</w:t>
      </w:r>
      <w:r>
        <w:rPr>
          <w:rFonts w:hint="eastAsia"/>
          <w:color w:val="000000" w:themeColor="text1"/>
        </w:rPr>
        <w:lastRenderedPageBreak/>
        <w:t>有关凭证。基金管理人代表基金签署有关重大合同后应在收到合同正本后</w:t>
      </w:r>
      <w:r>
        <w:rPr>
          <w:color w:val="000000" w:themeColor="text1"/>
        </w:rPr>
        <w:t>30</w:t>
      </w:r>
      <w:r>
        <w:rPr>
          <w:rFonts w:hint="eastAsia"/>
          <w:color w:val="000000" w:themeColor="text1"/>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的保管期限不少于法律法规的规定。</w:t>
      </w:r>
    </w:p>
    <w:p w14:paraId="6E88AC4D" w14:textId="77777777" w:rsidR="00264E55" w:rsidRDefault="008040BB">
      <w:pPr>
        <w:spacing w:line="360" w:lineRule="auto"/>
        <w:ind w:firstLineChars="200" w:firstLine="420"/>
        <w:rPr>
          <w:color w:val="000000" w:themeColor="text1"/>
        </w:rPr>
      </w:pPr>
      <w:r>
        <w:rPr>
          <w:rFonts w:hint="eastAsia"/>
          <w:color w:val="000000" w:themeColor="text1"/>
        </w:rPr>
        <w:t>对于无法取得二份以上的正本的，基金管理人应向基金托管人提供与合同原件核对一致的并加盖基金管理人公章的合同传真件或复印件或扫描件，未经双方协商一致，合同原件不得转移。</w:t>
      </w:r>
    </w:p>
    <w:p w14:paraId="0C4702F5" w14:textId="77777777" w:rsidR="00264E55" w:rsidRDefault="00264E55">
      <w:pPr>
        <w:spacing w:line="360" w:lineRule="auto"/>
        <w:ind w:firstLineChars="200" w:firstLine="420"/>
        <w:rPr>
          <w:color w:val="000000" w:themeColor="text1"/>
        </w:rPr>
      </w:pPr>
    </w:p>
    <w:p w14:paraId="1B492395" w14:textId="77777777" w:rsidR="00264E55" w:rsidRDefault="00264E55">
      <w:pPr>
        <w:spacing w:line="360" w:lineRule="auto"/>
        <w:ind w:firstLineChars="200" w:firstLine="420"/>
        <w:rPr>
          <w:color w:val="000000" w:themeColor="text1"/>
        </w:rPr>
      </w:pPr>
    </w:p>
    <w:p w14:paraId="5FE6D5E8" w14:textId="77777777" w:rsidR="00264E55" w:rsidRDefault="008040BB">
      <w:pPr>
        <w:pStyle w:val="1"/>
        <w:numPr>
          <w:ilvl w:val="0"/>
          <w:numId w:val="1"/>
        </w:numPr>
        <w:spacing w:before="120" w:after="120" w:line="360" w:lineRule="auto"/>
        <w:jc w:val="center"/>
        <w:rPr>
          <w:rFonts w:ascii="宋体"/>
          <w:b w:val="0"/>
          <w:color w:val="000000" w:themeColor="text1"/>
          <w:kern w:val="0"/>
          <w:sz w:val="24"/>
          <w:szCs w:val="24"/>
        </w:rPr>
      </w:pPr>
      <w:bookmarkStart w:id="12" w:name="_Toc394474001"/>
      <w:bookmarkStart w:id="13" w:name="_Toc881136"/>
      <w:r>
        <w:rPr>
          <w:rFonts w:ascii="宋体" w:hint="eastAsia"/>
          <w:color w:val="000000" w:themeColor="text1"/>
          <w:kern w:val="0"/>
          <w:sz w:val="24"/>
          <w:szCs w:val="24"/>
        </w:rPr>
        <w:t>指令的发送、确认及执行</w:t>
      </w:r>
      <w:bookmarkEnd w:id="12"/>
      <w:bookmarkEnd w:id="13"/>
    </w:p>
    <w:p w14:paraId="35A909C3" w14:textId="77777777" w:rsidR="00264E55" w:rsidRDefault="00264E55">
      <w:pPr>
        <w:pStyle w:val="af3"/>
        <w:spacing w:line="360" w:lineRule="auto"/>
        <w:ind w:left="450" w:firstLineChars="0" w:firstLine="0"/>
        <w:rPr>
          <w:color w:val="000000" w:themeColor="text1"/>
        </w:rPr>
      </w:pPr>
    </w:p>
    <w:p w14:paraId="30E84792" w14:textId="77777777" w:rsidR="00264E55" w:rsidRDefault="008040BB">
      <w:pPr>
        <w:pStyle w:val="af3"/>
        <w:spacing w:line="360" w:lineRule="auto"/>
        <w:ind w:left="450" w:firstLineChars="0" w:firstLine="0"/>
        <w:rPr>
          <w:color w:val="000000" w:themeColor="text1"/>
        </w:rPr>
      </w:pPr>
      <w:r>
        <w:rPr>
          <w:rFonts w:hint="eastAsia"/>
          <w:color w:val="000000" w:themeColor="text1"/>
        </w:rPr>
        <w:t>（一）基金管理人对发送指令人员的书面授权</w:t>
      </w:r>
    </w:p>
    <w:p w14:paraId="5A0E7BB0" w14:textId="77777777" w:rsidR="00264E55" w:rsidRDefault="008040BB">
      <w:pPr>
        <w:spacing w:line="360" w:lineRule="auto"/>
        <w:ind w:firstLineChars="200" w:firstLine="420"/>
        <w:rPr>
          <w:color w:val="000000" w:themeColor="text1"/>
        </w:rPr>
      </w:pPr>
      <w:r>
        <w:rPr>
          <w:color w:val="000000" w:themeColor="text1"/>
        </w:rPr>
        <w:t>1</w:t>
      </w:r>
      <w:r>
        <w:rPr>
          <w:rFonts w:hint="eastAsia"/>
          <w:color w:val="000000" w:themeColor="text1"/>
        </w:rPr>
        <w:t>、基金管理人应当事先向基金托管人发出书面通知（以下称“授权通知”），载明基金管理人有权发送指令的人员名单（以下称“指令发送人员”或“被授权人”）及各个人员的权限范围。基金管理人应向基金托管人提供预留印鉴样本、指令发送人员的名章样本和签字样本。</w:t>
      </w:r>
    </w:p>
    <w:p w14:paraId="78ABEBFF" w14:textId="77777777" w:rsidR="00264E55" w:rsidRDefault="008040BB">
      <w:pPr>
        <w:spacing w:line="360" w:lineRule="auto"/>
        <w:ind w:firstLineChars="200" w:firstLine="420"/>
        <w:rPr>
          <w:color w:val="000000" w:themeColor="text1"/>
        </w:rPr>
      </w:pPr>
      <w:r>
        <w:rPr>
          <w:color w:val="000000" w:themeColor="text1"/>
        </w:rPr>
        <w:t>2</w:t>
      </w:r>
      <w:r>
        <w:rPr>
          <w:rFonts w:hint="eastAsia"/>
          <w:color w:val="000000" w:themeColor="text1"/>
        </w:rPr>
        <w:t>、基金管理人向基金托管人发出的授权通知应由基金管理人法定代表人或授权代表签字并加盖公章，若由授权代表签署，应附上基金管理人法定代表人的授权书。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76898667" w14:textId="77777777" w:rsidR="00264E55" w:rsidRDefault="008040BB">
      <w:pPr>
        <w:spacing w:line="360" w:lineRule="auto"/>
        <w:ind w:firstLineChars="200" w:firstLine="420"/>
        <w:rPr>
          <w:color w:val="000000" w:themeColor="text1"/>
        </w:rPr>
      </w:pPr>
      <w:r>
        <w:rPr>
          <w:rFonts w:hint="eastAsia"/>
          <w:color w:val="000000" w:themeColor="text1"/>
        </w:rPr>
        <w:t>对于基金管理人拟通过基金托管人电子服务平台发送划款指令的，基金管理人需与基金托管人签署相关服务协议，并提供授权文件及其他基金托管人要求的材料，由基金托管人为基金管理人的被授权人在电子服务平台配置相关操作权限。</w:t>
      </w:r>
    </w:p>
    <w:p w14:paraId="14F6057F" w14:textId="77777777" w:rsidR="00264E55" w:rsidRDefault="008040BB">
      <w:pPr>
        <w:spacing w:line="360" w:lineRule="auto"/>
        <w:ind w:firstLineChars="200" w:firstLine="420"/>
        <w:rPr>
          <w:color w:val="000000" w:themeColor="text1"/>
        </w:rPr>
      </w:pPr>
      <w:r>
        <w:rPr>
          <w:rFonts w:hint="eastAsia"/>
          <w:color w:val="000000" w:themeColor="text1"/>
        </w:rPr>
        <w:t>对于基金管理人通过深</w:t>
      </w:r>
      <w:proofErr w:type="gramStart"/>
      <w:r>
        <w:rPr>
          <w:rFonts w:hint="eastAsia"/>
          <w:color w:val="000000" w:themeColor="text1"/>
        </w:rPr>
        <w:t>证通金融</w:t>
      </w:r>
      <w:proofErr w:type="gramEnd"/>
      <w:r>
        <w:rPr>
          <w:rFonts w:hint="eastAsia"/>
          <w:color w:val="000000" w:themeColor="text1"/>
        </w:rPr>
        <w:t>数据交换平台电子直连的方式向基金托管人发出划款指令的（以下简称“深证通电子直连”），基金管理人应确保划款指令合法有效。对于已通过</w:t>
      </w:r>
      <w:proofErr w:type="gramStart"/>
      <w:r>
        <w:rPr>
          <w:rFonts w:hint="eastAsia"/>
          <w:color w:val="000000" w:themeColor="text1"/>
        </w:rPr>
        <w:t>深证通数据</w:t>
      </w:r>
      <w:proofErr w:type="gramEnd"/>
      <w:r>
        <w:rPr>
          <w:rFonts w:hint="eastAsia"/>
          <w:color w:val="000000" w:themeColor="text1"/>
        </w:rPr>
        <w:t>接口识别并进入基金托管人指令系统的划款指令，基金管理人不可否认其效力，并视为已通过基金管理人的适当授权。</w:t>
      </w:r>
    </w:p>
    <w:p w14:paraId="3D3D9827" w14:textId="77777777" w:rsidR="00264E55" w:rsidRDefault="008040BB">
      <w:pPr>
        <w:spacing w:line="360" w:lineRule="auto"/>
        <w:ind w:firstLineChars="200" w:firstLine="420"/>
        <w:rPr>
          <w:color w:val="000000" w:themeColor="text1"/>
        </w:rPr>
      </w:pPr>
      <w:r>
        <w:rPr>
          <w:color w:val="000000" w:themeColor="text1"/>
        </w:rPr>
        <w:t>3</w:t>
      </w:r>
      <w:r>
        <w:rPr>
          <w:rFonts w:hint="eastAsia"/>
          <w:color w:val="000000" w:themeColor="text1"/>
        </w:rPr>
        <w:t>、基金管理人和基金托管人对授权通知及其更改负有保密义务，除法律法规规定或有</w:t>
      </w:r>
      <w:r>
        <w:rPr>
          <w:rFonts w:hint="eastAsia"/>
          <w:color w:val="000000" w:themeColor="text1"/>
        </w:rPr>
        <w:lastRenderedPageBreak/>
        <w:t>权机关要求外，其内容不得向指令发送人员及相关操作人员以外的任何人披露、泄露。</w:t>
      </w:r>
    </w:p>
    <w:p w14:paraId="7F02E0CA" w14:textId="77777777" w:rsidR="00264E55" w:rsidRDefault="008040BB">
      <w:pPr>
        <w:pStyle w:val="af3"/>
        <w:spacing w:line="360" w:lineRule="auto"/>
        <w:ind w:left="450" w:firstLineChars="0" w:firstLine="0"/>
        <w:rPr>
          <w:color w:val="000000" w:themeColor="text1"/>
        </w:rPr>
      </w:pPr>
      <w:r>
        <w:rPr>
          <w:rFonts w:hint="eastAsia"/>
          <w:color w:val="000000" w:themeColor="text1"/>
        </w:rPr>
        <w:t>（二）指令的内容</w:t>
      </w:r>
    </w:p>
    <w:p w14:paraId="2C76904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指令包括付款指令（含赎回、分红付款指令、银行间业务划款指令）以及其他资金划拨指令等。对于通过传真或电子邮件发送扫描件方式发送的指令，基金管理人发送给基金托管人的划款指令应写明以下要素：资金用途、支付时间、金额、账户信息等，加盖预留印鉴并由被授权人签字或加盖名章；对于通过深证通电子直</w:t>
      </w:r>
      <w:proofErr w:type="gramStart"/>
      <w:r>
        <w:rPr>
          <w:rFonts w:hint="eastAsia"/>
          <w:color w:val="000000" w:themeColor="text1"/>
          <w:szCs w:val="21"/>
        </w:rPr>
        <w:t>连方式</w:t>
      </w:r>
      <w:proofErr w:type="gramEnd"/>
      <w:r>
        <w:rPr>
          <w:rFonts w:hint="eastAsia"/>
          <w:color w:val="000000" w:themeColor="text1"/>
          <w:szCs w:val="21"/>
        </w:rPr>
        <w:t>发送的指令、电子服务平台发送的划款指令或由电子平台推送给基金管理人并</w:t>
      </w:r>
      <w:proofErr w:type="gramStart"/>
      <w:r>
        <w:rPr>
          <w:rFonts w:hint="eastAsia"/>
          <w:color w:val="000000" w:themeColor="text1"/>
          <w:szCs w:val="21"/>
        </w:rPr>
        <w:t>需基金</w:t>
      </w:r>
      <w:proofErr w:type="gramEnd"/>
      <w:r>
        <w:rPr>
          <w:rFonts w:hint="eastAsia"/>
          <w:color w:val="000000" w:themeColor="text1"/>
          <w:szCs w:val="21"/>
        </w:rPr>
        <w:t>管理人确认后才能发送的划款指令，基金管理人的被授权人向基金托管人发送划款指令时应写明以下要素：资金用途、支付时间、金额、账户信息等（以上内容统称为“划款指令的书面要素”）。相关登记结算公司向基金托管人发送的结算通知视为基金管理人向基金托管人发出的指令。</w:t>
      </w:r>
    </w:p>
    <w:p w14:paraId="5B8AE1F7" w14:textId="77777777" w:rsidR="00264E55" w:rsidRDefault="008040BB">
      <w:pPr>
        <w:pStyle w:val="af3"/>
        <w:ind w:left="450" w:firstLineChars="0" w:firstLine="0"/>
        <w:rPr>
          <w:color w:val="000000" w:themeColor="text1"/>
        </w:rPr>
      </w:pPr>
      <w:r>
        <w:rPr>
          <w:rFonts w:hint="eastAsia"/>
          <w:color w:val="000000" w:themeColor="text1"/>
        </w:rPr>
        <w:t>（三）指令的发送、确认和执行</w:t>
      </w:r>
    </w:p>
    <w:p w14:paraId="7A0BB491" w14:textId="77777777" w:rsidR="00264E55" w:rsidRDefault="008040BB">
      <w:pPr>
        <w:spacing w:line="360" w:lineRule="auto"/>
        <w:ind w:firstLineChars="200" w:firstLine="420"/>
        <w:rPr>
          <w:color w:val="000000" w:themeColor="text1"/>
        </w:rPr>
      </w:pPr>
      <w:r>
        <w:rPr>
          <w:color w:val="000000" w:themeColor="text1"/>
        </w:rPr>
        <w:t>1</w:t>
      </w:r>
      <w:r>
        <w:rPr>
          <w:rFonts w:hint="eastAsia"/>
          <w:color w:val="000000" w:themeColor="text1"/>
        </w:rPr>
        <w:t>、指令由“授权通知”确定的指令发送人员代表基金管理人</w:t>
      </w:r>
      <w:r>
        <w:rPr>
          <w:rFonts w:hint="eastAsia"/>
          <w:color w:val="000000" w:themeColor="text1"/>
          <w:szCs w:val="21"/>
        </w:rPr>
        <w:t>通过</w:t>
      </w:r>
      <w:r>
        <w:rPr>
          <w:rFonts w:hint="eastAsia"/>
          <w:color w:val="000000" w:themeColor="text1"/>
        </w:rPr>
        <w:t>传真、电子邮件发送扫描件、深证通电子直连或电子服务平台的方式向基金托管人发送。对于指令发送人员发出的指令，基金管理人不得否认其效力。</w:t>
      </w:r>
    </w:p>
    <w:p w14:paraId="2E1B17D6" w14:textId="77777777" w:rsidR="00264E55" w:rsidRDefault="008040BB">
      <w:pPr>
        <w:spacing w:line="360" w:lineRule="auto"/>
        <w:ind w:firstLineChars="200" w:firstLine="420"/>
        <w:rPr>
          <w:color w:val="000000" w:themeColor="text1"/>
        </w:rPr>
      </w:pPr>
      <w:r>
        <w:rPr>
          <w:color w:val="000000" w:themeColor="text1"/>
        </w:rPr>
        <w:t>2</w:t>
      </w:r>
      <w:r>
        <w:rPr>
          <w:rFonts w:hint="eastAsia"/>
          <w:color w:val="000000" w:themeColor="text1"/>
        </w:rPr>
        <w:t>、基金管理人应按照《基金合同》和有关法律法规的规定，在其合法的经营权限和交易权限内，并依据相关业务规则发送指令。对于通过传真或电子邮件发送扫描件方式发送的划款指令，基金管理人有义务在发送划款指令后及时与基金托管人进行录音电话确认。因基金管理人未能及时与基金托管人进行指令确认</w:t>
      </w:r>
      <w:r>
        <w:rPr>
          <w:color w:val="000000" w:themeColor="text1"/>
        </w:rPr>
        <w:t>,</w:t>
      </w:r>
      <w:r>
        <w:rPr>
          <w:rFonts w:hint="eastAsia"/>
          <w:color w:val="000000" w:themeColor="text1"/>
        </w:rPr>
        <w:t>致使资金未能及时到账所造成的损失不由基金托管人承担。对于通过深证通电子直连或电子服务平台发送的划款指令，基金管理人需在划款指令跟踪界面查看划款指令是否完成。如果由于基金托管人自身过错影响资金未能及时到账所造成的损失由基金托管人承担。</w:t>
      </w:r>
    </w:p>
    <w:p w14:paraId="606E3BA4" w14:textId="77777777" w:rsidR="00264E55" w:rsidRDefault="008040BB">
      <w:pPr>
        <w:spacing w:line="360" w:lineRule="auto"/>
        <w:ind w:firstLineChars="200" w:firstLine="420"/>
        <w:rPr>
          <w:color w:val="000000" w:themeColor="text1"/>
        </w:rPr>
      </w:pPr>
      <w:r>
        <w:rPr>
          <w:color w:val="000000" w:themeColor="text1"/>
        </w:rPr>
        <w:t>3</w:t>
      </w:r>
      <w:r>
        <w:rPr>
          <w:rFonts w:hint="eastAsia"/>
          <w:color w:val="000000" w:themeColor="text1"/>
        </w:rPr>
        <w:t>、基金托管人在接收指令时，应对投资指令的书面要素进行表面一致性形式审查，并根据《基金合同》和有关法律法规的规定对指令的内容合</w:t>
      </w:r>
      <w:proofErr w:type="gramStart"/>
      <w:r>
        <w:rPr>
          <w:rFonts w:hint="eastAsia"/>
          <w:color w:val="000000" w:themeColor="text1"/>
        </w:rPr>
        <w:t>规</w:t>
      </w:r>
      <w:proofErr w:type="gramEnd"/>
      <w:r>
        <w:rPr>
          <w:rFonts w:hint="eastAsia"/>
          <w:color w:val="000000" w:themeColor="text1"/>
        </w:rPr>
        <w:t>性进行检查。对于通过传真或电子邮件发送扫描件方式发送的指令，基金托管人表面一致性形式审查的方式限于验证划款指令的前述书面要素是否齐全、审核划款指令用章和签发人的签字或名章是否与预留印鉴样本、被授权人的签字样本或名章样本相符、操作权限是否与授权文件一致；对于通过深证通电子直连或电子服务平台方式发送的划款指令，视为由基金管理人有效被授权人发送，基金托管人形式审查的方式限于验证划款指令的前述书面要素是否齐全。对表面一致性形式审查无误、合法合</w:t>
      </w:r>
      <w:proofErr w:type="gramStart"/>
      <w:r>
        <w:rPr>
          <w:rFonts w:hint="eastAsia"/>
          <w:color w:val="000000" w:themeColor="text1"/>
        </w:rPr>
        <w:t>规</w:t>
      </w:r>
      <w:proofErr w:type="gramEnd"/>
      <w:r>
        <w:rPr>
          <w:rFonts w:hint="eastAsia"/>
          <w:color w:val="000000" w:themeColor="text1"/>
        </w:rPr>
        <w:t>的指令，基金托管人应在规定期限内执行，不得延误。</w:t>
      </w:r>
    </w:p>
    <w:p w14:paraId="7FF2E6AE" w14:textId="77777777" w:rsidR="00264E55" w:rsidRDefault="008040BB">
      <w:pPr>
        <w:spacing w:line="360" w:lineRule="auto"/>
        <w:ind w:firstLineChars="200" w:firstLine="420"/>
        <w:rPr>
          <w:color w:val="000000" w:themeColor="text1"/>
        </w:rPr>
      </w:pPr>
      <w:r>
        <w:rPr>
          <w:color w:val="000000" w:themeColor="text1"/>
        </w:rPr>
        <w:t>4</w:t>
      </w:r>
      <w:r>
        <w:rPr>
          <w:rFonts w:hint="eastAsia"/>
          <w:color w:val="000000" w:themeColor="text1"/>
        </w:rPr>
        <w:t>、基金管理人应在交易结束后将银行间同业市场债券交易成交单经有权人员签字并加</w:t>
      </w:r>
      <w:r>
        <w:rPr>
          <w:rFonts w:hint="eastAsia"/>
          <w:color w:val="000000" w:themeColor="text1"/>
        </w:rPr>
        <w:lastRenderedPageBreak/>
        <w:t>盖印章后及时传真或通过其他双方认可的方式提供给基金托管人。</w:t>
      </w:r>
    </w:p>
    <w:p w14:paraId="248894D4" w14:textId="77777777" w:rsidR="00264E55" w:rsidRDefault="008040BB">
      <w:pPr>
        <w:spacing w:line="360" w:lineRule="auto"/>
        <w:ind w:firstLineChars="200" w:firstLine="420"/>
        <w:rPr>
          <w:color w:val="000000" w:themeColor="text1"/>
        </w:rPr>
      </w:pPr>
      <w:r>
        <w:rPr>
          <w:color w:val="000000" w:themeColor="text1"/>
        </w:rPr>
        <w:t>5</w:t>
      </w:r>
      <w:r>
        <w:rPr>
          <w:rFonts w:hint="eastAsia"/>
          <w:color w:val="000000" w:themeColor="text1"/>
        </w:rPr>
        <w:t>、基金管理人在发送指令时，应为基金托管人执行指令留出执行指令时所必需的时间。发送</w:t>
      </w:r>
      <w:proofErr w:type="gramStart"/>
      <w:r>
        <w:rPr>
          <w:rFonts w:hint="eastAsia"/>
          <w:color w:val="000000" w:themeColor="text1"/>
        </w:rPr>
        <w:t>指令日</w:t>
      </w:r>
      <w:proofErr w:type="gramEnd"/>
      <w:r>
        <w:rPr>
          <w:rFonts w:hint="eastAsia"/>
          <w:color w:val="000000" w:themeColor="text1"/>
        </w:rPr>
        <w:t>完成划款的指令，基金管理人应给基金托管人预留至少距划款截至时点</w:t>
      </w:r>
      <w:r>
        <w:rPr>
          <w:color w:val="000000" w:themeColor="text1"/>
        </w:rPr>
        <w:t>2</w:t>
      </w:r>
      <w:r>
        <w:rPr>
          <w:rFonts w:hint="eastAsia"/>
          <w:color w:val="000000" w:themeColor="text1"/>
        </w:rPr>
        <w:t>个工作小时（工作时间：工作日</w:t>
      </w:r>
      <w:r>
        <w:rPr>
          <w:color w:val="000000" w:themeColor="text1"/>
        </w:rPr>
        <w:t>9</w:t>
      </w:r>
      <w:r>
        <w:rPr>
          <w:rFonts w:hint="eastAsia"/>
          <w:color w:val="000000" w:themeColor="text1"/>
        </w:rPr>
        <w:t>：</w:t>
      </w:r>
      <w:r>
        <w:rPr>
          <w:color w:val="000000" w:themeColor="text1"/>
        </w:rPr>
        <w:t>00-11</w:t>
      </w:r>
      <w:r>
        <w:rPr>
          <w:rFonts w:hint="eastAsia"/>
          <w:color w:val="000000" w:themeColor="text1"/>
        </w:rPr>
        <w:t>：</w:t>
      </w:r>
      <w:r>
        <w:rPr>
          <w:color w:val="000000" w:themeColor="text1"/>
        </w:rPr>
        <w:t>30</w:t>
      </w:r>
      <w:r>
        <w:rPr>
          <w:rFonts w:hint="eastAsia"/>
          <w:color w:val="000000" w:themeColor="text1"/>
        </w:rPr>
        <w:t>，</w:t>
      </w:r>
      <w:r>
        <w:rPr>
          <w:color w:val="000000" w:themeColor="text1"/>
        </w:rPr>
        <w:t>13</w:t>
      </w:r>
      <w:r>
        <w:rPr>
          <w:rFonts w:hint="eastAsia"/>
          <w:color w:val="000000" w:themeColor="text1"/>
        </w:rPr>
        <w:t>：</w:t>
      </w:r>
      <w:r>
        <w:rPr>
          <w:color w:val="000000" w:themeColor="text1"/>
        </w:rPr>
        <w:t>00-17</w:t>
      </w:r>
      <w:r>
        <w:rPr>
          <w:rFonts w:hint="eastAsia"/>
          <w:color w:val="000000" w:themeColor="text1"/>
        </w:rPr>
        <w:t>：</w:t>
      </w:r>
      <w:r>
        <w:rPr>
          <w:color w:val="000000" w:themeColor="text1"/>
        </w:rPr>
        <w:t>00</w:t>
      </w:r>
      <w:r>
        <w:rPr>
          <w:rFonts w:hint="eastAsia"/>
          <w:color w:val="000000" w:themeColor="text1"/>
        </w:rPr>
        <w:t>）的指令执行时间。因基金管理</w:t>
      </w:r>
      <w:proofErr w:type="gramStart"/>
      <w:r>
        <w:rPr>
          <w:rFonts w:hint="eastAsia"/>
          <w:color w:val="000000" w:themeColor="text1"/>
        </w:rPr>
        <w:t>人原因</w:t>
      </w:r>
      <w:proofErr w:type="gramEnd"/>
      <w:r>
        <w:rPr>
          <w:rFonts w:hint="eastAsia"/>
          <w:color w:val="000000" w:themeColor="text1"/>
        </w:rPr>
        <w:t>导致指令传输不及时而未能留出足够的执行时间，致使指令未能及时执行所造成的损失由基金管理人承担。</w:t>
      </w:r>
    </w:p>
    <w:p w14:paraId="26C246FC" w14:textId="77777777" w:rsidR="00264E55" w:rsidRDefault="008040BB">
      <w:pPr>
        <w:spacing w:line="360" w:lineRule="auto"/>
        <w:ind w:firstLineChars="200" w:firstLine="420"/>
        <w:rPr>
          <w:color w:val="000000" w:themeColor="text1"/>
        </w:rPr>
      </w:pPr>
      <w:r>
        <w:rPr>
          <w:color w:val="000000" w:themeColor="text1"/>
        </w:rPr>
        <w:t>6</w:t>
      </w:r>
      <w:r>
        <w:rPr>
          <w:rFonts w:hint="eastAsia"/>
          <w:color w:val="000000" w:themeColor="text1"/>
        </w:rPr>
        <w:t>、对于</w:t>
      </w:r>
      <w:r>
        <w:rPr>
          <w:color w:val="000000" w:themeColor="text1"/>
        </w:rPr>
        <w:t>T</w:t>
      </w:r>
      <w:r>
        <w:rPr>
          <w:rFonts w:hint="eastAsia"/>
          <w:color w:val="000000" w:themeColor="text1"/>
        </w:rPr>
        <w:t>日交收的投资交易，基金管理人应于</w:t>
      </w:r>
      <w:r>
        <w:rPr>
          <w:color w:val="000000" w:themeColor="text1"/>
        </w:rPr>
        <w:t>T</w:t>
      </w:r>
      <w:r>
        <w:rPr>
          <w:rFonts w:hint="eastAsia"/>
          <w:color w:val="000000" w:themeColor="text1"/>
        </w:rPr>
        <w:t>日</w:t>
      </w:r>
      <w:r>
        <w:rPr>
          <w:color w:val="000000" w:themeColor="text1"/>
        </w:rPr>
        <w:t>15:00</w:t>
      </w:r>
      <w:r>
        <w:rPr>
          <w:rFonts w:hint="eastAsia"/>
          <w:color w:val="000000" w:themeColor="text1"/>
        </w:rPr>
        <w:t>之前发送指令至基金托管人并进行电话确认，基金托管人应根据本协议要求按投资指令执行。</w:t>
      </w:r>
      <w:r>
        <w:rPr>
          <w:color w:val="000000" w:themeColor="text1"/>
        </w:rPr>
        <w:t>15:00</w:t>
      </w:r>
      <w:r>
        <w:rPr>
          <w:rFonts w:hint="eastAsia"/>
          <w:color w:val="000000" w:themeColor="text1"/>
        </w:rPr>
        <w:t>之后发送的，基金托管人尽力执行但不保证执行成功，由于基金管理人未能在规定时间内向基金托管人发送指令导致划付失败的，由基金管理人承担该责任，基金托管人不承担该责任。</w:t>
      </w:r>
    </w:p>
    <w:p w14:paraId="0629ED58" w14:textId="77777777" w:rsidR="00264E55" w:rsidRDefault="008040BB">
      <w:pPr>
        <w:spacing w:line="360" w:lineRule="auto"/>
        <w:ind w:firstLineChars="200" w:firstLine="420"/>
        <w:rPr>
          <w:color w:val="000000" w:themeColor="text1"/>
        </w:rPr>
      </w:pPr>
      <w:r>
        <w:rPr>
          <w:color w:val="000000" w:themeColor="text1"/>
        </w:rPr>
        <w:t>7</w:t>
      </w:r>
      <w:r>
        <w:rPr>
          <w:rFonts w:hint="eastAsia"/>
          <w:color w:val="000000" w:themeColor="text1"/>
        </w:rPr>
        <w:t>、基金管理人应确保基金托管人在执行指令时基金的银行存款账户有足够的资金余额，确保基金的证券账户有足够的证券余额。对超头寸的指令，以及超过证券账户证券余额的指令，基金托管人可不予执行，但应立即通知基金管理人，由此造成的损失，由基金管理人承担。</w:t>
      </w:r>
    </w:p>
    <w:p w14:paraId="1182FA80" w14:textId="77777777" w:rsidR="00264E55" w:rsidRDefault="008040BB">
      <w:pPr>
        <w:spacing w:line="360" w:lineRule="auto"/>
        <w:ind w:firstLineChars="200" w:firstLine="420"/>
        <w:rPr>
          <w:color w:val="000000" w:themeColor="text1"/>
        </w:rPr>
      </w:pPr>
      <w:r>
        <w:rPr>
          <w:rFonts w:hint="eastAsia"/>
          <w:color w:val="000000" w:themeColor="text1"/>
        </w:rPr>
        <w:t>（四）基金管理人发送错误指令的情形和处理程序</w:t>
      </w:r>
    </w:p>
    <w:p w14:paraId="68D0B672" w14:textId="77777777" w:rsidR="00264E55" w:rsidRDefault="008040BB">
      <w:pPr>
        <w:spacing w:line="360" w:lineRule="auto"/>
        <w:ind w:firstLineChars="200" w:firstLine="420"/>
        <w:rPr>
          <w:color w:val="000000" w:themeColor="text1"/>
        </w:rPr>
      </w:pPr>
      <w:r>
        <w:rPr>
          <w:rFonts w:hint="eastAsia"/>
          <w:color w:val="000000" w:themeColor="text1"/>
        </w:rPr>
        <w:t>基金管理人发送错误指令的情形包括指令违反法律法规和本协议，指令发送人员无权或超越权限发送指令，指令发送人员发送的指令不能辨识或投资指令的要素不全导致无法执行等情形。</w:t>
      </w:r>
    </w:p>
    <w:p w14:paraId="29F42B3A" w14:textId="77777777" w:rsidR="00264E55" w:rsidRDefault="008040BB">
      <w:pPr>
        <w:spacing w:line="360" w:lineRule="auto"/>
        <w:ind w:firstLineChars="150" w:firstLine="315"/>
        <w:rPr>
          <w:color w:val="000000" w:themeColor="text1"/>
        </w:rPr>
      </w:pPr>
      <w:r>
        <w:rPr>
          <w:rFonts w:hint="eastAsia"/>
          <w:color w:val="000000" w:themeColor="text1"/>
        </w:rPr>
        <w:t>基金托管人在履行监督职能时，发现基金管理人的指令错误时，有权拒绝执行，并及时通知基金管理人改正。基金管理人如需撤销指令，应在基金托管人执行指令之前出具书面撤销说明或在原指令上注明“作废”，并加盖预留印鉴发送给基金托管人，并与基金托管人进行电话确认，基金托管人确认后，该书面撤回的说明或指令生效。如果基金托管人在收到书面撤销的说明或指令前已执行原指令，由此造成的损失由基金管理人承担。</w:t>
      </w:r>
    </w:p>
    <w:p w14:paraId="172B148F" w14:textId="77777777" w:rsidR="00264E55" w:rsidRDefault="008040BB">
      <w:pPr>
        <w:spacing w:line="360" w:lineRule="auto"/>
        <w:ind w:firstLineChars="150" w:firstLine="315"/>
        <w:rPr>
          <w:color w:val="000000" w:themeColor="text1"/>
        </w:rPr>
      </w:pPr>
      <w:r>
        <w:rPr>
          <w:rFonts w:hint="eastAsia"/>
          <w:color w:val="000000" w:themeColor="text1"/>
        </w:rPr>
        <w:t>（五）基金托管人依照法律法规暂缓、拒绝执行指令的情形和处理程序</w:t>
      </w:r>
    </w:p>
    <w:p w14:paraId="6AC0662C" w14:textId="77777777" w:rsidR="00264E55" w:rsidRDefault="008040BB">
      <w:pPr>
        <w:spacing w:line="360" w:lineRule="auto"/>
        <w:ind w:firstLineChars="200" w:firstLine="420"/>
        <w:rPr>
          <w:color w:val="000000" w:themeColor="text1"/>
        </w:rPr>
      </w:pPr>
      <w:r>
        <w:rPr>
          <w:rFonts w:hint="eastAsia"/>
          <w:color w:val="000000" w:themeColor="text1"/>
        </w:rPr>
        <w:t>基金托管人发现基金管理人的指令违法、违规的，有权暂缓或拒绝执行，并及时书面通知基金管理人纠正。基金管理人收到通知后应及时核对，并以书面形式对基金托管人发出回函确认，基金管理人未予书面回函确认的，也视为同意基金托管人的处理，由此造成的损失由基金管理人承担。</w:t>
      </w:r>
    </w:p>
    <w:p w14:paraId="721C96F9" w14:textId="77777777" w:rsidR="00264E55" w:rsidRDefault="008040BB">
      <w:pPr>
        <w:spacing w:line="360" w:lineRule="auto"/>
        <w:ind w:firstLineChars="150" w:firstLine="315"/>
        <w:rPr>
          <w:color w:val="000000" w:themeColor="text1"/>
          <w:szCs w:val="21"/>
        </w:rPr>
      </w:pPr>
      <w:r>
        <w:rPr>
          <w:rFonts w:hint="eastAsia"/>
          <w:color w:val="000000" w:themeColor="text1"/>
          <w:szCs w:val="21"/>
        </w:rPr>
        <w:t>（六）基金托管人未按照基金管理人指令执行的处理方法</w:t>
      </w:r>
    </w:p>
    <w:p w14:paraId="4DD8CB5D" w14:textId="77777777" w:rsidR="00264E55" w:rsidRDefault="008040BB">
      <w:pPr>
        <w:spacing w:line="360" w:lineRule="auto"/>
        <w:ind w:firstLineChars="150" w:firstLine="315"/>
        <w:rPr>
          <w:color w:val="000000" w:themeColor="text1"/>
        </w:rPr>
      </w:pPr>
      <w:r>
        <w:rPr>
          <w:rFonts w:hint="eastAsia"/>
          <w:color w:val="000000" w:themeColor="text1"/>
        </w:rPr>
        <w:lastRenderedPageBreak/>
        <w:t>对于基金管理人的有效指令和通知，除非违反法律法规、</w:t>
      </w:r>
      <w:r>
        <w:rPr>
          <w:rFonts w:ascii="宋体" w:hAnsi="Calibri" w:cs="宋体" w:hint="eastAsia"/>
          <w:color w:val="000000" w:themeColor="text1"/>
          <w:kern w:val="0"/>
          <w:szCs w:val="21"/>
        </w:rPr>
        <w:t>《基金合同》</w:t>
      </w:r>
      <w:r>
        <w:rPr>
          <w:rFonts w:hint="eastAsia"/>
          <w:color w:val="000000" w:themeColor="text1"/>
        </w:rPr>
        <w:t>、托管协议，基金托管人不得无故拒绝或拖延执行。基金托管人因过错未按照基金管理人符合法律法规、</w:t>
      </w:r>
      <w:r>
        <w:rPr>
          <w:rFonts w:ascii="宋体" w:hAnsi="Calibri" w:cs="宋体" w:hint="eastAsia"/>
          <w:color w:val="000000" w:themeColor="text1"/>
          <w:kern w:val="0"/>
          <w:szCs w:val="21"/>
        </w:rPr>
        <w:t>《基金合同》</w:t>
      </w:r>
      <w:r>
        <w:rPr>
          <w:rFonts w:hint="eastAsia"/>
          <w:color w:val="000000" w:themeColor="text1"/>
        </w:rPr>
        <w:t>及本协议规定的有效指令执行或拖延执行基金管理人的前述有效指令，致使基金的利益受到损害的，基金托管人应负赔偿责任。</w:t>
      </w:r>
    </w:p>
    <w:p w14:paraId="10FE80D6" w14:textId="77777777" w:rsidR="00264E55" w:rsidRDefault="008040BB">
      <w:pPr>
        <w:spacing w:line="360" w:lineRule="auto"/>
        <w:ind w:firstLineChars="150" w:firstLine="315"/>
        <w:rPr>
          <w:color w:val="000000" w:themeColor="text1"/>
        </w:rPr>
      </w:pPr>
      <w:r>
        <w:rPr>
          <w:rFonts w:hint="eastAsia"/>
          <w:color w:val="000000" w:themeColor="text1"/>
          <w:szCs w:val="21"/>
        </w:rPr>
        <w:t>（七）被授权人员及授权权限的变更</w:t>
      </w:r>
      <w:r>
        <w:rPr>
          <w:color w:val="000000" w:themeColor="text1"/>
        </w:rPr>
        <w:tab/>
      </w:r>
    </w:p>
    <w:p w14:paraId="0EA14140" w14:textId="77777777" w:rsidR="00264E55" w:rsidRDefault="008040BB">
      <w:pPr>
        <w:spacing w:line="360" w:lineRule="auto"/>
        <w:ind w:firstLineChars="200" w:firstLine="420"/>
        <w:rPr>
          <w:color w:val="000000" w:themeColor="text1"/>
          <w:szCs w:val="21"/>
        </w:rPr>
      </w:pPr>
      <w:r>
        <w:rPr>
          <w:rFonts w:hint="eastAsia"/>
          <w:color w:val="000000" w:themeColor="text1"/>
        </w:rPr>
        <w:t>基金管理人若对授权通知的内容进行修改（包括但不限于指令发送人员的名单的修改，及</w:t>
      </w:r>
      <w:r>
        <w:rPr>
          <w:color w:val="000000" w:themeColor="text1"/>
        </w:rPr>
        <w:t>/</w:t>
      </w:r>
      <w:r>
        <w:rPr>
          <w:rFonts w:hint="eastAsia"/>
          <w:color w:val="000000" w:themeColor="text1"/>
        </w:rPr>
        <w:t>或权限的修改），应当至少提前</w:t>
      </w:r>
      <w:r>
        <w:rPr>
          <w:color w:val="000000" w:themeColor="text1"/>
        </w:rPr>
        <w:t>1</w:t>
      </w:r>
      <w:r>
        <w:rPr>
          <w:rFonts w:hint="eastAsia"/>
          <w:color w:val="000000" w:themeColor="text1"/>
        </w:rPr>
        <w:t>个工作日通知基金托管人；修改授权通知的文件应由基金管理人加盖公章并由其法定代表人或授权代表签字（如是授权代表，需要由法定代表人出具授权书）。基金管理人对授权通知的修改应当至少提前</w:t>
      </w:r>
      <w:r>
        <w:rPr>
          <w:color w:val="000000" w:themeColor="text1"/>
        </w:rPr>
        <w:t>1</w:t>
      </w:r>
      <w:r>
        <w:rPr>
          <w:rFonts w:hint="eastAsia"/>
          <w:color w:val="000000" w:themeColor="text1"/>
        </w:rPr>
        <w:t>个工作日以传真的形式发送给基金托管人，同时电话通知基金托管人，基金托管人收到变更通知后应向基金管理人电话确认。基金管理人对授权通知的内容的</w:t>
      </w:r>
      <w:proofErr w:type="gramStart"/>
      <w:r>
        <w:rPr>
          <w:rFonts w:hint="eastAsia"/>
          <w:color w:val="000000" w:themeColor="text1"/>
        </w:rPr>
        <w:t>修改自</w:t>
      </w:r>
      <w:proofErr w:type="gramEnd"/>
      <w:r>
        <w:rPr>
          <w:rFonts w:hint="eastAsia"/>
          <w:color w:val="000000" w:themeColor="text1"/>
        </w:rPr>
        <w:t>通知送达基金托管人并经基金托管人确认无异议之时起生效。基金管理人在此后</w:t>
      </w:r>
      <w:r>
        <w:rPr>
          <w:color w:val="000000" w:themeColor="text1"/>
        </w:rPr>
        <w:t>3</w:t>
      </w:r>
      <w:r>
        <w:rPr>
          <w:rFonts w:hint="eastAsia"/>
          <w:color w:val="000000" w:themeColor="text1"/>
        </w:rPr>
        <w:t>个工作日内将对授权通知修改的文件原件送交基金托管人，原件与传真件不一致的，基金托管人应及时与基金管理人联系予以确认，在确认</w:t>
      </w:r>
      <w:proofErr w:type="gramStart"/>
      <w:r>
        <w:rPr>
          <w:rFonts w:hint="eastAsia"/>
          <w:color w:val="000000" w:themeColor="text1"/>
        </w:rPr>
        <w:t>前基金</w:t>
      </w:r>
      <w:proofErr w:type="gramEnd"/>
      <w:r>
        <w:rPr>
          <w:rFonts w:hint="eastAsia"/>
          <w:color w:val="000000" w:themeColor="text1"/>
        </w:rPr>
        <w:t>托管人以传真件为准执行指令，由此产生的责任由基金管理人承担。基金管理人更换被授权人通知生效后，对于已被撤换的人员无权发送的指令，或被改变授权人员超权限发送的指令，基金托管人不予执行。如因托管人过错造成损失的，由托管人承担责任。</w:t>
      </w:r>
    </w:p>
    <w:p w14:paraId="5B50EDDE" w14:textId="77777777" w:rsidR="00264E55" w:rsidRDefault="008040BB">
      <w:pPr>
        <w:spacing w:line="360" w:lineRule="auto"/>
        <w:ind w:firstLineChars="200" w:firstLine="420"/>
        <w:rPr>
          <w:color w:val="000000" w:themeColor="text1"/>
        </w:rPr>
      </w:pPr>
      <w:r>
        <w:rPr>
          <w:rFonts w:hint="eastAsia"/>
          <w:color w:val="000000" w:themeColor="text1"/>
        </w:rPr>
        <w:t>（八）其他事项</w:t>
      </w:r>
    </w:p>
    <w:p w14:paraId="4AC251A3" w14:textId="77777777" w:rsidR="00264E55" w:rsidRDefault="008040BB">
      <w:pPr>
        <w:spacing w:line="360" w:lineRule="auto"/>
        <w:ind w:firstLineChars="200" w:firstLine="420"/>
        <w:rPr>
          <w:color w:val="000000" w:themeColor="text1"/>
        </w:rPr>
      </w:pPr>
      <w:r>
        <w:rPr>
          <w:rFonts w:hint="eastAsia"/>
          <w:color w:val="000000" w:themeColor="text1"/>
        </w:rPr>
        <w:t>除因其自身故意或重大过失原因致使基金的利益受到损害而负赔偿责任外，基金托管人按照法律法规、本协议的规定执行基金管理人指令而引起的任何损失，基金托管人不负赔偿责任。</w:t>
      </w:r>
    </w:p>
    <w:p w14:paraId="1BC2BAF3" w14:textId="77777777" w:rsidR="00264E55" w:rsidRDefault="008040BB">
      <w:pPr>
        <w:pStyle w:val="1"/>
        <w:numPr>
          <w:ilvl w:val="0"/>
          <w:numId w:val="1"/>
        </w:numPr>
        <w:spacing w:before="120" w:after="120" w:line="360" w:lineRule="auto"/>
        <w:jc w:val="center"/>
        <w:rPr>
          <w:rFonts w:ascii="宋体"/>
          <w:b w:val="0"/>
          <w:color w:val="000000" w:themeColor="text1"/>
          <w:kern w:val="0"/>
          <w:sz w:val="24"/>
          <w:szCs w:val="24"/>
        </w:rPr>
      </w:pPr>
      <w:bookmarkStart w:id="14" w:name="_Toc421544159"/>
      <w:bookmarkStart w:id="15" w:name="_Toc394474002"/>
      <w:bookmarkStart w:id="16" w:name="_Toc881137"/>
      <w:bookmarkEnd w:id="14"/>
      <w:r>
        <w:rPr>
          <w:rFonts w:ascii="宋体" w:hint="eastAsia"/>
          <w:color w:val="000000" w:themeColor="text1"/>
          <w:kern w:val="0"/>
          <w:sz w:val="24"/>
          <w:szCs w:val="24"/>
        </w:rPr>
        <w:t>交易及清算交收安排</w:t>
      </w:r>
      <w:bookmarkEnd w:id="15"/>
      <w:bookmarkEnd w:id="16"/>
    </w:p>
    <w:p w14:paraId="188AC2DD" w14:textId="77777777" w:rsidR="00264E55" w:rsidRDefault="00264E55">
      <w:pPr>
        <w:pStyle w:val="af3"/>
        <w:ind w:left="450" w:firstLineChars="0" w:firstLine="0"/>
        <w:rPr>
          <w:color w:val="000000" w:themeColor="text1"/>
        </w:rPr>
      </w:pPr>
    </w:p>
    <w:p w14:paraId="1E624FCF" w14:textId="77777777" w:rsidR="00264E55" w:rsidRDefault="008040BB">
      <w:pPr>
        <w:spacing w:line="360" w:lineRule="auto"/>
        <w:ind w:firstLineChars="150" w:firstLine="315"/>
        <w:rPr>
          <w:color w:val="000000" w:themeColor="text1"/>
        </w:rPr>
      </w:pPr>
      <w:r>
        <w:rPr>
          <w:rFonts w:hint="eastAsia"/>
          <w:color w:val="000000" w:themeColor="text1"/>
          <w:szCs w:val="21"/>
        </w:rPr>
        <w:t>（一）基金管理人负责选择代理本基金证券、期货买卖的证券经营机构、期货经纪机构。</w:t>
      </w:r>
    </w:p>
    <w:p w14:paraId="3C9C8287" w14:textId="77777777" w:rsidR="00264E55" w:rsidRDefault="008040BB">
      <w:pPr>
        <w:spacing w:line="360" w:lineRule="auto"/>
        <w:ind w:firstLineChars="200" w:firstLine="420"/>
        <w:rPr>
          <w:color w:val="000000" w:themeColor="text1"/>
        </w:rPr>
      </w:pPr>
      <w:r>
        <w:rPr>
          <w:color w:val="000000" w:themeColor="text1"/>
        </w:rPr>
        <w:t>1</w:t>
      </w:r>
      <w:r>
        <w:rPr>
          <w:rFonts w:hint="eastAsia"/>
          <w:color w:val="000000" w:themeColor="text1"/>
        </w:rPr>
        <w:t>、选择代理证券买卖的证券经营机构的程序</w:t>
      </w:r>
    </w:p>
    <w:p w14:paraId="5B485613" w14:textId="77777777" w:rsidR="00264E55" w:rsidRDefault="008040BB">
      <w:pPr>
        <w:spacing w:line="360" w:lineRule="auto"/>
        <w:ind w:firstLineChars="200" w:firstLine="420"/>
        <w:rPr>
          <w:color w:val="000000" w:themeColor="text1"/>
        </w:rPr>
      </w:pPr>
      <w:r>
        <w:rPr>
          <w:rFonts w:hint="eastAsia"/>
          <w:color w:val="000000" w:themeColor="text1"/>
        </w:rPr>
        <w:t>基金管理人进行考察后确定证券经营机构。基金管理人与被选择的证券经纪商签订交易单元租用协议，并按照法律法规的规定向中国证监会报告。基金管理人应将交易单元租用协议的原件及时送交基金托管人。</w:t>
      </w:r>
    </w:p>
    <w:p w14:paraId="011AF95D" w14:textId="77777777" w:rsidR="00264E55" w:rsidRDefault="008040BB">
      <w:pPr>
        <w:spacing w:line="360" w:lineRule="auto"/>
        <w:ind w:firstLineChars="200" w:firstLine="420"/>
        <w:rPr>
          <w:color w:val="000000" w:themeColor="text1"/>
        </w:rPr>
      </w:pPr>
      <w:r>
        <w:rPr>
          <w:color w:val="000000" w:themeColor="text1"/>
        </w:rPr>
        <w:t>2</w:t>
      </w:r>
      <w:r>
        <w:rPr>
          <w:rFonts w:hint="eastAsia"/>
          <w:color w:val="000000" w:themeColor="text1"/>
        </w:rPr>
        <w:t>、相关信息的通知</w:t>
      </w:r>
    </w:p>
    <w:p w14:paraId="02DD0BD4" w14:textId="77777777" w:rsidR="00264E55" w:rsidRDefault="008040BB">
      <w:pPr>
        <w:spacing w:line="360" w:lineRule="auto"/>
        <w:ind w:firstLineChars="200" w:firstLine="420"/>
        <w:rPr>
          <w:color w:val="000000" w:themeColor="text1"/>
        </w:rPr>
      </w:pPr>
      <w:r>
        <w:rPr>
          <w:rFonts w:hint="eastAsia"/>
          <w:color w:val="000000" w:themeColor="text1"/>
        </w:rPr>
        <w:t>基金管理人应及时以书面形式通知基金托管人基金交易单元的号码、券商名称、佣金费</w:t>
      </w:r>
      <w:r>
        <w:rPr>
          <w:rFonts w:hint="eastAsia"/>
          <w:color w:val="000000" w:themeColor="text1"/>
        </w:rPr>
        <w:lastRenderedPageBreak/>
        <w:t>率等基金基本信息以及变更情况，其中交易单元租用应至少在首次进行交易的</w:t>
      </w:r>
      <w:r>
        <w:rPr>
          <w:color w:val="000000" w:themeColor="text1"/>
        </w:rPr>
        <w:t>10</w:t>
      </w:r>
      <w:r>
        <w:rPr>
          <w:rFonts w:hint="eastAsia"/>
          <w:color w:val="000000" w:themeColor="text1"/>
        </w:rPr>
        <w:t>个工作日前通知基金托管人，交易单元退租应在次日内通知到基金托管人。</w:t>
      </w:r>
    </w:p>
    <w:p w14:paraId="751B697A" w14:textId="77777777" w:rsidR="00264E55" w:rsidRDefault="008040BB">
      <w:pPr>
        <w:spacing w:line="360" w:lineRule="auto"/>
        <w:ind w:firstLineChars="200" w:firstLine="420"/>
        <w:rPr>
          <w:color w:val="000000" w:themeColor="text1"/>
        </w:rPr>
      </w:pPr>
      <w:r>
        <w:rPr>
          <w:color w:val="000000" w:themeColor="text1"/>
        </w:rPr>
        <w:t>3</w:t>
      </w:r>
      <w:r>
        <w:rPr>
          <w:rFonts w:hint="eastAsia"/>
          <w:color w:val="000000" w:themeColor="text1"/>
        </w:rPr>
        <w:t>、基金管理人负责选择代理本基金期货交易的期货经纪机构，并与期货经纪机构、托管人共同签订期货经纪合同，其他事宜根据法律法规、《基金合同》的相关规定执行，若无明确规定的，可参照有关证券买卖、证券经纪机构选择的规则执行。</w:t>
      </w:r>
    </w:p>
    <w:p w14:paraId="37AA7221" w14:textId="77777777" w:rsidR="00264E55" w:rsidRDefault="008040BB">
      <w:pPr>
        <w:spacing w:line="360" w:lineRule="auto"/>
        <w:ind w:firstLineChars="150" w:firstLine="315"/>
        <w:rPr>
          <w:color w:val="000000" w:themeColor="text1"/>
          <w:szCs w:val="21"/>
        </w:rPr>
      </w:pPr>
      <w:r>
        <w:rPr>
          <w:rFonts w:hint="eastAsia"/>
          <w:color w:val="000000" w:themeColor="text1"/>
          <w:szCs w:val="21"/>
        </w:rPr>
        <w:t>（二）基金投资证券后的清算交收安排</w:t>
      </w:r>
    </w:p>
    <w:p w14:paraId="20E9306F" w14:textId="77777777" w:rsidR="00264E55" w:rsidRDefault="008040BB">
      <w:pPr>
        <w:spacing w:line="360" w:lineRule="auto"/>
        <w:ind w:firstLine="420"/>
        <w:rPr>
          <w:color w:val="000000" w:themeColor="text1"/>
          <w:szCs w:val="21"/>
        </w:rPr>
      </w:pPr>
      <w:r>
        <w:rPr>
          <w:rFonts w:hint="eastAsia"/>
          <w:color w:val="000000" w:themeColor="text1"/>
          <w:szCs w:val="21"/>
        </w:rPr>
        <w:t>1</w:t>
      </w:r>
      <w:r>
        <w:rPr>
          <w:rFonts w:hint="eastAsia"/>
          <w:color w:val="000000" w:themeColor="text1"/>
          <w:szCs w:val="21"/>
        </w:rPr>
        <w:t>、针对投资于交易所证券后的清算交收安排，基金管理人与基金托管人应签署《托管人证券资金结算协议》，共同遵守中国证券登记结算有限责任公司（下称“中登公司”）制定的相关业务规则和规定，该等规则和规定以及《托管人证券资金结算协议》自动成为本条款约定的内容。投资者和基金管理人知悉并认可，如果本托管协议与中登公司相关业务规则、规定以及《托管人证券资金结算协议》的约定相冲突的，以中登公司相关业务规则、规定以及《托管人证券资金结算协议》的约定为准。</w:t>
      </w:r>
    </w:p>
    <w:p w14:paraId="2CF3E100" w14:textId="77777777" w:rsidR="00264E55" w:rsidRDefault="008040BB">
      <w:pPr>
        <w:spacing w:line="360" w:lineRule="auto"/>
        <w:ind w:firstLine="420"/>
        <w:rPr>
          <w:color w:val="000000" w:themeColor="text1"/>
          <w:szCs w:val="21"/>
        </w:rPr>
      </w:pPr>
      <w:r>
        <w:rPr>
          <w:rFonts w:hint="eastAsia"/>
          <w:color w:val="000000" w:themeColor="text1"/>
          <w:szCs w:val="21"/>
        </w:rPr>
        <w:t>基金托管人负责本基金买卖证券的清算交收。本基金投资于交易所证券发生的资金清算交割由基金托管人负责办理。本基金所有场内证券交易的清算交割由基金托管人作为特别结算参与人代理所托管的基金与中登公司进行结算，场内证券投资的应付</w:t>
      </w:r>
      <w:proofErr w:type="gramStart"/>
      <w:r>
        <w:rPr>
          <w:rFonts w:hint="eastAsia"/>
          <w:color w:val="000000" w:themeColor="text1"/>
          <w:szCs w:val="21"/>
        </w:rPr>
        <w:t>清算款</w:t>
      </w:r>
      <w:proofErr w:type="gramEnd"/>
      <w:r>
        <w:rPr>
          <w:rFonts w:hint="eastAsia"/>
          <w:color w:val="000000" w:themeColor="text1"/>
          <w:szCs w:val="21"/>
        </w:rPr>
        <w:t>由基金托管人根据中登公司的交</w:t>
      </w:r>
      <w:proofErr w:type="gramStart"/>
      <w:r>
        <w:rPr>
          <w:rFonts w:hint="eastAsia"/>
          <w:color w:val="000000" w:themeColor="text1"/>
          <w:szCs w:val="21"/>
        </w:rPr>
        <w:t>收数据</w:t>
      </w:r>
      <w:proofErr w:type="gramEnd"/>
      <w:r>
        <w:rPr>
          <w:rFonts w:hint="eastAsia"/>
          <w:color w:val="000000" w:themeColor="text1"/>
          <w:szCs w:val="21"/>
        </w:rPr>
        <w:t>主动从托管账户中扣收；场外资金汇划由基金托管人根据基金管理人的交易划款指令具体办理。</w:t>
      </w:r>
    </w:p>
    <w:p w14:paraId="230B8C34" w14:textId="77777777" w:rsidR="00264E55" w:rsidRDefault="008040BB">
      <w:pPr>
        <w:spacing w:line="360" w:lineRule="auto"/>
        <w:ind w:firstLine="420"/>
        <w:rPr>
          <w:color w:val="000000" w:themeColor="text1"/>
          <w:szCs w:val="21"/>
        </w:rPr>
      </w:pPr>
      <w:r>
        <w:rPr>
          <w:rFonts w:hint="eastAsia"/>
          <w:color w:val="000000" w:themeColor="text1"/>
          <w:szCs w:val="21"/>
        </w:rPr>
        <w:t>基金托管人承担由基金托管人过错造成的正常结算、交收业务无法完成的责任；若由于基金管理</w:t>
      </w:r>
      <w:proofErr w:type="gramStart"/>
      <w:r>
        <w:rPr>
          <w:rFonts w:hint="eastAsia"/>
          <w:color w:val="000000" w:themeColor="text1"/>
          <w:szCs w:val="21"/>
        </w:rPr>
        <w:t>人原因</w:t>
      </w:r>
      <w:proofErr w:type="gramEnd"/>
      <w:r>
        <w:rPr>
          <w:rFonts w:hint="eastAsia"/>
          <w:color w:val="000000" w:themeColor="text1"/>
          <w:szCs w:val="21"/>
        </w:rPr>
        <w:t>造成的正常结算业务无法完成，责任由基金管理人承担。</w:t>
      </w:r>
      <w:r>
        <w:rPr>
          <w:rFonts w:hint="eastAsia"/>
          <w:color w:val="000000" w:themeColor="text1"/>
          <w:szCs w:val="21"/>
        </w:rPr>
        <w:t xml:space="preserve"> </w:t>
      </w:r>
    </w:p>
    <w:p w14:paraId="0D0E5A25" w14:textId="77777777" w:rsidR="00264E55" w:rsidRDefault="008040BB">
      <w:pPr>
        <w:spacing w:line="360" w:lineRule="auto"/>
        <w:ind w:firstLine="420"/>
        <w:rPr>
          <w:color w:val="000000" w:themeColor="text1"/>
          <w:szCs w:val="21"/>
        </w:rPr>
      </w:pPr>
      <w:r>
        <w:rPr>
          <w:rFonts w:hint="eastAsia"/>
          <w:color w:val="000000" w:themeColor="text1"/>
          <w:szCs w:val="21"/>
        </w:rPr>
        <w:t>2</w:t>
      </w:r>
      <w:r>
        <w:rPr>
          <w:rFonts w:hint="eastAsia"/>
          <w:color w:val="000000" w:themeColor="text1"/>
          <w:szCs w:val="21"/>
        </w:rPr>
        <w:t>、对于任何原因发生的证券资金交收违约事件，相关各方应当及时协商解决。</w:t>
      </w:r>
    </w:p>
    <w:p w14:paraId="7AA4FA34" w14:textId="77777777" w:rsidR="00264E55" w:rsidRDefault="008040BB">
      <w:pPr>
        <w:spacing w:line="360" w:lineRule="auto"/>
        <w:ind w:firstLineChars="200" w:firstLine="420"/>
        <w:rPr>
          <w:color w:val="000000" w:themeColor="text1"/>
        </w:rPr>
      </w:pPr>
      <w:r>
        <w:rPr>
          <w:rFonts w:hint="eastAsia"/>
          <w:color w:val="000000" w:themeColor="text1"/>
        </w:rPr>
        <w:t>（三）资金、证券账目和交易记录核对</w:t>
      </w:r>
    </w:p>
    <w:p w14:paraId="261FA902" w14:textId="77777777" w:rsidR="00264E55" w:rsidRDefault="008040BB">
      <w:pPr>
        <w:spacing w:line="360" w:lineRule="auto"/>
        <w:ind w:firstLineChars="200" w:firstLine="420"/>
        <w:rPr>
          <w:color w:val="000000" w:themeColor="text1"/>
        </w:rPr>
      </w:pPr>
      <w:r>
        <w:rPr>
          <w:rFonts w:hint="eastAsia"/>
          <w:color w:val="000000" w:themeColor="text1"/>
        </w:rPr>
        <w:t>（</w:t>
      </w:r>
      <w:r>
        <w:rPr>
          <w:color w:val="000000" w:themeColor="text1"/>
        </w:rPr>
        <w:t>1</w:t>
      </w:r>
      <w:r>
        <w:rPr>
          <w:rFonts w:hint="eastAsia"/>
          <w:color w:val="000000" w:themeColor="text1"/>
        </w:rPr>
        <w:t>）交易记录的核对</w:t>
      </w:r>
      <w:r>
        <w:rPr>
          <w:color w:val="000000" w:themeColor="text1"/>
        </w:rPr>
        <w:t xml:space="preserve"> </w:t>
      </w:r>
    </w:p>
    <w:p w14:paraId="27A37EFB" w14:textId="77777777" w:rsidR="00264E55" w:rsidRDefault="008040BB">
      <w:pPr>
        <w:spacing w:line="360" w:lineRule="auto"/>
        <w:ind w:firstLineChars="200" w:firstLine="420"/>
        <w:rPr>
          <w:color w:val="000000" w:themeColor="text1"/>
        </w:rPr>
      </w:pPr>
      <w:r>
        <w:rPr>
          <w:rFonts w:hint="eastAsia"/>
          <w:color w:val="000000" w:themeColor="text1"/>
        </w:rPr>
        <w:t>基金管理人按日进行交易记录的核对。每日对外披露基金份额净值之前，必须保证当天所有实际交易记录与基金会计账簿上的交易记录完全一致。如果实际交易记录与会计账簿记录不一致，造成基金会计核算不完整或不真实，由此导致的损失由基金管理人承担。</w:t>
      </w:r>
      <w:r>
        <w:rPr>
          <w:color w:val="000000" w:themeColor="text1"/>
        </w:rPr>
        <w:t xml:space="preserve"> </w:t>
      </w:r>
    </w:p>
    <w:p w14:paraId="464B2113" w14:textId="77777777" w:rsidR="00264E55" w:rsidRDefault="008040BB">
      <w:pPr>
        <w:spacing w:line="360" w:lineRule="auto"/>
        <w:ind w:firstLineChars="200" w:firstLine="420"/>
        <w:rPr>
          <w:color w:val="000000" w:themeColor="text1"/>
        </w:rPr>
      </w:pPr>
      <w:r>
        <w:rPr>
          <w:rFonts w:hint="eastAsia"/>
          <w:color w:val="000000" w:themeColor="text1"/>
        </w:rPr>
        <w:t>（</w:t>
      </w:r>
      <w:r>
        <w:rPr>
          <w:color w:val="000000" w:themeColor="text1"/>
        </w:rPr>
        <w:t>2</w:t>
      </w:r>
      <w:r>
        <w:rPr>
          <w:rFonts w:hint="eastAsia"/>
          <w:color w:val="000000" w:themeColor="text1"/>
        </w:rPr>
        <w:t>）资金账目的核对</w:t>
      </w:r>
    </w:p>
    <w:p w14:paraId="4B40B117" w14:textId="77777777" w:rsidR="00264E55" w:rsidRDefault="008040BB">
      <w:pPr>
        <w:spacing w:line="360" w:lineRule="auto"/>
        <w:ind w:firstLineChars="200" w:firstLine="420"/>
        <w:rPr>
          <w:color w:val="000000" w:themeColor="text1"/>
        </w:rPr>
      </w:pPr>
      <w:r>
        <w:rPr>
          <w:rFonts w:hint="eastAsia"/>
          <w:color w:val="000000" w:themeColor="text1"/>
        </w:rPr>
        <w:t>资金账目按日核实。</w:t>
      </w:r>
    </w:p>
    <w:p w14:paraId="0BD69B5F" w14:textId="77777777" w:rsidR="00264E55" w:rsidRDefault="008040BB">
      <w:pPr>
        <w:spacing w:line="360" w:lineRule="auto"/>
        <w:ind w:firstLineChars="200" w:firstLine="420"/>
        <w:rPr>
          <w:color w:val="000000" w:themeColor="text1"/>
        </w:rPr>
      </w:pPr>
      <w:r>
        <w:rPr>
          <w:rFonts w:hint="eastAsia"/>
          <w:color w:val="000000" w:themeColor="text1"/>
        </w:rPr>
        <w:t>（</w:t>
      </w:r>
      <w:r>
        <w:rPr>
          <w:color w:val="000000" w:themeColor="text1"/>
        </w:rPr>
        <w:t>3</w:t>
      </w:r>
      <w:r>
        <w:rPr>
          <w:rFonts w:hint="eastAsia"/>
          <w:color w:val="000000" w:themeColor="text1"/>
        </w:rPr>
        <w:t>）证券账目的核对</w:t>
      </w:r>
    </w:p>
    <w:p w14:paraId="43134116" w14:textId="77777777" w:rsidR="00264E55" w:rsidRDefault="008040BB">
      <w:pPr>
        <w:spacing w:line="360" w:lineRule="auto"/>
        <w:ind w:firstLineChars="200" w:firstLine="420"/>
        <w:rPr>
          <w:color w:val="000000" w:themeColor="text1"/>
        </w:rPr>
      </w:pPr>
      <w:r>
        <w:rPr>
          <w:rFonts w:hint="eastAsia"/>
          <w:color w:val="000000" w:themeColor="text1"/>
        </w:rPr>
        <w:t>基金管理人和基金托管人每交易日结束后核对基金交易所场内证券账目，确保双方账目</w:t>
      </w:r>
      <w:r>
        <w:rPr>
          <w:rFonts w:hint="eastAsia"/>
          <w:color w:val="000000" w:themeColor="text1"/>
        </w:rPr>
        <w:lastRenderedPageBreak/>
        <w:t>相符。基金管理人和基金托管人每月月</w:t>
      </w:r>
      <w:proofErr w:type="gramStart"/>
      <w:r>
        <w:rPr>
          <w:rFonts w:hint="eastAsia"/>
          <w:color w:val="000000" w:themeColor="text1"/>
        </w:rPr>
        <w:t>末最后</w:t>
      </w:r>
      <w:proofErr w:type="gramEnd"/>
      <w:r>
        <w:rPr>
          <w:rFonts w:hint="eastAsia"/>
          <w:color w:val="000000" w:themeColor="text1"/>
        </w:rPr>
        <w:t>一个交易日</w:t>
      </w:r>
      <w:proofErr w:type="gramStart"/>
      <w:r>
        <w:rPr>
          <w:rFonts w:hint="eastAsia"/>
          <w:color w:val="000000" w:themeColor="text1"/>
        </w:rPr>
        <w:t>核对非</w:t>
      </w:r>
      <w:proofErr w:type="gramEnd"/>
      <w:r>
        <w:rPr>
          <w:rFonts w:hint="eastAsia"/>
          <w:color w:val="000000" w:themeColor="text1"/>
        </w:rPr>
        <w:t>交易所场内的证券账目。</w:t>
      </w:r>
    </w:p>
    <w:p w14:paraId="54B4BDF6" w14:textId="77777777" w:rsidR="00264E55" w:rsidRDefault="008040BB">
      <w:pPr>
        <w:spacing w:line="360" w:lineRule="auto"/>
        <w:ind w:firstLineChars="200" w:firstLine="420"/>
        <w:rPr>
          <w:color w:val="000000" w:themeColor="text1"/>
        </w:rPr>
      </w:pPr>
      <w:r>
        <w:rPr>
          <w:rFonts w:hint="eastAsia"/>
          <w:color w:val="000000" w:themeColor="text1"/>
        </w:rPr>
        <w:t>（四）申购、赎回和基金转换的资金清算</w:t>
      </w:r>
    </w:p>
    <w:p w14:paraId="34E85F75" w14:textId="77777777" w:rsidR="00264E55" w:rsidRDefault="008040BB">
      <w:pPr>
        <w:spacing w:line="360" w:lineRule="auto"/>
        <w:ind w:firstLineChars="200" w:firstLine="420"/>
        <w:rPr>
          <w:color w:val="000000" w:themeColor="text1"/>
        </w:rPr>
      </w:pPr>
      <w:r>
        <w:rPr>
          <w:rFonts w:hint="eastAsia"/>
          <w:color w:val="000000" w:themeColor="text1"/>
        </w:rPr>
        <w:t>1</w:t>
      </w:r>
      <w:r>
        <w:rPr>
          <w:rFonts w:hint="eastAsia"/>
          <w:color w:val="000000" w:themeColor="text1"/>
        </w:rPr>
        <w:t>、</w:t>
      </w:r>
      <w:r>
        <w:rPr>
          <w:rFonts w:hint="eastAsia"/>
          <w:color w:val="000000" w:themeColor="text1"/>
        </w:rPr>
        <w:t>T</w:t>
      </w:r>
      <w:r>
        <w:rPr>
          <w:rFonts w:hint="eastAsia"/>
          <w:color w:val="000000" w:themeColor="text1"/>
        </w:rPr>
        <w:t>日，投资者进行基金申购、赎回和转换申请，基金管理人和基金托管人分别计算基金资产净值，并进行核对。</w:t>
      </w:r>
    </w:p>
    <w:p w14:paraId="51A2E438" w14:textId="77777777" w:rsidR="00264E55" w:rsidRDefault="008040BB">
      <w:pPr>
        <w:spacing w:line="360" w:lineRule="auto"/>
        <w:ind w:firstLineChars="200" w:firstLine="420"/>
        <w:rPr>
          <w:color w:val="000000" w:themeColor="text1"/>
        </w:rPr>
      </w:pPr>
      <w:r>
        <w:rPr>
          <w:rFonts w:hint="eastAsia"/>
          <w:color w:val="000000" w:themeColor="text1"/>
        </w:rPr>
        <w:t>2</w:t>
      </w:r>
      <w:r>
        <w:rPr>
          <w:rFonts w:hint="eastAsia"/>
          <w:color w:val="000000" w:themeColor="text1"/>
        </w:rPr>
        <w:t>、</w:t>
      </w:r>
      <w:r>
        <w:rPr>
          <w:rFonts w:hint="eastAsia"/>
          <w:color w:val="000000" w:themeColor="text1"/>
        </w:rPr>
        <w:t>T+1</w:t>
      </w:r>
      <w:r>
        <w:rPr>
          <w:rFonts w:hint="eastAsia"/>
          <w:color w:val="000000" w:themeColor="text1"/>
        </w:rPr>
        <w:t>日，登记机构根据</w:t>
      </w:r>
      <w:r>
        <w:rPr>
          <w:rFonts w:hint="eastAsia"/>
          <w:color w:val="000000" w:themeColor="text1"/>
        </w:rPr>
        <w:t>T</w:t>
      </w:r>
      <w:r>
        <w:rPr>
          <w:rFonts w:hint="eastAsia"/>
          <w:color w:val="000000" w:themeColor="text1"/>
        </w:rPr>
        <w:t>日基金份额净值计算申购份额、赎回金额及转换份额，更新基金份额持有人数据库；并将确认的申购、赎回及转换数据向基金托管人、基金管理人传送。基金管理人、基金托管人根据确认数据进行账务处理。</w:t>
      </w:r>
    </w:p>
    <w:p w14:paraId="711A1494" w14:textId="77777777" w:rsidR="00264E55" w:rsidRDefault="008040BB">
      <w:pPr>
        <w:spacing w:line="360" w:lineRule="auto"/>
        <w:ind w:firstLineChars="200" w:firstLine="420"/>
        <w:rPr>
          <w:color w:val="000000" w:themeColor="text1"/>
        </w:rPr>
      </w:pPr>
      <w:r>
        <w:rPr>
          <w:rFonts w:hint="eastAsia"/>
          <w:color w:val="000000" w:themeColor="text1"/>
        </w:rPr>
        <w:t>3</w:t>
      </w:r>
      <w:r>
        <w:rPr>
          <w:rFonts w:hint="eastAsia"/>
          <w:color w:val="000000" w:themeColor="text1"/>
        </w:rPr>
        <w:t>、基金托管账户与“基金清算账户”间实行</w:t>
      </w:r>
      <w:r>
        <w:rPr>
          <w:rFonts w:hint="eastAsia"/>
          <w:color w:val="000000" w:themeColor="text1"/>
        </w:rPr>
        <w:t>T+2</w:t>
      </w:r>
      <w:r>
        <w:rPr>
          <w:rFonts w:hint="eastAsia"/>
          <w:color w:val="000000" w:themeColor="text1"/>
        </w:rPr>
        <w:t>日进行申购款交收，</w:t>
      </w:r>
      <w:r>
        <w:rPr>
          <w:rFonts w:hint="eastAsia"/>
          <w:color w:val="000000" w:themeColor="text1"/>
        </w:rPr>
        <w:t>T+3</w:t>
      </w:r>
      <w:r>
        <w:rPr>
          <w:rFonts w:hint="eastAsia"/>
          <w:color w:val="000000" w:themeColor="text1"/>
        </w:rPr>
        <w:t>日进行</w:t>
      </w:r>
      <w:proofErr w:type="gramStart"/>
      <w:r>
        <w:rPr>
          <w:rFonts w:hint="eastAsia"/>
          <w:color w:val="000000" w:themeColor="text1"/>
        </w:rPr>
        <w:t>赎回款</w:t>
      </w:r>
      <w:proofErr w:type="gramEnd"/>
      <w:r>
        <w:rPr>
          <w:rFonts w:hint="eastAsia"/>
          <w:color w:val="000000" w:themeColor="text1"/>
        </w:rPr>
        <w:t>交收。</w:t>
      </w:r>
    </w:p>
    <w:p w14:paraId="1094629C" w14:textId="77777777" w:rsidR="00264E55" w:rsidRDefault="008040BB">
      <w:pPr>
        <w:spacing w:line="360" w:lineRule="auto"/>
        <w:ind w:firstLineChars="200" w:firstLine="420"/>
        <w:rPr>
          <w:color w:val="000000" w:themeColor="text1"/>
        </w:rPr>
      </w:pPr>
      <w:r>
        <w:rPr>
          <w:rFonts w:hint="eastAsia"/>
          <w:color w:val="000000" w:themeColor="text1"/>
        </w:rPr>
        <w:t>4</w:t>
      </w:r>
      <w:r>
        <w:rPr>
          <w:rFonts w:hint="eastAsia"/>
          <w:color w:val="000000" w:themeColor="text1"/>
        </w:rPr>
        <w:t>、基金托管账户与“基金清算账户”间的资金清算遵循“全额清算、净额交收”的原则，即按照托管账户当日应收额（包括申购资金及基金转换转入款）与托管账户应付额（含赎回资金、基金转换转出款及转换费）的差额来确定托管账户净应收额或净应付额，以此确定资金交收额。当存在托管账户净应收额时，基金管理人负责将托管账户净应收额在</w:t>
      </w:r>
      <w:proofErr w:type="gramStart"/>
      <w:r>
        <w:rPr>
          <w:rFonts w:hint="eastAsia"/>
          <w:color w:val="000000" w:themeColor="text1"/>
        </w:rPr>
        <w:t>交收日</w:t>
      </w:r>
      <w:proofErr w:type="gramEnd"/>
      <w:r>
        <w:rPr>
          <w:rFonts w:hint="eastAsia"/>
          <w:color w:val="000000" w:themeColor="text1"/>
        </w:rPr>
        <w:t>15:00</w:t>
      </w:r>
      <w:r>
        <w:rPr>
          <w:rFonts w:hint="eastAsia"/>
          <w:color w:val="000000" w:themeColor="text1"/>
        </w:rPr>
        <w:t>前从“基金清算账户”划到基金托管账户；当存在托管账户净应付额时，基金管理人需提前</w:t>
      </w:r>
      <w:r>
        <w:rPr>
          <w:rFonts w:hint="eastAsia"/>
          <w:color w:val="000000" w:themeColor="text1"/>
        </w:rPr>
        <w:t>2</w:t>
      </w:r>
      <w:r>
        <w:rPr>
          <w:rFonts w:hint="eastAsia"/>
          <w:color w:val="000000" w:themeColor="text1"/>
        </w:rPr>
        <w:t>小时发送划款指令，基金托管人按管理人的划款指令将托管账户净应付额在</w:t>
      </w:r>
      <w:proofErr w:type="gramStart"/>
      <w:r>
        <w:rPr>
          <w:rFonts w:hint="eastAsia"/>
          <w:color w:val="000000" w:themeColor="text1"/>
        </w:rPr>
        <w:t>交收日</w:t>
      </w:r>
      <w:proofErr w:type="gramEnd"/>
      <w:r>
        <w:rPr>
          <w:rFonts w:hint="eastAsia"/>
          <w:color w:val="000000" w:themeColor="text1"/>
        </w:rPr>
        <w:t>12:00</w:t>
      </w:r>
      <w:r>
        <w:rPr>
          <w:rFonts w:hint="eastAsia"/>
          <w:color w:val="000000" w:themeColor="text1"/>
        </w:rPr>
        <w:t>前划到“基金清算账户”。</w:t>
      </w:r>
    </w:p>
    <w:p w14:paraId="2797C36E" w14:textId="77777777" w:rsidR="00264E55" w:rsidRDefault="008040BB">
      <w:pPr>
        <w:spacing w:line="360" w:lineRule="auto"/>
        <w:ind w:firstLine="420"/>
        <w:rPr>
          <w:color w:val="000000" w:themeColor="text1"/>
        </w:rPr>
      </w:pPr>
      <w:r>
        <w:rPr>
          <w:color w:val="000000" w:themeColor="text1"/>
        </w:rPr>
        <w:t>5</w:t>
      </w:r>
      <w:r>
        <w:rPr>
          <w:rFonts w:hint="eastAsia"/>
          <w:color w:val="000000" w:themeColor="text1"/>
        </w:rPr>
        <w:t>、基金管理人未能按上款约定将托管账户应收额全额、及时汇至基金的托管账户，由此产生的责任应由该基金管理人承担；基金托管人未能按上款约定将托管账户应付额全额、及时汇至“基金清算账户”，由此产生的责任应由基金托管人承担。</w:t>
      </w:r>
    </w:p>
    <w:p w14:paraId="043114C1" w14:textId="77777777" w:rsidR="00264E55" w:rsidRDefault="008040BB">
      <w:pPr>
        <w:spacing w:line="360" w:lineRule="auto"/>
        <w:ind w:firstLine="420"/>
        <w:rPr>
          <w:color w:val="000000" w:themeColor="text1"/>
        </w:rPr>
      </w:pPr>
      <w:r>
        <w:rPr>
          <w:rFonts w:hint="eastAsia"/>
          <w:color w:val="000000" w:themeColor="text1"/>
        </w:rPr>
        <w:t>6</w:t>
      </w:r>
      <w:r>
        <w:rPr>
          <w:rFonts w:hint="eastAsia"/>
          <w:color w:val="000000" w:themeColor="text1"/>
        </w:rPr>
        <w:t>、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款项。</w:t>
      </w:r>
    </w:p>
    <w:p w14:paraId="69F5CFA8" w14:textId="77777777" w:rsidR="00264E55" w:rsidRDefault="00264E55">
      <w:pPr>
        <w:spacing w:line="360" w:lineRule="auto"/>
        <w:ind w:firstLine="420"/>
        <w:rPr>
          <w:color w:val="000000" w:themeColor="text1"/>
        </w:rPr>
      </w:pPr>
    </w:p>
    <w:p w14:paraId="162C4BEE" w14:textId="77777777" w:rsidR="00264E55" w:rsidRDefault="008040BB">
      <w:pPr>
        <w:pStyle w:val="1"/>
        <w:numPr>
          <w:ilvl w:val="0"/>
          <w:numId w:val="1"/>
        </w:numPr>
        <w:spacing w:before="120" w:after="120" w:line="360" w:lineRule="auto"/>
        <w:jc w:val="center"/>
        <w:rPr>
          <w:rFonts w:ascii="宋体"/>
          <w:color w:val="000000" w:themeColor="text1"/>
          <w:kern w:val="0"/>
          <w:sz w:val="24"/>
          <w:szCs w:val="24"/>
        </w:rPr>
      </w:pPr>
      <w:bookmarkStart w:id="17" w:name="_Toc421544161"/>
      <w:bookmarkStart w:id="18" w:name="_Toc881138"/>
      <w:bookmarkStart w:id="19" w:name="_Toc394474003"/>
      <w:bookmarkEnd w:id="17"/>
      <w:r>
        <w:rPr>
          <w:rFonts w:ascii="宋体" w:hint="eastAsia"/>
          <w:color w:val="000000" w:themeColor="text1"/>
          <w:kern w:val="0"/>
          <w:sz w:val="24"/>
          <w:szCs w:val="24"/>
        </w:rPr>
        <w:t>基金资产净值计算和会计核算</w:t>
      </w:r>
      <w:bookmarkEnd w:id="18"/>
      <w:bookmarkEnd w:id="19"/>
    </w:p>
    <w:p w14:paraId="3C69B284" w14:textId="77777777" w:rsidR="00264E55" w:rsidRDefault="00264E55">
      <w:pPr>
        <w:pStyle w:val="af3"/>
        <w:ind w:left="450" w:firstLineChars="0" w:firstLine="0"/>
        <w:rPr>
          <w:color w:val="000000" w:themeColor="text1"/>
        </w:rPr>
      </w:pPr>
    </w:p>
    <w:p w14:paraId="3DF24F9D" w14:textId="77777777" w:rsidR="00264E55" w:rsidRDefault="008040BB">
      <w:pPr>
        <w:spacing w:line="360" w:lineRule="auto"/>
        <w:ind w:firstLine="420"/>
        <w:rPr>
          <w:color w:val="000000" w:themeColor="text1"/>
          <w:szCs w:val="21"/>
        </w:rPr>
      </w:pPr>
      <w:r>
        <w:rPr>
          <w:rFonts w:hint="eastAsia"/>
          <w:color w:val="000000" w:themeColor="text1"/>
          <w:szCs w:val="21"/>
        </w:rPr>
        <w:t>（一）基金资产净值的计算和复核</w:t>
      </w:r>
    </w:p>
    <w:p w14:paraId="13E515D3" w14:textId="77777777" w:rsidR="00264E55" w:rsidRDefault="008040BB">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、基金资产净值</w:t>
      </w:r>
    </w:p>
    <w:p w14:paraId="568306A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基金资产净值是指基金资产总值减去基金负债后的价值。</w:t>
      </w:r>
    </w:p>
    <w:p w14:paraId="7BA448E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各类基金份额净值是按照每个估值日闭市后，各类基金份额的基金资产净值除以当日该</w:t>
      </w:r>
      <w:r>
        <w:rPr>
          <w:rFonts w:hint="eastAsia"/>
          <w:color w:val="000000" w:themeColor="text1"/>
          <w:szCs w:val="21"/>
        </w:rPr>
        <w:lastRenderedPageBreak/>
        <w:t>类基金份额的余额数量计算，均精确到</w:t>
      </w:r>
      <w:r>
        <w:rPr>
          <w:rFonts w:hint="eastAsia"/>
          <w:color w:val="000000" w:themeColor="text1"/>
          <w:szCs w:val="21"/>
        </w:rPr>
        <w:t>0.0001</w:t>
      </w:r>
      <w:r>
        <w:rPr>
          <w:rFonts w:hint="eastAsia"/>
          <w:color w:val="000000" w:themeColor="text1"/>
          <w:szCs w:val="21"/>
        </w:rPr>
        <w:t>元，小数点后第</w:t>
      </w:r>
      <w:r>
        <w:rPr>
          <w:rFonts w:hint="eastAsia"/>
          <w:color w:val="000000" w:themeColor="text1"/>
          <w:szCs w:val="21"/>
        </w:rPr>
        <w:t>5</w:t>
      </w:r>
      <w:r>
        <w:rPr>
          <w:rFonts w:hint="eastAsia"/>
          <w:color w:val="000000" w:themeColor="text1"/>
          <w:szCs w:val="21"/>
        </w:rPr>
        <w:t>位四舍五入。基金管理人可以设立大额赎回情形下的净值精度应急调整机制。国家另有规定的，从其规定。</w:t>
      </w:r>
    </w:p>
    <w:p w14:paraId="688DC43F" w14:textId="77777777" w:rsidR="00264E55" w:rsidRDefault="008040BB">
      <w:pPr>
        <w:spacing w:line="360" w:lineRule="auto"/>
        <w:ind w:firstLineChars="200" w:firstLine="420"/>
        <w:rPr>
          <w:color w:val="000000" w:themeColor="text1"/>
          <w:szCs w:val="21"/>
        </w:rPr>
      </w:pPr>
      <w:r>
        <w:rPr>
          <w:color w:val="000000" w:themeColor="text1"/>
          <w:szCs w:val="21"/>
        </w:rPr>
        <w:t>2</w:t>
      </w:r>
      <w:r>
        <w:rPr>
          <w:rFonts w:hint="eastAsia"/>
          <w:color w:val="000000" w:themeColor="text1"/>
          <w:szCs w:val="21"/>
        </w:rPr>
        <w:t>、复核程序</w:t>
      </w:r>
    </w:p>
    <w:p w14:paraId="21AE8852" w14:textId="77777777" w:rsidR="00264E55" w:rsidRDefault="008040BB">
      <w:pPr>
        <w:spacing w:line="360" w:lineRule="auto"/>
        <w:ind w:firstLine="420"/>
        <w:jc w:val="left"/>
        <w:rPr>
          <w:color w:val="000000" w:themeColor="text1"/>
          <w:szCs w:val="21"/>
        </w:rPr>
      </w:pPr>
      <w:r>
        <w:rPr>
          <w:rFonts w:hint="eastAsia"/>
          <w:color w:val="000000" w:themeColor="text1"/>
          <w:szCs w:val="21"/>
        </w:rPr>
        <w:t>基金管理人</w:t>
      </w:r>
      <w:proofErr w:type="gramStart"/>
      <w:r>
        <w:rPr>
          <w:rFonts w:hint="eastAsia"/>
          <w:color w:val="000000" w:themeColor="text1"/>
          <w:szCs w:val="21"/>
        </w:rPr>
        <w:t>应每个</w:t>
      </w:r>
      <w:proofErr w:type="gramEnd"/>
      <w:r>
        <w:rPr>
          <w:rFonts w:hint="eastAsia"/>
          <w:color w:val="000000" w:themeColor="text1"/>
          <w:szCs w:val="21"/>
        </w:rPr>
        <w:t>估值日对基金资产估值，但基金管理人根据法律法规或</w:t>
      </w:r>
      <w:r>
        <w:rPr>
          <w:rFonts w:ascii="宋体" w:hAnsi="Calibri" w:cs="宋体" w:hint="eastAsia"/>
          <w:color w:val="000000" w:themeColor="text1"/>
          <w:kern w:val="0"/>
          <w:szCs w:val="21"/>
        </w:rPr>
        <w:t>《基金合同》</w:t>
      </w:r>
      <w:r>
        <w:rPr>
          <w:rFonts w:hint="eastAsia"/>
          <w:color w:val="000000" w:themeColor="text1"/>
          <w:szCs w:val="21"/>
        </w:rPr>
        <w:t>的规定暂停估值时除外。估值原则应符合《基金合同》、《证券投资基金会计核算业务指引》及其他法律、法规的规定。基金资产净值和各类基金份额净值由基金管理人负责计算，基金托管人复核。基金管理人应于每个估值日对基金资产估值后，将基金资产净值、各类基金份额净值以双方认可的方式发送给基金托管人。基金托管人对净值计算结果复核后以双方认可的方式发送给基金管理人，由基金管理人按规定对基金净值予以公布。</w:t>
      </w:r>
    </w:p>
    <w:p w14:paraId="3FB066B0" w14:textId="77777777" w:rsidR="00264E55" w:rsidRDefault="008040BB">
      <w:pPr>
        <w:spacing w:line="360" w:lineRule="auto"/>
        <w:ind w:firstLine="420"/>
        <w:jc w:val="left"/>
        <w:rPr>
          <w:color w:val="000000" w:themeColor="text1"/>
        </w:rPr>
      </w:pPr>
      <w:r>
        <w:rPr>
          <w:rFonts w:hint="eastAsia"/>
          <w:color w:val="000000" w:themeColor="text1"/>
          <w:szCs w:val="21"/>
        </w:rPr>
        <w:t>根据《基金法》，基金管理人计算并公告基金净值信息，基金托管人复核、审查基金管</w:t>
      </w:r>
      <w:r>
        <w:rPr>
          <w:rFonts w:hint="eastAsia"/>
          <w:color w:val="000000" w:themeColor="text1"/>
        </w:rPr>
        <w:t>理人计算的基金资产净值。因此，本基金的会计责任方是基金管理人，就与本基金有关的会计问题，如经相关各方在平等基础上充分讨论后，仍无法达成一致的意见，按照基金管理人对基金净值</w:t>
      </w:r>
      <w:r>
        <w:rPr>
          <w:rFonts w:hint="eastAsia"/>
          <w:color w:val="000000" w:themeColor="text1"/>
          <w:szCs w:val="21"/>
        </w:rPr>
        <w:t>信息</w:t>
      </w:r>
      <w:r>
        <w:rPr>
          <w:rFonts w:hint="eastAsia"/>
          <w:color w:val="000000" w:themeColor="text1"/>
        </w:rPr>
        <w:t>的计算结果对外予以公布。法律法规以及监管部门有强制规定的，从其规定。如有新增事项，按最新规定估值。</w:t>
      </w:r>
    </w:p>
    <w:p w14:paraId="6D6050EA" w14:textId="77777777" w:rsidR="00264E55" w:rsidRDefault="008040BB">
      <w:pPr>
        <w:spacing w:line="360" w:lineRule="auto"/>
        <w:ind w:firstLineChars="150" w:firstLine="315"/>
        <w:rPr>
          <w:color w:val="000000" w:themeColor="text1"/>
        </w:rPr>
      </w:pPr>
      <w:r>
        <w:rPr>
          <w:rFonts w:hint="eastAsia"/>
          <w:color w:val="000000" w:themeColor="text1"/>
        </w:rPr>
        <w:t>（二）基金资产估值方法</w:t>
      </w:r>
    </w:p>
    <w:p w14:paraId="230D1F30" w14:textId="77777777" w:rsidR="00264E55" w:rsidRDefault="008040BB">
      <w:pPr>
        <w:spacing w:line="360" w:lineRule="auto"/>
        <w:ind w:firstLineChars="200" w:firstLine="420"/>
        <w:rPr>
          <w:color w:val="000000" w:themeColor="text1"/>
        </w:rPr>
      </w:pPr>
      <w:r>
        <w:rPr>
          <w:color w:val="000000" w:themeColor="text1"/>
        </w:rPr>
        <w:t>1</w:t>
      </w:r>
      <w:r>
        <w:rPr>
          <w:rFonts w:hint="eastAsia"/>
          <w:color w:val="000000" w:themeColor="text1"/>
        </w:rPr>
        <w:t>、估值对象</w:t>
      </w:r>
    </w:p>
    <w:p w14:paraId="497249C8" w14:textId="77777777" w:rsidR="00264E55" w:rsidRDefault="008040BB">
      <w:pPr>
        <w:spacing w:line="360" w:lineRule="auto"/>
        <w:ind w:firstLineChars="200" w:firstLine="420"/>
        <w:rPr>
          <w:color w:val="000000" w:themeColor="text1"/>
        </w:rPr>
      </w:pPr>
      <w:r>
        <w:rPr>
          <w:rFonts w:hint="eastAsia"/>
          <w:color w:val="000000" w:themeColor="text1"/>
        </w:rPr>
        <w:t>基金所拥有的目标</w:t>
      </w:r>
      <w:r>
        <w:rPr>
          <w:rFonts w:hint="eastAsia"/>
          <w:color w:val="000000" w:themeColor="text1"/>
        </w:rPr>
        <w:t>ETF</w:t>
      </w:r>
      <w:r>
        <w:rPr>
          <w:rFonts w:hint="eastAsia"/>
          <w:color w:val="000000" w:themeColor="text1"/>
        </w:rPr>
        <w:t>基金份额、股票、债券、银行存款本息、应收款项、金融衍生品、资产支持证券和其他投资等资产及负债。</w:t>
      </w:r>
    </w:p>
    <w:p w14:paraId="4085533A" w14:textId="77777777" w:rsidR="00264E55" w:rsidRDefault="008040BB">
      <w:pPr>
        <w:spacing w:line="360" w:lineRule="auto"/>
        <w:ind w:firstLineChars="200" w:firstLine="420"/>
        <w:rPr>
          <w:color w:val="000000" w:themeColor="text1"/>
        </w:rPr>
      </w:pPr>
      <w:r>
        <w:rPr>
          <w:color w:val="000000" w:themeColor="text1"/>
        </w:rPr>
        <w:t>2</w:t>
      </w:r>
      <w:r>
        <w:rPr>
          <w:rFonts w:hint="eastAsia"/>
          <w:color w:val="000000" w:themeColor="text1"/>
        </w:rPr>
        <w:t>、估值方法</w:t>
      </w:r>
    </w:p>
    <w:p w14:paraId="55D69C2E"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）目标</w:t>
      </w:r>
      <w:r>
        <w:rPr>
          <w:rFonts w:hint="eastAsia"/>
          <w:color w:val="000000" w:themeColor="text1"/>
        </w:rPr>
        <w:t>ETF</w:t>
      </w:r>
      <w:r>
        <w:rPr>
          <w:rFonts w:hint="eastAsia"/>
          <w:color w:val="000000" w:themeColor="text1"/>
        </w:rPr>
        <w:t>的估值</w:t>
      </w:r>
    </w:p>
    <w:p w14:paraId="25326ED3" w14:textId="77777777" w:rsidR="00264E55" w:rsidRDefault="008040BB">
      <w:pPr>
        <w:spacing w:line="360" w:lineRule="auto"/>
        <w:ind w:firstLineChars="200" w:firstLine="420"/>
        <w:rPr>
          <w:color w:val="000000" w:themeColor="text1"/>
        </w:rPr>
      </w:pPr>
      <w:r>
        <w:rPr>
          <w:rFonts w:hint="eastAsia"/>
          <w:color w:val="000000" w:themeColor="text1"/>
        </w:rPr>
        <w:t>本基金投资的目标</w:t>
      </w:r>
      <w:r>
        <w:rPr>
          <w:rFonts w:hint="eastAsia"/>
          <w:color w:val="000000" w:themeColor="text1"/>
        </w:rPr>
        <w:t>ETF</w:t>
      </w:r>
      <w:r>
        <w:rPr>
          <w:rFonts w:hint="eastAsia"/>
          <w:color w:val="000000" w:themeColor="text1"/>
        </w:rPr>
        <w:t>份额以其估值日基金份额净值估值，如该日目标</w:t>
      </w:r>
      <w:r>
        <w:rPr>
          <w:rFonts w:hint="eastAsia"/>
          <w:color w:val="000000" w:themeColor="text1"/>
        </w:rPr>
        <w:t>ETF</w:t>
      </w:r>
      <w:r>
        <w:rPr>
          <w:rFonts w:hint="eastAsia"/>
          <w:color w:val="000000" w:themeColor="text1"/>
        </w:rPr>
        <w:t>未公布净值，则按目标</w:t>
      </w:r>
      <w:r>
        <w:rPr>
          <w:rFonts w:hint="eastAsia"/>
          <w:color w:val="000000" w:themeColor="text1"/>
        </w:rPr>
        <w:t>ETF</w:t>
      </w:r>
      <w:r>
        <w:rPr>
          <w:rFonts w:hint="eastAsia"/>
          <w:color w:val="000000" w:themeColor="text1"/>
        </w:rPr>
        <w:t>最近公布的净值估值。</w:t>
      </w:r>
    </w:p>
    <w:p w14:paraId="1AD24D87"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）以公允价值计量的权益品种的估值</w:t>
      </w:r>
    </w:p>
    <w:p w14:paraId="10F4E25A" w14:textId="77777777" w:rsidR="00264E55" w:rsidRDefault="008040BB">
      <w:pPr>
        <w:spacing w:line="360" w:lineRule="auto"/>
        <w:ind w:firstLineChars="200" w:firstLine="420"/>
        <w:rPr>
          <w:color w:val="000000" w:themeColor="text1"/>
        </w:rPr>
      </w:pPr>
      <w:r>
        <w:rPr>
          <w:rFonts w:hint="eastAsia"/>
          <w:color w:val="000000" w:themeColor="text1"/>
        </w:rPr>
        <w:t>1</w:t>
      </w:r>
      <w:r>
        <w:rPr>
          <w:rFonts w:hint="eastAsia"/>
          <w:color w:val="000000" w:themeColor="text1"/>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1D9C53EA" w14:textId="77777777" w:rsidR="00264E55" w:rsidRDefault="008040BB">
      <w:pPr>
        <w:spacing w:line="360" w:lineRule="auto"/>
        <w:ind w:firstLineChars="200" w:firstLine="420"/>
        <w:rPr>
          <w:color w:val="000000" w:themeColor="text1"/>
        </w:rPr>
      </w:pPr>
      <w:r>
        <w:rPr>
          <w:rFonts w:hint="eastAsia"/>
          <w:color w:val="000000" w:themeColor="text1"/>
        </w:rPr>
        <w:t>2</w:t>
      </w:r>
      <w:r>
        <w:rPr>
          <w:rFonts w:hint="eastAsia"/>
          <w:color w:val="000000" w:themeColor="text1"/>
        </w:rPr>
        <w:t>）交易所处于未上市期间的有价权益证券应区分如下情况处理：</w:t>
      </w:r>
    </w:p>
    <w:p w14:paraId="114BFAD9" w14:textId="77777777" w:rsidR="00264E55" w:rsidRDefault="008040BB">
      <w:pPr>
        <w:spacing w:line="360" w:lineRule="auto"/>
        <w:ind w:firstLineChars="200" w:firstLine="420"/>
        <w:rPr>
          <w:color w:val="000000" w:themeColor="text1"/>
        </w:rPr>
      </w:pPr>
      <w:r>
        <w:rPr>
          <w:rFonts w:hint="eastAsia"/>
          <w:color w:val="000000" w:themeColor="text1"/>
        </w:rPr>
        <w:lastRenderedPageBreak/>
        <w:t>①送股、转增股、配股和公开增发的新股，按估值日在证券交易所挂牌的同一股票的估值方法估值；该日无交易的，以最近一日的市价（收盘价）估值。</w:t>
      </w:r>
    </w:p>
    <w:p w14:paraId="2AE30B35" w14:textId="77777777" w:rsidR="00264E55" w:rsidRDefault="008040BB">
      <w:pPr>
        <w:spacing w:line="360" w:lineRule="auto"/>
        <w:ind w:firstLineChars="200" w:firstLine="420"/>
        <w:rPr>
          <w:color w:val="000000" w:themeColor="text1"/>
        </w:rPr>
      </w:pPr>
      <w:r>
        <w:rPr>
          <w:rFonts w:hint="eastAsia"/>
          <w:color w:val="000000" w:themeColor="text1"/>
        </w:rPr>
        <w:t>②首次公开发行未上市的股票，采用估值技术确定公允价值，在估值技术难以可靠计量公允价值的情况下，按成本估值。</w:t>
      </w:r>
    </w:p>
    <w:p w14:paraId="6331C8D1" w14:textId="77777777" w:rsidR="00264E55" w:rsidRDefault="008040BB">
      <w:pPr>
        <w:spacing w:line="360" w:lineRule="auto"/>
        <w:ind w:firstLineChars="200" w:firstLine="420"/>
        <w:rPr>
          <w:color w:val="000000" w:themeColor="text1"/>
        </w:rPr>
      </w:pPr>
      <w:r>
        <w:rPr>
          <w:rFonts w:hint="eastAsia"/>
          <w:color w:val="000000" w:themeColor="text1"/>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color w:val="000000" w:themeColor="text1"/>
        </w:rPr>
        <w:t>券</w:t>
      </w:r>
      <w:proofErr w:type="gramEnd"/>
      <w:r>
        <w:rPr>
          <w:rFonts w:hint="eastAsia"/>
          <w:color w:val="000000" w:themeColor="text1"/>
        </w:rPr>
        <w:t>等流通受限股票，按监管机构或行业协会有关规定确定公允价值。</w:t>
      </w:r>
    </w:p>
    <w:p w14:paraId="07F1EE98"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）以公允价值计量的固定收益品种的估值</w:t>
      </w:r>
    </w:p>
    <w:p w14:paraId="675AE993" w14:textId="77777777" w:rsidR="00264E55" w:rsidRDefault="008040BB">
      <w:pPr>
        <w:spacing w:line="360" w:lineRule="auto"/>
        <w:ind w:firstLineChars="200" w:firstLine="420"/>
        <w:rPr>
          <w:color w:val="000000" w:themeColor="text1"/>
        </w:rPr>
      </w:pPr>
      <w:r>
        <w:rPr>
          <w:rFonts w:hint="eastAsia"/>
          <w:color w:val="000000" w:themeColor="text1"/>
        </w:rPr>
        <w:t>1</w:t>
      </w:r>
      <w:r>
        <w:rPr>
          <w:rFonts w:hint="eastAsia"/>
          <w:color w:val="000000" w:themeColor="text1"/>
        </w:rPr>
        <w:t>）对于已上市或已挂牌转让的不含</w:t>
      </w:r>
      <w:proofErr w:type="gramStart"/>
      <w:r>
        <w:rPr>
          <w:rFonts w:hint="eastAsia"/>
          <w:color w:val="000000" w:themeColor="text1"/>
        </w:rPr>
        <w:t>权固定</w:t>
      </w:r>
      <w:proofErr w:type="gramEnd"/>
      <w:r>
        <w:rPr>
          <w:rFonts w:hint="eastAsia"/>
          <w:color w:val="000000" w:themeColor="text1"/>
        </w:rPr>
        <w:t>收益品种（另有规定的除外），选取第三方估值基准服务机构提供的相应品种当日的估值全价，基金管理人应根据相关法律、法规的规定进行涉税处理（下同）。</w:t>
      </w:r>
    </w:p>
    <w:p w14:paraId="25BF9AA0" w14:textId="77777777" w:rsidR="00264E55" w:rsidRDefault="008040BB">
      <w:pPr>
        <w:spacing w:line="360" w:lineRule="auto"/>
        <w:ind w:firstLineChars="200" w:firstLine="420"/>
        <w:rPr>
          <w:color w:val="000000" w:themeColor="text1"/>
        </w:rPr>
      </w:pPr>
      <w:r>
        <w:rPr>
          <w:rFonts w:hint="eastAsia"/>
          <w:color w:val="000000" w:themeColor="text1"/>
        </w:rPr>
        <w:t>2</w:t>
      </w:r>
      <w:r>
        <w:rPr>
          <w:rFonts w:hint="eastAsia"/>
          <w:color w:val="000000" w:themeColor="text1"/>
        </w:rPr>
        <w:t>）对于已上市或已挂牌转让的含</w:t>
      </w:r>
      <w:proofErr w:type="gramStart"/>
      <w:r>
        <w:rPr>
          <w:rFonts w:hint="eastAsia"/>
          <w:color w:val="000000" w:themeColor="text1"/>
        </w:rPr>
        <w:t>权固定</w:t>
      </w:r>
      <w:proofErr w:type="gramEnd"/>
      <w:r>
        <w:rPr>
          <w:rFonts w:hint="eastAsia"/>
          <w:color w:val="000000" w:themeColor="text1"/>
        </w:rPr>
        <w:t>收益品种（另有规定的除外），选取第三方估值基准服务机构提供的相应品种当日的唯一估值全价或推荐估值全价。</w:t>
      </w:r>
    </w:p>
    <w:p w14:paraId="429BA705" w14:textId="77777777" w:rsidR="00264E55" w:rsidRDefault="008040BB">
      <w:pPr>
        <w:spacing w:line="360" w:lineRule="auto"/>
        <w:ind w:firstLineChars="200" w:firstLine="420"/>
        <w:rPr>
          <w:color w:val="000000" w:themeColor="text1"/>
        </w:rPr>
      </w:pPr>
      <w:r>
        <w:rPr>
          <w:rFonts w:hint="eastAsia"/>
          <w:color w:val="000000" w:themeColor="text1"/>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8633BD0" w14:textId="77777777" w:rsidR="00264E55" w:rsidRDefault="008040BB">
      <w:pPr>
        <w:spacing w:line="360" w:lineRule="auto"/>
        <w:ind w:firstLineChars="200" w:firstLine="420"/>
        <w:rPr>
          <w:color w:val="000000" w:themeColor="text1"/>
        </w:rPr>
      </w:pPr>
      <w:r>
        <w:rPr>
          <w:rFonts w:hint="eastAsia"/>
          <w:color w:val="000000" w:themeColor="text1"/>
        </w:rPr>
        <w:t>3</w:t>
      </w:r>
      <w:r>
        <w:rPr>
          <w:rFonts w:hint="eastAsia"/>
          <w:color w:val="000000" w:themeColor="text1"/>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41FA81F7" w14:textId="77777777" w:rsidR="00264E55" w:rsidRDefault="008040BB">
      <w:pPr>
        <w:spacing w:line="360" w:lineRule="auto"/>
        <w:ind w:firstLineChars="200" w:firstLine="420"/>
        <w:rPr>
          <w:color w:val="000000" w:themeColor="text1"/>
        </w:rPr>
      </w:pPr>
      <w:r>
        <w:rPr>
          <w:rFonts w:hint="eastAsia"/>
          <w:color w:val="000000" w:themeColor="text1"/>
        </w:rPr>
        <w:t>4</w:t>
      </w:r>
      <w:r>
        <w:rPr>
          <w:rFonts w:hint="eastAsia"/>
          <w:color w:val="000000" w:themeColor="text1"/>
        </w:rPr>
        <w:t>）对于未上市或未挂牌转让且不存在活跃市场的固定收益品种，应采用在当前情况下适用并且有足够可利用数据和其他信息支持的估值技术确定其公允价值。</w:t>
      </w:r>
    </w:p>
    <w:p w14:paraId="4258ADAF" w14:textId="77777777" w:rsidR="00264E55" w:rsidRDefault="008040BB">
      <w:pPr>
        <w:spacing w:line="360" w:lineRule="auto"/>
        <w:ind w:firstLineChars="200" w:firstLine="420"/>
        <w:rPr>
          <w:color w:val="000000" w:themeColor="text1"/>
        </w:rPr>
      </w:pPr>
      <w:r>
        <w:rPr>
          <w:rFonts w:hint="eastAsia"/>
          <w:color w:val="000000" w:themeColor="text1"/>
        </w:rPr>
        <w:t>5</w:t>
      </w:r>
      <w:r>
        <w:rPr>
          <w:rFonts w:hint="eastAsia"/>
          <w:color w:val="000000" w:themeColor="text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F0BDAF4" w14:textId="77777777" w:rsidR="00264E55" w:rsidRDefault="008040BB">
      <w:pPr>
        <w:spacing w:line="360" w:lineRule="auto"/>
        <w:ind w:firstLineChars="200" w:firstLine="420"/>
        <w:rPr>
          <w:color w:val="000000" w:themeColor="text1"/>
        </w:rPr>
      </w:pPr>
      <w:r>
        <w:rPr>
          <w:rFonts w:hint="eastAsia"/>
          <w:color w:val="000000" w:themeColor="text1"/>
        </w:rPr>
        <w:t>6</w:t>
      </w:r>
      <w:r>
        <w:rPr>
          <w:rFonts w:hint="eastAsia"/>
          <w:color w:val="000000" w:themeColor="text1"/>
        </w:rPr>
        <w:t>）当基金管理人认为第三方估值基准服务机构发布的估值或估值区间未能体现公允价值时，基金管理人应综合第三方估值基准服务机构估值结果以及内部评估结果，经与基金托</w:t>
      </w:r>
      <w:r>
        <w:rPr>
          <w:rFonts w:hint="eastAsia"/>
          <w:color w:val="000000" w:themeColor="text1"/>
        </w:rPr>
        <w:lastRenderedPageBreak/>
        <w:t>管人协商，谨慎确定公允价值，并按相关法规的规定，发布相关公告，充分披露确定公允价值的方法、相关估值结果等信息。</w:t>
      </w:r>
    </w:p>
    <w:p w14:paraId="64DBAE50"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）同一证券同时在两个或两个以上市场交易的，按证券所处的市场分别估值。</w:t>
      </w:r>
    </w:p>
    <w:p w14:paraId="5ABB0D93"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）本基金投资股指期货合约，一般以估值当日结算价进行估值，估值当日无结算价的，且最近交易日后经济环境未发生重大变化的，采用最近交易日结算价估值。如法律法规今后另有规定的，从其规定。</w:t>
      </w:r>
    </w:p>
    <w:p w14:paraId="5504AA6D" w14:textId="77777777" w:rsidR="00264E55" w:rsidRDefault="008040BB">
      <w:pPr>
        <w:spacing w:line="360" w:lineRule="auto"/>
        <w:ind w:firstLineChars="200" w:firstLine="420"/>
        <w:rPr>
          <w:color w:val="000000" w:themeColor="text1"/>
        </w:rPr>
      </w:pPr>
      <w:r>
        <w:rPr>
          <w:rFonts w:hint="eastAsia"/>
          <w:color w:val="000000" w:themeColor="text1"/>
        </w:rPr>
        <w:t>本基金投资股票期权合约，根据相关法律法规以及监管部门的规定估值。</w:t>
      </w:r>
    </w:p>
    <w:p w14:paraId="2F0AF243"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）基金参与融资和转融通证券出借业务的，应参照相关法律法规和中国证券投资基金业协会发布的相关规定进行估值，确保估值的公允性。</w:t>
      </w:r>
    </w:p>
    <w:p w14:paraId="51FCC5F0"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）当发生大额申购或赎回情形时，基金管理人可以采用摆动定价机制，以确保基金估值的公平性。具体处理原则与操作规范遵循相关法律法规以及监管部门、自律组织的规定。</w:t>
      </w:r>
    </w:p>
    <w:p w14:paraId="69425A9B"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）本基金投资存托凭证的估值核算依照境内上市交易的股票执行。</w:t>
      </w:r>
    </w:p>
    <w:p w14:paraId="319AE505"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9</w:t>
      </w:r>
      <w:r>
        <w:rPr>
          <w:rFonts w:hint="eastAsia"/>
          <w:color w:val="000000" w:themeColor="text1"/>
        </w:rPr>
        <w:t>）如有确凿证据表明按原有方法进行估值不能客观反映上述资产或负债公允价值的，基金管理人可根据具体情况与基金托管人商定后，按最能反映公允价值的方法估值。</w:t>
      </w:r>
    </w:p>
    <w:p w14:paraId="1E50BC32" w14:textId="77777777" w:rsidR="00264E55" w:rsidRDefault="008040BB">
      <w:pPr>
        <w:spacing w:line="360" w:lineRule="auto"/>
        <w:ind w:firstLineChars="200" w:firstLine="420"/>
        <w:rPr>
          <w:color w:val="000000" w:themeColor="text1"/>
        </w:rPr>
      </w:pPr>
      <w:r>
        <w:rPr>
          <w:rFonts w:hint="eastAsia"/>
          <w:color w:val="000000" w:themeColor="text1"/>
        </w:rPr>
        <w:t>（</w:t>
      </w:r>
      <w:r>
        <w:rPr>
          <w:rFonts w:hint="eastAsia"/>
          <w:color w:val="000000" w:themeColor="text1"/>
        </w:rPr>
        <w:t>1</w:t>
      </w:r>
      <w:r>
        <w:rPr>
          <w:color w:val="000000" w:themeColor="text1"/>
        </w:rPr>
        <w:t>0</w:t>
      </w:r>
      <w:r>
        <w:rPr>
          <w:rFonts w:hint="eastAsia"/>
          <w:color w:val="000000" w:themeColor="text1"/>
        </w:rPr>
        <w:t>）相关法律法规以及监管部门、自律规则另有规定的，从其规定。如有新增事项，按国家最新规定估值。</w:t>
      </w:r>
    </w:p>
    <w:p w14:paraId="1A5099AA" w14:textId="77777777" w:rsidR="00264E55" w:rsidRDefault="008040BB">
      <w:pPr>
        <w:spacing w:line="360" w:lineRule="auto"/>
        <w:ind w:firstLineChars="200" w:firstLine="420"/>
        <w:rPr>
          <w:color w:val="000000" w:themeColor="text1"/>
        </w:rPr>
      </w:pPr>
      <w:r>
        <w:rPr>
          <w:rFonts w:hint="eastAsia"/>
          <w:color w:val="000000" w:themeColor="text1"/>
        </w:rPr>
        <w:t>如基金管理人或基金托管人发现基金估值违反基金合同订明的估值方法、程序及相关法律法规的规定或者未能充分维护基金份额持有人利益时，应立即通知对方，共同查明原因，双方协商解决。</w:t>
      </w:r>
    </w:p>
    <w:p w14:paraId="2123DDE2" w14:textId="77777777" w:rsidR="00264E55" w:rsidRDefault="008040BB">
      <w:pPr>
        <w:spacing w:line="360" w:lineRule="auto"/>
        <w:ind w:firstLineChars="200" w:firstLine="420"/>
        <w:rPr>
          <w:color w:val="000000" w:themeColor="text1"/>
        </w:rPr>
      </w:pPr>
      <w:r>
        <w:rPr>
          <w:rFonts w:hint="eastAsia"/>
          <w:color w:val="000000" w:themeColor="text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7803F9B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（三）基金份额净值错误的处理方式</w:t>
      </w:r>
    </w:p>
    <w:p w14:paraId="4B90FBA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基金管理人和基金托管人将采取必要、适当、合理的措施确保基金资产估值的准确性、及时性。当任一类基金份额净值小数点后</w:t>
      </w:r>
      <w:r>
        <w:rPr>
          <w:rFonts w:hint="eastAsia"/>
          <w:color w:val="000000" w:themeColor="text1"/>
          <w:szCs w:val="21"/>
        </w:rPr>
        <w:t>4</w:t>
      </w:r>
      <w:r>
        <w:rPr>
          <w:rFonts w:hint="eastAsia"/>
          <w:color w:val="000000" w:themeColor="text1"/>
          <w:szCs w:val="21"/>
        </w:rPr>
        <w:t>位以内（含第</w:t>
      </w:r>
      <w:r>
        <w:rPr>
          <w:rFonts w:hint="eastAsia"/>
          <w:color w:val="000000" w:themeColor="text1"/>
          <w:szCs w:val="21"/>
        </w:rPr>
        <w:t>4</w:t>
      </w:r>
      <w:r>
        <w:rPr>
          <w:rFonts w:hint="eastAsia"/>
          <w:color w:val="000000" w:themeColor="text1"/>
          <w:szCs w:val="21"/>
        </w:rPr>
        <w:t>位）发生估值错误时，视为该类基金份额净值错误。</w:t>
      </w:r>
    </w:p>
    <w:p w14:paraId="141281B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托管协议的当事人应按照以下约定处理：</w:t>
      </w:r>
    </w:p>
    <w:p w14:paraId="2508349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、估值错误类型</w:t>
      </w:r>
    </w:p>
    <w:p w14:paraId="46D61ACF" w14:textId="77777777" w:rsidR="00264E55" w:rsidRDefault="008040BB">
      <w:pPr>
        <w:spacing w:line="360" w:lineRule="auto"/>
        <w:ind w:firstLineChars="200" w:firstLine="420"/>
        <w:rPr>
          <w:color w:val="000000" w:themeColor="text1"/>
          <w:szCs w:val="21"/>
        </w:rPr>
      </w:pPr>
      <w:r>
        <w:rPr>
          <w:rFonts w:hint="eastAsia"/>
          <w:color w:val="000000" w:themeColor="text1"/>
          <w:szCs w:val="2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ECF598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13A98FB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AFA4D5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、估值错误处理原则</w:t>
      </w:r>
    </w:p>
    <w:p w14:paraId="1F7707B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46F8EA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）估值错误的责任方对有关当事人的直接损失负责，不对间接损失负责，并且仅对估值错误的有关直接当事人负责，不对第三方负责。</w:t>
      </w:r>
    </w:p>
    <w:p w14:paraId="36BFBB9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）因估值错误而获得不当得利的当事人负有及时返还不当得利的义务。但估值错误责任方仍应对估值错误负责。如果由于获得不当得利的当事人</w:t>
      </w:r>
      <w:proofErr w:type="gramStart"/>
      <w:r>
        <w:rPr>
          <w:rFonts w:hint="eastAsia"/>
          <w:color w:val="000000" w:themeColor="text1"/>
          <w:szCs w:val="21"/>
        </w:rPr>
        <w:t>不</w:t>
      </w:r>
      <w:proofErr w:type="gramEnd"/>
      <w:r>
        <w:rPr>
          <w:rFonts w:hint="eastAsia"/>
          <w:color w:val="000000" w:themeColor="text1"/>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48B4D9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）估值错误调整采用尽量恢复至假设未发生估值错误的正确情形的方式。</w:t>
      </w:r>
    </w:p>
    <w:p w14:paraId="1F2B8DB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、估值错误处理程序</w:t>
      </w:r>
    </w:p>
    <w:p w14:paraId="64E9726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估值错误被发现后，有关的当事人应当及时进行处理，处理的程序如下：</w:t>
      </w:r>
    </w:p>
    <w:p w14:paraId="6AD61AE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）查明估值错误发生的原因，列明所有的当事人，并根据估值错误发生的原因确定</w:t>
      </w:r>
      <w:r>
        <w:rPr>
          <w:rFonts w:hint="eastAsia"/>
          <w:color w:val="000000" w:themeColor="text1"/>
          <w:szCs w:val="21"/>
        </w:rPr>
        <w:lastRenderedPageBreak/>
        <w:t>估值错误的责任方；</w:t>
      </w:r>
    </w:p>
    <w:p w14:paraId="32D3E39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）根据估值错误处理原则或当事人协商的方法对因估值错误造成的损失进行评估；</w:t>
      </w:r>
    </w:p>
    <w:p w14:paraId="05CE1A0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）根据估值错误处理原则或当事人协商的方法由估值错误的责任方进行更正和赔偿损失；</w:t>
      </w:r>
    </w:p>
    <w:p w14:paraId="4ECA3F8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）根据估值错误处理的方法，需要修改基金登记机构交易数据的，由基金登记机构进行更正，并就估值错误的更正向有关当事人进行确认。</w:t>
      </w:r>
    </w:p>
    <w:p w14:paraId="3FF44A4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、基金份额净值估值错误处理的方法如下：</w:t>
      </w:r>
    </w:p>
    <w:p w14:paraId="42C8420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）基金份额净值计算出现错误时，基金管理人应当立即予以纠正，通报基金托管人，并采取合理的措施防止损失进一步扩大。</w:t>
      </w:r>
    </w:p>
    <w:p w14:paraId="179B061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）错误偏差达到该类基金份额净值的</w:t>
      </w:r>
      <w:r>
        <w:rPr>
          <w:rFonts w:hint="eastAsia"/>
          <w:color w:val="000000" w:themeColor="text1"/>
          <w:szCs w:val="21"/>
        </w:rPr>
        <w:t>0.25%</w:t>
      </w:r>
      <w:r>
        <w:rPr>
          <w:rFonts w:hint="eastAsia"/>
          <w:color w:val="000000" w:themeColor="text1"/>
          <w:szCs w:val="21"/>
        </w:rPr>
        <w:t>时，基金管理人应当通报基金托管人并报中国证监会备案；错误偏差达到该类基金份额净值的</w:t>
      </w:r>
      <w:r>
        <w:rPr>
          <w:rFonts w:hint="eastAsia"/>
          <w:color w:val="000000" w:themeColor="text1"/>
          <w:szCs w:val="21"/>
        </w:rPr>
        <w:t>0.5%</w:t>
      </w:r>
      <w:r>
        <w:rPr>
          <w:rFonts w:hint="eastAsia"/>
          <w:color w:val="000000" w:themeColor="text1"/>
          <w:szCs w:val="21"/>
        </w:rPr>
        <w:t>时，基金管理人应当公告，通知基金托管人，并报中国证监会备案。</w:t>
      </w:r>
    </w:p>
    <w:p w14:paraId="3145E65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由于本基金的基金会计责任方由基金管理人担任，与本基金有关的会计问题，如经双方在平等基础上充分讨论后，尚不能达成一致的，基金管理人向基金托管人出具加盖公章的书面说明后，按基金管理人的建议执行，由此给基金份额持有人和基金财产造成的损失，由基金管理人负责赔付。</w:t>
      </w:r>
    </w:p>
    <w:p w14:paraId="61A18738" w14:textId="77777777" w:rsidR="00264E55" w:rsidRDefault="008040BB" w:rsidP="00334C9C">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w:t>
      </w:r>
      <w:proofErr w:type="gramStart"/>
      <w:r>
        <w:rPr>
          <w:rFonts w:hint="eastAsia"/>
          <w:color w:val="000000" w:themeColor="text1"/>
          <w:szCs w:val="21"/>
        </w:rPr>
        <w:t>若基金</w:t>
      </w:r>
      <w:proofErr w:type="gramEnd"/>
      <w:r>
        <w:rPr>
          <w:rFonts w:hint="eastAsia"/>
          <w:color w:val="000000" w:themeColor="text1"/>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CCD485D" w14:textId="77777777" w:rsidR="00264E55" w:rsidRDefault="008040BB" w:rsidP="00334C9C">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）如基金管理人和基金托管人对基金资产净值和基金份额净值的计算结果，虽然多次重新计算和</w:t>
      </w:r>
      <w:proofErr w:type="gramStart"/>
      <w:r>
        <w:rPr>
          <w:rFonts w:hint="eastAsia"/>
          <w:color w:val="000000" w:themeColor="text1"/>
          <w:szCs w:val="21"/>
        </w:rPr>
        <w:t>核对仍</w:t>
      </w:r>
      <w:proofErr w:type="gramEnd"/>
      <w:r>
        <w:rPr>
          <w:rFonts w:hint="eastAsia"/>
          <w:color w:val="000000" w:themeColor="text1"/>
          <w:szCs w:val="21"/>
        </w:rPr>
        <w:t>不能达成一致时，为避免不能按时披露净值的情形，以基金管理人的计算结果对外披露，由此给基金份额持有人和基金造成的损失，基金托管人予以免责。</w:t>
      </w:r>
    </w:p>
    <w:p w14:paraId="3A5DC32B" w14:textId="77777777" w:rsidR="00264E55" w:rsidRDefault="008040BB" w:rsidP="00334C9C">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由于一方当事人提供的信息错误，另一方当事人在采取了必要合理的措施后仍不能发现该错误，进而导致净值计算错误造成基金份额持有人的损失，以及由此造成以后交易日净值计算顺延错误而引起的基金份额持有人的损失，由提供错误信息的当事人一方负责赔偿。</w:t>
      </w:r>
    </w:p>
    <w:p w14:paraId="3A1528FB" w14:textId="77777777" w:rsidR="00264E55" w:rsidRDefault="008040BB" w:rsidP="00334C9C">
      <w:pPr>
        <w:spacing w:line="360" w:lineRule="auto"/>
        <w:ind w:firstLineChars="200" w:firstLine="420"/>
        <w:rPr>
          <w:color w:val="000000" w:themeColor="text1"/>
          <w:szCs w:val="21"/>
        </w:rPr>
      </w:pPr>
      <w:r>
        <w:rPr>
          <w:color w:val="000000" w:themeColor="text1"/>
          <w:szCs w:val="21"/>
        </w:rPr>
        <w:t>5</w:t>
      </w:r>
      <w:r>
        <w:rPr>
          <w:rFonts w:hint="eastAsia"/>
          <w:color w:val="000000" w:themeColor="text1"/>
          <w:szCs w:val="21"/>
        </w:rPr>
        <w:t>、特殊情况的处理</w:t>
      </w:r>
    </w:p>
    <w:p w14:paraId="58D1EF49" w14:textId="17DD14B4" w:rsidR="00264E55" w:rsidRDefault="008040BB" w:rsidP="00334C9C">
      <w:pPr>
        <w:spacing w:line="360" w:lineRule="auto"/>
        <w:ind w:firstLineChars="200" w:firstLine="420"/>
        <w:rPr>
          <w:color w:val="000000" w:themeColor="text1"/>
          <w:szCs w:val="21"/>
        </w:rPr>
      </w:pPr>
      <w:r>
        <w:rPr>
          <w:rFonts w:hint="eastAsia"/>
          <w:color w:val="000000" w:themeColor="text1"/>
          <w:szCs w:val="21"/>
        </w:rPr>
        <w:lastRenderedPageBreak/>
        <w:t>（</w:t>
      </w:r>
      <w:r>
        <w:rPr>
          <w:color w:val="000000" w:themeColor="text1"/>
          <w:szCs w:val="21"/>
        </w:rPr>
        <w:t>1</w:t>
      </w:r>
      <w:r>
        <w:rPr>
          <w:rFonts w:hint="eastAsia"/>
          <w:color w:val="000000" w:themeColor="text1"/>
          <w:szCs w:val="21"/>
        </w:rPr>
        <w:t>）基金管理人或基金托管人按本协议约定的估值方法的第（</w:t>
      </w:r>
      <w:r w:rsidR="006759B3">
        <w:rPr>
          <w:color w:val="000000" w:themeColor="text1"/>
          <w:szCs w:val="21"/>
        </w:rPr>
        <w:t>9</w:t>
      </w:r>
      <w:r>
        <w:rPr>
          <w:rFonts w:hint="eastAsia"/>
          <w:color w:val="000000" w:themeColor="text1"/>
          <w:szCs w:val="21"/>
        </w:rPr>
        <w:t>）项进行估值时，所造成的误差不作为基金资产估值错误处理。</w:t>
      </w:r>
    </w:p>
    <w:p w14:paraId="08D5B603" w14:textId="77777777" w:rsidR="00264E55" w:rsidRDefault="008040BB" w:rsidP="00334C9C">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由于证券、期货交易所及登记结算公司发送的数据错误，或由于其他不可抗力原因，基金管理人和基金托管人虽然已经采取必要、适当、合理的措施进行检查，但是未能发现该错误的，由此造成的基金资产估值错误，基金管理人和基金托管人应免除赔偿责任。但基金管理人和基金托管人应当积极采取必要的措施减轻或消除由此造成的影响。</w:t>
      </w:r>
    </w:p>
    <w:p w14:paraId="09B4598D" w14:textId="51D528EE"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）基金管理人和基金托管人由于各自技术系统设置而产生的净值计算尾差，以基金管理人计算结果为准。</w:t>
      </w:r>
    </w:p>
    <w:p w14:paraId="66DC1C2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（四）暂停估值的情形</w:t>
      </w:r>
    </w:p>
    <w:p w14:paraId="2530411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、基金投资所涉及的证券</w:t>
      </w:r>
      <w:r>
        <w:rPr>
          <w:rFonts w:hint="eastAsia"/>
          <w:color w:val="000000" w:themeColor="text1"/>
          <w:szCs w:val="21"/>
        </w:rPr>
        <w:t>/</w:t>
      </w:r>
      <w:r>
        <w:rPr>
          <w:rFonts w:hint="eastAsia"/>
          <w:color w:val="000000" w:themeColor="text1"/>
          <w:szCs w:val="21"/>
        </w:rPr>
        <w:t>期货交易市场遇法定节假日或因其他原因暂停营业时；</w:t>
      </w:r>
    </w:p>
    <w:p w14:paraId="473E933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、基金所投资的目标</w:t>
      </w:r>
      <w:r>
        <w:rPr>
          <w:rFonts w:hint="eastAsia"/>
          <w:color w:val="000000" w:themeColor="text1"/>
          <w:szCs w:val="21"/>
        </w:rPr>
        <w:t>ETF</w:t>
      </w:r>
      <w:r>
        <w:rPr>
          <w:rFonts w:hint="eastAsia"/>
          <w:color w:val="000000" w:themeColor="text1"/>
          <w:szCs w:val="21"/>
        </w:rPr>
        <w:t>发生暂停估值、暂停公告基金份额净值的情形；</w:t>
      </w:r>
    </w:p>
    <w:p w14:paraId="46A22F6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、因不可抗力致使基金管理人、基金托管人无法准确评估基金资产价值时；</w:t>
      </w:r>
    </w:p>
    <w:p w14:paraId="5701190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、当特定资产占前一估值日基金资产净值</w:t>
      </w:r>
      <w:r>
        <w:rPr>
          <w:rFonts w:hint="eastAsia"/>
          <w:color w:val="000000" w:themeColor="text1"/>
          <w:szCs w:val="21"/>
        </w:rPr>
        <w:t>50%</w:t>
      </w:r>
      <w:r>
        <w:rPr>
          <w:rFonts w:hint="eastAsia"/>
          <w:color w:val="000000" w:themeColor="text1"/>
          <w:szCs w:val="21"/>
        </w:rPr>
        <w:t>以上的，经与基金托管人协商确认后，基金管理人应当暂停估值；</w:t>
      </w:r>
    </w:p>
    <w:p w14:paraId="602AB5A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5</w:t>
      </w:r>
      <w:r>
        <w:rPr>
          <w:rFonts w:hint="eastAsia"/>
          <w:color w:val="000000" w:themeColor="text1"/>
          <w:szCs w:val="21"/>
        </w:rPr>
        <w:t>、中国证监会和基金合同认定的其他情形。</w:t>
      </w:r>
    </w:p>
    <w:p w14:paraId="6187AEC4"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（五）基金会计制度</w:t>
      </w:r>
    </w:p>
    <w:p w14:paraId="2D48930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按国家有关部门规定的会计制度执行。</w:t>
      </w:r>
    </w:p>
    <w:p w14:paraId="543C8C9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（六）基金账册的建立</w:t>
      </w:r>
    </w:p>
    <w:p w14:paraId="31EA6708"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087F602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199834C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（七）基金财务报表和定期报告的编制和复核</w:t>
      </w:r>
    </w:p>
    <w:p w14:paraId="7F2E4947" w14:textId="77777777" w:rsidR="00264E55" w:rsidRDefault="008040BB">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、财务报表的编制</w:t>
      </w:r>
    </w:p>
    <w:p w14:paraId="2DBE1A76" w14:textId="77777777" w:rsidR="00264E55" w:rsidRDefault="008040BB">
      <w:pPr>
        <w:autoSpaceDE w:val="0"/>
        <w:autoSpaceDN w:val="0"/>
        <w:adjustRightInd w:val="0"/>
        <w:spacing w:line="360" w:lineRule="auto"/>
        <w:ind w:firstLine="420"/>
        <w:rPr>
          <w:color w:val="000000" w:themeColor="text1"/>
          <w:szCs w:val="21"/>
        </w:rPr>
      </w:pPr>
      <w:r>
        <w:rPr>
          <w:rFonts w:hint="eastAsia"/>
          <w:color w:val="000000" w:themeColor="text1"/>
          <w:szCs w:val="21"/>
        </w:rPr>
        <w:t>基金财务报表由基金管理人和基金托管人每</w:t>
      </w:r>
      <w:proofErr w:type="gramStart"/>
      <w:r>
        <w:rPr>
          <w:rFonts w:hint="eastAsia"/>
          <w:color w:val="000000" w:themeColor="text1"/>
          <w:szCs w:val="21"/>
        </w:rPr>
        <w:t>月分别独立</w:t>
      </w:r>
      <w:proofErr w:type="gramEnd"/>
      <w:r>
        <w:rPr>
          <w:rFonts w:hint="eastAsia"/>
          <w:color w:val="000000" w:themeColor="text1"/>
          <w:szCs w:val="21"/>
        </w:rPr>
        <w:t>编制。月度报表的编制，应于每月终了后</w:t>
      </w:r>
      <w:r>
        <w:rPr>
          <w:color w:val="000000" w:themeColor="text1"/>
          <w:szCs w:val="21"/>
        </w:rPr>
        <w:t>5</w:t>
      </w:r>
      <w:r>
        <w:rPr>
          <w:rFonts w:hint="eastAsia"/>
          <w:color w:val="000000" w:themeColor="text1"/>
          <w:szCs w:val="21"/>
        </w:rPr>
        <w:t>个工作日内完成；《基金合同》生效后，基金招募说明书、基金产品资料概要的信</w:t>
      </w:r>
      <w:r>
        <w:rPr>
          <w:rFonts w:hint="eastAsia"/>
          <w:color w:val="000000" w:themeColor="text1"/>
          <w:szCs w:val="21"/>
        </w:rPr>
        <w:lastRenderedPageBreak/>
        <w:t>息发生重大变更的，基金管理人应当在三个工作日内，更新基金招募说明书和基金产品资料概要，并登载在规定网站上，其中基金产品资料概要还应当登载在基金销售机构网站或营业网点；基金招募说明书、基金产品资料概要其他信息发生变更的，基金管理人至少每年更新一次。基金终止运作的，基金管理人不再更新基金招募说明书和基金产品资料概要。季度报告应在季度结束之日起</w:t>
      </w:r>
      <w:r>
        <w:rPr>
          <w:color w:val="000000" w:themeColor="text1"/>
          <w:szCs w:val="21"/>
        </w:rPr>
        <w:t>15</w:t>
      </w:r>
      <w:r>
        <w:rPr>
          <w:rFonts w:hint="eastAsia"/>
          <w:color w:val="000000" w:themeColor="text1"/>
          <w:szCs w:val="21"/>
        </w:rPr>
        <w:t>个工作日内予以公告；中期报告在会计年度半年终了后两个月内予以公告；年度报告在会计年度终了后三个月内予以公告。</w:t>
      </w:r>
      <w:r>
        <w:rPr>
          <w:rFonts w:ascii="宋体" w:hAnsi="Calibri" w:cs="宋体" w:hint="eastAsia"/>
          <w:color w:val="000000" w:themeColor="text1"/>
          <w:kern w:val="0"/>
          <w:szCs w:val="21"/>
        </w:rPr>
        <w:t>《基金合同》</w:t>
      </w:r>
      <w:r>
        <w:rPr>
          <w:rFonts w:hint="eastAsia"/>
          <w:color w:val="000000" w:themeColor="text1"/>
          <w:szCs w:val="21"/>
        </w:rPr>
        <w:t>生效不足</w:t>
      </w:r>
      <w:r>
        <w:rPr>
          <w:color w:val="000000" w:themeColor="text1"/>
          <w:szCs w:val="21"/>
        </w:rPr>
        <w:t>2</w:t>
      </w:r>
      <w:r>
        <w:rPr>
          <w:rFonts w:hint="eastAsia"/>
          <w:color w:val="000000" w:themeColor="text1"/>
          <w:szCs w:val="21"/>
        </w:rPr>
        <w:t>个月的，基金管理人可以不编制当期季度报告、中期报告或者年度报告。</w:t>
      </w:r>
    </w:p>
    <w:p w14:paraId="7109E978" w14:textId="77777777" w:rsidR="00264E55" w:rsidRDefault="008040BB">
      <w:pPr>
        <w:spacing w:line="360" w:lineRule="auto"/>
        <w:ind w:firstLineChars="200" w:firstLine="420"/>
        <w:rPr>
          <w:color w:val="000000" w:themeColor="text1"/>
          <w:szCs w:val="21"/>
        </w:rPr>
      </w:pPr>
      <w:r>
        <w:rPr>
          <w:color w:val="000000" w:themeColor="text1"/>
          <w:szCs w:val="21"/>
        </w:rPr>
        <w:t>2</w:t>
      </w:r>
      <w:r>
        <w:rPr>
          <w:rFonts w:hint="eastAsia"/>
          <w:color w:val="000000" w:themeColor="text1"/>
          <w:szCs w:val="21"/>
        </w:rPr>
        <w:t>、报表复核</w:t>
      </w:r>
    </w:p>
    <w:p w14:paraId="244EA12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基金管理人在月度报表完成当日，将报表盖章后提供给基金托管人复核；基金托管人在收到后应在</w:t>
      </w:r>
      <w:r>
        <w:rPr>
          <w:rFonts w:hint="eastAsia"/>
          <w:color w:val="000000" w:themeColor="text1"/>
          <w:szCs w:val="21"/>
        </w:rPr>
        <w:t>3</w:t>
      </w:r>
      <w:r>
        <w:rPr>
          <w:rFonts w:hint="eastAsia"/>
          <w:color w:val="000000" w:themeColor="text1"/>
          <w:szCs w:val="21"/>
        </w:rPr>
        <w:t>日内进行复核，并将复核结果书面通知基金管理人。基金管理人在季度报告完成当日，将有关报告提供给基金托管人复核，基金托管人应在收到后</w:t>
      </w:r>
      <w:r>
        <w:rPr>
          <w:rFonts w:hint="eastAsia"/>
          <w:color w:val="000000" w:themeColor="text1"/>
          <w:szCs w:val="21"/>
        </w:rPr>
        <w:t>7</w:t>
      </w:r>
      <w:r>
        <w:rPr>
          <w:rFonts w:hint="eastAsia"/>
          <w:color w:val="000000" w:themeColor="text1"/>
          <w:szCs w:val="21"/>
        </w:rPr>
        <w:t>个工作日内完成复核，并将复核结果书面通知基金管理人。基金管理人在中期报告完成当日，将有关报告提供给基金托管人复核，基金托管人应在收到后</w:t>
      </w:r>
      <w:r>
        <w:rPr>
          <w:rFonts w:hint="eastAsia"/>
          <w:color w:val="000000" w:themeColor="text1"/>
          <w:szCs w:val="21"/>
        </w:rPr>
        <w:t>30</w:t>
      </w:r>
      <w:r>
        <w:rPr>
          <w:rFonts w:hint="eastAsia"/>
          <w:color w:val="000000" w:themeColor="text1"/>
          <w:szCs w:val="21"/>
        </w:rPr>
        <w:t>个工作日内完成复核，并将复核结果书面通知基金管理人。基金管理人在年度报告完成当日，将有关报告提供基金托管人复核，基金托管人应在收到后</w:t>
      </w:r>
      <w:r>
        <w:rPr>
          <w:rFonts w:hint="eastAsia"/>
          <w:color w:val="000000" w:themeColor="text1"/>
          <w:szCs w:val="21"/>
        </w:rPr>
        <w:t>45</w:t>
      </w:r>
      <w:r>
        <w:rPr>
          <w:rFonts w:hint="eastAsia"/>
          <w:color w:val="000000" w:themeColor="text1"/>
          <w:szCs w:val="21"/>
        </w:rPr>
        <w:t>个工作日内完成复核，并将复核结果书面通知基金管理人。基金管理人和基金托管人之间的上述文件往来均以传真的方式或双方商定的其他方式进行。</w:t>
      </w:r>
    </w:p>
    <w:p w14:paraId="7789E32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业务印鉴或者出具加盖业务印鉴的复核意见书或</w:t>
      </w:r>
      <w:r>
        <w:rPr>
          <w:color w:val="000000" w:themeColor="text1"/>
          <w:szCs w:val="21"/>
        </w:rPr>
        <w:t>进行电子</w:t>
      </w:r>
      <w:r>
        <w:rPr>
          <w:rFonts w:hint="eastAsia"/>
          <w:color w:val="000000" w:themeColor="text1"/>
          <w:szCs w:val="21"/>
        </w:rPr>
        <w:t>确认，双方各自留存一份。如果基金管理人与基金托管人不能</w:t>
      </w:r>
      <w:proofErr w:type="gramStart"/>
      <w:r>
        <w:rPr>
          <w:rFonts w:hint="eastAsia"/>
          <w:color w:val="000000" w:themeColor="text1"/>
          <w:szCs w:val="21"/>
        </w:rPr>
        <w:t>于应当</w:t>
      </w:r>
      <w:proofErr w:type="gramEnd"/>
      <w:r>
        <w:rPr>
          <w:rFonts w:hint="eastAsia"/>
          <w:color w:val="000000" w:themeColor="text1"/>
          <w:szCs w:val="21"/>
        </w:rPr>
        <w:t>发布公告之日之前就相关报表达成一致，基金管理人有权按照其编制的报表对外发布公告，基金托管人有权就相关情况报中国证监会备案。</w:t>
      </w:r>
    </w:p>
    <w:p w14:paraId="7FDB7A7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基金托管人在对财务会计报告、季度报告、中期报告或年度报告复核完毕后，需盖章确认或出具相应的复核确认书或</w:t>
      </w:r>
      <w:r>
        <w:rPr>
          <w:color w:val="000000" w:themeColor="text1"/>
          <w:szCs w:val="21"/>
        </w:rPr>
        <w:t>进行电子</w:t>
      </w:r>
      <w:r>
        <w:rPr>
          <w:rFonts w:hint="eastAsia"/>
          <w:color w:val="000000" w:themeColor="text1"/>
          <w:szCs w:val="21"/>
        </w:rPr>
        <w:t>确认，以</w:t>
      </w:r>
      <w:proofErr w:type="gramStart"/>
      <w:r>
        <w:rPr>
          <w:rFonts w:hint="eastAsia"/>
          <w:color w:val="000000" w:themeColor="text1"/>
          <w:szCs w:val="21"/>
        </w:rPr>
        <w:t>备有权</w:t>
      </w:r>
      <w:proofErr w:type="gramEnd"/>
      <w:r>
        <w:rPr>
          <w:rFonts w:hint="eastAsia"/>
          <w:color w:val="000000" w:themeColor="text1"/>
          <w:szCs w:val="21"/>
        </w:rPr>
        <w:t>机构对相关文件审核时提示。</w:t>
      </w:r>
      <w:bookmarkStart w:id="20" w:name="_Toc466788859"/>
      <w:bookmarkStart w:id="21" w:name="_Toc523830000"/>
      <w:bookmarkStart w:id="22" w:name="_Toc22454461"/>
      <w:bookmarkStart w:id="23" w:name="_Toc48703912"/>
    </w:p>
    <w:bookmarkEnd w:id="20"/>
    <w:bookmarkEnd w:id="21"/>
    <w:bookmarkEnd w:id="22"/>
    <w:bookmarkEnd w:id="23"/>
    <w:p w14:paraId="21F750C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（八）基金管理人应每季向基金托管人提供基金业绩比较基准的基础数据和编制结果。</w:t>
      </w:r>
    </w:p>
    <w:p w14:paraId="27E19DE8" w14:textId="77777777" w:rsidR="00264E55" w:rsidRDefault="008040BB">
      <w:pPr>
        <w:pStyle w:val="1"/>
        <w:numPr>
          <w:ilvl w:val="0"/>
          <w:numId w:val="1"/>
        </w:numPr>
        <w:spacing w:before="120" w:after="120" w:line="360" w:lineRule="auto"/>
        <w:jc w:val="center"/>
        <w:rPr>
          <w:color w:val="000000" w:themeColor="text1"/>
          <w:sz w:val="24"/>
          <w:szCs w:val="24"/>
        </w:rPr>
      </w:pPr>
      <w:bookmarkStart w:id="24" w:name="_Toc881139"/>
      <w:bookmarkStart w:id="25" w:name="_Toc394474004"/>
      <w:r>
        <w:rPr>
          <w:rFonts w:hint="eastAsia"/>
          <w:color w:val="000000" w:themeColor="text1"/>
          <w:sz w:val="24"/>
          <w:szCs w:val="24"/>
        </w:rPr>
        <w:t>基金收益分配</w:t>
      </w:r>
      <w:bookmarkEnd w:id="24"/>
      <w:bookmarkEnd w:id="25"/>
    </w:p>
    <w:p w14:paraId="1573A40D" w14:textId="77777777" w:rsidR="00264E55" w:rsidRDefault="00264E55">
      <w:pPr>
        <w:spacing w:line="360" w:lineRule="auto"/>
        <w:rPr>
          <w:color w:val="000000" w:themeColor="text1"/>
          <w:szCs w:val="21"/>
        </w:rPr>
      </w:pPr>
      <w:bookmarkStart w:id="26" w:name="_Toc48703913"/>
      <w:bookmarkStart w:id="27" w:name="_Toc22454462"/>
    </w:p>
    <w:p w14:paraId="1069473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（一）基金收益分配</w:t>
      </w:r>
      <w:bookmarkEnd w:id="26"/>
      <w:bookmarkEnd w:id="27"/>
      <w:r>
        <w:rPr>
          <w:rFonts w:hint="eastAsia"/>
          <w:color w:val="000000" w:themeColor="text1"/>
          <w:szCs w:val="21"/>
        </w:rPr>
        <w:t>的原则</w:t>
      </w:r>
    </w:p>
    <w:p w14:paraId="31DEB1B3" w14:textId="77777777" w:rsidR="00264E55" w:rsidRDefault="008040BB">
      <w:pPr>
        <w:spacing w:line="360" w:lineRule="auto"/>
        <w:ind w:firstLineChars="202" w:firstLine="424"/>
        <w:rPr>
          <w:color w:val="000000" w:themeColor="text1"/>
          <w:szCs w:val="21"/>
        </w:rPr>
      </w:pPr>
      <w:r>
        <w:rPr>
          <w:rFonts w:hint="eastAsia"/>
          <w:color w:val="000000" w:themeColor="text1"/>
          <w:szCs w:val="21"/>
        </w:rPr>
        <w:t>1</w:t>
      </w:r>
      <w:r>
        <w:rPr>
          <w:rFonts w:hint="eastAsia"/>
          <w:color w:val="000000" w:themeColor="text1"/>
          <w:szCs w:val="21"/>
        </w:rPr>
        <w:t>、在符合有关基金分红条件的前提下，基金管理人可以根据实际情况进行收益分配，</w:t>
      </w:r>
      <w:r>
        <w:rPr>
          <w:rFonts w:hint="eastAsia"/>
          <w:color w:val="000000" w:themeColor="text1"/>
          <w:szCs w:val="21"/>
        </w:rPr>
        <w:lastRenderedPageBreak/>
        <w:t>具体分配方案详见届时基金管理人发布的公告，若《基金合同》生效不满</w:t>
      </w:r>
      <w:r>
        <w:rPr>
          <w:rFonts w:hint="eastAsia"/>
          <w:color w:val="000000" w:themeColor="text1"/>
          <w:szCs w:val="21"/>
        </w:rPr>
        <w:t>3</w:t>
      </w:r>
      <w:r>
        <w:rPr>
          <w:rFonts w:hint="eastAsia"/>
          <w:color w:val="000000" w:themeColor="text1"/>
          <w:szCs w:val="21"/>
        </w:rPr>
        <w:t>个月可不进行收益分配；</w:t>
      </w:r>
    </w:p>
    <w:p w14:paraId="4753DEE4" w14:textId="77777777" w:rsidR="00264E55" w:rsidRDefault="008040BB">
      <w:pPr>
        <w:spacing w:line="360" w:lineRule="auto"/>
        <w:ind w:firstLineChars="202" w:firstLine="424"/>
        <w:rPr>
          <w:color w:val="000000" w:themeColor="text1"/>
          <w:szCs w:val="21"/>
        </w:rPr>
      </w:pPr>
      <w:r>
        <w:rPr>
          <w:rFonts w:hint="eastAsia"/>
          <w:color w:val="000000" w:themeColor="text1"/>
          <w:szCs w:val="21"/>
        </w:rPr>
        <w:t>2</w:t>
      </w:r>
      <w:r>
        <w:rPr>
          <w:rFonts w:hint="eastAsia"/>
          <w:color w:val="000000" w:themeColor="text1"/>
          <w:szCs w:val="21"/>
        </w:rPr>
        <w:t>、基金管理人可每月评估是否进行收益分配。基金管理人可每月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779AB9E0" w14:textId="77777777" w:rsidR="00264E55" w:rsidRDefault="008040BB">
      <w:pPr>
        <w:spacing w:line="360" w:lineRule="auto"/>
        <w:ind w:firstLineChars="202" w:firstLine="424"/>
        <w:rPr>
          <w:color w:val="000000" w:themeColor="text1"/>
          <w:szCs w:val="21"/>
        </w:rPr>
      </w:pPr>
      <w:r>
        <w:rPr>
          <w:rFonts w:hint="eastAsia"/>
          <w:color w:val="000000" w:themeColor="text1"/>
          <w:szCs w:val="21"/>
        </w:rPr>
        <w:t>3</w:t>
      </w:r>
      <w:r>
        <w:rPr>
          <w:rFonts w:hint="eastAsia"/>
          <w:color w:val="000000" w:themeColor="text1"/>
          <w:szCs w:val="21"/>
        </w:rPr>
        <w:t>、本基金收益分配方式分两种：现金分红与红利再投资，投资者可选择现金红利或将现金红利自动转为相应类别的基金份额进行再投资；若投资者不选择，本基金默认的收益分配方式是现金分红；</w:t>
      </w:r>
    </w:p>
    <w:p w14:paraId="05D9B98B" w14:textId="77777777" w:rsidR="00264E55" w:rsidRDefault="008040BB">
      <w:pPr>
        <w:spacing w:line="360" w:lineRule="auto"/>
        <w:ind w:firstLineChars="202" w:firstLine="424"/>
        <w:rPr>
          <w:color w:val="000000" w:themeColor="text1"/>
          <w:szCs w:val="21"/>
        </w:rPr>
      </w:pPr>
      <w:r>
        <w:rPr>
          <w:rFonts w:hint="eastAsia"/>
          <w:color w:val="000000" w:themeColor="text1"/>
          <w:szCs w:val="21"/>
        </w:rPr>
        <w:t>4</w:t>
      </w:r>
      <w:r>
        <w:rPr>
          <w:rFonts w:hint="eastAsia"/>
          <w:color w:val="000000" w:themeColor="text1"/>
          <w:szCs w:val="21"/>
        </w:rPr>
        <w:t>、由于本基金</w:t>
      </w:r>
      <w:r>
        <w:rPr>
          <w:rFonts w:hint="eastAsia"/>
          <w:color w:val="000000" w:themeColor="text1"/>
          <w:szCs w:val="21"/>
        </w:rPr>
        <w:t>A</w:t>
      </w:r>
      <w:r>
        <w:rPr>
          <w:rFonts w:hint="eastAsia"/>
          <w:color w:val="000000" w:themeColor="text1"/>
          <w:szCs w:val="21"/>
        </w:rPr>
        <w:t>类基金份额不收取销售服务费，而</w:t>
      </w:r>
      <w:r>
        <w:rPr>
          <w:rFonts w:hint="eastAsia"/>
          <w:color w:val="000000" w:themeColor="text1"/>
          <w:szCs w:val="21"/>
        </w:rPr>
        <w:t>C</w:t>
      </w:r>
      <w:r>
        <w:rPr>
          <w:rFonts w:hint="eastAsia"/>
          <w:color w:val="000000" w:themeColor="text1"/>
          <w:szCs w:val="21"/>
        </w:rPr>
        <w:t>类基金份额收取销售服务费，各基金份额类别对应的可供分配利润将有所不同。本基金同一类别的每一基金份额享有同等分配权；</w:t>
      </w:r>
    </w:p>
    <w:p w14:paraId="0CAFC405" w14:textId="77777777" w:rsidR="00264E55" w:rsidRDefault="008040BB">
      <w:pPr>
        <w:spacing w:line="360" w:lineRule="auto"/>
        <w:ind w:firstLineChars="202" w:firstLine="424"/>
        <w:rPr>
          <w:color w:val="000000" w:themeColor="text1"/>
          <w:szCs w:val="21"/>
        </w:rPr>
      </w:pPr>
      <w:r>
        <w:rPr>
          <w:rFonts w:hint="eastAsia"/>
          <w:color w:val="000000" w:themeColor="text1"/>
          <w:szCs w:val="21"/>
        </w:rPr>
        <w:t>5</w:t>
      </w:r>
      <w:r>
        <w:rPr>
          <w:rFonts w:hint="eastAsia"/>
          <w:color w:val="000000" w:themeColor="text1"/>
          <w:szCs w:val="21"/>
        </w:rPr>
        <w:t>、法律法规或监管机关另有规定的，从其规定。</w:t>
      </w:r>
    </w:p>
    <w:p w14:paraId="4DFFA1F9" w14:textId="77777777" w:rsidR="00264E55" w:rsidRDefault="008040BB">
      <w:pPr>
        <w:spacing w:line="360" w:lineRule="auto"/>
        <w:ind w:firstLineChars="202" w:firstLine="424"/>
        <w:rPr>
          <w:color w:val="000000" w:themeColor="text1"/>
          <w:szCs w:val="21"/>
        </w:rPr>
      </w:pPr>
      <w:r>
        <w:rPr>
          <w:rFonts w:hint="eastAsia"/>
          <w:color w:val="000000" w:themeColor="text1"/>
          <w:szCs w:val="21"/>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p>
    <w:p w14:paraId="62F5A31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（二）基金收益分配方案的制定和实施程序</w:t>
      </w:r>
    </w:p>
    <w:p w14:paraId="047EE78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基金收益分配方案由基金管理人拟定，并由基金托管人复核。在</w:t>
      </w:r>
      <w:r>
        <w:rPr>
          <w:rFonts w:hint="eastAsia"/>
          <w:color w:val="000000" w:themeColor="text1"/>
          <w:szCs w:val="21"/>
        </w:rPr>
        <w:t>2</w:t>
      </w:r>
      <w:r>
        <w:rPr>
          <w:rFonts w:hint="eastAsia"/>
          <w:color w:val="000000" w:themeColor="text1"/>
          <w:szCs w:val="21"/>
        </w:rPr>
        <w:t>日内在规定媒介公告。</w:t>
      </w:r>
    </w:p>
    <w:p w14:paraId="1384D9A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（三）基金收益分配中发生的费用</w:t>
      </w:r>
    </w:p>
    <w:p w14:paraId="6A9F54B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登记机构相关业务规则执行。</w:t>
      </w:r>
    </w:p>
    <w:p w14:paraId="7D825B14" w14:textId="77777777" w:rsidR="00264E55" w:rsidRDefault="00264E55">
      <w:pPr>
        <w:spacing w:line="360" w:lineRule="auto"/>
        <w:ind w:firstLineChars="200" w:firstLine="420"/>
        <w:rPr>
          <w:color w:val="000000" w:themeColor="text1"/>
          <w:szCs w:val="21"/>
        </w:rPr>
      </w:pPr>
    </w:p>
    <w:p w14:paraId="0CED039B" w14:textId="77777777" w:rsidR="00264E55" w:rsidRDefault="008040BB">
      <w:pPr>
        <w:pStyle w:val="1"/>
        <w:numPr>
          <w:ilvl w:val="0"/>
          <w:numId w:val="1"/>
        </w:numPr>
        <w:spacing w:before="120" w:after="120" w:line="360" w:lineRule="auto"/>
        <w:jc w:val="center"/>
        <w:rPr>
          <w:color w:val="000000" w:themeColor="text1"/>
          <w:sz w:val="24"/>
          <w:szCs w:val="24"/>
        </w:rPr>
      </w:pPr>
      <w:bookmarkStart w:id="28" w:name="_Toc881140"/>
      <w:bookmarkStart w:id="29" w:name="_Toc394474005"/>
      <w:r>
        <w:rPr>
          <w:rFonts w:hint="eastAsia"/>
          <w:color w:val="000000" w:themeColor="text1"/>
          <w:sz w:val="24"/>
          <w:szCs w:val="24"/>
        </w:rPr>
        <w:t>基金信息披露</w:t>
      </w:r>
      <w:bookmarkEnd w:id="28"/>
      <w:bookmarkEnd w:id="29"/>
    </w:p>
    <w:p w14:paraId="7BB0162A"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（一）保密义务</w:t>
      </w:r>
    </w:p>
    <w:p w14:paraId="2D4F46B0"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1</w:t>
      </w:r>
      <w:r>
        <w:rPr>
          <w:rFonts w:hint="eastAsia"/>
          <w:color w:val="000000" w:themeColor="text1"/>
          <w:szCs w:val="21"/>
        </w:rPr>
        <w:t>、除按照《基金法》、《基金合同》、《信息披露办法》、《流动性风险管理规定》及其他有关规定外，基金管理人和基金托管人对基金运作中产生的信息以及从对方获得的业务信</w:t>
      </w:r>
      <w:r>
        <w:rPr>
          <w:rFonts w:hint="eastAsia"/>
          <w:color w:val="000000" w:themeColor="text1"/>
          <w:szCs w:val="21"/>
        </w:rPr>
        <w:lastRenderedPageBreak/>
        <w:t>息应予保密。基金管理人与基金托管人对本基金的任何信息，不得在其公开披露之前，先行对双方和基金份额持有人大会以外的任何机构、组织和个人泄露。法律法规另有规定的除外。</w:t>
      </w:r>
    </w:p>
    <w:p w14:paraId="5557AA79"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2</w:t>
      </w:r>
      <w:r>
        <w:rPr>
          <w:rFonts w:hint="eastAsia"/>
          <w:color w:val="000000" w:themeColor="text1"/>
          <w:szCs w:val="21"/>
        </w:rPr>
        <w:t>、基金管理人和基金托管人除为履行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14:paraId="1F33CA50"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）非因基金管理人和基金托管人的原因导致保密信息被披露、泄露或公开；</w:t>
      </w:r>
    </w:p>
    <w:p w14:paraId="20E51730"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）基金管理人和基金托管人为遵守和服从法院判决、仲裁裁决或中国证监会等监管机构的命令、决定所做出的信息披露或公开；</w:t>
      </w:r>
    </w:p>
    <w:p w14:paraId="0FB741CA"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）法律法规或有权机构要求披露的；</w:t>
      </w:r>
    </w:p>
    <w:p w14:paraId="0463A27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）为取得</w:t>
      </w:r>
      <w:bookmarkStart w:id="30" w:name="OLE_LINK2"/>
      <w:bookmarkStart w:id="31" w:name="OLE_LINK1"/>
      <w:r>
        <w:rPr>
          <w:rFonts w:hint="eastAsia"/>
          <w:color w:val="000000" w:themeColor="text1"/>
          <w:szCs w:val="21"/>
        </w:rPr>
        <w:t>法律、审计、信息技术</w:t>
      </w:r>
      <w:bookmarkEnd w:id="30"/>
      <w:bookmarkEnd w:id="31"/>
      <w:r>
        <w:rPr>
          <w:rFonts w:hint="eastAsia"/>
          <w:color w:val="000000" w:themeColor="text1"/>
          <w:szCs w:val="21"/>
        </w:rPr>
        <w:t>等专业服务而向第三</w:t>
      </w:r>
      <w:proofErr w:type="gramStart"/>
      <w:r>
        <w:rPr>
          <w:rFonts w:hint="eastAsia"/>
          <w:color w:val="000000" w:themeColor="text1"/>
          <w:szCs w:val="21"/>
        </w:rPr>
        <w:t>方专业</w:t>
      </w:r>
      <w:proofErr w:type="gramEnd"/>
      <w:r>
        <w:rPr>
          <w:rFonts w:hint="eastAsia"/>
          <w:color w:val="000000" w:themeColor="text1"/>
          <w:szCs w:val="21"/>
        </w:rPr>
        <w:t>服务机构提供的；</w:t>
      </w:r>
    </w:p>
    <w:p w14:paraId="7D5BD4DD"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）因不可抗力发生信息披露或公开的。</w:t>
      </w:r>
    </w:p>
    <w:p w14:paraId="4702203D"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（二）信息披露的内容</w:t>
      </w:r>
    </w:p>
    <w:p w14:paraId="379BAB0A"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投资股指期货、股票期权、资产支持证券、目标</w:t>
      </w:r>
      <w:r>
        <w:rPr>
          <w:rFonts w:hint="eastAsia"/>
          <w:color w:val="000000" w:themeColor="text1"/>
          <w:szCs w:val="21"/>
        </w:rPr>
        <w:t>ETF</w:t>
      </w:r>
      <w:r>
        <w:rPr>
          <w:rFonts w:hint="eastAsia"/>
          <w:color w:val="000000" w:themeColor="text1"/>
          <w:szCs w:val="21"/>
        </w:rPr>
        <w:t>、存托凭证的信息披露、基金参与融资业务、转融通证券出借业务的信息披露、清算报告、实施</w:t>
      </w:r>
      <w:proofErr w:type="gramStart"/>
      <w:r>
        <w:rPr>
          <w:rFonts w:hint="eastAsia"/>
          <w:color w:val="000000" w:themeColor="text1"/>
          <w:szCs w:val="21"/>
        </w:rPr>
        <w:t>侧袋机制</w:t>
      </w:r>
      <w:proofErr w:type="gramEnd"/>
      <w:r>
        <w:rPr>
          <w:rFonts w:hint="eastAsia"/>
          <w:color w:val="000000" w:themeColor="text1"/>
          <w:szCs w:val="21"/>
        </w:rPr>
        <w:t>期间的信息披露等中国证监会规定的其他信息。基金年度报告需</w:t>
      </w:r>
      <w:proofErr w:type="gramStart"/>
      <w:r>
        <w:rPr>
          <w:rFonts w:hint="eastAsia"/>
          <w:color w:val="000000" w:themeColor="text1"/>
          <w:szCs w:val="21"/>
        </w:rPr>
        <w:t>经符合</w:t>
      </w:r>
      <w:proofErr w:type="gramEnd"/>
      <w:r>
        <w:rPr>
          <w:rFonts w:hint="eastAsia"/>
          <w:color w:val="000000" w:themeColor="text1"/>
          <w:szCs w:val="21"/>
        </w:rPr>
        <w:t>《</w:t>
      </w:r>
      <w:r>
        <w:rPr>
          <w:rFonts w:hint="eastAsia"/>
          <w:color w:val="000000" w:themeColor="text1"/>
        </w:rPr>
        <w:t>中华人民共和国</w:t>
      </w:r>
      <w:r>
        <w:rPr>
          <w:rFonts w:hint="eastAsia"/>
          <w:color w:val="000000" w:themeColor="text1"/>
          <w:szCs w:val="21"/>
        </w:rPr>
        <w:t>证券法》规定的会计师事务所审计后，方可披露。</w:t>
      </w:r>
    </w:p>
    <w:p w14:paraId="69FD612B"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（三）基金管理人和基金托管人在信息披露中的职责和信息披露程序</w:t>
      </w:r>
    </w:p>
    <w:p w14:paraId="388593DA"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1</w:t>
      </w:r>
      <w:r>
        <w:rPr>
          <w:rFonts w:hint="eastAsia"/>
          <w:color w:val="000000" w:themeColor="text1"/>
          <w:szCs w:val="21"/>
        </w:rPr>
        <w:t>、职责</w:t>
      </w:r>
    </w:p>
    <w:p w14:paraId="7785D4E1"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托管人和基金管理人在信息披露过程中应以保护基金份额持有人利益为宗旨，诚实信用，严守秘密。基金管理人和基金托管人应根据相关法律法规、《基金合同》的规定各自承担相应的信息披露职责。基金管理人负责办理与基金有关的信息披露事宜，基金托管人应当按照相关法律法规和《基金合同》的约定，对于应由基金托管人复核的事项进行复核，基金托管人复核无误后，由基金管理人予以公布。</w:t>
      </w:r>
    </w:p>
    <w:p w14:paraId="6444AEE7"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基金管理人和基金托管人应积极配合、互相监督，保证按照法定的方式和时限履行信</w:t>
      </w:r>
      <w:r>
        <w:rPr>
          <w:rFonts w:hint="eastAsia"/>
          <w:color w:val="000000" w:themeColor="text1"/>
          <w:szCs w:val="21"/>
        </w:rPr>
        <w:lastRenderedPageBreak/>
        <w:t>息披露义务。</w:t>
      </w:r>
    </w:p>
    <w:p w14:paraId="39F6B4CD"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基金管理人应当在中国证监会规定的时间内，将应予披露的基金信息通过规定媒介披露。根据法律法规应由基金托管人公开披露的信息，基金托管人将通过规定报刊和规定网站公开披露。</w:t>
      </w:r>
    </w:p>
    <w:p w14:paraId="4882F0FE"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当出现下述情况时，基金管理人和基金托管人可暂停或延迟披露基金相关信息：</w:t>
      </w:r>
    </w:p>
    <w:p w14:paraId="626415EA"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）不可抗力；</w:t>
      </w:r>
    </w:p>
    <w:p w14:paraId="34A9A37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）基金投资所涉及的证券</w:t>
      </w:r>
      <w:r>
        <w:rPr>
          <w:rFonts w:hint="eastAsia"/>
          <w:color w:val="000000" w:themeColor="text1"/>
          <w:szCs w:val="21"/>
        </w:rPr>
        <w:t>/</w:t>
      </w:r>
      <w:r>
        <w:rPr>
          <w:rFonts w:hint="eastAsia"/>
          <w:color w:val="000000" w:themeColor="text1"/>
          <w:szCs w:val="21"/>
        </w:rPr>
        <w:t>期货交易市场遇法定节假日或因其他原因暂停营业时；</w:t>
      </w:r>
    </w:p>
    <w:p w14:paraId="6AF04CC4"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）当特定资产占前一估值日基金资产净值</w:t>
      </w:r>
      <w:r>
        <w:rPr>
          <w:rFonts w:hint="eastAsia"/>
          <w:color w:val="000000" w:themeColor="text1"/>
          <w:szCs w:val="21"/>
        </w:rPr>
        <w:t>50%</w:t>
      </w:r>
      <w:r>
        <w:rPr>
          <w:rFonts w:hint="eastAsia"/>
          <w:color w:val="000000" w:themeColor="text1"/>
          <w:szCs w:val="21"/>
        </w:rPr>
        <w:t>以上的，经与基金托管人协商确认后暂停估值的；</w:t>
      </w:r>
    </w:p>
    <w:p w14:paraId="1FBDDAD0"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）法律法规、基金合同或中国证监会规定的情况。</w:t>
      </w:r>
    </w:p>
    <w:p w14:paraId="51802EB6"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2</w:t>
      </w:r>
      <w:r>
        <w:rPr>
          <w:rFonts w:hint="eastAsia"/>
          <w:color w:val="000000" w:themeColor="text1"/>
          <w:szCs w:val="21"/>
        </w:rPr>
        <w:t>、程序</w:t>
      </w:r>
    </w:p>
    <w:p w14:paraId="3D8CCB18"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托管人应当按照相关法律、行政法规、中国证监会的规定和《基金合同》的约定，对基金管理人编制的基金资产净值、各类基金份额净值、基金业绩表现数据、基金定期报告和更新的招募说明书等相关基金信息进行复核、审查，并向基金管理人出具书面文件或者盖章确认。</w:t>
      </w:r>
    </w:p>
    <w:p w14:paraId="5D581C6D"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基金年度报告中的财务会计报告必须</w:t>
      </w:r>
      <w:proofErr w:type="gramStart"/>
      <w:r>
        <w:rPr>
          <w:rFonts w:hint="eastAsia"/>
          <w:color w:val="000000" w:themeColor="text1"/>
          <w:szCs w:val="21"/>
        </w:rPr>
        <w:t>经符合</w:t>
      </w:r>
      <w:proofErr w:type="gramEnd"/>
      <w:r>
        <w:rPr>
          <w:rFonts w:hint="eastAsia"/>
          <w:color w:val="000000" w:themeColor="text1"/>
          <w:szCs w:val="21"/>
        </w:rPr>
        <w:t>《</w:t>
      </w:r>
      <w:r>
        <w:rPr>
          <w:rFonts w:hint="eastAsia"/>
          <w:color w:val="000000" w:themeColor="text1"/>
        </w:rPr>
        <w:t>中华人民共和国</w:t>
      </w:r>
      <w:r>
        <w:rPr>
          <w:rFonts w:hint="eastAsia"/>
          <w:color w:val="000000" w:themeColor="text1"/>
          <w:szCs w:val="21"/>
        </w:rPr>
        <w:t>证券法》规定的会计师事务所审计。</w:t>
      </w:r>
    </w:p>
    <w:p w14:paraId="18477118"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3</w:t>
      </w:r>
      <w:r>
        <w:rPr>
          <w:rFonts w:hint="eastAsia"/>
          <w:color w:val="000000" w:themeColor="text1"/>
          <w:szCs w:val="21"/>
        </w:rPr>
        <w:t>、信息文本的存放与备查</w:t>
      </w:r>
    </w:p>
    <w:p w14:paraId="07CA63FD"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依法必须披露的信息发布后，基金管理人、基金托管人应当按照相关法律法规规定将信息置备于各自住所、基金上市交易的证券交易所，供社会公众查阅、复制。基金管理人、基金托管人应为文本存放、基金份额持有人查询有关文件提供必要的场所和其他便利。</w:t>
      </w:r>
    </w:p>
    <w:p w14:paraId="7A6A9236"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基金管理人和基金托管人应保证文本的内容与所公告的内容完全一致。</w:t>
      </w:r>
    </w:p>
    <w:p w14:paraId="65780F6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（四）基金托管人报告</w:t>
      </w:r>
    </w:p>
    <w:p w14:paraId="49F326DA"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基金托管人应按《基金法》、《信息披露办法》和其他有关法律法规的规定于上半年度结束后两个月内、每年结束之日起三个月在基金中期报告及年度报告中分别出具托管人报告。</w:t>
      </w:r>
    </w:p>
    <w:p w14:paraId="10264387"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32" w:name="_Toc394474006"/>
      <w:bookmarkStart w:id="33" w:name="_Toc881141"/>
      <w:r>
        <w:rPr>
          <w:rFonts w:hint="eastAsia"/>
          <w:color w:val="000000" w:themeColor="text1"/>
          <w:sz w:val="24"/>
          <w:szCs w:val="24"/>
        </w:rPr>
        <w:t>基金费用</w:t>
      </w:r>
      <w:bookmarkEnd w:id="32"/>
      <w:bookmarkEnd w:id="33"/>
    </w:p>
    <w:p w14:paraId="26F94CB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（一）基金管理费的计提比例和计提方法</w:t>
      </w:r>
    </w:p>
    <w:p w14:paraId="4500C493" w14:textId="77777777" w:rsidR="00264E55" w:rsidRDefault="008040BB">
      <w:pPr>
        <w:spacing w:line="360" w:lineRule="auto"/>
        <w:ind w:firstLineChars="200" w:firstLine="420"/>
        <w:rPr>
          <w:color w:val="000000" w:themeColor="text1"/>
          <w:szCs w:val="21"/>
        </w:rPr>
      </w:pPr>
      <w:r>
        <w:rPr>
          <w:rFonts w:hint="eastAsia"/>
          <w:color w:val="000000" w:themeColor="text1"/>
          <w:szCs w:val="21"/>
        </w:rPr>
        <w:lastRenderedPageBreak/>
        <w:t>本</w:t>
      </w:r>
      <w:proofErr w:type="gramStart"/>
      <w:r>
        <w:rPr>
          <w:rFonts w:hint="eastAsia"/>
          <w:color w:val="000000" w:themeColor="text1"/>
          <w:szCs w:val="21"/>
        </w:rPr>
        <w:t>基金基金</w:t>
      </w:r>
      <w:proofErr w:type="gramEnd"/>
      <w:r>
        <w:rPr>
          <w:rFonts w:hint="eastAsia"/>
          <w:color w:val="000000" w:themeColor="text1"/>
          <w:szCs w:val="21"/>
        </w:rPr>
        <w:t>财产中投资于目标</w:t>
      </w:r>
      <w:r>
        <w:rPr>
          <w:rFonts w:hint="eastAsia"/>
          <w:color w:val="000000" w:themeColor="text1"/>
          <w:szCs w:val="21"/>
        </w:rPr>
        <w:t>ETF</w:t>
      </w:r>
      <w:r>
        <w:rPr>
          <w:rFonts w:hint="eastAsia"/>
          <w:color w:val="000000" w:themeColor="text1"/>
          <w:szCs w:val="21"/>
        </w:rPr>
        <w:t>的部分不收取管理费。本基金的管理费按前一日基金资产净值扣除所持有目标</w:t>
      </w:r>
      <w:r>
        <w:rPr>
          <w:rFonts w:hint="eastAsia"/>
          <w:color w:val="000000" w:themeColor="text1"/>
          <w:szCs w:val="21"/>
        </w:rPr>
        <w:t>ETF</w:t>
      </w:r>
      <w:r>
        <w:rPr>
          <w:rFonts w:hint="eastAsia"/>
          <w:color w:val="000000" w:themeColor="text1"/>
          <w:szCs w:val="21"/>
        </w:rPr>
        <w:t>基金份额部分基金资产后的余额（若为负数，则取</w:t>
      </w:r>
      <w:r>
        <w:rPr>
          <w:rFonts w:hint="eastAsia"/>
          <w:color w:val="000000" w:themeColor="text1"/>
          <w:szCs w:val="21"/>
        </w:rPr>
        <w:t>0</w:t>
      </w:r>
      <w:r>
        <w:rPr>
          <w:rFonts w:hint="eastAsia"/>
          <w:color w:val="000000" w:themeColor="text1"/>
          <w:szCs w:val="21"/>
        </w:rPr>
        <w:t>）的</w:t>
      </w:r>
      <w:r>
        <w:rPr>
          <w:rFonts w:hint="eastAsia"/>
          <w:color w:val="000000" w:themeColor="text1"/>
          <w:szCs w:val="21"/>
        </w:rPr>
        <w:t>0.15%</w:t>
      </w:r>
      <w:r>
        <w:rPr>
          <w:rFonts w:hint="eastAsia"/>
          <w:color w:val="000000" w:themeColor="text1"/>
          <w:szCs w:val="21"/>
        </w:rPr>
        <w:t>年费率计提。管理费的计算方法如下：</w:t>
      </w:r>
    </w:p>
    <w:p w14:paraId="498208C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H</w:t>
      </w:r>
      <w:r>
        <w:rPr>
          <w:rFonts w:hint="eastAsia"/>
          <w:color w:val="000000" w:themeColor="text1"/>
          <w:szCs w:val="21"/>
        </w:rPr>
        <w:t>＝</w:t>
      </w:r>
      <w:r>
        <w:rPr>
          <w:rFonts w:hint="eastAsia"/>
          <w:color w:val="000000" w:themeColor="text1"/>
          <w:szCs w:val="21"/>
        </w:rPr>
        <w:t>E</w:t>
      </w:r>
      <w:r>
        <w:rPr>
          <w:rFonts w:hint="eastAsia"/>
          <w:color w:val="000000" w:themeColor="text1"/>
          <w:szCs w:val="21"/>
        </w:rPr>
        <w:t>×</w:t>
      </w:r>
      <w:r>
        <w:rPr>
          <w:rFonts w:hint="eastAsia"/>
          <w:color w:val="000000" w:themeColor="text1"/>
          <w:szCs w:val="21"/>
        </w:rPr>
        <w:t>0.15%</w:t>
      </w:r>
      <w:r>
        <w:rPr>
          <w:rFonts w:hint="eastAsia"/>
          <w:color w:val="000000" w:themeColor="text1"/>
          <w:szCs w:val="21"/>
        </w:rPr>
        <w:t>÷当年天数</w:t>
      </w:r>
    </w:p>
    <w:p w14:paraId="1C9892A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H</w:t>
      </w:r>
      <w:r>
        <w:rPr>
          <w:rFonts w:hint="eastAsia"/>
          <w:color w:val="000000" w:themeColor="text1"/>
          <w:szCs w:val="21"/>
        </w:rPr>
        <w:t>为每日应计提的基金管理费</w:t>
      </w:r>
    </w:p>
    <w:p w14:paraId="243F56B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E</w:t>
      </w:r>
      <w:r>
        <w:rPr>
          <w:rFonts w:hint="eastAsia"/>
          <w:color w:val="000000" w:themeColor="text1"/>
          <w:szCs w:val="21"/>
        </w:rPr>
        <w:t>为前一日的基金资产净值扣除前一日所持有目标</w:t>
      </w:r>
      <w:r>
        <w:rPr>
          <w:rFonts w:hint="eastAsia"/>
          <w:color w:val="000000" w:themeColor="text1"/>
          <w:szCs w:val="21"/>
        </w:rPr>
        <w:t>ETF</w:t>
      </w:r>
      <w:r>
        <w:rPr>
          <w:rFonts w:hint="eastAsia"/>
          <w:color w:val="000000" w:themeColor="text1"/>
          <w:szCs w:val="21"/>
        </w:rPr>
        <w:t>基金份额部分基金资产后的余额（若为负数，则</w:t>
      </w:r>
      <w:r>
        <w:rPr>
          <w:rFonts w:hint="eastAsia"/>
          <w:color w:val="000000" w:themeColor="text1"/>
          <w:szCs w:val="21"/>
        </w:rPr>
        <w:t>E</w:t>
      </w:r>
      <w:r>
        <w:rPr>
          <w:rFonts w:hint="eastAsia"/>
          <w:color w:val="000000" w:themeColor="text1"/>
          <w:szCs w:val="21"/>
        </w:rPr>
        <w:t>取</w:t>
      </w:r>
      <w:r>
        <w:rPr>
          <w:rFonts w:hint="eastAsia"/>
          <w:color w:val="000000" w:themeColor="text1"/>
          <w:szCs w:val="21"/>
        </w:rPr>
        <w:t>0</w:t>
      </w:r>
      <w:r>
        <w:rPr>
          <w:rFonts w:hint="eastAsia"/>
          <w:color w:val="000000" w:themeColor="text1"/>
          <w:szCs w:val="21"/>
        </w:rPr>
        <w:t>）</w:t>
      </w:r>
    </w:p>
    <w:p w14:paraId="2CEE142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基金管理费每日计提，逐日累计至每月月末，按月支付，由基金管理人向基金托管人发送基金管理费划款指令，基金托管人复核后于次月前</w:t>
      </w:r>
      <w:r>
        <w:rPr>
          <w:rFonts w:hint="eastAsia"/>
          <w:color w:val="000000" w:themeColor="text1"/>
          <w:szCs w:val="21"/>
        </w:rPr>
        <w:t>5</w:t>
      </w:r>
      <w:r>
        <w:rPr>
          <w:rFonts w:hint="eastAsia"/>
          <w:color w:val="000000" w:themeColor="text1"/>
          <w:szCs w:val="21"/>
        </w:rPr>
        <w:t>个工作日内从基金财产中一次性支付给基金管理人。若遇法定节假日、公休日等，支付日期顺延至最近可支付日支付。</w:t>
      </w:r>
    </w:p>
    <w:p w14:paraId="4487F11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（二）基金托管费的计提比例和计提方法</w:t>
      </w:r>
    </w:p>
    <w:p w14:paraId="2E37C4E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本</w:t>
      </w:r>
      <w:proofErr w:type="gramStart"/>
      <w:r>
        <w:rPr>
          <w:rFonts w:hint="eastAsia"/>
          <w:color w:val="000000" w:themeColor="text1"/>
          <w:szCs w:val="21"/>
        </w:rPr>
        <w:t>基金基金</w:t>
      </w:r>
      <w:proofErr w:type="gramEnd"/>
      <w:r>
        <w:rPr>
          <w:rFonts w:hint="eastAsia"/>
          <w:color w:val="000000" w:themeColor="text1"/>
          <w:szCs w:val="21"/>
        </w:rPr>
        <w:t>财产中投资于目标</w:t>
      </w:r>
      <w:r>
        <w:rPr>
          <w:rFonts w:hint="eastAsia"/>
          <w:color w:val="000000" w:themeColor="text1"/>
          <w:szCs w:val="21"/>
        </w:rPr>
        <w:t>ETF</w:t>
      </w:r>
      <w:r>
        <w:rPr>
          <w:rFonts w:hint="eastAsia"/>
          <w:color w:val="000000" w:themeColor="text1"/>
          <w:szCs w:val="21"/>
        </w:rPr>
        <w:t>的部分不收取托管费。本基金的托管费按前一日基金资产净值扣除所持有目标</w:t>
      </w:r>
      <w:r>
        <w:rPr>
          <w:rFonts w:hint="eastAsia"/>
          <w:color w:val="000000" w:themeColor="text1"/>
          <w:szCs w:val="21"/>
        </w:rPr>
        <w:t>ETF</w:t>
      </w:r>
      <w:r>
        <w:rPr>
          <w:rFonts w:hint="eastAsia"/>
          <w:color w:val="000000" w:themeColor="text1"/>
          <w:szCs w:val="21"/>
        </w:rPr>
        <w:t>基金份额部分基金资产后的余额（若为负数，则取</w:t>
      </w:r>
      <w:r>
        <w:rPr>
          <w:rFonts w:hint="eastAsia"/>
          <w:color w:val="000000" w:themeColor="text1"/>
          <w:szCs w:val="21"/>
        </w:rPr>
        <w:t>0</w:t>
      </w:r>
      <w:r>
        <w:rPr>
          <w:rFonts w:hint="eastAsia"/>
          <w:color w:val="000000" w:themeColor="text1"/>
          <w:szCs w:val="21"/>
        </w:rPr>
        <w:t>）的</w:t>
      </w:r>
      <w:r>
        <w:rPr>
          <w:rFonts w:hint="eastAsia"/>
          <w:color w:val="000000" w:themeColor="text1"/>
          <w:szCs w:val="21"/>
        </w:rPr>
        <w:t>0.05%</w:t>
      </w:r>
      <w:r>
        <w:rPr>
          <w:rFonts w:hint="eastAsia"/>
          <w:color w:val="000000" w:themeColor="text1"/>
          <w:szCs w:val="21"/>
        </w:rPr>
        <w:t>的年费率计提。托管费的计算方法如下：</w:t>
      </w:r>
    </w:p>
    <w:p w14:paraId="2C8AE1A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H</w:t>
      </w:r>
      <w:r>
        <w:rPr>
          <w:rFonts w:hint="eastAsia"/>
          <w:color w:val="000000" w:themeColor="text1"/>
          <w:szCs w:val="21"/>
        </w:rPr>
        <w:t>＝</w:t>
      </w:r>
      <w:r>
        <w:rPr>
          <w:rFonts w:hint="eastAsia"/>
          <w:color w:val="000000" w:themeColor="text1"/>
          <w:szCs w:val="21"/>
        </w:rPr>
        <w:t>E</w:t>
      </w:r>
      <w:r>
        <w:rPr>
          <w:rFonts w:hint="eastAsia"/>
          <w:color w:val="000000" w:themeColor="text1"/>
          <w:szCs w:val="21"/>
        </w:rPr>
        <w:t>×</w:t>
      </w:r>
      <w:r>
        <w:rPr>
          <w:rFonts w:hint="eastAsia"/>
          <w:color w:val="000000" w:themeColor="text1"/>
          <w:szCs w:val="21"/>
        </w:rPr>
        <w:t>0.05%</w:t>
      </w:r>
      <w:r>
        <w:rPr>
          <w:rFonts w:hint="eastAsia"/>
          <w:color w:val="000000" w:themeColor="text1"/>
          <w:szCs w:val="21"/>
        </w:rPr>
        <w:t>÷当年天数</w:t>
      </w:r>
    </w:p>
    <w:p w14:paraId="66FFEC4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H</w:t>
      </w:r>
      <w:r>
        <w:rPr>
          <w:rFonts w:hint="eastAsia"/>
          <w:color w:val="000000" w:themeColor="text1"/>
          <w:szCs w:val="21"/>
        </w:rPr>
        <w:t>为每日应计提的基金托管费</w:t>
      </w:r>
    </w:p>
    <w:p w14:paraId="03176DF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E</w:t>
      </w:r>
      <w:r>
        <w:rPr>
          <w:rFonts w:hint="eastAsia"/>
          <w:color w:val="000000" w:themeColor="text1"/>
          <w:szCs w:val="21"/>
        </w:rPr>
        <w:t>为前一日的基金资产净值扣除前一日所持有目标</w:t>
      </w:r>
      <w:r>
        <w:rPr>
          <w:rFonts w:hint="eastAsia"/>
          <w:color w:val="000000" w:themeColor="text1"/>
          <w:szCs w:val="21"/>
        </w:rPr>
        <w:t>ETF</w:t>
      </w:r>
      <w:r>
        <w:rPr>
          <w:rFonts w:hint="eastAsia"/>
          <w:color w:val="000000" w:themeColor="text1"/>
          <w:szCs w:val="21"/>
        </w:rPr>
        <w:t>基金份额部分基金资产后的余额（若为负数，则</w:t>
      </w:r>
      <w:r>
        <w:rPr>
          <w:rFonts w:hint="eastAsia"/>
          <w:color w:val="000000" w:themeColor="text1"/>
          <w:szCs w:val="21"/>
        </w:rPr>
        <w:t>E</w:t>
      </w:r>
      <w:r>
        <w:rPr>
          <w:rFonts w:hint="eastAsia"/>
          <w:color w:val="000000" w:themeColor="text1"/>
          <w:szCs w:val="21"/>
        </w:rPr>
        <w:t>取</w:t>
      </w:r>
      <w:r>
        <w:rPr>
          <w:rFonts w:hint="eastAsia"/>
          <w:color w:val="000000" w:themeColor="text1"/>
          <w:szCs w:val="21"/>
        </w:rPr>
        <w:t>0</w:t>
      </w:r>
      <w:r>
        <w:rPr>
          <w:rFonts w:hint="eastAsia"/>
          <w:color w:val="000000" w:themeColor="text1"/>
          <w:szCs w:val="21"/>
        </w:rPr>
        <w:t>）</w:t>
      </w:r>
    </w:p>
    <w:p w14:paraId="34E2ED08"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基金托管费每日计提，逐日累计至每月月末，按月支付，由基金管理人向基金托管人发送基金托管费划款指令，基金托管人复核后于次月前</w:t>
      </w:r>
      <w:r>
        <w:rPr>
          <w:rFonts w:hint="eastAsia"/>
          <w:color w:val="000000" w:themeColor="text1"/>
          <w:szCs w:val="21"/>
        </w:rPr>
        <w:t>5</w:t>
      </w:r>
      <w:r>
        <w:rPr>
          <w:rFonts w:hint="eastAsia"/>
          <w:color w:val="000000" w:themeColor="text1"/>
          <w:szCs w:val="21"/>
        </w:rPr>
        <w:t>个工作日内从基金财产中一次性支取。若遇法定节假日、公休日等，支付日期顺延至最近可支付日支付。</w:t>
      </w:r>
    </w:p>
    <w:p w14:paraId="00AC244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（三）从</w:t>
      </w:r>
      <w:r>
        <w:rPr>
          <w:rFonts w:hint="eastAsia"/>
          <w:color w:val="000000" w:themeColor="text1"/>
          <w:szCs w:val="21"/>
        </w:rPr>
        <w:t>C</w:t>
      </w:r>
      <w:r>
        <w:rPr>
          <w:rFonts w:hint="eastAsia"/>
          <w:color w:val="000000" w:themeColor="text1"/>
          <w:szCs w:val="21"/>
        </w:rPr>
        <w:t>类基金份额的基金财产中计提的销售服务费</w:t>
      </w:r>
    </w:p>
    <w:p w14:paraId="66F77BA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本基金</w:t>
      </w:r>
      <w:r>
        <w:rPr>
          <w:rFonts w:hint="eastAsia"/>
          <w:color w:val="000000" w:themeColor="text1"/>
          <w:szCs w:val="21"/>
        </w:rPr>
        <w:t>A</w:t>
      </w:r>
      <w:r>
        <w:rPr>
          <w:rFonts w:hint="eastAsia"/>
          <w:color w:val="000000" w:themeColor="text1"/>
          <w:szCs w:val="21"/>
        </w:rPr>
        <w:t>类基金份额不收取销售服务费，</w:t>
      </w:r>
      <w:r>
        <w:rPr>
          <w:rFonts w:hint="eastAsia"/>
          <w:color w:val="000000" w:themeColor="text1"/>
          <w:szCs w:val="21"/>
        </w:rPr>
        <w:t>C</w:t>
      </w:r>
      <w:r>
        <w:rPr>
          <w:rFonts w:hint="eastAsia"/>
          <w:color w:val="000000" w:themeColor="text1"/>
          <w:szCs w:val="21"/>
        </w:rPr>
        <w:t>类基金份额的销售服务费年费率为</w:t>
      </w:r>
      <w:r>
        <w:rPr>
          <w:rFonts w:hint="eastAsia"/>
          <w:color w:val="000000" w:themeColor="text1"/>
          <w:szCs w:val="21"/>
        </w:rPr>
        <w:t>0.20%</w:t>
      </w:r>
      <w:r>
        <w:rPr>
          <w:rFonts w:hint="eastAsia"/>
          <w:color w:val="000000" w:themeColor="text1"/>
          <w:szCs w:val="21"/>
        </w:rPr>
        <w:t>。本基金销售服务费按前一日</w:t>
      </w:r>
      <w:r>
        <w:rPr>
          <w:rFonts w:hint="eastAsia"/>
          <w:color w:val="000000" w:themeColor="text1"/>
          <w:szCs w:val="21"/>
        </w:rPr>
        <w:t>C</w:t>
      </w:r>
      <w:r>
        <w:rPr>
          <w:rFonts w:hint="eastAsia"/>
          <w:color w:val="000000" w:themeColor="text1"/>
          <w:szCs w:val="21"/>
        </w:rPr>
        <w:t>类基金份额的基金资产净值的</w:t>
      </w:r>
      <w:r>
        <w:rPr>
          <w:rFonts w:hint="eastAsia"/>
          <w:color w:val="000000" w:themeColor="text1"/>
          <w:szCs w:val="21"/>
        </w:rPr>
        <w:t>0.20%</w:t>
      </w:r>
      <w:r>
        <w:rPr>
          <w:rFonts w:hint="eastAsia"/>
          <w:color w:val="000000" w:themeColor="text1"/>
          <w:szCs w:val="21"/>
        </w:rPr>
        <w:t>年费率计提。销售服务费的计算方法如下：</w:t>
      </w:r>
    </w:p>
    <w:p w14:paraId="3F4F655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H</w:t>
      </w:r>
      <w:r>
        <w:rPr>
          <w:rFonts w:hint="eastAsia"/>
          <w:color w:val="000000" w:themeColor="text1"/>
          <w:szCs w:val="21"/>
        </w:rPr>
        <w:t>＝</w:t>
      </w:r>
      <w:r>
        <w:rPr>
          <w:rFonts w:hint="eastAsia"/>
          <w:color w:val="000000" w:themeColor="text1"/>
          <w:szCs w:val="21"/>
        </w:rPr>
        <w:t>E</w:t>
      </w:r>
      <w:r>
        <w:rPr>
          <w:rFonts w:hint="eastAsia"/>
          <w:color w:val="000000" w:themeColor="text1"/>
          <w:szCs w:val="21"/>
        </w:rPr>
        <w:t>×年销售服务费率÷当年天数</w:t>
      </w:r>
    </w:p>
    <w:p w14:paraId="63EEF42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H</w:t>
      </w:r>
      <w:r>
        <w:rPr>
          <w:rFonts w:hint="eastAsia"/>
          <w:color w:val="000000" w:themeColor="text1"/>
          <w:szCs w:val="21"/>
        </w:rPr>
        <w:t>为</w:t>
      </w:r>
      <w:r>
        <w:rPr>
          <w:rFonts w:hint="eastAsia"/>
          <w:color w:val="000000" w:themeColor="text1"/>
          <w:szCs w:val="21"/>
        </w:rPr>
        <w:t>C</w:t>
      </w:r>
      <w:r>
        <w:rPr>
          <w:rFonts w:hint="eastAsia"/>
          <w:color w:val="000000" w:themeColor="text1"/>
          <w:szCs w:val="21"/>
        </w:rPr>
        <w:t>类基金份额每日应计提的基金销售服务费</w:t>
      </w:r>
    </w:p>
    <w:p w14:paraId="611A1FB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E</w:t>
      </w:r>
      <w:r>
        <w:rPr>
          <w:rFonts w:hint="eastAsia"/>
          <w:color w:val="000000" w:themeColor="text1"/>
          <w:szCs w:val="21"/>
        </w:rPr>
        <w:t>为</w:t>
      </w:r>
      <w:r>
        <w:rPr>
          <w:rFonts w:hint="eastAsia"/>
          <w:color w:val="000000" w:themeColor="text1"/>
          <w:szCs w:val="21"/>
        </w:rPr>
        <w:t>C</w:t>
      </w:r>
      <w:r>
        <w:rPr>
          <w:rFonts w:hint="eastAsia"/>
          <w:color w:val="000000" w:themeColor="text1"/>
          <w:szCs w:val="21"/>
        </w:rPr>
        <w:t>类基金份额前一日基金资产净值</w:t>
      </w:r>
    </w:p>
    <w:p w14:paraId="423F804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C</w:t>
      </w:r>
      <w:r>
        <w:rPr>
          <w:rFonts w:hint="eastAsia"/>
          <w:color w:val="000000" w:themeColor="text1"/>
          <w:szCs w:val="21"/>
        </w:rPr>
        <w:t>类基金份额的销售服务费每日计提。具体收取</w:t>
      </w:r>
      <w:r>
        <w:rPr>
          <w:rFonts w:hint="eastAsia"/>
          <w:color w:val="000000" w:themeColor="text1"/>
          <w:szCs w:val="21"/>
        </w:rPr>
        <w:t>/</w:t>
      </w:r>
      <w:r>
        <w:rPr>
          <w:rFonts w:hint="eastAsia"/>
          <w:color w:val="000000" w:themeColor="text1"/>
          <w:szCs w:val="21"/>
        </w:rPr>
        <w:t>返还方式详见《招募说明书》。</w:t>
      </w:r>
    </w:p>
    <w:p w14:paraId="1928101D" w14:textId="77777777" w:rsidR="00264E55" w:rsidRDefault="008040BB">
      <w:pPr>
        <w:spacing w:line="360" w:lineRule="auto"/>
        <w:ind w:firstLineChars="200" w:firstLine="420"/>
        <w:rPr>
          <w:color w:val="000000" w:themeColor="text1"/>
          <w:szCs w:val="21"/>
        </w:rPr>
      </w:pPr>
      <w:r>
        <w:rPr>
          <w:rFonts w:hint="eastAsia"/>
          <w:color w:val="000000" w:themeColor="text1"/>
          <w:szCs w:val="21"/>
        </w:rPr>
        <w:lastRenderedPageBreak/>
        <w:t>（四）《基金合同》生效后与基金相关的信息披露费用、《基金合同》生效后与基金相关的会计师费、律师费、公证费、诉讼费和仲裁费、基金份额持有人大会费用、基金的证券</w:t>
      </w:r>
      <w:r>
        <w:rPr>
          <w:rFonts w:hint="eastAsia"/>
          <w:color w:val="000000" w:themeColor="text1"/>
          <w:szCs w:val="21"/>
        </w:rPr>
        <w:t>/</w:t>
      </w:r>
      <w:r>
        <w:rPr>
          <w:rFonts w:hint="eastAsia"/>
          <w:color w:val="000000" w:themeColor="text1"/>
          <w:szCs w:val="21"/>
        </w:rPr>
        <w:t>期货</w:t>
      </w:r>
      <w:r>
        <w:rPr>
          <w:rFonts w:hint="eastAsia"/>
          <w:color w:val="000000" w:themeColor="text1"/>
          <w:szCs w:val="21"/>
        </w:rPr>
        <w:t>/</w:t>
      </w:r>
      <w:r>
        <w:rPr>
          <w:rFonts w:hint="eastAsia"/>
          <w:color w:val="000000" w:themeColor="text1"/>
          <w:szCs w:val="21"/>
        </w:rPr>
        <w:t>期权交易费用、基金的银行汇划费用、基金的相关账户的开户费用及维护费用、因参与融资及转融通证券出借业务而产生的各项合理费用、基金投资目标</w:t>
      </w:r>
      <w:r>
        <w:rPr>
          <w:rFonts w:hint="eastAsia"/>
          <w:color w:val="000000" w:themeColor="text1"/>
          <w:szCs w:val="21"/>
        </w:rPr>
        <w:t>ETF</w:t>
      </w:r>
      <w:r>
        <w:rPr>
          <w:rFonts w:hint="eastAsia"/>
          <w:color w:val="000000" w:themeColor="text1"/>
          <w:szCs w:val="21"/>
        </w:rPr>
        <w:t>的相关费用（包括但不限于目标</w:t>
      </w:r>
      <w:r>
        <w:rPr>
          <w:rFonts w:hint="eastAsia"/>
          <w:color w:val="000000" w:themeColor="text1"/>
          <w:szCs w:val="21"/>
        </w:rPr>
        <w:t>ETF</w:t>
      </w:r>
      <w:r>
        <w:rPr>
          <w:rFonts w:hint="eastAsia"/>
          <w:color w:val="000000" w:themeColor="text1"/>
          <w:szCs w:val="21"/>
        </w:rPr>
        <w:t>的交易费用、</w:t>
      </w:r>
      <w:proofErr w:type="gramStart"/>
      <w:r>
        <w:rPr>
          <w:rFonts w:hint="eastAsia"/>
          <w:color w:val="000000" w:themeColor="text1"/>
          <w:szCs w:val="21"/>
        </w:rPr>
        <w:t>申赎费用</w:t>
      </w:r>
      <w:proofErr w:type="gramEnd"/>
      <w:r>
        <w:rPr>
          <w:rFonts w:hint="eastAsia"/>
          <w:color w:val="000000" w:themeColor="text1"/>
          <w:szCs w:val="21"/>
        </w:rPr>
        <w:t>等）等根据有关法规、《基金合同》及相应协议的规定，由基金托管人按基金管理人的划款指令并根据费用实际支出金额支付，列入当期基金费用。</w:t>
      </w:r>
    </w:p>
    <w:p w14:paraId="30FEDB7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（五）不列入基金费用的项目</w:t>
      </w:r>
    </w:p>
    <w:p w14:paraId="3C3711A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基金管理人与基金托管人因未履行或未完全履行义务导致的费用支出或基金财产的损失、《基金合同》生效前的相关费用（包括但不限于</w:t>
      </w:r>
      <w:proofErr w:type="gramStart"/>
      <w:r>
        <w:rPr>
          <w:rFonts w:hint="eastAsia"/>
          <w:color w:val="000000" w:themeColor="text1"/>
          <w:szCs w:val="21"/>
        </w:rPr>
        <w:t>验</w:t>
      </w:r>
      <w:proofErr w:type="gramEnd"/>
      <w:r>
        <w:rPr>
          <w:rFonts w:hint="eastAsia"/>
          <w:color w:val="000000" w:themeColor="text1"/>
          <w:szCs w:val="21"/>
        </w:rPr>
        <w:t>资费、会计师和律师费、信息披露费用等费用）、处理与基金运作无关的事项发生的费用、标的指数许可使用费、其他根据相关法律法规以及中国证监会的有关规定不得列入基金费用的项目不列入基金费用。</w:t>
      </w:r>
    </w:p>
    <w:p w14:paraId="27AD9CF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（六）基金管理费、基金托管费和销售服务费的复核程序</w:t>
      </w:r>
    </w:p>
    <w:p w14:paraId="4A6CAE3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基金托管人对不符合《基金法》、《运作办法》等有关规定、《基金合同》以及本协议的其他费用有权拒绝执行。</w:t>
      </w:r>
    </w:p>
    <w:p w14:paraId="46653E9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基金托管人对基金管理人计提的基金管理费、基金托管费和销售服务费等，根据本托管协议和《基金合同》的有关规定进行复核。</w:t>
      </w:r>
    </w:p>
    <w:p w14:paraId="351E037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七）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5B76B375" w14:textId="77777777" w:rsidR="00264E55" w:rsidRDefault="00264E55">
      <w:pPr>
        <w:spacing w:line="360" w:lineRule="auto"/>
        <w:rPr>
          <w:b/>
          <w:color w:val="000000" w:themeColor="text1"/>
          <w:szCs w:val="21"/>
        </w:rPr>
      </w:pPr>
    </w:p>
    <w:p w14:paraId="73CF6C30"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34" w:name="_Toc394474007"/>
      <w:bookmarkStart w:id="35" w:name="_Toc881142"/>
      <w:r>
        <w:rPr>
          <w:rFonts w:hint="eastAsia"/>
          <w:color w:val="000000" w:themeColor="text1"/>
          <w:sz w:val="24"/>
          <w:szCs w:val="24"/>
        </w:rPr>
        <w:t>基金份额持有人名册的保管</w:t>
      </w:r>
      <w:bookmarkEnd w:id="34"/>
      <w:bookmarkEnd w:id="35"/>
    </w:p>
    <w:p w14:paraId="777661B9" w14:textId="77777777" w:rsidR="00264E55" w:rsidRDefault="00264E55">
      <w:pPr>
        <w:pStyle w:val="af3"/>
        <w:autoSpaceDE w:val="0"/>
        <w:autoSpaceDN w:val="0"/>
        <w:adjustRightInd w:val="0"/>
        <w:spacing w:line="360" w:lineRule="auto"/>
        <w:ind w:left="450" w:firstLineChars="0" w:firstLine="0"/>
        <w:rPr>
          <w:color w:val="000000" w:themeColor="text1"/>
          <w:szCs w:val="21"/>
        </w:rPr>
      </w:pPr>
    </w:p>
    <w:p w14:paraId="138FF2D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（一）基金份额持有人名册的保管</w:t>
      </w:r>
    </w:p>
    <w:p w14:paraId="1462F21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份额持有人名册至少应包括基金份额持有人的名称和持有的基金份额。基金份额持有人名册由基金的基金登记机构根据基金管理人的指令编制和保管，基金管理人和基金托管人应按照目前相关规则分别保管基金份额持有人名册。保管方式可以采用电子或文档的形式。保管期限不低于法定最低期限。</w:t>
      </w:r>
    </w:p>
    <w:p w14:paraId="32EE8F6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在基金托管人要求或编制中期报告和年度报告前，基金管理人应将有关资料送交基金托</w:t>
      </w:r>
      <w:r>
        <w:rPr>
          <w:rFonts w:hint="eastAsia"/>
          <w:color w:val="000000" w:themeColor="text1"/>
          <w:szCs w:val="21"/>
        </w:rPr>
        <w:lastRenderedPageBreak/>
        <w:t>管人，不得无故拒绝或延误提供，并保证其真实性、准确性和完整性。基金托管人不得将所保管的基金份额持有人名册用于基金托管业务以外的其他用途，并应遵守保密义务。</w:t>
      </w:r>
    </w:p>
    <w:p w14:paraId="050173D0" w14:textId="77777777" w:rsidR="00264E55" w:rsidRDefault="008040BB">
      <w:pPr>
        <w:spacing w:line="360" w:lineRule="auto"/>
        <w:ind w:firstLineChars="200" w:firstLine="420"/>
        <w:rPr>
          <w:color w:val="000000" w:themeColor="text1"/>
          <w:szCs w:val="21"/>
        </w:rPr>
      </w:pPr>
      <w:proofErr w:type="gramStart"/>
      <w:r>
        <w:rPr>
          <w:rFonts w:hint="eastAsia"/>
          <w:color w:val="000000" w:themeColor="text1"/>
          <w:szCs w:val="21"/>
        </w:rPr>
        <w:t>若基金</w:t>
      </w:r>
      <w:proofErr w:type="gramEnd"/>
      <w:r>
        <w:rPr>
          <w:rFonts w:hint="eastAsia"/>
          <w:color w:val="000000" w:themeColor="text1"/>
          <w:szCs w:val="21"/>
        </w:rPr>
        <w:t>管理人或基金托管人由于自身原因无法妥善保管基金份额持有人名册，应按有关法规规定各自承担相应的责任。</w:t>
      </w:r>
    </w:p>
    <w:p w14:paraId="23C4A7E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（二）基金份额持有人名册的提交</w:t>
      </w:r>
    </w:p>
    <w:p w14:paraId="4A6A7C1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基金管理人应当及时向基金托管人提交下列日期的基金份额持有人名册：《基金合同》生效日、《基金合同》终止日、基金份额持有人大会权益登记日、每年</w:t>
      </w:r>
      <w:r>
        <w:rPr>
          <w:color w:val="000000" w:themeColor="text1"/>
          <w:szCs w:val="21"/>
        </w:rPr>
        <w:t>6</w:t>
      </w:r>
      <w:r>
        <w:rPr>
          <w:rFonts w:hint="eastAsia"/>
          <w:color w:val="000000" w:themeColor="text1"/>
          <w:szCs w:val="21"/>
        </w:rPr>
        <w:t>月</w:t>
      </w:r>
      <w:r>
        <w:rPr>
          <w:color w:val="000000" w:themeColor="text1"/>
          <w:szCs w:val="21"/>
        </w:rPr>
        <w:t>30</w:t>
      </w:r>
      <w:r>
        <w:rPr>
          <w:rFonts w:hint="eastAsia"/>
          <w:color w:val="000000" w:themeColor="text1"/>
          <w:szCs w:val="21"/>
        </w:rPr>
        <w:t>日、每年</w:t>
      </w:r>
      <w:r>
        <w:rPr>
          <w:color w:val="000000" w:themeColor="text1"/>
          <w:szCs w:val="21"/>
        </w:rPr>
        <w:t>12</w:t>
      </w:r>
      <w:r>
        <w:rPr>
          <w:rFonts w:hint="eastAsia"/>
          <w:color w:val="000000" w:themeColor="text1"/>
          <w:szCs w:val="21"/>
        </w:rPr>
        <w:t>月</w:t>
      </w:r>
      <w:r>
        <w:rPr>
          <w:color w:val="000000" w:themeColor="text1"/>
          <w:szCs w:val="21"/>
        </w:rPr>
        <w:t>31</w:t>
      </w:r>
      <w:r>
        <w:rPr>
          <w:rFonts w:hint="eastAsia"/>
          <w:color w:val="000000" w:themeColor="text1"/>
          <w:szCs w:val="21"/>
        </w:rPr>
        <w:t>日的基金份额持有人名册。基金份额持有人名册的内容必须包括基金份额持有人的名称和持有的基金份额。其中每年</w:t>
      </w:r>
      <w:r>
        <w:rPr>
          <w:color w:val="000000" w:themeColor="text1"/>
          <w:szCs w:val="21"/>
        </w:rPr>
        <w:t>12</w:t>
      </w:r>
      <w:r>
        <w:rPr>
          <w:rFonts w:hint="eastAsia"/>
          <w:color w:val="000000" w:themeColor="text1"/>
          <w:szCs w:val="21"/>
        </w:rPr>
        <w:t>月</w:t>
      </w:r>
      <w:r>
        <w:rPr>
          <w:color w:val="000000" w:themeColor="text1"/>
          <w:szCs w:val="21"/>
        </w:rPr>
        <w:t>31</w:t>
      </w:r>
      <w:r>
        <w:rPr>
          <w:rFonts w:hint="eastAsia"/>
          <w:color w:val="000000" w:themeColor="text1"/>
          <w:szCs w:val="21"/>
        </w:rPr>
        <w:t>日的基金份额持有人名册应于下月前十个工作日内提交；《基金合同》生效日、《基金合同》终止日等涉及到基金重要事项日期的基金份额持有人名册应于发生日后十个工作日内提交。</w:t>
      </w:r>
    </w:p>
    <w:p w14:paraId="7226A3FD" w14:textId="77777777" w:rsidR="00264E55" w:rsidRDefault="00264E55">
      <w:pPr>
        <w:spacing w:line="360" w:lineRule="auto"/>
        <w:ind w:firstLineChars="200" w:firstLine="420"/>
        <w:rPr>
          <w:color w:val="000000" w:themeColor="text1"/>
          <w:szCs w:val="21"/>
        </w:rPr>
      </w:pPr>
    </w:p>
    <w:p w14:paraId="4F6E1EDD"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36" w:name="_Toc881143"/>
      <w:bookmarkStart w:id="37" w:name="_Toc394474008"/>
      <w:r>
        <w:rPr>
          <w:rFonts w:hint="eastAsia"/>
          <w:color w:val="000000" w:themeColor="text1"/>
          <w:sz w:val="24"/>
          <w:szCs w:val="24"/>
        </w:rPr>
        <w:t>基金有关文件档案的保存</w:t>
      </w:r>
      <w:bookmarkEnd w:id="36"/>
      <w:bookmarkEnd w:id="37"/>
    </w:p>
    <w:p w14:paraId="4EA2EB29" w14:textId="77777777" w:rsidR="00264E55" w:rsidRDefault="00264E55">
      <w:pPr>
        <w:spacing w:line="360" w:lineRule="auto"/>
        <w:ind w:firstLineChars="200" w:firstLine="420"/>
        <w:rPr>
          <w:color w:val="000000" w:themeColor="text1"/>
          <w:szCs w:val="21"/>
        </w:rPr>
      </w:pPr>
    </w:p>
    <w:p w14:paraId="5B246CC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（一）档案保存</w:t>
      </w:r>
    </w:p>
    <w:p w14:paraId="1F6E8CF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基金管理人应保存财产业务活动的记录、账册报表和其他相关资料。基金托管人应保存基金托管业务活动的记录、账册、报表和其他相关资料。基金管理人和基金托管人都应当按规定的期限保管，保存期限不</w:t>
      </w:r>
      <w:r>
        <w:rPr>
          <w:rFonts w:hint="eastAsia"/>
          <w:color w:val="000000" w:themeColor="text1"/>
        </w:rPr>
        <w:t>低于法定最低期限</w:t>
      </w:r>
      <w:r>
        <w:rPr>
          <w:rFonts w:hint="eastAsia"/>
          <w:color w:val="000000" w:themeColor="text1"/>
          <w:szCs w:val="21"/>
        </w:rPr>
        <w:t>。</w:t>
      </w:r>
    </w:p>
    <w:p w14:paraId="6F23158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（二）合同档案的建立</w:t>
      </w:r>
    </w:p>
    <w:p w14:paraId="2FFCE908" w14:textId="77777777" w:rsidR="00264E55" w:rsidRDefault="008040BB">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、基金管理人代表基金签署与基金相关的重大合同文本后，应及时将重大合同传真给基金托管人，并在</w:t>
      </w:r>
      <w:r>
        <w:rPr>
          <w:rFonts w:hint="eastAsia"/>
          <w:color w:val="000000" w:themeColor="text1"/>
          <w:szCs w:val="21"/>
        </w:rPr>
        <w:t>10</w:t>
      </w:r>
      <w:r>
        <w:rPr>
          <w:rFonts w:hint="eastAsia"/>
          <w:color w:val="000000" w:themeColor="text1"/>
          <w:szCs w:val="21"/>
        </w:rPr>
        <w:t>个工作日内将合同文本正本送达基金托管人处。</w:t>
      </w:r>
    </w:p>
    <w:p w14:paraId="1484926E" w14:textId="77777777" w:rsidR="00264E55" w:rsidRDefault="008040BB">
      <w:pPr>
        <w:spacing w:line="360" w:lineRule="auto"/>
        <w:ind w:firstLineChars="200" w:firstLine="420"/>
        <w:rPr>
          <w:color w:val="000000" w:themeColor="text1"/>
          <w:szCs w:val="21"/>
        </w:rPr>
      </w:pPr>
      <w:r>
        <w:rPr>
          <w:color w:val="000000" w:themeColor="text1"/>
          <w:szCs w:val="21"/>
        </w:rPr>
        <w:t>2</w:t>
      </w:r>
      <w:r>
        <w:rPr>
          <w:rFonts w:hint="eastAsia"/>
          <w:color w:val="000000" w:themeColor="text1"/>
          <w:szCs w:val="21"/>
        </w:rPr>
        <w:t>、基金管理人应及时将与本基金账务处理、资金划拨等有关的合同、协议以传真或者双方约定的其他方式发送给基金托管人。</w:t>
      </w:r>
    </w:p>
    <w:p w14:paraId="3CF2341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（三）变更与协助</w:t>
      </w:r>
    </w:p>
    <w:p w14:paraId="32C6388B" w14:textId="77777777" w:rsidR="00264E55" w:rsidRDefault="008040BB">
      <w:pPr>
        <w:spacing w:line="360" w:lineRule="auto"/>
        <w:ind w:firstLineChars="200" w:firstLine="420"/>
        <w:rPr>
          <w:color w:val="000000" w:themeColor="text1"/>
          <w:szCs w:val="21"/>
        </w:rPr>
      </w:pPr>
      <w:proofErr w:type="gramStart"/>
      <w:r>
        <w:rPr>
          <w:rFonts w:hint="eastAsia"/>
          <w:color w:val="000000" w:themeColor="text1"/>
          <w:szCs w:val="21"/>
        </w:rPr>
        <w:t>若基金</w:t>
      </w:r>
      <w:proofErr w:type="gramEnd"/>
      <w:r>
        <w:rPr>
          <w:rFonts w:hint="eastAsia"/>
          <w:color w:val="000000" w:themeColor="text1"/>
          <w:szCs w:val="21"/>
        </w:rPr>
        <w:t>管理人</w:t>
      </w:r>
      <w:r>
        <w:rPr>
          <w:color w:val="000000" w:themeColor="text1"/>
          <w:szCs w:val="21"/>
        </w:rPr>
        <w:t>/</w:t>
      </w:r>
      <w:r>
        <w:rPr>
          <w:rFonts w:hint="eastAsia"/>
          <w:color w:val="000000" w:themeColor="text1"/>
          <w:szCs w:val="21"/>
        </w:rPr>
        <w:t>基金托管人发生变更，未变更的一方有义务协助变更后的接任人接收相应文件。</w:t>
      </w:r>
    </w:p>
    <w:p w14:paraId="7973F79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（四）基金管理人和基金托管人应按各自职责完整保存原始凭证、记账凭证、基金账册、交易记录和重要合同等，承担保密义务并保存</w:t>
      </w:r>
      <w:r>
        <w:rPr>
          <w:rFonts w:hint="eastAsia"/>
          <w:color w:val="000000" w:themeColor="text1"/>
        </w:rPr>
        <w:t>不低于法定最低期限</w:t>
      </w:r>
      <w:r>
        <w:rPr>
          <w:rFonts w:hint="eastAsia"/>
          <w:color w:val="000000" w:themeColor="text1"/>
          <w:szCs w:val="21"/>
        </w:rPr>
        <w:t>。</w:t>
      </w:r>
    </w:p>
    <w:p w14:paraId="70ED9C63" w14:textId="77777777" w:rsidR="00264E55" w:rsidRDefault="00264E55">
      <w:pPr>
        <w:ind w:firstLine="420"/>
        <w:rPr>
          <w:color w:val="000000" w:themeColor="text1"/>
        </w:rPr>
      </w:pPr>
    </w:p>
    <w:p w14:paraId="66958802"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38" w:name="_Toc881144"/>
      <w:bookmarkStart w:id="39" w:name="_Toc394474009"/>
      <w:r>
        <w:rPr>
          <w:rFonts w:hint="eastAsia"/>
          <w:color w:val="000000" w:themeColor="text1"/>
          <w:sz w:val="24"/>
          <w:szCs w:val="24"/>
        </w:rPr>
        <w:lastRenderedPageBreak/>
        <w:t>基金托管人和基金管理人的更换</w:t>
      </w:r>
      <w:bookmarkEnd w:id="38"/>
      <w:bookmarkEnd w:id="39"/>
    </w:p>
    <w:p w14:paraId="118FB349" w14:textId="77777777" w:rsidR="00264E55" w:rsidRDefault="00264E55">
      <w:pPr>
        <w:spacing w:line="360" w:lineRule="auto"/>
        <w:ind w:firstLineChars="200" w:firstLine="420"/>
        <w:rPr>
          <w:color w:val="000000" w:themeColor="text1"/>
          <w:szCs w:val="21"/>
        </w:rPr>
      </w:pPr>
    </w:p>
    <w:p w14:paraId="50DDA2F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（一）基金管理人的更换</w:t>
      </w:r>
    </w:p>
    <w:p w14:paraId="61C23825" w14:textId="77777777" w:rsidR="00264E55" w:rsidRDefault="008040BB">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、基金管理人的更换条件</w:t>
      </w:r>
    </w:p>
    <w:p w14:paraId="72F0CFC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有下列情形之一的，</w:t>
      </w:r>
      <w:r>
        <w:rPr>
          <w:rFonts w:hint="eastAsia"/>
          <w:bCs/>
          <w:color w:val="000000" w:themeColor="text1"/>
          <w:szCs w:val="21"/>
        </w:rPr>
        <w:t>基金管理人职责终止</w:t>
      </w:r>
      <w:r>
        <w:rPr>
          <w:rFonts w:hint="eastAsia"/>
          <w:color w:val="000000" w:themeColor="text1"/>
          <w:szCs w:val="21"/>
        </w:rPr>
        <w:t>：</w:t>
      </w:r>
    </w:p>
    <w:p w14:paraId="1B6044E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）被依法取消基金管理资格；</w:t>
      </w:r>
    </w:p>
    <w:p w14:paraId="573F7D7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）被基金份额持有人大会解任；</w:t>
      </w:r>
    </w:p>
    <w:p w14:paraId="39BD6FF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）依法解散、被依法撤销或被依法宣告破产；</w:t>
      </w:r>
    </w:p>
    <w:p w14:paraId="337D048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）法律法规及中国证监会规定的和《基金合同》约定的其他情形。</w:t>
      </w:r>
    </w:p>
    <w:p w14:paraId="5E22EEC1" w14:textId="77777777" w:rsidR="00264E55" w:rsidRDefault="008040BB">
      <w:pPr>
        <w:spacing w:line="360" w:lineRule="auto"/>
        <w:ind w:firstLineChars="200" w:firstLine="420"/>
        <w:rPr>
          <w:color w:val="000000" w:themeColor="text1"/>
          <w:szCs w:val="21"/>
        </w:rPr>
      </w:pPr>
      <w:r>
        <w:rPr>
          <w:color w:val="000000" w:themeColor="text1"/>
          <w:szCs w:val="21"/>
        </w:rPr>
        <w:t>2</w:t>
      </w:r>
      <w:r>
        <w:rPr>
          <w:rFonts w:hint="eastAsia"/>
          <w:color w:val="000000" w:themeColor="text1"/>
          <w:szCs w:val="21"/>
        </w:rPr>
        <w:t>、更换基金管理人的程序</w:t>
      </w:r>
    </w:p>
    <w:p w14:paraId="7D2E41C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）提名：</w:t>
      </w:r>
      <w:proofErr w:type="gramStart"/>
      <w:r>
        <w:rPr>
          <w:rFonts w:hint="eastAsia"/>
          <w:color w:val="000000" w:themeColor="text1"/>
          <w:szCs w:val="21"/>
        </w:rPr>
        <w:t>新任基金</w:t>
      </w:r>
      <w:proofErr w:type="gramEnd"/>
      <w:r>
        <w:rPr>
          <w:rFonts w:hint="eastAsia"/>
          <w:color w:val="000000" w:themeColor="text1"/>
          <w:szCs w:val="21"/>
        </w:rPr>
        <w:t>管理人由基金托管人或由单独或合计持有</w:t>
      </w:r>
      <w:r>
        <w:rPr>
          <w:rFonts w:hint="eastAsia"/>
          <w:color w:val="000000" w:themeColor="text1"/>
          <w:szCs w:val="21"/>
        </w:rPr>
        <w:t>10%</w:t>
      </w:r>
      <w:r>
        <w:rPr>
          <w:rFonts w:hint="eastAsia"/>
          <w:color w:val="000000" w:themeColor="text1"/>
          <w:szCs w:val="21"/>
        </w:rPr>
        <w:t>以上（含</w:t>
      </w:r>
      <w:r>
        <w:rPr>
          <w:rFonts w:hint="eastAsia"/>
          <w:color w:val="000000" w:themeColor="text1"/>
          <w:szCs w:val="21"/>
        </w:rPr>
        <w:t>10%</w:t>
      </w:r>
      <w:r>
        <w:rPr>
          <w:rFonts w:hint="eastAsia"/>
          <w:color w:val="000000" w:themeColor="text1"/>
          <w:szCs w:val="21"/>
        </w:rPr>
        <w:t>）基金份额的基金份额持有人提名；</w:t>
      </w:r>
    </w:p>
    <w:p w14:paraId="729F073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）决议：基金份额持有人大会在基金管理人职责终止后</w:t>
      </w:r>
      <w:r>
        <w:rPr>
          <w:rFonts w:hint="eastAsia"/>
          <w:color w:val="000000" w:themeColor="text1"/>
          <w:szCs w:val="21"/>
        </w:rPr>
        <w:t>6</w:t>
      </w:r>
      <w:r>
        <w:rPr>
          <w:rFonts w:hint="eastAsia"/>
          <w:color w:val="000000" w:themeColor="text1"/>
          <w:szCs w:val="21"/>
        </w:rPr>
        <w:t>个月内对被提名的基金管理人形成决议，该决议需经参加大会的基金份额持有人所持表决权的三分之二以上（含三分之二）表决通过，决议自表决通过之日起生效；</w:t>
      </w:r>
    </w:p>
    <w:p w14:paraId="59E506E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）临时基金管理人：</w:t>
      </w:r>
      <w:proofErr w:type="gramStart"/>
      <w:r>
        <w:rPr>
          <w:rFonts w:hint="eastAsia"/>
          <w:color w:val="000000" w:themeColor="text1"/>
          <w:szCs w:val="21"/>
        </w:rPr>
        <w:t>新任基金</w:t>
      </w:r>
      <w:proofErr w:type="gramEnd"/>
      <w:r>
        <w:rPr>
          <w:rFonts w:hint="eastAsia"/>
          <w:color w:val="000000" w:themeColor="text1"/>
          <w:szCs w:val="21"/>
        </w:rPr>
        <w:t>管理人产生之前，由中国证监会指定临时基金管理人；</w:t>
      </w:r>
    </w:p>
    <w:p w14:paraId="4247774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）备案：基金份额持有人大会更换基金管理人的决议须报中国证监会备案；</w:t>
      </w:r>
    </w:p>
    <w:p w14:paraId="4AB6EB8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）公告：基金管理人更换后，由基金托管人在更换基金管理人的基金份额持有人大会决议生效后</w:t>
      </w:r>
      <w:r>
        <w:rPr>
          <w:rFonts w:hint="eastAsia"/>
          <w:color w:val="000000" w:themeColor="text1"/>
          <w:szCs w:val="21"/>
        </w:rPr>
        <w:t>2</w:t>
      </w:r>
      <w:r>
        <w:rPr>
          <w:rFonts w:hint="eastAsia"/>
          <w:color w:val="000000" w:themeColor="text1"/>
          <w:szCs w:val="21"/>
        </w:rPr>
        <w:t>日内在规定媒介公告；</w:t>
      </w:r>
    </w:p>
    <w:p w14:paraId="6677727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）交接：基金管理人职责终止的，基金管理人应妥善保管基金管理业务资料，及时向临时基金管理人或</w:t>
      </w:r>
      <w:proofErr w:type="gramStart"/>
      <w:r>
        <w:rPr>
          <w:rFonts w:hint="eastAsia"/>
          <w:color w:val="000000" w:themeColor="text1"/>
          <w:szCs w:val="21"/>
        </w:rPr>
        <w:t>新任基金</w:t>
      </w:r>
      <w:proofErr w:type="gramEnd"/>
      <w:r>
        <w:rPr>
          <w:rFonts w:hint="eastAsia"/>
          <w:color w:val="000000" w:themeColor="text1"/>
          <w:szCs w:val="21"/>
        </w:rPr>
        <w:t>管理人办理基金管理业务的移交手续，临时基金管理人或</w:t>
      </w:r>
      <w:proofErr w:type="gramStart"/>
      <w:r>
        <w:rPr>
          <w:rFonts w:hint="eastAsia"/>
          <w:color w:val="000000" w:themeColor="text1"/>
          <w:szCs w:val="21"/>
        </w:rPr>
        <w:t>新任基金</w:t>
      </w:r>
      <w:proofErr w:type="gramEnd"/>
      <w:r>
        <w:rPr>
          <w:rFonts w:hint="eastAsia"/>
          <w:color w:val="000000" w:themeColor="text1"/>
          <w:szCs w:val="21"/>
        </w:rPr>
        <w:t>管理人应及时接收。</w:t>
      </w:r>
      <w:proofErr w:type="gramStart"/>
      <w:r>
        <w:rPr>
          <w:rFonts w:hint="eastAsia"/>
          <w:color w:val="000000" w:themeColor="text1"/>
          <w:szCs w:val="21"/>
        </w:rPr>
        <w:t>新任基金</w:t>
      </w:r>
      <w:proofErr w:type="gramEnd"/>
      <w:r>
        <w:rPr>
          <w:rFonts w:hint="eastAsia"/>
          <w:color w:val="000000" w:themeColor="text1"/>
          <w:szCs w:val="21"/>
        </w:rPr>
        <w:t>管理人或临时基金管理人应与基金托管人核对基金资产总值和基金资产净值；</w:t>
      </w:r>
    </w:p>
    <w:p w14:paraId="0F6FFF54"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）审计：基金管理人职责终止的，应当按照法律法规规定聘请符合《证券法》规定的会计师事务所对基金财产进行审计，并将审计结果予以公告，同时报中国证监会备案，审计费用从基金财产中列支；</w:t>
      </w:r>
    </w:p>
    <w:p w14:paraId="56A2EBC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8</w:t>
      </w:r>
      <w:r>
        <w:rPr>
          <w:rFonts w:hint="eastAsia"/>
          <w:color w:val="000000" w:themeColor="text1"/>
          <w:szCs w:val="21"/>
        </w:rPr>
        <w:t>）基金名称变更：基金管理人更换后，如果原任或</w:t>
      </w:r>
      <w:proofErr w:type="gramStart"/>
      <w:r>
        <w:rPr>
          <w:rFonts w:hint="eastAsia"/>
          <w:color w:val="000000" w:themeColor="text1"/>
          <w:szCs w:val="21"/>
        </w:rPr>
        <w:t>新任基金</w:t>
      </w:r>
      <w:proofErr w:type="gramEnd"/>
      <w:r>
        <w:rPr>
          <w:rFonts w:hint="eastAsia"/>
          <w:color w:val="000000" w:themeColor="text1"/>
          <w:szCs w:val="21"/>
        </w:rPr>
        <w:t>管理人要求，应按其要求替换或删除基金名称中与原任基金管理人有关的名称字样。</w:t>
      </w:r>
    </w:p>
    <w:p w14:paraId="433CA004" w14:textId="77777777" w:rsidR="00264E55" w:rsidRDefault="008040BB">
      <w:pPr>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、原任基金管理人职责终止后，</w:t>
      </w:r>
      <w:proofErr w:type="gramStart"/>
      <w:r>
        <w:rPr>
          <w:rFonts w:hint="eastAsia"/>
          <w:color w:val="000000" w:themeColor="text1"/>
          <w:szCs w:val="21"/>
        </w:rPr>
        <w:t>新任基金</w:t>
      </w:r>
      <w:proofErr w:type="gramEnd"/>
      <w:r>
        <w:rPr>
          <w:rFonts w:hint="eastAsia"/>
          <w:color w:val="000000" w:themeColor="text1"/>
          <w:szCs w:val="21"/>
        </w:rPr>
        <w:t>管理人或临时基金管理人接收基金管理业务</w:t>
      </w:r>
      <w:r>
        <w:rPr>
          <w:rFonts w:hint="eastAsia"/>
          <w:color w:val="000000" w:themeColor="text1"/>
          <w:szCs w:val="21"/>
        </w:rPr>
        <w:lastRenderedPageBreak/>
        <w:t>前，原任基金管理人和基金托管人需采取审慎措施确保基金财产的安全，不对基金份额持有人的利益造成损失，并有义务协助</w:t>
      </w:r>
      <w:proofErr w:type="gramStart"/>
      <w:r>
        <w:rPr>
          <w:rFonts w:hint="eastAsia"/>
          <w:color w:val="000000" w:themeColor="text1"/>
          <w:szCs w:val="21"/>
        </w:rPr>
        <w:t>新任基金</w:t>
      </w:r>
      <w:proofErr w:type="gramEnd"/>
      <w:r>
        <w:rPr>
          <w:rFonts w:hint="eastAsia"/>
          <w:color w:val="000000" w:themeColor="text1"/>
          <w:szCs w:val="21"/>
        </w:rPr>
        <w:t>管理人或临时基金管理人尽快恢复基金财产的投资运作。</w:t>
      </w:r>
    </w:p>
    <w:p w14:paraId="07D3880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（二）基金托管人的更换</w:t>
      </w:r>
    </w:p>
    <w:p w14:paraId="59174951" w14:textId="77777777" w:rsidR="00264E55" w:rsidRDefault="008040BB">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、基金托管人的更换条件</w:t>
      </w:r>
    </w:p>
    <w:p w14:paraId="6D64862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有下列情形之一的，基金托管人职责终止：</w:t>
      </w:r>
    </w:p>
    <w:p w14:paraId="447BB5A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）被依法取消基金托管资格；</w:t>
      </w:r>
    </w:p>
    <w:p w14:paraId="58F48AB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）被基金份额持有人大会解任；</w:t>
      </w:r>
    </w:p>
    <w:p w14:paraId="387AF13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）依法解散、被依法撤销或被依法宣告破产；</w:t>
      </w:r>
    </w:p>
    <w:p w14:paraId="5F84972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）法律法规及中国证监会规定的和《基金合同》约定的其他情形。</w:t>
      </w:r>
    </w:p>
    <w:p w14:paraId="7CA8B57F" w14:textId="77777777" w:rsidR="00264E55" w:rsidRDefault="008040BB">
      <w:pPr>
        <w:spacing w:line="360" w:lineRule="auto"/>
        <w:ind w:firstLineChars="200" w:firstLine="420"/>
        <w:rPr>
          <w:color w:val="000000" w:themeColor="text1"/>
          <w:szCs w:val="21"/>
        </w:rPr>
      </w:pPr>
      <w:r>
        <w:rPr>
          <w:color w:val="000000" w:themeColor="text1"/>
          <w:szCs w:val="21"/>
        </w:rPr>
        <w:t>2</w:t>
      </w:r>
      <w:r>
        <w:rPr>
          <w:rFonts w:hint="eastAsia"/>
          <w:color w:val="000000" w:themeColor="text1"/>
          <w:szCs w:val="21"/>
        </w:rPr>
        <w:t>、更换基金托管人的程序</w:t>
      </w:r>
    </w:p>
    <w:p w14:paraId="6F47B7A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）提名：</w:t>
      </w:r>
      <w:proofErr w:type="gramStart"/>
      <w:r>
        <w:rPr>
          <w:rFonts w:hint="eastAsia"/>
          <w:color w:val="000000" w:themeColor="text1"/>
          <w:szCs w:val="21"/>
        </w:rPr>
        <w:t>新任基金</w:t>
      </w:r>
      <w:proofErr w:type="gramEnd"/>
      <w:r>
        <w:rPr>
          <w:rFonts w:hint="eastAsia"/>
          <w:color w:val="000000" w:themeColor="text1"/>
          <w:szCs w:val="21"/>
        </w:rPr>
        <w:t>托管人由基金管理人或由单独或合计持有</w:t>
      </w:r>
      <w:r>
        <w:rPr>
          <w:rFonts w:hint="eastAsia"/>
          <w:color w:val="000000" w:themeColor="text1"/>
          <w:szCs w:val="21"/>
        </w:rPr>
        <w:t>10%</w:t>
      </w:r>
      <w:r>
        <w:rPr>
          <w:rFonts w:hint="eastAsia"/>
          <w:color w:val="000000" w:themeColor="text1"/>
          <w:szCs w:val="21"/>
        </w:rPr>
        <w:t>以上（含</w:t>
      </w:r>
      <w:r>
        <w:rPr>
          <w:rFonts w:hint="eastAsia"/>
          <w:color w:val="000000" w:themeColor="text1"/>
          <w:szCs w:val="21"/>
        </w:rPr>
        <w:t>10%</w:t>
      </w:r>
      <w:r>
        <w:rPr>
          <w:rFonts w:hint="eastAsia"/>
          <w:color w:val="000000" w:themeColor="text1"/>
          <w:szCs w:val="21"/>
        </w:rPr>
        <w:t>）基金份额的基金份额持有人提名；</w:t>
      </w:r>
    </w:p>
    <w:p w14:paraId="2D5D7EE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）决议：基金份额持有人大会在基金托管人职责终止后</w:t>
      </w:r>
      <w:r>
        <w:rPr>
          <w:rFonts w:hint="eastAsia"/>
          <w:color w:val="000000" w:themeColor="text1"/>
          <w:szCs w:val="21"/>
        </w:rPr>
        <w:t>6</w:t>
      </w:r>
      <w:r>
        <w:rPr>
          <w:rFonts w:hint="eastAsia"/>
          <w:color w:val="000000" w:themeColor="text1"/>
          <w:szCs w:val="21"/>
        </w:rPr>
        <w:t>个月内对被提名的基金托管人形成决议，该决议需经参加大会的基金份额持有人所持表决权的三分之二以上（含三分之二）表决通过，决议自表决通过之日起生效；</w:t>
      </w:r>
    </w:p>
    <w:p w14:paraId="76D91EE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）临时基金托管人：</w:t>
      </w:r>
      <w:proofErr w:type="gramStart"/>
      <w:r>
        <w:rPr>
          <w:rFonts w:hint="eastAsia"/>
          <w:color w:val="000000" w:themeColor="text1"/>
          <w:szCs w:val="21"/>
        </w:rPr>
        <w:t>新任基金</w:t>
      </w:r>
      <w:proofErr w:type="gramEnd"/>
      <w:r>
        <w:rPr>
          <w:rFonts w:hint="eastAsia"/>
          <w:color w:val="000000" w:themeColor="text1"/>
          <w:szCs w:val="21"/>
        </w:rPr>
        <w:t>托管人产生之前，由中国证监会指定临时基金托管人；</w:t>
      </w:r>
    </w:p>
    <w:p w14:paraId="02847C3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）备案：基金份额持有人大会更换基金托管人的决议须报中国证监会备案；</w:t>
      </w:r>
    </w:p>
    <w:p w14:paraId="2F9DDEE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）公告：基金托管人更换后，由基金管理人在更换基金托管人的基金份额持有人大会决议生效后</w:t>
      </w:r>
      <w:r>
        <w:rPr>
          <w:rFonts w:hint="eastAsia"/>
          <w:color w:val="000000" w:themeColor="text1"/>
          <w:szCs w:val="21"/>
        </w:rPr>
        <w:t>2</w:t>
      </w:r>
      <w:r>
        <w:rPr>
          <w:rFonts w:hint="eastAsia"/>
          <w:color w:val="000000" w:themeColor="text1"/>
          <w:szCs w:val="21"/>
        </w:rPr>
        <w:t>日内在规定媒介公告；</w:t>
      </w:r>
    </w:p>
    <w:p w14:paraId="567C77F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）交接：基金托管人职责终止的，应当妥善保管基金财产和基金托管业务资料，及时办理基金财产和基金托管业务的移交手续，</w:t>
      </w:r>
      <w:proofErr w:type="gramStart"/>
      <w:r>
        <w:rPr>
          <w:rFonts w:hint="eastAsia"/>
          <w:color w:val="000000" w:themeColor="text1"/>
          <w:szCs w:val="21"/>
        </w:rPr>
        <w:t>新任基金</w:t>
      </w:r>
      <w:proofErr w:type="gramEnd"/>
      <w:r>
        <w:rPr>
          <w:rFonts w:hint="eastAsia"/>
          <w:color w:val="000000" w:themeColor="text1"/>
          <w:szCs w:val="21"/>
        </w:rPr>
        <w:t>托管人或者临时基金托管人应当及时接收。</w:t>
      </w:r>
      <w:proofErr w:type="gramStart"/>
      <w:r>
        <w:rPr>
          <w:rFonts w:hint="eastAsia"/>
          <w:color w:val="000000" w:themeColor="text1"/>
          <w:szCs w:val="21"/>
        </w:rPr>
        <w:t>新任基金</w:t>
      </w:r>
      <w:proofErr w:type="gramEnd"/>
      <w:r>
        <w:rPr>
          <w:rFonts w:hint="eastAsia"/>
          <w:color w:val="000000" w:themeColor="text1"/>
          <w:szCs w:val="21"/>
        </w:rPr>
        <w:t>托管人或者临时基金托管人应与基金管理人核对基金资产总值和基金资产净值；</w:t>
      </w:r>
      <w:r>
        <w:rPr>
          <w:rFonts w:hint="eastAsia"/>
          <w:color w:val="000000" w:themeColor="text1"/>
          <w:szCs w:val="21"/>
        </w:rPr>
        <w:t xml:space="preserve"> </w:t>
      </w:r>
    </w:p>
    <w:p w14:paraId="0012425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）审计：基金托管人职责终止的，应当按照法律法规规定聘请符合《证券法》规定的会计师事务所对基金财产进行审计，并将审计结果予以公告，同时报中国证监会备案，审计费用从基金财产中列支。</w:t>
      </w:r>
    </w:p>
    <w:p w14:paraId="57883C74" w14:textId="77777777" w:rsidR="00264E55" w:rsidRDefault="008040BB">
      <w:pPr>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、原任基金托管人职责终止后，</w:t>
      </w:r>
      <w:proofErr w:type="gramStart"/>
      <w:r>
        <w:rPr>
          <w:rFonts w:hint="eastAsia"/>
          <w:color w:val="000000" w:themeColor="text1"/>
          <w:szCs w:val="21"/>
        </w:rPr>
        <w:t>新任基金</w:t>
      </w:r>
      <w:proofErr w:type="gramEnd"/>
      <w:r>
        <w:rPr>
          <w:rFonts w:hint="eastAsia"/>
          <w:color w:val="000000" w:themeColor="text1"/>
          <w:szCs w:val="21"/>
        </w:rPr>
        <w:t>托管人或临时基金托管人接收基金财产和基金托管业务前，</w:t>
      </w:r>
      <w:proofErr w:type="gramStart"/>
      <w:r>
        <w:rPr>
          <w:rFonts w:hint="eastAsia"/>
          <w:color w:val="000000" w:themeColor="text1"/>
          <w:szCs w:val="21"/>
        </w:rPr>
        <w:t>原基金</w:t>
      </w:r>
      <w:proofErr w:type="gramEnd"/>
      <w:r>
        <w:rPr>
          <w:rFonts w:hint="eastAsia"/>
          <w:color w:val="000000" w:themeColor="text1"/>
          <w:szCs w:val="21"/>
        </w:rPr>
        <w:t>托管人和基金管理人需采取审慎措施确保基金财产的安全，不对基金</w:t>
      </w:r>
      <w:r>
        <w:rPr>
          <w:rFonts w:hint="eastAsia"/>
          <w:color w:val="000000" w:themeColor="text1"/>
          <w:szCs w:val="21"/>
        </w:rPr>
        <w:lastRenderedPageBreak/>
        <w:t>份额持有人的利益造成损失，并有义务协助</w:t>
      </w:r>
      <w:proofErr w:type="gramStart"/>
      <w:r>
        <w:rPr>
          <w:rFonts w:hint="eastAsia"/>
          <w:color w:val="000000" w:themeColor="text1"/>
          <w:szCs w:val="21"/>
        </w:rPr>
        <w:t>新任基金</w:t>
      </w:r>
      <w:proofErr w:type="gramEnd"/>
      <w:r>
        <w:rPr>
          <w:rFonts w:hint="eastAsia"/>
          <w:color w:val="000000" w:themeColor="text1"/>
          <w:szCs w:val="21"/>
        </w:rPr>
        <w:t>托管人或临时基金托管人尽快交接基金资产。</w:t>
      </w:r>
    </w:p>
    <w:p w14:paraId="20840C1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（三）基金管理人和基金托管人的同时更换</w:t>
      </w:r>
    </w:p>
    <w:p w14:paraId="04D1206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）提名：如果基金管理人和基金托管人同时更换，由单独或合计持有基金总份额</w:t>
      </w:r>
      <w:r>
        <w:rPr>
          <w:color w:val="000000" w:themeColor="text1"/>
          <w:szCs w:val="21"/>
        </w:rPr>
        <w:t>10%</w:t>
      </w:r>
      <w:r>
        <w:rPr>
          <w:rFonts w:hint="eastAsia"/>
          <w:color w:val="000000" w:themeColor="text1"/>
          <w:szCs w:val="21"/>
        </w:rPr>
        <w:t>以上（含</w:t>
      </w:r>
      <w:r>
        <w:rPr>
          <w:color w:val="000000" w:themeColor="text1"/>
          <w:szCs w:val="21"/>
        </w:rPr>
        <w:t>10%</w:t>
      </w:r>
      <w:r>
        <w:rPr>
          <w:rFonts w:hint="eastAsia"/>
          <w:color w:val="000000" w:themeColor="text1"/>
          <w:szCs w:val="21"/>
        </w:rPr>
        <w:t>）的基金份额持有人提名新的基金管理人和基金托管人；</w:t>
      </w:r>
    </w:p>
    <w:p w14:paraId="65D4086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）基金管理人和基金托管人的更换分别按上述程序进行；</w:t>
      </w:r>
    </w:p>
    <w:p w14:paraId="1252FEC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）公告：新任或临时基金管理人和新任或临时基金托管人应在更换基金管理人和基金托管人的基金份额持有人大会决议生效后</w:t>
      </w:r>
      <w:r>
        <w:rPr>
          <w:rFonts w:hint="eastAsia"/>
          <w:color w:val="000000" w:themeColor="text1"/>
          <w:szCs w:val="21"/>
        </w:rPr>
        <w:t>2</w:t>
      </w:r>
      <w:r>
        <w:rPr>
          <w:rFonts w:hint="eastAsia"/>
          <w:color w:val="000000" w:themeColor="text1"/>
          <w:szCs w:val="21"/>
        </w:rPr>
        <w:t>日内在规定媒介上联合公告。</w:t>
      </w:r>
    </w:p>
    <w:p w14:paraId="150419D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（四）基金托管人更换的特殊程序</w:t>
      </w:r>
      <w:r>
        <w:rPr>
          <w:rFonts w:hint="eastAsia"/>
          <w:color w:val="000000" w:themeColor="text1"/>
          <w:szCs w:val="21"/>
        </w:rPr>
        <w:t xml:space="preserve"> </w:t>
      </w:r>
    </w:p>
    <w:p w14:paraId="595F296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下述更换基金托管人的情形仅适用于以下特殊程序，不适用其他约定：</w:t>
      </w:r>
    </w:p>
    <w:p w14:paraId="32C3993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当基金托管人获得监管机构批复或核准可以通过其独资或者控股的、具有独立法人资格的子公司（“托管子公司”）从事托管业务后，在基金管理人和基金托管人协商一致的基础上，基金托管人有权在对基金合同无实质性修改的前提下，将基金合同中应由基金托管人享有的权利和承担的义务概括转让给托管子公司，本基金的基金托管人变更为托管子公司。前述基金托管人变更事项无需另行征询基金份额持有人同意或召开基金份额持有人大会审议，亦无需另行签订基金合同或托管协议，但基金管理人、基金托管人应当按照法律法规和中国证监会的要求履行相关程序，并按照《信息披露办法》的规定在规定媒介公告。自该等公告通知载明的指定时间（含）起，上述概括转让被视为自动完成，本托管协议项下的基金托管人自此变更为托管子公司。</w:t>
      </w:r>
    </w:p>
    <w:p w14:paraId="14DA0CE1"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为避免疑义，上述基金托管人变更事项不属于基金托管人职责终止或解任情形，继任的基金托管人将依据监管规定和基金合同、托管协议的约定履行相应的权利与义务。上述基金托管人变更事项不触发基金合同或托管协议的终止事由，不会导致基金合同或托管协议终止。</w:t>
      </w:r>
    </w:p>
    <w:p w14:paraId="0C2CE02B" w14:textId="77777777" w:rsidR="00264E55" w:rsidRDefault="00264E55">
      <w:pPr>
        <w:spacing w:line="360" w:lineRule="auto"/>
        <w:ind w:firstLineChars="200" w:firstLine="420"/>
        <w:rPr>
          <w:color w:val="000000" w:themeColor="text1"/>
          <w:szCs w:val="21"/>
        </w:rPr>
      </w:pPr>
    </w:p>
    <w:p w14:paraId="30A08F97" w14:textId="77777777" w:rsidR="00264E55" w:rsidRDefault="00264E55">
      <w:pPr>
        <w:spacing w:line="360" w:lineRule="auto"/>
        <w:ind w:firstLineChars="200" w:firstLine="420"/>
        <w:rPr>
          <w:color w:val="000000" w:themeColor="text1"/>
          <w:szCs w:val="21"/>
        </w:rPr>
      </w:pPr>
    </w:p>
    <w:p w14:paraId="1AB14FA7" w14:textId="77777777" w:rsidR="00264E55" w:rsidRDefault="00264E55">
      <w:pPr>
        <w:spacing w:line="360" w:lineRule="auto"/>
        <w:ind w:firstLineChars="200" w:firstLine="420"/>
        <w:rPr>
          <w:color w:val="000000" w:themeColor="text1"/>
          <w:szCs w:val="21"/>
        </w:rPr>
      </w:pPr>
    </w:p>
    <w:p w14:paraId="1F496B33"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40" w:name="_Toc394474010"/>
      <w:bookmarkStart w:id="41" w:name="_Toc881145"/>
      <w:r>
        <w:rPr>
          <w:rFonts w:hint="eastAsia"/>
          <w:color w:val="000000" w:themeColor="text1"/>
          <w:sz w:val="24"/>
          <w:szCs w:val="24"/>
        </w:rPr>
        <w:t>禁止行为</w:t>
      </w:r>
      <w:bookmarkEnd w:id="40"/>
      <w:bookmarkEnd w:id="41"/>
    </w:p>
    <w:p w14:paraId="5EA23979" w14:textId="77777777" w:rsidR="00264E55" w:rsidRDefault="00264E55">
      <w:pPr>
        <w:spacing w:line="360" w:lineRule="auto"/>
        <w:ind w:firstLineChars="200" w:firstLine="420"/>
        <w:rPr>
          <w:color w:val="000000" w:themeColor="text1"/>
          <w:szCs w:val="21"/>
        </w:rPr>
      </w:pPr>
    </w:p>
    <w:p w14:paraId="1083CEC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托管协议当事人禁止从事的行为，包括但不限于：</w:t>
      </w:r>
    </w:p>
    <w:p w14:paraId="2BA0200D" w14:textId="77777777" w:rsidR="00264E55" w:rsidRDefault="008040BB">
      <w:pPr>
        <w:spacing w:line="360" w:lineRule="auto"/>
        <w:ind w:firstLineChars="200" w:firstLine="420"/>
        <w:rPr>
          <w:color w:val="000000" w:themeColor="text1"/>
          <w:szCs w:val="21"/>
        </w:rPr>
      </w:pPr>
      <w:r>
        <w:rPr>
          <w:rFonts w:hint="eastAsia"/>
          <w:color w:val="000000" w:themeColor="text1"/>
          <w:szCs w:val="21"/>
        </w:rPr>
        <w:lastRenderedPageBreak/>
        <w:t>（一）基金管理人、基金托管人将其固有财产或者他人财产混同于基金财产从事证券投资。</w:t>
      </w:r>
    </w:p>
    <w:p w14:paraId="38FA6D5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（二）基金管理人、基金托管人不公平地对待其管理或托管的不同基金财产。</w:t>
      </w:r>
    </w:p>
    <w:p w14:paraId="7A4060B0"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（三）基金管理人、基金托管人利用基金财产为基金份额持有人以外的第三人牟取利益。</w:t>
      </w:r>
    </w:p>
    <w:p w14:paraId="12CA3CD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（四）基金管理人、基金托管人向基金份额持有人违规承诺收益或者承担损失。</w:t>
      </w:r>
    </w:p>
    <w:p w14:paraId="738CFC8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（五）基金管理人、基金托管人对他人泄露基金经营过程中任何尚未按法律法规规定的方式公开披露的信息。</w:t>
      </w:r>
    </w:p>
    <w:p w14:paraId="02C029D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（六）基金管理人在没有充足资金的情况下向基金托管人发出投资指令和赎回、分红资金的划拨指令，或违规向基金托管人发出指令。</w:t>
      </w:r>
    </w:p>
    <w:p w14:paraId="21113D6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（七）基金托管人对基金管理人的正常有效指令拖延或拒绝执行。</w:t>
      </w:r>
    </w:p>
    <w:p w14:paraId="2D6E33C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（八）基金管理人、基金托管人在行政上、财务上不独立，其高级管理人员和其他从业人员相互兼职。</w:t>
      </w:r>
    </w:p>
    <w:p w14:paraId="77C6089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（九）基金托管人私自动用或处分基金资产，根据基金管理人的合法指令、</w:t>
      </w:r>
      <w:r>
        <w:rPr>
          <w:rFonts w:ascii="宋体" w:hAnsi="Calibri" w:cs="宋体" w:hint="eastAsia"/>
          <w:color w:val="000000" w:themeColor="text1"/>
          <w:kern w:val="0"/>
          <w:szCs w:val="21"/>
        </w:rPr>
        <w:t>《基金合同》</w:t>
      </w:r>
      <w:r>
        <w:rPr>
          <w:rFonts w:hint="eastAsia"/>
          <w:color w:val="000000" w:themeColor="text1"/>
          <w:szCs w:val="21"/>
        </w:rPr>
        <w:t>或托管协议的规定进行处分的除外。</w:t>
      </w:r>
    </w:p>
    <w:p w14:paraId="0344E094"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（十）基金管理人、基金托管人不得利用基金财产用于下列投资或者活动（同本协议第三章约定内容）：</w:t>
      </w:r>
    </w:p>
    <w:p w14:paraId="04683F26"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）承销证券；</w:t>
      </w:r>
    </w:p>
    <w:p w14:paraId="2E4B3CD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）违反规定向他人贷款或者提供担保；</w:t>
      </w:r>
    </w:p>
    <w:p w14:paraId="17690E9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）从事承担无限责任的投资；</w:t>
      </w:r>
    </w:p>
    <w:p w14:paraId="3462487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）买卖</w:t>
      </w:r>
      <w:proofErr w:type="gramStart"/>
      <w:r>
        <w:rPr>
          <w:rFonts w:hint="eastAsia"/>
          <w:color w:val="000000" w:themeColor="text1"/>
        </w:rPr>
        <w:t>除目标</w:t>
      </w:r>
      <w:proofErr w:type="gramEnd"/>
      <w:r>
        <w:rPr>
          <w:rFonts w:hint="eastAsia"/>
          <w:color w:val="000000" w:themeColor="text1"/>
        </w:rPr>
        <w:t>ETF</w:t>
      </w:r>
      <w:r>
        <w:rPr>
          <w:rFonts w:hint="eastAsia"/>
          <w:color w:val="000000" w:themeColor="text1"/>
        </w:rPr>
        <w:t>以外的</w:t>
      </w:r>
      <w:r>
        <w:rPr>
          <w:rFonts w:hint="eastAsia"/>
          <w:color w:val="000000" w:themeColor="text1"/>
          <w:szCs w:val="21"/>
        </w:rPr>
        <w:t>其他基金份额，但是中国证监会另有规定的除外；</w:t>
      </w:r>
    </w:p>
    <w:p w14:paraId="3982812A"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）向其基金管理人、基金托管人出资；</w:t>
      </w:r>
    </w:p>
    <w:p w14:paraId="5EA2037B"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）从事内幕交易、操纵证券交易价格及其他不正当的证券交易活动；</w:t>
      </w:r>
    </w:p>
    <w:p w14:paraId="086C7854" w14:textId="77777777" w:rsidR="00264E55" w:rsidRDefault="008040B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w:t>
      </w:r>
      <w:r>
        <w:rPr>
          <w:rFonts w:hint="eastAsia"/>
          <w:color w:val="000000" w:themeColor="text1"/>
        </w:rPr>
        <w:t>法律、行政法规和中国证监会规定禁止的其他活动。</w:t>
      </w:r>
    </w:p>
    <w:p w14:paraId="4450DE8B" w14:textId="77777777" w:rsidR="00264E55" w:rsidRDefault="008040BB">
      <w:pPr>
        <w:spacing w:line="360" w:lineRule="auto"/>
        <w:ind w:firstLineChars="200" w:firstLine="420"/>
        <w:rPr>
          <w:color w:val="000000" w:themeColor="text1"/>
          <w:szCs w:val="21"/>
        </w:rPr>
      </w:pPr>
      <w:r>
        <w:rPr>
          <w:rFonts w:hint="eastAsia"/>
          <w:szCs w:val="21"/>
        </w:rPr>
        <w:t>法律、行政法规或监管部门取消或变更上述限制，如适用于本基金，基金管理人在履行适当程序后，则本基金投资不再受相关限制或按变更后的规定执行。</w:t>
      </w:r>
    </w:p>
    <w:p w14:paraId="6D7664E4" w14:textId="77777777" w:rsidR="00264E55" w:rsidRDefault="00264E55">
      <w:pPr>
        <w:autoSpaceDE w:val="0"/>
        <w:autoSpaceDN w:val="0"/>
        <w:adjustRightInd w:val="0"/>
        <w:spacing w:line="360" w:lineRule="auto"/>
        <w:ind w:firstLineChars="200" w:firstLine="420"/>
        <w:rPr>
          <w:color w:val="000000" w:themeColor="text1"/>
          <w:szCs w:val="21"/>
        </w:rPr>
      </w:pPr>
    </w:p>
    <w:p w14:paraId="72097C55"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42" w:name="_Toc881146"/>
      <w:bookmarkStart w:id="43" w:name="_Toc394474011"/>
      <w:r>
        <w:rPr>
          <w:rFonts w:hint="eastAsia"/>
          <w:color w:val="000000" w:themeColor="text1"/>
          <w:sz w:val="24"/>
          <w:szCs w:val="24"/>
        </w:rPr>
        <w:t>托管协议的变更、终止与基金财产的清算</w:t>
      </w:r>
      <w:bookmarkEnd w:id="42"/>
      <w:bookmarkEnd w:id="43"/>
    </w:p>
    <w:p w14:paraId="70F3AC4E" w14:textId="77777777" w:rsidR="00264E55" w:rsidRDefault="00264E55">
      <w:pPr>
        <w:autoSpaceDE w:val="0"/>
        <w:autoSpaceDN w:val="0"/>
        <w:adjustRightInd w:val="0"/>
        <w:spacing w:line="360" w:lineRule="auto"/>
        <w:jc w:val="left"/>
        <w:rPr>
          <w:color w:val="000000" w:themeColor="text1"/>
          <w:szCs w:val="21"/>
        </w:rPr>
      </w:pPr>
    </w:p>
    <w:p w14:paraId="4F262E09" w14:textId="77777777" w:rsidR="00264E55" w:rsidRDefault="008040BB">
      <w:pPr>
        <w:autoSpaceDE w:val="0"/>
        <w:autoSpaceDN w:val="0"/>
        <w:adjustRightInd w:val="0"/>
        <w:spacing w:line="360" w:lineRule="auto"/>
        <w:ind w:firstLineChars="150" w:firstLine="315"/>
        <w:jc w:val="left"/>
        <w:rPr>
          <w:color w:val="000000" w:themeColor="text1"/>
          <w:szCs w:val="21"/>
        </w:rPr>
      </w:pPr>
      <w:r>
        <w:rPr>
          <w:rFonts w:hint="eastAsia"/>
          <w:color w:val="000000" w:themeColor="text1"/>
          <w:szCs w:val="21"/>
        </w:rPr>
        <w:t>（一）托管协议的变更与终止</w:t>
      </w:r>
    </w:p>
    <w:p w14:paraId="06C0F94C"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lastRenderedPageBreak/>
        <w:t>1</w:t>
      </w:r>
      <w:r>
        <w:rPr>
          <w:rFonts w:hint="eastAsia"/>
          <w:color w:val="000000" w:themeColor="text1"/>
          <w:szCs w:val="21"/>
        </w:rPr>
        <w:t>、托管协议的变更程序</w:t>
      </w:r>
    </w:p>
    <w:p w14:paraId="34288CE9"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本协议双方当事人经协商一致，可以对协议的内容进行变更。变更后的托管协议，其内容不得与《基金合同》的规定有任何冲突。</w:t>
      </w:r>
    </w:p>
    <w:p w14:paraId="12B2983F"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2</w:t>
      </w:r>
      <w:r>
        <w:rPr>
          <w:rFonts w:hint="eastAsia"/>
          <w:color w:val="000000" w:themeColor="text1"/>
          <w:szCs w:val="21"/>
        </w:rPr>
        <w:t>、基金托管协议终止的情形</w:t>
      </w:r>
    </w:p>
    <w:p w14:paraId="688754F1"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发生以下情况，本托管协议终止：</w:t>
      </w:r>
    </w:p>
    <w:p w14:paraId="2AD29A4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）《基金合同》终止；</w:t>
      </w:r>
    </w:p>
    <w:p w14:paraId="6C74C7B7"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）基金托管人解散、依法被撤销、破产或有其他基金托管人接管基金资产；</w:t>
      </w:r>
    </w:p>
    <w:p w14:paraId="571EAD57"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）基金管理人解散、依法被撤销、破产或有其他基金管理人接管基金管理权；</w:t>
      </w:r>
    </w:p>
    <w:p w14:paraId="4EECD82B"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）发生法律法规、中国证监会或《基金合同》规定的终止事项。</w:t>
      </w:r>
    </w:p>
    <w:p w14:paraId="6F2DC33C"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（二）基金财产的清算</w:t>
      </w:r>
    </w:p>
    <w:p w14:paraId="49A7B7ED"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1</w:t>
      </w:r>
      <w:r>
        <w:rPr>
          <w:rFonts w:hint="eastAsia"/>
          <w:color w:val="000000" w:themeColor="text1"/>
          <w:szCs w:val="21"/>
        </w:rPr>
        <w:t>、基金财产清算小组：自出现《基金合同》终止事由之日起</w:t>
      </w:r>
      <w:r>
        <w:rPr>
          <w:color w:val="000000" w:themeColor="text1"/>
          <w:szCs w:val="21"/>
        </w:rPr>
        <w:t>30</w:t>
      </w:r>
      <w:r>
        <w:rPr>
          <w:rFonts w:hint="eastAsia"/>
          <w:color w:val="000000" w:themeColor="text1"/>
          <w:szCs w:val="21"/>
        </w:rPr>
        <w:t>个工作日内成立基金财产清算小组，基金管理人组织基金财产清算小组并在中国证监会的监督下进行基金清算。</w:t>
      </w:r>
    </w:p>
    <w:p w14:paraId="4247E4ED"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2</w:t>
      </w:r>
      <w:r>
        <w:rPr>
          <w:rFonts w:hint="eastAsia"/>
          <w:color w:val="000000" w:themeColor="text1"/>
          <w:szCs w:val="21"/>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B262C2A"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3</w:t>
      </w:r>
      <w:r>
        <w:rPr>
          <w:rFonts w:hint="eastAsia"/>
          <w:color w:val="000000" w:themeColor="text1"/>
          <w:szCs w:val="21"/>
        </w:rPr>
        <w:t>、基金财产清算小组职责：基金财产清算小组负责基金财产的保管、清理、估价、变现和分配。基金财产清算小组可以依法进行必要的民事活动。</w:t>
      </w:r>
    </w:p>
    <w:p w14:paraId="62793FD1"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4</w:t>
      </w:r>
      <w:r>
        <w:rPr>
          <w:rFonts w:hint="eastAsia"/>
          <w:color w:val="000000" w:themeColor="text1"/>
          <w:szCs w:val="21"/>
        </w:rPr>
        <w:t>、基金财产清算程序：</w:t>
      </w:r>
    </w:p>
    <w:p w14:paraId="609218BB"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）《基金合同》终止情形出现时，由基金财产清算小组统一接管基金；</w:t>
      </w:r>
    </w:p>
    <w:p w14:paraId="5FCB95AC"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）对基金财产和债权债务进行清理和确认；</w:t>
      </w:r>
    </w:p>
    <w:p w14:paraId="2039DC3A"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）对基金财产进行估值和变现；</w:t>
      </w:r>
    </w:p>
    <w:p w14:paraId="66C25065"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）制作清算报告；</w:t>
      </w:r>
    </w:p>
    <w:p w14:paraId="47931CCA"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）聘请符合《中华人民共和国证券法》规定的会计师事务所对清算报告进行外部审计，聘请律师事务所对清算报告出具法律意见书；</w:t>
      </w:r>
    </w:p>
    <w:p w14:paraId="71C4530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6</w:t>
      </w:r>
      <w:r>
        <w:rPr>
          <w:rFonts w:hint="eastAsia"/>
          <w:color w:val="000000" w:themeColor="text1"/>
          <w:szCs w:val="21"/>
        </w:rPr>
        <w:t>）将清算报告报中国证监会备案并公告；</w:t>
      </w:r>
    </w:p>
    <w:p w14:paraId="13B18DEF" w14:textId="77777777" w:rsidR="00264E55" w:rsidRDefault="008040BB">
      <w:pPr>
        <w:autoSpaceDE w:val="0"/>
        <w:autoSpaceDN w:val="0"/>
        <w:adjustRightInd w:val="0"/>
        <w:ind w:firstLineChars="200" w:firstLine="420"/>
        <w:jc w:val="left"/>
        <w:rPr>
          <w:color w:val="000000" w:themeColor="text1"/>
          <w:szCs w:val="21"/>
        </w:rPr>
      </w:pPr>
      <w:r>
        <w:rPr>
          <w:rFonts w:hint="eastAsia"/>
          <w:color w:val="000000" w:themeColor="text1"/>
          <w:szCs w:val="21"/>
        </w:rPr>
        <w:t>（</w:t>
      </w:r>
      <w:r>
        <w:rPr>
          <w:color w:val="000000" w:themeColor="text1"/>
          <w:szCs w:val="21"/>
        </w:rPr>
        <w:t>7</w:t>
      </w:r>
      <w:r>
        <w:rPr>
          <w:rFonts w:hint="eastAsia"/>
          <w:color w:val="000000" w:themeColor="text1"/>
          <w:szCs w:val="21"/>
        </w:rPr>
        <w:t>）对基金剩余财产进行分配。</w:t>
      </w:r>
    </w:p>
    <w:p w14:paraId="1D9EB669"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5</w:t>
      </w:r>
      <w:r>
        <w:rPr>
          <w:rFonts w:hint="eastAsia"/>
          <w:color w:val="000000" w:themeColor="text1"/>
          <w:szCs w:val="21"/>
        </w:rPr>
        <w:t>、基金财产清算的期限为</w:t>
      </w:r>
      <w:r>
        <w:rPr>
          <w:rFonts w:hint="eastAsia"/>
          <w:color w:val="000000" w:themeColor="text1"/>
          <w:szCs w:val="21"/>
        </w:rPr>
        <w:t>6</w:t>
      </w:r>
      <w:r>
        <w:rPr>
          <w:rFonts w:hint="eastAsia"/>
          <w:color w:val="000000" w:themeColor="text1"/>
          <w:szCs w:val="21"/>
        </w:rPr>
        <w:t>个月，但因本基金所持证券的流动性受到限制而不能及时变现的，清算期限相应顺延。</w:t>
      </w:r>
    </w:p>
    <w:p w14:paraId="6CC8908A"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6</w:t>
      </w:r>
      <w:r>
        <w:rPr>
          <w:rFonts w:hint="eastAsia"/>
          <w:color w:val="000000" w:themeColor="text1"/>
          <w:szCs w:val="21"/>
        </w:rPr>
        <w:t>、基金管理人与基金托管人协商一致或基金财产清算小组认为有对基金份额持有人更为有利的清算方法，本基金财产的清算可按该方法进行，并及时公告，不需召开基金份额</w:t>
      </w:r>
      <w:r>
        <w:rPr>
          <w:rFonts w:hint="eastAsia"/>
          <w:color w:val="000000" w:themeColor="text1"/>
          <w:szCs w:val="21"/>
        </w:rPr>
        <w:lastRenderedPageBreak/>
        <w:t>持有人大会。相关法律法规或监管部门另有规定的，按相关法律法规或监管部门的要求办理。</w:t>
      </w:r>
    </w:p>
    <w:p w14:paraId="655DF96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7</w:t>
      </w:r>
      <w:r>
        <w:rPr>
          <w:rFonts w:hint="eastAsia"/>
          <w:color w:val="000000" w:themeColor="text1"/>
          <w:szCs w:val="21"/>
        </w:rPr>
        <w:t>、清算费用</w:t>
      </w:r>
    </w:p>
    <w:p w14:paraId="61354386"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清算费用是指基金财产清算小组在进行基金财产清算过程中发生的所有合理费用，清算费用由基金财产清算小组优先从基金财产中支付。</w:t>
      </w:r>
    </w:p>
    <w:p w14:paraId="536C4F7C" w14:textId="77777777" w:rsidR="00264E55" w:rsidRDefault="008040BB">
      <w:pPr>
        <w:autoSpaceDE w:val="0"/>
        <w:autoSpaceDN w:val="0"/>
        <w:adjustRightInd w:val="0"/>
        <w:spacing w:line="360" w:lineRule="auto"/>
        <w:ind w:firstLineChars="200" w:firstLine="420"/>
        <w:jc w:val="left"/>
        <w:rPr>
          <w:color w:val="000000" w:themeColor="text1"/>
          <w:szCs w:val="21"/>
        </w:rPr>
      </w:pPr>
      <w:r>
        <w:rPr>
          <w:color w:val="000000" w:themeColor="text1"/>
          <w:szCs w:val="21"/>
        </w:rPr>
        <w:t>8</w:t>
      </w:r>
      <w:r>
        <w:rPr>
          <w:rFonts w:hint="eastAsia"/>
          <w:color w:val="000000" w:themeColor="text1"/>
          <w:szCs w:val="21"/>
        </w:rPr>
        <w:t>、基金财产按下列顺序清偿：</w:t>
      </w:r>
    </w:p>
    <w:p w14:paraId="7D321FC9"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）支付清算费用；</w:t>
      </w:r>
    </w:p>
    <w:p w14:paraId="06FA56C3"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）交纳所欠税款；</w:t>
      </w:r>
    </w:p>
    <w:p w14:paraId="4CDF2A51"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）清偿基金债务；</w:t>
      </w:r>
    </w:p>
    <w:p w14:paraId="28673719"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）按基金份额持有人持有的基金份额比例进行分配。</w:t>
      </w:r>
    </w:p>
    <w:p w14:paraId="1AB99379" w14:textId="77777777" w:rsidR="00264E55" w:rsidRDefault="008040BB">
      <w:pPr>
        <w:autoSpaceDE w:val="0"/>
        <w:autoSpaceDN w:val="0"/>
        <w:adjustRightInd w:val="0"/>
        <w:spacing w:line="360" w:lineRule="auto"/>
        <w:ind w:firstLineChars="200" w:firstLine="420"/>
        <w:jc w:val="left"/>
        <w:rPr>
          <w:color w:val="000000" w:themeColor="text1"/>
          <w:szCs w:val="21"/>
        </w:rPr>
      </w:pPr>
      <w:r>
        <w:rPr>
          <w:rFonts w:hint="eastAsia"/>
          <w:color w:val="000000" w:themeColor="text1"/>
          <w:szCs w:val="21"/>
        </w:rPr>
        <w:t>基金财产未按前款（</w:t>
      </w:r>
      <w:r>
        <w:rPr>
          <w:color w:val="000000" w:themeColor="text1"/>
          <w:szCs w:val="21"/>
        </w:rPr>
        <w:t>1</w:t>
      </w:r>
      <w:r>
        <w:rPr>
          <w:rFonts w:hint="eastAsia"/>
          <w:color w:val="000000" w:themeColor="text1"/>
          <w:szCs w:val="21"/>
        </w:rPr>
        <w:t>）－（</w:t>
      </w:r>
      <w:r>
        <w:rPr>
          <w:color w:val="000000" w:themeColor="text1"/>
          <w:szCs w:val="21"/>
        </w:rPr>
        <w:t>3</w:t>
      </w:r>
      <w:r>
        <w:rPr>
          <w:rFonts w:hint="eastAsia"/>
          <w:color w:val="000000" w:themeColor="text1"/>
          <w:szCs w:val="21"/>
        </w:rPr>
        <w:t>）项规定清偿前，不分配给基金份额持有人。</w:t>
      </w:r>
    </w:p>
    <w:p w14:paraId="5C5B572E" w14:textId="77777777" w:rsidR="00264E55" w:rsidRDefault="008040BB">
      <w:pPr>
        <w:spacing w:line="360" w:lineRule="auto"/>
        <w:ind w:firstLine="420"/>
        <w:rPr>
          <w:color w:val="000000" w:themeColor="text1"/>
          <w:szCs w:val="21"/>
        </w:rPr>
      </w:pPr>
      <w:r>
        <w:rPr>
          <w:color w:val="000000" w:themeColor="text1"/>
          <w:szCs w:val="21"/>
        </w:rPr>
        <w:t>9</w:t>
      </w:r>
      <w:r>
        <w:rPr>
          <w:rFonts w:hint="eastAsia"/>
          <w:color w:val="000000" w:themeColor="text1"/>
          <w:szCs w:val="21"/>
        </w:rPr>
        <w:t>、基金财产清算的公告</w:t>
      </w:r>
    </w:p>
    <w:p w14:paraId="372C71D4" w14:textId="77777777" w:rsidR="00264E55" w:rsidRDefault="008040BB">
      <w:pPr>
        <w:spacing w:line="360" w:lineRule="auto"/>
        <w:ind w:firstLine="420"/>
        <w:rPr>
          <w:color w:val="000000" w:themeColor="text1"/>
          <w:szCs w:val="21"/>
        </w:rPr>
      </w:pPr>
      <w:r>
        <w:rPr>
          <w:rFonts w:hint="eastAsia"/>
          <w:color w:val="000000" w:themeColor="text1"/>
          <w:szCs w:val="21"/>
        </w:rPr>
        <w:t>清算过程中的有关重大事项须及时公告；基金财产清算报告</w:t>
      </w:r>
      <w:proofErr w:type="gramStart"/>
      <w:r>
        <w:rPr>
          <w:rFonts w:hint="eastAsia"/>
          <w:color w:val="000000" w:themeColor="text1"/>
          <w:szCs w:val="21"/>
        </w:rPr>
        <w:t>经符合</w:t>
      </w:r>
      <w:proofErr w:type="gramEnd"/>
      <w:r>
        <w:rPr>
          <w:rFonts w:hint="eastAsia"/>
          <w:color w:val="000000" w:themeColor="text1"/>
          <w:szCs w:val="21"/>
        </w:rPr>
        <w:t>《中华人民共和国证券法》规定的会计师事务所审计并由律师事务所出具法律意见书后报中国证监会备案并公告。基金财产清算公告于基金财产清算报告报中国证监会备案后</w:t>
      </w:r>
      <w:r>
        <w:rPr>
          <w:color w:val="000000" w:themeColor="text1"/>
          <w:szCs w:val="21"/>
        </w:rPr>
        <w:t>5</w:t>
      </w:r>
      <w:r>
        <w:rPr>
          <w:rFonts w:hint="eastAsia"/>
          <w:color w:val="000000" w:themeColor="text1"/>
          <w:szCs w:val="21"/>
        </w:rPr>
        <w:t>个工作日内由基金财产清算小组进行公告，基金财产清算小组应当将清算报告登载在规定网站上，并将清算报告提示性公告登载在规定报刊上。</w:t>
      </w:r>
    </w:p>
    <w:p w14:paraId="3F179DFE" w14:textId="77777777" w:rsidR="00264E55" w:rsidRDefault="008040BB">
      <w:pPr>
        <w:spacing w:line="360" w:lineRule="auto"/>
        <w:ind w:firstLine="420"/>
        <w:rPr>
          <w:color w:val="000000" w:themeColor="text1"/>
          <w:szCs w:val="21"/>
        </w:rPr>
      </w:pPr>
      <w:r>
        <w:rPr>
          <w:color w:val="000000" w:themeColor="text1"/>
          <w:szCs w:val="21"/>
        </w:rPr>
        <w:t>10</w:t>
      </w:r>
      <w:r>
        <w:rPr>
          <w:rFonts w:hint="eastAsia"/>
          <w:color w:val="000000" w:themeColor="text1"/>
          <w:szCs w:val="21"/>
        </w:rPr>
        <w:t>、基金财产清算账册及文件的保存</w:t>
      </w:r>
    </w:p>
    <w:p w14:paraId="0814FA2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基金财产清算账册及有关文件由基金托管人保存</w:t>
      </w:r>
      <w:r>
        <w:rPr>
          <w:rFonts w:hint="eastAsia"/>
          <w:bCs/>
          <w:szCs w:val="21"/>
        </w:rPr>
        <w:t>，</w:t>
      </w:r>
      <w:r>
        <w:rPr>
          <w:bCs/>
          <w:szCs w:val="21"/>
        </w:rPr>
        <w:t>保存期限不少于法律法规的规定</w:t>
      </w:r>
      <w:r>
        <w:rPr>
          <w:rFonts w:hint="eastAsia"/>
          <w:color w:val="000000" w:themeColor="text1"/>
          <w:szCs w:val="21"/>
        </w:rPr>
        <w:t>。</w:t>
      </w:r>
    </w:p>
    <w:p w14:paraId="27CDA50D" w14:textId="77777777" w:rsidR="00264E55" w:rsidRDefault="00264E55">
      <w:pPr>
        <w:spacing w:line="360" w:lineRule="auto"/>
        <w:ind w:firstLineChars="200" w:firstLine="420"/>
        <w:rPr>
          <w:color w:val="000000" w:themeColor="text1"/>
          <w:szCs w:val="21"/>
        </w:rPr>
      </w:pPr>
    </w:p>
    <w:p w14:paraId="1741B95E"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44" w:name="_Toc881147"/>
      <w:bookmarkStart w:id="45" w:name="_Toc394474012"/>
      <w:r>
        <w:rPr>
          <w:rFonts w:hint="eastAsia"/>
          <w:color w:val="000000" w:themeColor="text1"/>
          <w:sz w:val="24"/>
          <w:szCs w:val="24"/>
        </w:rPr>
        <w:t>违约责任和责任划分</w:t>
      </w:r>
      <w:bookmarkEnd w:id="44"/>
      <w:bookmarkEnd w:id="45"/>
    </w:p>
    <w:p w14:paraId="4F71163A" w14:textId="77777777" w:rsidR="00264E55" w:rsidRDefault="00264E55">
      <w:pPr>
        <w:spacing w:line="360" w:lineRule="auto"/>
        <w:ind w:firstLineChars="200" w:firstLine="420"/>
        <w:rPr>
          <w:color w:val="000000" w:themeColor="text1"/>
          <w:szCs w:val="21"/>
        </w:rPr>
      </w:pPr>
    </w:p>
    <w:p w14:paraId="406E890F"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（一）本协议当事人不履行本协议或履行本协议不符合约定的，应当承担违约责任。</w:t>
      </w:r>
    </w:p>
    <w:p w14:paraId="6B8CE40E"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（二）因本协议当事人违约给基金财产或者基金份额持有人造成损害的，应当分别对各自的行为依法承担赔偿责任，因共同行为给基金财产或者基金份额持有人造成损害的，应当承担连带赔偿责任。</w:t>
      </w:r>
    </w:p>
    <w:p w14:paraId="1715E499"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（三）一方当事人违反本协议，给另一方当事人造成损失的，应承担赔偿责任。</w:t>
      </w:r>
    </w:p>
    <w:p w14:paraId="3DEF90A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（四）发生下列情况时，当事人免责：</w:t>
      </w:r>
    </w:p>
    <w:p w14:paraId="2A8C6288" w14:textId="77777777" w:rsidR="00264E55" w:rsidRDefault="008040BB">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、不可抗力；</w:t>
      </w:r>
    </w:p>
    <w:p w14:paraId="66ACC06A" w14:textId="77777777" w:rsidR="00264E55" w:rsidRDefault="008040BB">
      <w:pPr>
        <w:spacing w:line="360" w:lineRule="auto"/>
        <w:ind w:firstLineChars="200" w:firstLine="420"/>
        <w:rPr>
          <w:color w:val="000000" w:themeColor="text1"/>
          <w:szCs w:val="21"/>
        </w:rPr>
      </w:pPr>
      <w:r>
        <w:rPr>
          <w:color w:val="000000" w:themeColor="text1"/>
          <w:szCs w:val="21"/>
        </w:rPr>
        <w:lastRenderedPageBreak/>
        <w:t>2</w:t>
      </w:r>
      <w:r>
        <w:rPr>
          <w:rFonts w:hint="eastAsia"/>
          <w:color w:val="000000" w:themeColor="text1"/>
          <w:szCs w:val="21"/>
        </w:rPr>
        <w:t>、基金管理人和</w:t>
      </w:r>
      <w:r>
        <w:rPr>
          <w:rFonts w:hint="eastAsia"/>
          <w:color w:val="000000" w:themeColor="text1"/>
          <w:szCs w:val="21"/>
        </w:rPr>
        <w:t>/</w:t>
      </w:r>
      <w:r>
        <w:rPr>
          <w:rFonts w:hint="eastAsia"/>
          <w:color w:val="000000" w:themeColor="text1"/>
          <w:szCs w:val="21"/>
        </w:rPr>
        <w:t>或基金托管人按照当时有效的法律法规或中国证监会等监管机构的规定作为或不作为而造成的损失等；</w:t>
      </w:r>
    </w:p>
    <w:p w14:paraId="0C5E8784" w14:textId="77777777" w:rsidR="00264E55" w:rsidRDefault="008040BB">
      <w:pPr>
        <w:spacing w:line="360" w:lineRule="auto"/>
        <w:ind w:firstLineChars="200" w:firstLine="420"/>
        <w:rPr>
          <w:color w:val="000000" w:themeColor="text1"/>
          <w:szCs w:val="21"/>
        </w:rPr>
      </w:pPr>
      <w:r>
        <w:rPr>
          <w:color w:val="000000" w:themeColor="text1"/>
          <w:szCs w:val="21"/>
        </w:rPr>
        <w:t>3</w:t>
      </w:r>
      <w:r>
        <w:rPr>
          <w:rFonts w:hint="eastAsia"/>
          <w:color w:val="000000" w:themeColor="text1"/>
          <w:szCs w:val="21"/>
        </w:rPr>
        <w:t>、基金管理人由于按照</w:t>
      </w:r>
      <w:r>
        <w:rPr>
          <w:rFonts w:ascii="宋体" w:hAnsi="Calibri" w:cs="宋体" w:hint="eastAsia"/>
          <w:color w:val="000000" w:themeColor="text1"/>
          <w:kern w:val="0"/>
          <w:szCs w:val="21"/>
        </w:rPr>
        <w:t>《基金合同》</w:t>
      </w:r>
      <w:r>
        <w:rPr>
          <w:rFonts w:hint="eastAsia"/>
          <w:color w:val="000000" w:themeColor="text1"/>
          <w:szCs w:val="21"/>
        </w:rPr>
        <w:t>规定的投资原则行使或不行使其投资权而造成的损失等。</w:t>
      </w:r>
    </w:p>
    <w:p w14:paraId="218180BD"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（五）当事人一方违约，另一方在职责范围内有义务及时采取必要的措施，尽力防止损失的扩大。</w:t>
      </w:r>
    </w:p>
    <w:p w14:paraId="0034857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（六）违约行为虽已发生，但本协议能够继续履行的，在最大限度地保护基金份额持有人利益的前提下，基金管理人和基金托管人应当继续履行本协议。</w:t>
      </w:r>
    </w:p>
    <w:p w14:paraId="79F0DF8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（七）本协议所述责任</w:t>
      </w:r>
      <w:proofErr w:type="gramStart"/>
      <w:r>
        <w:rPr>
          <w:rFonts w:hint="eastAsia"/>
          <w:color w:val="000000" w:themeColor="text1"/>
          <w:szCs w:val="21"/>
        </w:rPr>
        <w:t>划分仅</w:t>
      </w:r>
      <w:proofErr w:type="gramEnd"/>
      <w:r>
        <w:rPr>
          <w:rFonts w:hint="eastAsia"/>
          <w:color w:val="000000" w:themeColor="text1"/>
          <w:szCs w:val="21"/>
        </w:rPr>
        <w:t>指基金</w:t>
      </w:r>
      <w:r>
        <w:rPr>
          <w:color w:val="000000" w:themeColor="text1"/>
          <w:szCs w:val="21"/>
        </w:rPr>
        <w:t>/</w:t>
      </w:r>
      <w:r>
        <w:rPr>
          <w:rFonts w:hint="eastAsia"/>
          <w:color w:val="000000" w:themeColor="text1"/>
          <w:szCs w:val="21"/>
        </w:rPr>
        <w:t>基金管理人、基金</w:t>
      </w:r>
      <w:r>
        <w:rPr>
          <w:color w:val="000000" w:themeColor="text1"/>
          <w:szCs w:val="21"/>
        </w:rPr>
        <w:t>/</w:t>
      </w:r>
      <w:r>
        <w:rPr>
          <w:rFonts w:hint="eastAsia"/>
          <w:color w:val="000000" w:themeColor="text1"/>
          <w:szCs w:val="21"/>
        </w:rPr>
        <w:t>基金托管人之间的责任划分，并不影响承担责任</w:t>
      </w:r>
      <w:proofErr w:type="gramStart"/>
      <w:r>
        <w:rPr>
          <w:rFonts w:hint="eastAsia"/>
          <w:color w:val="000000" w:themeColor="text1"/>
          <w:szCs w:val="21"/>
        </w:rPr>
        <w:t>一</w:t>
      </w:r>
      <w:proofErr w:type="gramEnd"/>
      <w:r>
        <w:rPr>
          <w:rFonts w:hint="eastAsia"/>
          <w:color w:val="000000" w:themeColor="text1"/>
          <w:szCs w:val="21"/>
        </w:rPr>
        <w:t>方向其他责任方追索的权利。</w:t>
      </w:r>
    </w:p>
    <w:p w14:paraId="28BCFC57"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（八）本协议所指损失均为直接损失。</w:t>
      </w:r>
    </w:p>
    <w:p w14:paraId="75296ED8" w14:textId="77777777" w:rsidR="00264E55" w:rsidRDefault="00264E55">
      <w:pPr>
        <w:spacing w:line="360" w:lineRule="auto"/>
        <w:ind w:firstLineChars="200" w:firstLine="420"/>
        <w:rPr>
          <w:color w:val="000000" w:themeColor="text1"/>
          <w:szCs w:val="21"/>
        </w:rPr>
      </w:pPr>
    </w:p>
    <w:p w14:paraId="518E3B1F"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46" w:name="_Toc394474013"/>
      <w:bookmarkStart w:id="47" w:name="_Toc881148"/>
      <w:r>
        <w:rPr>
          <w:rFonts w:hint="eastAsia"/>
          <w:color w:val="000000" w:themeColor="text1"/>
          <w:sz w:val="24"/>
          <w:szCs w:val="24"/>
        </w:rPr>
        <w:t>适用法律与争议解决方式</w:t>
      </w:r>
      <w:bookmarkEnd w:id="46"/>
      <w:bookmarkEnd w:id="47"/>
    </w:p>
    <w:p w14:paraId="587EE868" w14:textId="77777777" w:rsidR="00264E55" w:rsidRDefault="00264E55">
      <w:pPr>
        <w:spacing w:line="360" w:lineRule="auto"/>
        <w:ind w:firstLineChars="200" w:firstLine="420"/>
        <w:rPr>
          <w:color w:val="000000" w:themeColor="text1"/>
          <w:szCs w:val="21"/>
        </w:rPr>
      </w:pPr>
    </w:p>
    <w:p w14:paraId="17A6B6F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（一）本协议适用中华人民共和国法律（为本协议之目的，不包括香港特别行政区、澳门特别行政区和台湾地区有关规定）并从其解释。</w:t>
      </w:r>
    </w:p>
    <w:p w14:paraId="71C54198" w14:textId="799022C7" w:rsidR="00264E55" w:rsidRDefault="008040BB">
      <w:pPr>
        <w:spacing w:line="360" w:lineRule="auto"/>
        <w:ind w:firstLineChars="200" w:firstLine="420"/>
        <w:rPr>
          <w:color w:val="000000" w:themeColor="text1"/>
          <w:szCs w:val="21"/>
        </w:rPr>
      </w:pPr>
      <w:r>
        <w:rPr>
          <w:rFonts w:hint="eastAsia"/>
          <w:color w:val="000000" w:themeColor="text1"/>
          <w:szCs w:val="21"/>
        </w:rPr>
        <w:t>（二）基金管理人与基金托管人之间因本协议产生的或与本协议有关的争议可通过友好协商解决。但争议未能以协商方式解决的，则任何一方有权将争议提交深圳国际仲裁院，根据提交仲裁时该</w:t>
      </w:r>
      <w:r w:rsidR="009F22B4">
        <w:rPr>
          <w:rFonts w:hint="eastAsia"/>
          <w:color w:val="000000" w:themeColor="text1"/>
          <w:szCs w:val="21"/>
        </w:rPr>
        <w:t>仲裁院</w:t>
      </w:r>
      <w:r>
        <w:rPr>
          <w:rFonts w:hint="eastAsia"/>
          <w:color w:val="000000" w:themeColor="text1"/>
          <w:szCs w:val="21"/>
        </w:rPr>
        <w:t>的仲裁规则进行仲裁，仲裁地点为深圳市。仲裁裁决是终局的，对当事人均具有约束力。除非仲裁裁决另有规定，仲裁费、律师费由败诉方承担。</w:t>
      </w:r>
    </w:p>
    <w:p w14:paraId="377262B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（三）争议处理期间，双方当事人应恪守基金管理人和基金托管人职责，各自继续忠实、勤勉、尽责地履行《基金合同》和《托管协议》规定的义务，维护基金份额持有人的合法权益。</w:t>
      </w:r>
    </w:p>
    <w:p w14:paraId="3A4137E2" w14:textId="77777777" w:rsidR="00264E55" w:rsidRDefault="00264E55">
      <w:pPr>
        <w:spacing w:line="360" w:lineRule="auto"/>
        <w:ind w:firstLineChars="200" w:firstLine="420"/>
        <w:rPr>
          <w:color w:val="000000" w:themeColor="text1"/>
          <w:szCs w:val="21"/>
        </w:rPr>
      </w:pPr>
    </w:p>
    <w:p w14:paraId="73099E2F"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48" w:name="_Toc881149"/>
      <w:bookmarkStart w:id="49" w:name="_Toc394474014"/>
      <w:r>
        <w:rPr>
          <w:rFonts w:hint="eastAsia"/>
          <w:color w:val="000000" w:themeColor="text1"/>
          <w:sz w:val="24"/>
          <w:szCs w:val="24"/>
        </w:rPr>
        <w:t>托管协议的效力</w:t>
      </w:r>
      <w:bookmarkEnd w:id="48"/>
      <w:bookmarkEnd w:id="49"/>
    </w:p>
    <w:p w14:paraId="53065D0C" w14:textId="77777777" w:rsidR="00264E55" w:rsidRDefault="00264E55">
      <w:pPr>
        <w:spacing w:line="360" w:lineRule="auto"/>
        <w:ind w:firstLineChars="200" w:firstLine="420"/>
        <w:rPr>
          <w:color w:val="000000" w:themeColor="text1"/>
          <w:szCs w:val="21"/>
        </w:rPr>
      </w:pPr>
    </w:p>
    <w:p w14:paraId="362C6575"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（一）基金管理人在向中国证监会申请基金注册时提交的基金托管协议草案，应经托管协议当事人双方盖章以及双方法定代表人或授权代表签字或盖章，协议当事人双方根据中国</w:t>
      </w:r>
      <w:r>
        <w:rPr>
          <w:rFonts w:hint="eastAsia"/>
          <w:color w:val="000000" w:themeColor="text1"/>
          <w:szCs w:val="21"/>
        </w:rPr>
        <w:lastRenderedPageBreak/>
        <w:t>证监会的意见修改托管协议草案。托管协议以中国证监会注册的文本为正式文本。</w:t>
      </w:r>
    </w:p>
    <w:p w14:paraId="603D1A03"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（二）本协议自《基金合同》成立之日起成立，自</w:t>
      </w:r>
      <w:r>
        <w:rPr>
          <w:rFonts w:ascii="宋体" w:hAnsi="Calibri" w:cs="宋体" w:hint="eastAsia"/>
          <w:color w:val="000000" w:themeColor="text1"/>
          <w:kern w:val="0"/>
          <w:szCs w:val="21"/>
        </w:rPr>
        <w:t>《基金合同》</w:t>
      </w:r>
      <w:r>
        <w:rPr>
          <w:rFonts w:hint="eastAsia"/>
          <w:color w:val="000000" w:themeColor="text1"/>
          <w:szCs w:val="21"/>
        </w:rPr>
        <w:t>生效之日起生效，与</w:t>
      </w:r>
      <w:r>
        <w:rPr>
          <w:rFonts w:ascii="宋体" w:hAnsi="Calibri" w:cs="宋体" w:hint="eastAsia"/>
          <w:color w:val="000000" w:themeColor="text1"/>
          <w:kern w:val="0"/>
          <w:szCs w:val="21"/>
        </w:rPr>
        <w:t>《基金合同》</w:t>
      </w:r>
      <w:r>
        <w:rPr>
          <w:rFonts w:hint="eastAsia"/>
          <w:color w:val="000000" w:themeColor="text1"/>
          <w:szCs w:val="21"/>
        </w:rPr>
        <w:t>具有同等法律效力。本协议的有效期自其生效之日起至基金财产清算结果报中国证监会备案并公告之日止。</w:t>
      </w:r>
    </w:p>
    <w:p w14:paraId="231BBD22" w14:textId="77777777" w:rsidR="00264E55" w:rsidRDefault="008040BB">
      <w:pPr>
        <w:spacing w:line="360" w:lineRule="auto"/>
        <w:ind w:firstLineChars="200" w:firstLine="420"/>
        <w:rPr>
          <w:color w:val="000000" w:themeColor="text1"/>
          <w:szCs w:val="21"/>
        </w:rPr>
      </w:pPr>
      <w:r>
        <w:rPr>
          <w:rFonts w:hint="eastAsia"/>
          <w:color w:val="000000" w:themeColor="text1"/>
          <w:szCs w:val="21"/>
        </w:rPr>
        <w:t>（三）本协议自生效之日起对双方当事人具有同等的法律约束力。</w:t>
      </w:r>
    </w:p>
    <w:p w14:paraId="7A33853C" w14:textId="77777777" w:rsidR="00264E55" w:rsidRDefault="008040BB">
      <w:pPr>
        <w:spacing w:line="360" w:lineRule="auto"/>
        <w:ind w:firstLineChars="200" w:firstLine="420"/>
        <w:rPr>
          <w:color w:val="000000" w:themeColor="text1"/>
          <w:szCs w:val="21"/>
        </w:rPr>
      </w:pPr>
      <w:r>
        <w:rPr>
          <w:rFonts w:hint="eastAsia"/>
          <w:color w:val="000000" w:themeColor="text1"/>
          <w:szCs w:val="21"/>
        </w:rPr>
        <w:t>（四）本协议正本一式</w:t>
      </w:r>
      <w:r>
        <w:rPr>
          <w:color w:val="000000" w:themeColor="text1"/>
          <w:szCs w:val="21"/>
        </w:rPr>
        <w:t>3</w:t>
      </w:r>
      <w:r>
        <w:rPr>
          <w:rFonts w:hint="eastAsia"/>
          <w:color w:val="000000" w:themeColor="text1"/>
          <w:szCs w:val="21"/>
        </w:rPr>
        <w:t>份，协议双方各执</w:t>
      </w:r>
      <w:r>
        <w:rPr>
          <w:color w:val="000000" w:themeColor="text1"/>
          <w:szCs w:val="21"/>
        </w:rPr>
        <w:t>1</w:t>
      </w:r>
      <w:r>
        <w:rPr>
          <w:rFonts w:hint="eastAsia"/>
          <w:color w:val="000000" w:themeColor="text1"/>
          <w:szCs w:val="21"/>
        </w:rPr>
        <w:t>份，上报有关监管部门</w:t>
      </w:r>
      <w:r>
        <w:rPr>
          <w:color w:val="000000" w:themeColor="text1"/>
          <w:szCs w:val="21"/>
        </w:rPr>
        <w:t>1</w:t>
      </w:r>
      <w:r>
        <w:rPr>
          <w:rFonts w:hint="eastAsia"/>
          <w:color w:val="000000" w:themeColor="text1"/>
          <w:szCs w:val="21"/>
        </w:rPr>
        <w:t>份，每份具有同等法律效力。</w:t>
      </w:r>
    </w:p>
    <w:p w14:paraId="258B3E5E" w14:textId="77777777" w:rsidR="00264E55" w:rsidRDefault="008040BB">
      <w:pPr>
        <w:pStyle w:val="1"/>
        <w:numPr>
          <w:ilvl w:val="0"/>
          <w:numId w:val="1"/>
        </w:numPr>
        <w:spacing w:before="120" w:after="120" w:line="360" w:lineRule="auto"/>
        <w:jc w:val="center"/>
        <w:rPr>
          <w:b w:val="0"/>
          <w:color w:val="000000" w:themeColor="text1"/>
          <w:sz w:val="24"/>
          <w:szCs w:val="24"/>
        </w:rPr>
      </w:pPr>
      <w:bookmarkStart w:id="50" w:name="_Toc394474015"/>
      <w:bookmarkStart w:id="51" w:name="_Toc881150"/>
      <w:r>
        <w:rPr>
          <w:rFonts w:hint="eastAsia"/>
          <w:color w:val="000000" w:themeColor="text1"/>
          <w:sz w:val="24"/>
          <w:szCs w:val="24"/>
        </w:rPr>
        <w:t>托管协议的签订</w:t>
      </w:r>
      <w:bookmarkEnd w:id="50"/>
      <w:bookmarkEnd w:id="51"/>
    </w:p>
    <w:p w14:paraId="69E46174" w14:textId="77777777" w:rsidR="00264E55" w:rsidRDefault="00264E55">
      <w:pPr>
        <w:spacing w:line="360" w:lineRule="auto"/>
        <w:ind w:firstLineChars="200" w:firstLine="420"/>
        <w:rPr>
          <w:color w:val="000000" w:themeColor="text1"/>
          <w:szCs w:val="21"/>
        </w:rPr>
      </w:pPr>
    </w:p>
    <w:p w14:paraId="797BA004" w14:textId="77777777" w:rsidR="00264E55" w:rsidRDefault="008040BB">
      <w:pPr>
        <w:spacing w:line="360" w:lineRule="auto"/>
        <w:ind w:firstLineChars="200" w:firstLine="420"/>
        <w:rPr>
          <w:color w:val="000000" w:themeColor="text1"/>
          <w:szCs w:val="21"/>
        </w:rPr>
      </w:pPr>
      <w:r>
        <w:rPr>
          <w:rFonts w:hint="eastAsia"/>
          <w:color w:val="000000" w:themeColor="text1"/>
          <w:szCs w:val="21"/>
        </w:rPr>
        <w:t>本托管协议经基金管理人和基金托管人认可后，由该双方当事人在基金托管协议上盖章，并由各自的法定代表人或授权代表签字或盖章，并注明基金托管协议的签订地点和签订日期。</w:t>
      </w:r>
    </w:p>
    <w:p w14:paraId="16B6A37B" w14:textId="77777777" w:rsidR="00264E55" w:rsidRDefault="008040BB">
      <w:pPr>
        <w:widowControl/>
        <w:jc w:val="left"/>
        <w:rPr>
          <w:color w:val="000000" w:themeColor="text1"/>
          <w:szCs w:val="21"/>
        </w:rPr>
      </w:pPr>
      <w:r>
        <w:rPr>
          <w:color w:val="000000" w:themeColor="text1"/>
          <w:szCs w:val="21"/>
        </w:rPr>
        <w:br w:type="page"/>
      </w:r>
    </w:p>
    <w:p w14:paraId="77AA5A0E" w14:textId="0E7C3BED" w:rsidR="00264E55" w:rsidRDefault="008040BB">
      <w:pPr>
        <w:pStyle w:val="2"/>
        <w:ind w:firstLine="480"/>
        <w:rPr>
          <w:color w:val="000000"/>
        </w:rPr>
      </w:pPr>
      <w:r>
        <w:rPr>
          <w:color w:val="000000"/>
        </w:rPr>
        <w:lastRenderedPageBreak/>
        <w:t>本页无正文，为《</w:t>
      </w:r>
      <w:r>
        <w:rPr>
          <w:rFonts w:hint="eastAsia"/>
          <w:color w:val="000000"/>
        </w:rPr>
        <w:t>南方中证全指红利质量交易型开放式指数证券投资基金发起式联接基金托管</w:t>
      </w:r>
      <w:r>
        <w:rPr>
          <w:color w:val="000000"/>
        </w:rPr>
        <w:t>协议》的签字盖章页。</w:t>
      </w:r>
    </w:p>
    <w:p w14:paraId="5D4DCA03" w14:textId="77777777" w:rsidR="00264E55" w:rsidRDefault="00264E55">
      <w:pPr>
        <w:pStyle w:val="2"/>
        <w:ind w:firstLine="480"/>
        <w:rPr>
          <w:color w:val="000000"/>
        </w:rPr>
      </w:pPr>
    </w:p>
    <w:p w14:paraId="0C4BC9E8" w14:textId="77777777" w:rsidR="00264E55" w:rsidRDefault="00264E55">
      <w:pPr>
        <w:pStyle w:val="2"/>
        <w:ind w:firstLine="480"/>
        <w:rPr>
          <w:color w:val="000000"/>
        </w:rPr>
      </w:pPr>
    </w:p>
    <w:p w14:paraId="528D8393" w14:textId="77777777" w:rsidR="00264E55" w:rsidRDefault="00264E55">
      <w:pPr>
        <w:pStyle w:val="2"/>
        <w:ind w:firstLine="480"/>
        <w:rPr>
          <w:color w:val="000000"/>
        </w:rPr>
      </w:pPr>
    </w:p>
    <w:p w14:paraId="19FD8462" w14:textId="77777777" w:rsidR="00264E55" w:rsidRDefault="00264E55">
      <w:pPr>
        <w:pStyle w:val="2"/>
        <w:ind w:firstLine="480"/>
        <w:rPr>
          <w:color w:val="000000"/>
        </w:rPr>
      </w:pPr>
    </w:p>
    <w:p w14:paraId="2DCC5F3F" w14:textId="77777777" w:rsidR="00264E55" w:rsidRDefault="008040BB">
      <w:pPr>
        <w:pStyle w:val="2"/>
        <w:ind w:firstLine="480"/>
        <w:rPr>
          <w:color w:val="000000"/>
        </w:rPr>
      </w:pPr>
      <w:r>
        <w:rPr>
          <w:color w:val="000000"/>
        </w:rPr>
        <w:t>基金管理人：</w:t>
      </w:r>
      <w:r>
        <w:rPr>
          <w:rFonts w:hint="eastAsia"/>
          <w:color w:val="000000"/>
        </w:rPr>
        <w:t>南方基金管理股份有限公司</w:t>
      </w:r>
      <w:r>
        <w:rPr>
          <w:color w:val="000000"/>
        </w:rPr>
        <w:t>（</w:t>
      </w:r>
      <w:r>
        <w:rPr>
          <w:rFonts w:hint="eastAsia"/>
          <w:color w:val="000000"/>
        </w:rPr>
        <w:t>盖章</w:t>
      </w:r>
      <w:r>
        <w:rPr>
          <w:color w:val="000000"/>
        </w:rPr>
        <w:t>）</w:t>
      </w:r>
    </w:p>
    <w:p w14:paraId="146EBDD8" w14:textId="77777777" w:rsidR="00264E55" w:rsidRDefault="00264E55">
      <w:pPr>
        <w:pStyle w:val="2"/>
        <w:ind w:firstLine="480"/>
        <w:rPr>
          <w:color w:val="000000"/>
        </w:rPr>
      </w:pPr>
    </w:p>
    <w:p w14:paraId="7775C5A8" w14:textId="77777777" w:rsidR="00264E55" w:rsidRDefault="00264E55">
      <w:pPr>
        <w:pStyle w:val="2"/>
        <w:ind w:firstLine="480"/>
        <w:rPr>
          <w:color w:val="000000"/>
        </w:rPr>
      </w:pPr>
    </w:p>
    <w:p w14:paraId="7C2CB517" w14:textId="77777777" w:rsidR="00264E55" w:rsidRDefault="00264E55">
      <w:pPr>
        <w:pStyle w:val="2"/>
        <w:ind w:firstLine="480"/>
        <w:rPr>
          <w:color w:val="000000"/>
        </w:rPr>
      </w:pPr>
    </w:p>
    <w:p w14:paraId="5A2C2552" w14:textId="77777777" w:rsidR="00264E55" w:rsidRDefault="00264E55">
      <w:pPr>
        <w:pStyle w:val="2"/>
        <w:ind w:firstLine="480"/>
        <w:rPr>
          <w:color w:val="000000"/>
        </w:rPr>
      </w:pPr>
    </w:p>
    <w:p w14:paraId="6AA09F44" w14:textId="77777777" w:rsidR="00264E55" w:rsidRDefault="008040BB">
      <w:pPr>
        <w:pStyle w:val="2"/>
        <w:ind w:firstLine="480"/>
        <w:rPr>
          <w:color w:val="000000"/>
        </w:rPr>
      </w:pPr>
      <w:r>
        <w:rPr>
          <w:color w:val="000000"/>
        </w:rPr>
        <w:t>法定代表人或授权代表</w:t>
      </w:r>
      <w:r>
        <w:rPr>
          <w:rFonts w:hint="eastAsia"/>
          <w:color w:val="000000"/>
        </w:rPr>
        <w:t>（签字或盖章）</w:t>
      </w:r>
      <w:r>
        <w:rPr>
          <w:color w:val="000000"/>
        </w:rPr>
        <w:t>：</w:t>
      </w:r>
    </w:p>
    <w:p w14:paraId="2F0AE3CC" w14:textId="77777777" w:rsidR="00264E55" w:rsidRDefault="00264E55">
      <w:pPr>
        <w:pStyle w:val="2"/>
        <w:ind w:firstLine="480"/>
        <w:rPr>
          <w:color w:val="000000"/>
        </w:rPr>
      </w:pPr>
    </w:p>
    <w:p w14:paraId="4FD1D8C2" w14:textId="77777777" w:rsidR="00264E55" w:rsidRDefault="00264E55">
      <w:pPr>
        <w:pStyle w:val="2"/>
        <w:ind w:firstLine="480"/>
        <w:rPr>
          <w:color w:val="000000"/>
        </w:rPr>
      </w:pPr>
    </w:p>
    <w:p w14:paraId="4075678A" w14:textId="77777777" w:rsidR="00264E55" w:rsidRDefault="00264E55">
      <w:pPr>
        <w:pStyle w:val="2"/>
        <w:ind w:firstLine="480"/>
        <w:rPr>
          <w:color w:val="000000"/>
        </w:rPr>
      </w:pPr>
    </w:p>
    <w:p w14:paraId="7311E389" w14:textId="77777777" w:rsidR="00264E55" w:rsidRDefault="00264E55">
      <w:pPr>
        <w:pStyle w:val="2"/>
        <w:ind w:firstLine="480"/>
        <w:rPr>
          <w:color w:val="000000"/>
        </w:rPr>
      </w:pPr>
    </w:p>
    <w:p w14:paraId="1052E6C6" w14:textId="77777777" w:rsidR="00264E55" w:rsidRDefault="008040BB">
      <w:pPr>
        <w:pStyle w:val="2"/>
        <w:ind w:firstLine="480"/>
        <w:rPr>
          <w:color w:val="000000"/>
        </w:rPr>
      </w:pPr>
      <w:r>
        <w:rPr>
          <w:color w:val="000000"/>
        </w:rPr>
        <w:t>基金托管人：中信证券股份有限公司（</w:t>
      </w:r>
      <w:r>
        <w:rPr>
          <w:rFonts w:hint="eastAsia"/>
          <w:color w:val="000000"/>
        </w:rPr>
        <w:t>盖章</w:t>
      </w:r>
      <w:r>
        <w:rPr>
          <w:color w:val="000000"/>
        </w:rPr>
        <w:t>）</w:t>
      </w:r>
    </w:p>
    <w:p w14:paraId="576BF1E6" w14:textId="77777777" w:rsidR="00264E55" w:rsidRDefault="00264E55">
      <w:pPr>
        <w:pStyle w:val="2"/>
        <w:ind w:firstLine="480"/>
        <w:rPr>
          <w:color w:val="000000"/>
        </w:rPr>
      </w:pPr>
    </w:p>
    <w:p w14:paraId="632BF8B1" w14:textId="77777777" w:rsidR="00264E55" w:rsidRDefault="00264E55">
      <w:pPr>
        <w:pStyle w:val="2"/>
        <w:ind w:firstLine="480"/>
        <w:rPr>
          <w:color w:val="000000"/>
        </w:rPr>
      </w:pPr>
    </w:p>
    <w:p w14:paraId="28F08CF9" w14:textId="77777777" w:rsidR="00264E55" w:rsidRDefault="00264E55">
      <w:pPr>
        <w:pStyle w:val="2"/>
        <w:ind w:firstLine="480"/>
        <w:rPr>
          <w:color w:val="000000"/>
        </w:rPr>
      </w:pPr>
    </w:p>
    <w:p w14:paraId="2F5CEACC" w14:textId="77777777" w:rsidR="00264E55" w:rsidRDefault="00264E55">
      <w:pPr>
        <w:pStyle w:val="2"/>
        <w:ind w:firstLine="480"/>
        <w:rPr>
          <w:color w:val="000000"/>
        </w:rPr>
      </w:pPr>
    </w:p>
    <w:p w14:paraId="1AA872BF" w14:textId="77777777" w:rsidR="00264E55" w:rsidRDefault="008040BB">
      <w:pPr>
        <w:pStyle w:val="2"/>
        <w:ind w:firstLine="480"/>
        <w:rPr>
          <w:color w:val="000000"/>
        </w:rPr>
      </w:pPr>
      <w:r>
        <w:rPr>
          <w:color w:val="000000"/>
        </w:rPr>
        <w:t>法定代表人或授权代表</w:t>
      </w:r>
      <w:r>
        <w:rPr>
          <w:rFonts w:hint="eastAsia"/>
          <w:color w:val="000000"/>
        </w:rPr>
        <w:t>（签字或盖章）</w:t>
      </w:r>
      <w:r>
        <w:rPr>
          <w:color w:val="000000"/>
        </w:rPr>
        <w:t>：</w:t>
      </w:r>
    </w:p>
    <w:p w14:paraId="4B46CCAC" w14:textId="77777777" w:rsidR="00264E55" w:rsidRDefault="00264E55">
      <w:pPr>
        <w:pStyle w:val="2"/>
        <w:ind w:firstLine="480"/>
        <w:rPr>
          <w:color w:val="000000"/>
        </w:rPr>
      </w:pPr>
    </w:p>
    <w:p w14:paraId="7626C0AB" w14:textId="77777777" w:rsidR="00264E55" w:rsidRDefault="00264E55">
      <w:pPr>
        <w:pStyle w:val="2"/>
        <w:ind w:firstLine="480"/>
        <w:rPr>
          <w:color w:val="000000"/>
        </w:rPr>
      </w:pPr>
    </w:p>
    <w:p w14:paraId="47BA4653" w14:textId="77777777" w:rsidR="00264E55" w:rsidRDefault="00264E55">
      <w:pPr>
        <w:pStyle w:val="2"/>
        <w:ind w:firstLine="480"/>
        <w:rPr>
          <w:color w:val="000000"/>
        </w:rPr>
      </w:pPr>
    </w:p>
    <w:p w14:paraId="5028AEB3" w14:textId="77777777" w:rsidR="00264E55" w:rsidRDefault="00264E55">
      <w:pPr>
        <w:pStyle w:val="2"/>
        <w:ind w:firstLine="480"/>
        <w:rPr>
          <w:color w:val="000000"/>
        </w:rPr>
      </w:pPr>
    </w:p>
    <w:p w14:paraId="43C2ECFB" w14:textId="77777777" w:rsidR="00264E55" w:rsidRDefault="008040BB">
      <w:pPr>
        <w:pStyle w:val="2"/>
        <w:ind w:firstLine="480"/>
        <w:rPr>
          <w:color w:val="000000"/>
        </w:rPr>
      </w:pPr>
      <w:r>
        <w:rPr>
          <w:color w:val="000000"/>
        </w:rPr>
        <w:t>签订地点：北京</w:t>
      </w:r>
    </w:p>
    <w:p w14:paraId="280A3EDD" w14:textId="77777777" w:rsidR="00264E55" w:rsidRDefault="008040BB">
      <w:pPr>
        <w:pStyle w:val="2"/>
        <w:ind w:firstLine="480"/>
        <w:rPr>
          <w:color w:val="000000"/>
        </w:rPr>
      </w:pPr>
      <w:r>
        <w:rPr>
          <w:color w:val="000000"/>
        </w:rPr>
        <w:t>签订日期：二〇二</w:t>
      </w:r>
      <w:r>
        <w:rPr>
          <w:rFonts w:hint="eastAsia"/>
          <w:color w:val="000000"/>
        </w:rPr>
        <w:t>【】</w:t>
      </w:r>
      <w:r>
        <w:rPr>
          <w:color w:val="000000"/>
        </w:rPr>
        <w:t>年</w:t>
      </w:r>
      <w:r>
        <w:rPr>
          <w:color w:val="000000"/>
        </w:rPr>
        <w:t xml:space="preserve">    </w:t>
      </w:r>
      <w:r>
        <w:rPr>
          <w:color w:val="000000"/>
        </w:rPr>
        <w:t>月</w:t>
      </w:r>
      <w:r>
        <w:rPr>
          <w:color w:val="000000"/>
        </w:rPr>
        <w:t xml:space="preserve">     </w:t>
      </w:r>
      <w:r>
        <w:rPr>
          <w:color w:val="000000"/>
        </w:rPr>
        <w:t>日</w:t>
      </w:r>
    </w:p>
    <w:p w14:paraId="2C1A6A6B" w14:textId="77777777" w:rsidR="00264E55" w:rsidRDefault="00264E55"/>
    <w:sectPr w:rsidR="00264E55" w:rsidSect="009D5ADE">
      <w:headerReference w:type="default" r:id="rId11"/>
      <w:footerReference w:type="default" r:id="rId12"/>
      <w:pgSz w:w="11906" w:h="16838"/>
      <w:pgMar w:top="1440" w:right="1800" w:bottom="156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DC1CE" w14:textId="77777777" w:rsidR="00324416" w:rsidRDefault="00324416">
      <w:r>
        <w:separator/>
      </w:r>
    </w:p>
  </w:endnote>
  <w:endnote w:type="continuationSeparator" w:id="0">
    <w:p w14:paraId="6B46BAFE" w14:textId="77777777" w:rsidR="00324416" w:rsidRDefault="0032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DE8D" w14:textId="77777777" w:rsidR="008040BB" w:rsidRDefault="008040BB">
    <w:pPr>
      <w:pStyle w:val="ab"/>
      <w:jc w:val="center"/>
    </w:pPr>
  </w:p>
  <w:p w14:paraId="1EEE93E0" w14:textId="77777777" w:rsidR="008040BB" w:rsidRDefault="008040B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244882"/>
      <w:docPartObj>
        <w:docPartGallery w:val="Page Numbers (Bottom of Page)"/>
        <w:docPartUnique/>
      </w:docPartObj>
    </w:sdtPr>
    <w:sdtEndPr/>
    <w:sdtContent>
      <w:p w14:paraId="63D52BD8" w14:textId="3A26E34C" w:rsidR="009D5ADE" w:rsidRDefault="009D5ADE">
        <w:pPr>
          <w:pStyle w:val="ab"/>
          <w:jc w:val="center"/>
        </w:pPr>
        <w:r>
          <w:fldChar w:fldCharType="begin"/>
        </w:r>
        <w:r>
          <w:instrText>PAGE   \* MERGEFORMAT</w:instrText>
        </w:r>
        <w:r>
          <w:fldChar w:fldCharType="separate"/>
        </w:r>
        <w:r w:rsidR="00422124" w:rsidRPr="00422124">
          <w:rPr>
            <w:noProof/>
            <w:lang w:val="zh-CN"/>
          </w:rPr>
          <w:t>1</w:t>
        </w:r>
        <w:r>
          <w:fldChar w:fldCharType="end"/>
        </w:r>
      </w:p>
    </w:sdtContent>
  </w:sdt>
  <w:p w14:paraId="4EC24FA2" w14:textId="77777777" w:rsidR="009D5ADE" w:rsidRDefault="009D5AD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26277"/>
      <w:docPartObj>
        <w:docPartGallery w:val="Page Numbers (Bottom of Page)"/>
        <w:docPartUnique/>
      </w:docPartObj>
    </w:sdtPr>
    <w:sdtEndPr/>
    <w:sdtContent>
      <w:p w14:paraId="55F7078A" w14:textId="2CFEFA30" w:rsidR="009D5ADE" w:rsidRDefault="009D5ADE">
        <w:pPr>
          <w:pStyle w:val="ab"/>
          <w:jc w:val="center"/>
        </w:pPr>
        <w:r>
          <w:fldChar w:fldCharType="begin"/>
        </w:r>
        <w:r>
          <w:instrText>PAGE   \* MERGEFORMAT</w:instrText>
        </w:r>
        <w:r>
          <w:fldChar w:fldCharType="separate"/>
        </w:r>
        <w:r w:rsidR="00422124" w:rsidRPr="00422124">
          <w:rPr>
            <w:noProof/>
            <w:lang w:val="zh-CN"/>
          </w:rPr>
          <w:t>20</w:t>
        </w:r>
        <w:r>
          <w:fldChar w:fldCharType="end"/>
        </w:r>
      </w:p>
    </w:sdtContent>
  </w:sdt>
  <w:p w14:paraId="037B3A84" w14:textId="77777777" w:rsidR="008040BB" w:rsidRDefault="008040B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51B5" w14:textId="77777777" w:rsidR="00324416" w:rsidRDefault="00324416">
      <w:r>
        <w:separator/>
      </w:r>
    </w:p>
  </w:footnote>
  <w:footnote w:type="continuationSeparator" w:id="0">
    <w:p w14:paraId="78FA794F" w14:textId="77777777" w:rsidR="00324416" w:rsidRDefault="0032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DF19" w14:textId="7F928C6B" w:rsidR="008040BB" w:rsidRDefault="008040BB">
    <w:pPr>
      <w:pStyle w:val="ad"/>
      <w:jc w:val="right"/>
    </w:pPr>
    <w:r>
      <w:rPr>
        <w:rFonts w:hint="eastAsia"/>
      </w:rPr>
      <w:t>南方</w:t>
    </w:r>
    <w:proofErr w:type="gramStart"/>
    <w:r>
      <w:rPr>
        <w:rFonts w:hint="eastAsia"/>
      </w:rPr>
      <w:t>中证全指</w:t>
    </w:r>
    <w:proofErr w:type="gramEnd"/>
    <w:r>
      <w:rPr>
        <w:rFonts w:hint="eastAsia"/>
      </w:rPr>
      <w:t>红利质量交易型开放式指数证券投资基金发起式联接基金托管协议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86AC0" w14:textId="023972F1" w:rsidR="008040BB" w:rsidRDefault="008040BB">
    <w:pPr>
      <w:pStyle w:val="ad"/>
      <w:jc w:val="right"/>
    </w:pPr>
    <w:r>
      <w:rPr>
        <w:rFonts w:hint="eastAsia"/>
      </w:rPr>
      <w:t>南方</w:t>
    </w:r>
    <w:proofErr w:type="gramStart"/>
    <w:r>
      <w:rPr>
        <w:rFonts w:hint="eastAsia"/>
      </w:rPr>
      <w:t>中证全指</w:t>
    </w:r>
    <w:proofErr w:type="gramEnd"/>
    <w:r>
      <w:rPr>
        <w:rFonts w:hint="eastAsia"/>
      </w:rPr>
      <w:t>红利质量交易型开放式指数证券投资基金发起式联接基金托管协议</w:t>
    </w:r>
  </w:p>
  <w:p w14:paraId="76344CE5" w14:textId="77777777" w:rsidR="008040BB" w:rsidRDefault="008040BB">
    <w:pPr>
      <w:pStyle w:val="ad"/>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246B"/>
    <w:multiLevelType w:val="multilevel"/>
    <w:tmpl w:val="4574246B"/>
    <w:lvl w:ilvl="0">
      <w:start w:val="1"/>
      <w:numFmt w:val="japaneseCounting"/>
      <w:lvlText w:val="%1、"/>
      <w:lvlJc w:val="left"/>
      <w:pPr>
        <w:ind w:left="450" w:hanging="450"/>
      </w:pPr>
      <w:rPr>
        <w:rFonts w:hint="default"/>
        <w:b/>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3723742"/>
    <w:multiLevelType w:val="multilevel"/>
    <w:tmpl w:val="73723742"/>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8F"/>
    <w:rsid w:val="00012534"/>
    <w:rsid w:val="000127AF"/>
    <w:rsid w:val="00014D14"/>
    <w:rsid w:val="00025271"/>
    <w:rsid w:val="00025E69"/>
    <w:rsid w:val="000313FC"/>
    <w:rsid w:val="00040CCE"/>
    <w:rsid w:val="000448D9"/>
    <w:rsid w:val="00047912"/>
    <w:rsid w:val="00050031"/>
    <w:rsid w:val="00062FF4"/>
    <w:rsid w:val="0006711D"/>
    <w:rsid w:val="00070820"/>
    <w:rsid w:val="000718F9"/>
    <w:rsid w:val="00082F12"/>
    <w:rsid w:val="00083A51"/>
    <w:rsid w:val="00086495"/>
    <w:rsid w:val="00090A1D"/>
    <w:rsid w:val="0009101B"/>
    <w:rsid w:val="0009105A"/>
    <w:rsid w:val="00097F0A"/>
    <w:rsid w:val="000A017E"/>
    <w:rsid w:val="000A2699"/>
    <w:rsid w:val="000B09EF"/>
    <w:rsid w:val="000B0F31"/>
    <w:rsid w:val="000B25CC"/>
    <w:rsid w:val="000C2B2E"/>
    <w:rsid w:val="000C490A"/>
    <w:rsid w:val="000C6A36"/>
    <w:rsid w:val="000D0B4D"/>
    <w:rsid w:val="000D29A6"/>
    <w:rsid w:val="000D5548"/>
    <w:rsid w:val="000D6417"/>
    <w:rsid w:val="000E305A"/>
    <w:rsid w:val="001073E7"/>
    <w:rsid w:val="001079A0"/>
    <w:rsid w:val="001248AD"/>
    <w:rsid w:val="00135A87"/>
    <w:rsid w:val="001438C2"/>
    <w:rsid w:val="00144E6F"/>
    <w:rsid w:val="0015665D"/>
    <w:rsid w:val="00162A6B"/>
    <w:rsid w:val="001654B5"/>
    <w:rsid w:val="00165AD2"/>
    <w:rsid w:val="00172E61"/>
    <w:rsid w:val="00174166"/>
    <w:rsid w:val="0017449A"/>
    <w:rsid w:val="00174ED2"/>
    <w:rsid w:val="00184051"/>
    <w:rsid w:val="00192C30"/>
    <w:rsid w:val="00195F80"/>
    <w:rsid w:val="0019637B"/>
    <w:rsid w:val="001A2049"/>
    <w:rsid w:val="001A5516"/>
    <w:rsid w:val="001B04B0"/>
    <w:rsid w:val="001C2115"/>
    <w:rsid w:val="001C51A0"/>
    <w:rsid w:val="001C542D"/>
    <w:rsid w:val="001E6635"/>
    <w:rsid w:val="001F02A9"/>
    <w:rsid w:val="00215E0B"/>
    <w:rsid w:val="002213D9"/>
    <w:rsid w:val="00226CC2"/>
    <w:rsid w:val="00226D59"/>
    <w:rsid w:val="0023257E"/>
    <w:rsid w:val="002434B3"/>
    <w:rsid w:val="00246FF5"/>
    <w:rsid w:val="002511E6"/>
    <w:rsid w:val="00251C30"/>
    <w:rsid w:val="002565E5"/>
    <w:rsid w:val="00264015"/>
    <w:rsid w:val="00264E55"/>
    <w:rsid w:val="00277B56"/>
    <w:rsid w:val="00285EA0"/>
    <w:rsid w:val="002A1E40"/>
    <w:rsid w:val="002A4616"/>
    <w:rsid w:val="002A52CB"/>
    <w:rsid w:val="002B6DCE"/>
    <w:rsid w:val="002E74B7"/>
    <w:rsid w:val="002F0935"/>
    <w:rsid w:val="002F59B3"/>
    <w:rsid w:val="003029C2"/>
    <w:rsid w:val="00304CFF"/>
    <w:rsid w:val="00306E59"/>
    <w:rsid w:val="00307438"/>
    <w:rsid w:val="003119D4"/>
    <w:rsid w:val="003165D0"/>
    <w:rsid w:val="003179F9"/>
    <w:rsid w:val="00322A58"/>
    <w:rsid w:val="00324416"/>
    <w:rsid w:val="00327AA2"/>
    <w:rsid w:val="00334C9C"/>
    <w:rsid w:val="0034787F"/>
    <w:rsid w:val="003508E9"/>
    <w:rsid w:val="003519B5"/>
    <w:rsid w:val="003548DC"/>
    <w:rsid w:val="003609CA"/>
    <w:rsid w:val="003653F2"/>
    <w:rsid w:val="0036738F"/>
    <w:rsid w:val="0037175E"/>
    <w:rsid w:val="003946FA"/>
    <w:rsid w:val="00396608"/>
    <w:rsid w:val="003A771C"/>
    <w:rsid w:val="003B0B7D"/>
    <w:rsid w:val="003B70D8"/>
    <w:rsid w:val="003B7545"/>
    <w:rsid w:val="003C1F04"/>
    <w:rsid w:val="003C627A"/>
    <w:rsid w:val="003D1DD4"/>
    <w:rsid w:val="003E6DFC"/>
    <w:rsid w:val="00400749"/>
    <w:rsid w:val="00402D79"/>
    <w:rsid w:val="00413403"/>
    <w:rsid w:val="00416C85"/>
    <w:rsid w:val="00417C24"/>
    <w:rsid w:val="00422124"/>
    <w:rsid w:val="004240DD"/>
    <w:rsid w:val="00437F5E"/>
    <w:rsid w:val="00443641"/>
    <w:rsid w:val="00443E9F"/>
    <w:rsid w:val="0044731B"/>
    <w:rsid w:val="00455B93"/>
    <w:rsid w:val="00457BD1"/>
    <w:rsid w:val="00462160"/>
    <w:rsid w:val="0046331F"/>
    <w:rsid w:val="00485D3C"/>
    <w:rsid w:val="00491C5A"/>
    <w:rsid w:val="004B6F55"/>
    <w:rsid w:val="004B72F8"/>
    <w:rsid w:val="004C1DFB"/>
    <w:rsid w:val="004C277D"/>
    <w:rsid w:val="004C6A85"/>
    <w:rsid w:val="004D339E"/>
    <w:rsid w:val="004E10B4"/>
    <w:rsid w:val="004E4C10"/>
    <w:rsid w:val="004F0068"/>
    <w:rsid w:val="004F466B"/>
    <w:rsid w:val="00500C23"/>
    <w:rsid w:val="00501A09"/>
    <w:rsid w:val="00506B28"/>
    <w:rsid w:val="00507FE4"/>
    <w:rsid w:val="0051179F"/>
    <w:rsid w:val="00517453"/>
    <w:rsid w:val="00521099"/>
    <w:rsid w:val="00522BD6"/>
    <w:rsid w:val="00524116"/>
    <w:rsid w:val="00530252"/>
    <w:rsid w:val="0054439F"/>
    <w:rsid w:val="00544E35"/>
    <w:rsid w:val="0055589E"/>
    <w:rsid w:val="0055796D"/>
    <w:rsid w:val="00564C2B"/>
    <w:rsid w:val="00576306"/>
    <w:rsid w:val="005846B2"/>
    <w:rsid w:val="005875AB"/>
    <w:rsid w:val="005A0AB9"/>
    <w:rsid w:val="005A5498"/>
    <w:rsid w:val="005A5CD6"/>
    <w:rsid w:val="005A6547"/>
    <w:rsid w:val="005B0850"/>
    <w:rsid w:val="005B40F0"/>
    <w:rsid w:val="005C1F9D"/>
    <w:rsid w:val="005C23EB"/>
    <w:rsid w:val="005C3179"/>
    <w:rsid w:val="005D1100"/>
    <w:rsid w:val="005D263F"/>
    <w:rsid w:val="005D65EA"/>
    <w:rsid w:val="005E2536"/>
    <w:rsid w:val="005E4672"/>
    <w:rsid w:val="005E5D39"/>
    <w:rsid w:val="005E70B2"/>
    <w:rsid w:val="005F79B3"/>
    <w:rsid w:val="0060325F"/>
    <w:rsid w:val="006035EA"/>
    <w:rsid w:val="006052C5"/>
    <w:rsid w:val="00605FD0"/>
    <w:rsid w:val="006155F0"/>
    <w:rsid w:val="0062317C"/>
    <w:rsid w:val="0063653B"/>
    <w:rsid w:val="00646186"/>
    <w:rsid w:val="006540FC"/>
    <w:rsid w:val="00665E9F"/>
    <w:rsid w:val="006759B3"/>
    <w:rsid w:val="006920D1"/>
    <w:rsid w:val="0069581D"/>
    <w:rsid w:val="006B1FCE"/>
    <w:rsid w:val="006C394A"/>
    <w:rsid w:val="006F141E"/>
    <w:rsid w:val="006F36F6"/>
    <w:rsid w:val="006F5A12"/>
    <w:rsid w:val="00700819"/>
    <w:rsid w:val="007011F6"/>
    <w:rsid w:val="00710B1F"/>
    <w:rsid w:val="00712FB8"/>
    <w:rsid w:val="007135A5"/>
    <w:rsid w:val="00730574"/>
    <w:rsid w:val="00735E4F"/>
    <w:rsid w:val="007418FD"/>
    <w:rsid w:val="007428E4"/>
    <w:rsid w:val="00752301"/>
    <w:rsid w:val="00752B35"/>
    <w:rsid w:val="00772169"/>
    <w:rsid w:val="007751CF"/>
    <w:rsid w:val="007861D6"/>
    <w:rsid w:val="00793F87"/>
    <w:rsid w:val="007A2C0A"/>
    <w:rsid w:val="007A7FF0"/>
    <w:rsid w:val="007B41DF"/>
    <w:rsid w:val="007B6B1F"/>
    <w:rsid w:val="007E7A56"/>
    <w:rsid w:val="007F4D16"/>
    <w:rsid w:val="007F77EB"/>
    <w:rsid w:val="00803D06"/>
    <w:rsid w:val="008040BB"/>
    <w:rsid w:val="00806102"/>
    <w:rsid w:val="00806E8A"/>
    <w:rsid w:val="008175CA"/>
    <w:rsid w:val="00817861"/>
    <w:rsid w:val="00830C58"/>
    <w:rsid w:val="00833F49"/>
    <w:rsid w:val="00842A0B"/>
    <w:rsid w:val="00844084"/>
    <w:rsid w:val="00846CD4"/>
    <w:rsid w:val="008528E8"/>
    <w:rsid w:val="00856425"/>
    <w:rsid w:val="008630C0"/>
    <w:rsid w:val="008974CF"/>
    <w:rsid w:val="008B141F"/>
    <w:rsid w:val="008B212E"/>
    <w:rsid w:val="008B317E"/>
    <w:rsid w:val="008B465C"/>
    <w:rsid w:val="008B4E9D"/>
    <w:rsid w:val="008B5914"/>
    <w:rsid w:val="008C60AA"/>
    <w:rsid w:val="008D004F"/>
    <w:rsid w:val="008F0FB2"/>
    <w:rsid w:val="008F2E88"/>
    <w:rsid w:val="0090459E"/>
    <w:rsid w:val="00914AED"/>
    <w:rsid w:val="009170C6"/>
    <w:rsid w:val="00937C23"/>
    <w:rsid w:val="00945785"/>
    <w:rsid w:val="00962AEF"/>
    <w:rsid w:val="0097015F"/>
    <w:rsid w:val="00974B86"/>
    <w:rsid w:val="00981351"/>
    <w:rsid w:val="009855C6"/>
    <w:rsid w:val="009A1494"/>
    <w:rsid w:val="009A47CE"/>
    <w:rsid w:val="009C389C"/>
    <w:rsid w:val="009D1D80"/>
    <w:rsid w:val="009D5ADE"/>
    <w:rsid w:val="009E1294"/>
    <w:rsid w:val="009E3F64"/>
    <w:rsid w:val="009E7F60"/>
    <w:rsid w:val="009F1E3C"/>
    <w:rsid w:val="009F22B4"/>
    <w:rsid w:val="00A002C0"/>
    <w:rsid w:val="00A0461C"/>
    <w:rsid w:val="00A159B6"/>
    <w:rsid w:val="00A23673"/>
    <w:rsid w:val="00A31698"/>
    <w:rsid w:val="00A66D6D"/>
    <w:rsid w:val="00A70916"/>
    <w:rsid w:val="00A74092"/>
    <w:rsid w:val="00A74D6A"/>
    <w:rsid w:val="00A76EA9"/>
    <w:rsid w:val="00A772D1"/>
    <w:rsid w:val="00A82AE1"/>
    <w:rsid w:val="00A85131"/>
    <w:rsid w:val="00A87D28"/>
    <w:rsid w:val="00A9053B"/>
    <w:rsid w:val="00A9797A"/>
    <w:rsid w:val="00AA03CF"/>
    <w:rsid w:val="00AA0AFD"/>
    <w:rsid w:val="00AA6D76"/>
    <w:rsid w:val="00AB0494"/>
    <w:rsid w:val="00AB078A"/>
    <w:rsid w:val="00AB22EC"/>
    <w:rsid w:val="00AC2841"/>
    <w:rsid w:val="00AD6F95"/>
    <w:rsid w:val="00AE3DDF"/>
    <w:rsid w:val="00AE7635"/>
    <w:rsid w:val="00AF08FB"/>
    <w:rsid w:val="00AF19BC"/>
    <w:rsid w:val="00B01232"/>
    <w:rsid w:val="00B055C3"/>
    <w:rsid w:val="00B141B3"/>
    <w:rsid w:val="00B25855"/>
    <w:rsid w:val="00B26EDF"/>
    <w:rsid w:val="00B414F9"/>
    <w:rsid w:val="00B423E7"/>
    <w:rsid w:val="00B424E4"/>
    <w:rsid w:val="00B43196"/>
    <w:rsid w:val="00B45F39"/>
    <w:rsid w:val="00B56272"/>
    <w:rsid w:val="00B656E3"/>
    <w:rsid w:val="00B70C7F"/>
    <w:rsid w:val="00B75E8D"/>
    <w:rsid w:val="00B76F89"/>
    <w:rsid w:val="00B83709"/>
    <w:rsid w:val="00B87FE0"/>
    <w:rsid w:val="00BA28B5"/>
    <w:rsid w:val="00BA651C"/>
    <w:rsid w:val="00BA658E"/>
    <w:rsid w:val="00BC47E2"/>
    <w:rsid w:val="00BD7543"/>
    <w:rsid w:val="00BE7ACF"/>
    <w:rsid w:val="00BF071C"/>
    <w:rsid w:val="00BF3D2C"/>
    <w:rsid w:val="00C005AE"/>
    <w:rsid w:val="00C12423"/>
    <w:rsid w:val="00C20799"/>
    <w:rsid w:val="00C23A8C"/>
    <w:rsid w:val="00C253E7"/>
    <w:rsid w:val="00C3008E"/>
    <w:rsid w:val="00C3023B"/>
    <w:rsid w:val="00C40CA0"/>
    <w:rsid w:val="00C4160C"/>
    <w:rsid w:val="00C4482F"/>
    <w:rsid w:val="00C518F1"/>
    <w:rsid w:val="00C528AE"/>
    <w:rsid w:val="00C63DE2"/>
    <w:rsid w:val="00C71F91"/>
    <w:rsid w:val="00C750F7"/>
    <w:rsid w:val="00C80922"/>
    <w:rsid w:val="00C82543"/>
    <w:rsid w:val="00C85B2C"/>
    <w:rsid w:val="00C8729F"/>
    <w:rsid w:val="00C90AB6"/>
    <w:rsid w:val="00CB36FF"/>
    <w:rsid w:val="00CC585C"/>
    <w:rsid w:val="00CC6822"/>
    <w:rsid w:val="00CD1FCE"/>
    <w:rsid w:val="00CD3DB6"/>
    <w:rsid w:val="00CF6D35"/>
    <w:rsid w:val="00CF74AF"/>
    <w:rsid w:val="00D037A2"/>
    <w:rsid w:val="00D07A09"/>
    <w:rsid w:val="00D10527"/>
    <w:rsid w:val="00D21A4F"/>
    <w:rsid w:val="00D330ED"/>
    <w:rsid w:val="00D3680E"/>
    <w:rsid w:val="00D51FB8"/>
    <w:rsid w:val="00D60896"/>
    <w:rsid w:val="00D659B6"/>
    <w:rsid w:val="00D81993"/>
    <w:rsid w:val="00D962B5"/>
    <w:rsid w:val="00DA5F8F"/>
    <w:rsid w:val="00DA677C"/>
    <w:rsid w:val="00DA7B98"/>
    <w:rsid w:val="00DB692F"/>
    <w:rsid w:val="00DB6C3F"/>
    <w:rsid w:val="00DC1330"/>
    <w:rsid w:val="00DC2F68"/>
    <w:rsid w:val="00DE2B6B"/>
    <w:rsid w:val="00DE5597"/>
    <w:rsid w:val="00DF05FB"/>
    <w:rsid w:val="00DF76CE"/>
    <w:rsid w:val="00E024F5"/>
    <w:rsid w:val="00E0704B"/>
    <w:rsid w:val="00E07D47"/>
    <w:rsid w:val="00E13F50"/>
    <w:rsid w:val="00E2793F"/>
    <w:rsid w:val="00E34C05"/>
    <w:rsid w:val="00E44B3D"/>
    <w:rsid w:val="00E53F49"/>
    <w:rsid w:val="00E5496E"/>
    <w:rsid w:val="00E54DA4"/>
    <w:rsid w:val="00E75B2A"/>
    <w:rsid w:val="00E7634B"/>
    <w:rsid w:val="00E77381"/>
    <w:rsid w:val="00E84B68"/>
    <w:rsid w:val="00E936B9"/>
    <w:rsid w:val="00EA4084"/>
    <w:rsid w:val="00EA5940"/>
    <w:rsid w:val="00EC10FE"/>
    <w:rsid w:val="00EC59BD"/>
    <w:rsid w:val="00ED3732"/>
    <w:rsid w:val="00ED68DC"/>
    <w:rsid w:val="00EE0A3E"/>
    <w:rsid w:val="00EE0CB7"/>
    <w:rsid w:val="00EE257F"/>
    <w:rsid w:val="00EF5159"/>
    <w:rsid w:val="00F0105E"/>
    <w:rsid w:val="00F029B1"/>
    <w:rsid w:val="00F1192E"/>
    <w:rsid w:val="00F15728"/>
    <w:rsid w:val="00F31DB4"/>
    <w:rsid w:val="00F57B58"/>
    <w:rsid w:val="00F66C06"/>
    <w:rsid w:val="00F73BA0"/>
    <w:rsid w:val="00F76A2B"/>
    <w:rsid w:val="00F816B5"/>
    <w:rsid w:val="00F82262"/>
    <w:rsid w:val="00F83C8D"/>
    <w:rsid w:val="00F97AD0"/>
    <w:rsid w:val="00FA46A3"/>
    <w:rsid w:val="00FB01B4"/>
    <w:rsid w:val="00FB2A18"/>
    <w:rsid w:val="00FB4CBC"/>
    <w:rsid w:val="00FB500A"/>
    <w:rsid w:val="00FB531E"/>
    <w:rsid w:val="00FB721F"/>
    <w:rsid w:val="00FC12F3"/>
    <w:rsid w:val="00FC3182"/>
    <w:rsid w:val="00FC4B75"/>
    <w:rsid w:val="00FE426B"/>
    <w:rsid w:val="00FE736F"/>
    <w:rsid w:val="00FE7D3A"/>
    <w:rsid w:val="00FF1419"/>
    <w:rsid w:val="00FF7C3C"/>
    <w:rsid w:val="44537887"/>
    <w:rsid w:val="75F1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2DBC3"/>
  <w15:docId w15:val="{99CBD302-26CC-44C3-BEAA-1F8D99D7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nhideWhenUsed/>
    <w:qFormat/>
    <w:pPr>
      <w:jc w:val="left"/>
    </w:pPr>
  </w:style>
  <w:style w:type="paragraph" w:styleId="a7">
    <w:name w:val="Body Text Indent"/>
    <w:basedOn w:val="a"/>
    <w:link w:val="a8"/>
    <w:semiHidden/>
    <w:pPr>
      <w:spacing w:line="360" w:lineRule="auto"/>
      <w:ind w:firstLineChars="200" w:firstLine="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pPr>
      <w:tabs>
        <w:tab w:val="left" w:pos="426"/>
        <w:tab w:val="right" w:leader="dot" w:pos="8647"/>
      </w:tabs>
      <w:spacing w:before="120" w:after="120" w:line="360" w:lineRule="auto"/>
      <w:ind w:leftChars="-202" w:left="-424"/>
      <w:jc w:val="left"/>
    </w:pPr>
    <w:rPr>
      <w:caps/>
      <w:szCs w:val="20"/>
    </w:rPr>
  </w:style>
  <w:style w:type="paragraph" w:styleId="af">
    <w:name w:val="annotation subject"/>
    <w:basedOn w:val="a5"/>
    <w:next w:val="a5"/>
    <w:link w:val="af0"/>
    <w:uiPriority w:val="99"/>
    <w:semiHidden/>
    <w:unhideWhenUsed/>
    <w:qFormat/>
    <w:rPr>
      <w:b/>
      <w:bCs/>
    </w:rPr>
  </w:style>
  <w:style w:type="character" w:styleId="af1">
    <w:name w:val="Hyperlink"/>
    <w:basedOn w:val="a0"/>
    <w:uiPriority w:val="99"/>
    <w:rPr>
      <w:color w:val="0000FF"/>
      <w:u w:val="single"/>
    </w:rPr>
  </w:style>
  <w:style w:type="character" w:styleId="af2">
    <w:name w:val="annotation reference"/>
    <w:basedOn w:val="a0"/>
    <w:unhideWhenUsed/>
    <w:qFormat/>
    <w:rPr>
      <w:sz w:val="21"/>
      <w:szCs w:val="21"/>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a8">
    <w:name w:val="正文文本缩进 字符"/>
    <w:basedOn w:val="a0"/>
    <w:link w:val="a7"/>
    <w:semiHidden/>
    <w:rPr>
      <w:rFonts w:ascii="Times New Roman" w:eastAsia="宋体" w:hAnsi="Times New Roman" w:cs="Times New Roman"/>
      <w:szCs w:val="24"/>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af4">
    <w:name w:val="正文所"/>
    <w:basedOn w:val="a"/>
    <w:qFormat/>
    <w:pPr>
      <w:spacing w:line="360" w:lineRule="auto"/>
      <w:ind w:firstLineChars="200" w:firstLine="420"/>
    </w:pPr>
  </w:style>
  <w:style w:type="character" w:customStyle="1" w:styleId="a6">
    <w:name w:val="批注文字 字符"/>
    <w:basedOn w:val="a0"/>
    <w:link w:val="a5"/>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customStyle="1" w:styleId="CharChar">
    <w:name w:val="Char Char"/>
    <w:basedOn w:val="a"/>
    <w:qFormat/>
    <w:rPr>
      <w:szCs w:val="20"/>
    </w:rPr>
  </w:style>
  <w:style w:type="character" w:customStyle="1" w:styleId="read">
    <w:name w:val="read"/>
    <w:basedOn w:val="a0"/>
    <w:qFormat/>
  </w:style>
  <w:style w:type="paragraph" w:customStyle="1" w:styleId="juzhong">
    <w:name w:val="juzhong"/>
    <w:basedOn w:val="a"/>
    <w:qFormat/>
    <w:pPr>
      <w:widowControl/>
      <w:spacing w:before="100" w:beforeAutospacing="1" w:after="100" w:afterAutospacing="1"/>
      <w:jc w:val="left"/>
    </w:pPr>
    <w:rPr>
      <w:rFonts w:ascii="宋体" w:hAnsi="宋体" w:cs="宋体"/>
      <w:kern w:val="0"/>
      <w:sz w:val="24"/>
    </w:rPr>
  </w:style>
  <w:style w:type="paragraph" w:customStyle="1" w:styleId="2">
    <w:name w:val="！正文缩进2字符"/>
    <w:basedOn w:val="a"/>
    <w:qFormat/>
    <w:pPr>
      <w:widowControl/>
      <w:spacing w:line="360" w:lineRule="auto"/>
      <w:ind w:firstLineChars="200" w:firstLine="200"/>
    </w:pPr>
    <w:rPr>
      <w:sz w:val="24"/>
      <w:szCs w:val="20"/>
    </w:rPr>
  </w:style>
  <w:style w:type="character" w:customStyle="1" w:styleId="13">
    <w:name w:val="正文文本缩进 字符1"/>
    <w:semiHidden/>
    <w:qFormat/>
    <w:rPr>
      <w:rFonts w:ascii="Times New Roman" w:eastAsia="宋体" w:hAnsi="Times New Roman" w:cs="Times New Roman"/>
      <w:szCs w:val="24"/>
    </w:rPr>
  </w:style>
  <w:style w:type="paragraph" w:customStyle="1" w:styleId="20">
    <w:name w:val="修订2"/>
    <w:hidden/>
    <w:uiPriority w:val="99"/>
    <w:semiHidden/>
    <w:rPr>
      <w:rFonts w:ascii="Times New Roman" w:eastAsia="宋体" w:hAnsi="Times New Roman" w:cs="Times New Roman"/>
      <w:kern w:val="2"/>
      <w:sz w:val="21"/>
      <w:szCs w:val="24"/>
    </w:rPr>
  </w:style>
  <w:style w:type="paragraph" w:styleId="af5">
    <w:name w:val="Revision"/>
    <w:hidden/>
    <w:uiPriority w:val="99"/>
    <w:semiHidden/>
    <w:rsid w:val="008040B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530F2-E947-441A-B91F-DBEA83CF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5250</Words>
  <Characters>29931</Characters>
  <Application>Microsoft Office Word</Application>
  <DocSecurity>0</DocSecurity>
  <Lines>249</Lines>
  <Paragraphs>70</Paragraphs>
  <ScaleCrop>false</ScaleCrop>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蒙诗霞</cp:lastModifiedBy>
  <cp:revision>2</cp:revision>
  <dcterms:created xsi:type="dcterms:W3CDTF">2026-03-10T05:31:00Z</dcterms:created>
  <dcterms:modified xsi:type="dcterms:W3CDTF">2026-05-26T05:26:00Z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D5B4973BBFB0486A8A922EBB5536AA6C</vt:lpwstr>
  </property>
</Properties>
</file>