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2B1026">
      <w:pPr>
        <w:snapToGrid w:val="0"/>
        <w:spacing w:line="360" w:lineRule="auto"/>
        <w:jc w:val="left"/>
        <w:rPr>
          <w:rFonts w:ascii="宋体" w:hAnsi="Calibri"/>
          <w:szCs w:val="21"/>
        </w:rPr>
      </w:pPr>
    </w:p>
    <w:p w:rsidR="002B1026">
      <w:pPr>
        <w:tabs>
          <w:tab w:val="left" w:pos="1890"/>
        </w:tabs>
        <w:rPr>
          <w:rFonts w:ascii="宋体" w:hAnsi="Calibri"/>
          <w:i/>
          <w:iCs/>
          <w:sz w:val="28"/>
          <w:szCs w:val="28"/>
        </w:rPr>
      </w:pPr>
    </w:p>
    <w:p w:rsidR="002B1026">
      <w:pPr>
        <w:spacing w:line="360" w:lineRule="auto"/>
        <w:ind w:firstLine="881"/>
        <w:jc w:val="center"/>
        <w:rPr>
          <w:rFonts w:ascii="宋体" w:hAnsi="Calibri"/>
          <w:b/>
          <w:sz w:val="44"/>
        </w:rPr>
      </w:pPr>
    </w:p>
    <w:p w:rsidR="002B1026">
      <w:pPr>
        <w:spacing w:line="360" w:lineRule="auto"/>
        <w:ind w:firstLine="881"/>
        <w:jc w:val="center"/>
        <w:rPr>
          <w:rFonts w:ascii="宋体" w:hAnsi="Calibri"/>
          <w:b/>
          <w:sz w:val="44"/>
        </w:rPr>
      </w:pPr>
    </w:p>
    <w:p w:rsidR="002B1026">
      <w:pPr>
        <w:spacing w:line="360" w:lineRule="auto"/>
        <w:ind w:firstLine="881"/>
        <w:jc w:val="center"/>
        <w:rPr>
          <w:rFonts w:ascii="宋体" w:hAnsi="Calibri"/>
          <w:b/>
          <w:sz w:val="44"/>
        </w:rPr>
      </w:pPr>
    </w:p>
    <w:p w:rsidR="002B1026">
      <w:pPr>
        <w:spacing w:line="360" w:lineRule="auto"/>
        <w:ind w:firstLine="881"/>
        <w:jc w:val="center"/>
        <w:rPr>
          <w:rFonts w:ascii="宋体" w:hAnsi="Calibri"/>
          <w:b/>
          <w:sz w:val="44"/>
        </w:rPr>
      </w:pPr>
    </w:p>
    <w:p w:rsidR="002B1026">
      <w:pPr>
        <w:spacing w:line="360" w:lineRule="auto"/>
        <w:ind w:hanging="141"/>
        <w:jc w:val="center"/>
        <w:rPr>
          <w:rFonts w:ascii="宋体" w:hAnsi="Calibri"/>
          <w:b/>
          <w:sz w:val="44"/>
          <w:lang w:eastAsia="zh-CN"/>
        </w:rPr>
      </w:pPr>
      <w:r>
        <w:rPr>
          <w:rFonts w:ascii="宋体" w:hAnsi="Calibri" w:hint="eastAsia"/>
          <w:b/>
          <w:sz w:val="44"/>
          <w:szCs w:val="44"/>
          <w:lang w:eastAsia="zh-CN"/>
        </w:rPr>
        <w:t>易方达如意安惠6个月持有期混合型基金中基金（FOF）</w:t>
      </w:r>
      <w:r>
        <w:rPr>
          <w:rFonts w:ascii="宋体" w:hAnsi="Calibri" w:hint="eastAsia"/>
          <w:b/>
          <w:sz w:val="44"/>
          <w:szCs w:val="44"/>
          <w:highlight w:val="white"/>
          <w:lang w:eastAsia="zh-CN"/>
        </w:rPr>
        <w:t>招募说明书</w:t>
      </w:r>
    </w:p>
    <w:p w:rsidR="002B1026">
      <w:pPr>
        <w:spacing w:line="360" w:lineRule="auto"/>
        <w:ind w:left="1680" w:firstLine="181"/>
        <w:rPr>
          <w:rFonts w:ascii="宋体" w:hAnsi="Calibri"/>
          <w:sz w:val="30"/>
          <w:szCs w:val="30"/>
          <w:lang w:eastAsia="zh-CN"/>
        </w:rPr>
      </w:pPr>
    </w:p>
    <w:p w:rsidR="002B1026">
      <w:pPr>
        <w:spacing w:line="360" w:lineRule="auto"/>
        <w:ind w:left="1680" w:firstLine="181"/>
        <w:rPr>
          <w:rFonts w:ascii="宋体" w:hAnsi="Calibri"/>
          <w:sz w:val="30"/>
          <w:szCs w:val="30"/>
          <w:lang w:eastAsia="zh-CN"/>
        </w:rPr>
      </w:pPr>
    </w:p>
    <w:p w:rsidR="002B1026">
      <w:pPr>
        <w:spacing w:line="360" w:lineRule="auto"/>
        <w:ind w:left="1680"/>
        <w:rPr>
          <w:rFonts w:ascii="宋体" w:hAnsi="Calibri"/>
          <w:sz w:val="30"/>
          <w:szCs w:val="30"/>
          <w:lang w:eastAsia="zh-CN"/>
        </w:rPr>
      </w:pPr>
    </w:p>
    <w:p w:rsidR="002B1026">
      <w:pPr>
        <w:spacing w:line="360" w:lineRule="auto"/>
        <w:ind w:left="1680"/>
        <w:rPr>
          <w:rFonts w:ascii="宋体" w:hAnsi="Calibri"/>
          <w:sz w:val="30"/>
          <w:szCs w:val="30"/>
          <w:lang w:eastAsia="zh-CN"/>
        </w:rPr>
      </w:pPr>
    </w:p>
    <w:p w:rsidR="002B1026">
      <w:pPr>
        <w:spacing w:line="360" w:lineRule="auto"/>
        <w:ind w:left="1680"/>
        <w:rPr>
          <w:rFonts w:ascii="宋体" w:hAnsi="Calibri"/>
          <w:sz w:val="30"/>
          <w:szCs w:val="30"/>
          <w:lang w:eastAsia="zh-CN"/>
        </w:rPr>
      </w:pPr>
    </w:p>
    <w:p w:rsidR="002B1026">
      <w:pPr>
        <w:spacing w:line="360" w:lineRule="auto"/>
        <w:ind w:left="1680"/>
        <w:rPr>
          <w:rFonts w:ascii="宋体" w:hAnsi="Calibri"/>
          <w:sz w:val="30"/>
          <w:szCs w:val="30"/>
          <w:lang w:eastAsia="zh-CN"/>
        </w:rPr>
      </w:pPr>
    </w:p>
    <w:p w:rsidR="002B1026">
      <w:pPr>
        <w:spacing w:line="360" w:lineRule="auto"/>
        <w:ind w:left="1679" w:hanging="238"/>
        <w:rPr>
          <w:rFonts w:ascii="宋体" w:hAnsi="Calibri"/>
          <w:b/>
          <w:sz w:val="32"/>
          <w:szCs w:val="32"/>
          <w:lang w:eastAsia="zh-CN"/>
        </w:rPr>
      </w:pPr>
      <w:r>
        <w:rPr>
          <w:rFonts w:ascii="宋体" w:hAnsi="Calibri" w:hint="eastAsia"/>
          <w:b/>
          <w:sz w:val="32"/>
          <w:szCs w:val="32"/>
          <w:highlight w:val="white"/>
          <w:lang w:eastAsia="zh-CN"/>
        </w:rPr>
        <w:t>基金管理人：易方达基金管理有限公司</w:t>
      </w:r>
    </w:p>
    <w:p w:rsidR="002B1026">
      <w:pPr>
        <w:spacing w:line="360" w:lineRule="auto"/>
        <w:ind w:left="1438"/>
        <w:rPr>
          <w:rFonts w:ascii="宋体" w:hAnsi="Calibri"/>
          <w:b/>
          <w:sz w:val="32"/>
          <w:szCs w:val="32"/>
          <w:lang w:eastAsia="zh-CN"/>
        </w:rPr>
      </w:pPr>
      <w:r>
        <w:rPr>
          <w:rFonts w:ascii="宋体" w:hAnsi="Calibri" w:hint="eastAsia"/>
          <w:b/>
          <w:sz w:val="32"/>
          <w:szCs w:val="32"/>
          <w:highlight w:val="white"/>
          <w:lang w:eastAsia="zh-CN"/>
        </w:rPr>
        <w:t>基金托管人：</w:t>
      </w:r>
      <w:r>
        <w:rPr>
          <w:rFonts w:ascii="宋体" w:hAnsi="Calibri" w:hint="eastAsia"/>
          <w:b/>
          <w:sz w:val="32"/>
          <w:szCs w:val="32"/>
          <w:lang w:eastAsia="zh-CN"/>
        </w:rPr>
        <w:t>中信银行股份有限公司</w:t>
      </w:r>
    </w:p>
    <w:p w:rsidR="002B1026">
      <w:pPr>
        <w:spacing w:line="360" w:lineRule="auto"/>
        <w:jc w:val="center"/>
        <w:rPr>
          <w:rFonts w:ascii="宋体" w:hAnsi="Calibri"/>
          <w:b/>
          <w:sz w:val="32"/>
          <w:szCs w:val="32"/>
          <w:lang w:eastAsia="zh-CN"/>
        </w:rPr>
      </w:pPr>
      <w:r>
        <w:rPr>
          <w:rFonts w:ascii="宋体" w:hAnsi="Calibri" w:hint="eastAsia"/>
          <w:b/>
          <w:sz w:val="32"/>
          <w:szCs w:val="32"/>
          <w:highlight w:val="white"/>
          <w:lang w:eastAsia="zh-CN"/>
        </w:rPr>
        <w:t>二〇二六年</w:t>
      </w:r>
      <w:r w:rsidRPr="00DA18EA" w:rsidR="00DA18EA">
        <w:rPr>
          <w:rFonts w:ascii="宋体" w:hAnsi="Calibri" w:hint="eastAsia"/>
          <w:b/>
          <w:sz w:val="32"/>
          <w:szCs w:val="32"/>
          <w:lang w:eastAsia="zh-CN"/>
        </w:rPr>
        <w:t>四</w:t>
      </w:r>
      <w:r>
        <w:rPr>
          <w:rFonts w:ascii="宋体" w:hAnsi="Calibri" w:hint="eastAsia"/>
          <w:b/>
          <w:sz w:val="32"/>
          <w:szCs w:val="32"/>
          <w:highlight w:val="white"/>
          <w:lang w:eastAsia="zh-CN"/>
        </w:rPr>
        <w:t>月</w:t>
      </w:r>
    </w:p>
    <w:p w:rsidR="002B1026">
      <w:pPr>
        <w:widowControl/>
        <w:jc w:val="left"/>
        <w:rPr>
          <w:rFonts w:ascii="宋体" w:hAnsi="Calibri"/>
          <w:sz w:val="30"/>
          <w:lang w:eastAsia="zh-CN"/>
        </w:rPr>
      </w:pPr>
      <w:r>
        <w:rPr>
          <w:rFonts w:ascii="宋体" w:hAnsi="Calibri"/>
          <w:sz w:val="30"/>
          <w:highlight w:val="white"/>
          <w:lang w:eastAsia="zh-CN"/>
        </w:rPr>
        <w:br w:type="page"/>
      </w:r>
    </w:p>
    <w:p w:rsidR="002B1026">
      <w:pPr>
        <w:spacing w:before="447" w:after="447" w:line="320" w:lineRule="exact"/>
        <w:jc w:val="center"/>
        <w:rPr>
          <w:rFonts w:ascii="宋体" w:hAnsi="Calibri"/>
          <w:sz w:val="30"/>
          <w:lang w:eastAsia="zh-CN"/>
        </w:rPr>
      </w:pPr>
      <w:r>
        <w:rPr>
          <w:rFonts w:ascii="宋体" w:hAnsi="Calibri" w:hint="eastAsia"/>
          <w:sz w:val="30"/>
          <w:lang w:eastAsia="zh-CN"/>
        </w:rPr>
        <w:t>易方达如意安惠6个月持有期混合型基金中基金（FOF）</w:t>
      </w:r>
      <w:r>
        <w:rPr>
          <w:rFonts w:ascii="宋体" w:hAnsi="Calibri" w:hint="eastAsia"/>
          <w:sz w:val="30"/>
          <w:highlight w:val="white"/>
          <w:lang w:eastAsia="zh-CN"/>
        </w:rPr>
        <w:t>招募说明书</w:t>
      </w:r>
    </w:p>
    <w:p w:rsidR="002B1026">
      <w:pPr>
        <w:spacing w:line="288" w:lineRule="auto"/>
        <w:jc w:val="center"/>
        <w:rPr>
          <w:rFonts w:ascii="宋体" w:hAnsi="Calibri"/>
          <w:b/>
          <w:sz w:val="28"/>
          <w:szCs w:val="28"/>
          <w:lang w:eastAsia="zh-CN"/>
        </w:rPr>
      </w:pPr>
      <w:r>
        <w:rPr>
          <w:rFonts w:ascii="宋体" w:hAnsi="Calibri" w:hint="eastAsia"/>
          <w:b/>
          <w:sz w:val="28"/>
          <w:szCs w:val="28"/>
          <w:highlight w:val="white"/>
          <w:lang w:eastAsia="zh-CN"/>
        </w:rPr>
        <w:t>重要提示</w:t>
      </w:r>
    </w:p>
    <w:p w:rsidR="002B1026">
      <w:pPr>
        <w:snapToGrid w:val="0"/>
        <w:spacing w:line="360" w:lineRule="auto"/>
        <w:ind w:firstLine="420"/>
        <w:rPr>
          <w:rFonts w:ascii="宋体" w:hAnsi="Calibri"/>
          <w:b/>
          <w:szCs w:val="21"/>
          <w:lang w:eastAsia="zh-CN"/>
        </w:rPr>
      </w:pPr>
      <w:r>
        <w:rPr>
          <w:rFonts w:ascii="宋体" w:hAnsi="Calibri" w:hint="eastAsia"/>
          <w:b/>
          <w:szCs w:val="21"/>
          <w:highlight w:val="white"/>
          <w:lang w:eastAsia="zh-CN"/>
        </w:rPr>
        <w:t>1、本基金根据</w:t>
      </w:r>
      <w:r>
        <w:rPr>
          <w:rFonts w:ascii="宋体" w:hAnsi="Calibri"/>
          <w:b/>
          <w:szCs w:val="21"/>
          <w:highlight w:val="white"/>
          <w:lang w:eastAsia="zh-CN"/>
        </w:rPr>
        <w:t>2026</w:t>
      </w:r>
      <w:r>
        <w:rPr>
          <w:rFonts w:ascii="宋体" w:hAnsi="Calibri" w:hint="eastAsia"/>
          <w:b/>
          <w:szCs w:val="21"/>
          <w:highlight w:val="white"/>
          <w:lang w:eastAsia="zh-CN"/>
        </w:rPr>
        <w:t>年</w:t>
      </w:r>
      <w:r>
        <w:rPr>
          <w:rFonts w:ascii="宋体" w:hAnsi="Calibri"/>
          <w:b/>
          <w:szCs w:val="21"/>
          <w:highlight w:val="white"/>
          <w:lang w:eastAsia="zh-CN"/>
        </w:rPr>
        <w:t>1</w:t>
      </w:r>
      <w:r>
        <w:rPr>
          <w:rFonts w:ascii="宋体" w:hAnsi="Calibri" w:hint="eastAsia"/>
          <w:b/>
          <w:szCs w:val="21"/>
          <w:highlight w:val="white"/>
          <w:lang w:eastAsia="zh-CN"/>
        </w:rPr>
        <w:t>月</w:t>
      </w:r>
      <w:r>
        <w:rPr>
          <w:rFonts w:ascii="宋体" w:hAnsi="Calibri"/>
          <w:b/>
          <w:szCs w:val="21"/>
          <w:highlight w:val="white"/>
          <w:lang w:eastAsia="zh-CN"/>
        </w:rPr>
        <w:t>4</w:t>
      </w:r>
      <w:r>
        <w:rPr>
          <w:rFonts w:ascii="宋体" w:hAnsi="Calibri" w:hint="eastAsia"/>
          <w:b/>
          <w:szCs w:val="21"/>
          <w:highlight w:val="white"/>
          <w:lang w:eastAsia="zh-CN"/>
        </w:rPr>
        <w:t>日中国证券监督管理委员会《关于准予</w:t>
      </w:r>
      <w:r>
        <w:rPr>
          <w:rFonts w:ascii="宋体" w:hAnsi="Calibri"/>
          <w:b/>
          <w:szCs w:val="21"/>
          <w:lang w:eastAsia="zh-CN"/>
        </w:rPr>
        <w:t>易方达如意安惠6个月持有期混合型基金中基金（FOF）</w:t>
      </w:r>
      <w:r>
        <w:rPr>
          <w:rFonts w:ascii="宋体" w:hAnsi="Calibri"/>
          <w:b/>
          <w:szCs w:val="21"/>
          <w:highlight w:val="white"/>
          <w:lang w:eastAsia="zh-CN"/>
        </w:rPr>
        <w:t>注册的批复》（证监许可[2025</w:t>
      </w:r>
      <w:r>
        <w:rPr>
          <w:rFonts w:ascii="宋体" w:hAnsi="Calibri" w:hint="eastAsia"/>
          <w:b/>
          <w:szCs w:val="21"/>
          <w:highlight w:val="white"/>
          <w:lang w:eastAsia="zh-CN"/>
        </w:rPr>
        <w:t>]</w:t>
      </w:r>
      <w:r>
        <w:rPr>
          <w:rFonts w:ascii="宋体" w:hAnsi="Calibri"/>
          <w:b/>
          <w:szCs w:val="21"/>
          <w:highlight w:val="white"/>
          <w:lang w:eastAsia="zh-CN"/>
        </w:rPr>
        <w:t>3046</w:t>
      </w:r>
      <w:r>
        <w:rPr>
          <w:rFonts w:ascii="宋体" w:hAnsi="Calibri" w:hint="eastAsia"/>
          <w:b/>
          <w:szCs w:val="21"/>
          <w:highlight w:val="white"/>
          <w:lang w:eastAsia="zh-CN"/>
        </w:rPr>
        <w:t>号）进行募集。</w:t>
      </w:r>
    </w:p>
    <w:p w:rsidR="002B1026">
      <w:pPr>
        <w:snapToGrid w:val="0"/>
        <w:spacing w:line="360" w:lineRule="auto"/>
        <w:ind w:firstLine="420"/>
        <w:rPr>
          <w:rFonts w:ascii="宋体" w:hAnsi="Calibri"/>
          <w:b/>
          <w:szCs w:val="21"/>
          <w:lang w:eastAsia="zh-CN"/>
        </w:rPr>
      </w:pPr>
      <w:r>
        <w:rPr>
          <w:rFonts w:ascii="宋体" w:hAnsi="Calibri" w:hint="eastAsia"/>
          <w:b/>
          <w:szCs w:val="21"/>
          <w:highlight w:val="white"/>
          <w:lang w:eastAsia="zh-CN"/>
        </w:rPr>
        <w:t>2、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2B1026">
      <w:pPr>
        <w:snapToGrid w:val="0"/>
        <w:spacing w:line="360" w:lineRule="auto"/>
        <w:ind w:firstLine="420"/>
        <w:rPr>
          <w:rFonts w:ascii="宋体" w:hAnsi="Calibri"/>
          <w:b/>
          <w:szCs w:val="21"/>
          <w:lang w:eastAsia="zh-CN"/>
        </w:rPr>
      </w:pPr>
      <w:r>
        <w:rPr>
          <w:rFonts w:ascii="宋体" w:hAnsi="Calibri" w:hint="eastAsia"/>
          <w:b/>
          <w:szCs w:val="21"/>
          <w:highlight w:val="white"/>
          <w:lang w:eastAsia="zh-CN"/>
        </w:rPr>
        <w:t>基金管理人依照恪尽职守、诚实信用、谨慎勤勉的原则管理和运用基金财产，但不保证基金一定盈利，也不保证最低收益。</w:t>
      </w:r>
    </w:p>
    <w:p w:rsidR="002B1026">
      <w:pPr>
        <w:snapToGrid w:val="0"/>
        <w:spacing w:line="360" w:lineRule="auto"/>
        <w:ind w:firstLine="420"/>
        <w:rPr>
          <w:rFonts w:ascii="宋体" w:hAnsi="Calibri"/>
          <w:b/>
          <w:szCs w:val="21"/>
          <w:lang w:eastAsia="zh-CN"/>
        </w:rPr>
      </w:pPr>
      <w:r>
        <w:rPr>
          <w:rFonts w:ascii="宋体" w:hAnsi="Calibri"/>
          <w:b/>
          <w:szCs w:val="21"/>
          <w:highlight w:val="white"/>
          <w:lang w:eastAsia="zh-CN"/>
        </w:rPr>
        <w:t>3、本基金对于每份基金份额设定</w:t>
      </w:r>
      <w:r>
        <w:rPr>
          <w:rFonts w:ascii="宋体" w:hAnsi="Calibri"/>
          <w:b/>
          <w:szCs w:val="21"/>
          <w:lang w:eastAsia="zh-CN"/>
        </w:rPr>
        <w:t>6个月</w:t>
      </w:r>
      <w:r>
        <w:rPr>
          <w:rFonts w:ascii="宋体" w:hAnsi="Calibri"/>
          <w:b/>
          <w:szCs w:val="21"/>
          <w:highlight w:val="white"/>
          <w:lang w:eastAsia="zh-CN"/>
        </w:rPr>
        <w:t>（</w:t>
      </w:r>
      <w:r>
        <w:rPr>
          <w:rFonts w:ascii="宋体" w:hAnsi="Calibri"/>
          <w:b/>
          <w:szCs w:val="21"/>
          <w:lang w:eastAsia="zh-CN"/>
        </w:rPr>
        <w:t>一个月按30天计算</w:t>
      </w:r>
      <w:r>
        <w:rPr>
          <w:rFonts w:ascii="宋体" w:hAnsi="Calibri"/>
          <w:b/>
          <w:szCs w:val="21"/>
          <w:highlight w:val="white"/>
          <w:lang w:eastAsia="zh-CN"/>
        </w:rPr>
        <w:t>，下同）最短持有期限，且本基金不上市交易。投资者认购或申购基金份额后，自基金合同生效日或申购确认日至赎回确认日不得少于</w:t>
      </w:r>
      <w:r>
        <w:rPr>
          <w:rFonts w:ascii="宋体" w:hAnsi="Calibri"/>
          <w:b/>
          <w:szCs w:val="21"/>
          <w:lang w:eastAsia="zh-CN"/>
        </w:rPr>
        <w:t>6个月</w:t>
      </w:r>
      <w:r>
        <w:rPr>
          <w:rFonts w:ascii="宋体" w:hAnsi="Calibri"/>
          <w:b/>
          <w:szCs w:val="21"/>
          <w:highlight w:val="white"/>
          <w:lang w:eastAsia="zh-CN"/>
        </w:rPr>
        <w:t>。投资者投资本基金每份基金份额需要持有至少</w:t>
      </w:r>
      <w:r>
        <w:rPr>
          <w:rFonts w:ascii="宋体" w:hAnsi="Calibri"/>
          <w:b/>
          <w:szCs w:val="21"/>
          <w:lang w:eastAsia="zh-CN"/>
        </w:rPr>
        <w:t>6个月</w:t>
      </w:r>
      <w:r>
        <w:rPr>
          <w:rFonts w:ascii="宋体" w:hAnsi="Calibri"/>
          <w:b/>
          <w:szCs w:val="21"/>
          <w:highlight w:val="white"/>
          <w:lang w:eastAsia="zh-CN"/>
        </w:rPr>
        <w:t>以上，面临在</w:t>
      </w:r>
      <w:r>
        <w:rPr>
          <w:rFonts w:ascii="宋体" w:hAnsi="Calibri"/>
          <w:b/>
          <w:szCs w:val="21"/>
          <w:lang w:eastAsia="zh-CN"/>
        </w:rPr>
        <w:t>6个月</w:t>
      </w:r>
      <w:r>
        <w:rPr>
          <w:rFonts w:ascii="宋体" w:hAnsi="Calibri"/>
          <w:b/>
          <w:szCs w:val="21"/>
          <w:highlight w:val="white"/>
          <w:lang w:eastAsia="zh-CN"/>
        </w:rPr>
        <w:t>最短持有期内赎回无法确认的流动性风险以及基金净值可能发生较大波动的风险。投资者应当根据自身投资目标、投资期限等情况审慎作出投资决策。</w:t>
      </w:r>
    </w:p>
    <w:p w:rsidR="002B1026">
      <w:pPr>
        <w:snapToGrid w:val="0"/>
        <w:spacing w:line="360" w:lineRule="auto"/>
        <w:ind w:firstLine="420"/>
        <w:rPr>
          <w:rFonts w:ascii="宋体" w:hAnsi="Calibri"/>
          <w:szCs w:val="21"/>
          <w:lang w:eastAsia="zh-CN"/>
        </w:rPr>
      </w:pPr>
      <w:r>
        <w:rPr>
          <w:rFonts w:ascii="宋体" w:hAnsi="Calibri" w:hint="eastAsia"/>
          <w:b/>
          <w:highlight w:val="white"/>
          <w:lang w:eastAsia="zh-CN"/>
        </w:rPr>
        <w:t>4、本基金主要投资于公开募集的证券投资基金</w:t>
      </w:r>
      <w:r>
        <w:rPr>
          <w:rFonts w:ascii="宋体" w:hAnsi="Calibri" w:hint="eastAsia"/>
          <w:b/>
          <w:szCs w:val="21"/>
          <w:highlight w:val="white"/>
          <w:lang w:eastAsia="zh-CN"/>
        </w:rPr>
        <w:t>，</w:t>
      </w:r>
      <w:r>
        <w:rPr>
          <w:rFonts w:ascii="宋体" w:hAnsi="Calibri" w:hint="eastAsia"/>
          <w:b/>
          <w:highlight w:val="white"/>
          <w:lang w:eastAsia="zh-CN"/>
        </w:rPr>
        <w:t>基金净值会因为其投资所涉及证券市场波动等因素产生波动</w:t>
      </w:r>
      <w:r>
        <w:rPr>
          <w:rFonts w:ascii="宋体" w:hAnsi="Calibri" w:hint="eastAsia"/>
          <w:b/>
          <w:szCs w:val="21"/>
          <w:highlight w:val="white"/>
          <w:lang w:eastAsia="zh-CN"/>
        </w:rPr>
        <w:t>。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投资基金的意愿、时机、数量等投资行为作出独立决策，承担基金投资中出现的各类风险。</w:t>
      </w:r>
      <w:r>
        <w:rPr>
          <w:rFonts w:ascii="宋体" w:hAnsi="Calibri"/>
          <w:b/>
          <w:szCs w:val="21"/>
          <w:highlight w:val="white"/>
          <w:lang w:eastAsia="zh-CN"/>
        </w:rPr>
        <w:t>除了前述本基金</w:t>
      </w:r>
      <w:r>
        <w:rPr>
          <w:rFonts w:ascii="宋体" w:hAnsi="Calibri"/>
          <w:b/>
          <w:highlight w:val="white"/>
          <w:lang w:eastAsia="zh-CN"/>
        </w:rPr>
        <w:t>对每份基金份额</w:t>
      </w:r>
      <w:r>
        <w:rPr>
          <w:rFonts w:ascii="宋体" w:hAnsi="Calibri"/>
          <w:b/>
          <w:szCs w:val="21"/>
          <w:highlight w:val="white"/>
          <w:lang w:eastAsia="zh-CN"/>
        </w:rPr>
        <w:t>设定</w:t>
      </w:r>
      <w:r>
        <w:rPr>
          <w:rFonts w:ascii="宋体" w:hAnsi="Calibri" w:hint="eastAsia"/>
          <w:b/>
          <w:szCs w:val="21"/>
          <w:lang w:eastAsia="zh-CN"/>
        </w:rPr>
        <w:t>6个月</w:t>
      </w:r>
      <w:r>
        <w:rPr>
          <w:rFonts w:ascii="宋体" w:hAnsi="Calibri" w:hint="eastAsia"/>
          <w:b/>
          <w:szCs w:val="21"/>
          <w:highlight w:val="white"/>
          <w:lang w:eastAsia="zh-CN"/>
        </w:rPr>
        <w:t>最短持有期带来</w:t>
      </w:r>
      <w:r>
        <w:rPr>
          <w:rFonts w:ascii="宋体" w:hAnsi="Calibri"/>
          <w:b/>
          <w:szCs w:val="21"/>
          <w:highlight w:val="white"/>
          <w:lang w:eastAsia="zh-CN"/>
        </w:rPr>
        <w:t>的特有风险外，</w:t>
      </w:r>
      <w:r>
        <w:rPr>
          <w:rFonts w:ascii="宋体" w:hAnsi="Calibri" w:hint="eastAsia"/>
          <w:b/>
          <w:szCs w:val="21"/>
          <w:highlight w:val="white"/>
          <w:lang w:eastAsia="zh-CN"/>
        </w:rPr>
        <w:t>投资本基金可能遇到的特有风险包括但不限于：</w:t>
      </w:r>
      <w:r>
        <w:rPr>
          <w:rFonts w:ascii="宋体" w:hAnsi="Calibri" w:hint="eastAsia"/>
          <w:b/>
          <w:highlight w:val="white"/>
          <w:lang w:eastAsia="zh-CN"/>
        </w:rPr>
        <w:t>（1）无法获得收益甚至损失本金的风险；（2）投资于非权益类资产的风险；（3）主要投资于基金所面临的特有风险，包括但不限于因主要投资于基金而面临的被投资基金业绩不达目标影响本基金投资业绩表现的风险、赎回资金到账时间较晚影响投资人资金安排的风险、双重收费风险、投资QDII基金的特有风险、投资香港互认基金的特有风险、投资于商品基金的风险、投资公募REITs的特有风险、投资于可上市交易基金的二级市场投资风险、被投资基金的运作风险、被投资基金的基金管理人经营风险和相关政策风险；（4）可能较大比例投资于基金管理人旗下基金所面临的风险；（5）本基金投资范围包括内地与香港股票市场交易互联互通机制允许买卖的香港证券市场股票及ETF而面临的香港市场股票及ETF投资交易、港股通机制带来的特殊风险；（6）本基金投资范围包括科创板股票、北交所股票、存托凭证、资产支持证券等特殊品种而面临的其他额外风险等。此外本基金还将面临市场风险、流动性风险、管理风险、税收风险、基金法律文件中涉及基金风险特征的表述与销售机构对基金的风险评级可能不一致的风险、其他风险等一般风险</w:t>
      </w:r>
      <w:r>
        <w:rPr>
          <w:rFonts w:ascii="宋体" w:hAnsi="Calibri"/>
          <w:b/>
          <w:szCs w:val="21"/>
          <w:highlight w:val="white"/>
          <w:lang w:eastAsia="zh-CN"/>
        </w:rPr>
        <w:t>。</w:t>
      </w:r>
    </w:p>
    <w:p w:rsidR="002B1026">
      <w:pPr>
        <w:snapToGrid w:val="0"/>
        <w:spacing w:line="360" w:lineRule="auto"/>
        <w:ind w:firstLine="420"/>
        <w:rPr>
          <w:rFonts w:ascii="宋体" w:hAnsi="Calibri"/>
          <w:b/>
          <w:szCs w:val="21"/>
          <w:lang w:eastAsia="zh-CN"/>
        </w:rPr>
      </w:pPr>
      <w:r>
        <w:rPr>
          <w:rFonts w:ascii="宋体" w:hAnsi="Calibri" w:hint="eastAsia"/>
          <w:b/>
          <w:szCs w:val="21"/>
          <w:highlight w:val="white"/>
          <w:lang w:eastAsia="zh-CN"/>
        </w:rPr>
        <w:t>本基金的具体运作特点详见基金合同和招募说明书的约定，</w:t>
      </w:r>
      <w:r>
        <w:rPr>
          <w:rFonts w:ascii="宋体" w:hAnsi="Calibri"/>
          <w:b/>
          <w:szCs w:val="21"/>
          <w:highlight w:val="white"/>
          <w:lang w:eastAsia="zh-CN"/>
        </w:rPr>
        <w:t>投资本基金可能面临的风险详见招募说明书的</w:t>
      </w:r>
      <w:r>
        <w:rPr>
          <w:rFonts w:ascii="宋体" w:hAnsi="Calibri"/>
          <w:b/>
          <w:szCs w:val="21"/>
          <w:highlight w:val="white"/>
          <w:lang w:eastAsia="zh-CN"/>
        </w:rPr>
        <w:t>“</w:t>
      </w:r>
      <w:r>
        <w:rPr>
          <w:rFonts w:ascii="宋体" w:hAnsi="Calibri"/>
          <w:b/>
          <w:szCs w:val="21"/>
          <w:highlight w:val="white"/>
          <w:lang w:eastAsia="zh-CN"/>
        </w:rPr>
        <w:t>风险揭示</w:t>
      </w:r>
      <w:r>
        <w:rPr>
          <w:rFonts w:ascii="宋体" w:hAnsi="Calibri"/>
          <w:b/>
          <w:szCs w:val="21"/>
          <w:highlight w:val="white"/>
          <w:lang w:eastAsia="zh-CN"/>
        </w:rPr>
        <w:t>”</w:t>
      </w:r>
      <w:r>
        <w:rPr>
          <w:rFonts w:ascii="宋体" w:hAnsi="Calibri"/>
          <w:b/>
          <w:szCs w:val="21"/>
          <w:highlight w:val="white"/>
          <w:lang w:eastAsia="zh-CN"/>
        </w:rPr>
        <w:t>部分。</w:t>
      </w:r>
    </w:p>
    <w:p w:rsidR="002B1026">
      <w:pPr>
        <w:snapToGrid w:val="0"/>
        <w:spacing w:line="360" w:lineRule="auto"/>
        <w:ind w:firstLine="420" w:firstLineChars="200"/>
        <w:rPr>
          <w:rFonts w:ascii="宋体" w:hAnsi="Calibri"/>
          <w:b/>
          <w:szCs w:val="21"/>
          <w:lang w:eastAsia="zh-CN"/>
        </w:rPr>
      </w:pPr>
      <w:r>
        <w:rPr>
          <w:rFonts w:ascii="宋体" w:hAnsi="Calibri"/>
          <w:b/>
          <w:szCs w:val="21"/>
          <w:highlight w:val="white"/>
          <w:lang w:eastAsia="zh-CN"/>
        </w:rPr>
        <w:t>5</w:t>
      </w:r>
      <w:r>
        <w:rPr>
          <w:rFonts w:ascii="宋体" w:hAnsi="Calibri" w:hint="eastAsia"/>
          <w:b/>
          <w:szCs w:val="21"/>
          <w:highlight w:val="white"/>
          <w:lang w:eastAsia="zh-CN"/>
        </w:rPr>
        <w:t>、本基金可投资内地与香港股票市场交易互联互通机制允许买卖的香港证券市场股票及港股通ETF，会面临港股通机制下因投资环境、投资标的、市场制度以及交易规则等差异带来的特有风险，包括但不限于港股通股票及ETF价格波动较大的风险（港股市场实行T+0 回转交易，且对股票及ETF交易不设涨跌幅限制，港股通股票及ETF价格可能表现出比A股更为剧烈的股价波动）、汇率风险（汇率波动可能对基金的投资收益造成损失）、港股通机制下交易日不连贯可能带来的风险（在内地开市香港休市的情形下，港股通不能正常交易，港股通股票及ETF不能及时卖出，可能带来一定的流动性风险）等。</w:t>
      </w:r>
    </w:p>
    <w:p w:rsidR="002B1026">
      <w:pPr>
        <w:snapToGrid w:val="0"/>
        <w:spacing w:line="360" w:lineRule="auto"/>
        <w:ind w:firstLine="420" w:firstLineChars="200"/>
        <w:rPr>
          <w:rFonts w:ascii="宋体" w:hAnsi="Calibri"/>
          <w:b/>
          <w:szCs w:val="21"/>
          <w:lang w:eastAsia="zh-CN"/>
        </w:rPr>
      </w:pPr>
      <w:r>
        <w:rPr>
          <w:rFonts w:ascii="宋体" w:hAnsi="Calibri" w:hint="eastAsia"/>
          <w:b/>
          <w:szCs w:val="21"/>
          <w:highlight w:val="white"/>
          <w:lang w:eastAsia="zh-CN"/>
        </w:rPr>
        <w:t>本基金可根据投资策略需要或不同配置地市场环境的变化，选择将部分基金资产投资于港股及港股通ETF或选择不将基金资产投资于港股及港股通ETF，基金资产并非必然投资港股及港股通ETF。</w:t>
      </w:r>
    </w:p>
    <w:p w:rsidR="002B1026">
      <w:pPr>
        <w:snapToGrid w:val="0"/>
        <w:spacing w:line="360" w:lineRule="auto"/>
        <w:ind w:firstLine="420"/>
        <w:rPr>
          <w:rFonts w:ascii="宋体" w:hAnsi="Calibri"/>
          <w:b/>
          <w:szCs w:val="21"/>
          <w:lang w:eastAsia="zh-CN"/>
        </w:rPr>
      </w:pPr>
      <w:r>
        <w:rPr>
          <w:rFonts w:ascii="宋体" w:hAnsi="Calibri"/>
          <w:b/>
          <w:szCs w:val="21"/>
          <w:highlight w:val="white"/>
          <w:lang w:eastAsia="zh-CN"/>
        </w:rPr>
        <w:t>6</w:t>
      </w:r>
      <w:r>
        <w:rPr>
          <w:rFonts w:ascii="宋体" w:hAnsi="Calibri" w:hint="eastAsia"/>
          <w:b/>
          <w:szCs w:val="21"/>
          <w:highlight w:val="white"/>
          <w:lang w:eastAsia="zh-CN"/>
        </w:rPr>
        <w:t>、正常情况下，本基金将于</w:t>
      </w:r>
      <w:r>
        <w:rPr>
          <w:rFonts w:ascii="宋体" w:hAnsi="Calibri"/>
          <w:b/>
          <w:szCs w:val="21"/>
          <w:highlight w:val="white"/>
          <w:lang w:eastAsia="zh-CN"/>
        </w:rPr>
        <w:t>T+2</w:t>
      </w:r>
      <w:r>
        <w:rPr>
          <w:rFonts w:ascii="宋体" w:hAnsi="Calibri" w:hint="eastAsia"/>
          <w:b/>
          <w:szCs w:val="21"/>
          <w:highlight w:val="white"/>
          <w:lang w:eastAsia="zh-CN"/>
        </w:rPr>
        <w:t>日（</w:t>
      </w:r>
      <w:r>
        <w:rPr>
          <w:rFonts w:ascii="宋体" w:hAnsi="Calibri"/>
          <w:b/>
          <w:szCs w:val="21"/>
          <w:highlight w:val="white"/>
          <w:lang w:eastAsia="zh-CN"/>
        </w:rPr>
        <w:t>T</w:t>
      </w:r>
      <w:r>
        <w:rPr>
          <w:rFonts w:ascii="宋体" w:hAnsi="Calibri" w:hint="eastAsia"/>
          <w:b/>
          <w:szCs w:val="21"/>
          <w:highlight w:val="white"/>
          <w:lang w:eastAsia="zh-CN"/>
        </w:rPr>
        <w:t>日为申购、赎回申请日）对</w:t>
      </w:r>
      <w:r>
        <w:rPr>
          <w:rFonts w:ascii="宋体" w:hAnsi="Calibri"/>
          <w:b/>
          <w:szCs w:val="21"/>
          <w:highlight w:val="white"/>
          <w:lang w:eastAsia="zh-CN"/>
        </w:rPr>
        <w:t>T</w:t>
      </w:r>
      <w:r>
        <w:rPr>
          <w:rFonts w:ascii="宋体" w:hAnsi="Calibri" w:hint="eastAsia"/>
          <w:b/>
          <w:szCs w:val="21"/>
          <w:highlight w:val="white"/>
          <w:lang w:eastAsia="zh-CN"/>
        </w:rPr>
        <w:t>日的基金资产净值进行估值，</w:t>
      </w:r>
      <w:r>
        <w:rPr>
          <w:rFonts w:ascii="宋体" w:hAnsi="Calibri"/>
          <w:b/>
          <w:szCs w:val="21"/>
          <w:highlight w:val="white"/>
          <w:lang w:eastAsia="zh-CN"/>
        </w:rPr>
        <w:t>T+3</w:t>
      </w:r>
      <w:r>
        <w:rPr>
          <w:rFonts w:ascii="宋体" w:hAnsi="Calibri" w:hint="eastAsia"/>
          <w:b/>
          <w:szCs w:val="21"/>
          <w:highlight w:val="white"/>
          <w:lang w:eastAsia="zh-CN"/>
        </w:rPr>
        <w:t>日对投资人申购、赎回申请的有效性进行确认，投资人可于</w:t>
      </w:r>
      <w:r>
        <w:rPr>
          <w:rFonts w:ascii="宋体" w:hAnsi="Calibri"/>
          <w:b/>
          <w:szCs w:val="21"/>
          <w:highlight w:val="white"/>
          <w:lang w:eastAsia="zh-CN"/>
        </w:rPr>
        <w:t>T+4</w:t>
      </w:r>
      <w:r>
        <w:rPr>
          <w:rFonts w:ascii="宋体" w:hAnsi="Calibri" w:hint="eastAsia"/>
          <w:b/>
          <w:szCs w:val="21"/>
          <w:highlight w:val="white"/>
          <w:lang w:eastAsia="zh-CN"/>
        </w:rPr>
        <w:t>日到销售网点柜台或以销售机构规定的其他方式查询申请的确认情况。</w:t>
      </w:r>
    </w:p>
    <w:p w:rsidR="002B1026">
      <w:pPr>
        <w:snapToGrid w:val="0"/>
        <w:spacing w:line="360" w:lineRule="auto"/>
        <w:ind w:firstLine="420"/>
        <w:rPr>
          <w:rFonts w:ascii="宋体" w:hAnsi="Calibri"/>
          <w:b/>
          <w:szCs w:val="21"/>
          <w:lang w:eastAsia="zh-CN"/>
        </w:rPr>
      </w:pPr>
      <w:r>
        <w:rPr>
          <w:rFonts w:ascii="宋体" w:hAnsi="Calibri"/>
          <w:b/>
          <w:szCs w:val="21"/>
          <w:highlight w:val="white"/>
          <w:lang w:eastAsia="zh-CN"/>
        </w:rPr>
        <w:t>7</w:t>
      </w:r>
      <w:r>
        <w:rPr>
          <w:rFonts w:ascii="宋体" w:hAnsi="Calibri" w:hint="eastAsia"/>
          <w:b/>
          <w:szCs w:val="21"/>
          <w:highlight w:val="white"/>
          <w:lang w:eastAsia="zh-CN"/>
        </w:rPr>
        <w:t>、</w:t>
      </w:r>
      <w:r>
        <w:rPr>
          <w:rFonts w:ascii="宋体" w:hAnsi="Calibri"/>
          <w:b/>
          <w:szCs w:val="21"/>
          <w:lang w:eastAsia="zh-CN"/>
        </w:rPr>
        <w:t>本基金为混合型基金中基金（FOF），理论上其预期风险与预期收益水平低于股票型基金、股票型基金中基金（FOF），高于债券型基金、债券型基金中基金（FOF）、货币市场基金和货币型基金中基金（FOF）。</w:t>
      </w:r>
    </w:p>
    <w:p w:rsidR="002B1026">
      <w:pPr>
        <w:snapToGrid w:val="0"/>
        <w:spacing w:line="360" w:lineRule="auto"/>
        <w:ind w:firstLine="420"/>
        <w:rPr>
          <w:rFonts w:ascii="宋体" w:hAnsi="Calibri"/>
          <w:b/>
          <w:szCs w:val="21"/>
          <w:lang w:eastAsia="zh-CN"/>
        </w:rPr>
      </w:pPr>
      <w:r>
        <w:rPr>
          <w:rFonts w:ascii="宋体" w:hAnsi="Calibri"/>
          <w:b/>
          <w:szCs w:val="21"/>
          <w:lang w:eastAsia="zh-CN"/>
        </w:rPr>
        <w:t>本基金可通过内地与香港股票市场交易互联互通机制投资于香港证券市场，除了需要承担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rsidR="002B1026">
      <w:pPr>
        <w:snapToGrid w:val="0"/>
        <w:spacing w:line="360" w:lineRule="auto"/>
        <w:ind w:firstLine="420"/>
        <w:rPr>
          <w:rFonts w:ascii="宋体" w:hAnsi="Calibri"/>
          <w:b/>
          <w:szCs w:val="21"/>
          <w:lang w:eastAsia="zh-CN"/>
        </w:rPr>
      </w:pPr>
      <w:r>
        <w:rPr>
          <w:rFonts w:ascii="宋体" w:hAnsi="Calibri"/>
          <w:b/>
          <w:szCs w:val="21"/>
          <w:highlight w:val="white"/>
          <w:lang w:eastAsia="zh-CN"/>
        </w:rPr>
        <w:t>8、</w:t>
      </w:r>
      <w:r>
        <w:rPr>
          <w:rFonts w:ascii="宋体" w:hAnsi="Calibri" w:hint="eastAsia"/>
          <w:b/>
          <w:szCs w:val="21"/>
          <w:highlight w:val="white"/>
          <w:lang w:eastAsia="zh-CN"/>
        </w:rPr>
        <w:t>本基金将基金份额分为</w:t>
      </w:r>
      <w:r>
        <w:rPr>
          <w:rFonts w:ascii="宋体" w:hAnsi="Calibri"/>
          <w:b/>
          <w:szCs w:val="21"/>
          <w:highlight w:val="white"/>
          <w:lang w:eastAsia="zh-CN"/>
        </w:rPr>
        <w:t>A</w:t>
      </w:r>
      <w:r>
        <w:rPr>
          <w:rFonts w:ascii="宋体" w:hAnsi="Calibri" w:hint="eastAsia"/>
          <w:b/>
          <w:szCs w:val="21"/>
          <w:highlight w:val="white"/>
          <w:lang w:eastAsia="zh-CN"/>
        </w:rPr>
        <w:t>类基金份额和</w:t>
      </w:r>
      <w:r>
        <w:rPr>
          <w:rFonts w:ascii="宋体" w:hAnsi="Calibri"/>
          <w:b/>
          <w:szCs w:val="21"/>
          <w:highlight w:val="white"/>
          <w:lang w:eastAsia="zh-CN"/>
        </w:rPr>
        <w:t>C</w:t>
      </w:r>
      <w:r>
        <w:rPr>
          <w:rFonts w:ascii="宋体" w:hAnsi="Calibri" w:hint="eastAsia"/>
          <w:b/>
          <w:szCs w:val="21"/>
          <w:highlight w:val="white"/>
          <w:lang w:eastAsia="zh-CN"/>
        </w:rPr>
        <w:t>类基金份额。</w:t>
      </w:r>
      <w:r>
        <w:rPr>
          <w:rFonts w:ascii="宋体" w:hAnsi="Calibri"/>
          <w:b/>
          <w:szCs w:val="21"/>
          <w:highlight w:val="white"/>
          <w:lang w:eastAsia="zh-CN"/>
        </w:rPr>
        <w:t>A</w:t>
      </w:r>
      <w:r>
        <w:rPr>
          <w:rFonts w:ascii="宋体" w:hAnsi="Calibri" w:hint="eastAsia"/>
          <w:b/>
          <w:szCs w:val="21"/>
          <w:highlight w:val="white"/>
          <w:lang w:eastAsia="zh-CN"/>
        </w:rPr>
        <w:t>类基金份额在投资人认购</w:t>
      </w:r>
      <w:r>
        <w:rPr>
          <w:rFonts w:ascii="宋体" w:hAnsi="Calibri"/>
          <w:b/>
          <w:szCs w:val="21"/>
          <w:highlight w:val="white"/>
          <w:lang w:eastAsia="zh-CN"/>
        </w:rPr>
        <w:t>/</w:t>
      </w:r>
      <w:r>
        <w:rPr>
          <w:rFonts w:ascii="宋体" w:hAnsi="Calibri" w:hint="eastAsia"/>
          <w:b/>
          <w:szCs w:val="21"/>
          <w:highlight w:val="white"/>
          <w:lang w:eastAsia="zh-CN"/>
        </w:rPr>
        <w:t>申购时</w:t>
      </w:r>
      <w:r>
        <w:rPr>
          <w:rFonts w:ascii="宋体" w:hAnsi="宋体" w:cs="宋体" w:hint="eastAsia"/>
          <w:b/>
          <w:highlight w:val="white"/>
          <w:lang w:eastAsia="zh-CN"/>
        </w:rPr>
        <w:t>按规定</w:t>
      </w:r>
      <w:r>
        <w:rPr>
          <w:rFonts w:ascii="宋体" w:hAnsi="Calibri" w:hint="eastAsia"/>
          <w:b/>
          <w:szCs w:val="21"/>
          <w:highlight w:val="white"/>
          <w:lang w:eastAsia="zh-CN"/>
        </w:rPr>
        <w:t>收取认购</w:t>
      </w:r>
      <w:r>
        <w:rPr>
          <w:rFonts w:ascii="宋体" w:hAnsi="Calibri"/>
          <w:b/>
          <w:szCs w:val="21"/>
          <w:highlight w:val="white"/>
          <w:lang w:eastAsia="zh-CN"/>
        </w:rPr>
        <w:t>/</w:t>
      </w:r>
      <w:r>
        <w:rPr>
          <w:rFonts w:ascii="宋体" w:hAnsi="Calibri" w:hint="eastAsia"/>
          <w:b/>
          <w:szCs w:val="21"/>
          <w:highlight w:val="white"/>
          <w:lang w:eastAsia="zh-CN"/>
        </w:rPr>
        <w:t>申购费用，在持有期间不收取销售服务费；</w:t>
      </w:r>
      <w:r>
        <w:rPr>
          <w:rFonts w:ascii="宋体" w:hAnsi="Calibri"/>
          <w:b/>
          <w:szCs w:val="21"/>
          <w:highlight w:val="white"/>
          <w:lang w:eastAsia="zh-CN"/>
        </w:rPr>
        <w:t>C</w:t>
      </w:r>
      <w:r>
        <w:rPr>
          <w:rFonts w:ascii="宋体" w:hAnsi="Calibri" w:hint="eastAsia"/>
          <w:b/>
          <w:szCs w:val="21"/>
          <w:highlight w:val="white"/>
          <w:lang w:eastAsia="zh-CN"/>
        </w:rPr>
        <w:t>类基金份额在投资人认购</w:t>
      </w:r>
      <w:r>
        <w:rPr>
          <w:rFonts w:ascii="宋体" w:hAnsi="Calibri"/>
          <w:b/>
          <w:szCs w:val="21"/>
          <w:highlight w:val="white"/>
          <w:lang w:eastAsia="zh-CN"/>
        </w:rPr>
        <w:t>/</w:t>
      </w:r>
      <w:r>
        <w:rPr>
          <w:rFonts w:ascii="宋体" w:hAnsi="Calibri" w:hint="eastAsia"/>
          <w:b/>
          <w:szCs w:val="21"/>
          <w:highlight w:val="white"/>
          <w:lang w:eastAsia="zh-CN"/>
        </w:rPr>
        <w:t>申购时不收取认购</w:t>
      </w:r>
      <w:r>
        <w:rPr>
          <w:rFonts w:ascii="宋体" w:hAnsi="Calibri"/>
          <w:b/>
          <w:szCs w:val="21"/>
          <w:highlight w:val="white"/>
          <w:lang w:eastAsia="zh-CN"/>
        </w:rPr>
        <w:t>/</w:t>
      </w:r>
      <w:r>
        <w:rPr>
          <w:rFonts w:ascii="宋体" w:hAnsi="Calibri" w:hint="eastAsia"/>
          <w:b/>
          <w:szCs w:val="21"/>
          <w:highlight w:val="white"/>
          <w:lang w:eastAsia="zh-CN"/>
        </w:rPr>
        <w:t>申购费用，在持有期间计提销售服务费</w:t>
      </w:r>
      <w:r>
        <w:rPr>
          <w:rFonts w:ascii="宋体" w:hAnsi="宋体" w:cs="宋体" w:hint="eastAsia"/>
          <w:b/>
          <w:highlight w:val="white"/>
          <w:lang w:eastAsia="zh-CN"/>
        </w:rPr>
        <w:t>并按规定收取或返还</w:t>
      </w:r>
      <w:r>
        <w:rPr>
          <w:rFonts w:ascii="宋体" w:hAnsi="Calibri" w:hint="eastAsia"/>
          <w:b/>
          <w:szCs w:val="21"/>
          <w:highlight w:val="white"/>
          <w:lang w:eastAsia="zh-CN"/>
        </w:rPr>
        <w:t>。</w:t>
      </w:r>
    </w:p>
    <w:p w:rsidR="002B1026">
      <w:pPr>
        <w:snapToGrid w:val="0"/>
        <w:spacing w:line="360" w:lineRule="auto"/>
        <w:ind w:firstLine="420"/>
        <w:rPr>
          <w:rFonts w:ascii="宋体" w:hAnsi="Calibri"/>
          <w:szCs w:val="21"/>
          <w:lang w:eastAsia="zh-CN"/>
        </w:rPr>
      </w:pPr>
      <w:r>
        <w:rPr>
          <w:rFonts w:ascii="宋体" w:hAnsi="Calibri"/>
          <w:b/>
          <w:szCs w:val="21"/>
          <w:highlight w:val="white"/>
          <w:lang w:eastAsia="zh-CN"/>
        </w:rPr>
        <w:t>9</w:t>
      </w:r>
      <w:r>
        <w:rPr>
          <w:rFonts w:ascii="宋体" w:hAnsi="Calibri" w:hint="eastAsia"/>
          <w:b/>
          <w:szCs w:val="21"/>
          <w:highlight w:val="white"/>
          <w:lang w:eastAsia="zh-CN"/>
        </w:rPr>
        <w:t>、基金管理人提醒投资者基金投资的“买者自负”原则，在投资者作出投资决策后，基金运营状况与基金净值变化引致的投资风险，由投资者自行负责。此外，本基金以1元初始面值进行募集，在市场波动等因素的影响下，存在单位份额净值跌破1元初始面值的风险。</w:t>
      </w:r>
    </w:p>
    <w:p w:rsidR="002B1026">
      <w:pPr>
        <w:spacing w:line="360" w:lineRule="auto"/>
        <w:ind w:firstLine="420"/>
        <w:rPr>
          <w:rFonts w:ascii="宋体" w:hAnsi="Calibri"/>
          <w:b/>
          <w:szCs w:val="21"/>
          <w:lang w:eastAsia="zh-CN"/>
        </w:rPr>
      </w:pPr>
      <w:r>
        <w:rPr>
          <w:rFonts w:ascii="宋体" w:hAnsi="Calibri"/>
          <w:b/>
          <w:szCs w:val="21"/>
          <w:highlight w:val="white"/>
          <w:lang w:eastAsia="zh-CN"/>
        </w:rPr>
        <w:t>10</w:t>
      </w:r>
      <w:r>
        <w:rPr>
          <w:rFonts w:ascii="宋体" w:hAnsi="Calibri" w:hint="eastAsia"/>
          <w:b/>
          <w:szCs w:val="21"/>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2B1026">
      <w:pPr>
        <w:spacing w:line="360" w:lineRule="auto"/>
        <w:ind w:firstLine="420"/>
        <w:rPr>
          <w:rFonts w:ascii="宋体" w:hAnsi="Calibri"/>
          <w:b/>
          <w:szCs w:val="21"/>
          <w:lang w:eastAsia="zh-CN"/>
        </w:rPr>
      </w:pPr>
      <w:r>
        <w:rPr>
          <w:rFonts w:ascii="宋体" w:hAnsi="Calibri"/>
          <w:b/>
          <w:szCs w:val="21"/>
          <w:highlight w:val="white"/>
          <w:lang w:eastAsia="zh-CN"/>
        </w:rPr>
        <w:t>11</w:t>
      </w:r>
      <w:r>
        <w:rPr>
          <w:rFonts w:ascii="宋体" w:hAnsi="Calibri" w:hint="eastAsia"/>
          <w:b/>
          <w:szCs w:val="21"/>
          <w:highlight w:val="white"/>
          <w:lang w:eastAsia="zh-CN"/>
        </w:rPr>
        <w:t>、基金的过往业绩并不预示其未来表现，基金管理人管理的其他基金的业绩并不构成对本基金表现的保证。</w:t>
      </w:r>
    </w:p>
    <w:p w:rsidR="002B1026">
      <w:pPr>
        <w:spacing w:line="360" w:lineRule="auto"/>
        <w:ind w:firstLine="420"/>
        <w:rPr>
          <w:rFonts w:ascii="宋体" w:hAnsi="Calibri"/>
          <w:b/>
          <w:szCs w:val="21"/>
          <w:lang w:eastAsia="zh-CN"/>
        </w:rPr>
      </w:pPr>
    </w:p>
    <w:p w:rsidR="002B1026">
      <w:pPr>
        <w:snapToGrid w:val="0"/>
        <w:spacing w:before="100" w:after="100" w:line="360" w:lineRule="auto"/>
        <w:jc w:val="center"/>
        <w:rPr>
          <w:rFonts w:ascii="宋体" w:hAnsi="Calibri"/>
          <w:sz w:val="30"/>
        </w:rPr>
      </w:pPr>
      <w:r>
        <w:rPr>
          <w:rFonts w:ascii="宋体" w:hAnsi="Calibri" w:hint="eastAsia"/>
          <w:b/>
          <w:szCs w:val="21"/>
          <w:highlight w:val="white"/>
          <w:lang w:eastAsia="zh-CN"/>
        </w:rPr>
        <w:br w:type="column"/>
      </w:r>
      <w:r>
        <w:rPr>
          <w:rFonts w:ascii="宋体" w:hAnsi="Calibri" w:hint="eastAsia"/>
          <w:sz w:val="30"/>
          <w:highlight w:val="white"/>
        </w:rPr>
        <w:t>目     录</w:t>
      </w:r>
    </w:p>
    <w:p w:rsidR="002B1026">
      <w:pPr>
        <w:snapToGrid w:val="0"/>
        <w:spacing w:before="100" w:after="100" w:line="320" w:lineRule="exact"/>
        <w:ind w:firstLine="480"/>
        <w:jc w:val="center"/>
        <w:rPr>
          <w:rFonts w:ascii="宋体" w:hAnsi="Calibri"/>
          <w:b/>
        </w:rPr>
      </w:pPr>
    </w:p>
    <w:p w:rsidR="009D66CD">
      <w:pPr>
        <w:pStyle w:val="TOC1"/>
        <w:rPr>
          <w:rFonts w:asciiTheme="minorHAnsi" w:eastAsiaTheme="minorEastAsia" w:hAnsiTheme="minorHAnsi" w:cstheme="minorBidi"/>
          <w:caps w:val="0"/>
          <w:noProof/>
          <w:color w:val="auto"/>
          <w:kern w:val="2"/>
          <w:sz w:val="21"/>
          <w:szCs w:val="22"/>
          <w:lang w:eastAsia="zh-CN"/>
        </w:rPr>
      </w:pPr>
      <w:r>
        <w:rPr>
          <w:rFonts w:eastAsia="宋体" w:hAnsi="Calibri"/>
          <w:b/>
          <w:color w:val="auto"/>
        </w:rPr>
        <w:fldChar w:fldCharType="begin"/>
      </w:r>
      <w:r>
        <w:rPr>
          <w:rFonts w:eastAsia="宋体" w:hAnsi="Calibri"/>
          <w:b/>
          <w:color w:val="auto"/>
          <w:highlight w:val="white"/>
        </w:rPr>
        <w:instrText xml:space="preserve"> TOC \o "1-1" \h \z \u </w:instrText>
      </w:r>
      <w:r>
        <w:rPr>
          <w:rFonts w:eastAsia="宋体" w:hAnsi="Calibri"/>
          <w:b/>
          <w:color w:val="auto"/>
        </w:rPr>
        <w:fldChar w:fldCharType="separate"/>
      </w:r>
      <w:hyperlink w:anchor="_Toc227311234" w:history="1">
        <w:r w:rsidRPr="0027797C">
          <w:rPr>
            <w:rStyle w:val="Hyperlink"/>
            <w:rFonts w:eastAsia="宋体" w:hAnsi="Calibri" w:hint="eastAsia"/>
            <w:noProof/>
            <w:highlight w:val="white"/>
            <w:lang w:eastAsia="zh-CN"/>
          </w:rPr>
          <w:t>第一部分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绪</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言</w:t>
        </w:r>
        <w:r>
          <w:rPr>
            <w:noProof/>
            <w:webHidden/>
          </w:rPr>
          <w:tab/>
        </w:r>
        <w:r>
          <w:rPr>
            <w:noProof/>
            <w:webHidden/>
          </w:rPr>
          <w:fldChar w:fldCharType="begin"/>
        </w:r>
        <w:r>
          <w:rPr>
            <w:noProof/>
            <w:webHidden/>
          </w:rPr>
          <w:instrText xml:space="preserve"> PAGEREF _Toc227311234 \h </w:instrText>
        </w:r>
        <w:r>
          <w:rPr>
            <w:noProof/>
            <w:webHidden/>
          </w:rPr>
          <w:fldChar w:fldCharType="separate"/>
        </w:r>
        <w:r>
          <w:rPr>
            <w:noProof/>
            <w:webHidden/>
          </w:rPr>
          <w:t>1</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35" w:history="1">
        <w:r w:rsidRPr="0027797C">
          <w:rPr>
            <w:rStyle w:val="Hyperlink"/>
            <w:rFonts w:eastAsia="宋体" w:hAnsi="Calibri" w:hint="eastAsia"/>
            <w:noProof/>
            <w:highlight w:val="white"/>
            <w:lang w:eastAsia="zh-CN"/>
          </w:rPr>
          <w:t>第二部分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释</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义</w:t>
        </w:r>
        <w:r>
          <w:rPr>
            <w:noProof/>
            <w:webHidden/>
          </w:rPr>
          <w:tab/>
        </w:r>
        <w:r>
          <w:rPr>
            <w:noProof/>
            <w:webHidden/>
          </w:rPr>
          <w:fldChar w:fldCharType="begin"/>
        </w:r>
        <w:r>
          <w:rPr>
            <w:noProof/>
            <w:webHidden/>
          </w:rPr>
          <w:instrText xml:space="preserve"> PAGEREF _Toc227311235 \h </w:instrText>
        </w:r>
        <w:r>
          <w:rPr>
            <w:noProof/>
            <w:webHidden/>
          </w:rPr>
          <w:fldChar w:fldCharType="separate"/>
        </w:r>
        <w:r>
          <w:rPr>
            <w:noProof/>
            <w:webHidden/>
          </w:rPr>
          <w:t>2</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36" w:history="1">
        <w:r w:rsidRPr="0027797C">
          <w:rPr>
            <w:rStyle w:val="Hyperlink"/>
            <w:rFonts w:eastAsia="宋体" w:hAnsi="Calibri" w:hint="eastAsia"/>
            <w:noProof/>
            <w:highlight w:val="white"/>
            <w:lang w:eastAsia="zh-CN"/>
          </w:rPr>
          <w:t>第三部分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基金管理人</w:t>
        </w:r>
        <w:r>
          <w:rPr>
            <w:noProof/>
            <w:webHidden/>
          </w:rPr>
          <w:tab/>
        </w:r>
        <w:r>
          <w:rPr>
            <w:noProof/>
            <w:webHidden/>
          </w:rPr>
          <w:fldChar w:fldCharType="begin"/>
        </w:r>
        <w:r>
          <w:rPr>
            <w:noProof/>
            <w:webHidden/>
          </w:rPr>
          <w:instrText xml:space="preserve"> PAGEREF _Toc227311236 \h </w:instrText>
        </w:r>
        <w:r>
          <w:rPr>
            <w:noProof/>
            <w:webHidden/>
          </w:rPr>
          <w:fldChar w:fldCharType="separate"/>
        </w:r>
        <w:r>
          <w:rPr>
            <w:noProof/>
            <w:webHidden/>
          </w:rPr>
          <w:t>7</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37" w:history="1">
        <w:r w:rsidRPr="0027797C">
          <w:rPr>
            <w:rStyle w:val="Hyperlink"/>
            <w:rFonts w:eastAsia="宋体" w:hAnsi="Calibri" w:hint="eastAsia"/>
            <w:noProof/>
            <w:highlight w:val="white"/>
            <w:lang w:eastAsia="zh-CN"/>
          </w:rPr>
          <w:t>第四部分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基金托管人</w:t>
        </w:r>
        <w:r>
          <w:rPr>
            <w:noProof/>
            <w:webHidden/>
          </w:rPr>
          <w:tab/>
        </w:r>
        <w:r>
          <w:rPr>
            <w:noProof/>
            <w:webHidden/>
          </w:rPr>
          <w:fldChar w:fldCharType="begin"/>
        </w:r>
        <w:r>
          <w:rPr>
            <w:noProof/>
            <w:webHidden/>
          </w:rPr>
          <w:instrText xml:space="preserve"> PAGEREF _Toc227311237 \h </w:instrText>
        </w:r>
        <w:r>
          <w:rPr>
            <w:noProof/>
            <w:webHidden/>
          </w:rPr>
          <w:fldChar w:fldCharType="separate"/>
        </w:r>
        <w:r>
          <w:rPr>
            <w:noProof/>
            <w:webHidden/>
          </w:rPr>
          <w:t>19</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38" w:history="1">
        <w:r w:rsidRPr="0027797C">
          <w:rPr>
            <w:rStyle w:val="Hyperlink"/>
            <w:rFonts w:eastAsia="宋体" w:hAnsi="Calibri" w:hint="eastAsia"/>
            <w:noProof/>
            <w:highlight w:val="white"/>
            <w:lang w:eastAsia="zh-CN"/>
          </w:rPr>
          <w:t>第五部分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相关服务机构</w:t>
        </w:r>
        <w:r>
          <w:rPr>
            <w:noProof/>
            <w:webHidden/>
          </w:rPr>
          <w:tab/>
        </w:r>
        <w:r>
          <w:rPr>
            <w:noProof/>
            <w:webHidden/>
          </w:rPr>
          <w:fldChar w:fldCharType="begin"/>
        </w:r>
        <w:r>
          <w:rPr>
            <w:noProof/>
            <w:webHidden/>
          </w:rPr>
          <w:instrText xml:space="preserve"> PAGEREF _Toc227311238 \h </w:instrText>
        </w:r>
        <w:r>
          <w:rPr>
            <w:noProof/>
            <w:webHidden/>
          </w:rPr>
          <w:fldChar w:fldCharType="separate"/>
        </w:r>
        <w:r>
          <w:rPr>
            <w:noProof/>
            <w:webHidden/>
          </w:rPr>
          <w:t>23</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39" w:history="1">
        <w:r w:rsidRPr="0027797C">
          <w:rPr>
            <w:rStyle w:val="Hyperlink"/>
            <w:rFonts w:eastAsia="宋体" w:hAnsi="Calibri" w:hint="eastAsia"/>
            <w:noProof/>
            <w:highlight w:val="white"/>
            <w:lang w:eastAsia="zh-CN"/>
          </w:rPr>
          <w:t>第六部分</w:t>
        </w:r>
        <w:r w:rsidRPr="0027797C">
          <w:rPr>
            <w:rStyle w:val="Hyperlink"/>
            <w:rFonts w:eastAsia="宋体" w:hAnsi="Calibri"/>
            <w:noProof/>
            <w:highlight w:val="white"/>
            <w:lang w:eastAsia="zh-CN"/>
          </w:rPr>
          <w:t xml:space="preserve"> </w:t>
        </w:r>
        <w:r w:rsidRPr="0027797C">
          <w:rPr>
            <w:rStyle w:val="Hyperlink"/>
            <w:rFonts w:eastAsia="宋体" w:hAnsi="Calibri" w:hint="eastAsia"/>
            <w:bCs/>
            <w:noProof/>
            <w:highlight w:val="white"/>
            <w:lang w:eastAsia="zh-CN"/>
          </w:rPr>
          <w:t>基金份额的分类</w:t>
        </w:r>
        <w:r>
          <w:rPr>
            <w:noProof/>
            <w:webHidden/>
          </w:rPr>
          <w:tab/>
        </w:r>
        <w:r>
          <w:rPr>
            <w:noProof/>
            <w:webHidden/>
          </w:rPr>
          <w:fldChar w:fldCharType="begin"/>
        </w:r>
        <w:r>
          <w:rPr>
            <w:noProof/>
            <w:webHidden/>
          </w:rPr>
          <w:instrText xml:space="preserve"> PAGEREF _Toc227311239 \h </w:instrText>
        </w:r>
        <w:r>
          <w:rPr>
            <w:noProof/>
            <w:webHidden/>
          </w:rPr>
          <w:fldChar w:fldCharType="separate"/>
        </w:r>
        <w:r>
          <w:rPr>
            <w:noProof/>
            <w:webHidden/>
          </w:rPr>
          <w:t>25</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40" w:history="1">
        <w:r w:rsidRPr="0027797C">
          <w:rPr>
            <w:rStyle w:val="Hyperlink"/>
            <w:rFonts w:eastAsia="宋体" w:hAnsi="Calibri" w:hint="eastAsia"/>
            <w:bCs/>
            <w:noProof/>
            <w:highlight w:val="white"/>
            <w:lang w:eastAsia="zh-CN"/>
          </w:rPr>
          <w:t>第七部分</w:t>
        </w:r>
        <w:r w:rsidRPr="0027797C">
          <w:rPr>
            <w:rStyle w:val="Hyperlink"/>
            <w:rFonts w:eastAsia="宋体" w:hAnsi="Calibri"/>
            <w:bCs/>
            <w:noProof/>
            <w:highlight w:val="white"/>
            <w:lang w:eastAsia="zh-CN"/>
          </w:rPr>
          <w:t xml:space="preserve"> </w:t>
        </w:r>
        <w:r w:rsidRPr="0027797C">
          <w:rPr>
            <w:rStyle w:val="Hyperlink"/>
            <w:rFonts w:eastAsia="宋体" w:hAnsi="Calibri" w:hint="eastAsia"/>
            <w:bCs/>
            <w:noProof/>
            <w:highlight w:val="white"/>
            <w:lang w:eastAsia="zh-CN"/>
          </w:rPr>
          <w:t>基金的募集安排</w:t>
        </w:r>
        <w:r>
          <w:rPr>
            <w:noProof/>
            <w:webHidden/>
          </w:rPr>
          <w:tab/>
        </w:r>
        <w:r>
          <w:rPr>
            <w:noProof/>
            <w:webHidden/>
          </w:rPr>
          <w:fldChar w:fldCharType="begin"/>
        </w:r>
        <w:r>
          <w:rPr>
            <w:noProof/>
            <w:webHidden/>
          </w:rPr>
          <w:instrText xml:space="preserve"> PAGEREF _Toc227311240 \h </w:instrText>
        </w:r>
        <w:r>
          <w:rPr>
            <w:noProof/>
            <w:webHidden/>
          </w:rPr>
          <w:fldChar w:fldCharType="separate"/>
        </w:r>
        <w:r>
          <w:rPr>
            <w:noProof/>
            <w:webHidden/>
          </w:rPr>
          <w:t>26</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41" w:history="1">
        <w:r w:rsidRPr="0027797C">
          <w:rPr>
            <w:rStyle w:val="Hyperlink"/>
            <w:rFonts w:eastAsia="宋体" w:hAnsi="Calibri" w:hint="eastAsia"/>
            <w:bCs/>
            <w:noProof/>
            <w:highlight w:val="white"/>
            <w:lang w:eastAsia="zh-CN"/>
          </w:rPr>
          <w:t>第八部分</w:t>
        </w:r>
        <w:r w:rsidRPr="0027797C">
          <w:rPr>
            <w:rStyle w:val="Hyperlink"/>
            <w:rFonts w:eastAsia="宋体" w:hAnsi="Calibri"/>
            <w:bCs/>
            <w:noProof/>
            <w:highlight w:val="white"/>
            <w:lang w:eastAsia="zh-CN"/>
          </w:rPr>
          <w:t xml:space="preserve"> </w:t>
        </w:r>
        <w:r w:rsidRPr="0027797C">
          <w:rPr>
            <w:rStyle w:val="Hyperlink"/>
            <w:rFonts w:eastAsia="宋体" w:hAnsi="Calibri" w:hint="eastAsia"/>
            <w:bCs/>
            <w:noProof/>
            <w:highlight w:val="white"/>
            <w:lang w:eastAsia="zh-CN"/>
          </w:rPr>
          <w:t>基金合同的生效</w:t>
        </w:r>
        <w:r>
          <w:rPr>
            <w:noProof/>
            <w:webHidden/>
          </w:rPr>
          <w:tab/>
        </w:r>
        <w:r>
          <w:rPr>
            <w:noProof/>
            <w:webHidden/>
          </w:rPr>
          <w:fldChar w:fldCharType="begin"/>
        </w:r>
        <w:r>
          <w:rPr>
            <w:noProof/>
            <w:webHidden/>
          </w:rPr>
          <w:instrText xml:space="preserve"> PAGEREF _Toc227311241 \h </w:instrText>
        </w:r>
        <w:r>
          <w:rPr>
            <w:noProof/>
            <w:webHidden/>
          </w:rPr>
          <w:fldChar w:fldCharType="separate"/>
        </w:r>
        <w:r>
          <w:rPr>
            <w:noProof/>
            <w:webHidden/>
          </w:rPr>
          <w:t>30</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42" w:history="1">
        <w:r w:rsidRPr="0027797C">
          <w:rPr>
            <w:rStyle w:val="Hyperlink"/>
            <w:rFonts w:eastAsia="宋体" w:hAnsi="Calibri" w:hint="eastAsia"/>
            <w:bCs/>
            <w:noProof/>
            <w:highlight w:val="white"/>
            <w:lang w:eastAsia="zh-CN"/>
          </w:rPr>
          <w:t>第</w:t>
        </w:r>
        <w:r w:rsidRPr="0027797C">
          <w:rPr>
            <w:rStyle w:val="Hyperlink"/>
            <w:rFonts w:eastAsia="宋体" w:hAnsi="Calibri" w:hint="eastAsia"/>
            <w:noProof/>
            <w:highlight w:val="white"/>
            <w:lang w:eastAsia="zh-CN"/>
          </w:rPr>
          <w:t>九</w:t>
        </w:r>
        <w:r w:rsidRPr="0027797C">
          <w:rPr>
            <w:rStyle w:val="Hyperlink"/>
            <w:rFonts w:eastAsia="宋体" w:hAnsi="Calibri" w:hint="eastAsia"/>
            <w:bCs/>
            <w:noProof/>
            <w:highlight w:val="white"/>
            <w:lang w:eastAsia="zh-CN"/>
          </w:rPr>
          <w:t>部分</w:t>
        </w:r>
        <w:r w:rsidRPr="0027797C">
          <w:rPr>
            <w:rStyle w:val="Hyperlink"/>
            <w:rFonts w:eastAsia="宋体" w:hAnsi="Calibri"/>
            <w:bCs/>
            <w:noProof/>
            <w:highlight w:val="white"/>
            <w:lang w:eastAsia="zh-CN"/>
          </w:rPr>
          <w:t xml:space="preserve"> </w:t>
        </w:r>
        <w:r w:rsidRPr="0027797C">
          <w:rPr>
            <w:rStyle w:val="Hyperlink"/>
            <w:rFonts w:eastAsia="宋体" w:hAnsi="Calibri" w:hint="eastAsia"/>
            <w:bCs/>
            <w:noProof/>
            <w:highlight w:val="white"/>
            <w:lang w:eastAsia="zh-CN"/>
          </w:rPr>
          <w:t>基金份额的申购、赎回</w:t>
        </w:r>
        <w:r>
          <w:rPr>
            <w:noProof/>
            <w:webHidden/>
          </w:rPr>
          <w:tab/>
        </w:r>
        <w:r>
          <w:rPr>
            <w:noProof/>
            <w:webHidden/>
          </w:rPr>
          <w:fldChar w:fldCharType="begin"/>
        </w:r>
        <w:r>
          <w:rPr>
            <w:noProof/>
            <w:webHidden/>
          </w:rPr>
          <w:instrText xml:space="preserve"> PAGEREF _Toc227311242 \h </w:instrText>
        </w:r>
        <w:r>
          <w:rPr>
            <w:noProof/>
            <w:webHidden/>
          </w:rPr>
          <w:fldChar w:fldCharType="separate"/>
        </w:r>
        <w:r>
          <w:rPr>
            <w:noProof/>
            <w:webHidden/>
          </w:rPr>
          <w:t>31</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43" w:history="1">
        <w:r w:rsidRPr="0027797C">
          <w:rPr>
            <w:rStyle w:val="Hyperlink"/>
            <w:rFonts w:eastAsia="宋体" w:hAnsi="Calibri" w:hint="eastAsia"/>
            <w:noProof/>
            <w:highlight w:val="white"/>
            <w:lang w:eastAsia="zh-CN"/>
          </w:rPr>
          <w:t>第十部分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基金转换和定期定额投资计划</w:t>
        </w:r>
        <w:r>
          <w:rPr>
            <w:noProof/>
            <w:webHidden/>
          </w:rPr>
          <w:tab/>
        </w:r>
        <w:r>
          <w:rPr>
            <w:noProof/>
            <w:webHidden/>
          </w:rPr>
          <w:fldChar w:fldCharType="begin"/>
        </w:r>
        <w:r>
          <w:rPr>
            <w:noProof/>
            <w:webHidden/>
          </w:rPr>
          <w:instrText xml:space="preserve"> PAGEREF _Toc227311243 \h </w:instrText>
        </w:r>
        <w:r>
          <w:rPr>
            <w:noProof/>
            <w:webHidden/>
          </w:rPr>
          <w:fldChar w:fldCharType="separate"/>
        </w:r>
        <w:r>
          <w:rPr>
            <w:noProof/>
            <w:webHidden/>
          </w:rPr>
          <w:t>41</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44" w:history="1">
        <w:r w:rsidRPr="0027797C">
          <w:rPr>
            <w:rStyle w:val="Hyperlink"/>
            <w:rFonts w:eastAsia="宋体" w:hAnsi="Calibri" w:hint="eastAsia"/>
            <w:noProof/>
            <w:highlight w:val="white"/>
            <w:lang w:eastAsia="zh-CN"/>
          </w:rPr>
          <w:t>第十一部分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基金的转托管、质押、非交易过户、冻结与解冻</w:t>
        </w:r>
        <w:r>
          <w:rPr>
            <w:noProof/>
            <w:webHidden/>
          </w:rPr>
          <w:tab/>
        </w:r>
        <w:r>
          <w:rPr>
            <w:noProof/>
            <w:webHidden/>
          </w:rPr>
          <w:fldChar w:fldCharType="begin"/>
        </w:r>
        <w:r>
          <w:rPr>
            <w:noProof/>
            <w:webHidden/>
          </w:rPr>
          <w:instrText xml:space="preserve"> PAGEREF _Toc227311244 \h </w:instrText>
        </w:r>
        <w:r>
          <w:rPr>
            <w:noProof/>
            <w:webHidden/>
          </w:rPr>
          <w:fldChar w:fldCharType="separate"/>
        </w:r>
        <w:r>
          <w:rPr>
            <w:noProof/>
            <w:webHidden/>
          </w:rPr>
          <w:t>42</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45" w:history="1">
        <w:r w:rsidRPr="0027797C">
          <w:rPr>
            <w:rStyle w:val="Hyperlink"/>
            <w:rFonts w:eastAsia="宋体" w:hAnsi="Calibri" w:hint="eastAsia"/>
            <w:noProof/>
            <w:highlight w:val="white"/>
            <w:lang w:eastAsia="zh-CN"/>
          </w:rPr>
          <w:t>第十二部分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基金的投资</w:t>
        </w:r>
        <w:r>
          <w:rPr>
            <w:noProof/>
            <w:webHidden/>
          </w:rPr>
          <w:tab/>
        </w:r>
        <w:r>
          <w:rPr>
            <w:noProof/>
            <w:webHidden/>
          </w:rPr>
          <w:fldChar w:fldCharType="begin"/>
        </w:r>
        <w:r>
          <w:rPr>
            <w:noProof/>
            <w:webHidden/>
          </w:rPr>
          <w:instrText xml:space="preserve"> PAGEREF _Toc227311245 \h </w:instrText>
        </w:r>
        <w:r>
          <w:rPr>
            <w:noProof/>
            <w:webHidden/>
          </w:rPr>
          <w:fldChar w:fldCharType="separate"/>
        </w:r>
        <w:r>
          <w:rPr>
            <w:noProof/>
            <w:webHidden/>
          </w:rPr>
          <w:t>43</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46" w:history="1">
        <w:r w:rsidRPr="0027797C">
          <w:rPr>
            <w:rStyle w:val="Hyperlink"/>
            <w:rFonts w:eastAsia="宋体" w:hAnsi="Calibri" w:hint="eastAsia"/>
            <w:noProof/>
            <w:highlight w:val="white"/>
            <w:lang w:eastAsia="zh-CN"/>
          </w:rPr>
          <w:t>第十三部分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本基金投资于基金管理人所管理基金的原则及方法</w:t>
        </w:r>
        <w:r>
          <w:rPr>
            <w:noProof/>
            <w:webHidden/>
          </w:rPr>
          <w:tab/>
        </w:r>
        <w:r>
          <w:rPr>
            <w:noProof/>
            <w:webHidden/>
          </w:rPr>
          <w:fldChar w:fldCharType="begin"/>
        </w:r>
        <w:r>
          <w:rPr>
            <w:noProof/>
            <w:webHidden/>
          </w:rPr>
          <w:instrText xml:space="preserve"> PAGEREF _Toc227311246 \h </w:instrText>
        </w:r>
        <w:r>
          <w:rPr>
            <w:noProof/>
            <w:webHidden/>
          </w:rPr>
          <w:fldChar w:fldCharType="separate"/>
        </w:r>
        <w:r>
          <w:rPr>
            <w:noProof/>
            <w:webHidden/>
          </w:rPr>
          <w:t>53</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47" w:history="1">
        <w:r w:rsidRPr="0027797C">
          <w:rPr>
            <w:rStyle w:val="Hyperlink"/>
            <w:rFonts w:eastAsia="宋体" w:hAnsi="Calibri" w:hint="eastAsia"/>
            <w:noProof/>
            <w:highlight w:val="white"/>
            <w:lang w:eastAsia="zh-CN"/>
          </w:rPr>
          <w:t>第十四部分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基金的财产</w:t>
        </w:r>
        <w:r>
          <w:rPr>
            <w:noProof/>
            <w:webHidden/>
          </w:rPr>
          <w:tab/>
        </w:r>
        <w:r>
          <w:rPr>
            <w:noProof/>
            <w:webHidden/>
          </w:rPr>
          <w:fldChar w:fldCharType="begin"/>
        </w:r>
        <w:r>
          <w:rPr>
            <w:noProof/>
            <w:webHidden/>
          </w:rPr>
          <w:instrText xml:space="preserve"> PAGEREF _Toc227311247 \h </w:instrText>
        </w:r>
        <w:r>
          <w:rPr>
            <w:noProof/>
            <w:webHidden/>
          </w:rPr>
          <w:fldChar w:fldCharType="separate"/>
        </w:r>
        <w:r>
          <w:rPr>
            <w:noProof/>
            <w:webHidden/>
          </w:rPr>
          <w:t>55</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48" w:history="1">
        <w:r w:rsidRPr="0027797C">
          <w:rPr>
            <w:rStyle w:val="Hyperlink"/>
            <w:rFonts w:eastAsia="宋体" w:hAnsi="Calibri" w:hint="eastAsia"/>
            <w:noProof/>
            <w:highlight w:val="white"/>
            <w:lang w:eastAsia="zh-CN"/>
          </w:rPr>
          <w:t>第十五部分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基金资产的估值</w:t>
        </w:r>
        <w:r>
          <w:rPr>
            <w:noProof/>
            <w:webHidden/>
          </w:rPr>
          <w:tab/>
        </w:r>
        <w:r>
          <w:rPr>
            <w:noProof/>
            <w:webHidden/>
          </w:rPr>
          <w:fldChar w:fldCharType="begin"/>
        </w:r>
        <w:r>
          <w:rPr>
            <w:noProof/>
            <w:webHidden/>
          </w:rPr>
          <w:instrText xml:space="preserve"> PAGEREF _Toc227311248 \h </w:instrText>
        </w:r>
        <w:r>
          <w:rPr>
            <w:noProof/>
            <w:webHidden/>
          </w:rPr>
          <w:fldChar w:fldCharType="separate"/>
        </w:r>
        <w:r>
          <w:rPr>
            <w:noProof/>
            <w:webHidden/>
          </w:rPr>
          <w:t>56</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49" w:history="1">
        <w:r w:rsidRPr="0027797C">
          <w:rPr>
            <w:rStyle w:val="Hyperlink"/>
            <w:rFonts w:eastAsia="宋体" w:hAnsi="Calibri" w:hint="eastAsia"/>
            <w:noProof/>
            <w:highlight w:val="white"/>
            <w:lang w:eastAsia="zh-CN"/>
          </w:rPr>
          <w:t>第十六部分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基金的收益分配</w:t>
        </w:r>
        <w:r>
          <w:rPr>
            <w:noProof/>
            <w:webHidden/>
          </w:rPr>
          <w:tab/>
        </w:r>
        <w:r>
          <w:rPr>
            <w:noProof/>
            <w:webHidden/>
          </w:rPr>
          <w:fldChar w:fldCharType="begin"/>
        </w:r>
        <w:r>
          <w:rPr>
            <w:noProof/>
            <w:webHidden/>
          </w:rPr>
          <w:instrText xml:space="preserve"> PAGEREF _Toc227311249 \h </w:instrText>
        </w:r>
        <w:r>
          <w:rPr>
            <w:noProof/>
            <w:webHidden/>
          </w:rPr>
          <w:fldChar w:fldCharType="separate"/>
        </w:r>
        <w:r>
          <w:rPr>
            <w:noProof/>
            <w:webHidden/>
          </w:rPr>
          <w:t>62</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50" w:history="1">
        <w:r w:rsidRPr="0027797C">
          <w:rPr>
            <w:rStyle w:val="Hyperlink"/>
            <w:rFonts w:eastAsia="宋体" w:hAnsi="Calibri" w:hint="eastAsia"/>
            <w:noProof/>
            <w:highlight w:val="white"/>
            <w:lang w:eastAsia="zh-CN"/>
          </w:rPr>
          <w:t>第十七部分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基金的费用与税收</w:t>
        </w:r>
        <w:r>
          <w:rPr>
            <w:noProof/>
            <w:webHidden/>
          </w:rPr>
          <w:tab/>
        </w:r>
        <w:r>
          <w:rPr>
            <w:noProof/>
            <w:webHidden/>
          </w:rPr>
          <w:fldChar w:fldCharType="begin"/>
        </w:r>
        <w:r>
          <w:rPr>
            <w:noProof/>
            <w:webHidden/>
          </w:rPr>
          <w:instrText xml:space="preserve"> PAGEREF _Toc227311250 \h </w:instrText>
        </w:r>
        <w:r>
          <w:rPr>
            <w:noProof/>
            <w:webHidden/>
          </w:rPr>
          <w:fldChar w:fldCharType="separate"/>
        </w:r>
        <w:r>
          <w:rPr>
            <w:noProof/>
            <w:webHidden/>
          </w:rPr>
          <w:t>64</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51" w:history="1">
        <w:r w:rsidRPr="0027797C">
          <w:rPr>
            <w:rStyle w:val="Hyperlink"/>
            <w:rFonts w:eastAsia="宋体" w:hAnsi="Calibri" w:hint="eastAsia"/>
            <w:noProof/>
            <w:highlight w:val="white"/>
            <w:lang w:eastAsia="zh-CN"/>
          </w:rPr>
          <w:t>第十八部分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基金的会计与审计</w:t>
        </w:r>
        <w:r>
          <w:rPr>
            <w:noProof/>
            <w:webHidden/>
          </w:rPr>
          <w:tab/>
        </w:r>
        <w:r>
          <w:rPr>
            <w:noProof/>
            <w:webHidden/>
          </w:rPr>
          <w:fldChar w:fldCharType="begin"/>
        </w:r>
        <w:r>
          <w:rPr>
            <w:noProof/>
            <w:webHidden/>
          </w:rPr>
          <w:instrText xml:space="preserve"> PAGEREF _Toc227311251 \h </w:instrText>
        </w:r>
        <w:r>
          <w:rPr>
            <w:noProof/>
            <w:webHidden/>
          </w:rPr>
          <w:fldChar w:fldCharType="separate"/>
        </w:r>
        <w:r>
          <w:rPr>
            <w:noProof/>
            <w:webHidden/>
          </w:rPr>
          <w:t>68</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52" w:history="1">
        <w:r w:rsidRPr="0027797C">
          <w:rPr>
            <w:rStyle w:val="Hyperlink"/>
            <w:rFonts w:eastAsia="宋体" w:hAnsi="Calibri" w:hint="eastAsia"/>
            <w:noProof/>
            <w:highlight w:val="white"/>
            <w:lang w:eastAsia="zh-CN"/>
          </w:rPr>
          <w:t>第十九部分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基金的信息披露</w:t>
        </w:r>
        <w:r>
          <w:rPr>
            <w:noProof/>
            <w:webHidden/>
          </w:rPr>
          <w:tab/>
        </w:r>
        <w:r>
          <w:rPr>
            <w:noProof/>
            <w:webHidden/>
          </w:rPr>
          <w:fldChar w:fldCharType="begin"/>
        </w:r>
        <w:r>
          <w:rPr>
            <w:noProof/>
            <w:webHidden/>
          </w:rPr>
          <w:instrText xml:space="preserve"> PAGEREF _Toc227311252 \h </w:instrText>
        </w:r>
        <w:r>
          <w:rPr>
            <w:noProof/>
            <w:webHidden/>
          </w:rPr>
          <w:fldChar w:fldCharType="separate"/>
        </w:r>
        <w:r>
          <w:rPr>
            <w:noProof/>
            <w:webHidden/>
          </w:rPr>
          <w:t>69</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53" w:history="1">
        <w:r w:rsidRPr="0027797C">
          <w:rPr>
            <w:rStyle w:val="Hyperlink"/>
            <w:rFonts w:eastAsia="宋体" w:hAnsi="Calibri" w:hint="eastAsia"/>
            <w:noProof/>
            <w:highlight w:val="white"/>
            <w:lang w:eastAsia="zh-CN"/>
          </w:rPr>
          <w:t>第二十部分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基金持有其他基金的信息披露</w:t>
        </w:r>
        <w:r>
          <w:rPr>
            <w:noProof/>
            <w:webHidden/>
          </w:rPr>
          <w:tab/>
        </w:r>
        <w:r>
          <w:rPr>
            <w:noProof/>
            <w:webHidden/>
          </w:rPr>
          <w:fldChar w:fldCharType="begin"/>
        </w:r>
        <w:r>
          <w:rPr>
            <w:noProof/>
            <w:webHidden/>
          </w:rPr>
          <w:instrText xml:space="preserve"> PAGEREF _Toc227311253 \h </w:instrText>
        </w:r>
        <w:r>
          <w:rPr>
            <w:noProof/>
            <w:webHidden/>
          </w:rPr>
          <w:fldChar w:fldCharType="separate"/>
        </w:r>
        <w:r>
          <w:rPr>
            <w:noProof/>
            <w:webHidden/>
          </w:rPr>
          <w:t>75</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54" w:history="1">
        <w:r w:rsidRPr="0027797C">
          <w:rPr>
            <w:rStyle w:val="Hyperlink"/>
            <w:rFonts w:eastAsia="宋体" w:hAnsi="Calibri" w:hint="eastAsia"/>
            <w:noProof/>
            <w:highlight w:val="white"/>
            <w:lang w:eastAsia="zh-CN"/>
          </w:rPr>
          <w:t>第二十一部分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侧袋机制</w:t>
        </w:r>
        <w:r>
          <w:rPr>
            <w:noProof/>
            <w:webHidden/>
          </w:rPr>
          <w:tab/>
        </w:r>
        <w:r>
          <w:rPr>
            <w:noProof/>
            <w:webHidden/>
          </w:rPr>
          <w:fldChar w:fldCharType="begin"/>
        </w:r>
        <w:r>
          <w:rPr>
            <w:noProof/>
            <w:webHidden/>
          </w:rPr>
          <w:instrText xml:space="preserve"> PAGEREF _Toc227311254 \h </w:instrText>
        </w:r>
        <w:r>
          <w:rPr>
            <w:noProof/>
            <w:webHidden/>
          </w:rPr>
          <w:fldChar w:fldCharType="separate"/>
        </w:r>
        <w:r>
          <w:rPr>
            <w:noProof/>
            <w:webHidden/>
          </w:rPr>
          <w:t>80</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55" w:history="1">
        <w:r w:rsidRPr="0027797C">
          <w:rPr>
            <w:rStyle w:val="Hyperlink"/>
            <w:rFonts w:eastAsia="宋体" w:hAnsi="Calibri" w:hint="eastAsia"/>
            <w:noProof/>
            <w:highlight w:val="white"/>
            <w:lang w:eastAsia="zh-CN"/>
          </w:rPr>
          <w:t>第二十二部分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风险揭示</w:t>
        </w:r>
        <w:r>
          <w:rPr>
            <w:noProof/>
            <w:webHidden/>
          </w:rPr>
          <w:tab/>
        </w:r>
        <w:r>
          <w:rPr>
            <w:noProof/>
            <w:webHidden/>
          </w:rPr>
          <w:fldChar w:fldCharType="begin"/>
        </w:r>
        <w:r>
          <w:rPr>
            <w:noProof/>
            <w:webHidden/>
          </w:rPr>
          <w:instrText xml:space="preserve"> PAGEREF _Toc227311255 \h </w:instrText>
        </w:r>
        <w:r>
          <w:rPr>
            <w:noProof/>
            <w:webHidden/>
          </w:rPr>
          <w:fldChar w:fldCharType="separate"/>
        </w:r>
        <w:r>
          <w:rPr>
            <w:noProof/>
            <w:webHidden/>
          </w:rPr>
          <w:t>82</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56" w:history="1">
        <w:r w:rsidRPr="0027797C">
          <w:rPr>
            <w:rStyle w:val="Hyperlink"/>
            <w:rFonts w:eastAsia="宋体" w:hAnsi="Calibri" w:hint="eastAsia"/>
            <w:noProof/>
            <w:highlight w:val="white"/>
            <w:lang w:eastAsia="zh-CN"/>
          </w:rPr>
          <w:t>第二十三部分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基金合同的变更、终止与基金财产的清算</w:t>
        </w:r>
        <w:r>
          <w:rPr>
            <w:noProof/>
            <w:webHidden/>
          </w:rPr>
          <w:tab/>
        </w:r>
        <w:r>
          <w:rPr>
            <w:noProof/>
            <w:webHidden/>
          </w:rPr>
          <w:fldChar w:fldCharType="begin"/>
        </w:r>
        <w:r>
          <w:rPr>
            <w:noProof/>
            <w:webHidden/>
          </w:rPr>
          <w:instrText xml:space="preserve"> PAGEREF _Toc227311256 \h </w:instrText>
        </w:r>
        <w:r>
          <w:rPr>
            <w:noProof/>
            <w:webHidden/>
          </w:rPr>
          <w:fldChar w:fldCharType="separate"/>
        </w:r>
        <w:r>
          <w:rPr>
            <w:noProof/>
            <w:webHidden/>
          </w:rPr>
          <w:t>98</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57" w:history="1">
        <w:r w:rsidRPr="0027797C">
          <w:rPr>
            <w:rStyle w:val="Hyperlink"/>
            <w:rFonts w:eastAsia="宋体" w:hAnsi="Calibri" w:hint="eastAsia"/>
            <w:noProof/>
            <w:highlight w:val="white"/>
            <w:lang w:eastAsia="zh-CN"/>
          </w:rPr>
          <w:t>第二十四部分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基金合同的内容摘要</w:t>
        </w:r>
        <w:r>
          <w:rPr>
            <w:noProof/>
            <w:webHidden/>
          </w:rPr>
          <w:tab/>
        </w:r>
        <w:r>
          <w:rPr>
            <w:noProof/>
            <w:webHidden/>
          </w:rPr>
          <w:fldChar w:fldCharType="begin"/>
        </w:r>
        <w:r>
          <w:rPr>
            <w:noProof/>
            <w:webHidden/>
          </w:rPr>
          <w:instrText xml:space="preserve"> PAGEREF _Toc227311257 \h </w:instrText>
        </w:r>
        <w:r>
          <w:rPr>
            <w:noProof/>
            <w:webHidden/>
          </w:rPr>
          <w:fldChar w:fldCharType="separate"/>
        </w:r>
        <w:r>
          <w:rPr>
            <w:noProof/>
            <w:webHidden/>
          </w:rPr>
          <w:t>100</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58" w:history="1">
        <w:r w:rsidRPr="0027797C">
          <w:rPr>
            <w:rStyle w:val="Hyperlink"/>
            <w:rFonts w:eastAsia="宋体" w:hAnsi="Calibri" w:hint="eastAsia"/>
            <w:noProof/>
            <w:highlight w:val="white"/>
            <w:lang w:eastAsia="zh-CN"/>
          </w:rPr>
          <w:t>第二十五部分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基金托管协议的内容摘要</w:t>
        </w:r>
        <w:r>
          <w:rPr>
            <w:noProof/>
            <w:webHidden/>
          </w:rPr>
          <w:tab/>
        </w:r>
        <w:r>
          <w:rPr>
            <w:noProof/>
            <w:webHidden/>
          </w:rPr>
          <w:fldChar w:fldCharType="begin"/>
        </w:r>
        <w:r>
          <w:rPr>
            <w:noProof/>
            <w:webHidden/>
          </w:rPr>
          <w:instrText xml:space="preserve"> PAGEREF _Toc227311258 \h </w:instrText>
        </w:r>
        <w:r>
          <w:rPr>
            <w:noProof/>
            <w:webHidden/>
          </w:rPr>
          <w:fldChar w:fldCharType="separate"/>
        </w:r>
        <w:r>
          <w:rPr>
            <w:noProof/>
            <w:webHidden/>
          </w:rPr>
          <w:t>117</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59" w:history="1">
        <w:r w:rsidRPr="0027797C">
          <w:rPr>
            <w:rStyle w:val="Hyperlink"/>
            <w:rFonts w:eastAsia="宋体" w:hAnsi="Calibri" w:hint="eastAsia"/>
            <w:noProof/>
            <w:highlight w:val="white"/>
            <w:lang w:eastAsia="zh-CN"/>
          </w:rPr>
          <w:t>第二十六部分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对基金份额持有人的服务</w:t>
        </w:r>
        <w:r>
          <w:rPr>
            <w:noProof/>
            <w:webHidden/>
          </w:rPr>
          <w:tab/>
        </w:r>
        <w:r>
          <w:rPr>
            <w:noProof/>
            <w:webHidden/>
          </w:rPr>
          <w:fldChar w:fldCharType="begin"/>
        </w:r>
        <w:r>
          <w:rPr>
            <w:noProof/>
            <w:webHidden/>
          </w:rPr>
          <w:instrText xml:space="preserve"> PAGEREF _Toc227311259 \h </w:instrText>
        </w:r>
        <w:r>
          <w:rPr>
            <w:noProof/>
            <w:webHidden/>
          </w:rPr>
          <w:fldChar w:fldCharType="separate"/>
        </w:r>
        <w:r>
          <w:rPr>
            <w:noProof/>
            <w:webHidden/>
          </w:rPr>
          <w:t>137</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60" w:history="1">
        <w:r w:rsidRPr="0027797C">
          <w:rPr>
            <w:rStyle w:val="Hyperlink"/>
            <w:rFonts w:eastAsia="宋体" w:hAnsi="Calibri" w:hint="eastAsia"/>
            <w:noProof/>
            <w:highlight w:val="white"/>
            <w:lang w:eastAsia="zh-CN"/>
          </w:rPr>
          <w:t>第二十七部分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其他应披露事项</w:t>
        </w:r>
        <w:r>
          <w:rPr>
            <w:noProof/>
            <w:webHidden/>
          </w:rPr>
          <w:tab/>
        </w:r>
        <w:r>
          <w:rPr>
            <w:noProof/>
            <w:webHidden/>
          </w:rPr>
          <w:fldChar w:fldCharType="begin"/>
        </w:r>
        <w:r>
          <w:rPr>
            <w:noProof/>
            <w:webHidden/>
          </w:rPr>
          <w:instrText xml:space="preserve"> PAGEREF _Toc227311260 \h </w:instrText>
        </w:r>
        <w:r>
          <w:rPr>
            <w:noProof/>
            <w:webHidden/>
          </w:rPr>
          <w:fldChar w:fldCharType="separate"/>
        </w:r>
        <w:r>
          <w:rPr>
            <w:noProof/>
            <w:webHidden/>
          </w:rPr>
          <w:t>139</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61" w:history="1">
        <w:r w:rsidRPr="0027797C">
          <w:rPr>
            <w:rStyle w:val="Hyperlink"/>
            <w:rFonts w:eastAsia="宋体" w:hAnsi="Calibri" w:hint="eastAsia"/>
            <w:noProof/>
            <w:highlight w:val="white"/>
            <w:lang w:eastAsia="zh-CN"/>
          </w:rPr>
          <w:t>第二十八部分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招募说明书的存放及查阅方式</w:t>
        </w:r>
        <w:r>
          <w:rPr>
            <w:noProof/>
            <w:webHidden/>
          </w:rPr>
          <w:tab/>
        </w:r>
        <w:r>
          <w:rPr>
            <w:noProof/>
            <w:webHidden/>
          </w:rPr>
          <w:fldChar w:fldCharType="begin"/>
        </w:r>
        <w:r>
          <w:rPr>
            <w:noProof/>
            <w:webHidden/>
          </w:rPr>
          <w:instrText xml:space="preserve"> PAGEREF _Toc227311261 \h </w:instrText>
        </w:r>
        <w:r>
          <w:rPr>
            <w:noProof/>
            <w:webHidden/>
          </w:rPr>
          <w:fldChar w:fldCharType="separate"/>
        </w:r>
        <w:r>
          <w:rPr>
            <w:noProof/>
            <w:webHidden/>
          </w:rPr>
          <w:t>140</w:t>
        </w:r>
        <w:r>
          <w:rPr>
            <w:noProof/>
            <w:webHidden/>
          </w:rPr>
          <w:fldChar w:fldCharType="end"/>
        </w:r>
      </w:hyperlink>
    </w:p>
    <w:p w:rsidR="009D66CD">
      <w:pPr>
        <w:pStyle w:val="TOC1"/>
        <w:rPr>
          <w:rFonts w:asciiTheme="minorHAnsi" w:eastAsiaTheme="minorEastAsia" w:hAnsiTheme="minorHAnsi" w:cstheme="minorBidi"/>
          <w:caps w:val="0"/>
          <w:noProof/>
          <w:color w:val="auto"/>
          <w:kern w:val="2"/>
          <w:sz w:val="21"/>
          <w:szCs w:val="22"/>
          <w:lang w:eastAsia="zh-CN"/>
        </w:rPr>
      </w:pPr>
      <w:hyperlink w:anchor="_Toc227311262" w:history="1">
        <w:r w:rsidRPr="0027797C">
          <w:rPr>
            <w:rStyle w:val="Hyperlink"/>
            <w:rFonts w:eastAsia="宋体" w:hAnsi="Calibri" w:hint="eastAsia"/>
            <w:noProof/>
            <w:highlight w:val="white"/>
            <w:lang w:eastAsia="zh-CN"/>
          </w:rPr>
          <w:t>第二十九部分</w:t>
        </w:r>
        <w:r w:rsidRPr="0027797C">
          <w:rPr>
            <w:rStyle w:val="Hyperlink"/>
            <w:rFonts w:eastAsia="宋体" w:hAnsi="Calibri"/>
            <w:noProof/>
            <w:highlight w:val="white"/>
            <w:lang w:eastAsia="zh-CN"/>
          </w:rPr>
          <w:t xml:space="preserve"> </w:t>
        </w:r>
        <w:r w:rsidRPr="0027797C">
          <w:rPr>
            <w:rStyle w:val="Hyperlink"/>
            <w:rFonts w:eastAsia="宋体" w:hAnsi="Calibri" w:hint="eastAsia"/>
            <w:noProof/>
            <w:highlight w:val="white"/>
            <w:lang w:eastAsia="zh-CN"/>
          </w:rPr>
          <w:t>备查文件</w:t>
        </w:r>
        <w:r>
          <w:rPr>
            <w:noProof/>
            <w:webHidden/>
          </w:rPr>
          <w:tab/>
        </w:r>
        <w:r>
          <w:rPr>
            <w:noProof/>
            <w:webHidden/>
          </w:rPr>
          <w:fldChar w:fldCharType="begin"/>
        </w:r>
        <w:r>
          <w:rPr>
            <w:noProof/>
            <w:webHidden/>
          </w:rPr>
          <w:instrText xml:space="preserve"> PAGEREF _Toc227311262 \h </w:instrText>
        </w:r>
        <w:r>
          <w:rPr>
            <w:noProof/>
            <w:webHidden/>
          </w:rPr>
          <w:fldChar w:fldCharType="separate"/>
        </w:r>
        <w:r>
          <w:rPr>
            <w:noProof/>
            <w:webHidden/>
          </w:rPr>
          <w:t>141</w:t>
        </w:r>
        <w:r>
          <w:rPr>
            <w:noProof/>
            <w:webHidden/>
          </w:rPr>
          <w:fldChar w:fldCharType="end"/>
        </w:r>
      </w:hyperlink>
    </w:p>
    <w:p w:rsidR="002B1026">
      <w:pPr>
        <w:ind w:firstLine="560"/>
        <w:jc w:val="center"/>
        <w:rPr>
          <w:rFonts w:ascii="宋体" w:hAnsi="Calibri"/>
          <w:b/>
          <w:caps/>
          <w:sz w:val="24"/>
          <w:szCs w:val="28"/>
        </w:rPr>
      </w:pPr>
      <w:r>
        <w:rPr>
          <w:rFonts w:ascii="宋体" w:hAnsi="Calibri"/>
          <w:b/>
          <w:caps/>
          <w:sz w:val="24"/>
          <w:szCs w:val="28"/>
        </w:rPr>
        <w:fldChar w:fldCharType="end"/>
      </w:r>
    </w:p>
    <w:p w:rsidR="002B1026">
      <w:pPr>
        <w:ind w:firstLine="560"/>
        <w:jc w:val="center"/>
        <w:rPr>
          <w:rFonts w:ascii="宋体" w:hAnsi="Calibri"/>
          <w:b/>
          <w:caps/>
          <w:sz w:val="24"/>
          <w:szCs w:val="28"/>
        </w:rPr>
        <w:sectPr>
          <w:footerReference w:type="default" r:id="rId5"/>
          <w:pgSz w:w="11906" w:h="16838"/>
          <w:pgMar w:top="1440" w:right="1803" w:bottom="1440" w:left="1803" w:header="851" w:footer="992" w:gutter="0"/>
          <w:pgNumType w:start="1"/>
          <w:cols w:space="720"/>
          <w:docGrid w:type="lines" w:linePitch="317"/>
        </w:sectPr>
      </w:pPr>
    </w:p>
    <w:p w:rsidR="002B1026">
      <w:pPr>
        <w:pStyle w:val="10"/>
        <w:spacing w:before="317" w:after="317" w:line="320" w:lineRule="exact"/>
        <w:ind w:firstLine="600"/>
        <w:rPr>
          <w:rFonts w:ascii="宋体" w:eastAsia="宋体" w:hAnsi="Calibri"/>
          <w:b w:val="0"/>
          <w:sz w:val="30"/>
          <w:szCs w:val="30"/>
          <w:lang w:eastAsia="zh-CN"/>
        </w:rPr>
      </w:pPr>
      <w:bookmarkStart w:id="0" w:name="_Toc332373444"/>
      <w:bookmarkStart w:id="1" w:name="_Toc227311234"/>
      <w:r>
        <w:rPr>
          <w:rFonts w:ascii="宋体" w:eastAsia="宋体" w:hAnsi="Calibri" w:hint="eastAsia"/>
          <w:b w:val="0"/>
          <w:sz w:val="30"/>
          <w:szCs w:val="30"/>
          <w:highlight w:val="white"/>
          <w:lang w:eastAsia="zh-CN"/>
        </w:rPr>
        <w:t>第一部分 绪  言</w:t>
      </w:r>
      <w:bookmarkEnd w:id="0"/>
      <w:bookmarkEnd w:id="1"/>
    </w:p>
    <w:p w:rsidR="002B1026">
      <w:pPr>
        <w:spacing w:line="360" w:lineRule="auto"/>
        <w:ind w:firstLine="420"/>
        <w:rPr>
          <w:rFonts w:ascii="宋体" w:hAnsi="Calibri"/>
          <w:lang w:eastAsia="zh-CN"/>
        </w:rPr>
      </w:pPr>
    </w:p>
    <w:p w:rsidR="002B1026">
      <w:pPr>
        <w:spacing w:line="360" w:lineRule="auto"/>
        <w:ind w:firstLine="420"/>
        <w:rPr>
          <w:rFonts w:ascii="宋体" w:hAnsi="Calibri"/>
          <w:lang w:eastAsia="zh-CN"/>
        </w:rPr>
      </w:pPr>
      <w:r>
        <w:rPr>
          <w:rFonts w:ascii="宋体" w:hAnsi="Calibri" w:hint="eastAsia"/>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5号&lt;招募说明书的内容与格式&gt;》《公开募集证券投资基金运作指引第2号-基金中基金指引》《公开募集开放式证券投资基金流动性风险管理规定》（以下简称《</w:t>
      </w:r>
      <w:r>
        <w:rPr>
          <w:rStyle w:val="da"/>
          <w:rFonts w:ascii="宋体" w:hAnsi="Calibri" w:hint="eastAsia"/>
          <w:highlight w:val="white"/>
          <w:lang w:eastAsia="zh-CN"/>
        </w:rPr>
        <w:t>流动性风险</w:t>
      </w:r>
      <w:r>
        <w:rPr>
          <w:rFonts w:ascii="宋体" w:hAnsi="Calibri" w:hint="eastAsia"/>
          <w:highlight w:val="white"/>
          <w:lang w:eastAsia="zh-CN"/>
        </w:rPr>
        <w:t>管理规定》）、《</w:t>
      </w:r>
      <w:r>
        <w:rPr>
          <w:rFonts w:ascii="宋体" w:hAnsi="Calibri" w:hint="eastAsia"/>
          <w:lang w:eastAsia="zh-CN"/>
        </w:rPr>
        <w:t>易方达如意安惠6个月持有期混合型基金中基金（FOF）</w:t>
      </w:r>
      <w:r>
        <w:rPr>
          <w:rFonts w:ascii="宋体" w:hAnsi="Calibri" w:hint="eastAsia"/>
          <w:highlight w:val="white"/>
          <w:lang w:eastAsia="zh-CN"/>
        </w:rPr>
        <w:t>基金合同》（以下简称基金合同）及其它有关规定等编写。</w:t>
      </w:r>
    </w:p>
    <w:p w:rsidR="002B1026">
      <w:pPr>
        <w:spacing w:line="360" w:lineRule="auto"/>
        <w:ind w:firstLine="420"/>
        <w:rPr>
          <w:rFonts w:ascii="宋体" w:hAnsi="Calibri"/>
          <w:lang w:eastAsia="zh-CN"/>
        </w:rPr>
      </w:pPr>
      <w:r>
        <w:rPr>
          <w:rStyle w:val="da"/>
          <w:rFonts w:ascii="宋体" w:hAnsi="Calibri" w:hint="eastAsia"/>
          <w:highlight w:val="white"/>
          <w:lang w:eastAsia="zh-CN"/>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2B1026">
      <w:pPr>
        <w:spacing w:line="360" w:lineRule="auto"/>
        <w:ind w:firstLine="482"/>
        <w:rPr>
          <w:rFonts w:ascii="宋体" w:hAnsi="Calibri"/>
          <w:lang w:eastAsia="zh-CN"/>
        </w:rPr>
      </w:pPr>
      <w:r>
        <w:rPr>
          <w:rFonts w:ascii="宋体" w:hAnsi="Calibri" w:hint="eastAsia"/>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2B1026">
      <w:pPr>
        <w:spacing w:line="360" w:lineRule="auto"/>
        <w:ind w:firstLine="482"/>
        <w:rPr>
          <w:rFonts w:ascii="宋体" w:hAnsi="Calibri"/>
          <w:lang w:eastAsia="zh-CN"/>
        </w:rPr>
      </w:pPr>
    </w:p>
    <w:p w:rsidR="002B1026">
      <w:pPr>
        <w:spacing w:line="360" w:lineRule="auto"/>
        <w:ind w:firstLine="482"/>
        <w:rPr>
          <w:rFonts w:ascii="宋体" w:hAnsi="Calibri"/>
          <w:lang w:eastAsia="zh-CN"/>
        </w:rPr>
      </w:pPr>
    </w:p>
    <w:p w:rsidR="002B1026">
      <w:pPr>
        <w:spacing w:line="360" w:lineRule="auto"/>
        <w:ind w:firstLine="482"/>
        <w:rPr>
          <w:rFonts w:ascii="宋体" w:hAnsi="Calibri"/>
          <w:lang w:eastAsia="zh-CN"/>
        </w:rPr>
      </w:pPr>
    </w:p>
    <w:p w:rsidR="002B1026">
      <w:pPr>
        <w:widowControl/>
        <w:jc w:val="left"/>
        <w:rPr>
          <w:rFonts w:ascii="宋体" w:hAnsi="Calibri"/>
          <w:sz w:val="30"/>
          <w:szCs w:val="20"/>
          <w:lang w:eastAsia="zh-CN"/>
        </w:rPr>
      </w:pPr>
      <w:bookmarkStart w:id="2" w:name="_Toc332373445"/>
      <w:r>
        <w:rPr>
          <w:rFonts w:ascii="宋体" w:hAnsi="Calibri"/>
          <w:sz w:val="30"/>
          <w:highlight w:val="white"/>
          <w:lang w:eastAsia="zh-CN"/>
        </w:rPr>
        <w:br w:type="page"/>
      </w:r>
    </w:p>
    <w:p w:rsidR="002B1026">
      <w:pPr>
        <w:pStyle w:val="111"/>
        <w:pageBreakBefore w:val="0"/>
        <w:spacing w:before="317" w:after="317" w:line="320" w:lineRule="exact"/>
        <w:ind w:firstLine="600"/>
        <w:rPr>
          <w:rFonts w:ascii="宋体" w:eastAsia="宋体" w:hAnsi="Calibri"/>
          <w:sz w:val="30"/>
          <w:szCs w:val="30"/>
          <w:lang w:eastAsia="zh-CN"/>
        </w:rPr>
      </w:pPr>
      <w:bookmarkStart w:id="3" w:name="_Toc227311235"/>
      <w:r>
        <w:rPr>
          <w:rFonts w:ascii="宋体" w:eastAsia="宋体" w:hAnsi="Calibri"/>
          <w:sz w:val="30"/>
          <w:szCs w:val="30"/>
          <w:highlight w:val="white"/>
          <w:lang w:eastAsia="zh-CN"/>
        </w:rPr>
        <w:t>第二部分</w:t>
      </w:r>
      <w:r>
        <w:rPr>
          <w:rFonts w:ascii="宋体" w:eastAsia="宋体" w:hAnsi="Calibri" w:hint="eastAsia"/>
          <w:sz w:val="30"/>
          <w:szCs w:val="30"/>
          <w:highlight w:val="white"/>
          <w:lang w:eastAsia="zh-CN"/>
        </w:rPr>
        <w:t xml:space="preserve"> 释  义</w:t>
      </w:r>
      <w:bookmarkEnd w:id="2"/>
      <w:bookmarkEnd w:id="3"/>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本招募说明书中除非文意另有所指，下列词语或</w:t>
      </w:r>
      <w:r>
        <w:rPr>
          <w:rStyle w:val="da"/>
          <w:rFonts w:ascii="宋体" w:hAnsi="Calibri"/>
          <w:highlight w:val="white"/>
          <w:lang w:eastAsia="zh-CN"/>
        </w:rPr>
        <w:t>简称</w:t>
      </w:r>
      <w:r>
        <w:rPr>
          <w:rStyle w:val="da"/>
          <w:rFonts w:ascii="宋体" w:hAnsi="Calibri" w:hint="eastAsia"/>
          <w:highlight w:val="white"/>
          <w:lang w:eastAsia="zh-CN"/>
        </w:rPr>
        <w:t>具有如下含义：</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1、本基金：指</w:t>
      </w:r>
      <w:r>
        <w:rPr>
          <w:rStyle w:val="da"/>
          <w:rFonts w:ascii="宋体" w:hAnsi="Calibri" w:hint="eastAsia"/>
          <w:lang w:eastAsia="zh-CN"/>
        </w:rPr>
        <w:t>易方达如意安惠6个月持有期混合型基金中基金（FOF）</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2、基金：指经中国证监会依法核准或注册的公开募集的基金</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 xml:space="preserve">3、基金管理人：指易方达基金管理有限公司          </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4、基金托管人：指</w:t>
      </w:r>
      <w:r>
        <w:rPr>
          <w:rStyle w:val="da"/>
          <w:rFonts w:ascii="宋体" w:hAnsi="Calibri" w:hint="eastAsia"/>
          <w:lang w:eastAsia="zh-CN"/>
        </w:rPr>
        <w:t>中信银行股份有限公司</w:t>
      </w:r>
      <w:r>
        <w:rPr>
          <w:rStyle w:val="da"/>
          <w:rFonts w:ascii="宋体" w:hAnsi="Calibri" w:hint="eastAsia"/>
          <w:highlight w:val="white"/>
          <w:lang w:eastAsia="zh-CN"/>
        </w:rPr>
        <w:t xml:space="preserve"> </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5、基金合同：指《</w:t>
      </w:r>
      <w:r>
        <w:rPr>
          <w:rStyle w:val="da"/>
          <w:rFonts w:ascii="宋体" w:hAnsi="Calibri" w:hint="eastAsia"/>
          <w:lang w:eastAsia="zh-CN"/>
        </w:rPr>
        <w:t>易方达如意安惠6个月持有期混合型基金中基金（FOF）</w:t>
      </w:r>
      <w:r>
        <w:rPr>
          <w:rStyle w:val="da"/>
          <w:rFonts w:ascii="宋体" w:hAnsi="Calibri" w:hint="eastAsia"/>
          <w:highlight w:val="white"/>
          <w:lang w:eastAsia="zh-CN"/>
        </w:rPr>
        <w:t>基金合同》及对基金合同的任何有效修订和补充</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6、托管协议：指基金管理人与基金托管人就本基金签订之《</w:t>
      </w:r>
      <w:r>
        <w:rPr>
          <w:rStyle w:val="da"/>
          <w:rFonts w:ascii="宋体" w:hAnsi="Calibri" w:hint="eastAsia"/>
          <w:lang w:eastAsia="zh-CN"/>
        </w:rPr>
        <w:t>易方达如意安惠6个月持有期混合型基金中基金（FOF）</w:t>
      </w:r>
      <w:r>
        <w:rPr>
          <w:rStyle w:val="da"/>
          <w:rFonts w:ascii="宋体" w:hAnsi="Calibri" w:hint="eastAsia"/>
          <w:highlight w:val="white"/>
          <w:lang w:eastAsia="zh-CN"/>
        </w:rPr>
        <w:t>托管协议》及对该托管协议的任何有效修订和补充</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7、招募说明书或本招募说明书：指《</w:t>
      </w:r>
      <w:r>
        <w:rPr>
          <w:rStyle w:val="da"/>
          <w:rFonts w:ascii="宋体" w:hAnsi="Calibri" w:hint="eastAsia"/>
          <w:lang w:eastAsia="zh-CN"/>
        </w:rPr>
        <w:t>易方达如意安惠6个月持有期混合型基金中基金（FOF）</w:t>
      </w:r>
      <w:r>
        <w:rPr>
          <w:rStyle w:val="da"/>
          <w:rFonts w:ascii="宋体" w:hAnsi="Calibri" w:hint="eastAsia"/>
          <w:highlight w:val="white"/>
          <w:lang w:eastAsia="zh-CN"/>
        </w:rPr>
        <w:t>招募说明书》及其更新</w:t>
      </w:r>
    </w:p>
    <w:p w:rsidR="002B1026">
      <w:pPr>
        <w:spacing w:line="360" w:lineRule="auto"/>
        <w:ind w:firstLine="420"/>
        <w:rPr>
          <w:rStyle w:val="da"/>
          <w:rFonts w:ascii="宋体" w:hAnsi="Calibri"/>
          <w:lang w:eastAsia="zh-CN"/>
        </w:rPr>
      </w:pPr>
      <w:r>
        <w:rPr>
          <w:rStyle w:val="da"/>
          <w:rFonts w:ascii="宋体" w:hAnsi="Calibri"/>
          <w:highlight w:val="white"/>
          <w:lang w:eastAsia="zh-CN"/>
        </w:rPr>
        <w:t>8、基金产品资料概要：指《易方达如意安惠6个月持有期混合型基金中基金（FOF）基金产品资料概要》及其更新</w:t>
      </w:r>
    </w:p>
    <w:p w:rsidR="002B1026">
      <w:pPr>
        <w:spacing w:line="360" w:lineRule="auto"/>
        <w:ind w:firstLine="420"/>
        <w:rPr>
          <w:rStyle w:val="da"/>
          <w:rFonts w:ascii="宋体" w:hAnsi="Calibri"/>
          <w:lang w:eastAsia="zh-CN"/>
        </w:rPr>
      </w:pPr>
      <w:r>
        <w:rPr>
          <w:rStyle w:val="da"/>
          <w:rFonts w:ascii="宋体" w:hAnsi="Calibri"/>
          <w:highlight w:val="white"/>
          <w:lang w:eastAsia="zh-CN"/>
        </w:rPr>
        <w:t>9、基金份额发售公告：指《易方达如意安惠6个月持有期混合型基金中基金（FOF）基金份额发售公告》</w:t>
      </w:r>
    </w:p>
    <w:p w:rsidR="002B1026">
      <w:pPr>
        <w:spacing w:line="360" w:lineRule="auto"/>
        <w:ind w:firstLine="420"/>
        <w:rPr>
          <w:rStyle w:val="da"/>
          <w:rFonts w:ascii="宋体" w:hAnsi="Calibri"/>
          <w:lang w:eastAsia="zh-CN"/>
        </w:rPr>
      </w:pPr>
      <w:r>
        <w:rPr>
          <w:rStyle w:val="da"/>
          <w:rFonts w:ascii="宋体" w:hAnsi="Calibri"/>
          <w:highlight w:val="white"/>
          <w:lang w:eastAsia="zh-CN"/>
        </w:rPr>
        <w:t>10、法律法规：指中国现行有效并公布实施的法律、行政法规、规范性文件、司法解释、行政规章以及其他对基金合同当事人有约束力的决定、决议、通知等</w:t>
      </w:r>
    </w:p>
    <w:p w:rsidR="002B1026">
      <w:pPr>
        <w:spacing w:line="360" w:lineRule="auto"/>
        <w:ind w:firstLine="420"/>
        <w:rPr>
          <w:rStyle w:val="da"/>
          <w:rFonts w:ascii="宋体" w:hAnsi="Calibri"/>
          <w:lang w:eastAsia="zh-CN"/>
        </w:rPr>
      </w:pPr>
      <w:r>
        <w:rPr>
          <w:rStyle w:val="da"/>
          <w:rFonts w:ascii="宋体" w:hAnsi="Calibri"/>
          <w:highlight w:val="white"/>
          <w:lang w:eastAsia="zh-CN"/>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2B1026">
      <w:pPr>
        <w:spacing w:line="360" w:lineRule="auto"/>
        <w:ind w:firstLine="420"/>
        <w:rPr>
          <w:rStyle w:val="da"/>
          <w:rFonts w:ascii="宋体" w:hAnsi="Calibri"/>
          <w:lang w:eastAsia="zh-CN"/>
        </w:rPr>
      </w:pPr>
      <w:r>
        <w:rPr>
          <w:rStyle w:val="da"/>
          <w:rFonts w:ascii="宋体" w:hAnsi="Calibri"/>
          <w:highlight w:val="white"/>
          <w:lang w:eastAsia="zh-CN"/>
        </w:rPr>
        <w:t>12、《销售办法》：指中国证监会2020年8月28日颁布、同年10月1日实施的《公开募集证券投资基金销售机构监督管理办法》及颁布机关对其不时做出的修订</w:t>
      </w:r>
    </w:p>
    <w:p w:rsidR="002B1026">
      <w:pPr>
        <w:spacing w:line="360" w:lineRule="auto"/>
        <w:ind w:firstLine="420"/>
        <w:rPr>
          <w:rStyle w:val="da"/>
          <w:rFonts w:ascii="宋体" w:hAnsi="Calibri"/>
          <w:lang w:eastAsia="zh-CN"/>
        </w:rPr>
      </w:pPr>
      <w:r>
        <w:rPr>
          <w:rStyle w:val="da"/>
          <w:rFonts w:ascii="宋体" w:hAnsi="Calibri"/>
          <w:highlight w:val="white"/>
          <w:lang w:eastAsia="zh-CN"/>
        </w:rPr>
        <w:t>13、《信息披露办法》：指中国证监会2019年7月26日颁布、同年9月1日实施的《公开募集证券投资基金信息披露管理办法》及颁布机关对其不时做出的修订</w:t>
      </w:r>
    </w:p>
    <w:p w:rsidR="002B1026">
      <w:pPr>
        <w:spacing w:line="360" w:lineRule="auto"/>
        <w:ind w:firstLine="420"/>
        <w:rPr>
          <w:rStyle w:val="da"/>
          <w:rFonts w:ascii="宋体" w:hAnsi="Calibri"/>
          <w:lang w:eastAsia="zh-CN"/>
        </w:rPr>
      </w:pPr>
      <w:r>
        <w:rPr>
          <w:rStyle w:val="da"/>
          <w:rFonts w:ascii="宋体" w:hAnsi="Calibri"/>
          <w:highlight w:val="white"/>
          <w:lang w:eastAsia="zh-CN"/>
        </w:rPr>
        <w:t>14、《运作办法》：指中国证监会2014年7月7日颁布、同年8月8日实施的《公开募集证券投资基金运作管理办法》及颁布机关对其不时做出的修订</w:t>
      </w:r>
    </w:p>
    <w:p w:rsidR="002B1026">
      <w:pPr>
        <w:spacing w:line="360" w:lineRule="auto"/>
        <w:ind w:firstLine="420"/>
        <w:rPr>
          <w:rStyle w:val="da"/>
          <w:rFonts w:ascii="宋体" w:hAnsi="Calibri"/>
          <w:lang w:eastAsia="zh-CN"/>
        </w:rPr>
      </w:pPr>
      <w:r>
        <w:rPr>
          <w:rStyle w:val="da"/>
          <w:rFonts w:ascii="宋体" w:hAnsi="Calibri"/>
          <w:highlight w:val="white"/>
          <w:lang w:eastAsia="zh-CN"/>
        </w:rPr>
        <w:t>15、《流动性风险管理规定》：指中国证监会2017年8月31日颁布、同年10月1日实施的《公开募集开放式证券投资基金流动性风险管理规定》及颁布机关对其不时做出的修订</w:t>
      </w:r>
    </w:p>
    <w:p w:rsidR="002B1026">
      <w:pPr>
        <w:spacing w:line="360" w:lineRule="auto"/>
        <w:ind w:firstLine="420"/>
        <w:rPr>
          <w:rStyle w:val="da"/>
          <w:rFonts w:ascii="宋体" w:hAnsi="Calibri"/>
          <w:lang w:eastAsia="zh-CN"/>
        </w:rPr>
      </w:pPr>
      <w:r>
        <w:rPr>
          <w:rStyle w:val="da"/>
          <w:rFonts w:ascii="宋体" w:hAnsi="Calibri"/>
          <w:highlight w:val="white"/>
          <w:lang w:eastAsia="zh-CN"/>
        </w:rPr>
        <w:t>16、中国证监会：指中国证券监督管理委员会</w:t>
      </w:r>
    </w:p>
    <w:p w:rsidR="002B1026">
      <w:pPr>
        <w:spacing w:line="360" w:lineRule="auto"/>
        <w:ind w:firstLine="420"/>
        <w:rPr>
          <w:rStyle w:val="da"/>
          <w:rFonts w:ascii="宋体" w:hAnsi="Calibri"/>
          <w:lang w:eastAsia="zh-CN"/>
        </w:rPr>
      </w:pPr>
      <w:r>
        <w:rPr>
          <w:rStyle w:val="da"/>
          <w:rFonts w:ascii="宋体" w:hAnsi="Calibri"/>
          <w:highlight w:val="white"/>
          <w:lang w:eastAsia="zh-CN"/>
        </w:rPr>
        <w:t>17、银行业监督管理机构：指中国人民银行和/或国家金融监督管理总局</w:t>
      </w:r>
    </w:p>
    <w:p w:rsidR="002B1026">
      <w:pPr>
        <w:spacing w:line="360" w:lineRule="auto"/>
        <w:ind w:firstLine="420"/>
        <w:rPr>
          <w:rStyle w:val="da"/>
          <w:rFonts w:ascii="宋体" w:hAnsi="Calibri"/>
          <w:lang w:eastAsia="zh-CN"/>
        </w:rPr>
      </w:pPr>
      <w:r>
        <w:rPr>
          <w:rStyle w:val="da"/>
          <w:rFonts w:ascii="宋体" w:hAnsi="Calibri"/>
          <w:highlight w:val="white"/>
          <w:lang w:eastAsia="zh-CN"/>
        </w:rPr>
        <w:t>18、基金合同当事人：指受基金合同约束，根据基金合同享有权利并承担义务的法律主体，包括基金管理人、基金托管人和基金份额持有人</w:t>
      </w:r>
    </w:p>
    <w:p w:rsidR="002B1026">
      <w:pPr>
        <w:spacing w:line="360" w:lineRule="auto"/>
        <w:ind w:firstLine="420"/>
        <w:rPr>
          <w:rStyle w:val="da"/>
          <w:rFonts w:ascii="宋体" w:hAnsi="Calibri"/>
          <w:lang w:eastAsia="zh-CN"/>
        </w:rPr>
      </w:pPr>
      <w:r>
        <w:rPr>
          <w:rStyle w:val="da"/>
          <w:rFonts w:ascii="宋体" w:hAnsi="Calibri"/>
          <w:highlight w:val="white"/>
          <w:lang w:eastAsia="zh-CN"/>
        </w:rPr>
        <w:t>19、个人投资者：指依据有关法律法规规定可投资于证券投资基金的自然人</w:t>
      </w:r>
    </w:p>
    <w:p w:rsidR="002B1026">
      <w:pPr>
        <w:spacing w:line="360" w:lineRule="auto"/>
        <w:ind w:firstLine="420"/>
        <w:rPr>
          <w:rStyle w:val="da"/>
          <w:rFonts w:ascii="宋体" w:hAnsi="Calibri"/>
          <w:lang w:eastAsia="zh-CN"/>
        </w:rPr>
      </w:pPr>
      <w:r>
        <w:rPr>
          <w:rStyle w:val="da"/>
          <w:rFonts w:ascii="宋体" w:hAnsi="Calibri"/>
          <w:highlight w:val="white"/>
          <w:lang w:eastAsia="zh-CN"/>
        </w:rPr>
        <w:t>20、机构投资者：指依法可以投资证券投资基金的、在中华人民共和国境内合法登记并存续或经有关政府部门批准设立并存续的企业法人、事业法人、社会团体或其他组织</w:t>
      </w:r>
    </w:p>
    <w:p w:rsidR="002B1026">
      <w:pPr>
        <w:spacing w:line="360" w:lineRule="auto"/>
        <w:ind w:firstLine="420"/>
        <w:rPr>
          <w:rStyle w:val="da"/>
          <w:rFonts w:ascii="宋体" w:hAnsi="Calibri"/>
          <w:lang w:eastAsia="zh-CN"/>
        </w:rPr>
      </w:pPr>
      <w:r>
        <w:rPr>
          <w:rStyle w:val="da"/>
          <w:rFonts w:ascii="宋体" w:hAnsi="Calibri"/>
          <w:highlight w:val="white"/>
          <w:lang w:eastAsia="zh-CN"/>
        </w:rPr>
        <w:t>21、合格境外投资者：指符合相关法律法规规定使用来自境外的资金进行境内证券期货投资的境外机构投资者，包括合格境外机构投资者和人民币合格境外机构投资者</w:t>
      </w:r>
    </w:p>
    <w:p w:rsidR="002B1026">
      <w:pPr>
        <w:spacing w:line="360" w:lineRule="auto"/>
        <w:ind w:firstLine="420"/>
        <w:rPr>
          <w:rStyle w:val="da"/>
          <w:rFonts w:ascii="宋体" w:hAnsi="Calibri"/>
          <w:lang w:eastAsia="zh-CN"/>
        </w:rPr>
      </w:pPr>
      <w:r>
        <w:rPr>
          <w:rStyle w:val="da"/>
          <w:rFonts w:ascii="宋体" w:hAnsi="Calibri"/>
          <w:highlight w:val="white"/>
          <w:lang w:eastAsia="zh-CN"/>
        </w:rPr>
        <w:t>22、投资人、投资者：指个人投资者、机构投资者、合格境外投资者以及法律法规或中国证监会允许购买证券投资基金的其他投资人的合称</w:t>
      </w:r>
    </w:p>
    <w:p w:rsidR="002B1026">
      <w:pPr>
        <w:spacing w:line="360" w:lineRule="auto"/>
        <w:ind w:firstLine="420"/>
        <w:rPr>
          <w:rStyle w:val="da"/>
          <w:rFonts w:ascii="宋体" w:hAnsi="Calibri"/>
          <w:lang w:eastAsia="zh-CN"/>
        </w:rPr>
      </w:pPr>
      <w:r>
        <w:rPr>
          <w:rStyle w:val="da"/>
          <w:rFonts w:ascii="宋体" w:hAnsi="Calibri"/>
          <w:highlight w:val="white"/>
          <w:lang w:eastAsia="zh-CN"/>
        </w:rPr>
        <w:t>23、基金份额持有人：指依基金合同和招募说明书合法取得基金份额的投资人</w:t>
      </w:r>
    </w:p>
    <w:p w:rsidR="002B1026">
      <w:pPr>
        <w:spacing w:line="360" w:lineRule="auto"/>
        <w:ind w:firstLine="420"/>
        <w:rPr>
          <w:rStyle w:val="da"/>
          <w:rFonts w:ascii="宋体" w:hAnsi="Calibri"/>
          <w:lang w:eastAsia="zh-CN"/>
        </w:rPr>
      </w:pPr>
      <w:r>
        <w:rPr>
          <w:rStyle w:val="da"/>
          <w:rFonts w:ascii="宋体" w:hAnsi="Calibri"/>
          <w:highlight w:val="white"/>
          <w:lang w:eastAsia="zh-CN"/>
        </w:rPr>
        <w:t>24、基金销售业务：指基金管理人或销售机构宣传推介基金，发售基金份额，办理基金份额的申购、赎回、转换、转托管及定期定额投资等业务</w:t>
      </w:r>
    </w:p>
    <w:p w:rsidR="002B1026">
      <w:pPr>
        <w:spacing w:line="360" w:lineRule="auto"/>
        <w:ind w:firstLine="420"/>
        <w:rPr>
          <w:rStyle w:val="da"/>
          <w:rFonts w:ascii="宋体" w:hAnsi="Calibri"/>
          <w:lang w:eastAsia="zh-CN"/>
        </w:rPr>
      </w:pPr>
      <w:r>
        <w:rPr>
          <w:rStyle w:val="da"/>
          <w:rFonts w:ascii="宋体" w:hAnsi="Calibri"/>
          <w:highlight w:val="white"/>
          <w:lang w:eastAsia="zh-CN"/>
        </w:rPr>
        <w:t>25、销售机构：指易方达基金管理有限公司以及符合《销售办法》和中国证监会规定的其他条件，取得基金销售业务资格并与基金管理人签订了基金销售服务协议，办理基金销售业务的机构</w:t>
      </w:r>
    </w:p>
    <w:p w:rsidR="002B1026">
      <w:pPr>
        <w:spacing w:line="360" w:lineRule="auto"/>
        <w:ind w:firstLine="420"/>
        <w:rPr>
          <w:rStyle w:val="da"/>
          <w:rFonts w:ascii="宋体" w:hAnsi="Calibri"/>
          <w:lang w:eastAsia="zh-CN"/>
        </w:rPr>
      </w:pPr>
      <w:r>
        <w:rPr>
          <w:rStyle w:val="da"/>
          <w:rFonts w:ascii="宋体" w:hAnsi="Calibri"/>
          <w:highlight w:val="white"/>
          <w:lang w:eastAsia="zh-CN"/>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2B1026">
      <w:pPr>
        <w:spacing w:line="360" w:lineRule="auto"/>
        <w:ind w:firstLine="420"/>
        <w:rPr>
          <w:rStyle w:val="da"/>
          <w:rFonts w:ascii="宋体" w:hAnsi="Calibri"/>
          <w:lang w:eastAsia="zh-CN"/>
        </w:rPr>
      </w:pPr>
      <w:r>
        <w:rPr>
          <w:rStyle w:val="da"/>
          <w:rFonts w:ascii="宋体" w:hAnsi="Calibri"/>
          <w:highlight w:val="white"/>
          <w:lang w:eastAsia="zh-CN"/>
        </w:rPr>
        <w:t>27、登记机构：指办理登记业务的机构。基金的登记机构为易方达基金管理有限公司或接受易方达基金管理有限公司委托代为办理登记业务的机构</w:t>
      </w:r>
    </w:p>
    <w:p w:rsidR="002B1026">
      <w:pPr>
        <w:spacing w:line="360" w:lineRule="auto"/>
        <w:ind w:firstLine="420"/>
        <w:rPr>
          <w:rStyle w:val="da"/>
          <w:rFonts w:ascii="宋体" w:hAnsi="Calibri"/>
          <w:lang w:eastAsia="zh-CN"/>
        </w:rPr>
      </w:pPr>
      <w:r>
        <w:rPr>
          <w:rStyle w:val="da"/>
          <w:rFonts w:ascii="宋体" w:hAnsi="Calibri"/>
          <w:highlight w:val="white"/>
          <w:lang w:eastAsia="zh-CN"/>
        </w:rPr>
        <w:t>28、基金账户：指登记机构为投资人开立的、记录其持有的、基金管理人所管理的基金份额余额及其变动情况的账户</w:t>
      </w:r>
    </w:p>
    <w:p w:rsidR="002B1026">
      <w:pPr>
        <w:spacing w:line="360" w:lineRule="auto"/>
        <w:ind w:firstLine="420"/>
        <w:rPr>
          <w:rStyle w:val="da"/>
          <w:rFonts w:ascii="宋体" w:hAnsi="Calibri"/>
          <w:lang w:eastAsia="zh-CN"/>
        </w:rPr>
      </w:pPr>
      <w:r>
        <w:rPr>
          <w:rStyle w:val="da"/>
          <w:rFonts w:ascii="宋体" w:hAnsi="Calibri"/>
          <w:highlight w:val="white"/>
          <w:lang w:eastAsia="zh-CN"/>
        </w:rPr>
        <w:t>29、基金交易账户：指销售机构为投资人开立的、记录投资人通过该销售机构办理认购、申购、赎回、转换、转托管及定期定额投资等业务而引起的基金份额变动及结余情况的账户</w:t>
      </w:r>
    </w:p>
    <w:p w:rsidR="002B1026">
      <w:pPr>
        <w:spacing w:line="360" w:lineRule="auto"/>
        <w:ind w:firstLine="420"/>
        <w:rPr>
          <w:rStyle w:val="da"/>
          <w:rFonts w:ascii="宋体" w:hAnsi="Calibri"/>
          <w:lang w:eastAsia="zh-CN"/>
        </w:rPr>
      </w:pPr>
      <w:r>
        <w:rPr>
          <w:rStyle w:val="da"/>
          <w:rFonts w:ascii="宋体" w:hAnsi="Calibri"/>
          <w:highlight w:val="white"/>
          <w:lang w:eastAsia="zh-CN"/>
        </w:rPr>
        <w:t>30、基金合同生效日：指基金募集达到法律法规规定及基金合同规定的条件，基金管理人向中国证监会办理基金备案手续完毕，并获得中国证监会书面确认的日期</w:t>
      </w:r>
    </w:p>
    <w:p w:rsidR="002B1026">
      <w:pPr>
        <w:spacing w:line="360" w:lineRule="auto"/>
        <w:ind w:firstLine="420"/>
        <w:rPr>
          <w:rStyle w:val="da"/>
          <w:rFonts w:ascii="宋体" w:hAnsi="Calibri"/>
          <w:lang w:eastAsia="zh-CN"/>
        </w:rPr>
      </w:pPr>
      <w:r>
        <w:rPr>
          <w:rStyle w:val="da"/>
          <w:rFonts w:ascii="宋体" w:hAnsi="Calibri"/>
          <w:highlight w:val="white"/>
          <w:lang w:eastAsia="zh-CN"/>
        </w:rPr>
        <w:t>31、基金合同终止日：指基金合同规定的基金合同终止事由出现后，基金财产清算完毕，清算结果报中国证监会备案并予以公告的日期</w:t>
      </w:r>
    </w:p>
    <w:p w:rsidR="002B1026">
      <w:pPr>
        <w:spacing w:line="360" w:lineRule="auto"/>
        <w:ind w:firstLine="420"/>
        <w:rPr>
          <w:rStyle w:val="da"/>
          <w:rFonts w:ascii="宋体" w:hAnsi="Calibri"/>
          <w:lang w:eastAsia="zh-CN"/>
        </w:rPr>
      </w:pPr>
      <w:r>
        <w:rPr>
          <w:rStyle w:val="da"/>
          <w:rFonts w:ascii="宋体" w:hAnsi="Calibri"/>
          <w:highlight w:val="white"/>
          <w:lang w:eastAsia="zh-CN"/>
        </w:rPr>
        <w:t>32、基金募集期：指自基金份额发售之日起至发售结束之日止的期间，最长不得超过3个月</w:t>
      </w:r>
    </w:p>
    <w:p w:rsidR="002B1026">
      <w:pPr>
        <w:spacing w:line="360" w:lineRule="auto"/>
        <w:ind w:firstLine="420"/>
        <w:rPr>
          <w:rStyle w:val="da"/>
          <w:rFonts w:ascii="宋体" w:hAnsi="Calibri"/>
          <w:lang w:eastAsia="zh-CN"/>
        </w:rPr>
      </w:pPr>
      <w:r>
        <w:rPr>
          <w:rStyle w:val="da"/>
          <w:rFonts w:ascii="宋体" w:hAnsi="Calibri"/>
          <w:highlight w:val="white"/>
          <w:lang w:eastAsia="zh-CN"/>
        </w:rPr>
        <w:t>33、存续期：指基金合同生效日至终止日之间的不定期期限</w:t>
      </w:r>
    </w:p>
    <w:p w:rsidR="002B1026">
      <w:pPr>
        <w:spacing w:line="360" w:lineRule="auto"/>
        <w:ind w:firstLine="420"/>
        <w:rPr>
          <w:rStyle w:val="da"/>
          <w:rFonts w:ascii="宋体" w:hAnsi="Calibri"/>
          <w:lang w:eastAsia="zh-CN"/>
        </w:rPr>
      </w:pPr>
      <w:r>
        <w:rPr>
          <w:rStyle w:val="da"/>
          <w:rFonts w:ascii="宋体" w:hAnsi="Calibri"/>
          <w:highlight w:val="white"/>
          <w:lang w:eastAsia="zh-CN"/>
        </w:rPr>
        <w:t>34、最短持有期：指投资者认购或申购基金份额后需持有的最短期限，在最短持有期限内，基金管理人对投资者的相应基金份额不办理赎回确认。本基金每份基金份额的最短持有期限为6个月（一个月按30天计算）</w:t>
      </w:r>
    </w:p>
    <w:p w:rsidR="002B1026">
      <w:pPr>
        <w:spacing w:line="360" w:lineRule="auto"/>
        <w:ind w:firstLine="420"/>
        <w:rPr>
          <w:rStyle w:val="da"/>
          <w:rFonts w:ascii="宋体" w:hAnsi="Calibri"/>
          <w:lang w:eastAsia="zh-CN"/>
        </w:rPr>
      </w:pPr>
      <w:r>
        <w:rPr>
          <w:rStyle w:val="da"/>
          <w:rFonts w:ascii="宋体" w:hAnsi="Calibri"/>
          <w:highlight w:val="white"/>
          <w:lang w:eastAsia="zh-CN"/>
        </w:rPr>
        <w:t>35、最短持有期起始日：对于每份认购份额的最短持有期起始日，指基金合同生效日；对于每份申购份额的最短持有期起始日，指该基金份额申购确认日</w:t>
      </w:r>
    </w:p>
    <w:p w:rsidR="002B1026">
      <w:pPr>
        <w:spacing w:line="360" w:lineRule="auto"/>
        <w:ind w:firstLine="420"/>
        <w:rPr>
          <w:rStyle w:val="da"/>
          <w:rFonts w:ascii="宋体" w:hAnsi="Calibri"/>
          <w:lang w:eastAsia="zh-CN"/>
        </w:rPr>
      </w:pPr>
      <w:r>
        <w:rPr>
          <w:rStyle w:val="da"/>
          <w:rFonts w:ascii="宋体" w:hAnsi="Calibri"/>
          <w:highlight w:val="white"/>
          <w:lang w:eastAsia="zh-CN"/>
        </w:rPr>
        <w:t>36、最短持有期到期日：对于每份认购份额，最短持有期为基金合同生效日起的6个月（一个月按30天计算，下同）；对于每份申购份额，最短持有期为申购确认日起的6个月。即对每份基金份额，当持有时间小于6个月，无法确认赎回；当持有时间大于等于6个月，可以确认赎回。最短持有期的最后一日为最短持有期到期日</w:t>
      </w:r>
    </w:p>
    <w:p w:rsidR="002B1026">
      <w:pPr>
        <w:spacing w:line="360" w:lineRule="auto"/>
        <w:ind w:firstLine="420"/>
        <w:rPr>
          <w:rStyle w:val="da"/>
          <w:rFonts w:ascii="宋体" w:hAnsi="Calibri"/>
          <w:lang w:eastAsia="zh-CN"/>
        </w:rPr>
      </w:pPr>
      <w:r>
        <w:rPr>
          <w:rStyle w:val="da"/>
          <w:rFonts w:ascii="宋体" w:hAnsi="Calibri"/>
          <w:highlight w:val="white"/>
          <w:lang w:eastAsia="zh-CN"/>
        </w:rPr>
        <w:t>37、工作日：指上海证券交易所、深圳证券交易所的交易日</w:t>
      </w:r>
    </w:p>
    <w:p w:rsidR="002B1026">
      <w:pPr>
        <w:spacing w:line="360" w:lineRule="auto"/>
        <w:ind w:firstLine="420"/>
        <w:rPr>
          <w:rStyle w:val="da"/>
          <w:rFonts w:ascii="宋体" w:hAnsi="Calibri"/>
          <w:lang w:eastAsia="zh-CN"/>
        </w:rPr>
      </w:pPr>
      <w:r>
        <w:rPr>
          <w:rStyle w:val="da"/>
          <w:rFonts w:ascii="宋体" w:hAnsi="Calibri"/>
          <w:highlight w:val="white"/>
          <w:lang w:eastAsia="zh-CN"/>
        </w:rPr>
        <w:t>38、T日：指销售机构在规定时间受理投资人申购、赎回或其他业务申请的开放日</w:t>
      </w:r>
    </w:p>
    <w:p w:rsidR="002B1026">
      <w:pPr>
        <w:spacing w:line="360" w:lineRule="auto"/>
        <w:ind w:firstLine="420"/>
        <w:rPr>
          <w:rStyle w:val="da"/>
          <w:rFonts w:ascii="宋体" w:hAnsi="Calibri"/>
          <w:lang w:eastAsia="zh-CN"/>
        </w:rPr>
      </w:pPr>
      <w:r>
        <w:rPr>
          <w:rStyle w:val="da"/>
          <w:rFonts w:ascii="宋体" w:hAnsi="Calibri"/>
          <w:highlight w:val="white"/>
          <w:lang w:eastAsia="zh-CN"/>
        </w:rPr>
        <w:t>39、T+n日：指自T日起第n个工作日（不包含T日），n为自然数</w:t>
      </w:r>
    </w:p>
    <w:p w:rsidR="002B1026">
      <w:pPr>
        <w:spacing w:line="360" w:lineRule="auto"/>
        <w:ind w:firstLine="420"/>
        <w:rPr>
          <w:rStyle w:val="da"/>
          <w:rFonts w:ascii="宋体" w:hAnsi="Calibri"/>
          <w:lang w:eastAsia="zh-CN"/>
        </w:rPr>
      </w:pPr>
      <w:r>
        <w:rPr>
          <w:rStyle w:val="da"/>
          <w:rFonts w:ascii="宋体" w:hAnsi="Calibri"/>
          <w:highlight w:val="white"/>
          <w:lang w:eastAsia="zh-CN"/>
        </w:rPr>
        <w:t>40、开放日：指为投资人办理基金份额申购、赎回或其他业务的工作日</w:t>
      </w:r>
    </w:p>
    <w:p w:rsidR="002B1026">
      <w:pPr>
        <w:spacing w:line="360" w:lineRule="auto"/>
        <w:ind w:firstLine="420"/>
        <w:rPr>
          <w:rStyle w:val="da"/>
          <w:rFonts w:ascii="宋体" w:hAnsi="Calibri"/>
          <w:lang w:eastAsia="zh-CN"/>
        </w:rPr>
      </w:pPr>
      <w:r>
        <w:rPr>
          <w:rStyle w:val="da"/>
          <w:rFonts w:ascii="宋体" w:hAnsi="Calibri"/>
          <w:highlight w:val="white"/>
          <w:lang w:eastAsia="zh-CN"/>
        </w:rPr>
        <w:t>41、开放时间：指开放日基金接受申购、赎回或其他交易的时间段</w:t>
      </w:r>
    </w:p>
    <w:p w:rsidR="002B1026">
      <w:pPr>
        <w:spacing w:line="360" w:lineRule="auto"/>
        <w:ind w:firstLine="420"/>
        <w:rPr>
          <w:rStyle w:val="da"/>
          <w:rFonts w:ascii="宋体" w:hAnsi="Calibri"/>
          <w:lang w:eastAsia="zh-CN"/>
        </w:rPr>
      </w:pPr>
      <w:r>
        <w:rPr>
          <w:rStyle w:val="da"/>
          <w:rFonts w:ascii="宋体" w:hAnsi="Calibri"/>
          <w:highlight w:val="white"/>
          <w:lang w:eastAsia="zh-CN"/>
        </w:rPr>
        <w:t>42、《业务规则》：指《易方达基金管理有限公司开放式基金业务规则》，是规范基金管理人所管理的开放式证券投资基金登记方面的业务规则，由基金管理人和投资人共同遵守</w:t>
      </w:r>
    </w:p>
    <w:p w:rsidR="002B1026">
      <w:pPr>
        <w:spacing w:line="360" w:lineRule="auto"/>
        <w:ind w:firstLine="420"/>
        <w:rPr>
          <w:rStyle w:val="da"/>
          <w:rFonts w:ascii="宋体" w:hAnsi="Calibri"/>
          <w:lang w:eastAsia="zh-CN"/>
        </w:rPr>
      </w:pPr>
      <w:r>
        <w:rPr>
          <w:rStyle w:val="da"/>
          <w:rFonts w:ascii="宋体" w:hAnsi="Calibri"/>
          <w:highlight w:val="white"/>
          <w:lang w:eastAsia="zh-CN"/>
        </w:rPr>
        <w:t>43、认购：指在基金募集期内，投资人根据基金合同和招募说明书的规定申请购买基金份额的行为</w:t>
      </w:r>
    </w:p>
    <w:p w:rsidR="002B1026">
      <w:pPr>
        <w:spacing w:line="360" w:lineRule="auto"/>
        <w:ind w:firstLine="420"/>
        <w:rPr>
          <w:rStyle w:val="da"/>
          <w:rFonts w:ascii="宋体" w:hAnsi="Calibri"/>
          <w:lang w:eastAsia="zh-CN"/>
        </w:rPr>
      </w:pPr>
      <w:r>
        <w:rPr>
          <w:rStyle w:val="da"/>
          <w:rFonts w:ascii="宋体" w:hAnsi="Calibri"/>
          <w:highlight w:val="white"/>
          <w:lang w:eastAsia="zh-CN"/>
        </w:rPr>
        <w:t>44、申购：指基金合同生效后，投资人根据基金合同和招募说明书的规定申请购买基金份额的行为</w:t>
      </w:r>
    </w:p>
    <w:p w:rsidR="002B1026">
      <w:pPr>
        <w:spacing w:line="360" w:lineRule="auto"/>
        <w:ind w:firstLine="420"/>
        <w:rPr>
          <w:rStyle w:val="da"/>
          <w:rFonts w:ascii="宋体" w:hAnsi="Calibri"/>
          <w:lang w:eastAsia="zh-CN"/>
        </w:rPr>
      </w:pPr>
      <w:r>
        <w:rPr>
          <w:rStyle w:val="da"/>
          <w:rFonts w:ascii="宋体" w:hAnsi="Calibri"/>
          <w:highlight w:val="white"/>
          <w:lang w:eastAsia="zh-CN"/>
        </w:rPr>
        <w:t>45、赎回：指基金合同生效后，基金份额持有人按基金合同和招募说明书规定的条件要求将基金份额兑换为现金的行为</w:t>
      </w:r>
    </w:p>
    <w:p w:rsidR="002B1026">
      <w:pPr>
        <w:spacing w:line="360" w:lineRule="auto"/>
        <w:ind w:firstLine="420"/>
        <w:rPr>
          <w:rStyle w:val="da"/>
          <w:rFonts w:ascii="宋体" w:hAnsi="Calibri"/>
          <w:lang w:eastAsia="zh-CN"/>
        </w:rPr>
      </w:pPr>
      <w:r>
        <w:rPr>
          <w:rStyle w:val="da"/>
          <w:rFonts w:ascii="宋体" w:hAnsi="Calibri"/>
          <w:highlight w:val="white"/>
          <w:lang w:eastAsia="zh-CN"/>
        </w:rPr>
        <w:t>46、基金转换：指基金份额持有人按照基金合同和基金管理人届时有效公告规定的条件，申请将其持有基金管理人管理的、某一基金的基金份额转换为基金管理人管理的其他基金基金份额的行为</w:t>
      </w:r>
    </w:p>
    <w:p w:rsidR="002B1026">
      <w:pPr>
        <w:spacing w:line="360" w:lineRule="auto"/>
        <w:ind w:firstLine="420"/>
        <w:rPr>
          <w:rStyle w:val="da"/>
          <w:rFonts w:ascii="宋体" w:hAnsi="Calibri"/>
          <w:lang w:eastAsia="zh-CN"/>
        </w:rPr>
      </w:pPr>
      <w:r>
        <w:rPr>
          <w:rStyle w:val="da"/>
          <w:rFonts w:ascii="宋体" w:hAnsi="Calibri"/>
          <w:highlight w:val="white"/>
          <w:lang w:eastAsia="zh-CN"/>
        </w:rPr>
        <w:t>47、转托管：指基金份额持有人在本基金的不同销售机构之间实施的变更所持基金份额销售机构的操作</w:t>
      </w:r>
    </w:p>
    <w:p w:rsidR="002B1026">
      <w:pPr>
        <w:spacing w:line="360" w:lineRule="auto"/>
        <w:ind w:firstLine="420"/>
        <w:rPr>
          <w:rStyle w:val="da"/>
          <w:rFonts w:ascii="宋体" w:hAnsi="Calibri"/>
          <w:lang w:eastAsia="zh-CN"/>
        </w:rPr>
      </w:pPr>
      <w:r>
        <w:rPr>
          <w:rStyle w:val="da"/>
          <w:rFonts w:ascii="宋体" w:hAnsi="Calibri"/>
          <w:highlight w:val="white"/>
          <w:lang w:eastAsia="zh-CN"/>
        </w:rPr>
        <w:t>48、定期定额投资计划：指投资人通过有关销售机构提出申请，约定每期申购日、扣款金额及扣款方式，由销售机构于每期约定扣款日在投资人指定银行账户内自动完成扣款及受理基金申购申请的一种投资方式</w:t>
      </w:r>
    </w:p>
    <w:p w:rsidR="002B1026">
      <w:pPr>
        <w:spacing w:line="360" w:lineRule="auto"/>
        <w:ind w:firstLine="420"/>
        <w:rPr>
          <w:rStyle w:val="da"/>
          <w:rFonts w:ascii="宋体" w:hAnsi="Calibri"/>
          <w:lang w:eastAsia="zh-CN"/>
        </w:rPr>
      </w:pPr>
      <w:r>
        <w:rPr>
          <w:rStyle w:val="da"/>
          <w:rFonts w:ascii="宋体" w:hAnsi="Calibri"/>
          <w:highlight w:val="white"/>
          <w:lang w:eastAsia="zh-CN"/>
        </w:rPr>
        <w:t>49、巨额赎回：指本基金单个开放日，基金净赎回申请（赎回申请份额总数加上基金转换中转出申请份额总数后扣除申购申请份额总数及基金转换中转入申请份额总数后的余额）超过上一开放日基金总份额的10%</w:t>
      </w:r>
    </w:p>
    <w:p w:rsidR="002B1026">
      <w:pPr>
        <w:spacing w:line="360" w:lineRule="auto"/>
        <w:ind w:firstLine="420"/>
        <w:rPr>
          <w:rStyle w:val="da"/>
          <w:rFonts w:ascii="宋体" w:hAnsi="Calibri"/>
          <w:lang w:eastAsia="zh-CN"/>
        </w:rPr>
      </w:pPr>
      <w:r>
        <w:rPr>
          <w:rStyle w:val="da"/>
          <w:rFonts w:ascii="宋体" w:hAnsi="Calibri"/>
          <w:highlight w:val="white"/>
          <w:lang w:eastAsia="zh-CN"/>
        </w:rPr>
        <w:t>50、元：指人民币元</w:t>
      </w:r>
    </w:p>
    <w:p w:rsidR="002B1026">
      <w:pPr>
        <w:spacing w:line="360" w:lineRule="auto"/>
        <w:ind w:firstLine="420"/>
        <w:rPr>
          <w:rStyle w:val="da"/>
          <w:rFonts w:ascii="宋体" w:hAnsi="Calibri"/>
          <w:lang w:eastAsia="zh-CN"/>
        </w:rPr>
      </w:pPr>
      <w:r>
        <w:rPr>
          <w:rStyle w:val="da"/>
          <w:rFonts w:ascii="宋体" w:hAnsi="Calibri"/>
          <w:highlight w:val="white"/>
          <w:lang w:eastAsia="zh-CN"/>
        </w:rPr>
        <w:t>51、基金收益：指基金投资所得红利、股息、债券利息、买卖证券价差、银行存款利息、已实现的其他合法收入及因运用基金财产带来的成本和费用的节约</w:t>
      </w:r>
    </w:p>
    <w:p w:rsidR="002B1026">
      <w:pPr>
        <w:spacing w:line="360" w:lineRule="auto"/>
        <w:ind w:firstLine="420"/>
        <w:rPr>
          <w:rStyle w:val="da"/>
          <w:rFonts w:ascii="宋体" w:hAnsi="Calibri"/>
          <w:lang w:eastAsia="zh-CN"/>
        </w:rPr>
      </w:pPr>
      <w:r>
        <w:rPr>
          <w:rStyle w:val="da"/>
          <w:rFonts w:ascii="宋体" w:hAnsi="Calibri"/>
          <w:highlight w:val="white"/>
          <w:lang w:eastAsia="zh-CN"/>
        </w:rPr>
        <w:t>52、基金资产总值：指基金拥有的各类有价证券、基金份额、银行存款本息、基金应收申购款及其他资产的价值总和</w:t>
      </w:r>
    </w:p>
    <w:p w:rsidR="002B1026">
      <w:pPr>
        <w:spacing w:line="360" w:lineRule="auto"/>
        <w:ind w:firstLine="420"/>
        <w:rPr>
          <w:rStyle w:val="da"/>
          <w:rFonts w:ascii="宋体" w:hAnsi="Calibri"/>
          <w:lang w:eastAsia="zh-CN"/>
        </w:rPr>
      </w:pPr>
      <w:r>
        <w:rPr>
          <w:rStyle w:val="da"/>
          <w:rFonts w:ascii="宋体" w:hAnsi="Calibri"/>
          <w:highlight w:val="white"/>
          <w:lang w:eastAsia="zh-CN"/>
        </w:rPr>
        <w:t>53、基金资产净值：指基金资产总值减去基金负债后的价值</w:t>
      </w:r>
    </w:p>
    <w:p w:rsidR="002B1026">
      <w:pPr>
        <w:spacing w:line="360" w:lineRule="auto"/>
        <w:ind w:firstLine="420"/>
        <w:rPr>
          <w:rStyle w:val="da"/>
          <w:rFonts w:ascii="宋体" w:hAnsi="Calibri"/>
          <w:lang w:eastAsia="zh-CN"/>
        </w:rPr>
      </w:pPr>
      <w:r>
        <w:rPr>
          <w:rStyle w:val="da"/>
          <w:rFonts w:ascii="宋体" w:hAnsi="Calibri"/>
          <w:highlight w:val="white"/>
          <w:lang w:eastAsia="zh-CN"/>
        </w:rPr>
        <w:t>54、基金份额净值：指计算日基金资产净值除以计算日基金份额总数</w:t>
      </w:r>
    </w:p>
    <w:p w:rsidR="002B1026">
      <w:pPr>
        <w:spacing w:line="360" w:lineRule="auto"/>
        <w:ind w:firstLine="420"/>
        <w:rPr>
          <w:rStyle w:val="da"/>
          <w:rFonts w:ascii="宋体" w:hAnsi="Calibri"/>
          <w:lang w:eastAsia="zh-CN"/>
        </w:rPr>
      </w:pPr>
      <w:r>
        <w:rPr>
          <w:rStyle w:val="da"/>
          <w:rFonts w:ascii="宋体" w:hAnsi="Calibri"/>
          <w:highlight w:val="white"/>
          <w:lang w:eastAsia="zh-CN"/>
        </w:rPr>
        <w:t>55、基金资产估值：指计算评估基金资产和负债的价值，以确定基金资产净值和基金份额净值的过程</w:t>
      </w:r>
    </w:p>
    <w:p w:rsidR="002B1026">
      <w:pPr>
        <w:spacing w:line="360" w:lineRule="auto"/>
        <w:ind w:firstLine="420"/>
        <w:rPr>
          <w:rStyle w:val="da"/>
          <w:rFonts w:ascii="宋体" w:hAnsi="Calibri"/>
          <w:lang w:eastAsia="zh-CN"/>
        </w:rPr>
      </w:pPr>
      <w:r>
        <w:rPr>
          <w:rStyle w:val="da"/>
          <w:rFonts w:ascii="宋体" w:hAnsi="Calibri"/>
          <w:highlight w:val="white"/>
          <w:lang w:eastAsia="zh-CN"/>
        </w:rPr>
        <w:t>56、基金份额折算：指基金管理人根据基金运作的需要，在基金资产净值不变的前提下，按照一定比例调整基金份额总额及基金份额净值</w:t>
      </w:r>
    </w:p>
    <w:p w:rsidR="002B1026">
      <w:pPr>
        <w:spacing w:line="360" w:lineRule="auto"/>
        <w:ind w:firstLine="420"/>
        <w:rPr>
          <w:rStyle w:val="da"/>
          <w:rFonts w:ascii="宋体" w:hAnsi="Calibri"/>
          <w:lang w:eastAsia="zh-CN"/>
        </w:rPr>
      </w:pPr>
      <w:r>
        <w:rPr>
          <w:rStyle w:val="da"/>
          <w:rFonts w:ascii="宋体" w:hAnsi="Calibri"/>
          <w:highlight w:val="white"/>
          <w:lang w:eastAsia="zh-CN"/>
        </w:rPr>
        <w:t>57、规定媒介：指符合中国证监会规定条件的全国性报刊（以下简称规定报刊）及《信息披露办法》规定的互联网网站（以下简称规定网站，包括基金管理人网站、基金托管人网站、中国证监会基金电子披露网站）等媒介</w:t>
      </w:r>
    </w:p>
    <w:p w:rsidR="002B1026">
      <w:pPr>
        <w:spacing w:line="360" w:lineRule="auto"/>
        <w:ind w:firstLine="420"/>
        <w:rPr>
          <w:rStyle w:val="da"/>
          <w:rFonts w:ascii="宋体" w:hAnsi="Calibri"/>
          <w:lang w:eastAsia="zh-CN"/>
        </w:rPr>
      </w:pPr>
      <w:r>
        <w:rPr>
          <w:rStyle w:val="da"/>
          <w:rFonts w:ascii="宋体" w:hAnsi="Calibri"/>
          <w:highlight w:val="white"/>
          <w:lang w:eastAsia="zh-CN"/>
        </w:rPr>
        <w:t>58、销售服务费：指从基金财产中计提的，用于本基金市场推广、销售以及基金份额持有人服务的费用</w:t>
      </w:r>
    </w:p>
    <w:p w:rsidR="002B1026">
      <w:pPr>
        <w:spacing w:line="360" w:lineRule="auto"/>
        <w:ind w:firstLine="420"/>
        <w:rPr>
          <w:rStyle w:val="da"/>
          <w:rFonts w:ascii="宋体" w:hAnsi="Calibri"/>
          <w:lang w:eastAsia="zh-CN"/>
        </w:rPr>
      </w:pPr>
      <w:r>
        <w:rPr>
          <w:rStyle w:val="da"/>
          <w:rFonts w:ascii="宋体" w:hAnsi="Calibri"/>
          <w:highlight w:val="white"/>
          <w:lang w:eastAsia="zh-CN"/>
        </w:rPr>
        <w:t>59、A类基金份额：在投资人认购/申购基金时</w:t>
      </w:r>
      <w:r>
        <w:rPr>
          <w:rStyle w:val="da"/>
          <w:rFonts w:cs="宋体" w:hint="eastAsia"/>
          <w:highlight w:val="white"/>
          <w:lang w:eastAsia="zh-CN"/>
        </w:rPr>
        <w:t>按规定</w:t>
      </w:r>
      <w:r>
        <w:rPr>
          <w:rStyle w:val="da"/>
          <w:rFonts w:ascii="宋体" w:hAnsi="Calibri"/>
          <w:highlight w:val="white"/>
          <w:lang w:eastAsia="zh-CN"/>
        </w:rPr>
        <w:t>收取认购/申购费用，并不再从本类别基金资产中计提销售服务费的基金份额，称为A类基金份额</w:t>
      </w:r>
    </w:p>
    <w:p w:rsidR="002B1026">
      <w:pPr>
        <w:spacing w:line="360" w:lineRule="auto"/>
        <w:ind w:firstLine="420"/>
        <w:rPr>
          <w:rStyle w:val="da"/>
          <w:rFonts w:ascii="宋体" w:hAnsi="Calibri"/>
          <w:lang w:eastAsia="zh-CN"/>
        </w:rPr>
      </w:pPr>
      <w:r>
        <w:rPr>
          <w:rStyle w:val="da"/>
          <w:rFonts w:ascii="宋体" w:hAnsi="Calibri"/>
          <w:highlight w:val="white"/>
          <w:lang w:eastAsia="zh-CN"/>
        </w:rPr>
        <w:t>60、C类基金份额：从本类别基金资产中计提销售服务费</w:t>
      </w:r>
      <w:r>
        <w:rPr>
          <w:rStyle w:val="da"/>
          <w:rFonts w:cs="宋体" w:hint="eastAsia"/>
          <w:highlight w:val="white"/>
          <w:lang w:eastAsia="zh-CN"/>
        </w:rPr>
        <w:t>并按规定收取或返还</w:t>
      </w:r>
      <w:r>
        <w:rPr>
          <w:rStyle w:val="da"/>
          <w:rFonts w:ascii="宋体" w:hAnsi="Calibri"/>
          <w:highlight w:val="white"/>
          <w:lang w:eastAsia="zh-CN"/>
        </w:rPr>
        <w:t>，不收取认购/申购费用的基金份额，称为C类基金份额</w:t>
      </w:r>
    </w:p>
    <w:p w:rsidR="002B1026">
      <w:pPr>
        <w:spacing w:line="360" w:lineRule="auto"/>
        <w:ind w:firstLine="420"/>
        <w:rPr>
          <w:rStyle w:val="da"/>
          <w:rFonts w:ascii="宋体" w:hAnsi="Calibri"/>
          <w:lang w:eastAsia="zh-CN"/>
        </w:rPr>
      </w:pPr>
      <w:r>
        <w:rPr>
          <w:rStyle w:val="da"/>
          <w:rFonts w:ascii="宋体" w:hAnsi="Calibri"/>
          <w:highlight w:val="white"/>
          <w:lang w:eastAsia="zh-CN"/>
        </w:rPr>
        <w:t>61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2B1026">
      <w:pPr>
        <w:spacing w:line="360" w:lineRule="auto"/>
        <w:ind w:firstLine="420"/>
        <w:rPr>
          <w:rStyle w:val="da"/>
          <w:rFonts w:ascii="宋体" w:hAnsi="Calibri"/>
          <w:lang w:eastAsia="zh-CN"/>
        </w:rPr>
      </w:pPr>
      <w:r>
        <w:rPr>
          <w:rStyle w:val="da"/>
          <w:rFonts w:ascii="宋体" w:hAnsi="Calibri"/>
          <w:highlight w:val="white"/>
          <w:lang w:eastAsia="zh-CN"/>
        </w:rPr>
        <w:t>62、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2B1026">
      <w:pPr>
        <w:spacing w:line="360" w:lineRule="auto"/>
        <w:ind w:firstLine="420"/>
        <w:rPr>
          <w:rStyle w:val="da"/>
          <w:rFonts w:ascii="宋体" w:hAnsi="Calibri"/>
          <w:lang w:eastAsia="zh-CN"/>
        </w:rPr>
      </w:pPr>
      <w:r>
        <w:rPr>
          <w:rStyle w:val="da"/>
          <w:rFonts w:ascii="宋体" w:hAnsi="Calibri"/>
          <w:highlight w:val="white"/>
          <w:lang w:eastAsia="zh-CN"/>
        </w:rPr>
        <w:t>63、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2B1026">
      <w:pPr>
        <w:spacing w:line="360" w:lineRule="auto"/>
        <w:ind w:firstLine="420"/>
        <w:rPr>
          <w:rStyle w:val="da"/>
          <w:rFonts w:ascii="宋体" w:hAnsi="Calibri"/>
          <w:lang w:eastAsia="zh-CN"/>
        </w:rPr>
      </w:pPr>
      <w:r>
        <w:rPr>
          <w:rStyle w:val="da"/>
          <w:rFonts w:ascii="宋体" w:hAnsi="Calibri"/>
          <w:highlight w:val="white"/>
          <w:lang w:eastAsia="zh-CN"/>
        </w:rPr>
        <w:t>64、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2B1026">
      <w:pPr>
        <w:spacing w:line="360" w:lineRule="auto"/>
        <w:ind w:firstLine="420"/>
        <w:rPr>
          <w:rStyle w:val="da"/>
          <w:rFonts w:ascii="宋体" w:hAnsi="Calibri"/>
          <w:lang w:eastAsia="zh-CN"/>
        </w:rPr>
      </w:pPr>
      <w:r>
        <w:rPr>
          <w:rStyle w:val="da"/>
          <w:rFonts w:ascii="宋体" w:hAnsi="Calibri"/>
          <w:highlight w:val="white"/>
          <w:lang w:eastAsia="zh-CN"/>
        </w:rPr>
        <w:t>65、不可抗力：指基金合同当事人不能预见、不能避免且不能克服的客观事件</w:t>
      </w:r>
    </w:p>
    <w:p w:rsidR="002B1026">
      <w:pPr>
        <w:spacing w:line="360" w:lineRule="auto"/>
        <w:ind w:firstLine="420"/>
        <w:rPr>
          <w:rStyle w:val="da"/>
          <w:rFonts w:ascii="宋体" w:hAnsi="Calibri"/>
          <w:lang w:eastAsia="zh-CN"/>
        </w:rPr>
      </w:pPr>
      <w:r>
        <w:rPr>
          <w:rStyle w:val="da"/>
          <w:rFonts w:ascii="宋体" w:hAnsi="Calibri"/>
          <w:highlight w:val="white"/>
          <w:lang w:eastAsia="zh-CN"/>
        </w:rPr>
        <w:t>66</w:t>
      </w:r>
      <w:r>
        <w:rPr>
          <w:rStyle w:val="da"/>
          <w:rFonts w:ascii="宋体" w:hAnsi="Calibri" w:hint="eastAsia"/>
          <w:highlight w:val="white"/>
          <w:lang w:eastAsia="zh-CN"/>
        </w:rPr>
        <w:t>、直销机构：指易方达基金管理有限公司</w:t>
      </w:r>
    </w:p>
    <w:p w:rsidR="002B1026">
      <w:pPr>
        <w:spacing w:line="360" w:lineRule="auto"/>
        <w:ind w:firstLine="420"/>
        <w:rPr>
          <w:rStyle w:val="da"/>
          <w:rFonts w:ascii="宋体" w:hAnsi="Calibri"/>
          <w:lang w:eastAsia="zh-CN"/>
        </w:rPr>
      </w:pPr>
      <w:r>
        <w:rPr>
          <w:rStyle w:val="da"/>
          <w:rFonts w:ascii="宋体" w:hAnsi="Calibri"/>
          <w:highlight w:val="white"/>
          <w:lang w:eastAsia="zh-CN"/>
        </w:rPr>
        <w:t>67</w:t>
      </w:r>
      <w:r>
        <w:rPr>
          <w:rStyle w:val="da"/>
          <w:rFonts w:ascii="宋体" w:hAnsi="Calibri" w:hint="eastAsia"/>
          <w:highlight w:val="white"/>
          <w:lang w:eastAsia="zh-CN"/>
        </w:rPr>
        <w:t>、非直销销售机构：指符合《销售办法》和中国证监会规定的其他条件，取得基金销售业务资格并与基金管理人签订了基金销售服务协议，办理基金销售业务的机构</w:t>
      </w:r>
    </w:p>
    <w:p w:rsidR="002B1026">
      <w:pPr>
        <w:spacing w:line="360" w:lineRule="auto"/>
        <w:ind w:firstLine="420"/>
        <w:rPr>
          <w:rStyle w:val="da"/>
          <w:rFonts w:ascii="宋体" w:hAnsi="Calibri"/>
          <w:lang w:eastAsia="zh-CN"/>
        </w:rPr>
      </w:pPr>
    </w:p>
    <w:p w:rsidR="002B1026">
      <w:pPr>
        <w:pStyle w:val="111"/>
        <w:pageBreakBefore w:val="0"/>
        <w:spacing w:before="317" w:after="317" w:line="320" w:lineRule="exact"/>
        <w:ind w:firstLine="640"/>
        <w:rPr>
          <w:rFonts w:ascii="宋体" w:eastAsia="宋体" w:hAnsi="Calibri"/>
          <w:sz w:val="30"/>
          <w:lang w:eastAsia="zh-CN"/>
        </w:rPr>
      </w:pPr>
      <w:r>
        <w:rPr>
          <w:rFonts w:ascii="宋体" w:eastAsia="宋体" w:hAnsi="Calibri" w:hint="eastAsia"/>
          <w:highlight w:val="white"/>
          <w:lang w:eastAsia="zh-CN"/>
        </w:rPr>
        <w:br w:type="column"/>
      </w:r>
      <w:bookmarkStart w:id="4" w:name="_Toc332373446"/>
      <w:bookmarkStart w:id="5" w:name="_Toc227311236"/>
      <w:r>
        <w:rPr>
          <w:rFonts w:ascii="宋体" w:eastAsia="宋体" w:hAnsi="Calibri" w:hint="eastAsia"/>
          <w:sz w:val="30"/>
          <w:highlight w:val="white"/>
          <w:lang w:eastAsia="zh-CN"/>
        </w:rPr>
        <w:t>第三部分 基金管理人</w:t>
      </w:r>
      <w:bookmarkEnd w:id="4"/>
      <w:bookmarkEnd w:id="5"/>
    </w:p>
    <w:p w:rsidR="002B1026">
      <w:pPr>
        <w:spacing w:line="360" w:lineRule="auto"/>
        <w:ind w:firstLine="420"/>
        <w:rPr>
          <w:rFonts w:ascii="宋体" w:hAnsi="Calibri"/>
          <w:bCs/>
          <w:lang w:eastAsia="zh-CN"/>
        </w:rPr>
      </w:pPr>
      <w:bookmarkStart w:id="6" w:name="_Toc332373447"/>
      <w:r>
        <w:rPr>
          <w:rFonts w:ascii="宋体" w:hAnsi="Calibri" w:hint="eastAsia"/>
          <w:bCs/>
          <w:highlight w:val="white"/>
          <w:lang w:eastAsia="zh-CN"/>
        </w:rPr>
        <w:t>一、基金管理人基本情况</w:t>
      </w:r>
      <w:bookmarkEnd w:id="6"/>
    </w:p>
    <w:p w:rsidR="002B1026">
      <w:pPr>
        <w:spacing w:line="360" w:lineRule="auto"/>
        <w:ind w:firstLine="420"/>
        <w:rPr>
          <w:rFonts w:ascii="宋体" w:hAnsi="Calibri"/>
          <w:bCs/>
          <w:lang w:eastAsia="zh-CN"/>
        </w:rPr>
      </w:pPr>
      <w:r>
        <w:rPr>
          <w:rFonts w:ascii="宋体" w:hAnsi="宋体" w:cs="宋体"/>
          <w:bCs/>
          <w:lang w:eastAsia="zh-CN"/>
        </w:rPr>
        <w:t>1、</w:t>
      </w:r>
      <w:r>
        <w:rPr>
          <w:bCs/>
          <w:lang w:eastAsia="zh-CN"/>
        </w:rPr>
        <w:t>基金管理人：易方达基金管理有限公司</w:t>
      </w:r>
    </w:p>
    <w:p w:rsidR="002B1026">
      <w:pPr>
        <w:spacing w:line="360" w:lineRule="auto"/>
        <w:ind w:firstLine="420"/>
        <w:rPr>
          <w:rFonts w:ascii="宋体" w:hAnsi="Calibri"/>
          <w:bCs/>
          <w:lang w:eastAsia="zh-CN"/>
        </w:rPr>
      </w:pPr>
      <w:r>
        <w:rPr>
          <w:bCs/>
          <w:lang w:eastAsia="zh-CN"/>
        </w:rPr>
        <w:t>注册地址：广东省珠海市横琴新区荣粤道</w:t>
      </w:r>
      <w:r>
        <w:rPr>
          <w:rFonts w:ascii="宋体" w:hAnsi="宋体" w:cs="宋体"/>
          <w:bCs/>
          <w:lang w:eastAsia="zh-CN"/>
        </w:rPr>
        <w:t>188</w:t>
      </w:r>
      <w:r>
        <w:rPr>
          <w:bCs/>
          <w:lang w:eastAsia="zh-CN"/>
        </w:rPr>
        <w:t>号</w:t>
      </w:r>
      <w:r>
        <w:rPr>
          <w:rFonts w:ascii="宋体" w:hAnsi="宋体" w:cs="宋体"/>
          <w:bCs/>
          <w:lang w:eastAsia="zh-CN"/>
        </w:rPr>
        <w:t>6</w:t>
      </w:r>
      <w:r>
        <w:rPr>
          <w:bCs/>
          <w:lang w:eastAsia="zh-CN"/>
        </w:rPr>
        <w:t>层</w:t>
      </w:r>
    </w:p>
    <w:p w:rsidR="002B1026">
      <w:pPr>
        <w:spacing w:line="360" w:lineRule="auto"/>
        <w:ind w:firstLine="420"/>
        <w:rPr>
          <w:rFonts w:ascii="宋体" w:hAnsi="宋体"/>
          <w:bCs/>
          <w:szCs w:val="21"/>
          <w:lang w:eastAsia="zh-CN"/>
        </w:rPr>
      </w:pPr>
      <w:r>
        <w:rPr>
          <w:rFonts w:ascii="宋体" w:hAnsi="宋体" w:cs="宋体"/>
          <w:bCs/>
          <w:szCs w:val="21"/>
          <w:lang w:eastAsia="zh-CN"/>
        </w:rPr>
        <w:t>办公地址：</w:t>
      </w:r>
      <w:r>
        <w:rPr>
          <w:rFonts w:ascii="宋体" w:hAnsi="宋体" w:cs="宋体" w:hint="eastAsia"/>
          <w:bCs/>
          <w:szCs w:val="21"/>
          <w:lang w:eastAsia="zh-CN"/>
        </w:rPr>
        <w:t>广东省广州市天河区珠江西路</w:t>
      </w:r>
      <w:r>
        <w:rPr>
          <w:rFonts w:ascii="宋体" w:hAnsi="宋体" w:cs="宋体"/>
          <w:bCs/>
          <w:szCs w:val="21"/>
          <w:lang w:eastAsia="zh-CN"/>
        </w:rPr>
        <w:t>21</w:t>
      </w:r>
      <w:r>
        <w:rPr>
          <w:rFonts w:ascii="宋体" w:hAnsi="宋体" w:cs="宋体" w:hint="eastAsia"/>
          <w:bCs/>
          <w:szCs w:val="21"/>
          <w:lang w:eastAsia="zh-CN"/>
        </w:rPr>
        <w:t>号</w:t>
      </w:r>
      <w:r>
        <w:rPr>
          <w:rFonts w:ascii="宋体" w:hAnsi="宋体" w:cs="宋体"/>
          <w:bCs/>
          <w:szCs w:val="21"/>
          <w:lang w:eastAsia="zh-CN"/>
        </w:rPr>
        <w:t>52</w:t>
      </w:r>
      <w:r>
        <w:rPr>
          <w:rFonts w:ascii="宋体" w:hAnsi="宋体" w:cs="宋体" w:hint="eastAsia"/>
          <w:bCs/>
          <w:szCs w:val="21"/>
          <w:lang w:eastAsia="zh-CN"/>
        </w:rPr>
        <w:t>层；广东省广州市天河区珠江东路</w:t>
      </w:r>
      <w:r>
        <w:rPr>
          <w:rFonts w:ascii="宋体" w:hAnsi="宋体" w:cs="宋体"/>
          <w:bCs/>
          <w:szCs w:val="21"/>
          <w:lang w:eastAsia="zh-CN"/>
        </w:rPr>
        <w:t>30</w:t>
      </w:r>
      <w:r>
        <w:rPr>
          <w:rFonts w:ascii="宋体" w:hAnsi="宋体" w:cs="宋体" w:hint="eastAsia"/>
          <w:bCs/>
          <w:szCs w:val="21"/>
          <w:lang w:eastAsia="zh-CN"/>
        </w:rPr>
        <w:t>号</w:t>
      </w:r>
      <w:r>
        <w:rPr>
          <w:rFonts w:ascii="宋体" w:hAnsi="宋体" w:cs="宋体"/>
          <w:bCs/>
          <w:szCs w:val="21"/>
          <w:lang w:eastAsia="zh-CN"/>
        </w:rPr>
        <w:t>42</w:t>
      </w:r>
      <w:r>
        <w:rPr>
          <w:rFonts w:ascii="宋体" w:hAnsi="宋体" w:cs="宋体" w:hint="eastAsia"/>
          <w:bCs/>
          <w:szCs w:val="21"/>
          <w:lang w:eastAsia="zh-CN"/>
        </w:rPr>
        <w:t>层；广东省珠海市横琴新区荣粤道</w:t>
      </w:r>
      <w:r>
        <w:rPr>
          <w:rFonts w:ascii="宋体" w:hAnsi="宋体" w:cs="宋体"/>
          <w:bCs/>
          <w:szCs w:val="21"/>
          <w:lang w:eastAsia="zh-CN"/>
        </w:rPr>
        <w:t>188</w:t>
      </w:r>
      <w:r>
        <w:rPr>
          <w:rFonts w:ascii="宋体" w:hAnsi="宋体" w:cs="宋体" w:hint="eastAsia"/>
          <w:bCs/>
          <w:szCs w:val="21"/>
          <w:lang w:eastAsia="zh-CN"/>
        </w:rPr>
        <w:t>号</w:t>
      </w:r>
      <w:r>
        <w:rPr>
          <w:rFonts w:ascii="宋体" w:hAnsi="宋体" w:cs="宋体"/>
          <w:bCs/>
          <w:szCs w:val="21"/>
          <w:lang w:eastAsia="zh-CN"/>
        </w:rPr>
        <w:t>6</w:t>
      </w:r>
      <w:r>
        <w:rPr>
          <w:rFonts w:ascii="宋体" w:hAnsi="宋体" w:cs="宋体" w:hint="eastAsia"/>
          <w:bCs/>
          <w:szCs w:val="21"/>
          <w:lang w:eastAsia="zh-CN"/>
        </w:rPr>
        <w:t>层</w:t>
      </w:r>
    </w:p>
    <w:p w:rsidR="002B1026">
      <w:pPr>
        <w:spacing w:line="360" w:lineRule="auto"/>
        <w:ind w:firstLine="420"/>
        <w:rPr>
          <w:rFonts w:ascii="宋体" w:hAnsi="Calibri"/>
          <w:bCs/>
          <w:lang w:eastAsia="zh-CN"/>
        </w:rPr>
      </w:pPr>
      <w:r>
        <w:rPr>
          <w:bCs/>
          <w:lang w:eastAsia="zh-CN"/>
        </w:rPr>
        <w:t>设立日期：</w:t>
      </w:r>
      <w:r>
        <w:rPr>
          <w:rFonts w:ascii="宋体" w:hAnsi="宋体" w:cs="宋体"/>
          <w:bCs/>
          <w:lang w:eastAsia="zh-CN"/>
        </w:rPr>
        <w:t>2001</w:t>
      </w:r>
      <w:r>
        <w:rPr>
          <w:bCs/>
          <w:lang w:eastAsia="zh-CN"/>
        </w:rPr>
        <w:t>年</w:t>
      </w:r>
      <w:r>
        <w:rPr>
          <w:rFonts w:ascii="宋体" w:hAnsi="宋体" w:cs="宋体"/>
          <w:bCs/>
          <w:lang w:eastAsia="zh-CN"/>
        </w:rPr>
        <w:t>4</w:t>
      </w:r>
      <w:r>
        <w:rPr>
          <w:bCs/>
          <w:lang w:eastAsia="zh-CN"/>
        </w:rPr>
        <w:t>月</w:t>
      </w:r>
      <w:r>
        <w:rPr>
          <w:rFonts w:ascii="宋体" w:hAnsi="宋体" w:cs="宋体"/>
          <w:bCs/>
          <w:lang w:eastAsia="zh-CN"/>
        </w:rPr>
        <w:t>17</w:t>
      </w:r>
      <w:r>
        <w:rPr>
          <w:bCs/>
          <w:lang w:eastAsia="zh-CN"/>
        </w:rPr>
        <w:t>日</w:t>
      </w:r>
    </w:p>
    <w:p w:rsidR="002B1026">
      <w:pPr>
        <w:spacing w:line="360" w:lineRule="auto"/>
        <w:ind w:firstLine="420"/>
        <w:rPr>
          <w:rFonts w:ascii="宋体" w:hAnsi="Calibri"/>
          <w:bCs/>
          <w:lang w:eastAsia="zh-CN"/>
        </w:rPr>
      </w:pPr>
      <w:r>
        <w:rPr>
          <w:bCs/>
          <w:lang w:eastAsia="zh-CN"/>
        </w:rPr>
        <w:t>法定代表人：吴欣荣</w:t>
      </w:r>
      <w:r>
        <w:rPr>
          <w:rFonts w:ascii="宋体" w:hAnsi="宋体" w:cs="宋体"/>
          <w:bCs/>
          <w:lang w:eastAsia="zh-CN"/>
        </w:rPr>
        <w:t xml:space="preserve"> </w:t>
      </w:r>
    </w:p>
    <w:p w:rsidR="002B1026">
      <w:pPr>
        <w:spacing w:line="360" w:lineRule="auto"/>
        <w:ind w:firstLine="420"/>
        <w:rPr>
          <w:rFonts w:ascii="宋体" w:hAnsi="Calibri"/>
          <w:bCs/>
          <w:lang w:eastAsia="zh-CN"/>
        </w:rPr>
      </w:pPr>
      <w:r>
        <w:rPr>
          <w:bCs/>
          <w:lang w:eastAsia="zh-CN"/>
        </w:rPr>
        <w:t>联系电话：</w:t>
      </w:r>
      <w:r>
        <w:rPr>
          <w:rFonts w:ascii="宋体" w:hAnsi="宋体" w:cs="宋体"/>
          <w:bCs/>
          <w:lang w:eastAsia="zh-CN"/>
        </w:rPr>
        <w:t>400 881 8088</w:t>
      </w:r>
    </w:p>
    <w:p w:rsidR="002B1026">
      <w:pPr>
        <w:spacing w:line="360" w:lineRule="auto"/>
        <w:ind w:firstLine="420"/>
        <w:rPr>
          <w:rFonts w:ascii="宋体" w:hAnsi="Calibri"/>
          <w:bCs/>
          <w:lang w:eastAsia="zh-CN"/>
        </w:rPr>
      </w:pPr>
      <w:r>
        <w:rPr>
          <w:bCs/>
          <w:lang w:eastAsia="zh-CN"/>
        </w:rPr>
        <w:t>联系人：李红枫</w:t>
      </w:r>
    </w:p>
    <w:p w:rsidR="002B1026">
      <w:pPr>
        <w:spacing w:line="360" w:lineRule="auto"/>
        <w:ind w:firstLine="420"/>
        <w:rPr>
          <w:rFonts w:ascii="宋体" w:hAnsi="Calibri"/>
          <w:bCs/>
          <w:lang w:eastAsia="zh-CN"/>
        </w:rPr>
      </w:pPr>
      <w:r>
        <w:rPr>
          <w:bCs/>
          <w:lang w:eastAsia="zh-CN"/>
        </w:rPr>
        <w:t>注册资本：</w:t>
      </w:r>
      <w:r>
        <w:rPr>
          <w:rFonts w:ascii="宋体" w:hAnsi="宋体" w:cs="宋体"/>
          <w:bCs/>
          <w:lang w:eastAsia="zh-CN"/>
        </w:rPr>
        <w:t>13,244.2</w:t>
      </w:r>
      <w:r>
        <w:rPr>
          <w:bCs/>
          <w:lang w:eastAsia="zh-CN"/>
        </w:rPr>
        <w:t>万元人民币</w:t>
      </w:r>
    </w:p>
    <w:p w:rsidR="002B1026">
      <w:pPr>
        <w:spacing w:line="360" w:lineRule="auto"/>
        <w:ind w:firstLine="420"/>
        <w:rPr>
          <w:rFonts w:ascii="宋体" w:hAnsi="Calibri"/>
          <w:bCs/>
          <w:lang w:eastAsia="zh-CN"/>
        </w:rPr>
      </w:pPr>
      <w:r>
        <w:rPr>
          <w:bCs/>
          <w:lang w:eastAsia="zh-CN"/>
        </w:rPr>
        <w:t>批准设立机关及文号：中国证券监督管理委员会，证监基金字</w:t>
      </w:r>
      <w:r>
        <w:rPr>
          <w:rFonts w:ascii="宋体" w:hAnsi="宋体" w:cs="宋体"/>
          <w:bCs/>
          <w:lang w:eastAsia="zh-CN"/>
        </w:rPr>
        <w:t>[2001]4</w:t>
      </w:r>
      <w:r>
        <w:rPr>
          <w:bCs/>
          <w:lang w:eastAsia="zh-CN"/>
        </w:rPr>
        <w:t>号</w:t>
      </w:r>
    </w:p>
    <w:p w:rsidR="002B1026">
      <w:pPr>
        <w:spacing w:line="360" w:lineRule="auto"/>
        <w:ind w:firstLine="420"/>
        <w:rPr>
          <w:rFonts w:ascii="宋体" w:hAnsi="Calibri"/>
          <w:bCs/>
          <w:lang w:eastAsia="zh-CN"/>
        </w:rPr>
      </w:pPr>
      <w:r>
        <w:rPr>
          <w:bCs/>
          <w:lang w:eastAsia="zh-CN"/>
        </w:rPr>
        <w:t>经营范围：公开募集证券投资基金管理、基金销售、特定客户资产管理</w:t>
      </w:r>
    </w:p>
    <w:p w:rsidR="002B1026">
      <w:pPr>
        <w:spacing w:line="360" w:lineRule="auto"/>
        <w:ind w:firstLine="420"/>
        <w:rPr>
          <w:rFonts w:ascii="宋体" w:hAnsi="Calibri"/>
          <w:bCs/>
        </w:rPr>
      </w:pPr>
      <w:r>
        <w:rPr>
          <w:rFonts w:ascii="宋体" w:hAnsi="Calibri" w:hint="eastAsia"/>
          <w:bCs/>
          <w:highlight w:val="white"/>
        </w:rPr>
        <w:t>2、股权结构：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出资比例</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B1026">
            <w:pPr>
              <w:ind w:firstLine="420"/>
              <w:rPr>
                <w:rFonts w:ascii="宋体" w:hAnsi="宋体"/>
                <w:lang w:eastAsia="zh-CN"/>
              </w:rPr>
            </w:pPr>
            <w:r>
              <w:rPr>
                <w:rFonts w:ascii="宋体" w:hAnsi="宋体"/>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B1026">
            <w:pPr>
              <w:ind w:firstLine="420"/>
              <w:rPr>
                <w:rFonts w:ascii="宋体" w:hAnsi="宋体"/>
                <w:lang w:eastAsia="zh-CN"/>
              </w:rPr>
            </w:pPr>
            <w:r>
              <w:rPr>
                <w:rFonts w:ascii="宋体" w:hAnsi="宋体"/>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B1026">
            <w:pPr>
              <w:ind w:firstLine="420"/>
              <w:rPr>
                <w:rFonts w:ascii="宋体" w:hAnsi="宋体"/>
              </w:rPr>
            </w:pPr>
            <w:r>
              <w:rPr>
                <w:rFonts w:ascii="宋体" w:hAnsi="宋体"/>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B1026">
            <w:pPr>
              <w:ind w:firstLine="420"/>
              <w:rPr>
                <w:rFonts w:ascii="宋体" w:hAnsi="宋体"/>
                <w:lang w:eastAsia="zh-CN"/>
              </w:rPr>
            </w:pPr>
            <w:r>
              <w:rPr>
                <w:rFonts w:ascii="宋体" w:hAnsi="宋体"/>
                <w:lang w:eastAsia="zh-CN"/>
              </w:rPr>
              <w:t>广东省广晟控股集团有限公司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15.1010％</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B1026">
            <w:pPr>
              <w:ind w:firstLine="420"/>
              <w:rPr>
                <w:rFonts w:ascii="宋体" w:hAnsi="宋体"/>
                <w:lang w:eastAsia="zh-CN"/>
              </w:rPr>
            </w:pPr>
            <w:r>
              <w:rPr>
                <w:rFonts w:ascii="宋体" w:hAnsi="宋体"/>
                <w:lang w:eastAsia="zh-CN"/>
              </w:rPr>
              <w:t>广州市广永国有资产经营有限公司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7.5505％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B1026">
            <w:pPr>
              <w:ind w:firstLine="420"/>
              <w:rPr>
                <w:rFonts w:ascii="宋体" w:hAnsi="宋体"/>
                <w:lang w:eastAsia="zh-CN"/>
              </w:rPr>
            </w:pPr>
            <w:r>
              <w:rPr>
                <w:rFonts w:ascii="宋体" w:hAnsi="宋体"/>
                <w:lang w:eastAsia="zh-CN"/>
              </w:rPr>
              <w:t>珠海祺荣宝投资合伙企业（有限合伙）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1.5087％</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B1026">
            <w:pPr>
              <w:ind w:firstLine="420"/>
              <w:rPr>
                <w:rFonts w:ascii="宋体" w:hAnsi="宋体"/>
                <w:lang w:eastAsia="zh-CN"/>
              </w:rPr>
            </w:pPr>
            <w:r>
              <w:rPr>
                <w:rFonts w:ascii="宋体" w:hAnsi="宋体"/>
                <w:lang w:eastAsia="zh-CN"/>
              </w:rPr>
              <w:t>珠海祺泰宝投资合伙企业（有限合伙）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1.6205％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B1026">
            <w:pPr>
              <w:ind w:firstLine="420"/>
              <w:rPr>
                <w:rFonts w:ascii="宋体" w:hAnsi="宋体"/>
                <w:lang w:eastAsia="zh-CN"/>
              </w:rPr>
            </w:pPr>
            <w:r>
              <w:rPr>
                <w:rFonts w:ascii="宋体" w:hAnsi="宋体"/>
                <w:lang w:eastAsia="zh-CN"/>
              </w:rPr>
              <w:t>珠海祺丰宝投资合伙企业（有限合伙）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1.5309％</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B1026">
            <w:pPr>
              <w:ind w:firstLine="420"/>
              <w:rPr>
                <w:rFonts w:ascii="宋体" w:hAnsi="宋体"/>
                <w:lang w:eastAsia="zh-CN"/>
              </w:rPr>
            </w:pPr>
            <w:r>
              <w:rPr>
                <w:rFonts w:ascii="宋体" w:hAnsi="宋体"/>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1.7558％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B1026">
            <w:pPr>
              <w:ind w:firstLine="420"/>
              <w:rPr>
                <w:rFonts w:ascii="宋体" w:hAnsi="宋体"/>
                <w:lang w:eastAsia="zh-CN"/>
              </w:rPr>
            </w:pPr>
            <w:r>
              <w:rPr>
                <w:rFonts w:ascii="宋体" w:hAnsi="宋体"/>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1.4396％</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2B1026">
            <w:pPr>
              <w:ind w:firstLine="420"/>
              <w:rPr>
                <w:rFonts w:ascii="宋体" w:hAnsi="宋体"/>
                <w:lang w:eastAsia="zh-CN"/>
              </w:rPr>
            </w:pPr>
            <w:r>
              <w:rPr>
                <w:rFonts w:ascii="宋体" w:hAnsi="宋体"/>
                <w:lang w:eastAsia="zh-CN"/>
              </w:rPr>
              <w:t>珠海聚弘康投资合伙企业（有限合伙）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1.5388％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2B1026">
            <w:pPr>
              <w:ind w:firstLine="420"/>
              <w:rPr>
                <w:rFonts w:ascii="宋体" w:hAnsi="宋体"/>
              </w:rPr>
            </w:pPr>
            <w:r>
              <w:rPr>
                <w:rFonts w:ascii="宋体" w:hAnsi="宋体"/>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2B1026">
            <w:pPr>
              <w:ind w:firstLine="420"/>
              <w:jc w:val="center"/>
              <w:rPr>
                <w:rFonts w:ascii="宋体" w:hAnsi="宋体"/>
              </w:rPr>
            </w:pPr>
            <w:r>
              <w:rPr>
                <w:rFonts w:ascii="宋体" w:hAnsi="宋体"/>
              </w:rPr>
              <w:t>100％</w:t>
            </w:r>
          </w:p>
        </w:tc>
      </w:tr>
    </w:tbl>
    <w:p w:rsidR="002B1026"/>
    <w:p w:rsidR="002B1026">
      <w:pPr>
        <w:spacing w:line="360" w:lineRule="auto"/>
        <w:ind w:firstLine="420"/>
        <w:rPr>
          <w:rFonts w:ascii="宋体" w:hAnsi="Calibri"/>
          <w:bCs/>
        </w:rPr>
      </w:pPr>
      <w:r>
        <w:rPr>
          <w:rFonts w:ascii="宋体" w:hAnsi="Calibri" w:hint="eastAsia"/>
          <w:bCs/>
          <w:highlight w:val="white"/>
        </w:rPr>
        <w:t>二、主要人员情况</w:t>
      </w:r>
    </w:p>
    <w:p w:rsidR="002B1026">
      <w:pPr>
        <w:spacing w:line="360" w:lineRule="auto"/>
        <w:ind w:firstLine="420"/>
        <w:rPr>
          <w:bCs/>
          <w:lang w:eastAsia="zh-CN"/>
        </w:rPr>
      </w:pPr>
      <w:r>
        <w:rPr>
          <w:rFonts w:ascii="宋体" w:hAnsi="宋体" w:cs="宋体"/>
          <w:bCs/>
          <w:highlight w:val="white"/>
          <w:lang w:eastAsia="zh-CN"/>
        </w:rPr>
        <w:t>1</w:t>
      </w:r>
      <w:r>
        <w:rPr>
          <w:rFonts w:hint="eastAsia"/>
          <w:bCs/>
          <w:highlight w:val="white"/>
          <w:lang w:eastAsia="zh-CN"/>
        </w:rPr>
        <w:t>、董事、监事及高级管理人员</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刘晓艳女士，经济学博士。现任易方达基金管理有限公司董事长，易方达资产管理（新加坡）有限公司董事长，广州投资顾问学院管理有限公司董事。曾任广发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吴欣荣先生，工学硕士。现任易方达基金管理有限公司董事、总经理，易方达资产管理（香港）有限公司董事长。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王麒麟先生，管理学、法学学士。现任易方达基金管理有限公司董事，广东粤财信托有限公司党委副书记、董事、总经理。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陈媛女士，经济学硕士。现任易方达基金管理有限公司董事，广东省广晟财务有限公司董事、总经理。曾任广东省广晟财务有限公司资金业务部副部长（主持工作）、资金业务部部长、融资管控部部长，广东省广晟控股集团有限公司财务管理部副部长、资本运营部部长。</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王承志先生，法学博士。现任易方达基金管理有限公司独立董事，中山大学法学院副教授、博士生导师，广东省法学会国际法学研究会秘书长，中国国际私法学会理事，广东神朗律师事务所兼职律师，深圳市美之高科技股份有限公司独立董事，祥鑫科技股份有限公司独立董事，广州恒运企业集团股份有限公司独立董事。曾任美国天普大学法学院访问副教授，广东凯金新能源科技股份有限公司独立董事，江苏凯强医学检验有限公司董事，广东茉莉数字科技集团股份有限公司独立董事，艾尔玛科技股份有限公司独立董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中融人寿保险股份有限公司独立董事</w:t>
      </w:r>
      <w:r w:rsidRPr="00F0158B">
        <w:rPr>
          <w:rFonts w:hint="eastAsia"/>
          <w:szCs w:val="21"/>
          <w:lang w:eastAsia="zh-CN"/>
        </w:rPr>
        <w:t>,</w:t>
      </w:r>
      <w:r w:rsidRPr="00F0158B">
        <w:rPr>
          <w:rFonts w:hint="eastAsia"/>
          <w:szCs w:val="21"/>
          <w:lang w:eastAsia="zh-CN"/>
        </w:rPr>
        <w:t>深圳市力合科创股份有限公司独立董事，固生堂控股有限公司非执行董事。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w:t>
      </w:r>
      <w:r w:rsidRPr="00F0158B">
        <w:rPr>
          <w:rFonts w:hint="eastAsia"/>
          <w:szCs w:val="21"/>
          <w:lang w:eastAsia="zh-CN"/>
        </w:rPr>
        <w:t>DBA</w:t>
      </w:r>
      <w:r w:rsidRPr="00F0158B">
        <w:rPr>
          <w:rFonts w:hint="eastAsia"/>
          <w:szCs w:val="21"/>
          <w:lang w:eastAsia="zh-CN"/>
        </w:rPr>
        <w:t>项目副院长、创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曾任广东证券股份有限公司基金部主管，易方达基金管理有限公司综合管理部副总经理、人力资源部副总经理、市场部总经理、互联网金融部总经理、综合管理部总经理、行政管理部总经理，广东粤财互联网金融股份有限公司董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吴镝先生，经济学硕士。现任易方达基金管理有限公司监事、人力资源部总经理、办公室总经理，易方达资产管理有限公司董事，易方达私募基金管理有限公司董事，易方达财富管理基金销售（广州）有限公司董事，易方达资产管理（香港）有限公司董事，易方达资产管理（新加坡）有限公司董事。曾任江南证券有限责任公司职员，金鹰基金管理有限公司投资管理部交易员，易方达基金管理有限公司集中交易室交易员、总经理助理、副总经理，研究部总经理助理、副总经理，权益运作支持部总经理。</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马骏先生，工商管理硕士（</w:t>
      </w:r>
      <w:r w:rsidRPr="00F0158B">
        <w:rPr>
          <w:rFonts w:hint="eastAsia"/>
          <w:szCs w:val="21"/>
          <w:lang w:eastAsia="zh-CN"/>
        </w:rPr>
        <w:t>EMBA</w:t>
      </w:r>
      <w:r w:rsidRPr="00F0158B">
        <w:rPr>
          <w:rFonts w:hint="eastAsia"/>
          <w:szCs w:val="21"/>
          <w:lang w:eastAsia="zh-CN"/>
        </w:rPr>
        <w:t>）。现任易方达基金管理有限公司副总经理级高级管理人员、固定收益投资决策委员会委员、基础设施资产管理委员会委员，易方达资产管理有限公司董事，易方达私募基金管理有限公司董事长，易方达资产管理（香港）有限公司</w:t>
      </w:r>
      <w:r w:rsidRPr="00F0158B">
        <w:rPr>
          <w:rFonts w:hint="eastAsia"/>
          <w:szCs w:val="21"/>
          <w:lang w:eastAsia="zh-CN"/>
        </w:rPr>
        <w:t>QFI</w:t>
      </w:r>
      <w:r w:rsidRPr="00F0158B">
        <w:rPr>
          <w:rFonts w:hint="eastAsia"/>
          <w:szCs w:val="21"/>
          <w:lang w:eastAsia="zh-CN"/>
        </w:rPr>
        <w:t>业务负责人。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董事长、市场及产品委员会委员。</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娄利舟女士，工商管理硕士（</w:t>
      </w:r>
      <w:r w:rsidRPr="00F0158B">
        <w:rPr>
          <w:rFonts w:hint="eastAsia"/>
          <w:szCs w:val="21"/>
          <w:lang w:eastAsia="zh-CN"/>
        </w:rPr>
        <w:t>EMBA</w:t>
      </w:r>
      <w:r w:rsidRPr="00F0158B">
        <w:rPr>
          <w:rFonts w:hint="eastAsia"/>
          <w:szCs w:val="21"/>
          <w:lang w:eastAsia="zh-CN"/>
        </w:rPr>
        <w:t>）、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w:t>
      </w:r>
      <w:r w:rsidRPr="00F0158B">
        <w:rPr>
          <w:rFonts w:hint="eastAsia"/>
          <w:szCs w:val="21"/>
          <w:lang w:eastAsia="zh-CN"/>
        </w:rPr>
        <w:t>FOF</w:t>
      </w:r>
      <w:r w:rsidRPr="00F0158B">
        <w:rPr>
          <w:rFonts w:hint="eastAsia"/>
          <w:szCs w:val="21"/>
          <w:lang w:eastAsia="zh-CN"/>
        </w:rPr>
        <w:t>投资决策委员会委员，易方达资产管理有限公司总经理、董事长。</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陈荣女士，经济学博士。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陈丽园女士，管理学硕士、法律硕士。现任易方达基金管理有限公司副总经理级高级管理人员，易方达财富管理基金销售（广州）有限公司董事，易方达国际控股有限公司董事，易方达资产管理（新加坡）有限公司董事。曾任易方达基金管理有限公司监察部监察员、总经理助理、副总经理、总经理，监察与合规管理总部总经理兼合规内审部总经理，首席营运官，易方达资产管理有限公司董事，易方达资产管理（香港）有限公司董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杨冬梅女士，工商管理博士。现任易方达基金管理有限公司副总经理级高级管理人员、董事会秘书，易方达财富管理基金销售（广州）有限公司董事，易方达国际控股有限公司董事，易方达资产管理（新加坡）有限公司董事。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王玉女士，法学硕士。现任易方达基金管理有限公司督察长、内审稽核部总经理、发展研究中心总经理，易方达财富管理基金销售（广州）有限公司董事，易方达国际控股有限公司董事。曾在北京市国枫律师事务所、中国证监会工作，曾任易方达基金管理有限公司公司法律事务部总经理，易方达资产管理有限公司董事。</w:t>
      </w:r>
    </w:p>
    <w:p w:rsidR="00F0158B" w:rsidRPr="00F0158B" w:rsidP="00F0158B">
      <w:pPr>
        <w:spacing w:line="360" w:lineRule="auto"/>
        <w:ind w:firstLine="420"/>
        <w:rPr>
          <w:szCs w:val="21"/>
          <w:shd w:val="clear" w:color="auto" w:fill="FFFFFF"/>
          <w:lang w:eastAsia="zh-CN"/>
        </w:rPr>
      </w:pPr>
      <w:r w:rsidRPr="00F0158B">
        <w:rPr>
          <w:rFonts w:hint="eastAsia"/>
          <w:szCs w:val="21"/>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2B1026">
      <w:pPr>
        <w:spacing w:line="360" w:lineRule="auto"/>
        <w:ind w:firstLine="420" w:firstLineChars="200"/>
        <w:rPr>
          <w:rFonts w:ascii="Calibri" w:hAnsi="Calibri" w:cs="Times New Roman"/>
          <w:lang w:eastAsia="zh-CN"/>
        </w:rPr>
      </w:pPr>
      <w:r w:rsidRPr="00F0158B">
        <w:rPr>
          <w:rFonts w:hint="eastAsia"/>
          <w:szCs w:val="21"/>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p>
    <w:p w:rsidR="002B1026">
      <w:pPr>
        <w:spacing w:line="360" w:lineRule="auto"/>
        <w:ind w:firstLine="420"/>
        <w:rPr>
          <w:bCs/>
          <w:lang w:eastAsia="zh-CN"/>
        </w:rPr>
      </w:pPr>
      <w:r>
        <w:rPr>
          <w:rFonts w:ascii="宋体" w:hAnsi="宋体" w:cs="宋体"/>
          <w:bCs/>
          <w:highlight w:val="white"/>
          <w:lang w:eastAsia="zh-CN"/>
        </w:rPr>
        <w:t>2</w:t>
      </w:r>
      <w:r>
        <w:rPr>
          <w:rFonts w:hint="eastAsia"/>
          <w:bCs/>
          <w:highlight w:val="white"/>
          <w:lang w:eastAsia="zh-CN"/>
        </w:rPr>
        <w:t>、基金经理</w:t>
      </w:r>
    </w:p>
    <w:p w:rsidR="00ED7CC5">
      <w:pPr>
        <w:spacing w:line="360" w:lineRule="auto"/>
        <w:ind w:firstLine="420"/>
        <w:rPr>
          <w:bCs/>
          <w:lang w:eastAsia="zh-CN"/>
        </w:rPr>
      </w:pPr>
      <w:r>
        <w:rPr>
          <w:rFonts w:hint="eastAsia"/>
          <w:bCs/>
          <w:lang w:eastAsia="zh-CN"/>
        </w:rPr>
        <w:t>刘先宇先生，金融硕士，本基金的基金经理。现任易方达基金管理有限公司基金经理、研究员。刘先宇历任基金经理的基金如下：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ED7CC5">
            <w:r>
              <w:rPr>
                <w:rFonts w:hint="eastAsia"/>
                <w:b/>
                <w:szCs w:val="21"/>
              </w:rPr>
              <w:t>历任基金经理的基金</w:t>
            </w:r>
          </w:p>
        </w:tc>
        <w:tc>
          <w:tcPr>
            <w:tcW w:w="1835" w:type="dxa"/>
          </w:tcPr>
          <w:p w:rsidR="00ED7CC5">
            <w:pPr>
              <w:jc w:val="center"/>
            </w:pPr>
            <w:r>
              <w:rPr>
                <w:rFonts w:hint="eastAsia"/>
                <w:b/>
                <w:szCs w:val="21"/>
              </w:rPr>
              <w:t>任职时间</w:t>
            </w:r>
          </w:p>
        </w:tc>
        <w:tc>
          <w:tcPr>
            <w:tcW w:w="1835" w:type="dxa"/>
          </w:tcPr>
          <w:p w:rsidR="00ED7CC5">
            <w:pPr>
              <w:jc w:val="center"/>
            </w:pPr>
            <w:r>
              <w:rPr>
                <w:rFonts w:hint="eastAsia"/>
                <w:b/>
                <w:szCs w:val="21"/>
              </w:rPr>
              <w:t>离任时间</w:t>
            </w:r>
          </w:p>
        </w:tc>
      </w:tr>
      <w:tr>
        <w:tblPrEx>
          <w:tblW w:w="0" w:type="auto"/>
          <w:jc w:val="center"/>
          <w:tblLayout w:type="fixed"/>
          <w:tblLook w:val="04A0"/>
        </w:tblPrEx>
        <w:trPr>
          <w:trHeight w:val="360"/>
          <w:jc w:val="center"/>
        </w:trPr>
        <w:tc>
          <w:tcPr>
            <w:tcW w:w="4626" w:type="dxa"/>
          </w:tcPr>
          <w:p w:rsidR="00ED7CC5">
            <w:pPr>
              <w:rPr>
                <w:lang w:eastAsia="zh-CN"/>
              </w:rPr>
            </w:pPr>
            <w:r>
              <w:rPr>
                <w:rFonts w:hint="eastAsia"/>
                <w:szCs w:val="21"/>
                <w:lang w:eastAsia="zh-CN"/>
              </w:rPr>
              <w:t>易方达稳健腾享六个月持有混合（</w:t>
            </w:r>
            <w:r>
              <w:rPr>
                <w:rFonts w:hint="eastAsia"/>
                <w:szCs w:val="21"/>
                <w:lang w:eastAsia="zh-CN"/>
              </w:rPr>
              <w:t>FOF</w:t>
            </w:r>
            <w:r>
              <w:rPr>
                <w:rFonts w:hint="eastAsia"/>
                <w:szCs w:val="21"/>
                <w:lang w:eastAsia="zh-CN"/>
              </w:rPr>
              <w:t>）</w:t>
            </w:r>
          </w:p>
        </w:tc>
        <w:tc>
          <w:tcPr>
            <w:tcW w:w="1835" w:type="dxa"/>
          </w:tcPr>
          <w:p w:rsidR="00ED7CC5">
            <w:pPr>
              <w:rPr>
                <w:lang w:eastAsia="zh-CN"/>
              </w:rPr>
            </w:pPr>
            <w:r>
              <w:rPr>
                <w:rFonts w:hint="eastAsia"/>
                <w:szCs w:val="21"/>
                <w:lang w:eastAsia="zh-CN"/>
              </w:rPr>
              <w:t>2024-05-10</w:t>
            </w:r>
          </w:p>
        </w:tc>
        <w:tc>
          <w:tcPr>
            <w:tcW w:w="1835" w:type="dxa"/>
          </w:tcPr>
          <w:p w:rsidR="00ED7CC5">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ED7CC5">
            <w:pPr>
              <w:rPr>
                <w:lang w:eastAsia="zh-CN"/>
              </w:rPr>
            </w:pPr>
            <w:r>
              <w:rPr>
                <w:rFonts w:hint="eastAsia"/>
                <w:szCs w:val="21"/>
                <w:lang w:eastAsia="zh-CN"/>
              </w:rPr>
              <w:t>易方达如意盈享</w:t>
            </w:r>
            <w:r>
              <w:rPr>
                <w:rFonts w:hint="eastAsia"/>
                <w:szCs w:val="21"/>
                <w:lang w:eastAsia="zh-CN"/>
              </w:rPr>
              <w:t>6</w:t>
            </w:r>
            <w:r>
              <w:rPr>
                <w:rFonts w:hint="eastAsia"/>
                <w:szCs w:val="21"/>
                <w:lang w:eastAsia="zh-CN"/>
              </w:rPr>
              <w:t>个月持有混合发起式（</w:t>
            </w:r>
            <w:r>
              <w:rPr>
                <w:rFonts w:hint="eastAsia"/>
                <w:szCs w:val="21"/>
                <w:lang w:eastAsia="zh-CN"/>
              </w:rPr>
              <w:t>FOF</w:t>
            </w:r>
            <w:r>
              <w:rPr>
                <w:rFonts w:hint="eastAsia"/>
                <w:szCs w:val="21"/>
                <w:lang w:eastAsia="zh-CN"/>
              </w:rPr>
              <w:t>）</w:t>
            </w:r>
          </w:p>
        </w:tc>
        <w:tc>
          <w:tcPr>
            <w:tcW w:w="1835" w:type="dxa"/>
          </w:tcPr>
          <w:p w:rsidR="00ED7CC5">
            <w:pPr>
              <w:rPr>
                <w:lang w:eastAsia="zh-CN"/>
              </w:rPr>
            </w:pPr>
            <w:r>
              <w:rPr>
                <w:rFonts w:hint="eastAsia"/>
                <w:szCs w:val="21"/>
                <w:lang w:eastAsia="zh-CN"/>
              </w:rPr>
              <w:t>2025-12-26</w:t>
            </w:r>
          </w:p>
        </w:tc>
        <w:tc>
          <w:tcPr>
            <w:tcW w:w="1835" w:type="dxa"/>
          </w:tcPr>
          <w:p w:rsidR="00ED7CC5">
            <w:pPr>
              <w:rPr>
                <w:lang w:eastAsia="zh-CN"/>
              </w:rPr>
            </w:pPr>
            <w:r>
              <w:rPr>
                <w:rFonts w:hint="eastAsia"/>
                <w:szCs w:val="21"/>
                <w:lang w:eastAsia="zh-CN"/>
              </w:rPr>
              <w:t>-</w:t>
            </w:r>
          </w:p>
        </w:tc>
      </w:tr>
      <w:tr>
        <w:tblPrEx>
          <w:tblW w:w="0" w:type="auto"/>
          <w:jc w:val="center"/>
          <w:tblLayout w:type="fixed"/>
          <w:tblLook w:val="04A0"/>
        </w:tblPrEx>
        <w:trPr>
          <w:trHeight w:val="360"/>
          <w:jc w:val="center"/>
        </w:trPr>
        <w:tc>
          <w:tcPr>
            <w:tcW w:w="4626" w:type="dxa"/>
          </w:tcPr>
          <w:p w:rsidR="00ED2895">
            <w:pPr>
              <w:rPr>
                <w:rFonts w:hint="eastAsia"/>
                <w:szCs w:val="21"/>
                <w:lang w:eastAsia="zh-CN"/>
              </w:rPr>
            </w:pPr>
            <w:r w:rsidRPr="00ED2895">
              <w:rPr>
                <w:rFonts w:hint="eastAsia"/>
                <w:szCs w:val="21"/>
                <w:lang w:eastAsia="zh-CN"/>
              </w:rPr>
              <w:t>易方达如意安瑞</w:t>
            </w:r>
            <w:r w:rsidRPr="00ED2895">
              <w:rPr>
                <w:rFonts w:hint="eastAsia"/>
                <w:szCs w:val="21"/>
                <w:lang w:eastAsia="zh-CN"/>
              </w:rPr>
              <w:t>3</w:t>
            </w:r>
            <w:r w:rsidRPr="00ED2895">
              <w:rPr>
                <w:rFonts w:hint="eastAsia"/>
                <w:szCs w:val="21"/>
                <w:lang w:eastAsia="zh-CN"/>
              </w:rPr>
              <w:t>个月持有混合（</w:t>
            </w:r>
            <w:r w:rsidRPr="00ED2895">
              <w:rPr>
                <w:rFonts w:hint="eastAsia"/>
                <w:szCs w:val="21"/>
                <w:lang w:eastAsia="zh-CN"/>
              </w:rPr>
              <w:t>FOF</w:t>
            </w:r>
            <w:r w:rsidRPr="00ED2895">
              <w:rPr>
                <w:rFonts w:hint="eastAsia"/>
                <w:szCs w:val="21"/>
                <w:lang w:eastAsia="zh-CN"/>
              </w:rPr>
              <w:t>）</w:t>
            </w:r>
          </w:p>
        </w:tc>
        <w:tc>
          <w:tcPr>
            <w:tcW w:w="1835" w:type="dxa"/>
          </w:tcPr>
          <w:p w:rsidR="00ED2895">
            <w:pPr>
              <w:rPr>
                <w:rFonts w:hint="eastAsia"/>
                <w:szCs w:val="21"/>
                <w:lang w:eastAsia="zh-CN"/>
              </w:rPr>
            </w:pPr>
            <w:r>
              <w:rPr>
                <w:rFonts w:hint="eastAsia"/>
                <w:szCs w:val="21"/>
                <w:lang w:eastAsia="zh-CN"/>
              </w:rPr>
              <w:t>2</w:t>
            </w:r>
            <w:r>
              <w:rPr>
                <w:szCs w:val="21"/>
                <w:lang w:eastAsia="zh-CN"/>
              </w:rPr>
              <w:t>026-04-17</w:t>
            </w:r>
          </w:p>
        </w:tc>
        <w:tc>
          <w:tcPr>
            <w:tcW w:w="1835" w:type="dxa"/>
          </w:tcPr>
          <w:p w:rsidR="00ED2895">
            <w:pPr>
              <w:rPr>
                <w:rFonts w:hint="eastAsia"/>
                <w:szCs w:val="21"/>
                <w:lang w:eastAsia="zh-CN"/>
              </w:rPr>
            </w:pPr>
            <w:r>
              <w:rPr>
                <w:rFonts w:hint="eastAsia"/>
                <w:szCs w:val="21"/>
                <w:lang w:eastAsia="zh-CN"/>
              </w:rPr>
              <w:t>-</w:t>
            </w:r>
            <w:bookmarkStart w:id="7" w:name="_GoBack"/>
            <w:bookmarkEnd w:id="7"/>
          </w:p>
        </w:tc>
      </w:tr>
    </w:tbl>
    <w:p w:rsidR="002B1026">
      <w:pPr>
        <w:spacing w:line="360" w:lineRule="auto"/>
        <w:ind w:firstLine="420"/>
        <w:rPr>
          <w:bCs/>
          <w:lang w:eastAsia="zh-CN"/>
        </w:rPr>
      </w:pPr>
      <w:r>
        <w:rPr>
          <w:rFonts w:hint="eastAsia"/>
          <w:bCs/>
          <w:lang w:eastAsia="zh-CN"/>
        </w:rPr>
        <w:t>3</w:t>
      </w:r>
      <w:r>
        <w:rPr>
          <w:rFonts w:hint="eastAsia"/>
          <w:bCs/>
          <w:lang w:eastAsia="zh-CN"/>
        </w:rPr>
        <w:t>、</w:t>
      </w:r>
      <w:r w:rsidRPr="002137ED">
        <w:rPr>
          <w:rFonts w:hint="eastAsia"/>
          <w:bCs/>
          <w:lang w:eastAsia="zh-CN"/>
        </w:rPr>
        <w:t>资产配置与解决方案投资决策委员会</w:t>
      </w:r>
      <w:r>
        <w:rPr>
          <w:rFonts w:hint="eastAsia"/>
          <w:bCs/>
          <w:lang w:eastAsia="zh-CN"/>
        </w:rPr>
        <w:t>成员</w:t>
      </w:r>
    </w:p>
    <w:p w:rsidR="002137ED" w:rsidRPr="002137ED" w:rsidP="002137ED">
      <w:pPr>
        <w:spacing w:line="360" w:lineRule="auto"/>
        <w:ind w:firstLine="420"/>
        <w:rPr>
          <w:bCs/>
          <w:lang w:eastAsia="zh-CN"/>
        </w:rPr>
      </w:pPr>
      <w:r w:rsidRPr="002137ED">
        <w:rPr>
          <w:rFonts w:hint="eastAsia"/>
          <w:bCs/>
          <w:lang w:eastAsia="zh-CN"/>
        </w:rPr>
        <w:t>本公司资产配置与解决方案投资决策委员会成员包括：揭冠周先生、张浩然先生、刘淑霞女士。</w:t>
      </w:r>
    </w:p>
    <w:p w:rsidR="002137ED" w:rsidRPr="002137ED" w:rsidP="002137ED">
      <w:pPr>
        <w:spacing w:line="360" w:lineRule="auto"/>
        <w:ind w:firstLine="420"/>
        <w:rPr>
          <w:bCs/>
          <w:lang w:eastAsia="zh-CN"/>
        </w:rPr>
      </w:pPr>
      <w:r w:rsidRPr="002137ED">
        <w:rPr>
          <w:rFonts w:hint="eastAsia"/>
          <w:bCs/>
          <w:lang w:eastAsia="zh-CN"/>
        </w:rPr>
        <w:t>揭冠周先生，易方达基金管理有限公司首席策略官、资产配置与解决方案部总经理。</w:t>
      </w:r>
    </w:p>
    <w:p w:rsidR="002137ED" w:rsidRPr="002137ED" w:rsidP="002137ED">
      <w:pPr>
        <w:spacing w:line="360" w:lineRule="auto"/>
        <w:ind w:firstLine="420"/>
        <w:rPr>
          <w:bCs/>
          <w:lang w:eastAsia="zh-CN"/>
        </w:rPr>
      </w:pPr>
      <w:r w:rsidRPr="002137ED">
        <w:rPr>
          <w:rFonts w:hint="eastAsia"/>
          <w:bCs/>
          <w:lang w:eastAsia="zh-CN"/>
        </w:rPr>
        <w:t>张浩然先生，易方达基金管理有限公司资产配置与解决方案部总经理助理、基金经理。</w:t>
      </w:r>
    </w:p>
    <w:p w:rsidR="002137ED">
      <w:pPr>
        <w:spacing w:line="360" w:lineRule="auto"/>
        <w:ind w:firstLine="420"/>
        <w:rPr>
          <w:bCs/>
          <w:lang w:eastAsia="zh-CN"/>
        </w:rPr>
      </w:pPr>
      <w:r w:rsidRPr="002137ED">
        <w:rPr>
          <w:rFonts w:hint="eastAsia"/>
          <w:bCs/>
          <w:lang w:eastAsia="zh-CN"/>
        </w:rPr>
        <w:t>刘淑霞女士，易方达基金管理有限公司基金经理。</w:t>
      </w:r>
    </w:p>
    <w:p w:rsidR="002B1026">
      <w:pPr>
        <w:spacing w:line="360" w:lineRule="auto"/>
        <w:ind w:firstLine="420"/>
        <w:rPr>
          <w:bCs/>
          <w:lang w:eastAsia="zh-CN"/>
        </w:rPr>
      </w:pPr>
      <w:bookmarkStart w:id="8" w:name="_Toc332373449"/>
      <w:r>
        <w:rPr>
          <w:rFonts w:hint="eastAsia"/>
          <w:bCs/>
          <w:lang w:eastAsia="zh-CN"/>
        </w:rPr>
        <w:t>4</w:t>
      </w:r>
      <w:bookmarkEnd w:id="8"/>
      <w:r>
        <w:rPr>
          <w:rFonts w:hint="eastAsia"/>
          <w:bCs/>
          <w:highlight w:val="white"/>
          <w:lang w:eastAsia="zh-CN"/>
        </w:rPr>
        <w:t>、上述人员之间均不存在近亲属关系。</w:t>
      </w:r>
    </w:p>
    <w:p w:rsidR="002B1026">
      <w:pPr>
        <w:spacing w:line="360" w:lineRule="auto"/>
        <w:ind w:firstLine="420"/>
        <w:rPr>
          <w:rFonts w:ascii="宋体" w:hAnsi="Calibri"/>
          <w:lang w:eastAsia="zh-CN"/>
        </w:rPr>
      </w:pPr>
      <w:bookmarkStart w:id="9" w:name="_Toc332373451"/>
      <w:r>
        <w:rPr>
          <w:rFonts w:ascii="宋体" w:hAnsi="Calibri" w:hint="eastAsia"/>
          <w:highlight w:val="white"/>
          <w:lang w:eastAsia="zh-CN"/>
        </w:rPr>
        <w:t>三、基金管理人的职责</w:t>
      </w:r>
      <w:bookmarkEnd w:id="9"/>
    </w:p>
    <w:p w:rsidR="002B1026">
      <w:pPr>
        <w:spacing w:line="360" w:lineRule="auto"/>
        <w:ind w:firstLine="420"/>
        <w:rPr>
          <w:rFonts w:ascii="宋体" w:hAnsi="Calibri"/>
          <w:lang w:eastAsia="zh-CN"/>
        </w:rPr>
      </w:pPr>
      <w:bookmarkStart w:id="10" w:name="_Toc332373455"/>
      <w:r>
        <w:rPr>
          <w:rFonts w:ascii="宋体" w:hAnsi="Calibri"/>
          <w:highlight w:val="white"/>
          <w:lang w:eastAsia="zh-CN"/>
        </w:rPr>
        <w:t>1、依法募集资金，办理基金份额的发售和登记事宜；</w:t>
      </w:r>
    </w:p>
    <w:p w:rsidR="002B1026">
      <w:pPr>
        <w:spacing w:line="360" w:lineRule="auto"/>
        <w:ind w:firstLine="420"/>
        <w:rPr>
          <w:rFonts w:ascii="宋体" w:hAnsi="Calibri"/>
          <w:lang w:eastAsia="zh-CN"/>
        </w:rPr>
      </w:pPr>
      <w:bookmarkStart w:id="11" w:name="_Toc332373452"/>
      <w:r>
        <w:rPr>
          <w:rFonts w:ascii="宋体" w:hAnsi="Calibri"/>
          <w:highlight w:val="white"/>
          <w:lang w:eastAsia="zh-CN"/>
        </w:rPr>
        <w:t>2、办理基金备案手续；</w:t>
      </w:r>
      <w:bookmarkEnd w:id="11"/>
    </w:p>
    <w:p w:rsidR="002B1026">
      <w:pPr>
        <w:spacing w:line="360" w:lineRule="auto"/>
        <w:ind w:firstLine="420"/>
        <w:rPr>
          <w:rFonts w:ascii="宋体" w:hAnsi="Calibri"/>
          <w:lang w:eastAsia="zh-CN"/>
        </w:rPr>
      </w:pPr>
      <w:r>
        <w:rPr>
          <w:rFonts w:ascii="宋体" w:hAnsi="Calibri"/>
          <w:highlight w:val="white"/>
          <w:lang w:eastAsia="zh-CN"/>
        </w:rPr>
        <w:t>3、对所管理的不同基金财产分别管理、分别记账，进行证券投资；</w:t>
      </w:r>
    </w:p>
    <w:p w:rsidR="002B1026">
      <w:pPr>
        <w:spacing w:line="360" w:lineRule="auto"/>
        <w:ind w:firstLine="420"/>
        <w:rPr>
          <w:rFonts w:ascii="宋体" w:hAnsi="Calibri"/>
          <w:lang w:eastAsia="zh-CN"/>
        </w:rPr>
      </w:pPr>
      <w:r>
        <w:rPr>
          <w:rFonts w:ascii="宋体" w:hAnsi="Calibri"/>
          <w:highlight w:val="white"/>
          <w:lang w:eastAsia="zh-CN"/>
        </w:rPr>
        <w:t>4、按照基金合同的约定及时向基金份额持有人分配收益；</w:t>
      </w:r>
    </w:p>
    <w:p w:rsidR="002B1026">
      <w:pPr>
        <w:spacing w:line="360" w:lineRule="auto"/>
        <w:ind w:firstLine="420"/>
        <w:rPr>
          <w:rFonts w:ascii="宋体" w:hAnsi="Calibri"/>
          <w:lang w:eastAsia="zh-CN"/>
        </w:rPr>
      </w:pPr>
      <w:r>
        <w:rPr>
          <w:rFonts w:ascii="宋体" w:hAnsi="Calibri"/>
          <w:highlight w:val="white"/>
          <w:lang w:eastAsia="zh-CN"/>
        </w:rPr>
        <w:t>5、进行基金会计核算并编制基金财务会计报告；</w:t>
      </w:r>
    </w:p>
    <w:p w:rsidR="002B1026">
      <w:pPr>
        <w:spacing w:line="360" w:lineRule="auto"/>
        <w:ind w:firstLine="420"/>
        <w:rPr>
          <w:rFonts w:ascii="宋体" w:hAnsi="Calibri"/>
          <w:lang w:eastAsia="zh-CN"/>
        </w:rPr>
      </w:pPr>
      <w:r>
        <w:rPr>
          <w:rFonts w:ascii="宋体" w:hAnsi="Calibri"/>
          <w:highlight w:val="white"/>
          <w:lang w:eastAsia="zh-CN"/>
        </w:rPr>
        <w:t>6、编制</w:t>
      </w:r>
      <w:r>
        <w:rPr>
          <w:rFonts w:ascii="宋体" w:hAnsi="Calibri" w:hint="eastAsia"/>
          <w:highlight w:val="white"/>
          <w:lang w:eastAsia="zh-CN"/>
        </w:rPr>
        <w:t>季度报告、中期报告和年度报告；</w:t>
      </w:r>
    </w:p>
    <w:p w:rsidR="002B1026">
      <w:pPr>
        <w:spacing w:line="360" w:lineRule="auto"/>
        <w:ind w:firstLine="420"/>
        <w:rPr>
          <w:rFonts w:ascii="宋体" w:hAnsi="Calibri"/>
          <w:lang w:eastAsia="zh-CN"/>
        </w:rPr>
      </w:pPr>
      <w:r>
        <w:rPr>
          <w:rFonts w:ascii="宋体" w:hAnsi="Calibri"/>
          <w:highlight w:val="white"/>
          <w:lang w:eastAsia="zh-CN"/>
        </w:rPr>
        <w:t>7、计算并公告</w:t>
      </w:r>
      <w:r>
        <w:rPr>
          <w:rFonts w:ascii="宋体" w:hAnsi="Calibri" w:hint="eastAsia"/>
          <w:highlight w:val="white"/>
          <w:lang w:eastAsia="zh-CN"/>
        </w:rPr>
        <w:t>基金净值信息，确定基金份额申购、赎回价格；</w:t>
      </w:r>
    </w:p>
    <w:p w:rsidR="002B1026">
      <w:pPr>
        <w:spacing w:line="360" w:lineRule="auto"/>
        <w:ind w:firstLine="420"/>
        <w:rPr>
          <w:rFonts w:ascii="宋体" w:hAnsi="Calibri"/>
          <w:lang w:eastAsia="zh-CN"/>
        </w:rPr>
      </w:pPr>
      <w:bookmarkStart w:id="12" w:name="_Toc332373453"/>
      <w:r>
        <w:rPr>
          <w:rFonts w:ascii="宋体" w:hAnsi="Calibri"/>
          <w:highlight w:val="white"/>
          <w:lang w:eastAsia="zh-CN"/>
        </w:rPr>
        <w:t>8、办理与基金财产管理业务活动有关的信息披露事项；</w:t>
      </w:r>
      <w:bookmarkEnd w:id="12"/>
    </w:p>
    <w:p w:rsidR="002B1026">
      <w:pPr>
        <w:spacing w:line="360" w:lineRule="auto"/>
        <w:ind w:firstLine="420"/>
        <w:rPr>
          <w:rFonts w:ascii="宋体" w:hAnsi="Calibri"/>
          <w:lang w:eastAsia="zh-CN"/>
        </w:rPr>
      </w:pPr>
      <w:r>
        <w:rPr>
          <w:rFonts w:ascii="宋体" w:hAnsi="Calibri"/>
          <w:highlight w:val="white"/>
          <w:lang w:eastAsia="zh-CN"/>
        </w:rPr>
        <w:t>9、按照规定召集基金份额持有人大会；</w:t>
      </w:r>
    </w:p>
    <w:p w:rsidR="002B1026">
      <w:pPr>
        <w:spacing w:line="360" w:lineRule="auto"/>
        <w:ind w:firstLine="420"/>
        <w:rPr>
          <w:rFonts w:ascii="宋体" w:hAnsi="Calibri"/>
          <w:lang w:eastAsia="zh-CN"/>
        </w:rPr>
      </w:pPr>
      <w:bookmarkStart w:id="13" w:name="_Toc332373454"/>
      <w:r>
        <w:rPr>
          <w:rFonts w:ascii="宋体" w:hAnsi="Calibri"/>
          <w:highlight w:val="white"/>
          <w:lang w:eastAsia="zh-CN"/>
        </w:rPr>
        <w:t>10、保存基金财产管理业务活动的记录、账册、报表和其他相关资料；</w:t>
      </w:r>
      <w:bookmarkEnd w:id="13"/>
    </w:p>
    <w:p w:rsidR="002B1026">
      <w:pPr>
        <w:spacing w:line="360" w:lineRule="auto"/>
        <w:ind w:firstLine="420"/>
        <w:rPr>
          <w:rFonts w:ascii="宋体" w:hAnsi="Calibri"/>
          <w:lang w:eastAsia="zh-CN"/>
        </w:rPr>
      </w:pPr>
      <w:r>
        <w:rPr>
          <w:rFonts w:ascii="宋体" w:hAnsi="Calibri"/>
          <w:highlight w:val="white"/>
          <w:lang w:eastAsia="zh-CN"/>
        </w:rPr>
        <w:t>11、以基金管理人名义，代表基金份额持有人利益行使诉讼权利或者实施其他法律行为；</w:t>
      </w:r>
    </w:p>
    <w:p w:rsidR="002B1026">
      <w:pPr>
        <w:spacing w:line="360" w:lineRule="auto"/>
        <w:ind w:firstLine="420"/>
        <w:rPr>
          <w:rFonts w:ascii="宋体" w:hAnsi="Calibri"/>
          <w:lang w:eastAsia="zh-CN"/>
        </w:rPr>
      </w:pPr>
      <w:r>
        <w:rPr>
          <w:rFonts w:ascii="宋体" w:hAnsi="Calibri"/>
          <w:highlight w:val="white"/>
          <w:lang w:eastAsia="zh-CN"/>
        </w:rPr>
        <w:t>12、中国证监会规定的其他职责。</w:t>
      </w:r>
    </w:p>
    <w:p w:rsidR="002B1026">
      <w:pPr>
        <w:spacing w:line="360" w:lineRule="auto"/>
        <w:ind w:firstLine="420"/>
        <w:rPr>
          <w:rFonts w:ascii="宋体" w:hAnsi="Calibri"/>
          <w:lang w:eastAsia="zh-CN"/>
        </w:rPr>
      </w:pPr>
      <w:r>
        <w:rPr>
          <w:rFonts w:ascii="宋体" w:hAnsi="Calibri" w:hint="eastAsia"/>
          <w:highlight w:val="white"/>
          <w:lang w:eastAsia="zh-CN"/>
        </w:rPr>
        <w:t>四、基金管理人的承诺</w:t>
      </w:r>
    </w:p>
    <w:p w:rsidR="002B1026">
      <w:pPr>
        <w:spacing w:line="360" w:lineRule="auto"/>
        <w:ind w:firstLine="420"/>
        <w:rPr>
          <w:rFonts w:ascii="宋体" w:hAnsi="Calibri"/>
          <w:lang w:eastAsia="zh-CN"/>
        </w:rPr>
      </w:pPr>
      <w:r>
        <w:rPr>
          <w:rFonts w:ascii="宋体" w:hAnsi="Calibri" w:hint="eastAsia"/>
          <w:highlight w:val="white"/>
          <w:lang w:eastAsia="zh-CN"/>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2B1026">
      <w:pPr>
        <w:spacing w:line="360" w:lineRule="auto"/>
        <w:ind w:firstLine="420"/>
        <w:rPr>
          <w:rFonts w:ascii="宋体" w:hAnsi="Calibri"/>
          <w:lang w:eastAsia="zh-CN"/>
        </w:rPr>
      </w:pPr>
      <w:r>
        <w:rPr>
          <w:rFonts w:ascii="宋体" w:hAnsi="Calibri" w:hint="eastAsia"/>
          <w:highlight w:val="white"/>
          <w:lang w:eastAsia="zh-CN"/>
        </w:rPr>
        <w:t>2、本基金管理人承诺严格遵守《证券法》、《基金法》及有关法律法规，建立健全内部控制制度，采取有效措施，防止下列行为发生：</w:t>
      </w:r>
    </w:p>
    <w:p w:rsidR="002B1026">
      <w:pPr>
        <w:spacing w:line="360" w:lineRule="auto"/>
        <w:ind w:firstLine="420"/>
        <w:rPr>
          <w:rFonts w:ascii="宋体" w:hAnsi="Calibri"/>
          <w:lang w:eastAsia="zh-CN"/>
        </w:rPr>
      </w:pPr>
      <w:r>
        <w:rPr>
          <w:rFonts w:ascii="宋体" w:hAnsi="Calibri" w:hint="eastAsia"/>
          <w:highlight w:val="white"/>
          <w:lang w:eastAsia="zh-CN"/>
        </w:rPr>
        <w:t>（1）将其固有财产或者他人财产混同于基金财产从事证券投资；</w:t>
      </w:r>
    </w:p>
    <w:p w:rsidR="002B1026">
      <w:pPr>
        <w:spacing w:line="360" w:lineRule="auto"/>
        <w:ind w:firstLine="420"/>
        <w:rPr>
          <w:rFonts w:ascii="宋体" w:hAnsi="Calibri"/>
          <w:lang w:eastAsia="zh-CN"/>
        </w:rPr>
      </w:pPr>
      <w:r>
        <w:rPr>
          <w:rFonts w:ascii="宋体" w:hAnsi="Calibri" w:hint="eastAsia"/>
          <w:highlight w:val="white"/>
          <w:lang w:eastAsia="zh-CN"/>
        </w:rPr>
        <w:t>（2）不公平地对待其管理的不同基金财产；</w:t>
      </w:r>
    </w:p>
    <w:p w:rsidR="002B1026">
      <w:pPr>
        <w:spacing w:line="360" w:lineRule="auto"/>
        <w:ind w:firstLine="420"/>
        <w:rPr>
          <w:rFonts w:ascii="宋体" w:hAnsi="Calibri"/>
          <w:lang w:eastAsia="zh-CN"/>
        </w:rPr>
      </w:pPr>
      <w:r>
        <w:rPr>
          <w:rFonts w:ascii="宋体" w:hAnsi="Calibri" w:hint="eastAsia"/>
          <w:highlight w:val="white"/>
          <w:lang w:eastAsia="zh-CN"/>
        </w:rPr>
        <w:t>（3）利用基金财产或职务之便为基金份额持有人以外的人谋取利益；</w:t>
      </w:r>
    </w:p>
    <w:p w:rsidR="002B1026">
      <w:pPr>
        <w:spacing w:line="360" w:lineRule="auto"/>
        <w:ind w:firstLine="420"/>
        <w:rPr>
          <w:rFonts w:ascii="宋体" w:hAnsi="Calibri"/>
          <w:lang w:eastAsia="zh-CN"/>
        </w:rPr>
      </w:pPr>
      <w:r>
        <w:rPr>
          <w:rFonts w:ascii="宋体" w:hAnsi="Calibri" w:hint="eastAsia"/>
          <w:highlight w:val="white"/>
          <w:lang w:eastAsia="zh-CN"/>
        </w:rPr>
        <w:t>（4）向基金份额持有人违规承诺收益或者承担损失；</w:t>
      </w:r>
    </w:p>
    <w:p w:rsidR="002B1026">
      <w:pPr>
        <w:spacing w:line="360" w:lineRule="auto"/>
        <w:ind w:firstLine="420"/>
        <w:rPr>
          <w:rFonts w:ascii="宋体" w:hAnsi="Calibri"/>
          <w:lang w:eastAsia="zh-CN"/>
        </w:rPr>
      </w:pPr>
      <w:r>
        <w:rPr>
          <w:rFonts w:ascii="宋体" w:hAnsi="Calibri" w:hint="eastAsia"/>
          <w:highlight w:val="white"/>
          <w:lang w:eastAsia="zh-CN"/>
        </w:rPr>
        <w:t>（5）侵占、挪用基金财产；</w:t>
      </w:r>
    </w:p>
    <w:p w:rsidR="002B1026">
      <w:pPr>
        <w:spacing w:line="360" w:lineRule="auto"/>
        <w:ind w:firstLine="420"/>
        <w:rPr>
          <w:rFonts w:ascii="宋体" w:hAnsi="Calibri"/>
          <w:lang w:eastAsia="zh-CN"/>
        </w:rPr>
      </w:pPr>
      <w:r>
        <w:rPr>
          <w:rFonts w:ascii="宋体" w:hAnsi="Calibri" w:hint="eastAsia"/>
          <w:highlight w:val="white"/>
          <w:lang w:eastAsia="zh-CN"/>
        </w:rPr>
        <w:t>（6）泄露因职务便利获取的未公开信息、利用该信息从事或者明示、暗示他人从事相关的交易活动；</w:t>
      </w:r>
    </w:p>
    <w:p w:rsidR="002B1026">
      <w:pPr>
        <w:spacing w:line="360" w:lineRule="auto"/>
        <w:ind w:firstLine="420"/>
        <w:rPr>
          <w:rFonts w:ascii="宋体" w:hAnsi="Calibri"/>
          <w:lang w:eastAsia="zh-CN"/>
        </w:rPr>
      </w:pPr>
      <w:r>
        <w:rPr>
          <w:rFonts w:ascii="宋体" w:hAnsi="Calibri" w:hint="eastAsia"/>
          <w:highlight w:val="white"/>
          <w:lang w:eastAsia="zh-CN"/>
        </w:rPr>
        <w:t>（7）玩忽职守，不按照规定履行职责；</w:t>
      </w:r>
    </w:p>
    <w:p w:rsidR="002B1026">
      <w:pPr>
        <w:spacing w:line="360" w:lineRule="auto"/>
        <w:ind w:firstLine="420"/>
        <w:rPr>
          <w:rFonts w:ascii="宋体" w:hAnsi="Calibri"/>
          <w:lang w:eastAsia="zh-CN"/>
        </w:rPr>
      </w:pPr>
      <w:r>
        <w:rPr>
          <w:rFonts w:ascii="宋体" w:hAnsi="Calibri" w:hint="eastAsia"/>
          <w:highlight w:val="white"/>
          <w:lang w:eastAsia="zh-CN"/>
        </w:rPr>
        <w:t>（8）法律、行政法规和中国证监会禁止的其他行为。</w:t>
      </w:r>
    </w:p>
    <w:p w:rsidR="002B1026">
      <w:pPr>
        <w:spacing w:line="360" w:lineRule="auto"/>
        <w:ind w:firstLine="420"/>
        <w:rPr>
          <w:rFonts w:ascii="宋体" w:hAnsi="Calibri"/>
          <w:lang w:eastAsia="zh-CN"/>
        </w:rPr>
      </w:pPr>
      <w:r>
        <w:rPr>
          <w:rFonts w:ascii="宋体" w:hAnsi="Calibri" w:hint="eastAsia"/>
          <w:highlight w:val="white"/>
          <w:lang w:eastAsia="zh-CN"/>
        </w:rPr>
        <w:t>3、本基金管理人承诺加强人员管理，强化职业操守，督促和约束员工遵守国家有关法律、法规及行业规范，诚实信用、勤勉尽责，不从事以下活动：</w:t>
      </w:r>
    </w:p>
    <w:p w:rsidR="002B1026">
      <w:pPr>
        <w:spacing w:line="360" w:lineRule="auto"/>
        <w:ind w:firstLine="420"/>
        <w:rPr>
          <w:rFonts w:ascii="宋体" w:hAnsi="Calibri"/>
          <w:lang w:eastAsia="zh-CN"/>
        </w:rPr>
      </w:pPr>
      <w:r>
        <w:rPr>
          <w:rFonts w:ascii="宋体" w:hAnsi="Calibri" w:hint="eastAsia"/>
          <w:highlight w:val="white"/>
          <w:lang w:eastAsia="zh-CN"/>
        </w:rPr>
        <w:t>（1）越权或违规经营；</w:t>
      </w:r>
    </w:p>
    <w:p w:rsidR="002B1026">
      <w:pPr>
        <w:spacing w:line="360" w:lineRule="auto"/>
        <w:ind w:firstLine="420"/>
        <w:rPr>
          <w:rFonts w:ascii="宋体" w:hAnsi="Calibri"/>
          <w:lang w:eastAsia="zh-CN"/>
        </w:rPr>
      </w:pPr>
      <w:r>
        <w:rPr>
          <w:rFonts w:ascii="宋体" w:hAnsi="Calibri" w:hint="eastAsia"/>
          <w:highlight w:val="white"/>
          <w:lang w:eastAsia="zh-CN"/>
        </w:rPr>
        <w:t>（2）违反基金合同或托管协议；</w:t>
      </w:r>
    </w:p>
    <w:p w:rsidR="002B1026">
      <w:pPr>
        <w:spacing w:line="360" w:lineRule="auto"/>
        <w:ind w:firstLine="420"/>
        <w:rPr>
          <w:rFonts w:ascii="宋体" w:hAnsi="Calibri"/>
          <w:lang w:eastAsia="zh-CN"/>
        </w:rPr>
      </w:pPr>
      <w:r>
        <w:rPr>
          <w:rFonts w:ascii="宋体" w:hAnsi="Calibri" w:hint="eastAsia"/>
          <w:highlight w:val="white"/>
          <w:lang w:eastAsia="zh-CN"/>
        </w:rPr>
        <w:t>（3）故意损害基金份额持有人或其他基金相关机构的合法利益；</w:t>
      </w:r>
    </w:p>
    <w:p w:rsidR="002B1026">
      <w:pPr>
        <w:spacing w:line="360" w:lineRule="auto"/>
        <w:ind w:firstLine="420"/>
        <w:rPr>
          <w:rFonts w:ascii="宋体" w:hAnsi="Calibri"/>
          <w:lang w:eastAsia="zh-CN"/>
        </w:rPr>
      </w:pPr>
      <w:r>
        <w:rPr>
          <w:rFonts w:ascii="宋体" w:hAnsi="Calibri" w:hint="eastAsia"/>
          <w:highlight w:val="white"/>
          <w:lang w:eastAsia="zh-CN"/>
        </w:rPr>
        <w:t>（4）在向中国证监会报送的资料中弄虚作假；</w:t>
      </w:r>
    </w:p>
    <w:p w:rsidR="002B1026">
      <w:pPr>
        <w:spacing w:line="360" w:lineRule="auto"/>
        <w:ind w:firstLine="420"/>
        <w:rPr>
          <w:rFonts w:ascii="宋体" w:hAnsi="Calibri"/>
          <w:lang w:eastAsia="zh-CN"/>
        </w:rPr>
      </w:pPr>
      <w:r>
        <w:rPr>
          <w:rFonts w:ascii="宋体" w:hAnsi="Calibri" w:hint="eastAsia"/>
          <w:highlight w:val="white"/>
          <w:lang w:eastAsia="zh-CN"/>
        </w:rPr>
        <w:t>（5）拒绝、干扰、阻挠或严重影响中国证监会依法监管；</w:t>
      </w:r>
    </w:p>
    <w:p w:rsidR="002B1026">
      <w:pPr>
        <w:spacing w:line="360" w:lineRule="auto"/>
        <w:ind w:firstLine="420"/>
        <w:rPr>
          <w:rFonts w:ascii="宋体" w:hAnsi="Calibri"/>
          <w:lang w:eastAsia="zh-CN"/>
        </w:rPr>
      </w:pPr>
      <w:r>
        <w:rPr>
          <w:rFonts w:ascii="宋体" w:hAnsi="Calibri" w:hint="eastAsia"/>
          <w:highlight w:val="white"/>
          <w:lang w:eastAsia="zh-CN"/>
        </w:rPr>
        <w:t>（6）玩忽职守、滥用职权；</w:t>
      </w:r>
    </w:p>
    <w:p w:rsidR="002B1026">
      <w:pPr>
        <w:spacing w:line="360" w:lineRule="auto"/>
        <w:ind w:firstLine="420"/>
        <w:rPr>
          <w:rFonts w:ascii="宋体" w:hAnsi="Calibri"/>
          <w:lang w:eastAsia="zh-CN"/>
        </w:rPr>
      </w:pPr>
      <w:r>
        <w:rPr>
          <w:rFonts w:ascii="宋体" w:hAnsi="Calibri" w:hint="eastAsia"/>
          <w:highlight w:val="white"/>
          <w:lang w:eastAsia="zh-CN"/>
        </w:rPr>
        <w:t>（7）违反现行有效的有关法律、法规、规章、基金合同和中国证监会的有关规定，泄露在任职期间知悉的有关证券、基金的商业秘密，尚未依法公开的基金投资内容、基金投资计划等信息；</w:t>
      </w:r>
    </w:p>
    <w:p w:rsidR="002B1026">
      <w:pPr>
        <w:spacing w:line="360" w:lineRule="auto"/>
        <w:ind w:firstLine="420"/>
        <w:rPr>
          <w:rFonts w:ascii="宋体" w:hAnsi="Calibri"/>
          <w:lang w:eastAsia="zh-CN"/>
        </w:rPr>
      </w:pPr>
      <w:r>
        <w:rPr>
          <w:rFonts w:ascii="宋体" w:hAnsi="Calibri" w:hint="eastAsia"/>
          <w:highlight w:val="white"/>
          <w:lang w:eastAsia="zh-CN"/>
        </w:rPr>
        <w:t>（8）违反证券交易场所业务规则，利用对敲、倒仓等手段操纵市场价格，扰乱市场秩序；</w:t>
      </w:r>
    </w:p>
    <w:p w:rsidR="002B1026">
      <w:pPr>
        <w:spacing w:line="360" w:lineRule="auto"/>
        <w:ind w:firstLine="420"/>
        <w:rPr>
          <w:rFonts w:ascii="宋体" w:hAnsi="Calibri"/>
          <w:lang w:eastAsia="zh-CN"/>
        </w:rPr>
      </w:pPr>
      <w:r>
        <w:rPr>
          <w:rFonts w:ascii="宋体" w:hAnsi="Calibri" w:hint="eastAsia"/>
          <w:highlight w:val="white"/>
          <w:lang w:eastAsia="zh-CN"/>
        </w:rPr>
        <w:t>（9）贬损同行，以抬高自己；</w:t>
      </w:r>
    </w:p>
    <w:p w:rsidR="002B1026">
      <w:pPr>
        <w:spacing w:line="360" w:lineRule="auto"/>
        <w:ind w:firstLine="420"/>
        <w:rPr>
          <w:rFonts w:ascii="宋体" w:hAnsi="Calibri"/>
          <w:lang w:eastAsia="zh-CN"/>
        </w:rPr>
      </w:pPr>
      <w:r>
        <w:rPr>
          <w:rFonts w:ascii="宋体" w:hAnsi="Calibri" w:hint="eastAsia"/>
          <w:highlight w:val="white"/>
          <w:lang w:eastAsia="zh-CN"/>
        </w:rPr>
        <w:t>（10）以不正当手段谋求业务发展；</w:t>
      </w:r>
    </w:p>
    <w:p w:rsidR="002B1026">
      <w:pPr>
        <w:spacing w:line="360" w:lineRule="auto"/>
        <w:ind w:firstLine="420"/>
        <w:rPr>
          <w:rFonts w:ascii="宋体" w:hAnsi="Calibri"/>
          <w:lang w:eastAsia="zh-CN"/>
        </w:rPr>
      </w:pPr>
      <w:r>
        <w:rPr>
          <w:rFonts w:ascii="宋体" w:hAnsi="Calibri" w:hint="eastAsia"/>
          <w:highlight w:val="white"/>
          <w:lang w:eastAsia="zh-CN"/>
        </w:rPr>
        <w:t>（11）有悖社会公德，损害证券投资基金从业人员形象；</w:t>
      </w:r>
    </w:p>
    <w:p w:rsidR="002B1026">
      <w:pPr>
        <w:spacing w:line="360" w:lineRule="auto"/>
        <w:ind w:firstLine="420"/>
        <w:rPr>
          <w:rFonts w:ascii="宋体" w:hAnsi="Calibri"/>
          <w:lang w:eastAsia="zh-CN"/>
        </w:rPr>
      </w:pPr>
      <w:r>
        <w:rPr>
          <w:rFonts w:ascii="宋体" w:hAnsi="Calibri" w:hint="eastAsia"/>
          <w:highlight w:val="white"/>
          <w:lang w:eastAsia="zh-CN"/>
        </w:rPr>
        <w:t>（12）在公开信息披露和广告中故意含有虚假、误导、欺诈成分；</w:t>
      </w:r>
    </w:p>
    <w:p w:rsidR="002B1026">
      <w:pPr>
        <w:spacing w:line="360" w:lineRule="auto"/>
        <w:ind w:firstLine="420"/>
        <w:rPr>
          <w:rFonts w:ascii="宋体" w:hAnsi="Calibri"/>
          <w:lang w:eastAsia="zh-CN"/>
        </w:rPr>
      </w:pPr>
      <w:r>
        <w:rPr>
          <w:rFonts w:ascii="宋体" w:hAnsi="Calibri" w:hint="eastAsia"/>
          <w:highlight w:val="white"/>
          <w:lang w:eastAsia="zh-CN"/>
        </w:rPr>
        <w:t>（13）其他法律、行政法规以及中国证监会禁止的行为。</w:t>
      </w:r>
    </w:p>
    <w:p w:rsidR="002B1026">
      <w:pPr>
        <w:spacing w:line="360" w:lineRule="auto"/>
        <w:ind w:firstLine="420"/>
        <w:rPr>
          <w:rFonts w:ascii="宋体" w:hAnsi="Calibri"/>
          <w:lang w:eastAsia="zh-CN"/>
        </w:rPr>
      </w:pPr>
      <w:r>
        <w:rPr>
          <w:rFonts w:ascii="宋体" w:hAnsi="Calibri" w:hint="eastAsia"/>
          <w:highlight w:val="white"/>
          <w:lang w:eastAsia="zh-CN"/>
        </w:rPr>
        <w:t>4、基金经理承诺</w:t>
      </w:r>
    </w:p>
    <w:p w:rsidR="002B1026">
      <w:pPr>
        <w:spacing w:line="360" w:lineRule="auto"/>
        <w:ind w:firstLine="420"/>
        <w:rPr>
          <w:rFonts w:ascii="宋体" w:hAnsi="Calibri"/>
          <w:lang w:eastAsia="zh-CN"/>
        </w:rPr>
      </w:pPr>
      <w:r>
        <w:rPr>
          <w:rFonts w:ascii="宋体" w:hAnsi="Calibri" w:hint="eastAsia"/>
          <w:highlight w:val="white"/>
          <w:lang w:eastAsia="zh-CN"/>
        </w:rPr>
        <w:t>（1）依照有关法律、法规和基金合同的规定，本着谨慎的原则为基金份额持有人谋取最大利益；</w:t>
      </w:r>
    </w:p>
    <w:p w:rsidR="002B1026">
      <w:pPr>
        <w:spacing w:line="360" w:lineRule="auto"/>
        <w:ind w:firstLine="420"/>
        <w:rPr>
          <w:rFonts w:ascii="宋体" w:hAnsi="Calibri"/>
          <w:lang w:eastAsia="zh-CN"/>
        </w:rPr>
      </w:pPr>
      <w:r>
        <w:rPr>
          <w:rFonts w:ascii="宋体" w:hAnsi="Calibri" w:hint="eastAsia"/>
          <w:highlight w:val="white"/>
          <w:lang w:eastAsia="zh-CN"/>
        </w:rPr>
        <w:t>（2）不利用职务之便为自己及其代理人、受雇人或任何第三人谋取利益；</w:t>
      </w:r>
    </w:p>
    <w:p w:rsidR="002B1026">
      <w:pPr>
        <w:spacing w:line="360" w:lineRule="auto"/>
        <w:ind w:firstLine="420"/>
        <w:rPr>
          <w:rFonts w:ascii="宋体" w:hAnsi="Calibri"/>
          <w:lang w:eastAsia="zh-CN"/>
        </w:rPr>
      </w:pPr>
      <w:r>
        <w:rPr>
          <w:rFonts w:ascii="宋体" w:hAnsi="Calibri" w:hint="eastAsia"/>
          <w:highlight w:val="white"/>
          <w:lang w:eastAsia="zh-CN"/>
        </w:rPr>
        <w:t>（3）不违反现行有效的有关法律、法规、规章、基金合同和中国证监会的有关规定，泄露在任职期间知悉的有关证券、基金的商业秘密、尚未依法公开的基金投资内容、基金投资计划等信息；</w:t>
      </w:r>
    </w:p>
    <w:p w:rsidR="002B1026">
      <w:pPr>
        <w:spacing w:line="360" w:lineRule="auto"/>
        <w:ind w:firstLine="420"/>
        <w:rPr>
          <w:rFonts w:ascii="宋体" w:hAnsi="Calibri"/>
          <w:lang w:eastAsia="zh-CN"/>
        </w:rPr>
      </w:pPr>
      <w:r>
        <w:rPr>
          <w:rFonts w:ascii="宋体" w:hAnsi="Calibri" w:hint="eastAsia"/>
          <w:highlight w:val="white"/>
          <w:lang w:eastAsia="zh-CN"/>
        </w:rPr>
        <w:t>（4）不从事损害基金财产和基金份额持有人利益的证券交易及其他活动。</w:t>
      </w:r>
    </w:p>
    <w:p w:rsidR="002B1026">
      <w:pPr>
        <w:spacing w:line="360" w:lineRule="auto"/>
        <w:ind w:firstLine="420"/>
        <w:rPr>
          <w:rFonts w:ascii="宋体" w:hAnsi="Calibri"/>
          <w:lang w:eastAsia="zh-CN"/>
        </w:rPr>
      </w:pPr>
      <w:r>
        <w:rPr>
          <w:rFonts w:ascii="宋体" w:hAnsi="Calibri" w:hint="eastAsia"/>
          <w:highlight w:val="white"/>
          <w:lang w:eastAsia="zh-CN"/>
        </w:rPr>
        <w:t>五、基金管理人的内部控制制度</w:t>
      </w:r>
    </w:p>
    <w:p w:rsidR="002B1026">
      <w:pPr>
        <w:spacing w:line="360" w:lineRule="auto"/>
        <w:ind w:firstLine="420"/>
        <w:rPr>
          <w:rFonts w:ascii="宋体" w:hAnsi="Calibri"/>
          <w:lang w:eastAsia="zh-CN"/>
        </w:rPr>
      </w:pPr>
      <w:r>
        <w:rPr>
          <w:rFonts w:ascii="宋体" w:hAnsi="Calibri" w:hint="eastAsia"/>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2B1026">
      <w:pPr>
        <w:spacing w:line="360" w:lineRule="auto"/>
        <w:ind w:firstLine="420"/>
        <w:rPr>
          <w:rFonts w:ascii="宋体" w:hAnsi="Calibri"/>
          <w:lang w:eastAsia="zh-CN"/>
        </w:rPr>
      </w:pPr>
      <w:r>
        <w:rPr>
          <w:rFonts w:ascii="宋体" w:hAnsi="Calibri" w:hint="eastAsia"/>
          <w:highlight w:val="white"/>
          <w:lang w:eastAsia="zh-CN"/>
        </w:rPr>
        <w:t>1、公司内部控制的总体目标</w:t>
      </w:r>
    </w:p>
    <w:p w:rsidR="002B1026">
      <w:pPr>
        <w:spacing w:line="360" w:lineRule="auto"/>
        <w:ind w:firstLine="420"/>
        <w:rPr>
          <w:rFonts w:ascii="宋体" w:hAnsi="Calibri"/>
          <w:lang w:eastAsia="zh-CN"/>
        </w:rPr>
      </w:pPr>
      <w:r>
        <w:rPr>
          <w:rFonts w:ascii="宋体" w:hAnsi="Calibri" w:hint="eastAsia"/>
          <w:highlight w:val="white"/>
          <w:lang w:eastAsia="zh-CN"/>
        </w:rPr>
        <w:t>（1）保证公司经营管理活动的合法合规性；</w:t>
      </w:r>
    </w:p>
    <w:p w:rsidR="002B1026">
      <w:pPr>
        <w:spacing w:line="360" w:lineRule="auto"/>
        <w:ind w:firstLine="420"/>
        <w:rPr>
          <w:rFonts w:ascii="宋体" w:hAnsi="Calibri"/>
          <w:lang w:eastAsia="zh-CN"/>
        </w:rPr>
      </w:pPr>
      <w:r>
        <w:rPr>
          <w:rFonts w:ascii="宋体" w:hAnsi="Calibri" w:hint="eastAsia"/>
          <w:highlight w:val="white"/>
          <w:lang w:eastAsia="zh-CN"/>
        </w:rPr>
        <w:t>（2）保证各类基金份额持有人及委托人的合法权益不受侵犯；</w:t>
      </w:r>
    </w:p>
    <w:p w:rsidR="002B1026">
      <w:pPr>
        <w:spacing w:line="360" w:lineRule="auto"/>
        <w:ind w:firstLine="420"/>
        <w:rPr>
          <w:rFonts w:ascii="宋体" w:hAnsi="Calibri"/>
          <w:lang w:eastAsia="zh-CN"/>
        </w:rPr>
      </w:pPr>
      <w:r>
        <w:rPr>
          <w:rFonts w:ascii="宋体" w:hAnsi="Calibri" w:hint="eastAsia"/>
          <w:highlight w:val="white"/>
          <w:lang w:eastAsia="zh-CN"/>
        </w:rPr>
        <w:t>（3）防范和化解经营风险，提高经营管理效率，确保业务稳健经营运行和受托资产安全完整，实现公司的持续、健康发展，促进公司实现发展战略；</w:t>
      </w:r>
    </w:p>
    <w:p w:rsidR="002B1026">
      <w:pPr>
        <w:spacing w:line="360" w:lineRule="auto"/>
        <w:ind w:firstLine="420"/>
        <w:rPr>
          <w:rFonts w:ascii="宋体" w:hAnsi="Calibri"/>
          <w:lang w:eastAsia="zh-CN"/>
        </w:rPr>
      </w:pPr>
      <w:r>
        <w:rPr>
          <w:rFonts w:ascii="宋体" w:hAnsi="Calibri" w:hint="eastAsia"/>
          <w:highlight w:val="white"/>
          <w:lang w:eastAsia="zh-CN"/>
        </w:rPr>
        <w:t>（4）督促公司全体员工恪守职业操守，正直诚信，廉洁自律，勤勉尽责；</w:t>
      </w:r>
    </w:p>
    <w:p w:rsidR="002B1026">
      <w:pPr>
        <w:spacing w:line="360" w:lineRule="auto"/>
        <w:ind w:firstLine="420"/>
        <w:rPr>
          <w:rFonts w:ascii="宋体" w:hAnsi="Calibri"/>
          <w:lang w:eastAsia="zh-CN"/>
        </w:rPr>
      </w:pPr>
      <w:r>
        <w:rPr>
          <w:rFonts w:ascii="宋体" w:hAnsi="Calibri" w:hint="eastAsia"/>
          <w:highlight w:val="white"/>
          <w:lang w:eastAsia="zh-CN"/>
        </w:rPr>
        <w:t>（5）维护公司的声誉，保持公司的良好形象。</w:t>
      </w:r>
    </w:p>
    <w:p w:rsidR="002B1026">
      <w:pPr>
        <w:spacing w:line="360" w:lineRule="auto"/>
        <w:ind w:firstLine="420"/>
        <w:rPr>
          <w:rFonts w:ascii="宋体" w:hAnsi="Calibri"/>
          <w:lang w:eastAsia="zh-CN"/>
        </w:rPr>
      </w:pPr>
      <w:r>
        <w:rPr>
          <w:rFonts w:ascii="宋体" w:hAnsi="Calibri" w:hint="eastAsia"/>
          <w:highlight w:val="white"/>
          <w:lang w:eastAsia="zh-CN"/>
        </w:rPr>
        <w:t>2、公司内部控制遵循的原则</w:t>
      </w:r>
    </w:p>
    <w:p w:rsidR="002B1026">
      <w:pPr>
        <w:spacing w:line="360" w:lineRule="auto"/>
        <w:ind w:firstLine="420"/>
        <w:rPr>
          <w:rFonts w:ascii="宋体" w:hAnsi="Calibri"/>
          <w:lang w:eastAsia="zh-CN"/>
        </w:rPr>
      </w:pPr>
      <w:r>
        <w:rPr>
          <w:rFonts w:ascii="宋体" w:hAnsi="Calibri" w:hint="eastAsia"/>
          <w:highlight w:val="white"/>
          <w:lang w:eastAsia="zh-CN"/>
        </w:rPr>
        <w:t>（1）健全性原则。内部控制应当包括公司的各项业务、各个部门或机构和各级人员,并涵盖到决策、执行、监督、反馈等各个环节。</w:t>
      </w:r>
    </w:p>
    <w:p w:rsidR="002B1026">
      <w:pPr>
        <w:spacing w:line="360" w:lineRule="auto"/>
        <w:ind w:firstLine="420"/>
        <w:rPr>
          <w:rFonts w:ascii="宋体" w:hAnsi="Calibri"/>
          <w:lang w:eastAsia="zh-CN"/>
        </w:rPr>
      </w:pPr>
      <w:r>
        <w:rPr>
          <w:rFonts w:ascii="宋体" w:hAnsi="Calibri" w:hint="eastAsia"/>
          <w:highlight w:val="white"/>
          <w:lang w:eastAsia="zh-CN"/>
        </w:rPr>
        <w:t>（2）有效性原则。通过科学的内控手段和方法，建立合理的内控程序，维护内控制度的有效执行。</w:t>
      </w:r>
    </w:p>
    <w:p w:rsidR="002B1026">
      <w:pPr>
        <w:spacing w:line="360" w:lineRule="auto"/>
        <w:ind w:firstLine="420"/>
        <w:rPr>
          <w:rFonts w:ascii="宋体" w:hAnsi="Calibri"/>
          <w:lang w:eastAsia="zh-CN"/>
        </w:rPr>
      </w:pPr>
      <w:r>
        <w:rPr>
          <w:rFonts w:ascii="宋体" w:hAnsi="Calibri" w:hint="eastAsia"/>
          <w:highlight w:val="white"/>
          <w:lang w:eastAsia="zh-CN"/>
        </w:rPr>
        <w:t>（3）独立性原则。公司机构、部门和岗位职责应当保持相对独立，除非法律法规另有规定，公司基金资产、自有资产、其他资产的运作应当分离。</w:t>
      </w:r>
    </w:p>
    <w:p w:rsidR="002B1026">
      <w:pPr>
        <w:spacing w:line="360" w:lineRule="auto"/>
        <w:ind w:firstLine="420"/>
        <w:rPr>
          <w:rFonts w:ascii="宋体" w:hAnsi="Calibri"/>
          <w:lang w:eastAsia="zh-CN"/>
        </w:rPr>
      </w:pPr>
      <w:r>
        <w:rPr>
          <w:rFonts w:ascii="宋体" w:hAnsi="Calibri" w:hint="eastAsia"/>
          <w:highlight w:val="white"/>
          <w:lang w:eastAsia="zh-CN"/>
        </w:rPr>
        <w:t>（4）相互制约原则。公司内部部门和岗位的设置应当体现权责分明、相互制衡。</w:t>
      </w:r>
    </w:p>
    <w:p w:rsidR="002B1026">
      <w:pPr>
        <w:spacing w:line="360" w:lineRule="auto"/>
        <w:ind w:firstLine="420"/>
        <w:rPr>
          <w:rFonts w:ascii="宋体" w:hAnsi="Calibri"/>
          <w:lang w:eastAsia="zh-CN"/>
        </w:rPr>
      </w:pPr>
      <w:r>
        <w:rPr>
          <w:rFonts w:ascii="宋体" w:hAnsi="Calibri" w:hint="eastAsia"/>
          <w:highlight w:val="white"/>
          <w:lang w:eastAsia="zh-CN"/>
        </w:rPr>
        <w:t>（5）成本效益原则。公司运用科学化的经营管理方法降低运作成本，提高经济效益，力争以合理的控制成本达到最佳的内部控制效果。</w:t>
      </w:r>
    </w:p>
    <w:p w:rsidR="002B1026">
      <w:pPr>
        <w:spacing w:line="360" w:lineRule="auto"/>
        <w:ind w:firstLine="420"/>
        <w:rPr>
          <w:rFonts w:ascii="宋体" w:hAnsi="Calibri"/>
          <w:lang w:eastAsia="zh-CN"/>
        </w:rPr>
      </w:pPr>
      <w:r>
        <w:rPr>
          <w:rFonts w:ascii="宋体" w:hAnsi="Calibri" w:hint="eastAsia"/>
          <w:highlight w:val="white"/>
          <w:lang w:eastAsia="zh-CN"/>
        </w:rPr>
        <w:t>3、内部控制的制度体系</w:t>
      </w:r>
    </w:p>
    <w:p w:rsidR="002B1026">
      <w:pPr>
        <w:spacing w:line="360" w:lineRule="auto"/>
        <w:ind w:firstLine="420"/>
        <w:rPr>
          <w:rFonts w:ascii="宋体" w:hAnsi="Calibri"/>
          <w:lang w:eastAsia="zh-CN"/>
        </w:rPr>
      </w:pPr>
      <w:r>
        <w:rPr>
          <w:rFonts w:ascii="宋体" w:hAnsi="Calibri" w:hint="eastAsia"/>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p>
    <w:p w:rsidR="002B1026">
      <w:pPr>
        <w:spacing w:line="360" w:lineRule="auto"/>
        <w:ind w:firstLine="420"/>
        <w:rPr>
          <w:rFonts w:ascii="宋体" w:hAnsi="Calibri"/>
          <w:lang w:eastAsia="zh-CN"/>
        </w:rPr>
      </w:pPr>
      <w:r>
        <w:rPr>
          <w:rFonts w:ascii="宋体" w:hAnsi="Calibri" w:hint="eastAsia"/>
          <w:highlight w:val="white"/>
          <w:lang w:eastAsia="zh-CN"/>
        </w:rPr>
        <w:t>4、关于授权、研究、投资、交易等方面的控制点</w:t>
      </w:r>
    </w:p>
    <w:p w:rsidR="002B1026">
      <w:pPr>
        <w:spacing w:line="360" w:lineRule="auto"/>
        <w:ind w:firstLine="420"/>
        <w:rPr>
          <w:rFonts w:ascii="宋体" w:hAnsi="Calibri"/>
          <w:lang w:eastAsia="zh-CN"/>
        </w:rPr>
      </w:pPr>
      <w:r>
        <w:rPr>
          <w:rFonts w:ascii="宋体" w:hAnsi="Calibri" w:hint="eastAsia"/>
          <w:highlight w:val="white"/>
          <w:lang w:eastAsia="zh-CN"/>
        </w:rPr>
        <w:t>（1）授权制度</w:t>
      </w:r>
    </w:p>
    <w:p w:rsidR="002B1026">
      <w:pPr>
        <w:spacing w:line="360" w:lineRule="auto"/>
        <w:ind w:firstLine="420"/>
        <w:rPr>
          <w:rFonts w:ascii="宋体" w:hAnsi="Calibri"/>
          <w:lang w:eastAsia="zh-CN"/>
        </w:rPr>
      </w:pPr>
      <w:r>
        <w:rPr>
          <w:rFonts w:ascii="宋体" w:hAnsi="Calibri" w:hint="eastAsia"/>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2B1026">
      <w:pPr>
        <w:spacing w:line="360" w:lineRule="auto"/>
        <w:ind w:firstLine="420"/>
        <w:rPr>
          <w:rFonts w:ascii="宋体" w:hAnsi="Calibri"/>
          <w:lang w:eastAsia="zh-CN"/>
        </w:rPr>
      </w:pPr>
      <w:r>
        <w:rPr>
          <w:rFonts w:ascii="宋体" w:hAnsi="Calibri" w:hint="eastAsia"/>
          <w:highlight w:val="white"/>
          <w:lang w:eastAsia="zh-CN"/>
        </w:rPr>
        <w:t>（2）公司研究业务</w:t>
      </w:r>
    </w:p>
    <w:p w:rsidR="002B1026">
      <w:pPr>
        <w:spacing w:line="360" w:lineRule="auto"/>
        <w:ind w:firstLine="420"/>
        <w:rPr>
          <w:rFonts w:ascii="宋体" w:hAnsi="Calibri"/>
          <w:lang w:eastAsia="zh-CN"/>
        </w:rPr>
      </w:pPr>
      <w:r>
        <w:rPr>
          <w:rFonts w:ascii="宋体" w:hAnsi="Calibri" w:hint="eastAsia"/>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2B1026">
      <w:pPr>
        <w:spacing w:line="360" w:lineRule="auto"/>
        <w:ind w:firstLine="420"/>
        <w:rPr>
          <w:rFonts w:ascii="宋体" w:hAnsi="Calibri"/>
          <w:lang w:eastAsia="zh-CN"/>
        </w:rPr>
      </w:pPr>
      <w:r>
        <w:rPr>
          <w:rFonts w:ascii="宋体" w:hAnsi="Calibri" w:hint="eastAsia"/>
          <w:highlight w:val="white"/>
          <w:lang w:eastAsia="zh-CN"/>
        </w:rPr>
        <w:t>（3）基金投资业务</w:t>
      </w:r>
    </w:p>
    <w:p w:rsidR="002B1026">
      <w:pPr>
        <w:spacing w:line="360" w:lineRule="auto"/>
        <w:ind w:firstLine="420"/>
        <w:rPr>
          <w:rFonts w:ascii="宋体" w:hAnsi="Calibri"/>
          <w:lang w:eastAsia="zh-CN"/>
        </w:rPr>
      </w:pPr>
      <w:r>
        <w:rPr>
          <w:rFonts w:ascii="宋体" w:hAnsi="Calibri" w:hint="eastAsia"/>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2B1026">
      <w:pPr>
        <w:spacing w:line="360" w:lineRule="auto"/>
        <w:ind w:firstLine="420"/>
        <w:rPr>
          <w:rFonts w:ascii="宋体" w:hAnsi="Calibri"/>
          <w:lang w:eastAsia="zh-CN"/>
        </w:rPr>
      </w:pPr>
      <w:r>
        <w:rPr>
          <w:rFonts w:ascii="宋体" w:hAnsi="Calibri" w:hint="eastAsia"/>
          <w:highlight w:val="white"/>
          <w:lang w:eastAsia="zh-CN"/>
        </w:rPr>
        <w:t>（4）交易业务</w:t>
      </w:r>
    </w:p>
    <w:p w:rsidR="002B1026">
      <w:pPr>
        <w:spacing w:line="360" w:lineRule="auto"/>
        <w:ind w:firstLine="420"/>
        <w:rPr>
          <w:rFonts w:ascii="宋体" w:hAnsi="Calibri"/>
          <w:lang w:eastAsia="zh-CN"/>
        </w:rPr>
      </w:pPr>
      <w:r>
        <w:rPr>
          <w:rFonts w:ascii="宋体" w:hAnsi="Calibri" w:hint="eastAsia"/>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2B1026">
      <w:pPr>
        <w:spacing w:line="360" w:lineRule="auto"/>
        <w:ind w:firstLine="420"/>
        <w:rPr>
          <w:rFonts w:ascii="宋体" w:hAnsi="Calibri"/>
          <w:lang w:eastAsia="zh-CN"/>
        </w:rPr>
      </w:pPr>
      <w:r>
        <w:rPr>
          <w:rFonts w:ascii="宋体" w:hAnsi="Calibri" w:hint="eastAsia"/>
          <w:highlight w:val="white"/>
          <w:lang w:eastAsia="zh-CN"/>
        </w:rPr>
        <w:t>（5）基金会计核算</w:t>
      </w:r>
    </w:p>
    <w:p w:rsidR="002B1026">
      <w:pPr>
        <w:spacing w:line="360" w:lineRule="auto"/>
        <w:ind w:firstLine="420"/>
        <w:rPr>
          <w:rFonts w:ascii="宋体" w:hAnsi="Calibri"/>
          <w:lang w:eastAsia="zh-CN"/>
        </w:rPr>
      </w:pPr>
      <w:r>
        <w:rPr>
          <w:rFonts w:ascii="宋体" w:hAnsi="Calibri" w:hint="eastAsia"/>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2B1026">
      <w:pPr>
        <w:spacing w:line="360" w:lineRule="auto"/>
        <w:ind w:firstLine="420"/>
        <w:rPr>
          <w:rFonts w:ascii="宋体" w:hAnsi="Calibri"/>
          <w:lang w:eastAsia="zh-CN"/>
        </w:rPr>
      </w:pPr>
      <w:r>
        <w:rPr>
          <w:rFonts w:ascii="宋体" w:hAnsi="Calibri" w:hint="eastAsia"/>
          <w:highlight w:val="white"/>
          <w:lang w:eastAsia="zh-CN"/>
        </w:rPr>
        <w:t>（6）信息披露</w:t>
      </w:r>
    </w:p>
    <w:p w:rsidR="002B1026">
      <w:pPr>
        <w:spacing w:line="360" w:lineRule="auto"/>
        <w:ind w:firstLine="420"/>
        <w:rPr>
          <w:rFonts w:ascii="宋体" w:hAnsi="Calibri"/>
          <w:lang w:eastAsia="zh-CN"/>
        </w:rPr>
      </w:pPr>
      <w:r>
        <w:rPr>
          <w:rFonts w:ascii="宋体" w:hAnsi="Calibri" w:hint="eastAsia"/>
          <w:highlight w:val="white"/>
          <w:lang w:eastAsia="zh-CN"/>
        </w:rPr>
        <w:t>公司建立了完备的信息披露制度，指定了信息披露负责人，并建立了相应的制度流程规范相关信息的收集、组织、审核和发布，努力确保公开披露的信息真实、准确、完整、及时。</w:t>
      </w:r>
    </w:p>
    <w:p w:rsidR="002B1026">
      <w:pPr>
        <w:spacing w:line="360" w:lineRule="auto"/>
        <w:ind w:firstLine="420"/>
        <w:rPr>
          <w:rFonts w:ascii="宋体" w:hAnsi="Calibri"/>
          <w:lang w:eastAsia="zh-CN"/>
        </w:rPr>
      </w:pPr>
      <w:r>
        <w:rPr>
          <w:rFonts w:ascii="宋体" w:hAnsi="Calibri" w:hint="eastAsia"/>
          <w:highlight w:val="white"/>
          <w:lang w:eastAsia="zh-CN"/>
        </w:rPr>
        <w:t>（7）监察与合规管理</w:t>
      </w:r>
    </w:p>
    <w:p w:rsidR="002B1026">
      <w:pPr>
        <w:spacing w:line="360" w:lineRule="auto"/>
        <w:ind w:firstLine="420"/>
        <w:rPr>
          <w:rFonts w:ascii="宋体" w:hAnsi="Calibri"/>
          <w:lang w:eastAsia="zh-CN"/>
        </w:rPr>
      </w:pPr>
      <w:r>
        <w:rPr>
          <w:rFonts w:ascii="宋体" w:hAnsi="Calibri" w:hint="eastAsia"/>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2B1026">
      <w:pPr>
        <w:spacing w:line="360" w:lineRule="auto"/>
        <w:ind w:firstLine="420"/>
        <w:rPr>
          <w:rFonts w:ascii="宋体" w:hAnsi="Calibri"/>
          <w:lang w:eastAsia="zh-CN"/>
        </w:rPr>
      </w:pPr>
      <w:r>
        <w:rPr>
          <w:rFonts w:ascii="宋体" w:hAnsi="Calibri" w:hint="eastAsia"/>
          <w:highlight w:val="white"/>
          <w:lang w:eastAsia="zh-CN"/>
        </w:rPr>
        <w:t>公司设立监察合规管理部门，并保障其独立性。监察合规管理部门按照公司规定和督察长的安排履行监察与合规管理职责。</w:t>
      </w:r>
    </w:p>
    <w:p w:rsidR="002B1026">
      <w:pPr>
        <w:spacing w:line="360" w:lineRule="auto"/>
        <w:ind w:firstLine="420"/>
        <w:rPr>
          <w:rFonts w:ascii="宋体" w:hAnsi="Calibri"/>
          <w:lang w:eastAsia="zh-CN"/>
        </w:rPr>
      </w:pPr>
      <w:r>
        <w:rPr>
          <w:rFonts w:ascii="宋体" w:hAnsi="Calibri" w:hint="eastAsia"/>
          <w:highlight w:val="white"/>
          <w:lang w:eastAsia="zh-CN"/>
        </w:rPr>
        <w:t>监察合规管理部门通过定期或不定期检查内部控制制度的执行情况，督促公司和旗下基金的管理运作规范进行。</w:t>
      </w:r>
    </w:p>
    <w:p w:rsidR="002B1026">
      <w:pPr>
        <w:spacing w:line="360" w:lineRule="auto"/>
        <w:ind w:firstLine="420"/>
        <w:rPr>
          <w:rFonts w:ascii="宋体" w:hAnsi="Calibri"/>
          <w:lang w:eastAsia="zh-CN"/>
        </w:rPr>
      </w:pPr>
      <w:r>
        <w:rPr>
          <w:rFonts w:ascii="宋体" w:hAnsi="Calibri" w:hint="eastAsia"/>
          <w:highlight w:val="white"/>
          <w:lang w:eastAsia="zh-CN"/>
        </w:rPr>
        <w:t>公司董事会和管理层充分重视和支持监察与合规管理工作，对违反法律、法规和公司内部控制制度的，追究有关部门和人员的责任。</w:t>
      </w:r>
    </w:p>
    <w:p w:rsidR="002B1026">
      <w:pPr>
        <w:spacing w:line="360" w:lineRule="auto"/>
        <w:ind w:firstLine="420"/>
        <w:rPr>
          <w:rFonts w:ascii="宋体" w:hAnsi="Calibri"/>
          <w:lang w:eastAsia="zh-CN"/>
        </w:rPr>
      </w:pPr>
      <w:r>
        <w:rPr>
          <w:rFonts w:ascii="宋体" w:hAnsi="Calibri" w:hint="eastAsia"/>
          <w:highlight w:val="white"/>
          <w:lang w:eastAsia="zh-CN"/>
        </w:rPr>
        <w:t>5、基金管理人关于内部控制制度声明书</w:t>
      </w:r>
    </w:p>
    <w:p w:rsidR="002B1026">
      <w:pPr>
        <w:spacing w:line="360" w:lineRule="auto"/>
        <w:ind w:firstLine="420"/>
        <w:rPr>
          <w:rFonts w:ascii="宋体" w:hAnsi="Calibri"/>
          <w:lang w:eastAsia="zh-CN"/>
        </w:rPr>
      </w:pPr>
      <w:r>
        <w:rPr>
          <w:rFonts w:ascii="宋体" w:hAnsi="Calibri" w:hint="eastAsia"/>
          <w:highlight w:val="white"/>
          <w:lang w:eastAsia="zh-CN"/>
        </w:rPr>
        <w:t>（1）本公司承诺以上关于内部控制制度的披露真实、准确；</w:t>
      </w:r>
    </w:p>
    <w:p w:rsidR="002B1026">
      <w:pPr>
        <w:spacing w:line="360" w:lineRule="auto"/>
        <w:ind w:firstLine="420"/>
        <w:rPr>
          <w:rFonts w:ascii="宋体" w:hAnsi="Calibri"/>
          <w:lang w:eastAsia="zh-CN"/>
        </w:rPr>
      </w:pPr>
      <w:r>
        <w:rPr>
          <w:rFonts w:ascii="宋体" w:hAnsi="Calibri" w:hint="eastAsia"/>
          <w:highlight w:val="white"/>
          <w:lang w:eastAsia="zh-CN"/>
        </w:rPr>
        <w:t>（2）本公司承诺根据市场变化和公司业务发展不断完善内部控制制度。</w:t>
      </w:r>
      <w:bookmarkStart w:id="14" w:name="_Toc272569700"/>
      <w:bookmarkStart w:id="15" w:name="_Toc272569243"/>
      <w:bookmarkStart w:id="16" w:name="_Toc38438994"/>
      <w:bookmarkStart w:id="17" w:name="_Toc272570857"/>
      <w:bookmarkStart w:id="18" w:name="_Toc272569859"/>
      <w:bookmarkStart w:id="19" w:name="_Toc38438286"/>
      <w:bookmarkStart w:id="20" w:name="_Toc38443535"/>
      <w:bookmarkStart w:id="21" w:name="_Toc38438328"/>
      <w:bookmarkStart w:id="22" w:name="_Toc272570575"/>
      <w:bookmarkStart w:id="23" w:name="_Toc272570855"/>
      <w:bookmarkStart w:id="24" w:name="_Toc272569106"/>
      <w:bookmarkStart w:id="25" w:name="_Toc38440646"/>
      <w:bookmarkStart w:id="26" w:name="_Toc38440845"/>
      <w:bookmarkStart w:id="27" w:name="_Toc38442489"/>
      <w:bookmarkStart w:id="28" w:name="_Toc272570714"/>
      <w:bookmarkStart w:id="29" w:name="_Toc272569093"/>
      <w:bookmarkStart w:id="30" w:name="_Toc38438339"/>
      <w:bookmarkStart w:id="31" w:name="_Toc272569094"/>
      <w:bookmarkStart w:id="32" w:name="_Toc272569564"/>
      <w:bookmarkStart w:id="33" w:name="_Toc272569567"/>
      <w:bookmarkStart w:id="34" w:name="_Toc272569246"/>
      <w:bookmarkStart w:id="35" w:name="_Toc38438657"/>
      <w:bookmarkStart w:id="36" w:name="_Toc272570308"/>
      <w:bookmarkStart w:id="37" w:name="_Toc272569108"/>
      <w:bookmarkStart w:id="38" w:name="_Toc38443872"/>
      <w:bookmarkStart w:id="39" w:name="_Toc272570182"/>
      <w:bookmarkStart w:id="40" w:name="_Toc38443861"/>
      <w:bookmarkStart w:id="41" w:name="_Toc272570185"/>
      <w:bookmarkStart w:id="42" w:name="_Toc272570708"/>
      <w:bookmarkStart w:id="43" w:name="_Toc38438623"/>
      <w:bookmarkStart w:id="44" w:name="_Toc38438960"/>
      <w:bookmarkStart w:id="45" w:name="_Toc38439297"/>
      <w:bookmarkStart w:id="46" w:name="_Toc272570319"/>
      <w:bookmarkStart w:id="47" w:name="_Toc272569566"/>
      <w:bookmarkStart w:id="48" w:name="_Toc38442820"/>
      <w:bookmarkStart w:id="49" w:name="_Toc38438660"/>
      <w:bookmarkStart w:id="50" w:name="_Toc272569095"/>
      <w:bookmarkStart w:id="51" w:name="_Toc272569432"/>
      <w:bookmarkStart w:id="52" w:name="_Toc38443866"/>
      <w:bookmarkStart w:id="53" w:name="_Toc272570452"/>
      <w:bookmarkStart w:id="54" w:name="_Toc272569091"/>
      <w:bookmarkStart w:id="55" w:name="_Toc38441177"/>
      <w:bookmarkStart w:id="56" w:name="_Toc38441509"/>
      <w:bookmarkStart w:id="57" w:name="_Toc38441837"/>
      <w:bookmarkStart w:id="58" w:name="_Toc272570581"/>
      <w:bookmarkStart w:id="59" w:name="_Toc272569433"/>
      <w:bookmarkStart w:id="60" w:name="_Toc272569570"/>
      <w:bookmarkStart w:id="61" w:name="_Toc272569706"/>
      <w:bookmarkStart w:id="62" w:name="_Toc272569857"/>
      <w:bookmarkStart w:id="63" w:name="_Toc272570180"/>
      <w:bookmarkStart w:id="64" w:name="_Toc272570314"/>
      <w:bookmarkStart w:id="65" w:name="_Toc272570447"/>
      <w:bookmarkStart w:id="66" w:name="_Toc38442485"/>
      <w:bookmarkStart w:id="67" w:name="_Toc38442816"/>
      <w:bookmarkStart w:id="68" w:name="_Toc38443147"/>
      <w:bookmarkStart w:id="69" w:name="_Toc38443478"/>
      <w:bookmarkStart w:id="70" w:name="_Toc38443809"/>
      <w:bookmarkStart w:id="71" w:name="_Toc38438277"/>
      <w:bookmarkStart w:id="72" w:name="_Toc272570441"/>
      <w:bookmarkStart w:id="73" w:name="_Toc272569260"/>
      <w:bookmarkStart w:id="74" w:name="_Toc272569444"/>
      <w:bookmarkStart w:id="75" w:name="_Toc272569581"/>
      <w:bookmarkStart w:id="76" w:name="_Toc272570841"/>
      <w:bookmarkStart w:id="77" w:name="_Toc272570848"/>
      <w:bookmarkStart w:id="78" w:name="_Toc272569099"/>
      <w:bookmarkStart w:id="79" w:name="_Toc272569251"/>
      <w:bookmarkStart w:id="80" w:name="_Toc272569435"/>
      <w:bookmarkStart w:id="81" w:name="_Toc272569572"/>
      <w:bookmarkStart w:id="82" w:name="_Toc272569708"/>
      <w:bookmarkStart w:id="83" w:name="_Toc38440891"/>
      <w:bookmarkStart w:id="84" w:name="_Toc38441223"/>
      <w:bookmarkStart w:id="85" w:name="_Toc38440842"/>
      <w:bookmarkStart w:id="86" w:name="_Toc38441174"/>
      <w:bookmarkStart w:id="87" w:name="_Toc38441506"/>
      <w:bookmarkStart w:id="88" w:name="_Toc38441834"/>
      <w:bookmarkStart w:id="89" w:name="_Toc38442166"/>
      <w:bookmarkStart w:id="90" w:name="_Toc38442498"/>
      <w:bookmarkStart w:id="91" w:name="_Toc38439634"/>
      <w:bookmarkStart w:id="92" w:name="_Toc38439971"/>
      <w:bookmarkStart w:id="93" w:name="_Toc272569702"/>
      <w:bookmarkStart w:id="94" w:name="_Toc38443151"/>
      <w:bookmarkStart w:id="95" w:name="_Toc38443482"/>
      <w:bookmarkStart w:id="96" w:name="_Toc38443813"/>
      <w:bookmarkStart w:id="97" w:name="_Toc272570176"/>
      <w:bookmarkStart w:id="98" w:name="_Toc272570445"/>
      <w:bookmarkStart w:id="99" w:name="_Toc272570579"/>
      <w:bookmarkStart w:id="100" w:name="_Toc272570712"/>
      <w:bookmarkStart w:id="101" w:name="_Toc272570845"/>
      <w:bookmarkStart w:id="102" w:name="_Toc272569096"/>
      <w:bookmarkStart w:id="103" w:name="_Toc272569248"/>
      <w:bookmarkStart w:id="104" w:name="_Toc38440313"/>
      <w:bookmarkStart w:id="105" w:name="_Toc308697499"/>
      <w:bookmarkStart w:id="106" w:name="_Toc296526963"/>
      <w:bookmarkStart w:id="107" w:name="_Toc309286026"/>
      <w:bookmarkStart w:id="108" w:name="_Toc277752499"/>
      <w:bookmarkStart w:id="109" w:name="_Toc308697502"/>
      <w:bookmarkStart w:id="110" w:name="_Toc296440126"/>
      <w:bookmarkStart w:id="111" w:name="_Toc277786083"/>
      <w:bookmarkStart w:id="112" w:name="_Toc38441869"/>
      <w:bookmarkStart w:id="113" w:name="_Toc38442169"/>
      <w:bookmarkStart w:id="114" w:name="_Toc38438676"/>
      <w:bookmarkStart w:id="115" w:name="_Toc38439013"/>
      <w:bookmarkStart w:id="116" w:name="_Toc38439350"/>
      <w:bookmarkStart w:id="117" w:name="_Toc272570316"/>
      <w:bookmarkStart w:id="118" w:name="_Toc272569427"/>
      <w:bookmarkStart w:id="119" w:name="_Toc38441161"/>
      <w:bookmarkStart w:id="120" w:name="_Toc38441493"/>
      <w:bookmarkStart w:id="121" w:name="_Toc38441821"/>
      <w:bookmarkStart w:id="122" w:name="_Toc38442153"/>
      <w:bookmarkStart w:id="123" w:name="_Toc38443480"/>
      <w:bookmarkStart w:id="124" w:name="_Toc38443811"/>
      <w:bookmarkStart w:id="125" w:name="_Toc38438278"/>
      <w:bookmarkStart w:id="126" w:name="_Toc38438615"/>
      <w:bookmarkStart w:id="127" w:name="_Toc38438952"/>
      <w:bookmarkStart w:id="128" w:name="_Toc38439289"/>
      <w:bookmarkStart w:id="129" w:name="_Toc38439626"/>
      <w:bookmarkStart w:id="130" w:name="_Toc38439963"/>
      <w:bookmarkStart w:id="131" w:name="_Toc38440300"/>
      <w:bookmarkStart w:id="132" w:name="_Toc38438957"/>
      <w:bookmarkStart w:id="133" w:name="_Toc38439294"/>
      <w:bookmarkStart w:id="134" w:name="_Toc38439631"/>
      <w:bookmarkStart w:id="135" w:name="_Toc38439968"/>
      <w:bookmarkStart w:id="136" w:name="_Toc38440305"/>
      <w:bookmarkStart w:id="137" w:name="_Toc38440638"/>
      <w:bookmarkStart w:id="138" w:name="_Toc38441874"/>
      <w:bookmarkStart w:id="139" w:name="_Toc38441546"/>
      <w:bookmarkStart w:id="140" w:name="_Toc38441214"/>
      <w:bookmarkStart w:id="141" w:name="_Toc38440882"/>
      <w:bookmarkStart w:id="142" w:name="_Toc272570323"/>
      <w:bookmarkStart w:id="143" w:name="_Toc272570456"/>
      <w:bookmarkStart w:id="144" w:name="_Toc38438614"/>
      <w:bookmarkStart w:id="145" w:name="_Toc38438951"/>
      <w:bookmarkStart w:id="146" w:name="_Toc272569717"/>
      <w:bookmarkStart w:id="147" w:name="_Toc272570844"/>
      <w:bookmarkStart w:id="148" w:name="_Toc38438665"/>
      <w:bookmarkStart w:id="149" w:name="_Toc38439002"/>
      <w:bookmarkStart w:id="150" w:name="_Toc38439339"/>
      <w:bookmarkStart w:id="151" w:name="_Toc272569569"/>
      <w:bookmarkStart w:id="152" w:name="_Toc38442826"/>
      <w:bookmarkStart w:id="153" w:name="_Toc38443157"/>
      <w:bookmarkStart w:id="154" w:name="_Toc38443488"/>
      <w:bookmarkStart w:id="155" w:name="_Toc38443819"/>
      <w:bookmarkStart w:id="156" w:name="_Toc38438674"/>
      <w:bookmarkStart w:id="157" w:name="_Toc38439011"/>
      <w:bookmarkStart w:id="158" w:name="_Toc38439348"/>
      <w:bookmarkStart w:id="159" w:name="_Toc38439685"/>
      <w:bookmarkStart w:id="160" w:name="_Toc38440022"/>
      <w:bookmarkStart w:id="161" w:name="_Toc38440359"/>
      <w:bookmarkStart w:id="162" w:name="_Toc38441175"/>
      <w:bookmarkStart w:id="163" w:name="_Toc38441507"/>
      <w:bookmarkStart w:id="164" w:name="_Toc38441835"/>
      <w:bookmarkStart w:id="165" w:name="_Toc38442167"/>
      <w:bookmarkStart w:id="166" w:name="_Toc38442499"/>
      <w:bookmarkStart w:id="167" w:name="_Toc38442830"/>
      <w:bookmarkStart w:id="168" w:name="_Toc38443161"/>
      <w:bookmarkStart w:id="169" w:name="_Toc38443492"/>
      <w:bookmarkStart w:id="170" w:name="_Toc38443823"/>
      <w:bookmarkStart w:id="171" w:name="_Toc38438290"/>
      <w:bookmarkStart w:id="172" w:name="_Toc38440364"/>
      <w:bookmarkStart w:id="173" w:name="_Toc38440896"/>
      <w:bookmarkStart w:id="174" w:name="_Toc38441228"/>
      <w:bookmarkStart w:id="175" w:name="_Toc38441560"/>
      <w:bookmarkStart w:id="176" w:name="_Toc38441888"/>
      <w:bookmarkStart w:id="177" w:name="_Toc38442220"/>
      <w:bookmarkStart w:id="178" w:name="_Toc38442829"/>
      <w:bookmarkStart w:id="179" w:name="_Toc38441551"/>
      <w:bookmarkStart w:id="180" w:name="_Toc38441219"/>
      <w:bookmarkStart w:id="181" w:name="_Toc38440887"/>
      <w:bookmarkStart w:id="182" w:name="_Toc38440355"/>
      <w:bookmarkStart w:id="183" w:name="_Toc38441206"/>
      <w:bookmarkStart w:id="184" w:name="_Toc38441538"/>
      <w:bookmarkStart w:id="185" w:name="_Toc38440308"/>
      <w:bookmarkStart w:id="186" w:name="_Toc38440641"/>
      <w:bookmarkStart w:id="187" w:name="_Toc38438280"/>
      <w:bookmarkStart w:id="188" w:name="_Toc272570310"/>
      <w:bookmarkStart w:id="189" w:name="_Toc38438333"/>
      <w:bookmarkStart w:id="190" w:name="_Toc38438670"/>
      <w:bookmarkStart w:id="191" w:name="_Toc38439007"/>
      <w:bookmarkStart w:id="192" w:name="_Toc272569851"/>
      <w:bookmarkStart w:id="193" w:name="_Toc38439302"/>
      <w:bookmarkStart w:id="194" w:name="_Toc38439639"/>
      <w:bookmarkStart w:id="195" w:name="_Toc38439976"/>
      <w:bookmarkStart w:id="196" w:name="_Toc296526928"/>
      <w:bookmarkStart w:id="197" w:name="_Toc272569765"/>
      <w:bookmarkStart w:id="198" w:name="_Toc272569766"/>
      <w:bookmarkStart w:id="199" w:name="_Toc309286029"/>
      <w:bookmarkStart w:id="200" w:name="_Toc272569773"/>
      <w:bookmarkStart w:id="201" w:name="_Toc309286035"/>
      <w:bookmarkStart w:id="202" w:name="_Toc309286022"/>
      <w:bookmarkStart w:id="203" w:name="_Toc308697513"/>
      <w:bookmarkStart w:id="204" w:name="_Toc308697500"/>
      <w:bookmarkStart w:id="205" w:name="_Toc309286032"/>
      <w:bookmarkStart w:id="206" w:name="_Toc309286033"/>
      <w:bookmarkStart w:id="207" w:name="_Toc277752504"/>
      <w:bookmarkStart w:id="208" w:name="_Toc309286028"/>
      <w:bookmarkStart w:id="209" w:name="_Toc308697501"/>
      <w:bookmarkStart w:id="210" w:name="_Toc309286010"/>
      <w:bookmarkStart w:id="211" w:name="_Toc323051000"/>
      <w:bookmarkStart w:id="212" w:name="_Toc308697505"/>
      <w:bookmarkStart w:id="213" w:name="_Toc272569875"/>
      <w:bookmarkStart w:id="214" w:name="_Toc272569116"/>
      <w:bookmarkStart w:id="215" w:name="_Toc272569268"/>
      <w:bookmarkStart w:id="216" w:name="_Toc272569452"/>
      <w:bookmarkStart w:id="217" w:name="_Toc272569589"/>
      <w:bookmarkStart w:id="218" w:name="_Toc38442201"/>
      <w:bookmarkStart w:id="219" w:name="_Toc38442533"/>
      <w:bookmarkStart w:id="220" w:name="_Toc38442832"/>
      <w:bookmarkStart w:id="221" w:name="_Toc38441209"/>
      <w:bookmarkStart w:id="222" w:name="_Toc38441541"/>
      <w:bookmarkStart w:id="223" w:name="_Toc272569439"/>
      <w:bookmarkStart w:id="224" w:name="_Toc272569576"/>
      <w:bookmarkStart w:id="225" w:name="_Toc272569712"/>
      <w:bookmarkStart w:id="226" w:name="_Toc38442501"/>
      <w:bookmarkStart w:id="227" w:name="_Toc38439687"/>
      <w:bookmarkStart w:id="228" w:name="_Toc38440024"/>
      <w:bookmarkStart w:id="229" w:name="_Toc38438997"/>
      <w:bookmarkStart w:id="230" w:name="_Toc38439334"/>
      <w:bookmarkStart w:id="231" w:name="_Toc38439671"/>
      <w:bookmarkStart w:id="232" w:name="_Toc272569431"/>
      <w:bookmarkStart w:id="233" w:name="_Toc272569245"/>
      <w:bookmarkStart w:id="234" w:name="_Toc272570324"/>
      <w:bookmarkStart w:id="235" w:name="_Toc272570457"/>
      <w:bookmarkStart w:id="236" w:name="_Toc272570591"/>
      <w:bookmarkStart w:id="237" w:name="_Toc272570724"/>
      <w:bookmarkStart w:id="238" w:name="_Toc38440297"/>
      <w:bookmarkStart w:id="239" w:name="_Toc38440630"/>
      <w:bookmarkStart w:id="240" w:name="_Toc38440829"/>
      <w:bookmarkStart w:id="241" w:name="_Toc38439006"/>
      <w:bookmarkStart w:id="242" w:name="_Toc38439343"/>
      <w:bookmarkStart w:id="243" w:name="_Toc38439680"/>
      <w:bookmarkStart w:id="244" w:name="_Toc38440017"/>
      <w:bookmarkStart w:id="245" w:name="_Toc38440354"/>
      <w:bookmarkStart w:id="246" w:name="_Toc38440886"/>
      <w:bookmarkStart w:id="247" w:name="_Toc38441501"/>
      <w:bookmarkStart w:id="248" w:name="_Toc38441829"/>
      <w:bookmarkStart w:id="249" w:name="_Toc38442161"/>
      <w:bookmarkStart w:id="250" w:name="_Toc38442493"/>
      <w:bookmarkStart w:id="251" w:name="_Toc38442824"/>
      <w:bookmarkStart w:id="252" w:name="_Toc38443155"/>
      <w:bookmarkStart w:id="253" w:name="_Toc38443486"/>
      <w:bookmarkStart w:id="254" w:name="_Toc38443817"/>
      <w:bookmarkStart w:id="255" w:name="_Toc38438284"/>
      <w:bookmarkStart w:id="256" w:name="_Toc38438621"/>
      <w:bookmarkStart w:id="257" w:name="_Toc38438958"/>
      <w:bookmarkStart w:id="258" w:name="_Toc38439295"/>
      <w:bookmarkStart w:id="259" w:name="_Toc38439632"/>
      <w:bookmarkStart w:id="260" w:name="_Toc38439969"/>
      <w:bookmarkStart w:id="261" w:name="_Toc38440306"/>
      <w:bookmarkStart w:id="262" w:name="_Toc38440639"/>
      <w:bookmarkStart w:id="263" w:name="_Toc38440838"/>
      <w:bookmarkStart w:id="264" w:name="_Toc38441170"/>
      <w:bookmarkStart w:id="265" w:name="_Toc38441502"/>
      <w:bookmarkStart w:id="266" w:name="_Toc38441830"/>
      <w:bookmarkStart w:id="267" w:name="_Toc38443485"/>
      <w:bookmarkStart w:id="268" w:name="_Toc38443816"/>
      <w:bookmarkStart w:id="269" w:name="_Toc38441552"/>
      <w:bookmarkStart w:id="270" w:name="_Toc38441880"/>
      <w:bookmarkStart w:id="271" w:name="_Toc38442212"/>
      <w:bookmarkStart w:id="272" w:name="_Toc38442544"/>
      <w:bookmarkStart w:id="273" w:name="_Toc38442206"/>
      <w:bookmarkStart w:id="274" w:name="_Toc38442538"/>
      <w:bookmarkStart w:id="275" w:name="_Toc38442869"/>
      <w:bookmarkStart w:id="276" w:name="_Toc38443200"/>
      <w:bookmarkStart w:id="277" w:name="_Toc38443531"/>
      <w:bookmarkStart w:id="278" w:name="_Toc38443862"/>
      <w:bookmarkStart w:id="279" w:name="_Toc38438329"/>
      <w:bookmarkStart w:id="280" w:name="_Toc38438666"/>
      <w:bookmarkStart w:id="281" w:name="_Toc38439003"/>
      <w:bookmarkStart w:id="282" w:name="_Toc38439340"/>
      <w:bookmarkStart w:id="283" w:name="_Toc38439677"/>
      <w:bookmarkStart w:id="284" w:name="_Toc38440014"/>
      <w:bookmarkStart w:id="285" w:name="_Toc38440351"/>
      <w:bookmarkStart w:id="286" w:name="_Toc38440883"/>
      <w:bookmarkStart w:id="287" w:name="_Toc38441215"/>
      <w:bookmarkStart w:id="288" w:name="_Toc38441547"/>
      <w:bookmarkStart w:id="289" w:name="_Toc272569259"/>
      <w:bookmarkStart w:id="290" w:name="_Toc272569107"/>
      <w:bookmarkStart w:id="291" w:name="_Toc272570856"/>
      <w:bookmarkStart w:id="292" w:name="_Toc272570723"/>
      <w:bookmarkStart w:id="293" w:name="_Toc272570590"/>
      <w:bookmarkStart w:id="294" w:name="_Toc272569868"/>
      <w:bookmarkStart w:id="295" w:name="_Toc272570191"/>
      <w:bookmarkStart w:id="296" w:name="_Toc38439676"/>
      <w:bookmarkStart w:id="297" w:name="_Toc309286157"/>
      <w:bookmarkStart w:id="298" w:name="_Toc272569258"/>
      <w:bookmarkStart w:id="299" w:name="_Toc272569442"/>
      <w:bookmarkStart w:id="300" w:name="_Toc272569579"/>
      <w:bookmarkStart w:id="301" w:name="_Toc272570710"/>
      <w:bookmarkStart w:id="302" w:name="_Toc38441165"/>
      <w:bookmarkStart w:id="303" w:name="_Toc38441497"/>
      <w:bookmarkStart w:id="304" w:name="_Toc38441825"/>
      <w:bookmarkStart w:id="305" w:name="_Toc38442157"/>
      <w:bookmarkStart w:id="306" w:name="_Toc38441831"/>
      <w:bookmarkStart w:id="307" w:name="_Toc38442163"/>
      <w:bookmarkStart w:id="308" w:name="_Toc38442495"/>
      <w:bookmarkStart w:id="309" w:name="_Toc38440344"/>
      <w:bookmarkStart w:id="310" w:name="_Toc38440677"/>
      <w:bookmarkStart w:id="311" w:name="_Toc38440876"/>
      <w:bookmarkStart w:id="312" w:name="_Toc38441208"/>
      <w:bookmarkStart w:id="313" w:name="_Toc38441540"/>
      <w:bookmarkStart w:id="314" w:name="_Toc38441555"/>
      <w:bookmarkStart w:id="315" w:name="_Toc38443822"/>
      <w:bookmarkStart w:id="316" w:name="_Toc38438289"/>
      <w:bookmarkStart w:id="317" w:name="_Toc38438626"/>
      <w:bookmarkStart w:id="318" w:name="_Toc38438963"/>
      <w:bookmarkStart w:id="319" w:name="_Toc38439300"/>
      <w:bookmarkStart w:id="320" w:name="_Toc38439637"/>
      <w:bookmarkStart w:id="321" w:name="_Toc38439974"/>
      <w:bookmarkStart w:id="322" w:name="_Toc38440311"/>
      <w:bookmarkStart w:id="323" w:name="_Toc38440644"/>
      <w:bookmarkStart w:id="324" w:name="_Toc38440843"/>
      <w:bookmarkStart w:id="325" w:name="_Toc38439349"/>
      <w:bookmarkStart w:id="326" w:name="_Toc38439686"/>
      <w:bookmarkStart w:id="327" w:name="_Toc38440023"/>
      <w:bookmarkStart w:id="328" w:name="_Toc38440360"/>
      <w:bookmarkStart w:id="329" w:name="_Toc38440892"/>
      <w:bookmarkStart w:id="330" w:name="_Toc38441224"/>
      <w:bookmarkStart w:id="331" w:name="_Toc38441556"/>
      <w:bookmarkStart w:id="332" w:name="_Toc38443214"/>
      <w:bookmarkStart w:id="333" w:name="_Toc38443545"/>
      <w:bookmarkStart w:id="334" w:name="_Toc38443876"/>
      <w:bookmarkStart w:id="335" w:name="_Toc38438343"/>
      <w:bookmarkStart w:id="336" w:name="_Toc38438680"/>
      <w:bookmarkStart w:id="337" w:name="_Toc38439017"/>
      <w:bookmarkStart w:id="338" w:name="_Toc38439354"/>
      <w:bookmarkStart w:id="339" w:name="_Toc38439691"/>
      <w:bookmarkStart w:id="340" w:name="_Toc38440028"/>
      <w:bookmarkStart w:id="341" w:name="_Toc38440365"/>
      <w:bookmarkStart w:id="342" w:name="_Toc38440897"/>
      <w:bookmarkStart w:id="343" w:name="_Toc38441229"/>
      <w:bookmarkStart w:id="344" w:name="_Toc38441561"/>
      <w:bookmarkStart w:id="345" w:name="_Toc38441889"/>
      <w:bookmarkStart w:id="346" w:name="_Toc38442221"/>
      <w:bookmarkStart w:id="347" w:name="_Toc38442553"/>
      <w:bookmarkStart w:id="348" w:name="_Toc38442884"/>
      <w:bookmarkStart w:id="349" w:name="_Toc38443215"/>
      <w:bookmarkStart w:id="350" w:name="_Toc38443546"/>
      <w:bookmarkStart w:id="351" w:name="_Toc38438679"/>
      <w:bookmarkStart w:id="352" w:name="_Toc38439016"/>
      <w:bookmarkStart w:id="353" w:name="_Toc38439353"/>
      <w:bookmarkStart w:id="354" w:name="_Toc38442202"/>
      <w:bookmarkStart w:id="355" w:name="_Toc38442534"/>
      <w:bookmarkStart w:id="356" w:name="_Toc38442865"/>
      <w:bookmarkStart w:id="357" w:name="_Toc38441879"/>
      <w:bookmarkStart w:id="358" w:name="_Toc38442211"/>
      <w:bookmarkStart w:id="359" w:name="_Toc38442543"/>
      <w:bookmarkStart w:id="360" w:name="_Toc38442874"/>
      <w:bookmarkStart w:id="361" w:name="_Toc38443205"/>
      <w:bookmarkStart w:id="362" w:name="_Toc38443536"/>
      <w:bookmarkStart w:id="363" w:name="_Toc38443867"/>
      <w:bookmarkStart w:id="364" w:name="_Toc38438334"/>
      <w:bookmarkStart w:id="365" w:name="_Toc38438671"/>
      <w:bookmarkStart w:id="366" w:name="_Toc38439008"/>
      <w:bookmarkStart w:id="367" w:name="_Toc38439345"/>
      <w:bookmarkStart w:id="368" w:name="_Toc38439682"/>
      <w:bookmarkStart w:id="369" w:name="_Toc38440019"/>
      <w:bookmarkStart w:id="370" w:name="_Toc38440356"/>
      <w:bookmarkStart w:id="371" w:name="_Toc38440888"/>
      <w:bookmarkStart w:id="372" w:name="_Toc38441220"/>
      <w:bookmarkStart w:id="373" w:name="_Toc38443192"/>
      <w:bookmarkStart w:id="374" w:name="_Toc38442861"/>
      <w:bookmarkStart w:id="375" w:name="_Toc38442530"/>
      <w:bookmarkStart w:id="376" w:name="_Toc38442198"/>
      <w:bookmarkStart w:id="377" w:name="_Toc38441866"/>
      <w:bookmarkStart w:id="378" w:name="_Toc38438617"/>
      <w:bookmarkStart w:id="379" w:name="_Toc38438954"/>
      <w:bookmarkStart w:id="380" w:name="_Toc38439344"/>
      <w:bookmarkStart w:id="381" w:name="_Toc272570174"/>
      <w:bookmarkStart w:id="382" w:name="_Toc38439331"/>
      <w:bookmarkStart w:id="383" w:name="_Toc38439668"/>
      <w:bookmarkStart w:id="384" w:name="_Toc38440005"/>
      <w:bookmarkStart w:id="385" w:name="_Toc272570578"/>
      <w:bookmarkStart w:id="386" w:name="_Toc38442879"/>
      <w:bookmarkStart w:id="387" w:name="_Toc38443210"/>
      <w:bookmarkStart w:id="388" w:name="_Toc38443541"/>
      <w:bookmarkStart w:id="389" w:name="_Toc38443824"/>
      <w:bookmarkStart w:id="390" w:name="_Toc38438291"/>
      <w:bookmarkStart w:id="391" w:name="_Toc38438628"/>
      <w:bookmarkStart w:id="392" w:name="_Toc38438965"/>
      <w:bookmarkStart w:id="393" w:name="_Toc38439337"/>
      <w:bookmarkStart w:id="394" w:name="_Toc38439674"/>
      <w:bookmarkStart w:id="395" w:name="_Toc38440011"/>
      <w:bookmarkStart w:id="396" w:name="_Toc38440348"/>
      <w:bookmarkStart w:id="397" w:name="_Toc38440880"/>
      <w:bookmarkStart w:id="398" w:name="_Toc38441212"/>
      <w:bookmarkStart w:id="399" w:name="_Toc277787604"/>
      <w:bookmarkStart w:id="400" w:name="_Toc277786078"/>
      <w:bookmarkStart w:id="401" w:name="_Toc308697512"/>
      <w:bookmarkStart w:id="402" w:name="_Toc309286021"/>
      <w:bookmarkStart w:id="403" w:name="_Toc308697509"/>
      <w:bookmarkStart w:id="404" w:name="_Toc308697511"/>
      <w:bookmarkStart w:id="405" w:name="_Toc272569772"/>
      <w:bookmarkStart w:id="406" w:name="_Toc296526989"/>
      <w:bookmarkStart w:id="407" w:name="_Toc277787599"/>
      <w:bookmarkStart w:id="408" w:name="_Toc308697508"/>
      <w:bookmarkStart w:id="409" w:name="_Toc309286030"/>
      <w:bookmarkStart w:id="410" w:name="_Toc38439338"/>
      <w:bookmarkStart w:id="411" w:name="_Toc38439675"/>
      <w:bookmarkStart w:id="412" w:name="_Toc38440012"/>
      <w:bookmarkStart w:id="413" w:name="_Toc38440349"/>
      <w:bookmarkStart w:id="414" w:name="_Toc38440881"/>
      <w:bookmarkStart w:id="415" w:name="_Toc38441213"/>
      <w:bookmarkStart w:id="416" w:name="_Toc272569269"/>
      <w:bookmarkStart w:id="417" w:name="_Toc272569453"/>
      <w:bookmarkStart w:id="418" w:name="_Toc272569590"/>
      <w:bookmarkStart w:id="419" w:name="_Toc272569726"/>
      <w:bookmarkStart w:id="420" w:name="_Toc272569877"/>
      <w:bookmarkStart w:id="421" w:name="_Toc272569118"/>
      <w:bookmarkStart w:id="422" w:name="_Toc272569270"/>
      <w:bookmarkStart w:id="423" w:name="_Toc272569454"/>
      <w:bookmarkStart w:id="424" w:name="_Toc272569591"/>
      <w:bookmarkStart w:id="425" w:name="_Toc272569727"/>
      <w:bookmarkStart w:id="426" w:name="_Toc272569878"/>
      <w:bookmarkStart w:id="427" w:name="_Toc308697714"/>
      <w:bookmarkStart w:id="428" w:name="_Toc309286236"/>
      <w:bookmarkStart w:id="429" w:name="_Hlt133147570"/>
      <w:bookmarkStart w:id="430" w:name="_Hlt133151691"/>
      <w:bookmarkStart w:id="431" w:name="_Toc308697716"/>
      <w:bookmarkStart w:id="432" w:name="_Toc309286238"/>
      <w:bookmarkStart w:id="433" w:name="_Toc308697717"/>
      <w:bookmarkStart w:id="434" w:name="_Toc309286239"/>
      <w:bookmarkStart w:id="435" w:name="_Toc308697718"/>
      <w:bookmarkStart w:id="436" w:name="_Toc272569267"/>
      <w:bookmarkStart w:id="437" w:name="_Toc272569451"/>
      <w:bookmarkStart w:id="438" w:name="_Toc38441875"/>
      <w:bookmarkStart w:id="439" w:name="_Toc38442207"/>
      <w:bookmarkStart w:id="440" w:name="_Toc38442539"/>
      <w:bookmarkStart w:id="441" w:name="_Toc38442870"/>
      <w:bookmarkStart w:id="442" w:name="_Toc38442864"/>
      <w:bookmarkStart w:id="443" w:name="_Toc38443195"/>
      <w:bookmarkStart w:id="444" w:name="_Toc38443526"/>
      <w:bookmarkStart w:id="445" w:name="_Toc38443857"/>
      <w:bookmarkStart w:id="446" w:name="_Toc38438324"/>
      <w:bookmarkStart w:id="447" w:name="_Toc38438661"/>
      <w:bookmarkStart w:id="448" w:name="_Toc38438998"/>
      <w:bookmarkStart w:id="449" w:name="_Toc38439335"/>
      <w:bookmarkStart w:id="450" w:name="_Toc38439672"/>
      <w:bookmarkStart w:id="451" w:name="_Toc38440009"/>
      <w:bookmarkStart w:id="452" w:name="_Toc38440346"/>
      <w:bookmarkStart w:id="453" w:name="_Toc38440679"/>
      <w:bookmarkStart w:id="454" w:name="_Toc38440878"/>
      <w:bookmarkStart w:id="455" w:name="_Toc38441210"/>
      <w:bookmarkStart w:id="456" w:name="_Toc38441542"/>
      <w:bookmarkStart w:id="457" w:name="_Toc38441870"/>
      <w:bookmarkStart w:id="458" w:name="_Toc272570453"/>
      <w:bookmarkStart w:id="459" w:name="_Toc272570320"/>
      <w:bookmarkStart w:id="460" w:name="_Toc272570186"/>
      <w:bookmarkStart w:id="461" w:name="_Toc272569863"/>
      <w:bookmarkStart w:id="462" w:name="_Toc38440361"/>
      <w:bookmarkStart w:id="463" w:name="_Toc38440008"/>
      <w:bookmarkStart w:id="464" w:name="_Toc38440345"/>
      <w:bookmarkStart w:id="465" w:name="_Toc272569429"/>
      <w:bookmarkStart w:id="466" w:name="_Toc272570586"/>
      <w:bookmarkStart w:id="467" w:name="_Toc272570719"/>
      <w:bookmarkStart w:id="468" w:name="_Toc272570852"/>
      <w:bookmarkStart w:id="469" w:name="_Toc272569853"/>
      <w:bookmarkStart w:id="470" w:name="_Toc38442537"/>
      <w:bookmarkStart w:id="471" w:name="_Toc38442868"/>
      <w:bookmarkStart w:id="472" w:name="_Toc38443199"/>
      <w:bookmarkStart w:id="473" w:name="_Toc38443530"/>
      <w:bookmarkStart w:id="474" w:name="_Toc272569716"/>
      <w:bookmarkStart w:id="475" w:name="_Toc272569867"/>
      <w:bookmarkStart w:id="476" w:name="_Toc272570190"/>
      <w:bookmarkStart w:id="477" w:name="_Toc38439005"/>
      <w:bookmarkStart w:id="478" w:name="_Toc38439342"/>
      <w:bookmarkStart w:id="479" w:name="_Toc38439679"/>
      <w:bookmarkStart w:id="480" w:name="_Toc38440016"/>
      <w:bookmarkStart w:id="481" w:name="_Toc38440353"/>
      <w:bookmarkStart w:id="482" w:name="_Toc38440885"/>
      <w:bookmarkStart w:id="483" w:name="_Toc38439962"/>
      <w:bookmarkStart w:id="484" w:name="_Toc38440299"/>
      <w:bookmarkStart w:id="485" w:name="_Toc38440632"/>
      <w:bookmarkStart w:id="486" w:name="_Toc38440831"/>
      <w:bookmarkStart w:id="487" w:name="_Toc38441163"/>
      <w:bookmarkStart w:id="488" w:name="_Toc38441495"/>
      <w:bookmarkStart w:id="489" w:name="_Toc38441823"/>
      <w:bookmarkStart w:id="490" w:name="_Toc38442155"/>
      <w:bookmarkStart w:id="491" w:name="_Toc38442487"/>
      <w:bookmarkStart w:id="492" w:name="_Toc38442818"/>
      <w:bookmarkStart w:id="493" w:name="_Toc38443149"/>
      <w:bookmarkStart w:id="494" w:name="_Toc272570582"/>
      <w:bookmarkStart w:id="495" w:name="_Toc272570715"/>
      <w:bookmarkStart w:id="496" w:name="_Toc38440873"/>
      <w:bookmarkStart w:id="497" w:name="_Toc38441205"/>
      <w:bookmarkStart w:id="498" w:name="_Toc38441537"/>
      <w:bookmarkStart w:id="499" w:name="_Toc38441865"/>
      <w:bookmarkStart w:id="500" w:name="_Toc38442197"/>
      <w:bookmarkStart w:id="501" w:name="_Toc38442529"/>
      <w:bookmarkStart w:id="502" w:name="_Toc38442860"/>
      <w:bookmarkStart w:id="503" w:name="_Toc38440633"/>
      <w:bookmarkStart w:id="504" w:name="_Toc38440832"/>
      <w:bookmarkStart w:id="505" w:name="_Toc38441164"/>
      <w:bookmarkStart w:id="506" w:name="_Toc38441496"/>
      <w:bookmarkStart w:id="507" w:name="_Toc38441824"/>
      <w:bookmarkStart w:id="508" w:name="_Toc38442156"/>
      <w:bookmarkStart w:id="509" w:name="_Toc38442488"/>
      <w:bookmarkStart w:id="510" w:name="_Toc38442819"/>
      <w:bookmarkStart w:id="511" w:name="_Toc38443150"/>
      <w:bookmarkStart w:id="512" w:name="_Toc38443481"/>
      <w:bookmarkStart w:id="513" w:name="_Toc38443812"/>
      <w:bookmarkStart w:id="514" w:name="_Toc38438279"/>
      <w:bookmarkStart w:id="515" w:name="_Toc38438616"/>
      <w:bookmarkStart w:id="516" w:name="_Toc38438953"/>
      <w:bookmarkStart w:id="517" w:name="_Toc38439290"/>
      <w:bookmarkStart w:id="518" w:name="_Toc38439627"/>
      <w:bookmarkStart w:id="519" w:name="_Toc38439964"/>
      <w:bookmarkStart w:id="520" w:name="_Toc38443537"/>
      <w:bookmarkStart w:id="521" w:name="_Toc38443868"/>
      <w:bookmarkStart w:id="522" w:name="_Toc38438335"/>
      <w:bookmarkStart w:id="523" w:name="_Toc38438672"/>
      <w:bookmarkStart w:id="524" w:name="_Toc38439009"/>
      <w:bookmarkStart w:id="525" w:name="_Toc38439346"/>
      <w:bookmarkStart w:id="526" w:name="_Toc38439683"/>
      <w:bookmarkStart w:id="527" w:name="_Toc38440020"/>
      <w:bookmarkStart w:id="528" w:name="_Toc38440357"/>
      <w:bookmarkStart w:id="529" w:name="_Toc38440889"/>
      <w:bookmarkStart w:id="530" w:name="_Toc38441221"/>
      <w:bookmarkStart w:id="531" w:name="_Toc38441553"/>
      <w:bookmarkStart w:id="532" w:name="_Toc38441881"/>
      <w:bookmarkStart w:id="533" w:name="_Toc38442213"/>
      <w:bookmarkStart w:id="534" w:name="_Toc38442545"/>
      <w:bookmarkStart w:id="535" w:name="_Toc38442876"/>
      <w:bookmarkStart w:id="536" w:name="_Toc38443207"/>
      <w:bookmarkStart w:id="537" w:name="_Toc38443538"/>
      <w:bookmarkStart w:id="538" w:name="_Toc38443869"/>
      <w:bookmarkStart w:id="539" w:name="_Toc38438336"/>
      <w:bookmarkStart w:id="540" w:name="_Toc38442160"/>
      <w:bookmarkStart w:id="541" w:name="_Toc38442492"/>
      <w:bookmarkStart w:id="542" w:name="_Toc38443523"/>
      <w:bookmarkStart w:id="543" w:name="_Toc38443854"/>
      <w:bookmarkStart w:id="544" w:name="_Toc38438321"/>
      <w:bookmarkStart w:id="545" w:name="_Toc38438658"/>
      <w:bookmarkStart w:id="546" w:name="_Toc38438995"/>
      <w:bookmarkStart w:id="547" w:name="_Toc38439332"/>
      <w:bookmarkStart w:id="548" w:name="_Toc38442858"/>
      <w:bookmarkStart w:id="549" w:name="_Toc38443189"/>
      <w:bookmarkStart w:id="550" w:name="_Toc38442875"/>
      <w:bookmarkStart w:id="551" w:name="_Toc38443206"/>
      <w:bookmarkStart w:id="552" w:name="_Toc310513212"/>
      <w:bookmarkStart w:id="553" w:name="_Toc310513073"/>
      <w:bookmarkStart w:id="554" w:name="_Toc38440837"/>
      <w:bookmarkStart w:id="555" w:name="_Toc38441169"/>
      <w:bookmarkStart w:id="556" w:name="_Toc308697620"/>
      <w:bookmarkStart w:id="557" w:name="_Toc308697607"/>
      <w:bookmarkStart w:id="558" w:name="_Toc38439288"/>
      <w:bookmarkStart w:id="559" w:name="_Toc38439625"/>
      <w:bookmarkStart w:id="560" w:name="_Toc309286198"/>
      <w:bookmarkStart w:id="561" w:name="_Toc308697677"/>
      <w:bookmarkStart w:id="562" w:name="_Toc272570325"/>
      <w:bookmarkStart w:id="563" w:name="_Toc272570458"/>
      <w:bookmarkStart w:id="564" w:name="_Toc272570592"/>
      <w:bookmarkStart w:id="565" w:name="_Toc272570725"/>
      <w:bookmarkStart w:id="566" w:name="_Toc272570858"/>
      <w:bookmarkStart w:id="567" w:name="_Toc272569109"/>
      <w:bookmarkStart w:id="568" w:name="_Toc272569261"/>
      <w:bookmarkStart w:id="569" w:name="_Toc272569445"/>
      <w:bookmarkStart w:id="570" w:name="_Toc272569582"/>
      <w:bookmarkStart w:id="571" w:name="_Toc272569718"/>
      <w:bookmarkStart w:id="572" w:name="_Toc272569869"/>
      <w:bookmarkStart w:id="573" w:name="_Toc272570192"/>
      <w:bookmarkStart w:id="574" w:name="_Toc272570326"/>
      <w:bookmarkStart w:id="575" w:name="_Toc272570459"/>
      <w:bookmarkStart w:id="576" w:name="_Toc272570593"/>
      <w:bookmarkStart w:id="577" w:name="_Toc272570726"/>
      <w:bookmarkStart w:id="578" w:name="_Toc272570859"/>
      <w:bookmarkStart w:id="579" w:name="_Toc308697698"/>
      <w:bookmarkStart w:id="580" w:name="_Toc309286220"/>
      <w:bookmarkStart w:id="581" w:name="_Toc308697699"/>
      <w:bookmarkStart w:id="582" w:name="_Toc309286221"/>
      <w:bookmarkStart w:id="583" w:name="_Toc308697700"/>
      <w:bookmarkStart w:id="584" w:name="_Toc309286222"/>
      <w:bookmarkStart w:id="585" w:name="_Toc308697701"/>
      <w:bookmarkStart w:id="586" w:name="_Toc309286223"/>
      <w:bookmarkStart w:id="587" w:name="_Toc308697702"/>
      <w:bookmarkStart w:id="588" w:name="_Toc309286224"/>
      <w:bookmarkStart w:id="589" w:name="_Toc308697703"/>
      <w:bookmarkStart w:id="590" w:name="_Toc309286225"/>
      <w:bookmarkStart w:id="591" w:name="_Toc308697704"/>
      <w:bookmarkStart w:id="592" w:name="_Toc309286226"/>
      <w:bookmarkStart w:id="593" w:name="_Toc308697705"/>
      <w:bookmarkStart w:id="594" w:name="_Toc309286227"/>
      <w:bookmarkStart w:id="595" w:name="_Toc308697706"/>
      <w:bookmarkStart w:id="596" w:name="_Toc309286228"/>
      <w:bookmarkStart w:id="597" w:name="_Toc38440013"/>
      <w:bookmarkStart w:id="598" w:name="_Toc38440350"/>
      <w:bookmarkStart w:id="599" w:name="_Toc272569715"/>
      <w:bookmarkStart w:id="600" w:name="_Toc272570843"/>
      <w:bookmarkStart w:id="601" w:name="_Toc272570847"/>
      <w:bookmarkStart w:id="602" w:name="_Toc272569098"/>
      <w:bookmarkStart w:id="603" w:name="_Toc272569250"/>
      <w:bookmarkStart w:id="604" w:name="_Toc272569430"/>
      <w:bookmarkStart w:id="605" w:name="_Toc38442210"/>
      <w:bookmarkStart w:id="606" w:name="_Toc38442542"/>
      <w:bookmarkStart w:id="607" w:name="_Toc38442873"/>
      <w:bookmarkStart w:id="608" w:name="_Toc38443204"/>
      <w:bookmarkStart w:id="609" w:name="_Toc38440301"/>
      <w:bookmarkStart w:id="610" w:name="_Toc38440634"/>
      <w:bookmarkStart w:id="611" w:name="_Toc38440833"/>
      <w:bookmarkStart w:id="612" w:name="_Toc38438673"/>
      <w:bookmarkStart w:id="613" w:name="_Toc38439010"/>
      <w:bookmarkStart w:id="614" w:name="_Toc38439347"/>
      <w:bookmarkStart w:id="615" w:name="_Toc38439684"/>
      <w:bookmarkStart w:id="616" w:name="_Toc38440021"/>
      <w:bookmarkStart w:id="617" w:name="_Toc38440358"/>
      <w:bookmarkStart w:id="618" w:name="_Toc38440890"/>
      <w:bookmarkStart w:id="619" w:name="_Toc38441222"/>
      <w:bookmarkStart w:id="620" w:name="_Toc38441554"/>
      <w:bookmarkStart w:id="621" w:name="_Toc38441882"/>
      <w:bookmarkStart w:id="622" w:name="_Toc38442214"/>
      <w:bookmarkStart w:id="623" w:name="_Toc38442546"/>
      <w:bookmarkStart w:id="624" w:name="_Toc38442877"/>
      <w:bookmarkStart w:id="625" w:name="_Toc38443208"/>
      <w:bookmarkStart w:id="626" w:name="_Toc38443539"/>
      <w:bookmarkStart w:id="627" w:name="_Toc38443870"/>
      <w:bookmarkStart w:id="628" w:name="_Toc38438337"/>
      <w:bookmarkStart w:id="629" w:name="_Toc272570183"/>
      <w:bookmarkStart w:id="630" w:name="_Toc272570317"/>
      <w:bookmarkStart w:id="631" w:name="_Toc272570450"/>
      <w:bookmarkStart w:id="632" w:name="_Toc272570584"/>
      <w:bookmarkStart w:id="633" w:name="_Toc272570717"/>
      <w:bookmarkStart w:id="634" w:name="_Toc272570850"/>
      <w:bookmarkStart w:id="635" w:name="_Toc272569102"/>
      <w:bookmarkStart w:id="636" w:name="_Toc272569254"/>
      <w:bookmarkStart w:id="637" w:name="_Toc272569438"/>
      <w:bookmarkStart w:id="638" w:name="_Toc38441883"/>
      <w:bookmarkStart w:id="639" w:name="_Toc38442215"/>
      <w:bookmarkStart w:id="640" w:name="_Toc38442547"/>
      <w:bookmarkStart w:id="641" w:name="_Toc38442878"/>
      <w:bookmarkStart w:id="642" w:name="_Toc38443209"/>
      <w:bookmarkStart w:id="643" w:name="_Toc38443540"/>
      <w:bookmarkStart w:id="644" w:name="_Toc38443871"/>
      <w:bookmarkStart w:id="645" w:name="_Toc38438338"/>
      <w:bookmarkStart w:id="646" w:name="_Toc38438675"/>
      <w:bookmarkStart w:id="647" w:name="_Toc38439012"/>
      <w:bookmarkStart w:id="648" w:name="_Toc38439293"/>
      <w:bookmarkStart w:id="649" w:name="_Toc38439630"/>
      <w:bookmarkStart w:id="650" w:name="_Toc38439967"/>
      <w:bookmarkStart w:id="651" w:name="_Toc38440675"/>
      <w:bookmarkStart w:id="652" w:name="_Toc38440874"/>
      <w:bookmarkStart w:id="653" w:name="_Toc272570849"/>
      <w:bookmarkStart w:id="654" w:name="_Toc272569568"/>
      <w:bookmarkStart w:id="655" w:name="_Toc272569704"/>
      <w:bookmarkStart w:id="656" w:name="_Toc272569855"/>
      <w:bookmarkStart w:id="657" w:name="_Toc272570178"/>
      <w:bookmarkStart w:id="658" w:name="_Toc272570312"/>
      <w:bookmarkStart w:id="659" w:name="_Toc272569575"/>
      <w:bookmarkStart w:id="660" w:name="_Toc272569711"/>
      <w:bookmarkStart w:id="661" w:name="_Toc272569862"/>
      <w:bookmarkStart w:id="662" w:name="_Toc38441868"/>
      <w:bookmarkStart w:id="663" w:name="_Toc38442200"/>
      <w:bookmarkStart w:id="664" w:name="_Toc38442532"/>
      <w:bookmarkStart w:id="665" w:name="_Toc38442863"/>
      <w:bookmarkStart w:id="666" w:name="_Toc38438627"/>
      <w:bookmarkStart w:id="667" w:name="_Toc38438964"/>
      <w:bookmarkStart w:id="668" w:name="_Toc38439301"/>
      <w:bookmarkStart w:id="669" w:name="_Toc38439638"/>
      <w:bookmarkStart w:id="670" w:name="_Toc38439975"/>
      <w:bookmarkStart w:id="671" w:name="_Toc38440312"/>
      <w:bookmarkStart w:id="672" w:name="_Toc38440645"/>
      <w:bookmarkStart w:id="673" w:name="_Toc38440844"/>
      <w:bookmarkStart w:id="674" w:name="_Toc38441176"/>
      <w:bookmarkStart w:id="675" w:name="_Toc38441508"/>
      <w:bookmarkStart w:id="676" w:name="_Toc38441836"/>
      <w:bookmarkStart w:id="677" w:name="_Toc38442168"/>
      <w:bookmarkStart w:id="678" w:name="_Toc38442500"/>
      <w:bookmarkStart w:id="679" w:name="_Toc38442831"/>
      <w:bookmarkStart w:id="680" w:name="_Toc38443162"/>
      <w:bookmarkStart w:id="681" w:name="_Toc38443493"/>
      <w:bookmarkStart w:id="682" w:name="_Toc38443877"/>
      <w:bookmarkStart w:id="683" w:name="_Toc38438325"/>
      <w:bookmarkStart w:id="684" w:name="_Toc38438662"/>
      <w:bookmarkStart w:id="685" w:name="_Toc38438999"/>
      <w:bookmarkStart w:id="686" w:name="_Toc38439336"/>
      <w:bookmarkStart w:id="687" w:name="_Toc38439673"/>
      <w:bookmarkStart w:id="688" w:name="_Toc38440010"/>
      <w:bookmarkStart w:id="689" w:name="_Toc38440347"/>
      <w:bookmarkStart w:id="690" w:name="_Toc38440879"/>
      <w:bookmarkStart w:id="691" w:name="_Toc38441211"/>
      <w:bookmarkStart w:id="692" w:name="_Toc38441543"/>
      <w:bookmarkStart w:id="693" w:name="_Toc38441871"/>
      <w:bookmarkStart w:id="694" w:name="_Toc38442203"/>
      <w:bookmarkStart w:id="695" w:name="_Toc38442535"/>
      <w:bookmarkStart w:id="696" w:name="_Toc38442866"/>
      <w:bookmarkStart w:id="697" w:name="_Toc38443197"/>
      <w:bookmarkStart w:id="698" w:name="_Toc38443528"/>
      <w:bookmarkStart w:id="699" w:name="_Toc38443859"/>
      <w:bookmarkStart w:id="700" w:name="_Toc38438326"/>
      <w:bookmarkStart w:id="701" w:name="_Toc38438663"/>
      <w:bookmarkStart w:id="702" w:name="_Toc38443213"/>
      <w:bookmarkStart w:id="703" w:name="_Toc38443544"/>
      <w:bookmarkStart w:id="704" w:name="_Toc38443875"/>
      <w:bookmarkStart w:id="705" w:name="_Toc272570587"/>
      <w:bookmarkStart w:id="706" w:name="_Toc272570720"/>
      <w:bookmarkStart w:id="707" w:name="_Toc272570853"/>
      <w:bookmarkStart w:id="708" w:name="_Toc272569104"/>
      <w:bookmarkStart w:id="709" w:name="_Toc272569256"/>
      <w:bookmarkStart w:id="710" w:name="_Toc272569440"/>
      <w:bookmarkStart w:id="711" w:name="_Toc38438988"/>
      <w:bookmarkStart w:id="712" w:name="_Toc38443196"/>
      <w:bookmarkStart w:id="713" w:name="_Toc38443527"/>
      <w:bookmarkStart w:id="714" w:name="_Toc38443858"/>
      <w:bookmarkStart w:id="715" w:name="_Toc308697632"/>
      <w:bookmarkStart w:id="716" w:name="_Toc309286156"/>
      <w:bookmarkStart w:id="717" w:name="_Toc38442552"/>
      <w:bookmarkStart w:id="718" w:name="_Toc38442883"/>
      <w:bookmarkStart w:id="719" w:name="_Toc308697593"/>
      <w:bookmarkStart w:id="720" w:name="_Toc309286117"/>
      <w:bookmarkStart w:id="721" w:name="_Toc38443160"/>
      <w:bookmarkStart w:id="722" w:name="_Toc38443491"/>
      <w:bookmarkStart w:id="723" w:name="_Toc309286160"/>
      <w:bookmarkStart w:id="724" w:name="_Toc309286183"/>
      <w:bookmarkStart w:id="725" w:name="_Toc38440840"/>
      <w:bookmarkStart w:id="726" w:name="_Toc38441172"/>
      <w:bookmarkStart w:id="727" w:name="_Toc38441504"/>
      <w:bookmarkStart w:id="728" w:name="_Toc38441832"/>
      <w:bookmarkStart w:id="729" w:name="_Toc38439291"/>
      <w:bookmarkStart w:id="730" w:name="_Toc38439628"/>
      <w:bookmarkStart w:id="731" w:name="_Toc38439965"/>
      <w:bookmarkStart w:id="732" w:name="_Toc38440302"/>
      <w:bookmarkStart w:id="733" w:name="_Toc38440635"/>
      <w:bookmarkStart w:id="734" w:name="_Toc38440834"/>
      <w:bookmarkStart w:id="735" w:name="_Toc38441166"/>
      <w:bookmarkStart w:id="736" w:name="_Toc38441498"/>
      <w:bookmarkStart w:id="737" w:name="_Toc38441826"/>
      <w:bookmarkStart w:id="738" w:name="_Toc38442158"/>
      <w:bookmarkStart w:id="739" w:name="_Toc38442490"/>
      <w:bookmarkStart w:id="740" w:name="_Toc38442821"/>
      <w:bookmarkStart w:id="741" w:name="_Toc38443152"/>
      <w:bookmarkStart w:id="742" w:name="_Toc38443483"/>
      <w:bookmarkStart w:id="743" w:name="_Toc38443814"/>
      <w:bookmarkStart w:id="744" w:name="_Toc38438281"/>
      <w:bookmarkStart w:id="745" w:name="_Toc38438618"/>
      <w:bookmarkStart w:id="746" w:name="_Toc38438955"/>
      <w:bookmarkStart w:id="747" w:name="_Toc38439292"/>
      <w:bookmarkStart w:id="748" w:name="_Toc38439629"/>
      <w:bookmarkStart w:id="749" w:name="_Toc38439966"/>
      <w:bookmarkStart w:id="750" w:name="_Toc38440303"/>
      <w:bookmarkStart w:id="751" w:name="_Toc38440636"/>
      <w:bookmarkStart w:id="752" w:name="_Toc38440835"/>
      <w:bookmarkStart w:id="753" w:name="_Toc38441167"/>
      <w:bookmarkStart w:id="754" w:name="_Toc38441499"/>
      <w:bookmarkStart w:id="755" w:name="_Toc38441827"/>
      <w:bookmarkStart w:id="756" w:name="_Toc38442159"/>
      <w:bookmarkStart w:id="757" w:name="_Toc38442491"/>
      <w:bookmarkStart w:id="758" w:name="_Toc38442822"/>
      <w:bookmarkStart w:id="759" w:name="_Toc38443153"/>
      <w:bookmarkStart w:id="760" w:name="_Toc38443484"/>
      <w:bookmarkStart w:id="761" w:name="_Toc38443815"/>
      <w:bookmarkStart w:id="762" w:name="_Toc38438282"/>
      <w:bookmarkStart w:id="763" w:name="_Toc38438619"/>
      <w:bookmarkStart w:id="764" w:name="_Toc38439681"/>
      <w:bookmarkStart w:id="765" w:name="_Toc38440018"/>
      <w:bookmarkStart w:id="766" w:name="_Toc38440342"/>
      <w:bookmarkStart w:id="767" w:name="_Toc272570711"/>
      <w:bookmarkStart w:id="768" w:name="_Toc272570449"/>
      <w:bookmarkStart w:id="769" w:name="_Toc272570583"/>
      <w:bookmarkStart w:id="770" w:name="_Toc272570716"/>
      <w:bookmarkStart w:id="771" w:name="_Toc272569247"/>
      <w:bookmarkStart w:id="772" w:name="_Toc38443194"/>
      <w:bookmarkStart w:id="773" w:name="_Toc38443525"/>
      <w:bookmarkStart w:id="774" w:name="_Toc38443856"/>
      <w:bookmarkStart w:id="775" w:name="_Toc38438323"/>
      <w:bookmarkStart w:id="776" w:name="_Toc38441884"/>
      <w:bookmarkStart w:id="777" w:name="_Toc38442216"/>
      <w:bookmarkStart w:id="778" w:name="_Toc38442548"/>
      <w:bookmarkStart w:id="779" w:name="_Toc272569769"/>
      <w:bookmarkStart w:id="780" w:name="_Toc323051008"/>
      <w:bookmarkStart w:id="781" w:name="_Toc296526927"/>
      <w:bookmarkStart w:id="782" w:name="_Toc296526926"/>
      <w:bookmarkStart w:id="783" w:name="_Toc296526932"/>
      <w:bookmarkStart w:id="784" w:name="_Toc272569770"/>
      <w:bookmarkStart w:id="785" w:name="_Toc272569767"/>
      <w:bookmarkStart w:id="786" w:name="_Toc296526933"/>
      <w:bookmarkStart w:id="787" w:name="_Toc272569771"/>
      <w:bookmarkStart w:id="788" w:name="_Toc296526931"/>
      <w:bookmarkStart w:id="789" w:name="_Toc296526936"/>
      <w:bookmarkStart w:id="790" w:name="_Toc272569768"/>
      <w:bookmarkStart w:id="791" w:name="_Toc296526934"/>
      <w:bookmarkStart w:id="792" w:name="_Toc296526929"/>
      <w:bookmarkStart w:id="793" w:name="_Toc296526958"/>
      <w:bookmarkStart w:id="794" w:name="_Toc296526992"/>
      <w:bookmarkStart w:id="795" w:name="_Toc38439000"/>
      <w:bookmarkStart w:id="796" w:name="_Toc272569577"/>
      <w:bookmarkStart w:id="797" w:name="_Toc272569713"/>
      <w:bookmarkStart w:id="798" w:name="_Toc272569864"/>
      <w:bookmarkStart w:id="799" w:name="_Toc272570187"/>
      <w:bookmarkStart w:id="800" w:name="_Toc272570321"/>
      <w:bookmarkStart w:id="801" w:name="_Toc272570454"/>
      <w:bookmarkStart w:id="802" w:name="_Toc272570588"/>
      <w:bookmarkStart w:id="803" w:name="_Toc272570721"/>
      <w:bookmarkStart w:id="804" w:name="_Toc272570854"/>
      <w:bookmarkStart w:id="805" w:name="_Toc38441544"/>
      <w:bookmarkStart w:id="806" w:name="_Toc38441872"/>
      <w:bookmarkStart w:id="807" w:name="_Toc38442204"/>
      <w:bookmarkStart w:id="808" w:name="_Toc38442536"/>
      <w:bookmarkStart w:id="809" w:name="_Toc38442867"/>
      <w:bookmarkStart w:id="810" w:name="_Toc38443198"/>
      <w:bookmarkStart w:id="811" w:name="_Toc38443529"/>
      <w:bookmarkStart w:id="812" w:name="_Toc38443860"/>
      <w:bookmarkStart w:id="813" w:name="_Toc38438327"/>
      <w:bookmarkStart w:id="814" w:name="_Toc38438664"/>
      <w:bookmarkStart w:id="815" w:name="_Toc38439001"/>
      <w:bookmarkStart w:id="816" w:name="_Toc38442219"/>
      <w:bookmarkStart w:id="817" w:name="_Toc38442551"/>
      <w:bookmarkStart w:id="818" w:name="_Toc272569255"/>
      <w:bookmarkStart w:id="819" w:name="_Toc272570313"/>
      <w:bookmarkStart w:id="820" w:name="_Toc272570446"/>
      <w:bookmarkStart w:id="821" w:name="_Toc272570580"/>
      <w:bookmarkStart w:id="822" w:name="_Toc272570713"/>
      <w:bookmarkStart w:id="823" w:name="_Toc272570846"/>
      <w:bookmarkStart w:id="824" w:name="_Toc272569097"/>
      <w:bookmarkStart w:id="825" w:name="_Toc272569249"/>
      <w:bookmarkStart w:id="826" w:name="_Toc272569105"/>
      <w:bookmarkStart w:id="827" w:name="_Toc272569257"/>
      <w:bookmarkStart w:id="828" w:name="_Toc272569441"/>
      <w:bookmarkStart w:id="829" w:name="_Toc272569578"/>
      <w:bookmarkStart w:id="830" w:name="_Toc272569714"/>
      <w:bookmarkStart w:id="831" w:name="_Toc272569865"/>
      <w:bookmarkStart w:id="832" w:name="_Toc272570188"/>
      <w:bookmarkStart w:id="833" w:name="_Toc309286034"/>
      <w:bookmarkStart w:id="834" w:name="_Toc308697488"/>
      <w:bookmarkStart w:id="835" w:name="_Toc308697503"/>
      <w:bookmarkStart w:id="836" w:name="_Toc296526993"/>
      <w:bookmarkStart w:id="837" w:name="_Toc309286024"/>
      <w:bookmarkStart w:id="838" w:name="_Toc308697498"/>
      <w:bookmarkStart w:id="839" w:name="_Toc308697497"/>
      <w:bookmarkStart w:id="840" w:name="_Toc308697506"/>
      <w:bookmarkStart w:id="841" w:name="_Toc277787873"/>
      <w:bookmarkStart w:id="842" w:name="_Toc309286031"/>
      <w:bookmarkStart w:id="843" w:name="_Toc309286020"/>
      <w:bookmarkStart w:id="844" w:name="_Toc309286019"/>
      <w:bookmarkStart w:id="845" w:name="_Toc309286023"/>
      <w:bookmarkStart w:id="846" w:name="_Toc309286027"/>
      <w:bookmarkStart w:id="847" w:name="_Toc309286025"/>
      <w:bookmarkStart w:id="848" w:name="_Toc278409384"/>
      <w:bookmarkStart w:id="849" w:name="_Toc272569580"/>
      <w:bookmarkStart w:id="850" w:name="_Toc38443863"/>
      <w:bookmarkStart w:id="851" w:name="_Toc38438330"/>
      <w:bookmarkStart w:id="852" w:name="_Toc38438667"/>
      <w:bookmarkStart w:id="853" w:name="_Toc38439004"/>
      <w:bookmarkStart w:id="854" w:name="_Toc38439341"/>
      <w:bookmarkStart w:id="855" w:name="_Toc38439678"/>
      <w:bookmarkStart w:id="856" w:name="_Toc38440015"/>
      <w:bookmarkStart w:id="857" w:name="_Toc38440352"/>
      <w:bookmarkStart w:id="858" w:name="_Toc38440884"/>
      <w:bookmarkStart w:id="859" w:name="_Toc38441216"/>
      <w:bookmarkStart w:id="860" w:name="_Toc38441548"/>
      <w:bookmarkStart w:id="861" w:name="_Toc38441876"/>
      <w:bookmarkStart w:id="862" w:name="_Toc38442208"/>
      <w:bookmarkStart w:id="863" w:name="_Toc38442540"/>
      <w:bookmarkStart w:id="864" w:name="_Toc38442871"/>
      <w:bookmarkStart w:id="865" w:name="_Toc38443202"/>
      <w:bookmarkStart w:id="866" w:name="_Toc38443533"/>
      <w:bookmarkStart w:id="867" w:name="_Toc38443864"/>
      <w:bookmarkStart w:id="868" w:name="_Toc38438331"/>
      <w:bookmarkStart w:id="869" w:name="_Toc38438668"/>
      <w:bookmarkStart w:id="870" w:name="_Toc272569587"/>
      <w:bookmarkStart w:id="871" w:name="_Toc272569723"/>
      <w:bookmarkStart w:id="872" w:name="_Toc272569443"/>
      <w:bookmarkStart w:id="873" w:name="_Toc38442196"/>
      <w:bookmarkStart w:id="874" w:name="_Toc38442528"/>
      <w:bookmarkStart w:id="875" w:name="_Toc38442859"/>
      <w:bookmarkStart w:id="876" w:name="_Toc38443190"/>
      <w:bookmarkStart w:id="877" w:name="_Toc38443521"/>
      <w:bookmarkStart w:id="878" w:name="_Toc38443849"/>
      <w:bookmarkStart w:id="879" w:name="_Toc38438316"/>
      <w:bookmarkStart w:id="880" w:name="_Toc38443201"/>
      <w:bookmarkStart w:id="881" w:name="_Toc38443532"/>
      <w:bookmarkStart w:id="882" w:name="_Toc309286082"/>
      <w:bookmarkStart w:id="883" w:name="_Toc272569725"/>
      <w:bookmarkStart w:id="884" w:name="_Toc272569876"/>
      <w:bookmarkStart w:id="885" w:name="_Toc272569117"/>
      <w:bookmarkStart w:id="886" w:name="_Toc44229205"/>
      <w:bookmarkStart w:id="887" w:name="_Toc296526974"/>
      <w:bookmarkStart w:id="888" w:name="_Toc308697504"/>
      <w:bookmarkStart w:id="889" w:name="_Toc308697507"/>
      <w:bookmarkStart w:id="890" w:name="_Toc309286172"/>
      <w:bookmarkStart w:id="891" w:name="_Toc308697663"/>
      <w:bookmarkStart w:id="892" w:name="_Toc38443163"/>
      <w:bookmarkStart w:id="893" w:name="_Toc38443494"/>
      <w:bookmarkStart w:id="894" w:name="_Toc38443825"/>
      <w:bookmarkStart w:id="895" w:name="_Toc38440893"/>
      <w:bookmarkStart w:id="896" w:name="_Toc38441225"/>
      <w:bookmarkStart w:id="897" w:name="_Toc38441557"/>
      <w:bookmarkStart w:id="898" w:name="_Toc38441885"/>
      <w:bookmarkStart w:id="899" w:name="_Toc38442217"/>
      <w:bookmarkStart w:id="900" w:name="_Toc38442549"/>
      <w:bookmarkStart w:id="901" w:name="_Toc38442880"/>
      <w:bookmarkStart w:id="902" w:name="_Toc38443211"/>
      <w:bookmarkStart w:id="903" w:name="_Toc38443542"/>
      <w:bookmarkStart w:id="904" w:name="_Toc38443873"/>
      <w:bookmarkStart w:id="905" w:name="_Toc38438340"/>
      <w:bookmarkStart w:id="906" w:name="_Toc38438677"/>
      <w:bookmarkStart w:id="907" w:name="_Toc38439014"/>
      <w:bookmarkStart w:id="908" w:name="_Toc38439351"/>
      <w:bookmarkStart w:id="909" w:name="_Toc38439688"/>
      <w:bookmarkStart w:id="910" w:name="_Toc38440025"/>
      <w:bookmarkStart w:id="911" w:name="_Toc38440362"/>
      <w:bookmarkStart w:id="912" w:name="_Toc38440894"/>
      <w:bookmarkStart w:id="913" w:name="_Toc38441226"/>
      <w:bookmarkStart w:id="914" w:name="_Toc38441558"/>
      <w:bookmarkStart w:id="915" w:name="_Toc38441886"/>
      <w:bookmarkStart w:id="916" w:name="_Toc38442218"/>
      <w:bookmarkStart w:id="917" w:name="_Toc38442550"/>
      <w:bookmarkStart w:id="918" w:name="_Toc38442881"/>
      <w:bookmarkStart w:id="919" w:name="_Toc38443212"/>
      <w:bookmarkStart w:id="920" w:name="_Toc38443543"/>
      <w:bookmarkStart w:id="921" w:name="_Toc38443874"/>
      <w:bookmarkStart w:id="922" w:name="_Toc38438341"/>
      <w:bookmarkStart w:id="923" w:name="_Toc38438678"/>
      <w:bookmarkStart w:id="924" w:name="_Toc38439015"/>
      <w:bookmarkStart w:id="925" w:name="_Toc38439352"/>
      <w:bookmarkStart w:id="926" w:name="_Toc38439689"/>
      <w:bookmarkStart w:id="927" w:name="_Toc38440026"/>
      <w:bookmarkStart w:id="928" w:name="_Toc38440363"/>
      <w:bookmarkStart w:id="929" w:name="_Toc38440895"/>
      <w:bookmarkStart w:id="930" w:name="_Toc38441227"/>
      <w:bookmarkStart w:id="931" w:name="_Toc38440678"/>
      <w:bookmarkStart w:id="932" w:name="_Toc38440877"/>
      <w:bookmarkStart w:id="933" w:name="_Toc272569103"/>
      <w:bookmarkStart w:id="934" w:name="_Toc272569705"/>
      <w:bookmarkStart w:id="935" w:name="_Toc272569856"/>
      <w:bookmarkStart w:id="936" w:name="_Toc272570179"/>
      <w:bookmarkStart w:id="937" w:name="_Toc272570443"/>
      <w:bookmarkStart w:id="938" w:name="_Toc272570577"/>
      <w:bookmarkStart w:id="939" w:name="_Toc272570322"/>
      <w:bookmarkStart w:id="940" w:name="_Toc272570455"/>
      <w:bookmarkStart w:id="941" w:name="_Toc272570589"/>
      <w:bookmarkStart w:id="942" w:name="_Toc272570722"/>
      <w:bookmarkStart w:id="943" w:name="_Toc38441545"/>
      <w:bookmarkStart w:id="944" w:name="_Toc38441873"/>
      <w:bookmarkStart w:id="945" w:name="_Toc38442205"/>
      <w:bookmarkStart w:id="946" w:name="_Toc309286240"/>
      <w:bookmarkStart w:id="947" w:name="_Toc308697719"/>
      <w:bookmarkStart w:id="948" w:name="_Toc309286241"/>
      <w:bookmarkStart w:id="949" w:name="_Toc308697720"/>
      <w:bookmarkStart w:id="950" w:name="_Toc309286242"/>
      <w:bookmarkStart w:id="951" w:name="_Toc308697721"/>
      <w:bookmarkStart w:id="952" w:name="_Toc309286243"/>
      <w:bookmarkStart w:id="953" w:name="_Toc308697722"/>
      <w:bookmarkStart w:id="954" w:name="_Toc309286244"/>
      <w:bookmarkStart w:id="955" w:name="_Toc308697723"/>
      <w:bookmarkStart w:id="956" w:name="_Toc309286245"/>
      <w:bookmarkStart w:id="957" w:name="_Toc38438275"/>
      <w:bookmarkStart w:id="958" w:name="_Toc38438612"/>
      <w:bookmarkStart w:id="959" w:name="_Toc38438949"/>
      <w:bookmarkStart w:id="960" w:name="_Toc38439286"/>
      <w:bookmarkStart w:id="961" w:name="_Toc38439623"/>
      <w:bookmarkStart w:id="962" w:name="_Toc38439960"/>
      <w:bookmarkStart w:id="963" w:name="_Toc38443852"/>
      <w:bookmarkStart w:id="964" w:name="_Toc38438319"/>
      <w:bookmarkStart w:id="965" w:name="_Toc38438656"/>
      <w:bookmarkStart w:id="966" w:name="_Toc38438993"/>
      <w:bookmarkStart w:id="967" w:name="_Toc38439330"/>
      <w:bookmarkStart w:id="968" w:name="_Toc38439667"/>
      <w:bookmarkStart w:id="969" w:name="_Toc38440004"/>
      <w:bookmarkStart w:id="970" w:name="_Toc38440341"/>
      <w:bookmarkStart w:id="971" w:name="_Toc38440674"/>
      <w:bookmarkStart w:id="972" w:name="_Toc38441217"/>
      <w:bookmarkStart w:id="973" w:name="_Toc38441549"/>
      <w:bookmarkStart w:id="974" w:name="_Toc38441877"/>
      <w:bookmarkStart w:id="975" w:name="_Toc38442209"/>
      <w:bookmarkStart w:id="976" w:name="_Toc38442541"/>
      <w:bookmarkStart w:id="977" w:name="_Toc38442872"/>
      <w:bookmarkStart w:id="978" w:name="_Toc38443203"/>
      <w:bookmarkStart w:id="979" w:name="_Toc38443534"/>
      <w:bookmarkStart w:id="980" w:name="_Toc38443865"/>
      <w:bookmarkStart w:id="981" w:name="_Toc38438332"/>
      <w:bookmarkStart w:id="982" w:name="_Toc38438669"/>
      <w:bookmarkStart w:id="983" w:name="_Toc272569873"/>
      <w:bookmarkStart w:id="984" w:name="_Toc272569114"/>
      <w:bookmarkStart w:id="985" w:name="_Toc272569571"/>
      <w:bookmarkStart w:id="986" w:name="_Toc272569707"/>
      <w:bookmarkStart w:id="987" w:name="_Toc272569858"/>
      <w:bookmarkStart w:id="988" w:name="_Toc272570181"/>
      <w:bookmarkStart w:id="989" w:name="_Toc272570315"/>
      <w:bookmarkStart w:id="990" w:name="_Toc272570448"/>
      <w:bookmarkStart w:id="991" w:name="_Toc38440864"/>
      <w:bookmarkStart w:id="992" w:name="_Toc38441196"/>
      <w:bookmarkStart w:id="993" w:name="_Toc38441528"/>
      <w:bookmarkStart w:id="994" w:name="_Toc38441856"/>
      <w:bookmarkStart w:id="995" w:name="_Toc38442188"/>
      <w:bookmarkStart w:id="996" w:name="_Toc38442520"/>
      <w:bookmarkStart w:id="997" w:name="_Toc38442851"/>
      <w:bookmarkStart w:id="998" w:name="_Toc38443182"/>
      <w:bookmarkStart w:id="999" w:name="_Toc38443513"/>
      <w:bookmarkStart w:id="1000" w:name="_Toc38443844"/>
      <w:bookmarkStart w:id="1001" w:name="_Toc38438311"/>
      <w:bookmarkStart w:id="1002" w:name="_Toc38438648"/>
      <w:bookmarkStart w:id="1003" w:name="_Toc38438985"/>
      <w:bookmarkStart w:id="1004" w:name="_Toc38439322"/>
      <w:bookmarkStart w:id="1005" w:name="_Toc38439659"/>
      <w:bookmarkStart w:id="1006" w:name="_Toc38439996"/>
      <w:bookmarkStart w:id="1007" w:name="_Toc38440333"/>
      <w:bookmarkStart w:id="1008" w:name="_Toc38440666"/>
      <w:bookmarkStart w:id="1009" w:name="_Toc38440865"/>
      <w:bookmarkStart w:id="1010" w:name="_Toc38441197"/>
      <w:bookmarkStart w:id="1011" w:name="_Toc38441529"/>
      <w:bookmarkStart w:id="1012" w:name="_Toc38441857"/>
      <w:bookmarkStart w:id="1013" w:name="_Toc38442189"/>
      <w:bookmarkStart w:id="1014" w:name="_Toc38442521"/>
      <w:bookmarkStart w:id="1015" w:name="_Toc38442852"/>
      <w:bookmarkStart w:id="1016" w:name="_Toc38443183"/>
      <w:bookmarkStart w:id="1017" w:name="_Toc38443514"/>
      <w:bookmarkStart w:id="1018" w:name="_Toc38443845"/>
      <w:bookmarkStart w:id="1019" w:name="_Toc38438312"/>
      <w:bookmarkStart w:id="1020" w:name="_Toc38438649"/>
      <w:bookmarkStart w:id="1021" w:name="_Toc38438986"/>
      <w:bookmarkStart w:id="1022" w:name="_Toc38439323"/>
      <w:bookmarkStart w:id="1023" w:name="_Toc38439660"/>
      <w:bookmarkStart w:id="1024" w:name="_Toc296440221"/>
      <w:bookmarkStart w:id="1025" w:name="_Toc272569113"/>
      <w:bookmarkStart w:id="1026" w:name="_Toc272569265"/>
      <w:bookmarkStart w:id="1027" w:name="_Toc272569449"/>
      <w:bookmarkStart w:id="1028" w:name="_Toc272569866"/>
      <w:bookmarkStart w:id="1029" w:name="_Toc272570189"/>
      <w:bookmarkStart w:id="1030" w:name="_Toc272569434"/>
      <w:bookmarkStart w:id="1031" w:name="_Toc272569703"/>
      <w:bookmarkStart w:id="1032" w:name="_Toc272569854"/>
      <w:bookmarkStart w:id="1033" w:name="_Toc272570177"/>
      <w:bookmarkStart w:id="1034" w:name="_Toc272570311"/>
      <w:bookmarkStart w:id="1035" w:name="_Toc272570444"/>
      <w:bookmarkStart w:id="1036" w:name="_Toc38443191"/>
      <w:bookmarkStart w:id="1037" w:name="_Toc38443522"/>
      <w:bookmarkStart w:id="1038" w:name="_Toc38443853"/>
      <w:bookmarkStart w:id="1039" w:name="_Toc38438320"/>
      <w:bookmarkStart w:id="1040" w:name="_Toc38441218"/>
      <w:bookmarkStart w:id="1041" w:name="_Toc38441550"/>
      <w:bookmarkStart w:id="1042" w:name="_Toc38441878"/>
      <w:bookmarkStart w:id="1043" w:name="_Toc38442162"/>
      <w:bookmarkStart w:id="1044" w:name="_Toc38442494"/>
      <w:bookmarkStart w:id="1045" w:name="_Toc38442825"/>
      <w:bookmarkStart w:id="1046" w:name="_Toc38443156"/>
      <w:bookmarkStart w:id="1047" w:name="_Toc38443487"/>
      <w:bookmarkStart w:id="1048" w:name="_Toc38443818"/>
      <w:bookmarkStart w:id="1049" w:name="_Toc38438285"/>
      <w:bookmarkStart w:id="1050" w:name="_Toc38438622"/>
      <w:bookmarkStart w:id="1051" w:name="_Toc38438959"/>
      <w:bookmarkStart w:id="1052" w:name="_Toc38439296"/>
      <w:bookmarkStart w:id="1053" w:name="_Toc38439633"/>
      <w:bookmarkStart w:id="1054" w:name="_Toc38439970"/>
      <w:bookmarkStart w:id="1055" w:name="_Toc38440307"/>
      <w:bookmarkStart w:id="1056" w:name="_Toc38440640"/>
      <w:bookmarkStart w:id="1057" w:name="_Toc38440839"/>
      <w:bookmarkStart w:id="1058" w:name="_Toc38441171"/>
      <w:bookmarkStart w:id="1059" w:name="_Toc38441503"/>
      <w:bookmarkStart w:id="1060" w:name="_Toc38439669"/>
      <w:bookmarkStart w:id="1061" w:name="_Toc38440006"/>
      <w:bookmarkStart w:id="1062" w:name="_Toc38440343"/>
      <w:bookmarkStart w:id="1063" w:name="_Toc38440676"/>
      <w:bookmarkStart w:id="1064" w:name="_Toc38440875"/>
      <w:bookmarkStart w:id="1065" w:name="_Toc38441207"/>
      <w:bookmarkStart w:id="1066" w:name="_Toc38441539"/>
      <w:bookmarkStart w:id="1067" w:name="_Toc38441867"/>
      <w:bookmarkStart w:id="1068" w:name="_Toc38442199"/>
      <w:bookmarkStart w:id="1069" w:name="_Toc38442531"/>
      <w:bookmarkStart w:id="1070" w:name="_Toc38442862"/>
      <w:bookmarkStart w:id="1071" w:name="_Toc38443193"/>
      <w:bookmarkStart w:id="1072" w:name="_Toc38443524"/>
      <w:bookmarkStart w:id="1073" w:name="_Toc38443855"/>
      <w:bookmarkStart w:id="1074" w:name="_Toc38438322"/>
      <w:bookmarkStart w:id="1075" w:name="_Toc38438659"/>
      <w:bookmarkStart w:id="1076" w:name="_Toc38438996"/>
      <w:bookmarkStart w:id="1077" w:name="_Toc38439333"/>
      <w:bookmarkStart w:id="1078" w:name="_Toc38439670"/>
      <w:bookmarkStart w:id="1079" w:name="_Toc38440007"/>
      <w:bookmarkStart w:id="1080" w:name="_Toc38440836"/>
      <w:bookmarkStart w:id="1081" w:name="_Toc38441168"/>
      <w:bookmarkStart w:id="1082" w:name="_Toc272569100"/>
      <w:bookmarkStart w:id="1083" w:name="_Toc272569252"/>
      <w:bookmarkStart w:id="1084" w:name="_Toc272569436"/>
      <w:bookmarkStart w:id="1085" w:name="_Toc272569573"/>
      <w:bookmarkStart w:id="1086" w:name="_Toc272569709"/>
      <w:bookmarkStart w:id="1087" w:name="_Toc272569860"/>
      <w:bookmarkStart w:id="1088" w:name="_Toc38439997"/>
      <w:bookmarkStart w:id="1089" w:name="_Toc38440334"/>
      <w:bookmarkStart w:id="1090" w:name="_Toc38440667"/>
      <w:bookmarkStart w:id="1091" w:name="_Toc38440866"/>
      <w:bookmarkStart w:id="1092" w:name="_Toc38441198"/>
      <w:bookmarkStart w:id="1093" w:name="_Toc38441530"/>
      <w:bookmarkStart w:id="1094" w:name="_Toc38441858"/>
      <w:bookmarkStart w:id="1095" w:name="_Toc38442190"/>
      <w:bookmarkStart w:id="1096" w:name="_Toc38442522"/>
      <w:bookmarkStart w:id="1097" w:name="_Toc38442853"/>
      <w:bookmarkStart w:id="1098" w:name="_Toc38443184"/>
      <w:bookmarkStart w:id="1099" w:name="_Toc38443515"/>
      <w:bookmarkStart w:id="1100" w:name="_Toc38443846"/>
      <w:bookmarkStart w:id="1101" w:name="_Toc38438313"/>
      <w:bookmarkStart w:id="1102" w:name="_Toc38438650"/>
      <w:bookmarkStart w:id="1103" w:name="_Toc38438987"/>
      <w:bookmarkStart w:id="1104" w:name="_Toc38439324"/>
      <w:bookmarkStart w:id="1105" w:name="_Toc38439661"/>
      <w:bookmarkStart w:id="1106" w:name="_Toc38439998"/>
      <w:bookmarkStart w:id="1107" w:name="_Toc38440335"/>
      <w:bookmarkStart w:id="1108" w:name="_Toc38440668"/>
      <w:bookmarkStart w:id="1109" w:name="_Toc38440867"/>
      <w:bookmarkStart w:id="1110" w:name="_Toc38441199"/>
      <w:bookmarkStart w:id="1111" w:name="_Toc38441531"/>
      <w:bookmarkStart w:id="1112" w:name="_Toc38441859"/>
      <w:bookmarkStart w:id="1113" w:name="_Toc38442191"/>
      <w:bookmarkStart w:id="1114" w:name="_Toc38442523"/>
      <w:bookmarkStart w:id="1115" w:name="_Toc38442854"/>
      <w:bookmarkStart w:id="1116" w:name="_Toc38443185"/>
      <w:bookmarkStart w:id="1117" w:name="_Toc38443516"/>
      <w:bookmarkStart w:id="1118" w:name="_Toc38443847"/>
      <w:bookmarkStart w:id="1119" w:name="_Toc38438314"/>
      <w:bookmarkStart w:id="1120" w:name="_Toc38438651"/>
      <w:bookmarkStart w:id="1121" w:name="_Toc38438956"/>
      <w:bookmarkStart w:id="1122" w:name="_Toc38439325"/>
      <w:bookmarkStart w:id="1123" w:name="_Toc38439662"/>
      <w:bookmarkStart w:id="1124" w:name="_Toc38439999"/>
      <w:bookmarkStart w:id="1125" w:name="_Toc38440336"/>
      <w:bookmarkStart w:id="1126" w:name="_Toc38440669"/>
      <w:bookmarkStart w:id="1127" w:name="_Toc38440868"/>
      <w:bookmarkStart w:id="1128" w:name="_Toc38441200"/>
      <w:bookmarkStart w:id="1129" w:name="_Toc38441532"/>
      <w:bookmarkStart w:id="1130" w:name="_Toc38441860"/>
      <w:bookmarkStart w:id="1131" w:name="_Toc38442192"/>
      <w:bookmarkStart w:id="1132" w:name="_Toc38442524"/>
      <w:bookmarkStart w:id="1133" w:name="_Toc38442855"/>
      <w:bookmarkStart w:id="1134" w:name="_Toc38443186"/>
      <w:bookmarkStart w:id="1135" w:name="_Toc38443517"/>
      <w:bookmarkStart w:id="1136" w:name="_Toc38443848"/>
      <w:bookmarkStart w:id="1137" w:name="_Toc38438315"/>
      <w:bookmarkStart w:id="1138" w:name="_Toc38438652"/>
      <w:bookmarkStart w:id="1139" w:name="_Toc38438989"/>
      <w:bookmarkStart w:id="1140" w:name="_Toc38439326"/>
      <w:bookmarkStart w:id="1141" w:name="_Toc38439663"/>
      <w:bookmarkStart w:id="1142" w:name="_Toc38440000"/>
      <w:bookmarkStart w:id="1143" w:name="_Toc38440337"/>
      <w:bookmarkStart w:id="1144" w:name="_Toc38440670"/>
      <w:bookmarkStart w:id="1145" w:name="_Toc38440869"/>
      <w:bookmarkStart w:id="1146" w:name="_Toc38441201"/>
      <w:bookmarkStart w:id="1147" w:name="_Toc38441533"/>
      <w:bookmarkStart w:id="1148" w:name="_Toc38441861"/>
      <w:bookmarkStart w:id="1149" w:name="_Toc38442193"/>
      <w:bookmarkStart w:id="1150" w:name="_Toc38442525"/>
      <w:bookmarkStart w:id="1151" w:name="_Toc38442856"/>
      <w:bookmarkStart w:id="1152" w:name="_Toc38443187"/>
      <w:bookmarkStart w:id="1153" w:name="_Toc38443518"/>
      <w:bookmarkStart w:id="1154" w:name="_Toc38441559"/>
      <w:bookmarkStart w:id="1155" w:name="_Toc38441887"/>
      <w:bookmarkStart w:id="1156" w:name="_Toc38438653"/>
      <w:bookmarkStart w:id="1157" w:name="_Toc38438990"/>
      <w:bookmarkStart w:id="1158" w:name="_Toc38439327"/>
      <w:bookmarkStart w:id="1159" w:name="_Toc38439664"/>
      <w:bookmarkStart w:id="1160" w:name="_Toc38440001"/>
      <w:bookmarkStart w:id="1161" w:name="_Toc38440338"/>
      <w:bookmarkStart w:id="1162" w:name="_Toc38440671"/>
      <w:bookmarkStart w:id="1163" w:name="_Toc38440870"/>
      <w:bookmarkStart w:id="1164" w:name="_Toc38441202"/>
      <w:bookmarkStart w:id="1165" w:name="_Toc38441534"/>
      <w:bookmarkStart w:id="1166" w:name="_Toc38441862"/>
      <w:bookmarkStart w:id="1167" w:name="_Toc38442194"/>
      <w:bookmarkStart w:id="1168" w:name="_Toc38442526"/>
      <w:bookmarkStart w:id="1169" w:name="_Toc38442857"/>
      <w:bookmarkStart w:id="1170" w:name="_Toc38443188"/>
      <w:bookmarkStart w:id="1171" w:name="_Toc38443519"/>
      <w:bookmarkStart w:id="1172" w:name="_Toc38443850"/>
      <w:bookmarkStart w:id="1173" w:name="_Toc38438317"/>
      <w:bookmarkStart w:id="1174" w:name="_Toc38438654"/>
      <w:bookmarkStart w:id="1175" w:name="_Toc38438991"/>
      <w:bookmarkStart w:id="1176" w:name="_Toc38439328"/>
      <w:bookmarkStart w:id="1177" w:name="_Toc38439665"/>
      <w:bookmarkStart w:id="1178" w:name="_Toc38440002"/>
      <w:bookmarkStart w:id="1179" w:name="_Toc38440339"/>
      <w:bookmarkStart w:id="1180" w:name="_Toc38440672"/>
      <w:bookmarkStart w:id="1181" w:name="_Toc38440871"/>
      <w:bookmarkStart w:id="1182" w:name="_Toc38441203"/>
      <w:bookmarkStart w:id="1183" w:name="_Toc38441535"/>
      <w:bookmarkStart w:id="1184" w:name="_Toc38441863"/>
      <w:bookmarkStart w:id="1185" w:name="_Toc38442195"/>
      <w:bookmarkStart w:id="1186" w:name="_Toc38442527"/>
      <w:bookmarkStart w:id="1187" w:name="_Toc272569586"/>
      <w:bookmarkStart w:id="1188" w:name="_Toc272569722"/>
      <w:bookmarkStart w:id="1189" w:name="_Toc38443520"/>
      <w:bookmarkStart w:id="1190" w:name="_Toc38443851"/>
      <w:bookmarkStart w:id="1191" w:name="_Toc38438318"/>
      <w:bookmarkStart w:id="1192" w:name="_Toc38438655"/>
      <w:bookmarkStart w:id="1193" w:name="_Toc38438992"/>
      <w:bookmarkStart w:id="1194" w:name="_Toc38439329"/>
      <w:bookmarkStart w:id="1195" w:name="_Toc38439666"/>
      <w:bookmarkStart w:id="1196" w:name="_Toc38440003"/>
      <w:bookmarkStart w:id="1197" w:name="_Toc38440340"/>
      <w:bookmarkStart w:id="1198" w:name="_Toc38440673"/>
      <w:bookmarkStart w:id="1199" w:name="_Toc38440872"/>
      <w:bookmarkStart w:id="1200" w:name="_Toc38441204"/>
      <w:bookmarkStart w:id="1201" w:name="_Toc38441536"/>
      <w:bookmarkStart w:id="1202" w:name="_Toc38441864"/>
      <w:bookmarkStart w:id="1203" w:name="_Toc278409389"/>
      <w:bookmarkStart w:id="1204" w:name="_Toc277787882"/>
      <w:bookmarkStart w:id="1205" w:name="_Toc277787878"/>
      <w:bookmarkStart w:id="1206" w:name="_Toc277787608"/>
      <w:bookmarkStart w:id="1207" w:name="_Toc309286149"/>
      <w:bookmarkStart w:id="1208" w:name="_Toc308697636"/>
      <w:bookmarkStart w:id="1209" w:name="_Toc309286148"/>
      <w:bookmarkStart w:id="1210" w:name="_Toc308697627"/>
      <w:bookmarkStart w:id="1211" w:name="_Toc309286158"/>
      <w:bookmarkStart w:id="1212" w:name="_Toc309286150"/>
      <w:bookmarkStart w:id="1213" w:name="_Toc308697628"/>
      <w:bookmarkStart w:id="1214" w:name="_Toc308697629"/>
      <w:bookmarkStart w:id="1215" w:name="_Toc277752508"/>
      <w:bookmarkStart w:id="1216" w:name="_Toc278409392"/>
      <w:bookmarkStart w:id="1217" w:name="_Toc277786087"/>
      <w:bookmarkStart w:id="1218" w:name="_Toc277787881"/>
      <w:bookmarkStart w:id="1219" w:name="_Toc308697635"/>
      <w:bookmarkStart w:id="1220" w:name="_Toc38440304"/>
      <w:bookmarkStart w:id="1221" w:name="_Toc38440637"/>
      <w:bookmarkStart w:id="1222" w:name="_Toc308697634"/>
      <w:bookmarkStart w:id="1223" w:name="_Toc309286154"/>
      <w:bookmarkStart w:id="1224" w:name="_Toc309286155"/>
      <w:bookmarkStart w:id="1225" w:name="_Toc308697642"/>
      <w:bookmarkStart w:id="1226" w:name="_Toc308697633"/>
      <w:bookmarkStart w:id="1227" w:name="_Toc309286151"/>
      <w:bookmarkStart w:id="1228" w:name="_Toc308697630"/>
      <w:bookmarkStart w:id="1229" w:name="_Toc309286153"/>
      <w:bookmarkStart w:id="1230" w:name="_Toc309286144"/>
      <w:bookmarkStart w:id="1231" w:name="_Toc308697631"/>
      <w:bookmarkStart w:id="1232" w:name="_Toc309286152"/>
      <w:bookmarkStart w:id="1233" w:name="_Toc308697623"/>
      <w:bookmarkStart w:id="1234" w:name="_Toc309286143"/>
      <w:bookmarkStart w:id="1235" w:name="_Toc308697621"/>
      <w:bookmarkStart w:id="1236" w:name="_Toc309286145"/>
      <w:bookmarkStart w:id="1237" w:name="_Toc308697622"/>
      <w:bookmarkStart w:id="1238" w:name="_Toc277752505"/>
      <w:bookmarkStart w:id="1239" w:name="_Toc277787606"/>
      <w:bookmarkStart w:id="1240" w:name="_Toc277786085"/>
      <w:bookmarkStart w:id="1241" w:name="_Toc278409390"/>
      <w:bookmarkStart w:id="1242" w:name="_Toc277787879"/>
      <w:bookmarkStart w:id="1243" w:name="_Toc277752506"/>
      <w:bookmarkStart w:id="1244" w:name="_Toc277786084"/>
      <w:bookmarkStart w:id="1245" w:name="_Toc308697510"/>
      <w:bookmarkStart w:id="1246" w:name="_Toc277787605"/>
      <w:bookmarkStart w:id="1247" w:name="_Toc277752507"/>
      <w:bookmarkStart w:id="1248" w:name="_Toc278409391"/>
      <w:bookmarkStart w:id="1249" w:name="_Toc277786086"/>
      <w:bookmarkStart w:id="1250" w:name="_Toc277787607"/>
      <w:bookmarkStart w:id="1251" w:name="_Toc278409393"/>
      <w:bookmarkStart w:id="1252" w:name="_Toc277787880"/>
      <w:bookmarkStart w:id="1253" w:name="_Toc38442882"/>
      <w:bookmarkStart w:id="1254" w:name="_Toc308697560"/>
      <w:bookmarkStart w:id="1255" w:name="_Toc44229207"/>
      <w:bookmarkStart w:id="1256" w:name="_Toc323051026"/>
      <w:bookmarkStart w:id="1257" w:name="_Toc310513350"/>
      <w:bookmarkStart w:id="1258" w:name="_Toc44229112"/>
      <w:bookmarkStart w:id="1259" w:name="_Toc310513214"/>
      <w:bookmarkStart w:id="1260" w:name="_Toc309286083"/>
      <w:bookmarkStart w:id="1261" w:name="_Toc310513075"/>
      <w:bookmarkStart w:id="1262" w:name="_Toc310512935"/>
      <w:bookmarkStart w:id="1263" w:name="_Toc310512782"/>
      <w:bookmarkStart w:id="1264" w:name="_Toc310512629"/>
      <w:bookmarkStart w:id="1265" w:name="_Toc310512465"/>
      <w:bookmarkStart w:id="1266" w:name="_Toc44229201"/>
      <w:bookmarkStart w:id="1267" w:name="_Toc323051025"/>
      <w:bookmarkStart w:id="1268" w:name="_Toc44229208"/>
      <w:bookmarkStart w:id="1269" w:name="_Toc310513349"/>
      <w:bookmarkStart w:id="1270" w:name="_Toc308697561"/>
      <w:bookmarkStart w:id="1271" w:name="_Toc310513213"/>
      <w:bookmarkStart w:id="1272" w:name="_Toc44229113"/>
      <w:bookmarkStart w:id="1273" w:name="_Toc44229107"/>
      <w:bookmarkStart w:id="1274" w:name="_Toc44229202"/>
      <w:bookmarkStart w:id="1275" w:name="_Toc310513074"/>
      <w:bookmarkStart w:id="1276" w:name="_Toc310512934"/>
      <w:bookmarkStart w:id="1277" w:name="_Toc44229108"/>
      <w:bookmarkStart w:id="1278" w:name="_Toc44229106"/>
      <w:bookmarkStart w:id="1279" w:name="_Toc308697562"/>
      <w:bookmarkStart w:id="1280" w:name="_Toc310512781"/>
      <w:bookmarkStart w:id="1281" w:name="_Toc309286084"/>
      <w:bookmarkStart w:id="1282" w:name="_Toc310512628"/>
      <w:bookmarkStart w:id="1283" w:name="_Toc310512464"/>
      <w:bookmarkStart w:id="1284" w:name="_Toc323051024"/>
      <w:bookmarkStart w:id="1285" w:name="_Toc310513348"/>
      <w:bookmarkStart w:id="1286" w:name="_Toc272569266"/>
      <w:bookmarkStart w:id="1287" w:name="_Toc272569450"/>
      <w:bookmarkStart w:id="1288" w:name="_Toc310512933"/>
      <w:bookmarkStart w:id="1289" w:name="_Toc310512780"/>
      <w:bookmarkStart w:id="1290" w:name="_Toc310512627"/>
      <w:bookmarkStart w:id="1291" w:name="_Toc310512463"/>
      <w:bookmarkStart w:id="1292" w:name="_Toc306614238"/>
      <w:bookmarkStart w:id="1293" w:name="_Toc309286065"/>
      <w:bookmarkStart w:id="1294" w:name="_Toc308697543"/>
      <w:bookmarkStart w:id="1295" w:name="_Toc309286064"/>
      <w:bookmarkStart w:id="1296" w:name="_Toc308697542"/>
      <w:bookmarkStart w:id="1297" w:name="_Toc309286063"/>
      <w:bookmarkStart w:id="1298" w:name="_Toc308697541"/>
      <w:bookmarkStart w:id="1299" w:name="_Toc296527004"/>
      <w:bookmarkStart w:id="1300" w:name="_Toc309286039"/>
      <w:bookmarkStart w:id="1301" w:name="_Toc308697517"/>
      <w:bookmarkStart w:id="1302" w:name="_Toc309286038"/>
      <w:bookmarkStart w:id="1303" w:name="_Toc308697516"/>
      <w:bookmarkStart w:id="1304" w:name="_Toc278409394"/>
      <w:bookmarkStart w:id="1305" w:name="_Toc277787883"/>
      <w:bookmarkStart w:id="1306" w:name="_Toc277787609"/>
      <w:bookmarkStart w:id="1307" w:name="_Toc277786088"/>
      <w:bookmarkStart w:id="1308" w:name="_Toc277752509"/>
      <w:bookmarkStart w:id="1309" w:name="_Toc309286113"/>
      <w:bookmarkStart w:id="1310" w:name="_Toc309286119"/>
      <w:bookmarkStart w:id="1311" w:name="_Toc309286112"/>
      <w:bookmarkStart w:id="1312" w:name="_Toc308697597"/>
      <w:bookmarkStart w:id="1313" w:name="_Toc309286114"/>
      <w:bookmarkStart w:id="1314" w:name="_Toc309286116"/>
      <w:bookmarkStart w:id="1315" w:name="_Toc309286121"/>
      <w:bookmarkStart w:id="1316" w:name="_Toc308697603"/>
      <w:bookmarkStart w:id="1317" w:name="_Toc308697586"/>
      <w:bookmarkStart w:id="1318" w:name="_Toc308697594"/>
      <w:bookmarkStart w:id="1319" w:name="_Toc38441500"/>
      <w:bookmarkStart w:id="1320" w:name="_Toc38441828"/>
      <w:bookmarkStart w:id="1321" w:name="_Toc308697587"/>
      <w:bookmarkStart w:id="1322" w:name="_Toc308697602"/>
      <w:bookmarkStart w:id="1323" w:name="_Toc308697604"/>
      <w:bookmarkStart w:id="1324" w:name="_Toc309286107"/>
      <w:bookmarkStart w:id="1325" w:name="_Toc308697589"/>
      <w:bookmarkStart w:id="1326" w:name="_Toc308697595"/>
      <w:bookmarkStart w:id="1327" w:name="_Toc308697591"/>
      <w:bookmarkStart w:id="1328" w:name="_Toc308697598"/>
      <w:bookmarkStart w:id="1329" w:name="_Toc309286108"/>
      <w:bookmarkStart w:id="1330" w:name="_Toc308697584"/>
      <w:bookmarkStart w:id="1331" w:name="_Toc309286126"/>
      <w:bookmarkStart w:id="1332" w:name="_Toc309286106"/>
      <w:bookmarkStart w:id="1333" w:name="_Toc309286120"/>
      <w:bookmarkStart w:id="1334" w:name="_Toc309286111"/>
      <w:bookmarkStart w:id="1335" w:name="_Toc309286123"/>
      <w:bookmarkStart w:id="1336" w:name="_Toc309286109"/>
      <w:bookmarkStart w:id="1337" w:name="_Toc309286118"/>
      <w:bookmarkStart w:id="1338" w:name="_Toc308697592"/>
      <w:bookmarkStart w:id="1339" w:name="_Toc309286124"/>
      <w:bookmarkStart w:id="1340" w:name="_Toc309286125"/>
      <w:bookmarkStart w:id="1341" w:name="_Toc308697585"/>
      <w:bookmarkStart w:id="1342" w:name="_Toc308697590"/>
      <w:bookmarkStart w:id="1343" w:name="_Toc308697599"/>
      <w:bookmarkStart w:id="1344" w:name="_Toc309286115"/>
      <w:bookmarkStart w:id="1345" w:name="_Toc308697596"/>
      <w:bookmarkStart w:id="1346" w:name="_Toc185222591"/>
      <w:bookmarkStart w:id="1347" w:name="_Toc323051054"/>
      <w:bookmarkStart w:id="1348" w:name="_Toc44229110"/>
      <w:bookmarkStart w:id="1349" w:name="_Toc323051055"/>
      <w:bookmarkStart w:id="1350" w:name="_Toc308697588"/>
      <w:bookmarkStart w:id="1351" w:name="_Toc309286105"/>
      <w:bookmarkStart w:id="1352" w:name="_Toc38438342"/>
      <w:bookmarkStart w:id="1353" w:name="_Toc323051053"/>
      <w:bookmarkStart w:id="1354" w:name="_Toc278409426"/>
      <w:bookmarkStart w:id="1355" w:name="_Toc44229109"/>
      <w:bookmarkStart w:id="1356" w:name="_Toc309286110"/>
      <w:bookmarkStart w:id="1357" w:name="_Toc185222757"/>
      <w:bookmarkStart w:id="1358" w:name="_Toc44229111"/>
      <w:bookmarkStart w:id="1359" w:name="_Toc44229206"/>
      <w:bookmarkStart w:id="1360" w:name="_Hlt80958353"/>
      <w:bookmarkStart w:id="1361" w:name="_Toc44229203"/>
      <w:bookmarkStart w:id="1362" w:name="_Toc185222016"/>
      <w:bookmarkStart w:id="1363" w:name="_Toc44229204"/>
      <w:bookmarkStart w:id="1364" w:name="_Toc308697583"/>
      <w:bookmarkStart w:id="1365" w:name="_Toc185222488"/>
      <w:bookmarkStart w:id="1366" w:name="_Toc309286140"/>
      <w:bookmarkStart w:id="1367" w:name="_Toc308697626"/>
      <w:bookmarkStart w:id="1368" w:name="_Toc308697613"/>
      <w:bookmarkStart w:id="1369" w:name="_Toc308697608"/>
      <w:bookmarkStart w:id="1370" w:name="_Toc308697614"/>
      <w:bookmarkStart w:id="1371" w:name="_Toc309286146"/>
      <w:bookmarkStart w:id="1372" w:name="_Toc309286135"/>
      <w:bookmarkStart w:id="1373" w:name="_Toc308697609"/>
      <w:bookmarkStart w:id="1374" w:name="_Toc308697600"/>
      <w:bookmarkStart w:id="1375" w:name="_Toc309286134"/>
      <w:bookmarkStart w:id="1376" w:name="_Toc309286129"/>
      <w:bookmarkStart w:id="1377" w:name="_Toc308697618"/>
      <w:bookmarkStart w:id="1378" w:name="_Toc309286141"/>
      <w:bookmarkStart w:id="1379" w:name="_Toc308697611"/>
      <w:bookmarkStart w:id="1380" w:name="_Toc309286133"/>
      <w:bookmarkStart w:id="1381" w:name="_Toc309286136"/>
      <w:bookmarkStart w:id="1382" w:name="_Toc308697601"/>
      <w:bookmarkStart w:id="1383" w:name="_Toc309286147"/>
      <w:bookmarkStart w:id="1384" w:name="_Toc309286122"/>
      <w:bookmarkStart w:id="1385" w:name="_Toc272569874"/>
      <w:bookmarkStart w:id="1386" w:name="_Toc272569115"/>
      <w:bookmarkStart w:id="1387" w:name="_Toc308697615"/>
      <w:bookmarkStart w:id="1388" w:name="_Toc309286131"/>
      <w:bookmarkStart w:id="1389" w:name="_Toc309286130"/>
      <w:bookmarkStart w:id="1390" w:name="_Toc308697606"/>
      <w:bookmarkStart w:id="1391" w:name="_Toc309286127"/>
      <w:bookmarkStart w:id="1392" w:name="_Toc308697624"/>
      <w:bookmarkStart w:id="1393" w:name="_Toc309286138"/>
      <w:bookmarkStart w:id="1394" w:name="_Toc308697619"/>
      <w:bookmarkStart w:id="1395" w:name="_Toc308697625"/>
      <w:bookmarkStart w:id="1396" w:name="_Toc308697605"/>
      <w:bookmarkStart w:id="1397" w:name="_Toc309286128"/>
      <w:bookmarkStart w:id="1398" w:name="_Toc309286142"/>
      <w:bookmarkStart w:id="1399" w:name="_Toc308697616"/>
      <w:bookmarkStart w:id="1400" w:name="_Toc308697617"/>
      <w:bookmarkStart w:id="1401" w:name="_Toc309286137"/>
      <w:bookmarkStart w:id="1402" w:name="_Toc309286132"/>
      <w:bookmarkStart w:id="1403" w:name="_Toc308697610"/>
      <w:bookmarkStart w:id="1404" w:name="_Toc309286139"/>
      <w:bookmarkStart w:id="1405" w:name="_Toc308697612"/>
      <w:bookmarkStart w:id="1406" w:name="_Toc308697662"/>
      <w:bookmarkStart w:id="1407" w:name="_Toc309286174"/>
      <w:bookmarkStart w:id="1408" w:name="_Toc309286168"/>
      <w:bookmarkStart w:id="1409" w:name="_Toc308697643"/>
      <w:bookmarkStart w:id="1410" w:name="_Toc309286165"/>
      <w:bookmarkStart w:id="1411" w:name="_Toc308697647"/>
      <w:bookmarkStart w:id="1412" w:name="_Toc308697653"/>
      <w:bookmarkStart w:id="1413" w:name="_Toc308697650"/>
      <w:bookmarkStart w:id="1414" w:name="_Toc309286171"/>
      <w:bookmarkStart w:id="1415" w:name="_Toc308697649"/>
      <w:bookmarkStart w:id="1416" w:name="_Toc309286167"/>
      <w:bookmarkStart w:id="1417" w:name="_Toc308697651"/>
      <w:bookmarkStart w:id="1418" w:name="_Toc38442823"/>
      <w:bookmarkStart w:id="1419" w:name="_Toc38443154"/>
      <w:bookmarkStart w:id="1420" w:name="_Toc308697639"/>
      <w:bookmarkStart w:id="1421" w:name="_Toc309286161"/>
      <w:bookmarkStart w:id="1422" w:name="_Toc309286166"/>
      <w:bookmarkStart w:id="1423" w:name="_Toc308697637"/>
      <w:bookmarkStart w:id="1424" w:name="_Toc309286182"/>
      <w:bookmarkStart w:id="1425" w:name="_Toc309286162"/>
      <w:bookmarkStart w:id="1426" w:name="_Toc308697652"/>
      <w:bookmarkStart w:id="1427" w:name="_Toc309286178"/>
      <w:bookmarkStart w:id="1428" w:name="_Toc309286164"/>
      <w:bookmarkStart w:id="1429" w:name="_Toc308697641"/>
      <w:bookmarkStart w:id="1430" w:name="_Toc308697656"/>
      <w:bookmarkStart w:id="1431" w:name="_Toc309286175"/>
      <w:bookmarkStart w:id="1432" w:name="_Toc308697645"/>
      <w:bookmarkStart w:id="1433" w:name="_Toc308697654"/>
      <w:bookmarkStart w:id="1434" w:name="_Toc308697644"/>
      <w:bookmarkStart w:id="1435" w:name="_Toc308697638"/>
      <w:bookmarkStart w:id="1436" w:name="_Toc308697661"/>
      <w:bookmarkStart w:id="1437" w:name="_Toc309286170"/>
      <w:bookmarkStart w:id="1438" w:name="_Toc308697658"/>
      <w:bookmarkStart w:id="1439" w:name="_Toc309286169"/>
      <w:bookmarkStart w:id="1440" w:name="_Toc309286159"/>
      <w:bookmarkStart w:id="1441" w:name="_Toc308697648"/>
      <w:bookmarkStart w:id="1442" w:name="_Toc309286173"/>
      <w:bookmarkStart w:id="1443" w:name="_Toc309286176"/>
      <w:bookmarkStart w:id="1444" w:name="_Toc309286179"/>
      <w:bookmarkStart w:id="1445" w:name="_Toc309286177"/>
      <w:bookmarkStart w:id="1446" w:name="_Toc309286163"/>
      <w:bookmarkStart w:id="1447" w:name="_Toc308697655"/>
      <w:bookmarkStart w:id="1448" w:name="_Toc308697640"/>
      <w:bookmarkStart w:id="1449" w:name="_Toc308697657"/>
      <w:bookmarkStart w:id="1450" w:name="_Toc308697646"/>
      <w:bookmarkStart w:id="1451" w:name="_Toc38439690"/>
      <w:bookmarkStart w:id="1452" w:name="_Toc38440027"/>
      <w:bookmarkStart w:id="1453" w:name="_Toc309286184"/>
      <w:bookmarkStart w:id="1454" w:name="_Toc309286185"/>
      <w:bookmarkStart w:id="1455" w:name="_Toc308697660"/>
      <w:bookmarkStart w:id="1456" w:name="_Toc309286180"/>
      <w:bookmarkStart w:id="1457" w:name="_Toc309286186"/>
      <w:bookmarkStart w:id="1458" w:name="_Toc308697664"/>
      <w:bookmarkStart w:id="1459" w:name="_Toc309286181"/>
      <w:bookmarkStart w:id="1460" w:name="_Toc308697659"/>
      <w:bookmarkStart w:id="1461" w:name="_Toc308697665"/>
      <w:bookmarkStart w:id="1462" w:name="_Toc309286187"/>
      <w:bookmarkStart w:id="1463" w:name="_Toc308697666"/>
      <w:bookmarkStart w:id="1464" w:name="_Toc309286188"/>
      <w:bookmarkStart w:id="1465" w:name="_Toc308697667"/>
      <w:bookmarkStart w:id="1466" w:name="_Toc309286189"/>
      <w:bookmarkStart w:id="1467" w:name="_Toc308697668"/>
      <w:bookmarkStart w:id="1468" w:name="_Toc309286190"/>
      <w:bookmarkStart w:id="1469" w:name="_Toc308697669"/>
      <w:bookmarkStart w:id="1470" w:name="_Toc309286191"/>
      <w:bookmarkStart w:id="1471" w:name="_Toc308697670"/>
      <w:bookmarkStart w:id="1472" w:name="_Toc309286192"/>
      <w:bookmarkStart w:id="1473" w:name="_Toc308697671"/>
      <w:bookmarkStart w:id="1474" w:name="_Toc309286193"/>
      <w:bookmarkStart w:id="1475" w:name="_Toc308697672"/>
      <w:bookmarkStart w:id="1476" w:name="_Toc309286194"/>
      <w:bookmarkStart w:id="1477" w:name="_Toc308697673"/>
      <w:bookmarkStart w:id="1478" w:name="_Toc309286195"/>
      <w:bookmarkStart w:id="1479" w:name="_Toc308697674"/>
      <w:bookmarkStart w:id="1480" w:name="_Toc309286196"/>
      <w:bookmarkStart w:id="1481" w:name="_Toc308697675"/>
      <w:bookmarkStart w:id="1482" w:name="_Toc309286197"/>
      <w:bookmarkStart w:id="1483" w:name="_Toc308697676"/>
      <w:bookmarkStart w:id="1484" w:name="_Toc272569588"/>
      <w:bookmarkStart w:id="1485" w:name="_Toc272569724"/>
      <w:bookmarkStart w:id="1486" w:name="_Toc309286199"/>
      <w:bookmarkStart w:id="1487" w:name="_Toc308697678"/>
      <w:bookmarkStart w:id="1488" w:name="_Toc309286200"/>
      <w:bookmarkStart w:id="1489" w:name="_Toc308697679"/>
      <w:bookmarkStart w:id="1490" w:name="_Toc309286201"/>
      <w:bookmarkStart w:id="1491" w:name="_Toc308697680"/>
      <w:bookmarkStart w:id="1492" w:name="_Toc309286202"/>
      <w:bookmarkStart w:id="1493" w:name="_Toc308697681"/>
      <w:bookmarkStart w:id="1494" w:name="_Toc309286203"/>
      <w:bookmarkStart w:id="1495" w:name="_Toc308697682"/>
      <w:bookmarkStart w:id="1496" w:name="_Toc309286204"/>
      <w:bookmarkStart w:id="1497" w:name="_Toc308697683"/>
      <w:bookmarkStart w:id="1498" w:name="_Toc309286205"/>
      <w:bookmarkStart w:id="1499" w:name="_Toc308697684"/>
      <w:bookmarkStart w:id="1500" w:name="_Toc309286206"/>
      <w:bookmarkStart w:id="1501" w:name="_Toc308697685"/>
      <w:bookmarkStart w:id="1502" w:name="_Toc309286207"/>
      <w:bookmarkStart w:id="1503" w:name="_Toc97031319"/>
      <w:bookmarkStart w:id="1504" w:name="_Toc97107279"/>
      <w:bookmarkStart w:id="1505" w:name="_Toc272569090"/>
      <w:bookmarkStart w:id="1506" w:name="_Toc272569242"/>
      <w:bookmarkStart w:id="1507" w:name="_Toc272569426"/>
      <w:bookmarkStart w:id="1508" w:name="_Toc272569563"/>
      <w:bookmarkStart w:id="1509" w:name="_Toc272569699"/>
      <w:bookmarkStart w:id="1510" w:name="_Toc272569850"/>
      <w:bookmarkStart w:id="1511" w:name="_Toc272570173"/>
      <w:bookmarkStart w:id="1512" w:name="_Toc272570307"/>
      <w:bookmarkStart w:id="1513" w:name="_Toc272570440"/>
      <w:bookmarkStart w:id="1514" w:name="_Toc272570574"/>
      <w:bookmarkStart w:id="1515" w:name="_Toc272570707"/>
      <w:bookmarkStart w:id="1516" w:name="_Toc272570840"/>
      <w:bookmarkStart w:id="1517" w:name="_Toc38438283"/>
      <w:bookmarkStart w:id="1518" w:name="_Toc38438620"/>
      <w:bookmarkStart w:id="1519" w:name="_Toc38442164"/>
      <w:bookmarkStart w:id="1520" w:name="_Toc38442496"/>
      <w:bookmarkStart w:id="1521" w:name="_Toc38442827"/>
      <w:bookmarkStart w:id="1522" w:name="_Toc38443158"/>
      <w:bookmarkStart w:id="1523" w:name="_Toc38443489"/>
      <w:bookmarkStart w:id="1524" w:name="_Toc38443820"/>
      <w:bookmarkStart w:id="1525" w:name="_Toc38438287"/>
      <w:bookmarkStart w:id="1526" w:name="_Toc38438624"/>
      <w:bookmarkStart w:id="1527" w:name="_Toc38438961"/>
      <w:bookmarkStart w:id="1528" w:name="_Toc38439298"/>
      <w:bookmarkStart w:id="1529" w:name="_Toc38439635"/>
      <w:bookmarkStart w:id="1530" w:name="_Toc38439972"/>
      <w:bookmarkStart w:id="1531" w:name="_Toc38440309"/>
      <w:bookmarkStart w:id="1532" w:name="_Toc38440642"/>
      <w:bookmarkStart w:id="1533" w:name="_Toc38440841"/>
      <w:bookmarkStart w:id="1534" w:name="_Toc38441173"/>
      <w:bookmarkStart w:id="1535" w:name="_Toc38441505"/>
      <w:bookmarkStart w:id="1536" w:name="_Toc38441833"/>
      <w:bookmarkStart w:id="1537" w:name="_Toc38442165"/>
      <w:bookmarkStart w:id="1538" w:name="_Toc38442497"/>
      <w:bookmarkStart w:id="1539" w:name="_Toc38442828"/>
      <w:bookmarkStart w:id="1540" w:name="_Toc38443159"/>
      <w:bookmarkStart w:id="1541" w:name="_Toc38443490"/>
      <w:bookmarkStart w:id="1542" w:name="_Toc38443821"/>
      <w:bookmarkStart w:id="1543" w:name="_Toc38438288"/>
      <w:bookmarkStart w:id="1544" w:name="_Toc38438625"/>
      <w:bookmarkStart w:id="1545" w:name="_Toc38438962"/>
      <w:bookmarkStart w:id="1546" w:name="_Toc38439299"/>
      <w:bookmarkStart w:id="1547" w:name="_Toc38439636"/>
      <w:bookmarkStart w:id="1548" w:name="_Toc38439973"/>
      <w:bookmarkStart w:id="1549" w:name="_Toc38440310"/>
      <w:bookmarkStart w:id="1550" w:name="_Toc38440643"/>
      <w:bookmarkStart w:id="1551" w:name="_Toc38438292"/>
      <w:bookmarkStart w:id="1552" w:name="_Toc38438629"/>
      <w:bookmarkStart w:id="1553" w:name="_Toc38438966"/>
      <w:bookmarkStart w:id="1554" w:name="_Toc38439303"/>
      <w:bookmarkStart w:id="1555" w:name="_Toc38439640"/>
      <w:bookmarkStart w:id="1556" w:name="_Toc38439977"/>
      <w:bookmarkStart w:id="1557" w:name="_Toc38440314"/>
      <w:bookmarkStart w:id="1558" w:name="_Toc38440647"/>
      <w:bookmarkStart w:id="1559" w:name="_Toc38440846"/>
      <w:bookmarkStart w:id="1560" w:name="_Toc38441178"/>
      <w:bookmarkStart w:id="1561" w:name="_Toc38441510"/>
      <w:bookmarkStart w:id="1562" w:name="_Toc38441838"/>
      <w:bookmarkStart w:id="1563" w:name="_Toc38442170"/>
      <w:bookmarkStart w:id="1564" w:name="_Toc38442502"/>
      <w:bookmarkStart w:id="1565" w:name="_Toc38442833"/>
      <w:bookmarkStart w:id="1566" w:name="_Toc38443164"/>
      <w:bookmarkStart w:id="1567" w:name="_Toc38443495"/>
      <w:bookmarkStart w:id="1568" w:name="_Toc38443826"/>
      <w:bookmarkStart w:id="1569" w:name="_Toc38438293"/>
      <w:bookmarkStart w:id="1570" w:name="_Toc38438630"/>
      <w:bookmarkStart w:id="1571" w:name="_Toc38438967"/>
      <w:bookmarkStart w:id="1572" w:name="_Toc38439304"/>
      <w:bookmarkStart w:id="1573" w:name="_Toc38439641"/>
      <w:bookmarkStart w:id="1574" w:name="_Toc38439978"/>
      <w:bookmarkStart w:id="1575" w:name="_Toc38440315"/>
      <w:bookmarkStart w:id="1576" w:name="_Toc38440648"/>
      <w:bookmarkStart w:id="1577" w:name="_Toc38440847"/>
      <w:bookmarkStart w:id="1578" w:name="_Toc38441179"/>
      <w:bookmarkStart w:id="1579" w:name="_Toc38441511"/>
      <w:bookmarkStart w:id="1580" w:name="_Toc38441839"/>
      <w:bookmarkStart w:id="1581" w:name="_Toc38442171"/>
      <w:bookmarkStart w:id="1582" w:name="_Toc38442503"/>
      <w:bookmarkStart w:id="1583" w:name="_Toc38442834"/>
      <w:bookmarkStart w:id="1584" w:name="_Toc38443165"/>
      <w:bookmarkStart w:id="1585" w:name="_Toc38443496"/>
      <w:bookmarkStart w:id="1586" w:name="_Toc38443827"/>
      <w:bookmarkStart w:id="1587" w:name="_Toc38438296"/>
      <w:bookmarkStart w:id="1588" w:name="_Toc38438633"/>
      <w:bookmarkStart w:id="1589" w:name="_Toc38438970"/>
      <w:bookmarkStart w:id="1590" w:name="_Toc38439307"/>
      <w:bookmarkStart w:id="1591" w:name="_Toc38439644"/>
      <w:bookmarkStart w:id="1592" w:name="_Toc38439981"/>
      <w:bookmarkStart w:id="1593" w:name="_Toc38440318"/>
      <w:bookmarkStart w:id="1594" w:name="_Toc38440651"/>
      <w:bookmarkStart w:id="1595" w:name="_Toc38440850"/>
      <w:bookmarkStart w:id="1596" w:name="_Toc38441182"/>
      <w:bookmarkStart w:id="1597" w:name="_Toc38441514"/>
      <w:bookmarkStart w:id="1598" w:name="_Toc38441842"/>
      <w:bookmarkStart w:id="1599" w:name="_Toc38442174"/>
      <w:bookmarkStart w:id="1600" w:name="_Toc38442506"/>
      <w:bookmarkStart w:id="1601" w:name="_Toc38442837"/>
      <w:bookmarkStart w:id="1602" w:name="_Toc38443168"/>
      <w:bookmarkStart w:id="1603" w:name="_Toc38443499"/>
      <w:bookmarkStart w:id="1604" w:name="_Toc38443830"/>
      <w:bookmarkStart w:id="1605" w:name="_Toc38438297"/>
      <w:bookmarkStart w:id="1606" w:name="_Toc38438634"/>
      <w:bookmarkStart w:id="1607" w:name="_Toc38438971"/>
      <w:bookmarkStart w:id="1608" w:name="_Toc38439308"/>
      <w:bookmarkStart w:id="1609" w:name="_Toc38439645"/>
      <w:bookmarkStart w:id="1610" w:name="_Toc38439982"/>
      <w:bookmarkStart w:id="1611" w:name="_Toc38440319"/>
      <w:bookmarkStart w:id="1612" w:name="_Toc38440652"/>
      <w:bookmarkStart w:id="1613" w:name="_Toc38440851"/>
      <w:bookmarkStart w:id="1614" w:name="_Toc38441183"/>
      <w:bookmarkStart w:id="1615" w:name="_Toc38441515"/>
      <w:bookmarkStart w:id="1616" w:name="_Toc38441843"/>
      <w:bookmarkStart w:id="1617" w:name="_Toc38442175"/>
      <w:bookmarkStart w:id="1618" w:name="_Toc38442507"/>
      <w:bookmarkStart w:id="1619" w:name="_Toc38442838"/>
      <w:bookmarkStart w:id="1620" w:name="_Toc38443169"/>
      <w:bookmarkStart w:id="1621" w:name="_Toc38443500"/>
      <w:bookmarkStart w:id="1622" w:name="_Toc38443831"/>
      <w:bookmarkStart w:id="1623" w:name="_Toc38438298"/>
      <w:bookmarkStart w:id="1624" w:name="_Toc38438635"/>
      <w:bookmarkStart w:id="1625" w:name="_Toc38438972"/>
      <w:bookmarkStart w:id="1626" w:name="_Toc38439309"/>
      <w:bookmarkStart w:id="1627" w:name="_Toc38439646"/>
      <w:bookmarkStart w:id="1628" w:name="_Toc38439983"/>
      <w:bookmarkStart w:id="1629" w:name="_Toc38440320"/>
      <w:bookmarkStart w:id="1630" w:name="_Toc38440653"/>
      <w:bookmarkStart w:id="1631" w:name="_Toc38440852"/>
      <w:bookmarkStart w:id="1632" w:name="_Toc38441184"/>
      <w:bookmarkStart w:id="1633" w:name="_Toc38441516"/>
      <w:bookmarkStart w:id="1634" w:name="_Toc38441844"/>
      <w:bookmarkStart w:id="1635" w:name="_Toc38442176"/>
      <w:bookmarkStart w:id="1636" w:name="_Toc38442508"/>
      <w:bookmarkStart w:id="1637" w:name="_Toc38442839"/>
      <w:bookmarkStart w:id="1638" w:name="_Toc38443170"/>
      <w:bookmarkStart w:id="1639" w:name="_Toc38443501"/>
      <w:bookmarkStart w:id="1640" w:name="_Toc38443832"/>
      <w:bookmarkStart w:id="1641" w:name="_Toc38438299"/>
      <w:bookmarkStart w:id="1642" w:name="_Toc38438636"/>
      <w:bookmarkStart w:id="1643" w:name="_Toc38438973"/>
      <w:bookmarkStart w:id="1644" w:name="_Toc38439310"/>
      <w:bookmarkStart w:id="1645" w:name="_Toc38439647"/>
      <w:bookmarkStart w:id="1646" w:name="_Toc38439984"/>
      <w:bookmarkStart w:id="1647" w:name="_Toc38440321"/>
      <w:bookmarkStart w:id="1648" w:name="_Toc38440654"/>
      <w:bookmarkStart w:id="1649" w:name="_Toc38440853"/>
      <w:bookmarkStart w:id="1650" w:name="_Toc38441185"/>
      <w:bookmarkStart w:id="1651" w:name="_Toc38441517"/>
      <w:bookmarkStart w:id="1652" w:name="_Toc38441845"/>
      <w:bookmarkStart w:id="1653" w:name="_Toc38442177"/>
      <w:bookmarkStart w:id="1654" w:name="_Toc38442509"/>
      <w:bookmarkStart w:id="1655" w:name="_Toc38442840"/>
      <w:bookmarkStart w:id="1656" w:name="_Toc38443171"/>
      <w:bookmarkStart w:id="1657" w:name="_Toc38443502"/>
      <w:bookmarkStart w:id="1658" w:name="_Toc38443833"/>
      <w:bookmarkStart w:id="1659" w:name="_Toc38438301"/>
      <w:bookmarkStart w:id="1660" w:name="_Toc38438638"/>
      <w:bookmarkStart w:id="1661" w:name="_Toc38438975"/>
      <w:bookmarkStart w:id="1662" w:name="_Toc38439312"/>
      <w:bookmarkStart w:id="1663" w:name="_Toc38439649"/>
      <w:bookmarkStart w:id="1664" w:name="_Toc38439986"/>
      <w:bookmarkStart w:id="1665" w:name="_Toc38440323"/>
      <w:bookmarkStart w:id="1666" w:name="_Toc38440656"/>
      <w:bookmarkStart w:id="1667" w:name="_Toc38440855"/>
      <w:bookmarkStart w:id="1668" w:name="_Toc38441187"/>
      <w:bookmarkStart w:id="1669" w:name="_Toc38441519"/>
      <w:bookmarkStart w:id="1670" w:name="_Toc38441847"/>
      <w:bookmarkStart w:id="1671" w:name="_Toc38442179"/>
      <w:bookmarkStart w:id="1672" w:name="_Toc38442511"/>
      <w:bookmarkStart w:id="1673" w:name="_Toc38442842"/>
      <w:bookmarkStart w:id="1674" w:name="_Toc38443173"/>
      <w:bookmarkStart w:id="1675" w:name="_Toc38443504"/>
      <w:bookmarkStart w:id="1676" w:name="_Toc38443835"/>
      <w:bookmarkStart w:id="1677" w:name="_Toc38438302"/>
      <w:bookmarkStart w:id="1678" w:name="_Toc38438639"/>
      <w:bookmarkStart w:id="1679" w:name="_Toc38438976"/>
      <w:bookmarkStart w:id="1680" w:name="_Toc38439313"/>
      <w:bookmarkStart w:id="1681" w:name="_Toc38439650"/>
      <w:bookmarkStart w:id="1682" w:name="_Toc38439987"/>
      <w:bookmarkStart w:id="1683" w:name="_Toc38440324"/>
      <w:bookmarkStart w:id="1684" w:name="_Toc38440657"/>
      <w:bookmarkStart w:id="1685" w:name="_Toc38440856"/>
      <w:bookmarkStart w:id="1686" w:name="_Toc38441188"/>
      <w:bookmarkStart w:id="1687" w:name="_Toc38441520"/>
      <w:bookmarkStart w:id="1688" w:name="_Toc38441848"/>
      <w:bookmarkStart w:id="1689" w:name="_Toc38442180"/>
      <w:bookmarkStart w:id="1690" w:name="_Toc38442512"/>
      <w:bookmarkStart w:id="1691" w:name="_Toc38442843"/>
      <w:bookmarkStart w:id="1692" w:name="_Toc38443174"/>
      <w:bookmarkStart w:id="1693" w:name="_Toc38443505"/>
      <w:bookmarkStart w:id="1694" w:name="_Toc38443836"/>
      <w:bookmarkStart w:id="1695" w:name="_Toc38438303"/>
      <w:bookmarkStart w:id="1696" w:name="_Toc38438640"/>
      <w:bookmarkStart w:id="1697" w:name="_Toc38438977"/>
      <w:bookmarkStart w:id="1698" w:name="_Toc38439314"/>
      <w:bookmarkStart w:id="1699" w:name="_Toc38439651"/>
      <w:bookmarkStart w:id="1700" w:name="_Toc38439988"/>
      <w:bookmarkStart w:id="1701" w:name="_Toc38440325"/>
      <w:bookmarkStart w:id="1702" w:name="_Toc38440658"/>
      <w:bookmarkStart w:id="1703" w:name="_Toc38440857"/>
      <w:bookmarkStart w:id="1704" w:name="_Toc38441189"/>
      <w:bookmarkStart w:id="1705" w:name="_Toc38441521"/>
      <w:bookmarkStart w:id="1706" w:name="_Toc38441849"/>
      <w:bookmarkStart w:id="1707" w:name="_Toc38442181"/>
      <w:bookmarkStart w:id="1708" w:name="_Toc38442513"/>
      <w:bookmarkStart w:id="1709" w:name="_Toc38442844"/>
      <w:bookmarkStart w:id="1710" w:name="_Toc38443175"/>
      <w:bookmarkStart w:id="1711" w:name="_Toc38443506"/>
      <w:bookmarkStart w:id="1712" w:name="_Toc38443837"/>
      <w:bookmarkStart w:id="1713" w:name="_Toc38438304"/>
      <w:bookmarkStart w:id="1714" w:name="_Toc38438641"/>
      <w:bookmarkStart w:id="1715" w:name="_Toc38438978"/>
      <w:bookmarkStart w:id="1716" w:name="_Toc38439315"/>
      <w:bookmarkStart w:id="1717" w:name="_Toc38439652"/>
      <w:bookmarkStart w:id="1718" w:name="_Toc38439989"/>
      <w:bookmarkStart w:id="1719" w:name="_Toc38440326"/>
      <w:bookmarkStart w:id="1720" w:name="_Toc38440659"/>
      <w:bookmarkStart w:id="1721" w:name="_Toc38440858"/>
      <w:bookmarkStart w:id="1722" w:name="_Toc38441190"/>
      <w:bookmarkStart w:id="1723" w:name="_Toc38441522"/>
      <w:bookmarkStart w:id="1724" w:name="_Toc38441850"/>
      <w:bookmarkStart w:id="1725" w:name="_Toc38442182"/>
      <w:bookmarkStart w:id="1726" w:name="_Toc38442514"/>
      <w:bookmarkStart w:id="1727" w:name="_Toc38442845"/>
      <w:bookmarkStart w:id="1728" w:name="_Toc38443176"/>
      <w:bookmarkStart w:id="1729" w:name="_Toc38443507"/>
      <w:bookmarkStart w:id="1730" w:name="_Toc38443838"/>
      <w:bookmarkStart w:id="1731" w:name="_Toc38438305"/>
      <w:bookmarkStart w:id="1732" w:name="_Toc38438642"/>
      <w:bookmarkStart w:id="1733" w:name="_Toc38438979"/>
      <w:bookmarkStart w:id="1734" w:name="_Toc38439316"/>
      <w:bookmarkStart w:id="1735" w:name="_Toc38439653"/>
      <w:bookmarkStart w:id="1736" w:name="_Toc38439990"/>
      <w:bookmarkStart w:id="1737" w:name="_Toc38440327"/>
      <w:bookmarkStart w:id="1738" w:name="_Toc38440660"/>
      <w:bookmarkStart w:id="1739" w:name="_Toc38440859"/>
      <w:bookmarkStart w:id="1740" w:name="_Toc38441191"/>
      <w:bookmarkStart w:id="1741" w:name="_Toc38441523"/>
      <w:bookmarkStart w:id="1742" w:name="_Toc38441851"/>
      <w:bookmarkStart w:id="1743" w:name="_Toc38442183"/>
      <w:bookmarkStart w:id="1744" w:name="_Toc38442515"/>
      <w:bookmarkStart w:id="1745" w:name="_Toc38442846"/>
      <w:bookmarkStart w:id="1746" w:name="_Toc38443177"/>
      <w:bookmarkStart w:id="1747" w:name="_Toc38443508"/>
      <w:bookmarkStart w:id="1748" w:name="_Toc38443839"/>
      <w:bookmarkStart w:id="1749" w:name="_Toc38438306"/>
      <w:bookmarkStart w:id="1750" w:name="_Toc38438643"/>
      <w:bookmarkStart w:id="1751" w:name="_Toc38438980"/>
      <w:bookmarkStart w:id="1752" w:name="_Toc38439317"/>
      <w:bookmarkStart w:id="1753" w:name="_Toc38439654"/>
      <w:bookmarkStart w:id="1754" w:name="_Toc38439991"/>
      <w:bookmarkStart w:id="1755" w:name="_Toc38440328"/>
      <w:bookmarkStart w:id="1756" w:name="_Toc38440661"/>
      <w:bookmarkStart w:id="1757" w:name="_Toc38440860"/>
      <w:bookmarkStart w:id="1758" w:name="_Toc38441192"/>
      <w:bookmarkStart w:id="1759" w:name="_Toc38441524"/>
      <w:bookmarkStart w:id="1760" w:name="_Toc38441852"/>
      <w:bookmarkStart w:id="1761" w:name="_Toc38442184"/>
      <w:bookmarkStart w:id="1762" w:name="_Toc38442516"/>
      <w:bookmarkStart w:id="1763" w:name="_Toc38442847"/>
      <w:bookmarkStart w:id="1764" w:name="_Toc38443178"/>
      <w:bookmarkStart w:id="1765" w:name="_Toc38443509"/>
      <w:bookmarkStart w:id="1766" w:name="_Toc38443840"/>
      <w:bookmarkStart w:id="1767" w:name="_Toc38438310"/>
      <w:bookmarkStart w:id="1768" w:name="_Toc38438647"/>
      <w:bookmarkStart w:id="1769" w:name="_Toc38438984"/>
      <w:bookmarkStart w:id="1770" w:name="_Toc38439321"/>
      <w:bookmarkStart w:id="1771" w:name="_Toc38439658"/>
      <w:bookmarkStart w:id="1772" w:name="_Toc38439995"/>
      <w:bookmarkStart w:id="1773" w:name="_Toc38440332"/>
      <w:bookmarkStart w:id="1774" w:name="_Toc38440665"/>
      <w:bookmarkEnd w:id="1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p>
    <w:p w:rsidR="002B1026">
      <w:pPr>
        <w:pStyle w:val="Heading1"/>
        <w:spacing w:before="317" w:after="317" w:line="360" w:lineRule="auto"/>
        <w:ind w:firstLine="643"/>
        <w:rPr>
          <w:rFonts w:ascii="宋体" w:eastAsia="宋体" w:hAnsi="Calibri"/>
          <w:sz w:val="30"/>
          <w:szCs w:val="30"/>
          <w:lang w:eastAsia="zh-CN"/>
        </w:rPr>
      </w:pPr>
      <w:r>
        <w:rPr>
          <w:rFonts w:ascii="宋体" w:eastAsia="宋体" w:hAnsi="Calibri"/>
          <w:b/>
          <w:bCs/>
          <w:i/>
          <w:highlight w:val="white"/>
          <w:lang w:eastAsia="zh-CN"/>
        </w:rPr>
        <w:br w:type="column"/>
      </w:r>
      <w:bookmarkStart w:id="1775" w:name="_Toc332373471"/>
      <w:bookmarkStart w:id="1776" w:name="_Toc227311237"/>
      <w:r>
        <w:rPr>
          <w:rFonts w:ascii="宋体" w:eastAsia="宋体" w:hAnsi="Calibri"/>
          <w:sz w:val="30"/>
          <w:szCs w:val="30"/>
          <w:highlight w:val="white"/>
          <w:lang w:eastAsia="zh-CN"/>
        </w:rPr>
        <w:t>第</w:t>
      </w:r>
      <w:r>
        <w:rPr>
          <w:rFonts w:ascii="宋体" w:eastAsia="宋体" w:hAnsi="Calibri" w:hint="eastAsia"/>
          <w:sz w:val="30"/>
          <w:szCs w:val="30"/>
          <w:highlight w:val="white"/>
          <w:lang w:eastAsia="zh-CN"/>
        </w:rPr>
        <w:t>四部分 基金托管人</w:t>
      </w:r>
      <w:bookmarkEnd w:id="1775"/>
      <w:bookmarkEnd w:id="1776"/>
    </w:p>
    <w:p w:rsidR="002B1026">
      <w:pPr>
        <w:spacing w:line="360" w:lineRule="auto"/>
        <w:ind w:firstLine="420"/>
        <w:rPr>
          <w:rFonts w:ascii="宋体" w:hAnsi="Calibri"/>
          <w:szCs w:val="21"/>
          <w:lang w:eastAsia="zh-CN"/>
        </w:rPr>
      </w:pPr>
      <w:r>
        <w:rPr>
          <w:rFonts w:ascii="宋体" w:hAnsi="Calibri" w:hint="eastAsia"/>
          <w:szCs w:val="21"/>
          <w:lang w:eastAsia="zh-CN"/>
        </w:rPr>
        <w:t>一</w:t>
      </w:r>
      <w:r>
        <w:rPr>
          <w:rFonts w:ascii="宋体" w:hAnsi="Calibri"/>
          <w:szCs w:val="21"/>
          <w:lang w:eastAsia="zh-CN"/>
        </w:rPr>
        <w:t>、</w:t>
      </w:r>
      <w:r>
        <w:rPr>
          <w:rFonts w:ascii="宋体" w:hAnsi="Calibri" w:hint="eastAsia"/>
          <w:szCs w:val="21"/>
          <w:lang w:eastAsia="zh-CN"/>
        </w:rPr>
        <w:t>基金托管人基本情况</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名称：中信银行股份有限公司（简称“中信银行”）</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住所：北京市朝阳区光华路10号院1号楼6-30层、32-42层</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办公地址：北京市朝阳区光华路10号院1号楼6-30层、32-42层</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法定代表人：方合英</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成立时间：1987年4月20日</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组织形式：股份有限公司</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注册资本：489.35亿元人民币</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存续期间：持续经营</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批准设立文号：中华人民共和国国务院办公厅国办函[1987]14号</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基金托管业务批准文号：中国证监会证监基金字[2004]125号</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联系人：中信银行资产托管部</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联系电话：4006800000</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传真：010-85230024</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客服电话：95558</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网址：www.citicbank.com</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rsidR="00F0158B" w:rsidRPr="00F0158B" w:rsidP="00F0158B">
      <w:pPr>
        <w:spacing w:line="360" w:lineRule="auto"/>
        <w:ind w:firstLine="420"/>
        <w:rPr>
          <w:rFonts w:ascii="宋体" w:hAnsi="Calibri"/>
          <w:szCs w:val="21"/>
          <w:lang w:eastAsia="zh-CN"/>
        </w:rPr>
      </w:pPr>
    </w:p>
    <w:p w:rsidR="00F0158B" w:rsidRPr="00F0158B" w:rsidP="00F0158B">
      <w:pPr>
        <w:spacing w:line="360" w:lineRule="auto"/>
        <w:ind w:firstLine="420"/>
        <w:rPr>
          <w:rFonts w:ascii="宋体" w:hAnsi="Calibri"/>
          <w:szCs w:val="21"/>
          <w:lang w:eastAsia="zh-CN"/>
        </w:rPr>
      </w:pPr>
    </w:p>
    <w:p w:rsidR="00F0158B" w:rsidRPr="00F0158B" w:rsidP="00F0158B">
      <w:pPr>
        <w:spacing w:line="360" w:lineRule="auto"/>
        <w:ind w:firstLine="420"/>
        <w:rPr>
          <w:rFonts w:ascii="宋体" w:hAnsi="Calibri"/>
          <w:szCs w:val="21"/>
          <w:lang w:eastAsia="zh-CN"/>
        </w:rPr>
      </w:pP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 xml:space="preserve">中信银行成立于1987年，是中国改革开放中最早成立的新兴商业银行之一，是中国最早参与国内外金融市场融资的商业银行，并以屡创中国现代金融史上多个第一而蜚声海内外，为中国经济建设作出了积极贡献。2007年4月，中信银行实现在上海证券交易所和香港联合交易所A+H 股同步上市。 </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中信银行依托中信集团“金融+实业”综合禀赋优势，以全面建设“四有”银行、跨入世界一流银行竞争前列为发展愿景，坚持“诚实守信、以义取利、稳健审慎、守正创新、依法合规”，以客户为中心，通过实施“五个领先”银行战略，打造有特色、差异化的中信金融服务模式，向政府与机构客户、企业客户和同业客户提供公司银行业务、投资银行业务、国际业务、交易银行业务、托管业务、金融市场业务等综合金融解决方案；向个人客户提供财富管理业务、个人信贷业务、信用卡业务、私人银行业务、养老金融业务、出国金融业务等多元化金融产品及服务，全方位满足政府与机构、企业、同业及个人客户的综合金融服务需求。</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 xml:space="preserve"> </w:t>
      </w:r>
      <w:r w:rsidRPr="00F0158B" w:rsidR="00986530">
        <w:rPr>
          <w:rFonts w:ascii="宋体" w:hAnsi="Calibri" w:hint="eastAsia"/>
          <w:szCs w:val="21"/>
          <w:lang w:eastAsia="zh-CN"/>
        </w:rPr>
        <w:t>截至</w:t>
      </w:r>
      <w:r w:rsidR="00986530">
        <w:rPr>
          <w:rFonts w:ascii="宋体" w:hAnsi="Calibri" w:hint="eastAsia"/>
          <w:szCs w:val="21"/>
          <w:lang w:eastAsia="zh-CN"/>
        </w:rPr>
        <w:t>2</w:t>
      </w:r>
      <w:r w:rsidR="00986530">
        <w:rPr>
          <w:rFonts w:ascii="宋体" w:hAnsi="Calibri"/>
          <w:szCs w:val="21"/>
          <w:lang w:eastAsia="zh-CN"/>
        </w:rPr>
        <w:t>025年</w:t>
      </w:r>
      <w:r w:rsidRPr="00F0158B" w:rsidR="00986530">
        <w:rPr>
          <w:rFonts w:ascii="宋体" w:hAnsi="Calibri" w:hint="eastAsia"/>
          <w:szCs w:val="21"/>
          <w:lang w:eastAsia="zh-CN"/>
        </w:rPr>
        <w:t>末</w:t>
      </w:r>
      <w:r w:rsidRPr="00F0158B">
        <w:rPr>
          <w:rFonts w:ascii="宋体" w:hAnsi="Calibri" w:hint="eastAsia"/>
          <w:szCs w:val="21"/>
          <w:lang w:eastAsia="zh-CN"/>
        </w:rPr>
        <w:t>，中信银行在国内153个大中城市设有1,484家营业网点，在境内外下设中信国际金融控股有限公司、信银（香港）投资有限公司、中信金融租赁有限公司、信银理财有限责任公司、信银金融资产投资有限公司、中信百信银行股份有限公司、阿尔金银行股份有限公司和浙江临安中信村镇银行股份有限公司 8 家附属机构。</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其中，中信国际金融控股有限公司子公司中信银行（国际）有限公司在香港、澳门、纽约、 洛杉矶、新加坡和中国内地设有28家营业网点、2 家商务理财中心及1家私人银行中心。信银（香港）投资有限公司在香港和境内设有3家子公司。信银理财有限责任公司为中信银行全资理财子公司。中信百信银行股份有限公司为中信银行与百度联合发起设立的国内首家独立法人直销银行。阿尔金银行股份有限公司在哈萨克斯坦设有7家营业网点和1家私人银行中心。</w:t>
      </w:r>
    </w:p>
    <w:p w:rsidR="00F0158B">
      <w:pPr>
        <w:spacing w:line="360" w:lineRule="auto"/>
        <w:ind w:firstLine="420"/>
        <w:rPr>
          <w:rFonts w:ascii="宋体" w:hAnsi="Calibri"/>
          <w:szCs w:val="21"/>
          <w:lang w:eastAsia="zh-CN"/>
        </w:rPr>
      </w:pPr>
      <w:r w:rsidRPr="00F0158B">
        <w:rPr>
          <w:rFonts w:ascii="宋体" w:hAnsi="Calibri" w:hint="eastAsia"/>
          <w:szCs w:val="21"/>
          <w:lang w:eastAsia="zh-CN"/>
        </w:rPr>
        <w:t>中信银行深刻把握金融工作的政治性、人民性，始终在党和国家战略大局中找准金融定位、履行金融职责，坚持做国家战略的忠实践行者、实体经济的有力服务者和金融强国的积极建设者。成立38年来，中信银行已成为一家总资产规模突破10万亿元、员工人数超6.7万名，具有强大综合实力和品牌竞争力的金融集团。2025年，中信银行在英国Brand Finance 发布的“全球银行品牌价值500 强”榜单中排名第19位，以27.2%的增幅居中国内地银行第一；一级资本在英国《银行家》杂志“世界1000 家银行排名”中位列第18位。荣膺英国《银行家》杂志“2025年中国年度银行”大奖。</w:t>
      </w:r>
    </w:p>
    <w:p w:rsidR="002B1026">
      <w:pPr>
        <w:spacing w:line="360" w:lineRule="auto"/>
        <w:ind w:firstLine="420"/>
        <w:rPr>
          <w:rFonts w:ascii="宋体" w:hAnsi="Calibri"/>
          <w:szCs w:val="21"/>
          <w:lang w:eastAsia="zh-CN"/>
        </w:rPr>
      </w:pPr>
      <w:r>
        <w:rPr>
          <w:rFonts w:ascii="宋体" w:hAnsi="Calibri" w:hint="eastAsia"/>
          <w:szCs w:val="21"/>
          <w:lang w:eastAsia="zh-CN"/>
        </w:rPr>
        <w:t>二</w:t>
      </w:r>
      <w:r>
        <w:rPr>
          <w:rFonts w:ascii="宋体" w:hAnsi="Calibri"/>
          <w:szCs w:val="21"/>
          <w:lang w:eastAsia="zh-CN"/>
        </w:rPr>
        <w:t>、</w:t>
      </w:r>
      <w:r>
        <w:rPr>
          <w:rFonts w:ascii="宋体" w:hAnsi="Calibri" w:hint="eastAsia"/>
          <w:szCs w:val="21"/>
          <w:lang w:eastAsia="zh-CN"/>
        </w:rPr>
        <w:t>主要人员情况</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方合英先生，中信银行党委书记、董事长、执行董事，代为履行行长职责。方先生于2020年12月起任中国中信集团有限公司副总经理、中国中信股份有限公司副总经理及执行委员会成员、中国中信有限公司副总经理，2020年11月起任中国中信集团有限公司党委委员。方先生曾任中信银行苏州分行行长、杭州分行行长、中信银行金融市场业务总监、副行长、财务总监。此前，先后在浙江银行学校任教，浙江银行学校实验城市信用社信贷部任总经理助理等。方先生具有三十余年银行从业经验，毕业于湖南财经学院（现湖南大学），获北京大学高级管理人员工商管理硕士学位，正高级经济师。</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胡罡先生，中信银行党委委员、执行董事、副行长，分管托管业务。胡先生现同时担任中信银行（国际）有限公司董事。胡先生曾任中信银行长沙分行筹备组副组长、长沙分行党委委员、副行长，重庆分行党委委员、副行长、党委书记、行长，上海分行党委书记、行长及中信银行首席风险官、批发业务总监、风险总监。此前，胡先生曾先后就职于湖南省检察院政治部，于湖南省委办公厅人事处任副主任科员，于湖南众立实业集团公司下属北海湘房地产开发公司任总经理助理、总经理，下属鸿都企业公司任副董事长，于湖南长沙湘财城市信用社任董事长。胡先生拥有近三十年中国银行业从业经验，毕业于湖南大学，获经济学博士学位，高级经济师。</w:t>
      </w:r>
    </w:p>
    <w:p w:rsidR="002B1026">
      <w:pPr>
        <w:spacing w:line="360" w:lineRule="auto"/>
        <w:ind w:firstLine="420"/>
        <w:rPr>
          <w:rFonts w:ascii="宋体" w:hAnsi="Calibri"/>
          <w:szCs w:val="21"/>
          <w:lang w:eastAsia="zh-CN"/>
        </w:rPr>
      </w:pPr>
      <w:r w:rsidRPr="00F0158B">
        <w:rPr>
          <w:rFonts w:ascii="宋体" w:hAnsi="Calibri" w:hint="eastAsia"/>
          <w:szCs w:val="21"/>
          <w:lang w:eastAsia="zh-CN"/>
        </w:rPr>
        <w:t>杨璋琪先生，中信银行资产托管部总经理，硕士研究生学历。杨先生2018年1月至2019年3月，任中信银行金融同业部副总经理；2015年5月至2018年1月，任中信银行长春分行副行长；2013年4月至2015年5月，任中信银行机构业务部总经理助理；1996年7月至2013年4月，就职于中信银行北京分行（原总行营业部），历任支行行长、投资银行部总经理、贸易金融部总经理。</w:t>
      </w:r>
    </w:p>
    <w:p w:rsidR="002B1026">
      <w:pPr>
        <w:spacing w:line="360" w:lineRule="auto"/>
        <w:ind w:firstLine="420"/>
        <w:rPr>
          <w:rFonts w:ascii="宋体" w:hAnsi="Calibri"/>
          <w:szCs w:val="21"/>
          <w:lang w:eastAsia="zh-CN"/>
        </w:rPr>
      </w:pPr>
      <w:r>
        <w:rPr>
          <w:rFonts w:ascii="宋体" w:hAnsi="Calibri" w:hint="eastAsia"/>
          <w:szCs w:val="21"/>
          <w:lang w:eastAsia="zh-CN"/>
        </w:rPr>
        <w:t>三</w:t>
      </w:r>
      <w:r>
        <w:rPr>
          <w:rFonts w:ascii="宋体" w:hAnsi="Calibri"/>
          <w:szCs w:val="21"/>
          <w:lang w:eastAsia="zh-CN"/>
        </w:rPr>
        <w:t>、</w:t>
      </w:r>
      <w:r>
        <w:rPr>
          <w:rFonts w:ascii="宋体" w:hAnsi="Calibri" w:hint="eastAsia"/>
          <w:szCs w:val="21"/>
          <w:lang w:eastAsia="zh-CN"/>
        </w:rPr>
        <w:t>基金托管业务经营情况</w:t>
      </w:r>
    </w:p>
    <w:p w:rsidR="00F0158B" w:rsidRPr="00F0158B" w:rsidP="00F0158B">
      <w:pPr>
        <w:spacing w:line="360" w:lineRule="auto"/>
        <w:ind w:firstLine="420"/>
        <w:rPr>
          <w:rFonts w:ascii="宋体" w:hAnsi="Calibri"/>
          <w:szCs w:val="21"/>
          <w:lang w:eastAsia="zh-CN"/>
        </w:rPr>
      </w:pPr>
      <w:r w:rsidRPr="00F0158B">
        <w:rPr>
          <w:rFonts w:ascii="宋体" w:hAnsi="Calibri" w:hint="eastAsia"/>
          <w:szCs w:val="21"/>
          <w:lang w:eastAsia="zh-CN"/>
        </w:rPr>
        <w:t>2004年8月18日，中信银行经中国证券监督管理委员会和中国银行业监督管理委员会批准，取得基金托管人资格。中信银行本着“诚实信用、勤勉尽责”的原则，切实履行托管人职责。</w:t>
      </w:r>
    </w:p>
    <w:p w:rsidR="002B1026">
      <w:pPr>
        <w:spacing w:line="360" w:lineRule="auto"/>
        <w:ind w:firstLine="420"/>
        <w:rPr>
          <w:rFonts w:ascii="宋体" w:hAnsi="Calibri"/>
          <w:szCs w:val="21"/>
          <w:lang w:eastAsia="zh-CN"/>
        </w:rPr>
      </w:pPr>
      <w:r w:rsidRPr="00F0158B">
        <w:rPr>
          <w:rFonts w:ascii="宋体" w:hAnsi="Calibri" w:hint="eastAsia"/>
          <w:szCs w:val="21"/>
          <w:lang w:eastAsia="zh-CN"/>
        </w:rPr>
        <w:t>截至2026年一季度末，中信银行托管435只公开募集证券投资基金，以及基金公司、证券公司资产管理产品、信托产品、企业年金、股权基金、QDII等其他托管资产，托管总规模达到19.28万亿元人民币。</w:t>
      </w:r>
    </w:p>
    <w:p w:rsidR="002B1026">
      <w:pPr>
        <w:spacing w:line="360" w:lineRule="auto"/>
        <w:ind w:firstLine="420"/>
        <w:rPr>
          <w:rFonts w:ascii="宋体" w:hAnsi="Calibri"/>
          <w:szCs w:val="21"/>
          <w:lang w:eastAsia="zh-CN"/>
        </w:rPr>
      </w:pPr>
      <w:r>
        <w:rPr>
          <w:rFonts w:ascii="宋体" w:hAnsi="Calibri" w:hint="eastAsia"/>
          <w:szCs w:val="21"/>
          <w:lang w:eastAsia="zh-CN"/>
        </w:rPr>
        <w:t>四</w:t>
      </w:r>
      <w:r>
        <w:rPr>
          <w:rFonts w:ascii="宋体" w:hAnsi="Calibri"/>
          <w:szCs w:val="21"/>
          <w:lang w:eastAsia="zh-CN"/>
        </w:rPr>
        <w:t>、</w:t>
      </w:r>
      <w:r>
        <w:rPr>
          <w:rFonts w:ascii="宋体" w:hAnsi="Calibri" w:hint="eastAsia"/>
          <w:szCs w:val="21"/>
          <w:lang w:eastAsia="zh-CN"/>
        </w:rPr>
        <w:t>基金托管人的内部控制制度</w:t>
      </w:r>
    </w:p>
    <w:p w:rsidR="002B1026">
      <w:pPr>
        <w:spacing w:line="360" w:lineRule="auto"/>
        <w:ind w:firstLine="420"/>
        <w:rPr>
          <w:rFonts w:ascii="宋体" w:hAnsi="Calibri"/>
          <w:szCs w:val="21"/>
          <w:lang w:eastAsia="zh-CN"/>
        </w:rPr>
      </w:pPr>
      <w:r>
        <w:rPr>
          <w:rFonts w:ascii="宋体" w:hAnsi="Calibri" w:hint="eastAsia"/>
          <w:szCs w:val="21"/>
          <w:lang w:eastAsia="zh-CN"/>
        </w:rPr>
        <w:t>1、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rsidR="002B1026">
      <w:pPr>
        <w:spacing w:line="360" w:lineRule="auto"/>
        <w:ind w:firstLine="420"/>
        <w:rPr>
          <w:rFonts w:ascii="宋体" w:hAnsi="Calibri"/>
          <w:szCs w:val="21"/>
          <w:lang w:eastAsia="zh-CN"/>
        </w:rPr>
      </w:pPr>
      <w:r>
        <w:rPr>
          <w:rFonts w:ascii="宋体" w:hAnsi="Calibri" w:hint="eastAsia"/>
          <w:szCs w:val="21"/>
          <w:lang w:eastAsia="zh-CN"/>
        </w:rPr>
        <w:t>2、 内部控制组织结构。中信银行总行建立了风险管理委员会，负责全行的风险控制和风险防范工作；托管部内设内控合规岗，专门负责托管部内部风险控制，对基金托管业务的各个工作环节和业务流程进行独立、客观、公正的稽核监察。</w:t>
      </w:r>
    </w:p>
    <w:p w:rsidR="002B1026">
      <w:pPr>
        <w:spacing w:line="360" w:lineRule="auto"/>
        <w:ind w:firstLine="420"/>
        <w:rPr>
          <w:rFonts w:ascii="宋体" w:hAnsi="Calibri"/>
          <w:szCs w:val="21"/>
          <w:lang w:eastAsia="zh-CN"/>
        </w:rPr>
      </w:pPr>
      <w:r>
        <w:rPr>
          <w:rFonts w:ascii="宋体" w:hAnsi="Calibri" w:hint="eastAsia"/>
          <w:szCs w:val="21"/>
          <w:lang w:eastAsia="zh-CN"/>
        </w:rPr>
        <w:t>3、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规、持续、稳健发展。</w:t>
      </w:r>
    </w:p>
    <w:p w:rsidR="002B1026">
      <w:pPr>
        <w:spacing w:line="360" w:lineRule="auto"/>
        <w:ind w:firstLine="420"/>
        <w:rPr>
          <w:rFonts w:ascii="宋体" w:hAnsi="Calibri"/>
          <w:szCs w:val="21"/>
          <w:lang w:eastAsia="zh-CN"/>
        </w:rPr>
      </w:pPr>
      <w:r>
        <w:rPr>
          <w:rFonts w:ascii="宋体" w:hAnsi="Calibri" w:hint="eastAsia"/>
          <w:szCs w:val="21"/>
          <w:lang w:eastAsia="zh-CN"/>
        </w:rPr>
        <w:t>4、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rsidR="002B1026">
      <w:pPr>
        <w:spacing w:line="360" w:lineRule="auto"/>
        <w:ind w:firstLine="420"/>
        <w:rPr>
          <w:rFonts w:ascii="宋体" w:hAnsi="Calibri"/>
          <w:szCs w:val="21"/>
          <w:lang w:eastAsia="zh-CN"/>
        </w:rPr>
      </w:pPr>
      <w:r>
        <w:rPr>
          <w:rFonts w:ascii="宋体" w:hAnsi="Calibri" w:hint="eastAsia"/>
          <w:szCs w:val="21"/>
          <w:lang w:eastAsia="zh-CN"/>
        </w:rPr>
        <w:t>五</w:t>
      </w:r>
      <w:r>
        <w:rPr>
          <w:rFonts w:ascii="宋体" w:hAnsi="Calibri"/>
          <w:szCs w:val="21"/>
          <w:lang w:eastAsia="zh-CN"/>
        </w:rPr>
        <w:t>、</w:t>
      </w:r>
      <w:r>
        <w:rPr>
          <w:rFonts w:ascii="宋体" w:hAnsi="Calibri" w:hint="eastAsia"/>
          <w:szCs w:val="21"/>
          <w:lang w:eastAsia="zh-CN"/>
        </w:rPr>
        <w:t>基金托管人对基金管理人运作基金进行监督的方法和程序</w:t>
      </w:r>
    </w:p>
    <w:p w:rsidR="002B1026">
      <w:pPr>
        <w:spacing w:line="360" w:lineRule="auto"/>
        <w:ind w:firstLine="420"/>
        <w:rPr>
          <w:rFonts w:ascii="宋体" w:hAnsi="Calibri"/>
          <w:szCs w:val="21"/>
          <w:lang w:eastAsia="zh-CN"/>
        </w:rPr>
      </w:pPr>
      <w:r>
        <w:rPr>
          <w:rFonts w:ascii="宋体" w:hAnsi="Calibri" w:hint="eastAsia"/>
          <w:szCs w:val="21"/>
          <w:lang w:eastAsia="zh-CN"/>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rsidR="002B1026">
      <w:pPr>
        <w:spacing w:line="360" w:lineRule="auto"/>
        <w:ind w:firstLine="420"/>
        <w:rPr>
          <w:rFonts w:ascii="宋体" w:hAnsi="Calibri"/>
          <w:szCs w:val="21"/>
          <w:lang w:eastAsia="zh-CN"/>
        </w:rPr>
      </w:pPr>
      <w:r>
        <w:rPr>
          <w:rFonts w:ascii="宋体" w:hAnsi="Calibri" w:hint="eastAsia"/>
          <w:szCs w:val="21"/>
          <w:lang w:eastAsia="zh-CN"/>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rsidR="002B1026">
      <w:pPr>
        <w:pStyle w:val="111"/>
        <w:spacing w:before="317" w:after="317" w:line="360" w:lineRule="auto"/>
        <w:ind w:firstLine="640"/>
        <w:rPr>
          <w:rFonts w:ascii="宋体" w:eastAsia="宋体" w:hAnsi="Calibri"/>
          <w:sz w:val="30"/>
          <w:szCs w:val="30"/>
          <w:lang w:eastAsia="zh-CN"/>
        </w:rPr>
      </w:pPr>
      <w:bookmarkStart w:id="1777" w:name="_Toc332373481"/>
      <w:bookmarkStart w:id="1778" w:name="_Toc227311238"/>
      <w:r>
        <w:rPr>
          <w:rFonts w:ascii="宋体" w:eastAsia="宋体" w:hAnsi="Calibri" w:hint="eastAsia"/>
          <w:sz w:val="30"/>
          <w:szCs w:val="30"/>
          <w:highlight w:val="white"/>
          <w:lang w:eastAsia="zh-CN"/>
        </w:rPr>
        <w:t>第五部分 相关服务机构</w:t>
      </w:r>
      <w:bookmarkEnd w:id="1777"/>
      <w:bookmarkEnd w:id="1778"/>
    </w:p>
    <w:p w:rsidR="002B1026">
      <w:pPr>
        <w:spacing w:line="360" w:lineRule="auto"/>
        <w:ind w:firstLine="420"/>
        <w:rPr>
          <w:rStyle w:val="da"/>
          <w:rFonts w:ascii="宋体" w:hAnsi="Calibri"/>
          <w:lang w:eastAsia="zh-CN"/>
        </w:rPr>
      </w:pPr>
      <w:bookmarkStart w:id="1779" w:name="_Toc332373482"/>
      <w:r>
        <w:rPr>
          <w:rStyle w:val="da"/>
          <w:rFonts w:ascii="宋体" w:hAnsi="Calibri" w:hint="eastAsia"/>
          <w:highlight w:val="white"/>
          <w:lang w:eastAsia="zh-CN"/>
        </w:rPr>
        <w:t>一、基金份额发售机构</w:t>
      </w:r>
      <w:bookmarkEnd w:id="1779"/>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1、直销机构：易方达基金管理有限公司</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注册地址：</w:t>
      </w:r>
      <w:r>
        <w:rPr>
          <w:rFonts w:ascii="宋体" w:hAnsi="Calibri" w:cs="宋体"/>
          <w:color w:val="000000"/>
          <w:sz w:val="22"/>
          <w:highlight w:val="white"/>
          <w:lang w:eastAsia="zh-CN"/>
        </w:rPr>
        <w:t>广东省珠海市横琴新区荣粤道188号6层</w:t>
      </w:r>
    </w:p>
    <w:p w:rsidR="002B1026">
      <w:pPr>
        <w:spacing w:line="360" w:lineRule="auto"/>
        <w:ind w:firstLine="420"/>
        <w:rPr>
          <w:rStyle w:val="da"/>
          <w:rFonts w:ascii="宋体" w:hAnsi="宋体"/>
          <w:szCs w:val="21"/>
          <w:lang w:eastAsia="zh-CN"/>
        </w:rPr>
      </w:pPr>
      <w:r>
        <w:rPr>
          <w:rStyle w:val="da"/>
          <w:rFonts w:ascii="宋体" w:hAnsi="宋体" w:cs="宋体" w:hint="eastAsia"/>
          <w:szCs w:val="21"/>
          <w:highlight w:val="white"/>
          <w:lang w:eastAsia="zh-CN"/>
        </w:rPr>
        <w:t>办公地址：</w:t>
      </w:r>
      <w:r>
        <w:rPr>
          <w:rFonts w:ascii="宋体" w:hAnsi="宋体" w:cs="宋体" w:hint="eastAsia"/>
          <w:bCs/>
          <w:szCs w:val="21"/>
          <w:lang w:eastAsia="zh-CN"/>
        </w:rPr>
        <w:t>广东省广州市天河区珠江西路</w:t>
      </w:r>
      <w:r>
        <w:rPr>
          <w:rFonts w:ascii="宋体" w:hAnsi="宋体" w:cs="宋体"/>
          <w:bCs/>
          <w:szCs w:val="21"/>
          <w:lang w:eastAsia="zh-CN"/>
        </w:rPr>
        <w:t>21</w:t>
      </w:r>
      <w:r>
        <w:rPr>
          <w:rFonts w:ascii="宋体" w:hAnsi="宋体" w:cs="宋体" w:hint="eastAsia"/>
          <w:bCs/>
          <w:szCs w:val="21"/>
          <w:lang w:eastAsia="zh-CN"/>
        </w:rPr>
        <w:t>号</w:t>
      </w:r>
      <w:r>
        <w:rPr>
          <w:rFonts w:ascii="宋体" w:hAnsi="宋体" w:cs="宋体"/>
          <w:bCs/>
          <w:szCs w:val="21"/>
          <w:lang w:eastAsia="zh-CN"/>
        </w:rPr>
        <w:t>52</w:t>
      </w:r>
      <w:r>
        <w:rPr>
          <w:rFonts w:ascii="宋体" w:hAnsi="宋体" w:cs="宋体" w:hint="eastAsia"/>
          <w:bCs/>
          <w:szCs w:val="21"/>
          <w:lang w:eastAsia="zh-CN"/>
        </w:rPr>
        <w:t>层；广东省广州市天河区珠江东路</w:t>
      </w:r>
      <w:r>
        <w:rPr>
          <w:rFonts w:ascii="宋体" w:hAnsi="宋体" w:cs="宋体"/>
          <w:bCs/>
          <w:szCs w:val="21"/>
          <w:lang w:eastAsia="zh-CN"/>
        </w:rPr>
        <w:t>30</w:t>
      </w:r>
      <w:r>
        <w:rPr>
          <w:rFonts w:ascii="宋体" w:hAnsi="宋体" w:cs="宋体" w:hint="eastAsia"/>
          <w:bCs/>
          <w:szCs w:val="21"/>
          <w:lang w:eastAsia="zh-CN"/>
        </w:rPr>
        <w:t>号</w:t>
      </w:r>
      <w:r>
        <w:rPr>
          <w:rFonts w:ascii="宋体" w:hAnsi="宋体" w:cs="宋体"/>
          <w:bCs/>
          <w:szCs w:val="21"/>
          <w:lang w:eastAsia="zh-CN"/>
        </w:rPr>
        <w:t>42</w:t>
      </w:r>
      <w:r>
        <w:rPr>
          <w:rFonts w:ascii="宋体" w:hAnsi="宋体" w:cs="宋体" w:hint="eastAsia"/>
          <w:bCs/>
          <w:szCs w:val="21"/>
          <w:lang w:eastAsia="zh-CN"/>
        </w:rPr>
        <w:t>层；广东省珠海市横琴新区荣粤道</w:t>
      </w:r>
      <w:r>
        <w:rPr>
          <w:rFonts w:ascii="宋体" w:hAnsi="宋体" w:cs="宋体"/>
          <w:bCs/>
          <w:szCs w:val="21"/>
          <w:lang w:eastAsia="zh-CN"/>
        </w:rPr>
        <w:t>188</w:t>
      </w:r>
      <w:r>
        <w:rPr>
          <w:rFonts w:ascii="宋体" w:hAnsi="宋体" w:cs="宋体" w:hint="eastAsia"/>
          <w:bCs/>
          <w:szCs w:val="21"/>
          <w:lang w:eastAsia="zh-CN"/>
        </w:rPr>
        <w:t>号</w:t>
      </w:r>
      <w:r>
        <w:rPr>
          <w:rFonts w:ascii="宋体" w:hAnsi="宋体" w:cs="宋体"/>
          <w:bCs/>
          <w:szCs w:val="21"/>
          <w:lang w:eastAsia="zh-CN"/>
        </w:rPr>
        <w:t>6</w:t>
      </w:r>
      <w:r>
        <w:rPr>
          <w:rFonts w:ascii="宋体" w:hAnsi="宋体" w:cs="宋体" w:hint="eastAsia"/>
          <w:bCs/>
          <w:szCs w:val="21"/>
          <w:lang w:eastAsia="zh-CN"/>
        </w:rPr>
        <w:t>层</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 xml:space="preserve">法定代表人：吴欣荣 </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电话：020-85102506</w:t>
      </w:r>
    </w:p>
    <w:p w:rsidR="002B1026">
      <w:pPr>
        <w:spacing w:line="360" w:lineRule="auto"/>
        <w:ind w:firstLine="420"/>
        <w:rPr>
          <w:rStyle w:val="da"/>
          <w:rFonts w:ascii="宋体" w:hAnsi="Calibri"/>
        </w:rPr>
      </w:pPr>
      <w:r>
        <w:rPr>
          <w:rStyle w:val="da"/>
          <w:rFonts w:ascii="宋体" w:hAnsi="Calibri" w:hint="eastAsia"/>
          <w:highlight w:val="white"/>
        </w:rPr>
        <w:t>传真：4008818099</w:t>
      </w:r>
    </w:p>
    <w:p w:rsidR="002B1026">
      <w:pPr>
        <w:spacing w:line="360" w:lineRule="auto"/>
        <w:ind w:firstLine="420"/>
        <w:rPr>
          <w:rStyle w:val="da"/>
          <w:rFonts w:ascii="宋体" w:hAnsi="Calibri"/>
        </w:rPr>
      </w:pPr>
      <w:r>
        <w:rPr>
          <w:rStyle w:val="da"/>
          <w:rFonts w:ascii="宋体" w:hAnsi="Calibri" w:hint="eastAsia"/>
          <w:highlight w:val="white"/>
        </w:rPr>
        <w:t>联系人：梁美</w:t>
      </w:r>
    </w:p>
    <w:p w:rsidR="002B1026">
      <w:pPr>
        <w:spacing w:line="360" w:lineRule="auto"/>
        <w:ind w:firstLine="420"/>
        <w:rPr>
          <w:rStyle w:val="da"/>
          <w:rFonts w:ascii="宋体" w:hAnsi="Calibri"/>
        </w:rPr>
      </w:pPr>
      <w:r>
        <w:rPr>
          <w:rStyle w:val="da"/>
          <w:rFonts w:ascii="宋体" w:hAnsi="Calibri" w:hint="eastAsia"/>
          <w:highlight w:val="white"/>
        </w:rPr>
        <w:t>网址：</w:t>
      </w:r>
      <w:hyperlink r:id="rId6" w:history="1">
        <w:r>
          <w:rPr>
            <w:rStyle w:val="da"/>
            <w:rFonts w:ascii="宋体" w:hAnsi="Calibri" w:hint="eastAsia"/>
            <w:highlight w:val="white"/>
          </w:rPr>
          <w:t>www.efunds.com.cn</w:t>
        </w:r>
      </w:hyperlink>
    </w:p>
    <w:p w:rsidR="002B1026">
      <w:pPr>
        <w:spacing w:line="360" w:lineRule="auto"/>
        <w:ind w:firstLine="420"/>
        <w:rPr>
          <w:rFonts w:ascii="宋体" w:hAnsi="Calibri"/>
          <w:lang w:eastAsia="zh-CN"/>
        </w:rPr>
      </w:pPr>
      <w:r>
        <w:rPr>
          <w:rFonts w:ascii="宋体" w:hAnsi="Calibri" w:cs="宋体"/>
          <w:color w:val="000000"/>
          <w:sz w:val="22"/>
          <w:highlight w:val="white"/>
          <w:lang w:eastAsia="zh-CN"/>
        </w:rPr>
        <w:t>直销机构网点信息：</w:t>
      </w:r>
    </w:p>
    <w:p w:rsidR="002B1026">
      <w:pPr>
        <w:spacing w:line="360" w:lineRule="auto"/>
        <w:ind w:firstLine="420"/>
        <w:rPr>
          <w:rFonts w:ascii="宋体" w:hAnsi="Calibri"/>
          <w:lang w:eastAsia="zh-CN"/>
        </w:rPr>
      </w:pPr>
      <w:r>
        <w:rPr>
          <w:rFonts w:ascii="宋体" w:hAnsi="Calibri" w:cs="宋体"/>
          <w:color w:val="000000"/>
          <w:sz w:val="22"/>
          <w:highlight w:val="white"/>
          <w:lang w:eastAsia="zh-CN"/>
        </w:rPr>
        <w:t>本公司直销中心和网上直销系统销售本基金</w:t>
      </w:r>
      <w:r>
        <w:rPr>
          <w:rFonts w:ascii="宋体" w:hAnsi="Calibri" w:cs="宋体" w:hint="eastAsia"/>
          <w:color w:val="000000"/>
          <w:sz w:val="22"/>
          <w:lang w:eastAsia="zh-CN"/>
        </w:rPr>
        <w:t>A类基金份额，若后续销售本基金C类基金份额，将另行公告</w:t>
      </w:r>
      <w:r>
        <w:rPr>
          <w:rFonts w:ascii="宋体" w:hAnsi="Calibri" w:cs="宋体"/>
          <w:color w:val="000000"/>
          <w:sz w:val="22"/>
          <w:highlight w:val="white"/>
          <w:lang w:eastAsia="zh-CN"/>
        </w:rPr>
        <w:t>，网点具体信息详见本公司网站。</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2、非直销销售机构</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详见基金份额发售公告。</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基金管理人可根据情况变更或增减销售机构并在基金管理人网站公示。</w:t>
      </w:r>
    </w:p>
    <w:p w:rsidR="002B1026">
      <w:pPr>
        <w:spacing w:line="360" w:lineRule="auto"/>
        <w:ind w:firstLine="420"/>
        <w:rPr>
          <w:rStyle w:val="da"/>
          <w:rFonts w:ascii="宋体" w:hAnsi="Calibri"/>
          <w:lang w:eastAsia="zh-CN"/>
        </w:rPr>
      </w:pPr>
      <w:bookmarkStart w:id="1780" w:name="_Toc332373483"/>
      <w:r>
        <w:rPr>
          <w:rStyle w:val="da"/>
          <w:rFonts w:ascii="宋体" w:hAnsi="Calibri" w:hint="eastAsia"/>
          <w:highlight w:val="white"/>
          <w:lang w:eastAsia="zh-CN"/>
        </w:rPr>
        <w:t>二、</w:t>
      </w:r>
      <w:bookmarkEnd w:id="1780"/>
      <w:r>
        <w:rPr>
          <w:rStyle w:val="da"/>
          <w:rFonts w:ascii="宋体" w:hAnsi="Calibri" w:hint="eastAsia"/>
          <w:highlight w:val="white"/>
          <w:lang w:eastAsia="zh-CN"/>
        </w:rPr>
        <w:t>登记机构</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名称：易方达基金管理有限公司</w:t>
      </w:r>
    </w:p>
    <w:p w:rsidR="002B1026">
      <w:pPr>
        <w:spacing w:line="360" w:lineRule="auto"/>
        <w:ind w:firstLine="420"/>
        <w:rPr>
          <w:rStyle w:val="da"/>
          <w:rFonts w:ascii="宋体" w:hAnsi="Calibri"/>
          <w:lang w:eastAsia="zh-CN"/>
        </w:rPr>
      </w:pPr>
      <w:r>
        <w:rPr>
          <w:rStyle w:val="da"/>
          <w:rFonts w:ascii="宋体" w:hAnsi="Calibri"/>
          <w:highlight w:val="white"/>
          <w:lang w:eastAsia="zh-CN"/>
        </w:rPr>
        <w:t>注册地址：</w:t>
      </w:r>
      <w:r>
        <w:rPr>
          <w:rFonts w:ascii="宋体" w:hAnsi="Calibri" w:cs="宋体"/>
          <w:color w:val="000000"/>
          <w:sz w:val="22"/>
          <w:highlight w:val="white"/>
          <w:lang w:eastAsia="zh-CN"/>
        </w:rPr>
        <w:t>广东省珠海市横琴新区荣粤道188号6层</w:t>
      </w:r>
    </w:p>
    <w:p w:rsidR="002B1026">
      <w:pPr>
        <w:spacing w:line="360" w:lineRule="auto"/>
        <w:ind w:firstLine="420"/>
        <w:rPr>
          <w:rStyle w:val="da"/>
          <w:rFonts w:ascii="宋体" w:hAnsi="宋体"/>
          <w:szCs w:val="21"/>
          <w:lang w:eastAsia="zh-CN"/>
        </w:rPr>
      </w:pPr>
      <w:r>
        <w:rPr>
          <w:rStyle w:val="da"/>
          <w:rFonts w:ascii="宋体" w:hAnsi="宋体" w:cs="宋体"/>
          <w:szCs w:val="21"/>
          <w:highlight w:val="white"/>
          <w:lang w:eastAsia="zh-CN"/>
        </w:rPr>
        <w:t>办公</w:t>
      </w:r>
      <w:r>
        <w:rPr>
          <w:rStyle w:val="da"/>
          <w:rFonts w:ascii="宋体" w:hAnsi="宋体" w:cs="宋体" w:hint="eastAsia"/>
          <w:szCs w:val="21"/>
          <w:highlight w:val="white"/>
          <w:lang w:eastAsia="zh-CN"/>
        </w:rPr>
        <w:t>地址：</w:t>
      </w:r>
      <w:r>
        <w:rPr>
          <w:rFonts w:ascii="宋体" w:hAnsi="宋体" w:cs="宋体" w:hint="eastAsia"/>
          <w:bCs/>
          <w:szCs w:val="21"/>
          <w:lang w:eastAsia="zh-CN"/>
        </w:rPr>
        <w:t>广东省广州市天河区珠江西路</w:t>
      </w:r>
      <w:r>
        <w:rPr>
          <w:rFonts w:ascii="宋体" w:hAnsi="宋体" w:cs="宋体"/>
          <w:bCs/>
          <w:szCs w:val="21"/>
          <w:lang w:eastAsia="zh-CN"/>
        </w:rPr>
        <w:t>21</w:t>
      </w:r>
      <w:r>
        <w:rPr>
          <w:rFonts w:ascii="宋体" w:hAnsi="宋体" w:cs="宋体" w:hint="eastAsia"/>
          <w:bCs/>
          <w:szCs w:val="21"/>
          <w:lang w:eastAsia="zh-CN"/>
        </w:rPr>
        <w:t>号</w:t>
      </w:r>
      <w:r>
        <w:rPr>
          <w:rFonts w:ascii="宋体" w:hAnsi="宋体" w:cs="宋体"/>
          <w:bCs/>
          <w:szCs w:val="21"/>
          <w:lang w:eastAsia="zh-CN"/>
        </w:rPr>
        <w:t>52</w:t>
      </w:r>
      <w:r>
        <w:rPr>
          <w:rFonts w:ascii="宋体" w:hAnsi="宋体" w:cs="宋体" w:hint="eastAsia"/>
          <w:bCs/>
          <w:szCs w:val="21"/>
          <w:lang w:eastAsia="zh-CN"/>
        </w:rPr>
        <w:t>层；广东省广州市天河区珠江东路</w:t>
      </w:r>
      <w:r>
        <w:rPr>
          <w:rFonts w:ascii="宋体" w:hAnsi="宋体" w:cs="宋体"/>
          <w:bCs/>
          <w:szCs w:val="21"/>
          <w:lang w:eastAsia="zh-CN"/>
        </w:rPr>
        <w:t>30</w:t>
      </w:r>
      <w:r>
        <w:rPr>
          <w:rFonts w:ascii="宋体" w:hAnsi="宋体" w:cs="宋体" w:hint="eastAsia"/>
          <w:bCs/>
          <w:szCs w:val="21"/>
          <w:lang w:eastAsia="zh-CN"/>
        </w:rPr>
        <w:t>号</w:t>
      </w:r>
      <w:r>
        <w:rPr>
          <w:rFonts w:ascii="宋体" w:hAnsi="宋体" w:cs="宋体"/>
          <w:bCs/>
          <w:szCs w:val="21"/>
          <w:lang w:eastAsia="zh-CN"/>
        </w:rPr>
        <w:t>42</w:t>
      </w:r>
      <w:r>
        <w:rPr>
          <w:rFonts w:ascii="宋体" w:hAnsi="宋体" w:cs="宋体" w:hint="eastAsia"/>
          <w:bCs/>
          <w:szCs w:val="21"/>
          <w:lang w:eastAsia="zh-CN"/>
        </w:rPr>
        <w:t>层；广东省珠海市横琴新区荣粤道</w:t>
      </w:r>
      <w:r>
        <w:rPr>
          <w:rFonts w:ascii="宋体" w:hAnsi="宋体" w:cs="宋体"/>
          <w:bCs/>
          <w:szCs w:val="21"/>
          <w:lang w:eastAsia="zh-CN"/>
        </w:rPr>
        <w:t>188</w:t>
      </w:r>
      <w:r>
        <w:rPr>
          <w:rFonts w:ascii="宋体" w:hAnsi="宋体" w:cs="宋体" w:hint="eastAsia"/>
          <w:bCs/>
          <w:szCs w:val="21"/>
          <w:lang w:eastAsia="zh-CN"/>
        </w:rPr>
        <w:t>号</w:t>
      </w:r>
      <w:r>
        <w:rPr>
          <w:rFonts w:ascii="宋体" w:hAnsi="宋体" w:cs="宋体"/>
          <w:bCs/>
          <w:szCs w:val="21"/>
          <w:lang w:eastAsia="zh-CN"/>
        </w:rPr>
        <w:t>6</w:t>
      </w:r>
      <w:r>
        <w:rPr>
          <w:rFonts w:ascii="宋体" w:hAnsi="宋体" w:cs="宋体" w:hint="eastAsia"/>
          <w:bCs/>
          <w:szCs w:val="21"/>
          <w:lang w:eastAsia="zh-CN"/>
        </w:rPr>
        <w:t>层</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法定代表人：吴欣荣</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电话：4008818088</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传真：</w:t>
      </w:r>
      <w:r>
        <w:rPr>
          <w:rStyle w:val="da"/>
          <w:rFonts w:ascii="宋体" w:hAnsi="Calibri"/>
          <w:highlight w:val="white"/>
          <w:lang w:eastAsia="zh-CN"/>
        </w:rPr>
        <w:t>020</w:t>
      </w:r>
      <w:r>
        <w:rPr>
          <w:rStyle w:val="da"/>
          <w:rFonts w:ascii="宋体" w:hAnsi="Calibri" w:hint="eastAsia"/>
          <w:highlight w:val="white"/>
          <w:lang w:eastAsia="zh-CN"/>
        </w:rPr>
        <w:t>-38799249</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联系人：余贤高</w:t>
      </w:r>
    </w:p>
    <w:p w:rsidR="002B1026">
      <w:pPr>
        <w:spacing w:line="360" w:lineRule="auto"/>
        <w:ind w:firstLine="420"/>
        <w:rPr>
          <w:rStyle w:val="da"/>
          <w:rFonts w:ascii="宋体" w:hAnsi="Calibri"/>
          <w:lang w:eastAsia="zh-CN"/>
        </w:rPr>
      </w:pPr>
      <w:bookmarkStart w:id="1781" w:name="_Toc332373484"/>
      <w:r>
        <w:rPr>
          <w:rStyle w:val="da"/>
          <w:rFonts w:ascii="宋体" w:hAnsi="Calibri" w:hint="eastAsia"/>
          <w:highlight w:val="white"/>
          <w:lang w:eastAsia="zh-CN"/>
        </w:rPr>
        <w:t>三、律师事务所和经办律师</w:t>
      </w:r>
      <w:bookmarkEnd w:id="1781"/>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律师事务所：广东金桥百信律师事务所</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住所：</w:t>
      </w:r>
      <w:r>
        <w:rPr>
          <w:rStyle w:val="da"/>
          <w:rFonts w:ascii="宋体" w:hAnsi="Calibri" w:cs="宋体" w:hint="eastAsia"/>
          <w:szCs w:val="21"/>
          <w:highlight w:val="white"/>
          <w:lang w:eastAsia="zh-CN"/>
        </w:rPr>
        <w:t>广东省广州市天河区珠江东路16号24-26层</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办公地址：广州市珠江新城珠江东路16号高德置地冬广场G座26楼</w:t>
      </w:r>
    </w:p>
    <w:p w:rsidR="002B1026">
      <w:pPr>
        <w:spacing w:line="360" w:lineRule="auto"/>
        <w:ind w:firstLine="420"/>
        <w:rPr>
          <w:rStyle w:val="da"/>
          <w:rFonts w:ascii="宋体" w:hAnsi="宋体" w:cs="宋体"/>
          <w:highlight w:val="white"/>
          <w:lang w:eastAsia="zh-CN"/>
        </w:rPr>
      </w:pPr>
      <w:r>
        <w:rPr>
          <w:rStyle w:val="da"/>
          <w:rFonts w:ascii="宋体" w:hAnsi="Calibri" w:hint="eastAsia"/>
          <w:highlight w:val="white"/>
          <w:lang w:eastAsia="zh-CN"/>
        </w:rPr>
        <w:t>负责人：</w:t>
      </w:r>
      <w:r>
        <w:rPr>
          <w:rStyle w:val="da"/>
          <w:rFonts w:ascii="宋体" w:hAnsi="宋体" w:cs="宋体" w:hint="eastAsia"/>
          <w:highlight w:val="white"/>
          <w:lang w:eastAsia="zh-CN"/>
        </w:rPr>
        <w:t>莫哲</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电话：</w:t>
      </w:r>
      <w:r>
        <w:rPr>
          <w:rStyle w:val="da"/>
          <w:rFonts w:ascii="宋体" w:hAnsi="Calibri"/>
          <w:highlight w:val="white"/>
          <w:lang w:eastAsia="zh-CN"/>
        </w:rPr>
        <w:t>020-83338668</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传真：</w:t>
      </w:r>
      <w:r>
        <w:rPr>
          <w:rStyle w:val="da"/>
          <w:rFonts w:ascii="宋体" w:hAnsi="Calibri"/>
          <w:highlight w:val="white"/>
          <w:lang w:eastAsia="zh-CN"/>
        </w:rPr>
        <w:t>020-83338088</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经办律师：郭东雪、李海滢</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联系人：</w:t>
      </w:r>
      <w:bookmarkStart w:id="1782" w:name="_Toc332373485"/>
      <w:r>
        <w:rPr>
          <w:rStyle w:val="da"/>
          <w:rFonts w:ascii="宋体" w:hAnsi="Calibri" w:hint="eastAsia"/>
          <w:highlight w:val="white"/>
          <w:lang w:eastAsia="zh-CN"/>
        </w:rPr>
        <w:t>李海滢</w:t>
      </w:r>
    </w:p>
    <w:p w:rsidR="002B1026">
      <w:pPr>
        <w:spacing w:line="360" w:lineRule="auto"/>
        <w:ind w:firstLine="420"/>
        <w:rPr>
          <w:rStyle w:val="da"/>
          <w:rFonts w:ascii="宋体" w:hAnsi="Calibri" w:cs="宋体"/>
          <w:szCs w:val="21"/>
          <w:lang w:eastAsia="zh-CN"/>
        </w:rPr>
      </w:pPr>
      <w:r>
        <w:rPr>
          <w:rStyle w:val="da"/>
          <w:rFonts w:ascii="宋体" w:hAnsi="Calibri" w:cs="宋体" w:hint="eastAsia"/>
          <w:szCs w:val="21"/>
          <w:highlight w:val="white"/>
          <w:lang w:eastAsia="zh-CN"/>
        </w:rPr>
        <w:t>四、会计师事务所</w:t>
      </w:r>
    </w:p>
    <w:p w:rsidR="00EA01BC" w:rsidP="00EA01B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会计师事务所：德勤华永会计师事务所（特殊普通合伙）</w:t>
      </w:r>
    </w:p>
    <w:p w:rsidR="00EA01BC" w:rsidP="00EA01B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住所：中国上海市延安东路</w:t>
      </w:r>
      <w:r>
        <w:rPr>
          <w:rStyle w:val="da"/>
          <w:rFonts w:ascii="宋体" w:hAnsi="Calibri" w:cs="Calibri"/>
          <w:szCs w:val="21"/>
          <w:highlight w:val="white"/>
          <w:lang w:eastAsia="zh-CN"/>
        </w:rPr>
        <w:t>222号外滩中心30楼</w:t>
      </w:r>
    </w:p>
    <w:p w:rsidR="00EA01BC" w:rsidP="00EA01B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主要经营场所：中国上海市延安东路</w:t>
      </w:r>
      <w:r>
        <w:rPr>
          <w:rStyle w:val="da"/>
          <w:rFonts w:ascii="宋体" w:hAnsi="Calibri" w:cs="Calibri"/>
          <w:szCs w:val="21"/>
          <w:highlight w:val="white"/>
          <w:lang w:eastAsia="zh-CN"/>
        </w:rPr>
        <w:t>222号外滩中心30楼</w:t>
      </w:r>
    </w:p>
    <w:p w:rsidR="00EA01BC" w:rsidP="00EA01B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执行事务合伙人：唐恋炯</w:t>
      </w:r>
    </w:p>
    <w:p w:rsidR="00EA01BC" w:rsidP="00EA01B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电话：</w:t>
      </w:r>
      <w:r>
        <w:rPr>
          <w:rStyle w:val="da"/>
          <w:rFonts w:ascii="宋体" w:hAnsi="Calibri" w:cs="Calibri"/>
          <w:szCs w:val="21"/>
          <w:highlight w:val="white"/>
          <w:lang w:eastAsia="zh-CN"/>
        </w:rPr>
        <w:t>021-61418888</w:t>
      </w:r>
    </w:p>
    <w:p w:rsidR="00EA01BC" w:rsidP="00EA01BC">
      <w:pPr>
        <w:spacing w:line="360" w:lineRule="auto"/>
        <w:ind w:firstLine="420"/>
        <w:rPr>
          <w:rStyle w:val="da"/>
          <w:rFonts w:ascii="宋体" w:hAnsi="Calibri" w:cs="Calibri"/>
          <w:szCs w:val="21"/>
          <w:lang w:eastAsia="zh-CN"/>
        </w:rPr>
      </w:pPr>
      <w:r>
        <w:rPr>
          <w:rStyle w:val="da"/>
          <w:rFonts w:ascii="宋体" w:hAnsi="Calibri" w:cs="Calibri" w:hint="eastAsia"/>
          <w:szCs w:val="21"/>
          <w:highlight w:val="white"/>
          <w:lang w:eastAsia="zh-CN"/>
        </w:rPr>
        <w:t>传真：</w:t>
      </w:r>
      <w:r>
        <w:rPr>
          <w:rStyle w:val="da"/>
          <w:rFonts w:ascii="宋体" w:hAnsi="Calibri" w:cs="Calibri"/>
          <w:szCs w:val="21"/>
          <w:highlight w:val="white"/>
          <w:lang w:eastAsia="zh-CN"/>
        </w:rPr>
        <w:t>021-63350003</w:t>
      </w:r>
    </w:p>
    <w:p w:rsidR="00EA01BC" w:rsidP="00EA01BC">
      <w:pPr>
        <w:spacing w:line="360" w:lineRule="auto"/>
        <w:ind w:firstLine="420"/>
        <w:rPr>
          <w:rStyle w:val="da"/>
          <w:rFonts w:ascii="宋体" w:hAnsi="Calibri" w:cs="Calibri"/>
          <w:lang w:eastAsia="zh-CN"/>
        </w:rPr>
      </w:pPr>
      <w:r>
        <w:rPr>
          <w:rStyle w:val="da"/>
          <w:rFonts w:ascii="宋体" w:hAnsi="Calibri" w:cs="Calibri" w:hint="eastAsia"/>
          <w:szCs w:val="21"/>
          <w:highlight w:val="white"/>
          <w:lang w:eastAsia="zh-CN"/>
        </w:rPr>
        <w:t>联系人：江丽雅</w:t>
      </w:r>
    </w:p>
    <w:bookmarkEnd w:id="1782"/>
    <w:p w:rsidR="002B1026">
      <w:pPr>
        <w:widowControl/>
        <w:jc w:val="left"/>
        <w:rPr>
          <w:rFonts w:ascii="宋体" w:hAnsi="Calibri"/>
          <w:szCs w:val="21"/>
          <w:lang w:eastAsia="zh-CN"/>
        </w:rPr>
      </w:pPr>
      <w:r>
        <w:rPr>
          <w:rFonts w:ascii="宋体" w:hAnsi="Calibri"/>
          <w:szCs w:val="21"/>
          <w:highlight w:val="white"/>
          <w:lang w:eastAsia="zh-CN"/>
        </w:rPr>
        <w:br w:type="page"/>
      </w:r>
    </w:p>
    <w:p w:rsidR="002B1026">
      <w:pPr>
        <w:pStyle w:val="Heading1"/>
        <w:pageBreakBefore/>
        <w:spacing w:before="240" w:after="240" w:line="360" w:lineRule="auto"/>
        <w:ind w:firstLine="600"/>
        <w:rPr>
          <w:rFonts w:ascii="宋体" w:eastAsia="宋体" w:hAnsi="Calibri"/>
          <w:bCs/>
          <w:sz w:val="30"/>
          <w:szCs w:val="30"/>
          <w:lang w:eastAsia="zh-CN"/>
        </w:rPr>
      </w:pPr>
      <w:bookmarkStart w:id="1783" w:name="_Toc11178790"/>
      <w:bookmarkStart w:id="1784" w:name="_Toc76457651"/>
      <w:bookmarkStart w:id="1785" w:name="_Toc227311239"/>
      <w:r>
        <w:rPr>
          <w:rFonts w:ascii="宋体" w:eastAsia="宋体" w:hAnsi="Calibri" w:hint="eastAsia"/>
          <w:sz w:val="30"/>
          <w:szCs w:val="30"/>
          <w:highlight w:val="white"/>
          <w:lang w:eastAsia="zh-CN"/>
        </w:rPr>
        <w:t xml:space="preserve">第六部分 </w:t>
      </w:r>
      <w:r>
        <w:rPr>
          <w:rFonts w:ascii="宋体" w:eastAsia="宋体" w:hAnsi="Calibri"/>
          <w:bCs/>
          <w:sz w:val="30"/>
          <w:szCs w:val="30"/>
          <w:highlight w:val="white"/>
          <w:lang w:eastAsia="zh-CN"/>
        </w:rPr>
        <w:t>基金份额的分类</w:t>
      </w:r>
      <w:bookmarkEnd w:id="1783"/>
      <w:bookmarkEnd w:id="1784"/>
      <w:bookmarkEnd w:id="1785"/>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一、基金份额类别</w:t>
      </w:r>
    </w:p>
    <w:p w:rsidR="002B1026">
      <w:pPr>
        <w:spacing w:line="360" w:lineRule="auto"/>
        <w:ind w:firstLine="420" w:firstLineChars="200"/>
        <w:rPr>
          <w:rStyle w:val="da"/>
          <w:rFonts w:ascii="宋体" w:hAnsi="Calibri"/>
          <w:lang w:eastAsia="zh-CN"/>
        </w:rPr>
      </w:pPr>
      <w:r>
        <w:rPr>
          <w:rStyle w:val="da"/>
          <w:rFonts w:ascii="宋体" w:hAnsi="Calibri" w:hint="eastAsia"/>
          <w:highlight w:val="white"/>
          <w:lang w:eastAsia="zh-CN"/>
        </w:rPr>
        <w:t>本基金将基金份额分为不同的类别。在投资人认购</w:t>
      </w:r>
      <w:r>
        <w:rPr>
          <w:rStyle w:val="da"/>
          <w:rFonts w:ascii="宋体" w:hAnsi="Calibri"/>
          <w:highlight w:val="white"/>
          <w:lang w:eastAsia="zh-CN"/>
        </w:rPr>
        <w:t>/</w:t>
      </w:r>
      <w:r>
        <w:rPr>
          <w:rStyle w:val="da"/>
          <w:rFonts w:ascii="宋体" w:hAnsi="Calibri" w:hint="eastAsia"/>
          <w:highlight w:val="white"/>
          <w:lang w:eastAsia="zh-CN"/>
        </w:rPr>
        <w:t>申购基金时</w:t>
      </w:r>
      <w:r>
        <w:rPr>
          <w:rStyle w:val="da"/>
          <w:rFonts w:cs="宋体" w:hint="eastAsia"/>
          <w:lang w:eastAsia="zh-CN"/>
        </w:rPr>
        <w:t>按规定</w:t>
      </w:r>
      <w:r>
        <w:rPr>
          <w:rStyle w:val="da"/>
          <w:rFonts w:ascii="宋体" w:hAnsi="Calibri" w:hint="eastAsia"/>
          <w:highlight w:val="white"/>
          <w:lang w:eastAsia="zh-CN"/>
        </w:rPr>
        <w:t>收取认购</w:t>
      </w:r>
      <w:r>
        <w:rPr>
          <w:rStyle w:val="da"/>
          <w:rFonts w:ascii="宋体" w:hAnsi="Calibri"/>
          <w:highlight w:val="white"/>
          <w:lang w:eastAsia="zh-CN"/>
        </w:rPr>
        <w:t>/</w:t>
      </w:r>
      <w:r>
        <w:rPr>
          <w:rStyle w:val="da"/>
          <w:rFonts w:ascii="宋体" w:hAnsi="Calibri" w:hint="eastAsia"/>
          <w:highlight w:val="white"/>
          <w:lang w:eastAsia="zh-CN"/>
        </w:rPr>
        <w:t>申购费用，并不再从本类别基金资产中计提销售服务费的基金份额，称为</w:t>
      </w:r>
      <w:r>
        <w:rPr>
          <w:rStyle w:val="da"/>
          <w:rFonts w:ascii="宋体" w:hAnsi="Calibri"/>
          <w:highlight w:val="white"/>
          <w:lang w:eastAsia="zh-CN"/>
        </w:rPr>
        <w:t>A</w:t>
      </w:r>
      <w:r>
        <w:rPr>
          <w:rStyle w:val="da"/>
          <w:rFonts w:ascii="宋体" w:hAnsi="Calibri" w:hint="eastAsia"/>
          <w:highlight w:val="white"/>
          <w:lang w:eastAsia="zh-CN"/>
        </w:rPr>
        <w:t>类基金份额；从本类基金资产中计提销售服务费</w:t>
      </w:r>
      <w:r>
        <w:rPr>
          <w:rStyle w:val="da"/>
          <w:rFonts w:cs="宋体" w:hint="eastAsia"/>
          <w:lang w:eastAsia="zh-CN"/>
        </w:rPr>
        <w:t>并按规定收取或返还</w:t>
      </w:r>
      <w:r>
        <w:rPr>
          <w:rStyle w:val="da"/>
          <w:rFonts w:ascii="宋体" w:hAnsi="Calibri" w:hint="eastAsia"/>
          <w:highlight w:val="white"/>
          <w:lang w:eastAsia="zh-CN"/>
        </w:rPr>
        <w:t>，不收取认购</w:t>
      </w:r>
      <w:r>
        <w:rPr>
          <w:rStyle w:val="da"/>
          <w:rFonts w:ascii="宋体" w:hAnsi="Calibri"/>
          <w:highlight w:val="white"/>
          <w:lang w:eastAsia="zh-CN"/>
        </w:rPr>
        <w:t>/</w:t>
      </w:r>
      <w:r>
        <w:rPr>
          <w:rStyle w:val="da"/>
          <w:rFonts w:ascii="宋体" w:hAnsi="Calibri" w:hint="eastAsia"/>
          <w:highlight w:val="white"/>
          <w:lang w:eastAsia="zh-CN"/>
        </w:rPr>
        <w:t>申购费用的基金份额，称为</w:t>
      </w:r>
      <w:r>
        <w:rPr>
          <w:rStyle w:val="da"/>
          <w:rFonts w:ascii="宋体" w:hAnsi="Calibri"/>
          <w:highlight w:val="white"/>
          <w:lang w:eastAsia="zh-CN"/>
        </w:rPr>
        <w:t>C</w:t>
      </w:r>
      <w:r>
        <w:rPr>
          <w:rStyle w:val="da"/>
          <w:rFonts w:ascii="宋体" w:hAnsi="Calibri" w:hint="eastAsia"/>
          <w:highlight w:val="white"/>
          <w:lang w:eastAsia="zh-CN"/>
        </w:rPr>
        <w:t>类基金份额。</w:t>
      </w:r>
    </w:p>
    <w:p w:rsidR="002B1026">
      <w:pPr>
        <w:spacing w:line="360" w:lineRule="auto"/>
        <w:ind w:firstLine="480"/>
        <w:rPr>
          <w:rStyle w:val="da"/>
          <w:rFonts w:ascii="宋体" w:hAnsi="Calibri"/>
          <w:lang w:eastAsia="zh-CN"/>
        </w:rPr>
      </w:pPr>
      <w:r>
        <w:rPr>
          <w:rStyle w:val="da"/>
          <w:rFonts w:ascii="宋体" w:hAnsi="Calibri" w:hint="eastAsia"/>
          <w:highlight w:val="white"/>
          <w:lang w:eastAsia="zh-CN"/>
        </w:rPr>
        <w:t>本基金各类基金份额分别设置代码，分别计算并公布基金份额净值和基金份额累计净值。投资人在认购</w:t>
      </w:r>
      <w:r>
        <w:rPr>
          <w:rStyle w:val="da"/>
          <w:rFonts w:ascii="宋体" w:hAnsi="Calibri"/>
          <w:highlight w:val="white"/>
          <w:lang w:eastAsia="zh-CN"/>
        </w:rPr>
        <w:t>/</w:t>
      </w:r>
      <w:r>
        <w:rPr>
          <w:rStyle w:val="da"/>
          <w:rFonts w:ascii="宋体" w:hAnsi="Calibri" w:hint="eastAsia"/>
          <w:highlight w:val="white"/>
          <w:lang w:eastAsia="zh-CN"/>
        </w:rPr>
        <w:t>申购基金份额时可自行选择基金份额类别。本基金暂不开通各份额类别之间的转换业务，今后若开通本基金各份额类别之间的转换业务，业务规则详见届时发布的有关公告或更新的招募说明书。</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每类基金</w:t>
      </w:r>
      <w:r>
        <w:rPr>
          <w:rFonts w:ascii="宋体" w:hAnsi="Calibri"/>
          <w:szCs w:val="21"/>
          <w:highlight w:val="white"/>
          <w:lang w:eastAsia="zh-CN"/>
        </w:rPr>
        <w:t>份额的具体</w:t>
      </w:r>
      <w:r>
        <w:rPr>
          <w:rFonts w:ascii="宋体" w:hAnsi="Calibri" w:hint="eastAsia"/>
          <w:szCs w:val="21"/>
          <w:highlight w:val="white"/>
          <w:lang w:eastAsia="zh-CN"/>
        </w:rPr>
        <w:t>规定</w:t>
      </w:r>
      <w:r>
        <w:rPr>
          <w:rFonts w:ascii="宋体" w:hAnsi="Calibri"/>
          <w:szCs w:val="21"/>
          <w:highlight w:val="white"/>
          <w:lang w:eastAsia="zh-CN"/>
        </w:rPr>
        <w:t>详见下表：</w:t>
      </w:r>
    </w:p>
    <w:tbl>
      <w:tblPr>
        <w:tblpPr w:leftFromText="180" w:rightFromText="180" w:vertAnchor="text" w:horzAnchor="page" w:tblpX="1749" w:tblpY="124"/>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551"/>
      </w:tblGrid>
      <w:tr>
        <w:tblPrEx>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2B1026">
            <w:pPr>
              <w:autoSpaceDE w:val="0"/>
              <w:autoSpaceDN w:val="0"/>
              <w:snapToGrid w:val="0"/>
              <w:spacing w:line="360" w:lineRule="auto"/>
              <w:jc w:val="center"/>
              <w:rPr>
                <w:rFonts w:ascii="宋体" w:hAnsi="Calibri" w:cs="宋体s....."/>
                <w:b/>
                <w:szCs w:val="21"/>
              </w:rPr>
            </w:pPr>
            <w:r>
              <w:rPr>
                <w:rFonts w:ascii="宋体" w:hAnsi="Calibri" w:cs="宋体s....." w:hint="eastAsia"/>
                <w:b/>
                <w:szCs w:val="21"/>
                <w:highlight w:val="white"/>
              </w:rPr>
              <w:t>份额类别</w:t>
            </w:r>
          </w:p>
        </w:tc>
        <w:tc>
          <w:tcPr>
            <w:tcW w:w="2835" w:type="dxa"/>
            <w:tcBorders>
              <w:top w:val="single" w:sz="4" w:space="0" w:color="auto"/>
              <w:left w:val="single" w:sz="4" w:space="0" w:color="auto"/>
              <w:bottom w:val="single" w:sz="4" w:space="0" w:color="auto"/>
              <w:right w:val="single" w:sz="4" w:space="0" w:color="auto"/>
            </w:tcBorders>
            <w:vAlign w:val="center"/>
          </w:tcPr>
          <w:p w:rsidR="002B1026">
            <w:pPr>
              <w:autoSpaceDE w:val="0"/>
              <w:autoSpaceDN w:val="0"/>
              <w:snapToGrid w:val="0"/>
              <w:spacing w:line="360" w:lineRule="auto"/>
              <w:jc w:val="center"/>
              <w:rPr>
                <w:rFonts w:ascii="宋体" w:hAnsi="Calibri"/>
                <w:b/>
                <w:szCs w:val="21"/>
              </w:rPr>
            </w:pPr>
            <w:r>
              <w:rPr>
                <w:rFonts w:ascii="宋体" w:hAnsi="Calibri"/>
                <w:b/>
                <w:bCs/>
                <w:szCs w:val="21"/>
                <w:highlight w:val="white"/>
              </w:rPr>
              <w:t>A类基金份额</w:t>
            </w:r>
          </w:p>
        </w:tc>
        <w:tc>
          <w:tcPr>
            <w:tcW w:w="2551" w:type="dxa"/>
            <w:tcBorders>
              <w:top w:val="single" w:sz="4" w:space="0" w:color="auto"/>
              <w:left w:val="single" w:sz="4" w:space="0" w:color="auto"/>
              <w:bottom w:val="single" w:sz="4" w:space="0" w:color="auto"/>
              <w:right w:val="single" w:sz="4" w:space="0" w:color="auto"/>
            </w:tcBorders>
            <w:vAlign w:val="center"/>
          </w:tcPr>
          <w:p w:rsidR="002B1026">
            <w:pPr>
              <w:autoSpaceDE w:val="0"/>
              <w:autoSpaceDN w:val="0"/>
              <w:snapToGrid w:val="0"/>
              <w:spacing w:line="360" w:lineRule="auto"/>
              <w:jc w:val="center"/>
              <w:rPr>
                <w:rFonts w:ascii="宋体" w:hAnsi="Calibri"/>
                <w:b/>
                <w:bCs/>
                <w:szCs w:val="21"/>
              </w:rPr>
            </w:pPr>
            <w:r>
              <w:rPr>
                <w:rFonts w:ascii="宋体" w:hAnsi="Calibri"/>
                <w:b/>
                <w:bCs/>
                <w:szCs w:val="21"/>
                <w:highlight w:val="white"/>
              </w:rPr>
              <w:t>C类基金份额</w:t>
            </w:r>
          </w:p>
        </w:tc>
      </w:tr>
      <w:tr>
        <w:tblPrEx>
          <w:tblW w:w="7933" w:type="dxa"/>
          <w:tblLayout w:type="fixed"/>
          <w:tblLook w:val="04A0"/>
        </w:tblPrEx>
        <w:trPr>
          <w:trHeight w:val="159"/>
        </w:trPr>
        <w:tc>
          <w:tcPr>
            <w:tcW w:w="2547" w:type="dxa"/>
            <w:vAlign w:val="center"/>
          </w:tcPr>
          <w:p w:rsidR="002B1026">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认/申购费</w:t>
            </w:r>
          </w:p>
        </w:tc>
        <w:tc>
          <w:tcPr>
            <w:tcW w:w="2835" w:type="dxa"/>
            <w:vAlign w:val="center"/>
          </w:tcPr>
          <w:p w:rsidR="002B1026">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按规定收取</w:t>
            </w:r>
          </w:p>
        </w:tc>
        <w:tc>
          <w:tcPr>
            <w:tcW w:w="2551" w:type="dxa"/>
            <w:vAlign w:val="center"/>
          </w:tcPr>
          <w:p w:rsidR="002B1026">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不</w:t>
            </w:r>
            <w:r>
              <w:rPr>
                <w:rFonts w:ascii="宋体" w:hAnsi="Calibri" w:cs="宋体s....."/>
                <w:szCs w:val="21"/>
                <w:highlight w:val="white"/>
              </w:rPr>
              <w:t>收取</w:t>
            </w:r>
          </w:p>
        </w:tc>
      </w:tr>
      <w:tr>
        <w:tblPrEx>
          <w:tblW w:w="7933" w:type="dxa"/>
          <w:tblLayout w:type="fixed"/>
          <w:tblLook w:val="04A0"/>
        </w:tblPrEx>
        <w:trPr>
          <w:trHeight w:val="857"/>
        </w:trPr>
        <w:tc>
          <w:tcPr>
            <w:tcW w:w="2547" w:type="dxa"/>
            <w:vAlign w:val="center"/>
          </w:tcPr>
          <w:p w:rsidR="002B1026">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首次认/申购最低金额</w:t>
            </w:r>
          </w:p>
        </w:tc>
        <w:tc>
          <w:tcPr>
            <w:tcW w:w="2835" w:type="dxa"/>
            <w:vAlign w:val="center"/>
          </w:tcPr>
          <w:p w:rsidR="002B1026">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1元</w:t>
            </w:r>
            <w:r>
              <w:rPr>
                <w:rFonts w:ascii="宋体" w:hAnsi="Calibri" w:cs="宋体s....."/>
                <w:szCs w:val="21"/>
                <w:highlight w:val="white"/>
              </w:rPr>
              <w:t>(直销中心为5</w:t>
            </w:r>
            <w:r>
              <w:rPr>
                <w:rFonts w:ascii="宋体" w:hAnsi="Calibri" w:cs="宋体s....." w:hint="eastAsia"/>
                <w:szCs w:val="21"/>
                <w:highlight w:val="white"/>
              </w:rPr>
              <w:t>万元</w:t>
            </w:r>
            <w:r>
              <w:rPr>
                <w:rFonts w:ascii="宋体" w:hAnsi="Calibri" w:cs="宋体s....."/>
                <w:szCs w:val="21"/>
                <w:highlight w:val="white"/>
              </w:rPr>
              <w:t>)</w:t>
            </w:r>
          </w:p>
        </w:tc>
        <w:tc>
          <w:tcPr>
            <w:tcW w:w="2551" w:type="dxa"/>
            <w:vAlign w:val="center"/>
          </w:tcPr>
          <w:p w:rsidR="002B1026">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1元</w:t>
            </w:r>
            <w:r>
              <w:rPr>
                <w:rFonts w:ascii="宋体" w:hAnsi="Calibri" w:cs="宋体s....."/>
                <w:szCs w:val="21"/>
                <w:highlight w:val="white"/>
              </w:rPr>
              <w:t>(直销中心为5</w:t>
            </w:r>
            <w:r>
              <w:rPr>
                <w:rFonts w:ascii="宋体" w:hAnsi="Calibri" w:cs="宋体s....." w:hint="eastAsia"/>
                <w:szCs w:val="21"/>
                <w:highlight w:val="white"/>
              </w:rPr>
              <w:t>万元</w:t>
            </w:r>
            <w:r>
              <w:rPr>
                <w:rFonts w:ascii="宋体" w:hAnsi="Calibri" w:cs="宋体s....."/>
                <w:szCs w:val="21"/>
                <w:highlight w:val="white"/>
              </w:rPr>
              <w:t>)</w:t>
            </w:r>
          </w:p>
        </w:tc>
      </w:tr>
      <w:tr>
        <w:tblPrEx>
          <w:tblW w:w="7933" w:type="dxa"/>
          <w:tblLayout w:type="fixed"/>
          <w:tblLook w:val="04A0"/>
        </w:tblPrEx>
        <w:trPr>
          <w:trHeight w:val="157"/>
        </w:trPr>
        <w:tc>
          <w:tcPr>
            <w:tcW w:w="2547" w:type="dxa"/>
            <w:vAlign w:val="center"/>
          </w:tcPr>
          <w:p w:rsidR="002B1026">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追加认</w:t>
            </w:r>
            <w:r>
              <w:rPr>
                <w:rFonts w:ascii="宋体" w:hAnsi="Calibri" w:cs="宋体s....."/>
                <w:szCs w:val="21"/>
                <w:highlight w:val="white"/>
              </w:rPr>
              <w:t>/</w:t>
            </w:r>
            <w:r>
              <w:rPr>
                <w:rFonts w:ascii="宋体" w:hAnsi="Calibri" w:cs="宋体s....." w:hint="eastAsia"/>
                <w:szCs w:val="21"/>
                <w:highlight w:val="white"/>
              </w:rPr>
              <w:t>申购最低金额</w:t>
            </w:r>
          </w:p>
        </w:tc>
        <w:tc>
          <w:tcPr>
            <w:tcW w:w="2835" w:type="dxa"/>
            <w:vAlign w:val="center"/>
          </w:tcPr>
          <w:p w:rsidR="002B1026">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1元</w:t>
            </w:r>
            <w:r>
              <w:rPr>
                <w:rFonts w:ascii="宋体" w:hAnsi="Calibri" w:cs="宋体s....."/>
                <w:szCs w:val="21"/>
                <w:highlight w:val="white"/>
              </w:rPr>
              <w:t>(直销中心为</w:t>
            </w:r>
            <w:r>
              <w:rPr>
                <w:rFonts w:ascii="宋体" w:hAnsi="Calibri"/>
                <w:szCs w:val="21"/>
                <w:highlight w:val="white"/>
              </w:rPr>
              <w:t>1000</w:t>
            </w:r>
            <w:r>
              <w:rPr>
                <w:rFonts w:ascii="宋体" w:hAnsi="Calibri" w:cs="宋体s....." w:hint="eastAsia"/>
                <w:szCs w:val="21"/>
                <w:highlight w:val="white"/>
              </w:rPr>
              <w:t>元</w:t>
            </w:r>
            <w:r>
              <w:rPr>
                <w:rFonts w:ascii="宋体" w:hAnsi="Calibri" w:cs="宋体s....."/>
                <w:szCs w:val="21"/>
                <w:highlight w:val="white"/>
              </w:rPr>
              <w:t>)</w:t>
            </w:r>
          </w:p>
        </w:tc>
        <w:tc>
          <w:tcPr>
            <w:tcW w:w="2551" w:type="dxa"/>
            <w:vAlign w:val="center"/>
          </w:tcPr>
          <w:p w:rsidR="002B1026">
            <w:pPr>
              <w:autoSpaceDE w:val="0"/>
              <w:autoSpaceDN w:val="0"/>
              <w:snapToGrid w:val="0"/>
              <w:spacing w:line="360" w:lineRule="auto"/>
              <w:jc w:val="center"/>
              <w:rPr>
                <w:rFonts w:ascii="宋体" w:hAnsi="Calibri"/>
                <w:szCs w:val="21"/>
              </w:rPr>
            </w:pPr>
            <w:r>
              <w:rPr>
                <w:rFonts w:ascii="宋体" w:hAnsi="Calibri" w:cs="宋体s....." w:hint="eastAsia"/>
                <w:szCs w:val="21"/>
                <w:highlight w:val="white"/>
              </w:rPr>
              <w:t>1元</w:t>
            </w:r>
            <w:r>
              <w:rPr>
                <w:rFonts w:ascii="宋体" w:hAnsi="Calibri" w:cs="宋体s....."/>
                <w:szCs w:val="21"/>
                <w:highlight w:val="white"/>
              </w:rPr>
              <w:t>(直销中心为</w:t>
            </w:r>
            <w:r>
              <w:rPr>
                <w:rFonts w:ascii="宋体" w:hAnsi="Calibri"/>
                <w:szCs w:val="21"/>
                <w:highlight w:val="white"/>
              </w:rPr>
              <w:t>1000</w:t>
            </w:r>
            <w:r>
              <w:rPr>
                <w:rFonts w:ascii="宋体" w:hAnsi="Calibri" w:cs="宋体s....." w:hint="eastAsia"/>
                <w:szCs w:val="21"/>
                <w:highlight w:val="white"/>
              </w:rPr>
              <w:t>元</w:t>
            </w:r>
            <w:r>
              <w:rPr>
                <w:rFonts w:ascii="宋体" w:hAnsi="Calibri" w:cs="宋体s....."/>
                <w:szCs w:val="21"/>
                <w:highlight w:val="white"/>
              </w:rPr>
              <w:t>)</w:t>
            </w:r>
          </w:p>
        </w:tc>
      </w:tr>
      <w:tr>
        <w:tblPrEx>
          <w:tblW w:w="7933" w:type="dxa"/>
          <w:tblLayout w:type="fixed"/>
          <w:tblLook w:val="04A0"/>
        </w:tblPrEx>
        <w:trPr>
          <w:trHeight w:val="157"/>
        </w:trPr>
        <w:tc>
          <w:tcPr>
            <w:tcW w:w="2547" w:type="dxa"/>
            <w:vAlign w:val="center"/>
          </w:tcPr>
          <w:p w:rsidR="002B1026">
            <w:pPr>
              <w:autoSpaceDE w:val="0"/>
              <w:autoSpaceDN w:val="0"/>
              <w:snapToGrid w:val="0"/>
              <w:spacing w:line="360" w:lineRule="auto"/>
              <w:jc w:val="center"/>
              <w:rPr>
                <w:rFonts w:ascii="宋体" w:hAnsi="Calibri" w:cs="宋体s....."/>
                <w:szCs w:val="21"/>
              </w:rPr>
            </w:pPr>
            <w:r>
              <w:rPr>
                <w:rFonts w:ascii="宋体" w:hAnsi="Calibri" w:cs="宋体s....." w:hint="eastAsia"/>
                <w:szCs w:val="21"/>
                <w:highlight w:val="white"/>
              </w:rPr>
              <w:t>单笔赎回最低份额</w:t>
            </w:r>
          </w:p>
        </w:tc>
        <w:tc>
          <w:tcPr>
            <w:tcW w:w="2835" w:type="dxa"/>
            <w:vAlign w:val="center"/>
          </w:tcPr>
          <w:p w:rsidR="002B1026">
            <w:pPr>
              <w:autoSpaceDE w:val="0"/>
              <w:autoSpaceDN w:val="0"/>
              <w:snapToGrid w:val="0"/>
              <w:spacing w:line="360" w:lineRule="auto"/>
              <w:jc w:val="center"/>
              <w:rPr>
                <w:rFonts w:ascii="宋体" w:hAnsi="Calibri" w:cs="宋体s....."/>
                <w:szCs w:val="21"/>
              </w:rPr>
            </w:pPr>
            <w:r>
              <w:rPr>
                <w:rFonts w:ascii="宋体" w:hAnsi="Calibri" w:hint="eastAsia"/>
                <w:szCs w:val="21"/>
                <w:highlight w:val="white"/>
              </w:rPr>
              <w:t>1份</w:t>
            </w:r>
          </w:p>
        </w:tc>
        <w:tc>
          <w:tcPr>
            <w:tcW w:w="2551" w:type="dxa"/>
            <w:vAlign w:val="center"/>
          </w:tcPr>
          <w:p w:rsidR="002B1026">
            <w:pPr>
              <w:autoSpaceDE w:val="0"/>
              <w:autoSpaceDN w:val="0"/>
              <w:snapToGrid w:val="0"/>
              <w:spacing w:line="360" w:lineRule="auto"/>
              <w:jc w:val="center"/>
              <w:rPr>
                <w:rFonts w:ascii="宋体" w:hAnsi="Calibri"/>
                <w:szCs w:val="21"/>
              </w:rPr>
            </w:pPr>
            <w:r>
              <w:rPr>
                <w:rFonts w:ascii="宋体" w:hAnsi="Calibri" w:hint="eastAsia"/>
                <w:szCs w:val="21"/>
                <w:highlight w:val="white"/>
              </w:rPr>
              <w:t>1份</w:t>
            </w:r>
          </w:p>
        </w:tc>
      </w:tr>
      <w:tr>
        <w:tblPrEx>
          <w:tblW w:w="7933" w:type="dxa"/>
          <w:tblLayout w:type="fixed"/>
          <w:tblLook w:val="04A0"/>
        </w:tblPrEx>
        <w:trPr>
          <w:trHeight w:val="157"/>
        </w:trPr>
        <w:tc>
          <w:tcPr>
            <w:tcW w:w="2547" w:type="dxa"/>
            <w:vAlign w:val="center"/>
          </w:tcPr>
          <w:p w:rsidR="002B1026">
            <w:pPr>
              <w:autoSpaceDE w:val="0"/>
              <w:autoSpaceDN w:val="0"/>
              <w:snapToGrid w:val="0"/>
              <w:spacing w:line="360" w:lineRule="auto"/>
              <w:jc w:val="center"/>
              <w:rPr>
                <w:rFonts w:ascii="宋体" w:hAnsi="Calibri" w:cs="宋体s....."/>
                <w:szCs w:val="21"/>
                <w:lang w:eastAsia="zh-CN"/>
              </w:rPr>
            </w:pPr>
            <w:r>
              <w:rPr>
                <w:rFonts w:ascii="宋体" w:hAnsi="Calibri" w:cs="宋体s....." w:hint="eastAsia"/>
                <w:szCs w:val="21"/>
                <w:highlight w:val="white"/>
                <w:lang w:eastAsia="zh-CN"/>
              </w:rPr>
              <w:t>基金交易账户最低基金份额余额</w:t>
            </w:r>
          </w:p>
        </w:tc>
        <w:tc>
          <w:tcPr>
            <w:tcW w:w="2835" w:type="dxa"/>
            <w:vAlign w:val="center"/>
          </w:tcPr>
          <w:p w:rsidR="002B1026">
            <w:pPr>
              <w:autoSpaceDE w:val="0"/>
              <w:autoSpaceDN w:val="0"/>
              <w:snapToGrid w:val="0"/>
              <w:spacing w:line="360" w:lineRule="auto"/>
              <w:jc w:val="center"/>
              <w:rPr>
                <w:rFonts w:ascii="宋体" w:hAnsi="Calibri" w:cs="宋体s....."/>
                <w:szCs w:val="21"/>
              </w:rPr>
            </w:pPr>
            <w:r>
              <w:rPr>
                <w:rFonts w:ascii="宋体" w:hAnsi="Calibri" w:hint="eastAsia"/>
                <w:szCs w:val="21"/>
                <w:highlight w:val="white"/>
              </w:rPr>
              <w:t>1份</w:t>
            </w:r>
          </w:p>
        </w:tc>
        <w:tc>
          <w:tcPr>
            <w:tcW w:w="2551" w:type="dxa"/>
            <w:vAlign w:val="center"/>
          </w:tcPr>
          <w:p w:rsidR="002B1026">
            <w:pPr>
              <w:autoSpaceDE w:val="0"/>
              <w:autoSpaceDN w:val="0"/>
              <w:snapToGrid w:val="0"/>
              <w:spacing w:line="360" w:lineRule="auto"/>
              <w:jc w:val="center"/>
              <w:rPr>
                <w:rFonts w:ascii="宋体" w:hAnsi="Calibri"/>
                <w:szCs w:val="21"/>
              </w:rPr>
            </w:pPr>
            <w:r>
              <w:rPr>
                <w:rFonts w:ascii="宋体" w:hAnsi="Calibri" w:hint="eastAsia"/>
                <w:szCs w:val="21"/>
                <w:highlight w:val="white"/>
              </w:rPr>
              <w:t>1份</w:t>
            </w:r>
          </w:p>
        </w:tc>
      </w:tr>
      <w:tr>
        <w:tblPrEx>
          <w:tblW w:w="7933" w:type="dxa"/>
          <w:tblLayout w:type="fixed"/>
          <w:tblLook w:val="04A0"/>
        </w:tblPrEx>
        <w:trPr>
          <w:trHeight w:val="360"/>
        </w:trPr>
        <w:tc>
          <w:tcPr>
            <w:tcW w:w="2547" w:type="dxa"/>
            <w:vAlign w:val="center"/>
          </w:tcPr>
          <w:p w:rsidR="002B1026">
            <w:pPr>
              <w:autoSpaceDE w:val="0"/>
              <w:autoSpaceDN w:val="0"/>
              <w:snapToGrid w:val="0"/>
              <w:spacing w:line="360" w:lineRule="auto"/>
              <w:jc w:val="center"/>
              <w:rPr>
                <w:rFonts w:ascii="宋体" w:hAnsi="Calibri"/>
                <w:bCs/>
                <w:szCs w:val="20"/>
              </w:rPr>
            </w:pPr>
            <w:r>
              <w:rPr>
                <w:rFonts w:ascii="宋体" w:hAnsi="Calibri" w:hint="eastAsia"/>
                <w:bCs/>
                <w:szCs w:val="20"/>
                <w:highlight w:val="white"/>
              </w:rPr>
              <w:t>销售服务费</w:t>
            </w:r>
            <w:r>
              <w:rPr>
                <w:rFonts w:ascii="宋体" w:hAnsi="Calibri"/>
                <w:bCs/>
                <w:szCs w:val="20"/>
                <w:highlight w:val="white"/>
              </w:rPr>
              <w:t>(年费率)</w:t>
            </w:r>
          </w:p>
        </w:tc>
        <w:tc>
          <w:tcPr>
            <w:tcW w:w="2835" w:type="dxa"/>
            <w:vAlign w:val="center"/>
          </w:tcPr>
          <w:p w:rsidR="002B1026">
            <w:pPr>
              <w:autoSpaceDE w:val="0"/>
              <w:autoSpaceDN w:val="0"/>
              <w:snapToGrid w:val="0"/>
              <w:spacing w:line="360" w:lineRule="auto"/>
              <w:jc w:val="center"/>
              <w:rPr>
                <w:rFonts w:ascii="宋体" w:hAnsi="Calibri"/>
                <w:bCs/>
                <w:szCs w:val="20"/>
              </w:rPr>
            </w:pPr>
            <w:r>
              <w:rPr>
                <w:rFonts w:ascii="宋体" w:hAnsi="Calibri"/>
                <w:bCs/>
                <w:szCs w:val="20"/>
                <w:highlight w:val="white"/>
              </w:rPr>
              <w:t>不收取</w:t>
            </w:r>
          </w:p>
        </w:tc>
        <w:tc>
          <w:tcPr>
            <w:tcW w:w="2551" w:type="dxa"/>
            <w:vAlign w:val="center"/>
          </w:tcPr>
          <w:p w:rsidR="002B1026">
            <w:pPr>
              <w:autoSpaceDE w:val="0"/>
              <w:autoSpaceDN w:val="0"/>
              <w:snapToGrid w:val="0"/>
              <w:spacing w:line="360" w:lineRule="auto"/>
              <w:jc w:val="center"/>
              <w:rPr>
                <w:rFonts w:ascii="宋体" w:hAnsi="Calibri"/>
                <w:bCs/>
                <w:szCs w:val="20"/>
                <w:lang w:eastAsia="zh-CN"/>
              </w:rPr>
            </w:pPr>
            <w:r>
              <w:rPr>
                <w:rFonts w:ascii="宋体" w:hAnsi="Calibri" w:hint="eastAsia"/>
                <w:bCs/>
                <w:szCs w:val="20"/>
                <w:lang w:eastAsia="zh-CN"/>
              </w:rPr>
              <w:t>0.40%</w:t>
            </w:r>
            <w:r>
              <w:rPr>
                <w:rFonts w:ascii="宋体" w:hAnsi="宋体" w:cs="方正仿宋简体" w:hint="eastAsia"/>
                <w:iCs/>
                <w:lang w:eastAsia="zh-CN"/>
              </w:rPr>
              <w:t>（</w:t>
            </w:r>
            <w:r>
              <w:rPr>
                <w:rStyle w:val="da"/>
                <w:rFonts w:cs="宋体" w:hint="eastAsia"/>
                <w:lang w:eastAsia="zh-CN"/>
              </w:rPr>
              <w:t>按规定收取或返还</w:t>
            </w:r>
            <w:r>
              <w:rPr>
                <w:rFonts w:ascii="宋体" w:hAnsi="宋体" w:cs="方正仿宋简体" w:hint="eastAsia"/>
                <w:iCs/>
                <w:lang w:eastAsia="zh-CN"/>
              </w:rPr>
              <w:t>）</w:t>
            </w:r>
          </w:p>
        </w:tc>
      </w:tr>
    </w:tbl>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注</w:t>
      </w:r>
      <w:r>
        <w:rPr>
          <w:rFonts w:ascii="宋体" w:hAnsi="Calibri"/>
          <w:szCs w:val="21"/>
          <w:highlight w:val="white"/>
          <w:lang w:eastAsia="zh-CN"/>
        </w:rPr>
        <w:t>：本基金不同份额</w:t>
      </w:r>
      <w:r>
        <w:rPr>
          <w:rFonts w:ascii="宋体" w:hAnsi="Calibri" w:hint="eastAsia"/>
          <w:szCs w:val="21"/>
          <w:highlight w:val="white"/>
          <w:lang w:eastAsia="zh-CN"/>
        </w:rPr>
        <w:t>类别的</w:t>
      </w:r>
      <w:r>
        <w:rPr>
          <w:rFonts w:ascii="宋体" w:hAnsi="Calibri"/>
          <w:szCs w:val="21"/>
          <w:highlight w:val="white"/>
          <w:lang w:eastAsia="zh-CN"/>
        </w:rPr>
        <w:t>适用费率</w:t>
      </w:r>
      <w:r>
        <w:rPr>
          <w:rFonts w:ascii="宋体" w:hAnsi="Calibri" w:hint="eastAsia"/>
          <w:szCs w:val="21"/>
          <w:highlight w:val="white"/>
          <w:lang w:eastAsia="zh-CN"/>
        </w:rPr>
        <w:t>及销售渠道等有</w:t>
      </w:r>
      <w:r>
        <w:rPr>
          <w:rFonts w:ascii="宋体" w:hAnsi="Calibri"/>
          <w:szCs w:val="21"/>
          <w:highlight w:val="white"/>
          <w:lang w:eastAsia="zh-CN"/>
        </w:rPr>
        <w:t>所差</w:t>
      </w:r>
      <w:r>
        <w:rPr>
          <w:rFonts w:ascii="宋体" w:hAnsi="Calibri" w:hint="eastAsia"/>
          <w:szCs w:val="21"/>
          <w:highlight w:val="white"/>
          <w:lang w:eastAsia="zh-CN"/>
        </w:rPr>
        <w:t>异</w:t>
      </w:r>
      <w:r>
        <w:rPr>
          <w:rFonts w:ascii="宋体" w:hAnsi="Calibri"/>
          <w:szCs w:val="21"/>
          <w:highlight w:val="white"/>
          <w:lang w:eastAsia="zh-CN"/>
        </w:rPr>
        <w:t>，</w:t>
      </w:r>
      <w:r>
        <w:rPr>
          <w:rFonts w:ascii="宋体" w:hAnsi="Calibri" w:hint="eastAsia"/>
          <w:szCs w:val="21"/>
          <w:highlight w:val="white"/>
          <w:lang w:eastAsia="zh-CN"/>
        </w:rPr>
        <w:t>并可能发生</w:t>
      </w:r>
      <w:r>
        <w:rPr>
          <w:rFonts w:ascii="宋体" w:hAnsi="Calibri"/>
          <w:szCs w:val="21"/>
          <w:highlight w:val="white"/>
          <w:lang w:eastAsia="zh-CN"/>
        </w:rPr>
        <w:t>调整</w:t>
      </w:r>
      <w:r>
        <w:rPr>
          <w:rFonts w:ascii="宋体" w:hAnsi="Calibri" w:hint="eastAsia"/>
          <w:szCs w:val="21"/>
          <w:highlight w:val="white"/>
          <w:lang w:eastAsia="zh-CN"/>
        </w:rPr>
        <w:t>，敬请</w:t>
      </w:r>
      <w:r>
        <w:rPr>
          <w:rFonts w:ascii="宋体" w:hAnsi="Calibri"/>
          <w:szCs w:val="21"/>
          <w:highlight w:val="white"/>
          <w:lang w:eastAsia="zh-CN"/>
        </w:rPr>
        <w:t>投资者予以关注</w:t>
      </w:r>
      <w:r>
        <w:rPr>
          <w:rFonts w:ascii="宋体" w:hAnsi="Calibri" w:hint="eastAsia"/>
          <w:szCs w:val="21"/>
          <w:highlight w:val="white"/>
          <w:lang w:eastAsia="zh-CN"/>
        </w:rPr>
        <w:t>。</w:t>
      </w:r>
    </w:p>
    <w:p w:rsidR="002B1026">
      <w:pPr>
        <w:spacing w:line="360" w:lineRule="auto"/>
        <w:ind w:firstLine="480"/>
        <w:rPr>
          <w:rStyle w:val="da"/>
          <w:rFonts w:ascii="宋体" w:hAnsi="Calibri"/>
          <w:lang w:eastAsia="zh-CN"/>
        </w:rPr>
      </w:pPr>
      <w:r>
        <w:rPr>
          <w:rStyle w:val="da"/>
          <w:rFonts w:ascii="宋体" w:hAnsi="Calibri" w:hint="eastAsia"/>
          <w:highlight w:val="white"/>
          <w:lang w:eastAsia="zh-CN"/>
        </w:rPr>
        <w:t>二</w:t>
      </w:r>
      <w:r>
        <w:rPr>
          <w:rStyle w:val="da"/>
          <w:rFonts w:ascii="宋体" w:hAnsi="Calibri"/>
          <w:highlight w:val="white"/>
          <w:lang w:eastAsia="zh-CN"/>
        </w:rPr>
        <w:t>、</w:t>
      </w:r>
      <w:r>
        <w:rPr>
          <w:rStyle w:val="da"/>
          <w:rFonts w:ascii="宋体" w:hAnsi="Calibri" w:hint="eastAsia"/>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rsidR="002B1026">
      <w:pPr>
        <w:pStyle w:val="20"/>
        <w:spacing w:before="0" w:beforeAutospacing="0" w:after="0" w:afterAutospacing="0"/>
        <w:ind w:firstLine="420"/>
        <w:rPr>
          <w:rFonts w:ascii="宋体" w:hAnsi="Calibri"/>
          <w:sz w:val="21"/>
          <w:szCs w:val="21"/>
          <w:lang w:eastAsia="zh-CN"/>
        </w:rPr>
      </w:pPr>
    </w:p>
    <w:p w:rsidR="002B1026">
      <w:pPr>
        <w:pStyle w:val="20"/>
        <w:spacing w:before="0" w:beforeAutospacing="0" w:after="0" w:afterAutospacing="0"/>
        <w:ind w:firstLine="420"/>
        <w:rPr>
          <w:rFonts w:ascii="宋体" w:hAnsi="Calibri"/>
          <w:sz w:val="21"/>
          <w:szCs w:val="21"/>
          <w:lang w:eastAsia="zh-CN"/>
        </w:rPr>
      </w:pPr>
    </w:p>
    <w:p w:rsidR="002B1026">
      <w:pPr>
        <w:pStyle w:val="Heading1"/>
        <w:pageBreakBefore/>
        <w:spacing w:before="317" w:after="317" w:line="360" w:lineRule="auto"/>
        <w:ind w:firstLine="640"/>
        <w:rPr>
          <w:rFonts w:ascii="宋体" w:eastAsia="宋体" w:hAnsi="Calibri"/>
          <w:bCs/>
          <w:sz w:val="30"/>
          <w:szCs w:val="30"/>
          <w:lang w:eastAsia="zh-CN"/>
        </w:rPr>
      </w:pPr>
      <w:bookmarkStart w:id="1786" w:name="_Toc332373486"/>
      <w:bookmarkStart w:id="1787" w:name="_Toc227311240"/>
      <w:r>
        <w:rPr>
          <w:rFonts w:ascii="宋体" w:eastAsia="宋体" w:hAnsi="Calibri" w:hint="eastAsia"/>
          <w:bCs/>
          <w:sz w:val="30"/>
          <w:szCs w:val="30"/>
          <w:highlight w:val="white"/>
          <w:lang w:eastAsia="zh-CN"/>
        </w:rPr>
        <w:t>第</w:t>
      </w:r>
      <w:r>
        <w:rPr>
          <w:rFonts w:ascii="宋体" w:eastAsia="宋体" w:hAnsi="Calibri"/>
          <w:bCs/>
          <w:sz w:val="30"/>
          <w:szCs w:val="30"/>
          <w:highlight w:val="white"/>
          <w:lang w:eastAsia="zh-CN"/>
        </w:rPr>
        <w:t>七</w:t>
      </w:r>
      <w:r>
        <w:rPr>
          <w:rFonts w:ascii="宋体" w:eastAsia="宋体" w:hAnsi="Calibri" w:hint="eastAsia"/>
          <w:bCs/>
          <w:sz w:val="30"/>
          <w:szCs w:val="30"/>
          <w:highlight w:val="white"/>
          <w:lang w:eastAsia="zh-CN"/>
        </w:rPr>
        <w:t>部分 基金的募集安排</w:t>
      </w:r>
      <w:bookmarkEnd w:id="1786"/>
      <w:bookmarkEnd w:id="1787"/>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本基金由基金管理人依照《基金法》《运作办法》《销售办法》、基金合同的相关规定募集，并经2</w:t>
      </w:r>
      <w:r>
        <w:rPr>
          <w:rStyle w:val="da"/>
          <w:rFonts w:ascii="宋体" w:hAnsi="Calibri"/>
          <w:highlight w:val="white"/>
          <w:lang w:eastAsia="zh-CN"/>
        </w:rPr>
        <w:t>026年</w:t>
      </w:r>
      <w:r>
        <w:rPr>
          <w:rStyle w:val="da"/>
          <w:rFonts w:ascii="宋体" w:hAnsi="Calibri" w:hint="eastAsia"/>
          <w:highlight w:val="white"/>
          <w:lang w:eastAsia="zh-CN"/>
        </w:rPr>
        <w:t>1月4日中国证券监督管理委员会《关于准予</w:t>
      </w:r>
      <w:r>
        <w:rPr>
          <w:rStyle w:val="da"/>
          <w:rFonts w:ascii="宋体" w:hAnsi="Calibri" w:hint="eastAsia"/>
          <w:lang w:eastAsia="zh-CN"/>
        </w:rPr>
        <w:t>易方达如意安惠6个月持有期混合型基金中基金（FOF）</w:t>
      </w:r>
      <w:r>
        <w:rPr>
          <w:rStyle w:val="da"/>
          <w:rFonts w:ascii="宋体" w:hAnsi="Calibri" w:hint="eastAsia"/>
          <w:highlight w:val="white"/>
          <w:lang w:eastAsia="zh-CN"/>
        </w:rPr>
        <w:t>注册的批复》（证监许可[</w:t>
      </w:r>
      <w:r>
        <w:rPr>
          <w:rStyle w:val="da"/>
          <w:rFonts w:ascii="宋体" w:hAnsi="Calibri"/>
          <w:highlight w:val="white"/>
          <w:lang w:eastAsia="zh-CN"/>
        </w:rPr>
        <w:t>2025</w:t>
      </w:r>
      <w:r>
        <w:rPr>
          <w:rStyle w:val="da"/>
          <w:rFonts w:ascii="宋体" w:hAnsi="Calibri" w:hint="eastAsia"/>
          <w:highlight w:val="white"/>
          <w:lang w:eastAsia="zh-CN"/>
        </w:rPr>
        <w:t>]</w:t>
      </w:r>
      <w:r>
        <w:rPr>
          <w:rStyle w:val="da"/>
          <w:rFonts w:ascii="宋体" w:hAnsi="Calibri"/>
          <w:highlight w:val="white"/>
          <w:lang w:eastAsia="zh-CN"/>
        </w:rPr>
        <w:t>3046</w:t>
      </w:r>
      <w:r>
        <w:rPr>
          <w:rStyle w:val="da"/>
          <w:rFonts w:ascii="宋体" w:hAnsi="Calibri" w:hint="eastAsia"/>
          <w:highlight w:val="white"/>
          <w:lang w:eastAsia="zh-CN"/>
        </w:rPr>
        <w:t>号）注册。</w:t>
      </w:r>
    </w:p>
    <w:p w:rsidR="002B1026">
      <w:pPr>
        <w:spacing w:line="360" w:lineRule="auto"/>
        <w:ind w:firstLine="420"/>
        <w:rPr>
          <w:rStyle w:val="da"/>
          <w:rFonts w:ascii="宋体" w:hAnsi="Calibri"/>
          <w:lang w:eastAsia="zh-CN"/>
        </w:rPr>
      </w:pPr>
      <w:bookmarkStart w:id="1788" w:name="_Toc332373487"/>
      <w:bookmarkStart w:id="1789" w:name="_Toc332373490"/>
      <w:r>
        <w:rPr>
          <w:rStyle w:val="da"/>
          <w:rFonts w:ascii="宋体" w:hAnsi="Calibri" w:hint="eastAsia"/>
          <w:highlight w:val="white"/>
          <w:lang w:eastAsia="zh-CN"/>
        </w:rPr>
        <w:t>一、基金的类别</w:t>
      </w:r>
      <w:bookmarkEnd w:id="1788"/>
    </w:p>
    <w:p w:rsidR="002B1026">
      <w:pPr>
        <w:spacing w:line="360" w:lineRule="auto"/>
        <w:ind w:firstLine="420"/>
        <w:rPr>
          <w:rStyle w:val="da"/>
          <w:rFonts w:ascii="宋体" w:hAnsi="Calibri"/>
          <w:lang w:eastAsia="zh-CN"/>
        </w:rPr>
      </w:pPr>
      <w:r>
        <w:rPr>
          <w:rStyle w:val="da"/>
          <w:rFonts w:ascii="宋体" w:hAnsi="Calibri"/>
          <w:lang w:eastAsia="zh-CN"/>
        </w:rPr>
        <w:t>混合型基金中基金（FOF）</w:t>
      </w:r>
    </w:p>
    <w:p w:rsidR="002B1026">
      <w:pPr>
        <w:spacing w:line="360" w:lineRule="auto"/>
        <w:ind w:firstLine="420"/>
        <w:rPr>
          <w:rStyle w:val="da"/>
          <w:rFonts w:ascii="宋体" w:hAnsi="Calibri"/>
          <w:lang w:eastAsia="zh-CN"/>
        </w:rPr>
      </w:pPr>
      <w:bookmarkStart w:id="1790" w:name="_Toc332373488"/>
      <w:r>
        <w:rPr>
          <w:rStyle w:val="da"/>
          <w:rFonts w:ascii="宋体" w:hAnsi="Calibri" w:hint="eastAsia"/>
          <w:highlight w:val="white"/>
          <w:lang w:eastAsia="zh-CN"/>
        </w:rPr>
        <w:t>二、基金的运作方式</w:t>
      </w:r>
      <w:bookmarkEnd w:id="1790"/>
    </w:p>
    <w:p w:rsidR="002B1026">
      <w:pPr>
        <w:spacing w:line="360" w:lineRule="auto"/>
        <w:ind w:firstLine="420"/>
        <w:rPr>
          <w:rStyle w:val="da"/>
          <w:rFonts w:ascii="宋体" w:hAnsi="Calibri"/>
          <w:lang w:eastAsia="zh-CN"/>
        </w:rPr>
      </w:pPr>
      <w:r>
        <w:rPr>
          <w:rStyle w:val="da"/>
          <w:rFonts w:ascii="宋体" w:hAnsi="Calibri"/>
          <w:lang w:eastAsia="zh-CN"/>
        </w:rPr>
        <w:t>契约型开放式</w:t>
      </w:r>
    </w:p>
    <w:p w:rsidR="002B1026">
      <w:pPr>
        <w:spacing w:line="360" w:lineRule="auto"/>
        <w:ind w:firstLine="420"/>
        <w:rPr>
          <w:rStyle w:val="da"/>
          <w:rFonts w:ascii="宋体" w:hAnsi="Calibri"/>
          <w:lang w:eastAsia="zh-CN"/>
        </w:rPr>
      </w:pPr>
      <w:r>
        <w:rPr>
          <w:rStyle w:val="da"/>
          <w:rFonts w:ascii="宋体" w:hAnsi="Calibri"/>
          <w:lang w:eastAsia="zh-CN"/>
        </w:rPr>
        <w:t>本基金对于每份基金份额设定6个月（一个月按30天计算，下同）最短持有期限，投资者认购或申购基金份额后，自基金合同生效日或申购确认日至赎回确认日不得少于6个月。</w:t>
      </w:r>
    </w:p>
    <w:p w:rsidR="002B1026">
      <w:pPr>
        <w:spacing w:line="360" w:lineRule="auto"/>
        <w:ind w:firstLine="420"/>
        <w:rPr>
          <w:rStyle w:val="da"/>
          <w:rFonts w:ascii="宋体" w:hAnsi="Calibri"/>
          <w:lang w:eastAsia="zh-CN"/>
        </w:rPr>
      </w:pPr>
      <w:r>
        <w:rPr>
          <w:rStyle w:val="da"/>
          <w:rFonts w:ascii="宋体" w:hAnsi="Calibri"/>
          <w:lang w:eastAsia="zh-CN"/>
        </w:rPr>
        <w:t>1、对于每份认购份额的最短持有期起始日，指基金合同生效日；对于每份申购份额的最短持有期起始日，指该基金份额申购确认日。</w:t>
      </w:r>
    </w:p>
    <w:p w:rsidR="002B1026">
      <w:pPr>
        <w:spacing w:line="360" w:lineRule="auto"/>
        <w:ind w:firstLine="420"/>
        <w:rPr>
          <w:rStyle w:val="da"/>
          <w:rFonts w:ascii="宋体" w:hAnsi="Calibri"/>
          <w:lang w:eastAsia="zh-CN"/>
        </w:rPr>
      </w:pPr>
      <w:r>
        <w:rPr>
          <w:rStyle w:val="da"/>
          <w:rFonts w:ascii="宋体" w:hAnsi="Calibri"/>
          <w:lang w:eastAsia="zh-CN"/>
        </w:rPr>
        <w:t>对于每份认购份额，最短持有期为基金合同生效日起的6个月（一个月按30天计算，下同）；对于每份申购份额，最短持有期为申购确认日起的6个月。对于每份基金份额，在最短持有期内不得办理赎回确认。即对每份基金份额，当持有时间小于6个月，无法确认赎回；当持有时间大于等于6个月，可以确认赎回。最短持有期的最后一日为最短持有期到期日。</w:t>
      </w:r>
    </w:p>
    <w:p w:rsidR="002B1026">
      <w:pPr>
        <w:spacing w:line="360" w:lineRule="auto"/>
        <w:ind w:firstLine="420"/>
        <w:rPr>
          <w:rStyle w:val="da"/>
          <w:rFonts w:ascii="宋体" w:hAnsi="Calibri"/>
          <w:lang w:eastAsia="zh-CN"/>
        </w:rPr>
      </w:pPr>
      <w:r>
        <w:rPr>
          <w:rStyle w:val="da"/>
          <w:rFonts w:ascii="宋体" w:hAnsi="Calibri"/>
          <w:lang w:eastAsia="zh-CN"/>
        </w:rPr>
        <w:t>2、每份基金份额自最短持有期到期日的下一工作日（含该日）起可办理赎回确认。</w:t>
      </w:r>
    </w:p>
    <w:p w:rsidR="002B1026">
      <w:pPr>
        <w:spacing w:line="360" w:lineRule="auto"/>
        <w:ind w:firstLine="420"/>
        <w:rPr>
          <w:rStyle w:val="da"/>
          <w:rFonts w:ascii="宋体" w:hAnsi="Calibri"/>
          <w:lang w:eastAsia="zh-CN"/>
        </w:rPr>
      </w:pPr>
      <w:r>
        <w:rPr>
          <w:rStyle w:val="da"/>
          <w:rFonts w:ascii="宋体" w:hAnsi="Calibri"/>
          <w:lang w:eastAsia="zh-CN"/>
        </w:rPr>
        <w:t>在基金开始办理赎回业务、且基金份额最短持有期到期日之后（不含该日），基金管理人可按照招募说明书的约定为基金份额持有人办理赎回确认事宜。</w:t>
      </w:r>
    </w:p>
    <w:p w:rsidR="002B1026">
      <w:pPr>
        <w:spacing w:line="360" w:lineRule="auto"/>
        <w:ind w:firstLine="420"/>
        <w:rPr>
          <w:rStyle w:val="da"/>
          <w:rFonts w:ascii="宋体" w:hAnsi="Calibri"/>
          <w:lang w:eastAsia="zh-CN"/>
        </w:rPr>
      </w:pPr>
      <w:bookmarkStart w:id="1791" w:name="_Toc332373489"/>
      <w:r>
        <w:rPr>
          <w:rStyle w:val="da"/>
          <w:rFonts w:ascii="宋体" w:hAnsi="Calibri" w:hint="eastAsia"/>
          <w:highlight w:val="white"/>
          <w:lang w:eastAsia="zh-CN"/>
        </w:rPr>
        <w:t>三、基金存续期</w:t>
      </w:r>
      <w:bookmarkEnd w:id="1791"/>
    </w:p>
    <w:p w:rsidR="002B1026">
      <w:pPr>
        <w:spacing w:line="360" w:lineRule="auto"/>
        <w:ind w:firstLine="420"/>
        <w:rPr>
          <w:rStyle w:val="da"/>
          <w:rFonts w:ascii="宋体" w:hAnsi="Calibri"/>
          <w:lang w:eastAsia="zh-CN"/>
        </w:rPr>
      </w:pPr>
      <w:r>
        <w:rPr>
          <w:rStyle w:val="da"/>
          <w:rFonts w:ascii="宋体" w:hAnsi="Calibri" w:hint="eastAsia"/>
          <w:lang w:eastAsia="zh-CN"/>
        </w:rPr>
        <w:t>不定期</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四、募集期限</w:t>
      </w:r>
      <w:bookmarkEnd w:id="1789"/>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自</w:t>
      </w:r>
      <w:r>
        <w:rPr>
          <w:rStyle w:val="da"/>
          <w:rFonts w:ascii="宋体" w:hAnsi="Calibri"/>
          <w:highlight w:val="white"/>
          <w:lang w:eastAsia="zh-CN"/>
        </w:rPr>
        <w:t>基金份额发售</w:t>
      </w:r>
      <w:r>
        <w:rPr>
          <w:rStyle w:val="da"/>
          <w:rFonts w:ascii="宋体" w:hAnsi="Calibri" w:hint="eastAsia"/>
          <w:highlight w:val="white"/>
          <w:lang w:eastAsia="zh-CN"/>
        </w:rPr>
        <w:t>之日起最长不得超过3个月，具体发售时间见基金份额发售公告。</w:t>
      </w:r>
    </w:p>
    <w:p w:rsidR="002B1026">
      <w:pPr>
        <w:spacing w:line="360" w:lineRule="auto"/>
        <w:ind w:firstLine="420"/>
        <w:rPr>
          <w:rStyle w:val="da"/>
          <w:rFonts w:ascii="宋体" w:hAnsi="Calibri"/>
          <w:lang w:eastAsia="zh-CN"/>
        </w:rPr>
      </w:pPr>
      <w:bookmarkStart w:id="1792" w:name="_Toc332373491"/>
      <w:r>
        <w:rPr>
          <w:rStyle w:val="da"/>
          <w:rFonts w:ascii="宋体" w:hAnsi="Calibri" w:hint="eastAsia"/>
          <w:highlight w:val="white"/>
          <w:lang w:eastAsia="zh-CN"/>
        </w:rPr>
        <w:t>五、募集对象</w:t>
      </w:r>
      <w:bookmarkEnd w:id="1792"/>
    </w:p>
    <w:p w:rsidR="002B1026">
      <w:pPr>
        <w:spacing w:line="360" w:lineRule="auto"/>
        <w:ind w:firstLine="420"/>
        <w:rPr>
          <w:rFonts w:ascii="宋体" w:hAnsi="Calibri"/>
          <w:bCs/>
          <w:lang w:eastAsia="zh-CN"/>
        </w:rPr>
      </w:pPr>
      <w:r>
        <w:rPr>
          <w:rFonts w:ascii="宋体" w:hAnsi="Calibri"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2B1026">
      <w:pPr>
        <w:spacing w:line="360" w:lineRule="auto"/>
        <w:ind w:firstLine="420"/>
        <w:rPr>
          <w:rStyle w:val="da"/>
          <w:rFonts w:ascii="宋体" w:hAnsi="Calibri"/>
          <w:lang w:eastAsia="zh-CN"/>
        </w:rPr>
      </w:pPr>
      <w:bookmarkStart w:id="1793" w:name="_Toc332373492"/>
      <w:r>
        <w:rPr>
          <w:rStyle w:val="da"/>
          <w:rFonts w:ascii="宋体" w:hAnsi="Calibri" w:hint="eastAsia"/>
          <w:highlight w:val="white"/>
          <w:lang w:eastAsia="zh-CN"/>
        </w:rPr>
        <w:t>六、募集方式及场所</w:t>
      </w:r>
      <w:bookmarkEnd w:id="1793"/>
    </w:p>
    <w:p w:rsidR="002B1026">
      <w:pPr>
        <w:spacing w:line="360" w:lineRule="auto"/>
        <w:ind w:firstLine="422"/>
        <w:rPr>
          <w:rStyle w:val="da"/>
          <w:rFonts w:ascii="宋体" w:hAnsi="Calibri"/>
          <w:lang w:eastAsia="zh-CN"/>
        </w:rPr>
      </w:pPr>
      <w:r>
        <w:rPr>
          <w:rStyle w:val="da"/>
          <w:rFonts w:ascii="宋体" w:hAnsi="Calibri"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2B1026">
      <w:pPr>
        <w:spacing w:line="360" w:lineRule="auto"/>
        <w:ind w:firstLine="422"/>
        <w:rPr>
          <w:rStyle w:val="da"/>
          <w:rFonts w:ascii="宋体" w:hAnsi="Calibri"/>
          <w:b/>
          <w:i/>
          <w:lang w:eastAsia="zh-CN"/>
        </w:rPr>
      </w:pPr>
      <w:r>
        <w:rPr>
          <w:rStyle w:val="da"/>
          <w:rFonts w:ascii="宋体" w:hAnsi="Calibri" w:hint="eastAsia"/>
          <w:highlight w:val="white"/>
          <w:lang w:eastAsia="zh-CN"/>
        </w:rPr>
        <w:t>本基金具体发售方案以基金份额发售公告为准，请投资人就募集和认购的具体事宜仔细阅读基金份额发售公告</w:t>
      </w:r>
      <w:r>
        <w:rPr>
          <w:rStyle w:val="da"/>
          <w:rFonts w:ascii="宋体" w:hAnsi="Calibri"/>
          <w:b/>
          <w:i/>
          <w:highlight w:val="white"/>
          <w:lang w:eastAsia="zh-CN"/>
        </w:rPr>
        <w:t>。</w:t>
      </w:r>
    </w:p>
    <w:p w:rsidR="002B1026">
      <w:pPr>
        <w:spacing w:line="360" w:lineRule="auto"/>
        <w:ind w:firstLine="420"/>
        <w:rPr>
          <w:rStyle w:val="da"/>
          <w:rFonts w:ascii="宋体" w:hAnsi="Calibri"/>
          <w:lang w:eastAsia="zh-CN"/>
        </w:rPr>
      </w:pPr>
      <w:bookmarkStart w:id="1794" w:name="_Toc332373493"/>
      <w:r>
        <w:rPr>
          <w:rStyle w:val="da"/>
          <w:rFonts w:ascii="宋体" w:hAnsi="Calibri" w:hint="eastAsia"/>
          <w:highlight w:val="white"/>
          <w:lang w:eastAsia="zh-CN"/>
        </w:rPr>
        <w:t>七、认购安排</w:t>
      </w:r>
      <w:bookmarkEnd w:id="1794"/>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1、认购时间</w:t>
      </w:r>
    </w:p>
    <w:p w:rsidR="002B1026">
      <w:pPr>
        <w:spacing w:line="360" w:lineRule="auto"/>
        <w:ind w:firstLine="420"/>
        <w:rPr>
          <w:rStyle w:val="da"/>
          <w:rFonts w:ascii="宋体" w:hAnsi="Calibri"/>
          <w:lang w:eastAsia="zh-CN"/>
        </w:rPr>
      </w:pPr>
      <w:r>
        <w:rPr>
          <w:rFonts w:ascii="宋体" w:hAnsi="Calibri" w:hint="eastAsia"/>
          <w:szCs w:val="21"/>
          <w:highlight w:val="white"/>
          <w:lang w:eastAsia="zh-CN"/>
        </w:rPr>
        <w:t>认购的具体业务办理时间由基金管理人依据相关法律法规、基金合同确定并公告。</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2、募集规模上限</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 xml:space="preserve">3、认购数量限制 </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 xml:space="preserve">（1）本基金采用金额认购方式。 </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（2）投资人认购基金份额采用全额缴款的认购方式。投资人认购时，需按销售机构规定的方式全额缴款。</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（3）投资人在募集期内可以多次认购基金份额，</w:t>
      </w:r>
      <w:r>
        <w:rPr>
          <w:rFonts w:ascii="宋体" w:hAnsi="Calibri" w:cs="宋体"/>
          <w:color w:val="000000"/>
          <w:highlight w:val="white"/>
          <w:lang w:eastAsia="zh-CN"/>
        </w:rPr>
        <w:t>登记机构一旦确认认购份额，将不再办理撤销</w:t>
      </w:r>
      <w:r>
        <w:rPr>
          <w:rStyle w:val="da"/>
          <w:rFonts w:ascii="宋体" w:hAnsi="Calibri"/>
          <w:highlight w:val="white"/>
          <w:lang w:eastAsia="zh-CN"/>
        </w:rPr>
        <w:t>。</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w:t>
      </w:r>
      <w:r>
        <w:rPr>
          <w:rStyle w:val="da"/>
          <w:rFonts w:ascii="宋体" w:hAnsi="Calibri"/>
          <w:highlight w:val="white"/>
          <w:lang w:eastAsia="zh-CN"/>
        </w:rPr>
        <w:t>4</w:t>
      </w:r>
      <w:r>
        <w:rPr>
          <w:rStyle w:val="da"/>
          <w:rFonts w:ascii="宋体" w:hAnsi="Calibri" w:hint="eastAsia"/>
          <w:highlight w:val="white"/>
          <w:lang w:eastAsia="zh-CN"/>
        </w:rPr>
        <w:t>）在基金募集期内，除基金份额发售公告另有规定，投资人通过非直销销售机构或本公司</w:t>
      </w:r>
      <w:r>
        <w:rPr>
          <w:rFonts w:ascii="宋体" w:hAnsi="Calibri" w:hint="eastAsia"/>
          <w:szCs w:val="21"/>
          <w:highlight w:val="white"/>
          <w:lang w:eastAsia="zh-CN"/>
        </w:rPr>
        <w:t>网上直销系统</w:t>
      </w:r>
      <w:r>
        <w:rPr>
          <w:rStyle w:val="da"/>
          <w:rFonts w:ascii="宋体" w:hAnsi="Calibri" w:hint="eastAsia"/>
          <w:highlight w:val="white"/>
          <w:lang w:eastAsia="zh-CN"/>
        </w:rPr>
        <w:t>首次认购的单笔最低限额为人民币1元，追加认购单笔最低限额为人民币1元；投资人通过本公司直销中心首次认购的单笔最低限额为人民币50,000元，追加认购单笔最低限额是人民币1,000元。在符合法律法规规定的前提下，各销售机构对最低认购限额及交易级差有其他规定的，需要同时遵循该销售机构的相关规定。（以上金额均含认购费）。</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（5）基金募集期间单个投资人的累计认购规模没有限制。但对于可能导致单一投资者持有基金份额的比例达到或者超过</w:t>
      </w:r>
      <w:r>
        <w:rPr>
          <w:rStyle w:val="da"/>
          <w:rFonts w:ascii="宋体" w:hAnsi="Calibri"/>
          <w:highlight w:val="white"/>
          <w:lang w:eastAsia="zh-CN"/>
        </w:rPr>
        <w:t>50%</w:t>
      </w:r>
      <w:r>
        <w:rPr>
          <w:rStyle w:val="da"/>
          <w:rFonts w:ascii="宋体" w:hAnsi="Calibri" w:hint="eastAsia"/>
          <w:highlight w:val="white"/>
          <w:lang w:eastAsia="zh-CN"/>
        </w:rPr>
        <w:t>，或者变相规避</w:t>
      </w:r>
      <w:r>
        <w:rPr>
          <w:rStyle w:val="da"/>
          <w:rFonts w:ascii="宋体" w:hAnsi="Calibri"/>
          <w:highlight w:val="white"/>
          <w:lang w:eastAsia="zh-CN"/>
        </w:rPr>
        <w:t>50%</w:t>
      </w:r>
      <w:r>
        <w:rPr>
          <w:rStyle w:val="da"/>
          <w:rFonts w:ascii="宋体" w:hAnsi="Calibri" w:hint="eastAsia"/>
          <w:highlight w:val="white"/>
          <w:lang w:eastAsia="zh-CN"/>
        </w:rPr>
        <w:t xml:space="preserve">集中度的情形，基金管理人有权采取控制措施。 </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 xml:space="preserve">4、募集期利息的处理方式 </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有效认购款项在募集期间产生的利息将折算为基金份额归基金份额持有人所有，其中利息转份额的数额以登记机构的记录为准。</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5、基金份额的认购费用及认购份额的计算公式</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 xml:space="preserve">（1）认购费率 </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本基金</w:t>
      </w:r>
      <w:r>
        <w:rPr>
          <w:rStyle w:val="da"/>
          <w:rFonts w:ascii="宋体" w:hAnsi="Calibri"/>
          <w:highlight w:val="white"/>
          <w:lang w:eastAsia="zh-CN"/>
        </w:rPr>
        <w:t>A</w:t>
      </w:r>
      <w:r>
        <w:rPr>
          <w:rStyle w:val="da"/>
          <w:rFonts w:ascii="宋体" w:hAnsi="Calibri" w:hint="eastAsia"/>
          <w:highlight w:val="white"/>
          <w:lang w:eastAsia="zh-CN"/>
        </w:rPr>
        <w:t>类基金份额在认购时</w:t>
      </w:r>
      <w:r>
        <w:rPr>
          <w:rStyle w:val="da"/>
          <w:rFonts w:ascii="宋体" w:hAnsi="宋体" w:cs="宋体" w:hint="eastAsia"/>
          <w:highlight w:val="white"/>
          <w:lang w:eastAsia="zh-CN"/>
        </w:rPr>
        <w:t>按规定</w:t>
      </w:r>
      <w:r>
        <w:rPr>
          <w:rStyle w:val="da"/>
          <w:rFonts w:ascii="宋体" w:hAnsi="Calibri" w:hint="eastAsia"/>
          <w:highlight w:val="white"/>
          <w:lang w:eastAsia="zh-CN"/>
        </w:rPr>
        <w:t>收取基金认购费用</w:t>
      </w:r>
      <w:r>
        <w:rPr>
          <w:rFonts w:ascii="宋体" w:hAnsi="Calibri" w:cs="宋体"/>
          <w:color w:val="000000"/>
          <w:highlight w:val="white"/>
          <w:lang w:eastAsia="zh-CN"/>
        </w:rPr>
        <w:t>。本基金</w:t>
      </w:r>
      <w:r>
        <w:rPr>
          <w:rFonts w:ascii="宋体" w:hAnsi="Calibri"/>
          <w:color w:val="000000"/>
          <w:highlight w:val="white"/>
          <w:lang w:eastAsia="zh-CN"/>
        </w:rPr>
        <w:t>C</w:t>
      </w:r>
      <w:r>
        <w:rPr>
          <w:rFonts w:ascii="宋体" w:hAnsi="Calibri" w:cs="宋体"/>
          <w:color w:val="000000"/>
          <w:highlight w:val="white"/>
          <w:lang w:eastAsia="zh-CN"/>
        </w:rPr>
        <w:t>类基金份额不收取认购费用，在投资者持有期间</w:t>
      </w:r>
      <w:r>
        <w:rPr>
          <w:rFonts w:ascii="宋体" w:hAnsi="Calibri" w:cs="宋体" w:hint="eastAsia"/>
          <w:color w:val="000000"/>
          <w:highlight w:val="white"/>
          <w:lang w:eastAsia="zh-CN"/>
        </w:rPr>
        <w:t>计提</w:t>
      </w:r>
      <w:r>
        <w:rPr>
          <w:rFonts w:ascii="宋体" w:hAnsi="Calibri" w:cs="宋体"/>
          <w:color w:val="000000"/>
          <w:highlight w:val="white"/>
          <w:lang w:eastAsia="zh-CN"/>
        </w:rPr>
        <w:t>销售服务费</w:t>
      </w:r>
      <w:r>
        <w:rPr>
          <w:rFonts w:ascii="宋体" w:hAnsi="宋体" w:cs="宋体" w:hint="eastAsia"/>
          <w:color w:val="000000"/>
          <w:highlight w:val="white"/>
          <w:lang w:eastAsia="zh-CN"/>
        </w:rPr>
        <w:t>并按规定收取或返还</w:t>
      </w:r>
      <w:r>
        <w:rPr>
          <w:rStyle w:val="da"/>
          <w:rFonts w:ascii="宋体" w:hAnsi="Calibri" w:hint="eastAsia"/>
          <w:highlight w:val="white"/>
          <w:lang w:eastAsia="zh-CN"/>
        </w:rPr>
        <w:t>。</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2B1026">
            <w:pPr>
              <w:spacing w:line="360" w:lineRule="auto"/>
              <w:jc w:val="center"/>
              <w:rPr>
                <w:rFonts w:ascii="宋体" w:hAnsi="Calibri"/>
                <w:lang w:eastAsia="zh-CN"/>
              </w:rPr>
            </w:pPr>
            <w:r>
              <w:rPr>
                <w:rFonts w:ascii="宋体" w:hAnsi="Calibri"/>
                <w:highlight w:val="white"/>
                <w:lang w:eastAsia="zh-CN"/>
              </w:rPr>
              <w:t>认购申请金额M（元）（含认购费）</w:t>
            </w:r>
          </w:p>
        </w:tc>
        <w:tc>
          <w:tcPr>
            <w:tcW w:w="2869" w:type="dxa"/>
            <w:tcBorders>
              <w:top w:val="single" w:sz="4" w:space="0" w:color="auto"/>
              <w:left w:val="single" w:sz="4" w:space="0" w:color="auto"/>
              <w:bottom w:val="single" w:sz="4" w:space="0" w:color="auto"/>
              <w:right w:val="single" w:sz="4" w:space="0" w:color="auto"/>
            </w:tcBorders>
          </w:tcPr>
          <w:p w:rsidR="002B1026">
            <w:pPr>
              <w:spacing w:line="360" w:lineRule="auto"/>
              <w:jc w:val="center"/>
              <w:rPr>
                <w:rFonts w:ascii="宋体" w:hAnsi="Calibri"/>
                <w:lang w:eastAsia="zh-CN"/>
              </w:rPr>
            </w:pPr>
            <w:r>
              <w:rPr>
                <w:rStyle w:val="da"/>
                <w:rFonts w:ascii="宋体" w:hAnsi="Calibri"/>
                <w:highlight w:val="white"/>
                <w:lang w:eastAsia="zh-CN"/>
              </w:rPr>
              <w:t>A</w:t>
            </w:r>
            <w:r>
              <w:rPr>
                <w:rStyle w:val="da"/>
                <w:rFonts w:ascii="宋体" w:hAnsi="Calibri" w:hint="eastAsia"/>
                <w:highlight w:val="white"/>
                <w:lang w:eastAsia="zh-CN"/>
              </w:rPr>
              <w:t>类基金份额</w:t>
            </w:r>
            <w:r>
              <w:rPr>
                <w:rFonts w:ascii="宋体" w:hAnsi="Calibri"/>
                <w:highlight w:val="white"/>
                <w:lang w:eastAsia="zh-CN"/>
              </w:rPr>
              <w:t>认购费率</w:t>
            </w:r>
          </w:p>
        </w:tc>
      </w:tr>
      <w:tr>
        <w:tblPrEx>
          <w:tblW w:w="6208" w:type="dxa"/>
          <w:jc w:val="center"/>
          <w:tblLayout w:type="fixed"/>
          <w:tblLook w:val="04A0"/>
        </w:tblPrEx>
        <w:trPr>
          <w:trHeight w:val="360"/>
          <w:jc w:val="center"/>
        </w:trPr>
        <w:tc>
          <w:tcPr>
            <w:tcW w:w="3339" w:type="dxa"/>
          </w:tcPr>
          <w:p w:rsidR="002B1026">
            <w:pPr>
              <w:spacing w:line="360" w:lineRule="auto"/>
              <w:jc w:val="center"/>
              <w:rPr>
                <w:rFonts w:ascii="宋体" w:hAnsi="Calibri"/>
              </w:rPr>
            </w:pPr>
            <w:r>
              <w:rPr>
                <w:rFonts w:ascii="宋体" w:hAnsi="Calibri" w:cs="方正仿宋简体" w:hint="eastAsia"/>
                <w:bCs/>
                <w:iCs/>
              </w:rPr>
              <w:t>M&lt;100万</w:t>
            </w:r>
          </w:p>
        </w:tc>
        <w:tc>
          <w:tcPr>
            <w:tcW w:w="2869" w:type="dxa"/>
          </w:tcPr>
          <w:p w:rsidR="002B1026">
            <w:pPr>
              <w:spacing w:line="360" w:lineRule="auto"/>
              <w:jc w:val="center"/>
              <w:rPr>
                <w:rFonts w:ascii="宋体" w:hAnsi="Calibri"/>
              </w:rPr>
            </w:pPr>
            <w:r>
              <w:rPr>
                <w:rFonts w:ascii="宋体" w:hAnsi="Calibri" w:cs="方正仿宋简体" w:hint="eastAsia"/>
                <w:bCs/>
                <w:iCs/>
              </w:rPr>
              <w:t>0.</w:t>
            </w:r>
            <w:r>
              <w:rPr>
                <w:rFonts w:ascii="宋体" w:hAnsi="Calibri" w:cs="方正仿宋简体"/>
                <w:bCs/>
                <w:iCs/>
              </w:rPr>
              <w:t>5</w:t>
            </w:r>
            <w:r>
              <w:rPr>
                <w:rFonts w:ascii="宋体" w:hAnsi="Calibri" w:cs="方正仿宋简体" w:hint="eastAsia"/>
                <w:bCs/>
                <w:iCs/>
              </w:rPr>
              <w:t>0%</w:t>
            </w:r>
          </w:p>
        </w:tc>
      </w:tr>
      <w:tr>
        <w:tblPrEx>
          <w:tblW w:w="6208" w:type="dxa"/>
          <w:jc w:val="center"/>
          <w:tblLayout w:type="fixed"/>
          <w:tblLook w:val="04A0"/>
        </w:tblPrEx>
        <w:trPr>
          <w:trHeight w:val="360"/>
          <w:jc w:val="center"/>
        </w:trPr>
        <w:tc>
          <w:tcPr>
            <w:tcW w:w="3339" w:type="dxa"/>
          </w:tcPr>
          <w:p w:rsidR="002B1026">
            <w:pPr>
              <w:spacing w:line="360" w:lineRule="auto"/>
              <w:jc w:val="center"/>
              <w:rPr>
                <w:rFonts w:ascii="宋体" w:hAnsi="Calibri"/>
              </w:rPr>
            </w:pPr>
            <w:r>
              <w:rPr>
                <w:rFonts w:ascii="宋体" w:hAnsi="Calibri" w:cs="方正仿宋简体" w:hint="eastAsia"/>
                <w:bCs/>
                <w:iCs/>
              </w:rPr>
              <w:t>100万≤M&lt;500万</w:t>
            </w:r>
          </w:p>
        </w:tc>
        <w:tc>
          <w:tcPr>
            <w:tcW w:w="2869" w:type="dxa"/>
          </w:tcPr>
          <w:p w:rsidR="002B1026">
            <w:pPr>
              <w:spacing w:line="360" w:lineRule="auto"/>
              <w:jc w:val="center"/>
              <w:rPr>
                <w:rFonts w:ascii="宋体" w:hAnsi="Calibri"/>
              </w:rPr>
            </w:pPr>
            <w:r>
              <w:rPr>
                <w:rFonts w:ascii="宋体" w:hAnsi="Calibri" w:cs="方正仿宋简体" w:hint="eastAsia"/>
                <w:bCs/>
                <w:iCs/>
              </w:rPr>
              <w:t>0.40%</w:t>
            </w:r>
          </w:p>
        </w:tc>
      </w:tr>
      <w:tr>
        <w:tblPrEx>
          <w:tblW w:w="6208" w:type="dxa"/>
          <w:jc w:val="center"/>
          <w:tblLayout w:type="fixed"/>
          <w:tblLook w:val="04A0"/>
        </w:tblPrEx>
        <w:trPr>
          <w:trHeight w:val="360"/>
          <w:jc w:val="center"/>
        </w:trPr>
        <w:tc>
          <w:tcPr>
            <w:tcW w:w="3339" w:type="dxa"/>
          </w:tcPr>
          <w:p w:rsidR="002B1026">
            <w:pPr>
              <w:spacing w:line="360" w:lineRule="auto"/>
              <w:jc w:val="center"/>
              <w:rPr>
                <w:rFonts w:ascii="宋体" w:hAnsi="Calibri"/>
              </w:rPr>
            </w:pPr>
            <w:r>
              <w:rPr>
                <w:rFonts w:ascii="宋体" w:hAnsi="Calibri" w:cs="方正仿宋简体" w:hint="eastAsia"/>
                <w:bCs/>
                <w:iCs/>
              </w:rPr>
              <w:t>M≥500万</w:t>
            </w:r>
          </w:p>
        </w:tc>
        <w:tc>
          <w:tcPr>
            <w:tcW w:w="2869" w:type="dxa"/>
          </w:tcPr>
          <w:p w:rsidR="002B1026">
            <w:pPr>
              <w:spacing w:line="360" w:lineRule="auto"/>
              <w:jc w:val="center"/>
              <w:rPr>
                <w:rFonts w:ascii="宋体" w:hAnsi="Calibri"/>
              </w:rPr>
            </w:pPr>
            <w:r>
              <w:rPr>
                <w:rFonts w:ascii="宋体" w:hAnsi="Calibri" w:cs="方正仿宋简体" w:hint="eastAsia"/>
                <w:bCs/>
                <w:iCs/>
              </w:rPr>
              <w:t>按笔收取， 1000元/笔</w:t>
            </w:r>
          </w:p>
        </w:tc>
      </w:tr>
    </w:tbl>
    <w:p w:rsidR="002B1026" w:rsidRPr="0026419E" w:rsidP="0026419E">
      <w:pPr>
        <w:spacing w:line="360" w:lineRule="auto"/>
        <w:ind w:firstLine="420" w:firstLineChars="200"/>
        <w:rPr>
          <w:rStyle w:val="da"/>
          <w:lang w:eastAsia="zh-CN"/>
        </w:rPr>
      </w:pPr>
      <w:r>
        <w:rPr>
          <w:rStyle w:val="da"/>
          <w:rFonts w:ascii="宋体" w:hAnsi="宋体"/>
          <w:highlight w:val="white"/>
          <w:lang w:eastAsia="zh-CN"/>
        </w:rPr>
        <w:t>1</w:t>
      </w:r>
      <w:r>
        <w:rPr>
          <w:rStyle w:val="da"/>
          <w:rFonts w:ascii="宋体" w:hAnsi="宋体" w:cs="宋体" w:hint="eastAsia"/>
          <w:highlight w:val="white"/>
          <w:lang w:eastAsia="zh-CN"/>
        </w:rPr>
        <w:t>）</w:t>
      </w:r>
      <w:r>
        <w:rPr>
          <w:lang w:eastAsia="zh-CN"/>
        </w:rPr>
        <w:t>投资者通过</w:t>
      </w:r>
      <w:r>
        <w:rPr>
          <w:rFonts w:hint="eastAsia"/>
          <w:lang w:eastAsia="zh-CN"/>
        </w:rPr>
        <w:t>基金</w:t>
      </w:r>
      <w:r>
        <w:rPr>
          <w:lang w:eastAsia="zh-CN"/>
        </w:rPr>
        <w:t>管理人或其基金销售子公司认购本基金</w:t>
      </w:r>
      <w:r>
        <w:rPr>
          <w:lang w:eastAsia="zh-CN"/>
        </w:rPr>
        <w:t>A</w:t>
      </w:r>
      <w:r>
        <w:rPr>
          <w:lang w:eastAsia="zh-CN"/>
        </w:rPr>
        <w:t>类基金份额，不收取认购费用。</w:t>
      </w:r>
    </w:p>
    <w:p w:rsidR="002B1026">
      <w:pPr>
        <w:spacing w:line="360" w:lineRule="auto"/>
        <w:ind w:firstLine="420"/>
        <w:rPr>
          <w:rFonts w:ascii="宋体" w:hAnsi="宋体"/>
          <w:lang w:eastAsia="zh-CN"/>
        </w:rPr>
      </w:pPr>
      <w:r>
        <w:rPr>
          <w:rFonts w:ascii="宋体" w:hAnsi="Calibri"/>
          <w:highlight w:val="white"/>
          <w:lang w:eastAsia="zh-CN"/>
        </w:rPr>
        <w:t>2</w:t>
      </w:r>
      <w:r>
        <w:rPr>
          <w:rFonts w:ascii="宋体" w:hAnsi="Calibri" w:hint="eastAsia"/>
          <w:highlight w:val="white"/>
          <w:lang w:eastAsia="zh-CN"/>
        </w:rPr>
        <w:t>）</w:t>
      </w:r>
      <w:r>
        <w:rPr>
          <w:rFonts w:hint="eastAsia"/>
          <w:lang w:eastAsia="zh-CN"/>
        </w:rPr>
        <w:t>投资者通过其他销售机构</w:t>
      </w:r>
      <w:r>
        <w:rPr>
          <w:rFonts w:ascii="宋体" w:hAnsi="宋体" w:cs="宋体" w:hint="eastAsia"/>
          <w:highlight w:val="white"/>
          <w:lang w:eastAsia="zh-CN"/>
        </w:rPr>
        <w:t>认购本基金</w:t>
      </w:r>
      <w:r>
        <w:rPr>
          <w:rStyle w:val="da"/>
          <w:rFonts w:ascii="宋体" w:hAnsi="宋体"/>
          <w:highlight w:val="white"/>
          <w:lang w:eastAsia="zh-CN"/>
        </w:rPr>
        <w:t>A</w:t>
      </w:r>
      <w:r>
        <w:rPr>
          <w:rStyle w:val="da"/>
          <w:rFonts w:ascii="宋体" w:hAnsi="宋体" w:cs="宋体"/>
          <w:highlight w:val="white"/>
          <w:lang w:eastAsia="zh-CN"/>
        </w:rPr>
        <w:t>类基金份额的</w:t>
      </w:r>
      <w:r>
        <w:rPr>
          <w:rFonts w:ascii="宋体" w:hAnsi="宋体" w:cs="宋体" w:hint="eastAsia"/>
          <w:highlight w:val="white"/>
          <w:lang w:eastAsia="zh-CN"/>
        </w:rPr>
        <w:t>认购费率见</w:t>
      </w:r>
      <w:r>
        <w:rPr>
          <w:rFonts w:ascii="宋体" w:hAnsi="宋体" w:cs="宋体"/>
          <w:highlight w:val="white"/>
          <w:lang w:eastAsia="zh-CN"/>
        </w:rPr>
        <w:t>上</w:t>
      </w:r>
      <w:r>
        <w:rPr>
          <w:rFonts w:ascii="宋体" w:hAnsi="宋体" w:cs="宋体" w:hint="eastAsia"/>
          <w:highlight w:val="white"/>
          <w:lang w:eastAsia="zh-CN"/>
        </w:rPr>
        <w:t>表</w:t>
      </w:r>
      <w:r w:rsidR="00EE6F44">
        <w:rPr>
          <w:rFonts w:ascii="宋体" w:hAnsi="宋体" w:cs="宋体" w:hint="eastAsia"/>
          <w:lang w:eastAsia="zh-CN"/>
        </w:rPr>
        <w:t>。</w:t>
      </w:r>
    </w:p>
    <w:p w:rsidR="002B1026">
      <w:pPr>
        <w:spacing w:line="360" w:lineRule="auto"/>
        <w:ind w:firstLine="420"/>
        <w:rPr>
          <w:rFonts w:ascii="宋体" w:hAnsi="Calibri" w:cs="宋体"/>
          <w:lang w:eastAsia="zh-CN"/>
        </w:rPr>
      </w:pPr>
      <w:r>
        <w:rPr>
          <w:rFonts w:ascii="宋体" w:hAnsi="Calibri" w:cs="宋体" w:hint="eastAsia"/>
          <w:highlight w:val="white"/>
          <w:lang w:eastAsia="zh-CN" w:bidi="ar"/>
        </w:rPr>
        <w:t>募集期投资人可以多次认购本基金，A类基金份额认购费用按每笔A类基金份额认购申请单独计算。</w:t>
      </w:r>
    </w:p>
    <w:p w:rsidR="002B1026">
      <w:pPr>
        <w:spacing w:line="360" w:lineRule="auto"/>
        <w:ind w:firstLine="420"/>
        <w:rPr>
          <w:rFonts w:ascii="宋体" w:hAnsi="Calibri"/>
          <w:lang w:eastAsia="zh-CN"/>
        </w:rPr>
      </w:pPr>
      <w:r>
        <w:rPr>
          <w:rFonts w:ascii="宋体" w:hAnsi="Calibri" w:hint="eastAsia"/>
          <w:highlight w:val="white"/>
          <w:lang w:eastAsia="zh-CN"/>
        </w:rPr>
        <w:t>本基金</w:t>
      </w:r>
      <w:r>
        <w:rPr>
          <w:rStyle w:val="da"/>
          <w:rFonts w:ascii="宋体" w:hAnsi="Calibri"/>
          <w:highlight w:val="white"/>
          <w:lang w:eastAsia="zh-CN"/>
        </w:rPr>
        <w:t>A</w:t>
      </w:r>
      <w:r>
        <w:rPr>
          <w:rStyle w:val="da"/>
          <w:rFonts w:ascii="宋体" w:hAnsi="Calibri" w:hint="eastAsia"/>
          <w:highlight w:val="white"/>
          <w:lang w:eastAsia="zh-CN"/>
        </w:rPr>
        <w:t>类基金份额按规定收取</w:t>
      </w:r>
      <w:r>
        <w:rPr>
          <w:rFonts w:ascii="宋体" w:hAnsi="Calibri" w:hint="eastAsia"/>
          <w:highlight w:val="white"/>
          <w:lang w:eastAsia="zh-CN"/>
        </w:rPr>
        <w:t xml:space="preserve">的认购费用由认购该类基金份额的投资人承担，主要用于本基金的市场推广、销售等募集期间发生的各项费用。 </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本基金C类基金份额不收取认购费用</w:t>
      </w:r>
      <w:r>
        <w:rPr>
          <w:rFonts w:ascii="宋体" w:hAnsi="Calibri" w:cs="宋体"/>
          <w:color w:val="000000"/>
          <w:szCs w:val="21"/>
          <w:highlight w:val="white"/>
          <w:lang w:eastAsia="zh-CN"/>
        </w:rPr>
        <w:t>，在投资者持有期间</w:t>
      </w:r>
      <w:r>
        <w:rPr>
          <w:rFonts w:ascii="宋体" w:hAnsi="Calibri" w:cs="宋体" w:hint="eastAsia"/>
          <w:color w:val="000000"/>
          <w:szCs w:val="21"/>
          <w:highlight w:val="white"/>
          <w:lang w:eastAsia="zh-CN"/>
        </w:rPr>
        <w:t>计提</w:t>
      </w:r>
      <w:r>
        <w:rPr>
          <w:rFonts w:ascii="宋体" w:hAnsi="Calibri" w:cs="宋体"/>
          <w:color w:val="000000"/>
          <w:szCs w:val="21"/>
          <w:highlight w:val="white"/>
          <w:lang w:eastAsia="zh-CN"/>
        </w:rPr>
        <w:t>销售服务费</w:t>
      </w:r>
      <w:r>
        <w:rPr>
          <w:rFonts w:ascii="宋体" w:hAnsi="宋体" w:cs="宋体" w:hint="eastAsia"/>
          <w:color w:val="000000"/>
          <w:highlight w:val="white"/>
          <w:lang w:eastAsia="zh-CN"/>
        </w:rPr>
        <w:t>并按规定收取或返还</w:t>
      </w:r>
      <w:r>
        <w:rPr>
          <w:rFonts w:ascii="宋体" w:hAnsi="Calibri"/>
          <w:szCs w:val="21"/>
          <w:highlight w:val="white"/>
          <w:lang w:eastAsia="zh-CN"/>
        </w:rPr>
        <w:t>。</w:t>
      </w:r>
    </w:p>
    <w:p w:rsidR="002B1026" w:rsidRPr="0026419E">
      <w:pPr>
        <w:spacing w:line="360" w:lineRule="auto"/>
        <w:ind w:firstLine="420"/>
        <w:rPr>
          <w:rFonts w:ascii="宋体" w:hAnsi="宋体" w:cs="宋体"/>
          <w:szCs w:val="21"/>
          <w:highlight w:val="white"/>
          <w:lang w:eastAsia="zh-CN"/>
        </w:rPr>
      </w:pPr>
      <w:r>
        <w:rPr>
          <w:rFonts w:ascii="宋体" w:hAnsi="宋体" w:cs="宋体"/>
          <w:szCs w:val="21"/>
          <w:highlight w:val="white"/>
          <w:lang w:eastAsia="zh-CN"/>
        </w:rPr>
        <w:t>本基金暂不开通</w:t>
      </w:r>
      <w:r>
        <w:rPr>
          <w:rFonts w:ascii="宋体" w:hAnsi="宋体" w:cs="宋体" w:hint="eastAsia"/>
          <w:szCs w:val="21"/>
          <w:highlight w:val="white"/>
          <w:lang w:eastAsia="zh-CN"/>
        </w:rPr>
        <w:t>基金管理人及其基金销售子公司销售本基金</w:t>
      </w:r>
      <w:r>
        <w:rPr>
          <w:rFonts w:ascii="宋体" w:hAnsi="宋体" w:cs="宋体"/>
          <w:szCs w:val="21"/>
          <w:highlight w:val="white"/>
          <w:lang w:eastAsia="zh-CN"/>
        </w:rPr>
        <w:t>C</w:t>
      </w:r>
      <w:r>
        <w:rPr>
          <w:rFonts w:ascii="宋体" w:hAnsi="宋体" w:cs="宋体" w:hint="eastAsia"/>
          <w:szCs w:val="21"/>
          <w:highlight w:val="white"/>
          <w:lang w:eastAsia="zh-CN"/>
        </w:rPr>
        <w:t>类基金份额，若日后开通，将另行公告。</w:t>
      </w:r>
    </w:p>
    <w:p w:rsidR="002B1026">
      <w:pPr>
        <w:spacing w:line="360" w:lineRule="auto"/>
        <w:ind w:firstLine="420"/>
        <w:rPr>
          <w:rFonts w:ascii="宋体" w:hAnsi="Calibri"/>
          <w:lang w:eastAsia="zh-CN"/>
        </w:rPr>
      </w:pPr>
      <w:r>
        <w:rPr>
          <w:rFonts w:ascii="宋体" w:hAnsi="Calibri"/>
          <w:highlight w:val="white"/>
          <w:lang w:eastAsia="zh-CN"/>
        </w:rPr>
        <w:t>（2）认购份额的计算</w:t>
      </w:r>
    </w:p>
    <w:p w:rsidR="002B1026">
      <w:pPr>
        <w:spacing w:line="360" w:lineRule="auto"/>
        <w:ind w:firstLine="420"/>
        <w:rPr>
          <w:rFonts w:ascii="宋体" w:hAnsi="宋体"/>
          <w:szCs w:val="21"/>
          <w:lang w:eastAsia="zh-CN"/>
        </w:rPr>
      </w:pPr>
      <w:r>
        <w:rPr>
          <w:rFonts w:ascii="宋体" w:hAnsi="宋体" w:cs="宋体" w:hint="eastAsia"/>
          <w:szCs w:val="21"/>
          <w:highlight w:val="white"/>
          <w:lang w:eastAsia="zh-CN"/>
        </w:rPr>
        <w:t>a</w:t>
      </w:r>
      <w:r>
        <w:rPr>
          <w:rFonts w:ascii="宋体" w:hAnsi="宋体" w:cs="宋体"/>
          <w:szCs w:val="21"/>
          <w:highlight w:val="white"/>
          <w:lang w:eastAsia="zh-CN"/>
        </w:rPr>
        <w:t>.若投资人</w:t>
      </w:r>
      <w:r>
        <w:rPr>
          <w:rFonts w:ascii="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hAnsi="宋体" w:cs="宋体"/>
          <w:szCs w:val="21"/>
          <w:highlight w:val="white"/>
          <w:lang w:eastAsia="zh-CN"/>
        </w:rPr>
        <w:t>认购本基金</w:t>
      </w:r>
      <w:r>
        <w:rPr>
          <w:rFonts w:ascii="宋体" w:hAnsi="宋体"/>
          <w:szCs w:val="21"/>
          <w:highlight w:val="white"/>
          <w:lang w:eastAsia="zh-CN"/>
        </w:rPr>
        <w:t>A</w:t>
      </w:r>
      <w:r>
        <w:rPr>
          <w:rFonts w:ascii="宋体" w:hAnsi="宋体" w:cs="宋体"/>
          <w:szCs w:val="21"/>
          <w:highlight w:val="white"/>
          <w:lang w:eastAsia="zh-CN"/>
        </w:rPr>
        <w:t>类</w:t>
      </w:r>
      <w:r>
        <w:rPr>
          <w:rFonts w:ascii="宋体" w:hAnsi="宋体" w:cs="宋体" w:hint="eastAsia"/>
          <w:szCs w:val="21"/>
          <w:highlight w:val="white"/>
          <w:lang w:eastAsia="zh-CN"/>
        </w:rPr>
        <w:t>基金</w:t>
      </w:r>
      <w:r>
        <w:rPr>
          <w:rFonts w:ascii="宋体" w:hAnsi="宋体" w:cs="宋体"/>
          <w:szCs w:val="21"/>
          <w:highlight w:val="white"/>
          <w:lang w:eastAsia="zh-CN"/>
        </w:rPr>
        <w:t>份额，则认购份额的计算公式为：</w:t>
      </w:r>
    </w:p>
    <w:p w:rsidR="002B1026">
      <w:pPr>
        <w:spacing w:line="360" w:lineRule="auto"/>
        <w:ind w:firstLine="420" w:firstLineChars="200"/>
        <w:rPr>
          <w:rFonts w:ascii="宋体" w:hAnsi="Calibri"/>
          <w:lang w:eastAsia="zh-CN"/>
        </w:rPr>
      </w:pPr>
      <w:r>
        <w:rPr>
          <w:rFonts w:ascii="宋体" w:hAnsi="Calibri"/>
          <w:highlight w:val="white"/>
          <w:lang w:eastAsia="zh-CN"/>
        </w:rPr>
        <w:t xml:space="preserve">净认购金额=认购金额/（1+认购费率） </w:t>
      </w:r>
    </w:p>
    <w:p w:rsidR="002B1026">
      <w:pPr>
        <w:spacing w:line="360" w:lineRule="auto"/>
        <w:ind w:firstLine="420" w:firstLineChars="200"/>
        <w:rPr>
          <w:rFonts w:ascii="宋体" w:hAnsi="Calibri"/>
          <w:lang w:eastAsia="zh-CN"/>
        </w:rPr>
      </w:pPr>
      <w:r>
        <w:rPr>
          <w:rFonts w:ascii="宋体" w:hAnsi="Calibri" w:hint="eastAsia"/>
          <w:highlight w:val="white"/>
          <w:lang w:eastAsia="zh-CN"/>
        </w:rPr>
        <w:t>（注：对于认购金额在</w:t>
      </w:r>
      <w:r>
        <w:rPr>
          <w:rFonts w:ascii="宋体" w:hAnsi="Calibri"/>
          <w:highlight w:val="white"/>
          <w:lang w:eastAsia="zh-CN"/>
        </w:rPr>
        <w:t>500</w:t>
      </w:r>
      <w:r>
        <w:rPr>
          <w:rFonts w:ascii="宋体" w:hAnsi="Calibri" w:hint="eastAsia"/>
          <w:highlight w:val="white"/>
          <w:lang w:eastAsia="zh-CN"/>
        </w:rPr>
        <w:t>万元（含）以上适用固定金额认购费的认购，净认购金额</w:t>
      </w:r>
      <w:r>
        <w:rPr>
          <w:rFonts w:ascii="宋体" w:hAnsi="Calibri"/>
          <w:highlight w:val="white"/>
          <w:lang w:eastAsia="zh-CN"/>
        </w:rPr>
        <w:t>=</w:t>
      </w:r>
      <w:r>
        <w:rPr>
          <w:rFonts w:ascii="宋体" w:hAnsi="Calibri" w:hint="eastAsia"/>
          <w:highlight w:val="white"/>
          <w:lang w:eastAsia="zh-CN"/>
        </w:rPr>
        <w:t>认购金额－固定认购费金额）</w:t>
      </w:r>
    </w:p>
    <w:p w:rsidR="002B1026">
      <w:pPr>
        <w:spacing w:line="360" w:lineRule="auto"/>
        <w:ind w:firstLine="420" w:firstLineChars="200"/>
        <w:rPr>
          <w:rFonts w:ascii="宋体" w:hAnsi="Calibri"/>
          <w:lang w:eastAsia="zh-CN"/>
        </w:rPr>
      </w:pPr>
      <w:r>
        <w:rPr>
          <w:rFonts w:ascii="宋体" w:hAnsi="Calibri" w:hint="eastAsia"/>
          <w:highlight w:val="white"/>
          <w:lang w:eastAsia="zh-CN"/>
        </w:rPr>
        <w:t>认购费用</w:t>
      </w:r>
      <w:r>
        <w:rPr>
          <w:rFonts w:ascii="宋体" w:hAnsi="Calibri"/>
          <w:highlight w:val="white"/>
          <w:lang w:eastAsia="zh-CN"/>
        </w:rPr>
        <w:t>=</w:t>
      </w:r>
      <w:r>
        <w:rPr>
          <w:rFonts w:ascii="宋体" w:hAnsi="Calibri" w:hint="eastAsia"/>
          <w:highlight w:val="white"/>
          <w:lang w:eastAsia="zh-CN"/>
        </w:rPr>
        <w:t>认购金额</w:t>
      </w:r>
      <w:r>
        <w:rPr>
          <w:rFonts w:ascii="宋体" w:hAnsi="Calibri"/>
          <w:highlight w:val="white"/>
          <w:lang w:eastAsia="zh-CN"/>
        </w:rPr>
        <w:t>-</w:t>
      </w:r>
      <w:r>
        <w:rPr>
          <w:rFonts w:ascii="宋体" w:hAnsi="Calibri" w:hint="eastAsia"/>
          <w:highlight w:val="white"/>
          <w:lang w:eastAsia="zh-CN"/>
        </w:rPr>
        <w:t>净认购金额</w:t>
      </w:r>
      <w:r>
        <w:rPr>
          <w:rFonts w:ascii="宋体" w:hAnsi="Calibri"/>
          <w:highlight w:val="white"/>
          <w:lang w:eastAsia="zh-CN"/>
        </w:rPr>
        <w:t xml:space="preserve"> </w:t>
      </w:r>
    </w:p>
    <w:p w:rsidR="002B1026">
      <w:pPr>
        <w:spacing w:line="360" w:lineRule="auto"/>
        <w:ind w:firstLine="420" w:firstLineChars="200"/>
        <w:rPr>
          <w:rFonts w:ascii="宋体" w:hAnsi="Calibri"/>
          <w:lang w:eastAsia="zh-CN"/>
        </w:rPr>
      </w:pPr>
      <w:r>
        <w:rPr>
          <w:rFonts w:ascii="宋体" w:hAnsi="Calibri" w:hint="eastAsia"/>
          <w:highlight w:val="white"/>
          <w:lang w:eastAsia="zh-CN"/>
        </w:rPr>
        <w:t>认购份额</w:t>
      </w:r>
      <w:r>
        <w:rPr>
          <w:rFonts w:ascii="宋体" w:hAnsi="Calibri"/>
          <w:highlight w:val="white"/>
          <w:lang w:eastAsia="zh-CN"/>
        </w:rPr>
        <w:t>=</w:t>
      </w:r>
      <w:r>
        <w:rPr>
          <w:rFonts w:ascii="宋体" w:hAnsi="Calibri" w:hint="eastAsia"/>
          <w:highlight w:val="white"/>
          <w:lang w:eastAsia="zh-CN"/>
        </w:rPr>
        <w:t>（净认购金额</w:t>
      </w:r>
      <w:r>
        <w:rPr>
          <w:rFonts w:ascii="宋体" w:hAnsi="Calibri"/>
          <w:highlight w:val="white"/>
          <w:lang w:eastAsia="zh-CN"/>
        </w:rPr>
        <w:t>+</w:t>
      </w:r>
      <w:r>
        <w:rPr>
          <w:rFonts w:ascii="宋体" w:hAnsi="Calibri" w:hint="eastAsia"/>
          <w:highlight w:val="white"/>
          <w:lang w:eastAsia="zh-CN"/>
        </w:rPr>
        <w:t>认购利息）</w:t>
      </w:r>
      <w:r>
        <w:rPr>
          <w:rFonts w:ascii="宋体" w:hAnsi="Calibri"/>
          <w:highlight w:val="white"/>
          <w:lang w:eastAsia="zh-CN"/>
        </w:rPr>
        <w:t>/</w:t>
      </w:r>
      <w:r>
        <w:rPr>
          <w:rFonts w:ascii="宋体" w:hAnsi="Calibri" w:hint="eastAsia"/>
          <w:highlight w:val="white"/>
          <w:lang w:eastAsia="zh-CN"/>
        </w:rPr>
        <w:t>基金份额面值</w:t>
      </w:r>
      <w:r>
        <w:rPr>
          <w:rFonts w:ascii="宋体" w:hAnsi="Calibri"/>
          <w:highlight w:val="white"/>
          <w:lang w:eastAsia="zh-CN"/>
        </w:rPr>
        <w:t xml:space="preserve"> </w:t>
      </w:r>
    </w:p>
    <w:p w:rsidR="002B1026">
      <w:pPr>
        <w:spacing w:line="360" w:lineRule="auto"/>
        <w:ind w:firstLine="420" w:firstLineChars="200"/>
        <w:rPr>
          <w:rFonts w:ascii="宋体" w:hAnsi="Calibri"/>
          <w:lang w:eastAsia="zh-CN"/>
        </w:rPr>
      </w:pPr>
      <w:r>
        <w:rPr>
          <w:rFonts w:ascii="宋体" w:hAnsi="Calibri" w:hint="eastAsia"/>
          <w:highlight w:val="white"/>
          <w:lang w:eastAsia="zh-CN"/>
        </w:rPr>
        <w:t>例一：</w:t>
      </w:r>
      <w:r>
        <w:rPr>
          <w:rFonts w:ascii="宋体" w:hAnsi="宋体" w:cs="宋体" w:hint="eastAsia"/>
          <w:szCs w:val="21"/>
          <w:highlight w:val="white"/>
          <w:lang w:eastAsia="zh-CN"/>
        </w:rPr>
        <w:t>某投资人</w:t>
      </w:r>
      <w:r>
        <w:rPr>
          <w:rFonts w:ascii="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hAnsi="宋体" w:cs="宋体" w:hint="eastAsia"/>
          <w:szCs w:val="21"/>
          <w:highlight w:val="white"/>
          <w:lang w:eastAsia="zh-CN"/>
        </w:rPr>
        <w:t>认购</w:t>
      </w:r>
      <w:r>
        <w:rPr>
          <w:rFonts w:ascii="宋体" w:hAnsi="Calibri" w:hint="eastAsia"/>
          <w:highlight w:val="white"/>
          <w:lang w:eastAsia="zh-CN"/>
        </w:rPr>
        <w:t>本基金</w:t>
      </w:r>
      <w:r>
        <w:rPr>
          <w:rFonts w:ascii="宋体" w:hAnsi="Calibri"/>
          <w:highlight w:val="white"/>
          <w:lang w:eastAsia="zh-CN"/>
        </w:rPr>
        <w:t>A</w:t>
      </w:r>
      <w:r>
        <w:rPr>
          <w:rFonts w:ascii="宋体" w:hAnsi="Calibri" w:hint="eastAsia"/>
          <w:highlight w:val="white"/>
          <w:lang w:eastAsia="zh-CN"/>
        </w:rPr>
        <w:t>类基金份额</w:t>
      </w:r>
      <w:r>
        <w:rPr>
          <w:rFonts w:ascii="宋体" w:hAnsi="Calibri"/>
          <w:highlight w:val="white"/>
          <w:lang w:eastAsia="zh-CN"/>
        </w:rPr>
        <w:t>100,000</w:t>
      </w:r>
      <w:r>
        <w:rPr>
          <w:rFonts w:ascii="宋体" w:hAnsi="Calibri" w:hint="eastAsia"/>
          <w:highlight w:val="white"/>
          <w:lang w:eastAsia="zh-CN"/>
        </w:rPr>
        <w:t>元，认购费率为</w:t>
      </w:r>
      <w:r>
        <w:rPr>
          <w:rFonts w:ascii="宋体" w:hAnsi="Calibri"/>
          <w:highlight w:val="white"/>
          <w:lang w:eastAsia="zh-CN"/>
        </w:rPr>
        <w:t>0.50</w:t>
      </w:r>
      <w:r>
        <w:rPr>
          <w:rFonts w:ascii="宋体" w:hAnsi="Calibri" w:hint="eastAsia"/>
          <w:highlight w:val="white"/>
          <w:lang w:eastAsia="zh-CN"/>
        </w:rPr>
        <w:t>%，假定该笔有效认购申请金额募集期产生的利息为</w:t>
      </w:r>
      <w:r>
        <w:rPr>
          <w:rFonts w:ascii="宋体" w:hAnsi="Calibri"/>
          <w:highlight w:val="white"/>
          <w:lang w:eastAsia="zh-CN"/>
        </w:rPr>
        <w:t>50</w:t>
      </w:r>
      <w:r>
        <w:rPr>
          <w:rFonts w:ascii="宋体" w:hAnsi="Calibri" w:hint="eastAsia"/>
          <w:highlight w:val="white"/>
          <w:lang w:eastAsia="zh-CN"/>
        </w:rPr>
        <w:t>元，则可认购</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nt="eastAsia"/>
          <w:highlight w:val="white"/>
          <w:lang w:eastAsia="zh-CN"/>
        </w:rPr>
        <w:t xml:space="preserve">为： </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净认购金额＝100,000/（1＋</w:t>
      </w:r>
      <w:r>
        <w:rPr>
          <w:rFonts w:ascii="宋体" w:hAnsi="Calibri"/>
          <w:highlight w:val="white"/>
          <w:lang w:eastAsia="zh-CN"/>
        </w:rPr>
        <w:t>0.50</w:t>
      </w:r>
      <w:r>
        <w:rPr>
          <w:rFonts w:ascii="宋体" w:hAnsi="Calibri" w:hint="eastAsia"/>
          <w:highlight w:val="white"/>
          <w:lang w:eastAsia="zh-CN"/>
        </w:rPr>
        <w:t>%</w:t>
      </w:r>
      <w:r>
        <w:rPr>
          <w:rFonts w:ascii="宋体" w:hAnsi="Calibri" w:hint="eastAsia"/>
          <w:szCs w:val="21"/>
          <w:highlight w:val="white"/>
          <w:lang w:eastAsia="zh-CN"/>
        </w:rPr>
        <w:t>）＝</w:t>
      </w:r>
      <w:r>
        <w:rPr>
          <w:rFonts w:ascii="宋体" w:hAnsi="Calibri"/>
          <w:szCs w:val="21"/>
          <w:highlight w:val="white"/>
          <w:lang w:eastAsia="zh-CN"/>
        </w:rPr>
        <w:t>99,502.49</w:t>
      </w:r>
      <w:r>
        <w:rPr>
          <w:rFonts w:ascii="宋体" w:hAnsi="Calibri" w:hint="eastAsia"/>
          <w:szCs w:val="21"/>
          <w:highlight w:val="white"/>
          <w:lang w:eastAsia="zh-CN"/>
        </w:rPr>
        <w:t xml:space="preserve">元 </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认购费用＝100,000-</w:t>
      </w:r>
      <w:r>
        <w:rPr>
          <w:rFonts w:ascii="宋体" w:hAnsi="Calibri"/>
          <w:szCs w:val="21"/>
          <w:highlight w:val="white"/>
          <w:lang w:eastAsia="zh-CN"/>
        </w:rPr>
        <w:t>99,502.49</w:t>
      </w:r>
      <w:r>
        <w:rPr>
          <w:rFonts w:ascii="宋体" w:hAnsi="Calibri" w:hint="eastAsia"/>
          <w:szCs w:val="21"/>
          <w:highlight w:val="white"/>
          <w:lang w:eastAsia="zh-CN"/>
        </w:rPr>
        <w:t>＝</w:t>
      </w:r>
      <w:r>
        <w:rPr>
          <w:rFonts w:ascii="宋体" w:hAnsi="Calibri"/>
          <w:szCs w:val="21"/>
          <w:highlight w:val="white"/>
          <w:lang w:eastAsia="zh-CN"/>
        </w:rPr>
        <w:t>497.51</w:t>
      </w:r>
      <w:r>
        <w:rPr>
          <w:rFonts w:ascii="宋体" w:hAnsi="Calibri" w:hint="eastAsia"/>
          <w:szCs w:val="21"/>
          <w:highlight w:val="white"/>
          <w:lang w:eastAsia="zh-CN"/>
        </w:rPr>
        <w:t xml:space="preserve">元 </w:t>
      </w:r>
    </w:p>
    <w:p w:rsidR="002B1026">
      <w:pPr>
        <w:spacing w:line="360" w:lineRule="auto"/>
        <w:ind w:firstLine="420" w:firstLineChars="200"/>
        <w:rPr>
          <w:rFonts w:ascii="宋体" w:hAnsi="Calibri"/>
          <w:lang w:eastAsia="zh-CN"/>
        </w:rPr>
      </w:pPr>
      <w:r>
        <w:rPr>
          <w:rFonts w:ascii="宋体" w:hAnsi="Calibri" w:hint="eastAsia"/>
          <w:szCs w:val="21"/>
          <w:highlight w:val="white"/>
          <w:lang w:eastAsia="zh-CN"/>
        </w:rPr>
        <w:t>认购份额＝（</w:t>
      </w:r>
      <w:r>
        <w:rPr>
          <w:rFonts w:ascii="宋体" w:hAnsi="Calibri"/>
          <w:szCs w:val="21"/>
          <w:highlight w:val="white"/>
          <w:lang w:eastAsia="zh-CN"/>
        </w:rPr>
        <w:t>99,502.49</w:t>
      </w:r>
      <w:r>
        <w:rPr>
          <w:rFonts w:ascii="宋体" w:hAnsi="Calibri" w:hint="eastAsia"/>
          <w:szCs w:val="21"/>
          <w:highlight w:val="white"/>
          <w:lang w:eastAsia="zh-CN"/>
        </w:rPr>
        <w:t>＋50）/1.00＝</w:t>
      </w:r>
      <w:r>
        <w:rPr>
          <w:rFonts w:ascii="宋体" w:hAnsi="Calibri"/>
          <w:szCs w:val="21"/>
          <w:highlight w:val="white"/>
          <w:lang w:eastAsia="zh-CN"/>
        </w:rPr>
        <w:t>99,552.49</w:t>
      </w:r>
      <w:r>
        <w:rPr>
          <w:rFonts w:ascii="宋体" w:hAnsi="Calibri" w:hint="eastAsia"/>
          <w:szCs w:val="21"/>
          <w:highlight w:val="white"/>
          <w:lang w:eastAsia="zh-CN"/>
        </w:rPr>
        <w:t>份</w:t>
      </w:r>
    </w:p>
    <w:p w:rsidR="002B1026">
      <w:pPr>
        <w:spacing w:line="360" w:lineRule="auto"/>
        <w:ind w:firstLine="420" w:firstLineChars="200"/>
        <w:rPr>
          <w:rFonts w:ascii="宋体" w:hAnsi="Calibri"/>
          <w:lang w:eastAsia="zh-CN"/>
        </w:rPr>
      </w:pPr>
      <w:r>
        <w:rPr>
          <w:rFonts w:ascii="宋体" w:hAnsi="Calibri" w:hint="eastAsia"/>
          <w:highlight w:val="white"/>
          <w:lang w:eastAsia="zh-CN"/>
        </w:rPr>
        <w:t>即：该投资人</w:t>
      </w:r>
      <w:r>
        <w:rPr>
          <w:rFonts w:ascii="宋体" w:hAnsi="Calibri" w:hint="eastAsia"/>
          <w:lang w:eastAsia="zh-CN"/>
        </w:rPr>
        <w:t>通过除基金管理人及其基金销售子公司以外的销售机构</w:t>
      </w:r>
      <w:r>
        <w:rPr>
          <w:rFonts w:ascii="宋体" w:hAnsi="Calibri" w:hint="eastAsia"/>
          <w:highlight w:val="white"/>
          <w:lang w:eastAsia="zh-CN"/>
        </w:rPr>
        <w:t>投资</w:t>
      </w:r>
      <w:r>
        <w:rPr>
          <w:rFonts w:ascii="宋体" w:hAnsi="Calibri"/>
          <w:highlight w:val="white"/>
          <w:lang w:eastAsia="zh-CN"/>
        </w:rPr>
        <w:t>100,000</w:t>
      </w:r>
      <w:r>
        <w:rPr>
          <w:rFonts w:ascii="宋体" w:hAnsi="Calibri" w:hint="eastAsia"/>
          <w:highlight w:val="white"/>
          <w:lang w:eastAsia="zh-CN"/>
        </w:rPr>
        <w:t>元认购本基金</w:t>
      </w:r>
      <w:r>
        <w:rPr>
          <w:rFonts w:ascii="宋体" w:hAnsi="Calibri"/>
          <w:szCs w:val="21"/>
          <w:highlight w:val="white"/>
          <w:lang w:eastAsia="zh-CN"/>
        </w:rPr>
        <w:t>A</w:t>
      </w:r>
      <w:r>
        <w:rPr>
          <w:rFonts w:ascii="宋体" w:hAnsi="Calibri" w:hint="eastAsia"/>
          <w:szCs w:val="21"/>
          <w:highlight w:val="white"/>
          <w:lang w:eastAsia="zh-CN"/>
        </w:rPr>
        <w:t>类基金份额</w:t>
      </w:r>
      <w:r>
        <w:rPr>
          <w:rFonts w:ascii="宋体" w:hAnsi="Calibri" w:hint="eastAsia"/>
          <w:highlight w:val="white"/>
          <w:lang w:eastAsia="zh-CN"/>
        </w:rPr>
        <w:t>，假定该笔有效认购申请金额募集期产生的利息为</w:t>
      </w:r>
      <w:r>
        <w:rPr>
          <w:rFonts w:ascii="宋体" w:hAnsi="Calibri"/>
          <w:highlight w:val="white"/>
          <w:lang w:eastAsia="zh-CN"/>
        </w:rPr>
        <w:t>50</w:t>
      </w:r>
      <w:r>
        <w:rPr>
          <w:rFonts w:ascii="宋体" w:hAnsi="Calibri" w:hint="eastAsia"/>
          <w:highlight w:val="white"/>
          <w:lang w:eastAsia="zh-CN"/>
        </w:rPr>
        <w:t>元，可得到</w:t>
      </w:r>
      <w:r>
        <w:rPr>
          <w:rFonts w:ascii="宋体" w:hAnsi="Calibri"/>
          <w:szCs w:val="21"/>
          <w:highlight w:val="white"/>
          <w:lang w:eastAsia="zh-CN"/>
        </w:rPr>
        <w:t>99,552.49</w:t>
      </w:r>
      <w:r>
        <w:rPr>
          <w:rFonts w:ascii="宋体" w:hAnsi="Calibri" w:hint="eastAsia"/>
          <w:highlight w:val="white"/>
          <w:lang w:eastAsia="zh-CN"/>
        </w:rPr>
        <w:t>份A类基金份额。</w:t>
      </w:r>
    </w:p>
    <w:p w:rsidR="002B1026">
      <w:pPr>
        <w:spacing w:line="360" w:lineRule="auto"/>
        <w:ind w:firstLine="420"/>
        <w:rPr>
          <w:rFonts w:ascii="宋体" w:hAnsi="宋体"/>
          <w:szCs w:val="21"/>
          <w:lang w:eastAsia="zh-CN"/>
        </w:rPr>
      </w:pPr>
      <w:r>
        <w:rPr>
          <w:rFonts w:ascii="宋体" w:hAnsi="宋体"/>
          <w:szCs w:val="21"/>
          <w:highlight w:val="white"/>
          <w:lang w:eastAsia="zh-CN"/>
        </w:rPr>
        <w:t>b.</w:t>
      </w:r>
      <w:r>
        <w:rPr>
          <w:rFonts w:ascii="宋体" w:hAnsi="宋体" w:cs="宋体"/>
          <w:szCs w:val="21"/>
          <w:highlight w:val="white"/>
          <w:lang w:eastAsia="zh-CN"/>
        </w:rPr>
        <w:t>若投资人选择认购本基金</w:t>
      </w:r>
      <w:r>
        <w:rPr>
          <w:rFonts w:ascii="宋体" w:hAnsi="宋体"/>
          <w:szCs w:val="21"/>
          <w:highlight w:val="white"/>
          <w:lang w:eastAsia="zh-CN"/>
        </w:rPr>
        <w:t>C</w:t>
      </w:r>
      <w:r>
        <w:rPr>
          <w:rFonts w:ascii="宋体" w:hAnsi="宋体" w:cs="宋体"/>
          <w:szCs w:val="21"/>
          <w:highlight w:val="white"/>
          <w:lang w:eastAsia="zh-CN"/>
        </w:rPr>
        <w:t>类</w:t>
      </w:r>
      <w:r>
        <w:rPr>
          <w:rFonts w:ascii="宋体" w:hAnsi="宋体" w:cs="宋体" w:hint="eastAsia"/>
          <w:szCs w:val="21"/>
          <w:highlight w:val="white"/>
          <w:lang w:eastAsia="zh-CN"/>
        </w:rPr>
        <w:t>基金</w:t>
      </w:r>
      <w:r>
        <w:rPr>
          <w:rFonts w:ascii="宋体" w:hAnsi="宋体" w:cs="宋体"/>
          <w:szCs w:val="21"/>
          <w:highlight w:val="white"/>
          <w:lang w:eastAsia="zh-CN"/>
        </w:rPr>
        <w:t>份额，或者</w:t>
      </w:r>
      <w:r>
        <w:rPr>
          <w:lang w:eastAsia="zh-CN"/>
        </w:rPr>
        <w:t>通过</w:t>
      </w:r>
      <w:r>
        <w:rPr>
          <w:rFonts w:hint="eastAsia"/>
          <w:lang w:eastAsia="zh-CN"/>
        </w:rPr>
        <w:t>基金</w:t>
      </w:r>
      <w:r>
        <w:rPr>
          <w:lang w:eastAsia="zh-CN"/>
        </w:rPr>
        <w:t>管理人或其基金销售子公司认购本基金</w:t>
      </w:r>
      <w:r>
        <w:rPr>
          <w:lang w:eastAsia="zh-CN"/>
        </w:rPr>
        <w:t>A</w:t>
      </w:r>
      <w:r>
        <w:rPr>
          <w:lang w:eastAsia="zh-CN"/>
        </w:rPr>
        <w:t>类基金份额</w:t>
      </w:r>
      <w:r>
        <w:rPr>
          <w:rFonts w:ascii="宋体" w:hAnsi="宋体" w:cs="宋体"/>
          <w:szCs w:val="21"/>
          <w:highlight w:val="white"/>
          <w:lang w:eastAsia="zh-CN"/>
        </w:rPr>
        <w:t>，则认购份额的计算公式为：</w:t>
      </w:r>
    </w:p>
    <w:p w:rsidR="002B1026">
      <w:pPr>
        <w:spacing w:line="360" w:lineRule="auto"/>
        <w:ind w:firstLine="420" w:firstLineChars="200"/>
        <w:rPr>
          <w:rFonts w:ascii="宋体" w:hAnsi="Calibri"/>
          <w:lang w:eastAsia="zh-CN"/>
        </w:rPr>
      </w:pPr>
      <w:r>
        <w:rPr>
          <w:rFonts w:ascii="宋体" w:hAnsi="Calibri" w:hint="eastAsia"/>
          <w:highlight w:val="white"/>
          <w:lang w:eastAsia="zh-CN"/>
        </w:rPr>
        <w:t>认购份额</w:t>
      </w:r>
      <w:r>
        <w:rPr>
          <w:rFonts w:ascii="宋体" w:hAnsi="Calibri"/>
          <w:highlight w:val="white"/>
          <w:lang w:eastAsia="zh-CN"/>
        </w:rPr>
        <w:t xml:space="preserve">=(认购金额+认购利息)/基金份额面值 </w:t>
      </w:r>
    </w:p>
    <w:p w:rsidR="002B1026">
      <w:pPr>
        <w:spacing w:line="360" w:lineRule="auto"/>
        <w:ind w:firstLine="420" w:firstLineChars="200"/>
        <w:rPr>
          <w:rFonts w:ascii="宋体" w:hAnsi="Calibri"/>
          <w:lang w:eastAsia="zh-CN"/>
        </w:rPr>
      </w:pPr>
      <w:r>
        <w:rPr>
          <w:rFonts w:ascii="宋体" w:hAnsi="Calibri" w:hint="eastAsia"/>
          <w:highlight w:val="white"/>
          <w:lang w:eastAsia="zh-CN"/>
        </w:rPr>
        <w:t>例二：</w:t>
      </w:r>
      <w:r>
        <w:rPr>
          <w:rFonts w:ascii="宋体" w:hAnsi="Calibri"/>
          <w:szCs w:val="21"/>
          <w:highlight w:val="white"/>
          <w:lang w:eastAsia="zh-CN"/>
        </w:rPr>
        <w:t>某投资人</w:t>
      </w:r>
      <w:r>
        <w:rPr>
          <w:rFonts w:ascii="宋体" w:hAnsi="Calibri" w:hint="eastAsia"/>
          <w:szCs w:val="21"/>
          <w:highlight w:val="white"/>
          <w:lang w:eastAsia="zh-CN"/>
        </w:rPr>
        <w:t>认购</w:t>
      </w:r>
      <w:r>
        <w:rPr>
          <w:rFonts w:ascii="宋体" w:hAnsi="Calibri"/>
          <w:szCs w:val="21"/>
          <w:highlight w:val="white"/>
          <w:lang w:eastAsia="zh-CN"/>
        </w:rPr>
        <w:t>本基金C类</w:t>
      </w:r>
      <w:r>
        <w:rPr>
          <w:rFonts w:ascii="宋体" w:hAnsi="Calibri" w:hint="eastAsia"/>
          <w:szCs w:val="21"/>
          <w:highlight w:val="white"/>
          <w:lang w:eastAsia="zh-CN"/>
        </w:rPr>
        <w:t>基金</w:t>
      </w:r>
      <w:r>
        <w:rPr>
          <w:rFonts w:ascii="宋体" w:hAnsi="Calibri"/>
          <w:szCs w:val="21"/>
          <w:highlight w:val="white"/>
          <w:lang w:eastAsia="zh-CN"/>
        </w:rPr>
        <w:t>份额100,000元，假定该笔有效认购申请金额募集期产生的利息为50元，则可认购C类基金份额为</w:t>
      </w:r>
      <w:r>
        <w:rPr>
          <w:rFonts w:ascii="宋体" w:hAnsi="Calibri" w:hint="eastAsia"/>
          <w:highlight w:val="white"/>
          <w:lang w:eastAsia="zh-CN"/>
        </w:rPr>
        <w:t>：</w:t>
      </w:r>
      <w:r>
        <w:rPr>
          <w:rFonts w:ascii="宋体" w:hAnsi="Calibri"/>
          <w:highlight w:val="white"/>
          <w:lang w:eastAsia="zh-CN"/>
        </w:rPr>
        <w:t xml:space="preserve"> </w:t>
      </w:r>
    </w:p>
    <w:p w:rsidR="002B1026">
      <w:pPr>
        <w:spacing w:line="360" w:lineRule="auto"/>
        <w:ind w:firstLine="420" w:firstLineChars="200"/>
        <w:rPr>
          <w:rFonts w:ascii="宋体" w:hAnsi="Calibri"/>
          <w:lang w:eastAsia="zh-CN"/>
        </w:rPr>
      </w:pPr>
      <w:r>
        <w:rPr>
          <w:rFonts w:ascii="宋体" w:hAnsi="Calibri" w:hint="eastAsia"/>
          <w:highlight w:val="white"/>
          <w:lang w:eastAsia="zh-CN"/>
        </w:rPr>
        <w:t>认购份额＝</w:t>
      </w:r>
      <w:r>
        <w:rPr>
          <w:rFonts w:ascii="宋体" w:hAnsi="Calibri"/>
          <w:highlight w:val="white"/>
          <w:lang w:eastAsia="zh-CN"/>
        </w:rPr>
        <w:t>(100,000</w:t>
      </w:r>
      <w:r>
        <w:rPr>
          <w:rFonts w:ascii="宋体" w:hAnsi="Calibri" w:hint="eastAsia"/>
          <w:highlight w:val="white"/>
          <w:lang w:eastAsia="zh-CN"/>
        </w:rPr>
        <w:t>＋</w:t>
      </w:r>
      <w:r>
        <w:rPr>
          <w:rFonts w:ascii="宋体" w:hAnsi="Calibri"/>
          <w:highlight w:val="white"/>
          <w:lang w:eastAsia="zh-CN"/>
        </w:rPr>
        <w:t>50)/1.00</w:t>
      </w:r>
      <w:r>
        <w:rPr>
          <w:rFonts w:ascii="宋体" w:hAnsi="Calibri" w:hint="eastAsia"/>
          <w:highlight w:val="white"/>
          <w:lang w:eastAsia="zh-CN"/>
        </w:rPr>
        <w:t>＝</w:t>
      </w:r>
      <w:r>
        <w:rPr>
          <w:rFonts w:ascii="宋体" w:hAnsi="Calibri"/>
          <w:highlight w:val="white"/>
          <w:lang w:eastAsia="zh-CN"/>
        </w:rPr>
        <w:t>100,050.00</w:t>
      </w:r>
      <w:r>
        <w:rPr>
          <w:rFonts w:ascii="宋体" w:hAnsi="Calibri" w:hint="eastAsia"/>
          <w:highlight w:val="white"/>
          <w:lang w:eastAsia="zh-CN"/>
        </w:rPr>
        <w:t>份</w:t>
      </w:r>
      <w:r>
        <w:rPr>
          <w:rFonts w:ascii="宋体" w:hAnsi="Calibri"/>
          <w:highlight w:val="white"/>
          <w:lang w:eastAsia="zh-CN"/>
        </w:rPr>
        <w:t xml:space="preserve"> </w:t>
      </w:r>
    </w:p>
    <w:p w:rsidR="002B1026">
      <w:pPr>
        <w:spacing w:line="360" w:lineRule="auto"/>
        <w:ind w:firstLine="420"/>
        <w:rPr>
          <w:rFonts w:ascii="宋体" w:hAnsi="Calibri"/>
          <w:lang w:eastAsia="zh-CN"/>
        </w:rPr>
      </w:pPr>
      <w:r>
        <w:rPr>
          <w:rFonts w:ascii="宋体" w:hAnsi="Calibri" w:hint="eastAsia"/>
          <w:highlight w:val="white"/>
          <w:lang w:eastAsia="zh-CN"/>
        </w:rPr>
        <w:t>即：</w:t>
      </w:r>
      <w:r>
        <w:rPr>
          <w:rFonts w:ascii="宋体" w:hAnsi="Calibri"/>
          <w:szCs w:val="21"/>
          <w:highlight w:val="white"/>
          <w:lang w:eastAsia="zh-CN"/>
        </w:rPr>
        <w:t>该投资人投资100,000元认购本基金C类</w:t>
      </w:r>
      <w:r>
        <w:rPr>
          <w:rFonts w:ascii="宋体" w:hAnsi="Calibri" w:hint="eastAsia"/>
          <w:szCs w:val="21"/>
          <w:highlight w:val="white"/>
          <w:lang w:eastAsia="zh-CN"/>
        </w:rPr>
        <w:t>基金</w:t>
      </w:r>
      <w:r>
        <w:rPr>
          <w:rFonts w:ascii="宋体" w:hAnsi="Calibri"/>
          <w:szCs w:val="21"/>
          <w:highlight w:val="white"/>
          <w:lang w:eastAsia="zh-CN"/>
        </w:rPr>
        <w:t>份额，假定该笔有效认购申请金额募集期产生的利息为50元，可得到100,050.00份C类基金份额</w:t>
      </w:r>
      <w:r>
        <w:rPr>
          <w:rFonts w:ascii="宋体" w:hAnsi="Calibri" w:hint="eastAsia"/>
          <w:highlight w:val="white"/>
          <w:lang w:eastAsia="zh-CN"/>
        </w:rPr>
        <w:t>。</w:t>
      </w:r>
    </w:p>
    <w:p w:rsidR="002B1026">
      <w:pPr>
        <w:spacing w:line="360" w:lineRule="auto"/>
        <w:ind w:firstLine="420"/>
        <w:rPr>
          <w:rFonts w:ascii="宋体" w:hAnsi="Calibri"/>
          <w:lang w:eastAsia="zh-CN"/>
        </w:rPr>
      </w:pPr>
      <w:r>
        <w:rPr>
          <w:rFonts w:ascii="宋体" w:hAnsi="Calibri"/>
          <w:highlight w:val="white"/>
          <w:lang w:eastAsia="zh-CN"/>
        </w:rPr>
        <w:t>（3）认购份额的计算中涉及金额的计算结果均以人民币元为单位，四舍五入，保留小数点后2位；认购份数采取四舍五入的方法保留小数点后2位，由此产生的误差计入基金财产。认购费用不属于基金资产。</w:t>
      </w:r>
    </w:p>
    <w:p w:rsidR="002B1026">
      <w:pPr>
        <w:spacing w:line="360" w:lineRule="auto"/>
        <w:ind w:firstLine="420"/>
        <w:rPr>
          <w:rFonts w:ascii="宋体" w:hAnsi="Calibri"/>
          <w:szCs w:val="21"/>
          <w:lang w:eastAsia="zh-CN"/>
        </w:rPr>
      </w:pPr>
      <w:r>
        <w:rPr>
          <w:rFonts w:ascii="宋体" w:hAnsi="Calibri"/>
          <w:szCs w:val="21"/>
          <w:highlight w:val="white"/>
          <w:lang w:eastAsia="zh-CN"/>
        </w:rPr>
        <w:t xml:space="preserve">6、认购的确认 </w:t>
      </w:r>
    </w:p>
    <w:p w:rsidR="002B1026">
      <w:pPr>
        <w:spacing w:line="360" w:lineRule="auto"/>
        <w:ind w:firstLine="420"/>
        <w:rPr>
          <w:rFonts w:ascii="宋体" w:hAnsi="Calibri"/>
          <w:szCs w:val="21"/>
          <w:lang w:eastAsia="zh-CN"/>
        </w:rPr>
      </w:pPr>
      <w:r>
        <w:rPr>
          <w:rFonts w:ascii="宋体" w:hAnsi="Calibri"/>
          <w:szCs w:val="21"/>
          <w:highlight w:val="white"/>
          <w:lang w:eastAsia="zh-CN"/>
        </w:rPr>
        <w:t>当日（T日）在规定时间内提交的申请，投资人通常可在T+2日后（包括该日）到基金销售网点查询交易情况。销售机构对投资人认购申请的受理并不表示对该申请的成功确认，而仅代表</w:t>
      </w:r>
      <w:r>
        <w:rPr>
          <w:rFonts w:ascii="宋体" w:hAnsi="Calibri" w:hint="eastAsia"/>
          <w:szCs w:val="21"/>
          <w:highlight w:val="white"/>
          <w:lang w:eastAsia="zh-CN"/>
        </w:rPr>
        <w:t>销售机构</w:t>
      </w:r>
      <w:r>
        <w:rPr>
          <w:rFonts w:ascii="宋体" w:hAnsi="Calibri"/>
          <w:szCs w:val="21"/>
          <w:highlight w:val="white"/>
          <w:lang w:eastAsia="zh-CN"/>
        </w:rPr>
        <w:t>确实收到了认购申请。申请是否有效应以基金登记机构的确认登记为准。</w:t>
      </w:r>
    </w:p>
    <w:p w:rsidR="002B1026">
      <w:pPr>
        <w:spacing w:line="360" w:lineRule="auto"/>
        <w:ind w:firstLine="420"/>
        <w:rPr>
          <w:rFonts w:ascii="宋体" w:hAnsi="Calibri"/>
          <w:szCs w:val="21"/>
          <w:lang w:eastAsia="zh-CN"/>
        </w:rPr>
      </w:pPr>
      <w:r>
        <w:rPr>
          <w:rFonts w:ascii="宋体" w:hAnsi="Calibri"/>
          <w:szCs w:val="21"/>
          <w:highlight w:val="white"/>
          <w:lang w:eastAsia="zh-CN"/>
        </w:rPr>
        <w:t xml:space="preserve">投资人开户和认购所需提交的文件和办理的具体程序，请参阅基金份额发售公告。 </w:t>
      </w:r>
    </w:p>
    <w:p w:rsidR="002B1026">
      <w:pPr>
        <w:spacing w:line="360" w:lineRule="auto"/>
        <w:ind w:firstLine="420"/>
        <w:rPr>
          <w:rStyle w:val="da"/>
          <w:rFonts w:ascii="宋体" w:hAnsi="Calibri"/>
          <w:lang w:eastAsia="zh-CN"/>
        </w:rPr>
      </w:pPr>
      <w:bookmarkStart w:id="1795" w:name="_Toc332373494"/>
      <w:r>
        <w:rPr>
          <w:rStyle w:val="da"/>
          <w:rFonts w:ascii="宋体" w:hAnsi="Calibri" w:hint="eastAsia"/>
          <w:highlight w:val="white"/>
          <w:lang w:eastAsia="zh-CN"/>
        </w:rPr>
        <w:t>八、募集期间的资金存放和费用</w:t>
      </w:r>
      <w:bookmarkEnd w:id="1795"/>
    </w:p>
    <w:p w:rsidR="002B1026">
      <w:pPr>
        <w:spacing w:line="360" w:lineRule="auto"/>
        <w:ind w:firstLine="420"/>
        <w:rPr>
          <w:rFonts w:ascii="宋体" w:hAnsi="Calibri"/>
          <w:lang w:eastAsia="zh-CN"/>
        </w:rPr>
      </w:pPr>
      <w:r>
        <w:rPr>
          <w:rFonts w:ascii="宋体" w:hAnsi="Calibri" w:hint="eastAsia"/>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2B1026">
      <w:pPr>
        <w:spacing w:line="360" w:lineRule="auto"/>
        <w:ind w:firstLine="420"/>
        <w:rPr>
          <w:rFonts w:ascii="宋体" w:hAnsi="Calibri"/>
          <w:lang w:eastAsia="zh-CN"/>
        </w:rPr>
      </w:pPr>
    </w:p>
    <w:p w:rsidR="002B1026">
      <w:pPr>
        <w:pStyle w:val="Heading1"/>
        <w:pageBreakBefore/>
        <w:spacing w:before="317" w:after="317" w:line="360" w:lineRule="auto"/>
        <w:ind w:firstLine="640"/>
        <w:rPr>
          <w:rFonts w:ascii="宋体" w:eastAsia="宋体" w:hAnsi="Calibri"/>
          <w:bCs/>
          <w:sz w:val="30"/>
          <w:szCs w:val="30"/>
          <w:lang w:eastAsia="zh-CN"/>
        </w:rPr>
      </w:pPr>
      <w:bookmarkStart w:id="1796" w:name="_Toc332373495"/>
      <w:bookmarkStart w:id="1797" w:name="_Toc227311241"/>
      <w:r>
        <w:rPr>
          <w:rFonts w:ascii="宋体" w:eastAsia="宋体" w:hAnsi="Calibri" w:hint="eastAsia"/>
          <w:bCs/>
          <w:sz w:val="30"/>
          <w:szCs w:val="30"/>
          <w:highlight w:val="white"/>
          <w:lang w:eastAsia="zh-CN"/>
        </w:rPr>
        <w:t>第</w:t>
      </w:r>
      <w:r>
        <w:rPr>
          <w:rFonts w:ascii="宋体" w:eastAsia="宋体" w:hAnsi="Calibri"/>
          <w:bCs/>
          <w:sz w:val="30"/>
          <w:szCs w:val="30"/>
          <w:highlight w:val="white"/>
          <w:lang w:eastAsia="zh-CN"/>
        </w:rPr>
        <w:t>八</w:t>
      </w:r>
      <w:r>
        <w:rPr>
          <w:rFonts w:ascii="宋体" w:eastAsia="宋体" w:hAnsi="Calibri" w:hint="eastAsia"/>
          <w:bCs/>
          <w:sz w:val="30"/>
          <w:szCs w:val="30"/>
          <w:highlight w:val="white"/>
          <w:lang w:eastAsia="zh-CN"/>
        </w:rPr>
        <w:t>部分 基金合同的生效</w:t>
      </w:r>
      <w:bookmarkEnd w:id="1796"/>
      <w:bookmarkEnd w:id="1797"/>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一、基金备案的条件</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基金管理人自收到验资报告之日起10日内，向中国证监会办理基金备案手续。</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二、基金合同不能生效时募集资金的处理方式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如果募集期限届满，未满足基金备案条件，基金管理人应当承担下列责任：</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1、以其固有财产承担因募集行为而产生的债务和费用；</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2、在基金募集期限届满后30日内返还投资者已缴纳的款项，并加计银行同期活期存款利息；</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3、如基金募集失败，基金管理人、基金托管人及销售机构不得请求报酬。基金管理人、基金托管人和销售机构为基金募集支付之一切费用应由各方各自承担。</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三、基金存续期内的基金份额持有人数量和资产规模</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法律法规或中国证监会另有规定时，从其规定。</w:t>
      </w:r>
    </w:p>
    <w:p w:rsidR="002B1026">
      <w:pPr>
        <w:spacing w:line="360" w:lineRule="auto"/>
        <w:ind w:firstLine="420"/>
        <w:rPr>
          <w:rFonts w:ascii="宋体" w:hAnsi="Calibri"/>
          <w:szCs w:val="21"/>
          <w:lang w:eastAsia="zh-CN"/>
        </w:rPr>
      </w:pPr>
    </w:p>
    <w:p w:rsidR="002B1026">
      <w:pPr>
        <w:spacing w:line="360" w:lineRule="auto"/>
        <w:rPr>
          <w:rFonts w:ascii="宋体" w:hAnsi="Calibri"/>
          <w:lang w:eastAsia="zh-CN"/>
        </w:rPr>
      </w:pPr>
    </w:p>
    <w:p w:rsidR="002B1026">
      <w:pPr>
        <w:pStyle w:val="Heading1"/>
        <w:pageBreakBefore/>
        <w:spacing w:before="317" w:after="317" w:line="360" w:lineRule="auto"/>
        <w:ind w:firstLine="0"/>
        <w:rPr>
          <w:rFonts w:ascii="宋体" w:eastAsia="宋体" w:hAnsi="Calibri"/>
          <w:bCs/>
          <w:sz w:val="30"/>
          <w:szCs w:val="30"/>
          <w:lang w:eastAsia="zh-CN"/>
        </w:rPr>
      </w:pPr>
      <w:bookmarkStart w:id="1798" w:name="_Toc332373499"/>
      <w:bookmarkStart w:id="1799" w:name="_Toc227311242"/>
      <w:r>
        <w:rPr>
          <w:rFonts w:ascii="宋体" w:eastAsia="宋体" w:hAnsi="Calibri" w:hint="eastAsia"/>
          <w:bCs/>
          <w:sz w:val="30"/>
          <w:szCs w:val="30"/>
          <w:highlight w:val="white"/>
          <w:lang w:eastAsia="zh-CN"/>
        </w:rPr>
        <w:t>第</w:t>
      </w:r>
      <w:r>
        <w:rPr>
          <w:rFonts w:ascii="宋体" w:eastAsia="宋体" w:hAnsi="Calibri"/>
          <w:sz w:val="30"/>
          <w:szCs w:val="30"/>
          <w:highlight w:val="white"/>
          <w:lang w:eastAsia="zh-CN"/>
        </w:rPr>
        <w:t>九</w:t>
      </w:r>
      <w:r>
        <w:rPr>
          <w:rFonts w:ascii="宋体" w:eastAsia="宋体" w:hAnsi="Calibri" w:hint="eastAsia"/>
          <w:bCs/>
          <w:sz w:val="30"/>
          <w:szCs w:val="30"/>
          <w:highlight w:val="white"/>
          <w:lang w:eastAsia="zh-CN"/>
        </w:rPr>
        <w:t>部分 基金份额的申购、赎回</w:t>
      </w:r>
      <w:bookmarkEnd w:id="1798"/>
      <w:bookmarkEnd w:id="1799"/>
    </w:p>
    <w:p w:rsidR="002B1026">
      <w:pPr>
        <w:spacing w:line="360" w:lineRule="auto"/>
        <w:ind w:firstLine="420"/>
        <w:rPr>
          <w:rStyle w:val="da"/>
          <w:rFonts w:ascii="宋体" w:hAnsi="Calibri"/>
          <w:szCs w:val="21"/>
          <w:lang w:eastAsia="zh-CN"/>
        </w:rPr>
      </w:pPr>
      <w:bookmarkStart w:id="1800" w:name="_Toc332373500"/>
      <w:r>
        <w:rPr>
          <w:rStyle w:val="da"/>
          <w:rFonts w:ascii="宋体" w:hAnsi="Calibri" w:hint="eastAsia"/>
          <w:szCs w:val="21"/>
          <w:highlight w:val="white"/>
          <w:lang w:eastAsia="zh-CN"/>
        </w:rPr>
        <w:t>一、基金投资人范围</w:t>
      </w:r>
      <w:bookmarkEnd w:id="1800"/>
    </w:p>
    <w:p w:rsidR="002B1026">
      <w:pPr>
        <w:spacing w:line="360" w:lineRule="auto"/>
        <w:ind w:firstLine="424"/>
        <w:rPr>
          <w:rFonts w:ascii="宋体" w:hAnsi="Calibri"/>
          <w:szCs w:val="21"/>
          <w:lang w:eastAsia="zh-CN"/>
        </w:rPr>
      </w:pPr>
      <w:r>
        <w:rPr>
          <w:rFonts w:ascii="宋体" w:hAnsi="Calibri"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2B1026">
      <w:pPr>
        <w:spacing w:line="360" w:lineRule="auto"/>
        <w:ind w:firstLine="420"/>
        <w:rPr>
          <w:rStyle w:val="da"/>
          <w:rFonts w:ascii="宋体" w:hAnsi="Calibri"/>
          <w:lang w:eastAsia="zh-CN"/>
        </w:rPr>
      </w:pPr>
      <w:bookmarkStart w:id="1801" w:name="_Toc332373501"/>
      <w:r>
        <w:rPr>
          <w:rStyle w:val="da"/>
          <w:rFonts w:ascii="宋体" w:hAnsi="Calibri" w:hint="eastAsia"/>
          <w:highlight w:val="white"/>
          <w:lang w:eastAsia="zh-CN"/>
        </w:rPr>
        <w:t>二、申购与赎回的场所</w:t>
      </w:r>
      <w:bookmarkEnd w:id="1801"/>
    </w:p>
    <w:p w:rsidR="002B1026">
      <w:pPr>
        <w:spacing w:line="360" w:lineRule="auto"/>
        <w:ind w:firstLine="420"/>
        <w:rPr>
          <w:rFonts w:ascii="宋体" w:hAnsi="Calibri"/>
          <w:bCs/>
          <w:lang w:eastAsia="zh-CN"/>
        </w:rPr>
      </w:pPr>
      <w:r>
        <w:rPr>
          <w:rFonts w:ascii="宋体" w:hAnsi="Calibri"/>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2B1026">
      <w:pPr>
        <w:spacing w:line="360" w:lineRule="auto"/>
        <w:ind w:firstLine="420"/>
        <w:rPr>
          <w:rFonts w:ascii="宋体" w:hAnsi="Calibri"/>
          <w:bCs/>
          <w:lang w:eastAsia="zh-CN"/>
        </w:rPr>
      </w:pPr>
      <w:r>
        <w:rPr>
          <w:rFonts w:ascii="宋体" w:hAnsi="Calibri"/>
          <w:bCs/>
          <w:highlight w:val="white"/>
          <w:lang w:eastAsia="zh-CN"/>
        </w:rPr>
        <w:t>本基金不同类别份额的申购、赎回的销售机构可能不同，具体详见基金管理人网站公示。</w:t>
      </w:r>
    </w:p>
    <w:p w:rsidR="002B1026">
      <w:pPr>
        <w:spacing w:line="360" w:lineRule="auto"/>
        <w:ind w:firstLine="420"/>
        <w:rPr>
          <w:rStyle w:val="da"/>
          <w:rFonts w:ascii="宋体" w:hAnsi="Calibri"/>
          <w:szCs w:val="21"/>
          <w:lang w:eastAsia="zh-CN"/>
        </w:rPr>
      </w:pPr>
      <w:bookmarkStart w:id="1802" w:name="_Toc332373502"/>
      <w:r>
        <w:rPr>
          <w:rStyle w:val="da"/>
          <w:rFonts w:ascii="宋体" w:hAnsi="Calibri" w:hint="eastAsia"/>
          <w:szCs w:val="21"/>
          <w:highlight w:val="white"/>
          <w:lang w:eastAsia="zh-CN"/>
        </w:rPr>
        <w:t>三、申购与赎回办理的开放日及时间</w:t>
      </w:r>
      <w:bookmarkEnd w:id="1802"/>
    </w:p>
    <w:p w:rsidR="002B1026">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1、开放日及开放时间</w:t>
      </w:r>
    </w:p>
    <w:p w:rsidR="002B1026">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投资人在开放日办理基金份额的申购和赎回，本基金的开放日为上海证券交易所、深圳证券交易所的交易日，但基金管理人根据法律法规、中国证监会的要求或基金合同的规定公告暂停申购、赎回时除外。开放日的具体业务办理时间见相关公告。</w:t>
      </w:r>
    </w:p>
    <w:p w:rsidR="002B1026">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基金合同生效后，若出现新的证券交易市场、证券交易所交易时间变更、其他特殊情况或根据业务需要，基金管理人将视情况对前述开放日及开放时间进行相应的调整，但应在实施前依照《信息披露办法》的有关规定在规定媒介上公告。</w:t>
      </w:r>
    </w:p>
    <w:p w:rsidR="002B1026">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2、申购、赎回开始日及业务办理时间</w:t>
      </w:r>
    </w:p>
    <w:p w:rsidR="002B1026">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基金管理人可根据实际情况依法决定本基金开始办理申购的具体日期，具体业务办理时间在申购开始公告中规定。</w:t>
      </w:r>
    </w:p>
    <w:p w:rsidR="002B1026">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本基金对投资者申购的每份基金份额设定6个月（一个月按30天计算，下同）最短持有期限，在最短持有期限内，基金管理人对投资者的相应基金份额不办理赎回确认。即对于每份基金份额，当持有时间小于6个月，无法确认赎回；当持有时间大于等于6个月，可以确认赎回。最短持有期的最后一日为最短持有期到期日。对于每份基金份额，基金管理人仅在最短持有期到期日之后（不含该日）为基金份额持有人办理相应基金份额的赎回确认。</w:t>
      </w:r>
    </w:p>
    <w:p w:rsidR="002B1026">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基金管理人自认购份额的6个月最短持有期到期日（即基金合同生效日起6个月的届满之日）之后（不含该日）开始办理赎回确认。</w:t>
      </w:r>
    </w:p>
    <w:p w:rsidR="002B1026">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在确定申购开始与赎回开始时间后，基金管理人应在申购、赎回开放前依照《信息披露办法》的有关规定在规定媒介上公告申购、赎回的开始时间，每份基金份额自最短持有期到期日的下一工作日（含该日）起可办理赎回确认。</w:t>
      </w:r>
    </w:p>
    <w:p w:rsidR="002B1026">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基金管理人不得在基金合同约定之外的日期或者时间办理基金份额的申购、赎回。投资人在基金合同约定之外的日期和时间提出申购、赎回申请且登记机构确认接受的，其基金份额申购、赎回价格为下一开放日基金份额申购、赎回的价格。</w:t>
      </w:r>
    </w:p>
    <w:p w:rsidR="002B1026">
      <w:pPr>
        <w:spacing w:line="360" w:lineRule="auto"/>
        <w:ind w:firstLine="420"/>
        <w:rPr>
          <w:rFonts w:ascii="宋体" w:hAnsi="Calibri"/>
          <w:bCs/>
          <w:sz w:val="24"/>
          <w:lang w:eastAsia="zh-CN"/>
        </w:rPr>
      </w:pPr>
      <w:bookmarkStart w:id="1803" w:name="_Toc332373503"/>
      <w:r>
        <w:rPr>
          <w:rStyle w:val="da"/>
          <w:rFonts w:ascii="宋体" w:hAnsi="Calibri" w:hint="eastAsia"/>
          <w:szCs w:val="21"/>
          <w:highlight w:val="white"/>
          <w:lang w:eastAsia="zh-CN"/>
        </w:rPr>
        <w:t>四、</w:t>
      </w:r>
      <w:r>
        <w:rPr>
          <w:rStyle w:val="da"/>
          <w:rFonts w:ascii="宋体" w:hAnsi="Calibri"/>
          <w:szCs w:val="21"/>
          <w:highlight w:val="white"/>
          <w:lang w:eastAsia="zh-CN"/>
        </w:rPr>
        <w:t>申购与赎回的原则</w:t>
      </w:r>
      <w:bookmarkEnd w:id="1803"/>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Pr>
          <w:rFonts w:ascii="宋体" w:hAnsi="Calibri"/>
          <w:bCs/>
          <w:szCs w:val="21"/>
          <w:highlight w:val="white"/>
          <w:lang w:eastAsia="zh-CN"/>
        </w:rPr>
        <w:t>“</w:t>
      </w:r>
      <w:r>
        <w:rPr>
          <w:rFonts w:ascii="宋体" w:hAnsi="Calibri"/>
          <w:bCs/>
          <w:szCs w:val="21"/>
          <w:highlight w:val="white"/>
          <w:lang w:eastAsia="zh-CN"/>
        </w:rPr>
        <w:t>未知价</w:t>
      </w:r>
      <w:r>
        <w:rPr>
          <w:rFonts w:ascii="宋体" w:hAnsi="Calibri"/>
          <w:bCs/>
          <w:szCs w:val="21"/>
          <w:highlight w:val="white"/>
          <w:lang w:eastAsia="zh-CN"/>
        </w:rPr>
        <w:t>”</w:t>
      </w:r>
      <w:r>
        <w:rPr>
          <w:rFonts w:ascii="宋体" w:hAnsi="Calibri"/>
          <w:bCs/>
          <w:szCs w:val="21"/>
          <w:highlight w:val="white"/>
          <w:lang w:eastAsia="zh-CN"/>
        </w:rPr>
        <w:t>原则，即申购、赎回价格以申请当日的对应份额类别的基金份额净值为基准进行计算；</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Pr>
          <w:rFonts w:ascii="宋体" w:hAnsi="Calibri"/>
          <w:bCs/>
          <w:szCs w:val="21"/>
          <w:highlight w:val="white"/>
          <w:lang w:eastAsia="zh-CN"/>
        </w:rPr>
        <w:t>“</w:t>
      </w:r>
      <w:r>
        <w:rPr>
          <w:rFonts w:ascii="宋体" w:hAnsi="Calibri"/>
          <w:bCs/>
          <w:szCs w:val="21"/>
          <w:highlight w:val="white"/>
          <w:lang w:eastAsia="zh-CN"/>
        </w:rPr>
        <w:t>金额申购、份额赎回</w:t>
      </w:r>
      <w:r>
        <w:rPr>
          <w:rFonts w:ascii="宋体" w:hAnsi="Calibri"/>
          <w:bCs/>
          <w:szCs w:val="21"/>
          <w:highlight w:val="white"/>
          <w:lang w:eastAsia="zh-CN"/>
        </w:rPr>
        <w:t>”</w:t>
      </w:r>
      <w:r>
        <w:rPr>
          <w:rFonts w:ascii="宋体" w:hAnsi="Calibri"/>
          <w:bCs/>
          <w:szCs w:val="21"/>
          <w:highlight w:val="white"/>
          <w:lang w:eastAsia="zh-CN"/>
        </w:rPr>
        <w:t>原则，即申购以金额申请，赎回以份额申请；</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3、当日的申购与赎回申请可以在基金管理人规定的时间以内撤销；</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4、基金份额持有人赎回时，除指定赎回外，基金管理人按先进先出的原则，对该持有人账户在该销售机构托管的基金份额进行处理，即先确认的份额先赎回，后确认的份额后赎回；</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5、办理申购、赎回业务时，应当遵循基金份额持有人利益优先原则，确保投资者的合法权益不受损害并得到公平对待。</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基金管理人可在不违反法律法规的情况下，对上述原则进行调整。基金管理人必须在新规则开始实施前依照《信息披露办法》的有关规定在规定媒介上公告。</w:t>
      </w:r>
    </w:p>
    <w:p w:rsidR="002B1026">
      <w:pPr>
        <w:spacing w:line="360" w:lineRule="auto"/>
        <w:ind w:firstLine="420"/>
        <w:rPr>
          <w:rStyle w:val="da"/>
          <w:rFonts w:ascii="宋体" w:hAnsi="Calibri"/>
          <w:szCs w:val="21"/>
          <w:lang w:eastAsia="zh-CN"/>
        </w:rPr>
      </w:pPr>
      <w:r>
        <w:rPr>
          <w:rStyle w:val="da"/>
          <w:rFonts w:ascii="宋体" w:hAnsi="Calibri" w:hint="eastAsia"/>
          <w:szCs w:val="21"/>
          <w:highlight w:val="white"/>
          <w:lang w:eastAsia="zh-CN"/>
        </w:rPr>
        <w:t>五、申购与赎回的程序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1、申购和赎回的申请方式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投资人必须根据销售机构规定的程序，在开放日的具体业务办理时间内提出申购或赎回的申请。</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2、申购和赎回申请的确认</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基金管理人应以交易时间结束前受理有效申购和赎回申请的当天作为申购或赎回申请日（T日），在正常情况下，本基金登记机构在T+3日内对该交易的有效性进行确认。T日提交的有效申请，投资人应在T+</w:t>
      </w:r>
      <w:r>
        <w:rPr>
          <w:rFonts w:ascii="宋体" w:hAnsi="Calibri"/>
          <w:bCs/>
          <w:szCs w:val="21"/>
          <w:highlight w:val="white"/>
          <w:lang w:eastAsia="zh-CN"/>
        </w:rPr>
        <w:t>4</w:t>
      </w:r>
      <w:r>
        <w:rPr>
          <w:rFonts w:ascii="宋体" w:hAnsi="Calibri" w:hint="eastAsia"/>
          <w:bCs/>
          <w:szCs w:val="21"/>
          <w:highlight w:val="white"/>
          <w:lang w:eastAsia="zh-CN"/>
        </w:rPr>
        <w:t>日后（包括该日）</w:t>
      </w:r>
      <w:r>
        <w:rPr>
          <w:rFonts w:ascii="宋体" w:hAnsi="Calibri"/>
          <w:bCs/>
          <w:szCs w:val="21"/>
          <w:highlight w:val="white"/>
          <w:lang w:eastAsia="zh-CN"/>
        </w:rPr>
        <w:t>到销售网点柜台或以销售机构规定的其他方式查询申请的确认情况。若申购不成功，则申购款项本金退还给投资人。</w:t>
      </w:r>
    </w:p>
    <w:p w:rsidR="002B1026">
      <w:pPr>
        <w:spacing w:line="360" w:lineRule="auto"/>
        <w:ind w:firstLine="420"/>
        <w:rPr>
          <w:rFonts w:ascii="宋体" w:hAnsi="Calibri"/>
          <w:szCs w:val="21"/>
          <w:lang w:eastAsia="zh-CN"/>
        </w:rPr>
      </w:pPr>
      <w:r>
        <w:rPr>
          <w:rFonts w:ascii="宋体" w:hAnsi="Calibri"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在不违反法律法规的前提下，登记机构可根据《业务规则》，对上述业务办理时间进行调整，本基金管理人将于开始实施前按照有关规定予以公告。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3、申购和赎回的款项支付</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2B1026">
      <w:pPr>
        <w:spacing w:line="360" w:lineRule="auto"/>
        <w:ind w:firstLine="420"/>
        <w:rPr>
          <w:rStyle w:val="da"/>
          <w:rFonts w:ascii="宋体" w:hAnsi="Calibri"/>
          <w:szCs w:val="21"/>
          <w:lang w:eastAsia="zh-CN"/>
        </w:rPr>
      </w:pPr>
      <w:r>
        <w:rPr>
          <w:rFonts w:ascii="宋体" w:hAnsi="Calibri" w:hint="eastAsia"/>
          <w:szCs w:val="21"/>
          <w:highlight w:val="white"/>
          <w:lang w:eastAsia="zh-CN"/>
        </w:rPr>
        <w:t>基金份额持有人递交赎回申请，赎回成立；登记机构确认赎回时，赎回生效。投资者赎回申请生效后，基金管理人将在</w:t>
      </w:r>
      <w:r>
        <w:rPr>
          <w:rFonts w:ascii="宋体" w:hAnsi="Calibri"/>
          <w:szCs w:val="21"/>
          <w:highlight w:val="white"/>
          <w:lang w:eastAsia="zh-CN"/>
        </w:rPr>
        <w:t>T＋</w:t>
      </w:r>
      <w:r>
        <w:rPr>
          <w:rFonts w:ascii="宋体" w:hAnsi="Calibri" w:hint="eastAsia"/>
          <w:szCs w:val="21"/>
          <w:highlight w:val="white"/>
          <w:lang w:eastAsia="zh-CN"/>
        </w:rPr>
        <w:t>10日（包括该日）</w:t>
      </w:r>
      <w:r>
        <w:rPr>
          <w:rFonts w:ascii="宋体" w:hAnsi="Calibri"/>
          <w:szCs w:val="21"/>
          <w:highlight w:val="white"/>
          <w:lang w:eastAsia="zh-CN"/>
        </w:rPr>
        <w:t>内支付赎回款项。</w:t>
      </w:r>
      <w:r>
        <w:rPr>
          <w:rStyle w:val="da"/>
          <w:rFonts w:ascii="宋体" w:hAnsi="Calibri" w:hint="eastAsia"/>
          <w:szCs w:val="21"/>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2B1026">
      <w:pPr>
        <w:spacing w:line="360" w:lineRule="auto"/>
        <w:ind w:firstLine="420"/>
        <w:rPr>
          <w:rStyle w:val="da"/>
          <w:rFonts w:ascii="宋体" w:hAnsi="Calibri"/>
          <w:szCs w:val="21"/>
          <w:lang w:eastAsia="zh-CN"/>
        </w:rPr>
      </w:pPr>
      <w:bookmarkStart w:id="1804" w:name="_Toc332373505"/>
      <w:r>
        <w:rPr>
          <w:rStyle w:val="da"/>
          <w:rFonts w:ascii="宋体" w:hAnsi="Calibri" w:hint="eastAsia"/>
          <w:szCs w:val="21"/>
          <w:highlight w:val="white"/>
          <w:lang w:eastAsia="zh-CN"/>
        </w:rPr>
        <w:t>六、申购与赎回的数额限制</w:t>
      </w:r>
      <w:bookmarkEnd w:id="1804"/>
    </w:p>
    <w:p w:rsidR="002B1026">
      <w:pPr>
        <w:spacing w:line="360" w:lineRule="auto"/>
        <w:ind w:firstLine="420"/>
        <w:rPr>
          <w:rFonts w:ascii="宋体" w:hAnsi="Calibri"/>
          <w:szCs w:val="21"/>
          <w:lang w:eastAsia="zh-CN"/>
        </w:rPr>
      </w:pPr>
      <w:r>
        <w:rPr>
          <w:rFonts w:ascii="宋体" w:hAnsi="Calibri" w:hint="eastAsia"/>
          <w:szCs w:val="21"/>
          <w:highlight w:val="white"/>
          <w:lang w:eastAsia="zh-CN"/>
        </w:rPr>
        <w:t xml:space="preserve">1、申购金额的限制 </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投资人通过非直销销售机构或本公司网上直销系统首次申购的单笔最低</w:t>
      </w:r>
      <w:r>
        <w:rPr>
          <w:rFonts w:ascii="宋体" w:hAnsi="Calibri"/>
          <w:szCs w:val="21"/>
          <w:highlight w:val="white"/>
          <w:lang w:eastAsia="zh-CN"/>
        </w:rPr>
        <w:t>限额</w:t>
      </w:r>
      <w:r>
        <w:rPr>
          <w:rFonts w:ascii="宋体" w:hAnsi="Calibri" w:hint="eastAsia"/>
          <w:szCs w:val="21"/>
          <w:highlight w:val="white"/>
          <w:lang w:eastAsia="zh-CN"/>
        </w:rPr>
        <w:t>为人民币1元，追加申购单笔最低</w:t>
      </w:r>
      <w:r>
        <w:rPr>
          <w:rFonts w:ascii="宋体" w:hAnsi="Calibri"/>
          <w:szCs w:val="21"/>
          <w:highlight w:val="white"/>
          <w:lang w:eastAsia="zh-CN"/>
        </w:rPr>
        <w:t>限额</w:t>
      </w:r>
      <w:r>
        <w:rPr>
          <w:rFonts w:ascii="宋体" w:hAnsi="Calibri" w:hint="eastAsia"/>
          <w:szCs w:val="21"/>
          <w:highlight w:val="white"/>
          <w:lang w:eastAsia="zh-CN"/>
        </w:rPr>
        <w:t>为人民币1元；投资人通过本公司直销中心首次申购的单笔最低</w:t>
      </w:r>
      <w:r>
        <w:rPr>
          <w:rFonts w:ascii="宋体" w:hAnsi="Calibri"/>
          <w:szCs w:val="21"/>
          <w:highlight w:val="white"/>
          <w:lang w:eastAsia="zh-CN"/>
        </w:rPr>
        <w:t>限额</w:t>
      </w:r>
      <w:r>
        <w:rPr>
          <w:rFonts w:ascii="宋体" w:hAnsi="Calibri" w:hint="eastAsia"/>
          <w:szCs w:val="21"/>
          <w:highlight w:val="white"/>
          <w:lang w:eastAsia="zh-CN"/>
        </w:rPr>
        <w:t>为人民币50,000元，追加申购单笔最低</w:t>
      </w:r>
      <w:r>
        <w:rPr>
          <w:rFonts w:ascii="宋体" w:hAnsi="Calibri"/>
          <w:szCs w:val="21"/>
          <w:highlight w:val="white"/>
          <w:lang w:eastAsia="zh-CN"/>
        </w:rPr>
        <w:t>限额</w:t>
      </w:r>
      <w:r>
        <w:rPr>
          <w:rFonts w:ascii="宋体" w:hAnsi="Calibri" w:hint="eastAsia"/>
          <w:szCs w:val="21"/>
          <w:highlight w:val="white"/>
          <w:lang w:eastAsia="zh-CN"/>
        </w:rPr>
        <w:t>是人民币1,000元。</w:t>
      </w:r>
      <w:r>
        <w:rPr>
          <w:rStyle w:val="da"/>
          <w:rFonts w:ascii="宋体" w:hAnsi="Calibri" w:hint="eastAsia"/>
          <w:highlight w:val="white"/>
          <w:lang w:eastAsia="zh-CN"/>
        </w:rPr>
        <w:t>在符合法律法规规定的前提下，</w:t>
      </w:r>
      <w:r>
        <w:rPr>
          <w:rFonts w:ascii="宋体" w:hAnsi="Calibri" w:hint="eastAsia"/>
          <w:szCs w:val="21"/>
          <w:highlight w:val="white"/>
          <w:lang w:eastAsia="zh-CN"/>
        </w:rPr>
        <w:t>各销售机构对申购</w:t>
      </w:r>
      <w:r>
        <w:rPr>
          <w:rFonts w:ascii="宋体" w:hAnsi="Calibri"/>
          <w:szCs w:val="21"/>
          <w:highlight w:val="white"/>
          <w:lang w:eastAsia="zh-CN"/>
        </w:rPr>
        <w:t>限额</w:t>
      </w:r>
      <w:r>
        <w:rPr>
          <w:rFonts w:ascii="宋体" w:hAnsi="Calibri" w:hint="eastAsia"/>
          <w:szCs w:val="21"/>
          <w:highlight w:val="white"/>
          <w:lang w:eastAsia="zh-CN"/>
        </w:rPr>
        <w:t>及交易级差有其他规定的，需同时遵循该销售机构的相关规定。</w:t>
      </w:r>
      <w:r>
        <w:rPr>
          <w:rFonts w:ascii="宋体" w:hAnsi="Calibri"/>
          <w:szCs w:val="21"/>
          <w:highlight w:val="white"/>
          <w:lang w:eastAsia="zh-CN"/>
        </w:rPr>
        <w:t>（以上金额</w:t>
      </w:r>
      <w:r>
        <w:rPr>
          <w:rFonts w:ascii="宋体" w:hAnsi="Calibri" w:hint="eastAsia"/>
          <w:szCs w:val="21"/>
          <w:highlight w:val="white"/>
          <w:lang w:eastAsia="zh-CN"/>
        </w:rPr>
        <w:t>均</w:t>
      </w:r>
      <w:r>
        <w:rPr>
          <w:rFonts w:ascii="宋体" w:hAnsi="Calibri"/>
          <w:szCs w:val="21"/>
          <w:highlight w:val="white"/>
          <w:lang w:eastAsia="zh-CN"/>
        </w:rPr>
        <w:t>含</w:t>
      </w:r>
      <w:r>
        <w:rPr>
          <w:rFonts w:ascii="宋体" w:hAnsi="Calibri" w:hint="eastAsia"/>
          <w:szCs w:val="21"/>
          <w:highlight w:val="white"/>
          <w:lang w:eastAsia="zh-CN"/>
        </w:rPr>
        <w:t>申</w:t>
      </w:r>
      <w:r>
        <w:rPr>
          <w:rFonts w:ascii="宋体" w:hAnsi="Calibri"/>
          <w:szCs w:val="21"/>
          <w:highlight w:val="white"/>
          <w:lang w:eastAsia="zh-CN"/>
        </w:rPr>
        <w:t>购费）</w:t>
      </w:r>
      <w:r>
        <w:rPr>
          <w:rFonts w:ascii="宋体" w:hAnsi="Calibri" w:hint="eastAsia"/>
          <w:szCs w:val="21"/>
          <w:highlight w:val="white"/>
          <w:lang w:eastAsia="zh-CN"/>
        </w:rPr>
        <w:t>。</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投资人将当期分配的基金收益转购基金份额或采用定期定额投资计划时，不受最低申购金额的限制。</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投资人可多次申购，一般情况下本基金对单个投资人累计持有份额不设上限限制。但对于可能导致单一投资者持有基金份额的比例达到或者超过</w:t>
      </w:r>
      <w:r>
        <w:rPr>
          <w:rFonts w:ascii="宋体" w:hAnsi="Calibri"/>
          <w:szCs w:val="21"/>
          <w:highlight w:val="white"/>
          <w:lang w:eastAsia="zh-CN"/>
        </w:rPr>
        <w:t>50%，或者变相规避50%集中度的情形，基金管理人有权采取控制措施。</w:t>
      </w:r>
      <w:r>
        <w:rPr>
          <w:rFonts w:ascii="宋体" w:hAnsi="Calibri"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Calibri"/>
          <w:szCs w:val="21"/>
          <w:highlight w:val="white"/>
          <w:lang w:eastAsia="zh-CN"/>
        </w:rPr>
        <w:t>,具体请参见相关公告</w:t>
      </w:r>
      <w:r>
        <w:rPr>
          <w:rFonts w:ascii="宋体" w:hAnsi="Calibri" w:hint="eastAsia"/>
          <w:szCs w:val="21"/>
          <w:highlight w:val="white"/>
          <w:lang w:eastAsia="zh-CN"/>
        </w:rPr>
        <w:t>。法律法规、中国证监会另有规定的除外。</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2、赎回份额的限制</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投资人可将其全部或部分基金份额赎回。每类基金份额单笔赎回或转换不得少于1份（如该账户在该销售机构托管的该类基金份额余额不足1份，则必须一次性赎回或转出该类基金份额全部份额）；若某笔赎回将导致投资人在该销售机构托管的该类基金份额余额不足1份时，基金管理人有权将投资人在该销售机构托管的该类基金份额剩余份额一次性全部赎回。在符合法律法规规定的前提下，各销售机构对赎回份额限制有其他规定的，需同时遵循该销售机构的相关规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基金管理人可以根据市场情况，在不违反法律法规的情况下，调整上述规定申购金额和赎回份额的数量限制，或者新增基金规模控制措施。基金管理人必须在调整前依照《信息披露办法》的有关规定在规定媒介上公告。</w:t>
      </w:r>
    </w:p>
    <w:p w:rsidR="002B1026">
      <w:pPr>
        <w:spacing w:line="360" w:lineRule="auto"/>
        <w:ind w:firstLine="420"/>
        <w:rPr>
          <w:rStyle w:val="da"/>
          <w:rFonts w:ascii="宋体" w:hAnsi="Calibri"/>
          <w:szCs w:val="21"/>
          <w:lang w:eastAsia="zh-CN"/>
        </w:rPr>
      </w:pPr>
      <w:bookmarkStart w:id="1805" w:name="_Toc332373506"/>
      <w:r>
        <w:rPr>
          <w:rStyle w:val="da"/>
          <w:rFonts w:ascii="宋体" w:hAnsi="Calibri" w:hint="eastAsia"/>
          <w:szCs w:val="21"/>
          <w:highlight w:val="white"/>
          <w:lang w:eastAsia="zh-CN"/>
        </w:rPr>
        <w:t>七、基金的申购费和赎回费</w:t>
      </w:r>
      <w:bookmarkEnd w:id="1805"/>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w:t>
      </w:r>
      <w:r>
        <w:rPr>
          <w:rFonts w:ascii="宋体" w:hAnsi="Calibri" w:hint="eastAsia"/>
          <w:bCs/>
          <w:szCs w:val="21"/>
          <w:highlight w:val="white"/>
          <w:lang w:eastAsia="zh-CN"/>
        </w:rPr>
        <w:t>本基金A类基金份额</w:t>
      </w:r>
      <w:r>
        <w:rPr>
          <w:rFonts w:ascii="宋体" w:hAnsi="Calibri" w:hint="eastAsia"/>
          <w:bCs/>
          <w:szCs w:val="21"/>
          <w:lang w:eastAsia="zh-CN"/>
        </w:rPr>
        <w:t>按规定收取</w:t>
      </w:r>
      <w:r>
        <w:rPr>
          <w:rFonts w:ascii="宋体" w:hAnsi="Calibri" w:hint="eastAsia"/>
          <w:bCs/>
          <w:szCs w:val="21"/>
          <w:highlight w:val="white"/>
          <w:lang w:eastAsia="zh-CN"/>
        </w:rPr>
        <w:t>的申购费用由申购该类基金份额的投资人承担，不列入基金财产，主要用于本基金的市场推广、销售等各项费用。C类基金份额不收取申购费，在投资者持有期间计提销售服务费</w:t>
      </w:r>
      <w:r>
        <w:rPr>
          <w:rFonts w:ascii="宋体" w:hAnsi="宋体" w:cs="宋体" w:hint="eastAsia"/>
          <w:color w:val="000000"/>
          <w:highlight w:val="white"/>
          <w:lang w:eastAsia="zh-CN"/>
        </w:rPr>
        <w:t>并按规定收取或返还</w:t>
      </w:r>
      <w:r>
        <w:rPr>
          <w:rFonts w:ascii="宋体" w:hAnsi="Calibri" w:hint="eastAsia"/>
          <w:bCs/>
          <w:szCs w:val="21"/>
          <w:highlight w:val="white"/>
          <w:lang w:eastAsia="zh-CN"/>
        </w:rPr>
        <w:t>。赎回费用由基金赎回人承担。</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2、申购费率</w:t>
      </w:r>
    </w:p>
    <w:p w:rsidR="002B1026">
      <w:pPr>
        <w:spacing w:line="360" w:lineRule="auto"/>
        <w:ind w:firstLine="420"/>
        <w:rPr>
          <w:rFonts w:ascii="宋体" w:hAnsi="Calibri"/>
          <w:lang w:eastAsia="zh-CN"/>
        </w:rPr>
      </w:pPr>
    </w:p>
    <w:tbl>
      <w:tblPr>
        <w:tblW w:w="7574" w:type="dxa"/>
        <w:jc w:val="center"/>
        <w:tblLayout w:type="fixed"/>
        <w:tblLook w:val="04A0"/>
      </w:tblPr>
      <w:tblGrid>
        <w:gridCol w:w="3794"/>
        <w:gridCol w:w="3780"/>
      </w:tblGrid>
      <w:tr>
        <w:tblPrEx>
          <w:tblW w:w="7574" w:type="dxa"/>
          <w:jc w:val="center"/>
          <w:tblLayout w:type="fixed"/>
          <w:tblLook w:val="04A0"/>
        </w:tblPrEx>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2B1026">
            <w:pPr>
              <w:widowControl/>
              <w:spacing w:line="360" w:lineRule="auto"/>
              <w:jc w:val="center"/>
              <w:rPr>
                <w:rFonts w:ascii="宋体" w:hAnsi="Calibri"/>
                <w:bCs/>
                <w:szCs w:val="21"/>
                <w:lang w:eastAsia="zh-CN"/>
              </w:rPr>
            </w:pPr>
            <w:r>
              <w:rPr>
                <w:rFonts w:ascii="宋体" w:hAnsi="Calibri"/>
                <w:bCs/>
                <w:szCs w:val="21"/>
                <w:highlight w:val="white"/>
                <w:lang w:eastAsia="zh-CN"/>
              </w:rPr>
              <w:t>申购</w:t>
            </w:r>
            <w:r>
              <w:rPr>
                <w:rFonts w:ascii="宋体" w:hAnsi="Calibri"/>
                <w:highlight w:val="white"/>
                <w:lang w:eastAsia="zh-CN"/>
              </w:rPr>
              <w:t>确认</w:t>
            </w:r>
            <w:r>
              <w:rPr>
                <w:rFonts w:ascii="宋体" w:hAnsi="Calibri"/>
                <w:bCs/>
                <w:szCs w:val="21"/>
                <w:highlight w:val="white"/>
                <w:lang w:eastAsia="zh-CN"/>
              </w:rPr>
              <w:t>金额M（元）（含申购费）</w:t>
            </w:r>
          </w:p>
        </w:tc>
        <w:tc>
          <w:tcPr>
            <w:tcW w:w="3780" w:type="dxa"/>
            <w:tcBorders>
              <w:top w:val="single" w:sz="8" w:space="0" w:color="auto"/>
              <w:left w:val="nil"/>
              <w:bottom w:val="single" w:sz="8" w:space="0" w:color="auto"/>
              <w:right w:val="single" w:sz="8" w:space="0" w:color="auto"/>
            </w:tcBorders>
            <w:shd w:val="clear" w:color="auto" w:fill="auto"/>
          </w:tcPr>
          <w:p w:rsidR="002B1026">
            <w:pPr>
              <w:widowControl/>
              <w:spacing w:line="360" w:lineRule="auto"/>
              <w:jc w:val="center"/>
              <w:rPr>
                <w:rFonts w:ascii="宋体" w:hAnsi="Calibri"/>
                <w:bCs/>
                <w:szCs w:val="21"/>
                <w:lang w:eastAsia="zh-CN"/>
              </w:rPr>
            </w:pPr>
            <w:r>
              <w:rPr>
                <w:rStyle w:val="da"/>
                <w:rFonts w:ascii="宋体" w:hAnsi="Calibri" w:hint="eastAsia"/>
                <w:highlight w:val="white"/>
                <w:lang w:eastAsia="zh-CN"/>
              </w:rPr>
              <w:t>A类基金份额</w:t>
            </w:r>
            <w:r>
              <w:rPr>
                <w:rFonts w:ascii="宋体" w:hAnsi="Calibri"/>
                <w:bCs/>
                <w:szCs w:val="21"/>
                <w:highlight w:val="white"/>
                <w:lang w:eastAsia="zh-CN"/>
              </w:rPr>
              <w:t>申购费率</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2B1026">
            <w:pPr>
              <w:widowControl/>
              <w:spacing w:line="360" w:lineRule="auto"/>
              <w:jc w:val="center"/>
              <w:rPr>
                <w:rFonts w:ascii="宋体" w:hAnsi="Calibri"/>
                <w:szCs w:val="21"/>
              </w:rPr>
            </w:pPr>
            <w:r>
              <w:rPr>
                <w:rFonts w:ascii="宋体" w:hAnsi="Calibri" w:cs="方正仿宋简体" w:hint="eastAsia"/>
                <w:bCs/>
                <w:iCs/>
              </w:rPr>
              <w:t>M&lt;100万</w:t>
            </w:r>
          </w:p>
        </w:tc>
        <w:tc>
          <w:tcPr>
            <w:tcW w:w="3780" w:type="dxa"/>
            <w:tcBorders>
              <w:top w:val="nil"/>
              <w:left w:val="nil"/>
              <w:bottom w:val="single" w:sz="8" w:space="0" w:color="auto"/>
              <w:right w:val="single" w:sz="8" w:space="0" w:color="auto"/>
            </w:tcBorders>
            <w:shd w:val="clear" w:color="auto" w:fill="auto"/>
          </w:tcPr>
          <w:p w:rsidR="002B1026">
            <w:pPr>
              <w:widowControl/>
              <w:spacing w:line="360" w:lineRule="auto"/>
              <w:jc w:val="center"/>
              <w:rPr>
                <w:rFonts w:ascii="宋体" w:hAnsi="Calibri"/>
                <w:szCs w:val="21"/>
              </w:rPr>
            </w:pPr>
            <w:r>
              <w:rPr>
                <w:rFonts w:ascii="宋体" w:hAnsi="Calibri" w:cs="方正仿宋简体" w:hint="eastAsia"/>
                <w:bCs/>
                <w:iCs/>
              </w:rPr>
              <w:t>0.</w:t>
            </w:r>
            <w:r>
              <w:rPr>
                <w:rFonts w:ascii="宋体" w:hAnsi="Calibri" w:cs="方正仿宋简体"/>
                <w:bCs/>
                <w:iCs/>
              </w:rPr>
              <w:t>5</w:t>
            </w:r>
            <w:r>
              <w:rPr>
                <w:rFonts w:ascii="宋体" w:hAnsi="Calibri" w:cs="方正仿宋简体" w:hint="eastAsia"/>
                <w:bCs/>
                <w:iCs/>
              </w:rPr>
              <w:t>0%</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2B1026">
            <w:pPr>
              <w:widowControl/>
              <w:spacing w:line="360" w:lineRule="auto"/>
              <w:jc w:val="center"/>
              <w:rPr>
                <w:rFonts w:ascii="宋体" w:hAnsi="Calibri"/>
                <w:szCs w:val="21"/>
              </w:rPr>
            </w:pPr>
            <w:r>
              <w:rPr>
                <w:rFonts w:ascii="宋体" w:hAnsi="Calibri" w:cs="方正仿宋简体" w:hint="eastAsia"/>
                <w:bCs/>
                <w:iCs/>
              </w:rPr>
              <w:t>100万≤M&lt;500万</w:t>
            </w:r>
          </w:p>
        </w:tc>
        <w:tc>
          <w:tcPr>
            <w:tcW w:w="3780" w:type="dxa"/>
            <w:tcBorders>
              <w:top w:val="nil"/>
              <w:left w:val="nil"/>
              <w:bottom w:val="single" w:sz="8" w:space="0" w:color="auto"/>
              <w:right w:val="single" w:sz="8" w:space="0" w:color="auto"/>
            </w:tcBorders>
            <w:shd w:val="clear" w:color="auto" w:fill="auto"/>
          </w:tcPr>
          <w:p w:rsidR="002B1026">
            <w:pPr>
              <w:widowControl/>
              <w:spacing w:line="360" w:lineRule="auto"/>
              <w:jc w:val="center"/>
              <w:rPr>
                <w:rFonts w:ascii="宋体" w:hAnsi="Calibri"/>
                <w:szCs w:val="21"/>
              </w:rPr>
            </w:pPr>
            <w:r>
              <w:rPr>
                <w:rFonts w:ascii="宋体" w:hAnsi="Calibri" w:cs="方正仿宋简体" w:hint="eastAsia"/>
                <w:bCs/>
                <w:iCs/>
              </w:rPr>
              <w:t>0.</w:t>
            </w:r>
            <w:r>
              <w:rPr>
                <w:rFonts w:ascii="宋体" w:hAnsi="Calibri" w:cs="方正仿宋简体"/>
                <w:bCs/>
                <w:iCs/>
              </w:rPr>
              <w:t>4</w:t>
            </w:r>
            <w:r>
              <w:rPr>
                <w:rFonts w:ascii="宋体" w:hAnsi="Calibri" w:cs="方正仿宋简体" w:hint="eastAsia"/>
                <w:bCs/>
                <w:iCs/>
              </w:rPr>
              <w:t>0%</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2B1026">
            <w:pPr>
              <w:widowControl/>
              <w:spacing w:line="360" w:lineRule="auto"/>
              <w:jc w:val="center"/>
              <w:rPr>
                <w:rFonts w:ascii="宋体" w:hAnsi="Calibri"/>
                <w:szCs w:val="21"/>
              </w:rPr>
            </w:pPr>
            <w:r>
              <w:rPr>
                <w:rFonts w:ascii="宋体" w:hAnsi="Calibri" w:cs="方正仿宋简体" w:hint="eastAsia"/>
                <w:bCs/>
                <w:iCs/>
              </w:rPr>
              <w:t>M≥500万</w:t>
            </w:r>
          </w:p>
        </w:tc>
        <w:tc>
          <w:tcPr>
            <w:tcW w:w="3780" w:type="dxa"/>
            <w:tcBorders>
              <w:top w:val="nil"/>
              <w:left w:val="nil"/>
              <w:bottom w:val="single" w:sz="8" w:space="0" w:color="auto"/>
              <w:right w:val="single" w:sz="8" w:space="0" w:color="auto"/>
            </w:tcBorders>
            <w:shd w:val="clear" w:color="auto" w:fill="auto"/>
          </w:tcPr>
          <w:p w:rsidR="002B1026">
            <w:pPr>
              <w:widowControl/>
              <w:spacing w:line="360" w:lineRule="auto"/>
              <w:jc w:val="center"/>
              <w:rPr>
                <w:rFonts w:ascii="宋体" w:hAnsi="Calibri"/>
                <w:szCs w:val="21"/>
              </w:rPr>
            </w:pPr>
            <w:r>
              <w:rPr>
                <w:rFonts w:ascii="宋体" w:hAnsi="Calibri" w:cs="方正仿宋简体" w:hint="eastAsia"/>
                <w:bCs/>
                <w:iCs/>
              </w:rPr>
              <w:t>按笔收取， 1000元/笔</w:t>
            </w:r>
          </w:p>
        </w:tc>
      </w:tr>
    </w:tbl>
    <w:p w:rsidR="002B1026">
      <w:pPr>
        <w:spacing w:line="360" w:lineRule="auto"/>
        <w:ind w:firstLine="420" w:firstLineChars="200"/>
        <w:rPr>
          <w:rStyle w:val="da"/>
          <w:lang w:eastAsia="zh-CN"/>
        </w:rPr>
      </w:pPr>
      <w:r>
        <w:rPr>
          <w:rStyle w:val="da"/>
          <w:rFonts w:ascii="宋体" w:hAnsi="宋体"/>
          <w:highlight w:val="white"/>
          <w:lang w:eastAsia="zh-CN"/>
        </w:rPr>
        <w:t>（1</w:t>
      </w:r>
      <w:r>
        <w:rPr>
          <w:rStyle w:val="da"/>
          <w:rFonts w:ascii="宋体" w:hAnsi="宋体" w:cs="宋体" w:hint="eastAsia"/>
          <w:highlight w:val="white"/>
          <w:lang w:eastAsia="zh-CN"/>
        </w:rPr>
        <w:t>）</w:t>
      </w:r>
      <w:r>
        <w:rPr>
          <w:lang w:eastAsia="zh-CN"/>
        </w:rPr>
        <w:t>投资者通过</w:t>
      </w:r>
      <w:r>
        <w:rPr>
          <w:rFonts w:hint="eastAsia"/>
          <w:lang w:eastAsia="zh-CN"/>
        </w:rPr>
        <w:t>基金</w:t>
      </w:r>
      <w:r>
        <w:rPr>
          <w:lang w:eastAsia="zh-CN"/>
        </w:rPr>
        <w:t>管理人</w:t>
      </w:r>
      <w:r>
        <w:rPr>
          <w:rFonts w:hint="eastAsia"/>
          <w:lang w:eastAsia="zh-CN"/>
        </w:rPr>
        <w:t>或</w:t>
      </w:r>
      <w:r>
        <w:rPr>
          <w:lang w:eastAsia="zh-CN"/>
        </w:rPr>
        <w:t>其基金销售子公司</w:t>
      </w:r>
      <w:r>
        <w:rPr>
          <w:rFonts w:hint="eastAsia"/>
          <w:lang w:eastAsia="zh-CN"/>
        </w:rPr>
        <w:t>申</w:t>
      </w:r>
      <w:r>
        <w:rPr>
          <w:lang w:eastAsia="zh-CN"/>
        </w:rPr>
        <w:t>购本基金</w:t>
      </w:r>
      <w:r>
        <w:rPr>
          <w:lang w:eastAsia="zh-CN"/>
        </w:rPr>
        <w:t>A</w:t>
      </w:r>
      <w:r>
        <w:rPr>
          <w:lang w:eastAsia="zh-CN"/>
        </w:rPr>
        <w:t>类基金份额，不收取</w:t>
      </w:r>
      <w:r>
        <w:rPr>
          <w:rFonts w:hint="eastAsia"/>
          <w:lang w:eastAsia="zh-CN"/>
        </w:rPr>
        <w:t>申</w:t>
      </w:r>
      <w:r>
        <w:rPr>
          <w:lang w:eastAsia="zh-CN"/>
        </w:rPr>
        <w:t>购费用。</w:t>
      </w:r>
    </w:p>
    <w:p w:rsidR="002B1026">
      <w:pPr>
        <w:spacing w:line="360" w:lineRule="auto"/>
        <w:ind w:firstLine="420"/>
        <w:rPr>
          <w:rFonts w:ascii="宋体" w:hAnsi="Calibri"/>
          <w:szCs w:val="21"/>
          <w:highlight w:val="white"/>
          <w:lang w:eastAsia="zh-CN"/>
        </w:rPr>
      </w:pPr>
      <w:r>
        <w:rPr>
          <w:rFonts w:ascii="宋体" w:hAnsi="Calibri" w:hint="eastAsia"/>
          <w:highlight w:val="white"/>
          <w:lang w:eastAsia="zh-CN"/>
        </w:rPr>
        <w:t>（2）</w:t>
      </w:r>
      <w:r>
        <w:rPr>
          <w:rFonts w:hint="eastAsia"/>
          <w:lang w:eastAsia="zh-CN"/>
        </w:rPr>
        <w:t>投资者通过其他销售机构</w:t>
      </w:r>
      <w:r>
        <w:rPr>
          <w:rFonts w:ascii="宋体" w:hAnsi="宋体" w:cs="宋体" w:hint="eastAsia"/>
          <w:highlight w:val="white"/>
          <w:lang w:eastAsia="zh-CN"/>
        </w:rPr>
        <w:t>申购本基金</w:t>
      </w:r>
      <w:r>
        <w:rPr>
          <w:rStyle w:val="da"/>
          <w:rFonts w:ascii="宋体" w:hAnsi="宋体"/>
          <w:highlight w:val="white"/>
          <w:lang w:eastAsia="zh-CN"/>
        </w:rPr>
        <w:t>A</w:t>
      </w:r>
      <w:r>
        <w:rPr>
          <w:rStyle w:val="da"/>
          <w:rFonts w:ascii="宋体" w:hAnsi="宋体" w:cs="宋体"/>
          <w:highlight w:val="white"/>
          <w:lang w:eastAsia="zh-CN"/>
        </w:rPr>
        <w:t>类基金份额的</w:t>
      </w:r>
      <w:r>
        <w:rPr>
          <w:rFonts w:ascii="宋体" w:hAnsi="宋体" w:cs="宋体" w:hint="eastAsia"/>
          <w:highlight w:val="white"/>
          <w:lang w:eastAsia="zh-CN"/>
        </w:rPr>
        <w:t>申购费率见</w:t>
      </w:r>
      <w:r>
        <w:rPr>
          <w:rFonts w:ascii="宋体" w:hAnsi="宋体" w:cs="宋体"/>
          <w:highlight w:val="white"/>
          <w:lang w:eastAsia="zh-CN"/>
        </w:rPr>
        <w:t>上</w:t>
      </w:r>
      <w:r>
        <w:rPr>
          <w:rFonts w:ascii="宋体" w:hAnsi="宋体" w:cs="宋体" w:hint="eastAsia"/>
          <w:highlight w:val="white"/>
          <w:lang w:eastAsia="zh-CN"/>
        </w:rPr>
        <w:t>表</w:t>
      </w:r>
      <w:r w:rsidR="00583623">
        <w:rPr>
          <w:rFonts w:ascii="宋体" w:hAnsi="宋体" w:cs="宋体"/>
          <w:highlight w:val="white"/>
          <w:lang w:eastAsia="zh-CN"/>
        </w:rPr>
        <w:t>。</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在申购费按金额分档的情况下，如果投资者多次申购</w:t>
      </w:r>
      <w:r>
        <w:rPr>
          <w:rStyle w:val="da"/>
          <w:rFonts w:ascii="宋体" w:hAnsi="Calibri" w:hint="eastAsia"/>
          <w:highlight w:val="white"/>
          <w:lang w:eastAsia="zh-CN"/>
        </w:rPr>
        <w:t>A类基金份额</w:t>
      </w:r>
      <w:r>
        <w:rPr>
          <w:rFonts w:ascii="宋体" w:hAnsi="Calibri" w:hint="eastAsia"/>
          <w:szCs w:val="21"/>
          <w:highlight w:val="white"/>
          <w:lang w:eastAsia="zh-CN"/>
        </w:rPr>
        <w:t>，申购费适用单笔申购金额所对应的费率。</w:t>
      </w:r>
    </w:p>
    <w:p w:rsidR="002B1026">
      <w:pPr>
        <w:spacing w:line="312" w:lineRule="auto"/>
        <w:ind w:firstLine="420"/>
        <w:rPr>
          <w:rFonts w:ascii="宋体" w:hAnsi="宋体" w:cs="宋体"/>
          <w:szCs w:val="21"/>
          <w:lang w:eastAsia="zh-CN"/>
        </w:rPr>
      </w:pPr>
      <w:r>
        <w:rPr>
          <w:rFonts w:ascii="宋体" w:hAnsi="宋体" w:cs="宋体" w:hint="eastAsia"/>
          <w:szCs w:val="21"/>
          <w:highlight w:val="white"/>
          <w:lang w:eastAsia="zh-CN"/>
        </w:rPr>
        <w:t>本基金</w:t>
      </w:r>
      <w:r>
        <w:rPr>
          <w:rFonts w:ascii="宋体" w:hAnsi="宋体" w:hint="eastAsia"/>
          <w:szCs w:val="21"/>
          <w:highlight w:val="white"/>
          <w:lang w:eastAsia="zh-CN"/>
        </w:rPr>
        <w:t>C</w:t>
      </w:r>
      <w:r>
        <w:rPr>
          <w:rFonts w:ascii="宋体" w:hAnsi="宋体" w:cs="宋体" w:hint="eastAsia"/>
          <w:szCs w:val="21"/>
          <w:highlight w:val="white"/>
          <w:lang w:eastAsia="zh-CN"/>
        </w:rPr>
        <w:t>类基金份额不收取申购费用</w:t>
      </w:r>
      <w:r>
        <w:rPr>
          <w:rFonts w:ascii="宋体" w:hAnsi="宋体" w:cs="宋体"/>
          <w:color w:val="000000"/>
          <w:highlight w:val="white"/>
          <w:lang w:eastAsia="zh-CN"/>
        </w:rPr>
        <w:t>，在投资者持有期间</w:t>
      </w:r>
      <w:r>
        <w:rPr>
          <w:rFonts w:ascii="宋体" w:hAnsi="宋体" w:cs="宋体" w:hint="eastAsia"/>
          <w:color w:val="000000"/>
          <w:highlight w:val="white"/>
          <w:lang w:eastAsia="zh-CN"/>
        </w:rPr>
        <w:t>计提</w:t>
      </w:r>
      <w:r>
        <w:rPr>
          <w:rFonts w:ascii="宋体" w:hAnsi="宋体" w:cs="宋体"/>
          <w:color w:val="000000"/>
          <w:highlight w:val="white"/>
          <w:lang w:eastAsia="zh-CN"/>
        </w:rPr>
        <w:t>销售服务费</w:t>
      </w:r>
      <w:r>
        <w:rPr>
          <w:rFonts w:ascii="宋体" w:hAnsi="宋体" w:cs="宋体" w:hint="eastAsia"/>
          <w:color w:val="000000"/>
          <w:highlight w:val="white"/>
          <w:lang w:eastAsia="zh-CN"/>
        </w:rPr>
        <w:t>并按规定收取或返还</w:t>
      </w:r>
      <w:r>
        <w:rPr>
          <w:rFonts w:ascii="宋体" w:hAnsi="宋体" w:cs="宋体"/>
          <w:szCs w:val="21"/>
          <w:highlight w:val="white"/>
          <w:lang w:eastAsia="zh-CN"/>
        </w:rPr>
        <w:t>。</w:t>
      </w:r>
    </w:p>
    <w:p w:rsidR="002B1026" w:rsidRPr="0026419E">
      <w:pPr>
        <w:spacing w:line="312" w:lineRule="auto"/>
        <w:ind w:firstLine="420"/>
        <w:rPr>
          <w:rFonts w:ascii="宋体" w:hAnsi="宋体" w:cs="宋体"/>
          <w:szCs w:val="21"/>
          <w:highlight w:val="white"/>
          <w:lang w:eastAsia="zh-CN"/>
        </w:rPr>
      </w:pPr>
      <w:r>
        <w:rPr>
          <w:rFonts w:ascii="宋体" w:hAnsi="宋体" w:cs="宋体"/>
          <w:szCs w:val="21"/>
          <w:highlight w:val="white"/>
          <w:lang w:eastAsia="zh-CN"/>
        </w:rPr>
        <w:t>本基金暂不开通</w:t>
      </w:r>
      <w:r>
        <w:rPr>
          <w:rFonts w:ascii="宋体" w:hAnsi="宋体" w:cs="宋体" w:hint="eastAsia"/>
          <w:szCs w:val="21"/>
          <w:highlight w:val="white"/>
          <w:lang w:eastAsia="zh-CN"/>
        </w:rPr>
        <w:t>基金管理人及其基金销售子公司销售本基金</w:t>
      </w:r>
      <w:r>
        <w:rPr>
          <w:rFonts w:ascii="宋体" w:hAnsi="宋体" w:cs="宋体"/>
          <w:szCs w:val="21"/>
          <w:highlight w:val="white"/>
          <w:lang w:eastAsia="zh-CN"/>
        </w:rPr>
        <w:t>C</w:t>
      </w:r>
      <w:r>
        <w:rPr>
          <w:rFonts w:ascii="宋体" w:hAnsi="宋体" w:cs="宋体" w:hint="eastAsia"/>
          <w:szCs w:val="21"/>
          <w:highlight w:val="white"/>
          <w:lang w:eastAsia="zh-CN"/>
        </w:rPr>
        <w:t>类基金份额，若日后开通，将另行公告。</w:t>
      </w:r>
    </w:p>
    <w:p w:rsidR="002B1026">
      <w:pPr>
        <w:spacing w:line="360" w:lineRule="auto"/>
        <w:ind w:firstLine="420"/>
        <w:rPr>
          <w:rFonts w:ascii="宋体" w:hAnsi="Calibri"/>
          <w:szCs w:val="21"/>
          <w:lang w:eastAsia="zh-CN"/>
        </w:rPr>
      </w:pPr>
      <w:bookmarkStart w:id="1806" w:name="_Toc332373507"/>
      <w:r>
        <w:rPr>
          <w:rFonts w:ascii="宋体" w:hAnsi="Calibri" w:hint="eastAsia"/>
          <w:szCs w:val="21"/>
          <w:highlight w:val="white"/>
          <w:lang w:eastAsia="zh-CN"/>
        </w:rPr>
        <w:t>3、赎回费率</w:t>
      </w:r>
    </w:p>
    <w:p w:rsidR="002B1026">
      <w:pPr>
        <w:spacing w:line="360" w:lineRule="auto"/>
        <w:ind w:firstLine="420"/>
        <w:rPr>
          <w:rFonts w:ascii="宋体" w:hAnsi="Calibri"/>
          <w:lang w:eastAsia="zh-CN"/>
        </w:rPr>
      </w:pPr>
      <w:r>
        <w:rPr>
          <w:rFonts w:ascii="宋体" w:hAnsi="Calibri"/>
          <w:highlight w:val="white"/>
          <w:lang w:eastAsia="zh-CN"/>
        </w:rPr>
        <w:t>本基金对投资者认购或申购的每份基金份额设定</w:t>
      </w:r>
      <w:r>
        <w:rPr>
          <w:rFonts w:ascii="宋体" w:hAnsi="Calibri" w:hint="eastAsia"/>
          <w:lang w:eastAsia="zh-CN"/>
        </w:rPr>
        <w:t>6个月</w:t>
      </w:r>
      <w:r>
        <w:rPr>
          <w:rFonts w:ascii="宋体" w:hAnsi="Calibri" w:hint="eastAsia"/>
          <w:highlight w:val="white"/>
          <w:lang w:eastAsia="zh-CN"/>
        </w:rPr>
        <w:t>（</w:t>
      </w:r>
      <w:r>
        <w:rPr>
          <w:rFonts w:ascii="宋体" w:hAnsi="Calibri"/>
          <w:lang w:eastAsia="zh-CN"/>
        </w:rPr>
        <w:t>一个月按30天计算</w:t>
      </w:r>
      <w:r>
        <w:rPr>
          <w:rFonts w:ascii="宋体" w:hAnsi="Calibri"/>
          <w:highlight w:val="white"/>
          <w:lang w:eastAsia="zh-CN"/>
        </w:rPr>
        <w:t>）最短持有期限，基金份额持有人在满足最短持有期限的情况下方可赎回，不收取赎回费用。</w:t>
      </w:r>
    </w:p>
    <w:p w:rsidR="002B1026">
      <w:pPr>
        <w:spacing w:line="360" w:lineRule="auto"/>
        <w:ind w:firstLine="420"/>
        <w:rPr>
          <w:rFonts w:ascii="宋体" w:hAnsi="Calibri"/>
          <w:lang w:eastAsia="zh-CN"/>
        </w:rPr>
      </w:pPr>
      <w:r>
        <w:rPr>
          <w:rFonts w:ascii="宋体" w:hAnsi="Calibri" w:hint="eastAsia"/>
          <w:highlight w:val="white"/>
          <w:lang w:eastAsia="zh-CN"/>
        </w:rPr>
        <w:t>对于每份认购份额，持有期自基金合同生效日至该基金份额赎回确认日（不含该日）；对于每份申购份额，持有期自该基金份额申购确认日至赎回确认日（不含该日）。</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hAnsi="Calibri"/>
          <w:szCs w:val="21"/>
          <w:highlight w:val="white"/>
          <w:lang w:eastAsia="zh-CN"/>
        </w:rPr>
        <w:t>规</w:t>
      </w:r>
      <w:r>
        <w:rPr>
          <w:rFonts w:ascii="宋体" w:hAnsi="Calibri" w:hint="eastAsia"/>
          <w:szCs w:val="21"/>
          <w:highlight w:val="white"/>
          <w:lang w:eastAsia="zh-CN"/>
        </w:rPr>
        <w:t>定媒介上公告。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Calibri" w:hint="eastAsia"/>
          <w:szCs w:val="21"/>
          <w:highlight w:val="white"/>
          <w:lang w:eastAsia="zh-CN"/>
        </w:rPr>
        <w:t>在基金促销活动期间，基金管理人可以适当调低基金销售费率，或开展有差别的费率优惠活动</w:t>
      </w:r>
      <w:r>
        <w:rPr>
          <w:rFonts w:ascii="宋体" w:hAnsi="Calibri" w:hint="eastAsia"/>
          <w:bCs/>
          <w:szCs w:val="21"/>
          <w:highlight w:val="white"/>
          <w:lang w:eastAsia="zh-CN"/>
        </w:rPr>
        <w:t>。</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八、申购和赎回的数额和价格</w:t>
      </w:r>
      <w:bookmarkEnd w:id="1806"/>
    </w:p>
    <w:p w:rsidR="002B1026">
      <w:pPr>
        <w:spacing w:line="360" w:lineRule="auto"/>
        <w:ind w:firstLine="420"/>
        <w:rPr>
          <w:rFonts w:ascii="宋体" w:hAnsi="Calibri"/>
          <w:szCs w:val="21"/>
          <w:lang w:eastAsia="zh-CN"/>
        </w:rPr>
      </w:pPr>
      <w:r>
        <w:rPr>
          <w:rFonts w:ascii="宋体" w:hAnsi="Calibri"/>
          <w:szCs w:val="21"/>
          <w:highlight w:val="white"/>
          <w:lang w:eastAsia="zh-CN"/>
        </w:rPr>
        <w:t xml:space="preserve">1、申购和赎回数额、余额的处理方式 </w:t>
      </w:r>
    </w:p>
    <w:p w:rsidR="002B1026">
      <w:pPr>
        <w:spacing w:line="360" w:lineRule="auto"/>
        <w:ind w:firstLine="420"/>
        <w:rPr>
          <w:rFonts w:ascii="宋体" w:hAnsi="Calibri"/>
          <w:szCs w:val="21"/>
          <w:lang w:eastAsia="zh-CN"/>
        </w:rPr>
      </w:pPr>
      <w:r>
        <w:rPr>
          <w:rFonts w:ascii="宋体" w:hAnsi="Calibri"/>
          <w:szCs w:val="21"/>
          <w:highlight w:val="white"/>
          <w:lang w:eastAsia="zh-CN"/>
        </w:rPr>
        <w:t>（1）申购的有效份额为按实际确认的申购金额在扣除相应的费用后，以申购当日该类基金份额</w:t>
      </w:r>
      <w:r>
        <w:rPr>
          <w:rFonts w:ascii="宋体" w:hAnsi="Calibri" w:hint="eastAsia"/>
          <w:szCs w:val="21"/>
          <w:highlight w:val="white"/>
          <w:lang w:eastAsia="zh-CN"/>
        </w:rPr>
        <w:t>的基金份额</w:t>
      </w:r>
      <w:r>
        <w:rPr>
          <w:rFonts w:ascii="宋体" w:hAnsi="Calibri"/>
          <w:szCs w:val="21"/>
          <w:highlight w:val="white"/>
          <w:lang w:eastAsia="zh-CN"/>
        </w:rPr>
        <w:t>净值为基准计算。申购涉及金额、份额的计算结果保留到小数点后两位，小数点后两位以后的部分四舍五入，由此产生的误差计入基金财产。</w:t>
      </w:r>
    </w:p>
    <w:p w:rsidR="002B1026">
      <w:pPr>
        <w:spacing w:line="360" w:lineRule="auto"/>
        <w:ind w:firstLine="420"/>
        <w:rPr>
          <w:rFonts w:ascii="宋体" w:hAnsi="Calibri"/>
          <w:szCs w:val="21"/>
          <w:lang w:eastAsia="zh-CN"/>
        </w:rPr>
      </w:pPr>
      <w:r>
        <w:rPr>
          <w:rFonts w:ascii="宋体" w:hAnsi="Calibri"/>
          <w:szCs w:val="21"/>
          <w:highlight w:val="white"/>
          <w:lang w:eastAsia="zh-CN"/>
        </w:rPr>
        <w:t>（2）赎回金额的处理方式：赎回金额为按实际确认的有效赎回份额乘以申请当日该类基金份额</w:t>
      </w:r>
      <w:r>
        <w:rPr>
          <w:rFonts w:ascii="宋体" w:hAnsi="Calibri" w:hint="eastAsia"/>
          <w:szCs w:val="21"/>
          <w:highlight w:val="white"/>
          <w:lang w:eastAsia="zh-CN"/>
        </w:rPr>
        <w:t>的基金份额</w:t>
      </w:r>
      <w:r>
        <w:rPr>
          <w:rFonts w:ascii="宋体" w:hAnsi="Calibri"/>
          <w:szCs w:val="21"/>
          <w:highlight w:val="white"/>
          <w:lang w:eastAsia="zh-CN"/>
        </w:rPr>
        <w:t>净值为基准并扣除相应的费用，</w:t>
      </w:r>
      <w:r>
        <w:rPr>
          <w:rFonts w:ascii="宋体" w:hAnsi="宋体" w:cs="宋体"/>
          <w:color w:val="000000"/>
          <w:highlight w:val="white"/>
          <w:lang w:eastAsia="zh-CN"/>
        </w:rPr>
        <w:t>再加上</w:t>
      </w:r>
      <w:r>
        <w:rPr>
          <w:rFonts w:ascii="宋体" w:hAnsi="宋体" w:cs="宋体" w:hint="eastAsia"/>
          <w:color w:val="000000"/>
          <w:highlight w:val="white"/>
          <w:lang w:eastAsia="zh-CN"/>
        </w:rPr>
        <w:t>返还的销售服务费（如有）</w:t>
      </w:r>
      <w:r>
        <w:rPr>
          <w:rFonts w:ascii="宋体" w:hAnsi="宋体" w:cs="宋体"/>
          <w:color w:val="000000"/>
          <w:highlight w:val="white"/>
          <w:lang w:eastAsia="zh-CN"/>
        </w:rPr>
        <w:t>，</w:t>
      </w:r>
      <w:r>
        <w:rPr>
          <w:rFonts w:ascii="宋体" w:hAnsi="Calibri"/>
          <w:szCs w:val="21"/>
          <w:highlight w:val="white"/>
          <w:lang w:eastAsia="zh-CN"/>
        </w:rPr>
        <w:t xml:space="preserve">赎回金额的单位为人民币元，上述计算结果均保留到小数点后两位，小数点后两位以后的部分四舍五入，由此产生的误差计入基金财产。 </w:t>
      </w:r>
    </w:p>
    <w:p w:rsidR="002B1026">
      <w:pPr>
        <w:spacing w:line="360" w:lineRule="auto"/>
        <w:ind w:firstLine="420"/>
        <w:rPr>
          <w:rFonts w:ascii="宋体" w:hAnsi="Calibri"/>
          <w:szCs w:val="21"/>
          <w:lang w:eastAsia="zh-CN"/>
        </w:rPr>
      </w:pPr>
      <w:bookmarkStart w:id="1807" w:name="_Toc332373508"/>
      <w:r>
        <w:rPr>
          <w:rFonts w:ascii="宋体" w:hAnsi="Calibri"/>
          <w:szCs w:val="21"/>
          <w:highlight w:val="white"/>
          <w:lang w:eastAsia="zh-CN"/>
        </w:rPr>
        <w:t>2、申购份额的计算</w:t>
      </w:r>
      <w:bookmarkEnd w:id="1807"/>
      <w:r>
        <w:rPr>
          <w:rFonts w:ascii="宋体" w:hAnsi="Calibri"/>
          <w:szCs w:val="21"/>
          <w:highlight w:val="white"/>
          <w:lang w:eastAsia="zh-CN"/>
        </w:rPr>
        <w:t xml:space="preserve"> </w:t>
      </w:r>
    </w:p>
    <w:p w:rsidR="002B1026">
      <w:pPr>
        <w:spacing w:line="360" w:lineRule="auto"/>
        <w:ind w:firstLine="420"/>
        <w:rPr>
          <w:rFonts w:ascii="宋体" w:hAnsi="宋体"/>
          <w:szCs w:val="21"/>
          <w:lang w:eastAsia="zh-CN"/>
        </w:rPr>
      </w:pPr>
      <w:r>
        <w:rPr>
          <w:rFonts w:ascii="宋体" w:hAnsi="宋体" w:cs="宋体"/>
          <w:szCs w:val="21"/>
          <w:highlight w:val="white"/>
          <w:lang w:eastAsia="zh-CN"/>
        </w:rPr>
        <w:t>（</w:t>
      </w:r>
      <w:r>
        <w:rPr>
          <w:rFonts w:ascii="宋体" w:hAnsi="宋体"/>
          <w:szCs w:val="21"/>
          <w:highlight w:val="white"/>
          <w:lang w:eastAsia="zh-CN"/>
        </w:rPr>
        <w:t>1</w:t>
      </w:r>
      <w:r>
        <w:rPr>
          <w:rFonts w:ascii="宋体" w:hAnsi="宋体" w:cs="宋体"/>
          <w:szCs w:val="21"/>
          <w:highlight w:val="white"/>
          <w:lang w:eastAsia="zh-CN"/>
        </w:rPr>
        <w:t>）若投资人</w:t>
      </w:r>
      <w:r>
        <w:rPr>
          <w:rFonts w:ascii="宋体" w:hAnsi="宋体" w:cs="宋体" w:hint="eastAsia"/>
          <w:szCs w:val="21"/>
          <w:lang w:eastAsia="zh-CN"/>
        </w:rPr>
        <w:t>通过除</w:t>
      </w:r>
      <w:r>
        <w:rPr>
          <w:rFonts w:hint="eastAsia"/>
          <w:lang w:eastAsia="zh-CN"/>
        </w:rPr>
        <w:t>基金</w:t>
      </w:r>
      <w:r>
        <w:rPr>
          <w:lang w:eastAsia="zh-CN"/>
        </w:rPr>
        <w:t>管理人及其基金销售子公司以外的销售机构</w:t>
      </w:r>
      <w:r>
        <w:rPr>
          <w:rFonts w:ascii="宋体" w:hAnsi="宋体" w:cs="宋体"/>
          <w:szCs w:val="21"/>
          <w:highlight w:val="white"/>
          <w:lang w:eastAsia="zh-CN"/>
        </w:rPr>
        <w:t>申购</w:t>
      </w:r>
      <w:r>
        <w:rPr>
          <w:rFonts w:ascii="宋体" w:hAnsi="宋体"/>
          <w:szCs w:val="21"/>
          <w:highlight w:val="white"/>
          <w:lang w:eastAsia="zh-CN"/>
        </w:rPr>
        <w:t>A</w:t>
      </w:r>
      <w:r>
        <w:rPr>
          <w:rFonts w:ascii="宋体" w:hAnsi="宋体" w:cs="宋体"/>
          <w:szCs w:val="21"/>
          <w:highlight w:val="white"/>
          <w:lang w:eastAsia="zh-CN"/>
        </w:rPr>
        <w:t>类基金份额，则申购份额的计算公式如下：</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净申购金额=申购金额/（1+申购费率） </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（注：对于500万（含）以上适用固定金额申购费的申购，净申购金额＝申购金额－固定申购费金额）</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申购费用=申购金额-净申购金额 </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申购份额=净申购金额/ T日A类基金份额的基金份额净值</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例</w:t>
      </w:r>
      <w:r>
        <w:rPr>
          <w:rFonts w:ascii="宋体" w:hAnsi="Calibri"/>
          <w:szCs w:val="21"/>
          <w:highlight w:val="white"/>
          <w:lang w:eastAsia="zh-CN"/>
        </w:rPr>
        <w:t>一</w:t>
      </w:r>
      <w:r>
        <w:rPr>
          <w:rFonts w:ascii="宋体" w:hAnsi="Calibri" w:hint="eastAsia"/>
          <w:szCs w:val="21"/>
          <w:highlight w:val="white"/>
          <w:lang w:eastAsia="zh-CN"/>
        </w:rPr>
        <w:t>：</w:t>
      </w:r>
      <w:r>
        <w:rPr>
          <w:rFonts w:ascii="宋体" w:hAnsi="宋体" w:cs="宋体" w:hint="eastAsia"/>
          <w:szCs w:val="21"/>
          <w:highlight w:val="white"/>
          <w:lang w:eastAsia="zh-CN"/>
        </w:rPr>
        <w:t>某投资人</w:t>
      </w:r>
      <w:r>
        <w:rPr>
          <w:rFonts w:ascii="宋体" w:hAnsi="宋体" w:cs="宋体" w:hint="eastAsia"/>
          <w:szCs w:val="21"/>
          <w:lang w:eastAsia="zh-CN"/>
        </w:rPr>
        <w:t>通过除</w:t>
      </w:r>
      <w:r>
        <w:rPr>
          <w:rFonts w:hint="eastAsia"/>
          <w:lang w:eastAsia="zh-CN"/>
        </w:rPr>
        <w:t>基金</w:t>
      </w:r>
      <w:r>
        <w:rPr>
          <w:lang w:eastAsia="zh-CN"/>
        </w:rPr>
        <w:t>管理人及其基金销售子公司以外的销售机构申购</w:t>
      </w:r>
      <w:r>
        <w:rPr>
          <w:rFonts w:ascii="宋体" w:hAnsi="Calibri"/>
          <w:szCs w:val="21"/>
          <w:highlight w:val="white"/>
          <w:lang w:eastAsia="zh-CN"/>
        </w:rPr>
        <w:t>100,000</w:t>
      </w:r>
      <w:r>
        <w:rPr>
          <w:rFonts w:ascii="宋体" w:hAnsi="Calibri" w:hint="eastAsia"/>
          <w:szCs w:val="21"/>
          <w:highlight w:val="white"/>
          <w:lang w:eastAsia="zh-CN"/>
        </w:rPr>
        <w:t>元本基金</w:t>
      </w:r>
      <w:r>
        <w:rPr>
          <w:rFonts w:ascii="宋体" w:hAnsi="Calibri"/>
          <w:szCs w:val="21"/>
          <w:highlight w:val="white"/>
          <w:lang w:eastAsia="zh-CN"/>
        </w:rPr>
        <w:t>A</w:t>
      </w:r>
      <w:r>
        <w:rPr>
          <w:rFonts w:ascii="宋体" w:hAnsi="Calibri" w:hint="eastAsia"/>
          <w:szCs w:val="21"/>
          <w:highlight w:val="white"/>
          <w:lang w:eastAsia="zh-CN"/>
        </w:rPr>
        <w:t>类基金份额，申购费率为</w:t>
      </w:r>
      <w:r>
        <w:rPr>
          <w:rFonts w:ascii="宋体" w:hAnsi="Calibri"/>
          <w:szCs w:val="21"/>
          <w:highlight w:val="white"/>
          <w:lang w:eastAsia="zh-CN"/>
        </w:rPr>
        <w:t>0.50%</w:t>
      </w:r>
      <w:r>
        <w:rPr>
          <w:rFonts w:ascii="宋体" w:hAnsi="Calibri" w:hint="eastAsia"/>
          <w:szCs w:val="21"/>
          <w:highlight w:val="white"/>
          <w:lang w:eastAsia="zh-CN"/>
        </w:rPr>
        <w:t>，假设申购当日</w:t>
      </w:r>
      <w:r>
        <w:rPr>
          <w:rFonts w:ascii="宋体" w:hAnsi="Calibri"/>
          <w:szCs w:val="21"/>
          <w:highlight w:val="white"/>
          <w:lang w:eastAsia="zh-CN"/>
        </w:rPr>
        <w:t>A</w:t>
      </w:r>
      <w:r>
        <w:rPr>
          <w:rFonts w:ascii="宋体" w:hAnsi="Calibri" w:hint="eastAsia"/>
          <w:szCs w:val="21"/>
          <w:highlight w:val="white"/>
          <w:lang w:eastAsia="zh-CN"/>
        </w:rPr>
        <w:t>类基金份额的基金份额净值为</w:t>
      </w:r>
      <w:r>
        <w:rPr>
          <w:rFonts w:ascii="宋体" w:hAnsi="Calibri"/>
          <w:szCs w:val="21"/>
          <w:highlight w:val="white"/>
          <w:lang w:eastAsia="zh-CN"/>
        </w:rPr>
        <w:t>1.0400元，则其可得到</w:t>
      </w:r>
      <w:r>
        <w:rPr>
          <w:rFonts w:ascii="宋体" w:hAnsi="Calibri" w:hint="eastAsia"/>
          <w:szCs w:val="21"/>
          <w:highlight w:val="white"/>
          <w:lang w:eastAsia="zh-CN"/>
        </w:rPr>
        <w:t>的</w:t>
      </w:r>
      <w:r>
        <w:rPr>
          <w:rFonts w:ascii="宋体" w:hAnsi="Calibri"/>
          <w:szCs w:val="21"/>
          <w:highlight w:val="white"/>
          <w:lang w:eastAsia="zh-CN"/>
        </w:rPr>
        <w:t xml:space="preserve">申购份额为： </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净申购金额</w:t>
      </w:r>
      <w:r>
        <w:rPr>
          <w:rFonts w:ascii="宋体" w:hAnsi="Calibri"/>
          <w:szCs w:val="21"/>
          <w:highlight w:val="white"/>
          <w:lang w:eastAsia="zh-CN"/>
        </w:rPr>
        <w:t>=100,000/</w:t>
      </w:r>
      <w:r>
        <w:rPr>
          <w:rFonts w:ascii="宋体" w:hAnsi="Calibri" w:hint="eastAsia"/>
          <w:szCs w:val="21"/>
          <w:highlight w:val="white"/>
          <w:lang w:eastAsia="zh-CN"/>
        </w:rPr>
        <w:t>（</w:t>
      </w:r>
      <w:r>
        <w:rPr>
          <w:rFonts w:ascii="宋体" w:hAnsi="Calibri"/>
          <w:szCs w:val="21"/>
          <w:highlight w:val="white"/>
          <w:lang w:eastAsia="zh-CN"/>
        </w:rPr>
        <w:t>1+0.50%</w:t>
      </w:r>
      <w:r>
        <w:rPr>
          <w:rFonts w:ascii="宋体" w:hAnsi="Calibri" w:hint="eastAsia"/>
          <w:szCs w:val="21"/>
          <w:highlight w:val="white"/>
          <w:lang w:eastAsia="zh-CN"/>
        </w:rPr>
        <w:t>）</w:t>
      </w:r>
      <w:r>
        <w:rPr>
          <w:rFonts w:ascii="宋体" w:hAnsi="Calibri"/>
          <w:szCs w:val="21"/>
          <w:highlight w:val="white"/>
          <w:lang w:eastAsia="zh-CN"/>
        </w:rPr>
        <w:t>=99,502.49</w:t>
      </w:r>
      <w:r>
        <w:rPr>
          <w:rFonts w:ascii="宋体" w:hAnsi="Calibri" w:hint="eastAsia"/>
          <w:szCs w:val="21"/>
          <w:highlight w:val="white"/>
          <w:lang w:eastAsia="zh-CN"/>
        </w:rPr>
        <w:t>元</w:t>
      </w:r>
      <w:r>
        <w:rPr>
          <w:rFonts w:ascii="宋体" w:hAnsi="Calibri"/>
          <w:szCs w:val="21"/>
          <w:highlight w:val="white"/>
          <w:lang w:eastAsia="zh-CN"/>
        </w:rPr>
        <w:t xml:space="preserve"> </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申购费用</w:t>
      </w:r>
      <w:r>
        <w:rPr>
          <w:rFonts w:ascii="宋体" w:hAnsi="Calibri"/>
          <w:szCs w:val="21"/>
          <w:highlight w:val="white"/>
          <w:lang w:eastAsia="zh-CN"/>
        </w:rPr>
        <w:t>=100,000-99,502.49=497.51</w:t>
      </w:r>
      <w:r>
        <w:rPr>
          <w:rFonts w:ascii="宋体" w:hAnsi="Calibri" w:hint="eastAsia"/>
          <w:szCs w:val="21"/>
          <w:highlight w:val="white"/>
          <w:lang w:eastAsia="zh-CN"/>
        </w:rPr>
        <w:t>元</w:t>
      </w:r>
      <w:r>
        <w:rPr>
          <w:rFonts w:ascii="宋体" w:hAnsi="Calibri"/>
          <w:szCs w:val="21"/>
          <w:highlight w:val="white"/>
          <w:lang w:eastAsia="zh-CN"/>
        </w:rPr>
        <w:t xml:space="preserve"> </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申购份额</w:t>
      </w:r>
      <w:r>
        <w:rPr>
          <w:rFonts w:ascii="宋体" w:hAnsi="Calibri"/>
          <w:szCs w:val="21"/>
          <w:highlight w:val="white"/>
          <w:lang w:eastAsia="zh-CN"/>
        </w:rPr>
        <w:t>=99,502.49/1.0400=95,675.47</w:t>
      </w:r>
      <w:r>
        <w:rPr>
          <w:rFonts w:ascii="宋体" w:hAnsi="Calibri" w:hint="eastAsia"/>
          <w:szCs w:val="21"/>
          <w:highlight w:val="white"/>
          <w:lang w:eastAsia="zh-CN"/>
        </w:rPr>
        <w:t>份</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（2）</w:t>
      </w:r>
      <w:r>
        <w:rPr>
          <w:rFonts w:ascii="宋体" w:hAnsi="Calibri"/>
          <w:szCs w:val="21"/>
          <w:highlight w:val="white"/>
          <w:lang w:eastAsia="zh-CN"/>
        </w:rPr>
        <w:t>若投资人选择申购本基金C类基金份额，</w:t>
      </w:r>
      <w:r>
        <w:rPr>
          <w:rFonts w:ascii="宋体" w:hAnsi="宋体" w:cs="宋体"/>
          <w:szCs w:val="21"/>
          <w:highlight w:val="white"/>
          <w:lang w:eastAsia="zh-CN"/>
        </w:rPr>
        <w:t>或者通过</w:t>
      </w:r>
      <w:r>
        <w:rPr>
          <w:rFonts w:hint="eastAsia"/>
          <w:lang w:eastAsia="zh-CN"/>
        </w:rPr>
        <w:t>基金</w:t>
      </w:r>
      <w:r>
        <w:rPr>
          <w:lang w:eastAsia="zh-CN"/>
        </w:rPr>
        <w:t>管理人</w:t>
      </w:r>
      <w:r>
        <w:rPr>
          <w:rFonts w:hint="eastAsia"/>
          <w:lang w:eastAsia="zh-CN"/>
        </w:rPr>
        <w:t>或其</w:t>
      </w:r>
      <w:r>
        <w:rPr>
          <w:lang w:eastAsia="zh-CN"/>
        </w:rPr>
        <w:t>基金销售子公司申购本基金</w:t>
      </w:r>
      <w:r>
        <w:rPr>
          <w:rFonts w:ascii="宋体" w:hAnsi="宋体"/>
          <w:szCs w:val="21"/>
          <w:highlight w:val="white"/>
          <w:lang w:eastAsia="zh-CN"/>
        </w:rPr>
        <w:t>A</w:t>
      </w:r>
      <w:r>
        <w:rPr>
          <w:rFonts w:ascii="宋体" w:hAnsi="宋体" w:cs="宋体" w:hint="eastAsia"/>
          <w:szCs w:val="21"/>
          <w:highlight w:val="white"/>
          <w:lang w:eastAsia="zh-CN"/>
        </w:rPr>
        <w:t>类基金份额，</w:t>
      </w:r>
      <w:r>
        <w:rPr>
          <w:rFonts w:ascii="宋体" w:hAnsi="Calibri"/>
          <w:szCs w:val="21"/>
          <w:highlight w:val="white"/>
          <w:lang w:eastAsia="zh-CN"/>
        </w:rPr>
        <w:t>则申购份额的计算公式如下：</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申购份额=申购金额/ T日</w:t>
      </w:r>
      <w:r>
        <w:rPr>
          <w:rFonts w:ascii="宋体" w:hAnsi="Calibri" w:hint="eastAsia"/>
          <w:szCs w:val="21"/>
          <w:highlight w:val="white"/>
          <w:lang w:eastAsia="zh-CN"/>
        </w:rPr>
        <w:t>对应</w:t>
      </w:r>
      <w:r>
        <w:rPr>
          <w:rFonts w:ascii="宋体" w:hAnsi="Calibri"/>
          <w:szCs w:val="21"/>
          <w:highlight w:val="white"/>
          <w:lang w:eastAsia="zh-CN"/>
        </w:rPr>
        <w:t>份额类别</w:t>
      </w:r>
      <w:r>
        <w:rPr>
          <w:rFonts w:ascii="宋体" w:hAnsi="Calibri" w:hint="eastAsia"/>
          <w:szCs w:val="21"/>
          <w:highlight w:val="white"/>
          <w:lang w:eastAsia="zh-CN"/>
        </w:rPr>
        <w:t>的</w:t>
      </w:r>
      <w:r>
        <w:rPr>
          <w:rFonts w:ascii="宋体" w:hAnsi="Calibri"/>
          <w:szCs w:val="21"/>
          <w:highlight w:val="white"/>
          <w:lang w:eastAsia="zh-CN"/>
        </w:rPr>
        <w:t xml:space="preserve">基金份额净值 </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例</w:t>
      </w:r>
      <w:r>
        <w:rPr>
          <w:rFonts w:ascii="宋体" w:hAnsi="Calibri" w:hint="eastAsia"/>
          <w:szCs w:val="21"/>
          <w:highlight w:val="white"/>
          <w:lang w:eastAsia="zh-CN"/>
        </w:rPr>
        <w:t>二</w:t>
      </w:r>
      <w:r>
        <w:rPr>
          <w:rFonts w:ascii="宋体" w:hAnsi="Calibri"/>
          <w:szCs w:val="21"/>
          <w:highlight w:val="white"/>
          <w:lang w:eastAsia="zh-CN"/>
        </w:rPr>
        <w:t>：某投资人申购100,000元本基金C类基金份额，假设申购当日C类基金份额</w:t>
      </w:r>
      <w:r>
        <w:rPr>
          <w:rFonts w:ascii="宋体" w:hAnsi="Calibri" w:hint="eastAsia"/>
          <w:szCs w:val="21"/>
          <w:highlight w:val="white"/>
          <w:lang w:eastAsia="zh-CN"/>
        </w:rPr>
        <w:t>的基金</w:t>
      </w:r>
      <w:r>
        <w:rPr>
          <w:rFonts w:ascii="宋体" w:hAnsi="Calibri"/>
          <w:szCs w:val="21"/>
          <w:highlight w:val="white"/>
          <w:lang w:eastAsia="zh-CN"/>
        </w:rPr>
        <w:t xml:space="preserve">份额净值为1.0400元，则其可得到的申购份额为： </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申购份额=100,000/1.0400=96,153.85份</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3、赎回金额的计算 </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赎回金额的计算方法如下： </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赎回费用=赎回份额</w:t>
      </w:r>
      <w:r>
        <w:rPr>
          <w:rFonts w:ascii="宋体" w:hAnsi="Calibri"/>
          <w:szCs w:val="21"/>
          <w:highlight w:val="white"/>
          <w:lang w:eastAsia="zh-CN"/>
        </w:rPr>
        <w:t>×</w:t>
      </w:r>
      <w:r>
        <w:rPr>
          <w:rFonts w:ascii="宋体" w:hAnsi="Calibri"/>
          <w:szCs w:val="21"/>
          <w:highlight w:val="white"/>
          <w:lang w:eastAsia="zh-CN"/>
        </w:rPr>
        <w:t>T日</w:t>
      </w:r>
      <w:r>
        <w:rPr>
          <w:rFonts w:ascii="宋体" w:hAnsi="Calibri" w:hint="eastAsia"/>
          <w:szCs w:val="21"/>
          <w:highlight w:val="white"/>
          <w:lang w:eastAsia="zh-CN"/>
        </w:rPr>
        <w:t>该类基金份额的</w:t>
      </w:r>
      <w:r>
        <w:rPr>
          <w:rFonts w:ascii="宋体" w:hAnsi="Calibri"/>
          <w:szCs w:val="21"/>
          <w:highlight w:val="white"/>
          <w:lang w:eastAsia="zh-CN"/>
        </w:rPr>
        <w:t>基金份额净值</w:t>
      </w:r>
      <w:r>
        <w:rPr>
          <w:rFonts w:ascii="宋体" w:hAnsi="Calibri"/>
          <w:szCs w:val="21"/>
          <w:highlight w:val="white"/>
          <w:lang w:eastAsia="zh-CN"/>
        </w:rPr>
        <w:t>×</w:t>
      </w:r>
      <w:r>
        <w:rPr>
          <w:rFonts w:ascii="宋体" w:hAnsi="Calibri" w:hint="eastAsia"/>
          <w:szCs w:val="21"/>
          <w:highlight w:val="white"/>
          <w:lang w:eastAsia="zh-CN"/>
        </w:rPr>
        <w:t>该类基金份额的</w:t>
      </w:r>
      <w:r>
        <w:rPr>
          <w:rFonts w:ascii="宋体" w:hAnsi="Calibri"/>
          <w:szCs w:val="21"/>
          <w:highlight w:val="white"/>
          <w:lang w:eastAsia="zh-CN"/>
        </w:rPr>
        <w:t xml:space="preserve">赎回费率 </w:t>
      </w:r>
    </w:p>
    <w:p w:rsidR="002B1026">
      <w:pPr>
        <w:spacing w:line="360" w:lineRule="auto"/>
        <w:ind w:firstLine="420" w:firstLineChars="200"/>
        <w:rPr>
          <w:rFonts w:ascii="宋体" w:hAnsi="宋体" w:cs="宋体"/>
          <w:color w:val="000000"/>
          <w:highlight w:val="white"/>
          <w:lang w:eastAsia="zh-CN"/>
        </w:rPr>
      </w:pPr>
      <w:r>
        <w:rPr>
          <w:rFonts w:ascii="宋体" w:hAnsi="Calibri"/>
          <w:szCs w:val="21"/>
          <w:highlight w:val="white"/>
          <w:lang w:eastAsia="zh-CN"/>
        </w:rPr>
        <w:t>赎回金额=赎回份额</w:t>
      </w:r>
      <w:r>
        <w:rPr>
          <w:rFonts w:ascii="宋体" w:hAnsi="Calibri"/>
          <w:szCs w:val="21"/>
          <w:highlight w:val="white"/>
          <w:lang w:eastAsia="zh-CN"/>
        </w:rPr>
        <w:t>×</w:t>
      </w:r>
      <w:r>
        <w:rPr>
          <w:rFonts w:ascii="宋体" w:hAnsi="Calibri"/>
          <w:szCs w:val="21"/>
          <w:highlight w:val="white"/>
          <w:lang w:eastAsia="zh-CN"/>
        </w:rPr>
        <w:t>T日</w:t>
      </w:r>
      <w:r>
        <w:rPr>
          <w:rFonts w:ascii="宋体" w:hAnsi="Calibri" w:hint="eastAsia"/>
          <w:szCs w:val="21"/>
          <w:highlight w:val="white"/>
          <w:lang w:eastAsia="zh-CN"/>
        </w:rPr>
        <w:t>该类基金份额的</w:t>
      </w:r>
      <w:r>
        <w:rPr>
          <w:rFonts w:ascii="宋体" w:hAnsi="Calibri"/>
          <w:szCs w:val="21"/>
          <w:highlight w:val="white"/>
          <w:lang w:eastAsia="zh-CN"/>
        </w:rPr>
        <w:t>基金份额净值-赎回费用</w:t>
      </w:r>
      <w:r>
        <w:rPr>
          <w:rFonts w:ascii="宋体" w:hAnsi="宋体" w:cs="宋体" w:hint="eastAsia"/>
          <w:color w:val="000000"/>
          <w:highlight w:val="white"/>
          <w:lang w:eastAsia="zh-CN"/>
        </w:rPr>
        <w:t>+返还投资者的销售服务费（如有）</w:t>
      </w:r>
    </w:p>
    <w:p w:rsidR="002B1026" w:rsidRPr="0026419E" w:rsidP="0026419E">
      <w:pPr>
        <w:spacing w:line="360" w:lineRule="auto"/>
        <w:ind w:firstLine="420"/>
        <w:rPr>
          <w:lang w:eastAsia="zh-CN"/>
        </w:rPr>
      </w:pPr>
      <w:r>
        <w:rPr>
          <w:rFonts w:ascii="宋体" w:hAnsi="宋体" w:cs="宋体"/>
          <w:color w:val="000000"/>
          <w:highlight w:val="white"/>
          <w:lang w:eastAsia="zh-CN"/>
        </w:rPr>
        <w:t>该笔赎回是否涉及</w:t>
      </w:r>
      <w:r>
        <w:rPr>
          <w:rFonts w:ascii="宋体" w:hAnsi="宋体" w:cs="宋体" w:hint="eastAsia"/>
          <w:color w:val="000000"/>
          <w:highlight w:val="white"/>
          <w:lang w:eastAsia="zh-CN"/>
        </w:rPr>
        <w:t>返还销售服务费</w:t>
      </w:r>
      <w:r>
        <w:rPr>
          <w:rFonts w:ascii="宋体" w:hAnsi="宋体" w:cs="宋体"/>
          <w:color w:val="000000"/>
          <w:highlight w:val="white"/>
          <w:lang w:eastAsia="zh-CN"/>
        </w:rPr>
        <w:t>的具体安排详见本招募说明书“基金的费用与税收”部分。</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例三</w:t>
      </w:r>
      <w:r>
        <w:rPr>
          <w:rFonts w:ascii="宋体" w:hAnsi="Calibri"/>
          <w:szCs w:val="21"/>
          <w:highlight w:val="white"/>
          <w:lang w:eastAsia="zh-CN"/>
        </w:rPr>
        <w:t>：某投资人赎回10,000份</w:t>
      </w:r>
      <w:r>
        <w:rPr>
          <w:rFonts w:ascii="宋体" w:hAnsi="Calibri" w:hint="eastAsia"/>
          <w:szCs w:val="21"/>
          <w:highlight w:val="white"/>
          <w:lang w:eastAsia="zh-CN"/>
        </w:rPr>
        <w:t>本基金A类</w:t>
      </w:r>
      <w:r>
        <w:rPr>
          <w:rFonts w:ascii="宋体" w:hAnsi="Calibri"/>
          <w:szCs w:val="21"/>
          <w:highlight w:val="white"/>
          <w:lang w:eastAsia="zh-CN"/>
        </w:rPr>
        <w:t>基金份额，假设该笔份额持有期限为100天，</w:t>
      </w:r>
      <w:r>
        <w:rPr>
          <w:rFonts w:ascii="宋体" w:hAnsi="Calibri" w:hint="eastAsia"/>
          <w:szCs w:val="21"/>
          <w:highlight w:val="white"/>
          <w:lang w:eastAsia="zh-CN"/>
        </w:rPr>
        <w:t>由于</w:t>
      </w:r>
      <w:r>
        <w:rPr>
          <w:rFonts w:ascii="宋体" w:hAnsi="Calibri"/>
          <w:szCs w:val="21"/>
          <w:highlight w:val="white"/>
          <w:lang w:eastAsia="zh-CN"/>
        </w:rPr>
        <w:t>持有期限尚未达到最短持有期限（</w:t>
      </w:r>
      <w:r>
        <w:rPr>
          <w:rFonts w:ascii="宋体" w:hAnsi="Calibri" w:hint="eastAsia"/>
          <w:szCs w:val="21"/>
          <w:highlight w:val="white"/>
          <w:lang w:eastAsia="zh-CN"/>
        </w:rPr>
        <w:t>180</w:t>
      </w:r>
      <w:r>
        <w:rPr>
          <w:rFonts w:ascii="宋体" w:hAnsi="Calibri"/>
          <w:szCs w:val="21"/>
          <w:highlight w:val="white"/>
          <w:lang w:eastAsia="zh-CN"/>
        </w:rPr>
        <w:t>天）</w:t>
      </w:r>
      <w:r>
        <w:rPr>
          <w:rFonts w:ascii="宋体" w:hAnsi="Calibri" w:hint="eastAsia"/>
          <w:szCs w:val="21"/>
          <w:highlight w:val="white"/>
          <w:lang w:eastAsia="zh-CN"/>
        </w:rPr>
        <w:t>，基金</w:t>
      </w:r>
      <w:r>
        <w:rPr>
          <w:rFonts w:ascii="宋体" w:hAnsi="Calibri"/>
          <w:szCs w:val="21"/>
          <w:highlight w:val="white"/>
          <w:lang w:eastAsia="zh-CN"/>
        </w:rPr>
        <w:t>管理人会对投资</w:t>
      </w:r>
      <w:r>
        <w:rPr>
          <w:rFonts w:ascii="宋体" w:hAnsi="Calibri" w:hint="eastAsia"/>
          <w:szCs w:val="21"/>
          <w:highlight w:val="white"/>
          <w:lang w:eastAsia="zh-CN"/>
        </w:rPr>
        <w:t>人</w:t>
      </w:r>
      <w:r>
        <w:rPr>
          <w:rFonts w:ascii="宋体" w:hAnsi="Calibri"/>
          <w:szCs w:val="21"/>
          <w:highlight w:val="white"/>
          <w:lang w:eastAsia="zh-CN"/>
        </w:rPr>
        <w:t>的赎回申请做</w:t>
      </w:r>
      <w:r>
        <w:rPr>
          <w:rFonts w:ascii="宋体" w:hAnsi="Calibri" w:hint="eastAsia"/>
          <w:szCs w:val="21"/>
          <w:highlight w:val="white"/>
          <w:lang w:eastAsia="zh-CN"/>
        </w:rPr>
        <w:t>赎回</w:t>
      </w:r>
      <w:r>
        <w:rPr>
          <w:rFonts w:ascii="宋体" w:hAnsi="Calibri"/>
          <w:szCs w:val="21"/>
          <w:highlight w:val="white"/>
          <w:lang w:eastAsia="zh-CN"/>
        </w:rPr>
        <w:t>失败处理。</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例四</w:t>
      </w:r>
      <w:r>
        <w:rPr>
          <w:rFonts w:ascii="宋体" w:hAnsi="Calibri"/>
          <w:szCs w:val="21"/>
          <w:highlight w:val="white"/>
          <w:lang w:eastAsia="zh-CN"/>
        </w:rPr>
        <w:t>：某投资人赎回10,000份</w:t>
      </w:r>
      <w:r>
        <w:rPr>
          <w:rFonts w:ascii="宋体" w:hAnsi="Calibri" w:hint="eastAsia"/>
          <w:szCs w:val="21"/>
          <w:highlight w:val="white"/>
          <w:lang w:eastAsia="zh-CN"/>
        </w:rPr>
        <w:t>本基金A类</w:t>
      </w:r>
      <w:r>
        <w:rPr>
          <w:rFonts w:ascii="宋体" w:hAnsi="Calibri"/>
          <w:szCs w:val="21"/>
          <w:highlight w:val="white"/>
          <w:lang w:eastAsia="zh-CN"/>
        </w:rPr>
        <w:t>基金份额，假设该笔份额持有期限为400天，</w:t>
      </w:r>
      <w:r>
        <w:rPr>
          <w:rFonts w:ascii="宋体" w:hAnsi="Calibri" w:hint="eastAsia"/>
          <w:szCs w:val="21"/>
          <w:highlight w:val="white"/>
          <w:lang w:eastAsia="zh-CN"/>
        </w:rPr>
        <w:t>持有期限已达到最短持有期限（180天），赎回不收取赎回费用。</w:t>
      </w:r>
      <w:r>
        <w:rPr>
          <w:rFonts w:ascii="宋体" w:hAnsi="Calibri"/>
          <w:szCs w:val="21"/>
          <w:highlight w:val="white"/>
          <w:lang w:eastAsia="zh-CN"/>
        </w:rPr>
        <w:t>假设赎回当日</w:t>
      </w:r>
      <w:r>
        <w:rPr>
          <w:rFonts w:ascii="宋体" w:hAnsi="Calibri" w:hint="eastAsia"/>
          <w:szCs w:val="21"/>
          <w:highlight w:val="white"/>
          <w:lang w:eastAsia="zh-CN"/>
        </w:rPr>
        <w:t>A类基金份额</w:t>
      </w:r>
      <w:r>
        <w:rPr>
          <w:rFonts w:ascii="宋体" w:hAnsi="Calibri"/>
          <w:szCs w:val="21"/>
          <w:highlight w:val="white"/>
          <w:lang w:eastAsia="zh-CN"/>
        </w:rPr>
        <w:t>的基金份额净值是1.0160元，则其可得到的赎回金额为：</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赎回费用 = 0.00元</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赎回金额 = 10,000×1.016</w:t>
      </w:r>
      <w:r>
        <w:rPr>
          <w:rFonts w:ascii="宋体" w:hAnsi="Calibri"/>
          <w:szCs w:val="21"/>
          <w:highlight w:val="white"/>
          <w:lang w:eastAsia="zh-CN"/>
        </w:rPr>
        <w:t xml:space="preserve">0 </w:t>
      </w:r>
      <w:r>
        <w:rPr>
          <w:rFonts w:ascii="宋体" w:hAnsi="Calibri"/>
          <w:szCs w:val="21"/>
          <w:highlight w:val="white"/>
          <w:lang w:eastAsia="zh-CN"/>
        </w:rPr>
        <w:t>–</w:t>
      </w:r>
      <w:r>
        <w:rPr>
          <w:rFonts w:ascii="宋体" w:hAnsi="Calibri"/>
          <w:szCs w:val="21"/>
          <w:highlight w:val="white"/>
          <w:lang w:eastAsia="zh-CN"/>
        </w:rPr>
        <w:t xml:space="preserve"> 0.00</w:t>
      </w:r>
      <w:r>
        <w:rPr>
          <w:rFonts w:ascii="宋体" w:hAnsi="Calibri" w:hint="eastAsia"/>
          <w:szCs w:val="21"/>
          <w:highlight w:val="white"/>
          <w:lang w:eastAsia="zh-CN"/>
        </w:rPr>
        <w:t>＝</w:t>
      </w:r>
      <w:r>
        <w:rPr>
          <w:rFonts w:ascii="宋体" w:hAnsi="Calibri"/>
          <w:szCs w:val="21"/>
          <w:highlight w:val="white"/>
          <w:lang w:eastAsia="zh-CN"/>
        </w:rPr>
        <w:t>10,160.00</w:t>
      </w:r>
      <w:r>
        <w:rPr>
          <w:rFonts w:ascii="宋体" w:hAnsi="Calibri" w:hint="eastAsia"/>
          <w:szCs w:val="21"/>
          <w:highlight w:val="white"/>
          <w:lang w:eastAsia="zh-CN"/>
        </w:rPr>
        <w:t>元</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 xml:space="preserve">4、基金份额净值的计算公式 </w:t>
      </w:r>
    </w:p>
    <w:p w:rsidR="002B1026">
      <w:pPr>
        <w:spacing w:line="360" w:lineRule="auto"/>
        <w:ind w:firstLine="422"/>
        <w:rPr>
          <w:rFonts w:ascii="宋体" w:hAnsi="Calibri"/>
          <w:szCs w:val="21"/>
          <w:lang w:eastAsia="zh-CN"/>
        </w:rPr>
      </w:pPr>
      <w:r>
        <w:rPr>
          <w:rFonts w:ascii="宋体" w:hAnsi="Calibri"/>
          <w:szCs w:val="21"/>
          <w:highlight w:val="white"/>
          <w:lang w:eastAsia="zh-CN"/>
        </w:rPr>
        <w:t>计算日</w:t>
      </w:r>
      <w:r>
        <w:rPr>
          <w:rFonts w:ascii="宋体" w:hAnsi="Calibri" w:hint="eastAsia"/>
          <w:szCs w:val="21"/>
          <w:highlight w:val="white"/>
          <w:lang w:eastAsia="zh-CN"/>
        </w:rPr>
        <w:t>该类基金份额的</w:t>
      </w:r>
      <w:r>
        <w:rPr>
          <w:rFonts w:ascii="宋体" w:hAnsi="Calibri"/>
          <w:szCs w:val="21"/>
          <w:highlight w:val="white"/>
          <w:lang w:eastAsia="zh-CN"/>
        </w:rPr>
        <w:t>基金份额净值=计算日</w:t>
      </w:r>
      <w:r>
        <w:rPr>
          <w:rFonts w:ascii="宋体" w:hAnsi="Calibri" w:hint="eastAsia"/>
          <w:szCs w:val="21"/>
          <w:highlight w:val="white"/>
          <w:lang w:eastAsia="zh-CN"/>
        </w:rPr>
        <w:t>该类基金份额的</w:t>
      </w:r>
      <w:r>
        <w:rPr>
          <w:rFonts w:ascii="宋体" w:hAnsi="Calibri"/>
          <w:szCs w:val="21"/>
          <w:highlight w:val="white"/>
          <w:lang w:eastAsia="zh-CN"/>
        </w:rPr>
        <w:t>基金资产净值/计算日</w:t>
      </w:r>
      <w:r>
        <w:rPr>
          <w:rFonts w:ascii="宋体" w:hAnsi="Calibri" w:hint="eastAsia"/>
          <w:szCs w:val="21"/>
          <w:highlight w:val="white"/>
          <w:lang w:eastAsia="zh-CN"/>
        </w:rPr>
        <w:t>该类</w:t>
      </w:r>
      <w:r>
        <w:rPr>
          <w:rFonts w:ascii="宋体" w:hAnsi="Calibri"/>
          <w:szCs w:val="21"/>
          <w:highlight w:val="white"/>
          <w:lang w:eastAsia="zh-CN"/>
        </w:rPr>
        <w:t>基金</w:t>
      </w:r>
      <w:r>
        <w:rPr>
          <w:rFonts w:ascii="宋体" w:hAnsi="Calibri" w:hint="eastAsia"/>
          <w:szCs w:val="21"/>
          <w:highlight w:val="white"/>
          <w:lang w:eastAsia="zh-CN"/>
        </w:rPr>
        <w:t>份额</w:t>
      </w:r>
      <w:r>
        <w:rPr>
          <w:rFonts w:ascii="宋体" w:hAnsi="Calibri"/>
          <w:szCs w:val="21"/>
          <w:highlight w:val="white"/>
          <w:lang w:eastAsia="zh-CN"/>
        </w:rPr>
        <w:t>总份额</w:t>
      </w:r>
    </w:p>
    <w:p w:rsidR="002B1026">
      <w:pPr>
        <w:spacing w:line="360" w:lineRule="auto"/>
        <w:ind w:firstLine="420"/>
        <w:rPr>
          <w:rFonts w:ascii="宋体" w:hAnsi="Calibri"/>
          <w:szCs w:val="21"/>
          <w:lang w:eastAsia="zh-CN"/>
        </w:rPr>
      </w:pPr>
      <w:r>
        <w:rPr>
          <w:rFonts w:ascii="宋体" w:hAnsi="Calibri"/>
          <w:szCs w:val="21"/>
          <w:highlight w:val="white"/>
          <w:lang w:eastAsia="zh-CN"/>
        </w:rPr>
        <w:t>本基金各类基金份额净值的计算，保留到小数点后4位，小数点后第5位四舍五入，由此产生的收益或损失由基金财产承担。遇特殊情况，经履行适当程序，可以适当延迟计算或公告。</w:t>
      </w:r>
    </w:p>
    <w:p w:rsidR="002B1026">
      <w:pPr>
        <w:spacing w:line="360" w:lineRule="auto"/>
        <w:ind w:firstLine="420"/>
        <w:rPr>
          <w:rStyle w:val="da"/>
          <w:rFonts w:ascii="宋体" w:hAnsi="Calibri"/>
          <w:lang w:eastAsia="zh-CN"/>
        </w:rPr>
      </w:pPr>
      <w:bookmarkStart w:id="1808" w:name="_Toc332373510"/>
      <w:r>
        <w:rPr>
          <w:rStyle w:val="da"/>
          <w:rFonts w:ascii="宋体" w:hAnsi="Calibri" w:hint="eastAsia"/>
          <w:highlight w:val="white"/>
          <w:lang w:eastAsia="zh-CN"/>
        </w:rPr>
        <w:t>九、申购和赎回的登记</w:t>
      </w:r>
    </w:p>
    <w:p w:rsidR="002B1026">
      <w:pPr>
        <w:spacing w:line="360" w:lineRule="auto"/>
        <w:ind w:firstLine="422"/>
        <w:rPr>
          <w:rStyle w:val="da"/>
          <w:rFonts w:ascii="宋体" w:hAnsi="Calibri"/>
          <w:lang w:eastAsia="zh-CN"/>
        </w:rPr>
      </w:pPr>
      <w:r>
        <w:rPr>
          <w:rStyle w:val="da"/>
          <w:rFonts w:ascii="宋体" w:hAnsi="Calibri" w:hint="eastAsia"/>
          <w:highlight w:val="white"/>
          <w:lang w:eastAsia="zh-CN"/>
        </w:rPr>
        <w:t>正常情况下，投资者</w:t>
      </w:r>
      <w:r>
        <w:rPr>
          <w:rStyle w:val="da"/>
          <w:rFonts w:ascii="宋体" w:hAnsi="Calibri"/>
          <w:highlight w:val="white"/>
          <w:lang w:eastAsia="zh-CN"/>
        </w:rPr>
        <w:t>T</w:t>
      </w:r>
      <w:r>
        <w:rPr>
          <w:rStyle w:val="da"/>
          <w:rFonts w:ascii="宋体" w:hAnsi="Calibri" w:hint="eastAsia"/>
          <w:highlight w:val="white"/>
          <w:lang w:eastAsia="zh-CN"/>
        </w:rPr>
        <w:t>日申购基金成功后，登记机构在</w:t>
      </w:r>
      <w:r>
        <w:rPr>
          <w:rStyle w:val="da"/>
          <w:rFonts w:ascii="宋体" w:hAnsi="Calibri"/>
          <w:highlight w:val="white"/>
          <w:lang w:eastAsia="zh-CN"/>
        </w:rPr>
        <w:t>T+3</w:t>
      </w:r>
      <w:r>
        <w:rPr>
          <w:rStyle w:val="da"/>
          <w:rFonts w:ascii="宋体" w:hAnsi="Calibri" w:hint="eastAsia"/>
          <w:highlight w:val="white"/>
          <w:lang w:eastAsia="zh-CN"/>
        </w:rPr>
        <w:t>日为投资者增加权益并办理登记手续。</w:t>
      </w:r>
    </w:p>
    <w:p w:rsidR="002B1026">
      <w:pPr>
        <w:spacing w:line="360" w:lineRule="auto"/>
        <w:ind w:firstLine="422"/>
        <w:rPr>
          <w:rStyle w:val="da"/>
          <w:rFonts w:ascii="宋体" w:hAnsi="Calibri"/>
          <w:lang w:eastAsia="zh-CN"/>
        </w:rPr>
      </w:pPr>
      <w:r>
        <w:rPr>
          <w:rStyle w:val="da"/>
          <w:rFonts w:ascii="宋体" w:hAnsi="Calibri" w:hint="eastAsia"/>
          <w:highlight w:val="white"/>
          <w:lang w:eastAsia="zh-CN"/>
        </w:rPr>
        <w:t>基金份额持有人</w:t>
      </w:r>
      <w:r>
        <w:rPr>
          <w:rStyle w:val="da"/>
          <w:rFonts w:ascii="宋体" w:hAnsi="Calibri"/>
          <w:highlight w:val="white"/>
          <w:lang w:eastAsia="zh-CN"/>
        </w:rPr>
        <w:t>T</w:t>
      </w:r>
      <w:r>
        <w:rPr>
          <w:rStyle w:val="da"/>
          <w:rFonts w:ascii="宋体" w:hAnsi="Calibri" w:hint="eastAsia"/>
          <w:highlight w:val="white"/>
          <w:lang w:eastAsia="zh-CN"/>
        </w:rPr>
        <w:t>日赎回基金成功后，正常情况下，登记机构在</w:t>
      </w:r>
      <w:r>
        <w:rPr>
          <w:rStyle w:val="da"/>
          <w:rFonts w:ascii="宋体" w:hAnsi="Calibri"/>
          <w:highlight w:val="white"/>
          <w:lang w:eastAsia="zh-CN"/>
        </w:rPr>
        <w:t>T+3</w:t>
      </w:r>
      <w:r>
        <w:rPr>
          <w:rStyle w:val="da"/>
          <w:rFonts w:ascii="宋体" w:hAnsi="Calibri" w:hint="eastAsia"/>
          <w:highlight w:val="white"/>
          <w:lang w:eastAsia="zh-CN"/>
        </w:rPr>
        <w:t>日为其办理扣除权益的登记手续。</w:t>
      </w:r>
    </w:p>
    <w:p w:rsidR="002B1026">
      <w:pPr>
        <w:spacing w:line="360" w:lineRule="auto"/>
        <w:ind w:firstLine="422"/>
        <w:rPr>
          <w:rStyle w:val="da"/>
          <w:rFonts w:ascii="宋体" w:hAnsi="Calibri"/>
          <w:lang w:eastAsia="zh-CN"/>
        </w:rPr>
      </w:pPr>
      <w:r>
        <w:rPr>
          <w:rStyle w:val="da"/>
          <w:rFonts w:ascii="宋体" w:hAnsi="Calibri" w:hint="eastAsia"/>
          <w:highlight w:val="white"/>
          <w:lang w:eastAsia="zh-CN"/>
        </w:rPr>
        <w:t>在不违反法律法规的前提下，登记机构可以对上述登记办理时间进行调整，基金管理人应于开始实施前依照《信息披露办法》的有关规定在规定媒介上公告。</w:t>
      </w:r>
      <w:bookmarkEnd w:id="1808"/>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十、拒绝或暂停申购的情形</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发生下列情况时，基金管理人可拒绝或暂停接受投资人的某一类或多类份额申购申请：</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1、因不可抗力导致基金无法正常运作。</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2、发生基金合同规定的暂停基金资产估值情况时。</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3、基金进行交易的主要证券交易市场交易时间非正常停市。</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4、基金管理人认为接受某笔或某些申购申请可能会影响或损害现有基金份额持有人利益时。</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5、基金资产规模过大，使基金管理人无法找到合适的投资品种，或其他可能对基金业绩产生负面影响，或基金管理人认定的其他损害现有基金份额持有人利益的情形。</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6、基金管理人、基金托管人、登记机构、销售机构、支付结算机构等因异常情况导致基金销售系统、基金销售支付结算系统、基金登记系统、基金会计系统等无法正常运行。</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7、所投资的基金暂停估值，导致基金管理人无法计算估值日基金资产净值。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8、占相当比例的被投资基金暂停申购、停牌。</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9、基金管理人接受某笔或者某些申购申请有可能导致单一投资者持有基金份额的比例达到或者超过50%，或者变相规避50%集中度的情形。</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10、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11、当前一估值日基金资产净值50%以上的资产出现无可参考的活跃市场价格且采用估值技术仍导致公允价值存在重大不确定性时，经与基金托管人协商确认后，基金管理人应当暂停接受基金申购申请。</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12、法律法规规定或中国证监会认定的其他情形。</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发生上述第1、2、3、5、6、7、8、10、11、12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十一、暂停赎回或延缓支付赎回款项的情形</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发生下列情形时，基金管理人可暂停接受投资人的某一类或多类份额赎回申请或延缓支付赎回款项：</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1、因不可抗力导致基金管理人不能支付赎回款项。</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2、发生基金合同规定的暂停基金资产估值情况时。</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3、基金进行交易的主要证券交易市场交易时间非正常停市。</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4、连续两个或两个以上开放日发生巨额赎回。</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5、发生继续接受赎回申请将损害现有基金份额持有人利益的情形时，基金管理人可暂停接受基金份额持有人的赎回申请。</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7、当占基金相当比例的投资品种因暂停赎回、停牌、延缓支付赎回款或其它原因导致无法变现，导致基金管理人不能出售或评估基金资产。</w:t>
      </w:r>
    </w:p>
    <w:p w:rsidR="002B1026">
      <w:pPr>
        <w:spacing w:line="360" w:lineRule="auto"/>
        <w:ind w:firstLine="420"/>
        <w:rPr>
          <w:rStyle w:val="da"/>
          <w:rFonts w:ascii="宋体" w:hAnsi="Calibri"/>
          <w:lang w:eastAsia="zh-CN"/>
        </w:rPr>
      </w:pPr>
      <w:r>
        <w:rPr>
          <w:rStyle w:val="da"/>
          <w:rFonts w:ascii="宋体" w:hAnsi="Calibri"/>
          <w:highlight w:val="white"/>
          <w:lang w:eastAsia="zh-CN"/>
        </w:rPr>
        <w:t>8</w:t>
      </w:r>
      <w:r>
        <w:rPr>
          <w:rStyle w:val="da"/>
          <w:rFonts w:ascii="宋体" w:hAnsi="Calibri" w:hint="eastAsia"/>
          <w:highlight w:val="white"/>
          <w:lang w:eastAsia="zh-CN"/>
        </w:rPr>
        <w:t>、本基金的资产组合中的重要部分发生暂停交易或其他重大事件，继续接受赎回可能会影响或损害基金份额持有人利益时。</w:t>
      </w:r>
    </w:p>
    <w:p w:rsidR="002B1026">
      <w:pPr>
        <w:spacing w:line="360" w:lineRule="auto"/>
        <w:ind w:firstLine="420"/>
        <w:rPr>
          <w:rStyle w:val="da"/>
          <w:rFonts w:ascii="宋体" w:hAnsi="Calibri"/>
          <w:lang w:eastAsia="zh-CN"/>
        </w:rPr>
      </w:pPr>
      <w:r>
        <w:rPr>
          <w:rStyle w:val="da"/>
          <w:rFonts w:ascii="宋体" w:hAnsi="Calibri"/>
          <w:highlight w:val="white"/>
          <w:lang w:eastAsia="zh-CN"/>
        </w:rPr>
        <w:t>9</w:t>
      </w:r>
      <w:r>
        <w:rPr>
          <w:rStyle w:val="da"/>
          <w:rFonts w:ascii="宋体" w:hAnsi="Calibri" w:hint="eastAsia"/>
          <w:highlight w:val="white"/>
          <w:lang w:eastAsia="zh-CN"/>
        </w:rPr>
        <w:t>、所投资的基金暂停估值，导致基金管理人无法计算估值日基金资产净值。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w:t>
      </w:r>
      <w:r>
        <w:rPr>
          <w:rStyle w:val="da"/>
          <w:rFonts w:ascii="宋体" w:hAnsi="Calibri"/>
          <w:highlight w:val="white"/>
          <w:lang w:eastAsia="zh-CN"/>
        </w:rPr>
        <w:t>0</w:t>
      </w:r>
      <w:r>
        <w:rPr>
          <w:rStyle w:val="da"/>
          <w:rFonts w:ascii="宋体" w:hAnsi="Calibri" w:hint="eastAsia"/>
          <w:highlight w:val="white"/>
          <w:lang w:eastAsia="zh-CN"/>
        </w:rPr>
        <w:t>、法律法规规定或中国证监会认定的其他情形。</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发生上述情形之一且基金管理人决定暂停赎回或延缓支付赎回款项时，基金管理人应按规定报中国证监会备案。若出现上述第4项所述情形，按基金合同的相关条款处理。基金份额持有人在申请赎回时可事先选择将当日可能未获受理部分予以撤销。在暂停赎回的情况消除时，基金管理人应及时恢复赎回业务的办理。</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十二、巨额赎回的情形及处理方式</w:t>
      </w:r>
    </w:p>
    <w:p w:rsidR="002B1026">
      <w:pPr>
        <w:spacing w:line="360" w:lineRule="auto"/>
        <w:ind w:firstLine="420"/>
        <w:rPr>
          <w:rStyle w:val="da"/>
          <w:rFonts w:ascii="宋体" w:hAnsi="Calibri"/>
          <w:lang w:eastAsia="zh-CN"/>
        </w:rPr>
      </w:pPr>
      <w:r>
        <w:rPr>
          <w:rStyle w:val="da"/>
          <w:rFonts w:ascii="宋体" w:hAnsi="Calibri"/>
          <w:highlight w:val="white"/>
          <w:lang w:eastAsia="zh-CN"/>
        </w:rPr>
        <w:t>1、巨额赎回的认定</w:t>
      </w:r>
    </w:p>
    <w:p w:rsidR="002B1026">
      <w:pPr>
        <w:spacing w:line="360" w:lineRule="auto"/>
        <w:ind w:firstLine="420"/>
        <w:rPr>
          <w:rStyle w:val="da"/>
          <w:rFonts w:ascii="宋体" w:hAnsi="Calibri"/>
          <w:lang w:eastAsia="zh-CN"/>
        </w:rPr>
      </w:pPr>
      <w:r>
        <w:rPr>
          <w:rStyle w:val="da"/>
          <w:rFonts w:ascii="宋体" w:hAnsi="Calibri"/>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2B1026">
      <w:pPr>
        <w:spacing w:line="360" w:lineRule="auto"/>
        <w:ind w:firstLine="420"/>
        <w:rPr>
          <w:rStyle w:val="da"/>
          <w:rFonts w:ascii="宋体" w:hAnsi="Calibri"/>
          <w:lang w:eastAsia="zh-CN"/>
        </w:rPr>
      </w:pPr>
      <w:r>
        <w:rPr>
          <w:rStyle w:val="da"/>
          <w:rFonts w:ascii="宋体" w:hAnsi="Calibri"/>
          <w:highlight w:val="white"/>
          <w:lang w:eastAsia="zh-CN"/>
        </w:rPr>
        <w:t>2、巨额赎回的处理方式</w:t>
      </w:r>
    </w:p>
    <w:p w:rsidR="002B1026">
      <w:pPr>
        <w:spacing w:line="360" w:lineRule="auto"/>
        <w:ind w:firstLine="420"/>
        <w:rPr>
          <w:rStyle w:val="da"/>
          <w:rFonts w:ascii="宋体" w:hAnsi="Calibri"/>
          <w:lang w:eastAsia="zh-CN"/>
        </w:rPr>
      </w:pPr>
      <w:r>
        <w:rPr>
          <w:rStyle w:val="da"/>
          <w:rFonts w:ascii="宋体" w:hAnsi="Calibri"/>
          <w:highlight w:val="white"/>
          <w:lang w:eastAsia="zh-CN"/>
        </w:rPr>
        <w:t>当基金出现巨额赎回时，基金管理人可以根据基金当时的资产组合状况决定全额赎回、部分延期赎回或暂停赎回。</w:t>
      </w:r>
    </w:p>
    <w:p w:rsidR="002B1026">
      <w:pPr>
        <w:spacing w:line="360" w:lineRule="auto"/>
        <w:ind w:firstLine="420"/>
        <w:rPr>
          <w:rStyle w:val="da"/>
          <w:rFonts w:ascii="宋体" w:hAnsi="Calibri"/>
          <w:lang w:eastAsia="zh-CN"/>
        </w:rPr>
      </w:pPr>
      <w:r>
        <w:rPr>
          <w:rStyle w:val="da"/>
          <w:rFonts w:ascii="宋体" w:hAnsi="Calibri"/>
          <w:highlight w:val="white"/>
          <w:lang w:eastAsia="zh-CN"/>
        </w:rPr>
        <w:t>（1）全额赎回：当基金管理人认为有能力支付投资人的全部赎回申请时，按正常赎回程序执行。</w:t>
      </w:r>
    </w:p>
    <w:p w:rsidR="002B1026">
      <w:pPr>
        <w:spacing w:line="360" w:lineRule="auto"/>
        <w:ind w:firstLine="420"/>
        <w:rPr>
          <w:rStyle w:val="da"/>
          <w:rFonts w:ascii="宋体" w:hAnsi="Calibri"/>
          <w:lang w:eastAsia="zh-CN"/>
        </w:rPr>
      </w:pPr>
      <w:r>
        <w:rPr>
          <w:rStyle w:val="da"/>
          <w:rFonts w:ascii="宋体" w:hAnsi="Calibri"/>
          <w:highlight w:val="white"/>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2B1026">
      <w:pPr>
        <w:spacing w:line="360" w:lineRule="auto"/>
        <w:ind w:firstLine="420"/>
        <w:rPr>
          <w:rStyle w:val="da"/>
          <w:rFonts w:ascii="宋体" w:hAnsi="Calibri"/>
          <w:lang w:eastAsia="zh-CN"/>
        </w:rPr>
      </w:pPr>
      <w:r>
        <w:rPr>
          <w:rStyle w:val="da"/>
          <w:rFonts w:ascii="宋体" w:hAnsi="Calibri"/>
          <w:highlight w:val="white"/>
          <w:lang w:eastAsia="zh-CN"/>
        </w:rPr>
        <w:t>若本基金发生巨额赎回且单个基金份额持有人的赎回申请超过上一开放日基金总份额10%的，基金管理人有权对该单个基金份额持有人超出该比例的赎回申请实施延期办理；对该单个基金份额持有人剩余赎回申请，基金管理人可以根据前款</w:t>
      </w:r>
      <w:r>
        <w:rPr>
          <w:rStyle w:val="da"/>
          <w:rFonts w:ascii="宋体" w:hAnsi="Calibri"/>
          <w:highlight w:val="white"/>
          <w:lang w:eastAsia="zh-CN"/>
        </w:rPr>
        <w:t>“</w:t>
      </w:r>
      <w:r>
        <w:rPr>
          <w:rStyle w:val="da"/>
          <w:rFonts w:ascii="宋体" w:hAnsi="Calibri"/>
          <w:highlight w:val="white"/>
          <w:lang w:eastAsia="zh-CN"/>
        </w:rPr>
        <w:t>（1）全额赎回</w:t>
      </w:r>
      <w:r>
        <w:rPr>
          <w:rStyle w:val="da"/>
          <w:rFonts w:ascii="宋体" w:hAnsi="Calibri"/>
          <w:highlight w:val="white"/>
          <w:lang w:eastAsia="zh-CN"/>
        </w:rPr>
        <w:t>”</w:t>
      </w:r>
      <w:r>
        <w:rPr>
          <w:rStyle w:val="da"/>
          <w:rFonts w:ascii="宋体" w:hAnsi="Calibri"/>
          <w:highlight w:val="white"/>
          <w:lang w:eastAsia="zh-CN"/>
        </w:rPr>
        <w:t>或</w:t>
      </w:r>
      <w:r>
        <w:rPr>
          <w:rStyle w:val="da"/>
          <w:rFonts w:ascii="宋体" w:hAnsi="Calibri"/>
          <w:highlight w:val="white"/>
          <w:lang w:eastAsia="zh-CN"/>
        </w:rPr>
        <w:t>“</w:t>
      </w:r>
      <w:r>
        <w:rPr>
          <w:rStyle w:val="da"/>
          <w:rFonts w:ascii="宋体" w:hAnsi="Calibri"/>
          <w:highlight w:val="white"/>
          <w:lang w:eastAsia="zh-CN"/>
        </w:rPr>
        <w:t>（2）部分延期赎回</w:t>
      </w:r>
      <w:r>
        <w:rPr>
          <w:rStyle w:val="da"/>
          <w:rFonts w:ascii="宋体" w:hAnsi="Calibri"/>
          <w:highlight w:val="white"/>
          <w:lang w:eastAsia="zh-CN"/>
        </w:rPr>
        <w:t>”</w:t>
      </w:r>
      <w:r>
        <w:rPr>
          <w:rStyle w:val="da"/>
          <w:rFonts w:ascii="宋体" w:hAnsi="Calibri"/>
          <w:highlight w:val="white"/>
          <w:lang w:eastAsia="zh-CN"/>
        </w:rPr>
        <w:t>约定的方式与其他账户的赎回申请一并办理。</w:t>
      </w:r>
    </w:p>
    <w:p w:rsidR="002B1026">
      <w:pPr>
        <w:spacing w:line="360" w:lineRule="auto"/>
        <w:ind w:firstLine="420"/>
        <w:rPr>
          <w:rStyle w:val="da"/>
          <w:rFonts w:ascii="宋体" w:hAnsi="Calibri"/>
          <w:lang w:eastAsia="zh-CN"/>
        </w:rPr>
      </w:pPr>
      <w:r>
        <w:rPr>
          <w:rStyle w:val="da"/>
          <w:rFonts w:ascii="宋体" w:hAnsi="Calibri"/>
          <w:highlight w:val="white"/>
          <w:lang w:eastAsia="zh-CN"/>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rsidR="002B1026">
      <w:pPr>
        <w:spacing w:line="360" w:lineRule="auto"/>
        <w:ind w:firstLine="420"/>
        <w:rPr>
          <w:rStyle w:val="da"/>
          <w:rFonts w:ascii="宋体" w:hAnsi="Calibri"/>
          <w:lang w:eastAsia="zh-CN"/>
        </w:rPr>
      </w:pPr>
      <w:r>
        <w:rPr>
          <w:rStyle w:val="da"/>
          <w:rFonts w:ascii="宋体" w:hAnsi="Calibri"/>
          <w:highlight w:val="white"/>
          <w:lang w:eastAsia="zh-CN"/>
        </w:rPr>
        <w:t>3、巨额赎回的公告</w:t>
      </w:r>
    </w:p>
    <w:p w:rsidR="002B1026">
      <w:pPr>
        <w:spacing w:line="360" w:lineRule="auto"/>
        <w:ind w:firstLine="420"/>
        <w:rPr>
          <w:rStyle w:val="da"/>
          <w:rFonts w:ascii="宋体" w:hAnsi="Calibri"/>
          <w:lang w:eastAsia="zh-CN"/>
        </w:rPr>
      </w:pPr>
      <w:r>
        <w:rPr>
          <w:rStyle w:val="da"/>
          <w:rFonts w:ascii="宋体" w:hAnsi="Calibri"/>
          <w:highlight w:val="white"/>
          <w:lang w:eastAsia="zh-CN"/>
        </w:rPr>
        <w:t>当发生上述巨额赎回并延期办理时，基金管理人应当通过邮寄、传真或者招募说明书规定的其他方式在3个交易日内通知基金份额持有人，说明有关处理方法，并在2日内在规定媒介上刊登公告。</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十三、暂停申购或赎回的公告和重新开放申购或赎回的公告</w:t>
      </w:r>
    </w:p>
    <w:p w:rsidR="002B1026">
      <w:pPr>
        <w:spacing w:line="360" w:lineRule="auto"/>
        <w:ind w:firstLine="420"/>
        <w:rPr>
          <w:rStyle w:val="da"/>
          <w:rFonts w:ascii="宋体" w:hAnsi="Calibri"/>
          <w:lang w:eastAsia="zh-CN"/>
        </w:rPr>
      </w:pPr>
      <w:r>
        <w:rPr>
          <w:rStyle w:val="da"/>
          <w:rFonts w:ascii="宋体" w:hAnsi="Calibri"/>
          <w:highlight w:val="white"/>
          <w:lang w:eastAsia="zh-CN"/>
        </w:rPr>
        <w:t>1、发生上述暂停申购或赎回情况的，基金管理人应在规定期限内在规定媒介上刊登暂停公告。</w:t>
      </w:r>
    </w:p>
    <w:p w:rsidR="002B1026">
      <w:pPr>
        <w:spacing w:line="360" w:lineRule="auto"/>
        <w:ind w:firstLine="420"/>
        <w:rPr>
          <w:rStyle w:val="da"/>
          <w:rFonts w:ascii="宋体" w:hAnsi="Calibri"/>
          <w:lang w:eastAsia="zh-CN"/>
        </w:rPr>
      </w:pPr>
      <w:r>
        <w:rPr>
          <w:rStyle w:val="da"/>
          <w:rFonts w:ascii="宋体" w:hAnsi="Calibri"/>
          <w:highlight w:val="white"/>
          <w:lang w:eastAsia="zh-CN"/>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2B1026">
      <w:pPr>
        <w:spacing w:line="360" w:lineRule="auto"/>
        <w:ind w:firstLine="420"/>
        <w:rPr>
          <w:rStyle w:val="da"/>
          <w:rFonts w:ascii="宋体" w:hAnsi="Calibri"/>
          <w:lang w:eastAsia="zh-CN"/>
        </w:rPr>
      </w:pPr>
      <w:bookmarkStart w:id="1809" w:name="_Hlt70481650"/>
      <w:bookmarkEnd w:id="1809"/>
      <w:r>
        <w:rPr>
          <w:rStyle w:val="da"/>
          <w:rFonts w:ascii="宋体" w:hAnsi="Calibri" w:hint="eastAsia"/>
          <w:highlight w:val="white"/>
          <w:lang w:eastAsia="zh-CN"/>
        </w:rPr>
        <w:t>十四、基金份额折算</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在对基金份额持有人利益无实质不利影响的前提下，基金管理人经与基金托管人协商一致，可对基金份额进行折算，不需召开基金份额持有人大会审议。</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十五、实施侧袋机制期间本基金的申购与赎回</w:t>
      </w:r>
    </w:p>
    <w:p w:rsidR="002B1026">
      <w:pPr>
        <w:spacing w:line="360" w:lineRule="auto"/>
        <w:ind w:firstLine="420"/>
        <w:rPr>
          <w:rFonts w:ascii="宋体" w:hAnsi="Calibri"/>
          <w:szCs w:val="21"/>
          <w:lang w:eastAsia="zh-CN"/>
        </w:rPr>
      </w:pPr>
      <w:r>
        <w:rPr>
          <w:rStyle w:val="da"/>
          <w:rFonts w:ascii="宋体" w:hAnsi="Calibri" w:hint="eastAsia"/>
          <w:highlight w:val="white"/>
          <w:lang w:eastAsia="zh-CN"/>
        </w:rPr>
        <w:t>本基金实施侧袋机制的，本基金的申购和赎回安排详见本招募说明书“侧袋机制”部分的规定或相关公告。</w:t>
      </w:r>
    </w:p>
    <w:p w:rsidR="002B1026">
      <w:pPr>
        <w:widowControl/>
        <w:jc w:val="left"/>
        <w:rPr>
          <w:rFonts w:ascii="宋体" w:hAnsi="Calibri"/>
          <w:sz w:val="30"/>
          <w:szCs w:val="32"/>
          <w:lang w:eastAsia="zh-CN"/>
        </w:rPr>
      </w:pPr>
      <w:r>
        <w:rPr>
          <w:rFonts w:ascii="宋体" w:hAnsi="Calibri"/>
          <w:sz w:val="30"/>
          <w:highlight w:val="white"/>
          <w:lang w:eastAsia="zh-CN"/>
        </w:rPr>
        <w:br w:type="page"/>
      </w:r>
    </w:p>
    <w:p w:rsidR="002B1026">
      <w:pPr>
        <w:pStyle w:val="Heading1"/>
        <w:spacing w:before="317" w:after="317" w:line="320" w:lineRule="exact"/>
        <w:ind w:firstLine="600"/>
        <w:rPr>
          <w:rFonts w:ascii="宋体" w:eastAsia="宋体" w:hAnsi="Calibri"/>
          <w:sz w:val="30"/>
          <w:lang w:eastAsia="zh-CN"/>
        </w:rPr>
      </w:pPr>
      <w:bookmarkStart w:id="1810" w:name="_Toc227311243"/>
      <w:r>
        <w:rPr>
          <w:rFonts w:ascii="宋体" w:eastAsia="宋体" w:hAnsi="Calibri"/>
          <w:sz w:val="30"/>
          <w:highlight w:val="white"/>
          <w:lang w:eastAsia="zh-CN"/>
        </w:rPr>
        <w:t>第</w:t>
      </w:r>
      <w:r>
        <w:rPr>
          <w:rFonts w:ascii="宋体" w:eastAsia="宋体" w:hAnsi="Calibri" w:hint="eastAsia"/>
          <w:sz w:val="30"/>
          <w:highlight w:val="white"/>
          <w:lang w:eastAsia="zh-CN"/>
        </w:rPr>
        <w:t>十</w:t>
      </w:r>
      <w:r>
        <w:rPr>
          <w:rFonts w:ascii="宋体" w:eastAsia="宋体" w:hAnsi="Calibri"/>
          <w:sz w:val="30"/>
          <w:highlight w:val="white"/>
          <w:lang w:eastAsia="zh-CN"/>
        </w:rPr>
        <w:t xml:space="preserve">部分 </w:t>
      </w:r>
      <w:r>
        <w:rPr>
          <w:rFonts w:ascii="宋体" w:eastAsia="宋体" w:hAnsi="Calibri" w:hint="eastAsia"/>
          <w:sz w:val="30"/>
          <w:highlight w:val="white"/>
          <w:lang w:eastAsia="zh-CN"/>
        </w:rPr>
        <w:t>基金转换和定期定额投资计划</w:t>
      </w:r>
      <w:bookmarkEnd w:id="1810"/>
    </w:p>
    <w:p w:rsidR="002B1026">
      <w:pPr>
        <w:spacing w:line="360" w:lineRule="auto"/>
        <w:ind w:firstLine="420"/>
        <w:rPr>
          <w:rStyle w:val="da"/>
          <w:rFonts w:ascii="宋体" w:hAnsi="Calibri"/>
          <w:lang w:eastAsia="zh-CN"/>
        </w:rPr>
      </w:pPr>
      <w:bookmarkStart w:id="1811" w:name="_Toc332373517"/>
      <w:r>
        <w:rPr>
          <w:rStyle w:val="da"/>
          <w:rFonts w:ascii="宋体" w:hAnsi="Calibri" w:hint="eastAsia"/>
          <w:highlight w:val="white"/>
          <w:lang w:eastAsia="zh-CN"/>
        </w:rPr>
        <w:t>一、基金转换</w:t>
      </w:r>
      <w:bookmarkEnd w:id="1811"/>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二、定期定额投资计划</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管理人可利用非直销销售机构网点和本公司网上直销系统为投资者提供定期定额投资的服务（本公司网上直销系统的定期定额投资服务目前仅对个人投资者开通），具体实施方法见有关公告。投资人在办理定期定额投资计划时可自行约定每期扣款金额，每期扣款金额必须不低于基金管理人在相关公告或更新的招募说明书中所规定的定期定额投资计划最低申购金额。</w:t>
      </w:r>
    </w:p>
    <w:p w:rsidR="002B1026">
      <w:pPr>
        <w:spacing w:before="100" w:beforeAutospacing="1" w:after="100" w:afterAutospacing="1" w:line="360" w:lineRule="auto"/>
        <w:ind w:firstLine="420"/>
        <w:rPr>
          <w:rFonts w:ascii="宋体" w:hAnsi="Calibri"/>
          <w:szCs w:val="21"/>
          <w:lang w:eastAsia="zh-CN"/>
        </w:rPr>
      </w:pPr>
    </w:p>
    <w:p w:rsidR="002B1026">
      <w:pPr>
        <w:pStyle w:val="Heading1"/>
        <w:spacing w:before="317" w:after="317" w:line="320" w:lineRule="exact"/>
        <w:ind w:firstLine="600"/>
        <w:rPr>
          <w:rFonts w:ascii="宋体" w:eastAsia="宋体" w:hAnsi="Calibri"/>
          <w:bCs/>
          <w:sz w:val="28"/>
          <w:szCs w:val="44"/>
          <w:lang w:eastAsia="zh-CN"/>
        </w:rPr>
      </w:pPr>
      <w:r>
        <w:rPr>
          <w:rFonts w:ascii="宋体" w:eastAsia="宋体" w:hAnsi="Calibri" w:hint="eastAsia"/>
          <w:sz w:val="30"/>
          <w:highlight w:val="white"/>
          <w:lang w:eastAsia="zh-CN"/>
        </w:rPr>
        <w:br w:type="column"/>
      </w:r>
      <w:bookmarkStart w:id="1812" w:name="_Toc332373519"/>
      <w:bookmarkStart w:id="1813" w:name="_Toc227311244"/>
      <w:r>
        <w:rPr>
          <w:rFonts w:ascii="宋体" w:eastAsia="宋体" w:hAnsi="Calibri" w:hint="eastAsia"/>
          <w:sz w:val="30"/>
          <w:highlight w:val="white"/>
          <w:lang w:eastAsia="zh-CN"/>
        </w:rPr>
        <w:t>第十</w:t>
      </w:r>
      <w:r>
        <w:rPr>
          <w:rFonts w:ascii="宋体" w:eastAsia="宋体" w:hAnsi="Calibri"/>
          <w:sz w:val="30"/>
          <w:highlight w:val="white"/>
          <w:lang w:eastAsia="zh-CN"/>
        </w:rPr>
        <w:t>一</w:t>
      </w:r>
      <w:r>
        <w:rPr>
          <w:rFonts w:ascii="宋体" w:eastAsia="宋体" w:hAnsi="Calibri" w:hint="eastAsia"/>
          <w:sz w:val="30"/>
          <w:highlight w:val="white"/>
          <w:lang w:eastAsia="zh-CN"/>
        </w:rPr>
        <w:t>部分 基金的转托管、质押、非交易过户、冻结与解冻</w:t>
      </w:r>
      <w:bookmarkEnd w:id="1812"/>
      <w:bookmarkEnd w:id="1813"/>
    </w:p>
    <w:p w:rsidR="002B1026">
      <w:pPr>
        <w:spacing w:line="360" w:lineRule="auto"/>
        <w:ind w:firstLine="420"/>
        <w:rPr>
          <w:rStyle w:val="da"/>
          <w:rFonts w:ascii="宋体" w:hAnsi="Calibri"/>
          <w:lang w:eastAsia="zh-CN"/>
        </w:rPr>
      </w:pPr>
      <w:bookmarkStart w:id="1814" w:name="_Toc332373520"/>
      <w:r>
        <w:rPr>
          <w:rStyle w:val="da"/>
          <w:rFonts w:ascii="宋体" w:hAnsi="Calibri" w:hint="eastAsia"/>
          <w:highlight w:val="white"/>
          <w:lang w:eastAsia="zh-CN"/>
        </w:rPr>
        <w:t>一、基金的转托管</w:t>
      </w:r>
      <w:bookmarkEnd w:id="1814"/>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基金份额持有人可办理已持有基金份额在不同销售机构之间的转托管，基金销售机构可以按照规定的标准收取转托管费。</w:t>
      </w:r>
    </w:p>
    <w:p w:rsidR="002B1026">
      <w:pPr>
        <w:spacing w:line="360" w:lineRule="auto"/>
        <w:ind w:firstLine="422"/>
        <w:rPr>
          <w:rStyle w:val="da"/>
          <w:rFonts w:ascii="宋体" w:hAnsi="Calibri"/>
          <w:lang w:eastAsia="zh-CN"/>
        </w:rPr>
      </w:pPr>
      <w:r>
        <w:rPr>
          <w:rStyle w:val="da"/>
          <w:rFonts w:ascii="宋体" w:hAnsi="Calibri" w:hint="eastAsia"/>
          <w:highlight w:val="white"/>
          <w:lang w:eastAsia="zh-CN"/>
        </w:rPr>
        <w:t>具体办理方法参照《业务规则》的有关规定以及各销售机构的业务规则。</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二、基金份额的质押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在条件许可的情况下，基金登记机构可依据相关法律法规及其业务规则，办理基金份额质押业务，并可收取一定的手续费。</w:t>
      </w:r>
    </w:p>
    <w:p w:rsidR="002B1026">
      <w:pPr>
        <w:spacing w:line="360" w:lineRule="auto"/>
        <w:ind w:firstLine="420"/>
        <w:rPr>
          <w:rStyle w:val="da"/>
          <w:rFonts w:ascii="宋体" w:hAnsi="Calibri"/>
          <w:lang w:eastAsia="zh-CN"/>
        </w:rPr>
      </w:pPr>
      <w:bookmarkStart w:id="1815" w:name="_Toc332373521"/>
      <w:r>
        <w:rPr>
          <w:rStyle w:val="da"/>
          <w:rFonts w:ascii="宋体" w:hAnsi="Calibri" w:hint="eastAsia"/>
          <w:highlight w:val="white"/>
          <w:lang w:eastAsia="zh-CN"/>
        </w:rPr>
        <w:t>三、基金的非交易过户</w:t>
      </w:r>
      <w:bookmarkEnd w:id="1815"/>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2B1026">
      <w:pPr>
        <w:spacing w:line="360" w:lineRule="auto"/>
        <w:ind w:firstLine="420"/>
        <w:rPr>
          <w:rStyle w:val="da"/>
          <w:rFonts w:ascii="宋体" w:hAnsi="Calibri"/>
          <w:lang w:eastAsia="zh-CN"/>
        </w:rPr>
      </w:pPr>
      <w:bookmarkStart w:id="1816" w:name="_Toc332373522"/>
      <w:r>
        <w:rPr>
          <w:rStyle w:val="da"/>
          <w:rFonts w:ascii="宋体" w:hAnsi="Calibri" w:hint="eastAsia"/>
          <w:highlight w:val="white"/>
          <w:lang w:eastAsia="zh-CN"/>
        </w:rPr>
        <w:t>四、基金的冻结与解冻</w:t>
      </w:r>
      <w:bookmarkEnd w:id="1816"/>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基金登记机构只受理国家有权机关依法要求的基金份额的冻结与解冻，以及登记机构认可、符合法律法规的其他情况下的冻结与解冻。</w:t>
      </w:r>
    </w:p>
    <w:p w:rsidR="002B1026">
      <w:pPr>
        <w:pStyle w:val="Heading1"/>
        <w:spacing w:before="317" w:after="317" w:line="320" w:lineRule="exact"/>
        <w:ind w:firstLine="640"/>
        <w:rPr>
          <w:rFonts w:ascii="宋体" w:eastAsia="宋体" w:hAnsi="Calibri"/>
          <w:sz w:val="30"/>
          <w:szCs w:val="30"/>
          <w:lang w:eastAsia="zh-CN"/>
        </w:rPr>
      </w:pPr>
      <w:r>
        <w:rPr>
          <w:rFonts w:ascii="宋体" w:eastAsia="宋体" w:hAnsi="Calibri" w:hint="eastAsia"/>
          <w:highlight w:val="white"/>
          <w:lang w:eastAsia="zh-CN"/>
        </w:rPr>
        <w:br w:type="column"/>
      </w:r>
      <w:bookmarkStart w:id="1817" w:name="_Toc332373523"/>
      <w:bookmarkStart w:id="1818" w:name="_Toc227311245"/>
      <w:r>
        <w:rPr>
          <w:rFonts w:ascii="宋体" w:eastAsia="宋体" w:hAnsi="Calibri" w:hint="eastAsia"/>
          <w:sz w:val="30"/>
          <w:szCs w:val="30"/>
          <w:highlight w:val="white"/>
          <w:lang w:eastAsia="zh-CN"/>
        </w:rPr>
        <w:t>第十二部分 基金的投资</w:t>
      </w:r>
      <w:bookmarkEnd w:id="1817"/>
      <w:bookmarkEnd w:id="1818"/>
    </w:p>
    <w:p w:rsidR="002B1026">
      <w:pPr>
        <w:spacing w:line="360" w:lineRule="auto"/>
        <w:ind w:firstLine="420"/>
        <w:rPr>
          <w:rStyle w:val="da"/>
          <w:rFonts w:ascii="宋体" w:hAnsi="Calibri"/>
          <w:lang w:eastAsia="zh-CN"/>
        </w:rPr>
      </w:pPr>
      <w:bookmarkStart w:id="1819" w:name="_Toc332373524"/>
      <w:r>
        <w:rPr>
          <w:rStyle w:val="da"/>
          <w:rFonts w:ascii="宋体" w:hAnsi="Calibri" w:hint="eastAsia"/>
          <w:highlight w:val="white"/>
          <w:lang w:eastAsia="zh-CN"/>
        </w:rPr>
        <w:t>一、投资目标</w:t>
      </w:r>
      <w:bookmarkEnd w:id="1819"/>
    </w:p>
    <w:p w:rsidR="002B1026">
      <w:pPr>
        <w:spacing w:line="360" w:lineRule="auto"/>
        <w:ind w:firstLine="420"/>
        <w:rPr>
          <w:rStyle w:val="da"/>
          <w:rFonts w:ascii="宋体" w:hAnsi="Calibri"/>
          <w:lang w:eastAsia="zh-CN"/>
        </w:rPr>
      </w:pPr>
      <w:bookmarkStart w:id="1820" w:name="_Toc332373525"/>
      <w:r>
        <w:rPr>
          <w:rStyle w:val="da"/>
          <w:rFonts w:ascii="宋体" w:hAnsi="Calibri"/>
          <w:lang w:eastAsia="zh-CN"/>
        </w:rPr>
        <w:t>通过大类资产的合理配置及基金精选，在控制整体风险的前提下，力争实现资产的长期稳健增值。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二、投资范围</w:t>
      </w:r>
      <w:bookmarkEnd w:id="1820"/>
    </w:p>
    <w:p w:rsidR="002B1026">
      <w:pPr>
        <w:widowControl/>
        <w:spacing w:line="360" w:lineRule="auto"/>
        <w:ind w:firstLine="420"/>
        <w:rPr>
          <w:rStyle w:val="da"/>
          <w:rFonts w:ascii="宋体" w:hAnsi="Calibri"/>
          <w:lang w:eastAsia="zh-CN"/>
        </w:rPr>
      </w:pPr>
      <w:bookmarkStart w:id="1821" w:name="_Toc359426195"/>
      <w:bookmarkStart w:id="1822" w:name="_Toc332373526"/>
      <w:r>
        <w:rPr>
          <w:rStyle w:val="da"/>
          <w:rFonts w:ascii="宋体" w:hAnsi="Calibri"/>
          <w:lang w:eastAsia="zh-CN"/>
        </w:rPr>
        <w:t>本基金的投资范围包括经中国证监会依法核准或注册的基金（含QDII基金及香港互认基金、公开募集基础设施证券投资基金（以下简称</w:t>
      </w:r>
      <w:r>
        <w:rPr>
          <w:rStyle w:val="da"/>
          <w:rFonts w:ascii="宋体" w:hAnsi="Calibri"/>
          <w:lang w:eastAsia="zh-CN"/>
        </w:rPr>
        <w:t>“</w:t>
      </w:r>
      <w:r>
        <w:rPr>
          <w:rStyle w:val="da"/>
          <w:rFonts w:ascii="宋体" w:hAnsi="Calibri"/>
          <w:lang w:eastAsia="zh-CN"/>
        </w:rPr>
        <w:t>公募REITs</w:t>
      </w:r>
      <w:r>
        <w:rPr>
          <w:rStyle w:val="da"/>
          <w:rFonts w:ascii="宋体" w:hAnsi="Calibri"/>
          <w:lang w:eastAsia="zh-CN"/>
        </w:rPr>
        <w:t>”</w:t>
      </w:r>
      <w:r>
        <w:rPr>
          <w:rStyle w:val="da"/>
          <w:rFonts w:ascii="宋体" w:hAnsi="Calibri"/>
          <w:lang w:eastAsia="zh-CN"/>
        </w:rPr>
        <w:t>）、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w:t>
      </w:r>
      <w:r>
        <w:rPr>
          <w:rStyle w:val="da"/>
          <w:rFonts w:ascii="宋体" w:hAnsi="Calibri"/>
          <w:lang w:eastAsia="zh-CN"/>
        </w:rPr>
        <w:t>“</w:t>
      </w:r>
      <w:r>
        <w:rPr>
          <w:rStyle w:val="da"/>
          <w:rFonts w:ascii="宋体" w:hAnsi="Calibri"/>
          <w:lang w:eastAsia="zh-CN"/>
        </w:rPr>
        <w:t>港股通股票</w:t>
      </w:r>
      <w:r>
        <w:rPr>
          <w:rStyle w:val="da"/>
          <w:rFonts w:ascii="宋体" w:hAnsi="Calibri"/>
          <w:lang w:eastAsia="zh-CN"/>
        </w:rPr>
        <w:t>”</w:t>
      </w:r>
      <w:r>
        <w:rPr>
          <w:rStyle w:val="da"/>
          <w:rFonts w:ascii="宋体" w:hAnsi="Calibri"/>
          <w:lang w:eastAsia="zh-CN"/>
        </w:rPr>
        <w:t>、</w:t>
      </w:r>
      <w:r>
        <w:rPr>
          <w:rStyle w:val="da"/>
          <w:rFonts w:ascii="宋体" w:hAnsi="Calibri"/>
          <w:lang w:eastAsia="zh-CN"/>
        </w:rPr>
        <w:t>“</w:t>
      </w:r>
      <w:r>
        <w:rPr>
          <w:rStyle w:val="da"/>
          <w:rFonts w:ascii="宋体" w:hAnsi="Calibri"/>
          <w:lang w:eastAsia="zh-CN"/>
        </w:rPr>
        <w:t>港股通ETF</w:t>
      </w:r>
      <w:r>
        <w:rPr>
          <w:rStyle w:val="da"/>
          <w:rFonts w:ascii="宋体" w:hAnsi="Calibri"/>
          <w:lang w:eastAsia="zh-CN"/>
        </w:rPr>
        <w:t>”</w:t>
      </w:r>
      <w:r>
        <w:rPr>
          <w:rStyle w:val="da"/>
          <w:rFonts w:ascii="宋体" w:hAnsi="Calibri"/>
          <w:lang w:eastAsia="zh-CN"/>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2B1026">
      <w:pPr>
        <w:widowControl/>
        <w:spacing w:line="360" w:lineRule="auto"/>
        <w:ind w:firstLine="420"/>
        <w:rPr>
          <w:rStyle w:val="da"/>
          <w:rFonts w:ascii="宋体" w:hAnsi="Calibri"/>
          <w:lang w:eastAsia="zh-CN"/>
        </w:rPr>
      </w:pPr>
      <w:r>
        <w:rPr>
          <w:rStyle w:val="da"/>
          <w:rFonts w:ascii="宋体" w:hAnsi="Calibri"/>
          <w:lang w:eastAsia="zh-CN"/>
        </w:rPr>
        <w:t>如法律法规或监管机构以后允许基金投资其他品种，基金管理人在履行适当程序后，本基金可以将其纳入投资范围。</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基金的投资组合比例为：</w:t>
      </w:r>
      <w:r>
        <w:rPr>
          <w:rStyle w:val="da"/>
          <w:rFonts w:ascii="宋体" w:hAnsi="Calibri"/>
          <w:lang w:eastAsia="zh-CN"/>
        </w:rPr>
        <w:t>本基金投资于经中国证监会依法核准或注册基金的资产不低于基金资产的80%，权益类资产占基金资产的比例为5%</w:t>
      </w:r>
      <w:r>
        <w:rPr>
          <w:rStyle w:val="da"/>
          <w:rFonts w:ascii="宋体" w:hAnsi="Calibri"/>
          <w:lang w:eastAsia="zh-CN"/>
        </w:rPr>
        <w:t>—</w:t>
      </w:r>
      <w:r>
        <w:rPr>
          <w:rStyle w:val="da"/>
          <w:rFonts w:ascii="宋体" w:hAnsi="Calibri"/>
          <w:lang w:eastAsia="zh-CN"/>
        </w:rPr>
        <w:t>30%，投资于港股通股票的资产不超过股票资产的50%，投资于QDII基金、香港互认基金的资产合计不超过基金资产的20%，投资于商品基金（含商品期货基金和黄金ETF等）的资产合计不超过基金资产的10%；保持不低于基金资产净值5％的现金或者到期日在一年以内的政府债券，其中现金不包括结算备付金、存出保证金和应收申购款等。</w:t>
      </w:r>
      <w:bookmarkEnd w:id="1821"/>
    </w:p>
    <w:p w:rsidR="002B1026">
      <w:pPr>
        <w:spacing w:line="360" w:lineRule="auto"/>
        <w:ind w:firstLine="420"/>
        <w:rPr>
          <w:rStyle w:val="da"/>
          <w:rFonts w:ascii="宋体" w:hAnsi="Calibri"/>
          <w:lang w:eastAsia="zh-CN"/>
        </w:rPr>
      </w:pPr>
      <w:r>
        <w:rPr>
          <w:rStyle w:val="da"/>
          <w:rFonts w:ascii="宋体" w:hAnsi="Calibri"/>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三、投资策略</w:t>
      </w:r>
      <w:bookmarkEnd w:id="1822"/>
    </w:p>
    <w:p w:rsidR="002B1026">
      <w:pPr>
        <w:spacing w:line="360" w:lineRule="auto"/>
        <w:ind w:firstLine="420"/>
        <w:rPr>
          <w:rStyle w:val="da"/>
          <w:rFonts w:ascii="宋体" w:hAnsi="Calibri"/>
          <w:lang w:eastAsia="zh-CN"/>
        </w:rPr>
      </w:pPr>
      <w:bookmarkStart w:id="1823" w:name="_Toc332373530"/>
      <w:bookmarkStart w:id="1824" w:name="question3"/>
      <w:r>
        <w:rPr>
          <w:rStyle w:val="da"/>
          <w:rFonts w:ascii="宋体" w:hAnsi="Calibri"/>
          <w:lang w:eastAsia="zh-CN"/>
        </w:rPr>
        <w:t>本基金将秉承稳健的投资风格，严格控制投资组合风险，力争为投资者获得长期投资回报。</w:t>
      </w:r>
    </w:p>
    <w:p w:rsidR="002B1026">
      <w:pPr>
        <w:spacing w:line="360" w:lineRule="auto"/>
        <w:ind w:firstLine="420"/>
        <w:rPr>
          <w:rStyle w:val="da"/>
          <w:rFonts w:ascii="宋体" w:hAnsi="Calibri"/>
          <w:lang w:eastAsia="zh-CN"/>
        </w:rPr>
      </w:pPr>
      <w:r>
        <w:rPr>
          <w:rStyle w:val="da"/>
          <w:rFonts w:ascii="宋体" w:hAnsi="Calibri"/>
          <w:lang w:eastAsia="zh-CN"/>
        </w:rPr>
        <w:t>本基金的主要投资策略包括资产配置策略、基金筛选策略、基金配置策略。</w:t>
      </w:r>
    </w:p>
    <w:p w:rsidR="002B1026">
      <w:pPr>
        <w:spacing w:line="360" w:lineRule="auto"/>
        <w:ind w:firstLine="420"/>
        <w:rPr>
          <w:rStyle w:val="da"/>
          <w:rFonts w:ascii="宋体" w:hAnsi="Calibri"/>
          <w:lang w:eastAsia="zh-CN"/>
        </w:rPr>
      </w:pPr>
      <w:r>
        <w:rPr>
          <w:rStyle w:val="da"/>
          <w:rFonts w:ascii="宋体" w:hAnsi="Calibri"/>
          <w:lang w:eastAsia="zh-CN"/>
        </w:rPr>
        <w:t>1、资产配置策略</w:t>
      </w:r>
    </w:p>
    <w:p w:rsidR="002B1026">
      <w:pPr>
        <w:spacing w:line="360" w:lineRule="auto"/>
        <w:ind w:firstLine="420"/>
        <w:rPr>
          <w:rStyle w:val="da"/>
          <w:rFonts w:ascii="宋体" w:hAnsi="Calibri"/>
          <w:lang w:eastAsia="zh-CN"/>
        </w:rPr>
      </w:pPr>
      <w:r>
        <w:rPr>
          <w:rStyle w:val="da"/>
          <w:rFonts w:ascii="宋体" w:hAnsi="Calibri"/>
          <w:lang w:eastAsia="zh-CN"/>
        </w:rPr>
        <w:t>本基金的长期资产配置将以固定收益类资产为主，在此基础上，基金管理人将通过定性分析和定量分析相结合的方式对未来市场环境进行预测和判断，确定基金资产在权益类资产、商品基金和固定收益类资产间的配置比例，并随着各类资产风险收益特征的相对变化，动态调整组合中各类资产的配置比例。</w:t>
      </w:r>
    </w:p>
    <w:p w:rsidR="002B1026">
      <w:pPr>
        <w:spacing w:line="360" w:lineRule="auto"/>
        <w:ind w:firstLine="420"/>
        <w:rPr>
          <w:rStyle w:val="da"/>
          <w:rFonts w:ascii="宋体" w:hAnsi="Calibri"/>
          <w:lang w:eastAsia="zh-CN"/>
        </w:rPr>
      </w:pPr>
      <w:r>
        <w:rPr>
          <w:rStyle w:val="da"/>
          <w:rFonts w:ascii="宋体" w:hAnsi="Calibri"/>
          <w:lang w:eastAsia="zh-CN"/>
        </w:rPr>
        <w:t>2、基金筛选策略</w:t>
      </w:r>
    </w:p>
    <w:p w:rsidR="002B1026">
      <w:pPr>
        <w:spacing w:line="360" w:lineRule="auto"/>
        <w:ind w:firstLine="420"/>
        <w:rPr>
          <w:rStyle w:val="da"/>
          <w:rFonts w:ascii="宋体" w:hAnsi="Calibri"/>
          <w:lang w:eastAsia="zh-CN"/>
        </w:rPr>
      </w:pPr>
      <w:r>
        <w:rPr>
          <w:rStyle w:val="da"/>
          <w:rFonts w:ascii="宋体" w:hAnsi="Calibri"/>
          <w:lang w:eastAsia="zh-CN"/>
        </w:rPr>
        <w:t>基金筛选策略是基金配置策略的基础，本基金所投资的全部基金都应是通过基金筛选策略选择出的标的基金。</w:t>
      </w:r>
    </w:p>
    <w:p w:rsidR="002B1026">
      <w:pPr>
        <w:spacing w:line="360" w:lineRule="auto"/>
        <w:ind w:firstLine="420"/>
        <w:rPr>
          <w:rStyle w:val="da"/>
          <w:rFonts w:ascii="宋体" w:hAnsi="Calibri"/>
          <w:lang w:eastAsia="zh-CN"/>
        </w:rPr>
      </w:pPr>
      <w:r>
        <w:rPr>
          <w:rStyle w:val="da"/>
          <w:rFonts w:ascii="宋体" w:hAnsi="Calibri"/>
          <w:lang w:eastAsia="zh-CN"/>
        </w:rPr>
        <w:t>对被动型基金和主动型基金将使用不同的筛选方法。</w:t>
      </w:r>
    </w:p>
    <w:p w:rsidR="002B1026">
      <w:pPr>
        <w:spacing w:line="360" w:lineRule="auto"/>
        <w:ind w:firstLine="420"/>
        <w:rPr>
          <w:rStyle w:val="da"/>
          <w:rFonts w:ascii="宋体" w:hAnsi="Calibri"/>
          <w:lang w:eastAsia="zh-CN"/>
        </w:rPr>
      </w:pPr>
      <w:r>
        <w:rPr>
          <w:rStyle w:val="da"/>
          <w:rFonts w:ascii="宋体" w:hAnsi="Calibri"/>
          <w:lang w:eastAsia="zh-CN"/>
        </w:rPr>
        <w:t>（1）被动型基金筛选策略</w:t>
      </w:r>
    </w:p>
    <w:p w:rsidR="002B1026">
      <w:pPr>
        <w:spacing w:line="360" w:lineRule="auto"/>
        <w:ind w:firstLine="420"/>
        <w:rPr>
          <w:rStyle w:val="da"/>
          <w:rFonts w:ascii="宋体" w:hAnsi="Calibri"/>
          <w:lang w:eastAsia="zh-CN"/>
        </w:rPr>
      </w:pPr>
      <w:r>
        <w:rPr>
          <w:rStyle w:val="da"/>
          <w:rFonts w:ascii="宋体" w:hAnsi="Calibri"/>
          <w:lang w:eastAsia="zh-CN"/>
        </w:rPr>
        <w:t>本基金所界定的被动型基金包括跟踪某一指数表现、某一价格或价格指数表现的基金。</w:t>
      </w:r>
    </w:p>
    <w:p w:rsidR="002B1026">
      <w:pPr>
        <w:spacing w:line="360" w:lineRule="auto"/>
        <w:ind w:firstLine="420"/>
        <w:rPr>
          <w:rStyle w:val="da"/>
          <w:rFonts w:ascii="宋体" w:hAnsi="Calibri"/>
          <w:lang w:eastAsia="zh-CN"/>
        </w:rPr>
      </w:pPr>
      <w:r>
        <w:rPr>
          <w:rStyle w:val="da"/>
          <w:rFonts w:ascii="宋体" w:hAnsi="Calibri"/>
          <w:lang w:eastAsia="zh-CN"/>
        </w:rPr>
        <w:t>对于被动型基金，本基金将综合考虑运作时间、基金规模、流动性、跟踪误差以及费率水平等指标，筛选出跟踪误差较小、流动性较好、运作平稳、费率水平合理的被动型基金纳入标的基金池。</w:t>
      </w:r>
    </w:p>
    <w:p w:rsidR="002B1026">
      <w:pPr>
        <w:spacing w:line="360" w:lineRule="auto"/>
        <w:ind w:firstLine="420"/>
        <w:rPr>
          <w:rStyle w:val="da"/>
          <w:rFonts w:ascii="宋体" w:hAnsi="Calibri"/>
          <w:lang w:eastAsia="zh-CN"/>
        </w:rPr>
      </w:pPr>
      <w:r>
        <w:rPr>
          <w:rStyle w:val="da"/>
          <w:rFonts w:ascii="宋体" w:hAnsi="Calibri"/>
          <w:lang w:eastAsia="zh-CN"/>
        </w:rPr>
        <w:t>（2）主动型基金筛选策略</w:t>
      </w:r>
    </w:p>
    <w:p w:rsidR="002B1026">
      <w:pPr>
        <w:spacing w:line="360" w:lineRule="auto"/>
        <w:ind w:firstLine="420"/>
        <w:rPr>
          <w:rStyle w:val="da"/>
          <w:rFonts w:ascii="宋体" w:hAnsi="Calibri"/>
          <w:lang w:eastAsia="zh-CN"/>
        </w:rPr>
      </w:pPr>
      <w:r>
        <w:rPr>
          <w:rStyle w:val="da"/>
          <w:rFonts w:ascii="宋体" w:hAnsi="Calibri"/>
          <w:lang w:eastAsia="zh-CN"/>
        </w:rPr>
        <w:t>本基金所界定的主动型基金是指除前述所界定的被动型基金外的全部基金。</w:t>
      </w:r>
    </w:p>
    <w:p w:rsidR="002B1026">
      <w:pPr>
        <w:spacing w:line="360" w:lineRule="auto"/>
        <w:ind w:firstLine="420"/>
        <w:rPr>
          <w:rStyle w:val="da"/>
          <w:rFonts w:ascii="宋体" w:hAnsi="Calibri"/>
          <w:lang w:eastAsia="zh-CN"/>
        </w:rPr>
      </w:pPr>
      <w:r>
        <w:rPr>
          <w:rStyle w:val="da"/>
          <w:rFonts w:ascii="宋体" w:hAnsi="Calibri"/>
          <w:lang w:eastAsia="zh-CN"/>
        </w:rPr>
        <w:t>主动型基金主要采用基金定量评价、基金定性评价等方法筛选标的基金。</w:t>
      </w:r>
    </w:p>
    <w:p w:rsidR="002B1026">
      <w:pPr>
        <w:spacing w:line="360" w:lineRule="auto"/>
        <w:ind w:firstLine="420"/>
        <w:rPr>
          <w:rStyle w:val="da"/>
          <w:rFonts w:ascii="宋体" w:hAnsi="Calibri"/>
          <w:lang w:eastAsia="zh-CN"/>
        </w:rPr>
      </w:pPr>
      <w:r>
        <w:rPr>
          <w:rStyle w:val="da"/>
          <w:rFonts w:ascii="宋体" w:hAnsi="Calibri"/>
          <w:lang w:eastAsia="zh-CN"/>
        </w:rPr>
        <w:t>1）基金定量评价</w:t>
      </w:r>
    </w:p>
    <w:p w:rsidR="002B1026">
      <w:pPr>
        <w:spacing w:line="360" w:lineRule="auto"/>
        <w:ind w:firstLine="420"/>
        <w:rPr>
          <w:rStyle w:val="da"/>
          <w:rFonts w:ascii="宋体" w:hAnsi="Calibri"/>
          <w:lang w:eastAsia="zh-CN"/>
        </w:rPr>
      </w:pPr>
      <w:r>
        <w:rPr>
          <w:rStyle w:val="da"/>
          <w:rFonts w:ascii="宋体" w:hAnsi="Calibri"/>
          <w:lang w:eastAsia="zh-CN"/>
        </w:rPr>
        <w:t>基金管理人从多个维度对主动型基金进行定量评价。结合主动型基金公开披露的数据，本基金将利用基金定量评价体系对基金的基本情况和投资业绩、基金经理的投资行为和投资能力等方面进行评估，得到量化评价结果。</w:t>
      </w:r>
    </w:p>
    <w:p w:rsidR="002B1026">
      <w:pPr>
        <w:spacing w:line="360" w:lineRule="auto"/>
        <w:ind w:firstLine="420"/>
        <w:rPr>
          <w:rStyle w:val="da"/>
          <w:rFonts w:ascii="宋体" w:hAnsi="Calibri"/>
          <w:lang w:eastAsia="zh-CN"/>
        </w:rPr>
      </w:pPr>
      <w:r>
        <w:rPr>
          <w:rStyle w:val="da"/>
          <w:rFonts w:ascii="宋体" w:hAnsi="Calibri"/>
          <w:lang w:eastAsia="zh-CN"/>
        </w:rPr>
        <w:t>2）基金定性评价</w:t>
      </w:r>
    </w:p>
    <w:p w:rsidR="002B1026">
      <w:pPr>
        <w:spacing w:line="360" w:lineRule="auto"/>
        <w:ind w:firstLine="420"/>
        <w:rPr>
          <w:rStyle w:val="da"/>
          <w:rFonts w:ascii="宋体" w:hAnsi="Calibri"/>
          <w:lang w:eastAsia="zh-CN"/>
        </w:rPr>
      </w:pPr>
      <w:r>
        <w:rPr>
          <w:rStyle w:val="da"/>
          <w:rFonts w:ascii="宋体" w:hAnsi="Calibri"/>
          <w:lang w:eastAsia="zh-CN"/>
        </w:rPr>
        <w:t>除了基金定量评价外，本基金还将关注以下因素，对基金进行定性评价，包括但不限于基金公司的经营情况、管理情况、风险管理体系，基金经理的从业背景、投资框架、投资理念、投资策略、投资风格、组合管理方法和风险控制等。</w:t>
      </w:r>
    </w:p>
    <w:p w:rsidR="002B1026">
      <w:pPr>
        <w:spacing w:line="360" w:lineRule="auto"/>
        <w:ind w:firstLine="420"/>
        <w:rPr>
          <w:rStyle w:val="da"/>
          <w:rFonts w:ascii="宋体" w:hAnsi="Calibri"/>
          <w:lang w:eastAsia="zh-CN"/>
        </w:rPr>
      </w:pPr>
      <w:r>
        <w:rPr>
          <w:rStyle w:val="da"/>
          <w:rFonts w:ascii="宋体" w:hAnsi="Calibri"/>
          <w:lang w:eastAsia="zh-CN"/>
        </w:rPr>
        <w:t>3）公募REITs投资策略</w:t>
      </w:r>
    </w:p>
    <w:p w:rsidR="002B1026">
      <w:pPr>
        <w:spacing w:line="360" w:lineRule="auto"/>
        <w:ind w:firstLine="420"/>
        <w:rPr>
          <w:rStyle w:val="da"/>
          <w:rFonts w:ascii="宋体" w:hAnsi="Calibri"/>
          <w:lang w:eastAsia="zh-CN"/>
        </w:rPr>
      </w:pPr>
      <w:r>
        <w:rPr>
          <w:rStyle w:val="da"/>
          <w:rFonts w:ascii="宋体" w:hAnsi="Calibri"/>
          <w:lang w:eastAsia="zh-CN"/>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rsidR="002B1026">
      <w:pPr>
        <w:spacing w:line="360" w:lineRule="auto"/>
        <w:ind w:firstLine="420"/>
        <w:rPr>
          <w:rStyle w:val="da"/>
          <w:rFonts w:ascii="宋体" w:hAnsi="Calibri"/>
          <w:lang w:eastAsia="zh-CN"/>
        </w:rPr>
      </w:pPr>
      <w:r>
        <w:rPr>
          <w:rStyle w:val="da"/>
          <w:rFonts w:ascii="宋体" w:hAnsi="Calibri"/>
          <w:lang w:eastAsia="zh-CN"/>
        </w:rPr>
        <w:t>通过上述分析，本基金将筛选出投资风格相对稳定，投资价值相对较高的主动型基金纳入标的基金池。</w:t>
      </w:r>
    </w:p>
    <w:p w:rsidR="002B1026">
      <w:pPr>
        <w:spacing w:line="360" w:lineRule="auto"/>
        <w:ind w:firstLine="420"/>
        <w:rPr>
          <w:rStyle w:val="da"/>
          <w:rFonts w:ascii="宋体" w:hAnsi="Calibri"/>
          <w:lang w:eastAsia="zh-CN"/>
        </w:rPr>
      </w:pPr>
      <w:r>
        <w:rPr>
          <w:rStyle w:val="da"/>
          <w:rFonts w:ascii="宋体" w:hAnsi="Calibri"/>
          <w:lang w:eastAsia="zh-CN"/>
        </w:rPr>
        <w:t>本基金将结合市场行情、基金的定期报告等对标的基金池进行动态调整。</w:t>
      </w:r>
    </w:p>
    <w:p w:rsidR="002B1026">
      <w:pPr>
        <w:spacing w:line="360" w:lineRule="auto"/>
        <w:ind w:firstLine="420"/>
        <w:rPr>
          <w:rStyle w:val="da"/>
          <w:rFonts w:ascii="宋体" w:hAnsi="Calibri"/>
          <w:lang w:eastAsia="zh-CN"/>
        </w:rPr>
      </w:pPr>
      <w:r>
        <w:rPr>
          <w:rStyle w:val="da"/>
          <w:rFonts w:ascii="宋体" w:hAnsi="Calibri"/>
          <w:lang w:eastAsia="zh-CN"/>
        </w:rPr>
        <w:t>3、基金配置策略</w:t>
      </w:r>
    </w:p>
    <w:p w:rsidR="002B1026">
      <w:pPr>
        <w:spacing w:line="360" w:lineRule="auto"/>
        <w:ind w:firstLine="420"/>
        <w:rPr>
          <w:rStyle w:val="da"/>
          <w:rFonts w:ascii="宋体" w:hAnsi="Calibri"/>
          <w:lang w:eastAsia="zh-CN"/>
        </w:rPr>
      </w:pPr>
      <w:r>
        <w:rPr>
          <w:rStyle w:val="da"/>
          <w:rFonts w:ascii="宋体" w:hAnsi="Calibri"/>
          <w:lang w:eastAsia="zh-CN"/>
        </w:rPr>
        <w:t>在通过资产配置策略获得目标资产配置比例、通过基金筛选策略获得标的基金池后，本基金将通过基金配置策略完成具体的基金组合构建。本基金将通过公开披露的数据和信息估算拟投资基金的最新资产配置比例，根据目标资产配置比例的要求以及对未来市场走势的研判，确定最终的基金配置组合。</w:t>
      </w:r>
    </w:p>
    <w:p w:rsidR="002B1026">
      <w:pPr>
        <w:spacing w:line="360" w:lineRule="auto"/>
        <w:ind w:firstLine="420"/>
        <w:rPr>
          <w:rStyle w:val="da"/>
          <w:rFonts w:ascii="宋体" w:hAnsi="Calibri"/>
          <w:lang w:eastAsia="zh-CN"/>
        </w:rPr>
      </w:pPr>
      <w:r>
        <w:rPr>
          <w:rStyle w:val="da"/>
          <w:rFonts w:ascii="宋体" w:hAnsi="Calibri"/>
          <w:lang w:eastAsia="zh-CN"/>
        </w:rPr>
        <w:t>投资管理过程中，本基金将结合市场行情等对基金组合进行动态调整。</w:t>
      </w:r>
    </w:p>
    <w:p w:rsidR="002B1026">
      <w:pPr>
        <w:spacing w:line="360" w:lineRule="auto"/>
        <w:ind w:firstLine="420"/>
        <w:rPr>
          <w:rStyle w:val="da"/>
          <w:rFonts w:ascii="宋体" w:hAnsi="Calibri"/>
          <w:lang w:eastAsia="zh-CN"/>
        </w:rPr>
      </w:pPr>
      <w:r>
        <w:rPr>
          <w:rStyle w:val="da"/>
          <w:rFonts w:ascii="宋体" w:hAnsi="Calibri"/>
          <w:lang w:eastAsia="zh-CN"/>
        </w:rPr>
        <w:t>在上述基金配置策略的实施过程中，本基金可投资于基金管理人、基金管理人关联方所管理的其他基金。</w:t>
      </w:r>
    </w:p>
    <w:p w:rsidR="002B1026">
      <w:pPr>
        <w:spacing w:line="360" w:lineRule="auto"/>
        <w:ind w:firstLine="420"/>
        <w:rPr>
          <w:rStyle w:val="da"/>
          <w:rFonts w:ascii="宋体" w:hAnsi="Calibri"/>
          <w:lang w:eastAsia="zh-CN"/>
        </w:rPr>
      </w:pPr>
      <w:r>
        <w:rPr>
          <w:rStyle w:val="da"/>
          <w:rFonts w:ascii="宋体" w:hAnsi="Calibri"/>
          <w:lang w:eastAsia="zh-CN"/>
        </w:rPr>
        <w:t>4、股票及债券投资策略</w:t>
      </w:r>
    </w:p>
    <w:p w:rsidR="002B1026">
      <w:pPr>
        <w:spacing w:line="360" w:lineRule="auto"/>
        <w:ind w:firstLine="420"/>
        <w:rPr>
          <w:rStyle w:val="da"/>
          <w:rFonts w:ascii="宋体" w:hAnsi="Calibri"/>
          <w:lang w:eastAsia="zh-CN"/>
        </w:rPr>
      </w:pPr>
      <w:r>
        <w:rPr>
          <w:rStyle w:val="da"/>
          <w:rFonts w:ascii="宋体" w:hAnsi="Calibri"/>
          <w:lang w:eastAsia="zh-CN"/>
        </w:rPr>
        <w:t>本基金可适度参与股票（含港股通股票）、债券投资，以便更好实现基金的投资目标。在股票投资方面，本基金主要对股票的投资价值进行深入研究，从而精选出具有较高投资价值的个股；在债券投资方面，本基金将密切跟踪市场动态变化，选择合适的投资机会，在保持流动性的基础上，通过有效利用基金资产来追求基金的长期稳定增值。</w:t>
      </w:r>
    </w:p>
    <w:p w:rsidR="002B1026">
      <w:pPr>
        <w:spacing w:line="360" w:lineRule="auto"/>
        <w:ind w:firstLine="420"/>
        <w:rPr>
          <w:rStyle w:val="da"/>
          <w:rFonts w:ascii="宋体" w:hAnsi="Calibri"/>
          <w:lang w:eastAsia="zh-CN"/>
        </w:rPr>
      </w:pPr>
      <w:r>
        <w:rPr>
          <w:rStyle w:val="da"/>
          <w:rFonts w:ascii="宋体" w:hAnsi="Calibri"/>
          <w:lang w:eastAsia="zh-CN"/>
        </w:rPr>
        <w:t>本基金可根据投资策略需要或不同配置地市场环境的变化，选择将部分基金资产投资于港股或选择不将基金资产投资于港股，基金资产并非必然投资港股。</w:t>
      </w:r>
    </w:p>
    <w:p w:rsidR="002B1026">
      <w:pPr>
        <w:spacing w:line="360" w:lineRule="auto"/>
        <w:ind w:firstLine="420"/>
        <w:rPr>
          <w:rStyle w:val="da"/>
          <w:rFonts w:ascii="宋体" w:hAnsi="Calibri"/>
          <w:lang w:eastAsia="zh-CN"/>
        </w:rPr>
      </w:pPr>
      <w:r>
        <w:rPr>
          <w:rStyle w:val="da"/>
          <w:rFonts w:ascii="宋体" w:hAnsi="Calibri"/>
          <w:lang w:eastAsia="zh-CN"/>
        </w:rPr>
        <w:t>5、存托凭证投资策略</w:t>
      </w:r>
    </w:p>
    <w:p w:rsidR="002B1026">
      <w:pPr>
        <w:spacing w:line="360" w:lineRule="auto"/>
        <w:ind w:firstLine="420"/>
        <w:rPr>
          <w:rStyle w:val="da"/>
          <w:rFonts w:ascii="宋体" w:hAnsi="Calibri"/>
          <w:lang w:eastAsia="zh-CN"/>
        </w:rPr>
      </w:pPr>
      <w:r>
        <w:rPr>
          <w:rStyle w:val="da"/>
          <w:rFonts w:ascii="宋体" w:hAnsi="Calibri"/>
          <w:lang w:eastAsia="zh-CN"/>
        </w:rPr>
        <w:t>本基金投资存托凭证的策略依照上述股票投资策略执行。</w:t>
      </w:r>
    </w:p>
    <w:p w:rsidR="002B1026">
      <w:pPr>
        <w:spacing w:line="360" w:lineRule="auto"/>
        <w:ind w:firstLine="420"/>
        <w:rPr>
          <w:rStyle w:val="da"/>
          <w:rFonts w:ascii="宋体" w:hAnsi="Calibri"/>
          <w:lang w:eastAsia="zh-CN"/>
        </w:rPr>
      </w:pPr>
      <w:r>
        <w:rPr>
          <w:rStyle w:val="da"/>
          <w:rFonts w:ascii="宋体" w:hAnsi="Calibri"/>
          <w:lang w:eastAsia="zh-CN"/>
        </w:rPr>
        <w:t>6、资产支持证券投资策略</w:t>
      </w:r>
    </w:p>
    <w:p w:rsidR="002B1026">
      <w:pPr>
        <w:spacing w:line="360" w:lineRule="auto"/>
        <w:ind w:firstLine="420"/>
        <w:rPr>
          <w:rStyle w:val="da"/>
          <w:rFonts w:ascii="宋体" w:hAnsi="Calibri"/>
          <w:lang w:eastAsia="zh-CN"/>
        </w:rPr>
      </w:pPr>
      <w:r>
        <w:rPr>
          <w:rStyle w:val="da"/>
          <w:rFonts w:ascii="宋体" w:hAnsi="Calibri"/>
          <w:lang w:eastAsia="zh-CN"/>
        </w:rPr>
        <w:t>本基金可在综合考虑预期收益率、信用风险、流动性等因素的基础上，选择投资价值较高的资产支持证券进行投资。</w:t>
      </w:r>
    </w:p>
    <w:p w:rsidR="002B1026">
      <w:pPr>
        <w:spacing w:line="360" w:lineRule="auto"/>
        <w:ind w:firstLine="420"/>
        <w:rPr>
          <w:rStyle w:val="da"/>
          <w:rFonts w:ascii="宋体" w:hAnsi="Calibri"/>
          <w:lang w:eastAsia="zh-CN"/>
        </w:rPr>
      </w:pPr>
      <w:r>
        <w:rPr>
          <w:rStyle w:val="da"/>
          <w:rFonts w:ascii="宋体" w:hAnsi="Calibri"/>
          <w:lang w:eastAsia="zh-CN"/>
        </w:rPr>
        <w:t>7、未来，随着市场的发展和基金管理运作的需要，基金管理人可以在不改变投资目标的前提下，遵循法律法规的规定，在履行适当程序后相应调整或更新投资策略，并在招募说明书更新中公告。</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四、业绩比较基准</w:t>
      </w:r>
      <w:bookmarkEnd w:id="1823"/>
      <w:r>
        <w:rPr>
          <w:rStyle w:val="da"/>
          <w:rFonts w:ascii="宋体" w:hAnsi="Calibri" w:hint="eastAsia"/>
          <w:highlight w:val="white"/>
          <w:lang w:eastAsia="zh-CN"/>
        </w:rPr>
        <w:t xml:space="preserve"> </w:t>
      </w:r>
      <w:bookmarkEnd w:id="1824"/>
    </w:p>
    <w:p w:rsidR="006C6EA2" w:rsidRPr="003A55F6" w:rsidP="003A55F6">
      <w:pPr>
        <w:spacing w:line="360" w:lineRule="auto"/>
        <w:ind w:firstLine="420"/>
        <w:rPr>
          <w:rStyle w:val="da"/>
          <w:lang w:eastAsia="zh-CN"/>
        </w:rPr>
      </w:pPr>
      <w:bookmarkStart w:id="1825" w:name="_Toc332373531"/>
      <w:r w:rsidRPr="003A55F6">
        <w:rPr>
          <w:rStyle w:val="da"/>
          <w:rFonts w:hint="eastAsia"/>
          <w:lang w:eastAsia="zh-CN"/>
        </w:rPr>
        <w:t>本基金业绩比较基准为：中证债券型基金指数收益率</w:t>
      </w:r>
      <w:r w:rsidRPr="003A55F6">
        <w:rPr>
          <w:rStyle w:val="da"/>
          <w:lang w:eastAsia="zh-CN"/>
        </w:rPr>
        <w:t>×85%+</w:t>
      </w:r>
      <w:r w:rsidRPr="003A55F6">
        <w:rPr>
          <w:rStyle w:val="da"/>
          <w:rFonts w:hint="eastAsia"/>
          <w:lang w:eastAsia="zh-CN"/>
        </w:rPr>
        <w:t>中证偏股型基金指数收益率</w:t>
      </w:r>
      <w:r w:rsidRPr="003A55F6">
        <w:rPr>
          <w:rStyle w:val="da"/>
          <w:lang w:eastAsia="zh-CN"/>
        </w:rPr>
        <w:t>×10%+</w:t>
      </w:r>
      <w:r w:rsidRPr="003A55F6">
        <w:rPr>
          <w:rStyle w:val="da"/>
          <w:rFonts w:hint="eastAsia"/>
          <w:lang w:eastAsia="zh-CN"/>
        </w:rPr>
        <w:t>活期存款基准利率</w:t>
      </w:r>
      <w:r w:rsidRPr="003A55F6">
        <w:rPr>
          <w:rStyle w:val="da"/>
          <w:lang w:eastAsia="zh-CN"/>
        </w:rPr>
        <w:t>×5%</w:t>
      </w:r>
    </w:p>
    <w:p w:rsidR="006C6EA2" w:rsidRPr="003A55F6" w:rsidP="003A55F6">
      <w:pPr>
        <w:spacing w:line="360" w:lineRule="auto"/>
        <w:ind w:firstLine="420"/>
        <w:rPr>
          <w:rStyle w:val="da"/>
          <w:lang w:eastAsia="zh-CN"/>
        </w:rPr>
      </w:pPr>
      <w:r w:rsidRPr="003A55F6">
        <w:rPr>
          <w:rStyle w:val="da"/>
          <w:lang w:eastAsia="zh-CN"/>
        </w:rPr>
        <w:t>1</w:t>
      </w:r>
      <w:r w:rsidRPr="003A55F6">
        <w:rPr>
          <w:rStyle w:val="da"/>
          <w:rFonts w:hint="eastAsia"/>
          <w:lang w:eastAsia="zh-CN"/>
        </w:rPr>
        <w:t>、业绩比较基准设定的原因</w:t>
      </w:r>
    </w:p>
    <w:p w:rsidR="006C6EA2" w:rsidRPr="003A55F6" w:rsidP="003A55F6">
      <w:pPr>
        <w:spacing w:line="360" w:lineRule="auto"/>
        <w:ind w:firstLine="420"/>
        <w:rPr>
          <w:rStyle w:val="da"/>
          <w:lang w:eastAsia="zh-CN"/>
        </w:rPr>
      </w:pPr>
      <w:r w:rsidRPr="003A55F6">
        <w:rPr>
          <w:rStyle w:val="da"/>
          <w:rFonts w:hint="eastAsia"/>
          <w:lang w:eastAsia="zh-CN"/>
        </w:rPr>
        <w:t>（</w:t>
      </w:r>
      <w:r w:rsidRPr="003A55F6">
        <w:rPr>
          <w:rStyle w:val="da"/>
          <w:lang w:eastAsia="zh-CN"/>
        </w:rPr>
        <w:t>1</w:t>
      </w:r>
      <w:r w:rsidRPr="003A55F6">
        <w:rPr>
          <w:rStyle w:val="da"/>
          <w:rFonts w:hint="eastAsia"/>
          <w:lang w:eastAsia="zh-CN"/>
        </w:rPr>
        <w:t>）基于基金投资范围以及预期投资的主要资产类别（固定收益类基金、债券等固定收益类资产；权益类基金、股票等权益类资产；现金类资产等），本基金相应选取与之匹配的债券型基金指数、偏股型基金指数与活期存款基准利率作为基准要素。同时基于基金投资于经中国证监会依法核准或注册基金的资产不低于基金资产的</w:t>
      </w:r>
      <w:r w:rsidRPr="003A55F6">
        <w:rPr>
          <w:rStyle w:val="da"/>
          <w:lang w:eastAsia="zh-CN"/>
        </w:rPr>
        <w:t>80%</w:t>
      </w:r>
      <w:r w:rsidRPr="003A55F6">
        <w:rPr>
          <w:rStyle w:val="da"/>
          <w:rFonts w:hint="eastAsia"/>
          <w:lang w:eastAsia="zh-CN"/>
        </w:rPr>
        <w:t>，权益类资产占基金资产的比例为</w:t>
      </w:r>
      <w:r w:rsidRPr="003A55F6">
        <w:rPr>
          <w:rStyle w:val="da"/>
          <w:lang w:eastAsia="zh-CN"/>
        </w:rPr>
        <w:t>5%</w:t>
      </w:r>
      <w:r w:rsidRPr="003A55F6">
        <w:rPr>
          <w:rStyle w:val="da"/>
          <w:rFonts w:hint="eastAsia"/>
          <w:lang w:eastAsia="zh-CN"/>
        </w:rPr>
        <w:t>—</w:t>
      </w:r>
      <w:r w:rsidRPr="003A55F6">
        <w:rPr>
          <w:rStyle w:val="da"/>
          <w:lang w:eastAsia="zh-CN"/>
        </w:rPr>
        <w:t>30%</w:t>
      </w:r>
      <w:r w:rsidRPr="003A55F6">
        <w:rPr>
          <w:rStyle w:val="da"/>
          <w:rFonts w:hint="eastAsia"/>
          <w:lang w:eastAsia="zh-CN"/>
        </w:rPr>
        <w:t>（其中港股通股票的资产不超过股票资产的</w:t>
      </w:r>
      <w:r w:rsidRPr="003A55F6">
        <w:rPr>
          <w:rStyle w:val="da"/>
          <w:lang w:eastAsia="zh-CN"/>
        </w:rPr>
        <w:t>50%</w:t>
      </w:r>
      <w:r w:rsidRPr="003A55F6">
        <w:rPr>
          <w:rStyle w:val="da"/>
          <w:rFonts w:hint="eastAsia"/>
          <w:lang w:eastAsia="zh-CN"/>
        </w:rPr>
        <w:t>）等投资比例限制，以及预期的资产配置比例中枢，本基金将固定收益类资产、权益类资产、现金类资产所对应的基准要素权重分别设置为</w:t>
      </w:r>
      <w:r w:rsidRPr="003A55F6">
        <w:rPr>
          <w:rStyle w:val="da"/>
          <w:lang w:eastAsia="zh-CN"/>
        </w:rPr>
        <w:t>85%</w:t>
      </w:r>
      <w:r w:rsidRPr="003A55F6">
        <w:rPr>
          <w:rStyle w:val="da"/>
          <w:rFonts w:hint="eastAsia"/>
          <w:lang w:eastAsia="zh-CN"/>
        </w:rPr>
        <w:t>、</w:t>
      </w:r>
      <w:r w:rsidRPr="003A55F6">
        <w:rPr>
          <w:rStyle w:val="da"/>
          <w:lang w:eastAsia="zh-CN"/>
        </w:rPr>
        <w:t>10%</w:t>
      </w:r>
      <w:r w:rsidRPr="003A55F6">
        <w:rPr>
          <w:rStyle w:val="da"/>
          <w:rFonts w:hint="eastAsia"/>
          <w:lang w:eastAsia="zh-CN"/>
        </w:rPr>
        <w:t>和</w:t>
      </w:r>
      <w:r w:rsidRPr="003A55F6">
        <w:rPr>
          <w:rStyle w:val="da"/>
          <w:lang w:eastAsia="zh-CN"/>
        </w:rPr>
        <w:t>5%</w:t>
      </w:r>
      <w:r w:rsidRPr="003A55F6">
        <w:rPr>
          <w:rStyle w:val="da"/>
          <w:rFonts w:hint="eastAsia"/>
          <w:lang w:eastAsia="zh-CN"/>
        </w:rPr>
        <w:t>。</w:t>
      </w:r>
    </w:p>
    <w:p w:rsidR="006C6EA2" w:rsidRPr="003A55F6" w:rsidP="003A55F6">
      <w:pPr>
        <w:spacing w:line="360" w:lineRule="auto"/>
        <w:ind w:firstLine="420"/>
        <w:rPr>
          <w:rStyle w:val="da"/>
          <w:lang w:eastAsia="zh-CN"/>
        </w:rPr>
      </w:pPr>
      <w:r w:rsidRPr="003A55F6">
        <w:rPr>
          <w:rStyle w:val="da"/>
          <w:rFonts w:hint="eastAsia"/>
          <w:lang w:eastAsia="zh-CN"/>
        </w:rPr>
        <w:t>（</w:t>
      </w:r>
      <w:r w:rsidRPr="003A55F6">
        <w:rPr>
          <w:rStyle w:val="da"/>
          <w:lang w:eastAsia="zh-CN"/>
        </w:rPr>
        <w:t>2</w:t>
      </w:r>
      <w:r w:rsidRPr="003A55F6">
        <w:rPr>
          <w:rStyle w:val="da"/>
          <w:rFonts w:hint="eastAsia"/>
          <w:lang w:eastAsia="zh-CN"/>
        </w:rPr>
        <w:t>）基于本基金的投资目标、投资范围和投资策略，本基金的长期资产配置将以固定收益类资产为主，通过对被动型基金和主动型基金使用不同的筛选方法，选择优质固定收益类基金；同时本基金将密切跟踪市场动态变化，选择合适的投资机会，在保持流动性的基础上，适度参与债券投资。综合考虑基准指数与产品定位、投资策略的匹配度，以及基准指数的表征性、认可度，本基金选取中证债券型基金指数作为固定收益类资产的业绩比较基准要素。</w:t>
      </w:r>
    </w:p>
    <w:p w:rsidR="006C6EA2" w:rsidRPr="003A55F6" w:rsidP="003A55F6">
      <w:pPr>
        <w:spacing w:line="360" w:lineRule="auto"/>
        <w:ind w:firstLine="420"/>
        <w:rPr>
          <w:rStyle w:val="da"/>
          <w:lang w:eastAsia="zh-CN"/>
        </w:rPr>
      </w:pPr>
      <w:r w:rsidRPr="003A55F6">
        <w:rPr>
          <w:rStyle w:val="da"/>
          <w:rFonts w:hint="eastAsia"/>
          <w:lang w:eastAsia="zh-CN"/>
        </w:rPr>
        <w:t>中证债券型基金指数样本由中证开放式基金指数样本中的债券型基金组成，以反映境内债券型基金的整体表现。指数样本覆盖各类债券型基金，代表性强，适合作为本基金固定收益类资产的业绩比较基准要素。</w:t>
      </w:r>
    </w:p>
    <w:p w:rsidR="006C6EA2" w:rsidRPr="003A55F6" w:rsidP="003A55F6">
      <w:pPr>
        <w:spacing w:line="360" w:lineRule="auto"/>
        <w:ind w:firstLine="420"/>
        <w:rPr>
          <w:rStyle w:val="da"/>
          <w:lang w:eastAsia="zh-CN"/>
        </w:rPr>
      </w:pPr>
      <w:r w:rsidRPr="003A55F6">
        <w:rPr>
          <w:rStyle w:val="da"/>
          <w:rFonts w:hint="eastAsia"/>
          <w:lang w:eastAsia="zh-CN"/>
        </w:rPr>
        <w:t>（</w:t>
      </w:r>
      <w:r w:rsidRPr="003A55F6">
        <w:rPr>
          <w:rStyle w:val="da"/>
          <w:lang w:eastAsia="zh-CN"/>
        </w:rPr>
        <w:t>3</w:t>
      </w:r>
      <w:r w:rsidRPr="003A55F6">
        <w:rPr>
          <w:rStyle w:val="da"/>
          <w:rFonts w:hint="eastAsia"/>
          <w:lang w:eastAsia="zh-CN"/>
        </w:rPr>
        <w:t>）基于本基金的投资目标、投资范围和投资策略，本基金将依托资产配置策略，适度配置权益类资产，通过对被动型基金和主动型基金使用不同的筛选方法，选择优质的权益类基金进行投资；同时本基金将对股票的投资价值进行深入研究，精选出具有较高投资价值的个股，适度参与股票投资。综合考虑基准指数与产品定位、投资策略的匹配度，以及基准指数的表征性、认可度，本基金选取中证偏股型基金指数作为权益类资产的业绩比较基准要素。</w:t>
      </w:r>
    </w:p>
    <w:p w:rsidR="006C6EA2" w:rsidRPr="003A55F6" w:rsidP="003A55F6">
      <w:pPr>
        <w:spacing w:line="360" w:lineRule="auto"/>
        <w:ind w:firstLine="420"/>
        <w:rPr>
          <w:rStyle w:val="da"/>
          <w:lang w:eastAsia="zh-CN"/>
        </w:rPr>
      </w:pPr>
      <w:r w:rsidRPr="003A55F6">
        <w:rPr>
          <w:rStyle w:val="da"/>
          <w:rFonts w:hint="eastAsia"/>
          <w:lang w:eastAsia="zh-CN"/>
        </w:rPr>
        <w:t>中证偏股型基金指数样本由内地上市的所有股票型基金以及混合型基金中以股票为主要投资对象的基金组成，以反映境内权益类基金的整体表现。指数样本覆盖股票及偏股型基金，代表性强，适合作为本基金权益类资产的业绩比较基准要素。</w:t>
      </w:r>
    </w:p>
    <w:p w:rsidR="006C6EA2" w:rsidRPr="003A55F6" w:rsidP="003A55F6">
      <w:pPr>
        <w:spacing w:line="360" w:lineRule="auto"/>
        <w:ind w:firstLine="420"/>
        <w:rPr>
          <w:rStyle w:val="da"/>
          <w:lang w:eastAsia="zh-CN"/>
        </w:rPr>
      </w:pPr>
      <w:r w:rsidRPr="003A55F6">
        <w:rPr>
          <w:rStyle w:val="da"/>
          <w:rFonts w:hint="eastAsia"/>
          <w:lang w:eastAsia="zh-CN"/>
        </w:rPr>
        <w:t>（</w:t>
      </w:r>
      <w:r w:rsidRPr="003A55F6">
        <w:rPr>
          <w:rStyle w:val="da"/>
          <w:lang w:eastAsia="zh-CN"/>
        </w:rPr>
        <w:t>4</w:t>
      </w:r>
      <w:r w:rsidRPr="003A55F6">
        <w:rPr>
          <w:rStyle w:val="da"/>
          <w:rFonts w:hint="eastAsia"/>
          <w:lang w:eastAsia="zh-CN"/>
        </w:rPr>
        <w:t>）本基金将保持不低于基金资产净值</w:t>
      </w:r>
      <w:r w:rsidRPr="003A55F6">
        <w:rPr>
          <w:rStyle w:val="da"/>
          <w:lang w:eastAsia="zh-CN"/>
        </w:rPr>
        <w:t>5</w:t>
      </w:r>
      <w:r w:rsidRPr="003A55F6">
        <w:rPr>
          <w:rStyle w:val="da"/>
          <w:rFonts w:hint="eastAsia"/>
          <w:lang w:eastAsia="zh-CN"/>
        </w:rPr>
        <w:t>％的现金或者到期日在一年以内的政府债券。综合考虑基准要素与产品定位、投资策略的匹配度，本基金选取活期存款基准利率作为现金类资产的业绩比较基准要素。</w:t>
      </w:r>
    </w:p>
    <w:p w:rsidR="006C6EA2" w:rsidRPr="003A55F6" w:rsidP="003A55F6">
      <w:pPr>
        <w:spacing w:line="360" w:lineRule="auto"/>
        <w:ind w:firstLine="420"/>
        <w:rPr>
          <w:rStyle w:val="da"/>
          <w:lang w:eastAsia="zh-CN"/>
        </w:rPr>
      </w:pPr>
      <w:r w:rsidRPr="003A55F6">
        <w:rPr>
          <w:rStyle w:val="da"/>
          <w:rFonts w:hint="eastAsia"/>
          <w:lang w:eastAsia="zh-CN"/>
        </w:rPr>
        <w:t>活期存款基准利率具有较强的权威性和市场影响力，适合作为本基金现金类资产的业绩比较基准要素。</w:t>
      </w:r>
    </w:p>
    <w:p w:rsidR="006C6EA2" w:rsidRPr="003A55F6" w:rsidP="003A55F6">
      <w:pPr>
        <w:spacing w:line="360" w:lineRule="auto"/>
        <w:ind w:firstLine="420"/>
        <w:rPr>
          <w:rStyle w:val="da"/>
          <w:lang w:eastAsia="zh-CN"/>
        </w:rPr>
      </w:pPr>
      <w:r w:rsidRPr="003A55F6">
        <w:rPr>
          <w:rStyle w:val="da"/>
          <w:rFonts w:hint="eastAsia"/>
          <w:lang w:eastAsia="zh-CN"/>
        </w:rPr>
        <w:t>综上，本基金选取的业绩比较基准与基金投资目标、投资范围、投资策略、投资比例限制相匹配。</w:t>
      </w:r>
    </w:p>
    <w:p w:rsidR="006C6EA2" w:rsidRPr="003A55F6" w:rsidP="003A55F6">
      <w:pPr>
        <w:spacing w:line="360" w:lineRule="auto"/>
        <w:ind w:firstLine="420"/>
        <w:rPr>
          <w:rStyle w:val="da"/>
          <w:lang w:eastAsia="zh-CN"/>
        </w:rPr>
      </w:pPr>
      <w:r w:rsidRPr="003A55F6">
        <w:rPr>
          <w:rStyle w:val="da"/>
          <w:lang w:eastAsia="zh-CN"/>
        </w:rPr>
        <w:t>2</w:t>
      </w:r>
      <w:r w:rsidRPr="003A55F6">
        <w:rPr>
          <w:rStyle w:val="da"/>
          <w:rFonts w:hint="eastAsia"/>
          <w:lang w:eastAsia="zh-CN"/>
        </w:rPr>
        <w:t>、业绩比较基准要素的基本信息</w:t>
      </w:r>
    </w:p>
    <w:p w:rsidR="006C6EA2" w:rsidRPr="003A55F6" w:rsidP="003A55F6">
      <w:pPr>
        <w:spacing w:line="360" w:lineRule="auto"/>
        <w:ind w:firstLine="420"/>
        <w:rPr>
          <w:rStyle w:val="da"/>
        </w:rPr>
      </w:pPr>
      <w:r w:rsidRPr="003A55F6">
        <w:rPr>
          <w:rStyle w:val="da"/>
          <w:rFonts w:hint="eastAsia"/>
        </w:rPr>
        <w:t>中证债券型基金指数由中证指数有限公司编制发布，指数代码为</w:t>
      </w:r>
      <w:r w:rsidRPr="003A55F6">
        <w:rPr>
          <w:rStyle w:val="da"/>
        </w:rPr>
        <w:t>H11023,</w:t>
      </w:r>
      <w:r w:rsidRPr="003A55F6">
        <w:rPr>
          <w:rStyle w:val="da"/>
          <w:rFonts w:hint="eastAsia"/>
        </w:rPr>
        <w:t>指数具体信息详见中证指数有限公司网站，网址：</w:t>
      </w:r>
      <w:r w:rsidRPr="003A55F6">
        <w:rPr>
          <w:rStyle w:val="da"/>
        </w:rPr>
        <w:t>www.csindex.com.cn</w:t>
      </w:r>
      <w:r w:rsidRPr="003A55F6">
        <w:rPr>
          <w:rStyle w:val="da"/>
          <w:rFonts w:hint="eastAsia"/>
        </w:rPr>
        <w:t>。</w:t>
      </w:r>
    </w:p>
    <w:p w:rsidR="006C6EA2" w:rsidRPr="003A55F6" w:rsidP="003A55F6">
      <w:pPr>
        <w:spacing w:line="360" w:lineRule="auto"/>
        <w:ind w:firstLine="420"/>
        <w:rPr>
          <w:rStyle w:val="da"/>
        </w:rPr>
      </w:pPr>
      <w:r w:rsidRPr="003A55F6">
        <w:rPr>
          <w:rStyle w:val="da"/>
          <w:rFonts w:hint="eastAsia"/>
        </w:rPr>
        <w:t>中证偏股型基金指数由中证指数有限公司编制发布，指数代码为</w:t>
      </w:r>
      <w:r w:rsidRPr="003A55F6">
        <w:rPr>
          <w:rStyle w:val="da"/>
        </w:rPr>
        <w:t>930950,</w:t>
      </w:r>
      <w:r w:rsidRPr="003A55F6">
        <w:rPr>
          <w:rStyle w:val="da"/>
          <w:rFonts w:hint="eastAsia"/>
        </w:rPr>
        <w:t>指数具体信息详见中证指数有限公司网站，网址：</w:t>
      </w:r>
      <w:r w:rsidRPr="003A55F6">
        <w:rPr>
          <w:rStyle w:val="da"/>
        </w:rPr>
        <w:t>www.csindex.com.cn</w:t>
      </w:r>
      <w:r w:rsidRPr="003A55F6">
        <w:rPr>
          <w:rStyle w:val="da"/>
          <w:rFonts w:hint="eastAsia"/>
        </w:rPr>
        <w:t>。</w:t>
      </w:r>
    </w:p>
    <w:p w:rsidR="006C6EA2" w:rsidRPr="003A55F6" w:rsidP="003A55F6">
      <w:pPr>
        <w:spacing w:line="360" w:lineRule="auto"/>
        <w:ind w:firstLine="420"/>
        <w:rPr>
          <w:rStyle w:val="da"/>
        </w:rPr>
      </w:pPr>
      <w:r w:rsidRPr="003A55F6">
        <w:rPr>
          <w:rStyle w:val="da"/>
          <w:rFonts w:hint="eastAsia"/>
        </w:rPr>
        <w:t>活期存款基准利率由中国人民银行公布，具体信息详见中国人民银行网站，网址：</w:t>
      </w:r>
      <w:r w:rsidRPr="003A55F6">
        <w:rPr>
          <w:rStyle w:val="da"/>
        </w:rPr>
        <w:t>www.pbc.gov.cn</w:t>
      </w:r>
      <w:r w:rsidRPr="003A55F6">
        <w:rPr>
          <w:rStyle w:val="da"/>
          <w:rFonts w:hint="eastAsia"/>
        </w:rPr>
        <w:t>。</w:t>
      </w:r>
    </w:p>
    <w:p w:rsidR="006C6EA2" w:rsidRPr="003A55F6" w:rsidP="003A55F6">
      <w:pPr>
        <w:spacing w:line="360" w:lineRule="auto"/>
        <w:ind w:firstLine="420"/>
        <w:rPr>
          <w:rStyle w:val="da"/>
          <w:lang w:eastAsia="zh-CN"/>
        </w:rPr>
      </w:pPr>
      <w:r w:rsidRPr="003A55F6">
        <w:rPr>
          <w:rStyle w:val="da"/>
          <w:lang w:eastAsia="zh-CN"/>
        </w:rPr>
        <w:t>3</w:t>
      </w:r>
      <w:r w:rsidRPr="003A55F6">
        <w:rPr>
          <w:rStyle w:val="da"/>
          <w:rFonts w:hint="eastAsia"/>
          <w:lang w:eastAsia="zh-CN"/>
        </w:rPr>
        <w:t>、业绩比较基准的计算方法</w:t>
      </w:r>
    </w:p>
    <w:p w:rsidR="006C6EA2" w:rsidRPr="003A55F6" w:rsidP="003A55F6">
      <w:pPr>
        <w:spacing w:line="360" w:lineRule="auto"/>
        <w:ind w:firstLine="420"/>
        <w:rPr>
          <w:rStyle w:val="da"/>
          <w:lang w:eastAsia="zh-CN"/>
        </w:rPr>
      </w:pPr>
      <w:r w:rsidRPr="003A55F6">
        <w:rPr>
          <w:rStyle w:val="da"/>
          <w:rFonts w:hint="eastAsia"/>
          <w:lang w:eastAsia="zh-CN"/>
        </w:rPr>
        <w:t>本基金业绩比较基准收益率的计算方法以每日收益率为基础，以时间加权为计算原则。本基金先分别计算业绩比较基准中中证债券型基金指数、中证偏股型基金指数、活期存款基准利率的每日收益率，再按照预设权重比例计算当日组合要素基准的日收益率，最后通过每日连乘的方式计算业绩比较基准收益率。</w:t>
      </w:r>
    </w:p>
    <w:p w:rsidR="006C6EA2" w:rsidRPr="003A55F6" w:rsidP="003A55F6">
      <w:pPr>
        <w:spacing w:line="360" w:lineRule="auto"/>
        <w:ind w:firstLine="420"/>
        <w:rPr>
          <w:rStyle w:val="da"/>
          <w:lang w:eastAsia="zh-CN"/>
        </w:rPr>
      </w:pPr>
      <w:r w:rsidRPr="003A55F6">
        <w:rPr>
          <w:rStyle w:val="da"/>
          <w:lang w:eastAsia="zh-CN"/>
        </w:rPr>
        <w:t>4</w:t>
      </w:r>
      <w:r w:rsidRPr="003A55F6">
        <w:rPr>
          <w:rStyle w:val="da"/>
          <w:rFonts w:hint="eastAsia"/>
          <w:lang w:eastAsia="zh-CN"/>
        </w:rPr>
        <w:t>、管理投资偏离业绩比较基准的定性或定量方法</w:t>
      </w:r>
    </w:p>
    <w:p w:rsidR="006C6EA2" w:rsidRPr="003A55F6" w:rsidP="003A55F6">
      <w:pPr>
        <w:spacing w:line="360" w:lineRule="auto"/>
        <w:ind w:firstLine="420"/>
        <w:rPr>
          <w:rStyle w:val="da"/>
          <w:lang w:eastAsia="zh-CN"/>
        </w:rPr>
      </w:pPr>
      <w:r w:rsidRPr="003A55F6">
        <w:rPr>
          <w:rStyle w:val="da"/>
          <w:rFonts w:hint="eastAsia"/>
          <w:lang w:eastAsia="zh-CN"/>
        </w:rPr>
        <w:t>本基金管理人对基金实际投资与业绩比较基准的偏离情况进行动态跟踪与监测评估，监测指标主要包括跟踪误差、超额收益、大类资产配置比例等，以更好管理基金实际投资与业绩比较基准的偏离情况，从而在控制风险的前提下，追求超越业绩比较基准的投资回报。</w:t>
      </w:r>
    </w:p>
    <w:p w:rsidR="006C6EA2" w:rsidRPr="003A55F6" w:rsidP="003A55F6">
      <w:pPr>
        <w:spacing w:line="360" w:lineRule="auto"/>
        <w:ind w:firstLine="420"/>
        <w:rPr>
          <w:rStyle w:val="da"/>
          <w:lang w:eastAsia="zh-CN"/>
        </w:rPr>
      </w:pPr>
      <w:r w:rsidRPr="003A55F6">
        <w:rPr>
          <w:rStyle w:val="da"/>
          <w:rFonts w:hint="eastAsia"/>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rsidR="006C6EA2" w:rsidRPr="003A55F6" w:rsidP="003A55F6">
      <w:pPr>
        <w:spacing w:line="360" w:lineRule="auto"/>
        <w:ind w:firstLine="420"/>
        <w:rPr>
          <w:rStyle w:val="da"/>
          <w:lang w:eastAsia="zh-CN"/>
        </w:rPr>
      </w:pPr>
      <w:r w:rsidRPr="003A55F6">
        <w:rPr>
          <w:rStyle w:val="da"/>
          <w:lang w:eastAsia="zh-CN"/>
        </w:rPr>
        <w:t>5</w:t>
      </w:r>
      <w:r w:rsidRPr="003A55F6">
        <w:rPr>
          <w:rStyle w:val="da"/>
          <w:rFonts w:hint="eastAsia"/>
          <w:lang w:eastAsia="zh-CN"/>
        </w:rPr>
        <w:t>、未来可能变更业绩比较基准的情况和程序</w:t>
      </w:r>
    </w:p>
    <w:p w:rsidR="006C6EA2" w:rsidRPr="003A55F6" w:rsidP="003A55F6">
      <w:pPr>
        <w:spacing w:line="360" w:lineRule="auto"/>
        <w:ind w:firstLine="420"/>
        <w:rPr>
          <w:rStyle w:val="da"/>
          <w:lang w:eastAsia="zh-CN"/>
        </w:rPr>
      </w:pPr>
      <w:r w:rsidRPr="003A55F6">
        <w:rPr>
          <w:rStyle w:val="da"/>
          <w:rFonts w:hint="eastAsia"/>
          <w:lang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6C6EA2" w:rsidRPr="003A55F6" w:rsidP="003A55F6">
      <w:pPr>
        <w:spacing w:line="360" w:lineRule="auto"/>
        <w:ind w:firstLine="420"/>
        <w:rPr>
          <w:rStyle w:val="da"/>
          <w:lang w:eastAsia="zh-CN"/>
        </w:rPr>
      </w:pPr>
      <w:r w:rsidRPr="003A55F6">
        <w:rPr>
          <w:rStyle w:val="da"/>
          <w:rFonts w:hint="eastAsia"/>
          <w:lang w:eastAsia="zh-CN"/>
        </w:rPr>
        <w:t>（</w:t>
      </w:r>
      <w:r w:rsidRPr="003A55F6">
        <w:rPr>
          <w:rStyle w:val="da"/>
          <w:lang w:eastAsia="zh-CN"/>
        </w:rPr>
        <w:t>1</w:t>
      </w:r>
      <w:r w:rsidRPr="003A55F6">
        <w:rPr>
          <w:rStyle w:val="da"/>
          <w:rFonts w:hint="eastAsia"/>
          <w:lang w:eastAsia="zh-CN"/>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6C6EA2" w:rsidRPr="003A55F6" w:rsidP="003A55F6">
      <w:pPr>
        <w:spacing w:line="360" w:lineRule="auto"/>
        <w:ind w:firstLine="420"/>
        <w:rPr>
          <w:rStyle w:val="da"/>
          <w:lang w:eastAsia="zh-CN"/>
        </w:rPr>
      </w:pPr>
      <w:r w:rsidRPr="003A55F6">
        <w:rPr>
          <w:rStyle w:val="da"/>
          <w:rFonts w:hint="eastAsia"/>
          <w:lang w:eastAsia="zh-CN"/>
        </w:rPr>
        <w:t>（</w:t>
      </w:r>
      <w:r w:rsidRPr="003A55F6">
        <w:rPr>
          <w:rStyle w:val="da"/>
          <w:lang w:eastAsia="zh-CN"/>
        </w:rPr>
        <w:t>2</w:t>
      </w:r>
      <w:r w:rsidRPr="003A55F6">
        <w:rPr>
          <w:rStyle w:val="da"/>
          <w:rFonts w:hint="eastAsia"/>
          <w:lang w:eastAsia="zh-CN"/>
        </w:rPr>
        <w:t>）调整业绩比较基准的要素权重、更换相同或相近特征的要素等，使新业绩比较基准代表性更强，且符合相关法律法规规定的；</w:t>
      </w:r>
    </w:p>
    <w:p w:rsidR="006C6EA2" w:rsidRPr="003A55F6" w:rsidP="003A55F6">
      <w:pPr>
        <w:spacing w:line="360" w:lineRule="auto"/>
        <w:ind w:firstLine="420"/>
        <w:rPr>
          <w:rStyle w:val="da"/>
          <w:lang w:eastAsia="zh-CN"/>
        </w:rPr>
      </w:pPr>
      <w:r w:rsidRPr="003A55F6">
        <w:rPr>
          <w:rStyle w:val="da"/>
          <w:rFonts w:hint="eastAsia"/>
          <w:lang w:eastAsia="zh-CN"/>
        </w:rPr>
        <w:t>（</w:t>
      </w:r>
      <w:r w:rsidRPr="003A55F6">
        <w:rPr>
          <w:rStyle w:val="da"/>
          <w:lang w:eastAsia="zh-CN"/>
        </w:rPr>
        <w:t>3</w:t>
      </w:r>
      <w:r w:rsidRPr="003A55F6">
        <w:rPr>
          <w:rStyle w:val="da"/>
          <w:rFonts w:hint="eastAsia"/>
          <w:lang w:eastAsia="zh-CN"/>
        </w:rPr>
        <w:t>）中国证监会认可的其他情形。</w:t>
      </w:r>
    </w:p>
    <w:p w:rsidR="006C6EA2" w:rsidRPr="003A55F6" w:rsidP="003A55F6">
      <w:pPr>
        <w:spacing w:line="360" w:lineRule="auto"/>
        <w:ind w:firstLine="420"/>
        <w:rPr>
          <w:rStyle w:val="da"/>
          <w:lang w:eastAsia="zh-CN"/>
        </w:rPr>
      </w:pPr>
      <w:r w:rsidRPr="003A55F6">
        <w:rPr>
          <w:rStyle w:val="da"/>
          <w:rFonts w:hint="eastAsia"/>
          <w:lang w:eastAsia="zh-CN"/>
        </w:rPr>
        <w:t>业绩比较基准变更涉及以下情形的，基金管理人应当按照规定履行变更注册、召开基金份额持有人大会等程序，法律法规、中国证监会另有规定的除外：</w:t>
      </w:r>
    </w:p>
    <w:p w:rsidR="006C6EA2" w:rsidRPr="003A55F6" w:rsidP="003A55F6">
      <w:pPr>
        <w:spacing w:line="360" w:lineRule="auto"/>
        <w:ind w:firstLine="420"/>
        <w:rPr>
          <w:rStyle w:val="da"/>
          <w:lang w:eastAsia="zh-CN"/>
        </w:rPr>
      </w:pPr>
      <w:r w:rsidRPr="003A55F6">
        <w:rPr>
          <w:rStyle w:val="da"/>
          <w:rFonts w:hint="eastAsia"/>
          <w:lang w:eastAsia="zh-CN"/>
        </w:rPr>
        <w:t>（</w:t>
      </w:r>
      <w:r w:rsidRPr="003A55F6">
        <w:rPr>
          <w:rStyle w:val="da"/>
          <w:lang w:eastAsia="zh-CN"/>
        </w:rPr>
        <w:t>1</w:t>
      </w:r>
      <w:r w:rsidRPr="003A55F6">
        <w:rPr>
          <w:rStyle w:val="da"/>
          <w:rFonts w:hint="eastAsia"/>
          <w:lang w:eastAsia="zh-CN"/>
        </w:rPr>
        <w:t>）基金投资目标、投资范围、投资策略、投资比例等拟进行重大调整，并变更业绩比较基准的；</w:t>
      </w:r>
    </w:p>
    <w:p w:rsidR="006C6EA2" w:rsidRPr="003A55F6" w:rsidP="003A55F6">
      <w:pPr>
        <w:spacing w:line="360" w:lineRule="auto"/>
        <w:ind w:firstLine="420"/>
        <w:rPr>
          <w:rStyle w:val="da"/>
          <w:lang w:eastAsia="zh-CN"/>
        </w:rPr>
      </w:pPr>
      <w:r w:rsidRPr="003A55F6">
        <w:rPr>
          <w:rStyle w:val="da"/>
          <w:rFonts w:hint="eastAsia"/>
          <w:lang w:eastAsia="zh-CN"/>
        </w:rPr>
        <w:t>（</w:t>
      </w:r>
      <w:r w:rsidRPr="003A55F6">
        <w:rPr>
          <w:rStyle w:val="da"/>
          <w:lang w:eastAsia="zh-CN"/>
        </w:rPr>
        <w:t>2</w:t>
      </w:r>
      <w:r w:rsidRPr="003A55F6">
        <w:rPr>
          <w:rStyle w:val="da"/>
          <w:rFonts w:hint="eastAsia"/>
          <w:lang w:eastAsia="zh-CN"/>
        </w:rPr>
        <w:t>）其他对基金份额持有人利益产生重大实质性影响的情形。</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五、风险收益特征</w:t>
      </w:r>
      <w:bookmarkEnd w:id="1825"/>
    </w:p>
    <w:p w:rsidR="002B1026">
      <w:pPr>
        <w:spacing w:line="360" w:lineRule="auto"/>
        <w:ind w:firstLine="420"/>
        <w:rPr>
          <w:rStyle w:val="da"/>
          <w:rFonts w:ascii="宋体" w:hAnsi="Calibri"/>
          <w:lang w:eastAsia="zh-CN"/>
        </w:rPr>
      </w:pPr>
      <w:bookmarkStart w:id="1826" w:name="_Toc332373533"/>
      <w:r>
        <w:rPr>
          <w:rStyle w:val="da"/>
          <w:rFonts w:ascii="宋体" w:hAnsi="Calibri" w:hint="eastAsia"/>
          <w:lang w:eastAsia="zh-CN"/>
        </w:rPr>
        <w:t>本基金为混合型基金中基金（FOF），理论上其预期风险与预期收益水平低于股票型基金、股票型基金中基金（FOF），高于债券型基金、债券型基金中基金（FOF）、货币市场基金和货币型基金中基金（FOF）。</w:t>
      </w:r>
    </w:p>
    <w:p w:rsidR="002B1026">
      <w:pPr>
        <w:spacing w:line="360" w:lineRule="auto"/>
        <w:ind w:firstLine="420"/>
        <w:rPr>
          <w:rStyle w:val="da"/>
          <w:rFonts w:ascii="宋体" w:hAnsi="Calibri"/>
          <w:lang w:eastAsia="zh-CN"/>
        </w:rPr>
      </w:pPr>
      <w:r>
        <w:rPr>
          <w:rStyle w:val="da"/>
          <w:rFonts w:ascii="宋体" w:hAnsi="Calibri" w:hint="eastAsia"/>
          <w:lang w:eastAsia="zh-CN"/>
        </w:rPr>
        <w:t>本基金可通过内地与香港股票市场交易互联互通机制投资于香港证券市场，除了需要承担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六、投资禁止行为与限制</w:t>
      </w:r>
      <w:bookmarkEnd w:id="1826"/>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1、禁止行为</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为维护基金份额持有人的合法权益，基金财产不得用于下列投资或者活动：</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（1）承销证券；</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（2）违反规定向他人贷款或者提供担保；</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（3）从事承担无限责任的投资；</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（4）向其基金管理人、基金托管人出资；</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（5）从事内幕交易、操纵证券交易价格及其他不正当的证券交易活动；</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（6）法律、行政法规和中国证监会规定禁止的其他活动。</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2、投资组合限制</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基金的投资组合应遵循以下限制：</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本基金投资于经中国证监会依法核准或注册基金的资产不低于基金资产的80%，权益类资产占基金资产的比例为5%—30%，投资于港股通股票的资产不超过股票资产的50%，投资于QDII基金、香港互认基金的资产合计不超过基金资产的20%，投资于商品基金（含商品期货基金和黄金ETF等）的资产合计不超过基金资产的10%；</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（2）本基金持有单只基金的市值，不高于本基金资产净值的20%，且不得持有其他基金中基金；</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（3）本基金管理人管理的全部基金中基金（ETF联接基金除外）持有单只基金不得超过被投资基金净资产的20%，被投资基金净资产规模以最近定期报告披露的规模为准；</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（4）本基金投资于封闭运作基金、定期开放基金等流通受限基金的资产合计不得超过基金资产净值的10%；</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（5）本基金所投资基金的运作期限不得少于1年、最近定期报告披露的基金净资产应当不低于1亿元；</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（6）本基金可投资于QDII基金及香港互认基金，不得持有具有复杂、衍生品性质的基金份额，包括分级基金和中国证监会认定的其他基金份额；</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（7）保持不低于基金资产净值5％的现金或者到期日在一年以内的政府债券，其中现金不包括结算备付金、存出保证金和应收申购款等；</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（8）本基金持有一家公司发行的证券（同一家公司在内地和香港同时上市的A+H股合计计算），其市值不超过基金资产净值的10％；</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9）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（10）本基金投资于同一原始权益人的各类资产支持证券的比例，不得超过基金资产净值的10％；</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（11）本基金持有的全部资产支持证券，其市值不得超过基金资产净值的20％；</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（12）本基金持有的同一(指同一信用级别)资产支持证券的比例，不得超过该资产支持证券规模的10％；</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（13）本基金管理人管理的全部基金投资于同一原始权益人的各类资产支持证券，不得超过其各类资产支持证券合计规模的10％；</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（14）本基金应投资于信用级别评级为BBB以上(含BBB)的资产支持证券。基金持有资产支持证券期间，如果其信用等级下降、不再符合投资标准，应在评级报告发布之日起3个月内予以全部卖出；</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（15）基金财产参与股票发行申购，本基金所申报的金额不超过本基金的总资产，本基金所申报的股票数量不超过拟发行股票公司本次发行股票的总量；</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16）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（18）本基金与私募类证券资管产品及中国证监会认定的其他主体为交易对手开展逆回购交易的，可接受质押品的资质要求应当与基金合同约定的投资范围保持一致；</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（19）本基金资产总值不超过基金资产净值的140%；</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（20）本基金投资于货币市场基金的资产不得超过基金资产的15%；</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（21）基金管理人运用基金中基金财产投资于股票、债券等金融工具的，投资品种和比例应当符合基金中基金的投资目标和投资策略；</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（22）本基金投资存托凭证的比例限制依照境内上市交易的股票执行，与境内上市交易的股票合并计算；</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（23）法律法规及中国证监会规定的和《基金合同》约定的其他投资限制。</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因证券市场波动、证券发行人合并、基金规模变动等基金管理人之外的因素致使基金投资比例不符合上述（1）、（4）、（5）、（8）-（13）、（16）、（19）-（23）项规定投资比例的，基金管理人应当在被投资证券或基金可交易或可赎回之日起10个交易日内进行调整，致使基金投资比例不符合上述（2）、（3）项规定投资比例的，基金管理人应当在被投资基金可交易或可赎回之日起20个交易日内进行调整，但中国证监会规定的特殊情形除外。法律法规或监管部门另有规定的，届时按最新规定执行。</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2B1026">
      <w:pPr>
        <w:spacing w:line="360" w:lineRule="auto"/>
        <w:ind w:firstLine="420"/>
        <w:rPr>
          <w:rStyle w:val="da"/>
          <w:rFonts w:ascii="宋体" w:hAnsi="Calibri"/>
          <w:lang w:eastAsia="zh-CN"/>
        </w:rPr>
      </w:pPr>
      <w:r>
        <w:rPr>
          <w:rStyle w:val="da"/>
          <w:rFonts w:ascii="宋体" w:hAnsi="Calibri"/>
          <w:highlight w:val="white"/>
          <w:lang w:eastAsia="zh-CN"/>
        </w:rPr>
        <w:t>3</w:t>
      </w:r>
      <w:r>
        <w:rPr>
          <w:rStyle w:val="da"/>
          <w:rFonts w:ascii="宋体" w:hAnsi="Calibri" w:hint="eastAsia"/>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本基金投资基金管理人及基金管理人关联方管理基金的情况，不属于前述重大关联交易，但是应当按照法律法规或监管规定的要求履行信息披露义务。</w:t>
      </w:r>
    </w:p>
    <w:p w:rsidR="002B1026">
      <w:pPr>
        <w:spacing w:line="360" w:lineRule="auto"/>
        <w:ind w:firstLine="420"/>
        <w:rPr>
          <w:rStyle w:val="da"/>
          <w:rFonts w:ascii="宋体" w:hAnsi="Calibri"/>
          <w:lang w:eastAsia="zh-CN"/>
        </w:rPr>
      </w:pPr>
      <w:r>
        <w:rPr>
          <w:rStyle w:val="da"/>
          <w:rFonts w:ascii="宋体" w:hAnsi="Calibri" w:hint="eastAsia"/>
          <w:lang w:eastAsia="zh-CN"/>
        </w:rPr>
        <w:t>4、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在履行适当程序后对基金合同进行变更。</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七、基金管理人代表基金行使相关权利的处理原则及方法</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 xml:space="preserve">1、基金管理人按照国家有关规定代表本基金独立行使相关权利，保护本基金基金份额持有人的利益；  </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 xml:space="preserve">2、不谋求对上市公司的控股； </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 xml:space="preserve">3、有利于基金财产的安全与增值； </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4、不通过关联交易为自身、雇员、授权代理人或任何存在利害关系的第三人牟取任何不当利益。</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八、侧袋机制的实施和投资运作安排</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侧袋机制实施期间，本部分约定的投资组合比例、投资策略、组合限制、业绩比较基准、风险收益特征等约定仅适用于主袋账户。</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侧袋账户的实施条件、实施程序、运作安排、投资安排、特定资产的处置变现和支付等对投资者权益有重大影响的事项，详见本招募说明书“侧袋机制”部分的规定。</w:t>
      </w:r>
    </w:p>
    <w:p w:rsidR="002B1026">
      <w:pPr>
        <w:spacing w:line="360" w:lineRule="auto"/>
        <w:ind w:firstLine="422"/>
        <w:rPr>
          <w:rFonts w:ascii="宋体" w:hAnsi="Calibri"/>
          <w:b/>
          <w:i/>
          <w:szCs w:val="21"/>
          <w:lang w:eastAsia="zh-CN"/>
        </w:rPr>
      </w:pPr>
    </w:p>
    <w:p w:rsidR="002B1026">
      <w:pPr>
        <w:widowControl/>
        <w:jc w:val="left"/>
        <w:rPr>
          <w:rFonts w:ascii="宋体" w:hAnsi="Calibri"/>
          <w:b/>
          <w:i/>
          <w:szCs w:val="21"/>
          <w:lang w:eastAsia="zh-CN"/>
        </w:rPr>
      </w:pPr>
      <w:r>
        <w:rPr>
          <w:rFonts w:ascii="宋体" w:hAnsi="Calibri"/>
          <w:b/>
          <w:i/>
          <w:szCs w:val="21"/>
          <w:highlight w:val="white"/>
          <w:lang w:eastAsia="zh-CN"/>
        </w:rPr>
        <w:br w:type="page"/>
      </w:r>
    </w:p>
    <w:p w:rsidR="002B1026">
      <w:pPr>
        <w:pStyle w:val="Heading1"/>
        <w:spacing w:before="240" w:after="240" w:line="320" w:lineRule="exact"/>
        <w:ind w:firstLine="600"/>
        <w:rPr>
          <w:rFonts w:ascii="宋体" w:eastAsia="宋体" w:hAnsi="Calibri"/>
          <w:sz w:val="30"/>
          <w:lang w:eastAsia="zh-CN"/>
        </w:rPr>
      </w:pPr>
      <w:bookmarkStart w:id="1827" w:name="_Toc462322577"/>
      <w:bookmarkStart w:id="1828" w:name="_Toc95900545"/>
      <w:bookmarkStart w:id="1829" w:name="_Toc76457658"/>
      <w:bookmarkStart w:id="1830" w:name="_Toc227311246"/>
      <w:r>
        <w:rPr>
          <w:rFonts w:ascii="宋体" w:eastAsia="宋体" w:hAnsi="Calibri" w:hint="eastAsia"/>
          <w:sz w:val="30"/>
          <w:highlight w:val="white"/>
          <w:lang w:eastAsia="zh-CN"/>
        </w:rPr>
        <w:t>第十三部分 本基金投资于基金管理人所管理基金的原则及方法</w:t>
      </w:r>
      <w:bookmarkEnd w:id="1827"/>
      <w:bookmarkEnd w:id="1828"/>
      <w:bookmarkEnd w:id="1829"/>
      <w:bookmarkEnd w:id="1830"/>
    </w:p>
    <w:p w:rsidR="002B1026">
      <w:pPr>
        <w:spacing w:before="50" w:line="360" w:lineRule="auto"/>
        <w:ind w:firstLine="420" w:firstLineChars="200"/>
        <w:rPr>
          <w:rFonts w:ascii="宋体" w:hAnsi="Calibri"/>
          <w:szCs w:val="21"/>
          <w:lang w:eastAsia="zh-CN"/>
        </w:rPr>
      </w:pPr>
      <w:r>
        <w:rPr>
          <w:rFonts w:ascii="宋体" w:hAnsi="Calibri" w:hint="eastAsia"/>
          <w:szCs w:val="21"/>
          <w:highlight w:val="white"/>
          <w:lang w:eastAsia="zh-CN"/>
        </w:rPr>
        <w:t>一、投资原则</w:t>
      </w:r>
    </w:p>
    <w:p w:rsidR="002B1026">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1、公平对待所有可投资标的，防范利益冲突。</w:t>
      </w:r>
    </w:p>
    <w:p w:rsidR="002B1026">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2、在类似条件下，追求投资成本最小化。</w:t>
      </w:r>
    </w:p>
    <w:p w:rsidR="002B1026">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二、投资方法</w:t>
      </w:r>
    </w:p>
    <w:p w:rsidR="002B1026">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本基金的投资范围涵盖全市场的基金品种，将依据本招募说明书“基金的投资”之“投资策略”约定的投资策略，采用客观、公平的评价方法进行标的池的构建以及可投资基金的筛选，本基金管理人所管理的基金一并进入上述评价体系。</w:t>
      </w:r>
    </w:p>
    <w:p w:rsidR="002B1026">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在投资过程中，本基金的主要投资策略包括资产配置策略、基金筛选策略、基金配置策略。其中，资产配置策略通过定性分析和定量分析相结合的方式对未来市场环境进行预测和判断，确定基金资产在权益类资产和固定收益类资产间的分配比例；基金筛选策略通过全方位的定量和定性分析筛选出符合基金管理人要求的标的基金；基金配置策略则结合公开披露的信息估算拟投资基金的最新的资产配置比例和短期的风格定位，通过优化求解的方法，得到匹配资产配置比例的最优基金组合。</w:t>
      </w:r>
    </w:p>
    <w:p w:rsidR="002B1026">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三、基金的评价筛选流程</w:t>
      </w:r>
    </w:p>
    <w:p w:rsidR="002B1026">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1、基金评价方法</w:t>
      </w:r>
    </w:p>
    <w:p w:rsidR="002B1026">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在上述基金评价过程中，本基金将建立投资决策委员会审批制度，主要针对基金评价过程中的如下事项进行讨论决策：</w:t>
      </w:r>
    </w:p>
    <w:p w:rsidR="002B1026">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（1）针对被动型基金与主动型基金，设定不同的评价指标体系。</w:t>
      </w:r>
    </w:p>
    <w:p w:rsidR="002B1026">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（2）对于被动型基金，本基金将综合考虑运作时间、基金规模、流动性、跟踪误差以及费率水平等指标，</w:t>
      </w:r>
      <w:r>
        <w:rPr>
          <w:rStyle w:val="da"/>
          <w:rFonts w:ascii="宋体" w:hAnsi="Calibri" w:hint="eastAsia"/>
          <w:highlight w:val="white"/>
          <w:lang w:eastAsia="zh-CN"/>
        </w:rPr>
        <w:t>筛选出跟踪误差较小、流动性较好、运作平稳、费率水平合理的被动型基金纳入标的基金池</w:t>
      </w:r>
      <w:r>
        <w:rPr>
          <w:rFonts w:ascii="宋体" w:hAnsi="Calibri" w:hint="eastAsia"/>
          <w:bCs/>
          <w:szCs w:val="21"/>
          <w:highlight w:val="white"/>
          <w:lang w:eastAsia="zh-CN"/>
        </w:rPr>
        <w:t>。</w:t>
      </w:r>
    </w:p>
    <w:p w:rsidR="002B1026">
      <w:pPr>
        <w:spacing w:before="50" w:line="360" w:lineRule="auto"/>
        <w:ind w:firstLine="420" w:firstLineChars="200"/>
        <w:rPr>
          <w:rFonts w:ascii="宋体" w:hAnsi="Calibri"/>
          <w:bCs/>
          <w:szCs w:val="21"/>
          <w:lang w:eastAsia="zh-CN"/>
        </w:rPr>
      </w:pPr>
      <w:r>
        <w:rPr>
          <w:rFonts w:ascii="宋体" w:hAnsi="Calibri" w:hint="eastAsia"/>
          <w:bCs/>
          <w:szCs w:val="21"/>
          <w:highlight w:val="white"/>
          <w:lang w:eastAsia="zh-CN"/>
        </w:rPr>
        <w:t>（3）对于主动型基金，将采用基金定量评价、基金定性评价相结合的方法筛选标的基金。</w:t>
      </w:r>
    </w:p>
    <w:p w:rsidR="002B1026">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（4）根据市场情况，定期或不定期对上述指标以及权重进行调整。</w:t>
      </w:r>
    </w:p>
    <w:p w:rsidR="002B1026">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2、基金筛选</w:t>
      </w:r>
    </w:p>
    <w:p w:rsidR="002B1026">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基金经理根据投资决策委员会审议并确定的基金评价方法、指标和体系，从全市场相关基金品种（包含基金管理人管理基金）中进行筛选。在通过资产配置策略获得目标资产配置比例、通过基金筛选策略获得标的基金池后，通过公开披露的数据和信息估算拟投资基金的最新资产配置比例，根据目标资产配置比例的要求以及对未来市场走势的研判，确定最终的基金配置组合。</w:t>
      </w:r>
    </w:p>
    <w:p w:rsidR="002B1026">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3、管理人所管理基金的投资</w:t>
      </w:r>
    </w:p>
    <w:p w:rsidR="002B1026">
      <w:pPr>
        <w:spacing w:line="360" w:lineRule="auto"/>
        <w:ind w:firstLine="420" w:firstLineChars="200"/>
        <w:rPr>
          <w:rFonts w:ascii="宋体" w:hAnsi="Calibri"/>
          <w:bCs/>
          <w:szCs w:val="21"/>
          <w:lang w:eastAsia="zh-CN"/>
        </w:rPr>
      </w:pPr>
      <w:r>
        <w:rPr>
          <w:rFonts w:ascii="宋体" w:hAnsi="Calibri" w:hint="eastAsia"/>
          <w:bCs/>
          <w:szCs w:val="21"/>
          <w:highlight w:val="white"/>
          <w:lang w:eastAsia="zh-CN"/>
        </w:rPr>
        <w:t>本基金管理人所管理基金将一并进入上述基金评价以及筛选流程，共同参与基金的评价与筛选。</w:t>
      </w:r>
    </w:p>
    <w:p w:rsidR="002B1026">
      <w:pPr>
        <w:spacing w:line="360" w:lineRule="auto"/>
        <w:ind w:firstLine="422"/>
        <w:rPr>
          <w:rFonts w:ascii="宋体" w:hAnsi="Calibri"/>
          <w:bCs/>
          <w:szCs w:val="21"/>
          <w:lang w:eastAsia="zh-CN"/>
        </w:rPr>
      </w:pPr>
      <w:r>
        <w:rPr>
          <w:rFonts w:ascii="宋体" w:hAnsi="Calibri" w:hint="eastAsia"/>
          <w:bCs/>
          <w:szCs w:val="21"/>
          <w:highlight w:val="white"/>
          <w:lang w:eastAsia="zh-CN"/>
        </w:rPr>
        <w:t>在最终配置对象的配置比例上，本基金将依据投资策略“基金配置策略”中的相关方法进行确定，并严格按照法律法规的要求进行配置比例控制。</w:t>
      </w:r>
    </w:p>
    <w:p w:rsidR="002B1026">
      <w:pPr>
        <w:spacing w:line="360" w:lineRule="auto"/>
        <w:ind w:firstLine="422"/>
        <w:rPr>
          <w:rFonts w:ascii="宋体" w:hAnsi="Calibri"/>
          <w:bCs/>
          <w:szCs w:val="21"/>
          <w:lang w:eastAsia="zh-CN"/>
        </w:rPr>
      </w:pPr>
    </w:p>
    <w:p w:rsidR="002B1026">
      <w:pPr>
        <w:spacing w:line="360" w:lineRule="auto"/>
        <w:ind w:firstLine="422"/>
        <w:rPr>
          <w:rFonts w:ascii="宋体" w:hAnsi="Calibri"/>
          <w:b/>
          <w:i/>
          <w:szCs w:val="21"/>
          <w:lang w:eastAsia="zh-CN"/>
        </w:rPr>
      </w:pPr>
    </w:p>
    <w:p w:rsidR="002B1026">
      <w:pPr>
        <w:pStyle w:val="Heading1"/>
        <w:spacing w:before="317" w:after="317" w:line="360" w:lineRule="auto"/>
        <w:ind w:firstLine="420"/>
        <w:rPr>
          <w:rFonts w:ascii="宋体" w:eastAsia="宋体" w:hAnsi="Calibri"/>
          <w:sz w:val="30"/>
          <w:lang w:eastAsia="zh-CN"/>
        </w:rPr>
      </w:pPr>
      <w:r>
        <w:rPr>
          <w:rFonts w:ascii="宋体" w:eastAsia="宋体" w:hAnsi="Calibri" w:hint="eastAsia"/>
          <w:sz w:val="21"/>
          <w:szCs w:val="21"/>
          <w:highlight w:val="white"/>
          <w:lang w:eastAsia="zh-CN"/>
        </w:rPr>
        <w:br w:type="page"/>
      </w:r>
      <w:bookmarkStart w:id="1831" w:name="_Toc332373538"/>
      <w:bookmarkStart w:id="1832" w:name="_Toc227311247"/>
      <w:r>
        <w:rPr>
          <w:rFonts w:ascii="宋体" w:eastAsia="宋体" w:hAnsi="Calibri" w:hint="eastAsia"/>
          <w:sz w:val="30"/>
          <w:highlight w:val="white"/>
          <w:lang w:eastAsia="zh-CN"/>
        </w:rPr>
        <w:t>第十四部分 基金的财产</w:t>
      </w:r>
      <w:bookmarkEnd w:id="1831"/>
      <w:bookmarkEnd w:id="1832"/>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一、基金资产总值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基金资产总值是指购买的各类证券及票据价值、基金份额、银行存款本息和基金应收的申购基金款以及其他投资所形成的价值总和。</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二、基金资产净值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基金资产净值是指基金资产总值减去基金负债后的价值。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三、基金财产的账户</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四、基金财产的保管和处分</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2B1026">
      <w:pPr>
        <w:spacing w:line="360" w:lineRule="auto"/>
        <w:ind w:firstLine="420"/>
        <w:rPr>
          <w:rStyle w:val="da"/>
          <w:rFonts w:ascii="宋体" w:hAnsi="Calibri"/>
          <w:lang w:eastAsia="zh-CN"/>
        </w:rPr>
      </w:pPr>
    </w:p>
    <w:p w:rsidR="002B1026">
      <w:pPr>
        <w:widowControl/>
        <w:jc w:val="left"/>
        <w:rPr>
          <w:rFonts w:ascii="宋体" w:hAnsi="Calibri"/>
          <w:sz w:val="30"/>
          <w:szCs w:val="32"/>
          <w:lang w:eastAsia="zh-CN"/>
        </w:rPr>
      </w:pPr>
      <w:bookmarkStart w:id="1833" w:name="_Hlt88900062"/>
      <w:bookmarkStart w:id="1834" w:name="_Hlt88841837"/>
      <w:bookmarkStart w:id="1835" w:name="_Toc332373543"/>
      <w:bookmarkEnd w:id="1833"/>
      <w:bookmarkEnd w:id="1834"/>
      <w:r>
        <w:rPr>
          <w:rFonts w:ascii="宋体" w:hAnsi="Calibri"/>
          <w:sz w:val="30"/>
          <w:highlight w:val="white"/>
          <w:lang w:eastAsia="zh-CN"/>
        </w:rPr>
        <w:br w:type="page"/>
      </w:r>
    </w:p>
    <w:p w:rsidR="002B1026">
      <w:pPr>
        <w:pStyle w:val="Heading1"/>
        <w:spacing w:before="317" w:after="317" w:line="360" w:lineRule="auto"/>
        <w:ind w:firstLine="600"/>
        <w:rPr>
          <w:rFonts w:ascii="宋体" w:eastAsia="宋体" w:hAnsi="Calibri"/>
          <w:sz w:val="30"/>
          <w:lang w:eastAsia="zh-CN"/>
        </w:rPr>
      </w:pPr>
      <w:bookmarkStart w:id="1836" w:name="_Toc227311248"/>
      <w:r>
        <w:rPr>
          <w:rFonts w:ascii="宋体" w:eastAsia="宋体" w:hAnsi="Calibri"/>
          <w:sz w:val="30"/>
          <w:highlight w:val="white"/>
          <w:lang w:eastAsia="zh-CN"/>
        </w:rPr>
        <w:t>第十</w:t>
      </w:r>
      <w:r>
        <w:rPr>
          <w:rFonts w:ascii="宋体" w:eastAsia="宋体" w:hAnsi="Calibri" w:hint="eastAsia"/>
          <w:sz w:val="30"/>
          <w:highlight w:val="white"/>
          <w:lang w:eastAsia="zh-CN"/>
        </w:rPr>
        <w:t>五</w:t>
      </w:r>
      <w:r>
        <w:rPr>
          <w:rFonts w:ascii="宋体" w:eastAsia="宋体" w:hAnsi="Calibri"/>
          <w:sz w:val="30"/>
          <w:highlight w:val="white"/>
          <w:lang w:eastAsia="zh-CN"/>
        </w:rPr>
        <w:t>部分</w:t>
      </w:r>
      <w:r>
        <w:rPr>
          <w:rFonts w:ascii="宋体" w:eastAsia="宋体" w:hAnsi="Calibri" w:hint="eastAsia"/>
          <w:sz w:val="30"/>
          <w:highlight w:val="white"/>
          <w:lang w:eastAsia="zh-CN"/>
        </w:rPr>
        <w:t xml:space="preserve"> 基金资产的估值</w:t>
      </w:r>
      <w:bookmarkEnd w:id="1835"/>
      <w:bookmarkEnd w:id="1836"/>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一、估值日</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本基金的估值日为本基金相关的证券交易场所的交易日以及国家法律法规规定需要对外披露基金净值的非交易日。</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二、估值对象</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基金所拥有的证券投资基金、股票、债券和银行存款本息、应收款项、其它投资等资产及负债。</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三、估值原则</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基金管理人在确定相关金融资产和金融负债的公允价值时，应符合《企业会计准则》、监管部门有关规定。</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四、估值方法</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2、处于未上市期间的有价证券应区分如下情况处理：</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（1）送股、转增股、配股和公开增发的新股，按估值日在证券交易所挂牌的同一股票的估值方法估值；该日无交易的，以最近一日的市价（收盘价）估值；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（2）首次公开发行未上市的股票，采用估值技术确定公允价值；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3、对于已上市或已挂牌转让的不含权固定收益品种，选取估值日第三方估值基准服务机构提供的相应品种当日的估值全价进行估值。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4、对于已上市或已挂牌转让的含权固定收益品种，选取估值日第三方估值基准服务机构提供的相应品种当日的唯一估值全价或推荐估值全价进行估值。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6、对于未上市或未挂牌转让且不存在活跃市场的固定收益品种，采用在当前情况下适用并且有足够可利用数据和其他信息支持的估值技术确定其公允价值。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7、对于交易所上市的ETF基金、境内上市定期开放式基金、封闭式基金，按估值日的收盘价估值；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当基金管理人认为所投资基金按上述条款进行估值存在不公允时，应与托管人协商一致采用合理的估值技术或估值标准确定其公允价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8、对于交易所上市的境内上市开放式基金（LOF），按估值日的份额净值估值；境内上市交易型货币市场基金，如披露份额净值，则按估值日的份额净值估值；如披露万份（百份）收益，则按前一估值日后至估值日期间（含节假日）的万份（百份）收益计提估值日基金收益；以基金份额净值估值的，若与本基金估值频率一致但未公布估值日基金份额净值，按其最近公布的基金份额净值为基础估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9、非上市基金的估值：境内非货币市场基金，按估值日的份额净值估值；若与本基金估值频率一致但未公布估值日基金份额净值，按其最近公布的基金份额净值为基础估值。境内货币市场基金，按前一估值日后至估值日期间（含节假日）的万份收益计提估值日基金收益。</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10、本基金投资存托凭证的估值核算，依照境内上市交易的股票执行。</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11、汇率</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如本基金投资股票市场交易互联互通机制允许买卖的境外证券市场上市的股票、E</w:t>
      </w:r>
      <w:r>
        <w:rPr>
          <w:rStyle w:val="da"/>
          <w:rFonts w:ascii="宋体" w:hAnsi="Calibri"/>
          <w:highlight w:val="white"/>
          <w:lang w:eastAsia="zh-CN"/>
        </w:rPr>
        <w:t>TF</w:t>
      </w:r>
      <w:r>
        <w:rPr>
          <w:rStyle w:val="da"/>
          <w:rFonts w:ascii="宋体" w:hAnsi="Calibri" w:hint="eastAsia"/>
          <w:highlight w:val="white"/>
          <w:lang w:eastAsia="zh-CN"/>
        </w:rPr>
        <w:t>，涉及相关货币对人民币汇率的，届时根据相关法律法规及监管机构的要求确定汇率来源，如法律法规及监管机构无相关规定，基金管理人与基金托管人协商一致后确定本基金的估值汇率来源。</w:t>
      </w:r>
    </w:p>
    <w:p w:rsidR="002B1026">
      <w:pPr>
        <w:spacing w:line="360" w:lineRule="auto"/>
        <w:ind w:firstLine="420"/>
        <w:rPr>
          <w:rStyle w:val="da"/>
          <w:rFonts w:ascii="宋体" w:hAnsi="Calibri"/>
          <w:lang w:eastAsia="zh-CN"/>
        </w:rPr>
      </w:pPr>
      <w:r>
        <w:rPr>
          <w:rStyle w:val="da"/>
          <w:rFonts w:ascii="宋体" w:hAnsi="Calibri"/>
          <w:highlight w:val="white"/>
          <w:lang w:eastAsia="zh-CN"/>
        </w:rPr>
        <w:t>12、税收</w:t>
      </w:r>
    </w:p>
    <w:p w:rsidR="002B1026">
      <w:pPr>
        <w:spacing w:line="360" w:lineRule="auto"/>
        <w:ind w:firstLine="420"/>
        <w:rPr>
          <w:rStyle w:val="da"/>
          <w:rFonts w:ascii="宋体" w:hAnsi="Calibri"/>
          <w:lang w:eastAsia="zh-CN"/>
        </w:rPr>
      </w:pPr>
      <w:r>
        <w:rPr>
          <w:rStyle w:val="da"/>
          <w:rFonts w:ascii="宋体" w:hAnsi="Calibri"/>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2B1026">
      <w:pPr>
        <w:spacing w:line="360" w:lineRule="auto"/>
        <w:ind w:firstLine="420"/>
        <w:rPr>
          <w:rStyle w:val="da"/>
          <w:rFonts w:ascii="宋体" w:hAnsi="Calibri"/>
          <w:lang w:eastAsia="zh-CN"/>
        </w:rPr>
      </w:pPr>
      <w:r>
        <w:rPr>
          <w:rStyle w:val="da"/>
          <w:rFonts w:ascii="宋体" w:hAnsi="Calibri"/>
          <w:highlight w:val="white"/>
          <w:lang w:eastAsia="zh-CN"/>
        </w:rPr>
        <w:t>13、如有充分理由表明按上述方法进行估值不能客观反映其公允价值的，基金管理人可根据具体情况与基金托管人商定后，按最能反映公允价值的价格估值。</w:t>
      </w:r>
    </w:p>
    <w:p w:rsidR="002B1026">
      <w:pPr>
        <w:spacing w:line="360" w:lineRule="auto"/>
        <w:ind w:firstLine="420"/>
        <w:rPr>
          <w:rStyle w:val="da"/>
          <w:rFonts w:ascii="宋体" w:hAnsi="Calibri"/>
          <w:lang w:eastAsia="zh-CN"/>
        </w:rPr>
      </w:pPr>
      <w:r>
        <w:rPr>
          <w:rStyle w:val="da"/>
          <w:rFonts w:ascii="宋体" w:hAnsi="Calibri"/>
          <w:highlight w:val="white"/>
          <w:lang w:eastAsia="zh-CN"/>
        </w:rPr>
        <w:t>14、当发生大额申购或赎回情形时，基金管理人可以采用摆动定价机制，以确保基金估值的公平性。</w:t>
      </w:r>
    </w:p>
    <w:p w:rsidR="002B1026">
      <w:pPr>
        <w:spacing w:line="360" w:lineRule="auto"/>
        <w:ind w:firstLine="420"/>
        <w:rPr>
          <w:rStyle w:val="da"/>
          <w:rFonts w:ascii="宋体" w:hAnsi="Calibri"/>
          <w:lang w:eastAsia="zh-CN"/>
        </w:rPr>
      </w:pPr>
      <w:r>
        <w:rPr>
          <w:rStyle w:val="da"/>
          <w:rFonts w:ascii="宋体" w:hAnsi="Calibri"/>
          <w:highlight w:val="white"/>
          <w:lang w:eastAsia="zh-CN"/>
        </w:rPr>
        <w:t>15、相关法律法规以及监管部门有强制规定的，从其规定。如有新增事项，按国家最新规定估值。</w:t>
      </w:r>
    </w:p>
    <w:p w:rsidR="002B1026">
      <w:pPr>
        <w:spacing w:line="360" w:lineRule="auto"/>
        <w:ind w:firstLine="420"/>
        <w:rPr>
          <w:rStyle w:val="da"/>
          <w:rFonts w:ascii="宋体" w:hAnsi="Calibri"/>
          <w:lang w:eastAsia="zh-CN"/>
        </w:rPr>
      </w:pPr>
      <w:r>
        <w:rPr>
          <w:rStyle w:val="da"/>
          <w:rFonts w:ascii="宋体" w:hAnsi="Calibri"/>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2B1026">
      <w:pPr>
        <w:spacing w:line="360" w:lineRule="auto"/>
        <w:ind w:firstLine="420"/>
        <w:rPr>
          <w:rStyle w:val="da"/>
          <w:rFonts w:ascii="宋体" w:hAnsi="Calibri"/>
          <w:lang w:eastAsia="zh-CN"/>
        </w:rPr>
      </w:pPr>
      <w:r>
        <w:rPr>
          <w:rStyle w:val="da"/>
          <w:rFonts w:ascii="宋体" w:hAnsi="Calibri"/>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B1026">
      <w:pPr>
        <w:spacing w:line="360" w:lineRule="auto"/>
        <w:ind w:firstLine="420"/>
        <w:rPr>
          <w:rStyle w:val="da"/>
          <w:rFonts w:ascii="宋体" w:hAnsi="Calibri"/>
          <w:lang w:eastAsia="zh-CN"/>
        </w:rPr>
      </w:pPr>
      <w:r>
        <w:rPr>
          <w:rStyle w:val="da"/>
          <w:rFonts w:ascii="宋体" w:hAnsi="Calibri"/>
          <w:highlight w:val="white"/>
          <w:lang w:eastAsia="zh-CN"/>
        </w:rPr>
        <w:t>五、估值程序</w:t>
      </w:r>
    </w:p>
    <w:p w:rsidR="002B1026">
      <w:pPr>
        <w:spacing w:line="360" w:lineRule="auto"/>
        <w:ind w:firstLine="420"/>
        <w:rPr>
          <w:rStyle w:val="da"/>
          <w:rFonts w:ascii="宋体" w:hAnsi="Calibri"/>
          <w:lang w:eastAsia="zh-CN"/>
        </w:rPr>
      </w:pPr>
      <w:r>
        <w:rPr>
          <w:rStyle w:val="da"/>
          <w:rFonts w:ascii="宋体" w:hAnsi="Calibri"/>
          <w:highlight w:val="white"/>
          <w:lang w:eastAsia="zh-CN"/>
        </w:rPr>
        <w:t>1、基金份额净值是按照估值日基金资产净值除以当日基金份额的余额数量计算，精确到0.0001元，小数点后第5位四舍五入。基金管理人可以设立大额赎回情形下的净值精度应急调整机制。国家另有规定的，从其规定。</w:t>
      </w:r>
    </w:p>
    <w:p w:rsidR="002B1026">
      <w:pPr>
        <w:spacing w:line="360" w:lineRule="auto"/>
        <w:ind w:firstLine="420"/>
        <w:rPr>
          <w:rStyle w:val="da"/>
          <w:rFonts w:ascii="宋体" w:hAnsi="Calibri"/>
          <w:lang w:eastAsia="zh-CN"/>
        </w:rPr>
      </w:pPr>
      <w:r>
        <w:rPr>
          <w:rStyle w:val="da"/>
          <w:rFonts w:ascii="宋体" w:hAnsi="Calibri"/>
          <w:highlight w:val="white"/>
          <w:lang w:eastAsia="zh-CN"/>
        </w:rPr>
        <w:t>每个估值日后的两个工作日内计算该估值日的基金资产净值及基金份额净值，并按规定公告。</w:t>
      </w:r>
    </w:p>
    <w:p w:rsidR="002B1026">
      <w:pPr>
        <w:spacing w:line="360" w:lineRule="auto"/>
        <w:ind w:firstLine="420"/>
        <w:rPr>
          <w:rStyle w:val="da"/>
          <w:rFonts w:ascii="宋体" w:hAnsi="Calibri"/>
          <w:lang w:eastAsia="zh-CN"/>
        </w:rPr>
      </w:pPr>
      <w:r>
        <w:rPr>
          <w:rStyle w:val="da"/>
          <w:rFonts w:ascii="宋体" w:hAnsi="Calibri"/>
          <w:highlight w:val="white"/>
          <w:lang w:eastAsia="zh-CN"/>
        </w:rPr>
        <w:t>2、基金管理人应每个估值日后的两个工作日内对该估值日的基金资产进行估值。但基金管理人根据法律法规或基金合同的规定暂停估值时除外。基金管理人每个估值日后的两个工作日内对该估值日的基金资产进行估值后，将基金份额净值结果发送基金托管人，经基金托管人复核无误后，由基金管理人按规定对外公布。</w:t>
      </w:r>
    </w:p>
    <w:p w:rsidR="002B1026">
      <w:pPr>
        <w:spacing w:line="360" w:lineRule="auto"/>
        <w:ind w:firstLine="420"/>
        <w:rPr>
          <w:rStyle w:val="da"/>
          <w:rFonts w:ascii="宋体" w:hAnsi="Calibri"/>
          <w:lang w:eastAsia="zh-CN"/>
        </w:rPr>
      </w:pPr>
      <w:r>
        <w:rPr>
          <w:rStyle w:val="da"/>
          <w:rFonts w:ascii="宋体" w:hAnsi="Calibri"/>
          <w:highlight w:val="white"/>
          <w:lang w:eastAsia="zh-CN"/>
        </w:rPr>
        <w:t>六、估值错误的处理</w:t>
      </w:r>
    </w:p>
    <w:p w:rsidR="002B1026">
      <w:pPr>
        <w:spacing w:line="360" w:lineRule="auto"/>
        <w:ind w:firstLine="420"/>
        <w:rPr>
          <w:rStyle w:val="da"/>
          <w:rFonts w:ascii="宋体" w:hAnsi="Calibri"/>
          <w:lang w:eastAsia="zh-CN"/>
        </w:rPr>
      </w:pPr>
      <w:r>
        <w:rPr>
          <w:rStyle w:val="da"/>
          <w:rFonts w:ascii="宋体" w:hAnsi="Calibri"/>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2B1026">
      <w:pPr>
        <w:spacing w:line="360" w:lineRule="auto"/>
        <w:ind w:firstLine="420"/>
        <w:rPr>
          <w:rStyle w:val="da"/>
          <w:rFonts w:ascii="宋体" w:hAnsi="Calibri"/>
          <w:lang w:eastAsia="zh-CN"/>
        </w:rPr>
      </w:pPr>
      <w:r>
        <w:rPr>
          <w:rStyle w:val="da"/>
          <w:rFonts w:ascii="宋体" w:hAnsi="Calibri"/>
          <w:highlight w:val="white"/>
          <w:lang w:eastAsia="zh-CN"/>
        </w:rPr>
        <w:t>基金合同的当事人应按照以下约定处理：</w:t>
      </w:r>
    </w:p>
    <w:p w:rsidR="002B1026">
      <w:pPr>
        <w:spacing w:line="360" w:lineRule="auto"/>
        <w:ind w:firstLine="420"/>
        <w:rPr>
          <w:rStyle w:val="da"/>
          <w:rFonts w:ascii="宋体" w:hAnsi="Calibri"/>
          <w:lang w:eastAsia="zh-CN"/>
        </w:rPr>
      </w:pPr>
      <w:r>
        <w:rPr>
          <w:rStyle w:val="da"/>
          <w:rFonts w:ascii="宋体" w:hAnsi="Calibri"/>
          <w:highlight w:val="white"/>
          <w:lang w:eastAsia="zh-CN"/>
        </w:rPr>
        <w:t>1、估值错误类型</w:t>
      </w:r>
    </w:p>
    <w:p w:rsidR="002B1026">
      <w:pPr>
        <w:spacing w:line="360" w:lineRule="auto"/>
        <w:ind w:firstLine="420"/>
        <w:rPr>
          <w:rStyle w:val="da"/>
          <w:rFonts w:ascii="宋体" w:hAnsi="Calibri"/>
          <w:lang w:eastAsia="zh-CN"/>
        </w:rPr>
      </w:pPr>
      <w:r>
        <w:rPr>
          <w:rStyle w:val="da"/>
          <w:rFonts w:ascii="宋体" w:hAnsi="Calibri"/>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rStyle w:val="da"/>
          <w:rFonts w:ascii="宋体" w:hAnsi="Calibri"/>
          <w:highlight w:val="white"/>
          <w:lang w:eastAsia="zh-CN"/>
        </w:rPr>
        <w:t>“</w:t>
      </w:r>
      <w:r>
        <w:rPr>
          <w:rStyle w:val="da"/>
          <w:rFonts w:ascii="宋体" w:hAnsi="Calibri"/>
          <w:highlight w:val="white"/>
          <w:lang w:eastAsia="zh-CN"/>
        </w:rPr>
        <w:t>受损方</w:t>
      </w:r>
      <w:r>
        <w:rPr>
          <w:rStyle w:val="da"/>
          <w:rFonts w:ascii="宋体" w:hAnsi="Calibri"/>
          <w:highlight w:val="white"/>
          <w:lang w:eastAsia="zh-CN"/>
        </w:rPr>
        <w:t>”</w:t>
      </w:r>
      <w:r>
        <w:rPr>
          <w:rStyle w:val="da"/>
          <w:rFonts w:ascii="宋体" w:hAnsi="Calibri"/>
          <w:highlight w:val="white"/>
          <w:lang w:eastAsia="zh-CN"/>
        </w:rPr>
        <w:t>）的直接损失按下述</w:t>
      </w:r>
      <w:r>
        <w:rPr>
          <w:rStyle w:val="da"/>
          <w:rFonts w:ascii="宋体" w:hAnsi="Calibri"/>
          <w:highlight w:val="white"/>
          <w:lang w:eastAsia="zh-CN"/>
        </w:rPr>
        <w:t>“</w:t>
      </w:r>
      <w:r>
        <w:rPr>
          <w:rStyle w:val="da"/>
          <w:rFonts w:ascii="宋体" w:hAnsi="Calibri"/>
          <w:highlight w:val="white"/>
          <w:lang w:eastAsia="zh-CN"/>
        </w:rPr>
        <w:t>估值错误处理原则</w:t>
      </w:r>
      <w:r>
        <w:rPr>
          <w:rStyle w:val="da"/>
          <w:rFonts w:ascii="宋体" w:hAnsi="Calibri"/>
          <w:highlight w:val="white"/>
          <w:lang w:eastAsia="zh-CN"/>
        </w:rPr>
        <w:t>”</w:t>
      </w:r>
      <w:r>
        <w:rPr>
          <w:rStyle w:val="da"/>
          <w:rFonts w:ascii="宋体" w:hAnsi="Calibri"/>
          <w:highlight w:val="white"/>
          <w:lang w:eastAsia="zh-CN"/>
        </w:rPr>
        <w:t>给予赔偿，承担赔偿责任。</w:t>
      </w:r>
    </w:p>
    <w:p w:rsidR="002B1026">
      <w:pPr>
        <w:spacing w:line="360" w:lineRule="auto"/>
        <w:ind w:firstLine="420"/>
        <w:rPr>
          <w:rStyle w:val="da"/>
          <w:rFonts w:ascii="宋体" w:hAnsi="Calibri"/>
          <w:lang w:eastAsia="zh-CN"/>
        </w:rPr>
      </w:pPr>
      <w:r>
        <w:rPr>
          <w:rStyle w:val="da"/>
          <w:rFonts w:ascii="宋体" w:hAnsi="Calibri"/>
          <w:highlight w:val="white"/>
          <w:lang w:eastAsia="zh-CN"/>
        </w:rPr>
        <w:t>上述估值错误的主要类型包括但不限于：资料申报差错、数据传输差错、数据计算差错、系统故障差错、下达指令差错等。</w:t>
      </w:r>
    </w:p>
    <w:p w:rsidR="002B1026">
      <w:pPr>
        <w:spacing w:line="360" w:lineRule="auto"/>
        <w:ind w:firstLine="420"/>
        <w:rPr>
          <w:rStyle w:val="da"/>
          <w:rFonts w:ascii="宋体" w:hAnsi="Calibri"/>
          <w:lang w:eastAsia="zh-CN"/>
        </w:rPr>
      </w:pPr>
      <w:r>
        <w:rPr>
          <w:rStyle w:val="da"/>
          <w:rFonts w:ascii="宋体" w:hAnsi="Calibri"/>
          <w:highlight w:val="white"/>
          <w:lang w:eastAsia="zh-CN"/>
        </w:rPr>
        <w:t>2、估值错误处理原则</w:t>
      </w:r>
    </w:p>
    <w:p w:rsidR="002B1026">
      <w:pPr>
        <w:spacing w:line="360" w:lineRule="auto"/>
        <w:ind w:firstLine="420"/>
        <w:rPr>
          <w:rStyle w:val="da"/>
          <w:rFonts w:ascii="宋体" w:hAnsi="Calibri"/>
          <w:lang w:eastAsia="zh-CN"/>
        </w:rPr>
      </w:pPr>
      <w:r>
        <w:rPr>
          <w:rStyle w:val="da"/>
          <w:rFonts w:ascii="宋体" w:hAnsi="Calibri"/>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B1026">
      <w:pPr>
        <w:spacing w:line="360" w:lineRule="auto"/>
        <w:ind w:firstLine="420"/>
        <w:rPr>
          <w:rStyle w:val="da"/>
          <w:rFonts w:ascii="宋体" w:hAnsi="Calibri"/>
          <w:lang w:eastAsia="zh-CN"/>
        </w:rPr>
      </w:pPr>
      <w:r>
        <w:rPr>
          <w:rStyle w:val="da"/>
          <w:rFonts w:ascii="宋体" w:hAnsi="Calibri"/>
          <w:highlight w:val="white"/>
          <w:lang w:eastAsia="zh-CN"/>
        </w:rPr>
        <w:t>（2）估值错误的责任方对有关当事人的直接损失负责，不对间接损失负责，并且仅对估值错误的有关直接当事人负责，不对第三方负责。</w:t>
      </w:r>
    </w:p>
    <w:p w:rsidR="002B1026">
      <w:pPr>
        <w:spacing w:line="360" w:lineRule="auto"/>
        <w:ind w:firstLine="420"/>
        <w:rPr>
          <w:rStyle w:val="da"/>
          <w:rFonts w:ascii="宋体" w:hAnsi="Calibri"/>
          <w:lang w:eastAsia="zh-CN"/>
        </w:rPr>
      </w:pPr>
      <w:r>
        <w:rPr>
          <w:rStyle w:val="da"/>
          <w:rFonts w:ascii="宋体" w:hAnsi="Calibri"/>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w:t>
      </w:r>
      <w:r>
        <w:rPr>
          <w:rStyle w:val="da"/>
          <w:rFonts w:ascii="宋体" w:hAnsi="Calibri"/>
          <w:highlight w:val="white"/>
          <w:lang w:eastAsia="zh-CN"/>
        </w:rPr>
        <w:t>“</w:t>
      </w:r>
      <w:r>
        <w:rPr>
          <w:rStyle w:val="da"/>
          <w:rFonts w:ascii="宋体" w:hAnsi="Calibri"/>
          <w:highlight w:val="white"/>
          <w:lang w:eastAsia="zh-CN"/>
        </w:rPr>
        <w:t>受损方</w:t>
      </w:r>
      <w:r>
        <w:rPr>
          <w:rStyle w:val="da"/>
          <w:rFonts w:ascii="宋体" w:hAnsi="Calibri"/>
          <w:highlight w:val="white"/>
          <w:lang w:eastAsia="zh-CN"/>
        </w:rPr>
        <w:t>”</w:t>
      </w:r>
      <w:r>
        <w:rPr>
          <w:rStyle w:val="da"/>
          <w:rFonts w:ascii="宋体" w:hAnsi="Calibri"/>
          <w:highlight w:val="white"/>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B1026">
      <w:pPr>
        <w:spacing w:line="360" w:lineRule="auto"/>
        <w:ind w:firstLine="420"/>
        <w:rPr>
          <w:rStyle w:val="da"/>
          <w:rFonts w:ascii="宋体" w:hAnsi="Calibri"/>
          <w:lang w:eastAsia="zh-CN"/>
        </w:rPr>
      </w:pPr>
      <w:r>
        <w:rPr>
          <w:rStyle w:val="da"/>
          <w:rFonts w:ascii="宋体" w:hAnsi="Calibri"/>
          <w:highlight w:val="white"/>
          <w:lang w:eastAsia="zh-CN"/>
        </w:rPr>
        <w:t>（4）估值错误调整采用尽量恢复至假设未发生估值错误的正确情形的方式。</w:t>
      </w:r>
    </w:p>
    <w:p w:rsidR="002B1026">
      <w:pPr>
        <w:spacing w:line="360" w:lineRule="auto"/>
        <w:ind w:firstLine="420"/>
        <w:rPr>
          <w:rStyle w:val="da"/>
          <w:rFonts w:ascii="宋体" w:hAnsi="Calibri"/>
          <w:lang w:eastAsia="zh-CN"/>
        </w:rPr>
      </w:pPr>
      <w:r>
        <w:rPr>
          <w:rStyle w:val="da"/>
          <w:rFonts w:ascii="宋体" w:hAnsi="Calibri"/>
          <w:highlight w:val="white"/>
          <w:lang w:eastAsia="zh-CN"/>
        </w:rPr>
        <w:t>3、估值错误处理程序</w:t>
      </w:r>
    </w:p>
    <w:p w:rsidR="002B1026">
      <w:pPr>
        <w:spacing w:line="360" w:lineRule="auto"/>
        <w:ind w:firstLine="420"/>
        <w:rPr>
          <w:rStyle w:val="da"/>
          <w:rFonts w:ascii="宋体" w:hAnsi="Calibri"/>
          <w:lang w:eastAsia="zh-CN"/>
        </w:rPr>
      </w:pPr>
      <w:r>
        <w:rPr>
          <w:rStyle w:val="da"/>
          <w:rFonts w:ascii="宋体" w:hAnsi="Calibri"/>
          <w:highlight w:val="white"/>
          <w:lang w:eastAsia="zh-CN"/>
        </w:rPr>
        <w:t>估值错误被发现后，有关的当事人应当及时进行处理，处理的程序如下：</w:t>
      </w:r>
    </w:p>
    <w:p w:rsidR="002B1026">
      <w:pPr>
        <w:spacing w:line="360" w:lineRule="auto"/>
        <w:ind w:firstLine="420"/>
        <w:rPr>
          <w:rStyle w:val="da"/>
          <w:rFonts w:ascii="宋体" w:hAnsi="Calibri"/>
          <w:lang w:eastAsia="zh-CN"/>
        </w:rPr>
      </w:pPr>
      <w:r>
        <w:rPr>
          <w:rStyle w:val="da"/>
          <w:rFonts w:ascii="宋体" w:hAnsi="Calibri"/>
          <w:highlight w:val="white"/>
          <w:lang w:eastAsia="zh-CN"/>
        </w:rPr>
        <w:t>（1）查明估值错误发生的原因，列明所有的当事人，并根据估值错误发生的原因确定估值错误的责任方；</w:t>
      </w:r>
    </w:p>
    <w:p w:rsidR="002B1026">
      <w:pPr>
        <w:spacing w:line="360" w:lineRule="auto"/>
        <w:ind w:firstLine="420"/>
        <w:rPr>
          <w:rStyle w:val="da"/>
          <w:rFonts w:ascii="宋体" w:hAnsi="Calibri"/>
          <w:lang w:eastAsia="zh-CN"/>
        </w:rPr>
      </w:pPr>
      <w:r>
        <w:rPr>
          <w:rStyle w:val="da"/>
          <w:rFonts w:ascii="宋体" w:hAnsi="Calibri"/>
          <w:highlight w:val="white"/>
          <w:lang w:eastAsia="zh-CN"/>
        </w:rPr>
        <w:t>（2）根据估值错误处理原则或当事人协商的方法对因估值错误造成的损失进行评估；</w:t>
      </w:r>
    </w:p>
    <w:p w:rsidR="002B1026">
      <w:pPr>
        <w:spacing w:line="360" w:lineRule="auto"/>
        <w:ind w:firstLine="420"/>
        <w:rPr>
          <w:rStyle w:val="da"/>
          <w:rFonts w:ascii="宋体" w:hAnsi="Calibri"/>
          <w:lang w:eastAsia="zh-CN"/>
        </w:rPr>
      </w:pPr>
      <w:r>
        <w:rPr>
          <w:rStyle w:val="da"/>
          <w:rFonts w:ascii="宋体" w:hAnsi="Calibri"/>
          <w:highlight w:val="white"/>
          <w:lang w:eastAsia="zh-CN"/>
        </w:rPr>
        <w:t>（3）根据估值错误处理原则或当事人协商的方法由估值错误的责任方进行更正和赔偿损失；</w:t>
      </w:r>
    </w:p>
    <w:p w:rsidR="002B1026">
      <w:pPr>
        <w:spacing w:line="360" w:lineRule="auto"/>
        <w:ind w:firstLine="420"/>
        <w:rPr>
          <w:rStyle w:val="da"/>
          <w:rFonts w:ascii="宋体" w:hAnsi="Calibri"/>
          <w:lang w:eastAsia="zh-CN"/>
        </w:rPr>
      </w:pPr>
      <w:r>
        <w:rPr>
          <w:rStyle w:val="da"/>
          <w:rFonts w:ascii="宋体" w:hAnsi="Calibri"/>
          <w:highlight w:val="white"/>
          <w:lang w:eastAsia="zh-CN"/>
        </w:rPr>
        <w:t>（4）根据估值错误处理的方法，需要修改基金登记机构交易数据的，由基金登记机构进行更正，并就估值错误的更正向有关当事人进行确认。</w:t>
      </w:r>
    </w:p>
    <w:p w:rsidR="002B1026">
      <w:pPr>
        <w:spacing w:line="360" w:lineRule="auto"/>
        <w:ind w:firstLine="420"/>
        <w:rPr>
          <w:rStyle w:val="da"/>
          <w:rFonts w:ascii="宋体" w:hAnsi="Calibri"/>
          <w:lang w:eastAsia="zh-CN"/>
        </w:rPr>
      </w:pPr>
      <w:r>
        <w:rPr>
          <w:rStyle w:val="da"/>
          <w:rFonts w:ascii="宋体" w:hAnsi="Calibri"/>
          <w:highlight w:val="white"/>
          <w:lang w:eastAsia="zh-CN"/>
        </w:rPr>
        <w:t>4、基金份额净值估值错误处理的方法如下：</w:t>
      </w:r>
    </w:p>
    <w:p w:rsidR="002B1026">
      <w:pPr>
        <w:spacing w:line="360" w:lineRule="auto"/>
        <w:ind w:firstLine="420"/>
        <w:rPr>
          <w:rStyle w:val="da"/>
          <w:rFonts w:ascii="宋体" w:hAnsi="Calibri"/>
          <w:lang w:eastAsia="zh-CN"/>
        </w:rPr>
      </w:pPr>
      <w:r>
        <w:rPr>
          <w:rStyle w:val="da"/>
          <w:rFonts w:ascii="宋体" w:hAnsi="Calibri"/>
          <w:highlight w:val="white"/>
          <w:lang w:eastAsia="zh-CN"/>
        </w:rPr>
        <w:t>（1）基金份额净值计算出现错误时，基金管理人应当立即予以纠正，通报基金托管人，并采取合理的措施防止损失进一步扩大。</w:t>
      </w:r>
    </w:p>
    <w:p w:rsidR="002B1026">
      <w:pPr>
        <w:spacing w:line="360" w:lineRule="auto"/>
        <w:ind w:firstLine="420"/>
        <w:rPr>
          <w:rStyle w:val="da"/>
          <w:rFonts w:ascii="宋体" w:hAnsi="Calibri"/>
          <w:lang w:eastAsia="zh-CN"/>
        </w:rPr>
      </w:pPr>
      <w:r>
        <w:rPr>
          <w:rStyle w:val="da"/>
          <w:rFonts w:ascii="宋体" w:hAnsi="Calibri"/>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2B1026">
      <w:pPr>
        <w:spacing w:line="360" w:lineRule="auto"/>
        <w:ind w:firstLine="420"/>
        <w:rPr>
          <w:rStyle w:val="da"/>
          <w:rFonts w:ascii="宋体" w:hAnsi="Calibri"/>
          <w:lang w:eastAsia="zh-CN"/>
        </w:rPr>
      </w:pPr>
      <w:r>
        <w:rPr>
          <w:rStyle w:val="da"/>
          <w:rFonts w:ascii="宋体" w:hAnsi="Calibri"/>
          <w:highlight w:val="white"/>
          <w:lang w:eastAsia="zh-CN"/>
        </w:rPr>
        <w:t>（3）前述内容如法律法规或监管机关另有规定的，从其规定处理。</w:t>
      </w:r>
    </w:p>
    <w:p w:rsidR="002B1026">
      <w:pPr>
        <w:spacing w:line="360" w:lineRule="auto"/>
        <w:ind w:firstLine="420"/>
        <w:rPr>
          <w:rStyle w:val="da"/>
          <w:rFonts w:ascii="宋体" w:hAnsi="Calibri"/>
          <w:lang w:eastAsia="zh-CN"/>
        </w:rPr>
      </w:pPr>
      <w:r>
        <w:rPr>
          <w:rStyle w:val="da"/>
          <w:rFonts w:ascii="宋体" w:hAnsi="Calibri"/>
          <w:highlight w:val="white"/>
          <w:lang w:eastAsia="zh-CN"/>
        </w:rPr>
        <w:t>七、暂停估值的情形</w:t>
      </w:r>
    </w:p>
    <w:p w:rsidR="002B1026">
      <w:pPr>
        <w:spacing w:line="360" w:lineRule="auto"/>
        <w:ind w:firstLine="420"/>
        <w:rPr>
          <w:rStyle w:val="da"/>
          <w:rFonts w:ascii="宋体" w:hAnsi="Calibri"/>
          <w:lang w:eastAsia="zh-CN"/>
        </w:rPr>
      </w:pPr>
      <w:r>
        <w:rPr>
          <w:rStyle w:val="da"/>
          <w:rFonts w:ascii="宋体" w:hAnsi="Calibri"/>
          <w:highlight w:val="white"/>
          <w:lang w:eastAsia="zh-CN"/>
        </w:rPr>
        <w:t>1、基金投资所涉及的证券交易市场遇法定节假日或因其他原因暂停营业时；</w:t>
      </w:r>
    </w:p>
    <w:p w:rsidR="002B1026">
      <w:pPr>
        <w:spacing w:line="360" w:lineRule="auto"/>
        <w:ind w:firstLine="420"/>
        <w:rPr>
          <w:rStyle w:val="da"/>
          <w:rFonts w:ascii="宋体" w:hAnsi="Calibri"/>
          <w:lang w:eastAsia="zh-CN"/>
        </w:rPr>
      </w:pPr>
      <w:r>
        <w:rPr>
          <w:rStyle w:val="da"/>
          <w:rFonts w:ascii="宋体" w:hAnsi="Calibri"/>
          <w:highlight w:val="white"/>
          <w:lang w:eastAsia="zh-CN"/>
        </w:rPr>
        <w:t>2、因不可抗力致使基金管理人、基金托管人无法准确评估基金资产价值时；</w:t>
      </w:r>
    </w:p>
    <w:p w:rsidR="002B1026">
      <w:pPr>
        <w:spacing w:line="360" w:lineRule="auto"/>
        <w:ind w:firstLine="420"/>
        <w:rPr>
          <w:rStyle w:val="da"/>
          <w:rFonts w:ascii="宋体" w:hAnsi="Calibri"/>
          <w:lang w:eastAsia="zh-CN"/>
        </w:rPr>
      </w:pPr>
      <w:r>
        <w:rPr>
          <w:rStyle w:val="da"/>
          <w:rFonts w:ascii="宋体" w:hAnsi="Calibri"/>
          <w:highlight w:val="white"/>
          <w:lang w:eastAsia="zh-CN"/>
        </w:rPr>
        <w:t>3、占相当比例的被投资基金暂停估值；</w:t>
      </w:r>
    </w:p>
    <w:p w:rsidR="002B1026">
      <w:pPr>
        <w:spacing w:line="360" w:lineRule="auto"/>
        <w:ind w:firstLine="420"/>
        <w:rPr>
          <w:rStyle w:val="da"/>
          <w:rFonts w:ascii="宋体" w:hAnsi="Calibri"/>
          <w:lang w:eastAsia="zh-CN"/>
        </w:rPr>
      </w:pPr>
      <w:r>
        <w:rPr>
          <w:rStyle w:val="da"/>
          <w:rFonts w:ascii="宋体" w:hAnsi="Calibri"/>
          <w:highlight w:val="white"/>
          <w:lang w:eastAsia="zh-CN"/>
        </w:rPr>
        <w:t>4、当特定资产占前一估值日基金资产净值50%以上的，经与基金托管人协商确认后，基金管理人应当暂停估值；</w:t>
      </w:r>
    </w:p>
    <w:p w:rsidR="002B1026">
      <w:pPr>
        <w:spacing w:line="360" w:lineRule="auto"/>
        <w:ind w:firstLine="420"/>
        <w:rPr>
          <w:rStyle w:val="da"/>
          <w:rFonts w:ascii="宋体" w:hAnsi="Calibri"/>
          <w:lang w:eastAsia="zh-CN"/>
        </w:rPr>
      </w:pPr>
      <w:r>
        <w:rPr>
          <w:rStyle w:val="da"/>
          <w:rFonts w:ascii="宋体" w:hAnsi="Calibri"/>
          <w:highlight w:val="white"/>
          <w:lang w:eastAsia="zh-CN"/>
        </w:rPr>
        <w:t>5、中国证监会和基金合同认定的其它情形。</w:t>
      </w:r>
    </w:p>
    <w:p w:rsidR="002B1026">
      <w:pPr>
        <w:spacing w:line="360" w:lineRule="auto"/>
        <w:ind w:firstLine="420"/>
        <w:rPr>
          <w:rStyle w:val="da"/>
          <w:rFonts w:ascii="宋体" w:hAnsi="Calibri"/>
          <w:lang w:eastAsia="zh-CN"/>
        </w:rPr>
      </w:pPr>
      <w:r>
        <w:rPr>
          <w:rStyle w:val="da"/>
          <w:rFonts w:ascii="宋体" w:hAnsi="Calibri"/>
          <w:highlight w:val="white"/>
          <w:lang w:eastAsia="zh-CN"/>
        </w:rPr>
        <w:t>八、基金净值的确认</w:t>
      </w:r>
    </w:p>
    <w:p w:rsidR="002B1026">
      <w:pPr>
        <w:spacing w:line="360" w:lineRule="auto"/>
        <w:ind w:firstLine="420"/>
        <w:rPr>
          <w:rStyle w:val="da"/>
          <w:rFonts w:ascii="宋体" w:hAnsi="Calibri"/>
          <w:lang w:eastAsia="zh-CN"/>
        </w:rPr>
      </w:pPr>
      <w:r>
        <w:rPr>
          <w:rStyle w:val="da"/>
          <w:rFonts w:ascii="宋体" w:hAnsi="Calibri"/>
          <w:highlight w:val="white"/>
          <w:lang w:eastAsia="zh-CN"/>
        </w:rPr>
        <w:t>用于基金信息披露的基金资产净值和基金份额净值由基金管理人负责计算，基金托管人负责进行复核。基金管理人应于每个估值日后的两个工作日内计算该估值日的基金资产净值和基金份额净值并发送给基金托管人。基金托管人对净值计算结果复核确认后发送给基金管理人，由基金管理人按规定对基金净值予以公布。</w:t>
      </w:r>
    </w:p>
    <w:p w:rsidR="002B1026">
      <w:pPr>
        <w:spacing w:line="360" w:lineRule="auto"/>
        <w:ind w:firstLine="420"/>
        <w:rPr>
          <w:rStyle w:val="da"/>
          <w:rFonts w:ascii="宋体" w:hAnsi="Calibri"/>
          <w:lang w:eastAsia="zh-CN"/>
        </w:rPr>
      </w:pPr>
      <w:r>
        <w:rPr>
          <w:rStyle w:val="da"/>
          <w:rFonts w:ascii="宋体" w:hAnsi="Calibri"/>
          <w:highlight w:val="white"/>
          <w:lang w:eastAsia="zh-CN"/>
        </w:rPr>
        <w:t>九、特殊情况的处理</w:t>
      </w:r>
    </w:p>
    <w:p w:rsidR="002B1026">
      <w:pPr>
        <w:spacing w:line="360" w:lineRule="auto"/>
        <w:ind w:firstLine="420"/>
        <w:rPr>
          <w:rStyle w:val="da"/>
          <w:rFonts w:ascii="宋体" w:hAnsi="Calibri"/>
          <w:lang w:eastAsia="zh-CN"/>
        </w:rPr>
      </w:pPr>
      <w:r>
        <w:rPr>
          <w:rStyle w:val="da"/>
          <w:rFonts w:ascii="宋体" w:hAnsi="Calibri"/>
          <w:highlight w:val="white"/>
          <w:lang w:eastAsia="zh-CN"/>
        </w:rPr>
        <w:t>1、基金管理人或基金托管人按估值方法的第13项进行估值时，所造成的误差不作为基金资产估值错误处理。</w:t>
      </w:r>
    </w:p>
    <w:p w:rsidR="002B1026">
      <w:pPr>
        <w:spacing w:line="360" w:lineRule="auto"/>
        <w:ind w:firstLine="420"/>
        <w:rPr>
          <w:rStyle w:val="da"/>
          <w:rFonts w:ascii="宋体" w:hAnsi="Calibri"/>
          <w:lang w:eastAsia="zh-CN"/>
        </w:rPr>
      </w:pPr>
      <w:r>
        <w:rPr>
          <w:rStyle w:val="da"/>
          <w:rFonts w:ascii="宋体" w:hAnsi="Calibri"/>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2B1026">
      <w:pPr>
        <w:spacing w:line="360" w:lineRule="auto"/>
        <w:ind w:firstLine="420"/>
        <w:rPr>
          <w:rStyle w:val="da"/>
          <w:rFonts w:ascii="宋体" w:hAnsi="Calibri"/>
          <w:lang w:eastAsia="zh-CN"/>
        </w:rPr>
      </w:pPr>
      <w:r>
        <w:rPr>
          <w:rStyle w:val="da"/>
          <w:rFonts w:ascii="宋体" w:hAnsi="Calibri"/>
          <w:highlight w:val="white"/>
          <w:lang w:eastAsia="zh-CN"/>
        </w:rPr>
        <w:t>十、实施侧袋机制期间的基金资产估值</w:t>
      </w:r>
    </w:p>
    <w:p w:rsidR="002B1026">
      <w:pPr>
        <w:spacing w:line="360" w:lineRule="auto"/>
        <w:ind w:firstLine="420"/>
        <w:rPr>
          <w:rStyle w:val="da"/>
          <w:rFonts w:ascii="宋体" w:hAnsi="Calibri"/>
          <w:lang w:eastAsia="zh-CN"/>
        </w:rPr>
      </w:pPr>
      <w:r>
        <w:rPr>
          <w:rStyle w:val="da"/>
          <w:rFonts w:ascii="宋体" w:hAnsi="Calibri"/>
          <w:highlight w:val="white"/>
          <w:lang w:eastAsia="zh-CN"/>
        </w:rPr>
        <w:t>本基金实施侧袋机制的，应根据本部分的约定对主袋账户资产进行估值并披露主袋账户的基金资产净值和份额净值，暂停披露侧袋账户份额净值。</w:t>
      </w:r>
    </w:p>
    <w:p w:rsidR="002B1026">
      <w:pPr>
        <w:spacing w:line="360" w:lineRule="auto"/>
        <w:ind w:firstLine="420"/>
        <w:rPr>
          <w:rStyle w:val="da"/>
          <w:rFonts w:ascii="宋体" w:hAnsi="Calibri"/>
          <w:lang w:eastAsia="zh-CN"/>
        </w:rPr>
      </w:pPr>
    </w:p>
    <w:p w:rsidR="002B1026">
      <w:pPr>
        <w:pStyle w:val="Heading1"/>
        <w:spacing w:before="317" w:after="317" w:line="360" w:lineRule="auto"/>
        <w:ind w:firstLine="420"/>
        <w:rPr>
          <w:rFonts w:ascii="宋体" w:eastAsia="宋体" w:hAnsi="Calibri"/>
          <w:bCs/>
          <w:lang w:eastAsia="zh-CN"/>
        </w:rPr>
      </w:pPr>
      <w:r>
        <w:rPr>
          <w:rFonts w:ascii="宋体" w:eastAsia="宋体" w:hAnsi="Calibri"/>
          <w:sz w:val="21"/>
          <w:szCs w:val="21"/>
          <w:highlight w:val="white"/>
          <w:lang w:eastAsia="zh-CN"/>
        </w:rPr>
        <w:br w:type="page"/>
      </w:r>
      <w:bookmarkStart w:id="1837" w:name="_Toc227311249"/>
      <w:r>
        <w:rPr>
          <w:rFonts w:ascii="宋体" w:eastAsia="宋体" w:hAnsi="Calibri"/>
          <w:sz w:val="30"/>
          <w:highlight w:val="white"/>
          <w:lang w:eastAsia="zh-CN"/>
        </w:rPr>
        <w:t>第</w:t>
      </w:r>
      <w:r>
        <w:rPr>
          <w:rFonts w:ascii="宋体" w:eastAsia="宋体" w:hAnsi="Calibri" w:hint="eastAsia"/>
          <w:sz w:val="30"/>
          <w:highlight w:val="white"/>
          <w:lang w:eastAsia="zh-CN"/>
        </w:rPr>
        <w:t>十</w:t>
      </w:r>
      <w:bookmarkStart w:id="1838" w:name="_Toc332373553"/>
      <w:r>
        <w:rPr>
          <w:rFonts w:ascii="宋体" w:eastAsia="宋体" w:hAnsi="Calibri" w:hint="eastAsia"/>
          <w:sz w:val="30"/>
          <w:highlight w:val="white"/>
          <w:lang w:eastAsia="zh-CN"/>
        </w:rPr>
        <w:t>六部分 基金的收益分配</w:t>
      </w:r>
      <w:bookmarkEnd w:id="1838"/>
      <w:bookmarkEnd w:id="1837"/>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一、基金利润的构成</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基金利润指基金利息收入、投资收益、公允价值变动收益和其他收入扣除相关费用后的余额，基金已实现收益指基金利润减去公允价值变动收益后的余额。</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二、基金可供分配利润</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基金可供分配利润指截至收益分配基准日基金未分配利润与未分配利润中已实现收益的孰低数。</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三、基金收益分配原则</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1、在符合有关基金分红条件的前提下，基金管理人可以根据实际情况进行收益分配，具体分配方案以公告为准，若《基金合同》生效不满3个月可不进行收益分配；</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3、基金收益分配后基金份额净值不能低于面值；即基金收益分配基准日的基金份额净值减去每单位基金份额收益分配金额后不能低于面值；</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4、本基金各基金份额类别在费用收取上不同，其对应的可分配收益可能有所不同。同一类别的每一基金份额享有同等分配权；</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5、在对基金份额持有人利益无实质不利影响的前提下，基金管理人可调整基金收益的分配原则和支付方式，不需召开基金份额持有人大会审议；</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6、法律法规或监管机关另有规定的，从其规定。</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四、收益分配方案</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基金收益分配方案中应载明截止收益分配基准日的可供分配利润、基金收益分配对象、分配时间、分配数额、分配方式等内容。</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五、收益分配方案的确定、公告与实施</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本基金收益分配方案由基金管理人拟定，并由基金托管人复核，在2日内在规定媒介公告。</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六、基金收益分配中发生的费用</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七、实施侧袋机制期间的收益分配</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本基金实施侧袋机制的，侧袋账户不进行收益分配。</w:t>
      </w:r>
    </w:p>
    <w:p w:rsidR="002B1026">
      <w:pPr>
        <w:spacing w:line="360" w:lineRule="auto"/>
        <w:ind w:firstLine="420"/>
        <w:rPr>
          <w:rFonts w:ascii="宋体" w:hAnsi="Calibri"/>
          <w:szCs w:val="21"/>
          <w:lang w:eastAsia="zh-CN"/>
        </w:rPr>
      </w:pPr>
      <w:r>
        <w:rPr>
          <w:rStyle w:val="da"/>
          <w:rFonts w:ascii="宋体" w:hAnsi="Calibri"/>
          <w:highlight w:val="white"/>
          <w:lang w:eastAsia="zh-CN"/>
        </w:rPr>
        <w:br w:type="page"/>
      </w:r>
    </w:p>
    <w:p w:rsidR="002B1026">
      <w:pPr>
        <w:pStyle w:val="Heading1"/>
        <w:spacing w:before="317" w:after="317" w:line="360" w:lineRule="auto"/>
        <w:ind w:firstLine="600"/>
        <w:rPr>
          <w:rFonts w:ascii="宋体" w:eastAsia="宋体" w:hAnsi="Calibri"/>
          <w:sz w:val="30"/>
          <w:lang w:eastAsia="zh-CN"/>
        </w:rPr>
      </w:pPr>
      <w:bookmarkStart w:id="1839" w:name="_Toc227311250"/>
      <w:r>
        <w:rPr>
          <w:rFonts w:ascii="宋体" w:eastAsia="宋体" w:hAnsi="Calibri" w:hint="eastAsia"/>
          <w:sz w:val="30"/>
          <w:highlight w:val="white"/>
          <w:lang w:eastAsia="zh-CN"/>
        </w:rPr>
        <w:t>第十</w:t>
      </w:r>
      <w:bookmarkStart w:id="1840" w:name="_Toc332373560"/>
      <w:r>
        <w:rPr>
          <w:rFonts w:ascii="宋体" w:eastAsia="宋体" w:hAnsi="Calibri" w:hint="eastAsia"/>
          <w:sz w:val="30"/>
          <w:highlight w:val="white"/>
          <w:lang w:eastAsia="zh-CN"/>
        </w:rPr>
        <w:t>七部分 基金的费用与税收</w:t>
      </w:r>
      <w:bookmarkEnd w:id="1840"/>
      <w:bookmarkEnd w:id="1839"/>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一、基金费用的种类</w:t>
      </w:r>
    </w:p>
    <w:p w:rsidR="002B1026">
      <w:pPr>
        <w:spacing w:line="360" w:lineRule="auto"/>
        <w:ind w:firstLine="420"/>
        <w:rPr>
          <w:rStyle w:val="da"/>
          <w:rFonts w:ascii="宋体" w:hAnsi="Calibri"/>
          <w:lang w:eastAsia="zh-CN"/>
        </w:rPr>
      </w:pPr>
      <w:r>
        <w:rPr>
          <w:rStyle w:val="da"/>
          <w:rFonts w:ascii="宋体" w:hAnsi="Calibri"/>
          <w:highlight w:val="white"/>
          <w:lang w:eastAsia="zh-CN"/>
        </w:rPr>
        <w:t>1、基金管理人的管理费；</w:t>
      </w:r>
    </w:p>
    <w:p w:rsidR="002B1026">
      <w:pPr>
        <w:spacing w:line="360" w:lineRule="auto"/>
        <w:ind w:firstLine="420"/>
        <w:rPr>
          <w:rStyle w:val="da"/>
          <w:rFonts w:ascii="宋体" w:hAnsi="Calibri"/>
          <w:lang w:eastAsia="zh-CN"/>
        </w:rPr>
      </w:pPr>
      <w:r>
        <w:rPr>
          <w:rStyle w:val="da"/>
          <w:rFonts w:ascii="宋体" w:hAnsi="Calibri"/>
          <w:highlight w:val="white"/>
          <w:lang w:eastAsia="zh-CN"/>
        </w:rPr>
        <w:t>2、基金托管人的托管费；</w:t>
      </w:r>
    </w:p>
    <w:p w:rsidR="002B1026">
      <w:pPr>
        <w:spacing w:line="360" w:lineRule="auto"/>
        <w:ind w:firstLine="420"/>
        <w:rPr>
          <w:rStyle w:val="da"/>
          <w:rFonts w:ascii="宋体" w:hAnsi="Calibri"/>
          <w:lang w:eastAsia="zh-CN"/>
        </w:rPr>
      </w:pPr>
      <w:r>
        <w:rPr>
          <w:rStyle w:val="da"/>
          <w:rFonts w:ascii="宋体" w:hAnsi="Calibri"/>
          <w:highlight w:val="white"/>
          <w:lang w:eastAsia="zh-CN"/>
        </w:rPr>
        <w:t>3、销售服务费；</w:t>
      </w:r>
    </w:p>
    <w:p w:rsidR="002B1026">
      <w:pPr>
        <w:spacing w:line="360" w:lineRule="auto"/>
        <w:ind w:firstLine="420"/>
        <w:rPr>
          <w:rStyle w:val="da"/>
          <w:rFonts w:ascii="宋体" w:hAnsi="Calibri"/>
          <w:lang w:eastAsia="zh-CN"/>
        </w:rPr>
      </w:pPr>
      <w:r>
        <w:rPr>
          <w:rStyle w:val="da"/>
          <w:rFonts w:ascii="宋体" w:hAnsi="Calibri"/>
          <w:highlight w:val="white"/>
          <w:lang w:eastAsia="zh-CN"/>
        </w:rPr>
        <w:t>4、《基金合同》生效后与基金相关的信息披露费用；</w:t>
      </w:r>
    </w:p>
    <w:p w:rsidR="002B1026">
      <w:pPr>
        <w:spacing w:line="360" w:lineRule="auto"/>
        <w:ind w:firstLine="420"/>
        <w:rPr>
          <w:rStyle w:val="da"/>
          <w:rFonts w:ascii="宋体" w:hAnsi="Calibri"/>
          <w:lang w:eastAsia="zh-CN"/>
        </w:rPr>
      </w:pPr>
      <w:r>
        <w:rPr>
          <w:rStyle w:val="da"/>
          <w:rFonts w:ascii="宋体" w:hAnsi="Calibri"/>
          <w:highlight w:val="white"/>
          <w:lang w:eastAsia="zh-CN"/>
        </w:rPr>
        <w:t>5、《基金合同》生效后与基金相关的会计师费、律师费、诉讼费和仲裁费；</w:t>
      </w:r>
    </w:p>
    <w:p w:rsidR="002B1026">
      <w:pPr>
        <w:spacing w:line="360" w:lineRule="auto"/>
        <w:ind w:firstLine="420"/>
        <w:rPr>
          <w:rStyle w:val="da"/>
          <w:rFonts w:ascii="宋体" w:hAnsi="Calibri"/>
          <w:lang w:eastAsia="zh-CN"/>
        </w:rPr>
      </w:pPr>
      <w:r>
        <w:rPr>
          <w:rStyle w:val="da"/>
          <w:rFonts w:ascii="宋体" w:hAnsi="Calibri"/>
          <w:highlight w:val="white"/>
          <w:lang w:eastAsia="zh-CN"/>
        </w:rPr>
        <w:t>6、基金份额持有人大会费用；</w:t>
      </w:r>
    </w:p>
    <w:p w:rsidR="002B1026">
      <w:pPr>
        <w:spacing w:line="360" w:lineRule="auto"/>
        <w:ind w:firstLine="420"/>
        <w:rPr>
          <w:rStyle w:val="da"/>
          <w:rFonts w:ascii="宋体" w:hAnsi="Calibri"/>
          <w:lang w:eastAsia="zh-CN"/>
        </w:rPr>
      </w:pPr>
      <w:r>
        <w:rPr>
          <w:rStyle w:val="da"/>
          <w:rFonts w:ascii="宋体" w:hAnsi="Calibri"/>
          <w:highlight w:val="white"/>
          <w:lang w:eastAsia="zh-CN"/>
        </w:rPr>
        <w:t>7、基金的证券交易费用、基金投资其他基金产生的相关费用；</w:t>
      </w:r>
    </w:p>
    <w:p w:rsidR="002B1026">
      <w:pPr>
        <w:spacing w:line="360" w:lineRule="auto"/>
        <w:ind w:firstLine="420"/>
        <w:rPr>
          <w:rStyle w:val="da"/>
          <w:rFonts w:ascii="宋体" w:hAnsi="Calibri"/>
          <w:lang w:eastAsia="zh-CN"/>
        </w:rPr>
      </w:pPr>
      <w:r>
        <w:rPr>
          <w:rStyle w:val="da"/>
          <w:rFonts w:ascii="宋体" w:hAnsi="Calibri"/>
          <w:highlight w:val="white"/>
          <w:lang w:eastAsia="zh-CN"/>
        </w:rPr>
        <w:t>8、基金的银行汇划费用；</w:t>
      </w:r>
    </w:p>
    <w:p w:rsidR="002B1026">
      <w:pPr>
        <w:spacing w:line="360" w:lineRule="auto"/>
        <w:ind w:firstLine="420"/>
        <w:rPr>
          <w:rStyle w:val="da"/>
          <w:rFonts w:ascii="宋体" w:hAnsi="Calibri"/>
          <w:lang w:eastAsia="zh-CN"/>
        </w:rPr>
      </w:pPr>
      <w:r>
        <w:rPr>
          <w:rStyle w:val="da"/>
          <w:rFonts w:ascii="宋体" w:hAnsi="Calibri"/>
          <w:highlight w:val="white"/>
          <w:lang w:eastAsia="zh-CN"/>
        </w:rPr>
        <w:t>9、证券账户开户费用、银行账户维护费用；</w:t>
      </w:r>
    </w:p>
    <w:p w:rsidR="002B1026">
      <w:pPr>
        <w:spacing w:line="360" w:lineRule="auto"/>
        <w:ind w:firstLine="420"/>
        <w:rPr>
          <w:rStyle w:val="da"/>
          <w:rFonts w:ascii="宋体" w:hAnsi="Calibri"/>
          <w:lang w:eastAsia="zh-CN"/>
        </w:rPr>
      </w:pPr>
      <w:r>
        <w:rPr>
          <w:rStyle w:val="da"/>
          <w:rFonts w:ascii="宋体" w:hAnsi="Calibri"/>
          <w:highlight w:val="white"/>
          <w:lang w:eastAsia="zh-CN"/>
        </w:rPr>
        <w:t>10、因投资内地与香港股票市场交易互联互通机制允许买卖的香港证券市场股票和交易型开放式基金而产生的各项合理费用；</w:t>
      </w:r>
    </w:p>
    <w:p w:rsidR="002B1026">
      <w:pPr>
        <w:spacing w:line="360" w:lineRule="auto"/>
        <w:ind w:firstLine="420"/>
        <w:rPr>
          <w:rStyle w:val="da"/>
          <w:rFonts w:ascii="宋体" w:hAnsi="Calibri"/>
          <w:lang w:eastAsia="zh-CN"/>
        </w:rPr>
      </w:pPr>
      <w:r>
        <w:rPr>
          <w:rStyle w:val="da"/>
          <w:rFonts w:ascii="宋体" w:hAnsi="Calibri"/>
          <w:highlight w:val="white"/>
          <w:lang w:eastAsia="zh-CN"/>
        </w:rPr>
        <w:t>11、按照国家有关规定和《基金合同》约定，可以在基金财产中列支的其他费用。</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二、基金费用计提方法、计提标准和支付方式</w:t>
      </w:r>
    </w:p>
    <w:p w:rsidR="002B1026">
      <w:pPr>
        <w:spacing w:line="360" w:lineRule="auto"/>
        <w:ind w:firstLine="420"/>
        <w:rPr>
          <w:rStyle w:val="da"/>
          <w:rFonts w:ascii="宋体" w:hAnsi="Calibri"/>
          <w:lang w:eastAsia="zh-CN"/>
        </w:rPr>
      </w:pPr>
      <w:r>
        <w:rPr>
          <w:rStyle w:val="da"/>
          <w:rFonts w:ascii="宋体" w:hAnsi="Calibri"/>
          <w:highlight w:val="white"/>
          <w:lang w:eastAsia="zh-CN"/>
        </w:rPr>
        <w:t>1、基金管理人的管理费</w:t>
      </w:r>
    </w:p>
    <w:p w:rsidR="002B1026">
      <w:pPr>
        <w:spacing w:line="360" w:lineRule="auto"/>
        <w:ind w:firstLine="420"/>
        <w:rPr>
          <w:rStyle w:val="da"/>
          <w:rFonts w:ascii="宋体" w:hAnsi="Calibri"/>
          <w:lang w:eastAsia="zh-CN"/>
        </w:rPr>
      </w:pPr>
      <w:r>
        <w:rPr>
          <w:rStyle w:val="da"/>
          <w:rFonts w:ascii="宋体" w:hAnsi="Calibri"/>
          <w:highlight w:val="white"/>
          <w:lang w:eastAsia="zh-CN"/>
        </w:rPr>
        <w:t>本基金投资于本基金管理人所管理的基金的部分不收取管理费。本基金管理费按前一日基金资产净值扣除前一日所持有本基金管理人管理的其他基金公允价值后的余额（若为负数，则取0）的0.60%年费率计提。管理费的计算方法如下：</w:t>
      </w:r>
    </w:p>
    <w:p w:rsidR="002B1026">
      <w:pPr>
        <w:spacing w:line="360" w:lineRule="auto"/>
        <w:ind w:firstLine="420"/>
        <w:rPr>
          <w:rStyle w:val="da"/>
          <w:rFonts w:ascii="宋体" w:hAnsi="Calibri"/>
          <w:lang w:eastAsia="zh-CN"/>
        </w:rPr>
      </w:pPr>
      <w:r>
        <w:rPr>
          <w:rStyle w:val="da"/>
          <w:rFonts w:ascii="宋体" w:hAnsi="Calibri"/>
          <w:highlight w:val="white"/>
          <w:lang w:eastAsia="zh-CN"/>
        </w:rPr>
        <w:t>H＝E</w:t>
      </w:r>
      <w:r>
        <w:rPr>
          <w:rStyle w:val="da"/>
          <w:rFonts w:ascii="宋体" w:hAnsi="Calibri"/>
          <w:highlight w:val="white"/>
          <w:lang w:eastAsia="zh-CN"/>
        </w:rPr>
        <w:t>×</w:t>
      </w:r>
      <w:r>
        <w:rPr>
          <w:rStyle w:val="da"/>
          <w:rFonts w:ascii="宋体" w:hAnsi="Calibri"/>
          <w:highlight w:val="white"/>
          <w:lang w:eastAsia="zh-CN"/>
        </w:rPr>
        <w:t>0.60%</w:t>
      </w:r>
      <w:r>
        <w:rPr>
          <w:rStyle w:val="da"/>
          <w:rFonts w:ascii="宋体" w:hAnsi="Calibri"/>
          <w:highlight w:val="white"/>
          <w:lang w:eastAsia="zh-CN"/>
        </w:rPr>
        <w:t>÷</w:t>
      </w:r>
      <w:r>
        <w:rPr>
          <w:rStyle w:val="da"/>
          <w:rFonts w:ascii="宋体" w:hAnsi="Calibri"/>
          <w:highlight w:val="white"/>
          <w:lang w:eastAsia="zh-CN"/>
        </w:rPr>
        <w:t>当年天数</w:t>
      </w:r>
    </w:p>
    <w:p w:rsidR="002B1026">
      <w:pPr>
        <w:spacing w:line="360" w:lineRule="auto"/>
        <w:ind w:firstLine="420"/>
        <w:rPr>
          <w:rStyle w:val="da"/>
          <w:rFonts w:ascii="宋体" w:hAnsi="Calibri"/>
          <w:lang w:eastAsia="zh-CN"/>
        </w:rPr>
      </w:pPr>
      <w:r>
        <w:rPr>
          <w:rStyle w:val="da"/>
          <w:rFonts w:ascii="宋体" w:hAnsi="Calibri"/>
          <w:highlight w:val="white"/>
          <w:lang w:eastAsia="zh-CN"/>
        </w:rPr>
        <w:t>H为每日应计提的基金管理费</w:t>
      </w:r>
    </w:p>
    <w:p w:rsidR="002B1026">
      <w:pPr>
        <w:spacing w:line="360" w:lineRule="auto"/>
        <w:ind w:firstLine="420"/>
        <w:rPr>
          <w:rStyle w:val="da"/>
          <w:rFonts w:ascii="宋体" w:hAnsi="Calibri"/>
          <w:lang w:eastAsia="zh-CN"/>
        </w:rPr>
      </w:pPr>
      <w:r>
        <w:rPr>
          <w:rStyle w:val="da"/>
          <w:rFonts w:ascii="宋体" w:hAnsi="Calibri"/>
          <w:highlight w:val="white"/>
          <w:lang w:eastAsia="zh-CN"/>
        </w:rPr>
        <w:t>E为前一日的基金资产净值扣除前一日所持有的基金管理人管理的其他基金公允价值后的余额，若为负数，则E取0</w:t>
      </w:r>
    </w:p>
    <w:p w:rsidR="002B1026">
      <w:pPr>
        <w:spacing w:line="360" w:lineRule="auto"/>
        <w:ind w:firstLine="420"/>
        <w:rPr>
          <w:rStyle w:val="da"/>
          <w:rFonts w:ascii="宋体" w:hAnsi="Calibri"/>
          <w:lang w:eastAsia="zh-CN"/>
        </w:rPr>
      </w:pPr>
      <w:r>
        <w:rPr>
          <w:rStyle w:val="da"/>
          <w:rFonts w:ascii="宋体" w:hAnsi="Calibri"/>
          <w:highlight w:val="white"/>
          <w:lang w:eastAsia="zh-CN"/>
        </w:rPr>
        <w:t>基金管理费每日计提，逐日累计至每月月末，按月支付，由基金管理人与基金托管人核对一致后，基金托管人按照与基金管理人协商一致的方式于次月前5个工作日内从基金财产中一次性支付给基金管理人。若遇法定节假日、休息日或不可抗力致使无法按时支付的，支付日期顺延。</w:t>
      </w:r>
    </w:p>
    <w:p w:rsidR="002B1026">
      <w:pPr>
        <w:spacing w:line="360" w:lineRule="auto"/>
        <w:ind w:firstLine="420"/>
        <w:rPr>
          <w:rStyle w:val="da"/>
          <w:rFonts w:ascii="宋体" w:hAnsi="Calibri"/>
          <w:lang w:eastAsia="zh-CN"/>
        </w:rPr>
      </w:pPr>
      <w:r>
        <w:rPr>
          <w:rStyle w:val="da"/>
          <w:rFonts w:ascii="宋体" w:hAnsi="Calibri"/>
          <w:highlight w:val="white"/>
          <w:lang w:eastAsia="zh-CN"/>
        </w:rPr>
        <w:t>2、基金托管人的托管费</w:t>
      </w:r>
    </w:p>
    <w:p w:rsidR="002B1026">
      <w:pPr>
        <w:spacing w:line="360" w:lineRule="auto"/>
        <w:ind w:firstLine="420"/>
        <w:rPr>
          <w:rStyle w:val="da"/>
          <w:rFonts w:ascii="宋体" w:hAnsi="Calibri"/>
          <w:lang w:eastAsia="zh-CN"/>
        </w:rPr>
      </w:pPr>
      <w:r>
        <w:rPr>
          <w:rStyle w:val="da"/>
          <w:rFonts w:ascii="宋体" w:hAnsi="Calibri"/>
          <w:highlight w:val="white"/>
          <w:lang w:eastAsia="zh-CN"/>
        </w:rPr>
        <w:t>本基金投资于本基金托管人所托管的基金的部分不收取托管费。本基金托管费按前一日基金资产净值扣除前一日所持有本基金托管人托管的其他基金公允价值后的余额（若为负数，则取0）的0.15%年费率计提。托管费的计算方法如下：</w:t>
      </w:r>
    </w:p>
    <w:p w:rsidR="002B1026">
      <w:pPr>
        <w:spacing w:line="360" w:lineRule="auto"/>
        <w:ind w:firstLine="420"/>
        <w:rPr>
          <w:rStyle w:val="da"/>
          <w:rFonts w:ascii="宋体" w:hAnsi="Calibri"/>
          <w:lang w:eastAsia="zh-CN"/>
        </w:rPr>
      </w:pPr>
      <w:r>
        <w:rPr>
          <w:rStyle w:val="da"/>
          <w:rFonts w:ascii="宋体" w:hAnsi="Calibri"/>
          <w:highlight w:val="white"/>
          <w:lang w:eastAsia="zh-CN"/>
        </w:rPr>
        <w:t>H＝E</w:t>
      </w:r>
      <w:r>
        <w:rPr>
          <w:rStyle w:val="da"/>
          <w:rFonts w:ascii="宋体" w:hAnsi="Calibri"/>
          <w:highlight w:val="white"/>
          <w:lang w:eastAsia="zh-CN"/>
        </w:rPr>
        <w:t>×</w:t>
      </w:r>
      <w:r>
        <w:rPr>
          <w:rStyle w:val="da"/>
          <w:rFonts w:ascii="宋体" w:hAnsi="Calibri"/>
          <w:highlight w:val="white"/>
          <w:lang w:eastAsia="zh-CN"/>
        </w:rPr>
        <w:t>0.15%</w:t>
      </w:r>
      <w:r>
        <w:rPr>
          <w:rStyle w:val="da"/>
          <w:rFonts w:ascii="宋体" w:hAnsi="Calibri"/>
          <w:highlight w:val="white"/>
          <w:lang w:eastAsia="zh-CN"/>
        </w:rPr>
        <w:t>÷</w:t>
      </w:r>
      <w:r>
        <w:rPr>
          <w:rStyle w:val="da"/>
          <w:rFonts w:ascii="宋体" w:hAnsi="Calibri"/>
          <w:highlight w:val="white"/>
          <w:lang w:eastAsia="zh-CN"/>
        </w:rPr>
        <w:t>当年天数</w:t>
      </w:r>
    </w:p>
    <w:p w:rsidR="002B1026">
      <w:pPr>
        <w:spacing w:line="360" w:lineRule="auto"/>
        <w:ind w:firstLine="420"/>
        <w:rPr>
          <w:rStyle w:val="da"/>
          <w:rFonts w:ascii="宋体" w:hAnsi="Calibri"/>
          <w:lang w:eastAsia="zh-CN"/>
        </w:rPr>
      </w:pPr>
      <w:r>
        <w:rPr>
          <w:rStyle w:val="da"/>
          <w:rFonts w:ascii="宋体" w:hAnsi="Calibri"/>
          <w:highlight w:val="white"/>
          <w:lang w:eastAsia="zh-CN"/>
        </w:rPr>
        <w:t>H为每日应计提的基金托管费</w:t>
      </w:r>
    </w:p>
    <w:p w:rsidR="002B1026">
      <w:pPr>
        <w:spacing w:line="360" w:lineRule="auto"/>
        <w:ind w:firstLine="420"/>
        <w:rPr>
          <w:rStyle w:val="da"/>
          <w:rFonts w:ascii="宋体" w:hAnsi="Calibri"/>
          <w:lang w:eastAsia="zh-CN"/>
        </w:rPr>
      </w:pPr>
      <w:r>
        <w:rPr>
          <w:rStyle w:val="da"/>
          <w:rFonts w:ascii="宋体" w:hAnsi="Calibri"/>
          <w:highlight w:val="white"/>
          <w:lang w:eastAsia="zh-CN"/>
        </w:rPr>
        <w:t>E为前一日的基金资产净值扣除前一日所持有的基金托管人托管的其他基金公允价值后的余额，若为负数，则E取0</w:t>
      </w:r>
    </w:p>
    <w:p w:rsidR="002B1026">
      <w:pPr>
        <w:spacing w:line="360" w:lineRule="auto"/>
        <w:ind w:firstLine="420"/>
        <w:rPr>
          <w:rStyle w:val="da"/>
          <w:rFonts w:ascii="宋体" w:hAnsi="Calibri"/>
          <w:lang w:eastAsia="zh-CN"/>
        </w:rPr>
      </w:pPr>
      <w:r>
        <w:rPr>
          <w:rStyle w:val="da"/>
          <w:rFonts w:ascii="宋体" w:hAnsi="Calibri"/>
          <w:highlight w:val="white"/>
          <w:lang w:eastAsia="zh-CN"/>
        </w:rPr>
        <w:t>基金托管费每日计提，逐日累计至每月月末，按月支付，由基金管理人与基金托管人核对一致后，基金托管人按照与基金管理人协商一致的方式于次月前5个工作日内从基金财产中一次性支取。若遇法定节假日、休息日或不可抗力致使无法按时支付的，支付日期顺延。</w:t>
      </w:r>
    </w:p>
    <w:p w:rsidR="002B1026" w:rsidRPr="0026419E" w:rsidP="0026419E">
      <w:pPr>
        <w:spacing w:line="360" w:lineRule="auto"/>
        <w:ind w:firstLine="420"/>
        <w:rPr>
          <w:rStyle w:val="da"/>
          <w:highlight w:val="white"/>
          <w:lang w:eastAsia="zh-CN"/>
        </w:rPr>
      </w:pPr>
      <w:r w:rsidRPr="0026419E">
        <w:rPr>
          <w:rStyle w:val="da"/>
          <w:highlight w:val="white"/>
          <w:lang w:eastAsia="zh-CN"/>
        </w:rPr>
        <w:t>3</w:t>
      </w:r>
      <w:r w:rsidRPr="0026419E">
        <w:rPr>
          <w:rStyle w:val="da"/>
          <w:rFonts w:hint="eastAsia"/>
          <w:highlight w:val="white"/>
          <w:lang w:eastAsia="zh-CN"/>
        </w:rPr>
        <w:t>、销售服务费</w:t>
      </w:r>
    </w:p>
    <w:p w:rsidR="002B1026" w:rsidRPr="0026419E" w:rsidP="0026419E">
      <w:pPr>
        <w:spacing w:line="360" w:lineRule="auto"/>
        <w:ind w:firstLine="420"/>
        <w:rPr>
          <w:rStyle w:val="da"/>
          <w:highlight w:val="white"/>
          <w:lang w:eastAsia="zh-CN"/>
        </w:rPr>
      </w:pPr>
      <w:r w:rsidRPr="0026419E">
        <w:rPr>
          <w:rStyle w:val="da"/>
          <w:rFonts w:hint="eastAsia"/>
          <w:highlight w:val="white"/>
          <w:lang w:eastAsia="zh-CN"/>
        </w:rPr>
        <w:t>本基金</w:t>
      </w:r>
      <w:r w:rsidRPr="0026419E">
        <w:rPr>
          <w:rStyle w:val="da"/>
          <w:highlight w:val="white"/>
          <w:lang w:eastAsia="zh-CN"/>
        </w:rPr>
        <w:t>A</w:t>
      </w:r>
      <w:r w:rsidRPr="0026419E">
        <w:rPr>
          <w:rStyle w:val="da"/>
          <w:rFonts w:hint="eastAsia"/>
          <w:highlight w:val="white"/>
          <w:lang w:eastAsia="zh-CN"/>
        </w:rPr>
        <w:t>类基金份额不收取销售服务费，</w:t>
      </w:r>
      <w:r w:rsidRPr="0026419E">
        <w:rPr>
          <w:rStyle w:val="da"/>
          <w:highlight w:val="white"/>
          <w:lang w:eastAsia="zh-CN"/>
        </w:rPr>
        <w:t>C</w:t>
      </w:r>
      <w:r w:rsidRPr="0026419E">
        <w:rPr>
          <w:rStyle w:val="da"/>
          <w:rFonts w:hint="eastAsia"/>
          <w:highlight w:val="white"/>
          <w:lang w:eastAsia="zh-CN"/>
        </w:rPr>
        <w:t>类基金份额的销售服务费年费率为</w:t>
      </w:r>
      <w:r w:rsidRPr="0026419E">
        <w:rPr>
          <w:rStyle w:val="da"/>
          <w:highlight w:val="white"/>
          <w:lang w:eastAsia="zh-CN"/>
        </w:rPr>
        <w:t>0.40%</w:t>
      </w:r>
      <w:r w:rsidRPr="0026419E">
        <w:rPr>
          <w:rStyle w:val="da"/>
          <w:rFonts w:hint="eastAsia"/>
          <w:highlight w:val="white"/>
          <w:lang w:eastAsia="zh-CN"/>
        </w:rPr>
        <w:t>，按前一日</w:t>
      </w:r>
      <w:r w:rsidRPr="0026419E">
        <w:rPr>
          <w:rStyle w:val="da"/>
          <w:highlight w:val="white"/>
          <w:lang w:eastAsia="zh-CN"/>
        </w:rPr>
        <w:t>C</w:t>
      </w:r>
      <w:r w:rsidRPr="0026419E">
        <w:rPr>
          <w:rStyle w:val="da"/>
          <w:rFonts w:hint="eastAsia"/>
          <w:highlight w:val="white"/>
          <w:lang w:eastAsia="zh-CN"/>
        </w:rPr>
        <w:t>类基金资产净值的</w:t>
      </w:r>
      <w:r w:rsidRPr="0026419E">
        <w:rPr>
          <w:rStyle w:val="da"/>
          <w:highlight w:val="white"/>
          <w:lang w:eastAsia="zh-CN"/>
        </w:rPr>
        <w:t>0.40%</w:t>
      </w:r>
      <w:r w:rsidRPr="0026419E">
        <w:rPr>
          <w:rStyle w:val="da"/>
          <w:rFonts w:hint="eastAsia"/>
          <w:highlight w:val="white"/>
          <w:lang w:eastAsia="zh-CN"/>
        </w:rPr>
        <w:t>年费率计提。</w:t>
      </w:r>
    </w:p>
    <w:p w:rsidR="002B1026" w:rsidRPr="0026419E" w:rsidP="0026419E">
      <w:pPr>
        <w:spacing w:line="360" w:lineRule="auto"/>
        <w:ind w:firstLine="420"/>
        <w:rPr>
          <w:rStyle w:val="da"/>
          <w:highlight w:val="white"/>
          <w:lang w:eastAsia="zh-CN"/>
        </w:rPr>
      </w:pPr>
      <w:r w:rsidRPr="0026419E">
        <w:rPr>
          <w:rStyle w:val="da"/>
          <w:rFonts w:hint="eastAsia"/>
          <w:highlight w:val="white"/>
          <w:lang w:eastAsia="zh-CN"/>
        </w:rPr>
        <w:t>销售服务费的计算方法如下：</w:t>
      </w:r>
    </w:p>
    <w:p w:rsidR="002B1026" w:rsidRPr="0026419E" w:rsidP="0026419E">
      <w:pPr>
        <w:spacing w:line="360" w:lineRule="auto"/>
        <w:ind w:firstLine="420"/>
        <w:rPr>
          <w:rStyle w:val="da"/>
          <w:highlight w:val="white"/>
          <w:lang w:eastAsia="zh-CN"/>
        </w:rPr>
      </w:pPr>
      <w:r w:rsidRPr="0026419E">
        <w:rPr>
          <w:rStyle w:val="da"/>
          <w:highlight w:val="white"/>
          <w:lang w:eastAsia="zh-CN"/>
        </w:rPr>
        <w:t>H</w:t>
      </w:r>
      <w:r w:rsidRPr="0026419E">
        <w:rPr>
          <w:rStyle w:val="da"/>
          <w:rFonts w:hint="eastAsia"/>
          <w:highlight w:val="white"/>
          <w:lang w:eastAsia="zh-CN"/>
        </w:rPr>
        <w:t>＝</w:t>
      </w:r>
      <w:r w:rsidRPr="0026419E">
        <w:rPr>
          <w:rStyle w:val="da"/>
          <w:highlight w:val="white"/>
          <w:lang w:eastAsia="zh-CN"/>
        </w:rPr>
        <w:t>E</w:t>
      </w:r>
      <w:r w:rsidRPr="0026419E">
        <w:rPr>
          <w:rStyle w:val="da"/>
          <w:rFonts w:hint="eastAsia"/>
          <w:highlight w:val="white"/>
          <w:lang w:eastAsia="zh-CN"/>
        </w:rPr>
        <w:t>×</w:t>
      </w:r>
      <w:r w:rsidRPr="0026419E">
        <w:rPr>
          <w:rStyle w:val="da"/>
          <w:highlight w:val="white"/>
          <w:lang w:eastAsia="zh-CN"/>
        </w:rPr>
        <w:t>0.40%</w:t>
      </w:r>
      <w:r w:rsidRPr="0026419E">
        <w:rPr>
          <w:rStyle w:val="da"/>
          <w:rFonts w:hint="eastAsia"/>
          <w:highlight w:val="white"/>
          <w:lang w:eastAsia="zh-CN"/>
        </w:rPr>
        <w:t>÷当年天数</w:t>
      </w:r>
    </w:p>
    <w:p w:rsidR="002B1026" w:rsidRPr="0026419E" w:rsidP="0026419E">
      <w:pPr>
        <w:spacing w:line="360" w:lineRule="auto"/>
        <w:ind w:firstLine="420"/>
        <w:rPr>
          <w:rStyle w:val="da"/>
          <w:highlight w:val="white"/>
          <w:lang w:eastAsia="zh-CN"/>
        </w:rPr>
      </w:pPr>
      <w:r w:rsidRPr="0026419E">
        <w:rPr>
          <w:rStyle w:val="da"/>
          <w:highlight w:val="white"/>
          <w:lang w:eastAsia="zh-CN"/>
        </w:rPr>
        <w:t xml:space="preserve">H </w:t>
      </w:r>
      <w:r w:rsidRPr="0026419E">
        <w:rPr>
          <w:rStyle w:val="da"/>
          <w:rFonts w:hint="eastAsia"/>
          <w:highlight w:val="white"/>
          <w:lang w:eastAsia="zh-CN"/>
        </w:rPr>
        <w:t>为</w:t>
      </w:r>
      <w:r w:rsidRPr="0026419E">
        <w:rPr>
          <w:rStyle w:val="da"/>
          <w:highlight w:val="white"/>
          <w:lang w:eastAsia="zh-CN"/>
        </w:rPr>
        <w:t>C</w:t>
      </w:r>
      <w:r w:rsidRPr="0026419E">
        <w:rPr>
          <w:rStyle w:val="da"/>
          <w:rFonts w:hint="eastAsia"/>
          <w:highlight w:val="white"/>
          <w:lang w:eastAsia="zh-CN"/>
        </w:rPr>
        <w:t>类基金份额每日应计提的销售服务费</w:t>
      </w:r>
    </w:p>
    <w:p w:rsidR="002B1026" w:rsidRPr="0026419E" w:rsidP="0026419E">
      <w:pPr>
        <w:spacing w:line="360" w:lineRule="auto"/>
        <w:ind w:firstLine="420"/>
        <w:rPr>
          <w:rStyle w:val="da"/>
          <w:highlight w:val="white"/>
          <w:lang w:eastAsia="zh-CN"/>
        </w:rPr>
      </w:pPr>
      <w:r w:rsidRPr="0026419E">
        <w:rPr>
          <w:rStyle w:val="da"/>
          <w:highlight w:val="white"/>
          <w:lang w:eastAsia="zh-CN"/>
        </w:rPr>
        <w:t xml:space="preserve">E </w:t>
      </w:r>
      <w:r w:rsidRPr="0026419E">
        <w:rPr>
          <w:rStyle w:val="da"/>
          <w:rFonts w:hint="eastAsia"/>
          <w:highlight w:val="white"/>
          <w:lang w:eastAsia="zh-CN"/>
        </w:rPr>
        <w:t>为</w:t>
      </w:r>
      <w:r w:rsidRPr="0026419E">
        <w:rPr>
          <w:rStyle w:val="da"/>
          <w:highlight w:val="white"/>
          <w:lang w:eastAsia="zh-CN"/>
        </w:rPr>
        <w:t>C</w:t>
      </w:r>
      <w:r w:rsidRPr="0026419E">
        <w:rPr>
          <w:rStyle w:val="da"/>
          <w:rFonts w:hint="eastAsia"/>
          <w:highlight w:val="white"/>
          <w:lang w:eastAsia="zh-CN"/>
        </w:rPr>
        <w:t>类基金份额前一日基金资产净值</w:t>
      </w:r>
    </w:p>
    <w:p w:rsidR="002B1026" w:rsidRPr="0026419E" w:rsidP="0026419E">
      <w:pPr>
        <w:spacing w:line="360" w:lineRule="auto"/>
        <w:ind w:firstLine="420"/>
        <w:rPr>
          <w:rStyle w:val="da"/>
          <w:highlight w:val="white"/>
          <w:lang w:eastAsia="zh-CN"/>
        </w:rPr>
      </w:pPr>
      <w:r w:rsidRPr="0026419E">
        <w:rPr>
          <w:rStyle w:val="da"/>
          <w:rFonts w:hint="eastAsia"/>
          <w:highlight w:val="white"/>
          <w:lang w:eastAsia="zh-CN"/>
        </w:rPr>
        <w:t>销售服务费每日计提。</w:t>
      </w:r>
    </w:p>
    <w:p w:rsidR="002B1026" w:rsidRPr="0026419E" w:rsidP="0026419E">
      <w:pPr>
        <w:spacing w:line="360" w:lineRule="auto"/>
        <w:ind w:firstLine="420"/>
        <w:rPr>
          <w:rStyle w:val="da"/>
          <w:rFonts w:hAnsi="Calibri"/>
          <w:highlight w:val="white"/>
          <w:lang w:eastAsia="zh-CN"/>
        </w:rPr>
      </w:pPr>
      <w:r w:rsidRPr="0026419E">
        <w:rPr>
          <w:rStyle w:val="da"/>
          <w:rFonts w:hint="eastAsia"/>
          <w:highlight w:val="white"/>
          <w:lang w:eastAsia="zh-CN"/>
        </w:rPr>
        <w:t>（</w:t>
      </w:r>
      <w:r w:rsidRPr="0026419E">
        <w:rPr>
          <w:rStyle w:val="da"/>
          <w:highlight w:val="white"/>
          <w:lang w:eastAsia="zh-CN"/>
        </w:rPr>
        <w:t>1</w:t>
      </w:r>
      <w:r w:rsidRPr="0026419E">
        <w:rPr>
          <w:rStyle w:val="da"/>
          <w:rFonts w:hint="eastAsia"/>
          <w:highlight w:val="white"/>
          <w:lang w:eastAsia="zh-CN"/>
        </w:rPr>
        <w:t>）</w:t>
      </w:r>
      <w:r w:rsidRPr="0026419E">
        <w:rPr>
          <w:rStyle w:val="da"/>
          <w:rFonts w:hAnsi="Calibri"/>
          <w:highlight w:val="white"/>
          <w:lang w:eastAsia="zh-CN"/>
        </w:rPr>
        <w:t>通过</w:t>
      </w:r>
      <w:r w:rsidRPr="0026419E">
        <w:rPr>
          <w:rStyle w:val="da"/>
          <w:rFonts w:hAnsi="Calibri" w:hint="eastAsia"/>
          <w:highlight w:val="white"/>
          <w:lang w:eastAsia="zh-CN"/>
        </w:rPr>
        <w:t>基金</w:t>
      </w:r>
      <w:r w:rsidRPr="0026419E">
        <w:rPr>
          <w:rStyle w:val="da"/>
          <w:rFonts w:hAnsi="Calibri"/>
          <w:highlight w:val="white"/>
          <w:lang w:eastAsia="zh-CN"/>
        </w:rPr>
        <w:t>管理人</w:t>
      </w:r>
      <w:r w:rsidRPr="0026419E">
        <w:rPr>
          <w:rStyle w:val="da"/>
          <w:rFonts w:hAnsi="Calibri" w:hint="eastAsia"/>
          <w:highlight w:val="white"/>
          <w:lang w:eastAsia="zh-CN"/>
        </w:rPr>
        <w:t>或</w:t>
      </w:r>
      <w:r w:rsidRPr="0026419E">
        <w:rPr>
          <w:rStyle w:val="da"/>
          <w:rFonts w:hAnsi="Calibri"/>
          <w:highlight w:val="white"/>
          <w:lang w:eastAsia="zh-CN"/>
        </w:rPr>
        <w:t>其基金销售子公司投资的</w:t>
      </w:r>
      <w:r w:rsidRPr="0026419E">
        <w:rPr>
          <w:rStyle w:val="da"/>
          <w:rFonts w:hAnsi="Calibri"/>
          <w:highlight w:val="white"/>
          <w:lang w:eastAsia="zh-CN"/>
        </w:rPr>
        <w:t>C</w:t>
      </w:r>
      <w:r w:rsidRPr="0026419E">
        <w:rPr>
          <w:rStyle w:val="da"/>
          <w:rFonts w:hAnsi="Calibri" w:hint="eastAsia"/>
          <w:highlight w:val="white"/>
          <w:lang w:eastAsia="zh-CN"/>
        </w:rPr>
        <w:t>类</w:t>
      </w:r>
      <w:r w:rsidRPr="0026419E">
        <w:rPr>
          <w:rStyle w:val="da"/>
          <w:rFonts w:hAnsi="Calibri"/>
          <w:highlight w:val="white"/>
          <w:lang w:eastAsia="zh-CN"/>
        </w:rPr>
        <w:t>基金份额</w:t>
      </w:r>
    </w:p>
    <w:p w:rsidR="002B1026" w:rsidRPr="0026419E" w:rsidP="0026419E">
      <w:pPr>
        <w:spacing w:line="360" w:lineRule="auto"/>
        <w:ind w:firstLine="420"/>
        <w:rPr>
          <w:rStyle w:val="da"/>
          <w:highlight w:val="white"/>
          <w:lang w:eastAsia="zh-CN"/>
        </w:rPr>
      </w:pPr>
      <w:r w:rsidRPr="0026419E">
        <w:rPr>
          <w:rStyle w:val="da"/>
          <w:rFonts w:hint="eastAsia"/>
          <w:highlight w:val="white"/>
          <w:lang w:eastAsia="zh-CN"/>
        </w:rPr>
        <w:t>对于基金份额计提的销售服务费，在投资者赎回基金份额或基金合同终止时，随赎回款（或清算款）一并返还给投资者</w:t>
      </w:r>
      <w:r>
        <w:rPr>
          <w:rStyle w:val="da"/>
          <w:rFonts w:ascii="宋体" w:hAnsi="Calibri" w:hint="eastAsia"/>
          <w:lang w:eastAsia="zh-CN"/>
        </w:rPr>
        <w:t>；对于转换转出业务，销售服务费将作为转换转出份额对应的款项一并划转至转换转入的基金</w:t>
      </w:r>
      <w:r w:rsidRPr="0026419E">
        <w:rPr>
          <w:rStyle w:val="da"/>
          <w:rFonts w:hint="eastAsia"/>
          <w:highlight w:val="white"/>
          <w:lang w:eastAsia="zh-CN"/>
        </w:rPr>
        <w:t>。</w:t>
      </w:r>
    </w:p>
    <w:p w:rsidR="002B1026" w:rsidRPr="0026419E" w:rsidP="0026419E">
      <w:pPr>
        <w:spacing w:line="360" w:lineRule="auto"/>
        <w:ind w:firstLine="420"/>
        <w:rPr>
          <w:rStyle w:val="da"/>
          <w:highlight w:val="white"/>
          <w:lang w:eastAsia="zh-CN"/>
        </w:rPr>
      </w:pPr>
      <w:r w:rsidRPr="0026419E">
        <w:rPr>
          <w:rStyle w:val="da"/>
          <w:rFonts w:hint="eastAsia"/>
          <w:highlight w:val="white"/>
          <w:lang w:eastAsia="zh-CN"/>
        </w:rPr>
        <w:t>（</w:t>
      </w:r>
      <w:r w:rsidRPr="0026419E">
        <w:rPr>
          <w:rStyle w:val="da"/>
          <w:highlight w:val="white"/>
          <w:lang w:eastAsia="zh-CN"/>
        </w:rPr>
        <w:t>2</w:t>
      </w:r>
      <w:r w:rsidRPr="0026419E">
        <w:rPr>
          <w:rStyle w:val="da"/>
          <w:rFonts w:hint="eastAsia"/>
          <w:highlight w:val="white"/>
          <w:lang w:eastAsia="zh-CN"/>
        </w:rPr>
        <w:t>）</w:t>
      </w:r>
      <w:r w:rsidRPr="0026419E">
        <w:rPr>
          <w:rStyle w:val="da"/>
          <w:rFonts w:hAnsi="Calibri" w:hint="eastAsia"/>
          <w:highlight w:val="white"/>
          <w:lang w:eastAsia="zh-CN"/>
        </w:rPr>
        <w:t>通过其他销售机构投资的</w:t>
      </w:r>
      <w:r w:rsidRPr="0026419E">
        <w:rPr>
          <w:rStyle w:val="da"/>
          <w:rFonts w:hAnsi="Calibri"/>
          <w:highlight w:val="white"/>
          <w:lang w:eastAsia="zh-CN"/>
        </w:rPr>
        <w:t>C</w:t>
      </w:r>
      <w:r w:rsidRPr="0026419E">
        <w:rPr>
          <w:rStyle w:val="da"/>
          <w:rFonts w:hAnsi="Calibri" w:hint="eastAsia"/>
          <w:highlight w:val="white"/>
          <w:lang w:eastAsia="zh-CN"/>
        </w:rPr>
        <w:t>类基金份额</w:t>
      </w:r>
    </w:p>
    <w:p w:rsidR="00904B47" w:rsidRPr="003A55F6" w:rsidP="003A55F6">
      <w:pPr>
        <w:spacing w:line="360" w:lineRule="auto"/>
        <w:ind w:firstLine="420"/>
        <w:rPr>
          <w:rStyle w:val="da"/>
          <w:highlight w:val="white"/>
          <w:lang w:eastAsia="zh-CN"/>
        </w:rPr>
      </w:pPr>
      <w:r w:rsidRPr="003A55F6">
        <w:rPr>
          <w:rStyle w:val="da"/>
          <w:rFonts w:hint="eastAsia"/>
          <w:highlight w:val="white"/>
          <w:lang w:eastAsia="zh-CN"/>
        </w:rPr>
        <w:t>对于投资者持续持有期限不超过一年（即</w:t>
      </w:r>
      <w:r w:rsidRPr="003A55F6">
        <w:rPr>
          <w:rStyle w:val="da"/>
          <w:highlight w:val="white"/>
          <w:lang w:eastAsia="zh-CN"/>
        </w:rPr>
        <w:t>365</w:t>
      </w:r>
      <w:r w:rsidRPr="003A55F6">
        <w:rPr>
          <w:rStyle w:val="da"/>
          <w:rFonts w:hint="eastAsia"/>
          <w:highlight w:val="white"/>
          <w:lang w:eastAsia="zh-CN"/>
        </w:rPr>
        <w:t>天，下同）的基金份额计提的销售服务费，基金托管人按照与基金管理人协商一致的方式于次月前</w:t>
      </w:r>
      <w:r w:rsidRPr="003A55F6">
        <w:rPr>
          <w:rStyle w:val="da"/>
          <w:highlight w:val="white"/>
          <w:lang w:eastAsia="zh-CN"/>
        </w:rPr>
        <w:t>5</w:t>
      </w:r>
      <w:r w:rsidRPr="003A55F6">
        <w:rPr>
          <w:rStyle w:val="da"/>
          <w:rFonts w:hint="eastAsia"/>
          <w:highlight w:val="white"/>
          <w:lang w:eastAsia="zh-CN"/>
        </w:rPr>
        <w:t>个工作日内从基金财产中一次性支付。若遇法定节假日、休息日或不可抗力致使无法按时支付的，</w:t>
      </w:r>
      <w:r w:rsidR="007C7DD4">
        <w:rPr>
          <w:rStyle w:val="da"/>
          <w:rFonts w:hint="eastAsia"/>
          <w:highlight w:val="white"/>
          <w:lang w:eastAsia="zh-CN"/>
        </w:rPr>
        <w:t>支付日期顺延</w:t>
      </w:r>
      <w:r w:rsidRPr="003A55F6">
        <w:rPr>
          <w:rStyle w:val="da"/>
          <w:rFonts w:hint="eastAsia"/>
          <w:highlight w:val="white"/>
          <w:lang w:eastAsia="zh-CN"/>
        </w:rPr>
        <w:t>。</w:t>
      </w:r>
    </w:p>
    <w:p w:rsidR="002B1026" w:rsidRPr="0026419E" w:rsidP="0026419E">
      <w:pPr>
        <w:spacing w:line="360" w:lineRule="auto"/>
        <w:ind w:firstLine="420"/>
        <w:rPr>
          <w:rStyle w:val="da"/>
          <w:highlight w:val="white"/>
          <w:lang w:eastAsia="zh-CN"/>
        </w:rPr>
      </w:pPr>
      <w:r w:rsidRPr="0026419E">
        <w:rPr>
          <w:rStyle w:val="da"/>
          <w:rFonts w:hint="eastAsia"/>
          <w:highlight w:val="white"/>
          <w:lang w:eastAsia="zh-CN"/>
        </w:rPr>
        <w:t>对于持续持有期限超过一年的基金份额继续计提的销售服务费，在投资者赎回基金份额或基金合同终止时，随赎回款（或清算款）一并返还给投资者</w:t>
      </w:r>
      <w:r>
        <w:rPr>
          <w:rStyle w:val="da"/>
          <w:rFonts w:ascii="宋体" w:hAnsi="Calibri" w:hint="eastAsia"/>
          <w:lang w:eastAsia="zh-CN"/>
        </w:rPr>
        <w:t>；对于转换转出业务，销售服务费将作为转换转出份额对应的款项一并划转至转换转入的基金</w:t>
      </w:r>
      <w:r w:rsidRPr="0026419E">
        <w:rPr>
          <w:rStyle w:val="da"/>
          <w:rFonts w:hint="eastAsia"/>
          <w:highlight w:val="white"/>
          <w:lang w:eastAsia="zh-CN"/>
        </w:rPr>
        <w:t>。</w:t>
      </w:r>
    </w:p>
    <w:p w:rsidR="002B1026" w:rsidRPr="0026419E" w:rsidP="0026419E">
      <w:pPr>
        <w:spacing w:line="360" w:lineRule="auto"/>
        <w:ind w:firstLine="420"/>
        <w:rPr>
          <w:rStyle w:val="da"/>
          <w:highlight w:val="white"/>
          <w:lang w:eastAsia="zh-CN"/>
        </w:rPr>
      </w:pPr>
      <w:r w:rsidRPr="0026419E">
        <w:rPr>
          <w:rStyle w:val="da"/>
          <w:rFonts w:hint="eastAsia"/>
          <w:highlight w:val="white"/>
          <w:lang w:eastAsia="zh-CN"/>
        </w:rPr>
        <w:t>销售服务费计提后按规定收取或返还投资者的金额以登记机构的计算结果为准。</w:t>
      </w:r>
    </w:p>
    <w:p w:rsidR="002B1026" w:rsidRPr="0026419E" w:rsidP="0026419E">
      <w:pPr>
        <w:spacing w:line="360" w:lineRule="auto"/>
        <w:ind w:firstLine="420"/>
        <w:rPr>
          <w:rStyle w:val="da"/>
          <w:highlight w:val="white"/>
          <w:lang w:eastAsia="zh-CN"/>
        </w:rPr>
      </w:pPr>
      <w:r w:rsidRPr="0026419E">
        <w:rPr>
          <w:rStyle w:val="da"/>
          <w:rFonts w:hint="eastAsia"/>
          <w:highlight w:val="white"/>
          <w:lang w:eastAsia="zh-CN"/>
        </w:rPr>
        <w:t>上述“一、基金费用的种类”中第</w:t>
      </w:r>
      <w:r w:rsidRPr="0026419E">
        <w:rPr>
          <w:rStyle w:val="da"/>
          <w:highlight w:val="white"/>
          <w:lang w:eastAsia="zh-CN"/>
        </w:rPr>
        <w:t>4</w:t>
      </w:r>
      <w:r w:rsidRPr="0026419E">
        <w:rPr>
          <w:rStyle w:val="da"/>
          <w:rFonts w:hint="eastAsia"/>
          <w:highlight w:val="white"/>
          <w:lang w:eastAsia="zh-CN"/>
        </w:rPr>
        <w:t>－</w:t>
      </w:r>
      <w:r w:rsidRPr="0026419E">
        <w:rPr>
          <w:rStyle w:val="da"/>
          <w:highlight w:val="white"/>
          <w:lang w:eastAsia="zh-CN"/>
        </w:rPr>
        <w:t>11</w:t>
      </w:r>
      <w:r w:rsidRPr="0026419E">
        <w:rPr>
          <w:rStyle w:val="da"/>
          <w:rFonts w:hint="eastAsia"/>
          <w:highlight w:val="white"/>
          <w:lang w:eastAsia="zh-CN"/>
        </w:rPr>
        <w:t>项费用，根据有关法规及相应协议规定，按费用实际支出金额列入当期费用，由基金托管人从基金财产中支付。</w:t>
      </w:r>
    </w:p>
    <w:p w:rsidR="002B1026" w:rsidRPr="0026419E">
      <w:pPr>
        <w:spacing w:line="360" w:lineRule="auto"/>
        <w:ind w:firstLine="480"/>
        <w:rPr>
          <w:rStyle w:val="da"/>
          <w:highlight w:val="white"/>
          <w:lang w:eastAsia="zh-CN"/>
        </w:rPr>
      </w:pPr>
      <w:r>
        <w:rPr>
          <w:rStyle w:val="da"/>
          <w:rFonts w:ascii="宋体" w:hAnsi="Calibri"/>
          <w:highlight w:val="white"/>
          <w:lang w:eastAsia="zh-CN"/>
        </w:rPr>
        <w:t>三、基金管理人运用基金中基金财产申购自身管理的基金的（ETF除外），应当通过直销渠道申购且不得收取申购费、赎回费（按照相关法规、基金招募说明书约定应当收取，并记入基金财产的赎回费用除外）、销售服务费等销售费用。</w:t>
      </w:r>
      <w:r w:rsidRPr="0026419E">
        <w:rPr>
          <w:rStyle w:val="da"/>
          <w:rFonts w:hint="eastAsia"/>
          <w:highlight w:val="white"/>
          <w:lang w:eastAsia="zh-CN"/>
        </w:rPr>
        <w:t>基金管理人通过其基金销售子公司申购自身管理的基金的，按照本条要求执行。法律法规或监管机关另有规定的，从其规定。</w:t>
      </w:r>
    </w:p>
    <w:p w:rsidR="002B1026" w:rsidRPr="0026419E" w:rsidP="0026419E">
      <w:pPr>
        <w:spacing w:line="360" w:lineRule="auto"/>
        <w:ind w:firstLine="480"/>
        <w:rPr>
          <w:rStyle w:val="da"/>
          <w:rFonts w:ascii="宋体" w:hAnsi="Calibri"/>
          <w:highlight w:val="white"/>
          <w:lang w:eastAsia="zh-CN"/>
        </w:rPr>
      </w:pPr>
      <w:r>
        <w:rPr>
          <w:rStyle w:val="da"/>
          <w:rFonts w:ascii="宋体" w:hAnsi="Calibri" w:hint="eastAsia"/>
          <w:highlight w:val="white"/>
          <w:lang w:eastAsia="zh-CN"/>
        </w:rPr>
        <w:t>四、不列入基金费用的项目</w:t>
      </w:r>
    </w:p>
    <w:p w:rsidR="002B1026" w:rsidRPr="0026419E" w:rsidP="0026419E">
      <w:pPr>
        <w:spacing w:line="360" w:lineRule="auto"/>
        <w:ind w:firstLine="480"/>
        <w:rPr>
          <w:rStyle w:val="da"/>
          <w:rFonts w:ascii="宋体" w:hAnsi="Calibri"/>
          <w:highlight w:val="white"/>
          <w:lang w:eastAsia="zh-CN"/>
        </w:rPr>
      </w:pPr>
      <w:r>
        <w:rPr>
          <w:rStyle w:val="da"/>
          <w:rFonts w:ascii="宋体" w:hAnsi="Calibri" w:hint="eastAsia"/>
          <w:highlight w:val="white"/>
          <w:lang w:eastAsia="zh-CN"/>
        </w:rPr>
        <w:t>下列费用不列入基金费用：</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1、基金管理人和基金托管人因未履行或未完全履行义务导致的费用支出或基金财产的损失；</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2、基金管理人和基金托管人处理与基金运作无关的事项发生的费用；</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3、《基金合同》生效前的相关费用；</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4、其他根据相关法律法规及中国证监会的有关规定不得列入基金费用的项目。</w:t>
      </w:r>
    </w:p>
    <w:p w:rsidR="002B1026">
      <w:pPr>
        <w:spacing w:line="360" w:lineRule="auto"/>
        <w:ind w:firstLine="420"/>
        <w:rPr>
          <w:rStyle w:val="da"/>
          <w:rFonts w:ascii="宋体" w:hAnsi="Calibri"/>
          <w:lang w:eastAsia="zh-CN"/>
        </w:rPr>
      </w:pPr>
      <w:bookmarkStart w:id="1841" w:name="_Hlt88827255"/>
      <w:bookmarkStart w:id="1842" w:name="_Toc332373564"/>
      <w:bookmarkEnd w:id="1841"/>
      <w:r>
        <w:rPr>
          <w:rStyle w:val="da"/>
          <w:rFonts w:ascii="宋体" w:hAnsi="Calibri" w:hint="eastAsia"/>
          <w:highlight w:val="white"/>
          <w:lang w:eastAsia="zh-CN"/>
        </w:rPr>
        <w:t>五、实施侧袋机制期间的基金费用</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本基金实施侧袋机制的，与侧袋账户有关的费用可以从侧袋账户中列支，但应待侧袋账户资产变现后方可列支，有关费用可酌情收取或减免，但不得收取管理费。</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六、与基金销售有关的费用</w:t>
      </w:r>
    </w:p>
    <w:p w:rsidR="002B1026">
      <w:pPr>
        <w:spacing w:line="360" w:lineRule="auto"/>
        <w:ind w:firstLine="420"/>
        <w:rPr>
          <w:rStyle w:val="da"/>
          <w:rFonts w:ascii="宋体" w:hAnsi="Calibri"/>
          <w:lang w:eastAsia="zh-CN"/>
        </w:rPr>
      </w:pPr>
      <w:r>
        <w:rPr>
          <w:rStyle w:val="da"/>
          <w:rFonts w:ascii="宋体" w:hAnsi="Calibri"/>
          <w:highlight w:val="white"/>
          <w:lang w:eastAsia="zh-CN"/>
        </w:rPr>
        <w:t>1</w:t>
      </w:r>
      <w:r>
        <w:rPr>
          <w:rStyle w:val="da"/>
          <w:rFonts w:ascii="宋体" w:hAnsi="Calibri" w:hint="eastAsia"/>
          <w:highlight w:val="white"/>
          <w:lang w:eastAsia="zh-CN"/>
        </w:rPr>
        <w:t>、本基金认购费的费率水平、计算公式、收取方式和使用方式请详见本招募说明书“基金的募集安排”中“认购安排”中的相关规定。</w:t>
      </w:r>
    </w:p>
    <w:p w:rsidR="002B1026">
      <w:pPr>
        <w:spacing w:line="360" w:lineRule="auto"/>
        <w:ind w:firstLine="420"/>
        <w:rPr>
          <w:rStyle w:val="da"/>
          <w:rFonts w:ascii="宋体" w:hAnsi="Calibri"/>
          <w:lang w:eastAsia="zh-CN"/>
        </w:rPr>
      </w:pPr>
      <w:r>
        <w:rPr>
          <w:rStyle w:val="da"/>
          <w:rFonts w:ascii="宋体" w:hAnsi="Calibri"/>
          <w:highlight w:val="white"/>
          <w:lang w:eastAsia="zh-CN"/>
        </w:rPr>
        <w:t>2</w:t>
      </w:r>
      <w:r>
        <w:rPr>
          <w:rStyle w:val="da"/>
          <w:rFonts w:ascii="宋体" w:hAnsi="Calibri" w:hint="eastAsia"/>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七、基金税收</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bookmarkEnd w:id="1842"/>
    <w:p w:rsidR="002B1026">
      <w:pPr>
        <w:spacing w:line="360" w:lineRule="auto"/>
        <w:ind w:firstLine="420"/>
        <w:rPr>
          <w:rFonts w:ascii="宋体" w:hAnsi="Calibri"/>
          <w:bCs/>
          <w:szCs w:val="21"/>
          <w:lang w:eastAsia="zh-CN"/>
        </w:rPr>
      </w:pPr>
    </w:p>
    <w:p w:rsidR="002B1026">
      <w:pPr>
        <w:widowControl/>
        <w:jc w:val="left"/>
        <w:rPr>
          <w:rFonts w:ascii="宋体" w:hAnsi="Calibri"/>
          <w:sz w:val="30"/>
          <w:szCs w:val="32"/>
          <w:lang w:eastAsia="zh-CN"/>
        </w:rPr>
      </w:pPr>
      <w:r>
        <w:rPr>
          <w:rFonts w:ascii="宋体" w:hAnsi="Calibri"/>
          <w:sz w:val="30"/>
          <w:highlight w:val="white"/>
          <w:lang w:eastAsia="zh-CN"/>
        </w:rPr>
        <w:br w:type="page"/>
      </w:r>
    </w:p>
    <w:p w:rsidR="002B1026">
      <w:pPr>
        <w:pStyle w:val="Heading1"/>
        <w:spacing w:before="317" w:after="317" w:line="360" w:lineRule="auto"/>
        <w:ind w:firstLine="600"/>
        <w:rPr>
          <w:rFonts w:ascii="宋体" w:eastAsia="宋体" w:hAnsi="Calibri"/>
          <w:bCs/>
          <w:lang w:eastAsia="zh-CN"/>
        </w:rPr>
      </w:pPr>
      <w:bookmarkStart w:id="1843" w:name="_Toc227311251"/>
      <w:r>
        <w:rPr>
          <w:rFonts w:ascii="宋体" w:eastAsia="宋体" w:hAnsi="Calibri" w:hint="eastAsia"/>
          <w:sz w:val="30"/>
          <w:highlight w:val="white"/>
          <w:lang w:eastAsia="zh-CN"/>
        </w:rPr>
        <w:t>第十</w:t>
      </w:r>
      <w:bookmarkStart w:id="1844" w:name="_Toc332373566"/>
      <w:r>
        <w:rPr>
          <w:rFonts w:ascii="宋体" w:eastAsia="宋体" w:hAnsi="Calibri" w:hint="eastAsia"/>
          <w:sz w:val="30"/>
          <w:highlight w:val="white"/>
          <w:lang w:eastAsia="zh-CN"/>
        </w:rPr>
        <w:t>八部分 基金的会计与审计</w:t>
      </w:r>
      <w:bookmarkEnd w:id="1844"/>
      <w:bookmarkEnd w:id="1843"/>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一、基金会计政策</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1、基金管理人为本基金的基金会计责任方；</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2、基金的会计年度为公历年度的1月1日至12月31日；基金首次募集的会计年度按如下原则：如果《基金合同》生效少于2个月，可以并入下一个会计年度；</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3、基金核算以人民币为记账本位币，以人民币元为记账单位；</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4、会计制度执行国家有关会计制度；</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5、本基金独立建账、独立核算；</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6、基金管理人及基金托管人各自保留完整的会计账目、凭证并进行日常的会计核算，按照有关规定编制基金会计报表；</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7、基金托管人每月与基金管理人就基金的会计核算、报表编制等进行核对确认。</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二、基金的年度审计</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1、基金管理人聘请与基金管理人、基金托管人相互独立的符合《证券法》规定的会计师事务所及其注册会计师对本基金的年度财务报表进行审计。</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2、会计师事务所更换经办注册会计师，应事先征得基金管理人同意。</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3、基金管理人认为有充足理由更换会计师事务所，须通报基金托管人。更换会计师事务所需在2日内在规定媒介公告。</w:t>
      </w:r>
    </w:p>
    <w:p w:rsidR="002B1026">
      <w:pPr>
        <w:pStyle w:val="Heading1"/>
        <w:spacing w:before="317" w:after="317" w:line="360" w:lineRule="auto"/>
        <w:ind w:firstLine="420"/>
        <w:rPr>
          <w:rFonts w:ascii="宋体" w:eastAsia="宋体" w:hAnsi="Calibri"/>
          <w:sz w:val="30"/>
          <w:lang w:eastAsia="zh-CN"/>
        </w:rPr>
      </w:pPr>
      <w:bookmarkStart w:id="1845" w:name="_Hlt4221115"/>
      <w:bookmarkEnd w:id="1845"/>
      <w:r>
        <w:rPr>
          <w:rFonts w:ascii="宋体" w:eastAsia="宋体" w:hAnsi="Calibri"/>
          <w:sz w:val="21"/>
          <w:szCs w:val="21"/>
          <w:highlight w:val="white"/>
          <w:lang w:eastAsia="zh-CN"/>
        </w:rPr>
        <w:br w:type="column"/>
      </w:r>
      <w:bookmarkStart w:id="1846" w:name="_Toc227311252"/>
      <w:r>
        <w:rPr>
          <w:rFonts w:ascii="宋体" w:eastAsia="宋体" w:hAnsi="Calibri"/>
          <w:sz w:val="30"/>
          <w:highlight w:val="white"/>
          <w:lang w:eastAsia="zh-CN"/>
        </w:rPr>
        <w:t>第</w:t>
      </w:r>
      <w:r>
        <w:rPr>
          <w:rFonts w:ascii="宋体" w:eastAsia="宋体" w:hAnsi="Calibri" w:hint="eastAsia"/>
          <w:sz w:val="30"/>
          <w:highlight w:val="white"/>
          <w:lang w:eastAsia="zh-CN"/>
        </w:rPr>
        <w:t>十</w:t>
      </w:r>
      <w:bookmarkStart w:id="1847" w:name="_Toc332373569"/>
      <w:r>
        <w:rPr>
          <w:rFonts w:ascii="宋体" w:eastAsia="宋体" w:hAnsi="Calibri" w:hint="eastAsia"/>
          <w:sz w:val="30"/>
          <w:highlight w:val="white"/>
          <w:lang w:eastAsia="zh-CN"/>
        </w:rPr>
        <w:t>九部分 基金的信息披露</w:t>
      </w:r>
      <w:bookmarkEnd w:id="1847"/>
      <w:bookmarkEnd w:id="1846"/>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二、信息披露义务人</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三、本基金信息披露义务人承诺公开披露的基金信息，不得有下列行为：</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1、虚假记载、误导性陈述或者重大遗漏；</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2、对证券投资业绩进行预测；</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3、违规承诺收益或者承担损失；</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4、诋毁其他基金管理人、基金托管人或者基金销售机构；</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5、登载任何自然人、法人和非法人组织的祝贺性、恭维性或推荐性的文字；</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6、中国证监会禁止的其他行为。</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本基金公开披露的信息采用阿拉伯数字；除特别说明外，货币单位为人民币元。</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五、公开披露的基金信息</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公开披露的基金信息包括：</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（一）基金招募说明书、《基金合同》、基金托管协议、基金产品资料概要</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3、基金托管协议是界定基金托管人和基金管理人在基金财产保管及基金运作监督等活动中的权利、义务关系的法律文件。</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（二）基金份额发售公告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基金管理人应当就基金份额发售的具体事宜编制基金份额发售公告，并在披露招募说明书的当日登载于规定媒介上。</w:t>
      </w:r>
    </w:p>
    <w:p w:rsidR="002B1026">
      <w:pPr>
        <w:spacing w:line="360" w:lineRule="auto"/>
        <w:ind w:firstLine="420"/>
        <w:rPr>
          <w:rFonts w:ascii="宋体" w:hAnsi="Calibri"/>
          <w:bCs/>
          <w:szCs w:val="21"/>
        </w:rPr>
      </w:pPr>
      <w:r>
        <w:rPr>
          <w:rFonts w:ascii="宋体" w:hAnsi="Calibri" w:hint="eastAsia"/>
          <w:bCs/>
          <w:szCs w:val="21"/>
          <w:highlight w:val="white"/>
        </w:rPr>
        <w:t>（三）《基金合同》生效公告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基金管理人应当在收到中国证监会确认文件的次日在规定媒介上登载《基金合同》生效公告。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（四）基金净值信息</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《基金合同》生效后，在开始办理基金份额申购或者赎回前，基金管理人应当至少每周在规定网站披露一次基金份额净值和基金份额累计净值。</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在开始办理基金份额申购或者赎回后，基金管理人应当在T+3日内（T 日为开放日），通过规定网站、基金销售机构网站或者营业网点披露开放日的基金份额净值和基金份额累计净值。</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基金管理人应当在不晚于半年度和年度最后一日的三个工作日内，在规定网站披露半年度和年度最后一日的基金份额净值和基金份额累计净值。</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（五）基金份额申购、赎回价格</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（六）基金定期报告，包括基金年度报告、基金中期报告和基金季度报告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《基金合同》生效不足2个月的，基金管理人可以不编制当期季度报告、中期报告或者年度报告。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基金管理人应当在基金年度报告和中期报告中披露基金组合资产情况及其流动性风险分析等。</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（七）临时报告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本基金发生重大事件，有关信息披露义务人应当在2日内编制临时报告书，并登载在规定报刊和规定网站上。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前款所称重大事件，是指可能对基金份额持有人权益或者基金份额的价格产生重大影响的下列事件：</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1、基金份额持有人大会的召开及决定的事项；</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2、基金合同终止、基金清算；</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3、转换基金运作方式、基金合并；</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4、更换基金管理人、基金托管人、基金份额登记机构，基金改聘会计师事务所；</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6、基金管理人、基金托管人的法定名称、住所发生变更；</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7、基金管理公司变更持有百分之五以上股权的股东、基金管理人的实际控制人变更；</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8、基金募集期延长或提前结束募集；</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9、基金管理人的高级管理人员、基金经理和基金托管人专门基金托管部门负责人发生变动；</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11、涉及基金财产、基金管理业务、基金托管业务的诉讼或仲裁；</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14、基金收益分配事项；</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15、管理费、托管费、销售服务费、申购费、赎回费等费用计提标准、计提方式和费率发生变更；</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16、基金份额净值计价错误达基金份额净值百分之零点五；</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17、本基金开始办理申购、赎回；</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18、本基金发生巨额赎回并延期办理；</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19、本基金连续发生巨额赎回并暂停接受赎回申请或延缓支付赎回款项；</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20、本基金暂停接受申购、赎回申请或重新接受申购、赎回申请；</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21、调整基金份额类别的设置；</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22、基金推出新业务或服务；</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23、发生涉及基金申购、赎回事项调整或潜在影响投资者赎回等重大事项时；</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24、基金管理人采用摆动定价机制进行估值；</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25、基金信息披露义务人认为可能对基金份额持有人权益或者基金份额的价格产生重大影响的其他事项或中国证监会规定的其他事项。</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（八）澄清公告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（九）清算报告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（十）基金份额持有人大会决议</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基金份额持有人大会决定的事项，应当依法报中国证监会备案，并予以公告。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（十一）实施侧袋机制期间的信息披露</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（十二）基金管理人在定期报告和招募说明书等文件中设立专门章节披露所持有基金以下相关情况，并揭示相关风险：</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1、投资策略、持仓情况、损益情况、净值披露时间等；</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2、交易及持有基金产生的费用，包括申购费、赎回费、销售服务费、管理费、托管费等，招募说明书中应当列明计算方法并举例说明；</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3、本基金持有的基金发生的重大影响事件，如转换运作方式、与其他基金合并、终止基金合同以及召开基金份额持有人大会等；</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4、本基金投资于基金管理人以及基金管理人关联方所管理基金的情况。</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（十三）中国证监会规定的其他信息</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若本基金投资资产支持证券、港股通股票、港股通ETF，基金管理人将按相关法律法规要求进行披露。</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当相关法律法规关于上述信息披露的规定发生变化时，基金管理人将按最新规定进行信息披露。</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六、信息披露事务管理</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基金管理人、基金托管人应当建立健全信息披露管理制度，指定专门部门及高级管理人员负责管理信息披露事务。</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基金信息披露义务人公开披露基金信息，应当符合中国证监会相关基金信息披露内容与格式准则等法规的规定。</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七、信息披露文件的存放与查阅</w:t>
      </w:r>
    </w:p>
    <w:p w:rsidR="002B1026">
      <w:pPr>
        <w:spacing w:line="360" w:lineRule="auto"/>
        <w:ind w:firstLine="420"/>
        <w:rPr>
          <w:rFonts w:ascii="宋体" w:hAnsi="Calibri"/>
          <w:sz w:val="24"/>
          <w:lang w:eastAsia="zh-CN"/>
        </w:rPr>
      </w:pPr>
      <w:r>
        <w:rPr>
          <w:rFonts w:ascii="宋体" w:hAnsi="Calibri" w:hint="eastAsia"/>
          <w:bCs/>
          <w:szCs w:val="21"/>
          <w:highlight w:val="white"/>
          <w:lang w:eastAsia="zh-CN"/>
        </w:rPr>
        <w:t>依法必须披露的信息发布后，基金管理人、基金托管人应当按照相关法律法规规定将信息置备于公司办公场所，供社会公众查阅、复制。</w:t>
      </w:r>
    </w:p>
    <w:p w:rsidR="002B1026">
      <w:pPr>
        <w:widowControl/>
        <w:jc w:val="left"/>
        <w:rPr>
          <w:rFonts w:ascii="宋体" w:hAnsi="Calibri"/>
          <w:szCs w:val="21"/>
          <w:lang w:eastAsia="zh-CN"/>
        </w:rPr>
      </w:pPr>
      <w:r>
        <w:rPr>
          <w:rFonts w:ascii="宋体" w:hAnsi="Calibri"/>
          <w:szCs w:val="21"/>
          <w:highlight w:val="white"/>
          <w:lang w:eastAsia="zh-CN"/>
        </w:rPr>
        <w:br w:type="page"/>
      </w:r>
    </w:p>
    <w:p w:rsidR="002B1026">
      <w:pPr>
        <w:pStyle w:val="Heading1"/>
        <w:spacing w:before="240" w:after="240" w:line="360" w:lineRule="auto"/>
        <w:ind w:firstLine="600"/>
        <w:rPr>
          <w:rFonts w:ascii="宋体" w:eastAsia="宋体" w:hAnsi="Calibri"/>
          <w:lang w:eastAsia="zh-CN"/>
        </w:rPr>
      </w:pPr>
      <w:bookmarkStart w:id="1848" w:name="_Toc227311253"/>
      <w:r>
        <w:rPr>
          <w:rFonts w:ascii="宋体" w:eastAsia="宋体" w:hAnsi="Calibri" w:hint="eastAsia"/>
          <w:sz w:val="30"/>
          <w:highlight w:val="white"/>
          <w:lang w:eastAsia="zh-CN"/>
        </w:rPr>
        <w:t xml:space="preserve">第二十部分 </w:t>
      </w:r>
      <w:r>
        <w:rPr>
          <w:rFonts w:ascii="宋体" w:eastAsia="宋体" w:hAnsi="Calibri"/>
          <w:sz w:val="30"/>
          <w:highlight w:val="white"/>
          <w:lang w:eastAsia="zh-CN"/>
        </w:rPr>
        <w:t>基金持有其他基金的信息披</w:t>
      </w:r>
      <w:r>
        <w:rPr>
          <w:rFonts w:ascii="宋体" w:eastAsia="宋体" w:hAnsi="Calibri" w:hint="eastAsia"/>
          <w:sz w:val="30"/>
          <w:highlight w:val="white"/>
          <w:lang w:eastAsia="zh-CN"/>
        </w:rPr>
        <w:t>露</w:t>
      </w:r>
      <w:bookmarkEnd w:id="1848"/>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一、本基金持有基金的相关情况</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本基金应当在定期报告和招募说明书等文件中披露所持有基金的基本情况，包括该基金的投资政策、持仓情况、损益情况、净值披露时间、交易及持有基金产生的费用情况、持有的基金发生的重大影响事件、投资于管理人以及管理人关联方所管理基金的情况等。</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二、本基金交易及持有其他基金产生的费用</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1</w:t>
      </w:r>
      <w:r>
        <w:rPr>
          <w:rFonts w:ascii="宋体" w:hAnsi="Calibri" w:cs="宋体"/>
          <w:color w:val="000000"/>
          <w:szCs w:val="21"/>
          <w:highlight w:val="white"/>
          <w:lang w:eastAsia="zh-CN"/>
        </w:rPr>
        <w:t>、本基金交易及持有其他基金产生的费用种类</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1</w:t>
      </w:r>
      <w:r>
        <w:rPr>
          <w:rFonts w:ascii="宋体" w:hAnsi="Calibri" w:cs="宋体"/>
          <w:color w:val="000000"/>
          <w:szCs w:val="21"/>
          <w:highlight w:val="white"/>
          <w:lang w:eastAsia="zh-CN"/>
        </w:rPr>
        <w:t>）本基金申购其他基金的申购费；</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2</w:t>
      </w:r>
      <w:r>
        <w:rPr>
          <w:rFonts w:ascii="宋体" w:hAnsi="Calibri" w:cs="宋体"/>
          <w:color w:val="000000"/>
          <w:szCs w:val="21"/>
          <w:highlight w:val="white"/>
          <w:lang w:eastAsia="zh-CN"/>
        </w:rPr>
        <w:t>）本基金赎回其他基金的赎回费；</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3</w:t>
      </w:r>
      <w:r>
        <w:rPr>
          <w:rFonts w:ascii="宋体" w:hAnsi="Calibri" w:cs="宋体"/>
          <w:color w:val="000000"/>
          <w:szCs w:val="21"/>
          <w:highlight w:val="white"/>
          <w:lang w:eastAsia="zh-CN"/>
        </w:rPr>
        <w:t>）本基金持有其他基金产生的销售服务费；</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4</w:t>
      </w:r>
      <w:r>
        <w:rPr>
          <w:rFonts w:ascii="宋体" w:hAnsi="Calibri" w:cs="宋体"/>
          <w:color w:val="000000"/>
          <w:szCs w:val="21"/>
          <w:highlight w:val="white"/>
          <w:lang w:eastAsia="zh-CN"/>
        </w:rPr>
        <w:t>）本基金持有其他基金产生的管理费；</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5</w:t>
      </w:r>
      <w:r>
        <w:rPr>
          <w:rFonts w:ascii="宋体" w:hAnsi="Calibri" w:cs="宋体"/>
          <w:color w:val="000000"/>
          <w:szCs w:val="21"/>
          <w:highlight w:val="white"/>
          <w:lang w:eastAsia="zh-CN"/>
        </w:rPr>
        <w:t>）本基金持有其他基金产生的托管费；</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6</w:t>
      </w:r>
      <w:r>
        <w:rPr>
          <w:rFonts w:ascii="宋体" w:hAnsi="Calibri" w:cs="宋体"/>
          <w:color w:val="000000"/>
          <w:szCs w:val="21"/>
          <w:highlight w:val="white"/>
          <w:lang w:eastAsia="zh-CN"/>
        </w:rPr>
        <w:t>）本基金通过场内交易其他基金产生的交易费用；</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7</w:t>
      </w:r>
      <w:r>
        <w:rPr>
          <w:rFonts w:ascii="宋体" w:hAnsi="Calibri" w:cs="宋体"/>
          <w:color w:val="000000"/>
          <w:szCs w:val="21"/>
          <w:highlight w:val="white"/>
          <w:lang w:eastAsia="zh-CN"/>
        </w:rPr>
        <w:t>）按照法律法规或监管部门的有关规定和所持有基金的《基金合同》的约定，在所持有的基金的财产中列支的其他费用。</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本基金交易及持有其他基金的具体费用种类、费率标准、计算规则及保留位数等事项，以所交易及持有的其他基金的基金合同、招募说明书、相关公告等文件为准。</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2</w:t>
      </w:r>
      <w:r>
        <w:rPr>
          <w:rFonts w:ascii="宋体" w:hAnsi="Calibri" w:cs="宋体"/>
          <w:color w:val="000000"/>
          <w:szCs w:val="21"/>
          <w:highlight w:val="white"/>
          <w:lang w:eastAsia="zh-CN"/>
        </w:rPr>
        <w:t>、本基金交易及持有其他基金产生的费用的计算方法及举例说明</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1</w:t>
      </w:r>
      <w:r>
        <w:rPr>
          <w:rFonts w:ascii="宋体" w:hAnsi="Calibri" w:cs="宋体"/>
          <w:color w:val="000000"/>
          <w:szCs w:val="21"/>
          <w:highlight w:val="white"/>
          <w:lang w:eastAsia="zh-CN"/>
        </w:rPr>
        <w:t>）本基金申购其他基金的申购费的计算方法</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1</w:t>
      </w:r>
      <w:r>
        <w:rPr>
          <w:rFonts w:ascii="宋体" w:hAnsi="Calibri" w:cs="宋体"/>
          <w:color w:val="000000"/>
          <w:szCs w:val="21"/>
          <w:highlight w:val="white"/>
          <w:lang w:eastAsia="zh-CN"/>
        </w:rPr>
        <w:t>）本基金申购本基金管理人管理的基金（</w:t>
      </w:r>
      <w:r>
        <w:rPr>
          <w:rFonts w:ascii="宋体" w:hAnsi="Calibri"/>
          <w:color w:val="000000"/>
          <w:szCs w:val="21"/>
          <w:highlight w:val="white"/>
          <w:lang w:eastAsia="zh-CN"/>
        </w:rPr>
        <w:t>ETF</w:t>
      </w:r>
      <w:r>
        <w:rPr>
          <w:rFonts w:ascii="宋体" w:hAnsi="Calibri" w:cs="宋体"/>
          <w:color w:val="000000"/>
          <w:szCs w:val="21"/>
          <w:highlight w:val="white"/>
          <w:lang w:eastAsia="zh-CN"/>
        </w:rPr>
        <w:t>除外），应当通过基金管理人直销渠道申购且不收取申购费。</w:t>
      </w:r>
      <w:r>
        <w:rPr>
          <w:rFonts w:ascii="宋体" w:hAnsi="Calibri" w:cs="宋体" w:hint="eastAsia"/>
          <w:color w:val="000000"/>
          <w:szCs w:val="21"/>
          <w:highlight w:val="white"/>
          <w:lang w:eastAsia="zh-CN"/>
        </w:rPr>
        <w:t>基金管理人通过其基金销售子公司申购自身管理的基金的，按照本条要求执行。法律法规或监管机关另有规定的，从其规定。</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2</w:t>
      </w:r>
      <w:r>
        <w:rPr>
          <w:rFonts w:ascii="宋体" w:hAnsi="Calibri" w:cs="宋体"/>
          <w:color w:val="000000"/>
          <w:szCs w:val="21"/>
          <w:highlight w:val="white"/>
          <w:lang w:eastAsia="zh-CN"/>
        </w:rPr>
        <w:t>）本基金申购非本基金管理人管理的基金，本基金按规定所需支付的申购费的计算方法应遵循被投资基金招募说明书的规定。以</w:t>
      </w:r>
      <w:r>
        <w:rPr>
          <w:rFonts w:ascii="宋体" w:hAnsi="Calibri" w:cs="宋体" w:hint="eastAsia"/>
          <w:color w:val="000000"/>
          <w:szCs w:val="21"/>
          <w:highlight w:val="white"/>
          <w:lang w:eastAsia="zh-CN"/>
        </w:rPr>
        <w:t>本基金通过被投资基金管理人及其基金销售子公司以外的销售机构申购前端收费的被投基金为例</w:t>
      </w:r>
      <w:r>
        <w:rPr>
          <w:rFonts w:ascii="宋体" w:hAnsi="Calibri" w:cs="宋体"/>
          <w:color w:val="000000"/>
          <w:szCs w:val="21"/>
          <w:highlight w:val="white"/>
          <w:lang w:eastAsia="zh-CN"/>
        </w:rPr>
        <w:t>，申购费及申购份额计算方法及举例如下：</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①</w:t>
      </w:r>
      <w:r>
        <w:rPr>
          <w:rFonts w:ascii="宋体" w:hAnsi="Calibri" w:cs="宋体"/>
          <w:color w:val="000000"/>
          <w:szCs w:val="21"/>
          <w:highlight w:val="white"/>
          <w:lang w:eastAsia="zh-CN"/>
        </w:rPr>
        <w:t>当被投资基金的申购费用适用比例费率时，申购费用及申购份额的计算方法如下：</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净申购金额</w:t>
      </w:r>
      <w:r>
        <w:rPr>
          <w:rFonts w:ascii="宋体" w:hAnsi="Calibri"/>
          <w:color w:val="000000"/>
          <w:szCs w:val="21"/>
          <w:highlight w:val="white"/>
          <w:lang w:eastAsia="zh-CN"/>
        </w:rPr>
        <w:t>=</w:t>
      </w:r>
      <w:r>
        <w:rPr>
          <w:rFonts w:ascii="宋体" w:hAnsi="Calibri" w:cs="宋体"/>
          <w:color w:val="000000"/>
          <w:szCs w:val="21"/>
          <w:highlight w:val="white"/>
          <w:lang w:eastAsia="zh-CN"/>
        </w:rPr>
        <w:t>申购金额</w:t>
      </w:r>
      <w:r>
        <w:rPr>
          <w:rFonts w:ascii="宋体" w:hAnsi="Calibri"/>
          <w:color w:val="000000"/>
          <w:szCs w:val="21"/>
          <w:highlight w:val="white"/>
          <w:lang w:eastAsia="zh-CN"/>
        </w:rPr>
        <w:t>/</w:t>
      </w:r>
      <w:r>
        <w:rPr>
          <w:rFonts w:ascii="宋体" w:hAnsi="Calibri" w:cs="宋体"/>
          <w:color w:val="000000"/>
          <w:szCs w:val="21"/>
          <w:highlight w:val="white"/>
          <w:lang w:eastAsia="zh-CN"/>
        </w:rPr>
        <w:t>（</w:t>
      </w:r>
      <w:r>
        <w:rPr>
          <w:rFonts w:ascii="宋体" w:hAnsi="Calibri"/>
          <w:color w:val="000000"/>
          <w:szCs w:val="21"/>
          <w:highlight w:val="white"/>
          <w:lang w:eastAsia="zh-CN"/>
        </w:rPr>
        <w:t>1+</w:t>
      </w:r>
      <w:r>
        <w:rPr>
          <w:rFonts w:ascii="宋体" w:hAnsi="Calibri" w:cs="宋体"/>
          <w:color w:val="000000"/>
          <w:szCs w:val="21"/>
          <w:highlight w:val="white"/>
          <w:lang w:eastAsia="zh-CN"/>
        </w:rPr>
        <w:t>申购费率）</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申购费用</w:t>
      </w:r>
      <w:r>
        <w:rPr>
          <w:rFonts w:ascii="宋体" w:hAnsi="Calibri"/>
          <w:color w:val="000000"/>
          <w:szCs w:val="21"/>
          <w:highlight w:val="white"/>
          <w:lang w:eastAsia="zh-CN"/>
        </w:rPr>
        <w:t>=</w:t>
      </w:r>
      <w:r>
        <w:rPr>
          <w:rFonts w:ascii="宋体" w:hAnsi="Calibri" w:cs="宋体"/>
          <w:color w:val="000000"/>
          <w:szCs w:val="21"/>
          <w:highlight w:val="white"/>
          <w:lang w:eastAsia="zh-CN"/>
        </w:rPr>
        <w:t>申购金额</w:t>
      </w:r>
      <w:r>
        <w:rPr>
          <w:rFonts w:ascii="宋体" w:hAnsi="Calibri"/>
          <w:color w:val="000000"/>
          <w:szCs w:val="21"/>
          <w:highlight w:val="white"/>
          <w:lang w:eastAsia="zh-CN"/>
        </w:rPr>
        <w:t>-</w:t>
      </w:r>
      <w:r>
        <w:rPr>
          <w:rFonts w:ascii="宋体" w:hAnsi="Calibri" w:cs="宋体"/>
          <w:color w:val="000000"/>
          <w:szCs w:val="21"/>
          <w:highlight w:val="white"/>
          <w:lang w:eastAsia="zh-CN"/>
        </w:rPr>
        <w:t>净申购金额</w:t>
      </w:r>
    </w:p>
    <w:p w:rsidR="002B1026">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申购份额</w:t>
      </w:r>
      <w:r>
        <w:rPr>
          <w:rFonts w:ascii="宋体" w:hAnsi="Calibri"/>
          <w:color w:val="000000"/>
          <w:szCs w:val="21"/>
          <w:highlight w:val="white"/>
          <w:lang w:eastAsia="zh-CN"/>
        </w:rPr>
        <w:t>=</w:t>
      </w:r>
      <w:r>
        <w:rPr>
          <w:rFonts w:ascii="宋体" w:hAnsi="Calibri" w:cs="宋体"/>
          <w:color w:val="000000"/>
          <w:szCs w:val="21"/>
          <w:highlight w:val="white"/>
          <w:lang w:eastAsia="zh-CN"/>
        </w:rPr>
        <w:t>净申购金额</w:t>
      </w:r>
      <w:r>
        <w:rPr>
          <w:rFonts w:ascii="宋体" w:hAnsi="Calibri"/>
          <w:color w:val="000000"/>
          <w:szCs w:val="21"/>
          <w:highlight w:val="white"/>
          <w:lang w:eastAsia="zh-CN"/>
        </w:rPr>
        <w:t>/ T</w:t>
      </w:r>
      <w:r>
        <w:rPr>
          <w:rFonts w:ascii="宋体" w:hAnsi="Calibri" w:cs="宋体"/>
          <w:color w:val="000000"/>
          <w:szCs w:val="21"/>
          <w:highlight w:val="white"/>
          <w:lang w:eastAsia="zh-CN"/>
        </w:rPr>
        <w:t>日该类基金份额的基金份额净值</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②</w:t>
      </w:r>
      <w:r>
        <w:rPr>
          <w:rFonts w:ascii="宋体" w:hAnsi="Calibri" w:cs="宋体"/>
          <w:color w:val="000000"/>
          <w:szCs w:val="21"/>
          <w:highlight w:val="white"/>
          <w:lang w:eastAsia="zh-CN"/>
        </w:rPr>
        <w:t>当被投资基金的申购费用适用固定金额时，申购费用及申购份额的计算方法如下：</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净申购金额＝申购金额－固定申购费金额</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申购份额</w:t>
      </w:r>
      <w:r>
        <w:rPr>
          <w:rFonts w:ascii="宋体" w:hAnsi="Calibri"/>
          <w:color w:val="000000"/>
          <w:szCs w:val="21"/>
          <w:highlight w:val="white"/>
          <w:lang w:eastAsia="zh-CN"/>
        </w:rPr>
        <w:t>=</w:t>
      </w:r>
      <w:r>
        <w:rPr>
          <w:rFonts w:ascii="宋体" w:hAnsi="Calibri" w:cs="宋体"/>
          <w:color w:val="000000"/>
          <w:szCs w:val="21"/>
          <w:highlight w:val="white"/>
          <w:lang w:eastAsia="zh-CN"/>
        </w:rPr>
        <w:t>净申购金额</w:t>
      </w:r>
      <w:r>
        <w:rPr>
          <w:rFonts w:ascii="宋体" w:hAnsi="Calibri"/>
          <w:color w:val="000000"/>
          <w:szCs w:val="21"/>
          <w:highlight w:val="white"/>
          <w:lang w:eastAsia="zh-CN"/>
        </w:rPr>
        <w:t>/ T</w:t>
      </w:r>
      <w:r>
        <w:rPr>
          <w:rFonts w:ascii="宋体" w:hAnsi="Calibri" w:cs="宋体"/>
          <w:color w:val="000000"/>
          <w:szCs w:val="21"/>
          <w:highlight w:val="white"/>
          <w:lang w:eastAsia="zh-CN"/>
        </w:rPr>
        <w:t>日该类基金份额的基金份额净值</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例一：假设非本基金管理人管理的</w:t>
      </w:r>
      <w:r>
        <w:rPr>
          <w:rFonts w:ascii="宋体" w:hAnsi="Calibri"/>
          <w:color w:val="000000"/>
          <w:szCs w:val="21"/>
          <w:highlight w:val="white"/>
          <w:lang w:eastAsia="zh-CN"/>
        </w:rPr>
        <w:t>F</w:t>
      </w:r>
      <w:r>
        <w:rPr>
          <w:rFonts w:ascii="宋体" w:hAnsi="Calibri" w:cs="宋体"/>
          <w:color w:val="000000"/>
          <w:szCs w:val="21"/>
          <w:highlight w:val="white"/>
          <w:lang w:eastAsia="zh-CN"/>
        </w:rPr>
        <w:t>基金收取前端申购费，该基金的申购费费率结构如下表所示：</w:t>
      </w:r>
    </w:p>
    <w:tbl>
      <w:tblPr>
        <w:tblStyle w:val="TableGrid"/>
        <w:tblW w:w="75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4"/>
        <w:gridCol w:w="3760"/>
      </w:tblGrid>
      <w:tr>
        <w:tblPrEx>
          <w:tblW w:w="75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25"/>
          <w:jc w:val="center"/>
        </w:trPr>
        <w:tc>
          <w:tcPr>
            <w:tcW w:w="37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B1026">
            <w:pPr>
              <w:spacing w:line="360" w:lineRule="auto"/>
              <w:jc w:val="center"/>
              <w:rPr>
                <w:rFonts w:ascii="宋体" w:hAnsi="Calibri"/>
                <w:szCs w:val="21"/>
                <w:lang w:eastAsia="zh-CN"/>
              </w:rPr>
            </w:pPr>
            <w:r>
              <w:rPr>
                <w:rFonts w:ascii="宋体" w:hAnsi="Calibri" w:cs="宋体"/>
                <w:color w:val="000000"/>
                <w:szCs w:val="21"/>
                <w:highlight w:val="white"/>
                <w:lang w:eastAsia="zh-CN"/>
              </w:rPr>
              <w:t>申购金额</w:t>
            </w:r>
            <w:r>
              <w:rPr>
                <w:rFonts w:ascii="宋体" w:hAnsi="Calibri"/>
                <w:color w:val="000000"/>
                <w:szCs w:val="21"/>
                <w:highlight w:val="white"/>
                <w:lang w:eastAsia="zh-CN"/>
              </w:rPr>
              <w:t>M</w:t>
            </w:r>
            <w:r>
              <w:rPr>
                <w:rFonts w:ascii="宋体" w:hAnsi="Calibri" w:cs="宋体"/>
                <w:color w:val="000000"/>
                <w:szCs w:val="21"/>
                <w:highlight w:val="white"/>
                <w:lang w:eastAsia="zh-CN"/>
              </w:rPr>
              <w:t>（元）（含申购费）</w:t>
            </w:r>
          </w:p>
        </w:tc>
        <w:tc>
          <w:tcPr>
            <w:tcW w:w="37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B1026">
            <w:pPr>
              <w:spacing w:line="360" w:lineRule="auto"/>
              <w:jc w:val="center"/>
              <w:rPr>
                <w:rFonts w:ascii="宋体" w:hAnsi="Calibri"/>
                <w:szCs w:val="21"/>
              </w:rPr>
            </w:pPr>
            <w:r>
              <w:rPr>
                <w:rFonts w:ascii="宋体" w:hAnsi="Calibri" w:cs="宋体"/>
                <w:color w:val="000000"/>
                <w:szCs w:val="21"/>
                <w:highlight w:val="white"/>
              </w:rPr>
              <w:t>申购费率</w:t>
            </w:r>
          </w:p>
        </w:tc>
      </w:tr>
      <w:tr>
        <w:tblPrEx>
          <w:tblW w:w="7554" w:type="dxa"/>
          <w:jc w:val="center"/>
          <w:tblLayout w:type="fixed"/>
          <w:tblLook w:val="04A0"/>
        </w:tblPrEx>
        <w:trPr>
          <w:trHeight w:val="300"/>
          <w:jc w:val="center"/>
        </w:trPr>
        <w:tc>
          <w:tcPr>
            <w:tcW w:w="37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B1026">
            <w:pPr>
              <w:spacing w:line="360" w:lineRule="auto"/>
              <w:jc w:val="center"/>
              <w:rPr>
                <w:rFonts w:ascii="宋体" w:hAnsi="Calibri"/>
                <w:szCs w:val="21"/>
              </w:rPr>
            </w:pPr>
            <w:r>
              <w:rPr>
                <w:rFonts w:ascii="宋体" w:hAnsi="Calibri"/>
                <w:color w:val="000000"/>
                <w:szCs w:val="21"/>
                <w:highlight w:val="white"/>
              </w:rPr>
              <w:t>M</w:t>
            </w:r>
            <w:r>
              <w:rPr>
                <w:rFonts w:ascii="宋体" w:hAnsi="Calibri" w:cs="宋体"/>
                <w:color w:val="000000"/>
                <w:szCs w:val="21"/>
                <w:highlight w:val="white"/>
              </w:rPr>
              <w:t>＜</w:t>
            </w:r>
            <w:r>
              <w:rPr>
                <w:rFonts w:ascii="宋体" w:hAnsi="Calibri"/>
                <w:color w:val="000000"/>
                <w:szCs w:val="21"/>
                <w:highlight w:val="white"/>
              </w:rPr>
              <w:t>100</w:t>
            </w:r>
            <w:r>
              <w:rPr>
                <w:rFonts w:ascii="宋体" w:hAnsi="Calibri" w:cs="宋体"/>
                <w:color w:val="000000"/>
                <w:szCs w:val="21"/>
                <w:highlight w:val="white"/>
              </w:rPr>
              <w:t>万</w:t>
            </w:r>
          </w:p>
        </w:tc>
        <w:tc>
          <w:tcPr>
            <w:tcW w:w="3760" w:type="dxa"/>
            <w:tcBorders>
              <w:top w:val="nil"/>
              <w:left w:val="nil"/>
              <w:bottom w:val="single" w:sz="8" w:space="0" w:color="000000"/>
              <w:right w:val="single" w:sz="8" w:space="0" w:color="000000"/>
            </w:tcBorders>
            <w:tcMar>
              <w:top w:w="0" w:type="dxa"/>
              <w:left w:w="108" w:type="dxa"/>
              <w:bottom w:w="0" w:type="dxa"/>
              <w:right w:w="108" w:type="dxa"/>
            </w:tcMar>
          </w:tcPr>
          <w:p w:rsidR="002B1026">
            <w:pPr>
              <w:spacing w:line="360" w:lineRule="auto"/>
              <w:jc w:val="center"/>
              <w:rPr>
                <w:rFonts w:ascii="宋体" w:hAnsi="Calibri"/>
                <w:szCs w:val="21"/>
              </w:rPr>
            </w:pPr>
            <w:r>
              <w:rPr>
                <w:rFonts w:ascii="宋体" w:hAnsi="Calibri"/>
                <w:color w:val="000000"/>
                <w:szCs w:val="21"/>
                <w:highlight w:val="white"/>
              </w:rPr>
              <w:t>0.5%</w:t>
            </w:r>
          </w:p>
        </w:tc>
      </w:tr>
      <w:tr>
        <w:tblPrEx>
          <w:tblW w:w="7554" w:type="dxa"/>
          <w:jc w:val="center"/>
          <w:tblLayout w:type="fixed"/>
          <w:tblLook w:val="04A0"/>
        </w:tblPrEx>
        <w:trPr>
          <w:trHeight w:val="300"/>
          <w:jc w:val="center"/>
        </w:trPr>
        <w:tc>
          <w:tcPr>
            <w:tcW w:w="37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B1026">
            <w:pPr>
              <w:spacing w:line="360" w:lineRule="auto"/>
              <w:jc w:val="center"/>
              <w:rPr>
                <w:rFonts w:ascii="宋体" w:hAnsi="Calibri"/>
                <w:szCs w:val="21"/>
              </w:rPr>
            </w:pPr>
            <w:r>
              <w:rPr>
                <w:rFonts w:ascii="宋体" w:hAnsi="Calibri"/>
                <w:color w:val="000000"/>
                <w:szCs w:val="21"/>
                <w:highlight w:val="white"/>
              </w:rPr>
              <w:t>100</w:t>
            </w:r>
            <w:r>
              <w:rPr>
                <w:rFonts w:ascii="宋体" w:hAnsi="Calibri" w:cs="宋体"/>
                <w:color w:val="000000"/>
                <w:szCs w:val="21"/>
                <w:highlight w:val="white"/>
              </w:rPr>
              <w:t>万</w:t>
            </w:r>
            <w:r>
              <w:rPr>
                <w:rFonts w:ascii="宋体" w:hAnsi="Calibri" w:cs="宋体"/>
                <w:color w:val="000000"/>
                <w:szCs w:val="21"/>
                <w:highlight w:val="white"/>
              </w:rPr>
              <w:t>≤</w:t>
            </w:r>
            <w:r>
              <w:rPr>
                <w:rFonts w:ascii="宋体" w:hAnsi="Calibri"/>
                <w:color w:val="000000"/>
                <w:szCs w:val="21"/>
                <w:highlight w:val="white"/>
              </w:rPr>
              <w:t>M</w:t>
            </w:r>
            <w:r>
              <w:rPr>
                <w:rFonts w:ascii="宋体" w:hAnsi="Calibri" w:cs="宋体"/>
                <w:color w:val="000000"/>
                <w:szCs w:val="21"/>
                <w:highlight w:val="white"/>
              </w:rPr>
              <w:t>＜</w:t>
            </w:r>
            <w:r>
              <w:rPr>
                <w:rFonts w:ascii="宋体" w:hAnsi="Calibri"/>
                <w:color w:val="000000"/>
                <w:szCs w:val="21"/>
                <w:highlight w:val="white"/>
              </w:rPr>
              <w:t>500</w:t>
            </w:r>
            <w:r>
              <w:rPr>
                <w:rFonts w:ascii="宋体" w:hAnsi="Calibri" w:cs="宋体"/>
                <w:color w:val="000000"/>
                <w:szCs w:val="21"/>
                <w:highlight w:val="white"/>
              </w:rPr>
              <w:t>万</w:t>
            </w:r>
          </w:p>
        </w:tc>
        <w:tc>
          <w:tcPr>
            <w:tcW w:w="3760" w:type="dxa"/>
            <w:tcBorders>
              <w:top w:val="nil"/>
              <w:left w:val="nil"/>
              <w:bottom w:val="single" w:sz="8" w:space="0" w:color="000000"/>
              <w:right w:val="single" w:sz="8" w:space="0" w:color="000000"/>
            </w:tcBorders>
            <w:tcMar>
              <w:top w:w="0" w:type="dxa"/>
              <w:left w:w="108" w:type="dxa"/>
              <w:bottom w:w="0" w:type="dxa"/>
              <w:right w:w="108" w:type="dxa"/>
            </w:tcMar>
          </w:tcPr>
          <w:p w:rsidR="002B1026">
            <w:pPr>
              <w:spacing w:line="360" w:lineRule="auto"/>
              <w:jc w:val="center"/>
              <w:rPr>
                <w:rFonts w:ascii="宋体" w:hAnsi="Calibri"/>
                <w:szCs w:val="21"/>
              </w:rPr>
            </w:pPr>
            <w:r>
              <w:rPr>
                <w:rFonts w:ascii="宋体" w:hAnsi="Calibri"/>
                <w:color w:val="000000"/>
                <w:szCs w:val="21"/>
                <w:highlight w:val="white"/>
              </w:rPr>
              <w:t>0.3%</w:t>
            </w:r>
          </w:p>
        </w:tc>
      </w:tr>
      <w:tr>
        <w:tblPrEx>
          <w:tblW w:w="7554" w:type="dxa"/>
          <w:jc w:val="center"/>
          <w:tblLayout w:type="fixed"/>
          <w:tblLook w:val="04A0"/>
        </w:tblPrEx>
        <w:trPr>
          <w:trHeight w:val="300"/>
          <w:jc w:val="center"/>
        </w:trPr>
        <w:tc>
          <w:tcPr>
            <w:tcW w:w="379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B1026">
            <w:pPr>
              <w:spacing w:line="360" w:lineRule="auto"/>
              <w:jc w:val="center"/>
              <w:rPr>
                <w:rFonts w:ascii="宋体" w:hAnsi="Calibri"/>
                <w:szCs w:val="21"/>
              </w:rPr>
            </w:pPr>
            <w:r>
              <w:rPr>
                <w:rFonts w:ascii="宋体" w:hAnsi="Calibri"/>
                <w:color w:val="000000"/>
                <w:szCs w:val="21"/>
                <w:highlight w:val="white"/>
              </w:rPr>
              <w:t>M</w:t>
            </w:r>
            <w:r>
              <w:rPr>
                <w:rFonts w:ascii="宋体" w:hAnsi="Calibri" w:cs="宋体"/>
                <w:color w:val="000000"/>
                <w:szCs w:val="21"/>
                <w:highlight w:val="white"/>
              </w:rPr>
              <w:t>≥</w:t>
            </w:r>
            <w:r>
              <w:rPr>
                <w:rFonts w:ascii="宋体" w:hAnsi="Calibri"/>
                <w:color w:val="000000"/>
                <w:szCs w:val="21"/>
                <w:highlight w:val="white"/>
              </w:rPr>
              <w:t>500</w:t>
            </w:r>
            <w:r>
              <w:rPr>
                <w:rFonts w:ascii="宋体" w:hAnsi="Calibri" w:cs="宋体"/>
                <w:color w:val="000000"/>
                <w:szCs w:val="21"/>
                <w:highlight w:val="white"/>
              </w:rPr>
              <w:t>万</w:t>
            </w:r>
          </w:p>
        </w:tc>
        <w:tc>
          <w:tcPr>
            <w:tcW w:w="3760" w:type="dxa"/>
            <w:tcBorders>
              <w:top w:val="nil"/>
              <w:left w:val="nil"/>
              <w:bottom w:val="single" w:sz="8" w:space="0" w:color="000000"/>
              <w:right w:val="single" w:sz="8" w:space="0" w:color="000000"/>
            </w:tcBorders>
            <w:tcMar>
              <w:top w:w="0" w:type="dxa"/>
              <w:left w:w="108" w:type="dxa"/>
              <w:bottom w:w="0" w:type="dxa"/>
              <w:right w:w="108" w:type="dxa"/>
            </w:tcMar>
          </w:tcPr>
          <w:p w:rsidR="002B1026">
            <w:pPr>
              <w:spacing w:line="360" w:lineRule="auto"/>
              <w:jc w:val="center"/>
              <w:rPr>
                <w:rFonts w:ascii="宋体" w:hAnsi="Calibri"/>
                <w:szCs w:val="21"/>
              </w:rPr>
            </w:pPr>
            <w:r>
              <w:rPr>
                <w:rFonts w:ascii="宋体" w:hAnsi="Calibri"/>
                <w:color w:val="000000"/>
                <w:szCs w:val="21"/>
                <w:highlight w:val="white"/>
              </w:rPr>
              <w:t>1,000</w:t>
            </w:r>
            <w:r>
              <w:rPr>
                <w:rFonts w:ascii="宋体" w:hAnsi="Calibri" w:cs="宋体"/>
                <w:color w:val="000000"/>
                <w:szCs w:val="21"/>
                <w:highlight w:val="white"/>
              </w:rPr>
              <w:t>元</w:t>
            </w:r>
            <w:r>
              <w:rPr>
                <w:rFonts w:ascii="宋体" w:hAnsi="Calibri"/>
                <w:color w:val="000000"/>
                <w:szCs w:val="21"/>
                <w:highlight w:val="white"/>
              </w:rPr>
              <w:t>/</w:t>
            </w:r>
            <w:r>
              <w:rPr>
                <w:rFonts w:ascii="宋体" w:hAnsi="Calibri" w:cs="宋体"/>
                <w:color w:val="000000"/>
                <w:szCs w:val="21"/>
                <w:highlight w:val="white"/>
              </w:rPr>
              <w:t>笔</w:t>
            </w:r>
          </w:p>
        </w:tc>
      </w:tr>
    </w:tbl>
    <w:p w:rsidR="002B1026">
      <w:pPr>
        <w:spacing w:line="360" w:lineRule="auto"/>
        <w:ind w:firstLine="420"/>
        <w:rPr>
          <w:rFonts w:ascii="宋体" w:hAnsi="Calibri" w:cs="宋体"/>
          <w:color w:val="000000"/>
          <w:szCs w:val="21"/>
          <w:lang w:eastAsia="zh-CN"/>
        </w:rPr>
      </w:pPr>
      <w:r>
        <w:rPr>
          <w:rFonts w:ascii="宋体" w:hAnsi="Calibri" w:cs="宋体" w:hint="eastAsia"/>
          <w:color w:val="000000"/>
          <w:szCs w:val="21"/>
          <w:lang w:eastAsia="zh-CN"/>
        </w:rPr>
        <w:t>①假设本基金拟以1,000,000.00元通过除</w:t>
      </w:r>
      <w:r>
        <w:rPr>
          <w:rFonts w:ascii="宋体" w:hAnsi="Calibri" w:cs="宋体"/>
          <w:color w:val="000000"/>
          <w:szCs w:val="21"/>
          <w:lang w:eastAsia="zh-CN"/>
        </w:rPr>
        <w:t>F</w:t>
      </w:r>
      <w:r>
        <w:rPr>
          <w:rFonts w:ascii="宋体" w:hAnsi="Calibri" w:cs="宋体" w:hint="eastAsia"/>
          <w:color w:val="000000"/>
          <w:szCs w:val="21"/>
          <w:lang w:eastAsia="zh-CN"/>
        </w:rPr>
        <w:t>基金管理人及其基金销售子公司以外的销售机构申购F基金，且该申购申请被全额确认，申购当日F基金的基金份额净值为1.0400元，则该笔申购产生的申购费用及申购份额计算如下：</w:t>
      </w:r>
    </w:p>
    <w:p w:rsidR="002B1026">
      <w:pPr>
        <w:spacing w:line="360" w:lineRule="auto"/>
        <w:ind w:firstLine="420"/>
        <w:rPr>
          <w:rFonts w:ascii="宋体" w:hAnsi="Calibri" w:cs="宋体"/>
          <w:color w:val="000000"/>
          <w:szCs w:val="21"/>
          <w:lang w:eastAsia="zh-CN"/>
        </w:rPr>
      </w:pPr>
      <w:r>
        <w:rPr>
          <w:rFonts w:ascii="宋体" w:hAnsi="Calibri" w:cs="宋体" w:hint="eastAsia"/>
          <w:color w:val="000000"/>
          <w:szCs w:val="21"/>
          <w:lang w:eastAsia="zh-CN"/>
        </w:rPr>
        <w:t>净申购金额=1,000,000.00/(1+0.30%)=997,008.97元</w:t>
      </w:r>
    </w:p>
    <w:p w:rsidR="002B1026">
      <w:pPr>
        <w:spacing w:line="360" w:lineRule="auto"/>
        <w:ind w:firstLine="420"/>
        <w:rPr>
          <w:rFonts w:ascii="宋体" w:hAnsi="Calibri" w:cs="宋体"/>
          <w:color w:val="000000"/>
          <w:szCs w:val="21"/>
          <w:lang w:eastAsia="zh-CN"/>
        </w:rPr>
      </w:pPr>
      <w:r>
        <w:rPr>
          <w:rFonts w:ascii="宋体" w:hAnsi="Calibri" w:cs="宋体" w:hint="eastAsia"/>
          <w:color w:val="000000"/>
          <w:szCs w:val="21"/>
          <w:lang w:eastAsia="zh-CN"/>
        </w:rPr>
        <w:t>申购费用=1,000,000.00-997,008.97=2,991.03元</w:t>
      </w:r>
    </w:p>
    <w:p w:rsidR="002B1026">
      <w:pPr>
        <w:spacing w:line="360" w:lineRule="auto"/>
        <w:ind w:firstLine="420"/>
        <w:rPr>
          <w:rFonts w:ascii="宋体" w:hAnsi="Calibri" w:cs="宋体"/>
          <w:color w:val="000000"/>
          <w:szCs w:val="21"/>
          <w:lang w:eastAsia="zh-CN"/>
        </w:rPr>
      </w:pPr>
      <w:r>
        <w:rPr>
          <w:rFonts w:ascii="宋体" w:hAnsi="Calibri" w:cs="宋体" w:hint="eastAsia"/>
          <w:color w:val="000000"/>
          <w:szCs w:val="21"/>
          <w:lang w:eastAsia="zh-CN"/>
        </w:rPr>
        <w:t>申购份额=997,008.97/1.0400=958,662.47份</w:t>
      </w:r>
    </w:p>
    <w:p w:rsidR="002B1026">
      <w:pPr>
        <w:spacing w:line="360" w:lineRule="auto"/>
        <w:ind w:firstLine="420"/>
        <w:rPr>
          <w:rFonts w:ascii="宋体" w:hAnsi="Calibri"/>
          <w:szCs w:val="21"/>
          <w:lang w:eastAsia="zh-CN"/>
        </w:rPr>
      </w:pPr>
      <w:r>
        <w:rPr>
          <w:rFonts w:ascii="宋体" w:hAnsi="Calibri" w:cs="宋体" w:hint="eastAsia"/>
          <w:color w:val="000000"/>
          <w:szCs w:val="21"/>
          <w:lang w:eastAsia="zh-CN"/>
        </w:rPr>
        <w:t>②假设本基金拟以5,000,000.00元通过除F基金管理人及其基金销售子公司以外的销售机构申购F基金且该申购申请被全额确认，申购当日F基金的基金份额净值为1.0400元，则该笔申购产生的申购费用及申购份额计算如下：</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申购费用</w:t>
      </w:r>
      <w:r>
        <w:rPr>
          <w:rFonts w:ascii="宋体" w:hAnsi="Calibri"/>
          <w:color w:val="000000"/>
          <w:szCs w:val="21"/>
          <w:highlight w:val="white"/>
          <w:lang w:eastAsia="zh-CN"/>
        </w:rPr>
        <w:t>=1,000.00</w:t>
      </w:r>
      <w:r>
        <w:rPr>
          <w:rFonts w:ascii="宋体" w:hAnsi="Calibri" w:cs="宋体"/>
          <w:color w:val="000000"/>
          <w:szCs w:val="21"/>
          <w:highlight w:val="white"/>
          <w:lang w:eastAsia="zh-CN"/>
        </w:rPr>
        <w:t>元</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净申购金额</w:t>
      </w:r>
      <w:r>
        <w:rPr>
          <w:rFonts w:ascii="宋体" w:hAnsi="Calibri"/>
          <w:color w:val="000000"/>
          <w:szCs w:val="21"/>
          <w:highlight w:val="white"/>
          <w:lang w:eastAsia="zh-CN"/>
        </w:rPr>
        <w:t>=5,000,000.00-1,000.00=4,999,000.00</w:t>
      </w:r>
      <w:r>
        <w:rPr>
          <w:rFonts w:ascii="宋体" w:hAnsi="Calibri" w:cs="宋体"/>
          <w:color w:val="000000"/>
          <w:szCs w:val="21"/>
          <w:highlight w:val="white"/>
          <w:lang w:eastAsia="zh-CN"/>
        </w:rPr>
        <w:t>元</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申购份额</w:t>
      </w:r>
      <w:r>
        <w:rPr>
          <w:rFonts w:ascii="宋体" w:hAnsi="Calibri"/>
          <w:color w:val="000000"/>
          <w:szCs w:val="21"/>
          <w:highlight w:val="white"/>
          <w:lang w:eastAsia="zh-CN"/>
        </w:rPr>
        <w:t>=4,999,000.00/1.0400=4,806,730.77</w:t>
      </w:r>
      <w:r>
        <w:rPr>
          <w:rFonts w:ascii="宋体" w:hAnsi="Calibri" w:cs="宋体"/>
          <w:color w:val="000000"/>
          <w:szCs w:val="21"/>
          <w:highlight w:val="white"/>
          <w:lang w:eastAsia="zh-CN"/>
        </w:rPr>
        <w:t>份</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2</w:t>
      </w:r>
      <w:r>
        <w:rPr>
          <w:rFonts w:ascii="宋体" w:hAnsi="Calibri" w:cs="宋体"/>
          <w:color w:val="000000"/>
          <w:szCs w:val="21"/>
          <w:highlight w:val="white"/>
          <w:lang w:eastAsia="zh-CN"/>
        </w:rPr>
        <w:t>）本基金赎回其他基金的赎回费的计算方法</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1</w:t>
      </w:r>
      <w:r>
        <w:rPr>
          <w:rFonts w:ascii="宋体" w:hAnsi="Calibri" w:cs="宋体"/>
          <w:color w:val="000000"/>
          <w:szCs w:val="21"/>
          <w:highlight w:val="white"/>
          <w:lang w:eastAsia="zh-CN"/>
        </w:rPr>
        <w:t>）本基金赎回所持有的本基金管理人管理的基金（</w:t>
      </w:r>
      <w:r>
        <w:rPr>
          <w:rFonts w:ascii="宋体" w:hAnsi="Calibri"/>
          <w:color w:val="000000"/>
          <w:szCs w:val="21"/>
          <w:highlight w:val="white"/>
          <w:lang w:eastAsia="zh-CN"/>
        </w:rPr>
        <w:t>ETF</w:t>
      </w:r>
      <w:r>
        <w:rPr>
          <w:rFonts w:ascii="宋体" w:hAnsi="Calibri" w:cs="宋体"/>
          <w:color w:val="000000"/>
          <w:szCs w:val="21"/>
          <w:highlight w:val="white"/>
          <w:lang w:eastAsia="zh-CN"/>
        </w:rPr>
        <w:t>除外）不收取赎回费（按照相关法规、所持有基金的招募说明书约定应当收取，并记入基金财产的赎回费用除外）。</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2</w:t>
      </w:r>
      <w:r>
        <w:rPr>
          <w:rFonts w:ascii="宋体" w:hAnsi="Calibri" w:cs="宋体"/>
          <w:color w:val="000000"/>
          <w:szCs w:val="21"/>
          <w:highlight w:val="white"/>
          <w:lang w:eastAsia="zh-CN"/>
        </w:rPr>
        <w:t>）本基金赎回非本基金管理人管理的基金，本基金所需支付的赎回费的计算方法应遵循被投资基金招募说明书的规定。以被赎回基金为前端收费基金为例，赎回费及赎回金额计算方法及举例如下：</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赎回费用</w:t>
      </w:r>
      <w:r>
        <w:rPr>
          <w:rFonts w:ascii="宋体" w:hAnsi="Calibri"/>
          <w:color w:val="000000"/>
          <w:szCs w:val="21"/>
          <w:highlight w:val="white"/>
          <w:lang w:eastAsia="zh-CN"/>
        </w:rPr>
        <w:t>=</w:t>
      </w:r>
      <w:r>
        <w:rPr>
          <w:rFonts w:ascii="宋体" w:hAnsi="Calibri" w:cs="宋体"/>
          <w:color w:val="000000"/>
          <w:szCs w:val="21"/>
          <w:highlight w:val="white"/>
          <w:lang w:eastAsia="zh-CN"/>
        </w:rPr>
        <w:t>赎回份额</w:t>
      </w:r>
      <w:r>
        <w:rPr>
          <w:rFonts w:ascii="宋体" w:hAnsi="Calibri"/>
          <w:color w:val="000000"/>
          <w:szCs w:val="21"/>
          <w:highlight w:val="white"/>
          <w:lang w:eastAsia="zh-CN"/>
        </w:rPr>
        <w:t>×</w:t>
      </w:r>
      <w:r>
        <w:rPr>
          <w:rFonts w:ascii="宋体" w:hAnsi="Calibri"/>
          <w:color w:val="000000"/>
          <w:szCs w:val="21"/>
          <w:highlight w:val="white"/>
          <w:lang w:eastAsia="zh-CN"/>
        </w:rPr>
        <w:t>T</w:t>
      </w:r>
      <w:r>
        <w:rPr>
          <w:rFonts w:ascii="宋体" w:hAnsi="Calibri" w:cs="宋体"/>
          <w:color w:val="000000"/>
          <w:szCs w:val="21"/>
          <w:highlight w:val="white"/>
          <w:lang w:eastAsia="zh-CN"/>
        </w:rPr>
        <w:t>日该类份额的基金份额净值</w:t>
      </w:r>
      <w:r>
        <w:rPr>
          <w:rFonts w:ascii="宋体" w:hAnsi="Calibri"/>
          <w:color w:val="000000"/>
          <w:szCs w:val="21"/>
          <w:highlight w:val="white"/>
          <w:lang w:eastAsia="zh-CN"/>
        </w:rPr>
        <w:t>×</w:t>
      </w:r>
      <w:r>
        <w:rPr>
          <w:rFonts w:ascii="宋体" w:hAnsi="Calibri" w:cs="宋体"/>
          <w:color w:val="000000"/>
          <w:szCs w:val="21"/>
          <w:highlight w:val="white"/>
          <w:lang w:eastAsia="zh-CN"/>
        </w:rPr>
        <w:t>该类份额的赎回费率</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赎回金额</w:t>
      </w:r>
      <w:r>
        <w:rPr>
          <w:rFonts w:ascii="宋体" w:hAnsi="Calibri"/>
          <w:color w:val="000000"/>
          <w:szCs w:val="21"/>
          <w:highlight w:val="white"/>
          <w:lang w:eastAsia="zh-CN"/>
        </w:rPr>
        <w:t>=</w:t>
      </w:r>
      <w:r>
        <w:rPr>
          <w:rFonts w:ascii="宋体" w:hAnsi="Calibri" w:cs="宋体"/>
          <w:color w:val="000000"/>
          <w:szCs w:val="21"/>
          <w:highlight w:val="white"/>
          <w:lang w:eastAsia="zh-CN"/>
        </w:rPr>
        <w:t>赎回份额</w:t>
      </w:r>
      <w:r>
        <w:rPr>
          <w:rFonts w:ascii="宋体" w:hAnsi="Calibri"/>
          <w:color w:val="000000"/>
          <w:szCs w:val="21"/>
          <w:highlight w:val="white"/>
          <w:lang w:eastAsia="zh-CN"/>
        </w:rPr>
        <w:t>×</w:t>
      </w:r>
      <w:r>
        <w:rPr>
          <w:rFonts w:ascii="宋体" w:hAnsi="Calibri"/>
          <w:color w:val="000000"/>
          <w:szCs w:val="21"/>
          <w:highlight w:val="white"/>
          <w:lang w:eastAsia="zh-CN"/>
        </w:rPr>
        <w:t>T</w:t>
      </w:r>
      <w:r>
        <w:rPr>
          <w:rFonts w:ascii="宋体" w:hAnsi="Calibri" w:cs="宋体"/>
          <w:color w:val="000000"/>
          <w:szCs w:val="21"/>
          <w:highlight w:val="white"/>
          <w:lang w:eastAsia="zh-CN"/>
        </w:rPr>
        <w:t>日该类份额的基金份额净值</w:t>
      </w:r>
      <w:r>
        <w:rPr>
          <w:rFonts w:ascii="宋体" w:hAnsi="Calibri"/>
          <w:color w:val="000000"/>
          <w:szCs w:val="21"/>
          <w:highlight w:val="white"/>
          <w:lang w:eastAsia="zh-CN"/>
        </w:rPr>
        <w:t>-</w:t>
      </w:r>
      <w:r>
        <w:rPr>
          <w:rFonts w:ascii="宋体" w:hAnsi="Calibri" w:cs="宋体"/>
          <w:color w:val="000000"/>
          <w:szCs w:val="21"/>
          <w:highlight w:val="white"/>
          <w:lang w:eastAsia="zh-CN"/>
        </w:rPr>
        <w:t>赎回费用</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例二：假设本基金拟赎回</w:t>
      </w:r>
      <w:r>
        <w:rPr>
          <w:rFonts w:ascii="宋体" w:hAnsi="Calibri"/>
          <w:color w:val="000000"/>
          <w:szCs w:val="21"/>
          <w:highlight w:val="white"/>
          <w:lang w:eastAsia="zh-CN"/>
        </w:rPr>
        <w:t>10,000.00</w:t>
      </w:r>
      <w:r>
        <w:rPr>
          <w:rFonts w:ascii="宋体" w:hAnsi="Calibri" w:cs="宋体"/>
          <w:color w:val="000000"/>
          <w:szCs w:val="21"/>
          <w:highlight w:val="white"/>
          <w:lang w:eastAsia="zh-CN"/>
        </w:rPr>
        <w:t>份非本基金管理人管理的</w:t>
      </w:r>
      <w:r>
        <w:rPr>
          <w:rFonts w:ascii="宋体" w:hAnsi="Calibri"/>
          <w:color w:val="000000"/>
          <w:szCs w:val="21"/>
          <w:highlight w:val="white"/>
          <w:lang w:eastAsia="zh-CN"/>
        </w:rPr>
        <w:t>F</w:t>
      </w:r>
      <w:r>
        <w:rPr>
          <w:rFonts w:ascii="宋体" w:hAnsi="Calibri" w:cs="宋体"/>
          <w:color w:val="000000"/>
          <w:szCs w:val="21"/>
          <w:highlight w:val="white"/>
          <w:lang w:eastAsia="zh-CN"/>
        </w:rPr>
        <w:t>基金，该基金的赎回费费率结构如下表所示。</w:t>
      </w:r>
    </w:p>
    <w:tbl>
      <w:tblPr>
        <w:tblStyle w:val="TableGrid"/>
        <w:tblW w:w="48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49"/>
        <w:gridCol w:w="2409"/>
      </w:tblGrid>
      <w:tr>
        <w:tblPrEx>
          <w:tblW w:w="48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62"/>
          <w:jc w:val="center"/>
        </w:trPr>
        <w:tc>
          <w:tcPr>
            <w:tcW w:w="24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B1026">
            <w:pPr>
              <w:spacing w:line="360" w:lineRule="auto"/>
              <w:jc w:val="center"/>
              <w:rPr>
                <w:rFonts w:ascii="宋体" w:hAnsi="Calibri"/>
                <w:szCs w:val="21"/>
              </w:rPr>
            </w:pPr>
            <w:r>
              <w:rPr>
                <w:rFonts w:ascii="宋体" w:hAnsi="Calibri" w:cs="宋体"/>
                <w:color w:val="000000"/>
                <w:szCs w:val="21"/>
                <w:highlight w:val="white"/>
              </w:rPr>
              <w:t>持有时间（天）</w:t>
            </w:r>
          </w:p>
        </w:tc>
        <w:tc>
          <w:tcPr>
            <w:tcW w:w="240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2B1026">
            <w:pPr>
              <w:spacing w:line="360" w:lineRule="auto"/>
              <w:jc w:val="center"/>
              <w:rPr>
                <w:rFonts w:ascii="宋体" w:hAnsi="Calibri"/>
                <w:szCs w:val="21"/>
              </w:rPr>
            </w:pPr>
            <w:r>
              <w:rPr>
                <w:rFonts w:ascii="宋体" w:hAnsi="Calibri" w:cs="宋体"/>
                <w:color w:val="000000"/>
                <w:szCs w:val="21"/>
                <w:highlight w:val="white"/>
              </w:rPr>
              <w:t>赎回费率</w:t>
            </w:r>
          </w:p>
        </w:tc>
      </w:tr>
      <w:tr>
        <w:tblPrEx>
          <w:tblW w:w="4858" w:type="dxa"/>
          <w:jc w:val="center"/>
          <w:tblLayout w:type="fixed"/>
          <w:tblLook w:val="04A0"/>
        </w:tblPrEx>
        <w:trPr>
          <w:trHeight w:val="462"/>
          <w:jc w:val="center"/>
        </w:trPr>
        <w:tc>
          <w:tcPr>
            <w:tcW w:w="24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B1026">
            <w:pPr>
              <w:spacing w:line="360" w:lineRule="auto"/>
              <w:jc w:val="center"/>
              <w:rPr>
                <w:rFonts w:ascii="宋体" w:hAnsi="Calibri"/>
                <w:szCs w:val="21"/>
              </w:rPr>
            </w:pPr>
            <w:r>
              <w:rPr>
                <w:rFonts w:ascii="宋体" w:hAnsi="Calibri"/>
                <w:color w:val="000000"/>
                <w:szCs w:val="21"/>
                <w:highlight w:val="white"/>
              </w:rPr>
              <w:t>0-6</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B1026">
            <w:pPr>
              <w:spacing w:line="360" w:lineRule="auto"/>
              <w:jc w:val="center"/>
              <w:rPr>
                <w:rFonts w:ascii="宋体" w:hAnsi="Calibri"/>
                <w:szCs w:val="21"/>
              </w:rPr>
            </w:pPr>
            <w:r>
              <w:rPr>
                <w:rFonts w:ascii="宋体" w:hAnsi="Calibri"/>
                <w:color w:val="000000"/>
                <w:szCs w:val="21"/>
                <w:highlight w:val="white"/>
              </w:rPr>
              <w:t>1.5%</w:t>
            </w:r>
          </w:p>
        </w:tc>
      </w:tr>
      <w:tr>
        <w:tblPrEx>
          <w:tblW w:w="4858" w:type="dxa"/>
          <w:jc w:val="center"/>
          <w:tblLayout w:type="fixed"/>
          <w:tblLook w:val="04A0"/>
        </w:tblPrEx>
        <w:trPr>
          <w:trHeight w:val="474"/>
          <w:jc w:val="center"/>
        </w:trPr>
        <w:tc>
          <w:tcPr>
            <w:tcW w:w="24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B1026">
            <w:pPr>
              <w:spacing w:line="360" w:lineRule="auto"/>
              <w:jc w:val="center"/>
              <w:rPr>
                <w:rFonts w:ascii="宋体" w:hAnsi="Calibri"/>
                <w:szCs w:val="21"/>
              </w:rPr>
            </w:pPr>
            <w:r>
              <w:rPr>
                <w:rFonts w:ascii="宋体" w:hAnsi="Calibri"/>
                <w:color w:val="000000"/>
                <w:szCs w:val="21"/>
                <w:highlight w:val="white"/>
              </w:rPr>
              <w:t>7-29</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B1026">
            <w:pPr>
              <w:spacing w:line="360" w:lineRule="auto"/>
              <w:jc w:val="center"/>
              <w:rPr>
                <w:rFonts w:ascii="宋体" w:hAnsi="Calibri"/>
                <w:szCs w:val="21"/>
              </w:rPr>
            </w:pPr>
            <w:r>
              <w:rPr>
                <w:rFonts w:ascii="宋体" w:hAnsi="Calibri"/>
                <w:color w:val="000000"/>
                <w:szCs w:val="21"/>
                <w:highlight w:val="white"/>
              </w:rPr>
              <w:t>1.0%</w:t>
            </w:r>
          </w:p>
        </w:tc>
      </w:tr>
      <w:tr>
        <w:tblPrEx>
          <w:tblW w:w="4858" w:type="dxa"/>
          <w:jc w:val="center"/>
          <w:tblLayout w:type="fixed"/>
          <w:tblLook w:val="04A0"/>
        </w:tblPrEx>
        <w:trPr>
          <w:trHeight w:val="462"/>
          <w:jc w:val="center"/>
        </w:trPr>
        <w:tc>
          <w:tcPr>
            <w:tcW w:w="24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B1026">
            <w:pPr>
              <w:spacing w:line="360" w:lineRule="auto"/>
              <w:jc w:val="center"/>
              <w:rPr>
                <w:rFonts w:ascii="宋体" w:hAnsi="Calibri"/>
                <w:szCs w:val="21"/>
              </w:rPr>
            </w:pPr>
            <w:r>
              <w:rPr>
                <w:rFonts w:ascii="宋体" w:hAnsi="Calibri"/>
                <w:color w:val="000000"/>
                <w:szCs w:val="21"/>
                <w:highlight w:val="white"/>
              </w:rPr>
              <w:t>30-364</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B1026">
            <w:pPr>
              <w:spacing w:line="360" w:lineRule="auto"/>
              <w:jc w:val="center"/>
              <w:rPr>
                <w:rFonts w:ascii="宋体" w:hAnsi="Calibri"/>
                <w:szCs w:val="21"/>
              </w:rPr>
            </w:pPr>
            <w:r>
              <w:rPr>
                <w:rFonts w:ascii="宋体" w:hAnsi="Calibri"/>
                <w:color w:val="000000"/>
                <w:szCs w:val="21"/>
                <w:highlight w:val="white"/>
              </w:rPr>
              <w:t>0.5%</w:t>
            </w:r>
          </w:p>
        </w:tc>
      </w:tr>
      <w:tr>
        <w:tblPrEx>
          <w:tblW w:w="4858" w:type="dxa"/>
          <w:jc w:val="center"/>
          <w:tblLayout w:type="fixed"/>
          <w:tblLook w:val="04A0"/>
        </w:tblPrEx>
        <w:trPr>
          <w:trHeight w:val="474"/>
          <w:jc w:val="center"/>
        </w:trPr>
        <w:tc>
          <w:tcPr>
            <w:tcW w:w="24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B1026">
            <w:pPr>
              <w:spacing w:line="360" w:lineRule="auto"/>
              <w:jc w:val="center"/>
              <w:rPr>
                <w:rFonts w:ascii="宋体" w:hAnsi="Calibri"/>
                <w:szCs w:val="21"/>
              </w:rPr>
            </w:pPr>
            <w:r>
              <w:rPr>
                <w:rFonts w:ascii="宋体" w:hAnsi="Calibri"/>
                <w:color w:val="000000"/>
                <w:szCs w:val="21"/>
                <w:highlight w:val="white"/>
              </w:rPr>
              <w:t>365-729</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B1026">
            <w:pPr>
              <w:spacing w:line="360" w:lineRule="auto"/>
              <w:jc w:val="center"/>
              <w:rPr>
                <w:rFonts w:ascii="宋体" w:hAnsi="Calibri"/>
                <w:szCs w:val="21"/>
              </w:rPr>
            </w:pPr>
            <w:r>
              <w:rPr>
                <w:rFonts w:ascii="宋体" w:hAnsi="Calibri"/>
                <w:color w:val="000000"/>
                <w:szCs w:val="21"/>
                <w:highlight w:val="white"/>
              </w:rPr>
              <w:t>0.25%</w:t>
            </w:r>
          </w:p>
        </w:tc>
      </w:tr>
      <w:tr>
        <w:tblPrEx>
          <w:tblW w:w="4858" w:type="dxa"/>
          <w:jc w:val="center"/>
          <w:tblLayout w:type="fixed"/>
          <w:tblLook w:val="04A0"/>
        </w:tblPrEx>
        <w:trPr>
          <w:trHeight w:val="474"/>
          <w:jc w:val="center"/>
        </w:trPr>
        <w:tc>
          <w:tcPr>
            <w:tcW w:w="24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2B1026">
            <w:pPr>
              <w:spacing w:line="360" w:lineRule="auto"/>
              <w:jc w:val="center"/>
              <w:rPr>
                <w:rFonts w:ascii="宋体" w:hAnsi="Calibri"/>
                <w:szCs w:val="21"/>
              </w:rPr>
            </w:pPr>
            <w:r>
              <w:rPr>
                <w:rFonts w:ascii="宋体" w:hAnsi="Calibri"/>
                <w:color w:val="000000"/>
                <w:szCs w:val="21"/>
                <w:highlight w:val="white"/>
              </w:rPr>
              <w:t>730</w:t>
            </w:r>
            <w:r>
              <w:rPr>
                <w:rFonts w:ascii="宋体" w:hAnsi="Calibri" w:cs="宋体"/>
                <w:color w:val="000000"/>
                <w:szCs w:val="21"/>
                <w:highlight w:val="white"/>
              </w:rPr>
              <w:t>及以上</w:t>
            </w:r>
          </w:p>
        </w:tc>
        <w:tc>
          <w:tcPr>
            <w:tcW w:w="24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2B1026">
            <w:pPr>
              <w:spacing w:line="360" w:lineRule="auto"/>
              <w:jc w:val="center"/>
              <w:rPr>
                <w:rFonts w:ascii="宋体" w:hAnsi="Calibri"/>
                <w:szCs w:val="21"/>
              </w:rPr>
            </w:pPr>
            <w:r>
              <w:rPr>
                <w:rFonts w:ascii="宋体" w:hAnsi="Calibri"/>
                <w:color w:val="000000"/>
                <w:szCs w:val="21"/>
                <w:highlight w:val="white"/>
              </w:rPr>
              <w:t>0%</w:t>
            </w:r>
          </w:p>
        </w:tc>
      </w:tr>
    </w:tbl>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假设本基金持有F基金100天，赎回当日基金份额净值为1.0160元，则该笔赎回产生的赎回费及净赎回金额计算如下：</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赎回费用= 10,000</w:t>
      </w:r>
      <w:r>
        <w:rPr>
          <w:rFonts w:ascii="宋体" w:hAnsi="Calibri" w:cs="宋体"/>
          <w:color w:val="000000"/>
          <w:szCs w:val="21"/>
          <w:highlight w:val="white"/>
          <w:lang w:eastAsia="zh-CN"/>
        </w:rPr>
        <w:t>×</w:t>
      </w:r>
      <w:r>
        <w:rPr>
          <w:rFonts w:ascii="宋体" w:hAnsi="Calibri" w:cs="宋体"/>
          <w:color w:val="000000"/>
          <w:szCs w:val="21"/>
          <w:highlight w:val="white"/>
          <w:lang w:eastAsia="zh-CN"/>
        </w:rPr>
        <w:t>1.0160</w:t>
      </w:r>
      <w:r>
        <w:rPr>
          <w:rFonts w:ascii="宋体" w:hAnsi="Calibri" w:cs="宋体"/>
          <w:color w:val="000000"/>
          <w:szCs w:val="21"/>
          <w:highlight w:val="white"/>
          <w:lang w:eastAsia="zh-CN"/>
        </w:rPr>
        <w:t>×</w:t>
      </w:r>
      <w:r>
        <w:rPr>
          <w:rFonts w:ascii="宋体" w:hAnsi="Calibri" w:cs="宋体"/>
          <w:color w:val="000000"/>
          <w:szCs w:val="21"/>
          <w:highlight w:val="white"/>
          <w:lang w:eastAsia="zh-CN"/>
        </w:rPr>
        <w:t>0.5%＝50.80元</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赎回金额=10,000</w:t>
      </w:r>
      <w:r>
        <w:rPr>
          <w:rFonts w:ascii="宋体" w:hAnsi="Calibri" w:cs="宋体"/>
          <w:color w:val="000000"/>
          <w:szCs w:val="21"/>
          <w:highlight w:val="white"/>
          <w:lang w:eastAsia="zh-CN"/>
        </w:rPr>
        <w:t>×</w:t>
      </w:r>
      <w:r>
        <w:rPr>
          <w:rFonts w:ascii="宋体" w:hAnsi="Calibri" w:cs="宋体"/>
          <w:color w:val="000000"/>
          <w:szCs w:val="21"/>
          <w:highlight w:val="white"/>
          <w:lang w:eastAsia="zh-CN"/>
        </w:rPr>
        <w:t>1.0160-50.80＝10,109.20元</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（3）本基金持有其他基金产生的销售服务费</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1）本基金持有本基金管理人管理的基金（ETF除外），所持有的基金份额不得收取销售服务费。</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2）本基金持有非本基金管理人管理的基金产生的销售服务费按照被投资基金基金合同约定作为费用计入被投资基金的基金份额净值，本基金</w:t>
      </w:r>
      <w:r>
        <w:rPr>
          <w:rFonts w:ascii="宋体" w:hAnsi="Calibri" w:cs="宋体" w:hint="eastAsia"/>
          <w:color w:val="000000"/>
          <w:szCs w:val="21"/>
          <w:highlight w:val="white"/>
          <w:lang w:eastAsia="zh-CN"/>
        </w:rPr>
        <w:t>按规定</w:t>
      </w:r>
      <w:r>
        <w:rPr>
          <w:rFonts w:ascii="宋体" w:hAnsi="Calibri" w:cs="宋体"/>
          <w:color w:val="000000"/>
          <w:szCs w:val="21"/>
          <w:highlight w:val="white"/>
          <w:lang w:eastAsia="zh-CN"/>
        </w:rPr>
        <w:t>所需承担的销售服务费的计算方法如下：</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持有被投资基金当日产生的销售服务费</w:t>
      </w:r>
      <w:r>
        <w:rPr>
          <w:rFonts w:ascii="宋体" w:hAnsi="Calibri" w:cs="宋体" w:hint="eastAsia"/>
          <w:color w:val="000000"/>
          <w:szCs w:val="21"/>
          <w:highlight w:val="white"/>
          <w:lang w:eastAsia="zh-CN"/>
        </w:rPr>
        <w:t>（如有）</w:t>
      </w:r>
      <w:r>
        <w:rPr>
          <w:rFonts w:ascii="宋体" w:hAnsi="Calibri" w:cs="宋体"/>
          <w:color w:val="000000"/>
          <w:szCs w:val="21"/>
          <w:highlight w:val="white"/>
          <w:lang w:eastAsia="zh-CN"/>
        </w:rPr>
        <w:t>=持有被投资基金的基金份额总数</w:t>
      </w:r>
      <w:r>
        <w:rPr>
          <w:rFonts w:ascii="宋体" w:hAnsi="Calibri" w:cs="宋体"/>
          <w:color w:val="000000"/>
          <w:szCs w:val="21"/>
          <w:highlight w:val="white"/>
          <w:lang w:eastAsia="zh-CN"/>
        </w:rPr>
        <w:t>×</w:t>
      </w:r>
      <w:r>
        <w:rPr>
          <w:rFonts w:ascii="宋体" w:hAnsi="Calibri" w:cs="宋体"/>
          <w:color w:val="000000"/>
          <w:szCs w:val="21"/>
          <w:highlight w:val="white"/>
          <w:lang w:eastAsia="zh-CN"/>
        </w:rPr>
        <w:t>被投资基金前一日的基金份额净值</w:t>
      </w:r>
      <w:r>
        <w:rPr>
          <w:rFonts w:ascii="宋体" w:hAnsi="Calibri" w:cs="宋体"/>
          <w:color w:val="000000"/>
          <w:szCs w:val="21"/>
          <w:highlight w:val="white"/>
          <w:lang w:eastAsia="zh-CN"/>
        </w:rPr>
        <w:t>×</w:t>
      </w:r>
      <w:r>
        <w:rPr>
          <w:rFonts w:ascii="宋体" w:hAnsi="Calibri" w:cs="宋体"/>
          <w:color w:val="000000"/>
          <w:szCs w:val="21"/>
          <w:highlight w:val="white"/>
          <w:lang w:eastAsia="zh-CN"/>
        </w:rPr>
        <w:t>被投资基金年销售服务费率</w:t>
      </w:r>
      <w:r>
        <w:rPr>
          <w:rFonts w:ascii="宋体" w:hAnsi="Calibri" w:cs="宋体"/>
          <w:color w:val="000000"/>
          <w:szCs w:val="21"/>
          <w:highlight w:val="white"/>
          <w:lang w:eastAsia="zh-CN"/>
        </w:rPr>
        <w:t>÷</w:t>
      </w:r>
      <w:r>
        <w:rPr>
          <w:rFonts w:ascii="宋体" w:hAnsi="Calibri" w:cs="宋体"/>
          <w:color w:val="000000"/>
          <w:szCs w:val="21"/>
          <w:highlight w:val="white"/>
          <w:lang w:eastAsia="zh-CN"/>
        </w:rPr>
        <w:t>当年天数</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例三：假设本基金</w:t>
      </w:r>
      <w:r>
        <w:rPr>
          <w:rFonts w:ascii="宋体" w:hAnsi="Calibri" w:cs="宋体" w:hint="eastAsia"/>
          <w:color w:val="000000"/>
          <w:szCs w:val="21"/>
          <w:highlight w:val="white"/>
          <w:lang w:eastAsia="zh-CN"/>
        </w:rPr>
        <w:t>通过F基金管理人及其基金销售子公司以外的销售机构</w:t>
      </w:r>
      <w:r>
        <w:rPr>
          <w:rFonts w:ascii="宋体" w:hAnsi="Calibri" w:cs="宋体"/>
          <w:color w:val="000000"/>
          <w:szCs w:val="21"/>
          <w:highlight w:val="white"/>
          <w:lang w:eastAsia="zh-CN"/>
        </w:rPr>
        <w:t>持有</w:t>
      </w:r>
      <w:r>
        <w:rPr>
          <w:rFonts w:ascii="宋体" w:hAnsi="Calibri"/>
          <w:color w:val="000000"/>
          <w:szCs w:val="21"/>
          <w:highlight w:val="white"/>
          <w:lang w:eastAsia="zh-CN"/>
        </w:rPr>
        <w:t>10,000,000.00</w:t>
      </w:r>
      <w:r>
        <w:rPr>
          <w:rFonts w:ascii="宋体" w:hAnsi="Calibri" w:cs="宋体"/>
          <w:color w:val="000000"/>
          <w:szCs w:val="21"/>
          <w:highlight w:val="white"/>
          <w:lang w:eastAsia="zh-CN"/>
        </w:rPr>
        <w:t>份非本基金管理人管理的</w:t>
      </w:r>
      <w:r>
        <w:rPr>
          <w:rFonts w:ascii="宋体" w:hAnsi="Calibri"/>
          <w:color w:val="000000"/>
          <w:szCs w:val="21"/>
          <w:highlight w:val="white"/>
          <w:lang w:eastAsia="zh-CN"/>
        </w:rPr>
        <w:t>F</w:t>
      </w:r>
      <w:r>
        <w:rPr>
          <w:rFonts w:ascii="宋体" w:hAnsi="Calibri" w:cs="宋体"/>
          <w:color w:val="000000"/>
          <w:szCs w:val="21"/>
          <w:highlight w:val="white"/>
          <w:lang w:eastAsia="zh-CN"/>
        </w:rPr>
        <w:t>基金，该基金的年销售服务费率为</w:t>
      </w:r>
      <w:r>
        <w:rPr>
          <w:rFonts w:ascii="宋体" w:hAnsi="Calibri"/>
          <w:color w:val="000000"/>
          <w:szCs w:val="21"/>
          <w:highlight w:val="white"/>
          <w:lang w:eastAsia="zh-CN"/>
        </w:rPr>
        <w:t>0.4%</w:t>
      </w:r>
      <w:r>
        <w:rPr>
          <w:rFonts w:ascii="宋体" w:hAnsi="Calibri" w:cs="宋体"/>
          <w:color w:val="000000"/>
          <w:szCs w:val="21"/>
          <w:highlight w:val="white"/>
          <w:lang w:eastAsia="zh-CN"/>
        </w:rPr>
        <w:t>，</w:t>
      </w:r>
      <w:r>
        <w:rPr>
          <w:rFonts w:ascii="宋体" w:hAnsi="Calibri" w:cs="宋体" w:hint="eastAsia"/>
          <w:color w:val="000000"/>
          <w:szCs w:val="21"/>
          <w:highlight w:val="white"/>
          <w:lang w:eastAsia="zh-CN"/>
        </w:rPr>
        <w:t>持续持有期限不</w:t>
      </w:r>
      <w:r w:rsidR="00136CD3">
        <w:rPr>
          <w:rFonts w:ascii="宋体" w:hAnsi="Calibri" w:cs="宋体" w:hint="eastAsia"/>
          <w:color w:val="000000"/>
          <w:szCs w:val="21"/>
          <w:highlight w:val="white"/>
          <w:lang w:eastAsia="zh-CN"/>
        </w:rPr>
        <w:t>超过</w:t>
      </w:r>
      <w:r>
        <w:rPr>
          <w:rFonts w:ascii="宋体" w:hAnsi="Calibri" w:cs="宋体" w:hint="eastAsia"/>
          <w:color w:val="000000"/>
          <w:szCs w:val="21"/>
          <w:highlight w:val="white"/>
          <w:lang w:eastAsia="zh-CN"/>
        </w:rPr>
        <w:t>365天,</w:t>
      </w:r>
      <w:r>
        <w:rPr>
          <w:rFonts w:ascii="宋体" w:hAnsi="Calibri" w:cs="宋体"/>
          <w:color w:val="000000"/>
          <w:szCs w:val="21"/>
          <w:highlight w:val="white"/>
          <w:lang w:eastAsia="zh-CN"/>
        </w:rPr>
        <w:t>前一日</w:t>
      </w:r>
      <w:r>
        <w:rPr>
          <w:rFonts w:ascii="宋体" w:hAnsi="Calibri"/>
          <w:color w:val="000000"/>
          <w:szCs w:val="21"/>
          <w:highlight w:val="white"/>
          <w:lang w:eastAsia="zh-CN"/>
        </w:rPr>
        <w:t>F</w:t>
      </w:r>
      <w:r>
        <w:rPr>
          <w:rFonts w:ascii="宋体" w:hAnsi="Calibri" w:cs="宋体"/>
          <w:color w:val="000000"/>
          <w:szCs w:val="21"/>
          <w:highlight w:val="white"/>
          <w:lang w:eastAsia="zh-CN"/>
        </w:rPr>
        <w:t>基金的基金份额净值为</w:t>
      </w:r>
      <w:r>
        <w:rPr>
          <w:rFonts w:ascii="宋体" w:hAnsi="Calibri"/>
          <w:color w:val="000000"/>
          <w:szCs w:val="21"/>
          <w:highlight w:val="white"/>
          <w:lang w:eastAsia="zh-CN"/>
        </w:rPr>
        <w:t>1.0400</w:t>
      </w:r>
      <w:r>
        <w:rPr>
          <w:rFonts w:ascii="宋体" w:hAnsi="Calibri" w:cs="宋体"/>
          <w:color w:val="000000"/>
          <w:szCs w:val="21"/>
          <w:highlight w:val="white"/>
          <w:lang w:eastAsia="zh-CN"/>
        </w:rPr>
        <w:t>元，当年天数为</w:t>
      </w:r>
      <w:r>
        <w:rPr>
          <w:rFonts w:ascii="宋体" w:hAnsi="Calibri"/>
          <w:color w:val="000000"/>
          <w:szCs w:val="21"/>
          <w:highlight w:val="white"/>
          <w:lang w:eastAsia="zh-CN"/>
        </w:rPr>
        <w:t>365</w:t>
      </w:r>
      <w:r>
        <w:rPr>
          <w:rFonts w:ascii="宋体" w:hAnsi="Calibri" w:cs="宋体"/>
          <w:color w:val="000000"/>
          <w:szCs w:val="21"/>
          <w:highlight w:val="white"/>
          <w:lang w:eastAsia="zh-CN"/>
        </w:rPr>
        <w:t>天，则</w:t>
      </w:r>
      <w:r>
        <w:rPr>
          <w:rFonts w:ascii="宋体" w:hAnsi="Calibri"/>
          <w:color w:val="000000"/>
          <w:szCs w:val="21"/>
          <w:highlight w:val="white"/>
          <w:lang w:eastAsia="zh-CN"/>
        </w:rPr>
        <w:t>T</w:t>
      </w:r>
      <w:r>
        <w:rPr>
          <w:rFonts w:ascii="宋体" w:hAnsi="Calibri" w:cs="宋体"/>
          <w:color w:val="000000"/>
          <w:szCs w:val="21"/>
          <w:highlight w:val="white"/>
          <w:lang w:eastAsia="zh-CN"/>
        </w:rPr>
        <w:t>日本基金持有</w:t>
      </w:r>
      <w:r>
        <w:rPr>
          <w:rFonts w:ascii="宋体" w:hAnsi="Calibri"/>
          <w:color w:val="000000"/>
          <w:szCs w:val="21"/>
          <w:highlight w:val="white"/>
          <w:lang w:eastAsia="zh-CN"/>
        </w:rPr>
        <w:t>F</w:t>
      </w:r>
      <w:r>
        <w:rPr>
          <w:rFonts w:ascii="宋体" w:hAnsi="Calibri" w:cs="宋体"/>
          <w:color w:val="000000"/>
          <w:szCs w:val="21"/>
          <w:highlight w:val="white"/>
          <w:lang w:eastAsia="zh-CN"/>
        </w:rPr>
        <w:t>基金产生的销售服务费计算如下：</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T</w:t>
      </w:r>
      <w:r>
        <w:rPr>
          <w:rFonts w:ascii="宋体" w:hAnsi="Calibri" w:cs="宋体"/>
          <w:color w:val="000000"/>
          <w:szCs w:val="21"/>
          <w:highlight w:val="white"/>
          <w:lang w:eastAsia="zh-CN"/>
        </w:rPr>
        <w:t>日持有</w:t>
      </w:r>
      <w:r>
        <w:rPr>
          <w:rFonts w:ascii="宋体" w:hAnsi="Calibri"/>
          <w:color w:val="000000"/>
          <w:szCs w:val="21"/>
          <w:highlight w:val="white"/>
          <w:lang w:eastAsia="zh-CN"/>
        </w:rPr>
        <w:t>F</w:t>
      </w:r>
      <w:r>
        <w:rPr>
          <w:rFonts w:ascii="宋体" w:hAnsi="Calibri" w:cs="宋体"/>
          <w:color w:val="000000"/>
          <w:szCs w:val="21"/>
          <w:highlight w:val="white"/>
          <w:lang w:eastAsia="zh-CN"/>
        </w:rPr>
        <w:t>基金产生的销售服务费</w:t>
      </w:r>
      <w:r>
        <w:rPr>
          <w:rFonts w:ascii="宋体" w:hAnsi="Calibri"/>
          <w:color w:val="000000"/>
          <w:szCs w:val="21"/>
          <w:highlight w:val="white"/>
          <w:lang w:eastAsia="zh-CN"/>
        </w:rPr>
        <w:t>=10,000,000.00</w:t>
      </w:r>
      <w:r>
        <w:rPr>
          <w:rFonts w:ascii="宋体" w:hAnsi="Calibri"/>
          <w:color w:val="000000"/>
          <w:szCs w:val="21"/>
          <w:highlight w:val="white"/>
          <w:lang w:eastAsia="zh-CN"/>
        </w:rPr>
        <w:t>×</w:t>
      </w:r>
      <w:r>
        <w:rPr>
          <w:rFonts w:ascii="宋体" w:hAnsi="Calibri"/>
          <w:color w:val="000000"/>
          <w:szCs w:val="21"/>
          <w:highlight w:val="white"/>
          <w:lang w:eastAsia="zh-CN"/>
        </w:rPr>
        <w:t>1.0400</w:t>
      </w:r>
      <w:r>
        <w:rPr>
          <w:rFonts w:ascii="宋体" w:hAnsi="Calibri"/>
          <w:color w:val="000000"/>
          <w:szCs w:val="21"/>
          <w:highlight w:val="white"/>
          <w:lang w:eastAsia="zh-CN"/>
        </w:rPr>
        <w:t>×</w:t>
      </w:r>
      <w:r>
        <w:rPr>
          <w:rFonts w:ascii="宋体" w:hAnsi="Calibri"/>
          <w:color w:val="000000"/>
          <w:szCs w:val="21"/>
          <w:highlight w:val="white"/>
          <w:lang w:eastAsia="zh-CN"/>
        </w:rPr>
        <w:t>0.4%</w:t>
      </w:r>
      <w:r>
        <w:rPr>
          <w:rFonts w:ascii="宋体" w:hAnsi="Calibri" w:cs="宋体"/>
          <w:color w:val="000000"/>
          <w:szCs w:val="21"/>
          <w:highlight w:val="white"/>
          <w:lang w:eastAsia="zh-CN"/>
        </w:rPr>
        <w:t>÷</w:t>
      </w:r>
      <w:r>
        <w:rPr>
          <w:rFonts w:ascii="宋体" w:hAnsi="Calibri"/>
          <w:color w:val="000000"/>
          <w:szCs w:val="21"/>
          <w:highlight w:val="white"/>
          <w:lang w:eastAsia="zh-CN"/>
        </w:rPr>
        <w:t>365=113.97</w:t>
      </w:r>
      <w:r>
        <w:rPr>
          <w:rFonts w:ascii="宋体" w:hAnsi="Calibri" w:cs="宋体"/>
          <w:color w:val="000000"/>
          <w:szCs w:val="21"/>
          <w:highlight w:val="white"/>
          <w:lang w:eastAsia="zh-CN"/>
        </w:rPr>
        <w:t>元</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（4）本基金持有其他基金产生的管理费</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1）本基金持有其他基金产生的管理费（包括本基金管理人管理以及非本基金管理人管理的其他基金的管理费）按照被投资基金基金合同约定从被投资基金基金资产中提取，作为费用计入被投资基金的基金份额净值。计算方法及举例如下：</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持有被投资基金当日产生的管理费=持有被投资基金的基金份额总数</w:t>
      </w:r>
      <w:r>
        <w:rPr>
          <w:rFonts w:ascii="宋体" w:hAnsi="Calibri" w:cs="宋体"/>
          <w:color w:val="000000"/>
          <w:szCs w:val="21"/>
          <w:highlight w:val="white"/>
          <w:lang w:eastAsia="zh-CN"/>
        </w:rPr>
        <w:t>×</w:t>
      </w:r>
      <w:r>
        <w:rPr>
          <w:rFonts w:ascii="宋体" w:hAnsi="Calibri" w:cs="宋体"/>
          <w:color w:val="000000"/>
          <w:szCs w:val="21"/>
          <w:highlight w:val="white"/>
          <w:lang w:eastAsia="zh-CN"/>
        </w:rPr>
        <w:t>被投资基金前一日的基金份额净值</w:t>
      </w:r>
      <w:r>
        <w:rPr>
          <w:rFonts w:ascii="宋体" w:hAnsi="Calibri" w:cs="宋体"/>
          <w:color w:val="000000"/>
          <w:szCs w:val="21"/>
          <w:highlight w:val="white"/>
          <w:lang w:eastAsia="zh-CN"/>
        </w:rPr>
        <w:t>×</w:t>
      </w:r>
      <w:r>
        <w:rPr>
          <w:rFonts w:ascii="宋体" w:hAnsi="Calibri" w:cs="宋体"/>
          <w:color w:val="000000"/>
          <w:szCs w:val="21"/>
          <w:highlight w:val="white"/>
          <w:lang w:eastAsia="zh-CN"/>
        </w:rPr>
        <w:t>被投资基金年管理费率</w:t>
      </w:r>
      <w:r>
        <w:rPr>
          <w:rFonts w:ascii="宋体" w:hAnsi="Calibri" w:cs="宋体"/>
          <w:color w:val="000000"/>
          <w:szCs w:val="21"/>
          <w:highlight w:val="white"/>
          <w:lang w:eastAsia="zh-CN"/>
        </w:rPr>
        <w:t>÷</w:t>
      </w:r>
      <w:r>
        <w:rPr>
          <w:rFonts w:ascii="宋体" w:hAnsi="Calibri" w:cs="宋体"/>
          <w:color w:val="000000"/>
          <w:szCs w:val="21"/>
          <w:highlight w:val="white"/>
          <w:lang w:eastAsia="zh-CN"/>
        </w:rPr>
        <w:t>当年天数</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例四：假设本基金持有</w:t>
      </w:r>
      <w:r>
        <w:rPr>
          <w:rFonts w:ascii="宋体" w:hAnsi="Calibri"/>
          <w:color w:val="000000"/>
          <w:szCs w:val="21"/>
          <w:highlight w:val="white"/>
          <w:lang w:eastAsia="zh-CN"/>
        </w:rPr>
        <w:t>10,000,000.00</w:t>
      </w:r>
      <w:r>
        <w:rPr>
          <w:rFonts w:ascii="宋体" w:hAnsi="Calibri" w:cs="宋体"/>
          <w:color w:val="000000"/>
          <w:szCs w:val="21"/>
          <w:highlight w:val="white"/>
          <w:lang w:eastAsia="zh-CN"/>
        </w:rPr>
        <w:t>份本基金管理人管理的</w:t>
      </w:r>
      <w:r>
        <w:rPr>
          <w:rFonts w:ascii="宋体" w:hAnsi="Calibri"/>
          <w:color w:val="000000"/>
          <w:szCs w:val="21"/>
          <w:highlight w:val="white"/>
          <w:lang w:eastAsia="zh-CN"/>
        </w:rPr>
        <w:t>E</w:t>
      </w:r>
      <w:r>
        <w:rPr>
          <w:rFonts w:ascii="宋体" w:hAnsi="Calibri" w:cs="宋体"/>
          <w:color w:val="000000"/>
          <w:szCs w:val="21"/>
          <w:highlight w:val="white"/>
          <w:lang w:eastAsia="zh-CN"/>
        </w:rPr>
        <w:t>基金，该基金的年管理费率为</w:t>
      </w:r>
      <w:r>
        <w:rPr>
          <w:rFonts w:ascii="宋体" w:hAnsi="Calibri"/>
          <w:color w:val="000000"/>
          <w:szCs w:val="21"/>
          <w:highlight w:val="white"/>
          <w:lang w:eastAsia="zh-CN"/>
        </w:rPr>
        <w:t>0.8%</w:t>
      </w:r>
      <w:r>
        <w:rPr>
          <w:rFonts w:ascii="宋体" w:hAnsi="Calibri" w:cs="宋体"/>
          <w:color w:val="000000"/>
          <w:szCs w:val="21"/>
          <w:highlight w:val="white"/>
          <w:lang w:eastAsia="zh-CN"/>
        </w:rPr>
        <w:t>，前一日</w:t>
      </w:r>
      <w:r>
        <w:rPr>
          <w:rFonts w:ascii="宋体" w:hAnsi="Calibri"/>
          <w:color w:val="000000"/>
          <w:szCs w:val="21"/>
          <w:highlight w:val="white"/>
          <w:lang w:eastAsia="zh-CN"/>
        </w:rPr>
        <w:t>E</w:t>
      </w:r>
      <w:r>
        <w:rPr>
          <w:rFonts w:ascii="宋体" w:hAnsi="Calibri" w:cs="宋体"/>
          <w:color w:val="000000"/>
          <w:szCs w:val="21"/>
          <w:highlight w:val="white"/>
          <w:lang w:eastAsia="zh-CN"/>
        </w:rPr>
        <w:t>基金的基金份额净值为</w:t>
      </w:r>
      <w:r>
        <w:rPr>
          <w:rFonts w:ascii="宋体" w:hAnsi="Calibri"/>
          <w:color w:val="000000"/>
          <w:szCs w:val="21"/>
          <w:highlight w:val="white"/>
          <w:lang w:eastAsia="zh-CN"/>
        </w:rPr>
        <w:t>1.0400</w:t>
      </w:r>
      <w:r>
        <w:rPr>
          <w:rFonts w:ascii="宋体" w:hAnsi="Calibri" w:cs="宋体"/>
          <w:color w:val="000000"/>
          <w:szCs w:val="21"/>
          <w:highlight w:val="white"/>
          <w:lang w:eastAsia="zh-CN"/>
        </w:rPr>
        <w:t>元，当年天数为</w:t>
      </w:r>
      <w:r>
        <w:rPr>
          <w:rFonts w:ascii="宋体" w:hAnsi="Calibri"/>
          <w:color w:val="000000"/>
          <w:szCs w:val="21"/>
          <w:highlight w:val="white"/>
          <w:lang w:eastAsia="zh-CN"/>
        </w:rPr>
        <w:t>365</w:t>
      </w:r>
      <w:r>
        <w:rPr>
          <w:rFonts w:ascii="宋体" w:hAnsi="Calibri" w:cs="宋体"/>
          <w:color w:val="000000"/>
          <w:szCs w:val="21"/>
          <w:highlight w:val="white"/>
          <w:lang w:eastAsia="zh-CN"/>
        </w:rPr>
        <w:t>天，则</w:t>
      </w:r>
      <w:r>
        <w:rPr>
          <w:rFonts w:ascii="宋体" w:hAnsi="Calibri"/>
          <w:color w:val="000000"/>
          <w:szCs w:val="21"/>
          <w:highlight w:val="white"/>
          <w:lang w:eastAsia="zh-CN"/>
        </w:rPr>
        <w:t>T</w:t>
      </w:r>
      <w:r>
        <w:rPr>
          <w:rFonts w:ascii="宋体" w:hAnsi="Calibri" w:cs="宋体"/>
          <w:color w:val="000000"/>
          <w:szCs w:val="21"/>
          <w:highlight w:val="white"/>
          <w:lang w:eastAsia="zh-CN"/>
        </w:rPr>
        <w:t>日本基金持有</w:t>
      </w:r>
      <w:r>
        <w:rPr>
          <w:rFonts w:ascii="宋体" w:hAnsi="Calibri"/>
          <w:color w:val="000000"/>
          <w:szCs w:val="21"/>
          <w:highlight w:val="white"/>
          <w:lang w:eastAsia="zh-CN"/>
        </w:rPr>
        <w:t>E</w:t>
      </w:r>
      <w:r>
        <w:rPr>
          <w:rFonts w:ascii="宋体" w:hAnsi="Calibri" w:cs="宋体"/>
          <w:color w:val="000000"/>
          <w:szCs w:val="21"/>
          <w:highlight w:val="white"/>
          <w:lang w:eastAsia="zh-CN"/>
        </w:rPr>
        <w:t>基金产生的管理费计算如下：</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T</w:t>
      </w:r>
      <w:r>
        <w:rPr>
          <w:rFonts w:ascii="宋体" w:hAnsi="Calibri" w:cs="宋体"/>
          <w:color w:val="000000"/>
          <w:szCs w:val="21"/>
          <w:highlight w:val="white"/>
          <w:lang w:eastAsia="zh-CN"/>
        </w:rPr>
        <w:t>日持有</w:t>
      </w:r>
      <w:r>
        <w:rPr>
          <w:rFonts w:ascii="宋体" w:hAnsi="Calibri"/>
          <w:color w:val="000000"/>
          <w:szCs w:val="21"/>
          <w:highlight w:val="white"/>
          <w:lang w:eastAsia="zh-CN"/>
        </w:rPr>
        <w:t>E</w:t>
      </w:r>
      <w:r>
        <w:rPr>
          <w:rFonts w:ascii="宋体" w:hAnsi="Calibri" w:cs="宋体"/>
          <w:color w:val="000000"/>
          <w:szCs w:val="21"/>
          <w:highlight w:val="white"/>
          <w:lang w:eastAsia="zh-CN"/>
        </w:rPr>
        <w:t>基金产生的管理费</w:t>
      </w:r>
      <w:r>
        <w:rPr>
          <w:rFonts w:ascii="宋体" w:hAnsi="Calibri"/>
          <w:color w:val="000000"/>
          <w:szCs w:val="21"/>
          <w:highlight w:val="white"/>
          <w:lang w:eastAsia="zh-CN"/>
        </w:rPr>
        <w:t>=10,000,000.00</w:t>
      </w:r>
      <w:r>
        <w:rPr>
          <w:rFonts w:ascii="宋体" w:hAnsi="Calibri"/>
          <w:color w:val="000000"/>
          <w:szCs w:val="21"/>
          <w:highlight w:val="white"/>
          <w:lang w:eastAsia="zh-CN"/>
        </w:rPr>
        <w:t>×</w:t>
      </w:r>
      <w:r>
        <w:rPr>
          <w:rFonts w:ascii="宋体" w:hAnsi="Calibri"/>
          <w:color w:val="000000"/>
          <w:szCs w:val="21"/>
          <w:highlight w:val="white"/>
          <w:lang w:eastAsia="zh-CN"/>
        </w:rPr>
        <w:t>1.0400</w:t>
      </w:r>
      <w:r>
        <w:rPr>
          <w:rFonts w:ascii="宋体" w:hAnsi="Calibri"/>
          <w:color w:val="000000"/>
          <w:szCs w:val="21"/>
          <w:highlight w:val="white"/>
          <w:lang w:eastAsia="zh-CN"/>
        </w:rPr>
        <w:t>×</w:t>
      </w:r>
      <w:r>
        <w:rPr>
          <w:rFonts w:ascii="宋体" w:hAnsi="Calibri"/>
          <w:color w:val="000000"/>
          <w:szCs w:val="21"/>
          <w:highlight w:val="white"/>
          <w:lang w:eastAsia="zh-CN"/>
        </w:rPr>
        <w:t>0.8%</w:t>
      </w:r>
      <w:r>
        <w:rPr>
          <w:rFonts w:ascii="宋体" w:hAnsi="Calibri" w:cs="宋体"/>
          <w:color w:val="000000"/>
          <w:szCs w:val="21"/>
          <w:highlight w:val="white"/>
          <w:lang w:eastAsia="zh-CN"/>
        </w:rPr>
        <w:t>÷</w:t>
      </w:r>
      <w:r>
        <w:rPr>
          <w:rFonts w:ascii="宋体" w:hAnsi="Calibri"/>
          <w:color w:val="000000"/>
          <w:szCs w:val="21"/>
          <w:highlight w:val="white"/>
          <w:lang w:eastAsia="zh-CN"/>
        </w:rPr>
        <w:t>365=</w:t>
      </w:r>
      <w:r>
        <w:rPr>
          <w:rFonts w:ascii="宋体" w:hAnsi="Calibri"/>
          <w:color w:val="000000"/>
          <w:szCs w:val="21"/>
          <w:lang w:eastAsia="zh-CN"/>
        </w:rPr>
        <w:t>227.95</w:t>
      </w:r>
      <w:r>
        <w:rPr>
          <w:rFonts w:ascii="宋体" w:hAnsi="Calibri" w:cs="宋体"/>
          <w:color w:val="000000"/>
          <w:szCs w:val="21"/>
          <w:highlight w:val="white"/>
          <w:lang w:eastAsia="zh-CN"/>
        </w:rPr>
        <w:t>元</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2</w:t>
      </w:r>
      <w:r>
        <w:rPr>
          <w:rFonts w:ascii="宋体" w:hAnsi="Calibri" w:cs="宋体"/>
          <w:color w:val="000000"/>
          <w:szCs w:val="21"/>
          <w:highlight w:val="white"/>
          <w:lang w:eastAsia="zh-CN"/>
        </w:rPr>
        <w:t>）本基金投资于本基金管理人所管理的基金部分不收取基金中基金的管理费，本基金管理费按前一日基金资产净值扣除前一日所持有本基金管理人管理的其他基金公允价值后的余额（若为负数，则取</w:t>
      </w:r>
      <w:r>
        <w:rPr>
          <w:rFonts w:ascii="宋体" w:hAnsi="Calibri"/>
          <w:color w:val="000000"/>
          <w:szCs w:val="21"/>
          <w:highlight w:val="white"/>
          <w:lang w:eastAsia="zh-CN"/>
        </w:rPr>
        <w:t>0</w:t>
      </w:r>
      <w:r>
        <w:rPr>
          <w:rFonts w:ascii="宋体" w:hAnsi="Calibri" w:cs="宋体"/>
          <w:color w:val="000000"/>
          <w:szCs w:val="21"/>
          <w:highlight w:val="white"/>
          <w:lang w:eastAsia="zh-CN"/>
        </w:rPr>
        <w:t>）的</w:t>
      </w:r>
      <w:r>
        <w:rPr>
          <w:rFonts w:ascii="宋体" w:hAnsi="Calibri" w:hint="eastAsia"/>
          <w:color w:val="000000"/>
          <w:szCs w:val="21"/>
          <w:lang w:eastAsia="zh-CN"/>
        </w:rPr>
        <w:t>0.60%</w:t>
      </w:r>
      <w:r>
        <w:rPr>
          <w:rFonts w:ascii="宋体" w:hAnsi="Calibri" w:cs="宋体"/>
          <w:color w:val="000000"/>
          <w:szCs w:val="21"/>
          <w:highlight w:val="white"/>
          <w:lang w:eastAsia="zh-CN"/>
        </w:rPr>
        <w:t>年费率计提，计算方法和举例如下：</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本基金每日应收取的管理费</w:t>
      </w:r>
      <w:r>
        <w:rPr>
          <w:rFonts w:ascii="宋体" w:hAnsi="Calibri"/>
          <w:color w:val="000000"/>
          <w:szCs w:val="21"/>
          <w:highlight w:val="white"/>
          <w:lang w:eastAsia="zh-CN"/>
        </w:rPr>
        <w:t>=</w:t>
      </w:r>
      <w:r>
        <w:rPr>
          <w:rFonts w:ascii="宋体" w:hAnsi="Calibri" w:cs="宋体"/>
          <w:color w:val="000000"/>
          <w:szCs w:val="21"/>
          <w:highlight w:val="white"/>
          <w:lang w:eastAsia="zh-CN"/>
        </w:rPr>
        <w:t>前一日基金资产净值扣除前一日所持有本基金管理人管理的其他基金公允价值后的余额（若为负数，则取</w:t>
      </w:r>
      <w:r>
        <w:rPr>
          <w:rFonts w:ascii="宋体" w:hAnsi="Calibri"/>
          <w:color w:val="000000"/>
          <w:szCs w:val="21"/>
          <w:highlight w:val="white"/>
          <w:lang w:eastAsia="zh-CN"/>
        </w:rPr>
        <w:t>0</w:t>
      </w:r>
      <w:r>
        <w:rPr>
          <w:rFonts w:ascii="宋体" w:hAnsi="Calibri" w:cs="宋体"/>
          <w:color w:val="000000"/>
          <w:szCs w:val="21"/>
          <w:highlight w:val="white"/>
          <w:lang w:eastAsia="zh-CN"/>
        </w:rPr>
        <w:t>）</w:t>
      </w:r>
      <w:r>
        <w:rPr>
          <w:rFonts w:ascii="宋体" w:hAnsi="Calibri"/>
          <w:color w:val="000000"/>
          <w:szCs w:val="21"/>
          <w:highlight w:val="white"/>
          <w:lang w:eastAsia="zh-CN"/>
        </w:rPr>
        <w:t>×</w:t>
      </w:r>
      <w:r>
        <w:rPr>
          <w:rFonts w:ascii="宋体" w:hAnsi="Calibri" w:cs="宋体"/>
          <w:color w:val="000000"/>
          <w:szCs w:val="21"/>
          <w:highlight w:val="white"/>
          <w:lang w:eastAsia="zh-CN"/>
        </w:rPr>
        <w:t>本基金年管理费率</w:t>
      </w:r>
      <w:r>
        <w:rPr>
          <w:rFonts w:ascii="宋体" w:hAnsi="Calibri" w:cs="宋体"/>
          <w:color w:val="000000"/>
          <w:szCs w:val="21"/>
          <w:highlight w:val="white"/>
          <w:lang w:eastAsia="zh-CN"/>
        </w:rPr>
        <w:t>÷</w:t>
      </w:r>
      <w:r>
        <w:rPr>
          <w:rFonts w:ascii="宋体" w:hAnsi="Calibri" w:cs="宋体"/>
          <w:color w:val="000000"/>
          <w:szCs w:val="21"/>
          <w:highlight w:val="white"/>
          <w:lang w:eastAsia="zh-CN"/>
        </w:rPr>
        <w:t>当年天数</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例五：假设本基金前一日基金资产净值为</w:t>
      </w:r>
      <w:r>
        <w:rPr>
          <w:rFonts w:ascii="宋体" w:hAnsi="Calibri"/>
          <w:color w:val="000000"/>
          <w:szCs w:val="21"/>
          <w:highlight w:val="white"/>
          <w:lang w:eastAsia="zh-CN"/>
        </w:rPr>
        <w:t>1,000,000,000.00</w:t>
      </w:r>
      <w:r>
        <w:rPr>
          <w:rFonts w:ascii="宋体" w:hAnsi="Calibri" w:cs="宋体"/>
          <w:color w:val="000000"/>
          <w:szCs w:val="21"/>
          <w:highlight w:val="white"/>
          <w:lang w:eastAsia="zh-CN"/>
        </w:rPr>
        <w:t>元，所持有的本基金管理人管理的基金所对应的基金资产净值为</w:t>
      </w:r>
      <w:r>
        <w:rPr>
          <w:rFonts w:ascii="宋体" w:hAnsi="Calibri"/>
          <w:color w:val="000000"/>
          <w:szCs w:val="21"/>
          <w:highlight w:val="white"/>
          <w:lang w:eastAsia="zh-CN"/>
        </w:rPr>
        <w:t>200,000,000.00</w:t>
      </w:r>
      <w:r>
        <w:rPr>
          <w:rFonts w:ascii="宋体" w:hAnsi="Calibri" w:cs="宋体"/>
          <w:color w:val="000000"/>
          <w:szCs w:val="21"/>
          <w:highlight w:val="white"/>
          <w:lang w:eastAsia="zh-CN"/>
        </w:rPr>
        <w:t>元，本基金的年管理费率为</w:t>
      </w:r>
      <w:r>
        <w:rPr>
          <w:rFonts w:ascii="宋体" w:hAnsi="Calibri" w:hint="eastAsia"/>
          <w:color w:val="000000"/>
          <w:szCs w:val="21"/>
          <w:lang w:eastAsia="zh-CN"/>
        </w:rPr>
        <w:t>0.60%</w:t>
      </w:r>
      <w:r>
        <w:rPr>
          <w:rFonts w:ascii="宋体" w:hAnsi="Calibri" w:cs="宋体"/>
          <w:color w:val="000000"/>
          <w:szCs w:val="21"/>
          <w:highlight w:val="white"/>
          <w:lang w:eastAsia="zh-CN"/>
        </w:rPr>
        <w:t>，当年天数为</w:t>
      </w:r>
      <w:r>
        <w:rPr>
          <w:rFonts w:ascii="宋体" w:hAnsi="Calibri"/>
          <w:color w:val="000000"/>
          <w:szCs w:val="21"/>
          <w:highlight w:val="white"/>
          <w:lang w:eastAsia="zh-CN"/>
        </w:rPr>
        <w:t>365</w:t>
      </w:r>
      <w:r>
        <w:rPr>
          <w:rFonts w:ascii="宋体" w:hAnsi="Calibri" w:cs="宋体"/>
          <w:color w:val="000000"/>
          <w:szCs w:val="21"/>
          <w:highlight w:val="white"/>
          <w:lang w:eastAsia="zh-CN"/>
        </w:rPr>
        <w:t>天，则</w:t>
      </w:r>
      <w:r>
        <w:rPr>
          <w:rFonts w:ascii="宋体" w:hAnsi="Calibri"/>
          <w:color w:val="000000"/>
          <w:szCs w:val="21"/>
          <w:highlight w:val="white"/>
          <w:lang w:eastAsia="zh-CN"/>
        </w:rPr>
        <w:t>T</w:t>
      </w:r>
      <w:r>
        <w:rPr>
          <w:rFonts w:ascii="宋体" w:hAnsi="Calibri" w:cs="宋体"/>
          <w:color w:val="000000"/>
          <w:szCs w:val="21"/>
          <w:highlight w:val="white"/>
          <w:lang w:eastAsia="zh-CN"/>
        </w:rPr>
        <w:t>日本基金收取的管理费计算如下：</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T</w:t>
      </w:r>
      <w:r>
        <w:rPr>
          <w:rFonts w:ascii="宋体" w:hAnsi="Calibri" w:cs="宋体"/>
          <w:color w:val="000000"/>
          <w:szCs w:val="21"/>
          <w:highlight w:val="white"/>
          <w:lang w:eastAsia="zh-CN"/>
        </w:rPr>
        <w:t>日本基金收取的管理费</w:t>
      </w:r>
      <w:r>
        <w:rPr>
          <w:rFonts w:ascii="宋体" w:hAnsi="Calibri"/>
          <w:color w:val="000000"/>
          <w:szCs w:val="21"/>
          <w:highlight w:val="white"/>
          <w:lang w:eastAsia="zh-CN"/>
        </w:rPr>
        <w:t>=</w:t>
      </w:r>
      <w:r>
        <w:rPr>
          <w:rFonts w:ascii="宋体" w:hAnsi="Calibri" w:cs="宋体"/>
          <w:color w:val="000000"/>
          <w:szCs w:val="21"/>
          <w:highlight w:val="white"/>
          <w:lang w:eastAsia="zh-CN"/>
        </w:rPr>
        <w:t>（</w:t>
      </w:r>
      <w:r>
        <w:rPr>
          <w:rFonts w:ascii="宋体" w:hAnsi="Calibri"/>
          <w:color w:val="000000"/>
          <w:szCs w:val="21"/>
          <w:highlight w:val="white"/>
          <w:lang w:eastAsia="zh-CN"/>
        </w:rPr>
        <w:t>1,000,000,000.00-200,000,000.00</w:t>
      </w:r>
      <w:r>
        <w:rPr>
          <w:rFonts w:ascii="宋体" w:hAnsi="Calibri" w:cs="宋体"/>
          <w:color w:val="000000"/>
          <w:szCs w:val="21"/>
          <w:highlight w:val="white"/>
          <w:lang w:eastAsia="zh-CN"/>
        </w:rPr>
        <w:t>）</w:t>
      </w:r>
      <w:r>
        <w:rPr>
          <w:rFonts w:ascii="宋体" w:hAnsi="Calibri"/>
          <w:color w:val="000000"/>
          <w:szCs w:val="21"/>
          <w:highlight w:val="white"/>
          <w:lang w:eastAsia="zh-CN"/>
        </w:rPr>
        <w:t>×</w:t>
      </w:r>
      <w:r>
        <w:rPr>
          <w:rFonts w:ascii="宋体" w:hAnsi="Calibri" w:hint="eastAsia"/>
          <w:color w:val="000000"/>
          <w:szCs w:val="21"/>
          <w:lang w:eastAsia="zh-CN"/>
        </w:rPr>
        <w:t>0.60%</w:t>
      </w:r>
      <w:r>
        <w:rPr>
          <w:rFonts w:ascii="宋体" w:hAnsi="Calibri" w:cs="宋体"/>
          <w:color w:val="000000"/>
          <w:szCs w:val="21"/>
          <w:highlight w:val="white"/>
          <w:lang w:eastAsia="zh-CN"/>
        </w:rPr>
        <w:t>÷</w:t>
      </w:r>
      <w:r>
        <w:rPr>
          <w:rFonts w:ascii="宋体" w:hAnsi="Calibri"/>
          <w:color w:val="000000"/>
          <w:szCs w:val="21"/>
          <w:highlight w:val="white"/>
          <w:lang w:eastAsia="zh-CN"/>
        </w:rPr>
        <w:t>365=13,150.68</w:t>
      </w:r>
      <w:r>
        <w:rPr>
          <w:rFonts w:ascii="宋体" w:hAnsi="Calibri" w:cs="宋体"/>
          <w:color w:val="000000"/>
          <w:szCs w:val="21"/>
          <w:highlight w:val="white"/>
          <w:lang w:eastAsia="zh-CN"/>
        </w:rPr>
        <w:t>元</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5</w:t>
      </w:r>
      <w:r>
        <w:rPr>
          <w:rFonts w:ascii="宋体" w:hAnsi="Calibri" w:cs="宋体"/>
          <w:color w:val="000000"/>
          <w:szCs w:val="21"/>
          <w:highlight w:val="white"/>
          <w:lang w:eastAsia="zh-CN"/>
        </w:rPr>
        <w:t>）本基金持有其他基金产生的托管费</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1</w:t>
      </w:r>
      <w:r>
        <w:rPr>
          <w:rFonts w:ascii="宋体" w:hAnsi="Calibri" w:cs="宋体"/>
          <w:color w:val="000000"/>
          <w:szCs w:val="21"/>
          <w:highlight w:val="white"/>
          <w:lang w:eastAsia="zh-CN"/>
        </w:rPr>
        <w:t>）本基金持有其他基金产生的托管费（包括本基金托管人托管以及非本基金托管人托管的其他基金的托管费）按照被投资基金基金合同约定从被投资基金基金资产中提取，作为费用计入被投资基金的基金份额净值。计算方法及举例如下：持有被投资基金当日产生的托管费</w:t>
      </w:r>
      <w:r>
        <w:rPr>
          <w:rFonts w:ascii="宋体" w:hAnsi="Calibri"/>
          <w:color w:val="000000"/>
          <w:szCs w:val="21"/>
          <w:highlight w:val="white"/>
          <w:lang w:eastAsia="zh-CN"/>
        </w:rPr>
        <w:t>=</w:t>
      </w:r>
      <w:r>
        <w:rPr>
          <w:rFonts w:ascii="宋体" w:hAnsi="Calibri" w:cs="宋体"/>
          <w:color w:val="000000"/>
          <w:szCs w:val="21"/>
          <w:highlight w:val="white"/>
          <w:lang w:eastAsia="zh-CN"/>
        </w:rPr>
        <w:t>持有被投资基金的基金份额总数</w:t>
      </w:r>
      <w:r>
        <w:rPr>
          <w:rFonts w:ascii="宋体" w:hAnsi="Calibri"/>
          <w:color w:val="000000"/>
          <w:szCs w:val="21"/>
          <w:highlight w:val="white"/>
          <w:lang w:eastAsia="zh-CN"/>
        </w:rPr>
        <w:t>×</w:t>
      </w:r>
      <w:r>
        <w:rPr>
          <w:rFonts w:ascii="宋体" w:hAnsi="Calibri" w:cs="宋体"/>
          <w:color w:val="000000"/>
          <w:szCs w:val="21"/>
          <w:highlight w:val="white"/>
          <w:lang w:eastAsia="zh-CN"/>
        </w:rPr>
        <w:t>被投资基金前一日的基金份额净值</w:t>
      </w:r>
      <w:r>
        <w:rPr>
          <w:rFonts w:ascii="宋体" w:hAnsi="Calibri"/>
          <w:color w:val="000000"/>
          <w:szCs w:val="21"/>
          <w:highlight w:val="white"/>
          <w:lang w:eastAsia="zh-CN"/>
        </w:rPr>
        <w:t>×</w:t>
      </w:r>
      <w:r>
        <w:rPr>
          <w:rFonts w:ascii="宋体" w:hAnsi="Calibri" w:cs="宋体"/>
          <w:color w:val="000000"/>
          <w:szCs w:val="21"/>
          <w:highlight w:val="white"/>
          <w:lang w:eastAsia="zh-CN"/>
        </w:rPr>
        <w:t>被投资基金年托管费率</w:t>
      </w:r>
      <w:r>
        <w:rPr>
          <w:rFonts w:ascii="宋体" w:hAnsi="Calibri" w:cs="宋体"/>
          <w:color w:val="000000"/>
          <w:szCs w:val="21"/>
          <w:highlight w:val="white"/>
          <w:lang w:eastAsia="zh-CN"/>
        </w:rPr>
        <w:t>÷</w:t>
      </w:r>
      <w:r>
        <w:rPr>
          <w:rFonts w:ascii="宋体" w:hAnsi="Calibri" w:cs="宋体"/>
          <w:color w:val="000000"/>
          <w:szCs w:val="21"/>
          <w:highlight w:val="white"/>
          <w:lang w:eastAsia="zh-CN"/>
        </w:rPr>
        <w:t>当年天数</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例六：假设本基金持有</w:t>
      </w:r>
      <w:r>
        <w:rPr>
          <w:rFonts w:ascii="宋体" w:hAnsi="Calibri"/>
          <w:color w:val="000000"/>
          <w:szCs w:val="21"/>
          <w:highlight w:val="white"/>
          <w:lang w:eastAsia="zh-CN"/>
        </w:rPr>
        <w:t>10,000,000.00</w:t>
      </w:r>
      <w:r>
        <w:rPr>
          <w:rFonts w:ascii="宋体" w:hAnsi="Calibri" w:cs="宋体"/>
          <w:color w:val="000000"/>
          <w:szCs w:val="21"/>
          <w:highlight w:val="white"/>
          <w:lang w:eastAsia="zh-CN"/>
        </w:rPr>
        <w:t>份的</w:t>
      </w:r>
      <w:r>
        <w:rPr>
          <w:rFonts w:ascii="宋体" w:hAnsi="Calibri"/>
          <w:color w:val="000000"/>
          <w:szCs w:val="21"/>
          <w:highlight w:val="white"/>
          <w:lang w:eastAsia="zh-CN"/>
        </w:rPr>
        <w:t>E</w:t>
      </w:r>
      <w:r>
        <w:rPr>
          <w:rFonts w:ascii="宋体" w:hAnsi="Calibri" w:cs="宋体"/>
          <w:color w:val="000000"/>
          <w:szCs w:val="21"/>
          <w:highlight w:val="white"/>
          <w:lang w:eastAsia="zh-CN"/>
        </w:rPr>
        <w:t>基金，该基金的年托管费率为</w:t>
      </w:r>
      <w:r>
        <w:rPr>
          <w:rFonts w:ascii="宋体" w:hAnsi="Calibri"/>
          <w:color w:val="000000"/>
          <w:szCs w:val="21"/>
          <w:highlight w:val="white"/>
          <w:lang w:eastAsia="zh-CN"/>
        </w:rPr>
        <w:t>0.10%</w:t>
      </w:r>
      <w:r>
        <w:rPr>
          <w:rFonts w:ascii="宋体" w:hAnsi="Calibri" w:cs="宋体"/>
          <w:color w:val="000000"/>
          <w:szCs w:val="21"/>
          <w:highlight w:val="white"/>
          <w:lang w:eastAsia="zh-CN"/>
        </w:rPr>
        <w:t>，前一日</w:t>
      </w:r>
      <w:r>
        <w:rPr>
          <w:rFonts w:ascii="宋体" w:hAnsi="Calibri"/>
          <w:color w:val="000000"/>
          <w:szCs w:val="21"/>
          <w:highlight w:val="white"/>
          <w:lang w:eastAsia="zh-CN"/>
        </w:rPr>
        <w:t>E</w:t>
      </w:r>
      <w:r>
        <w:rPr>
          <w:rFonts w:ascii="宋体" w:hAnsi="Calibri" w:cs="宋体"/>
          <w:color w:val="000000"/>
          <w:szCs w:val="21"/>
          <w:highlight w:val="white"/>
          <w:lang w:eastAsia="zh-CN"/>
        </w:rPr>
        <w:t>基金的基金份额净值为</w:t>
      </w:r>
      <w:r>
        <w:rPr>
          <w:rFonts w:ascii="宋体" w:hAnsi="Calibri"/>
          <w:color w:val="000000"/>
          <w:szCs w:val="21"/>
          <w:highlight w:val="white"/>
          <w:lang w:eastAsia="zh-CN"/>
        </w:rPr>
        <w:t>1.0400</w:t>
      </w:r>
      <w:r>
        <w:rPr>
          <w:rFonts w:ascii="宋体" w:hAnsi="Calibri" w:cs="宋体"/>
          <w:color w:val="000000"/>
          <w:szCs w:val="21"/>
          <w:highlight w:val="white"/>
          <w:lang w:eastAsia="zh-CN"/>
        </w:rPr>
        <w:t>元，当年天数为</w:t>
      </w:r>
      <w:r>
        <w:rPr>
          <w:rFonts w:ascii="宋体" w:hAnsi="Calibri"/>
          <w:color w:val="000000"/>
          <w:szCs w:val="21"/>
          <w:highlight w:val="white"/>
          <w:lang w:eastAsia="zh-CN"/>
        </w:rPr>
        <w:t>365</w:t>
      </w:r>
      <w:r>
        <w:rPr>
          <w:rFonts w:ascii="宋体" w:hAnsi="Calibri" w:cs="宋体"/>
          <w:color w:val="000000"/>
          <w:szCs w:val="21"/>
          <w:highlight w:val="white"/>
          <w:lang w:eastAsia="zh-CN"/>
        </w:rPr>
        <w:t>天，则</w:t>
      </w:r>
      <w:r>
        <w:rPr>
          <w:rFonts w:ascii="宋体" w:hAnsi="Calibri"/>
          <w:color w:val="000000"/>
          <w:szCs w:val="21"/>
          <w:highlight w:val="white"/>
          <w:lang w:eastAsia="zh-CN"/>
        </w:rPr>
        <w:t>T</w:t>
      </w:r>
      <w:r>
        <w:rPr>
          <w:rFonts w:ascii="宋体" w:hAnsi="Calibri" w:cs="宋体"/>
          <w:color w:val="000000"/>
          <w:szCs w:val="21"/>
          <w:highlight w:val="white"/>
          <w:lang w:eastAsia="zh-CN"/>
        </w:rPr>
        <w:t>日本基金持有</w:t>
      </w:r>
      <w:r>
        <w:rPr>
          <w:rFonts w:ascii="宋体" w:hAnsi="Calibri"/>
          <w:color w:val="000000"/>
          <w:szCs w:val="21"/>
          <w:highlight w:val="white"/>
          <w:lang w:eastAsia="zh-CN"/>
        </w:rPr>
        <w:t>E</w:t>
      </w:r>
      <w:r>
        <w:rPr>
          <w:rFonts w:ascii="宋体" w:hAnsi="Calibri" w:cs="宋体"/>
          <w:color w:val="000000"/>
          <w:szCs w:val="21"/>
          <w:highlight w:val="white"/>
          <w:lang w:eastAsia="zh-CN"/>
        </w:rPr>
        <w:t>基金产生的托管费计算如下：</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T</w:t>
      </w:r>
      <w:r>
        <w:rPr>
          <w:rFonts w:ascii="宋体" w:hAnsi="Calibri" w:cs="宋体"/>
          <w:color w:val="000000"/>
          <w:szCs w:val="21"/>
          <w:highlight w:val="white"/>
          <w:lang w:eastAsia="zh-CN"/>
        </w:rPr>
        <w:t>日持有</w:t>
      </w:r>
      <w:r>
        <w:rPr>
          <w:rFonts w:ascii="宋体" w:hAnsi="Calibri"/>
          <w:color w:val="000000"/>
          <w:szCs w:val="21"/>
          <w:highlight w:val="white"/>
          <w:lang w:eastAsia="zh-CN"/>
        </w:rPr>
        <w:t>E</w:t>
      </w:r>
      <w:r>
        <w:rPr>
          <w:rFonts w:ascii="宋体" w:hAnsi="Calibri" w:cs="宋体"/>
          <w:color w:val="000000"/>
          <w:szCs w:val="21"/>
          <w:highlight w:val="white"/>
          <w:lang w:eastAsia="zh-CN"/>
        </w:rPr>
        <w:t>基金产生的托管费</w:t>
      </w:r>
      <w:r>
        <w:rPr>
          <w:rFonts w:ascii="宋体" w:hAnsi="Calibri"/>
          <w:color w:val="000000"/>
          <w:szCs w:val="21"/>
          <w:highlight w:val="white"/>
          <w:lang w:eastAsia="zh-CN"/>
        </w:rPr>
        <w:t>=10,000,000.00</w:t>
      </w:r>
      <w:r>
        <w:rPr>
          <w:rFonts w:ascii="宋体" w:hAnsi="Calibri"/>
          <w:color w:val="000000"/>
          <w:szCs w:val="21"/>
          <w:highlight w:val="white"/>
          <w:lang w:eastAsia="zh-CN"/>
        </w:rPr>
        <w:t>×</w:t>
      </w:r>
      <w:r>
        <w:rPr>
          <w:rFonts w:ascii="宋体" w:hAnsi="Calibri"/>
          <w:color w:val="000000"/>
          <w:szCs w:val="21"/>
          <w:highlight w:val="white"/>
          <w:lang w:eastAsia="zh-CN"/>
        </w:rPr>
        <w:t>1.0400</w:t>
      </w:r>
      <w:r>
        <w:rPr>
          <w:rFonts w:ascii="宋体" w:hAnsi="Calibri"/>
          <w:color w:val="000000"/>
          <w:szCs w:val="21"/>
          <w:highlight w:val="white"/>
          <w:lang w:eastAsia="zh-CN"/>
        </w:rPr>
        <w:t>×</w:t>
      </w:r>
      <w:r>
        <w:rPr>
          <w:rFonts w:ascii="宋体" w:hAnsi="Calibri"/>
          <w:color w:val="000000"/>
          <w:szCs w:val="21"/>
          <w:highlight w:val="white"/>
          <w:lang w:eastAsia="zh-CN"/>
        </w:rPr>
        <w:t>0.10%</w:t>
      </w:r>
      <w:r>
        <w:rPr>
          <w:rFonts w:ascii="宋体" w:hAnsi="Calibri" w:cs="宋体"/>
          <w:color w:val="000000"/>
          <w:szCs w:val="21"/>
          <w:highlight w:val="white"/>
          <w:lang w:eastAsia="zh-CN"/>
        </w:rPr>
        <w:t>÷</w:t>
      </w:r>
      <w:r>
        <w:rPr>
          <w:rFonts w:ascii="宋体" w:hAnsi="Calibri"/>
          <w:color w:val="000000"/>
          <w:szCs w:val="21"/>
          <w:highlight w:val="white"/>
          <w:lang w:eastAsia="zh-CN"/>
        </w:rPr>
        <w:t>365=</w:t>
      </w:r>
      <w:r>
        <w:rPr>
          <w:rFonts w:ascii="宋体" w:hAnsi="Calibri"/>
          <w:color w:val="000000"/>
          <w:szCs w:val="21"/>
          <w:lang w:eastAsia="zh-CN"/>
        </w:rPr>
        <w:t>28.49</w:t>
      </w:r>
      <w:r>
        <w:rPr>
          <w:rFonts w:ascii="宋体" w:hAnsi="Calibri" w:cs="宋体"/>
          <w:color w:val="000000"/>
          <w:szCs w:val="21"/>
          <w:highlight w:val="white"/>
          <w:lang w:eastAsia="zh-CN"/>
        </w:rPr>
        <w:t>元</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2</w:t>
      </w:r>
      <w:r>
        <w:rPr>
          <w:rFonts w:ascii="宋体" w:hAnsi="Calibri" w:cs="宋体"/>
          <w:color w:val="000000"/>
          <w:szCs w:val="21"/>
          <w:highlight w:val="white"/>
          <w:lang w:eastAsia="zh-CN"/>
        </w:rPr>
        <w:t>）本基金投资于本基金托管人所托管的基金的部分不收取基金中基金的托管费</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本基金托管费按前一日基金资产净值扣除前一日所持有本基金托管人托管的其他基金公允价值后的余额（若为负数，则取</w:t>
      </w:r>
      <w:r>
        <w:rPr>
          <w:rFonts w:ascii="宋体" w:hAnsi="Calibri"/>
          <w:color w:val="000000"/>
          <w:szCs w:val="21"/>
          <w:highlight w:val="white"/>
          <w:lang w:eastAsia="zh-CN"/>
        </w:rPr>
        <w:t>0</w:t>
      </w:r>
      <w:r>
        <w:rPr>
          <w:rFonts w:ascii="宋体" w:hAnsi="Calibri" w:cs="宋体"/>
          <w:color w:val="000000"/>
          <w:szCs w:val="21"/>
          <w:highlight w:val="white"/>
          <w:lang w:eastAsia="zh-CN"/>
        </w:rPr>
        <w:t>）的</w:t>
      </w:r>
      <w:r>
        <w:rPr>
          <w:rFonts w:ascii="宋体" w:hAnsi="Calibri" w:hint="eastAsia"/>
          <w:color w:val="000000"/>
          <w:szCs w:val="21"/>
          <w:lang w:eastAsia="zh-CN"/>
        </w:rPr>
        <w:t>0.15%</w:t>
      </w:r>
      <w:r>
        <w:rPr>
          <w:rFonts w:ascii="宋体" w:hAnsi="Calibri" w:cs="宋体"/>
          <w:color w:val="000000"/>
          <w:szCs w:val="21"/>
          <w:highlight w:val="white"/>
          <w:lang w:eastAsia="zh-CN"/>
        </w:rPr>
        <w:t>年费率计提，计算方法和举例如下：</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本基金每日应收取的托管费</w:t>
      </w:r>
      <w:r>
        <w:rPr>
          <w:rFonts w:ascii="宋体" w:hAnsi="Calibri"/>
          <w:color w:val="000000"/>
          <w:szCs w:val="21"/>
          <w:highlight w:val="white"/>
          <w:lang w:eastAsia="zh-CN"/>
        </w:rPr>
        <w:t>=</w:t>
      </w:r>
      <w:r>
        <w:rPr>
          <w:rFonts w:ascii="宋体" w:hAnsi="Calibri" w:cs="宋体"/>
          <w:color w:val="000000"/>
          <w:szCs w:val="21"/>
          <w:highlight w:val="white"/>
          <w:lang w:eastAsia="zh-CN"/>
        </w:rPr>
        <w:t>前一日基金资产净值扣除前一日所持有本基金托管人托管的其他基金公允价值后的余额（若为负数，则取</w:t>
      </w:r>
      <w:r>
        <w:rPr>
          <w:rFonts w:ascii="宋体" w:hAnsi="Calibri"/>
          <w:color w:val="000000"/>
          <w:szCs w:val="21"/>
          <w:highlight w:val="white"/>
          <w:lang w:eastAsia="zh-CN"/>
        </w:rPr>
        <w:t>0</w:t>
      </w:r>
      <w:r>
        <w:rPr>
          <w:rFonts w:ascii="宋体" w:hAnsi="Calibri" w:cs="宋体"/>
          <w:color w:val="000000"/>
          <w:szCs w:val="21"/>
          <w:highlight w:val="white"/>
          <w:lang w:eastAsia="zh-CN"/>
        </w:rPr>
        <w:t>）</w:t>
      </w:r>
      <w:r>
        <w:rPr>
          <w:rFonts w:ascii="宋体" w:hAnsi="Calibri"/>
          <w:color w:val="000000"/>
          <w:szCs w:val="21"/>
          <w:highlight w:val="white"/>
          <w:lang w:eastAsia="zh-CN"/>
        </w:rPr>
        <w:t>×</w:t>
      </w:r>
      <w:r>
        <w:rPr>
          <w:rFonts w:ascii="宋体" w:hAnsi="Calibri" w:cs="宋体"/>
          <w:color w:val="000000"/>
          <w:szCs w:val="21"/>
          <w:highlight w:val="white"/>
          <w:lang w:eastAsia="zh-CN"/>
        </w:rPr>
        <w:t>本基金年托管费率</w:t>
      </w:r>
      <w:r>
        <w:rPr>
          <w:rFonts w:ascii="宋体" w:hAnsi="Calibri" w:cs="宋体"/>
          <w:color w:val="000000"/>
          <w:szCs w:val="21"/>
          <w:highlight w:val="white"/>
          <w:lang w:eastAsia="zh-CN"/>
        </w:rPr>
        <w:t>÷</w:t>
      </w:r>
      <w:r>
        <w:rPr>
          <w:rFonts w:ascii="宋体" w:hAnsi="Calibri" w:cs="宋体"/>
          <w:color w:val="000000"/>
          <w:szCs w:val="21"/>
          <w:highlight w:val="white"/>
          <w:lang w:eastAsia="zh-CN"/>
        </w:rPr>
        <w:t>当年天数</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例七：假设本基金前一日基金资产净值为</w:t>
      </w:r>
      <w:r>
        <w:rPr>
          <w:rFonts w:ascii="宋体" w:hAnsi="Calibri"/>
          <w:color w:val="000000"/>
          <w:szCs w:val="21"/>
          <w:highlight w:val="white"/>
          <w:lang w:eastAsia="zh-CN"/>
        </w:rPr>
        <w:t>1,000,000,000.00</w:t>
      </w:r>
      <w:r>
        <w:rPr>
          <w:rFonts w:ascii="宋体" w:hAnsi="Calibri" w:cs="宋体"/>
          <w:color w:val="000000"/>
          <w:szCs w:val="21"/>
          <w:highlight w:val="white"/>
          <w:lang w:eastAsia="zh-CN"/>
        </w:rPr>
        <w:t>元，所持有的本基金托管人托管的基金所对应的基金资产净值为</w:t>
      </w:r>
      <w:r>
        <w:rPr>
          <w:rFonts w:ascii="宋体" w:hAnsi="Calibri"/>
          <w:color w:val="000000"/>
          <w:szCs w:val="21"/>
          <w:highlight w:val="white"/>
          <w:lang w:eastAsia="zh-CN"/>
        </w:rPr>
        <w:t>200,000,000.00</w:t>
      </w:r>
      <w:r>
        <w:rPr>
          <w:rFonts w:ascii="宋体" w:hAnsi="Calibri" w:cs="宋体"/>
          <w:color w:val="000000"/>
          <w:szCs w:val="21"/>
          <w:highlight w:val="white"/>
          <w:lang w:eastAsia="zh-CN"/>
        </w:rPr>
        <w:t>元，本基金的年托管费率为</w:t>
      </w:r>
      <w:r>
        <w:rPr>
          <w:rFonts w:ascii="宋体" w:hAnsi="Calibri" w:hint="eastAsia"/>
          <w:color w:val="000000"/>
          <w:szCs w:val="21"/>
          <w:lang w:eastAsia="zh-CN"/>
        </w:rPr>
        <w:t>0.15%</w:t>
      </w:r>
      <w:r>
        <w:rPr>
          <w:rFonts w:ascii="宋体" w:hAnsi="Calibri" w:cs="宋体"/>
          <w:color w:val="000000"/>
          <w:szCs w:val="21"/>
          <w:highlight w:val="white"/>
          <w:lang w:eastAsia="zh-CN"/>
        </w:rPr>
        <w:t>，当年天数为</w:t>
      </w:r>
      <w:r>
        <w:rPr>
          <w:rFonts w:ascii="宋体" w:hAnsi="Calibri"/>
          <w:color w:val="000000"/>
          <w:szCs w:val="21"/>
          <w:highlight w:val="white"/>
          <w:lang w:eastAsia="zh-CN"/>
        </w:rPr>
        <w:t>365</w:t>
      </w:r>
      <w:r>
        <w:rPr>
          <w:rFonts w:ascii="宋体" w:hAnsi="Calibri" w:cs="宋体"/>
          <w:color w:val="000000"/>
          <w:szCs w:val="21"/>
          <w:highlight w:val="white"/>
          <w:lang w:eastAsia="zh-CN"/>
        </w:rPr>
        <w:t>天，则</w:t>
      </w:r>
      <w:r>
        <w:rPr>
          <w:rFonts w:ascii="宋体" w:hAnsi="Calibri"/>
          <w:color w:val="000000"/>
          <w:szCs w:val="21"/>
          <w:highlight w:val="white"/>
          <w:lang w:eastAsia="zh-CN"/>
        </w:rPr>
        <w:t>T</w:t>
      </w:r>
      <w:r>
        <w:rPr>
          <w:rFonts w:ascii="宋体" w:hAnsi="Calibri" w:cs="宋体"/>
          <w:color w:val="000000"/>
          <w:szCs w:val="21"/>
          <w:highlight w:val="white"/>
          <w:lang w:eastAsia="zh-CN"/>
        </w:rPr>
        <w:t>日本基金收取的托管费计算如下：</w:t>
      </w:r>
    </w:p>
    <w:p w:rsidR="002B1026">
      <w:pPr>
        <w:spacing w:line="360" w:lineRule="auto"/>
        <w:ind w:firstLine="420"/>
        <w:rPr>
          <w:rFonts w:ascii="宋体" w:hAnsi="Calibri"/>
          <w:szCs w:val="21"/>
          <w:lang w:eastAsia="zh-CN"/>
        </w:rPr>
      </w:pPr>
      <w:r>
        <w:rPr>
          <w:rFonts w:ascii="宋体" w:hAnsi="Calibri"/>
          <w:color w:val="000000"/>
          <w:szCs w:val="21"/>
          <w:highlight w:val="white"/>
          <w:lang w:eastAsia="zh-CN"/>
        </w:rPr>
        <w:t>T</w:t>
      </w:r>
      <w:r>
        <w:rPr>
          <w:rFonts w:ascii="宋体" w:hAnsi="Calibri" w:cs="宋体"/>
          <w:color w:val="000000"/>
          <w:szCs w:val="21"/>
          <w:highlight w:val="white"/>
          <w:lang w:eastAsia="zh-CN"/>
        </w:rPr>
        <w:t>日本基金收取的托管费</w:t>
      </w:r>
      <w:r>
        <w:rPr>
          <w:rFonts w:ascii="宋体" w:hAnsi="Calibri"/>
          <w:color w:val="000000"/>
          <w:szCs w:val="21"/>
          <w:highlight w:val="white"/>
          <w:lang w:eastAsia="zh-CN"/>
        </w:rPr>
        <w:t>=</w:t>
      </w:r>
      <w:r>
        <w:rPr>
          <w:rFonts w:ascii="宋体" w:hAnsi="Calibri" w:cs="宋体"/>
          <w:color w:val="000000"/>
          <w:szCs w:val="21"/>
          <w:highlight w:val="white"/>
          <w:lang w:eastAsia="zh-CN"/>
        </w:rPr>
        <w:t>（</w:t>
      </w:r>
      <w:r>
        <w:rPr>
          <w:rFonts w:ascii="宋体" w:hAnsi="Calibri"/>
          <w:color w:val="000000"/>
          <w:szCs w:val="21"/>
          <w:highlight w:val="white"/>
          <w:lang w:eastAsia="zh-CN"/>
        </w:rPr>
        <w:t>1,000,000,000.00-200,000,000.00</w:t>
      </w:r>
      <w:r>
        <w:rPr>
          <w:rFonts w:ascii="宋体" w:hAnsi="Calibri" w:cs="宋体"/>
          <w:color w:val="000000"/>
          <w:szCs w:val="21"/>
          <w:highlight w:val="white"/>
          <w:lang w:eastAsia="zh-CN"/>
        </w:rPr>
        <w:t>）</w:t>
      </w:r>
      <w:r>
        <w:rPr>
          <w:rFonts w:ascii="宋体" w:hAnsi="Calibri"/>
          <w:color w:val="000000"/>
          <w:szCs w:val="21"/>
          <w:highlight w:val="white"/>
          <w:lang w:eastAsia="zh-CN"/>
        </w:rPr>
        <w:t>×</w:t>
      </w:r>
      <w:r>
        <w:rPr>
          <w:rFonts w:ascii="宋体" w:hAnsi="Calibri" w:hint="eastAsia"/>
          <w:color w:val="000000"/>
          <w:szCs w:val="21"/>
          <w:lang w:eastAsia="zh-CN"/>
        </w:rPr>
        <w:t>0.15%</w:t>
      </w:r>
      <w:r>
        <w:rPr>
          <w:rFonts w:ascii="宋体" w:hAnsi="Calibri" w:cs="宋体"/>
          <w:color w:val="000000"/>
          <w:szCs w:val="21"/>
          <w:highlight w:val="white"/>
          <w:lang w:eastAsia="zh-CN"/>
        </w:rPr>
        <w:t>÷</w:t>
      </w:r>
      <w:r>
        <w:rPr>
          <w:rFonts w:ascii="宋体" w:hAnsi="Calibri"/>
          <w:color w:val="000000"/>
          <w:szCs w:val="21"/>
          <w:highlight w:val="white"/>
          <w:lang w:eastAsia="zh-CN"/>
        </w:rPr>
        <w:t>365=3,287.67</w:t>
      </w:r>
      <w:r>
        <w:rPr>
          <w:rFonts w:ascii="宋体" w:hAnsi="Calibri" w:cs="宋体"/>
          <w:color w:val="000000"/>
          <w:szCs w:val="21"/>
          <w:highlight w:val="white"/>
          <w:lang w:eastAsia="zh-CN"/>
        </w:rPr>
        <w:t>元</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6</w:t>
      </w:r>
      <w:r>
        <w:rPr>
          <w:rFonts w:ascii="宋体" w:hAnsi="Calibri" w:cs="宋体"/>
          <w:color w:val="000000"/>
          <w:szCs w:val="21"/>
          <w:highlight w:val="white"/>
          <w:lang w:eastAsia="zh-CN"/>
        </w:rPr>
        <w:t>）本基金通过场内交易其他基金产生的交易费用按相关交易所和证券经纪公司的规则和费率标准处理，从本基金财产中列支。</w:t>
      </w:r>
    </w:p>
    <w:p w:rsidR="002B1026">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w:t>
      </w:r>
      <w:r>
        <w:rPr>
          <w:rFonts w:ascii="宋体" w:hAnsi="Calibri"/>
          <w:color w:val="000000"/>
          <w:szCs w:val="21"/>
          <w:highlight w:val="white"/>
          <w:lang w:eastAsia="zh-CN"/>
        </w:rPr>
        <w:t>7</w:t>
      </w:r>
      <w:r>
        <w:rPr>
          <w:rFonts w:ascii="宋体" w:hAnsi="Calibri" w:cs="宋体"/>
          <w:color w:val="000000"/>
          <w:szCs w:val="21"/>
          <w:highlight w:val="white"/>
          <w:lang w:eastAsia="zh-CN"/>
        </w:rPr>
        <w:t>）按照法律法规或监管部门的有关规定和所持有基金的《基金合同》的约定，可以在所持有的基金的财产中列支的其他费用按照实际支出列入或摊入当期费用，由该基金的基金份额持有人共同承担。</w:t>
      </w:r>
    </w:p>
    <w:p w:rsidR="002B1026">
      <w:pPr>
        <w:spacing w:line="360" w:lineRule="auto"/>
        <w:ind w:firstLine="420"/>
        <w:rPr>
          <w:rFonts w:ascii="宋体" w:hAnsi="Calibri"/>
          <w:szCs w:val="21"/>
          <w:lang w:eastAsia="zh-CN"/>
        </w:rPr>
      </w:pPr>
      <w:r>
        <w:rPr>
          <w:rFonts w:ascii="宋体" w:hAnsi="Calibri" w:cs="宋体"/>
          <w:color w:val="000000"/>
          <w:szCs w:val="21"/>
          <w:highlight w:val="white"/>
          <w:lang w:eastAsia="zh-CN"/>
        </w:rPr>
        <w:t>（8）所持基金产生的费用的调整</w:t>
      </w:r>
    </w:p>
    <w:p w:rsidR="002B1026">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如果本基金所持的基金收取的相关基金费用发生变更的，或法律法规或监管部门对基金中基金支付所持基金相关基金费用的规则发生变更的，即以变更后的规定为准，无需召开基金份额持有人大会。</w:t>
      </w:r>
    </w:p>
    <w:p w:rsidR="002B1026">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三、本基金持有的其他基金发生的重大事件</w:t>
      </w:r>
    </w:p>
    <w:p w:rsidR="002B1026">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本基金应当在定期报告和招募说明书等文件中披露所持有的其他基金发生的重大事件，如转换运作方式、与其他基金合并、终止基金合同以及召开基金份额持有人大会等情况等。</w:t>
      </w:r>
    </w:p>
    <w:p w:rsidR="002B1026">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四、投资于关联基金的情况</w:t>
      </w:r>
    </w:p>
    <w:p w:rsidR="002B1026">
      <w:pPr>
        <w:spacing w:line="360" w:lineRule="auto"/>
        <w:ind w:firstLine="420"/>
        <w:rPr>
          <w:rFonts w:ascii="宋体" w:hAnsi="Calibri" w:cs="宋体"/>
          <w:color w:val="000000"/>
          <w:szCs w:val="21"/>
          <w:lang w:eastAsia="zh-CN"/>
        </w:rPr>
      </w:pPr>
      <w:r>
        <w:rPr>
          <w:rFonts w:ascii="宋体" w:hAnsi="Calibri" w:cs="宋体"/>
          <w:color w:val="000000"/>
          <w:szCs w:val="21"/>
          <w:highlight w:val="white"/>
          <w:lang w:eastAsia="zh-CN"/>
        </w:rPr>
        <w:t>本基金投资本基金管理人及其关联方所管理的基金，应当在定期报告和招募说明书中披露相关基金的情况。</w:t>
      </w:r>
    </w:p>
    <w:p w:rsidR="002B1026">
      <w:pPr>
        <w:spacing w:line="360" w:lineRule="auto"/>
        <w:ind w:firstLine="420"/>
        <w:rPr>
          <w:rFonts w:ascii="宋体" w:hAnsi="Calibri"/>
          <w:szCs w:val="21"/>
          <w:lang w:eastAsia="zh-CN"/>
        </w:rPr>
      </w:pPr>
    </w:p>
    <w:p w:rsidR="002B1026">
      <w:pPr>
        <w:widowControl/>
        <w:jc w:val="left"/>
        <w:rPr>
          <w:rFonts w:ascii="宋体" w:hAnsi="Calibri"/>
          <w:sz w:val="30"/>
          <w:szCs w:val="32"/>
          <w:lang w:eastAsia="zh-CN"/>
        </w:rPr>
      </w:pPr>
      <w:bookmarkStart w:id="1849" w:name="_Toc46737675"/>
      <w:bookmarkStart w:id="1850" w:name="_Toc46676683"/>
      <w:r>
        <w:rPr>
          <w:rFonts w:ascii="宋体" w:hAnsi="Calibri"/>
          <w:sz w:val="30"/>
          <w:highlight w:val="white"/>
          <w:lang w:eastAsia="zh-CN"/>
        </w:rPr>
        <w:br w:type="page"/>
      </w:r>
    </w:p>
    <w:p w:rsidR="002B1026">
      <w:pPr>
        <w:pStyle w:val="Heading1"/>
        <w:spacing w:before="317" w:after="317" w:line="360" w:lineRule="auto"/>
        <w:ind w:firstLine="600"/>
        <w:rPr>
          <w:rFonts w:ascii="宋体" w:eastAsia="宋体" w:hAnsi="Calibri"/>
          <w:sz w:val="30"/>
          <w:lang w:eastAsia="zh-CN"/>
        </w:rPr>
      </w:pPr>
      <w:bookmarkStart w:id="1851" w:name="_Toc227311254"/>
      <w:r>
        <w:rPr>
          <w:rFonts w:ascii="宋体" w:eastAsia="宋体" w:hAnsi="Calibri" w:hint="eastAsia"/>
          <w:sz w:val="30"/>
          <w:highlight w:val="white"/>
          <w:lang w:eastAsia="zh-CN"/>
        </w:rPr>
        <w:t>第二十一部分 侧袋机制</w:t>
      </w:r>
      <w:bookmarkEnd w:id="1849"/>
      <w:bookmarkEnd w:id="1850"/>
      <w:bookmarkEnd w:id="1851"/>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一、侧袋机制的实施条件和程序</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基金管理人应当在启用侧袋机制后及时发布临时公告，并及时聘请符合《证券法》规定的会计师事务所进行审计并披露专项审计意见。</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二、实施侧袋机制期间基金份额的申购与赎回</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Pr>
          <w:rFonts w:ascii="宋体" w:hAnsi="Calibri"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Pr>
          <w:rFonts w:ascii="宋体" w:hAnsi="Calibri"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Pr>
          <w:rFonts w:ascii="宋体" w:hAnsi="Calibri"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Calibri"/>
          <w:bCs/>
          <w:szCs w:val="21"/>
          <w:highlight w:val="white"/>
          <w:lang w:eastAsia="zh-CN"/>
        </w:rPr>
        <w:t>10%</w:t>
      </w:r>
      <w:r>
        <w:rPr>
          <w:rFonts w:ascii="宋体" w:hAnsi="Calibri" w:hint="eastAsia"/>
          <w:bCs/>
          <w:szCs w:val="21"/>
          <w:highlight w:val="white"/>
          <w:lang w:eastAsia="zh-CN"/>
        </w:rPr>
        <w:t>认定。</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三、实施侧袋机制期间的基金投资</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hAnsi="Calibri"/>
          <w:bCs/>
          <w:szCs w:val="21"/>
          <w:highlight w:val="white"/>
          <w:lang w:eastAsia="zh-CN"/>
        </w:rPr>
        <w:t>为基准</w:t>
      </w:r>
      <w:r>
        <w:rPr>
          <w:rFonts w:ascii="宋体" w:hAnsi="Calibri" w:hint="eastAsia"/>
          <w:bCs/>
          <w:szCs w:val="21"/>
          <w:highlight w:val="white"/>
          <w:lang w:eastAsia="zh-CN"/>
        </w:rPr>
        <w:t>。</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基金管理人原则上应当在侧袋机制启动后</w:t>
      </w:r>
      <w:r>
        <w:rPr>
          <w:rFonts w:ascii="宋体" w:hAnsi="Calibri"/>
          <w:bCs/>
          <w:szCs w:val="21"/>
          <w:highlight w:val="white"/>
          <w:lang w:eastAsia="zh-CN"/>
        </w:rPr>
        <w:t>20</w:t>
      </w:r>
      <w:r>
        <w:rPr>
          <w:rFonts w:ascii="宋体" w:hAnsi="Calibri" w:hint="eastAsia"/>
          <w:bCs/>
          <w:szCs w:val="21"/>
          <w:highlight w:val="white"/>
          <w:lang w:eastAsia="zh-CN"/>
        </w:rPr>
        <w:t>个交易日内完成对主袋账户投资组合的调整，因资产流动性受限等中国证监会规定的情形除外。</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基金管理人不得在侧袋账户中进行除特定资产处置变现以外的其他投资操作。</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四、侧袋账户中特定资产的处置变现和支付</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终止侧袋机制后，基金管理人及时聘请符合《证券法》规定的会计师事务所进行审计并披露专项审计意见。</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五、侧袋机制的信息披露</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Pr>
          <w:rFonts w:ascii="宋体" w:hAnsi="Calibri" w:hint="eastAsia"/>
          <w:bCs/>
          <w:szCs w:val="21"/>
          <w:highlight w:val="white"/>
          <w:lang w:eastAsia="zh-CN"/>
        </w:rPr>
        <w:t>、临时公告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在启用侧袋机制、处置特定资产、终止侧袋机制以及发生其他可能对投资者利益产生重大影响的事项后，基金管理人应及时发布临时公告。</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Pr>
          <w:rFonts w:ascii="宋体" w:hAnsi="Calibri" w:hint="eastAsia"/>
          <w:bCs/>
          <w:szCs w:val="21"/>
          <w:highlight w:val="white"/>
          <w:lang w:eastAsia="zh-CN"/>
        </w:rPr>
        <w:t>、基金净值信息</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Pr>
          <w:rFonts w:ascii="宋体" w:hAnsi="Calibri" w:hint="eastAsia"/>
          <w:bCs/>
          <w:szCs w:val="21"/>
          <w:highlight w:val="white"/>
          <w:lang w:eastAsia="zh-CN"/>
        </w:rPr>
        <w:t>、定期报告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2B1026">
      <w:pPr>
        <w:spacing w:line="360" w:lineRule="auto"/>
        <w:ind w:firstLine="420"/>
        <w:rPr>
          <w:rFonts w:ascii="宋体" w:hAnsi="Calibri"/>
          <w:szCs w:val="21"/>
          <w:lang w:eastAsia="zh-CN"/>
        </w:rPr>
      </w:pPr>
    </w:p>
    <w:p w:rsidR="002B1026">
      <w:pPr>
        <w:spacing w:line="360" w:lineRule="auto"/>
        <w:ind w:firstLine="420"/>
        <w:rPr>
          <w:rFonts w:ascii="宋体" w:hAnsi="Calibri"/>
          <w:szCs w:val="21"/>
          <w:lang w:eastAsia="zh-CN"/>
        </w:rPr>
      </w:pPr>
    </w:p>
    <w:p w:rsidR="002B1026">
      <w:pPr>
        <w:spacing w:line="360" w:lineRule="auto"/>
        <w:ind w:firstLine="420"/>
        <w:rPr>
          <w:rFonts w:ascii="宋体" w:hAnsi="Calibri"/>
          <w:szCs w:val="21"/>
          <w:lang w:eastAsia="zh-CN"/>
        </w:rPr>
      </w:pPr>
    </w:p>
    <w:p w:rsidR="002B1026">
      <w:pPr>
        <w:spacing w:line="360" w:lineRule="auto"/>
        <w:ind w:firstLine="420"/>
        <w:rPr>
          <w:rFonts w:ascii="宋体" w:hAnsi="Calibri"/>
          <w:szCs w:val="21"/>
          <w:lang w:eastAsia="zh-CN"/>
        </w:rPr>
      </w:pPr>
    </w:p>
    <w:p w:rsidR="002B1026">
      <w:pPr>
        <w:widowControl/>
        <w:jc w:val="left"/>
        <w:rPr>
          <w:rFonts w:ascii="宋体" w:hAnsi="Calibri"/>
          <w:sz w:val="32"/>
          <w:szCs w:val="21"/>
          <w:lang w:eastAsia="zh-CN"/>
        </w:rPr>
      </w:pPr>
      <w:r>
        <w:rPr>
          <w:rFonts w:ascii="宋体" w:hAnsi="Calibri"/>
          <w:szCs w:val="21"/>
          <w:highlight w:val="white"/>
          <w:lang w:eastAsia="zh-CN"/>
        </w:rPr>
        <w:br w:type="page"/>
      </w:r>
    </w:p>
    <w:p w:rsidR="002B1026">
      <w:pPr>
        <w:pStyle w:val="Heading1"/>
        <w:spacing w:before="317" w:after="317" w:line="360" w:lineRule="auto"/>
        <w:ind w:firstLine="600"/>
        <w:rPr>
          <w:rFonts w:ascii="宋体" w:eastAsia="宋体" w:hAnsi="Calibri"/>
          <w:lang w:eastAsia="zh-CN"/>
        </w:rPr>
      </w:pPr>
      <w:bookmarkStart w:id="1852" w:name="_Toc227311255"/>
      <w:r>
        <w:rPr>
          <w:rFonts w:ascii="宋体" w:eastAsia="宋体" w:hAnsi="Calibri" w:hint="eastAsia"/>
          <w:sz w:val="30"/>
          <w:highlight w:val="white"/>
          <w:lang w:eastAsia="zh-CN"/>
        </w:rPr>
        <w:t>第二十</w:t>
      </w:r>
      <w:bookmarkStart w:id="1853" w:name="_Toc332373573"/>
      <w:r>
        <w:rPr>
          <w:rFonts w:ascii="宋体" w:eastAsia="宋体" w:hAnsi="Calibri" w:hint="eastAsia"/>
          <w:sz w:val="30"/>
          <w:highlight w:val="white"/>
          <w:lang w:eastAsia="zh-CN"/>
        </w:rPr>
        <w:t>二</w:t>
      </w:r>
      <w:r>
        <w:rPr>
          <w:rFonts w:ascii="宋体" w:eastAsia="宋体" w:hAnsi="Calibri"/>
          <w:sz w:val="30"/>
          <w:highlight w:val="white"/>
          <w:lang w:eastAsia="zh-CN"/>
        </w:rPr>
        <w:t>部分</w:t>
      </w:r>
      <w:r>
        <w:rPr>
          <w:rFonts w:ascii="宋体" w:eastAsia="宋体" w:hAnsi="Calibri" w:hint="eastAsia"/>
          <w:sz w:val="30"/>
          <w:highlight w:val="white"/>
          <w:lang w:eastAsia="zh-CN"/>
        </w:rPr>
        <w:t xml:space="preserve"> 风险揭示</w:t>
      </w:r>
      <w:bookmarkEnd w:id="1853"/>
      <w:bookmarkEnd w:id="1852"/>
    </w:p>
    <w:p w:rsidR="002B1026">
      <w:pPr>
        <w:spacing w:line="360" w:lineRule="auto"/>
        <w:ind w:firstLine="420"/>
        <w:rPr>
          <w:rStyle w:val="da"/>
          <w:rFonts w:ascii="宋体" w:hAnsi="Calibri"/>
          <w:lang w:eastAsia="zh-CN"/>
        </w:rPr>
      </w:pPr>
      <w:bookmarkStart w:id="1854" w:name="_Toc332373574"/>
      <w:r>
        <w:rPr>
          <w:rStyle w:val="da"/>
          <w:rFonts w:ascii="宋体" w:hAnsi="Calibri" w:hint="eastAsia"/>
          <w:highlight w:val="white"/>
          <w:lang w:eastAsia="zh-CN"/>
        </w:rPr>
        <w:t>一、本基金的特有风险</w:t>
      </w:r>
    </w:p>
    <w:p w:rsidR="002B1026">
      <w:pPr>
        <w:spacing w:line="360" w:lineRule="auto"/>
        <w:ind w:firstLine="420" w:firstLineChars="200"/>
        <w:rPr>
          <w:rFonts w:ascii="宋体" w:hAnsi="Calibri"/>
          <w:szCs w:val="21"/>
          <w:lang w:eastAsia="zh-CN"/>
        </w:rPr>
      </w:pPr>
      <w:r>
        <w:rPr>
          <w:rFonts w:ascii="宋体" w:hAnsi="Calibri"/>
          <w:highlight w:val="white"/>
          <w:lang w:eastAsia="zh-CN"/>
        </w:rPr>
        <w:t>1、</w:t>
      </w:r>
      <w:r>
        <w:rPr>
          <w:rFonts w:ascii="宋体" w:hAnsi="Calibri" w:hint="eastAsia"/>
          <w:szCs w:val="21"/>
          <w:highlight w:val="white"/>
          <w:lang w:eastAsia="zh-CN"/>
        </w:rPr>
        <w:t>无法获得</w:t>
      </w:r>
      <w:r>
        <w:rPr>
          <w:rFonts w:ascii="宋体" w:hAnsi="Calibri"/>
          <w:szCs w:val="21"/>
          <w:highlight w:val="white"/>
          <w:lang w:eastAsia="zh-CN"/>
        </w:rPr>
        <w:t>收益甚至损失本金</w:t>
      </w:r>
      <w:r>
        <w:rPr>
          <w:rFonts w:ascii="宋体" w:hAnsi="Calibri" w:hint="eastAsia"/>
          <w:szCs w:val="21"/>
          <w:highlight w:val="white"/>
          <w:lang w:eastAsia="zh-CN"/>
        </w:rPr>
        <w:t>的</w:t>
      </w:r>
      <w:r>
        <w:rPr>
          <w:rFonts w:ascii="宋体" w:hAnsi="Calibri"/>
          <w:szCs w:val="21"/>
          <w:highlight w:val="white"/>
          <w:lang w:eastAsia="zh-CN"/>
        </w:rPr>
        <w:t>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本基金不保本，投资者投资于本基金并不等于将资金作为存款存放在银行或存款类金融机构，存在无法获得收益甚至损失本金的风险。基金管理人不以任何方式保证本基金投资不受损失，不保证投资者一定盈利，不保证最低收益。</w:t>
      </w:r>
    </w:p>
    <w:p w:rsidR="002B1026">
      <w:pPr>
        <w:spacing w:line="360" w:lineRule="auto"/>
        <w:ind w:firstLine="420"/>
        <w:rPr>
          <w:rFonts w:ascii="宋体" w:hAnsi="Calibri"/>
          <w:lang w:eastAsia="zh-CN"/>
        </w:rPr>
      </w:pPr>
      <w:r>
        <w:rPr>
          <w:rFonts w:ascii="宋体" w:hAnsi="Calibri"/>
          <w:szCs w:val="21"/>
          <w:highlight w:val="white"/>
          <w:lang w:eastAsia="zh-CN"/>
        </w:rPr>
        <w:t>2</w:t>
      </w:r>
      <w:r>
        <w:rPr>
          <w:rFonts w:ascii="宋体" w:hAnsi="Calibri" w:hint="eastAsia"/>
          <w:szCs w:val="21"/>
          <w:highlight w:val="white"/>
          <w:lang w:eastAsia="zh-CN"/>
        </w:rPr>
        <w:t>、</w:t>
      </w:r>
      <w:r>
        <w:rPr>
          <w:rFonts w:ascii="宋体" w:hAnsi="Calibri"/>
          <w:highlight w:val="white"/>
          <w:lang w:eastAsia="zh-CN"/>
        </w:rPr>
        <w:t>每份基金份额</w:t>
      </w:r>
      <w:r>
        <w:rPr>
          <w:rFonts w:ascii="宋体" w:hAnsi="Calibri"/>
          <w:lang w:eastAsia="zh-CN"/>
        </w:rPr>
        <w:t>6个月</w:t>
      </w:r>
      <w:r>
        <w:rPr>
          <w:rFonts w:ascii="宋体" w:hAnsi="Calibri"/>
          <w:highlight w:val="white"/>
          <w:lang w:eastAsia="zh-CN"/>
        </w:rPr>
        <w:t>锁定持有的风险</w:t>
      </w:r>
    </w:p>
    <w:p w:rsidR="002B1026">
      <w:pPr>
        <w:spacing w:line="360" w:lineRule="auto"/>
        <w:ind w:firstLine="420"/>
        <w:rPr>
          <w:rFonts w:ascii="宋体" w:hAnsi="Calibri"/>
          <w:lang w:eastAsia="zh-CN"/>
        </w:rPr>
      </w:pPr>
      <w:r>
        <w:rPr>
          <w:rFonts w:ascii="宋体" w:hAnsi="Calibri"/>
          <w:highlight w:val="white"/>
          <w:lang w:eastAsia="zh-CN"/>
        </w:rPr>
        <w:t>本基金对于每份基金份额设定</w:t>
      </w:r>
      <w:r>
        <w:rPr>
          <w:rFonts w:ascii="宋体" w:hAnsi="Calibri"/>
          <w:bCs/>
          <w:lang w:eastAsia="zh-CN"/>
        </w:rPr>
        <w:t>6个月</w:t>
      </w:r>
      <w:r>
        <w:rPr>
          <w:rFonts w:ascii="宋体" w:hAnsi="Calibri"/>
          <w:bCs/>
          <w:highlight w:val="white"/>
          <w:lang w:eastAsia="zh-CN"/>
        </w:rPr>
        <w:t>（</w:t>
      </w:r>
      <w:r>
        <w:rPr>
          <w:rFonts w:ascii="宋体" w:hAnsi="Calibri"/>
          <w:lang w:eastAsia="zh-CN"/>
        </w:rPr>
        <w:t>一个月按30天计算</w:t>
      </w:r>
      <w:r>
        <w:rPr>
          <w:rFonts w:ascii="宋体" w:hAnsi="Calibri"/>
          <w:highlight w:val="white"/>
          <w:lang w:eastAsia="zh-CN"/>
        </w:rPr>
        <w:t>，下同</w:t>
      </w:r>
      <w:r>
        <w:rPr>
          <w:rFonts w:ascii="宋体" w:hAnsi="Calibri"/>
          <w:bCs/>
          <w:highlight w:val="white"/>
          <w:lang w:eastAsia="zh-CN"/>
        </w:rPr>
        <w:t>）</w:t>
      </w:r>
      <w:r>
        <w:rPr>
          <w:rFonts w:ascii="宋体" w:hAnsi="Calibri"/>
          <w:highlight w:val="white"/>
          <w:lang w:eastAsia="zh-CN"/>
        </w:rPr>
        <w:t>最短持有期限，且本基金不上市交易。投资者认购或申购基金份额后，自基金合同生效日或申购确认日至赎回确认日不得少于</w:t>
      </w:r>
      <w:r>
        <w:rPr>
          <w:rFonts w:ascii="宋体" w:hAnsi="Calibri"/>
          <w:lang w:eastAsia="zh-CN"/>
        </w:rPr>
        <w:t>6个月</w:t>
      </w:r>
      <w:r>
        <w:rPr>
          <w:rFonts w:ascii="宋体" w:hAnsi="Calibri"/>
          <w:highlight w:val="white"/>
          <w:lang w:eastAsia="zh-CN"/>
        </w:rPr>
        <w:t>。</w:t>
      </w:r>
    </w:p>
    <w:p w:rsidR="002B1026">
      <w:pPr>
        <w:spacing w:line="360" w:lineRule="auto"/>
        <w:ind w:firstLine="420"/>
        <w:rPr>
          <w:rFonts w:ascii="宋体" w:hAnsi="Calibri"/>
          <w:lang w:eastAsia="zh-CN"/>
        </w:rPr>
      </w:pPr>
      <w:r>
        <w:rPr>
          <w:rFonts w:ascii="宋体" w:hAnsi="Calibri"/>
          <w:highlight w:val="white"/>
          <w:lang w:eastAsia="zh-CN"/>
        </w:rPr>
        <w:t>投资者投资本基金每份基金份额需要持有至少</w:t>
      </w:r>
      <w:r>
        <w:rPr>
          <w:rFonts w:ascii="宋体" w:hAnsi="Calibri"/>
          <w:lang w:eastAsia="zh-CN"/>
        </w:rPr>
        <w:t>6个月</w:t>
      </w:r>
      <w:r>
        <w:rPr>
          <w:rFonts w:ascii="宋体" w:hAnsi="Calibri"/>
          <w:highlight w:val="white"/>
          <w:lang w:eastAsia="zh-CN"/>
        </w:rPr>
        <w:t>以上，面临在</w:t>
      </w:r>
      <w:r>
        <w:rPr>
          <w:rFonts w:ascii="宋体" w:hAnsi="Calibri"/>
          <w:lang w:eastAsia="zh-CN"/>
        </w:rPr>
        <w:t>6个月</w:t>
      </w:r>
      <w:r>
        <w:rPr>
          <w:rFonts w:ascii="宋体" w:hAnsi="Calibri"/>
          <w:highlight w:val="white"/>
          <w:lang w:eastAsia="zh-CN"/>
        </w:rPr>
        <w:t>最短持有期内赎回无法确认的流动性风险以及基金净值可能发生较大波动的风险。投资者应当根据自身投资目标、投资期限等情况审慎作出投资决策。</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3、</w:t>
      </w:r>
      <w:r>
        <w:rPr>
          <w:rFonts w:ascii="宋体" w:hAnsi="Calibri" w:hint="eastAsia"/>
          <w:szCs w:val="21"/>
          <w:highlight w:val="white"/>
          <w:lang w:eastAsia="zh-CN"/>
        </w:rPr>
        <w:t>投资于非权益类资产的风险</w:t>
      </w:r>
    </w:p>
    <w:p w:rsidR="002B1026">
      <w:pPr>
        <w:spacing w:line="360" w:lineRule="auto"/>
        <w:ind w:firstLine="420"/>
        <w:rPr>
          <w:rFonts w:ascii="宋体" w:hAnsi="Calibri"/>
          <w:lang w:eastAsia="zh-CN"/>
        </w:rPr>
      </w:pPr>
      <w:r>
        <w:rPr>
          <w:rFonts w:ascii="宋体" w:hAnsi="Calibri" w:hint="eastAsia"/>
          <w:szCs w:val="21"/>
          <w:highlight w:val="white"/>
          <w:lang w:eastAsia="zh-CN"/>
        </w:rPr>
        <w:t>本基金是混合型基金中基金，</w:t>
      </w:r>
      <w:r>
        <w:rPr>
          <w:rFonts w:ascii="宋体" w:hAnsi="Calibri" w:hint="eastAsia"/>
          <w:bCs/>
          <w:szCs w:val="21"/>
          <w:highlight w:val="white"/>
          <w:lang w:eastAsia="zh-CN"/>
        </w:rPr>
        <w:t>权益类资产占基金资产的比例为5</w:t>
      </w:r>
      <w:r>
        <w:rPr>
          <w:rFonts w:ascii="宋体" w:hAnsi="Calibri"/>
          <w:bCs/>
          <w:szCs w:val="21"/>
          <w:highlight w:val="white"/>
          <w:lang w:eastAsia="zh-CN"/>
        </w:rPr>
        <w:t>%</w:t>
      </w:r>
      <w:r>
        <w:rPr>
          <w:rFonts w:ascii="宋体" w:hAnsi="Calibri" w:hint="eastAsia"/>
          <w:bCs/>
          <w:szCs w:val="21"/>
          <w:highlight w:val="white"/>
          <w:lang w:eastAsia="zh-CN"/>
        </w:rPr>
        <w:t>-</w:t>
      </w:r>
      <w:r>
        <w:rPr>
          <w:rFonts w:ascii="宋体" w:hAnsi="Calibri"/>
          <w:bCs/>
          <w:szCs w:val="21"/>
          <w:highlight w:val="white"/>
          <w:lang w:eastAsia="zh-CN"/>
        </w:rPr>
        <w:t>30</w:t>
      </w:r>
      <w:r>
        <w:rPr>
          <w:rFonts w:ascii="宋体" w:hAnsi="Calibri" w:hint="eastAsia"/>
          <w:bCs/>
          <w:szCs w:val="21"/>
          <w:highlight w:val="white"/>
          <w:lang w:eastAsia="zh-CN"/>
        </w:rPr>
        <w:t>%，</w:t>
      </w:r>
      <w:r w:rsidR="00D25EB5">
        <w:rPr>
          <w:rFonts w:ascii="宋体" w:hAnsi="Calibri" w:hint="eastAsia"/>
          <w:bCs/>
          <w:szCs w:val="21"/>
          <w:highlight w:val="white"/>
          <w:lang w:eastAsia="zh-CN"/>
        </w:rPr>
        <w:t>即投资于</w:t>
      </w:r>
      <w:r w:rsidR="00D25EB5">
        <w:rPr>
          <w:rFonts w:ascii="宋体" w:hAnsi="宋体" w:cs="宋体"/>
          <w:color w:val="000000"/>
          <w:highlight w:val="white"/>
          <w:lang w:eastAsia="zh-CN"/>
        </w:rPr>
        <w:t>非权益类资产的比例为基金资产的70%—95%</w:t>
      </w:r>
      <w:r>
        <w:rPr>
          <w:rFonts w:ascii="宋体" w:hAnsi="Calibri" w:hint="eastAsia"/>
          <w:bCs/>
          <w:szCs w:val="21"/>
          <w:highlight w:val="white"/>
          <w:lang w:eastAsia="zh-CN"/>
        </w:rPr>
        <w:t>，很大程度上将直接或间接承担非权益类资产的利率风险、信用风险、再投资风险、债券收益率曲线变动风险、商品价格波动风险等。此外，本基金将部分混合型基金归入非权益类资产，这部分混合型基金也可投资于股票，由此可能需承担股票投资相关的波动和风险</w:t>
      </w:r>
      <w:r>
        <w:rPr>
          <w:rFonts w:ascii="宋体" w:hAnsi="Calibri" w:hint="eastAsia"/>
          <w:highlight w:val="white"/>
          <w:lang w:eastAsia="zh-CN"/>
        </w:rPr>
        <w:t>。</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4</w:t>
      </w:r>
      <w:r>
        <w:rPr>
          <w:rFonts w:ascii="宋体" w:hAnsi="Calibri" w:hint="eastAsia"/>
          <w:szCs w:val="21"/>
          <w:highlight w:val="white"/>
          <w:lang w:eastAsia="zh-CN"/>
        </w:rPr>
        <w:t>、投资于其他基金所特有的风险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本基金投资于</w:t>
      </w:r>
      <w:r>
        <w:rPr>
          <w:rFonts w:ascii="宋体" w:hAnsi="Calibri" w:hint="eastAsia"/>
          <w:highlight w:val="white"/>
          <w:lang w:eastAsia="zh-CN"/>
        </w:rPr>
        <w:t>经中国证监会依法核准或注册</w:t>
      </w:r>
      <w:r>
        <w:rPr>
          <w:rFonts w:ascii="宋体" w:hAnsi="Calibri"/>
          <w:highlight w:val="white"/>
          <w:lang w:eastAsia="zh-CN"/>
        </w:rPr>
        <w:t>基金</w:t>
      </w:r>
      <w:r>
        <w:rPr>
          <w:rFonts w:ascii="宋体" w:hAnsi="Calibri" w:hint="eastAsia"/>
          <w:szCs w:val="21"/>
          <w:highlight w:val="white"/>
          <w:lang w:eastAsia="zh-CN"/>
        </w:rPr>
        <w:t>的资产不低于基金资产的80%，由此可能面临如下风险：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（1）被投资基金的业绩风险。本基金投资于</w:t>
      </w:r>
      <w:r>
        <w:rPr>
          <w:rFonts w:ascii="宋体" w:hAnsi="Calibri" w:hint="eastAsia"/>
          <w:highlight w:val="white"/>
          <w:lang w:eastAsia="zh-CN"/>
        </w:rPr>
        <w:t>经中国证监会依法核准或注册</w:t>
      </w:r>
      <w:r>
        <w:rPr>
          <w:rFonts w:ascii="宋体" w:hAnsi="Calibri"/>
          <w:highlight w:val="white"/>
          <w:lang w:eastAsia="zh-CN"/>
        </w:rPr>
        <w:t>基金</w:t>
      </w:r>
      <w:r>
        <w:rPr>
          <w:rFonts w:ascii="宋体" w:hAnsi="Calibri" w:hint="eastAsia"/>
          <w:szCs w:val="21"/>
          <w:highlight w:val="white"/>
          <w:lang w:eastAsia="zh-CN"/>
        </w:rPr>
        <w:t>的资产不低于基金资产的80%，因此本基金投资目标的实现建立在被投资基金本身投资目标实现的基础上。如果由于被投资基金未能实现投资目标，则本基金存在达不成投资目标的风险。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2）赎回资金到账时间较晚的风险。基金赎回的资金交收效率慢于基础证券市场交易的证券，因此本基金赎回款实际到达投资者账户的时间可能晚于普通境内开放式基金，存在对投资者资金安排造成影响的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3）双重收费风险。本基金的投资范围包含全市场基金，投资于非本基金管理人管理的其他基金时，存在本基金与被投资基金各类基金费用的双重收取情况，相较于其他基金产品存在额外增加投资者投资成本的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（4）</w:t>
      </w:r>
      <w:r>
        <w:rPr>
          <w:rFonts w:ascii="宋体" w:hAnsi="Calibri" w:hint="eastAsia"/>
          <w:highlight w:val="white"/>
          <w:lang w:eastAsia="zh-CN"/>
        </w:rPr>
        <w:t>投资QDII基金的特有风险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本基金可投资于QDII基金，主要存在如下风险：①QDII基金主要投资境外市场，因此本基金投资QDII基金时，将间接承担境外市场波动以及汇率波动的风险；②按照目前的业务规则，QDII基金的赎回款项将在T+10内进行支付（T为赎回申请日），晚于普通境内基金的支付时间。因此，可能存在QDII基金赎回款到账时间较晚，本基金无法及时支付投资者赎回款项的风险；③由于投资QDII基金，正常情况下，本基金将于T+2日（T日为开放日）对T日的基金资产净值进行估值，T+3日对投资人申购、赎回申请的有效性进行确认，投资人可于T+4日到销售网点柜台或以销售机构规定的其他方式查询申请的确认情况，这将导致投资者承担更长时间基金净值波动的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（5）投资香港互认基金的特有风险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香港互认基金是指依照香港法律在香港设立、运作和公开销售，并经中国证监会批准在内地公开销售的单位信托、互惠基金或者其他形式的集体投资计划，香港互认基金管理人委托内地符合条件的机构作为代理人办理基金在境内的相关业务。本基金可投资于香港互认基金，主要存在如下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1）香港互认基金境外投资风险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香港互认基金投资标的主要包括内地以外的其他司法管辖区（简称为“境外”）的金融工具，投资香港互认基金面临不同于内地投资标的的投资风险，包括但不限于境外投资的市场风险、政府管制风险、政治风险、法律风险、汇率风险、基金的税务风险、境外特殊标的风险等，从而可能增加本基金的投资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①境外投资市场风险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境外投资受到所投资市场宏观经济运行情况、货币政策、财政政策、产业政策、税法、汇率、交易规则、结算、托管以及其他运作风险等多种因素的影响，上述因素的波动和变化可能会使香港互认基金资产面临潜在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②政府管制风险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境外市场与内地市场的管制程度和具体措施不同，当地政府可能通过对财政、货币、产业等方面的政策进行管制，由此导致市场波动而影响香港互认基金收益。</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③政治风险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因政治局势变化（如战争、罢工等）可能导致当地市场出现较大波动，从而给香港互认基金的投资收益造成直接或间接的影响。此外，香港互认基金所投资市场可能会不时采取某些管制措施，如资本或外汇管制、对公司或行业的国有化以及征收高额税收等，从而对香港互认基金收益带来不利影响。</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④法律风险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由于境外市场法律法规的颁布或变更，可能导致香港互认基金的某些投资行为受到限制，从而使得香港互认基金资产面临损失的可能。</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⑤汇率风险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香港互认基金的计价基础货币可能为美元、港币等外币, 因此, 本基金以人民币投资香港互认基金, 可能承受由于人民币兑外币的汇率波动而产生的外汇风险。外币之间的汇率变化以及换汇费用将会影响本基金的投资收益。</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⑥基金的税务风险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由于境外市场在税务方面的法律法规与内地存在一定差异，境外市场可能会要求香港互认基金就股息、利息、资本利得等收益向当地税务机构缴纳税金，该行为会使香港互认基金收益受到一定影响。此外，境外市场的税收规定可能发生变化，或者实施具有追溯力的修订，从而导致本基金在该市场缴纳额外税项，影响香港互认基金收益。</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⑦境外特殊标的风险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不同于内地证券投资基金，香港互认基金的投资标的可能包括低于投资级别或未评级的债券、其他集合投资计划、房地产投资信托基金、商品、期权、股票挂钩票据等衍生工具等。</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这些不同于内地的特殊投资标的存在特殊风险，可能使得香港互认基金资产面临损失。</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2）香港基金互认机制相关风险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香港互认基金在内地销售需持续满足相关法规及监管要求，如基金在运作过程中不符合互认基金的条件或香港基金互认机制终止，相关香港互认基金可能会暂停或终止在内地销售；此外，香港互认基金在内地销售还可能面临内地代理人、内地销售机构或内地登记结算机构的操作风险、技术风险，跨境数据传输和跨境资金结算的系统风险、税收风险等，从而可能增加本基金的投资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①香港互认基金暂停或终止内地销售的风险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若基金管理人或互认基金不满足中国证监会规定的香港互认基金条件，或监管部门终止香港基金互认机制，相关的香港互认基金将可能无法继续在内地销售。此外，香港互认基金将受到全面的额度限制。若在内地销售的全部香港互认基金的销售额度达到中国证监会和/或香港证监会和/或国家外汇管理局和/或其他监管机构规定的额度或者不时调整的额度，香港互认基金将暂停接受内地投资者的申购申请。</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②内地代理人、内地销售机构或内地登记结算机构的操作风险、技术风险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内地投资者的申购、赎回由内地销售机构、内地代理人及/或内地登记结算机构与互认基金的基金管理人、行政管理人进行数据清算和资金交收，并由名义持有人代名持有内地投资者的基金份额。内地销售机构、内地代理人或内地登记结算机构在业务各环节操作过程中，因操作失误或违反操作规程等原因可能引致风险，可能因为技术系统的故障或者差错而影响清算交收的正常进行，或者导致投资者的利益受到影响。</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③跨境数据传输和跨境资金结算的系统风险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申购、赎回香港互认基金的数据清算和资金交收将通过内地登记结算机构的基金登记结算系统平台和基金管理人或行政管理人采用的登记结算系统平台进行传输和交换，可能会发生并非由相关参与主体的过错而导致的技术系统故障或者差错而影响清算交收的正常进行。</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④税收风险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由于中国内地与香港的税收政策存在差异，可能导致在内地销售的香港互认基金份额的资产回报有别于在香港销售的份额。同时，中国内地关于在内地销售的香港互认基金与内地普通证券投资基金之间在税收政策上也存在差异，例如香港互认基金份额转让需支付香港印花税以及份额转让定额税项，内地个人投资者从香港互认基金分配获得的收益需缴纳个人所得税等，以上税收差异可能使内地销售的互认基金份额的投资收益和回报受到影响。</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⑤名义持有人机制风险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与内地基金的注册登记规则不同，内地投资者持有的互认基金份额将由名义持有人代名持有并以名义持有人的名义登记为份额持有人。内地投资者并不会被基金注册登记机构直接登记于份额持有人登记册上。虽然在此安排下内地投资者仍是互认基金份额的实益拥有人，但名义持有人是该等基金份额法律上的拥有人。在此情况下，内地投资者与互认基金管理人、受托人并无任何直接合约关系。内地投资者对互认基金管理人及／或受托人若有任何权利主张，可通过名义持有人向互认基金管理人及／或受托人提出，相应费用由内地投资者自行承担。</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⑥强制赎回风险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对于内地销售的互认基金份额而言，若赎回部分基金份额将导致赎回后其持有的相应类别的基金份额的价值少于互认基金规定的最低持有额，互认基金管理人有权要求剩余的基金份额一并被全部赎回。除此之外，若互认基金管理人认为基金投资者继续持有互认基金份额存在违反任何法律法规、基金合同约定或其他互认基金要求（如可能对互认基金或其他基金份额持有人产生不利的监管、税务或财政后果）的情况下，互认基金管理人可以强制赎回基金投资者持有的互认基金份额。</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⑦基金份额净值计算和差错处理差异的风险</w:t>
      </w:r>
    </w:p>
    <w:p w:rsidR="002B1026">
      <w:pPr>
        <w:spacing w:line="360" w:lineRule="auto"/>
        <w:ind w:firstLine="420" w:firstLineChars="200"/>
        <w:rPr>
          <w:rFonts w:ascii="宋体" w:hAnsi="Calibri"/>
          <w:szCs w:val="21"/>
          <w:lang w:eastAsia="zh-CN"/>
        </w:rPr>
      </w:pPr>
      <w:r>
        <w:rPr>
          <w:rFonts w:ascii="宋体" w:hAnsi="Calibri" w:hint="eastAsia"/>
          <w:highlight w:val="white"/>
          <w:lang w:eastAsia="zh-CN"/>
        </w:rPr>
        <w:t>香港互认基金与内地公募基金根据适用的法规以及各自基金合同约定，其在基金份额净值计算、估值错误处理规则等方面存在差异，相应的过错责任方按基金合同约定承担赔偿责任的处理也会有所不同，由此可能增加本基金的相关投资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（6）投资于商品基金的风险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本基金可投资于商品基金（包括商品期货基金和黄金ETF等），由此可能间接面临商品价格波动风险、商品期货市场波动风险等投资风险，从而使基金收益水平发生变化，产生风险。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w:t>
      </w:r>
      <w:r>
        <w:rPr>
          <w:rFonts w:ascii="宋体" w:hAnsi="Calibri"/>
          <w:szCs w:val="21"/>
          <w:highlight w:val="white"/>
          <w:lang w:eastAsia="zh-CN"/>
        </w:rPr>
        <w:t>7</w:t>
      </w:r>
      <w:r>
        <w:rPr>
          <w:rFonts w:ascii="宋体" w:hAnsi="Calibri" w:hint="eastAsia"/>
          <w:szCs w:val="21"/>
          <w:highlight w:val="white"/>
          <w:lang w:eastAsia="zh-CN"/>
        </w:rPr>
        <w:t>）投资公募REITs的特有风险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公募REITs采用“公募基金+不动产资产支持证券”的产品结构，主要特点如下：一是公募REITs与投资股票或债券的公募基金具有不同的风险收益特征，80%以上基金资产投资于不动产资产支持证券，并持有其全部份额，基金通过不动产资产支持证券持有不动产项目公司全部股权，穿透取得不动产项目完全所有权或经营权利；二是公募REITs以获取不动产项目租金、收费等稳定现金流为主要目的，收益分配比例不低于合并后基金年度可供分配金额的 90%；三是公募REITs采取封闭式运作，不开放申购与赎回，在证券交易所上市，场外份额持有人需将基金份额转托管至场内才可卖出或申报预受要约。</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投资公募REITs可能面临以下风险，包括但不限于：</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1）基金价格波动风险。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公募REITs大部分资产投资于不动产项目，具有权益属性，受经济环境、运营管理等因素影响，不动产项目市场价值及现金流情况可能发生变化，可能引起公募REITs价格波动，甚至存在不动产项目遭遇极端事件（如地震、台风等）发生较大损失而影响基金价格的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2）不动产项目运营风险。</w:t>
      </w:r>
    </w:p>
    <w:p w:rsidR="00841733" w:rsidRPr="00930B19"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公募REITs投资集中度高，收益率很大程度依赖不动产项目运营情况，不动产项目可能因经济环境变化或运营不善等因素影响，导致实际现金流大幅低于测算现金流，存在基金收益率不佳的风险，不动产项目运营过程中租金、收费等收入的波动也将影响基金收益分配水平的稳定。公募REITs可直接或间接对外借款，存在不动产项目经营不达预期，基金无法偿还借款的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3）流动性风险。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公募REITs采取封闭式运作，不开通申购赎回，只能在二级市场交易，存在流动性不足的风险。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4）终止上市风险。公募REITs运作过程中可能因触发法律法规或交易所规定的终止上市情形而终止上市，导致投资者无法在二级市场交易。</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5）税收等政策调整风险。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公募REITs运作过程中可能涉及基金持有人、公募基金、资产支持证券、项目公司等多层面税负，如果国家税收等政策发生调整，可能影响投资运作与基金收益。</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6）公募REITs相关法律、行政法规、部门规章、规范性文件（以下简称法律法规）和交易所业务规则，可能根据市场情况进行修改，或者制定新的法律法规和业务规则，投资者应当及时予以关注和了解。</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w:t>
      </w:r>
      <w:r>
        <w:rPr>
          <w:rFonts w:ascii="宋体" w:hAnsi="Calibri"/>
          <w:szCs w:val="21"/>
          <w:highlight w:val="white"/>
          <w:lang w:eastAsia="zh-CN"/>
        </w:rPr>
        <w:t>8</w:t>
      </w:r>
      <w:r>
        <w:rPr>
          <w:rFonts w:ascii="宋体" w:hAnsi="Calibri" w:hint="eastAsia"/>
          <w:szCs w:val="21"/>
          <w:highlight w:val="white"/>
          <w:lang w:eastAsia="zh-CN"/>
        </w:rPr>
        <w:t>）可上市交易基金的二级市场投资风险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本基金可通过二级市场进行ETF、LOF、封闭式基金的买卖交易，由此可能面临交易量不足所引起的流动性风险、交易价格与基金份额净值之间的折溢价风险以及被投资基金暂停交易或退市的风险等。</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（9）被投资基金的运作风险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具体包括基金投资风格漂移风险、基金经理变更风险、基金实际运作风险以及基金产品设计开发创新风险等。此外，封闭式基金到期转开放、基金清算、基金合并等事件也会带来风险。虽然本基金管理人将会从基金风格、投资能力、管理团队、实际运作情况等多方面精选基金投资品种，但无法完全规避基金运作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（10）被投资基金的基金管理人经营风险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基金的投资业绩会受到基金管理人的经营状况的影响。如基金管理人面临的管理能力、财务状况、市场前景、行业竞争、人员素质等因素的变化均会导致基金投资业绩的波动。虽然本基金可以通过投资多样化分散这种非系统风险，但不能完全规避。特别地，在本基金投资策略的实施过程中，可将基金资产部分或全部投资于本基金管理人管理的其他基金，在这种情况下，本基金将无法通过投资多样化来分散这种非系统性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（11）被投资基金的相关政策风险</w:t>
      </w:r>
    </w:p>
    <w:p w:rsidR="00841733" w:rsidP="00841733">
      <w:pPr>
        <w:spacing w:line="360" w:lineRule="auto"/>
        <w:ind w:firstLine="420" w:firstLineChars="200"/>
        <w:rPr>
          <w:rFonts w:ascii="宋体" w:hAnsi="Calibri"/>
          <w:szCs w:val="21"/>
          <w:lang w:eastAsia="zh-CN"/>
        </w:rPr>
      </w:pPr>
      <w:r>
        <w:rPr>
          <w:rFonts w:ascii="宋体" w:hAnsi="Calibri" w:hint="eastAsia"/>
          <w:szCs w:val="21"/>
          <w:highlight w:val="white"/>
          <w:lang w:eastAsia="zh-CN"/>
        </w:rPr>
        <w:t>本基金主要投资于各类其他基金，如遇国家金融政策发生重大调整，导致被投资基金的基金管理人、基金投资操作、基金运作方式发生较大变化，可能影响本基金的收益水平。</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5、可能较大比例投资于基金管理人旗下基金所面临的风险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基金的投资业绩会受到基金管理人的经营状况的影响，如基金管理人的管理能力、财务状况、市场前景、行业竞争、人员素质等因素的变化均会导致基金投资业绩的波动。</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本基金的投资范围涵盖全市场的基金品种，基金管理人将采用客观、公平的评价方法进行标的池的构建以及可投资基金的筛选，本基金基金管理人所管理的基金一并纳入上述评价体系。在上述过程中，出于基金业绩、费率水平等因素，可能出现本基金基金管理人旗下基金的评分整体较高，本基金可能较大比例投资于本基金基金管理人旗下基金的情况，当本基金基金管理人发生经营风险时，本基金的投资业绩将受到较大影响。本基金基金管理人承诺按照法规及基金合同规定的方式和条件进行投资，公平对待基金财产，基金投资者持有本基金基金份额的行为即视为认可此等关联交易情形的存在并自愿承担相关投资风险。</w:t>
      </w:r>
    </w:p>
    <w:p w:rsidR="002B1026">
      <w:pPr>
        <w:spacing w:line="360" w:lineRule="auto"/>
        <w:ind w:firstLine="420"/>
        <w:rPr>
          <w:lang w:eastAsia="zh-CN"/>
        </w:rPr>
      </w:pPr>
      <w:r>
        <w:rPr>
          <w:rFonts w:ascii="宋体" w:hAnsi="宋体"/>
          <w:highlight w:val="white"/>
          <w:lang w:eastAsia="zh-CN"/>
        </w:rPr>
        <w:t>6</w:t>
      </w:r>
      <w:r>
        <w:rPr>
          <w:rFonts w:ascii="宋体" w:hAnsi="宋体" w:hint="eastAsia"/>
          <w:highlight w:val="white"/>
          <w:lang w:eastAsia="zh-CN"/>
        </w:rPr>
        <w:t>、</w:t>
      </w:r>
      <w:r>
        <w:rPr>
          <w:highlight w:val="white"/>
          <w:lang w:eastAsia="zh-CN"/>
        </w:rPr>
        <w:t>通过内地与香港股票市场交易互联互通机制投资于香港证券市场股票、港股通</w:t>
      </w:r>
      <w:r>
        <w:rPr>
          <w:rFonts w:ascii="宋体" w:hAnsi="宋体" w:cs="宋体" w:hint="eastAsia"/>
          <w:highlight w:val="white"/>
          <w:lang w:eastAsia="zh-CN"/>
        </w:rPr>
        <w:t>E</w:t>
      </w:r>
      <w:r>
        <w:rPr>
          <w:rFonts w:ascii="宋体" w:hAnsi="宋体" w:cs="宋体"/>
          <w:highlight w:val="white"/>
          <w:lang w:eastAsia="zh-CN"/>
        </w:rPr>
        <w:t>TF</w:t>
      </w:r>
      <w:r>
        <w:rPr>
          <w:highlight w:val="white"/>
          <w:lang w:eastAsia="zh-CN"/>
        </w:rPr>
        <w:t>的风险</w:t>
      </w:r>
    </w:p>
    <w:p w:rsidR="002B1026">
      <w:pPr>
        <w:spacing w:line="360" w:lineRule="auto"/>
        <w:ind w:firstLine="420"/>
        <w:rPr>
          <w:lang w:eastAsia="zh-CN"/>
        </w:rPr>
      </w:pPr>
      <w:r>
        <w:rPr>
          <w:rFonts w:ascii="宋体" w:hAnsi="Calibri" w:hint="eastAsia"/>
          <w:highlight w:val="white"/>
          <w:lang w:eastAsia="zh-CN"/>
        </w:rPr>
        <w:t>本基金的投资范围包括港股通股票、港股通ETF</w:t>
      </w:r>
      <w:r>
        <w:rPr>
          <w:rFonts w:hint="eastAsia"/>
          <w:highlight w:val="white"/>
          <w:lang w:eastAsia="zh-CN"/>
        </w:rPr>
        <w:t>，除与其他投</w:t>
      </w:r>
      <w:r>
        <w:rPr>
          <w:rFonts w:ascii="宋体" w:hAnsi="宋体" w:hint="eastAsia"/>
          <w:szCs w:val="21"/>
          <w:highlight w:val="white"/>
          <w:lang w:eastAsia="zh-CN"/>
        </w:rPr>
        <w:t>资于股票的基金所面临的共同风险外，</w:t>
      </w:r>
      <w:r>
        <w:rPr>
          <w:rFonts w:hint="eastAsia"/>
          <w:highlight w:val="white"/>
          <w:lang w:eastAsia="zh-CN"/>
        </w:rPr>
        <w:t>本基金还将面临以下特有风险，包括但不限于：</w:t>
      </w:r>
    </w:p>
    <w:p w:rsidR="002B1026">
      <w:pPr>
        <w:spacing w:line="360" w:lineRule="auto"/>
        <w:ind w:firstLine="420"/>
        <w:rPr>
          <w:rFonts w:ascii="宋体" w:hAnsi="宋体"/>
          <w:szCs w:val="21"/>
          <w:lang w:eastAsia="zh-CN"/>
        </w:rPr>
      </w:pPr>
      <w:r>
        <w:rPr>
          <w:rFonts w:ascii="宋体" w:hAnsi="宋体" w:hint="eastAsia"/>
          <w:szCs w:val="21"/>
          <w:highlight w:val="white"/>
          <w:lang w:eastAsia="zh-CN"/>
        </w:rPr>
        <w:t>（1）投资于香港证券市场的特有风险</w:t>
      </w:r>
    </w:p>
    <w:p w:rsidR="002B1026">
      <w:pPr>
        <w:spacing w:line="360" w:lineRule="auto"/>
        <w:ind w:firstLine="420"/>
        <w:rPr>
          <w:rFonts w:ascii="宋体" w:hAnsi="宋体"/>
          <w:szCs w:val="21"/>
          <w:lang w:eastAsia="zh-CN"/>
        </w:rPr>
      </w:pPr>
      <w:r>
        <w:rPr>
          <w:rFonts w:ascii="宋体" w:hAnsi="宋体" w:hint="eastAsia"/>
          <w:szCs w:val="21"/>
          <w:highlight w:val="white"/>
          <w:lang w:eastAsia="zh-CN"/>
        </w:rPr>
        <w:t>1）香港证券市场与内地证券市场规则差异的风险。香港证券市场与内地证券市场存在诸多差异，本基金参与港股通交易需遵守内地与香港相关法律、行政法规、部门规章、规范性文件和业务规则，对香港证券市场有所了解</w:t>
      </w:r>
      <w:r>
        <w:rPr>
          <w:rFonts w:hint="eastAsia"/>
          <w:highlight w:val="white"/>
          <w:lang w:eastAsia="zh-CN"/>
        </w:rPr>
        <w:t>；通过港股通参与香港证券市场交易与通过其他方式参与香港证券市场交易，也存在一定的差异</w:t>
      </w:r>
      <w:r>
        <w:rPr>
          <w:rFonts w:ascii="宋体" w:hAnsi="宋体" w:hint="eastAsia"/>
          <w:szCs w:val="21"/>
          <w:highlight w:val="white"/>
          <w:lang w:eastAsia="zh-CN"/>
        </w:rPr>
        <w:t>。以上情形可能增加本基金的投资风险。</w:t>
      </w:r>
    </w:p>
    <w:p w:rsidR="002B1026">
      <w:pPr>
        <w:spacing w:line="360" w:lineRule="auto"/>
        <w:ind w:firstLine="420"/>
        <w:rPr>
          <w:rFonts w:ascii="宋体" w:hAnsi="宋体"/>
          <w:szCs w:val="21"/>
          <w:lang w:eastAsia="zh-CN"/>
        </w:rPr>
      </w:pPr>
      <w:r>
        <w:rPr>
          <w:rFonts w:ascii="宋体" w:hAnsi="宋体"/>
          <w:szCs w:val="21"/>
          <w:highlight w:val="white"/>
          <w:lang w:eastAsia="zh-CN"/>
        </w:rPr>
        <w:t>2）港股通标的证券价格较大波动的风险。港股股票可能出现因公司基本面变化、第三方研究分析报告的观点、异常交易情形、做空机制等原因引起股价较大波动</w:t>
      </w:r>
      <w:r>
        <w:rPr>
          <w:rFonts w:ascii="宋体" w:hAnsi="宋体" w:hint="eastAsia"/>
          <w:szCs w:val="21"/>
          <w:highlight w:val="white"/>
          <w:lang w:eastAsia="zh-CN"/>
        </w:rPr>
        <w:t>的情形</w:t>
      </w:r>
      <w:r>
        <w:rPr>
          <w:rFonts w:ascii="宋体" w:hAnsi="宋体"/>
          <w:szCs w:val="21"/>
          <w:highlight w:val="white"/>
          <w:lang w:eastAsia="zh-CN"/>
        </w:rPr>
        <w:t>；</w:t>
      </w:r>
      <w:r>
        <w:rPr>
          <w:rFonts w:ascii="宋体" w:hAnsi="宋体" w:hint="eastAsia"/>
          <w:szCs w:val="21"/>
          <w:highlight w:val="white"/>
          <w:lang w:eastAsia="zh-CN"/>
        </w:rPr>
        <w:t>港股通股票在上市第一年里，除受市场、资金、企业盈利等方面影响，还可能因投资者对新股情绪变化、限售解禁等因素，出现股价较大波动的情形；</w:t>
      </w:r>
      <w:r>
        <w:rPr>
          <w:rFonts w:ascii="宋体" w:hAnsi="宋体"/>
          <w:szCs w:val="21"/>
          <w:highlight w:val="white"/>
          <w:lang w:eastAsia="zh-CN"/>
        </w:rPr>
        <w:t>港股通股票可能因为上市公司注册地或主营业务经营所在地的政策法律变化、境外市场联动以及其他原因而出现股价较大波动的情形</w:t>
      </w:r>
      <w:r>
        <w:rPr>
          <w:rFonts w:ascii="宋体" w:hAnsi="宋体" w:hint="eastAsia"/>
          <w:szCs w:val="21"/>
          <w:highlight w:val="white"/>
          <w:lang w:eastAsia="zh-CN"/>
        </w:rPr>
        <w:t>；</w:t>
      </w:r>
      <w:r>
        <w:rPr>
          <w:rFonts w:ascii="宋体" w:hAnsi="宋体"/>
          <w:szCs w:val="21"/>
          <w:highlight w:val="white"/>
          <w:lang w:eastAsia="zh-CN"/>
        </w:rPr>
        <w:t>港股通ETF可能出现因跟踪标的指数成份证券大幅波动、流动性不佳、受有关场外结构化产品影响、交易异常情形等原因而引起价格较大波动、折溢价率和跟踪误差偏离合理区间等情形；此外，香港证券市场实行 T+0 回转交易机制，且股票及ETF交易不设涨跌幅限制，加之香港市场结构性产品和衍生品种类相对丰富以及做空机制的存在，港股通标的证券价格可能表现出更为剧烈的波动，由此增加本基金净值的波动风险。</w:t>
      </w:r>
    </w:p>
    <w:p w:rsidR="002B1026">
      <w:pPr>
        <w:spacing w:line="360" w:lineRule="auto"/>
        <w:ind w:firstLine="420"/>
        <w:rPr>
          <w:rFonts w:ascii="宋体" w:hAnsi="宋体"/>
          <w:szCs w:val="21"/>
          <w:lang w:eastAsia="zh-CN"/>
        </w:rPr>
      </w:pPr>
      <w:r>
        <w:rPr>
          <w:rFonts w:ascii="宋体" w:hAnsi="宋体"/>
          <w:szCs w:val="21"/>
          <w:highlight w:val="white"/>
          <w:lang w:eastAsia="zh-CN"/>
        </w:rPr>
        <w:t>3）生物科技公司</w:t>
      </w:r>
      <w:r>
        <w:rPr>
          <w:rFonts w:ascii="宋体" w:hAnsi="宋体" w:hint="eastAsia"/>
          <w:szCs w:val="21"/>
          <w:highlight w:val="white"/>
          <w:lang w:eastAsia="zh-CN"/>
        </w:rPr>
        <w:t>、特专科技公司</w:t>
      </w:r>
      <w:r>
        <w:rPr>
          <w:rFonts w:ascii="宋体" w:hAnsi="宋体"/>
          <w:szCs w:val="21"/>
          <w:highlight w:val="white"/>
          <w:lang w:eastAsia="zh-CN"/>
        </w:rPr>
        <w:t>投资风险。部分港股通生物科技公司</w:t>
      </w:r>
      <w:r>
        <w:rPr>
          <w:rFonts w:ascii="宋体" w:hAnsi="宋体" w:hint="eastAsia"/>
          <w:szCs w:val="21"/>
          <w:highlight w:val="white"/>
          <w:lang w:eastAsia="zh-CN"/>
        </w:rPr>
        <w:t>、特专科技公司</w:t>
      </w:r>
      <w:r>
        <w:rPr>
          <w:rFonts w:ascii="宋体" w:hAnsi="宋体"/>
          <w:szCs w:val="21"/>
          <w:highlight w:val="white"/>
          <w:lang w:eastAsia="zh-CN"/>
        </w:rPr>
        <w:t>可能存在公开发行并上市时尚未有收入，上市后仍无收入、持续亏损、无法进行利润分配等情形，若本基金投资生物科技公司</w:t>
      </w:r>
      <w:r>
        <w:rPr>
          <w:rFonts w:ascii="宋体" w:hAnsi="宋体" w:hint="eastAsia"/>
          <w:szCs w:val="21"/>
          <w:highlight w:val="white"/>
          <w:lang w:eastAsia="zh-CN"/>
        </w:rPr>
        <w:t>、特专科技公司</w:t>
      </w:r>
      <w:r>
        <w:rPr>
          <w:rFonts w:ascii="宋体" w:hAnsi="宋体"/>
          <w:szCs w:val="21"/>
          <w:highlight w:val="white"/>
          <w:lang w:eastAsia="zh-CN"/>
        </w:rPr>
        <w:t>，本基金的投资风险可能增加。</w:t>
      </w:r>
    </w:p>
    <w:p w:rsidR="002B1026">
      <w:pPr>
        <w:spacing w:line="360" w:lineRule="auto"/>
        <w:ind w:firstLine="420"/>
        <w:rPr>
          <w:rFonts w:ascii="宋体" w:hAnsi="宋体"/>
          <w:szCs w:val="21"/>
          <w:lang w:eastAsia="zh-CN"/>
        </w:rPr>
      </w:pPr>
      <w:r>
        <w:rPr>
          <w:rFonts w:ascii="宋体" w:hAnsi="宋体"/>
          <w:szCs w:val="21"/>
          <w:highlight w:val="white"/>
          <w:lang w:eastAsia="zh-CN"/>
        </w:rPr>
        <w:t>4）股份数量、股票面值大幅变化的风险。部分港股通上市公司基本面变化大，股票价格低</w:t>
      </w:r>
      <w:r>
        <w:rPr>
          <w:rFonts w:ascii="宋体" w:hAnsi="宋体" w:hint="eastAsia"/>
          <w:szCs w:val="21"/>
          <w:highlight w:val="white"/>
          <w:lang w:eastAsia="zh-CN"/>
        </w:rPr>
        <w:t>，</w:t>
      </w:r>
      <w:r>
        <w:rPr>
          <w:rFonts w:ascii="宋体" w:hAnsi="宋体"/>
          <w:szCs w:val="21"/>
          <w:highlight w:val="white"/>
          <w:lang w:eastAsia="zh-CN"/>
        </w:rPr>
        <w:t>可能存在大比例折价供股或配股、频繁分拆合并股份的行为，投资者持有的股份数量、股票面值可能发生大幅变化，由此可能增加本基金的投资风险。</w:t>
      </w:r>
    </w:p>
    <w:p w:rsidR="002B1026">
      <w:pPr>
        <w:spacing w:line="360" w:lineRule="auto"/>
        <w:ind w:firstLine="420"/>
        <w:rPr>
          <w:rFonts w:ascii="宋体" w:hAnsi="宋体"/>
          <w:szCs w:val="21"/>
          <w:lang w:eastAsia="zh-CN"/>
        </w:rPr>
      </w:pPr>
      <w:r>
        <w:rPr>
          <w:rFonts w:ascii="宋体" w:hAnsi="宋体"/>
          <w:szCs w:val="21"/>
          <w:highlight w:val="white"/>
          <w:lang w:eastAsia="zh-CN"/>
        </w:rPr>
        <w:t xml:space="preserve">5）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    </w:t>
      </w:r>
    </w:p>
    <w:p w:rsidR="002B1026">
      <w:pPr>
        <w:spacing w:line="360" w:lineRule="auto"/>
        <w:ind w:firstLine="420"/>
        <w:rPr>
          <w:rFonts w:ascii="宋体" w:hAnsi="宋体"/>
          <w:szCs w:val="21"/>
          <w:lang w:eastAsia="zh-CN"/>
        </w:rPr>
      </w:pPr>
      <w:r>
        <w:rPr>
          <w:rFonts w:ascii="宋体" w:hAnsi="宋体"/>
          <w:szCs w:val="21"/>
          <w:highlight w:val="white"/>
          <w:lang w:eastAsia="zh-CN"/>
        </w:rPr>
        <w:t>6</w:t>
      </w:r>
      <w:r>
        <w:rPr>
          <w:rFonts w:ascii="宋体" w:hAnsi="宋体" w:hint="eastAsia"/>
          <w:szCs w:val="21"/>
          <w:highlight w:val="white"/>
          <w:lang w:eastAsia="zh-CN"/>
        </w:rPr>
        <w:t>）较难获取或理解公司实际经营状况相关资讯的风险。部分港股通股票可能因为上市公司注册地、主营业务经营所在地法律法规、语言或文化习惯等与内地存在差异，导致投资者较难获取或理解公司实际经营状况相关资讯，由此可能增加本基金的投资风险。</w:t>
      </w:r>
    </w:p>
    <w:p w:rsidR="002B1026">
      <w:pPr>
        <w:spacing w:line="360" w:lineRule="auto"/>
        <w:ind w:firstLine="420"/>
        <w:rPr>
          <w:rFonts w:ascii="宋体" w:hAnsi="宋体"/>
          <w:szCs w:val="21"/>
          <w:lang w:eastAsia="zh-CN"/>
        </w:rPr>
      </w:pPr>
      <w:r>
        <w:rPr>
          <w:rFonts w:ascii="宋体" w:hAnsi="宋体"/>
          <w:szCs w:val="21"/>
          <w:highlight w:val="white"/>
          <w:lang w:eastAsia="zh-CN"/>
        </w:rPr>
        <w:t>7</w:t>
      </w:r>
      <w:r>
        <w:rPr>
          <w:rFonts w:ascii="宋体" w:hAnsi="宋体" w:hint="eastAsia"/>
          <w:szCs w:val="21"/>
          <w:highlight w:val="white"/>
          <w:lang w:eastAsia="zh-CN"/>
        </w:rPr>
        <w:t>）停牌风险。与内地市场相比，香港市场证券停牌制度存在一定差异，港股通标的证券可能出现长时间停牌现象，由此可能增加本基金的投资风险。</w:t>
      </w:r>
    </w:p>
    <w:p w:rsidR="002B1026">
      <w:pPr>
        <w:spacing w:line="360" w:lineRule="auto"/>
        <w:ind w:firstLine="420"/>
        <w:rPr>
          <w:rFonts w:ascii="宋体" w:hAnsi="宋体"/>
          <w:szCs w:val="21"/>
          <w:lang w:eastAsia="zh-CN"/>
        </w:rPr>
      </w:pPr>
      <w:r>
        <w:rPr>
          <w:rFonts w:ascii="宋体" w:hAnsi="宋体"/>
          <w:szCs w:val="21"/>
          <w:highlight w:val="white"/>
          <w:lang w:eastAsia="zh-CN"/>
        </w:rPr>
        <w:t>8</w:t>
      </w:r>
      <w:r>
        <w:rPr>
          <w:rFonts w:ascii="宋体" w:hAnsi="宋体" w:hint="eastAsia"/>
          <w:szCs w:val="21"/>
          <w:highlight w:val="white"/>
          <w:lang w:eastAsia="zh-CN"/>
        </w:rPr>
        <w:t>）直接退市风险。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rsidR="002B1026">
      <w:pPr>
        <w:spacing w:line="360" w:lineRule="auto"/>
        <w:ind w:firstLine="420"/>
        <w:rPr>
          <w:rFonts w:ascii="宋体" w:hAnsi="宋体"/>
          <w:szCs w:val="21"/>
          <w:lang w:eastAsia="zh-CN"/>
        </w:rPr>
      </w:pPr>
      <w:r>
        <w:rPr>
          <w:rFonts w:ascii="宋体" w:hAnsi="宋体"/>
          <w:szCs w:val="21"/>
          <w:highlight w:val="white"/>
          <w:lang w:eastAsia="zh-CN"/>
        </w:rPr>
        <w:t>9</w:t>
      </w:r>
      <w:r>
        <w:rPr>
          <w:rFonts w:ascii="宋体" w:hAnsi="宋体" w:hint="eastAsia"/>
          <w:szCs w:val="21"/>
          <w:highlight w:val="white"/>
          <w:lang w:eastAsia="zh-CN"/>
        </w:rPr>
        <w:t>）港股通</w:t>
      </w:r>
      <w:r>
        <w:rPr>
          <w:rFonts w:ascii="宋体" w:hAnsi="宋体"/>
          <w:szCs w:val="21"/>
          <w:highlight w:val="white"/>
          <w:lang w:eastAsia="zh-CN"/>
        </w:rPr>
        <w:t>ETF终止上市或更换管理人的风险。与内地证券市场相比，香港市场ETF终止上市或更换基金管理人等制度安排存在一定差异，港股通ETF可能因基金管理人主动退出香港市场导致终止上市或更换基金管理人，由此可能增加本基金的投资风险。</w:t>
      </w:r>
    </w:p>
    <w:p w:rsidR="002B1026">
      <w:pPr>
        <w:spacing w:line="360" w:lineRule="auto"/>
        <w:ind w:firstLine="420"/>
        <w:rPr>
          <w:rFonts w:ascii="宋体" w:hAnsi="宋体"/>
          <w:szCs w:val="21"/>
          <w:lang w:eastAsia="zh-CN"/>
        </w:rPr>
      </w:pPr>
      <w:r>
        <w:rPr>
          <w:rFonts w:ascii="宋体" w:hAnsi="宋体"/>
          <w:szCs w:val="21"/>
          <w:highlight w:val="white"/>
          <w:lang w:eastAsia="zh-CN"/>
        </w:rPr>
        <w:t>10</w:t>
      </w:r>
      <w:r>
        <w:rPr>
          <w:rFonts w:ascii="宋体" w:hAnsi="宋体" w:hint="eastAsia"/>
          <w:szCs w:val="21"/>
          <w:highlight w:val="white"/>
          <w:lang w:eastAsia="zh-CN"/>
        </w:rPr>
        <w:t>）港股通</w:t>
      </w:r>
      <w:r>
        <w:rPr>
          <w:rFonts w:ascii="宋体" w:hAnsi="宋体"/>
          <w:szCs w:val="21"/>
          <w:highlight w:val="white"/>
          <w:lang w:eastAsia="zh-CN"/>
        </w:rPr>
        <w:t>ETF清盘的风险。与内地证券市场相比，香港市场ETF发生清盘业务，将基金资产变现所得的资金派发给投资者后，投资者证券账户中相应基金份额的注销日与清盘资金发放日之间可能间隔较长时间，对清盘后尚未注销的基金份额，投资者需审慎评估其价值。</w:t>
      </w:r>
      <w:r>
        <w:rPr>
          <w:rFonts w:ascii="宋体" w:hAnsi="宋体" w:hint="eastAsia"/>
          <w:szCs w:val="21"/>
          <w:highlight w:val="white"/>
          <w:lang w:eastAsia="zh-CN"/>
        </w:rPr>
        <w:t>以上情况可能增加本基金的投资风险。</w:t>
      </w:r>
    </w:p>
    <w:p w:rsidR="002B1026">
      <w:pPr>
        <w:spacing w:line="360" w:lineRule="auto"/>
        <w:ind w:firstLine="420"/>
        <w:rPr>
          <w:rFonts w:ascii="宋体" w:hAnsi="宋体"/>
          <w:szCs w:val="21"/>
          <w:lang w:eastAsia="zh-CN"/>
        </w:rPr>
      </w:pPr>
      <w:r>
        <w:rPr>
          <w:rFonts w:ascii="宋体" w:hAnsi="宋体" w:hint="eastAsia"/>
          <w:szCs w:val="21"/>
          <w:highlight w:val="white"/>
          <w:lang w:eastAsia="zh-CN"/>
        </w:rPr>
        <w:t>（</w:t>
      </w:r>
      <w:r>
        <w:rPr>
          <w:rFonts w:ascii="宋体" w:hAnsi="宋体"/>
          <w:szCs w:val="21"/>
          <w:highlight w:val="white"/>
          <w:lang w:eastAsia="zh-CN"/>
        </w:rPr>
        <w:t>2）通过</w:t>
      </w:r>
      <w:r>
        <w:rPr>
          <w:rFonts w:hint="eastAsia"/>
          <w:highlight w:val="white"/>
          <w:lang w:eastAsia="zh-CN"/>
        </w:rPr>
        <w:t>内地与香港股票市场交易互联互通机制投资的特有风险</w:t>
      </w:r>
    </w:p>
    <w:p w:rsidR="002B1026">
      <w:pPr>
        <w:spacing w:line="360" w:lineRule="auto"/>
        <w:ind w:firstLine="420"/>
        <w:rPr>
          <w:rFonts w:ascii="宋体" w:hAnsi="宋体"/>
          <w:szCs w:val="21"/>
          <w:lang w:eastAsia="zh-CN"/>
        </w:rPr>
      </w:pPr>
      <w:r>
        <w:rPr>
          <w:rFonts w:ascii="宋体" w:hAnsi="宋体"/>
          <w:szCs w:val="21"/>
          <w:highlight w:val="white"/>
          <w:lang w:eastAsia="zh-CN"/>
        </w:rPr>
        <w:t>1）港股通机制及其规则变动带来的风险。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2B1026">
      <w:pPr>
        <w:spacing w:line="360" w:lineRule="auto"/>
        <w:ind w:firstLine="420"/>
        <w:rPr>
          <w:rFonts w:ascii="宋体" w:hAnsi="宋体"/>
          <w:szCs w:val="21"/>
          <w:lang w:eastAsia="zh-CN"/>
        </w:rPr>
      </w:pPr>
      <w:r>
        <w:rPr>
          <w:rFonts w:ascii="宋体" w:hAnsi="宋体"/>
          <w:szCs w:val="21"/>
          <w:highlight w:val="white"/>
          <w:lang w:eastAsia="zh-CN"/>
        </w:rPr>
        <w:t>2）港股通股票</w:t>
      </w:r>
      <w:r>
        <w:rPr>
          <w:rFonts w:ascii="宋体" w:hAnsi="宋体" w:hint="eastAsia"/>
          <w:szCs w:val="21"/>
          <w:highlight w:val="white"/>
          <w:lang w:eastAsia="zh-CN"/>
        </w:rPr>
        <w:t>范围受限及动态调整的风险</w:t>
      </w:r>
    </w:p>
    <w:p w:rsidR="002B1026">
      <w:pPr>
        <w:spacing w:line="360" w:lineRule="auto"/>
        <w:ind w:firstLine="420"/>
        <w:rPr>
          <w:rFonts w:ascii="宋体" w:hAnsi="宋体"/>
          <w:szCs w:val="21"/>
          <w:lang w:eastAsia="zh-CN"/>
        </w:rPr>
      </w:pPr>
      <w:r>
        <w:rPr>
          <w:rFonts w:ascii="宋体" w:hAnsi="宋体" w:hint="eastAsia"/>
          <w:szCs w:val="21"/>
          <w:highlight w:val="white"/>
          <w:lang w:eastAsia="zh-CN"/>
        </w:rPr>
        <w:t>本基金可以通过港股通买卖的标的证券存在一定的范围限制，且港股通标的证券名单会动态调整。对于被调出的港股通标的证券，自调整之日起，本基金将不得再行买入。以上情形可能对本基金带来不利影响。</w:t>
      </w:r>
    </w:p>
    <w:p w:rsidR="002B1026">
      <w:pPr>
        <w:spacing w:line="360" w:lineRule="auto"/>
        <w:ind w:firstLine="420"/>
        <w:rPr>
          <w:rFonts w:ascii="宋体" w:hAnsi="宋体"/>
          <w:szCs w:val="21"/>
          <w:lang w:eastAsia="zh-CN"/>
        </w:rPr>
      </w:pPr>
      <w:r>
        <w:rPr>
          <w:rFonts w:ascii="宋体" w:hAnsi="宋体"/>
          <w:bCs/>
          <w:szCs w:val="21"/>
          <w:highlight w:val="white"/>
          <w:lang w:eastAsia="zh-CN"/>
        </w:rPr>
        <w:t>3</w:t>
      </w:r>
      <w:r>
        <w:rPr>
          <w:rFonts w:ascii="宋体" w:hAnsi="宋体" w:hint="eastAsia"/>
          <w:szCs w:val="21"/>
          <w:highlight w:val="white"/>
          <w:lang w:eastAsia="zh-CN"/>
        </w:rPr>
        <w:t>）港股通交易日不连贯的风险。在内地与香港股票市场交易互联互通机制下，只有内地和香港两地均为交易日的</w:t>
      </w:r>
      <w:r>
        <w:rPr>
          <w:rFonts w:ascii="宋体" w:hAnsi="宋体"/>
          <w:szCs w:val="21"/>
          <w:highlight w:val="white"/>
          <w:lang w:eastAsia="zh-CN"/>
        </w:rPr>
        <w:t>日期</w:t>
      </w:r>
      <w:r>
        <w:rPr>
          <w:rFonts w:ascii="宋体" w:hAnsi="宋体" w:hint="eastAsia"/>
          <w:szCs w:val="21"/>
          <w:highlight w:val="white"/>
          <w:lang w:eastAsia="zh-CN"/>
        </w:rPr>
        <w:t>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rsidR="002B1026">
      <w:pPr>
        <w:spacing w:line="360" w:lineRule="auto"/>
        <w:ind w:firstLine="420"/>
        <w:rPr>
          <w:rFonts w:ascii="宋体" w:hAnsi="宋体"/>
          <w:szCs w:val="21"/>
          <w:lang w:eastAsia="zh-CN"/>
        </w:rPr>
      </w:pPr>
      <w:r>
        <w:rPr>
          <w:rFonts w:ascii="宋体" w:hAnsi="宋体"/>
          <w:bCs/>
          <w:szCs w:val="21"/>
          <w:highlight w:val="white"/>
          <w:lang w:eastAsia="zh-CN"/>
        </w:rPr>
        <w:t>4</w:t>
      </w:r>
      <w:r>
        <w:rPr>
          <w:rFonts w:ascii="宋体" w:hAnsi="宋体"/>
          <w:szCs w:val="21"/>
          <w:highlight w:val="white"/>
          <w:lang w:eastAsia="zh-CN"/>
        </w:rPr>
        <w:t>）交收制度带来的基金流动性风险。香港证券市场与内地证券市场在证券资金的交收期安排上存在差异，香港证券市场实行T+2日（T日买卖股票，资金和股票在T+2日才进行交收）的交收安排，本基金在T日（港股通交易日）卖出股票，T+2日（港股通交易日，即为卖出当日之后第二个港股通交易日）在香港市场完成清算交收，卖出的资金在T+3日才能回到人民币资金账户，因此卖出资金回到本基金人民币账户的周期比内地证券市场要长。因此交收制度的不同以及港股通交易日的设定原因，本基金可能面临卖出港股后资金不能及时到账，而造成支付赎回款日期比正常情况延后的风险。</w:t>
      </w:r>
    </w:p>
    <w:p w:rsidR="002B1026">
      <w:pPr>
        <w:spacing w:line="360" w:lineRule="auto"/>
        <w:ind w:firstLine="420"/>
        <w:rPr>
          <w:rFonts w:ascii="宋体" w:hAnsi="宋体"/>
          <w:szCs w:val="21"/>
          <w:lang w:eastAsia="zh-CN"/>
        </w:rPr>
      </w:pPr>
      <w:r>
        <w:rPr>
          <w:rFonts w:ascii="宋体" w:hAnsi="宋体"/>
          <w:bCs/>
          <w:szCs w:val="21"/>
          <w:highlight w:val="white"/>
          <w:lang w:eastAsia="zh-CN"/>
        </w:rPr>
        <w:t>5</w:t>
      </w:r>
      <w:r>
        <w:rPr>
          <w:rFonts w:ascii="宋体" w:hAnsi="宋体" w:hint="eastAsia"/>
          <w:szCs w:val="21"/>
          <w:highlight w:val="white"/>
          <w:lang w:eastAsia="zh-CN"/>
        </w:rPr>
        <w:t>）交易额度限制的风险。在内地与香港股票市场交易互联互通机制下，港股通交易实施每日额度限制，如当日额度使用完毕，当日投资者可能无法通过港股通买入，本基金可能面临每日额度不足而交易失败的风险。</w:t>
      </w:r>
    </w:p>
    <w:p w:rsidR="002B1026">
      <w:pPr>
        <w:spacing w:line="360" w:lineRule="auto"/>
        <w:ind w:firstLine="420"/>
        <w:rPr>
          <w:rFonts w:ascii="宋体" w:hAnsi="宋体"/>
          <w:szCs w:val="21"/>
          <w:lang w:eastAsia="zh-CN"/>
        </w:rPr>
      </w:pPr>
      <w:r>
        <w:rPr>
          <w:rFonts w:ascii="宋体" w:hAnsi="宋体"/>
          <w:szCs w:val="21"/>
          <w:highlight w:val="white"/>
          <w:lang w:eastAsia="zh-CN"/>
        </w:rPr>
        <w:t>6）无法进行交易或交易中断的风险。香港出现联交所规定的</w:t>
      </w:r>
      <w:r>
        <w:rPr>
          <w:rFonts w:ascii="宋体" w:hAnsi="宋体" w:hint="eastAsia"/>
          <w:szCs w:val="21"/>
          <w:highlight w:val="white"/>
          <w:lang w:eastAsia="zh-CN"/>
        </w:rPr>
        <w:t>紧急</w:t>
      </w:r>
      <w:r>
        <w:rPr>
          <w:rFonts w:ascii="宋体" w:hAnsi="宋体"/>
          <w:szCs w:val="21"/>
          <w:highlight w:val="white"/>
          <w:lang w:eastAsia="zh-CN"/>
        </w:rPr>
        <w:t xml:space="preserve">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15 </w:t>
      </w:r>
      <w:r>
        <w:rPr>
          <w:rFonts w:ascii="宋体" w:hAnsi="宋体" w:hint="eastAsia"/>
          <w:szCs w:val="21"/>
          <w:highlight w:val="white"/>
          <w:lang w:eastAsia="zh-CN"/>
        </w:rPr>
        <w:t>分钟以上不能申报和撤销申报的交易中断风险。</w:t>
      </w:r>
    </w:p>
    <w:p w:rsidR="002B1026">
      <w:pPr>
        <w:spacing w:line="360" w:lineRule="auto"/>
        <w:ind w:firstLine="420"/>
        <w:rPr>
          <w:rFonts w:ascii="宋体" w:hAnsi="宋体"/>
          <w:szCs w:val="21"/>
          <w:lang w:eastAsia="zh-CN"/>
        </w:rPr>
      </w:pPr>
      <w:r>
        <w:rPr>
          <w:rFonts w:ascii="宋体" w:hAnsi="宋体"/>
          <w:szCs w:val="21"/>
          <w:highlight w:val="white"/>
          <w:lang w:eastAsia="zh-CN"/>
        </w:rPr>
        <w:t>7）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rsidR="002B1026">
      <w:pPr>
        <w:spacing w:line="360" w:lineRule="auto"/>
        <w:ind w:firstLine="420"/>
        <w:rPr>
          <w:rFonts w:ascii="宋体" w:hAnsi="宋体"/>
          <w:szCs w:val="21"/>
          <w:lang w:eastAsia="zh-CN"/>
        </w:rPr>
      </w:pPr>
      <w:r>
        <w:rPr>
          <w:rFonts w:ascii="宋体" w:hAnsi="宋体"/>
          <w:szCs w:val="21"/>
          <w:highlight w:val="white"/>
          <w:lang w:eastAsia="zh-CN"/>
        </w:rPr>
        <w:t>8）交易价格受限的风险。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rsidR="002B1026">
      <w:pPr>
        <w:spacing w:line="360" w:lineRule="auto"/>
        <w:ind w:firstLine="420"/>
        <w:rPr>
          <w:rFonts w:ascii="宋体" w:hAnsi="宋体"/>
          <w:szCs w:val="21"/>
          <w:lang w:eastAsia="zh-CN"/>
        </w:rPr>
      </w:pPr>
      <w:r>
        <w:rPr>
          <w:rFonts w:ascii="宋体" w:hAnsi="宋体"/>
          <w:szCs w:val="21"/>
          <w:highlight w:val="white"/>
          <w:lang w:eastAsia="zh-CN"/>
        </w:rPr>
        <w:t>9）港股通制度下对公司行为的处理规则带来的风险。本基金因所持港股通标的证券权益分派、转换、</w:t>
      </w:r>
      <w:r>
        <w:rPr>
          <w:rFonts w:ascii="宋体" w:hAnsi="宋体" w:hint="eastAsia"/>
          <w:szCs w:val="21"/>
          <w:highlight w:val="white"/>
          <w:lang w:eastAsia="zh-CN"/>
        </w:rPr>
        <w:t>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rsidR="002B1026">
      <w:pPr>
        <w:spacing w:line="360" w:lineRule="auto"/>
        <w:ind w:firstLine="420"/>
        <w:rPr>
          <w:rFonts w:ascii="宋体" w:hAnsi="宋体"/>
          <w:szCs w:val="21"/>
          <w:lang w:eastAsia="zh-CN"/>
        </w:rPr>
      </w:pPr>
      <w:r>
        <w:rPr>
          <w:rFonts w:ascii="宋体" w:hAnsi="宋体"/>
          <w:szCs w:val="21"/>
          <w:highlight w:val="white"/>
          <w:lang w:eastAsia="zh-CN"/>
        </w:rPr>
        <w:t>10）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导致本基金权益受损；其他因结算参与人未遵守相关业务规则导致本基金利益受到损害的情况。</w:t>
      </w:r>
    </w:p>
    <w:p w:rsidR="002B1026">
      <w:pPr>
        <w:spacing w:line="360" w:lineRule="auto"/>
        <w:ind w:firstLine="420"/>
        <w:rPr>
          <w:rFonts w:ascii="宋体" w:hAnsi="宋体"/>
          <w:szCs w:val="21"/>
          <w:lang w:eastAsia="zh-CN"/>
        </w:rPr>
      </w:pPr>
      <w:r>
        <w:rPr>
          <w:rFonts w:ascii="宋体" w:hAnsi="宋体"/>
          <w:szCs w:val="21"/>
          <w:highlight w:val="white"/>
          <w:lang w:eastAsia="zh-CN"/>
        </w:rPr>
        <w:t>11）现金红利获得时间有所延后的风险。对于在联交所上市公司派发的现金红利或联交所上市ETF进行的收益分配，由于中国结算需要在收到香港结算派发的外币红利资金后进行换汇、清算、发放等业务处理，投资者通过港股通业务获得的现金红利将会较香港市场有所延后。</w:t>
      </w:r>
    </w:p>
    <w:p w:rsidR="002B1026">
      <w:pPr>
        <w:spacing w:line="360" w:lineRule="auto"/>
        <w:ind w:firstLine="420"/>
        <w:rPr>
          <w:rFonts w:ascii="宋体" w:hAnsi="宋体"/>
          <w:szCs w:val="21"/>
          <w:lang w:eastAsia="zh-CN"/>
        </w:rPr>
      </w:pPr>
      <w:r>
        <w:rPr>
          <w:rFonts w:ascii="宋体" w:hAnsi="宋体"/>
          <w:szCs w:val="21"/>
          <w:highlight w:val="white"/>
          <w:lang w:eastAsia="zh-CN"/>
        </w:rPr>
        <w:t>12</w:t>
      </w:r>
      <w:r>
        <w:rPr>
          <w:rFonts w:ascii="宋体" w:hAnsi="宋体" w:hint="eastAsia"/>
          <w:szCs w:val="21"/>
          <w:highlight w:val="white"/>
          <w:lang w:eastAsia="zh-CN"/>
        </w:rPr>
        <w:t>）</w:t>
      </w:r>
      <w:r>
        <w:rPr>
          <w:rFonts w:ascii="宋体" w:hAnsi="宋体"/>
          <w:szCs w:val="21"/>
          <w:highlight w:val="white"/>
          <w:lang w:eastAsia="zh-CN"/>
        </w:rPr>
        <w:t>投资方式受限的风险。本基金通过港股通业务暂不能参与新股发行认购、超额供股和超额公开配售，以及ETF发行认购和申购赎回。</w:t>
      </w:r>
    </w:p>
    <w:p w:rsidR="002B1026">
      <w:pPr>
        <w:spacing w:line="360" w:lineRule="auto"/>
        <w:ind w:firstLine="420"/>
        <w:rPr>
          <w:rFonts w:ascii="宋体" w:hAnsi="Calibri"/>
          <w:lang w:eastAsia="zh-CN"/>
        </w:rPr>
      </w:pPr>
      <w:r>
        <w:rPr>
          <w:rFonts w:hint="eastAsia"/>
          <w:highlight w:val="white"/>
          <w:lang w:eastAsia="zh-CN"/>
        </w:rPr>
        <w:t>（</w:t>
      </w:r>
      <w:r>
        <w:rPr>
          <w:rFonts w:ascii="宋体" w:hAnsi="宋体" w:cs="宋体" w:hint="eastAsia"/>
          <w:highlight w:val="white"/>
          <w:lang w:eastAsia="zh-CN"/>
        </w:rPr>
        <w:t>3</w:t>
      </w:r>
      <w:r>
        <w:rPr>
          <w:rFonts w:hint="eastAsia"/>
          <w:highlight w:val="white"/>
          <w:lang w:eastAsia="zh-CN"/>
        </w:rPr>
        <w:t>）本基金可根据投资策略需要或不同配置地市场环境的变化，选择将部分基金资产投资于港股及港股通</w:t>
      </w:r>
      <w:r>
        <w:rPr>
          <w:rFonts w:ascii="宋体" w:hAnsi="宋体" w:cs="宋体"/>
          <w:highlight w:val="white"/>
          <w:lang w:eastAsia="zh-CN"/>
        </w:rPr>
        <w:t>ETF</w:t>
      </w:r>
      <w:r>
        <w:rPr>
          <w:rFonts w:hint="eastAsia"/>
          <w:highlight w:val="white"/>
          <w:lang w:eastAsia="zh-CN"/>
        </w:rPr>
        <w:t>或选择不将基金资产投资于港股及港股通</w:t>
      </w:r>
      <w:r>
        <w:rPr>
          <w:rFonts w:ascii="宋体" w:hAnsi="宋体" w:cs="宋体"/>
          <w:highlight w:val="white"/>
          <w:lang w:eastAsia="zh-CN"/>
        </w:rPr>
        <w:t>ETF</w:t>
      </w:r>
      <w:r>
        <w:rPr>
          <w:rFonts w:hint="eastAsia"/>
          <w:highlight w:val="white"/>
          <w:lang w:eastAsia="zh-CN"/>
        </w:rPr>
        <w:t>，基金资产并非必然投资港股及港股通</w:t>
      </w:r>
      <w:r>
        <w:rPr>
          <w:rFonts w:ascii="宋体" w:hAnsi="宋体" w:cs="宋体"/>
          <w:highlight w:val="white"/>
          <w:lang w:eastAsia="zh-CN"/>
        </w:rPr>
        <w:t>ETF</w:t>
      </w:r>
      <w:r>
        <w:rPr>
          <w:rFonts w:hint="eastAsia"/>
          <w:highlight w:val="white"/>
          <w:lang w:eastAsia="zh-CN"/>
        </w:rPr>
        <w:t>。</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7、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2B1026">
      <w:pPr>
        <w:spacing w:line="360" w:lineRule="auto"/>
        <w:ind w:firstLine="420"/>
        <w:rPr>
          <w:rFonts w:ascii="宋体" w:hAnsi="Calibri"/>
          <w:szCs w:val="21"/>
          <w:lang w:eastAsia="zh-CN"/>
        </w:rPr>
      </w:pPr>
      <w:r>
        <w:rPr>
          <w:rFonts w:ascii="宋体" w:hAnsi="Calibri"/>
          <w:highlight w:val="white"/>
          <w:lang w:eastAsia="zh-CN"/>
        </w:rPr>
        <w:t>8、</w:t>
      </w:r>
      <w:r>
        <w:rPr>
          <w:rFonts w:ascii="宋体" w:hAnsi="Calibri" w:hint="eastAsia"/>
          <w:highlight w:val="white"/>
          <w:lang w:eastAsia="zh-CN"/>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2B1026">
      <w:pPr>
        <w:spacing w:line="360" w:lineRule="auto"/>
        <w:ind w:firstLine="420"/>
        <w:rPr>
          <w:rFonts w:ascii="宋体" w:hAnsi="Calibri"/>
          <w:szCs w:val="21"/>
          <w:lang w:eastAsia="zh-CN"/>
        </w:rPr>
      </w:pPr>
      <w:r>
        <w:rPr>
          <w:rFonts w:ascii="宋体" w:hAnsi="Calibri" w:hint="eastAsia"/>
          <w:highlight w:val="white"/>
          <w:lang w:eastAsia="zh-CN"/>
        </w:rPr>
        <w:t>9</w:t>
      </w:r>
      <w:r>
        <w:rPr>
          <w:rFonts w:ascii="宋体" w:hAnsi="Calibri"/>
          <w:szCs w:val="21"/>
          <w:highlight w:val="white"/>
          <w:lang w:eastAsia="zh-CN"/>
        </w:rPr>
        <w:t>、</w:t>
      </w:r>
      <w:r>
        <w:rPr>
          <w:rFonts w:ascii="宋体" w:hAnsi="Calibri" w:hint="eastAsia"/>
          <w:szCs w:val="21"/>
          <w:highlight w:val="white"/>
          <w:lang w:eastAsia="zh-CN"/>
        </w:rPr>
        <w:t>投资于存托凭证的风险</w:t>
      </w:r>
    </w:p>
    <w:p w:rsidR="002B1026">
      <w:pPr>
        <w:spacing w:line="360" w:lineRule="auto"/>
        <w:ind w:firstLine="420"/>
        <w:rPr>
          <w:rFonts w:ascii="宋体" w:hAnsi="Calibri"/>
          <w:szCs w:val="21"/>
          <w:lang w:eastAsia="zh-CN"/>
        </w:rPr>
      </w:pPr>
      <w:r>
        <w:rPr>
          <w:rFonts w:ascii="宋体" w:hAnsi="Calibri"/>
          <w:szCs w:val="21"/>
          <w:highlight w:val="white"/>
          <w:lang w:eastAsia="zh-CN"/>
        </w:rPr>
        <w:t>本基金的投资范围包括存托凭证，除与其他投资于股票的基金所面临的共同风险外，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2B1026">
      <w:pPr>
        <w:spacing w:line="360" w:lineRule="auto"/>
        <w:ind w:firstLine="420"/>
        <w:rPr>
          <w:rFonts w:ascii="宋体" w:hAnsi="Calibri"/>
          <w:szCs w:val="21"/>
          <w:lang w:eastAsia="zh-CN"/>
        </w:rPr>
      </w:pPr>
      <w:r>
        <w:rPr>
          <w:rFonts w:ascii="宋体" w:hAnsi="Calibri"/>
          <w:szCs w:val="21"/>
          <w:highlight w:val="white"/>
          <w:lang w:eastAsia="zh-CN"/>
        </w:rPr>
        <w:t>10、</w:t>
      </w:r>
      <w:r>
        <w:rPr>
          <w:rFonts w:ascii="宋体" w:hAnsi="Calibri" w:hint="eastAsia"/>
          <w:szCs w:val="21"/>
          <w:highlight w:val="white"/>
          <w:lang w:eastAsia="zh-CN"/>
        </w:rPr>
        <w:t>本基金的投资范围包括资产支持证券，资产支持证券存在一定的信用风险、利率风险、流动性风险、提前偿付风险、操作风险和法律风险，由此可能给基金净值带来不利影响或损失。</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二、市场风险</w:t>
      </w:r>
    </w:p>
    <w:p w:rsidR="002B1026">
      <w:pPr>
        <w:spacing w:line="360" w:lineRule="auto"/>
        <w:ind w:firstLine="420"/>
        <w:rPr>
          <w:rFonts w:ascii="宋体" w:hAnsi="Calibri"/>
          <w:szCs w:val="21"/>
          <w:lang w:eastAsia="zh-CN"/>
        </w:rPr>
      </w:pPr>
      <w:r>
        <w:rPr>
          <w:rFonts w:ascii="宋体" w:hAnsi="Calibri"/>
          <w:szCs w:val="21"/>
          <w:highlight w:val="white"/>
          <w:lang w:eastAsia="zh-CN"/>
        </w:rPr>
        <w:t>本基金</w:t>
      </w:r>
      <w:r>
        <w:rPr>
          <w:rFonts w:ascii="宋体" w:hAnsi="Calibri" w:hint="eastAsia"/>
          <w:szCs w:val="21"/>
          <w:highlight w:val="white"/>
          <w:lang w:eastAsia="zh-CN"/>
        </w:rPr>
        <w:t>主要</w:t>
      </w:r>
      <w:r>
        <w:rPr>
          <w:rFonts w:ascii="宋体" w:hAnsi="Calibri"/>
          <w:szCs w:val="21"/>
          <w:highlight w:val="white"/>
          <w:lang w:eastAsia="zh-CN"/>
        </w:rPr>
        <w:t>投资于</w:t>
      </w:r>
      <w:r>
        <w:rPr>
          <w:rFonts w:ascii="宋体" w:hAnsi="Calibri" w:hint="eastAsia"/>
          <w:szCs w:val="21"/>
          <w:highlight w:val="white"/>
          <w:lang w:eastAsia="zh-CN"/>
        </w:rPr>
        <w:t>其他各类型证券</w:t>
      </w:r>
      <w:r>
        <w:rPr>
          <w:rFonts w:ascii="宋体" w:hAnsi="Calibri"/>
          <w:szCs w:val="21"/>
          <w:highlight w:val="white"/>
          <w:lang w:eastAsia="zh-CN"/>
        </w:rPr>
        <w:t>投资基金，</w:t>
      </w:r>
      <w:r>
        <w:rPr>
          <w:rFonts w:ascii="宋体" w:hAnsi="Calibri" w:hint="eastAsia"/>
          <w:szCs w:val="21"/>
          <w:highlight w:val="white"/>
          <w:lang w:eastAsia="zh-CN"/>
        </w:rPr>
        <w:t>同时也少量直接持有基础证券。由于</w:t>
      </w:r>
      <w:r>
        <w:rPr>
          <w:rFonts w:ascii="宋体" w:hAnsi="Calibri"/>
          <w:szCs w:val="21"/>
          <w:highlight w:val="white"/>
          <w:lang w:eastAsia="zh-CN"/>
        </w:rPr>
        <w:t>证券投资</w:t>
      </w:r>
      <w:r>
        <w:rPr>
          <w:rFonts w:ascii="宋体" w:hAnsi="Calibri" w:hint="eastAsia"/>
          <w:szCs w:val="21"/>
          <w:highlight w:val="white"/>
          <w:lang w:eastAsia="zh-CN"/>
        </w:rPr>
        <w:t>基金主要</w:t>
      </w:r>
      <w:r>
        <w:rPr>
          <w:rFonts w:ascii="宋体" w:hAnsi="Calibri"/>
          <w:szCs w:val="21"/>
          <w:highlight w:val="white"/>
          <w:lang w:eastAsia="zh-CN"/>
        </w:rPr>
        <w:t>投资于证券市场，而证券市场价格因受到经济因素、政治因素、投资者心理和交易制度等各种因素的影响而产生波动，从而导致</w:t>
      </w:r>
      <w:r>
        <w:rPr>
          <w:rFonts w:ascii="宋体" w:hAnsi="Calibri" w:hint="eastAsia"/>
          <w:szCs w:val="21"/>
          <w:highlight w:val="white"/>
          <w:lang w:eastAsia="zh-CN"/>
        </w:rPr>
        <w:t>本</w:t>
      </w:r>
      <w:r>
        <w:rPr>
          <w:rFonts w:ascii="宋体" w:hAnsi="Calibri"/>
          <w:szCs w:val="21"/>
          <w:highlight w:val="white"/>
          <w:lang w:eastAsia="zh-CN"/>
        </w:rPr>
        <w:t>基金间接</w:t>
      </w:r>
      <w:r>
        <w:rPr>
          <w:rFonts w:ascii="宋体" w:hAnsi="Calibri" w:hint="eastAsia"/>
          <w:szCs w:val="21"/>
          <w:highlight w:val="white"/>
          <w:lang w:eastAsia="zh-CN"/>
        </w:rPr>
        <w:t>或</w:t>
      </w:r>
      <w:r>
        <w:rPr>
          <w:rFonts w:ascii="宋体" w:hAnsi="Calibri"/>
          <w:szCs w:val="21"/>
          <w:highlight w:val="white"/>
          <w:lang w:eastAsia="zh-CN"/>
        </w:rPr>
        <w:t>直接承担各类</w:t>
      </w:r>
      <w:r>
        <w:rPr>
          <w:rFonts w:ascii="宋体" w:hAnsi="Calibri" w:hint="eastAsia"/>
          <w:szCs w:val="21"/>
          <w:highlight w:val="white"/>
          <w:lang w:eastAsia="zh-CN"/>
        </w:rPr>
        <w:t>证券</w:t>
      </w:r>
      <w:r>
        <w:rPr>
          <w:rFonts w:ascii="宋体" w:hAnsi="Calibri"/>
          <w:szCs w:val="21"/>
          <w:highlight w:val="white"/>
          <w:lang w:eastAsia="zh-CN"/>
        </w:rPr>
        <w:t>市场</w:t>
      </w:r>
      <w:r>
        <w:rPr>
          <w:rFonts w:ascii="宋体" w:hAnsi="Calibri" w:hint="eastAsia"/>
          <w:szCs w:val="21"/>
          <w:highlight w:val="white"/>
          <w:lang w:eastAsia="zh-CN"/>
        </w:rPr>
        <w:t>的</w:t>
      </w:r>
      <w:r>
        <w:rPr>
          <w:rFonts w:ascii="宋体" w:hAnsi="Calibri"/>
          <w:szCs w:val="21"/>
          <w:highlight w:val="white"/>
          <w:lang w:eastAsia="zh-CN"/>
        </w:rPr>
        <w:t>风险。</w:t>
      </w:r>
      <w:r>
        <w:rPr>
          <w:rFonts w:ascii="宋体" w:hAnsi="Calibri" w:hint="eastAsia"/>
          <w:szCs w:val="21"/>
          <w:highlight w:val="white"/>
          <w:lang w:eastAsia="zh-CN"/>
        </w:rPr>
        <w:t>主要的风险因素包括：</w:t>
      </w:r>
    </w:p>
    <w:p w:rsidR="002B1026">
      <w:pPr>
        <w:spacing w:line="360" w:lineRule="auto"/>
        <w:ind w:firstLine="420"/>
        <w:rPr>
          <w:rFonts w:ascii="宋体" w:hAnsi="Calibri"/>
          <w:szCs w:val="21"/>
          <w:lang w:eastAsia="zh-CN"/>
        </w:rPr>
      </w:pPr>
      <w:r>
        <w:rPr>
          <w:rFonts w:ascii="宋体" w:hAnsi="Calibri"/>
          <w:szCs w:val="21"/>
          <w:highlight w:val="white"/>
          <w:lang w:eastAsia="zh-CN"/>
        </w:rPr>
        <w:t>1</w:t>
      </w:r>
      <w:r>
        <w:rPr>
          <w:rFonts w:ascii="宋体" w:hAnsi="Calibri" w:hint="eastAsia"/>
          <w:szCs w:val="21"/>
          <w:highlight w:val="white"/>
          <w:lang w:eastAsia="zh-CN"/>
        </w:rPr>
        <w:t>、政策风险</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因国家宏观政策（如货币政策、财政政策、产业政策、地区发展政策等）发生变化，导致市场价格波动而产生风险。</w:t>
      </w:r>
    </w:p>
    <w:p w:rsidR="002B1026">
      <w:pPr>
        <w:spacing w:line="360" w:lineRule="auto"/>
        <w:ind w:firstLine="420"/>
        <w:rPr>
          <w:rFonts w:ascii="宋体" w:hAnsi="Calibri"/>
          <w:szCs w:val="21"/>
          <w:lang w:eastAsia="zh-CN"/>
        </w:rPr>
      </w:pPr>
      <w:r>
        <w:rPr>
          <w:rFonts w:ascii="宋体" w:hAnsi="Calibri"/>
          <w:szCs w:val="21"/>
          <w:highlight w:val="white"/>
          <w:lang w:eastAsia="zh-CN"/>
        </w:rPr>
        <w:t>2</w:t>
      </w:r>
      <w:r>
        <w:rPr>
          <w:rFonts w:ascii="宋体" w:hAnsi="Calibri" w:hint="eastAsia"/>
          <w:szCs w:val="21"/>
          <w:highlight w:val="white"/>
          <w:lang w:eastAsia="zh-CN"/>
        </w:rPr>
        <w:t>、利率风险</w:t>
      </w:r>
    </w:p>
    <w:p w:rsidR="002B1026">
      <w:pPr>
        <w:spacing w:line="360" w:lineRule="auto"/>
        <w:ind w:firstLine="420"/>
        <w:rPr>
          <w:rFonts w:ascii="宋体" w:hAnsi="Calibri"/>
          <w:lang w:eastAsia="zh-CN"/>
        </w:rPr>
      </w:pPr>
      <w:r>
        <w:rPr>
          <w:rFonts w:ascii="宋体" w:hAnsi="Calibri" w:hint="eastAsia"/>
          <w:szCs w:val="21"/>
          <w:highlight w:val="white"/>
          <w:lang w:eastAsia="zh-CN"/>
        </w:rPr>
        <w:t>利率风险主要是指因金融市场利率的波动而导致证券市场价格和收益率变动的风险。利率直接影响着债券的价格和收益率，影响着企业的融资成本和利润。本</w:t>
      </w:r>
      <w:r>
        <w:rPr>
          <w:rFonts w:ascii="宋体" w:hAnsi="Calibri" w:hint="eastAsia"/>
          <w:highlight w:val="white"/>
          <w:lang w:eastAsia="zh-CN"/>
        </w:rPr>
        <w:t>基金通过</w:t>
      </w:r>
      <w:r>
        <w:rPr>
          <w:rFonts w:ascii="宋体" w:hAnsi="Calibri"/>
          <w:highlight w:val="white"/>
          <w:lang w:eastAsia="zh-CN"/>
        </w:rPr>
        <w:t>持有证券投资基金而间接</w:t>
      </w:r>
      <w:r>
        <w:rPr>
          <w:rFonts w:ascii="宋体" w:hAnsi="Calibri" w:hint="eastAsia"/>
          <w:highlight w:val="white"/>
          <w:lang w:eastAsia="zh-CN"/>
        </w:rPr>
        <w:t>投资于股票和债券，其收益水平会受到利率变化的影响，</w:t>
      </w:r>
      <w:r>
        <w:rPr>
          <w:rFonts w:ascii="宋体" w:hAnsi="Calibri"/>
          <w:highlight w:val="white"/>
          <w:lang w:eastAsia="zh-CN"/>
        </w:rPr>
        <w:t>从而产生风险</w:t>
      </w:r>
      <w:r>
        <w:rPr>
          <w:rFonts w:ascii="宋体" w:hAnsi="Calibri" w:hint="eastAsia"/>
          <w:highlight w:val="white"/>
          <w:lang w:eastAsia="zh-CN"/>
        </w:rPr>
        <w:t>。</w:t>
      </w:r>
    </w:p>
    <w:p w:rsidR="002B1026">
      <w:pPr>
        <w:spacing w:line="360" w:lineRule="auto"/>
        <w:ind w:firstLine="420"/>
        <w:rPr>
          <w:rFonts w:ascii="宋体" w:hAnsi="Calibri"/>
          <w:szCs w:val="21"/>
          <w:lang w:eastAsia="zh-CN"/>
        </w:rPr>
      </w:pPr>
      <w:r>
        <w:rPr>
          <w:rFonts w:ascii="宋体" w:hAnsi="Calibri"/>
          <w:szCs w:val="21"/>
          <w:highlight w:val="white"/>
          <w:lang w:eastAsia="zh-CN"/>
        </w:rPr>
        <w:t>3</w:t>
      </w:r>
      <w:r>
        <w:rPr>
          <w:rFonts w:ascii="宋体" w:hAnsi="Calibri" w:hint="eastAsia"/>
          <w:szCs w:val="21"/>
          <w:highlight w:val="white"/>
          <w:lang w:eastAsia="zh-CN"/>
        </w:rPr>
        <w:t>、购买力风险</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如果发生通货膨胀，基金投资于证券所获得的收益可能会被通货膨胀抵消，从而影响基金资产的实际收益率。</w:t>
      </w:r>
    </w:p>
    <w:p w:rsidR="002B1026">
      <w:pPr>
        <w:spacing w:line="360" w:lineRule="auto"/>
        <w:ind w:firstLine="420"/>
        <w:rPr>
          <w:rFonts w:ascii="宋体" w:hAnsi="Calibri"/>
          <w:szCs w:val="21"/>
          <w:lang w:eastAsia="zh-CN"/>
        </w:rPr>
      </w:pPr>
      <w:r>
        <w:rPr>
          <w:rFonts w:ascii="宋体" w:hAnsi="Calibri"/>
          <w:szCs w:val="21"/>
          <w:highlight w:val="white"/>
          <w:lang w:eastAsia="zh-CN"/>
        </w:rPr>
        <w:t>4</w:t>
      </w:r>
      <w:r>
        <w:rPr>
          <w:rFonts w:ascii="宋体" w:hAnsi="Calibri" w:hint="eastAsia"/>
          <w:szCs w:val="21"/>
          <w:highlight w:val="white"/>
          <w:lang w:eastAsia="zh-CN"/>
        </w:rPr>
        <w:t>、信用风险</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信用风险主要指债券发行人出现违约、拒绝支付到期本息，或由于债券发行人信用质量降低导致债券价格下降的风险。另外，由于交易对手违约也会导致信用风险。</w:t>
      </w:r>
    </w:p>
    <w:p w:rsidR="002B1026">
      <w:pPr>
        <w:spacing w:line="360" w:lineRule="auto"/>
        <w:ind w:firstLine="420"/>
        <w:rPr>
          <w:rFonts w:ascii="宋体" w:hAnsi="Calibri"/>
          <w:szCs w:val="21"/>
          <w:lang w:eastAsia="zh-CN"/>
        </w:rPr>
      </w:pPr>
      <w:r>
        <w:rPr>
          <w:rFonts w:ascii="宋体" w:hAnsi="Calibri"/>
          <w:szCs w:val="21"/>
          <w:highlight w:val="white"/>
          <w:lang w:eastAsia="zh-CN"/>
        </w:rPr>
        <w:t>5</w:t>
      </w:r>
      <w:r>
        <w:rPr>
          <w:rFonts w:ascii="宋体" w:hAnsi="Calibri" w:hint="eastAsia"/>
          <w:szCs w:val="21"/>
          <w:highlight w:val="white"/>
          <w:lang w:eastAsia="zh-CN"/>
        </w:rPr>
        <w:t>、公司经营风险</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6</w:t>
      </w:r>
      <w:r>
        <w:rPr>
          <w:rFonts w:ascii="宋体" w:hAnsi="Calibri" w:hint="eastAsia"/>
          <w:szCs w:val="21"/>
          <w:highlight w:val="white"/>
          <w:lang w:eastAsia="zh-CN"/>
        </w:rPr>
        <w:t>、债券收益率曲线风险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债券收益率曲线风险是指与收益率曲线非平行移动有关的风险，单一的久期指标并不能充分反映这一风险的存在。</w:t>
      </w:r>
    </w:p>
    <w:p w:rsidR="002B1026">
      <w:pPr>
        <w:spacing w:line="360" w:lineRule="auto"/>
        <w:ind w:firstLine="420" w:firstLineChars="200"/>
        <w:rPr>
          <w:rFonts w:ascii="宋体" w:hAnsi="Calibri"/>
          <w:szCs w:val="21"/>
          <w:lang w:eastAsia="zh-CN"/>
        </w:rPr>
      </w:pPr>
      <w:r>
        <w:rPr>
          <w:rFonts w:ascii="宋体" w:hAnsi="Calibri"/>
          <w:szCs w:val="21"/>
          <w:highlight w:val="white"/>
          <w:lang w:eastAsia="zh-CN"/>
        </w:rPr>
        <w:t>7</w:t>
      </w:r>
      <w:r>
        <w:rPr>
          <w:rFonts w:ascii="宋体" w:hAnsi="Calibri" w:hint="eastAsia"/>
          <w:szCs w:val="21"/>
          <w:highlight w:val="white"/>
          <w:lang w:eastAsia="zh-CN"/>
        </w:rPr>
        <w:t>、再投资风险</w:t>
      </w:r>
    </w:p>
    <w:p w:rsidR="002B1026">
      <w:pPr>
        <w:spacing w:line="360" w:lineRule="auto"/>
        <w:ind w:firstLine="420" w:firstLineChars="200"/>
        <w:rPr>
          <w:rFonts w:ascii="宋体" w:hAnsi="Calibri"/>
          <w:szCs w:val="21"/>
          <w:lang w:eastAsia="zh-CN"/>
        </w:rPr>
      </w:pPr>
      <w:r>
        <w:rPr>
          <w:rFonts w:ascii="宋体" w:hAnsi="Calibri" w:hint="eastAsia"/>
          <w:szCs w:val="21"/>
          <w:highlight w:val="white"/>
          <w:lang w:eastAsia="zh-CN"/>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rsidR="002B1026">
      <w:pPr>
        <w:spacing w:line="360" w:lineRule="auto"/>
        <w:ind w:firstLine="420"/>
        <w:rPr>
          <w:rFonts w:ascii="宋体" w:hAnsi="Calibri"/>
          <w:lang w:eastAsia="zh-CN"/>
        </w:rPr>
      </w:pPr>
      <w:r>
        <w:rPr>
          <w:rFonts w:ascii="宋体" w:hAnsi="Calibri"/>
          <w:szCs w:val="21"/>
          <w:highlight w:val="white"/>
          <w:lang w:eastAsia="zh-CN"/>
        </w:rPr>
        <w:t>8</w:t>
      </w:r>
      <w:r>
        <w:rPr>
          <w:rFonts w:ascii="宋体" w:hAnsi="Calibri" w:hint="eastAsia"/>
          <w:szCs w:val="21"/>
          <w:highlight w:val="white"/>
          <w:lang w:eastAsia="zh-CN"/>
        </w:rPr>
        <w:t>、</w:t>
      </w:r>
      <w:r>
        <w:rPr>
          <w:rFonts w:ascii="宋体" w:hAnsi="Calibri" w:hint="eastAsia"/>
          <w:highlight w:val="white"/>
          <w:lang w:eastAsia="zh-CN"/>
        </w:rPr>
        <w:t>经济周期风险</w:t>
      </w:r>
    </w:p>
    <w:p w:rsidR="002B1026">
      <w:pPr>
        <w:spacing w:line="360" w:lineRule="auto"/>
        <w:ind w:firstLine="420"/>
        <w:rPr>
          <w:rFonts w:ascii="宋体" w:hAnsi="Calibri"/>
          <w:szCs w:val="21"/>
          <w:lang w:eastAsia="zh-CN"/>
        </w:rPr>
      </w:pPr>
      <w:r>
        <w:rPr>
          <w:rFonts w:ascii="宋体" w:hAnsi="Calibri" w:hint="eastAsia"/>
          <w:highlight w:val="white"/>
          <w:lang w:eastAsia="zh-CN"/>
        </w:rPr>
        <w:t>随着经济运行的周期性变化，证券市场的收益水平也呈周期性变化，基金投资的收益水平也会随之变化，从而产生风险。</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三、流动性风险</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w:t>
      </w:r>
      <w:r>
        <w:rPr>
          <w:rFonts w:ascii="宋体" w:hAnsi="Calibri"/>
          <w:szCs w:val="21"/>
          <w:highlight w:val="white"/>
          <w:lang w:eastAsia="zh-CN"/>
        </w:rPr>
        <w:t>流</w:t>
      </w:r>
      <w:r>
        <w:rPr>
          <w:rFonts w:ascii="宋体" w:hAnsi="Calibri" w:hint="eastAsia"/>
          <w:szCs w:val="21"/>
          <w:highlight w:val="white"/>
          <w:lang w:eastAsia="zh-CN"/>
        </w:rPr>
        <w:t>动</w:t>
      </w:r>
      <w:r>
        <w:rPr>
          <w:rFonts w:ascii="宋体" w:hAnsi="Calibri"/>
          <w:szCs w:val="21"/>
          <w:highlight w:val="white"/>
          <w:lang w:eastAsia="zh-CN"/>
        </w:rPr>
        <w:t>性风险评估</w:t>
      </w:r>
    </w:p>
    <w:p w:rsidR="002B1026">
      <w:pPr>
        <w:spacing w:line="360" w:lineRule="auto"/>
        <w:ind w:firstLine="420"/>
        <w:rPr>
          <w:rFonts w:ascii="宋体" w:hAnsi="Calibri"/>
          <w:lang w:eastAsia="zh-CN"/>
        </w:rPr>
      </w:pPr>
      <w:r>
        <w:rPr>
          <w:rFonts w:ascii="宋体" w:hAnsi="Calibri" w:hint="eastAsia"/>
          <w:highlight w:val="white"/>
          <w:lang w:eastAsia="zh-CN"/>
        </w:rPr>
        <w:t>本基金为基金中基金，主要投资证券投资</w:t>
      </w:r>
      <w:r>
        <w:rPr>
          <w:rFonts w:ascii="宋体" w:hAnsi="Calibri"/>
          <w:highlight w:val="white"/>
          <w:lang w:eastAsia="zh-CN"/>
        </w:rPr>
        <w:t>基金</w:t>
      </w:r>
      <w:r>
        <w:rPr>
          <w:rFonts w:ascii="宋体" w:hAnsi="Calibri" w:hint="eastAsia"/>
          <w:highlight w:val="white"/>
          <w:lang w:eastAsia="zh-CN"/>
        </w:rPr>
        <w:t>，一</w:t>
      </w:r>
      <w:r>
        <w:rPr>
          <w:rFonts w:ascii="宋体" w:hAnsi="Calibri"/>
          <w:highlight w:val="white"/>
          <w:lang w:eastAsia="zh-CN"/>
        </w:rPr>
        <w:t>般情况下，</w:t>
      </w:r>
      <w:r>
        <w:rPr>
          <w:rFonts w:ascii="宋体" w:hAnsi="Calibri" w:hint="eastAsia"/>
          <w:highlight w:val="white"/>
          <w:lang w:eastAsia="zh-CN"/>
        </w:rPr>
        <w:t>上述</w:t>
      </w:r>
      <w:r>
        <w:rPr>
          <w:rFonts w:ascii="宋体" w:hAnsi="Calibri"/>
          <w:highlight w:val="white"/>
          <w:lang w:eastAsia="zh-CN"/>
        </w:rPr>
        <w:t>资产</w:t>
      </w:r>
      <w:r>
        <w:rPr>
          <w:rFonts w:ascii="宋体" w:hAnsi="Calibri" w:hint="eastAsia"/>
          <w:highlight w:val="white"/>
          <w:lang w:eastAsia="zh-CN"/>
        </w:rPr>
        <w:t>市场流动性较好。</w:t>
      </w:r>
    </w:p>
    <w:p w:rsidR="002B1026">
      <w:pPr>
        <w:spacing w:line="360" w:lineRule="auto"/>
        <w:ind w:firstLine="420"/>
        <w:rPr>
          <w:rFonts w:ascii="宋体" w:hAnsi="Calibri"/>
          <w:lang w:eastAsia="zh-CN"/>
        </w:rPr>
      </w:pPr>
      <w:r>
        <w:rPr>
          <w:rFonts w:ascii="宋体" w:hAnsi="Calibri" w:hint="eastAsia"/>
          <w:highlight w:val="white"/>
          <w:lang w:eastAsia="zh-CN"/>
        </w:rPr>
        <w:t>但不排除</w:t>
      </w:r>
      <w:r>
        <w:rPr>
          <w:rFonts w:ascii="宋体" w:hAnsi="Calibri"/>
          <w:highlight w:val="white"/>
          <w:lang w:eastAsia="zh-CN"/>
        </w:rPr>
        <w:t>在特定阶段、特定市场环境下特定投资标的出现流动性较差的情况。</w:t>
      </w:r>
      <w:r>
        <w:rPr>
          <w:rFonts w:ascii="宋体" w:hAnsi="Calibri" w:hint="eastAsia"/>
          <w:highlight w:val="white"/>
          <w:lang w:eastAsia="zh-CN"/>
        </w:rPr>
        <w:t>因此，本基金投资于上述资产时，可能存在以下流动性风险：</w:t>
      </w:r>
      <w:r>
        <w:rPr>
          <w:rFonts w:ascii="宋体" w:hAnsi="Calibri"/>
          <w:highlight w:val="white"/>
          <w:lang w:eastAsia="zh-CN"/>
        </w:rPr>
        <w:t>一是基金管理人建仓</w:t>
      </w:r>
      <w:r>
        <w:rPr>
          <w:rFonts w:ascii="宋体" w:hAnsi="Calibri" w:hint="eastAsia"/>
          <w:highlight w:val="white"/>
          <w:lang w:eastAsia="zh-CN"/>
        </w:rPr>
        <w:t>或</w:t>
      </w:r>
      <w:r>
        <w:rPr>
          <w:rFonts w:ascii="宋体" w:hAnsi="Calibri"/>
          <w:highlight w:val="white"/>
          <w:lang w:eastAsia="zh-CN"/>
        </w:rPr>
        <w:t>进行组合调整时，可能由于</w:t>
      </w:r>
      <w:r>
        <w:rPr>
          <w:rFonts w:ascii="宋体" w:hAnsi="Calibri" w:hint="eastAsia"/>
          <w:highlight w:val="white"/>
          <w:lang w:eastAsia="zh-CN"/>
        </w:rPr>
        <w:t>特定</w:t>
      </w:r>
      <w:r>
        <w:rPr>
          <w:rFonts w:ascii="宋体" w:hAnsi="Calibri"/>
          <w:highlight w:val="white"/>
          <w:lang w:eastAsia="zh-CN"/>
        </w:rPr>
        <w:t>投资标的流动性相对不足而无法按预期的价格买进或卖出；二是为应付投资者的赎回，基金被迫</w:t>
      </w:r>
      <w:r>
        <w:rPr>
          <w:rFonts w:ascii="宋体" w:hAnsi="Calibri" w:hint="eastAsia"/>
          <w:highlight w:val="white"/>
          <w:lang w:eastAsia="zh-CN"/>
        </w:rPr>
        <w:t>以</w:t>
      </w:r>
      <w:r>
        <w:rPr>
          <w:rFonts w:ascii="宋体" w:hAnsi="Calibri"/>
          <w:highlight w:val="white"/>
          <w:lang w:eastAsia="zh-CN"/>
        </w:rPr>
        <w:t>不适当的价格</w:t>
      </w:r>
      <w:r>
        <w:rPr>
          <w:rFonts w:ascii="宋体" w:hAnsi="Calibri" w:hint="eastAsia"/>
          <w:highlight w:val="white"/>
          <w:lang w:eastAsia="zh-CN"/>
        </w:rPr>
        <w:t>卖出基金</w:t>
      </w:r>
      <w:r>
        <w:rPr>
          <w:rFonts w:ascii="宋体" w:hAnsi="Calibri"/>
          <w:highlight w:val="white"/>
          <w:lang w:eastAsia="zh-CN"/>
        </w:rPr>
        <w:t>、股票</w:t>
      </w:r>
      <w:r>
        <w:rPr>
          <w:rFonts w:ascii="宋体" w:hAnsi="Calibri" w:hint="eastAsia"/>
          <w:highlight w:val="white"/>
          <w:lang w:eastAsia="zh-CN"/>
        </w:rPr>
        <w:t>、</w:t>
      </w:r>
      <w:r>
        <w:rPr>
          <w:rFonts w:ascii="宋体" w:hAnsi="Calibri"/>
          <w:highlight w:val="white"/>
          <w:lang w:eastAsia="zh-CN"/>
        </w:rPr>
        <w:t>债券</w:t>
      </w:r>
      <w:r>
        <w:rPr>
          <w:rFonts w:ascii="宋体" w:hAnsi="Calibri" w:hint="eastAsia"/>
          <w:highlight w:val="white"/>
          <w:lang w:eastAsia="zh-CN"/>
        </w:rPr>
        <w:t>或其他资产</w:t>
      </w:r>
      <w:r>
        <w:rPr>
          <w:rFonts w:ascii="宋体" w:hAnsi="Calibri"/>
          <w:highlight w:val="white"/>
          <w:lang w:eastAsia="zh-CN"/>
        </w:rPr>
        <w:t>。两者均可能使基金净值受到不利影响。</w:t>
      </w:r>
    </w:p>
    <w:p w:rsidR="002B1026">
      <w:pPr>
        <w:spacing w:line="360" w:lineRule="auto"/>
        <w:ind w:firstLine="420"/>
        <w:rPr>
          <w:rFonts w:ascii="宋体" w:hAnsi="Calibri"/>
          <w:lang w:eastAsia="zh-CN"/>
        </w:rPr>
      </w:pPr>
      <w:r>
        <w:rPr>
          <w:rFonts w:ascii="宋体" w:hAnsi="Calibri"/>
          <w:highlight w:val="white"/>
          <w:lang w:eastAsia="zh-CN"/>
        </w:rPr>
        <w:t>2</w:t>
      </w:r>
      <w:r>
        <w:rPr>
          <w:rFonts w:ascii="宋体" w:hAnsi="Calibri" w:hint="eastAsia"/>
          <w:highlight w:val="white"/>
          <w:lang w:eastAsia="zh-CN"/>
        </w:rPr>
        <w:t>、</w:t>
      </w:r>
      <w:r>
        <w:rPr>
          <w:rFonts w:ascii="宋体" w:hAnsi="Calibri"/>
          <w:highlight w:val="white"/>
          <w:lang w:eastAsia="zh-CN"/>
        </w:rPr>
        <w:t>巨额赎回情形下</w:t>
      </w:r>
      <w:r>
        <w:rPr>
          <w:rFonts w:ascii="宋体" w:hAnsi="Calibri" w:hint="eastAsia"/>
          <w:highlight w:val="white"/>
          <w:lang w:eastAsia="zh-CN"/>
        </w:rPr>
        <w:t>的流动性</w:t>
      </w:r>
      <w:r>
        <w:rPr>
          <w:rFonts w:ascii="宋体" w:hAnsi="Calibri"/>
          <w:highlight w:val="white"/>
          <w:lang w:eastAsia="zh-CN"/>
        </w:rPr>
        <w:t>风险管理措施</w:t>
      </w:r>
    </w:p>
    <w:p w:rsidR="002B1026">
      <w:pPr>
        <w:spacing w:line="360" w:lineRule="auto"/>
        <w:ind w:firstLine="420"/>
        <w:rPr>
          <w:rFonts w:ascii="宋体" w:hAnsi="Calibri"/>
          <w:lang w:eastAsia="zh-CN"/>
        </w:rPr>
      </w:pPr>
      <w:r>
        <w:rPr>
          <w:rFonts w:ascii="宋体" w:hAnsi="Calibri" w:hint="eastAsia"/>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hAnsi="Calibri"/>
          <w:highlight w:val="white"/>
          <w:lang w:eastAsia="zh-CN"/>
        </w:rPr>
        <w:t>本基金发生巨额赎回且</w:t>
      </w:r>
      <w:r>
        <w:rPr>
          <w:rFonts w:ascii="宋体" w:hAnsi="Calibri" w:hint="eastAsia"/>
          <w:highlight w:val="white"/>
          <w:lang w:eastAsia="zh-CN"/>
        </w:rPr>
        <w:t>单个基金份额持有人的赎回申请超过上一开放日基金总份额10%的，基金管理人有权对该单个基金份额持有人超出该比例的赎回申请实施延期办理。具体</w:t>
      </w:r>
      <w:r>
        <w:rPr>
          <w:rFonts w:ascii="宋体" w:hAnsi="Calibri"/>
          <w:highlight w:val="white"/>
          <w:lang w:eastAsia="zh-CN"/>
        </w:rPr>
        <w:t>情形、</w:t>
      </w:r>
      <w:r>
        <w:rPr>
          <w:rFonts w:ascii="宋体" w:hAnsi="Calibri" w:hint="eastAsia"/>
          <w:highlight w:val="white"/>
          <w:lang w:eastAsia="zh-CN"/>
        </w:rPr>
        <w:t>程序见</w:t>
      </w:r>
      <w:r>
        <w:rPr>
          <w:rFonts w:ascii="宋体" w:hAnsi="Calibri"/>
          <w:highlight w:val="white"/>
          <w:lang w:eastAsia="zh-CN"/>
        </w:rPr>
        <w:t>招募说明书</w:t>
      </w:r>
      <w:r>
        <w:rPr>
          <w:rFonts w:ascii="宋体" w:hAnsi="Calibri" w:hint="eastAsia"/>
          <w:highlight w:val="white"/>
          <w:lang w:eastAsia="zh-CN"/>
        </w:rPr>
        <w:t>“基金份额的申购、赎回”之“</w:t>
      </w:r>
      <w:r>
        <w:rPr>
          <w:rFonts w:ascii="宋体" w:hAnsi="Calibri"/>
          <w:highlight w:val="white"/>
          <w:lang w:eastAsia="zh-CN"/>
        </w:rPr>
        <w:t>巨额赎回的</w:t>
      </w:r>
      <w:r>
        <w:rPr>
          <w:rFonts w:ascii="宋体" w:hAnsi="Calibri" w:cs="宋体"/>
          <w:color w:val="000000"/>
          <w:highlight w:val="white"/>
          <w:lang w:eastAsia="zh-CN"/>
        </w:rPr>
        <w:t>情形</w:t>
      </w:r>
      <w:r>
        <w:rPr>
          <w:rFonts w:ascii="宋体" w:hAnsi="Calibri"/>
          <w:highlight w:val="white"/>
          <w:lang w:eastAsia="zh-CN"/>
        </w:rPr>
        <w:t>及处理方式</w:t>
      </w:r>
      <w:r>
        <w:rPr>
          <w:rFonts w:ascii="宋体" w:hAnsi="Calibri"/>
          <w:highlight w:val="white"/>
          <w:lang w:eastAsia="zh-CN"/>
        </w:rPr>
        <w:t>”</w:t>
      </w:r>
      <w:r>
        <w:rPr>
          <w:rFonts w:ascii="宋体" w:hAnsi="Calibri" w:hint="eastAsia"/>
          <w:highlight w:val="white"/>
          <w:lang w:eastAsia="zh-CN"/>
        </w:rPr>
        <w:t>。</w:t>
      </w:r>
    </w:p>
    <w:p w:rsidR="002B1026">
      <w:pPr>
        <w:spacing w:line="360" w:lineRule="auto"/>
        <w:ind w:firstLine="420"/>
        <w:rPr>
          <w:rFonts w:ascii="宋体" w:hAnsi="Calibri"/>
          <w:lang w:eastAsia="zh-CN"/>
        </w:rPr>
      </w:pPr>
      <w:r>
        <w:rPr>
          <w:rFonts w:ascii="宋体" w:hAnsi="Calibri" w:hint="eastAsia"/>
          <w:highlight w:val="white"/>
          <w:lang w:eastAsia="zh-CN"/>
        </w:rPr>
        <w:t>发生</w:t>
      </w:r>
      <w:r>
        <w:rPr>
          <w:rFonts w:ascii="宋体" w:hAnsi="Calibri"/>
          <w:highlight w:val="white"/>
          <w:lang w:eastAsia="zh-CN"/>
        </w:rPr>
        <w:t>上述情形时，投资人面临无法</w:t>
      </w:r>
      <w:r>
        <w:rPr>
          <w:rFonts w:ascii="宋体" w:hAnsi="Calibri" w:hint="eastAsia"/>
          <w:highlight w:val="white"/>
          <w:lang w:eastAsia="zh-CN"/>
        </w:rPr>
        <w:t>全</w:t>
      </w:r>
      <w:r>
        <w:rPr>
          <w:rFonts w:ascii="宋体" w:hAnsi="Calibri"/>
          <w:highlight w:val="white"/>
          <w:lang w:eastAsia="zh-CN"/>
        </w:rPr>
        <w:t>部赎回或无法及时获得</w:t>
      </w:r>
      <w:r>
        <w:rPr>
          <w:rFonts w:ascii="宋体" w:hAnsi="Calibri" w:hint="eastAsia"/>
          <w:highlight w:val="white"/>
          <w:lang w:eastAsia="zh-CN"/>
        </w:rPr>
        <w:t>赎</w:t>
      </w:r>
      <w:r>
        <w:rPr>
          <w:rFonts w:ascii="宋体" w:hAnsi="Calibri"/>
          <w:highlight w:val="white"/>
          <w:lang w:eastAsia="zh-CN"/>
        </w:rPr>
        <w:t>回资金的风险</w:t>
      </w:r>
      <w:r>
        <w:rPr>
          <w:rFonts w:ascii="宋体" w:hAnsi="Calibri" w:hint="eastAsia"/>
          <w:highlight w:val="white"/>
          <w:lang w:eastAsia="zh-CN"/>
        </w:rPr>
        <w:t>。在</w:t>
      </w:r>
      <w:r>
        <w:rPr>
          <w:rFonts w:ascii="宋体" w:hAnsi="Calibri"/>
          <w:highlight w:val="white"/>
          <w:lang w:eastAsia="zh-CN"/>
        </w:rPr>
        <w:t>本基金暂停</w:t>
      </w:r>
      <w:r>
        <w:rPr>
          <w:rFonts w:ascii="宋体" w:hAnsi="Calibri" w:hint="eastAsia"/>
          <w:highlight w:val="white"/>
          <w:lang w:eastAsia="zh-CN"/>
        </w:rPr>
        <w:t>或</w:t>
      </w:r>
      <w:r>
        <w:rPr>
          <w:rFonts w:ascii="宋体" w:hAnsi="Calibri"/>
          <w:highlight w:val="white"/>
          <w:lang w:eastAsia="zh-CN"/>
        </w:rPr>
        <w:t>延期办理</w:t>
      </w:r>
      <w:r>
        <w:rPr>
          <w:rFonts w:ascii="宋体" w:hAnsi="Calibri" w:hint="eastAsia"/>
          <w:highlight w:val="white"/>
          <w:lang w:eastAsia="zh-CN"/>
        </w:rPr>
        <w:t>投资者</w:t>
      </w:r>
      <w:r>
        <w:rPr>
          <w:rFonts w:ascii="宋体" w:hAnsi="Calibri"/>
          <w:highlight w:val="white"/>
          <w:lang w:eastAsia="zh-CN"/>
        </w:rPr>
        <w:t>赎回申请</w:t>
      </w:r>
      <w:r>
        <w:rPr>
          <w:rFonts w:ascii="宋体" w:hAnsi="Calibri" w:hint="eastAsia"/>
          <w:highlight w:val="white"/>
          <w:lang w:eastAsia="zh-CN"/>
        </w:rPr>
        <w:t>的</w:t>
      </w:r>
      <w:r>
        <w:rPr>
          <w:rFonts w:ascii="宋体" w:hAnsi="Calibri"/>
          <w:highlight w:val="white"/>
          <w:lang w:eastAsia="zh-CN"/>
        </w:rPr>
        <w:t>情况下，投资者</w:t>
      </w:r>
      <w:r>
        <w:rPr>
          <w:rFonts w:ascii="宋体" w:hAnsi="Calibri" w:hint="eastAsia"/>
          <w:highlight w:val="white"/>
          <w:lang w:eastAsia="zh-CN"/>
        </w:rPr>
        <w:t>未能</w:t>
      </w:r>
      <w:r>
        <w:rPr>
          <w:rFonts w:ascii="宋体" w:hAnsi="Calibri"/>
          <w:highlight w:val="white"/>
          <w:lang w:eastAsia="zh-CN"/>
        </w:rPr>
        <w:t>赎回的基金份额还将面临净值波动的风险。</w:t>
      </w:r>
    </w:p>
    <w:p w:rsidR="002B1026">
      <w:pPr>
        <w:spacing w:line="360" w:lineRule="auto"/>
        <w:ind w:firstLine="420"/>
        <w:rPr>
          <w:rFonts w:ascii="宋体" w:hAnsi="Calibri"/>
          <w:lang w:eastAsia="zh-CN"/>
        </w:rPr>
      </w:pPr>
      <w:r>
        <w:rPr>
          <w:rFonts w:ascii="宋体" w:hAnsi="Calibri"/>
          <w:highlight w:val="white"/>
          <w:lang w:eastAsia="zh-CN"/>
        </w:rPr>
        <w:t>3</w:t>
      </w:r>
      <w:r>
        <w:rPr>
          <w:rFonts w:ascii="宋体" w:hAnsi="Calibri" w:hint="eastAsia"/>
          <w:highlight w:val="white"/>
          <w:lang w:eastAsia="zh-CN"/>
        </w:rPr>
        <w:t>、除巨额</w:t>
      </w:r>
      <w:r>
        <w:rPr>
          <w:rFonts w:ascii="宋体" w:hAnsi="Calibri"/>
          <w:highlight w:val="white"/>
          <w:lang w:eastAsia="zh-CN"/>
        </w:rPr>
        <w:t>赎回情形外</w:t>
      </w:r>
      <w:r>
        <w:rPr>
          <w:rFonts w:ascii="宋体" w:hAnsi="Calibri" w:hint="eastAsia"/>
          <w:highlight w:val="white"/>
          <w:lang w:eastAsia="zh-CN"/>
        </w:rPr>
        <w:t>实施</w:t>
      </w:r>
      <w:r>
        <w:rPr>
          <w:rFonts w:ascii="宋体" w:hAnsi="Calibri"/>
          <w:highlight w:val="white"/>
          <w:lang w:eastAsia="zh-CN"/>
        </w:rPr>
        <w:t>备</w:t>
      </w:r>
      <w:r>
        <w:rPr>
          <w:rFonts w:ascii="宋体" w:hAnsi="Calibri" w:hint="eastAsia"/>
          <w:highlight w:val="white"/>
          <w:lang w:eastAsia="zh-CN"/>
        </w:rPr>
        <w:t>用</w:t>
      </w:r>
      <w:r>
        <w:rPr>
          <w:rFonts w:ascii="宋体" w:hAnsi="Calibri"/>
          <w:highlight w:val="white"/>
          <w:lang w:eastAsia="zh-CN"/>
        </w:rPr>
        <w:t>的流动性风险管理工具的情形、程序及对投资者的潜在影响</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除</w:t>
      </w:r>
      <w:r>
        <w:rPr>
          <w:rFonts w:ascii="宋体" w:hAnsi="Calibri"/>
          <w:szCs w:val="21"/>
          <w:highlight w:val="white"/>
          <w:lang w:eastAsia="zh-CN"/>
        </w:rPr>
        <w:t>巨额赎回</w:t>
      </w:r>
      <w:r>
        <w:rPr>
          <w:rFonts w:ascii="宋体" w:hAnsi="Calibri" w:hint="eastAsia"/>
          <w:szCs w:val="21"/>
          <w:highlight w:val="white"/>
          <w:lang w:eastAsia="zh-CN"/>
        </w:rPr>
        <w:t>情形外</w:t>
      </w:r>
      <w:r>
        <w:rPr>
          <w:rFonts w:ascii="宋体" w:hAnsi="Calibri"/>
          <w:szCs w:val="21"/>
          <w:highlight w:val="white"/>
          <w:lang w:eastAsia="zh-CN"/>
        </w:rPr>
        <w:t>，</w:t>
      </w:r>
      <w:r>
        <w:rPr>
          <w:rFonts w:ascii="宋体" w:hAnsi="Calibri" w:hint="eastAsia"/>
          <w:szCs w:val="21"/>
          <w:highlight w:val="white"/>
          <w:lang w:eastAsia="zh-CN"/>
        </w:rPr>
        <w:t>本基金</w:t>
      </w:r>
      <w:r>
        <w:rPr>
          <w:rFonts w:ascii="宋体" w:hAnsi="Calibri"/>
          <w:szCs w:val="21"/>
          <w:highlight w:val="white"/>
          <w:lang w:eastAsia="zh-CN"/>
        </w:rPr>
        <w:t>备用流动性风险管理工具</w:t>
      </w:r>
      <w:r>
        <w:rPr>
          <w:rFonts w:ascii="宋体" w:hAnsi="Calibri" w:hint="eastAsia"/>
          <w:szCs w:val="21"/>
          <w:highlight w:val="white"/>
          <w:lang w:eastAsia="zh-CN"/>
        </w:rPr>
        <w:t>包括但</w:t>
      </w:r>
      <w:r>
        <w:rPr>
          <w:rFonts w:ascii="宋体" w:hAnsi="Calibri"/>
          <w:szCs w:val="21"/>
          <w:highlight w:val="white"/>
          <w:lang w:eastAsia="zh-CN"/>
        </w:rPr>
        <w:t>不限于</w:t>
      </w:r>
      <w:r>
        <w:rPr>
          <w:rFonts w:ascii="宋体" w:hAnsi="Calibri" w:hint="eastAsia"/>
          <w:szCs w:val="21"/>
          <w:highlight w:val="white"/>
          <w:lang w:eastAsia="zh-CN"/>
        </w:rPr>
        <w:t>暂停</w:t>
      </w:r>
      <w:r>
        <w:rPr>
          <w:rFonts w:ascii="宋体" w:hAnsi="Calibri"/>
          <w:szCs w:val="21"/>
          <w:highlight w:val="white"/>
          <w:lang w:eastAsia="zh-CN"/>
        </w:rPr>
        <w:t>接受赎回申请、延缓支付赎回款项、暂停基金估值</w:t>
      </w:r>
      <w:r>
        <w:rPr>
          <w:rFonts w:ascii="宋体" w:hAnsi="Calibri" w:hint="eastAsia"/>
          <w:highlight w:val="white"/>
          <w:lang w:eastAsia="zh-CN"/>
        </w:rPr>
        <w:t>、</w:t>
      </w:r>
      <w:r>
        <w:rPr>
          <w:rFonts w:ascii="宋体" w:hAnsi="Calibri"/>
          <w:highlight w:val="white"/>
          <w:lang w:eastAsia="zh-CN"/>
        </w:rPr>
        <w:t>摆动定价</w:t>
      </w:r>
      <w:r>
        <w:rPr>
          <w:rFonts w:ascii="宋体" w:hAnsi="Calibri" w:hint="eastAsia"/>
          <w:highlight w:val="white"/>
          <w:lang w:eastAsia="zh-CN"/>
        </w:rPr>
        <w:t>、实施侧袋机制</w:t>
      </w:r>
      <w:r>
        <w:rPr>
          <w:rFonts w:ascii="宋体" w:hAnsi="Calibri" w:hint="eastAsia"/>
          <w:szCs w:val="21"/>
          <w:highlight w:val="white"/>
          <w:lang w:eastAsia="zh-CN"/>
        </w:rPr>
        <w:t>以及证</w:t>
      </w:r>
      <w:r>
        <w:rPr>
          <w:rFonts w:ascii="宋体" w:hAnsi="Calibri"/>
          <w:szCs w:val="21"/>
          <w:highlight w:val="white"/>
          <w:lang w:eastAsia="zh-CN"/>
        </w:rPr>
        <w:t>监会认定的其他措施。</w:t>
      </w:r>
    </w:p>
    <w:p w:rsidR="002B1026">
      <w:pPr>
        <w:spacing w:line="360" w:lineRule="auto"/>
        <w:ind w:firstLine="420"/>
        <w:rPr>
          <w:rFonts w:ascii="宋体" w:hAnsi="Calibri"/>
          <w:lang w:eastAsia="zh-CN"/>
        </w:rPr>
      </w:pPr>
      <w:r>
        <w:rPr>
          <w:rFonts w:ascii="宋体" w:hAnsi="Calibri" w:hint="eastAsia"/>
          <w:szCs w:val="21"/>
          <w:highlight w:val="white"/>
          <w:lang w:eastAsia="zh-CN"/>
        </w:rPr>
        <w:t>暂停</w:t>
      </w:r>
      <w:r>
        <w:rPr>
          <w:rFonts w:ascii="宋体" w:hAnsi="Calibri"/>
          <w:szCs w:val="21"/>
          <w:highlight w:val="white"/>
          <w:lang w:eastAsia="zh-CN"/>
        </w:rPr>
        <w:t>接受赎回申请、延缓支付赎回款项</w:t>
      </w:r>
      <w:r>
        <w:rPr>
          <w:rFonts w:ascii="宋体" w:hAnsi="Calibri" w:hint="eastAsia"/>
          <w:szCs w:val="21"/>
          <w:highlight w:val="white"/>
          <w:lang w:eastAsia="zh-CN"/>
        </w:rPr>
        <w:t>等</w:t>
      </w:r>
      <w:r>
        <w:rPr>
          <w:rFonts w:ascii="宋体" w:hAnsi="Calibri"/>
          <w:szCs w:val="21"/>
          <w:highlight w:val="white"/>
          <w:lang w:eastAsia="zh-CN"/>
        </w:rPr>
        <w:t>工具的情形、程序</w:t>
      </w:r>
      <w:r>
        <w:rPr>
          <w:rFonts w:ascii="宋体" w:hAnsi="Calibri" w:hint="eastAsia"/>
          <w:szCs w:val="21"/>
          <w:highlight w:val="white"/>
          <w:lang w:eastAsia="zh-CN"/>
        </w:rPr>
        <w:t>见招募</w:t>
      </w:r>
      <w:r>
        <w:rPr>
          <w:rFonts w:ascii="宋体" w:hAnsi="Calibri"/>
          <w:szCs w:val="21"/>
          <w:highlight w:val="white"/>
          <w:lang w:eastAsia="zh-CN"/>
        </w:rPr>
        <w:t>说明</w:t>
      </w:r>
      <w:r>
        <w:rPr>
          <w:rFonts w:ascii="宋体" w:hAnsi="Calibri" w:hint="eastAsia"/>
          <w:szCs w:val="21"/>
          <w:highlight w:val="white"/>
          <w:lang w:eastAsia="zh-CN"/>
        </w:rPr>
        <w:t>书“基金份额的申购、赎回”</w:t>
      </w:r>
      <w:r>
        <w:rPr>
          <w:rFonts w:ascii="宋体" w:hAnsi="Calibri"/>
          <w:szCs w:val="21"/>
          <w:highlight w:val="white"/>
          <w:lang w:eastAsia="zh-CN"/>
        </w:rPr>
        <w:t>之</w:t>
      </w:r>
      <w:r>
        <w:rPr>
          <w:rFonts w:ascii="宋体" w:hAnsi="Calibri" w:hint="eastAsia"/>
          <w:szCs w:val="21"/>
          <w:highlight w:val="white"/>
          <w:lang w:eastAsia="zh-CN"/>
        </w:rPr>
        <w:t>“</w:t>
      </w:r>
      <w:r>
        <w:rPr>
          <w:rFonts w:ascii="宋体" w:hAnsi="Calibri" w:cs="宋体"/>
          <w:color w:val="000000"/>
          <w:highlight w:val="white"/>
          <w:lang w:eastAsia="zh-CN"/>
        </w:rPr>
        <w:t>暂停赎回或延缓支付赎回款项的情形</w:t>
      </w:r>
      <w:r>
        <w:rPr>
          <w:rFonts w:ascii="宋体" w:hAnsi="Calibri"/>
          <w:highlight w:val="white"/>
          <w:lang w:eastAsia="zh-CN"/>
        </w:rPr>
        <w:t>”</w:t>
      </w:r>
      <w:r>
        <w:rPr>
          <w:rFonts w:ascii="宋体" w:hAnsi="Calibri"/>
          <w:highlight w:val="white"/>
          <w:lang w:eastAsia="zh-CN"/>
        </w:rPr>
        <w:t>的相关规定。</w:t>
      </w:r>
      <w:r>
        <w:rPr>
          <w:rFonts w:ascii="宋体" w:hAnsi="Calibri" w:hint="eastAsia"/>
          <w:szCs w:val="21"/>
          <w:highlight w:val="white"/>
          <w:lang w:eastAsia="zh-CN"/>
        </w:rPr>
        <w:t>若</w:t>
      </w:r>
      <w:r>
        <w:rPr>
          <w:rFonts w:ascii="宋体" w:hAnsi="Calibri"/>
          <w:szCs w:val="21"/>
          <w:highlight w:val="white"/>
          <w:lang w:eastAsia="zh-CN"/>
        </w:rPr>
        <w:t>本基金暂停赎回申请</w:t>
      </w:r>
      <w:r>
        <w:rPr>
          <w:rFonts w:ascii="宋体" w:hAnsi="Calibri" w:hint="eastAsia"/>
          <w:szCs w:val="21"/>
          <w:highlight w:val="white"/>
          <w:lang w:eastAsia="zh-CN"/>
        </w:rPr>
        <w:t>，</w:t>
      </w:r>
      <w:r>
        <w:rPr>
          <w:rFonts w:ascii="宋体" w:hAnsi="Calibri"/>
          <w:szCs w:val="21"/>
          <w:highlight w:val="white"/>
          <w:lang w:eastAsia="zh-CN"/>
        </w:rPr>
        <w:t>投</w:t>
      </w:r>
      <w:r>
        <w:rPr>
          <w:rFonts w:ascii="宋体" w:hAnsi="Calibri"/>
          <w:highlight w:val="white"/>
          <w:lang w:eastAsia="zh-CN"/>
        </w:rPr>
        <w:t>资</w:t>
      </w:r>
      <w:r>
        <w:rPr>
          <w:rFonts w:ascii="宋体" w:hAnsi="Calibri" w:hint="eastAsia"/>
          <w:highlight w:val="white"/>
          <w:lang w:eastAsia="zh-CN"/>
        </w:rPr>
        <w:t>者在</w:t>
      </w:r>
      <w:r>
        <w:rPr>
          <w:rFonts w:ascii="宋体" w:hAnsi="Calibri"/>
          <w:highlight w:val="white"/>
          <w:lang w:eastAsia="zh-CN"/>
        </w:rPr>
        <w:t>暂停赎回期间将</w:t>
      </w:r>
      <w:r>
        <w:rPr>
          <w:rFonts w:ascii="宋体" w:hAnsi="Calibri" w:hint="eastAsia"/>
          <w:highlight w:val="white"/>
          <w:lang w:eastAsia="zh-CN"/>
        </w:rPr>
        <w:t>无法</w:t>
      </w:r>
      <w:r>
        <w:rPr>
          <w:rFonts w:ascii="宋体" w:hAnsi="Calibri"/>
          <w:highlight w:val="white"/>
          <w:lang w:eastAsia="zh-CN"/>
        </w:rPr>
        <w:t>赎回</w:t>
      </w:r>
      <w:r>
        <w:rPr>
          <w:rFonts w:ascii="宋体" w:hAnsi="Calibri" w:hint="eastAsia"/>
          <w:highlight w:val="white"/>
          <w:lang w:eastAsia="zh-CN"/>
        </w:rPr>
        <w:t>其持有</w:t>
      </w:r>
      <w:r>
        <w:rPr>
          <w:rFonts w:ascii="宋体" w:hAnsi="Calibri"/>
          <w:highlight w:val="white"/>
          <w:lang w:eastAsia="zh-CN"/>
        </w:rPr>
        <w:t>的基金份额。</w:t>
      </w:r>
      <w:r>
        <w:rPr>
          <w:rFonts w:ascii="宋体" w:hAnsi="Calibri" w:hint="eastAsia"/>
          <w:highlight w:val="white"/>
          <w:lang w:eastAsia="zh-CN"/>
        </w:rPr>
        <w:t>若</w:t>
      </w:r>
      <w:r>
        <w:rPr>
          <w:rFonts w:ascii="宋体" w:hAnsi="Calibri" w:hint="eastAsia"/>
          <w:szCs w:val="21"/>
          <w:highlight w:val="white"/>
          <w:lang w:eastAsia="zh-CN"/>
        </w:rPr>
        <w:t>本</w:t>
      </w:r>
      <w:r>
        <w:rPr>
          <w:rFonts w:ascii="宋体" w:hAnsi="Calibri"/>
          <w:szCs w:val="21"/>
          <w:highlight w:val="white"/>
          <w:lang w:eastAsia="zh-CN"/>
        </w:rPr>
        <w:t>基金延缓</w:t>
      </w:r>
      <w:r>
        <w:rPr>
          <w:rFonts w:ascii="宋体" w:hAnsi="Calibri" w:hint="eastAsia"/>
          <w:szCs w:val="21"/>
          <w:highlight w:val="white"/>
          <w:lang w:eastAsia="zh-CN"/>
        </w:rPr>
        <w:t>支付</w:t>
      </w:r>
      <w:r>
        <w:rPr>
          <w:rFonts w:ascii="宋体" w:hAnsi="Calibri"/>
          <w:szCs w:val="21"/>
          <w:highlight w:val="white"/>
          <w:lang w:eastAsia="zh-CN"/>
        </w:rPr>
        <w:t>赎回</w:t>
      </w:r>
      <w:r>
        <w:rPr>
          <w:rFonts w:ascii="宋体" w:hAnsi="Calibri" w:hint="eastAsia"/>
          <w:szCs w:val="21"/>
          <w:highlight w:val="white"/>
          <w:lang w:eastAsia="zh-CN"/>
        </w:rPr>
        <w:t>款项，赎回</w:t>
      </w:r>
      <w:r>
        <w:rPr>
          <w:rFonts w:ascii="宋体" w:hAnsi="Calibri"/>
          <w:szCs w:val="21"/>
          <w:highlight w:val="white"/>
          <w:lang w:eastAsia="zh-CN"/>
        </w:rPr>
        <w:t>款</w:t>
      </w:r>
      <w:r>
        <w:rPr>
          <w:rFonts w:ascii="宋体" w:hAnsi="Calibri" w:hint="eastAsia"/>
          <w:szCs w:val="21"/>
          <w:highlight w:val="white"/>
          <w:lang w:eastAsia="zh-CN"/>
        </w:rPr>
        <w:t>支付</w:t>
      </w:r>
      <w:r>
        <w:rPr>
          <w:rFonts w:ascii="宋体" w:hAnsi="Calibri"/>
          <w:szCs w:val="21"/>
          <w:highlight w:val="white"/>
          <w:lang w:eastAsia="zh-CN"/>
        </w:rPr>
        <w:t>时间将后延</w:t>
      </w:r>
      <w:r>
        <w:rPr>
          <w:rFonts w:ascii="宋体" w:hAnsi="Calibri" w:hint="eastAsia"/>
          <w:szCs w:val="21"/>
          <w:highlight w:val="white"/>
          <w:lang w:eastAsia="zh-CN"/>
        </w:rPr>
        <w:t>，可能对</w:t>
      </w:r>
      <w:r>
        <w:rPr>
          <w:rFonts w:ascii="宋体" w:hAnsi="Calibri"/>
          <w:szCs w:val="21"/>
          <w:highlight w:val="white"/>
          <w:lang w:eastAsia="zh-CN"/>
        </w:rPr>
        <w:t>投资者的资金安排带来不利影响。</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暂停基金</w:t>
      </w:r>
      <w:r>
        <w:rPr>
          <w:rFonts w:ascii="宋体" w:hAnsi="Calibri"/>
          <w:szCs w:val="21"/>
          <w:highlight w:val="white"/>
          <w:lang w:eastAsia="zh-CN"/>
        </w:rPr>
        <w:t>估值</w:t>
      </w:r>
      <w:r>
        <w:rPr>
          <w:rFonts w:ascii="宋体" w:hAnsi="Calibri" w:hint="eastAsia"/>
          <w:highlight w:val="white"/>
          <w:lang w:eastAsia="zh-CN"/>
        </w:rPr>
        <w:t>的</w:t>
      </w:r>
      <w:r>
        <w:rPr>
          <w:rFonts w:ascii="宋体" w:hAnsi="Calibri"/>
          <w:highlight w:val="white"/>
          <w:lang w:eastAsia="zh-CN"/>
        </w:rPr>
        <w:t>情形、程序</w:t>
      </w:r>
      <w:r>
        <w:rPr>
          <w:rFonts w:ascii="宋体" w:hAnsi="Calibri" w:hint="eastAsia"/>
          <w:highlight w:val="white"/>
          <w:lang w:eastAsia="zh-CN"/>
        </w:rPr>
        <w:t>见招募</w:t>
      </w:r>
      <w:r>
        <w:rPr>
          <w:rFonts w:ascii="宋体" w:hAnsi="Calibri"/>
          <w:highlight w:val="white"/>
          <w:lang w:eastAsia="zh-CN"/>
        </w:rPr>
        <w:t>说明</w:t>
      </w:r>
      <w:r>
        <w:rPr>
          <w:rFonts w:ascii="宋体" w:hAnsi="Calibri" w:hint="eastAsia"/>
          <w:highlight w:val="white"/>
          <w:lang w:eastAsia="zh-CN"/>
        </w:rPr>
        <w:t>书“基金资产的估值”</w:t>
      </w:r>
      <w:r>
        <w:rPr>
          <w:rFonts w:ascii="宋体" w:hAnsi="Calibri"/>
          <w:highlight w:val="white"/>
          <w:lang w:eastAsia="zh-CN"/>
        </w:rPr>
        <w:t>之</w:t>
      </w:r>
      <w:r>
        <w:rPr>
          <w:rFonts w:ascii="宋体" w:hAnsi="Calibri" w:hint="eastAsia"/>
          <w:highlight w:val="white"/>
          <w:lang w:eastAsia="zh-CN"/>
        </w:rPr>
        <w:t>“暂停估值的情形”的相关规定</w:t>
      </w:r>
      <w:r>
        <w:rPr>
          <w:rFonts w:ascii="宋体" w:hAnsi="Calibri" w:hint="eastAsia"/>
          <w:szCs w:val="21"/>
          <w:highlight w:val="white"/>
          <w:lang w:eastAsia="zh-CN"/>
        </w:rPr>
        <w:t>。若</w:t>
      </w:r>
      <w:r>
        <w:rPr>
          <w:rFonts w:ascii="宋体" w:hAnsi="Calibri"/>
          <w:szCs w:val="21"/>
          <w:highlight w:val="white"/>
          <w:lang w:eastAsia="zh-CN"/>
        </w:rPr>
        <w:t>本基金暂停基金估值，</w:t>
      </w:r>
      <w:r>
        <w:rPr>
          <w:rFonts w:ascii="宋体" w:hAnsi="Calibri" w:hint="eastAsia"/>
          <w:szCs w:val="21"/>
          <w:highlight w:val="white"/>
          <w:lang w:eastAsia="zh-CN"/>
        </w:rPr>
        <w:t>一方面</w:t>
      </w:r>
      <w:r>
        <w:rPr>
          <w:rFonts w:ascii="宋体" w:hAnsi="Calibri"/>
          <w:szCs w:val="21"/>
          <w:highlight w:val="white"/>
          <w:lang w:eastAsia="zh-CN"/>
        </w:rPr>
        <w:t>投资者将无法知晓本基金的基金份额净值，</w:t>
      </w:r>
      <w:r>
        <w:rPr>
          <w:rFonts w:ascii="宋体" w:hAnsi="Calibri" w:hint="eastAsia"/>
          <w:szCs w:val="21"/>
          <w:highlight w:val="white"/>
          <w:lang w:eastAsia="zh-CN"/>
        </w:rPr>
        <w:t>另一方面基金</w:t>
      </w:r>
      <w:r>
        <w:rPr>
          <w:rFonts w:ascii="宋体" w:hAnsi="Calibri"/>
          <w:szCs w:val="21"/>
          <w:highlight w:val="white"/>
          <w:lang w:eastAsia="zh-CN"/>
        </w:rPr>
        <w:t>将</w:t>
      </w:r>
      <w:r>
        <w:rPr>
          <w:rFonts w:ascii="宋体" w:hAnsi="Calibri" w:hint="eastAsia"/>
          <w:szCs w:val="21"/>
          <w:highlight w:val="white"/>
          <w:lang w:eastAsia="zh-CN"/>
        </w:rPr>
        <w:t>延缓支付赎回款项或暂停接受基金申购赎回申请</w:t>
      </w:r>
      <w:r>
        <w:rPr>
          <w:rFonts w:ascii="宋体" w:hAnsi="Calibri"/>
          <w:szCs w:val="21"/>
          <w:highlight w:val="white"/>
          <w:lang w:eastAsia="zh-CN"/>
        </w:rPr>
        <w:t>，</w:t>
      </w:r>
      <w:r>
        <w:rPr>
          <w:rFonts w:ascii="宋体" w:hAnsi="Calibri" w:hint="eastAsia"/>
          <w:szCs w:val="21"/>
          <w:highlight w:val="white"/>
          <w:lang w:eastAsia="zh-CN"/>
        </w:rPr>
        <w:t>延缓支付赎回款项</w:t>
      </w:r>
      <w:r>
        <w:rPr>
          <w:rFonts w:ascii="宋体" w:hAnsi="Calibri"/>
          <w:szCs w:val="21"/>
          <w:highlight w:val="white"/>
          <w:lang w:eastAsia="zh-CN"/>
        </w:rPr>
        <w:t>可能影响投资</w:t>
      </w:r>
      <w:r>
        <w:rPr>
          <w:rFonts w:ascii="宋体" w:hAnsi="Calibri" w:hint="eastAsia"/>
          <w:szCs w:val="21"/>
          <w:highlight w:val="white"/>
          <w:lang w:eastAsia="zh-CN"/>
        </w:rPr>
        <w:t>者</w:t>
      </w:r>
      <w:r>
        <w:rPr>
          <w:rFonts w:ascii="宋体" w:hAnsi="Calibri"/>
          <w:szCs w:val="21"/>
          <w:highlight w:val="white"/>
          <w:lang w:eastAsia="zh-CN"/>
        </w:rPr>
        <w:t>的资金安排</w:t>
      </w:r>
      <w:r>
        <w:rPr>
          <w:rFonts w:ascii="宋体" w:hAnsi="Calibri" w:hint="eastAsia"/>
          <w:szCs w:val="21"/>
          <w:highlight w:val="white"/>
          <w:lang w:eastAsia="zh-CN"/>
        </w:rPr>
        <w:t>，暂停接受基金申购赎回申请将</w:t>
      </w:r>
      <w:r>
        <w:rPr>
          <w:rFonts w:ascii="宋体" w:hAnsi="Calibri"/>
          <w:szCs w:val="21"/>
          <w:highlight w:val="white"/>
          <w:lang w:eastAsia="zh-CN"/>
        </w:rPr>
        <w:t>导致投资者无法申购或赎回本基金。</w:t>
      </w:r>
    </w:p>
    <w:p w:rsidR="002B1026">
      <w:pPr>
        <w:spacing w:line="360" w:lineRule="auto"/>
        <w:ind w:firstLine="420"/>
        <w:rPr>
          <w:rFonts w:ascii="宋体" w:hAnsi="Calibri"/>
          <w:lang w:eastAsia="zh-CN"/>
        </w:rPr>
      </w:pPr>
      <w:r>
        <w:rPr>
          <w:rFonts w:ascii="宋体" w:hAnsi="Calibri" w:hint="eastAsia"/>
          <w:highlight w:val="white"/>
          <w:lang w:eastAsia="zh-CN"/>
        </w:rPr>
        <w:t>采用</w:t>
      </w:r>
      <w:r>
        <w:rPr>
          <w:rFonts w:ascii="宋体" w:hAnsi="Calibri"/>
          <w:highlight w:val="white"/>
          <w:lang w:eastAsia="zh-CN"/>
        </w:rPr>
        <w:t>摆动定价</w:t>
      </w:r>
      <w:r>
        <w:rPr>
          <w:rFonts w:ascii="宋体" w:hAnsi="Calibri" w:hint="eastAsia"/>
          <w:highlight w:val="white"/>
          <w:lang w:eastAsia="zh-CN"/>
        </w:rPr>
        <w:t>机制的</w:t>
      </w:r>
      <w:r>
        <w:rPr>
          <w:rFonts w:ascii="宋体" w:hAnsi="Calibri"/>
          <w:highlight w:val="white"/>
          <w:lang w:eastAsia="zh-CN"/>
        </w:rPr>
        <w:t>情形、程序</w:t>
      </w:r>
      <w:r>
        <w:rPr>
          <w:rFonts w:ascii="宋体" w:hAnsi="Calibri" w:hint="eastAsia"/>
          <w:highlight w:val="white"/>
          <w:lang w:eastAsia="zh-CN"/>
        </w:rPr>
        <w:t>见招募</w:t>
      </w:r>
      <w:r>
        <w:rPr>
          <w:rFonts w:ascii="宋体" w:hAnsi="Calibri"/>
          <w:highlight w:val="white"/>
          <w:lang w:eastAsia="zh-CN"/>
        </w:rPr>
        <w:t>说明</w:t>
      </w:r>
      <w:r>
        <w:rPr>
          <w:rFonts w:ascii="宋体" w:hAnsi="Calibri" w:hint="eastAsia"/>
          <w:highlight w:val="white"/>
          <w:lang w:eastAsia="zh-CN"/>
        </w:rPr>
        <w:t>书“基金资产的估值”</w:t>
      </w:r>
      <w:r>
        <w:rPr>
          <w:rFonts w:ascii="宋体" w:hAnsi="Calibri"/>
          <w:highlight w:val="white"/>
          <w:lang w:eastAsia="zh-CN"/>
        </w:rPr>
        <w:t>之</w:t>
      </w:r>
      <w:r>
        <w:rPr>
          <w:rFonts w:ascii="宋体" w:hAnsi="Calibri" w:hint="eastAsia"/>
          <w:highlight w:val="white"/>
          <w:lang w:eastAsia="zh-CN"/>
        </w:rPr>
        <w:t xml:space="preserve"> “</w:t>
      </w:r>
      <w:r>
        <w:rPr>
          <w:rStyle w:val="da"/>
          <w:rFonts w:ascii="宋体" w:hAnsi="Calibri"/>
          <w:szCs w:val="21"/>
          <w:highlight w:val="white"/>
          <w:lang w:eastAsia="zh-CN"/>
        </w:rPr>
        <w:t>估值方法</w:t>
      </w:r>
      <w:r>
        <w:rPr>
          <w:rFonts w:ascii="宋体" w:hAnsi="Calibri" w:hint="eastAsia"/>
          <w:highlight w:val="white"/>
          <w:lang w:eastAsia="zh-CN"/>
        </w:rPr>
        <w:t>”的相关规定。</w:t>
      </w:r>
      <w:r>
        <w:rPr>
          <w:rFonts w:ascii="宋体" w:hAnsi="Calibri"/>
          <w:highlight w:val="white"/>
          <w:lang w:eastAsia="zh-CN"/>
        </w:rPr>
        <w:t>若</w:t>
      </w:r>
      <w:r>
        <w:rPr>
          <w:rFonts w:ascii="宋体" w:hAnsi="Calibri" w:hint="eastAsia"/>
          <w:highlight w:val="white"/>
          <w:lang w:eastAsia="zh-CN"/>
        </w:rPr>
        <w:t>本</w:t>
      </w:r>
      <w:r>
        <w:rPr>
          <w:rFonts w:ascii="宋体" w:hAnsi="Calibri"/>
          <w:highlight w:val="white"/>
          <w:lang w:eastAsia="zh-CN"/>
        </w:rPr>
        <w:t>基金采取摆动定价机制，</w:t>
      </w:r>
      <w:r>
        <w:rPr>
          <w:rFonts w:ascii="宋体" w:hAnsi="Calibri" w:hint="eastAsia"/>
          <w:highlight w:val="white"/>
          <w:lang w:eastAsia="zh-CN"/>
        </w:rPr>
        <w:t>投资</w:t>
      </w:r>
      <w:r>
        <w:rPr>
          <w:rFonts w:ascii="宋体" w:hAnsi="Calibri"/>
          <w:highlight w:val="white"/>
          <w:lang w:eastAsia="zh-CN"/>
        </w:rPr>
        <w:t>者申购基金获得的</w:t>
      </w:r>
      <w:r>
        <w:rPr>
          <w:rFonts w:ascii="宋体" w:hAnsi="Calibri" w:hint="eastAsia"/>
          <w:highlight w:val="white"/>
          <w:lang w:eastAsia="zh-CN"/>
        </w:rPr>
        <w:t>申购</w:t>
      </w:r>
      <w:r>
        <w:rPr>
          <w:rFonts w:ascii="宋体" w:hAnsi="Calibri"/>
          <w:highlight w:val="white"/>
          <w:lang w:eastAsia="zh-CN"/>
        </w:rPr>
        <w:t>份额</w:t>
      </w:r>
      <w:r>
        <w:rPr>
          <w:rFonts w:ascii="宋体" w:hAnsi="Calibri" w:hint="eastAsia"/>
          <w:highlight w:val="white"/>
          <w:lang w:eastAsia="zh-CN"/>
        </w:rPr>
        <w:t>及赎回</w:t>
      </w:r>
      <w:r>
        <w:rPr>
          <w:rFonts w:ascii="宋体" w:hAnsi="Calibri"/>
          <w:highlight w:val="white"/>
          <w:lang w:eastAsia="zh-CN"/>
        </w:rPr>
        <w:t>基金获得的赎回金额均可能受到不利影响。</w:t>
      </w:r>
    </w:p>
    <w:p w:rsidR="002B1026">
      <w:pPr>
        <w:spacing w:line="360" w:lineRule="auto"/>
        <w:ind w:firstLine="420"/>
        <w:rPr>
          <w:rFonts w:ascii="宋体" w:hAnsi="Calibri"/>
          <w:szCs w:val="21"/>
          <w:lang w:eastAsia="zh-CN"/>
        </w:rPr>
      </w:pPr>
      <w:r>
        <w:rPr>
          <w:rFonts w:ascii="宋体" w:hAnsi="Calibri"/>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基金管理人将根据主袋账户运作情况合理确定申购政策，因此实施侧袋机制后主袋账户份额存在暂停申购的可能。</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四、管理风险</w:t>
      </w:r>
    </w:p>
    <w:p w:rsidR="002B1026">
      <w:pPr>
        <w:spacing w:line="360" w:lineRule="auto"/>
        <w:ind w:firstLine="420"/>
        <w:rPr>
          <w:rFonts w:ascii="宋体" w:hAnsi="Calibri"/>
          <w:szCs w:val="21"/>
          <w:lang w:eastAsia="zh-CN"/>
        </w:rPr>
      </w:pPr>
      <w:r>
        <w:rPr>
          <w:rFonts w:ascii="宋体" w:hAnsi="Calibri"/>
          <w:szCs w:val="21"/>
          <w:highlight w:val="white"/>
          <w:lang w:eastAsia="zh-CN"/>
        </w:rPr>
        <w:t>1</w:t>
      </w:r>
      <w:r>
        <w:rPr>
          <w:rFonts w:ascii="宋体" w:hAnsi="Calibri"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2B1026">
      <w:pPr>
        <w:spacing w:line="360" w:lineRule="auto"/>
        <w:ind w:firstLine="420"/>
        <w:rPr>
          <w:rFonts w:ascii="宋体" w:hAnsi="Calibri"/>
          <w:szCs w:val="21"/>
          <w:lang w:eastAsia="zh-CN"/>
        </w:rPr>
      </w:pPr>
      <w:r>
        <w:rPr>
          <w:rFonts w:ascii="宋体" w:hAnsi="Calibri"/>
          <w:szCs w:val="21"/>
          <w:highlight w:val="white"/>
          <w:lang w:eastAsia="zh-CN"/>
        </w:rPr>
        <w:t>2</w:t>
      </w:r>
      <w:r>
        <w:rPr>
          <w:rFonts w:ascii="宋体" w:hAnsi="Calibri" w:hint="eastAsia"/>
          <w:szCs w:val="21"/>
          <w:highlight w:val="white"/>
          <w:lang w:eastAsia="zh-CN"/>
        </w:rPr>
        <w:t>、基金管理人的管理手段和管理技术等因素的变化也会影响基金收益水平。</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五、税收风险</w:t>
      </w:r>
    </w:p>
    <w:p w:rsidR="002B1026">
      <w:pPr>
        <w:spacing w:line="360" w:lineRule="auto"/>
        <w:ind w:firstLine="420"/>
        <w:rPr>
          <w:rFonts w:ascii="宋体" w:hAnsi="Calibri"/>
          <w:szCs w:val="21"/>
          <w:lang w:eastAsia="zh-CN"/>
        </w:rPr>
      </w:pPr>
      <w:r>
        <w:rPr>
          <w:rFonts w:ascii="宋体" w:hAnsi="Calibri"/>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2B1026">
      <w:pPr>
        <w:spacing w:line="360" w:lineRule="auto"/>
        <w:ind w:firstLine="420"/>
        <w:rPr>
          <w:rFonts w:ascii="宋体" w:hAnsi="Calibri"/>
          <w:szCs w:val="21"/>
          <w:lang w:eastAsia="zh-CN"/>
        </w:rPr>
      </w:pPr>
      <w:r>
        <w:rPr>
          <w:rFonts w:ascii="宋体" w:hAnsi="Calibri"/>
          <w:szCs w:val="21"/>
          <w:highlight w:val="white"/>
          <w:lang w:eastAsia="zh-CN"/>
        </w:rPr>
        <w:t>六、</w:t>
      </w:r>
      <w:r>
        <w:rPr>
          <w:rFonts w:ascii="宋体" w:hAnsi="Calibri" w:hint="eastAsia"/>
          <w:szCs w:val="21"/>
          <w:highlight w:val="white"/>
          <w:lang w:eastAsia="zh-CN"/>
        </w:rPr>
        <w:t>本基金法律文件中涉及基金风险特征的表述与销售机构对基金的风险评级可能不一致的风险</w:t>
      </w:r>
    </w:p>
    <w:p w:rsidR="002B1026">
      <w:pPr>
        <w:spacing w:line="360" w:lineRule="auto"/>
        <w:ind w:firstLine="420"/>
        <w:rPr>
          <w:rFonts w:ascii="宋体" w:hAnsi="Calibri"/>
          <w:szCs w:val="21"/>
          <w:lang w:eastAsia="zh-CN"/>
        </w:rPr>
      </w:pPr>
      <w:r>
        <w:rPr>
          <w:rFonts w:ascii="宋体" w:hAnsi="Calibri"/>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2B1026">
      <w:pPr>
        <w:spacing w:line="360" w:lineRule="auto"/>
        <w:ind w:firstLine="420"/>
        <w:rPr>
          <w:rStyle w:val="da"/>
          <w:rFonts w:ascii="宋体" w:hAnsi="Calibri"/>
          <w:lang w:eastAsia="zh-CN"/>
        </w:rPr>
      </w:pPr>
      <w:r>
        <w:rPr>
          <w:rStyle w:val="da"/>
          <w:rFonts w:ascii="宋体" w:hAnsi="Calibri" w:hint="eastAsia"/>
          <w:highlight w:val="white"/>
          <w:lang w:eastAsia="zh-CN"/>
        </w:rPr>
        <w:t>七、其他风险</w:t>
      </w:r>
    </w:p>
    <w:p w:rsidR="002B1026">
      <w:pPr>
        <w:spacing w:line="360" w:lineRule="auto"/>
        <w:ind w:firstLine="420"/>
        <w:rPr>
          <w:rFonts w:ascii="宋体" w:hAnsi="Calibri"/>
          <w:szCs w:val="21"/>
          <w:lang w:eastAsia="zh-CN"/>
        </w:rPr>
      </w:pPr>
      <w:r>
        <w:rPr>
          <w:rFonts w:ascii="宋体" w:hAnsi="Calibri"/>
          <w:szCs w:val="21"/>
          <w:highlight w:val="white"/>
          <w:lang w:eastAsia="zh-CN"/>
        </w:rPr>
        <w:t>1</w:t>
      </w:r>
      <w:r>
        <w:rPr>
          <w:rFonts w:ascii="宋体" w:hAnsi="Calibri" w:hint="eastAsia"/>
          <w:szCs w:val="21"/>
          <w:highlight w:val="white"/>
          <w:lang w:eastAsia="zh-CN"/>
        </w:rPr>
        <w:t>、因技术因素而产生的风险，如电脑等技术系统的故障或差错产生的风险。</w:t>
      </w:r>
    </w:p>
    <w:p w:rsidR="002B1026">
      <w:pPr>
        <w:spacing w:line="360" w:lineRule="auto"/>
        <w:ind w:firstLine="420"/>
        <w:rPr>
          <w:rFonts w:ascii="宋体" w:hAnsi="Calibri"/>
          <w:szCs w:val="21"/>
          <w:lang w:eastAsia="zh-CN"/>
        </w:rPr>
      </w:pPr>
      <w:r>
        <w:rPr>
          <w:rFonts w:ascii="宋体" w:hAnsi="Calibri"/>
          <w:szCs w:val="21"/>
          <w:highlight w:val="white"/>
          <w:lang w:eastAsia="zh-CN"/>
        </w:rPr>
        <w:t>2</w:t>
      </w:r>
      <w:r>
        <w:rPr>
          <w:rFonts w:ascii="宋体" w:hAnsi="Calibri" w:hint="eastAsia"/>
          <w:szCs w:val="21"/>
          <w:highlight w:val="white"/>
          <w:lang w:eastAsia="zh-CN"/>
        </w:rPr>
        <w:t>、因战争、自然灾害等不可抗力导致的基金管理人、基金托管人、基金服务机构等机构无法正常工作，从而影响基金运作的风险。</w:t>
      </w:r>
    </w:p>
    <w:p w:rsidR="002B1026">
      <w:pPr>
        <w:spacing w:line="360" w:lineRule="auto"/>
        <w:ind w:firstLine="420"/>
        <w:rPr>
          <w:rFonts w:ascii="宋体" w:hAnsi="Calibri"/>
          <w:szCs w:val="21"/>
          <w:lang w:eastAsia="zh-CN"/>
        </w:rPr>
      </w:pPr>
      <w:r>
        <w:rPr>
          <w:rFonts w:ascii="宋体" w:hAnsi="Calibri"/>
          <w:szCs w:val="21"/>
          <w:highlight w:val="white"/>
          <w:lang w:eastAsia="zh-CN"/>
        </w:rPr>
        <w:t>3</w:t>
      </w:r>
      <w:r>
        <w:rPr>
          <w:rFonts w:ascii="宋体" w:hAnsi="Calibri" w:hint="eastAsia"/>
          <w:szCs w:val="21"/>
          <w:highlight w:val="white"/>
          <w:lang w:eastAsia="zh-CN"/>
        </w:rPr>
        <w:t>、因金融市场危机、代理商违约、基金托管人违约等超出基金管理人自身控制能力的因素出现，可能导致基金或者基金份额持有人利益受损的风险。</w:t>
      </w:r>
    </w:p>
    <w:p w:rsidR="002B1026">
      <w:pPr>
        <w:spacing w:line="360" w:lineRule="auto"/>
        <w:ind w:firstLine="420"/>
        <w:rPr>
          <w:rFonts w:ascii="宋体" w:hAnsi="Calibri"/>
          <w:szCs w:val="21"/>
          <w:lang w:eastAsia="zh-CN"/>
        </w:rPr>
      </w:pPr>
      <w:r>
        <w:rPr>
          <w:rFonts w:ascii="宋体" w:hAnsi="Calibri"/>
          <w:szCs w:val="21"/>
          <w:highlight w:val="white"/>
          <w:lang w:eastAsia="zh-CN"/>
        </w:rPr>
        <w:t>4</w:t>
      </w:r>
      <w:r>
        <w:rPr>
          <w:rFonts w:ascii="宋体" w:hAnsi="Calibri" w:hint="eastAsia"/>
          <w:szCs w:val="21"/>
          <w:highlight w:val="white"/>
          <w:lang w:eastAsia="zh-CN"/>
        </w:rPr>
        <w:t>、因固定收益类金融工具主要在场外市场进行交易，场外市场交易现阶段自动化程度较场内市场低，本基金在投资运作过程中可能面临操作风险。</w:t>
      </w:r>
    </w:p>
    <w:p w:rsidR="002B1026">
      <w:pPr>
        <w:spacing w:line="360" w:lineRule="auto"/>
        <w:ind w:firstLine="420"/>
        <w:rPr>
          <w:rFonts w:ascii="宋体" w:hAnsi="Calibri"/>
          <w:lang w:eastAsia="zh-CN"/>
        </w:rPr>
      </w:pPr>
      <w:r>
        <w:rPr>
          <w:rFonts w:ascii="宋体" w:hAnsi="Calibri"/>
          <w:szCs w:val="21"/>
          <w:highlight w:val="white"/>
          <w:lang w:eastAsia="zh-CN"/>
        </w:rPr>
        <w:t>5</w:t>
      </w:r>
      <w:r>
        <w:rPr>
          <w:rFonts w:ascii="宋体" w:hAnsi="Calibri" w:hint="eastAsia"/>
          <w:szCs w:val="21"/>
          <w:highlight w:val="white"/>
          <w:lang w:eastAsia="zh-CN"/>
        </w:rPr>
        <w:t>、其他意外导致的风险。</w:t>
      </w:r>
    </w:p>
    <w:p w:rsidR="002B1026">
      <w:pPr>
        <w:pStyle w:val="Heading1"/>
        <w:spacing w:before="317" w:after="317" w:line="360" w:lineRule="auto"/>
        <w:ind w:firstLine="600"/>
        <w:rPr>
          <w:rFonts w:ascii="宋体" w:eastAsia="宋体" w:hAnsi="Calibri"/>
          <w:sz w:val="30"/>
          <w:lang w:eastAsia="zh-CN"/>
        </w:rPr>
      </w:pPr>
      <w:r>
        <w:rPr>
          <w:rFonts w:ascii="宋体" w:eastAsia="宋体" w:hAnsi="Calibri" w:hint="eastAsia"/>
          <w:sz w:val="30"/>
          <w:highlight w:val="white"/>
          <w:lang w:eastAsia="zh-CN"/>
        </w:rPr>
        <w:br w:type="column"/>
      </w:r>
      <w:bookmarkStart w:id="1855" w:name="_Toc227311256"/>
      <w:bookmarkEnd w:id="1854"/>
      <w:r>
        <w:rPr>
          <w:rFonts w:ascii="宋体" w:eastAsia="宋体" w:hAnsi="Calibri" w:hint="eastAsia"/>
          <w:sz w:val="30"/>
          <w:highlight w:val="white"/>
          <w:lang w:eastAsia="zh-CN"/>
        </w:rPr>
        <w:t>第二十</w:t>
      </w:r>
      <w:bookmarkStart w:id="1856" w:name="_Toc332373579"/>
      <w:r>
        <w:rPr>
          <w:rFonts w:ascii="宋体" w:eastAsia="宋体" w:hAnsi="Calibri" w:hint="eastAsia"/>
          <w:sz w:val="30"/>
          <w:highlight w:val="white"/>
          <w:lang w:eastAsia="zh-CN"/>
        </w:rPr>
        <w:t>三部分 基金合同的变更、终止与基金财产的清算</w:t>
      </w:r>
      <w:bookmarkEnd w:id="1856"/>
      <w:bookmarkEnd w:id="1855"/>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一、《基金合同》的变更</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2、关于《基金合同》变更的基金份额持有人大会决议自生效后方可执行，自决议生效后两日内在规定媒介公告。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二、《基金合同》的终止事由</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有下列情形之一的，经履行相关程序后，《基金合同》应当终止：</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1、基金份额持有人大会决定终止的；</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2、基金管理人、基金托管人职责终止，在6个月内没有新基金管理人、新基金托管人承接的；</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3、《基金合同》约定的其他情形；</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4、相关法律法规和中国证监会规定的其他情况。</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三、基金财产的清算</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3、基金财产清算小组职责：基金财产清算小组负责基金财产的保管、清理、估价、变现和分配。基金财产清算小组可以依法进行必要的民事活动。</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4、基金财产清算程序：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（1）《基金合同》终止情形出现时，由基金财产清算小组统一接管基金；</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（2）对基金财产和债权债务进行清理和确认；</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（3）对基金财产进行估值和变现；</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（4）制作清算报告；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（5）聘请会计师事务所对清算报告进行外部审计，聘请律师事务所对清算报告出具法律意见书；</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（6）将清算报告报中国证监会备案并公告；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（7）对基金剩余财产进行分配。</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5、基金财产清算的期限为6个月，但因本基金所持证券的流动性受到限制而不能及时变现的，清算期限相应顺延。</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四、清算费用</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清算费用是指基金财产清算小组在进行基金清算过程中发生的所有合理费用，清算费用由基金财产清算小组优先从基金财产中支付。</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五、基金财产清算剩余资产的分配</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宋体" w:cs="宋体"/>
          <w:szCs w:val="21"/>
          <w:highlight w:val="white"/>
          <w:lang w:eastAsia="zh-CN"/>
        </w:rPr>
        <w:t>。</w:t>
      </w:r>
      <w:r>
        <w:rPr>
          <w:rFonts w:ascii="宋体" w:hAnsi="Calibri" w:hint="eastAsia"/>
          <w:szCs w:val="21"/>
          <w:lang w:eastAsia="zh-CN"/>
        </w:rPr>
        <w:t>分配金额需加上返还基金份额持有人的销售服务费（如有）</w:t>
      </w:r>
      <w:r>
        <w:rPr>
          <w:rFonts w:ascii="宋体" w:hAnsi="Calibri" w:hint="eastAsia"/>
          <w:szCs w:val="21"/>
          <w:highlight w:val="white"/>
          <w:lang w:eastAsia="zh-CN"/>
        </w:rPr>
        <w:t>。</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六、基金财产清算的公告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七、基金财产清算账册及文件的保存</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基金财产清算账册及有关文件由基金托管人保存20年以上。</w:t>
      </w:r>
    </w:p>
    <w:p w:rsidR="002B1026">
      <w:pPr>
        <w:spacing w:line="360" w:lineRule="auto"/>
        <w:ind w:firstLine="420"/>
        <w:rPr>
          <w:rFonts w:ascii="宋体" w:hAnsi="Calibri"/>
          <w:szCs w:val="21"/>
          <w:lang w:eastAsia="zh-CN"/>
        </w:rPr>
      </w:pPr>
    </w:p>
    <w:p w:rsidR="002B1026">
      <w:pPr>
        <w:pStyle w:val="Heading1"/>
        <w:spacing w:before="317" w:after="317" w:line="360" w:lineRule="auto"/>
        <w:ind w:firstLine="600"/>
        <w:rPr>
          <w:rFonts w:ascii="宋体" w:eastAsia="宋体" w:hAnsi="Calibri"/>
          <w:sz w:val="28"/>
          <w:szCs w:val="44"/>
          <w:lang w:eastAsia="zh-CN"/>
        </w:rPr>
      </w:pPr>
      <w:r>
        <w:rPr>
          <w:rFonts w:ascii="宋体" w:eastAsia="宋体" w:hAnsi="Calibri" w:hint="eastAsia"/>
          <w:sz w:val="30"/>
          <w:highlight w:val="white"/>
          <w:lang w:eastAsia="zh-CN"/>
        </w:rPr>
        <w:br w:type="column"/>
      </w:r>
      <w:bookmarkStart w:id="1857" w:name="_Toc227311257"/>
      <w:r>
        <w:rPr>
          <w:rFonts w:ascii="宋体" w:eastAsia="宋体" w:hAnsi="Calibri" w:hint="eastAsia"/>
          <w:sz w:val="30"/>
          <w:highlight w:val="white"/>
          <w:lang w:eastAsia="zh-CN"/>
        </w:rPr>
        <w:t>第二</w:t>
      </w:r>
      <w:bookmarkStart w:id="1858" w:name="_Toc332373588"/>
      <w:r>
        <w:rPr>
          <w:rFonts w:ascii="宋体" w:eastAsia="宋体" w:hAnsi="Calibri" w:hint="eastAsia"/>
          <w:sz w:val="30"/>
          <w:highlight w:val="white"/>
          <w:lang w:eastAsia="zh-CN"/>
        </w:rPr>
        <w:t>十四部分 基金合同的内容摘要</w:t>
      </w:r>
      <w:bookmarkEnd w:id="1857"/>
    </w:p>
    <w:p w:rsidR="002B1026">
      <w:pPr>
        <w:spacing w:line="360" w:lineRule="auto"/>
        <w:ind w:firstLine="420"/>
        <w:rPr>
          <w:rFonts w:ascii="宋体" w:hAnsi="Calibri"/>
          <w:szCs w:val="21"/>
          <w:lang w:eastAsia="zh-CN"/>
        </w:rPr>
      </w:pPr>
      <w:r>
        <w:rPr>
          <w:rFonts w:ascii="宋体" w:hAnsi="Calibri"/>
          <w:highlight w:val="white"/>
          <w:lang w:eastAsia="zh-CN"/>
        </w:rPr>
        <w:t>第一节</w:t>
      </w:r>
      <w:bookmarkStart w:id="1859" w:name="_Toc516750717"/>
      <w:bookmarkEnd w:id="1858"/>
      <w:r>
        <w:rPr>
          <w:rFonts w:ascii="宋体" w:hAnsi="Calibri" w:hint="eastAsia"/>
          <w:szCs w:val="21"/>
          <w:highlight w:val="white"/>
          <w:lang w:eastAsia="zh-CN"/>
        </w:rPr>
        <w:t xml:space="preserve"> 基金份额持有人、基金管理人和基金托管人的权利、义务</w:t>
      </w:r>
      <w:bookmarkEnd w:id="1859"/>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一、基金份额持有人的权利、义务</w:t>
      </w:r>
    </w:p>
    <w:p w:rsidR="002B1026">
      <w:pPr>
        <w:spacing w:line="360" w:lineRule="auto"/>
        <w:ind w:firstLine="420"/>
        <w:rPr>
          <w:rFonts w:ascii="宋体" w:hAnsi="Calibri"/>
          <w:szCs w:val="21"/>
          <w:lang w:eastAsia="zh-CN"/>
        </w:rPr>
      </w:pPr>
      <w:r>
        <w:rPr>
          <w:rFonts w:ascii="宋体" w:hAnsi="Calibri"/>
          <w:szCs w:val="21"/>
          <w:highlight w:val="white"/>
          <w:lang w:eastAsia="zh-CN"/>
        </w:rPr>
        <w:t>1、根据《基金法》、《运作办法》及其他有关规定，基金份额持有人的权利包括但不限于：</w:t>
      </w:r>
    </w:p>
    <w:p w:rsidR="002B1026">
      <w:pPr>
        <w:spacing w:line="360" w:lineRule="auto"/>
        <w:ind w:firstLine="420"/>
        <w:rPr>
          <w:rFonts w:ascii="宋体" w:hAnsi="Calibri"/>
          <w:szCs w:val="21"/>
          <w:lang w:eastAsia="zh-CN"/>
        </w:rPr>
      </w:pPr>
      <w:r>
        <w:rPr>
          <w:rFonts w:ascii="宋体" w:hAnsi="Calibri"/>
          <w:szCs w:val="21"/>
          <w:highlight w:val="white"/>
          <w:lang w:eastAsia="zh-CN"/>
        </w:rPr>
        <w:t>（1）分享基金财产收益；</w:t>
      </w:r>
    </w:p>
    <w:p w:rsidR="002B1026">
      <w:pPr>
        <w:spacing w:line="360" w:lineRule="auto"/>
        <w:ind w:firstLine="420"/>
        <w:rPr>
          <w:rFonts w:ascii="宋体" w:hAnsi="Calibri"/>
          <w:szCs w:val="21"/>
          <w:lang w:eastAsia="zh-CN"/>
        </w:rPr>
      </w:pPr>
      <w:r>
        <w:rPr>
          <w:rFonts w:ascii="宋体" w:hAnsi="Calibri"/>
          <w:szCs w:val="21"/>
          <w:highlight w:val="white"/>
          <w:lang w:eastAsia="zh-CN"/>
        </w:rPr>
        <w:t>（2）参与分配清算后的剩余基金财产；</w:t>
      </w:r>
    </w:p>
    <w:p w:rsidR="002B1026">
      <w:pPr>
        <w:spacing w:line="360" w:lineRule="auto"/>
        <w:ind w:firstLine="420"/>
        <w:rPr>
          <w:rFonts w:ascii="宋体" w:hAnsi="Calibri"/>
          <w:szCs w:val="21"/>
          <w:lang w:eastAsia="zh-CN"/>
        </w:rPr>
      </w:pPr>
      <w:r>
        <w:rPr>
          <w:rFonts w:ascii="宋体" w:hAnsi="Calibri"/>
          <w:szCs w:val="21"/>
          <w:highlight w:val="white"/>
          <w:lang w:eastAsia="zh-CN"/>
        </w:rPr>
        <w:t>（3）依法转让或者申请赎回其持有的基金份额；</w:t>
      </w:r>
    </w:p>
    <w:p w:rsidR="002B1026">
      <w:pPr>
        <w:spacing w:line="360" w:lineRule="auto"/>
        <w:ind w:firstLine="420"/>
        <w:rPr>
          <w:rFonts w:ascii="宋体" w:hAnsi="Calibri"/>
          <w:szCs w:val="21"/>
          <w:lang w:eastAsia="zh-CN"/>
        </w:rPr>
      </w:pPr>
      <w:r>
        <w:rPr>
          <w:rFonts w:ascii="宋体" w:hAnsi="Calibri"/>
          <w:szCs w:val="21"/>
          <w:highlight w:val="white"/>
          <w:lang w:eastAsia="zh-CN"/>
        </w:rPr>
        <w:t>（4）按照规定要求召开基金份额持有人大会或者召集基金份额持有人大会；</w:t>
      </w:r>
    </w:p>
    <w:p w:rsidR="002B1026">
      <w:pPr>
        <w:spacing w:line="360" w:lineRule="auto"/>
        <w:ind w:firstLine="420"/>
        <w:rPr>
          <w:rFonts w:ascii="宋体" w:hAnsi="Calibri"/>
          <w:szCs w:val="21"/>
          <w:lang w:eastAsia="zh-CN"/>
        </w:rPr>
      </w:pPr>
      <w:r>
        <w:rPr>
          <w:rFonts w:ascii="宋体" w:hAnsi="Calibri"/>
          <w:szCs w:val="21"/>
          <w:highlight w:val="white"/>
          <w:lang w:eastAsia="zh-CN"/>
        </w:rPr>
        <w:t>（5）出席或者委派代表出席基金份额持有人大会，对基金份额持有人大会审议事项行使表决权；</w:t>
      </w:r>
    </w:p>
    <w:p w:rsidR="002B1026">
      <w:pPr>
        <w:spacing w:line="360" w:lineRule="auto"/>
        <w:ind w:firstLine="420"/>
        <w:rPr>
          <w:rFonts w:ascii="宋体" w:hAnsi="Calibri"/>
          <w:szCs w:val="21"/>
          <w:lang w:eastAsia="zh-CN"/>
        </w:rPr>
      </w:pPr>
      <w:r>
        <w:rPr>
          <w:rFonts w:ascii="宋体" w:hAnsi="Calibri"/>
          <w:szCs w:val="21"/>
          <w:highlight w:val="white"/>
          <w:lang w:eastAsia="zh-CN"/>
        </w:rPr>
        <w:t>（6）查阅或者复制公开披露的基金信息资料；</w:t>
      </w:r>
    </w:p>
    <w:p w:rsidR="002B1026">
      <w:pPr>
        <w:spacing w:line="360" w:lineRule="auto"/>
        <w:ind w:firstLine="420"/>
        <w:rPr>
          <w:rFonts w:ascii="宋体" w:hAnsi="Calibri"/>
          <w:szCs w:val="21"/>
          <w:lang w:eastAsia="zh-CN"/>
        </w:rPr>
      </w:pPr>
      <w:r>
        <w:rPr>
          <w:rFonts w:ascii="宋体" w:hAnsi="Calibri"/>
          <w:szCs w:val="21"/>
          <w:highlight w:val="white"/>
          <w:lang w:eastAsia="zh-CN"/>
        </w:rPr>
        <w:t>（7）监督基金管理人的投资运作；</w:t>
      </w:r>
    </w:p>
    <w:p w:rsidR="002B1026">
      <w:pPr>
        <w:spacing w:line="360" w:lineRule="auto"/>
        <w:ind w:firstLine="420"/>
        <w:rPr>
          <w:rFonts w:ascii="宋体" w:hAnsi="Calibri"/>
          <w:szCs w:val="21"/>
          <w:lang w:eastAsia="zh-CN"/>
        </w:rPr>
      </w:pPr>
      <w:r>
        <w:rPr>
          <w:rFonts w:ascii="宋体" w:hAnsi="Calibri"/>
          <w:szCs w:val="21"/>
          <w:highlight w:val="white"/>
          <w:lang w:eastAsia="zh-CN"/>
        </w:rPr>
        <w:t>（8）对基金管理人、基金托管人、基金服务机构损害其合法权益的行为依法提起诉讼或仲裁；</w:t>
      </w:r>
    </w:p>
    <w:p w:rsidR="002B1026">
      <w:pPr>
        <w:spacing w:line="360" w:lineRule="auto"/>
        <w:ind w:firstLine="420"/>
        <w:rPr>
          <w:rFonts w:ascii="宋体" w:hAnsi="Calibri"/>
          <w:szCs w:val="21"/>
          <w:lang w:eastAsia="zh-CN"/>
        </w:rPr>
      </w:pPr>
      <w:r>
        <w:rPr>
          <w:rFonts w:ascii="宋体" w:hAnsi="Calibri"/>
          <w:szCs w:val="21"/>
          <w:highlight w:val="white"/>
          <w:lang w:eastAsia="zh-CN"/>
        </w:rPr>
        <w:t>（9）法律法规及中国证监会规定的和《基金合同》约定的其他权利。</w:t>
      </w:r>
    </w:p>
    <w:p w:rsidR="002B1026">
      <w:pPr>
        <w:spacing w:line="360" w:lineRule="auto"/>
        <w:ind w:firstLine="420"/>
        <w:rPr>
          <w:rFonts w:ascii="宋体" w:hAnsi="Calibri"/>
          <w:szCs w:val="21"/>
          <w:lang w:eastAsia="zh-CN"/>
        </w:rPr>
      </w:pPr>
      <w:r>
        <w:rPr>
          <w:rFonts w:ascii="宋体" w:hAnsi="Calibri"/>
          <w:szCs w:val="21"/>
          <w:highlight w:val="white"/>
          <w:lang w:eastAsia="zh-CN"/>
        </w:rPr>
        <w:t>2、根据《基金法》、《运作办法》及其他有关规定，基金份额持有人的义务包括但不限于：</w:t>
      </w:r>
    </w:p>
    <w:p w:rsidR="002B1026">
      <w:pPr>
        <w:spacing w:line="360" w:lineRule="auto"/>
        <w:ind w:firstLine="420"/>
        <w:rPr>
          <w:rFonts w:ascii="宋体" w:hAnsi="Calibri"/>
          <w:szCs w:val="21"/>
          <w:lang w:eastAsia="zh-CN"/>
        </w:rPr>
      </w:pPr>
      <w:r>
        <w:rPr>
          <w:rFonts w:ascii="宋体" w:hAnsi="Calibri"/>
          <w:szCs w:val="21"/>
          <w:highlight w:val="white"/>
          <w:lang w:eastAsia="zh-CN"/>
        </w:rPr>
        <w:t>（1）认真阅读并遵守《基金合同》、招募说明书等信息披露文件；</w:t>
      </w:r>
    </w:p>
    <w:p w:rsidR="002B1026">
      <w:pPr>
        <w:spacing w:line="360" w:lineRule="auto"/>
        <w:ind w:firstLine="420"/>
        <w:rPr>
          <w:rFonts w:ascii="宋体" w:hAnsi="Calibri"/>
          <w:szCs w:val="21"/>
          <w:lang w:eastAsia="zh-CN"/>
        </w:rPr>
      </w:pPr>
      <w:r>
        <w:rPr>
          <w:rFonts w:ascii="宋体" w:hAnsi="Calibri"/>
          <w:szCs w:val="21"/>
          <w:highlight w:val="white"/>
          <w:lang w:eastAsia="zh-CN"/>
        </w:rPr>
        <w:t>（2）了解所投资基金产品，了解自身风险承受能力，自主判断基金的投资价值，自主做出投资决策，自行承担投资风险；</w:t>
      </w:r>
    </w:p>
    <w:p w:rsidR="002B1026">
      <w:pPr>
        <w:spacing w:line="360" w:lineRule="auto"/>
        <w:ind w:firstLine="420"/>
        <w:rPr>
          <w:rFonts w:ascii="宋体" w:hAnsi="Calibri"/>
          <w:szCs w:val="21"/>
          <w:lang w:eastAsia="zh-CN"/>
        </w:rPr>
      </w:pPr>
      <w:r>
        <w:rPr>
          <w:rFonts w:ascii="宋体" w:hAnsi="Calibri"/>
          <w:szCs w:val="21"/>
          <w:highlight w:val="white"/>
          <w:lang w:eastAsia="zh-CN"/>
        </w:rPr>
        <w:t>（3）关注基金信息披露，及时行使权利和履行义务；</w:t>
      </w:r>
    </w:p>
    <w:p w:rsidR="002B1026">
      <w:pPr>
        <w:spacing w:line="360" w:lineRule="auto"/>
        <w:ind w:firstLine="420"/>
        <w:rPr>
          <w:rFonts w:ascii="宋体" w:hAnsi="Calibri"/>
          <w:szCs w:val="21"/>
          <w:lang w:eastAsia="zh-CN"/>
        </w:rPr>
      </w:pPr>
      <w:r>
        <w:rPr>
          <w:rFonts w:ascii="宋体" w:hAnsi="Calibri"/>
          <w:szCs w:val="21"/>
          <w:highlight w:val="white"/>
          <w:lang w:eastAsia="zh-CN"/>
        </w:rPr>
        <w:t>（4）交纳基金认购、申购款项及法律法规和《基金合同》所规定的费用；</w:t>
      </w:r>
    </w:p>
    <w:p w:rsidR="002B1026">
      <w:pPr>
        <w:spacing w:line="360" w:lineRule="auto"/>
        <w:ind w:firstLine="420"/>
        <w:rPr>
          <w:rFonts w:ascii="宋体" w:hAnsi="Calibri"/>
          <w:szCs w:val="21"/>
          <w:lang w:eastAsia="zh-CN"/>
        </w:rPr>
      </w:pPr>
      <w:r>
        <w:rPr>
          <w:rFonts w:ascii="宋体" w:hAnsi="Calibri"/>
          <w:szCs w:val="21"/>
          <w:highlight w:val="white"/>
          <w:lang w:eastAsia="zh-CN"/>
        </w:rPr>
        <w:t>（5）在其持有的基金份额范围内，承担基金亏损或者《基金合同》终止的有限责任；</w:t>
      </w:r>
    </w:p>
    <w:p w:rsidR="002B1026">
      <w:pPr>
        <w:spacing w:line="360" w:lineRule="auto"/>
        <w:ind w:firstLine="420"/>
        <w:rPr>
          <w:rFonts w:ascii="宋体" w:hAnsi="Calibri"/>
          <w:szCs w:val="21"/>
          <w:lang w:eastAsia="zh-CN"/>
        </w:rPr>
      </w:pPr>
      <w:r>
        <w:rPr>
          <w:rFonts w:ascii="宋体" w:hAnsi="Calibri"/>
          <w:szCs w:val="21"/>
          <w:highlight w:val="white"/>
          <w:lang w:eastAsia="zh-CN"/>
        </w:rPr>
        <w:t>（6）不从事任何有损基金及其他《基金合同》当事人合法权益的活动；</w:t>
      </w:r>
    </w:p>
    <w:p w:rsidR="002B1026">
      <w:pPr>
        <w:spacing w:line="360" w:lineRule="auto"/>
        <w:ind w:firstLine="420"/>
        <w:rPr>
          <w:rFonts w:ascii="宋体" w:hAnsi="Calibri"/>
          <w:szCs w:val="21"/>
          <w:lang w:eastAsia="zh-CN"/>
        </w:rPr>
      </w:pPr>
      <w:r>
        <w:rPr>
          <w:rFonts w:ascii="宋体" w:hAnsi="Calibri"/>
          <w:szCs w:val="21"/>
          <w:highlight w:val="white"/>
          <w:lang w:eastAsia="zh-CN"/>
        </w:rPr>
        <w:t>（7）执行生效的基金份额持有人大会的决议；</w:t>
      </w:r>
    </w:p>
    <w:p w:rsidR="002B1026">
      <w:pPr>
        <w:spacing w:line="360" w:lineRule="auto"/>
        <w:ind w:firstLine="420"/>
        <w:rPr>
          <w:rFonts w:ascii="宋体" w:hAnsi="Calibri"/>
          <w:szCs w:val="21"/>
          <w:lang w:eastAsia="zh-CN"/>
        </w:rPr>
      </w:pPr>
      <w:r>
        <w:rPr>
          <w:rFonts w:ascii="宋体" w:hAnsi="Calibri"/>
          <w:szCs w:val="21"/>
          <w:highlight w:val="white"/>
          <w:lang w:eastAsia="zh-CN"/>
        </w:rPr>
        <w:t>（8）返还在基金交易过程中因任何原因获得的不当得利；</w:t>
      </w:r>
    </w:p>
    <w:p w:rsidR="002B1026">
      <w:pPr>
        <w:spacing w:line="360" w:lineRule="auto"/>
        <w:ind w:firstLine="420"/>
        <w:rPr>
          <w:rFonts w:ascii="宋体" w:hAnsi="Calibri"/>
          <w:szCs w:val="21"/>
          <w:lang w:eastAsia="zh-CN"/>
        </w:rPr>
      </w:pPr>
      <w:r>
        <w:rPr>
          <w:rFonts w:ascii="宋体" w:hAnsi="Calibri"/>
          <w:szCs w:val="21"/>
          <w:highlight w:val="white"/>
          <w:lang w:eastAsia="zh-CN"/>
        </w:rPr>
        <w:t>（9）法律法规及中国证监会规定的和《基金合同》约定的其他义务。</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二、基金管理人的权利与义务</w:t>
      </w:r>
    </w:p>
    <w:p w:rsidR="002B1026">
      <w:pPr>
        <w:spacing w:line="360" w:lineRule="auto"/>
        <w:ind w:firstLine="420"/>
        <w:rPr>
          <w:rFonts w:ascii="宋体" w:hAnsi="Calibri"/>
          <w:szCs w:val="21"/>
          <w:lang w:eastAsia="zh-CN"/>
        </w:rPr>
      </w:pPr>
      <w:r>
        <w:rPr>
          <w:rFonts w:ascii="宋体" w:hAnsi="Calibri"/>
          <w:szCs w:val="21"/>
          <w:highlight w:val="white"/>
          <w:lang w:eastAsia="zh-CN"/>
        </w:rPr>
        <w:t>1、根据《基金法》、《运作办法》及其他有关规定，基金管理人的权利包括但不限于：</w:t>
      </w:r>
    </w:p>
    <w:p w:rsidR="002B1026">
      <w:pPr>
        <w:spacing w:line="360" w:lineRule="auto"/>
        <w:ind w:firstLine="420"/>
        <w:rPr>
          <w:rFonts w:ascii="宋体" w:hAnsi="Calibri"/>
          <w:szCs w:val="21"/>
          <w:lang w:eastAsia="zh-CN"/>
        </w:rPr>
      </w:pPr>
      <w:r>
        <w:rPr>
          <w:rFonts w:ascii="宋体" w:hAnsi="Calibri"/>
          <w:szCs w:val="21"/>
          <w:highlight w:val="white"/>
          <w:lang w:eastAsia="zh-CN"/>
        </w:rPr>
        <w:t>（1）依法募集资金；</w:t>
      </w:r>
    </w:p>
    <w:p w:rsidR="002B1026">
      <w:pPr>
        <w:spacing w:line="360" w:lineRule="auto"/>
        <w:ind w:firstLine="420"/>
        <w:rPr>
          <w:rFonts w:ascii="宋体" w:hAnsi="Calibri"/>
          <w:szCs w:val="21"/>
          <w:lang w:eastAsia="zh-CN"/>
        </w:rPr>
      </w:pPr>
      <w:r>
        <w:rPr>
          <w:rFonts w:ascii="宋体" w:hAnsi="Calibri"/>
          <w:szCs w:val="21"/>
          <w:highlight w:val="white"/>
          <w:lang w:eastAsia="zh-CN"/>
        </w:rPr>
        <w:t>（2）自《基金合同》生效之日起，根据法律法规和《基金合同》独立运用并管理基金财产；</w:t>
      </w:r>
    </w:p>
    <w:p w:rsidR="002B1026">
      <w:pPr>
        <w:spacing w:line="360" w:lineRule="auto"/>
        <w:ind w:firstLine="420"/>
        <w:rPr>
          <w:rFonts w:ascii="宋体" w:hAnsi="Calibri"/>
          <w:szCs w:val="21"/>
          <w:lang w:eastAsia="zh-CN"/>
        </w:rPr>
      </w:pPr>
      <w:r>
        <w:rPr>
          <w:rFonts w:ascii="宋体" w:hAnsi="Calibri"/>
          <w:szCs w:val="21"/>
          <w:highlight w:val="white"/>
          <w:lang w:eastAsia="zh-CN"/>
        </w:rPr>
        <w:t>（3）依照《基金合同》收取基金管理费以及法律法规规定或中国证监会批准的其他费用；</w:t>
      </w:r>
    </w:p>
    <w:p w:rsidR="002B1026">
      <w:pPr>
        <w:spacing w:line="360" w:lineRule="auto"/>
        <w:ind w:firstLine="420"/>
        <w:rPr>
          <w:rFonts w:ascii="宋体" w:hAnsi="Calibri"/>
          <w:szCs w:val="21"/>
          <w:lang w:eastAsia="zh-CN"/>
        </w:rPr>
      </w:pPr>
      <w:r>
        <w:rPr>
          <w:rFonts w:ascii="宋体" w:hAnsi="Calibri"/>
          <w:szCs w:val="21"/>
          <w:highlight w:val="white"/>
          <w:lang w:eastAsia="zh-CN"/>
        </w:rPr>
        <w:t>（4）销售基金份额；</w:t>
      </w:r>
    </w:p>
    <w:p w:rsidR="002B1026">
      <w:pPr>
        <w:spacing w:line="360" w:lineRule="auto"/>
        <w:ind w:firstLine="420"/>
        <w:rPr>
          <w:rFonts w:ascii="宋体" w:hAnsi="Calibri"/>
          <w:szCs w:val="21"/>
          <w:lang w:eastAsia="zh-CN"/>
        </w:rPr>
      </w:pPr>
      <w:r>
        <w:rPr>
          <w:rFonts w:ascii="宋体" w:hAnsi="Calibri"/>
          <w:szCs w:val="21"/>
          <w:highlight w:val="white"/>
          <w:lang w:eastAsia="zh-CN"/>
        </w:rPr>
        <w:t>（5）按照规定召集基金份额持有人大会；</w:t>
      </w:r>
    </w:p>
    <w:p w:rsidR="002B1026">
      <w:pPr>
        <w:spacing w:line="360" w:lineRule="auto"/>
        <w:ind w:firstLine="420"/>
        <w:rPr>
          <w:rFonts w:ascii="宋体" w:hAnsi="Calibri"/>
          <w:szCs w:val="21"/>
          <w:lang w:eastAsia="zh-CN"/>
        </w:rPr>
      </w:pPr>
      <w:r>
        <w:rPr>
          <w:rFonts w:ascii="宋体" w:hAnsi="Calibri"/>
          <w:szCs w:val="21"/>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2B1026">
      <w:pPr>
        <w:spacing w:line="360" w:lineRule="auto"/>
        <w:ind w:firstLine="420"/>
        <w:rPr>
          <w:rFonts w:ascii="宋体" w:hAnsi="Calibri"/>
          <w:szCs w:val="21"/>
          <w:lang w:eastAsia="zh-CN"/>
        </w:rPr>
      </w:pPr>
      <w:r>
        <w:rPr>
          <w:rFonts w:ascii="宋体" w:hAnsi="Calibri"/>
          <w:szCs w:val="21"/>
          <w:highlight w:val="white"/>
          <w:lang w:eastAsia="zh-CN"/>
        </w:rPr>
        <w:t>（7）在基金托管人更换时，提名新的基金托管人；</w:t>
      </w:r>
    </w:p>
    <w:p w:rsidR="002B1026">
      <w:pPr>
        <w:spacing w:line="360" w:lineRule="auto"/>
        <w:ind w:firstLine="420"/>
        <w:rPr>
          <w:rFonts w:ascii="宋体" w:hAnsi="Calibri"/>
          <w:szCs w:val="21"/>
          <w:lang w:eastAsia="zh-CN"/>
        </w:rPr>
      </w:pPr>
      <w:r>
        <w:rPr>
          <w:rFonts w:ascii="宋体" w:hAnsi="Calibri"/>
          <w:szCs w:val="21"/>
          <w:highlight w:val="white"/>
          <w:lang w:eastAsia="zh-CN"/>
        </w:rPr>
        <w:t>（8）选择、更换基金销售机构，对基金销售机构的相关行为进行监督和处理；</w:t>
      </w:r>
    </w:p>
    <w:p w:rsidR="002B1026">
      <w:pPr>
        <w:spacing w:line="360" w:lineRule="auto"/>
        <w:ind w:firstLine="420"/>
        <w:rPr>
          <w:rFonts w:ascii="宋体" w:hAnsi="Calibri"/>
          <w:szCs w:val="21"/>
          <w:lang w:eastAsia="zh-CN"/>
        </w:rPr>
      </w:pPr>
      <w:r>
        <w:rPr>
          <w:rFonts w:ascii="宋体" w:hAnsi="Calibri"/>
          <w:szCs w:val="21"/>
          <w:highlight w:val="white"/>
          <w:lang w:eastAsia="zh-CN"/>
        </w:rPr>
        <w:t>（9）担任或委托其他符合条件的机构担任基金登记机构办理基金登记业务并获得《基金合同》规定的费用；</w:t>
      </w:r>
    </w:p>
    <w:p w:rsidR="002B1026">
      <w:pPr>
        <w:spacing w:line="360" w:lineRule="auto"/>
        <w:ind w:firstLine="420"/>
        <w:rPr>
          <w:rFonts w:ascii="宋体" w:hAnsi="Calibri"/>
          <w:szCs w:val="21"/>
          <w:lang w:eastAsia="zh-CN"/>
        </w:rPr>
      </w:pPr>
      <w:r>
        <w:rPr>
          <w:rFonts w:ascii="宋体" w:hAnsi="Calibri"/>
          <w:szCs w:val="21"/>
          <w:highlight w:val="white"/>
          <w:lang w:eastAsia="zh-CN"/>
        </w:rPr>
        <w:t>（10）依据《基金合同》及有关法律规定决定基金收益的分配方案；</w:t>
      </w:r>
    </w:p>
    <w:p w:rsidR="002B1026">
      <w:pPr>
        <w:spacing w:line="360" w:lineRule="auto"/>
        <w:ind w:firstLine="420"/>
        <w:rPr>
          <w:rFonts w:ascii="宋体" w:hAnsi="Calibri"/>
          <w:szCs w:val="21"/>
          <w:lang w:eastAsia="zh-CN"/>
        </w:rPr>
      </w:pPr>
      <w:r>
        <w:rPr>
          <w:rFonts w:ascii="宋体" w:hAnsi="Calibri"/>
          <w:szCs w:val="21"/>
          <w:highlight w:val="white"/>
          <w:lang w:eastAsia="zh-CN"/>
        </w:rPr>
        <w:t>（11）在《基金合同》约定的范围内，拒绝或暂停受理申购、赎回及转换申请；</w:t>
      </w:r>
    </w:p>
    <w:p w:rsidR="002B1026">
      <w:pPr>
        <w:spacing w:line="360" w:lineRule="auto"/>
        <w:ind w:firstLine="420"/>
        <w:rPr>
          <w:rFonts w:ascii="宋体" w:hAnsi="Calibri"/>
          <w:szCs w:val="21"/>
          <w:lang w:eastAsia="zh-CN"/>
        </w:rPr>
      </w:pPr>
      <w:r>
        <w:rPr>
          <w:rFonts w:ascii="宋体" w:hAnsi="Calibri"/>
          <w:szCs w:val="21"/>
          <w:highlight w:val="white"/>
          <w:lang w:eastAsia="zh-CN"/>
        </w:rPr>
        <w:t>（12）依照法律法规为基金的利益对被投资公司行使股东权利，为基金的利益行使因基金财产投资于证券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法律法规另有规定或基金合同另有约定的除外；</w:t>
      </w:r>
    </w:p>
    <w:p w:rsidR="002B1026">
      <w:pPr>
        <w:spacing w:line="360" w:lineRule="auto"/>
        <w:ind w:firstLine="420"/>
        <w:rPr>
          <w:rFonts w:ascii="宋体" w:hAnsi="Calibri"/>
          <w:szCs w:val="21"/>
          <w:lang w:eastAsia="zh-CN"/>
        </w:rPr>
      </w:pPr>
      <w:r>
        <w:rPr>
          <w:rFonts w:ascii="宋体" w:hAnsi="Calibri"/>
          <w:szCs w:val="21"/>
          <w:highlight w:val="white"/>
          <w:lang w:eastAsia="zh-CN"/>
        </w:rPr>
        <w:t>（13）在法律法规允许的前提下，为基金的利益依法为基金进行融资；</w:t>
      </w:r>
    </w:p>
    <w:p w:rsidR="002B1026">
      <w:pPr>
        <w:spacing w:line="360" w:lineRule="auto"/>
        <w:ind w:firstLine="420"/>
        <w:rPr>
          <w:rFonts w:ascii="宋体" w:hAnsi="Calibri"/>
          <w:szCs w:val="21"/>
          <w:lang w:eastAsia="zh-CN"/>
        </w:rPr>
      </w:pPr>
      <w:r>
        <w:rPr>
          <w:rFonts w:ascii="宋体" w:hAnsi="Calibri"/>
          <w:szCs w:val="21"/>
          <w:highlight w:val="white"/>
          <w:lang w:eastAsia="zh-CN"/>
        </w:rPr>
        <w:t>（14）以基金管理人的名义，代表基金份额持有人的利益行使诉讼权利或者实施其他法律行为；</w:t>
      </w:r>
    </w:p>
    <w:p w:rsidR="002B1026">
      <w:pPr>
        <w:spacing w:line="360" w:lineRule="auto"/>
        <w:ind w:firstLine="420"/>
        <w:rPr>
          <w:rFonts w:ascii="宋体" w:hAnsi="Calibri"/>
          <w:szCs w:val="21"/>
          <w:lang w:eastAsia="zh-CN"/>
        </w:rPr>
      </w:pPr>
      <w:r>
        <w:rPr>
          <w:rFonts w:ascii="宋体" w:hAnsi="Calibri"/>
          <w:szCs w:val="21"/>
          <w:highlight w:val="white"/>
          <w:lang w:eastAsia="zh-CN"/>
        </w:rPr>
        <w:t>（15）选择、更换律师事务所、会计师事务所、证券经纪商或其他为基金提供服务的外部机构；</w:t>
      </w:r>
    </w:p>
    <w:p w:rsidR="002B1026">
      <w:pPr>
        <w:spacing w:line="360" w:lineRule="auto"/>
        <w:ind w:firstLine="420"/>
        <w:rPr>
          <w:rFonts w:ascii="宋体" w:hAnsi="Calibri"/>
          <w:szCs w:val="21"/>
          <w:lang w:eastAsia="zh-CN"/>
        </w:rPr>
      </w:pPr>
      <w:r>
        <w:rPr>
          <w:rFonts w:ascii="宋体" w:hAnsi="Calibri"/>
          <w:szCs w:val="21"/>
          <w:highlight w:val="white"/>
          <w:lang w:eastAsia="zh-CN"/>
        </w:rPr>
        <w:t>（16）在符合有关法律、法规的前提下，制订和调整有关基金认购、申购、赎回、转换、非交易过户、转托管和收益分配等的业务规则；</w:t>
      </w:r>
    </w:p>
    <w:p w:rsidR="002B1026">
      <w:pPr>
        <w:spacing w:line="360" w:lineRule="auto"/>
        <w:ind w:firstLine="420"/>
        <w:rPr>
          <w:rFonts w:ascii="宋体" w:hAnsi="Calibri"/>
          <w:szCs w:val="21"/>
          <w:lang w:eastAsia="zh-CN"/>
        </w:rPr>
      </w:pPr>
      <w:r>
        <w:rPr>
          <w:rFonts w:ascii="宋体" w:hAnsi="Calibri"/>
          <w:szCs w:val="21"/>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2B1026">
      <w:pPr>
        <w:spacing w:line="360" w:lineRule="auto"/>
        <w:ind w:firstLine="420"/>
        <w:rPr>
          <w:rFonts w:ascii="宋体" w:hAnsi="Calibri"/>
          <w:szCs w:val="21"/>
          <w:lang w:eastAsia="zh-CN"/>
        </w:rPr>
      </w:pPr>
      <w:r>
        <w:rPr>
          <w:rFonts w:ascii="宋体" w:hAnsi="Calibri"/>
          <w:szCs w:val="21"/>
          <w:highlight w:val="white"/>
          <w:lang w:eastAsia="zh-CN"/>
        </w:rPr>
        <w:t>（18）委托第三方机构办理本基金的交易、清算、估值、结算等业务；</w:t>
      </w:r>
    </w:p>
    <w:p w:rsidR="002B1026">
      <w:pPr>
        <w:spacing w:line="360" w:lineRule="auto"/>
        <w:ind w:firstLine="420"/>
        <w:rPr>
          <w:rFonts w:ascii="宋体" w:hAnsi="Calibri"/>
          <w:szCs w:val="21"/>
          <w:lang w:eastAsia="zh-CN"/>
        </w:rPr>
      </w:pPr>
      <w:r>
        <w:rPr>
          <w:rFonts w:ascii="宋体" w:hAnsi="Calibri"/>
          <w:szCs w:val="21"/>
          <w:highlight w:val="white"/>
          <w:lang w:eastAsia="zh-CN"/>
        </w:rPr>
        <w:t>（19）法律法规及中国证监会规定的和《基金合同》约定的其他权利。</w:t>
      </w:r>
    </w:p>
    <w:p w:rsidR="002B1026">
      <w:pPr>
        <w:spacing w:line="360" w:lineRule="auto"/>
        <w:ind w:firstLine="420"/>
        <w:rPr>
          <w:rFonts w:ascii="宋体" w:hAnsi="Calibri"/>
          <w:szCs w:val="21"/>
          <w:lang w:eastAsia="zh-CN"/>
        </w:rPr>
      </w:pPr>
      <w:r>
        <w:rPr>
          <w:rFonts w:ascii="宋体" w:hAnsi="Calibri"/>
          <w:szCs w:val="21"/>
          <w:highlight w:val="white"/>
          <w:lang w:eastAsia="zh-CN"/>
        </w:rPr>
        <w:t>2、根据《基金法》、《运作办法》及其他有关规定，基金管理人的义务包括但不限于：</w:t>
      </w:r>
    </w:p>
    <w:p w:rsidR="002B1026">
      <w:pPr>
        <w:spacing w:line="360" w:lineRule="auto"/>
        <w:ind w:firstLine="420"/>
        <w:rPr>
          <w:rFonts w:ascii="宋体" w:hAnsi="Calibri"/>
          <w:szCs w:val="21"/>
          <w:lang w:eastAsia="zh-CN"/>
        </w:rPr>
      </w:pPr>
      <w:r>
        <w:rPr>
          <w:rFonts w:ascii="宋体" w:hAnsi="Calibri"/>
          <w:szCs w:val="21"/>
          <w:highlight w:val="white"/>
          <w:lang w:eastAsia="zh-CN"/>
        </w:rPr>
        <w:t>（1）依法募集资金，办理或者委托经中国证监会认定的其他机构办理基金份额的发售、申购、赎回和登记事宜；</w:t>
      </w:r>
    </w:p>
    <w:p w:rsidR="002B1026">
      <w:pPr>
        <w:spacing w:line="360" w:lineRule="auto"/>
        <w:ind w:firstLine="420"/>
        <w:rPr>
          <w:rFonts w:ascii="宋体" w:hAnsi="Calibri"/>
          <w:szCs w:val="21"/>
          <w:lang w:eastAsia="zh-CN"/>
        </w:rPr>
      </w:pPr>
      <w:r>
        <w:rPr>
          <w:rFonts w:ascii="宋体" w:hAnsi="Calibri"/>
          <w:szCs w:val="21"/>
          <w:highlight w:val="white"/>
          <w:lang w:eastAsia="zh-CN"/>
        </w:rPr>
        <w:t>（2）办理基金备案手续；</w:t>
      </w:r>
    </w:p>
    <w:p w:rsidR="002B1026">
      <w:pPr>
        <w:spacing w:line="360" w:lineRule="auto"/>
        <w:ind w:firstLine="420"/>
        <w:rPr>
          <w:rFonts w:ascii="宋体" w:hAnsi="Calibri"/>
          <w:szCs w:val="21"/>
          <w:lang w:eastAsia="zh-CN"/>
        </w:rPr>
      </w:pPr>
      <w:r>
        <w:rPr>
          <w:rFonts w:ascii="宋体" w:hAnsi="Calibri"/>
          <w:szCs w:val="21"/>
          <w:highlight w:val="white"/>
          <w:lang w:eastAsia="zh-CN"/>
        </w:rPr>
        <w:t>（3）自《基金合同》生效之日起，以诚实信用、谨慎勤勉的原则管理和运用基金财产；</w:t>
      </w:r>
    </w:p>
    <w:p w:rsidR="002B1026">
      <w:pPr>
        <w:spacing w:line="360" w:lineRule="auto"/>
        <w:ind w:firstLine="420"/>
        <w:rPr>
          <w:rFonts w:ascii="宋体" w:hAnsi="Calibri"/>
          <w:szCs w:val="21"/>
          <w:lang w:eastAsia="zh-CN"/>
        </w:rPr>
      </w:pPr>
      <w:r>
        <w:rPr>
          <w:rFonts w:ascii="宋体" w:hAnsi="Calibri"/>
          <w:szCs w:val="21"/>
          <w:highlight w:val="white"/>
          <w:lang w:eastAsia="zh-CN"/>
        </w:rPr>
        <w:t>（4）配备足够的具有专业资格的人员进行基金投资分析、决策，以专业化的经营方式管理和运作基金财产；</w:t>
      </w:r>
    </w:p>
    <w:p w:rsidR="002B1026">
      <w:pPr>
        <w:spacing w:line="360" w:lineRule="auto"/>
        <w:ind w:firstLine="420"/>
        <w:rPr>
          <w:rFonts w:ascii="宋体" w:hAnsi="Calibri"/>
          <w:szCs w:val="21"/>
          <w:lang w:eastAsia="zh-CN"/>
        </w:rPr>
      </w:pPr>
      <w:r>
        <w:rPr>
          <w:rFonts w:ascii="宋体" w:hAnsi="Calibri"/>
          <w:szCs w:val="21"/>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2B1026">
      <w:pPr>
        <w:spacing w:line="360" w:lineRule="auto"/>
        <w:ind w:firstLine="420"/>
        <w:rPr>
          <w:rFonts w:ascii="宋体" w:hAnsi="Calibri"/>
          <w:szCs w:val="21"/>
          <w:lang w:eastAsia="zh-CN"/>
        </w:rPr>
      </w:pPr>
      <w:r>
        <w:rPr>
          <w:rFonts w:ascii="宋体" w:hAnsi="Calibri"/>
          <w:szCs w:val="21"/>
          <w:highlight w:val="white"/>
          <w:lang w:eastAsia="zh-CN"/>
        </w:rPr>
        <w:t>（6）除依据《基金法》、《基金合同》及其他有关规定外，不得利用基金财产为自己及任何第三人谋取利益，不得委托第三人运作基金财产；</w:t>
      </w:r>
    </w:p>
    <w:p w:rsidR="002B1026">
      <w:pPr>
        <w:spacing w:line="360" w:lineRule="auto"/>
        <w:ind w:firstLine="420"/>
        <w:rPr>
          <w:rFonts w:ascii="宋体" w:hAnsi="Calibri"/>
          <w:szCs w:val="21"/>
          <w:lang w:eastAsia="zh-CN"/>
        </w:rPr>
      </w:pPr>
      <w:r>
        <w:rPr>
          <w:rFonts w:ascii="宋体" w:hAnsi="Calibri"/>
          <w:szCs w:val="21"/>
          <w:highlight w:val="white"/>
          <w:lang w:eastAsia="zh-CN"/>
        </w:rPr>
        <w:t>（7）依法接受基金托管人的监督；</w:t>
      </w:r>
    </w:p>
    <w:p w:rsidR="002B1026">
      <w:pPr>
        <w:spacing w:line="360" w:lineRule="auto"/>
        <w:ind w:firstLine="420"/>
        <w:rPr>
          <w:rFonts w:ascii="宋体" w:hAnsi="Calibri"/>
          <w:szCs w:val="21"/>
          <w:lang w:eastAsia="zh-CN"/>
        </w:rPr>
      </w:pPr>
      <w:r>
        <w:rPr>
          <w:rFonts w:ascii="宋体" w:hAnsi="Calibri"/>
          <w:szCs w:val="21"/>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2B1026">
      <w:pPr>
        <w:spacing w:line="360" w:lineRule="auto"/>
        <w:ind w:firstLine="420"/>
        <w:rPr>
          <w:rFonts w:ascii="宋体" w:hAnsi="Calibri"/>
          <w:szCs w:val="21"/>
          <w:lang w:eastAsia="zh-CN"/>
        </w:rPr>
      </w:pPr>
      <w:r>
        <w:rPr>
          <w:rFonts w:ascii="宋体" w:hAnsi="Calibri"/>
          <w:szCs w:val="21"/>
          <w:highlight w:val="white"/>
          <w:lang w:eastAsia="zh-CN"/>
        </w:rPr>
        <w:t>（9）进行基金会计核算并编制基金财务会计报告；</w:t>
      </w:r>
    </w:p>
    <w:p w:rsidR="002B1026">
      <w:pPr>
        <w:spacing w:line="360" w:lineRule="auto"/>
        <w:ind w:firstLine="420"/>
        <w:rPr>
          <w:rFonts w:ascii="宋体" w:hAnsi="Calibri"/>
          <w:szCs w:val="21"/>
          <w:lang w:eastAsia="zh-CN"/>
        </w:rPr>
      </w:pPr>
      <w:r>
        <w:rPr>
          <w:rFonts w:ascii="宋体" w:hAnsi="Calibri"/>
          <w:szCs w:val="21"/>
          <w:highlight w:val="white"/>
          <w:lang w:eastAsia="zh-CN"/>
        </w:rPr>
        <w:t>（10）编制季度报告、中期报告和年度报告；</w:t>
      </w:r>
    </w:p>
    <w:p w:rsidR="002B1026">
      <w:pPr>
        <w:spacing w:line="360" w:lineRule="auto"/>
        <w:ind w:firstLine="420"/>
        <w:rPr>
          <w:rFonts w:ascii="宋体" w:hAnsi="Calibri"/>
          <w:szCs w:val="21"/>
          <w:lang w:eastAsia="zh-CN"/>
        </w:rPr>
      </w:pPr>
      <w:r>
        <w:rPr>
          <w:rFonts w:ascii="宋体" w:hAnsi="Calibri"/>
          <w:szCs w:val="21"/>
          <w:highlight w:val="white"/>
          <w:lang w:eastAsia="zh-CN"/>
        </w:rPr>
        <w:t>（11）严格按照《基金法》、《基金合同》及其他有关规定，履行信息披露及报告义务；</w:t>
      </w:r>
    </w:p>
    <w:p w:rsidR="002B1026">
      <w:pPr>
        <w:spacing w:line="360" w:lineRule="auto"/>
        <w:ind w:firstLine="420"/>
        <w:rPr>
          <w:rFonts w:ascii="宋体" w:hAnsi="Calibri"/>
          <w:szCs w:val="21"/>
          <w:lang w:eastAsia="zh-CN"/>
        </w:rPr>
      </w:pPr>
      <w:r>
        <w:rPr>
          <w:rFonts w:ascii="宋体" w:hAnsi="Calibri"/>
          <w:szCs w:val="21"/>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2B1026">
      <w:pPr>
        <w:spacing w:line="360" w:lineRule="auto"/>
        <w:ind w:firstLine="420"/>
        <w:rPr>
          <w:rFonts w:ascii="宋体" w:hAnsi="Calibri"/>
          <w:szCs w:val="21"/>
          <w:lang w:eastAsia="zh-CN"/>
        </w:rPr>
      </w:pPr>
      <w:r>
        <w:rPr>
          <w:rFonts w:ascii="宋体" w:hAnsi="Calibri"/>
          <w:szCs w:val="21"/>
          <w:highlight w:val="white"/>
          <w:lang w:eastAsia="zh-CN"/>
        </w:rPr>
        <w:t>（13）按《基金合同》的约定确定基金收益分配方案，及时向基金份额持有人分配基金收益；</w:t>
      </w:r>
    </w:p>
    <w:p w:rsidR="002B1026">
      <w:pPr>
        <w:spacing w:line="360" w:lineRule="auto"/>
        <w:ind w:firstLine="420"/>
        <w:rPr>
          <w:rFonts w:ascii="宋体" w:hAnsi="Calibri"/>
          <w:szCs w:val="21"/>
          <w:lang w:eastAsia="zh-CN"/>
        </w:rPr>
      </w:pPr>
      <w:r>
        <w:rPr>
          <w:rFonts w:ascii="宋体" w:hAnsi="Calibri"/>
          <w:szCs w:val="21"/>
          <w:highlight w:val="white"/>
          <w:lang w:eastAsia="zh-CN"/>
        </w:rPr>
        <w:t>（14）按规定受理申购与赎回申请，及时、足额支付赎回款项；</w:t>
      </w:r>
    </w:p>
    <w:p w:rsidR="002B1026">
      <w:pPr>
        <w:spacing w:line="360" w:lineRule="auto"/>
        <w:ind w:firstLine="420"/>
        <w:rPr>
          <w:rFonts w:ascii="宋体" w:hAnsi="Calibri"/>
          <w:szCs w:val="21"/>
          <w:lang w:eastAsia="zh-CN"/>
        </w:rPr>
      </w:pPr>
      <w:r>
        <w:rPr>
          <w:rFonts w:ascii="宋体" w:hAnsi="Calibri"/>
          <w:szCs w:val="21"/>
          <w:highlight w:val="white"/>
          <w:lang w:eastAsia="zh-CN"/>
        </w:rPr>
        <w:t>（15）依据《基金法》、《基金合同》及其他有关规定召集基金份额持有人大会或配合基金托管人、基金份额持有人依法召集基金份额持有人大会；</w:t>
      </w:r>
    </w:p>
    <w:p w:rsidR="002B1026">
      <w:pPr>
        <w:spacing w:line="360" w:lineRule="auto"/>
        <w:ind w:firstLine="420"/>
        <w:rPr>
          <w:rFonts w:ascii="宋体" w:hAnsi="Calibri"/>
          <w:szCs w:val="21"/>
          <w:lang w:eastAsia="zh-CN"/>
        </w:rPr>
      </w:pPr>
      <w:r>
        <w:rPr>
          <w:rFonts w:ascii="宋体" w:hAnsi="Calibri"/>
          <w:szCs w:val="21"/>
          <w:highlight w:val="white"/>
          <w:lang w:eastAsia="zh-CN"/>
        </w:rPr>
        <w:t>（16）按规定保存基金财产管理业务活动的会计账册、报表、记录和其他相关资料20年以上；</w:t>
      </w:r>
    </w:p>
    <w:p w:rsidR="002B1026">
      <w:pPr>
        <w:spacing w:line="360" w:lineRule="auto"/>
        <w:ind w:firstLine="420"/>
        <w:rPr>
          <w:rFonts w:ascii="宋体" w:hAnsi="Calibri"/>
          <w:szCs w:val="21"/>
          <w:lang w:eastAsia="zh-CN"/>
        </w:rPr>
      </w:pPr>
      <w:r>
        <w:rPr>
          <w:rFonts w:ascii="宋体" w:hAnsi="Calibri"/>
          <w:szCs w:val="21"/>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B1026">
      <w:pPr>
        <w:spacing w:line="360" w:lineRule="auto"/>
        <w:ind w:firstLine="420"/>
        <w:rPr>
          <w:rFonts w:ascii="宋体" w:hAnsi="Calibri"/>
          <w:szCs w:val="21"/>
          <w:lang w:eastAsia="zh-CN"/>
        </w:rPr>
      </w:pPr>
      <w:r>
        <w:rPr>
          <w:rFonts w:ascii="宋体" w:hAnsi="Calibri"/>
          <w:szCs w:val="21"/>
          <w:highlight w:val="white"/>
          <w:lang w:eastAsia="zh-CN"/>
        </w:rPr>
        <w:t>（18）组织并参加基金财产清算小组，参与基金财产的保管、清理、估价、变现和分配；</w:t>
      </w:r>
    </w:p>
    <w:p w:rsidR="002B1026">
      <w:pPr>
        <w:spacing w:line="360" w:lineRule="auto"/>
        <w:ind w:firstLine="420"/>
        <w:rPr>
          <w:rFonts w:ascii="宋体" w:hAnsi="Calibri"/>
          <w:szCs w:val="21"/>
          <w:lang w:eastAsia="zh-CN"/>
        </w:rPr>
      </w:pPr>
      <w:r>
        <w:rPr>
          <w:rFonts w:ascii="宋体" w:hAnsi="Calibri"/>
          <w:szCs w:val="21"/>
          <w:highlight w:val="white"/>
          <w:lang w:eastAsia="zh-CN"/>
        </w:rPr>
        <w:t>（19）面临解散、依法被撤销或者被依法宣告破产时，及时报告中国证监会并通知基金托管人；</w:t>
      </w:r>
    </w:p>
    <w:p w:rsidR="002B1026">
      <w:pPr>
        <w:spacing w:line="360" w:lineRule="auto"/>
        <w:ind w:firstLine="420"/>
        <w:rPr>
          <w:rFonts w:ascii="宋体" w:hAnsi="Calibri"/>
          <w:szCs w:val="21"/>
          <w:lang w:eastAsia="zh-CN"/>
        </w:rPr>
      </w:pPr>
      <w:r>
        <w:rPr>
          <w:rFonts w:ascii="宋体" w:hAnsi="Calibri"/>
          <w:szCs w:val="21"/>
          <w:highlight w:val="white"/>
          <w:lang w:eastAsia="zh-CN"/>
        </w:rPr>
        <w:t>（20）因违反《基金合同》导致基金财产的损失或损害基金份额持有人合法权益时，应当承担赔偿责任，其赔偿责任不因其退任而免除；</w:t>
      </w:r>
    </w:p>
    <w:p w:rsidR="002B1026">
      <w:pPr>
        <w:spacing w:line="360" w:lineRule="auto"/>
        <w:ind w:firstLine="420"/>
        <w:rPr>
          <w:rFonts w:ascii="宋体" w:hAnsi="Calibri"/>
          <w:szCs w:val="21"/>
          <w:lang w:eastAsia="zh-CN"/>
        </w:rPr>
      </w:pPr>
      <w:r>
        <w:rPr>
          <w:rFonts w:ascii="宋体" w:hAnsi="Calibri"/>
          <w:szCs w:val="21"/>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2B1026">
      <w:pPr>
        <w:spacing w:line="360" w:lineRule="auto"/>
        <w:ind w:firstLine="420"/>
        <w:rPr>
          <w:rFonts w:ascii="宋体" w:hAnsi="Calibri"/>
          <w:szCs w:val="21"/>
          <w:lang w:eastAsia="zh-CN"/>
        </w:rPr>
      </w:pPr>
      <w:r>
        <w:rPr>
          <w:rFonts w:ascii="宋体" w:hAnsi="Calibri"/>
          <w:szCs w:val="21"/>
          <w:highlight w:val="white"/>
          <w:lang w:eastAsia="zh-CN"/>
        </w:rPr>
        <w:t>（22）当基金管理人将其义务委托第三方处理时，应当对第三方处理有关基金事务的行为承担责任；</w:t>
      </w:r>
    </w:p>
    <w:p w:rsidR="002B1026">
      <w:pPr>
        <w:spacing w:line="360" w:lineRule="auto"/>
        <w:ind w:firstLine="420"/>
        <w:rPr>
          <w:rFonts w:ascii="宋体" w:hAnsi="Calibri"/>
          <w:szCs w:val="21"/>
          <w:lang w:eastAsia="zh-CN"/>
        </w:rPr>
      </w:pPr>
      <w:r>
        <w:rPr>
          <w:rFonts w:ascii="宋体" w:hAnsi="Calibri"/>
          <w:szCs w:val="21"/>
          <w:highlight w:val="white"/>
          <w:lang w:eastAsia="zh-CN"/>
        </w:rPr>
        <w:t>（23）以基金管理人名义，代表基金份额持有人利益行使诉讼权利或实施其他法律行为；</w:t>
      </w:r>
    </w:p>
    <w:p w:rsidR="002B1026">
      <w:pPr>
        <w:spacing w:line="360" w:lineRule="auto"/>
        <w:ind w:firstLine="420"/>
        <w:rPr>
          <w:rFonts w:ascii="宋体" w:hAnsi="Calibri"/>
          <w:szCs w:val="21"/>
          <w:lang w:eastAsia="zh-CN"/>
        </w:rPr>
      </w:pPr>
      <w:r>
        <w:rPr>
          <w:rFonts w:ascii="宋体" w:hAnsi="Calibri"/>
          <w:szCs w:val="21"/>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2B1026">
      <w:pPr>
        <w:spacing w:line="360" w:lineRule="auto"/>
        <w:ind w:firstLine="420"/>
        <w:rPr>
          <w:rFonts w:ascii="宋体" w:hAnsi="Calibri"/>
          <w:szCs w:val="21"/>
          <w:lang w:eastAsia="zh-CN"/>
        </w:rPr>
      </w:pPr>
      <w:r>
        <w:rPr>
          <w:rFonts w:ascii="宋体" w:hAnsi="Calibri"/>
          <w:szCs w:val="21"/>
          <w:highlight w:val="white"/>
          <w:lang w:eastAsia="zh-CN"/>
        </w:rPr>
        <w:t>（25）执行生效的基金份额持有人大会的决议；</w:t>
      </w:r>
    </w:p>
    <w:p w:rsidR="002B1026">
      <w:pPr>
        <w:spacing w:line="360" w:lineRule="auto"/>
        <w:ind w:firstLine="420"/>
        <w:rPr>
          <w:rFonts w:ascii="宋体" w:hAnsi="Calibri"/>
          <w:szCs w:val="21"/>
          <w:lang w:eastAsia="zh-CN"/>
        </w:rPr>
      </w:pPr>
      <w:r>
        <w:rPr>
          <w:rFonts w:ascii="宋体" w:hAnsi="Calibri"/>
          <w:szCs w:val="21"/>
          <w:highlight w:val="white"/>
          <w:lang w:eastAsia="zh-CN"/>
        </w:rPr>
        <w:t>（26）建立并保存基金份额持有人名册；</w:t>
      </w:r>
    </w:p>
    <w:p w:rsidR="002B1026">
      <w:pPr>
        <w:spacing w:line="360" w:lineRule="auto"/>
        <w:ind w:firstLine="420"/>
        <w:rPr>
          <w:rFonts w:ascii="宋体" w:hAnsi="Calibri"/>
          <w:szCs w:val="21"/>
          <w:lang w:eastAsia="zh-CN"/>
        </w:rPr>
      </w:pPr>
      <w:r>
        <w:rPr>
          <w:rFonts w:ascii="宋体" w:hAnsi="Calibri"/>
          <w:szCs w:val="21"/>
          <w:highlight w:val="white"/>
          <w:lang w:eastAsia="zh-CN"/>
        </w:rPr>
        <w:t>（27）法律法规及中国证监会规定的和《基金合同》约定的其他义务。</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三、基金托管人的权利与义务</w:t>
      </w:r>
    </w:p>
    <w:p w:rsidR="002B1026">
      <w:pPr>
        <w:spacing w:line="360" w:lineRule="auto"/>
        <w:ind w:firstLine="420"/>
        <w:rPr>
          <w:rFonts w:ascii="宋体" w:hAnsi="Calibri"/>
          <w:szCs w:val="21"/>
          <w:lang w:eastAsia="zh-CN"/>
        </w:rPr>
      </w:pPr>
      <w:r>
        <w:rPr>
          <w:rFonts w:ascii="宋体" w:hAnsi="Calibri"/>
          <w:szCs w:val="21"/>
          <w:highlight w:val="white"/>
          <w:lang w:eastAsia="zh-CN"/>
        </w:rPr>
        <w:t>1、根据《基金法》、《运作办法》及其他有关规定，基金托管人的权利包括但不限于：</w:t>
      </w:r>
    </w:p>
    <w:p w:rsidR="002B1026">
      <w:pPr>
        <w:spacing w:line="360" w:lineRule="auto"/>
        <w:ind w:firstLine="420"/>
        <w:rPr>
          <w:rFonts w:ascii="宋体" w:hAnsi="Calibri"/>
          <w:szCs w:val="21"/>
          <w:lang w:eastAsia="zh-CN"/>
        </w:rPr>
      </w:pPr>
      <w:r>
        <w:rPr>
          <w:rFonts w:ascii="宋体" w:hAnsi="Calibri"/>
          <w:szCs w:val="21"/>
          <w:highlight w:val="white"/>
          <w:lang w:eastAsia="zh-CN"/>
        </w:rPr>
        <w:t>（1）自《基金合同》生效之日起，依法律法规和《基金合同》的规定安全保管基金财产；</w:t>
      </w:r>
    </w:p>
    <w:p w:rsidR="002B1026">
      <w:pPr>
        <w:spacing w:line="360" w:lineRule="auto"/>
        <w:ind w:firstLine="420"/>
        <w:rPr>
          <w:rFonts w:ascii="宋体" w:hAnsi="Calibri"/>
          <w:szCs w:val="21"/>
          <w:lang w:eastAsia="zh-CN"/>
        </w:rPr>
      </w:pPr>
      <w:r>
        <w:rPr>
          <w:rFonts w:ascii="宋体" w:hAnsi="Calibri"/>
          <w:szCs w:val="21"/>
          <w:highlight w:val="white"/>
          <w:lang w:eastAsia="zh-CN"/>
        </w:rPr>
        <w:t>（2）依《基金合同》约定获得基金托管费以及法律法规规定或监管部门批准的其他费用；</w:t>
      </w:r>
    </w:p>
    <w:p w:rsidR="002B1026">
      <w:pPr>
        <w:spacing w:line="360" w:lineRule="auto"/>
        <w:ind w:firstLine="420"/>
        <w:rPr>
          <w:rFonts w:ascii="宋体" w:hAnsi="Calibri"/>
          <w:szCs w:val="21"/>
          <w:lang w:eastAsia="zh-CN"/>
        </w:rPr>
      </w:pPr>
      <w:r>
        <w:rPr>
          <w:rFonts w:ascii="宋体" w:hAnsi="Calibri"/>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2B1026">
      <w:pPr>
        <w:spacing w:line="360" w:lineRule="auto"/>
        <w:ind w:firstLine="420"/>
        <w:rPr>
          <w:rFonts w:ascii="宋体" w:hAnsi="Calibri"/>
          <w:szCs w:val="21"/>
          <w:lang w:eastAsia="zh-CN"/>
        </w:rPr>
      </w:pPr>
      <w:r>
        <w:rPr>
          <w:rFonts w:ascii="宋体" w:hAnsi="Calibri"/>
          <w:szCs w:val="21"/>
          <w:highlight w:val="white"/>
          <w:lang w:eastAsia="zh-CN"/>
        </w:rPr>
        <w:t>（4）根据相关市场规则，为基金开设资金账户、证券账户等投资所需账户、为基金办理证券交易资金清算；</w:t>
      </w:r>
    </w:p>
    <w:p w:rsidR="002B1026">
      <w:pPr>
        <w:spacing w:line="360" w:lineRule="auto"/>
        <w:ind w:firstLine="420"/>
        <w:rPr>
          <w:rFonts w:ascii="宋体" w:hAnsi="Calibri"/>
          <w:szCs w:val="21"/>
          <w:lang w:eastAsia="zh-CN"/>
        </w:rPr>
      </w:pPr>
      <w:r>
        <w:rPr>
          <w:rFonts w:ascii="宋体" w:hAnsi="Calibri"/>
          <w:szCs w:val="21"/>
          <w:highlight w:val="white"/>
          <w:lang w:eastAsia="zh-CN"/>
        </w:rPr>
        <w:t>（5）提议召开或召集基金份额持有人大会；</w:t>
      </w:r>
    </w:p>
    <w:p w:rsidR="002B1026">
      <w:pPr>
        <w:spacing w:line="360" w:lineRule="auto"/>
        <w:ind w:firstLine="420"/>
        <w:rPr>
          <w:rFonts w:ascii="宋体" w:hAnsi="Calibri"/>
          <w:szCs w:val="21"/>
          <w:lang w:eastAsia="zh-CN"/>
        </w:rPr>
      </w:pPr>
      <w:r>
        <w:rPr>
          <w:rFonts w:ascii="宋体" w:hAnsi="Calibri"/>
          <w:szCs w:val="21"/>
          <w:highlight w:val="white"/>
          <w:lang w:eastAsia="zh-CN"/>
        </w:rPr>
        <w:t>（6）在基金管理人更换时，提名新的基金管理人；</w:t>
      </w:r>
    </w:p>
    <w:p w:rsidR="002B1026">
      <w:pPr>
        <w:spacing w:line="360" w:lineRule="auto"/>
        <w:ind w:firstLine="420"/>
        <w:rPr>
          <w:rFonts w:ascii="宋体" w:hAnsi="Calibri"/>
          <w:szCs w:val="21"/>
          <w:lang w:eastAsia="zh-CN"/>
        </w:rPr>
      </w:pPr>
      <w:r>
        <w:rPr>
          <w:rFonts w:ascii="宋体" w:hAnsi="Calibri"/>
          <w:szCs w:val="21"/>
          <w:highlight w:val="white"/>
          <w:lang w:eastAsia="zh-CN"/>
        </w:rPr>
        <w:t>（7）法律法规及中国证监会规定的和《基金合同》约定的其他权利。</w:t>
      </w:r>
    </w:p>
    <w:p w:rsidR="002B1026">
      <w:pPr>
        <w:spacing w:line="360" w:lineRule="auto"/>
        <w:ind w:firstLine="420"/>
        <w:rPr>
          <w:rFonts w:ascii="宋体" w:hAnsi="Calibri"/>
          <w:szCs w:val="21"/>
          <w:lang w:eastAsia="zh-CN"/>
        </w:rPr>
      </w:pPr>
      <w:r>
        <w:rPr>
          <w:rFonts w:ascii="宋体" w:hAnsi="Calibri"/>
          <w:szCs w:val="21"/>
          <w:highlight w:val="white"/>
          <w:lang w:eastAsia="zh-CN"/>
        </w:rPr>
        <w:t>2、根据《基金法》、《运作办法》及其他有关规定，基金托管人的义务包括但不限于：</w:t>
      </w:r>
    </w:p>
    <w:p w:rsidR="002B1026">
      <w:pPr>
        <w:spacing w:line="360" w:lineRule="auto"/>
        <w:ind w:firstLine="420"/>
        <w:rPr>
          <w:rFonts w:ascii="宋体" w:hAnsi="Calibri"/>
          <w:szCs w:val="21"/>
          <w:lang w:eastAsia="zh-CN"/>
        </w:rPr>
      </w:pPr>
      <w:r>
        <w:rPr>
          <w:rFonts w:ascii="宋体" w:hAnsi="Calibri"/>
          <w:szCs w:val="21"/>
          <w:highlight w:val="white"/>
          <w:lang w:eastAsia="zh-CN"/>
        </w:rPr>
        <w:t>（1）以诚实信用、勤勉尽责的原则持有并安全保管基金财产；</w:t>
      </w:r>
    </w:p>
    <w:p w:rsidR="002B1026">
      <w:pPr>
        <w:spacing w:line="360" w:lineRule="auto"/>
        <w:ind w:firstLine="420"/>
        <w:rPr>
          <w:rFonts w:ascii="宋体" w:hAnsi="Calibri"/>
          <w:szCs w:val="21"/>
          <w:lang w:eastAsia="zh-CN"/>
        </w:rPr>
      </w:pPr>
      <w:r>
        <w:rPr>
          <w:rFonts w:ascii="宋体" w:hAnsi="Calibri"/>
          <w:szCs w:val="21"/>
          <w:highlight w:val="white"/>
          <w:lang w:eastAsia="zh-CN"/>
        </w:rPr>
        <w:t>（2）设立专门的基金托管部门，具有符合要求的营业场所，配备足够的、合格的熟悉基金托管业务的专职人员，负责基金财产托管事宜；</w:t>
      </w:r>
    </w:p>
    <w:p w:rsidR="002B1026">
      <w:pPr>
        <w:spacing w:line="360" w:lineRule="auto"/>
        <w:ind w:firstLine="420"/>
        <w:rPr>
          <w:rFonts w:ascii="宋体" w:hAnsi="Calibri"/>
          <w:szCs w:val="21"/>
          <w:lang w:eastAsia="zh-CN"/>
        </w:rPr>
      </w:pPr>
      <w:r>
        <w:rPr>
          <w:rFonts w:ascii="宋体" w:hAnsi="Calibri"/>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B1026">
      <w:pPr>
        <w:spacing w:line="360" w:lineRule="auto"/>
        <w:ind w:firstLine="420"/>
        <w:rPr>
          <w:rFonts w:ascii="宋体" w:hAnsi="Calibri"/>
          <w:szCs w:val="21"/>
          <w:lang w:eastAsia="zh-CN"/>
        </w:rPr>
      </w:pPr>
      <w:r>
        <w:rPr>
          <w:rFonts w:ascii="宋体" w:hAnsi="Calibri"/>
          <w:szCs w:val="21"/>
          <w:highlight w:val="white"/>
          <w:lang w:eastAsia="zh-CN"/>
        </w:rPr>
        <w:t>（4）除依据《基金法》、《基金合同》及其他有关规定外，不得利用基金财产为自己及任何第三人谋取利益，不得委托第三人托管基金财产；</w:t>
      </w:r>
    </w:p>
    <w:p w:rsidR="002B1026">
      <w:pPr>
        <w:spacing w:line="360" w:lineRule="auto"/>
        <w:ind w:firstLine="420"/>
        <w:rPr>
          <w:rFonts w:ascii="宋体" w:hAnsi="Calibri"/>
          <w:szCs w:val="21"/>
          <w:lang w:eastAsia="zh-CN"/>
        </w:rPr>
      </w:pPr>
      <w:r>
        <w:rPr>
          <w:rFonts w:ascii="宋体" w:hAnsi="Calibri"/>
          <w:szCs w:val="21"/>
          <w:highlight w:val="white"/>
          <w:lang w:eastAsia="zh-CN"/>
        </w:rPr>
        <w:t>（5）保管由基金管理人代表基金签订的与基金有关的重大合同及有关凭证；</w:t>
      </w:r>
    </w:p>
    <w:p w:rsidR="002B1026">
      <w:pPr>
        <w:spacing w:line="360" w:lineRule="auto"/>
        <w:ind w:firstLine="420"/>
        <w:rPr>
          <w:rFonts w:ascii="宋体" w:hAnsi="Calibri"/>
          <w:szCs w:val="21"/>
          <w:lang w:eastAsia="zh-CN"/>
        </w:rPr>
      </w:pPr>
      <w:r>
        <w:rPr>
          <w:rFonts w:ascii="宋体" w:hAnsi="Calibri"/>
          <w:szCs w:val="21"/>
          <w:highlight w:val="white"/>
          <w:lang w:eastAsia="zh-CN"/>
        </w:rPr>
        <w:t>（6）按规定开设基金财产的资金账户和证券账户等投资所需账户，按照《基金合同》的约定，根据基金管理人的投资指令，及时办理清算、交割事宜；</w:t>
      </w:r>
    </w:p>
    <w:p w:rsidR="002B1026">
      <w:pPr>
        <w:spacing w:line="360" w:lineRule="auto"/>
        <w:ind w:firstLine="420"/>
        <w:rPr>
          <w:rFonts w:ascii="宋体" w:hAnsi="Calibri"/>
          <w:szCs w:val="21"/>
          <w:lang w:eastAsia="zh-CN"/>
        </w:rPr>
      </w:pPr>
      <w:r>
        <w:rPr>
          <w:rFonts w:ascii="宋体" w:hAnsi="Calibri"/>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2B1026">
      <w:pPr>
        <w:spacing w:line="360" w:lineRule="auto"/>
        <w:ind w:firstLine="420"/>
        <w:rPr>
          <w:rFonts w:ascii="宋体" w:hAnsi="Calibri"/>
          <w:szCs w:val="21"/>
          <w:lang w:eastAsia="zh-CN"/>
        </w:rPr>
      </w:pPr>
      <w:r>
        <w:rPr>
          <w:rFonts w:ascii="宋体" w:hAnsi="Calibri"/>
          <w:szCs w:val="21"/>
          <w:highlight w:val="white"/>
          <w:lang w:eastAsia="zh-CN"/>
        </w:rPr>
        <w:t>（8）复核、审查基金管理人计算的基金资产净值、基金份额净值、基金份额申购、赎回价格；</w:t>
      </w:r>
    </w:p>
    <w:p w:rsidR="002B1026">
      <w:pPr>
        <w:spacing w:line="360" w:lineRule="auto"/>
        <w:ind w:firstLine="420"/>
        <w:rPr>
          <w:rFonts w:ascii="宋体" w:hAnsi="Calibri"/>
          <w:szCs w:val="21"/>
          <w:lang w:eastAsia="zh-CN"/>
        </w:rPr>
      </w:pPr>
      <w:r>
        <w:rPr>
          <w:rFonts w:ascii="宋体" w:hAnsi="Calibri"/>
          <w:szCs w:val="21"/>
          <w:highlight w:val="white"/>
          <w:lang w:eastAsia="zh-CN"/>
        </w:rPr>
        <w:t>（9）办理与基金托管业务活动有关的信息披露事项；</w:t>
      </w:r>
    </w:p>
    <w:p w:rsidR="002B1026">
      <w:pPr>
        <w:spacing w:line="360" w:lineRule="auto"/>
        <w:ind w:firstLine="420"/>
        <w:rPr>
          <w:rFonts w:ascii="宋体" w:hAnsi="Calibri"/>
          <w:szCs w:val="21"/>
          <w:lang w:eastAsia="zh-CN"/>
        </w:rPr>
      </w:pPr>
      <w:r>
        <w:rPr>
          <w:rFonts w:ascii="宋体" w:hAnsi="Calibri"/>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2B1026">
      <w:pPr>
        <w:spacing w:line="360" w:lineRule="auto"/>
        <w:ind w:firstLine="420"/>
        <w:rPr>
          <w:rFonts w:ascii="宋体" w:hAnsi="Calibri"/>
          <w:szCs w:val="21"/>
          <w:lang w:eastAsia="zh-CN"/>
        </w:rPr>
      </w:pPr>
      <w:r>
        <w:rPr>
          <w:rFonts w:ascii="宋体" w:hAnsi="Calibri"/>
          <w:szCs w:val="21"/>
          <w:highlight w:val="white"/>
          <w:lang w:eastAsia="zh-CN"/>
        </w:rPr>
        <w:t>（11）保存基金托管业务活动的记录、账册、报表和其他相关资料20年以上；</w:t>
      </w:r>
    </w:p>
    <w:p w:rsidR="002B1026">
      <w:pPr>
        <w:spacing w:line="360" w:lineRule="auto"/>
        <w:ind w:firstLine="420"/>
        <w:rPr>
          <w:rFonts w:ascii="宋体" w:hAnsi="Calibri"/>
          <w:szCs w:val="21"/>
          <w:lang w:eastAsia="zh-CN"/>
        </w:rPr>
      </w:pPr>
      <w:r>
        <w:rPr>
          <w:rFonts w:ascii="宋体" w:hAnsi="Calibri"/>
          <w:szCs w:val="21"/>
          <w:highlight w:val="white"/>
          <w:lang w:eastAsia="zh-CN"/>
        </w:rPr>
        <w:t>（12）建立并保存基金份额持有人名册；</w:t>
      </w:r>
    </w:p>
    <w:p w:rsidR="002B1026">
      <w:pPr>
        <w:spacing w:line="360" w:lineRule="auto"/>
        <w:ind w:firstLine="420"/>
        <w:rPr>
          <w:rFonts w:ascii="宋体" w:hAnsi="Calibri"/>
          <w:szCs w:val="21"/>
          <w:lang w:eastAsia="zh-CN"/>
        </w:rPr>
      </w:pPr>
      <w:r>
        <w:rPr>
          <w:rFonts w:ascii="宋体" w:hAnsi="Calibri"/>
          <w:szCs w:val="21"/>
          <w:highlight w:val="white"/>
          <w:lang w:eastAsia="zh-CN"/>
        </w:rPr>
        <w:t>（13）按规定制作相关账册并与基金管理人核对；</w:t>
      </w:r>
    </w:p>
    <w:p w:rsidR="002B1026">
      <w:pPr>
        <w:spacing w:line="360" w:lineRule="auto"/>
        <w:ind w:firstLine="420"/>
        <w:rPr>
          <w:rFonts w:ascii="宋体" w:hAnsi="Calibri"/>
          <w:szCs w:val="21"/>
          <w:lang w:eastAsia="zh-CN"/>
        </w:rPr>
      </w:pPr>
      <w:r>
        <w:rPr>
          <w:rFonts w:ascii="宋体" w:hAnsi="Calibri"/>
          <w:szCs w:val="21"/>
          <w:highlight w:val="white"/>
          <w:lang w:eastAsia="zh-CN"/>
        </w:rPr>
        <w:t>（14）依据基金管理人的指令或有关规定向基金份额持有人支付基金收益和赎回款项；</w:t>
      </w:r>
    </w:p>
    <w:p w:rsidR="002B1026">
      <w:pPr>
        <w:spacing w:line="360" w:lineRule="auto"/>
        <w:ind w:firstLine="420"/>
        <w:rPr>
          <w:rFonts w:ascii="宋体" w:hAnsi="Calibri"/>
          <w:szCs w:val="21"/>
          <w:lang w:eastAsia="zh-CN"/>
        </w:rPr>
      </w:pPr>
      <w:r>
        <w:rPr>
          <w:rFonts w:ascii="宋体" w:hAnsi="Calibri"/>
          <w:szCs w:val="21"/>
          <w:highlight w:val="white"/>
          <w:lang w:eastAsia="zh-CN"/>
        </w:rPr>
        <w:t>（15）依据《基金法》、《基金合同》及其他有关规定，召集基金份额持有人大会或配合基金管理人、基金份额持有人依法召集基金份额持有人大会；</w:t>
      </w:r>
    </w:p>
    <w:p w:rsidR="002B1026">
      <w:pPr>
        <w:spacing w:line="360" w:lineRule="auto"/>
        <w:ind w:firstLine="420"/>
        <w:rPr>
          <w:rFonts w:ascii="宋体" w:hAnsi="Calibri"/>
          <w:szCs w:val="21"/>
          <w:lang w:eastAsia="zh-CN"/>
        </w:rPr>
      </w:pPr>
      <w:r>
        <w:rPr>
          <w:rFonts w:ascii="宋体" w:hAnsi="Calibri"/>
          <w:szCs w:val="21"/>
          <w:highlight w:val="white"/>
          <w:lang w:eastAsia="zh-CN"/>
        </w:rPr>
        <w:t>（16）按照法律法规和《基金合同》的规定监督基金管理人的投资运作；</w:t>
      </w:r>
    </w:p>
    <w:p w:rsidR="002B1026">
      <w:pPr>
        <w:spacing w:line="360" w:lineRule="auto"/>
        <w:ind w:firstLine="420"/>
        <w:rPr>
          <w:rFonts w:ascii="宋体" w:hAnsi="Calibri"/>
          <w:szCs w:val="21"/>
          <w:lang w:eastAsia="zh-CN"/>
        </w:rPr>
      </w:pPr>
      <w:r>
        <w:rPr>
          <w:rFonts w:ascii="宋体" w:hAnsi="Calibri"/>
          <w:szCs w:val="21"/>
          <w:highlight w:val="white"/>
          <w:lang w:eastAsia="zh-CN"/>
        </w:rPr>
        <w:t>（17）参加基金财产清算小组，参与基金财产的保管、清理、估价、变现和分配；</w:t>
      </w:r>
    </w:p>
    <w:p w:rsidR="002B1026">
      <w:pPr>
        <w:spacing w:line="360" w:lineRule="auto"/>
        <w:ind w:firstLine="420"/>
        <w:rPr>
          <w:rFonts w:ascii="宋体" w:hAnsi="Calibri"/>
          <w:szCs w:val="21"/>
          <w:lang w:eastAsia="zh-CN"/>
        </w:rPr>
      </w:pPr>
      <w:r>
        <w:rPr>
          <w:rFonts w:ascii="宋体" w:hAnsi="Calibri"/>
          <w:szCs w:val="21"/>
          <w:highlight w:val="white"/>
          <w:lang w:eastAsia="zh-CN"/>
        </w:rPr>
        <w:t>（18）面临解散、依法被撤销或者被依法宣告破产时，及时报告中国证监会和银行监管机构，并通知基金管理人；</w:t>
      </w:r>
    </w:p>
    <w:p w:rsidR="002B1026">
      <w:pPr>
        <w:spacing w:line="360" w:lineRule="auto"/>
        <w:ind w:firstLine="420"/>
        <w:rPr>
          <w:rFonts w:ascii="宋体" w:hAnsi="Calibri"/>
          <w:szCs w:val="21"/>
          <w:lang w:eastAsia="zh-CN"/>
        </w:rPr>
      </w:pPr>
      <w:r>
        <w:rPr>
          <w:rFonts w:ascii="宋体" w:hAnsi="Calibri"/>
          <w:szCs w:val="21"/>
          <w:highlight w:val="white"/>
          <w:lang w:eastAsia="zh-CN"/>
        </w:rPr>
        <w:t>（19）因违反《基金合同》导致基金财产损失时，应承担赔偿责任，其赔偿责任不因其退任而免除；</w:t>
      </w:r>
    </w:p>
    <w:p w:rsidR="002B1026">
      <w:pPr>
        <w:spacing w:line="360" w:lineRule="auto"/>
        <w:ind w:firstLine="420"/>
        <w:rPr>
          <w:rFonts w:ascii="宋体" w:hAnsi="Calibri"/>
          <w:szCs w:val="21"/>
          <w:lang w:eastAsia="zh-CN"/>
        </w:rPr>
      </w:pPr>
      <w:r>
        <w:rPr>
          <w:rFonts w:ascii="宋体" w:hAnsi="Calibri"/>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2B1026">
      <w:pPr>
        <w:spacing w:line="360" w:lineRule="auto"/>
        <w:ind w:firstLine="420"/>
        <w:rPr>
          <w:rFonts w:ascii="宋体" w:hAnsi="Calibri"/>
          <w:szCs w:val="21"/>
          <w:lang w:eastAsia="zh-CN"/>
        </w:rPr>
      </w:pPr>
      <w:r>
        <w:rPr>
          <w:rFonts w:ascii="宋体" w:hAnsi="Calibri"/>
          <w:szCs w:val="21"/>
          <w:highlight w:val="white"/>
          <w:lang w:eastAsia="zh-CN"/>
        </w:rPr>
        <w:t>（21）执行生效的基金份额持有人大会的决议；</w:t>
      </w:r>
    </w:p>
    <w:p w:rsidR="002B1026">
      <w:pPr>
        <w:spacing w:line="360" w:lineRule="auto"/>
        <w:ind w:firstLine="420"/>
        <w:rPr>
          <w:rFonts w:ascii="宋体" w:hAnsi="Calibri"/>
          <w:szCs w:val="21"/>
          <w:lang w:eastAsia="zh-CN"/>
        </w:rPr>
      </w:pPr>
      <w:r>
        <w:rPr>
          <w:rFonts w:ascii="宋体" w:hAnsi="Calibri"/>
          <w:szCs w:val="21"/>
          <w:highlight w:val="white"/>
          <w:lang w:eastAsia="zh-CN"/>
        </w:rPr>
        <w:t>（22）法律法规及中国证监会规定的和《基金合同》约定的其他义务。</w:t>
      </w:r>
    </w:p>
    <w:p w:rsidR="002B1026">
      <w:pPr>
        <w:spacing w:line="360" w:lineRule="auto"/>
        <w:ind w:firstLine="420"/>
        <w:rPr>
          <w:rFonts w:ascii="宋体" w:hAnsi="Calibri"/>
          <w:szCs w:val="21"/>
          <w:lang w:eastAsia="zh-CN"/>
        </w:rPr>
      </w:pPr>
    </w:p>
    <w:p w:rsidR="002B1026">
      <w:pPr>
        <w:spacing w:line="360" w:lineRule="auto"/>
        <w:ind w:firstLine="420"/>
        <w:rPr>
          <w:rFonts w:ascii="宋体" w:hAnsi="Calibri"/>
          <w:szCs w:val="21"/>
          <w:lang w:eastAsia="zh-CN"/>
        </w:rPr>
      </w:pPr>
      <w:bookmarkStart w:id="1860" w:name="_Toc516750718"/>
      <w:r>
        <w:rPr>
          <w:rFonts w:ascii="宋体" w:hAnsi="Calibri" w:hint="eastAsia"/>
          <w:szCs w:val="21"/>
          <w:highlight w:val="white"/>
          <w:lang w:eastAsia="zh-CN"/>
        </w:rPr>
        <w:t>第二节 基金份额持有人大会召集、议事及表决的程序和规则</w:t>
      </w:r>
      <w:bookmarkEnd w:id="1860"/>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本基金份额持有人大会不设日常机构。</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本基金持有基金召开基金份额持有人大会时，在遵循本基金份额持有人利益优先原则的前提下，本基金的基金管理人在事先征求基金托管人的意见后可直接参加该基金份额持有人大会并行使相关投票权利，无需事先召开本基金的基金份额持有人大会。基金投资者持有本基金基金份额的行为即视为同意本基金管理人参与本基金所持基金的基金份额持有人大会并行使相关投票权利。法律法规另有规定的从其规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一、召开事由</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1、除法律法规、中国证监会和基金合同另有规定外，当出现或需要决定下列事由之一的，应当召开基金份额持有人大会：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（1）终止《基金合同》；</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（2）更换基金管理人；</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（3）更换基金托管人；</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（4）转换基金运作方式；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（5）调整基金管理人、基金托管人的报酬标准；</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（6）变更基金类别；</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（7）本基金与其他基金的合并；</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（8）变更基金投资目标、范围或策略；</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（9）变更基金份额持有人大会程序；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（10）基金管理人或基金托管人要求召开基金份额持有人大会；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（12）对基金合同当事人权利和义务产生重大影响的其他事项；</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（13）法律法规、《基金合同》或中国证监会规定的其他应当召开基金份额持有人大会的事项。</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（1）调低销售服务费率；</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（2）法律法规要求增加的基金费用的收取；</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（3）在法律法规和《基金合同》规定的范围内，调整本基金的申购费率、收费方式或基金份额类别设置；</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（4）因相应的法律法规发生变动而应当对《基金合同》进行修改；</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（5）对《基金合同》的修改对基金份额持有人利益无实质性不利影响或修改不涉及《基金合同》当事人权利义务关系发生重大变化；</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（6）基金管理人、销售机构、登记机构在法律法规规定的范围内调整有关基金认购、申购、赎回、转换、基金交易、非交易过户、转托管、转让、质押等业务的规则；</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（7）在法律法规或中国证监会允许的范围内推出新业务或服务；</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（8）按照法律法规和《基金合同》规定不需召开基金份额持有人大会的其他情形。</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二、会议召集人及召集方式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1、除法律法规规定或《基金合同》另有约定外，基金份额持有人大会由基金管理人召集。</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2、基金管理人未按规定召集或不能召开时，由基金托管人召集。</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6、基金份额持有人会议的召集人负责选择确定开会时间、地点、方式和权益登记日。</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三、召开基金份额持有人大会的通知时间、通知内容、通知方式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1、召开基金份额持有人大会，召集人应于会议召开前30日，在规定媒介公告。基金份额持有人大会通知应至少载明以下内容：</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（1）会议召开的时间、地点和会议形式；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（2）会议拟审议的事项、议事程序和表决方式；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（3）有权出席基金份额持有人大会的基金份额持有人的权益登记日；</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（4）授权委托证明的内容要求（包括但不限于代理人身份，代理权限和代理有效期限等）、送达时间和地点；</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（5）会务常设联系人姓名及联系电话；</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（6）出席会议者必须准备的文件和必须履行的手续；</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（7）召集人需要通知的其他事项。</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四、基金份额持有人出席会议的方式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基金份额持有人大会可通过现场开会方式、通讯开会方式或法律法规、监管机构允许的其他方式召开，会议的召开方式由会议召集人确定。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（1）亲自出席会议者持有的有关证明文件、受托出席会议者出示的委托人的代理投票授权委托证明及有关证明文件符合法律法规、《基金合同》和会议通知的规定；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在同时符合以下条件时，通讯开会的方式视为有效：</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（1）会议召集人按《基金合同》约定公布会议通知后，在2个工作日内连续公布相关提示性公告；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4、基金份额持有人授权他人代为出席会议并表决的，授权方式可以采用书面、网络、电话、短信或其他方式，具体方式由会议召集人确定并在会议通知中列明。</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五、议事内容与程序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1、议事内容及提案权</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基金份额持有人大会的召集人发出召集会议的通知后，对原有提案的修改应当在基金份额持有人大会召开前及时公告。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基金份额持有人大会不得对未事先公告的议事内容进行表决。</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2、议事程序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（1）现场开会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（2）通讯开会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六、表决</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基金份额持有人所持每份基金份额有一票表决权。</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基金份额持有人大会决议分为一般决议和特别决议：</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基金份额持有人大会采取记名方式进行投票表决。</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基金份额持有人大会的各项提案或同一项提案内并列的各项议题应当分开审议、逐项表决。</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七、计票</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1、现场开会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（2）监票人应当在基金份额持有人表决后立即进行清点并由大会主持人当场公布计票结果。</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（4）计票过程应由公证机关予以公证，基金管理人或基金托管人拒不出席大会的，不影响计票的效力。</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2、通讯开会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八、生效与公告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基金份额持有人大会的决议，召集人应当自通过之日起5日内报中国证监会备案。</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基金份额持有人大会的决议自表决通过之日起生效。</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基金份额持有人大会决议自生效之日起2日内在规定媒介上公告。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九、实施侧袋机制期间基金份额持有人大会的特殊约定</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1、基金份额持有人行使提议权、召集权、提名权所需单独或合计代表相关基金份额10%以上（含10%）；</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2、现场开会的到会者在权益登记日代表的基金份额不少于本基金在权益登记日相关基金份额的二分之一（含二分之一）；</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3、通讯开会的直接出具书面意见或授权他人代表出具书面意见的基金份额持有人所持有的基金份额不小于在权益登记日相关基金份额的二分之一（含二分之一）；</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5、现场开会由出席大会的基金份额持有人和代理人所持表决权的50%以上（含50%）选举产生一名基金份额持有人作为该次基金份额持有人大会的主持人；</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6、一般决议须经参加大会的基金份额持有人或其代理人所持表决权的二分之一以上（含二分之一）通过；</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7、特别决议应当经参加大会的基金份额持有人或其代理人所持表决权的三分之二以上（含三分之二）通过。</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同一主侧袋账户内的每份基金份额具有平等的表决权。</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十、本基金持有的基金召开基金份额持有人大会时，本基金的基金管理人应当代表其基金份额持有人的利益，根据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十一、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2B1026">
      <w:pPr>
        <w:spacing w:line="360" w:lineRule="auto"/>
        <w:ind w:firstLine="420"/>
        <w:rPr>
          <w:rFonts w:ascii="宋体" w:hAnsi="Calibri"/>
          <w:szCs w:val="21"/>
          <w:lang w:eastAsia="zh-CN"/>
        </w:rPr>
      </w:pPr>
    </w:p>
    <w:p w:rsidR="002B1026">
      <w:pPr>
        <w:spacing w:line="360" w:lineRule="auto"/>
        <w:ind w:firstLine="420"/>
        <w:rPr>
          <w:rFonts w:ascii="宋体" w:hAnsi="Calibri"/>
          <w:szCs w:val="21"/>
          <w:lang w:eastAsia="zh-CN"/>
        </w:rPr>
      </w:pPr>
      <w:r>
        <w:rPr>
          <w:rFonts w:ascii="宋体" w:hAnsi="Calibri"/>
          <w:highlight w:val="white"/>
          <w:lang w:eastAsia="zh-CN"/>
        </w:rPr>
        <w:t>第</w:t>
      </w:r>
      <w:bookmarkStart w:id="1861" w:name="_Hlt88820702"/>
      <w:bookmarkEnd w:id="1861"/>
      <w:r>
        <w:rPr>
          <w:rFonts w:ascii="宋体" w:hAnsi="Calibri" w:hint="eastAsia"/>
          <w:szCs w:val="21"/>
          <w:highlight w:val="white"/>
          <w:lang w:eastAsia="zh-CN"/>
        </w:rPr>
        <w:t>三节 基金合同解除和终止的事由、程序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一、《基金合同》的变更</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2、关于《基金合同》变更的基金份额持有人大会决议自生效后方可执行，自决议生效后两日内在规定媒介公告。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二、《基金合同》的终止事由</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有下列情形之一的，经履行相关程序后，《基金合同》应当终止：</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1、基金份额持有人大会决定终止的；</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2、基金管理人、基金托管人职责终止，在6个月内没有新基金管理人、新基金托管人承接的；</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3、《基金合同》约定的其他情形；</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4、相关法律法规和中国证监会规定的其他情况。</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三、基金财产的清算</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3、基金财产清算小组职责：基金财产清算小组负责基金财产的保管、清理、估价、变现和分配。基金财产清算小组可以依法进行必要的民事活动。</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4、基金财产清算程序：</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（1）《基金合同》终止情形出现时，由基金财产清算小组统一接管基金；</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（2）对基金财产和债权债务进行清理和确认；</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（3）对基金财产进行估值和变现；</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（4）制作清算报告；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（5）聘请会计师事务所对清算报告进行外部审计，聘请律师事务所对清算报告出具法律意见书；</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（6）将清算报告报中国证监会备案并公告；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（7）对基金剩余财产进行分配。</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5、基金财产清算的期限为6个月，但因本基金所持证券的流动性受到限制而不能及时变现的，清算期限相应顺延。</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四、清算费用</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清算费用是指基金财产清算小组在进行基金清算过程中发生的所有合理费用，清算费用由基金财产清算小组优先从基金财产中支付。</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五、基金财产清算剩余资产的分配</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Calibri" w:hint="eastAsia"/>
          <w:szCs w:val="21"/>
          <w:lang w:eastAsia="zh-CN"/>
        </w:rPr>
        <w:t>分配金额需加上返还基金份额持有人的销售服务费（如有）。</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六、基金财产清算的公告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七、基金财产清算账册及文件的保存</w:t>
      </w:r>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基金财产清算账册及有关文件由基金托管人保存20年以上。</w:t>
      </w:r>
    </w:p>
    <w:p w:rsidR="002B1026">
      <w:pPr>
        <w:spacing w:line="360" w:lineRule="auto"/>
        <w:ind w:firstLine="420"/>
        <w:rPr>
          <w:rFonts w:ascii="宋体" w:hAnsi="Calibri"/>
          <w:szCs w:val="21"/>
          <w:lang w:eastAsia="zh-CN"/>
        </w:rPr>
      </w:pPr>
    </w:p>
    <w:p w:rsidR="002B1026">
      <w:pPr>
        <w:spacing w:line="360" w:lineRule="auto"/>
        <w:ind w:firstLine="420"/>
        <w:rPr>
          <w:rFonts w:ascii="宋体" w:hAnsi="Calibri"/>
          <w:szCs w:val="21"/>
          <w:lang w:eastAsia="zh-CN"/>
        </w:rPr>
      </w:pPr>
      <w:r>
        <w:rPr>
          <w:rFonts w:ascii="宋体" w:hAnsi="Calibri"/>
          <w:szCs w:val="21"/>
          <w:highlight w:val="white"/>
          <w:lang w:eastAsia="zh-CN"/>
        </w:rPr>
        <w:t>第</w:t>
      </w:r>
      <w:bookmarkStart w:id="1862" w:name="_Toc516750735"/>
      <w:r>
        <w:rPr>
          <w:rFonts w:ascii="宋体" w:hAnsi="Calibri" w:hint="eastAsia"/>
          <w:szCs w:val="21"/>
          <w:highlight w:val="white"/>
          <w:lang w:eastAsia="zh-CN"/>
        </w:rPr>
        <w:t>四节 争议解决方式</w:t>
      </w:r>
      <w:bookmarkEnd w:id="1862"/>
    </w:p>
    <w:p w:rsidR="002B1026">
      <w:pPr>
        <w:spacing w:line="360" w:lineRule="auto"/>
        <w:ind w:firstLine="480"/>
        <w:rPr>
          <w:rFonts w:ascii="宋体" w:hAnsi="Calibri"/>
          <w:b/>
          <w:szCs w:val="21"/>
          <w:lang w:eastAsia="zh-CN"/>
        </w:rPr>
      </w:pPr>
      <w:r>
        <w:rPr>
          <w:rFonts w:ascii="宋体" w:hAnsi="Calibri" w:hint="eastAsia"/>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2B1026" w:rsidRPr="009D260E">
      <w:pPr>
        <w:spacing w:line="360" w:lineRule="auto"/>
        <w:ind w:firstLine="480"/>
        <w:rPr>
          <w:rFonts w:ascii="宋体" w:hAnsi="Calibri"/>
          <w:b w:val="0"/>
          <w:szCs w:val="21"/>
          <w:lang w:eastAsia="zh-CN"/>
        </w:rPr>
      </w:pPr>
      <w:r w:rsidRPr="009D260E">
        <w:rPr>
          <w:rFonts w:ascii="宋体" w:hAnsi="Calibri" w:hint="eastAsia"/>
          <w:b w:val="0"/>
          <w:szCs w:val="21"/>
          <w:highlight w:val="white"/>
          <w:lang w:eastAsia="zh-CN"/>
        </w:rPr>
        <w:t>争议处理期间，基金合同当事人应恪守各自的职责，继续忠实、勤勉、尽责地履行基金合同规定的义务，维护基金份额持有人的合法权益。</w:t>
      </w:r>
    </w:p>
    <w:p w:rsidR="002B1026" w:rsidRPr="009D260E">
      <w:pPr>
        <w:spacing w:line="360" w:lineRule="auto"/>
        <w:ind w:firstLine="480"/>
        <w:rPr>
          <w:rFonts w:ascii="宋体" w:hAnsi="Calibri"/>
          <w:b w:val="0"/>
          <w:szCs w:val="21"/>
          <w:lang w:eastAsia="zh-CN"/>
        </w:rPr>
      </w:pPr>
      <w:r w:rsidRPr="009D260E">
        <w:rPr>
          <w:rFonts w:ascii="宋体" w:hAnsi="Calibri" w:hint="eastAsia"/>
          <w:b w:val="0"/>
          <w:szCs w:val="21"/>
          <w:highlight w:val="white"/>
          <w:lang w:eastAsia="zh-CN"/>
        </w:rPr>
        <w:t>《基金合同》受中国法律管辖。</w:t>
      </w:r>
    </w:p>
    <w:p w:rsidR="002B1026">
      <w:pPr>
        <w:spacing w:line="360" w:lineRule="auto"/>
        <w:ind w:firstLine="420"/>
        <w:rPr>
          <w:rFonts w:ascii="宋体" w:hAnsi="Calibri"/>
          <w:szCs w:val="21"/>
          <w:lang w:eastAsia="zh-CN"/>
        </w:rPr>
      </w:pPr>
    </w:p>
    <w:p w:rsidR="002B1026">
      <w:pPr>
        <w:spacing w:line="360" w:lineRule="auto"/>
        <w:ind w:firstLine="420"/>
        <w:rPr>
          <w:rFonts w:ascii="宋体" w:hAnsi="Calibri"/>
          <w:szCs w:val="21"/>
          <w:lang w:eastAsia="zh-CN"/>
        </w:rPr>
      </w:pPr>
      <w:r>
        <w:rPr>
          <w:rFonts w:ascii="宋体" w:hAnsi="Calibri"/>
          <w:highlight w:val="white"/>
          <w:lang w:eastAsia="zh-CN"/>
        </w:rPr>
        <w:t>第</w:t>
      </w:r>
      <w:bookmarkStart w:id="1863" w:name="_Toc516750736"/>
      <w:r>
        <w:rPr>
          <w:rFonts w:ascii="宋体" w:hAnsi="Calibri" w:hint="eastAsia"/>
          <w:szCs w:val="21"/>
          <w:highlight w:val="white"/>
          <w:lang w:eastAsia="zh-CN"/>
        </w:rPr>
        <w:t>五节 基金合同存放地和投资者取得基金合同的方式</w:t>
      </w:r>
      <w:bookmarkEnd w:id="1863"/>
    </w:p>
    <w:p w:rsidR="002B1026">
      <w:pPr>
        <w:spacing w:line="360" w:lineRule="auto"/>
        <w:ind w:firstLine="420"/>
        <w:rPr>
          <w:rFonts w:ascii="宋体" w:hAnsi="Calibri"/>
          <w:szCs w:val="21"/>
          <w:lang w:eastAsia="zh-CN"/>
        </w:rPr>
      </w:pPr>
      <w:r>
        <w:rPr>
          <w:rFonts w:ascii="宋体" w:hAnsi="Calibri" w:hint="eastAsia"/>
          <w:szCs w:val="21"/>
          <w:highlight w:val="white"/>
          <w:lang w:eastAsia="zh-CN"/>
        </w:rPr>
        <w:t>《基金合同》可印制成册，供投资者在基金管理人、基金托管人、销售机构的办公场所和营业场所查阅。</w:t>
      </w:r>
    </w:p>
    <w:p w:rsidR="002B1026">
      <w:pPr>
        <w:pStyle w:val="Heading1"/>
        <w:spacing w:before="317" w:after="317" w:line="360" w:lineRule="auto"/>
        <w:ind w:firstLine="420"/>
        <w:rPr>
          <w:rFonts w:ascii="宋体" w:eastAsia="宋体" w:hAnsi="Calibri"/>
          <w:sz w:val="30"/>
          <w:lang w:eastAsia="zh-CN"/>
        </w:rPr>
      </w:pPr>
      <w:bookmarkStart w:id="1864" w:name="_Toc332373589"/>
      <w:r>
        <w:rPr>
          <w:rFonts w:ascii="宋体" w:eastAsia="宋体" w:hAnsi="Calibri" w:hint="eastAsia"/>
          <w:bCs/>
          <w:sz w:val="21"/>
          <w:szCs w:val="21"/>
          <w:highlight w:val="white"/>
          <w:lang w:eastAsia="zh-CN"/>
        </w:rPr>
        <w:br w:type="page"/>
      </w:r>
      <w:bookmarkStart w:id="1865" w:name="_Toc227311258"/>
      <w:bookmarkEnd w:id="1864"/>
      <w:r>
        <w:rPr>
          <w:rFonts w:ascii="宋体" w:eastAsia="宋体" w:hAnsi="Calibri" w:hint="eastAsia"/>
          <w:sz w:val="30"/>
          <w:highlight w:val="white"/>
          <w:lang w:eastAsia="zh-CN"/>
        </w:rPr>
        <w:t>第二</w:t>
      </w:r>
      <w:bookmarkStart w:id="1866" w:name="_Toc332373590"/>
      <w:bookmarkStart w:id="1867" w:name="_Toc332374170"/>
      <w:r>
        <w:rPr>
          <w:rFonts w:ascii="宋体" w:eastAsia="宋体" w:hAnsi="Calibri" w:hint="eastAsia"/>
          <w:sz w:val="30"/>
          <w:highlight w:val="white"/>
          <w:lang w:eastAsia="zh-CN"/>
        </w:rPr>
        <w:t>十五</w:t>
      </w:r>
      <w:r>
        <w:rPr>
          <w:rFonts w:ascii="宋体" w:eastAsia="宋体" w:hAnsi="Calibri"/>
          <w:sz w:val="30"/>
          <w:highlight w:val="white"/>
          <w:lang w:eastAsia="zh-CN"/>
        </w:rPr>
        <w:t>部分</w:t>
      </w:r>
      <w:r>
        <w:rPr>
          <w:rFonts w:ascii="宋体" w:eastAsia="宋体" w:hAnsi="Calibri" w:hint="eastAsia"/>
          <w:sz w:val="30"/>
          <w:highlight w:val="white"/>
          <w:lang w:eastAsia="zh-CN"/>
        </w:rPr>
        <w:t xml:space="preserve"> 基金托管协议的内容摘要</w:t>
      </w:r>
      <w:bookmarkEnd w:id="1866"/>
      <w:bookmarkEnd w:id="1867"/>
      <w:bookmarkEnd w:id="1865"/>
    </w:p>
    <w:p w:rsidR="002B1026">
      <w:pPr>
        <w:spacing w:line="360" w:lineRule="auto"/>
        <w:ind w:firstLine="420"/>
        <w:rPr>
          <w:rFonts w:ascii="宋体" w:hAnsi="Calibri"/>
          <w:bCs/>
          <w:szCs w:val="21"/>
          <w:lang w:eastAsia="zh-CN"/>
        </w:rPr>
      </w:pPr>
      <w:r>
        <w:rPr>
          <w:rFonts w:ascii="宋体" w:hAnsi="Calibri"/>
          <w:bCs/>
          <w:szCs w:val="21"/>
          <w:highlight w:val="white"/>
          <w:lang w:eastAsia="zh-CN"/>
        </w:rPr>
        <w:t xml:space="preserve">第一节 </w:t>
      </w:r>
      <w:r>
        <w:rPr>
          <w:rFonts w:ascii="宋体" w:hAnsi="Calibri" w:hint="eastAsia"/>
          <w:bCs/>
          <w:szCs w:val="21"/>
          <w:highlight w:val="white"/>
          <w:lang w:eastAsia="zh-CN"/>
        </w:rPr>
        <w:t>托管协议当事人</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一、基金管理人：</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名称：易方达基金管理有限公司</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住所：广东省珠海市横琴新区荣粤道188号6层</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 xml:space="preserve">法定代表人：吴欣荣 </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设立日期：2001年4月17日</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批准设立机关及批准设立文号：中国证券监督管理委员会，证监基金字[2001]4号</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组织形式：有限责任公司</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注册资本：13,244.2万元人民币</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存续期限：持续经营</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联系电话：4008818088</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 xml:space="preserve"> 二、基金托管人：</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名称：中信银行股份有限公司</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住所：北京市朝阳区光华路10号院1号楼 6-30 层、32-42层</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法定代表人：方合英</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成立时间：1987年4月20日</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批准设立文号：中华人民共和国国务院办公厅国办函[1987]14号</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基金托管业务批准文号：中国证监会证监基字[2004]125号</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组织形式：股份有限公司</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注册资本：489.35亿元人民币</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存续期间：持续经营</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第二节 基金托管人对基金管理人的业务监督和核查</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一、基金托管人对基金管理人的投资行为行使监督权</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（一）基金托管人根据有关法律法规的规定和基金合同的约定，对下述基金投资范围、投资对象进行监督。本基金将投资于以下金融工具：</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本基金的投资范围包括经中国证监会依法核准或注册的基金（含QDII基金及香港互认基金、公开募集基础设施证券投资基金（以下简称</w:t>
      </w:r>
      <w:r>
        <w:rPr>
          <w:rFonts w:ascii="宋体" w:hAnsi="Calibri"/>
          <w:bCs/>
          <w:szCs w:val="21"/>
          <w:highlight w:val="white"/>
          <w:lang w:eastAsia="zh-CN"/>
        </w:rPr>
        <w:t>“</w:t>
      </w:r>
      <w:r>
        <w:rPr>
          <w:rFonts w:ascii="宋体" w:hAnsi="Calibri"/>
          <w:bCs/>
          <w:szCs w:val="21"/>
          <w:highlight w:val="white"/>
          <w:lang w:eastAsia="zh-CN"/>
        </w:rPr>
        <w:t>公募REITs</w:t>
      </w:r>
      <w:r>
        <w:rPr>
          <w:rFonts w:ascii="宋体" w:hAnsi="Calibri"/>
          <w:bCs/>
          <w:szCs w:val="21"/>
          <w:highlight w:val="white"/>
          <w:lang w:eastAsia="zh-CN"/>
        </w:rPr>
        <w:t>”</w:t>
      </w:r>
      <w:r>
        <w:rPr>
          <w:rFonts w:ascii="宋体" w:hAnsi="Calibri"/>
          <w:bCs/>
          <w:szCs w:val="21"/>
          <w:highlight w:val="white"/>
          <w:lang w:eastAsia="zh-CN"/>
        </w:rPr>
        <w:t>）、商品基金（包括商品期货基金和黄金ETF等））、国内依法发行上市的股票（包括创业板、科创板及其他依法发行上市的股票、存托凭证）、内地与香港股票市场交易互联互通机制允许买卖的香港证券市场股票和交易型开放式基金（以下分别简称</w:t>
      </w:r>
      <w:r>
        <w:rPr>
          <w:rFonts w:ascii="宋体" w:hAnsi="Calibri"/>
          <w:bCs/>
          <w:szCs w:val="21"/>
          <w:highlight w:val="white"/>
          <w:lang w:eastAsia="zh-CN"/>
        </w:rPr>
        <w:t>“</w:t>
      </w:r>
      <w:r>
        <w:rPr>
          <w:rFonts w:ascii="宋体" w:hAnsi="Calibri"/>
          <w:bCs/>
          <w:szCs w:val="21"/>
          <w:highlight w:val="white"/>
          <w:lang w:eastAsia="zh-CN"/>
        </w:rPr>
        <w:t>港股通股票</w:t>
      </w:r>
      <w:r>
        <w:rPr>
          <w:rFonts w:ascii="宋体" w:hAnsi="Calibri"/>
          <w:bCs/>
          <w:szCs w:val="21"/>
          <w:highlight w:val="white"/>
          <w:lang w:eastAsia="zh-CN"/>
        </w:rPr>
        <w:t>”</w:t>
      </w:r>
      <w:r>
        <w:rPr>
          <w:rFonts w:ascii="宋体" w:hAnsi="Calibri"/>
          <w:bCs/>
          <w:szCs w:val="21"/>
          <w:highlight w:val="white"/>
          <w:lang w:eastAsia="zh-CN"/>
        </w:rPr>
        <w:t>、</w:t>
      </w:r>
      <w:r>
        <w:rPr>
          <w:rFonts w:ascii="宋体" w:hAnsi="Calibri"/>
          <w:bCs/>
          <w:szCs w:val="21"/>
          <w:highlight w:val="white"/>
          <w:lang w:eastAsia="zh-CN"/>
        </w:rPr>
        <w:t>“</w:t>
      </w:r>
      <w:r>
        <w:rPr>
          <w:rFonts w:ascii="宋体" w:hAnsi="Calibri"/>
          <w:bCs/>
          <w:szCs w:val="21"/>
          <w:highlight w:val="white"/>
          <w:lang w:eastAsia="zh-CN"/>
        </w:rPr>
        <w:t>港股通ETF</w:t>
      </w:r>
      <w:r>
        <w:rPr>
          <w:rFonts w:ascii="宋体" w:hAnsi="Calibri"/>
          <w:bCs/>
          <w:szCs w:val="21"/>
          <w:highlight w:val="white"/>
          <w:lang w:eastAsia="zh-CN"/>
        </w:rPr>
        <w:t>”</w:t>
      </w:r>
      <w:r>
        <w:rPr>
          <w:rFonts w:ascii="宋体" w:hAnsi="Calibri"/>
          <w:bCs/>
          <w:szCs w:val="21"/>
          <w:highlight w:val="white"/>
          <w:lang w:eastAsia="zh-CN"/>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如法律法规或监管机构以后允许基金投资其他品种，基金管理人在履行适当程序后，本基金可以将其纳入投资范围。</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基金的投资组合比例为：本基金投资于经中国证监会依法核准或注册基金的资产不低于基金资产的80%，权益类资产占基金资产的比例为5%</w:t>
      </w:r>
      <w:r>
        <w:rPr>
          <w:rFonts w:ascii="宋体" w:hAnsi="Calibri"/>
          <w:bCs/>
          <w:szCs w:val="21"/>
          <w:highlight w:val="white"/>
          <w:lang w:eastAsia="zh-CN"/>
        </w:rPr>
        <w:t>—</w:t>
      </w:r>
      <w:r>
        <w:rPr>
          <w:rFonts w:ascii="宋体" w:hAnsi="Calibri"/>
          <w:bCs/>
          <w:szCs w:val="21"/>
          <w:highlight w:val="white"/>
          <w:lang w:eastAsia="zh-CN"/>
        </w:rPr>
        <w:t xml:space="preserve">30%，投资于港股通股票的资产不超过股票资产的50%，投资于QDII基金、香港互认基金的资产合计不超过基金资产的20%，投资于商品基金（含商品期货基金和黄金ETF等）的资产合计不超过基金资产的10%；保持不低于基金资产净值5％的现金或者到期日在一年以内的政府债券，其中现金不包括结算备付金、存出保证金和应收申购款等。 </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权益类资产包括股票、股票型基金以及权益类混合型基金。权益类混合型基金指至少满足以下一条标准的混合型基金：（1）基金合同约定投资股票资产占基金资产的比例不低于60%；（2）基金最近4期季度报告中披露的股票资产占基金资产的比例均不低于60%。</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 xml:space="preserve">（二）基金托管人根据有关法律法规的规定及基金合同的约定对下述基金投融资比例进行监督：       </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Pr="00AD5EA9" w:rsidR="00AD5EA9">
        <w:rPr>
          <w:rFonts w:ascii="宋体" w:hAnsi="Calibri" w:hint="eastAsia"/>
          <w:bCs/>
          <w:szCs w:val="21"/>
          <w:lang w:eastAsia="zh-CN"/>
        </w:rPr>
        <w:t>、</w:t>
      </w:r>
      <w:r>
        <w:rPr>
          <w:rFonts w:ascii="宋体" w:hAnsi="Calibri"/>
          <w:bCs/>
          <w:szCs w:val="21"/>
          <w:highlight w:val="white"/>
          <w:lang w:eastAsia="zh-CN"/>
        </w:rPr>
        <w:t>本基金投资于经中国证监会依法核准或注册基金的资产不低于基金资产的80%，权益类资产占基金资产的比例为5%</w:t>
      </w:r>
      <w:r>
        <w:rPr>
          <w:rFonts w:ascii="宋体" w:hAnsi="Calibri"/>
          <w:bCs/>
          <w:szCs w:val="21"/>
          <w:highlight w:val="white"/>
          <w:lang w:eastAsia="zh-CN"/>
        </w:rPr>
        <w:t>—</w:t>
      </w:r>
      <w:r>
        <w:rPr>
          <w:rFonts w:ascii="宋体" w:hAnsi="Calibri"/>
          <w:bCs/>
          <w:szCs w:val="21"/>
          <w:highlight w:val="white"/>
          <w:lang w:eastAsia="zh-CN"/>
        </w:rPr>
        <w:t>30%，投资于港股通股票的资产不超过股票资产的50%，投资于QDII基金、香港互认基金的资产合计不超过基金资产的20%，投资于商品基金（含商品期货基金和黄金ETF等）的资产合计不超过基金资产的10%；</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Pr="00AD5EA9" w:rsidR="00AD5EA9">
        <w:rPr>
          <w:rFonts w:ascii="宋体" w:hAnsi="Calibri" w:hint="eastAsia"/>
          <w:bCs/>
          <w:szCs w:val="21"/>
          <w:lang w:eastAsia="zh-CN"/>
        </w:rPr>
        <w:t>、</w:t>
      </w:r>
      <w:r>
        <w:rPr>
          <w:rFonts w:ascii="宋体" w:hAnsi="Calibri"/>
          <w:bCs/>
          <w:szCs w:val="21"/>
          <w:highlight w:val="white"/>
          <w:lang w:eastAsia="zh-CN"/>
        </w:rPr>
        <w:t>本基金持有单只基金的市值，不高于本基金资产净值的20%，且不得持有其他基金中基金；</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Pr="00AD5EA9" w:rsidR="00AD5EA9">
        <w:rPr>
          <w:rFonts w:ascii="宋体" w:hAnsi="Calibri" w:hint="eastAsia"/>
          <w:bCs/>
          <w:szCs w:val="21"/>
          <w:lang w:eastAsia="zh-CN"/>
        </w:rPr>
        <w:t>、</w:t>
      </w:r>
      <w:r>
        <w:rPr>
          <w:rFonts w:ascii="宋体" w:hAnsi="Calibri"/>
          <w:bCs/>
          <w:szCs w:val="21"/>
          <w:highlight w:val="white"/>
          <w:lang w:eastAsia="zh-CN"/>
        </w:rPr>
        <w:t>本基金管理人管理</w:t>
      </w:r>
      <w:r w:rsidRPr="001B5ED1">
        <w:rPr>
          <w:rFonts w:ascii="宋体" w:hAnsi="Calibri" w:hint="eastAsia"/>
          <w:bCs/>
          <w:szCs w:val="21"/>
          <w:lang w:eastAsia="zh-CN"/>
        </w:rPr>
        <w:t>且由本基金托管人托管</w:t>
      </w:r>
      <w:r>
        <w:rPr>
          <w:rFonts w:ascii="宋体" w:hAnsi="Calibri"/>
          <w:bCs/>
          <w:szCs w:val="21"/>
          <w:highlight w:val="white"/>
          <w:lang w:eastAsia="zh-CN"/>
        </w:rPr>
        <w:t>的全部基金中基金（ETF联接基金除外）持有单只基金不得超过被投资基金净资产的20%，被投资基金净资产规模以最近定期报告披露的规模为准；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4</w:t>
      </w:r>
      <w:r w:rsidRPr="00AD5EA9" w:rsidR="00AD5EA9">
        <w:rPr>
          <w:rFonts w:ascii="宋体" w:hAnsi="Calibri" w:hint="eastAsia"/>
          <w:bCs/>
          <w:szCs w:val="21"/>
          <w:lang w:eastAsia="zh-CN"/>
        </w:rPr>
        <w:t>、</w:t>
      </w:r>
      <w:r>
        <w:rPr>
          <w:rFonts w:ascii="宋体" w:hAnsi="Calibri"/>
          <w:bCs/>
          <w:szCs w:val="21"/>
          <w:highlight w:val="white"/>
          <w:lang w:eastAsia="zh-CN"/>
        </w:rPr>
        <w:t>本基金投资于封闭运作基金、定期开放基金等流通受限基金的资产合计不得超过基金资产净值的10%；</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5</w:t>
      </w:r>
      <w:r w:rsidRPr="00AD5EA9" w:rsidR="00AD5EA9">
        <w:rPr>
          <w:rFonts w:ascii="宋体" w:hAnsi="Calibri" w:hint="eastAsia"/>
          <w:bCs/>
          <w:szCs w:val="21"/>
          <w:lang w:eastAsia="zh-CN"/>
        </w:rPr>
        <w:t>、</w:t>
      </w:r>
      <w:r>
        <w:rPr>
          <w:rFonts w:ascii="宋体" w:hAnsi="Calibri"/>
          <w:bCs/>
          <w:szCs w:val="21"/>
          <w:highlight w:val="white"/>
          <w:lang w:eastAsia="zh-CN"/>
        </w:rPr>
        <w:t>本基金所投资基金的运作期限不得少于1年、最近定期报告披露的基金净资产应当不低于1亿元；</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6</w:t>
      </w:r>
      <w:r w:rsidRPr="00AD5EA9" w:rsidR="00AD5EA9">
        <w:rPr>
          <w:rFonts w:ascii="宋体" w:hAnsi="Calibri" w:hint="eastAsia"/>
          <w:bCs/>
          <w:szCs w:val="21"/>
          <w:lang w:eastAsia="zh-CN"/>
        </w:rPr>
        <w:t>、</w:t>
      </w:r>
      <w:r>
        <w:rPr>
          <w:rFonts w:ascii="宋体" w:hAnsi="Calibri"/>
          <w:bCs/>
          <w:szCs w:val="21"/>
          <w:highlight w:val="white"/>
          <w:lang w:eastAsia="zh-CN"/>
        </w:rPr>
        <w:t>本基金可投资于QDII基金及香港互认基金，不得持有具有复杂、衍生品性质的基金份额，包括分级基金和中国证监会认定的其他基金份额；</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7</w:t>
      </w:r>
      <w:r w:rsidRPr="00AD5EA9" w:rsidR="00AD5EA9">
        <w:rPr>
          <w:rFonts w:ascii="宋体" w:hAnsi="Calibri" w:hint="eastAsia"/>
          <w:bCs/>
          <w:szCs w:val="21"/>
          <w:lang w:eastAsia="zh-CN"/>
        </w:rPr>
        <w:t>、</w:t>
      </w:r>
      <w:r>
        <w:rPr>
          <w:rFonts w:ascii="宋体" w:hAnsi="Calibri"/>
          <w:bCs/>
          <w:szCs w:val="21"/>
          <w:highlight w:val="white"/>
          <w:lang w:eastAsia="zh-CN"/>
        </w:rPr>
        <w:t>保持不低于基金资产净值5％的现金或者到期日在一年以内的政府债券，其中现金不包括结算备付金、存出保证金和应收申购款等；</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8</w:t>
      </w:r>
      <w:r w:rsidRPr="00AD5EA9" w:rsidR="00AD5EA9">
        <w:rPr>
          <w:rFonts w:ascii="宋体" w:hAnsi="Calibri" w:hint="eastAsia"/>
          <w:bCs/>
          <w:szCs w:val="21"/>
          <w:lang w:eastAsia="zh-CN"/>
        </w:rPr>
        <w:t>、</w:t>
      </w:r>
      <w:r>
        <w:rPr>
          <w:rFonts w:ascii="宋体" w:hAnsi="Calibri"/>
          <w:bCs/>
          <w:szCs w:val="21"/>
          <w:highlight w:val="white"/>
          <w:lang w:eastAsia="zh-CN"/>
        </w:rPr>
        <w:t>本基金持有一家公司发行的证券（同一家公司在内地和香港同时上市的A+H股合计计算），其市值不超过基金资产净值的10％；</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9</w:t>
      </w:r>
      <w:r w:rsidRPr="00AD5EA9" w:rsidR="00AD5EA9">
        <w:rPr>
          <w:rFonts w:ascii="宋体" w:hAnsi="Calibri" w:hint="eastAsia"/>
          <w:bCs/>
          <w:szCs w:val="21"/>
          <w:lang w:eastAsia="zh-CN"/>
        </w:rPr>
        <w:t>、</w:t>
      </w:r>
      <w:r>
        <w:rPr>
          <w:rFonts w:ascii="宋体" w:hAnsi="Calibri"/>
          <w:bCs/>
          <w:szCs w:val="21"/>
          <w:highlight w:val="white"/>
          <w:lang w:eastAsia="zh-CN"/>
        </w:rPr>
        <w:t>本基金管理人管理</w:t>
      </w:r>
      <w:r w:rsidRPr="001B5ED1">
        <w:rPr>
          <w:rFonts w:ascii="宋体" w:hAnsi="Calibri" w:hint="eastAsia"/>
          <w:bCs/>
          <w:szCs w:val="21"/>
          <w:lang w:eastAsia="zh-CN"/>
        </w:rPr>
        <w:t>且由本基金托管人托管</w:t>
      </w:r>
      <w:r>
        <w:rPr>
          <w:rFonts w:ascii="宋体" w:hAnsi="Calibri"/>
          <w:bCs/>
          <w:szCs w:val="21"/>
          <w:highlight w:val="white"/>
          <w:lang w:eastAsia="zh-CN"/>
        </w:rPr>
        <w:t>的全部基金持有一家公司发行的证券（同一家公司在内地和香港同时上市的A+H股合计计算），不超过该证券的10％，完全按照有关指数的构成比例进行证券投资的基金品种可以不受此条款规定的比例限制；</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10</w:t>
      </w:r>
      <w:r w:rsidRPr="00AD5EA9" w:rsidR="00AD5EA9">
        <w:rPr>
          <w:rFonts w:ascii="宋体" w:hAnsi="Calibri" w:hint="eastAsia"/>
          <w:bCs/>
          <w:szCs w:val="21"/>
          <w:lang w:eastAsia="zh-CN"/>
        </w:rPr>
        <w:t>、</w:t>
      </w:r>
      <w:r>
        <w:rPr>
          <w:rFonts w:ascii="宋体" w:hAnsi="Calibri"/>
          <w:bCs/>
          <w:szCs w:val="21"/>
          <w:highlight w:val="white"/>
          <w:lang w:eastAsia="zh-CN"/>
        </w:rPr>
        <w:t>本基金投资于同一原始权益人的各类资产支持证券的比例，不得超过基金资产净值的10％；</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11</w:t>
      </w:r>
      <w:r w:rsidRPr="00AD5EA9" w:rsidR="00AD5EA9">
        <w:rPr>
          <w:rFonts w:ascii="宋体" w:hAnsi="Calibri" w:hint="eastAsia"/>
          <w:bCs/>
          <w:szCs w:val="21"/>
          <w:lang w:eastAsia="zh-CN"/>
        </w:rPr>
        <w:t>、</w:t>
      </w:r>
      <w:r>
        <w:rPr>
          <w:rFonts w:ascii="宋体" w:hAnsi="Calibri"/>
          <w:bCs/>
          <w:szCs w:val="21"/>
          <w:highlight w:val="white"/>
          <w:lang w:eastAsia="zh-CN"/>
        </w:rPr>
        <w:t>本基金持有的全部资产支持证券，其市值不得超过基金资产净值的20％；</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12</w:t>
      </w:r>
      <w:r w:rsidRPr="00AD5EA9" w:rsidR="00AD5EA9">
        <w:rPr>
          <w:rFonts w:ascii="宋体" w:hAnsi="Calibri" w:hint="eastAsia"/>
          <w:bCs/>
          <w:szCs w:val="21"/>
          <w:lang w:eastAsia="zh-CN"/>
        </w:rPr>
        <w:t>、</w:t>
      </w:r>
      <w:r>
        <w:rPr>
          <w:rFonts w:ascii="宋体" w:hAnsi="Calibri"/>
          <w:bCs/>
          <w:szCs w:val="21"/>
          <w:highlight w:val="white"/>
          <w:lang w:eastAsia="zh-CN"/>
        </w:rPr>
        <w:t>本基金持有的同一(指同一信用级别)资产支持证券的比例，不得超过该资产支持证券规模的10％；</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13</w:t>
      </w:r>
      <w:r w:rsidRPr="00AD5EA9" w:rsidR="00AD5EA9">
        <w:rPr>
          <w:rFonts w:ascii="宋体" w:hAnsi="Calibri" w:hint="eastAsia"/>
          <w:bCs/>
          <w:szCs w:val="21"/>
          <w:lang w:eastAsia="zh-CN"/>
        </w:rPr>
        <w:t>、</w:t>
      </w:r>
      <w:r>
        <w:rPr>
          <w:rFonts w:ascii="宋体" w:hAnsi="Calibri"/>
          <w:bCs/>
          <w:szCs w:val="21"/>
          <w:highlight w:val="white"/>
          <w:lang w:eastAsia="zh-CN"/>
        </w:rPr>
        <w:t>本基金管理人管理</w:t>
      </w:r>
      <w:r w:rsidRPr="001B5ED1">
        <w:rPr>
          <w:rFonts w:ascii="宋体" w:hAnsi="Calibri" w:hint="eastAsia"/>
          <w:bCs/>
          <w:szCs w:val="21"/>
          <w:lang w:eastAsia="zh-CN"/>
        </w:rPr>
        <w:t>且由本基金托管人托管</w:t>
      </w:r>
      <w:r>
        <w:rPr>
          <w:rFonts w:ascii="宋体" w:hAnsi="Calibri"/>
          <w:bCs/>
          <w:szCs w:val="21"/>
          <w:highlight w:val="white"/>
          <w:lang w:eastAsia="zh-CN"/>
        </w:rPr>
        <w:t>的全部基金投资于同一原始权益人的各类资产支持证券，不得超过其各类资产支持证券合计规模的10％；</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14</w:t>
      </w:r>
      <w:r w:rsidRPr="00AD5EA9" w:rsidR="00AD5EA9">
        <w:rPr>
          <w:rFonts w:ascii="宋体" w:hAnsi="Calibri" w:hint="eastAsia"/>
          <w:bCs/>
          <w:szCs w:val="21"/>
          <w:lang w:eastAsia="zh-CN"/>
        </w:rPr>
        <w:t>、</w:t>
      </w:r>
      <w:r>
        <w:rPr>
          <w:rFonts w:ascii="宋体" w:hAnsi="Calibri"/>
          <w:bCs/>
          <w:szCs w:val="21"/>
          <w:highlight w:val="white"/>
          <w:lang w:eastAsia="zh-CN"/>
        </w:rPr>
        <w:t>本基金应投资于信用级别评级为BBB以上(含BBB)的资产支持证券。基金持有资产支持证券期间，如果其信用等级下降、不再符合投资标准，应在评级报告发布之日起3个月内予以全部卖出；</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15</w:t>
      </w:r>
      <w:r w:rsidRPr="00AD5EA9" w:rsidR="00AD5EA9">
        <w:rPr>
          <w:rFonts w:ascii="宋体" w:hAnsi="Calibri" w:hint="eastAsia"/>
          <w:bCs/>
          <w:szCs w:val="21"/>
          <w:lang w:eastAsia="zh-CN"/>
        </w:rPr>
        <w:t>、</w:t>
      </w:r>
      <w:r>
        <w:rPr>
          <w:rFonts w:ascii="宋体" w:hAnsi="Calibri"/>
          <w:bCs/>
          <w:szCs w:val="21"/>
          <w:highlight w:val="white"/>
          <w:lang w:eastAsia="zh-CN"/>
        </w:rPr>
        <w:t>基金财产参与股票发行申购，本基金所申报的金额不超过本基金的总资产，本基金所申报的股票数量不超过拟发行股票公司本次发行股票的总量；</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16</w:t>
      </w:r>
      <w:r w:rsidRPr="00AD5EA9" w:rsidR="00AD5EA9">
        <w:rPr>
          <w:rFonts w:ascii="宋体" w:hAnsi="Calibri" w:hint="eastAsia"/>
          <w:bCs/>
          <w:szCs w:val="21"/>
          <w:lang w:eastAsia="zh-CN"/>
        </w:rPr>
        <w:t>、</w:t>
      </w:r>
      <w:r>
        <w:rPr>
          <w:rFonts w:ascii="宋体" w:hAnsi="Calibri"/>
          <w:bCs/>
          <w:szCs w:val="21"/>
          <w:highlight w:val="white"/>
          <w:lang w:eastAsia="zh-CN"/>
        </w:rPr>
        <w:t>本基金管理人管理</w:t>
      </w:r>
      <w:r w:rsidRPr="001B5ED1">
        <w:rPr>
          <w:rFonts w:ascii="宋体" w:hAnsi="Calibri" w:hint="eastAsia"/>
          <w:bCs/>
          <w:szCs w:val="21"/>
          <w:lang w:eastAsia="zh-CN"/>
        </w:rPr>
        <w:t>且由本基金托管人托管</w:t>
      </w:r>
      <w:r>
        <w:rPr>
          <w:rFonts w:ascii="宋体" w:hAnsi="Calibri"/>
          <w:bCs/>
          <w:szCs w:val="21"/>
          <w:highlight w:val="white"/>
          <w:lang w:eastAsia="zh-CN"/>
        </w:rPr>
        <w:t>的全部开放式基金持有一家上市公司发行的可流通股票，不得超过该上市公司可流通股票的15%；本基金管理人管理</w:t>
      </w:r>
      <w:r w:rsidRPr="001B5ED1">
        <w:rPr>
          <w:rFonts w:ascii="宋体" w:hAnsi="Calibri" w:hint="eastAsia"/>
          <w:bCs/>
          <w:szCs w:val="21"/>
          <w:lang w:eastAsia="zh-CN"/>
        </w:rPr>
        <w:t>且由本基金托管人托管</w:t>
      </w:r>
      <w:r>
        <w:rPr>
          <w:rFonts w:ascii="宋体" w:hAnsi="Calibri"/>
          <w:bCs/>
          <w:szCs w:val="21"/>
          <w:highlight w:val="white"/>
          <w:lang w:eastAsia="zh-CN"/>
        </w:rPr>
        <w:t>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17</w:t>
      </w:r>
      <w:r w:rsidRPr="00AD5EA9" w:rsidR="00AD5EA9">
        <w:rPr>
          <w:rFonts w:ascii="宋体" w:hAnsi="Calibri" w:hint="eastAsia"/>
          <w:bCs/>
          <w:szCs w:val="21"/>
          <w:lang w:eastAsia="zh-CN"/>
        </w:rPr>
        <w:t>、</w:t>
      </w:r>
      <w:r>
        <w:rPr>
          <w:rFonts w:ascii="宋体" w:hAnsi="Calibri"/>
          <w:bCs/>
          <w:szCs w:val="21"/>
          <w:highlight w:val="white"/>
          <w:lang w:eastAsia="zh-CN"/>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18</w:t>
      </w:r>
      <w:r w:rsidRPr="00AD5EA9" w:rsidR="00AD5EA9">
        <w:rPr>
          <w:rFonts w:ascii="宋体" w:hAnsi="Calibri" w:hint="eastAsia"/>
          <w:bCs/>
          <w:szCs w:val="21"/>
          <w:lang w:eastAsia="zh-CN"/>
        </w:rPr>
        <w:t>、</w:t>
      </w:r>
      <w:r>
        <w:rPr>
          <w:rFonts w:ascii="宋体" w:hAnsi="Calibri"/>
          <w:bCs/>
          <w:szCs w:val="21"/>
          <w:highlight w:val="white"/>
          <w:lang w:eastAsia="zh-CN"/>
        </w:rPr>
        <w:t>本基金与私募类证券资管产品及中国证监会认定的其他主体为交易对手开展逆回购交易的，可接受质押品的资质要求应当与基金合同约定的投资范围保持一致；</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19</w:t>
      </w:r>
      <w:r w:rsidRPr="00AD5EA9" w:rsidR="00AD5EA9">
        <w:rPr>
          <w:rFonts w:ascii="宋体" w:hAnsi="Calibri" w:hint="eastAsia"/>
          <w:bCs/>
          <w:szCs w:val="21"/>
          <w:lang w:eastAsia="zh-CN"/>
        </w:rPr>
        <w:t>、</w:t>
      </w:r>
      <w:r>
        <w:rPr>
          <w:rFonts w:ascii="宋体" w:hAnsi="Calibri"/>
          <w:bCs/>
          <w:szCs w:val="21"/>
          <w:highlight w:val="white"/>
          <w:lang w:eastAsia="zh-CN"/>
        </w:rPr>
        <w:t>本基金资产总值不超过基金资产净值的140%；</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20</w:t>
      </w:r>
      <w:r w:rsidRPr="00AD5EA9" w:rsidR="00AD5EA9">
        <w:rPr>
          <w:rFonts w:ascii="宋体" w:hAnsi="Calibri" w:hint="eastAsia"/>
          <w:bCs/>
          <w:szCs w:val="21"/>
          <w:lang w:eastAsia="zh-CN"/>
        </w:rPr>
        <w:t>、</w:t>
      </w:r>
      <w:r>
        <w:rPr>
          <w:rFonts w:ascii="宋体" w:hAnsi="Calibri"/>
          <w:bCs/>
          <w:szCs w:val="21"/>
          <w:highlight w:val="white"/>
          <w:lang w:eastAsia="zh-CN"/>
        </w:rPr>
        <w:t>本基金投资于货币市场基金的资产不得超过基金资产的15%；</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21</w:t>
      </w:r>
      <w:r w:rsidRPr="00AD5EA9" w:rsidR="00AD5EA9">
        <w:rPr>
          <w:rFonts w:ascii="宋体" w:hAnsi="Calibri" w:hint="eastAsia"/>
          <w:bCs/>
          <w:szCs w:val="21"/>
          <w:lang w:eastAsia="zh-CN"/>
        </w:rPr>
        <w:t>、</w:t>
      </w:r>
      <w:r>
        <w:rPr>
          <w:rFonts w:ascii="宋体" w:hAnsi="Calibri"/>
          <w:bCs/>
          <w:szCs w:val="21"/>
          <w:highlight w:val="white"/>
          <w:lang w:eastAsia="zh-CN"/>
        </w:rPr>
        <w:t>基金管理人运用基金中基金财产投资于股票、债券等金融工具的，投资品种和比例应当符合基金中基金的投资目标和投资策略；</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22</w:t>
      </w:r>
      <w:r w:rsidRPr="00AD5EA9" w:rsidR="00AD5EA9">
        <w:rPr>
          <w:rFonts w:ascii="宋体" w:hAnsi="Calibri" w:hint="eastAsia"/>
          <w:bCs/>
          <w:szCs w:val="21"/>
          <w:lang w:eastAsia="zh-CN"/>
        </w:rPr>
        <w:t>、</w:t>
      </w:r>
      <w:r>
        <w:rPr>
          <w:rFonts w:ascii="宋体" w:hAnsi="Calibri"/>
          <w:bCs/>
          <w:szCs w:val="21"/>
          <w:highlight w:val="white"/>
          <w:lang w:eastAsia="zh-CN"/>
        </w:rPr>
        <w:t>本基金投资存托凭证的比例限制依照境内上市交易的股票执行，与境内上市交易的股票合并计算；</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23</w:t>
      </w:r>
      <w:r w:rsidR="00AD5EA9">
        <w:rPr>
          <w:rFonts w:ascii="宋体" w:hAnsi="Calibri"/>
          <w:bCs/>
          <w:szCs w:val="21"/>
          <w:highlight w:val="white"/>
          <w:lang w:eastAsia="zh-CN"/>
        </w:rPr>
        <w:t>、</w:t>
      </w:r>
      <w:r>
        <w:rPr>
          <w:rFonts w:ascii="宋体" w:hAnsi="Calibri"/>
          <w:bCs/>
          <w:szCs w:val="21"/>
          <w:highlight w:val="white"/>
          <w:lang w:eastAsia="zh-CN"/>
        </w:rPr>
        <w:t>法律法规及中国证监会规定的和《基金合同》约定的其他投资限制。</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因证券市场波动、证券发行人合并、基金规模变动等基金管理人之外的因素致使基金投资比例不符合上述1、4、5、8-13、16、19-23项规定投资比例的，基金管理人应当在被投资证券或基金可交易或可赎回之日起10个交易日内进行调整，致使基金投资比例不符合上述2、3项规定投资比例的，基金管理人应当在被投资基金可交易或可赎回之日起20个交易日内进行调整，但中国证监会规定的特殊情形除外。法律法规或监管部门另有规定的，届时按最新规定执行。</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如法律法规或监管部门对上述投资组合比例限制进行变更的，以变更后的规定为准。法律法规或监管部门取消上述限制，则本基金投资不再受相关限制。</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（三）基金托管人根据有关法律法规的规定及基金合同的约定对下述基金投资禁止行为进行监督：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根据法律法规的规定及基金合同的约定，本基金禁止从事下列行为：</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Pr="00AD5EA9" w:rsidR="00AD5EA9">
        <w:rPr>
          <w:rFonts w:ascii="宋体" w:hAnsi="Calibri" w:hint="eastAsia"/>
          <w:bCs/>
          <w:szCs w:val="21"/>
          <w:lang w:eastAsia="zh-CN"/>
        </w:rPr>
        <w:t>、</w:t>
      </w:r>
      <w:r>
        <w:rPr>
          <w:rFonts w:ascii="宋体" w:hAnsi="Calibri"/>
          <w:bCs/>
          <w:szCs w:val="21"/>
          <w:highlight w:val="white"/>
          <w:lang w:eastAsia="zh-CN"/>
        </w:rPr>
        <w:t>承销证券；</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Pr="00AD5EA9" w:rsidR="00AD5EA9">
        <w:rPr>
          <w:rFonts w:ascii="宋体" w:hAnsi="Calibri" w:hint="eastAsia"/>
          <w:bCs/>
          <w:szCs w:val="21"/>
          <w:lang w:eastAsia="zh-CN"/>
        </w:rPr>
        <w:t>、</w:t>
      </w:r>
      <w:r>
        <w:rPr>
          <w:rFonts w:ascii="宋体" w:hAnsi="Calibri"/>
          <w:bCs/>
          <w:szCs w:val="21"/>
          <w:highlight w:val="white"/>
          <w:lang w:eastAsia="zh-CN"/>
        </w:rPr>
        <w:t>违反规定向他人贷款或者提供担保；</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Pr="00AD5EA9" w:rsidR="00AD5EA9">
        <w:rPr>
          <w:rFonts w:ascii="宋体" w:hAnsi="Calibri" w:hint="eastAsia"/>
          <w:bCs/>
          <w:szCs w:val="21"/>
          <w:lang w:eastAsia="zh-CN"/>
        </w:rPr>
        <w:t>、</w:t>
      </w:r>
      <w:r>
        <w:rPr>
          <w:rFonts w:ascii="宋体" w:hAnsi="Calibri"/>
          <w:bCs/>
          <w:szCs w:val="21"/>
          <w:highlight w:val="white"/>
          <w:lang w:eastAsia="zh-CN"/>
        </w:rPr>
        <w:t>从事承担无限责任的投资；</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4</w:t>
      </w:r>
      <w:r w:rsidRPr="00AD5EA9" w:rsidR="00AD5EA9">
        <w:rPr>
          <w:rFonts w:ascii="宋体" w:hAnsi="Calibri" w:hint="eastAsia"/>
          <w:bCs/>
          <w:szCs w:val="21"/>
          <w:lang w:eastAsia="zh-CN"/>
        </w:rPr>
        <w:t>、</w:t>
      </w:r>
      <w:r>
        <w:rPr>
          <w:rFonts w:ascii="宋体" w:hAnsi="Calibri"/>
          <w:bCs/>
          <w:szCs w:val="21"/>
          <w:highlight w:val="white"/>
          <w:lang w:eastAsia="zh-CN"/>
        </w:rPr>
        <w:t>向其基金管理人、基金托管人出资；</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5</w:t>
      </w:r>
      <w:r w:rsidRPr="00AD5EA9" w:rsidR="00AD5EA9">
        <w:rPr>
          <w:rFonts w:ascii="宋体" w:hAnsi="Calibri" w:hint="eastAsia"/>
          <w:bCs/>
          <w:szCs w:val="21"/>
          <w:lang w:eastAsia="zh-CN"/>
        </w:rPr>
        <w:t>、</w:t>
      </w:r>
      <w:r>
        <w:rPr>
          <w:rFonts w:ascii="宋体" w:hAnsi="Calibri"/>
          <w:bCs/>
          <w:szCs w:val="21"/>
          <w:highlight w:val="white"/>
          <w:lang w:eastAsia="zh-CN"/>
        </w:rPr>
        <w:t>从事内幕交易、操纵证券交易价格及其他不正当的证券交易活动；</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6</w:t>
      </w:r>
      <w:r w:rsidRPr="00AD5EA9" w:rsidR="00AD5EA9">
        <w:rPr>
          <w:rFonts w:ascii="宋体" w:hAnsi="Calibri" w:hint="eastAsia"/>
          <w:bCs/>
          <w:szCs w:val="21"/>
          <w:lang w:eastAsia="zh-CN"/>
        </w:rPr>
        <w:t>、</w:t>
      </w:r>
      <w:r>
        <w:rPr>
          <w:rFonts w:ascii="宋体" w:hAnsi="Calibri"/>
          <w:bCs/>
          <w:szCs w:val="21"/>
          <w:highlight w:val="white"/>
          <w:lang w:eastAsia="zh-CN"/>
        </w:rPr>
        <w:t>法律、行政法规和中国证监会规定禁止的其他活动。</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法律法规或监管部门取消或变更上述禁止性规定，本基金不受上述规定的限制或按变更后的规定执行。</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（四）基金托管人依据有关法律法规的规定和基金合同的约定对于基金关联投资限制进行监督：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本基金投资基金管理人及基金管理人关联方管理基金的情况，不属于前述重大关联交易，但是应当按照法律法规或监管规定的要求履行信息披露义务。</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根据法律法规有关从事关联交易的规定，基金管理人和基金托管人应事先相互提供与本机构有控股关系的股东或与本机构有重大利害关系的公司名单及其更新，加盖公章并相互书面提交，并确保所提供名单的真实性、完整性、全面性。名单变更后基金管理人应及时发送基金托管人，基金托管人于2个工作日内进行回函确认已知名单的变更。名单变更时间以基金管理人收到基金托管人回函确认的时间为准。如果基金托管人在运作中严格遵循了监督流程，基金管理人仍违规进行交易，并造成基金资产损失的，由基金管理人承担责任，基金托管人不承担任何损失和责任。</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若基金托管人发现基金管理人与关联方进行法律法规禁止基金从事的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（五）基金托管人依据有关法律法规的规定和基金合同的约定对基金管理人参与银行间债券市场进行监督：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Pr="00AD5EA9" w:rsidR="00AD5EA9">
        <w:rPr>
          <w:rFonts w:ascii="宋体" w:hAnsi="Calibri" w:hint="eastAsia"/>
          <w:bCs/>
          <w:szCs w:val="21"/>
          <w:lang w:eastAsia="zh-CN"/>
        </w:rPr>
        <w:t>、</w:t>
      </w:r>
      <w:r>
        <w:rPr>
          <w:rFonts w:ascii="宋体" w:hAnsi="Calibri"/>
          <w:bCs/>
          <w:szCs w:val="21"/>
          <w:highlight w:val="white"/>
          <w:lang w:eastAsia="zh-CN"/>
        </w:rPr>
        <w:t>基金托管人对于基金管理人参与银行间债券市场交易时是否按交易对手名单进行交易进行监督。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基金托管人向基金管理人发出回函之后，名单开始生效。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托管人发出回函之后，被确认调整的名单开始生效，新名单生效前已与本次剔除的交易对手所进行但尚未结算的交易，仍应按照双方原定协议进行结算。</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如果基金托管人发现基金管理人与不在名单内的银行间债券市场交易对手进行交易，应及时提醒基金管理人撤销交易，经提醒后基金管理人仍执行交易并造成基金资产损失的，基金托管人不承担责任。</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Pr="00AD5EA9" w:rsidR="00AD5EA9">
        <w:rPr>
          <w:rFonts w:ascii="宋体" w:hAnsi="Calibri" w:hint="eastAsia"/>
          <w:bCs/>
          <w:szCs w:val="21"/>
          <w:lang w:eastAsia="zh-CN"/>
        </w:rPr>
        <w:t>、</w:t>
      </w:r>
      <w:r>
        <w:rPr>
          <w:rFonts w:ascii="宋体" w:hAnsi="Calibri"/>
          <w:bCs/>
          <w:szCs w:val="21"/>
          <w:highlight w:val="white"/>
          <w:lang w:eastAsia="zh-CN"/>
        </w:rPr>
        <w:t>基金托管人对于基金管理人参与银行间债券市场交易的交易方式的控制</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Pr="00AD5EA9" w:rsidR="00AD5EA9">
        <w:rPr>
          <w:rFonts w:ascii="宋体" w:hAnsi="Calibri" w:hint="eastAsia"/>
          <w:bCs/>
          <w:szCs w:val="21"/>
          <w:lang w:eastAsia="zh-CN"/>
        </w:rPr>
        <w:t>、</w:t>
      </w:r>
      <w:r>
        <w:rPr>
          <w:rFonts w:ascii="宋体" w:hAnsi="Calibri"/>
          <w:bCs/>
          <w:szCs w:val="21"/>
          <w:highlight w:val="white"/>
          <w:lang w:eastAsia="zh-CN"/>
        </w:rPr>
        <w:t>基金管理人有责任控制交易对手的资信风险。</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管理人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（六）基金托管人对基金投资流通受限证券的监督：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Pr="00AD5EA9" w:rsidR="00AD5EA9">
        <w:rPr>
          <w:rFonts w:ascii="宋体" w:hAnsi="Calibri" w:hint="eastAsia"/>
          <w:bCs/>
          <w:szCs w:val="21"/>
          <w:lang w:eastAsia="zh-CN"/>
        </w:rPr>
        <w:t>、</w:t>
      </w:r>
      <w:r>
        <w:rPr>
          <w:rFonts w:ascii="宋体" w:hAnsi="Calibri"/>
          <w:bCs/>
          <w:szCs w:val="21"/>
          <w:highlight w:val="white"/>
          <w:lang w:eastAsia="zh-CN"/>
        </w:rPr>
        <w:t>基金投资流通受限证券，应遵守有关法律法规规定。流通受限证券指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Pr="00AD5EA9" w:rsidR="00AD5EA9">
        <w:rPr>
          <w:rFonts w:ascii="宋体" w:hAnsi="Calibri" w:hint="eastAsia"/>
          <w:bCs/>
          <w:szCs w:val="21"/>
          <w:lang w:eastAsia="zh-CN"/>
        </w:rPr>
        <w:t>、</w:t>
      </w:r>
      <w:r>
        <w:rPr>
          <w:rFonts w:ascii="宋体" w:hAnsi="Calibri"/>
          <w:bCs/>
          <w:szCs w:val="21"/>
          <w:highlight w:val="white"/>
          <w:lang w:eastAsia="zh-CN"/>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管理人应至少于首次执行投资指令之前2个工作日将上述资料书面发至基金托管人，保证基金托管人有足够的时间进行审核。基金托管人应在收到上述资料后2个工作日内，以书面或其他双方认可的方式确认收到上述资料。</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Pr="00AD5EA9" w:rsidR="00AD5EA9">
        <w:rPr>
          <w:rFonts w:ascii="宋体" w:hAnsi="Calibri" w:hint="eastAsia"/>
          <w:bCs/>
          <w:szCs w:val="21"/>
          <w:lang w:eastAsia="zh-CN"/>
        </w:rPr>
        <w:t>、</w:t>
      </w:r>
      <w:r>
        <w:rPr>
          <w:rFonts w:ascii="宋体" w:hAnsi="Calibri"/>
          <w:bCs/>
          <w:szCs w:val="21"/>
          <w:highlight w:val="white"/>
          <w:lang w:eastAsia="zh-CN"/>
        </w:rPr>
        <w:t>基金投资流通受限证券前，基金管理人应向基金托管人提供符合法律法规要求的有关必要书面信息。基金管理人应保证上述信息的真实、完整，并应至少于拟执行投资指令前将上述信息书面发至基金托管人。</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4</w:t>
      </w:r>
      <w:r w:rsidRPr="00AD5EA9" w:rsidR="00AD5EA9">
        <w:rPr>
          <w:rFonts w:ascii="宋体" w:hAnsi="Calibri" w:hint="eastAsia"/>
          <w:bCs/>
          <w:szCs w:val="21"/>
          <w:lang w:eastAsia="zh-CN"/>
        </w:rPr>
        <w:t>、</w:t>
      </w:r>
      <w:r>
        <w:rPr>
          <w:rFonts w:ascii="宋体" w:hAnsi="Calibri"/>
          <w:bCs/>
          <w:szCs w:val="21"/>
          <w:highlight w:val="white"/>
          <w:lang w:eastAsia="zh-CN"/>
        </w:rPr>
        <w:t>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因拒绝执行该指令造成基金财产损失的，基金托管人不承担任何责任，并有权报告中国证监会。</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（七）基金托管人对基金投资中期票据的监督：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Pr="00AD5EA9" w:rsidR="00AD5EA9">
        <w:rPr>
          <w:rFonts w:ascii="宋体" w:hAnsi="Calibri" w:hint="eastAsia"/>
          <w:bCs/>
          <w:szCs w:val="21"/>
          <w:lang w:eastAsia="zh-CN"/>
        </w:rPr>
        <w:t>、</w:t>
      </w:r>
      <w:r>
        <w:rPr>
          <w:rFonts w:ascii="宋体" w:hAnsi="Calibri"/>
          <w:bCs/>
          <w:szCs w:val="21"/>
          <w:highlight w:val="white"/>
          <w:lang w:eastAsia="zh-CN"/>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Pr="00AD5EA9" w:rsidR="00AD5EA9">
        <w:rPr>
          <w:rFonts w:ascii="宋体" w:hAnsi="Calibri" w:hint="eastAsia"/>
          <w:bCs/>
          <w:szCs w:val="21"/>
          <w:lang w:eastAsia="zh-CN"/>
        </w:rPr>
        <w:t>、</w:t>
      </w:r>
      <w:r>
        <w:rPr>
          <w:rFonts w:ascii="宋体" w:hAnsi="Calibri"/>
          <w:bCs/>
          <w:szCs w:val="21"/>
          <w:highlight w:val="white"/>
          <w:lang w:eastAsia="zh-CN"/>
        </w:rPr>
        <w:t>如未来有关监管部门发布的法律法规对证券投资基金投资中期票据另有规定的，从其规定。</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Pr="00AD5EA9" w:rsidR="00AD5EA9">
        <w:rPr>
          <w:rFonts w:ascii="宋体" w:hAnsi="Calibri" w:hint="eastAsia"/>
          <w:bCs/>
          <w:szCs w:val="21"/>
          <w:lang w:eastAsia="zh-CN"/>
        </w:rPr>
        <w:t>、</w:t>
      </w:r>
      <w:r>
        <w:rPr>
          <w:rFonts w:ascii="宋体" w:hAnsi="Calibri"/>
          <w:bCs/>
          <w:szCs w:val="21"/>
          <w:highlight w:val="white"/>
          <w:lang w:eastAsia="zh-CN"/>
        </w:rPr>
        <w:t>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规定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任何损失和责任。</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（八）基金托管人根据有关法律法规的规定及基金合同的约定，对基金管理人选择存款银行进行监督：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本基金投资银行存款应符合如下规定：</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Pr="00AD5EA9" w:rsidR="00AD5EA9">
        <w:rPr>
          <w:rFonts w:ascii="宋体" w:hAnsi="Calibri" w:hint="eastAsia"/>
          <w:bCs/>
          <w:szCs w:val="21"/>
          <w:lang w:eastAsia="zh-CN"/>
        </w:rPr>
        <w:t>、</w:t>
      </w:r>
      <w:r>
        <w:rPr>
          <w:rFonts w:ascii="宋体" w:hAnsi="Calibri"/>
          <w:bCs/>
          <w:szCs w:val="21"/>
          <w:highlight w:val="white"/>
          <w:lang w:eastAsia="zh-CN"/>
        </w:rPr>
        <w:t>基金管理人、基金托管人应当与存款银行建立定期对账机制，确保基金银行存款业务账目及核算的真实、准确。</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Pr="00AD5EA9" w:rsidR="00AD5EA9">
        <w:rPr>
          <w:rFonts w:ascii="宋体" w:hAnsi="Calibri" w:hint="eastAsia"/>
          <w:bCs/>
          <w:szCs w:val="21"/>
          <w:lang w:eastAsia="zh-CN"/>
        </w:rPr>
        <w:t>、</w:t>
      </w:r>
      <w:r>
        <w:rPr>
          <w:rFonts w:ascii="宋体" w:hAnsi="Calibri"/>
          <w:bCs/>
          <w:szCs w:val="21"/>
          <w:highlight w:val="white"/>
          <w:lang w:eastAsia="zh-CN"/>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Pr="00AD5EA9" w:rsidR="00AD5EA9">
        <w:rPr>
          <w:rFonts w:ascii="宋体" w:hAnsi="Calibri" w:hint="eastAsia"/>
          <w:bCs/>
          <w:szCs w:val="21"/>
          <w:lang w:eastAsia="zh-CN"/>
        </w:rPr>
        <w:t>、</w:t>
      </w:r>
      <w:r>
        <w:rPr>
          <w:rFonts w:ascii="宋体" w:hAnsi="Calibri"/>
          <w:bCs/>
          <w:szCs w:val="21"/>
          <w:highlight w:val="white"/>
          <w:lang w:eastAsia="zh-CN"/>
        </w:rPr>
        <w:t>基金托管人应对基金银行存款业务进行监督与核查，审查、复核相关协议、账户资料、投资指令、存款证实书等有关文件，履行托管职责。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4</w:t>
      </w:r>
      <w:r w:rsidRPr="00AD5EA9" w:rsidR="00AD5EA9">
        <w:rPr>
          <w:rFonts w:ascii="宋体" w:hAnsi="Calibri" w:hint="eastAsia"/>
          <w:bCs/>
          <w:szCs w:val="21"/>
          <w:lang w:eastAsia="zh-CN"/>
        </w:rPr>
        <w:t>、</w:t>
      </w:r>
      <w:r>
        <w:rPr>
          <w:rFonts w:ascii="宋体" w:hAnsi="Calibri"/>
          <w:bCs/>
          <w:szCs w:val="21"/>
          <w:highlight w:val="white"/>
          <w:lang w:eastAsia="zh-CN"/>
        </w:rPr>
        <w:t>基金管理人与基金托管人在开展基金存款业务时，应严格遵守《基金法》、《运作办法》等有关法律法规，以及国家有关账户管理、利率管理、支付结算等的各项规定。</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二、基金托管人对基金管理人业务进行监督和核查的有关措施：</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（三）在限期内，基金托管人有权随时对通知事项进行复查，督促基金管理人改正。基金管理人对基金托管人通知的违规事项未能在限期内纠正的，基金托管人应报告中国证监会。</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（四）基金托管人发现基金管理人的投资指令违反</w:t>
      </w:r>
      <w:r w:rsidRPr="001B5ED1">
        <w:rPr>
          <w:rFonts w:ascii="宋体" w:hAnsi="Calibri" w:hint="eastAsia"/>
          <w:bCs/>
          <w:szCs w:val="21"/>
          <w:lang w:eastAsia="zh-CN"/>
        </w:rPr>
        <w:t>相</w:t>
      </w:r>
      <w:r>
        <w:rPr>
          <w:rFonts w:ascii="宋体" w:hAnsi="Calibri"/>
          <w:bCs/>
          <w:szCs w:val="21"/>
          <w:highlight w:val="white"/>
          <w:lang w:eastAsia="zh-CN"/>
        </w:rPr>
        <w:t>关法律法规规定或者违反基金合同约定的，应当拒绝执行，立即通知基金管理人。</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五）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六）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（七）基金托管人发现基金管理人有重大违规行为，应立即报告中国证监会，同时通知基金管理人限期纠正。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八）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（九）基金托管人对资金来源、投资收益及投资安全不承担审核责任，特别是对于本基金所投标的的后续资金使用情况无审核责任，不保证托管财产投资不受损失，不保证最低收益。</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十）基金管理人应遵守中华人民共和国反洗钱法律法规，不参与涉嫌洗钱、恐怖融资、扩散融资等违法犯罪活动；主动配合基金托管人客户身份识别与尽职调查，遵守基金托管人反洗钱与反恐怖融资相关管理规定。对具备合理理由怀疑涉嫌洗钱、恐怖融资的客户，基金托管人将按照中国人民银行反洗钱监管规定采取必要管控措施。</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第三节 基金管理人对基金托管人的业务核查</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管理人对基金托管人履行托管职责情况进行核查，核查事项包括但不限于基金托管人安全保管基金财产、开设基金财产的资金账户和证券账户等投资所需的其他账户、复核基金管理人计算的基金资产净值和基金份额净值、根据基金管理人指令办理清算交收、相关信息披露和监督基金投资运作等行为。</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管理人发现基金托管人擅自挪用基金财产、未对基金财产实行分账管理、无故拒绝执行或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三、基金管理人发现基金托管人有重大违规行为，应立即报告中国证监会和银行业监督管理机构，同时通知基金托管人限期纠正。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四、基金托管人应积极配合基金管理人的核查行为，包括但不限于：提交相关资料以供基金管理人核查托管财产的完整性和真实性，在规定时间内答复基金管理人并改正。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五、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第四节 基金财产的保管</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一、基金财产保管的原则</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（一）基金财产应独立于基金管理人、基金托管人的固有财产。</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（二）基金托管人应安全保管基金财产。除依据法律法规规定、基金合同和本托管协议约定及基金管理人的正当指令外，不得自行运用、处分、分配基金的任何财产。</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（三）基金托管人按照规定开设基金财产的资金账户和证券账户等投资所需的其他账户。</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（四）基金托管人对所托管的不同基金财产分别设置账户，与基金托管人的其他业务和其他基金的托管业务实行严格的分账管理，确保基金财产的完整与独立。</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（五）基金托管人根据基金管理人的指令，按照基金合同和本协议的约定保管基金财产，如有特殊情况双方可另行协商解决。</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（六）除依据法律法规和基金合同的规定外，基金托管人不得委托第三人托管基金资产。</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二、募集资金的验资</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（一）基金募集期间募集的资金应开立</w:t>
      </w:r>
      <w:r>
        <w:rPr>
          <w:rFonts w:ascii="宋体" w:hAnsi="Calibri"/>
          <w:bCs/>
          <w:szCs w:val="21"/>
          <w:highlight w:val="white"/>
          <w:lang w:eastAsia="zh-CN"/>
        </w:rPr>
        <w:t>“</w:t>
      </w:r>
      <w:r>
        <w:rPr>
          <w:rFonts w:ascii="宋体" w:hAnsi="Calibri"/>
          <w:bCs/>
          <w:szCs w:val="21"/>
          <w:highlight w:val="white"/>
          <w:lang w:eastAsia="zh-CN"/>
        </w:rPr>
        <w:t>基金募集专户</w:t>
      </w:r>
      <w:r>
        <w:rPr>
          <w:rFonts w:ascii="宋体" w:hAnsi="Calibri"/>
          <w:bCs/>
          <w:szCs w:val="21"/>
          <w:highlight w:val="white"/>
          <w:lang w:eastAsia="zh-CN"/>
        </w:rPr>
        <w:t>”</w:t>
      </w:r>
      <w:r>
        <w:rPr>
          <w:rFonts w:ascii="宋体" w:hAnsi="Calibri"/>
          <w:bCs/>
          <w:szCs w:val="21"/>
          <w:highlight w:val="white"/>
          <w:lang w:eastAsia="zh-CN"/>
        </w:rPr>
        <w:t>。该账户由基金管理人开立并管理。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请符合《证券法》规定的会计师事务所进行验资，出具验资报告，出具的验资报告应由参加验资的2名以上（含2名）中国注册会计师签字有效。</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（三）若基金募集期限届满，未能达到基金备案条件，由基金管理人按规定办理退款事宜。</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三、基金的银行账户的开立和管理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（一）基金托管人以本基金的名义在其营业机构开立基金的银行账户，并根据基金管理人合法合规的指令办理资金收付。本基金的银行预留印鉴由基金托管人刻制、保管和使用。</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（二）基金银行账户的开立和使用，限于满足开展本基金业务的需要。基金托管人和基金管理人不得假借本基金的名义开立任何其他银行账户；亦不得使用基金的任何账户进行本基金业务以外的活动。</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（三）基金银行账户的开立和管理应符合有关法律法规以及银行业监督管理机构的有关规定。</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四、基金证券账户与证券交易资金账户的开设和管理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（一）基金托管人以基金托管人和本基金联名的方式在中国证券登记结算有限责任公司（以下简称</w:t>
      </w:r>
      <w:r>
        <w:rPr>
          <w:rFonts w:ascii="宋体" w:hAnsi="Calibri"/>
          <w:bCs/>
          <w:szCs w:val="21"/>
          <w:highlight w:val="white"/>
          <w:lang w:eastAsia="zh-CN"/>
        </w:rPr>
        <w:t>“</w:t>
      </w:r>
      <w:r>
        <w:rPr>
          <w:rFonts w:ascii="宋体" w:hAnsi="Calibri"/>
          <w:bCs/>
          <w:szCs w:val="21"/>
          <w:highlight w:val="white"/>
          <w:lang w:eastAsia="zh-CN"/>
        </w:rPr>
        <w:t>中登公司</w:t>
      </w:r>
      <w:r>
        <w:rPr>
          <w:rFonts w:ascii="宋体" w:hAnsi="Calibri"/>
          <w:bCs/>
          <w:szCs w:val="21"/>
          <w:highlight w:val="white"/>
          <w:lang w:eastAsia="zh-CN"/>
        </w:rPr>
        <w:t>”</w:t>
      </w:r>
      <w:r>
        <w:rPr>
          <w:rFonts w:ascii="宋体" w:hAnsi="Calibri"/>
          <w:bCs/>
          <w:szCs w:val="21"/>
          <w:highlight w:val="white"/>
          <w:lang w:eastAsia="zh-CN"/>
        </w:rPr>
        <w:t>）开设证券账户。</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（二）基金托管人以基金托管人的名义在中登公司开立基金证券交易资金账户，用于证券清算。</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基金证券账户与证券交易资金账户的开立和使用，限于满足开展本基金业务的需要。基金托管人和基金管理人不得出借和未经对方同意擅自转让基金的任何证券账户或证券交易资金账户；亦不得使用基金的任何账户进行本基金业务以外的活动。</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（四）基金证券账户与证券交易资金账户相关证明文件的保管由基金托管人负责，账户资产的管理和运用由基金管理人负责。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五、债券托管账户的开立和管理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（二）基金管理人和基金托管人应一起负责为基金对外签订全国银行间国债市场回购主协议，正本由基金管理人保存。</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六、其他账户的开设和管理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七、基金财产投资的有关实物证券、银行定期存款存单等有价凭证的保管</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财产投资的有关实物证券由基金托管人存放于基金托管人的保管库；其中实物证券也可存入中央国债登记结算有限责任公司、中登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八、与基金财产有关的重大合同的保管</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20年以上。对于无法取得二份以上的正本的，基金管理人应向基金托管人提供加盖授权业务章的合同传真件，未经双方协商或未在合同约定范围内，合同原件不得转移，由基金管理人保管。</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第五节 基金资产净值计算与复核</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一、基金净值的计算、复核的时间和程序</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净值包括基金资产净值、基金份额净值。基金资产净值是指基金资产总值减去负债后的净资产值。基金份额净值是按照每个估值日闭市后，基金资产净值除以当日基金份额的余额数量计算。基金份额净值的计算保留到小数点后4位，小数点后第5位四舍五入。基金管理人可以设立大额赎回情形下的净值精度应急调整机制。国家另有规定或基金合同另有约定的，从其规定。</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管理人应每个估值日后的两个工作日内对该估值日的基金资产进行估值，但基金管理人根据法律法规或基金合同的规定暂停估值时除外。估值原则应符合基金合同、《证券投资基金会计核算业务指引》及其他法律、法规的规定。用于基金信息披露的基金资产净值、基金份额净值和基金份额累计净值由基金管理人负责计算，基金托管人复核。基金管理人应于每个估值日后的两个工作日内计算该估值日的基金净值并以双方认可的方式发送给基金托管人。基金托管人对净值计算结果复核后以双方认可的方式发送给基金管理人，由基金管理人按规定对外公布。基金托管人发现基金份额净值计价出现错误的，应当提示基金管理人立即纠正，并采取合理措施防止损失进一步扩大。基金托管人发现基金份额净值计价出现重大错误或者估值出现重大偏离的，应当提示基金管理人依法履行披露和报告义务。</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二、基金资产估值方法</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（一）估值对象</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基金所拥有的证券投资基金、股票、债券和银行存款本息、应收款项、其它投资等资产及负债。</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 xml:space="preserve">（二）估值方法   </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1</w:t>
      </w:r>
      <w:r w:rsidRPr="00AD5EA9" w:rsidR="00AD5EA9">
        <w:rPr>
          <w:rFonts w:ascii="宋体" w:hAnsi="Calibri" w:hint="eastAsia"/>
          <w:bCs/>
          <w:szCs w:val="21"/>
          <w:lang w:eastAsia="zh-CN"/>
        </w:rPr>
        <w:t>、</w:t>
      </w:r>
      <w:r w:rsidRPr="0025674C">
        <w:rPr>
          <w:rFonts w:ascii="宋体" w:hAnsi="Calibri" w:hint="eastAsia"/>
          <w:bCs/>
          <w:szCs w:val="21"/>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2</w:t>
      </w:r>
      <w:r w:rsidRPr="00AD5EA9" w:rsidR="00AD5EA9">
        <w:rPr>
          <w:rFonts w:ascii="宋体" w:hAnsi="Calibri" w:hint="eastAsia"/>
          <w:bCs/>
          <w:szCs w:val="21"/>
          <w:lang w:eastAsia="zh-CN"/>
        </w:rPr>
        <w:t>、</w:t>
      </w:r>
      <w:r w:rsidRPr="0025674C">
        <w:rPr>
          <w:rFonts w:ascii="宋体" w:hAnsi="Calibri" w:hint="eastAsia"/>
          <w:bCs/>
          <w:szCs w:val="21"/>
          <w:lang w:eastAsia="zh-CN"/>
        </w:rPr>
        <w:t>处于未上市期间的有价证券应区分如下情况处理：</w:t>
      </w:r>
    </w:p>
    <w:p w:rsidR="0025674C" w:rsidRPr="0025674C" w:rsidP="0025674C">
      <w:pPr>
        <w:spacing w:line="360" w:lineRule="auto"/>
        <w:ind w:firstLine="420"/>
        <w:rPr>
          <w:rFonts w:ascii="宋体" w:hAnsi="Calibri"/>
          <w:bCs/>
          <w:szCs w:val="21"/>
          <w:lang w:eastAsia="zh-CN"/>
        </w:rPr>
      </w:pPr>
      <w:r>
        <w:rPr>
          <w:rFonts w:ascii="宋体" w:hAnsi="Calibri"/>
          <w:bCs/>
          <w:szCs w:val="21"/>
          <w:highlight w:val="white"/>
          <w:lang w:eastAsia="zh-CN"/>
        </w:rPr>
        <w:t>（</w:t>
      </w:r>
      <w:r w:rsidRPr="0025674C" w:rsidR="001B5ED1">
        <w:rPr>
          <w:rFonts w:ascii="宋体" w:hAnsi="Calibri" w:hint="eastAsia"/>
          <w:bCs/>
          <w:szCs w:val="21"/>
          <w:lang w:eastAsia="zh-CN"/>
        </w:rPr>
        <w:t>1）送股、转增股、配股和公开增发的新股，按估值日在证券交易所挂牌的同一股票的估值方法估值；该日无交易的，以最近一日的市价（收盘价）估值；</w:t>
      </w:r>
    </w:p>
    <w:p w:rsidR="0025674C" w:rsidRPr="0025674C" w:rsidP="0025674C">
      <w:pPr>
        <w:spacing w:line="360" w:lineRule="auto"/>
        <w:ind w:firstLine="420"/>
        <w:rPr>
          <w:rFonts w:ascii="宋体" w:hAnsi="Calibri"/>
          <w:bCs/>
          <w:szCs w:val="21"/>
          <w:lang w:eastAsia="zh-CN"/>
        </w:rPr>
      </w:pPr>
      <w:r>
        <w:rPr>
          <w:rFonts w:ascii="宋体" w:hAnsi="Calibri"/>
          <w:bCs/>
          <w:szCs w:val="21"/>
          <w:highlight w:val="white"/>
          <w:lang w:eastAsia="zh-CN"/>
        </w:rPr>
        <w:t>（</w:t>
      </w:r>
      <w:r w:rsidRPr="0025674C" w:rsidR="001B5ED1">
        <w:rPr>
          <w:rFonts w:ascii="宋体" w:hAnsi="Calibri" w:hint="eastAsia"/>
          <w:bCs/>
          <w:szCs w:val="21"/>
          <w:lang w:eastAsia="zh-CN"/>
        </w:rPr>
        <w:t>2）首次公开发行未上市的股票，采用估值技术确定公允价值；</w:t>
      </w:r>
    </w:p>
    <w:p w:rsidR="0025674C" w:rsidRPr="0025674C" w:rsidP="0025674C">
      <w:pPr>
        <w:spacing w:line="360" w:lineRule="auto"/>
        <w:ind w:firstLine="420"/>
        <w:rPr>
          <w:rFonts w:ascii="宋体" w:hAnsi="Calibri"/>
          <w:bCs/>
          <w:szCs w:val="21"/>
          <w:lang w:eastAsia="zh-CN"/>
        </w:rPr>
      </w:pPr>
      <w:r>
        <w:rPr>
          <w:rFonts w:ascii="宋体" w:hAnsi="Calibri"/>
          <w:bCs/>
          <w:szCs w:val="21"/>
          <w:highlight w:val="white"/>
          <w:lang w:eastAsia="zh-CN"/>
        </w:rPr>
        <w:t>（</w:t>
      </w:r>
      <w:r w:rsidRPr="0025674C" w:rsidR="001B5ED1">
        <w:rPr>
          <w:rFonts w:ascii="宋体" w:hAnsi="Calibri" w:hint="eastAsia"/>
          <w:bCs/>
          <w:szCs w:val="21"/>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3</w:t>
      </w:r>
      <w:r w:rsidRPr="00AD5EA9" w:rsidR="00AD5EA9">
        <w:rPr>
          <w:rFonts w:ascii="宋体" w:hAnsi="Calibri" w:hint="eastAsia"/>
          <w:bCs/>
          <w:szCs w:val="21"/>
          <w:lang w:eastAsia="zh-CN"/>
        </w:rPr>
        <w:t>、</w:t>
      </w:r>
      <w:r w:rsidRPr="0025674C">
        <w:rPr>
          <w:rFonts w:ascii="宋体" w:hAnsi="Calibri" w:hint="eastAsia"/>
          <w:bCs/>
          <w:szCs w:val="21"/>
          <w:lang w:eastAsia="zh-CN"/>
        </w:rPr>
        <w:t>对于已上市或已挂牌转让的不含权固定收益品种，选取估值日第三方估值基准服务机构提供的相应品种当日的估值全价进行估值。</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4</w:t>
      </w:r>
      <w:r w:rsidRPr="00AD5EA9" w:rsidR="00AD5EA9">
        <w:rPr>
          <w:rFonts w:ascii="宋体" w:hAnsi="Calibri" w:hint="eastAsia"/>
          <w:bCs/>
          <w:szCs w:val="21"/>
          <w:lang w:eastAsia="zh-CN"/>
        </w:rPr>
        <w:t>、</w:t>
      </w:r>
      <w:r w:rsidRPr="0025674C">
        <w:rPr>
          <w:rFonts w:ascii="宋体" w:hAnsi="Calibri" w:hint="eastAsia"/>
          <w:bCs/>
          <w:szCs w:val="21"/>
          <w:lang w:eastAsia="zh-CN"/>
        </w:rPr>
        <w:t>对于已上市或已挂牌转让的含权固定收益品种，选取估值日第三方估值基准服务机构提供的相应品种当日的唯一估值全价或推荐估值全价进行估值。</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5</w:t>
      </w:r>
      <w:r w:rsidRPr="00AD5EA9" w:rsidR="00AD5EA9">
        <w:rPr>
          <w:rFonts w:ascii="宋体" w:hAnsi="Calibri" w:hint="eastAsia"/>
          <w:bCs/>
          <w:szCs w:val="21"/>
          <w:lang w:eastAsia="zh-CN"/>
        </w:rPr>
        <w:t>、</w:t>
      </w:r>
      <w:r w:rsidRPr="0025674C">
        <w:rPr>
          <w:rFonts w:ascii="宋体" w:hAnsi="Calibri" w:hint="eastAsia"/>
          <w:bCs/>
          <w:szCs w:val="21"/>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6</w:t>
      </w:r>
      <w:r w:rsidRPr="00AD5EA9" w:rsidR="00AD5EA9">
        <w:rPr>
          <w:rFonts w:ascii="宋体" w:hAnsi="Calibri" w:hint="eastAsia"/>
          <w:bCs/>
          <w:szCs w:val="21"/>
          <w:lang w:eastAsia="zh-CN"/>
        </w:rPr>
        <w:t>、</w:t>
      </w:r>
      <w:r w:rsidRPr="0025674C">
        <w:rPr>
          <w:rFonts w:ascii="宋体" w:hAnsi="Calibri" w:hint="eastAsia"/>
          <w:bCs/>
          <w:szCs w:val="21"/>
          <w:lang w:eastAsia="zh-CN"/>
        </w:rPr>
        <w:t>对于未上市或未挂牌转让且不存在活跃市场的固定收益品种，采用在当前情况下适用并且有足够可利用数据和其他信息支持的估值技术确定其公允价值。</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7</w:t>
      </w:r>
      <w:r w:rsidRPr="00AD5EA9" w:rsidR="00AD5EA9">
        <w:rPr>
          <w:rFonts w:ascii="宋体" w:hAnsi="Calibri" w:hint="eastAsia"/>
          <w:bCs/>
          <w:szCs w:val="21"/>
          <w:lang w:eastAsia="zh-CN"/>
        </w:rPr>
        <w:t>、</w:t>
      </w:r>
      <w:r w:rsidRPr="0025674C">
        <w:rPr>
          <w:rFonts w:ascii="宋体" w:hAnsi="Calibri" w:hint="eastAsia"/>
          <w:bCs/>
          <w:szCs w:val="21"/>
          <w:lang w:eastAsia="zh-CN"/>
        </w:rPr>
        <w:t>对于交易所上市的ETF基金、境内上市定期开放式基金、封闭式基金，按估值日的收盘价估值；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当基金管理人认为所投资基金按上述条款进行估值存在不公允时，应与托管人协商一致采用合理的估值技术或估值标准确定其公允价值；</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8</w:t>
      </w:r>
      <w:r w:rsidRPr="00AD5EA9" w:rsidR="00AD5EA9">
        <w:rPr>
          <w:rFonts w:ascii="宋体" w:hAnsi="Calibri" w:hint="eastAsia"/>
          <w:bCs/>
          <w:szCs w:val="21"/>
          <w:lang w:eastAsia="zh-CN"/>
        </w:rPr>
        <w:t>、</w:t>
      </w:r>
      <w:r w:rsidRPr="0025674C">
        <w:rPr>
          <w:rFonts w:ascii="宋体" w:hAnsi="Calibri" w:hint="eastAsia"/>
          <w:bCs/>
          <w:szCs w:val="21"/>
          <w:lang w:eastAsia="zh-CN"/>
        </w:rPr>
        <w:t>对于交易所上市的境内上市开放式基金（LOF），按估值日的份额净值估值；境内上市交易型货币市场基金，如披露份额净值，则按估值日的份额净值估值；如披露万份（百份）收益，则按前一估值日后至估值日期间（含节假日）的万份（百份）收益计提估值日基金收益；以基金份额净值估值的，若与本基金估值频率一致但未公布估值日基金份额净值，按其最近公布的基金份额净值为基础估值。</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9</w:t>
      </w:r>
      <w:r w:rsidRPr="00AD5EA9" w:rsidR="00AD5EA9">
        <w:rPr>
          <w:rFonts w:ascii="宋体" w:hAnsi="Calibri" w:hint="eastAsia"/>
          <w:bCs/>
          <w:szCs w:val="21"/>
          <w:lang w:eastAsia="zh-CN"/>
        </w:rPr>
        <w:t>、</w:t>
      </w:r>
      <w:r w:rsidRPr="0025674C">
        <w:rPr>
          <w:rFonts w:ascii="宋体" w:hAnsi="Calibri" w:hint="eastAsia"/>
          <w:bCs/>
          <w:szCs w:val="21"/>
          <w:lang w:eastAsia="zh-CN"/>
        </w:rPr>
        <w:t>非上市基金的估值：境内非货币市场基金，按估值日的份额净值估值；若与本基金估值频率一致但未公布估值日基金份额净值，按其最近公布的基金份额净值为基础估值。境内货币市场基金，按前一估值日后至估值日期间（含节假日）的万份收益计提估值日基金收益。</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10</w:t>
      </w:r>
      <w:r w:rsidRPr="00AD5EA9" w:rsidR="00AD5EA9">
        <w:rPr>
          <w:rFonts w:ascii="宋体" w:hAnsi="Calibri" w:hint="eastAsia"/>
          <w:bCs/>
          <w:szCs w:val="21"/>
          <w:lang w:eastAsia="zh-CN"/>
        </w:rPr>
        <w:t>、</w:t>
      </w:r>
      <w:r w:rsidRPr="0025674C">
        <w:rPr>
          <w:rFonts w:ascii="宋体" w:hAnsi="Calibri" w:hint="eastAsia"/>
          <w:bCs/>
          <w:szCs w:val="21"/>
          <w:lang w:eastAsia="zh-CN"/>
        </w:rPr>
        <w:t>本基金投资存托凭证的估值核算，依照境内上市交易的股票执行。</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11</w:t>
      </w:r>
      <w:r w:rsidRPr="00AD5EA9" w:rsidR="00AD5EA9">
        <w:rPr>
          <w:rFonts w:ascii="宋体" w:hAnsi="Calibri" w:hint="eastAsia"/>
          <w:bCs/>
          <w:szCs w:val="21"/>
          <w:lang w:eastAsia="zh-CN"/>
        </w:rPr>
        <w:t>、</w:t>
      </w:r>
      <w:r w:rsidRPr="0025674C">
        <w:rPr>
          <w:rFonts w:ascii="宋体" w:hAnsi="Calibri" w:hint="eastAsia"/>
          <w:bCs/>
          <w:szCs w:val="21"/>
          <w:lang w:eastAsia="zh-CN"/>
        </w:rPr>
        <w:t>汇率</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如本基金投资股票市场交易互联互通机制允许买卖的境外证券市场上市的股票、ETF，涉及相关货币对人民币汇率的，汇率来源详见招募说明书。</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12</w:t>
      </w:r>
      <w:r w:rsidRPr="00AD5EA9" w:rsidR="00AD5EA9">
        <w:rPr>
          <w:rFonts w:ascii="宋体" w:hAnsi="Calibri" w:hint="eastAsia"/>
          <w:bCs/>
          <w:szCs w:val="21"/>
          <w:lang w:eastAsia="zh-CN"/>
        </w:rPr>
        <w:t>、</w:t>
      </w:r>
      <w:r w:rsidRPr="0025674C">
        <w:rPr>
          <w:rFonts w:ascii="宋体" w:hAnsi="Calibri" w:hint="eastAsia"/>
          <w:bCs/>
          <w:szCs w:val="21"/>
          <w:lang w:eastAsia="zh-CN"/>
        </w:rPr>
        <w:t>税收</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13</w:t>
      </w:r>
      <w:r w:rsidRPr="00AD5EA9" w:rsidR="00AD5EA9">
        <w:rPr>
          <w:rFonts w:ascii="宋体" w:hAnsi="Calibri" w:hint="eastAsia"/>
          <w:bCs/>
          <w:szCs w:val="21"/>
          <w:lang w:eastAsia="zh-CN"/>
        </w:rPr>
        <w:t>、</w:t>
      </w:r>
      <w:r w:rsidRPr="0025674C">
        <w:rPr>
          <w:rFonts w:ascii="宋体" w:hAnsi="Calibri" w:hint="eastAsia"/>
          <w:bCs/>
          <w:szCs w:val="21"/>
          <w:lang w:eastAsia="zh-CN"/>
        </w:rPr>
        <w:t>如有充分理由表明按上述方法进行估值不能客观反映其公允价值的，基金管理人可根据具体情况与基金托管人商定后，按最能反映公允价值的价格估值。</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14</w:t>
      </w:r>
      <w:r w:rsidRPr="00AD5EA9" w:rsidR="00AD5EA9">
        <w:rPr>
          <w:rFonts w:ascii="宋体" w:hAnsi="Calibri" w:hint="eastAsia"/>
          <w:bCs/>
          <w:szCs w:val="21"/>
          <w:lang w:eastAsia="zh-CN"/>
        </w:rPr>
        <w:t>、</w:t>
      </w:r>
      <w:r w:rsidRPr="0025674C">
        <w:rPr>
          <w:rFonts w:ascii="宋体" w:hAnsi="Calibri" w:hint="eastAsia"/>
          <w:bCs/>
          <w:szCs w:val="21"/>
          <w:lang w:eastAsia="zh-CN"/>
        </w:rPr>
        <w:t>当发生大额申购或赎回情形时，基金管理人可以采用摆动定价机制，以确保基金估值的公平性。</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15</w:t>
      </w:r>
      <w:r w:rsidRPr="00AD5EA9" w:rsidR="00AD5EA9">
        <w:rPr>
          <w:rFonts w:ascii="宋体" w:hAnsi="Calibri" w:hint="eastAsia"/>
          <w:bCs/>
          <w:szCs w:val="21"/>
          <w:lang w:eastAsia="zh-CN"/>
        </w:rPr>
        <w:t>、</w:t>
      </w:r>
      <w:r w:rsidRPr="0025674C">
        <w:rPr>
          <w:rFonts w:ascii="宋体" w:hAnsi="Calibri" w:hint="eastAsia"/>
          <w:bCs/>
          <w:szCs w:val="21"/>
          <w:lang w:eastAsia="zh-CN"/>
        </w:rPr>
        <w:t>相关法律法规以及监管部门有强制规定的，从其规定。如有新增事项，按国家最新规定估值。</w:t>
      </w:r>
    </w:p>
    <w:p w:rsidR="0025674C" w:rsidRPr="0025674C" w:rsidP="0025674C">
      <w:pPr>
        <w:spacing w:line="360" w:lineRule="auto"/>
        <w:ind w:firstLine="420"/>
        <w:rPr>
          <w:rFonts w:ascii="宋体" w:hAnsi="Calibri"/>
          <w:bCs/>
          <w:szCs w:val="21"/>
          <w:lang w:eastAsia="zh-CN"/>
        </w:rPr>
      </w:pPr>
      <w:r w:rsidRPr="0025674C">
        <w:rPr>
          <w:rFonts w:ascii="宋体" w:hAnsi="Calibri" w:hint="eastAsia"/>
          <w:bCs/>
          <w:szCs w:val="21"/>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25674C">
      <w:pPr>
        <w:spacing w:line="360" w:lineRule="auto"/>
        <w:ind w:firstLine="420"/>
        <w:rPr>
          <w:rFonts w:ascii="宋体" w:hAnsi="Calibri"/>
          <w:bCs/>
          <w:szCs w:val="21"/>
          <w:lang w:eastAsia="zh-CN"/>
        </w:rPr>
      </w:pPr>
      <w:r w:rsidRPr="0025674C">
        <w:rPr>
          <w:rFonts w:ascii="宋体" w:hAnsi="Calibri" w:hint="eastAsia"/>
          <w:bCs/>
          <w:szCs w:val="21"/>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三、估值差错处理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各当事人应按照以下约定处理：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（一）估值错误类型</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Calibri"/>
          <w:bCs/>
          <w:szCs w:val="21"/>
          <w:highlight w:val="white"/>
          <w:lang w:eastAsia="zh-CN"/>
        </w:rPr>
        <w:t>“</w:t>
      </w:r>
      <w:r>
        <w:rPr>
          <w:rFonts w:ascii="宋体" w:hAnsi="Calibri"/>
          <w:bCs/>
          <w:szCs w:val="21"/>
          <w:highlight w:val="white"/>
          <w:lang w:eastAsia="zh-CN"/>
        </w:rPr>
        <w:t>受损方</w:t>
      </w:r>
      <w:r>
        <w:rPr>
          <w:rFonts w:ascii="宋体" w:hAnsi="Calibri"/>
          <w:bCs/>
          <w:szCs w:val="21"/>
          <w:highlight w:val="white"/>
          <w:lang w:eastAsia="zh-CN"/>
        </w:rPr>
        <w:t>”</w:t>
      </w:r>
      <w:r>
        <w:rPr>
          <w:rFonts w:ascii="宋体" w:hAnsi="Calibri"/>
          <w:bCs/>
          <w:szCs w:val="21"/>
          <w:highlight w:val="white"/>
          <w:lang w:eastAsia="zh-CN"/>
        </w:rPr>
        <w:t>）的直接损失按下述</w:t>
      </w:r>
      <w:r>
        <w:rPr>
          <w:rFonts w:ascii="宋体" w:hAnsi="Calibri"/>
          <w:bCs/>
          <w:szCs w:val="21"/>
          <w:highlight w:val="white"/>
          <w:lang w:eastAsia="zh-CN"/>
        </w:rPr>
        <w:t>“</w:t>
      </w:r>
      <w:r>
        <w:rPr>
          <w:rFonts w:ascii="宋体" w:hAnsi="Calibri"/>
          <w:bCs/>
          <w:szCs w:val="21"/>
          <w:highlight w:val="white"/>
          <w:lang w:eastAsia="zh-CN"/>
        </w:rPr>
        <w:t>估值错误处理原则</w:t>
      </w:r>
      <w:r>
        <w:rPr>
          <w:rFonts w:ascii="宋体" w:hAnsi="Calibri"/>
          <w:bCs/>
          <w:szCs w:val="21"/>
          <w:highlight w:val="white"/>
          <w:lang w:eastAsia="zh-CN"/>
        </w:rPr>
        <w:t>”</w:t>
      </w:r>
      <w:r>
        <w:rPr>
          <w:rFonts w:ascii="宋体" w:hAnsi="Calibri"/>
          <w:bCs/>
          <w:szCs w:val="21"/>
          <w:highlight w:val="white"/>
          <w:lang w:eastAsia="zh-CN"/>
        </w:rPr>
        <w:t>给予赔偿，承担赔偿责任。</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上述估值错误的主要类型包括但不限于：资料申报差错、数据传输差错、数据计算差错、系统故障差错、下达指令差错等。</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（二）估值错误处理原则</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00AD5EA9">
        <w:rPr>
          <w:rFonts w:ascii="宋体" w:hAnsi="Calibri"/>
          <w:bCs/>
          <w:szCs w:val="21"/>
          <w:highlight w:val="white"/>
          <w:lang w:eastAsia="zh-CN"/>
        </w:rPr>
        <w:t>、</w:t>
      </w:r>
      <w:r>
        <w:rPr>
          <w:rFonts w:ascii="宋体" w:hAnsi="Calibri"/>
          <w:bCs/>
          <w:szCs w:val="21"/>
          <w:highlight w:val="white"/>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00AD5EA9">
        <w:rPr>
          <w:rFonts w:ascii="宋体" w:hAnsi="Calibri"/>
          <w:bCs/>
          <w:szCs w:val="21"/>
          <w:highlight w:val="white"/>
          <w:lang w:eastAsia="zh-CN"/>
        </w:rPr>
        <w:t>、</w:t>
      </w:r>
      <w:r>
        <w:rPr>
          <w:rFonts w:ascii="宋体" w:hAnsi="Calibri"/>
          <w:bCs/>
          <w:szCs w:val="21"/>
          <w:highlight w:val="white"/>
          <w:lang w:eastAsia="zh-CN"/>
        </w:rPr>
        <w:t>估值错误的责任方对有关当事人的直接损失负责，不对间接损失负责，并且仅对估值错误的有关直接当事人负责，不对第三方负责。</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00AD5EA9">
        <w:rPr>
          <w:rFonts w:ascii="宋体" w:hAnsi="Calibri"/>
          <w:bCs/>
          <w:szCs w:val="21"/>
          <w:highlight w:val="white"/>
          <w:lang w:eastAsia="zh-CN"/>
        </w:rPr>
        <w:t>、</w:t>
      </w:r>
      <w:r>
        <w:rPr>
          <w:rFonts w:ascii="宋体" w:hAnsi="Calibri"/>
          <w:bCs/>
          <w:szCs w:val="21"/>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Calibri"/>
          <w:bCs/>
          <w:szCs w:val="21"/>
          <w:highlight w:val="white"/>
          <w:lang w:eastAsia="zh-CN"/>
        </w:rPr>
        <w:t>“</w:t>
      </w:r>
      <w:r>
        <w:rPr>
          <w:rFonts w:ascii="宋体" w:hAnsi="Calibri"/>
          <w:bCs/>
          <w:szCs w:val="21"/>
          <w:highlight w:val="white"/>
          <w:lang w:eastAsia="zh-CN"/>
        </w:rPr>
        <w:t>受损方</w:t>
      </w:r>
      <w:r>
        <w:rPr>
          <w:rFonts w:ascii="宋体" w:hAnsi="Calibri"/>
          <w:bCs/>
          <w:szCs w:val="21"/>
          <w:highlight w:val="white"/>
          <w:lang w:eastAsia="zh-CN"/>
        </w:rPr>
        <w:t>”</w:t>
      </w:r>
      <w:r>
        <w:rPr>
          <w:rFonts w:ascii="宋体" w:hAnsi="Calibri"/>
          <w:bCs/>
          <w:szCs w:val="21"/>
          <w:highlight w:val="white"/>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4</w:t>
      </w:r>
      <w:r w:rsidR="00AD5EA9">
        <w:rPr>
          <w:rFonts w:ascii="宋体" w:hAnsi="Calibri"/>
          <w:bCs/>
          <w:szCs w:val="21"/>
          <w:highlight w:val="white"/>
          <w:lang w:eastAsia="zh-CN"/>
        </w:rPr>
        <w:t>、</w:t>
      </w:r>
      <w:r>
        <w:rPr>
          <w:rFonts w:ascii="宋体" w:hAnsi="Calibri"/>
          <w:bCs/>
          <w:szCs w:val="21"/>
          <w:highlight w:val="white"/>
          <w:lang w:eastAsia="zh-CN"/>
        </w:rPr>
        <w:t>估值错误调整采用尽量恢复至假设未发生估值错误的正确情形的方式。</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（三）估值错误处理程序</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估值错误被发现后，有关的当事人应当及时进行处理，处理的程序如下：</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00AD5EA9">
        <w:rPr>
          <w:rFonts w:ascii="宋体" w:hAnsi="Calibri"/>
          <w:bCs/>
          <w:szCs w:val="21"/>
          <w:highlight w:val="white"/>
          <w:lang w:eastAsia="zh-CN"/>
        </w:rPr>
        <w:t>、</w:t>
      </w:r>
      <w:r>
        <w:rPr>
          <w:rFonts w:ascii="宋体" w:hAnsi="Calibri"/>
          <w:bCs/>
          <w:szCs w:val="21"/>
          <w:highlight w:val="white"/>
          <w:lang w:eastAsia="zh-CN"/>
        </w:rPr>
        <w:t>查明估值错误发生的原因，列明所有的当事人，并根据估值错误发生的原因确定估值错误的责任方；</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00AD5EA9">
        <w:rPr>
          <w:rFonts w:ascii="宋体" w:hAnsi="Calibri"/>
          <w:bCs/>
          <w:szCs w:val="21"/>
          <w:highlight w:val="white"/>
          <w:lang w:eastAsia="zh-CN"/>
        </w:rPr>
        <w:t>、</w:t>
      </w:r>
      <w:r>
        <w:rPr>
          <w:rFonts w:ascii="宋体" w:hAnsi="Calibri"/>
          <w:bCs/>
          <w:szCs w:val="21"/>
          <w:highlight w:val="white"/>
          <w:lang w:eastAsia="zh-CN"/>
        </w:rPr>
        <w:t>根据估值错误处理原则或当事人协商的方法对因估值错误造成的损失进行评估；</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00AD5EA9">
        <w:rPr>
          <w:rFonts w:ascii="宋体" w:hAnsi="Calibri"/>
          <w:bCs/>
          <w:szCs w:val="21"/>
          <w:highlight w:val="white"/>
          <w:lang w:eastAsia="zh-CN"/>
        </w:rPr>
        <w:t>、</w:t>
      </w:r>
      <w:r>
        <w:rPr>
          <w:rFonts w:ascii="宋体" w:hAnsi="Calibri"/>
          <w:bCs/>
          <w:szCs w:val="21"/>
          <w:highlight w:val="white"/>
          <w:lang w:eastAsia="zh-CN"/>
        </w:rPr>
        <w:t>根据估值错误处理原则或当事人协商的方法由估值错误的责任方进行更正和赔偿损失；</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4</w:t>
      </w:r>
      <w:r w:rsidR="00AD5EA9">
        <w:rPr>
          <w:rFonts w:ascii="宋体" w:hAnsi="Calibri"/>
          <w:bCs/>
          <w:szCs w:val="21"/>
          <w:highlight w:val="white"/>
          <w:lang w:eastAsia="zh-CN"/>
        </w:rPr>
        <w:t>、</w:t>
      </w:r>
      <w:r>
        <w:rPr>
          <w:rFonts w:ascii="宋体" w:hAnsi="Calibri"/>
          <w:bCs/>
          <w:szCs w:val="21"/>
          <w:highlight w:val="white"/>
          <w:lang w:eastAsia="zh-CN"/>
        </w:rPr>
        <w:t>根据估值错误处理的方法，需要修改基金登记机构交易数据的，由基金登记机构进行更正，并就估值错误的更正向有关当事人进行确认。</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（四）基金份额净值估值错误处理的方法如下：</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00AD5EA9">
        <w:rPr>
          <w:rFonts w:ascii="宋体" w:hAnsi="Calibri"/>
          <w:bCs/>
          <w:szCs w:val="21"/>
          <w:highlight w:val="white"/>
          <w:lang w:eastAsia="zh-CN"/>
        </w:rPr>
        <w:t>、</w:t>
      </w:r>
      <w:r>
        <w:rPr>
          <w:rFonts w:ascii="宋体" w:hAnsi="Calibri"/>
          <w:bCs/>
          <w:szCs w:val="21"/>
          <w:highlight w:val="white"/>
          <w:lang w:eastAsia="zh-CN"/>
        </w:rPr>
        <w:t>基金份额净值计算出现错误时，基金管理人应当立即予以纠正，通报基金托管人，并采取合理的措施防止损失进一步扩大。</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00AD5EA9">
        <w:rPr>
          <w:rFonts w:ascii="宋体" w:hAnsi="Calibri"/>
          <w:bCs/>
          <w:szCs w:val="21"/>
          <w:highlight w:val="white"/>
          <w:lang w:eastAsia="zh-CN"/>
        </w:rPr>
        <w:t>、</w:t>
      </w:r>
      <w:r>
        <w:rPr>
          <w:rFonts w:ascii="宋体" w:hAnsi="Calibri"/>
          <w:bCs/>
          <w:szCs w:val="21"/>
          <w:highlight w:val="white"/>
          <w:lang w:eastAsia="zh-CN"/>
        </w:rPr>
        <w:t>错误偏差达到基金份额净值的0.25%时，基金管理人应当通报基金托管人并报中国证监会备案；错误偏差达到基金份额净值的0.5%时，基金管理人应当公告，并报中国证监会备案。</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00AD5EA9">
        <w:rPr>
          <w:rFonts w:ascii="宋体" w:hAnsi="Calibri"/>
          <w:bCs/>
          <w:szCs w:val="21"/>
          <w:highlight w:val="white"/>
          <w:lang w:eastAsia="zh-CN"/>
        </w:rPr>
        <w:t>、</w:t>
      </w:r>
      <w:r>
        <w:rPr>
          <w:rFonts w:ascii="宋体" w:hAnsi="Calibri"/>
          <w:bCs/>
          <w:szCs w:val="21"/>
          <w:highlight w:val="white"/>
          <w:lang w:eastAsia="zh-CN"/>
        </w:rPr>
        <w:t>前述内容如法律法规或监管机关另有规定的，从其规定处理。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四、基金账册的建立</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五、基金定期报告的编制和复核</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（一）基金财务报告由基金管理人编制，基金托管人复核。月度报告的编制，应于每月终了后5个工作日内完成。</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四）基金管理人应及时完成报告编制，将有关报告提供基金托管人复核；基金托管人应当在收到报告之日起2个工作日内完成月度报告的复核；在收到报告之日起7个工作日内完成基金季度报告的复核；在收到报告之日起20个工作日内完成基金中期报告的复核；在收到报告之日起30个工作日内完成基金年度报告的复核。基金托管人在复核过程中，发现双方的数据、信息存在不符时，基金管理人和基金托管人应共同查明原因，进行调整，调整以国家有关规定为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（五）基金托管人在对财务会计报告、季度、中期报告或年度报告复核完毕后，需盖章确认或出具相应的复核确认书或进行电子确认，以备有权机构对相关文件审核时提示。</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六、暂停估值的情形</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1</w:t>
      </w:r>
      <w:r w:rsidR="00AD5EA9">
        <w:rPr>
          <w:rFonts w:ascii="宋体" w:hAnsi="Calibri"/>
          <w:bCs/>
          <w:szCs w:val="21"/>
          <w:highlight w:val="white"/>
          <w:lang w:eastAsia="zh-CN"/>
        </w:rPr>
        <w:t>、</w:t>
      </w:r>
      <w:r w:rsidR="001A381A">
        <w:rPr>
          <w:rFonts w:ascii="宋体" w:hAnsi="Calibri"/>
          <w:bCs/>
          <w:szCs w:val="21"/>
          <w:highlight w:val="white"/>
          <w:lang w:eastAsia="zh-CN"/>
        </w:rPr>
        <w:t>基金投资所涉及的证券交易市场遇法定节假日或因其他原因暂停营业时；</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2</w:t>
      </w:r>
      <w:r w:rsidR="00AD5EA9">
        <w:rPr>
          <w:rFonts w:ascii="宋体" w:hAnsi="Calibri"/>
          <w:bCs/>
          <w:szCs w:val="21"/>
          <w:highlight w:val="white"/>
          <w:lang w:eastAsia="zh-CN"/>
        </w:rPr>
        <w:t>、</w:t>
      </w:r>
      <w:r w:rsidR="001A381A">
        <w:rPr>
          <w:rFonts w:ascii="宋体" w:hAnsi="Calibri"/>
          <w:bCs/>
          <w:szCs w:val="21"/>
          <w:highlight w:val="white"/>
          <w:lang w:eastAsia="zh-CN"/>
        </w:rPr>
        <w:t>因不可抗力致使基金管理人、基金托管人无法准确评估基金资产价值时；</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3</w:t>
      </w:r>
      <w:r w:rsidR="00AD5EA9">
        <w:rPr>
          <w:rFonts w:ascii="宋体" w:hAnsi="Calibri"/>
          <w:bCs/>
          <w:szCs w:val="21"/>
          <w:highlight w:val="white"/>
          <w:lang w:eastAsia="zh-CN"/>
        </w:rPr>
        <w:t>、</w:t>
      </w:r>
      <w:r w:rsidR="001A381A">
        <w:rPr>
          <w:rFonts w:ascii="宋体" w:hAnsi="Calibri"/>
          <w:bCs/>
          <w:szCs w:val="21"/>
          <w:highlight w:val="white"/>
          <w:lang w:eastAsia="zh-CN"/>
        </w:rPr>
        <w:t>占相当比例的被投资基金暂停估值；</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4</w:t>
      </w:r>
      <w:r w:rsidR="00AD5EA9">
        <w:rPr>
          <w:rFonts w:ascii="宋体" w:hAnsi="Calibri"/>
          <w:bCs/>
          <w:szCs w:val="21"/>
          <w:highlight w:val="white"/>
          <w:lang w:eastAsia="zh-CN"/>
        </w:rPr>
        <w:t>、</w:t>
      </w:r>
      <w:r w:rsidR="001A381A">
        <w:rPr>
          <w:rFonts w:ascii="宋体" w:hAnsi="Calibri"/>
          <w:bCs/>
          <w:szCs w:val="21"/>
          <w:highlight w:val="white"/>
          <w:lang w:eastAsia="zh-CN"/>
        </w:rPr>
        <w:t>当特定资产占前一估值日基金资产净值50%以上的，经与基金托管人协商确认后，基金管理人应当暂停估值；</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5</w:t>
      </w:r>
      <w:r w:rsidR="00AD5EA9">
        <w:rPr>
          <w:rFonts w:ascii="宋体" w:hAnsi="Calibri"/>
          <w:bCs/>
          <w:szCs w:val="21"/>
          <w:highlight w:val="white"/>
          <w:lang w:eastAsia="zh-CN"/>
        </w:rPr>
        <w:t>、</w:t>
      </w:r>
      <w:r w:rsidR="001A381A">
        <w:rPr>
          <w:rFonts w:ascii="宋体" w:hAnsi="Calibri"/>
          <w:bCs/>
          <w:szCs w:val="21"/>
          <w:highlight w:val="white"/>
          <w:lang w:eastAsia="zh-CN"/>
        </w:rPr>
        <w:t>中国证监会和基金合同认定的其它情形。</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 xml:space="preserve">七、特殊情况的处理 </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00AD5EA9">
        <w:rPr>
          <w:rFonts w:ascii="宋体" w:hAnsi="Calibri"/>
          <w:bCs/>
          <w:szCs w:val="21"/>
          <w:highlight w:val="white"/>
          <w:lang w:eastAsia="zh-CN"/>
        </w:rPr>
        <w:t>、</w:t>
      </w:r>
      <w:r>
        <w:rPr>
          <w:rFonts w:ascii="宋体" w:hAnsi="Calibri"/>
          <w:bCs/>
          <w:szCs w:val="21"/>
          <w:highlight w:val="white"/>
          <w:lang w:eastAsia="zh-CN"/>
        </w:rPr>
        <w:t>基金管理人或基金托管人按估值方法的第13项进行估值时，所造成的误差不作为基金资产估值错误处理。</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00AD5EA9">
        <w:rPr>
          <w:rFonts w:ascii="宋体" w:hAnsi="Calibri"/>
          <w:bCs/>
          <w:szCs w:val="21"/>
          <w:highlight w:val="white"/>
          <w:lang w:eastAsia="zh-CN"/>
        </w:rPr>
        <w:t>、</w:t>
      </w:r>
      <w:r>
        <w:rPr>
          <w:rFonts w:ascii="宋体" w:hAnsi="Calibri"/>
          <w:bCs/>
          <w:szCs w:val="21"/>
          <w:highlight w:val="white"/>
          <w:lang w:eastAsia="zh-CN"/>
        </w:rPr>
        <w:t>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八、实施侧袋机制期间的基金资产估值</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本基金实施侧袋机制的，应根据本部分的约定对主袋账户资产进行估值并披露主袋账户的基金资产净值和份额净值，暂停披露侧袋账户份额净值。</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第六节 基金份额持有人名册的登记与保管</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一、基金管理人和基金托管人须分别妥善保管基金份额持有人名册，基金份额持有人名册的内容必须包括基金份额持有人的名称和持有的基金份额。</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份额持有人名册由基金的登记机构根据基金管理人的指令编制和保管，基金管理人和基金托管人应按照目前相关规则分别保管基金份额持有人名册。保管方式可以采用电子或文档的形式，保管期限为20年以上。</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三、若基金管理人或基金托管人由于自身原因无法妥善保管基金份额持有人名册，应按有关法规规定各自承担相应的责任。</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四、对于每半年度最后一个工作日的基金份额持有人名册，基金管理人应在每半年年度结束后5个工作日内定期向基金托管人提供。对于基金募集期结束时的基金份额持有人名册、收益分配基准日的基金份额持有人名册以及基金份额持有人大会权益登记日的基金份额持有人名册，基金管理人应在相关名册生成后5个工作日内向基金托管人提供。</w:t>
      </w:r>
    </w:p>
    <w:p w:rsidR="002B1026">
      <w:pPr>
        <w:spacing w:line="360" w:lineRule="auto"/>
        <w:ind w:firstLine="420"/>
        <w:rPr>
          <w:rFonts w:ascii="宋体" w:hAnsi="Calibri"/>
          <w:bCs/>
          <w:szCs w:val="21"/>
          <w:lang w:eastAsia="zh-CN"/>
        </w:rPr>
      </w:pPr>
      <w:r>
        <w:rPr>
          <w:rStyle w:val="CommentReference"/>
          <w:rFonts w:ascii="宋体" w:hAnsi="Calibri"/>
          <w:highlight w:val="white"/>
          <w:lang w:eastAsia="zh-CN"/>
        </w:rPr>
        <w:t>第七节</w:t>
      </w:r>
      <w:r>
        <w:rPr>
          <w:rFonts w:ascii="宋体" w:hAnsi="Calibri" w:hint="eastAsia"/>
          <w:bCs/>
          <w:szCs w:val="21"/>
          <w:highlight w:val="white"/>
          <w:lang w:eastAsia="zh-CN"/>
        </w:rPr>
        <w:t xml:space="preserve"> 争议解决方式</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本协议的效力、解释、变更、执行及争议的解决等均适用中华人民共和国法律，没有相关成文规定的，参照通用的商业惯例和（或）行业惯例。</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凡因本协议产生的及与本协议有关的争议，双方均应协商解决；协商不成的，任何一方均有权将争议提交中国国际经济贸易仲裁委员会，按照该会届时有效的仲裁规则进行仲裁。仲裁地点为北京市。仲裁裁决是终局的，对当事人均有约束力。除非仲裁裁决另有决定，仲裁费用由败诉方承担。</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争议处理期间，双方当事人应恪守基金管理人和基金托管人职责，继续忠实、勤勉、尽责地履行基金合同和本协议规定的义务，维护基金份额持有人的合法权益。</w:t>
      </w:r>
    </w:p>
    <w:p w:rsidR="002B1026">
      <w:pPr>
        <w:spacing w:line="360" w:lineRule="auto"/>
        <w:ind w:firstLine="420"/>
        <w:rPr>
          <w:rFonts w:ascii="宋体" w:hAnsi="Calibri"/>
          <w:bCs/>
          <w:szCs w:val="21"/>
          <w:lang w:eastAsia="zh-CN"/>
        </w:rPr>
      </w:pPr>
      <w:r>
        <w:rPr>
          <w:rFonts w:ascii="宋体" w:hAnsi="Calibri" w:hint="eastAsia"/>
          <w:bCs/>
          <w:szCs w:val="21"/>
          <w:highlight w:val="white"/>
          <w:lang w:eastAsia="zh-CN"/>
        </w:rPr>
        <w:t>第八节 托管协议的修改与终止</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一、本协议的变更与终止</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（一）本协议的变更程序</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本协议双方当事人经协商一致，可以对协议的内容进行变更，并另行签署书面协议予以明确。变更后的托管协议，其内容不得与基金合同的规定有任何冲突。</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（二）本协议终止的情形</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发生以下情况，本协议终止：</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00AD5EA9">
        <w:rPr>
          <w:rFonts w:ascii="宋体" w:hAnsi="Calibri"/>
          <w:bCs/>
          <w:szCs w:val="21"/>
          <w:highlight w:val="white"/>
          <w:lang w:eastAsia="zh-CN"/>
        </w:rPr>
        <w:t>、</w:t>
      </w:r>
      <w:r>
        <w:rPr>
          <w:rFonts w:ascii="宋体" w:hAnsi="Calibri"/>
          <w:bCs/>
          <w:szCs w:val="21"/>
          <w:highlight w:val="white"/>
          <w:lang w:eastAsia="zh-CN"/>
        </w:rPr>
        <w:t>基金合同终止；</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00AD5EA9">
        <w:rPr>
          <w:rFonts w:ascii="宋体" w:hAnsi="Calibri"/>
          <w:bCs/>
          <w:szCs w:val="21"/>
          <w:highlight w:val="white"/>
          <w:lang w:eastAsia="zh-CN"/>
        </w:rPr>
        <w:t>、</w:t>
      </w:r>
      <w:r>
        <w:rPr>
          <w:rFonts w:ascii="宋体" w:hAnsi="Calibri"/>
          <w:bCs/>
          <w:szCs w:val="21"/>
          <w:highlight w:val="white"/>
          <w:lang w:eastAsia="zh-CN"/>
        </w:rPr>
        <w:t>基金托管人解散、依法被撤销、破产或由其他基金托管人接管基金资产；</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00AD5EA9">
        <w:rPr>
          <w:rFonts w:ascii="宋体" w:hAnsi="Calibri"/>
          <w:bCs/>
          <w:szCs w:val="21"/>
          <w:highlight w:val="white"/>
          <w:lang w:eastAsia="zh-CN"/>
        </w:rPr>
        <w:t>、</w:t>
      </w:r>
      <w:r>
        <w:rPr>
          <w:rFonts w:ascii="宋体" w:hAnsi="Calibri"/>
          <w:bCs/>
          <w:szCs w:val="21"/>
          <w:highlight w:val="white"/>
          <w:lang w:eastAsia="zh-CN"/>
        </w:rPr>
        <w:t>基金管理人解散、依法被撤销、破产或由其他基金管理人接管基金管理权；</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4</w:t>
      </w:r>
      <w:r w:rsidR="00AD5EA9">
        <w:rPr>
          <w:rFonts w:ascii="宋体" w:hAnsi="Calibri"/>
          <w:bCs/>
          <w:szCs w:val="21"/>
          <w:highlight w:val="white"/>
          <w:lang w:eastAsia="zh-CN"/>
        </w:rPr>
        <w:t>、</w:t>
      </w:r>
      <w:r>
        <w:rPr>
          <w:rFonts w:ascii="宋体" w:hAnsi="Calibri"/>
          <w:bCs/>
          <w:szCs w:val="21"/>
          <w:highlight w:val="white"/>
          <w:lang w:eastAsia="zh-CN"/>
        </w:rPr>
        <w:t>发生法律法规或基金合同规定的终止事项。</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二、基金财产的清算</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（一）基金财产清算小组</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00AD5EA9">
        <w:rPr>
          <w:rFonts w:ascii="宋体" w:hAnsi="Calibri"/>
          <w:bCs/>
          <w:szCs w:val="21"/>
          <w:highlight w:val="white"/>
          <w:lang w:eastAsia="zh-CN"/>
        </w:rPr>
        <w:t>、</w:t>
      </w:r>
      <w:r>
        <w:rPr>
          <w:rFonts w:ascii="宋体" w:hAnsi="Calibri"/>
          <w:bCs/>
          <w:szCs w:val="21"/>
          <w:highlight w:val="white"/>
          <w:lang w:eastAsia="zh-CN"/>
        </w:rPr>
        <w:t>自出现基金合同终止事由之日起30个工作日内成立清算小组，基金管理人组织基金财产清算小组并在中国证监会的监督下进行基金清算。</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00AD5EA9">
        <w:rPr>
          <w:rFonts w:ascii="宋体" w:hAnsi="Calibri"/>
          <w:bCs/>
          <w:szCs w:val="21"/>
          <w:highlight w:val="white"/>
          <w:lang w:eastAsia="zh-CN"/>
        </w:rPr>
        <w:t>、</w:t>
      </w:r>
      <w:r>
        <w:rPr>
          <w:rFonts w:ascii="宋体" w:hAnsi="Calibri"/>
          <w:bCs/>
          <w:szCs w:val="21"/>
          <w:highlight w:val="white"/>
          <w:lang w:eastAsia="zh-CN"/>
        </w:rPr>
        <w:t>基金财产清算小组成员由基金管理人、基金托管人、注册会计师、律师以及中国证监会指定的人员组成。基金财产清算小组可以聘用必要的工作人员。</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00AD5EA9">
        <w:rPr>
          <w:rFonts w:ascii="宋体" w:hAnsi="Calibri"/>
          <w:bCs/>
          <w:szCs w:val="21"/>
          <w:highlight w:val="white"/>
          <w:lang w:eastAsia="zh-CN"/>
        </w:rPr>
        <w:t>、</w:t>
      </w:r>
      <w:r>
        <w:rPr>
          <w:rFonts w:ascii="宋体" w:hAnsi="Calibri"/>
          <w:bCs/>
          <w:szCs w:val="21"/>
          <w:highlight w:val="white"/>
          <w:lang w:eastAsia="zh-CN"/>
        </w:rPr>
        <w:t>基金财产清算小组负责基金财产的保管、清理、估价、变现和分配。基金财产清算小组可以依法进行必要的民事活动。</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（二）基金财产清算程序</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1</w:t>
      </w:r>
      <w:r w:rsidR="00AD5EA9">
        <w:rPr>
          <w:rFonts w:ascii="宋体" w:hAnsi="Calibri"/>
          <w:bCs/>
          <w:szCs w:val="21"/>
          <w:highlight w:val="white"/>
          <w:lang w:eastAsia="zh-CN"/>
        </w:rPr>
        <w:t>、</w:t>
      </w:r>
      <w:r>
        <w:rPr>
          <w:rFonts w:ascii="宋体" w:hAnsi="Calibri"/>
          <w:bCs/>
          <w:szCs w:val="21"/>
          <w:highlight w:val="white"/>
          <w:lang w:eastAsia="zh-CN"/>
        </w:rPr>
        <w:t>基金合同终止情形出现时，由基金财产清算小组统一接管基金；</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2</w:t>
      </w:r>
      <w:r w:rsidR="00AD5EA9">
        <w:rPr>
          <w:rFonts w:ascii="宋体" w:hAnsi="Calibri"/>
          <w:bCs/>
          <w:szCs w:val="21"/>
          <w:highlight w:val="white"/>
          <w:lang w:eastAsia="zh-CN"/>
        </w:rPr>
        <w:t>、</w:t>
      </w:r>
      <w:r>
        <w:rPr>
          <w:rFonts w:ascii="宋体" w:hAnsi="Calibri"/>
          <w:bCs/>
          <w:szCs w:val="21"/>
          <w:highlight w:val="white"/>
          <w:lang w:eastAsia="zh-CN"/>
        </w:rPr>
        <w:t>对基金财产和债权债务进行清理和确认；</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3</w:t>
      </w:r>
      <w:r w:rsidR="00AD5EA9">
        <w:rPr>
          <w:rFonts w:ascii="宋体" w:hAnsi="Calibri"/>
          <w:bCs/>
          <w:szCs w:val="21"/>
          <w:highlight w:val="white"/>
          <w:lang w:eastAsia="zh-CN"/>
        </w:rPr>
        <w:t>、</w:t>
      </w:r>
      <w:r>
        <w:rPr>
          <w:rFonts w:ascii="宋体" w:hAnsi="Calibri"/>
          <w:bCs/>
          <w:szCs w:val="21"/>
          <w:highlight w:val="white"/>
          <w:lang w:eastAsia="zh-CN"/>
        </w:rPr>
        <w:t>对基金财产进行估值和变现；</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4</w:t>
      </w:r>
      <w:r w:rsidR="00AD5EA9">
        <w:rPr>
          <w:rFonts w:ascii="宋体" w:hAnsi="Calibri"/>
          <w:bCs/>
          <w:szCs w:val="21"/>
          <w:highlight w:val="white"/>
          <w:lang w:eastAsia="zh-CN"/>
        </w:rPr>
        <w:t>、</w:t>
      </w:r>
      <w:r>
        <w:rPr>
          <w:rFonts w:ascii="宋体" w:hAnsi="Calibri"/>
          <w:bCs/>
          <w:szCs w:val="21"/>
          <w:highlight w:val="white"/>
          <w:lang w:eastAsia="zh-CN"/>
        </w:rPr>
        <w:t>制作清算报告；</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5</w:t>
      </w:r>
      <w:r w:rsidR="00AD5EA9">
        <w:rPr>
          <w:rFonts w:ascii="宋体" w:hAnsi="Calibri"/>
          <w:bCs/>
          <w:szCs w:val="21"/>
          <w:highlight w:val="white"/>
          <w:lang w:eastAsia="zh-CN"/>
        </w:rPr>
        <w:t>、</w:t>
      </w:r>
      <w:r>
        <w:rPr>
          <w:rFonts w:ascii="宋体" w:hAnsi="Calibri"/>
          <w:bCs/>
          <w:szCs w:val="21"/>
          <w:highlight w:val="white"/>
          <w:lang w:eastAsia="zh-CN"/>
        </w:rPr>
        <w:t>聘请会计师事务所对清算报告进行外部审计，聘请律师事务所对清算报告出具法律意见书；</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6</w:t>
      </w:r>
      <w:r w:rsidR="00AD5EA9">
        <w:rPr>
          <w:rFonts w:ascii="宋体" w:hAnsi="Calibri"/>
          <w:bCs/>
          <w:szCs w:val="21"/>
          <w:highlight w:val="white"/>
          <w:lang w:eastAsia="zh-CN"/>
        </w:rPr>
        <w:t>、</w:t>
      </w:r>
      <w:r>
        <w:rPr>
          <w:rFonts w:ascii="宋体" w:hAnsi="Calibri"/>
          <w:bCs/>
          <w:szCs w:val="21"/>
          <w:highlight w:val="white"/>
          <w:lang w:eastAsia="zh-CN"/>
        </w:rPr>
        <w:t>将清算报告报中国证监会备案并公告；</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7</w:t>
      </w:r>
      <w:r w:rsidR="00AD5EA9">
        <w:rPr>
          <w:rFonts w:ascii="宋体" w:hAnsi="Calibri"/>
          <w:bCs/>
          <w:szCs w:val="21"/>
          <w:highlight w:val="white"/>
          <w:lang w:eastAsia="zh-CN"/>
        </w:rPr>
        <w:t>、</w:t>
      </w:r>
      <w:r>
        <w:rPr>
          <w:rFonts w:ascii="宋体" w:hAnsi="Calibri"/>
          <w:bCs/>
          <w:szCs w:val="21"/>
          <w:highlight w:val="white"/>
          <w:lang w:eastAsia="zh-CN"/>
        </w:rPr>
        <w:t>对基金剩余财产进行分配。</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基金财产清算的期限为6个月，但因本基金所持证券的流动性受到限制而不能及时变现的，清算期限相应顺延。</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（三）清算费用</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清算费用是指基金财产清算小组在进行基金清算过程中发生的所有合理费用，清算费用由基金财产清算小组优先从基金财产中支付。</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（四）基金财产清算剩余资产的分配</w:t>
      </w:r>
    </w:p>
    <w:p w:rsidR="002B1026">
      <w:pPr>
        <w:spacing w:line="360" w:lineRule="auto"/>
        <w:ind w:firstLine="420"/>
        <w:rPr>
          <w:rFonts w:ascii="宋体" w:hAnsi="Calibri"/>
          <w:szCs w:val="21"/>
          <w:lang w:eastAsia="zh-CN"/>
        </w:rPr>
      </w:pPr>
      <w:r>
        <w:rPr>
          <w:rFonts w:ascii="宋体" w:hAnsi="Calibri"/>
          <w:bCs/>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Calibri" w:hint="eastAsia"/>
          <w:szCs w:val="21"/>
          <w:lang w:eastAsia="zh-CN"/>
        </w:rPr>
        <w:t>分配金额需加上返还基金份额持有人的销售服务费（如有）。</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（五）基金财产清算的公告</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（六）基金财产清算账册及文件的保存</w:t>
      </w:r>
    </w:p>
    <w:p w:rsidR="002B1026">
      <w:pPr>
        <w:spacing w:line="360" w:lineRule="auto"/>
        <w:ind w:firstLine="420"/>
        <w:rPr>
          <w:rFonts w:ascii="宋体" w:hAnsi="Calibri"/>
          <w:bCs/>
          <w:szCs w:val="21"/>
          <w:lang w:eastAsia="zh-CN"/>
        </w:rPr>
      </w:pPr>
      <w:r>
        <w:rPr>
          <w:rFonts w:ascii="宋体" w:hAnsi="Calibri"/>
          <w:bCs/>
          <w:szCs w:val="21"/>
          <w:highlight w:val="white"/>
          <w:lang w:eastAsia="zh-CN"/>
        </w:rPr>
        <w:t>基金财产清算账册及有关文件由基金托管人保存20年以上。</w:t>
      </w:r>
    </w:p>
    <w:p w:rsidR="002B1026" w:rsidRPr="00387C29">
      <w:pPr>
        <w:pStyle w:val="Heading1"/>
        <w:pageBreakBefore/>
        <w:spacing w:before="317" w:after="317" w:line="360" w:lineRule="auto"/>
        <w:ind w:firstLine="200"/>
        <w:rPr>
          <w:rFonts w:ascii="宋体" w:eastAsia="宋体" w:hAnsi="Calibri"/>
          <w:sz w:val="30"/>
          <w:highlight w:val="white"/>
          <w:lang w:eastAsia="zh-CN"/>
        </w:rPr>
      </w:pPr>
      <w:bookmarkStart w:id="1868" w:name="_Toc227311259"/>
      <w:r>
        <w:rPr>
          <w:rFonts w:ascii="宋体" w:eastAsia="宋体" w:hAnsi="Calibri" w:hint="eastAsia"/>
          <w:sz w:val="30"/>
          <w:highlight w:val="white"/>
          <w:lang w:eastAsia="zh-CN"/>
        </w:rPr>
        <w:t>第二</w:t>
      </w:r>
      <w:bookmarkStart w:id="1869" w:name="_Toc332373591"/>
      <w:r>
        <w:rPr>
          <w:rFonts w:ascii="宋体" w:eastAsia="宋体" w:hAnsi="Calibri" w:hint="eastAsia"/>
          <w:sz w:val="30"/>
          <w:highlight w:val="white"/>
          <w:lang w:eastAsia="zh-CN"/>
        </w:rPr>
        <w:t>十六</w:t>
      </w:r>
      <w:r>
        <w:rPr>
          <w:rFonts w:ascii="宋体" w:eastAsia="宋体" w:hAnsi="Calibri"/>
          <w:sz w:val="30"/>
          <w:highlight w:val="white"/>
          <w:lang w:eastAsia="zh-CN"/>
        </w:rPr>
        <w:t>部分</w:t>
      </w:r>
      <w:r>
        <w:rPr>
          <w:rFonts w:ascii="宋体" w:eastAsia="宋体" w:hAnsi="Calibri" w:hint="eastAsia"/>
          <w:sz w:val="30"/>
          <w:highlight w:val="white"/>
          <w:lang w:eastAsia="zh-CN"/>
        </w:rPr>
        <w:t xml:space="preserve"> 对基金份额持有人的服务</w:t>
      </w:r>
      <w:bookmarkEnd w:id="1868"/>
      <w:bookmarkEnd w:id="1869"/>
    </w:p>
    <w:p w:rsidR="002B1026">
      <w:pPr>
        <w:pStyle w:val="BodyTextFirstIndent"/>
        <w:spacing w:after="0" w:line="360" w:lineRule="auto"/>
        <w:rPr>
          <w:rFonts w:ascii="宋体" w:hAnsi="Calibri"/>
          <w:lang w:eastAsia="zh-CN"/>
        </w:rPr>
      </w:pPr>
      <w:r>
        <w:rPr>
          <w:rFonts w:ascii="宋体" w:hAnsi="Calibri"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2B1026">
      <w:pPr>
        <w:pStyle w:val="BodyTextFirstIndent"/>
        <w:spacing w:after="0" w:line="360" w:lineRule="auto"/>
        <w:rPr>
          <w:rFonts w:ascii="宋体" w:hAnsi="Calibri"/>
          <w:lang w:eastAsia="zh-CN"/>
        </w:rPr>
      </w:pPr>
      <w:r>
        <w:rPr>
          <w:rFonts w:ascii="宋体" w:hAnsi="Calibri" w:hint="eastAsia"/>
          <w:highlight w:val="white"/>
          <w:lang w:eastAsia="zh-CN"/>
        </w:rPr>
        <w:t>一、基金份额持有人投资交易确认服务</w:t>
      </w:r>
    </w:p>
    <w:p w:rsidR="002B1026">
      <w:pPr>
        <w:pStyle w:val="BodyTextFirstIndent"/>
        <w:spacing w:after="0" w:line="360" w:lineRule="auto"/>
        <w:rPr>
          <w:rFonts w:ascii="宋体" w:hAnsi="Calibri"/>
          <w:lang w:eastAsia="zh-CN"/>
        </w:rPr>
      </w:pPr>
      <w:r>
        <w:rPr>
          <w:rFonts w:ascii="宋体" w:hAnsi="Calibri" w:hint="eastAsia"/>
          <w:highlight w:val="white"/>
          <w:lang w:eastAsia="zh-CN"/>
        </w:rPr>
        <w:t>登记机构保留基金份额持有人名册上列明的所有基金份额持有人的基金交易记录。本公司根据在直销网点进行交易的投资人的要求提供成交确认单。非直销销售机构基金份额持有人投资交易确认服务请参照各销售机构实际业务流程及规定。</w:t>
      </w:r>
    </w:p>
    <w:p w:rsidR="002B1026">
      <w:pPr>
        <w:pStyle w:val="BodyTextFirstIndent"/>
        <w:spacing w:after="0" w:line="360" w:lineRule="auto"/>
        <w:rPr>
          <w:rFonts w:ascii="宋体" w:hAnsi="宋体" w:cs="宋体"/>
          <w:lang w:eastAsia="zh-CN"/>
        </w:rPr>
      </w:pPr>
      <w:r>
        <w:rPr>
          <w:rFonts w:ascii="宋体" w:hAnsi="宋体" w:cs="宋体" w:hint="eastAsia"/>
          <w:highlight w:val="white"/>
          <w:lang w:eastAsia="zh-CN"/>
        </w:rPr>
        <w:t>二、基金份额持有人交易记录查询服务</w:t>
      </w:r>
    </w:p>
    <w:p w:rsidR="002B1026">
      <w:pPr>
        <w:pStyle w:val="BodyTextFirstIndent"/>
        <w:spacing w:after="0" w:line="360" w:lineRule="auto"/>
        <w:rPr>
          <w:rFonts w:ascii="宋体" w:hAnsi="宋体" w:cs="宋体"/>
          <w:lang w:eastAsia="zh-CN"/>
        </w:rPr>
      </w:pPr>
      <w:r>
        <w:rPr>
          <w:rFonts w:ascii="宋体" w:hAnsi="宋体" w:cs="宋体" w:hint="eastAsia"/>
          <w:highlight w:val="white"/>
          <w:lang w:eastAsia="zh-CN"/>
        </w:rPr>
        <w:t>本基金份额持有人可通过基金管理人的客户服务中心、微信小程序“易方达易服务”查询历史交易记录。</w:t>
      </w:r>
    </w:p>
    <w:p w:rsidR="002B1026">
      <w:pPr>
        <w:pStyle w:val="BodyTextFirstIndent"/>
        <w:spacing w:after="0" w:line="360" w:lineRule="auto"/>
        <w:rPr>
          <w:rFonts w:ascii="宋体" w:hAnsi="宋体" w:cs="宋体"/>
          <w:lang w:eastAsia="zh-CN"/>
        </w:rPr>
      </w:pPr>
      <w:r>
        <w:rPr>
          <w:rFonts w:ascii="宋体" w:hAnsi="宋体" w:cs="宋体" w:hint="eastAsia"/>
          <w:highlight w:val="white"/>
          <w:lang w:eastAsia="zh-CN"/>
        </w:rPr>
        <w:t>三、基金份额持有人的对账单服务</w:t>
      </w:r>
    </w:p>
    <w:p w:rsidR="002B1026">
      <w:pPr>
        <w:pStyle w:val="BodyTextFirstIndent"/>
        <w:spacing w:after="0" w:line="360" w:lineRule="auto"/>
        <w:rPr>
          <w:rFonts w:ascii="宋体" w:hAnsi="宋体" w:cs="宋体"/>
        </w:rPr>
      </w:pPr>
      <w:r>
        <w:rPr>
          <w:rFonts w:ascii="宋体" w:hAnsi="宋体" w:cs="宋体" w:hint="eastAsia"/>
          <w:highlight w:val="white"/>
        </w:rPr>
        <w:t>1、基金份额持有人可登录本公司网站</w:t>
      </w:r>
      <w:r>
        <w:rPr>
          <w:rFonts w:ascii="宋体" w:hAnsi="宋体" w:cs="宋体" w:hint="eastAsia"/>
          <w:szCs w:val="21"/>
          <w:highlight w:val="white"/>
        </w:rPr>
        <w:t>（www.efunds.com.cn）、微信小程序</w:t>
      </w:r>
      <w:r>
        <w:rPr>
          <w:rFonts w:ascii="宋体" w:hAnsi="宋体" w:cs="宋体" w:hint="eastAsia"/>
          <w:highlight w:val="white"/>
        </w:rPr>
        <w:t>“易方达易服务”查阅对账单。</w:t>
      </w:r>
    </w:p>
    <w:p w:rsidR="002B1026">
      <w:pPr>
        <w:pStyle w:val="BodyTextFirstIndent"/>
        <w:spacing w:after="0" w:line="360" w:lineRule="auto"/>
        <w:rPr>
          <w:rFonts w:ascii="宋体" w:hAnsi="Calibri"/>
          <w:lang w:eastAsia="zh-CN"/>
        </w:rPr>
      </w:pPr>
      <w:r>
        <w:rPr>
          <w:rFonts w:ascii="宋体" w:hAnsi="宋体" w:cs="宋体"/>
          <w:highlight w:val="white"/>
          <w:lang w:eastAsia="zh-CN"/>
        </w:rPr>
        <w:t>2、</w:t>
      </w:r>
      <w:r>
        <w:rPr>
          <w:rFonts w:ascii="宋体" w:hAnsi="宋体" w:cs="宋体" w:hint="eastAsia"/>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2B1026">
      <w:pPr>
        <w:spacing w:line="360" w:lineRule="auto"/>
        <w:ind w:firstLine="424"/>
        <w:rPr>
          <w:rFonts w:ascii="宋体" w:hAnsi="Calibri"/>
          <w:sz w:val="30"/>
          <w:lang w:eastAsia="zh-CN"/>
        </w:rPr>
      </w:pPr>
      <w:r>
        <w:rPr>
          <w:rFonts w:ascii="宋体" w:hAnsi="Calibri" w:hint="eastAsia"/>
          <w:highlight w:val="white"/>
          <w:lang w:eastAsia="zh-CN"/>
        </w:rPr>
        <w:t>具体查阅和定制账单的方法可参见本公司网站或拨打客服热线咨询。</w:t>
      </w:r>
    </w:p>
    <w:p w:rsidR="002B1026">
      <w:pPr>
        <w:pStyle w:val="BodyTextFirstIndent"/>
        <w:spacing w:after="0" w:line="360" w:lineRule="auto"/>
        <w:rPr>
          <w:rFonts w:ascii="宋体" w:hAnsi="Calibri"/>
          <w:lang w:eastAsia="zh-CN"/>
        </w:rPr>
      </w:pPr>
      <w:r>
        <w:rPr>
          <w:rFonts w:ascii="宋体" w:hAnsi="Calibri" w:hint="eastAsia"/>
          <w:highlight w:val="white"/>
          <w:lang w:eastAsia="zh-CN"/>
        </w:rPr>
        <w:t>四、资讯服务</w:t>
      </w:r>
    </w:p>
    <w:p w:rsidR="002B1026">
      <w:pPr>
        <w:spacing w:line="360" w:lineRule="auto"/>
        <w:ind w:firstLine="424"/>
        <w:rPr>
          <w:rFonts w:ascii="宋体" w:hAnsi="Calibri"/>
          <w:lang w:eastAsia="zh-CN"/>
        </w:rPr>
      </w:pPr>
      <w:r>
        <w:rPr>
          <w:rFonts w:ascii="宋体" w:hAnsi="Calibri"/>
          <w:highlight w:val="white"/>
          <w:lang w:eastAsia="zh-CN"/>
        </w:rPr>
        <w:t>1、客户服务电话</w:t>
      </w:r>
    </w:p>
    <w:p w:rsidR="002B1026">
      <w:pPr>
        <w:spacing w:line="360" w:lineRule="auto"/>
        <w:ind w:firstLine="424"/>
        <w:rPr>
          <w:rFonts w:ascii="宋体" w:hAnsi="Calibri"/>
          <w:lang w:eastAsia="zh-CN"/>
        </w:rPr>
      </w:pPr>
      <w:r>
        <w:rPr>
          <w:rFonts w:ascii="宋体" w:hAnsi="Calibri" w:hint="eastAsia"/>
          <w:highlight w:val="white"/>
          <w:lang w:eastAsia="zh-CN"/>
        </w:rPr>
        <w:t>投资者如果想了解基金产品、服务等信息，或反馈投资过程中需要投诉与建议的情况，可拨打如下电话：</w:t>
      </w:r>
      <w:r>
        <w:rPr>
          <w:rFonts w:ascii="宋体" w:hAnsi="Calibri"/>
          <w:highlight w:val="white"/>
          <w:lang w:eastAsia="zh-CN"/>
        </w:rPr>
        <w:t>4008818088。</w:t>
      </w:r>
      <w:r>
        <w:rPr>
          <w:rFonts w:ascii="宋体" w:hAnsi="Calibri" w:hint="eastAsia"/>
          <w:highlight w:val="white"/>
          <w:lang w:eastAsia="zh-CN"/>
        </w:rPr>
        <w:t>投资者如果认为自己不能准确理解本基金《招募说明书》《基金合同》的具体内容，也可拨打上述电话详询。</w:t>
      </w:r>
    </w:p>
    <w:p w:rsidR="002B1026">
      <w:pPr>
        <w:spacing w:line="360" w:lineRule="auto"/>
        <w:ind w:firstLine="424"/>
        <w:rPr>
          <w:rFonts w:ascii="宋体" w:hAnsi="Calibri"/>
        </w:rPr>
      </w:pPr>
      <w:r>
        <w:rPr>
          <w:rFonts w:ascii="宋体" w:hAnsi="Calibri"/>
          <w:highlight w:val="white"/>
        </w:rPr>
        <w:t>2、互联网站及电子信箱</w:t>
      </w:r>
    </w:p>
    <w:p w:rsidR="002B1026">
      <w:pPr>
        <w:spacing w:line="360" w:lineRule="auto"/>
        <w:ind w:firstLine="424"/>
        <w:rPr>
          <w:rFonts w:ascii="宋体" w:hAnsi="Calibri"/>
        </w:rPr>
      </w:pPr>
      <w:r>
        <w:rPr>
          <w:rFonts w:ascii="宋体" w:hAnsi="Calibri" w:hint="eastAsia"/>
          <w:highlight w:val="white"/>
        </w:rPr>
        <w:t>网址：</w:t>
      </w:r>
      <w:r>
        <w:rPr>
          <w:rFonts w:ascii="宋体" w:hAnsi="Calibri"/>
          <w:highlight w:val="white"/>
        </w:rPr>
        <w:t>www.efunds.com.cn</w:t>
      </w:r>
    </w:p>
    <w:p w:rsidR="002B1026">
      <w:pPr>
        <w:spacing w:line="360" w:lineRule="auto"/>
        <w:ind w:firstLine="424"/>
        <w:rPr>
          <w:rFonts w:ascii="宋体" w:hAnsi="Calibri"/>
        </w:rPr>
      </w:pPr>
      <w:r>
        <w:rPr>
          <w:rFonts w:ascii="宋体" w:hAnsi="Calibri" w:hint="eastAsia"/>
          <w:highlight w:val="white"/>
        </w:rPr>
        <w:t>电子信箱：</w:t>
      </w:r>
      <w:r>
        <w:rPr>
          <w:rFonts w:ascii="宋体" w:hAnsi="Calibri"/>
          <w:highlight w:val="white"/>
        </w:rPr>
        <w:t xml:space="preserve">service@efunds.com.cn </w:t>
      </w:r>
    </w:p>
    <w:p w:rsidR="002B1026">
      <w:pPr>
        <w:pStyle w:val="Heading1"/>
        <w:pageBreakBefore/>
        <w:spacing w:before="317" w:after="317" w:line="360" w:lineRule="auto"/>
        <w:ind w:firstLine="2550"/>
        <w:jc w:val="both"/>
        <w:rPr>
          <w:rFonts w:ascii="宋体" w:eastAsia="宋体" w:hAnsi="Calibri"/>
          <w:lang w:eastAsia="zh-CN"/>
        </w:rPr>
      </w:pPr>
      <w:bookmarkStart w:id="1870" w:name="_Toc332373592"/>
      <w:bookmarkStart w:id="1871" w:name="_Toc227311260"/>
      <w:r>
        <w:rPr>
          <w:rFonts w:ascii="宋体" w:eastAsia="宋体" w:hAnsi="Calibri" w:hint="eastAsia"/>
          <w:sz w:val="30"/>
          <w:highlight w:val="white"/>
          <w:lang w:eastAsia="zh-CN"/>
        </w:rPr>
        <w:t>第二十七部分 其他应披露事项</w:t>
      </w:r>
      <w:bookmarkEnd w:id="1870"/>
      <w:bookmarkEnd w:id="1871"/>
    </w:p>
    <w:p w:rsidR="002B1026">
      <w:pPr>
        <w:spacing w:line="400" w:lineRule="exact"/>
        <w:ind w:firstLine="420"/>
        <w:rPr>
          <w:rFonts w:ascii="宋体" w:hAnsi="Calibri"/>
          <w:sz w:val="30"/>
          <w:lang w:eastAsia="zh-CN"/>
        </w:rPr>
      </w:pPr>
      <w:r>
        <w:rPr>
          <w:rFonts w:ascii="宋体" w:hAnsi="Calibri" w:hint="eastAsia"/>
          <w:highlight w:val="white"/>
          <w:lang w:eastAsia="zh-CN"/>
        </w:rPr>
        <w:t>无</w:t>
      </w:r>
    </w:p>
    <w:p w:rsidR="002B1026">
      <w:pPr>
        <w:rPr>
          <w:rFonts w:ascii="宋体" w:hAnsi="Calibri"/>
          <w:lang w:eastAsia="zh-CN"/>
        </w:rPr>
      </w:pPr>
    </w:p>
    <w:p w:rsidR="002B1026">
      <w:pPr>
        <w:rPr>
          <w:rFonts w:ascii="宋体" w:hAnsi="Calibri"/>
          <w:lang w:eastAsia="zh-CN"/>
        </w:rPr>
      </w:pPr>
    </w:p>
    <w:p w:rsidR="002B1026">
      <w:pPr>
        <w:rPr>
          <w:rFonts w:ascii="宋体" w:hAnsi="Calibri"/>
          <w:lang w:eastAsia="zh-CN"/>
        </w:rPr>
      </w:pPr>
    </w:p>
    <w:p w:rsidR="002B1026">
      <w:pPr>
        <w:rPr>
          <w:rFonts w:ascii="宋体" w:hAnsi="Calibri"/>
          <w:lang w:eastAsia="zh-CN"/>
        </w:rPr>
      </w:pPr>
    </w:p>
    <w:p w:rsidR="002B1026">
      <w:pPr>
        <w:rPr>
          <w:rFonts w:ascii="宋体" w:hAnsi="Calibri"/>
          <w:lang w:eastAsia="zh-CN"/>
        </w:rPr>
      </w:pPr>
    </w:p>
    <w:p w:rsidR="002B1026">
      <w:pPr>
        <w:rPr>
          <w:rFonts w:ascii="宋体" w:hAnsi="Calibri"/>
          <w:lang w:eastAsia="zh-CN"/>
        </w:rPr>
      </w:pPr>
    </w:p>
    <w:p w:rsidR="002B1026">
      <w:pPr>
        <w:rPr>
          <w:rFonts w:ascii="宋体" w:hAnsi="Calibri"/>
          <w:lang w:eastAsia="zh-CN"/>
        </w:rPr>
      </w:pPr>
    </w:p>
    <w:p w:rsidR="002B1026">
      <w:pPr>
        <w:rPr>
          <w:rFonts w:ascii="宋体" w:hAnsi="Calibri"/>
          <w:lang w:eastAsia="zh-CN"/>
        </w:rPr>
      </w:pPr>
    </w:p>
    <w:p w:rsidR="002B1026">
      <w:pPr>
        <w:rPr>
          <w:rFonts w:ascii="宋体" w:hAnsi="Calibri"/>
          <w:lang w:eastAsia="zh-CN"/>
        </w:rPr>
      </w:pPr>
    </w:p>
    <w:p w:rsidR="002B1026">
      <w:pPr>
        <w:pStyle w:val="NormalIndent"/>
        <w:rPr>
          <w:rFonts w:ascii="宋体" w:hAnsi="Calibri"/>
          <w:lang w:eastAsia="zh-CN"/>
        </w:rPr>
      </w:pPr>
    </w:p>
    <w:p w:rsidR="002B1026">
      <w:pPr>
        <w:widowControl/>
        <w:jc w:val="left"/>
        <w:rPr>
          <w:rFonts w:ascii="宋体" w:hAnsi="Calibri"/>
          <w:sz w:val="30"/>
          <w:szCs w:val="32"/>
          <w:lang w:eastAsia="zh-CN"/>
        </w:rPr>
      </w:pPr>
      <w:r>
        <w:rPr>
          <w:rFonts w:ascii="宋体" w:hAnsi="Calibri"/>
          <w:sz w:val="30"/>
          <w:highlight w:val="white"/>
          <w:lang w:eastAsia="zh-CN"/>
        </w:rPr>
        <w:br w:type="page"/>
      </w:r>
    </w:p>
    <w:p w:rsidR="002B1026">
      <w:pPr>
        <w:pStyle w:val="Heading1"/>
        <w:spacing w:before="317" w:after="317" w:line="360" w:lineRule="auto"/>
        <w:ind w:firstLine="600"/>
        <w:rPr>
          <w:rFonts w:ascii="宋体" w:eastAsia="宋体" w:hAnsi="Calibri"/>
          <w:bCs/>
          <w:sz w:val="20"/>
          <w:szCs w:val="20"/>
          <w:lang w:eastAsia="zh-CN"/>
        </w:rPr>
      </w:pPr>
      <w:bookmarkStart w:id="1872" w:name="_Toc227311261"/>
      <w:r>
        <w:rPr>
          <w:rFonts w:ascii="宋体" w:eastAsia="宋体" w:hAnsi="Calibri" w:hint="eastAsia"/>
          <w:sz w:val="30"/>
          <w:highlight w:val="white"/>
          <w:lang w:eastAsia="zh-CN"/>
        </w:rPr>
        <w:t>第二</w:t>
      </w:r>
      <w:bookmarkStart w:id="1873" w:name="_Toc332373593"/>
      <w:r>
        <w:rPr>
          <w:rFonts w:ascii="宋体" w:eastAsia="宋体" w:hAnsi="Calibri" w:hint="eastAsia"/>
          <w:sz w:val="30"/>
          <w:highlight w:val="white"/>
          <w:lang w:eastAsia="zh-CN"/>
        </w:rPr>
        <w:t>十八部分 招募说明书的存放及查阅方式</w:t>
      </w:r>
      <w:bookmarkEnd w:id="1873"/>
      <w:bookmarkEnd w:id="1872"/>
    </w:p>
    <w:p w:rsidR="002B1026">
      <w:pPr>
        <w:spacing w:line="360" w:lineRule="auto"/>
        <w:ind w:firstLine="420"/>
        <w:rPr>
          <w:rFonts w:ascii="宋体" w:hAnsi="Calibri"/>
          <w:lang w:eastAsia="zh-CN"/>
        </w:rPr>
      </w:pPr>
      <w:r>
        <w:rPr>
          <w:rFonts w:ascii="宋体" w:hAnsi="Calibri" w:hint="eastAsia"/>
          <w:highlight w:val="white"/>
          <w:lang w:eastAsia="zh-CN"/>
        </w:rPr>
        <w:t>本招募说明书存放在基金管理人、基金托管人及其他基金销售机构处，投资者可在营业时间免费查阅，也可按工本费购买复印件。</w:t>
      </w:r>
    </w:p>
    <w:p w:rsidR="002B1026">
      <w:pPr>
        <w:spacing w:line="360" w:lineRule="auto"/>
        <w:ind w:firstLine="420"/>
        <w:rPr>
          <w:rFonts w:ascii="宋体" w:hAnsi="Calibri"/>
          <w:lang w:eastAsia="zh-CN"/>
        </w:rPr>
      </w:pPr>
      <w:r>
        <w:rPr>
          <w:rFonts w:ascii="宋体" w:hAnsi="Calibri" w:hint="eastAsia"/>
          <w:highlight w:val="white"/>
          <w:lang w:eastAsia="zh-CN"/>
        </w:rPr>
        <w:t>基金管理人和基金托管人保证文本的内容与公告的内容完全一致。</w:t>
      </w:r>
    </w:p>
    <w:p w:rsidR="002B1026">
      <w:pPr>
        <w:pStyle w:val="Heading1"/>
        <w:spacing w:before="317" w:after="317" w:line="360" w:lineRule="auto"/>
        <w:ind w:firstLine="600"/>
        <w:rPr>
          <w:rFonts w:ascii="宋体" w:eastAsia="宋体" w:hAnsi="Calibri"/>
          <w:bCs/>
          <w:sz w:val="20"/>
          <w:szCs w:val="20"/>
          <w:lang w:eastAsia="zh-CN"/>
        </w:rPr>
      </w:pPr>
      <w:r>
        <w:rPr>
          <w:rFonts w:ascii="宋体" w:eastAsia="宋体" w:hAnsi="Calibri"/>
          <w:sz w:val="30"/>
          <w:highlight w:val="white"/>
          <w:lang w:eastAsia="zh-CN"/>
        </w:rPr>
        <w:br w:type="column"/>
      </w:r>
      <w:bookmarkStart w:id="1874" w:name="_Toc227311262"/>
      <w:r>
        <w:rPr>
          <w:rFonts w:ascii="宋体" w:eastAsia="宋体" w:hAnsi="Calibri"/>
          <w:sz w:val="30"/>
          <w:highlight w:val="white"/>
          <w:lang w:eastAsia="zh-CN"/>
        </w:rPr>
        <w:t>第</w:t>
      </w:r>
      <w:r>
        <w:rPr>
          <w:rFonts w:ascii="宋体" w:eastAsia="宋体" w:hAnsi="Calibri" w:hint="eastAsia"/>
          <w:sz w:val="30"/>
          <w:highlight w:val="white"/>
          <w:lang w:eastAsia="zh-CN"/>
        </w:rPr>
        <w:t>二</w:t>
      </w:r>
      <w:bookmarkStart w:id="1875" w:name="_Toc332373594"/>
      <w:r>
        <w:rPr>
          <w:rFonts w:ascii="宋体" w:eastAsia="宋体" w:hAnsi="Calibri" w:hint="eastAsia"/>
          <w:sz w:val="30"/>
          <w:highlight w:val="white"/>
          <w:lang w:eastAsia="zh-CN"/>
        </w:rPr>
        <w:t>十九部分 备查文件</w:t>
      </w:r>
      <w:bookmarkEnd w:id="1875"/>
      <w:bookmarkEnd w:id="1874"/>
    </w:p>
    <w:p w:rsidR="002B1026">
      <w:pPr>
        <w:spacing w:line="360" w:lineRule="auto"/>
        <w:ind w:firstLine="420"/>
        <w:rPr>
          <w:rFonts w:ascii="宋体" w:hAnsi="Calibri" w:cs="宋体"/>
          <w:lang w:eastAsia="zh-CN"/>
        </w:rPr>
      </w:pPr>
      <w:r>
        <w:rPr>
          <w:rFonts w:ascii="宋体" w:hAnsi="Calibri" w:cs="宋体" w:hint="eastAsia"/>
          <w:highlight w:val="white"/>
          <w:lang w:eastAsia="zh-CN"/>
        </w:rPr>
        <w:t>1.中国证监会准予</w:t>
      </w:r>
      <w:r>
        <w:rPr>
          <w:rFonts w:ascii="宋体" w:hAnsi="Calibri" w:cs="宋体" w:hint="eastAsia"/>
          <w:lang w:eastAsia="zh-CN"/>
        </w:rPr>
        <w:t>易方达如意安惠6个月持有期混合型基金中基金（FOF）</w:t>
      </w:r>
      <w:r>
        <w:rPr>
          <w:rFonts w:ascii="宋体" w:hAnsi="Calibri" w:cs="宋体" w:hint="eastAsia"/>
          <w:highlight w:val="white"/>
          <w:lang w:eastAsia="zh-CN"/>
        </w:rPr>
        <w:t>注册的文件；</w:t>
      </w:r>
    </w:p>
    <w:p w:rsidR="002B1026">
      <w:pPr>
        <w:spacing w:line="360" w:lineRule="auto"/>
        <w:ind w:firstLine="420"/>
        <w:rPr>
          <w:rFonts w:ascii="宋体" w:hAnsi="Calibri" w:cs="宋体"/>
          <w:lang w:eastAsia="zh-CN"/>
        </w:rPr>
      </w:pPr>
      <w:r>
        <w:rPr>
          <w:rFonts w:ascii="宋体" w:hAnsi="Calibri" w:cs="宋体" w:hint="eastAsia"/>
          <w:highlight w:val="white"/>
          <w:lang w:eastAsia="zh-CN"/>
        </w:rPr>
        <w:t>2.《</w:t>
      </w:r>
      <w:r>
        <w:rPr>
          <w:rFonts w:ascii="宋体" w:hAnsi="Calibri" w:cs="宋体" w:hint="eastAsia"/>
          <w:lang w:eastAsia="zh-CN"/>
        </w:rPr>
        <w:t>易方达如意安惠6个月持有期混合型基金中基金（FOF）</w:t>
      </w:r>
      <w:r>
        <w:rPr>
          <w:rFonts w:ascii="宋体" w:hAnsi="Calibri" w:cs="宋体" w:hint="eastAsia"/>
          <w:highlight w:val="white"/>
          <w:lang w:eastAsia="zh-CN"/>
        </w:rPr>
        <w:t>基金合同》；</w:t>
      </w:r>
    </w:p>
    <w:p w:rsidR="002B1026">
      <w:pPr>
        <w:spacing w:line="360" w:lineRule="auto"/>
        <w:ind w:firstLine="420"/>
        <w:rPr>
          <w:rFonts w:ascii="宋体" w:hAnsi="Calibri" w:cs="宋体"/>
          <w:lang w:eastAsia="zh-CN"/>
        </w:rPr>
      </w:pPr>
      <w:r>
        <w:rPr>
          <w:rFonts w:ascii="宋体" w:hAnsi="Calibri" w:cs="宋体" w:hint="eastAsia"/>
          <w:highlight w:val="white"/>
          <w:lang w:eastAsia="zh-CN"/>
        </w:rPr>
        <w:t>3.《</w:t>
      </w:r>
      <w:r>
        <w:rPr>
          <w:rFonts w:ascii="宋体" w:hAnsi="Calibri" w:cs="宋体" w:hint="eastAsia"/>
          <w:lang w:eastAsia="zh-CN"/>
        </w:rPr>
        <w:t>易方达如意安惠6个月持有期混合型基金中基金（FOF）</w:t>
      </w:r>
      <w:r>
        <w:rPr>
          <w:rFonts w:ascii="宋体" w:hAnsi="Calibri" w:cs="宋体" w:hint="eastAsia"/>
          <w:highlight w:val="white"/>
          <w:lang w:eastAsia="zh-CN"/>
        </w:rPr>
        <w:t>托管协议》；</w:t>
      </w:r>
    </w:p>
    <w:p w:rsidR="002B1026">
      <w:pPr>
        <w:spacing w:line="360" w:lineRule="auto"/>
        <w:ind w:firstLine="420"/>
        <w:rPr>
          <w:rFonts w:ascii="宋体" w:hAnsi="Calibri" w:cs="宋体"/>
          <w:lang w:eastAsia="zh-CN"/>
        </w:rPr>
      </w:pPr>
      <w:r>
        <w:rPr>
          <w:rFonts w:ascii="宋体" w:hAnsi="Calibri" w:cs="宋体" w:hint="eastAsia"/>
          <w:highlight w:val="white"/>
          <w:lang w:eastAsia="zh-CN"/>
        </w:rPr>
        <w:t>4.《易方达基金管理有限公司开放式基金业务规则》；</w:t>
      </w:r>
    </w:p>
    <w:p w:rsidR="002B1026">
      <w:pPr>
        <w:spacing w:line="360" w:lineRule="auto"/>
        <w:ind w:firstLine="420"/>
        <w:rPr>
          <w:rFonts w:ascii="宋体" w:hAnsi="Calibri" w:cs="宋体"/>
          <w:lang w:eastAsia="zh-CN"/>
        </w:rPr>
      </w:pPr>
      <w:r>
        <w:rPr>
          <w:rFonts w:ascii="宋体" w:hAnsi="Calibri" w:cs="宋体" w:hint="eastAsia"/>
          <w:highlight w:val="white"/>
          <w:lang w:eastAsia="zh-CN"/>
        </w:rPr>
        <w:t>5.法律意见书；</w:t>
      </w:r>
    </w:p>
    <w:p w:rsidR="002B1026">
      <w:pPr>
        <w:spacing w:line="360" w:lineRule="auto"/>
        <w:ind w:firstLine="420"/>
        <w:rPr>
          <w:rFonts w:ascii="宋体" w:hAnsi="Calibri" w:cs="宋体"/>
          <w:lang w:eastAsia="zh-CN"/>
        </w:rPr>
      </w:pPr>
      <w:r>
        <w:rPr>
          <w:rFonts w:ascii="宋体" w:hAnsi="Calibri" w:cs="宋体" w:hint="eastAsia"/>
          <w:highlight w:val="white"/>
          <w:lang w:eastAsia="zh-CN"/>
        </w:rPr>
        <w:t>6.基金管理人业务资格批件、营业执照；</w:t>
      </w:r>
    </w:p>
    <w:p w:rsidR="002B1026">
      <w:pPr>
        <w:spacing w:line="360" w:lineRule="auto"/>
        <w:ind w:firstLine="420"/>
        <w:rPr>
          <w:rFonts w:ascii="宋体" w:hAnsi="Calibri" w:cs="宋体"/>
          <w:lang w:eastAsia="zh-CN"/>
        </w:rPr>
      </w:pPr>
      <w:r>
        <w:rPr>
          <w:rFonts w:ascii="宋体" w:hAnsi="Calibri" w:cs="宋体" w:hint="eastAsia"/>
          <w:highlight w:val="white"/>
          <w:lang w:eastAsia="zh-CN"/>
        </w:rPr>
        <w:t>7.基金托管人业务资格批件、营业执照。</w:t>
      </w:r>
    </w:p>
    <w:p w:rsidR="002B1026">
      <w:pPr>
        <w:spacing w:line="360" w:lineRule="auto"/>
        <w:ind w:firstLine="420"/>
        <w:rPr>
          <w:rFonts w:ascii="宋体" w:hAnsi="Calibri" w:cs="宋体"/>
          <w:lang w:eastAsia="zh-CN"/>
        </w:rPr>
      </w:pPr>
      <w:r>
        <w:rPr>
          <w:rFonts w:ascii="宋体" w:hAnsi="Calibri" w:cs="宋体" w:hint="eastAsia"/>
          <w:highlight w:val="white"/>
          <w:lang w:eastAsia="zh-CN"/>
        </w:rPr>
        <w:t>存放地点：基金管理人、基金托管人处。</w:t>
      </w:r>
    </w:p>
    <w:p w:rsidR="002B1026">
      <w:pPr>
        <w:pStyle w:val="PlainText"/>
        <w:spacing w:line="360" w:lineRule="auto"/>
        <w:ind w:firstLine="420"/>
        <w:rPr>
          <w:rFonts w:hAnsi="Calibri"/>
          <w:sz w:val="21"/>
          <w:lang w:eastAsia="zh-CN"/>
        </w:rPr>
      </w:pPr>
      <w:r>
        <w:rPr>
          <w:rFonts w:hAnsi="Calibri" w:cs="宋体" w:hint="eastAsia"/>
          <w:sz w:val="21"/>
          <w:highlight w:val="white"/>
          <w:lang w:eastAsia="zh-CN"/>
        </w:rPr>
        <w:t>查阅方式：投资者可在营业时间免费查阅，也可按工本费购买复印件。</w:t>
      </w:r>
    </w:p>
    <w:p w:rsidR="002B1026">
      <w:pPr>
        <w:pStyle w:val="PlainText"/>
        <w:spacing w:line="360" w:lineRule="auto"/>
        <w:ind w:firstLine="420"/>
        <w:rPr>
          <w:rFonts w:hAnsi="Calibri"/>
          <w:sz w:val="21"/>
          <w:lang w:eastAsia="zh-CN"/>
        </w:rPr>
      </w:pPr>
    </w:p>
    <w:p w:rsidR="002B1026">
      <w:pPr>
        <w:pStyle w:val="PlainText"/>
        <w:spacing w:line="360" w:lineRule="auto"/>
        <w:ind w:firstLine="420"/>
        <w:rPr>
          <w:rFonts w:hAnsi="Calibri"/>
          <w:sz w:val="21"/>
          <w:lang w:eastAsia="zh-CN"/>
        </w:rPr>
      </w:pPr>
    </w:p>
    <w:p w:rsidR="002B1026">
      <w:pPr>
        <w:snapToGrid w:val="0"/>
        <w:spacing w:line="360" w:lineRule="auto"/>
        <w:ind w:firstLine="420"/>
        <w:jc w:val="right"/>
        <w:rPr>
          <w:rFonts w:ascii="宋体" w:hAnsi="Calibri"/>
          <w:szCs w:val="21"/>
          <w:lang w:eastAsia="zh-CN"/>
        </w:rPr>
      </w:pPr>
      <w:r>
        <w:rPr>
          <w:rFonts w:ascii="宋体" w:hAnsi="Calibri" w:hint="eastAsia"/>
          <w:szCs w:val="21"/>
          <w:highlight w:val="white"/>
          <w:lang w:eastAsia="zh-CN"/>
        </w:rPr>
        <w:t>易方达基金管理有限公司</w:t>
      </w:r>
    </w:p>
    <w:p w:rsidR="002B1026">
      <w:pPr>
        <w:spacing w:line="360" w:lineRule="auto"/>
        <w:ind w:right="420" w:firstLine="420"/>
        <w:jc w:val="right"/>
        <w:rPr>
          <w:rFonts w:ascii="宋体" w:hAnsi="Calibri"/>
        </w:rPr>
      </w:pPr>
      <w:r>
        <w:rPr>
          <w:rFonts w:ascii="宋体" w:hAnsi="Calibri" w:cs="宋体" w:hint="eastAsia"/>
          <w:color w:val="000000"/>
          <w:highlight w:val="white"/>
        </w:rPr>
        <w:t>202</w:t>
      </w:r>
      <w:r>
        <w:rPr>
          <w:rFonts w:ascii="宋体" w:hAnsi="Calibri" w:cs="宋体"/>
          <w:color w:val="000000"/>
          <w:highlight w:val="white"/>
        </w:rPr>
        <w:t>6</w:t>
      </w:r>
      <w:r>
        <w:rPr>
          <w:rFonts w:ascii="宋体" w:hAnsi="Calibri" w:cs="宋体" w:hint="eastAsia"/>
          <w:color w:val="000000"/>
          <w:highlight w:val="white"/>
        </w:rPr>
        <w:t>年</w:t>
      </w:r>
      <w:r w:rsidR="00DA18EA">
        <w:rPr>
          <w:rFonts w:ascii="宋体" w:hAnsi="Calibri" w:cs="宋体"/>
          <w:color w:val="000000"/>
          <w:highlight w:val="white"/>
        </w:rPr>
        <w:t>4</w:t>
      </w:r>
      <w:r>
        <w:rPr>
          <w:rFonts w:ascii="宋体" w:hAnsi="Calibri" w:cs="宋体" w:hint="eastAsia"/>
          <w:color w:val="000000"/>
          <w:highlight w:val="white"/>
        </w:rPr>
        <w:t>月</w:t>
      </w:r>
      <w:r w:rsidR="003470F7">
        <w:rPr>
          <w:rFonts w:ascii="宋体" w:hAnsi="Calibri" w:cs="宋体"/>
          <w:color w:val="000000"/>
          <w:highlight w:val="white"/>
        </w:rPr>
        <w:t>20</w:t>
      </w:r>
      <w:r>
        <w:rPr>
          <w:rFonts w:ascii="宋体" w:hAnsi="Calibri" w:cs="宋体" w:hint="eastAsia"/>
          <w:color w:val="000000"/>
          <w:highlight w:val="white"/>
        </w:rPr>
        <w:t>日</w:t>
      </w:r>
    </w:p>
    <w:p w:rsidR="002B1026">
      <w:pPr>
        <w:snapToGrid w:val="0"/>
        <w:spacing w:line="360" w:lineRule="auto"/>
        <w:ind w:right="210" w:firstLine="420"/>
        <w:jc w:val="right"/>
        <w:rPr>
          <w:rFonts w:ascii="宋体" w:hAnsi="Calibri"/>
          <w:szCs w:val="21"/>
        </w:rPr>
      </w:pPr>
    </w:p>
    <w:p w:rsidR="002B1026">
      <w:pPr>
        <w:pStyle w:val="PlainText"/>
        <w:spacing w:line="400" w:lineRule="exact"/>
        <w:ind w:firstLine="480"/>
        <w:rPr>
          <w:rFonts w:hAnsi="Calibri"/>
          <w:bCs/>
          <w:sz w:val="20"/>
          <w:szCs w:val="20"/>
        </w:rPr>
      </w:pPr>
    </w:p>
    <w:p w:rsidR="002B1026">
      <w:pPr>
        <w:pStyle w:val="PlainText"/>
        <w:spacing w:line="400" w:lineRule="exact"/>
        <w:ind w:firstLine="420"/>
        <w:jc w:val="right"/>
        <w:rPr>
          <w:rFonts w:hAnsi="Calibri"/>
          <w:sz w:val="21"/>
        </w:rPr>
      </w:pPr>
    </w:p>
    <w:p w:rsidR="002B1026">
      <w:pPr>
        <w:rPr>
          <w:rFonts w:ascii="宋体" w:hAnsi="Calibri"/>
        </w:rPr>
      </w:pPr>
      <w:bookmarkStart w:id="1876" w:name="_Toc38443222"/>
      <w:bookmarkStart w:id="1877" w:name="_Toc38443553"/>
      <w:bookmarkStart w:id="1878" w:name="_Toc38443883"/>
      <w:bookmarkStart w:id="1879" w:name="_Toc38438351"/>
      <w:bookmarkStart w:id="1880" w:name="_Toc38438688"/>
      <w:bookmarkStart w:id="1881" w:name="_Toc38439025"/>
      <w:bookmarkStart w:id="1882" w:name="_Toc38439362"/>
      <w:bookmarkStart w:id="1883" w:name="_Toc38439699"/>
      <w:bookmarkStart w:id="1884" w:name="_Toc38440036"/>
      <w:bookmarkStart w:id="1885" w:name="_Toc38440373"/>
      <w:bookmarkStart w:id="1886" w:name="_Toc38440905"/>
      <w:bookmarkStart w:id="1887" w:name="_Toc38441237"/>
      <w:bookmarkStart w:id="1888" w:name="_Toc38441569"/>
      <w:bookmarkStart w:id="1889" w:name="_Toc38441897"/>
      <w:bookmarkStart w:id="1890" w:name="_Toc38442229"/>
      <w:bookmarkStart w:id="1891" w:name="_Toc38442561"/>
      <w:bookmarkStart w:id="1892" w:name="_Toc38442892"/>
      <w:bookmarkStart w:id="1893" w:name="_Toc38443223"/>
      <w:bookmarkStart w:id="1894" w:name="_Toc38443554"/>
      <w:bookmarkStart w:id="1895" w:name="_Toc38443884"/>
      <w:bookmarkStart w:id="1896" w:name="_Toc38438352"/>
      <w:bookmarkStart w:id="1897" w:name="_Toc38438689"/>
      <w:bookmarkStart w:id="1898" w:name="_Toc38439026"/>
      <w:bookmarkStart w:id="1899" w:name="_Toc38439363"/>
      <w:bookmarkStart w:id="1900" w:name="_Toc38439700"/>
      <w:bookmarkStart w:id="1901" w:name="_Toc38440037"/>
      <w:bookmarkStart w:id="1902" w:name="_Toc38440374"/>
      <w:bookmarkStart w:id="1903" w:name="_Toc38440906"/>
      <w:bookmarkStart w:id="1904" w:name="_Toc38441238"/>
      <w:bookmarkStart w:id="1905" w:name="_Toc38441570"/>
      <w:bookmarkStart w:id="1906" w:name="_Toc38441898"/>
      <w:bookmarkStart w:id="1907" w:name="_Toc38442230"/>
      <w:bookmarkStart w:id="1908" w:name="_Toc38442562"/>
      <w:bookmarkStart w:id="1909" w:name="_Toc38442893"/>
      <w:bookmarkStart w:id="1910" w:name="_Toc38443224"/>
      <w:bookmarkStart w:id="1911" w:name="_Toc38443555"/>
      <w:bookmarkStart w:id="1912" w:name="_Toc38443885"/>
      <w:bookmarkStart w:id="1913" w:name="_Toc38438353"/>
      <w:bookmarkStart w:id="1914" w:name="_Toc38438690"/>
      <w:bookmarkStart w:id="1915" w:name="_Toc38439027"/>
      <w:bookmarkStart w:id="1916" w:name="_Toc38439364"/>
      <w:bookmarkStart w:id="1917" w:name="_Toc38439701"/>
      <w:bookmarkStart w:id="1918" w:name="_Toc38440038"/>
      <w:bookmarkStart w:id="1919" w:name="_Toc38440375"/>
      <w:bookmarkStart w:id="1920" w:name="_Toc38440907"/>
      <w:bookmarkStart w:id="1921" w:name="_Toc38441239"/>
      <w:bookmarkStart w:id="1922" w:name="_Toc38441571"/>
      <w:bookmarkStart w:id="1923" w:name="_Toc38441899"/>
      <w:bookmarkStart w:id="1924" w:name="_Toc38442231"/>
      <w:bookmarkStart w:id="1925" w:name="_Toc38442563"/>
      <w:bookmarkStart w:id="1926" w:name="_Toc38442894"/>
      <w:bookmarkStart w:id="1927" w:name="_Toc38443225"/>
      <w:bookmarkStart w:id="1928" w:name="_Toc38443556"/>
      <w:bookmarkStart w:id="1929" w:name="_Toc38443886"/>
      <w:bookmarkStart w:id="1930" w:name="_Toc38438354"/>
      <w:bookmarkStart w:id="1931" w:name="_Toc38438691"/>
      <w:bookmarkStart w:id="1932" w:name="_Toc38439028"/>
      <w:bookmarkStart w:id="1933" w:name="_Toc38439365"/>
      <w:bookmarkStart w:id="1934" w:name="_Toc38439702"/>
      <w:bookmarkStart w:id="1935" w:name="_Toc38440039"/>
      <w:bookmarkStart w:id="1936" w:name="_Toc38440376"/>
      <w:bookmarkStart w:id="1937" w:name="_Toc38440908"/>
      <w:bookmarkStart w:id="1938" w:name="_Toc38441240"/>
      <w:bookmarkStart w:id="1939" w:name="_Toc38441572"/>
      <w:bookmarkStart w:id="1940" w:name="_Toc38441900"/>
      <w:bookmarkStart w:id="1941" w:name="_Toc38442232"/>
      <w:bookmarkStart w:id="1942" w:name="_Toc38442564"/>
      <w:bookmarkStart w:id="1943" w:name="_Toc38442895"/>
      <w:bookmarkStart w:id="1944" w:name="_Toc38443226"/>
      <w:bookmarkStart w:id="1945" w:name="_Toc38443557"/>
      <w:bookmarkStart w:id="1946" w:name="_Toc38443887"/>
      <w:bookmarkStart w:id="1947" w:name="_Toc38438355"/>
      <w:bookmarkStart w:id="1948" w:name="_Toc38438692"/>
      <w:bookmarkStart w:id="1949" w:name="_Toc38439029"/>
      <w:bookmarkStart w:id="1950" w:name="_Toc38439366"/>
      <w:bookmarkStart w:id="1951" w:name="_Toc38439703"/>
      <w:bookmarkStart w:id="1952" w:name="_Toc38440040"/>
      <w:bookmarkStart w:id="1953" w:name="_Toc38440377"/>
      <w:bookmarkStart w:id="1954" w:name="_Toc38440909"/>
      <w:bookmarkStart w:id="1955" w:name="_Toc38441241"/>
      <w:bookmarkStart w:id="1956" w:name="_Toc38441573"/>
      <w:bookmarkStart w:id="1957" w:name="_Toc38441901"/>
      <w:bookmarkStart w:id="1958" w:name="_Toc38442233"/>
      <w:bookmarkStart w:id="1959" w:name="_Toc38442565"/>
      <w:bookmarkStart w:id="1960" w:name="_Toc38442896"/>
      <w:bookmarkStart w:id="1961" w:name="_Toc38443227"/>
      <w:bookmarkStart w:id="1962" w:name="_Toc38443558"/>
      <w:bookmarkStart w:id="1963" w:name="_Toc38443888"/>
      <w:bookmarkStart w:id="1964" w:name="_Toc38438356"/>
      <w:bookmarkStart w:id="1965" w:name="_Toc38438693"/>
      <w:bookmarkStart w:id="1966" w:name="_Toc38439030"/>
      <w:bookmarkStart w:id="1967" w:name="_Toc38439367"/>
      <w:bookmarkStart w:id="1968" w:name="_Toc38439704"/>
      <w:bookmarkStart w:id="1969" w:name="_Toc38440041"/>
      <w:bookmarkStart w:id="1970" w:name="_Toc38440378"/>
      <w:bookmarkStart w:id="1971" w:name="_Toc38440910"/>
      <w:bookmarkStart w:id="1972" w:name="_Toc38441242"/>
      <w:bookmarkStart w:id="1973" w:name="_Toc38441574"/>
      <w:bookmarkStart w:id="1974" w:name="_Toc38441902"/>
      <w:bookmarkStart w:id="1975" w:name="_Toc38442234"/>
      <w:bookmarkStart w:id="1976" w:name="_Toc38442566"/>
      <w:bookmarkStart w:id="1977" w:name="_Toc38442897"/>
      <w:bookmarkStart w:id="1978" w:name="_Toc38443228"/>
      <w:bookmarkStart w:id="1979" w:name="_Toc38443559"/>
      <w:bookmarkStart w:id="1980" w:name="_Toc38443889"/>
      <w:bookmarkStart w:id="1981" w:name="_Toc38438357"/>
      <w:bookmarkStart w:id="1982" w:name="_Toc38438694"/>
      <w:bookmarkStart w:id="1983" w:name="_Toc38439031"/>
      <w:bookmarkStart w:id="1984" w:name="_Toc38439368"/>
      <w:bookmarkStart w:id="1985" w:name="_Toc38439705"/>
      <w:bookmarkStart w:id="1986" w:name="_Toc38440042"/>
      <w:bookmarkStart w:id="1987" w:name="_Toc38440379"/>
      <w:bookmarkStart w:id="1988" w:name="_Toc38440911"/>
      <w:bookmarkStart w:id="1989" w:name="_Toc38441243"/>
      <w:bookmarkStart w:id="1990" w:name="_Toc38441575"/>
      <w:bookmarkStart w:id="1991" w:name="_Toc38441903"/>
      <w:bookmarkStart w:id="1992" w:name="_Toc38442235"/>
      <w:bookmarkStart w:id="1993" w:name="_Toc38442567"/>
      <w:bookmarkStart w:id="1994" w:name="_Toc38442898"/>
      <w:bookmarkStart w:id="1995" w:name="_Toc38443229"/>
      <w:bookmarkStart w:id="1996" w:name="_Toc38443560"/>
      <w:bookmarkStart w:id="1997" w:name="_Toc38443890"/>
      <w:bookmarkStart w:id="1998" w:name="_Toc38438358"/>
      <w:bookmarkStart w:id="1999" w:name="_Toc38438695"/>
      <w:bookmarkStart w:id="2000" w:name="_Toc38439032"/>
      <w:bookmarkStart w:id="2001" w:name="_Toc38439369"/>
      <w:bookmarkStart w:id="2002" w:name="_Toc38439706"/>
      <w:bookmarkStart w:id="2003" w:name="_Toc38440043"/>
      <w:bookmarkStart w:id="2004" w:name="_Toc38440380"/>
      <w:bookmarkStart w:id="2005" w:name="_Toc38440912"/>
      <w:bookmarkStart w:id="2006" w:name="_Toc38441244"/>
      <w:bookmarkStart w:id="2007" w:name="_Toc38441576"/>
      <w:bookmarkStart w:id="2008" w:name="_Toc38441904"/>
      <w:bookmarkStart w:id="2009" w:name="_Toc38442236"/>
      <w:bookmarkStart w:id="2010" w:name="_Toc38442568"/>
      <w:bookmarkStart w:id="2011" w:name="_Toc38442899"/>
      <w:bookmarkStart w:id="2012" w:name="_Toc38443230"/>
      <w:bookmarkStart w:id="2013" w:name="_Toc38443561"/>
      <w:bookmarkStart w:id="2014" w:name="_Toc38443891"/>
      <w:bookmarkStart w:id="2015" w:name="_Toc38438359"/>
      <w:bookmarkStart w:id="2016" w:name="_Toc38438696"/>
      <w:bookmarkStart w:id="2017" w:name="_Toc38439033"/>
      <w:bookmarkStart w:id="2018" w:name="_Toc38439370"/>
      <w:bookmarkStart w:id="2019" w:name="_Toc38439707"/>
      <w:bookmarkStart w:id="2020" w:name="_Toc38440044"/>
      <w:bookmarkStart w:id="2021" w:name="_Toc38440381"/>
      <w:bookmarkStart w:id="2022" w:name="_Toc38440913"/>
      <w:bookmarkStart w:id="2023" w:name="_Toc38441245"/>
      <w:bookmarkStart w:id="2024" w:name="_Toc38441577"/>
      <w:bookmarkStart w:id="2025" w:name="_Toc38441905"/>
      <w:bookmarkStart w:id="2026" w:name="_Toc38442237"/>
      <w:bookmarkStart w:id="2027" w:name="_Toc38442569"/>
      <w:bookmarkStart w:id="2028" w:name="_Toc38442900"/>
      <w:bookmarkStart w:id="2029" w:name="_Toc38443231"/>
      <w:bookmarkStart w:id="2030" w:name="_Toc38443562"/>
      <w:bookmarkStart w:id="2031" w:name="_Toc38443892"/>
      <w:bookmarkStart w:id="2032" w:name="_Toc38438360"/>
      <w:bookmarkStart w:id="2033" w:name="_Toc38438697"/>
      <w:bookmarkStart w:id="2034" w:name="_Toc38439034"/>
      <w:bookmarkStart w:id="2035" w:name="_Toc38439371"/>
      <w:bookmarkStart w:id="2036" w:name="_Toc38439708"/>
      <w:bookmarkStart w:id="2037" w:name="_Toc38440045"/>
      <w:bookmarkStart w:id="2038" w:name="_Toc38440382"/>
      <w:bookmarkStart w:id="2039" w:name="_Toc38440914"/>
      <w:bookmarkStart w:id="2040" w:name="_Toc38441246"/>
      <w:bookmarkStart w:id="2041" w:name="_Toc38441578"/>
      <w:bookmarkStart w:id="2042" w:name="_Toc38441906"/>
      <w:bookmarkStart w:id="2043" w:name="_Toc38442238"/>
      <w:bookmarkStart w:id="2044" w:name="_Toc38442570"/>
      <w:bookmarkStart w:id="2045" w:name="_Toc38442901"/>
      <w:bookmarkStart w:id="2046" w:name="_Toc38443232"/>
      <w:bookmarkStart w:id="2047" w:name="_Toc38443563"/>
      <w:bookmarkStart w:id="2048" w:name="_Toc38443893"/>
      <w:bookmarkStart w:id="2049" w:name="_Toc38438361"/>
      <w:bookmarkStart w:id="2050" w:name="_Toc38438698"/>
      <w:bookmarkStart w:id="2051" w:name="_Toc38439035"/>
      <w:bookmarkStart w:id="2052" w:name="_Toc38439372"/>
      <w:bookmarkStart w:id="2053" w:name="_Toc38439709"/>
      <w:bookmarkStart w:id="2054" w:name="_Toc38440046"/>
      <w:bookmarkStart w:id="2055" w:name="_Toc38440383"/>
      <w:bookmarkStart w:id="2056" w:name="_Toc38440915"/>
      <w:bookmarkStart w:id="2057" w:name="_Toc38441247"/>
      <w:bookmarkStart w:id="2058" w:name="_Toc38441579"/>
      <w:bookmarkStart w:id="2059" w:name="_Toc38441907"/>
      <w:bookmarkStart w:id="2060" w:name="_Toc38442239"/>
      <w:bookmarkStart w:id="2061" w:name="_Toc38442571"/>
      <w:bookmarkStart w:id="2062" w:name="_Toc38442902"/>
      <w:bookmarkStart w:id="2063" w:name="_Toc38443233"/>
      <w:bookmarkStart w:id="2064" w:name="_Toc38443564"/>
      <w:bookmarkStart w:id="2065" w:name="_Toc38443894"/>
      <w:bookmarkStart w:id="2066" w:name="_Toc38438362"/>
      <w:bookmarkStart w:id="2067" w:name="_Toc38438699"/>
      <w:bookmarkStart w:id="2068" w:name="_Toc38439036"/>
      <w:bookmarkStart w:id="2069" w:name="_Toc38439373"/>
      <w:bookmarkStart w:id="2070" w:name="_Toc38439710"/>
      <w:bookmarkStart w:id="2071" w:name="_Toc38440047"/>
      <w:bookmarkStart w:id="2072" w:name="_Toc38440384"/>
      <w:bookmarkStart w:id="2073" w:name="_Toc38440916"/>
      <w:bookmarkStart w:id="2074" w:name="_Toc38441248"/>
      <w:bookmarkStart w:id="2075" w:name="_Toc38441580"/>
      <w:bookmarkStart w:id="2076" w:name="_Toc38441908"/>
      <w:bookmarkStart w:id="2077" w:name="_Toc38442240"/>
      <w:bookmarkStart w:id="2078" w:name="_Toc38442572"/>
      <w:bookmarkStart w:id="2079" w:name="_Toc38442903"/>
      <w:bookmarkStart w:id="2080" w:name="_Toc38443234"/>
      <w:bookmarkStart w:id="2081" w:name="_Toc38443565"/>
      <w:bookmarkStart w:id="2082" w:name="_Toc38443895"/>
      <w:bookmarkStart w:id="2083" w:name="_Toc38438363"/>
      <w:bookmarkStart w:id="2084" w:name="_Toc38438700"/>
      <w:bookmarkStart w:id="2085" w:name="_Toc38439037"/>
      <w:bookmarkStart w:id="2086" w:name="_Toc38439374"/>
      <w:bookmarkStart w:id="2087" w:name="_Toc38439711"/>
      <w:bookmarkStart w:id="2088" w:name="_Toc38440048"/>
      <w:bookmarkStart w:id="2089" w:name="_Toc38440385"/>
      <w:bookmarkStart w:id="2090" w:name="_Toc38440917"/>
      <w:bookmarkStart w:id="2091" w:name="_Toc38441249"/>
      <w:bookmarkStart w:id="2092" w:name="_Toc38441581"/>
      <w:bookmarkStart w:id="2093" w:name="_Toc38441909"/>
      <w:bookmarkStart w:id="2094" w:name="_Toc38442241"/>
      <w:bookmarkStart w:id="2095" w:name="_Toc38442573"/>
      <w:bookmarkStart w:id="2096" w:name="_Toc38442904"/>
      <w:bookmarkStart w:id="2097" w:name="_Toc38443235"/>
      <w:bookmarkStart w:id="2098" w:name="_Toc38443566"/>
      <w:bookmarkStart w:id="2099" w:name="_Toc38443896"/>
      <w:bookmarkStart w:id="2100" w:name="_Toc38438364"/>
      <w:bookmarkStart w:id="2101" w:name="_Toc38438701"/>
      <w:bookmarkStart w:id="2102" w:name="_Toc38439038"/>
      <w:bookmarkStart w:id="2103" w:name="_Toc38439375"/>
      <w:bookmarkStart w:id="2104" w:name="_Toc38439712"/>
      <w:bookmarkStart w:id="2105" w:name="_Toc38440049"/>
      <w:bookmarkStart w:id="2106" w:name="_Toc38440386"/>
      <w:bookmarkStart w:id="2107" w:name="_Toc38440918"/>
      <w:bookmarkStart w:id="2108" w:name="_Toc38441250"/>
      <w:bookmarkStart w:id="2109" w:name="_Toc38441582"/>
      <w:bookmarkStart w:id="2110" w:name="_Toc38441910"/>
      <w:bookmarkStart w:id="2111" w:name="_Toc38442242"/>
      <w:bookmarkStart w:id="2112" w:name="_Toc38442574"/>
      <w:bookmarkStart w:id="2113" w:name="_Toc38442905"/>
      <w:bookmarkStart w:id="2114" w:name="_Toc38443236"/>
      <w:bookmarkStart w:id="2115" w:name="_Toc38443567"/>
      <w:bookmarkStart w:id="2116" w:name="_Toc38443897"/>
      <w:bookmarkStart w:id="2117" w:name="_Toc38438365"/>
      <w:bookmarkStart w:id="2118" w:name="_Toc38438702"/>
      <w:bookmarkStart w:id="2119" w:name="_Toc38439039"/>
      <w:bookmarkStart w:id="2120" w:name="_Toc38439376"/>
      <w:bookmarkStart w:id="2121" w:name="_Toc38439713"/>
      <w:bookmarkStart w:id="2122" w:name="_Toc38440050"/>
      <w:bookmarkStart w:id="2123" w:name="_Toc38440387"/>
      <w:bookmarkStart w:id="2124" w:name="_Toc38440919"/>
      <w:bookmarkStart w:id="2125" w:name="_Toc38441251"/>
      <w:bookmarkStart w:id="2126" w:name="_Toc38441583"/>
      <w:bookmarkStart w:id="2127" w:name="_Toc38441911"/>
      <w:bookmarkStart w:id="2128" w:name="_Toc38442243"/>
      <w:bookmarkStart w:id="2129" w:name="_Toc38442575"/>
      <w:bookmarkStart w:id="2130" w:name="_Toc38442906"/>
      <w:bookmarkStart w:id="2131" w:name="_Toc38443237"/>
      <w:bookmarkStart w:id="2132" w:name="_Toc38443568"/>
      <w:bookmarkStart w:id="2133" w:name="_Toc38443898"/>
      <w:bookmarkStart w:id="2134" w:name="_Toc38438366"/>
      <w:bookmarkStart w:id="2135" w:name="_Toc38438703"/>
      <w:bookmarkStart w:id="2136" w:name="_Toc38439040"/>
      <w:bookmarkStart w:id="2137" w:name="_Toc38439377"/>
      <w:bookmarkStart w:id="2138" w:name="_Toc38439714"/>
      <w:bookmarkStart w:id="2139" w:name="_Toc38440051"/>
      <w:bookmarkStart w:id="2140" w:name="_Toc38440388"/>
      <w:bookmarkStart w:id="2141" w:name="_Toc38440920"/>
      <w:bookmarkStart w:id="2142" w:name="_Toc38441252"/>
      <w:bookmarkStart w:id="2143" w:name="_Toc38441584"/>
      <w:bookmarkStart w:id="2144" w:name="_Toc38441912"/>
      <w:bookmarkStart w:id="2145" w:name="_Toc38442244"/>
      <w:bookmarkStart w:id="2146" w:name="_Toc38442576"/>
      <w:bookmarkStart w:id="2147" w:name="_Toc38442907"/>
      <w:bookmarkStart w:id="2148" w:name="_Toc38443238"/>
      <w:bookmarkStart w:id="2149" w:name="_Toc38443569"/>
      <w:bookmarkStart w:id="2150" w:name="_Toc38443899"/>
      <w:bookmarkStart w:id="2151" w:name="_Toc38438367"/>
      <w:bookmarkStart w:id="2152" w:name="_Toc38438704"/>
      <w:bookmarkStart w:id="2153" w:name="_Toc38439041"/>
      <w:bookmarkStart w:id="2154" w:name="_Toc38439378"/>
      <w:bookmarkStart w:id="2155" w:name="_Toc38439715"/>
      <w:bookmarkStart w:id="2156" w:name="_Toc38440052"/>
      <w:bookmarkStart w:id="2157" w:name="_Toc38440389"/>
      <w:bookmarkStart w:id="2158" w:name="_Toc38440921"/>
      <w:bookmarkStart w:id="2159" w:name="_Toc38441253"/>
      <w:bookmarkStart w:id="2160" w:name="_Toc38441585"/>
      <w:bookmarkStart w:id="2161" w:name="_Toc38441913"/>
      <w:bookmarkStart w:id="2162" w:name="_Toc38442245"/>
      <w:bookmarkStart w:id="2163" w:name="_Toc38438350"/>
      <w:bookmarkStart w:id="2164" w:name="_Toc38438687"/>
      <w:bookmarkStart w:id="2165" w:name="_Toc38439024"/>
      <w:bookmarkStart w:id="2166" w:name="_Toc38439361"/>
      <w:bookmarkStart w:id="2167" w:name="_Toc38439698"/>
      <w:bookmarkStart w:id="2168" w:name="_Toc38440035"/>
      <w:bookmarkStart w:id="2169" w:name="_Toc38440372"/>
      <w:bookmarkStart w:id="2170" w:name="_Toc38440904"/>
      <w:bookmarkStart w:id="2171" w:name="_Toc38441236"/>
      <w:bookmarkStart w:id="2172" w:name="_Toc38441568"/>
      <w:bookmarkStart w:id="2173" w:name="_Toc38441896"/>
      <w:bookmarkStart w:id="2174" w:name="_Toc38442228"/>
      <w:bookmarkStart w:id="2175" w:name="_Toc38442560"/>
      <w:bookmarkStart w:id="2176" w:name="_Toc38442891"/>
      <w:bookmarkStart w:id="2177" w:name="_Toc38442577"/>
      <w:bookmarkStart w:id="2178" w:name="_Toc38442908"/>
      <w:bookmarkStart w:id="2179" w:name="_Toc38443239"/>
      <w:bookmarkStart w:id="2180" w:name="_Toc38443570"/>
      <w:bookmarkStart w:id="2181" w:name="_Toc38443900"/>
      <w:bookmarkStart w:id="2182" w:name="_Toc38438368"/>
      <w:bookmarkStart w:id="2183" w:name="_Toc38438705"/>
      <w:bookmarkStart w:id="2184" w:name="_Toc38439042"/>
      <w:bookmarkStart w:id="2185" w:name="_Toc38439379"/>
      <w:bookmarkStart w:id="2186" w:name="_Toc38439716"/>
      <w:bookmarkStart w:id="2187" w:name="_Toc38440053"/>
      <w:bookmarkStart w:id="2188" w:name="_Toc38440390"/>
      <w:bookmarkStart w:id="2189" w:name="_Toc38440922"/>
      <w:bookmarkStart w:id="2190" w:name="_Toc38441254"/>
      <w:bookmarkStart w:id="2191" w:name="_Toc38441586"/>
      <w:bookmarkStart w:id="2192" w:name="_Toc38441914"/>
      <w:bookmarkStart w:id="2193" w:name="_Toc38442246"/>
      <w:bookmarkStart w:id="2194" w:name="_Toc38442578"/>
      <w:bookmarkStart w:id="2195" w:name="_Toc38442909"/>
      <w:bookmarkStart w:id="2196" w:name="_Toc38443240"/>
      <w:bookmarkStart w:id="2197" w:name="_Toc38443571"/>
      <w:bookmarkStart w:id="2198" w:name="_Toc38443901"/>
      <w:bookmarkStart w:id="2199" w:name="_Toc38438369"/>
      <w:bookmarkStart w:id="2200" w:name="_Toc38438706"/>
      <w:bookmarkStart w:id="2201" w:name="_Toc38439043"/>
      <w:bookmarkStart w:id="2202" w:name="_Toc38439380"/>
      <w:bookmarkStart w:id="2203" w:name="_Toc38439717"/>
      <w:bookmarkStart w:id="2204" w:name="_Toc38440054"/>
      <w:bookmarkStart w:id="2205" w:name="_Toc38440391"/>
      <w:bookmarkStart w:id="2206" w:name="_Toc38440923"/>
      <w:bookmarkStart w:id="2207" w:name="_Toc38441255"/>
      <w:bookmarkStart w:id="2208" w:name="_Toc38441587"/>
      <w:bookmarkStart w:id="2209" w:name="_Toc38441915"/>
      <w:bookmarkStart w:id="2210" w:name="_Toc38442247"/>
      <w:bookmarkStart w:id="2211" w:name="_Toc38442579"/>
      <w:bookmarkStart w:id="2212" w:name="_Toc38442910"/>
      <w:bookmarkStart w:id="2213" w:name="_Toc38443241"/>
      <w:bookmarkStart w:id="2214" w:name="_Toc38443572"/>
      <w:bookmarkStart w:id="2215" w:name="_Toc38443902"/>
      <w:bookmarkStart w:id="2216" w:name="_Toc38438371"/>
      <w:bookmarkStart w:id="2217" w:name="_Toc38438708"/>
      <w:bookmarkStart w:id="2218" w:name="_Toc38439045"/>
      <w:bookmarkStart w:id="2219" w:name="_Toc38439382"/>
      <w:bookmarkStart w:id="2220" w:name="_Toc38439719"/>
      <w:bookmarkStart w:id="2221" w:name="_Toc38440056"/>
      <w:bookmarkStart w:id="2222" w:name="_Toc38440393"/>
      <w:bookmarkStart w:id="2223" w:name="_Toc38440925"/>
      <w:bookmarkStart w:id="2224" w:name="_Toc38441257"/>
      <w:bookmarkStart w:id="2225" w:name="_Toc38441589"/>
      <w:bookmarkStart w:id="2226" w:name="_Toc38441917"/>
      <w:bookmarkStart w:id="2227" w:name="_Toc38442249"/>
      <w:bookmarkStart w:id="2228" w:name="_Toc38442581"/>
      <w:bookmarkStart w:id="2229" w:name="_Toc38442912"/>
      <w:bookmarkStart w:id="2230" w:name="_Toc38443243"/>
      <w:bookmarkStart w:id="2231" w:name="_Toc38443574"/>
      <w:bookmarkStart w:id="2232" w:name="_Toc38443904"/>
      <w:bookmarkStart w:id="2233" w:name="_Toc38438372"/>
      <w:bookmarkStart w:id="2234" w:name="_Toc38438709"/>
      <w:bookmarkStart w:id="2235" w:name="_Toc38439046"/>
      <w:bookmarkStart w:id="2236" w:name="_Toc38439383"/>
      <w:bookmarkStart w:id="2237" w:name="_Toc38439720"/>
      <w:bookmarkStart w:id="2238" w:name="_Toc38440057"/>
      <w:bookmarkStart w:id="2239" w:name="_Toc38440394"/>
      <w:bookmarkStart w:id="2240" w:name="_Toc38440926"/>
      <w:bookmarkStart w:id="2241" w:name="_Toc38441258"/>
      <w:bookmarkStart w:id="2242" w:name="_Toc38441590"/>
      <w:bookmarkStart w:id="2243" w:name="_Toc38441918"/>
      <w:bookmarkStart w:id="2244" w:name="_Toc38442250"/>
      <w:bookmarkStart w:id="2245" w:name="_Toc38442582"/>
      <w:bookmarkStart w:id="2246" w:name="_Toc38442913"/>
      <w:bookmarkStart w:id="2247" w:name="_Toc38443244"/>
      <w:bookmarkStart w:id="2248" w:name="_Toc38443575"/>
      <w:bookmarkStart w:id="2249" w:name="_Toc38443905"/>
      <w:bookmarkStart w:id="2250" w:name="_Toc38438373"/>
      <w:bookmarkStart w:id="2251" w:name="_Toc38438710"/>
      <w:bookmarkStart w:id="2252" w:name="_Toc38439047"/>
      <w:bookmarkStart w:id="2253" w:name="_Toc38439384"/>
      <w:bookmarkStart w:id="2254" w:name="_Toc38439721"/>
      <w:bookmarkStart w:id="2255" w:name="_Toc38440058"/>
      <w:bookmarkStart w:id="2256" w:name="_Toc38440395"/>
      <w:bookmarkStart w:id="2257" w:name="_Toc38440927"/>
      <w:bookmarkStart w:id="2258" w:name="_Toc38441259"/>
      <w:bookmarkStart w:id="2259" w:name="_Toc38441591"/>
      <w:bookmarkStart w:id="2260" w:name="_Toc38441919"/>
      <w:bookmarkStart w:id="2261" w:name="_Toc38442251"/>
      <w:bookmarkStart w:id="2262" w:name="_Toc38442583"/>
      <w:bookmarkStart w:id="2263" w:name="_Toc38442914"/>
      <w:bookmarkStart w:id="2264" w:name="_Toc38443245"/>
      <w:bookmarkStart w:id="2265" w:name="_Toc38443576"/>
      <w:bookmarkStart w:id="2266" w:name="_Toc38443906"/>
      <w:bookmarkStart w:id="2267" w:name="_Toc38438374"/>
      <w:bookmarkStart w:id="2268" w:name="_Toc38438711"/>
      <w:bookmarkStart w:id="2269" w:name="_Toc38439048"/>
      <w:bookmarkStart w:id="2270" w:name="_Toc38439385"/>
      <w:bookmarkStart w:id="2271" w:name="_Toc38439722"/>
      <w:bookmarkStart w:id="2272" w:name="_Toc38440059"/>
      <w:bookmarkStart w:id="2273" w:name="_Toc38440396"/>
      <w:bookmarkStart w:id="2274" w:name="_Toc38440928"/>
      <w:bookmarkStart w:id="2275" w:name="_Toc38441260"/>
      <w:bookmarkStart w:id="2276" w:name="_Toc38441592"/>
      <w:bookmarkStart w:id="2277" w:name="_Toc38441920"/>
      <w:bookmarkStart w:id="2278" w:name="_Toc38442252"/>
      <w:bookmarkStart w:id="2279" w:name="_Toc38442584"/>
      <w:bookmarkStart w:id="2280" w:name="_Toc38442915"/>
      <w:bookmarkStart w:id="2281" w:name="_Toc38443246"/>
      <w:bookmarkStart w:id="2282" w:name="_Toc38443577"/>
      <w:bookmarkStart w:id="2283" w:name="_Toc38443907"/>
      <w:bookmarkStart w:id="2284" w:name="_Toc38438375"/>
      <w:bookmarkStart w:id="2285" w:name="_Toc38438712"/>
      <w:bookmarkStart w:id="2286" w:name="_Toc38439049"/>
      <w:bookmarkStart w:id="2287" w:name="_Toc38439386"/>
      <w:bookmarkStart w:id="2288" w:name="_Toc38439723"/>
      <w:bookmarkStart w:id="2289" w:name="_Toc38440060"/>
      <w:bookmarkStart w:id="2290" w:name="_Toc38440397"/>
      <w:bookmarkStart w:id="2291" w:name="_Toc38440929"/>
      <w:bookmarkStart w:id="2292" w:name="_Toc38441261"/>
      <w:bookmarkStart w:id="2293" w:name="_Toc38441593"/>
      <w:bookmarkStart w:id="2294" w:name="_Toc38441921"/>
      <w:bookmarkStart w:id="2295" w:name="_Toc38442253"/>
      <w:bookmarkStart w:id="2296" w:name="_Toc38442585"/>
      <w:bookmarkStart w:id="2297" w:name="_Toc38442916"/>
      <w:bookmarkStart w:id="2298" w:name="_Toc38443247"/>
      <w:bookmarkStart w:id="2299" w:name="_Toc38443578"/>
      <w:bookmarkStart w:id="2300" w:name="_Toc38443908"/>
      <w:bookmarkStart w:id="2301" w:name="_Toc38438376"/>
      <w:bookmarkStart w:id="2302" w:name="_Toc38438713"/>
      <w:bookmarkStart w:id="2303" w:name="_Toc38439050"/>
      <w:bookmarkStart w:id="2304" w:name="_Toc38439387"/>
      <w:bookmarkStart w:id="2305" w:name="_Toc38439724"/>
      <w:bookmarkStart w:id="2306" w:name="_Toc38440061"/>
      <w:bookmarkStart w:id="2307" w:name="_Toc38440398"/>
      <w:bookmarkStart w:id="2308" w:name="_Toc38440930"/>
      <w:bookmarkStart w:id="2309" w:name="_Toc38441262"/>
      <w:bookmarkStart w:id="2310" w:name="_Toc38441594"/>
      <w:bookmarkStart w:id="2311" w:name="_Toc38441922"/>
      <w:bookmarkStart w:id="2312" w:name="_Toc38442254"/>
      <w:bookmarkStart w:id="2313" w:name="_Toc38442586"/>
      <w:bookmarkStart w:id="2314" w:name="_Toc38442917"/>
      <w:bookmarkStart w:id="2315" w:name="_Toc38443248"/>
      <w:bookmarkStart w:id="2316" w:name="_Toc38443579"/>
      <w:bookmarkStart w:id="2317" w:name="_Toc38443909"/>
      <w:bookmarkStart w:id="2318" w:name="_Toc38438377"/>
      <w:bookmarkStart w:id="2319" w:name="_Toc38438714"/>
      <w:bookmarkStart w:id="2320" w:name="_Toc38439051"/>
      <w:bookmarkStart w:id="2321" w:name="_Toc38439388"/>
      <w:bookmarkStart w:id="2322" w:name="_Toc38439725"/>
      <w:bookmarkStart w:id="2323" w:name="_Toc38440062"/>
      <w:bookmarkStart w:id="2324" w:name="_Toc38440399"/>
      <w:bookmarkStart w:id="2325" w:name="_Toc38440931"/>
      <w:bookmarkStart w:id="2326" w:name="_Toc38441263"/>
      <w:bookmarkStart w:id="2327" w:name="_Toc38441595"/>
      <w:bookmarkStart w:id="2328" w:name="_Toc38441923"/>
      <w:bookmarkStart w:id="2329" w:name="_Toc38442255"/>
      <w:bookmarkStart w:id="2330" w:name="_Toc38442587"/>
      <w:bookmarkStart w:id="2331" w:name="_Toc38442918"/>
      <w:bookmarkStart w:id="2332" w:name="_Toc38443249"/>
      <w:bookmarkStart w:id="2333" w:name="_Toc38443580"/>
      <w:bookmarkStart w:id="2334" w:name="_Toc38443910"/>
      <w:bookmarkStart w:id="2335" w:name="_Toc38438378"/>
      <w:bookmarkStart w:id="2336" w:name="_Toc38439783"/>
      <w:bookmarkStart w:id="2337" w:name="_Toc38440120"/>
      <w:bookmarkStart w:id="2338" w:name="_Toc38440457"/>
      <w:bookmarkStart w:id="2339" w:name="_Toc38440989"/>
      <w:bookmarkStart w:id="2340" w:name="_Toc38441321"/>
      <w:bookmarkStart w:id="2341" w:name="_Toc38441653"/>
      <w:bookmarkStart w:id="2342" w:name="_Toc38441981"/>
      <w:bookmarkStart w:id="2343" w:name="_Toc38442313"/>
      <w:bookmarkStart w:id="2344" w:name="_Toc38442645"/>
      <w:bookmarkStart w:id="2345" w:name="_Toc38442976"/>
      <w:bookmarkStart w:id="2346" w:name="_Toc38443307"/>
      <w:bookmarkStart w:id="2347" w:name="_Toc38443638"/>
      <w:bookmarkStart w:id="2348" w:name="_Toc38443968"/>
      <w:bookmarkStart w:id="2349" w:name="_Toc38438436"/>
      <w:bookmarkStart w:id="2350" w:name="_Toc38438773"/>
      <w:bookmarkStart w:id="2351" w:name="_Toc38439110"/>
      <w:bookmarkStart w:id="2352" w:name="_Toc38439447"/>
      <w:bookmarkStart w:id="2353" w:name="_Toc38439784"/>
      <w:bookmarkStart w:id="2354" w:name="_Toc38440121"/>
      <w:bookmarkStart w:id="2355" w:name="_Toc38440458"/>
      <w:bookmarkStart w:id="2356" w:name="_Toc38440990"/>
      <w:bookmarkStart w:id="2357" w:name="_Toc38441322"/>
      <w:bookmarkStart w:id="2358" w:name="_Toc38441654"/>
      <w:bookmarkStart w:id="2359" w:name="_Toc38441982"/>
      <w:bookmarkStart w:id="2360" w:name="_Toc38442314"/>
      <w:bookmarkStart w:id="2361" w:name="_Toc38442646"/>
      <w:bookmarkStart w:id="2362" w:name="_Toc38442977"/>
      <w:bookmarkStart w:id="2363" w:name="_Toc38443308"/>
      <w:bookmarkStart w:id="2364" w:name="_Toc38443639"/>
      <w:bookmarkStart w:id="2365" w:name="_Toc38443969"/>
      <w:bookmarkStart w:id="2366" w:name="_Toc38438437"/>
      <w:bookmarkStart w:id="2367" w:name="_Toc38438774"/>
      <w:bookmarkStart w:id="2368" w:name="_Toc38439111"/>
      <w:bookmarkStart w:id="2369" w:name="_Toc38439448"/>
      <w:bookmarkStart w:id="2370" w:name="_Toc38439785"/>
      <w:bookmarkStart w:id="2371" w:name="_Toc38440122"/>
      <w:bookmarkStart w:id="2372" w:name="_Toc38440459"/>
      <w:bookmarkStart w:id="2373" w:name="_Toc38440991"/>
      <w:bookmarkStart w:id="2374" w:name="_Toc38441323"/>
      <w:bookmarkStart w:id="2375" w:name="_Toc38441655"/>
      <w:bookmarkStart w:id="2376" w:name="_Toc38441983"/>
      <w:bookmarkStart w:id="2377" w:name="_Toc38442315"/>
      <w:bookmarkStart w:id="2378" w:name="_Toc38442647"/>
      <w:bookmarkStart w:id="2379" w:name="_Toc38442978"/>
      <w:bookmarkStart w:id="2380" w:name="_Toc38443309"/>
      <w:bookmarkStart w:id="2381" w:name="_Toc38443640"/>
      <w:bookmarkStart w:id="2382" w:name="_Toc38443970"/>
      <w:bookmarkStart w:id="2383" w:name="_Toc38438438"/>
      <w:bookmarkStart w:id="2384" w:name="_Toc38438775"/>
      <w:bookmarkStart w:id="2385" w:name="_Toc38439112"/>
      <w:bookmarkStart w:id="2386" w:name="_Toc38439449"/>
      <w:bookmarkStart w:id="2387" w:name="_Toc38439786"/>
      <w:bookmarkStart w:id="2388" w:name="_Toc38440123"/>
      <w:bookmarkStart w:id="2389" w:name="_Toc38440460"/>
      <w:bookmarkStart w:id="2390" w:name="_Toc38440992"/>
      <w:bookmarkStart w:id="2391" w:name="_Toc38441324"/>
      <w:bookmarkStart w:id="2392" w:name="_Toc38441656"/>
      <w:bookmarkStart w:id="2393" w:name="_Toc38441984"/>
      <w:bookmarkStart w:id="2394" w:name="_Toc38442316"/>
      <w:bookmarkStart w:id="2395" w:name="_Toc38442648"/>
      <w:bookmarkStart w:id="2396" w:name="_Toc38442979"/>
      <w:bookmarkStart w:id="2397" w:name="_Toc38443310"/>
      <w:bookmarkStart w:id="2398" w:name="_Toc38443641"/>
      <w:bookmarkStart w:id="2399" w:name="_Toc38443971"/>
      <w:bookmarkStart w:id="2400" w:name="_Toc38438439"/>
      <w:bookmarkStart w:id="2401" w:name="_Toc38438776"/>
      <w:bookmarkStart w:id="2402" w:name="_Toc38439113"/>
      <w:bookmarkStart w:id="2403" w:name="_Toc38439450"/>
      <w:bookmarkStart w:id="2404" w:name="_Toc38439787"/>
      <w:bookmarkStart w:id="2405" w:name="_Toc38440124"/>
      <w:bookmarkStart w:id="2406" w:name="_Toc38440461"/>
      <w:bookmarkStart w:id="2407" w:name="_Toc38440993"/>
      <w:bookmarkStart w:id="2408" w:name="_Toc38441325"/>
      <w:bookmarkStart w:id="2409" w:name="_Toc38441657"/>
      <w:bookmarkStart w:id="2410" w:name="_Toc38441985"/>
      <w:bookmarkStart w:id="2411" w:name="_Toc38442317"/>
      <w:bookmarkStart w:id="2412" w:name="_Toc38442649"/>
      <w:bookmarkStart w:id="2413" w:name="_Toc38442980"/>
      <w:bookmarkStart w:id="2414" w:name="_Toc38443311"/>
      <w:bookmarkStart w:id="2415" w:name="_Toc38443642"/>
      <w:bookmarkStart w:id="2416" w:name="_Toc38443972"/>
      <w:bookmarkStart w:id="2417" w:name="_Toc38438440"/>
      <w:bookmarkStart w:id="2418" w:name="_Toc38438777"/>
      <w:bookmarkStart w:id="2419" w:name="_Toc38439114"/>
      <w:bookmarkStart w:id="2420" w:name="_Toc38439451"/>
      <w:bookmarkStart w:id="2421" w:name="_Toc38439788"/>
      <w:bookmarkStart w:id="2422" w:name="_Toc38440125"/>
      <w:bookmarkStart w:id="2423" w:name="_Toc38440462"/>
      <w:bookmarkStart w:id="2424" w:name="_Toc38440994"/>
      <w:bookmarkStart w:id="2425" w:name="_Toc38441326"/>
      <w:bookmarkStart w:id="2426" w:name="_Toc38441658"/>
      <w:bookmarkStart w:id="2427" w:name="_Toc38441986"/>
      <w:bookmarkStart w:id="2428" w:name="_Toc38442318"/>
      <w:bookmarkStart w:id="2429" w:name="_Toc38442650"/>
      <w:bookmarkStart w:id="2430" w:name="_Toc38442981"/>
      <w:bookmarkStart w:id="2431" w:name="_Toc38443312"/>
      <w:bookmarkStart w:id="2432" w:name="_Toc38443643"/>
      <w:bookmarkStart w:id="2433" w:name="_Toc38443973"/>
      <w:bookmarkStart w:id="2434" w:name="_Toc38438441"/>
      <w:bookmarkStart w:id="2435" w:name="_Toc38438778"/>
      <w:bookmarkStart w:id="2436" w:name="_Toc38439115"/>
      <w:bookmarkStart w:id="2437" w:name="_Toc38439452"/>
      <w:bookmarkStart w:id="2438" w:name="_Toc38439789"/>
      <w:bookmarkStart w:id="2439" w:name="_Toc38440126"/>
      <w:bookmarkStart w:id="2440" w:name="_Toc38440463"/>
      <w:bookmarkStart w:id="2441" w:name="_Toc38440995"/>
      <w:bookmarkStart w:id="2442" w:name="_Toc38441327"/>
      <w:bookmarkStart w:id="2443" w:name="_Toc38441659"/>
      <w:bookmarkStart w:id="2444" w:name="_Toc38441987"/>
      <w:bookmarkStart w:id="2445" w:name="_Toc38442319"/>
      <w:bookmarkStart w:id="2446" w:name="_Toc38442651"/>
      <w:bookmarkStart w:id="2447" w:name="_Toc38442982"/>
      <w:bookmarkStart w:id="2448" w:name="_Toc38443313"/>
      <w:bookmarkStart w:id="2449" w:name="_Toc38443644"/>
      <w:bookmarkStart w:id="2450" w:name="_Toc38443974"/>
      <w:bookmarkStart w:id="2451" w:name="_Toc38438442"/>
      <w:bookmarkStart w:id="2452" w:name="_Toc38438779"/>
      <w:bookmarkStart w:id="2453" w:name="_Toc38439116"/>
      <w:bookmarkStart w:id="2454" w:name="_Toc38439453"/>
      <w:bookmarkStart w:id="2455" w:name="_Toc38439790"/>
      <w:bookmarkStart w:id="2456" w:name="_Toc38440127"/>
      <w:bookmarkStart w:id="2457" w:name="_Toc38440464"/>
      <w:bookmarkStart w:id="2458" w:name="_Toc38440996"/>
      <w:bookmarkStart w:id="2459" w:name="_Toc38441328"/>
      <w:bookmarkStart w:id="2460" w:name="_Toc38441660"/>
      <w:bookmarkStart w:id="2461" w:name="_Toc38441988"/>
      <w:bookmarkStart w:id="2462" w:name="_Toc38442320"/>
      <w:bookmarkStart w:id="2463" w:name="_Toc38442652"/>
      <w:bookmarkStart w:id="2464" w:name="_Toc38442983"/>
      <w:bookmarkStart w:id="2465" w:name="_Toc38443314"/>
      <w:bookmarkStart w:id="2466" w:name="_Toc38443645"/>
      <w:bookmarkStart w:id="2467" w:name="_Toc38443975"/>
      <w:bookmarkStart w:id="2468" w:name="_Toc38438443"/>
      <w:bookmarkStart w:id="2469" w:name="_Toc38438780"/>
      <w:bookmarkStart w:id="2470" w:name="_Toc38439117"/>
      <w:bookmarkStart w:id="2471" w:name="_Toc38439454"/>
      <w:bookmarkStart w:id="2472" w:name="_Toc38439791"/>
      <w:bookmarkStart w:id="2473" w:name="_Toc38440128"/>
      <w:bookmarkStart w:id="2474" w:name="_Toc38440465"/>
      <w:bookmarkStart w:id="2475" w:name="_Toc38440997"/>
      <w:bookmarkStart w:id="2476" w:name="_Toc38441329"/>
      <w:bookmarkStart w:id="2477" w:name="_Toc38441661"/>
      <w:bookmarkStart w:id="2478" w:name="_Toc38441989"/>
      <w:bookmarkStart w:id="2479" w:name="_Toc38442321"/>
      <w:bookmarkStart w:id="2480" w:name="_Toc38442653"/>
      <w:bookmarkStart w:id="2481" w:name="_Toc38442984"/>
      <w:bookmarkStart w:id="2482" w:name="_Toc38443315"/>
      <w:bookmarkStart w:id="2483" w:name="_Toc38443646"/>
      <w:bookmarkStart w:id="2484" w:name="_Toc38443976"/>
      <w:bookmarkStart w:id="2485" w:name="_Toc38438444"/>
      <w:bookmarkStart w:id="2486" w:name="_Toc38438781"/>
      <w:bookmarkStart w:id="2487" w:name="_Toc38439118"/>
      <w:bookmarkStart w:id="2488" w:name="_Toc38439455"/>
      <w:bookmarkStart w:id="2489" w:name="_Toc38439792"/>
      <w:bookmarkStart w:id="2490" w:name="_Toc38440129"/>
      <w:bookmarkStart w:id="2491" w:name="_Toc38440466"/>
      <w:bookmarkStart w:id="2492" w:name="_Toc38440998"/>
      <w:bookmarkStart w:id="2493" w:name="_Toc38441330"/>
      <w:bookmarkStart w:id="2494" w:name="_Toc38441662"/>
      <w:bookmarkStart w:id="2495" w:name="_Toc38441990"/>
      <w:bookmarkStart w:id="2496" w:name="_Toc38442322"/>
      <w:bookmarkStart w:id="2497" w:name="_Toc38442654"/>
      <w:bookmarkStart w:id="2498" w:name="_Toc38442985"/>
      <w:bookmarkStart w:id="2499" w:name="_Toc38443316"/>
      <w:bookmarkStart w:id="2500" w:name="_Toc38443647"/>
      <w:bookmarkStart w:id="2501" w:name="_Toc38443977"/>
      <w:bookmarkStart w:id="2502" w:name="_Toc38438445"/>
      <w:bookmarkStart w:id="2503" w:name="_Toc38438782"/>
      <w:bookmarkStart w:id="2504" w:name="_Toc38439119"/>
      <w:bookmarkStart w:id="2505" w:name="_Toc38439456"/>
      <w:bookmarkStart w:id="2506" w:name="_Toc38439793"/>
      <w:bookmarkStart w:id="2507" w:name="_Toc38438715"/>
      <w:bookmarkStart w:id="2508" w:name="_Toc38439052"/>
      <w:bookmarkStart w:id="2509" w:name="_Toc38439389"/>
      <w:bookmarkStart w:id="2510" w:name="_Toc38439726"/>
      <w:bookmarkStart w:id="2511" w:name="_Toc38440063"/>
      <w:bookmarkStart w:id="2512" w:name="_Toc38440400"/>
      <w:bookmarkStart w:id="2513" w:name="_Toc38440932"/>
      <w:bookmarkStart w:id="2514" w:name="_Toc38441264"/>
      <w:bookmarkStart w:id="2515" w:name="_Toc38441596"/>
      <w:bookmarkStart w:id="2516" w:name="_Toc38441924"/>
      <w:bookmarkStart w:id="2517" w:name="_Toc38442256"/>
      <w:bookmarkStart w:id="2518" w:name="_Toc38442588"/>
      <w:bookmarkStart w:id="2519" w:name="_Toc38442919"/>
      <w:bookmarkStart w:id="2520" w:name="_Toc38443250"/>
      <w:bookmarkStart w:id="2521" w:name="_Toc38443581"/>
      <w:bookmarkStart w:id="2522" w:name="_Toc38443911"/>
      <w:bookmarkStart w:id="2523" w:name="_Toc38438379"/>
      <w:bookmarkStart w:id="2524" w:name="_Toc38438716"/>
      <w:bookmarkStart w:id="2525" w:name="_Toc38439053"/>
      <w:bookmarkStart w:id="2526" w:name="_Toc38439390"/>
      <w:bookmarkStart w:id="2527" w:name="_Toc38439727"/>
      <w:bookmarkStart w:id="2528" w:name="_Toc38440064"/>
      <w:bookmarkStart w:id="2529" w:name="_Toc38440401"/>
      <w:bookmarkStart w:id="2530" w:name="_Toc38440933"/>
      <w:bookmarkStart w:id="2531" w:name="_Toc38441265"/>
      <w:bookmarkStart w:id="2532" w:name="_Toc38441597"/>
      <w:bookmarkStart w:id="2533" w:name="_Toc38441925"/>
      <w:bookmarkStart w:id="2534" w:name="_Toc38442257"/>
      <w:bookmarkStart w:id="2535" w:name="_Toc38442589"/>
      <w:bookmarkStart w:id="2536" w:name="_Toc38442920"/>
      <w:bookmarkStart w:id="2537" w:name="_Toc38443251"/>
      <w:bookmarkStart w:id="2538" w:name="_Toc38443582"/>
      <w:bookmarkStart w:id="2539" w:name="_Toc38443912"/>
      <w:bookmarkStart w:id="2540" w:name="_Toc38438380"/>
      <w:bookmarkStart w:id="2541" w:name="_Toc38438717"/>
      <w:bookmarkStart w:id="2542" w:name="_Toc38439054"/>
      <w:bookmarkStart w:id="2543" w:name="_Toc38439391"/>
      <w:bookmarkStart w:id="2544" w:name="_Toc38439728"/>
      <w:bookmarkStart w:id="2545" w:name="_Toc38440065"/>
      <w:bookmarkStart w:id="2546" w:name="_Toc38440402"/>
      <w:bookmarkStart w:id="2547" w:name="_Toc38440934"/>
      <w:bookmarkStart w:id="2548" w:name="_Toc38441266"/>
      <w:bookmarkStart w:id="2549" w:name="_Toc38441598"/>
      <w:bookmarkStart w:id="2550" w:name="_Toc38441926"/>
      <w:bookmarkStart w:id="2551" w:name="_Toc38442258"/>
      <w:bookmarkStart w:id="2552" w:name="_Toc38442590"/>
      <w:bookmarkStart w:id="2553" w:name="_Toc38442921"/>
      <w:bookmarkStart w:id="2554" w:name="_Toc38443252"/>
      <w:bookmarkStart w:id="2555" w:name="_Toc38443583"/>
      <w:bookmarkStart w:id="2556" w:name="_Toc38443913"/>
      <w:bookmarkStart w:id="2557" w:name="_Toc38438381"/>
      <w:bookmarkStart w:id="2558" w:name="_Toc38438718"/>
      <w:bookmarkStart w:id="2559" w:name="_Toc38439055"/>
      <w:bookmarkStart w:id="2560" w:name="_Toc38439392"/>
      <w:bookmarkStart w:id="2561" w:name="_Toc38439729"/>
      <w:bookmarkStart w:id="2562" w:name="_Toc38440066"/>
      <w:bookmarkStart w:id="2563" w:name="_Toc38440403"/>
      <w:bookmarkStart w:id="2564" w:name="_Toc38440935"/>
      <w:bookmarkStart w:id="2565" w:name="_Toc38441267"/>
      <w:bookmarkStart w:id="2566" w:name="_Toc38441599"/>
      <w:bookmarkStart w:id="2567" w:name="_Toc38441927"/>
      <w:bookmarkStart w:id="2568" w:name="_Toc38442259"/>
      <w:bookmarkStart w:id="2569" w:name="_Toc38442591"/>
      <w:bookmarkStart w:id="2570" w:name="_Toc38442922"/>
      <w:bookmarkStart w:id="2571" w:name="_Toc38443253"/>
      <w:bookmarkStart w:id="2572" w:name="_Toc38443584"/>
      <w:bookmarkStart w:id="2573" w:name="_Toc38443914"/>
      <w:bookmarkStart w:id="2574" w:name="_Toc38438382"/>
      <w:bookmarkStart w:id="2575" w:name="_Toc38438719"/>
      <w:bookmarkStart w:id="2576" w:name="_Toc38439056"/>
      <w:bookmarkStart w:id="2577" w:name="_Toc38439393"/>
      <w:bookmarkStart w:id="2578" w:name="_Toc38439730"/>
      <w:bookmarkStart w:id="2579" w:name="_Toc38440067"/>
      <w:bookmarkStart w:id="2580" w:name="_Toc38440404"/>
      <w:bookmarkStart w:id="2581" w:name="_Toc38440936"/>
      <w:bookmarkStart w:id="2582" w:name="_Toc38441268"/>
      <w:bookmarkStart w:id="2583" w:name="_Toc38441600"/>
      <w:bookmarkStart w:id="2584" w:name="_Toc38441928"/>
      <w:bookmarkStart w:id="2585" w:name="_Toc38442260"/>
      <w:bookmarkStart w:id="2586" w:name="_Toc38442592"/>
      <w:bookmarkStart w:id="2587" w:name="_Toc38442923"/>
      <w:bookmarkStart w:id="2588" w:name="_Toc38443254"/>
      <w:bookmarkStart w:id="2589" w:name="_Toc38443585"/>
      <w:bookmarkStart w:id="2590" w:name="_Toc38443915"/>
      <w:bookmarkStart w:id="2591" w:name="_Toc38438383"/>
      <w:bookmarkStart w:id="2592" w:name="_Toc38438720"/>
      <w:bookmarkStart w:id="2593" w:name="_Toc38439057"/>
      <w:bookmarkStart w:id="2594" w:name="_Toc38439394"/>
      <w:bookmarkStart w:id="2595" w:name="_Toc38439731"/>
      <w:bookmarkStart w:id="2596" w:name="_Toc38440068"/>
      <w:bookmarkStart w:id="2597" w:name="_Toc38440405"/>
      <w:bookmarkStart w:id="2598" w:name="_Toc38440937"/>
      <w:bookmarkStart w:id="2599" w:name="_Toc38441269"/>
      <w:bookmarkStart w:id="2600" w:name="_Toc38441601"/>
      <w:bookmarkStart w:id="2601" w:name="_Toc38441929"/>
      <w:bookmarkStart w:id="2602" w:name="_Toc38442261"/>
      <w:bookmarkStart w:id="2603" w:name="_Toc38442593"/>
      <w:bookmarkStart w:id="2604" w:name="_Toc38442924"/>
      <w:bookmarkStart w:id="2605" w:name="_Toc38443255"/>
      <w:bookmarkStart w:id="2606" w:name="_Toc38443586"/>
      <w:bookmarkStart w:id="2607" w:name="_Toc38443916"/>
      <w:bookmarkStart w:id="2608" w:name="_Toc38438384"/>
      <w:bookmarkStart w:id="2609" w:name="_Toc38438721"/>
      <w:bookmarkStart w:id="2610" w:name="_Toc38439058"/>
      <w:bookmarkStart w:id="2611" w:name="_Toc38439395"/>
      <w:bookmarkStart w:id="2612" w:name="_Toc38439732"/>
      <w:bookmarkStart w:id="2613" w:name="_Toc38440069"/>
      <w:bookmarkStart w:id="2614" w:name="_Toc38440406"/>
      <w:bookmarkStart w:id="2615" w:name="_Toc38440938"/>
      <w:bookmarkStart w:id="2616" w:name="_Toc38441270"/>
      <w:bookmarkStart w:id="2617" w:name="_Toc38441602"/>
      <w:bookmarkStart w:id="2618" w:name="_Toc38441930"/>
      <w:bookmarkStart w:id="2619" w:name="_Toc38442262"/>
      <w:bookmarkStart w:id="2620" w:name="_Toc38442594"/>
      <w:bookmarkStart w:id="2621" w:name="_Toc38442925"/>
      <w:bookmarkStart w:id="2622" w:name="_Toc38443256"/>
      <w:bookmarkStart w:id="2623" w:name="_Toc38443587"/>
      <w:bookmarkStart w:id="2624" w:name="_Toc38443917"/>
      <w:bookmarkStart w:id="2625" w:name="_Toc38438385"/>
      <w:bookmarkStart w:id="2626" w:name="_Toc38438722"/>
      <w:bookmarkStart w:id="2627" w:name="_Toc38439059"/>
      <w:bookmarkStart w:id="2628" w:name="_Toc38439396"/>
      <w:bookmarkStart w:id="2629" w:name="_Toc38439733"/>
      <w:bookmarkStart w:id="2630" w:name="_Toc38440070"/>
      <w:bookmarkStart w:id="2631" w:name="_Toc38440407"/>
      <w:bookmarkStart w:id="2632" w:name="_Toc38440939"/>
      <w:bookmarkStart w:id="2633" w:name="_Toc38441271"/>
      <w:bookmarkStart w:id="2634" w:name="_Toc38441603"/>
      <w:bookmarkStart w:id="2635" w:name="_Toc38441931"/>
      <w:bookmarkStart w:id="2636" w:name="_Toc38442263"/>
      <w:bookmarkStart w:id="2637" w:name="_Toc38442595"/>
      <w:bookmarkStart w:id="2638" w:name="_Toc38442926"/>
      <w:bookmarkStart w:id="2639" w:name="_Toc38443257"/>
      <w:bookmarkStart w:id="2640" w:name="_Toc38443588"/>
      <w:bookmarkStart w:id="2641" w:name="_Toc38443918"/>
      <w:bookmarkStart w:id="2642" w:name="_Toc38438386"/>
      <w:bookmarkStart w:id="2643" w:name="_Toc38438723"/>
      <w:bookmarkStart w:id="2644" w:name="_Toc38439060"/>
      <w:bookmarkStart w:id="2645" w:name="_Toc38439397"/>
      <w:bookmarkStart w:id="2646" w:name="_Toc38439734"/>
      <w:bookmarkStart w:id="2647" w:name="_Toc38440071"/>
      <w:bookmarkStart w:id="2648" w:name="_Toc38440408"/>
      <w:bookmarkStart w:id="2649" w:name="_Toc38440940"/>
      <w:bookmarkStart w:id="2650" w:name="_Toc38441272"/>
      <w:bookmarkStart w:id="2651" w:name="_Toc38441604"/>
      <w:bookmarkStart w:id="2652" w:name="_Toc38441932"/>
      <w:bookmarkStart w:id="2653" w:name="_Toc38442264"/>
      <w:bookmarkStart w:id="2654" w:name="_Toc38442596"/>
      <w:bookmarkStart w:id="2655" w:name="_Toc38442927"/>
      <w:bookmarkStart w:id="2656" w:name="_Toc38443258"/>
      <w:bookmarkStart w:id="2657" w:name="_Toc38443589"/>
      <w:bookmarkStart w:id="2658" w:name="_Toc38443919"/>
      <w:bookmarkStart w:id="2659" w:name="_Toc38438387"/>
      <w:bookmarkStart w:id="2660" w:name="_Toc38438724"/>
      <w:bookmarkStart w:id="2661" w:name="_Toc38439061"/>
      <w:bookmarkStart w:id="2662" w:name="_Toc38439398"/>
      <w:bookmarkStart w:id="2663" w:name="_Toc38439735"/>
      <w:bookmarkStart w:id="2664" w:name="_Toc38440072"/>
      <w:bookmarkStart w:id="2665" w:name="_Toc38440409"/>
      <w:bookmarkStart w:id="2666" w:name="_Toc38440941"/>
      <w:bookmarkStart w:id="2667" w:name="_Toc38441273"/>
      <w:bookmarkStart w:id="2668" w:name="_Toc38441605"/>
      <w:bookmarkStart w:id="2669" w:name="_Toc38441933"/>
      <w:bookmarkStart w:id="2670" w:name="_Toc38442265"/>
      <w:bookmarkStart w:id="2671" w:name="_Toc38442597"/>
      <w:bookmarkStart w:id="2672" w:name="_Toc38442928"/>
      <w:bookmarkStart w:id="2673" w:name="_Toc38443259"/>
      <w:bookmarkStart w:id="2674" w:name="_Toc38443590"/>
      <w:bookmarkStart w:id="2675" w:name="_Toc38443920"/>
      <w:bookmarkStart w:id="2676" w:name="_Toc38438388"/>
      <w:bookmarkStart w:id="2677" w:name="_Toc38438725"/>
      <w:bookmarkStart w:id="2678" w:name="_Toc38439062"/>
      <w:bookmarkStart w:id="2679" w:name="_Toc38439399"/>
      <w:bookmarkStart w:id="2680" w:name="_Toc38439736"/>
      <w:bookmarkStart w:id="2681" w:name="_Toc38440073"/>
      <w:bookmarkStart w:id="2682" w:name="_Toc38440410"/>
      <w:bookmarkStart w:id="2683" w:name="_Toc38440942"/>
      <w:bookmarkStart w:id="2684" w:name="_Toc38441274"/>
      <w:bookmarkStart w:id="2685" w:name="_Toc38441606"/>
      <w:bookmarkStart w:id="2686" w:name="_Toc38441934"/>
      <w:bookmarkStart w:id="2687" w:name="_Toc38442266"/>
      <w:bookmarkStart w:id="2688" w:name="_Toc38442598"/>
      <w:bookmarkStart w:id="2689" w:name="_Toc38442929"/>
      <w:bookmarkStart w:id="2690" w:name="_Toc38443260"/>
      <w:bookmarkStart w:id="2691" w:name="_Toc38443591"/>
      <w:bookmarkStart w:id="2692" w:name="_Toc38443921"/>
      <w:bookmarkStart w:id="2693" w:name="_Toc38438389"/>
      <w:bookmarkStart w:id="2694" w:name="_Toc38438726"/>
      <w:bookmarkStart w:id="2695" w:name="_Toc38439063"/>
      <w:bookmarkStart w:id="2696" w:name="_Toc38439400"/>
      <w:bookmarkStart w:id="2697" w:name="_Toc38439737"/>
      <w:bookmarkStart w:id="2698" w:name="_Toc38440074"/>
      <w:bookmarkStart w:id="2699" w:name="_Toc38440411"/>
      <w:bookmarkStart w:id="2700" w:name="_Toc38440943"/>
      <w:bookmarkStart w:id="2701" w:name="_Toc38441275"/>
      <w:bookmarkStart w:id="2702" w:name="_Toc38441607"/>
      <w:bookmarkStart w:id="2703" w:name="_Toc38441935"/>
      <w:bookmarkStart w:id="2704" w:name="_Toc38442267"/>
      <w:bookmarkStart w:id="2705" w:name="_Toc38442599"/>
      <w:bookmarkStart w:id="2706" w:name="_Toc38442930"/>
      <w:bookmarkStart w:id="2707" w:name="_Toc38443261"/>
      <w:bookmarkStart w:id="2708" w:name="_Toc38443592"/>
      <w:bookmarkStart w:id="2709" w:name="_Toc38443922"/>
      <w:bookmarkStart w:id="2710" w:name="_Toc38438390"/>
      <w:bookmarkStart w:id="2711" w:name="_Toc38438727"/>
      <w:bookmarkStart w:id="2712" w:name="_Toc38439064"/>
      <w:bookmarkStart w:id="2713" w:name="_Toc38439401"/>
      <w:bookmarkStart w:id="2714" w:name="_Toc38439738"/>
      <w:bookmarkStart w:id="2715" w:name="_Toc38440075"/>
      <w:bookmarkStart w:id="2716" w:name="_Toc38440412"/>
      <w:bookmarkStart w:id="2717" w:name="_Toc38440944"/>
      <w:bookmarkStart w:id="2718" w:name="_Toc38441276"/>
      <w:bookmarkStart w:id="2719" w:name="_Toc38441608"/>
      <w:bookmarkStart w:id="2720" w:name="_Toc38441936"/>
      <w:bookmarkStart w:id="2721" w:name="_Toc38442268"/>
      <w:bookmarkStart w:id="2722" w:name="_Toc38442600"/>
      <w:bookmarkStart w:id="2723" w:name="_Toc38442931"/>
      <w:bookmarkStart w:id="2724" w:name="_Toc38443262"/>
      <w:bookmarkStart w:id="2725" w:name="_Toc38443593"/>
      <w:bookmarkStart w:id="2726" w:name="_Toc38443923"/>
      <w:bookmarkStart w:id="2727" w:name="_Toc38438391"/>
      <w:bookmarkStart w:id="2728" w:name="_Toc38438728"/>
      <w:bookmarkStart w:id="2729" w:name="_Toc38439065"/>
      <w:bookmarkStart w:id="2730" w:name="_Toc38439402"/>
      <w:bookmarkStart w:id="2731" w:name="_Toc38439739"/>
      <w:bookmarkStart w:id="2732" w:name="_Toc38440076"/>
      <w:bookmarkStart w:id="2733" w:name="_Toc38440413"/>
      <w:bookmarkStart w:id="2734" w:name="_Toc38440945"/>
      <w:bookmarkStart w:id="2735" w:name="_Toc38441277"/>
      <w:bookmarkStart w:id="2736" w:name="_Toc38441609"/>
      <w:bookmarkStart w:id="2737" w:name="_Toc38441937"/>
      <w:bookmarkStart w:id="2738" w:name="_Toc38442269"/>
      <w:bookmarkStart w:id="2739" w:name="_Toc38442601"/>
      <w:bookmarkStart w:id="2740" w:name="_Toc38442932"/>
      <w:bookmarkStart w:id="2741" w:name="_Toc38443263"/>
      <w:bookmarkStart w:id="2742" w:name="_Toc38443594"/>
      <w:bookmarkStart w:id="2743" w:name="_Toc38443924"/>
      <w:bookmarkStart w:id="2744" w:name="_Toc38438392"/>
      <w:bookmarkStart w:id="2745" w:name="_Toc38438729"/>
      <w:bookmarkStart w:id="2746" w:name="_Toc38439066"/>
      <w:bookmarkStart w:id="2747" w:name="_Toc38439403"/>
      <w:bookmarkStart w:id="2748" w:name="_Toc38439740"/>
      <w:bookmarkStart w:id="2749" w:name="_Toc38440077"/>
      <w:bookmarkStart w:id="2750" w:name="_Toc38440414"/>
      <w:bookmarkStart w:id="2751" w:name="_Toc38440946"/>
      <w:bookmarkStart w:id="2752" w:name="_Toc38441278"/>
      <w:bookmarkStart w:id="2753" w:name="_Toc38441610"/>
      <w:bookmarkStart w:id="2754" w:name="_Toc38441938"/>
      <w:bookmarkStart w:id="2755" w:name="_Toc38442270"/>
      <w:bookmarkStart w:id="2756" w:name="_Toc38442602"/>
      <w:bookmarkStart w:id="2757" w:name="_Toc38442933"/>
      <w:bookmarkStart w:id="2758" w:name="_Toc38443264"/>
      <w:bookmarkStart w:id="2759" w:name="_Toc38443595"/>
      <w:bookmarkStart w:id="2760" w:name="_Toc38443925"/>
      <w:bookmarkStart w:id="2761" w:name="_Toc38438393"/>
      <w:bookmarkStart w:id="2762" w:name="_Toc38438730"/>
      <w:bookmarkStart w:id="2763" w:name="_Toc38439067"/>
      <w:bookmarkStart w:id="2764" w:name="_Toc38439404"/>
      <w:bookmarkStart w:id="2765" w:name="_Toc38439741"/>
      <w:bookmarkStart w:id="2766" w:name="_Toc38440078"/>
      <w:bookmarkStart w:id="2767" w:name="_Toc38440415"/>
      <w:bookmarkStart w:id="2768" w:name="_Toc38440947"/>
      <w:bookmarkStart w:id="2769" w:name="_Toc38441279"/>
      <w:bookmarkStart w:id="2770" w:name="_Toc38441611"/>
      <w:bookmarkStart w:id="2771" w:name="_Toc38441939"/>
      <w:bookmarkStart w:id="2772" w:name="_Toc38442271"/>
      <w:bookmarkStart w:id="2773" w:name="_Toc38442603"/>
      <w:bookmarkStart w:id="2774" w:name="_Toc38442934"/>
      <w:bookmarkStart w:id="2775" w:name="_Toc38443265"/>
      <w:bookmarkStart w:id="2776" w:name="_Toc38443596"/>
      <w:bookmarkStart w:id="2777" w:name="_Toc38443926"/>
      <w:bookmarkStart w:id="2778" w:name="_Toc38438394"/>
      <w:bookmarkStart w:id="2779" w:name="_Toc38438731"/>
      <w:bookmarkStart w:id="2780" w:name="_Toc38439068"/>
      <w:bookmarkStart w:id="2781" w:name="_Toc38439405"/>
      <w:bookmarkStart w:id="2782" w:name="_Toc38439742"/>
      <w:bookmarkStart w:id="2783" w:name="_Toc38440079"/>
      <w:bookmarkStart w:id="2784" w:name="_Toc38440416"/>
      <w:bookmarkStart w:id="2785" w:name="_Toc38440948"/>
      <w:bookmarkStart w:id="2786" w:name="_Toc38441280"/>
      <w:bookmarkStart w:id="2787" w:name="_Toc38441612"/>
      <w:bookmarkStart w:id="2788" w:name="_Toc38441940"/>
      <w:bookmarkStart w:id="2789" w:name="_Toc38442272"/>
      <w:bookmarkStart w:id="2790" w:name="_Toc38442604"/>
      <w:bookmarkStart w:id="2791" w:name="_Toc38442935"/>
      <w:bookmarkStart w:id="2792" w:name="_Toc38443266"/>
      <w:bookmarkStart w:id="2793" w:name="_Toc38443597"/>
      <w:bookmarkStart w:id="2794" w:name="_Toc38443927"/>
      <w:bookmarkStart w:id="2795" w:name="_Toc38438395"/>
      <w:bookmarkStart w:id="2796" w:name="_Toc38438732"/>
      <w:bookmarkStart w:id="2797" w:name="_Toc38439069"/>
      <w:bookmarkStart w:id="2798" w:name="_Toc38439406"/>
      <w:bookmarkStart w:id="2799" w:name="_Toc38439743"/>
      <w:bookmarkStart w:id="2800" w:name="_Toc38440080"/>
      <w:bookmarkStart w:id="2801" w:name="_Toc38440417"/>
      <w:bookmarkStart w:id="2802" w:name="_Toc38440949"/>
      <w:bookmarkStart w:id="2803" w:name="_Toc38441281"/>
      <w:bookmarkStart w:id="2804" w:name="_Toc38441613"/>
      <w:bookmarkStart w:id="2805" w:name="_Toc38441941"/>
      <w:bookmarkStart w:id="2806" w:name="_Toc38442273"/>
      <w:bookmarkStart w:id="2807" w:name="_Toc38442605"/>
      <w:bookmarkStart w:id="2808" w:name="_Toc38442936"/>
      <w:bookmarkStart w:id="2809" w:name="_Toc38443267"/>
      <w:bookmarkStart w:id="2810" w:name="_Toc38443598"/>
      <w:bookmarkStart w:id="2811" w:name="_Toc38443928"/>
      <w:bookmarkStart w:id="2812" w:name="_Toc38438396"/>
      <w:bookmarkStart w:id="2813" w:name="_Toc38438733"/>
      <w:bookmarkStart w:id="2814" w:name="_Toc38439070"/>
      <w:bookmarkStart w:id="2815" w:name="_Toc38439407"/>
      <w:bookmarkStart w:id="2816" w:name="_Toc38439744"/>
      <w:bookmarkStart w:id="2817" w:name="_Toc38440081"/>
      <w:bookmarkStart w:id="2818" w:name="_Toc38440418"/>
      <w:bookmarkStart w:id="2819" w:name="_Toc38440950"/>
      <w:bookmarkStart w:id="2820" w:name="_Toc38441282"/>
      <w:bookmarkStart w:id="2821" w:name="_Toc38441614"/>
      <w:bookmarkStart w:id="2822" w:name="_Toc38441942"/>
      <w:bookmarkStart w:id="2823" w:name="_Toc38442274"/>
      <w:bookmarkStart w:id="2824" w:name="_Toc38442606"/>
      <w:bookmarkStart w:id="2825" w:name="_Toc38442937"/>
      <w:bookmarkStart w:id="2826" w:name="_Toc38443268"/>
      <w:bookmarkStart w:id="2827" w:name="_Toc38443599"/>
      <w:bookmarkStart w:id="2828" w:name="_Toc38443929"/>
      <w:bookmarkStart w:id="2829" w:name="_Toc38438397"/>
      <w:bookmarkStart w:id="2830" w:name="_Toc38438734"/>
      <w:bookmarkStart w:id="2831" w:name="_Toc38439071"/>
      <w:bookmarkStart w:id="2832" w:name="_Toc38439408"/>
      <w:bookmarkStart w:id="2833" w:name="_Toc38439745"/>
      <w:bookmarkStart w:id="2834" w:name="_Toc38440082"/>
      <w:bookmarkStart w:id="2835" w:name="_Toc38440419"/>
      <w:bookmarkStart w:id="2836" w:name="_Toc38440951"/>
      <w:bookmarkStart w:id="2837" w:name="_Toc38441283"/>
      <w:bookmarkStart w:id="2838" w:name="_Toc38441615"/>
      <w:bookmarkStart w:id="2839" w:name="_Toc38441943"/>
      <w:bookmarkStart w:id="2840" w:name="_Toc38442275"/>
      <w:bookmarkStart w:id="2841" w:name="_Toc38442607"/>
      <w:bookmarkStart w:id="2842" w:name="_Toc38442938"/>
      <w:bookmarkStart w:id="2843" w:name="_Toc38443269"/>
      <w:bookmarkStart w:id="2844" w:name="_Toc38443600"/>
      <w:bookmarkStart w:id="2845" w:name="_Toc38443930"/>
      <w:bookmarkStart w:id="2846" w:name="_Toc38438398"/>
      <w:bookmarkStart w:id="2847" w:name="_Toc38438735"/>
      <w:bookmarkStart w:id="2848" w:name="_Toc38439072"/>
      <w:bookmarkStart w:id="2849" w:name="_Toc38439409"/>
      <w:bookmarkStart w:id="2850" w:name="_Toc38439746"/>
      <w:bookmarkStart w:id="2851" w:name="_Toc38440083"/>
      <w:bookmarkStart w:id="2852" w:name="_Toc38440420"/>
      <w:bookmarkStart w:id="2853" w:name="_Toc38440952"/>
      <w:bookmarkStart w:id="2854" w:name="_Toc38441284"/>
      <w:bookmarkStart w:id="2855" w:name="_Toc38441616"/>
      <w:bookmarkStart w:id="2856" w:name="_Toc38441944"/>
      <w:bookmarkStart w:id="2857" w:name="_Toc38442276"/>
      <w:bookmarkStart w:id="2858" w:name="_Toc38442608"/>
      <w:bookmarkStart w:id="2859" w:name="_Toc38442939"/>
      <w:bookmarkStart w:id="2860" w:name="_Toc38443270"/>
      <w:bookmarkStart w:id="2861" w:name="_Toc38443601"/>
      <w:bookmarkStart w:id="2862" w:name="_Toc38443931"/>
      <w:bookmarkStart w:id="2863" w:name="_Toc38438400"/>
      <w:bookmarkStart w:id="2864" w:name="_Toc38438737"/>
      <w:bookmarkStart w:id="2865" w:name="_Toc38439074"/>
      <w:bookmarkStart w:id="2866" w:name="_Toc38439411"/>
      <w:bookmarkStart w:id="2867" w:name="_Toc38439748"/>
      <w:bookmarkStart w:id="2868" w:name="_Toc38440085"/>
      <w:bookmarkStart w:id="2869" w:name="_Toc38440422"/>
      <w:bookmarkStart w:id="2870" w:name="_Toc38440954"/>
      <w:bookmarkStart w:id="2871" w:name="_Toc38441286"/>
      <w:bookmarkStart w:id="2872" w:name="_Toc38441618"/>
      <w:bookmarkStart w:id="2873" w:name="_Toc38441946"/>
      <w:bookmarkStart w:id="2874" w:name="_Toc38442278"/>
      <w:bookmarkStart w:id="2875" w:name="_Toc38442610"/>
      <w:bookmarkStart w:id="2876" w:name="_Toc38442941"/>
      <w:bookmarkStart w:id="2877" w:name="_Toc38443272"/>
      <w:bookmarkStart w:id="2878" w:name="_Toc38443603"/>
      <w:bookmarkStart w:id="2879" w:name="_Toc38443933"/>
      <w:bookmarkStart w:id="2880" w:name="_Toc38438401"/>
      <w:bookmarkStart w:id="2881" w:name="_Toc38438738"/>
      <w:bookmarkStart w:id="2882" w:name="_Toc38439075"/>
      <w:bookmarkStart w:id="2883" w:name="_Toc38439412"/>
      <w:bookmarkStart w:id="2884" w:name="_Toc38439749"/>
      <w:bookmarkStart w:id="2885" w:name="_Toc38440086"/>
      <w:bookmarkStart w:id="2886" w:name="_Toc38440423"/>
      <w:bookmarkStart w:id="2887" w:name="_Toc38440955"/>
      <w:bookmarkStart w:id="2888" w:name="_Toc38441287"/>
      <w:bookmarkStart w:id="2889" w:name="_Toc38441619"/>
      <w:bookmarkStart w:id="2890" w:name="_Toc38441947"/>
      <w:bookmarkStart w:id="2891" w:name="_Toc38442279"/>
      <w:bookmarkStart w:id="2892" w:name="_Toc38442611"/>
      <w:bookmarkStart w:id="2893" w:name="_Toc38442942"/>
      <w:bookmarkStart w:id="2894" w:name="_Toc38443273"/>
      <w:bookmarkStart w:id="2895" w:name="_Toc38443604"/>
      <w:bookmarkStart w:id="2896" w:name="_Toc38443934"/>
      <w:bookmarkStart w:id="2897" w:name="_Toc38438402"/>
      <w:bookmarkStart w:id="2898" w:name="_Toc38438739"/>
      <w:bookmarkStart w:id="2899" w:name="_Toc38439076"/>
      <w:bookmarkStart w:id="2900" w:name="_Toc38439413"/>
      <w:bookmarkStart w:id="2901" w:name="_Toc38439750"/>
      <w:bookmarkStart w:id="2902" w:name="_Toc38440087"/>
      <w:bookmarkStart w:id="2903" w:name="_Toc38440424"/>
      <w:bookmarkStart w:id="2904" w:name="_Toc38440956"/>
      <w:bookmarkStart w:id="2905" w:name="_Toc38441288"/>
      <w:bookmarkStart w:id="2906" w:name="_Toc38441620"/>
      <w:bookmarkStart w:id="2907" w:name="_Toc38441948"/>
      <w:bookmarkStart w:id="2908" w:name="_Toc38442280"/>
      <w:bookmarkStart w:id="2909" w:name="_Toc38442612"/>
      <w:bookmarkStart w:id="2910" w:name="_Toc38442943"/>
      <w:bookmarkStart w:id="2911" w:name="_Toc38443274"/>
      <w:bookmarkStart w:id="2912" w:name="_Toc38443605"/>
      <w:bookmarkStart w:id="2913" w:name="_Toc38443935"/>
      <w:bookmarkStart w:id="2914" w:name="_Toc38438404"/>
      <w:bookmarkStart w:id="2915" w:name="_Toc38438741"/>
      <w:bookmarkStart w:id="2916" w:name="_Toc38439078"/>
      <w:bookmarkStart w:id="2917" w:name="_Toc38439415"/>
      <w:bookmarkStart w:id="2918" w:name="_Toc38439752"/>
      <w:bookmarkStart w:id="2919" w:name="_Toc38440089"/>
      <w:bookmarkStart w:id="2920" w:name="_Toc38440426"/>
      <w:bookmarkStart w:id="2921" w:name="_Toc38440958"/>
      <w:bookmarkStart w:id="2922" w:name="_Toc38441290"/>
      <w:bookmarkStart w:id="2923" w:name="_Toc38441622"/>
      <w:bookmarkStart w:id="2924" w:name="_Toc38441950"/>
      <w:bookmarkStart w:id="2925" w:name="_Toc38442282"/>
      <w:bookmarkStart w:id="2926" w:name="_Toc38442614"/>
      <w:bookmarkStart w:id="2927" w:name="_Toc38442945"/>
      <w:bookmarkStart w:id="2928" w:name="_Toc38443276"/>
      <w:bookmarkStart w:id="2929" w:name="_Toc38443607"/>
      <w:bookmarkStart w:id="2930" w:name="_Toc38443937"/>
      <w:bookmarkStart w:id="2931" w:name="_Toc38438405"/>
      <w:bookmarkStart w:id="2932" w:name="_Toc38438742"/>
      <w:bookmarkStart w:id="2933" w:name="_Toc38439079"/>
      <w:bookmarkStart w:id="2934" w:name="_Toc38439416"/>
      <w:bookmarkStart w:id="2935" w:name="_Toc38439753"/>
      <w:bookmarkStart w:id="2936" w:name="_Toc38440090"/>
      <w:bookmarkStart w:id="2937" w:name="_Toc38440427"/>
      <w:bookmarkStart w:id="2938" w:name="_Toc38440959"/>
      <w:bookmarkStart w:id="2939" w:name="_Toc38441291"/>
      <w:bookmarkStart w:id="2940" w:name="_Toc38441623"/>
      <w:bookmarkStart w:id="2941" w:name="_Toc38441951"/>
      <w:bookmarkStart w:id="2942" w:name="_Toc38442283"/>
      <w:bookmarkStart w:id="2943" w:name="_Toc38442615"/>
      <w:bookmarkStart w:id="2944" w:name="_Toc38442946"/>
      <w:bookmarkStart w:id="2945" w:name="_Toc38443277"/>
      <w:bookmarkStart w:id="2946" w:name="_Toc38443608"/>
      <w:bookmarkStart w:id="2947" w:name="_Toc38443938"/>
      <w:bookmarkStart w:id="2948" w:name="_Toc38438406"/>
      <w:bookmarkStart w:id="2949" w:name="_Toc38438743"/>
      <w:bookmarkStart w:id="2950" w:name="_Toc38439080"/>
      <w:bookmarkStart w:id="2951" w:name="_Toc38439417"/>
      <w:bookmarkStart w:id="2952" w:name="_Toc38439754"/>
      <w:bookmarkStart w:id="2953" w:name="_Toc38440091"/>
      <w:bookmarkStart w:id="2954" w:name="_Toc38440428"/>
      <w:bookmarkStart w:id="2955" w:name="_Toc38440960"/>
      <w:bookmarkStart w:id="2956" w:name="_Toc38441292"/>
      <w:bookmarkStart w:id="2957" w:name="_Toc38441624"/>
      <w:bookmarkStart w:id="2958" w:name="_Toc38441952"/>
      <w:bookmarkStart w:id="2959" w:name="_Toc38442284"/>
      <w:bookmarkStart w:id="2960" w:name="_Toc38442616"/>
      <w:bookmarkStart w:id="2961" w:name="_Toc38442947"/>
      <w:bookmarkStart w:id="2962" w:name="_Toc38443278"/>
      <w:bookmarkStart w:id="2963" w:name="_Toc38443609"/>
      <w:bookmarkStart w:id="2964" w:name="_Toc38443939"/>
      <w:bookmarkStart w:id="2965" w:name="_Toc38438407"/>
      <w:bookmarkStart w:id="2966" w:name="_Toc38438744"/>
      <w:bookmarkStart w:id="2967" w:name="_Toc38439081"/>
      <w:bookmarkStart w:id="2968" w:name="_Toc38439418"/>
      <w:bookmarkStart w:id="2969" w:name="_Toc38439755"/>
      <w:bookmarkStart w:id="2970" w:name="_Toc38440092"/>
      <w:bookmarkStart w:id="2971" w:name="_Toc38440429"/>
      <w:bookmarkStart w:id="2972" w:name="_Toc38440961"/>
      <w:bookmarkStart w:id="2973" w:name="_Toc38441293"/>
      <w:bookmarkStart w:id="2974" w:name="_Toc38441625"/>
      <w:bookmarkStart w:id="2975" w:name="_Toc38441953"/>
      <w:bookmarkStart w:id="2976" w:name="_Toc38442285"/>
      <w:bookmarkStart w:id="2977" w:name="_Toc38442617"/>
      <w:bookmarkStart w:id="2978" w:name="_Toc38442948"/>
      <w:bookmarkStart w:id="2979" w:name="_Toc38443279"/>
      <w:bookmarkStart w:id="2980" w:name="_Toc38443610"/>
      <w:bookmarkStart w:id="2981" w:name="_Toc38443940"/>
      <w:bookmarkStart w:id="2982" w:name="_Toc38438408"/>
      <w:bookmarkStart w:id="2983" w:name="_Toc38438745"/>
      <w:bookmarkStart w:id="2984" w:name="_Toc38439082"/>
      <w:bookmarkStart w:id="2985" w:name="_Toc38439419"/>
      <w:bookmarkStart w:id="2986" w:name="_Toc38439756"/>
      <w:bookmarkStart w:id="2987" w:name="_Toc38440093"/>
      <w:bookmarkStart w:id="2988" w:name="_Toc38440430"/>
      <w:bookmarkStart w:id="2989" w:name="_Toc38440962"/>
      <w:bookmarkStart w:id="2990" w:name="_Toc38441294"/>
      <w:bookmarkStart w:id="2991" w:name="_Toc38441626"/>
      <w:bookmarkStart w:id="2992" w:name="_Toc38441954"/>
      <w:bookmarkStart w:id="2993" w:name="_Toc38442286"/>
      <w:bookmarkStart w:id="2994" w:name="_Toc38442618"/>
      <w:bookmarkStart w:id="2995" w:name="_Toc38442949"/>
      <w:bookmarkStart w:id="2996" w:name="_Toc38443280"/>
      <w:bookmarkStart w:id="2997" w:name="_Toc38443611"/>
      <w:bookmarkStart w:id="2998" w:name="_Toc38443941"/>
      <w:bookmarkStart w:id="2999" w:name="_Toc38438409"/>
      <w:bookmarkStart w:id="3000" w:name="_Toc38438746"/>
      <w:bookmarkStart w:id="3001" w:name="_Toc38439083"/>
      <w:bookmarkStart w:id="3002" w:name="_Toc38439420"/>
      <w:bookmarkStart w:id="3003" w:name="_Toc38439757"/>
      <w:bookmarkStart w:id="3004" w:name="_Toc38440094"/>
      <w:bookmarkStart w:id="3005" w:name="_Toc38440431"/>
      <w:bookmarkStart w:id="3006" w:name="_Toc38440963"/>
      <w:bookmarkStart w:id="3007" w:name="_Toc38441295"/>
      <w:bookmarkStart w:id="3008" w:name="_Toc38441627"/>
      <w:bookmarkStart w:id="3009" w:name="_Toc38441955"/>
      <w:bookmarkStart w:id="3010" w:name="_Toc38442287"/>
      <w:bookmarkStart w:id="3011" w:name="_Toc38442619"/>
      <w:bookmarkStart w:id="3012" w:name="_Toc38442950"/>
      <w:bookmarkStart w:id="3013" w:name="_Toc38443281"/>
      <w:bookmarkStart w:id="3014" w:name="_Toc38443612"/>
      <w:bookmarkStart w:id="3015" w:name="_Toc38443942"/>
      <w:bookmarkStart w:id="3016" w:name="_Toc38438410"/>
      <w:bookmarkStart w:id="3017" w:name="_Toc38438747"/>
      <w:bookmarkStart w:id="3018" w:name="_Toc38439084"/>
      <w:bookmarkStart w:id="3019" w:name="_Toc38439421"/>
      <w:bookmarkStart w:id="3020" w:name="_Toc38439758"/>
      <w:bookmarkStart w:id="3021" w:name="_Toc38440095"/>
      <w:bookmarkStart w:id="3022" w:name="_Toc38440432"/>
      <w:bookmarkStart w:id="3023" w:name="_Toc38440964"/>
      <w:bookmarkStart w:id="3024" w:name="_Toc38441296"/>
      <w:bookmarkStart w:id="3025" w:name="_Toc38441628"/>
      <w:bookmarkStart w:id="3026" w:name="_Toc38441956"/>
      <w:bookmarkStart w:id="3027" w:name="_Toc38442288"/>
      <w:bookmarkStart w:id="3028" w:name="_Toc38442620"/>
      <w:bookmarkStart w:id="3029" w:name="_Toc38442951"/>
      <w:bookmarkStart w:id="3030" w:name="_Toc38443282"/>
      <w:bookmarkStart w:id="3031" w:name="_Toc38443613"/>
      <w:bookmarkStart w:id="3032" w:name="_Toc38443943"/>
      <w:bookmarkStart w:id="3033" w:name="_Toc38438411"/>
      <w:bookmarkStart w:id="3034" w:name="_Toc38438748"/>
      <w:bookmarkStart w:id="3035" w:name="_Toc38439085"/>
      <w:bookmarkStart w:id="3036" w:name="_Toc38439422"/>
      <w:bookmarkStart w:id="3037" w:name="_Toc38439759"/>
      <w:bookmarkStart w:id="3038" w:name="_Toc38440096"/>
      <w:bookmarkStart w:id="3039" w:name="_Toc38440433"/>
      <w:bookmarkStart w:id="3040" w:name="_Toc38440965"/>
      <w:bookmarkStart w:id="3041" w:name="_Toc38441297"/>
      <w:bookmarkStart w:id="3042" w:name="_Toc38441629"/>
      <w:bookmarkStart w:id="3043" w:name="_Toc38441957"/>
      <w:bookmarkStart w:id="3044" w:name="_Toc38442289"/>
      <w:bookmarkStart w:id="3045" w:name="_Toc38442621"/>
      <w:bookmarkStart w:id="3046" w:name="_Toc38442952"/>
      <w:bookmarkStart w:id="3047" w:name="_Toc38443283"/>
      <w:bookmarkStart w:id="3048" w:name="_Toc38443614"/>
      <w:bookmarkStart w:id="3049" w:name="_Toc38443944"/>
      <w:bookmarkStart w:id="3050" w:name="_Toc38438412"/>
      <w:bookmarkStart w:id="3051" w:name="_Toc38438749"/>
      <w:bookmarkStart w:id="3052" w:name="_Toc38439086"/>
      <w:bookmarkStart w:id="3053" w:name="_Toc38439423"/>
      <w:bookmarkStart w:id="3054" w:name="_Toc38439760"/>
      <w:bookmarkStart w:id="3055" w:name="_Toc38440097"/>
      <w:bookmarkStart w:id="3056" w:name="_Toc38440434"/>
      <w:bookmarkStart w:id="3057" w:name="_Toc38440966"/>
      <w:bookmarkStart w:id="3058" w:name="_Toc38441298"/>
      <w:bookmarkStart w:id="3059" w:name="_Toc38441630"/>
      <w:bookmarkStart w:id="3060" w:name="_Toc38441958"/>
      <w:bookmarkStart w:id="3061" w:name="_Toc38442290"/>
      <w:bookmarkStart w:id="3062" w:name="_Toc38442622"/>
      <w:bookmarkStart w:id="3063" w:name="_Toc38442953"/>
      <w:bookmarkStart w:id="3064" w:name="_Toc38443284"/>
      <w:bookmarkStart w:id="3065" w:name="_Toc38443615"/>
      <w:bookmarkStart w:id="3066" w:name="_Toc38443945"/>
      <w:bookmarkStart w:id="3067" w:name="_Toc38438413"/>
      <w:bookmarkStart w:id="3068" w:name="_Toc38438750"/>
      <w:bookmarkStart w:id="3069" w:name="_Toc38439087"/>
      <w:bookmarkStart w:id="3070" w:name="_Toc38439424"/>
      <w:bookmarkStart w:id="3071" w:name="_Toc38439761"/>
      <w:bookmarkStart w:id="3072" w:name="_Toc38440098"/>
      <w:bookmarkStart w:id="3073" w:name="_Toc38440435"/>
      <w:bookmarkStart w:id="3074" w:name="_Toc38440967"/>
      <w:bookmarkStart w:id="3075" w:name="_Toc38441299"/>
      <w:bookmarkStart w:id="3076" w:name="_Toc38441631"/>
      <w:bookmarkStart w:id="3077" w:name="_Toc38441959"/>
      <w:bookmarkStart w:id="3078" w:name="_Toc38442291"/>
      <w:bookmarkStart w:id="3079" w:name="_Toc38442623"/>
      <w:bookmarkStart w:id="3080" w:name="_Toc38442954"/>
      <w:bookmarkStart w:id="3081" w:name="_Toc38443285"/>
      <w:bookmarkStart w:id="3082" w:name="_Toc38443616"/>
      <w:bookmarkStart w:id="3083" w:name="_Toc38443946"/>
      <w:bookmarkStart w:id="3084" w:name="_Toc38438414"/>
      <w:bookmarkStart w:id="3085" w:name="_Toc38438751"/>
      <w:bookmarkStart w:id="3086" w:name="_Toc38439088"/>
      <w:bookmarkStart w:id="3087" w:name="_Toc38439425"/>
      <w:bookmarkStart w:id="3088" w:name="_Toc38439762"/>
      <w:bookmarkStart w:id="3089" w:name="_Toc38440099"/>
      <w:bookmarkStart w:id="3090" w:name="_Toc38440436"/>
      <w:bookmarkStart w:id="3091" w:name="_Toc38440968"/>
      <w:bookmarkStart w:id="3092" w:name="_Toc38441300"/>
      <w:bookmarkStart w:id="3093" w:name="_Toc38441632"/>
      <w:bookmarkStart w:id="3094" w:name="_Toc38441960"/>
      <w:bookmarkStart w:id="3095" w:name="_Toc38442292"/>
      <w:bookmarkStart w:id="3096" w:name="_Toc38442624"/>
      <w:bookmarkStart w:id="3097" w:name="_Toc38442955"/>
      <w:bookmarkStart w:id="3098" w:name="_Toc38443286"/>
      <w:bookmarkStart w:id="3099" w:name="_Toc38443617"/>
      <w:bookmarkStart w:id="3100" w:name="_Toc38443947"/>
      <w:bookmarkStart w:id="3101" w:name="_Toc38438415"/>
      <w:bookmarkStart w:id="3102" w:name="_Toc38438752"/>
      <w:bookmarkStart w:id="3103" w:name="_Toc38439089"/>
      <w:bookmarkStart w:id="3104" w:name="_Toc38439426"/>
      <w:bookmarkStart w:id="3105" w:name="_Toc38439763"/>
      <w:bookmarkStart w:id="3106" w:name="_Toc38440100"/>
      <w:bookmarkStart w:id="3107" w:name="_Toc38440437"/>
      <w:bookmarkStart w:id="3108" w:name="_Toc38440969"/>
      <w:bookmarkStart w:id="3109" w:name="_Toc38441301"/>
      <w:bookmarkStart w:id="3110" w:name="_Toc38441633"/>
      <w:bookmarkStart w:id="3111" w:name="_Toc38441961"/>
      <w:bookmarkStart w:id="3112" w:name="_Toc38442293"/>
      <w:bookmarkStart w:id="3113" w:name="_Toc38442625"/>
      <w:bookmarkStart w:id="3114" w:name="_Toc38442956"/>
      <w:bookmarkStart w:id="3115" w:name="_Toc38443287"/>
      <w:bookmarkStart w:id="3116" w:name="_Toc38443618"/>
      <w:bookmarkStart w:id="3117" w:name="_Toc38443948"/>
      <w:bookmarkStart w:id="3118" w:name="_Toc38438416"/>
      <w:bookmarkStart w:id="3119" w:name="_Toc38438753"/>
      <w:bookmarkStart w:id="3120" w:name="_Toc38439090"/>
      <w:bookmarkStart w:id="3121" w:name="_Toc38439427"/>
      <w:bookmarkStart w:id="3122" w:name="_Toc38439764"/>
      <w:bookmarkStart w:id="3123" w:name="_Toc38440101"/>
      <w:bookmarkStart w:id="3124" w:name="_Toc38440438"/>
      <w:bookmarkStart w:id="3125" w:name="_Toc38440970"/>
      <w:bookmarkStart w:id="3126" w:name="_Toc38441302"/>
      <w:bookmarkStart w:id="3127" w:name="_Toc38441634"/>
      <w:bookmarkStart w:id="3128" w:name="_Toc38441962"/>
      <w:bookmarkStart w:id="3129" w:name="_Toc38442294"/>
      <w:bookmarkStart w:id="3130" w:name="_Toc38442626"/>
      <w:bookmarkStart w:id="3131" w:name="_Toc38442957"/>
      <w:bookmarkStart w:id="3132" w:name="_Toc38443288"/>
      <w:bookmarkStart w:id="3133" w:name="_Toc38443619"/>
      <w:bookmarkStart w:id="3134" w:name="_Toc38443949"/>
      <w:bookmarkStart w:id="3135" w:name="_Toc38438417"/>
      <w:bookmarkStart w:id="3136" w:name="_Toc38438754"/>
      <w:bookmarkStart w:id="3137" w:name="_Toc38439091"/>
      <w:bookmarkStart w:id="3138" w:name="_Toc38439428"/>
      <w:bookmarkStart w:id="3139" w:name="_Toc38439765"/>
      <w:bookmarkStart w:id="3140" w:name="_Toc38440102"/>
      <w:bookmarkStart w:id="3141" w:name="_Toc38440439"/>
      <w:bookmarkStart w:id="3142" w:name="_Toc38440971"/>
      <w:bookmarkStart w:id="3143" w:name="_Toc38441303"/>
      <w:bookmarkStart w:id="3144" w:name="_Toc38441635"/>
      <w:bookmarkStart w:id="3145" w:name="_Toc38441963"/>
      <w:bookmarkStart w:id="3146" w:name="_Toc38442295"/>
      <w:bookmarkStart w:id="3147" w:name="_Toc38442627"/>
      <w:bookmarkStart w:id="3148" w:name="_Toc38442958"/>
      <w:bookmarkStart w:id="3149" w:name="_Toc38443289"/>
      <w:bookmarkStart w:id="3150" w:name="_Toc38443620"/>
      <w:bookmarkStart w:id="3151" w:name="_Toc38443950"/>
      <w:bookmarkStart w:id="3152" w:name="_Toc38438418"/>
      <w:bookmarkStart w:id="3153" w:name="_Toc38438755"/>
      <w:bookmarkStart w:id="3154" w:name="_Toc38439092"/>
      <w:bookmarkStart w:id="3155" w:name="_Toc38439429"/>
      <w:bookmarkStart w:id="3156" w:name="_Toc38439766"/>
      <w:bookmarkStart w:id="3157" w:name="_Toc38440103"/>
      <w:bookmarkStart w:id="3158" w:name="_Toc38440440"/>
      <w:bookmarkStart w:id="3159" w:name="_Toc38440972"/>
      <w:bookmarkStart w:id="3160" w:name="_Toc38441304"/>
      <w:bookmarkStart w:id="3161" w:name="_Toc38441636"/>
      <w:bookmarkStart w:id="3162" w:name="_Toc38441964"/>
      <w:bookmarkStart w:id="3163" w:name="_Toc38442296"/>
      <w:bookmarkStart w:id="3164" w:name="_Toc38442628"/>
      <w:bookmarkStart w:id="3165" w:name="_Toc38442959"/>
      <w:bookmarkStart w:id="3166" w:name="_Toc38443290"/>
      <w:bookmarkStart w:id="3167" w:name="_Toc38443621"/>
      <w:bookmarkStart w:id="3168" w:name="_Toc38443951"/>
      <w:bookmarkStart w:id="3169" w:name="_Toc38438419"/>
      <w:bookmarkStart w:id="3170" w:name="_Toc38438756"/>
      <w:bookmarkStart w:id="3171" w:name="_Toc38439093"/>
      <w:bookmarkStart w:id="3172" w:name="_Toc38439430"/>
      <w:bookmarkStart w:id="3173" w:name="_Toc38439767"/>
      <w:bookmarkStart w:id="3174" w:name="_Toc38440104"/>
      <w:bookmarkStart w:id="3175" w:name="_Toc38440441"/>
      <w:bookmarkStart w:id="3176" w:name="_Toc38440973"/>
      <w:bookmarkStart w:id="3177" w:name="_Toc38441305"/>
      <w:bookmarkStart w:id="3178" w:name="_Toc38441637"/>
      <w:bookmarkStart w:id="3179" w:name="_Toc38441965"/>
      <w:bookmarkStart w:id="3180" w:name="_Toc38442297"/>
      <w:bookmarkStart w:id="3181" w:name="_Toc38442629"/>
      <w:bookmarkStart w:id="3182" w:name="_Toc38442960"/>
      <w:bookmarkStart w:id="3183" w:name="_Toc38443291"/>
      <w:bookmarkStart w:id="3184" w:name="_Toc38443622"/>
      <w:bookmarkStart w:id="3185" w:name="_Toc38443952"/>
      <w:bookmarkStart w:id="3186" w:name="_Toc38438420"/>
      <w:bookmarkStart w:id="3187" w:name="_Toc38438757"/>
      <w:bookmarkStart w:id="3188" w:name="_Toc38439094"/>
      <w:bookmarkStart w:id="3189" w:name="_Toc38439431"/>
      <w:bookmarkStart w:id="3190" w:name="_Toc38439768"/>
      <w:bookmarkStart w:id="3191" w:name="_Toc38440105"/>
      <w:bookmarkStart w:id="3192" w:name="_Toc38440442"/>
      <w:bookmarkStart w:id="3193" w:name="_Toc38440974"/>
      <w:bookmarkStart w:id="3194" w:name="_Toc38441306"/>
      <w:bookmarkStart w:id="3195" w:name="_Toc38441638"/>
      <w:bookmarkStart w:id="3196" w:name="_Toc38441966"/>
      <w:bookmarkStart w:id="3197" w:name="_Toc38442298"/>
      <w:bookmarkStart w:id="3198" w:name="_Toc38442630"/>
      <w:bookmarkStart w:id="3199" w:name="_Toc38442961"/>
      <w:bookmarkStart w:id="3200" w:name="_Toc38443292"/>
      <w:bookmarkStart w:id="3201" w:name="_Toc38443623"/>
      <w:bookmarkStart w:id="3202" w:name="_Toc38443953"/>
      <w:bookmarkStart w:id="3203" w:name="_Toc38438421"/>
      <w:bookmarkStart w:id="3204" w:name="_Toc38438758"/>
      <w:bookmarkStart w:id="3205" w:name="_Toc38439095"/>
      <w:bookmarkStart w:id="3206" w:name="_Toc38439432"/>
      <w:bookmarkStart w:id="3207" w:name="_Toc38439769"/>
      <w:bookmarkStart w:id="3208" w:name="_Toc38440106"/>
      <w:bookmarkStart w:id="3209" w:name="_Toc38440443"/>
      <w:bookmarkStart w:id="3210" w:name="_Toc38440975"/>
      <w:bookmarkStart w:id="3211" w:name="_Toc38441307"/>
      <w:bookmarkStart w:id="3212" w:name="_Toc38441639"/>
      <w:bookmarkStart w:id="3213" w:name="_Toc38441967"/>
      <w:bookmarkStart w:id="3214" w:name="_Toc38442299"/>
      <w:bookmarkStart w:id="3215" w:name="_Toc38442631"/>
      <w:bookmarkStart w:id="3216" w:name="_Toc38442962"/>
      <w:bookmarkStart w:id="3217" w:name="_Toc38443293"/>
      <w:bookmarkStart w:id="3218" w:name="_Toc38443624"/>
      <w:bookmarkStart w:id="3219" w:name="_Toc38443954"/>
      <w:bookmarkStart w:id="3220" w:name="_Toc38438422"/>
      <w:bookmarkStart w:id="3221" w:name="_Toc38438759"/>
      <w:bookmarkStart w:id="3222" w:name="_Toc38439096"/>
      <w:bookmarkStart w:id="3223" w:name="_Toc38439433"/>
      <w:bookmarkStart w:id="3224" w:name="_Toc38439770"/>
      <w:bookmarkStart w:id="3225" w:name="_Toc38440107"/>
      <w:bookmarkStart w:id="3226" w:name="_Toc38440444"/>
      <w:bookmarkStart w:id="3227" w:name="_Toc38440976"/>
      <w:bookmarkStart w:id="3228" w:name="_Toc38441308"/>
      <w:bookmarkStart w:id="3229" w:name="_Toc38441640"/>
      <w:bookmarkStart w:id="3230" w:name="_Toc38441968"/>
      <w:bookmarkStart w:id="3231" w:name="_Toc38442300"/>
      <w:bookmarkStart w:id="3232" w:name="_Toc38442632"/>
      <w:bookmarkStart w:id="3233" w:name="_Toc38442963"/>
      <w:bookmarkStart w:id="3234" w:name="_Toc38443294"/>
      <w:bookmarkStart w:id="3235" w:name="_Toc38443625"/>
      <w:bookmarkStart w:id="3236" w:name="_Toc38443955"/>
      <w:bookmarkStart w:id="3237" w:name="_Toc38438423"/>
      <w:bookmarkStart w:id="3238" w:name="_Toc38438760"/>
      <w:bookmarkStart w:id="3239" w:name="_Toc38439097"/>
      <w:bookmarkStart w:id="3240" w:name="_Toc38439434"/>
      <w:bookmarkStart w:id="3241" w:name="_Toc38439771"/>
      <w:bookmarkStart w:id="3242" w:name="_Toc38440108"/>
      <w:bookmarkStart w:id="3243" w:name="_Toc38440445"/>
      <w:bookmarkStart w:id="3244" w:name="_Toc38440977"/>
      <w:bookmarkStart w:id="3245" w:name="_Toc38441309"/>
      <w:bookmarkStart w:id="3246" w:name="_Toc38441641"/>
      <w:bookmarkStart w:id="3247" w:name="_Toc38441969"/>
      <w:bookmarkStart w:id="3248" w:name="_Toc38442301"/>
      <w:bookmarkStart w:id="3249" w:name="_Toc38442633"/>
      <w:bookmarkStart w:id="3250" w:name="_Toc38442964"/>
      <w:bookmarkStart w:id="3251" w:name="_Toc38443295"/>
      <w:bookmarkStart w:id="3252" w:name="_Toc38443626"/>
      <w:bookmarkStart w:id="3253" w:name="_Toc38443956"/>
      <w:bookmarkStart w:id="3254" w:name="_Toc38438424"/>
      <w:bookmarkStart w:id="3255" w:name="_Toc38438761"/>
      <w:bookmarkStart w:id="3256" w:name="_Toc38439098"/>
      <w:bookmarkStart w:id="3257" w:name="_Toc38439435"/>
      <w:bookmarkStart w:id="3258" w:name="_Toc38439772"/>
      <w:bookmarkStart w:id="3259" w:name="_Toc38440109"/>
      <w:bookmarkStart w:id="3260" w:name="_Toc38440446"/>
      <w:bookmarkStart w:id="3261" w:name="_Toc38440978"/>
      <w:bookmarkStart w:id="3262" w:name="_Toc38441310"/>
      <w:bookmarkStart w:id="3263" w:name="_Toc38441642"/>
      <w:bookmarkStart w:id="3264" w:name="_Toc38441970"/>
      <w:bookmarkStart w:id="3265" w:name="_Toc38442302"/>
      <w:bookmarkStart w:id="3266" w:name="_Toc38442634"/>
      <w:bookmarkStart w:id="3267" w:name="_Toc38442965"/>
      <w:bookmarkStart w:id="3268" w:name="_Toc38443296"/>
      <w:bookmarkStart w:id="3269" w:name="_Toc38443627"/>
      <w:bookmarkStart w:id="3270" w:name="_Toc38443957"/>
      <w:bookmarkStart w:id="3271" w:name="_Toc38438425"/>
      <w:bookmarkStart w:id="3272" w:name="_Toc38438762"/>
      <w:bookmarkStart w:id="3273" w:name="_Toc38439099"/>
      <w:bookmarkStart w:id="3274" w:name="_Toc38439436"/>
      <w:bookmarkStart w:id="3275" w:name="_Toc38439773"/>
      <w:bookmarkStart w:id="3276" w:name="_Toc38440110"/>
      <w:bookmarkStart w:id="3277" w:name="_Toc38440447"/>
      <w:bookmarkStart w:id="3278" w:name="_Toc38440979"/>
      <w:bookmarkStart w:id="3279" w:name="_Toc38441311"/>
      <w:bookmarkStart w:id="3280" w:name="_Toc38441643"/>
      <w:bookmarkStart w:id="3281" w:name="_Toc38441971"/>
      <w:bookmarkStart w:id="3282" w:name="_Toc38442303"/>
      <w:bookmarkStart w:id="3283" w:name="_Toc38442635"/>
      <w:bookmarkStart w:id="3284" w:name="_Toc38442966"/>
      <w:bookmarkStart w:id="3285" w:name="_Toc38443297"/>
      <w:bookmarkStart w:id="3286" w:name="_Toc38443628"/>
      <w:bookmarkStart w:id="3287" w:name="_Toc38443958"/>
      <w:bookmarkStart w:id="3288" w:name="_Toc38438426"/>
      <w:bookmarkStart w:id="3289" w:name="_Toc38438763"/>
      <w:bookmarkStart w:id="3290" w:name="_Toc38439100"/>
      <w:bookmarkStart w:id="3291" w:name="_Toc38439437"/>
      <w:bookmarkStart w:id="3292" w:name="_Toc38439774"/>
      <w:bookmarkStart w:id="3293" w:name="_Toc38440111"/>
      <w:bookmarkStart w:id="3294" w:name="_Toc38440448"/>
      <w:bookmarkStart w:id="3295" w:name="_Toc38440980"/>
      <w:bookmarkStart w:id="3296" w:name="_Toc38441312"/>
      <w:bookmarkStart w:id="3297" w:name="_Toc38441644"/>
      <w:bookmarkStart w:id="3298" w:name="_Toc38441972"/>
      <w:bookmarkStart w:id="3299" w:name="_Toc38442304"/>
      <w:bookmarkStart w:id="3300" w:name="_Toc38442636"/>
      <w:bookmarkStart w:id="3301" w:name="_Toc38442967"/>
      <w:bookmarkStart w:id="3302" w:name="_Toc38443298"/>
      <w:bookmarkStart w:id="3303" w:name="_Toc38443629"/>
      <w:bookmarkStart w:id="3304" w:name="_Toc38443959"/>
      <w:bookmarkStart w:id="3305" w:name="_Toc38438427"/>
      <w:bookmarkStart w:id="3306" w:name="_Toc38438764"/>
      <w:bookmarkStart w:id="3307" w:name="_Toc38439101"/>
      <w:bookmarkStart w:id="3308" w:name="_Toc38439438"/>
      <w:bookmarkStart w:id="3309" w:name="_Toc38439775"/>
      <w:bookmarkStart w:id="3310" w:name="_Toc38440112"/>
      <w:bookmarkStart w:id="3311" w:name="_Toc38440449"/>
      <w:bookmarkStart w:id="3312" w:name="_Toc38440981"/>
      <w:bookmarkStart w:id="3313" w:name="_Toc38441313"/>
      <w:bookmarkStart w:id="3314" w:name="_Toc38441645"/>
      <w:bookmarkStart w:id="3315" w:name="_Toc38441973"/>
      <w:bookmarkStart w:id="3316" w:name="_Toc38442305"/>
      <w:bookmarkStart w:id="3317" w:name="_Toc38442637"/>
      <w:bookmarkStart w:id="3318" w:name="_Toc38442968"/>
      <w:bookmarkStart w:id="3319" w:name="_Toc38443299"/>
      <w:bookmarkStart w:id="3320" w:name="_Toc38443630"/>
      <w:bookmarkStart w:id="3321" w:name="_Toc38443960"/>
      <w:bookmarkStart w:id="3322" w:name="_Toc38438428"/>
      <w:bookmarkStart w:id="3323" w:name="_Toc38438765"/>
      <w:bookmarkStart w:id="3324" w:name="_Toc38439102"/>
      <w:bookmarkStart w:id="3325" w:name="_Toc38439439"/>
      <w:bookmarkStart w:id="3326" w:name="_Toc38439776"/>
      <w:bookmarkStart w:id="3327" w:name="_Toc38440113"/>
      <w:bookmarkStart w:id="3328" w:name="_Toc38440450"/>
      <w:bookmarkStart w:id="3329" w:name="_Toc38440982"/>
      <w:bookmarkStart w:id="3330" w:name="_Toc38441314"/>
      <w:bookmarkStart w:id="3331" w:name="_Toc38441646"/>
      <w:bookmarkStart w:id="3332" w:name="_Toc38441974"/>
      <w:bookmarkStart w:id="3333" w:name="_Toc38442306"/>
      <w:bookmarkStart w:id="3334" w:name="_Toc38442638"/>
      <w:bookmarkStart w:id="3335" w:name="_Toc38442969"/>
      <w:bookmarkStart w:id="3336" w:name="_Toc38443300"/>
      <w:bookmarkStart w:id="3337" w:name="_Toc38443631"/>
      <w:bookmarkStart w:id="3338" w:name="_Toc38443961"/>
      <w:bookmarkStart w:id="3339" w:name="_Toc38438429"/>
      <w:bookmarkStart w:id="3340" w:name="_Toc38438766"/>
      <w:bookmarkStart w:id="3341" w:name="_Toc38439103"/>
      <w:bookmarkStart w:id="3342" w:name="_Toc38439440"/>
      <w:bookmarkStart w:id="3343" w:name="_Toc38439777"/>
      <w:bookmarkStart w:id="3344" w:name="_Toc38440114"/>
      <w:bookmarkStart w:id="3345" w:name="_Toc38440451"/>
      <w:bookmarkStart w:id="3346" w:name="_Toc38440983"/>
      <w:bookmarkStart w:id="3347" w:name="_Toc38441315"/>
      <w:bookmarkStart w:id="3348" w:name="_Toc38441647"/>
      <w:bookmarkStart w:id="3349" w:name="_Toc38441975"/>
      <w:bookmarkStart w:id="3350" w:name="_Toc38442307"/>
      <w:bookmarkStart w:id="3351" w:name="_Toc38442639"/>
      <w:bookmarkStart w:id="3352" w:name="_Toc38442970"/>
      <w:bookmarkStart w:id="3353" w:name="_Toc38443301"/>
      <w:bookmarkStart w:id="3354" w:name="_Toc38443632"/>
      <w:bookmarkStart w:id="3355" w:name="_Toc38443962"/>
      <w:bookmarkStart w:id="3356" w:name="_Toc38438430"/>
      <w:bookmarkStart w:id="3357" w:name="_Toc38438767"/>
      <w:bookmarkStart w:id="3358" w:name="_Toc38439104"/>
      <w:bookmarkStart w:id="3359" w:name="_Toc38439441"/>
      <w:bookmarkStart w:id="3360" w:name="_Toc38439778"/>
      <w:bookmarkStart w:id="3361" w:name="_Toc38440115"/>
      <w:bookmarkStart w:id="3362" w:name="_Toc38440452"/>
      <w:bookmarkStart w:id="3363" w:name="_Toc38440984"/>
      <w:bookmarkStart w:id="3364" w:name="_Toc38441316"/>
      <w:bookmarkStart w:id="3365" w:name="_Toc38441648"/>
      <w:bookmarkStart w:id="3366" w:name="_Toc38441976"/>
      <w:bookmarkStart w:id="3367" w:name="_Toc38442308"/>
      <w:bookmarkStart w:id="3368" w:name="_Toc38442640"/>
      <w:bookmarkStart w:id="3369" w:name="_Toc38442971"/>
      <w:bookmarkStart w:id="3370" w:name="_Toc38443302"/>
      <w:bookmarkStart w:id="3371" w:name="_Toc38443633"/>
      <w:bookmarkStart w:id="3372" w:name="_Toc38443963"/>
      <w:bookmarkStart w:id="3373" w:name="_Toc38438431"/>
      <w:bookmarkStart w:id="3374" w:name="_Toc38438768"/>
      <w:bookmarkStart w:id="3375" w:name="_Toc38439105"/>
      <w:bookmarkStart w:id="3376" w:name="_Toc38439442"/>
      <w:bookmarkStart w:id="3377" w:name="_Toc38439779"/>
      <w:bookmarkStart w:id="3378" w:name="_Toc38440116"/>
      <w:bookmarkStart w:id="3379" w:name="_Toc38440453"/>
      <w:bookmarkStart w:id="3380" w:name="_Toc38440985"/>
      <w:bookmarkStart w:id="3381" w:name="_Toc38441317"/>
      <w:bookmarkStart w:id="3382" w:name="_Toc38441649"/>
      <w:bookmarkStart w:id="3383" w:name="_Toc38441977"/>
      <w:bookmarkStart w:id="3384" w:name="_Toc38442309"/>
      <w:bookmarkStart w:id="3385" w:name="_Toc38442641"/>
      <w:bookmarkStart w:id="3386" w:name="_Toc38442972"/>
      <w:bookmarkStart w:id="3387" w:name="_Toc38443303"/>
      <w:bookmarkStart w:id="3388" w:name="_Toc38443634"/>
      <w:bookmarkStart w:id="3389" w:name="_Toc38443964"/>
      <w:bookmarkStart w:id="3390" w:name="_Toc38438432"/>
      <w:bookmarkStart w:id="3391" w:name="_Toc38438769"/>
      <w:bookmarkStart w:id="3392" w:name="_Toc38439106"/>
      <w:bookmarkStart w:id="3393" w:name="_Toc38439443"/>
      <w:bookmarkStart w:id="3394" w:name="_Toc38439780"/>
      <w:bookmarkStart w:id="3395" w:name="_Toc38440117"/>
      <w:bookmarkStart w:id="3396" w:name="_Toc38440454"/>
      <w:bookmarkStart w:id="3397" w:name="_Toc38440986"/>
      <w:bookmarkStart w:id="3398" w:name="_Toc38441318"/>
      <w:bookmarkStart w:id="3399" w:name="_Toc38441650"/>
      <w:bookmarkStart w:id="3400" w:name="_Toc38441978"/>
      <w:bookmarkStart w:id="3401" w:name="_Toc38442310"/>
      <w:bookmarkStart w:id="3402" w:name="_Toc38442642"/>
      <w:bookmarkStart w:id="3403" w:name="_Toc38442973"/>
      <w:bookmarkStart w:id="3404" w:name="_Toc38443304"/>
      <w:bookmarkStart w:id="3405" w:name="_Toc38443635"/>
      <w:bookmarkStart w:id="3406" w:name="_Toc38443965"/>
      <w:bookmarkStart w:id="3407" w:name="_Toc38438433"/>
      <w:bookmarkStart w:id="3408" w:name="_Toc38438770"/>
      <w:bookmarkStart w:id="3409" w:name="_Toc38439107"/>
      <w:bookmarkStart w:id="3410" w:name="_Toc38439444"/>
      <w:bookmarkStart w:id="3411" w:name="_Toc38439781"/>
      <w:bookmarkStart w:id="3412" w:name="_Toc38440118"/>
      <w:bookmarkStart w:id="3413" w:name="_Toc38440455"/>
      <w:bookmarkStart w:id="3414" w:name="_Toc38440987"/>
      <w:bookmarkStart w:id="3415" w:name="_Toc38441319"/>
      <w:bookmarkStart w:id="3416" w:name="_Toc38441651"/>
      <w:bookmarkStart w:id="3417" w:name="_Toc38441979"/>
      <w:bookmarkStart w:id="3418" w:name="_Toc38442311"/>
      <w:bookmarkStart w:id="3419" w:name="_Toc38442643"/>
      <w:bookmarkStart w:id="3420" w:name="_Toc38442974"/>
      <w:bookmarkStart w:id="3421" w:name="_Toc38443305"/>
      <w:bookmarkStart w:id="3422" w:name="_Toc38443636"/>
      <w:bookmarkStart w:id="3423" w:name="_Toc38443966"/>
      <w:bookmarkStart w:id="3424" w:name="_Toc38438434"/>
      <w:bookmarkStart w:id="3425" w:name="_Toc38438771"/>
      <w:bookmarkStart w:id="3426" w:name="_Toc38439108"/>
      <w:bookmarkStart w:id="3427" w:name="_Toc38439445"/>
      <w:bookmarkStart w:id="3428" w:name="_Toc38439782"/>
      <w:bookmarkStart w:id="3429" w:name="_Toc38440119"/>
      <w:bookmarkStart w:id="3430" w:name="_Toc38440456"/>
      <w:bookmarkStart w:id="3431" w:name="_Toc38440988"/>
      <w:bookmarkStart w:id="3432" w:name="_Toc38441320"/>
      <w:bookmarkStart w:id="3433" w:name="_Toc38441652"/>
      <w:bookmarkStart w:id="3434" w:name="_Toc38441980"/>
      <w:bookmarkStart w:id="3435" w:name="_Toc38442312"/>
      <w:bookmarkStart w:id="3436" w:name="_Toc38442644"/>
      <w:bookmarkStart w:id="3437" w:name="_Toc38442975"/>
      <w:bookmarkStart w:id="3438" w:name="_Toc38443306"/>
      <w:bookmarkStart w:id="3439" w:name="_Toc38443637"/>
      <w:bookmarkStart w:id="3440" w:name="_Toc38443967"/>
      <w:bookmarkStart w:id="3441" w:name="_Toc38438435"/>
      <w:bookmarkStart w:id="3442" w:name="_Toc38438772"/>
      <w:bookmarkStart w:id="3443" w:name="_Toc38439109"/>
      <w:bookmarkStart w:id="3444" w:name="_Toc38439446"/>
      <w:bookmarkStart w:id="3445" w:name="_Toc38440130"/>
      <w:bookmarkStart w:id="3446" w:name="_Toc38440467"/>
      <w:bookmarkStart w:id="3447" w:name="_Toc38440999"/>
      <w:bookmarkStart w:id="3448" w:name="_Toc38441331"/>
      <w:bookmarkStart w:id="3449" w:name="_Toc38441663"/>
      <w:bookmarkStart w:id="3450" w:name="_Toc38441991"/>
      <w:bookmarkStart w:id="3451" w:name="_Toc38442323"/>
      <w:bookmarkStart w:id="3452" w:name="_Toc38442655"/>
      <w:bookmarkStart w:id="3453" w:name="_Toc38442986"/>
      <w:bookmarkStart w:id="3454" w:name="_Toc38443317"/>
      <w:bookmarkStart w:id="3455" w:name="_Toc38443648"/>
      <w:bookmarkStart w:id="3456" w:name="_Toc38443978"/>
      <w:bookmarkStart w:id="3457" w:name="_Toc38438446"/>
      <w:bookmarkStart w:id="3458" w:name="_Toc38438783"/>
      <w:bookmarkStart w:id="3459" w:name="_Toc38439120"/>
      <w:bookmarkStart w:id="3460" w:name="_Toc38439457"/>
      <w:bookmarkStart w:id="3461" w:name="_Toc38439794"/>
      <w:bookmarkStart w:id="3462" w:name="_Toc38440131"/>
      <w:bookmarkStart w:id="3463" w:name="_Toc38440468"/>
      <w:bookmarkStart w:id="3464" w:name="_Toc38441000"/>
      <w:bookmarkStart w:id="3465" w:name="_Toc38441332"/>
      <w:bookmarkStart w:id="3466" w:name="_Toc38441664"/>
      <w:bookmarkStart w:id="3467" w:name="_Toc38441992"/>
      <w:bookmarkStart w:id="3468" w:name="_Toc38442324"/>
      <w:bookmarkStart w:id="3469" w:name="_Toc38442656"/>
      <w:bookmarkStart w:id="3470" w:name="_Toc38442987"/>
      <w:bookmarkStart w:id="3471" w:name="_Toc38443318"/>
      <w:bookmarkStart w:id="3472" w:name="_Toc38443649"/>
      <w:bookmarkStart w:id="3473" w:name="_Toc38443979"/>
      <w:bookmarkStart w:id="3474" w:name="_Toc38438447"/>
      <w:bookmarkStart w:id="3475" w:name="_Toc38438784"/>
      <w:bookmarkStart w:id="3476" w:name="_Toc38439121"/>
      <w:bookmarkStart w:id="3477" w:name="_Toc38439458"/>
      <w:bookmarkStart w:id="3478" w:name="_Toc38439795"/>
      <w:bookmarkStart w:id="3479" w:name="_Toc38440132"/>
      <w:bookmarkStart w:id="3480" w:name="_Toc38440469"/>
      <w:bookmarkStart w:id="3481" w:name="_Toc38441001"/>
      <w:bookmarkStart w:id="3482" w:name="_Toc38441333"/>
      <w:bookmarkStart w:id="3483" w:name="_Toc38441665"/>
      <w:bookmarkStart w:id="3484" w:name="_Toc38441993"/>
      <w:bookmarkStart w:id="3485" w:name="_Toc38442325"/>
      <w:bookmarkStart w:id="3486" w:name="_Toc38442657"/>
      <w:bookmarkStart w:id="3487" w:name="_Toc38442988"/>
      <w:bookmarkStart w:id="3488" w:name="_Toc38443319"/>
      <w:bookmarkStart w:id="3489" w:name="_Toc38443650"/>
      <w:bookmarkStart w:id="3490" w:name="_Toc38443980"/>
      <w:bookmarkStart w:id="3491" w:name="_Toc38438448"/>
      <w:bookmarkStart w:id="3492" w:name="_Toc38438785"/>
      <w:bookmarkStart w:id="3493" w:name="_Toc38439122"/>
      <w:bookmarkStart w:id="3494" w:name="_Toc38439459"/>
      <w:bookmarkStart w:id="3495" w:name="_Toc38439796"/>
      <w:bookmarkStart w:id="3496" w:name="_Toc38440133"/>
      <w:bookmarkStart w:id="3497" w:name="_Toc38440470"/>
      <w:bookmarkStart w:id="3498" w:name="_Toc38441002"/>
      <w:bookmarkStart w:id="3499" w:name="_Toc38441334"/>
      <w:bookmarkStart w:id="3500" w:name="_Toc38441666"/>
      <w:bookmarkStart w:id="3501" w:name="_Toc38441994"/>
      <w:bookmarkStart w:id="3502" w:name="_Toc38442326"/>
      <w:bookmarkStart w:id="3503" w:name="_Toc38442658"/>
      <w:bookmarkStart w:id="3504" w:name="_Toc38442989"/>
      <w:bookmarkStart w:id="3505" w:name="_Toc38443320"/>
      <w:bookmarkStart w:id="3506" w:name="_Toc38443651"/>
      <w:bookmarkStart w:id="3507" w:name="_Toc38443981"/>
      <w:bookmarkStart w:id="3508" w:name="_Toc38438449"/>
      <w:bookmarkStart w:id="3509" w:name="_Toc38438786"/>
      <w:bookmarkStart w:id="3510" w:name="_Toc38439123"/>
      <w:bookmarkStart w:id="3511" w:name="_Toc38439460"/>
      <w:bookmarkStart w:id="3512" w:name="_Toc38439797"/>
      <w:bookmarkStart w:id="3513" w:name="_Toc38440134"/>
      <w:bookmarkStart w:id="3514" w:name="_Toc38440471"/>
      <w:bookmarkStart w:id="3515" w:name="_Toc38441003"/>
      <w:bookmarkStart w:id="3516" w:name="_Toc38441335"/>
      <w:bookmarkStart w:id="3517" w:name="_Toc38441667"/>
      <w:bookmarkStart w:id="3518" w:name="_Toc38441995"/>
      <w:bookmarkStart w:id="3519" w:name="_Toc38442327"/>
      <w:bookmarkStart w:id="3520" w:name="_Toc38442659"/>
      <w:bookmarkStart w:id="3521" w:name="_Toc38442990"/>
      <w:bookmarkStart w:id="3522" w:name="_Toc38443321"/>
      <w:bookmarkStart w:id="3523" w:name="_Toc38443652"/>
      <w:bookmarkStart w:id="3524" w:name="_Toc38443982"/>
      <w:bookmarkStart w:id="3525" w:name="_Toc38438450"/>
      <w:bookmarkStart w:id="3526" w:name="_Toc38438787"/>
      <w:bookmarkStart w:id="3527" w:name="_Toc38439124"/>
      <w:bookmarkStart w:id="3528" w:name="_Toc38439461"/>
      <w:bookmarkStart w:id="3529" w:name="_Toc38439798"/>
      <w:bookmarkStart w:id="3530" w:name="_Toc38440135"/>
      <w:bookmarkStart w:id="3531" w:name="_Toc38440472"/>
      <w:bookmarkStart w:id="3532" w:name="_Toc38441004"/>
      <w:bookmarkStart w:id="3533" w:name="_Toc38441336"/>
      <w:bookmarkStart w:id="3534" w:name="_Toc38441668"/>
      <w:bookmarkStart w:id="3535" w:name="_Toc38441996"/>
      <w:bookmarkStart w:id="3536" w:name="_Toc38442328"/>
      <w:bookmarkStart w:id="3537" w:name="_Toc38442660"/>
      <w:bookmarkStart w:id="3538" w:name="_Toc38442991"/>
      <w:bookmarkStart w:id="3539" w:name="_Toc38443322"/>
      <w:bookmarkStart w:id="3540" w:name="_Toc38443653"/>
      <w:bookmarkStart w:id="3541" w:name="_Toc38443983"/>
      <w:bookmarkStart w:id="3542" w:name="_Toc38438451"/>
      <w:bookmarkStart w:id="3543" w:name="_Toc38438788"/>
      <w:bookmarkStart w:id="3544" w:name="_Toc38439125"/>
      <w:bookmarkStart w:id="3545" w:name="_Toc38439462"/>
      <w:bookmarkStart w:id="3546" w:name="_Toc38439799"/>
      <w:bookmarkStart w:id="3547" w:name="_Toc38440136"/>
      <w:bookmarkStart w:id="3548" w:name="_Toc38440473"/>
      <w:bookmarkStart w:id="3549" w:name="_Toc38441005"/>
      <w:bookmarkStart w:id="3550" w:name="_Toc38441337"/>
      <w:bookmarkStart w:id="3551" w:name="_Toc38441669"/>
      <w:bookmarkStart w:id="3552" w:name="_Toc38441997"/>
      <w:bookmarkStart w:id="3553" w:name="_Toc38442329"/>
      <w:bookmarkStart w:id="3554" w:name="_Toc38442661"/>
      <w:bookmarkStart w:id="3555" w:name="_Toc38442992"/>
      <w:bookmarkStart w:id="3556" w:name="_Toc38443323"/>
      <w:bookmarkStart w:id="3557" w:name="_Toc38443654"/>
      <w:bookmarkStart w:id="3558" w:name="_Toc38443984"/>
      <w:bookmarkStart w:id="3559" w:name="_Toc38438452"/>
      <w:bookmarkStart w:id="3560" w:name="_Toc38438789"/>
      <w:bookmarkStart w:id="3561" w:name="_Toc38439126"/>
      <w:bookmarkStart w:id="3562" w:name="_Toc38439463"/>
      <w:bookmarkStart w:id="3563" w:name="_Toc38439800"/>
      <w:bookmarkStart w:id="3564" w:name="_Toc38440137"/>
      <w:bookmarkStart w:id="3565" w:name="_Toc38440474"/>
      <w:bookmarkStart w:id="3566" w:name="_Toc38441006"/>
      <w:bookmarkStart w:id="3567" w:name="_Toc38441338"/>
      <w:bookmarkStart w:id="3568" w:name="_Toc38441670"/>
      <w:bookmarkStart w:id="3569" w:name="_Toc38441998"/>
      <w:bookmarkStart w:id="3570" w:name="_Toc38442330"/>
      <w:bookmarkStart w:id="3571" w:name="_Toc38442662"/>
      <w:bookmarkStart w:id="3572" w:name="_Toc38442993"/>
      <w:bookmarkStart w:id="3573" w:name="_Toc38443324"/>
      <w:bookmarkStart w:id="3574" w:name="_Toc38443655"/>
      <w:bookmarkStart w:id="3575" w:name="_Toc38443985"/>
      <w:bookmarkStart w:id="3576" w:name="_Toc38438453"/>
      <w:bookmarkStart w:id="3577" w:name="_Toc38438790"/>
      <w:bookmarkStart w:id="3578" w:name="_Toc38439127"/>
      <w:bookmarkStart w:id="3579" w:name="_Toc38439464"/>
      <w:bookmarkStart w:id="3580" w:name="_Toc38439801"/>
      <w:bookmarkStart w:id="3581" w:name="_Toc38440138"/>
      <w:bookmarkStart w:id="3582" w:name="_Toc38440475"/>
      <w:bookmarkStart w:id="3583" w:name="_Toc38441007"/>
      <w:bookmarkStart w:id="3584" w:name="_Toc38441339"/>
      <w:bookmarkStart w:id="3585" w:name="_Toc38441671"/>
      <w:bookmarkStart w:id="3586" w:name="_Toc38441999"/>
      <w:bookmarkStart w:id="3587" w:name="_Toc38442331"/>
      <w:bookmarkStart w:id="3588" w:name="_Toc38442663"/>
      <w:bookmarkStart w:id="3589" w:name="_Toc38442994"/>
      <w:bookmarkStart w:id="3590" w:name="_Toc38443325"/>
      <w:bookmarkStart w:id="3591" w:name="_Toc38443656"/>
      <w:bookmarkStart w:id="3592" w:name="_Toc38443986"/>
      <w:bookmarkStart w:id="3593" w:name="_Toc38438454"/>
      <w:bookmarkStart w:id="3594" w:name="_Toc38438791"/>
      <w:bookmarkStart w:id="3595" w:name="_Toc38439128"/>
      <w:bookmarkStart w:id="3596" w:name="_Toc38439465"/>
      <w:bookmarkStart w:id="3597" w:name="_Toc38439802"/>
      <w:bookmarkStart w:id="3598" w:name="_Toc38440139"/>
      <w:bookmarkStart w:id="3599" w:name="_Toc38440476"/>
      <w:bookmarkStart w:id="3600" w:name="_Toc38441008"/>
      <w:bookmarkStart w:id="3601" w:name="_Toc38441340"/>
      <w:bookmarkStart w:id="3602" w:name="_Toc38441672"/>
      <w:bookmarkStart w:id="3603" w:name="_Toc38442000"/>
      <w:bookmarkStart w:id="3604" w:name="_Toc38442332"/>
      <w:bookmarkStart w:id="3605" w:name="_Toc38442664"/>
      <w:bookmarkStart w:id="3606" w:name="_Toc38442995"/>
      <w:bookmarkStart w:id="3607" w:name="_Toc38443326"/>
      <w:bookmarkStart w:id="3608" w:name="_Toc38443657"/>
      <w:bookmarkStart w:id="3609" w:name="_Toc38443987"/>
      <w:bookmarkStart w:id="3610" w:name="_Toc38438455"/>
      <w:bookmarkStart w:id="3611" w:name="_Toc38438792"/>
      <w:bookmarkStart w:id="3612" w:name="_Toc38439129"/>
      <w:bookmarkStart w:id="3613" w:name="_Toc38439466"/>
      <w:bookmarkStart w:id="3614" w:name="_Toc38439803"/>
      <w:bookmarkStart w:id="3615" w:name="_Toc38440140"/>
      <w:bookmarkStart w:id="3616" w:name="_Toc38440477"/>
      <w:bookmarkStart w:id="3617" w:name="_Toc38441009"/>
      <w:bookmarkStart w:id="3618" w:name="_Toc38441341"/>
      <w:bookmarkStart w:id="3619" w:name="_Toc38441673"/>
      <w:bookmarkStart w:id="3620" w:name="_Toc38442001"/>
      <w:bookmarkStart w:id="3621" w:name="_Toc38442333"/>
      <w:bookmarkStart w:id="3622" w:name="_Toc38442665"/>
      <w:bookmarkStart w:id="3623" w:name="_Toc38442996"/>
      <w:bookmarkStart w:id="3624" w:name="_Toc38443327"/>
      <w:bookmarkStart w:id="3625" w:name="_Toc38443658"/>
      <w:bookmarkStart w:id="3626" w:name="_Toc38443988"/>
      <w:bookmarkStart w:id="3627" w:name="_Toc38438456"/>
      <w:bookmarkStart w:id="3628" w:name="_Toc38438793"/>
      <w:bookmarkStart w:id="3629" w:name="_Toc38439130"/>
      <w:bookmarkStart w:id="3630" w:name="_Toc38439467"/>
      <w:bookmarkStart w:id="3631" w:name="_Toc38439804"/>
      <w:bookmarkStart w:id="3632" w:name="_Toc38440141"/>
      <w:bookmarkStart w:id="3633" w:name="_Toc38440478"/>
      <w:bookmarkStart w:id="3634" w:name="_Toc38441010"/>
      <w:bookmarkStart w:id="3635" w:name="_Toc38441342"/>
      <w:bookmarkStart w:id="3636" w:name="_Toc38441674"/>
      <w:bookmarkStart w:id="3637" w:name="_Toc38442002"/>
      <w:bookmarkStart w:id="3638" w:name="_Toc38442334"/>
      <w:bookmarkStart w:id="3639" w:name="_Toc38442666"/>
      <w:bookmarkStart w:id="3640" w:name="_Toc38442997"/>
      <w:bookmarkStart w:id="3641" w:name="_Toc38443328"/>
      <w:bookmarkStart w:id="3642" w:name="_Toc38443659"/>
      <w:bookmarkStart w:id="3643" w:name="_Toc38443989"/>
      <w:bookmarkStart w:id="3644" w:name="_Toc38438457"/>
      <w:bookmarkStart w:id="3645" w:name="_Toc38438794"/>
      <w:bookmarkStart w:id="3646" w:name="_Toc38439131"/>
      <w:bookmarkStart w:id="3647" w:name="_Toc38439468"/>
      <w:bookmarkStart w:id="3648" w:name="_Toc38439805"/>
      <w:bookmarkStart w:id="3649" w:name="_Toc38440142"/>
      <w:bookmarkStart w:id="3650" w:name="_Toc38440479"/>
      <w:bookmarkStart w:id="3651" w:name="_Toc38441011"/>
      <w:bookmarkStart w:id="3652" w:name="_Toc38441343"/>
      <w:bookmarkStart w:id="3653" w:name="_Toc38441675"/>
      <w:bookmarkStart w:id="3654" w:name="_Toc38442003"/>
      <w:bookmarkStart w:id="3655" w:name="_Toc38442335"/>
      <w:bookmarkStart w:id="3656" w:name="_Toc38442667"/>
      <w:bookmarkStart w:id="3657" w:name="_Toc38442998"/>
      <w:bookmarkStart w:id="3658" w:name="_Toc38443329"/>
      <w:bookmarkStart w:id="3659" w:name="_Toc38443660"/>
      <w:bookmarkStart w:id="3660" w:name="_Toc38443990"/>
      <w:bookmarkStart w:id="3661" w:name="_Toc38438458"/>
      <w:bookmarkStart w:id="3662" w:name="_Toc38438795"/>
      <w:bookmarkStart w:id="3663" w:name="_Toc38439132"/>
      <w:bookmarkStart w:id="3664" w:name="_Toc38439469"/>
      <w:bookmarkStart w:id="3665" w:name="_Toc38439806"/>
      <w:bookmarkStart w:id="3666" w:name="_Toc38440143"/>
      <w:bookmarkStart w:id="3667" w:name="_Toc38440480"/>
      <w:bookmarkStart w:id="3668" w:name="_Toc38441012"/>
      <w:bookmarkStart w:id="3669" w:name="_Toc38441344"/>
      <w:bookmarkStart w:id="3670" w:name="_Toc38441676"/>
      <w:bookmarkStart w:id="3671" w:name="_Toc38442004"/>
      <w:bookmarkStart w:id="3672" w:name="_Toc38442336"/>
      <w:bookmarkStart w:id="3673" w:name="_Toc38442668"/>
      <w:bookmarkStart w:id="3674" w:name="_Toc38442999"/>
      <w:bookmarkStart w:id="3675" w:name="_Toc38443330"/>
      <w:bookmarkStart w:id="3676" w:name="_Toc38443661"/>
      <w:bookmarkStart w:id="3677" w:name="_Toc38443991"/>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p>
    <w:sectPr>
      <w:footerReference w:type="default" r:id="rId7"/>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s.....">
    <w:charset w:val="86"/>
    <w:family w:val="roman"/>
    <w:pitch w:val="default"/>
  </w:font>
  <w:font w:name="方正仿宋简体">
    <w:altName w:val="宋体"/>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3623">
    <w:pPr>
      <w:pStyle w:val="Footer"/>
      <w:snapToGrid/>
      <w:ind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3623">
    <w:pPr>
      <w:pStyle w:val="Footer"/>
      <w:snapToGrid/>
      <w:ind w:firstLine="360"/>
      <w:jc w:val="center"/>
    </w:pPr>
    <w:r>
      <w:fldChar w:fldCharType="begin"/>
    </w:r>
    <w:r>
      <w:rPr>
        <w:highlight w:val="white"/>
      </w:rPr>
      <w:instrText xml:space="preserve"> PAGE   \* MERGEFORMAT </w:instrText>
    </w:r>
    <w:r>
      <w:fldChar w:fldCharType="separate"/>
    </w:r>
    <w:r w:rsidRPr="00ED2895" w:rsidR="00ED2895">
      <w:rPr>
        <w:noProof/>
        <w:highlight w:val="white"/>
        <w:lang w:val="zh-CN"/>
      </w:rPr>
      <w:t>142</w:t>
    </w:r>
    <w:r>
      <w:rPr>
        <w:lang w:val="zh-CN"/>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D28C86"/>
    <w:multiLevelType w:val="multilevel"/>
    <w:tmpl w:val="0AD28C86"/>
    <w:lvl w:ilvl="0">
      <w:start w:val="1"/>
      <w:numFmt w:val="chineseCounting"/>
      <w:lvlText w:val="（%1）"/>
      <w:lvlJc w:val="left"/>
      <w:pPr>
        <w:tabs>
          <w:tab w:val="left" w:pos="990"/>
        </w:tabs>
        <w:ind w:left="990" w:hanging="840"/>
      </w:pPr>
      <w:rPr>
        <w:rFonts w:hint="eastAsia"/>
      </w:rPr>
    </w:lvl>
    <w:lvl w:ilvl="1">
      <w:start w:val="1"/>
      <w:numFmt w:val="decimal"/>
      <w:lvlText w:val="（%2）"/>
      <w:lvlJc w:val="left"/>
      <w:pPr>
        <w:tabs>
          <w:tab w:val="left" w:pos="1290"/>
        </w:tabs>
        <w:ind w:left="1290" w:hanging="720"/>
      </w:pPr>
      <w:rPr>
        <w:rFonts w:hint="eastAsia"/>
      </w:rPr>
    </w:lvl>
    <w:lvl w:ilvl="2">
      <w:start w:val="4"/>
      <w:numFmt w:val="chineseCounting"/>
      <w:pStyle w:val="Heading3"/>
      <w:lvlText w:val="%3、"/>
      <w:lvlJc w:val="left"/>
      <w:pPr>
        <w:tabs>
          <w:tab w:val="left" w:pos="1710"/>
        </w:tabs>
        <w:ind w:left="1710" w:hanging="720"/>
      </w:pPr>
      <w:rPr>
        <w:rFonts w:eastAsia="宋体" w:hint="eastAsia"/>
        <w:b/>
        <w:color w:val="auto"/>
      </w:rPr>
    </w:lvl>
    <w:lvl w:ilvl="3">
      <w:start w:val="1"/>
      <w:numFmt w:val="decimal"/>
      <w:lvlText w:val="%4."/>
      <w:lvlJc w:val="left"/>
      <w:pPr>
        <w:tabs>
          <w:tab w:val="left" w:pos="1830"/>
        </w:tabs>
        <w:ind w:left="1830" w:hanging="420"/>
      </w:pPr>
    </w:lvl>
    <w:lvl w:ilvl="4">
      <w:start w:val="1"/>
      <w:numFmt w:val="lowerLetter"/>
      <w:lvlText w:val="%5)"/>
      <w:lvlJc w:val="left"/>
      <w:pPr>
        <w:tabs>
          <w:tab w:val="left" w:pos="2250"/>
        </w:tabs>
        <w:ind w:left="2250" w:hanging="420"/>
      </w:pPr>
    </w:lvl>
    <w:lvl w:ilvl="5">
      <w:start w:val="1"/>
      <w:numFmt w:val="lowerRoman"/>
      <w:lvlText w:val="%6."/>
      <w:lvlJc w:val="right"/>
      <w:pPr>
        <w:tabs>
          <w:tab w:val="left" w:pos="2670"/>
        </w:tabs>
        <w:ind w:left="2670" w:hanging="420"/>
      </w:pPr>
    </w:lvl>
    <w:lvl w:ilvl="6">
      <w:start w:val="1"/>
      <w:numFmt w:val="decimal"/>
      <w:lvlText w:val="%7."/>
      <w:lvlJc w:val="left"/>
      <w:pPr>
        <w:tabs>
          <w:tab w:val="left" w:pos="3090"/>
        </w:tabs>
        <w:ind w:left="3090" w:hanging="420"/>
      </w:p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
    <w:nsid w:val="2B608F7B"/>
    <w:multiLevelType w:val="multilevel"/>
    <w:tmpl w:val="2B608F7B"/>
    <w:lvl w:ilvl="0">
      <w:start w:val="1"/>
      <w:numFmt w:val="chineseCountingThousand"/>
      <w:suff w:val="space"/>
      <w:lvlText w:val="%1、"/>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decimal"/>
      <w:suff w:val="space"/>
      <w:lvlText w:val="%3."/>
      <w:lvlJc w:val="left"/>
      <w:pPr>
        <w:ind w:left="0" w:firstLine="0"/>
      </w:pPr>
      <w:rPr>
        <w:rFonts w:hint="eastAsia"/>
      </w:rPr>
    </w:lvl>
    <w:lvl w:ilvl="3">
      <w:start w:val="1"/>
      <w:numFmt w:val="bullet"/>
      <w:pStyle w:val="Heading4"/>
      <w:suff w:val="nothing"/>
      <w:lvlText w:val="·"/>
      <w:lvlJc w:val="left"/>
      <w:pPr>
        <w:ind w:left="851" w:firstLine="0"/>
      </w:pPr>
      <w:rPr>
        <w:rFonts w:hint="eastAsia"/>
      </w:rPr>
    </w:lvl>
    <w:lvl w:ilvl="4">
      <w:start w:val="1"/>
      <w:numFmt w:val="bullet"/>
      <w:pStyle w:val="Heading5"/>
      <w:suff w:val="nothing"/>
      <w:lvlText w:val="o"/>
      <w:lvlJc w:val="left"/>
      <w:pPr>
        <w:ind w:left="851" w:firstLine="0"/>
      </w:pPr>
      <w:rPr>
        <w:rFonts w:hint="eastAsia"/>
      </w:rPr>
    </w:lvl>
    <w:lvl w:ilvl="5">
      <w:start w:val="1"/>
      <w:numFmt w:val="bullet"/>
      <w:pStyle w:val="Heading6"/>
      <w:suff w:val="nothing"/>
      <w:lvlText w:val="§"/>
      <w:lvlJc w:val="left"/>
      <w:pPr>
        <w:ind w:left="851" w:firstLine="0"/>
      </w:pPr>
      <w:rPr>
        <w:rFonts w:hint="eastAsia"/>
      </w:rPr>
    </w:lvl>
    <w:lvl w:ilvl="6">
      <w:start w:val="1"/>
      <w:numFmt w:val="bullet"/>
      <w:pStyle w:val="Heading7"/>
      <w:suff w:val="nothing"/>
      <w:lvlText w:val="·"/>
      <w:lvlJc w:val="left"/>
      <w:pPr>
        <w:ind w:left="851" w:firstLine="0"/>
      </w:pPr>
      <w:rPr>
        <w:rFonts w:hint="eastAsia"/>
      </w:rPr>
    </w:lvl>
    <w:lvl w:ilvl="7">
      <w:start w:val="1"/>
      <w:numFmt w:val="bullet"/>
      <w:pStyle w:val="Heading8"/>
      <w:suff w:val="nothing"/>
      <w:lvlText w:val="o"/>
      <w:lvlJc w:val="left"/>
      <w:pPr>
        <w:ind w:left="851" w:firstLine="0"/>
      </w:pPr>
      <w:rPr>
        <w:rFonts w:hint="eastAsia"/>
      </w:rPr>
    </w:lvl>
    <w:lvl w:ilvl="8">
      <w:start w:val="1"/>
      <w:numFmt w:val="bullet"/>
      <w:pStyle w:val="Heading9"/>
      <w:suff w:val="nothing"/>
      <w:lvlText w:val="§"/>
      <w:lvlJc w:val="left"/>
      <w:pPr>
        <w:ind w:left="851" w:firstLine="0"/>
      </w:pPr>
      <w:rPr>
        <w:rFonts w:hint="eastAsia"/>
      </w:rPr>
    </w:lvl>
  </w:abstractNum>
  <w:abstractNum w:abstractNumId="2">
    <w:nsid w:val="4EE5ECD6"/>
    <w:multiLevelType w:val="multilevel"/>
    <w:tmpl w:val="4EE5ECD6"/>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崔吴冰">
    <w15:presenceInfo w15:providerId="None" w15:userId="崔吴冰"/>
  </w15:person>
  <w15:person w15:author="陈慈">
    <w15:presenceInfo w15:providerId="None" w15:userId="陈慈"/>
  </w15:person>
  <w15:person w15:author="曾立">
    <w15:presenceInfo w15:providerId="None" w15:userId="曾立"/>
  </w15:person>
  <w15:person w15:author="廖生暖">
    <w15:presenceInfo w15:providerId="None" w15:userId="廖生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27"/>
    <w:rsid w:val="8BEF8EE9"/>
    <w:rsid w:val="AD7F8C32"/>
    <w:rsid w:val="CF8DCEA8"/>
    <w:rsid w:val="D0EFBDF0"/>
    <w:rsid w:val="ED3B1883"/>
    <w:rsid w:val="FAFFE74D"/>
    <w:rsid w:val="FF7D159E"/>
    <w:rsid w:val="FFCE58E0"/>
    <w:rsid w:val="0000401B"/>
    <w:rsid w:val="00042C2D"/>
    <w:rsid w:val="0009094B"/>
    <w:rsid w:val="00092379"/>
    <w:rsid w:val="000F1C92"/>
    <w:rsid w:val="000F2734"/>
    <w:rsid w:val="000F356B"/>
    <w:rsid w:val="001161FA"/>
    <w:rsid w:val="00116B79"/>
    <w:rsid w:val="0012277A"/>
    <w:rsid w:val="00136CD3"/>
    <w:rsid w:val="00144C27"/>
    <w:rsid w:val="0015254E"/>
    <w:rsid w:val="0015675F"/>
    <w:rsid w:val="00187093"/>
    <w:rsid w:val="001A381A"/>
    <w:rsid w:val="001B5ED1"/>
    <w:rsid w:val="001C7248"/>
    <w:rsid w:val="001D65DA"/>
    <w:rsid w:val="002137ED"/>
    <w:rsid w:val="00240CCE"/>
    <w:rsid w:val="0025674C"/>
    <w:rsid w:val="0026419E"/>
    <w:rsid w:val="0027687E"/>
    <w:rsid w:val="0027797C"/>
    <w:rsid w:val="002B1026"/>
    <w:rsid w:val="002E1745"/>
    <w:rsid w:val="0030461C"/>
    <w:rsid w:val="003470F7"/>
    <w:rsid w:val="0036236A"/>
    <w:rsid w:val="00387C29"/>
    <w:rsid w:val="003A55F6"/>
    <w:rsid w:val="003D04D6"/>
    <w:rsid w:val="004201E4"/>
    <w:rsid w:val="00421695"/>
    <w:rsid w:val="00445AB1"/>
    <w:rsid w:val="004D72F0"/>
    <w:rsid w:val="004E7BE6"/>
    <w:rsid w:val="005360D5"/>
    <w:rsid w:val="00556AAC"/>
    <w:rsid w:val="00572208"/>
    <w:rsid w:val="00583623"/>
    <w:rsid w:val="00584817"/>
    <w:rsid w:val="005D3888"/>
    <w:rsid w:val="006101DC"/>
    <w:rsid w:val="00640254"/>
    <w:rsid w:val="00641607"/>
    <w:rsid w:val="006439F3"/>
    <w:rsid w:val="00643DF6"/>
    <w:rsid w:val="00656402"/>
    <w:rsid w:val="006733E2"/>
    <w:rsid w:val="006A755B"/>
    <w:rsid w:val="006B1155"/>
    <w:rsid w:val="006C6EA2"/>
    <w:rsid w:val="006E61A3"/>
    <w:rsid w:val="00702DB0"/>
    <w:rsid w:val="00733D59"/>
    <w:rsid w:val="00741188"/>
    <w:rsid w:val="00753DEC"/>
    <w:rsid w:val="00792148"/>
    <w:rsid w:val="007C7DD4"/>
    <w:rsid w:val="007D13CD"/>
    <w:rsid w:val="0084035A"/>
    <w:rsid w:val="00840CF4"/>
    <w:rsid w:val="00841733"/>
    <w:rsid w:val="00853B13"/>
    <w:rsid w:val="008A231C"/>
    <w:rsid w:val="008C43AA"/>
    <w:rsid w:val="008F02B6"/>
    <w:rsid w:val="008F5088"/>
    <w:rsid w:val="00904B47"/>
    <w:rsid w:val="00930B19"/>
    <w:rsid w:val="00986530"/>
    <w:rsid w:val="009D260E"/>
    <w:rsid w:val="009D66CD"/>
    <w:rsid w:val="009F3406"/>
    <w:rsid w:val="00A30FF8"/>
    <w:rsid w:val="00A3686A"/>
    <w:rsid w:val="00A56CA7"/>
    <w:rsid w:val="00A626D1"/>
    <w:rsid w:val="00A8490E"/>
    <w:rsid w:val="00AD5EA9"/>
    <w:rsid w:val="00B05202"/>
    <w:rsid w:val="00B344C5"/>
    <w:rsid w:val="00B424A6"/>
    <w:rsid w:val="00B52CB6"/>
    <w:rsid w:val="00B700BC"/>
    <w:rsid w:val="00BD3E80"/>
    <w:rsid w:val="00BD483B"/>
    <w:rsid w:val="00BE04AF"/>
    <w:rsid w:val="00C04025"/>
    <w:rsid w:val="00C63018"/>
    <w:rsid w:val="00C83B8B"/>
    <w:rsid w:val="00C848E9"/>
    <w:rsid w:val="00CA073C"/>
    <w:rsid w:val="00CE61ED"/>
    <w:rsid w:val="00D07449"/>
    <w:rsid w:val="00D15D7E"/>
    <w:rsid w:val="00D25EB5"/>
    <w:rsid w:val="00D427D3"/>
    <w:rsid w:val="00DA18EA"/>
    <w:rsid w:val="00DA7933"/>
    <w:rsid w:val="00DD0475"/>
    <w:rsid w:val="00E65A57"/>
    <w:rsid w:val="00E80365"/>
    <w:rsid w:val="00EA01BC"/>
    <w:rsid w:val="00EA2059"/>
    <w:rsid w:val="00ED2895"/>
    <w:rsid w:val="00ED3CA2"/>
    <w:rsid w:val="00ED7CC5"/>
    <w:rsid w:val="00EE6F44"/>
    <w:rsid w:val="00F0158B"/>
    <w:rsid w:val="00F0369C"/>
    <w:rsid w:val="00F14619"/>
    <w:rsid w:val="00F67676"/>
    <w:rsid w:val="00FA07DD"/>
    <w:rsid w:val="00FA5F04"/>
    <w:rsid w:val="00FE4B6D"/>
    <w:rsid w:val="1EDE9EDE"/>
    <w:rsid w:val="285E5960"/>
    <w:rsid w:val="39DC2485"/>
    <w:rsid w:val="3BFF77B3"/>
    <w:rsid w:val="53FF9AF4"/>
    <w:rsid w:val="57BFB4AE"/>
    <w:rsid w:val="67432C1A"/>
    <w:rsid w:val="6FF9B504"/>
    <w:rsid w:val="7EB46439"/>
    <w:rsid w:val="7EFADD03"/>
    <w:rsid w:val="7F8303AA"/>
    <w:rsid w:val="7FFDED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E1C3C9EE-D0ED-47D1-942E-7F03AC8E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unhideWhenUsed="1" w:qFormat="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uiPriority="0"/>
    <w:lsdException w:name="footnote text" w:semiHidden="1" w:unhideWhenUsed="1"/>
    <w:lsdException w:name="annotation text" w:uiPriority="0"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Arial" w:hAnsi="Arial" w:cs="Arial"/>
      <w:sz w:val="21"/>
      <w:szCs w:val="24"/>
      <w:lang w:eastAsia="en-US"/>
    </w:rPr>
  </w:style>
  <w:style w:type="paragraph" w:styleId="Heading1">
    <w:name w:val="heading 1"/>
    <w:basedOn w:val="Normal"/>
    <w:next w:val="Normal"/>
    <w:link w:val="1"/>
    <w:qFormat/>
    <w:pPr>
      <w:keepNext/>
      <w:ind w:firstLine="200"/>
      <w:jc w:val="center"/>
      <w:outlineLvl w:val="0"/>
    </w:pPr>
    <w:rPr>
      <w:rFonts w:ascii="黑体" w:eastAsia="黑体"/>
      <w:sz w:val="32"/>
      <w:szCs w:val="32"/>
    </w:rPr>
  </w:style>
  <w:style w:type="paragraph" w:styleId="Heading2">
    <w:name w:val="heading 2"/>
    <w:basedOn w:val="Normal"/>
    <w:next w:val="Normal"/>
    <w:link w:val="2"/>
    <w:qFormat/>
    <w:pPr>
      <w:keepNext/>
      <w:keepLines/>
      <w:ind w:firstLine="200"/>
      <w:outlineLvl w:val="1"/>
    </w:pPr>
    <w:rPr>
      <w:b/>
      <w:sz w:val="28"/>
      <w:szCs w:val="28"/>
    </w:rPr>
  </w:style>
  <w:style w:type="paragraph" w:styleId="Heading3">
    <w:name w:val="heading 3"/>
    <w:basedOn w:val="Normal"/>
    <w:next w:val="Normal"/>
    <w:link w:val="3"/>
    <w:qFormat/>
    <w:pPr>
      <w:numPr>
        <w:ilvl w:val="2"/>
        <w:numId w:val="1"/>
      </w:numPr>
      <w:spacing w:before="260" w:after="260" w:line="416" w:lineRule="auto"/>
      <w:outlineLvl w:val="2"/>
    </w:pPr>
    <w:rPr>
      <w:rFonts w:ascii="仿宋_GB2312" w:eastAsia="仿宋_GB2312"/>
      <w:sz w:val="24"/>
      <w:szCs w:val="20"/>
    </w:rPr>
  </w:style>
  <w:style w:type="paragraph" w:styleId="Heading4">
    <w:name w:val="heading 4"/>
    <w:basedOn w:val="Normal"/>
    <w:next w:val="Normal"/>
    <w:link w:val="4"/>
    <w:qFormat/>
    <w:pPr>
      <w:keepNext/>
      <w:keepLines/>
      <w:numPr>
        <w:ilvl w:val="3"/>
        <w:numId w:val="2"/>
      </w:numPr>
      <w:spacing w:before="280" w:after="290" w:line="376" w:lineRule="auto"/>
      <w:outlineLvl w:val="3"/>
    </w:pPr>
    <w:rPr>
      <w:rFonts w:eastAsia="黑体"/>
      <w:b/>
      <w:bCs/>
      <w:sz w:val="28"/>
      <w:szCs w:val="28"/>
    </w:rPr>
  </w:style>
  <w:style w:type="paragraph" w:styleId="Heading5">
    <w:name w:val="heading 5"/>
    <w:basedOn w:val="Normal"/>
    <w:next w:val="Normal"/>
    <w:link w:val="5"/>
    <w:qFormat/>
    <w:pPr>
      <w:keepNext/>
      <w:keepLines/>
      <w:numPr>
        <w:ilvl w:val="4"/>
        <w:numId w:val="2"/>
      </w:numPr>
      <w:spacing w:before="280" w:after="290" w:line="376" w:lineRule="auto"/>
      <w:ind w:firstLine="200"/>
      <w:outlineLvl w:val="4"/>
    </w:pPr>
    <w:rPr>
      <w:b/>
      <w:bCs/>
      <w:sz w:val="28"/>
      <w:szCs w:val="28"/>
    </w:rPr>
  </w:style>
  <w:style w:type="paragraph" w:styleId="Heading6">
    <w:name w:val="heading 6"/>
    <w:basedOn w:val="Normal"/>
    <w:next w:val="Normal"/>
    <w:link w:val="6"/>
    <w:qFormat/>
    <w:pPr>
      <w:keepNext/>
      <w:keepLines/>
      <w:numPr>
        <w:ilvl w:val="5"/>
        <w:numId w:val="2"/>
      </w:numPr>
      <w:spacing w:before="240" w:after="64" w:line="320" w:lineRule="auto"/>
      <w:ind w:firstLine="200"/>
      <w:outlineLvl w:val="5"/>
    </w:pPr>
    <w:rPr>
      <w:rFonts w:eastAsia="黑体"/>
      <w:b/>
      <w:bCs/>
      <w:sz w:val="24"/>
    </w:rPr>
  </w:style>
  <w:style w:type="paragraph" w:styleId="Heading7">
    <w:name w:val="heading 7"/>
    <w:basedOn w:val="Normal"/>
    <w:next w:val="Normal"/>
    <w:link w:val="7"/>
    <w:qFormat/>
    <w:pPr>
      <w:keepNext/>
      <w:keepLines/>
      <w:numPr>
        <w:ilvl w:val="6"/>
        <w:numId w:val="2"/>
      </w:numPr>
      <w:spacing w:before="240" w:after="64" w:line="320" w:lineRule="auto"/>
      <w:ind w:firstLine="200"/>
      <w:outlineLvl w:val="6"/>
    </w:pPr>
    <w:rPr>
      <w:b/>
      <w:bCs/>
      <w:sz w:val="24"/>
    </w:rPr>
  </w:style>
  <w:style w:type="paragraph" w:styleId="Heading8">
    <w:name w:val="heading 8"/>
    <w:basedOn w:val="Normal"/>
    <w:next w:val="Normal"/>
    <w:link w:val="8"/>
    <w:qFormat/>
    <w:pPr>
      <w:keepNext/>
      <w:keepLines/>
      <w:numPr>
        <w:ilvl w:val="7"/>
        <w:numId w:val="2"/>
      </w:numPr>
      <w:spacing w:before="240" w:after="64" w:line="320" w:lineRule="auto"/>
      <w:ind w:firstLine="200"/>
      <w:outlineLvl w:val="7"/>
    </w:pPr>
    <w:rPr>
      <w:rFonts w:eastAsia="黑体"/>
      <w:sz w:val="24"/>
    </w:rPr>
  </w:style>
  <w:style w:type="paragraph" w:styleId="Heading9">
    <w:name w:val="heading 9"/>
    <w:basedOn w:val="Normal"/>
    <w:next w:val="Normal"/>
    <w:link w:val="9"/>
    <w:qFormat/>
    <w:pPr>
      <w:keepNext/>
      <w:keepLines/>
      <w:numPr>
        <w:ilvl w:val="8"/>
        <w:numId w:val="2"/>
      </w:numPr>
      <w:spacing w:before="240" w:after="64" w:line="320" w:lineRule="auto"/>
      <w:ind w:firstLine="200"/>
      <w:outlineLvl w:val="8"/>
    </w:pPr>
    <w:rPr>
      <w:rFonts w:eastAsia="黑体"/>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pPr>
      <w:spacing w:after="57"/>
      <w:ind w:left="1701"/>
    </w:pPr>
  </w:style>
  <w:style w:type="paragraph" w:styleId="NormalIndent">
    <w:name w:val="Normal Indent"/>
    <w:basedOn w:val="Normal"/>
    <w:pPr>
      <w:ind w:firstLine="420"/>
    </w:pPr>
    <w:rPr>
      <w:sz w:val="20"/>
      <w:szCs w:val="20"/>
    </w:rPr>
  </w:style>
  <w:style w:type="paragraph" w:styleId="Caption">
    <w:name w:val="caption"/>
    <w:basedOn w:val="Normal"/>
    <w:next w:val="Normal"/>
    <w:uiPriority w:val="35"/>
    <w:unhideWhenUsed/>
    <w:qFormat/>
    <w:pPr>
      <w:spacing w:line="276" w:lineRule="auto"/>
    </w:pPr>
    <w:rPr>
      <w:b/>
      <w:bCs/>
      <w:color w:val="4F81BD" w:themeColor="accent1"/>
      <w:sz w:val="18"/>
      <w:szCs w:val="18"/>
    </w:rPr>
  </w:style>
  <w:style w:type="paragraph" w:styleId="DocumentMap">
    <w:name w:val="Document Map"/>
    <w:basedOn w:val="Normal"/>
    <w:link w:val="a6"/>
    <w:rPr>
      <w:rFonts w:ascii="宋体"/>
      <w:sz w:val="18"/>
      <w:szCs w:val="18"/>
    </w:rPr>
  </w:style>
  <w:style w:type="paragraph" w:styleId="CommentText">
    <w:name w:val="annotation text"/>
    <w:basedOn w:val="Normal"/>
    <w:link w:val="a5"/>
    <w:qFormat/>
    <w:pPr>
      <w:jc w:val="left"/>
    </w:pPr>
  </w:style>
  <w:style w:type="paragraph" w:styleId="BodyText">
    <w:name w:val="Body Text"/>
    <w:basedOn w:val="Normal"/>
    <w:pPr>
      <w:numPr>
        <w:ilvl w:val="1"/>
        <w:numId w:val="3"/>
      </w:numPr>
      <w:tabs>
        <w:tab w:val="left" w:pos="0"/>
      </w:tabs>
      <w:ind w:left="0" w:firstLine="540"/>
      <w:jc w:val="left"/>
    </w:pPr>
    <w:rPr>
      <w:rFonts w:ascii="宋体"/>
      <w:sz w:val="24"/>
    </w:rPr>
  </w:style>
  <w:style w:type="paragraph" w:styleId="BodyTextIndent">
    <w:name w:val="Body Text Indent"/>
    <w:basedOn w:val="Normal"/>
    <w:link w:val="a11"/>
    <w:semiHidden/>
    <w:unhideWhenUsed/>
    <w:pPr>
      <w:spacing w:after="120"/>
      <w:ind w:left="420"/>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pPr>
      <w:ind w:left="840"/>
    </w:pPr>
  </w:style>
  <w:style w:type="paragraph" w:styleId="PlainText">
    <w:name w:val="Plain Text"/>
    <w:basedOn w:val="Normal"/>
    <w:link w:val="a9"/>
    <w:pPr>
      <w:ind w:firstLine="200"/>
    </w:pPr>
    <w:rPr>
      <w:rFonts w:ascii="宋体" w:hAnsi="Courier New"/>
      <w:sz w:val="24"/>
      <w:szCs w:val="21"/>
    </w:rPr>
  </w:style>
  <w:style w:type="paragraph" w:styleId="TOC8">
    <w:name w:val="toc 8"/>
    <w:basedOn w:val="Normal"/>
    <w:next w:val="Normal"/>
    <w:uiPriority w:val="39"/>
    <w:unhideWhenUsed/>
    <w:pPr>
      <w:spacing w:after="57"/>
      <w:ind w:left="1984"/>
    </w:pPr>
  </w:style>
  <w:style w:type="paragraph" w:styleId="BodyTextIndent2">
    <w:name w:val="Body Text Indent 2"/>
    <w:basedOn w:val="Normal"/>
    <w:link w:val="21"/>
    <w:semiHidden/>
    <w:unhideWhenUsed/>
    <w:pPr>
      <w:spacing w:after="120" w:line="480" w:lineRule="auto"/>
      <w:ind w:left="420"/>
    </w:pPr>
  </w:style>
  <w:style w:type="paragraph" w:styleId="EndnoteText">
    <w:name w:val="endnote text"/>
    <w:basedOn w:val="Normal"/>
    <w:link w:val="a"/>
    <w:uiPriority w:val="99"/>
    <w:semiHidden/>
    <w:unhideWhenUsed/>
    <w:qFormat/>
    <w:rPr>
      <w:sz w:val="20"/>
    </w:rPr>
  </w:style>
  <w:style w:type="paragraph" w:styleId="BalloonText">
    <w:name w:val="Balloon Text"/>
    <w:basedOn w:val="Normal"/>
    <w:semiHidden/>
    <w:pPr>
      <w:ind w:firstLine="200"/>
    </w:pPr>
    <w:rPr>
      <w:sz w:val="18"/>
      <w:szCs w:val="18"/>
    </w:rPr>
  </w:style>
  <w:style w:type="paragraph" w:styleId="Footer">
    <w:name w:val="footer"/>
    <w:basedOn w:val="Normal"/>
    <w:link w:val="a8"/>
    <w:uiPriority w:val="99"/>
    <w:pPr>
      <w:tabs>
        <w:tab w:val="center" w:pos="4153"/>
        <w:tab w:val="right" w:pos="8306"/>
      </w:tabs>
      <w:snapToGrid w:val="0"/>
      <w:ind w:firstLine="200"/>
      <w:jc w:val="left"/>
    </w:pPr>
    <w:rPr>
      <w:rFonts w:eastAsia="仿宋_GB2312"/>
      <w:sz w:val="18"/>
      <w:szCs w:val="20"/>
    </w:rPr>
  </w:style>
  <w:style w:type="paragraph" w:styleId="Header">
    <w:name w:val="header"/>
    <w:basedOn w:val="Normal"/>
    <w:link w:val="a7"/>
    <w:uiPriority w:val="99"/>
    <w:pPr>
      <w:pBdr>
        <w:bottom w:val="single" w:sz="6" w:space="1" w:color="auto"/>
      </w:pBdr>
      <w:tabs>
        <w:tab w:val="center" w:pos="4153"/>
        <w:tab w:val="right" w:pos="8306"/>
      </w:tabs>
      <w:snapToGrid w:val="0"/>
      <w:ind w:firstLine="200"/>
      <w:jc w:val="center"/>
    </w:pPr>
    <w:rPr>
      <w:rFonts w:eastAsia="仿宋_GB2312"/>
      <w:sz w:val="18"/>
      <w:szCs w:val="20"/>
    </w:r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1"/>
    <w:uiPriority w:val="11"/>
    <w:qFormat/>
    <w:pPr>
      <w:spacing w:before="200" w:after="200"/>
    </w:pPr>
    <w:rPr>
      <w:sz w:val="24"/>
    </w:rPr>
  </w:style>
  <w:style w:type="paragraph" w:styleId="FootnoteText">
    <w:name w:val="footnote text"/>
    <w:basedOn w:val="Normal"/>
    <w:link w:val="a4"/>
    <w:uiPriority w:val="99"/>
    <w:semiHidden/>
    <w:unhideWhenUsed/>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0"/>
    <w:semiHidden/>
    <w:unhideWhenUsed/>
    <w:qFormat/>
    <w:pPr>
      <w:spacing w:after="120"/>
      <w:ind w:left="420"/>
    </w:pPr>
    <w:rPr>
      <w:sz w:val="16"/>
      <w:szCs w:val="16"/>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pPr>
      <w:ind w:left="320" w:firstLine="200"/>
      <w:jc w:val="left"/>
    </w:pPr>
    <w:rPr>
      <w:rFonts w:eastAsia="仿宋_GB2312"/>
      <w:smallCaps/>
      <w:sz w:val="20"/>
      <w:szCs w:val="20"/>
    </w:rPr>
  </w:style>
  <w:style w:type="paragraph" w:styleId="TOC9">
    <w:name w:val="toc 9"/>
    <w:basedOn w:val="Normal"/>
    <w:next w:val="Normal"/>
    <w:uiPriority w:val="39"/>
    <w:unhideWhenUsed/>
    <w:pPr>
      <w:spacing w:after="57"/>
      <w:ind w:left="2268"/>
    </w:pPr>
  </w:style>
  <w:style w:type="paragraph" w:styleId="HTMLPreformatted">
    <w:name w:val="HTML Preformatted"/>
    <w:basedOn w:val="Normal"/>
    <w:link w:val="HTM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a0"/>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a10"/>
    <w:pPr>
      <w:numPr>
        <w:ilvl w:val="0"/>
        <w:numId w:val="0"/>
      </w:numPr>
      <w:tabs>
        <w:tab w:val="clear" w:pos="780"/>
      </w:tabs>
      <w:spacing w:after="120"/>
      <w:ind w:firstLine="420"/>
      <w:jc w:val="both"/>
    </w:pPr>
    <w:rPr>
      <w:rFonts w:ascii="Times New Roman"/>
      <w:sz w:val="21"/>
    </w:r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a">
    <w:name w:val="尾注文本 字符"/>
    <w:link w:val="EndnoteText"/>
    <w:uiPriority w:val="99"/>
    <w:qFormat/>
    <w:rPr>
      <w:sz w:val="20"/>
    </w:rPr>
  </w:style>
  <w:style w:type="character" w:customStyle="1" w:styleId="1">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qFormat/>
    <w:rPr>
      <w:rFonts w:ascii="Arial" w:hAnsi="Arial" w:cs="Arial"/>
      <w:sz w:val="34"/>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rPr>
      <w:rFonts w:ascii="Arial" w:hAnsi="Arial" w:cs="Arial"/>
      <w:i/>
      <w:iCs/>
      <w:sz w:val="21"/>
      <w:szCs w:val="21"/>
    </w:rPr>
  </w:style>
  <w:style w:type="paragraph" w:styleId="NoSpacing">
    <w:name w:val="No Spacing"/>
    <w:uiPriority w:val="1"/>
    <w:qFormat/>
    <w:rPr>
      <w:rFonts w:ascii="Arial" w:hAnsi="Arial" w:cs="Arial"/>
      <w:sz w:val="22"/>
      <w:szCs w:val="22"/>
      <w:lang w:eastAsia="en-US"/>
    </w:rPr>
  </w:style>
  <w:style w:type="character" w:customStyle="1" w:styleId="a0">
    <w:name w:val="标题 字符"/>
    <w:basedOn w:val="DefaultParagraphFont"/>
    <w:link w:val="Title"/>
    <w:uiPriority w:val="10"/>
    <w:rPr>
      <w:sz w:val="48"/>
      <w:szCs w:val="48"/>
    </w:rPr>
  </w:style>
  <w:style w:type="character" w:customStyle="1" w:styleId="a1">
    <w:name w:val="副标题 字符"/>
    <w:basedOn w:val="DefaultParagraphFont"/>
    <w:link w:val="Subtitle"/>
    <w:uiPriority w:val="11"/>
    <w:rPr>
      <w:sz w:val="24"/>
      <w:szCs w:val="24"/>
    </w:rPr>
  </w:style>
  <w:style w:type="paragraph" w:styleId="Quote">
    <w:name w:val="Quote"/>
    <w:basedOn w:val="Normal"/>
    <w:next w:val="Normal"/>
    <w:link w:val="a2"/>
    <w:uiPriority w:val="29"/>
    <w:qFormat/>
    <w:pPr>
      <w:ind w:left="720" w:right="720"/>
    </w:pPr>
    <w:rPr>
      <w:i/>
    </w:rPr>
  </w:style>
  <w:style w:type="character" w:customStyle="1" w:styleId="a2">
    <w:name w:val="引用 字符"/>
    <w:link w:val="Quote"/>
    <w:uiPriority w:val="29"/>
    <w:rPr>
      <w:i/>
    </w:rPr>
  </w:style>
  <w:style w:type="paragraph" w:styleId="IntenseQuote">
    <w:name w:val="Intense Quote"/>
    <w:basedOn w:val="Normal"/>
    <w:next w:val="Normal"/>
    <w:link w:val="a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3">
    <w:name w:val="明显引用 字符"/>
    <w:link w:val="IntenseQuote"/>
    <w:uiPriority w:val="30"/>
    <w:rPr>
      <w:i/>
    </w:rPr>
  </w:style>
  <w:style w:type="character" w:customStyle="1" w:styleId="a4">
    <w:name w:val="脚注文本 字符"/>
    <w:link w:val="FootnoteText"/>
    <w:uiPriority w:val="99"/>
    <w:qFormat/>
    <w:rPr>
      <w:sz w:val="18"/>
    </w:rPr>
  </w:style>
  <w:style w:type="paragraph" w:customStyle="1" w:styleId="10">
    <w:name w:val="样式 标题 1 + 黑体 非加粗"/>
    <w:basedOn w:val="Heading1"/>
    <w:qFormat/>
    <w:pPr>
      <w:pageBreakBefore/>
    </w:pPr>
    <w:rPr>
      <w:rFonts w:hAnsi="黑体"/>
      <w:b/>
    </w:rPr>
  </w:style>
  <w:style w:type="paragraph" w:customStyle="1" w:styleId="111">
    <w:name w:val="样式 标题 1 + 段前: 1 行 段后: 1 行"/>
    <w:basedOn w:val="Heading1"/>
    <w:qFormat/>
    <w:pPr>
      <w:pageBreakBefore/>
    </w:pPr>
    <w:rPr>
      <w:sz w:val="20"/>
      <w:szCs w:val="20"/>
    </w:rPr>
  </w:style>
  <w:style w:type="paragraph" w:customStyle="1" w:styleId="20">
    <w:name w:val="样式 首行缩进:  2 字符"/>
    <w:basedOn w:val="Normal"/>
    <w:pPr>
      <w:spacing w:before="100" w:beforeAutospacing="1" w:after="100" w:afterAutospacing="1" w:line="360" w:lineRule="auto"/>
      <w:ind w:firstLine="480"/>
    </w:pPr>
    <w:rPr>
      <w:sz w:val="20"/>
      <w:szCs w:val="20"/>
    </w:rPr>
  </w:style>
  <w:style w:type="character" w:customStyle="1" w:styleId="da">
    <w:name w:val="da"/>
    <w:basedOn w:val="DefaultParagraphFont"/>
    <w:qFormat/>
  </w:style>
  <w:style w:type="character" w:customStyle="1" w:styleId="a5">
    <w:name w:val="批注文字 字符"/>
    <w:basedOn w:val="DefaultParagraphFont"/>
    <w:link w:val="CommentText"/>
    <w:qFormat/>
    <w:rPr>
      <w:rFonts w:eastAsia="宋体"/>
      <w:sz w:val="21"/>
      <w:szCs w:val="24"/>
      <w:lang w:val="en-US" w:eastAsia="zh-CN" w:bidi="ar-SA"/>
    </w:rPr>
  </w:style>
  <w:style w:type="character" w:customStyle="1" w:styleId="a6">
    <w:name w:val="文档结构图 字符"/>
    <w:basedOn w:val="DefaultParagraphFont"/>
    <w:link w:val="DocumentMap"/>
    <w:rPr>
      <w:rFonts w:ascii="宋体"/>
      <w:sz w:val="18"/>
      <w:szCs w:val="18"/>
    </w:rPr>
  </w:style>
  <w:style w:type="character" w:customStyle="1" w:styleId="a7">
    <w:name w:val="页眉 字符"/>
    <w:basedOn w:val="DefaultParagraphFont"/>
    <w:link w:val="Header"/>
    <w:uiPriority w:val="99"/>
    <w:qFormat/>
    <w:rPr>
      <w:rFonts w:eastAsia="仿宋_GB2312"/>
      <w:sz w:val="18"/>
    </w:rPr>
  </w:style>
  <w:style w:type="character" w:customStyle="1" w:styleId="a8">
    <w:name w:val="页脚 字符"/>
    <w:basedOn w:val="DefaultParagraphFont"/>
    <w:link w:val="Footer"/>
    <w:uiPriority w:val="99"/>
    <w:rPr>
      <w:rFonts w:eastAsia="仿宋_GB2312"/>
      <w:sz w:val="18"/>
    </w:rPr>
  </w:style>
  <w:style w:type="character" w:customStyle="1" w:styleId="a9">
    <w:name w:val="纯文本 字符"/>
    <w:basedOn w:val="DefaultParagraphFont"/>
    <w:link w:val="PlainText"/>
    <w:rPr>
      <w:rFonts w:ascii="宋体" w:hAnsi="Courier New"/>
      <w:sz w:val="24"/>
      <w:szCs w:val="21"/>
    </w:rPr>
  </w:style>
  <w:style w:type="character" w:customStyle="1" w:styleId="a10">
    <w:name w:val="正文首行缩进 字符"/>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a11">
    <w:name w:val="正文文本缩进 字符"/>
    <w:basedOn w:val="DefaultParagraphFont"/>
    <w:link w:val="BodyTextIndent"/>
    <w:semiHidden/>
    <w:qFormat/>
    <w:rPr>
      <w:sz w:val="21"/>
      <w:szCs w:val="24"/>
    </w:rPr>
  </w:style>
  <w:style w:type="character" w:customStyle="1" w:styleId="30">
    <w:name w:val="正文文本缩进 3 字符"/>
    <w:basedOn w:val="DefaultParagraphFont"/>
    <w:link w:val="BodyTextIndent3"/>
    <w:semiHidden/>
    <w:rPr>
      <w:sz w:val="16"/>
      <w:szCs w:val="16"/>
    </w:rPr>
  </w:style>
  <w:style w:type="character" w:customStyle="1" w:styleId="HTML">
    <w:name w:val="HTML 预设格式 字符"/>
    <w:basedOn w:val="DefaultParagraphFont"/>
    <w:link w:val="HTMLPreformatted"/>
    <w:uiPriority w:val="99"/>
    <w:rPr>
      <w:rFonts w:ascii="宋体" w:hAnsi="宋体"/>
      <w:sz w:val="24"/>
      <w:szCs w:val="24"/>
    </w:rPr>
  </w:style>
  <w:style w:type="character" w:customStyle="1" w:styleId="21">
    <w:name w:val="正文文本缩进 2 字符"/>
    <w:basedOn w:val="DefaultParagraphFont"/>
    <w:link w:val="BodyTextIndent2"/>
    <w:semiHidden/>
    <w:rPr>
      <w:sz w:val="21"/>
      <w:szCs w:val="24"/>
    </w:rPr>
  </w:style>
  <w:style w:type="paragraph" w:styleId="Revision">
    <w:name w:val="Revision"/>
    <w:hidden/>
    <w:uiPriority w:val="99"/>
    <w:semiHidden/>
    <w:rsid w:val="0026419E"/>
    <w:rPr>
      <w:rFonts w:ascii="Arial" w:hAnsi="Arial" w:cs="Arial"/>
      <w:sz w:val="21"/>
      <w:szCs w:val="24"/>
      <w:lang w:eastAsia="en-US"/>
    </w:rPr>
  </w:style>
  <w:style w:type="table" w:styleId="TableGrid">
    <w:name w:val="Table Grid"/>
    <w:basedOn w:val="TableNormal"/>
    <w:uiPriority w:val="59"/>
    <w:pPr>
      <w:spacing w:line="360" w:lineRule="exact"/>
    </w:pPr>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efunds.com.cn" TargetMode="Externa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147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