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4244A5" w14:paraId="06E47F69" w14:textId="77777777">
      <w:pPr>
        <w:spacing w:line="520" w:lineRule="atLeast"/>
        <w:rPr>
          <w:lang w:eastAsia="zh-CN"/>
        </w:rPr>
      </w:pPr>
      <w:r>
        <w:rPr>
          <w:rFonts w:ascii="宋体" w:hAnsi="宋体" w:cs="宋体"/>
          <w:highlight w:val="white"/>
          <w:lang w:eastAsia="zh-CN"/>
        </w:rPr>
        <w:t xml:space="preserve">                             </w:t>
      </w:r>
    </w:p>
    <w:p w:rsidR="004244A5" w14:paraId="06F8A3B5" w14:textId="77777777">
      <w:pPr>
        <w:spacing w:line="520" w:lineRule="atLeast"/>
        <w:rPr>
          <w:lang w:eastAsia="zh-CN"/>
        </w:rPr>
      </w:pPr>
    </w:p>
    <w:p w:rsidR="004244A5" w14:paraId="0BAD11F3" w14:textId="77777777">
      <w:pPr>
        <w:spacing w:line="520" w:lineRule="atLeast"/>
        <w:rPr>
          <w:lang w:eastAsia="zh-CN"/>
        </w:rPr>
      </w:pPr>
    </w:p>
    <w:p w:rsidR="004244A5" w14:paraId="09965DCA" w14:textId="77777777">
      <w:pPr>
        <w:spacing w:line="520" w:lineRule="atLeast"/>
        <w:rPr>
          <w:lang w:eastAsia="zh-CN"/>
        </w:rPr>
      </w:pPr>
    </w:p>
    <w:p w:rsidR="004244A5" w14:paraId="6898BEEF" w14:textId="77777777">
      <w:pPr>
        <w:spacing w:line="520" w:lineRule="atLeast"/>
        <w:rPr>
          <w:lang w:eastAsia="zh-CN"/>
        </w:rPr>
      </w:pPr>
    </w:p>
    <w:p w:rsidR="004244A5" w14:paraId="46E1CBA3" w14:textId="6F823CC9">
      <w:pPr>
        <w:spacing w:line="520" w:lineRule="atLeast"/>
        <w:jc w:val="center"/>
        <w:rPr>
          <w:rFonts w:ascii="Times New Roman" w:hAnsi="Times New Roman" w:cs="Times New Roman"/>
          <w:b/>
          <w:sz w:val="48"/>
          <w:szCs w:val="20"/>
          <w:lang w:eastAsia="zh-CN"/>
        </w:rPr>
      </w:pPr>
      <w:r>
        <w:rPr>
          <w:rFonts w:ascii="Times New Roman" w:hAnsi="Times New Roman" w:cs="Times New Roman" w:hint="eastAsia"/>
          <w:b/>
          <w:sz w:val="48"/>
          <w:szCs w:val="20"/>
          <w:lang w:eastAsia="zh-CN"/>
        </w:rPr>
        <w:t>易方达如意安惠</w:t>
      </w:r>
      <w:r>
        <w:rPr>
          <w:rFonts w:ascii="宋体" w:hAnsi="宋体" w:cs="宋体" w:hint="eastAsia"/>
          <w:b/>
          <w:sz w:val="48"/>
          <w:szCs w:val="20"/>
          <w:lang w:eastAsia="zh-CN"/>
        </w:rPr>
        <w:t>6</w:t>
      </w:r>
      <w:r>
        <w:rPr>
          <w:rFonts w:ascii="Times New Roman" w:hAnsi="Times New Roman" w:cs="Times New Roman" w:hint="eastAsia"/>
          <w:b/>
          <w:sz w:val="48"/>
          <w:szCs w:val="20"/>
          <w:lang w:eastAsia="zh-CN"/>
        </w:rPr>
        <w:t>个月持有期混合型基金中基金（</w:t>
      </w:r>
      <w:r>
        <w:rPr>
          <w:rFonts w:ascii="宋体" w:hAnsi="宋体" w:cs="宋体" w:hint="eastAsia"/>
          <w:b/>
          <w:sz w:val="48"/>
          <w:szCs w:val="20"/>
          <w:lang w:eastAsia="zh-CN"/>
        </w:rPr>
        <w:t>FOF</w:t>
      </w:r>
      <w:r>
        <w:rPr>
          <w:rFonts w:ascii="Times New Roman" w:hAnsi="Times New Roman" w:cs="Times New Roman" w:hint="eastAsia"/>
          <w:b/>
          <w:sz w:val="48"/>
          <w:szCs w:val="20"/>
          <w:lang w:eastAsia="zh-CN"/>
        </w:rPr>
        <w:t>）</w:t>
      </w:r>
      <w:r>
        <w:rPr>
          <w:rFonts w:ascii="Times New Roman" w:hAnsi="Times New Roman" w:cs="Times New Roman" w:hint="eastAsia"/>
          <w:b/>
          <w:sz w:val="48"/>
          <w:szCs w:val="20"/>
          <w:highlight w:val="white"/>
          <w:lang w:eastAsia="zh-CN"/>
        </w:rPr>
        <w:t>托管协议</w:t>
      </w:r>
    </w:p>
    <w:p w:rsidR="004244A5" w14:paraId="5F4E0CDF" w14:textId="77777777">
      <w:pPr>
        <w:spacing w:line="520" w:lineRule="atLeast"/>
        <w:rPr>
          <w:lang w:eastAsia="zh-CN"/>
        </w:rPr>
      </w:pPr>
      <w:bookmarkStart w:id="0" w:name="_GoBack"/>
      <w:bookmarkEnd w:id="0"/>
    </w:p>
    <w:p w:rsidR="004244A5" w14:paraId="5050ACFD" w14:textId="77777777">
      <w:pPr>
        <w:spacing w:line="520" w:lineRule="atLeast"/>
        <w:rPr>
          <w:lang w:eastAsia="zh-CN"/>
        </w:rPr>
      </w:pPr>
    </w:p>
    <w:p w:rsidR="004244A5" w14:paraId="420947EB" w14:textId="77777777">
      <w:pPr>
        <w:spacing w:line="520" w:lineRule="atLeast"/>
        <w:rPr>
          <w:lang w:eastAsia="zh-CN"/>
        </w:rPr>
      </w:pPr>
    </w:p>
    <w:p w:rsidR="004244A5" w14:paraId="7918CC52" w14:textId="77777777">
      <w:pPr>
        <w:spacing w:line="520" w:lineRule="atLeast"/>
        <w:rPr>
          <w:lang w:eastAsia="zh-CN"/>
        </w:rPr>
      </w:pPr>
    </w:p>
    <w:p w:rsidR="004244A5" w14:paraId="476370B5" w14:textId="77777777">
      <w:pPr>
        <w:spacing w:line="520" w:lineRule="atLeast"/>
        <w:jc w:val="center"/>
        <w:rPr>
          <w:rFonts w:ascii="Times New Roman" w:hAnsi="Times New Roman" w:cs="Times New Roman"/>
          <w:b/>
          <w:sz w:val="36"/>
          <w:szCs w:val="20"/>
          <w:lang w:eastAsia="zh-CN"/>
        </w:rPr>
      </w:pPr>
      <w:r>
        <w:rPr>
          <w:rFonts w:ascii="Times New Roman" w:hAnsi="Times New Roman" w:cs="Times New Roman" w:hint="eastAsia"/>
          <w:b/>
          <w:sz w:val="36"/>
          <w:szCs w:val="20"/>
          <w:highlight w:val="white"/>
          <w:lang w:eastAsia="zh-CN"/>
        </w:rPr>
        <w:t>基金管理人：易方达基金管理有限公司</w:t>
      </w:r>
      <w:r>
        <w:rPr>
          <w:rFonts w:ascii="宋体" w:hAnsi="宋体" w:cs="宋体" w:hint="eastAsia"/>
          <w:b/>
          <w:sz w:val="36"/>
          <w:szCs w:val="20"/>
          <w:highlight w:val="white"/>
          <w:lang w:eastAsia="zh-CN"/>
        </w:rPr>
        <w:t xml:space="preserve"> </w:t>
      </w:r>
    </w:p>
    <w:p w:rsidR="004244A5" w14:paraId="4CE7A09A" w14:textId="77777777">
      <w:pPr>
        <w:spacing w:line="520" w:lineRule="atLeast"/>
        <w:jc w:val="center"/>
        <w:rPr>
          <w:rFonts w:ascii="Times New Roman" w:hAnsi="Times New Roman" w:cs="Times New Roman"/>
          <w:b/>
          <w:sz w:val="36"/>
          <w:szCs w:val="20"/>
          <w:lang w:eastAsia="zh-CN"/>
        </w:rPr>
      </w:pPr>
      <w:r>
        <w:rPr>
          <w:rFonts w:ascii="Times New Roman" w:hAnsi="Times New Roman" w:cs="Times New Roman" w:hint="eastAsia"/>
          <w:b/>
          <w:sz w:val="36"/>
          <w:szCs w:val="20"/>
          <w:highlight w:val="white"/>
          <w:lang w:eastAsia="zh-CN"/>
        </w:rPr>
        <w:t>基金托管人：中信银行股份有限公司</w:t>
      </w:r>
    </w:p>
    <w:p w:rsidR="004244A5" w14:paraId="6D090D68" w14:textId="0C656BA9">
      <w:pPr>
        <w:spacing w:line="520" w:lineRule="atLeast"/>
        <w:jc w:val="center"/>
        <w:rPr>
          <w:rFonts w:ascii="宋体" w:hAnsi="宋体" w:cs="Times New Roman"/>
          <w:b/>
          <w:sz w:val="30"/>
          <w:szCs w:val="30"/>
        </w:rPr>
      </w:pPr>
      <w:r>
        <w:rPr>
          <w:rFonts w:ascii="宋体" w:hAnsi="宋体" w:cs="Times New Roman" w:hint="eastAsia"/>
          <w:b/>
          <w:sz w:val="30"/>
          <w:szCs w:val="30"/>
          <w:highlight w:val="white"/>
        </w:rPr>
        <w:t>二〇二</w:t>
      </w:r>
      <w:r w:rsidR="00DF30F6">
        <w:rPr>
          <w:rFonts w:ascii="宋体" w:hAnsi="宋体" w:cs="Times New Roman"/>
          <w:b/>
          <w:sz w:val="30"/>
          <w:szCs w:val="30"/>
          <w:highlight w:val="white"/>
        </w:rPr>
        <w:t>六</w:t>
      </w:r>
      <w:r>
        <w:rPr>
          <w:rFonts w:ascii="宋体" w:hAnsi="宋体" w:cs="Times New Roman" w:hint="eastAsia"/>
          <w:b/>
          <w:sz w:val="30"/>
          <w:szCs w:val="30"/>
          <w:highlight w:val="white"/>
        </w:rPr>
        <w:t>年</w:t>
      </w:r>
      <w:r w:rsidRPr="00CA77BB" w:rsidR="00CA77BB">
        <w:rPr>
          <w:rFonts w:ascii="宋体" w:hAnsi="宋体" w:cs="Times New Roman" w:hint="eastAsia"/>
          <w:b/>
          <w:sz w:val="30"/>
          <w:szCs w:val="30"/>
        </w:rPr>
        <w:t>四</w:t>
      </w:r>
      <w:r>
        <w:rPr>
          <w:rFonts w:ascii="宋体" w:hAnsi="宋体" w:cs="Times New Roman" w:hint="eastAsia"/>
          <w:b/>
          <w:sz w:val="30"/>
          <w:szCs w:val="30"/>
          <w:highlight w:val="white"/>
        </w:rPr>
        <w:t>月</w:t>
      </w:r>
    </w:p>
    <w:p w:rsidR="004244A5" w14:paraId="0F544A57" w14:textId="77777777">
      <w:pPr>
        <w:spacing w:line="520" w:lineRule="atLeast"/>
        <w:sectPr>
          <w:headerReference w:type="default" r:id="rId5"/>
          <w:footerReference w:type="default" r:id="rId6"/>
          <w:pgSz w:w="11906" w:h="16838"/>
          <w:pgMar w:top="1440" w:right="1800" w:bottom="1440" w:left="1800" w:header="851" w:footer="992" w:gutter="0"/>
          <w:pgNumType w:start="1"/>
          <w:cols w:space="425"/>
          <w:docGrid w:type="lines" w:linePitch="312"/>
        </w:sectPr>
      </w:pPr>
    </w:p>
    <w:sdt>
      <w:sdtPr>
        <w:rPr>
          <w:rFonts w:ascii="Calibri" w:hAnsi="Calibri" w:cs="Calibri"/>
          <w:color w:val="auto"/>
          <w:sz w:val="21"/>
          <w:szCs w:val="22"/>
          <w:lang w:val="zh-CN"/>
        </w:rPr>
        <w:id w:val="-508528404"/>
        <w:docPartObj>
          <w:docPartGallery w:val="Table of Contents"/>
          <w:docPartUnique/>
        </w:docPartObj>
      </w:sdtPr>
      <w:sdtContent>
        <w:p w:rsidR="004244A5" w14:paraId="2FB4B350" w14:textId="77777777">
          <w:pPr>
            <w:pStyle w:val="TOC10"/>
            <w:jc w:val="center"/>
            <w:rPr>
              <w:rFonts w:ascii="宋体" w:hAnsi="宋体" w:cs="Times New Roman"/>
              <w:b/>
              <w:bCs/>
              <w:color w:val="auto"/>
              <w:sz w:val="28"/>
              <w:szCs w:val="28"/>
            </w:rPr>
          </w:pPr>
          <w:r>
            <w:rPr>
              <w:rFonts w:ascii="宋体" w:hAnsi="宋体" w:cs="Times New Roman"/>
              <w:b/>
              <w:bCs/>
              <w:color w:val="auto"/>
              <w:sz w:val="28"/>
              <w:szCs w:val="28"/>
              <w:highlight w:val="white"/>
            </w:rPr>
            <w:t>目录</w:t>
          </w:r>
        </w:p>
        <w:p w:rsidR="004244A5" w14:paraId="424FD762" w14:textId="77777777">
          <w:pPr>
            <w:rPr>
              <w:lang w:val="zh-CN"/>
            </w:rPr>
          </w:pPr>
        </w:p>
        <w:p w:rsidR="000F5E33" w14:paraId="183861F2" w14:textId="77777777">
          <w:pPr>
            <w:pStyle w:val="TOC1"/>
            <w:rPr>
              <w:rFonts w:asciiTheme="minorHAnsi" w:eastAsiaTheme="minorEastAsia" w:hAnsiTheme="minorHAnsi" w:cstheme="minorBidi"/>
              <w:noProof/>
              <w:kern w:val="2"/>
              <w:lang w:eastAsia="zh-CN"/>
            </w:rPr>
          </w:pPr>
          <w:r>
            <w:rPr>
              <w:b/>
              <w:lang w:val="zh-CN"/>
            </w:rPr>
            <w:fldChar w:fldCharType="begin"/>
          </w:r>
          <w:r>
            <w:rPr>
              <w:rFonts w:ascii="宋体" w:hAnsi="宋体" w:cs="宋体"/>
              <w:b/>
              <w:highlight w:val="white"/>
              <w:lang w:val="zh-CN"/>
            </w:rPr>
            <w:instrText xml:space="preserve"> TOC \o "1-3" \h \z \u </w:instrText>
          </w:r>
          <w:r>
            <w:rPr>
              <w:b/>
              <w:lang w:val="zh-CN"/>
            </w:rPr>
            <w:fldChar w:fldCharType="separate"/>
          </w:r>
          <w:hyperlink w:anchor="_Toc227311334" w:history="1">
            <w:r w:rsidRPr="009F0948">
              <w:rPr>
                <w:rStyle w:val="Hyperlink"/>
                <w:rFonts w:hint="eastAsia"/>
                <w:bCs/>
                <w:noProof/>
                <w:highlight w:val="white"/>
                <w:lang w:eastAsia="zh-CN"/>
              </w:rPr>
              <w:t>第一条</w:t>
            </w:r>
            <w:r w:rsidRPr="009F0948">
              <w:rPr>
                <w:rStyle w:val="Hyperlink"/>
                <w:bCs/>
                <w:noProof/>
                <w:highlight w:val="white"/>
                <w:lang w:eastAsia="zh-CN"/>
              </w:rPr>
              <w:t xml:space="preserve"> </w:t>
            </w:r>
            <w:r w:rsidRPr="009F0948">
              <w:rPr>
                <w:rStyle w:val="Hyperlink"/>
                <w:rFonts w:hint="eastAsia"/>
                <w:bCs/>
                <w:noProof/>
                <w:highlight w:val="white"/>
                <w:lang w:eastAsia="zh-CN"/>
              </w:rPr>
              <w:t>本协议当事人</w:t>
            </w:r>
            <w:r>
              <w:rPr>
                <w:noProof/>
                <w:webHidden/>
              </w:rPr>
              <w:tab/>
            </w:r>
            <w:r>
              <w:rPr>
                <w:noProof/>
                <w:webHidden/>
              </w:rPr>
              <w:fldChar w:fldCharType="begin"/>
            </w:r>
            <w:r>
              <w:rPr>
                <w:noProof/>
                <w:webHidden/>
              </w:rPr>
              <w:instrText xml:space="preserve"> PAGEREF _Toc227311334 \h </w:instrText>
            </w:r>
            <w:r>
              <w:rPr>
                <w:noProof/>
                <w:webHidden/>
              </w:rPr>
              <w:fldChar w:fldCharType="separate"/>
            </w:r>
            <w:r>
              <w:rPr>
                <w:noProof/>
                <w:webHidden/>
              </w:rPr>
              <w:t>3</w:t>
            </w:r>
            <w:r>
              <w:rPr>
                <w:noProof/>
                <w:webHidden/>
              </w:rPr>
              <w:fldChar w:fldCharType="end"/>
            </w:r>
          </w:hyperlink>
        </w:p>
        <w:p w:rsidR="000F5E33" w14:paraId="46124075" w14:textId="77777777">
          <w:pPr>
            <w:pStyle w:val="TOC1"/>
            <w:rPr>
              <w:rFonts w:asciiTheme="minorHAnsi" w:eastAsiaTheme="minorEastAsia" w:hAnsiTheme="minorHAnsi" w:cstheme="minorBidi"/>
              <w:noProof/>
              <w:kern w:val="2"/>
              <w:lang w:eastAsia="zh-CN"/>
            </w:rPr>
          </w:pPr>
          <w:hyperlink w:anchor="_Toc227311335" w:history="1">
            <w:r w:rsidRPr="009F0948">
              <w:rPr>
                <w:rStyle w:val="Hyperlink"/>
                <w:rFonts w:hint="eastAsia"/>
                <w:bCs/>
                <w:noProof/>
                <w:highlight w:val="white"/>
                <w:lang w:eastAsia="zh-CN"/>
              </w:rPr>
              <w:t>第二条</w:t>
            </w:r>
            <w:r w:rsidRPr="009F0948">
              <w:rPr>
                <w:rStyle w:val="Hyperlink"/>
                <w:bCs/>
                <w:noProof/>
                <w:highlight w:val="white"/>
                <w:lang w:eastAsia="zh-CN"/>
              </w:rPr>
              <w:t xml:space="preserve"> </w:t>
            </w:r>
            <w:r w:rsidRPr="009F0948">
              <w:rPr>
                <w:rStyle w:val="Hyperlink"/>
                <w:rFonts w:hint="eastAsia"/>
                <w:bCs/>
                <w:noProof/>
                <w:highlight w:val="white"/>
                <w:lang w:eastAsia="zh-CN"/>
              </w:rPr>
              <w:t>本协议的依据、目的和原则</w:t>
            </w:r>
            <w:r>
              <w:rPr>
                <w:noProof/>
                <w:webHidden/>
              </w:rPr>
              <w:tab/>
            </w:r>
            <w:r>
              <w:rPr>
                <w:noProof/>
                <w:webHidden/>
              </w:rPr>
              <w:fldChar w:fldCharType="begin"/>
            </w:r>
            <w:r>
              <w:rPr>
                <w:noProof/>
                <w:webHidden/>
              </w:rPr>
              <w:instrText xml:space="preserve"> PAGEREF _Toc227311335 \h </w:instrText>
            </w:r>
            <w:r>
              <w:rPr>
                <w:noProof/>
                <w:webHidden/>
              </w:rPr>
              <w:fldChar w:fldCharType="separate"/>
            </w:r>
            <w:r>
              <w:rPr>
                <w:noProof/>
                <w:webHidden/>
              </w:rPr>
              <w:t>4</w:t>
            </w:r>
            <w:r>
              <w:rPr>
                <w:noProof/>
                <w:webHidden/>
              </w:rPr>
              <w:fldChar w:fldCharType="end"/>
            </w:r>
          </w:hyperlink>
        </w:p>
        <w:p w:rsidR="000F5E33" w14:paraId="453F942E" w14:textId="77777777">
          <w:pPr>
            <w:pStyle w:val="TOC1"/>
            <w:rPr>
              <w:rFonts w:asciiTheme="minorHAnsi" w:eastAsiaTheme="minorEastAsia" w:hAnsiTheme="minorHAnsi" w:cstheme="minorBidi"/>
              <w:noProof/>
              <w:kern w:val="2"/>
              <w:lang w:eastAsia="zh-CN"/>
            </w:rPr>
          </w:pPr>
          <w:hyperlink w:anchor="_Toc227311336" w:history="1">
            <w:r w:rsidRPr="009F0948">
              <w:rPr>
                <w:rStyle w:val="Hyperlink"/>
                <w:rFonts w:hint="eastAsia"/>
                <w:bCs/>
                <w:noProof/>
                <w:highlight w:val="white"/>
                <w:lang w:eastAsia="zh-CN"/>
              </w:rPr>
              <w:t>第三条</w:t>
            </w:r>
            <w:r w:rsidRPr="009F0948">
              <w:rPr>
                <w:rStyle w:val="Hyperlink"/>
                <w:bCs/>
                <w:noProof/>
                <w:highlight w:val="white"/>
                <w:lang w:eastAsia="zh-CN"/>
              </w:rPr>
              <w:t xml:space="preserve"> </w:t>
            </w:r>
            <w:r w:rsidRPr="009F0948">
              <w:rPr>
                <w:rStyle w:val="Hyperlink"/>
                <w:rFonts w:hint="eastAsia"/>
                <w:bCs/>
                <w:noProof/>
                <w:highlight w:val="white"/>
                <w:lang w:eastAsia="zh-CN"/>
              </w:rPr>
              <w:t>基金托管人对基金管理人的业务监督和核查</w:t>
            </w:r>
            <w:r>
              <w:rPr>
                <w:noProof/>
                <w:webHidden/>
              </w:rPr>
              <w:tab/>
            </w:r>
            <w:r>
              <w:rPr>
                <w:noProof/>
                <w:webHidden/>
              </w:rPr>
              <w:fldChar w:fldCharType="begin"/>
            </w:r>
            <w:r>
              <w:rPr>
                <w:noProof/>
                <w:webHidden/>
              </w:rPr>
              <w:instrText xml:space="preserve"> PAGEREF _Toc227311336 \h </w:instrText>
            </w:r>
            <w:r>
              <w:rPr>
                <w:noProof/>
                <w:webHidden/>
              </w:rPr>
              <w:fldChar w:fldCharType="separate"/>
            </w:r>
            <w:r>
              <w:rPr>
                <w:noProof/>
                <w:webHidden/>
              </w:rPr>
              <w:t>4</w:t>
            </w:r>
            <w:r>
              <w:rPr>
                <w:noProof/>
                <w:webHidden/>
              </w:rPr>
              <w:fldChar w:fldCharType="end"/>
            </w:r>
          </w:hyperlink>
        </w:p>
        <w:p w:rsidR="000F5E33" w14:paraId="33249416" w14:textId="77777777">
          <w:pPr>
            <w:pStyle w:val="TOC1"/>
            <w:rPr>
              <w:rFonts w:asciiTheme="minorHAnsi" w:eastAsiaTheme="minorEastAsia" w:hAnsiTheme="minorHAnsi" w:cstheme="minorBidi"/>
              <w:noProof/>
              <w:kern w:val="2"/>
              <w:lang w:eastAsia="zh-CN"/>
            </w:rPr>
          </w:pPr>
          <w:hyperlink w:anchor="_Toc227311337" w:history="1">
            <w:r w:rsidRPr="009F0948">
              <w:rPr>
                <w:rStyle w:val="Hyperlink"/>
                <w:rFonts w:hint="eastAsia"/>
                <w:bCs/>
                <w:noProof/>
                <w:highlight w:val="white"/>
                <w:lang w:eastAsia="zh-CN"/>
              </w:rPr>
              <w:t>第四条</w:t>
            </w:r>
            <w:r w:rsidRPr="009F0948">
              <w:rPr>
                <w:rStyle w:val="Hyperlink"/>
                <w:bCs/>
                <w:noProof/>
                <w:highlight w:val="white"/>
                <w:lang w:eastAsia="zh-CN"/>
              </w:rPr>
              <w:t xml:space="preserve"> </w:t>
            </w:r>
            <w:r w:rsidRPr="009F0948">
              <w:rPr>
                <w:rStyle w:val="Hyperlink"/>
                <w:rFonts w:hint="eastAsia"/>
                <w:bCs/>
                <w:noProof/>
                <w:highlight w:val="white"/>
                <w:lang w:eastAsia="zh-CN"/>
              </w:rPr>
              <w:t>基金管理人对基金托管人的业务核查</w:t>
            </w:r>
            <w:r>
              <w:rPr>
                <w:noProof/>
                <w:webHidden/>
              </w:rPr>
              <w:tab/>
            </w:r>
            <w:r>
              <w:rPr>
                <w:noProof/>
                <w:webHidden/>
              </w:rPr>
              <w:fldChar w:fldCharType="begin"/>
            </w:r>
            <w:r>
              <w:rPr>
                <w:noProof/>
                <w:webHidden/>
              </w:rPr>
              <w:instrText xml:space="preserve"> PAGEREF _Toc227311337 \h </w:instrText>
            </w:r>
            <w:r>
              <w:rPr>
                <w:noProof/>
                <w:webHidden/>
              </w:rPr>
              <w:fldChar w:fldCharType="separate"/>
            </w:r>
            <w:r>
              <w:rPr>
                <w:noProof/>
                <w:webHidden/>
              </w:rPr>
              <w:t>14</w:t>
            </w:r>
            <w:r>
              <w:rPr>
                <w:noProof/>
                <w:webHidden/>
              </w:rPr>
              <w:fldChar w:fldCharType="end"/>
            </w:r>
          </w:hyperlink>
        </w:p>
        <w:p w:rsidR="000F5E33" w14:paraId="1D51CEA2" w14:textId="77777777">
          <w:pPr>
            <w:pStyle w:val="TOC1"/>
            <w:rPr>
              <w:rFonts w:asciiTheme="minorHAnsi" w:eastAsiaTheme="minorEastAsia" w:hAnsiTheme="minorHAnsi" w:cstheme="minorBidi"/>
              <w:noProof/>
              <w:kern w:val="2"/>
              <w:lang w:eastAsia="zh-CN"/>
            </w:rPr>
          </w:pPr>
          <w:hyperlink w:anchor="_Toc227311338" w:history="1">
            <w:r w:rsidRPr="009F0948">
              <w:rPr>
                <w:rStyle w:val="Hyperlink"/>
                <w:rFonts w:hint="eastAsia"/>
                <w:bCs/>
                <w:noProof/>
                <w:highlight w:val="white"/>
                <w:lang w:eastAsia="zh-CN"/>
              </w:rPr>
              <w:t>第五条</w:t>
            </w:r>
            <w:r w:rsidRPr="009F0948">
              <w:rPr>
                <w:rStyle w:val="Hyperlink"/>
                <w:bCs/>
                <w:noProof/>
                <w:highlight w:val="white"/>
                <w:lang w:eastAsia="zh-CN"/>
              </w:rPr>
              <w:t xml:space="preserve"> </w:t>
            </w:r>
            <w:r w:rsidRPr="009F0948">
              <w:rPr>
                <w:rStyle w:val="Hyperlink"/>
                <w:rFonts w:hint="eastAsia"/>
                <w:bCs/>
                <w:noProof/>
                <w:highlight w:val="white"/>
                <w:lang w:eastAsia="zh-CN"/>
              </w:rPr>
              <w:t>基金财产保管</w:t>
            </w:r>
            <w:r>
              <w:rPr>
                <w:noProof/>
                <w:webHidden/>
              </w:rPr>
              <w:tab/>
            </w:r>
            <w:r>
              <w:rPr>
                <w:noProof/>
                <w:webHidden/>
              </w:rPr>
              <w:fldChar w:fldCharType="begin"/>
            </w:r>
            <w:r>
              <w:rPr>
                <w:noProof/>
                <w:webHidden/>
              </w:rPr>
              <w:instrText xml:space="preserve"> PAGEREF _Toc227311338 \h </w:instrText>
            </w:r>
            <w:r>
              <w:rPr>
                <w:noProof/>
                <w:webHidden/>
              </w:rPr>
              <w:fldChar w:fldCharType="separate"/>
            </w:r>
            <w:r>
              <w:rPr>
                <w:noProof/>
                <w:webHidden/>
              </w:rPr>
              <w:t>15</w:t>
            </w:r>
            <w:r>
              <w:rPr>
                <w:noProof/>
                <w:webHidden/>
              </w:rPr>
              <w:fldChar w:fldCharType="end"/>
            </w:r>
          </w:hyperlink>
        </w:p>
        <w:p w:rsidR="000F5E33" w14:paraId="6670F0FE" w14:textId="77777777">
          <w:pPr>
            <w:pStyle w:val="TOC1"/>
            <w:rPr>
              <w:rFonts w:asciiTheme="minorHAnsi" w:eastAsiaTheme="minorEastAsia" w:hAnsiTheme="minorHAnsi" w:cstheme="minorBidi"/>
              <w:noProof/>
              <w:kern w:val="2"/>
              <w:lang w:eastAsia="zh-CN"/>
            </w:rPr>
          </w:pPr>
          <w:hyperlink w:anchor="_Toc227311339" w:history="1">
            <w:r w:rsidRPr="009F0948">
              <w:rPr>
                <w:rStyle w:val="Hyperlink"/>
                <w:rFonts w:hint="eastAsia"/>
                <w:bCs/>
                <w:noProof/>
                <w:highlight w:val="white"/>
                <w:lang w:eastAsia="zh-CN"/>
              </w:rPr>
              <w:t>第六条</w:t>
            </w:r>
            <w:r w:rsidRPr="009F0948">
              <w:rPr>
                <w:rStyle w:val="Hyperlink"/>
                <w:bCs/>
                <w:noProof/>
                <w:highlight w:val="white"/>
                <w:lang w:eastAsia="zh-CN"/>
              </w:rPr>
              <w:t xml:space="preserve"> </w:t>
            </w:r>
            <w:r w:rsidRPr="009F0948">
              <w:rPr>
                <w:rStyle w:val="Hyperlink"/>
                <w:rFonts w:hint="eastAsia"/>
                <w:bCs/>
                <w:noProof/>
                <w:highlight w:val="white"/>
                <w:lang w:eastAsia="zh-CN"/>
              </w:rPr>
              <w:t>指令的发送、确认和执行</w:t>
            </w:r>
            <w:r>
              <w:rPr>
                <w:noProof/>
                <w:webHidden/>
              </w:rPr>
              <w:tab/>
            </w:r>
            <w:r>
              <w:rPr>
                <w:noProof/>
                <w:webHidden/>
              </w:rPr>
              <w:fldChar w:fldCharType="begin"/>
            </w:r>
            <w:r>
              <w:rPr>
                <w:noProof/>
                <w:webHidden/>
              </w:rPr>
              <w:instrText xml:space="preserve"> PAGEREF _Toc227311339 \h </w:instrText>
            </w:r>
            <w:r>
              <w:rPr>
                <w:noProof/>
                <w:webHidden/>
              </w:rPr>
              <w:fldChar w:fldCharType="separate"/>
            </w:r>
            <w:r>
              <w:rPr>
                <w:noProof/>
                <w:webHidden/>
              </w:rPr>
              <w:t>18</w:t>
            </w:r>
            <w:r>
              <w:rPr>
                <w:noProof/>
                <w:webHidden/>
              </w:rPr>
              <w:fldChar w:fldCharType="end"/>
            </w:r>
          </w:hyperlink>
        </w:p>
        <w:p w:rsidR="000F5E33" w14:paraId="15DA3FCE" w14:textId="77777777">
          <w:pPr>
            <w:pStyle w:val="TOC1"/>
            <w:rPr>
              <w:rFonts w:asciiTheme="minorHAnsi" w:eastAsiaTheme="minorEastAsia" w:hAnsiTheme="minorHAnsi" w:cstheme="minorBidi"/>
              <w:noProof/>
              <w:kern w:val="2"/>
              <w:lang w:eastAsia="zh-CN"/>
            </w:rPr>
          </w:pPr>
          <w:hyperlink w:anchor="_Toc227311340" w:history="1">
            <w:r w:rsidRPr="009F0948">
              <w:rPr>
                <w:rStyle w:val="Hyperlink"/>
                <w:rFonts w:hint="eastAsia"/>
                <w:bCs/>
                <w:noProof/>
                <w:highlight w:val="white"/>
                <w:lang w:eastAsia="zh-CN"/>
              </w:rPr>
              <w:t>第七条</w:t>
            </w:r>
            <w:r w:rsidRPr="009F0948">
              <w:rPr>
                <w:rStyle w:val="Hyperlink"/>
                <w:bCs/>
                <w:noProof/>
                <w:highlight w:val="white"/>
                <w:lang w:eastAsia="zh-CN"/>
              </w:rPr>
              <w:t xml:space="preserve"> </w:t>
            </w:r>
            <w:r w:rsidRPr="009F0948">
              <w:rPr>
                <w:rStyle w:val="Hyperlink"/>
                <w:rFonts w:hint="eastAsia"/>
                <w:bCs/>
                <w:noProof/>
                <w:highlight w:val="white"/>
                <w:lang w:eastAsia="zh-CN"/>
              </w:rPr>
              <w:t>交易及清算交收安排</w:t>
            </w:r>
            <w:r>
              <w:rPr>
                <w:noProof/>
                <w:webHidden/>
              </w:rPr>
              <w:tab/>
            </w:r>
            <w:r>
              <w:rPr>
                <w:noProof/>
                <w:webHidden/>
              </w:rPr>
              <w:fldChar w:fldCharType="begin"/>
            </w:r>
            <w:r>
              <w:rPr>
                <w:noProof/>
                <w:webHidden/>
              </w:rPr>
              <w:instrText xml:space="preserve"> PAGEREF _Toc227311340 \h </w:instrText>
            </w:r>
            <w:r>
              <w:rPr>
                <w:noProof/>
                <w:webHidden/>
              </w:rPr>
              <w:fldChar w:fldCharType="separate"/>
            </w:r>
            <w:r>
              <w:rPr>
                <w:noProof/>
                <w:webHidden/>
              </w:rPr>
              <w:t>21</w:t>
            </w:r>
            <w:r>
              <w:rPr>
                <w:noProof/>
                <w:webHidden/>
              </w:rPr>
              <w:fldChar w:fldCharType="end"/>
            </w:r>
          </w:hyperlink>
        </w:p>
        <w:p w:rsidR="000F5E33" w14:paraId="70CE7B27" w14:textId="77777777">
          <w:pPr>
            <w:pStyle w:val="TOC1"/>
            <w:rPr>
              <w:rFonts w:asciiTheme="minorHAnsi" w:eastAsiaTheme="minorEastAsia" w:hAnsiTheme="minorHAnsi" w:cstheme="minorBidi"/>
              <w:noProof/>
              <w:kern w:val="2"/>
              <w:lang w:eastAsia="zh-CN"/>
            </w:rPr>
          </w:pPr>
          <w:hyperlink w:anchor="_Toc227311341" w:history="1">
            <w:r w:rsidRPr="009F0948">
              <w:rPr>
                <w:rStyle w:val="Hyperlink"/>
                <w:rFonts w:hint="eastAsia"/>
                <w:bCs/>
                <w:noProof/>
                <w:highlight w:val="white"/>
                <w:lang w:eastAsia="zh-CN"/>
              </w:rPr>
              <w:t>第八条</w:t>
            </w:r>
            <w:r w:rsidRPr="009F0948">
              <w:rPr>
                <w:rStyle w:val="Hyperlink"/>
                <w:bCs/>
                <w:noProof/>
                <w:highlight w:val="white"/>
                <w:lang w:eastAsia="zh-CN"/>
              </w:rPr>
              <w:t xml:space="preserve"> </w:t>
            </w:r>
            <w:r w:rsidRPr="009F0948">
              <w:rPr>
                <w:rStyle w:val="Hyperlink"/>
                <w:rFonts w:hint="eastAsia"/>
                <w:bCs/>
                <w:noProof/>
                <w:highlight w:val="white"/>
                <w:lang w:eastAsia="zh-CN"/>
              </w:rPr>
              <w:t>基金净值计算和会计核算</w:t>
            </w:r>
            <w:r>
              <w:rPr>
                <w:noProof/>
                <w:webHidden/>
              </w:rPr>
              <w:tab/>
            </w:r>
            <w:r>
              <w:rPr>
                <w:noProof/>
                <w:webHidden/>
              </w:rPr>
              <w:fldChar w:fldCharType="begin"/>
            </w:r>
            <w:r>
              <w:rPr>
                <w:noProof/>
                <w:webHidden/>
              </w:rPr>
              <w:instrText xml:space="preserve"> PAGEREF _Toc227311341 \h </w:instrText>
            </w:r>
            <w:r>
              <w:rPr>
                <w:noProof/>
                <w:webHidden/>
              </w:rPr>
              <w:fldChar w:fldCharType="separate"/>
            </w:r>
            <w:r>
              <w:rPr>
                <w:noProof/>
                <w:webHidden/>
              </w:rPr>
              <w:t>24</w:t>
            </w:r>
            <w:r>
              <w:rPr>
                <w:noProof/>
                <w:webHidden/>
              </w:rPr>
              <w:fldChar w:fldCharType="end"/>
            </w:r>
          </w:hyperlink>
        </w:p>
        <w:p w:rsidR="000F5E33" w14:paraId="3C5785A6" w14:textId="77777777">
          <w:pPr>
            <w:pStyle w:val="TOC1"/>
            <w:rPr>
              <w:rFonts w:asciiTheme="minorHAnsi" w:eastAsiaTheme="minorEastAsia" w:hAnsiTheme="minorHAnsi" w:cstheme="minorBidi"/>
              <w:noProof/>
              <w:kern w:val="2"/>
              <w:lang w:eastAsia="zh-CN"/>
            </w:rPr>
          </w:pPr>
          <w:hyperlink w:anchor="_Toc227311342" w:history="1">
            <w:r w:rsidRPr="009F0948">
              <w:rPr>
                <w:rStyle w:val="Hyperlink"/>
                <w:rFonts w:hint="eastAsia"/>
                <w:bCs/>
                <w:noProof/>
                <w:highlight w:val="white"/>
                <w:lang w:eastAsia="zh-CN"/>
              </w:rPr>
              <w:t>第九条</w:t>
            </w:r>
            <w:r w:rsidRPr="009F0948">
              <w:rPr>
                <w:rStyle w:val="Hyperlink"/>
                <w:bCs/>
                <w:noProof/>
                <w:highlight w:val="white"/>
                <w:lang w:eastAsia="zh-CN"/>
              </w:rPr>
              <w:t xml:space="preserve"> </w:t>
            </w:r>
            <w:r w:rsidRPr="009F0948">
              <w:rPr>
                <w:rStyle w:val="Hyperlink"/>
                <w:rFonts w:hint="eastAsia"/>
                <w:bCs/>
                <w:noProof/>
                <w:highlight w:val="white"/>
                <w:lang w:eastAsia="zh-CN"/>
              </w:rPr>
              <w:t>基金收益分配</w:t>
            </w:r>
            <w:r>
              <w:rPr>
                <w:noProof/>
                <w:webHidden/>
              </w:rPr>
              <w:tab/>
            </w:r>
            <w:r>
              <w:rPr>
                <w:noProof/>
                <w:webHidden/>
              </w:rPr>
              <w:fldChar w:fldCharType="begin"/>
            </w:r>
            <w:r>
              <w:rPr>
                <w:noProof/>
                <w:webHidden/>
              </w:rPr>
              <w:instrText xml:space="preserve"> PAGEREF _Toc227311342 \h </w:instrText>
            </w:r>
            <w:r>
              <w:rPr>
                <w:noProof/>
                <w:webHidden/>
              </w:rPr>
              <w:fldChar w:fldCharType="separate"/>
            </w:r>
            <w:r>
              <w:rPr>
                <w:noProof/>
                <w:webHidden/>
              </w:rPr>
              <w:t>32</w:t>
            </w:r>
            <w:r>
              <w:rPr>
                <w:noProof/>
                <w:webHidden/>
              </w:rPr>
              <w:fldChar w:fldCharType="end"/>
            </w:r>
          </w:hyperlink>
        </w:p>
        <w:p w:rsidR="000F5E33" w14:paraId="04AEFC29" w14:textId="77777777">
          <w:pPr>
            <w:pStyle w:val="TOC1"/>
            <w:rPr>
              <w:rFonts w:asciiTheme="minorHAnsi" w:eastAsiaTheme="minorEastAsia" w:hAnsiTheme="minorHAnsi" w:cstheme="minorBidi"/>
              <w:noProof/>
              <w:kern w:val="2"/>
              <w:lang w:eastAsia="zh-CN"/>
            </w:rPr>
          </w:pPr>
          <w:hyperlink w:anchor="_Toc227311343" w:history="1">
            <w:r w:rsidRPr="009F0948">
              <w:rPr>
                <w:rStyle w:val="Hyperlink"/>
                <w:rFonts w:hint="eastAsia"/>
                <w:bCs/>
                <w:noProof/>
                <w:highlight w:val="white"/>
                <w:lang w:eastAsia="zh-CN"/>
              </w:rPr>
              <w:t>第十条</w:t>
            </w:r>
            <w:r w:rsidRPr="009F0948">
              <w:rPr>
                <w:rStyle w:val="Hyperlink"/>
                <w:bCs/>
                <w:noProof/>
                <w:highlight w:val="white"/>
                <w:lang w:eastAsia="zh-CN"/>
              </w:rPr>
              <w:t xml:space="preserve"> </w:t>
            </w:r>
            <w:r w:rsidRPr="009F0948">
              <w:rPr>
                <w:rStyle w:val="Hyperlink"/>
                <w:rFonts w:hint="eastAsia"/>
                <w:bCs/>
                <w:noProof/>
                <w:highlight w:val="white"/>
                <w:lang w:eastAsia="zh-CN"/>
              </w:rPr>
              <w:t>信息披露</w:t>
            </w:r>
            <w:r>
              <w:rPr>
                <w:noProof/>
                <w:webHidden/>
              </w:rPr>
              <w:tab/>
            </w:r>
            <w:r>
              <w:rPr>
                <w:noProof/>
                <w:webHidden/>
              </w:rPr>
              <w:fldChar w:fldCharType="begin"/>
            </w:r>
            <w:r>
              <w:rPr>
                <w:noProof/>
                <w:webHidden/>
              </w:rPr>
              <w:instrText xml:space="preserve"> PAGEREF _Toc227311343 \h </w:instrText>
            </w:r>
            <w:r>
              <w:rPr>
                <w:noProof/>
                <w:webHidden/>
              </w:rPr>
              <w:fldChar w:fldCharType="separate"/>
            </w:r>
            <w:r>
              <w:rPr>
                <w:noProof/>
                <w:webHidden/>
              </w:rPr>
              <w:t>33</w:t>
            </w:r>
            <w:r>
              <w:rPr>
                <w:noProof/>
                <w:webHidden/>
              </w:rPr>
              <w:fldChar w:fldCharType="end"/>
            </w:r>
          </w:hyperlink>
        </w:p>
        <w:p w:rsidR="000F5E33" w14:paraId="480C75FA" w14:textId="77777777">
          <w:pPr>
            <w:pStyle w:val="TOC1"/>
            <w:rPr>
              <w:rFonts w:asciiTheme="minorHAnsi" w:eastAsiaTheme="minorEastAsia" w:hAnsiTheme="minorHAnsi" w:cstheme="minorBidi"/>
              <w:noProof/>
              <w:kern w:val="2"/>
              <w:lang w:eastAsia="zh-CN"/>
            </w:rPr>
          </w:pPr>
          <w:hyperlink w:anchor="_Toc227311344" w:history="1">
            <w:r w:rsidRPr="009F0948">
              <w:rPr>
                <w:rStyle w:val="Hyperlink"/>
                <w:rFonts w:hint="eastAsia"/>
                <w:bCs/>
                <w:noProof/>
                <w:highlight w:val="white"/>
                <w:lang w:eastAsia="zh-CN"/>
              </w:rPr>
              <w:t>第十一条</w:t>
            </w:r>
            <w:r w:rsidRPr="009F0948">
              <w:rPr>
                <w:rStyle w:val="Hyperlink"/>
                <w:bCs/>
                <w:noProof/>
                <w:highlight w:val="white"/>
                <w:lang w:eastAsia="zh-CN"/>
              </w:rPr>
              <w:t xml:space="preserve"> </w:t>
            </w:r>
            <w:r w:rsidRPr="009F0948">
              <w:rPr>
                <w:rStyle w:val="Hyperlink"/>
                <w:rFonts w:hint="eastAsia"/>
                <w:bCs/>
                <w:noProof/>
                <w:highlight w:val="white"/>
                <w:lang w:eastAsia="zh-CN"/>
              </w:rPr>
              <w:t>基金费用</w:t>
            </w:r>
            <w:r>
              <w:rPr>
                <w:noProof/>
                <w:webHidden/>
              </w:rPr>
              <w:tab/>
            </w:r>
            <w:r>
              <w:rPr>
                <w:noProof/>
                <w:webHidden/>
              </w:rPr>
              <w:fldChar w:fldCharType="begin"/>
            </w:r>
            <w:r>
              <w:rPr>
                <w:noProof/>
                <w:webHidden/>
              </w:rPr>
              <w:instrText xml:space="preserve"> PAGEREF _Toc227311344 \h </w:instrText>
            </w:r>
            <w:r>
              <w:rPr>
                <w:noProof/>
                <w:webHidden/>
              </w:rPr>
              <w:fldChar w:fldCharType="separate"/>
            </w:r>
            <w:r>
              <w:rPr>
                <w:noProof/>
                <w:webHidden/>
              </w:rPr>
              <w:t>35</w:t>
            </w:r>
            <w:r>
              <w:rPr>
                <w:noProof/>
                <w:webHidden/>
              </w:rPr>
              <w:fldChar w:fldCharType="end"/>
            </w:r>
          </w:hyperlink>
        </w:p>
        <w:p w:rsidR="000F5E33" w14:paraId="2116E3CB" w14:textId="77777777">
          <w:pPr>
            <w:pStyle w:val="TOC1"/>
            <w:rPr>
              <w:rFonts w:asciiTheme="minorHAnsi" w:eastAsiaTheme="minorEastAsia" w:hAnsiTheme="minorHAnsi" w:cstheme="minorBidi"/>
              <w:noProof/>
              <w:kern w:val="2"/>
              <w:lang w:eastAsia="zh-CN"/>
            </w:rPr>
          </w:pPr>
          <w:hyperlink w:anchor="_Toc227311345" w:history="1">
            <w:r w:rsidRPr="009F0948">
              <w:rPr>
                <w:rStyle w:val="Hyperlink"/>
                <w:rFonts w:hint="eastAsia"/>
                <w:bCs/>
                <w:noProof/>
                <w:highlight w:val="white"/>
                <w:lang w:eastAsia="zh-CN"/>
              </w:rPr>
              <w:t>第十二条</w:t>
            </w:r>
            <w:r w:rsidRPr="009F0948">
              <w:rPr>
                <w:rStyle w:val="Hyperlink"/>
                <w:bCs/>
                <w:noProof/>
                <w:highlight w:val="white"/>
                <w:lang w:eastAsia="zh-CN"/>
              </w:rPr>
              <w:t xml:space="preserve"> </w:t>
            </w:r>
            <w:r w:rsidRPr="009F0948">
              <w:rPr>
                <w:rStyle w:val="Hyperlink"/>
                <w:rFonts w:hint="eastAsia"/>
                <w:bCs/>
                <w:noProof/>
                <w:highlight w:val="white"/>
                <w:lang w:eastAsia="zh-CN"/>
              </w:rPr>
              <w:t>基金份额持有人名册的保管</w:t>
            </w:r>
            <w:r>
              <w:rPr>
                <w:noProof/>
                <w:webHidden/>
              </w:rPr>
              <w:tab/>
            </w:r>
            <w:r>
              <w:rPr>
                <w:noProof/>
                <w:webHidden/>
              </w:rPr>
              <w:fldChar w:fldCharType="begin"/>
            </w:r>
            <w:r>
              <w:rPr>
                <w:noProof/>
                <w:webHidden/>
              </w:rPr>
              <w:instrText xml:space="preserve"> PAGEREF _Toc227311345 \h </w:instrText>
            </w:r>
            <w:r>
              <w:rPr>
                <w:noProof/>
                <w:webHidden/>
              </w:rPr>
              <w:fldChar w:fldCharType="separate"/>
            </w:r>
            <w:r>
              <w:rPr>
                <w:noProof/>
                <w:webHidden/>
              </w:rPr>
              <w:t>37</w:t>
            </w:r>
            <w:r>
              <w:rPr>
                <w:noProof/>
                <w:webHidden/>
              </w:rPr>
              <w:fldChar w:fldCharType="end"/>
            </w:r>
          </w:hyperlink>
        </w:p>
        <w:p w:rsidR="000F5E33" w14:paraId="062DB2C6" w14:textId="77777777">
          <w:pPr>
            <w:pStyle w:val="TOC1"/>
            <w:rPr>
              <w:rFonts w:asciiTheme="minorHAnsi" w:eastAsiaTheme="minorEastAsia" w:hAnsiTheme="minorHAnsi" w:cstheme="minorBidi"/>
              <w:noProof/>
              <w:kern w:val="2"/>
              <w:lang w:eastAsia="zh-CN"/>
            </w:rPr>
          </w:pPr>
          <w:hyperlink w:anchor="_Toc227311346" w:history="1">
            <w:r w:rsidRPr="009F0948">
              <w:rPr>
                <w:rStyle w:val="Hyperlink"/>
                <w:rFonts w:hint="eastAsia"/>
                <w:bCs/>
                <w:noProof/>
                <w:highlight w:val="white"/>
                <w:lang w:eastAsia="zh-CN"/>
              </w:rPr>
              <w:t>第十三条</w:t>
            </w:r>
            <w:r w:rsidRPr="009F0948">
              <w:rPr>
                <w:rStyle w:val="Hyperlink"/>
                <w:bCs/>
                <w:noProof/>
                <w:highlight w:val="white"/>
                <w:lang w:eastAsia="zh-CN"/>
              </w:rPr>
              <w:t xml:space="preserve"> </w:t>
            </w:r>
            <w:r w:rsidRPr="009F0948">
              <w:rPr>
                <w:rStyle w:val="Hyperlink"/>
                <w:rFonts w:hint="eastAsia"/>
                <w:bCs/>
                <w:noProof/>
                <w:highlight w:val="white"/>
                <w:lang w:eastAsia="zh-CN"/>
              </w:rPr>
              <w:t>基金有关文件和档案的保存</w:t>
            </w:r>
            <w:r>
              <w:rPr>
                <w:noProof/>
                <w:webHidden/>
              </w:rPr>
              <w:tab/>
            </w:r>
            <w:r>
              <w:rPr>
                <w:noProof/>
                <w:webHidden/>
              </w:rPr>
              <w:fldChar w:fldCharType="begin"/>
            </w:r>
            <w:r>
              <w:rPr>
                <w:noProof/>
                <w:webHidden/>
              </w:rPr>
              <w:instrText xml:space="preserve"> PAGEREF _Toc227311346 \h </w:instrText>
            </w:r>
            <w:r>
              <w:rPr>
                <w:noProof/>
                <w:webHidden/>
              </w:rPr>
              <w:fldChar w:fldCharType="separate"/>
            </w:r>
            <w:r>
              <w:rPr>
                <w:noProof/>
                <w:webHidden/>
              </w:rPr>
              <w:t>38</w:t>
            </w:r>
            <w:r>
              <w:rPr>
                <w:noProof/>
                <w:webHidden/>
              </w:rPr>
              <w:fldChar w:fldCharType="end"/>
            </w:r>
          </w:hyperlink>
        </w:p>
        <w:p w:rsidR="000F5E33" w14:paraId="2230091C" w14:textId="77777777">
          <w:pPr>
            <w:pStyle w:val="TOC1"/>
            <w:rPr>
              <w:rFonts w:asciiTheme="minorHAnsi" w:eastAsiaTheme="minorEastAsia" w:hAnsiTheme="minorHAnsi" w:cstheme="minorBidi"/>
              <w:noProof/>
              <w:kern w:val="2"/>
              <w:lang w:eastAsia="zh-CN"/>
            </w:rPr>
          </w:pPr>
          <w:hyperlink w:anchor="_Toc227311347" w:history="1">
            <w:r w:rsidRPr="009F0948">
              <w:rPr>
                <w:rStyle w:val="Hyperlink"/>
                <w:rFonts w:hint="eastAsia"/>
                <w:bCs/>
                <w:noProof/>
                <w:highlight w:val="white"/>
                <w:lang w:eastAsia="zh-CN"/>
              </w:rPr>
              <w:t>第十四条</w:t>
            </w:r>
            <w:r w:rsidRPr="009F0948">
              <w:rPr>
                <w:rStyle w:val="Hyperlink"/>
                <w:bCs/>
                <w:noProof/>
                <w:highlight w:val="white"/>
                <w:lang w:eastAsia="zh-CN"/>
              </w:rPr>
              <w:t xml:space="preserve"> </w:t>
            </w:r>
            <w:r w:rsidRPr="009F0948">
              <w:rPr>
                <w:rStyle w:val="Hyperlink"/>
                <w:rFonts w:hint="eastAsia"/>
                <w:bCs/>
                <w:noProof/>
                <w:highlight w:val="white"/>
                <w:lang w:eastAsia="zh-CN"/>
              </w:rPr>
              <w:t>基金管理人和基金托管人的更换</w:t>
            </w:r>
            <w:r>
              <w:rPr>
                <w:noProof/>
                <w:webHidden/>
              </w:rPr>
              <w:tab/>
            </w:r>
            <w:r>
              <w:rPr>
                <w:noProof/>
                <w:webHidden/>
              </w:rPr>
              <w:fldChar w:fldCharType="begin"/>
            </w:r>
            <w:r>
              <w:rPr>
                <w:noProof/>
                <w:webHidden/>
              </w:rPr>
              <w:instrText xml:space="preserve"> PAGEREF _Toc227311347 \h </w:instrText>
            </w:r>
            <w:r>
              <w:rPr>
                <w:noProof/>
                <w:webHidden/>
              </w:rPr>
              <w:fldChar w:fldCharType="separate"/>
            </w:r>
            <w:r>
              <w:rPr>
                <w:noProof/>
                <w:webHidden/>
              </w:rPr>
              <w:t>38</w:t>
            </w:r>
            <w:r>
              <w:rPr>
                <w:noProof/>
                <w:webHidden/>
              </w:rPr>
              <w:fldChar w:fldCharType="end"/>
            </w:r>
          </w:hyperlink>
        </w:p>
        <w:p w:rsidR="000F5E33" w14:paraId="27DA2CF9" w14:textId="77777777">
          <w:pPr>
            <w:pStyle w:val="TOC1"/>
            <w:rPr>
              <w:rFonts w:asciiTheme="minorHAnsi" w:eastAsiaTheme="minorEastAsia" w:hAnsiTheme="minorHAnsi" w:cstheme="minorBidi"/>
              <w:noProof/>
              <w:kern w:val="2"/>
              <w:lang w:eastAsia="zh-CN"/>
            </w:rPr>
          </w:pPr>
          <w:hyperlink w:anchor="_Toc227311348" w:history="1">
            <w:r w:rsidRPr="009F0948">
              <w:rPr>
                <w:rStyle w:val="Hyperlink"/>
                <w:rFonts w:hint="eastAsia"/>
                <w:bCs/>
                <w:noProof/>
                <w:highlight w:val="white"/>
                <w:lang w:eastAsia="zh-CN"/>
              </w:rPr>
              <w:t>第十五条</w:t>
            </w:r>
            <w:r w:rsidRPr="009F0948">
              <w:rPr>
                <w:rStyle w:val="Hyperlink"/>
                <w:bCs/>
                <w:noProof/>
                <w:highlight w:val="white"/>
                <w:lang w:eastAsia="zh-CN"/>
              </w:rPr>
              <w:t xml:space="preserve"> </w:t>
            </w:r>
            <w:r w:rsidRPr="009F0948">
              <w:rPr>
                <w:rStyle w:val="Hyperlink"/>
                <w:rFonts w:hint="eastAsia"/>
                <w:bCs/>
                <w:noProof/>
                <w:highlight w:val="white"/>
                <w:lang w:eastAsia="zh-CN"/>
              </w:rPr>
              <w:t>禁止行为</w:t>
            </w:r>
            <w:r>
              <w:rPr>
                <w:noProof/>
                <w:webHidden/>
              </w:rPr>
              <w:tab/>
            </w:r>
            <w:r>
              <w:rPr>
                <w:noProof/>
                <w:webHidden/>
              </w:rPr>
              <w:fldChar w:fldCharType="begin"/>
            </w:r>
            <w:r>
              <w:rPr>
                <w:noProof/>
                <w:webHidden/>
              </w:rPr>
              <w:instrText xml:space="preserve"> PAGEREF _Toc227311348 \h </w:instrText>
            </w:r>
            <w:r>
              <w:rPr>
                <w:noProof/>
                <w:webHidden/>
              </w:rPr>
              <w:fldChar w:fldCharType="separate"/>
            </w:r>
            <w:r>
              <w:rPr>
                <w:noProof/>
                <w:webHidden/>
              </w:rPr>
              <w:t>41</w:t>
            </w:r>
            <w:r>
              <w:rPr>
                <w:noProof/>
                <w:webHidden/>
              </w:rPr>
              <w:fldChar w:fldCharType="end"/>
            </w:r>
          </w:hyperlink>
        </w:p>
        <w:p w:rsidR="000F5E33" w14:paraId="77FC0FF7" w14:textId="77777777">
          <w:pPr>
            <w:pStyle w:val="TOC1"/>
            <w:rPr>
              <w:rFonts w:asciiTheme="minorHAnsi" w:eastAsiaTheme="minorEastAsia" w:hAnsiTheme="minorHAnsi" w:cstheme="minorBidi"/>
              <w:noProof/>
              <w:kern w:val="2"/>
              <w:lang w:eastAsia="zh-CN"/>
            </w:rPr>
          </w:pPr>
          <w:hyperlink w:anchor="_Toc227311349" w:history="1">
            <w:r w:rsidRPr="009F0948">
              <w:rPr>
                <w:rStyle w:val="Hyperlink"/>
                <w:rFonts w:hint="eastAsia"/>
                <w:bCs/>
                <w:noProof/>
                <w:highlight w:val="white"/>
                <w:lang w:eastAsia="zh-CN"/>
              </w:rPr>
              <w:t>第十六条</w:t>
            </w:r>
            <w:r w:rsidRPr="009F0948">
              <w:rPr>
                <w:rStyle w:val="Hyperlink"/>
                <w:bCs/>
                <w:noProof/>
                <w:highlight w:val="white"/>
                <w:lang w:eastAsia="zh-CN"/>
              </w:rPr>
              <w:t xml:space="preserve"> </w:t>
            </w:r>
            <w:r w:rsidRPr="009F0948">
              <w:rPr>
                <w:rStyle w:val="Hyperlink"/>
                <w:rFonts w:hint="eastAsia"/>
                <w:bCs/>
                <w:noProof/>
                <w:highlight w:val="white"/>
                <w:lang w:eastAsia="zh-CN"/>
              </w:rPr>
              <w:t>本协议的变更、终止与基金财产的清算</w:t>
            </w:r>
            <w:r>
              <w:rPr>
                <w:noProof/>
                <w:webHidden/>
              </w:rPr>
              <w:tab/>
            </w:r>
            <w:r>
              <w:rPr>
                <w:noProof/>
                <w:webHidden/>
              </w:rPr>
              <w:fldChar w:fldCharType="begin"/>
            </w:r>
            <w:r>
              <w:rPr>
                <w:noProof/>
                <w:webHidden/>
              </w:rPr>
              <w:instrText xml:space="preserve"> PAGEREF _Toc227311349 \h </w:instrText>
            </w:r>
            <w:r>
              <w:rPr>
                <w:noProof/>
                <w:webHidden/>
              </w:rPr>
              <w:fldChar w:fldCharType="separate"/>
            </w:r>
            <w:r>
              <w:rPr>
                <w:noProof/>
                <w:webHidden/>
              </w:rPr>
              <w:t>42</w:t>
            </w:r>
            <w:r>
              <w:rPr>
                <w:noProof/>
                <w:webHidden/>
              </w:rPr>
              <w:fldChar w:fldCharType="end"/>
            </w:r>
          </w:hyperlink>
        </w:p>
        <w:p w:rsidR="000F5E33" w14:paraId="1BFD69D3" w14:textId="77777777">
          <w:pPr>
            <w:pStyle w:val="TOC1"/>
            <w:rPr>
              <w:rFonts w:asciiTheme="minorHAnsi" w:eastAsiaTheme="minorEastAsia" w:hAnsiTheme="minorHAnsi" w:cstheme="minorBidi"/>
              <w:noProof/>
              <w:kern w:val="2"/>
              <w:lang w:eastAsia="zh-CN"/>
            </w:rPr>
          </w:pPr>
          <w:hyperlink w:anchor="_Toc227311350" w:history="1">
            <w:r w:rsidRPr="009F0948">
              <w:rPr>
                <w:rStyle w:val="Hyperlink"/>
                <w:rFonts w:hint="eastAsia"/>
                <w:bCs/>
                <w:noProof/>
                <w:highlight w:val="white"/>
                <w:lang w:eastAsia="zh-CN"/>
              </w:rPr>
              <w:t>第十七条</w:t>
            </w:r>
            <w:r w:rsidRPr="009F0948">
              <w:rPr>
                <w:rStyle w:val="Hyperlink"/>
                <w:bCs/>
                <w:noProof/>
                <w:highlight w:val="white"/>
                <w:lang w:eastAsia="zh-CN"/>
              </w:rPr>
              <w:t xml:space="preserve"> </w:t>
            </w:r>
            <w:r w:rsidRPr="009F0948">
              <w:rPr>
                <w:rStyle w:val="Hyperlink"/>
                <w:rFonts w:hint="eastAsia"/>
                <w:bCs/>
                <w:noProof/>
                <w:highlight w:val="white"/>
                <w:lang w:eastAsia="zh-CN"/>
              </w:rPr>
              <w:t>违约责任</w:t>
            </w:r>
            <w:r>
              <w:rPr>
                <w:noProof/>
                <w:webHidden/>
              </w:rPr>
              <w:tab/>
            </w:r>
            <w:r>
              <w:rPr>
                <w:noProof/>
                <w:webHidden/>
              </w:rPr>
              <w:fldChar w:fldCharType="begin"/>
            </w:r>
            <w:r>
              <w:rPr>
                <w:noProof/>
                <w:webHidden/>
              </w:rPr>
              <w:instrText xml:space="preserve"> PAGEREF _Toc227311350 \h </w:instrText>
            </w:r>
            <w:r>
              <w:rPr>
                <w:noProof/>
                <w:webHidden/>
              </w:rPr>
              <w:fldChar w:fldCharType="separate"/>
            </w:r>
            <w:r>
              <w:rPr>
                <w:noProof/>
                <w:webHidden/>
              </w:rPr>
              <w:t>44</w:t>
            </w:r>
            <w:r>
              <w:rPr>
                <w:noProof/>
                <w:webHidden/>
              </w:rPr>
              <w:fldChar w:fldCharType="end"/>
            </w:r>
          </w:hyperlink>
        </w:p>
        <w:p w:rsidR="000F5E33" w14:paraId="63D17720" w14:textId="77777777">
          <w:pPr>
            <w:pStyle w:val="TOC1"/>
            <w:rPr>
              <w:rFonts w:asciiTheme="minorHAnsi" w:eastAsiaTheme="minorEastAsia" w:hAnsiTheme="minorHAnsi" w:cstheme="minorBidi"/>
              <w:noProof/>
              <w:kern w:val="2"/>
              <w:lang w:eastAsia="zh-CN"/>
            </w:rPr>
          </w:pPr>
          <w:hyperlink w:anchor="_Toc227311351" w:history="1">
            <w:r w:rsidRPr="009F0948">
              <w:rPr>
                <w:rStyle w:val="Hyperlink"/>
                <w:rFonts w:hint="eastAsia"/>
                <w:bCs/>
                <w:noProof/>
                <w:highlight w:val="white"/>
                <w:lang w:eastAsia="zh-CN"/>
              </w:rPr>
              <w:t>第十八条</w:t>
            </w:r>
            <w:r w:rsidRPr="009F0948">
              <w:rPr>
                <w:rStyle w:val="Hyperlink"/>
                <w:bCs/>
                <w:noProof/>
                <w:highlight w:val="white"/>
                <w:lang w:eastAsia="zh-CN"/>
              </w:rPr>
              <w:t xml:space="preserve"> </w:t>
            </w:r>
            <w:r w:rsidRPr="009F0948">
              <w:rPr>
                <w:rStyle w:val="Hyperlink"/>
                <w:rFonts w:hint="eastAsia"/>
                <w:bCs/>
                <w:noProof/>
                <w:highlight w:val="white"/>
                <w:lang w:eastAsia="zh-CN"/>
              </w:rPr>
              <w:t>法律适用和争议解决</w:t>
            </w:r>
            <w:r>
              <w:rPr>
                <w:noProof/>
                <w:webHidden/>
              </w:rPr>
              <w:tab/>
            </w:r>
            <w:r>
              <w:rPr>
                <w:noProof/>
                <w:webHidden/>
              </w:rPr>
              <w:fldChar w:fldCharType="begin"/>
            </w:r>
            <w:r>
              <w:rPr>
                <w:noProof/>
                <w:webHidden/>
              </w:rPr>
              <w:instrText xml:space="preserve"> PAGEREF _Toc227311351 \h </w:instrText>
            </w:r>
            <w:r>
              <w:rPr>
                <w:noProof/>
                <w:webHidden/>
              </w:rPr>
              <w:fldChar w:fldCharType="separate"/>
            </w:r>
            <w:r>
              <w:rPr>
                <w:noProof/>
                <w:webHidden/>
              </w:rPr>
              <w:t>45</w:t>
            </w:r>
            <w:r>
              <w:rPr>
                <w:noProof/>
                <w:webHidden/>
              </w:rPr>
              <w:fldChar w:fldCharType="end"/>
            </w:r>
          </w:hyperlink>
        </w:p>
        <w:p w:rsidR="000F5E33" w14:paraId="75D3FEA8" w14:textId="77777777">
          <w:pPr>
            <w:pStyle w:val="TOC1"/>
            <w:rPr>
              <w:rFonts w:asciiTheme="minorHAnsi" w:eastAsiaTheme="minorEastAsia" w:hAnsiTheme="minorHAnsi" w:cstheme="minorBidi"/>
              <w:noProof/>
              <w:kern w:val="2"/>
              <w:lang w:eastAsia="zh-CN"/>
            </w:rPr>
          </w:pPr>
          <w:hyperlink w:anchor="_Toc227311352" w:history="1">
            <w:r w:rsidRPr="009F0948">
              <w:rPr>
                <w:rStyle w:val="Hyperlink"/>
                <w:rFonts w:hint="eastAsia"/>
                <w:bCs/>
                <w:noProof/>
                <w:highlight w:val="white"/>
                <w:lang w:eastAsia="zh-CN"/>
              </w:rPr>
              <w:t>第十九条</w:t>
            </w:r>
            <w:r w:rsidRPr="009F0948">
              <w:rPr>
                <w:rStyle w:val="Hyperlink"/>
                <w:bCs/>
                <w:noProof/>
                <w:highlight w:val="white"/>
                <w:lang w:eastAsia="zh-CN"/>
              </w:rPr>
              <w:t xml:space="preserve"> </w:t>
            </w:r>
            <w:r w:rsidRPr="009F0948">
              <w:rPr>
                <w:rStyle w:val="Hyperlink"/>
                <w:rFonts w:hint="eastAsia"/>
                <w:bCs/>
                <w:noProof/>
                <w:highlight w:val="white"/>
                <w:lang w:eastAsia="zh-CN"/>
              </w:rPr>
              <w:t>本协议的效力</w:t>
            </w:r>
            <w:r>
              <w:rPr>
                <w:noProof/>
                <w:webHidden/>
              </w:rPr>
              <w:tab/>
            </w:r>
            <w:r>
              <w:rPr>
                <w:noProof/>
                <w:webHidden/>
              </w:rPr>
              <w:fldChar w:fldCharType="begin"/>
            </w:r>
            <w:r>
              <w:rPr>
                <w:noProof/>
                <w:webHidden/>
              </w:rPr>
              <w:instrText xml:space="preserve"> PAGEREF _Toc227311352 \h </w:instrText>
            </w:r>
            <w:r>
              <w:rPr>
                <w:noProof/>
                <w:webHidden/>
              </w:rPr>
              <w:fldChar w:fldCharType="separate"/>
            </w:r>
            <w:r>
              <w:rPr>
                <w:noProof/>
                <w:webHidden/>
              </w:rPr>
              <w:t>45</w:t>
            </w:r>
            <w:r>
              <w:rPr>
                <w:noProof/>
                <w:webHidden/>
              </w:rPr>
              <w:fldChar w:fldCharType="end"/>
            </w:r>
          </w:hyperlink>
        </w:p>
        <w:p w:rsidR="000F5E33" w14:paraId="60DD72C8" w14:textId="77777777">
          <w:pPr>
            <w:pStyle w:val="TOC1"/>
            <w:rPr>
              <w:rFonts w:asciiTheme="minorHAnsi" w:eastAsiaTheme="minorEastAsia" w:hAnsiTheme="minorHAnsi" w:cstheme="minorBidi"/>
              <w:noProof/>
              <w:kern w:val="2"/>
              <w:lang w:eastAsia="zh-CN"/>
            </w:rPr>
          </w:pPr>
          <w:hyperlink w:anchor="_Toc227311353" w:history="1">
            <w:r w:rsidRPr="009F0948">
              <w:rPr>
                <w:rStyle w:val="Hyperlink"/>
                <w:rFonts w:hint="eastAsia"/>
                <w:bCs/>
                <w:noProof/>
                <w:highlight w:val="white"/>
                <w:lang w:eastAsia="zh-CN"/>
              </w:rPr>
              <w:t>第二十条</w:t>
            </w:r>
            <w:r w:rsidRPr="009F0948">
              <w:rPr>
                <w:rStyle w:val="Hyperlink"/>
                <w:bCs/>
                <w:noProof/>
                <w:highlight w:val="white"/>
                <w:lang w:eastAsia="zh-CN"/>
              </w:rPr>
              <w:t xml:space="preserve"> </w:t>
            </w:r>
            <w:r w:rsidRPr="009F0948">
              <w:rPr>
                <w:rStyle w:val="Hyperlink"/>
                <w:rFonts w:hint="eastAsia"/>
                <w:bCs/>
                <w:noProof/>
                <w:highlight w:val="white"/>
                <w:lang w:eastAsia="zh-CN"/>
              </w:rPr>
              <w:t>本协议的签订</w:t>
            </w:r>
            <w:r>
              <w:rPr>
                <w:noProof/>
                <w:webHidden/>
              </w:rPr>
              <w:tab/>
            </w:r>
            <w:r>
              <w:rPr>
                <w:noProof/>
                <w:webHidden/>
              </w:rPr>
              <w:fldChar w:fldCharType="begin"/>
            </w:r>
            <w:r>
              <w:rPr>
                <w:noProof/>
                <w:webHidden/>
              </w:rPr>
              <w:instrText xml:space="preserve"> PAGEREF _Toc227311353 \h </w:instrText>
            </w:r>
            <w:r>
              <w:rPr>
                <w:noProof/>
                <w:webHidden/>
              </w:rPr>
              <w:fldChar w:fldCharType="separate"/>
            </w:r>
            <w:r>
              <w:rPr>
                <w:noProof/>
                <w:webHidden/>
              </w:rPr>
              <w:t>46</w:t>
            </w:r>
            <w:r>
              <w:rPr>
                <w:noProof/>
                <w:webHidden/>
              </w:rPr>
              <w:fldChar w:fldCharType="end"/>
            </w:r>
          </w:hyperlink>
        </w:p>
        <w:p w:rsidR="000F5E33" w14:paraId="2A895752" w14:textId="77777777">
          <w:pPr>
            <w:pStyle w:val="TOC1"/>
            <w:rPr>
              <w:rFonts w:asciiTheme="minorHAnsi" w:eastAsiaTheme="minorEastAsia" w:hAnsiTheme="minorHAnsi" w:cstheme="minorBidi"/>
              <w:noProof/>
              <w:kern w:val="2"/>
              <w:lang w:eastAsia="zh-CN"/>
            </w:rPr>
          </w:pPr>
          <w:hyperlink w:anchor="_Toc227311354" w:history="1">
            <w:r w:rsidRPr="009F0948">
              <w:rPr>
                <w:rStyle w:val="Hyperlink"/>
                <w:rFonts w:hint="eastAsia"/>
                <w:bCs/>
                <w:noProof/>
                <w:highlight w:val="white"/>
                <w:lang w:eastAsia="zh-CN"/>
              </w:rPr>
              <w:t>第二十一条</w:t>
            </w:r>
            <w:r w:rsidRPr="009F0948">
              <w:rPr>
                <w:rStyle w:val="Hyperlink"/>
                <w:bCs/>
                <w:noProof/>
                <w:highlight w:val="white"/>
                <w:lang w:eastAsia="zh-CN"/>
              </w:rPr>
              <w:t xml:space="preserve"> </w:t>
            </w:r>
            <w:r w:rsidRPr="009F0948">
              <w:rPr>
                <w:rStyle w:val="Hyperlink"/>
                <w:rFonts w:hint="eastAsia"/>
                <w:bCs/>
                <w:noProof/>
                <w:highlight w:val="white"/>
                <w:lang w:eastAsia="zh-CN"/>
              </w:rPr>
              <w:t>不可抗力</w:t>
            </w:r>
            <w:r>
              <w:rPr>
                <w:noProof/>
                <w:webHidden/>
              </w:rPr>
              <w:tab/>
            </w:r>
            <w:r>
              <w:rPr>
                <w:noProof/>
                <w:webHidden/>
              </w:rPr>
              <w:fldChar w:fldCharType="begin"/>
            </w:r>
            <w:r>
              <w:rPr>
                <w:noProof/>
                <w:webHidden/>
              </w:rPr>
              <w:instrText xml:space="preserve"> PAGEREF _Toc227311354 \h </w:instrText>
            </w:r>
            <w:r>
              <w:rPr>
                <w:noProof/>
                <w:webHidden/>
              </w:rPr>
              <w:fldChar w:fldCharType="separate"/>
            </w:r>
            <w:r>
              <w:rPr>
                <w:noProof/>
                <w:webHidden/>
              </w:rPr>
              <w:t>46</w:t>
            </w:r>
            <w:r>
              <w:rPr>
                <w:noProof/>
                <w:webHidden/>
              </w:rPr>
              <w:fldChar w:fldCharType="end"/>
            </w:r>
          </w:hyperlink>
        </w:p>
        <w:p w:rsidR="000F5E33" w14:paraId="71E7B782" w14:textId="77777777">
          <w:pPr>
            <w:pStyle w:val="TOC1"/>
            <w:rPr>
              <w:rFonts w:asciiTheme="minorHAnsi" w:eastAsiaTheme="minorEastAsia" w:hAnsiTheme="minorHAnsi" w:cstheme="minorBidi"/>
              <w:noProof/>
              <w:kern w:val="2"/>
              <w:lang w:eastAsia="zh-CN"/>
            </w:rPr>
          </w:pPr>
          <w:hyperlink w:anchor="_Toc227311355" w:history="1">
            <w:r w:rsidRPr="009F0948">
              <w:rPr>
                <w:rStyle w:val="Hyperlink"/>
                <w:rFonts w:hint="eastAsia"/>
                <w:bCs/>
                <w:noProof/>
                <w:highlight w:val="white"/>
                <w:lang w:eastAsia="zh-CN"/>
              </w:rPr>
              <w:t>第二十二条</w:t>
            </w:r>
            <w:r w:rsidRPr="009F0948">
              <w:rPr>
                <w:rStyle w:val="Hyperlink"/>
                <w:bCs/>
                <w:noProof/>
                <w:highlight w:val="white"/>
                <w:lang w:eastAsia="zh-CN"/>
              </w:rPr>
              <w:t xml:space="preserve"> </w:t>
            </w:r>
            <w:r w:rsidRPr="009F0948">
              <w:rPr>
                <w:rStyle w:val="Hyperlink"/>
                <w:rFonts w:hint="eastAsia"/>
                <w:bCs/>
                <w:noProof/>
                <w:highlight w:val="white"/>
                <w:lang w:eastAsia="zh-CN"/>
              </w:rPr>
              <w:t>可分割性</w:t>
            </w:r>
            <w:r>
              <w:rPr>
                <w:noProof/>
                <w:webHidden/>
              </w:rPr>
              <w:tab/>
            </w:r>
            <w:r>
              <w:rPr>
                <w:noProof/>
                <w:webHidden/>
              </w:rPr>
              <w:fldChar w:fldCharType="begin"/>
            </w:r>
            <w:r>
              <w:rPr>
                <w:noProof/>
                <w:webHidden/>
              </w:rPr>
              <w:instrText xml:space="preserve"> PAGEREF _Toc227311355 \h </w:instrText>
            </w:r>
            <w:r>
              <w:rPr>
                <w:noProof/>
                <w:webHidden/>
              </w:rPr>
              <w:fldChar w:fldCharType="separate"/>
            </w:r>
            <w:r>
              <w:rPr>
                <w:noProof/>
                <w:webHidden/>
              </w:rPr>
              <w:t>46</w:t>
            </w:r>
            <w:r>
              <w:rPr>
                <w:noProof/>
                <w:webHidden/>
              </w:rPr>
              <w:fldChar w:fldCharType="end"/>
            </w:r>
          </w:hyperlink>
        </w:p>
        <w:p w:rsidR="004244A5" w14:paraId="39D3835C" w14:textId="067DD1E8">
          <w:r>
            <w:rPr>
              <w:b/>
              <w:bCs/>
              <w:lang w:val="zh-CN"/>
            </w:rPr>
            <w:fldChar w:fldCharType="end"/>
          </w:r>
        </w:p>
      </w:sdtContent>
    </w:sdt>
    <w:p w:rsidR="004244A5" w14:paraId="026338C4" w14:textId="77777777">
      <w:pPr>
        <w:spacing w:line="520" w:lineRule="atLeast"/>
      </w:pPr>
    </w:p>
    <w:p w:rsidR="004244A5" w14:paraId="33857099" w14:textId="77777777">
      <w:pPr>
        <w:spacing w:line="520" w:lineRule="atLeast"/>
      </w:pPr>
    </w:p>
    <w:p w:rsidR="004244A5" w14:paraId="213D7CAC" w14:textId="77777777">
      <w:pPr>
        <w:spacing w:line="520" w:lineRule="atLeast"/>
      </w:pPr>
    </w:p>
    <w:p w:rsidR="004244A5" w14:paraId="4EE489DB" w14:textId="77777777">
      <w:pPr>
        <w:spacing w:line="520" w:lineRule="atLeast"/>
      </w:pPr>
    </w:p>
    <w:p w:rsidR="004244A5" w14:paraId="30897951" w14:textId="77777777">
      <w:pPr>
        <w:spacing w:line="520" w:lineRule="atLeast"/>
      </w:pPr>
    </w:p>
    <w:p w:rsidR="004244A5" w14:paraId="24FFDB57" w14:textId="77777777">
      <w:pPr>
        <w:spacing w:line="520" w:lineRule="atLeast"/>
        <w:jc w:val="center"/>
        <w:rPr>
          <w:rFonts w:ascii="宋体" w:hAnsi="宋体" w:cs="Times New Roman"/>
          <w:b/>
          <w:sz w:val="28"/>
          <w:szCs w:val="28"/>
          <w:lang w:eastAsia="zh-CN"/>
        </w:rPr>
      </w:pPr>
      <w:r>
        <w:rPr>
          <w:rFonts w:ascii="宋体" w:hAnsi="宋体" w:cs="宋体"/>
          <w:highlight w:val="white"/>
        </w:rPr>
        <w:t> </w:t>
      </w:r>
      <w:r>
        <w:rPr>
          <w:rFonts w:ascii="宋体" w:hAnsi="宋体" w:cs="Times New Roman" w:hint="eastAsia"/>
          <w:b/>
          <w:sz w:val="28"/>
          <w:szCs w:val="28"/>
          <w:lang w:eastAsia="zh-CN"/>
        </w:rPr>
        <w:t>易方达如意安惠6个月持有期混合型基金中基金（FOF）</w:t>
      </w:r>
      <w:r>
        <w:rPr>
          <w:rFonts w:ascii="宋体" w:hAnsi="宋体" w:cs="Times New Roman" w:hint="eastAsia"/>
          <w:b/>
          <w:sz w:val="28"/>
          <w:szCs w:val="28"/>
          <w:highlight w:val="white"/>
          <w:lang w:eastAsia="zh-CN"/>
        </w:rPr>
        <w:t>托管协议</w:t>
      </w:r>
    </w:p>
    <w:p w:rsidR="004244A5" w14:paraId="068E53F4" w14:textId="77777777">
      <w:pPr>
        <w:spacing w:line="520" w:lineRule="atLeast"/>
        <w:rPr>
          <w:lang w:eastAsia="zh-CN"/>
        </w:rPr>
      </w:pPr>
    </w:p>
    <w:p w:rsidR="004244A5" w14:paraId="1D3765B9" w14:textId="77777777">
      <w:pPr>
        <w:spacing w:line="520" w:lineRule="atLeast"/>
        <w:rPr>
          <w:sz w:val="24"/>
          <w:szCs w:val="24"/>
          <w:lang w:eastAsia="zh-CN"/>
        </w:rPr>
      </w:pPr>
      <w:r>
        <w:rPr>
          <w:rFonts w:hint="eastAsia"/>
          <w:sz w:val="24"/>
          <w:szCs w:val="24"/>
          <w:highlight w:val="white"/>
          <w:lang w:eastAsia="zh-CN"/>
        </w:rPr>
        <w:t>基金管理人：易方达基金管理有限公司</w:t>
      </w:r>
    </w:p>
    <w:p w:rsidR="004244A5" w14:paraId="714638E1" w14:textId="77777777">
      <w:pPr>
        <w:spacing w:line="520" w:lineRule="atLeast"/>
        <w:rPr>
          <w:sz w:val="24"/>
          <w:szCs w:val="24"/>
          <w:lang w:eastAsia="zh-CN"/>
        </w:rPr>
      </w:pPr>
      <w:r>
        <w:rPr>
          <w:rFonts w:hint="eastAsia"/>
          <w:sz w:val="24"/>
          <w:szCs w:val="24"/>
          <w:highlight w:val="white"/>
          <w:lang w:eastAsia="zh-CN"/>
        </w:rPr>
        <w:t>法定代表人：吴欣荣</w:t>
      </w:r>
    </w:p>
    <w:p w:rsidR="004244A5" w14:paraId="2E01054D" w14:textId="77777777">
      <w:pPr>
        <w:spacing w:line="520" w:lineRule="atLeast"/>
        <w:rPr>
          <w:sz w:val="24"/>
          <w:szCs w:val="24"/>
          <w:lang w:eastAsia="zh-CN"/>
        </w:rPr>
      </w:pPr>
      <w:r>
        <w:rPr>
          <w:rFonts w:hint="eastAsia"/>
          <w:sz w:val="24"/>
          <w:szCs w:val="24"/>
          <w:highlight w:val="white"/>
          <w:lang w:eastAsia="zh-CN"/>
        </w:rPr>
        <w:t>住所：</w:t>
      </w:r>
      <w:r>
        <w:rPr>
          <w:rFonts w:hint="eastAsia"/>
          <w:sz w:val="24"/>
          <w:highlight w:val="white"/>
          <w:lang w:eastAsia="zh-CN"/>
        </w:rPr>
        <w:t>广东省珠海市横琴新区荣粤道</w:t>
      </w:r>
      <w:r>
        <w:rPr>
          <w:rFonts w:ascii="宋体" w:hAnsi="宋体" w:cs="宋体"/>
          <w:sz w:val="24"/>
          <w:highlight w:val="white"/>
          <w:lang w:eastAsia="zh-CN"/>
        </w:rPr>
        <w:t>188</w:t>
      </w:r>
      <w:r>
        <w:rPr>
          <w:rFonts w:hint="eastAsia"/>
          <w:sz w:val="24"/>
          <w:highlight w:val="white"/>
          <w:lang w:eastAsia="zh-CN"/>
        </w:rPr>
        <w:t>号</w:t>
      </w:r>
      <w:r>
        <w:rPr>
          <w:rFonts w:ascii="宋体" w:hAnsi="宋体" w:cs="宋体"/>
          <w:sz w:val="24"/>
          <w:highlight w:val="white"/>
          <w:lang w:eastAsia="zh-CN"/>
        </w:rPr>
        <w:t>6</w:t>
      </w:r>
      <w:r>
        <w:rPr>
          <w:rFonts w:hint="eastAsia"/>
          <w:sz w:val="24"/>
          <w:highlight w:val="white"/>
          <w:lang w:eastAsia="zh-CN"/>
        </w:rPr>
        <w:t>层</w:t>
      </w:r>
    </w:p>
    <w:p w:rsidR="004244A5" w14:paraId="783534A9" w14:textId="77777777">
      <w:pPr>
        <w:spacing w:line="520" w:lineRule="atLeast"/>
        <w:rPr>
          <w:sz w:val="24"/>
          <w:szCs w:val="24"/>
          <w:lang w:eastAsia="zh-CN"/>
        </w:rPr>
      </w:pPr>
    </w:p>
    <w:p w:rsidR="004244A5" w14:paraId="2C32217F" w14:textId="77777777">
      <w:pPr>
        <w:spacing w:line="520" w:lineRule="atLeast"/>
        <w:rPr>
          <w:sz w:val="24"/>
          <w:szCs w:val="24"/>
          <w:lang w:eastAsia="zh-CN"/>
        </w:rPr>
      </w:pPr>
      <w:r>
        <w:rPr>
          <w:rFonts w:hint="eastAsia"/>
          <w:sz w:val="24"/>
          <w:szCs w:val="24"/>
          <w:highlight w:val="white"/>
          <w:lang w:eastAsia="zh-CN"/>
        </w:rPr>
        <w:t>基金托管人：中信银行股份有限公司</w:t>
      </w:r>
      <w:r>
        <w:rPr>
          <w:rFonts w:ascii="宋体" w:hAnsi="宋体" w:cs="宋体" w:hint="eastAsia"/>
          <w:sz w:val="24"/>
          <w:szCs w:val="24"/>
          <w:highlight w:val="white"/>
          <w:lang w:eastAsia="zh-CN"/>
        </w:rPr>
        <w:t xml:space="preserve"> </w:t>
      </w:r>
    </w:p>
    <w:p w:rsidR="004244A5" w14:paraId="1A3BC068" w14:textId="77777777">
      <w:pPr>
        <w:spacing w:line="520" w:lineRule="atLeast"/>
        <w:rPr>
          <w:sz w:val="24"/>
          <w:szCs w:val="24"/>
          <w:lang w:eastAsia="zh-CN"/>
        </w:rPr>
      </w:pPr>
      <w:r>
        <w:rPr>
          <w:rFonts w:hint="eastAsia"/>
          <w:sz w:val="24"/>
          <w:szCs w:val="24"/>
          <w:highlight w:val="white"/>
          <w:lang w:eastAsia="zh-CN"/>
        </w:rPr>
        <w:t>法定代表人：方合英</w:t>
      </w:r>
    </w:p>
    <w:p w:rsidR="004244A5" w14:paraId="01512343" w14:textId="77777777">
      <w:pPr>
        <w:spacing w:line="520" w:lineRule="atLeast"/>
        <w:rPr>
          <w:sz w:val="24"/>
          <w:szCs w:val="24"/>
          <w:lang w:eastAsia="zh-CN"/>
        </w:rPr>
      </w:pPr>
      <w:r>
        <w:rPr>
          <w:rFonts w:hint="eastAsia"/>
          <w:sz w:val="24"/>
          <w:szCs w:val="24"/>
          <w:highlight w:val="white"/>
          <w:lang w:eastAsia="zh-CN"/>
        </w:rPr>
        <w:t>住</w:t>
      </w:r>
      <w:r>
        <w:rPr>
          <w:rFonts w:ascii="宋体" w:hAnsi="宋体" w:cs="宋体" w:hint="eastAsia"/>
          <w:sz w:val="24"/>
          <w:szCs w:val="24"/>
          <w:highlight w:val="white"/>
          <w:lang w:eastAsia="zh-CN"/>
        </w:rPr>
        <w:t xml:space="preserve">    </w:t>
      </w:r>
      <w:r>
        <w:rPr>
          <w:rFonts w:hint="eastAsia"/>
          <w:sz w:val="24"/>
          <w:szCs w:val="24"/>
          <w:highlight w:val="white"/>
          <w:lang w:eastAsia="zh-CN"/>
        </w:rPr>
        <w:t>所：北京市朝阳区光华路</w:t>
      </w:r>
      <w:r>
        <w:rPr>
          <w:rFonts w:ascii="宋体" w:hAnsi="宋体" w:cs="宋体" w:hint="eastAsia"/>
          <w:sz w:val="24"/>
          <w:szCs w:val="24"/>
          <w:highlight w:val="white"/>
          <w:lang w:eastAsia="zh-CN"/>
        </w:rPr>
        <w:t>10</w:t>
      </w:r>
      <w:r>
        <w:rPr>
          <w:rFonts w:hint="eastAsia"/>
          <w:sz w:val="24"/>
          <w:szCs w:val="24"/>
          <w:highlight w:val="white"/>
          <w:lang w:eastAsia="zh-CN"/>
        </w:rPr>
        <w:t>号院</w:t>
      </w:r>
      <w:r>
        <w:rPr>
          <w:rFonts w:ascii="宋体" w:hAnsi="宋体" w:cs="宋体" w:hint="eastAsia"/>
          <w:sz w:val="24"/>
          <w:szCs w:val="24"/>
          <w:highlight w:val="white"/>
          <w:lang w:eastAsia="zh-CN"/>
        </w:rPr>
        <w:t>1</w:t>
      </w:r>
      <w:r>
        <w:rPr>
          <w:rFonts w:hint="eastAsia"/>
          <w:sz w:val="24"/>
          <w:szCs w:val="24"/>
          <w:highlight w:val="white"/>
          <w:lang w:eastAsia="zh-CN"/>
        </w:rPr>
        <w:t>号楼</w:t>
      </w:r>
      <w:r>
        <w:rPr>
          <w:rFonts w:ascii="宋体" w:hAnsi="宋体" w:cs="宋体" w:hint="eastAsia"/>
          <w:sz w:val="24"/>
          <w:szCs w:val="24"/>
          <w:highlight w:val="white"/>
          <w:lang w:eastAsia="zh-CN"/>
        </w:rPr>
        <w:t xml:space="preserve"> 6-30 </w:t>
      </w:r>
      <w:r>
        <w:rPr>
          <w:rFonts w:hint="eastAsia"/>
          <w:sz w:val="24"/>
          <w:szCs w:val="24"/>
          <w:highlight w:val="white"/>
          <w:lang w:eastAsia="zh-CN"/>
        </w:rPr>
        <w:t>层、</w:t>
      </w:r>
      <w:r>
        <w:rPr>
          <w:rFonts w:ascii="宋体" w:hAnsi="宋体" w:cs="宋体" w:hint="eastAsia"/>
          <w:sz w:val="24"/>
          <w:szCs w:val="24"/>
          <w:highlight w:val="white"/>
          <w:lang w:eastAsia="zh-CN"/>
        </w:rPr>
        <w:t>32-42</w:t>
      </w:r>
      <w:r>
        <w:rPr>
          <w:rFonts w:hint="eastAsia"/>
          <w:sz w:val="24"/>
          <w:szCs w:val="24"/>
          <w:highlight w:val="white"/>
          <w:lang w:eastAsia="zh-CN"/>
        </w:rPr>
        <w:t>层</w:t>
      </w:r>
    </w:p>
    <w:p w:rsidR="004244A5" w14:paraId="20C26DC6" w14:textId="77777777">
      <w:pPr>
        <w:spacing w:line="520" w:lineRule="atLeast"/>
        <w:rPr>
          <w:sz w:val="24"/>
          <w:szCs w:val="24"/>
          <w:lang w:eastAsia="zh-CN"/>
        </w:rPr>
      </w:pPr>
    </w:p>
    <w:p w:rsidR="004244A5" w14:paraId="5DFA13C1" w14:textId="77777777">
      <w:pPr>
        <w:pStyle w:val="BodyTextIndent2"/>
        <w:spacing w:before="0" w:after="0" w:line="520" w:lineRule="atLeast"/>
        <w:ind w:left="0" w:firstLine="480" w:firstLineChars="200"/>
        <w:rPr>
          <w:rFonts w:hAnsi="宋体"/>
          <w:b/>
          <w:szCs w:val="24"/>
          <w:lang w:eastAsia="zh-CN"/>
        </w:rPr>
      </w:pPr>
      <w:r>
        <w:rPr>
          <w:rFonts w:hAnsi="宋体" w:hint="eastAsia"/>
          <w:b/>
          <w:szCs w:val="24"/>
          <w:highlight w:val="white"/>
          <w:lang w:eastAsia="zh-CN"/>
        </w:rPr>
        <w:t>鉴于：</w:t>
      </w:r>
    </w:p>
    <w:p w:rsidR="004244A5" w14:paraId="5DD4BBC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1．易方达基金管理有限公司系一家依照中国法律合法成立并有效存续的法人组织，按照相关法律法规的规定具备担任基金管理人的资格和能力；</w:t>
      </w:r>
    </w:p>
    <w:p w:rsidR="004244A5" w14:paraId="453394C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2.中信银行股份有限公司系一家依照中国法律合法成立并有效存续的银行，按照相关法律法规的规定具备担任基金托管人的资格和能力；</w:t>
      </w:r>
    </w:p>
    <w:p w:rsidR="004244A5" w14:paraId="66E09DC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3.易方达基金管理有限公司拟担任</w:t>
      </w:r>
      <w:r>
        <w:rPr>
          <w:rFonts w:hAnsi="宋体" w:hint="eastAsia"/>
          <w:szCs w:val="24"/>
          <w:lang w:eastAsia="zh-CN"/>
        </w:rPr>
        <w:t>易方达如意安惠6个月持有期混合型基金中基金（FOF）</w:t>
      </w:r>
      <w:r>
        <w:rPr>
          <w:rFonts w:hAnsi="宋体" w:hint="eastAsia"/>
          <w:szCs w:val="24"/>
          <w:highlight w:val="white"/>
          <w:lang w:eastAsia="zh-CN"/>
        </w:rPr>
        <w:t>的基金管理人，中信银行股份有限公司拟担任</w:t>
      </w:r>
      <w:r>
        <w:rPr>
          <w:rFonts w:hAnsi="宋体" w:hint="eastAsia"/>
          <w:szCs w:val="24"/>
          <w:lang w:eastAsia="zh-CN"/>
        </w:rPr>
        <w:t>易方达如意安惠6个月持有期混合型基金中基金（FOF）</w:t>
      </w:r>
      <w:r>
        <w:rPr>
          <w:rFonts w:hAnsi="宋体" w:hint="eastAsia"/>
          <w:szCs w:val="24"/>
          <w:highlight w:val="white"/>
          <w:lang w:eastAsia="zh-CN"/>
        </w:rPr>
        <w:t>的基金托管人；</w:t>
      </w:r>
    </w:p>
    <w:p w:rsidR="004244A5" w14:paraId="5212515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为明确双方在基金托管中的权利、义务及责任，确保基金财产的安全，保护基金份额持有人的合法权益，依据相关法律法规和监管规定，双方本着平等自愿、诚实守信的原则特签订本协议。</w:t>
      </w:r>
    </w:p>
    <w:p w:rsidR="004244A5" w14:paraId="23C7FD62" w14:textId="77777777">
      <w:pPr>
        <w:pStyle w:val="BodyTextIndent2"/>
        <w:spacing w:before="0" w:after="0" w:line="520" w:lineRule="atLeast"/>
        <w:ind w:left="0" w:firstLine="480" w:firstLineChars="200"/>
        <w:rPr>
          <w:rFonts w:hAnsi="宋体"/>
          <w:b/>
          <w:szCs w:val="24"/>
          <w:lang w:eastAsia="zh-CN"/>
        </w:rPr>
      </w:pPr>
      <w:r>
        <w:rPr>
          <w:rFonts w:hAnsi="宋体" w:hint="eastAsia"/>
          <w:b/>
          <w:szCs w:val="24"/>
          <w:highlight w:val="white"/>
          <w:lang w:eastAsia="zh-CN"/>
        </w:rPr>
        <w:t>释义：</w:t>
      </w:r>
    </w:p>
    <w:p w:rsidR="004244A5" w14:paraId="4A504C9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除非另有约定，《</w:t>
      </w:r>
      <w:r>
        <w:rPr>
          <w:rFonts w:hAnsi="宋体" w:hint="eastAsia"/>
          <w:szCs w:val="24"/>
          <w:lang w:eastAsia="zh-CN"/>
        </w:rPr>
        <w:t>易方达如意安惠6个月持有期混合型基金中基金（FOF）</w:t>
      </w:r>
      <w:r>
        <w:rPr>
          <w:rFonts w:hAnsi="宋体" w:hint="eastAsia"/>
          <w:szCs w:val="24"/>
          <w:highlight w:val="white"/>
          <w:lang w:eastAsia="zh-CN"/>
        </w:rPr>
        <w:t>基金合同》(以下简称“基金合同”)中定义的术语在用于本托管协议时应具有相同的含义；若有抵触，应以基金合同为准，并依其条款解释。</w:t>
      </w:r>
    </w:p>
    <w:p w:rsidR="004244A5" w14:paraId="05978C0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若本基金实施侧袋机制的，侧袋机制实施期间的相关安排按照基金合同的规定执行。</w:t>
      </w:r>
    </w:p>
    <w:p w:rsidR="004244A5" w14:paraId="21E3F1D0" w14:textId="77777777">
      <w:pPr>
        <w:spacing w:line="520" w:lineRule="atLeast"/>
        <w:rPr>
          <w:sz w:val="24"/>
          <w:szCs w:val="24"/>
          <w:lang w:eastAsia="zh-CN"/>
        </w:rPr>
      </w:pPr>
      <w:r>
        <w:rPr>
          <w:rFonts w:ascii="宋体" w:hAnsi="宋体" w:cs="宋体"/>
          <w:sz w:val="24"/>
          <w:szCs w:val="24"/>
          <w:highlight w:val="white"/>
          <w:lang w:eastAsia="zh-CN"/>
        </w:rPr>
        <w:t xml:space="preserve"> </w:t>
      </w:r>
    </w:p>
    <w:p w:rsidR="004244A5" w14:paraId="40C08969" w14:textId="77777777">
      <w:pPr>
        <w:pStyle w:val="Heading1"/>
        <w:snapToGrid/>
        <w:spacing w:line="520" w:lineRule="atLeast"/>
        <w:ind w:firstLine="480" w:firstLineChars="200"/>
        <w:rPr>
          <w:bCs/>
          <w:color w:val="auto"/>
          <w:szCs w:val="24"/>
          <w:lang w:eastAsia="zh-CN"/>
        </w:rPr>
      </w:pPr>
      <w:bookmarkStart w:id="1" w:name="_Toc227311334"/>
      <w:r>
        <w:rPr>
          <w:rFonts w:hint="eastAsia"/>
          <w:bCs/>
          <w:color w:val="auto"/>
          <w:szCs w:val="24"/>
          <w:highlight w:val="white"/>
          <w:lang w:eastAsia="zh-CN"/>
        </w:rPr>
        <w:t>第一条 本协议当事人</w:t>
      </w:r>
      <w:bookmarkEnd w:id="1"/>
    </w:p>
    <w:p w:rsidR="004244A5" w14:paraId="35645A9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1.1基金管理人：</w:t>
      </w:r>
    </w:p>
    <w:p w:rsidR="004244A5" w14:paraId="65F4E7D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名称：易方达基金管理有限公司</w:t>
      </w:r>
    </w:p>
    <w:p w:rsidR="004244A5" w14:paraId="7F6FF74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住所：广东省珠海市横琴新区荣粤道188号6层</w:t>
      </w:r>
    </w:p>
    <w:p w:rsidR="004244A5" w14:paraId="056E518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法定代表人：吴欣荣 </w:t>
      </w:r>
    </w:p>
    <w:p w:rsidR="004244A5" w14:paraId="7439C5A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设立日期：2001年4月17日</w:t>
      </w:r>
    </w:p>
    <w:p w:rsidR="004244A5" w14:paraId="6760D1A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批准设立机关及批准设立文号：中国证券监督管理委员会，证监基金字[2001]4号</w:t>
      </w:r>
    </w:p>
    <w:p w:rsidR="004244A5" w14:paraId="0857542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组织形式：有限责任公司</w:t>
      </w:r>
    </w:p>
    <w:p w:rsidR="004244A5" w14:paraId="1943176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注册资本：13,244.2万元人民币</w:t>
      </w:r>
    </w:p>
    <w:p w:rsidR="004244A5" w14:paraId="3DE5CB1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存续期限：持续经营</w:t>
      </w:r>
    </w:p>
    <w:p w:rsidR="004244A5" w14:paraId="33AC46A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联系电话：4008818088</w:t>
      </w:r>
    </w:p>
    <w:p w:rsidR="004244A5" w14:paraId="731F820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 1.2基金托管人：</w:t>
      </w:r>
    </w:p>
    <w:p w:rsidR="004244A5" w14:paraId="1ACD49E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名称：中信银行股份有限公司</w:t>
      </w:r>
    </w:p>
    <w:p w:rsidR="004244A5" w14:paraId="5099BFD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住所：北京市朝阳区光华路10号院1号楼 6-30 层、32-42层</w:t>
      </w:r>
    </w:p>
    <w:p w:rsidR="004244A5" w14:paraId="35629F6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法定代表人：方合英</w:t>
      </w:r>
    </w:p>
    <w:p w:rsidR="004244A5" w14:paraId="2389567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成立时间：1987年4月20日</w:t>
      </w:r>
    </w:p>
    <w:p w:rsidR="004244A5" w14:paraId="66C78B6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批准设立文号：中华人民共和国国务院办公厅国办函</w:t>
      </w:r>
      <w:r>
        <w:rPr>
          <w:rFonts w:hAnsi="宋体"/>
          <w:szCs w:val="24"/>
          <w:highlight w:val="white"/>
          <w:lang w:eastAsia="zh-CN"/>
        </w:rPr>
        <w:t>[1987]14</w:t>
      </w:r>
      <w:r>
        <w:rPr>
          <w:rFonts w:hAnsi="宋体" w:hint="eastAsia"/>
          <w:szCs w:val="24"/>
          <w:highlight w:val="white"/>
          <w:lang w:eastAsia="zh-CN"/>
        </w:rPr>
        <w:t>号</w:t>
      </w:r>
    </w:p>
    <w:p w:rsidR="004244A5" w14:paraId="103B6BF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基金托管业务批准文号：中国证监会证监基字</w:t>
      </w:r>
      <w:r>
        <w:rPr>
          <w:rFonts w:hAnsi="宋体"/>
          <w:szCs w:val="24"/>
          <w:highlight w:val="white"/>
          <w:lang w:eastAsia="zh-CN"/>
        </w:rPr>
        <w:t>[2004]125</w:t>
      </w:r>
      <w:r>
        <w:rPr>
          <w:rFonts w:hAnsi="宋体" w:hint="eastAsia"/>
          <w:szCs w:val="24"/>
          <w:highlight w:val="white"/>
          <w:lang w:eastAsia="zh-CN"/>
        </w:rPr>
        <w:t>号</w:t>
      </w:r>
    </w:p>
    <w:p w:rsidR="004244A5" w14:paraId="52A8FCF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组织形式：股份有限公司</w:t>
      </w:r>
    </w:p>
    <w:p w:rsidR="004244A5" w14:paraId="37FDE96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注册资本：489.35亿元人民币</w:t>
      </w:r>
    </w:p>
    <w:p w:rsidR="004244A5" w14:paraId="22EFBB1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存续期间：持续经营</w:t>
      </w:r>
    </w:p>
    <w:p w:rsidR="004244A5" w14:paraId="61E8E3FA" w14:textId="77777777">
      <w:pPr>
        <w:pStyle w:val="Heading1"/>
        <w:snapToGrid/>
        <w:spacing w:line="520" w:lineRule="atLeast"/>
        <w:ind w:firstLine="480" w:firstLineChars="200"/>
        <w:rPr>
          <w:bCs/>
          <w:color w:val="auto"/>
          <w:szCs w:val="24"/>
          <w:lang w:eastAsia="zh-CN"/>
        </w:rPr>
      </w:pPr>
      <w:bookmarkStart w:id="2" w:name="_Toc227311335"/>
      <w:r>
        <w:rPr>
          <w:rFonts w:hint="eastAsia"/>
          <w:bCs/>
          <w:color w:val="auto"/>
          <w:szCs w:val="24"/>
          <w:highlight w:val="white"/>
          <w:lang w:eastAsia="zh-CN"/>
        </w:rPr>
        <w:t>第二条 本协议的依据、目的和原则</w:t>
      </w:r>
      <w:bookmarkEnd w:id="2"/>
    </w:p>
    <w:p w:rsidR="004244A5" w14:paraId="3E7ED55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2.1本协议的依据</w:t>
      </w:r>
    </w:p>
    <w:p w:rsidR="004244A5" w14:paraId="22CC786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订立本协议的依据是《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w:t>
      </w:r>
      <w:r>
        <w:rPr>
          <w:highlight w:val="white"/>
          <w:lang w:eastAsia="zh-CN"/>
        </w:rPr>
        <w:t>、</w:t>
      </w:r>
      <w:r>
        <w:rPr>
          <w:rFonts w:hAnsi="宋体" w:hint="eastAsia"/>
          <w:szCs w:val="24"/>
          <w:highlight w:val="white"/>
          <w:lang w:eastAsia="zh-CN"/>
        </w:rPr>
        <w:t>《证券投资基金信息披露内容与格式准则第7号〈托管协议的内容与格式〉》、《</w:t>
      </w:r>
      <w:r>
        <w:rPr>
          <w:rFonts w:hAnsi="宋体" w:hint="eastAsia"/>
          <w:szCs w:val="24"/>
          <w:lang w:eastAsia="zh-CN"/>
        </w:rPr>
        <w:t>易方达如意安惠6个月持有期混合型基金中基金（FOF）</w:t>
      </w:r>
      <w:r>
        <w:rPr>
          <w:rFonts w:hAnsi="宋体" w:hint="eastAsia"/>
          <w:szCs w:val="24"/>
          <w:highlight w:val="white"/>
          <w:lang w:eastAsia="zh-CN"/>
        </w:rPr>
        <w:t>基金合同》（以下简称“基金合同”）及其他有关规定。</w:t>
      </w:r>
    </w:p>
    <w:p w:rsidR="004244A5" w14:paraId="1933C78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2.2本协议的目的</w:t>
      </w:r>
    </w:p>
    <w:p w:rsidR="004244A5" w14:paraId="727B7F0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订立本协议的目的是明确基金托管人与基金管理人之间在基金财产的保管、投资运作、净值计算、收益分配、基金份额持有人名册登记、信息披露及相互监督等有关事宜中的权利、义务及职责，确保基金财产的安全，保护基金份额持有人的合法权益。</w:t>
      </w:r>
    </w:p>
    <w:p w:rsidR="004244A5" w14:paraId="06C4433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2.3本协议的原则</w:t>
      </w:r>
    </w:p>
    <w:p w:rsidR="004244A5" w14:paraId="3252BC7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基金管理人和基金托管人本着平等自愿、诚实信用、充分保护基金份额持有人合法权益的原则，经协商一致，签订本协议。</w:t>
      </w:r>
    </w:p>
    <w:p w:rsidR="004244A5" w14:paraId="2B15F3C2" w14:textId="77777777">
      <w:pPr>
        <w:pStyle w:val="Heading1"/>
        <w:snapToGrid/>
        <w:spacing w:line="520" w:lineRule="atLeast"/>
        <w:ind w:firstLine="480" w:firstLineChars="200"/>
        <w:rPr>
          <w:bCs/>
          <w:color w:val="auto"/>
          <w:szCs w:val="24"/>
          <w:lang w:eastAsia="zh-CN"/>
        </w:rPr>
      </w:pPr>
      <w:bookmarkStart w:id="3" w:name="_Toc227311336"/>
      <w:r>
        <w:rPr>
          <w:rFonts w:hint="eastAsia"/>
          <w:bCs/>
          <w:color w:val="auto"/>
          <w:szCs w:val="24"/>
          <w:highlight w:val="white"/>
          <w:lang w:eastAsia="zh-CN"/>
        </w:rPr>
        <w:t>第三条 基金托管人对基金管理人的业务监督和核查</w:t>
      </w:r>
      <w:bookmarkEnd w:id="3"/>
    </w:p>
    <w:p w:rsidR="004244A5" w14:paraId="043525F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3.1基金托管人对基金管理人的投资行为行使监督权</w:t>
      </w:r>
    </w:p>
    <w:p w:rsidR="004244A5" w14:paraId="05FED31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3.1.1基金托管人根据有关法律法规的规定和基金合同的约定，对下述基金投资范围、投资对象进行监督。本基金将投资于以下金融工具：</w:t>
      </w:r>
    </w:p>
    <w:p w:rsidR="004244A5" w14:paraId="1BF603F0" w14:textId="77777777">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本基金的投资范围包括经中国证监会依法核准或注册的基金（含QDII基金及香港互认基金、公开募集基础设施证券投资基金（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4244A5" w14:paraId="4801C017" w14:textId="77777777">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如法律法规或监管机构以后允许基金投资其他品种，基金管理人在履行适当程序后，本基金可以将其纳入投资范围。</w:t>
      </w:r>
    </w:p>
    <w:p w:rsidR="004244A5" w14:paraId="06330B2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基金的投资组合比例为：</w:t>
      </w:r>
      <w:r>
        <w:rPr>
          <w:rFonts w:hint="eastAsia"/>
          <w:bCs/>
          <w:lang w:eastAsia="zh-CN"/>
        </w:rPr>
        <w:t>本基金投资于经中国证监会依法核准或注册基金的资产不低于基金资产的80%，权益类资产占基金资产的比例为5%—30%，投资于港股通股票的资产不超过股票资产的50%，投资于QDII基金、香港互认基金的资产合计不超过基金资产的20%，投资于商品基金（含商品期货基金和黄金ETF等）的资产合计不超过基金资产的10%；保持不低于基金资产净值5％的现金或者到期日在一年以内的政府债券，其中现金不包括结算备付金、存出保证金和应收申购款等。</w:t>
      </w:r>
      <w:r>
        <w:rPr>
          <w:rFonts w:hAnsi="宋体" w:hint="eastAsia"/>
          <w:szCs w:val="24"/>
          <w:highlight w:val="white"/>
          <w:lang w:eastAsia="zh-CN"/>
        </w:rPr>
        <w:t xml:space="preserve"> </w:t>
      </w:r>
    </w:p>
    <w:p w:rsidR="004244A5" w14:paraId="6F3F6DA5" w14:textId="77777777">
      <w:pPr>
        <w:pStyle w:val="BodyTextIndent2"/>
        <w:spacing w:before="0" w:after="0" w:line="520" w:lineRule="atLeast"/>
        <w:ind w:left="0" w:firstLine="480" w:firstLineChars="200"/>
        <w:rPr>
          <w:rFonts w:hAnsi="宋体"/>
          <w:szCs w:val="24"/>
          <w:lang w:eastAsia="zh-CN"/>
        </w:rPr>
      </w:pPr>
      <w:r>
        <w:rPr>
          <w:rFonts w:hint="eastAsia"/>
          <w:bCs/>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4244A5" w14:paraId="6F5E3FA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3.1.2基金托管人根据有关法律法规的规定及基金合同的约定对下述基金投融资比例进行监督：       </w:t>
      </w:r>
    </w:p>
    <w:p w:rsidR="004244A5" w14:paraId="0DBD25D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本基金投资于经中国证监会依法核准或注册基金的资产不低于基金资产的80%，权益类资产占基金资产的比例为5%—30%，投资于港股通股票的资产不超过股票资产的50%，投资于QDII基金、香港互认基金的资产合计不超过基金资产的20%，投资于商品基金（含商品期货基金和黄金ETF等）的资产合计不超过基金资产的10%；</w:t>
      </w:r>
    </w:p>
    <w:p w:rsidR="004244A5" w14:paraId="2C607A4D"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（2）本基金持有单只基金的市值，不高于本基金资产净值的20%，且不得持有其他基金中基金；</w:t>
      </w:r>
    </w:p>
    <w:p w:rsidR="004244A5" w14:paraId="0C40985E" w14:textId="699F3674">
      <w:pPr>
        <w:pStyle w:val="BodyTextIndent2"/>
        <w:spacing w:before="0" w:after="0" w:line="520" w:lineRule="atLeast"/>
        <w:ind w:left="0" w:firstLine="480" w:firstLineChars="200"/>
        <w:rPr>
          <w:lang w:eastAsia="zh-CN"/>
        </w:rPr>
      </w:pPr>
      <w:r>
        <w:rPr>
          <w:rFonts w:hAnsi="宋体" w:hint="eastAsia"/>
          <w:szCs w:val="24"/>
          <w:highlight w:val="white"/>
          <w:lang w:eastAsia="zh-CN"/>
        </w:rPr>
        <w:t>（3）本基金管理人管理</w:t>
      </w:r>
      <w:r w:rsidRPr="0071246F">
        <w:rPr>
          <w:rFonts w:hAnsi="宋体" w:hint="eastAsia"/>
          <w:szCs w:val="24"/>
          <w:lang w:eastAsia="zh-CN"/>
        </w:rPr>
        <w:t>且由本基金托管人托管</w:t>
      </w:r>
      <w:r>
        <w:rPr>
          <w:rFonts w:hAnsi="宋体" w:hint="eastAsia"/>
          <w:szCs w:val="24"/>
          <w:highlight w:val="white"/>
          <w:lang w:eastAsia="zh-CN"/>
        </w:rPr>
        <w:t>的全部基金中基金（ETF联接基金除外）持有单只基金不得超过被投资基金净资产的20%，被投资基金净资产规模以最近定期报告披露的规模为准；</w:t>
      </w:r>
    </w:p>
    <w:p w:rsidR="004244A5" w14:paraId="25221110"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（4）本基金投资于封闭运作基金、定期开放基金等流通受限基金的资产合计不得超过基金资产净值的10%；</w:t>
      </w:r>
    </w:p>
    <w:p w:rsidR="004244A5" w14:paraId="26F54E28"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（5）本基金所投资基金的运作期限不得少于1年、最近定期报告披露的基金净资产应当不低于1亿元；</w:t>
      </w:r>
    </w:p>
    <w:p w:rsidR="004244A5" w14:paraId="2BC428FA"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（6）本基金可投资于QDII基金及香港互认基金，不得持有具有复杂、衍生品性质的基金份额，包括分级基金和中国证监会认定的其他基金份额；</w:t>
      </w:r>
    </w:p>
    <w:p w:rsidR="004244A5" w14:paraId="1F64CD7F"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（7）保持不低于基金资产净值5％的现金或者到期日在一年以内的政府债券，其中现金不包括结算备付金、存出保证金和应收申购款等；</w:t>
      </w:r>
    </w:p>
    <w:p w:rsidR="004244A5" w14:paraId="792C5055"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（8）本基金持有一家公司发行的证券（同一家公司在内地和香港同时上市的A+H股合计计算），其市值不超过基金资产净值的10％；</w:t>
      </w:r>
    </w:p>
    <w:p w:rsidR="004244A5" w14:paraId="3412CCDC" w14:textId="1364FF80">
      <w:pPr>
        <w:pStyle w:val="BodyTextIndent2"/>
        <w:spacing w:before="0" w:after="0" w:line="520" w:lineRule="atLeast"/>
        <w:ind w:left="0" w:firstLine="480" w:firstLineChars="200"/>
        <w:rPr>
          <w:lang w:eastAsia="zh-CN"/>
        </w:rPr>
      </w:pPr>
      <w:r>
        <w:rPr>
          <w:rFonts w:hAnsi="宋体" w:hint="eastAsia"/>
          <w:szCs w:val="24"/>
          <w:highlight w:val="white"/>
          <w:lang w:eastAsia="zh-CN"/>
        </w:rPr>
        <w:t>（9）本基金管理人管理</w:t>
      </w:r>
      <w:r w:rsidRPr="0071246F">
        <w:rPr>
          <w:rFonts w:hAnsi="宋体" w:hint="eastAsia"/>
          <w:szCs w:val="24"/>
          <w:lang w:eastAsia="zh-CN"/>
        </w:rPr>
        <w:t>且由本基金托管人托管</w:t>
      </w:r>
      <w:r>
        <w:rPr>
          <w:rFonts w:hAnsi="宋体" w:hint="eastAsia"/>
          <w:szCs w:val="24"/>
          <w:highlight w:val="white"/>
          <w:lang w:eastAsia="zh-CN"/>
        </w:rPr>
        <w:t>的全部基金持有一家公司发行的证券（同一家公司在内地和香港同时上市的A+H股合计计算），不超过该证券的10％，完全按照有关指数的构成比例进行证券投资的基金品种可以不受此条款规定的比例限制；</w:t>
      </w:r>
    </w:p>
    <w:p w:rsidR="004244A5" w14:paraId="5049D0B0"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（10）本基金投资于同一原始权益人的各类资产支持证券的比例，不得超过基金资产净值的10％；</w:t>
      </w:r>
    </w:p>
    <w:p w:rsidR="004244A5" w14:paraId="3AD7D5B1"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（11）本基金持有的全部资产支持证券，其市值不得超过基金资产净值的20％；</w:t>
      </w:r>
    </w:p>
    <w:p w:rsidR="004244A5" w14:paraId="052DB468"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（12）本基金持有的同一(指同一信用级别)资产支持证券的比例，不得超过该资产支持证券规模的10％；</w:t>
      </w:r>
    </w:p>
    <w:p w:rsidR="004244A5" w14:paraId="456EA9BC" w14:textId="3D5A3DC9">
      <w:pPr>
        <w:pStyle w:val="BodyTextIndent2"/>
        <w:spacing w:before="0" w:after="0" w:line="520" w:lineRule="atLeast"/>
        <w:ind w:left="0" w:firstLine="480" w:firstLineChars="200"/>
        <w:rPr>
          <w:lang w:eastAsia="zh-CN"/>
        </w:rPr>
      </w:pPr>
      <w:r>
        <w:rPr>
          <w:rFonts w:hAnsi="宋体" w:hint="eastAsia"/>
          <w:szCs w:val="24"/>
          <w:highlight w:val="white"/>
          <w:lang w:eastAsia="zh-CN"/>
        </w:rPr>
        <w:t>（13）本基金管理人管理</w:t>
      </w:r>
      <w:r w:rsidRPr="0071246F">
        <w:rPr>
          <w:rFonts w:hAnsi="宋体" w:hint="eastAsia"/>
          <w:szCs w:val="24"/>
          <w:lang w:eastAsia="zh-CN"/>
        </w:rPr>
        <w:t>且由本基金托管人托管</w:t>
      </w:r>
      <w:r>
        <w:rPr>
          <w:rFonts w:hAnsi="宋体" w:hint="eastAsia"/>
          <w:szCs w:val="24"/>
          <w:highlight w:val="white"/>
          <w:lang w:eastAsia="zh-CN"/>
        </w:rPr>
        <w:t>的全部基金投资于同一原始权益人的各类资产支持证券，不得超过其各类资产支持证券合计规模的10％；</w:t>
      </w:r>
    </w:p>
    <w:p w:rsidR="004244A5" w14:paraId="417274BA"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4244A5" w14:paraId="5EF4DED5"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（15）基金财产参与股票发行申购，本基金所申报的金额不超过本基金的总资产，本基金所申报的股票数量不超过拟发行股票公司本次发行股票的总量；</w:t>
      </w:r>
    </w:p>
    <w:p w:rsidR="004244A5" w14:paraId="7315745B" w14:textId="2E8AF5A1">
      <w:pPr>
        <w:pStyle w:val="BodyTextIndent2"/>
        <w:spacing w:before="0" w:after="0" w:line="520" w:lineRule="atLeast"/>
        <w:ind w:left="0" w:firstLine="480" w:firstLineChars="200"/>
        <w:rPr>
          <w:lang w:eastAsia="zh-CN"/>
        </w:rPr>
      </w:pPr>
      <w:r>
        <w:rPr>
          <w:rFonts w:hAnsi="宋体" w:hint="eastAsia"/>
          <w:szCs w:val="24"/>
          <w:highlight w:val="white"/>
          <w:lang w:eastAsia="zh-CN"/>
        </w:rPr>
        <w:t>（16）本基金管理人管理</w:t>
      </w:r>
      <w:r w:rsidRPr="0071246F">
        <w:rPr>
          <w:rFonts w:hAnsi="宋体" w:hint="eastAsia"/>
          <w:szCs w:val="24"/>
          <w:lang w:eastAsia="zh-CN"/>
        </w:rPr>
        <w:t>且由本基金托管人托管</w:t>
      </w:r>
      <w:r>
        <w:rPr>
          <w:rFonts w:hAnsi="宋体" w:hint="eastAsia"/>
          <w:szCs w:val="24"/>
          <w:highlight w:val="white"/>
          <w:lang w:eastAsia="zh-CN"/>
        </w:rPr>
        <w:t>的全部开放式基金持有一家上市公司发行的可流通股票，不得超过该上市公司可流通股票的15%；本基金管理人管理</w:t>
      </w:r>
      <w:r w:rsidRPr="0071246F">
        <w:rPr>
          <w:rFonts w:hAnsi="宋体" w:hint="eastAsia"/>
          <w:szCs w:val="24"/>
          <w:lang w:eastAsia="zh-CN"/>
        </w:rPr>
        <w:t>且由本基金托管人托管</w:t>
      </w:r>
      <w:r>
        <w:rPr>
          <w:rFonts w:hAnsi="宋体" w:hint="eastAsia"/>
          <w:szCs w:val="24"/>
          <w:highlight w:val="white"/>
          <w:lang w:eastAsia="zh-CN"/>
        </w:rPr>
        <w:t>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4244A5" w14:paraId="191DC53E"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4244A5" w14:paraId="26248A81"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（18）本基金与私募类证券资管产品及中国证监会认定的其他主体为交易对手开展逆回购交易的，可接受质押品的资质要求应当与基金合同约定的投资范围保持一致；</w:t>
      </w:r>
    </w:p>
    <w:p w:rsidR="004244A5" w14:paraId="62E24C6E"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（19）本基金资产总值不超过基金资产净值的140%；</w:t>
      </w:r>
    </w:p>
    <w:p w:rsidR="004244A5" w14:paraId="1E9B0270"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（20）本基金投资于货币市场基金的资产不得超过基金资产的15%；</w:t>
      </w:r>
    </w:p>
    <w:p w:rsidR="004244A5" w14:paraId="3BB93A6F"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（21）基金管理人运用基金中基金财产投资于股票、债券等金融工具的，投资品种和比例应当符合基金中基金的投资目标和投资策略；</w:t>
      </w:r>
    </w:p>
    <w:p w:rsidR="004244A5" w14:paraId="4C03938F"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（22）本基金投资存托凭证的比例限制依照境内上市交易的股票执行，与境内上市交易的股票合并计算；</w:t>
      </w:r>
    </w:p>
    <w:p w:rsidR="004244A5" w14:paraId="4040A99E"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（23）法律法规及中国证监会规定的和《基金合同》约定的其他投资限制。</w:t>
      </w:r>
    </w:p>
    <w:p w:rsidR="004244A5" w14:paraId="0BB7F5FB"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因证券市场波动、证券发行人合并、基金规模变动等基金管理人之外的因素致使基金投资比例不符合上述（1）、（4）、（5）、（8）-（13）、（16）、（19）-（23）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4244A5" w14:paraId="2B646105" w14:textId="77777777">
      <w:pPr>
        <w:pStyle w:val="BodyTextIndent2"/>
        <w:spacing w:before="0" w:after="0" w:line="520" w:lineRule="atLeast"/>
        <w:ind w:left="0" w:firstLine="480" w:firstLineChars="200"/>
        <w:rPr>
          <w:lang w:eastAsia="zh-CN"/>
        </w:rPr>
      </w:pPr>
      <w:r>
        <w:rPr>
          <w:rFonts w:hAnsi="宋体" w:hint="eastAsia"/>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4244A5" w14:paraId="44EAD78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如法律法规或监管部门对上述投资组合比例限制进行变更的，以变更后的规定为准。法律法规或监管部门取消上述限制，则本基金投资不再受相关限制。</w:t>
      </w:r>
    </w:p>
    <w:p w:rsidR="004244A5" w14:paraId="005C3B2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3.1.3基金托管人根据有关法律法规的规定及基金合同的约定对下述基金投资禁止行为进行监督：</w:t>
      </w:r>
    </w:p>
    <w:p w:rsidR="004244A5" w14:paraId="6D56157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根据法律法规的规定及基金合同的约定，本基金禁止从事下列行为：</w:t>
      </w:r>
    </w:p>
    <w:p w:rsidR="004244A5" w14:paraId="1A826F5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（1）承销证券；</w:t>
      </w:r>
    </w:p>
    <w:p w:rsidR="004244A5" w14:paraId="18F54CA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（2）违反规定向他人贷款或者提供担保；</w:t>
      </w:r>
    </w:p>
    <w:p w:rsidR="004244A5" w14:paraId="158B189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（3）从事承担无限责任的投资；</w:t>
      </w:r>
    </w:p>
    <w:p w:rsidR="004244A5" w14:paraId="143AEB8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（4）向其基金管理人、基金托管人出资；</w:t>
      </w:r>
    </w:p>
    <w:p w:rsidR="004244A5" w14:paraId="3369E33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（5）从事内幕交易、操纵证券交易价格及其他不正当的证券交易活动；</w:t>
      </w:r>
    </w:p>
    <w:p w:rsidR="004244A5" w14:paraId="003DD08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（6）法律、行政法规和中国证监会规定禁止的其他活动。</w:t>
      </w:r>
    </w:p>
    <w:p w:rsidR="004244A5" w14:paraId="5E74A87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法律法规或监管部门取消或变更上述禁止性规定，本基金不受上述规定的限制或按变更后的规定执行。</w:t>
      </w:r>
    </w:p>
    <w:p w:rsidR="004244A5" w14:paraId="3C6F177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3.1.4基金托管人依据有关法律法规的规定和基金合同的约定对于基金关联投资限制进行监督：</w:t>
      </w:r>
    </w:p>
    <w:p w:rsidR="004244A5" w14:paraId="0CE4611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244A5" w14:paraId="306C701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本基金投资基金管理人及基金管理人关联方管理基金的情况，不属于前述重大关联交易，但是应当按照法律法规或监管规定的要求履行信息披露义务。</w:t>
      </w:r>
    </w:p>
    <w:p w:rsidR="004244A5" w14:paraId="4B13FA1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根据法律法规有关从事关联交易的规定，基金管理人和基金托管人应事先相互提供与本机构有控股关系的股东或与本机构有重大利害关系的公司名单及其更新，加盖公章并相互书面提交，并确保所提供名单的真实性、完整性、全面性。名单变更后基金管理人应及时发送基金托管人，基金托管人于2个工作日内进行回函确认已知名单的变更。名单变更时间以基金管理人收到基金托管人回函确认的时间为准。如果基金托管人在运作中严格遵循了监督流程，基金管理人仍违规进行交易，并造成基金资产损失的，由基金管理人承担责任，基金托管人不承担任何损失和责任。</w:t>
      </w:r>
    </w:p>
    <w:p w:rsidR="004244A5" w14:paraId="586D395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4244A5" w14:paraId="713E80C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3.1.5基金托管人依据有关法律法规的规定和基金合同的约定对基金管理人参与银行间债券市场进行监督：</w:t>
      </w:r>
    </w:p>
    <w:p w:rsidR="004244A5" w14:paraId="05DFEE0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（1）基金托管人对于基金管理人参与银行间债券市场交易时是否按交易对手名单进行交易进行监督。</w:t>
      </w:r>
    </w:p>
    <w:p w:rsidR="004244A5" w14:paraId="7ABC176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托管人向基金管理人发出回函之后，名单开始生效。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托管人发出回函之后，被确认调整的名单开始生效，新名单生效前已与本次剔除的交易对手所进行但尚未结算的交易，仍应按照双方原定协议进行结算。</w:t>
      </w:r>
    </w:p>
    <w:p w:rsidR="004244A5" w14:paraId="1CDAAA7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如果基金托管人发现基金管理人与不在名单内的银行间债券市场交易对手进行交易，应及时提醒基金管理人撤销交易，经提醒后基金管理人仍执行交易并造成基金资产损失的，基金托管人不承担责任。</w:t>
      </w:r>
    </w:p>
    <w:p w:rsidR="004244A5" w14:paraId="0BCADF1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（2）基金托管人对于基金管理人参与银行间债券市场交易的交易方式的控制</w:t>
      </w:r>
    </w:p>
    <w:p w:rsidR="004244A5" w14:paraId="00DC535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rsidR="004244A5" w14:paraId="1F76D58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（3）基金管理人有责任控制交易对手的资信风险。</w:t>
      </w:r>
    </w:p>
    <w:p w:rsidR="004244A5" w14:paraId="2CE96A9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w:t>
      </w:r>
    </w:p>
    <w:p w:rsidR="004244A5" w14:paraId="11ABE99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3.1.6基金托管人对基金投资流通受限证券的监督：</w:t>
      </w:r>
    </w:p>
    <w:p w:rsidR="004244A5" w14:paraId="0B2CC17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投资流通受限证券，应遵守有关法律法规规定。流通受限证券指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4244A5" w14:paraId="4F0713F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4244A5" w14:paraId="5D95B41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应至少于首次执行投资指令之前2个工作日将上述资料书面发至基金托管人，保证基金托管人有足够的时间进行审核。基金托管人应在收到上述资料后2个工作日内，以书面或其他双方认可的方式确认收到上述资料。</w:t>
      </w:r>
    </w:p>
    <w:p w:rsidR="004244A5" w14:paraId="532BF30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rsidR="004244A5" w14:paraId="5818729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因拒绝执行该指令造成基金财产损失的，基金托管人不承担任何责任，并有权报告中国证监会。</w:t>
      </w:r>
    </w:p>
    <w:p w:rsidR="004244A5" w14:paraId="3CF0290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rsidR="004244A5" w14:paraId="6461B64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3.1.7基金托管人对基金投资中期票据的监督：</w:t>
      </w:r>
    </w:p>
    <w:p w:rsidR="004244A5" w14:paraId="139B5E8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rsidR="004244A5" w14:paraId="4A85F72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（2）如未来有关监管部门发布的法律法规对证券投资基金投资中期票据另有规定的，从其规定。</w:t>
      </w:r>
    </w:p>
    <w:p w:rsidR="004244A5" w14:paraId="106736B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rsidR="004244A5" w14:paraId="62A9B52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3.1.8基金托管人根据有关法律法规的规定及基金合同的约定，对基金管理人选择存款银行进行监督：</w:t>
      </w:r>
    </w:p>
    <w:p w:rsidR="004244A5" w14:paraId="2397BAB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4244A5" w14:paraId="0EE2C9A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本基金投资银行存款应符合如下规定：</w:t>
      </w:r>
    </w:p>
    <w:p w:rsidR="004244A5" w14:paraId="2D5E2CC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（1）基金管理人、基金托管人应当与存款银行建立定期对账机制，确保基金银行存款业务账目及核算的真实、准确。</w:t>
      </w:r>
    </w:p>
    <w:p w:rsidR="004244A5" w14:paraId="10E9DCB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4244A5" w14:paraId="76C41D7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（3）基金托管人应对基金银行存款业务进行监督与核查，审查、复核相关协议、账户资料、投资指令、存款证实书等有关文件，履行托管职责。</w:t>
      </w:r>
    </w:p>
    <w:p w:rsidR="004244A5" w14:paraId="5CAB035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（4）基金管理人与基金托管人在开展基金存款业务时，应严格遵守《基金法》、《运作办法》等有关法律法规，以及国家有关账户管理、利率管理、支付结算等的各项规定。</w:t>
      </w:r>
    </w:p>
    <w:p w:rsidR="004244A5" w14:paraId="27AB375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3.2基金托管人对基金管理人业务进行监督和核查的有关措施：</w:t>
      </w:r>
    </w:p>
    <w:p w:rsidR="004244A5" w14:paraId="6E7689D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3.2.1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244A5" w14:paraId="54933F1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3.2.2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rsidR="004244A5" w14:paraId="2FE85FE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3.2.3在限期内，基金托管人有权随时对通知事项进行复查，督促基金管理人改正。基金管理人对基金托管人通知的违规事项未能在限期内纠正的，基金托管人应报告中国证监会。</w:t>
      </w:r>
    </w:p>
    <w:p w:rsidR="004244A5" w14:paraId="00B3CEC7" w14:textId="79E8E389">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3.2.4基金托管人发现基金管理人的投资指令违反</w:t>
      </w:r>
      <w:r w:rsidRPr="0071246F">
        <w:rPr>
          <w:rFonts w:hAnsi="宋体" w:hint="eastAsia"/>
          <w:szCs w:val="24"/>
          <w:lang w:eastAsia="zh-CN"/>
        </w:rPr>
        <w:t>相</w:t>
      </w:r>
      <w:r>
        <w:rPr>
          <w:rFonts w:hAnsi="宋体" w:hint="eastAsia"/>
          <w:szCs w:val="24"/>
          <w:highlight w:val="white"/>
          <w:lang w:eastAsia="zh-CN"/>
        </w:rPr>
        <w:t>关法律法规规定或者违反基金合同约定的，应当拒绝执行，立即通知基金管理人。</w:t>
      </w:r>
    </w:p>
    <w:p w:rsidR="004244A5" w14:paraId="0D10621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4244A5" w14:paraId="488EDB6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rsidR="004244A5" w14:paraId="2B82D5D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3.2.7基金托管人发现基金管理人有重大违规行为，应立即报告中国证监会，同时通知基金管理人限期纠正。</w:t>
      </w:r>
    </w:p>
    <w:p w:rsidR="004244A5" w14:paraId="55537BA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4244A5" w14:paraId="7EBC16A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3.2.9基金托管人对资金来源、投资收益及投资安全不承担审核责任，特别是对于本基金所投标的的后续资金使用情况无审核责任，不保证托管财产投资不受损失，不保证最低收益。</w:t>
      </w:r>
    </w:p>
    <w:p w:rsidR="004244A5" w14:paraId="10BED69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3.2.10基金管理人应遵守中华人民共和国反洗钱法律法规，不参与涉嫌洗钱、恐怖融资、扩散融资等违法犯罪活动；主动配合基金托管人客户身份识别与尽职调查，遵守基金托管人反洗钱与反恐怖融资相关管理规定。对具备合理理由怀疑涉嫌洗钱、恐怖融资的客户，基金托管人将按照中国人民银行反洗钱监管规定采取必要管控措施。</w:t>
      </w:r>
    </w:p>
    <w:p w:rsidR="004244A5" w14:paraId="043B66DB" w14:textId="77777777">
      <w:pPr>
        <w:pStyle w:val="Heading1"/>
        <w:snapToGrid/>
        <w:spacing w:line="520" w:lineRule="atLeast"/>
        <w:ind w:firstLine="480" w:firstLineChars="200"/>
        <w:rPr>
          <w:bCs/>
          <w:color w:val="auto"/>
          <w:szCs w:val="24"/>
          <w:lang w:eastAsia="zh-CN"/>
        </w:rPr>
      </w:pPr>
      <w:bookmarkStart w:id="4" w:name="_Toc227311337"/>
      <w:r>
        <w:rPr>
          <w:rFonts w:hint="eastAsia"/>
          <w:bCs/>
          <w:color w:val="auto"/>
          <w:szCs w:val="24"/>
          <w:highlight w:val="white"/>
          <w:lang w:eastAsia="zh-CN"/>
        </w:rPr>
        <w:t>第四条 基金管理人对基金托管人的业务核查</w:t>
      </w:r>
      <w:bookmarkEnd w:id="4"/>
    </w:p>
    <w:p w:rsidR="004244A5" w14:paraId="75E586A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4.1基金管理人对基金托管人履行托管职责情况进行核查，核查事项包括但不限于基金托管人安全保管基金财产、开设基金财产的资金账户和证券账户等投资所需的其他账户、复核基金管理人计算的基金资产净值和基金份额净值、根据基金管理人指令办理清算交收、相关信息披露和监督基金投资运作等行为。</w:t>
      </w:r>
    </w:p>
    <w:p w:rsidR="004244A5" w14:paraId="016C474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4.2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rsidR="004244A5" w14:paraId="31F7640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4.3基金管理人发现基金托管人有重大违规行为，应立即报告中国证监会和银行业监督管理机构，同时通知基金托管人限期纠正。</w:t>
      </w:r>
    </w:p>
    <w:p w:rsidR="004244A5" w14:paraId="7AC6513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4.4基金托管人应积极配合基金管理人的核查行为，包括但不限于：提交相关资料以供基金管理人核查托管财产的完整性和真实性，在规定时间内答复基金管理人并改正。</w:t>
      </w:r>
    </w:p>
    <w:p w:rsidR="004244A5" w14:paraId="25259D8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4244A5" w14:paraId="2F1A1D3D" w14:textId="77777777">
      <w:pPr>
        <w:pStyle w:val="Heading1"/>
        <w:snapToGrid/>
        <w:spacing w:line="520" w:lineRule="atLeast"/>
        <w:ind w:firstLine="480" w:firstLineChars="200"/>
        <w:rPr>
          <w:bCs/>
          <w:color w:val="auto"/>
          <w:szCs w:val="24"/>
          <w:lang w:eastAsia="zh-CN"/>
        </w:rPr>
      </w:pPr>
      <w:bookmarkStart w:id="5" w:name="_Toc227311338"/>
      <w:r>
        <w:rPr>
          <w:rFonts w:hint="eastAsia"/>
          <w:bCs/>
          <w:color w:val="auto"/>
          <w:szCs w:val="24"/>
          <w:highlight w:val="white"/>
          <w:lang w:eastAsia="zh-CN"/>
        </w:rPr>
        <w:t>第五条 基金财产保管</w:t>
      </w:r>
      <w:bookmarkEnd w:id="5"/>
    </w:p>
    <w:p w:rsidR="004244A5" w14:paraId="17E0800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5.1基金财产保管的原则</w:t>
      </w:r>
    </w:p>
    <w:p w:rsidR="004244A5" w14:paraId="1A9C88B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5.1.1基金财产应独立于基金管理人、基金托管人的固有财产。</w:t>
      </w:r>
    </w:p>
    <w:p w:rsidR="004244A5" w14:paraId="0235140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5.1.2基金托管人应安全保管基金财产。除依据法律法规规定、基金合同和本托管协议约定及基金管理人的正当指令外，不得自行运用、处分、分配基金的任何财产。</w:t>
      </w:r>
    </w:p>
    <w:p w:rsidR="004244A5" w14:paraId="494EBBB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5.1.3基金托管人按照规定开设基金财产的资金账户和证券账户等投资所需的其他账户。</w:t>
      </w:r>
    </w:p>
    <w:p w:rsidR="004244A5" w14:paraId="6C85486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5.1.4基金托管人对所托管的不同基金财产分别设置账户，与基金托管人的其他业务和其他基金的托管业务实行严格的分账管理，确保基金财产的完整与独立。</w:t>
      </w:r>
    </w:p>
    <w:p w:rsidR="004244A5" w14:paraId="5036B8B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5.1.5基金托管人根据基金管理人的指令，按照基金合同和本协议的约定保管基金财产，如有特殊情况双方可另行协商解决。</w:t>
      </w:r>
    </w:p>
    <w:p w:rsidR="004244A5" w14:paraId="5E58E12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5.1.6除依据法律法规和基金合同的规定外，基金托管人不得委托第三人托管基金资产。</w:t>
      </w:r>
    </w:p>
    <w:p w:rsidR="004244A5" w14:paraId="12C36AF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5.2募集资金的验资</w:t>
      </w:r>
    </w:p>
    <w:p w:rsidR="004244A5" w14:paraId="6DEC5E7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5.2.1基金募集期间募集的资金应开立“基金募集专户”。该账户由基金管理人开立并管理。</w:t>
      </w:r>
    </w:p>
    <w:p w:rsidR="004244A5" w14:paraId="1FF13DB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5.2.2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请符合《证券法》规定的会计师事务所进行验资，出具验资报告，出具的验资报告应由参加验资的2名以上（含2名）中国注册会计师签字有效。</w:t>
      </w:r>
    </w:p>
    <w:p w:rsidR="004244A5" w14:paraId="04DA908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5.2.3若基金募集期限届满，未能达到基金备案条件，由基金管理人按规定办理退款事宜。</w:t>
      </w:r>
    </w:p>
    <w:p w:rsidR="004244A5" w14:paraId="4FE7FB4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5.3基金的银行账户的开立和管理</w:t>
      </w:r>
    </w:p>
    <w:p w:rsidR="004244A5" w14:paraId="119F203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5.3.1基金托管人以本基金的名义在其营业机构开立基金的银行账户，并根据基金管理人合法合规的指令办理资金收付。本基金的银行预留印鉴由基金托管人刻制、保管和使用。</w:t>
      </w:r>
    </w:p>
    <w:p w:rsidR="004244A5" w14:paraId="20A3C6E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5.3.2基金银行账户的开立和使用，限于满足开展本基金业务的需要。基金托管人和基金管理人不得假借本基金的名义开立任何其他银行账户；亦不得使用基金的任何账户进行本基金业务以外的活动。</w:t>
      </w:r>
    </w:p>
    <w:p w:rsidR="004244A5" w14:paraId="46118AF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5.3.3基金银行账户的开立和管理应符合有关法律法规以及银行业监督管理机构的有关规定。</w:t>
      </w:r>
    </w:p>
    <w:p w:rsidR="004244A5" w14:paraId="2A0D0EC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5.4基金证券账户与证券交易资金账户的开设和管理</w:t>
      </w:r>
    </w:p>
    <w:p w:rsidR="004244A5" w14:paraId="51FCDB7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5.4.1基金托管人以基金托管人和本基金联名的方式在中国证券登记结算有限责任公司（以下简称“中登公司”）开设证券账户。</w:t>
      </w:r>
    </w:p>
    <w:p w:rsidR="004244A5" w14:paraId="6C7BF84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5.4.2基金托管人以基金托管人的名义在中登公司开立基金证券交易资金账户，用于证券清算。</w:t>
      </w:r>
    </w:p>
    <w:p w:rsidR="004244A5" w14:paraId="6AF1E29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5.4.3基金证券账户与证券交易资金账户的开立和使用，限于满足开展本基金业务的需要。基金托管人和基金管理人不得出借和未经对方同意擅自转让基金的任何证券账户或证券交易资金账户；亦不得使用基金的任何账户进行本基金业务以外的活动。</w:t>
      </w:r>
    </w:p>
    <w:p w:rsidR="004244A5" w14:paraId="5C8F7AD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5.4.4基金证券账户与证券交易资金账户相关证明文件的保管由基金托管人负责，账户资产的管理和运用由基金管理人负责。</w:t>
      </w:r>
    </w:p>
    <w:p w:rsidR="004244A5" w14:paraId="0769B52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5.5债券托管账户的开立和管理</w:t>
      </w:r>
    </w:p>
    <w:p w:rsidR="004244A5" w14:paraId="7D56469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rsidR="004244A5" w14:paraId="71E00BD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5.5.2基金管理人和基金托管人应一起负责为基金对外签订全国银行间国债市场回购主协议，正本由基金管理人保存。</w:t>
      </w:r>
    </w:p>
    <w:p w:rsidR="004244A5" w14:paraId="3B340FD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5.6其他账户的开设和管理</w:t>
      </w:r>
    </w:p>
    <w:p w:rsidR="004244A5" w14:paraId="5750EDB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244A5" w14:paraId="56BB94C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5.7基金财产投资的有关实物证券、银行定期存款存单等有价凭证的保管</w:t>
      </w:r>
    </w:p>
    <w:p w:rsidR="004244A5" w14:paraId="7547DC0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财产投资的有关实物证券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rsidR="004244A5" w14:paraId="60D0DFC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5.8与基金财产有关的重大合同的保管</w:t>
      </w:r>
    </w:p>
    <w:p w:rsidR="004244A5" w14:paraId="4826544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20年以上。对于无法取得二份以上的正本的，基金管理人应向基金托管人提供加盖授权业务章的合同传真件，未经双方协商或未在合同约定范围内，合同原件不得转移，由基金管理人保管。</w:t>
      </w:r>
    </w:p>
    <w:p w:rsidR="004244A5" w14:paraId="017BDFFE" w14:textId="77777777">
      <w:pPr>
        <w:pStyle w:val="Heading1"/>
        <w:snapToGrid/>
        <w:spacing w:line="520" w:lineRule="atLeast"/>
        <w:ind w:firstLine="480" w:firstLineChars="200"/>
        <w:rPr>
          <w:bCs/>
          <w:color w:val="auto"/>
          <w:szCs w:val="24"/>
          <w:lang w:eastAsia="zh-CN"/>
        </w:rPr>
      </w:pPr>
      <w:bookmarkStart w:id="6" w:name="_Toc227311339"/>
      <w:r>
        <w:rPr>
          <w:rFonts w:hint="eastAsia"/>
          <w:bCs/>
          <w:color w:val="auto"/>
          <w:szCs w:val="24"/>
          <w:highlight w:val="white"/>
          <w:lang w:eastAsia="zh-CN"/>
        </w:rPr>
        <w:t>第六条 指令的发送、确认和执行</w:t>
      </w:r>
      <w:bookmarkEnd w:id="6"/>
    </w:p>
    <w:p w:rsidR="004244A5" w14:paraId="084CCF9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6.1基金管理人对发送指令人员的书面授权</w:t>
      </w:r>
    </w:p>
    <w:p w:rsidR="004244A5" w14:paraId="05C4B62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应事先向基金托管人提供书面授权通知（以下称“授权通知”），指定有权发送指令的人员（以下称“被授权人”）名单、预留印鉴和被授权人签章样本，注明相应的交易权限，并规定基金管理人向基金托管人发送指令时基金托管人确认被授权人身份的方法。授权通知应加盖基金管理人公章。基金管理人应使用传真方式或其他基金托管人和基金管理人书面确认过的方式向基金托管人发出授权通知，同时电话通知基金托管人。基金托管人在收到授权通知当日与基金管理人确认。基金托管人与基金管理人确认之后，授权通知生效。如授权通知中载明的生效日期早于基金托管人与基金管理人确认的时间，则以基金托管人与基金管理人确认的时间为授权通知生效日期；如授权通知中载明的生效日期晚于基金托管人与基金管理人确认的时间，则以授权通知中载明的日期为授权通知生效日期。基金管理人在此后3个工作日内将授权通知的正本送交基金托管人。授权通知正本内容应与基金托管人收到的传真内容一致，若有不一致的，以基金托管人收到的传真为准。</w:t>
      </w:r>
    </w:p>
    <w:p w:rsidR="004244A5" w14:paraId="668D343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基金管理人和基金托管人对授权文件负有保密义务，其内容不得向被授权人及相关操作人员以外的任何人泄露，除本协议另有约定或法律法规另有规定或有权机关另有要求的除外。</w:t>
      </w:r>
    </w:p>
    <w:p w:rsidR="004244A5" w14:paraId="5219516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6.2指令的内容</w:t>
      </w:r>
    </w:p>
    <w:p w:rsidR="004244A5" w14:paraId="3055952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rsidR="004244A5" w14:paraId="5E4872E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6.3指令的发送、确认和执行的时间和程序</w:t>
      </w:r>
    </w:p>
    <w:p w:rsidR="004244A5" w14:paraId="1C6CF16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6.3.1指令由“授权通知”确定的被授权人代表基金管理人用传真的方式或其他基金托管人和基金管理人书面确认过的方式向基金托管人发送。基金管理人有义务在发送指令后及时与托管人进行确认，因基金管理人未能及时与基金托管人进行指令确认，致使资金未能及时到账所造成的损失，基金托管人不承担责任。基金托管人依照“授权通知”规定的方法确认指令有效后，方可执行指令。对于被授权人发出的指令，基金管理人不得否认其效力。基金托管人正确执行基金管理人发送的有效指令，基金份额持有人或基金财产发生损失的，基金托管人不承担责任。基金管理人应按照《基金法》、有关法律法规和基金合同的规定，在其合法的经营权限和交易权限内发送划款指令，被授权人应按照其授权权限发送划款指令。基金管理人在发送指令时，应为基金托管人留出【2】小时，作为执行指令所必需的时间。由基金管理人原因造成的指令传输不及时、未能留出足够划款所需时间，基金托管人不承担资金未能及时到账所造成的损失。</w:t>
      </w:r>
    </w:p>
    <w:p w:rsidR="004244A5" w14:paraId="1A76661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6.3.2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方带来的损失。但基金托管人未按协议约定尽形式审核义务执行指令而造成损失的情形除外。</w:t>
      </w:r>
    </w:p>
    <w:p w:rsidR="004244A5" w14:paraId="4B387B5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6.3.3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责任。</w:t>
      </w:r>
    </w:p>
    <w:p w:rsidR="004244A5" w14:paraId="50E0AEC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6.3.4基金托管人应指定专人接收基金管理人的指令，预先通知基金管理人其名单，并与基金管理人商定指令发送和接收方式。基金托管人收到基金管理人发送的指令后，应对指令进行表面形式审查，验证指令的要素是否齐全，传真指令仅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指令复核无误后应在规定期限内及时执行。指令若以传真方式发出，则正本由基金管理人保管，基金托管人保管指令传真件。当两者不一致时，以基金托管人收到的指令传真件为准。</w:t>
      </w:r>
    </w:p>
    <w:p w:rsidR="004244A5" w14:paraId="569D803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6.3.5基金管理人应确保基金托管人在执行指令时，基金银行账户有足够的资金余额，对基金管理人在没有充足资金的情况下向基金托管人发出的指令，基金托管人可不予执行，并立即通知基金管理人，基金托管人不承担因为不执行该指令而造成损失的责任。</w:t>
      </w:r>
    </w:p>
    <w:p w:rsidR="004244A5" w14:paraId="734C0D0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6.4基金管理人发送错误指令的情形和处理程序</w:t>
      </w:r>
    </w:p>
    <w:p w:rsidR="004244A5" w14:paraId="479D947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6.4.1基金管理人发送错误指令的情形包括指令违反相关法律法规或基金合同、指令发送人员无权或超越权限发送指令及交割信息错误，指令中重要信息模糊不清或不全等。</w:t>
      </w:r>
    </w:p>
    <w:p w:rsidR="004244A5" w14:paraId="0355BD6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6.4.2基金托管人在履行监督职能时，发现基金管理人的指令错误时，有权拒绝执行，并及时通知基金管理人改正。</w:t>
      </w:r>
    </w:p>
    <w:p w:rsidR="004244A5" w14:paraId="0B4FCAE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6.5基金托管人依照法律法规暂缓、拒绝执行指令的情形和处理程序</w:t>
      </w:r>
    </w:p>
    <w:p w:rsidR="004244A5" w14:paraId="0F28838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人发现基金管理人发送的指令违反《基金法》、基金合同、本协议或有关基金法规的有关规定，有权视情况暂缓执行或不予执行，并应及时以书面形式通知基金管理人纠正，基金托管人不承担任何损失和责任。对基金管理人更正并重新发送后的指令经基金托管人核对确认后方能执行。</w:t>
      </w:r>
    </w:p>
    <w:p w:rsidR="004244A5" w14:paraId="204B541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6.6基金托管人未按照基金管理人指令执行的处理方法</w:t>
      </w:r>
    </w:p>
    <w:p w:rsidR="004244A5" w14:paraId="04E60C7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人由于自身过错原因造成未按照或者未及时按照基金管理人发送的符合法律法规规定以及基金合同、本协议约定的指令执行，给基金份额持有人或基金财产造成损失的，应承担相应的责任，但如遇到不可抗力的情况除外。</w:t>
      </w:r>
    </w:p>
    <w:p w:rsidR="004244A5" w14:paraId="0877F7D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6.7更换被授权人的程序</w:t>
      </w:r>
    </w:p>
    <w:p w:rsidR="004244A5" w14:paraId="7D6C7E3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撤换被授权人员或改变被授权人员的权限，必须提前至少1个交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时开始生效。基金管理人在此后3个工作日内将被授权人变更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rsidR="004244A5" w14:paraId="46333F9A" w14:textId="77777777">
      <w:pPr>
        <w:pStyle w:val="Heading1"/>
        <w:snapToGrid/>
        <w:spacing w:line="520" w:lineRule="atLeast"/>
        <w:ind w:firstLine="480" w:firstLineChars="200"/>
        <w:rPr>
          <w:bCs/>
          <w:color w:val="auto"/>
          <w:szCs w:val="24"/>
          <w:lang w:eastAsia="zh-CN"/>
        </w:rPr>
      </w:pPr>
      <w:bookmarkStart w:id="7" w:name="_Toc227311340"/>
      <w:r>
        <w:rPr>
          <w:rFonts w:hint="eastAsia"/>
          <w:bCs/>
          <w:color w:val="auto"/>
          <w:szCs w:val="24"/>
          <w:highlight w:val="white"/>
          <w:lang w:eastAsia="zh-CN"/>
        </w:rPr>
        <w:t>第七条 交易及清算交收安排</w:t>
      </w:r>
      <w:bookmarkEnd w:id="7"/>
      <w:r>
        <w:rPr>
          <w:rFonts w:hint="eastAsia"/>
          <w:bCs/>
          <w:color w:val="auto"/>
          <w:szCs w:val="24"/>
          <w:highlight w:val="white"/>
          <w:lang w:eastAsia="zh-CN"/>
        </w:rPr>
        <w:t xml:space="preserve"> </w:t>
      </w:r>
    </w:p>
    <w:p w:rsidR="004244A5" w14:paraId="371BCA3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7.1选择代理证券买卖的证券经营机构</w:t>
      </w:r>
    </w:p>
    <w:p w:rsidR="004244A5" w14:paraId="40288C1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7.1.1基金管理人应制定选择代理证券买卖的证券经营机构的标准和程序。基金管理人负责选择代理本基金证券买卖的证券经营机构，使用其交易单元作为基金的专用交易单元。基金管理人和被选中的证券经营机构签订交易单元租用协议，由基金管理人提前通知基金托管人，并在法定信息披露公告中披露有关内容。交易单元保证金由被选中的证券经营机构支付。</w:t>
      </w:r>
    </w:p>
    <w:p w:rsidR="004244A5" w14:paraId="6E92794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7.1.2基金管理人应及时将基金专用交易单元号、佣金费率等基本信息以及变更情况以书面形式通知基金托管人。</w:t>
      </w:r>
    </w:p>
    <w:p w:rsidR="004244A5" w14:paraId="0444C5B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7.2清算与交割</w:t>
      </w:r>
    </w:p>
    <w:p w:rsidR="004244A5" w14:paraId="5D60995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7.2.1基金投资证券后的清算交收安排</w:t>
      </w:r>
    </w:p>
    <w:p w:rsidR="004244A5" w14:paraId="5DE6DB5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基金管理人与基金托管人应根据有关法律法规及相关业务规则，签订《证券交易资金结算协议》，用以具体明确基金管理人与基金托管人在证券交易资金结算业务中的责任。</w:t>
      </w:r>
    </w:p>
    <w:p w:rsidR="004244A5" w14:paraId="7C78AE4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对基金管理人的资金划拨指令，基金托管人在复核无误后应在规定期限内执行并在执行完毕后回函确认，不得无故延误。</w:t>
      </w:r>
    </w:p>
    <w:p w:rsidR="004244A5" w14:paraId="3CC2E3A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本基金投资于证券发生的所有场内、场外交易的资金清算交割，全部由基金托管人负责办理。</w:t>
      </w:r>
    </w:p>
    <w:p w:rsidR="004244A5" w14:paraId="1BA4ACA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本基金证券投资的清算交割，由基金托管人通过中登公司及清算代理银行办理。</w:t>
      </w:r>
    </w:p>
    <w:p w:rsidR="004244A5" w14:paraId="177F54F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交易及清算交收安排中管理人应为托管人预留2个小时的指令处理时间，当日15:00之后收到的指令，托管人尽力负责但不承诺指令支付成功。如果因基金托管人过错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解决，由此给基金造成的损失由基金管理人承担。</w:t>
      </w:r>
    </w:p>
    <w:p w:rsidR="004244A5" w14:paraId="0AEC1FB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7.2.2基金出现超买或超卖的责任认定及处理程序</w:t>
      </w:r>
    </w:p>
    <w:p w:rsidR="004244A5" w14:paraId="1F8A677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基金托管人在履行监督职能时，如果发现基金投资证券过程中出现超买或超卖现象，应立即提醒基金管理人，由基金管理人负责解决，由此给基金造成的损失由基金管理人承担。</w:t>
      </w:r>
    </w:p>
    <w:p w:rsidR="004244A5" w14:paraId="1BB0C10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7.2.3基金无法按时支付证券清算款的责任认定及处理程序</w:t>
      </w:r>
    </w:p>
    <w:p w:rsidR="004244A5" w14:paraId="66E9561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应确保基金托管人在执行基金管理人发送的指令时，有足够的头寸进行交收。基金的资金头寸不足时，基金托管人有权拒绝基金管理人发送的划款指令。基金管理人在发送划款指令时应充分考虑基金托管人的划款处理所需的合理时间。如由于基金管理人的原因导致无法按时支付证券清算款，由此给基金造成的损失由基金管理人承担。</w:t>
      </w:r>
    </w:p>
    <w:p w:rsidR="004244A5" w14:paraId="2097E36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在基金资金头寸充足的情况下，基金托管人对基金管理人符合法律法规、基金合同、本托管协议的指令不得拖延或拒绝执行。如由于基金托管人的过错原因导致基金无法按时支付证券清算款，由此给基金造成的损失由基金托管人承担。</w:t>
      </w:r>
    </w:p>
    <w:p w:rsidR="004244A5" w14:paraId="7DFBD1B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7.2.4场外交易资金结算</w:t>
      </w:r>
    </w:p>
    <w:p w:rsidR="004244A5" w14:paraId="40A9378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场外资金对外投资划款由基金托管人凭基金管理人符合本托管协议约定的有效资金划拨指令和相关投资合同（如有）进行资金划拨；场外投资本金及收益的划回，由管理人负责协调相关资金划拨回产品托管户事宜。</w:t>
      </w:r>
    </w:p>
    <w:p w:rsidR="004244A5" w14:paraId="36C39B4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7.3资金、证券账目及交易记录的核对</w:t>
      </w:r>
    </w:p>
    <w:p w:rsidR="004244A5" w14:paraId="09296C0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7.3.1基金管理人与基金托管人按日进行交易记录的核对。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rsidR="004244A5" w14:paraId="1521417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7.3.2对基金的资金账目，由相关各方每日对账一次，确保相关各方账账相符。对基金证券账目，由相关各方每日进行对账。对实物券账目，每月月末由相关各方进行账实核对。对交易记录，由相关各方每日对账一次。</w:t>
      </w:r>
    </w:p>
    <w:p w:rsidR="004244A5" w14:paraId="37D89F8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7.4申购、赎回、转换开放式基金的资金清算、数据传递及基金管理人、基金托管人的责任</w:t>
      </w:r>
    </w:p>
    <w:p w:rsidR="004244A5" w14:paraId="0C6C2A0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7.4.1基金管理人和基金托管人在基金的申购赎回、转换中的责任</w:t>
      </w:r>
    </w:p>
    <w:p w:rsidR="004244A5" w14:paraId="2C95F6D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投资人可通过基金管理人的直销中心和销售机构的代销网点进行申购和赎回申请，基金份额申购、赎回的确认、清算由基金管理人或其委托的登记机构负责。基金托管人负责接收并确认资金的到账情况，以及依照基金管理人的投资指令划付赎回款项。</w:t>
      </w:r>
    </w:p>
    <w:p w:rsidR="004244A5" w14:paraId="102A44F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7.4.2基金的数据传递</w:t>
      </w:r>
    </w:p>
    <w:p w:rsidR="004244A5" w14:paraId="40A52C9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基金管理人应保证本基金（或本基金管理人委托）的登记机构于每个开放日17：00之前将本基金的申购、赎回、转换的数据传送给基金托管人。基金管理人应对传递的数据的真实性、准确性和完整性负责。</w:t>
      </w:r>
    </w:p>
    <w:p w:rsidR="004244A5" w14:paraId="1BACB42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登记机构应通过与基金管理人建立的系统发送有关数据，如因各种原因，该系统无法正常发送，双方可协商解决处理方式。</w:t>
      </w:r>
    </w:p>
    <w:p w:rsidR="004244A5" w14:paraId="4B87724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7.4.3基金的资金清算</w:t>
      </w:r>
    </w:p>
    <w:p w:rsidR="004244A5" w14:paraId="263856F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基金托管专户与“基金清算账户”间的资金结算遵循“全额清算、净额交收”的原则，每日按照托管专户应收资金与应付资金的差额来确定托管专户净应收额或净应付额，以此确定资金交收额。</w:t>
      </w:r>
    </w:p>
    <w:p w:rsidR="004244A5" w14:paraId="5A6D835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果当日基金为净应收款，基金托管人应及时查收资金是否到账，对于未准时到账的资金，基金托管人应及时通知基金管理人划付。如果当日基金为净应付款，基金托管人应根据基金管理人的指令及时划付，对于未准时划付的资金，基金管理人应及时通知基金托管人划付。因基金托管专户没有足够的资金，导致基金托管人不能按时拨付，基金托管人应及时通知基金管理人。</w:t>
      </w:r>
    </w:p>
    <w:p w:rsidR="004244A5" w14:paraId="3654AE98" w14:textId="77777777">
      <w:pPr>
        <w:pStyle w:val="Heading1"/>
        <w:snapToGrid/>
        <w:spacing w:line="520" w:lineRule="atLeast"/>
        <w:ind w:firstLine="480" w:firstLineChars="200"/>
        <w:rPr>
          <w:bCs/>
          <w:color w:val="auto"/>
          <w:szCs w:val="24"/>
          <w:lang w:eastAsia="zh-CN"/>
        </w:rPr>
      </w:pPr>
      <w:bookmarkStart w:id="8" w:name="_Toc227311341"/>
      <w:r>
        <w:rPr>
          <w:rFonts w:hint="eastAsia"/>
          <w:bCs/>
          <w:color w:val="auto"/>
          <w:szCs w:val="24"/>
          <w:highlight w:val="white"/>
          <w:lang w:eastAsia="zh-CN"/>
        </w:rPr>
        <w:t>第八条 基金净值计算和会计核算</w:t>
      </w:r>
      <w:bookmarkEnd w:id="8"/>
    </w:p>
    <w:p w:rsidR="004244A5" w14:paraId="69BADF1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8.1基金净值的计算、复核的时间和程序</w:t>
      </w:r>
    </w:p>
    <w:p w:rsidR="004244A5" w14:paraId="410CBE4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8.1.1基金净值包括基金资产净值、基金份额净值。基金资产净值是指基金资产总值减去负债后的净资产值。基金份额净值是按照每个估值日闭市后，基金资产净值除以当日基金份额的余额数量计算。基金份额净值的计算保留到小数点后4位，小数点后第5位四舍五入。基金管理人可以设立大额赎回情形下的净值精度应急调整机制。国家另有规定或基金合同另有约定的，从其规定。</w:t>
      </w:r>
    </w:p>
    <w:p w:rsidR="004244A5" w14:paraId="20ECBCF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8.1.2基金管理人应每个估值日后的两个工作日内对该估值日的基金资产进行估值，但基金管理人根据法律法规或基金合同的规定暂停估值时除外。估值原则应符合基金合同、《证券投资基金会计核算业务指引》及其他法律、法规的规定。用于基金信息披露的基金资产净值、基金份额净值和基金份额累计净值由基金管理人负责计算，基金托管人复核。基金管理人应于每个估值日</w:t>
      </w:r>
      <w:r>
        <w:rPr>
          <w:rFonts w:hAnsi="宋体" w:cs="宋体"/>
          <w:color w:val="000000"/>
          <w:highlight w:val="white"/>
          <w:lang w:eastAsia="zh-CN"/>
        </w:rPr>
        <w:t>后的两个工作日内</w:t>
      </w:r>
      <w:r>
        <w:rPr>
          <w:rFonts w:hAnsi="宋体" w:hint="eastAsia"/>
          <w:szCs w:val="24"/>
          <w:highlight w:val="white"/>
          <w:lang w:eastAsia="zh-CN"/>
        </w:rPr>
        <w:t>计算该估值日的基金净值并以双方认可的方式发送给基金托管人。基金托管人对净值计算结果复核后以双方认可的方式发送给基金管理人，由基金管理人按规定对外公布。基金托管人发现基金份额净值计价出现错误的，应当提示基金管理人立即纠正，并采取合理措施防止损失进一步扩大。基金托管人发现基金份额净值计价出现重大错误或者估值出现重大偏离的，应当提示基金管理人依法履行披露和报告义务。</w:t>
      </w:r>
    </w:p>
    <w:p w:rsidR="004244A5" w14:paraId="3519AC9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8.1.3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w:t>
      </w:r>
    </w:p>
    <w:p w:rsidR="004244A5" w14:paraId="34FEEF6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8.2基金资产估值方法</w:t>
      </w:r>
    </w:p>
    <w:p w:rsidR="004244A5" w14:paraId="333408E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8.2.1估值对象</w:t>
      </w:r>
    </w:p>
    <w:p w:rsidR="004244A5" w14:paraId="6E45893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基金所拥有的证券投资基金、股票、债券和银行存款本息、应收款项、其它投资等资产及负债。</w:t>
      </w:r>
    </w:p>
    <w:p w:rsidR="004244A5" w14:paraId="7CAEB96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8.2.2估值方法   </w:t>
      </w:r>
    </w:p>
    <w:p w:rsidR="004244A5" w14:paraId="560BB94D" w14:textId="166BA7D1">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sidR="00A3270D">
        <w:rPr>
          <w:rFonts w:hAnsi="宋体" w:hint="eastAsia"/>
          <w:szCs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244A5" w14:paraId="1AD095D1" w14:textId="30F9AD78">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w:t>
      </w:r>
      <w:r w:rsidR="00A3270D">
        <w:rPr>
          <w:rFonts w:hAnsi="宋体" w:hint="eastAsia"/>
          <w:szCs w:val="24"/>
          <w:highlight w:val="white"/>
          <w:lang w:eastAsia="zh-CN"/>
        </w:rPr>
        <w:t>处于未上市期间的有价证券应区分如下情况处理：</w:t>
      </w:r>
    </w:p>
    <w:p w:rsidR="004244A5" w14:paraId="4F103A68" w14:textId="7580ADAE">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1）送股、转增股、配股和公开增发的新股，按估值日在证券交易所挂牌的同一股票的估值方法估值；该日无交易的，以最近一日的市价（收盘价）估值；</w:t>
      </w:r>
    </w:p>
    <w:p w:rsidR="004244A5" w14:paraId="3C9D8C8F" w14:textId="6493EB4A">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2）首次公开发行未上市的股票，采用估值技术确定公允价值；</w:t>
      </w:r>
    </w:p>
    <w:p w:rsidR="004244A5" w14:paraId="03262F8E" w14:textId="19B6521F">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4244A5" w14:paraId="6AFB19C0" w14:textId="7FA8F6A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w:t>
      </w:r>
      <w:r w:rsidR="00A3270D">
        <w:rPr>
          <w:rFonts w:hAnsi="宋体" w:hint="eastAsia"/>
          <w:szCs w:val="24"/>
          <w:highlight w:val="white"/>
          <w:lang w:eastAsia="zh-CN"/>
        </w:rPr>
        <w:t>对于已上市或已挂牌转让的不含权固定收益品种，选取估值日第三方估值基准服务机构提供的相应品种当日的估值全价进行估值。</w:t>
      </w:r>
    </w:p>
    <w:p w:rsidR="004244A5" w14:paraId="3E17B950" w14:textId="77F9D69E">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w:t>
      </w:r>
      <w:r w:rsidR="00A3270D">
        <w:rPr>
          <w:rFonts w:hAnsi="宋体" w:hint="eastAsia"/>
          <w:szCs w:val="24"/>
          <w:highlight w:val="white"/>
          <w:lang w:eastAsia="zh-CN"/>
        </w:rPr>
        <w:t>对于已上市或已挂牌转让的含权固定收益品种，选取估值日第三方估值基准服务机构提供的相应品种当日的唯一估值全价或推荐估值全价进行估值。</w:t>
      </w:r>
    </w:p>
    <w:p w:rsidR="004244A5" w14:paraId="2F2D057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4244A5" w14:paraId="6D3739B6" w14:textId="35D38CBB">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w:t>
      </w:r>
      <w:r w:rsidR="00A3270D">
        <w:rPr>
          <w:rFonts w:hAnsi="宋体" w:hint="eastAsia"/>
          <w:szCs w:val="24"/>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4244A5" w14:paraId="7AADDDA5" w14:textId="6CF4AABB">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w:t>
      </w:r>
      <w:r w:rsidR="00A3270D">
        <w:rPr>
          <w:rFonts w:hAnsi="宋体" w:hint="eastAsia"/>
          <w:szCs w:val="24"/>
          <w:highlight w:val="white"/>
          <w:lang w:eastAsia="zh-CN"/>
        </w:rPr>
        <w:t>对于未上市或未挂牌转让且不存在活跃市场的固定收益品种，采用在当前情况下适用并且有足够可利用数据和其他信息支持的估值技术确定其公允价值。</w:t>
      </w:r>
    </w:p>
    <w:p w:rsidR="004244A5" w14:paraId="7B1CFDBF" w14:textId="1392973A">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w:t>
      </w:r>
      <w:r w:rsidR="00A3270D">
        <w:rPr>
          <w:rFonts w:hAnsi="宋体" w:hint="eastAsia"/>
          <w:szCs w:val="24"/>
          <w:highlight w:val="white"/>
          <w:lang w:eastAsia="zh-CN"/>
        </w:rPr>
        <w:t>对于交易所上市的ETF基金、境内上市定期开放式基金、封闭式基金，按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当基金管理人认为所投资基金按上述条款进行估值存在不公允时，应与托管人协商一致采用合理的估值技术或估值标准确定其公允价值；</w:t>
      </w:r>
    </w:p>
    <w:p w:rsidR="004244A5" w14:paraId="223F7D80" w14:textId="5F72599C">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w:t>
      </w:r>
      <w:r w:rsidR="00A3270D">
        <w:rPr>
          <w:rFonts w:hAnsi="宋体" w:hint="eastAsia"/>
          <w:szCs w:val="24"/>
          <w:highlight w:val="white"/>
          <w:lang w:eastAsia="zh-CN"/>
        </w:rPr>
        <w:t>对于交易所上市的境内上市开放式基金（LOF），按估值日的份额净值估值；境内上市交易型货币市场基金，如披露份额净值，则按估值日的份额净值估值；如披露万份（百份）收益，则按前一估值日后至估值日期间（含节假日）的万份（百份）收益计提估值日基金收益；以基金份额净值估值的，若与本基金估值频率一致但未公布估值日基金份额净值，按其最近公布的基金份额净值为基础估值。</w:t>
      </w:r>
    </w:p>
    <w:p w:rsidR="004244A5" w14:paraId="78BE6DBD" w14:textId="1C7C199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w:t>
      </w:r>
      <w:r w:rsidR="00A3270D">
        <w:rPr>
          <w:rFonts w:hAnsi="宋体" w:hint="eastAsia"/>
          <w:szCs w:val="24"/>
          <w:highlight w:val="white"/>
          <w:lang w:eastAsia="zh-CN"/>
        </w:rPr>
        <w:t>非上市基金的估值：境内非货币市场基金，按估值日的份额净值估值；若与本基金估值频率一致但未公布估值日基金份额净值，按其最近公布的基金份额净值为基础估值。境内货币市场基金，按前一估值日后至估值日期间（含节假日）的万份收益计提估值日基金收益。</w:t>
      </w:r>
    </w:p>
    <w:p w:rsidR="004244A5" w14:paraId="3C84EE7C" w14:textId="5AF2150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Pr>
          <w:rFonts w:hAnsi="宋体"/>
          <w:szCs w:val="24"/>
          <w:highlight w:val="white"/>
          <w:lang w:eastAsia="zh-CN"/>
        </w:rPr>
        <w:t>0</w:t>
      </w:r>
      <w:r>
        <w:rPr>
          <w:rFonts w:hAnsi="宋体" w:hint="eastAsia"/>
          <w:szCs w:val="24"/>
          <w:highlight w:val="white"/>
          <w:lang w:eastAsia="zh-CN"/>
        </w:rPr>
        <w:t>）</w:t>
      </w:r>
      <w:r w:rsidR="00A3270D">
        <w:rPr>
          <w:rFonts w:hAnsi="宋体" w:hint="eastAsia"/>
          <w:szCs w:val="24"/>
          <w:highlight w:val="white"/>
          <w:lang w:eastAsia="zh-CN"/>
        </w:rPr>
        <w:t>本基金投资存托凭证的估值核算，依照境内上市交易的股票执行。</w:t>
      </w:r>
    </w:p>
    <w:p w:rsidR="004244A5" w14:paraId="52BDEA94" w14:textId="4F88A21D">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1</w:t>
      </w:r>
      <w:r>
        <w:rPr>
          <w:rFonts w:hAnsi="宋体"/>
          <w:szCs w:val="24"/>
          <w:highlight w:val="white"/>
          <w:lang w:eastAsia="zh-CN"/>
        </w:rPr>
        <w:t>1）</w:t>
      </w:r>
      <w:r w:rsidR="00A3270D">
        <w:rPr>
          <w:rFonts w:hAnsi="宋体" w:hint="eastAsia"/>
          <w:szCs w:val="24"/>
          <w:highlight w:val="white"/>
          <w:lang w:eastAsia="zh-CN"/>
        </w:rPr>
        <w:t>汇率</w:t>
      </w:r>
    </w:p>
    <w:p w:rsidR="004244A5" w14:paraId="5ADD204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如本基金投资股票市场交易互联互通机制允许买卖的境外证券市场上市的股票、ETF，涉及相关货币对人民币汇率的，汇率来源详见招募说明书。</w:t>
      </w:r>
    </w:p>
    <w:p w:rsidR="004244A5" w14:paraId="702D49CB" w14:textId="2D79929E">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Pr>
          <w:rFonts w:hAnsi="宋体"/>
          <w:szCs w:val="24"/>
          <w:highlight w:val="white"/>
          <w:lang w:eastAsia="zh-CN"/>
        </w:rPr>
        <w:t>2</w:t>
      </w:r>
      <w:r>
        <w:rPr>
          <w:rFonts w:hAnsi="宋体" w:hint="eastAsia"/>
          <w:szCs w:val="24"/>
          <w:highlight w:val="white"/>
          <w:lang w:eastAsia="zh-CN"/>
        </w:rPr>
        <w:t>）</w:t>
      </w:r>
      <w:r w:rsidR="00A3270D">
        <w:rPr>
          <w:rFonts w:hAnsi="宋体" w:hint="eastAsia"/>
          <w:szCs w:val="24"/>
          <w:highlight w:val="white"/>
          <w:lang w:eastAsia="zh-CN"/>
        </w:rPr>
        <w:t>税收</w:t>
      </w:r>
    </w:p>
    <w:p w:rsidR="004244A5" w14:paraId="1474DB7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4244A5" w14:paraId="62137110" w14:textId="44F3763B">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Pr>
          <w:rFonts w:hAnsi="宋体"/>
          <w:szCs w:val="24"/>
          <w:highlight w:val="white"/>
          <w:lang w:eastAsia="zh-CN"/>
        </w:rPr>
        <w:t>3</w:t>
      </w:r>
      <w:r>
        <w:rPr>
          <w:rFonts w:hAnsi="宋体" w:hint="eastAsia"/>
          <w:szCs w:val="24"/>
          <w:highlight w:val="white"/>
          <w:lang w:eastAsia="zh-CN"/>
        </w:rPr>
        <w:t>）</w:t>
      </w:r>
      <w:r w:rsidR="00A3270D">
        <w:rPr>
          <w:rFonts w:hAnsi="宋体" w:hint="eastAsia"/>
          <w:szCs w:val="24"/>
          <w:highlight w:val="white"/>
          <w:lang w:eastAsia="zh-CN"/>
        </w:rPr>
        <w:t>如有充分理由表明按上述方法进行估值不能客观反映其公允价值的，基金管理人可根据具体情况与基金托管人商定后，按最能反映公允价值的价格估值。</w:t>
      </w:r>
    </w:p>
    <w:p w:rsidR="004244A5" w14:paraId="1EE56C0C" w14:textId="1619BB61">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Pr>
          <w:rFonts w:hAnsi="宋体"/>
          <w:szCs w:val="24"/>
          <w:highlight w:val="white"/>
          <w:lang w:eastAsia="zh-CN"/>
        </w:rPr>
        <w:t>4</w:t>
      </w:r>
      <w:r>
        <w:rPr>
          <w:rFonts w:hAnsi="宋体" w:hint="eastAsia"/>
          <w:szCs w:val="24"/>
          <w:highlight w:val="white"/>
          <w:lang w:eastAsia="zh-CN"/>
        </w:rPr>
        <w:t>）</w:t>
      </w:r>
      <w:r w:rsidR="00A3270D">
        <w:rPr>
          <w:rFonts w:hAnsi="宋体" w:hint="eastAsia"/>
          <w:szCs w:val="24"/>
          <w:highlight w:val="white"/>
          <w:lang w:eastAsia="zh-CN"/>
        </w:rPr>
        <w:t>当发生大额申购或赎回情形时，基金管理人可以采用摆动定价机制，以确保基金估值的公平性。</w:t>
      </w:r>
    </w:p>
    <w:p w:rsidR="004244A5" w14:paraId="626EDE27" w14:textId="5F880282">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Pr>
          <w:rFonts w:hAnsi="宋体"/>
          <w:szCs w:val="24"/>
          <w:highlight w:val="white"/>
          <w:lang w:eastAsia="zh-CN"/>
        </w:rPr>
        <w:t>5</w:t>
      </w:r>
      <w:r>
        <w:rPr>
          <w:rFonts w:hAnsi="宋体" w:hint="eastAsia"/>
          <w:szCs w:val="24"/>
          <w:highlight w:val="white"/>
          <w:lang w:eastAsia="zh-CN"/>
        </w:rPr>
        <w:t>）</w:t>
      </w:r>
      <w:r w:rsidR="00A3270D">
        <w:rPr>
          <w:rFonts w:hAnsi="宋体" w:hint="eastAsia"/>
          <w:szCs w:val="24"/>
          <w:highlight w:val="white"/>
          <w:lang w:eastAsia="zh-CN"/>
        </w:rPr>
        <w:t>相关法律法规以及监管部门有强制规定的，从其规定。如有新增事项，按国家最新规定估值。</w:t>
      </w:r>
    </w:p>
    <w:p w:rsidR="004244A5" w14:paraId="524D572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4244A5" w14:paraId="7C1677D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244A5" w14:paraId="04FF93A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8.3估值差错处理</w:t>
      </w:r>
    </w:p>
    <w:p w:rsidR="004244A5" w14:paraId="5BD0118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4244A5" w14:paraId="583E750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各当事人应按照以下约定处理：</w:t>
      </w:r>
    </w:p>
    <w:p w:rsidR="004244A5" w14:paraId="6F1BDAA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8.3.1估值错误类型</w:t>
      </w:r>
    </w:p>
    <w:p w:rsidR="004244A5" w14:paraId="1AA09F2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Ansi="宋体"/>
          <w:szCs w:val="24"/>
          <w:highlight w:val="white"/>
          <w:lang w:eastAsia="zh-CN"/>
        </w:rPr>
        <w:t>“</w:t>
      </w:r>
      <w:r>
        <w:rPr>
          <w:rFonts w:hAnsi="宋体" w:hint="eastAsia"/>
          <w:szCs w:val="24"/>
          <w:highlight w:val="white"/>
          <w:lang w:eastAsia="zh-CN"/>
        </w:rPr>
        <w:t>受损方</w:t>
      </w:r>
      <w:r>
        <w:rPr>
          <w:rFonts w:hAnsi="宋体"/>
          <w:szCs w:val="24"/>
          <w:highlight w:val="white"/>
          <w:lang w:eastAsia="zh-CN"/>
        </w:rPr>
        <w:t>”</w:t>
      </w:r>
      <w:r>
        <w:rPr>
          <w:rFonts w:hAnsi="宋体" w:hint="eastAsia"/>
          <w:szCs w:val="24"/>
          <w:highlight w:val="white"/>
          <w:lang w:eastAsia="zh-CN"/>
        </w:rPr>
        <w:t>）的直接损失按下述</w:t>
      </w:r>
      <w:r>
        <w:rPr>
          <w:rFonts w:hAnsi="宋体"/>
          <w:szCs w:val="24"/>
          <w:highlight w:val="white"/>
          <w:lang w:eastAsia="zh-CN"/>
        </w:rPr>
        <w:t>“</w:t>
      </w:r>
      <w:r>
        <w:rPr>
          <w:rFonts w:hAnsi="宋体" w:hint="eastAsia"/>
          <w:szCs w:val="24"/>
          <w:highlight w:val="white"/>
          <w:lang w:eastAsia="zh-CN"/>
        </w:rPr>
        <w:t>估值错误处理原则</w:t>
      </w:r>
      <w:r>
        <w:rPr>
          <w:rFonts w:hAnsi="宋体"/>
          <w:szCs w:val="24"/>
          <w:highlight w:val="white"/>
          <w:lang w:eastAsia="zh-CN"/>
        </w:rPr>
        <w:t>”</w:t>
      </w:r>
      <w:r>
        <w:rPr>
          <w:rFonts w:hAnsi="宋体" w:hint="eastAsia"/>
          <w:szCs w:val="24"/>
          <w:highlight w:val="white"/>
          <w:lang w:eastAsia="zh-CN"/>
        </w:rPr>
        <w:t>给予赔偿，承担赔偿责任。</w:t>
      </w:r>
    </w:p>
    <w:p w:rsidR="004244A5" w14:paraId="1F06442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上述估值错误的主要类型包括但不限于：资料申报差错、数据传输差错、数据计算差错、系统故障差错、下达指令差错等。</w:t>
      </w:r>
    </w:p>
    <w:p w:rsidR="004244A5" w14:paraId="4E7173B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8.3.2估值错误处理原则</w:t>
      </w:r>
    </w:p>
    <w:p w:rsidR="004244A5" w14:paraId="717134B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1</w:t>
      </w:r>
      <w:r>
        <w:rPr>
          <w:rFonts w:hAnsi="宋体" w:hint="eastAsia"/>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244A5" w14:paraId="1F00D07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2</w:t>
      </w:r>
      <w:r>
        <w:rPr>
          <w:rFonts w:hAnsi="宋体" w:hint="eastAsia"/>
          <w:szCs w:val="24"/>
          <w:highlight w:val="white"/>
          <w:lang w:eastAsia="zh-CN"/>
        </w:rPr>
        <w:t>）估值错误的责任方对有关当事人的直接损失负责，不对间接损失负责，并且仅对估值错误的有关直接当事人负责，不对第三方负责。</w:t>
      </w:r>
    </w:p>
    <w:p w:rsidR="004244A5" w14:paraId="7D491EB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3</w:t>
      </w:r>
      <w:r>
        <w:rPr>
          <w:rFonts w:hAnsi="宋体" w:hint="eastAsia"/>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Ansi="宋体"/>
          <w:szCs w:val="24"/>
          <w:highlight w:val="white"/>
          <w:lang w:eastAsia="zh-CN"/>
        </w:rPr>
        <w:t>“</w:t>
      </w:r>
      <w:r>
        <w:rPr>
          <w:rFonts w:hAnsi="宋体" w:hint="eastAsia"/>
          <w:szCs w:val="24"/>
          <w:highlight w:val="white"/>
          <w:lang w:eastAsia="zh-CN"/>
        </w:rPr>
        <w:t>受损方</w:t>
      </w:r>
      <w:r>
        <w:rPr>
          <w:rFonts w:hAnsi="宋体"/>
          <w:szCs w:val="24"/>
          <w:highlight w:val="white"/>
          <w:lang w:eastAsia="zh-CN"/>
        </w:rPr>
        <w:t>”</w:t>
      </w:r>
      <w:r>
        <w:rPr>
          <w:rFonts w:hAnsi="宋体" w:hint="eastAsia"/>
          <w:szCs w:val="24"/>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244A5" w14:paraId="792D58D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4</w:t>
      </w:r>
      <w:r>
        <w:rPr>
          <w:rFonts w:hAnsi="宋体" w:hint="eastAsia"/>
          <w:szCs w:val="24"/>
          <w:highlight w:val="white"/>
          <w:lang w:eastAsia="zh-CN"/>
        </w:rPr>
        <w:t>）估值错误调整采用尽量恢复至假设未发生估值错误的正确情形的方式。</w:t>
      </w:r>
    </w:p>
    <w:p w:rsidR="004244A5" w14:paraId="5BB6B0E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8.3.3估值错误处理程序</w:t>
      </w:r>
    </w:p>
    <w:p w:rsidR="004244A5" w14:paraId="0AACBA8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估值错误被发现后，有关的当事人应当及时进行处理，处理的程序如下：</w:t>
      </w:r>
    </w:p>
    <w:p w:rsidR="004244A5" w14:paraId="1F7C7A2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1</w:t>
      </w:r>
      <w:r>
        <w:rPr>
          <w:rFonts w:hAnsi="宋体" w:hint="eastAsia"/>
          <w:szCs w:val="24"/>
          <w:highlight w:val="white"/>
          <w:lang w:eastAsia="zh-CN"/>
        </w:rPr>
        <w:t>）查明估值错误发生的原因，列明所有的当事人，并根据估值错误发生的原因确定估值错误的责任方；</w:t>
      </w:r>
    </w:p>
    <w:p w:rsidR="004244A5" w14:paraId="0566EAF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2</w:t>
      </w:r>
      <w:r>
        <w:rPr>
          <w:rFonts w:hAnsi="宋体" w:hint="eastAsia"/>
          <w:szCs w:val="24"/>
          <w:highlight w:val="white"/>
          <w:lang w:eastAsia="zh-CN"/>
        </w:rPr>
        <w:t>）根据估值错误处理原则或当事人协商的方法对因估值错误造成的损失进行评估；</w:t>
      </w:r>
    </w:p>
    <w:p w:rsidR="004244A5" w14:paraId="58517D9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3</w:t>
      </w:r>
      <w:r>
        <w:rPr>
          <w:rFonts w:hAnsi="宋体" w:hint="eastAsia"/>
          <w:szCs w:val="24"/>
          <w:highlight w:val="white"/>
          <w:lang w:eastAsia="zh-CN"/>
        </w:rPr>
        <w:t>）根据估值错误处理原则或当事人协商的方法由估值错误的责任方进行更正和赔偿损失；</w:t>
      </w:r>
    </w:p>
    <w:p w:rsidR="004244A5" w14:paraId="494C04F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4</w:t>
      </w:r>
      <w:r>
        <w:rPr>
          <w:rFonts w:hAnsi="宋体" w:hint="eastAsia"/>
          <w:szCs w:val="24"/>
          <w:highlight w:val="white"/>
          <w:lang w:eastAsia="zh-CN"/>
        </w:rPr>
        <w:t>）根据估值错误处理的方法，需要修改基金登记机构交易数据的，由基金登记机构进行更正，并就估值错误的更正向有关当事人进行确认。</w:t>
      </w:r>
    </w:p>
    <w:p w:rsidR="004244A5" w14:paraId="04673BE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8.3.4基金份额净值估值错误处理的方法如下：</w:t>
      </w:r>
    </w:p>
    <w:p w:rsidR="004244A5" w14:paraId="0772651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1</w:t>
      </w:r>
      <w:r>
        <w:rPr>
          <w:rFonts w:hAnsi="宋体" w:hint="eastAsia"/>
          <w:szCs w:val="24"/>
          <w:highlight w:val="white"/>
          <w:lang w:eastAsia="zh-CN"/>
        </w:rPr>
        <w:t>）基金份额净值计算出现错误时，基金管理人应当立即予以纠正，通报基金托管人，并采取合理的措施防止损失进一步扩大。</w:t>
      </w:r>
    </w:p>
    <w:p w:rsidR="004244A5" w14:paraId="4A9CD81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2</w:t>
      </w:r>
      <w:r>
        <w:rPr>
          <w:rFonts w:hAnsi="宋体" w:hint="eastAsia"/>
          <w:szCs w:val="24"/>
          <w:highlight w:val="white"/>
          <w:lang w:eastAsia="zh-CN"/>
        </w:rPr>
        <w:t>）错误偏差达到基金份额净值的</w:t>
      </w:r>
      <w:r>
        <w:rPr>
          <w:rFonts w:hAnsi="宋体"/>
          <w:szCs w:val="24"/>
          <w:highlight w:val="white"/>
          <w:lang w:eastAsia="zh-CN"/>
        </w:rPr>
        <w:t>0.25%</w:t>
      </w:r>
      <w:r>
        <w:rPr>
          <w:rFonts w:hAnsi="宋体" w:hint="eastAsia"/>
          <w:szCs w:val="24"/>
          <w:highlight w:val="white"/>
          <w:lang w:eastAsia="zh-CN"/>
        </w:rPr>
        <w:t>时，基金管理人应当通报基金托管人并报中国证监会备案；错误偏差达到基金份额净值的</w:t>
      </w:r>
      <w:r>
        <w:rPr>
          <w:rFonts w:hAnsi="宋体"/>
          <w:szCs w:val="24"/>
          <w:highlight w:val="white"/>
          <w:lang w:eastAsia="zh-CN"/>
        </w:rPr>
        <w:t>0.5%</w:t>
      </w:r>
      <w:r>
        <w:rPr>
          <w:rFonts w:hAnsi="宋体" w:hint="eastAsia"/>
          <w:szCs w:val="24"/>
          <w:highlight w:val="white"/>
          <w:lang w:eastAsia="zh-CN"/>
        </w:rPr>
        <w:t>时，基金管理人应当公告，并报中国证监会备案。</w:t>
      </w:r>
    </w:p>
    <w:p w:rsidR="004244A5" w14:paraId="7E1B58D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3</w:t>
      </w:r>
      <w:r>
        <w:rPr>
          <w:rFonts w:hAnsi="宋体" w:hint="eastAsia"/>
          <w:szCs w:val="24"/>
          <w:highlight w:val="white"/>
          <w:lang w:eastAsia="zh-CN"/>
        </w:rPr>
        <w:t>）前述内容如法律法规或监管机关另有规定的，从其规定处理。</w:t>
      </w:r>
    </w:p>
    <w:p w:rsidR="004244A5" w14:paraId="7A2C834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8.4基金账册的建立</w:t>
      </w:r>
    </w:p>
    <w:p w:rsidR="004244A5" w14:paraId="18B4295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4244A5" w14:paraId="52A372A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rsidR="004244A5" w14:paraId="6373694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8.5基金定期报告的编制和复核</w:t>
      </w:r>
    </w:p>
    <w:p w:rsidR="004244A5" w14:paraId="5D99DFF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8.5.1基金财务报告由基金管理人编制，基金托管人复核。月度报告的编制，应于每月终了后5个工作日内完成。</w:t>
      </w:r>
    </w:p>
    <w:p w:rsidR="004244A5" w14:paraId="7332028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8.5.2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rsidR="004244A5" w14:paraId="6097382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8.5.3《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w:t>
      </w:r>
    </w:p>
    <w:p w:rsidR="004244A5" w14:paraId="24510A0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8.5.4基金管理人应及时完成报告编制，将有关报告提供基金托管人复核；基金托管人应当在收到报告之日起2个工作日内完成月度报告的复核；在收到报告之日起7个工作日内完成基金季度报告的复核；在收到报告之日起20个工作日内完成基金中期报告的复核；在收到报告之日起30个工作日内完成基金年度报告的复核。基金托管人在复核过程中，发现双方的数据、信息存在不符时，基金管理人和基金托管人应共同查明原因，进行调整，调整以国家有关规定为准。</w:t>
      </w:r>
    </w:p>
    <w:p w:rsidR="004244A5" w14:paraId="53FB7A2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8.5.5基金托管人在对财务会计报告、季度、中期报告或年度报告复核完毕后，需盖章确认或出具相应的复核确认书或进行电子确认，以备有权机构对相关文件审核时提示。</w:t>
      </w:r>
    </w:p>
    <w:p w:rsidR="004244A5" w14:paraId="718AE7F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8.6暂停估值的情形</w:t>
      </w:r>
    </w:p>
    <w:p w:rsidR="004244A5" w14:paraId="78F0C8FC" w14:textId="30A097F2">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sidR="00A3270D">
        <w:rPr>
          <w:rFonts w:hAnsi="宋体" w:hint="eastAsia"/>
          <w:szCs w:val="24"/>
          <w:highlight w:val="white"/>
          <w:lang w:eastAsia="zh-CN"/>
        </w:rPr>
        <w:t>基金投资所涉及的证券交易市场遇法定节假日或因其他原因暂停营业时；</w:t>
      </w:r>
    </w:p>
    <w:p w:rsidR="004244A5" w14:paraId="485B73D7" w14:textId="2B4E67E4">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2</w:t>
      </w:r>
      <w:r>
        <w:rPr>
          <w:rFonts w:hAnsi="宋体"/>
          <w:szCs w:val="24"/>
          <w:highlight w:val="white"/>
          <w:lang w:eastAsia="zh-CN"/>
        </w:rPr>
        <w:t>）</w:t>
      </w:r>
      <w:r w:rsidR="00A3270D">
        <w:rPr>
          <w:rFonts w:hAnsi="宋体" w:hint="eastAsia"/>
          <w:szCs w:val="24"/>
          <w:highlight w:val="white"/>
          <w:lang w:eastAsia="zh-CN"/>
        </w:rPr>
        <w:t>因不可抗力致使基金管理人、基金托管人无法准确评估基金资产价值时；</w:t>
      </w:r>
    </w:p>
    <w:p w:rsidR="004244A5" w14:paraId="7777E887" w14:textId="319502FC">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3</w:t>
      </w:r>
      <w:r>
        <w:rPr>
          <w:rFonts w:hAnsi="宋体"/>
          <w:szCs w:val="24"/>
          <w:highlight w:val="white"/>
          <w:lang w:eastAsia="zh-CN"/>
        </w:rPr>
        <w:t>）</w:t>
      </w:r>
      <w:r w:rsidR="00A3270D">
        <w:rPr>
          <w:rFonts w:hAnsi="宋体" w:hint="eastAsia"/>
          <w:szCs w:val="24"/>
          <w:highlight w:val="white"/>
          <w:lang w:eastAsia="zh-CN"/>
        </w:rPr>
        <w:t>占相当比例的被投资基金暂停估值；</w:t>
      </w:r>
    </w:p>
    <w:p w:rsidR="004244A5" w14:paraId="4E2072B0" w14:textId="6B4E64C7">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4</w:t>
      </w:r>
      <w:r>
        <w:rPr>
          <w:rFonts w:hAnsi="宋体"/>
          <w:szCs w:val="24"/>
          <w:highlight w:val="white"/>
          <w:lang w:eastAsia="zh-CN"/>
        </w:rPr>
        <w:t>）</w:t>
      </w:r>
      <w:r w:rsidR="00A3270D">
        <w:rPr>
          <w:rFonts w:hAnsi="宋体" w:hint="eastAsia"/>
          <w:szCs w:val="24"/>
          <w:highlight w:val="white"/>
          <w:lang w:eastAsia="zh-CN"/>
        </w:rPr>
        <w:t>当特定资产占前一估值日基金资产净值50%以上的，经与基金托管人协商确认后，基金管理人应当暂停估值；</w:t>
      </w:r>
    </w:p>
    <w:p w:rsidR="004244A5" w14:paraId="4DDC964A" w14:textId="0D7A9315">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w:t>
      </w:r>
      <w:r w:rsidR="00A3270D">
        <w:rPr>
          <w:rFonts w:hAnsi="宋体" w:hint="eastAsia"/>
          <w:szCs w:val="24"/>
          <w:highlight w:val="white"/>
          <w:lang w:eastAsia="zh-CN"/>
        </w:rPr>
        <w:t>中国证监会和基金合同认定的其它情形。</w:t>
      </w:r>
    </w:p>
    <w:p w:rsidR="004244A5" w14:paraId="227E723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8.7特殊情况的处理 </w:t>
      </w:r>
    </w:p>
    <w:p w:rsidR="004244A5" w14:paraId="67F19AC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（1）基金管理人或基金托管人按估值方法的第（13）项进行估值时，所造成的误差不作为基金资产估值错误处理。</w:t>
      </w:r>
    </w:p>
    <w:p w:rsidR="004244A5" w14:paraId="3ACC81F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4244A5" w14:paraId="52A3A6BE" w14:textId="77777777">
      <w:pPr>
        <w:pStyle w:val="BodyTextIndent2"/>
        <w:spacing w:line="520" w:lineRule="atLeast"/>
        <w:rPr>
          <w:rFonts w:hAnsi="宋体"/>
          <w:szCs w:val="24"/>
          <w:lang w:eastAsia="zh-CN"/>
        </w:rPr>
      </w:pPr>
      <w:r>
        <w:rPr>
          <w:rFonts w:hAnsi="宋体" w:hint="eastAsia"/>
          <w:szCs w:val="24"/>
          <w:highlight w:val="white"/>
          <w:lang w:eastAsia="zh-CN"/>
        </w:rPr>
        <w:t>8.8实施侧袋机制期间的基金资产估值</w:t>
      </w:r>
    </w:p>
    <w:p w:rsidR="004244A5" w14:paraId="6B40AD1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本基金实施侧袋机制的，应根据本部分的约定对主袋账户资产进行估值并披露主袋账户的基金资产净值和份额净值，暂停披露侧袋账户份额净值。</w:t>
      </w:r>
    </w:p>
    <w:p w:rsidR="004244A5" w14:paraId="2B3C9AE1" w14:textId="77777777">
      <w:pPr>
        <w:pStyle w:val="Heading1"/>
        <w:snapToGrid/>
        <w:spacing w:line="520" w:lineRule="atLeast"/>
        <w:ind w:firstLine="480" w:firstLineChars="200"/>
        <w:rPr>
          <w:bCs/>
          <w:color w:val="auto"/>
          <w:szCs w:val="24"/>
          <w:lang w:eastAsia="zh-CN"/>
        </w:rPr>
      </w:pPr>
      <w:bookmarkStart w:id="9" w:name="_Toc227311342"/>
      <w:r>
        <w:rPr>
          <w:rFonts w:hint="eastAsia"/>
          <w:bCs/>
          <w:color w:val="auto"/>
          <w:szCs w:val="24"/>
          <w:highlight w:val="white"/>
          <w:lang w:eastAsia="zh-CN"/>
        </w:rPr>
        <w:t>第九条 基金收益分配</w:t>
      </w:r>
      <w:bookmarkEnd w:id="9"/>
    </w:p>
    <w:p w:rsidR="004244A5" w14:paraId="4F0E6FA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9.1基金利润的构成</w:t>
      </w:r>
    </w:p>
    <w:p w:rsidR="004244A5" w14:paraId="77DDF8D6" w14:textId="326941FB">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基金利润指基金利息收入、投资收益、公允价值变动收益和其他收入扣除相关费用后的余额</w:t>
      </w:r>
      <w:r>
        <w:rPr>
          <w:rFonts w:hAnsi="宋体"/>
          <w:szCs w:val="24"/>
          <w:highlight w:val="white"/>
          <w:lang w:eastAsia="zh-CN"/>
        </w:rPr>
        <w:t>，</w:t>
      </w:r>
      <w:r>
        <w:rPr>
          <w:rFonts w:hAnsi="宋体" w:hint="eastAsia"/>
          <w:szCs w:val="24"/>
          <w:highlight w:val="white"/>
          <w:lang w:eastAsia="zh-CN"/>
        </w:rPr>
        <w:t>基金已实现收益指基金利润减去公允价值变动收益后的余额。</w:t>
      </w:r>
    </w:p>
    <w:p w:rsidR="004244A5" w14:paraId="19A0192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9.2基金可供分配利润</w:t>
      </w:r>
    </w:p>
    <w:p w:rsidR="004244A5" w14:paraId="2DF217A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基金可供分配利润指截至收益分配基准日基金未分配利润与未分配利润中已实现收益的孰低数。</w:t>
      </w:r>
    </w:p>
    <w:p w:rsidR="004244A5" w14:paraId="3B815E3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9.3收益分配原则</w:t>
      </w:r>
    </w:p>
    <w:p w:rsidR="004244A5" w14:paraId="6D0959CC" w14:textId="3ED12857">
      <w:pPr>
        <w:spacing w:line="360" w:lineRule="auto"/>
        <w:ind w:firstLine="480" w:firstLineChars="200"/>
        <w:rPr>
          <w:bCs/>
          <w:sz w:val="24"/>
          <w:lang w:eastAsia="zh-CN"/>
        </w:rPr>
      </w:pPr>
      <w:r>
        <w:rPr>
          <w:rFonts w:ascii="宋体" w:hAnsi="宋体" w:cs="宋体" w:hint="eastAsia"/>
          <w:bCs/>
          <w:sz w:val="24"/>
          <w:highlight w:val="white"/>
          <w:lang w:eastAsia="zh-CN"/>
        </w:rPr>
        <w:t>（1）</w:t>
      </w:r>
      <w:r w:rsidR="00A3270D">
        <w:rPr>
          <w:rFonts w:ascii="宋体" w:hAnsi="宋体" w:cs="宋体" w:hint="eastAsia"/>
          <w:bCs/>
          <w:sz w:val="24"/>
          <w:highlight w:val="white"/>
          <w:lang w:eastAsia="zh-CN"/>
        </w:rPr>
        <w:t>在符合有关基金分红条件的前提下，基金管理人可以根据实际情况进行收益分配，具体分配方案以公告为准，若《基金合同》生效不满3个月可不进行收益分配；</w:t>
      </w:r>
    </w:p>
    <w:p w:rsidR="004244A5" w14:paraId="1AC6C8D2" w14:textId="5FA189F7">
      <w:pPr>
        <w:spacing w:line="360" w:lineRule="auto"/>
        <w:ind w:firstLine="480" w:firstLineChars="200"/>
        <w:rPr>
          <w:bCs/>
          <w:sz w:val="24"/>
          <w:lang w:eastAsia="zh-CN"/>
        </w:rPr>
      </w:pPr>
      <w:r>
        <w:rPr>
          <w:rFonts w:ascii="宋体" w:hAnsi="宋体" w:cs="宋体"/>
          <w:bCs/>
          <w:sz w:val="24"/>
          <w:highlight w:val="white"/>
          <w:lang w:eastAsia="zh-CN"/>
        </w:rPr>
        <w:t>（</w:t>
      </w:r>
      <w:r>
        <w:rPr>
          <w:rFonts w:ascii="宋体" w:hAnsi="宋体" w:cs="宋体" w:hint="eastAsia"/>
          <w:bCs/>
          <w:sz w:val="24"/>
          <w:highlight w:val="white"/>
          <w:lang w:eastAsia="zh-CN"/>
        </w:rPr>
        <w:t>2</w:t>
      </w:r>
      <w:r>
        <w:rPr>
          <w:rFonts w:ascii="宋体" w:hAnsi="宋体" w:cs="宋体"/>
          <w:bCs/>
          <w:sz w:val="24"/>
          <w:highlight w:val="white"/>
          <w:lang w:eastAsia="zh-CN"/>
        </w:rPr>
        <w:t>）</w:t>
      </w:r>
      <w:r w:rsidR="00A3270D">
        <w:rPr>
          <w:rFonts w:ascii="宋体" w:hAnsi="宋体" w:cs="宋体" w:hint="eastAsia"/>
          <w:bCs/>
          <w:sz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p>
    <w:p w:rsidR="004244A5" w14:paraId="5712CE5E" w14:textId="733DFEBE">
      <w:pPr>
        <w:spacing w:line="360" w:lineRule="auto"/>
        <w:ind w:firstLine="480" w:firstLineChars="200"/>
        <w:rPr>
          <w:bCs/>
          <w:sz w:val="24"/>
          <w:lang w:eastAsia="zh-CN"/>
        </w:rPr>
      </w:pPr>
      <w:r>
        <w:rPr>
          <w:rFonts w:ascii="宋体" w:hAnsi="宋体" w:cs="宋体"/>
          <w:bCs/>
          <w:sz w:val="24"/>
          <w:highlight w:val="white"/>
          <w:lang w:eastAsia="zh-CN"/>
        </w:rPr>
        <w:t>（</w:t>
      </w:r>
      <w:r>
        <w:rPr>
          <w:rFonts w:ascii="宋体" w:hAnsi="宋体" w:cs="宋体" w:hint="eastAsia"/>
          <w:bCs/>
          <w:sz w:val="24"/>
          <w:highlight w:val="white"/>
          <w:lang w:eastAsia="zh-CN"/>
        </w:rPr>
        <w:t>3</w:t>
      </w:r>
      <w:r>
        <w:rPr>
          <w:rFonts w:ascii="宋体" w:hAnsi="宋体" w:cs="宋体"/>
          <w:bCs/>
          <w:sz w:val="24"/>
          <w:highlight w:val="white"/>
          <w:lang w:eastAsia="zh-CN"/>
        </w:rPr>
        <w:t>）</w:t>
      </w:r>
      <w:r w:rsidR="00A3270D">
        <w:rPr>
          <w:rFonts w:ascii="宋体" w:hAnsi="宋体" w:cs="宋体" w:hint="eastAsia"/>
          <w:bCs/>
          <w:sz w:val="24"/>
          <w:highlight w:val="white"/>
          <w:lang w:eastAsia="zh-CN"/>
        </w:rPr>
        <w:t>基金收益分配后基金份额净值不能低于面值；即基金收益分配基准日的基金份额净值减去每单位基金份额收益分配金额后不能低于面值；</w:t>
      </w:r>
    </w:p>
    <w:p w:rsidR="004244A5" w14:paraId="0783E131" w14:textId="5FC84E6C">
      <w:pPr>
        <w:spacing w:line="360" w:lineRule="auto"/>
        <w:ind w:firstLine="480" w:firstLineChars="200"/>
        <w:rPr>
          <w:bCs/>
          <w:sz w:val="24"/>
          <w:lang w:eastAsia="zh-CN"/>
        </w:rPr>
      </w:pPr>
      <w:r>
        <w:rPr>
          <w:rFonts w:ascii="宋体" w:hAnsi="宋体" w:cs="宋体"/>
          <w:bCs/>
          <w:sz w:val="24"/>
          <w:highlight w:val="white"/>
          <w:lang w:eastAsia="zh-CN"/>
        </w:rPr>
        <w:t>（</w:t>
      </w:r>
      <w:r>
        <w:rPr>
          <w:rFonts w:ascii="宋体" w:hAnsi="宋体" w:cs="宋体" w:hint="eastAsia"/>
          <w:bCs/>
          <w:sz w:val="24"/>
          <w:highlight w:val="white"/>
          <w:lang w:eastAsia="zh-CN"/>
        </w:rPr>
        <w:t>4</w:t>
      </w:r>
      <w:r>
        <w:rPr>
          <w:rFonts w:ascii="宋体" w:hAnsi="宋体" w:cs="宋体"/>
          <w:bCs/>
          <w:sz w:val="24"/>
          <w:highlight w:val="white"/>
          <w:lang w:eastAsia="zh-CN"/>
        </w:rPr>
        <w:t>）</w:t>
      </w:r>
      <w:r w:rsidR="00A3270D">
        <w:rPr>
          <w:rFonts w:ascii="宋体" w:hAnsi="宋体" w:cs="宋体" w:hint="eastAsia"/>
          <w:bCs/>
          <w:sz w:val="24"/>
          <w:highlight w:val="white"/>
          <w:lang w:eastAsia="zh-CN"/>
        </w:rPr>
        <w:t>本基金各基金份额类别在费用收取上不同，其对应的可分配收益可能有所不同。同一类别的每一基金份额享有同等分配权；</w:t>
      </w:r>
    </w:p>
    <w:p w:rsidR="004244A5" w14:paraId="6962BDA2" w14:textId="10FA51F5">
      <w:pPr>
        <w:spacing w:line="360" w:lineRule="auto"/>
        <w:ind w:firstLine="480" w:firstLineChars="200"/>
        <w:rPr>
          <w:bCs/>
          <w:sz w:val="24"/>
          <w:lang w:eastAsia="zh-CN"/>
        </w:rPr>
      </w:pPr>
      <w:r>
        <w:rPr>
          <w:rFonts w:ascii="宋体" w:hAnsi="宋体" w:cs="宋体"/>
          <w:bCs/>
          <w:sz w:val="24"/>
          <w:highlight w:val="white"/>
          <w:lang w:eastAsia="zh-CN"/>
        </w:rPr>
        <w:t>（</w:t>
      </w:r>
      <w:r>
        <w:rPr>
          <w:rFonts w:ascii="宋体" w:hAnsi="宋体" w:cs="宋体" w:hint="eastAsia"/>
          <w:bCs/>
          <w:sz w:val="24"/>
          <w:highlight w:val="white"/>
          <w:lang w:eastAsia="zh-CN"/>
        </w:rPr>
        <w:t>5</w:t>
      </w:r>
      <w:r>
        <w:rPr>
          <w:rFonts w:ascii="宋体" w:hAnsi="宋体" w:cs="宋体"/>
          <w:bCs/>
          <w:sz w:val="24"/>
          <w:highlight w:val="white"/>
          <w:lang w:eastAsia="zh-CN"/>
        </w:rPr>
        <w:t>）</w:t>
      </w:r>
      <w:r w:rsidR="00A3270D">
        <w:rPr>
          <w:rFonts w:ascii="宋体" w:hAnsi="宋体" w:cs="宋体" w:hint="eastAsia"/>
          <w:bCs/>
          <w:sz w:val="24"/>
          <w:highlight w:val="white"/>
          <w:lang w:eastAsia="zh-CN"/>
        </w:rPr>
        <w:t>在对基金份额持有人利益无实质不利影响的前提下，基金管理人可调整基金收益的分配原则和支付方式，不需召开基金份额持有人大会审议；</w:t>
      </w:r>
    </w:p>
    <w:p w:rsidR="004244A5" w14:paraId="0C11EFD5" w14:textId="65D45C72">
      <w:pPr>
        <w:spacing w:line="360" w:lineRule="auto"/>
        <w:ind w:firstLine="480" w:firstLineChars="200"/>
        <w:rPr>
          <w:bCs/>
          <w:sz w:val="24"/>
          <w:lang w:eastAsia="zh-CN"/>
        </w:rPr>
      </w:pPr>
      <w:r>
        <w:rPr>
          <w:rFonts w:ascii="宋体" w:hAnsi="宋体" w:cs="宋体"/>
          <w:bCs/>
          <w:sz w:val="24"/>
          <w:highlight w:val="white"/>
          <w:lang w:eastAsia="zh-CN"/>
        </w:rPr>
        <w:t>（</w:t>
      </w:r>
      <w:r>
        <w:rPr>
          <w:rFonts w:ascii="宋体" w:hAnsi="宋体" w:cs="宋体" w:hint="eastAsia"/>
          <w:bCs/>
          <w:sz w:val="24"/>
          <w:highlight w:val="white"/>
          <w:lang w:eastAsia="zh-CN"/>
        </w:rPr>
        <w:t>6</w:t>
      </w:r>
      <w:r>
        <w:rPr>
          <w:rFonts w:ascii="宋体" w:hAnsi="宋体" w:cs="宋体"/>
          <w:bCs/>
          <w:sz w:val="24"/>
          <w:highlight w:val="white"/>
          <w:lang w:eastAsia="zh-CN"/>
        </w:rPr>
        <w:t>）</w:t>
      </w:r>
      <w:r w:rsidR="00A3270D">
        <w:rPr>
          <w:rFonts w:ascii="宋体" w:hAnsi="宋体" w:cs="宋体" w:hint="eastAsia"/>
          <w:bCs/>
          <w:sz w:val="24"/>
          <w:highlight w:val="white"/>
          <w:lang w:eastAsia="zh-CN"/>
        </w:rPr>
        <w:t>法律法规或监管机关另有规定的，从其规定。</w:t>
      </w:r>
    </w:p>
    <w:p w:rsidR="004244A5" w14:paraId="272A7B2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9.4收益分配方案</w:t>
      </w:r>
    </w:p>
    <w:p w:rsidR="004244A5" w14:paraId="23C32032" w14:textId="77777777">
      <w:pPr>
        <w:pStyle w:val="BodyTextIndent2"/>
        <w:spacing w:before="0" w:after="0" w:line="520" w:lineRule="atLeast"/>
        <w:ind w:left="0" w:firstLine="480" w:firstLineChars="200"/>
        <w:rPr>
          <w:rFonts w:hAnsi="宋体"/>
          <w:szCs w:val="24"/>
          <w:lang w:eastAsia="zh-CN"/>
        </w:rPr>
      </w:pPr>
      <w:r>
        <w:rPr>
          <w:bCs/>
          <w:highlight w:val="white"/>
          <w:lang w:eastAsia="zh-CN"/>
        </w:rPr>
        <w:t>基金收益分配方案中应载明截止收益分配基准日的可供分配利润、基金收益分配对象、分配时间、分配数额、分配方式等内容。</w:t>
      </w:r>
    </w:p>
    <w:p w:rsidR="004244A5" w14:paraId="0FB6EB4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9.5收益分配的时间和程序</w:t>
      </w:r>
    </w:p>
    <w:p w:rsidR="004244A5" w14:paraId="776C660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9.5.1本基金收益分配方案由基金管理人拟定，并由基金托管人复核，在2日内在规定媒介公告。</w:t>
      </w:r>
    </w:p>
    <w:p w:rsidR="004244A5" w14:paraId="1492B14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9.5.2在收益分配方案公布后，基金管理人依据具体方案的规定就支付的现金红利向基金托管人发送划款指令，基金托管人按照基金管理人的指令及时进行分红资金的划付。基金托管人负责核对收益分配方案的总金额与划款指令金额一致，不对每个投资者的明细分配金额进行复核。</w:t>
      </w:r>
    </w:p>
    <w:p w:rsidR="004244A5" w14:paraId="5AA6993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9.5.3法律法规或监管机关另有规定的，从其规定。</w:t>
      </w:r>
    </w:p>
    <w:p w:rsidR="004244A5" w14:paraId="445109A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9.6 实施侧袋机制期间的收益分配</w:t>
      </w:r>
    </w:p>
    <w:p w:rsidR="004244A5" w14:paraId="73EC45B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本基金实施侧袋机制的，侧袋账户不进行收益分配，详见招募说明书的规定。</w:t>
      </w:r>
    </w:p>
    <w:p w:rsidR="004244A5" w14:paraId="4A3BC64A" w14:textId="77777777">
      <w:pPr>
        <w:pStyle w:val="Heading1"/>
        <w:snapToGrid/>
        <w:spacing w:line="520" w:lineRule="atLeast"/>
        <w:ind w:firstLine="480" w:firstLineChars="200"/>
        <w:rPr>
          <w:bCs/>
          <w:color w:val="auto"/>
          <w:szCs w:val="24"/>
          <w:lang w:eastAsia="zh-CN"/>
        </w:rPr>
      </w:pPr>
      <w:bookmarkStart w:id="10" w:name="_Toc227311343"/>
      <w:r>
        <w:rPr>
          <w:rFonts w:hint="eastAsia"/>
          <w:bCs/>
          <w:color w:val="auto"/>
          <w:szCs w:val="24"/>
          <w:highlight w:val="white"/>
          <w:lang w:eastAsia="zh-CN"/>
        </w:rPr>
        <w:t>第十条 信息披露</w:t>
      </w:r>
      <w:bookmarkEnd w:id="10"/>
    </w:p>
    <w:p w:rsidR="004244A5" w14:paraId="7232D6E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10.1保密义务</w:t>
      </w:r>
    </w:p>
    <w:p w:rsidR="004244A5" w14:paraId="236C3E5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4244A5" w14:paraId="0A9FFCA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（1）非因基金管理人和基金托管人的原因导致保密信息被披露、泄露或公开；</w:t>
      </w:r>
    </w:p>
    <w:p w:rsidR="004244A5" w14:paraId="36AC47D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（2）基金管理人和基金托管人为遵守和服从法院判决或裁定、仲裁裁决或中国证监会等监管机构的命令、决定所做出的信息披露或公开。</w:t>
      </w:r>
    </w:p>
    <w:p w:rsidR="004244A5" w14:paraId="0A4DE82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10.2基金管理人和基金托管人在信息披露中的职责和信息披露程序</w:t>
      </w:r>
    </w:p>
    <w:p w:rsidR="004244A5" w14:paraId="69CF746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10.2.1基金管理人和基金托管人应根据相关法律法规、基金合同的规定各自承担相应的信息披露职责。基金管理人和基金托管人负有积极配合、互相督促、彼此监督、保证其履行按照法定方式和时限披露的义务。</w:t>
      </w:r>
    </w:p>
    <w:p w:rsidR="004244A5" w14:paraId="56B1B6F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10.2.2本基金信息披露的文件主要包括基金招募说明书、基金产品资料概要、基金合同、托管协议、基金份额发售公告、基金合同生效公告、基金净值信息、基金份额申购赎回价格、基金定期报告（包括基金年度报告、基金中期报告和基金季度报告）、临时报告、澄清公告、基金份额持有人大会决议、投资资产支持证券的信息披露以及中国证监会规定的其他信息。</w:t>
      </w:r>
    </w:p>
    <w:p w:rsidR="004244A5" w14:paraId="7AC5CF6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10.2.3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基金托管人应当同时将基金合同、基金托管协议登载在规定网站上。</w:t>
      </w:r>
    </w:p>
    <w:p w:rsidR="004244A5" w14:paraId="11B2141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10.2.4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4244A5" w14:paraId="77BA357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10.2.5基金年度报告中的财务报告部分，经符合《证券法》规定的会计师事务所审计后，方可披露。</w:t>
      </w:r>
    </w:p>
    <w:p w:rsidR="004244A5" w14:paraId="3DA2C28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10.2.6基金管理人应当在中国证监会规定的时间内，将应予披露的基金信息通过规定媒介披露。根据法律法规应由基金托管人公开披露的信息，基金托管人将通过规定媒介公开披露。</w:t>
      </w:r>
    </w:p>
    <w:p w:rsidR="004244A5" w14:paraId="280E28F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10.2.7予以披露的信息文本，存放在基金管理人和基金托管人办公场所，投资人可以免费查阅。在支付工本费后可在合理时间获得上述文件的复制件或复印件。基金管理人和基金托管人应保证文本的内容与所公告的内容完全一致。</w:t>
      </w:r>
    </w:p>
    <w:p w:rsidR="004244A5" w14:paraId="42453BE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10.3暂停或延迟信息披露的情形</w:t>
      </w:r>
    </w:p>
    <w:p w:rsidR="004244A5" w14:paraId="75170585" w14:textId="47EA4956">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sidR="00A3270D">
        <w:rPr>
          <w:rFonts w:hAnsi="宋体" w:hint="eastAsia"/>
          <w:szCs w:val="24"/>
          <w:highlight w:val="white"/>
          <w:lang w:eastAsia="zh-CN"/>
        </w:rPr>
        <w:t>基金投资所涉及的证券交易市场遇法定节假日或因其他原因暂停营业时；</w:t>
      </w:r>
    </w:p>
    <w:p w:rsidR="004244A5" w14:paraId="0F3BB6E8" w14:textId="28EE8CB8">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2</w:t>
      </w:r>
      <w:r>
        <w:rPr>
          <w:rFonts w:hAnsi="宋体"/>
          <w:szCs w:val="24"/>
          <w:highlight w:val="white"/>
          <w:lang w:eastAsia="zh-CN"/>
        </w:rPr>
        <w:t>）</w:t>
      </w:r>
      <w:r w:rsidR="00A3270D">
        <w:rPr>
          <w:rFonts w:hAnsi="宋体" w:hint="eastAsia"/>
          <w:szCs w:val="24"/>
          <w:highlight w:val="white"/>
          <w:lang w:eastAsia="zh-CN"/>
        </w:rPr>
        <w:t>因不可抗力致使基金管理人、基金托管人无法准确评估基金资产价值时；</w:t>
      </w:r>
    </w:p>
    <w:p w:rsidR="004244A5" w14:paraId="00E491DD" w14:textId="2C279A07">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3</w:t>
      </w:r>
      <w:r>
        <w:rPr>
          <w:rFonts w:hAnsi="宋体"/>
          <w:szCs w:val="24"/>
          <w:highlight w:val="white"/>
          <w:lang w:eastAsia="zh-CN"/>
        </w:rPr>
        <w:t>）</w:t>
      </w:r>
      <w:r w:rsidR="00A3270D">
        <w:rPr>
          <w:rFonts w:hAnsi="宋体" w:hint="eastAsia"/>
          <w:szCs w:val="24"/>
          <w:highlight w:val="white"/>
          <w:lang w:eastAsia="zh-CN"/>
        </w:rPr>
        <w:t>占相当比例的被投资基金暂停估值；</w:t>
      </w:r>
    </w:p>
    <w:p w:rsidR="004244A5" w14:paraId="5BBC8BDF" w14:textId="4C4422B7">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4</w:t>
      </w:r>
      <w:r>
        <w:rPr>
          <w:rFonts w:hAnsi="宋体"/>
          <w:szCs w:val="24"/>
          <w:highlight w:val="white"/>
          <w:lang w:eastAsia="zh-CN"/>
        </w:rPr>
        <w:t>）</w:t>
      </w:r>
      <w:r w:rsidR="00A3270D">
        <w:rPr>
          <w:rFonts w:hAnsi="宋体" w:hint="eastAsia"/>
          <w:szCs w:val="24"/>
          <w:highlight w:val="white"/>
          <w:lang w:eastAsia="zh-CN"/>
        </w:rPr>
        <w:t>当特定资产占前一估值日基金资产净值50%以上的，经与基金托管人协商确认后，基金管理人应当暂停估值；</w:t>
      </w:r>
    </w:p>
    <w:p w:rsidR="004244A5" w14:paraId="6B4ED9E1" w14:textId="7EBD26B5">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5</w:t>
      </w:r>
      <w:r>
        <w:rPr>
          <w:rFonts w:hAnsi="宋体"/>
          <w:szCs w:val="24"/>
          <w:highlight w:val="white"/>
          <w:lang w:eastAsia="zh-CN"/>
        </w:rPr>
        <w:t>）</w:t>
      </w:r>
      <w:r w:rsidR="00A3270D">
        <w:rPr>
          <w:rFonts w:hAnsi="宋体" w:hint="eastAsia"/>
          <w:szCs w:val="24"/>
          <w:highlight w:val="white"/>
          <w:lang w:eastAsia="zh-CN"/>
        </w:rPr>
        <w:t>中国证监会和基金合同认定的其它情形。</w:t>
      </w:r>
    </w:p>
    <w:p w:rsidR="004244A5" w14:paraId="4B09794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10.4基金托管人报告</w:t>
      </w:r>
    </w:p>
    <w:p w:rsidR="004244A5" w14:paraId="457FAD2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人应按《基金法》、《运作办法》、《信息披露办法》和其他有关法律法规的规定于每个上半年度结束后两个月内、每个会计年度结束后三个月内在基金中期报告及年度报告中分别出具基金托管人报告，并提交给基金管理人。</w:t>
      </w:r>
    </w:p>
    <w:p w:rsidR="004244A5" w14:paraId="4E23A39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10.5实施侧袋机制期间的信息披露</w:t>
      </w:r>
    </w:p>
    <w:p w:rsidR="004244A5" w14:paraId="4848991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本基金实施侧袋机制的，相关信息披露义务人应当根据法律法规、基金合同和招募说明书的规定进行信息披露，详见招募说明书的规定。</w:t>
      </w:r>
    </w:p>
    <w:p w:rsidR="004244A5" w14:paraId="24253BFB" w14:textId="77777777">
      <w:pPr>
        <w:pStyle w:val="Heading1"/>
        <w:snapToGrid/>
        <w:spacing w:line="520" w:lineRule="atLeast"/>
        <w:ind w:firstLine="480" w:firstLineChars="200"/>
        <w:rPr>
          <w:bCs/>
          <w:color w:val="auto"/>
          <w:szCs w:val="24"/>
          <w:lang w:eastAsia="zh-CN"/>
        </w:rPr>
      </w:pPr>
      <w:bookmarkStart w:id="11" w:name="_Toc227311344"/>
      <w:r>
        <w:rPr>
          <w:rFonts w:hint="eastAsia"/>
          <w:bCs/>
          <w:color w:val="auto"/>
          <w:szCs w:val="24"/>
          <w:highlight w:val="white"/>
          <w:lang w:eastAsia="zh-CN"/>
        </w:rPr>
        <w:t>第十一条 基金费用</w:t>
      </w:r>
      <w:bookmarkEnd w:id="11"/>
    </w:p>
    <w:p w:rsidR="004244A5" w14:paraId="437ACA0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11.1基金管理费的计提比例和计提方法</w:t>
      </w:r>
    </w:p>
    <w:p w:rsidR="004244A5" w14:paraId="58A43638" w14:textId="77777777">
      <w:pPr>
        <w:spacing w:line="360" w:lineRule="auto"/>
        <w:ind w:firstLine="480" w:firstLineChars="200"/>
        <w:rPr>
          <w:bCs/>
          <w:sz w:val="24"/>
          <w:lang w:eastAsia="zh-CN"/>
        </w:rPr>
      </w:pPr>
      <w:r>
        <w:rPr>
          <w:bCs/>
          <w:sz w:val="24"/>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w:t>
      </w:r>
      <w:r>
        <w:rPr>
          <w:rFonts w:ascii="宋体" w:hAnsi="宋体" w:cs="宋体"/>
          <w:bCs/>
          <w:sz w:val="24"/>
          <w:highlight w:val="white"/>
          <w:lang w:eastAsia="zh-CN"/>
        </w:rPr>
        <w:t>0</w:t>
      </w:r>
      <w:r>
        <w:rPr>
          <w:bCs/>
          <w:sz w:val="24"/>
          <w:highlight w:val="white"/>
          <w:lang w:eastAsia="zh-CN"/>
        </w:rPr>
        <w:t>）的</w:t>
      </w:r>
      <w:r>
        <w:rPr>
          <w:rFonts w:ascii="宋体" w:hAnsi="宋体" w:cs="宋体"/>
          <w:bCs/>
          <w:sz w:val="24"/>
          <w:highlight w:val="white"/>
          <w:lang w:eastAsia="zh-CN"/>
        </w:rPr>
        <w:t>0.60%</w:t>
      </w:r>
      <w:r>
        <w:rPr>
          <w:bCs/>
          <w:sz w:val="24"/>
          <w:highlight w:val="white"/>
          <w:lang w:eastAsia="zh-CN"/>
        </w:rPr>
        <w:t>年费率计提。管理费的计算方法如下：</w:t>
      </w:r>
    </w:p>
    <w:p w:rsidR="004244A5" w14:paraId="2EC0E27A" w14:textId="77777777">
      <w:pPr>
        <w:spacing w:line="360" w:lineRule="auto"/>
        <w:ind w:firstLine="480" w:firstLineChars="200"/>
        <w:rPr>
          <w:bCs/>
          <w:sz w:val="24"/>
          <w:lang w:eastAsia="zh-CN"/>
        </w:rPr>
      </w:pPr>
      <w:r>
        <w:rPr>
          <w:rFonts w:ascii="宋体" w:hAnsi="宋体" w:cs="宋体"/>
          <w:bCs/>
          <w:sz w:val="24"/>
          <w:highlight w:val="white"/>
          <w:lang w:eastAsia="zh-CN"/>
        </w:rPr>
        <w:t>H＝E×0.60%÷当年天数</w:t>
      </w:r>
    </w:p>
    <w:p w:rsidR="004244A5" w14:paraId="38BD3DE2" w14:textId="77777777">
      <w:pPr>
        <w:spacing w:line="360" w:lineRule="auto"/>
        <w:ind w:firstLine="480" w:firstLineChars="200"/>
        <w:rPr>
          <w:bCs/>
          <w:sz w:val="24"/>
          <w:lang w:eastAsia="zh-CN"/>
        </w:rPr>
      </w:pPr>
      <w:r>
        <w:rPr>
          <w:rFonts w:ascii="宋体" w:hAnsi="宋体" w:cs="宋体"/>
          <w:bCs/>
          <w:sz w:val="24"/>
          <w:highlight w:val="white"/>
          <w:lang w:eastAsia="zh-CN"/>
        </w:rPr>
        <w:t>H为每日应计提的基金管理费</w:t>
      </w:r>
    </w:p>
    <w:p w:rsidR="004244A5" w14:paraId="4EFBDF97" w14:textId="77777777">
      <w:pPr>
        <w:spacing w:line="360" w:lineRule="auto"/>
        <w:ind w:firstLine="480" w:firstLineChars="200"/>
        <w:rPr>
          <w:bCs/>
          <w:sz w:val="24"/>
          <w:lang w:eastAsia="zh-CN"/>
        </w:rPr>
      </w:pPr>
      <w:r>
        <w:rPr>
          <w:rFonts w:ascii="宋体" w:hAnsi="宋体" w:cs="宋体"/>
          <w:bCs/>
          <w:sz w:val="24"/>
          <w:highlight w:val="white"/>
          <w:lang w:eastAsia="zh-CN"/>
        </w:rPr>
        <w:t>E为前一日的基金资产净值扣除前一日所持有的基金管理人管理的其他基金公允价值后的余额，若为负数，则E取0</w:t>
      </w:r>
    </w:p>
    <w:p w:rsidR="004244A5" w14:paraId="2FBD918D" w14:textId="77777777">
      <w:pPr>
        <w:pStyle w:val="BodyTextIndent2"/>
        <w:spacing w:before="0" w:after="0" w:line="520" w:lineRule="atLeast"/>
        <w:ind w:left="0" w:firstLine="480" w:firstLineChars="200"/>
        <w:rPr>
          <w:rFonts w:hAnsi="宋体"/>
          <w:szCs w:val="24"/>
          <w:lang w:eastAsia="zh-CN"/>
        </w:rPr>
      </w:pPr>
      <w:r>
        <w:rPr>
          <w:rFonts w:hint="eastAsia"/>
          <w:bCs/>
          <w:highlight w:val="white"/>
          <w:lang w:eastAsia="zh-CN"/>
        </w:rPr>
        <w:t>基金管理费每日计提，逐日累计至每月月末，按月支付，由基金管理人与基金托管人核对一致后，基金托管人按照与基金管理人协商一致的方式于次月前</w:t>
      </w:r>
      <w:r>
        <w:rPr>
          <w:bCs/>
          <w:highlight w:val="white"/>
          <w:lang w:eastAsia="zh-CN"/>
        </w:rPr>
        <w:t>5</w:t>
      </w:r>
      <w:r>
        <w:rPr>
          <w:rFonts w:hint="eastAsia"/>
          <w:bCs/>
          <w:highlight w:val="white"/>
          <w:lang w:eastAsia="zh-CN"/>
        </w:rPr>
        <w:t>个工作日内从基金财产中一次性支付给基金管理人。若遇法定节假日、休息日或不可抗力致使无法按时支付的，支付日期顺延。</w:t>
      </w:r>
    </w:p>
    <w:p w:rsidR="004244A5" w14:paraId="1685A51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11.2基金托管费的计提比例和计提方法</w:t>
      </w:r>
    </w:p>
    <w:p w:rsidR="004244A5" w14:paraId="201A44A9" w14:textId="77777777">
      <w:pPr>
        <w:spacing w:line="360" w:lineRule="auto"/>
        <w:ind w:firstLine="480" w:firstLineChars="200"/>
        <w:rPr>
          <w:bCs/>
          <w:sz w:val="24"/>
          <w:lang w:eastAsia="zh-CN"/>
        </w:rPr>
      </w:pPr>
      <w:r>
        <w:rPr>
          <w:bCs/>
          <w:sz w:val="24"/>
          <w:highlight w:val="white"/>
          <w:lang w:eastAsia="zh-CN"/>
        </w:rPr>
        <w:t>本基金投资于本基金托管人所托管的基金的部分不收取托管费。本基金托管费按前一日基金资产净值扣除前一日所持有本基金托管人托管的其他基金公允价值后的余额（若为负数，则取</w:t>
      </w:r>
      <w:r>
        <w:rPr>
          <w:rFonts w:ascii="宋体" w:hAnsi="宋体" w:cs="宋体"/>
          <w:bCs/>
          <w:sz w:val="24"/>
          <w:highlight w:val="white"/>
          <w:lang w:eastAsia="zh-CN"/>
        </w:rPr>
        <w:t>0</w:t>
      </w:r>
      <w:r>
        <w:rPr>
          <w:bCs/>
          <w:sz w:val="24"/>
          <w:highlight w:val="white"/>
          <w:lang w:eastAsia="zh-CN"/>
        </w:rPr>
        <w:t>）的</w:t>
      </w:r>
      <w:r>
        <w:rPr>
          <w:rFonts w:ascii="宋体" w:hAnsi="宋体" w:cs="宋体"/>
          <w:bCs/>
          <w:sz w:val="24"/>
          <w:highlight w:val="white"/>
          <w:lang w:eastAsia="zh-CN"/>
        </w:rPr>
        <w:t>0.15%</w:t>
      </w:r>
      <w:r>
        <w:rPr>
          <w:bCs/>
          <w:sz w:val="24"/>
          <w:highlight w:val="white"/>
          <w:lang w:eastAsia="zh-CN"/>
        </w:rPr>
        <w:t>年费率计提。托管费的计算方法如下：</w:t>
      </w:r>
    </w:p>
    <w:p w:rsidR="004244A5" w14:paraId="2AC8C5D0" w14:textId="77777777">
      <w:pPr>
        <w:spacing w:line="360" w:lineRule="auto"/>
        <w:ind w:firstLine="480" w:firstLineChars="200"/>
        <w:rPr>
          <w:bCs/>
          <w:sz w:val="24"/>
          <w:lang w:eastAsia="zh-CN"/>
        </w:rPr>
      </w:pPr>
      <w:r>
        <w:rPr>
          <w:rFonts w:ascii="宋体" w:hAnsi="宋体" w:cs="宋体"/>
          <w:bCs/>
          <w:sz w:val="24"/>
          <w:highlight w:val="white"/>
          <w:lang w:eastAsia="zh-CN"/>
        </w:rPr>
        <w:t>H＝E×0.15%÷当年天数</w:t>
      </w:r>
    </w:p>
    <w:p w:rsidR="004244A5" w14:paraId="73597BCD" w14:textId="77777777">
      <w:pPr>
        <w:spacing w:line="360" w:lineRule="auto"/>
        <w:ind w:firstLine="480" w:firstLineChars="200"/>
        <w:rPr>
          <w:bCs/>
          <w:sz w:val="24"/>
          <w:lang w:eastAsia="zh-CN"/>
        </w:rPr>
      </w:pPr>
      <w:r>
        <w:rPr>
          <w:rFonts w:ascii="宋体" w:hAnsi="宋体" w:cs="宋体"/>
          <w:bCs/>
          <w:sz w:val="24"/>
          <w:highlight w:val="white"/>
          <w:lang w:eastAsia="zh-CN"/>
        </w:rPr>
        <w:t>H为每日应计提的基金托管费</w:t>
      </w:r>
    </w:p>
    <w:p w:rsidR="004244A5" w14:paraId="4AEF4D00" w14:textId="77777777">
      <w:pPr>
        <w:spacing w:line="360" w:lineRule="auto"/>
        <w:ind w:firstLine="480" w:firstLineChars="200"/>
        <w:rPr>
          <w:bCs/>
          <w:sz w:val="24"/>
          <w:lang w:eastAsia="zh-CN"/>
        </w:rPr>
      </w:pPr>
      <w:r>
        <w:rPr>
          <w:rFonts w:ascii="宋体" w:hAnsi="宋体" w:cs="宋体"/>
          <w:bCs/>
          <w:sz w:val="24"/>
          <w:highlight w:val="white"/>
          <w:lang w:eastAsia="zh-CN"/>
        </w:rPr>
        <w:t>E为前一日的基金资产净值扣除前一日所持有的基金托管人托管的其他基金公允价值后的余额，若为负数，则E取0</w:t>
      </w:r>
    </w:p>
    <w:p w:rsidR="004244A5" w:rsidRPr="0004511E" w14:paraId="4C824B80" w14:textId="77777777">
      <w:pPr>
        <w:pStyle w:val="BodyTextIndent2"/>
        <w:spacing w:before="0" w:after="0" w:line="520" w:lineRule="atLeast"/>
        <w:ind w:left="0" w:firstLine="480" w:firstLineChars="200"/>
        <w:rPr>
          <w:rFonts w:hAnsi="宋体"/>
          <w:szCs w:val="24"/>
          <w:highlight w:val="white"/>
          <w:lang w:eastAsia="zh-CN"/>
        </w:rPr>
      </w:pPr>
      <w:r>
        <w:rPr>
          <w:rFonts w:hint="eastAsia"/>
          <w:bCs/>
          <w:highlight w:val="white"/>
          <w:lang w:eastAsia="zh-CN"/>
        </w:rPr>
        <w:t>基金托管费每日计提，逐日累计至每月月末，按月支付，由基金管理人与基</w:t>
      </w:r>
      <w:r w:rsidRPr="0004511E">
        <w:rPr>
          <w:rFonts w:hAnsi="宋体" w:hint="eastAsia"/>
          <w:szCs w:val="24"/>
          <w:highlight w:val="white"/>
          <w:lang w:eastAsia="zh-CN"/>
        </w:rPr>
        <w:t>金托管人核对一致后，基金托管人按照与基金管理人协商一致的方式于次月前</w:t>
      </w:r>
      <w:r w:rsidRPr="0004511E">
        <w:rPr>
          <w:rFonts w:hAnsi="宋体"/>
          <w:szCs w:val="24"/>
          <w:highlight w:val="white"/>
          <w:lang w:eastAsia="zh-CN"/>
        </w:rPr>
        <w:t>5</w:t>
      </w:r>
      <w:r w:rsidRPr="0004511E">
        <w:rPr>
          <w:rFonts w:hAnsi="宋体" w:hint="eastAsia"/>
          <w:szCs w:val="24"/>
          <w:highlight w:val="white"/>
          <w:lang w:eastAsia="zh-CN"/>
        </w:rPr>
        <w:t>个工作日内从基金财产中一次性支取。若遇法定节假日、休息日或不可抗力致使无法按时支付的，支付日期顺延。</w:t>
      </w:r>
    </w:p>
    <w:p w:rsidR="004244A5" w:rsidRPr="0004511E" w14:paraId="3D974BAF" w14:textId="77777777">
      <w:pPr>
        <w:pStyle w:val="BodyTextIndent2"/>
        <w:spacing w:before="0" w:after="0" w:line="520" w:lineRule="atLeast"/>
        <w:ind w:left="0" w:firstLine="480" w:firstLineChars="200"/>
        <w:rPr>
          <w:rFonts w:hAnsi="宋体"/>
          <w:szCs w:val="24"/>
          <w:highlight w:val="white"/>
          <w:lang w:eastAsia="zh-CN"/>
        </w:rPr>
      </w:pPr>
      <w:r>
        <w:rPr>
          <w:rFonts w:hAnsi="宋体" w:hint="eastAsia"/>
          <w:szCs w:val="24"/>
          <w:highlight w:val="white"/>
          <w:lang w:eastAsia="zh-CN"/>
        </w:rPr>
        <w:t>11.3销售服务费的计提比例和计提方法</w:t>
      </w:r>
    </w:p>
    <w:p w:rsidR="004244A5" w:rsidRPr="0004511E" w:rsidP="0004511E" w14:paraId="703F5EC6"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hint="eastAsia"/>
          <w:szCs w:val="24"/>
          <w:highlight w:val="white"/>
          <w:lang w:eastAsia="zh-CN"/>
        </w:rPr>
        <w:t>本基金</w:t>
      </w:r>
      <w:r w:rsidRPr="0004511E">
        <w:rPr>
          <w:rFonts w:hAnsi="宋体"/>
          <w:szCs w:val="24"/>
          <w:highlight w:val="white"/>
          <w:lang w:eastAsia="zh-CN"/>
        </w:rPr>
        <w:t>A</w:t>
      </w:r>
      <w:r w:rsidRPr="0004511E">
        <w:rPr>
          <w:rFonts w:hAnsi="宋体" w:hint="eastAsia"/>
          <w:szCs w:val="24"/>
          <w:highlight w:val="white"/>
          <w:lang w:eastAsia="zh-CN"/>
        </w:rPr>
        <w:t>类基金份额不收取销售服务费，</w:t>
      </w:r>
      <w:r w:rsidRPr="0004511E">
        <w:rPr>
          <w:rFonts w:hAnsi="宋体"/>
          <w:szCs w:val="24"/>
          <w:highlight w:val="white"/>
          <w:lang w:eastAsia="zh-CN"/>
        </w:rPr>
        <w:t>C</w:t>
      </w:r>
      <w:r w:rsidRPr="0004511E">
        <w:rPr>
          <w:rFonts w:hAnsi="宋体" w:hint="eastAsia"/>
          <w:szCs w:val="24"/>
          <w:highlight w:val="white"/>
          <w:lang w:eastAsia="zh-CN"/>
        </w:rPr>
        <w:t>类基金份额的销售服务费年费率为</w:t>
      </w:r>
      <w:r w:rsidRPr="0004511E">
        <w:rPr>
          <w:rFonts w:hAnsi="宋体"/>
          <w:szCs w:val="24"/>
          <w:highlight w:val="white"/>
          <w:lang w:eastAsia="zh-CN"/>
        </w:rPr>
        <w:t>0.40%</w:t>
      </w:r>
      <w:r w:rsidRPr="0004511E">
        <w:rPr>
          <w:rFonts w:hAnsi="宋体" w:hint="eastAsia"/>
          <w:szCs w:val="24"/>
          <w:highlight w:val="white"/>
          <w:lang w:eastAsia="zh-CN"/>
        </w:rPr>
        <w:t>，按前一日</w:t>
      </w:r>
      <w:r w:rsidRPr="0004511E">
        <w:rPr>
          <w:rFonts w:hAnsi="宋体"/>
          <w:szCs w:val="24"/>
          <w:highlight w:val="white"/>
          <w:lang w:eastAsia="zh-CN"/>
        </w:rPr>
        <w:t>C</w:t>
      </w:r>
      <w:r w:rsidRPr="0004511E">
        <w:rPr>
          <w:rFonts w:hAnsi="宋体" w:hint="eastAsia"/>
          <w:szCs w:val="24"/>
          <w:highlight w:val="white"/>
          <w:lang w:eastAsia="zh-CN"/>
        </w:rPr>
        <w:t>类基金资产净值的</w:t>
      </w:r>
      <w:r w:rsidRPr="0004511E">
        <w:rPr>
          <w:rFonts w:hAnsi="宋体"/>
          <w:szCs w:val="24"/>
          <w:highlight w:val="white"/>
          <w:lang w:eastAsia="zh-CN"/>
        </w:rPr>
        <w:t>0.40%</w:t>
      </w:r>
      <w:r w:rsidRPr="0004511E">
        <w:rPr>
          <w:rFonts w:hAnsi="宋体" w:hint="eastAsia"/>
          <w:szCs w:val="24"/>
          <w:highlight w:val="white"/>
          <w:lang w:eastAsia="zh-CN"/>
        </w:rPr>
        <w:t>年费率计提。</w:t>
      </w:r>
    </w:p>
    <w:p w:rsidR="004244A5" w:rsidRPr="0004511E" w:rsidP="0004511E" w14:paraId="4A23C8D7"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hint="eastAsia"/>
          <w:szCs w:val="24"/>
          <w:highlight w:val="white"/>
          <w:lang w:eastAsia="zh-CN"/>
        </w:rPr>
        <w:t>销售服务费的计算方法如下：</w:t>
      </w:r>
    </w:p>
    <w:p w:rsidR="004244A5" w:rsidRPr="0004511E" w:rsidP="0004511E" w14:paraId="59DCC422"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szCs w:val="24"/>
          <w:highlight w:val="white"/>
          <w:lang w:eastAsia="zh-CN"/>
        </w:rPr>
        <w:t>H</w:t>
      </w:r>
      <w:r w:rsidRPr="0004511E">
        <w:rPr>
          <w:rFonts w:hAnsi="宋体" w:hint="eastAsia"/>
          <w:szCs w:val="24"/>
          <w:highlight w:val="white"/>
          <w:lang w:eastAsia="zh-CN"/>
        </w:rPr>
        <w:t>＝</w:t>
      </w:r>
      <w:r w:rsidRPr="0004511E">
        <w:rPr>
          <w:rFonts w:hAnsi="宋体"/>
          <w:szCs w:val="24"/>
          <w:highlight w:val="white"/>
          <w:lang w:eastAsia="zh-CN"/>
        </w:rPr>
        <w:t>E</w:t>
      </w:r>
      <w:r w:rsidRPr="0004511E">
        <w:rPr>
          <w:rFonts w:hAnsi="宋体" w:hint="eastAsia"/>
          <w:szCs w:val="24"/>
          <w:highlight w:val="white"/>
          <w:lang w:eastAsia="zh-CN"/>
        </w:rPr>
        <w:t>×</w:t>
      </w:r>
      <w:r w:rsidRPr="0004511E">
        <w:rPr>
          <w:rFonts w:hAnsi="宋体"/>
          <w:szCs w:val="24"/>
          <w:highlight w:val="white"/>
          <w:lang w:eastAsia="zh-CN"/>
        </w:rPr>
        <w:t>0.40%</w:t>
      </w:r>
      <w:r w:rsidRPr="0004511E">
        <w:rPr>
          <w:rFonts w:hAnsi="宋体" w:hint="eastAsia"/>
          <w:szCs w:val="24"/>
          <w:highlight w:val="white"/>
          <w:lang w:eastAsia="zh-CN"/>
        </w:rPr>
        <w:t>÷当年天数</w:t>
      </w:r>
    </w:p>
    <w:p w:rsidR="004244A5" w:rsidRPr="0004511E" w:rsidP="0004511E" w14:paraId="055D3900"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szCs w:val="24"/>
          <w:highlight w:val="white"/>
          <w:lang w:eastAsia="zh-CN"/>
        </w:rPr>
        <w:t xml:space="preserve">H </w:t>
      </w:r>
      <w:r w:rsidRPr="0004511E">
        <w:rPr>
          <w:rFonts w:hAnsi="宋体" w:hint="eastAsia"/>
          <w:szCs w:val="24"/>
          <w:highlight w:val="white"/>
          <w:lang w:eastAsia="zh-CN"/>
        </w:rPr>
        <w:t>为</w:t>
      </w:r>
      <w:r w:rsidRPr="0004511E">
        <w:rPr>
          <w:rFonts w:hAnsi="宋体"/>
          <w:szCs w:val="24"/>
          <w:highlight w:val="white"/>
          <w:lang w:eastAsia="zh-CN"/>
        </w:rPr>
        <w:t>C</w:t>
      </w:r>
      <w:r w:rsidRPr="0004511E">
        <w:rPr>
          <w:rFonts w:hAnsi="宋体" w:hint="eastAsia"/>
          <w:szCs w:val="24"/>
          <w:highlight w:val="white"/>
          <w:lang w:eastAsia="zh-CN"/>
        </w:rPr>
        <w:t>类基金份额每日应计提的销售服务费</w:t>
      </w:r>
    </w:p>
    <w:p w:rsidR="004244A5" w:rsidRPr="0004511E" w:rsidP="0004511E" w14:paraId="64607703"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szCs w:val="24"/>
          <w:highlight w:val="white"/>
          <w:lang w:eastAsia="zh-CN"/>
        </w:rPr>
        <w:t xml:space="preserve">E </w:t>
      </w:r>
      <w:r w:rsidRPr="0004511E">
        <w:rPr>
          <w:rFonts w:hAnsi="宋体" w:hint="eastAsia"/>
          <w:szCs w:val="24"/>
          <w:highlight w:val="white"/>
          <w:lang w:eastAsia="zh-CN"/>
        </w:rPr>
        <w:t>为</w:t>
      </w:r>
      <w:r w:rsidRPr="0004511E">
        <w:rPr>
          <w:rFonts w:hAnsi="宋体"/>
          <w:szCs w:val="24"/>
          <w:highlight w:val="white"/>
          <w:lang w:eastAsia="zh-CN"/>
        </w:rPr>
        <w:t>C</w:t>
      </w:r>
      <w:r w:rsidRPr="0004511E">
        <w:rPr>
          <w:rFonts w:hAnsi="宋体" w:hint="eastAsia"/>
          <w:szCs w:val="24"/>
          <w:highlight w:val="white"/>
          <w:lang w:eastAsia="zh-CN"/>
        </w:rPr>
        <w:t>类基金份额前一日基金资产净值</w:t>
      </w:r>
    </w:p>
    <w:p w:rsidR="004244A5" w:rsidRPr="0004511E" w:rsidP="0004511E" w14:paraId="63C288E7"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hint="eastAsia"/>
          <w:szCs w:val="24"/>
          <w:highlight w:val="white"/>
          <w:lang w:eastAsia="zh-CN"/>
        </w:rPr>
        <w:t>销售服务费每日计提。</w:t>
      </w:r>
    </w:p>
    <w:p w:rsidR="004244A5" w:rsidP="0004511E" w14:paraId="390AE574"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hint="eastAsia"/>
          <w:szCs w:val="24"/>
          <w:highlight w:val="white"/>
          <w:lang w:eastAsia="zh-CN"/>
        </w:rPr>
        <w:t>（</w:t>
      </w:r>
      <w:r w:rsidRPr="0004511E">
        <w:rPr>
          <w:rFonts w:hAnsi="宋体"/>
          <w:szCs w:val="24"/>
          <w:highlight w:val="white"/>
          <w:lang w:eastAsia="zh-CN"/>
        </w:rPr>
        <w:t>1</w:t>
      </w:r>
      <w:r w:rsidRPr="0004511E">
        <w:rPr>
          <w:rFonts w:hAnsi="宋体" w:hint="eastAsia"/>
          <w:szCs w:val="24"/>
          <w:highlight w:val="white"/>
          <w:lang w:eastAsia="zh-CN"/>
        </w:rPr>
        <w:t>）</w:t>
      </w:r>
      <w:r>
        <w:rPr>
          <w:rFonts w:hAnsi="宋体"/>
          <w:szCs w:val="24"/>
          <w:highlight w:val="white"/>
          <w:lang w:eastAsia="zh-CN"/>
        </w:rPr>
        <w:t>通过</w:t>
      </w:r>
      <w:r>
        <w:rPr>
          <w:rFonts w:hAnsi="宋体" w:hint="eastAsia"/>
          <w:szCs w:val="24"/>
          <w:highlight w:val="white"/>
          <w:lang w:eastAsia="zh-CN"/>
        </w:rPr>
        <w:t>基金</w:t>
      </w:r>
      <w:r>
        <w:rPr>
          <w:rFonts w:hAnsi="宋体"/>
          <w:szCs w:val="24"/>
          <w:highlight w:val="white"/>
          <w:lang w:eastAsia="zh-CN"/>
        </w:rPr>
        <w:t>管理人</w:t>
      </w:r>
      <w:r>
        <w:rPr>
          <w:rFonts w:hAnsi="宋体" w:hint="eastAsia"/>
          <w:szCs w:val="24"/>
          <w:highlight w:val="white"/>
          <w:lang w:eastAsia="zh-CN"/>
        </w:rPr>
        <w:t>或</w:t>
      </w:r>
      <w:r>
        <w:rPr>
          <w:rFonts w:hAnsi="宋体"/>
          <w:szCs w:val="24"/>
          <w:highlight w:val="white"/>
          <w:lang w:eastAsia="zh-CN"/>
        </w:rPr>
        <w:t>其基金销售子公司投资的</w:t>
      </w:r>
      <w:r>
        <w:rPr>
          <w:rFonts w:hAnsi="宋体" w:hint="eastAsia"/>
          <w:szCs w:val="24"/>
          <w:highlight w:val="white"/>
          <w:lang w:eastAsia="zh-CN"/>
        </w:rPr>
        <w:t>C类</w:t>
      </w:r>
      <w:r>
        <w:rPr>
          <w:rFonts w:hAnsi="宋体"/>
          <w:szCs w:val="24"/>
          <w:highlight w:val="white"/>
          <w:lang w:eastAsia="zh-CN"/>
        </w:rPr>
        <w:t>基金份额</w:t>
      </w:r>
    </w:p>
    <w:p w:rsidR="004244A5" w:rsidRPr="0004511E" w:rsidP="0004511E" w14:paraId="72115D51"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hint="eastAsia"/>
          <w:szCs w:val="24"/>
          <w:highlight w:val="white"/>
          <w:lang w:eastAsia="zh-CN"/>
        </w:rPr>
        <w:t>对于基金份额计提的销售服务费，在投资者赎回基金份额或基金合同终止时，随赎回款（或清算款）一并返还给投资者。</w:t>
      </w:r>
    </w:p>
    <w:p w:rsidR="004244A5" w:rsidRPr="0004511E" w:rsidP="0004511E" w14:paraId="1F35E5E3"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hint="eastAsia"/>
          <w:szCs w:val="24"/>
          <w:highlight w:val="white"/>
          <w:lang w:eastAsia="zh-CN"/>
        </w:rPr>
        <w:t>（</w:t>
      </w:r>
      <w:r w:rsidRPr="0004511E">
        <w:rPr>
          <w:rFonts w:hAnsi="宋体"/>
          <w:szCs w:val="24"/>
          <w:highlight w:val="white"/>
          <w:lang w:eastAsia="zh-CN"/>
        </w:rPr>
        <w:t>2</w:t>
      </w:r>
      <w:r w:rsidRPr="0004511E">
        <w:rPr>
          <w:rFonts w:hAnsi="宋体" w:hint="eastAsia"/>
          <w:szCs w:val="24"/>
          <w:highlight w:val="white"/>
          <w:lang w:eastAsia="zh-CN"/>
        </w:rPr>
        <w:t>）</w:t>
      </w:r>
      <w:r>
        <w:rPr>
          <w:rFonts w:hAnsi="宋体" w:hint="eastAsia"/>
          <w:szCs w:val="24"/>
          <w:highlight w:val="white"/>
          <w:lang w:eastAsia="zh-CN"/>
        </w:rPr>
        <w:t>通过其他销售机构投资的C类基金份额</w:t>
      </w:r>
    </w:p>
    <w:p w:rsidR="00C31A07" w:rsidRPr="0045793A" w:rsidP="0045793A" w14:paraId="180C1957" w14:textId="36586E93">
      <w:pPr>
        <w:pStyle w:val="BodyTextIndent2"/>
        <w:spacing w:before="0" w:after="0" w:line="520" w:lineRule="atLeast"/>
        <w:ind w:left="0" w:firstLine="480" w:firstLineChars="200"/>
        <w:rPr>
          <w:rFonts w:hAnsi="宋体"/>
          <w:szCs w:val="24"/>
          <w:highlight w:val="white"/>
          <w:lang w:eastAsia="zh-CN"/>
        </w:rPr>
      </w:pPr>
      <w:r w:rsidRPr="0045793A">
        <w:rPr>
          <w:rFonts w:hAnsi="宋体" w:hint="eastAsia"/>
          <w:szCs w:val="24"/>
          <w:highlight w:val="white"/>
          <w:lang w:eastAsia="zh-CN"/>
        </w:rPr>
        <w:t>对于投资者持续持有期限不超过一年（即365天，下同）的基金份额计提的销售服务费，基金托管人按照与基金管理人协商一致的方式于次月前5个工作日内从基金财产中一次性支付。若遇法定节假日、休息日或不可抗力致使无法按时支付的，</w:t>
      </w:r>
      <w:r w:rsidR="00E56FE0">
        <w:rPr>
          <w:rFonts w:hAnsi="宋体" w:hint="eastAsia"/>
          <w:szCs w:val="24"/>
          <w:highlight w:val="white"/>
          <w:lang w:eastAsia="zh-CN"/>
        </w:rPr>
        <w:t>支付日期顺延</w:t>
      </w:r>
      <w:r w:rsidRPr="0045793A">
        <w:rPr>
          <w:rFonts w:hAnsi="宋体" w:hint="eastAsia"/>
          <w:szCs w:val="24"/>
          <w:highlight w:val="white"/>
          <w:lang w:eastAsia="zh-CN"/>
        </w:rPr>
        <w:t>。</w:t>
      </w:r>
    </w:p>
    <w:p w:rsidR="00C31A07" w:rsidRPr="0045793A" w:rsidP="0045793A" w14:paraId="2334F034" w14:textId="77777777">
      <w:pPr>
        <w:pStyle w:val="BodyTextIndent2"/>
        <w:spacing w:before="0" w:after="0" w:line="520" w:lineRule="atLeast"/>
        <w:ind w:left="0" w:firstLine="480" w:firstLineChars="200"/>
        <w:rPr>
          <w:rFonts w:hAnsi="宋体"/>
          <w:szCs w:val="24"/>
          <w:highlight w:val="white"/>
          <w:lang w:eastAsia="zh-CN"/>
        </w:rPr>
      </w:pPr>
      <w:r w:rsidRPr="0045793A">
        <w:rPr>
          <w:rFonts w:hAnsi="宋体" w:hint="eastAsia"/>
          <w:szCs w:val="24"/>
          <w:highlight w:val="white"/>
          <w:lang w:eastAsia="zh-CN"/>
        </w:rPr>
        <w:t>对于持续持有期限超过一年的基金份额继续计提的销售服务费，在投资者赎回基金份额或基金合同终止时，随赎回款（或清算款）一并返还给投资者。</w:t>
      </w:r>
    </w:p>
    <w:p w:rsidR="004244A5" w:rsidRPr="0004511E" w:rsidP="0004511E" w14:paraId="6D3DDA62" w14:textId="77777777">
      <w:pPr>
        <w:pStyle w:val="BodyTextIndent2"/>
        <w:spacing w:before="0" w:after="0" w:line="520" w:lineRule="atLeast"/>
        <w:ind w:left="0" w:firstLine="480" w:firstLineChars="200"/>
        <w:rPr>
          <w:rFonts w:hAnsi="宋体"/>
          <w:szCs w:val="24"/>
          <w:highlight w:val="white"/>
          <w:lang w:eastAsia="zh-CN"/>
        </w:rPr>
      </w:pPr>
      <w:r w:rsidRPr="0004511E">
        <w:rPr>
          <w:rFonts w:hAnsi="宋体" w:hint="eastAsia"/>
          <w:szCs w:val="24"/>
          <w:highlight w:val="white"/>
          <w:lang w:eastAsia="zh-CN"/>
        </w:rPr>
        <w:t>销售服务费计提后按规定收取或返还投资者的金额以登记机构的计算结果为准。</w:t>
      </w:r>
    </w:p>
    <w:p w:rsidR="004244A5" w14:paraId="63320AF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11.4为基金财产及基金运作所开立账户的开户费和维护费、证券交易费用、基金投资其他基金产生的相关费用、基金合同生效后与基金相关的信息披露费用、基金份额持有人大会费用、基金合同生效后与基金相关的会计师费、律师费、仲裁费和诉讼费、基金的银行划款费、因投资内地与香港股票市场交易互联互通机制允许买卖的香港证券市场股票而产生的各项合理费用等根据有关法律法规、基金合同及相应协议的规定，由基金托管人按基金管理人的划款指令并根据费用实际支出金额支付，列入或摊入当期基金费用。</w:t>
      </w:r>
    </w:p>
    <w:p w:rsidR="004244A5" w14:paraId="11DBFAE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11.5不列入基金费用的项目</w:t>
      </w:r>
    </w:p>
    <w:p w:rsidR="004244A5" w14:paraId="3F3540D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rsidR="004244A5" w14:paraId="7905588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11.6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rsidR="004244A5" w14:paraId="5D227734" w14:textId="1D3736C1">
      <w:pPr>
        <w:pStyle w:val="BodyTextIndent2"/>
        <w:spacing w:before="0" w:after="0" w:line="520" w:lineRule="atLeast"/>
        <w:ind w:left="0" w:firstLine="480" w:firstLineChars="200"/>
        <w:rPr>
          <w:rFonts w:hAnsi="宋体"/>
          <w:szCs w:val="24"/>
          <w:lang w:eastAsia="zh-CN"/>
        </w:rPr>
      </w:pPr>
      <w:r>
        <w:rPr>
          <w:highlight w:val="white"/>
          <w:lang w:eastAsia="zh-CN"/>
        </w:rPr>
        <w:t>11.7 实施侧袋机制期间的基金费用 本基金实施侧袋机制的，与侧袋账户有关的费用可以从侧袋账户中列支，但应待侧袋账户资产变现后方可列支，有关费用可酌情收取或减免，但不得收取管理费， 详见招募说明书的规定。</w:t>
      </w:r>
    </w:p>
    <w:p w:rsidR="004244A5" w14:paraId="600436E9" w14:textId="63A4C8E0">
      <w:pPr>
        <w:pStyle w:val="Heading1"/>
        <w:snapToGrid/>
        <w:spacing w:line="520" w:lineRule="atLeast"/>
        <w:ind w:firstLine="480" w:firstLineChars="200"/>
        <w:rPr>
          <w:bCs/>
          <w:color w:val="auto"/>
          <w:szCs w:val="24"/>
          <w:lang w:eastAsia="zh-CN"/>
        </w:rPr>
      </w:pPr>
      <w:bookmarkStart w:id="12" w:name="_Toc227311345"/>
      <w:r>
        <w:rPr>
          <w:rFonts w:hint="eastAsia"/>
          <w:bCs/>
          <w:color w:val="auto"/>
          <w:szCs w:val="24"/>
          <w:highlight w:val="white"/>
          <w:lang w:eastAsia="zh-CN"/>
        </w:rPr>
        <w:t>第十二条 基金份额持有人名册的保管</w:t>
      </w:r>
      <w:bookmarkEnd w:id="12"/>
    </w:p>
    <w:p w:rsidR="004244A5" w14:paraId="1CBB6F8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12.1基金管理人和基金托管人须分别妥善保管基金份额持有人名册，基金份额持有人名册的内容必须包括基金份额持有人的名称和持有的基金份额。</w:t>
      </w:r>
    </w:p>
    <w:p w:rsidR="004244A5" w14:paraId="5DB22A3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12.2基金份额持有人名册由基金的登记机构根据基金管理人的指令编制和保管，基金管理人和基金托管人应按照目前相关规则分别保管基金份额持有人名册。保管方式可以采用电子或文档的形式，保管期限为20年以上。</w:t>
      </w:r>
    </w:p>
    <w:p w:rsidR="004244A5" w14:paraId="170A653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12.3若基金管理人或基金托管人由于自身原因无法妥善保管基金份额持有人名册，应按有关法规规定各自承担相应的责任。</w:t>
      </w:r>
    </w:p>
    <w:p w:rsidR="004244A5" w14:paraId="04D98B4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Pr>
          <w:rFonts w:hAnsi="宋体"/>
          <w:szCs w:val="24"/>
          <w:highlight w:val="white"/>
          <w:lang w:eastAsia="zh-CN"/>
        </w:rPr>
        <w:t>2.4</w:t>
      </w:r>
      <w:r>
        <w:rPr>
          <w:rFonts w:hAnsi="宋体" w:hint="eastAsia"/>
          <w:szCs w:val="24"/>
          <w:highlight w:val="white"/>
          <w:lang w:eastAsia="zh-CN"/>
        </w:rPr>
        <w:t>对于每半年度最后一个工作日的基金份额持有人名册，基金管理人应在每半年年度结束后5个工作日内定期向基金托管人提供。对于基金募集期结束时的基金份额持有人名册、收益分配基准日的基金份额持有人名册以及基金份额持有人大会权益登记日的基金份额持有人名册，基金管理人应在相关名册生成后5个工作日内向基金托管人提供。</w:t>
      </w:r>
    </w:p>
    <w:p w:rsidR="004244A5" w14:paraId="28C1FC24" w14:textId="305A4439">
      <w:pPr>
        <w:pStyle w:val="Heading1"/>
        <w:snapToGrid/>
        <w:spacing w:line="520" w:lineRule="atLeast"/>
        <w:ind w:firstLine="480" w:firstLineChars="200"/>
        <w:rPr>
          <w:bCs/>
          <w:color w:val="auto"/>
          <w:szCs w:val="24"/>
          <w:lang w:eastAsia="zh-CN"/>
        </w:rPr>
      </w:pPr>
      <w:bookmarkStart w:id="13" w:name="_Toc227311346"/>
      <w:r>
        <w:rPr>
          <w:rFonts w:hint="eastAsia"/>
          <w:bCs/>
          <w:color w:val="auto"/>
          <w:szCs w:val="24"/>
          <w:highlight w:val="white"/>
          <w:lang w:eastAsia="zh-CN"/>
        </w:rPr>
        <w:t>第十三条 基金有关文件和档案的保存</w:t>
      </w:r>
      <w:bookmarkEnd w:id="13"/>
    </w:p>
    <w:p w:rsidR="004244A5" w14:paraId="34F2AB8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13.1基金管理人、基金托管人按各自职责完整保存原始凭证、记账凭证、基金账册、交易记录和重要合同等，保存期限不少于20年，对相关信息负有保密义务，但本协议另有约定或根据有关法律法规规定或有权机关要求披露的除外。其中，基金管理人应保存基金财产管理业务活动的记录、账册、报表和其他相关资料，基金托管人应保存基金托管业务活动的记录、账册、报表和其他相关资料。</w:t>
      </w:r>
    </w:p>
    <w:p w:rsidR="004244A5" w14:paraId="5CAB013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13.2基金管理人签署重大合同文本后，应及时将合同文本正本送达基金托管人处。基金管理人应及时将与本基金账务处理、资金划拨等有关的合同、协议传真给基金托管人。</w:t>
      </w:r>
    </w:p>
    <w:p w:rsidR="004244A5" w14:paraId="275B0E3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13.3基金管理人或基金托管人变更后，未变更的一方有义务协助接任人接受基金的有关文件。</w:t>
      </w:r>
    </w:p>
    <w:p w:rsidR="004244A5" w14:paraId="6B3C853B" w14:textId="77777777">
      <w:pPr>
        <w:pStyle w:val="Heading1"/>
        <w:snapToGrid/>
        <w:spacing w:line="520" w:lineRule="atLeast"/>
        <w:ind w:firstLine="480" w:firstLineChars="200"/>
        <w:rPr>
          <w:bCs/>
          <w:color w:val="auto"/>
          <w:szCs w:val="24"/>
          <w:lang w:eastAsia="zh-CN"/>
        </w:rPr>
      </w:pPr>
      <w:bookmarkStart w:id="14" w:name="_Toc227311347"/>
      <w:r>
        <w:rPr>
          <w:rFonts w:hint="eastAsia"/>
          <w:bCs/>
          <w:color w:val="auto"/>
          <w:szCs w:val="24"/>
          <w:highlight w:val="white"/>
          <w:lang w:eastAsia="zh-CN"/>
        </w:rPr>
        <w:t>第十四条 基金管理人和基金托管人的更换</w:t>
      </w:r>
      <w:bookmarkEnd w:id="14"/>
    </w:p>
    <w:p w:rsidR="004244A5" w14:paraId="0BD005F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14.1基金管理人的更换</w:t>
      </w:r>
    </w:p>
    <w:p w:rsidR="004244A5" w14:paraId="4680E2C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14.1.1基金管理人的更换条件</w:t>
      </w:r>
    </w:p>
    <w:p w:rsidR="004244A5" w14:paraId="5988487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有下列情形之一的，基金管理人职责终止：</w:t>
      </w:r>
    </w:p>
    <w:p w:rsidR="004244A5" w14:paraId="5C5150E7" w14:textId="7CFDBB93">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sidR="00A3270D">
        <w:rPr>
          <w:rFonts w:hAnsi="宋体" w:hint="eastAsia"/>
          <w:szCs w:val="24"/>
          <w:highlight w:val="white"/>
          <w:lang w:eastAsia="zh-CN"/>
        </w:rPr>
        <w:t>被依法取消基金管理资格；</w:t>
      </w:r>
    </w:p>
    <w:p w:rsidR="004244A5" w14:paraId="36998CEE" w14:textId="2370DE07">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2</w:t>
      </w:r>
      <w:r>
        <w:rPr>
          <w:rFonts w:hAnsi="宋体"/>
          <w:szCs w:val="24"/>
          <w:highlight w:val="white"/>
          <w:lang w:eastAsia="zh-CN"/>
        </w:rPr>
        <w:t>）</w:t>
      </w:r>
      <w:r w:rsidR="00A3270D">
        <w:rPr>
          <w:rFonts w:hAnsi="宋体" w:hint="eastAsia"/>
          <w:szCs w:val="24"/>
          <w:highlight w:val="white"/>
          <w:lang w:eastAsia="zh-CN"/>
        </w:rPr>
        <w:t>被基金份额持有人大会解任；</w:t>
      </w:r>
    </w:p>
    <w:p w:rsidR="004244A5" w14:paraId="3BC0463A" w14:textId="46BC9533">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3</w:t>
      </w:r>
      <w:r>
        <w:rPr>
          <w:rFonts w:hAnsi="宋体"/>
          <w:szCs w:val="24"/>
          <w:highlight w:val="white"/>
          <w:lang w:eastAsia="zh-CN"/>
        </w:rPr>
        <w:t>）</w:t>
      </w:r>
      <w:r w:rsidR="00A3270D">
        <w:rPr>
          <w:rFonts w:hAnsi="宋体" w:hint="eastAsia"/>
          <w:szCs w:val="24"/>
          <w:highlight w:val="white"/>
          <w:lang w:eastAsia="zh-CN"/>
        </w:rPr>
        <w:t>依法解散、被依法撤销或被依法宣告破产；</w:t>
      </w:r>
    </w:p>
    <w:p w:rsidR="004244A5" w14:paraId="5A52E8A6" w14:textId="6A869400">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4</w:t>
      </w:r>
      <w:r>
        <w:rPr>
          <w:rFonts w:hAnsi="宋体"/>
          <w:szCs w:val="24"/>
          <w:highlight w:val="white"/>
          <w:lang w:eastAsia="zh-CN"/>
        </w:rPr>
        <w:t>）</w:t>
      </w:r>
      <w:r w:rsidR="00A3270D">
        <w:rPr>
          <w:rFonts w:hAnsi="宋体" w:hint="eastAsia"/>
          <w:szCs w:val="24"/>
          <w:highlight w:val="white"/>
          <w:lang w:eastAsia="zh-CN"/>
        </w:rPr>
        <w:t>法律法规及中国证监会规定的和《基金合同》约定的其他情形。</w:t>
      </w:r>
    </w:p>
    <w:p w:rsidR="004244A5" w14:paraId="4BE53E8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14.1.2基金管理人的更换程序</w:t>
      </w:r>
    </w:p>
    <w:p w:rsidR="004244A5" w14:paraId="349D242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更换基金管理人必须依照如下程序进行：</w:t>
      </w:r>
    </w:p>
    <w:p w:rsidR="004244A5" w14:paraId="0B80B4DA" w14:textId="45858A0A">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sidR="00A3270D">
        <w:rPr>
          <w:rFonts w:hAnsi="宋体" w:hint="eastAsia"/>
          <w:szCs w:val="24"/>
          <w:highlight w:val="white"/>
          <w:lang w:eastAsia="zh-CN"/>
        </w:rPr>
        <w:t>提名：新任基金管理人由基金托管人或由单独或合计持有10%以上（含10%）基金份额的基金份额持有人提名；</w:t>
      </w:r>
    </w:p>
    <w:p w:rsidR="004244A5" w14:paraId="63A6CA03" w14:textId="3423F8AC">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2</w:t>
      </w:r>
      <w:r>
        <w:rPr>
          <w:rFonts w:hAnsi="宋体"/>
          <w:szCs w:val="24"/>
          <w:highlight w:val="white"/>
          <w:lang w:eastAsia="zh-CN"/>
        </w:rPr>
        <w:t>）</w:t>
      </w:r>
      <w:r w:rsidR="00A3270D">
        <w:rPr>
          <w:rFonts w:hAnsi="宋体" w:hint="eastAsia"/>
          <w:szCs w:val="24"/>
          <w:highlight w:val="white"/>
          <w:lang w:eastAsia="zh-CN"/>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4244A5" w14:paraId="10A0C57C" w14:textId="38964C94">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w:t>
      </w:r>
      <w:r w:rsidR="00A3270D">
        <w:rPr>
          <w:rFonts w:hAnsi="宋体" w:hint="eastAsia"/>
          <w:szCs w:val="24"/>
          <w:highlight w:val="white"/>
          <w:lang w:eastAsia="zh-CN"/>
        </w:rPr>
        <w:t>临时基金管理人：新任基金管理人产生之前，由中国证监会指定临时基金管理人；</w:t>
      </w:r>
    </w:p>
    <w:p w:rsidR="004244A5" w14:paraId="02C4EB36" w14:textId="3F843FD2">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4</w:t>
      </w:r>
      <w:r>
        <w:rPr>
          <w:rFonts w:hAnsi="宋体"/>
          <w:szCs w:val="24"/>
          <w:highlight w:val="white"/>
          <w:lang w:eastAsia="zh-CN"/>
        </w:rPr>
        <w:t>）</w:t>
      </w:r>
      <w:r w:rsidR="00A3270D">
        <w:rPr>
          <w:rFonts w:hAnsi="宋体" w:hint="eastAsia"/>
          <w:szCs w:val="24"/>
          <w:highlight w:val="white"/>
          <w:lang w:eastAsia="zh-CN"/>
        </w:rPr>
        <w:t>备案：基金份额持有人大会更换基金管理人的决议须报中国证监会备案；</w:t>
      </w:r>
    </w:p>
    <w:p w:rsidR="004244A5" w14:paraId="57801CD4" w14:textId="105F8849">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5</w:t>
      </w:r>
      <w:r>
        <w:rPr>
          <w:rFonts w:hAnsi="宋体"/>
          <w:szCs w:val="24"/>
          <w:highlight w:val="white"/>
          <w:lang w:eastAsia="zh-CN"/>
        </w:rPr>
        <w:t>）</w:t>
      </w:r>
      <w:r w:rsidR="00A3270D">
        <w:rPr>
          <w:rFonts w:hAnsi="宋体" w:hint="eastAsia"/>
          <w:szCs w:val="24"/>
          <w:highlight w:val="white"/>
          <w:lang w:eastAsia="zh-CN"/>
        </w:rPr>
        <w:t>公告：基金管理人更换后，由基金托管人在更换基金管理人的基金份额持有人大会决议生效后2日内在规定媒介公告；</w:t>
      </w:r>
    </w:p>
    <w:p w:rsidR="004244A5" w14:paraId="68DEE348" w14:textId="4F5F4791">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w:t>
      </w:r>
      <w:r w:rsidR="00A3270D">
        <w:rPr>
          <w:rFonts w:hAnsi="宋体" w:hint="eastAsia"/>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4244A5" w14:paraId="49C23213" w14:textId="3C0D0F2D">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7</w:t>
      </w:r>
      <w:r>
        <w:rPr>
          <w:rFonts w:hAnsi="宋体"/>
          <w:szCs w:val="24"/>
          <w:highlight w:val="white"/>
          <w:lang w:eastAsia="zh-CN"/>
        </w:rPr>
        <w:t>）</w:t>
      </w:r>
      <w:r w:rsidR="00A3270D">
        <w:rPr>
          <w:rFonts w:hAnsi="宋体" w:hint="eastAsia"/>
          <w:szCs w:val="24"/>
          <w:highlight w:val="white"/>
          <w:lang w:eastAsia="zh-CN"/>
        </w:rPr>
        <w:t>审计：基金管理人职责终止的，应当按照法律法规规定聘请会计师事务所对基金财产进行审计，并将审计结果予以公告，同时报中国证监会备案。审计费用从基金财产中列支；</w:t>
      </w:r>
    </w:p>
    <w:p w:rsidR="004244A5" w14:paraId="3A07D27A" w14:textId="5407CE44">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8</w:t>
      </w:r>
      <w:r>
        <w:rPr>
          <w:rFonts w:hAnsi="宋体"/>
          <w:szCs w:val="24"/>
          <w:highlight w:val="white"/>
          <w:lang w:eastAsia="zh-CN"/>
        </w:rPr>
        <w:t>）</w:t>
      </w:r>
      <w:r w:rsidR="00A3270D">
        <w:rPr>
          <w:rFonts w:hAnsi="宋体" w:hint="eastAsia"/>
          <w:szCs w:val="24"/>
          <w:highlight w:val="white"/>
          <w:lang w:eastAsia="zh-CN"/>
        </w:rPr>
        <w:t>基金名称变更：基金管理人更换后，如果原任或新任基金管理人要求，应按其要求替换或删除基金名称中与原基金管理人有关的名称字样。</w:t>
      </w:r>
    </w:p>
    <w:p w:rsidR="004244A5" w14:paraId="180C790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14.2基金托管人的更换</w:t>
      </w:r>
    </w:p>
    <w:p w:rsidR="004244A5" w14:paraId="318C0F8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14.2.1基金托管人的更换条件</w:t>
      </w:r>
    </w:p>
    <w:p w:rsidR="004244A5" w14:paraId="653CB64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有下列情形之一的，基金托管人职责终止：</w:t>
      </w:r>
    </w:p>
    <w:p w:rsidR="004244A5" w14:paraId="65290AB8" w14:textId="4DB1807A">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1</w:t>
      </w:r>
      <w:r>
        <w:rPr>
          <w:rFonts w:hAnsi="宋体"/>
          <w:szCs w:val="24"/>
          <w:highlight w:val="white"/>
          <w:lang w:eastAsia="zh-CN"/>
        </w:rPr>
        <w:t>）</w:t>
      </w:r>
      <w:r w:rsidR="00A3270D">
        <w:rPr>
          <w:rFonts w:hAnsi="宋体" w:hint="eastAsia"/>
          <w:szCs w:val="24"/>
          <w:highlight w:val="white"/>
          <w:lang w:eastAsia="zh-CN"/>
        </w:rPr>
        <w:t>被依法取消基金托管资格；</w:t>
      </w:r>
    </w:p>
    <w:p w:rsidR="004244A5" w14:paraId="728D21A3" w14:textId="21CCFF3D">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2</w:t>
      </w:r>
      <w:r>
        <w:rPr>
          <w:rFonts w:hAnsi="宋体"/>
          <w:szCs w:val="24"/>
          <w:highlight w:val="white"/>
          <w:lang w:eastAsia="zh-CN"/>
        </w:rPr>
        <w:t>）</w:t>
      </w:r>
      <w:r w:rsidR="00A3270D">
        <w:rPr>
          <w:rFonts w:hAnsi="宋体" w:hint="eastAsia"/>
          <w:szCs w:val="24"/>
          <w:highlight w:val="white"/>
          <w:lang w:eastAsia="zh-CN"/>
        </w:rPr>
        <w:t>被基金份额持有人大会解任；</w:t>
      </w:r>
    </w:p>
    <w:p w:rsidR="004244A5" w14:paraId="2B506087" w14:textId="569F6992">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3</w:t>
      </w:r>
      <w:r>
        <w:rPr>
          <w:rFonts w:hAnsi="宋体"/>
          <w:szCs w:val="24"/>
          <w:highlight w:val="white"/>
          <w:lang w:eastAsia="zh-CN"/>
        </w:rPr>
        <w:t>）</w:t>
      </w:r>
      <w:r w:rsidR="00A3270D">
        <w:rPr>
          <w:rFonts w:hAnsi="宋体" w:hint="eastAsia"/>
          <w:szCs w:val="24"/>
          <w:highlight w:val="white"/>
          <w:lang w:eastAsia="zh-CN"/>
        </w:rPr>
        <w:t>依法解散、被依法撤销或被依法宣告破产；</w:t>
      </w:r>
    </w:p>
    <w:p w:rsidR="004244A5" w14:paraId="4593EDB0" w14:textId="2AFF366D">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4</w:t>
      </w:r>
      <w:r>
        <w:rPr>
          <w:rFonts w:hAnsi="宋体"/>
          <w:szCs w:val="24"/>
          <w:highlight w:val="white"/>
          <w:lang w:eastAsia="zh-CN"/>
        </w:rPr>
        <w:t>）</w:t>
      </w:r>
      <w:r w:rsidR="00A3270D">
        <w:rPr>
          <w:rFonts w:hAnsi="宋体" w:hint="eastAsia"/>
          <w:szCs w:val="24"/>
          <w:highlight w:val="white"/>
          <w:lang w:eastAsia="zh-CN"/>
        </w:rPr>
        <w:t>法律法规及中国证监会规定的和《基金合同》约定的其他情形。</w:t>
      </w:r>
    </w:p>
    <w:p w:rsidR="004244A5" w14:paraId="7700F6D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14.2.2基金托管人的更换程序</w:t>
      </w:r>
    </w:p>
    <w:p w:rsidR="004244A5" w14:paraId="7B09808C" w14:textId="3F5EA577">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1</w:t>
      </w:r>
      <w:r>
        <w:rPr>
          <w:rFonts w:hAnsi="宋体"/>
          <w:szCs w:val="24"/>
          <w:highlight w:val="white"/>
          <w:lang w:eastAsia="zh-CN"/>
        </w:rPr>
        <w:t>）</w:t>
      </w:r>
      <w:r w:rsidR="00A3270D">
        <w:rPr>
          <w:rFonts w:hAnsi="宋体" w:hint="eastAsia"/>
          <w:szCs w:val="24"/>
          <w:highlight w:val="white"/>
          <w:lang w:eastAsia="zh-CN"/>
        </w:rPr>
        <w:t>提名：新任基金托管人由基金管理人或由单独或合计持有10%以上（含10%）基金份额的基金份额持有人提名；</w:t>
      </w:r>
    </w:p>
    <w:p w:rsidR="004244A5" w14:paraId="369565C8" w14:textId="3F77E267">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2</w:t>
      </w:r>
      <w:r>
        <w:rPr>
          <w:rFonts w:hAnsi="宋体"/>
          <w:szCs w:val="24"/>
          <w:highlight w:val="white"/>
          <w:lang w:eastAsia="zh-CN"/>
        </w:rPr>
        <w:t>）</w:t>
      </w:r>
      <w:r w:rsidR="00A3270D">
        <w:rPr>
          <w:rFonts w:hAnsi="宋体" w:hint="eastAsia"/>
          <w:szCs w:val="24"/>
          <w:highlight w:val="white"/>
          <w:lang w:eastAsia="zh-CN"/>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4244A5" w14:paraId="1C6E8B4A" w14:textId="1936CECB">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3</w:t>
      </w:r>
      <w:r>
        <w:rPr>
          <w:rFonts w:hAnsi="宋体"/>
          <w:szCs w:val="24"/>
          <w:highlight w:val="white"/>
          <w:lang w:eastAsia="zh-CN"/>
        </w:rPr>
        <w:t>）</w:t>
      </w:r>
      <w:r w:rsidR="00A3270D">
        <w:rPr>
          <w:rFonts w:hAnsi="宋体" w:hint="eastAsia"/>
          <w:szCs w:val="24"/>
          <w:highlight w:val="white"/>
          <w:lang w:eastAsia="zh-CN"/>
        </w:rPr>
        <w:t>临时基金托管人：新任基金托管人产生之前，由中国证监会指定临时基金托管人；</w:t>
      </w:r>
    </w:p>
    <w:p w:rsidR="004244A5" w14:paraId="57E2635C" w14:textId="567CC619">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4</w:t>
      </w:r>
      <w:r>
        <w:rPr>
          <w:rFonts w:hAnsi="宋体"/>
          <w:szCs w:val="24"/>
          <w:highlight w:val="white"/>
          <w:lang w:eastAsia="zh-CN"/>
        </w:rPr>
        <w:t>）</w:t>
      </w:r>
      <w:r w:rsidR="00A3270D">
        <w:rPr>
          <w:rFonts w:hAnsi="宋体" w:hint="eastAsia"/>
          <w:szCs w:val="24"/>
          <w:highlight w:val="white"/>
          <w:lang w:eastAsia="zh-CN"/>
        </w:rPr>
        <w:t>备案：基金份额持有人大会更换基金托管人的决议须报中国证监会备案；</w:t>
      </w:r>
    </w:p>
    <w:p w:rsidR="004244A5" w14:paraId="230A9338" w14:textId="2AACF237">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5</w:t>
      </w:r>
      <w:r>
        <w:rPr>
          <w:rFonts w:hAnsi="宋体"/>
          <w:szCs w:val="24"/>
          <w:highlight w:val="white"/>
          <w:lang w:eastAsia="zh-CN"/>
        </w:rPr>
        <w:t>）</w:t>
      </w:r>
      <w:r w:rsidR="00A3270D">
        <w:rPr>
          <w:rFonts w:hAnsi="宋体" w:hint="eastAsia"/>
          <w:szCs w:val="24"/>
          <w:highlight w:val="white"/>
          <w:lang w:eastAsia="zh-CN"/>
        </w:rPr>
        <w:t>公告：基金托管人更换后，由基金管理人在更换基金托管人的基金份额持有人大会决议生效后2日内在规定媒介公告；</w:t>
      </w:r>
    </w:p>
    <w:p w:rsidR="004244A5" w14:paraId="67BE9A2B" w14:textId="4C94E1EF">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6</w:t>
      </w:r>
      <w:r>
        <w:rPr>
          <w:rFonts w:hAnsi="宋体"/>
          <w:szCs w:val="24"/>
          <w:highlight w:val="white"/>
          <w:lang w:eastAsia="zh-CN"/>
        </w:rPr>
        <w:t>）</w:t>
      </w:r>
      <w:r w:rsidR="00A3270D">
        <w:rPr>
          <w:rFonts w:hAnsi="宋体" w:hint="eastAsia"/>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4244A5" w14:paraId="162D40C3" w14:textId="1EE9783E">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7</w:t>
      </w:r>
      <w:r>
        <w:rPr>
          <w:rFonts w:hAnsi="宋体"/>
          <w:szCs w:val="24"/>
          <w:highlight w:val="white"/>
          <w:lang w:eastAsia="zh-CN"/>
        </w:rPr>
        <w:t>）</w:t>
      </w:r>
      <w:r w:rsidR="00A3270D">
        <w:rPr>
          <w:rFonts w:hAnsi="宋体" w:hint="eastAsia"/>
          <w:szCs w:val="24"/>
          <w:highlight w:val="white"/>
          <w:lang w:eastAsia="zh-CN"/>
        </w:rPr>
        <w:t>审计：基金托管人职责终止的，应当按照法律法规规定聘请会计师事务所对基金财产进行审计，并将审计结果予以公告，同时报中国证监会备案。审计费用从基金财产中列支。</w:t>
      </w:r>
    </w:p>
    <w:p w:rsidR="004244A5" w14:paraId="611A23D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14.3基金管理人与基金托管人同时更换</w:t>
      </w:r>
    </w:p>
    <w:p w:rsidR="004244A5" w14:paraId="42DE1FB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14.3.1提名：如果基金管理人和基金托管人同时更换，由单独或合计持有基金总份额10%以上（含10%）的基金份额持有人提名新的基金管理人和基金托管人。</w:t>
      </w:r>
    </w:p>
    <w:p w:rsidR="004244A5" w14:paraId="5E7367D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14.3.2基金管理人和基金托管人的更换分别按上述程序进行。</w:t>
      </w:r>
    </w:p>
    <w:p w:rsidR="004244A5" w14:paraId="0C62FA4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14.3.3公告：新任基金管理人和新任基金托管人应在更换基金管理人和基金托管人的基金份额持有人大会决议生效后2日内在规定媒介上联合公告。</w:t>
      </w:r>
    </w:p>
    <w:p w:rsidR="004244A5" w14:paraId="4C28032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14.4新任或临时基金管理人接受基金管理业务或新任或临时基金托管人接受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基金合同的规定收取基金管理费或基金托管费。</w:t>
      </w:r>
    </w:p>
    <w:p w:rsidR="004244A5" w14:paraId="360CEF9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14.5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4244A5" w14:paraId="294F5AB4" w14:textId="77777777">
      <w:pPr>
        <w:pStyle w:val="Heading1"/>
        <w:snapToGrid/>
        <w:spacing w:line="520" w:lineRule="atLeast"/>
        <w:ind w:firstLine="480" w:firstLineChars="200"/>
        <w:rPr>
          <w:bCs/>
          <w:color w:val="auto"/>
          <w:szCs w:val="24"/>
          <w:lang w:eastAsia="zh-CN"/>
        </w:rPr>
      </w:pPr>
      <w:bookmarkStart w:id="15" w:name="_Toc227311348"/>
      <w:r>
        <w:rPr>
          <w:rFonts w:hint="eastAsia"/>
          <w:bCs/>
          <w:color w:val="auto"/>
          <w:szCs w:val="24"/>
          <w:highlight w:val="white"/>
          <w:lang w:eastAsia="zh-CN"/>
        </w:rPr>
        <w:t>第十五条 禁止行为</w:t>
      </w:r>
      <w:bookmarkEnd w:id="15"/>
    </w:p>
    <w:p w:rsidR="004244A5" w14:paraId="64577AB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15.1基金管理人、基金托管人禁止从事的行为，包括但不限于：</w:t>
      </w:r>
    </w:p>
    <w:p w:rsidR="004244A5" w14:paraId="0B0C8C37"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15.1.1基金管理人、基金托管人将其固有财产或者他人财产混同于基金财产从事证券投资。</w:t>
      </w:r>
    </w:p>
    <w:p w:rsidR="004244A5" w14:paraId="7B6BCE80"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15.1.2基金管理人不公平地对待其管理的不同基金财产，基金托管人不公平地对待其托管的不同基金财产。</w:t>
      </w:r>
    </w:p>
    <w:p w:rsidR="004244A5" w14:paraId="71DE115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15.1.3基金管理人、基金托管人利用基金财产为基金份额持有人以外的第三人牟取利益。</w:t>
      </w:r>
    </w:p>
    <w:p w:rsidR="004244A5" w14:paraId="6F4D093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15.1.4基金管理人、基金托管人向基金份额持有人违规承诺收益或者承担损失。</w:t>
      </w:r>
    </w:p>
    <w:p w:rsidR="004244A5" w14:paraId="796709CC" w14:textId="5EB9BC14">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15.1.5基金管理人、基金托管人对他人泄</w:t>
      </w:r>
      <w:r w:rsidRPr="0071246F">
        <w:rPr>
          <w:rFonts w:hAnsi="宋体" w:hint="eastAsia"/>
          <w:szCs w:val="24"/>
          <w:lang w:eastAsia="zh-CN"/>
        </w:rPr>
        <w:t>露</w:t>
      </w:r>
      <w:r>
        <w:rPr>
          <w:rFonts w:hAnsi="宋体" w:hint="eastAsia"/>
          <w:szCs w:val="24"/>
          <w:highlight w:val="white"/>
          <w:lang w:eastAsia="zh-CN"/>
        </w:rPr>
        <w:t>基金运作和管理过程中任何尚未按法律法规规定的方式公开披露的信息。</w:t>
      </w:r>
    </w:p>
    <w:p w:rsidR="004244A5" w14:paraId="00EFC55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15.1.6基金管理人在没有充足资金的情况下向基金托管人发出投资指令和赎回、分红资金的划拨指令，或违规向基金托管人发出指令。</w:t>
      </w:r>
    </w:p>
    <w:p w:rsidR="004244A5" w14:paraId="097208D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15.1.7基金管理人、基金托管人在行政上、财务上不独立，其高级管理人员和其他从业人员相互兼职。</w:t>
      </w:r>
    </w:p>
    <w:p w:rsidR="004244A5" w14:paraId="76CA44C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15.1.8基金托管人私自动用或处分基金财产，根据基金管理人的合法指令、基金合同或本协议的规定进行处分的除外。</w:t>
      </w:r>
    </w:p>
    <w:p w:rsidR="004244A5" w14:paraId="48BE34E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15.1.9基金财产用于下列投资或者活动：</w:t>
      </w:r>
    </w:p>
    <w:p w:rsidR="004244A5" w14:paraId="43FFEAE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（1）承销证券；</w:t>
      </w:r>
    </w:p>
    <w:p w:rsidR="004244A5" w14:paraId="4BE3F5E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（2）违反规定向他人贷款或者提供担保；</w:t>
      </w:r>
    </w:p>
    <w:p w:rsidR="004244A5" w14:paraId="035DE2D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（3）从事承担无限责任的投资；</w:t>
      </w:r>
    </w:p>
    <w:p w:rsidR="004244A5" w14:paraId="43D4C50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（4）向其基金管理人、基金托管人出资；</w:t>
      </w:r>
    </w:p>
    <w:p w:rsidR="004244A5" w14:paraId="54974C5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（5）从事内幕交易、操纵证券交易价格及其他不正当的证券交易活动；</w:t>
      </w:r>
    </w:p>
    <w:p w:rsidR="004244A5" w14:paraId="4B59C68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（6）法律、行政法规和中国证监会规定禁止的其他活动。</w:t>
      </w:r>
    </w:p>
    <w:p w:rsidR="004244A5" w14:paraId="4E21359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15.1.10法律法规或监管部门取消或变更上述禁止性规定，本基金可不受上述规定的限制或按变更后的规定执行。</w:t>
      </w:r>
    </w:p>
    <w:p w:rsidR="004244A5" w14:paraId="6B114C20" w14:textId="77777777">
      <w:pPr>
        <w:pStyle w:val="Heading1"/>
        <w:snapToGrid/>
        <w:spacing w:line="520" w:lineRule="atLeast"/>
        <w:ind w:firstLine="480" w:firstLineChars="200"/>
        <w:rPr>
          <w:bCs/>
          <w:color w:val="auto"/>
          <w:szCs w:val="24"/>
          <w:lang w:eastAsia="zh-CN"/>
        </w:rPr>
      </w:pPr>
      <w:bookmarkStart w:id="16" w:name="_Toc227311349"/>
      <w:r>
        <w:rPr>
          <w:rFonts w:hint="eastAsia"/>
          <w:bCs/>
          <w:color w:val="auto"/>
          <w:szCs w:val="24"/>
          <w:highlight w:val="white"/>
          <w:lang w:eastAsia="zh-CN"/>
        </w:rPr>
        <w:t>第十六条 本协议的变更、终止与基金财产的清算</w:t>
      </w:r>
      <w:bookmarkEnd w:id="16"/>
    </w:p>
    <w:p w:rsidR="004244A5" w14:paraId="11A24DE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16.1本协议的变更与终止</w:t>
      </w:r>
    </w:p>
    <w:p w:rsidR="004244A5" w14:paraId="1A936E8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16.1.1本协议的变更程序</w:t>
      </w:r>
    </w:p>
    <w:p w:rsidR="004244A5" w14:paraId="2503580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本协议双方当事人经协商一致，可以对协议的内容进行变更，并另行签署书面协议予以明确。变更后的托管协议，其内容不得与基金合同的规定有任何冲突。</w:t>
      </w:r>
    </w:p>
    <w:p w:rsidR="004244A5" w14:paraId="0C54E67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16.1.2本协议终止的情形</w:t>
      </w:r>
    </w:p>
    <w:p w:rsidR="004244A5" w14:paraId="301A994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发生以下情况，本协议终止：</w:t>
      </w:r>
    </w:p>
    <w:p w:rsidR="004244A5" w14:paraId="07782E0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（1）基金合同终止；</w:t>
      </w:r>
    </w:p>
    <w:p w:rsidR="004244A5" w14:paraId="2889F96A"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（2）基金托管人解散、依法被撤销、破产或由其他基金托管人接管基金资产；</w:t>
      </w:r>
    </w:p>
    <w:p w:rsidR="004244A5" w14:paraId="5032268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（3）基金管理人解散、依法被撤销、破产或由其他基金管理人接管基金管理权；</w:t>
      </w:r>
    </w:p>
    <w:p w:rsidR="004244A5" w14:paraId="2EFE07A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（4）发生法律法规或基金合同规定的终止事项。</w:t>
      </w:r>
    </w:p>
    <w:p w:rsidR="004244A5" w14:paraId="6277707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16.2基金财产的清算</w:t>
      </w:r>
    </w:p>
    <w:p w:rsidR="004244A5" w14:paraId="1B239D2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16.2.1基金财产清算小组</w:t>
      </w:r>
    </w:p>
    <w:p w:rsidR="004244A5" w14:paraId="40504239"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（1）自出现基金合同终止事由之日起30个工作日内成立清算小组，基金管理人组织基金财产清算小组并在中国证监会的监督下进行基金清算。</w:t>
      </w:r>
    </w:p>
    <w:p w:rsidR="004244A5" w14:paraId="62095DD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（2）基金财产清算小组成员由基金管理人、基金托管人、注册会计师、律师以及中国证监会指定的人员组成。基金财产清算小组可以聘用必要的工作人员。</w:t>
      </w:r>
    </w:p>
    <w:p w:rsidR="004244A5" w14:paraId="1C6313B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（3）基金财产清算小组负责基金财产的保管、清理、估价、变现和分配。基金财产清算小组可以依法进行必要的民事活动。</w:t>
      </w:r>
    </w:p>
    <w:p w:rsidR="004244A5" w14:paraId="1FF76BC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16.2.2基金财产清算程序</w:t>
      </w:r>
    </w:p>
    <w:p w:rsidR="004244A5" w14:paraId="71EEA28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（1）基金合同终止情形出现时，由基金财产清算小组统一接管基金；</w:t>
      </w:r>
    </w:p>
    <w:p w:rsidR="004244A5" w14:paraId="6ADD40A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（2）对基金财产和债权债务进行清理和确认；</w:t>
      </w:r>
    </w:p>
    <w:p w:rsidR="004244A5" w14:paraId="4506F29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（3）对基金财产进行估值和变现；</w:t>
      </w:r>
    </w:p>
    <w:p w:rsidR="004244A5" w14:paraId="3696025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（4）制作清算报告；</w:t>
      </w:r>
    </w:p>
    <w:p w:rsidR="004244A5" w14:paraId="33E4C23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（5）聘请会计师事务所对清算报告进行外部审计，聘请律师事务所对清算报告出具法律意见书；</w:t>
      </w:r>
    </w:p>
    <w:p w:rsidR="004244A5" w14:paraId="69FC5096"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（6）将清算报告报中国证监会备案并公告；</w:t>
      </w:r>
    </w:p>
    <w:p w:rsidR="004244A5" w14:paraId="0FAC6DB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（7）对基金剩余财产进行分配。</w:t>
      </w:r>
    </w:p>
    <w:p w:rsidR="004244A5" w14:paraId="64F9326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基金财产清算的期限为6个月，但因本基金所持证券的流动性受到限制而不能及时变现的，清算期限相应顺延。</w:t>
      </w:r>
    </w:p>
    <w:p w:rsidR="004244A5" w14:paraId="470EC8F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16.2.3清算费用</w:t>
      </w:r>
    </w:p>
    <w:p w:rsidR="004244A5" w14:paraId="1D3FC29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清算费用是指基金财产清算小组在进行基金清算过程中发生的所有合理费用，清算费用由基金财产清算小组优先从基金财产中支付。</w:t>
      </w:r>
    </w:p>
    <w:p w:rsidR="004244A5" w:rsidRPr="00851D37" w14:paraId="32199438" w14:textId="77777777">
      <w:pPr>
        <w:pStyle w:val="BodyTextIndent2"/>
        <w:spacing w:before="0" w:after="0" w:line="520" w:lineRule="atLeast"/>
        <w:ind w:left="0" w:firstLine="480" w:firstLineChars="200"/>
        <w:rPr>
          <w:rFonts w:hAnsi="宋体"/>
          <w:szCs w:val="24"/>
          <w:highlight w:val="white"/>
          <w:lang w:eastAsia="zh-CN"/>
        </w:rPr>
      </w:pPr>
      <w:r w:rsidRPr="00851D37">
        <w:rPr>
          <w:rFonts w:hAnsi="宋体" w:hint="eastAsia"/>
          <w:szCs w:val="24"/>
          <w:highlight w:val="white"/>
          <w:lang w:eastAsia="zh-CN"/>
        </w:rPr>
        <w:t>16.2.4</w:t>
      </w:r>
      <w:r w:rsidRPr="00851D37">
        <w:rPr>
          <w:rFonts w:hAnsi="宋体" w:cs="Calibri"/>
          <w:color w:val="auto"/>
          <w:szCs w:val="24"/>
          <w:highlight w:val="white"/>
          <w:lang w:eastAsia="zh-CN"/>
        </w:rPr>
        <w:t>基金财产清算剩余资产的分配</w:t>
      </w:r>
    </w:p>
    <w:p w:rsidR="004244A5" w14:paraId="1A57EF01" w14:textId="03016EB1">
      <w:pPr>
        <w:pStyle w:val="BodyTextIndent2"/>
        <w:spacing w:before="0" w:after="0" w:line="520" w:lineRule="atLeast"/>
        <w:ind w:left="0" w:firstLine="480" w:firstLineChars="200"/>
        <w:rPr>
          <w:lang w:eastAsia="zh-CN"/>
        </w:rPr>
      </w:pPr>
      <w:r>
        <w:rPr>
          <w:rFonts w:hAnsi="宋体" w:cs="宋体"/>
          <w:color w:val="000000"/>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hAnsi="宋体" w:cs="宋体"/>
          <w:szCs w:val="21"/>
          <w:highlight w:val="white"/>
          <w:lang w:eastAsia="zh-CN"/>
        </w:rPr>
        <w:t>。</w:t>
      </w:r>
      <w:r>
        <w:rPr>
          <w:rFonts w:hAnsi="Calibri" w:hint="eastAsia"/>
          <w:szCs w:val="21"/>
          <w:lang w:eastAsia="zh-CN"/>
        </w:rPr>
        <w:t>分配金额需加上返还基金份额持有人的销售服务费（如有）</w:t>
      </w:r>
      <w:r>
        <w:rPr>
          <w:rFonts w:hAnsi="宋体" w:cs="宋体"/>
          <w:color w:val="000000"/>
          <w:highlight w:val="white"/>
          <w:lang w:eastAsia="zh-CN"/>
        </w:rPr>
        <w:t>。</w:t>
      </w:r>
    </w:p>
    <w:p w:rsidR="004244A5" w14:paraId="3A78B7D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16.2.5基金财产清算的公告</w:t>
      </w:r>
    </w:p>
    <w:p w:rsidR="004244A5" w14:paraId="443212C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4244A5" w14:paraId="5006CA9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16.2.6基金财产清算账册及文件的保存</w:t>
      </w:r>
    </w:p>
    <w:p w:rsidR="004244A5" w14:paraId="2F97A19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基金财产清算账册及有关文件由基金托管人保存20年以上。</w:t>
      </w:r>
    </w:p>
    <w:p w:rsidR="004244A5" w14:paraId="671F9677" w14:textId="77777777">
      <w:pPr>
        <w:pStyle w:val="Heading1"/>
        <w:snapToGrid/>
        <w:spacing w:line="520" w:lineRule="atLeast"/>
        <w:ind w:firstLine="480" w:firstLineChars="200"/>
        <w:rPr>
          <w:bCs/>
          <w:color w:val="auto"/>
          <w:szCs w:val="24"/>
          <w:lang w:eastAsia="zh-CN"/>
        </w:rPr>
      </w:pPr>
      <w:bookmarkStart w:id="17" w:name="_Toc227311350"/>
      <w:r>
        <w:rPr>
          <w:rFonts w:hint="eastAsia"/>
          <w:bCs/>
          <w:color w:val="auto"/>
          <w:szCs w:val="24"/>
          <w:highlight w:val="white"/>
          <w:lang w:eastAsia="zh-CN"/>
        </w:rPr>
        <w:t>第十七条 违约责任</w:t>
      </w:r>
      <w:bookmarkEnd w:id="17"/>
    </w:p>
    <w:p w:rsidR="004244A5" w14:paraId="41DC474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17.1如果基金管理人或基金托管人不履行本协议或者履行本协议不符合约定的，应当承担违约责任。</w:t>
      </w:r>
    </w:p>
    <w:p w:rsidR="004244A5" w14:paraId="3AA7EFF3"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17.2因托管协议当事人违约给基金财产或者基金份额持有人造成损害的，应当分别对各自的行为依法承担赔偿责任，因共同行为给基金财产或者基金份额持有人造成损害的，应当承担连带赔偿责任。但是发生下列情况，当事人免责：</w:t>
      </w:r>
    </w:p>
    <w:p w:rsidR="004244A5" w14:paraId="57ACFFBD" w14:textId="6379AF14">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sidR="00A3270D">
        <w:rPr>
          <w:rFonts w:hAnsi="宋体" w:hint="eastAsia"/>
          <w:szCs w:val="24"/>
          <w:highlight w:val="white"/>
          <w:lang w:eastAsia="zh-CN"/>
        </w:rPr>
        <w:t>不可抗力；</w:t>
      </w:r>
    </w:p>
    <w:p w:rsidR="004244A5" w14:paraId="22DBD3EC" w14:textId="5112DC70">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2</w:t>
      </w:r>
      <w:r>
        <w:rPr>
          <w:rFonts w:hAnsi="宋体"/>
          <w:szCs w:val="24"/>
          <w:highlight w:val="white"/>
          <w:lang w:eastAsia="zh-CN"/>
        </w:rPr>
        <w:t>）</w:t>
      </w:r>
      <w:r w:rsidR="00A3270D">
        <w:rPr>
          <w:rFonts w:hAnsi="宋体" w:hint="eastAsia"/>
          <w:szCs w:val="24"/>
          <w:highlight w:val="white"/>
          <w:lang w:eastAsia="zh-CN"/>
        </w:rPr>
        <w:t>基金管理人和/或基金托管人按照当时有效的法律法规或中国证监会的规定作为或不作为而造成的损失等；</w:t>
      </w:r>
    </w:p>
    <w:p w:rsidR="004244A5" w14:paraId="665DCB8A" w14:textId="14CF4FD6">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3</w:t>
      </w:r>
      <w:r>
        <w:rPr>
          <w:rFonts w:hAnsi="宋体"/>
          <w:szCs w:val="24"/>
          <w:highlight w:val="white"/>
          <w:lang w:eastAsia="zh-CN"/>
        </w:rPr>
        <w:t>）</w:t>
      </w:r>
      <w:r w:rsidR="00A3270D">
        <w:rPr>
          <w:rFonts w:hAnsi="宋体" w:hint="eastAsia"/>
          <w:szCs w:val="24"/>
          <w:highlight w:val="white"/>
          <w:lang w:eastAsia="zh-CN"/>
        </w:rPr>
        <w:t>基金管理人由于按照基金合同规定的投资原则投资或不投资造成的损失等。</w:t>
      </w:r>
    </w:p>
    <w:p w:rsidR="004244A5" w14:paraId="37565FEC" w14:textId="766F39D6">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4</w:t>
      </w:r>
      <w:r>
        <w:rPr>
          <w:rFonts w:hAnsi="宋体"/>
          <w:szCs w:val="24"/>
          <w:highlight w:val="white"/>
          <w:lang w:eastAsia="zh-CN"/>
        </w:rPr>
        <w:t>）</w:t>
      </w:r>
      <w:r w:rsidR="00A3270D">
        <w:rPr>
          <w:rFonts w:hAnsi="宋体" w:hint="eastAsia"/>
          <w:szCs w:val="24"/>
          <w:highlight w:val="white"/>
          <w:lang w:eastAsia="zh-CN"/>
        </w:rPr>
        <w:t>计算机系统故障、网络故障、通讯故障、电力故障、计算机病毒攻击及其它非基金管理人及基金托管人原因造成的意外事故。</w:t>
      </w:r>
    </w:p>
    <w:p w:rsidR="004244A5" w14:paraId="07AAC511"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成本、费用和支出，以及由此遭受的损失。</w:t>
      </w:r>
    </w:p>
    <w:p w:rsidR="004244A5" w14:paraId="3D56D8F8"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17.4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4244A5" w14:paraId="47CE79F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17.5违约行为虽已发生，但本协议能够继续履行的，在最大限度地保护基金份额持有人利益的前提下，基金管理人和基金托管人应当继续履行本协议。</w:t>
      </w:r>
    </w:p>
    <w:p w:rsidR="004244A5" w14:paraId="572A94D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17.6由于基金管理人、基金托管人不可控制的因素导致业务出现差错，基金管理人和基金托管人虽然已经采取必要、适当、合理的措施进行检查，但是未能发现错误的，由此造成基金财产或基金份额持有人损失，基金管理人和基金托管人免除赔偿责任。但是基金管理人和基金托管人应积极采取必要的措施减轻或消除由此造成的影响。</w:t>
      </w:r>
    </w:p>
    <w:p w:rsidR="004244A5" w14:paraId="179D8D5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17.7本协议所指损失均为直接损失。</w:t>
      </w:r>
    </w:p>
    <w:p w:rsidR="004244A5" w14:paraId="12453A00" w14:textId="77777777">
      <w:pPr>
        <w:pStyle w:val="Heading1"/>
        <w:snapToGrid/>
        <w:spacing w:line="520" w:lineRule="atLeast"/>
        <w:ind w:firstLine="480" w:firstLineChars="200"/>
        <w:rPr>
          <w:bCs/>
          <w:color w:val="auto"/>
          <w:szCs w:val="24"/>
          <w:lang w:eastAsia="zh-CN"/>
        </w:rPr>
      </w:pPr>
      <w:bookmarkStart w:id="18" w:name="_Toc227311351"/>
      <w:r>
        <w:rPr>
          <w:rFonts w:hint="eastAsia"/>
          <w:bCs/>
          <w:color w:val="auto"/>
          <w:szCs w:val="24"/>
          <w:highlight w:val="white"/>
          <w:lang w:eastAsia="zh-CN"/>
        </w:rPr>
        <w:t>第十八条 法律适用和争议解决</w:t>
      </w:r>
      <w:bookmarkEnd w:id="18"/>
    </w:p>
    <w:p w:rsidR="004244A5" w14:paraId="04CEC63B"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本协议的效力、解释、变更、执行及争议的解决等均适用中华人民共和国法律，没有相关成文规定的，参照通用的商业惯例和（或）行业惯例。</w:t>
      </w:r>
    </w:p>
    <w:p w:rsidR="004244A5" w14:paraId="0B9769B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凡因本协议产生的及与本协议有关的争议，双方均应协商解决；协商不成的，任何一方均有权将争议提交中国国际经济贸易仲裁委员会，按照该会届时有效的仲裁规则进行仲裁。仲裁地点为北京市。仲裁裁决是终局的，对当事人均有约束力。除非仲裁裁决另有决定，仲裁费用由败诉方承担。</w:t>
      </w:r>
    </w:p>
    <w:p w:rsidR="004244A5" w14:paraId="4ABECE9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争议处理期间，双方当事人应恪守基金管理人和基金托管人职责，继续忠实、勤勉、尽责地履行基金合同和本协议规定的义务，维护基金份额持有人的合法权益。</w:t>
      </w:r>
    </w:p>
    <w:p w:rsidR="004244A5" w14:paraId="15078903" w14:textId="77777777">
      <w:pPr>
        <w:pStyle w:val="Heading1"/>
        <w:snapToGrid/>
        <w:spacing w:line="520" w:lineRule="atLeast"/>
        <w:ind w:firstLine="480" w:firstLineChars="200"/>
        <w:rPr>
          <w:bCs/>
          <w:color w:val="auto"/>
          <w:szCs w:val="24"/>
          <w:lang w:eastAsia="zh-CN"/>
        </w:rPr>
      </w:pPr>
      <w:bookmarkStart w:id="19" w:name="_Toc227311352"/>
      <w:r>
        <w:rPr>
          <w:rFonts w:hint="eastAsia"/>
          <w:bCs/>
          <w:color w:val="auto"/>
          <w:szCs w:val="24"/>
          <w:highlight w:val="white"/>
          <w:lang w:eastAsia="zh-CN"/>
        </w:rPr>
        <w:t>第十九条 本协议的效力</w:t>
      </w:r>
      <w:bookmarkEnd w:id="19"/>
    </w:p>
    <w:p w:rsidR="004244A5" w14:paraId="5D2006FD"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19.1基金管理人在向中国证监会申请发售基金份额时提交的托管协议草案，应经托管协议当事人加盖公章或合同专用章以及双方法定代表人/负责人或授权代理人签章（签字或加盖名章），本协议当事人双方可能不时根据中国证监会的意见修改托管协议草案。本协议以中国证监会注册的最终文本为正式文本。</w:t>
      </w:r>
    </w:p>
    <w:p w:rsidR="004244A5" w14:paraId="30B8FC0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19.2本协议自双方签订之日起成立，自基金合同生效之日起生效。本协议的有效期自其生效之日起至该基金财产清算结果报中国证监会备案并公告之日止。</w:t>
      </w:r>
    </w:p>
    <w:p w:rsidR="004244A5" w14:paraId="43A8F2B4"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19.3本协议自生效之日起对双方具有同等的法律约束力。</w:t>
      </w:r>
    </w:p>
    <w:p w:rsidR="004244A5" w14:paraId="4373C7A5"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19.4本协议正本一式三份，除上报有关监管机构一式一份外，基金管理人和基金托管人分别持有一份，每份具有同等的法律效力。</w:t>
      </w:r>
    </w:p>
    <w:p w:rsidR="004244A5" w14:paraId="4BBEE021" w14:textId="77777777">
      <w:pPr>
        <w:pStyle w:val="Heading1"/>
        <w:snapToGrid/>
        <w:spacing w:line="520" w:lineRule="atLeast"/>
        <w:ind w:firstLine="480" w:firstLineChars="200"/>
        <w:rPr>
          <w:bCs/>
          <w:color w:val="auto"/>
          <w:szCs w:val="24"/>
          <w:lang w:eastAsia="zh-CN"/>
        </w:rPr>
      </w:pPr>
      <w:bookmarkStart w:id="20" w:name="_Toc227311353"/>
      <w:r>
        <w:rPr>
          <w:rFonts w:hint="eastAsia"/>
          <w:bCs/>
          <w:color w:val="auto"/>
          <w:szCs w:val="24"/>
          <w:highlight w:val="white"/>
          <w:lang w:eastAsia="zh-CN"/>
        </w:rPr>
        <w:t>第二十条 本协议的签订</w:t>
      </w:r>
      <w:bookmarkEnd w:id="20"/>
    </w:p>
    <w:p w:rsidR="004244A5" w14:paraId="74A92DFF"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20.1本协议经基金管理人和基金托管人认可后，由双方当事人在本协议上加盖公章或合同专用章，并由各自的法定代表人/负责人或授权代理人签章（签字或加盖名章），并注明本托管协议的签订地点和签订日期。</w:t>
      </w:r>
    </w:p>
    <w:p w:rsidR="004244A5" w14:paraId="195691F1" w14:textId="77777777">
      <w:pPr>
        <w:pStyle w:val="Heading1"/>
        <w:snapToGrid/>
        <w:spacing w:line="520" w:lineRule="atLeast"/>
        <w:ind w:firstLine="480" w:firstLineChars="200"/>
        <w:rPr>
          <w:bCs/>
          <w:color w:val="auto"/>
          <w:szCs w:val="24"/>
          <w:lang w:eastAsia="zh-CN"/>
        </w:rPr>
      </w:pPr>
      <w:bookmarkStart w:id="21" w:name="_Toc227311354"/>
      <w:r>
        <w:rPr>
          <w:rFonts w:hint="eastAsia"/>
          <w:bCs/>
          <w:color w:val="auto"/>
          <w:szCs w:val="24"/>
          <w:highlight w:val="white"/>
          <w:lang w:eastAsia="zh-CN"/>
        </w:rPr>
        <w:t>第二十一条 不可抗力</w:t>
      </w:r>
      <w:bookmarkEnd w:id="21"/>
    </w:p>
    <w:p w:rsidR="004244A5" w14:paraId="2929793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21.1如果本协议任何一方因受不可抗力事件影响而未能履行其在本协议下的全部或部分义务，该义务的履行在不可抗力事件妨碍其履行期间应予中止。</w:t>
      </w:r>
    </w:p>
    <w:p w:rsidR="004244A5" w14:paraId="371CAC7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rsidR="004244A5" w14:paraId="6212325E"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21.3不可抗力事件发生时，双方应立即通过友好协商决定如何执行本协议。不可抗力事件或其影响终止或消除后，双方须立即恢复履行各自在本协议项下的各项义务。</w:t>
      </w:r>
    </w:p>
    <w:p w:rsidR="004244A5" w14:paraId="6F231CC2"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21.4本条所述的不可抗力事件是指不能预见、不能避免并不能克服的客观情况。</w:t>
      </w:r>
    </w:p>
    <w:p w:rsidR="004244A5" w14:paraId="31132BCC" w14:textId="77777777">
      <w:pPr>
        <w:pStyle w:val="Heading1"/>
        <w:snapToGrid/>
        <w:spacing w:line="520" w:lineRule="atLeast"/>
        <w:ind w:firstLine="480" w:firstLineChars="200"/>
        <w:rPr>
          <w:bCs/>
          <w:color w:val="auto"/>
          <w:szCs w:val="24"/>
          <w:lang w:eastAsia="zh-CN"/>
        </w:rPr>
      </w:pPr>
      <w:bookmarkStart w:id="22" w:name="_Toc227311355"/>
      <w:r>
        <w:rPr>
          <w:rFonts w:hint="eastAsia"/>
          <w:bCs/>
          <w:color w:val="auto"/>
          <w:szCs w:val="24"/>
          <w:highlight w:val="white"/>
          <w:lang w:eastAsia="zh-CN"/>
        </w:rPr>
        <w:t>第二十二条 可分割性</w:t>
      </w:r>
      <w:bookmarkEnd w:id="22"/>
    </w:p>
    <w:p w:rsidR="004244A5" w14:paraId="47840B8C" w14:textId="77777777">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22.1如果本协议任何约定依现行法律被确定为无效或无法实施，本协议的其他条款将继续有效。此种情况下，双方将积极协商解决并另行签署书面协议予以明确，且该协议应尽可能接近原规定和本协议相应的精神和宗旨。</w:t>
      </w:r>
    </w:p>
    <w:p w:rsidR="004244A5" w14:paraId="68FACBF7" w14:textId="4DD7F424">
      <w:pPr>
        <w:spacing w:line="520" w:lineRule="atLeast"/>
        <w:rPr>
          <w:sz w:val="24"/>
          <w:szCs w:val="24"/>
          <w:lang w:eastAsia="zh-CN"/>
        </w:rPr>
        <w:sectPr>
          <w:footerReference w:type="default" r:id="rId7"/>
          <w:pgSz w:w="11906" w:h="16838"/>
          <w:pgMar w:top="1440" w:right="1800" w:bottom="1440" w:left="1800" w:header="851" w:footer="992" w:gutter="0"/>
          <w:pgNumType w:start="1"/>
          <w:cols w:space="425"/>
          <w:docGrid w:type="lines" w:linePitch="312"/>
        </w:sectPr>
      </w:pPr>
      <w:r>
        <w:rPr>
          <w:rFonts w:hint="eastAsia"/>
          <w:sz w:val="24"/>
          <w:szCs w:val="24"/>
          <w:highlight w:val="white"/>
          <w:lang w:eastAsia="zh-CN"/>
        </w:rPr>
        <w:t>（以下无正文）</w:t>
      </w:r>
      <w:r>
        <w:rPr>
          <w:rFonts w:ascii="宋体" w:hAnsi="宋体" w:cs="宋体"/>
          <w:sz w:val="24"/>
          <w:szCs w:val="24"/>
          <w:highlight w:val="white"/>
        </w:rPr>
        <w:t> </w:t>
      </w:r>
      <w:r>
        <w:rPr>
          <w:rFonts w:ascii="宋体" w:hAnsi="宋体" w:cs="宋体"/>
          <w:sz w:val="24"/>
          <w:szCs w:val="24"/>
          <w:highlight w:val="white"/>
          <w:lang w:eastAsia="zh-CN"/>
        </w:rPr>
        <w:t xml:space="preserve"> </w:t>
      </w:r>
    </w:p>
    <w:p w:rsidR="004244A5" w14:paraId="786FBF09" w14:textId="70BDEDA1">
      <w:pPr>
        <w:spacing w:line="520" w:lineRule="atLeast"/>
        <w:rPr>
          <w:sz w:val="24"/>
          <w:szCs w:val="24"/>
          <w:lang w:eastAsia="zh-CN"/>
        </w:rPr>
      </w:pPr>
      <w:r>
        <w:rPr>
          <w:rFonts w:hint="eastAsia"/>
          <w:sz w:val="24"/>
          <w:szCs w:val="24"/>
          <w:highlight w:val="white"/>
          <w:lang w:eastAsia="zh-CN"/>
        </w:rPr>
        <w:t>本页无正文，为《</w:t>
      </w:r>
      <w:r>
        <w:rPr>
          <w:rFonts w:hint="eastAsia"/>
          <w:sz w:val="24"/>
          <w:szCs w:val="24"/>
          <w:lang w:eastAsia="zh-CN"/>
        </w:rPr>
        <w:t>易方达如意安惠</w:t>
      </w:r>
      <w:r>
        <w:rPr>
          <w:rFonts w:ascii="宋体" w:hAnsi="宋体" w:cs="宋体" w:hint="eastAsia"/>
          <w:sz w:val="24"/>
          <w:szCs w:val="24"/>
          <w:lang w:eastAsia="zh-CN"/>
        </w:rPr>
        <w:t>6</w:t>
      </w:r>
      <w:r>
        <w:rPr>
          <w:rFonts w:hint="eastAsia"/>
          <w:sz w:val="24"/>
          <w:szCs w:val="24"/>
          <w:lang w:eastAsia="zh-CN"/>
        </w:rPr>
        <w:t>个月持有期混合型基金中基金（</w:t>
      </w:r>
      <w:r>
        <w:rPr>
          <w:rFonts w:ascii="宋体" w:hAnsi="宋体" w:cs="宋体" w:hint="eastAsia"/>
          <w:sz w:val="24"/>
          <w:szCs w:val="24"/>
          <w:lang w:eastAsia="zh-CN"/>
        </w:rPr>
        <w:t>FOF</w:t>
      </w:r>
      <w:r>
        <w:rPr>
          <w:rFonts w:hint="eastAsia"/>
          <w:sz w:val="24"/>
          <w:szCs w:val="24"/>
          <w:lang w:eastAsia="zh-CN"/>
        </w:rPr>
        <w:t>）</w:t>
      </w:r>
      <w:r>
        <w:rPr>
          <w:rFonts w:hint="eastAsia"/>
          <w:sz w:val="24"/>
          <w:szCs w:val="24"/>
          <w:highlight w:val="white"/>
          <w:lang w:eastAsia="zh-CN"/>
        </w:rPr>
        <w:t>托管协议》的签字盖章页。</w:t>
      </w:r>
    </w:p>
    <w:p w:rsidR="004244A5" w14:paraId="7200A338" w14:textId="77777777">
      <w:pPr>
        <w:spacing w:line="520" w:lineRule="atLeast"/>
        <w:rPr>
          <w:sz w:val="24"/>
          <w:szCs w:val="24"/>
          <w:lang w:eastAsia="zh-CN"/>
        </w:rPr>
      </w:pPr>
    </w:p>
    <w:p w:rsidR="004244A5" w14:paraId="1D828B5D" w14:textId="77777777">
      <w:pPr>
        <w:spacing w:line="520" w:lineRule="atLeast"/>
        <w:rPr>
          <w:sz w:val="24"/>
          <w:szCs w:val="24"/>
          <w:lang w:eastAsia="zh-CN"/>
        </w:rPr>
      </w:pPr>
      <w:r>
        <w:rPr>
          <w:rFonts w:hint="eastAsia"/>
          <w:sz w:val="24"/>
          <w:szCs w:val="24"/>
          <w:highlight w:val="white"/>
          <w:lang w:eastAsia="zh-CN"/>
        </w:rPr>
        <w:t>《托管协议》当事人盖章及法定代表人或授权代表签字</w:t>
      </w:r>
      <w:r>
        <w:rPr>
          <w:rFonts w:ascii="宋体" w:hAnsi="宋体" w:cs="宋体" w:hint="eastAsia"/>
          <w:sz w:val="24"/>
          <w:szCs w:val="24"/>
          <w:highlight w:val="white"/>
          <w:lang w:eastAsia="zh-CN"/>
        </w:rPr>
        <w:t>/</w:t>
      </w:r>
      <w:r>
        <w:rPr>
          <w:rFonts w:hint="eastAsia"/>
          <w:sz w:val="24"/>
          <w:szCs w:val="24"/>
          <w:highlight w:val="white"/>
          <w:lang w:eastAsia="zh-CN"/>
        </w:rPr>
        <w:t>签章、签订地、签订日</w:t>
      </w:r>
    </w:p>
    <w:p w:rsidR="004244A5" w14:paraId="3429378B" w14:textId="77777777">
      <w:pPr>
        <w:spacing w:line="520" w:lineRule="atLeast"/>
        <w:rPr>
          <w:sz w:val="24"/>
          <w:szCs w:val="24"/>
          <w:lang w:eastAsia="zh-CN"/>
        </w:rPr>
      </w:pPr>
    </w:p>
    <w:p w:rsidR="004244A5" w14:paraId="2C449149" w14:textId="77777777">
      <w:pPr>
        <w:spacing w:line="520" w:lineRule="atLeast"/>
        <w:rPr>
          <w:sz w:val="24"/>
          <w:szCs w:val="24"/>
          <w:lang w:eastAsia="zh-CN"/>
        </w:rPr>
      </w:pPr>
    </w:p>
    <w:p w:rsidR="004244A5" w14:paraId="5D86636D" w14:textId="77777777">
      <w:pPr>
        <w:spacing w:line="520" w:lineRule="atLeast"/>
        <w:rPr>
          <w:sz w:val="24"/>
          <w:szCs w:val="24"/>
          <w:lang w:eastAsia="zh-CN"/>
        </w:rPr>
      </w:pPr>
      <w:r>
        <w:rPr>
          <w:rFonts w:hint="eastAsia"/>
          <w:sz w:val="24"/>
          <w:szCs w:val="24"/>
          <w:highlight w:val="white"/>
          <w:lang w:eastAsia="zh-CN"/>
        </w:rPr>
        <w:t>基金管理人：易方达基金管理有限公司（章）</w:t>
      </w:r>
    </w:p>
    <w:p w:rsidR="004244A5" w14:paraId="07A13880" w14:textId="77777777">
      <w:pPr>
        <w:spacing w:line="520" w:lineRule="atLeast"/>
        <w:rPr>
          <w:sz w:val="24"/>
          <w:szCs w:val="24"/>
          <w:lang w:eastAsia="zh-CN"/>
        </w:rPr>
      </w:pPr>
    </w:p>
    <w:p w:rsidR="004244A5" w14:paraId="4F012931" w14:textId="77777777">
      <w:pPr>
        <w:spacing w:line="520" w:lineRule="atLeast"/>
        <w:rPr>
          <w:sz w:val="24"/>
          <w:szCs w:val="24"/>
          <w:lang w:eastAsia="zh-CN"/>
        </w:rPr>
      </w:pPr>
    </w:p>
    <w:p w:rsidR="004244A5" w14:paraId="7A961A75" w14:textId="77777777">
      <w:pPr>
        <w:spacing w:line="520" w:lineRule="atLeast"/>
        <w:rPr>
          <w:sz w:val="24"/>
          <w:szCs w:val="24"/>
          <w:lang w:eastAsia="zh-CN"/>
        </w:rPr>
      </w:pPr>
    </w:p>
    <w:p w:rsidR="004244A5" w14:paraId="6B81FCA7" w14:textId="77777777">
      <w:pPr>
        <w:spacing w:line="520" w:lineRule="atLeast"/>
        <w:rPr>
          <w:sz w:val="24"/>
          <w:szCs w:val="24"/>
          <w:lang w:eastAsia="zh-CN"/>
        </w:rPr>
      </w:pPr>
      <w:r>
        <w:rPr>
          <w:rFonts w:hint="eastAsia"/>
          <w:sz w:val="24"/>
          <w:szCs w:val="24"/>
          <w:highlight w:val="white"/>
          <w:lang w:eastAsia="zh-CN"/>
        </w:rPr>
        <w:t>法定代表人或授权代表（签字</w:t>
      </w:r>
      <w:r>
        <w:rPr>
          <w:rFonts w:ascii="宋体" w:hAnsi="宋体" w:cs="宋体" w:hint="eastAsia"/>
          <w:sz w:val="24"/>
          <w:szCs w:val="24"/>
          <w:highlight w:val="white"/>
          <w:lang w:eastAsia="zh-CN"/>
        </w:rPr>
        <w:t>/</w:t>
      </w:r>
      <w:r>
        <w:rPr>
          <w:rFonts w:hint="eastAsia"/>
          <w:sz w:val="24"/>
          <w:szCs w:val="24"/>
          <w:highlight w:val="white"/>
          <w:lang w:eastAsia="zh-CN"/>
        </w:rPr>
        <w:t>签章）：</w:t>
      </w:r>
    </w:p>
    <w:p w:rsidR="004244A5" w14:paraId="74C68023" w14:textId="77777777">
      <w:pPr>
        <w:spacing w:line="520" w:lineRule="atLeast"/>
        <w:rPr>
          <w:sz w:val="24"/>
          <w:szCs w:val="24"/>
          <w:lang w:eastAsia="zh-CN"/>
        </w:rPr>
      </w:pPr>
    </w:p>
    <w:p w:rsidR="004244A5" w14:paraId="7E2EA716" w14:textId="77777777">
      <w:pPr>
        <w:spacing w:line="520" w:lineRule="atLeast"/>
        <w:rPr>
          <w:sz w:val="24"/>
          <w:szCs w:val="24"/>
          <w:lang w:eastAsia="zh-CN"/>
        </w:rPr>
      </w:pPr>
    </w:p>
    <w:p w:rsidR="004244A5" w14:paraId="5ECCF83E" w14:textId="77777777">
      <w:pPr>
        <w:spacing w:line="520" w:lineRule="atLeast"/>
        <w:rPr>
          <w:sz w:val="24"/>
          <w:szCs w:val="24"/>
          <w:lang w:eastAsia="zh-CN"/>
        </w:rPr>
      </w:pPr>
    </w:p>
    <w:p w:rsidR="004244A5" w14:paraId="785C4919" w14:textId="77777777">
      <w:pPr>
        <w:spacing w:line="520" w:lineRule="atLeast"/>
        <w:rPr>
          <w:sz w:val="24"/>
          <w:szCs w:val="24"/>
          <w:lang w:eastAsia="zh-CN"/>
        </w:rPr>
      </w:pPr>
      <w:r>
        <w:rPr>
          <w:rFonts w:hint="eastAsia"/>
          <w:sz w:val="24"/>
          <w:szCs w:val="24"/>
          <w:highlight w:val="white"/>
          <w:lang w:eastAsia="zh-CN"/>
        </w:rPr>
        <w:t>基金托管人：中信银行股份有限公司</w:t>
      </w:r>
      <w:r>
        <w:rPr>
          <w:rFonts w:ascii="宋体" w:hAnsi="宋体" w:cs="宋体" w:hint="eastAsia"/>
          <w:sz w:val="24"/>
          <w:szCs w:val="24"/>
          <w:highlight w:val="white"/>
          <w:lang w:eastAsia="zh-CN"/>
        </w:rPr>
        <w:t xml:space="preserve"> </w:t>
      </w:r>
      <w:r>
        <w:rPr>
          <w:rFonts w:hint="eastAsia"/>
          <w:sz w:val="24"/>
          <w:szCs w:val="24"/>
          <w:highlight w:val="white"/>
          <w:lang w:eastAsia="zh-CN"/>
        </w:rPr>
        <w:t>（章）</w:t>
      </w:r>
    </w:p>
    <w:p w:rsidR="004244A5" w14:paraId="076D377A" w14:textId="77777777">
      <w:pPr>
        <w:spacing w:line="520" w:lineRule="atLeast"/>
        <w:rPr>
          <w:sz w:val="24"/>
          <w:szCs w:val="24"/>
          <w:lang w:eastAsia="zh-CN"/>
        </w:rPr>
      </w:pPr>
    </w:p>
    <w:p w:rsidR="004244A5" w14:paraId="03F5EC4F" w14:textId="77777777">
      <w:pPr>
        <w:spacing w:line="520" w:lineRule="atLeast"/>
        <w:rPr>
          <w:sz w:val="24"/>
          <w:szCs w:val="24"/>
          <w:lang w:eastAsia="zh-CN"/>
        </w:rPr>
      </w:pPr>
    </w:p>
    <w:p w:rsidR="004244A5" w14:paraId="0C7753E4" w14:textId="77777777">
      <w:pPr>
        <w:spacing w:line="520" w:lineRule="atLeast"/>
        <w:rPr>
          <w:sz w:val="24"/>
          <w:szCs w:val="24"/>
          <w:lang w:eastAsia="zh-CN"/>
        </w:rPr>
      </w:pPr>
    </w:p>
    <w:p w:rsidR="004244A5" w14:paraId="58DA065A" w14:textId="77777777">
      <w:pPr>
        <w:spacing w:line="520" w:lineRule="atLeast"/>
        <w:rPr>
          <w:sz w:val="24"/>
          <w:szCs w:val="24"/>
          <w:lang w:eastAsia="zh-CN"/>
        </w:rPr>
      </w:pPr>
      <w:r>
        <w:rPr>
          <w:rFonts w:hint="eastAsia"/>
          <w:sz w:val="24"/>
          <w:szCs w:val="24"/>
          <w:highlight w:val="white"/>
          <w:lang w:eastAsia="zh-CN"/>
        </w:rPr>
        <w:t>法定代表人或授权代表（签字</w:t>
      </w:r>
      <w:r>
        <w:rPr>
          <w:rFonts w:ascii="宋体" w:hAnsi="宋体" w:cs="宋体" w:hint="eastAsia"/>
          <w:sz w:val="24"/>
          <w:szCs w:val="24"/>
          <w:highlight w:val="white"/>
          <w:lang w:eastAsia="zh-CN"/>
        </w:rPr>
        <w:t>/</w:t>
      </w:r>
      <w:r>
        <w:rPr>
          <w:rFonts w:hint="eastAsia"/>
          <w:sz w:val="24"/>
          <w:szCs w:val="24"/>
          <w:highlight w:val="white"/>
          <w:lang w:eastAsia="zh-CN"/>
        </w:rPr>
        <w:t>签章）：</w:t>
      </w:r>
    </w:p>
    <w:p w:rsidR="004244A5" w14:paraId="3F329133" w14:textId="77777777">
      <w:pPr>
        <w:spacing w:line="520" w:lineRule="atLeast"/>
        <w:rPr>
          <w:sz w:val="24"/>
          <w:szCs w:val="24"/>
          <w:lang w:eastAsia="zh-CN"/>
        </w:rPr>
      </w:pPr>
    </w:p>
    <w:p w:rsidR="004244A5" w14:paraId="11F91797" w14:textId="77777777">
      <w:pPr>
        <w:spacing w:line="520" w:lineRule="atLeast"/>
        <w:rPr>
          <w:sz w:val="24"/>
          <w:szCs w:val="24"/>
          <w:lang w:eastAsia="zh-CN"/>
        </w:rPr>
      </w:pPr>
    </w:p>
    <w:p w:rsidR="004244A5" w14:paraId="1C0AA8F7" w14:textId="77777777">
      <w:pPr>
        <w:spacing w:line="520" w:lineRule="atLeast"/>
        <w:rPr>
          <w:sz w:val="24"/>
          <w:szCs w:val="24"/>
          <w:lang w:eastAsia="zh-CN"/>
        </w:rPr>
      </w:pPr>
    </w:p>
    <w:p w:rsidR="004244A5" w14:paraId="6000CC8B" w14:textId="77777777">
      <w:pPr>
        <w:spacing w:line="520" w:lineRule="atLeast"/>
        <w:rPr>
          <w:sz w:val="24"/>
          <w:szCs w:val="24"/>
          <w:lang w:eastAsia="zh-CN"/>
        </w:rPr>
      </w:pPr>
      <w:r>
        <w:rPr>
          <w:rFonts w:hint="eastAsia"/>
          <w:sz w:val="24"/>
          <w:szCs w:val="24"/>
          <w:highlight w:val="white"/>
          <w:lang w:eastAsia="zh-CN"/>
        </w:rPr>
        <w:t>签订地点：</w:t>
      </w:r>
    </w:p>
    <w:p w:rsidR="004244A5" w14:paraId="19B3CEE9" w14:textId="77777777">
      <w:pPr>
        <w:spacing w:line="520" w:lineRule="atLeast"/>
        <w:rPr>
          <w:sz w:val="24"/>
          <w:szCs w:val="24"/>
          <w:lang w:eastAsia="zh-CN"/>
        </w:rPr>
      </w:pPr>
      <w:r>
        <w:rPr>
          <w:rFonts w:hint="eastAsia"/>
          <w:sz w:val="24"/>
          <w:szCs w:val="24"/>
          <w:highlight w:val="white"/>
          <w:lang w:eastAsia="zh-CN"/>
        </w:rPr>
        <w:t>签订日：</w:t>
      </w:r>
      <w:r>
        <w:rPr>
          <w:rFonts w:ascii="宋体" w:hAnsi="宋体" w:cs="宋体" w:hint="eastAsia"/>
          <w:sz w:val="24"/>
          <w:szCs w:val="24"/>
          <w:highlight w:val="white"/>
          <w:lang w:eastAsia="zh-CN"/>
        </w:rPr>
        <w:t xml:space="preserve">    </w:t>
      </w:r>
      <w:r>
        <w:rPr>
          <w:rFonts w:hint="eastAsia"/>
          <w:sz w:val="24"/>
          <w:szCs w:val="24"/>
          <w:highlight w:val="white"/>
          <w:lang w:eastAsia="zh-CN"/>
        </w:rPr>
        <w:t>年</w:t>
      </w:r>
      <w:r>
        <w:rPr>
          <w:rFonts w:ascii="宋体" w:hAnsi="宋体" w:cs="宋体" w:hint="eastAsia"/>
          <w:sz w:val="24"/>
          <w:szCs w:val="24"/>
          <w:highlight w:val="white"/>
          <w:lang w:eastAsia="zh-CN"/>
        </w:rPr>
        <w:t xml:space="preserve">   </w:t>
      </w:r>
      <w:r>
        <w:rPr>
          <w:rFonts w:hint="eastAsia"/>
          <w:sz w:val="24"/>
          <w:szCs w:val="24"/>
          <w:highlight w:val="white"/>
          <w:lang w:eastAsia="zh-CN"/>
        </w:rPr>
        <w:t>月</w:t>
      </w:r>
      <w:r>
        <w:rPr>
          <w:rFonts w:ascii="宋体" w:hAnsi="宋体" w:cs="宋体" w:hint="eastAsia"/>
          <w:sz w:val="24"/>
          <w:szCs w:val="24"/>
          <w:highlight w:val="white"/>
          <w:lang w:eastAsia="zh-CN"/>
        </w:rPr>
        <w:t xml:space="preserve">   </w:t>
      </w:r>
      <w:r>
        <w:rPr>
          <w:rFonts w:hint="eastAsia"/>
          <w:sz w:val="24"/>
          <w:szCs w:val="24"/>
          <w:highlight w:val="white"/>
          <w:lang w:eastAsia="zh-CN"/>
        </w:rPr>
        <w:t>日</w:t>
      </w:r>
    </w:p>
    <w:p w:rsidR="004244A5" w14:paraId="22156F07" w14:textId="77777777">
      <w:pPr>
        <w:spacing w:line="520" w:lineRule="atLeast"/>
        <w:rPr>
          <w:sz w:val="24"/>
          <w:szCs w:val="24"/>
          <w:lang w:eastAsia="zh-CN"/>
        </w:rPr>
      </w:pPr>
    </w:p>
    <w:sectPr>
      <w:footerReference w:type="default" r:id="rId8"/>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70D" w14:paraId="46D22F5A" w14:textId="77777777">
    <w:pPr>
      <w:pStyle w:val="Footer"/>
      <w:snapToGrid/>
      <w:jc w:val="center"/>
    </w:pPr>
  </w:p>
  <w:p w:rsidR="00A3270D" w14:paraId="086F5C0D" w14:textId="77777777">
    <w:pPr>
      <w:pStyle w:val="Footer"/>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0949366"/>
      <w:placeholder>
        <w:docPart w:val="52cc21de7f814012ae13c1becf7e5e48"/>
      </w:placeholder>
      <w:richText/>
    </w:sdtPr>
    <w:sdtContent>
      <w:p w:rsidR="00A3270D" w14:paraId="16ED1A20" w14:textId="77777777">
        <w:pPr>
          <w:pStyle w:val="Footer"/>
          <w:snapToGrid/>
          <w:jc w:val="center"/>
        </w:pPr>
        <w:r>
          <w:fldChar w:fldCharType="begin"/>
        </w:r>
        <w:r>
          <w:rPr>
            <w:highlight w:val="white"/>
          </w:rPr>
          <w:instrText>PAGE   \* MERGEFORMAT</w:instrText>
        </w:r>
        <w:r>
          <w:fldChar w:fldCharType="separate"/>
        </w:r>
        <w:r w:rsidRPr="000F5E33" w:rsidR="000F5E33">
          <w:rPr>
            <w:noProof/>
            <w:highlight w:val="white"/>
            <w:lang w:val="zh-CN"/>
          </w:rPr>
          <w:t>47</w:t>
        </w:r>
        <w:r>
          <w:fldChar w:fldCharType="end"/>
        </w:r>
      </w:p>
    </w:sdtContent>
  </w:sdt>
  <w:p w:rsidR="00A3270D" w14:paraId="210FEEC8" w14:textId="77777777">
    <w:pPr>
      <w:pStyle w:val="Footer"/>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70D" w14:paraId="1A3839AE" w14:textId="77777777">
    <w:pPr>
      <w:pStyle w:val="Footer"/>
      <w:snapToGrid/>
      <w:jc w:val="center"/>
    </w:pPr>
  </w:p>
  <w:p w:rsidR="00A3270D" w14:paraId="7A098AF8" w14:textId="77777777">
    <w:pPr>
      <w:pStyle w:val="Footer"/>
      <w:snapToGri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70D" w14:paraId="2E55731E" w14:textId="77777777">
    <w:r>
      <w:rPr>
        <w:highlight w:val="white"/>
      </w:rPr>
      <w:tab/>
    </w:r>
    <w:r>
      <w:rPr>
        <w:highlight w:val="white"/>
      </w:rP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崔吴冰">
    <w15:presenceInfo w15:providerId="None" w15:userId="崔吴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proofState w:spelling="clean" w:grammar="clean"/>
  <w:defaultTabStop w:val="420"/>
  <w:characterSpacingControl w:val="compressPunctuation"/>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B2"/>
    <w:rsid w:val="DBFC5947"/>
    <w:rsid w:val="EFFF89AD"/>
    <w:rsid w:val="0004511E"/>
    <w:rsid w:val="00087F49"/>
    <w:rsid w:val="000F5E33"/>
    <w:rsid w:val="00102D46"/>
    <w:rsid w:val="0012357C"/>
    <w:rsid w:val="001B1293"/>
    <w:rsid w:val="002108B5"/>
    <w:rsid w:val="002A00C4"/>
    <w:rsid w:val="00344A04"/>
    <w:rsid w:val="00355B1E"/>
    <w:rsid w:val="00364EB2"/>
    <w:rsid w:val="00403B94"/>
    <w:rsid w:val="004244A5"/>
    <w:rsid w:val="0045793A"/>
    <w:rsid w:val="004D1106"/>
    <w:rsid w:val="005A2881"/>
    <w:rsid w:val="00664463"/>
    <w:rsid w:val="006A26D9"/>
    <w:rsid w:val="006C2694"/>
    <w:rsid w:val="0071246F"/>
    <w:rsid w:val="007234EE"/>
    <w:rsid w:val="00851D37"/>
    <w:rsid w:val="00866034"/>
    <w:rsid w:val="00876D5F"/>
    <w:rsid w:val="008C2E34"/>
    <w:rsid w:val="008C5256"/>
    <w:rsid w:val="008E6D94"/>
    <w:rsid w:val="0092220E"/>
    <w:rsid w:val="009F0948"/>
    <w:rsid w:val="00A3270D"/>
    <w:rsid w:val="00AB6F14"/>
    <w:rsid w:val="00AC2395"/>
    <w:rsid w:val="00BC0712"/>
    <w:rsid w:val="00C31A07"/>
    <w:rsid w:val="00C55D69"/>
    <w:rsid w:val="00C5683E"/>
    <w:rsid w:val="00C607D7"/>
    <w:rsid w:val="00CA77BB"/>
    <w:rsid w:val="00CD2FE9"/>
    <w:rsid w:val="00DB1D06"/>
    <w:rsid w:val="00DF30F6"/>
    <w:rsid w:val="00E56FE0"/>
    <w:rsid w:val="00EA4C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503C904E-02A1-4CF9-BFD4-241A2B36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lang w:eastAsia="en-US"/>
    </w:rPr>
  </w:style>
  <w:style w:type="paragraph" w:styleId="Heading1">
    <w:name w:val="heading 1"/>
    <w:basedOn w:val="Normal"/>
    <w:next w:val="Normal"/>
    <w:link w:val="1Char"/>
    <w:uiPriority w:val="9"/>
    <w:qFormat/>
    <w:pPr>
      <w:keepNext/>
      <w:keepLines/>
      <w:snapToGrid w:val="0"/>
      <w:spacing w:line="360" w:lineRule="auto"/>
      <w:ind w:firstLine="541"/>
      <w:outlineLvl w:val="0"/>
    </w:pPr>
    <w:rPr>
      <w:rFonts w:ascii="宋体" w:hAnsi="宋体" w:cs="Times New Roman"/>
      <w:b/>
      <w:color w:val="000000"/>
      <w:sz w:val="24"/>
      <w:szCs w:val="2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CommentText">
    <w:name w:val="annotation text"/>
    <w:basedOn w:val="Normal"/>
    <w:link w:val="Char8"/>
    <w:uiPriority w:val="99"/>
    <w:semiHidden/>
    <w:unhideWhenUsed/>
    <w:pPr>
      <w:jc w:val="left"/>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pPr>
      <w:spacing w:after="57"/>
      <w:ind w:left="1984"/>
    </w:pPr>
  </w:style>
  <w:style w:type="paragraph" w:styleId="BodyTextIndent2">
    <w:name w:val="Body Text Indent 2"/>
    <w:basedOn w:val="Normal"/>
    <w:link w:val="2Char0"/>
    <w:qFormat/>
    <w:pPr>
      <w:spacing w:before="60" w:after="60"/>
      <w:ind w:left="479"/>
    </w:pPr>
    <w:rPr>
      <w:rFonts w:ascii="宋体" w:hAnsi="Times New Roman" w:cs="Times New Roman"/>
      <w:sz w:val="24"/>
      <w:szCs w:val="20"/>
    </w:rPr>
  </w:style>
  <w:style w:type="paragraph" w:styleId="EndnoteText">
    <w:name w:val="endnote text"/>
    <w:basedOn w:val="Normal"/>
    <w:link w:val="Char4"/>
    <w:uiPriority w:val="99"/>
    <w:semiHidden/>
    <w:unhideWhenUsed/>
    <w:rPr>
      <w:sz w:val="20"/>
    </w:rPr>
  </w:style>
  <w:style w:type="paragraph" w:styleId="BalloonText">
    <w:name w:val="Balloon Text"/>
    <w:basedOn w:val="Normal"/>
    <w:link w:val="Char7"/>
    <w:uiPriority w:val="99"/>
    <w:semiHidden/>
    <w:unhideWhenUsed/>
    <w:rPr>
      <w:sz w:val="18"/>
      <w:szCs w:val="18"/>
    </w:rPr>
  </w:style>
  <w:style w:type="paragraph" w:styleId="Footer">
    <w:name w:val="footer"/>
    <w:basedOn w:val="Normal"/>
    <w:link w:val="Char6"/>
    <w:uiPriority w:val="99"/>
    <w:unhideWhenUsed/>
    <w:pPr>
      <w:tabs>
        <w:tab w:val="center" w:pos="4153"/>
        <w:tab w:val="right" w:pos="8306"/>
      </w:tabs>
      <w:snapToGrid w:val="0"/>
      <w:jc w:val="left"/>
    </w:pPr>
    <w:rPr>
      <w:sz w:val="18"/>
      <w:szCs w:val="18"/>
    </w:rPr>
  </w:style>
  <w:style w:type="paragraph" w:styleId="Header">
    <w:name w:val="header"/>
    <w:basedOn w:val="Normal"/>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pPr>
      <w:tabs>
        <w:tab w:val="right" w:leader="dot" w:pos="8296"/>
      </w:tabs>
      <w:spacing w:line="360" w:lineRule="auto"/>
    </w:p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3"/>
    <w:uiPriority w:val="99"/>
    <w:semiHidden/>
    <w:unhideWhenUsed/>
    <w:pPr>
      <w:spacing w:after="40"/>
    </w:pPr>
    <w:rPr>
      <w:sz w:val="18"/>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qFormat/>
    <w:pPr>
      <w:spacing w:after="57"/>
      <w:ind w:left="2268"/>
    </w:pPr>
  </w:style>
  <w:style w:type="paragraph" w:styleId="Title">
    <w:name w:val="Title"/>
    <w:basedOn w:val="Normal"/>
    <w:next w:val="Normal"/>
    <w:link w:val="Char"/>
    <w:uiPriority w:val="10"/>
    <w:qFormat/>
    <w:pPr>
      <w:spacing w:before="300" w:after="200"/>
      <w:contextualSpacing/>
    </w:pPr>
    <w:rPr>
      <w:sz w:val="48"/>
      <w:szCs w:val="48"/>
    </w:rPr>
  </w:style>
  <w:style w:type="paragraph" w:styleId="CommentSubject">
    <w:name w:val="annotation subject"/>
    <w:basedOn w:val="CommentText"/>
    <w:next w:val="CommentText"/>
    <w:link w:val="Char9"/>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basedOn w:val="DefaultParagraphFont"/>
    <w:uiPriority w:val="99"/>
    <w:unhideWhenUsed/>
    <w:rPr>
      <w:vertAlign w:val="superscript"/>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1"/>
      <w:szCs w:val="22"/>
      <w:lang w:eastAsia="en-US"/>
    </w:rPr>
  </w:style>
  <w:style w:type="character" w:customStyle="1" w:styleId="Char">
    <w:name w:val="标题 Char"/>
    <w:basedOn w:val="DefaultParagraphFont"/>
    <w:link w:val="Title"/>
    <w:uiPriority w:val="10"/>
    <w:rPr>
      <w:sz w:val="48"/>
      <w:szCs w:val="48"/>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rPr>
      <w:i/>
    </w:rPr>
  </w:style>
  <w:style w:type="character" w:customStyle="1" w:styleId="Char3">
    <w:name w:val="脚注文本 Char"/>
    <w:link w:val="FootnoteText"/>
    <w:uiPriority w:val="99"/>
    <w:rPr>
      <w:sz w:val="18"/>
    </w:rPr>
  </w:style>
  <w:style w:type="character" w:customStyle="1" w:styleId="Char4">
    <w:name w:val="尾注文本 Char"/>
    <w:link w:val="EndnoteText"/>
    <w:uiPriority w:val="99"/>
    <w:rPr>
      <w:sz w:val="20"/>
    </w:rPr>
  </w:style>
  <w:style w:type="character" w:customStyle="1" w:styleId="Char5">
    <w:name w:val="页眉 Char"/>
    <w:basedOn w:val="DefaultParagraphFont"/>
    <w:link w:val="Header"/>
    <w:uiPriority w:val="99"/>
    <w:qFormat/>
    <w:rPr>
      <w:sz w:val="18"/>
      <w:szCs w:val="18"/>
    </w:rPr>
  </w:style>
  <w:style w:type="character" w:customStyle="1" w:styleId="Char6">
    <w:name w:val="页脚 Char"/>
    <w:basedOn w:val="DefaultParagraphFont"/>
    <w:link w:val="Footer"/>
    <w:uiPriority w:val="99"/>
    <w:qFormat/>
    <w:rPr>
      <w:sz w:val="18"/>
      <w:szCs w:val="18"/>
    </w:rPr>
  </w:style>
  <w:style w:type="character" w:customStyle="1" w:styleId="Char7">
    <w:name w:val="批注框文本 Char"/>
    <w:basedOn w:val="DefaultParagraphFont"/>
    <w:link w:val="BalloonText"/>
    <w:uiPriority w:val="99"/>
    <w:semiHidden/>
    <w:qFormat/>
    <w:rPr>
      <w:sz w:val="18"/>
      <w:szCs w:val="18"/>
    </w:rPr>
  </w:style>
  <w:style w:type="character" w:customStyle="1" w:styleId="2Char0">
    <w:name w:val="正文文本缩进 2 Char"/>
    <w:basedOn w:val="DefaultParagraphFont"/>
    <w:link w:val="BodyTextIndent2"/>
    <w:qFormat/>
    <w:rPr>
      <w:rFonts w:ascii="宋体" w:eastAsia="宋体" w:hAnsi="Times New Roman" w:cs="Times New Roman"/>
      <w:sz w:val="24"/>
      <w:szCs w:val="20"/>
    </w:rPr>
  </w:style>
  <w:style w:type="character" w:customStyle="1" w:styleId="1Char">
    <w:name w:val="标题 1 Char"/>
    <w:basedOn w:val="DefaultParagraphFont"/>
    <w:link w:val="Heading1"/>
    <w:uiPriority w:val="9"/>
    <w:qFormat/>
    <w:rPr>
      <w:rFonts w:ascii="宋体" w:eastAsia="宋体" w:hAnsi="宋体" w:cs="Times New Roman"/>
      <w:b/>
      <w:color w:val="000000"/>
      <w:sz w:val="24"/>
      <w:szCs w:val="20"/>
    </w:rPr>
  </w:style>
  <w:style w:type="paragraph" w:customStyle="1" w:styleId="TOC10">
    <w:name w:val="TOC 标题1"/>
    <w:basedOn w:val="Heading1"/>
    <w:next w:val="Normal"/>
    <w:uiPriority w:val="39"/>
    <w:unhideWhenUsed/>
    <w:qFormat/>
    <w:pPr>
      <w:widowControl/>
      <w:snapToGrid/>
      <w:spacing w:before="240" w:line="259" w:lineRule="auto"/>
      <w:ind w:firstLine="0"/>
      <w:jc w:val="left"/>
      <w:outlineLvl w:val="9"/>
    </w:pPr>
    <w:rPr>
      <w:rFonts w:ascii="Calibri Light" w:hAnsi="Calibri Light" w:cs="Calibri Light"/>
      <w:b w:val="0"/>
      <w:color w:val="365F91" w:themeColor="accent1" w:themeShade="BF"/>
      <w:sz w:val="32"/>
      <w:szCs w:val="32"/>
    </w:rPr>
  </w:style>
  <w:style w:type="character" w:customStyle="1" w:styleId="Char8">
    <w:name w:val="批注文字 Char"/>
    <w:basedOn w:val="DefaultParagraphFont"/>
    <w:link w:val="CommentText"/>
    <w:uiPriority w:val="99"/>
    <w:semiHidden/>
  </w:style>
  <w:style w:type="character" w:customStyle="1" w:styleId="Char9">
    <w:name w:val="批注主题 Char"/>
    <w:basedOn w:val="Char8"/>
    <w:link w:val="CommentSubject"/>
    <w:uiPriority w:val="99"/>
    <w:semiHidden/>
    <w:rPr>
      <w:b/>
      <w:bCs/>
    </w:rPr>
  </w:style>
  <w:style w:type="paragraph" w:styleId="Revision">
    <w:name w:val="Revision"/>
    <w:hidden/>
    <w:uiPriority w:val="99"/>
    <w:semiHidden/>
    <w:rsid w:val="00A3270D"/>
    <w:rPr>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2cc21de7f814012ae13c1becf7e5e48"/>
        <w:category>
          <w:name w:val="(Empty Category)"/>
          <w:gallery w:val="any"/>
        </w:category>
        <w:behaviors>
          <w:behavior w:val="content"/>
        </w:behaviors>
        <w:guid w:val="{AB44C897-F9C2-4DE5-8D74-F6079F2307D4}"/>
      </w:docPartPr>
      <w:docPartBody>
        <w:p w:rsidR="007234EE">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81"/>
    <w:rsid w:val="000328BC"/>
    <w:rsid w:val="00094E3B"/>
    <w:rsid w:val="005A2881"/>
    <w:rsid w:val="00615347"/>
    <w:rsid w:val="006644D4"/>
    <w:rsid w:val="007234EE"/>
    <w:rsid w:val="00731E0A"/>
    <w:rsid w:val="00852A72"/>
    <w:rsid w:val="00923D64"/>
    <w:rsid w:val="009343E0"/>
    <w:rsid w:val="0099653F"/>
    <w:rsid w:val="00A06B84"/>
    <w:rsid w:val="00A43D5A"/>
    <w:rsid w:val="00AB17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paragraph" w:styleId="Header">
    <w:name w:val="header"/>
    <w:basedOn w:val="Normal"/>
    <w:link w:val="Char3"/>
    <w:uiPriority w:val="99"/>
    <w:unhideWhenUsed/>
    <w:pPr>
      <w:tabs>
        <w:tab w:val="center" w:pos="7143"/>
        <w:tab w:val="right" w:pos="14287"/>
      </w:tabs>
    </w:pPr>
  </w:style>
  <w:style w:type="character" w:customStyle="1" w:styleId="Char3">
    <w:name w:val="页眉 Char"/>
    <w:basedOn w:val="DefaultParagraphFont"/>
    <w:link w:val="Header"/>
    <w:uiPriority w:val="99"/>
    <w:qFormat/>
  </w:style>
  <w:style w:type="paragraph" w:styleId="Footer">
    <w:name w:val="footer"/>
    <w:basedOn w:val="Normal"/>
    <w:link w:val="Char4"/>
    <w:uiPriority w:val="99"/>
    <w:unhideWhenUsed/>
    <w:qFormat/>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rPr>
      <w:sz w:val="20"/>
    </w:rPr>
  </w:style>
  <w:style w:type="character" w:customStyle="1" w:styleId="Char6">
    <w:name w:val="尾注文本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