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257FC2">
      <w:pPr>
        <w:snapToGrid w:val="0"/>
        <w:spacing w:line="360" w:lineRule="auto"/>
        <w:jc w:val="left"/>
        <w:rPr>
          <w:rFonts w:ascii="宋体" w:hAnsi="Calibri" w:cs="宋体"/>
          <w:szCs w:val="21"/>
        </w:rPr>
      </w:pPr>
    </w:p>
    <w:p w:rsidR="00257FC2">
      <w:pPr>
        <w:tabs>
          <w:tab w:val="left" w:pos="1890"/>
        </w:tabs>
        <w:rPr>
          <w:rFonts w:ascii="宋体" w:hAnsi="Calibri" w:cs="宋体"/>
          <w:i/>
          <w:iCs/>
          <w:sz w:val="28"/>
          <w:szCs w:val="28"/>
        </w:rPr>
      </w:pPr>
    </w:p>
    <w:p w:rsidR="00257FC2">
      <w:pPr>
        <w:spacing w:line="360" w:lineRule="auto"/>
        <w:ind w:firstLine="881"/>
        <w:jc w:val="center"/>
        <w:rPr>
          <w:rFonts w:ascii="宋体" w:hAnsi="Calibri" w:cs="宋体"/>
          <w:b/>
          <w:sz w:val="44"/>
        </w:rPr>
      </w:pPr>
    </w:p>
    <w:p w:rsidR="00257FC2">
      <w:pPr>
        <w:spacing w:line="360" w:lineRule="auto"/>
        <w:ind w:firstLine="881"/>
        <w:jc w:val="center"/>
        <w:rPr>
          <w:rFonts w:ascii="宋体" w:hAnsi="Calibri" w:cs="宋体"/>
          <w:b/>
          <w:sz w:val="44"/>
        </w:rPr>
      </w:pPr>
    </w:p>
    <w:p w:rsidR="00257FC2">
      <w:pPr>
        <w:spacing w:line="360" w:lineRule="auto"/>
        <w:ind w:firstLine="881"/>
        <w:jc w:val="center"/>
        <w:rPr>
          <w:rFonts w:ascii="宋体" w:hAnsi="Calibri" w:cs="宋体"/>
          <w:b/>
          <w:sz w:val="44"/>
        </w:rPr>
      </w:pPr>
    </w:p>
    <w:p w:rsidR="00257FC2">
      <w:pPr>
        <w:spacing w:line="360" w:lineRule="auto"/>
        <w:ind w:firstLine="881"/>
        <w:jc w:val="center"/>
        <w:rPr>
          <w:rFonts w:ascii="宋体" w:hAnsi="Calibri" w:cs="宋体"/>
          <w:b/>
          <w:sz w:val="44"/>
        </w:rPr>
      </w:pPr>
    </w:p>
    <w:p w:rsidR="00257FC2">
      <w:pPr>
        <w:spacing w:line="360" w:lineRule="auto"/>
        <w:ind w:hanging="141"/>
        <w:jc w:val="center"/>
        <w:rPr>
          <w:rFonts w:ascii="宋体" w:hAnsi="Calibri" w:cs="宋体"/>
          <w:b/>
          <w:sz w:val="44"/>
          <w:lang w:eastAsia="zh-CN"/>
        </w:rPr>
      </w:pPr>
      <w:r>
        <w:rPr>
          <w:rFonts w:ascii="宋体" w:hAnsi="Calibri" w:cs="宋体" w:hint="eastAsia"/>
          <w:b/>
          <w:sz w:val="44"/>
          <w:szCs w:val="44"/>
          <w:lang w:eastAsia="zh-CN"/>
        </w:rPr>
        <w:t>易方达中证金融科技主题交易型开放式指数证券投资基金联接基金</w:t>
      </w:r>
      <w:r>
        <w:rPr>
          <w:rFonts w:ascii="宋体" w:hAnsi="Calibri" w:cs="宋体" w:hint="eastAsia"/>
          <w:b/>
          <w:sz w:val="44"/>
          <w:szCs w:val="44"/>
          <w:highlight w:val="white"/>
          <w:lang w:eastAsia="zh-CN"/>
        </w:rPr>
        <w:t>招募说明书</w:t>
      </w:r>
    </w:p>
    <w:p w:rsidR="00257FC2">
      <w:pPr>
        <w:spacing w:line="360" w:lineRule="auto"/>
        <w:ind w:left="1680" w:firstLine="181"/>
        <w:rPr>
          <w:rFonts w:ascii="宋体" w:hAnsi="Calibri" w:cs="宋体"/>
          <w:sz w:val="30"/>
          <w:szCs w:val="30"/>
          <w:lang w:eastAsia="zh-CN"/>
        </w:rPr>
      </w:pPr>
    </w:p>
    <w:p w:rsidR="00257FC2">
      <w:pPr>
        <w:spacing w:line="360" w:lineRule="auto"/>
        <w:ind w:left="1680" w:firstLine="181"/>
        <w:rPr>
          <w:rFonts w:ascii="宋体" w:hAnsi="Calibri" w:cs="宋体"/>
          <w:sz w:val="30"/>
          <w:szCs w:val="30"/>
          <w:lang w:eastAsia="zh-CN"/>
        </w:rPr>
      </w:pPr>
    </w:p>
    <w:p w:rsidR="00257FC2">
      <w:pPr>
        <w:spacing w:line="360" w:lineRule="auto"/>
        <w:ind w:left="1680"/>
        <w:rPr>
          <w:rFonts w:ascii="宋体" w:hAnsi="Calibri" w:cs="宋体"/>
          <w:sz w:val="30"/>
          <w:szCs w:val="30"/>
          <w:lang w:eastAsia="zh-CN"/>
        </w:rPr>
      </w:pPr>
    </w:p>
    <w:p w:rsidR="00257FC2">
      <w:pPr>
        <w:spacing w:line="360" w:lineRule="auto"/>
        <w:ind w:left="1680"/>
        <w:rPr>
          <w:rFonts w:ascii="宋体" w:hAnsi="Calibri" w:cs="宋体"/>
          <w:sz w:val="30"/>
          <w:szCs w:val="30"/>
          <w:lang w:eastAsia="zh-CN"/>
        </w:rPr>
      </w:pPr>
    </w:p>
    <w:p w:rsidR="00257FC2">
      <w:pPr>
        <w:spacing w:line="360" w:lineRule="auto"/>
        <w:ind w:left="1680"/>
        <w:rPr>
          <w:rFonts w:ascii="宋体" w:hAnsi="Calibri" w:cs="宋体"/>
          <w:sz w:val="30"/>
          <w:szCs w:val="30"/>
          <w:lang w:eastAsia="zh-CN"/>
        </w:rPr>
      </w:pPr>
    </w:p>
    <w:p w:rsidR="00257FC2">
      <w:pPr>
        <w:spacing w:line="360" w:lineRule="auto"/>
        <w:ind w:left="1680"/>
        <w:rPr>
          <w:rFonts w:ascii="宋体" w:hAnsi="Calibri" w:cs="宋体"/>
          <w:sz w:val="30"/>
          <w:szCs w:val="30"/>
          <w:lang w:eastAsia="zh-CN"/>
        </w:rPr>
      </w:pPr>
    </w:p>
    <w:p w:rsidR="00257FC2">
      <w:pPr>
        <w:spacing w:line="360" w:lineRule="auto"/>
        <w:ind w:left="1679" w:hanging="238"/>
        <w:rPr>
          <w:rFonts w:ascii="宋体" w:hAnsi="Calibri" w:cs="宋体"/>
          <w:b/>
          <w:sz w:val="32"/>
          <w:szCs w:val="32"/>
          <w:lang w:eastAsia="zh-CN"/>
        </w:rPr>
      </w:pPr>
      <w:r>
        <w:rPr>
          <w:rFonts w:ascii="宋体" w:hAnsi="Calibri" w:cs="宋体" w:hint="eastAsia"/>
          <w:b/>
          <w:sz w:val="32"/>
          <w:szCs w:val="32"/>
          <w:highlight w:val="white"/>
          <w:lang w:eastAsia="zh-CN"/>
        </w:rPr>
        <w:t>基金管理人：易方达基金管理有限公司</w:t>
      </w:r>
    </w:p>
    <w:p w:rsidR="00257FC2">
      <w:pPr>
        <w:spacing w:line="360" w:lineRule="auto"/>
        <w:ind w:left="1438"/>
        <w:rPr>
          <w:rFonts w:ascii="宋体" w:hAnsi="Calibri" w:cs="宋体"/>
          <w:b/>
          <w:sz w:val="32"/>
          <w:szCs w:val="32"/>
          <w:lang w:eastAsia="zh-CN"/>
        </w:rPr>
      </w:pPr>
      <w:r>
        <w:rPr>
          <w:rFonts w:ascii="宋体" w:hAnsi="Calibri" w:cs="宋体" w:hint="eastAsia"/>
          <w:b/>
          <w:sz w:val="32"/>
          <w:szCs w:val="32"/>
          <w:highlight w:val="white"/>
          <w:lang w:eastAsia="zh-CN"/>
        </w:rPr>
        <w:t>基金托管人：</w:t>
      </w:r>
      <w:r>
        <w:rPr>
          <w:rFonts w:ascii="宋体" w:hAnsi="Calibri" w:cs="宋体" w:hint="eastAsia"/>
          <w:b/>
          <w:sz w:val="32"/>
          <w:szCs w:val="32"/>
          <w:lang w:eastAsia="zh-CN"/>
        </w:rPr>
        <w:t>交通银行股份有限公司</w:t>
      </w:r>
    </w:p>
    <w:p w:rsidR="00257FC2">
      <w:pPr>
        <w:jc w:val="center"/>
        <w:rPr>
          <w:rFonts w:ascii="宋体" w:hAnsi="Calibri"/>
          <w:lang w:eastAsia="zh-CN"/>
        </w:rPr>
      </w:pPr>
      <w:r>
        <w:rPr>
          <w:rFonts w:ascii="宋体" w:hAnsi="Calibri" w:cs="宋体"/>
          <w:color w:val="000000"/>
          <w:sz w:val="32"/>
          <w:highlight w:val="white"/>
          <w:lang w:eastAsia="zh-CN"/>
        </w:rPr>
        <w:t>二〇二</w:t>
      </w:r>
      <w:r w:rsidR="00C24FC7">
        <w:rPr>
          <w:rFonts w:ascii="宋体" w:hAnsi="Calibri" w:cs="Calibri" w:hint="eastAsia"/>
          <w:color w:val="000000"/>
          <w:sz w:val="32"/>
          <w:highlight w:val="white"/>
          <w:lang w:eastAsia="zh-CN"/>
        </w:rPr>
        <w:t>六</w:t>
      </w:r>
      <w:r>
        <w:rPr>
          <w:rFonts w:ascii="宋体" w:hAnsi="Calibri" w:cs="宋体"/>
          <w:color w:val="000000"/>
          <w:sz w:val="32"/>
          <w:highlight w:val="white"/>
          <w:lang w:eastAsia="zh-CN"/>
        </w:rPr>
        <w:t>年</w:t>
      </w:r>
      <w:r w:rsidR="002F0AD8">
        <w:rPr>
          <w:rFonts w:ascii="宋体" w:hAnsi="Calibri" w:cs="宋体" w:hint="eastAsia"/>
          <w:color w:val="000000"/>
          <w:sz w:val="32"/>
          <w:highlight w:val="white"/>
          <w:lang w:eastAsia="zh-CN"/>
        </w:rPr>
        <w:t>四</w:t>
      </w:r>
      <w:r>
        <w:rPr>
          <w:rFonts w:ascii="宋体" w:hAnsi="Calibri" w:cs="宋体"/>
          <w:color w:val="000000"/>
          <w:sz w:val="32"/>
          <w:highlight w:val="white"/>
          <w:lang w:eastAsia="zh-CN"/>
        </w:rPr>
        <w:t>月</w:t>
      </w:r>
    </w:p>
    <w:p w:rsidR="00257FC2">
      <w:pPr>
        <w:jc w:val="center"/>
        <w:rPr>
          <w:rFonts w:ascii="宋体" w:hAnsi="Calibri" w:cs="宋体"/>
          <w:sz w:val="22"/>
          <w:szCs w:val="32"/>
          <w:lang w:eastAsia="zh-CN"/>
        </w:rPr>
      </w:pPr>
    </w:p>
    <w:p w:rsidR="00257FC2">
      <w:pPr>
        <w:spacing w:line="360" w:lineRule="auto"/>
        <w:rPr>
          <w:rFonts w:ascii="宋体" w:hAnsi="Calibri" w:cs="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257FC2">
      <w:pPr>
        <w:spacing w:before="447" w:after="447" w:line="320" w:lineRule="exact"/>
        <w:jc w:val="center"/>
        <w:rPr>
          <w:rFonts w:ascii="宋体" w:hAnsi="Calibri" w:cs="宋体"/>
          <w:sz w:val="30"/>
          <w:lang w:eastAsia="zh-CN"/>
        </w:rPr>
      </w:pPr>
      <w:r>
        <w:rPr>
          <w:rFonts w:ascii="宋体" w:hAnsi="Calibri" w:cs="宋体" w:hint="eastAsia"/>
          <w:sz w:val="30"/>
          <w:lang w:eastAsia="zh-CN"/>
        </w:rPr>
        <w:t>易方达中证金融科技主题交易型开放式指数证券投资基金联接基金</w:t>
      </w:r>
      <w:r>
        <w:rPr>
          <w:rFonts w:ascii="宋体" w:hAnsi="Calibri" w:cs="宋体" w:hint="eastAsia"/>
          <w:sz w:val="30"/>
          <w:highlight w:val="white"/>
          <w:lang w:eastAsia="zh-CN"/>
        </w:rPr>
        <w:t>招募说明书</w:t>
      </w:r>
    </w:p>
    <w:p w:rsidR="00257FC2">
      <w:pPr>
        <w:spacing w:before="447" w:after="447" w:line="320" w:lineRule="exact"/>
        <w:jc w:val="center"/>
        <w:rPr>
          <w:rFonts w:ascii="宋体" w:hAnsi="Calibri" w:cs="宋体"/>
          <w:sz w:val="30"/>
          <w:lang w:eastAsia="zh-CN"/>
        </w:rPr>
      </w:pPr>
    </w:p>
    <w:p w:rsidR="00257FC2">
      <w:pPr>
        <w:spacing w:line="288" w:lineRule="auto"/>
        <w:jc w:val="center"/>
        <w:rPr>
          <w:rFonts w:ascii="宋体" w:hAnsi="Calibri" w:cs="宋体"/>
          <w:b/>
          <w:sz w:val="28"/>
          <w:szCs w:val="28"/>
          <w:lang w:eastAsia="zh-CN"/>
        </w:rPr>
      </w:pPr>
      <w:r>
        <w:rPr>
          <w:rFonts w:ascii="宋体" w:hAnsi="Calibri" w:cs="宋体" w:hint="eastAsia"/>
          <w:b/>
          <w:sz w:val="28"/>
          <w:szCs w:val="28"/>
          <w:highlight w:val="white"/>
          <w:lang w:eastAsia="zh-CN"/>
        </w:rPr>
        <w:t>重要提示</w:t>
      </w:r>
    </w:p>
    <w:p w:rsidR="00257FC2">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1、本基金根据</w:t>
      </w:r>
      <w:r w:rsidR="00C24FC7">
        <w:rPr>
          <w:rFonts w:ascii="宋体" w:hAnsi="Calibri" w:cs="宋体"/>
          <w:b/>
          <w:szCs w:val="21"/>
          <w:highlight w:val="white"/>
          <w:lang w:eastAsia="zh-CN"/>
        </w:rPr>
        <w:t>2026</w:t>
      </w:r>
      <w:r>
        <w:rPr>
          <w:rFonts w:ascii="宋体" w:hAnsi="Calibri" w:cs="宋体" w:hint="eastAsia"/>
          <w:b/>
          <w:szCs w:val="21"/>
          <w:highlight w:val="white"/>
          <w:lang w:eastAsia="zh-CN"/>
        </w:rPr>
        <w:t>年</w:t>
      </w:r>
      <w:r w:rsidR="00C24FC7">
        <w:rPr>
          <w:rFonts w:ascii="宋体" w:hAnsi="Calibri" w:cs="宋体"/>
          <w:b/>
          <w:szCs w:val="21"/>
          <w:highlight w:val="white"/>
          <w:lang w:eastAsia="zh-CN"/>
        </w:rPr>
        <w:t>3</w:t>
      </w:r>
      <w:r>
        <w:rPr>
          <w:rFonts w:ascii="宋体" w:hAnsi="Calibri" w:cs="宋体" w:hint="eastAsia"/>
          <w:b/>
          <w:szCs w:val="21"/>
          <w:highlight w:val="white"/>
          <w:lang w:eastAsia="zh-CN"/>
        </w:rPr>
        <w:t>月</w:t>
      </w:r>
      <w:r w:rsidR="00C24FC7">
        <w:rPr>
          <w:rFonts w:ascii="宋体" w:hAnsi="Calibri" w:cs="宋体"/>
          <w:b/>
          <w:szCs w:val="21"/>
          <w:highlight w:val="white"/>
          <w:lang w:eastAsia="zh-CN"/>
        </w:rPr>
        <w:t>25</w:t>
      </w:r>
      <w:r>
        <w:rPr>
          <w:rFonts w:ascii="宋体" w:hAnsi="Calibri" w:cs="宋体" w:hint="eastAsia"/>
          <w:b/>
          <w:szCs w:val="21"/>
          <w:highlight w:val="white"/>
          <w:lang w:eastAsia="zh-CN"/>
        </w:rPr>
        <w:t>日中国证券监督管理委员会《关于准予</w:t>
      </w:r>
      <w:r>
        <w:rPr>
          <w:rFonts w:ascii="宋体" w:hAnsi="Calibri" w:cs="宋体"/>
          <w:b/>
          <w:szCs w:val="21"/>
          <w:lang w:eastAsia="zh-CN"/>
        </w:rPr>
        <w:t>易方达中证金融科技主题交易型开放式指数证券投资基金联接基金</w:t>
      </w:r>
      <w:r>
        <w:rPr>
          <w:rFonts w:ascii="宋体" w:hAnsi="Calibri" w:cs="宋体"/>
          <w:b/>
          <w:szCs w:val="21"/>
          <w:highlight w:val="white"/>
          <w:lang w:eastAsia="zh-CN"/>
        </w:rPr>
        <w:t>注册的批复》（证监许可[</w:t>
      </w:r>
      <w:r w:rsidR="00C24FC7">
        <w:rPr>
          <w:rFonts w:ascii="宋体" w:hAnsi="Calibri" w:cs="宋体"/>
          <w:b/>
          <w:szCs w:val="21"/>
          <w:highlight w:val="white"/>
          <w:lang w:eastAsia="zh-CN"/>
        </w:rPr>
        <w:t>2026</w:t>
      </w:r>
      <w:r>
        <w:rPr>
          <w:rFonts w:ascii="宋体" w:hAnsi="Calibri" w:cs="宋体" w:hint="eastAsia"/>
          <w:b/>
          <w:szCs w:val="21"/>
          <w:highlight w:val="white"/>
          <w:lang w:eastAsia="zh-CN"/>
        </w:rPr>
        <w:t>]</w:t>
      </w:r>
      <w:r w:rsidR="00C24FC7">
        <w:rPr>
          <w:rFonts w:ascii="宋体" w:hAnsi="Calibri" w:cs="宋体"/>
          <w:b/>
          <w:szCs w:val="21"/>
          <w:highlight w:val="white"/>
          <w:lang w:eastAsia="zh-CN"/>
        </w:rPr>
        <w:t>578</w:t>
      </w:r>
      <w:r>
        <w:rPr>
          <w:rFonts w:ascii="宋体" w:hAnsi="Calibri" w:cs="宋体" w:hint="eastAsia"/>
          <w:b/>
          <w:szCs w:val="21"/>
          <w:highlight w:val="white"/>
          <w:lang w:eastAsia="zh-CN"/>
        </w:rPr>
        <w:t>号）进行募集。</w:t>
      </w:r>
    </w:p>
    <w:p w:rsidR="00257FC2">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2、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257FC2">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基金管理人依照恪尽职守、诚实信用、谨慎勤勉的原则管理和运用基金财产，但不保证基金一定盈利，也不保证最低收益。</w:t>
      </w:r>
    </w:p>
    <w:p w:rsidR="00257FC2">
      <w:pPr>
        <w:spacing w:line="360" w:lineRule="auto"/>
        <w:ind w:firstLine="422"/>
        <w:rPr>
          <w:rFonts w:ascii="宋体" w:hAnsi="Calibri" w:cs="宋体"/>
          <w:b/>
          <w:szCs w:val="21"/>
          <w:lang w:eastAsia="zh-CN"/>
        </w:rPr>
      </w:pPr>
      <w:r>
        <w:rPr>
          <w:rFonts w:ascii="宋体" w:hAnsi="Calibri" w:cs="宋体" w:hint="eastAsia"/>
          <w:b/>
          <w:szCs w:val="21"/>
          <w:highlight w:val="white"/>
          <w:lang w:eastAsia="zh-CN"/>
        </w:rPr>
        <w:t>3、本基金标的指数为</w:t>
      </w:r>
      <w:r>
        <w:rPr>
          <w:rFonts w:ascii="宋体" w:hAnsi="Calibri" w:cs="宋体" w:hint="eastAsia"/>
          <w:b/>
          <w:szCs w:val="21"/>
          <w:lang w:eastAsia="zh-CN"/>
        </w:rPr>
        <w:t>中证金融科技主题指数</w:t>
      </w:r>
      <w:r>
        <w:rPr>
          <w:rFonts w:ascii="宋体" w:hAnsi="Calibri" w:cs="宋体" w:hint="eastAsia"/>
          <w:b/>
          <w:szCs w:val="21"/>
          <w:highlight w:val="white"/>
          <w:lang w:eastAsia="zh-CN"/>
        </w:rPr>
        <w:t>。</w:t>
      </w:r>
    </w:p>
    <w:p w:rsidR="00257FC2">
      <w:pPr>
        <w:spacing w:line="360" w:lineRule="auto"/>
        <w:ind w:firstLine="420"/>
        <w:rPr>
          <w:rFonts w:ascii="宋体" w:hAnsi="Calibri" w:cs="宋体"/>
          <w:b/>
          <w:szCs w:val="21"/>
          <w:lang w:eastAsia="zh-CN"/>
        </w:rPr>
      </w:pPr>
      <w:r>
        <w:rPr>
          <w:rFonts w:ascii="宋体" w:hAnsi="Calibri" w:cs="宋体" w:hint="eastAsia"/>
          <w:b/>
          <w:szCs w:val="21"/>
          <w:lang w:eastAsia="zh-CN"/>
        </w:rPr>
        <w:t>（1）样本空间</w:t>
      </w:r>
    </w:p>
    <w:p w:rsidR="00257FC2">
      <w:pPr>
        <w:spacing w:line="360" w:lineRule="auto"/>
        <w:ind w:firstLine="420"/>
        <w:rPr>
          <w:rFonts w:ascii="宋体" w:hAnsi="Calibri" w:cs="宋体"/>
          <w:b/>
          <w:szCs w:val="21"/>
          <w:lang w:eastAsia="zh-CN"/>
        </w:rPr>
      </w:pPr>
      <w:r>
        <w:rPr>
          <w:rFonts w:ascii="宋体" w:hAnsi="Calibri" w:cs="宋体" w:hint="eastAsia"/>
          <w:b/>
          <w:szCs w:val="21"/>
          <w:lang w:eastAsia="zh-CN"/>
        </w:rPr>
        <w:t>同中证全指指数的样本空间。</w:t>
      </w:r>
    </w:p>
    <w:p w:rsidR="00257FC2">
      <w:pPr>
        <w:spacing w:line="360" w:lineRule="auto"/>
        <w:ind w:firstLine="420"/>
        <w:rPr>
          <w:rFonts w:ascii="宋体" w:hAnsi="Calibri" w:cs="宋体"/>
          <w:b/>
          <w:szCs w:val="21"/>
          <w:lang w:eastAsia="zh-CN"/>
        </w:rPr>
      </w:pPr>
      <w:r>
        <w:rPr>
          <w:rFonts w:ascii="宋体" w:hAnsi="Calibri" w:cs="宋体" w:hint="eastAsia"/>
          <w:b/>
          <w:szCs w:val="21"/>
          <w:lang w:eastAsia="zh-CN"/>
        </w:rPr>
        <w:t>（2）选样方法</w:t>
      </w:r>
    </w:p>
    <w:p w:rsidR="00257FC2">
      <w:pPr>
        <w:spacing w:line="360" w:lineRule="auto"/>
        <w:ind w:firstLine="420"/>
        <w:rPr>
          <w:rFonts w:ascii="宋体" w:hAnsi="Calibri" w:cs="宋体"/>
          <w:b/>
          <w:szCs w:val="21"/>
          <w:lang w:eastAsia="zh-CN"/>
        </w:rPr>
      </w:pPr>
      <w:r>
        <w:rPr>
          <w:rFonts w:ascii="宋体" w:hAnsi="Calibri" w:cs="宋体" w:hint="eastAsia"/>
          <w:b/>
          <w:szCs w:val="21"/>
          <w:lang w:eastAsia="zh-CN"/>
        </w:rPr>
        <w:t>1）对样本空间内证券按照过去一年的日均成交金额由高到低排名，剔除排名后20%的证券；</w:t>
      </w:r>
    </w:p>
    <w:p w:rsidR="00257FC2">
      <w:pPr>
        <w:spacing w:line="360" w:lineRule="auto"/>
        <w:ind w:firstLine="420"/>
        <w:rPr>
          <w:rFonts w:ascii="宋体" w:hAnsi="Calibri" w:cs="宋体"/>
          <w:b/>
          <w:szCs w:val="21"/>
          <w:lang w:eastAsia="zh-CN"/>
        </w:rPr>
      </w:pPr>
      <w:r>
        <w:rPr>
          <w:rFonts w:ascii="宋体" w:hAnsi="Calibri" w:cs="宋体" w:hint="eastAsia"/>
          <w:b/>
          <w:szCs w:val="21"/>
          <w:lang w:eastAsia="zh-CN"/>
        </w:rPr>
        <w:t>2）对样本空间内剩余证券，选取不超过100只产品与服务涉及金融科技主题相关领域的上市公司作为指数样本，相关领域包括但不限于支付清算、网络借贷融资、财富管理、零售银行、保险、交易结算以及其他运用大数据、云计算、人工智能、区块链等信息化技术参与金融产品与服务价值链的公司。</w:t>
      </w:r>
    </w:p>
    <w:p w:rsidR="00257FC2">
      <w:pPr>
        <w:spacing w:line="360" w:lineRule="auto"/>
        <w:ind w:firstLine="420"/>
        <w:rPr>
          <w:rFonts w:ascii="宋体" w:hAnsi="Calibri" w:cs="宋体"/>
          <w:b/>
          <w:szCs w:val="21"/>
          <w:lang w:eastAsia="zh-CN"/>
        </w:rPr>
      </w:pPr>
      <w:r>
        <w:rPr>
          <w:rFonts w:ascii="宋体" w:hAnsi="Calibri" w:cs="宋体" w:hint="eastAsia"/>
          <w:b/>
          <w:szCs w:val="21"/>
          <w:lang w:eastAsia="zh-CN"/>
        </w:rPr>
        <w:t>（3）指数计算</w:t>
      </w:r>
    </w:p>
    <w:p w:rsidR="00257FC2">
      <w:pPr>
        <w:spacing w:line="360" w:lineRule="auto"/>
        <w:ind w:firstLine="420"/>
        <w:rPr>
          <w:rFonts w:ascii="宋体" w:hAnsi="Calibri" w:cs="宋体"/>
          <w:b/>
          <w:szCs w:val="21"/>
          <w:lang w:eastAsia="zh-CN"/>
        </w:rPr>
      </w:pPr>
      <w:r>
        <w:rPr>
          <w:rFonts w:ascii="宋体" w:hAnsi="Calibri" w:cs="宋体" w:hint="eastAsia"/>
          <w:b/>
          <w:szCs w:val="21"/>
          <w:lang w:eastAsia="zh-CN"/>
        </w:rPr>
        <w:t>指数计算公式为：报告期指数=报告期样本的调整市值/除数×1000。其中，调整市值＝∑(证券价格×调整股本数×权重因子)。调整股本数的计算方法、除数修正方法参见中证指数有限公司发布的计算与维护细则。权重因子介于0和1之间，以使单个样本权重不超过10%。</w:t>
      </w:r>
    </w:p>
    <w:p w:rsidR="00257FC2">
      <w:pPr>
        <w:spacing w:line="360" w:lineRule="auto"/>
        <w:ind w:firstLine="420"/>
        <w:rPr>
          <w:rFonts w:ascii="宋体" w:hAnsi="Calibri"/>
          <w:b/>
          <w:szCs w:val="21"/>
        </w:rPr>
      </w:pPr>
      <w:r>
        <w:rPr>
          <w:rFonts w:ascii="宋体" w:hAnsi="Calibri" w:hint="eastAsia"/>
          <w:b/>
          <w:szCs w:val="21"/>
          <w:highlight w:val="white"/>
        </w:rPr>
        <w:t>有关标的指数具体编制方案等指数信息详见中证指数有限公司网站，网址：www.csindex.com.cn。</w:t>
      </w:r>
    </w:p>
    <w:p w:rsidR="00257FC2">
      <w:pPr>
        <w:spacing w:line="360" w:lineRule="auto"/>
        <w:ind w:firstLine="422"/>
        <w:rPr>
          <w:rFonts w:ascii="宋体" w:hAnsi="Calibri" w:cs="宋体"/>
          <w:b/>
          <w:szCs w:val="21"/>
          <w:lang w:eastAsia="zh-CN"/>
        </w:rPr>
      </w:pPr>
      <w:r>
        <w:rPr>
          <w:rFonts w:ascii="宋体" w:hAnsi="Calibri" w:cs="宋体"/>
          <w:b/>
          <w:szCs w:val="21"/>
          <w:highlight w:val="white"/>
          <w:lang w:eastAsia="zh-CN"/>
        </w:rPr>
        <w:t>4、</w:t>
      </w:r>
      <w:r>
        <w:rPr>
          <w:rFonts w:ascii="宋体" w:hAnsi="Calibri" w:hint="eastAsia"/>
          <w:b/>
          <w:highlight w:val="white"/>
          <w:lang w:eastAsia="zh-CN"/>
        </w:rPr>
        <w:t>本基金为</w:t>
      </w:r>
      <w:r>
        <w:rPr>
          <w:rFonts w:ascii="宋体" w:hAnsi="Calibri" w:hint="eastAsia"/>
          <w:b/>
          <w:lang w:eastAsia="zh-CN"/>
        </w:rPr>
        <w:t>易方达中证金融科技主题交易型开放式指数证券投资基金</w:t>
      </w:r>
      <w:r>
        <w:rPr>
          <w:rFonts w:ascii="宋体" w:hAnsi="Calibri" w:hint="eastAsia"/>
          <w:b/>
          <w:highlight w:val="white"/>
          <w:lang w:eastAsia="zh-CN"/>
        </w:rPr>
        <w:t>（以下简称“目标ETF”）的联接基金，投资于目标ETF的资产不低于基金资产净值的90%，其投资目标是紧密跟踪业绩比较基准，追求跟踪偏离度和跟踪误差的最小化。</w:t>
      </w:r>
      <w:r>
        <w:rPr>
          <w:rFonts w:ascii="宋体" w:hAnsi="Calibri" w:cs="宋体" w:hint="eastAsia"/>
          <w:b/>
          <w:szCs w:val="21"/>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决策，承担基金投资中出现的各类风险。</w:t>
      </w:r>
    </w:p>
    <w:p w:rsidR="00257FC2">
      <w:pPr>
        <w:spacing w:line="360" w:lineRule="auto"/>
        <w:ind w:firstLine="422"/>
        <w:rPr>
          <w:rFonts w:ascii="宋体" w:hAnsi="Calibri" w:cs="宋体"/>
          <w:b/>
          <w:szCs w:val="21"/>
          <w:lang w:eastAsia="zh-CN"/>
        </w:rPr>
      </w:pPr>
      <w:r>
        <w:rPr>
          <w:rFonts w:ascii="宋体" w:hAnsi="Calibri" w:cs="宋体"/>
          <w:b/>
          <w:szCs w:val="21"/>
          <w:highlight w:val="white"/>
          <w:lang w:eastAsia="zh-CN"/>
        </w:rPr>
        <w:t>投资</w:t>
      </w:r>
      <w:r>
        <w:rPr>
          <w:rFonts w:ascii="宋体" w:hAnsi="Calibri"/>
          <w:b/>
          <w:highlight w:val="white"/>
          <w:lang w:eastAsia="zh-CN"/>
        </w:rPr>
        <w:t>本基金可能遇到的主要风险包括：本基金特有风险、市场风险、流动性风险、管理风险、</w:t>
      </w:r>
      <w:r>
        <w:rPr>
          <w:rFonts w:ascii="宋体" w:hAnsi="Calibri" w:hint="eastAsia"/>
          <w:b/>
          <w:highlight w:val="white"/>
          <w:lang w:eastAsia="zh-CN"/>
        </w:rPr>
        <w:t>税收风险、</w:t>
      </w:r>
      <w:r>
        <w:rPr>
          <w:rFonts w:ascii="宋体" w:hAnsi="Calibri"/>
          <w:b/>
          <w:highlight w:val="white"/>
          <w:lang w:eastAsia="zh-CN"/>
        </w:rPr>
        <w:t>本基金法律文件中涉及基金风险特征的表述与销售机构对基金的风险评级可能不一致的风险及其他风险等。</w:t>
      </w:r>
      <w:r>
        <w:rPr>
          <w:rFonts w:ascii="宋体" w:hAnsi="Calibri" w:hint="eastAsia"/>
          <w:b/>
          <w:highlight w:val="white"/>
          <w:lang w:eastAsia="zh-CN"/>
        </w:rPr>
        <w:t>本基金特有风险包括：（1）指数化投资的风险，包括标的指数回报与股票市场平均回报偏离的风险、标的指数波动的风险、指数成份股主要集中于金融科技主题公司的集中度风险、部分成份股权重较大的风险、标的指数发布时间较短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联接基金的特殊风险，包括可能具有与目标ETF不同的风险收益特征及净值增长率的风险、目标ETF面临的风险可能直接或间接成为本基金的风险、由目标ETF的联接基金变更为直接投资目标ETF标的指数成份股及备选成份股的指数基金的风险；（3）投资特定品种（包括股指期货、国债期货、股票期权等金融衍生品、</w:t>
      </w:r>
      <w:r>
        <w:rPr>
          <w:rFonts w:ascii="宋体" w:hAnsi="宋体" w:cs="宋体" w:hint="eastAsia"/>
          <w:b/>
          <w:highlight w:val="white"/>
          <w:lang w:eastAsia="zh-CN"/>
        </w:rPr>
        <w:t>科创板股票</w:t>
      </w:r>
      <w:r>
        <w:rPr>
          <w:rFonts w:ascii="宋体" w:hAnsi="宋体" w:cs="宋体"/>
          <w:b/>
          <w:highlight w:val="white"/>
          <w:lang w:eastAsia="zh-CN"/>
        </w:rPr>
        <w:t>、</w:t>
      </w:r>
      <w:r>
        <w:rPr>
          <w:rFonts w:ascii="宋体" w:hAnsi="Calibri" w:cs="宋体" w:hint="eastAsia"/>
          <w:b/>
          <w:szCs w:val="21"/>
          <w:highlight w:val="white"/>
          <w:lang w:eastAsia="zh-CN"/>
        </w:rPr>
        <w:t>北交所股票、</w:t>
      </w:r>
      <w:r>
        <w:rPr>
          <w:rFonts w:ascii="宋体" w:hAnsi="Calibri" w:hint="eastAsia"/>
          <w:b/>
          <w:highlight w:val="white"/>
          <w:lang w:eastAsia="zh-CN"/>
        </w:rPr>
        <w:t>资产支持证券、存托凭证等）的特有风险；（4）参与转融通证券出借业务的风险等</w:t>
      </w:r>
      <w:r>
        <w:rPr>
          <w:rFonts w:ascii="宋体" w:hAnsi="Calibri" w:cs="宋体"/>
          <w:b/>
          <w:szCs w:val="21"/>
          <w:highlight w:val="white"/>
          <w:lang w:eastAsia="zh-CN"/>
        </w:rPr>
        <w:t>。</w:t>
      </w:r>
    </w:p>
    <w:p w:rsidR="00257FC2">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本基金的具体运作特点详见基金合同和招募说明书的约定。</w:t>
      </w:r>
      <w:r>
        <w:rPr>
          <w:rFonts w:ascii="宋体" w:hAnsi="Calibri" w:cs="宋体"/>
          <w:b/>
          <w:szCs w:val="21"/>
          <w:highlight w:val="white"/>
          <w:lang w:eastAsia="zh-CN"/>
        </w:rPr>
        <w:t>投资本基金可能面临的风险详见招募说明书的</w:t>
      </w:r>
      <w:r>
        <w:rPr>
          <w:rFonts w:ascii="宋体" w:hAnsi="Calibri" w:cs="宋体"/>
          <w:b/>
          <w:szCs w:val="21"/>
          <w:highlight w:val="white"/>
          <w:lang w:eastAsia="zh-CN"/>
        </w:rPr>
        <w:t>“</w:t>
      </w:r>
      <w:r>
        <w:rPr>
          <w:rFonts w:ascii="宋体" w:hAnsi="Calibri" w:cs="宋体"/>
          <w:b/>
          <w:szCs w:val="21"/>
          <w:highlight w:val="white"/>
          <w:lang w:eastAsia="zh-CN"/>
        </w:rPr>
        <w:t>风险揭示</w:t>
      </w:r>
      <w:r>
        <w:rPr>
          <w:rFonts w:ascii="宋体" w:hAnsi="Calibri" w:cs="宋体"/>
          <w:b/>
          <w:szCs w:val="21"/>
          <w:highlight w:val="white"/>
          <w:lang w:eastAsia="zh-CN"/>
        </w:rPr>
        <w:t>”</w:t>
      </w:r>
      <w:r>
        <w:rPr>
          <w:rFonts w:ascii="宋体" w:hAnsi="Calibri" w:cs="宋体"/>
          <w:b/>
          <w:szCs w:val="21"/>
          <w:highlight w:val="white"/>
          <w:lang w:eastAsia="zh-CN"/>
        </w:rPr>
        <w:t>部分。</w:t>
      </w:r>
    </w:p>
    <w:p w:rsidR="00257FC2">
      <w:pPr>
        <w:snapToGrid w:val="0"/>
        <w:spacing w:line="360" w:lineRule="auto"/>
        <w:ind w:firstLine="422"/>
        <w:rPr>
          <w:rFonts w:ascii="宋体" w:hAnsi="Calibri" w:cs="宋体"/>
          <w:b/>
          <w:szCs w:val="21"/>
          <w:lang w:eastAsia="zh-CN"/>
        </w:rPr>
      </w:pPr>
      <w:r>
        <w:rPr>
          <w:rFonts w:ascii="宋体" w:hAnsi="Calibri" w:cs="宋体"/>
          <w:b/>
          <w:szCs w:val="21"/>
          <w:highlight w:val="white"/>
          <w:lang w:eastAsia="zh-CN"/>
        </w:rPr>
        <w:t>5</w:t>
      </w:r>
      <w:r>
        <w:rPr>
          <w:rFonts w:ascii="宋体" w:hAnsi="Calibri" w:cs="宋体" w:hint="eastAsia"/>
          <w:b/>
          <w:szCs w:val="21"/>
          <w:highlight w:val="white"/>
          <w:lang w:eastAsia="zh-CN"/>
        </w:rPr>
        <w:t>、</w:t>
      </w:r>
      <w:r>
        <w:rPr>
          <w:rFonts w:ascii="宋体" w:hAnsi="Calibri" w:cs="宋体"/>
          <w:b/>
          <w:szCs w:val="21"/>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p w:rsidR="00257FC2">
      <w:pPr>
        <w:spacing w:line="360" w:lineRule="auto"/>
        <w:ind w:firstLine="422"/>
        <w:rPr>
          <w:rFonts w:ascii="宋体" w:hAnsi="Calibri" w:cs="宋体"/>
          <w:b/>
          <w:szCs w:val="21"/>
          <w:lang w:eastAsia="zh-CN"/>
        </w:rPr>
      </w:pPr>
      <w:r>
        <w:rPr>
          <w:rFonts w:ascii="宋体" w:hAnsi="Calibri" w:cs="宋体"/>
          <w:b/>
          <w:szCs w:val="21"/>
          <w:highlight w:val="white"/>
          <w:lang w:eastAsia="zh-CN"/>
        </w:rPr>
        <w:t>6、本基金将基金份额分为A类基金份额和C类基金份额。A类基金份额在投资人认购/申购时</w:t>
      </w:r>
      <w:r>
        <w:rPr>
          <w:rFonts w:ascii="宋体" w:hAnsi="宋体" w:cs="宋体" w:hint="eastAsia"/>
          <w:b/>
          <w:highlight w:val="white"/>
          <w:lang w:eastAsia="zh-CN"/>
        </w:rPr>
        <w:t>按规定</w:t>
      </w:r>
      <w:r>
        <w:rPr>
          <w:rFonts w:ascii="宋体" w:hAnsi="Calibri" w:cs="宋体"/>
          <w:b/>
          <w:szCs w:val="21"/>
          <w:highlight w:val="white"/>
          <w:lang w:eastAsia="zh-CN"/>
        </w:rPr>
        <w:t>收取认购/申购费用，在持有期间不收取销售服务费；C类基金份额在投资人认购/申购时不收取认购/申购费用，在持有期间</w:t>
      </w:r>
      <w:r>
        <w:rPr>
          <w:rFonts w:ascii="宋体" w:hAnsi="宋体" w:cs="宋体"/>
          <w:b/>
          <w:highlight w:val="white"/>
          <w:lang w:eastAsia="zh-CN"/>
        </w:rPr>
        <w:t>计提销售服务费</w:t>
      </w:r>
      <w:r>
        <w:rPr>
          <w:rFonts w:ascii="宋体" w:hAnsi="宋体" w:cs="宋体" w:hint="eastAsia"/>
          <w:b/>
          <w:highlight w:val="white"/>
          <w:lang w:eastAsia="zh-CN"/>
        </w:rPr>
        <w:t>并按规定收取或返还</w:t>
      </w:r>
      <w:r>
        <w:rPr>
          <w:rFonts w:ascii="宋体" w:hAnsi="Calibri" w:cs="宋体"/>
          <w:b/>
          <w:szCs w:val="21"/>
          <w:highlight w:val="white"/>
          <w:lang w:eastAsia="zh-CN"/>
        </w:rPr>
        <w:t>。</w:t>
      </w:r>
    </w:p>
    <w:p w:rsidR="00257FC2">
      <w:pPr>
        <w:spacing w:line="360" w:lineRule="auto"/>
        <w:ind w:firstLine="422"/>
        <w:rPr>
          <w:rFonts w:ascii="宋体" w:hAnsi="Calibri" w:cs="宋体"/>
          <w:b/>
          <w:szCs w:val="21"/>
          <w:lang w:eastAsia="zh-CN"/>
        </w:rPr>
      </w:pPr>
      <w:r>
        <w:rPr>
          <w:rFonts w:ascii="宋体" w:hAnsi="Calibri" w:cs="宋体"/>
          <w:b/>
          <w:szCs w:val="21"/>
          <w:highlight w:val="white"/>
          <w:lang w:eastAsia="zh-CN"/>
        </w:rPr>
        <w:t>7</w:t>
      </w:r>
      <w:r>
        <w:rPr>
          <w:rFonts w:ascii="宋体" w:hAnsi="Calibri" w:cs="宋体" w:hint="eastAsia"/>
          <w:b/>
          <w:szCs w:val="21"/>
          <w:highlight w:val="white"/>
          <w:lang w:eastAsia="zh-CN"/>
        </w:rPr>
        <w:t>、基金管理人提醒投资者基金投资的“买者自负”原则，在投资者作出投资决策后，基金运营状况与基金净值变化引致的投资风险，由投资者自行负责。此外，本基金以1元初始面值进行募集，在市场波动等因素的影响下，存在单位份额净值跌破1元初始面值的风险。</w:t>
      </w:r>
    </w:p>
    <w:p w:rsidR="00257FC2">
      <w:pPr>
        <w:spacing w:line="360" w:lineRule="auto"/>
        <w:ind w:firstLine="422"/>
        <w:rPr>
          <w:rFonts w:ascii="宋体" w:hAnsi="Calibri" w:cs="宋体"/>
          <w:b/>
          <w:szCs w:val="21"/>
          <w:lang w:eastAsia="zh-CN"/>
        </w:rPr>
      </w:pPr>
      <w:r>
        <w:rPr>
          <w:rFonts w:ascii="宋体" w:hAnsi="Calibri" w:cs="宋体"/>
          <w:b/>
          <w:szCs w:val="21"/>
          <w:highlight w:val="white"/>
          <w:lang w:eastAsia="zh-CN"/>
        </w:rPr>
        <w:t>8</w:t>
      </w:r>
      <w:r>
        <w:rPr>
          <w:rFonts w:ascii="宋体" w:hAnsi="Calibri" w:cs="宋体" w:hint="eastAsia"/>
          <w:b/>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257FC2">
      <w:pPr>
        <w:spacing w:line="360" w:lineRule="auto"/>
        <w:ind w:firstLine="422"/>
        <w:rPr>
          <w:rFonts w:ascii="宋体" w:hAnsi="Calibri" w:cs="宋体"/>
          <w:b/>
          <w:szCs w:val="21"/>
          <w:lang w:eastAsia="zh-CN"/>
        </w:rPr>
      </w:pPr>
      <w:r>
        <w:rPr>
          <w:rFonts w:ascii="宋体" w:hAnsi="Calibri" w:cs="宋体" w:hint="eastAsia"/>
          <w:b/>
          <w:szCs w:val="21"/>
          <w:highlight w:val="white"/>
          <w:lang w:eastAsia="zh-CN"/>
        </w:rPr>
        <w:t>9、基金的过往业绩并不预示其未来表现，基金管理人管理的其他基金的业绩并不构成对本基金表现的保证。</w:t>
      </w:r>
    </w:p>
    <w:p w:rsidR="00257FC2">
      <w:pPr>
        <w:spacing w:line="360" w:lineRule="auto"/>
        <w:ind w:firstLine="420" w:firstLineChars="200"/>
        <w:rPr>
          <w:rFonts w:ascii="宋体" w:hAnsi="Calibri"/>
          <w:b/>
          <w:lang w:eastAsia="zh-CN"/>
        </w:rPr>
      </w:pPr>
      <w:r>
        <w:rPr>
          <w:rFonts w:ascii="宋体" w:hAnsi="Calibri" w:hint="eastAsia"/>
          <w:b/>
          <w:highlight w:val="white"/>
          <w:lang w:eastAsia="zh-CN"/>
        </w:rPr>
        <w:t>10、本基金与目标ETF的联系与区别</w:t>
      </w:r>
    </w:p>
    <w:p w:rsidR="00257FC2">
      <w:pPr>
        <w:spacing w:line="360" w:lineRule="auto"/>
        <w:ind w:firstLine="420" w:firstLineChars="200"/>
        <w:rPr>
          <w:rFonts w:ascii="宋体" w:hAnsi="Calibri"/>
          <w:b/>
          <w:lang w:eastAsia="zh-CN"/>
        </w:rPr>
      </w:pPr>
      <w:r>
        <w:rPr>
          <w:rFonts w:ascii="宋体" w:hAnsi="Calibri" w:hint="eastAsia"/>
          <w:b/>
          <w:highlight w:val="white"/>
          <w:lang w:eastAsia="zh-CN"/>
        </w:rPr>
        <w:t>本基金与目标ETF之间的联系：（1）两只基金的投资目标均为紧密跟踪业绩比较基准；（2）两只基金具有相似的风险收益特征；（3）目标ETF是本基金的主要投资对象。</w:t>
      </w:r>
    </w:p>
    <w:p w:rsidR="00257FC2">
      <w:pPr>
        <w:spacing w:line="360" w:lineRule="auto"/>
        <w:ind w:firstLine="420" w:firstLineChars="200"/>
        <w:rPr>
          <w:rFonts w:ascii="宋体" w:hAnsi="Calibri"/>
          <w:b/>
          <w:lang w:eastAsia="zh-CN"/>
        </w:rPr>
      </w:pPr>
      <w:r>
        <w:rPr>
          <w:rFonts w:ascii="宋体" w:hAnsi="Calibri" w:hint="eastAsia"/>
          <w:b/>
          <w:highlight w:val="white"/>
          <w:lang w:eastAsia="zh-CN"/>
        </w:rPr>
        <w:t>本基金与目标ETF之间的区别：（1）在基金的投资方法方面，目标ETF主要采取完全复制法，直接投资于标的指数的成份股、备选成份股；而本基金则采取间接的方法，通过将绝大部分基金财产投资于目标ETF，实现对业绩比较基准的紧密跟踪。（2）在交易方式方面，投资者既可以像买卖股票一样在交易所买卖目标ETF的基金份额，也可以按照最小申购、赎回单位和申购、赎回清单的要求申赎目标ETF；而本基金则像普通的开放式基金一样，投资者可以通过基金管理人及非直销销售机构按未知价法进行基金的申购与赎回。</w:t>
      </w:r>
    </w:p>
    <w:p w:rsidR="00257FC2">
      <w:pPr>
        <w:spacing w:line="360" w:lineRule="auto"/>
        <w:ind w:firstLine="420" w:firstLineChars="200"/>
        <w:rPr>
          <w:rFonts w:ascii="宋体" w:hAnsi="Calibri"/>
          <w:b/>
          <w:lang w:eastAsia="zh-CN"/>
        </w:rPr>
      </w:pPr>
      <w:r>
        <w:rPr>
          <w:rFonts w:ascii="宋体" w:hAnsi="Calibri" w:hint="eastAsia"/>
          <w:b/>
          <w:highlight w:val="white"/>
          <w:lang w:eastAsia="zh-CN"/>
        </w:rPr>
        <w:t>本基金与目标ETF业绩表现仍可能出现差异。可能引发差异的因素主要包括：（1）法规对投资比例的要求。目标ETF作为一种特殊的基金品种，可将全部或接近全部的基金资产，用于跟踪标的指数的表现；而本基金作为普通的开放式基金，仍需将不低于基金资产净值5%的资产投资于现金或者到期日在一年以内的政府债券。（2）申购赎回的影响。目标ETF采取按照最小申购、赎回单位和申购、赎回清单要求进行申赎的方式，申购赎回对基金净值影响较小；而本基金采取按照未知价法进行申赎的方式，大额申赎可能会对基金资产净值产生一定影响。</w:t>
      </w:r>
    </w:p>
    <w:p w:rsidR="00257FC2">
      <w:pPr>
        <w:spacing w:line="360" w:lineRule="auto"/>
        <w:ind w:firstLine="422"/>
        <w:rPr>
          <w:rFonts w:ascii="宋体" w:hAnsi="Calibri" w:cs="宋体"/>
          <w:b/>
          <w:szCs w:val="21"/>
          <w:lang w:eastAsia="zh-CN"/>
        </w:rPr>
      </w:pPr>
    </w:p>
    <w:p w:rsidR="00257FC2">
      <w:pPr>
        <w:spacing w:line="360" w:lineRule="auto"/>
        <w:ind w:firstLine="422"/>
        <w:rPr>
          <w:rFonts w:ascii="宋体" w:hAnsi="Calibri" w:cs="宋体"/>
          <w:b/>
          <w:szCs w:val="21"/>
          <w:lang w:eastAsia="zh-CN"/>
        </w:rPr>
      </w:pPr>
    </w:p>
    <w:p w:rsidR="00257FC2">
      <w:pPr>
        <w:snapToGrid w:val="0"/>
        <w:spacing w:before="100" w:after="100" w:line="360" w:lineRule="auto"/>
        <w:jc w:val="center"/>
        <w:rPr>
          <w:rFonts w:ascii="宋体" w:hAnsi="Calibri" w:cs="宋体"/>
          <w:sz w:val="30"/>
        </w:rPr>
      </w:pPr>
      <w:r>
        <w:rPr>
          <w:rFonts w:ascii="宋体" w:hAnsi="Calibri" w:cs="宋体" w:hint="eastAsia"/>
          <w:b/>
          <w:szCs w:val="21"/>
          <w:highlight w:val="white"/>
          <w:lang w:eastAsia="zh-CN"/>
        </w:rPr>
        <w:br w:type="column"/>
      </w:r>
      <w:r>
        <w:rPr>
          <w:rFonts w:ascii="宋体" w:hAnsi="Calibri" w:cs="宋体" w:hint="eastAsia"/>
          <w:sz w:val="30"/>
          <w:highlight w:val="white"/>
        </w:rPr>
        <w:t>目     录</w:t>
      </w:r>
    </w:p>
    <w:p w:rsidR="00257FC2">
      <w:pPr>
        <w:snapToGrid w:val="0"/>
        <w:spacing w:before="100" w:after="100" w:line="320" w:lineRule="exact"/>
        <w:ind w:firstLine="480"/>
        <w:jc w:val="center"/>
        <w:rPr>
          <w:rFonts w:ascii="宋体" w:hAnsi="Calibri" w:cs="宋体"/>
          <w:b/>
        </w:rPr>
      </w:pPr>
    </w:p>
    <w:p w:rsidR="00257FC2">
      <w:pPr>
        <w:pStyle w:val="TOC1"/>
        <w:rPr>
          <w:rFonts w:eastAsia="宋体" w:hAnsi="Calibri" w:cs="Calibri"/>
          <w:caps w:val="0"/>
          <w:noProof/>
          <w:color w:val="auto"/>
          <w:sz w:val="21"/>
          <w:szCs w:val="22"/>
        </w:rPr>
      </w:pPr>
      <w:r>
        <w:rPr>
          <w:rFonts w:eastAsia="宋体" w:hAnsi="Calibri" w:cs="宋体"/>
          <w:b/>
          <w:color w:val="auto"/>
        </w:rPr>
        <w:fldChar w:fldCharType="begin"/>
      </w:r>
      <w:r>
        <w:rPr>
          <w:rFonts w:eastAsia="宋体" w:hAnsi="Calibri" w:cs="宋体"/>
          <w:b/>
          <w:color w:val="auto"/>
          <w:highlight w:val="white"/>
        </w:rPr>
        <w:instrText xml:space="preserve"> TOC \o "1-1" \h \z \u </w:instrText>
      </w:r>
      <w:r>
        <w:rPr>
          <w:rFonts w:eastAsia="宋体" w:hAnsi="Calibri" w:cs="宋体"/>
          <w:b/>
          <w:color w:val="auto"/>
        </w:rPr>
        <w:fldChar w:fldCharType="separate"/>
      </w:r>
      <w:hyperlink w:anchor="_Toc129511523" w:tooltip="Current Document" w:history="1">
        <w:r>
          <w:rPr>
            <w:rStyle w:val="Hyperlink"/>
            <w:rFonts w:eastAsia="宋体" w:hAnsi="Calibri" w:cs="宋体" w:hint="eastAsia"/>
            <w:noProof/>
            <w:highlight w:val="white"/>
          </w:rPr>
          <w:t>第一部分</w:t>
        </w:r>
        <w:r>
          <w:rPr>
            <w:rStyle w:val="Hyperlink"/>
            <w:rFonts w:eastAsia="宋体" w:hAnsi="Calibri" w:cs="宋体"/>
            <w:noProof/>
            <w:highlight w:val="white"/>
          </w:rPr>
          <w:t xml:space="preserve"> </w:t>
        </w:r>
        <w:r>
          <w:rPr>
            <w:rStyle w:val="Hyperlink"/>
            <w:rFonts w:eastAsia="宋体" w:hAnsi="Calibri" w:cs="宋体" w:hint="eastAsia"/>
            <w:noProof/>
            <w:highlight w:val="white"/>
          </w:rPr>
          <w:t>绪</w:t>
        </w:r>
        <w:r>
          <w:rPr>
            <w:rStyle w:val="Hyperlink"/>
            <w:rFonts w:eastAsia="宋体" w:hAnsi="Calibri" w:cs="宋体"/>
            <w:noProof/>
            <w:highlight w:val="white"/>
          </w:rPr>
          <w:t xml:space="preserve">  </w:t>
        </w:r>
        <w:r>
          <w:rPr>
            <w:rStyle w:val="Hyperlink"/>
            <w:rFonts w:eastAsia="宋体" w:hAnsi="Calibri" w:cs="宋体" w:hint="eastAsia"/>
            <w:noProof/>
            <w:highlight w:val="white"/>
          </w:rPr>
          <w:t>言</w:t>
        </w:r>
        <w:r>
          <w:rPr>
            <w:rFonts w:eastAsia="宋体" w:hAnsi="Calibri"/>
            <w:noProof/>
            <w:highlight w:val="white"/>
          </w:rPr>
          <w:tab/>
        </w:r>
        <w:r>
          <w:rPr>
            <w:rFonts w:eastAsia="宋体" w:hAnsi="Calibri"/>
            <w:noProof/>
          </w:rPr>
          <w:fldChar w:fldCharType="begin"/>
        </w:r>
        <w:r>
          <w:rPr>
            <w:rFonts w:eastAsia="宋体" w:hAnsi="Calibri"/>
            <w:noProof/>
            <w:highlight w:val="white"/>
          </w:rPr>
          <w:instrText xml:space="preserve"> PAGEREF _Toc129511523 \h </w:instrText>
        </w:r>
        <w:r>
          <w:rPr>
            <w:rFonts w:eastAsia="宋体" w:hAnsi="Calibri"/>
            <w:noProof/>
          </w:rPr>
          <w:fldChar w:fldCharType="separate"/>
        </w:r>
        <w:r w:rsidR="006F2136">
          <w:rPr>
            <w:rFonts w:eastAsia="宋体" w:hAnsi="Calibri"/>
            <w:noProof/>
            <w:highlight w:val="white"/>
          </w:rPr>
          <w:t>1</w:t>
        </w:r>
        <w:r>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24" w:tooltip="Current Document" w:history="1">
        <w:r w:rsidR="0081651F">
          <w:rPr>
            <w:rStyle w:val="Hyperlink"/>
            <w:rFonts w:eastAsia="宋体" w:hAnsi="Calibri" w:cs="宋体" w:hint="eastAsia"/>
            <w:noProof/>
            <w:highlight w:val="white"/>
          </w:rPr>
          <w:t>第二部分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释</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义</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_Toc129511524 \h </w:instrText>
        </w:r>
        <w:r w:rsidR="0081651F">
          <w:rPr>
            <w:rFonts w:eastAsia="宋体" w:hAnsi="Calibri"/>
            <w:noProof/>
          </w:rPr>
          <w:fldChar w:fldCharType="separate"/>
        </w:r>
        <w:r>
          <w:rPr>
            <w:rFonts w:eastAsia="宋体" w:hAnsi="Calibri"/>
            <w:noProof/>
            <w:highlight w:val="white"/>
          </w:rPr>
          <w:t>2</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25" w:tooltip="Current Document" w:history="1">
        <w:r w:rsidR="0081651F">
          <w:rPr>
            <w:rStyle w:val="Hyperlink"/>
            <w:rFonts w:eastAsia="宋体" w:hAnsi="Calibri" w:cs="宋体" w:hint="eastAsia"/>
            <w:noProof/>
            <w:highlight w:val="white"/>
          </w:rPr>
          <w:t>第三部分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基金管理人</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_Toc129511525 \h </w:instrText>
        </w:r>
        <w:r w:rsidR="0081651F">
          <w:rPr>
            <w:rFonts w:eastAsia="宋体" w:hAnsi="Calibri"/>
            <w:noProof/>
          </w:rPr>
          <w:fldChar w:fldCharType="separate"/>
        </w:r>
        <w:r>
          <w:rPr>
            <w:rFonts w:eastAsia="宋体" w:hAnsi="Calibri"/>
            <w:noProof/>
            <w:highlight w:val="white"/>
          </w:rPr>
          <w:t>7</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26" w:tooltip="Current Document" w:history="1">
        <w:r w:rsidR="0081651F">
          <w:rPr>
            <w:rStyle w:val="Hyperlink"/>
            <w:rFonts w:eastAsia="宋体" w:hAnsi="Calibri" w:cs="宋体" w:hint="eastAsia"/>
            <w:noProof/>
            <w:highlight w:val="white"/>
          </w:rPr>
          <w:t>第四部分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基金托管人</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_Toc129511526 \h </w:instrText>
        </w:r>
        <w:r w:rsidR="0081651F">
          <w:rPr>
            <w:rFonts w:eastAsia="宋体" w:hAnsi="Calibri"/>
            <w:noProof/>
          </w:rPr>
          <w:fldChar w:fldCharType="separate"/>
        </w:r>
        <w:r>
          <w:rPr>
            <w:rFonts w:eastAsia="宋体" w:hAnsi="Calibri"/>
            <w:noProof/>
            <w:highlight w:val="white"/>
          </w:rPr>
          <w:t>19</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27" w:tooltip="Current Document" w:history="1">
        <w:r w:rsidR="0081651F">
          <w:rPr>
            <w:rStyle w:val="Hyperlink"/>
            <w:rFonts w:eastAsia="宋体" w:hAnsi="Calibri" w:cs="宋体" w:hint="eastAsia"/>
            <w:noProof/>
            <w:highlight w:val="white"/>
          </w:rPr>
          <w:t>第五部分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相关服务机构</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_Toc129511527 \h </w:instrText>
        </w:r>
        <w:r w:rsidR="0081651F">
          <w:rPr>
            <w:rFonts w:eastAsia="宋体" w:hAnsi="Calibri"/>
            <w:noProof/>
          </w:rPr>
          <w:fldChar w:fldCharType="separate"/>
        </w:r>
        <w:r>
          <w:rPr>
            <w:rFonts w:eastAsia="宋体" w:hAnsi="Calibri"/>
            <w:noProof/>
            <w:highlight w:val="white"/>
          </w:rPr>
          <w:t>23</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28" w:tooltip="Current Document" w:history="1">
        <w:r w:rsidR="0081651F">
          <w:rPr>
            <w:rStyle w:val="Hyperlink"/>
            <w:rFonts w:eastAsia="宋体" w:hAnsi="Calibri" w:cs="宋体" w:hint="eastAsia"/>
            <w:bCs/>
            <w:noProof/>
            <w:highlight w:val="white"/>
          </w:rPr>
          <w:t>第六部分</w:t>
        </w:r>
        <w:r w:rsidR="0081651F">
          <w:rPr>
            <w:rStyle w:val="Hyperlink"/>
            <w:rFonts w:eastAsia="宋体" w:hAnsi="Calibri" w:cs="宋体"/>
            <w:bCs/>
            <w:noProof/>
            <w:highlight w:val="white"/>
          </w:rPr>
          <w:t xml:space="preserve"> </w:t>
        </w:r>
        <w:r w:rsidR="0081651F">
          <w:rPr>
            <w:rStyle w:val="Hyperlink"/>
            <w:rFonts w:eastAsia="宋体" w:hAnsi="Calibri" w:cs="宋体" w:hint="eastAsia"/>
            <w:bCs/>
            <w:noProof/>
            <w:highlight w:val="white"/>
          </w:rPr>
          <w:t>基金份额的分类</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_Toc129511528 \h </w:instrText>
        </w:r>
        <w:r w:rsidR="0081651F">
          <w:rPr>
            <w:rFonts w:eastAsia="宋体" w:hAnsi="Calibri"/>
            <w:noProof/>
          </w:rPr>
          <w:fldChar w:fldCharType="separate"/>
        </w:r>
        <w:r>
          <w:rPr>
            <w:rFonts w:eastAsia="宋体" w:hAnsi="Calibri"/>
            <w:noProof/>
            <w:highlight w:val="white"/>
          </w:rPr>
          <w:t>25</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29" w:tooltip="Current Document" w:history="1">
        <w:r w:rsidR="0081651F">
          <w:rPr>
            <w:rStyle w:val="Hyperlink"/>
            <w:rFonts w:eastAsia="宋体" w:hAnsi="Calibri" w:cs="宋体" w:hint="eastAsia"/>
            <w:bCs/>
            <w:noProof/>
            <w:highlight w:val="white"/>
          </w:rPr>
          <w:t>第七部分</w:t>
        </w:r>
        <w:r w:rsidR="0081651F">
          <w:rPr>
            <w:rStyle w:val="Hyperlink"/>
            <w:rFonts w:eastAsia="宋体" w:hAnsi="Calibri" w:cs="宋体"/>
            <w:bCs/>
            <w:noProof/>
            <w:highlight w:val="white"/>
          </w:rPr>
          <w:t xml:space="preserve"> </w:t>
        </w:r>
        <w:r w:rsidR="0081651F">
          <w:rPr>
            <w:rStyle w:val="Hyperlink"/>
            <w:rFonts w:eastAsia="宋体" w:hAnsi="Calibri" w:cs="宋体" w:hint="eastAsia"/>
            <w:bCs/>
            <w:noProof/>
            <w:highlight w:val="white"/>
          </w:rPr>
          <w:t>基金的募集安排</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_Toc129511529 \h </w:instrText>
        </w:r>
        <w:r w:rsidR="0081651F">
          <w:rPr>
            <w:rFonts w:eastAsia="宋体" w:hAnsi="Calibri"/>
            <w:noProof/>
          </w:rPr>
          <w:fldChar w:fldCharType="separate"/>
        </w:r>
        <w:r>
          <w:rPr>
            <w:rFonts w:eastAsia="宋体" w:hAnsi="Calibri"/>
            <w:noProof/>
            <w:highlight w:val="white"/>
          </w:rPr>
          <w:t>26</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0" w:tooltip="Current Document" w:history="1">
        <w:r w:rsidR="0081651F">
          <w:rPr>
            <w:rStyle w:val="Hyperlink"/>
            <w:rFonts w:eastAsia="宋体" w:hAnsi="Calibri" w:cs="宋体" w:hint="eastAsia"/>
            <w:bCs/>
            <w:noProof/>
            <w:highlight w:val="white"/>
          </w:rPr>
          <w:t>第八部分</w:t>
        </w:r>
        <w:r w:rsidR="0081651F">
          <w:rPr>
            <w:rStyle w:val="Hyperlink"/>
            <w:rFonts w:eastAsia="宋体" w:hAnsi="Calibri" w:cs="宋体"/>
            <w:bCs/>
            <w:noProof/>
            <w:highlight w:val="white"/>
          </w:rPr>
          <w:t xml:space="preserve"> </w:t>
        </w:r>
        <w:r w:rsidR="0081651F">
          <w:rPr>
            <w:rStyle w:val="Hyperlink"/>
            <w:rFonts w:eastAsia="宋体" w:hAnsi="Calibri" w:cs="宋体" w:hint="eastAsia"/>
            <w:bCs/>
            <w:noProof/>
            <w:highlight w:val="white"/>
          </w:rPr>
          <w:t>基金合同的生效</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_Toc129511530 \h </w:instrText>
        </w:r>
        <w:r w:rsidR="0081651F">
          <w:rPr>
            <w:rFonts w:eastAsia="宋体" w:hAnsi="Calibri"/>
            <w:noProof/>
          </w:rPr>
          <w:fldChar w:fldCharType="separate"/>
        </w:r>
        <w:r>
          <w:rPr>
            <w:rFonts w:eastAsia="宋体" w:hAnsi="Calibri"/>
            <w:noProof/>
            <w:highlight w:val="white"/>
          </w:rPr>
          <w:t>30</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1" w:tooltip="Current Document" w:history="1">
        <w:r w:rsidR="0081651F">
          <w:rPr>
            <w:rStyle w:val="Hyperlink"/>
            <w:rFonts w:eastAsia="宋体" w:hAnsi="Calibri" w:cs="宋体" w:hint="eastAsia"/>
            <w:bCs/>
            <w:noProof/>
            <w:highlight w:val="white"/>
          </w:rPr>
          <w:t>第九部分</w:t>
        </w:r>
        <w:r w:rsidR="0081651F">
          <w:rPr>
            <w:rStyle w:val="Hyperlink"/>
            <w:rFonts w:eastAsia="宋体" w:hAnsi="Calibri" w:cs="宋体"/>
            <w:bCs/>
            <w:noProof/>
            <w:highlight w:val="white"/>
          </w:rPr>
          <w:t xml:space="preserve"> </w:t>
        </w:r>
        <w:r w:rsidR="0081651F">
          <w:rPr>
            <w:rStyle w:val="Hyperlink"/>
            <w:rFonts w:eastAsia="宋体" w:hAnsi="Calibri" w:cs="宋体" w:hint="eastAsia"/>
            <w:bCs/>
            <w:noProof/>
            <w:highlight w:val="white"/>
          </w:rPr>
          <w:t>基金份额的申购、赎回</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_Toc129511531 \h </w:instrText>
        </w:r>
        <w:r w:rsidR="0081651F">
          <w:rPr>
            <w:rFonts w:eastAsia="宋体" w:hAnsi="Calibri"/>
            <w:noProof/>
          </w:rPr>
          <w:fldChar w:fldCharType="separate"/>
        </w:r>
        <w:r>
          <w:rPr>
            <w:rFonts w:eastAsia="宋体" w:hAnsi="Calibri"/>
            <w:noProof/>
            <w:highlight w:val="white"/>
          </w:rPr>
          <w:t>31</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2" w:tooltip="Current Document" w:history="1">
        <w:r w:rsidR="0081651F">
          <w:rPr>
            <w:rStyle w:val="Hyperlink"/>
            <w:rFonts w:eastAsia="宋体" w:hAnsi="Calibri" w:cs="宋体" w:hint="eastAsia"/>
            <w:noProof/>
            <w:highlight w:val="white"/>
          </w:rPr>
          <w:t>第十部分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基金转换和定期定额投资计划</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_Toc129511532 \h </w:instrText>
        </w:r>
        <w:r w:rsidR="0081651F">
          <w:rPr>
            <w:rFonts w:eastAsia="宋体" w:hAnsi="Calibri"/>
            <w:noProof/>
          </w:rPr>
          <w:fldChar w:fldCharType="separate"/>
        </w:r>
        <w:r>
          <w:rPr>
            <w:rFonts w:eastAsia="宋体" w:hAnsi="Calibri"/>
            <w:noProof/>
            <w:highlight w:val="white"/>
          </w:rPr>
          <w:t>41</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3" w:tooltip="Current Document" w:history="1">
        <w:r w:rsidR="0081651F">
          <w:rPr>
            <w:rStyle w:val="Hyperlink"/>
            <w:rFonts w:eastAsia="宋体" w:hAnsi="Calibri" w:cs="宋体" w:hint="eastAsia"/>
            <w:noProof/>
            <w:highlight w:val="white"/>
          </w:rPr>
          <w:t>第十一部分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基金的转托管、质押、非交易过户、冻结与解冻</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_Toc129511533 \h </w:instrText>
        </w:r>
        <w:r w:rsidR="0081651F">
          <w:rPr>
            <w:rFonts w:eastAsia="宋体" w:hAnsi="Calibri"/>
            <w:noProof/>
          </w:rPr>
          <w:fldChar w:fldCharType="separate"/>
        </w:r>
        <w:r>
          <w:rPr>
            <w:rFonts w:eastAsia="宋体" w:hAnsi="Calibri"/>
            <w:noProof/>
            <w:highlight w:val="white"/>
          </w:rPr>
          <w:t>42</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4" w:tooltip="Current Document" w:history="1">
        <w:r w:rsidR="0081651F">
          <w:rPr>
            <w:rStyle w:val="Hyperlink"/>
            <w:rFonts w:eastAsia="宋体" w:hAnsi="Calibri" w:cs="宋体" w:hint="eastAsia"/>
            <w:noProof/>
            <w:highlight w:val="white"/>
          </w:rPr>
          <w:t>第十二部分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基金的投资</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_Toc129511534 \h </w:instrText>
        </w:r>
        <w:r w:rsidR="0081651F">
          <w:rPr>
            <w:rFonts w:eastAsia="宋体" w:hAnsi="Calibri"/>
            <w:noProof/>
          </w:rPr>
          <w:fldChar w:fldCharType="separate"/>
        </w:r>
        <w:r>
          <w:rPr>
            <w:rFonts w:eastAsia="宋体" w:hAnsi="Calibri"/>
            <w:noProof/>
            <w:highlight w:val="white"/>
          </w:rPr>
          <w:t>43</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5" w:tooltip="Current Document" w:history="1">
        <w:r w:rsidR="0081651F">
          <w:rPr>
            <w:rStyle w:val="Hyperlink"/>
            <w:rFonts w:eastAsia="宋体" w:hAnsi="Calibri" w:cs="宋体" w:hint="eastAsia"/>
            <w:noProof/>
            <w:highlight w:val="white"/>
          </w:rPr>
          <w:t>第十三部分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基金的财产</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_Toc129511535 \h </w:instrText>
        </w:r>
        <w:r w:rsidR="0081651F">
          <w:rPr>
            <w:rFonts w:eastAsia="宋体" w:hAnsi="Calibri"/>
            <w:noProof/>
          </w:rPr>
          <w:fldChar w:fldCharType="separate"/>
        </w:r>
        <w:r>
          <w:rPr>
            <w:rFonts w:eastAsia="宋体" w:hAnsi="Calibri"/>
            <w:noProof/>
            <w:highlight w:val="white"/>
          </w:rPr>
          <w:t>51</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6" w:tooltip="Current Document" w:history="1">
        <w:r w:rsidR="0081651F">
          <w:rPr>
            <w:rStyle w:val="Hyperlink"/>
            <w:rFonts w:eastAsia="宋体" w:hAnsi="Calibri" w:cs="宋体" w:hint="eastAsia"/>
            <w:noProof/>
            <w:highlight w:val="white"/>
          </w:rPr>
          <w:t>第十四部分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基金资产的估值</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_Toc129511536 \h </w:instrText>
        </w:r>
        <w:r w:rsidR="0081651F">
          <w:rPr>
            <w:rFonts w:eastAsia="宋体" w:hAnsi="Calibri"/>
            <w:noProof/>
          </w:rPr>
          <w:fldChar w:fldCharType="separate"/>
        </w:r>
        <w:r>
          <w:rPr>
            <w:rFonts w:eastAsia="宋体" w:hAnsi="Calibri"/>
            <w:noProof/>
            <w:highlight w:val="white"/>
          </w:rPr>
          <w:t>52</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7" w:tooltip="Current Document" w:history="1">
        <w:r w:rsidR="0081651F">
          <w:rPr>
            <w:rStyle w:val="Hyperlink"/>
            <w:rFonts w:eastAsia="宋体" w:hAnsi="Calibri" w:cs="宋体" w:hint="eastAsia"/>
            <w:noProof/>
            <w:highlight w:val="white"/>
          </w:rPr>
          <w:t>第十五部分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基金的收益分配</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_Toc129511537 \h </w:instrText>
        </w:r>
        <w:r w:rsidR="0081651F">
          <w:rPr>
            <w:rFonts w:eastAsia="宋体" w:hAnsi="Calibri"/>
            <w:noProof/>
          </w:rPr>
          <w:fldChar w:fldCharType="separate"/>
        </w:r>
        <w:r>
          <w:rPr>
            <w:rFonts w:eastAsia="宋体" w:hAnsi="Calibri"/>
            <w:noProof/>
            <w:highlight w:val="white"/>
          </w:rPr>
          <w:t>58</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8" w:tooltip="Current Document" w:history="1">
        <w:r w:rsidR="0081651F">
          <w:rPr>
            <w:rStyle w:val="Hyperlink"/>
            <w:rFonts w:eastAsia="宋体" w:hAnsi="Calibri" w:cs="宋体" w:hint="eastAsia"/>
            <w:noProof/>
            <w:highlight w:val="white"/>
          </w:rPr>
          <w:t>第十六部分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基金的费用与税收</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_Toc129511538 \h </w:instrText>
        </w:r>
        <w:r w:rsidR="0081651F">
          <w:rPr>
            <w:rFonts w:eastAsia="宋体" w:hAnsi="Calibri"/>
            <w:noProof/>
          </w:rPr>
          <w:fldChar w:fldCharType="separate"/>
        </w:r>
        <w:r>
          <w:rPr>
            <w:rFonts w:eastAsia="宋体" w:hAnsi="Calibri"/>
            <w:noProof/>
            <w:highlight w:val="white"/>
          </w:rPr>
          <w:t>60</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39" w:tooltip="Current Document" w:history="1">
        <w:r w:rsidR="0081651F">
          <w:rPr>
            <w:rStyle w:val="Hyperlink"/>
            <w:rFonts w:eastAsia="宋体" w:hAnsi="Calibri" w:cs="宋体" w:hint="eastAsia"/>
            <w:noProof/>
            <w:highlight w:val="white"/>
          </w:rPr>
          <w:t>第十七部分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基金的会计与审计</w:t>
        </w:r>
        <w:bookmarkStart w:id="0" w:name="_GoBack"/>
        <w:bookmarkEnd w:id="0"/>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_Toc129511539 \h </w:instrText>
        </w:r>
        <w:r w:rsidR="0081651F">
          <w:rPr>
            <w:rFonts w:eastAsia="宋体" w:hAnsi="Calibri"/>
            <w:noProof/>
          </w:rPr>
          <w:fldChar w:fldCharType="separate"/>
        </w:r>
        <w:r>
          <w:rPr>
            <w:rFonts w:eastAsia="宋体" w:hAnsi="Calibri"/>
            <w:noProof/>
            <w:highlight w:val="white"/>
          </w:rPr>
          <w:t>63</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0" w:tooltip="Current Document" w:history="1">
        <w:r w:rsidR="0081651F">
          <w:rPr>
            <w:rStyle w:val="Hyperlink"/>
            <w:rFonts w:eastAsia="宋体" w:hAnsi="Calibri" w:cs="宋体" w:hint="eastAsia"/>
            <w:noProof/>
            <w:highlight w:val="white"/>
          </w:rPr>
          <w:t>第十八部分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基金的信息披露</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_Toc129511540 \h </w:instrText>
        </w:r>
        <w:r w:rsidR="0081651F">
          <w:rPr>
            <w:rFonts w:eastAsia="宋体" w:hAnsi="Calibri"/>
            <w:noProof/>
          </w:rPr>
          <w:fldChar w:fldCharType="separate"/>
        </w:r>
        <w:r>
          <w:rPr>
            <w:rFonts w:eastAsia="宋体" w:hAnsi="Calibri"/>
            <w:noProof/>
            <w:highlight w:val="white"/>
          </w:rPr>
          <w:t>64</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1" w:tooltip="Current Document" w:history="1">
        <w:r w:rsidR="0081651F">
          <w:rPr>
            <w:rStyle w:val="Hyperlink"/>
            <w:rFonts w:eastAsia="宋体" w:hAnsi="Calibri" w:cs="宋体" w:hint="eastAsia"/>
            <w:noProof/>
            <w:highlight w:val="white"/>
          </w:rPr>
          <w:t>第十九部分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侧袋机制</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_Toc129511541 \h </w:instrText>
        </w:r>
        <w:r w:rsidR="0081651F">
          <w:rPr>
            <w:rFonts w:eastAsia="宋体" w:hAnsi="Calibri"/>
            <w:noProof/>
          </w:rPr>
          <w:fldChar w:fldCharType="separate"/>
        </w:r>
        <w:r>
          <w:rPr>
            <w:rFonts w:eastAsia="宋体" w:hAnsi="Calibri"/>
            <w:noProof/>
            <w:highlight w:val="white"/>
          </w:rPr>
          <w:t>70</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2" w:tooltip="Current Document" w:history="1">
        <w:r w:rsidR="0081651F">
          <w:rPr>
            <w:rStyle w:val="Hyperlink"/>
            <w:rFonts w:eastAsia="宋体" w:hAnsi="Calibri" w:cs="宋体" w:hint="eastAsia"/>
            <w:noProof/>
            <w:highlight w:val="white"/>
          </w:rPr>
          <w:t>第二十部分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风险揭示</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_Toc129511542 \h </w:instrText>
        </w:r>
        <w:r w:rsidR="0081651F">
          <w:rPr>
            <w:rFonts w:eastAsia="宋体" w:hAnsi="Calibri"/>
            <w:noProof/>
          </w:rPr>
          <w:fldChar w:fldCharType="separate"/>
        </w:r>
        <w:r>
          <w:rPr>
            <w:rFonts w:eastAsia="宋体" w:hAnsi="Calibri"/>
            <w:noProof/>
            <w:highlight w:val="white"/>
          </w:rPr>
          <w:t>72</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3" w:tooltip="Current Document" w:history="1">
        <w:r w:rsidR="0081651F">
          <w:rPr>
            <w:rStyle w:val="Hyperlink"/>
            <w:rFonts w:eastAsia="宋体" w:hAnsi="Calibri" w:cs="宋体" w:hint="eastAsia"/>
            <w:noProof/>
            <w:highlight w:val="white"/>
          </w:rPr>
          <w:t>第二十一部分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基金合同的变更、终止与基金财产的清算</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_Toc129511543 \h </w:instrText>
        </w:r>
        <w:r w:rsidR="0081651F">
          <w:rPr>
            <w:rFonts w:eastAsia="宋体" w:hAnsi="Calibri"/>
            <w:noProof/>
          </w:rPr>
          <w:fldChar w:fldCharType="separate"/>
        </w:r>
        <w:r w:rsidR="006F2136">
          <w:rPr>
            <w:rFonts w:eastAsia="宋体" w:hAnsi="Calibri"/>
            <w:noProof/>
            <w:highlight w:val="white"/>
          </w:rPr>
          <w:t>80</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4" w:tooltip="Current Document" w:history="1">
        <w:r w:rsidR="0081651F">
          <w:rPr>
            <w:rStyle w:val="Hyperlink"/>
            <w:rFonts w:eastAsia="宋体" w:hAnsi="Calibri" w:cs="宋体" w:hint="eastAsia"/>
            <w:noProof/>
            <w:highlight w:val="white"/>
          </w:rPr>
          <w:t>第二十二部分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基金合同的内容摘要</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_Toc129511544 \h </w:instrText>
        </w:r>
        <w:r w:rsidR="0081651F">
          <w:rPr>
            <w:rFonts w:eastAsia="宋体" w:hAnsi="Calibri"/>
            <w:noProof/>
          </w:rPr>
          <w:fldChar w:fldCharType="separate"/>
        </w:r>
        <w:r w:rsidR="006F2136">
          <w:rPr>
            <w:rFonts w:eastAsia="宋体" w:hAnsi="Calibri"/>
            <w:noProof/>
            <w:highlight w:val="white"/>
          </w:rPr>
          <w:t>82</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5" w:tooltip="Current Document" w:history="1">
        <w:r w:rsidR="0081651F">
          <w:rPr>
            <w:rStyle w:val="Hyperlink"/>
            <w:rFonts w:eastAsia="宋体" w:hAnsi="Calibri" w:cs="宋体" w:hint="eastAsia"/>
            <w:noProof/>
            <w:highlight w:val="white"/>
          </w:rPr>
          <w:t>第二十三部分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基金托管协议的内容摘要</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_Toc129511545 \h </w:instrText>
        </w:r>
        <w:r w:rsidR="0081651F">
          <w:rPr>
            <w:rFonts w:eastAsia="宋体" w:hAnsi="Calibri"/>
            <w:noProof/>
          </w:rPr>
          <w:fldChar w:fldCharType="separate"/>
        </w:r>
        <w:r w:rsidR="006F2136">
          <w:rPr>
            <w:rFonts w:eastAsia="宋体" w:hAnsi="Calibri"/>
            <w:noProof/>
            <w:highlight w:val="white"/>
          </w:rPr>
          <w:t>99</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6" w:tooltip="Current Document" w:history="1">
        <w:r w:rsidR="0081651F">
          <w:rPr>
            <w:rStyle w:val="Hyperlink"/>
            <w:rFonts w:eastAsia="宋体" w:hAnsi="Calibri" w:cs="宋体" w:hint="eastAsia"/>
            <w:noProof/>
            <w:highlight w:val="white"/>
          </w:rPr>
          <w:t>第二十四部分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对基金份额持有人的服务</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_Toc129511546 \h </w:instrText>
        </w:r>
        <w:r w:rsidR="0081651F">
          <w:rPr>
            <w:rFonts w:eastAsia="宋体" w:hAnsi="Calibri"/>
            <w:noProof/>
          </w:rPr>
          <w:fldChar w:fldCharType="separate"/>
        </w:r>
        <w:r w:rsidR="006F2136">
          <w:rPr>
            <w:rFonts w:eastAsia="宋体" w:hAnsi="Calibri"/>
            <w:noProof/>
            <w:highlight w:val="white"/>
          </w:rPr>
          <w:t>117</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7" w:tooltip="Current Document" w:history="1">
        <w:r w:rsidR="0081651F">
          <w:rPr>
            <w:rStyle w:val="Hyperlink"/>
            <w:rFonts w:eastAsia="宋体" w:hAnsi="Calibri" w:cs="宋体" w:hint="eastAsia"/>
            <w:noProof/>
            <w:highlight w:val="white"/>
          </w:rPr>
          <w:t>第二十五部分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其他应披露事项</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_Toc129511547 \h </w:instrText>
        </w:r>
        <w:r w:rsidR="0081651F">
          <w:rPr>
            <w:rFonts w:eastAsia="宋体" w:hAnsi="Calibri"/>
            <w:noProof/>
          </w:rPr>
          <w:fldChar w:fldCharType="separate"/>
        </w:r>
        <w:r w:rsidR="006F2136">
          <w:rPr>
            <w:rFonts w:eastAsia="宋体" w:hAnsi="Calibri"/>
            <w:noProof/>
            <w:highlight w:val="white"/>
          </w:rPr>
          <w:t>118</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8" w:tooltip="Current Document" w:history="1">
        <w:r w:rsidR="0081651F">
          <w:rPr>
            <w:rStyle w:val="Hyperlink"/>
            <w:rFonts w:eastAsia="宋体" w:hAnsi="Calibri" w:cs="宋体" w:hint="eastAsia"/>
            <w:noProof/>
            <w:highlight w:val="white"/>
          </w:rPr>
          <w:t>第二十六部分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招募说明书的存放及查阅方式</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_Toc129511548 \h </w:instrText>
        </w:r>
        <w:r w:rsidR="0081651F">
          <w:rPr>
            <w:rFonts w:eastAsia="宋体" w:hAnsi="Calibri"/>
            <w:noProof/>
          </w:rPr>
          <w:fldChar w:fldCharType="separate"/>
        </w:r>
        <w:r w:rsidR="006F2136">
          <w:rPr>
            <w:rFonts w:eastAsia="宋体" w:hAnsi="Calibri"/>
            <w:noProof/>
            <w:highlight w:val="white"/>
          </w:rPr>
          <w:t>119</w:t>
        </w:r>
        <w:r w:rsidR="0081651F">
          <w:rPr>
            <w:rFonts w:eastAsia="宋体" w:hAnsi="Calibri"/>
            <w:noProof/>
          </w:rPr>
          <w:fldChar w:fldCharType="end"/>
        </w:r>
      </w:hyperlink>
    </w:p>
    <w:p w:rsidR="00257FC2">
      <w:pPr>
        <w:pStyle w:val="TOC1"/>
        <w:rPr>
          <w:rFonts w:eastAsia="宋体" w:hAnsi="Calibri" w:cs="Calibri"/>
          <w:caps w:val="0"/>
          <w:noProof/>
          <w:color w:val="auto"/>
          <w:sz w:val="21"/>
          <w:szCs w:val="22"/>
        </w:rPr>
      </w:pPr>
      <w:hyperlink w:anchor="_Toc129511549" w:tooltip="Current Document" w:history="1">
        <w:r w:rsidR="0081651F">
          <w:rPr>
            <w:rStyle w:val="Hyperlink"/>
            <w:rFonts w:eastAsia="宋体" w:hAnsi="Calibri" w:cs="宋体" w:hint="eastAsia"/>
            <w:noProof/>
            <w:highlight w:val="white"/>
          </w:rPr>
          <w:t>第二十七部分</w:t>
        </w:r>
        <w:r w:rsidR="0081651F">
          <w:rPr>
            <w:rStyle w:val="Hyperlink"/>
            <w:rFonts w:eastAsia="宋体" w:hAnsi="Calibri" w:cs="宋体"/>
            <w:noProof/>
            <w:highlight w:val="white"/>
          </w:rPr>
          <w:t xml:space="preserve"> </w:t>
        </w:r>
        <w:r w:rsidR="0081651F">
          <w:rPr>
            <w:rStyle w:val="Hyperlink"/>
            <w:rFonts w:eastAsia="宋体" w:hAnsi="Calibri" w:cs="宋体" w:hint="eastAsia"/>
            <w:noProof/>
            <w:highlight w:val="white"/>
          </w:rPr>
          <w:t>备查文件</w:t>
        </w:r>
        <w:r w:rsidR="0081651F">
          <w:rPr>
            <w:rFonts w:eastAsia="宋体" w:hAnsi="Calibri"/>
            <w:noProof/>
            <w:highlight w:val="white"/>
          </w:rPr>
          <w:tab/>
        </w:r>
        <w:r w:rsidR="0081651F">
          <w:rPr>
            <w:rFonts w:eastAsia="宋体" w:hAnsi="Calibri"/>
            <w:noProof/>
          </w:rPr>
          <w:fldChar w:fldCharType="begin"/>
        </w:r>
        <w:r w:rsidR="0081651F">
          <w:rPr>
            <w:rFonts w:eastAsia="宋体" w:hAnsi="Calibri"/>
            <w:noProof/>
            <w:highlight w:val="white"/>
          </w:rPr>
          <w:instrText xml:space="preserve"> PAGEREF _Toc129511549 \h </w:instrText>
        </w:r>
        <w:r w:rsidR="0081651F">
          <w:rPr>
            <w:rFonts w:eastAsia="宋体" w:hAnsi="Calibri"/>
            <w:noProof/>
          </w:rPr>
          <w:fldChar w:fldCharType="separate"/>
        </w:r>
        <w:r w:rsidR="006F2136">
          <w:rPr>
            <w:rFonts w:eastAsia="宋体" w:hAnsi="Calibri"/>
            <w:noProof/>
            <w:highlight w:val="white"/>
          </w:rPr>
          <w:t>120</w:t>
        </w:r>
        <w:r w:rsidR="0081651F">
          <w:rPr>
            <w:rFonts w:eastAsia="宋体" w:hAnsi="Calibri"/>
            <w:noProof/>
          </w:rPr>
          <w:fldChar w:fldCharType="end"/>
        </w:r>
      </w:hyperlink>
    </w:p>
    <w:p w:rsidR="00257FC2">
      <w:pPr>
        <w:ind w:firstLine="560"/>
        <w:jc w:val="center"/>
        <w:rPr>
          <w:rFonts w:ascii="宋体" w:hAnsi="Calibri" w:cs="宋体"/>
          <w:b/>
          <w:caps/>
          <w:sz w:val="24"/>
          <w:szCs w:val="28"/>
        </w:rPr>
      </w:pPr>
      <w:r>
        <w:rPr>
          <w:rFonts w:ascii="宋体" w:hAnsi="Calibri" w:cs="宋体"/>
          <w:b/>
          <w:caps/>
          <w:sz w:val="24"/>
          <w:szCs w:val="28"/>
        </w:rPr>
        <w:fldChar w:fldCharType="end"/>
      </w:r>
    </w:p>
    <w:p w:rsidR="00257FC2">
      <w:pPr>
        <w:ind w:firstLine="560"/>
        <w:jc w:val="center"/>
        <w:rPr>
          <w:rFonts w:ascii="宋体" w:hAnsi="Calibri" w:cs="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257FC2">
      <w:pPr>
        <w:pStyle w:val="10"/>
        <w:spacing w:before="317" w:after="317" w:line="320" w:lineRule="exact"/>
        <w:ind w:firstLine="600"/>
        <w:rPr>
          <w:rFonts w:ascii="宋体" w:eastAsia="宋体" w:hAnsi="Calibri" w:cs="宋体"/>
          <w:b w:val="0"/>
          <w:sz w:val="30"/>
          <w:szCs w:val="30"/>
          <w:lang w:eastAsia="zh-CN"/>
        </w:rPr>
      </w:pPr>
      <w:bookmarkStart w:id="1" w:name="_Toc332373444"/>
      <w:bookmarkStart w:id="2" w:name="_Toc129511523"/>
      <w:r>
        <w:rPr>
          <w:rFonts w:ascii="宋体" w:eastAsia="宋体" w:hAnsi="Calibri" w:cs="宋体" w:hint="eastAsia"/>
          <w:b w:val="0"/>
          <w:sz w:val="30"/>
          <w:szCs w:val="30"/>
          <w:highlight w:val="white"/>
          <w:lang w:eastAsia="zh-CN"/>
        </w:rPr>
        <w:t>第一部分</w:t>
      </w:r>
      <w:r>
        <w:rPr>
          <w:rFonts w:ascii="宋体" w:eastAsia="宋体" w:hAnsi="Calibri" w:cs="宋体"/>
          <w:b w:val="0"/>
          <w:sz w:val="30"/>
          <w:szCs w:val="30"/>
          <w:highlight w:val="white"/>
          <w:lang w:eastAsia="zh-CN"/>
        </w:rPr>
        <w:t xml:space="preserve"> </w:t>
      </w:r>
      <w:r>
        <w:rPr>
          <w:rFonts w:ascii="宋体" w:eastAsia="宋体" w:hAnsi="Calibri" w:cs="宋体" w:hint="eastAsia"/>
          <w:b w:val="0"/>
          <w:sz w:val="30"/>
          <w:szCs w:val="30"/>
          <w:highlight w:val="white"/>
          <w:lang w:eastAsia="zh-CN"/>
        </w:rPr>
        <w:t>绪</w:t>
      </w:r>
      <w:r>
        <w:rPr>
          <w:rFonts w:ascii="宋体" w:eastAsia="宋体" w:hAnsi="Calibri" w:cs="宋体"/>
          <w:b w:val="0"/>
          <w:sz w:val="30"/>
          <w:szCs w:val="30"/>
          <w:highlight w:val="white"/>
          <w:lang w:eastAsia="zh-CN"/>
        </w:rPr>
        <w:t xml:space="preserve">  言</w:t>
      </w:r>
      <w:bookmarkEnd w:id="1"/>
      <w:bookmarkEnd w:id="2"/>
    </w:p>
    <w:p w:rsidR="00257FC2">
      <w:pPr>
        <w:spacing w:line="360" w:lineRule="auto"/>
        <w:ind w:firstLine="420"/>
        <w:rPr>
          <w:rFonts w:ascii="宋体" w:hAnsi="Calibri" w:cs="宋体"/>
          <w:szCs w:val="21"/>
          <w:lang w:eastAsia="zh-CN"/>
        </w:rPr>
      </w:pP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5号&lt;招募说明书的内容与格式&gt;》《公开募集开放式证券投资基金流动性风险管理规定》（以下简称《</w:t>
      </w:r>
      <w:r>
        <w:rPr>
          <w:rStyle w:val="da"/>
          <w:rFonts w:ascii="宋体" w:hAnsi="Calibri" w:cs="宋体" w:hint="eastAsia"/>
          <w:szCs w:val="21"/>
          <w:highlight w:val="white"/>
          <w:lang w:eastAsia="zh-CN"/>
        </w:rPr>
        <w:t>流动性风险</w:t>
      </w:r>
      <w:r>
        <w:rPr>
          <w:rFonts w:ascii="宋体" w:hAnsi="Calibri" w:cs="宋体" w:hint="eastAsia"/>
          <w:szCs w:val="21"/>
          <w:highlight w:val="white"/>
          <w:lang w:eastAsia="zh-CN"/>
        </w:rPr>
        <w:t>管理规定》）、</w:t>
      </w:r>
      <w:r>
        <w:rPr>
          <w:rFonts w:ascii="宋体" w:hAnsi="Calibri" w:cs="宋体"/>
          <w:color w:val="000000"/>
          <w:szCs w:val="21"/>
          <w:highlight w:val="white"/>
          <w:lang w:eastAsia="zh-CN"/>
        </w:rPr>
        <w:t>《公开募集证券投资基金运作指引第3号</w:t>
      </w:r>
      <w:r>
        <w:rPr>
          <w:rFonts w:ascii="宋体" w:hAnsi="Calibri" w:cs="宋体"/>
          <w:color w:val="000000"/>
          <w:szCs w:val="21"/>
          <w:highlight w:val="white"/>
          <w:lang w:eastAsia="zh-CN"/>
        </w:rPr>
        <w:t>——</w:t>
      </w:r>
      <w:r>
        <w:rPr>
          <w:rFonts w:ascii="宋体" w:hAnsi="Calibri" w:cs="宋体"/>
          <w:color w:val="000000"/>
          <w:szCs w:val="21"/>
          <w:highlight w:val="white"/>
          <w:lang w:eastAsia="zh-CN"/>
        </w:rPr>
        <w:t>指数基金指引》（以下简称《指数基金指引》）、</w:t>
      </w:r>
      <w:r>
        <w:rPr>
          <w:rFonts w:ascii="宋体" w:hAnsi="Calibri" w:cs="宋体"/>
          <w:szCs w:val="21"/>
          <w:highlight w:val="white"/>
          <w:lang w:eastAsia="zh-CN"/>
        </w:rPr>
        <w:t>《</w:t>
      </w:r>
      <w:r>
        <w:rPr>
          <w:rFonts w:ascii="宋体" w:hAnsi="Calibri" w:cs="宋体" w:hint="eastAsia"/>
          <w:szCs w:val="21"/>
          <w:lang w:eastAsia="zh-CN"/>
        </w:rPr>
        <w:t>易方达中证金融科技主题交易型开放式指数证券投资基金联接基金</w:t>
      </w:r>
      <w:r>
        <w:rPr>
          <w:rFonts w:ascii="宋体" w:hAnsi="Calibri" w:cs="宋体" w:hint="eastAsia"/>
          <w:szCs w:val="21"/>
          <w:highlight w:val="white"/>
          <w:lang w:eastAsia="zh-CN"/>
        </w:rPr>
        <w:t>基金合同》（以下简称基金合同）及其它有关规定等编写。</w:t>
      </w:r>
    </w:p>
    <w:p w:rsidR="00257FC2">
      <w:pPr>
        <w:spacing w:line="360" w:lineRule="auto"/>
        <w:ind w:firstLine="420"/>
        <w:rPr>
          <w:rFonts w:ascii="宋体" w:hAnsi="Calibri" w:cs="宋体"/>
          <w:szCs w:val="21"/>
          <w:lang w:eastAsia="zh-CN"/>
        </w:rPr>
      </w:pPr>
      <w:r>
        <w:rPr>
          <w:rStyle w:val="da"/>
          <w:rFonts w:ascii="宋体" w:hAnsi="Calibri" w:cs="宋体" w:hint="eastAsia"/>
          <w:szCs w:val="21"/>
          <w:highlight w:val="white"/>
          <w:lang w:eastAsia="zh-CN"/>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57FC2">
      <w:pPr>
        <w:spacing w:line="360" w:lineRule="auto"/>
        <w:ind w:firstLine="482"/>
        <w:rPr>
          <w:rFonts w:ascii="宋体" w:hAnsi="Calibri" w:cs="宋体"/>
          <w:szCs w:val="21"/>
          <w:lang w:eastAsia="zh-CN"/>
        </w:rPr>
      </w:pPr>
      <w:r>
        <w:rPr>
          <w:rFonts w:ascii="宋体" w:hAnsi="Calibri" w:cs="宋体" w:hint="eastAsia"/>
          <w:szCs w:val="21"/>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257FC2">
      <w:pPr>
        <w:spacing w:line="360" w:lineRule="auto"/>
        <w:ind w:firstLine="482"/>
        <w:rPr>
          <w:rFonts w:ascii="宋体" w:hAnsi="Calibri" w:cs="宋体"/>
          <w:szCs w:val="21"/>
          <w:lang w:eastAsia="zh-CN"/>
        </w:rPr>
      </w:pPr>
    </w:p>
    <w:p w:rsidR="00257FC2">
      <w:pPr>
        <w:widowControl/>
        <w:jc w:val="left"/>
        <w:rPr>
          <w:rFonts w:ascii="宋体" w:hAnsi="Calibri" w:cs="宋体"/>
          <w:sz w:val="30"/>
          <w:szCs w:val="20"/>
          <w:lang w:eastAsia="zh-CN"/>
        </w:rPr>
      </w:pPr>
      <w:bookmarkStart w:id="3" w:name="_Toc332373445"/>
      <w:r>
        <w:rPr>
          <w:rFonts w:ascii="宋体" w:hAnsi="Calibri" w:cs="宋体"/>
          <w:sz w:val="30"/>
          <w:highlight w:val="white"/>
          <w:lang w:eastAsia="zh-CN"/>
        </w:rPr>
        <w:br w:type="page"/>
      </w:r>
    </w:p>
    <w:p w:rsidR="00257FC2">
      <w:pPr>
        <w:pStyle w:val="111"/>
        <w:pageBreakBefore w:val="0"/>
        <w:spacing w:before="317" w:after="317" w:line="320" w:lineRule="exact"/>
        <w:ind w:firstLine="600"/>
        <w:rPr>
          <w:rFonts w:ascii="宋体" w:eastAsia="宋体" w:hAnsi="Calibri" w:cs="宋体"/>
          <w:sz w:val="30"/>
          <w:szCs w:val="30"/>
          <w:lang w:eastAsia="zh-CN"/>
        </w:rPr>
      </w:pPr>
      <w:bookmarkStart w:id="4" w:name="_Toc129511524"/>
      <w:r>
        <w:rPr>
          <w:rFonts w:ascii="宋体" w:eastAsia="宋体" w:hAnsi="Calibri" w:cs="宋体"/>
          <w:sz w:val="30"/>
          <w:szCs w:val="30"/>
          <w:highlight w:val="white"/>
          <w:lang w:eastAsia="zh-CN"/>
        </w:rPr>
        <w:t>第二部分 释  义</w:t>
      </w:r>
      <w:bookmarkEnd w:id="3"/>
      <w:bookmarkEnd w:id="4"/>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本招募说明书中除非文意另有所指，下列词语或</w:t>
      </w:r>
      <w:r>
        <w:rPr>
          <w:rStyle w:val="da"/>
          <w:rFonts w:ascii="宋体" w:hAnsi="Calibri" w:cs="宋体"/>
          <w:szCs w:val="21"/>
          <w:highlight w:val="white"/>
          <w:lang w:eastAsia="zh-CN"/>
        </w:rPr>
        <w:t>简称</w:t>
      </w:r>
      <w:r>
        <w:rPr>
          <w:rStyle w:val="da"/>
          <w:rFonts w:ascii="宋体" w:hAnsi="Calibri" w:cs="宋体" w:hint="eastAsia"/>
          <w:szCs w:val="21"/>
          <w:highlight w:val="white"/>
          <w:lang w:eastAsia="zh-CN"/>
        </w:rPr>
        <w:t>具有如下含义：</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1、基金或本基金：指</w:t>
      </w:r>
      <w:r>
        <w:rPr>
          <w:rStyle w:val="da"/>
          <w:rFonts w:ascii="宋体" w:hAnsi="Calibri" w:cs="宋体" w:hint="eastAsia"/>
          <w:szCs w:val="21"/>
          <w:lang w:eastAsia="zh-CN"/>
        </w:rPr>
        <w:t>易方达中证金融科技主题交易型开放式指数证券投资基金联接基金</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 xml:space="preserve">2、基金管理人：指易方达基金管理有限公司          </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3、基金托管人：指</w:t>
      </w:r>
      <w:r>
        <w:rPr>
          <w:rStyle w:val="da"/>
          <w:rFonts w:ascii="宋体" w:hAnsi="Calibri" w:cs="宋体" w:hint="eastAsia"/>
          <w:szCs w:val="21"/>
          <w:lang w:eastAsia="zh-CN"/>
        </w:rPr>
        <w:t>交通银行股份有限公司</w:t>
      </w:r>
      <w:r>
        <w:rPr>
          <w:rStyle w:val="da"/>
          <w:rFonts w:ascii="宋体" w:hAnsi="Calibri" w:cs="宋体" w:hint="eastAsia"/>
          <w:szCs w:val="21"/>
          <w:highlight w:val="white"/>
          <w:lang w:eastAsia="zh-CN"/>
        </w:rPr>
        <w:t xml:space="preserve"> </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4、基金合同：指《</w:t>
      </w:r>
      <w:r>
        <w:rPr>
          <w:rStyle w:val="da"/>
          <w:rFonts w:ascii="宋体" w:hAnsi="Calibri" w:cs="宋体" w:hint="eastAsia"/>
          <w:szCs w:val="21"/>
          <w:lang w:eastAsia="zh-CN"/>
        </w:rPr>
        <w:t>易方达中证金融科技主题交易型开放式指数证券投资基金联接基金</w:t>
      </w:r>
      <w:r>
        <w:rPr>
          <w:rStyle w:val="da"/>
          <w:rFonts w:ascii="宋体" w:hAnsi="Calibri" w:cs="宋体" w:hint="eastAsia"/>
          <w:szCs w:val="21"/>
          <w:highlight w:val="white"/>
          <w:lang w:eastAsia="zh-CN"/>
        </w:rPr>
        <w:t>基金合同》及对基金合同的任何有效修订和补充</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5、托管协议：指基金管理人与基金托管人就本基金签订之《</w:t>
      </w:r>
      <w:r>
        <w:rPr>
          <w:rStyle w:val="da"/>
          <w:rFonts w:ascii="宋体" w:hAnsi="Calibri" w:cs="宋体" w:hint="eastAsia"/>
          <w:szCs w:val="21"/>
          <w:lang w:eastAsia="zh-CN"/>
        </w:rPr>
        <w:t>易方达中证金融科技主题交易型开放式指数证券投资基金联接基金</w:t>
      </w:r>
      <w:r>
        <w:rPr>
          <w:rStyle w:val="da"/>
          <w:rFonts w:ascii="宋体" w:hAnsi="Calibri" w:cs="宋体" w:hint="eastAsia"/>
          <w:szCs w:val="21"/>
          <w:highlight w:val="white"/>
          <w:lang w:eastAsia="zh-CN"/>
        </w:rPr>
        <w:t>托管协议》及对该托管协议的任何有效修订和补充</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6、招募说明书或本招募说明书：指《</w:t>
      </w:r>
      <w:r>
        <w:rPr>
          <w:rStyle w:val="da"/>
          <w:rFonts w:ascii="宋体" w:hAnsi="Calibri" w:cs="宋体" w:hint="eastAsia"/>
          <w:szCs w:val="21"/>
          <w:lang w:eastAsia="zh-CN"/>
        </w:rPr>
        <w:t>易方达中证金融科技主题交易型开放式指数证券投资基金联接基金</w:t>
      </w:r>
      <w:r>
        <w:rPr>
          <w:rStyle w:val="da"/>
          <w:rFonts w:ascii="宋体" w:hAnsi="Calibri" w:cs="宋体" w:hint="eastAsia"/>
          <w:szCs w:val="21"/>
          <w:highlight w:val="white"/>
          <w:lang w:eastAsia="zh-CN"/>
        </w:rPr>
        <w:t>招募说明书》及其更新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7、基金产品资料概要：指《易方达中证金融科技主题交易型开放式指数证券投资基金联接基金基金产品资料概要》及其更新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8、基金份额发售公告：指《易方达中证金融科技主题交易型开放式指数证券投资基金联接基金基金份额发售公告》</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9、标的指数：指中证金融科技主题指数及其未来可能发生的变更</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10、目标ETF：指易方达中证金融科技主题交易型开放式指数证券投资基金</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11、ETF联接基金：指将绝大部分基金财产投资于跟踪同一标的指数的ETF（以下简称目标ETF），紧密跟踪标的指数表现，追求跟踪偏离度和跟踪误差最小化，采用开放式运作方式的基金，简称联接基金</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12、法律法规：指中国现行有效并公布实施的法律、行政法规、规范性文件、司法解释、行政规章以及其他对基金合同当事人有约束力的决定、决议、通知等</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13、《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14、《销售办法》：指中国证监会2020年8月28日颁布、同年10月1日实施的《公开募集证券投资基金销售机构监督管理办法》及颁布机关对其不时做出的修订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15、《信息披露办法》：指中国证监会2019年7月26日颁布、同年9月1日实施的《公开募集证券投资基金信息披露管理办法》及颁布机关对其不时做出的修订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16、《运作办法》：指中国证监会2014年7月7日颁布、同年8月8日实施的《公开募集证券投资基金运作管理办法》及颁布机关对其不时做出的修订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17、《流动性风险管理规定》：指中国证监会2017年8月31日颁布、同年10月1日实施的《公开募集开放式证券投资基金流动性风险管理规定》及颁布机关对其不时做出的修订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18、《指数基金指引》：指中国证监会2021年1月22日颁布、同年2月1日实施的《公开募集证券投资基金运作指引第3号</w:t>
      </w:r>
      <w:r>
        <w:rPr>
          <w:rStyle w:val="da"/>
          <w:rFonts w:ascii="宋体" w:hAnsi="Calibri" w:cs="宋体"/>
          <w:szCs w:val="21"/>
          <w:highlight w:val="white"/>
          <w:lang w:eastAsia="zh-CN"/>
        </w:rPr>
        <w:t>——</w:t>
      </w:r>
      <w:r>
        <w:rPr>
          <w:rStyle w:val="da"/>
          <w:rFonts w:ascii="宋体" w:hAnsi="Calibri" w:cs="宋体"/>
          <w:szCs w:val="21"/>
          <w:highlight w:val="white"/>
          <w:lang w:eastAsia="zh-CN"/>
        </w:rPr>
        <w:t>指数基金指引》及颁布机关对其不时做出的修订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19、中国证监会：指中国证券监督管理委员会</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20、银行业监督管理机构：指中国人民银行和/或国家金融监督管理总局</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21、基金合同当事人：指受基金合同约束，根据基金合同享有权利并承担义务的法律主体，包括基金管理人、基金托管人和基金份额持有人</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22、个人投资者：指依据有关法律法规规定可投资于证券投资基金的自然人</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23、机构投资者：指依法可以投资证券投资基金的、在中华人民共和国境内合法登记并存续或经有关政府部门批准设立并存续的企业法人、事业法人、社会团体或其他组织</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24、合格境外投资者：指符合相关法律法规规定使用来自境外的资金进行境内证券期货投资的境外机构投资者，包括合格境外机构投资者和人民币合格境外机构投资者</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25、投资人、投资者：指个人投资者、机构投资者、合格境外投资者以及法律法规或中国证监会允许购买证券投资基金的其他投资人的合称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26、基金份额持有人：指依基金合同和招募说明书合法取得基金份额的投资人</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27、基金销售业务：指基金管理人或销售机构宣传推介基金，发售基金份额，办理基金份额的申购、赎回、转换、转托管及定期定额投资等业务</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28、销售机构：指易方达基金管理有限公司以及符合《销售办法》和中国证监会规定的其他条件，取得基金销售业务资格并与基金管理人签订了基金销售服务协议，办理基金销售业务的机构</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29、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30、登记机构：指办理登记业务的机构。基金的登记机构为易方达基金管理有限公司或接受易方达基金管理有限公司委托代为办理登记业务的机构</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31、基金账户：指登记机构为投资人开立的、记录其持有的、基金管理人所管理的基金份额余额及其变动情况的账户</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32、基金交易账户：指销售机构为投资人开立的、记录投资人通过该销售机构办理认购、申购、赎回、转换、转托管及定期定额投资等业务而引起的基金份额变动及结余情况的账户</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33、基金合同生效日：指基金募集达到法律法规规定及基金合同规定的条件，基金管理人向中国证监会办理基金备案手续完毕，并获得中国证监会书面确认的日期</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34、基金合同终止日：指基金合同规定的基金合同终止事由出现后，基金财产清算完毕，清算结果报中国证监会备案并予以公告的日期</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35、基金募集期：指自基金份额发售之日起至发售结束之日止的期间，最长不得超过3个月</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36、存续期：指基金合同生效日至终止日之间的不定期期限</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37、工作日：指上海证券交易所、深圳证券交易所的交易日</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38、T日：指销售机构在规定时间受理投资人申购、赎回或其他业务申请的开放日</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39、T+n日：指自T日起第n个工作日（不包含T日），n为自然数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40、开放日：指为投资人办理基金份额申购、赎回或其他业务的工作日</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41、开放时间：指开放日基金接受申购、赎回或其他交易的时间段</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42、《业务规则》：指《易方达基金管理有限公司开放式基金业务规则》，是规范基金管理人所管理的开放式证券投资基金登记方面的业务规则，由基金管理人和投资人共同遵守</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43、认购：指在基金募集期内，投资人根据基金合同和招募说明书的规定申请购买基金份额的行为</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44、申购：指基金合同生效后，投资人根据基金合同和招募说明书的规定申请购买基金份额的行为</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45、赎回：指基金合同生效后，基金份额持有人按基金合同和招募说明书规定的条件要求将基金份额兑换为现金的行为</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46、基金转换：指基金份额持有人按照基金合同和基金管理人届时有效公告规定的条件，申请将其持有基金管理人管理的、某一基金的基金份额转换为基金管理人管理的其他基金基金份额的行为</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47、转托管：指基金份额持有人在本基金的不同销售机构之间实施的变更所持基金份额销售机构的操作</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48、定期定额投资计划：指投资人通过有关销售机构提出申请，约定每期申购日、扣款金额及扣款方式，由销售机构于每期约定扣款日在投资人指定银行账户内自动完成扣款及受理基金申购申请的一种投资方式</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49、巨额赎回：指本基金单个开放日，基金净赎回申请（赎回申请份额总数加上基金转换中转出申请份额总数后扣除申购申请份额总数及基金转换中转入申请份额总数后的余额）超过上一开放日基金总份额的10%</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50、元：指人民币元</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51、基金收益：指基金投资所得红利、股息、债券利息、买卖证券价差、银行存款利息、已实现的其他合法收入及因运用基金财产带来的成本和费用的节约</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52、基金资产总值：指基金拥有的目标ETF基金份额、各类有价证券、银行存款本息、基金应收申购款及其他资产的价值总和</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53、基金资产净值：指基金资产总值减去基金负债后的价值</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54、基金份额净值：指计算日基金资产净值除以计算日基金份额总数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55、基金资产估值：指计算评估基金资产和负债的价值，以确定基金资产净值和基金份额净值的过程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56、基金份额折算：指基金管理人根据基金运作的需要，在基金资产净值不变的前提下，按照一定比例调整基金份额总额及基金份额净值</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57、规定媒介：指符合中国证监会规定条件的全国性报刊（以下简称规定报刊）及《信息披露办法》规定的互联网网站（以下简称规定网站，包括基金管理人网站、基金托管人网站、中国证监会基金电子披露网站）等媒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58、销售服务费：指从基金财产中计提的，用于本基金市场推广、销售以及基金份额持有人服务的费用</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59、A类基金份额：在投资人认购/申购基金时按规定收取认购/申购费用，并不再从本类别基金资产中计提销售服务费的基金份额，称为A类基金份额</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60、C类基金份额：从本类别基金资产中计提销售服务费并按规定收取或返还，不收取认购/申购费用的基金份额，称为C类基金份额</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63、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64、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65、转融通证券出借业务：指本基金以一定费率通过证券交易所综合业务平台向中国证券金融股份有限公司出借证券，中国证券金融股份有限公司到期归还所借证券及相应权益补偿并支付费用的业务</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66、不可抗力：指基金合同当事人不能预见、不能避免且不能克服的客观事件</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67</w:t>
      </w:r>
      <w:r>
        <w:rPr>
          <w:rStyle w:val="da"/>
          <w:rFonts w:ascii="宋体" w:hAnsi="Calibri" w:cs="宋体" w:hint="eastAsia"/>
          <w:szCs w:val="21"/>
          <w:highlight w:val="white"/>
          <w:lang w:eastAsia="zh-CN"/>
        </w:rPr>
        <w:t>、直销机构：指易方达基金管理有限公司</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68</w:t>
      </w:r>
      <w:r>
        <w:rPr>
          <w:rStyle w:val="da"/>
          <w:rFonts w:ascii="宋体" w:hAnsi="Calibri" w:cs="宋体" w:hint="eastAsia"/>
          <w:szCs w:val="21"/>
          <w:highlight w:val="white"/>
          <w:lang w:eastAsia="zh-CN"/>
        </w:rPr>
        <w:t>、非直销销售机构：指符合《销售办法》和中国证监会规定的其他条件，取得基金销售业务资格并与基金管理人签订了基金销售服务协议，办理基金销售业务的机构</w:t>
      </w:r>
    </w:p>
    <w:p w:rsidR="00257FC2">
      <w:pPr>
        <w:pStyle w:val="111"/>
        <w:pageBreakBefore w:val="0"/>
        <w:spacing w:before="317" w:after="317" w:line="320" w:lineRule="exact"/>
        <w:ind w:firstLine="640"/>
        <w:rPr>
          <w:rFonts w:ascii="宋体" w:eastAsia="宋体" w:hAnsi="Calibri" w:cs="宋体"/>
          <w:sz w:val="30"/>
          <w:szCs w:val="30"/>
          <w:lang w:eastAsia="zh-CN"/>
        </w:rPr>
      </w:pPr>
      <w:r>
        <w:rPr>
          <w:rFonts w:ascii="宋体" w:eastAsia="宋体" w:hAnsi="Calibri" w:cs="宋体" w:hint="eastAsia"/>
          <w:highlight w:val="white"/>
          <w:lang w:eastAsia="zh-CN"/>
        </w:rPr>
        <w:br w:type="column"/>
      </w:r>
      <w:bookmarkStart w:id="5" w:name="_Toc332373446"/>
      <w:bookmarkStart w:id="6" w:name="_Toc129511525"/>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三部分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基金管理人</w:t>
      </w:r>
      <w:bookmarkEnd w:id="5"/>
      <w:bookmarkEnd w:id="6"/>
    </w:p>
    <w:p w:rsidR="00257FC2">
      <w:pPr>
        <w:spacing w:line="360" w:lineRule="auto"/>
        <w:ind w:firstLine="420"/>
        <w:rPr>
          <w:rFonts w:ascii="宋体" w:hAnsi="Calibri" w:cs="宋体"/>
          <w:bCs/>
          <w:szCs w:val="21"/>
          <w:lang w:eastAsia="zh-CN"/>
        </w:rPr>
      </w:pPr>
      <w:bookmarkStart w:id="7" w:name="_Toc332373447"/>
      <w:r>
        <w:rPr>
          <w:rFonts w:ascii="宋体" w:hAnsi="Calibri" w:cs="宋体" w:hint="eastAsia"/>
          <w:bCs/>
          <w:szCs w:val="21"/>
          <w:highlight w:val="white"/>
          <w:lang w:eastAsia="zh-CN"/>
        </w:rPr>
        <w:t>一、基金管理人基本情况</w:t>
      </w:r>
      <w:bookmarkEnd w:id="7"/>
    </w:p>
    <w:p w:rsidR="00257FC2">
      <w:pPr>
        <w:spacing w:line="360" w:lineRule="auto"/>
        <w:ind w:firstLine="420"/>
        <w:rPr>
          <w:rFonts w:ascii="宋体" w:hAnsi="Calibri" w:cs="宋体"/>
          <w:bCs/>
          <w:szCs w:val="21"/>
          <w:lang w:eastAsia="zh-CN"/>
        </w:rPr>
      </w:pPr>
      <w:r>
        <w:rPr>
          <w:rFonts w:ascii="宋体" w:hAnsi="Calibri" w:cs="宋体"/>
          <w:bCs/>
          <w:szCs w:val="21"/>
          <w:lang w:eastAsia="zh-CN"/>
        </w:rPr>
        <w:t>1、基金管理人：易方达基金管理有限公司</w:t>
      </w:r>
    </w:p>
    <w:p w:rsidR="00257FC2">
      <w:pPr>
        <w:spacing w:line="360" w:lineRule="auto"/>
        <w:ind w:firstLine="420"/>
        <w:rPr>
          <w:rFonts w:ascii="宋体" w:hAnsi="Calibri" w:cs="宋体"/>
          <w:bCs/>
          <w:szCs w:val="21"/>
          <w:lang w:eastAsia="zh-CN"/>
        </w:rPr>
      </w:pPr>
      <w:r>
        <w:rPr>
          <w:rFonts w:ascii="宋体" w:hAnsi="Calibri" w:cs="宋体"/>
          <w:bCs/>
          <w:szCs w:val="21"/>
          <w:lang w:eastAsia="zh-CN"/>
        </w:rPr>
        <w:t>注册地址：广东省珠海市横琴新区荣粤道188号6层</w:t>
      </w:r>
    </w:p>
    <w:p w:rsidR="00257FC2">
      <w:pPr>
        <w:spacing w:line="360" w:lineRule="auto"/>
        <w:ind w:firstLine="420"/>
        <w:rPr>
          <w:rFonts w:ascii="宋体" w:hAnsi="Calibri" w:cs="宋体"/>
          <w:bCs/>
          <w:szCs w:val="21"/>
          <w:lang w:eastAsia="zh-CN"/>
        </w:rPr>
      </w:pPr>
      <w:r>
        <w:rPr>
          <w:rFonts w:ascii="宋体" w:hAnsi="Calibri" w:cs="宋体"/>
          <w:bCs/>
          <w:szCs w:val="21"/>
          <w:lang w:eastAsia="zh-CN"/>
        </w:rPr>
        <w:t>办公地址：广东省广州市天河区珠江西路21号52层；广东省广州市天河区珠江东路30号42层；广东省珠海市横琴新区荣粤道188号6层</w:t>
      </w:r>
    </w:p>
    <w:p w:rsidR="00257FC2">
      <w:pPr>
        <w:spacing w:line="360" w:lineRule="auto"/>
        <w:ind w:firstLine="420"/>
        <w:rPr>
          <w:rFonts w:ascii="宋体" w:hAnsi="Calibri" w:cs="宋体"/>
          <w:bCs/>
          <w:szCs w:val="21"/>
          <w:lang w:eastAsia="zh-CN"/>
        </w:rPr>
      </w:pPr>
      <w:r>
        <w:rPr>
          <w:rFonts w:ascii="宋体" w:hAnsi="Calibri" w:cs="宋体"/>
          <w:bCs/>
          <w:szCs w:val="21"/>
          <w:lang w:eastAsia="zh-CN"/>
        </w:rPr>
        <w:t>设立日期：2001年4月17日</w:t>
      </w:r>
    </w:p>
    <w:p w:rsidR="00257FC2">
      <w:pPr>
        <w:spacing w:line="360" w:lineRule="auto"/>
        <w:ind w:firstLine="420"/>
        <w:rPr>
          <w:rFonts w:ascii="宋体" w:hAnsi="Calibri" w:cs="宋体"/>
          <w:bCs/>
          <w:szCs w:val="21"/>
          <w:lang w:eastAsia="zh-CN"/>
        </w:rPr>
      </w:pPr>
      <w:r>
        <w:rPr>
          <w:rFonts w:ascii="宋体" w:hAnsi="Calibri" w:cs="宋体"/>
          <w:bCs/>
          <w:szCs w:val="21"/>
          <w:lang w:eastAsia="zh-CN"/>
        </w:rPr>
        <w:t xml:space="preserve">法定代表人：吴欣荣 </w:t>
      </w:r>
    </w:p>
    <w:p w:rsidR="00257FC2">
      <w:pPr>
        <w:spacing w:line="360" w:lineRule="auto"/>
        <w:ind w:firstLine="420"/>
        <w:rPr>
          <w:rFonts w:ascii="宋体" w:hAnsi="Calibri" w:cs="宋体"/>
          <w:bCs/>
          <w:szCs w:val="21"/>
          <w:lang w:eastAsia="zh-CN"/>
        </w:rPr>
      </w:pPr>
      <w:r>
        <w:rPr>
          <w:rFonts w:ascii="宋体" w:hAnsi="Calibri" w:cs="宋体"/>
          <w:bCs/>
          <w:szCs w:val="21"/>
          <w:lang w:eastAsia="zh-CN"/>
        </w:rPr>
        <w:t>联系电话：400 881 8088</w:t>
      </w:r>
    </w:p>
    <w:p w:rsidR="00257FC2">
      <w:pPr>
        <w:spacing w:line="360" w:lineRule="auto"/>
        <w:ind w:firstLine="420"/>
        <w:rPr>
          <w:rFonts w:ascii="宋体" w:hAnsi="Calibri" w:cs="宋体"/>
          <w:bCs/>
          <w:szCs w:val="21"/>
          <w:lang w:eastAsia="zh-CN"/>
        </w:rPr>
      </w:pPr>
      <w:r>
        <w:rPr>
          <w:rFonts w:ascii="宋体" w:hAnsi="Calibri" w:cs="宋体"/>
          <w:bCs/>
          <w:szCs w:val="21"/>
          <w:lang w:eastAsia="zh-CN"/>
        </w:rPr>
        <w:t>联系人：李红枫</w:t>
      </w:r>
    </w:p>
    <w:p w:rsidR="00257FC2">
      <w:pPr>
        <w:spacing w:line="360" w:lineRule="auto"/>
        <w:ind w:firstLine="420"/>
        <w:rPr>
          <w:rFonts w:ascii="宋体" w:hAnsi="Calibri" w:cs="宋体"/>
          <w:bCs/>
          <w:szCs w:val="21"/>
          <w:lang w:eastAsia="zh-CN"/>
        </w:rPr>
      </w:pPr>
      <w:r>
        <w:rPr>
          <w:rFonts w:ascii="宋体" w:hAnsi="Calibri" w:cs="宋体"/>
          <w:bCs/>
          <w:szCs w:val="21"/>
          <w:lang w:eastAsia="zh-CN"/>
        </w:rPr>
        <w:t>注册资本：13,244.2万元人民币</w:t>
      </w:r>
    </w:p>
    <w:p w:rsidR="00257FC2">
      <w:pPr>
        <w:spacing w:line="360" w:lineRule="auto"/>
        <w:ind w:firstLine="420"/>
        <w:rPr>
          <w:rFonts w:ascii="宋体" w:hAnsi="Calibri" w:cs="宋体"/>
          <w:bCs/>
          <w:szCs w:val="21"/>
          <w:lang w:eastAsia="zh-CN"/>
        </w:rPr>
      </w:pPr>
      <w:r>
        <w:rPr>
          <w:rFonts w:ascii="宋体" w:hAnsi="Calibri" w:cs="宋体"/>
          <w:bCs/>
          <w:szCs w:val="21"/>
          <w:lang w:eastAsia="zh-CN"/>
        </w:rPr>
        <w:t>批准设立机关及文号：中国证券监督管理委员会，证监基金字[2001]4号</w:t>
      </w:r>
    </w:p>
    <w:p w:rsidR="00257FC2">
      <w:pPr>
        <w:spacing w:line="360" w:lineRule="auto"/>
        <w:ind w:firstLine="420"/>
        <w:rPr>
          <w:rFonts w:ascii="宋体" w:hAnsi="Calibri" w:cs="宋体"/>
          <w:bCs/>
          <w:szCs w:val="21"/>
          <w:lang w:eastAsia="zh-CN"/>
        </w:rPr>
      </w:pPr>
      <w:r>
        <w:rPr>
          <w:rFonts w:ascii="宋体" w:hAnsi="Calibri" w:cs="宋体"/>
          <w:bCs/>
          <w:szCs w:val="21"/>
          <w:lang w:eastAsia="zh-CN"/>
        </w:rPr>
        <w:t>经营范围：公开募集证券投资基金管理、基金销售、特定客户资产管理</w:t>
      </w:r>
    </w:p>
    <w:p w:rsidR="00257FC2">
      <w:pPr>
        <w:spacing w:line="360" w:lineRule="auto"/>
        <w:ind w:firstLine="420"/>
        <w:rPr>
          <w:rFonts w:ascii="宋体" w:hAnsi="Calibri" w:cs="宋体"/>
          <w:bCs/>
          <w:szCs w:val="21"/>
        </w:rPr>
      </w:pPr>
      <w:r>
        <w:rPr>
          <w:rFonts w:ascii="宋体" w:hAnsi="Calibri" w:cs="宋体" w:hint="eastAsia"/>
          <w:bCs/>
          <w:szCs w:val="21"/>
          <w:highlight w:val="white"/>
        </w:rPr>
        <w:t>2、股权结构：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rPr>
                <w:rFonts w:ascii="宋体" w:hAnsi="宋体"/>
                <w:lang w:eastAsia="zh-CN"/>
              </w:rPr>
            </w:pPr>
            <w:r>
              <w:rPr>
                <w:rFonts w:ascii="宋体" w:hAnsi="Calibri"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rPr>
                <w:rFonts w:ascii="宋体" w:hAnsi="宋体"/>
                <w:lang w:eastAsia="zh-CN"/>
              </w:rPr>
            </w:pPr>
            <w:r>
              <w:rPr>
                <w:rFonts w:ascii="宋体" w:hAnsi="Calibri"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rPr>
                <w:rFonts w:ascii="宋体" w:hAnsi="宋体"/>
              </w:rPr>
            </w:pPr>
            <w:r>
              <w:rPr>
                <w:rFonts w:ascii="宋体" w:hAnsi="Calibri"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rPr>
                <w:rFonts w:ascii="宋体" w:hAnsi="宋体"/>
                <w:lang w:eastAsia="zh-CN"/>
              </w:rPr>
            </w:pPr>
            <w:r>
              <w:rPr>
                <w:rFonts w:ascii="宋体" w:hAnsi="Calibri"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rPr>
                <w:rFonts w:ascii="宋体" w:hAnsi="宋体"/>
                <w:lang w:eastAsia="zh-CN"/>
              </w:rPr>
            </w:pPr>
            <w:r>
              <w:rPr>
                <w:rFonts w:ascii="宋体" w:hAnsi="Calibri"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rPr>
                <w:rFonts w:ascii="宋体" w:hAnsi="宋体"/>
                <w:lang w:eastAsia="zh-CN"/>
              </w:rPr>
            </w:pPr>
            <w:r>
              <w:rPr>
                <w:rFonts w:ascii="宋体" w:hAnsi="Calibri"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57FC2">
            <w:pPr>
              <w:ind w:firstLine="420"/>
              <w:rPr>
                <w:rFonts w:ascii="宋体" w:hAnsi="宋体"/>
                <w:lang w:eastAsia="zh-CN"/>
              </w:rPr>
            </w:pPr>
            <w:r>
              <w:rPr>
                <w:rFonts w:ascii="宋体" w:hAnsi="Calibri"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57FC2">
            <w:pPr>
              <w:ind w:firstLine="420"/>
              <w:rPr>
                <w:rFonts w:ascii="宋体" w:hAnsi="宋体"/>
                <w:lang w:eastAsia="zh-CN"/>
              </w:rPr>
            </w:pPr>
            <w:r>
              <w:rPr>
                <w:rFonts w:ascii="宋体" w:hAnsi="Calibri"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57FC2">
            <w:pPr>
              <w:ind w:firstLine="420"/>
              <w:rPr>
                <w:rFonts w:ascii="宋体" w:hAnsi="宋体"/>
                <w:lang w:eastAsia="zh-CN"/>
              </w:rPr>
            </w:pPr>
            <w:r>
              <w:rPr>
                <w:rFonts w:ascii="宋体" w:hAnsi="Calibri"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57FC2">
            <w:pPr>
              <w:ind w:firstLine="420"/>
              <w:rPr>
                <w:rFonts w:ascii="宋体" w:hAnsi="宋体"/>
                <w:lang w:eastAsia="zh-CN"/>
              </w:rPr>
            </w:pPr>
            <w:r>
              <w:rPr>
                <w:rFonts w:ascii="宋体" w:hAnsi="Calibri"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57FC2">
            <w:pPr>
              <w:ind w:firstLine="420"/>
              <w:rPr>
                <w:rFonts w:ascii="宋体" w:hAnsi="宋体"/>
                <w:lang w:eastAsia="zh-CN"/>
              </w:rPr>
            </w:pPr>
            <w:r>
              <w:rPr>
                <w:rFonts w:ascii="宋体" w:hAnsi="Calibri"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57FC2">
            <w:pPr>
              <w:ind w:firstLine="420"/>
              <w:rPr>
                <w:rFonts w:ascii="宋体" w:hAnsi="宋体"/>
              </w:rPr>
            </w:pPr>
            <w:r>
              <w:rPr>
                <w:rFonts w:ascii="宋体" w:hAnsi="Calibri"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257FC2">
            <w:pPr>
              <w:ind w:firstLine="420"/>
              <w:jc w:val="center"/>
              <w:rPr>
                <w:rFonts w:ascii="宋体" w:hAnsi="宋体"/>
              </w:rPr>
            </w:pPr>
            <w:r>
              <w:rPr>
                <w:rFonts w:ascii="宋体" w:hAnsi="Calibri" w:cs="宋体"/>
                <w:szCs w:val="21"/>
              </w:rPr>
              <w:t>100％</w:t>
            </w:r>
          </w:p>
        </w:tc>
      </w:tr>
    </w:tbl>
    <w:p w:rsidR="00257FC2">
      <w:pPr>
        <w:spacing w:line="360" w:lineRule="auto"/>
        <w:ind w:firstLine="420"/>
        <w:rPr>
          <w:rFonts w:ascii="宋体" w:hAnsi="Calibri" w:cs="宋体"/>
          <w:bCs/>
          <w:szCs w:val="21"/>
        </w:rPr>
      </w:pPr>
      <w:r>
        <w:rPr>
          <w:rFonts w:ascii="宋体" w:hAnsi="Calibri" w:cs="宋体" w:hint="eastAsia"/>
          <w:bCs/>
          <w:szCs w:val="21"/>
          <w:highlight w:val="white"/>
        </w:rPr>
        <w:t>二、主要人员情况</w:t>
      </w:r>
    </w:p>
    <w:p w:rsidR="00257FC2">
      <w:pPr>
        <w:spacing w:line="360" w:lineRule="auto"/>
        <w:ind w:firstLine="420"/>
        <w:rPr>
          <w:bCs/>
          <w:lang w:eastAsia="zh-CN"/>
        </w:rPr>
      </w:pPr>
      <w:r>
        <w:rPr>
          <w:rFonts w:ascii="宋体" w:hAnsi="宋体" w:cs="宋体"/>
          <w:bCs/>
          <w:highlight w:val="white"/>
          <w:lang w:eastAsia="zh-CN"/>
        </w:rPr>
        <w:t>1</w:t>
      </w:r>
      <w:r>
        <w:rPr>
          <w:rFonts w:hint="eastAsia"/>
          <w:bCs/>
          <w:highlight w:val="white"/>
          <w:lang w:eastAsia="zh-CN"/>
        </w:rPr>
        <w:t>、董事、监事及高级管理人员</w:t>
      </w:r>
    </w:p>
    <w:p w:rsidR="00257FC2">
      <w:pPr>
        <w:spacing w:line="360" w:lineRule="auto"/>
        <w:ind w:firstLine="420"/>
        <w:rPr>
          <w:bCs/>
          <w:lang w:eastAsia="zh-CN"/>
        </w:rPr>
      </w:pPr>
      <w:r>
        <w:rPr>
          <w:bCs/>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257FC2">
      <w:pPr>
        <w:spacing w:line="360" w:lineRule="auto"/>
        <w:ind w:firstLine="420"/>
        <w:rPr>
          <w:bCs/>
          <w:lang w:eastAsia="zh-CN"/>
        </w:rPr>
      </w:pPr>
      <w:r>
        <w:rPr>
          <w:bCs/>
          <w:lang w:eastAsia="zh-CN"/>
        </w:rPr>
        <w:t>吴欣荣先生，工学硕士。现任易方达基金管理有限公司董事、总经理，易方达资产管理（香港）有限公司董事长。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257FC2">
      <w:pPr>
        <w:spacing w:line="360" w:lineRule="auto"/>
        <w:ind w:firstLine="420"/>
        <w:rPr>
          <w:bCs/>
          <w:lang w:eastAsia="zh-CN"/>
        </w:rPr>
      </w:pPr>
      <w:r>
        <w:rPr>
          <w:bCs/>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257FC2">
      <w:pPr>
        <w:spacing w:line="360" w:lineRule="auto"/>
        <w:ind w:firstLine="420"/>
        <w:rPr>
          <w:bCs/>
          <w:lang w:eastAsia="zh-CN"/>
        </w:rPr>
      </w:pPr>
      <w:r>
        <w:rPr>
          <w:bCs/>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257FC2">
      <w:pPr>
        <w:spacing w:line="360" w:lineRule="auto"/>
        <w:ind w:firstLine="420"/>
        <w:rPr>
          <w:bCs/>
          <w:lang w:eastAsia="zh-CN"/>
        </w:rPr>
      </w:pPr>
      <w:r>
        <w:rPr>
          <w:bCs/>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257FC2">
      <w:pPr>
        <w:spacing w:line="360" w:lineRule="auto"/>
        <w:ind w:firstLine="420"/>
        <w:rPr>
          <w:bCs/>
          <w:lang w:eastAsia="zh-CN"/>
        </w:rPr>
      </w:pPr>
      <w:r>
        <w:rPr>
          <w:bCs/>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257FC2">
      <w:pPr>
        <w:spacing w:line="360" w:lineRule="auto"/>
        <w:ind w:firstLine="420"/>
        <w:rPr>
          <w:bCs/>
          <w:lang w:eastAsia="zh-CN"/>
        </w:rPr>
      </w:pPr>
      <w:r>
        <w:rPr>
          <w:bCs/>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257FC2">
      <w:pPr>
        <w:spacing w:line="360" w:lineRule="auto"/>
        <w:ind w:firstLine="420"/>
        <w:rPr>
          <w:bCs/>
          <w:lang w:eastAsia="zh-CN"/>
        </w:rPr>
      </w:pPr>
      <w:r>
        <w:rPr>
          <w:bCs/>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w:t>
      </w:r>
      <w:r>
        <w:rPr>
          <w:rFonts w:ascii="宋体" w:hAnsi="宋体" w:cs="宋体"/>
          <w:bCs/>
          <w:lang w:eastAsia="zh-CN"/>
        </w:rPr>
        <w:t>,</w:t>
      </w:r>
      <w:r>
        <w:rPr>
          <w:bCs/>
          <w:lang w:eastAsia="zh-CN"/>
        </w:rPr>
        <w:t>深圳市力合科创股份有限公司独立董事，固生堂控股有限公司非执行董事。</w:t>
      </w:r>
    </w:p>
    <w:p w:rsidR="00257FC2">
      <w:pPr>
        <w:spacing w:line="360" w:lineRule="auto"/>
        <w:ind w:firstLine="420"/>
        <w:rPr>
          <w:bCs/>
          <w:lang w:eastAsia="zh-CN"/>
        </w:rPr>
      </w:pPr>
      <w:r>
        <w:rPr>
          <w:bCs/>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w:t>
      </w:r>
      <w:r>
        <w:rPr>
          <w:rFonts w:ascii="宋体" w:hAnsi="宋体" w:cs="宋体"/>
          <w:bCs/>
          <w:lang w:eastAsia="zh-CN"/>
        </w:rPr>
        <w:t>DBA</w:t>
      </w:r>
      <w:r>
        <w:rPr>
          <w:bCs/>
          <w:lang w:eastAsia="zh-CN"/>
        </w:rPr>
        <w:t>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257FC2">
      <w:pPr>
        <w:spacing w:line="360" w:lineRule="auto"/>
        <w:ind w:firstLine="420"/>
        <w:rPr>
          <w:bCs/>
          <w:lang w:eastAsia="zh-CN"/>
        </w:rPr>
      </w:pPr>
      <w:r>
        <w:rPr>
          <w:bCs/>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257FC2">
      <w:pPr>
        <w:spacing w:line="360" w:lineRule="auto"/>
        <w:ind w:firstLine="420"/>
        <w:rPr>
          <w:bCs/>
          <w:lang w:eastAsia="zh-CN"/>
        </w:rPr>
      </w:pPr>
      <w:r>
        <w:rPr>
          <w:bCs/>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257FC2">
      <w:pPr>
        <w:spacing w:line="360" w:lineRule="auto"/>
        <w:ind w:firstLine="420"/>
        <w:rPr>
          <w:bCs/>
          <w:lang w:eastAsia="zh-CN"/>
        </w:rPr>
      </w:pPr>
      <w:r>
        <w:rPr>
          <w:bCs/>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257FC2">
      <w:pPr>
        <w:spacing w:line="360" w:lineRule="auto"/>
        <w:ind w:firstLine="420"/>
        <w:rPr>
          <w:bCs/>
          <w:lang w:eastAsia="zh-CN"/>
        </w:rPr>
      </w:pPr>
      <w:r>
        <w:rPr>
          <w:bCs/>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257FC2">
      <w:pPr>
        <w:spacing w:line="360" w:lineRule="auto"/>
        <w:ind w:firstLine="420"/>
        <w:rPr>
          <w:bCs/>
          <w:lang w:eastAsia="zh-CN"/>
        </w:rPr>
      </w:pPr>
      <w:r>
        <w:rPr>
          <w:bCs/>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w:t>
      </w:r>
      <w:r w:rsidRPr="00081388" w:rsidR="00081388">
        <w:rPr>
          <w:rFonts w:hint="eastAsia"/>
          <w:bCs/>
          <w:lang w:eastAsia="zh-CN"/>
        </w:rPr>
        <w:t>，易方达资产管理（新加坡）有限公司董事</w:t>
      </w:r>
      <w:r>
        <w:rPr>
          <w:bCs/>
          <w:lang w:eastAsia="zh-CN"/>
        </w:rPr>
        <w:t>。曾任江南证券有限责任公司职员，金鹰基金管理有限公司投资管理部交易员，易方达基金管理有限公司集中交易室交易员、总经理助理、副总经理，研究部总经理助理、副总经理，权益运作支持部总经理。</w:t>
      </w:r>
    </w:p>
    <w:p w:rsidR="00257FC2">
      <w:pPr>
        <w:spacing w:line="360" w:lineRule="auto"/>
        <w:ind w:firstLine="420"/>
        <w:rPr>
          <w:bCs/>
          <w:lang w:eastAsia="zh-CN"/>
        </w:rPr>
      </w:pPr>
      <w:r>
        <w:rPr>
          <w:bCs/>
          <w:lang w:eastAsia="zh-CN"/>
        </w:rPr>
        <w:t>马骏先生，工商管理硕士（</w:t>
      </w:r>
      <w:r>
        <w:rPr>
          <w:rFonts w:ascii="宋体" w:hAnsi="宋体" w:cs="宋体"/>
          <w:bCs/>
          <w:lang w:eastAsia="zh-CN"/>
        </w:rPr>
        <w:t>EMBA</w:t>
      </w:r>
      <w:r>
        <w:rPr>
          <w:bCs/>
          <w:lang w:eastAsia="zh-CN"/>
        </w:rPr>
        <w:t>）。现任易方达基金管理有限公司副总经理级高级管理人员、固定收益投资决策委员会委员、基础设施资产管理委员会委员，易方达资产管理有限公司董事，易方达私募基金管理有限公司董事长，易方达资产管理（香港）有限公司</w:t>
      </w:r>
      <w:r>
        <w:rPr>
          <w:rFonts w:ascii="宋体" w:hAnsi="宋体" w:cs="宋体"/>
          <w:bCs/>
          <w:lang w:eastAsia="zh-CN"/>
        </w:rPr>
        <w:t>QFI</w:t>
      </w:r>
      <w:r>
        <w:rPr>
          <w:bCs/>
          <w:lang w:eastAsia="zh-CN"/>
        </w:rPr>
        <w:t>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董事长、市场及产品委员会委员。</w:t>
      </w:r>
    </w:p>
    <w:p w:rsidR="00257FC2">
      <w:pPr>
        <w:spacing w:line="360" w:lineRule="auto"/>
        <w:ind w:firstLine="420"/>
        <w:rPr>
          <w:bCs/>
          <w:lang w:eastAsia="zh-CN"/>
        </w:rPr>
      </w:pPr>
      <w:r>
        <w:rPr>
          <w:bCs/>
          <w:lang w:eastAsia="zh-CN"/>
        </w:rPr>
        <w:t>娄利舟女士，工商管理硕士（</w:t>
      </w:r>
      <w:r>
        <w:rPr>
          <w:rFonts w:ascii="宋体" w:hAnsi="宋体" w:cs="宋体"/>
          <w:bCs/>
          <w:lang w:eastAsia="zh-CN"/>
        </w:rPr>
        <w:t>EMBA</w:t>
      </w:r>
      <w:r>
        <w:rPr>
          <w:bCs/>
          <w:lang w:eastAsia="zh-CN"/>
        </w:rPr>
        <w:t>）、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w:t>
      </w:r>
      <w:r>
        <w:rPr>
          <w:rFonts w:ascii="宋体" w:hAnsi="宋体" w:cs="宋体"/>
          <w:bCs/>
          <w:lang w:eastAsia="zh-CN"/>
        </w:rPr>
        <w:t>FOF</w:t>
      </w:r>
      <w:r>
        <w:rPr>
          <w:bCs/>
          <w:lang w:eastAsia="zh-CN"/>
        </w:rPr>
        <w:t>投资决策委员会委员，易方达资产管理有限公司总经理、董事长。</w:t>
      </w:r>
    </w:p>
    <w:p w:rsidR="00257FC2">
      <w:pPr>
        <w:spacing w:line="360" w:lineRule="auto"/>
        <w:ind w:firstLine="420"/>
        <w:rPr>
          <w:bCs/>
          <w:lang w:eastAsia="zh-CN"/>
        </w:rPr>
      </w:pPr>
      <w:r>
        <w:rPr>
          <w:bCs/>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257FC2">
      <w:pPr>
        <w:spacing w:line="360" w:lineRule="auto"/>
        <w:ind w:firstLine="420"/>
        <w:rPr>
          <w:bCs/>
          <w:lang w:eastAsia="zh-CN"/>
        </w:rPr>
      </w:pPr>
      <w:r>
        <w:rPr>
          <w:bCs/>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257FC2">
      <w:pPr>
        <w:spacing w:line="360" w:lineRule="auto"/>
        <w:ind w:firstLine="420"/>
        <w:rPr>
          <w:bCs/>
          <w:lang w:eastAsia="zh-CN"/>
        </w:rPr>
      </w:pPr>
      <w:r>
        <w:rPr>
          <w:bCs/>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257FC2">
      <w:pPr>
        <w:spacing w:line="360" w:lineRule="auto"/>
        <w:ind w:firstLine="420"/>
        <w:rPr>
          <w:bCs/>
          <w:lang w:eastAsia="zh-CN"/>
        </w:rPr>
      </w:pPr>
      <w:r>
        <w:rPr>
          <w:bCs/>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257FC2">
      <w:pPr>
        <w:spacing w:line="360" w:lineRule="auto"/>
        <w:ind w:firstLine="420"/>
        <w:rPr>
          <w:bCs/>
          <w:lang w:eastAsia="zh-CN"/>
        </w:rPr>
      </w:pPr>
      <w:r>
        <w:rPr>
          <w:bCs/>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257FC2">
      <w:pPr>
        <w:spacing w:line="360" w:lineRule="auto"/>
        <w:ind w:firstLine="420"/>
        <w:rPr>
          <w:bCs/>
          <w:lang w:eastAsia="zh-CN"/>
        </w:rPr>
      </w:pPr>
      <w:r>
        <w:rPr>
          <w:bCs/>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257FC2">
      <w:pPr>
        <w:spacing w:line="360" w:lineRule="auto"/>
        <w:ind w:firstLine="420"/>
        <w:rPr>
          <w:bCs/>
          <w:lang w:eastAsia="zh-CN"/>
        </w:rPr>
      </w:pPr>
      <w:r>
        <w:rPr>
          <w:bCs/>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257FC2">
      <w:pPr>
        <w:spacing w:line="360" w:lineRule="auto"/>
        <w:ind w:firstLine="420"/>
        <w:rPr>
          <w:bCs/>
          <w:lang w:eastAsia="zh-CN"/>
        </w:rPr>
      </w:pPr>
      <w:r>
        <w:rPr>
          <w:bCs/>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257FC2">
      <w:pPr>
        <w:spacing w:line="360" w:lineRule="auto"/>
        <w:ind w:firstLine="420"/>
        <w:rPr>
          <w:bCs/>
          <w:lang w:eastAsia="zh-CN"/>
        </w:rPr>
      </w:pPr>
      <w:r>
        <w:rPr>
          <w:bCs/>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257FC2">
      <w:pPr>
        <w:spacing w:line="360" w:lineRule="auto"/>
        <w:ind w:firstLine="420"/>
        <w:rPr>
          <w:bCs/>
          <w:lang w:eastAsia="zh-CN"/>
        </w:rPr>
      </w:pPr>
      <w:r>
        <w:rPr>
          <w:bCs/>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257FC2">
      <w:pPr>
        <w:spacing w:line="360" w:lineRule="auto"/>
        <w:ind w:firstLine="420"/>
        <w:rPr>
          <w:bCs/>
          <w:lang w:eastAsia="zh-CN"/>
        </w:rPr>
      </w:pPr>
      <w:r>
        <w:rPr>
          <w:bCs/>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257FC2">
      <w:pPr>
        <w:spacing w:line="360" w:lineRule="auto"/>
        <w:ind w:firstLine="420"/>
        <w:rPr>
          <w:bCs/>
          <w:lang w:eastAsia="zh-CN"/>
        </w:rPr>
      </w:pPr>
      <w:r>
        <w:rPr>
          <w:bCs/>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257FC2">
      <w:pPr>
        <w:spacing w:line="360" w:lineRule="auto"/>
        <w:ind w:firstLine="420"/>
        <w:rPr>
          <w:bCs/>
          <w:lang w:eastAsia="zh-CN"/>
        </w:rPr>
      </w:pPr>
      <w:r>
        <w:rPr>
          <w:rFonts w:ascii="宋体" w:hAnsi="宋体" w:cs="宋体"/>
          <w:bCs/>
          <w:highlight w:val="white"/>
          <w:lang w:eastAsia="zh-CN"/>
        </w:rPr>
        <w:t>2</w:t>
      </w:r>
      <w:r>
        <w:rPr>
          <w:rFonts w:hint="eastAsia"/>
          <w:bCs/>
          <w:highlight w:val="white"/>
          <w:lang w:eastAsia="zh-CN"/>
        </w:rPr>
        <w:t>、基金经理</w:t>
      </w:r>
    </w:p>
    <w:p w:rsidR="00854987">
      <w:pPr>
        <w:spacing w:line="360" w:lineRule="auto"/>
        <w:ind w:firstLine="420"/>
        <w:rPr>
          <w:bCs/>
          <w:lang w:eastAsia="zh-CN"/>
        </w:rPr>
      </w:pPr>
      <w:r>
        <w:rPr>
          <w:rFonts w:hint="eastAsia"/>
          <w:bCs/>
          <w:lang w:eastAsia="zh-CN"/>
        </w:rPr>
        <w:t>李树建先生，金融硕士、理学硕士，本基金的基金经理。现任易方达基金管理有限公司指数研究发展部总经理助理、基金经理、研究员。曾任国泰君安证券股份有限公司研究助理、分析师，易方达基金管理有限公司基金经理助理。李树建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854987">
            <w:r>
              <w:rPr>
                <w:rFonts w:hint="eastAsia"/>
                <w:b/>
                <w:szCs w:val="21"/>
              </w:rPr>
              <w:t>历任基金经理的基金</w:t>
            </w:r>
          </w:p>
        </w:tc>
        <w:tc>
          <w:tcPr>
            <w:tcW w:w="1835" w:type="dxa"/>
          </w:tcPr>
          <w:p w:rsidR="00854987">
            <w:pPr>
              <w:jc w:val="center"/>
            </w:pPr>
            <w:r>
              <w:rPr>
                <w:rFonts w:hint="eastAsia"/>
                <w:b/>
                <w:szCs w:val="21"/>
              </w:rPr>
              <w:t>任职时间</w:t>
            </w:r>
          </w:p>
        </w:tc>
        <w:tc>
          <w:tcPr>
            <w:tcW w:w="1835" w:type="dxa"/>
          </w:tcPr>
          <w:p w:rsidR="00854987">
            <w:pPr>
              <w:jc w:val="center"/>
            </w:pPr>
            <w:r>
              <w:rPr>
                <w:rFonts w:hint="eastAsia"/>
                <w:b/>
                <w:szCs w:val="21"/>
              </w:rPr>
              <w:t>离任时间</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易方达国证机器人产业</w:t>
            </w:r>
            <w:r>
              <w:rPr>
                <w:rFonts w:hint="eastAsia"/>
                <w:szCs w:val="21"/>
                <w:lang w:eastAsia="zh-CN"/>
              </w:rPr>
              <w:t>ETF</w:t>
            </w:r>
            <w:r>
              <w:rPr>
                <w:rFonts w:hint="eastAsia"/>
                <w:szCs w:val="21"/>
                <w:lang w:eastAsia="zh-CN"/>
              </w:rPr>
              <w:t>联接发起式</w:t>
            </w:r>
          </w:p>
        </w:tc>
        <w:tc>
          <w:tcPr>
            <w:tcW w:w="1835" w:type="dxa"/>
          </w:tcPr>
          <w:p w:rsidR="00854987">
            <w:pPr>
              <w:rPr>
                <w:lang w:eastAsia="zh-CN"/>
              </w:rPr>
            </w:pPr>
            <w:r>
              <w:rPr>
                <w:rFonts w:hint="eastAsia"/>
                <w:szCs w:val="21"/>
                <w:lang w:eastAsia="zh-CN"/>
              </w:rPr>
              <w:t>2024-05-21</w:t>
            </w:r>
          </w:p>
        </w:tc>
        <w:tc>
          <w:tcPr>
            <w:tcW w:w="1835" w:type="dxa"/>
          </w:tcPr>
          <w:p w:rsidR="008549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易方达中证沪深港黄金产业股票指数发起式</w:t>
            </w:r>
          </w:p>
        </w:tc>
        <w:tc>
          <w:tcPr>
            <w:tcW w:w="1835" w:type="dxa"/>
          </w:tcPr>
          <w:p w:rsidR="00854987">
            <w:pPr>
              <w:rPr>
                <w:lang w:eastAsia="zh-CN"/>
              </w:rPr>
            </w:pPr>
            <w:r>
              <w:rPr>
                <w:rFonts w:hint="eastAsia"/>
                <w:szCs w:val="21"/>
                <w:lang w:eastAsia="zh-CN"/>
              </w:rPr>
              <w:t>2024-10-29</w:t>
            </w:r>
          </w:p>
        </w:tc>
        <w:tc>
          <w:tcPr>
            <w:tcW w:w="1835" w:type="dxa"/>
          </w:tcPr>
          <w:p w:rsidR="008549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易方达国证机器人产业</w:t>
            </w:r>
            <w:r>
              <w:rPr>
                <w:rFonts w:hint="eastAsia"/>
                <w:szCs w:val="21"/>
                <w:lang w:eastAsia="zh-CN"/>
              </w:rPr>
              <w:t>ETF</w:t>
            </w:r>
          </w:p>
        </w:tc>
        <w:tc>
          <w:tcPr>
            <w:tcW w:w="1835" w:type="dxa"/>
          </w:tcPr>
          <w:p w:rsidR="00854987">
            <w:pPr>
              <w:rPr>
                <w:lang w:eastAsia="zh-CN"/>
              </w:rPr>
            </w:pPr>
            <w:r>
              <w:rPr>
                <w:rFonts w:hint="eastAsia"/>
                <w:szCs w:val="21"/>
                <w:lang w:eastAsia="zh-CN"/>
              </w:rPr>
              <w:t>2025-04-30</w:t>
            </w:r>
          </w:p>
        </w:tc>
        <w:tc>
          <w:tcPr>
            <w:tcW w:w="1835" w:type="dxa"/>
          </w:tcPr>
          <w:p w:rsidR="008549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易方达国证价值</w:t>
            </w:r>
            <w:r>
              <w:rPr>
                <w:rFonts w:hint="eastAsia"/>
                <w:szCs w:val="21"/>
                <w:lang w:eastAsia="zh-CN"/>
              </w:rPr>
              <w:t>100ETF</w:t>
            </w:r>
          </w:p>
        </w:tc>
        <w:tc>
          <w:tcPr>
            <w:tcW w:w="1835" w:type="dxa"/>
          </w:tcPr>
          <w:p w:rsidR="00854987">
            <w:pPr>
              <w:rPr>
                <w:lang w:eastAsia="zh-CN"/>
              </w:rPr>
            </w:pPr>
            <w:r>
              <w:rPr>
                <w:rFonts w:hint="eastAsia"/>
                <w:szCs w:val="21"/>
                <w:lang w:eastAsia="zh-CN"/>
              </w:rPr>
              <w:t>2025-06-30</w:t>
            </w:r>
          </w:p>
        </w:tc>
        <w:tc>
          <w:tcPr>
            <w:tcW w:w="1835" w:type="dxa"/>
          </w:tcPr>
          <w:p w:rsidR="008549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易方达国证成长</w:t>
            </w:r>
            <w:r>
              <w:rPr>
                <w:rFonts w:hint="eastAsia"/>
                <w:szCs w:val="21"/>
                <w:lang w:eastAsia="zh-CN"/>
              </w:rPr>
              <w:t>100ETF</w:t>
            </w:r>
          </w:p>
        </w:tc>
        <w:tc>
          <w:tcPr>
            <w:tcW w:w="1835" w:type="dxa"/>
          </w:tcPr>
          <w:p w:rsidR="00854987">
            <w:pPr>
              <w:rPr>
                <w:lang w:eastAsia="zh-CN"/>
              </w:rPr>
            </w:pPr>
            <w:r>
              <w:rPr>
                <w:rFonts w:hint="eastAsia"/>
                <w:szCs w:val="21"/>
                <w:lang w:eastAsia="zh-CN"/>
              </w:rPr>
              <w:t>2025-08-20</w:t>
            </w:r>
          </w:p>
        </w:tc>
        <w:tc>
          <w:tcPr>
            <w:tcW w:w="1835" w:type="dxa"/>
          </w:tcPr>
          <w:p w:rsidR="008549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易方达中证金融科技主题</w:t>
            </w:r>
            <w:r>
              <w:rPr>
                <w:rFonts w:hint="eastAsia"/>
                <w:szCs w:val="21"/>
                <w:lang w:eastAsia="zh-CN"/>
              </w:rPr>
              <w:t>ETF</w:t>
            </w:r>
          </w:p>
        </w:tc>
        <w:tc>
          <w:tcPr>
            <w:tcW w:w="1835" w:type="dxa"/>
          </w:tcPr>
          <w:p w:rsidR="00854987">
            <w:pPr>
              <w:rPr>
                <w:lang w:eastAsia="zh-CN"/>
              </w:rPr>
            </w:pPr>
            <w:r>
              <w:rPr>
                <w:rFonts w:hint="eastAsia"/>
                <w:szCs w:val="21"/>
                <w:lang w:eastAsia="zh-CN"/>
              </w:rPr>
              <w:t>2025-09-03</w:t>
            </w:r>
          </w:p>
        </w:tc>
        <w:tc>
          <w:tcPr>
            <w:tcW w:w="1835" w:type="dxa"/>
          </w:tcPr>
          <w:p w:rsidR="008549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易方达国证价值</w:t>
            </w:r>
            <w:r>
              <w:rPr>
                <w:rFonts w:hint="eastAsia"/>
                <w:szCs w:val="21"/>
                <w:lang w:eastAsia="zh-CN"/>
              </w:rPr>
              <w:t>100ETF</w:t>
            </w:r>
            <w:r>
              <w:rPr>
                <w:rFonts w:hint="eastAsia"/>
                <w:szCs w:val="21"/>
                <w:lang w:eastAsia="zh-CN"/>
              </w:rPr>
              <w:t>联接发起式</w:t>
            </w:r>
          </w:p>
        </w:tc>
        <w:tc>
          <w:tcPr>
            <w:tcW w:w="1835" w:type="dxa"/>
          </w:tcPr>
          <w:p w:rsidR="00854987">
            <w:pPr>
              <w:rPr>
                <w:lang w:eastAsia="zh-CN"/>
              </w:rPr>
            </w:pPr>
            <w:r>
              <w:rPr>
                <w:rFonts w:hint="eastAsia"/>
                <w:szCs w:val="21"/>
                <w:lang w:eastAsia="zh-CN"/>
              </w:rPr>
              <w:t>2025-09-23</w:t>
            </w:r>
          </w:p>
        </w:tc>
        <w:tc>
          <w:tcPr>
            <w:tcW w:w="1835" w:type="dxa"/>
          </w:tcPr>
          <w:p w:rsidR="008549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易方达中证家电龙头</w:t>
            </w:r>
            <w:r>
              <w:rPr>
                <w:rFonts w:hint="eastAsia"/>
                <w:szCs w:val="21"/>
                <w:lang w:eastAsia="zh-CN"/>
              </w:rPr>
              <w:t>ETF</w:t>
            </w:r>
          </w:p>
        </w:tc>
        <w:tc>
          <w:tcPr>
            <w:tcW w:w="1835" w:type="dxa"/>
          </w:tcPr>
          <w:p w:rsidR="00854987">
            <w:pPr>
              <w:rPr>
                <w:lang w:eastAsia="zh-CN"/>
              </w:rPr>
            </w:pPr>
            <w:r>
              <w:rPr>
                <w:rFonts w:hint="eastAsia"/>
                <w:szCs w:val="21"/>
                <w:lang w:eastAsia="zh-CN"/>
              </w:rPr>
              <w:t>2024-11-07</w:t>
            </w:r>
          </w:p>
        </w:tc>
        <w:tc>
          <w:tcPr>
            <w:tcW w:w="1835" w:type="dxa"/>
          </w:tcPr>
          <w:p w:rsidR="00854987">
            <w:pPr>
              <w:rPr>
                <w:lang w:eastAsia="zh-CN"/>
              </w:rPr>
            </w:pPr>
            <w:r>
              <w:rPr>
                <w:rFonts w:hint="eastAsia"/>
                <w:szCs w:val="21"/>
                <w:lang w:eastAsia="zh-CN"/>
              </w:rPr>
              <w:t>2025-11-22</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易方达中证石化产业</w:t>
            </w:r>
            <w:r>
              <w:rPr>
                <w:rFonts w:hint="eastAsia"/>
                <w:szCs w:val="21"/>
                <w:lang w:eastAsia="zh-CN"/>
              </w:rPr>
              <w:t>ETF</w:t>
            </w:r>
            <w:r>
              <w:rPr>
                <w:rFonts w:hint="eastAsia"/>
                <w:szCs w:val="21"/>
                <w:lang w:eastAsia="zh-CN"/>
              </w:rPr>
              <w:t>联接发起式</w:t>
            </w:r>
          </w:p>
        </w:tc>
        <w:tc>
          <w:tcPr>
            <w:tcW w:w="1835" w:type="dxa"/>
          </w:tcPr>
          <w:p w:rsidR="00854987">
            <w:pPr>
              <w:rPr>
                <w:lang w:eastAsia="zh-CN"/>
              </w:rPr>
            </w:pPr>
            <w:r>
              <w:rPr>
                <w:rFonts w:hint="eastAsia"/>
                <w:szCs w:val="21"/>
                <w:lang w:eastAsia="zh-CN"/>
              </w:rPr>
              <w:t>2024-01-05</w:t>
            </w:r>
          </w:p>
        </w:tc>
        <w:tc>
          <w:tcPr>
            <w:tcW w:w="1835" w:type="dxa"/>
          </w:tcPr>
          <w:p w:rsidR="00854987">
            <w:pPr>
              <w:rPr>
                <w:lang w:eastAsia="zh-CN"/>
              </w:rPr>
            </w:pPr>
            <w:r>
              <w:rPr>
                <w:rFonts w:hint="eastAsia"/>
                <w:szCs w:val="21"/>
                <w:lang w:eastAsia="zh-CN"/>
              </w:rPr>
              <w:t>2025-11-29</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易方达中证消费</w:t>
            </w:r>
            <w:r>
              <w:rPr>
                <w:rFonts w:hint="eastAsia"/>
                <w:szCs w:val="21"/>
                <w:lang w:eastAsia="zh-CN"/>
              </w:rPr>
              <w:t>50ETF</w:t>
            </w:r>
          </w:p>
        </w:tc>
        <w:tc>
          <w:tcPr>
            <w:tcW w:w="1835" w:type="dxa"/>
          </w:tcPr>
          <w:p w:rsidR="00854987">
            <w:pPr>
              <w:rPr>
                <w:lang w:eastAsia="zh-CN"/>
              </w:rPr>
            </w:pPr>
            <w:r>
              <w:rPr>
                <w:rFonts w:hint="eastAsia"/>
                <w:szCs w:val="21"/>
                <w:lang w:eastAsia="zh-CN"/>
              </w:rPr>
              <w:t>2023-09-09</w:t>
            </w:r>
          </w:p>
        </w:tc>
        <w:tc>
          <w:tcPr>
            <w:tcW w:w="1835" w:type="dxa"/>
          </w:tcPr>
          <w:p w:rsidR="00854987">
            <w:pPr>
              <w:rPr>
                <w:lang w:eastAsia="zh-CN"/>
              </w:rPr>
            </w:pPr>
            <w:r>
              <w:rPr>
                <w:rFonts w:hint="eastAsia"/>
                <w:szCs w:val="21"/>
                <w:lang w:eastAsia="zh-CN"/>
              </w:rPr>
              <w:t>2025-11-29</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易方达创业板中盘</w:t>
            </w:r>
            <w:r>
              <w:rPr>
                <w:rFonts w:hint="eastAsia"/>
                <w:szCs w:val="21"/>
                <w:lang w:eastAsia="zh-CN"/>
              </w:rPr>
              <w:t>200ETF</w:t>
            </w:r>
          </w:p>
        </w:tc>
        <w:tc>
          <w:tcPr>
            <w:tcW w:w="1835" w:type="dxa"/>
          </w:tcPr>
          <w:p w:rsidR="00854987">
            <w:pPr>
              <w:rPr>
                <w:lang w:eastAsia="zh-CN"/>
              </w:rPr>
            </w:pPr>
            <w:r>
              <w:rPr>
                <w:rFonts w:hint="eastAsia"/>
                <w:szCs w:val="21"/>
                <w:lang w:eastAsia="zh-CN"/>
              </w:rPr>
              <w:t>2023-12-15</w:t>
            </w:r>
          </w:p>
        </w:tc>
        <w:tc>
          <w:tcPr>
            <w:tcW w:w="1835" w:type="dxa"/>
          </w:tcPr>
          <w:p w:rsidR="00854987">
            <w:pPr>
              <w:rPr>
                <w:lang w:eastAsia="zh-CN"/>
              </w:rPr>
            </w:pPr>
            <w:r>
              <w:rPr>
                <w:rFonts w:hint="eastAsia"/>
                <w:szCs w:val="21"/>
                <w:lang w:eastAsia="zh-CN"/>
              </w:rPr>
              <w:t>2026-02-07</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易方达创业板中盘</w:t>
            </w:r>
            <w:r>
              <w:rPr>
                <w:rFonts w:hint="eastAsia"/>
                <w:szCs w:val="21"/>
                <w:lang w:eastAsia="zh-CN"/>
              </w:rPr>
              <w:t>200ETF</w:t>
            </w:r>
            <w:r>
              <w:rPr>
                <w:rFonts w:hint="eastAsia"/>
                <w:szCs w:val="21"/>
                <w:lang w:eastAsia="zh-CN"/>
              </w:rPr>
              <w:t>联接</w:t>
            </w:r>
          </w:p>
        </w:tc>
        <w:tc>
          <w:tcPr>
            <w:tcW w:w="1835" w:type="dxa"/>
          </w:tcPr>
          <w:p w:rsidR="00854987">
            <w:pPr>
              <w:rPr>
                <w:lang w:eastAsia="zh-CN"/>
              </w:rPr>
            </w:pPr>
            <w:r>
              <w:rPr>
                <w:rFonts w:hint="eastAsia"/>
                <w:szCs w:val="21"/>
                <w:lang w:eastAsia="zh-CN"/>
              </w:rPr>
              <w:t>2024-06-26</w:t>
            </w:r>
          </w:p>
        </w:tc>
        <w:tc>
          <w:tcPr>
            <w:tcW w:w="1835" w:type="dxa"/>
          </w:tcPr>
          <w:p w:rsidR="00854987">
            <w:pPr>
              <w:rPr>
                <w:lang w:eastAsia="zh-CN"/>
              </w:rPr>
            </w:pPr>
            <w:r>
              <w:rPr>
                <w:rFonts w:hint="eastAsia"/>
                <w:szCs w:val="21"/>
                <w:lang w:eastAsia="zh-CN"/>
              </w:rPr>
              <w:t>2026-02-07</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易方达国证信息技术创新主题</w:t>
            </w:r>
            <w:r>
              <w:rPr>
                <w:rFonts w:hint="eastAsia"/>
                <w:szCs w:val="21"/>
                <w:lang w:eastAsia="zh-CN"/>
              </w:rPr>
              <w:t>ETF</w:t>
            </w:r>
            <w:r>
              <w:rPr>
                <w:rFonts w:hint="eastAsia"/>
                <w:szCs w:val="21"/>
                <w:lang w:eastAsia="zh-CN"/>
              </w:rPr>
              <w:t>联接发起式</w:t>
            </w:r>
          </w:p>
        </w:tc>
        <w:tc>
          <w:tcPr>
            <w:tcW w:w="1835" w:type="dxa"/>
          </w:tcPr>
          <w:p w:rsidR="00854987">
            <w:pPr>
              <w:rPr>
                <w:lang w:eastAsia="zh-CN"/>
              </w:rPr>
            </w:pPr>
            <w:r>
              <w:rPr>
                <w:rFonts w:hint="eastAsia"/>
                <w:szCs w:val="21"/>
                <w:lang w:eastAsia="zh-CN"/>
              </w:rPr>
              <w:t>2024-01-05</w:t>
            </w:r>
          </w:p>
        </w:tc>
        <w:tc>
          <w:tcPr>
            <w:tcW w:w="1835" w:type="dxa"/>
          </w:tcPr>
          <w:p w:rsidR="00854987">
            <w:pPr>
              <w:rPr>
                <w:lang w:eastAsia="zh-CN"/>
              </w:rPr>
            </w:pPr>
            <w:r>
              <w:rPr>
                <w:rFonts w:hint="eastAsia"/>
                <w:szCs w:val="21"/>
                <w:lang w:eastAsia="zh-CN"/>
              </w:rPr>
              <w:t>2026-02-07</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易方达上证科创板成长</w:t>
            </w:r>
            <w:r>
              <w:rPr>
                <w:rFonts w:hint="eastAsia"/>
                <w:szCs w:val="21"/>
                <w:lang w:eastAsia="zh-CN"/>
              </w:rPr>
              <w:t>ETF</w:t>
            </w:r>
            <w:r>
              <w:rPr>
                <w:rFonts w:hint="eastAsia"/>
                <w:szCs w:val="21"/>
                <w:lang w:eastAsia="zh-CN"/>
              </w:rPr>
              <w:t>联接发起式</w:t>
            </w:r>
          </w:p>
        </w:tc>
        <w:tc>
          <w:tcPr>
            <w:tcW w:w="1835" w:type="dxa"/>
          </w:tcPr>
          <w:p w:rsidR="00854987">
            <w:pPr>
              <w:rPr>
                <w:lang w:eastAsia="zh-CN"/>
              </w:rPr>
            </w:pPr>
            <w:r>
              <w:rPr>
                <w:rFonts w:hint="eastAsia"/>
                <w:szCs w:val="21"/>
                <w:lang w:eastAsia="zh-CN"/>
              </w:rPr>
              <w:t>2024-01-04</w:t>
            </w:r>
          </w:p>
        </w:tc>
        <w:tc>
          <w:tcPr>
            <w:tcW w:w="1835" w:type="dxa"/>
          </w:tcPr>
          <w:p w:rsidR="00854987">
            <w:pPr>
              <w:rPr>
                <w:lang w:eastAsia="zh-CN"/>
              </w:rPr>
            </w:pPr>
            <w:r>
              <w:rPr>
                <w:rFonts w:hint="eastAsia"/>
                <w:szCs w:val="21"/>
                <w:lang w:eastAsia="zh-CN"/>
              </w:rPr>
              <w:t>2026-02-07</w:t>
            </w:r>
          </w:p>
        </w:tc>
      </w:tr>
      <w:tr>
        <w:tblPrEx>
          <w:tblW w:w="0" w:type="auto"/>
          <w:jc w:val="center"/>
          <w:tblLayout w:type="fixed"/>
          <w:tblLook w:val="04A0"/>
        </w:tblPrEx>
        <w:trPr>
          <w:trHeight w:val="360"/>
          <w:jc w:val="center"/>
        </w:trPr>
        <w:tc>
          <w:tcPr>
            <w:tcW w:w="4626" w:type="dxa"/>
          </w:tcPr>
          <w:p w:rsidR="00854987">
            <w:pPr>
              <w:rPr>
                <w:lang w:eastAsia="zh-CN"/>
              </w:rPr>
            </w:pPr>
            <w:r>
              <w:rPr>
                <w:rFonts w:hint="eastAsia"/>
                <w:szCs w:val="21"/>
                <w:lang w:eastAsia="zh-CN"/>
              </w:rPr>
              <w:t>易方达中证半导体材料设备主题</w:t>
            </w:r>
            <w:r>
              <w:rPr>
                <w:rFonts w:hint="eastAsia"/>
                <w:szCs w:val="21"/>
                <w:lang w:eastAsia="zh-CN"/>
              </w:rPr>
              <w:t>ETF</w:t>
            </w:r>
            <w:r>
              <w:rPr>
                <w:rFonts w:hint="eastAsia"/>
                <w:szCs w:val="21"/>
                <w:lang w:eastAsia="zh-CN"/>
              </w:rPr>
              <w:t>联接发起式</w:t>
            </w:r>
          </w:p>
        </w:tc>
        <w:tc>
          <w:tcPr>
            <w:tcW w:w="1835" w:type="dxa"/>
          </w:tcPr>
          <w:p w:rsidR="00854987">
            <w:pPr>
              <w:rPr>
                <w:lang w:eastAsia="zh-CN"/>
              </w:rPr>
            </w:pPr>
            <w:r>
              <w:rPr>
                <w:rFonts w:hint="eastAsia"/>
                <w:szCs w:val="21"/>
                <w:lang w:eastAsia="zh-CN"/>
              </w:rPr>
              <w:t>2024-11-26</w:t>
            </w:r>
          </w:p>
        </w:tc>
        <w:tc>
          <w:tcPr>
            <w:tcW w:w="1835" w:type="dxa"/>
          </w:tcPr>
          <w:p w:rsidR="00854987">
            <w:pPr>
              <w:rPr>
                <w:lang w:eastAsia="zh-CN"/>
              </w:rPr>
            </w:pPr>
            <w:r>
              <w:rPr>
                <w:rFonts w:hint="eastAsia"/>
                <w:szCs w:val="21"/>
                <w:lang w:eastAsia="zh-CN"/>
              </w:rPr>
              <w:t>2026-02-07</w:t>
            </w:r>
          </w:p>
        </w:tc>
      </w:tr>
    </w:tbl>
    <w:p w:rsidR="00257FC2">
      <w:pPr>
        <w:spacing w:line="360" w:lineRule="auto"/>
        <w:ind w:firstLine="420"/>
        <w:rPr>
          <w:bCs/>
          <w:lang w:eastAsia="zh-CN"/>
        </w:rPr>
      </w:pPr>
      <w:r>
        <w:rPr>
          <w:rFonts w:hint="eastAsia"/>
          <w:bCs/>
          <w:lang w:eastAsia="zh-CN"/>
        </w:rPr>
        <w:t>3</w:t>
      </w:r>
      <w:r>
        <w:rPr>
          <w:rFonts w:hint="eastAsia"/>
          <w:bCs/>
          <w:lang w:eastAsia="zh-CN"/>
        </w:rPr>
        <w:t>、指数投资决策委员会成员</w:t>
      </w:r>
    </w:p>
    <w:p w:rsidR="00854987">
      <w:pPr>
        <w:spacing w:line="360" w:lineRule="auto"/>
        <w:ind w:firstLine="420"/>
        <w:rPr>
          <w:bCs/>
          <w:lang w:eastAsia="zh-CN"/>
        </w:rPr>
      </w:pPr>
      <w:r>
        <w:rPr>
          <w:rFonts w:hint="eastAsia"/>
          <w:bCs/>
          <w:lang w:eastAsia="zh-CN"/>
        </w:rPr>
        <w:t>本公司指数投资决策委员会成员包括：林伟斌先生、庞亚平先生、余海燕女士。</w:t>
      </w:r>
    </w:p>
    <w:p w:rsidR="00854987">
      <w:pPr>
        <w:spacing w:line="360" w:lineRule="auto"/>
        <w:ind w:firstLine="420"/>
        <w:rPr>
          <w:bCs/>
          <w:lang w:eastAsia="zh-CN"/>
        </w:rPr>
      </w:pPr>
      <w:r>
        <w:rPr>
          <w:rFonts w:hint="eastAsia"/>
          <w:bCs/>
          <w:lang w:eastAsia="zh-CN"/>
        </w:rPr>
        <w:t>林伟斌先生，易方达基金管理有限公司指数投资部总经理、国际指数部总经理、基金经理，易方达资产管理（香港）有限公司投资决策委员会委员、国际指数部总经理。</w:t>
      </w:r>
    </w:p>
    <w:p w:rsidR="00854987">
      <w:pPr>
        <w:spacing w:line="360" w:lineRule="auto"/>
        <w:ind w:firstLine="420"/>
        <w:rPr>
          <w:bCs/>
          <w:lang w:eastAsia="zh-CN"/>
        </w:rPr>
      </w:pPr>
      <w:r>
        <w:rPr>
          <w:rFonts w:hint="eastAsia"/>
          <w:bCs/>
          <w:lang w:eastAsia="zh-CN"/>
        </w:rPr>
        <w:t>庞亚平先生，易方达基金管理有限公司指数研究发展部总经理、基金经理。</w:t>
      </w:r>
    </w:p>
    <w:p w:rsidR="00854987">
      <w:pPr>
        <w:spacing w:line="360" w:lineRule="auto"/>
        <w:ind w:firstLine="420"/>
        <w:rPr>
          <w:bCs/>
          <w:lang w:eastAsia="zh-CN"/>
        </w:rPr>
      </w:pPr>
      <w:r>
        <w:rPr>
          <w:rFonts w:hint="eastAsia"/>
          <w:bCs/>
          <w:lang w:eastAsia="zh-CN"/>
        </w:rPr>
        <w:t>余海燕女士，易方达基金管理有限公司指数投资部副总经理、基金经理。</w:t>
      </w:r>
    </w:p>
    <w:p w:rsidR="00257FC2">
      <w:pPr>
        <w:spacing w:line="360" w:lineRule="auto"/>
        <w:ind w:firstLine="420"/>
        <w:rPr>
          <w:bCs/>
          <w:lang w:eastAsia="zh-CN"/>
        </w:rPr>
      </w:pPr>
      <w:bookmarkStart w:id="8" w:name="_Toc332373449"/>
      <w:r>
        <w:rPr>
          <w:rFonts w:hint="eastAsia"/>
          <w:bCs/>
          <w:lang w:eastAsia="zh-CN"/>
        </w:rPr>
        <w:t>4</w:t>
      </w:r>
      <w:bookmarkEnd w:id="8"/>
      <w:r>
        <w:rPr>
          <w:rFonts w:hint="eastAsia"/>
          <w:bCs/>
          <w:highlight w:val="white"/>
          <w:lang w:eastAsia="zh-CN"/>
        </w:rPr>
        <w:t>、上述人员之间均不存在近亲属关系。</w:t>
      </w:r>
    </w:p>
    <w:p w:rsidR="00257FC2">
      <w:pPr>
        <w:spacing w:line="360" w:lineRule="auto"/>
        <w:ind w:firstLine="420"/>
        <w:rPr>
          <w:rFonts w:ascii="宋体" w:hAnsi="Calibri" w:cs="宋体"/>
          <w:szCs w:val="21"/>
          <w:lang w:eastAsia="zh-CN"/>
        </w:rPr>
      </w:pPr>
      <w:bookmarkStart w:id="9" w:name="_Toc332373451"/>
      <w:r>
        <w:rPr>
          <w:rFonts w:ascii="宋体" w:hAnsi="Calibri" w:cs="宋体" w:hint="eastAsia"/>
          <w:szCs w:val="21"/>
          <w:highlight w:val="white"/>
          <w:lang w:eastAsia="zh-CN"/>
        </w:rPr>
        <w:t>三、基金管理人的职责</w:t>
      </w:r>
      <w:bookmarkEnd w:id="9"/>
    </w:p>
    <w:p w:rsidR="00257FC2">
      <w:pPr>
        <w:spacing w:line="360" w:lineRule="auto"/>
        <w:ind w:firstLine="420"/>
        <w:rPr>
          <w:rFonts w:ascii="宋体" w:hAnsi="Calibri" w:cs="宋体"/>
          <w:szCs w:val="21"/>
          <w:lang w:eastAsia="zh-CN"/>
        </w:rPr>
      </w:pPr>
      <w:bookmarkStart w:id="10" w:name="_Toc332373455"/>
      <w:r>
        <w:rPr>
          <w:rFonts w:ascii="宋体" w:hAnsi="Calibri" w:cs="宋体"/>
          <w:szCs w:val="21"/>
          <w:highlight w:val="white"/>
          <w:lang w:eastAsia="zh-CN"/>
        </w:rPr>
        <w:t>1、依法募集资金，办理基金份额的发售和登记事宜；</w:t>
      </w:r>
    </w:p>
    <w:p w:rsidR="00257FC2">
      <w:pPr>
        <w:spacing w:line="360" w:lineRule="auto"/>
        <w:ind w:firstLine="420"/>
        <w:rPr>
          <w:rFonts w:ascii="宋体" w:hAnsi="Calibri" w:cs="宋体"/>
          <w:szCs w:val="21"/>
          <w:lang w:eastAsia="zh-CN"/>
        </w:rPr>
      </w:pPr>
      <w:bookmarkStart w:id="11" w:name="_Toc332373452"/>
      <w:r>
        <w:rPr>
          <w:rFonts w:ascii="宋体" w:hAnsi="Calibri" w:cs="宋体"/>
          <w:szCs w:val="21"/>
          <w:highlight w:val="white"/>
          <w:lang w:eastAsia="zh-CN"/>
        </w:rPr>
        <w:t>2、办理基金备案手续；</w:t>
      </w:r>
      <w:bookmarkEnd w:id="11"/>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3、对所管理的不同基金财产分别管理、分别记账，进行证券投资；</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4、按照基金合同的约定及时向基金份额持有人分配收益；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5、进行基金会计核算并编制基金财务会计报告；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6、编制</w:t>
      </w:r>
      <w:r>
        <w:rPr>
          <w:rFonts w:ascii="宋体" w:hAnsi="Calibri" w:cs="宋体" w:hint="eastAsia"/>
          <w:szCs w:val="21"/>
          <w:highlight w:val="white"/>
          <w:lang w:eastAsia="zh-CN"/>
        </w:rPr>
        <w:t>季度报告、中期报告和年度报告；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7、计算并公告</w:t>
      </w:r>
      <w:r>
        <w:rPr>
          <w:rFonts w:ascii="宋体" w:hAnsi="Calibri" w:cs="宋体" w:hint="eastAsia"/>
          <w:szCs w:val="21"/>
          <w:highlight w:val="white"/>
          <w:lang w:eastAsia="zh-CN"/>
        </w:rPr>
        <w:t>基金净值信息，确定基金份额申购、赎回价格；</w:t>
      </w:r>
    </w:p>
    <w:p w:rsidR="00257FC2">
      <w:pPr>
        <w:spacing w:line="360" w:lineRule="auto"/>
        <w:ind w:firstLine="420"/>
        <w:rPr>
          <w:rFonts w:ascii="宋体" w:hAnsi="Calibri" w:cs="宋体"/>
          <w:szCs w:val="21"/>
          <w:lang w:eastAsia="zh-CN"/>
        </w:rPr>
      </w:pPr>
      <w:bookmarkStart w:id="12" w:name="_Toc332373453"/>
      <w:r>
        <w:rPr>
          <w:rFonts w:ascii="宋体" w:hAnsi="Calibri" w:cs="宋体"/>
          <w:szCs w:val="21"/>
          <w:highlight w:val="white"/>
          <w:lang w:eastAsia="zh-CN"/>
        </w:rPr>
        <w:t>8、办理与基金财产管理业务活动有关的信息披露事项；</w:t>
      </w:r>
      <w:bookmarkEnd w:id="12"/>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9、按照规定召集基金份额持有人大会；</w:t>
      </w:r>
    </w:p>
    <w:p w:rsidR="00257FC2">
      <w:pPr>
        <w:spacing w:line="360" w:lineRule="auto"/>
        <w:ind w:firstLine="420"/>
        <w:rPr>
          <w:rFonts w:ascii="宋体" w:hAnsi="Calibri" w:cs="宋体"/>
          <w:szCs w:val="21"/>
          <w:lang w:eastAsia="zh-CN"/>
        </w:rPr>
      </w:pPr>
      <w:bookmarkStart w:id="13" w:name="_Toc332373454"/>
      <w:r>
        <w:rPr>
          <w:rFonts w:ascii="宋体" w:hAnsi="Calibri" w:cs="宋体"/>
          <w:szCs w:val="21"/>
          <w:highlight w:val="white"/>
          <w:lang w:eastAsia="zh-CN"/>
        </w:rPr>
        <w:t>10、保存基金财产管理业务活动的记录、账册、报表和其他相关资料；</w:t>
      </w:r>
      <w:bookmarkEnd w:id="13"/>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11、以基金管理人名义，代表基金份额持有人利益行使诉讼权利或者实施其他法律行为；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12、中国证监会规定的其他职责。</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四、基金管理人的承诺</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2、本基金管理人承诺严格遵守《证券法》、《基金法》及有关法律法规，建立健全内部控制制度，采取有效措施，防止下列行为发生：</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（1）将其固有财产或者他人财产混同于基金财产从事证券投资；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（2）不公平地对待其管理的不同基金财产；</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（3）利用基金财产或职务之便为基金份额持有人以外的人谋取利益；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（4）向基金份额持有人违规承诺收益或者承担损失；</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（5）侵占、挪用基金财产；</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（6）泄露因职务便利获取的未公开信息、利用该信息从事或者明示、暗示他人从事相关的交易活动；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（7）玩忽职守，不按照规定履行职责；</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（8）法律、行政法规和中国证监会禁止的其他行为。</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3、本基金管理人承诺加强人员管理，强化职业操守，督促和约束员工遵守国家有关法律、法规及行业规范，诚实信用、勤勉尽责，不从事以下活动：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（1）越权或违规经营；</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（2）违反基金合同或托管协议；</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（3）故意损害基金份额持有人或其他基金相关机构的合法利益；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（4）在向中国证监会报送的资料中弄虚作假；</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（5）拒绝、干扰、阻挠或严重影响中国证监会依法监管；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（6）玩忽职守、滥用职权；</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（7）违反现行有效的有关法律、法规、规章、基金合同和中国证监会的有关规定，泄露在任职期间知悉的有关证券、基金的商业秘密，尚未依法公开的基金投资内容、基金投资计划等信息；</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（8）违反证券交易场所业务规则，利用对敲、倒仓等手段操纵市场价格，扰乱市场秩序；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（9）贬损同行，以抬高自己；</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（10）以不正当手段谋求业务发展；</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（11）有悖社会公德，损害证券投资基金从业人员形象；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（12）在公开信息披露和广告中故意含有虚假、误导、欺诈成分；</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（13）其他法律、行政法规以及中国证监会禁止的行为。</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4、基金经理承诺</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（1）依照有关法律、法规和基金合同的规定，本着谨慎的原则为基金份额持有人谋取最大利益；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（2）不利用职务之便为自己及其代理人、受雇人或任何第三人谋取利益；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（3）不违反现行有效的有关法律、法规、规章、基金合同和中国证监会的有关规定，泄露在任职期间知悉的有关证券、基金的商业秘密、尚未依法公开的基金投资内容、基金投资计划等信息；</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（4）不从事损害基金财产和基金份额持有人利益的证券交易及其他活动。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五、基金管理人的内部控制制度</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1、公司内部控制的总体目标</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（1）保证公司经营管理活动的合法合规性；</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（2）保证各类基金份额持有人及委托人的合法权益不受侵犯；</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（3）防范和化解经营风险，提高经营管理效率，确保业务稳健经营运行和受托资产安全完整，实现公司的持续、健康发展，促进公司实现发展战略；</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（4）督促公司全体员工恪守职业操守，正直诚信，廉洁自律，勤勉尽责；</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（5）维护公司的声誉，保持公司的良好形象。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2、公司内部控制遵循的原则</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（1）健全性原则。内部控制应当包括公司的各项业务、各个部门或机构和各级人员，并涵盖到决策、执行、监督、反馈等各个环节。</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（2）有效性原则。通过科学的内控手段和方法，建立合理的内控程序，维护内控制度的有效执行。</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（3）独立性原则。公司机构、部门和岗位职责应当保持相对独立，除非法律法规另有规定，公司基金资产、自有资产、其他资产的运作应当分离。</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（4）相互制约原则。公司内部部门和岗位的设置应当体现权责分明、相互制衡。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（5）成本效益原则。公司运用科学化的经营管理方法降低运作成本，提高经济效益，力争以合理的控制成本达到最佳的内部控制效果。</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3、内部控制的制度体系</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4、关于授权、研究、投资、交易等方面的控制点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（1）授权制度</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（2）公司研究业务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（3）基金投资业务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（4）交易业务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（5）基金会计核算</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（6）信息披露</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（7）监察与合规管理</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公司设立监察合规管理部门，并保障其独立性。监察合规管理部门按照公司规定和督察长的安排履行监察与合规管理职责。</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监察合规管理部门通过定期或不定期检查内部控制制度的执行情况，督促公司和旗下基金的管理运作规范进行。</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公司董事会和管理层充分重视和支持监察与合规管理工作，对违反法律、法规和公司内部控制制度的，追究有关部门和人员的责任。</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5、基金管理人关于内部控制制度声明书</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（1）本公司承诺以上关于内部控制制度的披露真实、准确；</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（2）本公司承诺根据市场变化和公司业务发展不断完善内部控制制度。</w:t>
      </w:r>
      <w:bookmarkStart w:id="14" w:name="_Toc272569770"/>
      <w:bookmarkStart w:id="15" w:name="_Toc272569771"/>
      <w:bookmarkStart w:id="16" w:name="_Toc309286020"/>
      <w:bookmarkStart w:id="17" w:name="_Toc272569767"/>
      <w:bookmarkStart w:id="18" w:name="_Toc308697498"/>
      <w:bookmarkStart w:id="19" w:name="_Toc308697599"/>
      <w:bookmarkStart w:id="20" w:name="_Toc309286121"/>
      <w:bookmarkStart w:id="21" w:name="_Toc296526963"/>
      <w:bookmarkStart w:id="22" w:name="_Toc296526989"/>
      <w:bookmarkStart w:id="23" w:name="_Toc323051008"/>
      <w:bookmarkStart w:id="24" w:name="_Toc296440126"/>
      <w:bookmarkStart w:id="25" w:name="_Toc296526934"/>
      <w:bookmarkStart w:id="26" w:name="_Toc296526936"/>
      <w:bookmarkStart w:id="27" w:name="_Toc310513348"/>
      <w:bookmarkStart w:id="28" w:name="_Toc323051024"/>
      <w:bookmarkStart w:id="29" w:name="_Toc296526931"/>
      <w:bookmarkStart w:id="30" w:name="_Toc296526932"/>
      <w:bookmarkStart w:id="31" w:name="_Toc272569766"/>
      <w:bookmarkStart w:id="32" w:name="_Toc272569773"/>
      <w:bookmarkStart w:id="33" w:name="_Toc308697506"/>
      <w:bookmarkStart w:id="34" w:name="_Toc296526926"/>
      <w:bookmarkStart w:id="35" w:name="_Toc296526927"/>
      <w:bookmarkStart w:id="36" w:name="_Toc296526928"/>
      <w:bookmarkStart w:id="37" w:name="_Toc308697488"/>
      <w:bookmarkStart w:id="38" w:name="_Toc277787604"/>
      <w:bookmarkStart w:id="39" w:name="_Toc277787878"/>
      <w:bookmarkStart w:id="40" w:name="_Toc272569768"/>
      <w:bookmarkStart w:id="41" w:name="_Toc309286027"/>
      <w:bookmarkStart w:id="42" w:name="_Toc296526993"/>
      <w:bookmarkStart w:id="43" w:name="_Toc296526933"/>
      <w:bookmarkStart w:id="44" w:name="_Toc308697600"/>
      <w:bookmarkStart w:id="45" w:name="_Toc309286122"/>
      <w:bookmarkStart w:id="46" w:name="_Toc308697601"/>
      <w:bookmarkStart w:id="47" w:name="_Toc296526958"/>
      <w:bookmarkStart w:id="48" w:name="_Toc308697497"/>
      <w:bookmarkStart w:id="49" w:name="_Toc277787882"/>
      <w:bookmarkStart w:id="50" w:name="_Toc278409393"/>
      <w:bookmarkStart w:id="51" w:name="_Toc296526929"/>
      <w:bookmarkStart w:id="52" w:name="_Toc272569765"/>
      <w:bookmarkStart w:id="53" w:name="_Toc309286021"/>
      <w:bookmarkStart w:id="54" w:name="_Toc272569769"/>
      <w:bookmarkStart w:id="55" w:name="_Toc310512464"/>
      <w:bookmarkStart w:id="56" w:name="_Toc310512628"/>
      <w:bookmarkStart w:id="57" w:name="_Toc310512781"/>
      <w:bookmarkStart w:id="58" w:name="_Toc272569772"/>
      <w:bookmarkStart w:id="59" w:name="_Toc309286033"/>
      <w:bookmarkStart w:id="60" w:name="_Toc308697512"/>
      <w:bookmarkStart w:id="61" w:name="_Toc309286034"/>
      <w:bookmarkStart w:id="62" w:name="_Toc308697513"/>
      <w:bookmarkStart w:id="63" w:name="_Toc309286035"/>
      <w:bookmarkStart w:id="64" w:name="_Toc277752504"/>
      <w:bookmarkStart w:id="65" w:name="_Toc277786083"/>
      <w:bookmarkStart w:id="66" w:name="_Toc185222016"/>
      <w:bookmarkStart w:id="67" w:name="_Toc185222488"/>
      <w:bookmarkStart w:id="68" w:name="_Toc185222591"/>
      <w:bookmarkStart w:id="69" w:name="_Toc185222757"/>
      <w:bookmarkStart w:id="70" w:name="_Hlt80958353"/>
      <w:bookmarkStart w:id="71" w:name="_Toc278409426"/>
      <w:bookmarkStart w:id="72" w:name="_Toc309286010"/>
      <w:bookmarkStart w:id="73" w:name="_Toc278409389"/>
      <w:bookmarkStart w:id="74" w:name="_Toc277752505"/>
      <w:bookmarkStart w:id="75" w:name="_Toc277786084"/>
      <w:bookmarkStart w:id="76" w:name="_Toc296526992"/>
      <w:bookmarkStart w:id="77" w:name="_Toc277786086"/>
      <w:bookmarkStart w:id="78" w:name="_Toc277787607"/>
      <w:bookmarkStart w:id="79" w:name="_Toc277787881"/>
      <w:bookmarkStart w:id="80" w:name="_Toc278409392"/>
      <w:bookmarkStart w:id="81" w:name="_Toc277752508"/>
      <w:bookmarkStart w:id="82" w:name="_Toc277786087"/>
      <w:bookmarkStart w:id="83" w:name="_Toc277787608"/>
      <w:bookmarkStart w:id="84" w:name="_Toc38440889"/>
      <w:bookmarkStart w:id="85" w:name="_Toc38441221"/>
      <w:bookmarkStart w:id="86" w:name="_Toc38441553"/>
      <w:bookmarkStart w:id="87" w:name="_Toc38441881"/>
      <w:bookmarkStart w:id="88" w:name="_Toc38442213"/>
      <w:bookmarkStart w:id="89" w:name="_Toc38442545"/>
      <w:bookmarkStart w:id="90" w:name="_Toc38442876"/>
      <w:bookmarkStart w:id="91" w:name="_Toc38443207"/>
      <w:bookmarkStart w:id="92" w:name="_Toc309286123"/>
      <w:bookmarkStart w:id="93" w:name="_Toc309286019"/>
      <w:bookmarkStart w:id="94" w:name="_Toc277752509"/>
      <w:bookmarkStart w:id="95" w:name="_Toc277786088"/>
      <w:bookmarkStart w:id="96" w:name="_Toc277787609"/>
      <w:bookmarkStart w:id="97" w:name="_Toc308697499"/>
      <w:bookmarkStart w:id="98" w:name="_Toc309286024"/>
      <w:bookmarkStart w:id="99" w:name="_Toc308697503"/>
      <w:bookmarkStart w:id="100" w:name="_Toc309286025"/>
      <w:bookmarkStart w:id="101" w:name="_Toc308697504"/>
      <w:bookmarkStart w:id="102" w:name="_Toc309286026"/>
      <w:bookmarkStart w:id="103" w:name="_Toc308697505"/>
      <w:bookmarkStart w:id="104" w:name="_Toc310513212"/>
      <w:bookmarkStart w:id="105" w:name="_Toc308697626"/>
      <w:bookmarkStart w:id="106" w:name="_Toc309286148"/>
      <w:bookmarkStart w:id="107" w:name="_Toc308697627"/>
      <w:bookmarkStart w:id="108" w:name="_Toc309286149"/>
      <w:bookmarkStart w:id="109" w:name="_Toc308697628"/>
      <w:bookmarkStart w:id="110" w:name="_Toc309286150"/>
      <w:bookmarkStart w:id="111" w:name="_Toc308697629"/>
      <w:bookmarkStart w:id="112" w:name="_Toc309286151"/>
      <w:bookmarkStart w:id="113" w:name="_Toc310512934"/>
      <w:bookmarkStart w:id="114" w:name="_Toc309286028"/>
      <w:bookmarkStart w:id="115" w:name="_Toc308697507"/>
      <w:bookmarkStart w:id="116" w:name="_Toc309286029"/>
      <w:bookmarkStart w:id="117" w:name="_Toc296526974"/>
      <w:bookmarkStart w:id="118" w:name="_Toc323051000"/>
      <w:bookmarkStart w:id="119" w:name="_Toc44229112"/>
      <w:bookmarkStart w:id="120" w:name="_Toc44229207"/>
      <w:bookmarkStart w:id="121" w:name="_Toc44229113"/>
      <w:bookmarkStart w:id="122" w:name="_Toc44229208"/>
      <w:bookmarkStart w:id="123" w:name="_Toc308697665"/>
      <w:bookmarkStart w:id="124" w:name="_Toc309286187"/>
      <w:bookmarkStart w:id="125" w:name="_Toc308697666"/>
      <w:bookmarkStart w:id="126" w:name="_Toc309286188"/>
      <w:bookmarkStart w:id="127" w:name="_Toc308697667"/>
      <w:bookmarkStart w:id="128" w:name="_Toc309286189"/>
      <w:bookmarkStart w:id="129" w:name="_Toc308697668"/>
      <w:bookmarkStart w:id="130" w:name="_Toc309286190"/>
      <w:bookmarkStart w:id="131" w:name="_Toc308697669"/>
      <w:bookmarkStart w:id="132" w:name="_Toc309286191"/>
      <w:bookmarkStart w:id="133" w:name="_Toc308697670"/>
      <w:bookmarkStart w:id="134" w:name="_Toc309286192"/>
      <w:bookmarkStart w:id="135" w:name="_Toc308697671"/>
      <w:bookmarkStart w:id="136" w:name="_Toc309286193"/>
      <w:bookmarkStart w:id="137" w:name="_Toc308697672"/>
      <w:bookmarkStart w:id="138" w:name="_Toc309286194"/>
      <w:bookmarkStart w:id="139" w:name="_Toc323051055"/>
      <w:bookmarkStart w:id="140" w:name="_Toc308697583"/>
      <w:bookmarkStart w:id="141" w:name="_Toc309286105"/>
      <w:bookmarkStart w:id="142" w:name="_Toc308697584"/>
      <w:bookmarkStart w:id="143" w:name="_Toc309286106"/>
      <w:bookmarkStart w:id="144" w:name="_Toc323051053"/>
      <w:bookmarkStart w:id="145" w:name="_Toc323051054"/>
      <w:bookmarkStart w:id="146" w:name="_Toc277787605"/>
      <w:bookmarkStart w:id="147" w:name="_Toc277752499"/>
      <w:bookmarkStart w:id="148" w:name="_Toc277786078"/>
      <w:bookmarkStart w:id="149" w:name="_Toc277787599"/>
      <w:bookmarkStart w:id="150" w:name="_Toc277787873"/>
      <w:bookmarkStart w:id="151" w:name="_Toc278409384"/>
      <w:bookmarkStart w:id="152" w:name="_Toc308697597"/>
      <w:bookmarkStart w:id="153" w:name="_Toc309286119"/>
      <w:bookmarkStart w:id="154" w:name="_Toc308697598"/>
      <w:bookmarkStart w:id="155" w:name="_Toc309286120"/>
      <w:bookmarkStart w:id="156" w:name="_Toc38438335"/>
      <w:bookmarkStart w:id="157" w:name="_Toc38438672"/>
      <w:bookmarkStart w:id="158" w:name="_Toc38439009"/>
      <w:bookmarkStart w:id="159" w:name="_Toc38439346"/>
      <w:bookmarkStart w:id="160" w:name="_Toc38439683"/>
      <w:bookmarkStart w:id="161" w:name="_Toc38440020"/>
      <w:bookmarkStart w:id="162" w:name="_Toc38440357"/>
      <w:bookmarkStart w:id="163" w:name="_Toc38439286"/>
      <w:bookmarkStart w:id="164" w:name="_Toc38439623"/>
      <w:bookmarkStart w:id="165" w:name="_Toc38439960"/>
      <w:bookmarkStart w:id="166" w:name="_Toc38440297"/>
      <w:bookmarkStart w:id="167" w:name="_Toc38440630"/>
      <w:bookmarkStart w:id="168" w:name="_Toc38440829"/>
      <w:bookmarkStart w:id="169" w:name="_Toc38441161"/>
      <w:bookmarkStart w:id="170" w:name="_Toc38441493"/>
      <w:bookmarkStart w:id="171" w:name="_Toc38441821"/>
      <w:bookmarkStart w:id="172" w:name="_Toc38442153"/>
      <w:bookmarkStart w:id="173" w:name="_Toc38442485"/>
      <w:bookmarkStart w:id="174" w:name="_Toc38442816"/>
      <w:bookmarkStart w:id="175" w:name="_Toc38443147"/>
      <w:bookmarkStart w:id="176" w:name="_Toc38443478"/>
      <w:bookmarkStart w:id="177" w:name="_Toc38443809"/>
      <w:bookmarkStart w:id="178" w:name="_Toc38443869"/>
      <w:bookmarkStart w:id="179" w:name="_Toc38443538"/>
      <w:bookmarkStart w:id="180" w:name="_Toc308697603"/>
      <w:bookmarkStart w:id="181" w:name="_Toc309286125"/>
      <w:bookmarkStart w:id="182" w:name="_Toc308697604"/>
      <w:bookmarkStart w:id="183" w:name="_Toc309286126"/>
      <w:bookmarkStart w:id="184" w:name="_Toc308697605"/>
      <w:bookmarkStart w:id="185" w:name="_Toc308697602"/>
      <w:bookmarkStart w:id="186" w:name="_Toc309286124"/>
      <w:bookmarkStart w:id="187" w:name="_Toc277787883"/>
      <w:bookmarkStart w:id="188" w:name="_Toc308697500"/>
      <w:bookmarkStart w:id="189" w:name="_Toc309286022"/>
      <w:bookmarkStart w:id="190" w:name="_Toc308697501"/>
      <w:bookmarkStart w:id="191" w:name="_Toc309286023"/>
      <w:bookmarkStart w:id="192" w:name="_Toc308697502"/>
      <w:bookmarkStart w:id="193" w:name="_Toc310512780"/>
      <w:bookmarkStart w:id="194" w:name="_Toc310512933"/>
      <w:bookmarkStart w:id="195" w:name="_Toc310513073"/>
      <w:bookmarkStart w:id="196" w:name="_Toc308697622"/>
      <w:bookmarkStart w:id="197" w:name="_Toc309286144"/>
      <w:bookmarkStart w:id="198" w:name="_Toc308697623"/>
      <w:bookmarkStart w:id="199" w:name="_Toc309286145"/>
      <w:bookmarkStart w:id="200" w:name="_Toc308697624"/>
      <w:bookmarkStart w:id="201" w:name="_Toc309286146"/>
      <w:bookmarkStart w:id="202" w:name="_Toc308697625"/>
      <w:bookmarkStart w:id="203" w:name="_Toc309286147"/>
      <w:bookmarkStart w:id="204" w:name="_Toc38439015"/>
      <w:bookmarkStart w:id="205" w:name="_Toc38439352"/>
      <w:bookmarkStart w:id="206" w:name="_Toc38439689"/>
      <w:bookmarkStart w:id="207" w:name="_Toc38440026"/>
      <w:bookmarkStart w:id="208" w:name="_Toc38440363"/>
      <w:bookmarkStart w:id="209" w:name="_Toc38440895"/>
      <w:bookmarkStart w:id="210" w:name="_Toc38441227"/>
      <w:bookmarkStart w:id="211" w:name="_Toc38441559"/>
      <w:bookmarkStart w:id="212" w:name="_Toc38441887"/>
      <w:bookmarkStart w:id="213" w:name="_Toc38442219"/>
      <w:bookmarkStart w:id="214" w:name="_Toc38442551"/>
      <w:bookmarkStart w:id="215" w:name="_Toc38442882"/>
      <w:bookmarkStart w:id="216" w:name="_Toc38443213"/>
      <w:bookmarkStart w:id="217" w:name="_Toc38443544"/>
      <w:bookmarkStart w:id="218" w:name="_Toc308697630"/>
      <w:bookmarkStart w:id="219" w:name="_Toc309286152"/>
      <w:bookmarkStart w:id="220" w:name="_Toc310513213"/>
      <w:bookmarkStart w:id="221" w:name="_Toc310513349"/>
      <w:bookmarkStart w:id="222" w:name="_Toc323051025"/>
      <w:bookmarkStart w:id="223" w:name="_Toc310512465"/>
      <w:bookmarkStart w:id="224" w:name="_Toc310512629"/>
      <w:bookmarkStart w:id="225" w:name="_Toc310512782"/>
      <w:bookmarkStart w:id="226" w:name="_Toc310513074"/>
      <w:bookmarkStart w:id="227" w:name="_Toc308697508"/>
      <w:bookmarkStart w:id="228" w:name="_Toc309286030"/>
      <w:bookmarkStart w:id="229" w:name="_Toc308697509"/>
      <w:bookmarkStart w:id="230" w:name="_Toc309286031"/>
      <w:bookmarkStart w:id="231" w:name="_Toc308697510"/>
      <w:bookmarkStart w:id="232" w:name="_Toc309286032"/>
      <w:bookmarkStart w:id="233" w:name="_Toc308697511"/>
      <w:bookmarkStart w:id="234" w:name="_Toc44229203"/>
      <w:bookmarkStart w:id="235" w:name="_Toc44229109"/>
      <w:bookmarkStart w:id="236" w:name="_Toc44229204"/>
      <w:bookmarkStart w:id="237" w:name="_Toc44229110"/>
      <w:bookmarkStart w:id="238" w:name="_Toc44229205"/>
      <w:bookmarkStart w:id="239" w:name="_Toc44229111"/>
      <w:bookmarkStart w:id="240" w:name="_Toc44229206"/>
      <w:bookmarkStart w:id="241" w:name="_Toc272569436"/>
      <w:bookmarkStart w:id="242" w:name="_Toc272569573"/>
      <w:bookmarkStart w:id="243" w:name="_Toc272569709"/>
      <w:bookmarkStart w:id="244" w:name="_Toc272569860"/>
      <w:bookmarkStart w:id="245" w:name="_Toc272570183"/>
      <w:bookmarkStart w:id="246" w:name="_Toc272570317"/>
      <w:bookmarkStart w:id="247" w:name="_Toc272570450"/>
      <w:bookmarkStart w:id="248" w:name="_Toc272570584"/>
      <w:bookmarkStart w:id="249" w:name="_Toc272570717"/>
      <w:bookmarkStart w:id="250" w:name="_Toc272570850"/>
      <w:bookmarkStart w:id="251" w:name="_Toc272569102"/>
      <w:bookmarkStart w:id="252" w:name="_Toc272569254"/>
      <w:bookmarkStart w:id="253" w:name="_Toc272569438"/>
      <w:bookmarkStart w:id="254" w:name="_Toc272569575"/>
      <w:bookmarkStart w:id="255" w:name="_Toc272569711"/>
      <w:bookmarkStart w:id="256" w:name="_Toc272569862"/>
      <w:bookmarkStart w:id="257" w:name="_Toc272570185"/>
      <w:bookmarkStart w:id="258" w:name="_Toc272570319"/>
      <w:bookmarkStart w:id="259" w:name="_Toc272570452"/>
      <w:bookmarkStart w:id="260" w:name="_Toc272570586"/>
      <w:bookmarkStart w:id="261" w:name="_Toc272570719"/>
      <w:bookmarkStart w:id="262" w:name="_Toc272570852"/>
      <w:bookmarkStart w:id="263" w:name="_Toc272569103"/>
      <w:bookmarkStart w:id="264" w:name="_Toc272569255"/>
      <w:bookmarkStart w:id="265" w:name="_Toc272569439"/>
      <w:bookmarkStart w:id="266" w:name="_Toc272569576"/>
      <w:bookmarkStart w:id="267" w:name="_Toc272569712"/>
      <w:bookmarkStart w:id="268" w:name="_Toc272569863"/>
      <w:bookmarkStart w:id="269" w:name="_Toc272570186"/>
      <w:bookmarkStart w:id="270" w:name="_Toc272570320"/>
      <w:bookmarkStart w:id="271" w:name="_Toc272570453"/>
      <w:bookmarkStart w:id="272" w:name="_Toc272570587"/>
      <w:bookmarkStart w:id="273" w:name="_Toc308697673"/>
      <w:bookmarkStart w:id="274" w:name="_Toc309286195"/>
      <w:bookmarkStart w:id="275" w:name="_Toc308697674"/>
      <w:bookmarkStart w:id="276" w:name="_Toc309286196"/>
      <w:bookmarkStart w:id="277" w:name="_Toc308697675"/>
      <w:bookmarkStart w:id="278" w:name="_Toc309286197"/>
      <w:bookmarkStart w:id="279" w:name="_Toc308697676"/>
      <w:bookmarkStart w:id="280" w:name="_Toc309286198"/>
      <w:bookmarkStart w:id="281" w:name="_Toc308697677"/>
      <w:bookmarkStart w:id="282" w:name="_Toc309286199"/>
      <w:bookmarkStart w:id="283" w:name="_Toc308697678"/>
      <w:bookmarkStart w:id="284" w:name="_Toc309286200"/>
      <w:bookmarkStart w:id="285" w:name="_Toc308697679"/>
      <w:bookmarkStart w:id="286" w:name="_Toc309286201"/>
      <w:bookmarkStart w:id="287" w:name="_Toc308697680"/>
      <w:bookmarkStart w:id="288" w:name="_Toc309286202"/>
      <w:bookmarkStart w:id="289" w:name="_Toc308697681"/>
      <w:bookmarkStart w:id="290" w:name="_Toc309286203"/>
      <w:bookmarkStart w:id="291" w:name="_Toc308697682"/>
      <w:bookmarkStart w:id="292" w:name="_Toc309286107"/>
      <w:bookmarkStart w:id="293" w:name="_Toc308697585"/>
      <w:bookmarkStart w:id="294" w:name="_Toc277787879"/>
      <w:bookmarkStart w:id="295" w:name="_Toc278409390"/>
      <w:bookmarkStart w:id="296" w:name="_Toc277752506"/>
      <w:bookmarkStart w:id="297" w:name="_Toc277786085"/>
      <w:bookmarkStart w:id="298" w:name="_Toc277787606"/>
      <w:bookmarkStart w:id="299" w:name="_Toc277787880"/>
      <w:bookmarkStart w:id="300" w:name="_Toc278409391"/>
      <w:bookmarkStart w:id="301" w:name="_Toc277752507"/>
      <w:bookmarkStart w:id="302" w:name="_Toc309286115"/>
      <w:bookmarkStart w:id="303" w:name="_Toc308697594"/>
      <w:bookmarkStart w:id="304" w:name="_Toc309286116"/>
      <w:bookmarkStart w:id="305" w:name="_Toc308697595"/>
      <w:bookmarkStart w:id="306" w:name="_Toc309286117"/>
      <w:bookmarkStart w:id="307" w:name="_Toc308697596"/>
      <w:bookmarkStart w:id="308" w:name="_Toc309286118"/>
      <w:bookmarkStart w:id="309" w:name="_Toc308697717"/>
      <w:bookmarkStart w:id="310" w:name="_Toc309286239"/>
      <w:bookmarkStart w:id="311" w:name="_Toc308697718"/>
      <w:bookmarkStart w:id="312" w:name="_Toc309286240"/>
      <w:bookmarkStart w:id="313" w:name="_Toc308697719"/>
      <w:bookmarkStart w:id="314" w:name="_Toc309286241"/>
      <w:bookmarkStart w:id="315" w:name="_Toc308697720"/>
      <w:bookmarkStart w:id="316" w:name="_Toc309286242"/>
      <w:bookmarkStart w:id="317" w:name="_Toc308697721"/>
      <w:bookmarkStart w:id="318" w:name="_Toc309286243"/>
      <w:bookmarkStart w:id="319" w:name="_Toc308697722"/>
      <w:bookmarkStart w:id="320" w:name="_Toc309286244"/>
      <w:bookmarkStart w:id="321" w:name="_Toc308697723"/>
      <w:bookmarkStart w:id="322" w:name="_Toc309286245"/>
      <w:bookmarkStart w:id="323" w:name="_Toc38438275"/>
      <w:bookmarkStart w:id="324" w:name="_Toc38438612"/>
      <w:bookmarkStart w:id="325" w:name="_Toc38438949"/>
      <w:bookmarkStart w:id="326" w:name="_Toc38441167"/>
      <w:bookmarkStart w:id="327" w:name="_Toc38441499"/>
      <w:bookmarkStart w:id="328" w:name="_Toc38441827"/>
      <w:bookmarkStart w:id="329" w:name="_Toc38442159"/>
      <w:bookmarkStart w:id="330" w:name="_Toc38442491"/>
      <w:bookmarkStart w:id="331" w:name="_Toc38442822"/>
      <w:bookmarkStart w:id="332" w:name="_Toc38443153"/>
      <w:bookmarkStart w:id="333" w:name="_Toc38443484"/>
      <w:bookmarkStart w:id="334" w:name="_Toc38443815"/>
      <w:bookmarkStart w:id="335" w:name="_Toc38438282"/>
      <w:bookmarkStart w:id="336" w:name="_Toc38438619"/>
      <w:bookmarkStart w:id="337" w:name="_Toc38438956"/>
      <w:bookmarkStart w:id="338" w:name="_Toc38439293"/>
      <w:bookmarkStart w:id="339" w:name="_Toc38439630"/>
      <w:bookmarkStart w:id="340" w:name="_Toc38439967"/>
      <w:bookmarkStart w:id="341" w:name="_Toc38440304"/>
      <w:bookmarkStart w:id="342" w:name="_Toc38440637"/>
      <w:bookmarkStart w:id="343" w:name="_Toc38440836"/>
      <w:bookmarkStart w:id="344" w:name="_Toc38441168"/>
      <w:bookmarkStart w:id="345" w:name="_Toc38441500"/>
      <w:bookmarkStart w:id="346" w:name="_Toc38441828"/>
      <w:bookmarkStart w:id="347" w:name="_Toc38442160"/>
      <w:bookmarkStart w:id="348" w:name="_Toc38442492"/>
      <w:bookmarkStart w:id="349" w:name="_Toc38442823"/>
      <w:bookmarkStart w:id="350" w:name="_Toc38443154"/>
      <w:bookmarkStart w:id="351" w:name="_Toc38443485"/>
      <w:bookmarkStart w:id="352" w:name="_Toc38443816"/>
      <w:bookmarkStart w:id="353" w:name="_Toc38438283"/>
      <w:bookmarkStart w:id="354" w:name="_Toc38438620"/>
      <w:bookmarkStart w:id="355" w:name="_Toc38438957"/>
      <w:bookmarkStart w:id="356" w:name="_Toc38439294"/>
      <w:bookmarkStart w:id="357" w:name="_Toc38439631"/>
      <w:bookmarkStart w:id="358" w:name="_Toc38438336"/>
      <w:bookmarkStart w:id="359" w:name="_Toc38438673"/>
      <w:bookmarkStart w:id="360" w:name="_Toc38439010"/>
      <w:bookmarkStart w:id="361" w:name="_Toc38439347"/>
      <w:bookmarkStart w:id="362" w:name="_Toc38439684"/>
      <w:bookmarkStart w:id="363" w:name="_Toc38440021"/>
      <w:bookmarkStart w:id="364" w:name="_Toc38440358"/>
      <w:bookmarkStart w:id="365" w:name="_Toc38440890"/>
      <w:bookmarkStart w:id="366" w:name="_Toc38441222"/>
      <w:bookmarkStart w:id="367" w:name="_Toc38441554"/>
      <w:bookmarkStart w:id="368" w:name="_Toc38441882"/>
      <w:bookmarkStart w:id="369" w:name="_Toc38442214"/>
      <w:bookmarkStart w:id="370" w:name="_Toc38442546"/>
      <w:bookmarkStart w:id="371" w:name="_Toc38442877"/>
      <w:bookmarkStart w:id="372" w:name="_Toc38443208"/>
      <w:bookmarkStart w:id="373" w:name="_Toc38443539"/>
      <w:bookmarkStart w:id="374" w:name="_Toc38443870"/>
      <w:bookmarkStart w:id="375" w:name="_Toc38438337"/>
      <w:bookmarkStart w:id="376" w:name="_Toc308697606"/>
      <w:bookmarkStart w:id="377" w:name="_Toc309286127"/>
      <w:bookmarkStart w:id="378" w:name="_Toc278409394"/>
      <w:bookmarkStart w:id="379" w:name="_Toc308697516"/>
      <w:bookmarkStart w:id="380" w:name="_Toc309286038"/>
      <w:bookmarkStart w:id="381" w:name="_Toc308697517"/>
      <w:bookmarkStart w:id="382" w:name="_Toc309286039"/>
      <w:bookmarkStart w:id="383" w:name="_Toc296527004"/>
      <w:bookmarkStart w:id="384" w:name="_Toc308697541"/>
      <w:bookmarkStart w:id="385" w:name="_Toc309286063"/>
      <w:bookmarkStart w:id="386" w:name="_Toc308697542"/>
      <w:bookmarkStart w:id="387" w:name="_Toc309286064"/>
      <w:bookmarkStart w:id="388" w:name="_Toc308697543"/>
      <w:bookmarkStart w:id="389" w:name="_Toc309286065"/>
      <w:bookmarkStart w:id="390" w:name="_Toc306614238"/>
      <w:bookmarkStart w:id="391" w:name="_Toc310512463"/>
      <w:bookmarkStart w:id="392" w:name="_Toc310512627"/>
      <w:bookmarkStart w:id="393" w:name="_Toc38439014"/>
      <w:bookmarkStart w:id="394" w:name="_Toc38439351"/>
      <w:bookmarkStart w:id="395" w:name="_Toc38439688"/>
      <w:bookmarkStart w:id="396" w:name="_Toc38440025"/>
      <w:bookmarkStart w:id="397" w:name="_Toc38440362"/>
      <w:bookmarkStart w:id="398" w:name="_Toc38440894"/>
      <w:bookmarkStart w:id="399" w:name="_Toc38441226"/>
      <w:bookmarkStart w:id="400" w:name="_Toc38441558"/>
      <w:bookmarkStart w:id="401" w:name="_Toc38441886"/>
      <w:bookmarkStart w:id="402" w:name="_Toc38442218"/>
      <w:bookmarkStart w:id="403" w:name="_Toc38442550"/>
      <w:bookmarkStart w:id="404" w:name="_Toc38442881"/>
      <w:bookmarkStart w:id="405" w:name="_Toc38443212"/>
      <w:bookmarkStart w:id="406" w:name="_Toc38443543"/>
      <w:bookmarkStart w:id="407" w:name="_Toc38443874"/>
      <w:bookmarkStart w:id="408" w:name="_Toc38438341"/>
      <w:bookmarkStart w:id="409" w:name="_Toc38438678"/>
      <w:bookmarkStart w:id="410" w:name="_Toc38443489"/>
      <w:bookmarkStart w:id="411" w:name="_Toc38443820"/>
      <w:bookmarkStart w:id="412" w:name="_Toc38438287"/>
      <w:bookmarkStart w:id="413" w:name="_Toc38438624"/>
      <w:bookmarkStart w:id="414" w:name="_Toc38438961"/>
      <w:bookmarkStart w:id="415" w:name="_Toc38439298"/>
      <w:bookmarkStart w:id="416" w:name="_Toc38439635"/>
      <w:bookmarkStart w:id="417" w:name="_Toc38439972"/>
      <w:bookmarkStart w:id="418" w:name="_Toc38440309"/>
      <w:bookmarkStart w:id="419" w:name="_Toc38440642"/>
      <w:bookmarkStart w:id="420" w:name="_Toc38440841"/>
      <w:bookmarkStart w:id="421" w:name="_Toc38441173"/>
      <w:bookmarkStart w:id="422" w:name="_Toc38441505"/>
      <w:bookmarkStart w:id="423" w:name="_Toc38441833"/>
      <w:bookmarkStart w:id="424" w:name="_Toc38442165"/>
      <w:bookmarkStart w:id="425" w:name="_Toc38442497"/>
      <w:bookmarkStart w:id="426" w:name="_Toc38442828"/>
      <w:bookmarkStart w:id="427" w:name="_Toc38443159"/>
      <w:bookmarkStart w:id="428" w:name="_Toc38443490"/>
      <w:bookmarkStart w:id="429" w:name="_Toc38443821"/>
      <w:bookmarkStart w:id="430" w:name="_Toc38438288"/>
      <w:bookmarkStart w:id="431" w:name="_Toc38438625"/>
      <w:bookmarkStart w:id="432" w:name="_Toc38438962"/>
      <w:bookmarkStart w:id="433" w:name="_Toc38439299"/>
      <w:bookmarkStart w:id="434" w:name="_Toc38439636"/>
      <w:bookmarkStart w:id="435" w:name="_Toc38439973"/>
      <w:bookmarkStart w:id="436" w:name="_Toc38440310"/>
      <w:bookmarkStart w:id="437" w:name="_Toc38440643"/>
      <w:bookmarkStart w:id="438" w:name="_Toc38440842"/>
      <w:bookmarkStart w:id="439" w:name="_Toc38441174"/>
      <w:bookmarkStart w:id="440" w:name="_Toc38441506"/>
      <w:bookmarkStart w:id="441" w:name="_Toc38441834"/>
      <w:bookmarkStart w:id="442" w:name="_Toc308697631"/>
      <w:bookmarkStart w:id="443" w:name="_Toc309286153"/>
      <w:bookmarkStart w:id="444" w:name="_Toc308697632"/>
      <w:bookmarkStart w:id="445" w:name="_Toc309286154"/>
      <w:bookmarkStart w:id="446" w:name="_Toc308697633"/>
      <w:bookmarkStart w:id="447" w:name="_Toc309286155"/>
      <w:bookmarkStart w:id="448" w:name="_Toc308697634"/>
      <w:bookmarkStart w:id="449" w:name="_Toc309286156"/>
      <w:bookmarkStart w:id="450" w:name="_Toc308697635"/>
      <w:bookmarkStart w:id="451" w:name="_Toc309286157"/>
      <w:bookmarkStart w:id="452" w:name="_Toc308697636"/>
      <w:bookmarkStart w:id="453" w:name="_Toc309286158"/>
      <w:bookmarkStart w:id="454" w:name="_Toc308697637"/>
      <w:bookmarkStart w:id="455" w:name="_Toc309286159"/>
      <w:bookmarkStart w:id="456" w:name="_Toc308697638"/>
      <w:bookmarkStart w:id="457" w:name="_Toc309286160"/>
      <w:bookmarkStart w:id="458" w:name="_Toc308697639"/>
      <w:bookmarkStart w:id="459" w:name="_Toc309286161"/>
      <w:bookmarkStart w:id="460" w:name="_Toc308697640"/>
      <w:bookmarkStart w:id="461" w:name="_Toc310512935"/>
      <w:bookmarkStart w:id="462" w:name="_Toc310513075"/>
      <w:bookmarkStart w:id="463" w:name="_Toc310513214"/>
      <w:bookmarkStart w:id="464" w:name="_Toc310513350"/>
      <w:bookmarkStart w:id="465" w:name="_Toc323051026"/>
      <w:bookmarkStart w:id="466" w:name="_Toc308697560"/>
      <w:bookmarkStart w:id="467" w:name="_Toc309286082"/>
      <w:bookmarkStart w:id="468" w:name="_Toc308697561"/>
      <w:bookmarkStart w:id="469" w:name="_Toc309286083"/>
      <w:bookmarkStart w:id="470" w:name="_Toc308697562"/>
      <w:bookmarkStart w:id="471" w:name="_Toc309286084"/>
      <w:bookmarkStart w:id="472" w:name="_Toc44229106"/>
      <w:bookmarkStart w:id="473" w:name="_Toc44229201"/>
      <w:bookmarkStart w:id="474" w:name="_Toc44229107"/>
      <w:bookmarkStart w:id="475" w:name="_Toc44229202"/>
      <w:bookmarkStart w:id="476" w:name="_Toc44229108"/>
      <w:bookmarkStart w:id="477" w:name="_Toc309286178"/>
      <w:bookmarkStart w:id="478" w:name="_Toc308697657"/>
      <w:bookmarkStart w:id="479" w:name="_Toc309286179"/>
      <w:bookmarkStart w:id="480" w:name="_Toc308697658"/>
      <w:bookmarkStart w:id="481" w:name="_Toc309286180"/>
      <w:bookmarkStart w:id="482" w:name="_Toc308697659"/>
      <w:bookmarkStart w:id="483" w:name="_Toc309286181"/>
      <w:bookmarkStart w:id="484" w:name="_Toc308697660"/>
      <w:bookmarkStart w:id="485" w:name="_Toc309286182"/>
      <w:bookmarkStart w:id="486" w:name="_Toc308697661"/>
      <w:bookmarkStart w:id="487" w:name="_Toc309286183"/>
      <w:bookmarkStart w:id="488" w:name="_Toc308697662"/>
      <w:bookmarkStart w:id="489" w:name="_Toc309286184"/>
      <w:bookmarkStart w:id="490" w:name="_Toc308697663"/>
      <w:bookmarkStart w:id="491" w:name="_Toc309286185"/>
      <w:bookmarkStart w:id="492" w:name="_Toc308697664"/>
      <w:bookmarkStart w:id="493" w:name="_Toc309286186"/>
      <w:bookmarkStart w:id="494" w:name="_Toc272570858"/>
      <w:bookmarkStart w:id="495" w:name="_Toc272569109"/>
      <w:bookmarkStart w:id="496" w:name="_Toc272569261"/>
      <w:bookmarkStart w:id="497" w:name="_Toc272569445"/>
      <w:bookmarkStart w:id="498" w:name="_Toc272569582"/>
      <w:bookmarkStart w:id="499" w:name="_Toc272569718"/>
      <w:bookmarkStart w:id="500" w:name="_Toc272569869"/>
      <w:bookmarkStart w:id="501" w:name="_Toc272570192"/>
      <w:bookmarkStart w:id="502" w:name="_Toc272570326"/>
      <w:bookmarkStart w:id="503" w:name="_Toc272570459"/>
      <w:bookmarkStart w:id="504" w:name="_Toc272570593"/>
      <w:bookmarkStart w:id="505" w:name="_Toc272570726"/>
      <w:bookmarkStart w:id="506" w:name="_Toc272570859"/>
      <w:bookmarkStart w:id="507" w:name="_Toc308697698"/>
      <w:bookmarkStart w:id="508" w:name="_Toc309286220"/>
      <w:bookmarkStart w:id="509" w:name="_Toc308697699"/>
      <w:bookmarkStart w:id="510" w:name="_Toc309286221"/>
      <w:bookmarkStart w:id="511" w:name="_Toc308697700"/>
      <w:bookmarkStart w:id="512" w:name="_Toc309286222"/>
      <w:bookmarkStart w:id="513" w:name="_Toc308697701"/>
      <w:bookmarkStart w:id="514" w:name="_Toc309286223"/>
      <w:bookmarkStart w:id="515" w:name="_Toc308697702"/>
      <w:bookmarkStart w:id="516" w:name="_Toc309286224"/>
      <w:bookmarkStart w:id="517" w:name="_Toc308697703"/>
      <w:bookmarkStart w:id="518" w:name="_Toc309286225"/>
      <w:bookmarkStart w:id="519" w:name="_Toc308697704"/>
      <w:bookmarkStart w:id="520" w:name="_Toc309286226"/>
      <w:bookmarkStart w:id="521" w:name="_Toc308697705"/>
      <w:bookmarkStart w:id="522" w:name="_Toc309286227"/>
      <w:bookmarkStart w:id="523" w:name="_Toc308697706"/>
      <w:bookmarkStart w:id="524" w:name="_Toc309286228"/>
      <w:bookmarkStart w:id="525" w:name="_Toc296440221"/>
      <w:bookmarkStart w:id="526" w:name="_Toc272569113"/>
      <w:bookmarkStart w:id="527" w:name="_Toc272569265"/>
      <w:bookmarkStart w:id="528" w:name="_Toc272569449"/>
      <w:bookmarkStart w:id="529" w:name="_Toc272569586"/>
      <w:bookmarkStart w:id="530" w:name="_Toc272569722"/>
      <w:bookmarkStart w:id="531" w:name="_Toc272569873"/>
      <w:bookmarkStart w:id="532" w:name="_Toc272569114"/>
      <w:bookmarkStart w:id="533" w:name="_Toc272569266"/>
      <w:bookmarkStart w:id="534" w:name="_Toc272569450"/>
      <w:bookmarkStart w:id="535" w:name="_Toc272569587"/>
      <w:bookmarkStart w:id="536" w:name="_Toc272569723"/>
      <w:bookmarkStart w:id="537" w:name="_Toc272569874"/>
      <w:bookmarkStart w:id="538" w:name="_Toc272569115"/>
      <w:bookmarkStart w:id="539" w:name="_Toc272569267"/>
      <w:bookmarkStart w:id="540" w:name="_Toc272569451"/>
      <w:bookmarkStart w:id="541" w:name="_Toc272569588"/>
      <w:bookmarkStart w:id="542" w:name="_Toc272569724"/>
      <w:bookmarkStart w:id="543" w:name="_Toc272569875"/>
      <w:bookmarkStart w:id="544" w:name="_Toc272569116"/>
      <w:bookmarkStart w:id="545" w:name="_Toc272569268"/>
      <w:bookmarkStart w:id="546" w:name="_Toc272569452"/>
      <w:bookmarkStart w:id="547" w:name="_Toc272569589"/>
      <w:bookmarkStart w:id="548" w:name="_Toc38441217"/>
      <w:bookmarkStart w:id="549" w:name="_Toc38441549"/>
      <w:bookmarkStart w:id="550" w:name="_Toc272570720"/>
      <w:bookmarkStart w:id="551" w:name="_Toc272570853"/>
      <w:bookmarkStart w:id="552" w:name="_Toc272569104"/>
      <w:bookmarkStart w:id="553" w:name="_Toc272569256"/>
      <w:bookmarkStart w:id="554" w:name="_Toc272569440"/>
      <w:bookmarkStart w:id="555" w:name="_Toc272569577"/>
      <w:bookmarkStart w:id="556" w:name="_Toc272569713"/>
      <w:bookmarkStart w:id="557" w:name="_Toc272569864"/>
      <w:bookmarkStart w:id="558" w:name="_Toc272570187"/>
      <w:bookmarkStart w:id="559" w:name="_Toc272570321"/>
      <w:bookmarkStart w:id="560" w:name="_Toc272570454"/>
      <w:bookmarkStart w:id="561" w:name="_Toc272570588"/>
      <w:bookmarkStart w:id="562" w:name="_Toc272570721"/>
      <w:bookmarkStart w:id="563" w:name="_Toc272570854"/>
      <w:bookmarkStart w:id="564" w:name="_Toc272569105"/>
      <w:bookmarkStart w:id="565" w:name="_Toc272569257"/>
      <w:bookmarkStart w:id="566" w:name="_Toc272569441"/>
      <w:bookmarkStart w:id="567" w:name="_Toc272569578"/>
      <w:bookmarkStart w:id="568" w:name="_Toc272569714"/>
      <w:bookmarkStart w:id="569" w:name="_Toc272569865"/>
      <w:bookmarkStart w:id="570" w:name="_Toc272570188"/>
      <w:bookmarkStart w:id="571" w:name="_Toc272570322"/>
      <w:bookmarkStart w:id="572" w:name="_Toc272570455"/>
      <w:bookmarkStart w:id="573" w:name="_Toc272570589"/>
      <w:bookmarkStart w:id="574" w:name="_Toc272570722"/>
      <w:bookmarkStart w:id="575" w:name="_Toc272570855"/>
      <w:bookmarkStart w:id="576" w:name="_Toc272569106"/>
      <w:bookmarkStart w:id="577" w:name="_Toc272569258"/>
      <w:bookmarkStart w:id="578" w:name="_Toc272569442"/>
      <w:bookmarkStart w:id="579" w:name="_Toc272569579"/>
      <w:bookmarkStart w:id="580" w:name="_Toc272569715"/>
      <w:bookmarkStart w:id="581" w:name="_Toc272569866"/>
      <w:bookmarkStart w:id="582" w:name="_Toc272570189"/>
      <w:bookmarkStart w:id="583" w:name="_Toc272570323"/>
      <w:bookmarkStart w:id="584" w:name="_Toc272570456"/>
      <w:bookmarkStart w:id="585" w:name="_Toc272570590"/>
      <w:bookmarkStart w:id="586" w:name="_Toc272570723"/>
      <w:bookmarkStart w:id="587" w:name="_Toc272570856"/>
      <w:bookmarkStart w:id="588" w:name="_Toc272569107"/>
      <w:bookmarkStart w:id="589" w:name="_Toc272569259"/>
      <w:bookmarkStart w:id="590" w:name="_Toc272569443"/>
      <w:bookmarkStart w:id="591" w:name="_Toc272569580"/>
      <w:bookmarkStart w:id="592" w:name="_Toc272569716"/>
      <w:bookmarkStart w:id="593" w:name="_Toc272569867"/>
      <w:bookmarkStart w:id="594" w:name="_Toc272570190"/>
      <w:bookmarkStart w:id="595" w:name="_Toc272570324"/>
      <w:bookmarkStart w:id="596" w:name="_Toc272570457"/>
      <w:bookmarkStart w:id="597" w:name="_Toc308697586"/>
      <w:bookmarkStart w:id="598" w:name="_Toc309286108"/>
      <w:bookmarkStart w:id="599" w:name="_Toc308697587"/>
      <w:bookmarkStart w:id="600" w:name="_Toc309286109"/>
      <w:bookmarkStart w:id="601" w:name="_Toc308697588"/>
      <w:bookmarkStart w:id="602" w:name="_Toc309286110"/>
      <w:bookmarkStart w:id="603" w:name="_Toc308697589"/>
      <w:bookmarkStart w:id="604" w:name="_Toc309286111"/>
      <w:bookmarkStart w:id="605" w:name="_Toc308697590"/>
      <w:bookmarkStart w:id="606" w:name="_Toc309286112"/>
      <w:bookmarkStart w:id="607" w:name="_Toc308697591"/>
      <w:bookmarkStart w:id="608" w:name="_Toc309286113"/>
      <w:bookmarkStart w:id="609" w:name="_Toc308697592"/>
      <w:bookmarkStart w:id="610" w:name="_Toc309286114"/>
      <w:bookmarkStart w:id="611" w:name="_Toc308697593"/>
      <w:bookmarkStart w:id="612" w:name="_Toc38438334"/>
      <w:bookmarkStart w:id="613" w:name="_Toc38438671"/>
      <w:bookmarkStart w:id="614" w:name="_Toc38439008"/>
      <w:bookmarkStart w:id="615" w:name="_Toc38439345"/>
      <w:bookmarkStart w:id="616" w:name="_Toc38439682"/>
      <w:bookmarkStart w:id="617" w:name="_Toc38440019"/>
      <w:bookmarkStart w:id="618" w:name="_Toc38440356"/>
      <w:bookmarkStart w:id="619" w:name="_Toc38440888"/>
      <w:bookmarkStart w:id="620" w:name="_Toc38441220"/>
      <w:bookmarkStart w:id="621" w:name="_Toc38441552"/>
      <w:bookmarkStart w:id="622" w:name="_Toc38441880"/>
      <w:bookmarkStart w:id="623" w:name="_Toc38442212"/>
      <w:bookmarkStart w:id="624" w:name="_Toc38442544"/>
      <w:bookmarkStart w:id="625" w:name="_Toc38442875"/>
      <w:bookmarkStart w:id="626" w:name="_Toc38443206"/>
      <w:bookmarkStart w:id="627" w:name="_Toc38443537"/>
      <w:bookmarkStart w:id="628" w:name="_Toc38443868"/>
      <w:bookmarkStart w:id="629" w:name="_Toc38440635"/>
      <w:bookmarkStart w:id="630" w:name="_Toc38440834"/>
      <w:bookmarkStart w:id="631" w:name="_Toc38441166"/>
      <w:bookmarkStart w:id="632" w:name="_Toc38441498"/>
      <w:bookmarkStart w:id="633" w:name="_Toc38441826"/>
      <w:bookmarkStart w:id="634" w:name="_Toc38442158"/>
      <w:bookmarkStart w:id="635" w:name="_Toc38442490"/>
      <w:bookmarkStart w:id="636" w:name="_Toc38442821"/>
      <w:bookmarkStart w:id="637" w:name="_Toc38443152"/>
      <w:bookmarkStart w:id="638" w:name="_Toc38443483"/>
      <w:bookmarkStart w:id="639" w:name="_Toc38443814"/>
      <w:bookmarkStart w:id="640" w:name="_Toc38438281"/>
      <w:bookmarkStart w:id="641" w:name="_Toc38438618"/>
      <w:bookmarkStart w:id="642" w:name="_Toc38438955"/>
      <w:bookmarkStart w:id="643" w:name="_Toc38439292"/>
      <w:bookmarkStart w:id="644" w:name="_Toc38439629"/>
      <w:bookmarkStart w:id="645" w:name="_Toc38439966"/>
      <w:bookmarkStart w:id="646" w:name="_Toc38440303"/>
      <w:bookmarkStart w:id="647" w:name="_Toc38440636"/>
      <w:bookmarkStart w:id="648" w:name="_Toc38440835"/>
      <w:bookmarkStart w:id="649" w:name="_Toc38442489"/>
      <w:bookmarkStart w:id="650" w:name="_Toc38442820"/>
      <w:bookmarkStart w:id="651" w:name="_Toc38438674"/>
      <w:bookmarkStart w:id="652" w:name="_Toc38439011"/>
      <w:bookmarkStart w:id="653" w:name="_Toc38439348"/>
      <w:bookmarkStart w:id="654" w:name="_Toc38439685"/>
      <w:bookmarkStart w:id="655" w:name="_Toc38440022"/>
      <w:bookmarkStart w:id="656" w:name="_Toc38440359"/>
      <w:bookmarkStart w:id="657" w:name="_Toc38440891"/>
      <w:bookmarkStart w:id="658" w:name="_Toc38441223"/>
      <w:bookmarkStart w:id="659" w:name="_Toc38441555"/>
      <w:bookmarkStart w:id="660" w:name="_Toc38441883"/>
      <w:bookmarkStart w:id="661" w:name="_Toc38442215"/>
      <w:bookmarkStart w:id="662" w:name="_Toc38442547"/>
      <w:bookmarkStart w:id="663" w:name="_Toc38442878"/>
      <w:bookmarkStart w:id="664" w:name="_Toc38443209"/>
      <w:bookmarkStart w:id="665" w:name="_Toc38443540"/>
      <w:bookmarkStart w:id="666" w:name="_Toc38443871"/>
      <w:bookmarkStart w:id="667" w:name="_Toc38438338"/>
      <w:bookmarkStart w:id="668" w:name="_Toc38438675"/>
      <w:bookmarkStart w:id="669" w:name="_Toc38439012"/>
      <w:bookmarkStart w:id="670" w:name="_Toc38439349"/>
      <w:bookmarkStart w:id="671" w:name="_Toc38439686"/>
      <w:bookmarkStart w:id="672" w:name="_Toc38440023"/>
      <w:bookmarkStart w:id="673" w:name="_Toc38440360"/>
      <w:bookmarkStart w:id="674" w:name="_Toc38440892"/>
      <w:bookmarkStart w:id="675" w:name="_Toc38441224"/>
      <w:bookmarkStart w:id="676" w:name="_Toc38441556"/>
      <w:bookmarkStart w:id="677" w:name="_Toc38441884"/>
      <w:bookmarkStart w:id="678" w:name="_Toc38442216"/>
      <w:bookmarkStart w:id="679" w:name="_Toc38442548"/>
      <w:bookmarkStart w:id="680" w:name="_Toc38442879"/>
      <w:bookmarkStart w:id="681" w:name="_Toc38443210"/>
      <w:bookmarkStart w:id="682" w:name="_Toc38443541"/>
      <w:bookmarkStart w:id="683" w:name="_Toc38443872"/>
      <w:bookmarkStart w:id="684" w:name="_Toc38438339"/>
      <w:bookmarkStart w:id="685" w:name="_Toc38438676"/>
      <w:bookmarkStart w:id="686" w:name="_Toc38439013"/>
      <w:bookmarkStart w:id="687" w:name="_Toc38439350"/>
      <w:bookmarkStart w:id="688" w:name="_Toc38439687"/>
      <w:bookmarkStart w:id="689" w:name="_Toc38440024"/>
      <w:bookmarkStart w:id="690" w:name="_Toc38440361"/>
      <w:bookmarkStart w:id="691" w:name="_Toc38440893"/>
      <w:bookmarkStart w:id="692" w:name="_Toc38441225"/>
      <w:bookmarkStart w:id="693" w:name="_Toc38441557"/>
      <w:bookmarkStart w:id="694" w:name="_Toc38441885"/>
      <w:bookmarkStart w:id="695" w:name="_Toc38442217"/>
      <w:bookmarkStart w:id="696" w:name="_Toc38442549"/>
      <w:bookmarkStart w:id="697" w:name="_Toc38442880"/>
      <w:bookmarkStart w:id="698" w:name="_Toc38443211"/>
      <w:bookmarkStart w:id="699" w:name="_Toc38443542"/>
      <w:bookmarkStart w:id="700" w:name="_Toc38443873"/>
      <w:bookmarkStart w:id="701" w:name="_Toc38438340"/>
      <w:bookmarkStart w:id="702" w:name="_Toc38439970"/>
      <w:bookmarkStart w:id="703" w:name="_Toc38440307"/>
      <w:bookmarkStart w:id="704" w:name="_Toc38440640"/>
      <w:bookmarkStart w:id="705" w:name="_Toc38440839"/>
      <w:bookmarkStart w:id="706" w:name="_Toc38441171"/>
      <w:bookmarkStart w:id="707" w:name="_Toc38441503"/>
      <w:bookmarkStart w:id="708" w:name="_Toc38441831"/>
      <w:bookmarkStart w:id="709" w:name="_Toc38442163"/>
      <w:bookmarkStart w:id="710" w:name="_Toc38442495"/>
      <w:bookmarkStart w:id="711" w:name="_Toc38441873"/>
      <w:bookmarkStart w:id="712" w:name="_Toc38442205"/>
      <w:bookmarkStart w:id="713" w:name="_Toc38439968"/>
      <w:bookmarkStart w:id="714" w:name="_Toc38440305"/>
      <w:bookmarkStart w:id="715" w:name="_Toc38440638"/>
      <w:bookmarkStart w:id="716" w:name="_Toc38440837"/>
      <w:bookmarkStart w:id="717" w:name="_Toc38438277"/>
      <w:bookmarkStart w:id="718" w:name="_Toc38438614"/>
      <w:bookmarkStart w:id="719" w:name="_Toc38438951"/>
      <w:bookmarkStart w:id="720" w:name="_Toc38439288"/>
      <w:bookmarkStart w:id="721" w:name="_Toc38439625"/>
      <w:bookmarkStart w:id="722" w:name="_Toc38439962"/>
      <w:bookmarkStart w:id="723" w:name="_Toc38440299"/>
      <w:bookmarkStart w:id="724" w:name="_Toc38440632"/>
      <w:bookmarkStart w:id="725" w:name="_Toc38440831"/>
      <w:bookmarkStart w:id="726" w:name="_Toc38441163"/>
      <w:bookmarkStart w:id="727" w:name="_Toc38441495"/>
      <w:bookmarkStart w:id="728" w:name="_Toc38441823"/>
      <w:bookmarkStart w:id="729" w:name="_Toc38442155"/>
      <w:bookmarkStart w:id="730" w:name="_Toc38442487"/>
      <w:bookmarkStart w:id="731" w:name="_Toc38442818"/>
      <w:bookmarkStart w:id="732" w:name="_Toc38443149"/>
      <w:bookmarkStart w:id="733" w:name="_Toc38443480"/>
      <w:bookmarkStart w:id="734" w:name="_Toc38443811"/>
      <w:bookmarkStart w:id="735" w:name="_Toc38438278"/>
      <w:bookmarkStart w:id="736" w:name="_Toc38438615"/>
      <w:bookmarkStart w:id="737" w:name="_Toc38438952"/>
      <w:bookmarkStart w:id="738" w:name="_Toc38439289"/>
      <w:bookmarkStart w:id="739" w:name="_Toc38439626"/>
      <w:bookmarkStart w:id="740" w:name="_Toc38439963"/>
      <w:bookmarkStart w:id="741" w:name="_Toc38440300"/>
      <w:bookmarkStart w:id="742" w:name="_Toc38440633"/>
      <w:bookmarkStart w:id="743" w:name="_Toc38440832"/>
      <w:bookmarkStart w:id="744" w:name="_Toc38441164"/>
      <w:bookmarkStart w:id="745" w:name="_Toc38441496"/>
      <w:bookmarkStart w:id="746" w:name="_Toc38441824"/>
      <w:bookmarkStart w:id="747" w:name="_Toc38442156"/>
      <w:bookmarkStart w:id="748" w:name="_Toc38442488"/>
      <w:bookmarkStart w:id="749" w:name="_Toc38442819"/>
      <w:bookmarkStart w:id="750" w:name="_Toc38443150"/>
      <w:bookmarkStart w:id="751" w:name="_Toc38443481"/>
      <w:bookmarkStart w:id="752" w:name="_Toc38443812"/>
      <w:bookmarkStart w:id="753" w:name="_Toc38438279"/>
      <w:bookmarkStart w:id="754" w:name="_Toc38438616"/>
      <w:bookmarkStart w:id="755" w:name="_Toc38438953"/>
      <w:bookmarkStart w:id="756" w:name="_Toc38439290"/>
      <w:bookmarkStart w:id="757" w:name="_Toc38439627"/>
      <w:bookmarkStart w:id="758" w:name="_Toc38439964"/>
      <w:bookmarkStart w:id="759" w:name="_Toc38440301"/>
      <w:bookmarkStart w:id="760" w:name="_Toc38440634"/>
      <w:bookmarkStart w:id="761" w:name="_Toc38440833"/>
      <w:bookmarkStart w:id="762" w:name="_Toc38441165"/>
      <w:bookmarkStart w:id="763" w:name="_Toc38441497"/>
      <w:bookmarkStart w:id="764" w:name="_Toc309286128"/>
      <w:bookmarkStart w:id="765" w:name="_Toc308697607"/>
      <w:bookmarkStart w:id="766" w:name="_Toc309286129"/>
      <w:bookmarkStart w:id="767" w:name="_Toc308697608"/>
      <w:bookmarkStart w:id="768" w:name="_Toc309286130"/>
      <w:bookmarkStart w:id="769" w:name="_Toc308697609"/>
      <w:bookmarkStart w:id="770" w:name="_Toc309286131"/>
      <w:bookmarkStart w:id="771" w:name="_Toc308697610"/>
      <w:bookmarkStart w:id="772" w:name="_Toc309286132"/>
      <w:bookmarkStart w:id="773" w:name="_Toc308697611"/>
      <w:bookmarkStart w:id="774" w:name="_Toc309286133"/>
      <w:bookmarkStart w:id="775" w:name="_Toc308697612"/>
      <w:bookmarkStart w:id="776" w:name="_Toc309286134"/>
      <w:bookmarkStart w:id="777" w:name="_Toc308697613"/>
      <w:bookmarkStart w:id="778" w:name="_Toc309286135"/>
      <w:bookmarkStart w:id="779" w:name="_Toc308697614"/>
      <w:bookmarkStart w:id="780" w:name="_Toc309286136"/>
      <w:bookmarkStart w:id="781" w:name="_Toc308697615"/>
      <w:bookmarkStart w:id="782" w:name="_Toc309286137"/>
      <w:bookmarkStart w:id="783" w:name="_Toc308697616"/>
      <w:bookmarkStart w:id="784" w:name="_Toc309286138"/>
      <w:bookmarkStart w:id="785" w:name="_Toc308697617"/>
      <w:bookmarkStart w:id="786" w:name="_Toc309286139"/>
      <w:bookmarkStart w:id="787" w:name="_Toc308697618"/>
      <w:bookmarkStart w:id="788" w:name="_Toc309286140"/>
      <w:bookmarkStart w:id="789" w:name="_Toc308697619"/>
      <w:bookmarkStart w:id="790" w:name="_Toc309286141"/>
      <w:bookmarkStart w:id="791" w:name="_Toc308697620"/>
      <w:bookmarkStart w:id="792" w:name="_Toc309286142"/>
      <w:bookmarkStart w:id="793" w:name="_Toc308697621"/>
      <w:bookmarkStart w:id="794" w:name="_Toc309286143"/>
      <w:bookmarkStart w:id="795" w:name="_Toc38438677"/>
      <w:bookmarkStart w:id="796" w:name="_Toc38442826"/>
      <w:bookmarkStart w:id="797" w:name="_Toc38443157"/>
      <w:bookmarkStart w:id="798" w:name="_Toc38443488"/>
      <w:bookmarkStart w:id="799" w:name="_Toc38443819"/>
      <w:bookmarkStart w:id="800" w:name="_Toc38438286"/>
      <w:bookmarkStart w:id="801" w:name="_Toc38438623"/>
      <w:bookmarkStart w:id="802" w:name="_Toc38438960"/>
      <w:bookmarkStart w:id="803" w:name="_Toc38439297"/>
      <w:bookmarkStart w:id="804" w:name="_Toc38439634"/>
      <w:bookmarkStart w:id="805" w:name="_Toc38439971"/>
      <w:bookmarkStart w:id="806" w:name="_Toc38440308"/>
      <w:bookmarkStart w:id="807" w:name="_Toc38440641"/>
      <w:bookmarkStart w:id="808" w:name="_Toc38440840"/>
      <w:bookmarkStart w:id="809" w:name="_Toc38441172"/>
      <w:bookmarkStart w:id="810" w:name="_Toc38441504"/>
      <w:bookmarkStart w:id="811" w:name="_Toc38441832"/>
      <w:bookmarkStart w:id="812" w:name="_Toc38442164"/>
      <w:bookmarkStart w:id="813" w:name="_Toc38442496"/>
      <w:bookmarkStart w:id="814" w:name="_Toc38442827"/>
      <w:bookmarkStart w:id="815" w:name="_Toc38443158"/>
      <w:bookmarkStart w:id="816" w:name="_Toc272569702"/>
      <w:bookmarkStart w:id="817" w:name="_Toc272569853"/>
      <w:bookmarkStart w:id="818" w:name="_Toc272570176"/>
      <w:bookmarkStart w:id="819" w:name="_Toc272570310"/>
      <w:bookmarkStart w:id="820" w:name="_Toc272570443"/>
      <w:bookmarkStart w:id="821" w:name="_Toc272570577"/>
      <w:bookmarkStart w:id="822" w:name="_Toc272570710"/>
      <w:bookmarkStart w:id="823" w:name="_Toc272570843"/>
      <w:bookmarkStart w:id="824" w:name="_Toc272569094"/>
      <w:bookmarkStart w:id="825" w:name="_Toc272569246"/>
      <w:bookmarkStart w:id="826" w:name="_Toc272569430"/>
      <w:bookmarkStart w:id="827" w:name="_Toc272569567"/>
      <w:bookmarkStart w:id="828" w:name="_Toc272569703"/>
      <w:bookmarkStart w:id="829" w:name="_Toc272569854"/>
      <w:bookmarkStart w:id="830" w:name="_Toc272570177"/>
      <w:bookmarkStart w:id="831" w:name="_Toc272570311"/>
      <w:bookmarkStart w:id="832" w:name="_Toc272570444"/>
      <w:bookmarkStart w:id="833" w:name="_Toc272570578"/>
      <w:bookmarkStart w:id="834" w:name="_Toc272570711"/>
      <w:bookmarkStart w:id="835" w:name="_Toc272570844"/>
      <w:bookmarkStart w:id="836" w:name="_Toc272569095"/>
      <w:bookmarkStart w:id="837" w:name="_Toc272569247"/>
      <w:bookmarkStart w:id="838" w:name="_Toc272569431"/>
      <w:bookmarkStart w:id="839" w:name="_Toc272569568"/>
      <w:bookmarkStart w:id="840" w:name="_Toc272569704"/>
      <w:bookmarkStart w:id="841" w:name="_Toc272569855"/>
      <w:bookmarkStart w:id="842" w:name="_Toc272570178"/>
      <w:bookmarkStart w:id="843" w:name="_Toc272570312"/>
      <w:bookmarkStart w:id="844" w:name="_Toc272570445"/>
      <w:bookmarkStart w:id="845" w:name="_Toc272570579"/>
      <w:bookmarkStart w:id="846" w:name="_Toc272570712"/>
      <w:bookmarkStart w:id="847" w:name="_Toc272570845"/>
      <w:bookmarkStart w:id="848" w:name="_Toc272569096"/>
      <w:bookmarkStart w:id="849" w:name="_Toc272569248"/>
      <w:bookmarkStart w:id="850" w:name="_Toc272569432"/>
      <w:bookmarkStart w:id="851" w:name="_Toc272569569"/>
      <w:bookmarkStart w:id="852" w:name="_Toc272569705"/>
      <w:bookmarkStart w:id="853" w:name="_Toc272569856"/>
      <w:bookmarkStart w:id="854" w:name="_Toc272570179"/>
      <w:bookmarkStart w:id="855" w:name="_Toc272570313"/>
      <w:bookmarkStart w:id="856" w:name="_Toc272570446"/>
      <w:bookmarkStart w:id="857" w:name="_Toc272570580"/>
      <w:bookmarkStart w:id="858" w:name="_Toc272570713"/>
      <w:bookmarkStart w:id="859" w:name="_Toc272570846"/>
      <w:bookmarkStart w:id="860" w:name="_Toc272569097"/>
      <w:bookmarkStart w:id="861" w:name="_Toc272569249"/>
      <w:bookmarkStart w:id="862" w:name="_Toc272569433"/>
      <w:bookmarkStart w:id="863" w:name="_Toc272569570"/>
      <w:bookmarkStart w:id="864" w:name="_Toc272569706"/>
      <w:bookmarkStart w:id="865" w:name="_Toc272569857"/>
      <w:bookmarkStart w:id="866" w:name="_Toc272570180"/>
      <w:bookmarkStart w:id="867" w:name="_Toc272570314"/>
      <w:bookmarkStart w:id="868" w:name="_Toc272570447"/>
      <w:bookmarkStart w:id="869" w:name="_Toc272570581"/>
      <w:bookmarkStart w:id="870" w:name="_Toc272570714"/>
      <w:bookmarkStart w:id="871" w:name="_Toc272570847"/>
      <w:bookmarkStart w:id="872" w:name="_Toc272569098"/>
      <w:bookmarkStart w:id="873" w:name="_Toc272569250"/>
      <w:bookmarkStart w:id="874" w:name="_Toc272569434"/>
      <w:bookmarkStart w:id="875" w:name="_Toc272569571"/>
      <w:bookmarkStart w:id="876" w:name="_Toc272569707"/>
      <w:bookmarkStart w:id="877" w:name="_Toc272569858"/>
      <w:bookmarkStart w:id="878" w:name="_Toc38441547"/>
      <w:bookmarkStart w:id="879" w:name="_Toc38441875"/>
      <w:bookmarkStart w:id="880" w:name="_Toc38442166"/>
      <w:bookmarkStart w:id="881" w:name="_Toc38442498"/>
      <w:bookmarkStart w:id="882" w:name="_Toc38442829"/>
      <w:bookmarkStart w:id="883" w:name="_Toc38443875"/>
      <w:bookmarkStart w:id="884" w:name="_Toc38438342"/>
      <w:bookmarkStart w:id="885" w:name="_Toc38438679"/>
      <w:bookmarkStart w:id="886" w:name="_Toc38439016"/>
      <w:bookmarkStart w:id="887" w:name="_Toc38439353"/>
      <w:bookmarkStart w:id="888" w:name="_Toc38439690"/>
      <w:bookmarkStart w:id="889" w:name="_Toc38440027"/>
      <w:bookmarkStart w:id="890" w:name="_Toc38440364"/>
      <w:bookmarkStart w:id="891" w:name="_Toc38440896"/>
      <w:bookmarkStart w:id="892" w:name="_Toc38441228"/>
      <w:bookmarkStart w:id="893" w:name="_Toc38441560"/>
      <w:bookmarkStart w:id="894" w:name="_Toc38441888"/>
      <w:bookmarkStart w:id="895" w:name="_Toc38442220"/>
      <w:bookmarkStart w:id="896" w:name="_Toc38442552"/>
      <w:bookmarkStart w:id="897" w:name="_Toc38442883"/>
      <w:bookmarkStart w:id="898" w:name="_Toc38443214"/>
      <w:bookmarkStart w:id="899" w:name="_Toc38443545"/>
      <w:bookmarkStart w:id="900" w:name="_Toc38443876"/>
      <w:bookmarkStart w:id="901" w:name="_Toc38438343"/>
      <w:bookmarkStart w:id="902" w:name="_Toc38438680"/>
      <w:bookmarkStart w:id="903" w:name="_Toc38439017"/>
      <w:bookmarkStart w:id="904" w:name="_Toc38439354"/>
      <w:bookmarkStart w:id="905" w:name="_Toc38439691"/>
      <w:bookmarkStart w:id="906" w:name="_Toc38440028"/>
      <w:bookmarkStart w:id="907" w:name="_Toc38440365"/>
      <w:bookmarkStart w:id="908" w:name="_Toc38440897"/>
      <w:bookmarkStart w:id="909" w:name="_Toc38441229"/>
      <w:bookmarkStart w:id="910" w:name="_Toc38441561"/>
      <w:bookmarkStart w:id="911" w:name="_Toc38441889"/>
      <w:bookmarkStart w:id="912" w:name="_Toc38442221"/>
      <w:bookmarkStart w:id="913" w:name="_Toc38442553"/>
      <w:bookmarkStart w:id="914" w:name="_Toc38442884"/>
      <w:bookmarkStart w:id="915" w:name="_Toc38443215"/>
      <w:bookmarkStart w:id="916" w:name="_Toc38443546"/>
      <w:bookmarkStart w:id="917" w:name="_Toc38443877"/>
      <w:bookmarkStart w:id="918" w:name="_Toc272569243"/>
      <w:bookmarkStart w:id="919" w:name="_Toc272569427"/>
      <w:bookmarkStart w:id="920" w:name="_Toc272569564"/>
      <w:bookmarkStart w:id="921" w:name="_Toc272569700"/>
      <w:bookmarkStart w:id="922" w:name="_Toc272569851"/>
      <w:bookmarkStart w:id="923" w:name="_Toc272570174"/>
      <w:bookmarkStart w:id="924" w:name="_Toc272570308"/>
      <w:bookmarkStart w:id="925" w:name="_Toc272570441"/>
      <w:bookmarkStart w:id="926" w:name="_Toc272570575"/>
      <w:bookmarkStart w:id="927" w:name="_Toc272570708"/>
      <w:bookmarkStart w:id="928" w:name="_Toc272570841"/>
      <w:bookmarkStart w:id="929" w:name="_Toc272569093"/>
      <w:bookmarkStart w:id="930" w:name="_Toc272569245"/>
      <w:bookmarkStart w:id="931" w:name="_Toc309286162"/>
      <w:bookmarkStart w:id="932" w:name="_Toc308697641"/>
      <w:bookmarkStart w:id="933" w:name="_Toc309286163"/>
      <w:bookmarkStart w:id="934" w:name="_Toc308697642"/>
      <w:bookmarkStart w:id="935" w:name="_Toc309286164"/>
      <w:bookmarkStart w:id="936" w:name="_Toc308697643"/>
      <w:bookmarkStart w:id="937" w:name="_Toc309286165"/>
      <w:bookmarkStart w:id="938" w:name="_Toc308697644"/>
      <w:bookmarkStart w:id="939" w:name="_Toc309286166"/>
      <w:bookmarkStart w:id="940" w:name="_Toc308697645"/>
      <w:bookmarkStart w:id="941" w:name="_Toc309286167"/>
      <w:bookmarkStart w:id="942" w:name="_Toc308697646"/>
      <w:bookmarkStart w:id="943" w:name="_Toc309286168"/>
      <w:bookmarkStart w:id="944" w:name="_Toc308697647"/>
      <w:bookmarkStart w:id="945" w:name="_Toc309286169"/>
      <w:bookmarkStart w:id="946" w:name="_Toc308697648"/>
      <w:bookmarkStart w:id="947" w:name="_Toc309286170"/>
      <w:bookmarkStart w:id="948" w:name="_Toc308697649"/>
      <w:bookmarkStart w:id="949" w:name="_Toc309286171"/>
      <w:bookmarkStart w:id="950" w:name="_Toc308697650"/>
      <w:bookmarkStart w:id="951" w:name="_Toc309286172"/>
      <w:bookmarkStart w:id="952" w:name="_Toc308697651"/>
      <w:bookmarkStart w:id="953" w:name="_Toc309286173"/>
      <w:bookmarkStart w:id="954" w:name="_Toc308697652"/>
      <w:bookmarkStart w:id="955" w:name="_Toc309286174"/>
      <w:bookmarkStart w:id="956" w:name="_Toc308697653"/>
      <w:bookmarkStart w:id="957" w:name="_Toc309286175"/>
      <w:bookmarkStart w:id="958" w:name="_Toc308697654"/>
      <w:bookmarkStart w:id="959" w:name="_Toc309286176"/>
      <w:bookmarkStart w:id="960" w:name="_Toc308697655"/>
      <w:bookmarkStart w:id="961" w:name="_Toc309286177"/>
      <w:bookmarkStart w:id="962" w:name="_Toc308697656"/>
      <w:bookmarkStart w:id="963" w:name="_Toc272570181"/>
      <w:bookmarkStart w:id="964" w:name="_Toc272570315"/>
      <w:bookmarkStart w:id="965" w:name="_Toc272570448"/>
      <w:bookmarkStart w:id="966" w:name="_Toc272570582"/>
      <w:bookmarkStart w:id="967" w:name="_Toc272570715"/>
      <w:bookmarkStart w:id="968" w:name="_Toc272570848"/>
      <w:bookmarkStart w:id="969" w:name="_Toc272569099"/>
      <w:bookmarkStart w:id="970" w:name="_Toc272569251"/>
      <w:bookmarkStart w:id="971" w:name="_Toc272569435"/>
      <w:bookmarkStart w:id="972" w:name="_Toc272569572"/>
      <w:bookmarkStart w:id="973" w:name="_Toc272569708"/>
      <w:bookmarkStart w:id="974" w:name="_Toc272569859"/>
      <w:bookmarkStart w:id="975" w:name="_Toc272570182"/>
      <w:bookmarkStart w:id="976" w:name="_Toc272570316"/>
      <w:bookmarkStart w:id="977" w:name="_Toc272570449"/>
      <w:bookmarkStart w:id="978" w:name="_Toc272570583"/>
      <w:bookmarkStart w:id="979" w:name="_Toc272570716"/>
      <w:bookmarkStart w:id="980" w:name="_Toc272570849"/>
      <w:bookmarkStart w:id="981" w:name="_Toc272569100"/>
      <w:bookmarkStart w:id="982" w:name="_Toc272569252"/>
      <w:bookmarkStart w:id="983" w:name="_Toc272569581"/>
      <w:bookmarkStart w:id="984" w:name="_Toc272569717"/>
      <w:bookmarkStart w:id="985" w:name="_Toc272569868"/>
      <w:bookmarkStart w:id="986" w:name="_Toc272570191"/>
      <w:bookmarkStart w:id="987" w:name="_Toc272570325"/>
      <w:bookmarkStart w:id="988" w:name="_Toc272570458"/>
      <w:bookmarkStart w:id="989" w:name="_Toc272570592"/>
      <w:bookmarkStart w:id="990" w:name="_Toc272570725"/>
      <w:bookmarkStart w:id="991" w:name="_Toc38442864"/>
      <w:bookmarkStart w:id="992" w:name="_Toc38443195"/>
      <w:bookmarkStart w:id="993" w:name="_Toc38443526"/>
      <w:bookmarkStart w:id="994" w:name="_Toc38443857"/>
      <w:bookmarkStart w:id="995" w:name="_Toc38438324"/>
      <w:bookmarkStart w:id="996" w:name="_Toc38438661"/>
      <w:bookmarkStart w:id="997" w:name="_Toc38438998"/>
      <w:bookmarkStart w:id="998" w:name="_Toc38439335"/>
      <w:bookmarkStart w:id="999" w:name="_Toc38439672"/>
      <w:bookmarkStart w:id="1000" w:name="_Toc38440009"/>
      <w:bookmarkStart w:id="1001" w:name="_Toc38440346"/>
      <w:bookmarkStart w:id="1002" w:name="_Toc38440679"/>
      <w:bookmarkStart w:id="1003" w:name="_Toc38440878"/>
      <w:bookmarkStart w:id="1004" w:name="_Toc38441210"/>
      <w:bookmarkStart w:id="1005" w:name="_Toc38441542"/>
      <w:bookmarkStart w:id="1006" w:name="_Toc38441870"/>
      <w:bookmarkStart w:id="1007" w:name="_Toc38442202"/>
      <w:bookmarkStart w:id="1008" w:name="_Toc38442534"/>
      <w:bookmarkStart w:id="1009" w:name="_Toc38442865"/>
      <w:bookmarkStart w:id="1010" w:name="_Toc38443196"/>
      <w:bookmarkStart w:id="1011" w:name="_Toc38443527"/>
      <w:bookmarkStart w:id="1012" w:name="_Toc38443858"/>
      <w:bookmarkStart w:id="1013" w:name="_Toc38438325"/>
      <w:bookmarkStart w:id="1014" w:name="_Toc38438662"/>
      <w:bookmarkStart w:id="1015" w:name="_Toc38438999"/>
      <w:bookmarkStart w:id="1016" w:name="_Toc38439336"/>
      <w:bookmarkStart w:id="1017" w:name="_Toc38439673"/>
      <w:bookmarkStart w:id="1018" w:name="_Toc38440010"/>
      <w:bookmarkStart w:id="1019" w:name="_Toc38440347"/>
      <w:bookmarkStart w:id="1020" w:name="_Toc38440879"/>
      <w:bookmarkStart w:id="1021" w:name="_Toc38441211"/>
      <w:bookmarkStart w:id="1022" w:name="_Toc38441543"/>
      <w:bookmarkStart w:id="1023" w:name="_Toc38441871"/>
      <w:bookmarkStart w:id="1024" w:name="_Toc272570591"/>
      <w:bookmarkStart w:id="1025" w:name="_Toc272570724"/>
      <w:bookmarkStart w:id="1026" w:name="_Toc272570857"/>
      <w:bookmarkStart w:id="1027" w:name="_Toc272569108"/>
      <w:bookmarkStart w:id="1028" w:name="_Toc309286204"/>
      <w:bookmarkStart w:id="1029" w:name="_Toc308697683"/>
      <w:bookmarkStart w:id="1030" w:name="_Toc309286205"/>
      <w:bookmarkStart w:id="1031" w:name="_Toc308697684"/>
      <w:bookmarkStart w:id="1032" w:name="_Toc309286206"/>
      <w:bookmarkStart w:id="1033" w:name="_Toc308697685"/>
      <w:bookmarkStart w:id="1034" w:name="_Toc309286207"/>
      <w:bookmarkStart w:id="1035" w:name="_Toc97031319"/>
      <w:bookmarkStart w:id="1036" w:name="_Toc97107279"/>
      <w:bookmarkStart w:id="1037" w:name="_Toc272569090"/>
      <w:bookmarkStart w:id="1038" w:name="_Toc272569242"/>
      <w:bookmarkStart w:id="1039" w:name="_Toc272569426"/>
      <w:bookmarkStart w:id="1040" w:name="_Toc272569563"/>
      <w:bookmarkStart w:id="1041" w:name="_Toc272569699"/>
      <w:bookmarkStart w:id="1042" w:name="_Toc272569850"/>
      <w:bookmarkStart w:id="1043" w:name="_Toc272570173"/>
      <w:bookmarkStart w:id="1044" w:name="_Toc272570307"/>
      <w:bookmarkStart w:id="1045" w:name="_Toc272570440"/>
      <w:bookmarkStart w:id="1046" w:name="_Toc272570574"/>
      <w:bookmarkStart w:id="1047" w:name="_Toc272570707"/>
      <w:bookmarkStart w:id="1048" w:name="_Toc272570840"/>
      <w:bookmarkStart w:id="1049" w:name="_Toc272569091"/>
      <w:bookmarkStart w:id="1050" w:name="_Toc38440887"/>
      <w:bookmarkStart w:id="1051" w:name="_Toc38441219"/>
      <w:bookmarkStart w:id="1052" w:name="_Toc38441551"/>
      <w:bookmarkStart w:id="1053" w:name="_Toc38441879"/>
      <w:bookmarkStart w:id="1054" w:name="_Toc38442211"/>
      <w:bookmarkStart w:id="1055" w:name="_Toc38442543"/>
      <w:bookmarkStart w:id="1056" w:name="_Toc38442874"/>
      <w:bookmarkStart w:id="1057" w:name="_Toc38443205"/>
      <w:bookmarkStart w:id="1058" w:name="_Toc38443536"/>
      <w:bookmarkStart w:id="1059" w:name="_Toc38443867"/>
      <w:bookmarkStart w:id="1060" w:name="_Toc272569725"/>
      <w:bookmarkStart w:id="1061" w:name="_Toc272569876"/>
      <w:bookmarkStart w:id="1062" w:name="_Toc272569117"/>
      <w:bookmarkStart w:id="1063" w:name="_Toc272569269"/>
      <w:bookmarkStart w:id="1064" w:name="_Toc272569453"/>
      <w:bookmarkStart w:id="1065" w:name="_Toc272569590"/>
      <w:bookmarkStart w:id="1066" w:name="_Toc272569726"/>
      <w:bookmarkStart w:id="1067" w:name="_Toc272569877"/>
      <w:bookmarkStart w:id="1068" w:name="_Toc272569118"/>
      <w:bookmarkStart w:id="1069" w:name="_Toc272569270"/>
      <w:bookmarkStart w:id="1070" w:name="_Toc272569454"/>
      <w:bookmarkStart w:id="1071" w:name="_Toc272569591"/>
      <w:bookmarkStart w:id="1072" w:name="_Toc272569727"/>
      <w:bookmarkStart w:id="1073" w:name="_Toc272569878"/>
      <w:bookmarkStart w:id="1074" w:name="_Toc308697714"/>
      <w:bookmarkStart w:id="1075" w:name="_Toc309286236"/>
      <w:bookmarkStart w:id="1076" w:name="_Hlt133147570"/>
      <w:bookmarkStart w:id="1077" w:name="_Hlt133151691"/>
      <w:bookmarkStart w:id="1078" w:name="_Toc308697716"/>
      <w:bookmarkStart w:id="1079" w:name="_Toc309286238"/>
      <w:bookmarkStart w:id="1080" w:name="_Toc38443813"/>
      <w:bookmarkStart w:id="1081" w:name="_Toc38438280"/>
      <w:bookmarkStart w:id="1082" w:name="_Toc38438617"/>
      <w:bookmarkStart w:id="1083" w:name="_Toc38438954"/>
      <w:bookmarkStart w:id="1084" w:name="_Toc38439291"/>
      <w:bookmarkStart w:id="1085" w:name="_Toc38439628"/>
      <w:bookmarkStart w:id="1086" w:name="_Toc38439965"/>
      <w:bookmarkStart w:id="1087" w:name="_Toc38440302"/>
      <w:bookmarkStart w:id="1088" w:name="_Toc38442203"/>
      <w:bookmarkStart w:id="1089" w:name="_Toc38442535"/>
      <w:bookmarkStart w:id="1090" w:name="_Toc38442866"/>
      <w:bookmarkStart w:id="1091" w:name="_Toc38443197"/>
      <w:bookmarkStart w:id="1092" w:name="_Toc38443528"/>
      <w:bookmarkStart w:id="1093" w:name="_Toc38443859"/>
      <w:bookmarkStart w:id="1094" w:name="_Toc38438326"/>
      <w:bookmarkStart w:id="1095" w:name="_Toc38438663"/>
      <w:bookmarkStart w:id="1096" w:name="_Toc38439000"/>
      <w:bookmarkStart w:id="1097" w:name="_Toc38439337"/>
      <w:bookmarkStart w:id="1098" w:name="_Toc38439674"/>
      <w:bookmarkStart w:id="1099" w:name="_Toc38440011"/>
      <w:bookmarkStart w:id="1100" w:name="_Toc38440348"/>
      <w:bookmarkStart w:id="1101" w:name="_Toc38440880"/>
      <w:bookmarkStart w:id="1102" w:name="_Toc38441212"/>
      <w:bookmarkStart w:id="1103" w:name="_Toc38441544"/>
      <w:bookmarkStart w:id="1104" w:name="_Toc38441872"/>
      <w:bookmarkStart w:id="1105" w:name="_Toc38442204"/>
      <w:bookmarkStart w:id="1106" w:name="_Toc38442536"/>
      <w:bookmarkStart w:id="1107" w:name="_Toc38442867"/>
      <w:bookmarkStart w:id="1108" w:name="_Toc38443198"/>
      <w:bookmarkStart w:id="1109" w:name="_Toc38443529"/>
      <w:bookmarkStart w:id="1110" w:name="_Toc38443860"/>
      <w:bookmarkStart w:id="1111" w:name="_Toc38438327"/>
      <w:bookmarkStart w:id="1112" w:name="_Toc38438664"/>
      <w:bookmarkStart w:id="1113" w:name="_Toc38439001"/>
      <w:bookmarkStart w:id="1114" w:name="_Toc38439338"/>
      <w:bookmarkStart w:id="1115" w:name="_Toc38439675"/>
      <w:bookmarkStart w:id="1116" w:name="_Toc38440012"/>
      <w:bookmarkStart w:id="1117" w:name="_Toc38440349"/>
      <w:bookmarkStart w:id="1118" w:name="_Toc38440881"/>
      <w:bookmarkStart w:id="1119" w:name="_Toc38441213"/>
      <w:bookmarkStart w:id="1120" w:name="_Toc38441545"/>
      <w:bookmarkStart w:id="1121" w:name="_Toc38441825"/>
      <w:bookmarkStart w:id="1122" w:name="_Toc38442157"/>
      <w:bookmarkStart w:id="1123" w:name="_Toc38442537"/>
      <w:bookmarkStart w:id="1124" w:name="_Toc38442868"/>
      <w:bookmarkStart w:id="1125" w:name="_Toc38443199"/>
      <w:bookmarkStart w:id="1126" w:name="_Toc38443530"/>
      <w:bookmarkStart w:id="1127" w:name="_Toc38443861"/>
      <w:bookmarkStart w:id="1128" w:name="_Toc38438328"/>
      <w:bookmarkStart w:id="1129" w:name="_Toc38438665"/>
      <w:bookmarkStart w:id="1130" w:name="_Toc38439002"/>
      <w:bookmarkStart w:id="1131" w:name="_Toc38439339"/>
      <w:bookmarkStart w:id="1132" w:name="_Toc38439676"/>
      <w:bookmarkStart w:id="1133" w:name="_Toc38440013"/>
      <w:bookmarkStart w:id="1134" w:name="_Toc38440350"/>
      <w:bookmarkStart w:id="1135" w:name="_Toc38440882"/>
      <w:bookmarkStart w:id="1136" w:name="_Toc38441214"/>
      <w:bookmarkStart w:id="1137" w:name="_Toc38441546"/>
      <w:bookmarkStart w:id="1138" w:name="_Toc38441874"/>
      <w:bookmarkStart w:id="1139" w:name="_Toc38442206"/>
      <w:bookmarkStart w:id="1140" w:name="_Toc38442538"/>
      <w:bookmarkStart w:id="1141" w:name="_Toc38442869"/>
      <w:bookmarkStart w:id="1142" w:name="_Toc38443200"/>
      <w:bookmarkStart w:id="1143" w:name="_Toc38443531"/>
      <w:bookmarkStart w:id="1144" w:name="_Toc38443862"/>
      <w:bookmarkStart w:id="1145" w:name="_Toc38438329"/>
      <w:bookmarkStart w:id="1146" w:name="_Toc38438666"/>
      <w:bookmarkStart w:id="1147" w:name="_Toc38439003"/>
      <w:bookmarkStart w:id="1148" w:name="_Toc38439340"/>
      <w:bookmarkStart w:id="1149" w:name="_Toc38439677"/>
      <w:bookmarkStart w:id="1150" w:name="_Toc38440014"/>
      <w:bookmarkStart w:id="1151" w:name="_Toc38440351"/>
      <w:bookmarkStart w:id="1152" w:name="_Toc38440883"/>
      <w:bookmarkStart w:id="1153" w:name="_Toc38441215"/>
      <w:bookmarkStart w:id="1154" w:name="_Toc272569429"/>
      <w:bookmarkStart w:id="1155" w:name="_Toc272569566"/>
      <w:bookmarkStart w:id="1156" w:name="_Toc38442207"/>
      <w:bookmarkStart w:id="1157" w:name="_Toc38442539"/>
      <w:bookmarkStart w:id="1158" w:name="_Toc38442870"/>
      <w:bookmarkStart w:id="1159" w:name="_Toc38443201"/>
      <w:bookmarkStart w:id="1160" w:name="_Toc38443532"/>
      <w:bookmarkStart w:id="1161" w:name="_Toc38443863"/>
      <w:bookmarkStart w:id="1162" w:name="_Toc38438330"/>
      <w:bookmarkStart w:id="1163" w:name="_Toc38438667"/>
      <w:bookmarkStart w:id="1164" w:name="_Toc38439004"/>
      <w:bookmarkStart w:id="1165" w:name="_Toc38439341"/>
      <w:bookmarkStart w:id="1166" w:name="_Toc38439678"/>
      <w:bookmarkStart w:id="1167" w:name="_Toc38440015"/>
      <w:bookmarkStart w:id="1168" w:name="_Toc38440352"/>
      <w:bookmarkStart w:id="1169" w:name="_Toc38440884"/>
      <w:bookmarkStart w:id="1170" w:name="_Toc38441216"/>
      <w:bookmarkStart w:id="1171" w:name="_Toc38441548"/>
      <w:bookmarkStart w:id="1172" w:name="_Toc38441876"/>
      <w:bookmarkStart w:id="1173" w:name="_Toc38442208"/>
      <w:bookmarkStart w:id="1174" w:name="_Toc38442540"/>
      <w:bookmarkStart w:id="1175" w:name="_Toc38442871"/>
      <w:bookmarkStart w:id="1176" w:name="_Toc38443202"/>
      <w:bookmarkStart w:id="1177" w:name="_Toc38443533"/>
      <w:bookmarkStart w:id="1178" w:name="_Toc38443864"/>
      <w:bookmarkStart w:id="1179" w:name="_Toc38438331"/>
      <w:bookmarkStart w:id="1180" w:name="_Toc38438668"/>
      <w:bookmarkStart w:id="1181" w:name="_Toc38439005"/>
      <w:bookmarkStart w:id="1182" w:name="_Toc38439342"/>
      <w:bookmarkStart w:id="1183" w:name="_Toc38439679"/>
      <w:bookmarkStart w:id="1184" w:name="_Toc38440016"/>
      <w:bookmarkStart w:id="1185" w:name="_Toc38440353"/>
      <w:bookmarkStart w:id="1186" w:name="_Toc38440885"/>
      <w:bookmarkStart w:id="1187" w:name="_Toc272569260"/>
      <w:bookmarkStart w:id="1188" w:name="_Toc272569444"/>
      <w:bookmarkStart w:id="1189" w:name="_Toc38441877"/>
      <w:bookmarkStart w:id="1190" w:name="_Toc38442209"/>
      <w:bookmarkStart w:id="1191" w:name="_Toc38442541"/>
      <w:bookmarkStart w:id="1192" w:name="_Toc38442872"/>
      <w:bookmarkStart w:id="1193" w:name="_Toc38443203"/>
      <w:bookmarkStart w:id="1194" w:name="_Toc38443534"/>
      <w:bookmarkStart w:id="1195" w:name="_Toc38443865"/>
      <w:bookmarkStart w:id="1196" w:name="_Toc38438332"/>
      <w:bookmarkStart w:id="1197" w:name="_Toc38438669"/>
      <w:bookmarkStart w:id="1198" w:name="_Toc38439006"/>
      <w:bookmarkStart w:id="1199" w:name="_Toc38439343"/>
      <w:bookmarkStart w:id="1200" w:name="_Toc38439680"/>
      <w:bookmarkStart w:id="1201" w:name="_Toc38440017"/>
      <w:bookmarkStart w:id="1202" w:name="_Toc38440354"/>
      <w:bookmarkStart w:id="1203" w:name="_Toc38440886"/>
      <w:bookmarkStart w:id="1204" w:name="_Toc38441218"/>
      <w:bookmarkStart w:id="1205" w:name="_Toc38441550"/>
      <w:bookmarkStart w:id="1206" w:name="_Toc38441878"/>
      <w:bookmarkStart w:id="1207" w:name="_Toc38442210"/>
      <w:bookmarkStart w:id="1208" w:name="_Toc38442542"/>
      <w:bookmarkStart w:id="1209" w:name="_Toc38442873"/>
      <w:bookmarkStart w:id="1210" w:name="_Toc38443204"/>
      <w:bookmarkStart w:id="1211" w:name="_Toc38443535"/>
      <w:bookmarkStart w:id="1212" w:name="_Toc38443866"/>
      <w:bookmarkStart w:id="1213" w:name="_Toc38438333"/>
      <w:bookmarkStart w:id="1214" w:name="_Toc38438670"/>
      <w:bookmarkStart w:id="1215" w:name="_Toc38439007"/>
      <w:bookmarkStart w:id="1216" w:name="_Toc38439344"/>
      <w:bookmarkStart w:id="1217" w:name="_Toc38439681"/>
      <w:bookmarkStart w:id="1218" w:name="_Toc38440018"/>
      <w:bookmarkStart w:id="1219" w:name="_Toc38440355"/>
      <w:bookmarkStart w:id="1220" w:name="_Toc38443151"/>
      <w:bookmarkStart w:id="1221" w:name="_Toc38443482"/>
      <w:bookmarkStart w:id="1222" w:name="_Toc38441169"/>
      <w:bookmarkStart w:id="1223" w:name="_Toc38441501"/>
      <w:bookmarkStart w:id="1224" w:name="_Toc38441829"/>
      <w:bookmarkStart w:id="1225" w:name="_Toc38442161"/>
      <w:bookmarkStart w:id="1226" w:name="_Toc38442493"/>
      <w:bookmarkStart w:id="1227" w:name="_Toc38442824"/>
      <w:bookmarkStart w:id="1228" w:name="_Toc38443155"/>
      <w:bookmarkStart w:id="1229" w:name="_Toc38443486"/>
      <w:bookmarkStart w:id="1230" w:name="_Toc38443817"/>
      <w:bookmarkStart w:id="1231" w:name="_Toc38438284"/>
      <w:bookmarkStart w:id="1232" w:name="_Toc38438621"/>
      <w:bookmarkStart w:id="1233" w:name="_Toc38438958"/>
      <w:bookmarkStart w:id="1234" w:name="_Toc38439295"/>
      <w:bookmarkStart w:id="1235" w:name="_Toc38439632"/>
      <w:bookmarkStart w:id="1236" w:name="_Toc38439969"/>
      <w:bookmarkStart w:id="1237" w:name="_Toc38440306"/>
      <w:bookmarkStart w:id="1238" w:name="_Toc38440639"/>
      <w:bookmarkStart w:id="1239" w:name="_Toc38440838"/>
      <w:bookmarkStart w:id="1240" w:name="_Toc38441170"/>
      <w:bookmarkStart w:id="1241" w:name="_Toc38441502"/>
      <w:bookmarkStart w:id="1242" w:name="_Toc38441830"/>
      <w:bookmarkStart w:id="1243" w:name="_Toc38442162"/>
      <w:bookmarkStart w:id="1244" w:name="_Toc38442494"/>
      <w:bookmarkStart w:id="1245" w:name="_Toc38442825"/>
      <w:bookmarkStart w:id="1246" w:name="_Toc38443156"/>
      <w:bookmarkStart w:id="1247" w:name="_Toc38443487"/>
      <w:bookmarkStart w:id="1248" w:name="_Toc38443818"/>
      <w:bookmarkStart w:id="1249" w:name="_Toc38438285"/>
      <w:bookmarkStart w:id="1250" w:name="_Toc38438622"/>
      <w:bookmarkStart w:id="1251" w:name="_Toc38438959"/>
      <w:bookmarkStart w:id="1252" w:name="_Toc38439296"/>
      <w:bookmarkStart w:id="1253" w:name="_Toc38439633"/>
      <w:bookmarkStart w:id="1254" w:name="_Toc38443160"/>
      <w:bookmarkStart w:id="1255" w:name="_Toc38443491"/>
      <w:bookmarkStart w:id="1256" w:name="_Toc38443822"/>
      <w:bookmarkStart w:id="1257" w:name="_Toc38438289"/>
      <w:bookmarkStart w:id="1258" w:name="_Toc38438626"/>
      <w:bookmarkStart w:id="1259" w:name="_Toc38438963"/>
      <w:bookmarkStart w:id="1260" w:name="_Toc38439300"/>
      <w:bookmarkStart w:id="1261" w:name="_Toc38439637"/>
      <w:bookmarkStart w:id="1262" w:name="_Toc38439974"/>
      <w:bookmarkStart w:id="1263" w:name="_Toc38440311"/>
      <w:bookmarkStart w:id="1264" w:name="_Toc38440644"/>
      <w:bookmarkStart w:id="1265" w:name="_Toc38440843"/>
      <w:bookmarkStart w:id="1266" w:name="_Toc38441175"/>
      <w:bookmarkStart w:id="1267" w:name="_Toc38441507"/>
      <w:bookmarkStart w:id="1268" w:name="_Toc38441835"/>
      <w:bookmarkStart w:id="1269" w:name="_Toc38442167"/>
      <w:bookmarkStart w:id="1270" w:name="_Toc38442499"/>
      <w:bookmarkStart w:id="1271" w:name="_Toc38442830"/>
      <w:bookmarkStart w:id="1272" w:name="_Toc38443161"/>
      <w:bookmarkStart w:id="1273" w:name="_Toc38443492"/>
      <w:bookmarkStart w:id="1274" w:name="_Toc38443823"/>
      <w:bookmarkStart w:id="1275" w:name="_Toc38438290"/>
      <w:bookmarkStart w:id="1276" w:name="_Toc38438627"/>
      <w:bookmarkStart w:id="1277" w:name="_Toc38438964"/>
      <w:bookmarkStart w:id="1278" w:name="_Toc38439301"/>
      <w:bookmarkStart w:id="1279" w:name="_Toc38439638"/>
      <w:bookmarkStart w:id="1280" w:name="_Toc38439975"/>
      <w:bookmarkStart w:id="1281" w:name="_Toc38440312"/>
      <w:bookmarkStart w:id="1282" w:name="_Toc38440645"/>
      <w:bookmarkStart w:id="1283" w:name="_Toc38440844"/>
      <w:bookmarkStart w:id="1284" w:name="_Toc38441176"/>
      <w:bookmarkStart w:id="1285" w:name="_Toc38441508"/>
      <w:bookmarkStart w:id="1286" w:name="_Toc38441836"/>
      <w:bookmarkStart w:id="1287" w:name="_Toc38442168"/>
      <w:bookmarkStart w:id="1288" w:name="_Toc38442500"/>
      <w:bookmarkStart w:id="1289" w:name="_Toc38442831"/>
      <w:bookmarkStart w:id="1290" w:name="_Toc38443162"/>
      <w:bookmarkStart w:id="1291" w:name="_Toc38443493"/>
      <w:bookmarkStart w:id="1292" w:name="_Toc38443824"/>
      <w:bookmarkStart w:id="1293" w:name="_Toc38438291"/>
      <w:bookmarkStart w:id="1294" w:name="_Toc38438628"/>
      <w:bookmarkStart w:id="1295" w:name="_Toc38438965"/>
      <w:bookmarkStart w:id="1296" w:name="_Toc38439302"/>
      <w:bookmarkStart w:id="1297" w:name="_Toc38439639"/>
      <w:bookmarkStart w:id="1298" w:name="_Toc38439976"/>
      <w:bookmarkStart w:id="1299" w:name="_Toc38440313"/>
      <w:bookmarkStart w:id="1300" w:name="_Toc38440646"/>
      <w:bookmarkStart w:id="1301" w:name="_Toc38440845"/>
      <w:bookmarkStart w:id="1302" w:name="_Toc38441177"/>
      <w:bookmarkStart w:id="1303" w:name="_Toc38441509"/>
      <w:bookmarkStart w:id="1304" w:name="_Toc38441837"/>
      <w:bookmarkStart w:id="1305" w:name="_Toc38442169"/>
      <w:bookmarkStart w:id="1306" w:name="_Toc38442501"/>
      <w:bookmarkStart w:id="1307" w:name="_Toc38442832"/>
      <w:bookmarkStart w:id="1308" w:name="_Toc38443163"/>
      <w:bookmarkStart w:id="1309" w:name="_Toc38443494"/>
      <w:bookmarkStart w:id="1310" w:name="_Toc38443825"/>
      <w:bookmarkStart w:id="1311" w:name="_Toc38438292"/>
      <w:bookmarkStart w:id="1312" w:name="_Toc38438629"/>
      <w:bookmarkStart w:id="1313" w:name="_Toc38438966"/>
      <w:bookmarkStart w:id="1314" w:name="_Toc38439303"/>
      <w:bookmarkStart w:id="1315" w:name="_Toc38439640"/>
      <w:bookmarkStart w:id="1316" w:name="_Toc38439977"/>
      <w:bookmarkStart w:id="1317" w:name="_Toc38440314"/>
      <w:bookmarkStart w:id="1318" w:name="_Toc38440647"/>
      <w:bookmarkStart w:id="1319" w:name="_Toc38440846"/>
      <w:bookmarkStart w:id="1320" w:name="_Toc38441178"/>
      <w:bookmarkStart w:id="1321" w:name="_Toc38441510"/>
      <w:bookmarkStart w:id="1322" w:name="_Toc38441838"/>
      <w:bookmarkStart w:id="1323" w:name="_Toc38442170"/>
      <w:bookmarkStart w:id="1324" w:name="_Toc38442502"/>
      <w:bookmarkStart w:id="1325" w:name="_Toc38442833"/>
      <w:bookmarkStart w:id="1326" w:name="_Toc38443164"/>
      <w:bookmarkStart w:id="1327" w:name="_Toc38443495"/>
      <w:bookmarkStart w:id="1328" w:name="_Toc38443826"/>
      <w:bookmarkStart w:id="1329" w:name="_Toc38438293"/>
      <w:bookmarkStart w:id="1330" w:name="_Toc38438630"/>
      <w:bookmarkStart w:id="1331" w:name="_Toc38438967"/>
      <w:bookmarkStart w:id="1332" w:name="_Toc38439304"/>
      <w:bookmarkStart w:id="1333" w:name="_Toc38439641"/>
      <w:bookmarkStart w:id="1334" w:name="_Toc38439978"/>
      <w:bookmarkStart w:id="1335" w:name="_Toc38440315"/>
      <w:bookmarkStart w:id="1336" w:name="_Toc38440648"/>
      <w:bookmarkStart w:id="1337" w:name="_Toc38440847"/>
      <w:bookmarkStart w:id="1338" w:name="_Toc38441179"/>
      <w:bookmarkStart w:id="1339" w:name="_Toc38441511"/>
      <w:bookmarkStart w:id="1340" w:name="_Toc38441839"/>
      <w:bookmarkStart w:id="1341" w:name="_Toc38442171"/>
      <w:bookmarkStart w:id="1342" w:name="_Toc38442503"/>
      <w:bookmarkStart w:id="1343" w:name="_Toc38442834"/>
      <w:bookmarkStart w:id="1344" w:name="_Toc38443165"/>
      <w:bookmarkStart w:id="1345" w:name="_Toc38443496"/>
      <w:bookmarkStart w:id="1346" w:name="_Toc38443827"/>
      <w:bookmarkStart w:id="1347" w:name="_Toc38438296"/>
      <w:bookmarkStart w:id="1348" w:name="_Toc38438633"/>
      <w:bookmarkStart w:id="1349" w:name="_Toc38438970"/>
      <w:bookmarkStart w:id="1350" w:name="_Toc38439307"/>
      <w:bookmarkStart w:id="1351" w:name="_Toc38439644"/>
      <w:bookmarkStart w:id="1352" w:name="_Toc38439981"/>
      <w:bookmarkStart w:id="1353" w:name="_Toc38440318"/>
      <w:bookmarkStart w:id="1354" w:name="_Toc38440651"/>
      <w:bookmarkStart w:id="1355" w:name="_Toc38440850"/>
      <w:bookmarkStart w:id="1356" w:name="_Toc38441182"/>
      <w:bookmarkStart w:id="1357" w:name="_Toc38441514"/>
      <w:bookmarkStart w:id="1358" w:name="_Toc38441842"/>
      <w:bookmarkStart w:id="1359" w:name="_Toc38442174"/>
      <w:bookmarkStart w:id="1360" w:name="_Toc38442506"/>
      <w:bookmarkStart w:id="1361" w:name="_Toc38442837"/>
      <w:bookmarkStart w:id="1362" w:name="_Toc38443168"/>
      <w:bookmarkStart w:id="1363" w:name="_Toc38443499"/>
      <w:bookmarkStart w:id="1364" w:name="_Toc38443830"/>
      <w:bookmarkStart w:id="1365" w:name="_Toc38438297"/>
      <w:bookmarkStart w:id="1366" w:name="_Toc38438634"/>
      <w:bookmarkStart w:id="1367" w:name="_Toc38438971"/>
      <w:bookmarkStart w:id="1368" w:name="_Toc38439308"/>
      <w:bookmarkStart w:id="1369" w:name="_Toc38439645"/>
      <w:bookmarkStart w:id="1370" w:name="_Toc38439982"/>
      <w:bookmarkStart w:id="1371" w:name="_Toc38440319"/>
      <w:bookmarkStart w:id="1372" w:name="_Toc38440652"/>
      <w:bookmarkStart w:id="1373" w:name="_Toc38440851"/>
      <w:bookmarkStart w:id="1374" w:name="_Toc38441183"/>
      <w:bookmarkStart w:id="1375" w:name="_Toc38441515"/>
      <w:bookmarkStart w:id="1376" w:name="_Toc38441843"/>
      <w:bookmarkStart w:id="1377" w:name="_Toc38442175"/>
      <w:bookmarkStart w:id="1378" w:name="_Toc38442507"/>
      <w:bookmarkStart w:id="1379" w:name="_Toc38442838"/>
      <w:bookmarkStart w:id="1380" w:name="_Toc38443169"/>
      <w:bookmarkStart w:id="1381" w:name="_Toc38443500"/>
      <w:bookmarkStart w:id="1382" w:name="_Toc38443831"/>
      <w:bookmarkStart w:id="1383" w:name="_Toc38438298"/>
      <w:bookmarkStart w:id="1384" w:name="_Toc38438635"/>
      <w:bookmarkStart w:id="1385" w:name="_Toc38438972"/>
      <w:bookmarkStart w:id="1386" w:name="_Toc38439309"/>
      <w:bookmarkStart w:id="1387" w:name="_Toc38439646"/>
      <w:bookmarkStart w:id="1388" w:name="_Toc38439983"/>
      <w:bookmarkStart w:id="1389" w:name="_Toc38440320"/>
      <w:bookmarkStart w:id="1390" w:name="_Toc38440653"/>
      <w:bookmarkStart w:id="1391" w:name="_Toc38440852"/>
      <w:bookmarkStart w:id="1392" w:name="_Toc38441184"/>
      <w:bookmarkStart w:id="1393" w:name="_Toc38441516"/>
      <w:bookmarkStart w:id="1394" w:name="_Toc38441844"/>
      <w:bookmarkStart w:id="1395" w:name="_Toc38442176"/>
      <w:bookmarkStart w:id="1396" w:name="_Toc38442508"/>
      <w:bookmarkStart w:id="1397" w:name="_Toc38442839"/>
      <w:bookmarkStart w:id="1398" w:name="_Toc38443170"/>
      <w:bookmarkStart w:id="1399" w:name="_Toc38443501"/>
      <w:bookmarkStart w:id="1400" w:name="_Toc38443832"/>
      <w:bookmarkStart w:id="1401" w:name="_Toc38438299"/>
      <w:bookmarkStart w:id="1402" w:name="_Toc38438636"/>
      <w:bookmarkStart w:id="1403" w:name="_Toc38438973"/>
      <w:bookmarkStart w:id="1404" w:name="_Toc38439310"/>
      <w:bookmarkStart w:id="1405" w:name="_Toc38439647"/>
      <w:bookmarkStart w:id="1406" w:name="_Toc38439984"/>
      <w:bookmarkStart w:id="1407" w:name="_Toc38440321"/>
      <w:bookmarkStart w:id="1408" w:name="_Toc38440654"/>
      <w:bookmarkStart w:id="1409" w:name="_Toc38440853"/>
      <w:bookmarkStart w:id="1410" w:name="_Toc38441185"/>
      <w:bookmarkStart w:id="1411" w:name="_Toc38441517"/>
      <w:bookmarkStart w:id="1412" w:name="_Toc38441845"/>
      <w:bookmarkStart w:id="1413" w:name="_Toc38442177"/>
      <w:bookmarkStart w:id="1414" w:name="_Toc38442509"/>
      <w:bookmarkStart w:id="1415" w:name="_Toc38442840"/>
      <w:bookmarkStart w:id="1416" w:name="_Toc38443171"/>
      <w:bookmarkStart w:id="1417" w:name="_Toc38443502"/>
      <w:bookmarkStart w:id="1418" w:name="_Toc38443833"/>
      <w:bookmarkStart w:id="1419" w:name="_Toc38438301"/>
      <w:bookmarkStart w:id="1420" w:name="_Toc38438638"/>
      <w:bookmarkStart w:id="1421" w:name="_Toc38438975"/>
      <w:bookmarkStart w:id="1422" w:name="_Toc38439312"/>
      <w:bookmarkStart w:id="1423" w:name="_Toc38439649"/>
      <w:bookmarkStart w:id="1424" w:name="_Toc38439986"/>
      <w:bookmarkStart w:id="1425" w:name="_Toc38440323"/>
      <w:bookmarkStart w:id="1426" w:name="_Toc38440656"/>
      <w:bookmarkStart w:id="1427" w:name="_Toc38440855"/>
      <w:bookmarkStart w:id="1428" w:name="_Toc38441187"/>
      <w:bookmarkStart w:id="1429" w:name="_Toc38441519"/>
      <w:bookmarkStart w:id="1430" w:name="_Toc38441847"/>
      <w:bookmarkStart w:id="1431" w:name="_Toc38442179"/>
      <w:bookmarkStart w:id="1432" w:name="_Toc38442511"/>
      <w:bookmarkStart w:id="1433" w:name="_Toc38442842"/>
      <w:bookmarkStart w:id="1434" w:name="_Toc38443173"/>
      <w:bookmarkStart w:id="1435" w:name="_Toc38443504"/>
      <w:bookmarkStart w:id="1436" w:name="_Toc38443835"/>
      <w:bookmarkStart w:id="1437" w:name="_Toc38438302"/>
      <w:bookmarkStart w:id="1438" w:name="_Toc38438639"/>
      <w:bookmarkStart w:id="1439" w:name="_Toc38438976"/>
      <w:bookmarkStart w:id="1440" w:name="_Toc38439313"/>
      <w:bookmarkStart w:id="1441" w:name="_Toc38439650"/>
      <w:bookmarkStart w:id="1442" w:name="_Toc38439987"/>
      <w:bookmarkStart w:id="1443" w:name="_Toc38440324"/>
      <w:bookmarkStart w:id="1444" w:name="_Toc38440657"/>
      <w:bookmarkStart w:id="1445" w:name="_Toc38440856"/>
      <w:bookmarkStart w:id="1446" w:name="_Toc38441188"/>
      <w:bookmarkStart w:id="1447" w:name="_Toc38441520"/>
      <w:bookmarkStart w:id="1448" w:name="_Toc38441848"/>
      <w:bookmarkStart w:id="1449" w:name="_Toc38442180"/>
      <w:bookmarkStart w:id="1450" w:name="_Toc38442512"/>
      <w:bookmarkStart w:id="1451" w:name="_Toc38442843"/>
      <w:bookmarkStart w:id="1452" w:name="_Toc38443174"/>
      <w:bookmarkStart w:id="1453" w:name="_Toc38443505"/>
      <w:bookmarkStart w:id="1454" w:name="_Toc38443836"/>
      <w:bookmarkStart w:id="1455" w:name="_Toc38438303"/>
      <w:bookmarkStart w:id="1456" w:name="_Toc38438640"/>
      <w:bookmarkStart w:id="1457" w:name="_Toc38438977"/>
      <w:bookmarkStart w:id="1458" w:name="_Toc38439314"/>
      <w:bookmarkStart w:id="1459" w:name="_Toc38439651"/>
      <w:bookmarkStart w:id="1460" w:name="_Toc38439988"/>
      <w:bookmarkStart w:id="1461" w:name="_Toc38440325"/>
      <w:bookmarkStart w:id="1462" w:name="_Toc38440658"/>
      <w:bookmarkStart w:id="1463" w:name="_Toc38440857"/>
      <w:bookmarkStart w:id="1464" w:name="_Toc38441189"/>
      <w:bookmarkStart w:id="1465" w:name="_Toc38441521"/>
      <w:bookmarkStart w:id="1466" w:name="_Toc38441849"/>
      <w:bookmarkStart w:id="1467" w:name="_Toc38442181"/>
      <w:bookmarkStart w:id="1468" w:name="_Toc38442513"/>
      <w:bookmarkStart w:id="1469" w:name="_Toc38442844"/>
      <w:bookmarkStart w:id="1470" w:name="_Toc38443175"/>
      <w:bookmarkStart w:id="1471" w:name="_Toc38443506"/>
      <w:bookmarkStart w:id="1472" w:name="_Toc38443837"/>
      <w:bookmarkStart w:id="1473" w:name="_Toc38438304"/>
      <w:bookmarkStart w:id="1474" w:name="_Toc38438641"/>
      <w:bookmarkStart w:id="1475" w:name="_Toc38438978"/>
      <w:bookmarkStart w:id="1476" w:name="_Toc38439315"/>
      <w:bookmarkStart w:id="1477" w:name="_Toc38439652"/>
      <w:bookmarkStart w:id="1478" w:name="_Toc38439989"/>
      <w:bookmarkStart w:id="1479" w:name="_Toc38440326"/>
      <w:bookmarkStart w:id="1480" w:name="_Toc38440659"/>
      <w:bookmarkStart w:id="1481" w:name="_Toc38440858"/>
      <w:bookmarkStart w:id="1482" w:name="_Toc38441190"/>
      <w:bookmarkStart w:id="1483" w:name="_Toc38441522"/>
      <w:bookmarkStart w:id="1484" w:name="_Toc38441850"/>
      <w:bookmarkStart w:id="1485" w:name="_Toc38442182"/>
      <w:bookmarkStart w:id="1486" w:name="_Toc38442514"/>
      <w:bookmarkStart w:id="1487" w:name="_Toc38442845"/>
      <w:bookmarkStart w:id="1488" w:name="_Toc38443176"/>
      <w:bookmarkStart w:id="1489" w:name="_Toc38443507"/>
      <w:bookmarkStart w:id="1490" w:name="_Toc38443838"/>
      <w:bookmarkStart w:id="1491" w:name="_Toc38438305"/>
      <w:bookmarkStart w:id="1492" w:name="_Toc38438642"/>
      <w:bookmarkStart w:id="1493" w:name="_Toc38438979"/>
      <w:bookmarkStart w:id="1494" w:name="_Toc38439316"/>
      <w:bookmarkStart w:id="1495" w:name="_Toc38439653"/>
      <w:bookmarkStart w:id="1496" w:name="_Toc38439990"/>
      <w:bookmarkStart w:id="1497" w:name="_Toc38440327"/>
      <w:bookmarkStart w:id="1498" w:name="_Toc38440660"/>
      <w:bookmarkStart w:id="1499" w:name="_Toc38440859"/>
      <w:bookmarkStart w:id="1500" w:name="_Toc38441191"/>
      <w:bookmarkStart w:id="1501" w:name="_Toc38441523"/>
      <w:bookmarkStart w:id="1502" w:name="_Toc38441851"/>
      <w:bookmarkStart w:id="1503" w:name="_Toc38442183"/>
      <w:bookmarkStart w:id="1504" w:name="_Toc38442515"/>
      <w:bookmarkStart w:id="1505" w:name="_Toc38442846"/>
      <w:bookmarkStart w:id="1506" w:name="_Toc38443177"/>
      <w:bookmarkStart w:id="1507" w:name="_Toc38443508"/>
      <w:bookmarkStart w:id="1508" w:name="_Toc38443839"/>
      <w:bookmarkStart w:id="1509" w:name="_Toc38438306"/>
      <w:bookmarkStart w:id="1510" w:name="_Toc38438643"/>
      <w:bookmarkStart w:id="1511" w:name="_Toc38438980"/>
      <w:bookmarkStart w:id="1512" w:name="_Toc38439317"/>
      <w:bookmarkStart w:id="1513" w:name="_Toc38439654"/>
      <w:bookmarkStart w:id="1514" w:name="_Toc38439991"/>
      <w:bookmarkStart w:id="1515" w:name="_Toc38440328"/>
      <w:bookmarkStart w:id="1516" w:name="_Toc38440661"/>
      <w:bookmarkStart w:id="1517" w:name="_Toc38440860"/>
      <w:bookmarkStart w:id="1518" w:name="_Toc38441192"/>
      <w:bookmarkStart w:id="1519" w:name="_Toc38441524"/>
      <w:bookmarkStart w:id="1520" w:name="_Toc38441852"/>
      <w:bookmarkStart w:id="1521" w:name="_Toc38442184"/>
      <w:bookmarkStart w:id="1522" w:name="_Toc38442516"/>
      <w:bookmarkStart w:id="1523" w:name="_Toc38442847"/>
      <w:bookmarkStart w:id="1524" w:name="_Toc38443178"/>
      <w:bookmarkStart w:id="1525" w:name="_Toc38443509"/>
      <w:bookmarkStart w:id="1526" w:name="_Toc38443840"/>
      <w:bookmarkStart w:id="1527" w:name="_Toc38438310"/>
      <w:bookmarkStart w:id="1528" w:name="_Toc38438647"/>
      <w:bookmarkStart w:id="1529" w:name="_Toc38438984"/>
      <w:bookmarkStart w:id="1530" w:name="_Toc38439321"/>
      <w:bookmarkStart w:id="1531" w:name="_Toc38439658"/>
      <w:bookmarkStart w:id="1532" w:name="_Toc38439995"/>
      <w:bookmarkStart w:id="1533" w:name="_Toc38440332"/>
      <w:bookmarkStart w:id="1534" w:name="_Toc38440665"/>
      <w:bookmarkStart w:id="1535" w:name="_Toc38440864"/>
      <w:bookmarkStart w:id="1536" w:name="_Toc38441196"/>
      <w:bookmarkStart w:id="1537" w:name="_Toc38441528"/>
      <w:bookmarkStart w:id="1538" w:name="_Toc38441856"/>
      <w:bookmarkStart w:id="1539" w:name="_Toc38442188"/>
      <w:bookmarkStart w:id="1540" w:name="_Toc38442520"/>
      <w:bookmarkStart w:id="1541" w:name="_Toc38442851"/>
      <w:bookmarkStart w:id="1542" w:name="_Toc38443182"/>
      <w:bookmarkStart w:id="1543" w:name="_Toc38443513"/>
      <w:bookmarkStart w:id="1544" w:name="_Toc38443844"/>
      <w:bookmarkStart w:id="1545" w:name="_Toc38438311"/>
      <w:bookmarkStart w:id="1546" w:name="_Toc38438648"/>
      <w:bookmarkStart w:id="1547" w:name="_Toc38438985"/>
      <w:bookmarkStart w:id="1548" w:name="_Toc38439322"/>
      <w:bookmarkStart w:id="1549" w:name="_Toc38439659"/>
      <w:bookmarkStart w:id="1550" w:name="_Toc38439996"/>
      <w:bookmarkStart w:id="1551" w:name="_Toc38440333"/>
      <w:bookmarkStart w:id="1552" w:name="_Toc38440666"/>
      <w:bookmarkStart w:id="1553" w:name="_Toc38440865"/>
      <w:bookmarkStart w:id="1554" w:name="_Toc38441197"/>
      <w:bookmarkStart w:id="1555" w:name="_Toc38441529"/>
      <w:bookmarkStart w:id="1556" w:name="_Toc38441857"/>
      <w:bookmarkStart w:id="1557" w:name="_Toc38442189"/>
      <w:bookmarkStart w:id="1558" w:name="_Toc38442521"/>
      <w:bookmarkStart w:id="1559" w:name="_Toc38442852"/>
      <w:bookmarkStart w:id="1560" w:name="_Toc38443183"/>
      <w:bookmarkStart w:id="1561" w:name="_Toc38443514"/>
      <w:bookmarkStart w:id="1562" w:name="_Toc38443845"/>
      <w:bookmarkStart w:id="1563" w:name="_Toc38438312"/>
      <w:bookmarkStart w:id="1564" w:name="_Toc38438649"/>
      <w:bookmarkStart w:id="1565" w:name="_Toc38438986"/>
      <w:bookmarkStart w:id="1566" w:name="_Toc38439323"/>
      <w:bookmarkStart w:id="1567" w:name="_Toc38439660"/>
      <w:bookmarkStart w:id="1568" w:name="_Toc38439997"/>
      <w:bookmarkStart w:id="1569" w:name="_Toc38440334"/>
      <w:bookmarkStart w:id="1570" w:name="_Toc38440667"/>
      <w:bookmarkStart w:id="1571" w:name="_Toc38440866"/>
      <w:bookmarkStart w:id="1572" w:name="_Toc38441198"/>
      <w:bookmarkStart w:id="1573" w:name="_Toc38441530"/>
      <w:bookmarkStart w:id="1574" w:name="_Toc38441858"/>
      <w:bookmarkStart w:id="1575" w:name="_Toc38442190"/>
      <w:bookmarkStart w:id="1576" w:name="_Toc38442522"/>
      <w:bookmarkStart w:id="1577" w:name="_Toc38442853"/>
      <w:bookmarkStart w:id="1578" w:name="_Toc38443184"/>
      <w:bookmarkStart w:id="1579" w:name="_Toc38443515"/>
      <w:bookmarkStart w:id="1580" w:name="_Toc38443846"/>
      <w:bookmarkStart w:id="1581" w:name="_Toc38438313"/>
      <w:bookmarkStart w:id="1582" w:name="_Toc38438650"/>
      <w:bookmarkStart w:id="1583" w:name="_Toc38438987"/>
      <w:bookmarkStart w:id="1584" w:name="_Toc38439324"/>
      <w:bookmarkStart w:id="1585" w:name="_Toc38439661"/>
      <w:bookmarkStart w:id="1586" w:name="_Toc38439998"/>
      <w:bookmarkStart w:id="1587" w:name="_Toc38440335"/>
      <w:bookmarkStart w:id="1588" w:name="_Toc38440668"/>
      <w:bookmarkStart w:id="1589" w:name="_Toc38440867"/>
      <w:bookmarkStart w:id="1590" w:name="_Toc38441199"/>
      <w:bookmarkStart w:id="1591" w:name="_Toc38441531"/>
      <w:bookmarkStart w:id="1592" w:name="_Toc38441859"/>
      <w:bookmarkStart w:id="1593" w:name="_Toc38442191"/>
      <w:bookmarkStart w:id="1594" w:name="_Toc38442523"/>
      <w:bookmarkStart w:id="1595" w:name="_Toc38442854"/>
      <w:bookmarkStart w:id="1596" w:name="_Toc38443185"/>
      <w:bookmarkStart w:id="1597" w:name="_Toc38443516"/>
      <w:bookmarkStart w:id="1598" w:name="_Toc38443847"/>
      <w:bookmarkStart w:id="1599" w:name="_Toc38438314"/>
      <w:bookmarkStart w:id="1600" w:name="_Toc38438651"/>
      <w:bookmarkStart w:id="1601" w:name="_Toc38438988"/>
      <w:bookmarkStart w:id="1602" w:name="_Toc38439325"/>
      <w:bookmarkStart w:id="1603" w:name="_Toc38439662"/>
      <w:bookmarkStart w:id="1604" w:name="_Toc38439999"/>
      <w:bookmarkStart w:id="1605" w:name="_Toc38440336"/>
      <w:bookmarkStart w:id="1606" w:name="_Toc38440669"/>
      <w:bookmarkStart w:id="1607" w:name="_Toc38440868"/>
      <w:bookmarkStart w:id="1608" w:name="_Toc38441200"/>
      <w:bookmarkStart w:id="1609" w:name="_Toc38441532"/>
      <w:bookmarkStart w:id="1610" w:name="_Toc38441860"/>
      <w:bookmarkStart w:id="1611" w:name="_Toc38442192"/>
      <w:bookmarkStart w:id="1612" w:name="_Toc38442524"/>
      <w:bookmarkStart w:id="1613" w:name="_Toc38442855"/>
      <w:bookmarkStart w:id="1614" w:name="_Toc38443186"/>
      <w:bookmarkStart w:id="1615" w:name="_Toc38443517"/>
      <w:bookmarkStart w:id="1616" w:name="_Toc38443848"/>
      <w:bookmarkStart w:id="1617" w:name="_Toc38438315"/>
      <w:bookmarkStart w:id="1618" w:name="_Toc38438652"/>
      <w:bookmarkStart w:id="1619" w:name="_Toc38438989"/>
      <w:bookmarkStart w:id="1620" w:name="_Toc38439326"/>
      <w:bookmarkStart w:id="1621" w:name="_Toc38439663"/>
      <w:bookmarkStart w:id="1622" w:name="_Toc38440000"/>
      <w:bookmarkStart w:id="1623" w:name="_Toc38440337"/>
      <w:bookmarkStart w:id="1624" w:name="_Toc38440670"/>
      <w:bookmarkStart w:id="1625" w:name="_Toc38440869"/>
      <w:bookmarkStart w:id="1626" w:name="_Toc38441201"/>
      <w:bookmarkStart w:id="1627" w:name="_Toc38441533"/>
      <w:bookmarkStart w:id="1628" w:name="_Toc38441861"/>
      <w:bookmarkStart w:id="1629" w:name="_Toc38442193"/>
      <w:bookmarkStart w:id="1630" w:name="_Toc38442525"/>
      <w:bookmarkStart w:id="1631" w:name="_Toc38442856"/>
      <w:bookmarkStart w:id="1632" w:name="_Toc38443187"/>
      <w:bookmarkStart w:id="1633" w:name="_Toc38443518"/>
      <w:bookmarkStart w:id="1634" w:name="_Toc38443849"/>
      <w:bookmarkStart w:id="1635" w:name="_Toc38438316"/>
      <w:bookmarkStart w:id="1636" w:name="_Toc38438653"/>
      <w:bookmarkStart w:id="1637" w:name="_Toc38438990"/>
      <w:bookmarkStart w:id="1638" w:name="_Toc38439327"/>
      <w:bookmarkStart w:id="1639" w:name="_Toc38439664"/>
      <w:bookmarkStart w:id="1640" w:name="_Toc38440001"/>
      <w:bookmarkStart w:id="1641" w:name="_Toc38440338"/>
      <w:bookmarkStart w:id="1642" w:name="_Toc38440671"/>
      <w:bookmarkStart w:id="1643" w:name="_Toc38440870"/>
      <w:bookmarkStart w:id="1644" w:name="_Toc38441202"/>
      <w:bookmarkStart w:id="1645" w:name="_Toc38441534"/>
      <w:bookmarkStart w:id="1646" w:name="_Toc38441862"/>
      <w:bookmarkStart w:id="1647" w:name="_Toc38442194"/>
      <w:bookmarkStart w:id="1648" w:name="_Toc38442526"/>
      <w:bookmarkStart w:id="1649" w:name="_Toc38442857"/>
      <w:bookmarkStart w:id="1650" w:name="_Toc38443188"/>
      <w:bookmarkStart w:id="1651" w:name="_Toc38443519"/>
      <w:bookmarkStart w:id="1652" w:name="_Toc38443850"/>
      <w:bookmarkStart w:id="1653" w:name="_Toc38438317"/>
      <w:bookmarkStart w:id="1654" w:name="_Toc38438654"/>
      <w:bookmarkStart w:id="1655" w:name="_Toc38438991"/>
      <w:bookmarkStart w:id="1656" w:name="_Toc38439328"/>
      <w:bookmarkStart w:id="1657" w:name="_Toc38439665"/>
      <w:bookmarkStart w:id="1658" w:name="_Toc38440002"/>
      <w:bookmarkStart w:id="1659" w:name="_Toc38440339"/>
      <w:bookmarkStart w:id="1660" w:name="_Toc38440672"/>
      <w:bookmarkStart w:id="1661" w:name="_Toc38440871"/>
      <w:bookmarkStart w:id="1662" w:name="_Toc38441203"/>
      <w:bookmarkStart w:id="1663" w:name="_Toc38441535"/>
      <w:bookmarkStart w:id="1664" w:name="_Toc38441863"/>
      <w:bookmarkStart w:id="1665" w:name="_Toc38442195"/>
      <w:bookmarkStart w:id="1666" w:name="_Toc38442527"/>
      <w:bookmarkStart w:id="1667" w:name="_Toc38442858"/>
      <w:bookmarkStart w:id="1668" w:name="_Toc38443189"/>
      <w:bookmarkStart w:id="1669" w:name="_Toc38443520"/>
      <w:bookmarkStart w:id="1670" w:name="_Toc38443851"/>
      <w:bookmarkStart w:id="1671" w:name="_Toc38438318"/>
      <w:bookmarkStart w:id="1672" w:name="_Toc38438655"/>
      <w:bookmarkStart w:id="1673" w:name="_Toc38438992"/>
      <w:bookmarkStart w:id="1674" w:name="_Toc38439329"/>
      <w:bookmarkStart w:id="1675" w:name="_Toc38439666"/>
      <w:bookmarkStart w:id="1676" w:name="_Toc38440003"/>
      <w:bookmarkStart w:id="1677" w:name="_Toc38440340"/>
      <w:bookmarkStart w:id="1678" w:name="_Toc38440673"/>
      <w:bookmarkStart w:id="1679" w:name="_Toc38440872"/>
      <w:bookmarkStart w:id="1680" w:name="_Toc38441204"/>
      <w:bookmarkStart w:id="1681" w:name="_Toc38441536"/>
      <w:bookmarkStart w:id="1682" w:name="_Toc38441864"/>
      <w:bookmarkStart w:id="1683" w:name="_Toc38442196"/>
      <w:bookmarkStart w:id="1684" w:name="_Toc38442528"/>
      <w:bookmarkStart w:id="1685" w:name="_Toc38442859"/>
      <w:bookmarkStart w:id="1686" w:name="_Toc38443190"/>
      <w:bookmarkStart w:id="1687" w:name="_Toc38443521"/>
      <w:bookmarkStart w:id="1688" w:name="_Toc38443852"/>
      <w:bookmarkStart w:id="1689" w:name="_Toc38438319"/>
      <w:bookmarkStart w:id="1690" w:name="_Toc38438656"/>
      <w:bookmarkStart w:id="1691" w:name="_Toc38438993"/>
      <w:bookmarkStart w:id="1692" w:name="_Toc38439330"/>
      <w:bookmarkStart w:id="1693" w:name="_Toc38439667"/>
      <w:bookmarkStart w:id="1694" w:name="_Toc38440004"/>
      <w:bookmarkStart w:id="1695" w:name="_Toc38440341"/>
      <w:bookmarkStart w:id="1696" w:name="_Toc38440674"/>
      <w:bookmarkStart w:id="1697" w:name="_Toc38440873"/>
      <w:bookmarkStart w:id="1698" w:name="_Toc38441205"/>
      <w:bookmarkStart w:id="1699" w:name="_Toc38441537"/>
      <w:bookmarkStart w:id="1700" w:name="_Toc38441865"/>
      <w:bookmarkStart w:id="1701" w:name="_Toc38442197"/>
      <w:bookmarkStart w:id="1702" w:name="_Toc38442529"/>
      <w:bookmarkStart w:id="1703" w:name="_Toc38442860"/>
      <w:bookmarkStart w:id="1704" w:name="_Toc38443191"/>
      <w:bookmarkStart w:id="1705" w:name="_Toc38443522"/>
      <w:bookmarkStart w:id="1706" w:name="_Toc38443853"/>
      <w:bookmarkStart w:id="1707" w:name="_Toc38438320"/>
      <w:bookmarkStart w:id="1708" w:name="_Toc38438657"/>
      <w:bookmarkStart w:id="1709" w:name="_Toc38438994"/>
      <w:bookmarkStart w:id="1710" w:name="_Toc38439331"/>
      <w:bookmarkStart w:id="1711" w:name="_Toc38439668"/>
      <w:bookmarkStart w:id="1712" w:name="_Toc38440005"/>
      <w:bookmarkStart w:id="1713" w:name="_Toc38440342"/>
      <w:bookmarkStart w:id="1714" w:name="_Toc38440675"/>
      <w:bookmarkStart w:id="1715" w:name="_Toc38440874"/>
      <w:bookmarkStart w:id="1716" w:name="_Toc38441206"/>
      <w:bookmarkStart w:id="1717" w:name="_Toc38441538"/>
      <w:bookmarkStart w:id="1718" w:name="_Toc38441866"/>
      <w:bookmarkStart w:id="1719" w:name="_Toc38442198"/>
      <w:bookmarkStart w:id="1720" w:name="_Toc38442530"/>
      <w:bookmarkStart w:id="1721" w:name="_Toc38442861"/>
      <w:bookmarkStart w:id="1722" w:name="_Toc38443192"/>
      <w:bookmarkStart w:id="1723" w:name="_Toc38443523"/>
      <w:bookmarkStart w:id="1724" w:name="_Toc38443854"/>
      <w:bookmarkStart w:id="1725" w:name="_Toc38438321"/>
      <w:bookmarkStart w:id="1726" w:name="_Toc38438658"/>
      <w:bookmarkStart w:id="1727" w:name="_Toc38438995"/>
      <w:bookmarkStart w:id="1728" w:name="_Toc38439332"/>
      <w:bookmarkStart w:id="1729" w:name="_Toc38439669"/>
      <w:bookmarkStart w:id="1730" w:name="_Toc38440006"/>
      <w:bookmarkStart w:id="1731" w:name="_Toc38440343"/>
      <w:bookmarkStart w:id="1732" w:name="_Toc38440676"/>
      <w:bookmarkStart w:id="1733" w:name="_Toc38440875"/>
      <w:bookmarkStart w:id="1734" w:name="_Toc38441207"/>
      <w:bookmarkStart w:id="1735" w:name="_Toc38441539"/>
      <w:bookmarkStart w:id="1736" w:name="_Toc38441867"/>
      <w:bookmarkStart w:id="1737" w:name="_Toc38442199"/>
      <w:bookmarkStart w:id="1738" w:name="_Toc38442531"/>
      <w:bookmarkStart w:id="1739" w:name="_Toc38442862"/>
      <w:bookmarkStart w:id="1740" w:name="_Toc38443193"/>
      <w:bookmarkStart w:id="1741" w:name="_Toc38443524"/>
      <w:bookmarkStart w:id="1742" w:name="_Toc38443855"/>
      <w:bookmarkStart w:id="1743" w:name="_Toc38438322"/>
      <w:bookmarkStart w:id="1744" w:name="_Toc38438659"/>
      <w:bookmarkStart w:id="1745" w:name="_Toc38438996"/>
      <w:bookmarkStart w:id="1746" w:name="_Toc38439333"/>
      <w:bookmarkStart w:id="1747" w:name="_Toc38439670"/>
      <w:bookmarkStart w:id="1748" w:name="_Toc38440007"/>
      <w:bookmarkStart w:id="1749" w:name="_Toc38440344"/>
      <w:bookmarkStart w:id="1750" w:name="_Toc38440677"/>
      <w:bookmarkStart w:id="1751" w:name="_Toc38440876"/>
      <w:bookmarkStart w:id="1752" w:name="_Toc38441208"/>
      <w:bookmarkStart w:id="1753" w:name="_Toc38441540"/>
      <w:bookmarkStart w:id="1754" w:name="_Toc38441868"/>
      <w:bookmarkStart w:id="1755" w:name="_Toc38442200"/>
      <w:bookmarkStart w:id="1756" w:name="_Toc38442532"/>
      <w:bookmarkStart w:id="1757" w:name="_Toc38442863"/>
      <w:bookmarkStart w:id="1758" w:name="_Toc38443194"/>
      <w:bookmarkStart w:id="1759" w:name="_Toc38443525"/>
      <w:bookmarkStart w:id="1760" w:name="_Toc38443856"/>
      <w:bookmarkStart w:id="1761" w:name="_Toc38438323"/>
      <w:bookmarkStart w:id="1762" w:name="_Toc38438660"/>
      <w:bookmarkStart w:id="1763" w:name="_Toc38438997"/>
      <w:bookmarkStart w:id="1764" w:name="_Toc38439334"/>
      <w:bookmarkStart w:id="1765" w:name="_Toc38439671"/>
      <w:bookmarkStart w:id="1766" w:name="_Toc38440008"/>
      <w:bookmarkStart w:id="1767" w:name="_Toc38440345"/>
      <w:bookmarkStart w:id="1768" w:name="_Toc38440678"/>
      <w:bookmarkStart w:id="1769" w:name="_Toc38440877"/>
      <w:bookmarkStart w:id="1770" w:name="_Toc38441209"/>
      <w:bookmarkStart w:id="1771" w:name="_Toc38441541"/>
      <w:bookmarkStart w:id="1772" w:name="_Toc38441869"/>
      <w:bookmarkStart w:id="1773" w:name="_Toc38442201"/>
      <w:bookmarkStart w:id="1774" w:name="_Toc38442533"/>
      <w:bookmarkEnd w:id="1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rsidR="00257FC2">
      <w:pPr>
        <w:pStyle w:val="Heading1"/>
        <w:spacing w:before="317" w:after="317" w:line="360" w:lineRule="auto"/>
        <w:ind w:firstLine="643"/>
        <w:rPr>
          <w:rFonts w:ascii="宋体" w:eastAsia="宋体" w:hAnsi="Calibri" w:cs="宋体"/>
          <w:sz w:val="30"/>
          <w:szCs w:val="30"/>
          <w:lang w:eastAsia="zh-CN"/>
        </w:rPr>
      </w:pPr>
      <w:r>
        <w:rPr>
          <w:rFonts w:ascii="宋体" w:eastAsia="宋体" w:hAnsi="Calibri" w:cs="宋体"/>
          <w:b/>
          <w:bCs/>
          <w:i/>
          <w:highlight w:val="white"/>
          <w:lang w:eastAsia="zh-CN"/>
        </w:rPr>
        <w:br w:type="column"/>
      </w:r>
      <w:bookmarkStart w:id="1775" w:name="_Toc332373471"/>
      <w:bookmarkStart w:id="1776" w:name="_Toc129511526"/>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四部分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基金托管人</w:t>
      </w:r>
      <w:bookmarkEnd w:id="1775"/>
      <w:bookmarkEnd w:id="1776"/>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一、基金托管人基本情况</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（一）基金托管人概况</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公司法定中文名称：交通银行股份有限公司（简称：交通银行）</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公司法定英文名称：Bank of Communications Co., Ltd.</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法定代表人：任德奇</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 xml:space="preserve">住    所：中国（上海）自由贸易试验区银城中路188号 </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办公地址：上海市长宁区仙霞路18号</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邮政编码：200336</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注册时间：1987年3月30日</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注册资本：883.64亿元</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基金托管资格批文及文号：中国证监会证监基字[1998]25号</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联系人：方圆</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电  话：95559</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交通银行始建于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交通银行连续17年跻身《财富》(FORTUNE)世界500强，营业收入排名第168位；列《银行家》(The Banker)杂志全球千家大银行一级资本排名第9位。</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截至2025年12月31日，交通银行资产总额为人民币15.55万亿元。2025年交通银行实现净利润（归属于母公司股东）人民币956.22亿元。</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交通银行总行设资产托管部/资产托管业务发展中心（下文简称“托管部/托管发展中心”）。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（二）主要人员情况</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任德奇先生，董事长、执行董事，高级经济师。</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任先生2020年1月起任</w:t>
      </w:r>
      <w:r>
        <w:rPr>
          <w:rFonts w:ascii="宋体" w:hAnsi="Calibri" w:cs="宋体" w:hint="eastAsia"/>
          <w:szCs w:val="21"/>
          <w:lang w:eastAsia="zh-CN"/>
        </w:rPr>
        <w:t>交通银行</w:t>
      </w:r>
      <w:r w:rsidRPr="001A33BC">
        <w:rPr>
          <w:rFonts w:ascii="宋体" w:hAnsi="Calibri" w:cs="宋体" w:hint="eastAsia"/>
          <w:szCs w:val="21"/>
          <w:lang w:eastAsia="zh-CN"/>
        </w:rPr>
        <w:t>董事长，2018年8月起任</w:t>
      </w:r>
      <w:r>
        <w:rPr>
          <w:rFonts w:ascii="宋体" w:hAnsi="Calibri" w:cs="宋体" w:hint="eastAsia"/>
          <w:szCs w:val="21"/>
          <w:lang w:eastAsia="zh-CN"/>
        </w:rPr>
        <w:t>交通银行</w:t>
      </w:r>
      <w:r w:rsidRPr="001A33BC">
        <w:rPr>
          <w:rFonts w:ascii="宋体" w:hAnsi="Calibri" w:cs="宋体" w:hint="eastAsia"/>
          <w:szCs w:val="21"/>
          <w:lang w:eastAsia="zh-CN"/>
        </w:rPr>
        <w:t>执行董事。曾任</w:t>
      </w:r>
      <w:r>
        <w:rPr>
          <w:rFonts w:ascii="宋体" w:hAnsi="Calibri" w:cs="宋体" w:hint="eastAsia"/>
          <w:szCs w:val="21"/>
          <w:lang w:eastAsia="zh-CN"/>
        </w:rPr>
        <w:t>交通银行</w:t>
      </w:r>
      <w:r w:rsidRPr="001A33BC">
        <w:rPr>
          <w:rFonts w:ascii="宋体" w:hAnsi="Calibri" w:cs="宋体" w:hint="eastAsia"/>
          <w:szCs w:val="21"/>
          <w:lang w:eastAsia="zh-CN"/>
        </w:rPr>
        <w:t>副董事长、执行董事、行长。曾任中国银行执行董事、副行长，期间曾兼任中银香港（控股）有限公司非执行董事，中国银行上海人民币交易业务总部总裁。曾任中国建设银行信贷审批部副总经理、风险监控部总经理、授信管理部总经理、湖北省分行行长、风险管理部总经理。任先生1988年于清华大学获工学硕士学位。</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张宝江先生，副董事长、执行董事、行长，高级经济师。</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张先生2024年8月起任</w:t>
      </w:r>
      <w:r>
        <w:rPr>
          <w:rFonts w:ascii="宋体" w:hAnsi="Calibri" w:cs="宋体" w:hint="eastAsia"/>
          <w:szCs w:val="21"/>
          <w:lang w:eastAsia="zh-CN"/>
        </w:rPr>
        <w:t>交通银行</w:t>
      </w:r>
      <w:r w:rsidRPr="001A33BC">
        <w:rPr>
          <w:rFonts w:ascii="宋体" w:hAnsi="Calibri" w:cs="宋体" w:hint="eastAsia"/>
          <w:szCs w:val="21"/>
          <w:lang w:eastAsia="zh-CN"/>
        </w:rPr>
        <w:t>副董事长、执行董事，2024年6月起任</w:t>
      </w:r>
      <w:r>
        <w:rPr>
          <w:rFonts w:ascii="宋体" w:hAnsi="Calibri" w:cs="宋体" w:hint="eastAsia"/>
          <w:szCs w:val="21"/>
          <w:lang w:eastAsia="zh-CN"/>
        </w:rPr>
        <w:t>交通银行</w:t>
      </w:r>
      <w:r w:rsidRPr="001A33BC">
        <w:rPr>
          <w:rFonts w:ascii="宋体" w:hAnsi="Calibri" w:cs="宋体" w:hint="eastAsia"/>
          <w:szCs w:val="21"/>
          <w:lang w:eastAsia="zh-CN"/>
        </w:rPr>
        <w:t>行长；曾任中国农业发展银行副行长，安徽省分行行长，总行办公室主任，陕西省分行副行长，总行政策研究室副主任（主持工作）、办公室副主任、研究室副主任等职务。张先生1998年于中央党校研究生院获经济学硕士学位，2004年于中央党校研究生院获经济学博士学位。</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孟羽先生，资产托管部/资产托管业务发展中心总经理。</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孟先生2025年9月起任</w:t>
      </w:r>
      <w:r>
        <w:rPr>
          <w:rFonts w:ascii="宋体" w:hAnsi="Calibri" w:cs="宋体" w:hint="eastAsia"/>
          <w:szCs w:val="21"/>
          <w:lang w:eastAsia="zh-CN"/>
        </w:rPr>
        <w:t>交通银行</w:t>
      </w:r>
      <w:r w:rsidRPr="001A33BC">
        <w:rPr>
          <w:rFonts w:ascii="宋体" w:hAnsi="Calibri" w:cs="宋体" w:hint="eastAsia"/>
          <w:szCs w:val="21"/>
          <w:lang w:eastAsia="zh-CN"/>
        </w:rPr>
        <w:t>资产托管部/资产托管业务发展中心总经理。曾任</w:t>
      </w:r>
      <w:r>
        <w:rPr>
          <w:rFonts w:ascii="宋体" w:hAnsi="Calibri" w:cs="宋体" w:hint="eastAsia"/>
          <w:szCs w:val="21"/>
          <w:lang w:eastAsia="zh-CN"/>
        </w:rPr>
        <w:t>交通银行</w:t>
      </w:r>
      <w:r w:rsidRPr="001A33BC">
        <w:rPr>
          <w:rFonts w:ascii="宋体" w:hAnsi="Calibri" w:cs="宋体" w:hint="eastAsia"/>
          <w:szCs w:val="21"/>
          <w:lang w:eastAsia="zh-CN"/>
        </w:rPr>
        <w:t>香港分行行政总裁，交通银行（香港）有限公司副董事长、执行董事、行政总裁，交银国际控股有限公司执行董事、首席执行官，广东省分行副行长，营业部副总经理，深圳分行国际业务部高级经理。曾在中国工商银行十堰分行工作。孟先生1999年于复旦大学获工商管理硕士学位。</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（三）基金托管业务经营情况</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截至2025年12月31日，交通银行共托管证券投资基金911只。此外，交通银行还托管了基金公司特定客户资产管理计划、证券公司客户资产管理计划、理财产品、信托计划、私募投资基金、保险资金、全国社保基金、基本养老保险基金、划转国有资本充实社保基金、养老保障管理产品、企业年金基金、职业年金基金、企业年金养老金产品、商业养老金产品、期货公司资产管理计划、QFI证券投资资产、QDII证券投资资产、RQDII证券投资资产、QDIE、QDLP和QFLP、债券“南向通”等产品。</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二、基金托管人的内部控制制度</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（一）内部控制目标</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交通银行严格遵守国家法律法规、行业规章及行内相关管理规定，加强内部管理，托管部/托管发展中心业务制度健全并确保贯彻执行各项规章，通过对各种风险的识别、评估、控制及缓释，有效地实现对各项业务的风险管控，确保业务稳健运行，保护基金持有人的合法权益。</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（二）内部控制原则</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1</w:t>
      </w:r>
      <w:r>
        <w:rPr>
          <w:rFonts w:ascii="宋体" w:hAnsi="Calibri" w:cs="宋体" w:hint="eastAsia"/>
          <w:szCs w:val="21"/>
          <w:lang w:eastAsia="zh-CN"/>
        </w:rPr>
        <w:t>、</w:t>
      </w:r>
      <w:r w:rsidRPr="001A33BC">
        <w:rPr>
          <w:rFonts w:ascii="宋体" w:hAnsi="Calibri" w:cs="宋体" w:hint="eastAsia"/>
          <w:szCs w:val="21"/>
          <w:lang w:eastAsia="zh-CN"/>
        </w:rPr>
        <w:t>合法性原则：托管部/托管发展中心制定的各项制度符合国家法律法规及监管机构的监管要求，并贯穿于托管业务经营管理活动始终。</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2</w:t>
      </w:r>
      <w:r>
        <w:rPr>
          <w:rFonts w:ascii="宋体" w:hAnsi="Calibri" w:cs="宋体" w:hint="eastAsia"/>
          <w:szCs w:val="21"/>
          <w:lang w:eastAsia="zh-CN"/>
        </w:rPr>
        <w:t>、</w:t>
      </w:r>
      <w:r w:rsidRPr="001A33BC">
        <w:rPr>
          <w:rFonts w:ascii="宋体" w:hAnsi="Calibri" w:cs="宋体" w:hint="eastAsia"/>
          <w:szCs w:val="21"/>
          <w:lang w:eastAsia="zh-CN"/>
        </w:rPr>
        <w:t>全面性原则：托管部/托管发展中心建立各二级部自我监控和风险合规部风险管控的内部控制机制，覆盖各项业务、各个部门和各级人员，并渗透到决策、执行、监督、反馈等各个经营环节，建立全面的风险管理监督机制。</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3</w:t>
      </w:r>
      <w:r>
        <w:rPr>
          <w:rFonts w:ascii="宋体" w:hAnsi="Calibri" w:cs="宋体" w:hint="eastAsia"/>
          <w:szCs w:val="21"/>
          <w:lang w:eastAsia="zh-CN"/>
        </w:rPr>
        <w:t>、</w:t>
      </w:r>
      <w:r w:rsidRPr="001A33BC">
        <w:rPr>
          <w:rFonts w:ascii="宋体" w:hAnsi="Calibri" w:cs="宋体" w:hint="eastAsia"/>
          <w:szCs w:val="21"/>
          <w:lang w:eastAsia="zh-CN"/>
        </w:rPr>
        <w:t>独立性原则：托管部/托管发展中心独立负责受托基金资产的保管，保证基金资产与交通银行的自有资产相互独立，对不同的受托基金资产分别设置账户，独立核算，分账管理。</w:t>
      </w:r>
    </w:p>
    <w:p w:rsidR="001A33BC" w:rsidRPr="001A33BC" w:rsidP="001A33BC">
      <w:pPr>
        <w:spacing w:line="360" w:lineRule="auto"/>
        <w:ind w:firstLine="420"/>
        <w:rPr>
          <w:rFonts w:ascii="宋体" w:hAnsi="Calibri" w:cs="宋体"/>
          <w:szCs w:val="21"/>
          <w:lang w:eastAsia="zh-CN"/>
        </w:rPr>
      </w:pPr>
      <w:r>
        <w:rPr>
          <w:rFonts w:ascii="宋体" w:hAnsi="Calibri" w:cs="宋体" w:hint="eastAsia"/>
          <w:szCs w:val="21"/>
          <w:lang w:eastAsia="zh-CN"/>
        </w:rPr>
        <w:t>4、</w:t>
      </w:r>
      <w:r w:rsidRPr="001A33BC">
        <w:rPr>
          <w:rFonts w:ascii="宋体" w:hAnsi="Calibri" w:cs="宋体" w:hint="eastAsia"/>
          <w:szCs w:val="21"/>
          <w:lang w:eastAsia="zh-CN"/>
        </w:rPr>
        <w:t>制衡性原则：托管部/托管发展中心贯彻适当授权、相互制约的原则，从组织架构的设置上确保各二级部和各岗位权责分明、相互制约，并通过有效的相互制衡措施消除内部控制中的盲点。</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5</w:t>
      </w:r>
      <w:r>
        <w:rPr>
          <w:rFonts w:ascii="宋体" w:hAnsi="Calibri" w:cs="宋体" w:hint="eastAsia"/>
          <w:szCs w:val="21"/>
          <w:lang w:eastAsia="zh-CN"/>
        </w:rPr>
        <w:t>、</w:t>
      </w:r>
      <w:r w:rsidRPr="001A33BC">
        <w:rPr>
          <w:rFonts w:ascii="宋体" w:hAnsi="Calibri" w:cs="宋体" w:hint="eastAsia"/>
          <w:szCs w:val="21"/>
          <w:lang w:eastAsia="zh-CN"/>
        </w:rPr>
        <w:t>有效性原则：托管部/托管发展中心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6</w:t>
      </w:r>
      <w:r>
        <w:rPr>
          <w:rFonts w:ascii="宋体" w:hAnsi="Calibri" w:cs="宋体" w:hint="eastAsia"/>
          <w:szCs w:val="21"/>
          <w:lang w:eastAsia="zh-CN"/>
        </w:rPr>
        <w:t>、</w:t>
      </w:r>
      <w:r w:rsidRPr="001A33BC">
        <w:rPr>
          <w:rFonts w:ascii="宋体" w:hAnsi="Calibri" w:cs="宋体" w:hint="eastAsia"/>
          <w:szCs w:val="21"/>
          <w:lang w:eastAsia="zh-CN"/>
        </w:rPr>
        <w:t>效益性原则：托管部/托管发展中心内部控制与基金托管规模、业务范围和业务运作环节的风险控制要求相适应，尽量降低经营运作成本，以合理的控制成本实现最佳的内部控制目标。</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（三）内部控制制度及措施</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 xml:space="preserve">根据《证券投资基金法》、《中华人民共和国商业银行法》、《商业银行资产托管业务指引》、《商业银行托管业务监督管理办法（试行）》等法律法规，托管部/托管发展中心制定了一整套严密、完整的证券投资基金托管管理规章制度，确保基金托管业务运行的规范、安全、高效，包括《交通银行资产托管业务管理办法》、《交通银行资产托管业务风险管理办法》、《交通银行资产托管业务商业秘密管理规定》、《交通银行资产托管业务从业人员行为规范》、《交通银行资产托管业务运营档案管理办法》等，并根据市场变化和基金业务的发展不断加以完善。做到业务分工科学合理，技术系统管理规范，业务管理制度健全，核心作业区实行封闭管理，落实各项安全隔离措施，相关信息披露由专人负责。 </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托管部/托管发展中心通过对基金托管业务各环节的事前揭示、事中控制和事后检查措施实现全流程、全链条的风险管理，聘请会计师事务所对基金托管业务运行进行国际标准的内部控制评审。</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三、基金托管人对基金管理人运作基金进行监督的方法和程序</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规性进行监督和核查。</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交通银行作为基金托管人，发现基金管理人有违反《证券投资基金法》、《公开募集证券投资基金运作管理办法》等有关证券法规和《基金合同》的行为，及时通知基金管理人予以纠正，基金管理人收到通知后及时确认并进行调整。交通银行有权对通知事项进行复查，督促基金管理人改正。基金管理人对交通银行通知的违规事项未能及时纠正的，交通银行按规定报告中国证监会。</w:t>
      </w:r>
    </w:p>
    <w:p w:rsidR="001A33BC" w:rsidRPr="001A33BC" w:rsidP="001A33BC">
      <w:pPr>
        <w:spacing w:line="360" w:lineRule="auto"/>
        <w:ind w:firstLine="420"/>
        <w:rPr>
          <w:rFonts w:ascii="宋体" w:hAnsi="Calibri" w:cs="宋体"/>
          <w:szCs w:val="21"/>
          <w:lang w:eastAsia="zh-CN"/>
        </w:rPr>
      </w:pPr>
      <w:r w:rsidRPr="001A33BC">
        <w:rPr>
          <w:rFonts w:ascii="宋体" w:hAnsi="Calibri" w:cs="宋体" w:hint="eastAsia"/>
          <w:szCs w:val="21"/>
          <w:lang w:eastAsia="zh-CN"/>
        </w:rPr>
        <w:t>交通银行作为基金托管人，发现基金管理人有重大违规行为，按规定报告中国证监会，同时通知基金管理人限期纠正。</w:t>
      </w:r>
    </w:p>
    <w:p w:rsidR="00257FC2">
      <w:pPr>
        <w:pStyle w:val="111"/>
        <w:spacing w:before="317" w:after="317" w:line="360" w:lineRule="auto"/>
        <w:ind w:firstLine="640"/>
        <w:rPr>
          <w:rFonts w:ascii="宋体" w:eastAsia="宋体" w:hAnsi="Calibri" w:cs="宋体"/>
          <w:sz w:val="30"/>
          <w:szCs w:val="30"/>
          <w:lang w:eastAsia="zh-CN"/>
        </w:rPr>
      </w:pPr>
      <w:bookmarkStart w:id="1777" w:name="_Toc332373481"/>
      <w:bookmarkStart w:id="1778" w:name="_Toc129511527"/>
      <w:r>
        <w:rPr>
          <w:rFonts w:ascii="宋体" w:eastAsia="宋体" w:hAnsi="Calibri" w:cs="宋体" w:hint="eastAsia"/>
          <w:sz w:val="30"/>
          <w:szCs w:val="30"/>
          <w:highlight w:val="white"/>
          <w:lang w:eastAsia="zh-CN"/>
        </w:rPr>
        <w:t>第五部分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相关服务机构</w:t>
      </w:r>
      <w:bookmarkEnd w:id="1777"/>
      <w:bookmarkEnd w:id="1778"/>
    </w:p>
    <w:p w:rsidR="00257FC2">
      <w:pPr>
        <w:spacing w:line="360" w:lineRule="auto"/>
        <w:ind w:firstLine="420"/>
        <w:rPr>
          <w:rStyle w:val="da"/>
          <w:rFonts w:ascii="宋体" w:hAnsi="Calibri" w:cs="宋体"/>
          <w:szCs w:val="21"/>
          <w:lang w:eastAsia="zh-CN"/>
        </w:rPr>
      </w:pPr>
      <w:bookmarkStart w:id="1779" w:name="_Toc332373482"/>
      <w:r>
        <w:rPr>
          <w:rStyle w:val="da"/>
          <w:rFonts w:ascii="宋体" w:hAnsi="Calibri" w:cs="宋体" w:hint="eastAsia"/>
          <w:szCs w:val="21"/>
          <w:highlight w:val="white"/>
          <w:lang w:eastAsia="zh-CN"/>
        </w:rPr>
        <w:t>一、基金份额发售机构</w:t>
      </w:r>
      <w:bookmarkEnd w:id="1779"/>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1、直销机构：易方达基金管理有限公司</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注册地址：</w:t>
      </w:r>
      <w:r>
        <w:rPr>
          <w:rFonts w:ascii="宋体" w:hAnsi="Calibri" w:cs="宋体"/>
          <w:color w:val="000000"/>
          <w:szCs w:val="21"/>
          <w:highlight w:val="white"/>
          <w:lang w:eastAsia="zh-CN"/>
        </w:rPr>
        <w:t>广东省珠海市横琴新区荣粤道188号6层</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办公地址：广东省广州市天河区珠江西路21号52层；广东省广州市天河区珠江东路30号42层；广东省珠海市横琴新区荣粤道188号6层</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法定代表人：吴欣荣</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电话：020-85102506</w:t>
      </w:r>
    </w:p>
    <w:p w:rsidR="00257FC2">
      <w:pPr>
        <w:spacing w:line="360" w:lineRule="auto"/>
        <w:ind w:firstLine="420"/>
        <w:rPr>
          <w:rStyle w:val="da"/>
          <w:rFonts w:ascii="宋体" w:hAnsi="Calibri" w:cs="宋体"/>
          <w:szCs w:val="21"/>
        </w:rPr>
      </w:pPr>
      <w:r>
        <w:rPr>
          <w:rStyle w:val="da"/>
          <w:rFonts w:ascii="宋体" w:hAnsi="Calibri" w:cs="宋体" w:hint="eastAsia"/>
          <w:szCs w:val="21"/>
          <w:highlight w:val="white"/>
        </w:rPr>
        <w:t>传真：4008818099</w:t>
      </w:r>
    </w:p>
    <w:p w:rsidR="00257FC2">
      <w:pPr>
        <w:spacing w:line="360" w:lineRule="auto"/>
        <w:ind w:firstLine="420"/>
        <w:rPr>
          <w:rStyle w:val="da"/>
          <w:rFonts w:ascii="宋体" w:hAnsi="Calibri" w:cs="宋体"/>
          <w:szCs w:val="21"/>
        </w:rPr>
      </w:pPr>
      <w:r>
        <w:rPr>
          <w:rStyle w:val="da"/>
          <w:rFonts w:ascii="宋体" w:hAnsi="Calibri" w:cs="宋体" w:hint="eastAsia"/>
          <w:szCs w:val="21"/>
          <w:highlight w:val="white"/>
        </w:rPr>
        <w:t>联系人：梁美</w:t>
      </w:r>
    </w:p>
    <w:p w:rsidR="00257FC2">
      <w:pPr>
        <w:spacing w:line="360" w:lineRule="auto"/>
        <w:ind w:firstLine="420"/>
        <w:rPr>
          <w:rStyle w:val="da"/>
          <w:rFonts w:ascii="宋体" w:hAnsi="Calibri" w:cs="宋体"/>
          <w:szCs w:val="21"/>
        </w:rPr>
      </w:pPr>
      <w:r>
        <w:rPr>
          <w:rStyle w:val="da"/>
          <w:rFonts w:ascii="宋体" w:hAnsi="Calibri" w:cs="宋体" w:hint="eastAsia"/>
          <w:szCs w:val="21"/>
          <w:highlight w:val="white"/>
        </w:rPr>
        <w:t>网址：</w:t>
      </w:r>
      <w:hyperlink r:id="rId15" w:history="1">
        <w:r>
          <w:rPr>
            <w:rStyle w:val="da"/>
            <w:rFonts w:ascii="宋体" w:hAnsi="Calibri" w:cs="宋体" w:hint="eastAsia"/>
            <w:szCs w:val="21"/>
            <w:highlight w:val="white"/>
          </w:rPr>
          <w:t>www.efunds.com.cn</w:t>
        </w:r>
      </w:hyperlink>
    </w:p>
    <w:p w:rsidR="00257FC2">
      <w:pPr>
        <w:spacing w:line="360" w:lineRule="auto"/>
        <w:ind w:firstLine="420"/>
        <w:rPr>
          <w:rFonts w:ascii="宋体" w:hAnsi="Calibri"/>
          <w:szCs w:val="21"/>
          <w:lang w:eastAsia="zh-CN"/>
        </w:rPr>
      </w:pPr>
      <w:r>
        <w:rPr>
          <w:rFonts w:ascii="宋体" w:hAnsi="Calibri" w:cs="宋体"/>
          <w:color w:val="000000"/>
          <w:szCs w:val="21"/>
          <w:highlight w:val="white"/>
          <w:lang w:eastAsia="zh-CN"/>
        </w:rPr>
        <w:t>直销机构网点信息：</w:t>
      </w:r>
    </w:p>
    <w:p w:rsidR="00257FC2">
      <w:pPr>
        <w:spacing w:line="360" w:lineRule="auto"/>
        <w:ind w:firstLine="420"/>
        <w:rPr>
          <w:rFonts w:ascii="宋体" w:hAnsi="Calibri"/>
          <w:szCs w:val="21"/>
          <w:lang w:eastAsia="zh-CN"/>
        </w:rPr>
      </w:pPr>
      <w:r>
        <w:rPr>
          <w:rFonts w:ascii="宋体" w:hAnsi="Calibri" w:cs="宋体"/>
          <w:color w:val="000000"/>
          <w:szCs w:val="21"/>
          <w:highlight w:val="white"/>
          <w:lang w:eastAsia="zh-CN"/>
        </w:rPr>
        <w:t>本公司直销中心和网上直销系统销售本基金</w:t>
      </w:r>
      <w:r>
        <w:rPr>
          <w:rFonts w:ascii="宋体" w:hAnsi="Calibri" w:cs="宋体" w:hint="eastAsia"/>
          <w:color w:val="000000"/>
          <w:szCs w:val="21"/>
          <w:highlight w:val="white"/>
          <w:lang w:eastAsia="zh-CN"/>
        </w:rPr>
        <w:t>A类基金份额，若后续销售本基金C类基金份额，将另行公告</w:t>
      </w:r>
      <w:r>
        <w:rPr>
          <w:rFonts w:ascii="宋体" w:hAnsi="Calibri" w:cs="宋体"/>
          <w:color w:val="000000"/>
          <w:szCs w:val="21"/>
          <w:highlight w:val="white"/>
          <w:lang w:eastAsia="zh-CN"/>
        </w:rPr>
        <w:t>，网点具体信息详见本公司网站。</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2、非直销销售机构</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详见基金份额发售公告。</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基金管理人可根据情况变更或增减销售机构并在基金管理人网站公示。</w:t>
      </w:r>
    </w:p>
    <w:p w:rsidR="00257FC2">
      <w:pPr>
        <w:spacing w:line="360" w:lineRule="auto"/>
        <w:ind w:firstLine="420"/>
        <w:rPr>
          <w:rStyle w:val="da"/>
          <w:rFonts w:ascii="宋体" w:hAnsi="Calibri" w:cs="宋体"/>
          <w:szCs w:val="21"/>
          <w:lang w:eastAsia="zh-CN"/>
        </w:rPr>
      </w:pPr>
      <w:bookmarkStart w:id="1780" w:name="_Toc332373483"/>
      <w:r>
        <w:rPr>
          <w:rStyle w:val="da"/>
          <w:rFonts w:ascii="宋体" w:hAnsi="Calibri" w:cs="宋体" w:hint="eastAsia"/>
          <w:szCs w:val="21"/>
          <w:highlight w:val="white"/>
          <w:lang w:eastAsia="zh-CN"/>
        </w:rPr>
        <w:t>二、</w:t>
      </w:r>
      <w:bookmarkEnd w:id="1780"/>
      <w:r>
        <w:rPr>
          <w:rStyle w:val="da"/>
          <w:rFonts w:ascii="宋体" w:hAnsi="Calibri" w:cs="宋体" w:hint="eastAsia"/>
          <w:szCs w:val="21"/>
          <w:highlight w:val="white"/>
          <w:lang w:eastAsia="zh-CN"/>
        </w:rPr>
        <w:t>登记机构</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名称：易方达基金管理有限公司</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注册地址：</w:t>
      </w:r>
      <w:r>
        <w:rPr>
          <w:rFonts w:ascii="宋体" w:hAnsi="Calibri" w:cs="宋体"/>
          <w:color w:val="000000"/>
          <w:szCs w:val="21"/>
          <w:highlight w:val="white"/>
          <w:lang w:eastAsia="zh-CN"/>
        </w:rPr>
        <w:t>广东省珠海市横琴新区荣粤道188号6层</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办公</w:t>
      </w:r>
      <w:r>
        <w:rPr>
          <w:rStyle w:val="da"/>
          <w:rFonts w:ascii="宋体" w:hAnsi="Calibri" w:cs="宋体" w:hint="eastAsia"/>
          <w:szCs w:val="21"/>
          <w:highlight w:val="white"/>
          <w:lang w:eastAsia="zh-CN"/>
        </w:rPr>
        <w:t>地址：广东省广州市天河区珠江西路21号52层；广东省广州市天河区珠江东路30号42层；广东省珠海市横琴新区荣粤道188号6层</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法定代表人：吴欣荣</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电话：4008818088</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020</w:t>
      </w:r>
      <w:r>
        <w:rPr>
          <w:rStyle w:val="da"/>
          <w:rFonts w:ascii="宋体" w:hAnsi="Calibri" w:cs="宋体" w:hint="eastAsia"/>
          <w:szCs w:val="21"/>
          <w:highlight w:val="white"/>
          <w:lang w:eastAsia="zh-CN"/>
        </w:rPr>
        <w:t>-38799249</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联系人：余贤高</w:t>
      </w:r>
    </w:p>
    <w:p w:rsidR="00257FC2">
      <w:pPr>
        <w:spacing w:line="360" w:lineRule="auto"/>
        <w:ind w:firstLine="420"/>
        <w:rPr>
          <w:rStyle w:val="da"/>
          <w:rFonts w:ascii="宋体" w:hAnsi="Calibri" w:cs="宋体"/>
          <w:szCs w:val="21"/>
          <w:lang w:eastAsia="zh-CN"/>
        </w:rPr>
      </w:pPr>
      <w:bookmarkStart w:id="1781" w:name="_Toc332373484"/>
      <w:r>
        <w:rPr>
          <w:rStyle w:val="da"/>
          <w:rFonts w:ascii="宋体" w:hAnsi="Calibri" w:cs="宋体" w:hint="eastAsia"/>
          <w:szCs w:val="21"/>
          <w:highlight w:val="white"/>
          <w:lang w:eastAsia="zh-CN"/>
        </w:rPr>
        <w:t>三、律师事务所和经办律师</w:t>
      </w:r>
      <w:bookmarkEnd w:id="1781"/>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律师事务所：广东金桥百信律师事务所</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住所：广东省广州市天河区珠江东路16号24-26层</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办公地址：广州市珠江新城珠江东路16号高德置地冬广场G座26楼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负责人：</w:t>
      </w:r>
      <w:r>
        <w:rPr>
          <w:rStyle w:val="da"/>
          <w:rFonts w:ascii="宋体" w:hAnsi="Calibri" w:hint="eastAsia"/>
          <w:highlight w:val="white"/>
          <w:lang w:eastAsia="zh-CN"/>
        </w:rPr>
        <w:t>莫哲</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w:t>
      </w:r>
      <w:r>
        <w:rPr>
          <w:rStyle w:val="da"/>
          <w:rFonts w:ascii="宋体" w:hAnsi="Calibri" w:cs="宋体"/>
          <w:szCs w:val="21"/>
          <w:highlight w:val="white"/>
          <w:lang w:eastAsia="zh-CN"/>
        </w:rPr>
        <w:t>020-83338668</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020-83338088</w:t>
      </w:r>
    </w:p>
    <w:p w:rsidR="00257FC2">
      <w:pPr>
        <w:spacing w:line="360" w:lineRule="auto"/>
        <w:ind w:firstLine="420"/>
        <w:rPr>
          <w:rStyle w:val="da"/>
          <w:rFonts w:ascii="宋体" w:hAnsi="Calibri"/>
          <w:lang w:eastAsia="zh-CN"/>
        </w:rPr>
      </w:pPr>
      <w:r>
        <w:rPr>
          <w:rStyle w:val="da"/>
          <w:rFonts w:ascii="宋体" w:hAnsi="Calibri" w:hint="eastAsia"/>
          <w:highlight w:val="white"/>
          <w:lang w:eastAsia="zh-CN"/>
        </w:rPr>
        <w:t>经办律师：郭东雪、</w:t>
      </w:r>
      <w:r>
        <w:rPr>
          <w:rStyle w:val="da"/>
          <w:rFonts w:ascii="宋体" w:hAnsi="Calibri" w:hint="eastAsia"/>
          <w:highlight w:val="white"/>
          <w:lang w:eastAsia="zh-CN"/>
        </w:rPr>
        <w:t>谭俊辉</w:t>
      </w:r>
    </w:p>
    <w:p w:rsidR="00257FC2">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联系人：李海滢</w:t>
      </w:r>
      <w:bookmarkStart w:id="1782" w:name="_Toc332373485"/>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四、会计师事务所</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本基金的法定验资机构为</w:t>
      </w:r>
      <w:r>
        <w:rPr>
          <w:rStyle w:val="da"/>
          <w:rFonts w:ascii="宋体" w:hAnsi="Calibri" w:cs="Calibri" w:hint="eastAsia"/>
          <w:szCs w:val="21"/>
          <w:highlight w:val="white"/>
          <w:lang w:eastAsia="zh-CN"/>
        </w:rPr>
        <w:t>德勤华永</w:t>
      </w:r>
      <w:r>
        <w:rPr>
          <w:rStyle w:val="da"/>
          <w:rFonts w:ascii="宋体" w:hAnsi="Calibri" w:cs="宋体" w:hint="eastAsia"/>
          <w:szCs w:val="21"/>
          <w:highlight w:val="white"/>
          <w:lang w:eastAsia="zh-CN"/>
        </w:rPr>
        <w:t>会计师事务所（特殊普通合伙）。</w:t>
      </w:r>
    </w:p>
    <w:p w:rsidR="001C56CC" w:rsidP="001C56C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会计师事务所：德勤华永会计师事务所（特殊普通合伙）</w:t>
      </w:r>
    </w:p>
    <w:p w:rsidR="001C56CC" w:rsidP="001C56C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住所：中国上海市延安东路</w:t>
      </w:r>
      <w:r>
        <w:rPr>
          <w:rStyle w:val="da"/>
          <w:rFonts w:ascii="宋体" w:hAnsi="Calibri" w:cs="Calibri"/>
          <w:szCs w:val="21"/>
          <w:highlight w:val="white"/>
          <w:lang w:eastAsia="zh-CN"/>
        </w:rPr>
        <w:t>222号外滩中心30楼</w:t>
      </w:r>
    </w:p>
    <w:p w:rsidR="001C56CC" w:rsidP="001C56C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主要经营场所：中国上海市延安东路</w:t>
      </w:r>
      <w:r>
        <w:rPr>
          <w:rStyle w:val="da"/>
          <w:rFonts w:ascii="宋体" w:hAnsi="Calibri" w:cs="Calibri"/>
          <w:szCs w:val="21"/>
          <w:highlight w:val="white"/>
          <w:lang w:eastAsia="zh-CN"/>
        </w:rPr>
        <w:t>222号外滩中心30楼</w:t>
      </w:r>
    </w:p>
    <w:p w:rsidR="001C56CC" w:rsidP="001C56C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执行事务合伙人：唐恋炯</w:t>
      </w:r>
    </w:p>
    <w:p w:rsidR="001C56CC" w:rsidP="001C56C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电话：</w:t>
      </w:r>
      <w:r>
        <w:rPr>
          <w:rStyle w:val="da"/>
          <w:rFonts w:ascii="宋体" w:hAnsi="Calibri" w:cs="Calibri"/>
          <w:szCs w:val="21"/>
          <w:highlight w:val="white"/>
          <w:lang w:eastAsia="zh-CN"/>
        </w:rPr>
        <w:t>021-61418888</w:t>
      </w:r>
    </w:p>
    <w:p w:rsidR="001C56CC" w:rsidP="001C56C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传真：</w:t>
      </w:r>
      <w:r>
        <w:rPr>
          <w:rStyle w:val="da"/>
          <w:rFonts w:ascii="宋体" w:hAnsi="Calibri" w:cs="Calibri"/>
          <w:szCs w:val="21"/>
          <w:highlight w:val="white"/>
          <w:lang w:eastAsia="zh-CN"/>
        </w:rPr>
        <w:t>021-63350003</w:t>
      </w:r>
    </w:p>
    <w:p w:rsidR="001C56CC" w:rsidRPr="001C56CC">
      <w:pPr>
        <w:spacing w:line="360" w:lineRule="auto"/>
        <w:ind w:firstLine="420"/>
        <w:rPr>
          <w:rStyle w:val="da"/>
          <w:rFonts w:ascii="宋体" w:hAnsi="Calibri" w:cs="宋体"/>
          <w:szCs w:val="21"/>
          <w:lang w:eastAsia="zh-CN"/>
        </w:rPr>
      </w:pPr>
      <w:r>
        <w:rPr>
          <w:rStyle w:val="da"/>
          <w:rFonts w:ascii="宋体" w:hAnsi="Calibri" w:cs="Calibri" w:hint="eastAsia"/>
          <w:szCs w:val="21"/>
          <w:highlight w:val="white"/>
          <w:lang w:eastAsia="zh-CN"/>
        </w:rPr>
        <w:t>联系人：江丽雅</w:t>
      </w:r>
    </w:p>
    <w:p w:rsidR="001C56CC" w:rsidRPr="001C56CC">
      <w:pPr>
        <w:spacing w:line="360" w:lineRule="auto"/>
        <w:ind w:firstLine="420" w:firstLineChars="200"/>
        <w:rPr>
          <w:rStyle w:val="da"/>
          <w:rFonts w:ascii="宋体" w:hAnsi="Calibri" w:cs="宋体"/>
          <w:szCs w:val="21"/>
          <w:lang w:eastAsia="zh-CN"/>
        </w:rPr>
      </w:pPr>
      <w:r>
        <w:rPr>
          <w:rStyle w:val="da"/>
          <w:rFonts w:hAnsi="Calibri" w:hint="eastAsia"/>
          <w:szCs w:val="21"/>
          <w:highlight w:val="white"/>
          <w:lang w:eastAsia="zh-CN"/>
        </w:rPr>
        <w:t>本基金的年度财务报表及其他规定事项的审计机构为</w:t>
      </w:r>
      <w:r>
        <w:rPr>
          <w:rStyle w:val="da"/>
          <w:rFonts w:ascii="宋体" w:hAnsi="Calibri" w:cs="宋体" w:hint="eastAsia"/>
          <w:szCs w:val="21"/>
          <w:highlight w:val="white"/>
          <w:lang w:eastAsia="zh-CN"/>
        </w:rPr>
        <w:t>安永华明</w:t>
      </w:r>
      <w:r>
        <w:rPr>
          <w:rStyle w:val="da"/>
          <w:rFonts w:ascii="宋体" w:hAnsi="宋体" w:cs="宋体" w:hint="eastAsia"/>
          <w:szCs w:val="21"/>
          <w:highlight w:val="white"/>
          <w:lang w:eastAsia="zh-CN"/>
        </w:rPr>
        <w:t>会计师事务所（特殊普通合伙）</w:t>
      </w:r>
      <w:r>
        <w:rPr>
          <w:rStyle w:val="da"/>
          <w:rFonts w:hAnsi="Calibri" w:hint="eastAsia"/>
          <w:szCs w:val="21"/>
          <w:highlight w:val="white"/>
          <w:lang w:eastAsia="zh-CN"/>
        </w:rPr>
        <w:t>。</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会计师事务所：安永华明会计师事务所（特殊普通合伙）</w:t>
      </w:r>
      <w:r>
        <w:rPr>
          <w:rStyle w:val="da"/>
          <w:rFonts w:ascii="宋体" w:hAnsi="Calibri" w:cs="宋体"/>
          <w:szCs w:val="21"/>
          <w:highlight w:val="white"/>
          <w:lang w:eastAsia="zh-CN"/>
        </w:rPr>
        <w:t xml:space="preserve"> </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住所：北京市东城区东长安街1号东方广场安永大楼17层01-12室</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主要经营场所：北京市东城区东长安街</w:t>
      </w:r>
      <w:r>
        <w:rPr>
          <w:rStyle w:val="da"/>
          <w:rFonts w:ascii="宋体" w:hAnsi="Calibri" w:cs="宋体"/>
          <w:szCs w:val="21"/>
          <w:highlight w:val="white"/>
          <w:lang w:eastAsia="zh-CN"/>
        </w:rPr>
        <w:t>1</w:t>
      </w:r>
      <w:r>
        <w:rPr>
          <w:rStyle w:val="da"/>
          <w:rFonts w:ascii="宋体" w:hAnsi="Calibri" w:cs="宋体" w:hint="eastAsia"/>
          <w:szCs w:val="21"/>
          <w:highlight w:val="white"/>
          <w:lang w:eastAsia="zh-CN"/>
        </w:rPr>
        <w:t>号东方广场安永大楼</w:t>
      </w:r>
      <w:r>
        <w:rPr>
          <w:rStyle w:val="da"/>
          <w:rFonts w:ascii="宋体" w:hAnsi="Calibri" w:cs="宋体"/>
          <w:szCs w:val="21"/>
          <w:highlight w:val="white"/>
          <w:lang w:eastAsia="zh-CN"/>
        </w:rPr>
        <w:t>17</w:t>
      </w:r>
      <w:r>
        <w:rPr>
          <w:rStyle w:val="da"/>
          <w:rFonts w:ascii="宋体" w:hAnsi="Calibri" w:cs="宋体" w:hint="eastAsia"/>
          <w:szCs w:val="21"/>
          <w:highlight w:val="white"/>
          <w:lang w:eastAsia="zh-CN"/>
        </w:rPr>
        <w:t>层</w:t>
      </w:r>
      <w:r>
        <w:rPr>
          <w:rStyle w:val="da"/>
          <w:rFonts w:ascii="宋体" w:hAnsi="Calibri" w:cs="宋体"/>
          <w:szCs w:val="21"/>
          <w:highlight w:val="white"/>
          <w:lang w:eastAsia="zh-CN"/>
        </w:rPr>
        <w:t>01-12</w:t>
      </w:r>
      <w:r>
        <w:rPr>
          <w:rStyle w:val="da"/>
          <w:rFonts w:ascii="宋体" w:hAnsi="Calibri" w:cs="宋体" w:hint="eastAsia"/>
          <w:szCs w:val="21"/>
          <w:highlight w:val="white"/>
          <w:lang w:eastAsia="zh-CN"/>
        </w:rPr>
        <w:t>室</w:t>
      </w:r>
      <w:r>
        <w:rPr>
          <w:rStyle w:val="da"/>
          <w:rFonts w:ascii="宋体" w:hAnsi="Calibri" w:cs="宋体"/>
          <w:szCs w:val="21"/>
          <w:highlight w:val="white"/>
          <w:lang w:eastAsia="zh-CN"/>
        </w:rPr>
        <w:t xml:space="preserve"> </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执行事务合伙人：毛鞍宁</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w:t>
      </w:r>
      <w:r>
        <w:rPr>
          <w:rStyle w:val="da"/>
          <w:rFonts w:ascii="宋体" w:hAnsi="Calibri" w:cs="宋体"/>
          <w:szCs w:val="21"/>
          <w:highlight w:val="white"/>
          <w:lang w:eastAsia="zh-CN"/>
        </w:rPr>
        <w:t xml:space="preserve">010-58153000 </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 xml:space="preserve">010-85188298 </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联系人：赵雅</w:t>
      </w:r>
    </w:p>
    <w:bookmarkEnd w:id="1782"/>
    <w:p w:rsidR="00257FC2">
      <w:pPr>
        <w:spacing w:line="360" w:lineRule="auto"/>
        <w:ind w:firstLine="420"/>
        <w:rPr>
          <w:rStyle w:val="da"/>
          <w:rFonts w:ascii="宋体" w:hAnsi="Calibri"/>
          <w:lang w:eastAsia="zh-CN"/>
        </w:rPr>
      </w:pPr>
    </w:p>
    <w:p w:rsidR="00257FC2">
      <w:pPr>
        <w:pStyle w:val="Heading1"/>
        <w:pageBreakBefore/>
        <w:spacing w:before="317" w:after="317" w:line="360" w:lineRule="auto"/>
        <w:ind w:firstLine="640"/>
        <w:rPr>
          <w:rFonts w:ascii="宋体" w:eastAsia="宋体" w:hAnsi="Calibri" w:cs="宋体"/>
          <w:bCs/>
          <w:sz w:val="30"/>
          <w:szCs w:val="30"/>
          <w:lang w:eastAsia="zh-CN"/>
        </w:rPr>
      </w:pPr>
      <w:bookmarkStart w:id="1783" w:name="_Toc129511528"/>
      <w:bookmarkStart w:id="1784" w:name="_Toc52177265"/>
      <w:bookmarkStart w:id="1785" w:name="_Toc11178790"/>
      <w:bookmarkStart w:id="1786" w:name="_Toc332373486"/>
      <w:r>
        <w:rPr>
          <w:rFonts w:ascii="宋体" w:eastAsia="宋体" w:hAnsi="Calibri" w:cs="宋体" w:hint="eastAsia"/>
          <w:bCs/>
          <w:sz w:val="30"/>
          <w:szCs w:val="30"/>
          <w:highlight w:val="white"/>
          <w:lang w:eastAsia="zh-CN"/>
        </w:rPr>
        <w:t>第六部分</w:t>
      </w:r>
      <w:r>
        <w:rPr>
          <w:rFonts w:ascii="宋体" w:eastAsia="宋体" w:hAnsi="Calibri" w:cs="宋体"/>
          <w:bCs/>
          <w:sz w:val="30"/>
          <w:szCs w:val="30"/>
          <w:highlight w:val="white"/>
          <w:lang w:eastAsia="zh-CN"/>
        </w:rPr>
        <w:t xml:space="preserve"> 基金份额的分类</w:t>
      </w:r>
      <w:bookmarkEnd w:id="1783"/>
      <w:bookmarkEnd w:id="1784"/>
      <w:bookmarkEnd w:id="1785"/>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一、基金份额类别</w:t>
      </w:r>
    </w:p>
    <w:p w:rsidR="00257FC2">
      <w:pPr>
        <w:spacing w:line="360" w:lineRule="auto"/>
        <w:ind w:firstLine="420"/>
        <w:rPr>
          <w:rStyle w:val="da"/>
          <w:rFonts w:ascii="宋体" w:hAnsi="Calibri" w:cs="宋体"/>
          <w:lang w:eastAsia="zh-CN"/>
        </w:rPr>
      </w:pPr>
      <w:r>
        <w:rPr>
          <w:rStyle w:val="da"/>
          <w:rFonts w:ascii="宋体" w:hAnsi="Calibri" w:cs="宋体"/>
          <w:lang w:eastAsia="zh-CN"/>
        </w:rPr>
        <w:t>本基金将基金份额分为不同的类别。在投资人认购/申购基金时按规定收取认购/申购费用，并不再从本类别基金资产中计提销售服务费的基金份额，称为A类基金份额；从本类基金资产中计提销售服务费并按规定收取或返还，不收取认购/申购费用的基金份额，称为C类基金份额</w:t>
      </w:r>
      <w:r>
        <w:rPr>
          <w:rStyle w:val="da"/>
          <w:rFonts w:ascii="宋体" w:hAnsi="Calibri" w:cs="宋体" w:hint="eastAsia"/>
          <w:lang w:eastAsia="zh-CN"/>
        </w:rPr>
        <w:t>。</w:t>
      </w:r>
    </w:p>
    <w:p w:rsidR="00257FC2">
      <w:pPr>
        <w:spacing w:line="360" w:lineRule="auto"/>
        <w:ind w:firstLine="480"/>
        <w:rPr>
          <w:rStyle w:val="da"/>
          <w:rFonts w:ascii="宋体" w:hAnsi="Calibri" w:cs="宋体"/>
          <w:lang w:eastAsia="zh-CN"/>
        </w:rPr>
      </w:pPr>
      <w:r>
        <w:rPr>
          <w:rStyle w:val="da"/>
          <w:rFonts w:ascii="宋体" w:hAnsi="Calibri"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每类基金</w:t>
      </w:r>
      <w:r>
        <w:rPr>
          <w:rFonts w:ascii="宋体" w:hAnsi="Calibri" w:cs="宋体"/>
          <w:szCs w:val="21"/>
          <w:highlight w:val="white"/>
          <w:lang w:eastAsia="zh-CN"/>
        </w:rPr>
        <w:t>份额的具体</w:t>
      </w:r>
      <w:r>
        <w:rPr>
          <w:rFonts w:ascii="宋体" w:hAnsi="Calibri" w:cs="宋体" w:hint="eastAsia"/>
          <w:szCs w:val="21"/>
          <w:highlight w:val="white"/>
          <w:lang w:eastAsia="zh-CN"/>
        </w:rPr>
        <w:t>规定</w:t>
      </w:r>
      <w:r>
        <w:rPr>
          <w:rFonts w:ascii="宋体" w:hAnsi="Calibri" w:cs="宋体"/>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257FC2">
            <w:pPr>
              <w:snapToGrid w:val="0"/>
              <w:spacing w:line="360" w:lineRule="auto"/>
              <w:jc w:val="center"/>
              <w:rPr>
                <w:rFonts w:ascii="宋体" w:hAnsi="Calibri" w:cs="宋体"/>
                <w:b/>
                <w:szCs w:val="21"/>
              </w:rPr>
            </w:pPr>
            <w:r>
              <w:rPr>
                <w:rFonts w:ascii="宋体" w:hAnsi="Calibri"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257FC2">
            <w:pPr>
              <w:snapToGrid w:val="0"/>
              <w:spacing w:line="360" w:lineRule="auto"/>
              <w:jc w:val="center"/>
              <w:rPr>
                <w:rFonts w:ascii="宋体" w:hAnsi="Calibri" w:cs="宋体"/>
                <w:b/>
                <w:szCs w:val="21"/>
              </w:rPr>
            </w:pPr>
            <w:r>
              <w:rPr>
                <w:rFonts w:ascii="宋体" w:hAnsi="Calibri" w:cs="宋体"/>
                <w:b/>
                <w:bCs/>
                <w:szCs w:val="21"/>
                <w:highlight w:val="white"/>
              </w:rPr>
              <w:t>A类基金份额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257FC2">
            <w:pPr>
              <w:snapToGrid w:val="0"/>
              <w:spacing w:line="360" w:lineRule="auto"/>
              <w:jc w:val="center"/>
              <w:rPr>
                <w:rFonts w:ascii="宋体" w:hAnsi="Calibri" w:cs="宋体"/>
                <w:b/>
                <w:bCs/>
                <w:szCs w:val="21"/>
              </w:rPr>
            </w:pPr>
            <w:r>
              <w:rPr>
                <w:rFonts w:ascii="宋体" w:hAnsi="Calibri" w:cs="宋体"/>
                <w:b/>
                <w:bCs/>
                <w:szCs w:val="21"/>
                <w:highlight w:val="white"/>
              </w:rPr>
              <w:t>C类基金份额</w:t>
            </w:r>
          </w:p>
        </w:tc>
      </w:tr>
      <w:tr>
        <w:tblPrEx>
          <w:tblW w:w="7933" w:type="dxa"/>
          <w:tblLayout w:type="fixed"/>
          <w:tblLook w:val="04A0"/>
        </w:tblPrEx>
        <w:trPr>
          <w:trHeight w:val="159"/>
        </w:trPr>
        <w:tc>
          <w:tcPr>
            <w:tcW w:w="2547"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认/申购费</w:t>
            </w:r>
          </w:p>
        </w:tc>
        <w:tc>
          <w:tcPr>
            <w:tcW w:w="2835"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按规定收取</w:t>
            </w:r>
          </w:p>
        </w:tc>
        <w:tc>
          <w:tcPr>
            <w:tcW w:w="2551"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不</w:t>
            </w:r>
            <w:r>
              <w:rPr>
                <w:rFonts w:ascii="宋体" w:hAnsi="Calibri" w:cs="宋体"/>
                <w:szCs w:val="21"/>
                <w:highlight w:val="white"/>
              </w:rPr>
              <w:t>收取</w:t>
            </w:r>
          </w:p>
        </w:tc>
      </w:tr>
      <w:tr>
        <w:tblPrEx>
          <w:tblW w:w="7933" w:type="dxa"/>
          <w:tblLayout w:type="fixed"/>
          <w:tblLook w:val="04A0"/>
        </w:tblPrEx>
        <w:trPr>
          <w:trHeight w:val="857"/>
        </w:trPr>
        <w:tc>
          <w:tcPr>
            <w:tcW w:w="2547"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首次认/申购最低金额</w:t>
            </w:r>
          </w:p>
        </w:tc>
        <w:tc>
          <w:tcPr>
            <w:tcW w:w="2835"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(直销中心为5</w:t>
            </w:r>
            <w:r>
              <w:rPr>
                <w:rFonts w:ascii="宋体" w:hAnsi="Calibri" w:cs="宋体" w:hint="eastAsia"/>
                <w:szCs w:val="21"/>
                <w:highlight w:val="white"/>
              </w:rPr>
              <w:t>万元</w:t>
            </w:r>
            <w:r>
              <w:rPr>
                <w:rFonts w:ascii="宋体" w:hAnsi="Calibri" w:cs="宋体"/>
                <w:szCs w:val="21"/>
                <w:highlight w:val="white"/>
              </w:rPr>
              <w:t>)</w:t>
            </w:r>
          </w:p>
        </w:tc>
        <w:tc>
          <w:tcPr>
            <w:tcW w:w="2551"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(直销中心为5</w:t>
            </w:r>
            <w:r>
              <w:rPr>
                <w:rFonts w:ascii="宋体" w:hAnsi="Calibri" w:cs="宋体" w:hint="eastAsia"/>
                <w:szCs w:val="21"/>
                <w:highlight w:val="white"/>
              </w:rPr>
              <w:t>万元</w:t>
            </w:r>
            <w:r>
              <w:rPr>
                <w:rFonts w:ascii="宋体" w:hAnsi="Calibri" w:cs="宋体"/>
                <w:szCs w:val="21"/>
                <w:highlight w:val="white"/>
              </w:rPr>
              <w:t>)</w:t>
            </w:r>
          </w:p>
        </w:tc>
      </w:tr>
      <w:tr>
        <w:tblPrEx>
          <w:tblW w:w="7933" w:type="dxa"/>
          <w:tblLayout w:type="fixed"/>
          <w:tblLook w:val="04A0"/>
        </w:tblPrEx>
        <w:trPr>
          <w:trHeight w:val="157"/>
        </w:trPr>
        <w:tc>
          <w:tcPr>
            <w:tcW w:w="2547"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追加认</w:t>
            </w:r>
            <w:r>
              <w:rPr>
                <w:rFonts w:ascii="宋体" w:hAnsi="Calibri" w:cs="宋体"/>
                <w:szCs w:val="21"/>
                <w:highlight w:val="white"/>
              </w:rPr>
              <w:t>/</w:t>
            </w:r>
            <w:r>
              <w:rPr>
                <w:rFonts w:ascii="宋体" w:hAnsi="Calibri" w:cs="宋体" w:hint="eastAsia"/>
                <w:szCs w:val="21"/>
                <w:highlight w:val="white"/>
              </w:rPr>
              <w:t>申购最低金额</w:t>
            </w:r>
          </w:p>
        </w:tc>
        <w:tc>
          <w:tcPr>
            <w:tcW w:w="2835"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(直销中心为1000</w:t>
            </w:r>
            <w:r>
              <w:rPr>
                <w:rFonts w:ascii="宋体" w:hAnsi="Calibri" w:cs="宋体" w:hint="eastAsia"/>
                <w:szCs w:val="21"/>
                <w:highlight w:val="white"/>
              </w:rPr>
              <w:t>元</w:t>
            </w:r>
            <w:r>
              <w:rPr>
                <w:rFonts w:ascii="宋体" w:hAnsi="Calibri" w:cs="宋体"/>
                <w:szCs w:val="21"/>
                <w:highlight w:val="white"/>
              </w:rPr>
              <w:t>)</w:t>
            </w:r>
          </w:p>
        </w:tc>
        <w:tc>
          <w:tcPr>
            <w:tcW w:w="2551"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(直销中心为1000</w:t>
            </w:r>
            <w:r>
              <w:rPr>
                <w:rFonts w:ascii="宋体" w:hAnsi="Calibri" w:cs="宋体" w:hint="eastAsia"/>
                <w:szCs w:val="21"/>
                <w:highlight w:val="white"/>
              </w:rPr>
              <w:t>元</w:t>
            </w:r>
            <w:r>
              <w:rPr>
                <w:rFonts w:ascii="宋体" w:hAnsi="Calibri" w:cs="宋体"/>
                <w:szCs w:val="21"/>
                <w:highlight w:val="white"/>
              </w:rPr>
              <w:t>)</w:t>
            </w:r>
          </w:p>
        </w:tc>
      </w:tr>
      <w:tr>
        <w:tblPrEx>
          <w:tblW w:w="7933" w:type="dxa"/>
          <w:tblLayout w:type="fixed"/>
          <w:tblLook w:val="04A0"/>
        </w:tblPrEx>
        <w:trPr>
          <w:trHeight w:val="157"/>
        </w:trPr>
        <w:tc>
          <w:tcPr>
            <w:tcW w:w="2547"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单笔赎回最低份额</w:t>
            </w:r>
          </w:p>
        </w:tc>
        <w:tc>
          <w:tcPr>
            <w:tcW w:w="2835"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1份</w:t>
            </w:r>
          </w:p>
        </w:tc>
        <w:tc>
          <w:tcPr>
            <w:tcW w:w="2551"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1份</w:t>
            </w:r>
          </w:p>
        </w:tc>
      </w:tr>
      <w:tr>
        <w:tblPrEx>
          <w:tblW w:w="7933" w:type="dxa"/>
          <w:tblLayout w:type="fixed"/>
          <w:tblLook w:val="04A0"/>
        </w:tblPrEx>
        <w:trPr>
          <w:trHeight w:val="157"/>
        </w:trPr>
        <w:tc>
          <w:tcPr>
            <w:tcW w:w="2547" w:type="dxa"/>
            <w:vAlign w:val="center"/>
          </w:tcPr>
          <w:p w:rsidR="00257FC2">
            <w:pPr>
              <w:snapToGrid w:val="0"/>
              <w:spacing w:line="360" w:lineRule="auto"/>
              <w:jc w:val="center"/>
              <w:rPr>
                <w:rFonts w:ascii="宋体" w:hAnsi="Calibri" w:cs="宋体"/>
                <w:szCs w:val="21"/>
                <w:lang w:eastAsia="zh-CN"/>
              </w:rPr>
            </w:pPr>
            <w:r>
              <w:rPr>
                <w:rFonts w:ascii="宋体" w:hAnsi="Calibri" w:cs="宋体" w:hint="eastAsia"/>
                <w:szCs w:val="21"/>
                <w:highlight w:val="white"/>
                <w:lang w:eastAsia="zh-CN"/>
              </w:rPr>
              <w:t>基金交易账户最低基金份额余额</w:t>
            </w:r>
          </w:p>
        </w:tc>
        <w:tc>
          <w:tcPr>
            <w:tcW w:w="2835"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1份</w:t>
            </w:r>
          </w:p>
        </w:tc>
        <w:tc>
          <w:tcPr>
            <w:tcW w:w="2551" w:type="dxa"/>
            <w:vAlign w:val="center"/>
          </w:tcPr>
          <w:p w:rsidR="00257FC2">
            <w:pPr>
              <w:snapToGrid w:val="0"/>
              <w:spacing w:line="360" w:lineRule="auto"/>
              <w:jc w:val="center"/>
              <w:rPr>
                <w:rFonts w:ascii="宋体" w:hAnsi="Calibri" w:cs="宋体"/>
                <w:szCs w:val="21"/>
              </w:rPr>
            </w:pPr>
            <w:r>
              <w:rPr>
                <w:rFonts w:ascii="宋体" w:hAnsi="Calibri" w:cs="宋体" w:hint="eastAsia"/>
                <w:szCs w:val="21"/>
                <w:highlight w:val="white"/>
              </w:rPr>
              <w:t>1份</w:t>
            </w:r>
          </w:p>
        </w:tc>
      </w:tr>
      <w:tr>
        <w:tblPrEx>
          <w:tblW w:w="7933" w:type="dxa"/>
          <w:tblLayout w:type="fixed"/>
          <w:tblLook w:val="04A0"/>
        </w:tblPrEx>
        <w:trPr>
          <w:trHeight w:val="360"/>
        </w:trPr>
        <w:tc>
          <w:tcPr>
            <w:tcW w:w="2547" w:type="dxa"/>
            <w:vAlign w:val="center"/>
          </w:tcPr>
          <w:p w:rsidR="00257FC2">
            <w:pPr>
              <w:snapToGrid w:val="0"/>
              <w:spacing w:line="360" w:lineRule="auto"/>
              <w:jc w:val="center"/>
              <w:rPr>
                <w:rFonts w:ascii="宋体" w:hAnsi="Calibri" w:cs="宋体"/>
                <w:bCs/>
                <w:szCs w:val="21"/>
              </w:rPr>
            </w:pPr>
            <w:r>
              <w:rPr>
                <w:rFonts w:ascii="宋体" w:hAnsi="Calibri" w:cs="宋体" w:hint="eastAsia"/>
                <w:bCs/>
                <w:szCs w:val="21"/>
                <w:highlight w:val="white"/>
              </w:rPr>
              <w:t>销售服务费</w:t>
            </w:r>
            <w:r>
              <w:rPr>
                <w:rFonts w:ascii="宋体" w:hAnsi="Calibri" w:cs="宋体"/>
                <w:bCs/>
                <w:szCs w:val="21"/>
                <w:highlight w:val="white"/>
              </w:rPr>
              <w:t>(年费率)</w:t>
            </w:r>
          </w:p>
        </w:tc>
        <w:tc>
          <w:tcPr>
            <w:tcW w:w="2835" w:type="dxa"/>
            <w:vAlign w:val="center"/>
          </w:tcPr>
          <w:p w:rsidR="00257FC2">
            <w:pPr>
              <w:snapToGrid w:val="0"/>
              <w:spacing w:line="360" w:lineRule="auto"/>
              <w:jc w:val="center"/>
              <w:rPr>
                <w:rFonts w:ascii="宋体" w:hAnsi="Calibri" w:cs="宋体"/>
                <w:bCs/>
                <w:sz w:val="20"/>
                <w:szCs w:val="20"/>
              </w:rPr>
            </w:pPr>
            <w:r>
              <w:rPr>
                <w:rFonts w:ascii="宋体" w:hAnsi="Calibri" w:cs="宋体"/>
                <w:highlight w:val="white"/>
              </w:rPr>
              <w:t>不收取</w:t>
            </w:r>
          </w:p>
        </w:tc>
        <w:tc>
          <w:tcPr>
            <w:tcW w:w="2551" w:type="dxa"/>
            <w:vAlign w:val="center"/>
          </w:tcPr>
          <w:p w:rsidR="00257FC2">
            <w:pPr>
              <w:snapToGrid w:val="0"/>
              <w:spacing w:line="360" w:lineRule="auto"/>
              <w:jc w:val="center"/>
              <w:rPr>
                <w:rFonts w:ascii="宋体" w:hAnsi="Calibri" w:cs="宋体"/>
                <w:bCs/>
                <w:sz w:val="20"/>
                <w:szCs w:val="20"/>
                <w:lang w:eastAsia="zh-CN"/>
              </w:rPr>
            </w:pPr>
            <w:r>
              <w:rPr>
                <w:rFonts w:ascii="宋体" w:hAnsi="Calibri" w:cs="宋体" w:hint="eastAsia"/>
                <w:iCs/>
                <w:lang w:eastAsia="zh-CN"/>
              </w:rPr>
              <w:t>0.20%</w:t>
            </w:r>
            <w:r>
              <w:rPr>
                <w:rFonts w:ascii="宋体" w:hAnsi="Calibri" w:cs="宋体" w:hint="eastAsia"/>
                <w:iCs/>
                <w:highlight w:val="white"/>
                <w:lang w:eastAsia="zh-CN"/>
              </w:rPr>
              <w:t>（按规定收取或返还）</w:t>
            </w:r>
          </w:p>
        </w:tc>
      </w:tr>
    </w:tbl>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注</w:t>
      </w:r>
      <w:r>
        <w:rPr>
          <w:rFonts w:ascii="宋体" w:hAnsi="Calibri" w:cs="宋体"/>
          <w:szCs w:val="21"/>
          <w:highlight w:val="white"/>
          <w:lang w:eastAsia="zh-CN"/>
        </w:rPr>
        <w:t>：本基金不同份额</w:t>
      </w:r>
      <w:r>
        <w:rPr>
          <w:rFonts w:ascii="宋体" w:hAnsi="Calibri" w:cs="宋体" w:hint="eastAsia"/>
          <w:szCs w:val="21"/>
          <w:highlight w:val="white"/>
          <w:lang w:eastAsia="zh-CN"/>
        </w:rPr>
        <w:t>类别的</w:t>
      </w:r>
      <w:r>
        <w:rPr>
          <w:rFonts w:ascii="宋体" w:hAnsi="Calibri" w:cs="宋体"/>
          <w:szCs w:val="21"/>
          <w:highlight w:val="white"/>
          <w:lang w:eastAsia="zh-CN"/>
        </w:rPr>
        <w:t>适用费率及销售渠道</w:t>
      </w:r>
      <w:r>
        <w:rPr>
          <w:rFonts w:ascii="宋体" w:hAnsi="Calibri" w:cs="宋体" w:hint="eastAsia"/>
          <w:szCs w:val="21"/>
          <w:highlight w:val="white"/>
          <w:lang w:eastAsia="zh-CN"/>
        </w:rPr>
        <w:t>等有</w:t>
      </w:r>
      <w:r>
        <w:rPr>
          <w:rFonts w:ascii="宋体" w:hAnsi="Calibri" w:cs="宋体"/>
          <w:szCs w:val="21"/>
          <w:highlight w:val="white"/>
          <w:lang w:eastAsia="zh-CN"/>
        </w:rPr>
        <w:t>所差</w:t>
      </w:r>
      <w:r>
        <w:rPr>
          <w:rFonts w:ascii="宋体" w:hAnsi="Calibri" w:cs="宋体" w:hint="eastAsia"/>
          <w:szCs w:val="21"/>
          <w:highlight w:val="white"/>
          <w:lang w:eastAsia="zh-CN"/>
        </w:rPr>
        <w:t>异</w:t>
      </w:r>
      <w:r>
        <w:rPr>
          <w:rFonts w:ascii="宋体" w:hAnsi="Calibri" w:cs="宋体"/>
          <w:szCs w:val="21"/>
          <w:highlight w:val="white"/>
          <w:lang w:eastAsia="zh-CN"/>
        </w:rPr>
        <w:t>，</w:t>
      </w:r>
      <w:r>
        <w:rPr>
          <w:rFonts w:ascii="宋体" w:hAnsi="Calibri" w:cs="宋体" w:hint="eastAsia"/>
          <w:szCs w:val="21"/>
          <w:highlight w:val="white"/>
          <w:lang w:eastAsia="zh-CN"/>
        </w:rPr>
        <w:t>并可能发生</w:t>
      </w:r>
      <w:r>
        <w:rPr>
          <w:rFonts w:ascii="宋体" w:hAnsi="Calibri" w:cs="宋体"/>
          <w:szCs w:val="21"/>
          <w:highlight w:val="white"/>
          <w:lang w:eastAsia="zh-CN"/>
        </w:rPr>
        <w:t>调整</w:t>
      </w:r>
      <w:r>
        <w:rPr>
          <w:rFonts w:ascii="宋体" w:hAnsi="Calibri" w:cs="宋体" w:hint="eastAsia"/>
          <w:szCs w:val="21"/>
          <w:highlight w:val="white"/>
          <w:lang w:eastAsia="zh-CN"/>
        </w:rPr>
        <w:t>，敬请</w:t>
      </w:r>
      <w:r>
        <w:rPr>
          <w:rFonts w:ascii="宋体" w:hAnsi="Calibri" w:cs="宋体"/>
          <w:szCs w:val="21"/>
          <w:highlight w:val="white"/>
          <w:lang w:eastAsia="zh-CN"/>
        </w:rPr>
        <w:t>投资者予以关注</w:t>
      </w:r>
      <w:r>
        <w:rPr>
          <w:rFonts w:ascii="宋体" w:hAnsi="Calibri" w:cs="宋体" w:hint="eastAsia"/>
          <w:szCs w:val="21"/>
          <w:highlight w:val="white"/>
          <w:lang w:eastAsia="zh-CN"/>
        </w:rPr>
        <w:t>。</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二</w:t>
      </w:r>
      <w:r>
        <w:rPr>
          <w:rFonts w:ascii="宋体" w:hAnsi="Calibri" w:cs="宋体"/>
          <w:szCs w:val="21"/>
          <w:highlight w:val="white"/>
          <w:lang w:eastAsia="zh-CN"/>
        </w:rPr>
        <w:t>、</w:t>
      </w:r>
      <w:r>
        <w:rPr>
          <w:rFonts w:ascii="宋体" w:hAnsi="Calibri"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257FC2">
      <w:pPr>
        <w:pStyle w:val="Heading1"/>
        <w:pageBreakBefore/>
        <w:spacing w:before="317" w:after="317" w:line="360" w:lineRule="auto"/>
        <w:ind w:firstLine="640"/>
        <w:rPr>
          <w:rFonts w:ascii="宋体" w:eastAsia="宋体" w:hAnsi="Calibri" w:cs="宋体"/>
          <w:bCs/>
          <w:sz w:val="30"/>
          <w:szCs w:val="30"/>
          <w:lang w:eastAsia="zh-CN"/>
        </w:rPr>
      </w:pPr>
      <w:bookmarkStart w:id="1787" w:name="_Toc129511529"/>
      <w:r>
        <w:rPr>
          <w:rFonts w:ascii="宋体" w:eastAsia="宋体" w:hAnsi="Calibri" w:cs="宋体" w:hint="eastAsia"/>
          <w:bCs/>
          <w:sz w:val="30"/>
          <w:szCs w:val="30"/>
          <w:highlight w:val="white"/>
          <w:lang w:eastAsia="zh-CN"/>
        </w:rPr>
        <w:t>第七部分</w:t>
      </w:r>
      <w:r>
        <w:rPr>
          <w:rFonts w:ascii="宋体" w:eastAsia="宋体" w:hAnsi="Calibri" w:cs="宋体"/>
          <w:bCs/>
          <w:sz w:val="30"/>
          <w:szCs w:val="30"/>
          <w:highlight w:val="white"/>
          <w:lang w:eastAsia="zh-CN"/>
        </w:rPr>
        <w:t xml:space="preserve"> </w:t>
      </w:r>
      <w:r>
        <w:rPr>
          <w:rFonts w:ascii="宋体" w:eastAsia="宋体" w:hAnsi="Calibri" w:cs="宋体" w:hint="eastAsia"/>
          <w:bCs/>
          <w:sz w:val="30"/>
          <w:szCs w:val="30"/>
          <w:highlight w:val="white"/>
          <w:lang w:eastAsia="zh-CN"/>
        </w:rPr>
        <w:t>基金的募集安排</w:t>
      </w:r>
      <w:bookmarkEnd w:id="1786"/>
      <w:bookmarkEnd w:id="1787"/>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本基金由基金管理人依照《基金法》《运作办法》《销售办法》、基金合同的相关规定募集，并经中国证券监督管理委员会</w:t>
      </w:r>
      <w:r>
        <w:rPr>
          <w:rFonts w:ascii="宋体" w:hAnsi="Calibri" w:cs="宋体"/>
          <w:szCs w:val="21"/>
          <w:highlight w:val="white"/>
          <w:lang w:eastAsia="zh-CN"/>
        </w:rPr>
        <w:t>202</w:t>
      </w:r>
      <w:r w:rsidR="00C24FC7">
        <w:rPr>
          <w:rFonts w:ascii="宋体" w:hAnsi="Calibri" w:cs="宋体"/>
          <w:szCs w:val="21"/>
          <w:highlight w:val="white"/>
          <w:lang w:eastAsia="zh-CN"/>
        </w:rPr>
        <w:t>6</w:t>
      </w:r>
      <w:r>
        <w:rPr>
          <w:rFonts w:ascii="宋体" w:hAnsi="Calibri" w:cs="宋体" w:hint="eastAsia"/>
          <w:szCs w:val="21"/>
          <w:highlight w:val="white"/>
          <w:lang w:eastAsia="zh-CN"/>
        </w:rPr>
        <w:t>年</w:t>
      </w:r>
      <w:r w:rsidR="00C24FC7">
        <w:rPr>
          <w:rFonts w:ascii="宋体" w:hAnsi="Calibri" w:cs="宋体"/>
          <w:szCs w:val="21"/>
          <w:highlight w:val="white"/>
          <w:lang w:eastAsia="zh-CN"/>
        </w:rPr>
        <w:t>3</w:t>
      </w:r>
      <w:r>
        <w:rPr>
          <w:rFonts w:ascii="宋体" w:hAnsi="Calibri" w:cs="宋体" w:hint="eastAsia"/>
          <w:szCs w:val="21"/>
          <w:highlight w:val="white"/>
          <w:lang w:eastAsia="zh-CN"/>
        </w:rPr>
        <w:t>月</w:t>
      </w:r>
      <w:r w:rsidR="00C24FC7">
        <w:rPr>
          <w:rFonts w:ascii="宋体" w:hAnsi="Calibri" w:cs="宋体"/>
          <w:szCs w:val="21"/>
          <w:highlight w:val="white"/>
          <w:lang w:eastAsia="zh-CN"/>
        </w:rPr>
        <w:t>25</w:t>
      </w:r>
      <w:r>
        <w:rPr>
          <w:rFonts w:ascii="宋体" w:hAnsi="Calibri" w:cs="宋体" w:hint="eastAsia"/>
          <w:szCs w:val="21"/>
          <w:highlight w:val="white"/>
          <w:lang w:eastAsia="zh-CN"/>
        </w:rPr>
        <w:t>日</w:t>
      </w:r>
      <w:r>
        <w:rPr>
          <w:rStyle w:val="da"/>
          <w:rFonts w:ascii="宋体" w:hAnsi="Calibri" w:cs="宋体" w:hint="eastAsia"/>
          <w:highlight w:val="white"/>
          <w:lang w:eastAsia="zh-CN"/>
        </w:rPr>
        <w:t>《关于准予</w:t>
      </w:r>
      <w:r>
        <w:rPr>
          <w:rStyle w:val="da"/>
          <w:rFonts w:ascii="宋体" w:hAnsi="Calibri" w:cs="宋体"/>
          <w:lang w:eastAsia="zh-CN"/>
        </w:rPr>
        <w:t>易方达中证金融科技主题交易型开放式指数证券投资基金联接基金</w:t>
      </w:r>
      <w:r>
        <w:rPr>
          <w:rStyle w:val="da"/>
          <w:rFonts w:ascii="宋体" w:hAnsi="Calibri" w:cs="宋体"/>
          <w:highlight w:val="white"/>
          <w:lang w:eastAsia="zh-CN"/>
        </w:rPr>
        <w:t>注册的批复》（证监许可[</w:t>
      </w:r>
      <w:r w:rsidR="00C24FC7">
        <w:rPr>
          <w:rStyle w:val="da"/>
          <w:rFonts w:ascii="宋体" w:hAnsi="Calibri" w:cs="宋体"/>
          <w:highlight w:val="white"/>
          <w:lang w:eastAsia="zh-CN"/>
        </w:rPr>
        <w:t>2026</w:t>
      </w:r>
      <w:r>
        <w:rPr>
          <w:rStyle w:val="da"/>
          <w:rFonts w:ascii="宋体" w:hAnsi="Calibri" w:cs="宋体" w:hint="eastAsia"/>
          <w:highlight w:val="white"/>
          <w:lang w:eastAsia="zh-CN"/>
        </w:rPr>
        <w:t>]</w:t>
      </w:r>
      <w:r w:rsidR="00C24FC7">
        <w:rPr>
          <w:rStyle w:val="da"/>
          <w:rFonts w:ascii="宋体" w:hAnsi="Calibri" w:cs="宋体"/>
          <w:highlight w:val="white"/>
          <w:lang w:eastAsia="zh-CN"/>
        </w:rPr>
        <w:t>578</w:t>
      </w:r>
      <w:r>
        <w:rPr>
          <w:rStyle w:val="da"/>
          <w:rFonts w:ascii="宋体" w:hAnsi="Calibri" w:cs="宋体" w:hint="eastAsia"/>
          <w:highlight w:val="white"/>
          <w:lang w:eastAsia="zh-CN"/>
        </w:rPr>
        <w:t>号）注册。</w:t>
      </w:r>
    </w:p>
    <w:p w:rsidR="00257FC2">
      <w:pPr>
        <w:spacing w:line="360" w:lineRule="auto"/>
        <w:ind w:firstLine="420"/>
        <w:rPr>
          <w:rStyle w:val="da"/>
          <w:rFonts w:ascii="宋体" w:hAnsi="Calibri" w:cs="宋体"/>
          <w:lang w:eastAsia="zh-CN"/>
        </w:rPr>
      </w:pPr>
      <w:bookmarkStart w:id="1788" w:name="_Toc332373487"/>
      <w:bookmarkStart w:id="1789" w:name="_Toc332373490"/>
      <w:r>
        <w:rPr>
          <w:rStyle w:val="da"/>
          <w:rFonts w:ascii="宋体" w:hAnsi="Calibri" w:cs="宋体" w:hint="eastAsia"/>
          <w:highlight w:val="white"/>
          <w:lang w:eastAsia="zh-CN"/>
        </w:rPr>
        <w:t>一、基金的类别</w:t>
      </w:r>
      <w:bookmarkEnd w:id="1788"/>
    </w:p>
    <w:p w:rsidR="00257FC2">
      <w:pPr>
        <w:spacing w:line="360" w:lineRule="auto"/>
        <w:ind w:firstLine="420"/>
        <w:rPr>
          <w:rStyle w:val="da"/>
          <w:rFonts w:ascii="宋体" w:hAnsi="Calibri" w:cs="宋体"/>
          <w:lang w:eastAsia="zh-CN"/>
        </w:rPr>
      </w:pPr>
      <w:r>
        <w:rPr>
          <w:rStyle w:val="da"/>
          <w:rFonts w:ascii="宋体" w:hAnsi="Calibri" w:cs="宋体"/>
          <w:lang w:eastAsia="zh-CN"/>
        </w:rPr>
        <w:t>指数基金、联接基金</w:t>
      </w:r>
    </w:p>
    <w:p w:rsidR="00257FC2">
      <w:pPr>
        <w:spacing w:line="360" w:lineRule="auto"/>
        <w:ind w:firstLine="420"/>
        <w:rPr>
          <w:rStyle w:val="da"/>
          <w:rFonts w:ascii="宋体" w:hAnsi="Calibri" w:cs="宋体"/>
          <w:lang w:eastAsia="zh-CN"/>
        </w:rPr>
      </w:pPr>
      <w:bookmarkStart w:id="1790" w:name="_Toc332373488"/>
      <w:r>
        <w:rPr>
          <w:rStyle w:val="da"/>
          <w:rFonts w:ascii="宋体" w:hAnsi="Calibri" w:cs="宋体" w:hint="eastAsia"/>
          <w:highlight w:val="white"/>
          <w:lang w:eastAsia="zh-CN"/>
        </w:rPr>
        <w:t>二、基金的运作方式</w:t>
      </w:r>
      <w:bookmarkEnd w:id="1790"/>
    </w:p>
    <w:p w:rsidR="00257FC2">
      <w:pPr>
        <w:spacing w:line="360" w:lineRule="auto"/>
        <w:ind w:firstLine="420"/>
        <w:rPr>
          <w:rStyle w:val="da"/>
          <w:rFonts w:ascii="宋体" w:hAnsi="Calibri" w:cs="宋体"/>
          <w:lang w:eastAsia="zh-CN"/>
        </w:rPr>
      </w:pPr>
      <w:r>
        <w:rPr>
          <w:rStyle w:val="da"/>
          <w:rFonts w:ascii="宋体" w:hAnsi="Calibri" w:cs="宋体"/>
          <w:lang w:eastAsia="zh-CN"/>
        </w:rPr>
        <w:t>契约型开放式</w:t>
      </w:r>
    </w:p>
    <w:p w:rsidR="00257FC2">
      <w:pPr>
        <w:spacing w:line="360" w:lineRule="auto"/>
        <w:ind w:firstLine="420"/>
        <w:rPr>
          <w:rStyle w:val="da"/>
          <w:rFonts w:ascii="宋体" w:hAnsi="Calibri" w:cs="宋体"/>
          <w:lang w:eastAsia="zh-CN"/>
        </w:rPr>
      </w:pPr>
      <w:bookmarkStart w:id="1791" w:name="_Toc332373489"/>
      <w:r>
        <w:rPr>
          <w:rStyle w:val="da"/>
          <w:rFonts w:ascii="宋体" w:hAnsi="Calibri" w:cs="宋体" w:hint="eastAsia"/>
          <w:highlight w:val="white"/>
          <w:lang w:eastAsia="zh-CN"/>
        </w:rPr>
        <w:t>三、基金存续期</w:t>
      </w:r>
      <w:bookmarkEnd w:id="1791"/>
    </w:p>
    <w:p w:rsidR="00257FC2">
      <w:pPr>
        <w:spacing w:line="360" w:lineRule="auto"/>
        <w:ind w:firstLine="420"/>
        <w:rPr>
          <w:rStyle w:val="da"/>
          <w:rFonts w:ascii="宋体" w:hAnsi="Calibri" w:cs="宋体"/>
          <w:lang w:eastAsia="zh-CN"/>
        </w:rPr>
      </w:pPr>
      <w:r>
        <w:rPr>
          <w:rStyle w:val="da"/>
          <w:rFonts w:ascii="宋体" w:hAnsi="Calibri" w:cs="宋体" w:hint="eastAsia"/>
          <w:lang w:eastAsia="zh-CN"/>
        </w:rPr>
        <w:t>不定期</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四、募集期限</w:t>
      </w:r>
      <w:bookmarkEnd w:id="1789"/>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自</w:t>
      </w:r>
      <w:r>
        <w:rPr>
          <w:rStyle w:val="da"/>
          <w:rFonts w:ascii="宋体" w:hAnsi="Calibri" w:cs="宋体"/>
          <w:highlight w:val="white"/>
          <w:lang w:eastAsia="zh-CN"/>
        </w:rPr>
        <w:t>基金份额发售</w:t>
      </w:r>
      <w:r>
        <w:rPr>
          <w:rStyle w:val="da"/>
          <w:rFonts w:ascii="宋体" w:hAnsi="Calibri" w:cs="宋体" w:hint="eastAsia"/>
          <w:highlight w:val="white"/>
          <w:lang w:eastAsia="zh-CN"/>
        </w:rPr>
        <w:t>之日起最长不得超过3个月，具体发售时间见基金份额发售公告。</w:t>
      </w:r>
    </w:p>
    <w:p w:rsidR="00257FC2">
      <w:pPr>
        <w:spacing w:line="360" w:lineRule="auto"/>
        <w:ind w:firstLine="420"/>
        <w:rPr>
          <w:rStyle w:val="da"/>
          <w:rFonts w:ascii="宋体" w:hAnsi="Calibri" w:cs="宋体"/>
          <w:lang w:eastAsia="zh-CN"/>
        </w:rPr>
      </w:pPr>
      <w:bookmarkStart w:id="1792" w:name="_Toc332373491"/>
      <w:r>
        <w:rPr>
          <w:rStyle w:val="da"/>
          <w:rFonts w:ascii="宋体" w:hAnsi="Calibri" w:cs="宋体" w:hint="eastAsia"/>
          <w:highlight w:val="white"/>
          <w:lang w:eastAsia="zh-CN"/>
        </w:rPr>
        <w:t>五、募集对象</w:t>
      </w:r>
      <w:bookmarkEnd w:id="1792"/>
    </w:p>
    <w:p w:rsidR="00257FC2">
      <w:pPr>
        <w:spacing w:line="360" w:lineRule="auto"/>
        <w:ind w:firstLine="420"/>
        <w:rPr>
          <w:rFonts w:ascii="宋体" w:hAnsi="Calibri" w:cs="宋体"/>
          <w:bCs/>
          <w:lang w:eastAsia="zh-CN"/>
        </w:rPr>
      </w:pPr>
      <w:r>
        <w:rPr>
          <w:rFonts w:ascii="宋体" w:hAnsi="Calibri"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257FC2">
      <w:pPr>
        <w:spacing w:line="360" w:lineRule="auto"/>
        <w:ind w:firstLine="420"/>
        <w:rPr>
          <w:rStyle w:val="da"/>
          <w:rFonts w:ascii="宋体" w:hAnsi="Calibri" w:cs="宋体"/>
          <w:lang w:eastAsia="zh-CN"/>
        </w:rPr>
      </w:pPr>
      <w:bookmarkStart w:id="1793" w:name="_Toc332373492"/>
      <w:r>
        <w:rPr>
          <w:rStyle w:val="da"/>
          <w:rFonts w:ascii="宋体" w:hAnsi="Calibri" w:cs="宋体" w:hint="eastAsia"/>
          <w:highlight w:val="white"/>
          <w:lang w:eastAsia="zh-CN"/>
        </w:rPr>
        <w:t>六、募集方式及场所</w:t>
      </w:r>
      <w:bookmarkEnd w:id="1793"/>
    </w:p>
    <w:p w:rsidR="00257FC2">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257FC2">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本基金具体发售方案以基金份额发售公告为准，请投资人就募集和认购的具体事宜仔细阅读基金份额发售公告</w:t>
      </w:r>
      <w:r>
        <w:rPr>
          <w:rStyle w:val="da"/>
          <w:rFonts w:ascii="宋体" w:hAnsi="Calibri" w:cs="宋体"/>
          <w:highlight w:val="white"/>
          <w:lang w:eastAsia="zh-CN"/>
        </w:rPr>
        <w:t>。</w:t>
      </w:r>
    </w:p>
    <w:p w:rsidR="00257FC2">
      <w:pPr>
        <w:spacing w:line="360" w:lineRule="auto"/>
        <w:ind w:firstLine="420"/>
        <w:rPr>
          <w:rStyle w:val="da"/>
          <w:rFonts w:ascii="宋体" w:hAnsi="Calibri" w:cs="宋体"/>
          <w:lang w:eastAsia="zh-CN"/>
        </w:rPr>
      </w:pPr>
      <w:bookmarkStart w:id="1794" w:name="_Toc332373493"/>
      <w:r>
        <w:rPr>
          <w:rStyle w:val="da"/>
          <w:rFonts w:ascii="宋体" w:hAnsi="Calibri" w:cs="宋体" w:hint="eastAsia"/>
          <w:highlight w:val="white"/>
          <w:lang w:eastAsia="zh-CN"/>
        </w:rPr>
        <w:t>七、认购安排</w:t>
      </w:r>
      <w:bookmarkEnd w:id="1794"/>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1、认购时间</w:t>
      </w:r>
    </w:p>
    <w:p w:rsidR="00257FC2">
      <w:pPr>
        <w:spacing w:line="360" w:lineRule="auto"/>
        <w:ind w:firstLine="420"/>
        <w:rPr>
          <w:rStyle w:val="da"/>
          <w:rFonts w:ascii="宋体" w:hAnsi="Calibri" w:cs="宋体"/>
          <w:lang w:eastAsia="zh-CN"/>
        </w:rPr>
      </w:pPr>
      <w:r>
        <w:rPr>
          <w:rFonts w:ascii="宋体" w:hAnsi="Calibri" w:cs="宋体" w:hint="eastAsia"/>
          <w:szCs w:val="21"/>
          <w:highlight w:val="white"/>
          <w:lang w:eastAsia="zh-CN"/>
        </w:rPr>
        <w:t>认购的具体业务办理时间由基金管理人依据相关法律法规、基金合同确定并公告。</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2、募集规模上限</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3、认购数量限制 </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（1）本基金采用金额认购方式。 </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（2）投资人认购基金份额采用全额缴款的认购方式。投资人认购时，需按销售机构规定的方式全额缴款。</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（3）投资人在募集期内可以多次认购基金份额，</w:t>
      </w:r>
      <w:r>
        <w:rPr>
          <w:rFonts w:ascii="宋体" w:hAnsi="Calibri" w:cs="宋体"/>
          <w:color w:val="000000"/>
          <w:highlight w:val="white"/>
          <w:lang w:eastAsia="zh-CN"/>
        </w:rPr>
        <w:t>登记机构一旦确认认购份额，将不再办理撤销</w:t>
      </w:r>
      <w:r>
        <w:rPr>
          <w:rStyle w:val="da"/>
          <w:rFonts w:ascii="宋体" w:hAnsi="Calibri" w:cs="宋体"/>
          <w:highlight w:val="white"/>
          <w:lang w:eastAsia="zh-CN"/>
        </w:rPr>
        <w:t>。</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（4）在基金募集期内，除基金份额发售公告另有规定，投资人通过非直销销售机构或本公司</w:t>
      </w:r>
      <w:r>
        <w:rPr>
          <w:rFonts w:ascii="宋体" w:hAnsi="Calibri" w:cs="宋体" w:hint="eastAsia"/>
          <w:szCs w:val="21"/>
          <w:highlight w:val="white"/>
          <w:lang w:eastAsia="zh-CN"/>
        </w:rPr>
        <w:t>网上直销系统</w:t>
      </w:r>
      <w:r>
        <w:rPr>
          <w:rStyle w:val="da"/>
          <w:rFonts w:ascii="宋体" w:hAnsi="Calibri" w:cs="宋体" w:hint="eastAsia"/>
          <w:highlight w:val="white"/>
          <w:lang w:eastAsia="zh-CN"/>
        </w:rPr>
        <w:t>首次认购的单笔最低限额为人民币1元，追加认购单笔最低限额为人民币1元；投资人通过本公司直销中心首次认购的单笔最低限额为人民币50,000元，追加认购单笔最低限额是人民币1,000元。在符合法律法规规定的前提下，各销售机构对最低认购限额及交易级差有其他规定的，需要同时遵循该销售机构的相关规定。（以上金额均含认购费）。</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4、募集期利息的处理方式 </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有效认购款项在募集期间产生的利息将折算为基金份额归基金份额持有人所有，其中利息转份额的数额以登记机构的记录为准。</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5、基金份额的认购费用及认购份额的计算公式</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（1）认购费率 </w:t>
      </w:r>
    </w:p>
    <w:p w:rsidR="00257FC2">
      <w:pPr>
        <w:spacing w:line="360" w:lineRule="auto"/>
        <w:ind w:firstLine="420"/>
        <w:rPr>
          <w:rFonts w:ascii="宋体" w:hAnsi="Calibri" w:cs="宋体"/>
          <w:lang w:eastAsia="zh-CN"/>
        </w:rPr>
      </w:pPr>
      <w:r>
        <w:rPr>
          <w:rStyle w:val="da"/>
          <w:rFonts w:ascii="宋体" w:hAnsi="Calibri" w:cs="宋体" w:hint="eastAsia"/>
          <w:highlight w:val="white"/>
          <w:lang w:eastAsia="zh-CN"/>
        </w:rPr>
        <w:t>本基金</w:t>
      </w:r>
      <w:r>
        <w:rPr>
          <w:rStyle w:val="da"/>
          <w:rFonts w:ascii="宋体" w:hAnsi="Calibri" w:cs="宋体"/>
          <w:highlight w:val="white"/>
          <w:lang w:eastAsia="zh-CN"/>
        </w:rPr>
        <w:t>A</w:t>
      </w:r>
      <w:r>
        <w:rPr>
          <w:rStyle w:val="da"/>
          <w:rFonts w:ascii="宋体" w:hAnsi="Calibri" w:cs="宋体" w:hint="eastAsia"/>
          <w:highlight w:val="white"/>
          <w:lang w:eastAsia="zh-CN"/>
        </w:rPr>
        <w:t>类基金份额在认购时</w:t>
      </w:r>
      <w:r>
        <w:rPr>
          <w:rStyle w:val="da"/>
          <w:rFonts w:ascii="宋体" w:hAnsi="宋体" w:cs="宋体" w:hint="eastAsia"/>
          <w:highlight w:val="white"/>
          <w:lang w:eastAsia="zh-CN"/>
        </w:rPr>
        <w:t>按规定</w:t>
      </w:r>
      <w:r>
        <w:rPr>
          <w:rStyle w:val="da"/>
          <w:rFonts w:ascii="宋体" w:hAnsi="Calibri" w:cs="宋体" w:hint="eastAsia"/>
          <w:highlight w:val="white"/>
          <w:lang w:eastAsia="zh-CN"/>
        </w:rPr>
        <w:t>收取基金认购费用</w:t>
      </w:r>
      <w:r>
        <w:rPr>
          <w:rFonts w:ascii="宋体" w:hAnsi="Calibri" w:cs="宋体"/>
          <w:color w:val="000000"/>
          <w:highlight w:val="white"/>
          <w:lang w:eastAsia="zh-CN"/>
        </w:rPr>
        <w:t>。本基金C类基金份额不收取认购费用，在投资者持有期间</w:t>
      </w:r>
      <w:r>
        <w:rPr>
          <w:rFonts w:ascii="宋体" w:hAnsi="宋体" w:cs="宋体"/>
          <w:color w:val="000000"/>
          <w:highlight w:val="white"/>
          <w:lang w:eastAsia="zh-CN"/>
        </w:rPr>
        <w:t>计提销售服务费</w:t>
      </w:r>
      <w:r>
        <w:rPr>
          <w:rFonts w:ascii="宋体" w:hAnsi="宋体" w:cs="宋体" w:hint="eastAsia"/>
          <w:color w:val="000000"/>
          <w:highlight w:val="white"/>
          <w:lang w:eastAsia="zh-CN"/>
        </w:rPr>
        <w:t>并按规定收取或返还</w:t>
      </w:r>
      <w:r>
        <w:rPr>
          <w:rStyle w:val="da"/>
          <w:rFonts w:ascii="宋体" w:hAnsi="Calibri" w:cs="宋体" w:hint="eastAsia"/>
          <w:highlight w:val="white"/>
          <w:lang w:eastAsia="zh-CN"/>
        </w:rPr>
        <w:t>。</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26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539" w:type="dxa"/>
            <w:tcBorders>
              <w:top w:val="single" w:sz="4" w:space="0" w:color="auto"/>
              <w:left w:val="single" w:sz="4" w:space="0" w:color="auto"/>
              <w:bottom w:val="single" w:sz="4" w:space="0" w:color="auto"/>
              <w:right w:val="single" w:sz="4" w:space="0" w:color="auto"/>
            </w:tcBorders>
          </w:tcPr>
          <w:p w:rsidR="00257FC2">
            <w:pPr>
              <w:spacing w:line="360" w:lineRule="auto"/>
              <w:jc w:val="center"/>
              <w:rPr>
                <w:rFonts w:ascii="宋体" w:hAnsi="Calibri" w:cs="宋体"/>
                <w:lang w:eastAsia="zh-CN"/>
              </w:rPr>
            </w:pPr>
            <w:r>
              <w:rPr>
                <w:rFonts w:ascii="宋体" w:hAnsi="Calibri" w:cs="宋体"/>
                <w:highlight w:val="white"/>
                <w:lang w:eastAsia="zh-CN"/>
              </w:rPr>
              <w:t>认购</w:t>
            </w:r>
            <w:r>
              <w:rPr>
                <w:rFonts w:ascii="宋体" w:hAnsi="Calibri" w:cs="宋体" w:hint="eastAsia"/>
                <w:highlight w:val="white"/>
                <w:lang w:eastAsia="zh-CN"/>
              </w:rPr>
              <w:t>申请</w:t>
            </w:r>
            <w:r>
              <w:rPr>
                <w:rFonts w:ascii="宋体" w:hAnsi="Calibri" w:cs="宋体"/>
                <w:highlight w:val="white"/>
                <w:lang w:eastAsia="zh-CN"/>
              </w:rPr>
              <w:t>金额M（元）（含认购费）</w:t>
            </w:r>
          </w:p>
        </w:tc>
        <w:tc>
          <w:tcPr>
            <w:tcW w:w="2669" w:type="dxa"/>
            <w:tcBorders>
              <w:top w:val="single" w:sz="4" w:space="0" w:color="auto"/>
              <w:left w:val="single" w:sz="4" w:space="0" w:color="auto"/>
              <w:bottom w:val="single" w:sz="4" w:space="0" w:color="auto"/>
              <w:right w:val="single" w:sz="4" w:space="0" w:color="auto"/>
            </w:tcBorders>
          </w:tcPr>
          <w:p w:rsidR="00257FC2">
            <w:pPr>
              <w:spacing w:line="360" w:lineRule="auto"/>
              <w:jc w:val="center"/>
              <w:rPr>
                <w:rFonts w:ascii="宋体" w:hAnsi="Calibri" w:cs="宋体"/>
                <w:lang w:eastAsia="zh-CN"/>
              </w:rPr>
            </w:pPr>
            <w:r>
              <w:rPr>
                <w:rStyle w:val="da"/>
                <w:rFonts w:ascii="宋体" w:hAnsi="Calibri" w:cs="宋体"/>
                <w:highlight w:val="white"/>
                <w:lang w:eastAsia="zh-CN"/>
              </w:rPr>
              <w:t>A类基金份额</w:t>
            </w:r>
            <w:r>
              <w:rPr>
                <w:rFonts w:ascii="宋体" w:hAnsi="Calibri" w:cs="宋体"/>
                <w:highlight w:val="white"/>
                <w:lang w:eastAsia="zh-CN"/>
              </w:rPr>
              <w:t>认购费率</w:t>
            </w:r>
          </w:p>
        </w:tc>
      </w:tr>
      <w:tr>
        <w:tblPrEx>
          <w:tblW w:w="6208" w:type="dxa"/>
          <w:jc w:val="center"/>
          <w:tblLayout w:type="fixed"/>
          <w:tblLook w:val="04A0"/>
        </w:tblPrEx>
        <w:trPr>
          <w:trHeight w:val="360"/>
          <w:jc w:val="center"/>
        </w:trPr>
        <w:tc>
          <w:tcPr>
            <w:tcW w:w="3539" w:type="dxa"/>
          </w:tcPr>
          <w:p w:rsidR="00257FC2">
            <w:pPr>
              <w:spacing w:line="360" w:lineRule="auto"/>
              <w:jc w:val="center"/>
              <w:rPr>
                <w:rFonts w:ascii="宋体" w:hAnsi="Calibri" w:cs="宋体"/>
              </w:rPr>
            </w:pPr>
            <w:r>
              <w:rPr>
                <w:rFonts w:ascii="宋体" w:hAnsi="Calibri" w:cs="宋体" w:hint="eastAsia"/>
                <w:bCs/>
                <w:iCs/>
              </w:rPr>
              <w:t>M＜500万</w:t>
            </w:r>
          </w:p>
        </w:tc>
        <w:tc>
          <w:tcPr>
            <w:tcW w:w="2669" w:type="dxa"/>
          </w:tcPr>
          <w:p w:rsidR="00257FC2">
            <w:pPr>
              <w:spacing w:line="360" w:lineRule="auto"/>
              <w:jc w:val="center"/>
              <w:rPr>
                <w:rFonts w:ascii="宋体" w:hAnsi="Calibri" w:cs="宋体"/>
              </w:rPr>
            </w:pPr>
            <w:r>
              <w:rPr>
                <w:rFonts w:ascii="宋体" w:hAnsi="Calibri" w:cs="宋体" w:hint="eastAsia"/>
                <w:bCs/>
                <w:iCs/>
              </w:rPr>
              <w:t>0.30%</w:t>
            </w:r>
          </w:p>
        </w:tc>
      </w:tr>
      <w:tr>
        <w:tblPrEx>
          <w:tblW w:w="6208" w:type="dxa"/>
          <w:jc w:val="center"/>
          <w:tblLayout w:type="fixed"/>
          <w:tblLook w:val="04A0"/>
        </w:tblPrEx>
        <w:trPr>
          <w:trHeight w:val="360"/>
          <w:jc w:val="center"/>
        </w:trPr>
        <w:tc>
          <w:tcPr>
            <w:tcW w:w="3539" w:type="dxa"/>
          </w:tcPr>
          <w:p w:rsidR="00257FC2">
            <w:pPr>
              <w:spacing w:line="360" w:lineRule="auto"/>
              <w:jc w:val="center"/>
              <w:rPr>
                <w:rFonts w:ascii="宋体" w:hAnsi="Calibri" w:cs="宋体"/>
              </w:rPr>
            </w:pPr>
            <w:r>
              <w:rPr>
                <w:rFonts w:ascii="宋体" w:hAnsi="Calibri" w:cs="宋体" w:hint="eastAsia"/>
                <w:bCs/>
                <w:iCs/>
              </w:rPr>
              <w:t>M≥500万</w:t>
            </w:r>
          </w:p>
        </w:tc>
        <w:tc>
          <w:tcPr>
            <w:tcW w:w="2669" w:type="dxa"/>
          </w:tcPr>
          <w:p w:rsidR="00257FC2">
            <w:pPr>
              <w:spacing w:line="360" w:lineRule="auto"/>
              <w:jc w:val="center"/>
              <w:rPr>
                <w:rFonts w:ascii="宋体" w:hAnsi="Calibri" w:cs="宋体"/>
              </w:rPr>
            </w:pPr>
            <w:r>
              <w:rPr>
                <w:rFonts w:ascii="宋体" w:hAnsi="Calibri" w:cs="宋体" w:hint="eastAsia"/>
                <w:bCs/>
                <w:iCs/>
              </w:rPr>
              <w:t>1000元/笔</w:t>
            </w:r>
          </w:p>
        </w:tc>
      </w:tr>
    </w:tbl>
    <w:p w:rsidR="00257FC2">
      <w:pPr>
        <w:spacing w:line="360" w:lineRule="auto"/>
        <w:ind w:firstLine="420" w:firstLineChars="200"/>
        <w:rPr>
          <w:lang w:eastAsia="zh-CN"/>
        </w:rPr>
      </w:pPr>
      <w:r>
        <w:rPr>
          <w:rStyle w:val="da"/>
          <w:rFonts w:ascii="宋体" w:hAnsi="Calibri" w:cs="宋体"/>
          <w:highlight w:val="white"/>
          <w:lang w:eastAsia="zh-CN"/>
        </w:rPr>
        <w:t>1</w:t>
      </w:r>
      <w:r>
        <w:rPr>
          <w:rStyle w:val="da"/>
          <w:rFonts w:ascii="宋体" w:hAnsi="Calibri" w:cs="宋体" w:hint="eastAsia"/>
          <w:highlight w:val="white"/>
          <w:lang w:eastAsia="zh-CN"/>
        </w:rPr>
        <w:t>）</w:t>
      </w:r>
      <w:r>
        <w:rPr>
          <w:highlight w:val="white"/>
          <w:lang w:eastAsia="zh-CN"/>
        </w:rPr>
        <w:t>投资者通过</w:t>
      </w:r>
      <w:r>
        <w:rPr>
          <w:rFonts w:hint="eastAsia"/>
          <w:highlight w:val="white"/>
          <w:lang w:eastAsia="zh-CN"/>
        </w:rPr>
        <w:t>基金</w:t>
      </w:r>
      <w:r>
        <w:rPr>
          <w:highlight w:val="white"/>
          <w:lang w:eastAsia="zh-CN"/>
        </w:rPr>
        <w:t>管理人或其基金销售子公司认</w:t>
      </w:r>
      <w:r>
        <w:rPr>
          <w:rFonts w:ascii="宋体" w:hAnsi="宋体"/>
          <w:highlight w:val="white"/>
          <w:lang w:eastAsia="zh-CN"/>
        </w:rPr>
        <w:t>购本基金A类基金份</w:t>
      </w:r>
      <w:r>
        <w:rPr>
          <w:highlight w:val="white"/>
          <w:lang w:eastAsia="zh-CN"/>
        </w:rPr>
        <w:t>额，不收取认购费用。</w:t>
      </w:r>
    </w:p>
    <w:p w:rsidR="00257FC2">
      <w:pPr>
        <w:spacing w:line="360" w:lineRule="auto"/>
        <w:ind w:firstLine="420"/>
        <w:rPr>
          <w:rFonts w:ascii="宋体" w:hAnsi="Calibri" w:cs="宋体"/>
          <w:lang w:eastAsia="zh-CN"/>
        </w:rPr>
      </w:pPr>
      <w:r>
        <w:rPr>
          <w:rFonts w:ascii="宋体" w:hAnsi="宋体"/>
          <w:highlight w:val="white"/>
          <w:lang w:eastAsia="zh-CN"/>
        </w:rPr>
        <w:t>2</w:t>
      </w:r>
      <w:r>
        <w:rPr>
          <w:rFonts w:ascii="宋体" w:hAnsi="宋体" w:cs="宋体" w:hint="eastAsia"/>
          <w:highlight w:val="white"/>
          <w:lang w:eastAsia="zh-CN"/>
        </w:rPr>
        <w:t>）</w:t>
      </w:r>
      <w:r>
        <w:rPr>
          <w:rFonts w:hint="eastAsia"/>
          <w:highlight w:val="white"/>
          <w:lang w:eastAsia="zh-CN"/>
        </w:rPr>
        <w:t>投资者通过其他销售机构</w:t>
      </w:r>
      <w:r>
        <w:rPr>
          <w:rFonts w:ascii="宋体" w:hAnsi="宋体" w:cs="宋体" w:hint="eastAsia"/>
          <w:highlight w:val="white"/>
          <w:lang w:eastAsia="zh-CN"/>
        </w:rPr>
        <w:t>认购本基金</w:t>
      </w:r>
      <w:r>
        <w:rPr>
          <w:rStyle w:val="da"/>
          <w:rFonts w:ascii="宋体" w:hAnsi="宋体"/>
          <w:highlight w:val="white"/>
          <w:lang w:eastAsia="zh-CN"/>
        </w:rPr>
        <w:t>A</w:t>
      </w:r>
      <w:r>
        <w:rPr>
          <w:rStyle w:val="da"/>
          <w:rFonts w:ascii="宋体" w:hAnsi="宋体" w:cs="宋体"/>
          <w:highlight w:val="white"/>
          <w:lang w:eastAsia="zh-CN"/>
        </w:rPr>
        <w:t>类基金份额的</w:t>
      </w:r>
      <w:r>
        <w:rPr>
          <w:rFonts w:ascii="宋体" w:hAnsi="宋体" w:cs="宋体" w:hint="eastAsia"/>
          <w:highlight w:val="white"/>
          <w:lang w:eastAsia="zh-CN"/>
        </w:rPr>
        <w:t>认购费率见上表。</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募集期投资者可以多次认购本基金，</w:t>
      </w:r>
      <w:r>
        <w:rPr>
          <w:rStyle w:val="da"/>
          <w:rFonts w:ascii="宋体" w:hAnsi="Calibri" w:cs="宋体"/>
          <w:highlight w:val="white"/>
          <w:lang w:eastAsia="zh-CN"/>
        </w:rPr>
        <w:t>A类基金份额</w:t>
      </w:r>
      <w:r>
        <w:rPr>
          <w:rStyle w:val="da"/>
          <w:rFonts w:ascii="宋体" w:hAnsi="Calibri" w:cs="宋体" w:hint="eastAsia"/>
          <w:highlight w:val="white"/>
          <w:lang w:eastAsia="zh-CN"/>
        </w:rPr>
        <w:t>认购费用按每笔</w:t>
      </w:r>
      <w:r>
        <w:rPr>
          <w:rStyle w:val="da"/>
          <w:rFonts w:ascii="宋体" w:hAnsi="Calibri" w:cs="宋体"/>
          <w:highlight w:val="white"/>
          <w:lang w:eastAsia="zh-CN"/>
        </w:rPr>
        <w:t>A类基金份额</w:t>
      </w:r>
      <w:r>
        <w:rPr>
          <w:rStyle w:val="da"/>
          <w:rFonts w:ascii="宋体" w:hAnsi="Calibri" w:cs="宋体" w:hint="eastAsia"/>
          <w:highlight w:val="white"/>
          <w:lang w:eastAsia="zh-CN"/>
        </w:rPr>
        <w:t>认购申请单独计算。</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w:t>
      </w:r>
      <w:r>
        <w:rPr>
          <w:rStyle w:val="da"/>
          <w:rFonts w:ascii="宋体" w:hAnsi="Calibri" w:cs="宋体"/>
          <w:szCs w:val="21"/>
          <w:highlight w:val="white"/>
          <w:lang w:eastAsia="zh-CN"/>
        </w:rPr>
        <w:t>A类基金份额</w:t>
      </w:r>
      <w:r>
        <w:rPr>
          <w:rStyle w:val="da"/>
          <w:rFonts w:ascii="宋体" w:hAnsi="Calibri" w:cs="宋体" w:hint="eastAsia"/>
          <w:szCs w:val="21"/>
          <w:highlight w:val="white"/>
          <w:lang w:eastAsia="zh-CN"/>
        </w:rPr>
        <w:t>按规定收取</w:t>
      </w:r>
      <w:r>
        <w:rPr>
          <w:rFonts w:ascii="宋体" w:hAnsi="Calibri" w:cs="宋体" w:hint="eastAsia"/>
          <w:szCs w:val="21"/>
          <w:highlight w:val="white"/>
          <w:lang w:eastAsia="zh-CN"/>
        </w:rPr>
        <w:t xml:space="preserve">的认购费用由认购该类基金份额的投资人承担，主要用于本基金的市场推广、销售等募集期间发生的各项费用。 </w:t>
      </w:r>
    </w:p>
    <w:p w:rsidR="00257FC2">
      <w:pPr>
        <w:spacing w:line="360" w:lineRule="auto"/>
        <w:ind w:firstLine="420"/>
        <w:rPr>
          <w:rFonts w:ascii="宋体" w:hAnsi="Calibri" w:cs="宋体"/>
          <w:szCs w:val="21"/>
          <w:highlight w:val="white"/>
          <w:lang w:eastAsia="zh-CN"/>
        </w:rPr>
      </w:pPr>
      <w:r>
        <w:rPr>
          <w:rFonts w:ascii="宋体" w:hAnsi="Calibri" w:cs="宋体" w:hint="eastAsia"/>
          <w:szCs w:val="21"/>
          <w:highlight w:val="white"/>
          <w:lang w:eastAsia="zh-CN"/>
        </w:rPr>
        <w:t>本基金C类基金份额不收取认购费用</w:t>
      </w:r>
      <w:r>
        <w:rPr>
          <w:rFonts w:ascii="宋体" w:hAnsi="Calibri" w:cs="宋体"/>
          <w:color w:val="000000"/>
          <w:szCs w:val="21"/>
          <w:highlight w:val="white"/>
          <w:lang w:eastAsia="zh-CN"/>
        </w:rPr>
        <w:t>，在投资者持有期间</w:t>
      </w:r>
      <w:r>
        <w:rPr>
          <w:rFonts w:ascii="宋体" w:hAnsi="宋体" w:cs="宋体"/>
          <w:color w:val="000000"/>
          <w:highlight w:val="white"/>
          <w:lang w:eastAsia="zh-CN"/>
        </w:rPr>
        <w:t>计提</w:t>
      </w:r>
      <w:r>
        <w:rPr>
          <w:rFonts w:ascii="宋体" w:hAnsi="宋体" w:cs="宋体"/>
          <w:color w:val="000000"/>
          <w:szCs w:val="21"/>
          <w:highlight w:val="white"/>
          <w:lang w:eastAsia="zh-CN"/>
        </w:rPr>
        <w:t>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p>
    <w:p w:rsidR="00257FC2">
      <w:pPr>
        <w:spacing w:line="360" w:lineRule="auto"/>
        <w:ind w:firstLine="420"/>
        <w:rPr>
          <w:rFonts w:ascii="宋体" w:hAnsi="Calibri" w:cs="宋体"/>
          <w:szCs w:val="21"/>
          <w:highlight w:val="white"/>
          <w:lang w:eastAsia="zh-CN"/>
        </w:rPr>
      </w:pPr>
      <w:r>
        <w:rPr>
          <w:rFonts w:ascii="宋体" w:hAnsi="宋体" w:cs="宋体" w:hint="eastAsia"/>
          <w:szCs w:val="21"/>
          <w:lang w:eastAsia="zh-CN" w:bidi="ar"/>
        </w:rPr>
        <w:t>本基金暂不开通基金管理人及其基金销售子公司销售本基金C类基金份额，若日后开通，将另行公告。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（2）认购份额的计算</w:t>
      </w:r>
    </w:p>
    <w:p w:rsidR="00257FC2">
      <w:pPr>
        <w:spacing w:line="360" w:lineRule="auto"/>
        <w:ind w:firstLine="420"/>
        <w:rPr>
          <w:rFonts w:ascii="宋体" w:hAnsi="Calibri"/>
          <w:lang w:eastAsia="zh-CN"/>
        </w:rPr>
      </w:pPr>
      <w:r>
        <w:rPr>
          <w:rFonts w:ascii="宋体" w:hAnsi="Calibri"/>
          <w:highlight w:val="white"/>
          <w:lang w:eastAsia="zh-CN"/>
        </w:rPr>
        <w:t xml:space="preserve">本基金认购采用金额认购方式。计算公式如下： </w:t>
      </w:r>
    </w:p>
    <w:p w:rsidR="00257FC2">
      <w:pPr>
        <w:spacing w:line="360" w:lineRule="auto"/>
        <w:ind w:firstLine="420"/>
        <w:rPr>
          <w:rFonts w:ascii="宋体" w:hAnsi="Calibri"/>
          <w:szCs w:val="21"/>
          <w:lang w:eastAsia="zh-CN"/>
        </w:rPr>
      </w:pPr>
      <w:r>
        <w:rPr>
          <w:rFonts w:ascii="宋体" w:hAnsi="Calibri"/>
          <w:szCs w:val="21"/>
          <w:highlight w:val="white"/>
          <w:lang w:eastAsia="zh-CN"/>
        </w:rPr>
        <w:t>a.若投资人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rFonts w:ascii="宋体" w:hAnsi="Calibri"/>
          <w:szCs w:val="21"/>
          <w:highlight w:val="white"/>
          <w:lang w:eastAsia="zh-CN"/>
        </w:rPr>
        <w:t>认购本基金A类</w:t>
      </w:r>
      <w:r>
        <w:rPr>
          <w:rFonts w:ascii="宋体" w:hAnsi="Calibri" w:hint="eastAsia"/>
          <w:szCs w:val="21"/>
          <w:highlight w:val="white"/>
          <w:lang w:eastAsia="zh-CN"/>
        </w:rPr>
        <w:t>基金</w:t>
      </w:r>
      <w:r>
        <w:rPr>
          <w:rFonts w:ascii="宋体" w:hAnsi="Calibri"/>
          <w:szCs w:val="21"/>
          <w:highlight w:val="white"/>
          <w:lang w:eastAsia="zh-CN"/>
        </w:rPr>
        <w:t>份额，则认购份额的计算公式为：</w:t>
      </w:r>
    </w:p>
    <w:p w:rsidR="00257FC2">
      <w:pPr>
        <w:spacing w:line="360" w:lineRule="auto"/>
        <w:ind w:firstLine="420"/>
        <w:rPr>
          <w:rFonts w:ascii="宋体" w:hAnsi="Calibri"/>
          <w:lang w:eastAsia="zh-CN"/>
        </w:rPr>
      </w:pPr>
      <w:r>
        <w:rPr>
          <w:rFonts w:ascii="宋体" w:hAnsi="Calibri"/>
          <w:highlight w:val="white"/>
          <w:lang w:eastAsia="zh-CN"/>
        </w:rPr>
        <w:t xml:space="preserve">净认购金额=认购金额/（1+认购费率） </w:t>
      </w:r>
    </w:p>
    <w:p w:rsidR="00257FC2">
      <w:pPr>
        <w:spacing w:line="360" w:lineRule="auto"/>
        <w:ind w:firstLine="420"/>
        <w:rPr>
          <w:rFonts w:ascii="宋体" w:hAnsi="Calibri"/>
          <w:lang w:eastAsia="zh-CN"/>
        </w:rPr>
      </w:pPr>
      <w:r>
        <w:rPr>
          <w:rFonts w:ascii="宋体" w:hAnsi="Calibri"/>
          <w:highlight w:val="white"/>
          <w:lang w:eastAsia="zh-CN"/>
        </w:rPr>
        <w:t>（注：对于认购金额在500万元（含）以上适用固定金额认购费的认购，净认购金额=认购金额－固定认购费金额）</w:t>
      </w:r>
    </w:p>
    <w:p w:rsidR="00257FC2">
      <w:pPr>
        <w:spacing w:line="360" w:lineRule="auto"/>
        <w:ind w:firstLine="420"/>
        <w:rPr>
          <w:rFonts w:ascii="宋体" w:hAnsi="Calibri"/>
          <w:lang w:eastAsia="zh-CN"/>
        </w:rPr>
      </w:pPr>
      <w:r>
        <w:rPr>
          <w:rFonts w:ascii="宋体" w:hAnsi="Calibri"/>
          <w:highlight w:val="white"/>
          <w:lang w:eastAsia="zh-CN"/>
        </w:rPr>
        <w:t xml:space="preserve">认购费用=认购金额-净认购金额 </w:t>
      </w:r>
    </w:p>
    <w:p w:rsidR="00257FC2">
      <w:pPr>
        <w:spacing w:line="360" w:lineRule="auto"/>
        <w:ind w:firstLine="420"/>
        <w:rPr>
          <w:rFonts w:ascii="宋体" w:hAnsi="Calibri"/>
          <w:lang w:eastAsia="zh-CN"/>
        </w:rPr>
      </w:pPr>
      <w:r>
        <w:rPr>
          <w:rFonts w:ascii="宋体" w:hAnsi="Calibri"/>
          <w:highlight w:val="white"/>
          <w:lang w:eastAsia="zh-CN"/>
        </w:rPr>
        <w:t xml:space="preserve">认购份额=（净认购金额+认购利息）/基金份额面值 </w:t>
      </w:r>
    </w:p>
    <w:p w:rsidR="00257FC2">
      <w:pPr>
        <w:spacing w:line="360" w:lineRule="auto"/>
        <w:ind w:firstLine="420"/>
        <w:rPr>
          <w:rFonts w:ascii="宋体" w:hAnsi="Calibri"/>
          <w:lang w:eastAsia="zh-CN"/>
        </w:rPr>
      </w:pPr>
      <w:r>
        <w:rPr>
          <w:rFonts w:ascii="宋体" w:hAnsi="Calibri" w:hint="eastAsia"/>
          <w:highlight w:val="white"/>
          <w:lang w:eastAsia="zh-CN"/>
        </w:rPr>
        <w:t>例一：某投资人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highlight w:val="white"/>
          <w:lang w:eastAsia="zh-CN"/>
        </w:rPr>
        <w:t>认购</w:t>
      </w:r>
      <w:r>
        <w:rPr>
          <w:rFonts w:ascii="宋体" w:hAnsi="Calibri" w:hint="eastAsia"/>
          <w:highlight w:val="white"/>
          <w:lang w:eastAsia="zh-CN"/>
        </w:rPr>
        <w:t>本基金</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ghlight w:val="white"/>
          <w:lang w:eastAsia="zh-CN"/>
        </w:rPr>
        <w:t>100,000</w:t>
      </w:r>
      <w:r>
        <w:rPr>
          <w:rFonts w:ascii="宋体" w:hAnsi="Calibri" w:hint="eastAsia"/>
          <w:highlight w:val="white"/>
          <w:lang w:eastAsia="zh-CN"/>
        </w:rPr>
        <w:t>元，认购费率为</w:t>
      </w:r>
      <w:r>
        <w:rPr>
          <w:rFonts w:ascii="宋体" w:hAnsi="Calibri"/>
          <w:highlight w:val="white"/>
          <w:lang w:eastAsia="zh-CN"/>
        </w:rPr>
        <w:t>0.30%</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元，则可认购</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为：</w:t>
      </w:r>
      <w:r>
        <w:rPr>
          <w:rFonts w:ascii="宋体" w:hAnsi="Calibri"/>
          <w:highlight w:val="white"/>
          <w:lang w:eastAsia="zh-CN"/>
        </w:rPr>
        <w:t xml:space="preserve"> </w:t>
      </w:r>
    </w:p>
    <w:p w:rsidR="00257FC2">
      <w:pPr>
        <w:spacing w:line="360" w:lineRule="auto"/>
        <w:ind w:firstLine="420" w:firstLineChars="200"/>
        <w:rPr>
          <w:rFonts w:ascii="宋体" w:hAnsi="Calibri"/>
          <w:lang w:eastAsia="zh-CN"/>
        </w:rPr>
      </w:pPr>
      <w:r>
        <w:rPr>
          <w:rFonts w:ascii="宋体" w:hAnsi="Calibri" w:hint="eastAsia"/>
          <w:highlight w:val="white"/>
          <w:lang w:eastAsia="zh-CN"/>
        </w:rPr>
        <w:t>净认购金额＝100,000/（1＋</w:t>
      </w:r>
      <w:r>
        <w:rPr>
          <w:rFonts w:ascii="宋体" w:hAnsi="Calibri"/>
          <w:highlight w:val="white"/>
          <w:lang w:eastAsia="zh-CN"/>
        </w:rPr>
        <w:t>0.30</w:t>
      </w:r>
      <w:r>
        <w:rPr>
          <w:rFonts w:ascii="宋体" w:hAnsi="Calibri" w:hint="eastAsia"/>
          <w:highlight w:val="white"/>
          <w:lang w:eastAsia="zh-CN"/>
        </w:rPr>
        <w:t>%）＝</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 xml:space="preserve">元 </w:t>
      </w:r>
    </w:p>
    <w:p w:rsidR="00257FC2">
      <w:pPr>
        <w:spacing w:line="360" w:lineRule="auto"/>
        <w:ind w:firstLine="420" w:firstLineChars="200"/>
        <w:rPr>
          <w:rFonts w:ascii="宋体" w:hAnsi="Calibri"/>
          <w:lang w:eastAsia="zh-CN"/>
        </w:rPr>
      </w:pPr>
      <w:r>
        <w:rPr>
          <w:rFonts w:ascii="宋体" w:hAnsi="Calibri" w:hint="eastAsia"/>
          <w:highlight w:val="white"/>
          <w:lang w:eastAsia="zh-CN"/>
        </w:rPr>
        <w:t>认购费用＝100,000-</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w:t>
      </w:r>
      <w:r>
        <w:rPr>
          <w:rFonts w:ascii="宋体" w:hAnsi="Calibri"/>
          <w:highlight w:val="white"/>
          <w:lang w:eastAsia="zh-CN"/>
        </w:rPr>
        <w:t>299.10</w:t>
      </w:r>
      <w:r>
        <w:rPr>
          <w:rFonts w:ascii="宋体" w:hAnsi="Calibri" w:hint="eastAsia"/>
          <w:highlight w:val="white"/>
          <w:lang w:eastAsia="zh-CN"/>
        </w:rPr>
        <w:t xml:space="preserve">元 </w:t>
      </w:r>
    </w:p>
    <w:p w:rsidR="00257FC2">
      <w:pPr>
        <w:spacing w:line="360" w:lineRule="auto"/>
        <w:ind w:firstLine="420"/>
        <w:rPr>
          <w:rFonts w:ascii="宋体" w:hAnsi="Calibri"/>
          <w:lang w:eastAsia="zh-CN"/>
        </w:rPr>
      </w:pPr>
      <w:r>
        <w:rPr>
          <w:rFonts w:ascii="宋体" w:hAnsi="Calibri" w:hint="eastAsia"/>
          <w:highlight w:val="white"/>
          <w:lang w:eastAsia="zh-CN"/>
        </w:rPr>
        <w:t>认购份额＝（</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w:t>
      </w:r>
      <w:r>
        <w:rPr>
          <w:rFonts w:ascii="宋体" w:hAnsi="Calibri"/>
          <w:highlight w:val="white"/>
          <w:lang w:eastAsia="zh-CN"/>
        </w:rPr>
        <w:t>5</w:t>
      </w:r>
      <w:r>
        <w:rPr>
          <w:rFonts w:ascii="宋体" w:hAnsi="Calibri" w:hint="eastAsia"/>
          <w:highlight w:val="white"/>
          <w:lang w:eastAsia="zh-CN"/>
        </w:rPr>
        <w:t>0）/1.00＝</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750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份</w:t>
      </w:r>
    </w:p>
    <w:p w:rsidR="00257FC2">
      <w:pPr>
        <w:spacing w:line="360" w:lineRule="auto"/>
        <w:ind w:firstLine="420"/>
        <w:rPr>
          <w:rFonts w:ascii="宋体" w:hAnsi="Calibri"/>
          <w:lang w:eastAsia="zh-CN"/>
        </w:rPr>
      </w:pPr>
      <w:r>
        <w:rPr>
          <w:rFonts w:ascii="宋体" w:hAnsi="Calibri" w:hint="eastAsia"/>
          <w:highlight w:val="white"/>
          <w:lang w:eastAsia="zh-CN"/>
        </w:rPr>
        <w:t>即：该投资人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rFonts w:ascii="宋体" w:hAnsi="Calibri" w:hint="eastAsia"/>
          <w:highlight w:val="white"/>
          <w:lang w:eastAsia="zh-CN"/>
        </w:rPr>
        <w:t>投资</w:t>
      </w:r>
      <w:r>
        <w:rPr>
          <w:rFonts w:ascii="宋体" w:hAnsi="Calibri"/>
          <w:highlight w:val="white"/>
          <w:lang w:eastAsia="zh-CN"/>
        </w:rPr>
        <w:t>100,000</w:t>
      </w:r>
      <w:r>
        <w:rPr>
          <w:rFonts w:ascii="宋体" w:hAnsi="Calibri" w:hint="eastAsia"/>
          <w:highlight w:val="white"/>
          <w:lang w:eastAsia="zh-CN"/>
        </w:rPr>
        <w:t>元认购本基金</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元，可得到</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750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份</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w:t>
      </w:r>
      <w:r>
        <w:rPr>
          <w:rFonts w:ascii="宋体" w:hAnsi="Calibri"/>
          <w:highlight w:val="white"/>
          <w:lang w:eastAsia="zh-CN"/>
        </w:rPr>
        <w:t xml:space="preserve"> </w:t>
      </w:r>
    </w:p>
    <w:p w:rsidR="00257FC2">
      <w:pPr>
        <w:spacing w:line="360" w:lineRule="auto"/>
        <w:ind w:firstLine="420"/>
        <w:rPr>
          <w:rFonts w:ascii="宋体" w:hAnsi="Calibri"/>
          <w:szCs w:val="21"/>
          <w:lang w:eastAsia="zh-CN"/>
        </w:rPr>
      </w:pPr>
      <w:r>
        <w:rPr>
          <w:rFonts w:ascii="宋体" w:hAnsi="Calibri"/>
          <w:szCs w:val="21"/>
          <w:highlight w:val="white"/>
          <w:lang w:eastAsia="zh-CN"/>
        </w:rPr>
        <w:t>b.若投资人选择认购本基金C类</w:t>
      </w:r>
      <w:r>
        <w:rPr>
          <w:rFonts w:ascii="宋体" w:hAnsi="Calibri" w:hint="eastAsia"/>
          <w:szCs w:val="21"/>
          <w:highlight w:val="white"/>
          <w:lang w:eastAsia="zh-CN"/>
        </w:rPr>
        <w:t>基金</w:t>
      </w:r>
      <w:r>
        <w:rPr>
          <w:rFonts w:ascii="宋体" w:hAnsi="Calibri"/>
          <w:szCs w:val="21"/>
          <w:highlight w:val="white"/>
          <w:lang w:eastAsia="zh-CN"/>
        </w:rPr>
        <w:t>份额，</w:t>
      </w:r>
      <w:r>
        <w:rPr>
          <w:rFonts w:ascii="宋体" w:hAnsi="Calibri" w:hint="eastAsia"/>
          <w:szCs w:val="21"/>
          <w:highlight w:val="white"/>
          <w:lang w:eastAsia="zh-CN"/>
        </w:rPr>
        <w:t>或者通过基金管理人或其基金销售子公司认购本基金A类基金份额，</w:t>
      </w:r>
      <w:r>
        <w:rPr>
          <w:rFonts w:ascii="宋体" w:hAnsi="Calibri"/>
          <w:szCs w:val="21"/>
          <w:highlight w:val="white"/>
          <w:lang w:eastAsia="zh-CN"/>
        </w:rPr>
        <w:t>则认购份额的计算公式为：</w:t>
      </w:r>
    </w:p>
    <w:p w:rsidR="00257FC2">
      <w:pPr>
        <w:spacing w:line="360" w:lineRule="auto"/>
        <w:ind w:firstLine="420"/>
        <w:rPr>
          <w:rFonts w:ascii="宋体" w:hAnsi="Calibri"/>
          <w:szCs w:val="21"/>
          <w:lang w:eastAsia="zh-CN"/>
        </w:rPr>
      </w:pPr>
      <w:r>
        <w:rPr>
          <w:rFonts w:ascii="宋体" w:hAnsi="Calibri"/>
          <w:szCs w:val="21"/>
          <w:highlight w:val="white"/>
          <w:lang w:eastAsia="zh-CN"/>
        </w:rPr>
        <w:t xml:space="preserve">认购份额=(认购金额+认购利息)/基金份额面值 </w:t>
      </w:r>
    </w:p>
    <w:p w:rsidR="00257FC2">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二</w:t>
      </w:r>
      <w:r>
        <w:rPr>
          <w:rFonts w:ascii="宋体" w:hAnsi="Calibri"/>
          <w:szCs w:val="21"/>
          <w:highlight w:val="white"/>
          <w:lang w:eastAsia="zh-CN"/>
        </w:rPr>
        <w:t>：某投资人</w:t>
      </w:r>
      <w:r>
        <w:rPr>
          <w:rFonts w:ascii="宋体" w:hAnsi="Calibri"/>
          <w:szCs w:val="21"/>
          <w:highlight w:val="white"/>
          <w:lang w:eastAsia="zh-CN"/>
        </w:rPr>
        <w:t>认购</w:t>
      </w:r>
      <w:r>
        <w:rPr>
          <w:rFonts w:ascii="宋体" w:hAnsi="Calibri"/>
          <w:szCs w:val="21"/>
          <w:highlight w:val="white"/>
          <w:lang w:eastAsia="zh-CN"/>
        </w:rPr>
        <w:t>本基金C类</w:t>
      </w:r>
      <w:r>
        <w:rPr>
          <w:rFonts w:ascii="宋体" w:hAnsi="Calibri" w:hint="eastAsia"/>
          <w:szCs w:val="21"/>
          <w:highlight w:val="white"/>
          <w:lang w:eastAsia="zh-CN"/>
        </w:rPr>
        <w:t>基金</w:t>
      </w:r>
      <w:r>
        <w:rPr>
          <w:rFonts w:ascii="宋体" w:hAnsi="Calibri"/>
          <w:szCs w:val="21"/>
          <w:highlight w:val="white"/>
          <w:lang w:eastAsia="zh-CN"/>
        </w:rPr>
        <w:t xml:space="preserve">份额100,000元，假定该笔有效认购申请金额募集期产生的利息为50元，则可认购C类基金份额为： </w:t>
      </w:r>
    </w:p>
    <w:p w:rsidR="00257FC2">
      <w:pPr>
        <w:spacing w:line="360" w:lineRule="auto"/>
        <w:ind w:firstLine="420"/>
        <w:rPr>
          <w:rFonts w:ascii="宋体" w:hAnsi="Calibri"/>
          <w:szCs w:val="21"/>
          <w:lang w:eastAsia="zh-CN"/>
        </w:rPr>
      </w:pPr>
      <w:r>
        <w:rPr>
          <w:rFonts w:ascii="宋体" w:hAnsi="Calibri"/>
          <w:szCs w:val="21"/>
          <w:highlight w:val="white"/>
          <w:lang w:eastAsia="zh-CN"/>
        </w:rPr>
        <w:t xml:space="preserve">认购份额＝(100,000＋50)/1.00＝100,050.00份 </w:t>
      </w:r>
    </w:p>
    <w:p w:rsidR="00257FC2">
      <w:pPr>
        <w:spacing w:line="360" w:lineRule="auto"/>
        <w:ind w:firstLine="420"/>
        <w:rPr>
          <w:rFonts w:ascii="宋体" w:hAnsi="Calibri"/>
          <w:szCs w:val="21"/>
          <w:lang w:eastAsia="zh-CN"/>
        </w:rPr>
      </w:pPr>
      <w:r>
        <w:rPr>
          <w:rFonts w:ascii="宋体" w:hAnsi="Calibri"/>
          <w:szCs w:val="21"/>
          <w:highlight w:val="white"/>
          <w:lang w:eastAsia="zh-CN"/>
        </w:rPr>
        <w:t>即：该投资人投资100,000元认购本基金C类</w:t>
      </w:r>
      <w:r>
        <w:rPr>
          <w:rFonts w:ascii="宋体" w:hAnsi="Calibri" w:hint="eastAsia"/>
          <w:szCs w:val="21"/>
          <w:highlight w:val="white"/>
          <w:lang w:eastAsia="zh-CN"/>
        </w:rPr>
        <w:t>基金</w:t>
      </w:r>
      <w:r>
        <w:rPr>
          <w:rFonts w:ascii="宋体" w:hAnsi="Calibri"/>
          <w:szCs w:val="21"/>
          <w:highlight w:val="white"/>
          <w:lang w:eastAsia="zh-CN"/>
        </w:rPr>
        <w:t>份额，假定该笔有效认购申请金额募集期产生的利息为50元，可得到100,050.00份C类基金份额。</w:t>
      </w:r>
    </w:p>
    <w:p w:rsidR="00257FC2">
      <w:pPr>
        <w:spacing w:line="360" w:lineRule="auto"/>
        <w:ind w:firstLine="420"/>
        <w:rPr>
          <w:rFonts w:ascii="宋体" w:hAnsi="Calibri" w:cs="宋体"/>
          <w:szCs w:val="21"/>
          <w:lang w:eastAsia="zh-CN"/>
        </w:rPr>
      </w:pPr>
      <w:r>
        <w:rPr>
          <w:rFonts w:ascii="宋体" w:hAnsi="Calibri"/>
          <w:highlight w:val="white"/>
          <w:lang w:eastAsia="zh-CN"/>
        </w:rPr>
        <w:t>（3）认购份额的计算中涉及金额的计算结果均以人民币元为单位，四舍五入，保留小数点后2位；认购份数采取四舍五入的方法保留小数点后2位，由此产生的误差计入基金财产。认购费用不属于基金资产。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6、认购的确认 </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当日（T日）在规定时间内提交的申请，投资人通常可在T+2日后（包括该日）到基金销售网点查询交易情况。销售机构对投资人认购申请的受理并不表示对该申请的成功确认，而仅代表</w:t>
      </w:r>
      <w:r>
        <w:rPr>
          <w:rFonts w:ascii="宋体" w:hAnsi="Calibri" w:cs="宋体" w:hint="eastAsia"/>
          <w:szCs w:val="21"/>
          <w:highlight w:val="white"/>
          <w:lang w:eastAsia="zh-CN"/>
        </w:rPr>
        <w:t>销售机构</w:t>
      </w:r>
      <w:r>
        <w:rPr>
          <w:rFonts w:ascii="宋体" w:hAnsi="Calibri" w:cs="宋体"/>
          <w:szCs w:val="21"/>
          <w:highlight w:val="white"/>
          <w:lang w:eastAsia="zh-CN"/>
        </w:rPr>
        <w:t>确实收到了认购申请。申请是否有效应以基金登记机构的确认登记为准。</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投资人开户和认购所需提交的文件和办理的具体程序，请参阅基金份额发售公告。 </w:t>
      </w:r>
    </w:p>
    <w:p w:rsidR="00257FC2">
      <w:pPr>
        <w:spacing w:line="360" w:lineRule="auto"/>
        <w:ind w:firstLine="420"/>
        <w:rPr>
          <w:rStyle w:val="da"/>
          <w:rFonts w:ascii="宋体" w:hAnsi="Calibri" w:cs="宋体"/>
          <w:szCs w:val="21"/>
          <w:lang w:eastAsia="zh-CN"/>
        </w:rPr>
      </w:pPr>
      <w:bookmarkStart w:id="1795" w:name="_Toc332373494"/>
      <w:r>
        <w:rPr>
          <w:rStyle w:val="da"/>
          <w:rFonts w:ascii="宋体" w:hAnsi="Calibri" w:cs="宋体" w:hint="eastAsia"/>
          <w:szCs w:val="21"/>
          <w:highlight w:val="white"/>
          <w:lang w:eastAsia="zh-CN"/>
        </w:rPr>
        <w:t>八、募集期间的资金存放和费用</w:t>
      </w:r>
      <w:bookmarkEnd w:id="1795"/>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257FC2">
      <w:pPr>
        <w:pStyle w:val="Heading1"/>
        <w:pageBreakBefore/>
        <w:spacing w:before="317" w:after="317" w:line="360" w:lineRule="auto"/>
        <w:ind w:firstLine="640"/>
        <w:rPr>
          <w:rFonts w:ascii="宋体" w:eastAsia="宋体" w:hAnsi="Calibri" w:cs="宋体"/>
          <w:bCs/>
          <w:sz w:val="30"/>
          <w:szCs w:val="30"/>
          <w:lang w:eastAsia="zh-CN"/>
        </w:rPr>
      </w:pPr>
      <w:bookmarkStart w:id="1796" w:name="_Toc129511530"/>
      <w:bookmarkStart w:id="1797" w:name="_Toc332373495"/>
      <w:r>
        <w:rPr>
          <w:rFonts w:ascii="宋体" w:eastAsia="宋体" w:hAnsi="Calibri" w:cs="宋体" w:hint="eastAsia"/>
          <w:bCs/>
          <w:sz w:val="30"/>
          <w:szCs w:val="30"/>
          <w:highlight w:val="white"/>
          <w:lang w:eastAsia="zh-CN"/>
        </w:rPr>
        <w:t>第</w:t>
      </w:r>
      <w:r>
        <w:rPr>
          <w:rFonts w:ascii="宋体" w:eastAsia="宋体" w:hAnsi="Calibri" w:cs="宋体"/>
          <w:bCs/>
          <w:sz w:val="30"/>
          <w:szCs w:val="30"/>
          <w:highlight w:val="white"/>
          <w:lang w:eastAsia="zh-CN"/>
        </w:rPr>
        <w:t>八</w:t>
      </w:r>
      <w:r>
        <w:rPr>
          <w:rFonts w:ascii="宋体" w:eastAsia="宋体" w:hAnsi="Calibri" w:cs="宋体" w:hint="eastAsia"/>
          <w:bCs/>
          <w:sz w:val="30"/>
          <w:szCs w:val="30"/>
          <w:highlight w:val="white"/>
          <w:lang w:eastAsia="zh-CN"/>
        </w:rPr>
        <w:t>部分</w:t>
      </w:r>
      <w:r>
        <w:rPr>
          <w:rFonts w:ascii="宋体" w:eastAsia="宋体" w:hAnsi="Calibri" w:cs="宋体"/>
          <w:bCs/>
          <w:sz w:val="30"/>
          <w:szCs w:val="30"/>
          <w:highlight w:val="white"/>
          <w:lang w:eastAsia="zh-CN"/>
        </w:rPr>
        <w:t xml:space="preserve"> </w:t>
      </w:r>
      <w:r>
        <w:rPr>
          <w:rFonts w:ascii="宋体" w:eastAsia="宋体" w:hAnsi="Calibri" w:cs="宋体" w:hint="eastAsia"/>
          <w:bCs/>
          <w:sz w:val="30"/>
          <w:szCs w:val="30"/>
          <w:highlight w:val="white"/>
          <w:lang w:eastAsia="zh-CN"/>
        </w:rPr>
        <w:t>基金合同的生效</w:t>
      </w:r>
      <w:bookmarkEnd w:id="1796"/>
      <w:bookmarkEnd w:id="1797"/>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一、基金备案的条件</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二、基金合同不能生效时募集资金的处理方式</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如果募集期限届满，未满足基金备案条件，基金管理人应当承担下列责任：</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1、以其固有财产承担因募集行为而产生的债务和费用；</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2、在基金募集期限届满后30日内返还投资者已缴纳的款项，并加计银行同期活期存款利息；</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三、基金存续期内的基金份额持有人数量和资产规模</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257FC2">
      <w:pPr>
        <w:spacing w:line="360" w:lineRule="auto"/>
        <w:ind w:firstLine="420"/>
        <w:rPr>
          <w:rFonts w:ascii="宋体" w:hAnsi="Calibri" w:cs="宋体"/>
          <w:lang w:eastAsia="zh-CN"/>
        </w:rPr>
      </w:pPr>
      <w:r>
        <w:rPr>
          <w:rFonts w:ascii="宋体" w:hAnsi="Calibri" w:cs="宋体" w:hint="eastAsia"/>
          <w:szCs w:val="21"/>
          <w:highlight w:val="white"/>
          <w:lang w:eastAsia="zh-CN"/>
        </w:rPr>
        <w:t>法律法规或中国证监会另有规定时，从其规定。</w:t>
      </w:r>
    </w:p>
    <w:p w:rsidR="00257FC2">
      <w:pPr>
        <w:spacing w:line="360" w:lineRule="auto"/>
        <w:ind w:firstLine="420"/>
        <w:rPr>
          <w:rFonts w:ascii="宋体" w:hAnsi="Calibri" w:cs="宋体"/>
          <w:lang w:eastAsia="zh-CN"/>
        </w:rPr>
      </w:pPr>
    </w:p>
    <w:p w:rsidR="00257FC2">
      <w:pPr>
        <w:pStyle w:val="Heading1"/>
        <w:pageBreakBefore/>
        <w:spacing w:before="317" w:after="317" w:line="360" w:lineRule="auto"/>
        <w:ind w:firstLine="0"/>
        <w:rPr>
          <w:rFonts w:ascii="宋体" w:eastAsia="宋体" w:hAnsi="Calibri" w:cs="宋体"/>
          <w:bCs/>
          <w:sz w:val="30"/>
          <w:szCs w:val="30"/>
          <w:lang w:eastAsia="zh-CN"/>
        </w:rPr>
      </w:pPr>
      <w:bookmarkStart w:id="1798" w:name="_Toc129511531"/>
      <w:bookmarkStart w:id="1799" w:name="_Toc332373499"/>
      <w:r>
        <w:rPr>
          <w:rFonts w:ascii="宋体" w:eastAsia="宋体" w:hAnsi="Calibri" w:cs="宋体" w:hint="eastAsia"/>
          <w:bCs/>
          <w:sz w:val="30"/>
          <w:szCs w:val="30"/>
          <w:highlight w:val="white"/>
          <w:lang w:eastAsia="zh-CN"/>
        </w:rPr>
        <w:t>第</w:t>
      </w:r>
      <w:r>
        <w:rPr>
          <w:rFonts w:ascii="宋体" w:eastAsia="宋体" w:hAnsi="Calibri" w:cs="宋体"/>
          <w:bCs/>
          <w:sz w:val="30"/>
          <w:szCs w:val="30"/>
          <w:highlight w:val="white"/>
          <w:lang w:eastAsia="zh-CN"/>
        </w:rPr>
        <w:t>九</w:t>
      </w:r>
      <w:r>
        <w:rPr>
          <w:rFonts w:ascii="宋体" w:eastAsia="宋体" w:hAnsi="Calibri" w:cs="宋体" w:hint="eastAsia"/>
          <w:bCs/>
          <w:sz w:val="30"/>
          <w:szCs w:val="30"/>
          <w:highlight w:val="white"/>
          <w:lang w:eastAsia="zh-CN"/>
        </w:rPr>
        <w:t>部分</w:t>
      </w:r>
      <w:r>
        <w:rPr>
          <w:rFonts w:ascii="宋体" w:eastAsia="宋体" w:hAnsi="Calibri" w:cs="宋体"/>
          <w:bCs/>
          <w:sz w:val="30"/>
          <w:szCs w:val="30"/>
          <w:highlight w:val="white"/>
          <w:lang w:eastAsia="zh-CN"/>
        </w:rPr>
        <w:t xml:space="preserve"> </w:t>
      </w:r>
      <w:r>
        <w:rPr>
          <w:rFonts w:ascii="宋体" w:eastAsia="宋体" w:hAnsi="Calibri" w:cs="宋体" w:hint="eastAsia"/>
          <w:bCs/>
          <w:sz w:val="30"/>
          <w:szCs w:val="30"/>
          <w:highlight w:val="white"/>
          <w:lang w:eastAsia="zh-CN"/>
        </w:rPr>
        <w:t>基金份额的申购、赎回</w:t>
      </w:r>
      <w:bookmarkEnd w:id="1798"/>
      <w:bookmarkEnd w:id="1799"/>
    </w:p>
    <w:p w:rsidR="00257FC2">
      <w:pPr>
        <w:spacing w:line="360" w:lineRule="auto"/>
        <w:ind w:firstLine="420"/>
        <w:rPr>
          <w:rStyle w:val="da"/>
          <w:rFonts w:ascii="宋体" w:hAnsi="Calibri" w:cs="宋体"/>
          <w:szCs w:val="21"/>
          <w:lang w:eastAsia="zh-CN"/>
        </w:rPr>
      </w:pPr>
      <w:bookmarkStart w:id="1800" w:name="_Toc332373500"/>
      <w:r>
        <w:rPr>
          <w:rStyle w:val="da"/>
          <w:rFonts w:ascii="宋体" w:hAnsi="Calibri" w:cs="宋体" w:hint="eastAsia"/>
          <w:szCs w:val="21"/>
          <w:highlight w:val="white"/>
          <w:lang w:eastAsia="zh-CN"/>
        </w:rPr>
        <w:t>一、基金投资人范围</w:t>
      </w:r>
      <w:bookmarkEnd w:id="1800"/>
    </w:p>
    <w:p w:rsidR="00257FC2">
      <w:pPr>
        <w:spacing w:line="360" w:lineRule="auto"/>
        <w:ind w:firstLine="424"/>
        <w:rPr>
          <w:rFonts w:ascii="宋体" w:hAnsi="Calibri" w:cs="宋体"/>
          <w:szCs w:val="21"/>
          <w:lang w:eastAsia="zh-CN"/>
        </w:rPr>
      </w:pPr>
      <w:r>
        <w:rPr>
          <w:rFonts w:ascii="宋体" w:hAnsi="Calibri"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257FC2">
      <w:pPr>
        <w:spacing w:line="360" w:lineRule="auto"/>
        <w:ind w:firstLine="420"/>
        <w:rPr>
          <w:rStyle w:val="da"/>
          <w:rFonts w:ascii="宋体" w:hAnsi="Calibri" w:cs="宋体"/>
          <w:lang w:eastAsia="zh-CN"/>
        </w:rPr>
      </w:pPr>
      <w:bookmarkStart w:id="1801" w:name="_Toc332373501"/>
      <w:r>
        <w:rPr>
          <w:rStyle w:val="da"/>
          <w:rFonts w:ascii="宋体" w:hAnsi="Calibri" w:cs="宋体" w:hint="eastAsia"/>
          <w:highlight w:val="white"/>
          <w:lang w:eastAsia="zh-CN"/>
        </w:rPr>
        <w:t>二、申购与赎回的场所</w:t>
      </w:r>
      <w:bookmarkEnd w:id="1801"/>
    </w:p>
    <w:p w:rsidR="00257FC2">
      <w:pPr>
        <w:spacing w:line="360" w:lineRule="auto"/>
        <w:ind w:firstLine="420"/>
        <w:rPr>
          <w:rFonts w:ascii="宋体" w:hAnsi="Calibri" w:cs="宋体"/>
          <w:bCs/>
          <w:lang w:eastAsia="zh-CN"/>
        </w:rPr>
      </w:pPr>
      <w:r>
        <w:rPr>
          <w:rFonts w:ascii="宋体" w:hAnsi="Calibri"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257FC2">
      <w:pPr>
        <w:spacing w:line="360" w:lineRule="auto"/>
        <w:ind w:firstLine="420"/>
        <w:rPr>
          <w:rFonts w:ascii="宋体" w:hAnsi="Calibri" w:cs="宋体"/>
          <w:bCs/>
          <w:lang w:eastAsia="zh-CN"/>
        </w:rPr>
      </w:pPr>
      <w:r>
        <w:rPr>
          <w:rFonts w:ascii="宋体" w:hAnsi="Calibri" w:cs="宋体" w:hint="eastAsia"/>
          <w:bCs/>
          <w:highlight w:val="white"/>
          <w:lang w:eastAsia="zh-CN"/>
        </w:rPr>
        <w:t>本基金不同类别份额的申购、赎回的销售机构可能不同，具体详见基金管理人网站公示。</w:t>
      </w:r>
    </w:p>
    <w:p w:rsidR="00257FC2">
      <w:pPr>
        <w:spacing w:line="360" w:lineRule="auto"/>
        <w:ind w:firstLine="420"/>
        <w:rPr>
          <w:rStyle w:val="da"/>
          <w:rFonts w:ascii="宋体" w:hAnsi="Calibri" w:cs="宋体"/>
          <w:szCs w:val="21"/>
          <w:lang w:eastAsia="zh-CN"/>
        </w:rPr>
      </w:pPr>
      <w:bookmarkStart w:id="1802" w:name="_Toc332373502"/>
      <w:r>
        <w:rPr>
          <w:rStyle w:val="da"/>
          <w:rFonts w:ascii="宋体" w:hAnsi="Calibri" w:cs="宋体" w:hint="eastAsia"/>
          <w:szCs w:val="21"/>
          <w:highlight w:val="white"/>
          <w:lang w:eastAsia="zh-CN"/>
        </w:rPr>
        <w:t>三、申购与赎回办理的开放日及时间</w:t>
      </w:r>
      <w:bookmarkEnd w:id="1802"/>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1、开放日及开放时间</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投资人在开放日办理基金份额的申购和赎回，本基金的开放日为上海证券交易所、深圳证券交易所的交易日，但基金管理人根据法律法规、中国证监会的要求或基金合同的规定公告暂停申购、赎回时除外。开放日的具体业务办理时间见相关公告。</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2、申购、赎回开始日及业务办理时间</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基金管理人可根据实际情况依法决定本基金开始办理申购的具体日期，具体业务办理时间在申购开始公告中规定。</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基金管理人自基金合同生效之日起不超过三个月开始办理赎回，具体业务办理时间在赎回开始公告中规定。</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257FC2">
      <w:pPr>
        <w:spacing w:line="360" w:lineRule="auto"/>
        <w:ind w:firstLine="420"/>
        <w:rPr>
          <w:rFonts w:ascii="宋体" w:hAnsi="Calibri" w:cs="宋体"/>
          <w:bCs/>
          <w:sz w:val="24"/>
          <w:lang w:eastAsia="zh-CN"/>
        </w:rPr>
      </w:pPr>
      <w:bookmarkStart w:id="1803" w:name="_Toc332373503"/>
      <w:r>
        <w:rPr>
          <w:rStyle w:val="da"/>
          <w:rFonts w:ascii="宋体" w:hAnsi="Calibri" w:cs="宋体" w:hint="eastAsia"/>
          <w:szCs w:val="21"/>
          <w:highlight w:val="white"/>
          <w:lang w:eastAsia="zh-CN"/>
        </w:rPr>
        <w:t>四、</w:t>
      </w:r>
      <w:r>
        <w:rPr>
          <w:rStyle w:val="da"/>
          <w:rFonts w:ascii="宋体" w:hAnsi="Calibri" w:cs="宋体"/>
          <w:szCs w:val="21"/>
          <w:highlight w:val="white"/>
          <w:lang w:eastAsia="zh-CN"/>
        </w:rPr>
        <w:t>申购与赎回的原则</w:t>
      </w:r>
      <w:bookmarkEnd w:id="1803"/>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bCs/>
          <w:szCs w:val="21"/>
          <w:highlight w:val="white"/>
          <w:lang w:eastAsia="zh-CN"/>
        </w:rPr>
        <w:t>“</w:t>
      </w:r>
      <w:r>
        <w:rPr>
          <w:rFonts w:ascii="宋体" w:hAnsi="Calibri" w:cs="宋体"/>
          <w:bCs/>
          <w:szCs w:val="21"/>
          <w:highlight w:val="white"/>
          <w:lang w:eastAsia="zh-CN"/>
        </w:rPr>
        <w:t>未知价</w:t>
      </w:r>
      <w:r>
        <w:rPr>
          <w:rFonts w:ascii="宋体" w:hAnsi="Calibri" w:cs="宋体"/>
          <w:bCs/>
          <w:szCs w:val="21"/>
          <w:highlight w:val="white"/>
          <w:lang w:eastAsia="zh-CN"/>
        </w:rPr>
        <w:t>”</w:t>
      </w:r>
      <w:r>
        <w:rPr>
          <w:rFonts w:ascii="宋体" w:hAnsi="Calibri" w:cs="宋体"/>
          <w:bCs/>
          <w:szCs w:val="21"/>
          <w:highlight w:val="white"/>
          <w:lang w:eastAsia="zh-CN"/>
        </w:rPr>
        <w:t>原则，即申购、赎回价格以申请当日收市后计算的对应份额类别的基金份额净值为基准进行计算；</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bCs/>
          <w:szCs w:val="21"/>
          <w:highlight w:val="white"/>
          <w:lang w:eastAsia="zh-CN"/>
        </w:rPr>
        <w:t>“</w:t>
      </w:r>
      <w:r>
        <w:rPr>
          <w:rFonts w:ascii="宋体" w:hAnsi="Calibri" w:cs="宋体"/>
          <w:bCs/>
          <w:szCs w:val="21"/>
          <w:highlight w:val="white"/>
          <w:lang w:eastAsia="zh-CN"/>
        </w:rPr>
        <w:t>金额申购、份额赎回</w:t>
      </w:r>
      <w:r>
        <w:rPr>
          <w:rFonts w:ascii="宋体" w:hAnsi="Calibri" w:cs="宋体"/>
          <w:bCs/>
          <w:szCs w:val="21"/>
          <w:highlight w:val="white"/>
          <w:lang w:eastAsia="zh-CN"/>
        </w:rPr>
        <w:t>”</w:t>
      </w:r>
      <w:r>
        <w:rPr>
          <w:rFonts w:ascii="宋体" w:hAnsi="Calibri" w:cs="宋体"/>
          <w:bCs/>
          <w:szCs w:val="21"/>
          <w:highlight w:val="white"/>
          <w:lang w:eastAsia="zh-CN"/>
        </w:rPr>
        <w:t>原则，即申购以金额申请，赎回以份额申请；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3、当日的申购与赎回申请可以在基金管理人规定的时间以内撤销；</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5、办理申购、赎回业务时，应当遵循基金份额持有人利益优先原则，确保投资者的合法权益不受损害并得到公平对待。</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五、申购与赎回的程序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1、申购和赎回的申请方式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投资人必须根据销售机构规定的程序，在开放日的具体业务办理时间内提出申购或赎回的申请。</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2、申购和赎回申请的确认</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以交易时间结束前受理有效申购和赎回申请的当天作为申购或赎回申请日（T日），在正常情况下，本基金登记机构在T+1日内对该交易的有效性进行确认。T日提交的有效申请，投资人应在T+2日后（包括该日）</w:t>
      </w:r>
      <w:r>
        <w:rPr>
          <w:rFonts w:ascii="宋体" w:hAnsi="Calibri" w:cs="宋体"/>
          <w:bCs/>
          <w:szCs w:val="21"/>
          <w:highlight w:val="white"/>
          <w:lang w:eastAsia="zh-CN"/>
        </w:rPr>
        <w:t>到销售网点柜台或以销售机构规定的其他方式查询申请的确认情况。若申购不成功，则申购款项本金退还给投资人。</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3、申购和赎回的款项支付</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257FC2">
      <w:pPr>
        <w:spacing w:line="360" w:lineRule="auto"/>
        <w:ind w:firstLine="420"/>
        <w:rPr>
          <w:rStyle w:val="da"/>
          <w:rFonts w:ascii="宋体" w:hAnsi="Calibri" w:cs="宋体"/>
          <w:szCs w:val="21"/>
          <w:lang w:eastAsia="zh-CN"/>
        </w:rPr>
      </w:pPr>
      <w:r>
        <w:rPr>
          <w:rFonts w:ascii="宋体" w:hAnsi="Calibri" w:cs="宋体" w:hint="eastAsia"/>
          <w:szCs w:val="21"/>
          <w:highlight w:val="white"/>
          <w:lang w:eastAsia="zh-CN"/>
        </w:rPr>
        <w:t>基金份额持有人递交赎回申请，赎回成立；登记机构确认赎回时，赎回生效。投资者赎回申请生效后，基金管理人将在</w:t>
      </w:r>
      <w:r>
        <w:rPr>
          <w:rFonts w:ascii="宋体" w:hAnsi="Calibri" w:cs="宋体"/>
          <w:szCs w:val="21"/>
          <w:highlight w:val="white"/>
          <w:lang w:eastAsia="zh-CN"/>
        </w:rPr>
        <w:t>T＋</w:t>
      </w:r>
      <w:r>
        <w:rPr>
          <w:rFonts w:ascii="宋体" w:hAnsi="Calibri" w:cs="宋体" w:hint="eastAsia"/>
          <w:szCs w:val="21"/>
          <w:highlight w:val="white"/>
          <w:lang w:eastAsia="zh-CN"/>
        </w:rPr>
        <w:t>7日（包括该日）</w:t>
      </w:r>
      <w:r>
        <w:rPr>
          <w:rFonts w:ascii="宋体" w:hAnsi="Calibri" w:cs="宋体"/>
          <w:szCs w:val="21"/>
          <w:highlight w:val="white"/>
          <w:lang w:eastAsia="zh-CN"/>
        </w:rPr>
        <w:t>内支付赎回款项。</w:t>
      </w:r>
      <w:r>
        <w:rPr>
          <w:rStyle w:val="da"/>
          <w:rFonts w:ascii="宋体" w:hAnsi="Calibri" w:cs="宋体" w:hint="eastAsia"/>
          <w:szCs w:val="21"/>
          <w:highlight w:val="white"/>
          <w:lang w:eastAsia="zh-CN"/>
        </w:rPr>
        <w:t>如遇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257FC2">
      <w:pPr>
        <w:spacing w:line="360" w:lineRule="auto"/>
        <w:ind w:firstLine="420"/>
        <w:rPr>
          <w:rStyle w:val="da"/>
          <w:rFonts w:ascii="宋体" w:hAnsi="Calibri" w:cs="宋体"/>
          <w:szCs w:val="21"/>
          <w:lang w:eastAsia="zh-CN"/>
        </w:rPr>
      </w:pPr>
      <w:bookmarkStart w:id="1804" w:name="_Toc332373505"/>
      <w:r>
        <w:rPr>
          <w:rStyle w:val="da"/>
          <w:rFonts w:ascii="宋体" w:hAnsi="Calibri" w:cs="宋体" w:hint="eastAsia"/>
          <w:szCs w:val="21"/>
          <w:highlight w:val="white"/>
          <w:lang w:eastAsia="zh-CN"/>
        </w:rPr>
        <w:t>六、申购与赎回的数额限制</w:t>
      </w:r>
      <w:bookmarkEnd w:id="1804"/>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 xml:space="preserve">1、申购金额的限制 </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投资人通过非直销销售机构或本公司网上直销系统首次申购的单笔最低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为人民币1元，追加申购单笔最低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为人民币1元；投资人通过本公司直销中心首次申购的单笔最低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为人民币50,000元，追加申购单笔最低</w:t>
      </w:r>
      <w:r>
        <w:rPr>
          <w:rFonts w:ascii="宋体" w:hAnsi="Calibri" w:cs="宋体"/>
          <w:szCs w:val="21"/>
          <w:highlight w:val="white"/>
          <w:lang w:eastAsia="zh-CN"/>
        </w:rPr>
        <w:t>限额</w:t>
      </w:r>
      <w:r>
        <w:rPr>
          <w:rFonts w:ascii="宋体" w:hAnsi="Calibri" w:cs="宋体" w:hint="eastAsia"/>
          <w:szCs w:val="21"/>
          <w:highlight w:val="white"/>
          <w:lang w:eastAsia="zh-CN"/>
        </w:rPr>
        <w:t>是人民币1,000元。</w:t>
      </w:r>
      <w:r>
        <w:rPr>
          <w:rStyle w:val="da"/>
          <w:rFonts w:ascii="宋体" w:hAnsi="Calibri" w:cs="宋体" w:hint="eastAsia"/>
          <w:highlight w:val="white"/>
          <w:lang w:eastAsia="zh-CN"/>
        </w:rPr>
        <w:t>在符合法律法规规定的前提下，</w:t>
      </w:r>
      <w:r>
        <w:rPr>
          <w:rFonts w:ascii="宋体" w:hAnsi="Calibri" w:cs="宋体" w:hint="eastAsia"/>
          <w:szCs w:val="21"/>
          <w:highlight w:val="white"/>
          <w:lang w:eastAsia="zh-CN"/>
        </w:rPr>
        <w:t>各销售机构对申购</w:t>
      </w:r>
      <w:r>
        <w:rPr>
          <w:rFonts w:ascii="宋体" w:hAnsi="Calibri" w:cs="宋体"/>
          <w:szCs w:val="21"/>
          <w:highlight w:val="white"/>
          <w:lang w:eastAsia="zh-CN"/>
        </w:rPr>
        <w:t>限额</w:t>
      </w:r>
      <w:r>
        <w:rPr>
          <w:rFonts w:ascii="宋体" w:hAnsi="Calibri" w:cs="宋体" w:hint="eastAsia"/>
          <w:szCs w:val="21"/>
          <w:highlight w:val="white"/>
          <w:lang w:eastAsia="zh-CN"/>
        </w:rPr>
        <w:t>及交易级差有其他规定的，需同时遵循该销售机构的相关规定。</w:t>
      </w:r>
      <w:r>
        <w:rPr>
          <w:rFonts w:ascii="宋体" w:hAnsi="Calibri" w:cs="宋体"/>
          <w:szCs w:val="21"/>
          <w:highlight w:val="white"/>
          <w:lang w:eastAsia="zh-CN"/>
        </w:rPr>
        <w:t>（以上金额</w:t>
      </w:r>
      <w:r>
        <w:rPr>
          <w:rFonts w:ascii="宋体" w:hAnsi="Calibri" w:cs="宋体" w:hint="eastAsia"/>
          <w:szCs w:val="21"/>
          <w:highlight w:val="white"/>
          <w:lang w:eastAsia="zh-CN"/>
        </w:rPr>
        <w:t>均</w:t>
      </w:r>
      <w:r>
        <w:rPr>
          <w:rFonts w:ascii="宋体" w:hAnsi="Calibri" w:cs="宋体"/>
          <w:szCs w:val="21"/>
          <w:highlight w:val="white"/>
          <w:lang w:eastAsia="zh-CN"/>
        </w:rPr>
        <w:t>含</w:t>
      </w:r>
      <w:r>
        <w:rPr>
          <w:rFonts w:ascii="宋体" w:hAnsi="Calibri" w:cs="宋体" w:hint="eastAsia"/>
          <w:szCs w:val="21"/>
          <w:highlight w:val="white"/>
          <w:lang w:eastAsia="zh-CN"/>
        </w:rPr>
        <w:t>申</w:t>
      </w:r>
      <w:r>
        <w:rPr>
          <w:rFonts w:ascii="宋体" w:hAnsi="Calibri" w:cs="宋体"/>
          <w:szCs w:val="21"/>
          <w:highlight w:val="white"/>
          <w:lang w:eastAsia="zh-CN"/>
        </w:rPr>
        <w:t>购费）</w:t>
      </w:r>
      <w:r>
        <w:rPr>
          <w:rFonts w:ascii="宋体" w:hAnsi="Calibri" w:cs="宋体" w:hint="eastAsia"/>
          <w:szCs w:val="21"/>
          <w:highlight w:val="white"/>
          <w:lang w:eastAsia="zh-CN"/>
        </w:rPr>
        <w:t>。</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投资人将当期分配的基金收益转购基金份额或采用定期定额投资计划时，不受最低申购金额的限制。</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Calibri" w:cs="宋体"/>
          <w:szCs w:val="21"/>
          <w:highlight w:val="white"/>
          <w:lang w:eastAsia="zh-CN"/>
        </w:rPr>
        <w:t>,</w:t>
      </w:r>
      <w:r>
        <w:rPr>
          <w:rFonts w:ascii="宋体" w:hAnsi="Calibri"/>
          <w:szCs w:val="21"/>
          <w:highlight w:val="white"/>
          <w:lang w:eastAsia="zh-CN"/>
        </w:rPr>
        <w:t>基金管理人基于投资运作与风险控制的需要，可采取上述措施对基金规模予以控制。具体见基金管理人相关公告</w:t>
      </w:r>
      <w:r>
        <w:rPr>
          <w:rFonts w:ascii="宋体" w:hAnsi="Calibri" w:cs="宋体" w:hint="eastAsia"/>
          <w:szCs w:val="21"/>
          <w:highlight w:val="white"/>
          <w:lang w:eastAsia="zh-CN"/>
        </w:rPr>
        <w:t>。法律法规、中国证监会另有规定的除外。</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2、赎回份额的限制</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投资人可将其全部或部分基金份额赎回。</w:t>
      </w:r>
      <w:r>
        <w:rPr>
          <w:rFonts w:ascii="宋体" w:hAnsi="Calibri" w:cs="宋体"/>
          <w:szCs w:val="21"/>
          <w:highlight w:val="white"/>
          <w:lang w:eastAsia="zh-CN"/>
        </w:rPr>
        <w:t>每类</w:t>
      </w:r>
      <w:r>
        <w:rPr>
          <w:rFonts w:ascii="宋体" w:hAnsi="Calibri" w:cs="宋体" w:hint="eastAsia"/>
          <w:szCs w:val="21"/>
          <w:highlight w:val="white"/>
          <w:lang w:eastAsia="zh-CN"/>
        </w:rPr>
        <w:t>基金份额单笔赎回或转换不得少于1份（如该账户在该销售机构托管的该</w:t>
      </w:r>
      <w:r>
        <w:rPr>
          <w:rFonts w:ascii="宋体" w:hAnsi="Calibri" w:cs="宋体"/>
          <w:szCs w:val="21"/>
          <w:highlight w:val="white"/>
          <w:lang w:eastAsia="zh-CN"/>
        </w:rPr>
        <w:t>类</w:t>
      </w:r>
      <w:r>
        <w:rPr>
          <w:rFonts w:ascii="宋体" w:hAnsi="Calibri" w:cs="宋体" w:hint="eastAsia"/>
          <w:szCs w:val="21"/>
          <w:highlight w:val="white"/>
          <w:lang w:eastAsia="zh-CN"/>
        </w:rPr>
        <w:t>基金份额余额不足1份，则必须一次性赎回或转出该类基金份额全部份额）；若某笔赎回将导致投资人在该销售机构托管的该类基金份额余额不足1份时，基金管理人有权将投资人在该销售机构托管的该类基金份额剩余份额一次性全部赎回。</w:t>
      </w:r>
      <w:r>
        <w:rPr>
          <w:rStyle w:val="da"/>
          <w:rFonts w:ascii="宋体" w:hAnsi="Calibri" w:cs="宋体" w:hint="eastAsia"/>
          <w:highlight w:val="white"/>
          <w:lang w:eastAsia="zh-CN"/>
        </w:rPr>
        <w:t>在符合法律法规规定的前提下，</w:t>
      </w:r>
      <w:r>
        <w:rPr>
          <w:rFonts w:ascii="宋体" w:hAnsi="Calibri" w:cs="宋体" w:hint="eastAsia"/>
          <w:szCs w:val="21"/>
          <w:highlight w:val="white"/>
          <w:lang w:eastAsia="zh-CN"/>
        </w:rPr>
        <w:t>各销售机构对赎回份额限制有其他规定的，需同时遵循该销售机构的相关规定。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3、基金管理人可在不违反法律法规的情况下，调整上述规定申购金额和赎回份额的数量限制，或者新增基金规模控制措施。基金管理人必须在调整前依照《信息披露办法》的有关规定在规定媒介上公告。</w:t>
      </w:r>
    </w:p>
    <w:p w:rsidR="00257FC2">
      <w:pPr>
        <w:spacing w:line="360" w:lineRule="auto"/>
        <w:ind w:firstLine="420"/>
        <w:rPr>
          <w:rStyle w:val="da"/>
          <w:rFonts w:ascii="宋体" w:hAnsi="Calibri" w:cs="宋体"/>
          <w:szCs w:val="21"/>
          <w:lang w:eastAsia="zh-CN"/>
        </w:rPr>
      </w:pPr>
      <w:bookmarkStart w:id="1805" w:name="_Toc332373506"/>
      <w:r>
        <w:rPr>
          <w:rStyle w:val="da"/>
          <w:rFonts w:ascii="宋体" w:hAnsi="Calibri" w:cs="宋体" w:hint="eastAsia"/>
          <w:szCs w:val="21"/>
          <w:highlight w:val="white"/>
          <w:lang w:eastAsia="zh-CN"/>
        </w:rPr>
        <w:t>七、基金的申购费和赎回费</w:t>
      </w:r>
      <w:bookmarkEnd w:id="1805"/>
    </w:p>
    <w:p w:rsidR="00257FC2">
      <w:pPr>
        <w:spacing w:line="360" w:lineRule="auto"/>
        <w:ind w:firstLine="420"/>
        <w:rPr>
          <w:rFonts w:ascii="宋体" w:hAnsi="Calibri" w:cs="宋体"/>
          <w:szCs w:val="21"/>
        </w:rPr>
      </w:pPr>
      <w:r>
        <w:rPr>
          <w:rFonts w:ascii="宋体" w:hAnsi="Calibri" w:cs="宋体" w:hint="eastAsia"/>
          <w:szCs w:val="21"/>
          <w:highlight w:val="white"/>
          <w:lang w:eastAsia="zh-CN"/>
        </w:rPr>
        <w:t>1、</w:t>
      </w:r>
      <w:r>
        <w:rPr>
          <w:rFonts w:ascii="宋体" w:hAnsi="Calibri" w:cs="宋体" w:hint="eastAsia"/>
          <w:bCs/>
          <w:szCs w:val="21"/>
          <w:highlight w:val="white"/>
          <w:lang w:eastAsia="zh-CN"/>
        </w:rPr>
        <w:t>本基金</w:t>
      </w:r>
      <w:r>
        <w:rPr>
          <w:rFonts w:ascii="宋体" w:hAnsi="Calibri" w:cs="宋体"/>
          <w:bCs/>
          <w:szCs w:val="21"/>
          <w:highlight w:val="white"/>
          <w:lang w:eastAsia="zh-CN"/>
        </w:rPr>
        <w:t>A类基金份额</w:t>
      </w:r>
      <w:r>
        <w:rPr>
          <w:rFonts w:ascii="宋体" w:hAnsi="Calibri" w:cs="宋体" w:hint="eastAsia"/>
          <w:bCs/>
          <w:szCs w:val="21"/>
          <w:highlight w:val="white"/>
          <w:lang w:eastAsia="zh-CN"/>
        </w:rPr>
        <w:t>按规定收取的</w:t>
      </w:r>
      <w:r>
        <w:rPr>
          <w:rFonts w:ascii="宋体" w:hAnsi="Calibri" w:cs="宋体"/>
          <w:bCs/>
          <w:szCs w:val="21"/>
          <w:highlight w:val="white"/>
          <w:lang w:eastAsia="zh-CN"/>
        </w:rPr>
        <w:t>申购费用由</w:t>
      </w:r>
      <w:r>
        <w:rPr>
          <w:rFonts w:ascii="宋体" w:hAnsi="Calibri" w:cs="宋体" w:hint="eastAsia"/>
          <w:bCs/>
          <w:szCs w:val="21"/>
          <w:highlight w:val="white"/>
          <w:lang w:eastAsia="zh-CN"/>
        </w:rPr>
        <w:t>申购</w:t>
      </w:r>
      <w:r>
        <w:rPr>
          <w:rFonts w:ascii="宋体" w:hAnsi="Calibri" w:cs="宋体" w:hint="eastAsia"/>
          <w:highlight w:val="white"/>
          <w:lang w:eastAsia="zh-CN"/>
        </w:rPr>
        <w:t>该类</w:t>
      </w:r>
      <w:r>
        <w:rPr>
          <w:rFonts w:ascii="宋体" w:hAnsi="Calibri" w:cs="宋体" w:hint="eastAsia"/>
          <w:bCs/>
          <w:szCs w:val="21"/>
          <w:highlight w:val="white"/>
          <w:lang w:eastAsia="zh-CN"/>
        </w:rPr>
        <w:t>基金份额的</w:t>
      </w:r>
      <w:r>
        <w:rPr>
          <w:rFonts w:ascii="宋体" w:hAnsi="Calibri" w:cs="宋体"/>
          <w:bCs/>
          <w:szCs w:val="21"/>
          <w:highlight w:val="white"/>
          <w:lang w:eastAsia="zh-CN"/>
        </w:rPr>
        <w:t>投资人承担</w:t>
      </w:r>
      <w:r>
        <w:rPr>
          <w:rFonts w:ascii="宋体" w:hAnsi="Calibri" w:cs="宋体" w:hint="eastAsia"/>
          <w:szCs w:val="21"/>
          <w:highlight w:val="white"/>
          <w:lang w:eastAsia="zh-CN"/>
        </w:rPr>
        <w:t>，</w:t>
      </w:r>
      <w:r>
        <w:rPr>
          <w:rFonts w:ascii="宋体" w:hAnsi="Calibri" w:cs="宋体"/>
          <w:szCs w:val="21"/>
          <w:highlight w:val="white"/>
          <w:lang w:eastAsia="zh-CN"/>
        </w:rPr>
        <w:t>不列入基金财产，主要用于本基金的市场推广、销售等各项费用。C类基金份额不收取申购费</w:t>
      </w:r>
      <w:r>
        <w:rPr>
          <w:rFonts w:ascii="宋体" w:hAnsi="Calibri" w:cs="宋体"/>
          <w:color w:val="000000"/>
          <w:highlight w:val="white"/>
          <w:lang w:eastAsia="zh-CN"/>
        </w:rPr>
        <w:t>，在投资者持有期间</w:t>
      </w:r>
      <w:r>
        <w:rPr>
          <w:rFonts w:ascii="宋体" w:hAnsi="宋体" w:cs="宋体"/>
          <w:color w:val="000000"/>
          <w:highlight w:val="white"/>
          <w:lang w:eastAsia="zh-CN"/>
        </w:rPr>
        <w:t>计提销售服务费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r>
        <w:rPr>
          <w:rFonts w:ascii="宋体" w:hAnsi="Calibri" w:cs="宋体"/>
          <w:szCs w:val="21"/>
          <w:highlight w:val="white"/>
        </w:rPr>
        <w:t>赎回费用由基金赎回人承担。</w:t>
      </w:r>
    </w:p>
    <w:p w:rsidR="00257FC2">
      <w:pPr>
        <w:spacing w:line="360" w:lineRule="auto"/>
        <w:ind w:firstLine="420"/>
        <w:rPr>
          <w:rFonts w:ascii="宋体" w:hAnsi="Calibri" w:cs="宋体"/>
        </w:rPr>
      </w:pPr>
      <w:r>
        <w:rPr>
          <w:rFonts w:ascii="宋体" w:hAnsi="Calibri" w:cs="宋体" w:hint="eastAsia"/>
          <w:szCs w:val="21"/>
          <w:highlight w:val="white"/>
        </w:rPr>
        <w:t>2、申购费率</w:t>
      </w: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257FC2">
            <w:pPr>
              <w:widowControl/>
              <w:spacing w:line="360" w:lineRule="auto"/>
              <w:jc w:val="center"/>
              <w:rPr>
                <w:rFonts w:ascii="宋体" w:hAnsi="Calibri" w:cs="宋体"/>
                <w:bCs/>
                <w:szCs w:val="21"/>
                <w:lang w:eastAsia="zh-CN"/>
              </w:rPr>
            </w:pPr>
            <w:r>
              <w:rPr>
                <w:rFonts w:ascii="宋体" w:hAnsi="Calibri" w:cs="宋体"/>
                <w:bCs/>
                <w:szCs w:val="21"/>
                <w:highlight w:val="white"/>
                <w:lang w:eastAsia="zh-CN"/>
              </w:rPr>
              <w:t>申购</w:t>
            </w:r>
            <w:r>
              <w:rPr>
                <w:rFonts w:ascii="宋体" w:hAnsi="Calibri"/>
                <w:highlight w:val="white"/>
                <w:lang w:eastAsia="zh-CN"/>
              </w:rPr>
              <w:t>确认</w:t>
            </w:r>
            <w:r>
              <w:rPr>
                <w:rFonts w:ascii="宋体" w:hAnsi="Calibri" w:cs="宋体"/>
                <w:bCs/>
                <w:szCs w:val="21"/>
                <w:highlight w:val="white"/>
                <w:lang w:eastAsia="zh-CN"/>
              </w:rPr>
              <w:t>金额M（元）（含申购费）</w:t>
            </w:r>
          </w:p>
        </w:tc>
        <w:tc>
          <w:tcPr>
            <w:tcW w:w="3780" w:type="dxa"/>
            <w:tcBorders>
              <w:top w:val="single" w:sz="8" w:space="0" w:color="auto"/>
              <w:left w:val="nil"/>
              <w:bottom w:val="single" w:sz="8" w:space="0" w:color="auto"/>
              <w:right w:val="single" w:sz="8" w:space="0" w:color="auto"/>
            </w:tcBorders>
            <w:shd w:val="clear" w:color="auto" w:fill="auto"/>
          </w:tcPr>
          <w:p w:rsidR="00257FC2">
            <w:pPr>
              <w:widowControl/>
              <w:spacing w:line="360" w:lineRule="auto"/>
              <w:jc w:val="center"/>
              <w:rPr>
                <w:rFonts w:ascii="宋体" w:hAnsi="Calibri" w:cs="宋体"/>
                <w:bCs/>
                <w:szCs w:val="21"/>
                <w:lang w:eastAsia="zh-CN"/>
              </w:rPr>
            </w:pPr>
            <w:r>
              <w:rPr>
                <w:rStyle w:val="da"/>
                <w:rFonts w:ascii="宋体" w:hAnsi="Calibri" w:cs="宋体"/>
                <w:highlight w:val="white"/>
                <w:lang w:eastAsia="zh-CN"/>
              </w:rPr>
              <w:t>A类基金份额</w:t>
            </w:r>
            <w:r>
              <w:rPr>
                <w:rFonts w:ascii="宋体" w:hAnsi="Calibri" w:cs="宋体"/>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57FC2">
            <w:pPr>
              <w:widowControl/>
              <w:spacing w:line="360" w:lineRule="auto"/>
              <w:jc w:val="center"/>
              <w:rPr>
                <w:rFonts w:ascii="宋体" w:hAnsi="Calibri" w:cs="宋体"/>
                <w:szCs w:val="21"/>
              </w:rPr>
            </w:pPr>
            <w:r>
              <w:rPr>
                <w:rFonts w:ascii="宋体" w:hAnsi="Calibri" w:cs="宋体" w:hint="eastAsia"/>
                <w:bCs/>
                <w:iCs/>
              </w:rPr>
              <w:t>M＜500万</w:t>
            </w:r>
          </w:p>
        </w:tc>
        <w:tc>
          <w:tcPr>
            <w:tcW w:w="3780" w:type="dxa"/>
            <w:tcBorders>
              <w:top w:val="nil"/>
              <w:left w:val="nil"/>
              <w:bottom w:val="single" w:sz="8" w:space="0" w:color="auto"/>
              <w:right w:val="single" w:sz="8" w:space="0" w:color="auto"/>
            </w:tcBorders>
            <w:shd w:val="clear" w:color="auto" w:fill="auto"/>
          </w:tcPr>
          <w:p w:rsidR="00257FC2">
            <w:pPr>
              <w:widowControl/>
              <w:spacing w:line="360" w:lineRule="auto"/>
              <w:jc w:val="center"/>
              <w:rPr>
                <w:rFonts w:ascii="宋体" w:hAnsi="Calibri" w:cs="宋体"/>
                <w:szCs w:val="21"/>
              </w:rPr>
            </w:pPr>
            <w:r>
              <w:rPr>
                <w:rFonts w:ascii="宋体" w:hAnsi="Calibri" w:cs="宋体" w:hint="eastAsia"/>
                <w:bCs/>
                <w:iCs/>
              </w:rPr>
              <w:t>0.30%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57FC2">
            <w:pPr>
              <w:widowControl/>
              <w:spacing w:line="360" w:lineRule="auto"/>
              <w:jc w:val="center"/>
              <w:rPr>
                <w:rFonts w:ascii="宋体" w:hAnsi="Calibri" w:cs="宋体"/>
                <w:szCs w:val="21"/>
              </w:rPr>
            </w:pPr>
            <w:r>
              <w:rPr>
                <w:rFonts w:ascii="宋体" w:hAnsi="Calibri" w:cs="宋体" w:hint="eastAsia"/>
                <w:bCs/>
                <w:iCs/>
              </w:rPr>
              <w:t>M≥500万</w:t>
            </w:r>
          </w:p>
        </w:tc>
        <w:tc>
          <w:tcPr>
            <w:tcW w:w="3780" w:type="dxa"/>
            <w:tcBorders>
              <w:top w:val="nil"/>
              <w:left w:val="nil"/>
              <w:bottom w:val="single" w:sz="8" w:space="0" w:color="auto"/>
              <w:right w:val="single" w:sz="8" w:space="0" w:color="auto"/>
            </w:tcBorders>
            <w:shd w:val="clear" w:color="auto" w:fill="auto"/>
          </w:tcPr>
          <w:p w:rsidR="00257FC2">
            <w:pPr>
              <w:widowControl/>
              <w:spacing w:line="360" w:lineRule="auto"/>
              <w:jc w:val="center"/>
              <w:rPr>
                <w:rFonts w:ascii="宋体" w:hAnsi="Calibri" w:cs="宋体"/>
                <w:szCs w:val="21"/>
              </w:rPr>
            </w:pPr>
            <w:r>
              <w:rPr>
                <w:rFonts w:ascii="宋体" w:hAnsi="Calibri" w:cs="宋体" w:hint="eastAsia"/>
                <w:bCs/>
                <w:iCs/>
              </w:rPr>
              <w:t>1000元/笔</w:t>
            </w:r>
          </w:p>
        </w:tc>
      </w:tr>
    </w:tbl>
    <w:p w:rsidR="00257FC2">
      <w:pPr>
        <w:spacing w:line="360" w:lineRule="auto"/>
        <w:ind w:firstLine="420"/>
        <w:rPr>
          <w:rStyle w:val="da"/>
          <w:rFonts w:ascii="宋体" w:hAnsi="Calibri" w:cs="宋体"/>
          <w:lang w:eastAsia="zh-CN"/>
        </w:rPr>
      </w:pPr>
      <w:r>
        <w:rPr>
          <w:rStyle w:val="da"/>
          <w:rFonts w:ascii="宋体" w:hAnsi="Calibri" w:cs="宋体"/>
          <w:highlight w:val="white"/>
          <w:lang w:eastAsia="zh-CN"/>
        </w:rPr>
        <w:t>（1</w:t>
      </w:r>
      <w:r>
        <w:rPr>
          <w:rStyle w:val="da"/>
          <w:rFonts w:ascii="宋体" w:hAnsi="Calibri" w:cs="宋体" w:hint="eastAsia"/>
          <w:highlight w:val="white"/>
          <w:lang w:eastAsia="zh-CN"/>
        </w:rPr>
        <w:t>）投资者通过基金管理人或其基金销售子公司申购本基金A类基金份额，不收取申购费用。</w:t>
      </w:r>
    </w:p>
    <w:p w:rsidR="00257FC2">
      <w:pPr>
        <w:spacing w:line="360" w:lineRule="auto"/>
        <w:ind w:firstLine="420"/>
        <w:rPr>
          <w:rFonts w:ascii="宋体" w:hAnsi="Calibri" w:cs="宋体"/>
          <w:lang w:eastAsia="zh-CN"/>
        </w:rPr>
      </w:pPr>
      <w:r>
        <w:rPr>
          <w:rFonts w:ascii="宋体" w:hAnsi="Calibri" w:cs="宋体" w:hint="eastAsia"/>
          <w:highlight w:val="white"/>
          <w:lang w:eastAsia="zh-CN"/>
        </w:rPr>
        <w:t>（2）</w:t>
      </w:r>
      <w:r>
        <w:rPr>
          <w:rFonts w:hint="eastAsia"/>
          <w:highlight w:val="white"/>
          <w:lang w:eastAsia="zh-CN"/>
        </w:rPr>
        <w:t>投资者通过其他销售机构</w:t>
      </w:r>
      <w:r>
        <w:rPr>
          <w:rFonts w:ascii="宋体" w:hAnsi="Calibri" w:cs="宋体" w:hint="eastAsia"/>
          <w:highlight w:val="white"/>
          <w:lang w:eastAsia="zh-CN"/>
        </w:rPr>
        <w:t>申购本基金</w:t>
      </w:r>
      <w:r>
        <w:rPr>
          <w:rStyle w:val="da"/>
          <w:rFonts w:ascii="宋体" w:hAnsi="Calibri" w:cs="宋体"/>
          <w:highlight w:val="white"/>
          <w:lang w:eastAsia="zh-CN"/>
        </w:rPr>
        <w:t>A类基金份额</w:t>
      </w:r>
      <w:r>
        <w:rPr>
          <w:rFonts w:ascii="宋体" w:hAnsi="Calibri" w:cs="宋体" w:hint="eastAsia"/>
          <w:highlight w:val="white"/>
          <w:lang w:eastAsia="zh-CN"/>
        </w:rPr>
        <w:t>的申购费率见上表。</w:t>
      </w:r>
    </w:p>
    <w:p w:rsidR="00257FC2">
      <w:pPr>
        <w:spacing w:line="312" w:lineRule="auto"/>
        <w:ind w:firstLine="420"/>
        <w:rPr>
          <w:rFonts w:ascii="宋体" w:hAnsi="Calibri" w:cs="宋体"/>
          <w:szCs w:val="21"/>
          <w:lang w:eastAsia="zh-CN"/>
        </w:rPr>
      </w:pPr>
      <w:r>
        <w:rPr>
          <w:rFonts w:ascii="宋体" w:hAnsi="Calibri" w:cs="宋体" w:hint="eastAsia"/>
          <w:szCs w:val="21"/>
          <w:highlight w:val="white"/>
          <w:lang w:eastAsia="zh-CN"/>
        </w:rPr>
        <w:t>在申购费按金额分档的情况下，如果投资者多次申购</w:t>
      </w:r>
      <w:r>
        <w:rPr>
          <w:rStyle w:val="da"/>
          <w:rFonts w:ascii="宋体" w:hAnsi="Calibri" w:cs="宋体"/>
          <w:highlight w:val="white"/>
          <w:lang w:eastAsia="zh-CN"/>
        </w:rPr>
        <w:t>A类基金份额</w:t>
      </w:r>
      <w:r>
        <w:rPr>
          <w:rFonts w:ascii="宋体" w:hAnsi="Calibri" w:cs="宋体" w:hint="eastAsia"/>
          <w:szCs w:val="21"/>
          <w:highlight w:val="white"/>
          <w:lang w:eastAsia="zh-CN"/>
        </w:rPr>
        <w:t>，申购费适用单笔申购金额所对应的费率。</w:t>
      </w:r>
    </w:p>
    <w:p w:rsidR="00257FC2">
      <w:pPr>
        <w:spacing w:line="312" w:lineRule="auto"/>
        <w:ind w:firstLine="420"/>
        <w:rPr>
          <w:rFonts w:ascii="宋体" w:hAnsi="Calibri" w:cs="宋体"/>
          <w:szCs w:val="21"/>
          <w:highlight w:val="white"/>
          <w:lang w:eastAsia="zh-CN"/>
        </w:rPr>
      </w:pPr>
      <w:r>
        <w:rPr>
          <w:rFonts w:ascii="宋体" w:hAnsi="Calibri" w:cs="宋体" w:hint="eastAsia"/>
          <w:szCs w:val="21"/>
          <w:highlight w:val="white"/>
          <w:lang w:eastAsia="zh-CN"/>
        </w:rPr>
        <w:t>本基金C类基金份额不收取申购费用</w:t>
      </w:r>
      <w:r>
        <w:rPr>
          <w:rFonts w:ascii="宋体" w:hAnsi="Calibri" w:cs="宋体"/>
          <w:color w:val="000000"/>
          <w:highlight w:val="white"/>
          <w:lang w:eastAsia="zh-CN"/>
        </w:rPr>
        <w:t>，在投资者持有期间</w:t>
      </w:r>
      <w:r>
        <w:rPr>
          <w:rFonts w:ascii="宋体" w:hAnsi="Calibri" w:cs="宋体" w:hint="eastAsia"/>
          <w:color w:val="000000"/>
          <w:highlight w:val="white"/>
          <w:lang w:eastAsia="zh-CN"/>
        </w:rPr>
        <w:t>计提销售服务费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p>
    <w:p w:rsidR="00257FC2">
      <w:pPr>
        <w:spacing w:line="360" w:lineRule="auto"/>
        <w:ind w:firstLine="420"/>
        <w:rPr>
          <w:rFonts w:ascii="宋体" w:hAnsi="Calibri" w:cs="宋体"/>
          <w:szCs w:val="21"/>
          <w:highlight w:val="white"/>
          <w:lang w:eastAsia="zh-CN"/>
        </w:rPr>
      </w:pPr>
      <w:r>
        <w:rPr>
          <w:rFonts w:ascii="宋体" w:hAnsi="宋体" w:cs="宋体" w:hint="eastAsia"/>
          <w:szCs w:val="21"/>
          <w:lang w:eastAsia="zh-CN" w:bidi="ar"/>
        </w:rPr>
        <w:t>本基金暂不开通基金管理人及其基金销售子公司销售本基金C类基金份额，若日后开通，将另行公告。</w:t>
      </w:r>
    </w:p>
    <w:p w:rsidR="00257FC2">
      <w:pPr>
        <w:spacing w:line="312" w:lineRule="auto"/>
        <w:ind w:firstLine="420"/>
        <w:rPr>
          <w:rFonts w:ascii="宋体" w:hAnsi="Calibri" w:cs="宋体"/>
          <w:szCs w:val="21"/>
          <w:lang w:eastAsia="zh-CN"/>
        </w:rPr>
      </w:pPr>
      <w:bookmarkStart w:id="1806" w:name="_Toc332373507"/>
      <w:r>
        <w:rPr>
          <w:rFonts w:ascii="宋体" w:hAnsi="Calibri" w:cs="宋体" w:hint="eastAsia"/>
          <w:szCs w:val="21"/>
          <w:highlight w:val="white"/>
          <w:lang w:eastAsia="zh-CN"/>
        </w:rPr>
        <w:t>3、赎回费率</w:t>
      </w:r>
    </w:p>
    <w:p w:rsidR="00257FC2">
      <w:pPr>
        <w:spacing w:line="312" w:lineRule="auto"/>
        <w:ind w:firstLine="420"/>
        <w:rPr>
          <w:rFonts w:ascii="宋体" w:hAnsi="Calibri" w:cs="宋体"/>
          <w:szCs w:val="21"/>
          <w:lang w:eastAsia="zh-CN"/>
        </w:rPr>
      </w:pPr>
      <w:r>
        <w:rPr>
          <w:rFonts w:ascii="宋体" w:hAnsi="Calibri" w:cs="宋体" w:hint="eastAsia"/>
          <w:szCs w:val="21"/>
          <w:highlight w:val="white"/>
          <w:lang w:eastAsia="zh-CN"/>
        </w:rPr>
        <w:t>（1）个人投资者持有的基金份额赎回费率见下表：</w:t>
      </w:r>
    </w:p>
    <w:tbl>
      <w:tblPr>
        <w:tblStyle w:val="TableGrid"/>
        <w:tblW w:w="7229" w:type="dxa"/>
        <w:tblInd w:w="704" w:type="dxa"/>
        <w:tblLayout w:type="fixed"/>
        <w:tblLook w:val="04A0"/>
      </w:tblPr>
      <w:tblGrid>
        <w:gridCol w:w="2268"/>
        <w:gridCol w:w="4961"/>
      </w:tblGrid>
      <w:tr>
        <w:tblPrEx>
          <w:tblW w:w="7229" w:type="dxa"/>
          <w:tblInd w:w="704" w:type="dxa"/>
          <w:tblLayout w:type="fixed"/>
          <w:tblLook w:val="04A0"/>
        </w:tblPrEx>
        <w:tc>
          <w:tcPr>
            <w:tcW w:w="2268" w:type="dxa"/>
          </w:tcPr>
          <w:p w:rsidR="00257FC2">
            <w:pPr>
              <w:spacing w:line="280" w:lineRule="exact"/>
              <w:jc w:val="center"/>
              <w:rPr>
                <w:rFonts w:ascii="宋体" w:hAnsi="Calibri" w:cs="宋体"/>
                <w:iCs/>
              </w:rPr>
            </w:pPr>
            <w:r>
              <w:rPr>
                <w:rFonts w:ascii="宋体" w:hAnsi="Calibri" w:cs="宋体" w:hint="eastAsia"/>
                <w:bCs/>
                <w:iCs/>
                <w:highlight w:val="white"/>
              </w:rPr>
              <w:t>持有时间（天）</w:t>
            </w:r>
          </w:p>
        </w:tc>
        <w:tc>
          <w:tcPr>
            <w:tcW w:w="4961" w:type="dxa"/>
          </w:tcPr>
          <w:p w:rsidR="00257FC2">
            <w:pPr>
              <w:spacing w:line="280" w:lineRule="exact"/>
              <w:jc w:val="center"/>
              <w:rPr>
                <w:rFonts w:ascii="宋体" w:hAnsi="Calibri" w:cs="宋体"/>
                <w:iCs/>
                <w:lang w:eastAsia="zh-CN"/>
              </w:rPr>
            </w:pPr>
            <w:r>
              <w:rPr>
                <w:rFonts w:ascii="宋体" w:cs="宋体" w:hint="eastAsia"/>
                <w:bCs/>
                <w:iCs/>
                <w:highlight w:val="white"/>
                <w:lang w:eastAsia="zh-CN"/>
              </w:rPr>
              <w:t>个人投资者持有的</w:t>
            </w:r>
            <w:r>
              <w:rPr>
                <w:rFonts w:ascii="宋体" w:hAnsi="Calibri" w:cs="宋体" w:hint="eastAsia"/>
                <w:bCs/>
                <w:iCs/>
                <w:highlight w:val="white"/>
                <w:lang w:eastAsia="zh-CN"/>
              </w:rPr>
              <w:t>A类/</w:t>
            </w:r>
            <w:r>
              <w:rPr>
                <w:rFonts w:ascii="宋体" w:hAnsi="Calibri" w:cs="宋体"/>
                <w:bCs/>
                <w:iCs/>
                <w:highlight w:val="white"/>
                <w:lang w:eastAsia="zh-CN"/>
              </w:rPr>
              <w:t>C</w:t>
            </w:r>
            <w:r>
              <w:rPr>
                <w:rFonts w:ascii="宋体" w:hAnsi="Calibri" w:cs="宋体" w:hint="eastAsia"/>
                <w:bCs/>
                <w:iCs/>
                <w:highlight w:val="white"/>
                <w:lang w:eastAsia="zh-CN"/>
              </w:rPr>
              <w:t>类基金份额赎回费率</w:t>
            </w:r>
          </w:p>
        </w:tc>
      </w:tr>
      <w:tr>
        <w:tblPrEx>
          <w:tblW w:w="7229" w:type="dxa"/>
          <w:tblInd w:w="704" w:type="dxa"/>
          <w:tblLayout w:type="fixed"/>
          <w:tblLook w:val="04A0"/>
        </w:tblPrEx>
        <w:trPr>
          <w:trHeight w:val="360"/>
        </w:trPr>
        <w:tc>
          <w:tcPr>
            <w:tcW w:w="2268" w:type="dxa"/>
          </w:tcPr>
          <w:p w:rsidR="00257FC2">
            <w:pPr>
              <w:spacing w:line="280" w:lineRule="exact"/>
              <w:jc w:val="center"/>
              <w:rPr>
                <w:rFonts w:ascii="宋体" w:hAnsi="Calibri" w:cs="宋体"/>
                <w:iCs/>
              </w:rPr>
            </w:pPr>
            <w:r>
              <w:rPr>
                <w:rFonts w:ascii="宋体" w:hAnsi="Calibri" w:cs="宋体" w:hint="eastAsia"/>
                <w:bCs/>
                <w:iCs/>
              </w:rPr>
              <w:t>0-6</w:t>
            </w:r>
          </w:p>
        </w:tc>
        <w:tc>
          <w:tcPr>
            <w:tcW w:w="4961" w:type="dxa"/>
          </w:tcPr>
          <w:p w:rsidR="00257FC2">
            <w:pPr>
              <w:spacing w:line="280" w:lineRule="exact"/>
              <w:jc w:val="center"/>
              <w:rPr>
                <w:rFonts w:ascii="宋体" w:hAnsi="Calibri" w:cs="宋体"/>
                <w:iCs/>
              </w:rPr>
            </w:pPr>
            <w:r>
              <w:rPr>
                <w:rFonts w:ascii="宋体" w:hAnsi="Calibri" w:cs="宋体" w:hint="eastAsia"/>
                <w:bCs/>
                <w:iCs/>
              </w:rPr>
              <w:t>1.50%</w:t>
            </w:r>
          </w:p>
        </w:tc>
      </w:tr>
      <w:tr>
        <w:tblPrEx>
          <w:tblW w:w="7229" w:type="dxa"/>
          <w:tblInd w:w="704" w:type="dxa"/>
          <w:tblLayout w:type="fixed"/>
          <w:tblLook w:val="04A0"/>
        </w:tblPrEx>
        <w:trPr>
          <w:trHeight w:val="360"/>
        </w:trPr>
        <w:tc>
          <w:tcPr>
            <w:tcW w:w="2268" w:type="dxa"/>
          </w:tcPr>
          <w:p w:rsidR="00257FC2">
            <w:pPr>
              <w:spacing w:line="280" w:lineRule="exact"/>
              <w:jc w:val="center"/>
              <w:rPr>
                <w:rFonts w:ascii="宋体" w:hAnsi="Calibri" w:cs="宋体"/>
                <w:iCs/>
              </w:rPr>
            </w:pPr>
            <w:r>
              <w:rPr>
                <w:rFonts w:ascii="宋体" w:hAnsi="Calibri" w:cs="宋体" w:hint="eastAsia"/>
                <w:bCs/>
                <w:iCs/>
              </w:rPr>
              <w:t>7及以上</w:t>
            </w:r>
          </w:p>
        </w:tc>
        <w:tc>
          <w:tcPr>
            <w:tcW w:w="4961" w:type="dxa"/>
          </w:tcPr>
          <w:p w:rsidR="00257FC2">
            <w:pPr>
              <w:spacing w:line="280" w:lineRule="exact"/>
              <w:jc w:val="center"/>
              <w:rPr>
                <w:rFonts w:ascii="宋体" w:hAnsi="Calibri" w:cs="宋体"/>
                <w:iCs/>
              </w:rPr>
            </w:pPr>
            <w:r>
              <w:rPr>
                <w:rFonts w:ascii="宋体" w:hAnsi="Calibri" w:cs="宋体" w:hint="eastAsia"/>
                <w:bCs/>
                <w:iCs/>
              </w:rPr>
              <w:t>0.00%</w:t>
            </w:r>
          </w:p>
        </w:tc>
      </w:tr>
    </w:tbl>
    <w:p w:rsidR="00257FC2">
      <w:pPr>
        <w:spacing w:line="312" w:lineRule="auto"/>
        <w:ind w:firstLine="420"/>
        <w:rPr>
          <w:rFonts w:ascii="宋体" w:hAnsi="Calibri" w:cs="宋体"/>
          <w:szCs w:val="21"/>
          <w:lang w:eastAsia="zh-CN"/>
        </w:rPr>
      </w:pPr>
      <w:r>
        <w:rPr>
          <w:rFonts w:ascii="宋体" w:hAnsi="Calibri" w:cs="宋体" w:hint="eastAsia"/>
          <w:szCs w:val="21"/>
          <w:highlight w:val="white"/>
          <w:lang w:eastAsia="zh-CN"/>
        </w:rPr>
        <w:t>（</w:t>
      </w:r>
      <w:r>
        <w:rPr>
          <w:rFonts w:ascii="宋体" w:hAnsi="Calibri" w:cs="宋体"/>
          <w:szCs w:val="21"/>
          <w:highlight w:val="white"/>
          <w:lang w:eastAsia="zh-CN"/>
        </w:rPr>
        <w:t>2</w:t>
      </w:r>
      <w:r>
        <w:rPr>
          <w:rFonts w:ascii="宋体" w:hAnsi="Calibri" w:cs="宋体" w:hint="eastAsia"/>
          <w:szCs w:val="21"/>
          <w:highlight w:val="white"/>
          <w:lang w:eastAsia="zh-CN"/>
        </w:rPr>
        <w:t>）机构投资者持有的基金份额赎回费率见下表：</w:t>
      </w:r>
    </w:p>
    <w:tbl>
      <w:tblPr>
        <w:tblStyle w:val="TableGrid"/>
        <w:tblW w:w="7229" w:type="dxa"/>
        <w:tblInd w:w="704" w:type="dxa"/>
        <w:tblLayout w:type="fixed"/>
        <w:tblLook w:val="04A0"/>
      </w:tblPr>
      <w:tblGrid>
        <w:gridCol w:w="2268"/>
        <w:gridCol w:w="4961"/>
      </w:tblGrid>
      <w:tr>
        <w:tblPrEx>
          <w:tblW w:w="7229" w:type="dxa"/>
          <w:tblInd w:w="704" w:type="dxa"/>
          <w:tblLayout w:type="fixed"/>
          <w:tblLook w:val="04A0"/>
        </w:tblPrEx>
        <w:tc>
          <w:tcPr>
            <w:tcW w:w="2268" w:type="dxa"/>
          </w:tcPr>
          <w:p w:rsidR="00257FC2">
            <w:pPr>
              <w:spacing w:line="280" w:lineRule="exact"/>
              <w:jc w:val="center"/>
              <w:rPr>
                <w:rFonts w:ascii="宋体" w:hAnsi="Calibri" w:cs="宋体"/>
                <w:iCs/>
              </w:rPr>
            </w:pPr>
            <w:r>
              <w:rPr>
                <w:rFonts w:ascii="宋体" w:hAnsi="Calibri" w:cs="宋体" w:hint="eastAsia"/>
                <w:bCs/>
                <w:iCs/>
                <w:highlight w:val="white"/>
              </w:rPr>
              <w:t>持有时间（天）</w:t>
            </w:r>
          </w:p>
        </w:tc>
        <w:tc>
          <w:tcPr>
            <w:tcW w:w="4961" w:type="dxa"/>
          </w:tcPr>
          <w:p w:rsidR="00257FC2">
            <w:pPr>
              <w:spacing w:line="280" w:lineRule="exact"/>
              <w:jc w:val="center"/>
              <w:rPr>
                <w:rFonts w:ascii="宋体" w:hAnsi="Calibri" w:cs="宋体"/>
                <w:iCs/>
                <w:lang w:eastAsia="zh-CN"/>
              </w:rPr>
            </w:pPr>
            <w:r>
              <w:rPr>
                <w:rFonts w:ascii="宋体" w:cs="宋体" w:hint="eastAsia"/>
                <w:szCs w:val="21"/>
                <w:highlight w:val="white"/>
                <w:lang w:eastAsia="zh-CN"/>
              </w:rPr>
              <w:t>机构</w:t>
            </w:r>
            <w:r>
              <w:rPr>
                <w:rFonts w:ascii="宋体" w:cs="宋体" w:hint="eastAsia"/>
                <w:bCs/>
                <w:iCs/>
                <w:highlight w:val="white"/>
                <w:lang w:eastAsia="zh-CN"/>
              </w:rPr>
              <w:t>投资者持有的</w:t>
            </w:r>
            <w:r>
              <w:rPr>
                <w:rFonts w:ascii="宋体" w:hAnsi="Calibri" w:cs="宋体" w:hint="eastAsia"/>
                <w:bCs/>
                <w:iCs/>
                <w:highlight w:val="white"/>
                <w:lang w:eastAsia="zh-CN"/>
              </w:rPr>
              <w:t>A类/</w:t>
            </w:r>
            <w:r>
              <w:rPr>
                <w:rFonts w:ascii="宋体" w:hAnsi="Calibri" w:cs="宋体"/>
                <w:bCs/>
                <w:iCs/>
                <w:highlight w:val="white"/>
                <w:lang w:eastAsia="zh-CN"/>
              </w:rPr>
              <w:t>C</w:t>
            </w:r>
            <w:r>
              <w:rPr>
                <w:rFonts w:ascii="宋体" w:hAnsi="Calibri" w:cs="宋体" w:hint="eastAsia"/>
                <w:bCs/>
                <w:iCs/>
                <w:highlight w:val="white"/>
                <w:lang w:eastAsia="zh-CN"/>
              </w:rPr>
              <w:t>类基金份额赎回费率</w:t>
            </w:r>
          </w:p>
        </w:tc>
      </w:tr>
      <w:tr>
        <w:tblPrEx>
          <w:tblW w:w="7229" w:type="dxa"/>
          <w:tblInd w:w="704" w:type="dxa"/>
          <w:tblLayout w:type="fixed"/>
          <w:tblLook w:val="04A0"/>
        </w:tblPrEx>
        <w:trPr>
          <w:trHeight w:val="360"/>
        </w:trPr>
        <w:tc>
          <w:tcPr>
            <w:tcW w:w="2268" w:type="dxa"/>
          </w:tcPr>
          <w:p w:rsidR="00257FC2">
            <w:pPr>
              <w:spacing w:line="280" w:lineRule="exact"/>
              <w:jc w:val="center"/>
              <w:rPr>
                <w:rFonts w:ascii="宋体" w:hAnsi="Calibri" w:cs="宋体"/>
                <w:iCs/>
              </w:rPr>
            </w:pPr>
            <w:r>
              <w:rPr>
                <w:rFonts w:ascii="宋体" w:hAnsi="Calibri" w:cs="宋体" w:hint="eastAsia"/>
                <w:bCs/>
                <w:iCs/>
              </w:rPr>
              <w:t>0-6</w:t>
            </w:r>
          </w:p>
        </w:tc>
        <w:tc>
          <w:tcPr>
            <w:tcW w:w="4961" w:type="dxa"/>
          </w:tcPr>
          <w:p w:rsidR="00257FC2">
            <w:pPr>
              <w:spacing w:line="280" w:lineRule="exact"/>
              <w:jc w:val="center"/>
              <w:rPr>
                <w:rFonts w:ascii="宋体" w:hAnsi="Calibri" w:cs="宋体"/>
                <w:iCs/>
              </w:rPr>
            </w:pPr>
            <w:r>
              <w:rPr>
                <w:rFonts w:ascii="宋体" w:hAnsi="Calibri" w:cs="宋体" w:hint="eastAsia"/>
                <w:bCs/>
                <w:iCs/>
              </w:rPr>
              <w:t>1.50%</w:t>
            </w:r>
          </w:p>
        </w:tc>
      </w:tr>
      <w:tr>
        <w:tblPrEx>
          <w:tblW w:w="7229" w:type="dxa"/>
          <w:tblInd w:w="704" w:type="dxa"/>
          <w:tblLayout w:type="fixed"/>
          <w:tblLook w:val="04A0"/>
        </w:tblPrEx>
        <w:trPr>
          <w:trHeight w:val="360"/>
        </w:trPr>
        <w:tc>
          <w:tcPr>
            <w:tcW w:w="2268" w:type="dxa"/>
          </w:tcPr>
          <w:p w:rsidR="00257FC2">
            <w:pPr>
              <w:spacing w:line="280" w:lineRule="exact"/>
              <w:jc w:val="center"/>
              <w:rPr>
                <w:rFonts w:ascii="宋体" w:hAnsi="Calibri" w:cs="宋体"/>
                <w:iCs/>
              </w:rPr>
            </w:pPr>
            <w:r>
              <w:rPr>
                <w:rFonts w:ascii="宋体" w:hAnsi="Calibri" w:cs="宋体" w:hint="eastAsia"/>
                <w:bCs/>
                <w:iCs/>
              </w:rPr>
              <w:t>7-29</w:t>
            </w:r>
          </w:p>
        </w:tc>
        <w:tc>
          <w:tcPr>
            <w:tcW w:w="4961" w:type="dxa"/>
          </w:tcPr>
          <w:p w:rsidR="00257FC2">
            <w:pPr>
              <w:spacing w:line="280" w:lineRule="exact"/>
              <w:jc w:val="center"/>
              <w:rPr>
                <w:rFonts w:ascii="宋体" w:hAnsi="Calibri" w:cs="宋体"/>
                <w:iCs/>
              </w:rPr>
            </w:pPr>
            <w:r>
              <w:rPr>
                <w:rFonts w:ascii="宋体" w:hAnsi="Calibri" w:cs="宋体" w:hint="eastAsia"/>
                <w:bCs/>
                <w:iCs/>
              </w:rPr>
              <w:t>1.00%</w:t>
            </w:r>
          </w:p>
        </w:tc>
      </w:tr>
      <w:tr>
        <w:tblPrEx>
          <w:tblW w:w="7229" w:type="dxa"/>
          <w:tblInd w:w="704" w:type="dxa"/>
          <w:tblLayout w:type="fixed"/>
          <w:tblLook w:val="04A0"/>
        </w:tblPrEx>
        <w:trPr>
          <w:trHeight w:val="360"/>
        </w:trPr>
        <w:tc>
          <w:tcPr>
            <w:tcW w:w="2268" w:type="dxa"/>
          </w:tcPr>
          <w:p w:rsidR="00257FC2">
            <w:pPr>
              <w:spacing w:line="280" w:lineRule="exact"/>
              <w:jc w:val="center"/>
              <w:rPr>
                <w:rFonts w:ascii="宋体" w:hAnsi="Calibri" w:cs="宋体"/>
                <w:iCs/>
              </w:rPr>
            </w:pPr>
            <w:r>
              <w:rPr>
                <w:rFonts w:ascii="宋体" w:hAnsi="Calibri" w:cs="宋体" w:hint="eastAsia"/>
                <w:bCs/>
                <w:iCs/>
              </w:rPr>
              <w:t>30-179</w:t>
            </w:r>
          </w:p>
        </w:tc>
        <w:tc>
          <w:tcPr>
            <w:tcW w:w="4961" w:type="dxa"/>
          </w:tcPr>
          <w:p w:rsidR="00257FC2">
            <w:pPr>
              <w:spacing w:line="280" w:lineRule="exact"/>
              <w:jc w:val="center"/>
              <w:rPr>
                <w:rFonts w:ascii="宋体" w:hAnsi="Calibri" w:cs="宋体"/>
                <w:iCs/>
              </w:rPr>
            </w:pPr>
            <w:r>
              <w:rPr>
                <w:rFonts w:ascii="宋体" w:hAnsi="Calibri" w:cs="宋体" w:hint="eastAsia"/>
                <w:bCs/>
                <w:iCs/>
              </w:rPr>
              <w:t>0.50%</w:t>
            </w:r>
          </w:p>
        </w:tc>
      </w:tr>
      <w:tr>
        <w:tblPrEx>
          <w:tblW w:w="7229" w:type="dxa"/>
          <w:tblInd w:w="704" w:type="dxa"/>
          <w:tblLayout w:type="fixed"/>
          <w:tblLook w:val="04A0"/>
        </w:tblPrEx>
        <w:trPr>
          <w:trHeight w:val="360"/>
        </w:trPr>
        <w:tc>
          <w:tcPr>
            <w:tcW w:w="2268" w:type="dxa"/>
          </w:tcPr>
          <w:p w:rsidR="00257FC2">
            <w:pPr>
              <w:spacing w:line="280" w:lineRule="exact"/>
              <w:jc w:val="center"/>
              <w:rPr>
                <w:rFonts w:ascii="宋体" w:hAnsi="Calibri" w:cs="宋体"/>
                <w:iCs/>
              </w:rPr>
            </w:pPr>
            <w:r>
              <w:rPr>
                <w:rFonts w:ascii="宋体" w:hAnsi="Calibri" w:cs="宋体" w:hint="eastAsia"/>
                <w:bCs/>
                <w:iCs/>
              </w:rPr>
              <w:t>180及以上</w:t>
            </w:r>
          </w:p>
        </w:tc>
        <w:tc>
          <w:tcPr>
            <w:tcW w:w="4961" w:type="dxa"/>
          </w:tcPr>
          <w:p w:rsidR="00257FC2">
            <w:pPr>
              <w:spacing w:line="280" w:lineRule="exact"/>
              <w:jc w:val="center"/>
              <w:rPr>
                <w:rFonts w:ascii="宋体" w:hAnsi="Calibri" w:cs="宋体"/>
                <w:iCs/>
              </w:rPr>
            </w:pPr>
            <w:r>
              <w:rPr>
                <w:rFonts w:ascii="宋体" w:hAnsi="Calibri" w:cs="宋体" w:hint="eastAsia"/>
                <w:bCs/>
                <w:iCs/>
              </w:rPr>
              <w:t>0.00%</w:t>
            </w:r>
          </w:p>
        </w:tc>
      </w:tr>
    </w:tbl>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投资者可将其持有的全部或部分</w:t>
      </w:r>
      <w:r>
        <w:rPr>
          <w:rFonts w:ascii="宋体" w:hAnsi="Calibri" w:cs="宋体" w:hint="eastAsia"/>
          <w:bCs/>
          <w:iCs/>
          <w:highlight w:val="white"/>
          <w:lang w:eastAsia="zh-CN"/>
        </w:rPr>
        <w:t>A类/C类</w:t>
      </w:r>
      <w:r>
        <w:rPr>
          <w:rFonts w:ascii="宋体" w:hAnsi="Calibri" w:cs="宋体" w:hint="eastAsia"/>
          <w:szCs w:val="21"/>
          <w:highlight w:val="white"/>
          <w:lang w:eastAsia="zh-CN"/>
        </w:rPr>
        <w:t>基金份额赎回。</w:t>
      </w:r>
      <w:r>
        <w:rPr>
          <w:rFonts w:ascii="宋体" w:hAnsi="Calibri" w:cs="宋体"/>
          <w:szCs w:val="21"/>
          <w:highlight w:val="white"/>
          <w:lang w:eastAsia="zh-CN"/>
        </w:rPr>
        <w:t>赎回费用由赎回基金份额的基金份额持有人承担，</w:t>
      </w:r>
      <w:r>
        <w:rPr>
          <w:rFonts w:ascii="宋体" w:hAnsi="Calibri" w:cs="宋体" w:hint="eastAsia"/>
          <w:szCs w:val="21"/>
          <w:highlight w:val="white"/>
          <w:lang w:eastAsia="zh-CN"/>
        </w:rPr>
        <w:t>在基金份额持有人赎回基金份额时收取，赎回费用全额计入基金财产。</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对于每份认购份额，持有期自基金合同生效日至该基金份额赎回确认日（不含该日）；对于每份申购份额，持有期自该基金份额申购确认日至赎回确认日（不含该日）。</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hAnsi="Calibri" w:cs="宋体"/>
          <w:szCs w:val="21"/>
          <w:highlight w:val="white"/>
          <w:lang w:eastAsia="zh-CN"/>
        </w:rPr>
        <w:t>规</w:t>
      </w:r>
      <w:r>
        <w:rPr>
          <w:rFonts w:ascii="宋体" w:hAnsi="Calibri" w:cs="宋体" w:hint="eastAsia"/>
          <w:szCs w:val="21"/>
          <w:highlight w:val="white"/>
          <w:lang w:eastAsia="zh-CN"/>
        </w:rPr>
        <w:t>定媒介上公告。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cs="宋体" w:hint="eastAsia"/>
          <w:szCs w:val="21"/>
          <w:highlight w:val="white"/>
          <w:lang w:eastAsia="zh-CN"/>
        </w:rPr>
        <w:t>在基金促销活动期间，基金管理人可以适当调低基金销售费率，或开展有差别的费率优惠活动</w:t>
      </w:r>
      <w:r>
        <w:rPr>
          <w:rFonts w:ascii="宋体" w:hAnsi="Calibri" w:cs="宋体" w:hint="eastAsia"/>
          <w:bCs/>
          <w:szCs w:val="21"/>
          <w:highlight w:val="white"/>
          <w:lang w:eastAsia="zh-CN"/>
        </w:rPr>
        <w:t>。</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八、申购和赎回的数额和价格</w:t>
      </w:r>
      <w:bookmarkEnd w:id="1806"/>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1、申购和赎回数额、余额的处理方式 </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（1）申购的有效份额为按实际确认的申购金额在扣除相应的费用后，以申购当日</w:t>
      </w:r>
      <w:r>
        <w:rPr>
          <w:rFonts w:ascii="宋体" w:hAnsi="Calibri" w:cs="宋体"/>
          <w:color w:val="000000"/>
          <w:szCs w:val="21"/>
          <w:highlight w:val="white"/>
          <w:lang w:eastAsia="zh-CN"/>
        </w:rPr>
        <w:t>该类基金份额</w:t>
      </w:r>
      <w:r>
        <w:rPr>
          <w:rFonts w:ascii="宋体" w:hAnsi="Calibri" w:cs="宋体" w:hint="eastAsia"/>
          <w:color w:val="000000"/>
          <w:szCs w:val="21"/>
          <w:highlight w:val="white"/>
          <w:lang w:eastAsia="zh-CN"/>
        </w:rPr>
        <w:t>的</w:t>
      </w:r>
      <w:r>
        <w:rPr>
          <w:rFonts w:ascii="宋体" w:hAnsi="Calibri" w:cs="宋体"/>
          <w:szCs w:val="21"/>
          <w:highlight w:val="white"/>
          <w:lang w:eastAsia="zh-CN"/>
        </w:rPr>
        <w:t>基金份额净值为基准计算。申购涉及金额、份额的计算结果保留到小数点后两位，小数点后两位以后的部分四舍五入，由此产生的误差计入基金财产。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（2）赎回金额的处理方式：赎回金额为按实际确认的有效赎回份额乘以申请当日</w:t>
      </w:r>
      <w:r>
        <w:rPr>
          <w:rFonts w:ascii="宋体" w:hAnsi="Calibri" w:cs="宋体"/>
          <w:color w:val="000000"/>
          <w:szCs w:val="21"/>
          <w:highlight w:val="white"/>
          <w:lang w:eastAsia="zh-CN"/>
        </w:rPr>
        <w:t>该类基金份额的</w:t>
      </w:r>
      <w:r>
        <w:rPr>
          <w:rFonts w:ascii="宋体" w:hAnsi="Calibri" w:cs="宋体" w:hint="eastAsia"/>
          <w:szCs w:val="21"/>
          <w:highlight w:val="white"/>
          <w:lang w:eastAsia="zh-CN"/>
        </w:rPr>
        <w:t>基金份额</w:t>
      </w:r>
      <w:r>
        <w:rPr>
          <w:rFonts w:ascii="宋体" w:hAnsi="Calibri" w:cs="宋体"/>
          <w:szCs w:val="21"/>
          <w:highlight w:val="white"/>
          <w:lang w:eastAsia="zh-CN"/>
        </w:rPr>
        <w:t>净值为基准并扣除相应的费用</w:t>
      </w:r>
      <w:r>
        <w:rPr>
          <w:rFonts w:ascii="宋体" w:hAnsi="宋体" w:cs="宋体"/>
          <w:color w:val="000000"/>
          <w:highlight w:val="white"/>
          <w:lang w:eastAsia="zh-CN"/>
        </w:rPr>
        <w:t>，再加上</w:t>
      </w:r>
      <w:r>
        <w:rPr>
          <w:rFonts w:ascii="宋体" w:hAnsi="宋体" w:cs="宋体" w:hint="eastAsia"/>
          <w:color w:val="000000"/>
          <w:highlight w:val="white"/>
          <w:lang w:eastAsia="zh-CN"/>
        </w:rPr>
        <w:t>返还的销售服务费（如有）</w:t>
      </w:r>
      <w:r>
        <w:rPr>
          <w:rFonts w:ascii="宋体" w:hAnsi="Calibri" w:cs="宋体"/>
          <w:szCs w:val="21"/>
          <w:highlight w:val="white"/>
          <w:lang w:eastAsia="zh-CN"/>
        </w:rPr>
        <w:t xml:space="preserve">，赎回费用、赎回金额的单位为人民币元，计算结果保留到小数点后两位，小数点后两位以后的部分四舍五入，由此产生的误差计入基金财产。 </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2、申购份额的计算 </w:t>
      </w:r>
    </w:p>
    <w:p w:rsidR="00257FC2">
      <w:pPr>
        <w:spacing w:line="360" w:lineRule="auto"/>
        <w:ind w:firstLine="420"/>
        <w:rPr>
          <w:rFonts w:ascii="宋体" w:hAnsi="Calibri"/>
          <w:szCs w:val="21"/>
          <w:lang w:eastAsia="zh-CN"/>
        </w:rPr>
      </w:pPr>
      <w:r>
        <w:rPr>
          <w:rFonts w:ascii="宋体" w:hAnsi="Calibri"/>
          <w:szCs w:val="21"/>
          <w:highlight w:val="white"/>
          <w:lang w:eastAsia="zh-CN"/>
        </w:rPr>
        <w:t>（1）若投资人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ascii="宋体" w:hAnsi="宋体" w:cs="宋体"/>
          <w:szCs w:val="21"/>
          <w:highlight w:val="white"/>
          <w:lang w:eastAsia="zh-CN"/>
        </w:rPr>
        <w:t>申购</w:t>
      </w:r>
      <w:r>
        <w:rPr>
          <w:rFonts w:ascii="宋体" w:hAnsi="Calibri"/>
          <w:szCs w:val="21"/>
          <w:highlight w:val="white"/>
          <w:lang w:eastAsia="zh-CN"/>
        </w:rPr>
        <w:t>A类基金份额，则申购份额的计算公式如下：</w:t>
      </w:r>
    </w:p>
    <w:p w:rsidR="00257FC2">
      <w:pPr>
        <w:spacing w:line="360" w:lineRule="auto"/>
        <w:ind w:firstLine="420"/>
        <w:rPr>
          <w:rFonts w:ascii="宋体" w:hAnsi="Calibri"/>
          <w:szCs w:val="21"/>
          <w:lang w:eastAsia="zh-CN"/>
        </w:rPr>
      </w:pPr>
      <w:r>
        <w:rPr>
          <w:rFonts w:ascii="宋体" w:hAnsi="Calibri"/>
          <w:szCs w:val="21"/>
          <w:highlight w:val="white"/>
          <w:lang w:eastAsia="zh-CN"/>
        </w:rPr>
        <w:t xml:space="preserve">净申购金额=申购金额/（1+申购费率） </w:t>
      </w:r>
    </w:p>
    <w:p w:rsidR="00257FC2">
      <w:pPr>
        <w:spacing w:line="360" w:lineRule="auto"/>
        <w:ind w:firstLine="420"/>
        <w:rPr>
          <w:rFonts w:ascii="宋体" w:hAnsi="Calibri"/>
          <w:szCs w:val="21"/>
          <w:lang w:eastAsia="zh-CN"/>
        </w:rPr>
      </w:pPr>
      <w:r>
        <w:rPr>
          <w:rFonts w:ascii="宋体" w:hAnsi="Calibri"/>
          <w:szCs w:val="21"/>
          <w:highlight w:val="white"/>
          <w:lang w:eastAsia="zh-CN"/>
        </w:rPr>
        <w:t>（注：对于500万（含）以上适用固定金额申购费的申购，净申购金额＝申购金额－固定申购费金额）</w:t>
      </w:r>
    </w:p>
    <w:p w:rsidR="00257FC2">
      <w:pPr>
        <w:spacing w:line="360" w:lineRule="auto"/>
        <w:ind w:firstLine="420"/>
        <w:rPr>
          <w:rFonts w:ascii="宋体" w:hAnsi="Calibri"/>
          <w:szCs w:val="21"/>
          <w:lang w:eastAsia="zh-CN"/>
        </w:rPr>
      </w:pPr>
      <w:r>
        <w:rPr>
          <w:rFonts w:ascii="宋体" w:hAnsi="Calibri"/>
          <w:szCs w:val="21"/>
          <w:highlight w:val="white"/>
          <w:lang w:eastAsia="zh-CN"/>
        </w:rPr>
        <w:t xml:space="preserve">申购费用=申购金额-净申购金额 </w:t>
      </w:r>
    </w:p>
    <w:p w:rsidR="00257FC2">
      <w:pPr>
        <w:spacing w:line="360" w:lineRule="auto"/>
        <w:ind w:firstLine="420"/>
        <w:rPr>
          <w:rFonts w:ascii="宋体" w:hAnsi="Calibri"/>
          <w:szCs w:val="21"/>
          <w:lang w:eastAsia="zh-CN"/>
        </w:rPr>
      </w:pPr>
      <w:r>
        <w:rPr>
          <w:rFonts w:ascii="宋体" w:hAnsi="Calibri"/>
          <w:szCs w:val="21"/>
          <w:highlight w:val="white"/>
          <w:lang w:eastAsia="zh-CN"/>
        </w:rPr>
        <w:t>申购份额=净申购金额/ T日A类基金份额的基金份额净值</w:t>
      </w:r>
    </w:p>
    <w:p w:rsidR="00257FC2">
      <w:pPr>
        <w:spacing w:line="360" w:lineRule="auto"/>
        <w:ind w:firstLine="420"/>
        <w:rPr>
          <w:rFonts w:ascii="宋体" w:hAnsi="Calibri"/>
          <w:szCs w:val="21"/>
          <w:lang w:eastAsia="zh-CN"/>
        </w:rPr>
      </w:pPr>
      <w:r>
        <w:rPr>
          <w:rFonts w:ascii="宋体" w:hAnsi="Calibri" w:hint="eastAsia"/>
          <w:szCs w:val="21"/>
          <w:highlight w:val="white"/>
          <w:lang w:eastAsia="zh-CN"/>
        </w:rPr>
        <w:t>例一：某投资人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highlight w:val="white"/>
          <w:lang w:eastAsia="zh-CN"/>
        </w:rPr>
        <w:t>申购</w:t>
      </w:r>
      <w:r>
        <w:rPr>
          <w:rFonts w:ascii="宋体" w:hAnsi="Calibri" w:hint="eastAsia"/>
          <w:szCs w:val="21"/>
          <w:highlight w:val="white"/>
          <w:lang w:eastAsia="zh-CN"/>
        </w:rPr>
        <w:t>本基金</w:t>
      </w:r>
      <w:r>
        <w:rPr>
          <w:rFonts w:ascii="宋体" w:hAnsi="Calibri"/>
          <w:szCs w:val="21"/>
          <w:highlight w:val="white"/>
          <w:lang w:eastAsia="zh-CN"/>
        </w:rPr>
        <w:t>A</w:t>
      </w:r>
      <w:r>
        <w:rPr>
          <w:rFonts w:ascii="宋体" w:hAnsi="Calibri" w:hint="eastAsia"/>
          <w:szCs w:val="21"/>
          <w:highlight w:val="white"/>
          <w:lang w:eastAsia="zh-CN"/>
        </w:rPr>
        <w:t>类基金份额</w:t>
      </w:r>
      <w:r w:rsidR="000915FF">
        <w:rPr>
          <w:rFonts w:ascii="宋体" w:hAnsi="Calibri"/>
          <w:szCs w:val="21"/>
          <w:highlight w:val="white"/>
          <w:lang w:eastAsia="zh-CN"/>
        </w:rPr>
        <w:t>100,000</w:t>
      </w:r>
      <w:r w:rsidR="000915FF">
        <w:rPr>
          <w:rFonts w:ascii="宋体" w:hAnsi="Calibri" w:hint="eastAsia"/>
          <w:szCs w:val="21"/>
          <w:highlight w:val="white"/>
          <w:lang w:eastAsia="zh-CN"/>
        </w:rPr>
        <w:t>元</w:t>
      </w:r>
      <w:r>
        <w:rPr>
          <w:rFonts w:ascii="宋体" w:hAnsi="Calibri" w:hint="eastAsia"/>
          <w:szCs w:val="21"/>
          <w:highlight w:val="white"/>
          <w:lang w:eastAsia="zh-CN"/>
        </w:rPr>
        <w:t>，申购费率为</w:t>
      </w:r>
      <w:r>
        <w:rPr>
          <w:rFonts w:ascii="宋体" w:hAnsi="Calibri"/>
          <w:szCs w:val="21"/>
          <w:highlight w:val="white"/>
          <w:lang w:eastAsia="zh-CN"/>
        </w:rPr>
        <w:t>0.30%</w:t>
      </w:r>
      <w:r>
        <w:rPr>
          <w:rFonts w:ascii="宋体" w:hAnsi="Calibri" w:hint="eastAsia"/>
          <w:szCs w:val="21"/>
          <w:highlight w:val="white"/>
          <w:lang w:eastAsia="zh-CN"/>
        </w:rPr>
        <w:t>，假设申购当日</w:t>
      </w:r>
      <w:r>
        <w:rPr>
          <w:rFonts w:ascii="宋体" w:hAnsi="Calibri"/>
          <w:szCs w:val="21"/>
          <w:highlight w:val="white"/>
          <w:lang w:eastAsia="zh-CN"/>
        </w:rPr>
        <w:t>A</w:t>
      </w:r>
      <w:r>
        <w:rPr>
          <w:rFonts w:ascii="宋体" w:hAnsi="Calibri" w:hint="eastAsia"/>
          <w:szCs w:val="21"/>
          <w:highlight w:val="white"/>
          <w:lang w:eastAsia="zh-CN"/>
        </w:rPr>
        <w:t>类基金份额的基金份额净值为</w:t>
      </w:r>
      <w:r>
        <w:rPr>
          <w:rFonts w:ascii="宋体" w:hAnsi="Calibri"/>
          <w:szCs w:val="21"/>
          <w:highlight w:val="white"/>
          <w:lang w:eastAsia="zh-CN"/>
        </w:rPr>
        <w:t>1.0400</w:t>
      </w:r>
      <w:r>
        <w:rPr>
          <w:rFonts w:ascii="宋体" w:hAnsi="Calibri" w:hint="eastAsia"/>
          <w:szCs w:val="21"/>
          <w:highlight w:val="white"/>
          <w:lang w:eastAsia="zh-CN"/>
        </w:rPr>
        <w:t>元，则其可得到的申购份额为：</w:t>
      </w:r>
      <w:r>
        <w:rPr>
          <w:rFonts w:ascii="宋体" w:hAnsi="Calibri"/>
          <w:szCs w:val="21"/>
          <w:highlight w:val="white"/>
          <w:lang w:eastAsia="zh-CN"/>
        </w:rPr>
        <w:t xml:space="preserve"> </w:t>
      </w:r>
    </w:p>
    <w:p w:rsidR="00257FC2">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净申购金额=100,000/（1+0.30%）=99,700.90元 </w:t>
      </w:r>
    </w:p>
    <w:p w:rsidR="00257FC2">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申购费用=100,000-99,700.90=299.10元 </w:t>
      </w:r>
    </w:p>
    <w:p w:rsidR="00257FC2">
      <w:pPr>
        <w:spacing w:line="360" w:lineRule="auto"/>
        <w:ind w:firstLine="420"/>
        <w:rPr>
          <w:rFonts w:ascii="宋体" w:hAnsi="Calibri"/>
          <w:szCs w:val="21"/>
          <w:lang w:eastAsia="zh-CN"/>
        </w:rPr>
      </w:pPr>
      <w:r>
        <w:rPr>
          <w:rFonts w:ascii="宋体" w:hAnsi="Calibri"/>
          <w:szCs w:val="21"/>
          <w:highlight w:val="white"/>
          <w:lang w:eastAsia="zh-CN"/>
        </w:rPr>
        <w:t>申购份额=99,700.90/1.0400=95,866.25份</w:t>
      </w:r>
    </w:p>
    <w:p w:rsidR="00257FC2">
      <w:pPr>
        <w:spacing w:line="360" w:lineRule="auto"/>
        <w:ind w:firstLine="420"/>
        <w:rPr>
          <w:rFonts w:ascii="宋体" w:hAnsi="Calibri"/>
          <w:szCs w:val="21"/>
          <w:lang w:eastAsia="zh-CN"/>
        </w:rPr>
      </w:pPr>
      <w:r>
        <w:rPr>
          <w:rFonts w:ascii="宋体" w:hAnsi="Calibri"/>
          <w:szCs w:val="21"/>
          <w:highlight w:val="white"/>
          <w:lang w:eastAsia="zh-CN"/>
        </w:rPr>
        <w:t>（2）若投资人选择</w:t>
      </w:r>
      <w:r>
        <w:rPr>
          <w:rFonts w:ascii="宋体" w:hAnsi="Calibri" w:hint="eastAsia"/>
          <w:szCs w:val="21"/>
          <w:highlight w:val="white"/>
          <w:lang w:eastAsia="zh-CN"/>
        </w:rPr>
        <w:t>申购本基金</w:t>
      </w:r>
      <w:r>
        <w:rPr>
          <w:rFonts w:ascii="宋体" w:hAnsi="Calibri"/>
          <w:szCs w:val="21"/>
          <w:highlight w:val="white"/>
          <w:lang w:eastAsia="zh-CN"/>
        </w:rPr>
        <w:t>C类基金份额，</w:t>
      </w:r>
      <w:r>
        <w:rPr>
          <w:rFonts w:ascii="宋体" w:hAnsi="宋体" w:cs="宋体"/>
          <w:szCs w:val="21"/>
          <w:highlight w:val="white"/>
          <w:lang w:eastAsia="zh-CN"/>
        </w:rPr>
        <w:t>或者通过</w:t>
      </w:r>
      <w:r>
        <w:rPr>
          <w:rFonts w:hint="eastAsia"/>
          <w:highlight w:val="white"/>
          <w:lang w:eastAsia="zh-CN"/>
        </w:rPr>
        <w:t>基金</w:t>
      </w:r>
      <w:r>
        <w:rPr>
          <w:highlight w:val="white"/>
          <w:lang w:eastAsia="zh-CN"/>
        </w:rPr>
        <w:t>管理人</w:t>
      </w:r>
      <w:r>
        <w:rPr>
          <w:rFonts w:hint="eastAsia"/>
          <w:highlight w:val="white"/>
          <w:lang w:eastAsia="zh-CN"/>
        </w:rPr>
        <w:t>或其</w:t>
      </w:r>
      <w:r>
        <w:rPr>
          <w:highlight w:val="white"/>
          <w:lang w:eastAsia="zh-CN"/>
        </w:rPr>
        <w:t>基金销售子公司申购本基金</w:t>
      </w:r>
      <w:r>
        <w:rPr>
          <w:rFonts w:ascii="宋体" w:hAnsi="宋体"/>
          <w:szCs w:val="21"/>
          <w:highlight w:val="white"/>
          <w:lang w:eastAsia="zh-CN"/>
        </w:rPr>
        <w:t>A</w:t>
      </w:r>
      <w:r>
        <w:rPr>
          <w:rFonts w:ascii="宋体" w:hAnsi="宋体" w:cs="宋体" w:hint="eastAsia"/>
          <w:szCs w:val="21"/>
          <w:highlight w:val="white"/>
          <w:lang w:eastAsia="zh-CN"/>
        </w:rPr>
        <w:t>类基金份额</w:t>
      </w:r>
      <w:r>
        <w:rPr>
          <w:rFonts w:ascii="宋体" w:hAnsi="宋体" w:cs="宋体"/>
          <w:szCs w:val="21"/>
          <w:highlight w:val="white"/>
          <w:lang w:eastAsia="zh-CN"/>
        </w:rPr>
        <w:t>，</w:t>
      </w:r>
      <w:r>
        <w:rPr>
          <w:rFonts w:ascii="宋体" w:hAnsi="Calibri"/>
          <w:szCs w:val="21"/>
          <w:highlight w:val="white"/>
          <w:lang w:eastAsia="zh-CN"/>
        </w:rPr>
        <w:t>则申购份额的计算公式如下：</w:t>
      </w:r>
    </w:p>
    <w:p w:rsidR="00257FC2">
      <w:pPr>
        <w:spacing w:line="360" w:lineRule="auto"/>
        <w:ind w:firstLine="420"/>
        <w:rPr>
          <w:rFonts w:ascii="宋体" w:hAnsi="Calibri"/>
          <w:szCs w:val="21"/>
          <w:lang w:eastAsia="zh-CN"/>
        </w:rPr>
      </w:pPr>
      <w:r>
        <w:rPr>
          <w:rFonts w:ascii="宋体" w:hAnsi="Calibri"/>
          <w:szCs w:val="21"/>
          <w:highlight w:val="white"/>
          <w:lang w:eastAsia="zh-CN"/>
        </w:rPr>
        <w:t>申购份额=申购金额/ T日</w:t>
      </w:r>
      <w:r>
        <w:rPr>
          <w:rFonts w:ascii="宋体" w:hAnsi="Calibri" w:hint="eastAsia"/>
          <w:szCs w:val="21"/>
          <w:highlight w:val="white"/>
          <w:lang w:eastAsia="zh-CN"/>
        </w:rPr>
        <w:t>该类份额的</w:t>
      </w:r>
      <w:r>
        <w:rPr>
          <w:rFonts w:ascii="宋体" w:hAnsi="Calibri"/>
          <w:szCs w:val="21"/>
          <w:highlight w:val="white"/>
          <w:lang w:eastAsia="zh-CN"/>
        </w:rPr>
        <w:t xml:space="preserve">基金份额净值 </w:t>
      </w:r>
    </w:p>
    <w:p w:rsidR="00257FC2">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二</w:t>
      </w:r>
      <w:r>
        <w:rPr>
          <w:rFonts w:ascii="宋体" w:hAnsi="Calibri"/>
          <w:szCs w:val="21"/>
          <w:highlight w:val="white"/>
          <w:lang w:eastAsia="zh-CN"/>
        </w:rPr>
        <w:t>：某投资人</w:t>
      </w:r>
      <w:r>
        <w:rPr>
          <w:rFonts w:ascii="宋体" w:hAnsi="Calibri"/>
          <w:szCs w:val="21"/>
          <w:highlight w:val="white"/>
          <w:lang w:eastAsia="zh-CN"/>
        </w:rPr>
        <w:t>申购</w:t>
      </w:r>
      <w:r>
        <w:rPr>
          <w:rFonts w:ascii="宋体" w:hAnsi="Calibri"/>
          <w:szCs w:val="21"/>
          <w:highlight w:val="white"/>
          <w:lang w:eastAsia="zh-CN"/>
        </w:rPr>
        <w:t>本基金C类基金份额</w:t>
      </w:r>
      <w:r w:rsidR="000915FF">
        <w:rPr>
          <w:rFonts w:ascii="宋体" w:hAnsi="Calibri"/>
          <w:szCs w:val="21"/>
          <w:highlight w:val="white"/>
          <w:lang w:eastAsia="zh-CN"/>
        </w:rPr>
        <w:t>100,000元</w:t>
      </w:r>
      <w:r>
        <w:rPr>
          <w:rFonts w:ascii="宋体" w:hAnsi="Calibri"/>
          <w:szCs w:val="21"/>
          <w:highlight w:val="white"/>
          <w:lang w:eastAsia="zh-CN"/>
        </w:rPr>
        <w:t>，假设申购当日C类基金份额</w:t>
      </w:r>
      <w:r>
        <w:rPr>
          <w:rFonts w:ascii="宋体" w:hAnsi="Calibri" w:hint="eastAsia"/>
          <w:szCs w:val="21"/>
          <w:highlight w:val="white"/>
          <w:lang w:eastAsia="zh-CN"/>
        </w:rPr>
        <w:t>的基金</w:t>
      </w:r>
      <w:r>
        <w:rPr>
          <w:rFonts w:ascii="宋体" w:hAnsi="Calibri"/>
          <w:szCs w:val="21"/>
          <w:highlight w:val="white"/>
          <w:lang w:eastAsia="zh-CN"/>
        </w:rPr>
        <w:t xml:space="preserve">份额净值为1.0400元，则其可得到的申购份额为： </w:t>
      </w:r>
    </w:p>
    <w:p w:rsidR="00257FC2">
      <w:pPr>
        <w:spacing w:line="360" w:lineRule="auto"/>
        <w:ind w:firstLine="420"/>
        <w:rPr>
          <w:rFonts w:ascii="宋体" w:hAnsi="Calibri"/>
          <w:szCs w:val="21"/>
          <w:lang w:eastAsia="zh-CN"/>
        </w:rPr>
      </w:pPr>
      <w:r>
        <w:rPr>
          <w:rFonts w:ascii="宋体" w:hAnsi="Calibri"/>
          <w:szCs w:val="21"/>
          <w:highlight w:val="white"/>
          <w:lang w:eastAsia="zh-CN"/>
        </w:rPr>
        <w:t>申购份额=100,000/1.0400=96,153.85份</w:t>
      </w:r>
    </w:p>
    <w:p w:rsidR="00257FC2">
      <w:pPr>
        <w:spacing w:line="360" w:lineRule="auto"/>
        <w:ind w:firstLine="420"/>
        <w:rPr>
          <w:rFonts w:ascii="宋体" w:hAnsi="Calibri"/>
          <w:szCs w:val="21"/>
          <w:lang w:eastAsia="zh-CN"/>
        </w:rPr>
      </w:pPr>
      <w:r>
        <w:rPr>
          <w:rFonts w:ascii="宋体" w:hAnsi="Calibri"/>
          <w:szCs w:val="21"/>
          <w:highlight w:val="white"/>
          <w:lang w:eastAsia="zh-CN"/>
        </w:rPr>
        <w:t xml:space="preserve">3、赎回金额的计算 </w:t>
      </w:r>
    </w:p>
    <w:p w:rsidR="00257FC2">
      <w:pPr>
        <w:spacing w:line="360" w:lineRule="auto"/>
        <w:ind w:firstLine="420"/>
        <w:rPr>
          <w:rFonts w:ascii="宋体" w:hAnsi="Calibri"/>
          <w:szCs w:val="21"/>
          <w:lang w:eastAsia="zh-CN"/>
        </w:rPr>
      </w:pPr>
      <w:r>
        <w:rPr>
          <w:rFonts w:ascii="宋体" w:hAnsi="Calibri"/>
          <w:szCs w:val="21"/>
          <w:highlight w:val="white"/>
          <w:lang w:eastAsia="zh-CN"/>
        </w:rPr>
        <w:t xml:space="preserve">赎回金额的计算方法如下： </w:t>
      </w:r>
    </w:p>
    <w:p w:rsidR="00257FC2">
      <w:pPr>
        <w:spacing w:line="360" w:lineRule="auto"/>
        <w:ind w:firstLine="420"/>
        <w:rPr>
          <w:rFonts w:ascii="宋体" w:hAnsi="Calibri"/>
          <w:szCs w:val="21"/>
          <w:lang w:eastAsia="zh-CN"/>
        </w:rPr>
      </w:pPr>
      <w:r>
        <w:rPr>
          <w:rFonts w:ascii="宋体" w:hAnsi="Calibri"/>
          <w:szCs w:val="21"/>
          <w:highlight w:val="white"/>
          <w:lang w:eastAsia="zh-CN"/>
        </w:rPr>
        <w:t>赎回费用=赎回份额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该类份额的</w:t>
      </w:r>
      <w:r>
        <w:rPr>
          <w:rFonts w:ascii="宋体" w:hAnsi="Calibri"/>
          <w:szCs w:val="21"/>
          <w:highlight w:val="white"/>
          <w:lang w:eastAsia="zh-CN"/>
        </w:rPr>
        <w:t>基金份额净值</w:t>
      </w:r>
      <w:r>
        <w:rPr>
          <w:rFonts w:ascii="宋体" w:hAnsi="Calibri"/>
          <w:szCs w:val="21"/>
          <w:highlight w:val="white"/>
          <w:lang w:eastAsia="zh-CN"/>
        </w:rPr>
        <w:t>×</w:t>
      </w:r>
      <w:r>
        <w:rPr>
          <w:rFonts w:ascii="宋体" w:hAnsi="Calibri" w:hint="eastAsia"/>
          <w:szCs w:val="21"/>
          <w:highlight w:val="white"/>
          <w:lang w:eastAsia="zh-CN"/>
        </w:rPr>
        <w:t>该类份额对应该类投资者的</w:t>
      </w:r>
      <w:r>
        <w:rPr>
          <w:rFonts w:ascii="宋体" w:hAnsi="Calibri"/>
          <w:szCs w:val="21"/>
          <w:highlight w:val="white"/>
          <w:lang w:eastAsia="zh-CN"/>
        </w:rPr>
        <w:t xml:space="preserve">赎回费率 </w:t>
      </w:r>
    </w:p>
    <w:p w:rsidR="00257FC2">
      <w:pPr>
        <w:spacing w:line="360" w:lineRule="auto"/>
        <w:ind w:firstLine="420"/>
        <w:rPr>
          <w:rFonts w:ascii="宋体" w:hAnsi="宋体" w:cs="宋体"/>
          <w:color w:val="000000"/>
          <w:lang w:eastAsia="zh-CN"/>
        </w:rPr>
      </w:pPr>
      <w:r>
        <w:rPr>
          <w:rFonts w:ascii="宋体" w:hAnsi="Calibri"/>
          <w:szCs w:val="21"/>
          <w:highlight w:val="white"/>
          <w:lang w:eastAsia="zh-CN"/>
        </w:rPr>
        <w:t>赎回金额=赎回份额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该类份额的</w:t>
      </w:r>
      <w:r>
        <w:rPr>
          <w:rFonts w:ascii="宋体" w:hAnsi="Calibri"/>
          <w:szCs w:val="21"/>
          <w:highlight w:val="white"/>
          <w:lang w:eastAsia="zh-CN"/>
        </w:rPr>
        <w:t>基金份额净值-赎回费用</w:t>
      </w:r>
      <w:r>
        <w:rPr>
          <w:rFonts w:ascii="宋体" w:hAnsi="宋体" w:cs="宋体" w:hint="eastAsia"/>
          <w:color w:val="000000"/>
          <w:highlight w:val="white"/>
          <w:lang w:eastAsia="zh-CN"/>
        </w:rPr>
        <w:t>+返还投资者的销售服务费（如有）</w:t>
      </w:r>
    </w:p>
    <w:p w:rsidR="00257FC2">
      <w:pPr>
        <w:spacing w:line="360" w:lineRule="auto"/>
        <w:ind w:firstLine="420"/>
        <w:rPr>
          <w:rFonts w:ascii="宋体" w:hAnsi="Calibri"/>
          <w:szCs w:val="21"/>
          <w:lang w:eastAsia="zh-CN"/>
        </w:rPr>
      </w:pPr>
      <w:r>
        <w:rPr>
          <w:rFonts w:ascii="宋体" w:hAnsi="宋体" w:cs="宋体"/>
          <w:color w:val="000000"/>
          <w:highlight w:val="white"/>
          <w:lang w:eastAsia="zh-CN"/>
        </w:rPr>
        <w:t>该笔赎回是否涉及</w:t>
      </w:r>
      <w:r>
        <w:rPr>
          <w:rFonts w:ascii="宋体" w:hAnsi="宋体" w:cs="宋体" w:hint="eastAsia"/>
          <w:color w:val="000000"/>
          <w:highlight w:val="white"/>
          <w:lang w:eastAsia="zh-CN"/>
        </w:rPr>
        <w:t>返还销售服务费</w:t>
      </w:r>
      <w:r>
        <w:rPr>
          <w:rFonts w:ascii="宋体" w:hAnsi="宋体" w:cs="宋体"/>
          <w:color w:val="000000"/>
          <w:highlight w:val="white"/>
          <w:lang w:eastAsia="zh-CN"/>
        </w:rPr>
        <w:t>的具体条件等具体安排详见本招募说明书“基金的费用与税收”部分。</w:t>
      </w:r>
      <w:r>
        <w:rPr>
          <w:rFonts w:ascii="宋体" w:hAnsi="Calibri"/>
          <w:szCs w:val="21"/>
          <w:highlight w:val="white"/>
          <w:lang w:eastAsia="zh-CN"/>
        </w:rPr>
        <w:t xml:space="preserve"> </w:t>
      </w:r>
    </w:p>
    <w:p w:rsidR="00257FC2">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三</w:t>
      </w:r>
      <w:r>
        <w:rPr>
          <w:rFonts w:ascii="宋体" w:hAnsi="Calibri"/>
          <w:szCs w:val="21"/>
          <w:highlight w:val="white"/>
          <w:lang w:eastAsia="zh-CN"/>
        </w:rPr>
        <w:t>：某</w:t>
      </w:r>
      <w:r>
        <w:rPr>
          <w:rFonts w:ascii="宋体" w:hAnsi="Calibri" w:hint="eastAsia"/>
          <w:szCs w:val="21"/>
          <w:highlight w:val="white"/>
          <w:lang w:eastAsia="zh-CN"/>
        </w:rPr>
        <w:t>个人</w:t>
      </w:r>
      <w:r>
        <w:rPr>
          <w:rFonts w:ascii="宋体" w:hAnsi="Calibri"/>
          <w:szCs w:val="21"/>
          <w:highlight w:val="white"/>
          <w:lang w:eastAsia="zh-CN"/>
        </w:rPr>
        <w:t>投资人赎回</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hint="eastAsia"/>
          <w:highlight w:val="white"/>
          <w:lang w:eastAsia="zh-CN"/>
        </w:rPr>
        <w:t>投资的</w:t>
      </w:r>
      <w:r>
        <w:rPr>
          <w:rFonts w:ascii="宋体" w:hAnsi="Calibri"/>
          <w:szCs w:val="21"/>
          <w:highlight w:val="white"/>
          <w:lang w:eastAsia="zh-CN"/>
        </w:rPr>
        <w:t>10,000份C类基金份额，假设该笔份额持有期限为5天，则对应的</w:t>
      </w:r>
      <w:r>
        <w:rPr>
          <w:rFonts w:ascii="宋体" w:hAnsi="Calibri" w:hint="eastAsia"/>
          <w:szCs w:val="21"/>
          <w:highlight w:val="white"/>
          <w:lang w:eastAsia="zh-CN"/>
        </w:rPr>
        <w:t>该类投资者的</w:t>
      </w:r>
      <w:r>
        <w:rPr>
          <w:rFonts w:ascii="宋体" w:hAnsi="Calibri"/>
          <w:szCs w:val="21"/>
          <w:highlight w:val="white"/>
          <w:lang w:eastAsia="zh-CN"/>
        </w:rPr>
        <w:t>赎回费率为1.50%，假设赎回当日</w:t>
      </w:r>
      <w:r>
        <w:rPr>
          <w:rFonts w:ascii="宋体" w:hAnsi="Calibri" w:hint="eastAsia"/>
          <w:szCs w:val="21"/>
          <w:highlight w:val="white"/>
          <w:lang w:eastAsia="zh-CN"/>
        </w:rPr>
        <w:t>对应份额类别的</w:t>
      </w:r>
      <w:r>
        <w:rPr>
          <w:rFonts w:ascii="宋体" w:hAnsi="Calibri"/>
          <w:szCs w:val="21"/>
          <w:highlight w:val="white"/>
          <w:lang w:eastAsia="zh-CN"/>
        </w:rPr>
        <w:t>基金份额净值是1.0160元，</w:t>
      </w:r>
      <w:r>
        <w:rPr>
          <w:rFonts w:ascii="宋体" w:hAnsi="宋体" w:cs="宋体"/>
          <w:color w:val="000000"/>
          <w:highlight w:val="white"/>
          <w:lang w:eastAsia="zh-CN"/>
        </w:rPr>
        <w:t>该笔赎回</w:t>
      </w:r>
      <w:r>
        <w:rPr>
          <w:rFonts w:ascii="宋体" w:hAnsi="宋体" w:cs="宋体" w:hint="eastAsia"/>
          <w:color w:val="000000"/>
          <w:highlight w:val="white"/>
          <w:lang w:eastAsia="zh-CN"/>
        </w:rPr>
        <w:t>不</w:t>
      </w:r>
      <w:r>
        <w:rPr>
          <w:rFonts w:ascii="宋体" w:hAnsi="宋体" w:cs="宋体"/>
          <w:color w:val="000000"/>
          <w:highlight w:val="white"/>
          <w:lang w:eastAsia="zh-CN"/>
        </w:rPr>
        <w:t>涉及</w:t>
      </w:r>
      <w:r>
        <w:rPr>
          <w:rFonts w:ascii="宋体" w:hAnsi="宋体" w:cs="宋体" w:hint="eastAsia"/>
          <w:color w:val="000000"/>
          <w:highlight w:val="white"/>
          <w:lang w:eastAsia="zh-CN"/>
        </w:rPr>
        <w:t>返还销售服务费，</w:t>
      </w:r>
      <w:r>
        <w:rPr>
          <w:rFonts w:ascii="宋体" w:hAnsi="Calibri"/>
          <w:szCs w:val="21"/>
          <w:highlight w:val="white"/>
          <w:lang w:eastAsia="zh-CN"/>
        </w:rPr>
        <w:t xml:space="preserve">则其可得到的赎回金额为： </w:t>
      </w:r>
    </w:p>
    <w:p w:rsidR="00257FC2">
      <w:pPr>
        <w:spacing w:line="360" w:lineRule="auto"/>
        <w:ind w:firstLine="420"/>
        <w:rPr>
          <w:rFonts w:ascii="宋体" w:hAnsi="Calibri"/>
          <w:szCs w:val="21"/>
          <w:lang w:eastAsia="zh-CN"/>
        </w:rPr>
      </w:pPr>
      <w:r>
        <w:rPr>
          <w:rFonts w:ascii="宋体" w:hAnsi="Calibri"/>
          <w:szCs w:val="21"/>
          <w:highlight w:val="white"/>
          <w:lang w:eastAsia="zh-CN"/>
        </w:rPr>
        <w:t>赎回费用 = 10,000</w:t>
      </w:r>
      <w:r>
        <w:rPr>
          <w:rFonts w:ascii="宋体" w:hAnsi="Calibri"/>
          <w:szCs w:val="21"/>
          <w:highlight w:val="white"/>
          <w:lang w:eastAsia="zh-CN"/>
        </w:rPr>
        <w:t>×</w:t>
      </w:r>
      <w:r>
        <w:rPr>
          <w:rFonts w:ascii="宋体" w:hAnsi="Calibri"/>
          <w:szCs w:val="21"/>
          <w:highlight w:val="white"/>
          <w:lang w:eastAsia="zh-CN"/>
        </w:rPr>
        <w:t>1.0160</w:t>
      </w:r>
      <w:r>
        <w:rPr>
          <w:rFonts w:ascii="宋体" w:hAnsi="Calibri"/>
          <w:szCs w:val="21"/>
          <w:highlight w:val="white"/>
          <w:lang w:eastAsia="zh-CN"/>
        </w:rPr>
        <w:t>×</w:t>
      </w:r>
      <w:r>
        <w:rPr>
          <w:rFonts w:ascii="宋体" w:hAnsi="Calibri"/>
          <w:szCs w:val="21"/>
          <w:highlight w:val="white"/>
          <w:lang w:eastAsia="zh-CN"/>
        </w:rPr>
        <w:t>1.50% ＝152.40元</w:t>
      </w:r>
    </w:p>
    <w:p w:rsidR="00257FC2">
      <w:pPr>
        <w:spacing w:line="360" w:lineRule="auto"/>
        <w:ind w:firstLine="420"/>
        <w:rPr>
          <w:rFonts w:ascii="宋体" w:hAnsi="Calibri" w:cs="宋体"/>
          <w:szCs w:val="21"/>
          <w:lang w:eastAsia="zh-CN"/>
        </w:rPr>
      </w:pPr>
      <w:r>
        <w:rPr>
          <w:rFonts w:ascii="宋体" w:hAnsi="Calibri"/>
          <w:szCs w:val="21"/>
          <w:highlight w:val="white"/>
          <w:lang w:eastAsia="zh-CN"/>
        </w:rPr>
        <w:t>赎回金额 = 10,000</w:t>
      </w:r>
      <w:r>
        <w:rPr>
          <w:rFonts w:ascii="宋体" w:hAnsi="Calibri"/>
          <w:szCs w:val="21"/>
          <w:highlight w:val="white"/>
          <w:lang w:eastAsia="zh-CN"/>
        </w:rPr>
        <w:t>×</w:t>
      </w:r>
      <w:r>
        <w:rPr>
          <w:rFonts w:ascii="宋体" w:hAnsi="Calibri"/>
          <w:szCs w:val="21"/>
          <w:highlight w:val="white"/>
          <w:lang w:eastAsia="zh-CN"/>
        </w:rPr>
        <w:t>1.0160-152.40+0＝10,007.60元</w:t>
      </w:r>
      <w:bookmarkStart w:id="1807" w:name="_Toc332373509"/>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4、基金份额净值的计算公式</w:t>
      </w:r>
      <w:bookmarkEnd w:id="1807"/>
      <w:r>
        <w:rPr>
          <w:rFonts w:ascii="宋体" w:hAnsi="Calibri" w:cs="宋体"/>
          <w:szCs w:val="21"/>
          <w:highlight w:val="white"/>
          <w:lang w:eastAsia="zh-CN"/>
        </w:rPr>
        <w:t xml:space="preserve"> </w:t>
      </w:r>
    </w:p>
    <w:p w:rsidR="00257FC2">
      <w:pPr>
        <w:spacing w:line="360" w:lineRule="auto"/>
        <w:ind w:firstLine="422"/>
        <w:rPr>
          <w:rFonts w:ascii="宋体" w:hAnsi="Calibri" w:cs="宋体"/>
          <w:szCs w:val="21"/>
          <w:lang w:eastAsia="zh-CN"/>
        </w:rPr>
      </w:pPr>
      <w:r>
        <w:rPr>
          <w:rFonts w:ascii="宋体" w:hAnsi="Calibri" w:cs="宋体"/>
          <w:szCs w:val="21"/>
          <w:highlight w:val="white"/>
          <w:lang w:eastAsia="zh-CN"/>
        </w:rPr>
        <w:t>计算日</w:t>
      </w:r>
      <w:r>
        <w:rPr>
          <w:rFonts w:ascii="宋体" w:hAnsi="Calibri" w:cs="宋体" w:hint="eastAsia"/>
          <w:szCs w:val="21"/>
          <w:highlight w:val="white"/>
          <w:lang w:eastAsia="zh-CN"/>
        </w:rPr>
        <w:t>该类基金份额的</w:t>
      </w:r>
      <w:r>
        <w:rPr>
          <w:rFonts w:ascii="宋体" w:hAnsi="Calibri" w:cs="宋体"/>
          <w:szCs w:val="21"/>
          <w:highlight w:val="white"/>
          <w:lang w:eastAsia="zh-CN"/>
        </w:rPr>
        <w:t>基金份额净值=计算日</w:t>
      </w:r>
      <w:r>
        <w:rPr>
          <w:rFonts w:ascii="宋体" w:hAnsi="Calibri" w:cs="宋体" w:hint="eastAsia"/>
          <w:szCs w:val="21"/>
          <w:highlight w:val="white"/>
          <w:lang w:eastAsia="zh-CN"/>
        </w:rPr>
        <w:t>该类基金份额的</w:t>
      </w:r>
      <w:r>
        <w:rPr>
          <w:rFonts w:ascii="宋体" w:hAnsi="Calibri" w:cs="宋体"/>
          <w:szCs w:val="21"/>
          <w:highlight w:val="white"/>
          <w:lang w:eastAsia="zh-CN"/>
        </w:rPr>
        <w:t>基金资产净值/计算日</w:t>
      </w:r>
      <w:r>
        <w:rPr>
          <w:rFonts w:ascii="宋体" w:hAnsi="Calibri" w:cs="宋体" w:hint="eastAsia"/>
          <w:szCs w:val="21"/>
          <w:highlight w:val="white"/>
          <w:lang w:eastAsia="zh-CN"/>
        </w:rPr>
        <w:t>该类</w:t>
      </w:r>
      <w:r>
        <w:rPr>
          <w:rFonts w:ascii="宋体" w:hAnsi="Calibri" w:cs="宋体"/>
          <w:szCs w:val="21"/>
          <w:highlight w:val="white"/>
          <w:lang w:eastAsia="zh-CN"/>
        </w:rPr>
        <w:t>基金</w:t>
      </w:r>
      <w:r>
        <w:rPr>
          <w:rFonts w:ascii="宋体" w:hAnsi="Calibri" w:cs="宋体" w:hint="eastAsia"/>
          <w:szCs w:val="21"/>
          <w:highlight w:val="white"/>
          <w:lang w:eastAsia="zh-CN"/>
        </w:rPr>
        <w:t>份额</w:t>
      </w:r>
      <w:r>
        <w:rPr>
          <w:rFonts w:ascii="宋体" w:hAnsi="Calibri" w:cs="宋体"/>
          <w:szCs w:val="21"/>
          <w:highlight w:val="white"/>
          <w:lang w:eastAsia="zh-CN"/>
        </w:rPr>
        <w:t>总份额</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257FC2">
      <w:pPr>
        <w:spacing w:line="360" w:lineRule="auto"/>
        <w:ind w:firstLine="420"/>
        <w:rPr>
          <w:rStyle w:val="da"/>
          <w:rFonts w:ascii="宋体" w:hAnsi="Calibri" w:cs="宋体"/>
          <w:szCs w:val="21"/>
          <w:lang w:eastAsia="zh-CN"/>
        </w:rPr>
      </w:pPr>
      <w:bookmarkStart w:id="1808" w:name="_Toc332373510"/>
      <w:r>
        <w:rPr>
          <w:rStyle w:val="da"/>
          <w:rFonts w:ascii="宋体" w:hAnsi="Calibri" w:cs="宋体" w:hint="eastAsia"/>
          <w:szCs w:val="21"/>
          <w:highlight w:val="white"/>
          <w:lang w:eastAsia="zh-CN"/>
        </w:rPr>
        <w:t>九、申购和赎回的登记</w:t>
      </w:r>
    </w:p>
    <w:p w:rsidR="00257FC2">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正常情况下，投资者</w:t>
      </w:r>
      <w:r>
        <w:rPr>
          <w:rStyle w:val="da"/>
          <w:rFonts w:ascii="宋体" w:hAnsi="Calibri" w:cs="宋体"/>
          <w:szCs w:val="21"/>
          <w:highlight w:val="white"/>
          <w:lang w:eastAsia="zh-CN"/>
        </w:rPr>
        <w:t>T</w:t>
      </w:r>
      <w:r>
        <w:rPr>
          <w:rStyle w:val="da"/>
          <w:rFonts w:ascii="宋体" w:hAnsi="Calibri" w:cs="宋体" w:hint="eastAsia"/>
          <w:szCs w:val="21"/>
          <w:highlight w:val="white"/>
          <w:lang w:eastAsia="zh-CN"/>
        </w:rPr>
        <w:t>日申购基金成功后，登记机构在</w:t>
      </w:r>
      <w:r>
        <w:rPr>
          <w:rStyle w:val="da"/>
          <w:rFonts w:ascii="宋体" w:hAnsi="Calibri" w:cs="宋体"/>
          <w:szCs w:val="21"/>
          <w:highlight w:val="white"/>
          <w:lang w:eastAsia="zh-CN"/>
        </w:rPr>
        <w:t>T+1</w:t>
      </w:r>
      <w:r>
        <w:rPr>
          <w:rStyle w:val="da"/>
          <w:rFonts w:ascii="宋体" w:hAnsi="Calibri" w:cs="宋体" w:hint="eastAsia"/>
          <w:szCs w:val="21"/>
          <w:highlight w:val="white"/>
          <w:lang w:eastAsia="zh-CN"/>
        </w:rPr>
        <w:t>日为投资者增加权益并办理登记手续。</w:t>
      </w:r>
    </w:p>
    <w:p w:rsidR="00257FC2">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基金份额持有人</w:t>
      </w:r>
      <w:r>
        <w:rPr>
          <w:rStyle w:val="da"/>
          <w:rFonts w:ascii="宋体" w:hAnsi="Calibri" w:cs="宋体"/>
          <w:szCs w:val="21"/>
          <w:highlight w:val="white"/>
          <w:lang w:eastAsia="zh-CN"/>
        </w:rPr>
        <w:t>T</w:t>
      </w:r>
      <w:r>
        <w:rPr>
          <w:rStyle w:val="da"/>
          <w:rFonts w:ascii="宋体" w:hAnsi="Calibri" w:cs="宋体" w:hint="eastAsia"/>
          <w:szCs w:val="21"/>
          <w:highlight w:val="white"/>
          <w:lang w:eastAsia="zh-CN"/>
        </w:rPr>
        <w:t>日赎回基金成功后，正常情况下，登记机构在</w:t>
      </w:r>
      <w:r>
        <w:rPr>
          <w:rStyle w:val="da"/>
          <w:rFonts w:ascii="宋体" w:hAnsi="Calibri" w:cs="宋体"/>
          <w:szCs w:val="21"/>
          <w:highlight w:val="white"/>
          <w:lang w:eastAsia="zh-CN"/>
        </w:rPr>
        <w:t>T+1</w:t>
      </w:r>
      <w:r>
        <w:rPr>
          <w:rStyle w:val="da"/>
          <w:rFonts w:ascii="宋体" w:hAnsi="Calibri" w:cs="宋体" w:hint="eastAsia"/>
          <w:szCs w:val="21"/>
          <w:highlight w:val="white"/>
          <w:lang w:eastAsia="zh-CN"/>
        </w:rPr>
        <w:t>日为其办理扣除权益的登记手续。</w:t>
      </w:r>
    </w:p>
    <w:p w:rsidR="00257FC2">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08"/>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十、拒绝或暂停申购的情形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发生下列情况时，基金管理人可拒绝或暂停接受投资人的某一类或多类份额申购申请：</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1、因不可抗力导致基金无法正常运作。</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2、发生基金合同规定的暂停基金资产估值情况时。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3、基金进行交易的主要证券/期货交易市场交易时间非正常停市。</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4、基金管理人认为接受某笔或某些申购申请可能会影响或损害现有基金份额持有人利益时。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8、当前一估值日基金资产净值50%以上的资产出现无可参考的活跃市场价格且采用估值技术仍导致公允价值存在重大不确定性时，经与基金托管人协商确认后，基金管理人应当暂停接受基金申购申请。</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9、目标ETF暂停估值，导致基金管理人无法计算当日基金资产净值。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10、目标ETF暂停申购、暂停上市或目标ETF停牌，基金管理人认为有必要暂停本基金申购的。</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11、法律法规规定或中国证监会认定的其他情形。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上述第1、2、3、5、6、7、8、9、10、11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十一、暂停赎回或延缓支付赎回款项的情形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发生下列情形时，基金管理人可暂停接受投资人的某一类或多类份额赎回申请或延缓支付赎回款项：</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1、因不可抗力导致基金管理人不能支付赎回款项。</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2、发生基金合同规定的暂停基金资产估值情况时。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3、基金进行交易的主要证券/期货交易市场交易时间非正常停市。</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4、连续两个或两个以上开放日发生巨额赎回。</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5、发生继续接受赎回申请将损害现有基金份额持有人利益的情形时，基金管理人可暂停接受基金份额持有人的赎回申请。</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7、基金管理人、基金托管人、登记机构、销售机构、支付结算机构等因异常情况导致基金销售系统、基金销售支付结算系统、基金登记系统、基金会计系统等无法正常运行。</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8、本基金的资产组合中的重要部分发生暂停交易或其他重大事件，继续接受赎回可能会影响或损害基金份额持有人利益时。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9、目标ETF暂停估值，导致基金管理人无法计算当日基金资产净值。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10、目标ETF暂停赎回、暂停上市或目标ETF停牌，基金管理人认为有必要暂停本基金赎回的。</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11、法律法规规定或中国证监会认定的其他情形。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十二、巨额赎回的情形及处理方式</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1、巨额赎回的认定</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2、巨额赎回的处理方式</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当基金出现巨额赎回时，基金管理人可以根据基金当时的资产组合状况决定全额赎回或部分延期赎回。</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（1）全额赎回：当基金管理人认为有能力支付投资人的全部赎回申请时，按正常赎回程序执行。</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w:t>
      </w:r>
      <w:r>
        <w:rPr>
          <w:rStyle w:val="da"/>
          <w:rFonts w:ascii="宋体" w:hAnsi="Calibri" w:cs="宋体"/>
          <w:szCs w:val="21"/>
          <w:highlight w:val="white"/>
          <w:lang w:eastAsia="zh-CN"/>
        </w:rPr>
        <w:t>“</w:t>
      </w:r>
      <w:r>
        <w:rPr>
          <w:rStyle w:val="da"/>
          <w:rFonts w:ascii="宋体" w:hAnsi="Calibri" w:cs="宋体"/>
          <w:szCs w:val="21"/>
          <w:highlight w:val="white"/>
          <w:lang w:eastAsia="zh-CN"/>
        </w:rPr>
        <w:t>（1）全额赎回</w:t>
      </w:r>
      <w:r>
        <w:rPr>
          <w:rStyle w:val="da"/>
          <w:rFonts w:ascii="宋体" w:hAnsi="Calibri" w:cs="宋体"/>
          <w:szCs w:val="21"/>
          <w:highlight w:val="white"/>
          <w:lang w:eastAsia="zh-CN"/>
        </w:rPr>
        <w:t>”</w:t>
      </w:r>
      <w:r>
        <w:rPr>
          <w:rStyle w:val="da"/>
          <w:rFonts w:ascii="宋体" w:hAnsi="Calibri" w:cs="宋体"/>
          <w:szCs w:val="21"/>
          <w:highlight w:val="white"/>
          <w:lang w:eastAsia="zh-CN"/>
        </w:rPr>
        <w:t>或</w:t>
      </w:r>
      <w:r>
        <w:rPr>
          <w:rStyle w:val="da"/>
          <w:rFonts w:ascii="宋体" w:hAnsi="Calibri" w:cs="宋体"/>
          <w:szCs w:val="21"/>
          <w:highlight w:val="white"/>
          <w:lang w:eastAsia="zh-CN"/>
        </w:rPr>
        <w:t>“</w:t>
      </w:r>
      <w:r>
        <w:rPr>
          <w:rStyle w:val="da"/>
          <w:rFonts w:ascii="宋体" w:hAnsi="Calibri" w:cs="宋体"/>
          <w:szCs w:val="21"/>
          <w:highlight w:val="white"/>
          <w:lang w:eastAsia="zh-CN"/>
        </w:rPr>
        <w:t>（2）部分延期赎回</w:t>
      </w:r>
      <w:r>
        <w:rPr>
          <w:rStyle w:val="da"/>
          <w:rFonts w:ascii="宋体" w:hAnsi="Calibri" w:cs="宋体"/>
          <w:szCs w:val="21"/>
          <w:highlight w:val="white"/>
          <w:lang w:eastAsia="zh-CN"/>
        </w:rPr>
        <w:t>”</w:t>
      </w:r>
      <w:r>
        <w:rPr>
          <w:rStyle w:val="da"/>
          <w:rFonts w:ascii="宋体" w:hAnsi="Calibri" w:cs="宋体"/>
          <w:szCs w:val="21"/>
          <w:highlight w:val="white"/>
          <w:lang w:eastAsia="zh-CN"/>
        </w:rPr>
        <w:t>约定的方式与其他账户的赎回申请一并办理。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3、巨额赎回的公告</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十三、暂停申购或赎回的公告和重新开放申购或赎回的公告</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1、发生上述暂停申购或赎回情况的，基金管理人应在规定期限内在规定媒介上刊登暂停公告。</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257FC2">
      <w:pPr>
        <w:spacing w:line="360" w:lineRule="auto"/>
        <w:ind w:firstLine="420"/>
        <w:rPr>
          <w:rStyle w:val="da"/>
          <w:rFonts w:ascii="宋体" w:hAnsi="Calibri" w:cs="宋体"/>
          <w:szCs w:val="21"/>
          <w:lang w:eastAsia="zh-CN"/>
        </w:rPr>
      </w:pPr>
      <w:bookmarkStart w:id="1809" w:name="_Hlt70481650"/>
      <w:bookmarkEnd w:id="1809"/>
      <w:r>
        <w:rPr>
          <w:rStyle w:val="da"/>
          <w:rFonts w:ascii="宋体" w:hAnsi="Calibri" w:cs="宋体" w:hint="eastAsia"/>
          <w:szCs w:val="21"/>
          <w:highlight w:val="white"/>
          <w:lang w:eastAsia="zh-CN"/>
        </w:rPr>
        <w:t>十四、基金份额折算</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十五、实施侧袋机制期间本基金的申购与赎回</w:t>
      </w:r>
    </w:p>
    <w:p w:rsidR="00257FC2">
      <w:pPr>
        <w:spacing w:line="360" w:lineRule="auto"/>
        <w:ind w:firstLine="420"/>
        <w:rPr>
          <w:rFonts w:ascii="宋体" w:hAnsi="Calibri" w:cs="宋体"/>
          <w:szCs w:val="21"/>
          <w:lang w:eastAsia="zh-CN"/>
        </w:rPr>
      </w:pPr>
      <w:r>
        <w:rPr>
          <w:rStyle w:val="da"/>
          <w:rFonts w:ascii="宋体" w:hAnsi="Calibri" w:cs="宋体" w:hint="eastAsia"/>
          <w:szCs w:val="21"/>
          <w:highlight w:val="white"/>
          <w:lang w:eastAsia="zh-CN"/>
        </w:rPr>
        <w:t>本基金实施侧袋机制的，本基金的申购和赎回安排详见本招募说明书“侧袋机制”部分的规定或相关公告。</w:t>
      </w:r>
    </w:p>
    <w:p w:rsidR="00257FC2">
      <w:pPr>
        <w:widowControl/>
        <w:jc w:val="left"/>
        <w:rPr>
          <w:rFonts w:ascii="宋体" w:hAnsi="Calibri" w:cs="宋体"/>
          <w:sz w:val="30"/>
          <w:szCs w:val="32"/>
          <w:lang w:eastAsia="zh-CN"/>
        </w:rPr>
      </w:pPr>
      <w:r>
        <w:rPr>
          <w:rFonts w:ascii="宋体" w:hAnsi="Calibri" w:cs="宋体"/>
          <w:sz w:val="30"/>
          <w:highlight w:val="white"/>
          <w:lang w:eastAsia="zh-CN"/>
        </w:rPr>
        <w:br w:type="page"/>
      </w:r>
    </w:p>
    <w:p w:rsidR="00257FC2">
      <w:pPr>
        <w:pStyle w:val="Heading1"/>
        <w:spacing w:before="317" w:after="317" w:line="320" w:lineRule="exact"/>
        <w:ind w:firstLine="600"/>
        <w:rPr>
          <w:rFonts w:ascii="宋体" w:eastAsia="宋体" w:hAnsi="Calibri" w:cs="宋体"/>
          <w:sz w:val="30"/>
          <w:szCs w:val="30"/>
          <w:lang w:eastAsia="zh-CN"/>
        </w:rPr>
      </w:pPr>
      <w:bookmarkStart w:id="1810" w:name="_Toc129511532"/>
      <w:r>
        <w:rPr>
          <w:rFonts w:ascii="宋体" w:eastAsia="宋体" w:hAnsi="Calibri" w:cs="宋体"/>
          <w:sz w:val="30"/>
          <w:szCs w:val="30"/>
          <w:highlight w:val="white"/>
          <w:lang w:eastAsia="zh-CN"/>
        </w:rPr>
        <w:t xml:space="preserve">第十部分 </w:t>
      </w:r>
      <w:r>
        <w:rPr>
          <w:rFonts w:ascii="宋体" w:eastAsia="宋体" w:hAnsi="Calibri" w:cs="宋体" w:hint="eastAsia"/>
          <w:sz w:val="30"/>
          <w:szCs w:val="30"/>
          <w:highlight w:val="white"/>
          <w:lang w:eastAsia="zh-CN"/>
        </w:rPr>
        <w:t>基金转换和定期定额投资计划</w:t>
      </w:r>
      <w:bookmarkEnd w:id="1810"/>
    </w:p>
    <w:p w:rsidR="00257FC2">
      <w:pPr>
        <w:spacing w:line="360" w:lineRule="auto"/>
        <w:ind w:firstLine="420"/>
        <w:rPr>
          <w:rStyle w:val="da"/>
          <w:rFonts w:ascii="宋体" w:hAnsi="Calibri" w:cs="宋体"/>
          <w:lang w:eastAsia="zh-CN"/>
        </w:rPr>
      </w:pPr>
      <w:bookmarkStart w:id="1811" w:name="_Toc332373517"/>
      <w:r>
        <w:rPr>
          <w:rStyle w:val="da"/>
          <w:rFonts w:ascii="宋体" w:hAnsi="Calibri" w:cs="宋体" w:hint="eastAsia"/>
          <w:highlight w:val="white"/>
          <w:lang w:eastAsia="zh-CN"/>
        </w:rPr>
        <w:t>一、基金转换</w:t>
      </w:r>
      <w:bookmarkEnd w:id="1811"/>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二、定期定额投资计划</w:t>
      </w:r>
    </w:p>
    <w:p w:rsidR="00257FC2">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基金管理人可利用非直销销售机构网点和本公司网上直销系统为投资者提供定期定额投资的服务（本公司网上直销系统的定期定额投资服务目前仅对个人投资者开通），具体实施方法见有关公告。</w:t>
      </w:r>
      <w:r>
        <w:rPr>
          <w:rStyle w:val="da"/>
          <w:rFonts w:ascii="宋体" w:hAnsi="Calibri"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257FC2">
      <w:pPr>
        <w:pStyle w:val="Heading1"/>
        <w:spacing w:before="317" w:after="317" w:line="320" w:lineRule="exact"/>
        <w:ind w:firstLine="600"/>
        <w:rPr>
          <w:rFonts w:ascii="宋体" w:eastAsia="宋体" w:hAnsi="Calibri" w:cs="宋体"/>
          <w:bCs/>
          <w:sz w:val="30"/>
          <w:szCs w:val="30"/>
          <w:lang w:eastAsia="zh-CN"/>
        </w:rPr>
      </w:pPr>
      <w:r>
        <w:rPr>
          <w:rFonts w:ascii="宋体" w:eastAsia="宋体" w:hAnsi="Calibri" w:cs="宋体" w:hint="eastAsia"/>
          <w:sz w:val="30"/>
          <w:highlight w:val="white"/>
          <w:lang w:eastAsia="zh-CN"/>
        </w:rPr>
        <w:br w:type="column"/>
      </w:r>
      <w:bookmarkStart w:id="1812" w:name="_Toc332373519"/>
      <w:bookmarkStart w:id="1813" w:name="_Toc129511533"/>
      <w:r>
        <w:rPr>
          <w:rFonts w:ascii="宋体" w:eastAsia="宋体" w:hAnsi="Calibri" w:cs="宋体" w:hint="eastAsia"/>
          <w:sz w:val="30"/>
          <w:szCs w:val="30"/>
          <w:highlight w:val="white"/>
          <w:lang w:eastAsia="zh-CN"/>
        </w:rPr>
        <w:t>第十一部分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基金的转托管、质押、非交易过户、冻结与解冻</w:t>
      </w:r>
      <w:bookmarkEnd w:id="1812"/>
      <w:bookmarkEnd w:id="1813"/>
    </w:p>
    <w:p w:rsidR="00257FC2">
      <w:pPr>
        <w:spacing w:line="360" w:lineRule="auto"/>
        <w:ind w:firstLine="420"/>
        <w:rPr>
          <w:rStyle w:val="da"/>
          <w:rFonts w:ascii="宋体" w:hAnsi="Calibri" w:cs="宋体"/>
          <w:lang w:eastAsia="zh-CN"/>
        </w:rPr>
      </w:pPr>
      <w:bookmarkStart w:id="1814" w:name="_Toc332373520"/>
      <w:r>
        <w:rPr>
          <w:rStyle w:val="da"/>
          <w:rFonts w:ascii="宋体" w:hAnsi="Calibri" w:cs="宋体" w:hint="eastAsia"/>
          <w:highlight w:val="white"/>
          <w:lang w:eastAsia="zh-CN"/>
        </w:rPr>
        <w:t>一、基金的转托管</w:t>
      </w:r>
      <w:bookmarkEnd w:id="1814"/>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基金份额持有人可办理已持有基金份额在不同销售机构之间的转托管，基金销售机构可以按照规定的标准收取转托管费。</w:t>
      </w:r>
    </w:p>
    <w:p w:rsidR="00257FC2">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具体办理方法参照《业务规则》的有关规定以及各销售机构的业务规则。</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二、基金份额的质押</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在条件许可的情况下，基金登记机构可依据相关法律法规及其业务规则，办理基金份额质押业务，并可收取一定的手续费。</w:t>
      </w:r>
    </w:p>
    <w:p w:rsidR="00257FC2">
      <w:pPr>
        <w:spacing w:line="360" w:lineRule="auto"/>
        <w:ind w:firstLine="420"/>
        <w:rPr>
          <w:rStyle w:val="da"/>
          <w:rFonts w:ascii="宋体" w:hAnsi="Calibri" w:cs="宋体"/>
          <w:lang w:eastAsia="zh-CN"/>
        </w:rPr>
      </w:pPr>
      <w:bookmarkStart w:id="1815" w:name="_Toc332373521"/>
      <w:r>
        <w:rPr>
          <w:rStyle w:val="da"/>
          <w:rFonts w:ascii="宋体" w:hAnsi="Calibri" w:cs="宋体" w:hint="eastAsia"/>
          <w:highlight w:val="white"/>
          <w:lang w:eastAsia="zh-CN"/>
        </w:rPr>
        <w:t>三、基金的非交易过户</w:t>
      </w:r>
      <w:bookmarkEnd w:id="1815"/>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57FC2">
      <w:pPr>
        <w:spacing w:line="360" w:lineRule="auto"/>
        <w:ind w:firstLine="420"/>
        <w:rPr>
          <w:rStyle w:val="da"/>
          <w:rFonts w:ascii="宋体" w:hAnsi="Calibri" w:cs="宋体"/>
          <w:lang w:eastAsia="zh-CN"/>
        </w:rPr>
      </w:pPr>
      <w:bookmarkStart w:id="1816" w:name="_Toc332373522"/>
      <w:r>
        <w:rPr>
          <w:rStyle w:val="da"/>
          <w:rFonts w:ascii="宋体" w:hAnsi="Calibri" w:cs="宋体" w:hint="eastAsia"/>
          <w:highlight w:val="white"/>
          <w:lang w:eastAsia="zh-CN"/>
        </w:rPr>
        <w:t>四、基金的冻结与解冻</w:t>
      </w:r>
      <w:bookmarkEnd w:id="1816"/>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基金登记机构只受理国家有权机关依法要求的基金份额的冻结与解冻，以及登记机构认可、符合法律法规的其他情况下的冻结与解冻。</w:t>
      </w:r>
    </w:p>
    <w:p w:rsidR="00257FC2">
      <w:pPr>
        <w:pStyle w:val="Heading1"/>
        <w:spacing w:before="317" w:after="317" w:line="320" w:lineRule="exact"/>
        <w:ind w:firstLine="640"/>
        <w:rPr>
          <w:rFonts w:ascii="宋体" w:eastAsia="宋体" w:hAnsi="Calibri" w:cs="宋体"/>
          <w:sz w:val="30"/>
          <w:szCs w:val="30"/>
          <w:lang w:eastAsia="zh-CN"/>
        </w:rPr>
      </w:pPr>
      <w:r>
        <w:rPr>
          <w:rFonts w:ascii="宋体" w:eastAsia="宋体" w:hAnsi="Calibri" w:cs="宋体" w:hint="eastAsia"/>
          <w:highlight w:val="white"/>
          <w:lang w:eastAsia="zh-CN"/>
        </w:rPr>
        <w:br w:type="column"/>
      </w:r>
      <w:bookmarkStart w:id="1817" w:name="_Toc332373523"/>
      <w:bookmarkStart w:id="1818" w:name="_Toc129511534"/>
      <w:r>
        <w:rPr>
          <w:rFonts w:ascii="宋体" w:eastAsia="宋体" w:hAnsi="Calibri" w:cs="宋体" w:hint="eastAsia"/>
          <w:sz w:val="30"/>
          <w:szCs w:val="30"/>
          <w:highlight w:val="white"/>
          <w:lang w:eastAsia="zh-CN"/>
        </w:rPr>
        <w:t>第十</w:t>
      </w:r>
      <w:r>
        <w:rPr>
          <w:rFonts w:ascii="宋体" w:eastAsia="宋体" w:hAnsi="Calibri" w:cs="宋体"/>
          <w:sz w:val="30"/>
          <w:szCs w:val="30"/>
          <w:highlight w:val="white"/>
          <w:lang w:eastAsia="zh-CN"/>
        </w:rPr>
        <w:t>二</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基金的投资</w:t>
      </w:r>
      <w:bookmarkEnd w:id="1817"/>
      <w:bookmarkEnd w:id="1818"/>
    </w:p>
    <w:p w:rsidR="00257FC2">
      <w:pPr>
        <w:spacing w:line="360" w:lineRule="auto"/>
        <w:ind w:firstLine="420"/>
        <w:rPr>
          <w:rStyle w:val="da"/>
          <w:rFonts w:ascii="宋体" w:hAnsi="Calibri" w:cs="宋体"/>
          <w:szCs w:val="21"/>
          <w:lang w:eastAsia="zh-CN"/>
        </w:rPr>
      </w:pPr>
      <w:bookmarkStart w:id="1819" w:name="_Toc332373524"/>
      <w:r>
        <w:rPr>
          <w:rStyle w:val="da"/>
          <w:rFonts w:ascii="宋体" w:hAnsi="Calibri" w:cs="宋体" w:hint="eastAsia"/>
          <w:szCs w:val="21"/>
          <w:highlight w:val="white"/>
          <w:lang w:eastAsia="zh-CN"/>
        </w:rPr>
        <w:t>一、投资目标</w:t>
      </w:r>
      <w:bookmarkEnd w:id="1819"/>
    </w:p>
    <w:p w:rsidR="00257FC2">
      <w:pPr>
        <w:spacing w:line="360" w:lineRule="auto"/>
        <w:ind w:firstLine="420"/>
        <w:rPr>
          <w:rStyle w:val="da"/>
          <w:rFonts w:ascii="宋体" w:hAnsi="Calibri" w:cs="宋体"/>
          <w:szCs w:val="21"/>
          <w:lang w:eastAsia="zh-CN"/>
        </w:rPr>
      </w:pPr>
      <w:bookmarkStart w:id="1820" w:name="_Toc332373525"/>
      <w:r>
        <w:rPr>
          <w:rStyle w:val="da"/>
          <w:rFonts w:ascii="宋体" w:hAnsi="Calibri" w:cs="宋体"/>
          <w:szCs w:val="21"/>
          <w:lang w:eastAsia="zh-CN"/>
        </w:rPr>
        <w:t>紧密跟踪业绩比较基准，追求跟踪偏离度和跟踪误差的最小化。</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二、投资范围</w:t>
      </w:r>
      <w:bookmarkEnd w:id="1820"/>
    </w:p>
    <w:p w:rsidR="00257FC2">
      <w:pPr>
        <w:widowControl/>
        <w:spacing w:line="360" w:lineRule="auto"/>
        <w:ind w:firstLine="420"/>
        <w:rPr>
          <w:rStyle w:val="da"/>
          <w:rFonts w:ascii="宋体" w:hAnsi="Calibri" w:cs="宋体"/>
          <w:szCs w:val="21"/>
          <w:lang w:eastAsia="zh-CN"/>
        </w:rPr>
      </w:pPr>
      <w:bookmarkStart w:id="1821" w:name="_Toc359426195"/>
      <w:bookmarkStart w:id="1822" w:name="_Toc332373526"/>
      <w:r>
        <w:rPr>
          <w:rStyle w:val="da"/>
          <w:rFonts w:ascii="宋体" w:hAnsi="Calibri" w:cs="宋体"/>
          <w:szCs w:val="21"/>
          <w:lang w:eastAsia="zh-CN"/>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257FC2">
      <w:pPr>
        <w:widowControl/>
        <w:spacing w:line="360" w:lineRule="auto"/>
        <w:ind w:firstLine="420"/>
        <w:rPr>
          <w:rStyle w:val="da"/>
          <w:rFonts w:ascii="宋体" w:hAnsi="Calibri" w:cs="宋体"/>
          <w:szCs w:val="21"/>
          <w:lang w:eastAsia="zh-CN"/>
        </w:rPr>
      </w:pPr>
      <w:r>
        <w:rPr>
          <w:rStyle w:val="da"/>
          <w:rFonts w:ascii="宋体" w:hAnsi="Calibri" w:cs="宋体"/>
          <w:szCs w:val="21"/>
          <w:lang w:eastAsia="zh-CN"/>
        </w:rPr>
        <w:t>如法律法规或监管机构以后允许基金投资其他品种，基金管理人在履行适当程序后，本基金可以将其纳入投资范围。</w:t>
      </w:r>
    </w:p>
    <w:p w:rsidR="00257FC2">
      <w:pPr>
        <w:widowControl/>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本基金将根据法律法规的规定参与转融通证券出借及融资业务。</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本基金投资于目标ETF的资产不低于基金资产净值的90%，保持不低于基金资产净值5%的现金或者到期日在一年以内的政府债券，其中现金不包括结算备付金、存出保证金、应收申购款等。</w:t>
      </w:r>
      <w:bookmarkEnd w:id="1821"/>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三、投资策略</w:t>
      </w:r>
      <w:bookmarkEnd w:id="1822"/>
    </w:p>
    <w:p w:rsidR="00257FC2">
      <w:pPr>
        <w:spacing w:line="360" w:lineRule="auto"/>
        <w:ind w:firstLine="420"/>
        <w:rPr>
          <w:rStyle w:val="da"/>
          <w:rFonts w:ascii="宋体" w:hAnsi="Calibri" w:cs="宋体"/>
          <w:szCs w:val="21"/>
          <w:lang w:eastAsia="zh-CN"/>
        </w:rPr>
      </w:pPr>
      <w:bookmarkStart w:id="1823" w:name="_Toc332373530"/>
      <w:bookmarkStart w:id="1824" w:name="question3"/>
      <w:r>
        <w:rPr>
          <w:rStyle w:val="da"/>
          <w:rFonts w:ascii="宋体" w:hAnsi="Calibri" w:cs="宋体"/>
          <w:szCs w:val="21"/>
          <w:lang w:eastAsia="zh-CN"/>
        </w:rPr>
        <w:t>本基金为目标ETF的联接基金，主要通过投资于目标ETF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1、目标ETF投资策略</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本基金投资目标ETF的方式如下：</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（1）申购、赎回方式：按照目标ETF法律文件约定的方式申购、赎回目标ETF。</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（2）二级市场方式：在二级市场进行目标ETF基金份额的交易。</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当目标ETF申购、赎回或交易模式进行了变更或调整，本基金也将作相应的变更或调整，无须召开基金份额持有人大会。</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本基金将在综合考虑合规、风险、效率、成本等因素的基础上，决定采用申购、赎回方式或二级市场方式进行目标ETF的投资。</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2、股票（含存托凭证）投资策略</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可投资于标的指数成份股、备选成份股，以更好的跟踪业绩比较基准。同时，在条件允许的情况下还可通过买入标的指数成份股、备选成份股来构建组合以申购目标ETF。因此对可投资于标的指数成份股、备选成份股的资金头寸，主要采取复制法，即按照标的指数的成份股组成及其权重构建基金投资组合，并根据标的指数组成及其权重的变动而进行相应调整。但在因特殊情况（如流动性不足等）导致无法获得足够数量的个券时，基金管理人将搭配使用其他合理方法进行适当的替代，包括通过投资其他股票进行替代，以降低跟踪误差，优化投资组合的配置结构。</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3、债券和货币市场工具投资策略</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本基金将以降低跟踪误差和流动性管理为目的，综合考虑流动性和收益性，适当参与债券和货币市场工具的投资。</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4、衍生品投资策略</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为更好地实现投资目标，本基金可投资股指期货、国债期货、股票期权。</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若本基金投资股指期货、国债期货，将根据风险管理的原则，以套期保值为目的，综合考虑流动性、基差水平等因素。</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若本基金投资股票期权，将根据风险管理的原则，以套期保值为主要目的，综合考虑流动性、价格等因素。</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5、参与转融通证券出借业务策略</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6、融资业务策略</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为更好地实现投资目标，在加强风险防范并遵守审慎原则的前提下，基金管理人可根据相关法律法规，参与融资业务，以提高投资效率及进行风险管理。</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四、业绩比较基准</w:t>
      </w:r>
      <w:bookmarkEnd w:id="1823"/>
      <w:r>
        <w:rPr>
          <w:rStyle w:val="da"/>
          <w:rFonts w:ascii="宋体" w:hAnsi="Calibri" w:cs="宋体" w:hint="eastAsia"/>
          <w:szCs w:val="21"/>
          <w:highlight w:val="white"/>
          <w:lang w:eastAsia="zh-CN"/>
        </w:rPr>
        <w:t xml:space="preserve"> </w:t>
      </w:r>
      <w:bookmarkEnd w:id="1824"/>
    </w:p>
    <w:p w:rsidR="00257FC2">
      <w:pPr>
        <w:spacing w:line="360" w:lineRule="auto"/>
        <w:ind w:firstLine="420"/>
        <w:rPr>
          <w:rStyle w:val="da"/>
          <w:rFonts w:ascii="宋体" w:hAnsi="Calibri" w:cs="宋体"/>
          <w:szCs w:val="21"/>
          <w:lang w:eastAsia="zh-CN"/>
        </w:rPr>
      </w:pPr>
      <w:bookmarkStart w:id="1825" w:name="_Toc332373531"/>
      <w:r>
        <w:rPr>
          <w:rStyle w:val="da"/>
          <w:rFonts w:ascii="宋体" w:hAnsi="宋体" w:hint="eastAsia"/>
          <w:szCs w:val="21"/>
          <w:highlight w:val="white"/>
          <w:lang w:eastAsia="zh-CN"/>
        </w:rPr>
        <w:t>本基金业绩比较基准为：</w:t>
      </w:r>
      <w:r>
        <w:rPr>
          <w:rStyle w:val="da"/>
          <w:rFonts w:ascii="宋体" w:hAnsi="宋体" w:hint="eastAsia"/>
          <w:szCs w:val="21"/>
          <w:lang w:eastAsia="zh-CN"/>
        </w:rPr>
        <w:t>中证金融科技主题指数收益率×95%+活期存款基准利率×5%</w:t>
      </w:r>
      <w:r>
        <w:rPr>
          <w:rStyle w:val="da"/>
          <w:rFonts w:ascii="宋体" w:hAnsi="宋体" w:hint="eastAsia"/>
          <w:szCs w:val="21"/>
          <w:highlight w:val="white"/>
          <w:lang w:eastAsia="zh-CN"/>
        </w:rPr>
        <w:t>。</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1、业绩比较基准设定的原因</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本基金为目标ETF的联接基金，主要通过投资于目标ETF实现对业绩比较基准的紧密跟踪，以</w:t>
      </w:r>
      <w:r>
        <w:rPr>
          <w:rStyle w:val="da"/>
          <w:rFonts w:ascii="宋体" w:hAnsi="Calibri" w:cs="宋体"/>
          <w:szCs w:val="21"/>
          <w:lang w:eastAsia="zh-CN"/>
        </w:rPr>
        <w:t>“</w:t>
      </w:r>
      <w:r>
        <w:rPr>
          <w:rStyle w:val="da"/>
          <w:rFonts w:ascii="宋体" w:hAnsi="Calibri" w:cs="宋体"/>
          <w:szCs w:val="21"/>
          <w:lang w:eastAsia="zh-CN"/>
        </w:rPr>
        <w:t>紧密跟踪业绩比较基准，追求跟踪偏离度和跟踪误差的最小化</w:t>
      </w:r>
      <w:r>
        <w:rPr>
          <w:rStyle w:val="da"/>
          <w:rFonts w:ascii="宋体" w:hAnsi="Calibri" w:cs="宋体"/>
          <w:szCs w:val="21"/>
          <w:lang w:eastAsia="zh-CN"/>
        </w:rPr>
        <w:t>”</w:t>
      </w:r>
      <w:r>
        <w:rPr>
          <w:rStyle w:val="da"/>
          <w:rFonts w:ascii="宋体" w:hAnsi="Calibri" w:cs="宋体"/>
          <w:szCs w:val="21"/>
          <w:lang w:eastAsia="zh-CN"/>
        </w:rPr>
        <w:t>作为投资目标，在投资中将不低于基金资产净值90%的资产投资于目标ETF并保留不低于基金资产净值5%的现金或者到期日在一年以内的政府债券。</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的标的指数为中证金融科技主题指数，选取中证金融科技主题指数作为权益资产的基准要素，选取活期存款基准利率作为现金类资产的基准要素，并按照预期大类资产配置的情况，将权益资产与现金类资产所对应的基准要素权重分别设置为95%与5%。</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综上，本基金选取的业绩比较基准与基金投资目标、投资范围、投资策略、投资比例限制相匹配。</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2、业绩比较基准要素的基本信息</w:t>
      </w:r>
    </w:p>
    <w:p w:rsidR="00257FC2">
      <w:pPr>
        <w:spacing w:line="360" w:lineRule="auto"/>
        <w:ind w:firstLine="420"/>
        <w:rPr>
          <w:rStyle w:val="da"/>
          <w:rFonts w:ascii="宋体" w:hAnsi="Calibri" w:cs="宋体"/>
          <w:szCs w:val="21"/>
        </w:rPr>
      </w:pPr>
      <w:r>
        <w:rPr>
          <w:rStyle w:val="da"/>
          <w:rFonts w:ascii="宋体" w:hAnsi="Calibri" w:cs="宋体"/>
          <w:szCs w:val="21"/>
        </w:rPr>
        <w:t>中证金融科技主题指数由中证指数有限公司编制发布，指数代码为930986，指数具体信息详见中证指数有限公司网站，网址：</w:t>
      </w:r>
      <w:hyperlink r:id="rId16" w:history="1">
        <w:r w:rsidRPr="00015DE7" w:rsidR="009951D4">
          <w:rPr>
            <w:rStyle w:val="Hyperlink"/>
            <w:rFonts w:ascii="宋体" w:hAnsi="Calibri" w:cs="宋体"/>
            <w:szCs w:val="21"/>
          </w:rPr>
          <w:t>www.csindex.com.cn</w:t>
        </w:r>
      </w:hyperlink>
      <w:r>
        <w:rPr>
          <w:rStyle w:val="da"/>
          <w:rFonts w:ascii="宋体" w:hAnsi="Calibri" w:cs="宋体"/>
          <w:szCs w:val="21"/>
        </w:rPr>
        <w:t>。</w:t>
      </w:r>
    </w:p>
    <w:p w:rsidR="009951D4">
      <w:pPr>
        <w:spacing w:line="360" w:lineRule="auto"/>
        <w:ind w:firstLine="420"/>
        <w:rPr>
          <w:rStyle w:val="da"/>
          <w:rFonts w:ascii="宋体" w:hAnsi="Calibri" w:cs="宋体"/>
          <w:szCs w:val="21"/>
        </w:rPr>
      </w:pPr>
      <w:r w:rsidRPr="009951D4">
        <w:rPr>
          <w:rStyle w:val="da"/>
          <w:rFonts w:ascii="宋体" w:hAnsi="Calibri" w:cs="宋体" w:hint="eastAsia"/>
          <w:szCs w:val="21"/>
        </w:rPr>
        <w:t>活期存款基准利率由中国人民银行发布，具体信息详见中国人民银行网站，网址：www.pbc.gov.cn。</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3、业绩比较基准的计算方法</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业绩比较基准收益率的计算方法以每日收益率为基础，以时间加权为计算原则。本基金先分别计算业绩比较基准中中证金融科技主题指数、活期存款基准利率的每日收益率，再按照预设权重比例计算当日组合要素基准的日收益率，最后通过每日连乘的方式计算业绩比较基准收益率。</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4、管理投资偏离业绩比较基准的定性或定量方法</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为目标ETF的联接基金，主要通过投资于目标ETF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5、未来可能变更业绩比较基准的情况和程序</w:t>
      </w:r>
    </w:p>
    <w:p w:rsidR="00257FC2">
      <w:pPr>
        <w:spacing w:line="360" w:lineRule="auto"/>
        <w:ind w:firstLine="420"/>
        <w:rPr>
          <w:rStyle w:val="da"/>
          <w:rFonts w:ascii="宋体" w:hAnsi="Calibri" w:cs="宋体"/>
          <w:szCs w:val="21"/>
          <w:lang w:eastAsia="zh-CN"/>
        </w:rPr>
      </w:pPr>
      <w:r>
        <w:rPr>
          <w:rStyle w:val="da"/>
          <w:rFonts w:ascii="宋体" w:hAnsi="Calibri" w:cs="宋体"/>
          <w:szCs w:val="21"/>
          <w:lang w:eastAsia="zh-CN"/>
        </w:rPr>
        <w:t>若本基金调整业绩比较基准的要素权重，本基金将根据法律法规、中国证监会的规定和基金合同约定履行相关程序。</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法律法规或监管机构另有规定的，从其规定。</w:t>
      </w:r>
    </w:p>
    <w:p w:rsidR="00257FC2">
      <w:pPr>
        <w:spacing w:line="360" w:lineRule="auto"/>
        <w:ind w:firstLine="420"/>
        <w:rPr>
          <w:rStyle w:val="da"/>
          <w:rFonts w:ascii="宋体" w:hAnsi="Calibri" w:cs="宋体"/>
          <w:szCs w:val="21"/>
          <w:lang w:eastAsia="zh-CN"/>
        </w:rPr>
      </w:pPr>
      <w:r>
        <w:rPr>
          <w:rFonts w:ascii="宋体" w:hAnsi="Calibri" w:cs="宋体" w:hint="eastAsia"/>
          <w:color w:val="000000"/>
          <w:szCs w:val="21"/>
          <w:highlight w:val="white"/>
          <w:lang w:eastAsia="zh-CN"/>
        </w:rPr>
        <w:t>五</w:t>
      </w:r>
      <w:r>
        <w:rPr>
          <w:rStyle w:val="da"/>
          <w:rFonts w:ascii="宋体" w:hAnsi="Calibri" w:cs="宋体" w:hint="eastAsia"/>
          <w:szCs w:val="21"/>
          <w:highlight w:val="white"/>
          <w:lang w:eastAsia="zh-CN"/>
        </w:rPr>
        <w:t>、风险收益特征</w:t>
      </w:r>
      <w:bookmarkEnd w:id="1825"/>
    </w:p>
    <w:p w:rsidR="00257FC2">
      <w:pPr>
        <w:spacing w:line="360" w:lineRule="auto"/>
        <w:ind w:firstLine="420"/>
        <w:rPr>
          <w:rStyle w:val="da"/>
          <w:rFonts w:ascii="宋体" w:hAnsi="Calibri" w:cs="宋体"/>
          <w:szCs w:val="21"/>
          <w:lang w:eastAsia="zh-CN"/>
        </w:rPr>
      </w:pPr>
      <w:bookmarkStart w:id="1826" w:name="_Toc332373533"/>
      <w:r>
        <w:rPr>
          <w:rStyle w:val="da"/>
          <w:rFonts w:ascii="宋体" w:hAnsi="Calibri" w:cs="宋体" w:hint="eastAsia"/>
          <w:szCs w:val="21"/>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六、投资禁止行为与限制</w:t>
      </w:r>
      <w:bookmarkEnd w:id="1826"/>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1、禁止行为</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为维护基金份额持有人的合法权益，基金财产不得用于下列投资或者活动：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（1）承销证券；</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（2）违反规定向他人贷款或者提供担保；</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（3）从事承担无限责任的投资；</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（4）向其基金管理人、基金托管人出资；</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（5）从事内幕交易、操纵证券交易价格及其他不正当的证券交易活动；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（6）法律、行政法规和中国证监会规定禁止的其他活动。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2、投资组合限制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基金的投资组合应遵循以下限制：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（1）本基金投资于目标ETF的资产不低于基金资产净值的90%；</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（2）保持不低于基金资产净值5%的现金或者到期日在一年以内的政府债券，其中现金不包括结算备付金、存出保证金和应收申购款等；</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（3）本基金投资于同一原始权益人的各类资产支持证券的比例，不得超过基金资产净值的10%；</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（4）本基金持有的全部资产支持证券，其市值不得超过基金资产净值的20%；</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（5）本基金持有的同一(指同一信用级别)资产支持证券的比例，不得超过该资产支持证券规模的10%；</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（6）本基金管理人管理的全部基金投资于同一原始权益人的各类资产支持证券，不得超过其各类资产支持证券合计规模的10%；</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（8）基金财产参与股票发行申购，本基金所申报的金额不超过本基金的总资产，本基金所申报的股票数量不超过拟发行股票公司本次发行股票的总量；</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（12）基金参与融资业务后，在任何交易日日终，持有的融资买入股票与其他有价证券市值之和，不得超过基金资产净值的95%；</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（15）本基金与私募类证券资管产品及中国证监会认定的其他主体为交易对手开展逆回购交易的，可接受质押品的资质要求应当与基金合同约定的投资范围保持一致；</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（16）本基金资产总值不超过基金资产净值的140%；</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（17）本基金投资存托凭证的比例限制依照境内上市交易的股票执行，与境内上市交易的股票合并计算；</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（18）法律法规及中国证监会规定的和《基金合同》约定的其他投资限制。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因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进行调整；除上述（1）、（2）、（7）、（8）、（13）、（14）、（15）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w:t>
      </w:r>
      <w:r>
        <w:rPr>
          <w:rStyle w:val="da"/>
          <w:rFonts w:ascii="宋体" w:hAnsi="Calibri"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w:t>
      </w:r>
      <w:r>
        <w:rPr>
          <w:rStyle w:val="da"/>
          <w:rFonts w:ascii="宋体" w:hAnsi="Calibri"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七、目标ETF发生相关变更情形的处理方式</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目标ETF出现下述情形之一的，本基金将由投资于目标ETF的联接基金变更为直接投资该标的指数的指数基金，无需召开基金份额持有人大会。相应地，本基金基金合同中将删除关于目标ETF的表述部分，届时将由基金管理人另行公告。</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1、目标ETF交易方式发生重大变更致使本基金的投资策略难以实现；</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2、目标ETF终止上市；</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3、目标ETF基金合同终止；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4、目标ETF与其他基金进行合并；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5、目标ETF的基金管理人发生变更；</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6、中国证监会规定的其他情形。</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若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rsidR="00257FC2">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八、基金管理人代表基金行使股东或债权人权利的处理原则及方法</w:t>
      </w:r>
    </w:p>
    <w:p w:rsidR="00257FC2">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 xml:space="preserve">1、基金管理人按照国家有关规定代表基金独立行使股东或债权人权利，保护基金份额持有人的利益； </w:t>
      </w:r>
    </w:p>
    <w:p w:rsidR="00257FC2">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 xml:space="preserve">2、不谋求对上市公司的控股； </w:t>
      </w:r>
    </w:p>
    <w:p w:rsidR="00257FC2">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 xml:space="preserve">3、有利于基金财产的安全与增值； </w:t>
      </w:r>
    </w:p>
    <w:p w:rsidR="00257FC2">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4、不通过关联交易为自身、雇员、授权代理人或任何存在利害关系的第三人牟取任何不当利益。</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九、侧袋机制的实施和投资运作安排</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侧袋机制实施期间，本部分约定的投资组合比例、投资策略、组合限制、业绩比较基准、风险收益特征等约定仅适用于主袋账户。</w:t>
      </w:r>
    </w:p>
    <w:p w:rsidR="00257FC2">
      <w:pPr>
        <w:spacing w:line="360" w:lineRule="auto"/>
        <w:ind w:firstLine="422"/>
        <w:rPr>
          <w:rFonts w:ascii="宋体" w:hAnsi="Calibri" w:cs="宋体"/>
          <w:b/>
          <w:i/>
          <w:szCs w:val="21"/>
          <w:lang w:eastAsia="zh-CN"/>
        </w:rPr>
      </w:pPr>
      <w:r>
        <w:rPr>
          <w:rStyle w:val="da"/>
          <w:rFonts w:ascii="宋体" w:hAnsi="Calibri"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257FC2">
      <w:pPr>
        <w:pStyle w:val="Heading1"/>
        <w:spacing w:before="317" w:after="317" w:line="360" w:lineRule="auto"/>
        <w:ind w:firstLine="420"/>
        <w:rPr>
          <w:rFonts w:ascii="宋体" w:eastAsia="宋体" w:hAnsi="Calibri" w:cs="宋体"/>
          <w:sz w:val="30"/>
          <w:szCs w:val="30"/>
          <w:lang w:eastAsia="zh-CN"/>
        </w:rPr>
      </w:pPr>
      <w:r>
        <w:rPr>
          <w:rFonts w:ascii="宋体" w:eastAsia="宋体" w:hAnsi="Calibri" w:cs="宋体" w:hint="eastAsia"/>
          <w:sz w:val="21"/>
          <w:szCs w:val="21"/>
          <w:highlight w:val="white"/>
          <w:lang w:eastAsia="zh-CN"/>
        </w:rPr>
        <w:br w:type="page"/>
      </w:r>
      <w:bookmarkStart w:id="1827" w:name="_Toc129511535"/>
      <w:bookmarkStart w:id="1828" w:name="_Toc332373538"/>
      <w:r>
        <w:rPr>
          <w:rFonts w:ascii="宋体" w:eastAsia="宋体" w:hAnsi="Calibri" w:cs="宋体" w:hint="eastAsia"/>
          <w:sz w:val="30"/>
          <w:szCs w:val="30"/>
          <w:highlight w:val="white"/>
          <w:lang w:eastAsia="zh-CN"/>
        </w:rPr>
        <w:t>第十</w:t>
      </w:r>
      <w:r>
        <w:rPr>
          <w:rFonts w:ascii="宋体" w:eastAsia="宋体" w:hAnsi="Calibri" w:cs="宋体"/>
          <w:sz w:val="30"/>
          <w:szCs w:val="30"/>
          <w:highlight w:val="white"/>
          <w:lang w:eastAsia="zh-CN"/>
        </w:rPr>
        <w:t>三</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基金的财产</w:t>
      </w:r>
      <w:bookmarkEnd w:id="1827"/>
      <w:bookmarkEnd w:id="1828"/>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一、基金资产总值</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基金资产总值是指购买的目标ETF基金份额、各类证券及票据价值、银行存款本息和基金应收的申购基金款以及其他投资所形成的价值总和。</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二、基金资产净值</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基金资产净值是指基金资产总值减去基金负债后的价值。</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三、基金财产的账户</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四、基金财产的保管和处分</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57FC2">
      <w:pPr>
        <w:widowControl/>
        <w:jc w:val="left"/>
        <w:rPr>
          <w:rFonts w:ascii="宋体" w:hAnsi="Calibri" w:cs="宋体"/>
          <w:sz w:val="30"/>
          <w:szCs w:val="32"/>
          <w:lang w:eastAsia="zh-CN"/>
        </w:rPr>
      </w:pPr>
      <w:bookmarkStart w:id="1829" w:name="_Hlt88841837"/>
      <w:bookmarkStart w:id="1830" w:name="_Hlt88900062"/>
      <w:bookmarkStart w:id="1831" w:name="_Toc332373543"/>
      <w:bookmarkEnd w:id="1829"/>
      <w:bookmarkEnd w:id="1830"/>
      <w:r>
        <w:rPr>
          <w:rFonts w:ascii="宋体" w:hAnsi="Calibri" w:cs="宋体"/>
          <w:sz w:val="30"/>
          <w:highlight w:val="white"/>
          <w:lang w:eastAsia="zh-CN"/>
        </w:rPr>
        <w:br w:type="page"/>
      </w:r>
    </w:p>
    <w:p w:rsidR="00257FC2">
      <w:pPr>
        <w:pStyle w:val="Heading1"/>
        <w:spacing w:before="317" w:after="317" w:line="360" w:lineRule="auto"/>
        <w:ind w:firstLine="600"/>
        <w:rPr>
          <w:rFonts w:ascii="宋体" w:eastAsia="宋体" w:hAnsi="Calibri" w:cs="宋体"/>
          <w:sz w:val="30"/>
          <w:szCs w:val="30"/>
          <w:lang w:eastAsia="zh-CN"/>
        </w:rPr>
      </w:pPr>
      <w:bookmarkStart w:id="1832" w:name="_Toc129511536"/>
      <w:r>
        <w:rPr>
          <w:rFonts w:ascii="宋体" w:eastAsia="宋体" w:hAnsi="Calibri" w:cs="宋体"/>
          <w:sz w:val="30"/>
          <w:szCs w:val="30"/>
          <w:highlight w:val="white"/>
          <w:lang w:eastAsia="zh-CN"/>
        </w:rPr>
        <w:t>第十四部分 基金资产的估值</w:t>
      </w:r>
      <w:bookmarkEnd w:id="1831"/>
      <w:bookmarkEnd w:id="1832"/>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一、估值日</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本基金的估值日为本基金相关的证券交易场所的交易日以及国家法律法规规定需要对外披露基金净值的非交易日。</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二、估值对象</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基金所拥有的目标ETF基金份额、股票、债券和银行存款本息、应收款项、其它投资等资产及负债。</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三、估值原则</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基金管理人在确定相关金融资产和金融负债的公允价值时，应符合《企业会计准则》、监管部门有关规定。</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四、估值方法</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1、目标ETF基金份额估值方法</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对持有的目标ETF基金份额，按估值日目标ETF基金的份额净值估值。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3、处于未上市期间的有价证券应区分如下情况处理：</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（1）送股、转增股、配股和公开增发的新股，按估值日在证券交易所挂牌的同一股票的估值方法估值；该日无交易的，以最近一日的市价（收盘价）估值；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（2）首次公开发行未上市的股票，采用估值技术确定公允价值；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4、对于已上市或已挂牌转让的不含权固定收益品种，选取估值日第三方估值基准服务机构提供的相应品种当日的估值全价进行估值。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5、对于已上市或已挂牌转让的含权固定收益品种，选取估值日第三方估值基准服务机构提供的相应品种当日的唯一估值全价或推荐估值全价进行估值。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7、对于未上市或未挂牌转让且不存在活跃市场的固定收益品种，采用在当前情况下适用并且有足够可利用数据和其他信息支持的估值技术确定其公允价值。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8、期货合约以估值当日结算价进行估值，估值当日无结算价的，且最近交易日后经济环境未发生重大变化的，采用最近交易日结算价估值。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9、本基金投资期权，根据相关法律法规以及监管部门的规定估值。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10、本基金参与融资业务的，按照相关法律法规、监管部门和行业协会的相关规定进行估值。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11、本基金参与转融通证券出借业务的，按照相关法律法规和行业协会的相关规定进行估值。</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12、本基金投资存托凭证的估值核算，依照境内上市交易的股票执行。</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13、如有充分理由表明按上述方法进行估值不能客观反映其公允价值的，基金管理人可根据具体情况与基金托管人商定后，按最能反映公允价值的价格估值。</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14、当发生大额申购或赎回情形时，基金管理人可以采用摆动定价机制，以确保基金估值的公平性。</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15、相关法律法规以及监管部门有强制规定的，从其规定。如有新增事项，按国家最新规定估值。</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五、估值程序</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每个估值日计算基金资产净值及基金份额净值，并按规定公告。</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六、估值错误的处理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基金管理人和基金托管人将采取必要、适当、合理的措施确保基金资产估值的准确性、及时性。当基金份额净值小数点后4位以内（含第4位）发生估值错误时，视为基金份额净值错误。</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基金合同的当事人应按照以下约定处理：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1、估值错误类型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Style w:val="da"/>
          <w:rFonts w:ascii="宋体" w:hAnsi="Calibri" w:cs="宋体"/>
          <w:szCs w:val="21"/>
          <w:highlight w:val="white"/>
          <w:lang w:eastAsia="zh-CN"/>
        </w:rPr>
        <w:t>“</w:t>
      </w:r>
      <w:r>
        <w:rPr>
          <w:rStyle w:val="da"/>
          <w:rFonts w:ascii="宋体" w:hAnsi="Calibri" w:cs="宋体"/>
          <w:szCs w:val="21"/>
          <w:highlight w:val="white"/>
          <w:lang w:eastAsia="zh-CN"/>
        </w:rPr>
        <w:t>受损方</w:t>
      </w:r>
      <w:r>
        <w:rPr>
          <w:rStyle w:val="da"/>
          <w:rFonts w:ascii="宋体" w:hAnsi="Calibri" w:cs="宋体"/>
          <w:szCs w:val="21"/>
          <w:highlight w:val="white"/>
          <w:lang w:eastAsia="zh-CN"/>
        </w:rPr>
        <w:t>”</w:t>
      </w:r>
      <w:r>
        <w:rPr>
          <w:rStyle w:val="da"/>
          <w:rFonts w:ascii="宋体" w:hAnsi="Calibri" w:cs="宋体"/>
          <w:szCs w:val="21"/>
          <w:highlight w:val="white"/>
          <w:lang w:eastAsia="zh-CN"/>
        </w:rPr>
        <w:t>）的直接损失按下述</w:t>
      </w:r>
      <w:r>
        <w:rPr>
          <w:rStyle w:val="da"/>
          <w:rFonts w:ascii="宋体" w:hAnsi="Calibri" w:cs="宋体"/>
          <w:szCs w:val="21"/>
          <w:highlight w:val="white"/>
          <w:lang w:eastAsia="zh-CN"/>
        </w:rPr>
        <w:t>“</w:t>
      </w:r>
      <w:r>
        <w:rPr>
          <w:rStyle w:val="da"/>
          <w:rFonts w:ascii="宋体" w:hAnsi="Calibri" w:cs="宋体"/>
          <w:szCs w:val="21"/>
          <w:highlight w:val="white"/>
          <w:lang w:eastAsia="zh-CN"/>
        </w:rPr>
        <w:t>估值错误处理原则</w:t>
      </w:r>
      <w:r>
        <w:rPr>
          <w:rStyle w:val="da"/>
          <w:rFonts w:ascii="宋体" w:hAnsi="Calibri" w:cs="宋体"/>
          <w:szCs w:val="21"/>
          <w:highlight w:val="white"/>
          <w:lang w:eastAsia="zh-CN"/>
        </w:rPr>
        <w:t>”</w:t>
      </w:r>
      <w:r>
        <w:rPr>
          <w:rStyle w:val="da"/>
          <w:rFonts w:ascii="宋体" w:hAnsi="Calibri" w:cs="宋体"/>
          <w:szCs w:val="21"/>
          <w:highlight w:val="white"/>
          <w:lang w:eastAsia="zh-CN"/>
        </w:rPr>
        <w:t>给予赔偿，承担赔偿责任。</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上述估值错误的主要类型包括但不限于：资料申报差错、数据传输差错、数据计算差错、系统故障差错、下达指令差错等。</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2、估值错误处理原则</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（2）估值错误的责任方对有关当事人的直接损失负责，不对间接损失负责，并且仅对估值错误的有关直接当事人负责，不对第三方负责。</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Style w:val="da"/>
          <w:rFonts w:ascii="宋体" w:hAnsi="Calibri" w:cs="宋体"/>
          <w:szCs w:val="21"/>
          <w:highlight w:val="white"/>
          <w:lang w:eastAsia="zh-CN"/>
        </w:rPr>
        <w:t>“</w:t>
      </w:r>
      <w:r>
        <w:rPr>
          <w:rStyle w:val="da"/>
          <w:rFonts w:ascii="宋体" w:hAnsi="Calibri" w:cs="宋体"/>
          <w:szCs w:val="21"/>
          <w:highlight w:val="white"/>
          <w:lang w:eastAsia="zh-CN"/>
        </w:rPr>
        <w:t>受损方</w:t>
      </w:r>
      <w:r>
        <w:rPr>
          <w:rStyle w:val="da"/>
          <w:rFonts w:ascii="宋体" w:hAnsi="Calibri" w:cs="宋体"/>
          <w:szCs w:val="21"/>
          <w:highlight w:val="white"/>
          <w:lang w:eastAsia="zh-CN"/>
        </w:rPr>
        <w:t>”</w:t>
      </w:r>
      <w:r>
        <w:rPr>
          <w:rStyle w:val="da"/>
          <w:rFonts w:ascii="宋体" w:hAnsi="Calibri" w:cs="宋体"/>
          <w:szCs w:val="21"/>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（4）估值错误调整采用尽量恢复至假设未发生估值错误的正确情形的方式。</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3、估值错误处理程序</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估值错误被发现后，有关的当事人应当及时进行处理，处理的程序如下：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（1）查明估值错误发生的原因，列明所有的当事人，并根据估值错误发生的原因确定估值错误的责任方；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（2）根据估值错误处理原则或当事人协商的方法对因估值错误造成的损失进行评估；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（3）根据估值错误处理原则或当事人协商的方法由估值错误的责任方进行更正和赔偿损失；</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（4）根据估值错误处理的方法，需要修改基金登记机构交易数据的，由基金登记机构进行更正，并就估值错误的更正向有关当事人进行确认。</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4、基金份额净值估值错误处理的方法如下：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（1）基金份额净值计算出现错误时，基金管理人应当立即予以纠正，通报基金托管人，并采取合理的措施防止损失进一步扩大。</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（3）前述内容如法律法规或监管机关另有规定的，从其规定处理。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七、暂停估值的情形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1、基金投资所涉及的证券交易市场遇法定节假日或因其他原因暂停营业时；</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2、因不可抗力致使基金管理人、基金托管人无法准确评估基金资产价值时；</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3、当特定资产占前一估值日基金资产净值50%以上的，经与基金托管人协商确认后，基金管理人应当暂停估值；</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4、基金所投资的目标ETF发生暂停估值、暂停公告基金份额净值的情形；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5、中国证监会和基金合同认定的其它情形。</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八、基金净值的确认</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九、特殊情况的处理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1、基金管理人或基金托管人按估值方法的第13项进行估值时，所造成的误差不作为基金资产估值错误处理。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由于不可抗力，或证券交易所、登记结算机构、指数编制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十、实施侧袋机制期间的基金资产估值</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本基金实施侧袋机制的，应根据本部分的约定对主袋账户资产进行估值并披露主袋账户的基金资产净值和份额净值，暂停披露侧袋账户份额净值。</w:t>
      </w:r>
    </w:p>
    <w:p w:rsidR="00257FC2">
      <w:pPr>
        <w:pStyle w:val="Heading1"/>
        <w:spacing w:before="317" w:after="317" w:line="360" w:lineRule="auto"/>
        <w:ind w:firstLine="420"/>
        <w:rPr>
          <w:rFonts w:ascii="宋体" w:eastAsia="宋体" w:hAnsi="Calibri" w:cs="宋体"/>
          <w:bCs/>
          <w:sz w:val="30"/>
          <w:szCs w:val="30"/>
          <w:lang w:eastAsia="zh-CN"/>
        </w:rPr>
      </w:pPr>
      <w:r>
        <w:rPr>
          <w:rFonts w:ascii="宋体" w:eastAsia="宋体" w:hAnsi="Calibri" w:cs="宋体"/>
          <w:sz w:val="21"/>
          <w:szCs w:val="21"/>
          <w:highlight w:val="white"/>
          <w:lang w:eastAsia="zh-CN"/>
        </w:rPr>
        <w:br w:type="page"/>
      </w:r>
      <w:bookmarkStart w:id="1833" w:name="_Toc129511537"/>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十</w:t>
      </w:r>
      <w:bookmarkStart w:id="1834" w:name="_Toc332373553"/>
      <w:r>
        <w:rPr>
          <w:rFonts w:ascii="宋体" w:eastAsia="宋体" w:hAnsi="Calibri" w:cs="宋体"/>
          <w:sz w:val="30"/>
          <w:szCs w:val="30"/>
          <w:highlight w:val="white"/>
          <w:lang w:eastAsia="zh-CN"/>
        </w:rPr>
        <w:t>五</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基金的收益分配</w:t>
      </w:r>
      <w:bookmarkEnd w:id="1833"/>
      <w:bookmarkEnd w:id="1834"/>
    </w:p>
    <w:p w:rsidR="00257FC2">
      <w:pPr>
        <w:spacing w:line="360" w:lineRule="auto"/>
        <w:ind w:firstLine="420"/>
        <w:rPr>
          <w:rStyle w:val="da"/>
          <w:rFonts w:cs="宋体"/>
          <w:lang w:eastAsia="zh-CN"/>
        </w:rPr>
      </w:pPr>
      <w:r>
        <w:rPr>
          <w:rStyle w:val="da"/>
          <w:rFonts w:cs="宋体" w:hint="eastAsia"/>
          <w:highlight w:val="white"/>
          <w:lang w:eastAsia="zh-CN"/>
        </w:rPr>
        <w:t>一、基金利润的构成</w:t>
      </w:r>
    </w:p>
    <w:p w:rsidR="00257FC2">
      <w:pPr>
        <w:spacing w:line="360" w:lineRule="auto"/>
        <w:ind w:firstLine="420"/>
        <w:rPr>
          <w:rStyle w:val="da"/>
          <w:rFonts w:cs="宋体"/>
          <w:lang w:eastAsia="zh-CN"/>
        </w:rPr>
      </w:pPr>
      <w:r>
        <w:rPr>
          <w:rStyle w:val="da"/>
          <w:rFonts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257FC2">
      <w:pPr>
        <w:spacing w:line="360" w:lineRule="auto"/>
        <w:ind w:firstLine="420"/>
        <w:rPr>
          <w:rStyle w:val="da"/>
          <w:rFonts w:cs="宋体"/>
          <w:lang w:eastAsia="zh-CN"/>
        </w:rPr>
      </w:pPr>
      <w:r>
        <w:rPr>
          <w:rStyle w:val="da"/>
          <w:rFonts w:cs="宋体" w:hint="eastAsia"/>
          <w:highlight w:val="white"/>
          <w:lang w:eastAsia="zh-CN"/>
        </w:rPr>
        <w:t>二、基金可供分配利润</w:t>
      </w:r>
    </w:p>
    <w:p w:rsidR="00257FC2">
      <w:pPr>
        <w:spacing w:line="360" w:lineRule="auto"/>
        <w:ind w:firstLine="420"/>
        <w:rPr>
          <w:rStyle w:val="da"/>
          <w:rFonts w:cs="宋体"/>
          <w:lang w:eastAsia="zh-CN"/>
        </w:rPr>
      </w:pPr>
      <w:r>
        <w:rPr>
          <w:rStyle w:val="da"/>
          <w:rFonts w:cs="宋体" w:hint="eastAsia"/>
          <w:highlight w:val="white"/>
          <w:lang w:eastAsia="zh-CN"/>
        </w:rPr>
        <w:t>基金可供分配利润指截至收益分配基准日基金未分配利润与未分配利润中已实现收益的孰低数。</w:t>
      </w:r>
    </w:p>
    <w:p w:rsidR="00257FC2">
      <w:pPr>
        <w:spacing w:line="360" w:lineRule="auto"/>
        <w:ind w:firstLine="420"/>
        <w:rPr>
          <w:rFonts w:ascii="宋体" w:hAnsi="Calibri"/>
          <w:bCs/>
          <w:szCs w:val="21"/>
          <w:lang w:eastAsia="zh-CN"/>
        </w:rPr>
      </w:pPr>
      <w:r>
        <w:rPr>
          <w:rStyle w:val="da"/>
          <w:rFonts w:ascii="宋体" w:hAnsi="Calibri" w:cs="宋体" w:hint="eastAsia"/>
          <w:highlight w:val="white"/>
          <w:lang w:eastAsia="zh-CN"/>
        </w:rPr>
        <w:t>三、</w:t>
      </w:r>
      <w:r>
        <w:rPr>
          <w:rFonts w:ascii="宋体" w:hAnsi="Calibri" w:hint="eastAsia"/>
          <w:bCs/>
          <w:szCs w:val="21"/>
          <w:highlight w:val="white"/>
          <w:lang w:eastAsia="zh-CN"/>
        </w:rPr>
        <w:t>基金收益分配原则</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1、本基金收益分配方式分两种：现金分红与红利再投资，投资者可选择现金红利或将现金红利自动转为对应类别的基金份额进行再投资；若投资者不选择，本基金默认的收益分配方式是现金分红；</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2、本基金各基金份额类别在费用收取上不同，其对应的可分配收益可能有所不同。同一类别的每一基金份额享有同等分配权；</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3、在符合以下有关基金分红条件的情形下，基金管理人可以根据实际情况进行收益分配，具体分配方案以届时的公告为准：</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（1）本基金收益评价日核定的基金累计报酬率超过业绩比较基准同期累计报酬率或者基金可供分配利润金额大于0元时，基金管理人可进行收益分配；若《基金合同》生效不满3个月可不进行收益分配；</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4、在对基金份额持有人利益无实质不利影响的前提下，基金管理人可调整基金收益的分配原则和支付方式，不需召开基金份额持有人大会审议；</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5、法律法规或监管机关另有规定的，从其规定。</w:t>
      </w:r>
    </w:p>
    <w:p w:rsidR="00257FC2">
      <w:pPr>
        <w:spacing w:line="360" w:lineRule="auto"/>
        <w:ind w:firstLine="420" w:firstLineChars="200"/>
        <w:rPr>
          <w:rFonts w:ascii="宋体" w:hAnsi="宋体"/>
          <w:bCs/>
          <w:szCs w:val="21"/>
          <w:lang w:eastAsia="zh-CN"/>
        </w:rPr>
      </w:pPr>
      <w:r>
        <w:rPr>
          <w:rFonts w:ascii="宋体" w:hAnsi="宋体" w:hint="eastAsia"/>
          <w:bCs/>
          <w:szCs w:val="21"/>
          <w:highlight w:val="white"/>
          <w:lang w:eastAsia="zh-CN"/>
        </w:rPr>
        <w:t>四、</w:t>
      </w:r>
      <w:r>
        <w:rPr>
          <w:rStyle w:val="da"/>
          <w:rFonts w:ascii="宋体" w:hAnsi="宋体" w:cs="宋体" w:hint="eastAsia"/>
          <w:highlight w:val="white"/>
          <w:lang w:eastAsia="zh-CN"/>
        </w:rPr>
        <w:t>基金相对业绩比较基准的超额收益率计算</w:t>
      </w:r>
    </w:p>
    <w:p w:rsidR="00257FC2">
      <w:pPr>
        <w:spacing w:line="360" w:lineRule="auto"/>
        <w:ind w:firstLine="420"/>
        <w:rPr>
          <w:lang w:eastAsia="zh-CN"/>
        </w:rPr>
      </w:pPr>
      <w:r>
        <w:rPr>
          <w:rStyle w:val="da"/>
          <w:rFonts w:ascii="宋体" w:hAnsi="Calibri" w:cs="宋体"/>
          <w:highlight w:val="white"/>
          <w:lang w:eastAsia="zh-CN"/>
        </w:rPr>
        <w:t xml:space="preserve">在收益评价日，基金管理人计算基金累计报酬率、业绩比较基准同期累计报酬率。 </w:t>
      </w:r>
    </w:p>
    <w:p w:rsidR="00257FC2">
      <w:pPr>
        <w:spacing w:line="360" w:lineRule="auto"/>
        <w:ind w:firstLine="420"/>
        <w:rPr>
          <w:lang w:eastAsia="zh-CN"/>
        </w:rPr>
      </w:pPr>
      <w:r>
        <w:rPr>
          <w:rStyle w:val="da"/>
          <w:rFonts w:ascii="宋体" w:hAnsi="Calibri" w:cs="宋体"/>
          <w:highlight w:val="white"/>
          <w:lang w:eastAsia="zh-CN"/>
        </w:rPr>
        <w:t>基金收益评价日本基金相对业绩比较基准的超额收益率＝基金累计报酬率 - 业绩比较基准同期累计报酬率</w:t>
      </w:r>
    </w:p>
    <w:p w:rsidR="00257FC2">
      <w:pPr>
        <w:spacing w:line="360" w:lineRule="auto"/>
        <w:ind w:firstLine="420"/>
        <w:rPr>
          <w:lang w:eastAsia="zh-CN"/>
        </w:rPr>
      </w:pPr>
      <w:r>
        <w:rPr>
          <w:rStyle w:val="da"/>
          <w:rFonts w:ascii="宋体" w:hAnsi="Calibri" w:cs="宋体"/>
          <w:highlight w:val="white"/>
          <w:lang w:eastAsia="zh-CN"/>
        </w:rPr>
        <w:t>基金累计报酬率=收益评价日基金份额净值（如基金合同生效满3个月后基金份额发生折算，则采用剔除折算因素的基金份额净值）/基金合同生效日所对应的3个月月度对日的前一工作日基金份额净值-100%</w:t>
      </w:r>
    </w:p>
    <w:p w:rsidR="00257FC2">
      <w:pPr>
        <w:spacing w:line="360" w:lineRule="auto"/>
        <w:ind w:firstLine="420"/>
        <w:rPr>
          <w:rStyle w:val="da"/>
          <w:rFonts w:ascii="宋体" w:hAnsi="Calibri" w:cs="宋体"/>
          <w:highlight w:val="magenta"/>
          <w:lang w:eastAsia="zh-CN"/>
        </w:rPr>
      </w:pPr>
      <w:r>
        <w:rPr>
          <w:rStyle w:val="da"/>
          <w:rFonts w:ascii="宋体" w:hAnsi="Calibri" w:cs="宋体"/>
          <w:highlight w:val="white"/>
          <w:lang w:eastAsia="zh-CN"/>
        </w:rPr>
        <w:t>剔除折算因素的基金份额净值＝</w:t>
      </w:r>
    </w:p>
    <w:p w:rsidR="00257FC2">
      <w:pPr>
        <w:spacing w:line="360" w:lineRule="auto"/>
        <w:ind w:firstLine="420"/>
      </w:pPr>
      <w:r>
        <w:rPr>
          <w:bCs/>
          <w:position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74pt;height:34.75pt" o:oleicon="f" o:ole="">
            <v:imagedata r:id="rId17" o:title=""/>
          </v:shape>
          <o:OLEObject Type="Embed" ProgID="Equation.3" ShapeID="_x0000_i1025" DrawAspect="Content" ObjectID="_1838475801" r:id="rId18"/>
        </w:object>
      </w:r>
    </w:p>
    <w:p w:rsidR="00257FC2">
      <w:pPr>
        <w:spacing w:line="360" w:lineRule="auto"/>
        <w:ind w:firstLine="420"/>
        <w:rPr>
          <w:lang w:eastAsia="zh-CN"/>
        </w:rPr>
      </w:pPr>
      <w:r>
        <w:rPr>
          <w:rFonts w:ascii="宋体" w:hAnsi="Calibri"/>
          <w:bCs/>
          <w:szCs w:val="21"/>
          <w:highlight w:val="white"/>
          <w:lang w:eastAsia="zh-CN"/>
        </w:rPr>
        <w:t>注：</w:t>
      </w:r>
      <w:r>
        <w:rPr>
          <w:rFonts w:ascii="宋体" w:hAnsi="Calibri"/>
          <w:bCs/>
        </w:rPr>
        <w:object>
          <v:shape id="_x0000_i1026" type="#_x0000_t75" style="width:17.4pt;height:19.85pt" o:oleicon="f" o:ole="">
            <v:imagedata r:id="rId19" o:title=""/>
          </v:shape>
          <o:OLEObject Type="Embed" ProgID="Equation.DSMT4" ShapeID="_x0000_i1026" DrawAspect="Content" ObjectID="_1838475802" r:id="rId20"/>
        </w:object>
      </w:r>
      <w:r>
        <w:rPr>
          <w:rFonts w:ascii="宋体" w:hAnsi="Calibri"/>
          <w:bCs/>
          <w:szCs w:val="21"/>
          <w:highlight w:val="white"/>
          <w:lang w:eastAsia="zh-CN"/>
        </w:rPr>
        <w:t>为连乘符号</w:t>
      </w:r>
      <w:r>
        <w:rPr>
          <w:rFonts w:ascii="宋体" w:hAnsi="宋体" w:cs="宋体"/>
          <w:color w:val="000000"/>
          <w:highlight w:val="white"/>
          <w:lang w:eastAsia="zh-CN"/>
        </w:rPr>
        <w:t>。当基金份额折算比例为N时，表示每一份基金份额折算为N份。</w:t>
      </w:r>
    </w:p>
    <w:p w:rsidR="00257FC2">
      <w:pPr>
        <w:spacing w:line="360" w:lineRule="auto"/>
        <w:ind w:firstLine="420" w:firstLineChars="200"/>
        <w:rPr>
          <w:rFonts w:ascii="宋体" w:hAnsi="宋体" w:cs="宋体"/>
          <w:color w:val="000000"/>
          <w:lang w:eastAsia="zh-CN"/>
        </w:rPr>
      </w:pPr>
      <w:r>
        <w:rPr>
          <w:rFonts w:ascii="宋体" w:hAnsi="宋体" w:cs="宋体" w:hint="eastAsia"/>
          <w:color w:val="000000"/>
          <w:highlight w:val="white"/>
          <w:lang w:eastAsia="zh-CN"/>
        </w:rPr>
        <w:t>业绩比较基准同期累计报酬率为基金合同生效日所对应的3个月月度对日至收益评价日期间的业绩比较基准收益率。</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五、收益分配方案</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基金收益分配方案中应载明基金收益分配对象、分配时间、分配数额、分配方式等内容。</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六、收益分配方案的确定、公告与实施</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本基金收益分配方案由基金管理人拟定，并由基金托管人复核，在2日内在规定媒介公告。</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七、基金收益分配中发生的费用</w:t>
      </w:r>
    </w:p>
    <w:p w:rsidR="00257FC2">
      <w:pPr>
        <w:spacing w:line="360" w:lineRule="auto"/>
        <w:ind w:firstLine="420"/>
        <w:rPr>
          <w:rStyle w:val="da"/>
          <w:rFonts w:ascii="宋体" w:hAnsi="Calibri" w:cs="宋体"/>
          <w:lang w:eastAsia="zh-CN"/>
        </w:rPr>
      </w:pPr>
      <w:r>
        <w:rPr>
          <w:rFonts w:ascii="宋体" w:hAnsi="Calibri" w:hint="eastAsia"/>
          <w:bCs/>
          <w:szCs w:val="21"/>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八、实施侧袋机制期间的收益分配</w:t>
      </w:r>
    </w:p>
    <w:p w:rsidR="00257FC2">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本基金实施侧袋机制的，侧袋账户不进行收益分配。</w:t>
      </w:r>
    </w:p>
    <w:p w:rsidR="00257FC2">
      <w:pPr>
        <w:spacing w:line="360" w:lineRule="auto"/>
        <w:ind w:firstLine="420"/>
        <w:rPr>
          <w:rFonts w:ascii="宋体" w:hAnsi="Calibri" w:cs="宋体"/>
          <w:szCs w:val="21"/>
          <w:lang w:eastAsia="zh-CN"/>
        </w:rPr>
      </w:pPr>
      <w:r>
        <w:rPr>
          <w:rStyle w:val="da"/>
          <w:rFonts w:ascii="宋体" w:hAnsi="Calibri" w:cs="宋体"/>
          <w:highlight w:val="white"/>
          <w:lang w:eastAsia="zh-CN"/>
        </w:rPr>
        <w:br w:type="page"/>
      </w:r>
    </w:p>
    <w:p w:rsidR="00257FC2">
      <w:pPr>
        <w:pStyle w:val="Heading1"/>
        <w:spacing w:before="317" w:after="317" w:line="360" w:lineRule="auto"/>
        <w:ind w:firstLine="600"/>
        <w:rPr>
          <w:rFonts w:ascii="宋体" w:eastAsia="宋体" w:hAnsi="Calibri" w:cs="宋体"/>
          <w:sz w:val="30"/>
          <w:szCs w:val="30"/>
          <w:lang w:eastAsia="zh-CN"/>
        </w:rPr>
      </w:pPr>
      <w:bookmarkStart w:id="1835" w:name="_Toc129511538"/>
      <w:r>
        <w:rPr>
          <w:rFonts w:ascii="宋体" w:eastAsia="宋体" w:hAnsi="Calibri" w:cs="宋体" w:hint="eastAsia"/>
          <w:sz w:val="30"/>
          <w:szCs w:val="30"/>
          <w:highlight w:val="white"/>
          <w:lang w:eastAsia="zh-CN"/>
        </w:rPr>
        <w:t>第十</w:t>
      </w:r>
      <w:bookmarkStart w:id="1836" w:name="_Toc332373560"/>
      <w:r>
        <w:rPr>
          <w:rFonts w:ascii="宋体" w:eastAsia="宋体" w:hAnsi="Calibri" w:cs="宋体"/>
          <w:sz w:val="30"/>
          <w:szCs w:val="30"/>
          <w:highlight w:val="white"/>
          <w:lang w:eastAsia="zh-CN"/>
        </w:rPr>
        <w:t>六</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基金的费用与税收</w:t>
      </w:r>
      <w:bookmarkEnd w:id="1835"/>
      <w:bookmarkEnd w:id="1836"/>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一、基金费用的种类</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1、基金管理人的管理费；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2、基金托管人的托管费；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3、销售服务费；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4、《基金合同》生效后与基金相关的信息披露费用；</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5、《基金合同》生效后与基金相关的会计师费、律师费、诉讼费和仲裁费；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6、基金份额持有人大会费用；</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7、基金的证券/期货交易费用；</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8、基金的银行汇划费用；</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9、证券账户开户费用、银行账户维护费用；</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10、按照国家有关规定和《基金合同》约定，可以在基金财产中列支的其他费用。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二、基金费用计提方法、计提标准和支付方式</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1、基金管理人的管理费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本基金的管理费按前一日基金资产净值扣除前一日所持有目标ETF公允价值后的余额（若为负数，则取0）的0.15%年费率计提。管理费的计算方法如下：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0.15%</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H为每日应计提的基金管理费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E为调整后的前一日的基金资产净值。调整后的前一日基金资产净值＝前一日基金资产净值－前一日本基金持有的目标ETF公允价值，金额为负时以零计</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管理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2、基金托管人的托管费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本基金的托管费按前一日基金资产净值扣除前一日所持有目标ETF公允价值后的余额（若为负数，则取0）的0.05%年费率计提。托管费的计算方法如下：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0.05%</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H为每日应计提的基金托管费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E为调整后的前一日的基金资产净值。调整后的前一日基金资产净值＝前一日基金资产净值－前一日本基金持有的目标ETF公允价值，金额为负时以零计</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托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3、销售服务费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本基金A类基金份额不收取销售服务费，C类基金份额的销售服务费年费率为0.20%，按前一日C类基金资产净值的0.20%年费率计提。</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销售服务费的计算方法如下：</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0.20%</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H为C类基金份额每日应计提的销售服务费</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E为C类基金份额前一日基金资产净值</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基金销售服务费每日计提。</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（1）通过基金管理人或其基金销售子公司投资的C类基金份额</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对于基金份额计提的销售服务费，在投资者赎回基金份额或基金合同终止时，随赎回款（或清算款）一并返还给投资者。</w:t>
      </w:r>
      <w:r>
        <w:rPr>
          <w:rFonts w:ascii="宋体" w:hAnsi="宋体" w:cs="宋体" w:hint="eastAsia"/>
          <w:szCs w:val="21"/>
          <w:highlight w:val="white"/>
          <w:lang w:eastAsia="zh-CN" w:bidi="ar"/>
        </w:rPr>
        <w:t>对于转换转出业务，销售服务费将作为转换转出份额对应的款项一并划转至转换转入的基金</w:t>
      </w:r>
      <w:r>
        <w:rPr>
          <w:rFonts w:ascii="宋体" w:hAnsi="宋体" w:cs="宋体"/>
          <w:szCs w:val="21"/>
          <w:highlight w:val="white"/>
          <w:lang w:eastAsia="zh-CN" w:bidi="ar"/>
        </w:rPr>
        <w:t>。</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（2）通过其他销售机构投资的C类基金份额</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对于投资者持续持有期限不超过一年（即365天，下同）的基金份额计提的销售服务费，</w:t>
      </w:r>
      <w:r>
        <w:rPr>
          <w:rStyle w:val="da"/>
          <w:rFonts w:ascii="宋体" w:hAnsi="Calibri" w:cs="宋体"/>
          <w:szCs w:val="21"/>
          <w:highlight w:val="white"/>
          <w:lang w:eastAsia="zh-CN"/>
        </w:rPr>
        <w:t>基金</w:t>
      </w:r>
      <w:r>
        <w:rPr>
          <w:rStyle w:val="da"/>
          <w:rFonts w:ascii="宋体" w:hAnsi="Calibri" w:cs="宋体"/>
          <w:szCs w:val="21"/>
          <w:highlight w:val="white"/>
          <w:lang w:eastAsia="zh-CN"/>
        </w:rPr>
        <w:t>托管人按照</w:t>
      </w:r>
      <w:r>
        <w:rPr>
          <w:rStyle w:val="da"/>
          <w:rFonts w:ascii="宋体" w:hAnsi="Calibri" w:cs="宋体"/>
          <w:szCs w:val="21"/>
          <w:highlight w:val="white"/>
          <w:lang w:eastAsia="zh-CN"/>
        </w:rPr>
        <w:t>与基金管理人协商一致的方式</w:t>
      </w:r>
      <w:r>
        <w:rPr>
          <w:rStyle w:val="da"/>
          <w:rFonts w:ascii="宋体" w:hAnsi="Calibri" w:cs="宋体"/>
          <w:szCs w:val="21"/>
          <w:highlight w:val="white"/>
          <w:lang w:eastAsia="zh-CN"/>
        </w:rPr>
        <w:t>从基金财产中一次性支付</w:t>
      </w:r>
      <w:r>
        <w:rPr>
          <w:rStyle w:val="da"/>
          <w:rFonts w:ascii="宋体" w:hAnsi="Calibri" w:cs="宋体"/>
          <w:szCs w:val="21"/>
          <w:highlight w:val="white"/>
          <w:lang w:eastAsia="zh-CN"/>
        </w:rPr>
        <w:t>。若遇法定节假日、公休日等，支付日期顺延。</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对于持续持有期限超过一年的基金份额继续计提的销售服务费，在投资者赎回基金份额或基金合同终止时，随赎回款（或清算款）一并返还给投资者。</w:t>
      </w:r>
      <w:r>
        <w:rPr>
          <w:rFonts w:ascii="宋体" w:hAnsi="宋体" w:cs="宋体" w:hint="eastAsia"/>
          <w:szCs w:val="21"/>
          <w:highlight w:val="white"/>
          <w:lang w:eastAsia="zh-CN" w:bidi="ar"/>
        </w:rPr>
        <w:t>对于转换转出业务，销售服务费将作为转换转出份额对应的款项一并划转至转换转入的基金。</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销售服务费计提后按规定收取或返还投资者的金额以登记机构的计算结果为准。</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上述</w:t>
      </w:r>
      <w:r>
        <w:rPr>
          <w:rStyle w:val="da"/>
          <w:rFonts w:ascii="宋体" w:hAnsi="Calibri" w:cs="宋体"/>
          <w:szCs w:val="21"/>
          <w:highlight w:val="white"/>
          <w:lang w:eastAsia="zh-CN"/>
        </w:rPr>
        <w:t>“</w:t>
      </w:r>
      <w:r>
        <w:rPr>
          <w:rStyle w:val="da"/>
          <w:rFonts w:ascii="宋体" w:hAnsi="Calibri" w:cs="宋体"/>
          <w:szCs w:val="21"/>
          <w:highlight w:val="white"/>
          <w:lang w:eastAsia="zh-CN"/>
        </w:rPr>
        <w:t>一、基金费用的种类</w:t>
      </w:r>
      <w:r>
        <w:rPr>
          <w:rStyle w:val="da"/>
          <w:rFonts w:ascii="宋体" w:hAnsi="Calibri" w:cs="宋体"/>
          <w:szCs w:val="21"/>
          <w:highlight w:val="white"/>
          <w:lang w:eastAsia="zh-CN"/>
        </w:rPr>
        <w:t>”</w:t>
      </w:r>
      <w:r>
        <w:rPr>
          <w:rStyle w:val="da"/>
          <w:rFonts w:ascii="宋体" w:hAnsi="Calibri" w:cs="宋体"/>
          <w:szCs w:val="21"/>
          <w:highlight w:val="white"/>
          <w:lang w:eastAsia="zh-CN"/>
        </w:rPr>
        <w:t>中第4－10项费用，根据有关法规及相应协议规定，按费用实际支出金额列入当期费用，由基金托管人从基金财产中支付。</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三、不列入基金费用的项目</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下列费用不列入基金费用：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1、基金管理人和基金托管人因未履行或未完全履行义务导致的费用支出或基金财产的损失；</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2、基金管理人和基金托管人处理与基金运作无关的事项发生的费用；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3、《基金合同》生效前的相关费用；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4、标的指数许可使用费。标的指数许可使用费由基金管理人承担，不得从基金财产中列支；</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5、其他根据相关法律法规及中国证监会的有关规定不得列入基金费用的项目。</w:t>
      </w:r>
    </w:p>
    <w:p w:rsidR="00257FC2">
      <w:pPr>
        <w:spacing w:line="360" w:lineRule="auto"/>
        <w:ind w:firstLine="420"/>
        <w:rPr>
          <w:rStyle w:val="da"/>
          <w:rFonts w:ascii="宋体" w:hAnsi="Calibri" w:cs="宋体"/>
          <w:szCs w:val="21"/>
          <w:lang w:eastAsia="zh-CN"/>
        </w:rPr>
      </w:pPr>
      <w:bookmarkStart w:id="1837" w:name="_Hlt88827255"/>
      <w:bookmarkStart w:id="1838" w:name="_Toc332373564"/>
      <w:bookmarkEnd w:id="1837"/>
      <w:r>
        <w:rPr>
          <w:rStyle w:val="da"/>
          <w:rFonts w:ascii="宋体" w:hAnsi="Calibri" w:cs="宋体" w:hint="eastAsia"/>
          <w:szCs w:val="21"/>
          <w:highlight w:val="white"/>
          <w:lang w:eastAsia="zh-CN"/>
        </w:rPr>
        <w:t>四、实施侧袋机制期间的基金费用</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本基金实施侧袋机制的，与侧袋账户有关的费用可以从侧袋账户中列支，但应待侧袋账户资产变现后方可列支，有关费用可酌情收取或减免，但不得收取管理费。</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五、与基金销售有关的费用</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w:t>
      </w:r>
      <w:r>
        <w:rPr>
          <w:rStyle w:val="da"/>
          <w:rFonts w:ascii="宋体" w:hAnsi="Calibri" w:cs="宋体" w:hint="eastAsia"/>
          <w:szCs w:val="21"/>
          <w:highlight w:val="white"/>
          <w:lang w:eastAsia="zh-CN"/>
        </w:rPr>
        <w:t>、本基金认购费的费率水平、计算公式、收取方式和使用方式请详见本招募说明书“基金的募集安排”中“认购安排”中的相关规定。</w:t>
      </w:r>
    </w:p>
    <w:p w:rsidR="00257FC2">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w:t>
      </w:r>
      <w:r>
        <w:rPr>
          <w:rStyle w:val="da"/>
          <w:rFonts w:ascii="宋体" w:hAnsi="Calibri" w:cs="宋体" w:hint="eastAsia"/>
          <w:szCs w:val="21"/>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六、基金税收</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bookmarkEnd w:id="1838"/>
    </w:p>
    <w:p w:rsidR="00257FC2">
      <w:pPr>
        <w:widowControl/>
        <w:jc w:val="left"/>
        <w:rPr>
          <w:rFonts w:ascii="宋体" w:hAnsi="Calibri" w:cs="宋体"/>
          <w:sz w:val="30"/>
          <w:szCs w:val="32"/>
          <w:lang w:eastAsia="zh-CN"/>
        </w:rPr>
      </w:pPr>
      <w:r>
        <w:rPr>
          <w:rFonts w:ascii="宋体" w:hAnsi="Calibri" w:cs="宋体"/>
          <w:sz w:val="30"/>
          <w:highlight w:val="white"/>
          <w:lang w:eastAsia="zh-CN"/>
        </w:rPr>
        <w:br w:type="page"/>
      </w:r>
    </w:p>
    <w:p w:rsidR="00257FC2">
      <w:pPr>
        <w:pStyle w:val="Heading1"/>
        <w:spacing w:before="317" w:after="317" w:line="360" w:lineRule="auto"/>
        <w:ind w:firstLine="600"/>
        <w:rPr>
          <w:rFonts w:ascii="宋体" w:eastAsia="宋体" w:hAnsi="Calibri" w:cs="宋体"/>
          <w:bCs/>
          <w:sz w:val="30"/>
          <w:szCs w:val="30"/>
          <w:lang w:eastAsia="zh-CN"/>
        </w:rPr>
      </w:pPr>
      <w:bookmarkStart w:id="1839" w:name="_Toc129511539"/>
      <w:r>
        <w:rPr>
          <w:rFonts w:ascii="宋体" w:eastAsia="宋体" w:hAnsi="Calibri" w:cs="宋体" w:hint="eastAsia"/>
          <w:sz w:val="30"/>
          <w:szCs w:val="30"/>
          <w:highlight w:val="white"/>
          <w:lang w:eastAsia="zh-CN"/>
        </w:rPr>
        <w:t>第十</w:t>
      </w:r>
      <w:bookmarkStart w:id="1840" w:name="_Toc332373566"/>
      <w:r>
        <w:rPr>
          <w:rFonts w:ascii="宋体" w:eastAsia="宋体" w:hAnsi="Calibri" w:cs="宋体"/>
          <w:sz w:val="30"/>
          <w:szCs w:val="30"/>
          <w:highlight w:val="white"/>
          <w:lang w:eastAsia="zh-CN"/>
        </w:rPr>
        <w:t>七</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基金的会计与审计</w:t>
      </w:r>
      <w:bookmarkEnd w:id="1839"/>
      <w:bookmarkEnd w:id="1840"/>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一、基金会计政策</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1、基金管理人为本基金的基金会计责任方；</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3、基金核算以人民币为记账本位币，以人民币元为记账单位；</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4、会计制度执行国家有关会计制度；</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5、本基金独立建账、独立核算；</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6、基金管理人及基金托管人各自保留完整的会计账目、凭证并进行日常的会计核算，按照有关规定编制基金会计报表；</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7、基金托管人每月与基金管理人就基金的会计核算、报表编制等进行核对确认。</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二、基金的年度审计</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2、会计师事务所更换经办注册会计师，应事先征得基金管理人同意。</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3、基金管理人认为有充足理由更换会计师事务所，须通报基金托管人。更换会计师事务所需在2日内在规定媒介公告。</w:t>
      </w:r>
    </w:p>
    <w:p w:rsidR="00257FC2">
      <w:pPr>
        <w:pStyle w:val="Heading1"/>
        <w:spacing w:before="317" w:after="317" w:line="360" w:lineRule="auto"/>
        <w:ind w:firstLine="420"/>
        <w:rPr>
          <w:rFonts w:ascii="宋体" w:eastAsia="宋体" w:hAnsi="Calibri" w:cs="宋体"/>
          <w:sz w:val="30"/>
          <w:szCs w:val="30"/>
          <w:lang w:eastAsia="zh-CN"/>
        </w:rPr>
      </w:pPr>
      <w:bookmarkStart w:id="1841" w:name="_Hlt4221115"/>
      <w:bookmarkEnd w:id="1841"/>
      <w:r>
        <w:rPr>
          <w:rFonts w:ascii="宋体" w:eastAsia="宋体" w:hAnsi="Calibri" w:cs="宋体"/>
          <w:sz w:val="21"/>
          <w:szCs w:val="21"/>
          <w:highlight w:val="white"/>
          <w:lang w:eastAsia="zh-CN"/>
        </w:rPr>
        <w:br w:type="column"/>
      </w:r>
      <w:bookmarkStart w:id="1842" w:name="_Toc129511540"/>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十</w:t>
      </w:r>
      <w:bookmarkStart w:id="1843" w:name="_Toc332373569"/>
      <w:r>
        <w:rPr>
          <w:rFonts w:ascii="宋体" w:eastAsia="宋体" w:hAnsi="Calibri" w:cs="宋体"/>
          <w:sz w:val="30"/>
          <w:szCs w:val="30"/>
          <w:highlight w:val="white"/>
          <w:lang w:eastAsia="zh-CN"/>
        </w:rPr>
        <w:t>八</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基金的信息披露</w:t>
      </w:r>
      <w:bookmarkEnd w:id="1842"/>
      <w:bookmarkEnd w:id="1843"/>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二、信息披露义务人</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三、本基金信息披露义务人承诺公开披露的基金信息，不得有下列行为：</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1、虚假记载、误导性陈述或者重大遗漏；</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2、对证券投资业绩进行预测；</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3、违规承诺收益或者承担损失；</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4、诋毁其他基金管理人、基金托管人或者基金销售机构；</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5、登载任何自然人、法人和非法人组织的祝贺性、恭维性或推荐性的文字；</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6、中国证监会禁止的其他行为。</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本基金公开披露的信息采用阿拉伯数字；除特别说明外，货币单位为人民币元。</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五、公开披露的基金信息</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公开披露的基金信息包括：</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（一）基金招募说明书、《基金合同》、基金托管协议、基金产品资料概要</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3、基金托管协议是界定基金托管人和基金管理人在基金财产保管及基金运作监督等活动中的权利、义务关系的法律文件。</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（二）基金份额发售公告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基金管理人应当就基金份额发售的具体事宜编制基金份额发售公告，并在披露招募说明书的当日登载于规定媒介上。</w:t>
      </w:r>
    </w:p>
    <w:p w:rsidR="00257FC2">
      <w:pPr>
        <w:spacing w:line="360" w:lineRule="auto"/>
        <w:ind w:firstLine="420"/>
        <w:rPr>
          <w:rFonts w:ascii="宋体" w:hAnsi="Calibri" w:cs="宋体"/>
          <w:bCs/>
          <w:szCs w:val="21"/>
        </w:rPr>
      </w:pPr>
      <w:r>
        <w:rPr>
          <w:rFonts w:ascii="宋体" w:hAnsi="Calibri" w:cs="宋体" w:hint="eastAsia"/>
          <w:bCs/>
          <w:szCs w:val="21"/>
          <w:highlight w:val="white"/>
        </w:rPr>
        <w:t>（三）《基金合同》生效公告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基金管理人应当在收到中国证监会确认文件的次日在规定媒介上登载《基金合同》生效公告。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（四）基金净值信息</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（五）基金份额申购、赎回价格</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（六）基金定期报告，包括基金年度报告、基金中期报告和基金季度报告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《基金合同》生效不足2个月的，基金管理人可以不编制当期季度报告、中期报告或者年度报告。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基金管理人应当在基金年度报告和中期报告中披露基金组合资产情况及其流动性风险分析等。</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（七）临时报告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本基金发生重大事件，有关信息披露义务人应当在2日内编制临时报告书，并登载在规定报刊和规定网站上。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前款所称重大事件，是指可能对基金份额持有人权益或者基金份额的价格产生重大影响的下列事件：</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1、基金份额持有人大会的召开及决定的事项；</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2、基金合同终止、基金清算；</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3、转换基金运作方式、基金合并；</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4、更换基金管理人、基金托管人、基金份额登记机构，基金改聘会计师事务所；</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6、基金管理人、基金托管人的法定名称、住所发生变更；</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7、基金管理公司变更持有百分之五以上股权的股东、基金管理人的实际控制人变更；</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8、基金募集期延长或提前结束募集；</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9、基金管理人的高级管理人员、基金经理和基金托管人专门基金托管部门负责人发生变动；</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11、涉及基金财产、基金管理业务、基金托管业务的诉讼或仲裁；</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14、基金收益分配事项；</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15、管理费、托管费、销售服务费、申购费、赎回费等费用计提标准、计提方式和费率发生变更；</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16、基金份额净值计价错误达基金份额净值百分之零点五；</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17、本基金开始办理申购、赎回；</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18、本基金发生巨额赎回并延期办理；</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19、本基金连续发生巨额赎回并暂停接受赎回申请或延缓支付赎回款项；</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20、本基金暂停接受申购、赎回申请或重新接受申购、赎回申请；</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21、调整基金份额类别的设置；</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22、基金推出新业务或服务；</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23、发生涉及基金申购、赎回事项调整或潜在影响投资者赎回等重大事项时；</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24、基金管理人采用摆动定价机制进行估值；</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25、目标ETF变更；</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26、基金信息披露义务人认为可能对基金份额持有人权益或者基金份额的价格产生重大影响的其他事项或中国证监会规定的其他事项。</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（八）澄清公告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（九）清算报告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（十）基金份额持有人大会决议</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基金份额持有人大会决定的事项，应当依法报中国证监会备案，并予以公告。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（十一）实施侧袋机制期间的信息披露</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（十二）中国证监会规定的其他信息</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若本基金投资股指期货、国债期货、资产支持证券、股票期权，参与融资及转融通证券出借业务，基金管理人将按相关法律法规要求进行披露。</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当相关法律法规关于上述信息披露的规定发生变化时，基金管理人将按最新规定进行信息披露。</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六、信息披露事务管理</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基金管理人、基金托管人应当建立健全信息披露管理制度，指定专门部门及高级管理人员负责管理信息披露事务。</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基金信息披露义务人公开披露基金信息，应当符合中国证监会相关基金信息披露内容与格式准则等法规的规定。</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七、信息披露文件的存放与查阅</w:t>
      </w:r>
    </w:p>
    <w:p w:rsidR="00257FC2">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依法必须披露的信息发布后，基金管理人、基金托管人应当按照相关法律法规规定将信息置备于公司办公场所，供社会公众查阅、复制。</w:t>
      </w:r>
    </w:p>
    <w:p w:rsidR="00257FC2">
      <w:pPr>
        <w:widowControl/>
        <w:jc w:val="left"/>
        <w:rPr>
          <w:rFonts w:ascii="宋体" w:hAnsi="Calibri" w:cs="宋体"/>
          <w:sz w:val="30"/>
          <w:szCs w:val="32"/>
          <w:lang w:eastAsia="zh-CN"/>
        </w:rPr>
      </w:pPr>
      <w:bookmarkStart w:id="1844" w:name="_Toc46676683"/>
      <w:bookmarkStart w:id="1845" w:name="_Toc46737675"/>
      <w:r>
        <w:rPr>
          <w:rFonts w:ascii="宋体" w:hAnsi="Calibri" w:cs="宋体"/>
          <w:sz w:val="30"/>
          <w:highlight w:val="white"/>
          <w:lang w:eastAsia="zh-CN"/>
        </w:rPr>
        <w:br w:type="page"/>
      </w:r>
    </w:p>
    <w:p w:rsidR="00257FC2">
      <w:pPr>
        <w:pStyle w:val="Heading1"/>
        <w:spacing w:before="317" w:after="317" w:line="360" w:lineRule="auto"/>
        <w:ind w:firstLine="600"/>
        <w:rPr>
          <w:rFonts w:ascii="宋体" w:eastAsia="宋体" w:hAnsi="Calibri" w:cs="宋体"/>
          <w:sz w:val="30"/>
          <w:szCs w:val="30"/>
          <w:lang w:eastAsia="zh-CN"/>
        </w:rPr>
      </w:pPr>
      <w:bookmarkStart w:id="1846" w:name="_Toc129511541"/>
      <w:r>
        <w:rPr>
          <w:rFonts w:ascii="宋体" w:eastAsia="宋体" w:hAnsi="Calibri" w:cs="宋体" w:hint="eastAsia"/>
          <w:sz w:val="30"/>
          <w:szCs w:val="30"/>
          <w:highlight w:val="white"/>
          <w:lang w:eastAsia="zh-CN"/>
        </w:rPr>
        <w:t>第十</w:t>
      </w:r>
      <w:r>
        <w:rPr>
          <w:rFonts w:ascii="宋体" w:eastAsia="宋体" w:hAnsi="Calibri" w:cs="宋体"/>
          <w:sz w:val="30"/>
          <w:szCs w:val="30"/>
          <w:highlight w:val="white"/>
          <w:lang w:eastAsia="zh-CN"/>
        </w:rPr>
        <w:t>九</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侧袋机制</w:t>
      </w:r>
      <w:bookmarkEnd w:id="1844"/>
      <w:bookmarkEnd w:id="1845"/>
      <w:bookmarkEnd w:id="1846"/>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一、侧袋机制的实施条件和程序</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基金管理人应当在启用侧袋机制后及时发布临时公告，并及时聘请符合《证券法》规定的会计师事务所进行审计并披露专项审计意见。</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二、实施侧袋机制期间基金份额的申购与赎回</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Pr>
          <w:rFonts w:ascii="宋体" w:hAnsi="Calibri"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Calibri" w:cs="宋体"/>
          <w:bCs/>
          <w:szCs w:val="21"/>
          <w:highlight w:val="white"/>
          <w:lang w:eastAsia="zh-CN"/>
        </w:rPr>
        <w:t>10%</w:t>
      </w:r>
      <w:r>
        <w:rPr>
          <w:rFonts w:ascii="宋体" w:hAnsi="Calibri" w:cs="宋体" w:hint="eastAsia"/>
          <w:bCs/>
          <w:szCs w:val="21"/>
          <w:highlight w:val="white"/>
          <w:lang w:eastAsia="zh-CN"/>
        </w:rPr>
        <w:t>认定。</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三、实施侧袋机制期间的基金投资</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hAnsi="Calibri" w:cs="宋体"/>
          <w:bCs/>
          <w:szCs w:val="21"/>
          <w:highlight w:val="white"/>
          <w:lang w:eastAsia="zh-CN"/>
        </w:rPr>
        <w:t>为基准</w:t>
      </w:r>
      <w:r>
        <w:rPr>
          <w:rFonts w:ascii="宋体" w:hAnsi="Calibri" w:cs="宋体" w:hint="eastAsia"/>
          <w:bCs/>
          <w:szCs w:val="21"/>
          <w:highlight w:val="white"/>
          <w:lang w:eastAsia="zh-CN"/>
        </w:rPr>
        <w:t>。</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基金管理人原则上应当在侧袋机制启动后</w:t>
      </w:r>
      <w:r>
        <w:rPr>
          <w:rFonts w:ascii="宋体" w:hAnsi="Calibri" w:cs="宋体"/>
          <w:bCs/>
          <w:szCs w:val="21"/>
          <w:highlight w:val="white"/>
          <w:lang w:eastAsia="zh-CN"/>
        </w:rPr>
        <w:t>20</w:t>
      </w:r>
      <w:r>
        <w:rPr>
          <w:rFonts w:ascii="宋体" w:hAnsi="Calibri" w:cs="宋体" w:hint="eastAsia"/>
          <w:bCs/>
          <w:szCs w:val="21"/>
          <w:highlight w:val="white"/>
          <w:lang w:eastAsia="zh-CN"/>
        </w:rPr>
        <w:t>个交易日内完成对主袋账户投资组合的调整，因资产流动性受限等中国证监会规定的情形除外。</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基金管理人不得在侧袋账户中进行除特定资产处置变现以外的其他投资操作。</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四、侧袋账户中特定资产的处置变现和支付</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终止侧袋机制后，基金管理人及时聘请符合《证券法》规定的会计师事务所进行审计并披露专项审计意见。</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五、侧袋机制的信息披露</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hint="eastAsia"/>
          <w:bCs/>
          <w:szCs w:val="21"/>
          <w:highlight w:val="white"/>
          <w:lang w:eastAsia="zh-CN"/>
        </w:rPr>
        <w:t>、临时公告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hint="eastAsia"/>
          <w:bCs/>
          <w:szCs w:val="21"/>
          <w:highlight w:val="white"/>
          <w:lang w:eastAsia="zh-CN"/>
        </w:rPr>
        <w:t>、基金净值信息</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Pr>
          <w:rFonts w:ascii="宋体" w:hAnsi="Calibri" w:cs="宋体" w:hint="eastAsia"/>
          <w:bCs/>
          <w:szCs w:val="21"/>
          <w:highlight w:val="white"/>
          <w:lang w:eastAsia="zh-CN"/>
        </w:rPr>
        <w:t>、定期报告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257FC2">
      <w:pPr>
        <w:widowControl/>
        <w:jc w:val="left"/>
        <w:rPr>
          <w:rFonts w:ascii="宋体" w:hAnsi="Calibri" w:cs="宋体"/>
          <w:sz w:val="30"/>
          <w:szCs w:val="32"/>
          <w:lang w:eastAsia="zh-CN"/>
        </w:rPr>
      </w:pPr>
      <w:r>
        <w:rPr>
          <w:rFonts w:ascii="宋体" w:hAnsi="Calibri" w:cs="宋体"/>
          <w:sz w:val="30"/>
          <w:highlight w:val="white"/>
          <w:lang w:eastAsia="zh-CN"/>
        </w:rPr>
        <w:br w:type="page"/>
      </w:r>
    </w:p>
    <w:p w:rsidR="00257FC2">
      <w:pPr>
        <w:pStyle w:val="Heading1"/>
        <w:spacing w:before="317" w:after="317" w:line="360" w:lineRule="auto"/>
        <w:ind w:firstLine="600"/>
        <w:rPr>
          <w:rFonts w:ascii="宋体" w:eastAsia="宋体" w:hAnsi="Calibri" w:cs="宋体"/>
          <w:sz w:val="30"/>
          <w:szCs w:val="30"/>
          <w:lang w:eastAsia="zh-CN"/>
        </w:rPr>
      </w:pPr>
      <w:bookmarkStart w:id="1847" w:name="_Toc129511542"/>
      <w:r>
        <w:rPr>
          <w:rFonts w:ascii="宋体" w:eastAsia="宋体" w:hAnsi="Calibri" w:cs="宋体" w:hint="eastAsia"/>
          <w:sz w:val="30"/>
          <w:szCs w:val="30"/>
          <w:highlight w:val="white"/>
          <w:lang w:eastAsia="zh-CN"/>
        </w:rPr>
        <w:t>第二十</w:t>
      </w:r>
      <w:bookmarkStart w:id="1848" w:name="_Toc332373573"/>
      <w:r>
        <w:rPr>
          <w:rFonts w:ascii="宋体" w:eastAsia="宋体" w:hAnsi="Calibri" w:cs="宋体"/>
          <w:sz w:val="30"/>
          <w:szCs w:val="30"/>
          <w:highlight w:val="white"/>
          <w:lang w:eastAsia="zh-CN"/>
        </w:rPr>
        <w:t>部分 风险揭示</w:t>
      </w:r>
      <w:bookmarkEnd w:id="1847"/>
      <w:bookmarkEnd w:id="1848"/>
    </w:p>
    <w:p w:rsidR="00257FC2">
      <w:pPr>
        <w:spacing w:line="360" w:lineRule="auto"/>
        <w:ind w:firstLine="420"/>
        <w:rPr>
          <w:rFonts w:ascii="宋体" w:hAnsi="Calibri" w:cs="宋体"/>
          <w:szCs w:val="21"/>
          <w:lang w:eastAsia="zh-CN"/>
        </w:rPr>
      </w:pPr>
      <w:bookmarkStart w:id="1849" w:name="_Toc332373574"/>
      <w:r>
        <w:rPr>
          <w:rFonts w:ascii="宋体" w:hAnsi="Calibri" w:cs="宋体" w:hint="eastAsia"/>
          <w:szCs w:val="21"/>
          <w:highlight w:val="white"/>
          <w:lang w:eastAsia="zh-CN"/>
        </w:rPr>
        <w:t>一、本基金的特有风险</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1、指数化投资的风险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本基金投资于目标ETF的资产不低于基金资产净值的90%，目标ETF投资标的指数成份股及备选成份股的资产不低于基金资产净值的90%</w:t>
      </w:r>
      <w:r>
        <w:rPr>
          <w:rFonts w:ascii="宋体" w:hAnsi="Calibri"/>
          <w:spacing w:val="-2"/>
          <w:szCs w:val="21"/>
          <w:highlight w:val="white"/>
          <w:lang w:eastAsia="zh-CN"/>
        </w:rPr>
        <w:t>，业绩表现将会随着标的指数的波动而波动；同时本基金在多数情况下将维持较高的股票仓位，在股票市场下跌的过程中，可能面临基金净值与标的指数同步下跌的风险。</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（1）标的指数回报与股票市场平均回报偏离的风险</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标的指数并不能代表整个股票市场。标的指数成份股的平均回报率与整个股票市场的平均回报率可能存在偏离。</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（2）标的指数波动的风险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目标ETF标的指数成份股及备选成份股的价格可能受到政治因素、经济因素、上市公司经营状况、投资者心理和交易制度等各种因素的影响而波动，导致指数波动。由于本基金主要投资于目标ETF，基金收益水平会因为目标ETF标的指数的波动发生变化，从而产生风险。</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（3）</w:t>
      </w:r>
      <w:r>
        <w:rPr>
          <w:rFonts w:ascii="宋体" w:hAnsi="Calibri" w:hint="eastAsia"/>
          <w:spacing w:val="-2"/>
          <w:szCs w:val="21"/>
          <w:highlight w:val="white"/>
          <w:lang w:eastAsia="zh-CN"/>
        </w:rPr>
        <w:t>指数成份股主要集中于金融科技主题公司</w:t>
      </w:r>
      <w:r>
        <w:rPr>
          <w:rFonts w:ascii="宋体" w:hAnsi="Calibri" w:hint="eastAsia"/>
          <w:bCs/>
          <w:szCs w:val="21"/>
          <w:highlight w:val="white"/>
          <w:lang w:eastAsia="zh-CN"/>
        </w:rPr>
        <w:t>的</w:t>
      </w:r>
      <w:r>
        <w:rPr>
          <w:rFonts w:ascii="宋体" w:hAnsi="Calibri" w:hint="eastAsia"/>
          <w:spacing w:val="-2"/>
          <w:szCs w:val="21"/>
          <w:highlight w:val="white"/>
          <w:lang w:eastAsia="zh-CN"/>
        </w:rPr>
        <w:t>集中度风险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目标ETF标的指数成份股主要集中于金融科技主题公司，须承受因政府政策变化、行业景气度变化等影响金融科技主题公司的因素所带来的</w:t>
      </w:r>
      <w:r>
        <w:rPr>
          <w:rFonts w:ascii="宋体" w:hAnsi="Calibri" w:hint="eastAsia"/>
          <w:bCs/>
          <w:szCs w:val="21"/>
          <w:highlight w:val="white"/>
          <w:lang w:eastAsia="zh-CN"/>
        </w:rPr>
        <w:t>相关</w:t>
      </w:r>
      <w:r>
        <w:rPr>
          <w:rFonts w:ascii="宋体" w:hAnsi="Calibri" w:hint="eastAsia"/>
          <w:spacing w:val="-2"/>
          <w:szCs w:val="21"/>
          <w:highlight w:val="white"/>
          <w:lang w:eastAsia="zh-CN"/>
        </w:rPr>
        <w:t>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4</w:t>
      </w:r>
      <w:r>
        <w:rPr>
          <w:rFonts w:ascii="宋体" w:hAnsi="Calibri" w:hint="eastAsia"/>
          <w:spacing w:val="-2"/>
          <w:szCs w:val="21"/>
          <w:highlight w:val="white"/>
          <w:lang w:eastAsia="zh-CN"/>
        </w:rPr>
        <w:t>）部分成份股权重较大的风险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根据本基金标的指数编制方案，存在个别成份股权重较大、集中度较高的情况，可能使基金面临较大波动风险或流动性风险。</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（5）标的指数发布时间较短的风险</w:t>
      </w:r>
    </w:p>
    <w:p w:rsidR="00257FC2">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本基金标的指数发布时间较短，可回溯历史数据的时间也较短，无法代表过往完整的业绩表现，也不预示其未来走势。</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（6）成份股停牌的风险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标的指数成份股可能因各种原因临时或长期停牌，发生成份股停牌时可能面临如下风险：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1）目标ETF可能因无法及时调整投资组合而导致本基金跟踪偏离度和跟踪误差扩大。</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在极端情况下，标的指数成份股可能大面积停牌，目标ETF可能无法及时卖出成份股以获取足额的符合要求的赎回对价，由此基金管理人可能在申购赎回清单中设置较低的赎回份额上限或者采取暂停赎回的措施，本基金将面临无法赎回全部或部分ETF份额的风险。</w:t>
      </w:r>
    </w:p>
    <w:p w:rsidR="00257FC2">
      <w:pPr>
        <w:spacing w:line="360" w:lineRule="auto"/>
        <w:ind w:firstLine="420"/>
        <w:rPr>
          <w:lang w:eastAsia="zh-CN"/>
        </w:rPr>
      </w:pPr>
      <w:r>
        <w:rPr>
          <w:rFonts w:ascii="宋体" w:hAnsi="Calibri"/>
          <w:spacing w:val="-2"/>
          <w:szCs w:val="21"/>
          <w:highlight w:val="white"/>
          <w:lang w:eastAsia="zh-CN"/>
        </w:rPr>
        <w:t>（7）基金分红特殊安排的风险</w:t>
      </w:r>
    </w:p>
    <w:p w:rsidR="00257FC2">
      <w:pPr>
        <w:spacing w:line="360" w:lineRule="auto"/>
        <w:ind w:firstLine="420"/>
        <w:rPr>
          <w:lang w:eastAsia="zh-CN"/>
        </w:rPr>
      </w:pPr>
      <w:r>
        <w:rPr>
          <w:rFonts w:ascii="宋体" w:hAnsi="Calibri" w:hint="eastAsia"/>
          <w:bCs/>
          <w:szCs w:val="21"/>
          <w:highlight w:val="white"/>
          <w:lang w:eastAsia="zh-CN"/>
        </w:rPr>
        <w:t>本基金设定了不同的基金分红条件：</w:t>
      </w:r>
    </w:p>
    <w:p w:rsidR="00257FC2">
      <w:pPr>
        <w:spacing w:line="360" w:lineRule="auto"/>
        <w:ind w:firstLine="420"/>
        <w:rPr>
          <w:lang w:eastAsia="zh-CN"/>
        </w:rPr>
      </w:pPr>
      <w:r>
        <w:rPr>
          <w:rFonts w:ascii="宋体" w:hAnsi="Calibri"/>
          <w:spacing w:val="-2"/>
          <w:szCs w:val="21"/>
          <w:highlight w:val="white"/>
          <w:lang w:eastAsia="zh-CN"/>
        </w:rPr>
        <w:t>1）当基金相对业绩比较基准的超额收益大于0时，基金管理人可进行收益分配。在此情形下，基于本基金的特点，本基金收益分配无需以弥补亏损为前提，收益分配后可能存在基金份额净值低于面值的风险；</w:t>
      </w:r>
    </w:p>
    <w:p w:rsidR="00257FC2">
      <w:pPr>
        <w:spacing w:line="360" w:lineRule="auto"/>
        <w:ind w:firstLine="420"/>
        <w:rPr>
          <w:lang w:eastAsia="zh-CN"/>
        </w:rPr>
      </w:pPr>
      <w:r>
        <w:rPr>
          <w:rFonts w:ascii="宋体" w:hAnsi="Calibri"/>
          <w:spacing w:val="-2"/>
          <w:szCs w:val="21"/>
          <w:highlight w:val="white"/>
          <w:lang w:eastAsia="zh-CN"/>
        </w:rPr>
        <w:t>2）当基金可供分配利润金额高于0元时，基金管理人可进行收益分配。在此情形下，基金收益分配后基金份额净值不能低于面值，即基金收益分配基准日的基金份额净值减去每单位基金份额收益分配金额后不能低于面值</w:t>
      </w:r>
      <w:r>
        <w:rPr>
          <w:rFonts w:ascii="宋体" w:hAnsi="Calibri" w:hint="eastAsia"/>
          <w:spacing w:val="-2"/>
          <w:szCs w:val="21"/>
          <w:highlight w:val="white"/>
          <w:lang w:eastAsia="zh-CN"/>
        </w:rPr>
        <w:t>；</w:t>
      </w:r>
    </w:p>
    <w:p w:rsidR="00257FC2">
      <w:pPr>
        <w:spacing w:line="360" w:lineRule="auto"/>
        <w:ind w:firstLine="420"/>
        <w:rPr>
          <w:lang w:eastAsia="zh-CN"/>
        </w:rPr>
      </w:pPr>
      <w:r>
        <w:rPr>
          <w:rFonts w:ascii="宋体" w:hAnsi="Calibri"/>
          <w:spacing w:val="-2"/>
          <w:szCs w:val="21"/>
          <w:highlight w:val="white"/>
          <w:lang w:eastAsia="zh-CN"/>
        </w:rPr>
        <w:t>3）在符合有关基金分红条件的情形下，基金管理人可以根据实际情况进行收益分配，具体分配方案以届时的公告为准。</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以上分红安排较为特殊，可能对投资者的投资行为和结果产生一定的影响。此外，在分红过程中可能因证券买卖价格波动、证券交易成本、基金仓位变动等对基金跟踪误差有所影响。请投资者知悉上述事项并做好相应安排。</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（8）基金收益率与业绩比较基准收益率偏离的风险，主要影响因素包括：</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1）目标ETF对指数的跟踪误差：本基金主要通过投资于目标ETF实现对业绩比较基准的紧密跟踪，目标ETF对指数的跟踪误差会影响本基金对业绩比较基准的跟踪误差；</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2）本基金发生申购赎回、管理费和托管费收取等其他导致基金跟踪误差的情形。</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9</w:t>
      </w:r>
      <w:r>
        <w:rPr>
          <w:rFonts w:ascii="宋体" w:hAnsi="Calibri" w:hint="eastAsia"/>
          <w:spacing w:val="-2"/>
          <w:szCs w:val="21"/>
          <w:highlight w:val="white"/>
          <w:lang w:eastAsia="zh-CN"/>
        </w:rPr>
        <w:t>）跟踪误差控制未达约定目标的风险</w:t>
      </w:r>
    </w:p>
    <w:p w:rsidR="00257FC2">
      <w:pPr>
        <w:spacing w:line="360" w:lineRule="auto"/>
        <w:ind w:firstLine="420" w:firstLineChars="200"/>
        <w:rPr>
          <w:rFonts w:ascii="宋体" w:hAnsi="Calibri"/>
          <w:spacing w:val="-2"/>
          <w:szCs w:val="21"/>
          <w:lang w:eastAsia="zh-CN"/>
        </w:rPr>
      </w:pPr>
      <w:r>
        <w:rPr>
          <w:rFonts w:ascii="宋体" w:hAnsi="Calibri" w:hint="eastAsia"/>
          <w:szCs w:val="21"/>
          <w:highlight w:val="white"/>
          <w:lang w:eastAsia="zh-CN"/>
        </w:rPr>
        <w:t>本基金为目标ETF的联接基金，主要通过投资于目标ETF实现对业绩比较基准的紧密跟踪，力争将日均跟踪偏离度的绝对值控制在0.35%以内，年化跟踪误差控制在4%以内</w:t>
      </w:r>
      <w:r>
        <w:rPr>
          <w:rFonts w:ascii="宋体" w:hAnsi="Calibri" w:hint="eastAsia"/>
          <w:spacing w:val="-2"/>
          <w:szCs w:val="21"/>
          <w:highlight w:val="white"/>
          <w:lang w:eastAsia="zh-CN"/>
        </w:rPr>
        <w:t>，但因标的指数编制规则调整或其他因素可能导致跟踪误差超过上述范围，本基金净值表现与指数价格走势可能发生较大偏离</w:t>
      </w:r>
      <w:r>
        <w:rPr>
          <w:rFonts w:ascii="宋体" w:hAnsi="Calibri" w:hint="eastAsia"/>
          <w:szCs w:val="21"/>
          <w:highlight w:val="white"/>
          <w:lang w:eastAsia="zh-CN"/>
        </w:rPr>
        <w:t>。</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（10）标的指数值计算出错的风险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尽管</w:t>
      </w:r>
      <w:r>
        <w:rPr>
          <w:rFonts w:ascii="宋体" w:hAnsi="Calibri"/>
          <w:spacing w:val="-2"/>
          <w:szCs w:val="21"/>
          <w:highlight w:val="white"/>
          <w:lang w:eastAsia="zh-CN"/>
        </w:rPr>
        <w:t>指数公司</w:t>
      </w:r>
      <w:r>
        <w:rPr>
          <w:rFonts w:ascii="宋体" w:hAnsi="Calibri" w:hint="eastAsia"/>
          <w:spacing w:val="-2"/>
          <w:szCs w:val="21"/>
          <w:highlight w:val="white"/>
          <w:lang w:eastAsia="zh-CN"/>
        </w:rPr>
        <w:t>将采取一切必要措施以确保指数的准确性，但不对此作任何保证，亦不因指数的任何错误对任何人负责。因此，如果标的指数值出现错误，投资人参考指数值进行投资决策，则可能导致损失。</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11</w:t>
      </w:r>
      <w:r>
        <w:rPr>
          <w:rFonts w:ascii="宋体" w:hAnsi="Calibri" w:hint="eastAsia"/>
          <w:spacing w:val="-2"/>
          <w:szCs w:val="21"/>
          <w:highlight w:val="white"/>
          <w:lang w:eastAsia="zh-CN"/>
        </w:rPr>
        <w:t>）标的指数编制方案带来的风险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标的指数由指数编制机构发布并管理和维护，指数编制机构有权停止编制标的指数、变更标的指数编制方案。而指数编制方案基于其样本空间仅能选取部分证券予以构建，其表征性与可投资性可能存在不成熟或不完备之处。</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当指数编制机构变更标的指数编制方案，导致指数成份股样本与权重发生调整，基金管理人需调整目标ETF和本基金投资组合，从而可能增加基金运作难度、跟踪误差和组合调整的风险与成本，并可能导致基金风险收益特征发生较大变化。此外，当市场环境发生变化，但指数编制机构未能及时对指数编制方案进行调整时，可能导致标的指数的表现与总体市场表现存在差异，从而影响投资收益。投资人需关注并承担上述风险，谨慎作出投资决策。</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12</w:t>
      </w:r>
      <w:r>
        <w:rPr>
          <w:rFonts w:ascii="宋体" w:hAnsi="Calibri" w:hint="eastAsia"/>
          <w:spacing w:val="-2"/>
          <w:szCs w:val="21"/>
          <w:highlight w:val="white"/>
          <w:lang w:eastAsia="zh-CN"/>
        </w:rPr>
        <w:t>）指数编制机构停止服务的风险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投资人将面临转换运作方式、与其他基金合并、或者终止基金合同等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2、联接基金的特殊风险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（1）可能具有与目标ETF不同的风险收益特征及净值增长率的风险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由于本基金在投资限制、运作机制和投资策略等方面与目标ETF不同，因此本基金可能具有与目标ETF不同的风险收益特征及净值增长率。</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（2）目标ETF面临的风险可能直接或间接成为本基金的风险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本基金属于联接基金，主要投资于目标ETF，因此目标ETF面临的风险可能直接或间接成为本基金的风险，投资者应知悉并关注目标ETF招募说明书等文件中的风险揭示内容。</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（3）由目标ETF的联接基金变更为直接投资目标ETF标的指数成份股及备选成份股的指数基金的风险。</w:t>
      </w:r>
    </w:p>
    <w:p w:rsidR="00257FC2">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当目标ETF发生基金合同约定的特殊情况时，本基金可能由目标ETF的联接基金变更为直接投资目标ETF标的指数成份股及备选成份股的指数基金，投资者届时须承担变更基金类型所带来的风险。</w:t>
      </w:r>
    </w:p>
    <w:p w:rsidR="00257FC2">
      <w:pPr>
        <w:spacing w:line="360" w:lineRule="auto"/>
        <w:ind w:firstLine="420" w:firstLineChars="200"/>
        <w:rPr>
          <w:rFonts w:ascii="宋体" w:hAnsi="Calibri"/>
          <w:bCs/>
          <w:szCs w:val="21"/>
          <w:lang w:eastAsia="zh-CN"/>
        </w:rPr>
      </w:pPr>
      <w:r>
        <w:rPr>
          <w:rFonts w:ascii="宋体" w:hAnsi="Calibri" w:hint="eastAsia"/>
          <w:bCs/>
          <w:color w:val="000000" w:themeColor="text1"/>
          <w:szCs w:val="21"/>
          <w:highlight w:val="white"/>
          <w:lang w:eastAsia="zh-CN"/>
        </w:rPr>
        <w:t>3、</w:t>
      </w:r>
      <w:r>
        <w:rPr>
          <w:rFonts w:ascii="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w:t>
      </w:r>
    </w:p>
    <w:p w:rsidR="00257FC2">
      <w:pPr>
        <w:spacing w:line="360" w:lineRule="auto"/>
        <w:ind w:firstLine="420" w:firstLineChars="200"/>
        <w:rPr>
          <w:rFonts w:ascii="宋体" w:hAnsi="Calibri"/>
          <w:spacing w:val="-2"/>
          <w:szCs w:val="21"/>
          <w:lang w:eastAsia="zh-CN"/>
        </w:rPr>
      </w:pPr>
      <w:r>
        <w:rPr>
          <w:rFonts w:ascii="宋体" w:hAnsi="Calibri" w:hint="eastAsia"/>
          <w:bCs/>
          <w:color w:val="000000" w:themeColor="text1"/>
          <w:szCs w:val="21"/>
          <w:highlight w:val="white"/>
          <w:lang w:eastAsia="zh-CN"/>
        </w:rPr>
        <w:t>4、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5、本基金投资特定品种的特有风险</w:t>
      </w:r>
    </w:p>
    <w:p w:rsidR="00257FC2">
      <w:pPr>
        <w:spacing w:line="360" w:lineRule="auto"/>
        <w:ind w:firstLine="420" w:firstLineChars="200"/>
        <w:rPr>
          <w:rFonts w:ascii="宋体" w:hAnsi="Calibri"/>
          <w:szCs w:val="21"/>
          <w:lang w:eastAsia="zh-CN"/>
        </w:rPr>
      </w:pPr>
      <w:r>
        <w:rPr>
          <w:rFonts w:ascii="宋体" w:hAnsi="Calibri"/>
          <w:spacing w:val="-2"/>
          <w:szCs w:val="21"/>
          <w:highlight w:val="white"/>
          <w:lang w:eastAsia="zh-CN"/>
        </w:rPr>
        <w:t>（1）本基金投资范围包括股指期货、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股票期权等金融衍生品，股指期货、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股票期权等金融衍生品投资可能给本基金带来额外风险。投资股指期货、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（2）本基金的投资范围包括资产支持证券，资产支持证券存在一定的信用风险、利率风险、流动性风险、提前偿付风险、操作风险和法律风险，由此可能给基金净值带来不利影响或损失。</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3）本基金的投资范围包括存托凭证，除与其他投资于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6、参与转融通证券出借业务的风险</w:t>
      </w:r>
    </w:p>
    <w:p w:rsidR="00257FC2">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本基金可参与转融通证券出借业务，面临的风险包括但不限于：（1）流动性风险，指面临大额赎回时，可能因证券出借原因发生无法及时变现支付赎回款项的风险；（2）信用风险，指证券出借对手方可能无法及时归还证券、无法支付相应权益补偿及借券费用的风险；（3）市场风险，指证券出借后可能面临出借期间无法及时处置证券的市场风险；（4）其他风险，如宏观政策变化、证券市场剧烈波动、个别证券出现重大事件、交易对手方违约、业务规则调整、信息技术不能正常运行等风险。</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二、市场风险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、政策风险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因国家宏观政策（如货币政策、财政政策、产业政策、地区发展政策等）发生变化，导致市场价格波动而产生风险。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、利率风险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基金可投资于股票和债券，其收益水平可能会受到利率变化的影响。</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、购买力风险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如果发生通货膨胀，基金投资于证券所获得的收益可能会被通货膨胀抵消，从而影响基金资产的实际收益率。</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w:t>
      </w:r>
      <w:r>
        <w:rPr>
          <w:rFonts w:ascii="宋体" w:hAnsi="Calibri" w:cs="宋体" w:hint="eastAsia"/>
          <w:szCs w:val="21"/>
          <w:highlight w:val="white"/>
          <w:lang w:eastAsia="zh-CN"/>
        </w:rPr>
        <w:t>、信用风险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信用风险主要指债券、票据发行主体、存款银行信用状况可能恶化而可能产生的到期不能兑付的风险。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w:t>
      </w:r>
      <w:r>
        <w:rPr>
          <w:rFonts w:ascii="宋体" w:hAnsi="Calibri" w:cs="宋体" w:hint="eastAsia"/>
          <w:szCs w:val="21"/>
          <w:highlight w:val="white"/>
          <w:lang w:eastAsia="zh-CN"/>
        </w:rPr>
        <w:t>、公司经营风险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w:t>
      </w:r>
      <w:r>
        <w:rPr>
          <w:rFonts w:ascii="宋体" w:hAnsi="Calibri" w:cs="宋体" w:hint="eastAsia"/>
          <w:szCs w:val="21"/>
          <w:highlight w:val="white"/>
          <w:lang w:eastAsia="zh-CN"/>
        </w:rPr>
        <w:t>、经济周期风险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随着经济运行的周期性变化，证券市场的收益水平也呈周期性变化，基金投资的收益水平也会随之变化，从而产生风险。</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三、流动性风险</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w:t>
      </w:r>
      <w:r>
        <w:rPr>
          <w:rFonts w:ascii="宋体" w:hAnsi="Calibri" w:cs="宋体"/>
          <w:szCs w:val="21"/>
          <w:highlight w:val="white"/>
          <w:lang w:eastAsia="zh-CN"/>
        </w:rPr>
        <w:t>流</w:t>
      </w:r>
      <w:r>
        <w:rPr>
          <w:rFonts w:ascii="宋体" w:hAnsi="Calibri" w:cs="宋体" w:hint="eastAsia"/>
          <w:szCs w:val="21"/>
          <w:highlight w:val="white"/>
          <w:lang w:eastAsia="zh-CN"/>
        </w:rPr>
        <w:t>动</w:t>
      </w:r>
      <w:r>
        <w:rPr>
          <w:rFonts w:ascii="宋体" w:hAnsi="Calibri" w:cs="宋体"/>
          <w:szCs w:val="21"/>
          <w:highlight w:val="white"/>
          <w:lang w:eastAsia="zh-CN"/>
        </w:rPr>
        <w:t>性风险评估</w:t>
      </w:r>
    </w:p>
    <w:p w:rsidR="00257FC2">
      <w:pPr>
        <w:spacing w:line="360" w:lineRule="auto"/>
        <w:ind w:firstLine="420"/>
        <w:rPr>
          <w:rFonts w:ascii="宋体" w:hAnsi="Calibri" w:cs="宋体"/>
          <w:szCs w:val="21"/>
          <w:lang w:eastAsia="zh-CN"/>
        </w:rPr>
      </w:pPr>
      <w:r>
        <w:rPr>
          <w:rFonts w:ascii="宋体" w:hAnsi="Calibri" w:hint="eastAsia"/>
          <w:spacing w:val="-2"/>
          <w:szCs w:val="21"/>
          <w:highlight w:val="white"/>
          <w:lang w:eastAsia="zh-CN"/>
        </w:rPr>
        <w:t>本基金是ETF联接基金，主要投资于具有良好流动性的金融工具，包括目标ETF、标的指数成份股及备选成份股。此外，为更好地实现投资目标，本基金可少量投资于非成份股、债券、货币市场工具、金融衍生品以及法律法规或中国证监会允许基金投资的其他金融工具。一般情况下，上述资产市场流动性较好。但不排除在特定阶段、特定市场环境下特定投资标的出现流动性较差的情况，因此，本基金投资于上述资产时，可能存在以下流动性风险：一是基金管理人建仓或进行组合调整时，可能由于特定投资标的流动性相对不足而无法按预期的价格买卖或申赎目标ETF；二是为应付投资者的赎回，基金被迫以不适当的价格卖出或赎回目标ETF，或卖出股票、债券、其他资产。两者均可能使基金净值受到不利影响。</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w:t>
      </w:r>
      <w:r>
        <w:rPr>
          <w:rFonts w:ascii="宋体" w:hAnsi="Calibri" w:cs="宋体"/>
          <w:szCs w:val="21"/>
          <w:highlight w:val="white"/>
          <w:lang w:eastAsia="zh-CN"/>
        </w:rPr>
        <w:t>巨额赎回情形下</w:t>
      </w:r>
      <w:r>
        <w:rPr>
          <w:rFonts w:ascii="宋体" w:hAnsi="Calibri" w:cs="宋体" w:hint="eastAsia"/>
          <w:szCs w:val="21"/>
          <w:highlight w:val="white"/>
          <w:lang w:eastAsia="zh-CN"/>
        </w:rPr>
        <w:t>的流动性</w:t>
      </w:r>
      <w:r>
        <w:rPr>
          <w:rFonts w:ascii="宋体" w:hAnsi="Calibri" w:cs="宋体"/>
          <w:szCs w:val="21"/>
          <w:highlight w:val="white"/>
          <w:lang w:eastAsia="zh-CN"/>
        </w:rPr>
        <w:t>风险管理措施</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hAnsi="Calibri" w:cs="宋体"/>
          <w:szCs w:val="21"/>
          <w:highlight w:val="white"/>
          <w:lang w:eastAsia="zh-CN"/>
        </w:rPr>
        <w:t>本基金发生巨额赎回且</w:t>
      </w:r>
      <w:r>
        <w:rPr>
          <w:rFonts w:ascii="宋体" w:hAnsi="Calibri" w:cs="宋体" w:hint="eastAsia"/>
          <w:szCs w:val="21"/>
          <w:highlight w:val="white"/>
          <w:lang w:eastAsia="zh-CN"/>
        </w:rPr>
        <w:t>单个基金份额持有人的赎回申请超过上一开放日基金总份额10%的，基金管理人有权对该单个基金份额持有人超出该比例的赎回申请实施延期办理。具体</w:t>
      </w:r>
      <w:r>
        <w:rPr>
          <w:rFonts w:ascii="宋体" w:hAnsi="Calibri" w:cs="宋体"/>
          <w:szCs w:val="21"/>
          <w:highlight w:val="white"/>
          <w:lang w:eastAsia="zh-CN"/>
        </w:rPr>
        <w:t>情形、</w:t>
      </w:r>
      <w:r>
        <w:rPr>
          <w:rFonts w:ascii="宋体" w:hAnsi="Calibri" w:cs="宋体" w:hint="eastAsia"/>
          <w:szCs w:val="21"/>
          <w:highlight w:val="white"/>
          <w:lang w:eastAsia="zh-CN"/>
        </w:rPr>
        <w:t>程序见</w:t>
      </w:r>
      <w:r>
        <w:rPr>
          <w:rFonts w:ascii="宋体" w:hAnsi="Calibri" w:cs="宋体"/>
          <w:szCs w:val="21"/>
          <w:highlight w:val="white"/>
          <w:lang w:eastAsia="zh-CN"/>
        </w:rPr>
        <w:t>招募说明书</w:t>
      </w:r>
      <w:r>
        <w:rPr>
          <w:rFonts w:ascii="宋体" w:hAnsi="Calibri" w:cs="宋体" w:hint="eastAsia"/>
          <w:szCs w:val="21"/>
          <w:highlight w:val="white"/>
          <w:lang w:eastAsia="zh-CN"/>
        </w:rPr>
        <w:t>“基金份额的申购、赎回”之“</w:t>
      </w:r>
      <w:r>
        <w:rPr>
          <w:rFonts w:ascii="宋体" w:hAnsi="Calibri" w:cs="宋体"/>
          <w:szCs w:val="21"/>
          <w:highlight w:val="white"/>
          <w:lang w:eastAsia="zh-CN"/>
        </w:rPr>
        <w:t>巨额赎回的</w:t>
      </w:r>
      <w:r>
        <w:rPr>
          <w:rFonts w:ascii="宋体" w:hAnsi="Calibri" w:cs="宋体"/>
          <w:color w:val="000000"/>
          <w:szCs w:val="21"/>
          <w:highlight w:val="white"/>
          <w:lang w:eastAsia="zh-CN"/>
        </w:rPr>
        <w:t>情形</w:t>
      </w:r>
      <w:r>
        <w:rPr>
          <w:rFonts w:ascii="宋体" w:hAnsi="Calibri" w:cs="宋体"/>
          <w:szCs w:val="21"/>
          <w:highlight w:val="white"/>
          <w:lang w:eastAsia="zh-CN"/>
        </w:rPr>
        <w:t>及处理方式</w:t>
      </w:r>
      <w:r>
        <w:rPr>
          <w:rFonts w:ascii="宋体" w:hAnsi="Calibri" w:cs="宋体" w:hint="eastAsia"/>
          <w:szCs w:val="21"/>
          <w:highlight w:val="white"/>
          <w:lang w:eastAsia="zh-CN"/>
        </w:rPr>
        <w:t>”。</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发生</w:t>
      </w:r>
      <w:r>
        <w:rPr>
          <w:rFonts w:ascii="宋体" w:hAnsi="Calibri" w:cs="宋体"/>
          <w:szCs w:val="21"/>
          <w:highlight w:val="white"/>
          <w:lang w:eastAsia="zh-CN"/>
        </w:rPr>
        <w:t>上述情形时，投资人面临无法</w:t>
      </w:r>
      <w:r>
        <w:rPr>
          <w:rFonts w:ascii="宋体" w:hAnsi="Calibri" w:cs="宋体" w:hint="eastAsia"/>
          <w:szCs w:val="21"/>
          <w:highlight w:val="white"/>
          <w:lang w:eastAsia="zh-CN"/>
        </w:rPr>
        <w:t>全</w:t>
      </w:r>
      <w:r>
        <w:rPr>
          <w:rFonts w:ascii="宋体" w:hAnsi="Calibri" w:cs="宋体"/>
          <w:szCs w:val="21"/>
          <w:highlight w:val="white"/>
          <w:lang w:eastAsia="zh-CN"/>
        </w:rPr>
        <w:t>部赎回或无法及时获得</w:t>
      </w:r>
      <w:r>
        <w:rPr>
          <w:rFonts w:ascii="宋体" w:hAnsi="Calibri" w:cs="宋体" w:hint="eastAsia"/>
          <w:szCs w:val="21"/>
          <w:highlight w:val="white"/>
          <w:lang w:eastAsia="zh-CN"/>
        </w:rPr>
        <w:t>赎</w:t>
      </w:r>
      <w:r>
        <w:rPr>
          <w:rFonts w:ascii="宋体" w:hAnsi="Calibri" w:cs="宋体"/>
          <w:szCs w:val="21"/>
          <w:highlight w:val="white"/>
          <w:lang w:eastAsia="zh-CN"/>
        </w:rPr>
        <w:t>回资金的风险</w:t>
      </w:r>
      <w:r>
        <w:rPr>
          <w:rFonts w:ascii="宋体" w:hAnsi="Calibri" w:cs="宋体" w:hint="eastAsia"/>
          <w:szCs w:val="21"/>
          <w:highlight w:val="white"/>
          <w:lang w:eastAsia="zh-CN"/>
        </w:rPr>
        <w:t>。在</w:t>
      </w:r>
      <w:r>
        <w:rPr>
          <w:rFonts w:ascii="宋体" w:hAnsi="Calibri" w:cs="宋体"/>
          <w:szCs w:val="21"/>
          <w:highlight w:val="white"/>
          <w:lang w:eastAsia="zh-CN"/>
        </w:rPr>
        <w:t>本基金暂停</w:t>
      </w:r>
      <w:r>
        <w:rPr>
          <w:rFonts w:ascii="宋体" w:hAnsi="Calibri" w:cs="宋体" w:hint="eastAsia"/>
          <w:szCs w:val="21"/>
          <w:highlight w:val="white"/>
          <w:lang w:eastAsia="zh-CN"/>
        </w:rPr>
        <w:t>或</w:t>
      </w:r>
      <w:r>
        <w:rPr>
          <w:rFonts w:ascii="宋体" w:hAnsi="Calibri" w:cs="宋体"/>
          <w:szCs w:val="21"/>
          <w:highlight w:val="white"/>
          <w:lang w:eastAsia="zh-CN"/>
        </w:rPr>
        <w:t>延期办理</w:t>
      </w:r>
      <w:r>
        <w:rPr>
          <w:rFonts w:ascii="宋体" w:hAnsi="Calibri" w:cs="宋体" w:hint="eastAsia"/>
          <w:szCs w:val="21"/>
          <w:highlight w:val="white"/>
          <w:lang w:eastAsia="zh-CN"/>
        </w:rPr>
        <w:t>投资者</w:t>
      </w:r>
      <w:r>
        <w:rPr>
          <w:rFonts w:ascii="宋体" w:hAnsi="Calibri" w:cs="宋体"/>
          <w:szCs w:val="21"/>
          <w:highlight w:val="white"/>
          <w:lang w:eastAsia="zh-CN"/>
        </w:rPr>
        <w:t>赎回申请</w:t>
      </w:r>
      <w:r>
        <w:rPr>
          <w:rFonts w:ascii="宋体" w:hAnsi="Calibri" w:cs="宋体" w:hint="eastAsia"/>
          <w:szCs w:val="21"/>
          <w:highlight w:val="white"/>
          <w:lang w:eastAsia="zh-CN"/>
        </w:rPr>
        <w:t>的</w:t>
      </w:r>
      <w:r>
        <w:rPr>
          <w:rFonts w:ascii="宋体" w:hAnsi="Calibri" w:cs="宋体"/>
          <w:szCs w:val="21"/>
          <w:highlight w:val="white"/>
          <w:lang w:eastAsia="zh-CN"/>
        </w:rPr>
        <w:t>情况下，投资者</w:t>
      </w:r>
      <w:r>
        <w:rPr>
          <w:rFonts w:ascii="宋体" w:hAnsi="Calibri" w:cs="宋体" w:hint="eastAsia"/>
          <w:szCs w:val="21"/>
          <w:highlight w:val="white"/>
          <w:lang w:eastAsia="zh-CN"/>
        </w:rPr>
        <w:t>未能</w:t>
      </w:r>
      <w:r>
        <w:rPr>
          <w:rFonts w:ascii="宋体" w:hAnsi="Calibri" w:cs="宋体"/>
          <w:szCs w:val="21"/>
          <w:highlight w:val="white"/>
          <w:lang w:eastAsia="zh-CN"/>
        </w:rPr>
        <w:t>赎回的基金份额还将面临净值波动的风险。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、除巨额</w:t>
      </w:r>
      <w:r>
        <w:rPr>
          <w:rFonts w:ascii="宋体" w:hAnsi="Calibri" w:cs="宋体"/>
          <w:szCs w:val="21"/>
          <w:highlight w:val="white"/>
          <w:lang w:eastAsia="zh-CN"/>
        </w:rPr>
        <w:t>赎回情形外</w:t>
      </w:r>
      <w:r>
        <w:rPr>
          <w:rFonts w:ascii="宋体" w:hAnsi="Calibri" w:cs="宋体" w:hint="eastAsia"/>
          <w:szCs w:val="21"/>
          <w:highlight w:val="white"/>
          <w:lang w:eastAsia="zh-CN"/>
        </w:rPr>
        <w:t>实施</w:t>
      </w:r>
      <w:r>
        <w:rPr>
          <w:rFonts w:ascii="宋体" w:hAnsi="Calibri" w:cs="宋体"/>
          <w:szCs w:val="21"/>
          <w:highlight w:val="white"/>
          <w:lang w:eastAsia="zh-CN"/>
        </w:rPr>
        <w:t>备</w:t>
      </w:r>
      <w:r>
        <w:rPr>
          <w:rFonts w:ascii="宋体" w:hAnsi="Calibri" w:cs="宋体" w:hint="eastAsia"/>
          <w:szCs w:val="21"/>
          <w:highlight w:val="white"/>
          <w:lang w:eastAsia="zh-CN"/>
        </w:rPr>
        <w:t>用</w:t>
      </w:r>
      <w:r>
        <w:rPr>
          <w:rFonts w:ascii="宋体" w:hAnsi="Calibri" w:cs="宋体"/>
          <w:szCs w:val="21"/>
          <w:highlight w:val="white"/>
          <w:lang w:eastAsia="zh-CN"/>
        </w:rPr>
        <w:t>的流动性风险管理工具的情形、程序及对投资者的潜在影响</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除</w:t>
      </w:r>
      <w:r>
        <w:rPr>
          <w:rFonts w:ascii="宋体" w:hAnsi="Calibri" w:cs="宋体"/>
          <w:szCs w:val="21"/>
          <w:highlight w:val="white"/>
          <w:lang w:eastAsia="zh-CN"/>
        </w:rPr>
        <w:t>巨额赎回</w:t>
      </w:r>
      <w:r>
        <w:rPr>
          <w:rFonts w:ascii="宋体" w:hAnsi="Calibri" w:cs="宋体" w:hint="eastAsia"/>
          <w:szCs w:val="21"/>
          <w:highlight w:val="white"/>
          <w:lang w:eastAsia="zh-CN"/>
        </w:rPr>
        <w:t>情形外</w:t>
      </w:r>
      <w:r>
        <w:rPr>
          <w:rFonts w:ascii="宋体" w:hAnsi="Calibri" w:cs="宋体"/>
          <w:szCs w:val="21"/>
          <w:highlight w:val="white"/>
          <w:lang w:eastAsia="zh-CN"/>
        </w:rPr>
        <w:t>，</w:t>
      </w:r>
      <w:r>
        <w:rPr>
          <w:rFonts w:ascii="宋体" w:hAnsi="Calibri" w:cs="宋体" w:hint="eastAsia"/>
          <w:szCs w:val="21"/>
          <w:highlight w:val="white"/>
          <w:lang w:eastAsia="zh-CN"/>
        </w:rPr>
        <w:t>本基金</w:t>
      </w:r>
      <w:r>
        <w:rPr>
          <w:rFonts w:ascii="宋体" w:hAnsi="Calibri" w:cs="宋体"/>
          <w:szCs w:val="21"/>
          <w:highlight w:val="white"/>
          <w:lang w:eastAsia="zh-CN"/>
        </w:rPr>
        <w:t>备用流动性风险管理工具</w:t>
      </w:r>
      <w:r>
        <w:rPr>
          <w:rFonts w:ascii="宋体" w:hAnsi="Calibri" w:cs="宋体" w:hint="eastAsia"/>
          <w:szCs w:val="21"/>
          <w:highlight w:val="white"/>
          <w:lang w:eastAsia="zh-CN"/>
        </w:rPr>
        <w:t>包括但</w:t>
      </w:r>
      <w:r>
        <w:rPr>
          <w:rFonts w:ascii="宋体" w:hAnsi="Calibri" w:cs="宋体"/>
          <w:szCs w:val="21"/>
          <w:highlight w:val="white"/>
          <w:lang w:eastAsia="zh-CN"/>
        </w:rPr>
        <w:t>不限于</w:t>
      </w:r>
      <w:r>
        <w:rPr>
          <w:rFonts w:ascii="宋体" w:hAnsi="Calibri" w:cs="宋体" w:hint="eastAsia"/>
          <w:szCs w:val="21"/>
          <w:highlight w:val="white"/>
          <w:lang w:eastAsia="zh-CN"/>
        </w:rPr>
        <w:t>暂停</w:t>
      </w:r>
      <w:r>
        <w:rPr>
          <w:rFonts w:ascii="宋体" w:hAnsi="Calibri" w:cs="宋体"/>
          <w:szCs w:val="21"/>
          <w:highlight w:val="white"/>
          <w:lang w:eastAsia="zh-CN"/>
        </w:rPr>
        <w:t>接受赎回申请、延缓支付赎回款项、收取短期赎回费、暂停基金估值</w:t>
      </w:r>
      <w:r>
        <w:rPr>
          <w:rFonts w:ascii="宋体" w:hAnsi="Calibri" w:cs="宋体" w:hint="eastAsia"/>
          <w:szCs w:val="21"/>
          <w:highlight w:val="white"/>
          <w:lang w:eastAsia="zh-CN"/>
        </w:rPr>
        <w:t>、</w:t>
      </w:r>
      <w:r>
        <w:rPr>
          <w:rFonts w:ascii="宋体" w:hAnsi="Calibri" w:cs="宋体"/>
          <w:szCs w:val="21"/>
          <w:highlight w:val="white"/>
          <w:lang w:eastAsia="zh-CN"/>
        </w:rPr>
        <w:t>摆动定价</w:t>
      </w:r>
      <w:r>
        <w:rPr>
          <w:rFonts w:ascii="宋体" w:hAnsi="Calibri" w:cs="宋体" w:hint="eastAsia"/>
          <w:szCs w:val="21"/>
          <w:highlight w:val="white"/>
          <w:lang w:eastAsia="zh-CN"/>
        </w:rPr>
        <w:t>、实施侧袋机制以及证</w:t>
      </w:r>
      <w:r>
        <w:rPr>
          <w:rFonts w:ascii="宋体" w:hAnsi="Calibri" w:cs="宋体"/>
          <w:szCs w:val="21"/>
          <w:highlight w:val="white"/>
          <w:lang w:eastAsia="zh-CN"/>
        </w:rPr>
        <w:t>监会认定的其他措施。</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暂停</w:t>
      </w:r>
      <w:r>
        <w:rPr>
          <w:rFonts w:ascii="宋体" w:hAnsi="Calibri" w:cs="宋体"/>
          <w:szCs w:val="21"/>
          <w:highlight w:val="white"/>
          <w:lang w:eastAsia="zh-CN"/>
        </w:rPr>
        <w:t>接受赎回申请、延缓支付赎回款项</w:t>
      </w:r>
      <w:r>
        <w:rPr>
          <w:rFonts w:ascii="宋体" w:hAnsi="Calibri" w:cs="宋体" w:hint="eastAsia"/>
          <w:szCs w:val="21"/>
          <w:highlight w:val="white"/>
          <w:lang w:eastAsia="zh-CN"/>
        </w:rPr>
        <w:t>等</w:t>
      </w:r>
      <w:r>
        <w:rPr>
          <w:rFonts w:ascii="宋体" w:hAnsi="Calibri" w:cs="宋体"/>
          <w:szCs w:val="21"/>
          <w:highlight w:val="white"/>
          <w:lang w:eastAsia="zh-CN"/>
        </w:rPr>
        <w:t>工具的情形、程序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书“基金份额的申购、赎回”</w:t>
      </w:r>
      <w:r>
        <w:rPr>
          <w:rFonts w:ascii="宋体" w:hAnsi="Calibri" w:cs="宋体"/>
          <w:szCs w:val="21"/>
          <w:highlight w:val="white"/>
          <w:lang w:eastAsia="zh-CN"/>
        </w:rPr>
        <w:t>之</w:t>
      </w:r>
      <w:r>
        <w:rPr>
          <w:rFonts w:ascii="宋体" w:hAnsi="Calibri" w:cs="宋体" w:hint="eastAsia"/>
          <w:szCs w:val="21"/>
          <w:highlight w:val="white"/>
          <w:lang w:eastAsia="zh-CN"/>
        </w:rPr>
        <w:t>“</w:t>
      </w:r>
      <w:r>
        <w:rPr>
          <w:rFonts w:ascii="宋体" w:hAnsi="Calibri" w:cs="宋体"/>
          <w:color w:val="000000"/>
          <w:szCs w:val="21"/>
          <w:highlight w:val="white"/>
          <w:lang w:eastAsia="zh-CN"/>
        </w:rPr>
        <w:t>暂停赎回或延缓支付赎回款项的情形</w:t>
      </w:r>
      <w:r>
        <w:rPr>
          <w:rFonts w:ascii="宋体" w:hAnsi="Calibri" w:cs="宋体" w:hint="eastAsia"/>
          <w:szCs w:val="21"/>
          <w:highlight w:val="white"/>
          <w:lang w:eastAsia="zh-CN"/>
        </w:rPr>
        <w:t>”的相关规定。若</w:t>
      </w:r>
      <w:r>
        <w:rPr>
          <w:rFonts w:ascii="宋体" w:hAnsi="Calibri" w:cs="宋体"/>
          <w:szCs w:val="21"/>
          <w:highlight w:val="white"/>
          <w:lang w:eastAsia="zh-CN"/>
        </w:rPr>
        <w:t>本基金暂停赎回申请</w:t>
      </w:r>
      <w:r>
        <w:rPr>
          <w:rFonts w:ascii="宋体" w:hAnsi="Calibri" w:cs="宋体" w:hint="eastAsia"/>
          <w:szCs w:val="21"/>
          <w:highlight w:val="white"/>
          <w:lang w:eastAsia="zh-CN"/>
        </w:rPr>
        <w:t>，</w:t>
      </w:r>
      <w:r>
        <w:rPr>
          <w:rFonts w:ascii="宋体" w:hAnsi="Calibri" w:cs="宋体"/>
          <w:szCs w:val="21"/>
          <w:highlight w:val="white"/>
          <w:lang w:eastAsia="zh-CN"/>
        </w:rPr>
        <w:t>投资</w:t>
      </w:r>
      <w:r>
        <w:rPr>
          <w:rFonts w:ascii="宋体" w:hAnsi="Calibri" w:cs="宋体" w:hint="eastAsia"/>
          <w:szCs w:val="21"/>
          <w:highlight w:val="white"/>
          <w:lang w:eastAsia="zh-CN"/>
        </w:rPr>
        <w:t>者在</w:t>
      </w:r>
      <w:r>
        <w:rPr>
          <w:rFonts w:ascii="宋体" w:hAnsi="Calibri" w:cs="宋体"/>
          <w:szCs w:val="21"/>
          <w:highlight w:val="white"/>
          <w:lang w:eastAsia="zh-CN"/>
        </w:rPr>
        <w:t>暂停赎回期间将</w:t>
      </w:r>
      <w:r>
        <w:rPr>
          <w:rFonts w:ascii="宋体" w:hAnsi="Calibri" w:cs="宋体" w:hint="eastAsia"/>
          <w:szCs w:val="21"/>
          <w:highlight w:val="white"/>
          <w:lang w:eastAsia="zh-CN"/>
        </w:rPr>
        <w:t>无法</w:t>
      </w:r>
      <w:r>
        <w:rPr>
          <w:rFonts w:ascii="宋体" w:hAnsi="Calibri" w:cs="宋体"/>
          <w:szCs w:val="21"/>
          <w:highlight w:val="white"/>
          <w:lang w:eastAsia="zh-CN"/>
        </w:rPr>
        <w:t>赎回</w:t>
      </w:r>
      <w:r>
        <w:rPr>
          <w:rFonts w:ascii="宋体" w:hAnsi="Calibri" w:cs="宋体" w:hint="eastAsia"/>
          <w:szCs w:val="21"/>
          <w:highlight w:val="white"/>
          <w:lang w:eastAsia="zh-CN"/>
        </w:rPr>
        <w:t>其持有</w:t>
      </w:r>
      <w:r>
        <w:rPr>
          <w:rFonts w:ascii="宋体" w:hAnsi="Calibri" w:cs="宋体"/>
          <w:szCs w:val="21"/>
          <w:highlight w:val="white"/>
          <w:lang w:eastAsia="zh-CN"/>
        </w:rPr>
        <w:t>的基金份额。</w:t>
      </w:r>
      <w:r>
        <w:rPr>
          <w:rFonts w:ascii="宋体" w:hAnsi="Calibri" w:cs="宋体" w:hint="eastAsia"/>
          <w:szCs w:val="21"/>
          <w:highlight w:val="white"/>
          <w:lang w:eastAsia="zh-CN"/>
        </w:rPr>
        <w:t>若本</w:t>
      </w:r>
      <w:r>
        <w:rPr>
          <w:rFonts w:ascii="宋体" w:hAnsi="Calibri" w:cs="宋体"/>
          <w:szCs w:val="21"/>
          <w:highlight w:val="white"/>
          <w:lang w:eastAsia="zh-CN"/>
        </w:rPr>
        <w:t>基金延缓</w:t>
      </w:r>
      <w:r>
        <w:rPr>
          <w:rFonts w:ascii="宋体" w:hAnsi="Calibri" w:cs="宋体" w:hint="eastAsia"/>
          <w:szCs w:val="21"/>
          <w:highlight w:val="white"/>
          <w:lang w:eastAsia="zh-CN"/>
        </w:rPr>
        <w:t>支付</w:t>
      </w:r>
      <w:r>
        <w:rPr>
          <w:rFonts w:ascii="宋体" w:hAnsi="Calibri" w:cs="宋体"/>
          <w:szCs w:val="21"/>
          <w:highlight w:val="white"/>
          <w:lang w:eastAsia="zh-CN"/>
        </w:rPr>
        <w:t>赎回</w:t>
      </w:r>
      <w:r>
        <w:rPr>
          <w:rFonts w:ascii="宋体" w:hAnsi="Calibri" w:cs="宋体" w:hint="eastAsia"/>
          <w:szCs w:val="21"/>
          <w:highlight w:val="white"/>
          <w:lang w:eastAsia="zh-CN"/>
        </w:rPr>
        <w:t>款项，赎回</w:t>
      </w:r>
      <w:r>
        <w:rPr>
          <w:rFonts w:ascii="宋体" w:hAnsi="Calibri" w:cs="宋体"/>
          <w:szCs w:val="21"/>
          <w:highlight w:val="white"/>
          <w:lang w:eastAsia="zh-CN"/>
        </w:rPr>
        <w:t>款</w:t>
      </w:r>
      <w:r>
        <w:rPr>
          <w:rFonts w:ascii="宋体" w:hAnsi="Calibri" w:cs="宋体" w:hint="eastAsia"/>
          <w:szCs w:val="21"/>
          <w:highlight w:val="white"/>
          <w:lang w:eastAsia="zh-CN"/>
        </w:rPr>
        <w:t>支付</w:t>
      </w:r>
      <w:r>
        <w:rPr>
          <w:rFonts w:ascii="宋体" w:hAnsi="Calibri" w:cs="宋体"/>
          <w:szCs w:val="21"/>
          <w:highlight w:val="white"/>
          <w:lang w:eastAsia="zh-CN"/>
        </w:rPr>
        <w:t>时间将后延</w:t>
      </w:r>
      <w:r>
        <w:rPr>
          <w:rFonts w:ascii="宋体" w:hAnsi="Calibri" w:cs="宋体" w:hint="eastAsia"/>
          <w:szCs w:val="21"/>
          <w:highlight w:val="white"/>
          <w:lang w:eastAsia="zh-CN"/>
        </w:rPr>
        <w:t>，可能对</w:t>
      </w:r>
      <w:r>
        <w:rPr>
          <w:rFonts w:ascii="宋体" w:hAnsi="Calibri" w:cs="宋体"/>
          <w:szCs w:val="21"/>
          <w:highlight w:val="white"/>
          <w:lang w:eastAsia="zh-CN"/>
        </w:rPr>
        <w:t>投资者的资金安排带来不利影响。</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短期赎回费</w:t>
      </w:r>
      <w:r>
        <w:rPr>
          <w:rFonts w:ascii="宋体" w:hAnsi="Calibri" w:cs="宋体" w:hint="eastAsia"/>
          <w:szCs w:val="21"/>
          <w:highlight w:val="white"/>
          <w:lang w:eastAsia="zh-CN"/>
        </w:rPr>
        <w:t>适用</w:t>
      </w:r>
      <w:r>
        <w:rPr>
          <w:rFonts w:ascii="宋体" w:hAnsi="Calibri" w:cs="宋体"/>
          <w:szCs w:val="21"/>
          <w:highlight w:val="white"/>
          <w:lang w:eastAsia="zh-CN"/>
        </w:rPr>
        <w:t>于</w:t>
      </w:r>
      <w:r>
        <w:rPr>
          <w:rFonts w:ascii="宋体" w:hAnsi="Calibri" w:cs="宋体" w:hint="eastAsia"/>
          <w:szCs w:val="21"/>
          <w:highlight w:val="white"/>
          <w:lang w:eastAsia="zh-CN"/>
        </w:rPr>
        <w:t>持续持有期少于</w:t>
      </w:r>
      <w:r>
        <w:rPr>
          <w:rFonts w:ascii="宋体" w:hAnsi="Calibri" w:cs="宋体"/>
          <w:szCs w:val="21"/>
          <w:highlight w:val="white"/>
          <w:lang w:eastAsia="zh-CN"/>
        </w:rPr>
        <w:t>7</w:t>
      </w:r>
      <w:r>
        <w:rPr>
          <w:rFonts w:ascii="宋体" w:hAnsi="Calibri" w:cs="宋体" w:hint="eastAsia"/>
          <w:szCs w:val="21"/>
          <w:highlight w:val="white"/>
          <w:lang w:eastAsia="zh-CN"/>
        </w:rPr>
        <w:t>日的投资者，</w:t>
      </w:r>
      <w:r>
        <w:rPr>
          <w:rFonts w:ascii="宋体" w:hAnsi="Calibri" w:cs="宋体"/>
          <w:szCs w:val="21"/>
          <w:highlight w:val="white"/>
          <w:lang w:eastAsia="zh-CN"/>
        </w:rPr>
        <w:t>费率为1.5%</w:t>
      </w:r>
      <w:r>
        <w:rPr>
          <w:rFonts w:ascii="宋体" w:hAnsi="Calibri" w:cs="宋体" w:hint="eastAsia"/>
          <w:szCs w:val="21"/>
          <w:highlight w:val="white"/>
          <w:lang w:eastAsia="zh-CN"/>
        </w:rPr>
        <w:t>。</w:t>
      </w:r>
      <w:r>
        <w:rPr>
          <w:rFonts w:ascii="宋体" w:hAnsi="Calibri" w:cs="宋体"/>
          <w:szCs w:val="21"/>
          <w:highlight w:val="white"/>
          <w:lang w:eastAsia="zh-CN"/>
        </w:rPr>
        <w:t>短期赎回费</w:t>
      </w:r>
      <w:r>
        <w:rPr>
          <w:rFonts w:ascii="宋体" w:hAnsi="Calibri" w:cs="宋体" w:hint="eastAsia"/>
          <w:szCs w:val="21"/>
          <w:highlight w:val="white"/>
          <w:lang w:eastAsia="zh-CN"/>
        </w:rPr>
        <w:t>由赎回基金份额的基金份额持有人承担，在基金份额持有人赎回基金份额时收取。短期</w:t>
      </w:r>
      <w:r>
        <w:rPr>
          <w:rFonts w:ascii="宋体" w:hAnsi="Calibri" w:cs="宋体"/>
          <w:szCs w:val="21"/>
          <w:highlight w:val="white"/>
          <w:lang w:eastAsia="zh-CN"/>
        </w:rPr>
        <w:t>赎回费的</w:t>
      </w:r>
      <w:r>
        <w:rPr>
          <w:rFonts w:ascii="宋体" w:hAnsi="Calibri" w:cs="宋体" w:hint="eastAsia"/>
          <w:szCs w:val="21"/>
          <w:highlight w:val="white"/>
          <w:lang w:eastAsia="zh-CN"/>
        </w:rPr>
        <w:t>收取</w:t>
      </w:r>
      <w:r>
        <w:rPr>
          <w:rFonts w:ascii="宋体" w:hAnsi="Calibri" w:cs="宋体"/>
          <w:szCs w:val="21"/>
          <w:highlight w:val="white"/>
          <w:lang w:eastAsia="zh-CN"/>
        </w:rPr>
        <w:t>将</w:t>
      </w:r>
      <w:r>
        <w:rPr>
          <w:rFonts w:ascii="宋体" w:hAnsi="Calibri" w:cs="宋体" w:hint="eastAsia"/>
          <w:szCs w:val="21"/>
          <w:highlight w:val="white"/>
          <w:lang w:eastAsia="zh-CN"/>
        </w:rPr>
        <w:t>使得</w:t>
      </w:r>
      <w:r>
        <w:rPr>
          <w:rFonts w:ascii="宋体" w:hAnsi="Calibri" w:cs="宋体"/>
          <w:szCs w:val="21"/>
          <w:highlight w:val="white"/>
          <w:lang w:eastAsia="zh-CN"/>
        </w:rPr>
        <w:t>投资者</w:t>
      </w:r>
      <w:r>
        <w:rPr>
          <w:rFonts w:ascii="宋体" w:hAnsi="Calibri" w:cs="宋体" w:hint="eastAsia"/>
          <w:szCs w:val="21"/>
          <w:highlight w:val="white"/>
          <w:lang w:eastAsia="zh-CN"/>
        </w:rPr>
        <w:t>在持续</w:t>
      </w:r>
      <w:r>
        <w:rPr>
          <w:rFonts w:ascii="宋体" w:hAnsi="Calibri" w:cs="宋体"/>
          <w:szCs w:val="21"/>
          <w:highlight w:val="white"/>
          <w:lang w:eastAsia="zh-CN"/>
        </w:rPr>
        <w:t>持有期限少于7日时</w:t>
      </w:r>
      <w:r>
        <w:rPr>
          <w:rFonts w:ascii="宋体" w:hAnsi="Calibri" w:cs="宋体" w:hint="eastAsia"/>
          <w:szCs w:val="21"/>
          <w:highlight w:val="white"/>
          <w:lang w:eastAsia="zh-CN"/>
        </w:rPr>
        <w:t>会</w:t>
      </w:r>
      <w:r>
        <w:rPr>
          <w:rFonts w:ascii="宋体" w:hAnsi="Calibri" w:cs="宋体"/>
          <w:szCs w:val="21"/>
          <w:highlight w:val="white"/>
          <w:lang w:eastAsia="zh-CN"/>
        </w:rPr>
        <w:t>承担较高的赎回费</w:t>
      </w:r>
      <w:r>
        <w:rPr>
          <w:rFonts w:ascii="宋体" w:hAnsi="Calibri" w:cs="宋体" w:hint="eastAsia"/>
          <w:szCs w:val="21"/>
          <w:highlight w:val="white"/>
          <w:lang w:eastAsia="zh-CN"/>
        </w:rPr>
        <w:t>。</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暂停基金</w:t>
      </w:r>
      <w:r>
        <w:rPr>
          <w:rFonts w:ascii="宋体" w:hAnsi="Calibri" w:cs="宋体"/>
          <w:szCs w:val="21"/>
          <w:highlight w:val="white"/>
          <w:lang w:eastAsia="zh-CN"/>
        </w:rPr>
        <w:t>估值</w:t>
      </w:r>
      <w:r>
        <w:rPr>
          <w:rFonts w:ascii="宋体" w:hAnsi="Calibri" w:cs="宋体" w:hint="eastAsia"/>
          <w:szCs w:val="21"/>
          <w:highlight w:val="white"/>
          <w:lang w:eastAsia="zh-CN"/>
        </w:rPr>
        <w:t>的</w:t>
      </w:r>
      <w:r>
        <w:rPr>
          <w:rFonts w:ascii="宋体" w:hAnsi="Calibri" w:cs="宋体"/>
          <w:szCs w:val="21"/>
          <w:highlight w:val="white"/>
          <w:lang w:eastAsia="zh-CN"/>
        </w:rPr>
        <w:t>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书“基金资产的估值”</w:t>
      </w:r>
      <w:r>
        <w:rPr>
          <w:rFonts w:ascii="宋体" w:hAnsi="Calibri" w:cs="宋体"/>
          <w:szCs w:val="21"/>
          <w:highlight w:val="white"/>
          <w:lang w:eastAsia="zh-CN"/>
        </w:rPr>
        <w:t>之</w:t>
      </w:r>
      <w:r>
        <w:rPr>
          <w:rFonts w:ascii="宋体" w:hAnsi="Calibri" w:cs="宋体" w:hint="eastAsia"/>
          <w:szCs w:val="21"/>
          <w:highlight w:val="white"/>
          <w:lang w:eastAsia="zh-CN"/>
        </w:rPr>
        <w:t>“暂停估值的情形”的相关规定。若</w:t>
      </w:r>
      <w:r>
        <w:rPr>
          <w:rFonts w:ascii="宋体" w:hAnsi="Calibri" w:cs="宋体"/>
          <w:szCs w:val="21"/>
          <w:highlight w:val="white"/>
          <w:lang w:eastAsia="zh-CN"/>
        </w:rPr>
        <w:t>本基金暂停基金估值，</w:t>
      </w:r>
      <w:r>
        <w:rPr>
          <w:rFonts w:ascii="宋体" w:hAnsi="Calibri" w:cs="宋体" w:hint="eastAsia"/>
          <w:szCs w:val="21"/>
          <w:highlight w:val="white"/>
          <w:lang w:eastAsia="zh-CN"/>
        </w:rPr>
        <w:t>一方面</w:t>
      </w:r>
      <w:r>
        <w:rPr>
          <w:rFonts w:ascii="宋体" w:hAnsi="Calibri" w:cs="宋体"/>
          <w:szCs w:val="21"/>
          <w:highlight w:val="white"/>
          <w:lang w:eastAsia="zh-CN"/>
        </w:rPr>
        <w:t>投资者将无法知晓本基金的基金份额净值，</w:t>
      </w:r>
      <w:r>
        <w:rPr>
          <w:rFonts w:ascii="宋体" w:hAnsi="Calibri" w:cs="宋体" w:hint="eastAsia"/>
          <w:szCs w:val="21"/>
          <w:highlight w:val="white"/>
          <w:lang w:eastAsia="zh-CN"/>
        </w:rPr>
        <w:t>另一方面基金</w:t>
      </w:r>
      <w:r>
        <w:rPr>
          <w:rFonts w:ascii="宋体" w:hAnsi="Calibri" w:cs="宋体"/>
          <w:szCs w:val="21"/>
          <w:highlight w:val="white"/>
          <w:lang w:eastAsia="zh-CN"/>
        </w:rPr>
        <w:t>将</w:t>
      </w:r>
      <w:r>
        <w:rPr>
          <w:rFonts w:ascii="宋体" w:hAnsi="Calibri" w:cs="宋体" w:hint="eastAsia"/>
          <w:szCs w:val="21"/>
          <w:highlight w:val="white"/>
          <w:lang w:eastAsia="zh-CN"/>
        </w:rPr>
        <w:t>延缓支付赎回款项或暂停接受基金申购赎回申请</w:t>
      </w:r>
      <w:r>
        <w:rPr>
          <w:rFonts w:ascii="宋体" w:hAnsi="Calibri" w:cs="宋体"/>
          <w:szCs w:val="21"/>
          <w:highlight w:val="white"/>
          <w:lang w:eastAsia="zh-CN"/>
        </w:rPr>
        <w:t>，</w:t>
      </w:r>
      <w:r>
        <w:rPr>
          <w:rFonts w:ascii="宋体" w:hAnsi="Calibri" w:cs="宋体" w:hint="eastAsia"/>
          <w:szCs w:val="21"/>
          <w:highlight w:val="white"/>
          <w:lang w:eastAsia="zh-CN"/>
        </w:rPr>
        <w:t>延缓支付赎回款项</w:t>
      </w:r>
      <w:r>
        <w:rPr>
          <w:rFonts w:ascii="宋体" w:hAnsi="Calibri" w:cs="宋体"/>
          <w:szCs w:val="21"/>
          <w:highlight w:val="white"/>
          <w:lang w:eastAsia="zh-CN"/>
        </w:rPr>
        <w:t>可能影响投资</w:t>
      </w:r>
      <w:r>
        <w:rPr>
          <w:rFonts w:ascii="宋体" w:hAnsi="Calibri" w:cs="宋体" w:hint="eastAsia"/>
          <w:szCs w:val="21"/>
          <w:highlight w:val="white"/>
          <w:lang w:eastAsia="zh-CN"/>
        </w:rPr>
        <w:t>者</w:t>
      </w:r>
      <w:r>
        <w:rPr>
          <w:rFonts w:ascii="宋体" w:hAnsi="Calibri" w:cs="宋体"/>
          <w:szCs w:val="21"/>
          <w:highlight w:val="white"/>
          <w:lang w:eastAsia="zh-CN"/>
        </w:rPr>
        <w:t>的资金安排</w:t>
      </w:r>
      <w:r>
        <w:rPr>
          <w:rFonts w:ascii="宋体" w:hAnsi="Calibri" w:cs="宋体" w:hint="eastAsia"/>
          <w:szCs w:val="21"/>
          <w:highlight w:val="white"/>
          <w:lang w:eastAsia="zh-CN"/>
        </w:rPr>
        <w:t>，暂停接受基金申购赎回申请将</w:t>
      </w:r>
      <w:r>
        <w:rPr>
          <w:rFonts w:ascii="宋体" w:hAnsi="Calibri" w:cs="宋体"/>
          <w:szCs w:val="21"/>
          <w:highlight w:val="white"/>
          <w:lang w:eastAsia="zh-CN"/>
        </w:rPr>
        <w:t>导致投资者无法申购或赎回本基金。</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采用</w:t>
      </w:r>
      <w:r>
        <w:rPr>
          <w:rFonts w:ascii="宋体" w:hAnsi="Calibri" w:cs="宋体"/>
          <w:szCs w:val="21"/>
          <w:highlight w:val="white"/>
          <w:lang w:eastAsia="zh-CN"/>
        </w:rPr>
        <w:t>摆动定价</w:t>
      </w:r>
      <w:r>
        <w:rPr>
          <w:rFonts w:ascii="宋体" w:hAnsi="Calibri" w:cs="宋体" w:hint="eastAsia"/>
          <w:szCs w:val="21"/>
          <w:highlight w:val="white"/>
          <w:lang w:eastAsia="zh-CN"/>
        </w:rPr>
        <w:t>机制的</w:t>
      </w:r>
      <w:r>
        <w:rPr>
          <w:rFonts w:ascii="宋体" w:hAnsi="Calibri" w:cs="宋体"/>
          <w:szCs w:val="21"/>
          <w:highlight w:val="white"/>
          <w:lang w:eastAsia="zh-CN"/>
        </w:rPr>
        <w:t>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书“基金资产的估值”</w:t>
      </w:r>
      <w:r>
        <w:rPr>
          <w:rFonts w:ascii="宋体" w:hAnsi="Calibri" w:cs="宋体"/>
          <w:szCs w:val="21"/>
          <w:highlight w:val="white"/>
          <w:lang w:eastAsia="zh-CN"/>
        </w:rPr>
        <w:t>之</w:t>
      </w:r>
      <w:r>
        <w:rPr>
          <w:rFonts w:ascii="宋体" w:hAnsi="Calibri" w:cs="宋体" w:hint="eastAsia"/>
          <w:szCs w:val="21"/>
          <w:highlight w:val="white"/>
          <w:lang w:eastAsia="zh-CN"/>
        </w:rPr>
        <w:t>“</w:t>
      </w:r>
      <w:r>
        <w:rPr>
          <w:rStyle w:val="da"/>
          <w:rFonts w:ascii="宋体" w:hAnsi="Calibri" w:cs="宋体"/>
          <w:szCs w:val="21"/>
          <w:highlight w:val="white"/>
          <w:lang w:eastAsia="zh-CN"/>
        </w:rPr>
        <w:t>估值方法</w:t>
      </w:r>
      <w:r>
        <w:rPr>
          <w:rFonts w:ascii="宋体" w:hAnsi="Calibri" w:cs="宋体" w:hint="eastAsia"/>
          <w:szCs w:val="21"/>
          <w:highlight w:val="white"/>
          <w:lang w:eastAsia="zh-CN"/>
        </w:rPr>
        <w:t>”的相关规定。</w:t>
      </w:r>
      <w:r>
        <w:rPr>
          <w:rFonts w:ascii="宋体" w:hAnsi="Calibri" w:cs="宋体"/>
          <w:szCs w:val="21"/>
          <w:highlight w:val="white"/>
          <w:lang w:eastAsia="zh-CN"/>
        </w:rPr>
        <w:t>若</w:t>
      </w:r>
      <w:r>
        <w:rPr>
          <w:rFonts w:ascii="宋体" w:hAnsi="Calibri" w:cs="宋体" w:hint="eastAsia"/>
          <w:szCs w:val="21"/>
          <w:highlight w:val="white"/>
          <w:lang w:eastAsia="zh-CN"/>
        </w:rPr>
        <w:t>本</w:t>
      </w:r>
      <w:r>
        <w:rPr>
          <w:rFonts w:ascii="宋体" w:hAnsi="Calibri" w:cs="宋体"/>
          <w:szCs w:val="21"/>
          <w:highlight w:val="white"/>
          <w:lang w:eastAsia="zh-CN"/>
        </w:rPr>
        <w:t>基金采取摆动定价机制，</w:t>
      </w:r>
      <w:r>
        <w:rPr>
          <w:rFonts w:ascii="宋体" w:hAnsi="Calibri" w:cs="宋体" w:hint="eastAsia"/>
          <w:szCs w:val="21"/>
          <w:highlight w:val="white"/>
          <w:lang w:eastAsia="zh-CN"/>
        </w:rPr>
        <w:t>投资</w:t>
      </w:r>
      <w:r>
        <w:rPr>
          <w:rFonts w:ascii="宋体" w:hAnsi="Calibri" w:cs="宋体"/>
          <w:szCs w:val="21"/>
          <w:highlight w:val="white"/>
          <w:lang w:eastAsia="zh-CN"/>
        </w:rPr>
        <w:t>者申购基金获得的</w:t>
      </w:r>
      <w:r>
        <w:rPr>
          <w:rFonts w:ascii="宋体" w:hAnsi="Calibri" w:cs="宋体" w:hint="eastAsia"/>
          <w:szCs w:val="21"/>
          <w:highlight w:val="white"/>
          <w:lang w:eastAsia="zh-CN"/>
        </w:rPr>
        <w:t>申购</w:t>
      </w:r>
      <w:r>
        <w:rPr>
          <w:rFonts w:ascii="宋体" w:hAnsi="Calibri" w:cs="宋体"/>
          <w:szCs w:val="21"/>
          <w:highlight w:val="white"/>
          <w:lang w:eastAsia="zh-CN"/>
        </w:rPr>
        <w:t>份额</w:t>
      </w:r>
      <w:r>
        <w:rPr>
          <w:rFonts w:ascii="宋体" w:hAnsi="Calibri" w:cs="宋体" w:hint="eastAsia"/>
          <w:szCs w:val="21"/>
          <w:highlight w:val="white"/>
          <w:lang w:eastAsia="zh-CN"/>
        </w:rPr>
        <w:t>及赎回</w:t>
      </w:r>
      <w:r>
        <w:rPr>
          <w:rFonts w:ascii="宋体" w:hAnsi="Calibri" w:cs="宋体"/>
          <w:szCs w:val="21"/>
          <w:highlight w:val="white"/>
          <w:lang w:eastAsia="zh-CN"/>
        </w:rPr>
        <w:t>基金获得的赎回金额均可能受到不利影响。</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基金管理人将根据主袋账户运作情况合理确定申购政策，因此实施侧袋机制后主袋账户份额存在暂停申购的可能。</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四、管理风险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、基金管理人的管理手段和管理技术等因素的变化也会影响基金收益水平。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五、税收风险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六、</w:t>
      </w:r>
      <w:r>
        <w:rPr>
          <w:rFonts w:ascii="宋体" w:hAnsi="Calibri" w:cs="宋体" w:hint="eastAsia"/>
          <w:szCs w:val="21"/>
          <w:highlight w:val="white"/>
          <w:lang w:eastAsia="zh-CN"/>
        </w:rPr>
        <w:t>本基金法律文件中涉及基金风险特征的表述与销售机构对基金的风险评级可能不一致的风险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257FC2">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七、其他风险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、因技术因素而产生的风险，如电脑等技术系统的故障或差错产生的风险。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、因战争、自然灾害等不可抗力导致的基金管理人、基金托管人、基金服务机构等机构无法正常工作，从而影响基金运作的风险。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w:t>
      </w:r>
      <w:r>
        <w:rPr>
          <w:rFonts w:ascii="宋体" w:hAnsi="Calibri"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257FC2">
      <w:pPr>
        <w:spacing w:line="360" w:lineRule="auto"/>
        <w:ind w:firstLine="420"/>
        <w:rPr>
          <w:rFonts w:ascii="宋体" w:hAnsi="Calibri"/>
          <w:lang w:eastAsia="zh-CN"/>
        </w:rPr>
      </w:pPr>
      <w:r>
        <w:rPr>
          <w:rFonts w:ascii="宋体" w:hAnsi="Calibri" w:cs="宋体"/>
          <w:color w:val="000000"/>
          <w:szCs w:val="21"/>
          <w:highlight w:val="white"/>
          <w:lang w:eastAsia="zh-CN"/>
        </w:rPr>
        <w:t>5、</w:t>
      </w:r>
      <w:r>
        <w:rPr>
          <w:rFonts w:ascii="宋体" w:hAnsi="Calibri" w:cs="宋体" w:hint="eastAsia"/>
          <w:szCs w:val="21"/>
          <w:highlight w:val="white"/>
          <w:lang w:eastAsia="zh-CN"/>
        </w:rPr>
        <w:t>其他意外导致的风险。</w:t>
      </w:r>
    </w:p>
    <w:p w:rsidR="00257FC2">
      <w:pPr>
        <w:pStyle w:val="Heading1"/>
        <w:spacing w:before="317" w:after="317" w:line="360" w:lineRule="auto"/>
        <w:ind w:firstLine="600"/>
        <w:rPr>
          <w:rFonts w:ascii="宋体" w:eastAsia="宋体" w:hAnsi="Calibri" w:cs="宋体"/>
          <w:sz w:val="30"/>
          <w:szCs w:val="30"/>
          <w:lang w:eastAsia="zh-CN"/>
        </w:rPr>
      </w:pPr>
      <w:r>
        <w:rPr>
          <w:rFonts w:ascii="宋体" w:eastAsia="宋体" w:hAnsi="Calibri" w:cs="宋体" w:hint="eastAsia"/>
          <w:sz w:val="30"/>
          <w:highlight w:val="white"/>
          <w:lang w:eastAsia="zh-CN"/>
        </w:rPr>
        <w:br w:type="column"/>
      </w:r>
      <w:bookmarkStart w:id="1850" w:name="_Toc129511543"/>
      <w:bookmarkEnd w:id="1849"/>
      <w:r>
        <w:rPr>
          <w:rFonts w:ascii="宋体" w:eastAsia="宋体" w:hAnsi="Calibri" w:cs="宋体" w:hint="eastAsia"/>
          <w:sz w:val="30"/>
          <w:szCs w:val="30"/>
          <w:highlight w:val="white"/>
          <w:lang w:eastAsia="zh-CN"/>
        </w:rPr>
        <w:t>第二十</w:t>
      </w:r>
      <w:bookmarkStart w:id="1851" w:name="_Toc332373579"/>
      <w:r>
        <w:rPr>
          <w:rFonts w:ascii="宋体" w:eastAsia="宋体" w:hAnsi="Calibri" w:cs="宋体" w:hint="eastAsia"/>
          <w:sz w:val="30"/>
          <w:szCs w:val="30"/>
          <w:highlight w:val="white"/>
          <w:lang w:eastAsia="zh-CN"/>
        </w:rPr>
        <w:t>一部分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基金合同的变更、终止与基金财产的清算</w:t>
      </w:r>
      <w:bookmarkEnd w:id="1850"/>
      <w:bookmarkEnd w:id="1851"/>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一、《基金合同》的变更</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2、关于《基金合同》变更的基金份额持有人大会决议自生效后方可执行，自决议生效后两日内在规定媒介公告。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二、《基金合同》的终止事由</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有下列情形之一的，经履行相关程序后，《基金合同》应当终止：</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1、基金份额持有人大会决定终止的；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2、基金管理人、基金托管人职责终止，在6个月内没有新基金管理人、新基金托管人承接的；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4、《基金合同》约定的其他情形；</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5、相关法律法规和中国证监会规定的其他情况。</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三、基金财产的清算</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3、基金财产清算小组职责：基金财产清算小组负责基金财产的保管、清理、估价、变现和分配。基金财产清算小组可以依法进行必要的民事活动。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4、基金财产清算程序：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（1）《基金合同》终止情形出现时，由基金财产清算小组统一接管基金；</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（2）对基金财产和债权债务进行清理和确认；</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（3）对基金财产进行估值和变现；</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（4）制作清算报告；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（5）聘请会计师事务所对清算报告进行外部审计，聘请律师事务所对清算报告出具法律意见书；</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（6）将清算报告报中国证监会备案并公告；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（7）对基金剩余财产进行分配。</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5、基金财产清算的期限为6个月，但因本基金所持证券的流动性受到限制而不能及时变现的，清算期限相应顺延。</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四、清算费用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清算费用是指基金财产清算小组在进行基金清算过程中发生的所有合理费用，清算费用由基金财产清算小组优先从基金财产中支付。</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五、基金财产清算剩余资产的分配</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六、基金财产清算的公告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七、基金财产清算账册及文件的保存</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基金财产清算账册及有关文件由基金托管人保存20年以上。</w:t>
      </w:r>
    </w:p>
    <w:p w:rsidR="00257FC2">
      <w:pPr>
        <w:pStyle w:val="Heading1"/>
        <w:spacing w:before="317" w:after="317" w:line="360" w:lineRule="auto"/>
        <w:ind w:firstLine="600"/>
        <w:rPr>
          <w:rFonts w:ascii="宋体" w:eastAsia="宋体" w:hAnsi="Calibri" w:cs="宋体"/>
          <w:sz w:val="30"/>
          <w:szCs w:val="30"/>
          <w:lang w:eastAsia="zh-CN"/>
        </w:rPr>
      </w:pPr>
      <w:r>
        <w:rPr>
          <w:rFonts w:ascii="宋体" w:eastAsia="宋体" w:hAnsi="Calibri" w:cs="宋体" w:hint="eastAsia"/>
          <w:sz w:val="30"/>
          <w:highlight w:val="white"/>
          <w:lang w:eastAsia="zh-CN"/>
        </w:rPr>
        <w:br w:type="column"/>
      </w:r>
      <w:bookmarkStart w:id="1852" w:name="_Toc129511544"/>
      <w:r>
        <w:rPr>
          <w:rFonts w:ascii="宋体" w:eastAsia="宋体" w:hAnsi="Calibri" w:cs="宋体" w:hint="eastAsia"/>
          <w:sz w:val="30"/>
          <w:szCs w:val="30"/>
          <w:highlight w:val="white"/>
          <w:lang w:eastAsia="zh-CN"/>
        </w:rPr>
        <w:t>第二</w:t>
      </w:r>
      <w:bookmarkStart w:id="1853" w:name="_Toc332373588"/>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二</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基金合同的内容摘要</w:t>
      </w:r>
      <w:bookmarkEnd w:id="1852"/>
      <w:bookmarkEnd w:id="1853"/>
    </w:p>
    <w:p w:rsidR="00257FC2">
      <w:pPr>
        <w:spacing w:line="360" w:lineRule="auto"/>
        <w:ind w:firstLine="420"/>
        <w:rPr>
          <w:rFonts w:ascii="宋体" w:hAnsi="Calibri" w:cs="宋体"/>
          <w:szCs w:val="21"/>
          <w:lang w:eastAsia="zh-CN"/>
        </w:rPr>
      </w:pPr>
      <w:bookmarkStart w:id="1854" w:name="_Toc516750717"/>
      <w:r>
        <w:rPr>
          <w:rFonts w:ascii="宋体" w:hAnsi="Calibri" w:cs="宋体" w:hint="eastAsia"/>
          <w:szCs w:val="21"/>
          <w:highlight w:val="white"/>
          <w:lang w:eastAsia="zh-CN"/>
        </w:rPr>
        <w:t>第一节 基金份额持有人、基金管理人和基金托管人的权利、义务</w:t>
      </w:r>
      <w:bookmarkEnd w:id="1854"/>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一、基金份额持有人的权利、义务</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1、根据《基金法》、《运作办法》及其他有关规定，基金份额持有人的权利包括但不限于：</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（1）分享基金财产收益；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（2）参与分配清算后的剩余基金财产；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（3）依法转让或者申请赎回其持有的基金份额；</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（4）按照规定要求召开基金份额持有人大会或者召集基金份额持有人大会；</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（5）出席或者委派代表出席本基金或目标ETF的基金份额持有人大会，对本基金或目标ETF的基金份额持有人大会审议事项行使表决权；</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（6）查阅或者复制公开披露的基金信息资料；</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（7）监督基金管理人的投资运作；</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（8）对基金管理人、基金托管人、基金服务机构损害其合法权益的行为依法提起诉讼或仲裁；</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（9）法律法规及中国证监会规定的和《基金合同》约定的其他权利。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2、根据《基金法》、《运作办法》及其他有关规定，基金份额持有人的义务包括但不限于：</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（1）认真阅读并遵守《基金合同》、招募说明书等信息披露文件；</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（2）了解所投资基金产品，了解自身风险承受能力，自主判断基金的投资价值，自主做出投资决策，自行承担投资风险；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（3）关注基金信息披露，及时行使权利和履行义务；</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（4）交纳基金认购、申购款项及法律法规和《基金合同》所规定的费用；</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（5）在其持有的基金份额范围内，承担基金亏损或者《基金合同》终止的有限责任；</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（6）不从事任何有损基金及其他《基金合同》当事人合法权益的活动；</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（7）执行生效的基金份额持有人大会的决议；</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（8）返还在基金交易过程中因任何原因获得的不当得利；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（9）法律法规及中国证监会规定的和《基金合同》约定的其他义务。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二、基金管理人的权利与义务</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1、根据《基金法》、《运作办法》及其他有关规定，基金管理人的权利包括但不限于：</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（1）依法募集资金；</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（2）自《基金合同》生效之日起，根据法律法规和《基金合同》独立运用并管理基金财产；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（3）依照《基金合同》收取基金管理费以及法律法规规定或中国证监会批准的其他费用；</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（4）销售基金份额；</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（5）按照规定召集基金份额持有人大会；</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（7）在基金托管人更换时，提名新的基金托管人；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（8）选择、更换基金销售机构，对基金销售机构的相关行为进行监督和处理；</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（9）担任或委托其他符合条件的机构担任基金登记机构办理基金登记业务并获得《基金合同》规定的费用；</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（10）依据《基金合同》及有关法律规定决定基金收益的分配方案；</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（11）在《基金合同》约定的范围内，拒绝或暂停受理申购、赎回及转换申请；</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（12）依照法律法规为基金的利益对被投资公司行使股东权利，为基金的利益行使因基金财产投资于证券所产生的权利；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（13）在法律法规允许的前提下，为基金的利益依法为基金进行融资、融券及转融通证券出借业务；</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（14）以基金管理人的名义，代表基金份额持有人的利益行使诉讼权利或者实施其他法律行为；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（15）选择、更换律师事务所、会计师事务所、证券经纪商或其他为基金提供服务的外部机构；</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（16）在符合有关法律、法规的前提下，制订和调整有关基金认购、申购、赎回、转换、非交易过户、转托管和收益分配等的业务规则；</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（18）委托第三方机构办理本基金的交易、清算、估值、结算等业务；</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（19）法律法规及中国证监会规定的和《基金合同》约定的其他权利。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2、根据《基金法》、《运作办法》及其他有关规定，基金管理人的义务包括但不限于：</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（1）依法募集资金，办理或者委托经中国证监会认定的其他机构办理基金份额的发售、申购、赎回和登记事宜；</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（2）办理基金备案手续；</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（3）自《基金合同》生效之日起，以诚实信用、谨慎勤勉的原则管理和运用基金财产；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（4）配备足够的具有专业资格的人员进行基金投资分析、决策，以专业化的经营方式管理和运作基金财产；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（6）除依据《基金法》、《基金合同》及其他有关规定外，不得利用基金财产为自己及任何第三人谋取利益，不得委托第三人运作基金财产；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（7）依法接受基金托管人的监督；</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（9）进行基金会计核算并编制基金财务会计报告；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（10）编制季度报告、中期报告和年度报告；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（11）严格按照《基金法》、《基金合同》及其他有关规定，履行信息披露及报告义务；</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（13）按《基金合同》的约定确定基金收益分配方案，及时向基金份额持有人分配基金收益；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（14）按规定受理申购与赎回申请，及时、足额支付赎回款项；</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（15）依据《基金法》、《基金合同》及其他有关规定召集基金份额持有人大会或配合基金托管人、基金份额持有人依法召集基金份额持有人大会；</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（16）按规定保存基金财产管理业务活动的会计账册、报表、记录和其他相关资料20年以上；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（18）组织并参加基金财产清算小组，参与基金财产的保管、清理、估价、变现和分配；</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（19）面临解散、依法被撤销或者被依法宣告破产时，及时报告中国证监会并通知基金托管人；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（20）因违反《基金合同》导致基金财产的损失或损害基金份额持有人合法权益时，应当承担赔偿责任，其赔偿责任不因其退任而免除；</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（22）当基金管理人将其义务委托第三方处理时，应当对第三方处理有关基金事务的行为承担责任；</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（23）以基金管理人名义，代表基金份额持有人利益行使诉讼权利或实施其他法律行为；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（25）执行生效的基金份额持有人大会的决议；</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（26）建立并保存基金份额持有人名册；</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（27）法律法规及中国证监会规定的和《基金合同》约定的其他义务。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三、基金托管人的权利与义务</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1、根据《基金法》、《运作办法》及其他有关规定，基金托管人的权利包括但不限于：</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（1）自《基金合同》生效之日起，依法律法规和《基金合同》的规定安全保管基金财产；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（2）依《基金合同》约定获得基金托管费以及法律法规规定或监管部门批准的其他费用；</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（4）根据相关市场规则，为基金开设资金账户、证券账户等投资所需账户、为基金办理证券交易资金清算；</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（5）提议召开或召集基金份额持有人大会；</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（6）在基金管理人更换时，提名新的基金管理人；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（7）法律法规及中国证监会规定的和《基金合同》约定的其他权利。</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2、根据《基金法》、《运作办法》及其他有关规定，基金托管人的义务包括但不限于：</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（1）以诚实信用、勤勉尽责的原则持有并安全保管基金财产；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（2）设立专门的基金托管部门，具有符合要求的营业场所，配备足够的、合格的熟悉基金托管业务的专职人员，负责基金财产托管事宜；</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（4）除依据《基金法》、《基金合同》及其他有关规定外，不得利用基金财产为自己及任何第三人谋取利益，不得委托第三人托管基金财产；</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（5）保管由基金管理人代表基金签订的与基金有关的重大合同及有关凭证；</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（6）按规定开设基金财产的资金账户和证券账户等投资所需账户，按照《基金合同》的约定，根据基金管理人的投资指令，及时办理清算、交割事宜；</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（8）复核、审查基金管理人计算的基金资产净值、基金份额净值、基金份额申购、赎回价格；</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（9）办理与基金托管业务活动有关的信息披露事项；</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（11）保存基金托管业务活动的记录、账册、报表和其他相关资料20年以上；</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（12）建立并保存基金份额持有人名册；</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（13）按规定制作相关账册并与基金管理人核对；</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（14）依据基金管理人的指令或有关规定向基金份额持有人支付基金收益和赎回款项；</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（15）依据《基金法》、《基金合同》及其他有关规定，召集基金份额持有人大会或配合基金管理人、基金份额持有人依法召集基金份额持有人大会；</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（16）按照法律法规和《基金合同》的规定监督基金管理人的投资运作；</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（17）参加基金财产清算小组，参与基金财产的保管、清理、估价、变现和分配；</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（18）面临解散、依法被撤销或者被依法宣告破产时，及时报告中国证监会和银行监管机构，并通知基金管理人；</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（19）因违反《基金合同》导致基金财产损失时，应承担赔偿责任，其赔偿责任不因其退任而免除；</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（21）执行生效的基金份额持有人大会的决议；</w:t>
      </w: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（22）法律法规及中国证监会规定的和《基金合同》约定的其他义务。</w:t>
      </w:r>
    </w:p>
    <w:p w:rsidR="00257FC2">
      <w:pPr>
        <w:spacing w:line="360" w:lineRule="auto"/>
        <w:ind w:firstLine="420"/>
        <w:rPr>
          <w:rFonts w:ascii="宋体" w:hAnsi="Calibri" w:cs="宋体"/>
          <w:szCs w:val="21"/>
          <w:lang w:eastAsia="zh-CN"/>
        </w:rPr>
      </w:pP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5" w:name="_Toc516750718"/>
      <w:r>
        <w:rPr>
          <w:rFonts w:ascii="宋体" w:hAnsi="Calibri" w:cs="宋体" w:hint="eastAsia"/>
          <w:szCs w:val="21"/>
          <w:highlight w:val="white"/>
          <w:lang w:eastAsia="zh-CN"/>
        </w:rPr>
        <w:t>二节 基金份额持有人大会召集、议事及表决的程序和规则</w:t>
      </w:r>
      <w:bookmarkEnd w:id="1855"/>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本基金份额持有人大会不设日常机构。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一、召开事由</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1、除法律法规、中国证监会和基金合同另有规定外，当出现或需要决定下列事由之一的，应当召开基金份额持有人大会：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（1）终止《基金合同》；</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（2）更换基金管理人；</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（3）更换基金托管人；</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（4）转换基金运作方式；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（5）调整基金管理人、基金托管人的报酬标准；</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（6）变更基金类别；</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（7）本基金与其他基金的合并；</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（8）变更基金投资目标、范围或策略；</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（9）基金管理人代表本基金的基金份额持有人提议召开或召集目标ETF基金份额持有人大会；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（10）变更基金份额持有人大会程序；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（11）基金管理人或基金托管人要求召开基金份额持有人大会；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（13）对基金合同当事人权利和义务产生重大影响的其他事项；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（14）法律法规、《基金合同》或中国证监会规定的其他应当召开基金份额持有人大会的事项。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（1）调低销售服务费率；</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（2）法律法规要求增加的基金费用的收取；</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（3）在法律法规和《基金合同》规定的范围内，调整本基金的申购费率、收费方式或基金份额类别设置；</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（4）因相应的法律法规发生变动而应当对《基金合同》进行修改；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（5）对《基金合同》的修改对基金份额持有人利益无实质性不利影响或修改不涉及《基金合同》当事人权利义务关系发生重大变化；</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（7）调整基金收益的分配原则和支付方式；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（8）在法律法规或中国证监会允许的范围内推出新业务或服务；</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（9）由于目标ETF变更交易方式、终止上市、基金合同终止、与其他基金进行合并而变更基金投资目标、范围或策略；</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（10）按照法律法规和《基金合同》规定不需召开基金份额持有人大会的其他情形。</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二、会议召集人及召集方式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1、除法律法规规定或《基金合同》另有约定外，基金份额持有人大会由基金管理人召集。</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2、基金管理人未按规定召集或不能召开时，由基金托管人召集。</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6、基金份额持有人会议的召集人负责选择确定开会时间、地点、方式和权益登记日。</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三、召开基金份额持有人大会的通知时间、通知内容、通知方式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1、召开基金份额持有人大会，召集人应于会议召开前30日，在规定媒介公告。基金份额持有人大会通知应至少载明以下内容：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（1）会议召开的时间、地点和会议形式；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（2）会议拟审议的事项、议事程序和表决方式；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（3）有权出席基金份额持有人大会的基金份额持有人的权益登记日；</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（4）授权委托证明的内容要求（包括但不限于代理人身份，代理权限和代理有效期限等）、送达时间和地点；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（5）会务常设联系人姓名及联系电话；</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（6）出席会议者必须准备的文件和必须履行的手续；</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（7）召集人需要通知的其他事项。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四、基金份额持有人出席会议的方式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基金份额持有人大会可通过现场开会方式、通讯开会方式或法律法规、监管机构允许的其他方式召开，会议的召开方式由会议召集人确定。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在同时符合以下条件时，通讯开会的方式视为有效：</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（1）会议召集人按《基金合同》约定公布会议通知后，在2个工作日内连续公布相关提示性公告；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五、议事内容与程序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1、议事内容及提案权</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基金份额持有人大会的召集人发出召集会议的通知后，对原有提案的修改应当在基金份额持有人大会召开前及时公告。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基金份额持有人大会不得对未事先公告的议事内容进行表决。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2、议事程序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六、表决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基金份额持有人所持每份基金份额有一票表决权。</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基金份额持有人大会决议分为一般决议和特别决议：</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基金份额持有人大会采取记名方式进行投票表决。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基金份额持有人大会的各项提案或同一项提案内并列的各项议题应当分开审议、逐项表决。</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七、计票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（2）监票人应当在基金份额持有人表决后立即进行清点并由大会主持人当场公布计票结果。</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（4）计票过程应由公证机关予以公证，基金管理人或基金托管人拒不出席大会的，不影响计票的效力。</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八、生效与公告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基金份额持有人大会的决议，召集人应当自通过之日起5日内报中国证监会备案。</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基金份额持有人大会的决议自表决通过之日起生效。</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基金份额持有人大会决议自生效之日起2日内在规定媒介上公告。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九、实施侧袋机制期间基金份额持有人大会的特殊约定</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1、基金份额持有人行使提议权、召集权、提名权所需单独或合计代表相关基金份额10%以上（含10%）；</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2、现场开会的到会者在权益登记日代表的基金份额不少于本基金在权益登记日相关基金份额的二分之一（含二分之一）；</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6、一般决议须经参加大会的基金份额持有人或其代理人所持表决权的二分之一以上（含二分之一）通过；</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7、特别决议应当经参加大会的基金份额持有人或其代理人所持表决权的三分之二以上（含三分之二）通过。</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同一主侧袋账户内的每份基金份额具有平等的表决权。</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257FC2">
      <w:pPr>
        <w:spacing w:line="360" w:lineRule="auto"/>
        <w:ind w:firstLine="420"/>
        <w:rPr>
          <w:rFonts w:ascii="宋体" w:hAnsi="Calibri" w:cs="宋体"/>
          <w:szCs w:val="21"/>
          <w:lang w:eastAsia="zh-CN"/>
        </w:rPr>
      </w:pPr>
    </w:p>
    <w:p w:rsidR="00257FC2">
      <w:pPr>
        <w:spacing w:line="360" w:lineRule="auto"/>
        <w:ind w:firstLine="420"/>
        <w:rPr>
          <w:rFonts w:ascii="宋体" w:hAnsi="Calibri" w:cs="宋体"/>
          <w:szCs w:val="21"/>
          <w:lang w:eastAsia="zh-CN"/>
        </w:rPr>
      </w:pPr>
      <w:bookmarkStart w:id="1856" w:name="_Hlt88820702"/>
      <w:bookmarkEnd w:id="1856"/>
      <w:r>
        <w:rPr>
          <w:rFonts w:ascii="宋体" w:hAnsi="Calibri" w:cs="宋体" w:hint="eastAsia"/>
          <w:szCs w:val="21"/>
          <w:highlight w:val="white"/>
          <w:lang w:eastAsia="zh-CN"/>
        </w:rPr>
        <w:t>第三节 基金合同解除和终止的事由、程序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一、《基金合同》的变更</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2、关于《基金合同》变更的基金份额持有人大会决议自生效后方可执行，自决议生效后两日内在规定媒介公告。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二、《基金合同》的终止事由</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有下列情形之一的，经履行相关程序后，《基金合同》应当终止：</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1、基金份额持有人大会决定终止的；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2、基金管理人、基金托管人职责终止，在6个月内没有新基金管理人、新基金托管人承接的；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4、《基金合同》约定的其他情形；</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5、相关法律法规和中国证监会规定的其他情况。</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三、基金财产的清算</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3、基金财产清算小组职责：基金财产清算小组负责基金财产的保管、清理、估价、变现和分配。基金财产清算小组可以依法进行必要的民事活动。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4、基金财产清算程序：</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（1）《基金合同》终止情形出现时，由基金财产清算小组统一接管基金；</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（2）对基金财产和债权债务进行清理和确认；</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（3）对基金财产进行估值和变现；</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（4）制作清算报告；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（5）聘请会计师事务所对清算报告进行外部审计，聘请律师事务所对清算报告出具法律意见书；</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（6）将清算报告报中国证监会备案并公告；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（7）对基金剩余财产进行分配。</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5、基金财产清算的期限为6个月，但因本基金所持证券的流动性受到限制而不能及时变现的，清算期限相应顺延。</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四、清算费用</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清算费用是指基金财产清算小组在进行基金清算过程中发生的所有合理费用，清算费用由基金财产清算小组优先从基金财产中支付。</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五、基金财产清算剩余资产的分配</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六、基金财产清算的公告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七、基金财产清算账册及文件的保存</w:t>
      </w:r>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基金财产清算账册及有关文件由基金托管人保存20年以上。</w:t>
      </w:r>
    </w:p>
    <w:p w:rsidR="00257FC2">
      <w:pPr>
        <w:spacing w:line="360" w:lineRule="auto"/>
        <w:ind w:firstLine="420"/>
        <w:rPr>
          <w:rFonts w:ascii="宋体" w:hAnsi="Calibri" w:cs="宋体"/>
          <w:szCs w:val="21"/>
          <w:lang w:eastAsia="zh-CN"/>
        </w:rPr>
      </w:pP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7" w:name="_Toc516750735"/>
      <w:r>
        <w:rPr>
          <w:rFonts w:ascii="宋体" w:hAnsi="Calibri" w:cs="宋体" w:hint="eastAsia"/>
          <w:szCs w:val="21"/>
          <w:highlight w:val="white"/>
          <w:lang w:eastAsia="zh-CN"/>
        </w:rPr>
        <w:t>四节 争议解决方式</w:t>
      </w:r>
      <w:bookmarkEnd w:id="1857"/>
    </w:p>
    <w:p w:rsidR="00257FC2">
      <w:pPr>
        <w:spacing w:line="360" w:lineRule="auto"/>
        <w:ind w:firstLine="480"/>
        <w:rPr>
          <w:rFonts w:ascii="宋体" w:hAnsi="Calibri"/>
          <w:b/>
          <w:szCs w:val="21"/>
          <w:lang w:eastAsia="zh-CN"/>
        </w:rPr>
      </w:pPr>
      <w:r>
        <w:rPr>
          <w:rFonts w:ascii="宋体" w:hAnsi="Calibri" w:hint="eastAsia"/>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按照上海国际经济贸易仲裁委员会届时有效的仲裁规则进行仲裁。仲裁地点为上海市。仲裁裁决是终局的，对当事人均有约束力，除非仲裁裁决另有决定，仲裁费用由败诉方承担。</w:t>
      </w:r>
    </w:p>
    <w:p w:rsidR="00257FC2" w:rsidRPr="0021232C">
      <w:pPr>
        <w:spacing w:line="360" w:lineRule="auto"/>
        <w:ind w:firstLine="480"/>
        <w:rPr>
          <w:rFonts w:ascii="宋体" w:hAnsi="Calibri"/>
          <w:b w:val="0"/>
          <w:szCs w:val="21"/>
          <w:lang w:eastAsia="zh-CN"/>
        </w:rPr>
      </w:pPr>
      <w:r w:rsidRPr="0021232C">
        <w:rPr>
          <w:rFonts w:ascii="宋体" w:hAnsi="Calibri" w:hint="eastAsia"/>
          <w:b w:val="0"/>
          <w:szCs w:val="21"/>
          <w:highlight w:val="white"/>
          <w:lang w:eastAsia="zh-CN"/>
        </w:rPr>
        <w:t>争议处理期间，基金合同当事人应恪守各自的职责，继续忠实、勤勉、尽责地履行基金合同规定的义务，维护基金份额持有人的合法权益。</w:t>
      </w:r>
    </w:p>
    <w:p w:rsidR="00257FC2" w:rsidRPr="0021232C">
      <w:pPr>
        <w:spacing w:line="360" w:lineRule="auto"/>
        <w:ind w:firstLine="480"/>
        <w:rPr>
          <w:rFonts w:ascii="宋体" w:hAnsi="Calibri"/>
          <w:b w:val="0"/>
          <w:szCs w:val="21"/>
          <w:lang w:eastAsia="zh-CN"/>
        </w:rPr>
      </w:pPr>
      <w:r w:rsidRPr="0021232C">
        <w:rPr>
          <w:rFonts w:ascii="宋体" w:hAnsi="Calibri" w:hint="eastAsia"/>
          <w:b w:val="0"/>
          <w:szCs w:val="21"/>
          <w:highlight w:val="white"/>
          <w:lang w:eastAsia="zh-CN"/>
        </w:rPr>
        <w:t>《基金合同》受中国法律管辖。</w:t>
      </w:r>
    </w:p>
    <w:p w:rsidR="00257FC2">
      <w:pPr>
        <w:spacing w:line="360" w:lineRule="auto"/>
        <w:ind w:firstLine="420"/>
        <w:rPr>
          <w:rFonts w:ascii="宋体" w:hAnsi="Calibri" w:cs="宋体"/>
          <w:szCs w:val="21"/>
          <w:lang w:eastAsia="zh-CN"/>
        </w:rPr>
      </w:pPr>
    </w:p>
    <w:p w:rsidR="00257FC2">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8" w:name="_Toc516750736"/>
      <w:r>
        <w:rPr>
          <w:rFonts w:ascii="宋体" w:hAnsi="Calibri" w:cs="宋体" w:hint="eastAsia"/>
          <w:szCs w:val="21"/>
          <w:highlight w:val="white"/>
          <w:lang w:eastAsia="zh-CN"/>
        </w:rPr>
        <w:t>五节 基金合同存放地和投资者取得基金合同的方式</w:t>
      </w:r>
      <w:bookmarkEnd w:id="1858"/>
    </w:p>
    <w:p w:rsidR="00257FC2">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《基金合同》可印制成册，供投资者在基金管理人、基金托管人、销售机构的办公场所和营业场所查阅。</w:t>
      </w:r>
    </w:p>
    <w:p w:rsidR="00257FC2">
      <w:pPr>
        <w:pStyle w:val="Heading1"/>
        <w:spacing w:before="317" w:after="317" w:line="360" w:lineRule="auto"/>
        <w:ind w:firstLine="420"/>
        <w:rPr>
          <w:rFonts w:ascii="宋体" w:eastAsia="宋体" w:hAnsi="Calibri" w:cs="宋体"/>
          <w:sz w:val="30"/>
          <w:szCs w:val="30"/>
          <w:lang w:eastAsia="zh-CN"/>
        </w:rPr>
      </w:pPr>
      <w:bookmarkStart w:id="1859" w:name="_Toc332373589"/>
      <w:r>
        <w:rPr>
          <w:rFonts w:ascii="宋体" w:eastAsia="宋体" w:hAnsi="Calibri" w:cs="宋体" w:hint="eastAsia"/>
          <w:bCs/>
          <w:sz w:val="21"/>
          <w:szCs w:val="21"/>
          <w:highlight w:val="white"/>
          <w:lang w:eastAsia="zh-CN"/>
        </w:rPr>
        <w:br w:type="page"/>
      </w:r>
      <w:bookmarkStart w:id="1860" w:name="_Toc129511545"/>
      <w:bookmarkEnd w:id="1859"/>
      <w:r>
        <w:rPr>
          <w:rFonts w:ascii="宋体" w:eastAsia="宋体" w:hAnsi="Calibri" w:cs="宋体" w:hint="eastAsia"/>
          <w:sz w:val="30"/>
          <w:szCs w:val="30"/>
          <w:highlight w:val="white"/>
          <w:lang w:eastAsia="zh-CN"/>
        </w:rPr>
        <w:t>第二</w:t>
      </w:r>
      <w:bookmarkStart w:id="1861" w:name="_Toc332374170"/>
      <w:bookmarkStart w:id="1862" w:name="_Toc332373590"/>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三部分 基金托管协议的内容摘要</w:t>
      </w:r>
      <w:bookmarkEnd w:id="1860"/>
      <w:bookmarkEnd w:id="1861"/>
      <w:bookmarkEnd w:id="1862"/>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第一节 </w:t>
      </w:r>
      <w:r>
        <w:rPr>
          <w:rFonts w:ascii="宋体" w:hAnsi="Calibri" w:cs="宋体" w:hint="eastAsia"/>
          <w:bCs/>
          <w:szCs w:val="21"/>
          <w:highlight w:val="white"/>
          <w:lang w:eastAsia="zh-CN"/>
        </w:rPr>
        <w:t>托管协议当事人</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（一）基金管理人</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名称：易方达基金管理有限公司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住所：广东省珠海市横琴新区荣粤道188号6层</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法定代表人：吴欣荣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设立日期：2001年4月17日</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批准设立机关及批准设立文号：中国证券监督管理委员会，证监基金字[2001]4号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组织形式：有限责任公司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注册资本：13,244.2万元人民币</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存续期限：持续经营</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联系电话：4008818088</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（二）基金托管人</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名称：交通银行股份有限公司（简称：交通银行）</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住所：中国（上海）自由贸易试验区银城中路188号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办公地址：上海市长宁区仙霞路18号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法定代表人：任德奇</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成立时间：1987年3月30日</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批准设立机关及批准设立文号：国务院国发(1986)字第81号文和中国人民银行银发［1987］40号文</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基金托管资格批文及文号：中国证监会证监基字［1998］25号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注册资本：</w:t>
      </w:r>
      <w:r w:rsidRPr="0021232C" w:rsidR="0021232C">
        <w:rPr>
          <w:rFonts w:ascii="宋体" w:hAnsi="Calibri" w:cs="宋体"/>
          <w:bCs/>
          <w:szCs w:val="21"/>
          <w:lang w:eastAsia="zh-CN"/>
        </w:rPr>
        <w:t>883.64</w:t>
      </w:r>
      <w:r>
        <w:rPr>
          <w:rFonts w:ascii="宋体" w:hAnsi="Calibri" w:cs="宋体"/>
          <w:bCs/>
          <w:szCs w:val="21"/>
          <w:highlight w:val="white"/>
          <w:lang w:eastAsia="zh-CN"/>
        </w:rPr>
        <w:t>亿元人民币</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组织形式：股份有限公司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存续期间：持续经营</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第二节 基金托管人对基金管理人的业务监督和核查</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（一）基金托管人对基金管理人的投资行为行使监督权</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1.基金托管人根据有关法律法规的规定及《基金合同》和本协议的约定，对基金的投资范围、投资对象进行监督。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如法律法规或监管机构以后允许基金投资其他品种，基金管理人在履行适当程序后，本基金可以将其纳入投资范围。</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本基金将根据法律法规的规定参与转融通证券出借及融资业务。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基金的投资组合比例为：本基金投资于目标ETF的资产不低于基金资产净值的90%，保持不低于基金资产净值5%的现金或者到期日在一年以内的政府债券，其中现金不包括结算备付金、存出保证金、应收申购款等。</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2.基金托管人根据有关法律法规的规定及《基金合同》和本协议的约定，对基金投资、融资比例进行监督。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根据《基金合同》的约定，本基金投资组合比例应符合以下规定：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（1）本基金投资于目标ETF的资产不低于基金资产净值的90%；</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（2）保持不低于基金资产净值5%的现金或者到期日在一年以内的政府债券，其中现金不包括结算备付金、存出保证金和应收申购款等；</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（3）本基金投资于同一原始权益人的各类资产支持证券的比例，不得超过基金资产净值的10%；</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（4）本基金持有的全部资产支持证券，其市值不得超过基金资产净值的20%；</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（5）本基金持有的同一(指同一信用级别)资产支持证券的比例，不得超过该资产支持证券规模的10%；</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（6）本基金管理人管理的全部基金投资于同一原始权益人的各类资产支持证券，不得超过其各类资产支持证券合计规模的10%；</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（8）基金财产参与股票发行申购，本基金所申报的金额不超过本基金的总资产，本基金所申报的股票数量不超过拟发行股票公司本次发行股票的总量；</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（12）基金参与融资业务后，在任何交易日日终，持有的融资买入股票与其他有价证券市值之和，不得超过基金资产净值的95%；</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w:t>
      </w:r>
      <w:r>
        <w:rPr>
          <w:rFonts w:ascii="宋体" w:hAnsi="Calibri" w:cs="宋体"/>
          <w:bCs/>
          <w:szCs w:val="21"/>
          <w:highlight w:val="white"/>
          <w:lang w:eastAsia="zh-CN"/>
        </w:rPr>
        <w:t>亿元；证券出借的平均剩余期限不得超过30天，平均剩余期限按照市值加权平均计算；</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（15）本基金与私募类证券资管产品及中国证监会认定的其他主体为交易对手开展逆回购交易的，可接受质押品的资质要求应当与基金合同约定的投资范围保持一致；</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（16）本基金资产总值不超过基金资产净值的140%；</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（17）本基金投资存托凭证的比例限制依照境内上市交易的股票执行，与境内上市交易的股票合并计算；</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（18）法律法规及中国证监会规定的和《基金合同》约定的其他投资限制。</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因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进行调整；除上述（1）、（2）、（7）、（8）、（13）、（14）、（15）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   3.基金托管人根据有关法律法规的规定及基金合同和本协议的约定，对基金投资禁止行为进行监督。基金财产不得用于下列投资或者活动。</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（1）承销证券；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（2）违反规定向他人贷款或者提供担保；</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（3）从事承担无限责任的投资；</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（4）向其基金管理人、基金托管人出资；</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（5）从事内幕交易、操纵证券交易价格及其他不正当的证券交易活动；</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（6）法律、行政法规和中国证监会规定禁止的其他活动。</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在基金合同生效后，基金管理人和基金托管人应相互提供与本机构有控股关系的股东或者与本机构有其他重大利害关系的公司名单，以上名单发生变化的，应及时予以更新并通知对方。</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4.基金托管人根据有关法律法规的规定及基金合同和本协议的约定，对基金管理人参与银行间债券市场进行监督。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（1）基金托管人依据有关法律法规的规定和《基金合同》的约定对于基金管理人参与银行间市场交易时面临的交易对手资信风险进行监督。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向基金托管人提供符合法律法规及行业标准的银行间市场交易对手的名单。基金托管人在收到名单后1个工作日内电话或回函确认收到该名单。基金管理人应定期和不定期对银行间市场现券及回购交易对手的名单进行更新。基金托管人在收到名单后1个工作日内电话或书面回函确认，新名单自基金托管人确认当日生效。新名单生效前已与本次剔除的交易对手所进行但尚未结算的交易，仍应按照协议进行结算。</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（2）基金管理人参与银行间市场交易时，有责任控制交易对手的资信风险，由于交易对手资信风险引起的损失,基金管理人应当负责向相关责任人追偿。</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5.基金托管人根据有关法律法规的规定及基金合同和本协议的约定，对基金管理人银行存款业务进行监督。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本基金投资银行存款应符合如下规定：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（1）基金管理人、基金托管人应当与存款银行建立对账机制，确保基金银行存款业务账目及核算的真实、准确。</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（2）基金托管人应加强对基金银行存款业务的监督与核查，严格审查、复核相关协议、账户资料、投资指令、存款证实书等有关文件，切实履行托管职责。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（3）基金管理人与基金托管人在开展基金存款业务时，应严格遵守《基金法》、《运作办法》等有关法律法规，以及国家有关账户管理、利率管理、支付结算等的各项规定。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6.基金托管人对基金投资流通受限证券的监督。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（1）基金投资流通受限证券,应遵守《关于基金投资非公开发行股票等流通受限证券有关问题的通知》等有关法律法规规定。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Pr>
          <w:rFonts w:ascii="宋体" w:hAnsi="Calibri" w:cs="宋体"/>
          <w:bCs/>
          <w:szCs w:val="21"/>
          <w:highlight w:val="white"/>
          <w:lang w:eastAsia="zh-CN"/>
        </w:rPr>
        <w:t> </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r>
        <w:rPr>
          <w:rFonts w:ascii="宋体" w:hAnsi="Calibri" w:cs="宋体"/>
          <w:bCs/>
          <w:szCs w:val="21"/>
          <w:highlight w:val="white"/>
          <w:lang w:eastAsia="zh-CN"/>
        </w:rPr>
        <w:t> </w:t>
      </w:r>
      <w:r>
        <w:rPr>
          <w:rFonts w:ascii="宋体" w:hAnsi="Calibri" w:cs="宋体"/>
          <w:bCs/>
          <w:szCs w:val="21"/>
          <w:highlight w:val="white"/>
          <w:lang w:eastAsia="zh-CN"/>
        </w:rPr>
        <w:t xml:space="preserve">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 </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托管人应对基金管理人提供的有关书面信息进行审核，基金托管人认为上述资料可能导致基金投资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r>
        <w:rPr>
          <w:rFonts w:ascii="宋体" w:hAnsi="Calibri" w:cs="宋体"/>
          <w:bCs/>
          <w:szCs w:val="21"/>
          <w:highlight w:val="white"/>
          <w:lang w:eastAsia="zh-CN"/>
        </w:rPr>
        <w:t> </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如基金管理人和基金托管人无法达成一致,应及时上报中国证监会请求解决。如果基金托管人切实履行监督职责,则不承担任何责任。</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7.基金托管人根据法律法规的规定及《基金合同》和本协议的约定，对基金投资其他方面进行监督。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基金托管人发现基金管理人有重大违规行为，应立即报告中国证监会，同时通知基金管理人在限期内纠正。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基金托管人发现基金管理人的指令违反法律、行政法规和其他有关规定，或者违反《基金合同》约定的，应当拒绝执行，立即通知基金管理人，并有权向中国证监会报告。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基金托管人发现基金管理人依据交易程序已经生效的指令违反法律、行政法规和其他有关规定，或者违反《基金合同》约定的，应当立即通知基金管理人，并有权向中国证监会报告。</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第三节 基金管理人对基金托管人的业务核查</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根据《基金法》及其他有关法规、《基金合同》和本协议规定，基金管理人对基金托管人履行托管职责的情况进行核查，核查事项包括但不限于基金托管人是否安全保管基金财产、开立基金财产的资金账户、证券账户及债券托管账户等投资所需账户，是否及时、准确复核基金管理人计算的基金资产净值和基金份额净值，是否根据基金管理人指令办理清算交收，是否按照法规规定和《基金合同》规定进行相关信息披露和监督基金投资运作等行为。</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基金管理人发现基金托管人有重大违规行为，应立即报告中国证监会，同时通知基金托管人在限期内纠正。</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第四节 基金财产的保管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（一）基金财产保管的原则</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1.基金托管人应安全保管基金财产，未经基金管理人的指令，不得自行运用、处分、分配基金的任何资产，非因基金财产本身承担的债务，不得对基金财产强制执行。</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财产应独立于基金管理人、基金托管人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3.基金托管人按照规定开立基金财产的银行存款账户、证券账户和债券托管账户等投资所需账户，基金管理人和基金托管人按照规定开立期货资金账户。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4.基金托管人对所托管的不同基金财产分别设置账户，与基金托管人的其他业务和其他基金的托管业务实行严格的分账管理，独立核算，确保基金财产的完整和独立。</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对于因为基金投资产生的应收资产和基金申购过程中产生的应收资产，如基金托管人无法从公开信息或基金管理人提供的书面资料中获取到账日期信息的，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（二）基金募集资产的验证</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募集期满或基金提前结束募集时，募集的基金份额总额、基金募集金额、基金份额持有人人数符合《基金法》、《运作办法》等有关规定后，由基金管理人在规定时间内聘请符合《证券法》规定的会计师事务所进行验资，出具验资报告，出具的验资报告应由参加验资的2名以上（含2名）中国注册会计师签字有效。募集的属于本基金财产的全部资金应存入基金托管人为基金开立的基金银行存款账户中，基金托管人在收到资金当日出具相关证明文件。</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（三）基金的银行存款账户的开立和管理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1.基金托管人应负责本基金银行存款账户的开立和管理。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以本基金的名义在其营业机构开立基金的银行存款账户，并根据基金管理人合法合规的指令办理资金收付。本基金的银行预留印鉴由基金托管人保管和使用。本基金的一切货币收支活动，包括但不限于投资、支付赎回金额、支付基金收益，均需通过本基金的银行存款账户进行。</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4.基金托管人可以通过申请开通本基金银行账户的企业网上银行业务进行资金支付，并使用交通银行企业网上银行（简称</w:t>
      </w:r>
      <w:r>
        <w:rPr>
          <w:rFonts w:ascii="宋体" w:hAnsi="Calibri" w:cs="宋体"/>
          <w:bCs/>
          <w:szCs w:val="21"/>
          <w:highlight w:val="white"/>
          <w:lang w:eastAsia="zh-CN"/>
        </w:rPr>
        <w:t>“</w:t>
      </w:r>
      <w:r>
        <w:rPr>
          <w:rFonts w:ascii="宋体" w:hAnsi="Calibri" w:cs="宋体"/>
          <w:bCs/>
          <w:szCs w:val="21"/>
          <w:highlight w:val="white"/>
          <w:lang w:eastAsia="zh-CN"/>
        </w:rPr>
        <w:t>交通银行网银</w:t>
      </w:r>
      <w:r>
        <w:rPr>
          <w:rFonts w:ascii="宋体" w:hAnsi="Calibri" w:cs="宋体"/>
          <w:bCs/>
          <w:szCs w:val="21"/>
          <w:highlight w:val="white"/>
          <w:lang w:eastAsia="zh-CN"/>
        </w:rPr>
        <w:t>”</w:t>
      </w:r>
      <w:r>
        <w:rPr>
          <w:rFonts w:ascii="宋体" w:hAnsi="Calibri" w:cs="宋体"/>
          <w:bCs/>
          <w:szCs w:val="21"/>
          <w:highlight w:val="white"/>
          <w:lang w:eastAsia="zh-CN"/>
        </w:rPr>
        <w:t>）办理托管资产的资金结算汇划业务。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5.基金银行存款账户的管理应符合银行业监督管理机构的有关规定。</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（四）基金证券交收账户、资金交收账户的开立和管理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基金托管人以本基金的名义在中国证券登记结算有限责任公司开立证券账户。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基金管理人不得对基金证券交收账户、资金交收账户进行证券的超卖或超买。基金证券账户资产的管理和运用由基金管理人负责。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（五）债券托管账户的开立和管理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2.基金管理人代表基金签订全国银行间债券市场债券回购主协议，协议正本由基金管理人保存。</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（六）期货相关账户的开立和管理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基金管理人、基金托管人应当按照相关规定开立期货资金账户，在中国金融期货交易所获取交易编码。期货资金账户名称及交易编码对应名称应按照有关规定设立。</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基金托管人已取得期货保证金存管银行资格，基金管理人授权基金托管人办理相关银期转账业务。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（七）基金投资银行存款账户的开立和管理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存款账户必须以基金名义开立，账户名称为基金名称，存款账户开户文件上加盖预留印鉴（须包括托管人印章）及基金管理人公章。</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本基金投资银行存款时，基金管理人应当与存款银行签订具体存款协议/存款确认单据，明确存款的类型、期限、利率、金额、账号、对账方式、支取方式、存款到期指定收款账户等细则。</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为防范特殊情况下的流动性风险，存款协议中应当约定提前支取条款。</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（八）其他账户的开立和管理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（九）基金财产投资的有关实物证券、银行存款定期存单等有价凭证的保管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实物证券由基金托管人存放于基金托管人的保管库。实物证券的购买和转让，由基金托管人根据基金管理人的指令办理。基金托管人对由基金托管人以外机构实际有效控制的本基金资产不承担保管责任。</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银行存款定期存单等有价凭证由基金托管人负责保管。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基金托管人只负责对存款证实书进行保管，不负责对存款证实书真伪的辨别，不承担存款证实书对应存款的本金及收益的安全保管责任。</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（十）与基金财产有关的重大合同的保管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对于无法取得二份以上的正本的，基金管理人应向基金托管人提供加盖授权业务章的合同扫描件并邮件发送，未经双方协商或未在合同约定范围内，合同原件不得转移。</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第五节 基金资产净值计算与复核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（一）基金资产净值及基金份额净值的计算与复核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基金资产净值是指基金资产总值减去负债后的价值。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每估值日对基金资产估值，但基金管理人根据法律法规或基金合同的规定暂停估值时除外。估值原则应符合《基金合同》、《中国证监会关于证券投资基金估值业务的指导意见》及其他法律、法规的规定。用于基金信息披露的基金份额净值由基金管理人负责计算，基金托管人复核。基金管理人应于每个估值日交易结束后计算当日的基金份额净值，以约定方式发送给基金托管人。基金托管人对净值计算结果复核后，将复核结果反馈给基金管理人，由基金管理人对基金份额净值予以公布。</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本基金按以下方法估值： </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sidRPr="0021232C" w:rsidR="0021232C">
        <w:rPr>
          <w:rFonts w:ascii="宋体" w:hAnsi="Calibri" w:cs="宋体"/>
          <w:bCs/>
          <w:szCs w:val="21"/>
          <w:lang w:eastAsia="zh-CN"/>
        </w:rPr>
        <w:t>.</w:t>
      </w:r>
      <w:r>
        <w:rPr>
          <w:rFonts w:ascii="宋体" w:hAnsi="Calibri" w:cs="宋体"/>
          <w:bCs/>
          <w:szCs w:val="21"/>
          <w:highlight w:val="white"/>
          <w:lang w:eastAsia="zh-CN"/>
        </w:rPr>
        <w:t>目标ETF基金份额估值方法</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对持有的目标ETF基金份额，按估值日目标ETF基金的份额净值估值。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sidRPr="0021232C" w:rsidR="0021232C">
        <w:rPr>
          <w:rFonts w:ascii="宋体" w:hAnsi="Calibri" w:cs="宋体"/>
          <w:bCs/>
          <w:szCs w:val="21"/>
          <w:lang w:eastAsia="zh-CN"/>
        </w:rPr>
        <w:t>.</w:t>
      </w:r>
      <w:r>
        <w:rPr>
          <w:rFonts w:ascii="宋体" w:hAnsi="Calibri" w:cs="宋体"/>
          <w:bCs/>
          <w:szCs w:val="21"/>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sidRPr="0021232C" w:rsidR="0021232C">
        <w:rPr>
          <w:rFonts w:ascii="宋体" w:hAnsi="Calibri" w:cs="宋体"/>
          <w:bCs/>
          <w:szCs w:val="21"/>
          <w:lang w:eastAsia="zh-CN"/>
        </w:rPr>
        <w:t>.</w:t>
      </w:r>
      <w:r>
        <w:rPr>
          <w:rFonts w:ascii="宋体" w:hAnsi="Calibri" w:cs="宋体"/>
          <w:bCs/>
          <w:szCs w:val="21"/>
          <w:highlight w:val="white"/>
          <w:lang w:eastAsia="zh-CN"/>
        </w:rPr>
        <w:t>处于未上市期间的有价证券应区分如下情况处理：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（1）送股、转增股、配股和公开增发的新股，按估值日在证券交易所挂牌的同一股票的估值方法估值；该日无交易的，以最近一日的市价（收盘价）估值；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（2）首次公开发行未上市的股票，采用估值技术确定公允价值；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w:t>
      </w:r>
      <w:r w:rsidRPr="0021232C" w:rsidR="0021232C">
        <w:rPr>
          <w:rFonts w:ascii="宋体" w:hAnsi="Calibri" w:cs="宋体"/>
          <w:bCs/>
          <w:szCs w:val="21"/>
          <w:lang w:eastAsia="zh-CN"/>
        </w:rPr>
        <w:t>.</w:t>
      </w:r>
      <w:r>
        <w:rPr>
          <w:rFonts w:ascii="宋体" w:hAnsi="Calibri" w:cs="宋体"/>
          <w:bCs/>
          <w:szCs w:val="21"/>
          <w:highlight w:val="white"/>
          <w:lang w:eastAsia="zh-CN"/>
        </w:rPr>
        <w:t>对于已上市或已挂牌转让的不含权固定收益品种，选取估值日第三方估值基准服务机构提供的相应品种当日的估值全价进行估值。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w:t>
      </w:r>
      <w:r w:rsidRPr="0021232C" w:rsidR="0021232C">
        <w:rPr>
          <w:rFonts w:ascii="宋体" w:hAnsi="Calibri" w:cs="宋体"/>
          <w:bCs/>
          <w:szCs w:val="21"/>
          <w:lang w:eastAsia="zh-CN"/>
        </w:rPr>
        <w:t>.</w:t>
      </w:r>
      <w:r>
        <w:rPr>
          <w:rFonts w:ascii="宋体" w:hAnsi="Calibri" w:cs="宋体"/>
          <w:bCs/>
          <w:szCs w:val="21"/>
          <w:highlight w:val="white"/>
          <w:lang w:eastAsia="zh-CN"/>
        </w:rPr>
        <w:t>对于已上市或已挂牌转让的含权固定收益品种，选取估值日第三方估值基准服务机构提供的相应品种当日的唯一估值全价或推荐估值全价进行估值。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6</w:t>
      </w:r>
      <w:r w:rsidRPr="0021232C" w:rsidR="0021232C">
        <w:rPr>
          <w:rFonts w:ascii="宋体" w:hAnsi="Calibri" w:cs="宋体"/>
          <w:bCs/>
          <w:szCs w:val="21"/>
          <w:lang w:eastAsia="zh-CN"/>
        </w:rPr>
        <w:t>.</w:t>
      </w:r>
      <w:r>
        <w:rPr>
          <w:rFonts w:ascii="宋体" w:hAnsi="Calibri" w:cs="宋体"/>
          <w:bCs/>
          <w:szCs w:val="21"/>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7</w:t>
      </w:r>
      <w:r w:rsidRPr="0021232C" w:rsidR="0021232C">
        <w:rPr>
          <w:rFonts w:ascii="宋体" w:hAnsi="Calibri" w:cs="宋体"/>
          <w:bCs/>
          <w:szCs w:val="21"/>
          <w:lang w:eastAsia="zh-CN"/>
        </w:rPr>
        <w:t>.</w:t>
      </w:r>
      <w:r>
        <w:rPr>
          <w:rFonts w:ascii="宋体" w:hAnsi="Calibri" w:cs="宋体"/>
          <w:bCs/>
          <w:szCs w:val="21"/>
          <w:highlight w:val="white"/>
          <w:lang w:eastAsia="zh-CN"/>
        </w:rPr>
        <w:t>对于未上市或未挂牌转让且不存在活跃市场的固定收益品种，采用在当前情况下适用并且有足够可利用数据和其他信息支持的估值技术确定其公允价值。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8</w:t>
      </w:r>
      <w:r w:rsidRPr="0021232C" w:rsidR="0021232C">
        <w:rPr>
          <w:rFonts w:ascii="宋体" w:hAnsi="Calibri" w:cs="宋体"/>
          <w:bCs/>
          <w:szCs w:val="21"/>
          <w:lang w:eastAsia="zh-CN"/>
        </w:rPr>
        <w:t>.</w:t>
      </w:r>
      <w:r>
        <w:rPr>
          <w:rFonts w:ascii="宋体" w:hAnsi="Calibri" w:cs="宋体"/>
          <w:bCs/>
          <w:szCs w:val="21"/>
          <w:highlight w:val="white"/>
          <w:lang w:eastAsia="zh-CN"/>
        </w:rPr>
        <w:t>期货合约以估值当日结算价进行估值，估值当日无结算价的，且最近交易日后经济环境未发生重大变化的，采用最近交易日结算价估值。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9</w:t>
      </w:r>
      <w:r w:rsidRPr="0021232C" w:rsidR="0021232C">
        <w:rPr>
          <w:rFonts w:ascii="宋体" w:hAnsi="Calibri" w:cs="宋体"/>
          <w:bCs/>
          <w:szCs w:val="21"/>
          <w:lang w:eastAsia="zh-CN"/>
        </w:rPr>
        <w:t>.</w:t>
      </w:r>
      <w:r>
        <w:rPr>
          <w:rFonts w:ascii="宋体" w:hAnsi="Calibri" w:cs="宋体"/>
          <w:bCs/>
          <w:szCs w:val="21"/>
          <w:highlight w:val="white"/>
          <w:lang w:eastAsia="zh-CN"/>
        </w:rPr>
        <w:t>本基金投资期权，根据相关法律法规以及监管部门的规定估值。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10</w:t>
      </w:r>
      <w:r w:rsidRPr="0021232C" w:rsidR="0021232C">
        <w:rPr>
          <w:rFonts w:ascii="宋体" w:hAnsi="Calibri" w:cs="宋体"/>
          <w:bCs/>
          <w:szCs w:val="21"/>
          <w:lang w:eastAsia="zh-CN"/>
        </w:rPr>
        <w:t>.</w:t>
      </w:r>
      <w:r>
        <w:rPr>
          <w:rFonts w:ascii="宋体" w:hAnsi="Calibri" w:cs="宋体"/>
          <w:bCs/>
          <w:szCs w:val="21"/>
          <w:highlight w:val="white"/>
          <w:lang w:eastAsia="zh-CN"/>
        </w:rPr>
        <w:t>本基金参与融资业务的，按照相关法律法规、监管部门和行业协会的相关规定进行估值。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11</w:t>
      </w:r>
      <w:r w:rsidRPr="0021232C" w:rsidR="0021232C">
        <w:rPr>
          <w:rFonts w:ascii="宋体" w:hAnsi="Calibri" w:cs="宋体"/>
          <w:bCs/>
          <w:szCs w:val="21"/>
          <w:lang w:eastAsia="zh-CN"/>
        </w:rPr>
        <w:t>.</w:t>
      </w:r>
      <w:r>
        <w:rPr>
          <w:rFonts w:ascii="宋体" w:hAnsi="Calibri" w:cs="宋体"/>
          <w:bCs/>
          <w:szCs w:val="21"/>
          <w:highlight w:val="white"/>
          <w:lang w:eastAsia="zh-CN"/>
        </w:rPr>
        <w:t>本基金参与转融通证券出借业务的，按照相关法律法规和行业协会的相关规定进行估值。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12</w:t>
      </w:r>
      <w:r w:rsidRPr="0021232C" w:rsidR="0021232C">
        <w:rPr>
          <w:rFonts w:ascii="宋体" w:hAnsi="Calibri" w:cs="宋体"/>
          <w:bCs/>
          <w:szCs w:val="21"/>
          <w:lang w:eastAsia="zh-CN"/>
        </w:rPr>
        <w:t>.</w:t>
      </w:r>
      <w:r>
        <w:rPr>
          <w:rFonts w:ascii="宋体" w:hAnsi="Calibri" w:cs="宋体"/>
          <w:bCs/>
          <w:szCs w:val="21"/>
          <w:highlight w:val="white"/>
          <w:lang w:eastAsia="zh-CN"/>
        </w:rPr>
        <w:t>本基金投资存托凭证的估值核算，依照境内上市交易的股票执行。</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13</w:t>
      </w:r>
      <w:r w:rsidRPr="0021232C" w:rsidR="0021232C">
        <w:rPr>
          <w:rFonts w:ascii="宋体" w:hAnsi="Calibri" w:cs="宋体"/>
          <w:bCs/>
          <w:szCs w:val="21"/>
          <w:lang w:eastAsia="zh-CN"/>
        </w:rPr>
        <w:t>.</w:t>
      </w:r>
      <w:r>
        <w:rPr>
          <w:rFonts w:ascii="宋体" w:hAnsi="Calibri" w:cs="宋体"/>
          <w:bCs/>
          <w:szCs w:val="21"/>
          <w:highlight w:val="white"/>
          <w:lang w:eastAsia="zh-CN"/>
        </w:rPr>
        <w:t>如有充分理由表明按上述方法进行估值不能客观反映其公允价值的，基金管理人可根据具体情况与基金托管人商定后，按最能反映公允价值的价格估值。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14</w:t>
      </w:r>
      <w:r w:rsidRPr="0021232C" w:rsidR="0021232C">
        <w:rPr>
          <w:rFonts w:ascii="宋体" w:hAnsi="Calibri" w:cs="宋体"/>
          <w:bCs/>
          <w:szCs w:val="21"/>
          <w:lang w:eastAsia="zh-CN"/>
        </w:rPr>
        <w:t>.</w:t>
      </w:r>
      <w:r>
        <w:rPr>
          <w:rFonts w:ascii="宋体" w:hAnsi="Calibri" w:cs="宋体"/>
          <w:bCs/>
          <w:szCs w:val="21"/>
          <w:highlight w:val="white"/>
          <w:lang w:eastAsia="zh-CN"/>
        </w:rPr>
        <w:t>当发生大额申购或赎回情形时，基金管理人可以采用摆动定价机制，以确保基金估值的公平性。</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15</w:t>
      </w:r>
      <w:r w:rsidRPr="0021232C" w:rsidR="0021232C">
        <w:rPr>
          <w:rFonts w:ascii="宋体" w:hAnsi="Calibri" w:cs="宋体"/>
          <w:bCs/>
          <w:szCs w:val="21"/>
          <w:lang w:eastAsia="zh-CN"/>
        </w:rPr>
        <w:t>.</w:t>
      </w:r>
      <w:r>
        <w:rPr>
          <w:rFonts w:ascii="宋体" w:hAnsi="Calibri" w:cs="宋体"/>
          <w:bCs/>
          <w:szCs w:val="21"/>
          <w:highlight w:val="white"/>
          <w:lang w:eastAsia="zh-CN"/>
        </w:rPr>
        <w:t>相关法律法规以及监管部门有强制规定的，从其规定。如有新增事项，按国家最新规定估值。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若基金托管人已提出合理意见而基金管理人未采纳的，由此给基金份额持有人和基金财产造成的损失，由基金管理人负责赔付。</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（二）估值错误的处理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基金管理人和基金托管人将采取必要、适当、合理的措施确保基金资产估值的准确性、及时性。当基金份额净值小数点后4位以内（含第4位）发生估值错误时，视为基金份额净值错误。</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基金合同的当事人应按照以下约定处理：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sidRPr="0021232C" w:rsidR="0021232C">
        <w:rPr>
          <w:rFonts w:ascii="宋体" w:hAnsi="Calibri" w:cs="宋体"/>
          <w:bCs/>
          <w:szCs w:val="21"/>
          <w:lang w:eastAsia="zh-CN"/>
        </w:rPr>
        <w:t>.</w:t>
      </w:r>
      <w:r>
        <w:rPr>
          <w:rFonts w:ascii="宋体" w:hAnsi="Calibri" w:cs="宋体"/>
          <w:bCs/>
          <w:szCs w:val="21"/>
          <w:highlight w:val="white"/>
          <w:lang w:eastAsia="zh-CN"/>
        </w:rPr>
        <w:t>估值错误类型</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Calibri" w:cs="宋体"/>
          <w:bCs/>
          <w:szCs w:val="21"/>
          <w:highlight w:val="white"/>
          <w:lang w:eastAsia="zh-CN"/>
        </w:rPr>
        <w:t>“</w:t>
      </w:r>
      <w:r>
        <w:rPr>
          <w:rFonts w:ascii="宋体" w:hAnsi="Calibri" w:cs="宋体"/>
          <w:bCs/>
          <w:szCs w:val="21"/>
          <w:highlight w:val="white"/>
          <w:lang w:eastAsia="zh-CN"/>
        </w:rPr>
        <w:t>受损方</w:t>
      </w:r>
      <w:r>
        <w:rPr>
          <w:rFonts w:ascii="宋体" w:hAnsi="Calibri" w:cs="宋体"/>
          <w:bCs/>
          <w:szCs w:val="21"/>
          <w:highlight w:val="white"/>
          <w:lang w:eastAsia="zh-CN"/>
        </w:rPr>
        <w:t>”</w:t>
      </w:r>
      <w:r>
        <w:rPr>
          <w:rFonts w:ascii="宋体" w:hAnsi="Calibri" w:cs="宋体"/>
          <w:bCs/>
          <w:szCs w:val="21"/>
          <w:highlight w:val="white"/>
          <w:lang w:eastAsia="zh-CN"/>
        </w:rPr>
        <w:t>）的直接损失按下述</w:t>
      </w:r>
      <w:r>
        <w:rPr>
          <w:rFonts w:ascii="宋体" w:hAnsi="Calibri" w:cs="宋体"/>
          <w:bCs/>
          <w:szCs w:val="21"/>
          <w:highlight w:val="white"/>
          <w:lang w:eastAsia="zh-CN"/>
        </w:rPr>
        <w:t>“</w:t>
      </w:r>
      <w:r>
        <w:rPr>
          <w:rFonts w:ascii="宋体" w:hAnsi="Calibri" w:cs="宋体"/>
          <w:bCs/>
          <w:szCs w:val="21"/>
          <w:highlight w:val="white"/>
          <w:lang w:eastAsia="zh-CN"/>
        </w:rPr>
        <w:t>估值错误处理原则</w:t>
      </w:r>
      <w:r>
        <w:rPr>
          <w:rFonts w:ascii="宋体" w:hAnsi="Calibri" w:cs="宋体"/>
          <w:bCs/>
          <w:szCs w:val="21"/>
          <w:highlight w:val="white"/>
          <w:lang w:eastAsia="zh-CN"/>
        </w:rPr>
        <w:t>”</w:t>
      </w:r>
      <w:r>
        <w:rPr>
          <w:rFonts w:ascii="宋体" w:hAnsi="Calibri" w:cs="宋体"/>
          <w:bCs/>
          <w:szCs w:val="21"/>
          <w:highlight w:val="white"/>
          <w:lang w:eastAsia="zh-CN"/>
        </w:rPr>
        <w:t>给予赔偿，承担赔偿责任。</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上述估值错误的主要类型包括但不限于：资料申报差错、数据传输差错、数据计算差错、系统故障差错、下达指令差错等。</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sidRPr="0021232C" w:rsidR="0021232C">
        <w:rPr>
          <w:rFonts w:ascii="宋体" w:hAnsi="Calibri" w:cs="宋体"/>
          <w:bCs/>
          <w:szCs w:val="21"/>
          <w:lang w:eastAsia="zh-CN"/>
        </w:rPr>
        <w:t>.</w:t>
      </w:r>
      <w:r>
        <w:rPr>
          <w:rFonts w:ascii="宋体" w:hAnsi="Calibri" w:cs="宋体"/>
          <w:bCs/>
          <w:szCs w:val="21"/>
          <w:highlight w:val="white"/>
          <w:lang w:eastAsia="zh-CN"/>
        </w:rPr>
        <w:t>估值错误处理原则</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（2）估值错误的责任方对有关当事人的直接损失负责，不对间接损失负责，并且仅对估值错误的有关直接当事人负责，不对第三方负责。</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Calibri" w:cs="宋体"/>
          <w:bCs/>
          <w:szCs w:val="21"/>
          <w:highlight w:val="white"/>
          <w:lang w:eastAsia="zh-CN"/>
        </w:rPr>
        <w:t>“</w:t>
      </w:r>
      <w:r>
        <w:rPr>
          <w:rFonts w:ascii="宋体" w:hAnsi="Calibri" w:cs="宋体"/>
          <w:bCs/>
          <w:szCs w:val="21"/>
          <w:highlight w:val="white"/>
          <w:lang w:eastAsia="zh-CN"/>
        </w:rPr>
        <w:t>受损方</w:t>
      </w:r>
      <w:r>
        <w:rPr>
          <w:rFonts w:ascii="宋体" w:hAnsi="Calibri" w:cs="宋体"/>
          <w:bCs/>
          <w:szCs w:val="21"/>
          <w:highlight w:val="white"/>
          <w:lang w:eastAsia="zh-CN"/>
        </w:rPr>
        <w:t>”</w:t>
      </w:r>
      <w:r>
        <w:rPr>
          <w:rFonts w:ascii="宋体" w:hAnsi="Calibri" w:cs="宋体"/>
          <w:bCs/>
          <w:szCs w:val="21"/>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（4）估值错误调整采用尽量恢复至假设未发生估值错误的正确情形的方式。</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sidRPr="0021232C" w:rsidR="0021232C">
        <w:rPr>
          <w:rFonts w:ascii="宋体" w:hAnsi="Calibri" w:cs="宋体"/>
          <w:bCs/>
          <w:szCs w:val="21"/>
          <w:lang w:eastAsia="zh-CN"/>
        </w:rPr>
        <w:t>.</w:t>
      </w:r>
      <w:r>
        <w:rPr>
          <w:rFonts w:ascii="宋体" w:hAnsi="Calibri" w:cs="宋体"/>
          <w:bCs/>
          <w:szCs w:val="21"/>
          <w:highlight w:val="white"/>
          <w:lang w:eastAsia="zh-CN"/>
        </w:rPr>
        <w:t>估值错误处理程序</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估值错误被发现后，有关的当事人应当及时进行处理，处理的程序如下：</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（1）查明估值错误发生的原因，列明所有的当事人，并根据估值错误发生的原因确定估值错误的责任方；</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（2）根据估值错误处理原则或当事人协商的方法对因估值错误造成的损失进行评估；</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（3）根据估值错误处理原则或当事人协商的方法由估值错误的责任方进行更正和赔偿损失；</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（4）根据估值错误处理的方法，需要修改基金登记机构交易数据的，由基金登记机构进行更正，并就估值错误的更正向有关当事人进行确认。</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w:t>
      </w:r>
      <w:r w:rsidRPr="0021232C" w:rsidR="0021232C">
        <w:rPr>
          <w:rFonts w:ascii="宋体" w:hAnsi="Calibri" w:cs="宋体"/>
          <w:bCs/>
          <w:szCs w:val="21"/>
          <w:lang w:eastAsia="zh-CN"/>
        </w:rPr>
        <w:t>.</w:t>
      </w:r>
      <w:r>
        <w:rPr>
          <w:rFonts w:ascii="宋体" w:hAnsi="Calibri" w:cs="宋体"/>
          <w:bCs/>
          <w:szCs w:val="21"/>
          <w:highlight w:val="white"/>
          <w:lang w:eastAsia="zh-CN"/>
        </w:rPr>
        <w:t>基金份额净值估值错误处理的方法如下：</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（1）基金份额净值计算出现错误时，基金管理人应当立即予以纠正，通报基金托管人，并采取合理的措施防止损失进一步扩大。</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（3）前述内容如法律法规或监管机关另有规定的，从其规定处理。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（三）基金会计制度</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按国家有关部门制定的会计制度执行。</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（四）基金账册的建立</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（五）会计数据和财务指标的核对</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（六）基金定期报告的编制和复核</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财务报表由基金管理人和基金托管人每月分别独立编制。月度报表的编制，应于每月终了后5个工作日内完成。定期报告文件应按中国证监会的要求公告。季度报表的编制，应于每季度终了后15个工作日内完成；基金招募说明书、基金产品资料概要的信息发生重大变更的，基金管理人应当在3个工作日内，更新基金招募说明书和基金产品资料概要并登载在规定网站上；基金招募说明书、基金产品资料概要的其他信息发生变更的，基金管理人至少每年更新一次。中期报告在基金会计年度前6个月结束后的2个月内公告；年度报告在会计年度结束后3个月内公告。如果基金合同生效不足2个月的，基金管理人可以不编制当期季度报告、中期报告或者年度报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在月初3个工作日内完成上月度报表的编制，以约定方式将有关报表提供基金托管人；基金托管人收到后在2个工作日内进行复核，并将复核结果及时书面或以双方约定的其他方式通知基金管理人。对于季度报告、中期报告、年度报告、更新招募说明书、基金产品资料概要等，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基金托管人对上述报告复核完毕后，可以出具复核确认书（盖章）或以其他双方约定的方式确认，以备有权机构对相关文件审核检查。</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（七）实施侧袋机制期间的基金资产估值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     </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第六节 基金份额持有人名册的登记与保管</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法律法规另有规定或有权机关另有要求的除外。如不能妥善保管，则按相关法规承担责任。</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257FC2">
      <w:pPr>
        <w:spacing w:line="360" w:lineRule="auto"/>
        <w:ind w:firstLine="420"/>
        <w:rPr>
          <w:rStyle w:val="CommentReference"/>
          <w:rFonts w:ascii="宋体" w:hAnsi="Calibri" w:cs="宋体"/>
          <w:lang w:eastAsia="zh-CN"/>
        </w:rPr>
      </w:pPr>
    </w:p>
    <w:p w:rsidR="00257FC2">
      <w:pPr>
        <w:spacing w:line="360" w:lineRule="auto"/>
        <w:ind w:firstLine="420"/>
        <w:rPr>
          <w:rFonts w:ascii="宋体" w:hAnsi="Calibri" w:cs="宋体"/>
          <w:bCs/>
          <w:szCs w:val="21"/>
          <w:lang w:eastAsia="zh-CN"/>
        </w:rPr>
      </w:pPr>
      <w:r>
        <w:rPr>
          <w:rStyle w:val="CommentReference"/>
          <w:rFonts w:ascii="宋体" w:hAnsi="Calibri" w:cs="宋体"/>
          <w:highlight w:val="white"/>
          <w:lang w:eastAsia="zh-CN"/>
        </w:rPr>
        <w:t>第七节</w:t>
      </w:r>
      <w:r>
        <w:rPr>
          <w:rFonts w:ascii="宋体" w:hAnsi="Calibri" w:cs="宋体" w:hint="eastAsia"/>
          <w:bCs/>
          <w:szCs w:val="21"/>
          <w:highlight w:val="white"/>
          <w:lang w:eastAsia="zh-CN"/>
        </w:rPr>
        <w:t xml:space="preserve"> 争议解决方式</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双方当事人同意，因本协议而产生的或与本协议有关的一切争议，应通过友好协商或者调解解决。托管协议当事人不愿通过协商、调解解决或者协商、调解不成的，任何一方当事人均有权将争议提交上海国际经济贸易仲裁委员会，根据该会当时有效的仲裁规则进行仲裁，仲裁的地点在上海市，仲裁裁决是终局的，并对相关各方当事人均有约束力。除非仲裁裁决另有决定，仲裁费用由败诉方承担。</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争议处理期间，双方当事人应恪守基金管理人和基金托管人职责，继续忠实、勤勉、尽责地履行《基金合同》和本协议规定的义务，维护基金份额持有人的合法权益。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本协议受中华人民共和国法律（为本协议之目的，在此不包括香港、澳门特别行政区和台湾地区法律）管辖。</w:t>
      </w:r>
    </w:p>
    <w:p w:rsidR="00257FC2">
      <w:pPr>
        <w:spacing w:line="360" w:lineRule="auto"/>
        <w:ind w:firstLine="420"/>
        <w:rPr>
          <w:rFonts w:ascii="宋体" w:hAnsi="Calibri" w:cs="宋体"/>
          <w:bCs/>
          <w:szCs w:val="21"/>
          <w:lang w:eastAsia="zh-CN"/>
        </w:rPr>
      </w:pP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第八节 托管协议的修改与终止</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（一）基金托管协议的变更</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本协议双方当事人经协商一致，可以对协议进行修改。修改后的新协议，其内容不得与《基金合同》的规定有任何冲突。</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（二）基金托管协议的终止</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1.《基金合同》终止；</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2.基金托管人解散、依法被撤销、破产，被依法取消基金托管资格或因其他事由造成其他基金托管人接管基金财产；</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3.基金管理人解散、依法被撤销、破产，被依法取消基金管理资格或因其他事由造成其他基金管理人接管基金管理权；</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4.发生《基金法》、《销售办法》、《运作办法》或其他法律法规规定的终止事项。</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（三）基金财产的清算</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sidRPr="0021232C" w:rsidR="0021232C">
        <w:rPr>
          <w:rFonts w:ascii="宋体" w:hAnsi="Calibri" w:cs="宋体"/>
          <w:bCs/>
          <w:szCs w:val="21"/>
          <w:lang w:eastAsia="zh-CN"/>
        </w:rPr>
        <w:t>.</w:t>
      </w:r>
      <w:r>
        <w:rPr>
          <w:rFonts w:ascii="宋体" w:hAnsi="Calibri" w:cs="宋体"/>
          <w:bCs/>
          <w:szCs w:val="21"/>
          <w:highlight w:val="white"/>
          <w:lang w:eastAsia="zh-CN"/>
        </w:rPr>
        <w:t>基金财产清算小组：自出现《基金合同》终止事由之日起30个工作日内成立清算小组，基金管理人组织基金财产清算小组并在中国证监会的监督下进行基金清算。</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sidRPr="0021232C" w:rsidR="0021232C">
        <w:rPr>
          <w:rFonts w:ascii="宋体" w:hAnsi="Calibri" w:cs="宋体"/>
          <w:bCs/>
          <w:szCs w:val="21"/>
          <w:lang w:eastAsia="zh-CN"/>
        </w:rPr>
        <w:t>.</w:t>
      </w:r>
      <w:r>
        <w:rPr>
          <w:rFonts w:ascii="宋体" w:hAnsi="Calibri" w:cs="宋体"/>
          <w:bCs/>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sidRPr="0021232C" w:rsidR="0021232C">
        <w:rPr>
          <w:rFonts w:ascii="宋体" w:hAnsi="Calibri" w:cs="宋体"/>
          <w:bCs/>
          <w:szCs w:val="21"/>
          <w:lang w:eastAsia="zh-CN"/>
        </w:rPr>
        <w:t>.</w:t>
      </w:r>
      <w:r>
        <w:rPr>
          <w:rFonts w:ascii="宋体" w:hAnsi="Calibri" w:cs="宋体"/>
          <w:bCs/>
          <w:szCs w:val="21"/>
          <w:highlight w:val="white"/>
          <w:lang w:eastAsia="zh-CN"/>
        </w:rPr>
        <w:t>基金财产清算小组职责：基金财产清算小组负责基金财产的保管、清理、估价、变现和分配。基金财产清算小组可以依法进行必要的民事活动。</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w:t>
      </w:r>
      <w:r w:rsidRPr="0021232C" w:rsidR="0021232C">
        <w:rPr>
          <w:rFonts w:ascii="宋体" w:hAnsi="Calibri" w:cs="宋体"/>
          <w:bCs/>
          <w:szCs w:val="21"/>
          <w:lang w:eastAsia="zh-CN"/>
        </w:rPr>
        <w:t>.</w:t>
      </w:r>
      <w:r>
        <w:rPr>
          <w:rFonts w:ascii="宋体" w:hAnsi="Calibri" w:cs="宋体"/>
          <w:bCs/>
          <w:szCs w:val="21"/>
          <w:highlight w:val="white"/>
          <w:lang w:eastAsia="zh-CN"/>
        </w:rPr>
        <w:t>基金财产清算程序：</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（1）《基金合同》终止情形出现时，由基金财产清算小组统一接管基金；</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（2）对基金财产和债权债务进行清理和确认；</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（3）对基金财产进行估值和变现；</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（4）制作清算报告；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（5）聘请会计师事务所对清算报告进行外部审计，聘请律师事务所对清算报告出具法律意见书；</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（6）将清算报告报中国证监会备案并公告；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（7）对基金剩余财产进行分配。</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5</w:t>
      </w:r>
      <w:r w:rsidRPr="0021232C" w:rsidR="0021232C">
        <w:rPr>
          <w:rFonts w:ascii="宋体" w:hAnsi="Calibri" w:cs="宋体"/>
          <w:bCs/>
          <w:szCs w:val="21"/>
          <w:lang w:eastAsia="zh-CN"/>
        </w:rPr>
        <w:t>.</w:t>
      </w:r>
      <w:r>
        <w:rPr>
          <w:rFonts w:ascii="宋体" w:hAnsi="Calibri" w:cs="宋体"/>
          <w:bCs/>
          <w:szCs w:val="21"/>
          <w:highlight w:val="white"/>
          <w:lang w:eastAsia="zh-CN"/>
        </w:rPr>
        <w:t>基金财产清算的期限为6个月，但因本基金所持证券的流动性受到限制而不能及时变现的，清算期限相应顺延。</w:t>
      </w:r>
    </w:p>
    <w:p w:rsidR="00257FC2">
      <w:pPr>
        <w:spacing w:line="360" w:lineRule="auto"/>
        <w:ind w:firstLine="420"/>
        <w:rPr>
          <w:rFonts w:ascii="宋体" w:hAnsi="Calibri" w:cs="宋体"/>
          <w:bCs/>
          <w:szCs w:val="21"/>
          <w:lang w:eastAsia="zh-CN"/>
        </w:rPr>
      </w:pPr>
      <w:r w:rsidR="00143FA6">
        <w:rPr>
          <w:rFonts w:ascii="宋体" w:hAnsi="Calibri" w:cs="宋体" w:hint="eastAsia"/>
          <w:bCs/>
          <w:szCs w:val="21"/>
          <w:highlight w:val="white"/>
          <w:lang w:eastAsia="zh-CN"/>
        </w:rPr>
        <w:t>（四）</w:t>
      </w:r>
      <w:r>
        <w:rPr>
          <w:rFonts w:ascii="宋体" w:hAnsi="Calibri" w:cs="宋体"/>
          <w:bCs/>
          <w:szCs w:val="21"/>
          <w:highlight w:val="white"/>
          <w:lang w:eastAsia="zh-CN"/>
        </w:rPr>
        <w:t>清算费用</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清算费用是指基金财产清算小组在进行基金清算过程中发生的所有合理费用，清算费用由基金财产清算小组优先从基金财产中支付。</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w:t>
      </w:r>
      <w:r w:rsidR="0081651F">
        <w:rPr>
          <w:rFonts w:ascii="宋体" w:hAnsi="Calibri" w:cs="宋体"/>
          <w:bCs/>
          <w:szCs w:val="21"/>
          <w:highlight w:val="white"/>
          <w:lang w:eastAsia="zh-CN"/>
        </w:rPr>
        <w:t>基金财产清算剩余资产的分配</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（六）</w:t>
      </w:r>
      <w:r w:rsidR="0081651F">
        <w:rPr>
          <w:rFonts w:ascii="宋体" w:hAnsi="Calibri" w:cs="宋体"/>
          <w:bCs/>
          <w:szCs w:val="21"/>
          <w:highlight w:val="white"/>
          <w:lang w:eastAsia="zh-CN"/>
        </w:rPr>
        <w:t>基金财产清算的公告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57FC2">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（七）</w:t>
      </w:r>
      <w:r w:rsidR="0081651F">
        <w:rPr>
          <w:rFonts w:ascii="宋体" w:hAnsi="Calibri" w:cs="宋体"/>
          <w:bCs/>
          <w:szCs w:val="21"/>
          <w:highlight w:val="white"/>
          <w:lang w:eastAsia="zh-CN"/>
        </w:rPr>
        <w:t>基金财产清算账册及文件的保存</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基金财产清算账册及有关文件由基金托管人保存20年以上。</w:t>
      </w:r>
    </w:p>
    <w:p w:rsidR="00257FC2">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 </w:t>
      </w:r>
    </w:p>
    <w:p w:rsidR="00257FC2">
      <w:pPr>
        <w:pStyle w:val="Heading1"/>
        <w:pageBreakBefore/>
        <w:spacing w:before="317" w:after="317" w:line="360" w:lineRule="auto"/>
        <w:ind w:firstLine="600"/>
        <w:rPr>
          <w:rFonts w:ascii="宋体" w:eastAsia="宋体" w:hAnsi="Calibri" w:cs="宋体"/>
          <w:bCs/>
          <w:sz w:val="30"/>
          <w:szCs w:val="30"/>
          <w:lang w:eastAsia="zh-CN"/>
        </w:rPr>
      </w:pPr>
      <w:bookmarkStart w:id="1863" w:name="_Toc129511546"/>
      <w:r>
        <w:rPr>
          <w:rFonts w:ascii="宋体" w:eastAsia="宋体" w:hAnsi="Calibri" w:cs="宋体" w:hint="eastAsia"/>
          <w:sz w:val="30"/>
          <w:szCs w:val="30"/>
          <w:highlight w:val="white"/>
          <w:lang w:eastAsia="zh-CN"/>
        </w:rPr>
        <w:t>第二</w:t>
      </w:r>
      <w:bookmarkStart w:id="1864" w:name="_Toc332373591"/>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四部分 对基金份额持有人的服务</w:t>
      </w:r>
      <w:bookmarkEnd w:id="1863"/>
      <w:bookmarkEnd w:id="1864"/>
    </w:p>
    <w:p w:rsidR="00257FC2">
      <w:pPr>
        <w:pStyle w:val="BodyTextFirstIndent"/>
        <w:spacing w:after="0" w:line="360" w:lineRule="auto"/>
        <w:rPr>
          <w:rFonts w:ascii="宋体" w:hAnsi="Calibri" w:cs="宋体"/>
          <w:lang w:eastAsia="zh-CN"/>
        </w:rPr>
      </w:pPr>
      <w:r>
        <w:rPr>
          <w:rFonts w:ascii="宋体" w:hAnsi="Calibri"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257FC2">
      <w:pPr>
        <w:pStyle w:val="BodyTextFirstIndent"/>
        <w:spacing w:after="0" w:line="360" w:lineRule="auto"/>
        <w:rPr>
          <w:rFonts w:ascii="宋体" w:hAnsi="Calibri" w:cs="宋体"/>
          <w:lang w:eastAsia="zh-CN"/>
        </w:rPr>
      </w:pPr>
      <w:r>
        <w:rPr>
          <w:rFonts w:ascii="宋体" w:hAnsi="Calibri" w:cs="宋体" w:hint="eastAsia"/>
          <w:highlight w:val="white"/>
          <w:lang w:eastAsia="zh-CN"/>
        </w:rPr>
        <w:t>一、基金份额持有人投资交易确认服务</w:t>
      </w:r>
    </w:p>
    <w:p w:rsidR="00257FC2">
      <w:pPr>
        <w:pStyle w:val="BodyTextFirstIndent"/>
        <w:spacing w:after="0" w:line="360" w:lineRule="auto"/>
        <w:rPr>
          <w:rFonts w:ascii="宋体" w:hAnsi="Calibri" w:cs="宋体"/>
          <w:lang w:eastAsia="zh-CN"/>
        </w:rPr>
      </w:pPr>
      <w:r>
        <w:rPr>
          <w:rFonts w:ascii="宋体" w:hAnsi="Calibri" w:cs="宋体" w:hint="eastAsia"/>
          <w:highlight w:val="white"/>
          <w:lang w:eastAsia="zh-CN"/>
        </w:rPr>
        <w:t>登记机构保留基金份额持有人名册上列明的所有基金份额持有人的基金交易记录。本公司根据在直销网点进行交易的投资人的要求提供成交确认单。非直销销售机构基金份额持有人投资交易确认服务请参照各销售机构实际业务流程及规定。</w:t>
      </w:r>
    </w:p>
    <w:p w:rsidR="00257FC2">
      <w:pPr>
        <w:pStyle w:val="BodyTextFirstIndent"/>
        <w:spacing w:after="0" w:line="360" w:lineRule="auto"/>
        <w:rPr>
          <w:rFonts w:ascii="宋体" w:hAnsi="宋体" w:cs="宋体"/>
          <w:lang w:eastAsia="zh-CN"/>
        </w:rPr>
      </w:pPr>
      <w:r>
        <w:rPr>
          <w:rFonts w:ascii="宋体" w:hAnsi="宋体" w:cs="宋体" w:hint="eastAsia"/>
          <w:highlight w:val="white"/>
          <w:lang w:eastAsia="zh-CN"/>
        </w:rPr>
        <w:t>二、基金份额持有人交易记录查询服务</w:t>
      </w:r>
    </w:p>
    <w:p w:rsidR="00257FC2">
      <w:pPr>
        <w:pStyle w:val="BodyTextFirstIndent"/>
        <w:spacing w:after="0" w:line="360" w:lineRule="auto"/>
        <w:rPr>
          <w:rFonts w:ascii="宋体" w:hAnsi="宋体" w:cs="宋体"/>
          <w:lang w:eastAsia="zh-CN"/>
        </w:rPr>
      </w:pPr>
      <w:r>
        <w:rPr>
          <w:rFonts w:ascii="宋体" w:hAnsi="宋体" w:cs="宋体" w:hint="eastAsia"/>
          <w:highlight w:val="white"/>
          <w:lang w:eastAsia="zh-CN"/>
        </w:rPr>
        <w:t>本基金份额持有人可通过基金管理人的客户服务中心、微信小程序“易方达易服务”查询历史交易记录。</w:t>
      </w:r>
    </w:p>
    <w:p w:rsidR="00257FC2">
      <w:pPr>
        <w:pStyle w:val="BodyTextFirstIndent"/>
        <w:spacing w:after="0" w:line="360" w:lineRule="auto"/>
        <w:rPr>
          <w:rFonts w:ascii="宋体" w:hAnsi="宋体" w:cs="宋体"/>
          <w:lang w:eastAsia="zh-CN"/>
        </w:rPr>
      </w:pPr>
      <w:r>
        <w:rPr>
          <w:rFonts w:ascii="宋体" w:hAnsi="宋体" w:cs="宋体" w:hint="eastAsia"/>
          <w:highlight w:val="white"/>
          <w:lang w:eastAsia="zh-CN"/>
        </w:rPr>
        <w:t>三、基金份额持有人的对账单服务</w:t>
      </w:r>
    </w:p>
    <w:p w:rsidR="00257FC2">
      <w:pPr>
        <w:pStyle w:val="BodyTextFirstIndent"/>
        <w:spacing w:after="0" w:line="360" w:lineRule="auto"/>
        <w:rPr>
          <w:rFonts w:ascii="宋体" w:hAnsi="宋体" w:cs="宋体"/>
        </w:rPr>
      </w:pPr>
      <w:r>
        <w:rPr>
          <w:rFonts w:ascii="宋体" w:hAnsi="宋体" w:cs="宋体" w:hint="eastAsia"/>
          <w:highlight w:val="white"/>
        </w:rPr>
        <w:t>1、基金份额持有人可登录本公司网站</w:t>
      </w:r>
      <w:r>
        <w:rPr>
          <w:rFonts w:ascii="宋体" w:hAnsi="宋体" w:cs="宋体" w:hint="eastAsia"/>
          <w:szCs w:val="21"/>
          <w:highlight w:val="white"/>
        </w:rPr>
        <w:t>（www.efunds.com.cn）、微信小程序</w:t>
      </w:r>
      <w:r>
        <w:rPr>
          <w:rFonts w:ascii="宋体" w:hAnsi="宋体" w:cs="宋体" w:hint="eastAsia"/>
          <w:highlight w:val="white"/>
        </w:rPr>
        <w:t>“易方达易服务”查阅对账单。</w:t>
      </w:r>
    </w:p>
    <w:p w:rsidR="00257FC2">
      <w:pPr>
        <w:pStyle w:val="BodyTextFirstIndent"/>
        <w:spacing w:after="0" w:line="360" w:lineRule="auto"/>
        <w:rPr>
          <w:rFonts w:ascii="宋体" w:hAnsi="Calibri" w:cs="宋体"/>
          <w:lang w:eastAsia="zh-CN"/>
        </w:rPr>
      </w:pPr>
      <w:r>
        <w:rPr>
          <w:rFonts w:ascii="宋体" w:hAnsi="宋体" w:cs="宋体"/>
          <w:highlight w:val="white"/>
          <w:lang w:eastAsia="zh-CN"/>
        </w:rPr>
        <w:t>2、</w:t>
      </w:r>
      <w:r>
        <w:rPr>
          <w:rFonts w:ascii="宋体" w:hAnsi="宋体" w:cs="宋体" w:hint="eastAsia"/>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257FC2">
      <w:pPr>
        <w:pStyle w:val="BodyTextFirstIndent"/>
        <w:spacing w:after="0" w:line="360" w:lineRule="auto"/>
        <w:rPr>
          <w:rFonts w:ascii="宋体" w:hAnsi="Calibri" w:cs="宋体"/>
          <w:lang w:eastAsia="zh-CN"/>
        </w:rPr>
      </w:pPr>
      <w:r>
        <w:rPr>
          <w:rFonts w:ascii="宋体" w:hAnsi="Calibri" w:cs="宋体" w:hint="eastAsia"/>
          <w:highlight w:val="white"/>
          <w:lang w:eastAsia="zh-CN"/>
        </w:rPr>
        <w:t>具体查阅和定制账单的方法可参见本公司网站或拨打客服热线咨询。</w:t>
      </w:r>
    </w:p>
    <w:p w:rsidR="00257FC2">
      <w:pPr>
        <w:pStyle w:val="BodyTextFirstIndent"/>
        <w:spacing w:after="0" w:line="360" w:lineRule="auto"/>
        <w:rPr>
          <w:rFonts w:ascii="宋体" w:hAnsi="Calibri" w:cs="宋体"/>
          <w:lang w:eastAsia="zh-CN"/>
        </w:rPr>
      </w:pPr>
      <w:r>
        <w:rPr>
          <w:rFonts w:ascii="宋体" w:hAnsi="Calibri" w:cs="宋体" w:hint="eastAsia"/>
          <w:highlight w:val="white"/>
          <w:lang w:eastAsia="zh-CN"/>
        </w:rPr>
        <w:t>四、资讯服务</w:t>
      </w:r>
    </w:p>
    <w:p w:rsidR="00257FC2">
      <w:pPr>
        <w:spacing w:line="360" w:lineRule="auto"/>
        <w:ind w:firstLine="424"/>
        <w:rPr>
          <w:rFonts w:ascii="宋体" w:hAnsi="Calibri" w:cs="宋体"/>
          <w:lang w:eastAsia="zh-CN"/>
        </w:rPr>
      </w:pPr>
      <w:r>
        <w:rPr>
          <w:rFonts w:ascii="宋体" w:hAnsi="Calibri" w:cs="宋体"/>
          <w:highlight w:val="white"/>
          <w:lang w:eastAsia="zh-CN"/>
        </w:rPr>
        <w:t>1、客户服务电话</w:t>
      </w:r>
    </w:p>
    <w:p w:rsidR="00257FC2">
      <w:pPr>
        <w:spacing w:line="360" w:lineRule="auto"/>
        <w:ind w:firstLine="424"/>
        <w:rPr>
          <w:rFonts w:ascii="宋体" w:hAnsi="Calibri" w:cs="宋体"/>
          <w:lang w:eastAsia="zh-CN"/>
        </w:rPr>
      </w:pPr>
      <w:r>
        <w:rPr>
          <w:rFonts w:ascii="宋体" w:hAnsi="Calibri" w:cs="宋体" w:hint="eastAsia"/>
          <w:highlight w:val="white"/>
          <w:lang w:eastAsia="zh-CN"/>
        </w:rPr>
        <w:t>投资者如果想了解基金产品、服务等信息，或反馈投资过程中需要投诉与建议的情况，可拨打如下电话：</w:t>
      </w:r>
      <w:r>
        <w:rPr>
          <w:rFonts w:ascii="宋体" w:hAnsi="Calibri" w:cs="宋体"/>
          <w:highlight w:val="white"/>
          <w:lang w:eastAsia="zh-CN"/>
        </w:rPr>
        <w:t>4008818088。</w:t>
      </w:r>
      <w:r>
        <w:rPr>
          <w:rFonts w:ascii="宋体" w:hAnsi="Calibri" w:cs="宋体" w:hint="eastAsia"/>
          <w:highlight w:val="white"/>
          <w:lang w:eastAsia="zh-CN"/>
        </w:rPr>
        <w:t>投资者如果认为自己不能准确理解本基金《招募说明书》《基金合同》的具体内容，也可拨打上述电话详询。</w:t>
      </w:r>
    </w:p>
    <w:p w:rsidR="00257FC2">
      <w:pPr>
        <w:spacing w:line="360" w:lineRule="auto"/>
        <w:ind w:firstLine="424"/>
        <w:rPr>
          <w:rFonts w:ascii="宋体" w:hAnsi="Calibri" w:cs="宋体"/>
        </w:rPr>
      </w:pPr>
      <w:r>
        <w:rPr>
          <w:rFonts w:ascii="宋体" w:hAnsi="Calibri" w:cs="宋体"/>
          <w:highlight w:val="white"/>
        </w:rPr>
        <w:t>2、互联网站及电子信箱</w:t>
      </w:r>
    </w:p>
    <w:p w:rsidR="00257FC2">
      <w:pPr>
        <w:spacing w:line="360" w:lineRule="auto"/>
        <w:ind w:firstLine="424"/>
        <w:rPr>
          <w:rFonts w:ascii="宋体" w:hAnsi="Calibri" w:cs="宋体"/>
        </w:rPr>
      </w:pPr>
      <w:r>
        <w:rPr>
          <w:rFonts w:ascii="宋体" w:hAnsi="Calibri" w:cs="宋体" w:hint="eastAsia"/>
          <w:highlight w:val="white"/>
        </w:rPr>
        <w:t>网址：</w:t>
      </w:r>
      <w:r>
        <w:rPr>
          <w:rFonts w:ascii="宋体" w:hAnsi="Calibri" w:cs="宋体"/>
          <w:highlight w:val="white"/>
        </w:rPr>
        <w:t>www.efunds.com.cn</w:t>
      </w:r>
    </w:p>
    <w:p w:rsidR="00257FC2">
      <w:pPr>
        <w:spacing w:line="360" w:lineRule="auto"/>
        <w:ind w:firstLine="424"/>
        <w:rPr>
          <w:rFonts w:ascii="宋体" w:hAnsi="Calibri" w:cs="宋体"/>
        </w:rPr>
      </w:pPr>
      <w:r>
        <w:rPr>
          <w:rFonts w:ascii="宋体" w:hAnsi="Calibri" w:cs="宋体" w:hint="eastAsia"/>
          <w:highlight w:val="white"/>
        </w:rPr>
        <w:t>电子信箱：</w:t>
      </w:r>
      <w:r>
        <w:rPr>
          <w:rFonts w:ascii="宋体" w:hAnsi="Calibri" w:cs="宋体"/>
          <w:highlight w:val="white"/>
        </w:rPr>
        <w:t xml:space="preserve">service@efunds.com.cn </w:t>
      </w:r>
    </w:p>
    <w:p w:rsidR="00257FC2">
      <w:pPr>
        <w:pStyle w:val="Heading1"/>
        <w:pageBreakBefore/>
        <w:spacing w:before="317" w:after="317" w:line="360" w:lineRule="auto"/>
        <w:ind w:firstLine="2550"/>
        <w:jc w:val="both"/>
        <w:rPr>
          <w:rFonts w:ascii="宋体" w:eastAsia="宋体" w:hAnsi="Calibri" w:cs="宋体"/>
          <w:sz w:val="30"/>
          <w:szCs w:val="30"/>
          <w:lang w:eastAsia="zh-CN"/>
        </w:rPr>
      </w:pPr>
      <w:bookmarkStart w:id="1865" w:name="_Toc332373592"/>
      <w:bookmarkStart w:id="1866" w:name="_Toc129511547"/>
      <w:r>
        <w:rPr>
          <w:rFonts w:ascii="宋体" w:eastAsia="宋体" w:hAnsi="Calibri" w:cs="宋体" w:hint="eastAsia"/>
          <w:sz w:val="30"/>
          <w:szCs w:val="30"/>
          <w:highlight w:val="white"/>
          <w:lang w:eastAsia="zh-CN"/>
        </w:rPr>
        <w:t>第二十</w:t>
      </w:r>
      <w:r>
        <w:rPr>
          <w:rFonts w:ascii="宋体" w:eastAsia="宋体" w:hAnsi="Calibri" w:cs="宋体"/>
          <w:sz w:val="30"/>
          <w:szCs w:val="30"/>
          <w:highlight w:val="white"/>
          <w:lang w:eastAsia="zh-CN"/>
        </w:rPr>
        <w:t>五</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其他应披露事项</w:t>
      </w:r>
      <w:bookmarkEnd w:id="1865"/>
      <w:bookmarkEnd w:id="1866"/>
    </w:p>
    <w:p w:rsidR="00257FC2">
      <w:pPr>
        <w:spacing w:line="400" w:lineRule="exact"/>
        <w:ind w:firstLine="420"/>
        <w:rPr>
          <w:rFonts w:ascii="宋体" w:hAnsi="Calibri" w:cs="宋体"/>
          <w:lang w:eastAsia="zh-CN"/>
        </w:rPr>
      </w:pPr>
      <w:r>
        <w:rPr>
          <w:rFonts w:ascii="宋体" w:hAnsi="Calibri" w:cs="宋体" w:hint="eastAsia"/>
          <w:highlight w:val="white"/>
          <w:lang w:eastAsia="zh-CN"/>
        </w:rPr>
        <w:t>无</w:t>
      </w: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pStyle w:val="NormalIndent"/>
        <w:rPr>
          <w:rFonts w:ascii="宋体" w:hAnsi="Calibri" w:cs="宋体"/>
          <w:lang w:eastAsia="zh-CN"/>
        </w:rPr>
      </w:pPr>
    </w:p>
    <w:p w:rsidR="00257FC2">
      <w:pPr>
        <w:widowControl/>
        <w:jc w:val="left"/>
        <w:rPr>
          <w:rFonts w:ascii="宋体" w:hAnsi="Calibri" w:cs="宋体"/>
          <w:sz w:val="30"/>
          <w:szCs w:val="32"/>
          <w:lang w:eastAsia="zh-CN"/>
        </w:rPr>
      </w:pPr>
      <w:r>
        <w:rPr>
          <w:rFonts w:ascii="宋体" w:hAnsi="Calibri" w:cs="宋体"/>
          <w:sz w:val="30"/>
          <w:highlight w:val="white"/>
          <w:lang w:eastAsia="zh-CN"/>
        </w:rPr>
        <w:br w:type="page"/>
      </w:r>
    </w:p>
    <w:p w:rsidR="00257FC2">
      <w:pPr>
        <w:pStyle w:val="Heading1"/>
        <w:spacing w:before="317" w:after="317" w:line="360" w:lineRule="auto"/>
        <w:ind w:firstLine="600"/>
        <w:rPr>
          <w:rFonts w:ascii="宋体" w:eastAsia="宋体" w:hAnsi="Calibri" w:cs="宋体"/>
          <w:bCs/>
          <w:sz w:val="30"/>
          <w:szCs w:val="30"/>
          <w:lang w:eastAsia="zh-CN"/>
        </w:rPr>
      </w:pPr>
      <w:bookmarkStart w:id="1867" w:name="_Toc129511548"/>
      <w:r>
        <w:rPr>
          <w:rFonts w:ascii="宋体" w:eastAsia="宋体" w:hAnsi="Calibri" w:cs="宋体" w:hint="eastAsia"/>
          <w:sz w:val="30"/>
          <w:szCs w:val="30"/>
          <w:highlight w:val="white"/>
          <w:lang w:eastAsia="zh-CN"/>
        </w:rPr>
        <w:t>第二</w:t>
      </w:r>
      <w:bookmarkStart w:id="1868" w:name="_Toc332373593"/>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六</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招募说明书的存放及查阅方式</w:t>
      </w:r>
      <w:bookmarkEnd w:id="1867"/>
      <w:bookmarkEnd w:id="1868"/>
    </w:p>
    <w:p w:rsidR="00257FC2">
      <w:pPr>
        <w:spacing w:line="360" w:lineRule="auto"/>
        <w:ind w:firstLine="420"/>
        <w:rPr>
          <w:rFonts w:ascii="宋体" w:hAnsi="Calibri" w:cs="宋体"/>
          <w:lang w:eastAsia="zh-CN"/>
        </w:rPr>
      </w:pPr>
      <w:r>
        <w:rPr>
          <w:rFonts w:ascii="宋体" w:hAnsi="Calibri" w:cs="宋体" w:hint="eastAsia"/>
          <w:highlight w:val="white"/>
          <w:lang w:eastAsia="zh-CN"/>
        </w:rPr>
        <w:t>本招募说明书存放在基金管理人、基金托管人及其他基金销售机构处，投资者可在营业时间免费查阅，也可按工本费购买复印件。</w:t>
      </w:r>
    </w:p>
    <w:p w:rsidR="00257FC2">
      <w:pPr>
        <w:spacing w:line="360" w:lineRule="auto"/>
        <w:ind w:firstLine="420"/>
        <w:rPr>
          <w:rFonts w:ascii="宋体" w:hAnsi="Calibri" w:cs="宋体"/>
          <w:lang w:eastAsia="zh-CN"/>
        </w:rPr>
      </w:pPr>
      <w:r>
        <w:rPr>
          <w:rFonts w:ascii="宋体" w:hAnsi="Calibri" w:cs="宋体" w:hint="eastAsia"/>
          <w:highlight w:val="white"/>
          <w:lang w:eastAsia="zh-CN"/>
        </w:rPr>
        <w:t>基金管理人和基金托管人保证文本的内容与公告的内容完全一致。</w:t>
      </w:r>
    </w:p>
    <w:p w:rsidR="00257FC2">
      <w:pPr>
        <w:pStyle w:val="Heading1"/>
        <w:spacing w:before="317" w:after="317" w:line="360" w:lineRule="auto"/>
        <w:ind w:firstLine="600"/>
        <w:rPr>
          <w:rFonts w:ascii="宋体" w:eastAsia="宋体" w:hAnsi="Calibri" w:cs="宋体"/>
          <w:bCs/>
          <w:sz w:val="30"/>
          <w:szCs w:val="30"/>
          <w:lang w:eastAsia="zh-CN"/>
        </w:rPr>
      </w:pPr>
      <w:r>
        <w:rPr>
          <w:rFonts w:ascii="宋体" w:eastAsia="宋体" w:hAnsi="Calibri" w:cs="宋体"/>
          <w:sz w:val="30"/>
          <w:highlight w:val="white"/>
          <w:lang w:eastAsia="zh-CN"/>
        </w:rPr>
        <w:br w:type="column"/>
      </w:r>
      <w:bookmarkStart w:id="1869" w:name="_Toc129511549"/>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二</w:t>
      </w:r>
      <w:bookmarkStart w:id="1870" w:name="_Toc332373594"/>
      <w:r>
        <w:rPr>
          <w:rFonts w:ascii="宋体" w:eastAsia="宋体" w:hAnsi="Calibri" w:cs="宋体" w:hint="eastAsia"/>
          <w:sz w:val="30"/>
          <w:szCs w:val="30"/>
          <w:highlight w:val="white"/>
          <w:lang w:eastAsia="zh-CN"/>
        </w:rPr>
        <w:t>十七部分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备查文件</w:t>
      </w:r>
      <w:bookmarkEnd w:id="1869"/>
      <w:bookmarkEnd w:id="1870"/>
    </w:p>
    <w:p w:rsidR="00257FC2">
      <w:pPr>
        <w:spacing w:line="360" w:lineRule="auto"/>
        <w:ind w:firstLine="420"/>
        <w:rPr>
          <w:rFonts w:ascii="宋体" w:hAnsi="Calibri" w:cs="宋体"/>
          <w:lang w:eastAsia="zh-CN"/>
        </w:rPr>
      </w:pPr>
      <w:r>
        <w:rPr>
          <w:rFonts w:ascii="宋体" w:hAnsi="Calibri" w:cs="宋体" w:hint="eastAsia"/>
          <w:highlight w:val="white"/>
          <w:lang w:eastAsia="zh-CN"/>
        </w:rPr>
        <w:t>1.中国证监会准予</w:t>
      </w:r>
      <w:r>
        <w:rPr>
          <w:rFonts w:ascii="宋体" w:hAnsi="Calibri" w:cs="宋体" w:hint="eastAsia"/>
          <w:lang w:eastAsia="zh-CN"/>
        </w:rPr>
        <w:t>易方达中证金融科技主题交易型开放式指数证券投资基金联接基金</w:t>
      </w:r>
      <w:r>
        <w:rPr>
          <w:rFonts w:ascii="宋体" w:hAnsi="Calibri" w:cs="宋体" w:hint="eastAsia"/>
          <w:highlight w:val="white"/>
          <w:lang w:eastAsia="zh-CN"/>
        </w:rPr>
        <w:t>注册的文件；</w:t>
      </w:r>
    </w:p>
    <w:p w:rsidR="00257FC2">
      <w:pPr>
        <w:spacing w:line="360" w:lineRule="auto"/>
        <w:ind w:firstLine="420"/>
        <w:rPr>
          <w:rFonts w:ascii="宋体" w:hAnsi="Calibri" w:cs="宋体"/>
          <w:lang w:eastAsia="zh-CN"/>
        </w:rPr>
      </w:pPr>
      <w:r>
        <w:rPr>
          <w:rFonts w:ascii="宋体" w:hAnsi="Calibri" w:cs="宋体" w:hint="eastAsia"/>
          <w:highlight w:val="white"/>
          <w:lang w:eastAsia="zh-CN"/>
        </w:rPr>
        <w:t>2.《</w:t>
      </w:r>
      <w:r>
        <w:rPr>
          <w:rFonts w:ascii="宋体" w:hAnsi="Calibri" w:cs="宋体" w:hint="eastAsia"/>
          <w:lang w:eastAsia="zh-CN"/>
        </w:rPr>
        <w:t>易方达中证金融科技主题交易型开放式指数证券投资基金联接基金</w:t>
      </w:r>
      <w:r>
        <w:rPr>
          <w:rFonts w:ascii="宋体" w:hAnsi="Calibri" w:cs="宋体" w:hint="eastAsia"/>
          <w:highlight w:val="white"/>
          <w:lang w:eastAsia="zh-CN"/>
        </w:rPr>
        <w:t>基金合同》；</w:t>
      </w:r>
    </w:p>
    <w:p w:rsidR="00257FC2">
      <w:pPr>
        <w:spacing w:line="360" w:lineRule="auto"/>
        <w:ind w:firstLine="420"/>
        <w:rPr>
          <w:rFonts w:ascii="宋体" w:hAnsi="Calibri" w:cs="宋体"/>
          <w:lang w:eastAsia="zh-CN"/>
        </w:rPr>
      </w:pPr>
      <w:r>
        <w:rPr>
          <w:rFonts w:ascii="宋体" w:hAnsi="Calibri" w:cs="宋体" w:hint="eastAsia"/>
          <w:highlight w:val="white"/>
          <w:lang w:eastAsia="zh-CN"/>
        </w:rPr>
        <w:t>3.《</w:t>
      </w:r>
      <w:r>
        <w:rPr>
          <w:rFonts w:ascii="宋体" w:hAnsi="Calibri" w:cs="宋体" w:hint="eastAsia"/>
          <w:lang w:eastAsia="zh-CN"/>
        </w:rPr>
        <w:t>易方达中证金融科技主题交易型开放式指数证券投资基金联接基金</w:t>
      </w:r>
      <w:r>
        <w:rPr>
          <w:rFonts w:ascii="宋体" w:hAnsi="Calibri" w:cs="宋体" w:hint="eastAsia"/>
          <w:highlight w:val="white"/>
          <w:lang w:eastAsia="zh-CN"/>
        </w:rPr>
        <w:t>托管协议》；</w:t>
      </w:r>
    </w:p>
    <w:p w:rsidR="00257FC2">
      <w:pPr>
        <w:spacing w:line="360" w:lineRule="auto"/>
        <w:ind w:firstLine="420"/>
        <w:rPr>
          <w:rFonts w:ascii="宋体" w:hAnsi="Calibri" w:cs="宋体"/>
          <w:lang w:eastAsia="zh-CN"/>
        </w:rPr>
      </w:pPr>
      <w:r>
        <w:rPr>
          <w:rFonts w:ascii="宋体" w:hAnsi="Calibri" w:cs="宋体" w:hint="eastAsia"/>
          <w:highlight w:val="white"/>
          <w:lang w:eastAsia="zh-CN"/>
        </w:rPr>
        <w:t>4.《易方达基金管理有限公司开放式基金业务规则》；</w:t>
      </w:r>
    </w:p>
    <w:p w:rsidR="00257FC2">
      <w:pPr>
        <w:spacing w:line="360" w:lineRule="auto"/>
        <w:ind w:firstLine="420"/>
        <w:rPr>
          <w:rFonts w:ascii="宋体" w:hAnsi="Calibri" w:cs="宋体"/>
          <w:lang w:eastAsia="zh-CN"/>
        </w:rPr>
      </w:pPr>
      <w:r>
        <w:rPr>
          <w:rFonts w:ascii="宋体" w:hAnsi="Calibri" w:cs="宋体" w:hint="eastAsia"/>
          <w:highlight w:val="white"/>
          <w:lang w:eastAsia="zh-CN"/>
        </w:rPr>
        <w:t>5.法律意见书；</w:t>
      </w:r>
    </w:p>
    <w:p w:rsidR="00257FC2">
      <w:pPr>
        <w:spacing w:line="360" w:lineRule="auto"/>
        <w:ind w:firstLine="420"/>
        <w:rPr>
          <w:rFonts w:ascii="宋体" w:hAnsi="Calibri" w:cs="宋体"/>
          <w:lang w:eastAsia="zh-CN"/>
        </w:rPr>
      </w:pPr>
      <w:r>
        <w:rPr>
          <w:rFonts w:ascii="宋体" w:hAnsi="Calibri" w:cs="宋体" w:hint="eastAsia"/>
          <w:highlight w:val="white"/>
          <w:lang w:eastAsia="zh-CN"/>
        </w:rPr>
        <w:t>6.基金管理人业务资格批件、营业执照；</w:t>
      </w:r>
    </w:p>
    <w:p w:rsidR="00257FC2">
      <w:pPr>
        <w:spacing w:line="360" w:lineRule="auto"/>
        <w:ind w:firstLine="420"/>
        <w:rPr>
          <w:rFonts w:ascii="宋体" w:hAnsi="Calibri" w:cs="宋体"/>
          <w:lang w:eastAsia="zh-CN"/>
        </w:rPr>
      </w:pPr>
      <w:r>
        <w:rPr>
          <w:rFonts w:ascii="宋体" w:hAnsi="Calibri" w:cs="宋体" w:hint="eastAsia"/>
          <w:highlight w:val="white"/>
          <w:lang w:eastAsia="zh-CN"/>
        </w:rPr>
        <w:t>7.基金托管人业务资格批件、营业执照。</w:t>
      </w:r>
    </w:p>
    <w:p w:rsidR="00257FC2">
      <w:pPr>
        <w:spacing w:line="360" w:lineRule="auto"/>
        <w:ind w:firstLine="420"/>
        <w:rPr>
          <w:rFonts w:ascii="宋体" w:hAnsi="Calibri" w:cs="宋体"/>
          <w:lang w:eastAsia="zh-CN"/>
        </w:rPr>
      </w:pPr>
      <w:r>
        <w:rPr>
          <w:rFonts w:ascii="宋体" w:hAnsi="Calibri" w:cs="宋体" w:hint="eastAsia"/>
          <w:highlight w:val="white"/>
          <w:lang w:eastAsia="zh-CN"/>
        </w:rPr>
        <w:t>存放地点：基金管理人、基金托管人处</w:t>
      </w:r>
    </w:p>
    <w:p w:rsidR="00257FC2">
      <w:pPr>
        <w:pStyle w:val="PlainText"/>
        <w:spacing w:line="360" w:lineRule="auto"/>
        <w:ind w:firstLine="420"/>
        <w:rPr>
          <w:rFonts w:hAnsi="Calibri" w:cs="宋体"/>
          <w:sz w:val="21"/>
          <w:lang w:eastAsia="zh-CN"/>
        </w:rPr>
      </w:pPr>
      <w:r>
        <w:rPr>
          <w:rFonts w:hAnsi="Calibri" w:cs="宋体" w:hint="eastAsia"/>
          <w:sz w:val="21"/>
          <w:highlight w:val="white"/>
          <w:lang w:eastAsia="zh-CN"/>
        </w:rPr>
        <w:t>查阅方式：投资者可在营业时间免费查阅，也可按工本费购买复印件。</w:t>
      </w:r>
    </w:p>
    <w:p w:rsidR="00257FC2">
      <w:pPr>
        <w:pStyle w:val="PlainText"/>
        <w:spacing w:line="360" w:lineRule="auto"/>
        <w:ind w:firstLine="420"/>
        <w:rPr>
          <w:rFonts w:hAnsi="Calibri" w:cs="宋体"/>
          <w:sz w:val="21"/>
          <w:lang w:eastAsia="zh-CN"/>
        </w:rPr>
      </w:pPr>
    </w:p>
    <w:p w:rsidR="00257FC2">
      <w:pPr>
        <w:pStyle w:val="PlainText"/>
        <w:spacing w:line="360" w:lineRule="auto"/>
        <w:ind w:firstLine="420"/>
        <w:rPr>
          <w:rFonts w:hAnsi="Calibri" w:cs="宋体"/>
          <w:sz w:val="21"/>
          <w:lang w:eastAsia="zh-CN"/>
        </w:rPr>
      </w:pPr>
    </w:p>
    <w:p w:rsidR="00257FC2">
      <w:pPr>
        <w:snapToGrid w:val="0"/>
        <w:spacing w:line="360" w:lineRule="auto"/>
        <w:ind w:firstLine="420"/>
        <w:jc w:val="right"/>
        <w:rPr>
          <w:rFonts w:ascii="宋体" w:hAnsi="Calibri" w:cs="宋体"/>
          <w:szCs w:val="21"/>
          <w:lang w:eastAsia="zh-CN"/>
        </w:rPr>
      </w:pPr>
      <w:r>
        <w:rPr>
          <w:rFonts w:ascii="宋体" w:hAnsi="Calibri" w:cs="宋体" w:hint="eastAsia"/>
          <w:szCs w:val="21"/>
          <w:highlight w:val="white"/>
          <w:lang w:eastAsia="zh-CN"/>
        </w:rPr>
        <w:t>易方达基金管理有限公司</w:t>
      </w:r>
    </w:p>
    <w:p w:rsidR="00257FC2">
      <w:pPr>
        <w:jc w:val="right"/>
        <w:rPr>
          <w:rFonts w:ascii="宋体" w:hAnsi="Calibri"/>
          <w:szCs w:val="21"/>
        </w:rPr>
      </w:pPr>
      <w:r w:rsidR="002F0AD8">
        <w:rPr>
          <w:rFonts w:ascii="宋体" w:hAnsi="Calibri"/>
          <w:color w:val="000000"/>
          <w:szCs w:val="21"/>
          <w:highlight w:val="white"/>
        </w:rPr>
        <w:t>202</w:t>
      </w:r>
      <w:r w:rsidR="002F0AD8">
        <w:rPr>
          <w:rFonts w:ascii="宋体" w:hAnsi="Calibri" w:cs="Calibri"/>
          <w:color w:val="000000"/>
          <w:szCs w:val="21"/>
          <w:highlight w:val="white"/>
        </w:rPr>
        <w:t>6</w:t>
      </w:r>
      <w:r>
        <w:rPr>
          <w:rFonts w:ascii="宋体" w:hAnsi="Calibri" w:cs="宋体"/>
          <w:color w:val="000000"/>
          <w:szCs w:val="21"/>
          <w:highlight w:val="white"/>
        </w:rPr>
        <w:t>年</w:t>
      </w:r>
      <w:r w:rsidR="002F0AD8">
        <w:rPr>
          <w:rFonts w:ascii="宋体" w:hAnsi="Calibri" w:cs="Calibri"/>
          <w:color w:val="000000"/>
          <w:szCs w:val="21"/>
          <w:highlight w:val="white"/>
        </w:rPr>
        <w:t>4</w:t>
      </w:r>
      <w:r>
        <w:rPr>
          <w:rFonts w:ascii="宋体" w:hAnsi="Calibri" w:cs="宋体"/>
          <w:color w:val="000000"/>
          <w:szCs w:val="21"/>
          <w:highlight w:val="white"/>
        </w:rPr>
        <w:t>月</w:t>
      </w:r>
      <w:r w:rsidR="002F0AD8">
        <w:rPr>
          <w:rFonts w:ascii="宋体" w:hAnsi="Calibri" w:cs="Calibri"/>
          <w:color w:val="000000"/>
          <w:szCs w:val="21"/>
          <w:highlight w:val="white"/>
        </w:rPr>
        <w:t>24</w:t>
      </w:r>
      <w:r>
        <w:rPr>
          <w:rFonts w:ascii="宋体" w:hAnsi="Calibri" w:cs="宋体"/>
          <w:color w:val="000000"/>
          <w:szCs w:val="21"/>
          <w:highlight w:val="white"/>
        </w:rPr>
        <w:t>日</w:t>
      </w:r>
    </w:p>
    <w:p w:rsidR="00257FC2">
      <w:pPr>
        <w:spacing w:line="360" w:lineRule="auto"/>
        <w:ind w:right="420" w:firstLine="420"/>
        <w:jc w:val="right"/>
        <w:rPr>
          <w:rFonts w:ascii="宋体" w:hAnsi="Calibri" w:cs="宋体"/>
        </w:rPr>
      </w:pPr>
    </w:p>
    <w:p w:rsidR="00257FC2">
      <w:pPr>
        <w:snapToGrid w:val="0"/>
        <w:spacing w:line="360" w:lineRule="auto"/>
        <w:ind w:right="210" w:firstLine="420"/>
        <w:jc w:val="right"/>
        <w:rPr>
          <w:rFonts w:ascii="宋体" w:hAnsi="Calibri" w:cs="宋体"/>
          <w:szCs w:val="21"/>
        </w:rPr>
      </w:pPr>
    </w:p>
    <w:p w:rsidR="00257FC2">
      <w:pPr>
        <w:pStyle w:val="PlainText"/>
        <w:spacing w:line="400" w:lineRule="exact"/>
        <w:ind w:firstLine="480"/>
        <w:rPr>
          <w:rFonts w:hAnsi="Calibri" w:cs="宋体"/>
          <w:bCs/>
          <w:sz w:val="20"/>
          <w:szCs w:val="20"/>
        </w:rPr>
      </w:pPr>
    </w:p>
    <w:p w:rsidR="00257FC2">
      <w:pPr>
        <w:pStyle w:val="PlainText"/>
        <w:spacing w:line="400" w:lineRule="exact"/>
        <w:ind w:firstLine="420"/>
        <w:jc w:val="right"/>
        <w:rPr>
          <w:rFonts w:hAnsi="Calibri" w:cs="宋体"/>
          <w:sz w:val="21"/>
        </w:rPr>
      </w:pPr>
    </w:p>
    <w:p w:rsidR="00257FC2">
      <w:pPr>
        <w:rPr>
          <w:rFonts w:ascii="宋体" w:hAnsi="Calibri" w:cs="宋体"/>
        </w:rPr>
      </w:pPr>
      <w:bookmarkStart w:id="1871" w:name="_Toc38440388"/>
      <w:bookmarkStart w:id="1872" w:name="_Toc38440920"/>
      <w:bookmarkStart w:id="1873" w:name="_Toc38441252"/>
      <w:bookmarkStart w:id="1874" w:name="_Toc38441584"/>
      <w:bookmarkStart w:id="1875" w:name="_Toc38441912"/>
      <w:bookmarkStart w:id="1876" w:name="_Toc38442244"/>
      <w:bookmarkStart w:id="1877" w:name="_Toc38442576"/>
      <w:bookmarkStart w:id="1878" w:name="_Toc38442907"/>
      <w:bookmarkStart w:id="1879" w:name="_Toc38443238"/>
      <w:bookmarkStart w:id="1880" w:name="_Toc38443569"/>
      <w:bookmarkStart w:id="1881" w:name="_Toc38443899"/>
      <w:bookmarkStart w:id="1882" w:name="_Toc38438367"/>
      <w:bookmarkStart w:id="1883" w:name="_Toc38438704"/>
      <w:bookmarkStart w:id="1884" w:name="_Toc38439041"/>
      <w:bookmarkStart w:id="1885" w:name="_Toc38439378"/>
      <w:bookmarkStart w:id="1886" w:name="_Toc38439715"/>
      <w:bookmarkStart w:id="1887" w:name="_Toc38440052"/>
      <w:bookmarkStart w:id="1888" w:name="_Toc38440389"/>
      <w:bookmarkStart w:id="1889" w:name="_Toc38440921"/>
      <w:bookmarkStart w:id="1890" w:name="_Toc38441253"/>
      <w:bookmarkStart w:id="1891" w:name="_Toc38441585"/>
      <w:bookmarkStart w:id="1892" w:name="_Toc38441913"/>
      <w:bookmarkStart w:id="1893" w:name="_Toc38442245"/>
      <w:bookmarkStart w:id="1894" w:name="_Toc38442577"/>
      <w:bookmarkStart w:id="1895" w:name="_Toc38442908"/>
      <w:bookmarkStart w:id="1896" w:name="_Toc38443239"/>
      <w:bookmarkStart w:id="1897" w:name="_Toc38443570"/>
      <w:bookmarkStart w:id="1898" w:name="_Toc38443900"/>
      <w:bookmarkStart w:id="1899" w:name="_Toc38438350"/>
      <w:bookmarkStart w:id="1900" w:name="_Toc38438687"/>
      <w:bookmarkStart w:id="1901" w:name="_Toc38439024"/>
      <w:bookmarkStart w:id="1902" w:name="_Toc38439361"/>
      <w:bookmarkStart w:id="1903" w:name="_Toc38439698"/>
      <w:bookmarkStart w:id="1904" w:name="_Toc38440035"/>
      <w:bookmarkStart w:id="1905" w:name="_Toc38440372"/>
      <w:bookmarkStart w:id="1906" w:name="_Toc38440904"/>
      <w:bookmarkStart w:id="1907" w:name="_Toc38441236"/>
      <w:bookmarkStart w:id="1908" w:name="_Toc38441568"/>
      <w:bookmarkStart w:id="1909" w:name="_Toc38441896"/>
      <w:bookmarkStart w:id="1910" w:name="_Toc38442228"/>
      <w:bookmarkStart w:id="1911" w:name="_Toc38442560"/>
      <w:bookmarkStart w:id="1912" w:name="_Toc38442891"/>
      <w:bookmarkStart w:id="1913" w:name="_Toc38443222"/>
      <w:bookmarkStart w:id="1914" w:name="_Toc38443553"/>
      <w:bookmarkStart w:id="1915" w:name="_Toc38443883"/>
      <w:bookmarkStart w:id="1916" w:name="_Toc38438351"/>
      <w:bookmarkStart w:id="1917" w:name="_Toc38438688"/>
      <w:bookmarkStart w:id="1918" w:name="_Toc38439025"/>
      <w:bookmarkStart w:id="1919" w:name="_Toc38439362"/>
      <w:bookmarkStart w:id="1920" w:name="_Toc38439699"/>
      <w:bookmarkStart w:id="1921" w:name="_Toc38440036"/>
      <w:bookmarkStart w:id="1922" w:name="_Toc38440373"/>
      <w:bookmarkStart w:id="1923" w:name="_Toc38440905"/>
      <w:bookmarkStart w:id="1924" w:name="_Toc38441237"/>
      <w:bookmarkStart w:id="1925" w:name="_Toc38441569"/>
      <w:bookmarkStart w:id="1926" w:name="_Toc38441897"/>
      <w:bookmarkStart w:id="1927" w:name="_Toc38442229"/>
      <w:bookmarkStart w:id="1928" w:name="_Toc38442561"/>
      <w:bookmarkStart w:id="1929" w:name="_Toc38442892"/>
      <w:bookmarkStart w:id="1930" w:name="_Toc38443223"/>
      <w:bookmarkStart w:id="1931" w:name="_Toc38443554"/>
      <w:bookmarkStart w:id="1932" w:name="_Toc38443884"/>
      <w:bookmarkStart w:id="1933" w:name="_Toc38438352"/>
      <w:bookmarkStart w:id="1934" w:name="_Toc38438689"/>
      <w:bookmarkStart w:id="1935" w:name="_Toc38439026"/>
      <w:bookmarkStart w:id="1936" w:name="_Toc38439363"/>
      <w:bookmarkStart w:id="1937" w:name="_Toc38439700"/>
      <w:bookmarkStart w:id="1938" w:name="_Toc38440037"/>
      <w:bookmarkStart w:id="1939" w:name="_Toc38440374"/>
      <w:bookmarkStart w:id="1940" w:name="_Toc38440906"/>
      <w:bookmarkStart w:id="1941" w:name="_Toc38441238"/>
      <w:bookmarkStart w:id="1942" w:name="_Toc38441570"/>
      <w:bookmarkStart w:id="1943" w:name="_Toc38441898"/>
      <w:bookmarkStart w:id="1944" w:name="_Toc38442230"/>
      <w:bookmarkStart w:id="1945" w:name="_Toc38442562"/>
      <w:bookmarkStart w:id="1946" w:name="_Toc38442893"/>
      <w:bookmarkStart w:id="1947" w:name="_Toc38443224"/>
      <w:bookmarkStart w:id="1948" w:name="_Toc38443555"/>
      <w:bookmarkStart w:id="1949" w:name="_Toc38443885"/>
      <w:bookmarkStart w:id="1950" w:name="_Toc38438353"/>
      <w:bookmarkStart w:id="1951" w:name="_Toc38438690"/>
      <w:bookmarkStart w:id="1952" w:name="_Toc38439027"/>
      <w:bookmarkStart w:id="1953" w:name="_Toc38439364"/>
      <w:bookmarkStart w:id="1954" w:name="_Toc38439701"/>
      <w:bookmarkStart w:id="1955" w:name="_Toc38440038"/>
      <w:bookmarkStart w:id="1956" w:name="_Toc38440375"/>
      <w:bookmarkStart w:id="1957" w:name="_Toc38440907"/>
      <w:bookmarkStart w:id="1958" w:name="_Toc38441239"/>
      <w:bookmarkStart w:id="1959" w:name="_Toc38441571"/>
      <w:bookmarkStart w:id="1960" w:name="_Toc38441899"/>
      <w:bookmarkStart w:id="1961" w:name="_Toc38442231"/>
      <w:bookmarkStart w:id="1962" w:name="_Toc38442563"/>
      <w:bookmarkStart w:id="1963" w:name="_Toc38442894"/>
      <w:bookmarkStart w:id="1964" w:name="_Toc38443225"/>
      <w:bookmarkStart w:id="1965" w:name="_Toc38443556"/>
      <w:bookmarkStart w:id="1966" w:name="_Toc38443886"/>
      <w:bookmarkStart w:id="1967" w:name="_Toc38438354"/>
      <w:bookmarkStart w:id="1968" w:name="_Toc38438691"/>
      <w:bookmarkStart w:id="1969" w:name="_Toc38439028"/>
      <w:bookmarkStart w:id="1970" w:name="_Toc38439365"/>
      <w:bookmarkStart w:id="1971" w:name="_Toc38439702"/>
      <w:bookmarkStart w:id="1972" w:name="_Toc38440039"/>
      <w:bookmarkStart w:id="1973" w:name="_Toc38440376"/>
      <w:bookmarkStart w:id="1974" w:name="_Toc38440908"/>
      <w:bookmarkStart w:id="1975" w:name="_Toc38441240"/>
      <w:bookmarkStart w:id="1976" w:name="_Toc38441572"/>
      <w:bookmarkStart w:id="1977" w:name="_Toc38441900"/>
      <w:bookmarkStart w:id="1978" w:name="_Toc38442232"/>
      <w:bookmarkStart w:id="1979" w:name="_Toc38442564"/>
      <w:bookmarkStart w:id="1980" w:name="_Toc38442895"/>
      <w:bookmarkStart w:id="1981" w:name="_Toc38443226"/>
      <w:bookmarkStart w:id="1982" w:name="_Toc38443557"/>
      <w:bookmarkStart w:id="1983" w:name="_Toc38443887"/>
      <w:bookmarkStart w:id="1984" w:name="_Toc38438355"/>
      <w:bookmarkStart w:id="1985" w:name="_Toc38438692"/>
      <w:bookmarkStart w:id="1986" w:name="_Toc38439029"/>
      <w:bookmarkStart w:id="1987" w:name="_Toc38439366"/>
      <w:bookmarkStart w:id="1988" w:name="_Toc38439703"/>
      <w:bookmarkStart w:id="1989" w:name="_Toc38440040"/>
      <w:bookmarkStart w:id="1990" w:name="_Toc38440377"/>
      <w:bookmarkStart w:id="1991" w:name="_Toc38440909"/>
      <w:bookmarkStart w:id="1992" w:name="_Toc38441241"/>
      <w:bookmarkStart w:id="1993" w:name="_Toc38441573"/>
      <w:bookmarkStart w:id="1994" w:name="_Toc38441901"/>
      <w:bookmarkStart w:id="1995" w:name="_Toc38442233"/>
      <w:bookmarkStart w:id="1996" w:name="_Toc38442565"/>
      <w:bookmarkStart w:id="1997" w:name="_Toc38442896"/>
      <w:bookmarkStart w:id="1998" w:name="_Toc38443227"/>
      <w:bookmarkStart w:id="1999" w:name="_Toc38443558"/>
      <w:bookmarkStart w:id="2000" w:name="_Toc38443888"/>
      <w:bookmarkStart w:id="2001" w:name="_Toc38438356"/>
      <w:bookmarkStart w:id="2002" w:name="_Toc38438693"/>
      <w:bookmarkStart w:id="2003" w:name="_Toc38439030"/>
      <w:bookmarkStart w:id="2004" w:name="_Toc38439367"/>
      <w:bookmarkStart w:id="2005" w:name="_Toc38439704"/>
      <w:bookmarkStart w:id="2006" w:name="_Toc38440041"/>
      <w:bookmarkStart w:id="2007" w:name="_Toc38440378"/>
      <w:bookmarkStart w:id="2008" w:name="_Toc38440910"/>
      <w:bookmarkStart w:id="2009" w:name="_Toc38441242"/>
      <w:bookmarkStart w:id="2010" w:name="_Toc38441574"/>
      <w:bookmarkStart w:id="2011" w:name="_Toc38441902"/>
      <w:bookmarkStart w:id="2012" w:name="_Toc38442234"/>
      <w:bookmarkStart w:id="2013" w:name="_Toc38442566"/>
      <w:bookmarkStart w:id="2014" w:name="_Toc38442897"/>
      <w:bookmarkStart w:id="2015" w:name="_Toc38443228"/>
      <w:bookmarkStart w:id="2016" w:name="_Toc38443559"/>
      <w:bookmarkStart w:id="2017" w:name="_Toc38443889"/>
      <w:bookmarkStart w:id="2018" w:name="_Toc38438357"/>
      <w:bookmarkStart w:id="2019" w:name="_Toc38438694"/>
      <w:bookmarkStart w:id="2020" w:name="_Toc38439031"/>
      <w:bookmarkStart w:id="2021" w:name="_Toc38439368"/>
      <w:bookmarkStart w:id="2022" w:name="_Toc38439705"/>
      <w:bookmarkStart w:id="2023" w:name="_Toc38440042"/>
      <w:bookmarkStart w:id="2024" w:name="_Toc38440379"/>
      <w:bookmarkStart w:id="2025" w:name="_Toc38440911"/>
      <w:bookmarkStart w:id="2026" w:name="_Toc38441243"/>
      <w:bookmarkStart w:id="2027" w:name="_Toc38441575"/>
      <w:bookmarkStart w:id="2028" w:name="_Toc38441903"/>
      <w:bookmarkStart w:id="2029" w:name="_Toc38442235"/>
      <w:bookmarkStart w:id="2030" w:name="_Toc38442567"/>
      <w:bookmarkStart w:id="2031" w:name="_Toc38442898"/>
      <w:bookmarkStart w:id="2032" w:name="_Toc38443229"/>
      <w:bookmarkStart w:id="2033" w:name="_Toc38443560"/>
      <w:bookmarkStart w:id="2034" w:name="_Toc38443890"/>
      <w:bookmarkStart w:id="2035" w:name="_Toc38438358"/>
      <w:bookmarkStart w:id="2036" w:name="_Toc38438695"/>
      <w:bookmarkStart w:id="2037" w:name="_Toc38439032"/>
      <w:bookmarkStart w:id="2038" w:name="_Toc38439369"/>
      <w:bookmarkStart w:id="2039" w:name="_Toc38439706"/>
      <w:bookmarkStart w:id="2040" w:name="_Toc38440043"/>
      <w:bookmarkStart w:id="2041" w:name="_Toc38440380"/>
      <w:bookmarkStart w:id="2042" w:name="_Toc38440912"/>
      <w:bookmarkStart w:id="2043" w:name="_Toc38441244"/>
      <w:bookmarkStart w:id="2044" w:name="_Toc38441576"/>
      <w:bookmarkStart w:id="2045" w:name="_Toc38441904"/>
      <w:bookmarkStart w:id="2046" w:name="_Toc38442236"/>
      <w:bookmarkStart w:id="2047" w:name="_Toc38442568"/>
      <w:bookmarkStart w:id="2048" w:name="_Toc38442899"/>
      <w:bookmarkStart w:id="2049" w:name="_Toc38443230"/>
      <w:bookmarkStart w:id="2050" w:name="_Toc38443561"/>
      <w:bookmarkStart w:id="2051" w:name="_Toc38443891"/>
      <w:bookmarkStart w:id="2052" w:name="_Toc38438359"/>
      <w:bookmarkStart w:id="2053" w:name="_Toc38438696"/>
      <w:bookmarkStart w:id="2054" w:name="_Toc38439033"/>
      <w:bookmarkStart w:id="2055" w:name="_Toc38439370"/>
      <w:bookmarkStart w:id="2056" w:name="_Toc38439707"/>
      <w:bookmarkStart w:id="2057" w:name="_Toc38440044"/>
      <w:bookmarkStart w:id="2058" w:name="_Toc38440381"/>
      <w:bookmarkStart w:id="2059" w:name="_Toc38440913"/>
      <w:bookmarkStart w:id="2060" w:name="_Toc38441245"/>
      <w:bookmarkStart w:id="2061" w:name="_Toc38441577"/>
      <w:bookmarkStart w:id="2062" w:name="_Toc38441905"/>
      <w:bookmarkStart w:id="2063" w:name="_Toc38442237"/>
      <w:bookmarkStart w:id="2064" w:name="_Toc38442569"/>
      <w:bookmarkStart w:id="2065" w:name="_Toc38442900"/>
      <w:bookmarkStart w:id="2066" w:name="_Toc38443231"/>
      <w:bookmarkStart w:id="2067" w:name="_Toc38443562"/>
      <w:bookmarkStart w:id="2068" w:name="_Toc38443892"/>
      <w:bookmarkStart w:id="2069" w:name="_Toc38438360"/>
      <w:bookmarkStart w:id="2070" w:name="_Toc38438697"/>
      <w:bookmarkStart w:id="2071" w:name="_Toc38439034"/>
      <w:bookmarkStart w:id="2072" w:name="_Toc38439371"/>
      <w:bookmarkStart w:id="2073" w:name="_Toc38439708"/>
      <w:bookmarkStart w:id="2074" w:name="_Toc38440045"/>
      <w:bookmarkStart w:id="2075" w:name="_Toc38440382"/>
      <w:bookmarkStart w:id="2076" w:name="_Toc38440914"/>
      <w:bookmarkStart w:id="2077" w:name="_Toc38441246"/>
      <w:bookmarkStart w:id="2078" w:name="_Toc38441578"/>
      <w:bookmarkStart w:id="2079" w:name="_Toc38441906"/>
      <w:bookmarkStart w:id="2080" w:name="_Toc38442238"/>
      <w:bookmarkStart w:id="2081" w:name="_Toc38442570"/>
      <w:bookmarkStart w:id="2082" w:name="_Toc38442901"/>
      <w:bookmarkStart w:id="2083" w:name="_Toc38443232"/>
      <w:bookmarkStart w:id="2084" w:name="_Toc38443563"/>
      <w:bookmarkStart w:id="2085" w:name="_Toc38443893"/>
      <w:bookmarkStart w:id="2086" w:name="_Toc38438361"/>
      <w:bookmarkStart w:id="2087" w:name="_Toc38438698"/>
      <w:bookmarkStart w:id="2088" w:name="_Toc38439035"/>
      <w:bookmarkStart w:id="2089" w:name="_Toc38439372"/>
      <w:bookmarkStart w:id="2090" w:name="_Toc38439709"/>
      <w:bookmarkStart w:id="2091" w:name="_Toc38440046"/>
      <w:bookmarkStart w:id="2092" w:name="_Toc38440383"/>
      <w:bookmarkStart w:id="2093" w:name="_Toc38440915"/>
      <w:bookmarkStart w:id="2094" w:name="_Toc38441247"/>
      <w:bookmarkStart w:id="2095" w:name="_Toc38441579"/>
      <w:bookmarkStart w:id="2096" w:name="_Toc38441907"/>
      <w:bookmarkStart w:id="2097" w:name="_Toc38442239"/>
      <w:bookmarkStart w:id="2098" w:name="_Toc38442571"/>
      <w:bookmarkStart w:id="2099" w:name="_Toc38442902"/>
      <w:bookmarkStart w:id="2100" w:name="_Toc38443233"/>
      <w:bookmarkStart w:id="2101" w:name="_Toc38443564"/>
      <w:bookmarkStart w:id="2102" w:name="_Toc38443894"/>
      <w:bookmarkStart w:id="2103" w:name="_Toc38438362"/>
      <w:bookmarkStart w:id="2104" w:name="_Toc38438699"/>
      <w:bookmarkStart w:id="2105" w:name="_Toc38439036"/>
      <w:bookmarkStart w:id="2106" w:name="_Toc38439373"/>
      <w:bookmarkStart w:id="2107" w:name="_Toc38439710"/>
      <w:bookmarkStart w:id="2108" w:name="_Toc38440047"/>
      <w:bookmarkStart w:id="2109" w:name="_Toc38440384"/>
      <w:bookmarkStart w:id="2110" w:name="_Toc38440916"/>
      <w:bookmarkStart w:id="2111" w:name="_Toc38441248"/>
      <w:bookmarkStart w:id="2112" w:name="_Toc38441580"/>
      <w:bookmarkStart w:id="2113" w:name="_Toc38441908"/>
      <w:bookmarkStart w:id="2114" w:name="_Toc38442240"/>
      <w:bookmarkStart w:id="2115" w:name="_Toc38442572"/>
      <w:bookmarkStart w:id="2116" w:name="_Toc38442903"/>
      <w:bookmarkStart w:id="2117" w:name="_Toc38443234"/>
      <w:bookmarkStart w:id="2118" w:name="_Toc38443565"/>
      <w:bookmarkStart w:id="2119" w:name="_Toc38443895"/>
      <w:bookmarkStart w:id="2120" w:name="_Toc38438363"/>
      <w:bookmarkStart w:id="2121" w:name="_Toc38438700"/>
      <w:bookmarkStart w:id="2122" w:name="_Toc38439037"/>
      <w:bookmarkStart w:id="2123" w:name="_Toc38439374"/>
      <w:bookmarkStart w:id="2124" w:name="_Toc38439711"/>
      <w:bookmarkStart w:id="2125" w:name="_Toc38440048"/>
      <w:bookmarkStart w:id="2126" w:name="_Toc38440385"/>
      <w:bookmarkStart w:id="2127" w:name="_Toc38440917"/>
      <w:bookmarkStart w:id="2128" w:name="_Toc38441249"/>
      <w:bookmarkStart w:id="2129" w:name="_Toc38441581"/>
      <w:bookmarkStart w:id="2130" w:name="_Toc38441909"/>
      <w:bookmarkStart w:id="2131" w:name="_Toc38442241"/>
      <w:bookmarkStart w:id="2132" w:name="_Toc38442573"/>
      <w:bookmarkStart w:id="2133" w:name="_Toc38442904"/>
      <w:bookmarkStart w:id="2134" w:name="_Toc38443235"/>
      <w:bookmarkStart w:id="2135" w:name="_Toc38443566"/>
      <w:bookmarkStart w:id="2136" w:name="_Toc38443896"/>
      <w:bookmarkStart w:id="2137" w:name="_Toc38438364"/>
      <w:bookmarkStart w:id="2138" w:name="_Toc38438701"/>
      <w:bookmarkStart w:id="2139" w:name="_Toc38439038"/>
      <w:bookmarkStart w:id="2140" w:name="_Toc38439375"/>
      <w:bookmarkStart w:id="2141" w:name="_Toc38439712"/>
      <w:bookmarkStart w:id="2142" w:name="_Toc38440049"/>
      <w:bookmarkStart w:id="2143" w:name="_Toc38440386"/>
      <w:bookmarkStart w:id="2144" w:name="_Toc38440918"/>
      <w:bookmarkStart w:id="2145" w:name="_Toc38441250"/>
      <w:bookmarkStart w:id="2146" w:name="_Toc38441582"/>
      <w:bookmarkStart w:id="2147" w:name="_Toc38441910"/>
      <w:bookmarkStart w:id="2148" w:name="_Toc38442242"/>
      <w:bookmarkStart w:id="2149" w:name="_Toc38442574"/>
      <w:bookmarkStart w:id="2150" w:name="_Toc38442905"/>
      <w:bookmarkStart w:id="2151" w:name="_Toc38443236"/>
      <w:bookmarkStart w:id="2152" w:name="_Toc38443567"/>
      <w:bookmarkStart w:id="2153" w:name="_Toc38443897"/>
      <w:bookmarkStart w:id="2154" w:name="_Toc38438365"/>
      <w:bookmarkStart w:id="2155" w:name="_Toc38438702"/>
      <w:bookmarkStart w:id="2156" w:name="_Toc38439039"/>
      <w:bookmarkStart w:id="2157" w:name="_Toc38439376"/>
      <w:bookmarkStart w:id="2158" w:name="_Toc38439713"/>
      <w:bookmarkStart w:id="2159" w:name="_Toc38440050"/>
      <w:bookmarkStart w:id="2160" w:name="_Toc38440387"/>
      <w:bookmarkStart w:id="2161" w:name="_Toc38440919"/>
      <w:bookmarkStart w:id="2162" w:name="_Toc38441251"/>
      <w:bookmarkStart w:id="2163" w:name="_Toc38441583"/>
      <w:bookmarkStart w:id="2164" w:name="_Toc38441911"/>
      <w:bookmarkStart w:id="2165" w:name="_Toc38442243"/>
      <w:bookmarkStart w:id="2166" w:name="_Toc38442575"/>
      <w:bookmarkStart w:id="2167" w:name="_Toc38442906"/>
      <w:bookmarkStart w:id="2168" w:name="_Toc38443237"/>
      <w:bookmarkStart w:id="2169" w:name="_Toc38443568"/>
      <w:bookmarkStart w:id="2170" w:name="_Toc38443898"/>
      <w:bookmarkStart w:id="2171" w:name="_Toc38438366"/>
      <w:bookmarkStart w:id="2172" w:name="_Toc38438703"/>
      <w:bookmarkStart w:id="2173" w:name="_Toc38439040"/>
      <w:bookmarkStart w:id="2174" w:name="_Toc38439377"/>
      <w:bookmarkStart w:id="2175" w:name="_Toc38439714"/>
      <w:bookmarkStart w:id="2176" w:name="_Toc38440051"/>
      <w:bookmarkStart w:id="2177" w:name="_Toc38438368"/>
      <w:bookmarkStart w:id="2178" w:name="_Toc38438705"/>
      <w:bookmarkStart w:id="2179" w:name="_Toc38439042"/>
      <w:bookmarkStart w:id="2180" w:name="_Toc38439379"/>
      <w:bookmarkStart w:id="2181" w:name="_Toc38439716"/>
      <w:bookmarkStart w:id="2182" w:name="_Toc38440053"/>
      <w:bookmarkStart w:id="2183" w:name="_Toc38440390"/>
      <w:bookmarkStart w:id="2184" w:name="_Toc38440922"/>
      <w:bookmarkStart w:id="2185" w:name="_Toc38441254"/>
      <w:bookmarkStart w:id="2186" w:name="_Toc38441586"/>
      <w:bookmarkStart w:id="2187" w:name="_Toc38441914"/>
      <w:bookmarkStart w:id="2188" w:name="_Toc38442246"/>
      <w:bookmarkStart w:id="2189" w:name="_Toc38442578"/>
      <w:bookmarkStart w:id="2190" w:name="_Toc38442909"/>
      <w:bookmarkStart w:id="2191" w:name="_Toc38443240"/>
      <w:bookmarkStart w:id="2192" w:name="_Toc38443571"/>
      <w:bookmarkStart w:id="2193" w:name="_Toc38443901"/>
      <w:bookmarkStart w:id="2194" w:name="_Toc38438369"/>
      <w:bookmarkStart w:id="2195" w:name="_Toc38438706"/>
      <w:bookmarkStart w:id="2196" w:name="_Toc38439043"/>
      <w:bookmarkStart w:id="2197" w:name="_Toc38439380"/>
      <w:bookmarkStart w:id="2198" w:name="_Toc38439717"/>
      <w:bookmarkStart w:id="2199" w:name="_Toc38440054"/>
      <w:bookmarkStart w:id="2200" w:name="_Toc38440391"/>
      <w:bookmarkStart w:id="2201" w:name="_Toc38440923"/>
      <w:bookmarkStart w:id="2202" w:name="_Toc38441255"/>
      <w:bookmarkStart w:id="2203" w:name="_Toc38441587"/>
      <w:bookmarkStart w:id="2204" w:name="_Toc38441915"/>
      <w:bookmarkStart w:id="2205" w:name="_Toc38442247"/>
      <w:bookmarkStart w:id="2206" w:name="_Toc38442579"/>
      <w:bookmarkStart w:id="2207" w:name="_Toc38442910"/>
      <w:bookmarkStart w:id="2208" w:name="_Toc38443241"/>
      <w:bookmarkStart w:id="2209" w:name="_Toc38443572"/>
      <w:bookmarkStart w:id="2210" w:name="_Toc38443902"/>
      <w:bookmarkStart w:id="2211" w:name="_Toc38438371"/>
      <w:bookmarkStart w:id="2212" w:name="_Toc38438708"/>
      <w:bookmarkStart w:id="2213" w:name="_Toc38439045"/>
      <w:bookmarkStart w:id="2214" w:name="_Toc38439382"/>
      <w:bookmarkStart w:id="2215" w:name="_Toc38439719"/>
      <w:bookmarkStart w:id="2216" w:name="_Toc38440056"/>
      <w:bookmarkStart w:id="2217" w:name="_Toc38440393"/>
      <w:bookmarkStart w:id="2218" w:name="_Toc38440925"/>
      <w:bookmarkStart w:id="2219" w:name="_Toc38441257"/>
      <w:bookmarkStart w:id="2220" w:name="_Toc38441589"/>
      <w:bookmarkStart w:id="2221" w:name="_Toc38441917"/>
      <w:bookmarkStart w:id="2222" w:name="_Toc38442249"/>
      <w:bookmarkStart w:id="2223" w:name="_Toc38442581"/>
      <w:bookmarkStart w:id="2224" w:name="_Toc38442912"/>
      <w:bookmarkStart w:id="2225" w:name="_Toc38443243"/>
      <w:bookmarkStart w:id="2226" w:name="_Toc38443574"/>
      <w:bookmarkStart w:id="2227" w:name="_Toc38443904"/>
      <w:bookmarkStart w:id="2228" w:name="_Toc38438372"/>
      <w:bookmarkStart w:id="2229" w:name="_Toc38438709"/>
      <w:bookmarkStart w:id="2230" w:name="_Toc38439046"/>
      <w:bookmarkStart w:id="2231" w:name="_Toc38439383"/>
      <w:bookmarkStart w:id="2232" w:name="_Toc38439720"/>
      <w:bookmarkStart w:id="2233" w:name="_Toc38440057"/>
      <w:bookmarkStart w:id="2234" w:name="_Toc38440394"/>
      <w:bookmarkStart w:id="2235" w:name="_Toc38440926"/>
      <w:bookmarkStart w:id="2236" w:name="_Toc38441258"/>
      <w:bookmarkStart w:id="2237" w:name="_Toc38441590"/>
      <w:bookmarkStart w:id="2238" w:name="_Toc38441918"/>
      <w:bookmarkStart w:id="2239" w:name="_Toc38442250"/>
      <w:bookmarkStart w:id="2240" w:name="_Toc38442582"/>
      <w:bookmarkStart w:id="2241" w:name="_Toc38442913"/>
      <w:bookmarkStart w:id="2242" w:name="_Toc38443244"/>
      <w:bookmarkStart w:id="2243" w:name="_Toc38443575"/>
      <w:bookmarkStart w:id="2244" w:name="_Toc38443905"/>
      <w:bookmarkStart w:id="2245" w:name="_Toc38438373"/>
      <w:bookmarkStart w:id="2246" w:name="_Toc38438710"/>
      <w:bookmarkStart w:id="2247" w:name="_Toc38439047"/>
      <w:bookmarkStart w:id="2248" w:name="_Toc38439384"/>
      <w:bookmarkStart w:id="2249" w:name="_Toc38439721"/>
      <w:bookmarkStart w:id="2250" w:name="_Toc38440058"/>
      <w:bookmarkStart w:id="2251" w:name="_Toc38440395"/>
      <w:bookmarkStart w:id="2252" w:name="_Toc38440927"/>
      <w:bookmarkStart w:id="2253" w:name="_Toc38441259"/>
      <w:bookmarkStart w:id="2254" w:name="_Toc38441591"/>
      <w:bookmarkStart w:id="2255" w:name="_Toc38441919"/>
      <w:bookmarkStart w:id="2256" w:name="_Toc38442251"/>
      <w:bookmarkStart w:id="2257" w:name="_Toc38442583"/>
      <w:bookmarkStart w:id="2258" w:name="_Toc38442914"/>
      <w:bookmarkStart w:id="2259" w:name="_Toc38443245"/>
      <w:bookmarkStart w:id="2260" w:name="_Toc38443576"/>
      <w:bookmarkStart w:id="2261" w:name="_Toc38443906"/>
      <w:bookmarkStart w:id="2262" w:name="_Toc38438374"/>
      <w:bookmarkStart w:id="2263" w:name="_Toc38438711"/>
      <w:bookmarkStart w:id="2264" w:name="_Toc38439048"/>
      <w:bookmarkStart w:id="2265" w:name="_Toc38439385"/>
      <w:bookmarkStart w:id="2266" w:name="_Toc38439722"/>
      <w:bookmarkStart w:id="2267" w:name="_Toc38440059"/>
      <w:bookmarkStart w:id="2268" w:name="_Toc38440396"/>
      <w:bookmarkStart w:id="2269" w:name="_Toc38440928"/>
      <w:bookmarkStart w:id="2270" w:name="_Toc38441260"/>
      <w:bookmarkStart w:id="2271" w:name="_Toc38441592"/>
      <w:bookmarkStart w:id="2272" w:name="_Toc38441920"/>
      <w:bookmarkStart w:id="2273" w:name="_Toc38442252"/>
      <w:bookmarkStart w:id="2274" w:name="_Toc38442584"/>
      <w:bookmarkStart w:id="2275" w:name="_Toc38442915"/>
      <w:bookmarkStart w:id="2276" w:name="_Toc38443246"/>
      <w:bookmarkStart w:id="2277" w:name="_Toc38443577"/>
      <w:bookmarkStart w:id="2278" w:name="_Toc38443907"/>
      <w:bookmarkStart w:id="2279" w:name="_Toc38438375"/>
      <w:bookmarkStart w:id="2280" w:name="_Toc38438712"/>
      <w:bookmarkStart w:id="2281" w:name="_Toc38439049"/>
      <w:bookmarkStart w:id="2282" w:name="_Toc38439386"/>
      <w:bookmarkStart w:id="2283" w:name="_Toc38439723"/>
      <w:bookmarkStart w:id="2284" w:name="_Toc38440060"/>
      <w:bookmarkStart w:id="2285" w:name="_Toc38440397"/>
      <w:bookmarkStart w:id="2286" w:name="_Toc38440929"/>
      <w:bookmarkStart w:id="2287" w:name="_Toc38441261"/>
      <w:bookmarkStart w:id="2288" w:name="_Toc38441593"/>
      <w:bookmarkStart w:id="2289" w:name="_Toc38441921"/>
      <w:bookmarkStart w:id="2290" w:name="_Toc38442253"/>
      <w:bookmarkStart w:id="2291" w:name="_Toc38442585"/>
      <w:bookmarkStart w:id="2292" w:name="_Toc38442916"/>
      <w:bookmarkStart w:id="2293" w:name="_Toc38443247"/>
      <w:bookmarkStart w:id="2294" w:name="_Toc38443578"/>
      <w:bookmarkStart w:id="2295" w:name="_Toc38443908"/>
      <w:bookmarkStart w:id="2296" w:name="_Toc38438376"/>
      <w:bookmarkStart w:id="2297" w:name="_Toc38438713"/>
      <w:bookmarkStart w:id="2298" w:name="_Toc38439050"/>
      <w:bookmarkStart w:id="2299" w:name="_Toc38439387"/>
      <w:bookmarkStart w:id="2300" w:name="_Toc38439724"/>
      <w:bookmarkStart w:id="2301" w:name="_Toc38440061"/>
      <w:bookmarkStart w:id="2302" w:name="_Toc38440398"/>
      <w:bookmarkStart w:id="2303" w:name="_Toc38440930"/>
      <w:bookmarkStart w:id="2304" w:name="_Toc38441262"/>
      <w:bookmarkStart w:id="2305" w:name="_Toc38441594"/>
      <w:bookmarkStart w:id="2306" w:name="_Toc38441922"/>
      <w:bookmarkStart w:id="2307" w:name="_Toc38442254"/>
      <w:bookmarkStart w:id="2308" w:name="_Toc38442586"/>
      <w:bookmarkStart w:id="2309" w:name="_Toc38442917"/>
      <w:bookmarkStart w:id="2310" w:name="_Toc38443248"/>
      <w:bookmarkStart w:id="2311" w:name="_Toc38443579"/>
      <w:bookmarkStart w:id="2312" w:name="_Toc38443909"/>
      <w:bookmarkStart w:id="2313" w:name="_Toc38438377"/>
      <w:bookmarkStart w:id="2314" w:name="_Toc38438714"/>
      <w:bookmarkStart w:id="2315" w:name="_Toc38439051"/>
      <w:bookmarkStart w:id="2316" w:name="_Toc38439388"/>
      <w:bookmarkStart w:id="2317" w:name="_Toc38439725"/>
      <w:bookmarkStart w:id="2318" w:name="_Toc38440062"/>
      <w:bookmarkStart w:id="2319" w:name="_Toc38440399"/>
      <w:bookmarkStart w:id="2320" w:name="_Toc38440931"/>
      <w:bookmarkStart w:id="2321" w:name="_Toc38441263"/>
      <w:bookmarkStart w:id="2322" w:name="_Toc38441595"/>
      <w:bookmarkStart w:id="2323" w:name="_Toc38441923"/>
      <w:bookmarkStart w:id="2324" w:name="_Toc38442255"/>
      <w:bookmarkStart w:id="2325" w:name="_Toc38442587"/>
      <w:bookmarkStart w:id="2326" w:name="_Toc38442918"/>
      <w:bookmarkStart w:id="2327" w:name="_Toc38443249"/>
      <w:bookmarkStart w:id="2328" w:name="_Toc38443580"/>
      <w:bookmarkStart w:id="2329" w:name="_Toc38443910"/>
      <w:bookmarkStart w:id="2330" w:name="_Toc38438378"/>
      <w:bookmarkStart w:id="2331" w:name="_Toc38438715"/>
      <w:bookmarkStart w:id="2332" w:name="_Toc38439052"/>
      <w:bookmarkStart w:id="2333" w:name="_Toc38439389"/>
      <w:bookmarkStart w:id="2334" w:name="_Toc38439726"/>
      <w:bookmarkStart w:id="2335" w:name="_Toc38440063"/>
      <w:bookmarkStart w:id="2336" w:name="_Toc38440400"/>
      <w:bookmarkStart w:id="2337" w:name="_Toc38440932"/>
      <w:bookmarkStart w:id="2338" w:name="_Toc38441264"/>
      <w:bookmarkStart w:id="2339" w:name="_Toc38441596"/>
      <w:bookmarkStart w:id="2340" w:name="_Toc38441924"/>
      <w:bookmarkStart w:id="2341" w:name="_Toc38442256"/>
      <w:bookmarkStart w:id="2342" w:name="_Toc38442588"/>
      <w:bookmarkStart w:id="2343" w:name="_Toc38442919"/>
      <w:bookmarkStart w:id="2344" w:name="_Toc38443250"/>
      <w:bookmarkStart w:id="2345" w:name="_Toc38443581"/>
      <w:bookmarkStart w:id="2346" w:name="_Toc38443911"/>
      <w:bookmarkStart w:id="2347" w:name="_Toc38438379"/>
      <w:bookmarkStart w:id="2348" w:name="_Toc38438716"/>
      <w:bookmarkStart w:id="2349" w:name="_Toc38439053"/>
      <w:bookmarkStart w:id="2350" w:name="_Toc38439390"/>
      <w:bookmarkStart w:id="2351" w:name="_Toc38439727"/>
      <w:bookmarkStart w:id="2352" w:name="_Toc38440064"/>
      <w:bookmarkStart w:id="2353" w:name="_Toc38440401"/>
      <w:bookmarkStart w:id="2354" w:name="_Toc38440933"/>
      <w:bookmarkStart w:id="2355" w:name="_Toc38441265"/>
      <w:bookmarkStart w:id="2356" w:name="_Toc38441597"/>
      <w:bookmarkStart w:id="2357" w:name="_Toc38441925"/>
      <w:bookmarkStart w:id="2358" w:name="_Toc38442257"/>
      <w:bookmarkStart w:id="2359" w:name="_Toc38442589"/>
      <w:bookmarkStart w:id="2360" w:name="_Toc38442920"/>
      <w:bookmarkStart w:id="2361" w:name="_Toc38443251"/>
      <w:bookmarkStart w:id="2362" w:name="_Toc38443582"/>
      <w:bookmarkStart w:id="2363" w:name="_Toc38443912"/>
      <w:bookmarkStart w:id="2364" w:name="_Toc38438380"/>
      <w:bookmarkStart w:id="2365" w:name="_Toc38438717"/>
      <w:bookmarkStart w:id="2366" w:name="_Toc38439054"/>
      <w:bookmarkStart w:id="2367" w:name="_Toc38439391"/>
      <w:bookmarkStart w:id="2368" w:name="_Toc38439728"/>
      <w:bookmarkStart w:id="2369" w:name="_Toc38440065"/>
      <w:bookmarkStart w:id="2370" w:name="_Toc38440402"/>
      <w:bookmarkStart w:id="2371" w:name="_Toc38440934"/>
      <w:bookmarkStart w:id="2372" w:name="_Toc38441266"/>
      <w:bookmarkStart w:id="2373" w:name="_Toc38441598"/>
      <w:bookmarkStart w:id="2374" w:name="_Toc38441926"/>
      <w:bookmarkStart w:id="2375" w:name="_Toc38442258"/>
      <w:bookmarkStart w:id="2376" w:name="_Toc38442590"/>
      <w:bookmarkStart w:id="2377" w:name="_Toc38442921"/>
      <w:bookmarkStart w:id="2378" w:name="_Toc38443252"/>
      <w:bookmarkStart w:id="2379" w:name="_Toc38443583"/>
      <w:bookmarkStart w:id="2380" w:name="_Toc38443913"/>
      <w:bookmarkStart w:id="2381" w:name="_Toc38438381"/>
      <w:bookmarkStart w:id="2382" w:name="_Toc38438718"/>
      <w:bookmarkStart w:id="2383" w:name="_Toc38439055"/>
      <w:bookmarkStart w:id="2384" w:name="_Toc38439392"/>
      <w:bookmarkStart w:id="2385" w:name="_Toc38439729"/>
      <w:bookmarkStart w:id="2386" w:name="_Toc38440066"/>
      <w:bookmarkStart w:id="2387" w:name="_Toc38440403"/>
      <w:bookmarkStart w:id="2388" w:name="_Toc38440935"/>
      <w:bookmarkStart w:id="2389" w:name="_Toc38441267"/>
      <w:bookmarkStart w:id="2390" w:name="_Toc38441599"/>
      <w:bookmarkStart w:id="2391" w:name="_Toc38441927"/>
      <w:bookmarkStart w:id="2392" w:name="_Toc38442259"/>
      <w:bookmarkStart w:id="2393" w:name="_Toc38442591"/>
      <w:bookmarkStart w:id="2394" w:name="_Toc38442922"/>
      <w:bookmarkStart w:id="2395" w:name="_Toc38443253"/>
      <w:bookmarkStart w:id="2396" w:name="_Toc38443584"/>
      <w:bookmarkStart w:id="2397" w:name="_Toc38443914"/>
      <w:bookmarkStart w:id="2398" w:name="_Toc38438382"/>
      <w:bookmarkStart w:id="2399" w:name="_Toc38438719"/>
      <w:bookmarkStart w:id="2400" w:name="_Toc38439056"/>
      <w:bookmarkStart w:id="2401" w:name="_Toc38439393"/>
      <w:bookmarkStart w:id="2402" w:name="_Toc38439730"/>
      <w:bookmarkStart w:id="2403" w:name="_Toc38440067"/>
      <w:bookmarkStart w:id="2404" w:name="_Toc38440404"/>
      <w:bookmarkStart w:id="2405" w:name="_Toc38440936"/>
      <w:bookmarkStart w:id="2406" w:name="_Toc38441268"/>
      <w:bookmarkStart w:id="2407" w:name="_Toc38441600"/>
      <w:bookmarkStart w:id="2408" w:name="_Toc38441928"/>
      <w:bookmarkStart w:id="2409" w:name="_Toc38442260"/>
      <w:bookmarkStart w:id="2410" w:name="_Toc38442592"/>
      <w:bookmarkStart w:id="2411" w:name="_Toc38442923"/>
      <w:bookmarkStart w:id="2412" w:name="_Toc38443254"/>
      <w:bookmarkStart w:id="2413" w:name="_Toc38443585"/>
      <w:bookmarkStart w:id="2414" w:name="_Toc38443915"/>
      <w:bookmarkStart w:id="2415" w:name="_Toc38438383"/>
      <w:bookmarkStart w:id="2416" w:name="_Toc38438720"/>
      <w:bookmarkStart w:id="2417" w:name="_Toc38439057"/>
      <w:bookmarkStart w:id="2418" w:name="_Toc38439394"/>
      <w:bookmarkStart w:id="2419" w:name="_Toc38439731"/>
      <w:bookmarkStart w:id="2420" w:name="_Toc38440068"/>
      <w:bookmarkStart w:id="2421" w:name="_Toc38440405"/>
      <w:bookmarkStart w:id="2422" w:name="_Toc38440937"/>
      <w:bookmarkStart w:id="2423" w:name="_Toc38441269"/>
      <w:bookmarkStart w:id="2424" w:name="_Toc38441601"/>
      <w:bookmarkStart w:id="2425" w:name="_Toc38441929"/>
      <w:bookmarkStart w:id="2426" w:name="_Toc38442261"/>
      <w:bookmarkStart w:id="2427" w:name="_Toc38442593"/>
      <w:bookmarkStart w:id="2428" w:name="_Toc38442924"/>
      <w:bookmarkStart w:id="2429" w:name="_Toc38443255"/>
      <w:bookmarkStart w:id="2430" w:name="_Toc38443586"/>
      <w:bookmarkStart w:id="2431" w:name="_Toc38443916"/>
      <w:bookmarkStart w:id="2432" w:name="_Toc38438384"/>
      <w:bookmarkStart w:id="2433" w:name="_Toc38438721"/>
      <w:bookmarkStart w:id="2434" w:name="_Toc38439058"/>
      <w:bookmarkStart w:id="2435" w:name="_Toc38439395"/>
      <w:bookmarkStart w:id="2436" w:name="_Toc38439732"/>
      <w:bookmarkStart w:id="2437" w:name="_Toc38440069"/>
      <w:bookmarkStart w:id="2438" w:name="_Toc38440406"/>
      <w:bookmarkStart w:id="2439" w:name="_Toc38440938"/>
      <w:bookmarkStart w:id="2440" w:name="_Toc38441270"/>
      <w:bookmarkStart w:id="2441" w:name="_Toc38441602"/>
      <w:bookmarkStart w:id="2442" w:name="_Toc38441930"/>
      <w:bookmarkStart w:id="2443" w:name="_Toc38442262"/>
      <w:bookmarkStart w:id="2444" w:name="_Toc38442594"/>
      <w:bookmarkStart w:id="2445" w:name="_Toc38442925"/>
      <w:bookmarkStart w:id="2446" w:name="_Toc38443256"/>
      <w:bookmarkStart w:id="2447" w:name="_Toc38443587"/>
      <w:bookmarkStart w:id="2448" w:name="_Toc38443917"/>
      <w:bookmarkStart w:id="2449" w:name="_Toc38438385"/>
      <w:bookmarkStart w:id="2450" w:name="_Toc38438722"/>
      <w:bookmarkStart w:id="2451" w:name="_Toc38439059"/>
      <w:bookmarkStart w:id="2452" w:name="_Toc38439396"/>
      <w:bookmarkStart w:id="2453" w:name="_Toc38439733"/>
      <w:bookmarkStart w:id="2454" w:name="_Toc38440070"/>
      <w:bookmarkStart w:id="2455" w:name="_Toc38440407"/>
      <w:bookmarkStart w:id="2456" w:name="_Toc38440939"/>
      <w:bookmarkStart w:id="2457" w:name="_Toc38441271"/>
      <w:bookmarkStart w:id="2458" w:name="_Toc38441603"/>
      <w:bookmarkStart w:id="2459" w:name="_Toc38441931"/>
      <w:bookmarkStart w:id="2460" w:name="_Toc38442263"/>
      <w:bookmarkStart w:id="2461" w:name="_Toc38442595"/>
      <w:bookmarkStart w:id="2462" w:name="_Toc38442926"/>
      <w:bookmarkStart w:id="2463" w:name="_Toc38443257"/>
      <w:bookmarkStart w:id="2464" w:name="_Toc38443588"/>
      <w:bookmarkStart w:id="2465" w:name="_Toc38443918"/>
      <w:bookmarkStart w:id="2466" w:name="_Toc38438386"/>
      <w:bookmarkStart w:id="2467" w:name="_Toc38438723"/>
      <w:bookmarkStart w:id="2468" w:name="_Toc38439060"/>
      <w:bookmarkStart w:id="2469" w:name="_Toc38439397"/>
      <w:bookmarkStart w:id="2470" w:name="_Toc38439734"/>
      <w:bookmarkStart w:id="2471" w:name="_Toc38440071"/>
      <w:bookmarkStart w:id="2472" w:name="_Toc38440408"/>
      <w:bookmarkStart w:id="2473" w:name="_Toc38440940"/>
      <w:bookmarkStart w:id="2474" w:name="_Toc38441272"/>
      <w:bookmarkStart w:id="2475" w:name="_Toc38441604"/>
      <w:bookmarkStart w:id="2476" w:name="_Toc38441932"/>
      <w:bookmarkStart w:id="2477" w:name="_Toc38442264"/>
      <w:bookmarkStart w:id="2478" w:name="_Toc38442596"/>
      <w:bookmarkStart w:id="2479" w:name="_Toc38442927"/>
      <w:bookmarkStart w:id="2480" w:name="_Toc38443258"/>
      <w:bookmarkStart w:id="2481" w:name="_Toc38443589"/>
      <w:bookmarkStart w:id="2482" w:name="_Toc38443919"/>
      <w:bookmarkStart w:id="2483" w:name="_Toc38438387"/>
      <w:bookmarkStart w:id="2484" w:name="_Toc38438724"/>
      <w:bookmarkStart w:id="2485" w:name="_Toc38439061"/>
      <w:bookmarkStart w:id="2486" w:name="_Toc38439398"/>
      <w:bookmarkStart w:id="2487" w:name="_Toc38439735"/>
      <w:bookmarkStart w:id="2488" w:name="_Toc38440072"/>
      <w:bookmarkStart w:id="2489" w:name="_Toc38440409"/>
      <w:bookmarkStart w:id="2490" w:name="_Toc38440941"/>
      <w:bookmarkStart w:id="2491" w:name="_Toc38441273"/>
      <w:bookmarkStart w:id="2492" w:name="_Toc38441605"/>
      <w:bookmarkStart w:id="2493" w:name="_Toc38441933"/>
      <w:bookmarkStart w:id="2494" w:name="_Toc38442265"/>
      <w:bookmarkStart w:id="2495" w:name="_Toc38442597"/>
      <w:bookmarkStart w:id="2496" w:name="_Toc38442928"/>
      <w:bookmarkStart w:id="2497" w:name="_Toc38443259"/>
      <w:bookmarkStart w:id="2498" w:name="_Toc38443590"/>
      <w:bookmarkStart w:id="2499" w:name="_Toc38443920"/>
      <w:bookmarkStart w:id="2500" w:name="_Toc38438388"/>
      <w:bookmarkStart w:id="2501" w:name="_Toc38438725"/>
      <w:bookmarkStart w:id="2502" w:name="_Toc38439062"/>
      <w:bookmarkStart w:id="2503" w:name="_Toc38439399"/>
      <w:bookmarkStart w:id="2504" w:name="_Toc38439736"/>
      <w:bookmarkStart w:id="2505" w:name="_Toc38440073"/>
      <w:bookmarkStart w:id="2506" w:name="_Toc38440410"/>
      <w:bookmarkStart w:id="2507" w:name="_Toc38440942"/>
      <w:bookmarkStart w:id="2508" w:name="_Toc38441274"/>
      <w:bookmarkStart w:id="2509" w:name="_Toc38441606"/>
      <w:bookmarkStart w:id="2510" w:name="_Toc38441934"/>
      <w:bookmarkStart w:id="2511" w:name="_Toc38442266"/>
      <w:bookmarkStart w:id="2512" w:name="_Toc38442598"/>
      <w:bookmarkStart w:id="2513" w:name="_Toc38442929"/>
      <w:bookmarkStart w:id="2514" w:name="_Toc38443260"/>
      <w:bookmarkStart w:id="2515" w:name="_Toc38443591"/>
      <w:bookmarkStart w:id="2516" w:name="_Toc38443921"/>
      <w:bookmarkStart w:id="2517" w:name="_Toc38438389"/>
      <w:bookmarkStart w:id="2518" w:name="_Toc38438726"/>
      <w:bookmarkStart w:id="2519" w:name="_Toc38439063"/>
      <w:bookmarkStart w:id="2520" w:name="_Toc38439400"/>
      <w:bookmarkStart w:id="2521" w:name="_Toc38439737"/>
      <w:bookmarkStart w:id="2522" w:name="_Toc38440074"/>
      <w:bookmarkStart w:id="2523" w:name="_Toc38440411"/>
      <w:bookmarkStart w:id="2524" w:name="_Toc38440943"/>
      <w:bookmarkStart w:id="2525" w:name="_Toc38441275"/>
      <w:bookmarkStart w:id="2526" w:name="_Toc38441607"/>
      <w:bookmarkStart w:id="2527" w:name="_Toc38441935"/>
      <w:bookmarkStart w:id="2528" w:name="_Toc38442267"/>
      <w:bookmarkStart w:id="2529" w:name="_Toc38442599"/>
      <w:bookmarkStart w:id="2530" w:name="_Toc38442930"/>
      <w:bookmarkStart w:id="2531" w:name="_Toc38443261"/>
      <w:bookmarkStart w:id="2532" w:name="_Toc38443592"/>
      <w:bookmarkStart w:id="2533" w:name="_Toc38443922"/>
      <w:bookmarkStart w:id="2534" w:name="_Toc38438390"/>
      <w:bookmarkStart w:id="2535" w:name="_Toc38438727"/>
      <w:bookmarkStart w:id="2536" w:name="_Toc38439064"/>
      <w:bookmarkStart w:id="2537" w:name="_Toc38439401"/>
      <w:bookmarkStart w:id="2538" w:name="_Toc38439738"/>
      <w:bookmarkStart w:id="2539" w:name="_Toc38440075"/>
      <w:bookmarkStart w:id="2540" w:name="_Toc38440412"/>
      <w:bookmarkStart w:id="2541" w:name="_Toc38440944"/>
      <w:bookmarkStart w:id="2542" w:name="_Toc38441276"/>
      <w:bookmarkStart w:id="2543" w:name="_Toc38441608"/>
      <w:bookmarkStart w:id="2544" w:name="_Toc38441936"/>
      <w:bookmarkStart w:id="2545" w:name="_Toc38442268"/>
      <w:bookmarkStart w:id="2546" w:name="_Toc38442600"/>
      <w:bookmarkStart w:id="2547" w:name="_Toc38442931"/>
      <w:bookmarkStart w:id="2548" w:name="_Toc38443262"/>
      <w:bookmarkStart w:id="2549" w:name="_Toc38443593"/>
      <w:bookmarkStart w:id="2550" w:name="_Toc38443923"/>
      <w:bookmarkStart w:id="2551" w:name="_Toc38438391"/>
      <w:bookmarkStart w:id="2552" w:name="_Toc38438728"/>
      <w:bookmarkStart w:id="2553" w:name="_Toc38439065"/>
      <w:bookmarkStart w:id="2554" w:name="_Toc38439402"/>
      <w:bookmarkStart w:id="2555" w:name="_Toc38439739"/>
      <w:bookmarkStart w:id="2556" w:name="_Toc38440076"/>
      <w:bookmarkStart w:id="2557" w:name="_Toc38440413"/>
      <w:bookmarkStart w:id="2558" w:name="_Toc38440945"/>
      <w:bookmarkStart w:id="2559" w:name="_Toc38441277"/>
      <w:bookmarkStart w:id="2560" w:name="_Toc38441609"/>
      <w:bookmarkStart w:id="2561" w:name="_Toc38441937"/>
      <w:bookmarkStart w:id="2562" w:name="_Toc38442269"/>
      <w:bookmarkStart w:id="2563" w:name="_Toc38442601"/>
      <w:bookmarkStart w:id="2564" w:name="_Toc38442932"/>
      <w:bookmarkStart w:id="2565" w:name="_Toc38443263"/>
      <w:bookmarkStart w:id="2566" w:name="_Toc38443594"/>
      <w:bookmarkStart w:id="2567" w:name="_Toc38443924"/>
      <w:bookmarkStart w:id="2568" w:name="_Toc38438392"/>
      <w:bookmarkStart w:id="2569" w:name="_Toc38438729"/>
      <w:bookmarkStart w:id="2570" w:name="_Toc38439066"/>
      <w:bookmarkStart w:id="2571" w:name="_Toc38439403"/>
      <w:bookmarkStart w:id="2572" w:name="_Toc38439740"/>
      <w:bookmarkStart w:id="2573" w:name="_Toc38440077"/>
      <w:bookmarkStart w:id="2574" w:name="_Toc38440414"/>
      <w:bookmarkStart w:id="2575" w:name="_Toc38440946"/>
      <w:bookmarkStart w:id="2576" w:name="_Toc38441278"/>
      <w:bookmarkStart w:id="2577" w:name="_Toc38441610"/>
      <w:bookmarkStart w:id="2578" w:name="_Toc38441938"/>
      <w:bookmarkStart w:id="2579" w:name="_Toc38442270"/>
      <w:bookmarkStart w:id="2580" w:name="_Toc38442602"/>
      <w:bookmarkStart w:id="2581" w:name="_Toc38442933"/>
      <w:bookmarkStart w:id="2582" w:name="_Toc38443264"/>
      <w:bookmarkStart w:id="2583" w:name="_Toc38443595"/>
      <w:bookmarkStart w:id="2584" w:name="_Toc38443925"/>
      <w:bookmarkStart w:id="2585" w:name="_Toc38438393"/>
      <w:bookmarkStart w:id="2586" w:name="_Toc38438730"/>
      <w:bookmarkStart w:id="2587" w:name="_Toc38439067"/>
      <w:bookmarkStart w:id="2588" w:name="_Toc38439404"/>
      <w:bookmarkStart w:id="2589" w:name="_Toc38439741"/>
      <w:bookmarkStart w:id="2590" w:name="_Toc38440078"/>
      <w:bookmarkStart w:id="2591" w:name="_Toc38440415"/>
      <w:bookmarkStart w:id="2592" w:name="_Toc38440947"/>
      <w:bookmarkStart w:id="2593" w:name="_Toc38441279"/>
      <w:bookmarkStart w:id="2594" w:name="_Toc38441611"/>
      <w:bookmarkStart w:id="2595" w:name="_Toc38441939"/>
      <w:bookmarkStart w:id="2596" w:name="_Toc38442271"/>
      <w:bookmarkStart w:id="2597" w:name="_Toc38442603"/>
      <w:bookmarkStart w:id="2598" w:name="_Toc38442934"/>
      <w:bookmarkStart w:id="2599" w:name="_Toc38443265"/>
      <w:bookmarkStart w:id="2600" w:name="_Toc38443596"/>
      <w:bookmarkStart w:id="2601" w:name="_Toc38443926"/>
      <w:bookmarkStart w:id="2602" w:name="_Toc38438394"/>
      <w:bookmarkStart w:id="2603" w:name="_Toc38438731"/>
      <w:bookmarkStart w:id="2604" w:name="_Toc38439068"/>
      <w:bookmarkStart w:id="2605" w:name="_Toc38439405"/>
      <w:bookmarkStart w:id="2606" w:name="_Toc38439742"/>
      <w:bookmarkStart w:id="2607" w:name="_Toc38440079"/>
      <w:bookmarkStart w:id="2608" w:name="_Toc38440416"/>
      <w:bookmarkStart w:id="2609" w:name="_Toc38440948"/>
      <w:bookmarkStart w:id="2610" w:name="_Toc38441280"/>
      <w:bookmarkStart w:id="2611" w:name="_Toc38441612"/>
      <w:bookmarkStart w:id="2612" w:name="_Toc38441940"/>
      <w:bookmarkStart w:id="2613" w:name="_Toc38442272"/>
      <w:bookmarkStart w:id="2614" w:name="_Toc38442604"/>
      <w:bookmarkStart w:id="2615" w:name="_Toc38442935"/>
      <w:bookmarkStart w:id="2616" w:name="_Toc38443266"/>
      <w:bookmarkStart w:id="2617" w:name="_Toc38443597"/>
      <w:bookmarkStart w:id="2618" w:name="_Toc38443927"/>
      <w:bookmarkStart w:id="2619" w:name="_Toc38438395"/>
      <w:bookmarkStart w:id="2620" w:name="_Toc38438732"/>
      <w:bookmarkStart w:id="2621" w:name="_Toc38439069"/>
      <w:bookmarkStart w:id="2622" w:name="_Toc38439406"/>
      <w:bookmarkStart w:id="2623" w:name="_Toc38439743"/>
      <w:bookmarkStart w:id="2624" w:name="_Toc38440080"/>
      <w:bookmarkStart w:id="2625" w:name="_Toc38440417"/>
      <w:bookmarkStart w:id="2626" w:name="_Toc38440949"/>
      <w:bookmarkStart w:id="2627" w:name="_Toc38441281"/>
      <w:bookmarkStart w:id="2628" w:name="_Toc38441613"/>
      <w:bookmarkStart w:id="2629" w:name="_Toc38441941"/>
      <w:bookmarkStart w:id="2630" w:name="_Toc38442273"/>
      <w:bookmarkStart w:id="2631" w:name="_Toc38442605"/>
      <w:bookmarkStart w:id="2632" w:name="_Toc38442936"/>
      <w:bookmarkStart w:id="2633" w:name="_Toc38443267"/>
      <w:bookmarkStart w:id="2634" w:name="_Toc38443598"/>
      <w:bookmarkStart w:id="2635" w:name="_Toc38443928"/>
      <w:bookmarkStart w:id="2636" w:name="_Toc38438396"/>
      <w:bookmarkStart w:id="2637" w:name="_Toc38438733"/>
      <w:bookmarkStart w:id="2638" w:name="_Toc38439070"/>
      <w:bookmarkStart w:id="2639" w:name="_Toc38439407"/>
      <w:bookmarkStart w:id="2640" w:name="_Toc38439744"/>
      <w:bookmarkStart w:id="2641" w:name="_Toc38440081"/>
      <w:bookmarkStart w:id="2642" w:name="_Toc38440418"/>
      <w:bookmarkStart w:id="2643" w:name="_Toc38440950"/>
      <w:bookmarkStart w:id="2644" w:name="_Toc38441282"/>
      <w:bookmarkStart w:id="2645" w:name="_Toc38441614"/>
      <w:bookmarkStart w:id="2646" w:name="_Toc38441942"/>
      <w:bookmarkStart w:id="2647" w:name="_Toc38442274"/>
      <w:bookmarkStart w:id="2648" w:name="_Toc38442606"/>
      <w:bookmarkStart w:id="2649" w:name="_Toc38442937"/>
      <w:bookmarkStart w:id="2650" w:name="_Toc38443268"/>
      <w:bookmarkStart w:id="2651" w:name="_Toc38443599"/>
      <w:bookmarkStart w:id="2652" w:name="_Toc38443929"/>
      <w:bookmarkStart w:id="2653" w:name="_Toc38438397"/>
      <w:bookmarkStart w:id="2654" w:name="_Toc38438734"/>
      <w:bookmarkStart w:id="2655" w:name="_Toc38439071"/>
      <w:bookmarkStart w:id="2656" w:name="_Toc38439408"/>
      <w:bookmarkStart w:id="2657" w:name="_Toc38439745"/>
      <w:bookmarkStart w:id="2658" w:name="_Toc38440082"/>
      <w:bookmarkStart w:id="2659" w:name="_Toc38440419"/>
      <w:bookmarkStart w:id="2660" w:name="_Toc38440951"/>
      <w:bookmarkStart w:id="2661" w:name="_Toc38441283"/>
      <w:bookmarkStart w:id="2662" w:name="_Toc38441615"/>
      <w:bookmarkStart w:id="2663" w:name="_Toc38441943"/>
      <w:bookmarkStart w:id="2664" w:name="_Toc38442275"/>
      <w:bookmarkStart w:id="2665" w:name="_Toc38442607"/>
      <w:bookmarkStart w:id="2666" w:name="_Toc38442938"/>
      <w:bookmarkStart w:id="2667" w:name="_Toc38443269"/>
      <w:bookmarkStart w:id="2668" w:name="_Toc38443600"/>
      <w:bookmarkStart w:id="2669" w:name="_Toc38443930"/>
      <w:bookmarkStart w:id="2670" w:name="_Toc38438398"/>
      <w:bookmarkStart w:id="2671" w:name="_Toc38438735"/>
      <w:bookmarkStart w:id="2672" w:name="_Toc38439072"/>
      <w:bookmarkStart w:id="2673" w:name="_Toc38439409"/>
      <w:bookmarkStart w:id="2674" w:name="_Toc38439746"/>
      <w:bookmarkStart w:id="2675" w:name="_Toc38440083"/>
      <w:bookmarkStart w:id="2676" w:name="_Toc38440420"/>
      <w:bookmarkStart w:id="2677" w:name="_Toc38440952"/>
      <w:bookmarkStart w:id="2678" w:name="_Toc38441284"/>
      <w:bookmarkStart w:id="2679" w:name="_Toc38441616"/>
      <w:bookmarkStart w:id="2680" w:name="_Toc38441944"/>
      <w:bookmarkStart w:id="2681" w:name="_Toc38442276"/>
      <w:bookmarkStart w:id="2682" w:name="_Toc38442608"/>
      <w:bookmarkStart w:id="2683" w:name="_Toc38442939"/>
      <w:bookmarkStart w:id="2684" w:name="_Toc38443270"/>
      <w:bookmarkStart w:id="2685" w:name="_Toc38443601"/>
      <w:bookmarkStart w:id="2686" w:name="_Toc38443931"/>
      <w:bookmarkStart w:id="2687" w:name="_Toc38438400"/>
      <w:bookmarkStart w:id="2688" w:name="_Toc38438737"/>
      <w:bookmarkStart w:id="2689" w:name="_Toc38439074"/>
      <w:bookmarkStart w:id="2690" w:name="_Toc38439411"/>
      <w:bookmarkStart w:id="2691" w:name="_Toc38439748"/>
      <w:bookmarkStart w:id="2692" w:name="_Toc38440085"/>
      <w:bookmarkStart w:id="2693" w:name="_Toc38440422"/>
      <w:bookmarkStart w:id="2694" w:name="_Toc38440954"/>
      <w:bookmarkStart w:id="2695" w:name="_Toc38441286"/>
      <w:bookmarkStart w:id="2696" w:name="_Toc38441618"/>
      <w:bookmarkStart w:id="2697" w:name="_Toc38441946"/>
      <w:bookmarkStart w:id="2698" w:name="_Toc38442278"/>
      <w:bookmarkStart w:id="2699" w:name="_Toc38442610"/>
      <w:bookmarkStart w:id="2700" w:name="_Toc38442941"/>
      <w:bookmarkStart w:id="2701" w:name="_Toc38443272"/>
      <w:bookmarkStart w:id="2702" w:name="_Toc38443603"/>
      <w:bookmarkStart w:id="2703" w:name="_Toc38443933"/>
      <w:bookmarkStart w:id="2704" w:name="_Toc38438401"/>
      <w:bookmarkStart w:id="2705" w:name="_Toc38438738"/>
      <w:bookmarkStart w:id="2706" w:name="_Toc38439075"/>
      <w:bookmarkStart w:id="2707" w:name="_Toc38439412"/>
      <w:bookmarkStart w:id="2708" w:name="_Toc38439749"/>
      <w:bookmarkStart w:id="2709" w:name="_Toc38440086"/>
      <w:bookmarkStart w:id="2710" w:name="_Toc38440423"/>
      <w:bookmarkStart w:id="2711" w:name="_Toc38440955"/>
      <w:bookmarkStart w:id="2712" w:name="_Toc38441287"/>
      <w:bookmarkStart w:id="2713" w:name="_Toc38441619"/>
      <w:bookmarkStart w:id="2714" w:name="_Toc38441947"/>
      <w:bookmarkStart w:id="2715" w:name="_Toc38442279"/>
      <w:bookmarkStart w:id="2716" w:name="_Toc38442611"/>
      <w:bookmarkStart w:id="2717" w:name="_Toc38442942"/>
      <w:bookmarkStart w:id="2718" w:name="_Toc38443273"/>
      <w:bookmarkStart w:id="2719" w:name="_Toc38443604"/>
      <w:bookmarkStart w:id="2720" w:name="_Toc38443934"/>
      <w:bookmarkStart w:id="2721" w:name="_Toc38438402"/>
      <w:bookmarkStart w:id="2722" w:name="_Toc38438739"/>
      <w:bookmarkStart w:id="2723" w:name="_Toc38439076"/>
      <w:bookmarkStart w:id="2724" w:name="_Toc38439413"/>
      <w:bookmarkStart w:id="2725" w:name="_Toc38439750"/>
      <w:bookmarkStart w:id="2726" w:name="_Toc38440087"/>
      <w:bookmarkStart w:id="2727" w:name="_Toc38440424"/>
      <w:bookmarkStart w:id="2728" w:name="_Toc38440956"/>
      <w:bookmarkStart w:id="2729" w:name="_Toc38441288"/>
      <w:bookmarkStart w:id="2730" w:name="_Toc38441620"/>
      <w:bookmarkStart w:id="2731" w:name="_Toc38441948"/>
      <w:bookmarkStart w:id="2732" w:name="_Toc38442280"/>
      <w:bookmarkStart w:id="2733" w:name="_Toc38442612"/>
      <w:bookmarkStart w:id="2734" w:name="_Toc38442943"/>
      <w:bookmarkStart w:id="2735" w:name="_Toc38443274"/>
      <w:bookmarkStart w:id="2736" w:name="_Toc38443605"/>
      <w:bookmarkStart w:id="2737" w:name="_Toc38443935"/>
      <w:bookmarkStart w:id="2738" w:name="_Toc38438404"/>
      <w:bookmarkStart w:id="2739" w:name="_Toc38438741"/>
      <w:bookmarkStart w:id="2740" w:name="_Toc38439078"/>
      <w:bookmarkStart w:id="2741" w:name="_Toc38439415"/>
      <w:bookmarkStart w:id="2742" w:name="_Toc38439752"/>
      <w:bookmarkStart w:id="2743" w:name="_Toc38440089"/>
      <w:bookmarkStart w:id="2744" w:name="_Toc38440426"/>
      <w:bookmarkStart w:id="2745" w:name="_Toc38440958"/>
      <w:bookmarkStart w:id="2746" w:name="_Toc38441290"/>
      <w:bookmarkStart w:id="2747" w:name="_Toc38441622"/>
      <w:bookmarkStart w:id="2748" w:name="_Toc38441950"/>
      <w:bookmarkStart w:id="2749" w:name="_Toc38442282"/>
      <w:bookmarkStart w:id="2750" w:name="_Toc38442614"/>
      <w:bookmarkStart w:id="2751" w:name="_Toc38442945"/>
      <w:bookmarkStart w:id="2752" w:name="_Toc38443276"/>
      <w:bookmarkStart w:id="2753" w:name="_Toc38443607"/>
      <w:bookmarkStart w:id="2754" w:name="_Toc38443937"/>
      <w:bookmarkStart w:id="2755" w:name="_Toc38438405"/>
      <w:bookmarkStart w:id="2756" w:name="_Toc38438742"/>
      <w:bookmarkStart w:id="2757" w:name="_Toc38439079"/>
      <w:bookmarkStart w:id="2758" w:name="_Toc38439416"/>
      <w:bookmarkStart w:id="2759" w:name="_Toc38439753"/>
      <w:bookmarkStart w:id="2760" w:name="_Toc38440090"/>
      <w:bookmarkStart w:id="2761" w:name="_Toc38440427"/>
      <w:bookmarkStart w:id="2762" w:name="_Toc38440959"/>
      <w:bookmarkStart w:id="2763" w:name="_Toc38441291"/>
      <w:bookmarkStart w:id="2764" w:name="_Toc38441623"/>
      <w:bookmarkStart w:id="2765" w:name="_Toc38441951"/>
      <w:bookmarkStart w:id="2766" w:name="_Toc38442283"/>
      <w:bookmarkStart w:id="2767" w:name="_Toc38442615"/>
      <w:bookmarkStart w:id="2768" w:name="_Toc38442946"/>
      <w:bookmarkStart w:id="2769" w:name="_Toc38443277"/>
      <w:bookmarkStart w:id="2770" w:name="_Toc38443608"/>
      <w:bookmarkStart w:id="2771" w:name="_Toc38443938"/>
      <w:bookmarkStart w:id="2772" w:name="_Toc38438406"/>
      <w:bookmarkStart w:id="2773" w:name="_Toc38438743"/>
      <w:bookmarkStart w:id="2774" w:name="_Toc38439080"/>
      <w:bookmarkStart w:id="2775" w:name="_Toc38439417"/>
      <w:bookmarkStart w:id="2776" w:name="_Toc38439754"/>
      <w:bookmarkStart w:id="2777" w:name="_Toc38440091"/>
      <w:bookmarkStart w:id="2778" w:name="_Toc38440428"/>
      <w:bookmarkStart w:id="2779" w:name="_Toc38440960"/>
      <w:bookmarkStart w:id="2780" w:name="_Toc38441292"/>
      <w:bookmarkStart w:id="2781" w:name="_Toc38441624"/>
      <w:bookmarkStart w:id="2782" w:name="_Toc38441952"/>
      <w:bookmarkStart w:id="2783" w:name="_Toc38442284"/>
      <w:bookmarkStart w:id="2784" w:name="_Toc38442616"/>
      <w:bookmarkStart w:id="2785" w:name="_Toc38442947"/>
      <w:bookmarkStart w:id="2786" w:name="_Toc38443278"/>
      <w:bookmarkStart w:id="2787" w:name="_Toc38443609"/>
      <w:bookmarkStart w:id="2788" w:name="_Toc38443939"/>
      <w:bookmarkStart w:id="2789" w:name="_Toc38438407"/>
      <w:bookmarkStart w:id="2790" w:name="_Toc38438744"/>
      <w:bookmarkStart w:id="2791" w:name="_Toc38439081"/>
      <w:bookmarkStart w:id="2792" w:name="_Toc38439418"/>
      <w:bookmarkStart w:id="2793" w:name="_Toc38439755"/>
      <w:bookmarkStart w:id="2794" w:name="_Toc38440092"/>
      <w:bookmarkStart w:id="2795" w:name="_Toc38440429"/>
      <w:bookmarkStart w:id="2796" w:name="_Toc38440961"/>
      <w:bookmarkStart w:id="2797" w:name="_Toc38441293"/>
      <w:bookmarkStart w:id="2798" w:name="_Toc38441625"/>
      <w:bookmarkStart w:id="2799" w:name="_Toc38441953"/>
      <w:bookmarkStart w:id="2800" w:name="_Toc38442285"/>
      <w:bookmarkStart w:id="2801" w:name="_Toc38442617"/>
      <w:bookmarkStart w:id="2802" w:name="_Toc38442948"/>
      <w:bookmarkStart w:id="2803" w:name="_Toc38443279"/>
      <w:bookmarkStart w:id="2804" w:name="_Toc38443610"/>
      <w:bookmarkStart w:id="2805" w:name="_Toc38443940"/>
      <w:bookmarkStart w:id="2806" w:name="_Toc38438408"/>
      <w:bookmarkStart w:id="2807" w:name="_Toc38438745"/>
      <w:bookmarkStart w:id="2808" w:name="_Toc38439082"/>
      <w:bookmarkStart w:id="2809" w:name="_Toc38439419"/>
      <w:bookmarkStart w:id="2810" w:name="_Toc38439756"/>
      <w:bookmarkStart w:id="2811" w:name="_Toc38440093"/>
      <w:bookmarkStart w:id="2812" w:name="_Toc38440430"/>
      <w:bookmarkStart w:id="2813" w:name="_Toc38440962"/>
      <w:bookmarkStart w:id="2814" w:name="_Toc38441294"/>
      <w:bookmarkStart w:id="2815" w:name="_Toc38441626"/>
      <w:bookmarkStart w:id="2816" w:name="_Toc38441954"/>
      <w:bookmarkStart w:id="2817" w:name="_Toc38442286"/>
      <w:bookmarkStart w:id="2818" w:name="_Toc38442618"/>
      <w:bookmarkStart w:id="2819" w:name="_Toc38442949"/>
      <w:bookmarkStart w:id="2820" w:name="_Toc38443280"/>
      <w:bookmarkStart w:id="2821" w:name="_Toc38443611"/>
      <w:bookmarkStart w:id="2822" w:name="_Toc38443941"/>
      <w:bookmarkStart w:id="2823" w:name="_Toc38438409"/>
      <w:bookmarkStart w:id="2824" w:name="_Toc38438746"/>
      <w:bookmarkStart w:id="2825" w:name="_Toc38439083"/>
      <w:bookmarkStart w:id="2826" w:name="_Toc38439420"/>
      <w:bookmarkStart w:id="2827" w:name="_Toc38439757"/>
      <w:bookmarkStart w:id="2828" w:name="_Toc38440094"/>
      <w:bookmarkStart w:id="2829" w:name="_Toc38440431"/>
      <w:bookmarkStart w:id="2830" w:name="_Toc38440963"/>
      <w:bookmarkStart w:id="2831" w:name="_Toc38441295"/>
      <w:bookmarkStart w:id="2832" w:name="_Toc38441627"/>
      <w:bookmarkStart w:id="2833" w:name="_Toc38441955"/>
      <w:bookmarkStart w:id="2834" w:name="_Toc38442287"/>
      <w:bookmarkStart w:id="2835" w:name="_Toc38442619"/>
      <w:bookmarkStart w:id="2836" w:name="_Toc38442950"/>
      <w:bookmarkStart w:id="2837" w:name="_Toc38443281"/>
      <w:bookmarkStart w:id="2838" w:name="_Toc38443612"/>
      <w:bookmarkStart w:id="2839" w:name="_Toc38443942"/>
      <w:bookmarkStart w:id="2840" w:name="_Toc38438410"/>
      <w:bookmarkStart w:id="2841" w:name="_Toc38438747"/>
      <w:bookmarkStart w:id="2842" w:name="_Toc38439084"/>
      <w:bookmarkStart w:id="2843" w:name="_Toc38439421"/>
      <w:bookmarkStart w:id="2844" w:name="_Toc38439758"/>
      <w:bookmarkStart w:id="2845" w:name="_Toc38440095"/>
      <w:bookmarkStart w:id="2846" w:name="_Toc38440432"/>
      <w:bookmarkStart w:id="2847" w:name="_Toc38440964"/>
      <w:bookmarkStart w:id="2848" w:name="_Toc38441296"/>
      <w:bookmarkStart w:id="2849" w:name="_Toc38441628"/>
      <w:bookmarkStart w:id="2850" w:name="_Toc38441956"/>
      <w:bookmarkStart w:id="2851" w:name="_Toc38442288"/>
      <w:bookmarkStart w:id="2852" w:name="_Toc38442620"/>
      <w:bookmarkStart w:id="2853" w:name="_Toc38442951"/>
      <w:bookmarkStart w:id="2854" w:name="_Toc38443282"/>
      <w:bookmarkStart w:id="2855" w:name="_Toc38443613"/>
      <w:bookmarkStart w:id="2856" w:name="_Toc38443943"/>
      <w:bookmarkStart w:id="2857" w:name="_Toc38438411"/>
      <w:bookmarkStart w:id="2858" w:name="_Toc38438748"/>
      <w:bookmarkStart w:id="2859" w:name="_Toc38439085"/>
      <w:bookmarkStart w:id="2860" w:name="_Toc38439422"/>
      <w:bookmarkStart w:id="2861" w:name="_Toc38439759"/>
      <w:bookmarkStart w:id="2862" w:name="_Toc38440096"/>
      <w:bookmarkStart w:id="2863" w:name="_Toc38440433"/>
      <w:bookmarkStart w:id="2864" w:name="_Toc38440965"/>
      <w:bookmarkStart w:id="2865" w:name="_Toc38441297"/>
      <w:bookmarkStart w:id="2866" w:name="_Toc38441629"/>
      <w:bookmarkStart w:id="2867" w:name="_Toc38441957"/>
      <w:bookmarkStart w:id="2868" w:name="_Toc38442289"/>
      <w:bookmarkStart w:id="2869" w:name="_Toc38442621"/>
      <w:bookmarkStart w:id="2870" w:name="_Toc38442952"/>
      <w:bookmarkStart w:id="2871" w:name="_Toc38443283"/>
      <w:bookmarkStart w:id="2872" w:name="_Toc38443614"/>
      <w:bookmarkStart w:id="2873" w:name="_Toc38443944"/>
      <w:bookmarkStart w:id="2874" w:name="_Toc38438412"/>
      <w:bookmarkStart w:id="2875" w:name="_Toc38438749"/>
      <w:bookmarkStart w:id="2876" w:name="_Toc38439086"/>
      <w:bookmarkStart w:id="2877" w:name="_Toc38439423"/>
      <w:bookmarkStart w:id="2878" w:name="_Toc38439760"/>
      <w:bookmarkStart w:id="2879" w:name="_Toc38440097"/>
      <w:bookmarkStart w:id="2880" w:name="_Toc38440434"/>
      <w:bookmarkStart w:id="2881" w:name="_Toc38440966"/>
      <w:bookmarkStart w:id="2882" w:name="_Toc38441298"/>
      <w:bookmarkStart w:id="2883" w:name="_Toc38441630"/>
      <w:bookmarkStart w:id="2884" w:name="_Toc38441958"/>
      <w:bookmarkStart w:id="2885" w:name="_Toc38442290"/>
      <w:bookmarkStart w:id="2886" w:name="_Toc38442622"/>
      <w:bookmarkStart w:id="2887" w:name="_Toc38442953"/>
      <w:bookmarkStart w:id="2888" w:name="_Toc38443284"/>
      <w:bookmarkStart w:id="2889" w:name="_Toc38443615"/>
      <w:bookmarkStart w:id="2890" w:name="_Toc38443945"/>
      <w:bookmarkStart w:id="2891" w:name="_Toc38438413"/>
      <w:bookmarkStart w:id="2892" w:name="_Toc38438750"/>
      <w:bookmarkStart w:id="2893" w:name="_Toc38439087"/>
      <w:bookmarkStart w:id="2894" w:name="_Toc38439424"/>
      <w:bookmarkStart w:id="2895" w:name="_Toc38439761"/>
      <w:bookmarkStart w:id="2896" w:name="_Toc38440098"/>
      <w:bookmarkStart w:id="2897" w:name="_Toc38440435"/>
      <w:bookmarkStart w:id="2898" w:name="_Toc38440967"/>
      <w:bookmarkStart w:id="2899" w:name="_Toc38441299"/>
      <w:bookmarkStart w:id="2900" w:name="_Toc38441631"/>
      <w:bookmarkStart w:id="2901" w:name="_Toc38441959"/>
      <w:bookmarkStart w:id="2902" w:name="_Toc38442291"/>
      <w:bookmarkStart w:id="2903" w:name="_Toc38442623"/>
      <w:bookmarkStart w:id="2904" w:name="_Toc38442954"/>
      <w:bookmarkStart w:id="2905" w:name="_Toc38443285"/>
      <w:bookmarkStart w:id="2906" w:name="_Toc38443616"/>
      <w:bookmarkStart w:id="2907" w:name="_Toc38443946"/>
      <w:bookmarkStart w:id="2908" w:name="_Toc38438414"/>
      <w:bookmarkStart w:id="2909" w:name="_Toc38438751"/>
      <w:bookmarkStart w:id="2910" w:name="_Toc38439088"/>
      <w:bookmarkStart w:id="2911" w:name="_Toc38439425"/>
      <w:bookmarkStart w:id="2912" w:name="_Toc38439762"/>
      <w:bookmarkStart w:id="2913" w:name="_Toc38440099"/>
      <w:bookmarkStart w:id="2914" w:name="_Toc38440436"/>
      <w:bookmarkStart w:id="2915" w:name="_Toc38440968"/>
      <w:bookmarkStart w:id="2916" w:name="_Toc38441300"/>
      <w:bookmarkStart w:id="2917" w:name="_Toc38441632"/>
      <w:bookmarkStart w:id="2918" w:name="_Toc38441960"/>
      <w:bookmarkStart w:id="2919" w:name="_Toc38442292"/>
      <w:bookmarkStart w:id="2920" w:name="_Toc38442624"/>
      <w:bookmarkStart w:id="2921" w:name="_Toc38442955"/>
      <w:bookmarkStart w:id="2922" w:name="_Toc38443286"/>
      <w:bookmarkStart w:id="2923" w:name="_Toc38443617"/>
      <w:bookmarkStart w:id="2924" w:name="_Toc38443947"/>
      <w:bookmarkStart w:id="2925" w:name="_Toc38438415"/>
      <w:bookmarkStart w:id="2926" w:name="_Toc38438752"/>
      <w:bookmarkStart w:id="2927" w:name="_Toc38439089"/>
      <w:bookmarkStart w:id="2928" w:name="_Toc38439426"/>
      <w:bookmarkStart w:id="2929" w:name="_Toc38439763"/>
      <w:bookmarkStart w:id="2930" w:name="_Toc38440100"/>
      <w:bookmarkStart w:id="2931" w:name="_Toc38440437"/>
      <w:bookmarkStart w:id="2932" w:name="_Toc38440969"/>
      <w:bookmarkStart w:id="2933" w:name="_Toc38441301"/>
      <w:bookmarkStart w:id="2934" w:name="_Toc38441633"/>
      <w:bookmarkStart w:id="2935" w:name="_Toc38441961"/>
      <w:bookmarkStart w:id="2936" w:name="_Toc38442293"/>
      <w:bookmarkStart w:id="2937" w:name="_Toc38442625"/>
      <w:bookmarkStart w:id="2938" w:name="_Toc38442956"/>
      <w:bookmarkStart w:id="2939" w:name="_Toc38443287"/>
      <w:bookmarkStart w:id="2940" w:name="_Toc38443618"/>
      <w:bookmarkStart w:id="2941" w:name="_Toc38443948"/>
      <w:bookmarkStart w:id="2942" w:name="_Toc38438416"/>
      <w:bookmarkStart w:id="2943" w:name="_Toc38438753"/>
      <w:bookmarkStart w:id="2944" w:name="_Toc38439090"/>
      <w:bookmarkStart w:id="2945" w:name="_Toc38439427"/>
      <w:bookmarkStart w:id="2946" w:name="_Toc38439764"/>
      <w:bookmarkStart w:id="2947" w:name="_Toc38440101"/>
      <w:bookmarkStart w:id="2948" w:name="_Toc38440438"/>
      <w:bookmarkStart w:id="2949" w:name="_Toc38440970"/>
      <w:bookmarkStart w:id="2950" w:name="_Toc38441302"/>
      <w:bookmarkStart w:id="2951" w:name="_Toc38441634"/>
      <w:bookmarkStart w:id="2952" w:name="_Toc38441962"/>
      <w:bookmarkStart w:id="2953" w:name="_Toc38442294"/>
      <w:bookmarkStart w:id="2954" w:name="_Toc38442626"/>
      <w:bookmarkStart w:id="2955" w:name="_Toc38442957"/>
      <w:bookmarkStart w:id="2956" w:name="_Toc38443288"/>
      <w:bookmarkStart w:id="2957" w:name="_Toc38443619"/>
      <w:bookmarkStart w:id="2958" w:name="_Toc38443949"/>
      <w:bookmarkStart w:id="2959" w:name="_Toc38438417"/>
      <w:bookmarkStart w:id="2960" w:name="_Toc38438754"/>
      <w:bookmarkStart w:id="2961" w:name="_Toc38439091"/>
      <w:bookmarkStart w:id="2962" w:name="_Toc38439428"/>
      <w:bookmarkStart w:id="2963" w:name="_Toc38439765"/>
      <w:bookmarkStart w:id="2964" w:name="_Toc38440102"/>
      <w:bookmarkStart w:id="2965" w:name="_Toc38440439"/>
      <w:bookmarkStart w:id="2966" w:name="_Toc38440971"/>
      <w:bookmarkStart w:id="2967" w:name="_Toc38441303"/>
      <w:bookmarkStart w:id="2968" w:name="_Toc38441635"/>
      <w:bookmarkStart w:id="2969" w:name="_Toc38441963"/>
      <w:bookmarkStart w:id="2970" w:name="_Toc38442295"/>
      <w:bookmarkStart w:id="2971" w:name="_Toc38442627"/>
      <w:bookmarkStart w:id="2972" w:name="_Toc38442958"/>
      <w:bookmarkStart w:id="2973" w:name="_Toc38443289"/>
      <w:bookmarkStart w:id="2974" w:name="_Toc38443620"/>
      <w:bookmarkStart w:id="2975" w:name="_Toc38443950"/>
      <w:bookmarkStart w:id="2976" w:name="_Toc38438418"/>
      <w:bookmarkStart w:id="2977" w:name="_Toc38438755"/>
      <w:bookmarkStart w:id="2978" w:name="_Toc38439092"/>
      <w:bookmarkStart w:id="2979" w:name="_Toc38439429"/>
      <w:bookmarkStart w:id="2980" w:name="_Toc38439766"/>
      <w:bookmarkStart w:id="2981" w:name="_Toc38440103"/>
      <w:bookmarkStart w:id="2982" w:name="_Toc38440440"/>
      <w:bookmarkStart w:id="2983" w:name="_Toc38440972"/>
      <w:bookmarkStart w:id="2984" w:name="_Toc38441304"/>
      <w:bookmarkStart w:id="2985" w:name="_Toc38441636"/>
      <w:bookmarkStart w:id="2986" w:name="_Toc38441964"/>
      <w:bookmarkStart w:id="2987" w:name="_Toc38442296"/>
      <w:bookmarkStart w:id="2988" w:name="_Toc38442628"/>
      <w:bookmarkStart w:id="2989" w:name="_Toc38442959"/>
      <w:bookmarkStart w:id="2990" w:name="_Toc38443290"/>
      <w:bookmarkStart w:id="2991" w:name="_Toc38443621"/>
      <w:bookmarkStart w:id="2992" w:name="_Toc38443951"/>
      <w:bookmarkStart w:id="2993" w:name="_Toc38438419"/>
      <w:bookmarkStart w:id="2994" w:name="_Toc38438756"/>
      <w:bookmarkStart w:id="2995" w:name="_Toc38439093"/>
      <w:bookmarkStart w:id="2996" w:name="_Toc38439430"/>
      <w:bookmarkStart w:id="2997" w:name="_Toc38439767"/>
      <w:bookmarkStart w:id="2998" w:name="_Toc38440104"/>
      <w:bookmarkStart w:id="2999" w:name="_Toc38440441"/>
      <w:bookmarkStart w:id="3000" w:name="_Toc38440973"/>
      <w:bookmarkStart w:id="3001" w:name="_Toc38441305"/>
      <w:bookmarkStart w:id="3002" w:name="_Toc38441637"/>
      <w:bookmarkStart w:id="3003" w:name="_Toc38441965"/>
      <w:bookmarkStart w:id="3004" w:name="_Toc38442297"/>
      <w:bookmarkStart w:id="3005" w:name="_Toc38442629"/>
      <w:bookmarkStart w:id="3006" w:name="_Toc38442960"/>
      <w:bookmarkStart w:id="3007" w:name="_Toc38443291"/>
      <w:bookmarkStart w:id="3008" w:name="_Toc38443622"/>
      <w:bookmarkStart w:id="3009" w:name="_Toc38443952"/>
      <w:bookmarkStart w:id="3010" w:name="_Toc38438420"/>
      <w:bookmarkStart w:id="3011" w:name="_Toc38438757"/>
      <w:bookmarkStart w:id="3012" w:name="_Toc38439094"/>
      <w:bookmarkStart w:id="3013" w:name="_Toc38439431"/>
      <w:bookmarkStart w:id="3014" w:name="_Toc38439768"/>
      <w:bookmarkStart w:id="3015" w:name="_Toc38440105"/>
      <w:bookmarkStart w:id="3016" w:name="_Toc38440442"/>
      <w:bookmarkStart w:id="3017" w:name="_Toc38440974"/>
      <w:bookmarkStart w:id="3018" w:name="_Toc38441306"/>
      <w:bookmarkStart w:id="3019" w:name="_Toc38441638"/>
      <w:bookmarkStart w:id="3020" w:name="_Toc38441966"/>
      <w:bookmarkStart w:id="3021" w:name="_Toc38442298"/>
      <w:bookmarkStart w:id="3022" w:name="_Toc38442630"/>
      <w:bookmarkStart w:id="3023" w:name="_Toc38442961"/>
      <w:bookmarkStart w:id="3024" w:name="_Toc38443292"/>
      <w:bookmarkStart w:id="3025" w:name="_Toc38443623"/>
      <w:bookmarkStart w:id="3026" w:name="_Toc38443953"/>
      <w:bookmarkStart w:id="3027" w:name="_Toc38438421"/>
      <w:bookmarkStart w:id="3028" w:name="_Toc38438758"/>
      <w:bookmarkStart w:id="3029" w:name="_Toc38439095"/>
      <w:bookmarkStart w:id="3030" w:name="_Toc38439432"/>
      <w:bookmarkStart w:id="3031" w:name="_Toc38439769"/>
      <w:bookmarkStart w:id="3032" w:name="_Toc38440106"/>
      <w:bookmarkStart w:id="3033" w:name="_Toc38440443"/>
      <w:bookmarkStart w:id="3034" w:name="_Toc38440975"/>
      <w:bookmarkStart w:id="3035" w:name="_Toc38441307"/>
      <w:bookmarkStart w:id="3036" w:name="_Toc38441639"/>
      <w:bookmarkStart w:id="3037" w:name="_Toc38441967"/>
      <w:bookmarkStart w:id="3038" w:name="_Toc38442299"/>
      <w:bookmarkStart w:id="3039" w:name="_Toc38442631"/>
      <w:bookmarkStart w:id="3040" w:name="_Toc38442962"/>
      <w:bookmarkStart w:id="3041" w:name="_Toc38443293"/>
      <w:bookmarkStart w:id="3042" w:name="_Toc38443624"/>
      <w:bookmarkStart w:id="3043" w:name="_Toc38443954"/>
      <w:bookmarkStart w:id="3044" w:name="_Toc38438422"/>
      <w:bookmarkStart w:id="3045" w:name="_Toc38438759"/>
      <w:bookmarkStart w:id="3046" w:name="_Toc38439096"/>
      <w:bookmarkStart w:id="3047" w:name="_Toc38439433"/>
      <w:bookmarkStart w:id="3048" w:name="_Toc38439770"/>
      <w:bookmarkStart w:id="3049" w:name="_Toc38440107"/>
      <w:bookmarkStart w:id="3050" w:name="_Toc38440444"/>
      <w:bookmarkStart w:id="3051" w:name="_Toc38440976"/>
      <w:bookmarkStart w:id="3052" w:name="_Toc38441308"/>
      <w:bookmarkStart w:id="3053" w:name="_Toc38441640"/>
      <w:bookmarkStart w:id="3054" w:name="_Toc38441968"/>
      <w:bookmarkStart w:id="3055" w:name="_Toc38442300"/>
      <w:bookmarkStart w:id="3056" w:name="_Toc38442632"/>
      <w:bookmarkStart w:id="3057" w:name="_Toc38442963"/>
      <w:bookmarkStart w:id="3058" w:name="_Toc38443294"/>
      <w:bookmarkStart w:id="3059" w:name="_Toc38443625"/>
      <w:bookmarkStart w:id="3060" w:name="_Toc38443955"/>
      <w:bookmarkStart w:id="3061" w:name="_Toc38438423"/>
      <w:bookmarkStart w:id="3062" w:name="_Toc38438760"/>
      <w:bookmarkStart w:id="3063" w:name="_Toc38439097"/>
      <w:bookmarkStart w:id="3064" w:name="_Toc38439434"/>
      <w:bookmarkStart w:id="3065" w:name="_Toc38439771"/>
      <w:bookmarkStart w:id="3066" w:name="_Toc38440108"/>
      <w:bookmarkStart w:id="3067" w:name="_Toc38440445"/>
      <w:bookmarkStart w:id="3068" w:name="_Toc38440977"/>
      <w:bookmarkStart w:id="3069" w:name="_Toc38441309"/>
      <w:bookmarkStart w:id="3070" w:name="_Toc38441641"/>
      <w:bookmarkStart w:id="3071" w:name="_Toc38441969"/>
      <w:bookmarkStart w:id="3072" w:name="_Toc38442301"/>
      <w:bookmarkStart w:id="3073" w:name="_Toc38442633"/>
      <w:bookmarkStart w:id="3074" w:name="_Toc38442964"/>
      <w:bookmarkStart w:id="3075" w:name="_Toc38443295"/>
      <w:bookmarkStart w:id="3076" w:name="_Toc38443626"/>
      <w:bookmarkStart w:id="3077" w:name="_Toc38443956"/>
      <w:bookmarkStart w:id="3078" w:name="_Toc38438424"/>
      <w:bookmarkStart w:id="3079" w:name="_Toc38438761"/>
      <w:bookmarkStart w:id="3080" w:name="_Toc38439098"/>
      <w:bookmarkStart w:id="3081" w:name="_Toc38439435"/>
      <w:bookmarkStart w:id="3082" w:name="_Toc38439772"/>
      <w:bookmarkStart w:id="3083" w:name="_Toc38440109"/>
      <w:bookmarkStart w:id="3084" w:name="_Toc38440446"/>
      <w:bookmarkStart w:id="3085" w:name="_Toc38440978"/>
      <w:bookmarkStart w:id="3086" w:name="_Toc38441310"/>
      <w:bookmarkStart w:id="3087" w:name="_Toc38441642"/>
      <w:bookmarkStart w:id="3088" w:name="_Toc38441970"/>
      <w:bookmarkStart w:id="3089" w:name="_Toc38442302"/>
      <w:bookmarkStart w:id="3090" w:name="_Toc38442634"/>
      <w:bookmarkStart w:id="3091" w:name="_Toc38442965"/>
      <w:bookmarkStart w:id="3092" w:name="_Toc38443296"/>
      <w:bookmarkStart w:id="3093" w:name="_Toc38443627"/>
      <w:bookmarkStart w:id="3094" w:name="_Toc38443957"/>
      <w:bookmarkStart w:id="3095" w:name="_Toc38438425"/>
      <w:bookmarkStart w:id="3096" w:name="_Toc38438762"/>
      <w:bookmarkStart w:id="3097" w:name="_Toc38439099"/>
      <w:bookmarkStart w:id="3098" w:name="_Toc38439436"/>
      <w:bookmarkStart w:id="3099" w:name="_Toc38439773"/>
      <w:bookmarkStart w:id="3100" w:name="_Toc38440110"/>
      <w:bookmarkStart w:id="3101" w:name="_Toc38440447"/>
      <w:bookmarkStart w:id="3102" w:name="_Toc38440979"/>
      <w:bookmarkStart w:id="3103" w:name="_Toc38441311"/>
      <w:bookmarkStart w:id="3104" w:name="_Toc38441643"/>
      <w:bookmarkStart w:id="3105" w:name="_Toc38441971"/>
      <w:bookmarkStart w:id="3106" w:name="_Toc38442303"/>
      <w:bookmarkStart w:id="3107" w:name="_Toc38442635"/>
      <w:bookmarkStart w:id="3108" w:name="_Toc38442966"/>
      <w:bookmarkStart w:id="3109" w:name="_Toc38443297"/>
      <w:bookmarkStart w:id="3110" w:name="_Toc38443628"/>
      <w:bookmarkStart w:id="3111" w:name="_Toc38443958"/>
      <w:bookmarkStart w:id="3112" w:name="_Toc38438426"/>
      <w:bookmarkStart w:id="3113" w:name="_Toc38438763"/>
      <w:bookmarkStart w:id="3114" w:name="_Toc38439100"/>
      <w:bookmarkStart w:id="3115" w:name="_Toc38439437"/>
      <w:bookmarkStart w:id="3116" w:name="_Toc38439774"/>
      <w:bookmarkStart w:id="3117" w:name="_Toc38440111"/>
      <w:bookmarkStart w:id="3118" w:name="_Toc38440448"/>
      <w:bookmarkStart w:id="3119" w:name="_Toc38440980"/>
      <w:bookmarkStart w:id="3120" w:name="_Toc38441312"/>
      <w:bookmarkStart w:id="3121" w:name="_Toc38441644"/>
      <w:bookmarkStart w:id="3122" w:name="_Toc38441972"/>
      <w:bookmarkStart w:id="3123" w:name="_Toc38442304"/>
      <w:bookmarkStart w:id="3124" w:name="_Toc38442636"/>
      <w:bookmarkStart w:id="3125" w:name="_Toc38442967"/>
      <w:bookmarkStart w:id="3126" w:name="_Toc38443298"/>
      <w:bookmarkStart w:id="3127" w:name="_Toc38443629"/>
      <w:bookmarkStart w:id="3128" w:name="_Toc38443959"/>
      <w:bookmarkStart w:id="3129" w:name="_Toc38438427"/>
      <w:bookmarkStart w:id="3130" w:name="_Toc38438764"/>
      <w:bookmarkStart w:id="3131" w:name="_Toc38439101"/>
      <w:bookmarkStart w:id="3132" w:name="_Toc38439438"/>
      <w:bookmarkStart w:id="3133" w:name="_Toc38439775"/>
      <w:bookmarkStart w:id="3134" w:name="_Toc38440112"/>
      <w:bookmarkStart w:id="3135" w:name="_Toc38440449"/>
      <w:bookmarkStart w:id="3136" w:name="_Toc38440981"/>
      <w:bookmarkStart w:id="3137" w:name="_Toc38441313"/>
      <w:bookmarkStart w:id="3138" w:name="_Toc38441645"/>
      <w:bookmarkStart w:id="3139" w:name="_Toc38441973"/>
      <w:bookmarkStart w:id="3140" w:name="_Toc38442305"/>
      <w:bookmarkStart w:id="3141" w:name="_Toc38442637"/>
      <w:bookmarkStart w:id="3142" w:name="_Toc38442968"/>
      <w:bookmarkStart w:id="3143" w:name="_Toc38443299"/>
      <w:bookmarkStart w:id="3144" w:name="_Toc38443630"/>
      <w:bookmarkStart w:id="3145" w:name="_Toc38443960"/>
      <w:bookmarkStart w:id="3146" w:name="_Toc38438428"/>
      <w:bookmarkStart w:id="3147" w:name="_Toc38438765"/>
      <w:bookmarkStart w:id="3148" w:name="_Toc38439102"/>
      <w:bookmarkStart w:id="3149" w:name="_Toc38439439"/>
      <w:bookmarkStart w:id="3150" w:name="_Toc38439776"/>
      <w:bookmarkStart w:id="3151" w:name="_Toc38440113"/>
      <w:bookmarkStart w:id="3152" w:name="_Toc38440450"/>
      <w:bookmarkStart w:id="3153" w:name="_Toc38440982"/>
      <w:bookmarkStart w:id="3154" w:name="_Toc38441314"/>
      <w:bookmarkStart w:id="3155" w:name="_Toc38441646"/>
      <w:bookmarkStart w:id="3156" w:name="_Toc38441974"/>
      <w:bookmarkStart w:id="3157" w:name="_Toc38442306"/>
      <w:bookmarkStart w:id="3158" w:name="_Toc38442638"/>
      <w:bookmarkStart w:id="3159" w:name="_Toc38442969"/>
      <w:bookmarkStart w:id="3160" w:name="_Toc38443300"/>
      <w:bookmarkStart w:id="3161" w:name="_Toc38443631"/>
      <w:bookmarkStart w:id="3162" w:name="_Toc38443961"/>
      <w:bookmarkStart w:id="3163" w:name="_Toc38438429"/>
      <w:bookmarkStart w:id="3164" w:name="_Toc38438766"/>
      <w:bookmarkStart w:id="3165" w:name="_Toc38439103"/>
      <w:bookmarkStart w:id="3166" w:name="_Toc38439440"/>
      <w:bookmarkStart w:id="3167" w:name="_Toc38439777"/>
      <w:bookmarkStart w:id="3168" w:name="_Toc38440114"/>
      <w:bookmarkStart w:id="3169" w:name="_Toc38440451"/>
      <w:bookmarkStart w:id="3170" w:name="_Toc38440983"/>
      <w:bookmarkStart w:id="3171" w:name="_Toc38441315"/>
      <w:bookmarkStart w:id="3172" w:name="_Toc38441647"/>
      <w:bookmarkStart w:id="3173" w:name="_Toc38441975"/>
      <w:bookmarkStart w:id="3174" w:name="_Toc38442307"/>
      <w:bookmarkStart w:id="3175" w:name="_Toc38442639"/>
      <w:bookmarkStart w:id="3176" w:name="_Toc38442970"/>
      <w:bookmarkStart w:id="3177" w:name="_Toc38443301"/>
      <w:bookmarkStart w:id="3178" w:name="_Toc38443632"/>
      <w:bookmarkStart w:id="3179" w:name="_Toc38443962"/>
      <w:bookmarkStart w:id="3180" w:name="_Toc38438430"/>
      <w:bookmarkStart w:id="3181" w:name="_Toc38438767"/>
      <w:bookmarkStart w:id="3182" w:name="_Toc38439104"/>
      <w:bookmarkStart w:id="3183" w:name="_Toc38439441"/>
      <w:bookmarkStart w:id="3184" w:name="_Toc38439778"/>
      <w:bookmarkStart w:id="3185" w:name="_Toc38440115"/>
      <w:bookmarkStart w:id="3186" w:name="_Toc38440452"/>
      <w:bookmarkStart w:id="3187" w:name="_Toc38440984"/>
      <w:bookmarkStart w:id="3188" w:name="_Toc38441316"/>
      <w:bookmarkStart w:id="3189" w:name="_Toc38441648"/>
      <w:bookmarkStart w:id="3190" w:name="_Toc38441976"/>
      <w:bookmarkStart w:id="3191" w:name="_Toc38442308"/>
      <w:bookmarkStart w:id="3192" w:name="_Toc38442640"/>
      <w:bookmarkStart w:id="3193" w:name="_Toc38442971"/>
      <w:bookmarkStart w:id="3194" w:name="_Toc38443302"/>
      <w:bookmarkStart w:id="3195" w:name="_Toc38443633"/>
      <w:bookmarkStart w:id="3196" w:name="_Toc38443963"/>
      <w:bookmarkStart w:id="3197" w:name="_Toc38438431"/>
      <w:bookmarkStart w:id="3198" w:name="_Toc38438768"/>
      <w:bookmarkStart w:id="3199" w:name="_Toc38439105"/>
      <w:bookmarkStart w:id="3200" w:name="_Toc38439442"/>
      <w:bookmarkStart w:id="3201" w:name="_Toc38439779"/>
      <w:bookmarkStart w:id="3202" w:name="_Toc38440116"/>
      <w:bookmarkStart w:id="3203" w:name="_Toc38440453"/>
      <w:bookmarkStart w:id="3204" w:name="_Toc38440985"/>
      <w:bookmarkStart w:id="3205" w:name="_Toc38441317"/>
      <w:bookmarkStart w:id="3206" w:name="_Toc38441649"/>
      <w:bookmarkStart w:id="3207" w:name="_Toc38441977"/>
      <w:bookmarkStart w:id="3208" w:name="_Toc38442309"/>
      <w:bookmarkStart w:id="3209" w:name="_Toc38442641"/>
      <w:bookmarkStart w:id="3210" w:name="_Toc38442972"/>
      <w:bookmarkStart w:id="3211" w:name="_Toc38443303"/>
      <w:bookmarkStart w:id="3212" w:name="_Toc38443634"/>
      <w:bookmarkStart w:id="3213" w:name="_Toc38443964"/>
      <w:bookmarkStart w:id="3214" w:name="_Toc38438432"/>
      <w:bookmarkStart w:id="3215" w:name="_Toc38438769"/>
      <w:bookmarkStart w:id="3216" w:name="_Toc38439106"/>
      <w:bookmarkStart w:id="3217" w:name="_Toc38439443"/>
      <w:bookmarkStart w:id="3218" w:name="_Toc38439780"/>
      <w:bookmarkStart w:id="3219" w:name="_Toc38440117"/>
      <w:bookmarkStart w:id="3220" w:name="_Toc38440454"/>
      <w:bookmarkStart w:id="3221" w:name="_Toc38440986"/>
      <w:bookmarkStart w:id="3222" w:name="_Toc38441318"/>
      <w:bookmarkStart w:id="3223" w:name="_Toc38441650"/>
      <w:bookmarkStart w:id="3224" w:name="_Toc38441978"/>
      <w:bookmarkStart w:id="3225" w:name="_Toc38442310"/>
      <w:bookmarkStart w:id="3226" w:name="_Toc38442642"/>
      <w:bookmarkStart w:id="3227" w:name="_Toc38442973"/>
      <w:bookmarkStart w:id="3228" w:name="_Toc38443304"/>
      <w:bookmarkStart w:id="3229" w:name="_Toc38443635"/>
      <w:bookmarkStart w:id="3230" w:name="_Toc38443965"/>
      <w:bookmarkStart w:id="3231" w:name="_Toc38438433"/>
      <w:bookmarkStart w:id="3232" w:name="_Toc38438770"/>
      <w:bookmarkStart w:id="3233" w:name="_Toc38439107"/>
      <w:bookmarkStart w:id="3234" w:name="_Toc38439444"/>
      <w:bookmarkStart w:id="3235" w:name="_Toc38439781"/>
      <w:bookmarkStart w:id="3236" w:name="_Toc38440118"/>
      <w:bookmarkStart w:id="3237" w:name="_Toc38440455"/>
      <w:bookmarkStart w:id="3238" w:name="_Toc38440987"/>
      <w:bookmarkStart w:id="3239" w:name="_Toc38441319"/>
      <w:bookmarkStart w:id="3240" w:name="_Toc38441651"/>
      <w:bookmarkStart w:id="3241" w:name="_Toc38441979"/>
      <w:bookmarkStart w:id="3242" w:name="_Toc38442311"/>
      <w:bookmarkStart w:id="3243" w:name="_Toc38442643"/>
      <w:bookmarkStart w:id="3244" w:name="_Toc38442974"/>
      <w:bookmarkStart w:id="3245" w:name="_Toc38443305"/>
      <w:bookmarkStart w:id="3246" w:name="_Toc38443636"/>
      <w:bookmarkStart w:id="3247" w:name="_Toc38443966"/>
      <w:bookmarkStart w:id="3248" w:name="_Toc38438434"/>
      <w:bookmarkStart w:id="3249" w:name="_Toc38438771"/>
      <w:bookmarkStart w:id="3250" w:name="_Toc38439108"/>
      <w:bookmarkStart w:id="3251" w:name="_Toc38439445"/>
      <w:bookmarkStart w:id="3252" w:name="_Toc38439782"/>
      <w:bookmarkStart w:id="3253" w:name="_Toc38440119"/>
      <w:bookmarkStart w:id="3254" w:name="_Toc38440456"/>
      <w:bookmarkStart w:id="3255" w:name="_Toc38440988"/>
      <w:bookmarkStart w:id="3256" w:name="_Toc38441320"/>
      <w:bookmarkStart w:id="3257" w:name="_Toc38441652"/>
      <w:bookmarkStart w:id="3258" w:name="_Toc38441980"/>
      <w:bookmarkStart w:id="3259" w:name="_Toc38442312"/>
      <w:bookmarkStart w:id="3260" w:name="_Toc38442644"/>
      <w:bookmarkStart w:id="3261" w:name="_Toc38442975"/>
      <w:bookmarkStart w:id="3262" w:name="_Toc38443306"/>
      <w:bookmarkStart w:id="3263" w:name="_Toc38443637"/>
      <w:bookmarkStart w:id="3264" w:name="_Toc38443967"/>
      <w:bookmarkStart w:id="3265" w:name="_Toc38438435"/>
      <w:bookmarkStart w:id="3266" w:name="_Toc38438772"/>
      <w:bookmarkStart w:id="3267" w:name="_Toc38439109"/>
      <w:bookmarkStart w:id="3268" w:name="_Toc38439446"/>
      <w:bookmarkStart w:id="3269" w:name="_Toc38439783"/>
      <w:bookmarkStart w:id="3270" w:name="_Toc38440120"/>
      <w:bookmarkStart w:id="3271" w:name="_Toc38440457"/>
      <w:bookmarkStart w:id="3272" w:name="_Toc38440989"/>
      <w:bookmarkStart w:id="3273" w:name="_Toc38441321"/>
      <w:bookmarkStart w:id="3274" w:name="_Toc38441653"/>
      <w:bookmarkStart w:id="3275" w:name="_Toc38441981"/>
      <w:bookmarkStart w:id="3276" w:name="_Toc38442313"/>
      <w:bookmarkStart w:id="3277" w:name="_Toc38442645"/>
      <w:bookmarkStart w:id="3278" w:name="_Toc38442976"/>
      <w:bookmarkStart w:id="3279" w:name="_Toc38443307"/>
      <w:bookmarkStart w:id="3280" w:name="_Toc38443638"/>
      <w:bookmarkStart w:id="3281" w:name="_Toc38443968"/>
      <w:bookmarkStart w:id="3282" w:name="_Toc38438436"/>
      <w:bookmarkStart w:id="3283" w:name="_Toc38438773"/>
      <w:bookmarkStart w:id="3284" w:name="_Toc38439110"/>
      <w:bookmarkStart w:id="3285" w:name="_Toc38439447"/>
      <w:bookmarkStart w:id="3286" w:name="_Toc38439784"/>
      <w:bookmarkStart w:id="3287" w:name="_Toc38440121"/>
      <w:bookmarkStart w:id="3288" w:name="_Toc38440458"/>
      <w:bookmarkStart w:id="3289" w:name="_Toc38440990"/>
      <w:bookmarkStart w:id="3290" w:name="_Toc38441322"/>
      <w:bookmarkStart w:id="3291" w:name="_Toc38441654"/>
      <w:bookmarkStart w:id="3292" w:name="_Toc38441982"/>
      <w:bookmarkStart w:id="3293" w:name="_Toc38442314"/>
      <w:bookmarkStart w:id="3294" w:name="_Toc38442646"/>
      <w:bookmarkStart w:id="3295" w:name="_Toc38442977"/>
      <w:bookmarkStart w:id="3296" w:name="_Toc38443308"/>
      <w:bookmarkStart w:id="3297" w:name="_Toc38443639"/>
      <w:bookmarkStart w:id="3298" w:name="_Toc38443969"/>
      <w:bookmarkStart w:id="3299" w:name="_Toc38438437"/>
      <w:bookmarkStart w:id="3300" w:name="_Toc38438774"/>
      <w:bookmarkStart w:id="3301" w:name="_Toc38439111"/>
      <w:bookmarkStart w:id="3302" w:name="_Toc38439448"/>
      <w:bookmarkStart w:id="3303" w:name="_Toc38439785"/>
      <w:bookmarkStart w:id="3304" w:name="_Toc38440122"/>
      <w:bookmarkStart w:id="3305" w:name="_Toc38440459"/>
      <w:bookmarkStart w:id="3306" w:name="_Toc38440991"/>
      <w:bookmarkStart w:id="3307" w:name="_Toc38441323"/>
      <w:bookmarkStart w:id="3308" w:name="_Toc38441655"/>
      <w:bookmarkStart w:id="3309" w:name="_Toc38441983"/>
      <w:bookmarkStart w:id="3310" w:name="_Toc38442315"/>
      <w:bookmarkStart w:id="3311" w:name="_Toc38442647"/>
      <w:bookmarkStart w:id="3312" w:name="_Toc38442978"/>
      <w:bookmarkStart w:id="3313" w:name="_Toc38443309"/>
      <w:bookmarkStart w:id="3314" w:name="_Toc38443640"/>
      <w:bookmarkStart w:id="3315" w:name="_Toc38443970"/>
      <w:bookmarkStart w:id="3316" w:name="_Toc38438438"/>
      <w:bookmarkStart w:id="3317" w:name="_Toc38438775"/>
      <w:bookmarkStart w:id="3318" w:name="_Toc38439112"/>
      <w:bookmarkStart w:id="3319" w:name="_Toc38439449"/>
      <w:bookmarkStart w:id="3320" w:name="_Toc38439786"/>
      <w:bookmarkStart w:id="3321" w:name="_Toc38440123"/>
      <w:bookmarkStart w:id="3322" w:name="_Toc38440460"/>
      <w:bookmarkStart w:id="3323" w:name="_Toc38440992"/>
      <w:bookmarkStart w:id="3324" w:name="_Toc38441324"/>
      <w:bookmarkStart w:id="3325" w:name="_Toc38441656"/>
      <w:bookmarkStart w:id="3326" w:name="_Toc38441984"/>
      <w:bookmarkStart w:id="3327" w:name="_Toc38442316"/>
      <w:bookmarkStart w:id="3328" w:name="_Toc38442648"/>
      <w:bookmarkStart w:id="3329" w:name="_Toc38442979"/>
      <w:bookmarkStart w:id="3330" w:name="_Toc38443310"/>
      <w:bookmarkStart w:id="3331" w:name="_Toc38443641"/>
      <w:bookmarkStart w:id="3332" w:name="_Toc38443971"/>
      <w:bookmarkStart w:id="3333" w:name="_Toc38438439"/>
      <w:bookmarkStart w:id="3334" w:name="_Toc38438776"/>
      <w:bookmarkStart w:id="3335" w:name="_Toc38439113"/>
      <w:bookmarkStart w:id="3336" w:name="_Toc38439450"/>
      <w:bookmarkStart w:id="3337" w:name="_Toc38439787"/>
      <w:bookmarkStart w:id="3338" w:name="_Toc38440124"/>
      <w:bookmarkStart w:id="3339" w:name="_Toc38440461"/>
      <w:bookmarkStart w:id="3340" w:name="_Toc38440993"/>
      <w:bookmarkStart w:id="3341" w:name="_Toc38441325"/>
      <w:bookmarkStart w:id="3342" w:name="_Toc38441657"/>
      <w:bookmarkStart w:id="3343" w:name="_Toc38441985"/>
      <w:bookmarkStart w:id="3344" w:name="_Toc38442317"/>
      <w:bookmarkStart w:id="3345" w:name="_Toc38442649"/>
      <w:bookmarkStart w:id="3346" w:name="_Toc38442980"/>
      <w:bookmarkStart w:id="3347" w:name="_Toc38443311"/>
      <w:bookmarkStart w:id="3348" w:name="_Toc38443642"/>
      <w:bookmarkStart w:id="3349" w:name="_Toc38443972"/>
      <w:bookmarkStart w:id="3350" w:name="_Toc38438440"/>
      <w:bookmarkStart w:id="3351" w:name="_Toc38438777"/>
      <w:bookmarkStart w:id="3352" w:name="_Toc38439114"/>
      <w:bookmarkStart w:id="3353" w:name="_Toc38439451"/>
      <w:bookmarkStart w:id="3354" w:name="_Toc38439788"/>
      <w:bookmarkStart w:id="3355" w:name="_Toc38440125"/>
      <w:bookmarkStart w:id="3356" w:name="_Toc38440462"/>
      <w:bookmarkStart w:id="3357" w:name="_Toc38440994"/>
      <w:bookmarkStart w:id="3358" w:name="_Toc38441326"/>
      <w:bookmarkStart w:id="3359" w:name="_Toc38441658"/>
      <w:bookmarkStart w:id="3360" w:name="_Toc38441986"/>
      <w:bookmarkStart w:id="3361" w:name="_Toc38442318"/>
      <w:bookmarkStart w:id="3362" w:name="_Toc38442650"/>
      <w:bookmarkStart w:id="3363" w:name="_Toc38442981"/>
      <w:bookmarkStart w:id="3364" w:name="_Toc38443312"/>
      <w:bookmarkStart w:id="3365" w:name="_Toc38443643"/>
      <w:bookmarkStart w:id="3366" w:name="_Toc38443973"/>
      <w:bookmarkStart w:id="3367" w:name="_Toc38438441"/>
      <w:bookmarkStart w:id="3368" w:name="_Toc38438778"/>
      <w:bookmarkStart w:id="3369" w:name="_Toc38439115"/>
      <w:bookmarkStart w:id="3370" w:name="_Toc38439452"/>
      <w:bookmarkStart w:id="3371" w:name="_Toc38439789"/>
      <w:bookmarkStart w:id="3372" w:name="_Toc38440126"/>
      <w:bookmarkStart w:id="3373" w:name="_Toc38440463"/>
      <w:bookmarkStart w:id="3374" w:name="_Toc38440995"/>
      <w:bookmarkStart w:id="3375" w:name="_Toc38441327"/>
      <w:bookmarkStart w:id="3376" w:name="_Toc38441659"/>
      <w:bookmarkStart w:id="3377" w:name="_Toc38441987"/>
      <w:bookmarkStart w:id="3378" w:name="_Toc38442319"/>
      <w:bookmarkStart w:id="3379" w:name="_Toc38442651"/>
      <w:bookmarkStart w:id="3380" w:name="_Toc38442982"/>
      <w:bookmarkStart w:id="3381" w:name="_Toc38443313"/>
      <w:bookmarkStart w:id="3382" w:name="_Toc38443644"/>
      <w:bookmarkStart w:id="3383" w:name="_Toc38443974"/>
      <w:bookmarkStart w:id="3384" w:name="_Toc38438442"/>
      <w:bookmarkStart w:id="3385" w:name="_Toc38438779"/>
      <w:bookmarkStart w:id="3386" w:name="_Toc38439116"/>
      <w:bookmarkStart w:id="3387" w:name="_Toc38439453"/>
      <w:bookmarkStart w:id="3388" w:name="_Toc38439790"/>
      <w:bookmarkStart w:id="3389" w:name="_Toc38440127"/>
      <w:bookmarkStart w:id="3390" w:name="_Toc38440464"/>
      <w:bookmarkStart w:id="3391" w:name="_Toc38440996"/>
      <w:bookmarkStart w:id="3392" w:name="_Toc38441328"/>
      <w:bookmarkStart w:id="3393" w:name="_Toc38441660"/>
      <w:bookmarkStart w:id="3394" w:name="_Toc38441988"/>
      <w:bookmarkStart w:id="3395" w:name="_Toc38442320"/>
      <w:bookmarkStart w:id="3396" w:name="_Toc38442652"/>
      <w:bookmarkStart w:id="3397" w:name="_Toc38442983"/>
      <w:bookmarkStart w:id="3398" w:name="_Toc38443314"/>
      <w:bookmarkStart w:id="3399" w:name="_Toc38443645"/>
      <w:bookmarkStart w:id="3400" w:name="_Toc38443975"/>
      <w:bookmarkStart w:id="3401" w:name="_Toc38438443"/>
      <w:bookmarkStart w:id="3402" w:name="_Toc38438780"/>
      <w:bookmarkStart w:id="3403" w:name="_Toc38439117"/>
      <w:bookmarkStart w:id="3404" w:name="_Toc38439454"/>
      <w:bookmarkStart w:id="3405" w:name="_Toc38439791"/>
      <w:bookmarkStart w:id="3406" w:name="_Toc38440128"/>
      <w:bookmarkStart w:id="3407" w:name="_Toc38440465"/>
      <w:bookmarkStart w:id="3408" w:name="_Toc38440997"/>
      <w:bookmarkStart w:id="3409" w:name="_Toc38441329"/>
      <w:bookmarkStart w:id="3410" w:name="_Toc38441661"/>
      <w:bookmarkStart w:id="3411" w:name="_Toc38441989"/>
      <w:bookmarkStart w:id="3412" w:name="_Toc38442321"/>
      <w:bookmarkStart w:id="3413" w:name="_Toc38442653"/>
      <w:bookmarkStart w:id="3414" w:name="_Toc38442984"/>
      <w:bookmarkStart w:id="3415" w:name="_Toc38443315"/>
      <w:bookmarkStart w:id="3416" w:name="_Toc38443646"/>
      <w:bookmarkStart w:id="3417" w:name="_Toc38443976"/>
      <w:bookmarkStart w:id="3418" w:name="_Toc38438444"/>
      <w:bookmarkStart w:id="3419" w:name="_Toc38438781"/>
      <w:bookmarkStart w:id="3420" w:name="_Toc38439118"/>
      <w:bookmarkStart w:id="3421" w:name="_Toc38439455"/>
      <w:bookmarkStart w:id="3422" w:name="_Toc38439792"/>
      <w:bookmarkStart w:id="3423" w:name="_Toc38440129"/>
      <w:bookmarkStart w:id="3424" w:name="_Toc38440466"/>
      <w:bookmarkStart w:id="3425" w:name="_Toc38440998"/>
      <w:bookmarkStart w:id="3426" w:name="_Toc38441330"/>
      <w:bookmarkStart w:id="3427" w:name="_Toc38441662"/>
      <w:bookmarkStart w:id="3428" w:name="_Toc38441990"/>
      <w:bookmarkStart w:id="3429" w:name="_Toc38442322"/>
      <w:bookmarkStart w:id="3430" w:name="_Toc38442654"/>
      <w:bookmarkStart w:id="3431" w:name="_Toc38442985"/>
      <w:bookmarkStart w:id="3432" w:name="_Toc38443316"/>
      <w:bookmarkStart w:id="3433" w:name="_Toc38443647"/>
      <w:bookmarkStart w:id="3434" w:name="_Toc38443977"/>
      <w:bookmarkStart w:id="3435" w:name="_Toc38438445"/>
      <w:bookmarkStart w:id="3436" w:name="_Toc38438782"/>
      <w:bookmarkStart w:id="3437" w:name="_Toc38439119"/>
      <w:bookmarkStart w:id="3438" w:name="_Toc38439456"/>
      <w:bookmarkStart w:id="3439" w:name="_Toc38439793"/>
      <w:bookmarkStart w:id="3440" w:name="_Toc38440130"/>
      <w:bookmarkStart w:id="3441" w:name="_Toc38440467"/>
      <w:bookmarkStart w:id="3442" w:name="_Toc38440999"/>
      <w:bookmarkStart w:id="3443" w:name="_Toc38441331"/>
      <w:bookmarkStart w:id="3444" w:name="_Toc38441663"/>
      <w:bookmarkStart w:id="3445" w:name="_Toc38441991"/>
      <w:bookmarkStart w:id="3446" w:name="_Toc38442323"/>
      <w:bookmarkStart w:id="3447" w:name="_Toc38442655"/>
      <w:bookmarkStart w:id="3448" w:name="_Toc38442986"/>
      <w:bookmarkStart w:id="3449" w:name="_Toc38443317"/>
      <w:bookmarkStart w:id="3450" w:name="_Toc38443648"/>
      <w:bookmarkStart w:id="3451" w:name="_Toc38443978"/>
      <w:bookmarkStart w:id="3452" w:name="_Toc38438446"/>
      <w:bookmarkStart w:id="3453" w:name="_Toc38438783"/>
      <w:bookmarkStart w:id="3454" w:name="_Toc38439120"/>
      <w:bookmarkStart w:id="3455" w:name="_Toc38439457"/>
      <w:bookmarkStart w:id="3456" w:name="_Toc38439794"/>
      <w:bookmarkStart w:id="3457" w:name="_Toc38440131"/>
      <w:bookmarkStart w:id="3458" w:name="_Toc38440468"/>
      <w:bookmarkStart w:id="3459" w:name="_Toc38441000"/>
      <w:bookmarkStart w:id="3460" w:name="_Toc38441332"/>
      <w:bookmarkStart w:id="3461" w:name="_Toc38441664"/>
      <w:bookmarkStart w:id="3462" w:name="_Toc38441992"/>
      <w:bookmarkStart w:id="3463" w:name="_Toc38442324"/>
      <w:bookmarkStart w:id="3464" w:name="_Toc38442656"/>
      <w:bookmarkStart w:id="3465" w:name="_Toc38442987"/>
      <w:bookmarkStart w:id="3466" w:name="_Toc38443318"/>
      <w:bookmarkStart w:id="3467" w:name="_Toc38443649"/>
      <w:bookmarkStart w:id="3468" w:name="_Toc38443979"/>
      <w:bookmarkStart w:id="3469" w:name="_Toc38438447"/>
      <w:bookmarkStart w:id="3470" w:name="_Toc38438784"/>
      <w:bookmarkStart w:id="3471" w:name="_Toc38439121"/>
      <w:bookmarkStart w:id="3472" w:name="_Toc38439458"/>
      <w:bookmarkStart w:id="3473" w:name="_Toc38439795"/>
      <w:bookmarkStart w:id="3474" w:name="_Toc38440132"/>
      <w:bookmarkStart w:id="3475" w:name="_Toc38440469"/>
      <w:bookmarkStart w:id="3476" w:name="_Toc38441001"/>
      <w:bookmarkStart w:id="3477" w:name="_Toc38441333"/>
      <w:bookmarkStart w:id="3478" w:name="_Toc38441665"/>
      <w:bookmarkStart w:id="3479" w:name="_Toc38441993"/>
      <w:bookmarkStart w:id="3480" w:name="_Toc38442325"/>
      <w:bookmarkStart w:id="3481" w:name="_Toc38442657"/>
      <w:bookmarkStart w:id="3482" w:name="_Toc38442988"/>
      <w:bookmarkStart w:id="3483" w:name="_Toc38443319"/>
      <w:bookmarkStart w:id="3484" w:name="_Toc38443650"/>
      <w:bookmarkStart w:id="3485" w:name="_Toc38443980"/>
      <w:bookmarkStart w:id="3486" w:name="_Toc38438448"/>
      <w:bookmarkStart w:id="3487" w:name="_Toc38438785"/>
      <w:bookmarkStart w:id="3488" w:name="_Toc38439122"/>
      <w:bookmarkStart w:id="3489" w:name="_Toc38439459"/>
      <w:bookmarkStart w:id="3490" w:name="_Toc38439796"/>
      <w:bookmarkStart w:id="3491" w:name="_Toc38440133"/>
      <w:bookmarkStart w:id="3492" w:name="_Toc38440470"/>
      <w:bookmarkStart w:id="3493" w:name="_Toc38441002"/>
      <w:bookmarkStart w:id="3494" w:name="_Toc38441334"/>
      <w:bookmarkStart w:id="3495" w:name="_Toc38441666"/>
      <w:bookmarkStart w:id="3496" w:name="_Toc38441994"/>
      <w:bookmarkStart w:id="3497" w:name="_Toc38442326"/>
      <w:bookmarkStart w:id="3498" w:name="_Toc38442658"/>
      <w:bookmarkStart w:id="3499" w:name="_Toc38442989"/>
      <w:bookmarkStart w:id="3500" w:name="_Toc38443320"/>
      <w:bookmarkStart w:id="3501" w:name="_Toc38443651"/>
      <w:bookmarkStart w:id="3502" w:name="_Toc38443981"/>
      <w:bookmarkStart w:id="3503" w:name="_Toc38438449"/>
      <w:bookmarkStart w:id="3504" w:name="_Toc38438786"/>
      <w:bookmarkStart w:id="3505" w:name="_Toc38439123"/>
      <w:bookmarkStart w:id="3506" w:name="_Toc38439460"/>
      <w:bookmarkStart w:id="3507" w:name="_Toc38439797"/>
      <w:bookmarkStart w:id="3508" w:name="_Toc38440134"/>
      <w:bookmarkStart w:id="3509" w:name="_Toc38440471"/>
      <w:bookmarkStart w:id="3510" w:name="_Toc38441003"/>
      <w:bookmarkStart w:id="3511" w:name="_Toc38441335"/>
      <w:bookmarkStart w:id="3512" w:name="_Toc38441667"/>
      <w:bookmarkStart w:id="3513" w:name="_Toc38441995"/>
      <w:bookmarkStart w:id="3514" w:name="_Toc38442327"/>
      <w:bookmarkStart w:id="3515" w:name="_Toc38442659"/>
      <w:bookmarkStart w:id="3516" w:name="_Toc38442990"/>
      <w:bookmarkStart w:id="3517" w:name="_Toc38443321"/>
      <w:bookmarkStart w:id="3518" w:name="_Toc38443652"/>
      <w:bookmarkStart w:id="3519" w:name="_Toc38443982"/>
      <w:bookmarkStart w:id="3520" w:name="_Toc38438450"/>
      <w:bookmarkStart w:id="3521" w:name="_Toc38438787"/>
      <w:bookmarkStart w:id="3522" w:name="_Toc38439124"/>
      <w:bookmarkStart w:id="3523" w:name="_Toc38439461"/>
      <w:bookmarkStart w:id="3524" w:name="_Toc38439798"/>
      <w:bookmarkStart w:id="3525" w:name="_Toc38440135"/>
      <w:bookmarkStart w:id="3526" w:name="_Toc38440472"/>
      <w:bookmarkStart w:id="3527" w:name="_Toc38441004"/>
      <w:bookmarkStart w:id="3528" w:name="_Toc38441336"/>
      <w:bookmarkStart w:id="3529" w:name="_Toc38441668"/>
      <w:bookmarkStart w:id="3530" w:name="_Toc38441996"/>
      <w:bookmarkStart w:id="3531" w:name="_Toc38442328"/>
      <w:bookmarkStart w:id="3532" w:name="_Toc38442660"/>
      <w:bookmarkStart w:id="3533" w:name="_Toc38442991"/>
      <w:bookmarkStart w:id="3534" w:name="_Toc38443322"/>
      <w:bookmarkStart w:id="3535" w:name="_Toc38443653"/>
      <w:bookmarkStart w:id="3536" w:name="_Toc38443983"/>
      <w:bookmarkStart w:id="3537" w:name="_Toc38438451"/>
      <w:bookmarkStart w:id="3538" w:name="_Toc38438788"/>
      <w:bookmarkStart w:id="3539" w:name="_Toc38439125"/>
      <w:bookmarkStart w:id="3540" w:name="_Toc38439462"/>
      <w:bookmarkStart w:id="3541" w:name="_Toc38439799"/>
      <w:bookmarkStart w:id="3542" w:name="_Toc38440136"/>
      <w:bookmarkStart w:id="3543" w:name="_Toc38440473"/>
      <w:bookmarkStart w:id="3544" w:name="_Toc38441005"/>
      <w:bookmarkStart w:id="3545" w:name="_Toc38441337"/>
      <w:bookmarkStart w:id="3546" w:name="_Toc38441669"/>
      <w:bookmarkStart w:id="3547" w:name="_Toc38441997"/>
      <w:bookmarkStart w:id="3548" w:name="_Toc38442329"/>
      <w:bookmarkStart w:id="3549" w:name="_Toc38442661"/>
      <w:bookmarkStart w:id="3550" w:name="_Toc38442992"/>
      <w:bookmarkStart w:id="3551" w:name="_Toc38443323"/>
      <w:bookmarkStart w:id="3552" w:name="_Toc38443654"/>
      <w:bookmarkStart w:id="3553" w:name="_Toc38443984"/>
      <w:bookmarkStart w:id="3554" w:name="_Toc38438452"/>
      <w:bookmarkStart w:id="3555" w:name="_Toc38438789"/>
      <w:bookmarkStart w:id="3556" w:name="_Toc38439126"/>
      <w:bookmarkStart w:id="3557" w:name="_Toc38439463"/>
      <w:bookmarkStart w:id="3558" w:name="_Toc38439800"/>
      <w:bookmarkStart w:id="3559" w:name="_Toc38440137"/>
      <w:bookmarkStart w:id="3560" w:name="_Toc38440474"/>
      <w:bookmarkStart w:id="3561" w:name="_Toc38441006"/>
      <w:bookmarkStart w:id="3562" w:name="_Toc38441338"/>
      <w:bookmarkStart w:id="3563" w:name="_Toc38441670"/>
      <w:bookmarkStart w:id="3564" w:name="_Toc38441998"/>
      <w:bookmarkStart w:id="3565" w:name="_Toc38442330"/>
      <w:bookmarkStart w:id="3566" w:name="_Toc38442662"/>
      <w:bookmarkStart w:id="3567" w:name="_Toc38442993"/>
      <w:bookmarkStart w:id="3568" w:name="_Toc38443324"/>
      <w:bookmarkStart w:id="3569" w:name="_Toc38443655"/>
      <w:bookmarkStart w:id="3570" w:name="_Toc38443985"/>
      <w:bookmarkStart w:id="3571" w:name="_Toc38438453"/>
      <w:bookmarkStart w:id="3572" w:name="_Toc38438790"/>
      <w:bookmarkStart w:id="3573" w:name="_Toc38439127"/>
      <w:bookmarkStart w:id="3574" w:name="_Toc38439464"/>
      <w:bookmarkStart w:id="3575" w:name="_Toc38439801"/>
      <w:bookmarkStart w:id="3576" w:name="_Toc38440138"/>
      <w:bookmarkStart w:id="3577" w:name="_Toc38440475"/>
      <w:bookmarkStart w:id="3578" w:name="_Toc38441007"/>
      <w:bookmarkStart w:id="3579" w:name="_Toc38441339"/>
      <w:bookmarkStart w:id="3580" w:name="_Toc38441671"/>
      <w:bookmarkStart w:id="3581" w:name="_Toc38441999"/>
      <w:bookmarkStart w:id="3582" w:name="_Toc38442331"/>
      <w:bookmarkStart w:id="3583" w:name="_Toc38442663"/>
      <w:bookmarkStart w:id="3584" w:name="_Toc38442994"/>
      <w:bookmarkStart w:id="3585" w:name="_Toc38443325"/>
      <w:bookmarkStart w:id="3586" w:name="_Toc38443656"/>
      <w:bookmarkStart w:id="3587" w:name="_Toc38443986"/>
      <w:bookmarkStart w:id="3588" w:name="_Toc38438454"/>
      <w:bookmarkStart w:id="3589" w:name="_Toc38438791"/>
      <w:bookmarkStart w:id="3590" w:name="_Toc38439128"/>
      <w:bookmarkStart w:id="3591" w:name="_Toc38439465"/>
      <w:bookmarkStart w:id="3592" w:name="_Toc38439802"/>
      <w:bookmarkStart w:id="3593" w:name="_Toc38440139"/>
      <w:bookmarkStart w:id="3594" w:name="_Toc38440476"/>
      <w:bookmarkStart w:id="3595" w:name="_Toc38441008"/>
      <w:bookmarkStart w:id="3596" w:name="_Toc38441340"/>
      <w:bookmarkStart w:id="3597" w:name="_Toc38441672"/>
      <w:bookmarkStart w:id="3598" w:name="_Toc38442000"/>
      <w:bookmarkStart w:id="3599" w:name="_Toc38442332"/>
      <w:bookmarkStart w:id="3600" w:name="_Toc38442664"/>
      <w:bookmarkStart w:id="3601" w:name="_Toc38442995"/>
      <w:bookmarkStart w:id="3602" w:name="_Toc38443326"/>
      <w:bookmarkStart w:id="3603" w:name="_Toc38443657"/>
      <w:bookmarkStart w:id="3604" w:name="_Toc38443987"/>
      <w:bookmarkStart w:id="3605" w:name="_Toc38438455"/>
      <w:bookmarkStart w:id="3606" w:name="_Toc38438792"/>
      <w:bookmarkStart w:id="3607" w:name="_Toc38439129"/>
      <w:bookmarkStart w:id="3608" w:name="_Toc38439466"/>
      <w:bookmarkStart w:id="3609" w:name="_Toc38439803"/>
      <w:bookmarkStart w:id="3610" w:name="_Toc38440140"/>
      <w:bookmarkStart w:id="3611" w:name="_Toc38440477"/>
      <w:bookmarkStart w:id="3612" w:name="_Toc38441009"/>
      <w:bookmarkStart w:id="3613" w:name="_Toc38441341"/>
      <w:bookmarkStart w:id="3614" w:name="_Toc38441673"/>
      <w:bookmarkStart w:id="3615" w:name="_Toc38442001"/>
      <w:bookmarkStart w:id="3616" w:name="_Toc38442333"/>
      <w:bookmarkStart w:id="3617" w:name="_Toc38442665"/>
      <w:bookmarkStart w:id="3618" w:name="_Toc38442996"/>
      <w:bookmarkStart w:id="3619" w:name="_Toc38443327"/>
      <w:bookmarkStart w:id="3620" w:name="_Toc38443658"/>
      <w:bookmarkStart w:id="3621" w:name="_Toc38443988"/>
      <w:bookmarkStart w:id="3622" w:name="_Toc38438456"/>
      <w:bookmarkStart w:id="3623" w:name="_Toc38438793"/>
      <w:bookmarkStart w:id="3624" w:name="_Toc38439130"/>
      <w:bookmarkStart w:id="3625" w:name="_Toc38439467"/>
      <w:bookmarkStart w:id="3626" w:name="_Toc38439804"/>
      <w:bookmarkStart w:id="3627" w:name="_Toc38440141"/>
      <w:bookmarkStart w:id="3628" w:name="_Toc38440478"/>
      <w:bookmarkStart w:id="3629" w:name="_Toc38441010"/>
      <w:bookmarkStart w:id="3630" w:name="_Toc38441342"/>
      <w:bookmarkStart w:id="3631" w:name="_Toc38441674"/>
      <w:bookmarkStart w:id="3632" w:name="_Toc38442002"/>
      <w:bookmarkStart w:id="3633" w:name="_Toc38442334"/>
      <w:bookmarkStart w:id="3634" w:name="_Toc38442666"/>
      <w:bookmarkStart w:id="3635" w:name="_Toc38442997"/>
      <w:bookmarkStart w:id="3636" w:name="_Toc38443328"/>
      <w:bookmarkStart w:id="3637" w:name="_Toc38443659"/>
      <w:bookmarkStart w:id="3638" w:name="_Toc38443989"/>
      <w:bookmarkStart w:id="3639" w:name="_Toc38438457"/>
      <w:bookmarkStart w:id="3640" w:name="_Toc38438794"/>
      <w:bookmarkStart w:id="3641" w:name="_Toc38439131"/>
      <w:bookmarkStart w:id="3642" w:name="_Toc38439468"/>
      <w:bookmarkStart w:id="3643" w:name="_Toc38439805"/>
      <w:bookmarkStart w:id="3644" w:name="_Toc38440142"/>
      <w:bookmarkStart w:id="3645" w:name="_Toc38440479"/>
      <w:bookmarkStart w:id="3646" w:name="_Toc38441011"/>
      <w:bookmarkStart w:id="3647" w:name="_Toc38441343"/>
      <w:bookmarkStart w:id="3648" w:name="_Toc38441675"/>
      <w:bookmarkStart w:id="3649" w:name="_Toc38442003"/>
      <w:bookmarkStart w:id="3650" w:name="_Toc38442335"/>
      <w:bookmarkStart w:id="3651" w:name="_Toc38442667"/>
      <w:bookmarkStart w:id="3652" w:name="_Toc38442998"/>
      <w:bookmarkStart w:id="3653" w:name="_Toc38443329"/>
      <w:bookmarkStart w:id="3654" w:name="_Toc38443660"/>
      <w:bookmarkStart w:id="3655" w:name="_Toc38443990"/>
      <w:bookmarkStart w:id="3656" w:name="_Toc38438458"/>
      <w:bookmarkStart w:id="3657" w:name="_Toc38438795"/>
      <w:bookmarkStart w:id="3658" w:name="_Toc38439132"/>
      <w:bookmarkStart w:id="3659" w:name="_Toc38439469"/>
      <w:bookmarkStart w:id="3660" w:name="_Toc38439806"/>
      <w:bookmarkStart w:id="3661" w:name="_Toc38440143"/>
      <w:bookmarkStart w:id="3662" w:name="_Toc38440480"/>
      <w:bookmarkStart w:id="3663" w:name="_Toc38441012"/>
      <w:bookmarkStart w:id="3664" w:name="_Toc38441344"/>
      <w:bookmarkStart w:id="3665" w:name="_Toc38441676"/>
      <w:bookmarkStart w:id="3666" w:name="_Toc38442004"/>
      <w:bookmarkStart w:id="3667" w:name="_Toc38442336"/>
      <w:bookmarkStart w:id="3668" w:name="_Toc38442668"/>
      <w:bookmarkStart w:id="3669" w:name="_Toc38442999"/>
      <w:bookmarkStart w:id="3670" w:name="_Toc38443330"/>
      <w:bookmarkStart w:id="3671" w:name="_Toc38443661"/>
      <w:bookmarkStart w:id="3672" w:name="_Toc38443991"/>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p>
    <w:sectPr>
      <w:footerReference w:type="default" r:id="rId21"/>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pStyle w:val="Footer"/>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257FC2">
    <w:pPr>
      <w:pStyle w:val="Footer"/>
      <w:snapToGrid/>
      <w:ind w:right="360" w:firstLine="360"/>
    </w:pPr>
  </w:p>
  <w:p w:rsidR="00257FC2">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pStyle w:val="Footer"/>
      <w:snapToGrid/>
      <w:ind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pStyle w:val="Footer"/>
      <w:snapToGrid/>
      <w:ind w:firstLine="360"/>
      <w:jc w:val="center"/>
    </w:pPr>
    <w:r>
      <w:fldChar w:fldCharType="begin"/>
    </w:r>
    <w:r>
      <w:rPr>
        <w:highlight w:val="white"/>
      </w:rPr>
      <w:instrText xml:space="preserve"> PAGE   \* MERGEFORMAT </w:instrText>
    </w:r>
    <w:r>
      <w:fldChar w:fldCharType="separate"/>
    </w:r>
    <w:r w:rsidRPr="006F2136" w:rsidR="006F2136">
      <w:rPr>
        <w:noProof/>
        <w:highlight w:val="white"/>
        <w:lang w:val="zh-CN"/>
      </w:rPr>
      <w:t>120</w:t>
    </w:r>
    <w:r>
      <w:rPr>
        <w:lang w:val="zh-C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F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E5FB1"/>
    <w:multiLevelType w:val="multilevel"/>
    <w:tmpl w:val="05BE5FB1"/>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EDDF8AC"/>
    <w:multiLevelType w:val="multilevel"/>
    <w:tmpl w:val="4EDDF8AC"/>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bullet"/>
      <w:pStyle w:val="Heading4"/>
      <w:suff w:val="nothing"/>
      <w:lvlText w:val="·"/>
      <w:lvlJc w:val="left"/>
      <w:pPr>
        <w:ind w:left="851" w:firstLine="0"/>
      </w:pPr>
      <w:rPr>
        <w:rFonts w:hint="eastAsia"/>
      </w:rPr>
    </w:lvl>
    <w:lvl w:ilvl="4">
      <w:start w:val="1"/>
      <w:numFmt w:val="bullet"/>
      <w:pStyle w:val="Heading5"/>
      <w:suff w:val="nothing"/>
      <w:lvlText w:val="o"/>
      <w:lvlJc w:val="left"/>
      <w:pPr>
        <w:ind w:left="851" w:firstLine="0"/>
      </w:pPr>
      <w:rPr>
        <w:rFonts w:hint="eastAsia"/>
      </w:rPr>
    </w:lvl>
    <w:lvl w:ilvl="5">
      <w:start w:val="1"/>
      <w:numFmt w:val="bullet"/>
      <w:pStyle w:val="Heading6"/>
      <w:suff w:val="nothing"/>
      <w:lvlText w:val="§"/>
      <w:lvlJc w:val="left"/>
      <w:pPr>
        <w:ind w:left="851" w:firstLine="0"/>
      </w:pPr>
      <w:rPr>
        <w:rFonts w:hint="eastAsia"/>
      </w:rPr>
    </w:lvl>
    <w:lvl w:ilvl="6">
      <w:start w:val="1"/>
      <w:numFmt w:val="bullet"/>
      <w:pStyle w:val="Heading7"/>
      <w:suff w:val="nothing"/>
      <w:lvlText w:val="·"/>
      <w:lvlJc w:val="left"/>
      <w:pPr>
        <w:ind w:left="851" w:firstLine="0"/>
      </w:pPr>
      <w:rPr>
        <w:rFonts w:hint="eastAsia"/>
      </w:rPr>
    </w:lvl>
    <w:lvl w:ilvl="7">
      <w:start w:val="1"/>
      <w:numFmt w:val="bullet"/>
      <w:pStyle w:val="Heading8"/>
      <w:suff w:val="nothing"/>
      <w:lvlText w:val="o"/>
      <w:lvlJc w:val="left"/>
      <w:pPr>
        <w:ind w:left="851" w:firstLine="0"/>
      </w:pPr>
      <w:rPr>
        <w:rFonts w:hint="eastAsia"/>
      </w:rPr>
    </w:lvl>
    <w:lvl w:ilvl="8">
      <w:start w:val="1"/>
      <w:numFmt w:val="bullet"/>
      <w:pStyle w:val="Heading9"/>
      <w:suff w:val="nothing"/>
      <w:lvlText w:val="§"/>
      <w:lvlJc w:val="left"/>
      <w:pPr>
        <w:ind w:left="851" w:firstLine="0"/>
      </w:pPr>
      <w:rPr>
        <w:rFonts w:hint="eastAsia"/>
      </w:rPr>
    </w:lvl>
  </w:abstractNum>
  <w:abstractNum w:abstractNumId="2">
    <w:nsid w:val="57C77D08"/>
    <w:multiLevelType w:val="multilevel"/>
    <w:tmpl w:val="57C77D08"/>
    <w:lvl w:ilvl="0">
      <w:start w:val="1"/>
      <w:numFmt w:val="chineseCounting"/>
      <w:lvlText w:val="（%1）"/>
      <w:lvlJc w:val="left"/>
      <w:pPr>
        <w:tabs>
          <w:tab w:val="left" w:pos="990"/>
        </w:tabs>
        <w:ind w:left="990" w:hanging="840"/>
      </w:pPr>
      <w:rPr>
        <w:rFonts w:hint="eastAsia"/>
      </w:rPr>
    </w:lvl>
    <w:lvl w:ilvl="1">
      <w:start w:val="1"/>
      <w:numFmt w:val="decimal"/>
      <w:lvlText w:val="（%2）"/>
      <w:lvlJc w:val="left"/>
      <w:pPr>
        <w:tabs>
          <w:tab w:val="left" w:pos="1290"/>
        </w:tabs>
        <w:ind w:left="1290" w:hanging="720"/>
      </w:pPr>
      <w:rPr>
        <w:rFonts w:hint="eastAsia"/>
      </w:rPr>
    </w:lvl>
    <w:lvl w:ilvl="2">
      <w:start w:val="4"/>
      <w:numFmt w:val="chineseCounting"/>
      <w:pStyle w:val="Heading3"/>
      <w:lvlText w:val="%3、"/>
      <w:lvlJc w:val="left"/>
      <w:pPr>
        <w:tabs>
          <w:tab w:val="left" w:pos="1710"/>
        </w:tabs>
        <w:ind w:left="1710" w:hanging="720"/>
      </w:pPr>
      <w:rPr>
        <w:rFonts w:eastAsia="宋体" w:hint="eastAsia"/>
        <w:b/>
        <w:color w:val="auto"/>
      </w:r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0402">
    <w15:presenceInfo w15:providerId="None" w15:userId="王子豪0402"/>
  </w15:person>
  <w15:person w15:author="王子豪">
    <w15:presenceInfo w15:providerId="None" w15:userId="王子豪"/>
  </w15:person>
  <w15:person w15:author="梅源">
    <w15:presenceInfo w15:providerId="None" w15:userId="梅源"/>
  </w15:person>
  <w15:person w15:author="冯聪">
    <w15:presenceInfo w15:providerId="None" w15:userId="冯聪"/>
  </w15:person>
  <w15:person w15:author="马静">
    <w15:presenceInfo w15:providerId="None" w15:userId="马静"/>
  </w15:person>
  <w15:person w15:author="廖生暖">
    <w15:presenceInfo w15:providerId="None" w15:userId="廖生暖"/>
  </w15:person>
  <w15:person w15:author="王子豪0331">
    <w15:presenceInfo w15:providerId="None" w15:userId="王子豪0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2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FB"/>
    <w:rsid w:val="C7AB219D"/>
    <w:rsid w:val="F6FEA897"/>
    <w:rsid w:val="FFF62AFD"/>
    <w:rsid w:val="00003CE3"/>
    <w:rsid w:val="00015DE7"/>
    <w:rsid w:val="00081388"/>
    <w:rsid w:val="000915FF"/>
    <w:rsid w:val="000A26D2"/>
    <w:rsid w:val="00143FA6"/>
    <w:rsid w:val="001A33BC"/>
    <w:rsid w:val="001C56CC"/>
    <w:rsid w:val="0021232C"/>
    <w:rsid w:val="00257FC2"/>
    <w:rsid w:val="002A0B77"/>
    <w:rsid w:val="002C4075"/>
    <w:rsid w:val="002F0AD8"/>
    <w:rsid w:val="003473F2"/>
    <w:rsid w:val="0038652B"/>
    <w:rsid w:val="00391670"/>
    <w:rsid w:val="004826AC"/>
    <w:rsid w:val="004A1CFC"/>
    <w:rsid w:val="005C15E0"/>
    <w:rsid w:val="006F2136"/>
    <w:rsid w:val="007B0B88"/>
    <w:rsid w:val="0081651F"/>
    <w:rsid w:val="00854987"/>
    <w:rsid w:val="008916FB"/>
    <w:rsid w:val="008A6E1A"/>
    <w:rsid w:val="008F338B"/>
    <w:rsid w:val="0093108F"/>
    <w:rsid w:val="00987488"/>
    <w:rsid w:val="009951D4"/>
    <w:rsid w:val="00A864B6"/>
    <w:rsid w:val="00B662BC"/>
    <w:rsid w:val="00C24FC7"/>
    <w:rsid w:val="00CF17E0"/>
    <w:rsid w:val="00E00DC9"/>
    <w:rsid w:val="00F979F9"/>
    <w:rsid w:val="3FFE33E1"/>
    <w:rsid w:val="5EFFDE34"/>
    <w:rsid w:val="7EEBE9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CC135850-2A8E-436B-9E5B-F90D45EF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4"/>
      <w:lang w:eastAsia="en-US"/>
    </w:rPr>
  </w:style>
  <w:style w:type="paragraph" w:styleId="Heading1">
    <w:name w:val="heading 1"/>
    <w:basedOn w:val="Normal"/>
    <w:next w:val="Normal"/>
    <w:link w:val="1"/>
    <w:qFormat/>
    <w:pPr>
      <w:keepNext/>
      <w:ind w:firstLine="200"/>
      <w:jc w:val="center"/>
      <w:outlineLvl w:val="0"/>
    </w:pPr>
    <w:rPr>
      <w:rFonts w:ascii="黑体" w:eastAsia="黑体"/>
      <w:sz w:val="32"/>
      <w:szCs w:val="32"/>
    </w:rPr>
  </w:style>
  <w:style w:type="paragraph" w:styleId="Heading2">
    <w:name w:val="heading 2"/>
    <w:basedOn w:val="Normal"/>
    <w:next w:val="Normal"/>
    <w:link w:val="2"/>
    <w:qFormat/>
    <w:pPr>
      <w:keepNext/>
      <w:keepLines/>
      <w:ind w:firstLine="200"/>
      <w:outlineLvl w:val="1"/>
    </w:pPr>
    <w:rPr>
      <w:b/>
      <w:sz w:val="28"/>
      <w:szCs w:val="28"/>
    </w:rPr>
  </w:style>
  <w:style w:type="paragraph" w:styleId="Heading3">
    <w:name w:val="heading 3"/>
    <w:basedOn w:val="Normal"/>
    <w:next w:val="Normal"/>
    <w:link w:val="3"/>
    <w:qFormat/>
    <w:pPr>
      <w:numPr>
        <w:ilvl w:val="2"/>
        <w:numId w:val="1"/>
      </w:numPr>
      <w:spacing w:before="260" w:after="260" w:line="416" w:lineRule="auto"/>
      <w:outlineLvl w:val="2"/>
    </w:pPr>
    <w:rPr>
      <w:rFonts w:ascii="仿宋_GB2312" w:eastAsia="仿宋_GB2312"/>
      <w:sz w:val="24"/>
      <w:szCs w:val="20"/>
    </w:rPr>
  </w:style>
  <w:style w:type="paragraph" w:styleId="Heading4">
    <w:name w:val="heading 4"/>
    <w:basedOn w:val="Normal"/>
    <w:next w:val="Normal"/>
    <w:link w:val="4"/>
    <w:qFormat/>
    <w:pPr>
      <w:keepNext/>
      <w:keepLines/>
      <w:numPr>
        <w:ilvl w:val="3"/>
        <w:numId w:val="2"/>
      </w:numPr>
      <w:spacing w:before="280" w:after="290" w:line="376" w:lineRule="auto"/>
      <w:outlineLvl w:val="3"/>
    </w:pPr>
    <w:rPr>
      <w:rFonts w:eastAsia="黑体"/>
      <w:b/>
      <w:bCs/>
      <w:sz w:val="28"/>
      <w:szCs w:val="28"/>
    </w:rPr>
  </w:style>
  <w:style w:type="paragraph" w:styleId="Heading5">
    <w:name w:val="heading 5"/>
    <w:basedOn w:val="Normal"/>
    <w:next w:val="Normal"/>
    <w:link w:val="5"/>
    <w:qFormat/>
    <w:pPr>
      <w:keepNext/>
      <w:keepLines/>
      <w:numPr>
        <w:ilvl w:val="4"/>
        <w:numId w:val="2"/>
      </w:numPr>
      <w:spacing w:before="280" w:after="290" w:line="376" w:lineRule="auto"/>
      <w:ind w:firstLine="200"/>
      <w:outlineLvl w:val="4"/>
    </w:pPr>
    <w:rPr>
      <w:b/>
      <w:bCs/>
      <w:sz w:val="28"/>
      <w:szCs w:val="28"/>
    </w:rPr>
  </w:style>
  <w:style w:type="paragraph" w:styleId="Heading6">
    <w:name w:val="heading 6"/>
    <w:basedOn w:val="Normal"/>
    <w:next w:val="Normal"/>
    <w:link w:val="6"/>
    <w:qFormat/>
    <w:pPr>
      <w:keepNext/>
      <w:keepLines/>
      <w:numPr>
        <w:ilvl w:val="5"/>
        <w:numId w:val="2"/>
      </w:numPr>
      <w:spacing w:before="240" w:after="64" w:line="320" w:lineRule="auto"/>
      <w:ind w:firstLine="200"/>
      <w:outlineLvl w:val="5"/>
    </w:pPr>
    <w:rPr>
      <w:rFonts w:eastAsia="黑体"/>
      <w:b/>
      <w:bCs/>
      <w:sz w:val="24"/>
    </w:rPr>
  </w:style>
  <w:style w:type="paragraph" w:styleId="Heading7">
    <w:name w:val="heading 7"/>
    <w:basedOn w:val="Normal"/>
    <w:next w:val="Normal"/>
    <w:link w:val="7"/>
    <w:qFormat/>
    <w:pPr>
      <w:keepNext/>
      <w:keepLines/>
      <w:numPr>
        <w:ilvl w:val="6"/>
        <w:numId w:val="2"/>
      </w:numPr>
      <w:spacing w:before="240" w:after="64" w:line="320" w:lineRule="auto"/>
      <w:ind w:firstLine="200"/>
      <w:outlineLvl w:val="6"/>
    </w:pPr>
    <w:rPr>
      <w:b/>
      <w:bCs/>
      <w:sz w:val="24"/>
    </w:rPr>
  </w:style>
  <w:style w:type="paragraph" w:styleId="Heading8">
    <w:name w:val="heading 8"/>
    <w:basedOn w:val="Normal"/>
    <w:next w:val="Normal"/>
    <w:link w:val="8"/>
    <w:qFormat/>
    <w:pPr>
      <w:keepNext/>
      <w:keepLines/>
      <w:numPr>
        <w:ilvl w:val="7"/>
        <w:numId w:val="2"/>
      </w:numPr>
      <w:spacing w:before="240" w:after="64" w:line="320" w:lineRule="auto"/>
      <w:ind w:firstLine="200"/>
      <w:outlineLvl w:val="7"/>
    </w:pPr>
    <w:rPr>
      <w:rFonts w:eastAsia="黑体"/>
      <w:sz w:val="24"/>
    </w:rPr>
  </w:style>
  <w:style w:type="paragraph" w:styleId="Heading9">
    <w:name w:val="heading 9"/>
    <w:basedOn w:val="Normal"/>
    <w:next w:val="Normal"/>
    <w:link w:val="9"/>
    <w:qFormat/>
    <w:pPr>
      <w:keepNext/>
      <w:keepLines/>
      <w:numPr>
        <w:ilvl w:val="8"/>
        <w:numId w:val="2"/>
      </w:numPr>
      <w:spacing w:before="240" w:after="64" w:line="320" w:lineRule="auto"/>
      <w:ind w:firstLine="200"/>
      <w:outlineLvl w:val="8"/>
    </w:pPr>
    <w:rPr>
      <w:rFonts w:eastAsia="黑体"/>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6"/>
    <w:qFormat/>
    <w:rPr>
      <w:rFonts w:ascii="宋体"/>
      <w:sz w:val="18"/>
      <w:szCs w:val="18"/>
    </w:rPr>
  </w:style>
  <w:style w:type="paragraph" w:styleId="CommentText">
    <w:name w:val="annotation text"/>
    <w:basedOn w:val="Normal"/>
    <w:link w:val="a5"/>
    <w:qFormat/>
    <w:pPr>
      <w:jc w:val="left"/>
    </w:pPr>
  </w:style>
  <w:style w:type="paragraph" w:styleId="BodyText">
    <w:name w:val="Body Text"/>
    <w:basedOn w:val="Normal"/>
    <w:qFormat/>
    <w:pPr>
      <w:numPr>
        <w:ilvl w:val="1"/>
        <w:numId w:val="3"/>
      </w:numPr>
      <w:tabs>
        <w:tab w:val="left" w:pos="0"/>
      </w:tabs>
      <w:ind w:left="0" w:firstLine="540"/>
      <w:jc w:val="left"/>
    </w:pPr>
    <w:rPr>
      <w:rFonts w:ascii="宋体"/>
      <w:sz w:val="24"/>
    </w:rPr>
  </w:style>
  <w:style w:type="paragraph" w:styleId="BodyTextIndent">
    <w:name w:val="Body Text Indent"/>
    <w:basedOn w:val="Normal"/>
    <w:link w:val="a11"/>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a9"/>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0"/>
    <w:semiHidden/>
    <w:unhideWhenUsed/>
    <w:qFormat/>
    <w:pPr>
      <w:spacing w:after="120" w:line="480" w:lineRule="auto"/>
      <w:ind w:left="420"/>
    </w:pPr>
  </w:style>
  <w:style w:type="paragraph" w:styleId="EndnoteText">
    <w:name w:val="endnote text"/>
    <w:basedOn w:val="Normal"/>
    <w:link w:val="a"/>
    <w:uiPriority w:val="99"/>
    <w:semiHidden/>
    <w:unhideWhenUsed/>
    <w:qFormat/>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a8"/>
    <w:uiPriority w:val="99"/>
    <w:qFormat/>
    <w:pPr>
      <w:tabs>
        <w:tab w:val="center" w:pos="4153"/>
        <w:tab w:val="right" w:pos="8306"/>
      </w:tabs>
      <w:snapToGrid w:val="0"/>
      <w:ind w:firstLine="200"/>
      <w:jc w:val="left"/>
    </w:pPr>
    <w:rPr>
      <w:rFonts w:eastAsia="仿宋_GB2312"/>
      <w:sz w:val="18"/>
      <w:szCs w:val="20"/>
    </w:rPr>
  </w:style>
  <w:style w:type="paragraph" w:styleId="Header">
    <w:name w:val="header"/>
    <w:basedOn w:val="Normal"/>
    <w:link w:val="a7"/>
    <w:uiPriority w:val="99"/>
    <w:qFormat/>
    <w:pPr>
      <w:pBdr>
        <w:bottom w:val="single" w:sz="6" w:space="1" w:color="auto"/>
      </w:pBdr>
      <w:tabs>
        <w:tab w:val="center" w:pos="4153"/>
        <w:tab w:val="right" w:pos="8306"/>
      </w:tabs>
      <w:snapToGrid w:val="0"/>
      <w:ind w:firstLine="200"/>
      <w:jc w:val="center"/>
    </w:pPr>
    <w:rPr>
      <w:rFonts w:eastAsia="仿宋_GB2312"/>
      <w:sz w:val="18"/>
      <w:szCs w:val="20"/>
    </w:r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1"/>
    <w:uiPriority w:val="11"/>
    <w:qFormat/>
    <w:pPr>
      <w:spacing w:before="200" w:after="200"/>
    </w:pPr>
    <w:rPr>
      <w:sz w:val="24"/>
    </w:rPr>
  </w:style>
  <w:style w:type="paragraph" w:styleId="FootnoteText">
    <w:name w:val="footnote text"/>
    <w:basedOn w:val="Normal"/>
    <w:link w:val="a4"/>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semiHidden/>
    <w:unhideWhenUsed/>
    <w:qFormat/>
    <w:pPr>
      <w:spacing w:after="120"/>
      <w:ind w:left="420"/>
    </w:pPr>
    <w:rPr>
      <w:sz w:val="16"/>
      <w:szCs w:val="16"/>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a10"/>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a">
    <w:name w:val="尾注文本 字符"/>
    <w:link w:val="EndnoteText"/>
    <w:uiPriority w:val="99"/>
    <w:qFormat/>
    <w:rPr>
      <w:sz w:val="20"/>
    </w:rPr>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rPr>
      <w:sz w:val="22"/>
      <w:szCs w:val="22"/>
      <w:lang w:eastAsia="en-US"/>
    </w:rPr>
  </w:style>
  <w:style w:type="character" w:customStyle="1" w:styleId="a0">
    <w:name w:val="标题 字符"/>
    <w:basedOn w:val="DefaultParagraphFont"/>
    <w:link w:val="Title"/>
    <w:uiPriority w:val="10"/>
    <w:qFormat/>
    <w:rPr>
      <w:sz w:val="48"/>
      <w:szCs w:val="48"/>
    </w:rPr>
  </w:style>
  <w:style w:type="character" w:customStyle="1" w:styleId="a1">
    <w:name w:val="副标题 字符"/>
    <w:basedOn w:val="DefaultParagraphFont"/>
    <w:link w:val="Subtitle"/>
    <w:uiPriority w:val="11"/>
    <w:qFormat/>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qFormat/>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qFormat/>
    <w:rPr>
      <w:i/>
    </w:rPr>
  </w:style>
  <w:style w:type="character" w:customStyle="1" w:styleId="a4">
    <w:name w:val="脚注文本 字符"/>
    <w:link w:val="FootnoteText"/>
    <w:uiPriority w:val="99"/>
    <w:qFormat/>
    <w:rPr>
      <w:sz w:val="18"/>
    </w:rPr>
  </w:style>
  <w:style w:type="paragraph" w:customStyle="1" w:styleId="10">
    <w:name w:val="样式 标题 1 + 黑体 非加粗"/>
    <w:basedOn w:val="Heading1"/>
    <w:qFormat/>
    <w:pPr>
      <w:pageBreakBefore/>
    </w:pPr>
    <w:rPr>
      <w:rFonts w:hAnsi="黑体"/>
      <w:b/>
    </w:rPr>
  </w:style>
  <w:style w:type="paragraph" w:customStyle="1" w:styleId="111">
    <w:name w:val="样式 标题 1 + 段前: 1 行 段后: 1 行"/>
    <w:basedOn w:val="Heading1"/>
    <w:qFormat/>
    <w:pPr>
      <w:pageBreakBefore/>
    </w:pPr>
    <w:rPr>
      <w:sz w:val="20"/>
      <w:szCs w:val="20"/>
    </w:rPr>
  </w:style>
  <w:style w:type="character" w:customStyle="1" w:styleId="da">
    <w:name w:val="da"/>
    <w:basedOn w:val="DefaultParagraphFont"/>
    <w:qFormat/>
  </w:style>
  <w:style w:type="character" w:customStyle="1" w:styleId="a5">
    <w:name w:val="批注文字 字符"/>
    <w:basedOn w:val="DefaultParagraphFont"/>
    <w:link w:val="CommentText"/>
    <w:qFormat/>
    <w:rPr>
      <w:rFonts w:eastAsia="宋体"/>
      <w:sz w:val="21"/>
      <w:szCs w:val="24"/>
      <w:lang w:val="en-US" w:eastAsia="zh-CN" w:bidi="ar-SA"/>
    </w:rPr>
  </w:style>
  <w:style w:type="character" w:customStyle="1" w:styleId="a6">
    <w:name w:val="文档结构图 字符"/>
    <w:basedOn w:val="DefaultParagraphFont"/>
    <w:link w:val="DocumentMap"/>
    <w:qFormat/>
    <w:rPr>
      <w:rFonts w:ascii="宋体"/>
      <w:sz w:val="18"/>
      <w:szCs w:val="18"/>
    </w:rPr>
  </w:style>
  <w:style w:type="character" w:customStyle="1" w:styleId="a7">
    <w:name w:val="页眉 字符"/>
    <w:basedOn w:val="DefaultParagraphFont"/>
    <w:link w:val="Header"/>
    <w:uiPriority w:val="99"/>
    <w:qFormat/>
    <w:rPr>
      <w:rFonts w:eastAsia="仿宋_GB2312"/>
      <w:sz w:val="18"/>
    </w:rPr>
  </w:style>
  <w:style w:type="character" w:customStyle="1" w:styleId="a8">
    <w:name w:val="页脚 字符"/>
    <w:basedOn w:val="DefaultParagraphFont"/>
    <w:link w:val="Footer"/>
    <w:uiPriority w:val="99"/>
    <w:qFormat/>
    <w:rPr>
      <w:rFonts w:eastAsia="仿宋_GB2312"/>
      <w:sz w:val="18"/>
    </w:rPr>
  </w:style>
  <w:style w:type="character" w:customStyle="1" w:styleId="a9">
    <w:name w:val="纯文本 字符"/>
    <w:basedOn w:val="DefaultParagraphFont"/>
    <w:link w:val="PlainText"/>
    <w:qFormat/>
    <w:rPr>
      <w:rFonts w:ascii="宋体" w:hAnsi="Courier New"/>
      <w:sz w:val="24"/>
      <w:szCs w:val="21"/>
    </w:rPr>
  </w:style>
  <w:style w:type="character" w:customStyle="1" w:styleId="a10">
    <w:name w:val="正文首行缩进 字符"/>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a11">
    <w:name w:val="正文文本缩进 字符"/>
    <w:basedOn w:val="DefaultParagraphFont"/>
    <w:link w:val="BodyTextIndent"/>
    <w:semiHidden/>
    <w:qFormat/>
    <w:rPr>
      <w:sz w:val="21"/>
      <w:szCs w:val="24"/>
    </w:rPr>
  </w:style>
  <w:style w:type="character" w:customStyle="1" w:styleId="30">
    <w:name w:val="正文文本缩进 3 字符"/>
    <w:basedOn w:val="DefaultParagraphFont"/>
    <w:link w:val="BodyTextIndent3"/>
    <w:semiHidden/>
    <w:qFormat/>
    <w:rPr>
      <w:sz w:val="16"/>
      <w:szCs w:val="16"/>
    </w:rPr>
  </w:style>
  <w:style w:type="character" w:customStyle="1" w:styleId="HTML">
    <w:name w:val="HTML 预设格式 字符"/>
    <w:basedOn w:val="DefaultParagraphFont"/>
    <w:link w:val="HTMLPreformatted"/>
    <w:uiPriority w:val="99"/>
    <w:qFormat/>
    <w:rPr>
      <w:rFonts w:ascii="宋体" w:hAnsi="宋体"/>
      <w:sz w:val="24"/>
      <w:szCs w:val="24"/>
    </w:rPr>
  </w:style>
  <w:style w:type="character" w:customStyle="1" w:styleId="20">
    <w:name w:val="正文文本缩进 2 字符"/>
    <w:basedOn w:val="DefaultParagraphFont"/>
    <w:link w:val="BodyTextIndent2"/>
    <w:semiHidden/>
    <w:qFormat/>
    <w:rPr>
      <w:sz w:val="21"/>
      <w:szCs w:val="24"/>
    </w:r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hyperlink" Target="http://www.csindex.com.cn" TargetMode="External" /><Relationship Id="rId17" Type="http://schemas.openxmlformats.org/officeDocument/2006/relationships/image" Target="media/image1.wmf" /><Relationship Id="rId18" Type="http://schemas.openxmlformats.org/officeDocument/2006/relationships/oleObject" Target="embeddings/oleObject1.bin" /><Relationship Id="rId19" Type="http://schemas.openxmlformats.org/officeDocument/2006/relationships/image" Target="media/image2.wmf" /><Relationship Id="rId2" Type="http://schemas.openxmlformats.org/officeDocument/2006/relationships/webSettings" Target="webSettings.xml" /><Relationship Id="rId20" Type="http://schemas.openxmlformats.org/officeDocument/2006/relationships/oleObject" Target="embeddings/oleObject2.bin"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