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广发港股通医疗创新精选混合型证券投资基金（广发港股通医疗创新精选混合C）基金产品资料概要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编制日期：2026年3月26日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送出日期：2026年3月30日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广发港股通医疗创新精选混合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027012</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广发港股通医疗创新精选混合C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027013</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中国农业银行股份有限公司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D3A6F">
            <w:pPr>
              <w:spacing w:line="280" w:lineRule="exact"/>
              <w:rPr>
                <w:rFonts w:ascii="仿宋" w:eastAsia="仿宋" w:hAnsi="仿宋" w:cs="方正仿宋简体"/>
                <w:b/>
                <w:iCs/>
              </w:rPr>
            </w:pPr>
          </w:p>
        </w:tc>
        <w:tc>
          <w:tcPr>
            <w:tcW w:w="1443" w:type="pct"/>
            <w:tcBorders>
              <w:top w:val="dashSmallGap" w:sz="4" w:space="0" w:color="A6A6A6" w:themeColor="background1" w:themeShade="A6"/>
              <w:bottom w:val="nil"/>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人民币</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吴兴武</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2009-07-20</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法律法规或中国证监会另有规定时，从其规定。</w:t>
            </w:r>
          </w:p>
        </w:tc>
      </w:tr>
    </w:tbl>
    <w:p w:rsidR="00AD3A6F" w:rsidRPr="00E87B8A" w:rsidRDefault="00A73782">
      <w:pPr>
        <w:spacing w:line="280" w:lineRule="exact"/>
        <w:rPr>
          <w:rFonts w:ascii="仿宋" w:eastAsia="仿宋" w:hAnsi="仿宋" w:cs="方正仿宋简体"/>
          <w:iCs/>
          <w:sz w:val="24"/>
          <w:szCs w:val="24"/>
        </w:rPr>
      </w:pPr>
      <w:r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w:pPr>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本基金以投资港股通标的股票为主，通过深入的基本面研究，精选医疗创新相关主题的优质企业进行投资，在严格控制风险和保持资产流动性的前提下，力求实现基金资产的长期稳健增值。</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的投资范围包括内地与香港股票市场交易互联互通机制下允许投资的香港联合交易所上市的股票（以下简称“港股通标的股票”）、国内依法发行上市的股票（包括科创板、创业板及其他依法发行上市的股票及存托凭证）、债券（包括国债、地方政府债、政府支持机构债、政府支持债券、金融债、企业债、公司债、次级债、可转换债券（含分离交易可转债）、可交换债券、央行票据、中期票据、短期融</w:t>
            </w:r>
            <w:r w:rsidRPr="00E87B8A">
              <w:rPr>
                <w:rFonts w:ascii="仿宋" w:eastAsia="仿宋" w:hAnsi="仿宋" w:cs="仿宋_GB2312" w:hint="eastAsia"/>
                <w:kern w:val="0"/>
                <w:szCs w:val="24"/>
              </w:rPr>
              <w:lastRenderedPageBreak/>
              <w:t>资券、超短期融资券及其他经中国证监会允许基金投资的债券）、资产支持证券、债券回购、银行存款、同业存单、货币市场工具、股指期货、国债期货、股票期权以及法律法规或中国证监会允许基金投资的其他金融工具（但须符合中国证监会的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如法律法规或监管机构以后允许基金投资于其他品种，基金管理人在履行适当程序后，可以将其纳入投资范围，并可依据届时有效的法律法规适时合理地调整投资范围。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基金的投资组合比例为：股票资产占基金资产的比例为60%-95%；投资于港股通标的股票比例不低于非现金基金资产的80%；投资于医疗创新主题相关股票的比例不低于非现金基金资产的80%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lastRenderedPageBreak/>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1、大类资产配置策略；2、股票（含存托凭证）投资策略；3、债券投资策略；4、金融衍生品投资策略。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中证港股通医药卫生综合指数（人民币）收益率×80%+中债-综合全价（总值）指数收益率×15%+活期存款基准利率×5%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资产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A73782">
      <w:pPr>
        <w:spacing w:line="280" w:lineRule="exact"/>
        <w:rPr>
          <w:rFonts w:ascii="仿宋" w:eastAsia="仿宋" w:hAnsi="仿宋" w:cs="方正仿宋简体"/>
          <w:iCs/>
          <w:szCs w:val="24"/>
        </w:rPr>
      </w:pPr>
      <w:r w:rsidRPr="00E87B8A">
        <w:rPr>
          <w:rFonts w:ascii="仿宋" w:eastAsia="仿宋" w:hAnsi="仿宋" w:cs="方正仿宋简体" w:hint="eastAsia"/>
          <w:iCs/>
          <w:szCs w:val="24"/>
        </w:rPr>
        <w:t>注：详见《广发港股通医疗创新精选混合型证券投资基金招募说明书》及其更新文件中“基金的投资”。</w:t>
      </w:r>
    </w:p>
    <w:p w:rsidR="00AD3A6F" w:rsidRPr="00E87B8A" w:rsidRDefault="00AD3A6F">
      <w:pPr>
        <w:spacing w:line="280" w:lineRule="exact"/>
        <w:rPr>
          <w:rFonts w:ascii="仿宋" w:eastAsia="仿宋" w:hAnsi="仿宋" w:cs="仿宋_GB2312"/>
          <w:kern w:val="0"/>
          <w:szCs w:val="24"/>
        </w:rPr>
      </w:pPr>
    </w:p>
    <w:p w:rsidR="00AD3A6F" w:rsidRPr="00E87B8A" w:rsidRDefault="00A73782">
      <w:pPr>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A73782">
      <w:pPr>
        <w:jc w:val="left"/>
        <w:rPr>
          <w:rFonts w:ascii="仿宋" w:eastAsia="仿宋" w:hAnsi="仿宋" w:cs="方正仿宋简体"/>
          <w:b/>
          <w:iCs/>
          <w:sz w:val="24"/>
          <w:szCs w:val="24"/>
        </w:rPr>
      </w:pPr>
      <w:r w:rsidRPr="00E87B8A">
        <w:rPr>
          <w:rFonts w:ascii="仿宋" w:eastAsia="仿宋" w:hAnsi="仿宋"/>
          <w:color w:val="000000" w:themeColor="text1"/>
        </w:rPr>
        <w:t>无</w:t>
      </w:r>
    </w:p>
    <w:p w:rsidR="00AD3A6F" w:rsidRPr="00E87B8A" w:rsidRDefault="00A73782">
      <w:pPr>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w:pPr>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w:tbl>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w:t>
            </w:r>
            <w:r w:rsidR="00265BE3">
              <w:rPr>
                <w:rFonts w:ascii="仿宋" w:eastAsia="仿宋" w:hAnsi="仿宋" w:cs="方正仿宋简体" w:hint="eastAsia"/>
                <w:bCs/>
                <w:iCs/>
              </w:rPr>
              <w:t>C</w:t>
            </w:r>
            <w:r w:rsidRPr="00E87B8A">
              <w:rPr>
                <w:rFonts w:ascii="仿宋" w:eastAsia="仿宋" w:hAnsi="仿宋" w:cs="方正仿宋简体" w:hint="eastAsia"/>
                <w:bCs/>
                <w:iCs/>
              </w:rPr>
              <w:t>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lastRenderedPageBreak/>
              <w:t>申购费（前收费）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w:t>
            </w:r>
            <w:r w:rsidR="00265BE3">
              <w:rPr>
                <w:rFonts w:ascii="仿宋" w:eastAsia="仿宋" w:hAnsi="仿宋" w:cs="方正仿宋简体" w:hint="eastAsia"/>
                <w:bCs/>
                <w:iCs/>
              </w:rPr>
              <w:t>C</w:t>
            </w:r>
            <w:r w:rsidRPr="00E87B8A">
              <w:rPr>
                <w:rFonts w:ascii="仿宋" w:eastAsia="仿宋" w:hAnsi="仿宋" w:cs="方正仿宋简体" w:hint="eastAsia"/>
                <w:bCs/>
                <w:iCs/>
              </w:rPr>
              <w:t>类份额无申购费</w:t>
            </w:r>
          </w:p>
        </w:tc>
      </w:tr>
      <w:tr w:rsidR="00AD3A6F" w:rsidRPr="00E87B8A" w:rsidTr="00165844">
        <w:trPr>
          <w:trHeight w:val="454"/>
        </w:trPr>
        <w:tc>
          <w:tcPr>
            <w:tcW w:w="1315" w:type="pct"/>
            <w:vMerge w:val="restar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N &lt; 7日 </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1.50%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5"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7日 ≤ N &lt; 30日 </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1.00%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5"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30日 ≤ N &lt; 180日 </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0.50%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5"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N ≥ 180日 </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w:pPr>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0D2645">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 </w:t>
            </w:r>
            <w:bookmarkStart w:id="0" w:name="_GoBack"/>
            <w:bookmarkEnd w:id="0"/>
            <w:r w:rsidR="00B73FA9" w:rsidRPr="00E87B8A">
              <w:rPr>
                <w:rFonts w:ascii="仿宋" w:eastAsia="仿宋" w:hAnsi="仿宋" w:cs="方正仿宋简体" w:hint="eastAsia"/>
                <w:bCs/>
                <w:iCs/>
              </w:rPr>
              <w:t>1.20%</w:t>
            </w:r>
          </w:p>
        </w:tc>
        <w:tc>
          <w:tcPr>
            <w:tcW w:w="1457" w:type="pct"/>
            <w:tcBorders>
              <w:top w:val="dashSmallGap" w:sz="4" w:space="0" w:color="808080" w:themeColor="background1" w:themeShade="80"/>
            </w:tcBorders>
            <w:vAlign w:val="center"/>
          </w:tcPr>
          <w:p w:rsidR="000D2645" w:rsidRPr="00E87B8A" w:rsidRDefault="000D2645" w:rsidP="000D2645">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 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 0.40%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A73782" w:rsidP="003F6D43">
            <w:pPr>
              <w:spacing w:line="280" w:lineRule="exact"/>
              <w:jc w:val="center"/>
              <w:rPr>
                <w:rFonts w:ascii="仿宋" w:eastAsia="仿宋" w:hAnsi="仿宋" w:cs="方正仿宋简体"/>
                <w:bCs/>
                <w:iCs/>
              </w:rPr>
            </w:pPr>
            <w:r w:rsidRPr="00E87B8A">
              <w:rPr>
                <w:rFonts w:ascii="仿宋" w:eastAsia="仿宋" w:hAnsi="仿宋" w:hint="eastAsia"/>
                <w:color w:val="333399"/>
              </w:rPr>
              <w:t>-</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hint="eastAsia"/>
                <w:color w:val="333399"/>
              </w:rPr>
              <w:t>-</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A73782">
      <w:pPr>
        <w:autoSpaceDE w:val="0"/>
        <w:autoSpaceDN w:val="0"/>
        <w:adjustRightInd w:val="0"/>
        <w:spacing w:line="280" w:lineRule="exact"/>
        <w:jc w:val="left"/>
        <w:rPr>
          <w:rFonts w:ascii="仿宋" w:eastAsia="仿宋" w:hAnsi="仿宋" w:cs="方正仿宋简体"/>
          <w:bCs/>
          <w:iCs/>
        </w:rPr>
      </w:pPr>
      <w:r w:rsidRPr="00E87B8A">
        <w:rPr>
          <w:rFonts w:ascii="仿宋" w:eastAsia="仿宋" w:hAnsi="仿宋" w:cs="方正仿宋简体" w:hint="eastAsia"/>
          <w:bCs/>
          <w:iCs/>
        </w:rPr>
        <w:t>注： 1、本基金交易证券等产生的费用和税负，按实际发生额从基金资产扣除。</w:t>
      </w:r>
      <w:r w:rsidRPr="00E87B8A">
        <w:rPr>
          <w:rFonts w:ascii="仿宋" w:eastAsia="仿宋" w:hAnsi="仿宋" w:cs="方正仿宋简体" w:hint="eastAsia"/>
          <w:bCs/>
          <w:iCs/>
        </w:rPr>
        <w:br/>
        <w:t>2、投资者通过直销机构认购、申购的C类基金份额不收取销售服务费。投资者通过直销机构以外的其他销售机构认购、申购C类基金份额且持续持有期限超过一年（即365天）的，将不再继续收取销售服务费。具体的销售服务费计算和确认方式详见招募说明书。</w:t>
      </w:r>
    </w:p>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1、本基金特有风险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（1）本基金是混合型基金，既能投资股票，亦能投资债券，因此股票、债券等市场的变化均会影响到本基金的业绩表现。</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（2）投资港股通标的股票的风险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1）港股交易失败风险；2）汇率风险；3）港股通可投资标的范围调整带来的风险；4）境外市场的风险。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（5）投资股票期权的风险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（6）投资资产支持证券的风险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lastRenderedPageBreak/>
        <w:t>（7）投资存托凭证的风险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8）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（1）市场风险；（2）管理风险；（3）职业道德风险；（4）流动性风险；（5）合规性风险；（6）投资管理风险；（7）本基金法律文件风险收益特征表述与销售机构基金风险评价可能不一致的风险等。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3、其他风险</w:t>
      </w:r>
    </w:p>
    <w:p w:rsidR="00AD3A6F" w:rsidRPr="00E87B8A" w:rsidRDefault="00A73782">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（1）《广发港股通医疗创新精选混合型证券投资基金基金合同》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（2）《广发港股通医疗创新精选混合型证券投资基金托管协议》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（3）《广发港股通医疗创新精选混合型证券投资基金招募说明书》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（7）其他重要资料</w:t>
      </w:r>
    </w:p>
    <w:sectPr w:rsidR="00AD3A6F" w:rsidRPr="00364291" w:rsidSect="00FF598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168" w:rsidRDefault="00640168" w:rsidP="0092395F">
      <w:r>
        <w:separator/>
      </w:r>
    </w:p>
  </w:endnote>
  <w:endnote w:type="continuationSeparator" w:id="0">
    <w:p w:rsidR="00640168" w:rsidRDefault="00640168"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方正仿宋简体">
    <w:altName w:val="Arial Unicode MS"/>
    <w:panose1 w:val="02000000000000000000"/>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3FA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3FA9">
              <w:rPr>
                <w:b/>
                <w:bCs/>
                <w:noProof/>
              </w:rPr>
              <w:t>4</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168" w:rsidRDefault="00640168" w:rsidP="0092395F">
      <w:r>
        <w:separator/>
      </w:r>
    </w:p>
  </w:footnote>
  <w:footnote w:type="continuationSeparator" w:id="0">
    <w:p w:rsidR="00640168" w:rsidRDefault="00640168"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bordersDoNotSurroundHeader/>
  <w:bordersDoNotSurroundFooter/>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5BE3"/>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168"/>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519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3FA9"/>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C74AE"/>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66462-C468-4ECD-B758-CE29AA17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4</Pages>
  <Words>538</Words>
  <Characters>3068</Characters>
  <Application>Microsoft Office Word</Application>
  <DocSecurity>0</DocSecurity>
  <Lines>25</Lines>
  <Paragraphs>7</Paragraphs>
  <ScaleCrop>false</ScaleCrop>
  <Company>shenduxitong</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Donghm</dc:creator>
  <cp:lastModifiedBy>晁梦婷</cp:lastModifiedBy>
  <cp:revision>80</cp:revision>
  <dcterms:created xsi:type="dcterms:W3CDTF">2024-02-07T08:15:00Z</dcterms:created>
  <dcterms:modified xsi:type="dcterms:W3CDTF">2026-03-26T01:12:00Z</dcterms:modified>
</cp:coreProperties>
</file>