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广发优选回报混合型证券投资基金（广发优选回报混合C）基金产品资料概要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2026年4月10日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2026年4月11日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广发优选回报混合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026510</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广发优选回报混合C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026511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中国建设银行股份有限公司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王鹏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2011-10-20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tc>
      </w:tr>
    </w:tbl>
    <w:p w:rsidR="00AD3A6F" w:rsidRPr="00E87B8A" w:rsidRDefault="00E71BEF">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沪深300指数收益率×60%+中证港股通综合指数收益率（使用估值汇率折算）×15%+中债-综合全价（总值）指数收益率×20%+银行活期存款利率（税后）×5%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注：详见《广发优选回报混合型证券投资基金招募说明书》及其更新文件中“基金的投资”。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br/>
              <w:t>若持有期间相对业绩比较基准的年化超额收益率在-3%及以下，按0.60%年费率确认管理费；若持有期间的年化超额收益率（扣除超额管理费后）超过6%且持有收益率（扣除超额管理费后）为正，按1.50%年费率确认管理费；其他情形按1.20%年费率确认管理费。</w:t>
            </w:r>
            <w:r w:rsidR="000D2645" w:rsidRPr="00E87B8A">
              <w:rPr>
                <w:rFonts w:ascii="仿宋" w:eastAsia="仿宋" w:hAnsi="仿宋" w:cs="方正仿宋简体" w:hint="eastAsia"/>
                <w:bCs/>
                <w:iCs/>
              </w:rPr>
              <w:t xml:space="preserve"> </w:t>
            </w:r>
            <w:r w:rsidR="000D2645" w:rsidRPr="00E87B8A">
              <w:rPr>
                <w:rFonts w:ascii="仿宋" w:eastAsia="仿宋" w:hAnsi="仿宋" w:hint="eastAsia"/>
                <w:color w:val="333399"/>
              </w:rPr>
              <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0.40%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1、本基金的管理费包含固定管理费、或有管理费和超额管理费，具体计算方法详见招募说明书。</w:t>
        <w:br/>
        <w:t>2、本基金交易证券等产生的费用和税负，按实际发生额从基金资产扣除。</w:t>
        <w:br/>
        <w:t>3、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1）港股交易失败风险；2）汇率风险；3）港股通可投资标的范围调整带来的风险；4）境外市场的风险；5）本基金存在不对港股进行投资的可能。</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（9）浮动管理费模式相关风险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由于本基金在计算各类基金份额净值时，按前一日该类基金资产净值的1.20%年费率计算管理费，该费率可能高于或低于不同投资者最终适用的管理费率。在基金份额赎回、转出或基金合同终止的情形发生时，基金投资者实际收到的赎回款项或清算款项的金额可能与按披露的该类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3）本基金采用浮动管理费的收费模式，不代表基金管理人对基金收益的保证。</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10）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（1）《广发优选回报混合型证券投资基金基金合同》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（2）《广发优选回报混合型证券投资基金托管协议》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（3）《广发优选回报混合型证券投资基金招募说明书》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