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cs="仿宋_GB2312" w:asciiTheme="minorEastAsia" w:hAnsiTheme="minorEastAsia"/>
          <w:kern w:val="0"/>
          <w:sz w:val="36"/>
          <w:szCs w:val="36"/>
        </w:rPr>
      </w:pPr>
    </w:p>
    <w:p>
      <w:pPr>
        <w:autoSpaceDE w:val="0"/>
        <w:autoSpaceDN w:val="0"/>
        <w:adjustRightInd w:val="0"/>
        <w:jc w:val="center"/>
        <w:rPr>
          <w:rFonts w:cs="仿宋_GB2312" w:asciiTheme="minorEastAsia" w:hAnsiTheme="minorEastAsia"/>
          <w:kern w:val="0"/>
          <w:sz w:val="36"/>
          <w:szCs w:val="36"/>
        </w:rPr>
      </w:pPr>
      <w:r>
        <w:rPr>
          <w:rFonts w:hint="eastAsia" w:cs="仿宋_GB2312" w:asciiTheme="minorEastAsia" w:hAnsiTheme="minorEastAsia"/>
          <w:kern w:val="0"/>
          <w:sz w:val="36"/>
          <w:szCs w:val="36"/>
        </w:rPr>
        <w:t>易方达如意安瑞3个月持有期混合型基金中基金（FOF）（易方达如意安瑞3个月持有混合（FOF）A）基金产品资料概要</w:t>
      </w:r>
    </w:p>
    <w:p>
      <w:pPr>
        <w:autoSpaceDE w:val="0"/>
        <w:autoSpaceDN w:val="0"/>
        <w:adjustRightInd w:val="0"/>
        <w:jc w:val="center"/>
        <w:rPr>
          <w:rFonts w:cs="方正仿宋简体" w:asciiTheme="minorEastAsia" w:hAnsiTheme="minorEastAsia"/>
          <w:iCs/>
          <w:sz w:val="24"/>
          <w:szCs w:val="24"/>
        </w:rPr>
      </w:pPr>
      <w:r>
        <w:rPr>
          <w:rFonts w:hint="eastAsia" w:cs="方正仿宋简体" w:asciiTheme="minorEastAsia" w:hAnsiTheme="minorEastAsia"/>
          <w:iCs/>
          <w:sz w:val="24"/>
          <w:szCs w:val="24"/>
        </w:rPr>
        <w:t>编制日期：2026年3月</w:t>
      </w:r>
      <w:r>
        <w:rPr>
          <w:rFonts w:cs="方正仿宋简体" w:asciiTheme="minorEastAsia" w:hAnsiTheme="minorEastAsia"/>
          <w:iCs/>
          <w:sz w:val="24"/>
          <w:szCs w:val="24"/>
        </w:rPr>
        <w:t>18</w:t>
      </w:r>
      <w:r>
        <w:rPr>
          <w:rFonts w:hint="eastAsia" w:cs="方正仿宋简体" w:asciiTheme="minorEastAsia" w:hAnsiTheme="minorEastAsia"/>
          <w:iCs/>
          <w:sz w:val="24"/>
          <w:szCs w:val="24"/>
        </w:rPr>
        <w:t>日</w:t>
      </w:r>
    </w:p>
    <w:p>
      <w:pPr>
        <w:autoSpaceDE w:val="0"/>
        <w:autoSpaceDN w:val="0"/>
        <w:adjustRightInd w:val="0"/>
        <w:jc w:val="center"/>
        <w:rPr>
          <w:rFonts w:cs="方正仿宋简体" w:asciiTheme="minorEastAsia" w:hAnsiTheme="minorEastAsia"/>
          <w:iCs/>
          <w:sz w:val="24"/>
          <w:szCs w:val="24"/>
        </w:rPr>
      </w:pPr>
      <w:r>
        <w:rPr>
          <w:rFonts w:hint="eastAsia" w:cs="方正仿宋简体" w:asciiTheme="minorEastAsia" w:hAnsiTheme="minorEastAsia"/>
          <w:iCs/>
          <w:sz w:val="24"/>
          <w:szCs w:val="24"/>
        </w:rPr>
        <w:t>送出日期：2026年</w:t>
      </w:r>
      <w:r>
        <w:rPr>
          <w:rFonts w:cs="方正仿宋简体" w:asciiTheme="minorEastAsia" w:hAnsiTheme="minorEastAsia"/>
          <w:iCs/>
          <w:sz w:val="24"/>
          <w:szCs w:val="24"/>
        </w:rPr>
        <w:t>3</w:t>
      </w:r>
      <w:r>
        <w:rPr>
          <w:rFonts w:hint="eastAsia" w:cs="方正仿宋简体" w:asciiTheme="minorEastAsia" w:hAnsiTheme="minorEastAsia"/>
          <w:iCs/>
          <w:sz w:val="24"/>
          <w:szCs w:val="24"/>
        </w:rPr>
        <w:t>月</w:t>
      </w:r>
      <w:r>
        <w:rPr>
          <w:rFonts w:cs="方正仿宋简体" w:asciiTheme="minorEastAsia" w:hAnsiTheme="minorEastAsia"/>
          <w:iCs/>
          <w:sz w:val="24"/>
          <w:szCs w:val="24"/>
        </w:rPr>
        <w:t>19</w:t>
      </w:r>
      <w:r>
        <w:rPr>
          <w:rFonts w:hint="eastAsia" w:cs="方正仿宋简体" w:asciiTheme="minorEastAsia" w:hAnsiTheme="minorEastAsia"/>
          <w:iCs/>
          <w:sz w:val="24"/>
          <w:szCs w:val="24"/>
        </w:rPr>
        <w:t>日</w:t>
      </w:r>
    </w:p>
    <w:p>
      <w:pPr>
        <w:autoSpaceDE w:val="0"/>
        <w:autoSpaceDN w:val="0"/>
        <w:adjustRightInd w:val="0"/>
        <w:spacing w:line="380" w:lineRule="exact"/>
        <w:jc w:val="left"/>
        <w:rPr>
          <w:rFonts w:cs="黑体" w:asciiTheme="minorEastAsia" w:hAnsiTheme="minorEastAsia"/>
          <w:kern w:val="0"/>
          <w:sz w:val="32"/>
          <w:szCs w:val="32"/>
        </w:rPr>
      </w:pPr>
      <w:r>
        <w:rPr>
          <w:rFonts w:hint="eastAsia" w:cs="黑体" w:asciiTheme="minorEastAsia" w:hAnsiTheme="minorEastAsia"/>
          <w:kern w:val="0"/>
          <w:sz w:val="32"/>
          <w:szCs w:val="32"/>
        </w:rPr>
        <w:t>本概要提供本基金的重要信息，是招募说明书的一部分。</w:t>
      </w:r>
    </w:p>
    <w:p>
      <w:pPr>
        <w:autoSpaceDE w:val="0"/>
        <w:autoSpaceDN w:val="0"/>
        <w:adjustRightInd w:val="0"/>
        <w:spacing w:line="380" w:lineRule="exact"/>
        <w:jc w:val="left"/>
        <w:rPr>
          <w:rFonts w:cs="黑体" w:asciiTheme="minorEastAsia" w:hAnsiTheme="minorEastAsia"/>
          <w:kern w:val="0"/>
          <w:sz w:val="32"/>
          <w:szCs w:val="32"/>
        </w:rPr>
      </w:pPr>
      <w:r>
        <w:rPr>
          <w:rFonts w:hint="eastAsia" w:cs="黑体" w:asciiTheme="minorEastAsia" w:hAnsiTheme="minorEastAsia"/>
          <w:kern w:val="0"/>
          <w:sz w:val="32"/>
          <w:szCs w:val="32"/>
        </w:rPr>
        <w:t>作出投资决定前，请阅读完整的招募说明书等销售文件。</w:t>
      </w:r>
    </w:p>
    <w:p>
      <w:pPr>
        <w:numPr>
          <w:ilvl w:val="0"/>
          <w:numId w:val="1"/>
        </w:numPr>
        <w:spacing w:line="280" w:lineRule="exact"/>
        <w:outlineLvl w:val="0"/>
        <w:rPr>
          <w:rFonts w:cs="方正仿宋简体" w:asciiTheme="minorEastAsia" w:hAnsiTheme="minorEastAsia"/>
          <w:b/>
          <w:iCs/>
          <w:sz w:val="24"/>
          <w:szCs w:val="24"/>
        </w:rPr>
      </w:pPr>
      <w:r>
        <w:rPr>
          <w:rFonts w:hint="eastAsia" w:cs="方正仿宋简体" w:asciiTheme="minorEastAsia" w:hAnsiTheme="minorEastAsia"/>
          <w:b/>
          <w:iCs/>
          <w:sz w:val="24"/>
          <w:szCs w:val="24"/>
        </w:rPr>
        <w:t>产品概况</w:t>
      </w:r>
    </w:p>
    <w:tbl>
      <w:tblPr>
        <w:tblStyle w:val="10"/>
        <w:tblW w:w="5000" w:type="pct"/>
        <w:tblInd w:w="0" w:type="dxa"/>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Layout w:type="fixed"/>
        <w:tblCellMar>
          <w:top w:w="0" w:type="dxa"/>
          <w:left w:w="108" w:type="dxa"/>
          <w:bottom w:w="0" w:type="dxa"/>
          <w:right w:w="108" w:type="dxa"/>
        </w:tblCellMar>
      </w:tblPr>
      <w:tblGrid>
        <w:gridCol w:w="1952"/>
        <w:gridCol w:w="2408"/>
        <w:gridCol w:w="1703"/>
        <w:gridCol w:w="2459"/>
      </w:tblGrid>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基金简称</w:t>
            </w:r>
          </w:p>
        </w:tc>
        <w:tc>
          <w:tcPr>
            <w:tcW w:w="141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易方达如意安瑞3个月持有混合（FOF）</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基金代码</w:t>
            </w:r>
          </w:p>
        </w:tc>
        <w:tc>
          <w:tcPr>
            <w:tcW w:w="1442" w:type="pct"/>
            <w:tcBorders>
              <w:bottom w:val="dashSmallGap" w:color="A5A5A5" w:themeColor="background1" w:themeShade="A6" w:sz="4" w:space="0"/>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026809</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150"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下属基金简称</w:t>
            </w:r>
          </w:p>
        </w:tc>
        <w:tc>
          <w:tcPr>
            <w:tcW w:w="1412" w:type="pct"/>
            <w:tcBorders>
              <w:top w:val="dashSmallGap" w:color="A5A5A5" w:themeColor="background1" w:themeShade="A6" w:sz="4" w:space="0"/>
              <w:bottom w:val="dashSmallGap" w:color="A5A5A5" w:themeColor="background1" w:themeShade="A6" w:sz="4" w:space="0"/>
            </w:tcBorders>
            <w:vAlign w:val="center"/>
          </w:tcPr>
          <w:p>
            <w:pPr>
              <w:spacing w:line="280" w:lineRule="exact"/>
              <w:rPr>
                <w:rFonts w:cs="方正仿宋简体" w:asciiTheme="minorEastAsia" w:hAnsiTheme="minorEastAsia"/>
                <w:iCs/>
              </w:rPr>
            </w:pPr>
            <w:r>
              <w:rPr>
                <w:rFonts w:cs="方正仿宋简体" w:asciiTheme="minorEastAsia" w:hAnsiTheme="minorEastAsia"/>
                <w:iCs/>
              </w:rPr>
              <w:t>易方达如意安瑞3个月持有混合（FOF）A</w:t>
            </w:r>
          </w:p>
        </w:tc>
        <w:tc>
          <w:tcPr>
            <w:tcW w:w="999" w:type="pct"/>
            <w:tcBorders>
              <w:top w:val="dashSmallGap" w:color="A5A5A5" w:themeColor="background1" w:themeShade="A6" w:sz="4" w:space="0"/>
            </w:tcBorders>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下属基金代码</w:t>
            </w:r>
          </w:p>
        </w:tc>
        <w:tc>
          <w:tcPr>
            <w:tcW w:w="1442" w:type="pct"/>
            <w:tcBorders>
              <w:top w:val="dashSmallGap" w:color="A5A5A5" w:themeColor="background1" w:themeShade="A6" w:sz="4" w:space="0"/>
              <w:bottom w:val="dashSmallGap" w:color="A5A5A5" w:themeColor="background1" w:themeShade="A6" w:sz="4" w:space="0"/>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026809</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基金管理人</w:t>
            </w:r>
          </w:p>
        </w:tc>
        <w:tc>
          <w:tcPr>
            <w:tcW w:w="1412" w:type="pct"/>
            <w:tcBorders>
              <w:top w:val="dashSmallGap" w:color="A5A5A5" w:themeColor="background1" w:themeShade="A6" w:sz="4" w:space="0"/>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易方达基金管理有限公司</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基金托管人</w:t>
            </w:r>
          </w:p>
        </w:tc>
        <w:tc>
          <w:tcPr>
            <w:tcW w:w="1442" w:type="pct"/>
            <w:tcBorders>
              <w:top w:val="dashSmallGap" w:color="A5A5A5" w:themeColor="background1" w:themeShade="A6" w:sz="4" w:space="0"/>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 xml:space="preserve">上海浦东发展银行股份有限公司 </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基金合同生效日</w:t>
            </w:r>
          </w:p>
        </w:tc>
        <w:tc>
          <w:tcPr>
            <w:tcW w:w="141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w:t>
            </w:r>
          </w:p>
        </w:tc>
        <w:tc>
          <w:tcPr>
            <w:tcW w:w="999" w:type="pct"/>
            <w:vAlign w:val="center"/>
          </w:tcPr>
          <w:p>
            <w:pPr>
              <w:spacing w:line="280" w:lineRule="exact"/>
              <w:rPr>
                <w:rFonts w:cs="方正仿宋简体" w:asciiTheme="minorEastAsia" w:hAnsiTheme="minorEastAsia"/>
                <w:b/>
                <w:iCs/>
              </w:rPr>
            </w:pPr>
          </w:p>
        </w:tc>
        <w:tc>
          <w:tcPr>
            <w:tcW w:w="1442" w:type="pct"/>
            <w:tcBorders>
              <w:top w:val="dashSmallGap" w:color="A5A5A5" w:themeColor="background1" w:themeShade="A6" w:sz="4" w:space="0"/>
              <w:bottom w:val="nil"/>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 xml:space="preserve"> </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基金类型</w:t>
            </w:r>
          </w:p>
        </w:tc>
        <w:tc>
          <w:tcPr>
            <w:tcW w:w="141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基金中基金</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交易币种</w:t>
            </w:r>
          </w:p>
        </w:tc>
        <w:tc>
          <w:tcPr>
            <w:tcW w:w="1442" w:type="pct"/>
            <w:tcBorders>
              <w:top w:val="dashSmallGap" w:color="A5A5A5" w:themeColor="background1" w:themeShade="A6" w:sz="4" w:space="0"/>
            </w:tcBorders>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人民币</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运作方式</w:t>
            </w:r>
          </w:p>
        </w:tc>
        <w:tc>
          <w:tcPr>
            <w:tcW w:w="141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其他开放式</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开放频率</w:t>
            </w:r>
          </w:p>
        </w:tc>
        <w:tc>
          <w:tcPr>
            <w:tcW w:w="144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每个开放日申购，但对于每份基金份额设定3个月最短持有期限</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restar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基金经理</w:t>
            </w:r>
          </w:p>
        </w:tc>
        <w:tc>
          <w:tcPr>
            <w:tcW w:w="1412" w:type="pct"/>
            <w:vMerge w:val="restart"/>
            <w:vAlign w:val="center"/>
          </w:tcPr>
          <w:p>
            <w:pPr>
              <w:spacing w:line="280" w:lineRule="exact"/>
              <w:rPr>
                <w:rFonts w:cs="方正仿宋简体" w:asciiTheme="minorEastAsia" w:hAnsiTheme="minorEastAsia"/>
                <w:iCs/>
              </w:rPr>
            </w:pPr>
            <w:r>
              <w:rPr>
                <w:rFonts w:cs="方正仿宋简体" w:asciiTheme="minorEastAsia" w:hAnsiTheme="minorEastAsia"/>
                <w:iCs/>
              </w:rPr>
              <w:t>黄亦磊</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开始担任本基金基金经理的日期</w:t>
            </w:r>
          </w:p>
        </w:tc>
        <w:tc>
          <w:tcPr>
            <w:tcW w:w="1442" w:type="pct"/>
            <w:vAlign w:val="center"/>
          </w:tcPr>
          <w:p>
            <w:pPr>
              <w:spacing w:line="280" w:lineRule="exact"/>
              <w:rPr>
                <w:rFonts w:cs="方正仿宋简体" w:asciiTheme="minorEastAsia" w:hAnsiTheme="minorEastAsia"/>
                <w:iCs/>
              </w:rPr>
            </w:pPr>
            <w:r>
              <w:rPr>
                <w:rFonts w:cs="方正仿宋简体" w:asciiTheme="minorEastAsia" w:hAnsiTheme="minorEastAsia"/>
                <w:iCs/>
              </w:rPr>
              <w:t>-</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continue"/>
            <w:vAlign w:val="center"/>
          </w:tcPr>
          <w:p>
            <w:pPr>
              <w:spacing w:line="280" w:lineRule="exact"/>
              <w:rPr>
                <w:rFonts w:cs="方正仿宋简体" w:asciiTheme="minorEastAsia" w:hAnsiTheme="minorEastAsia"/>
                <w:b/>
                <w:iCs/>
              </w:rPr>
            </w:pPr>
          </w:p>
        </w:tc>
        <w:tc>
          <w:tcPr>
            <w:tcW w:w="1412" w:type="pct"/>
            <w:vMerge w:val="continue"/>
            <w:vAlign w:val="center"/>
          </w:tcPr>
          <w:p>
            <w:pPr>
              <w:spacing w:line="280" w:lineRule="exact"/>
              <w:rPr>
                <w:rFonts w:cs="方正仿宋简体" w:asciiTheme="minorEastAsia" w:hAnsiTheme="minorEastAsia"/>
                <w:b/>
                <w:iCs/>
              </w:rPr>
            </w:pP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证券从业日期</w:t>
            </w:r>
          </w:p>
        </w:tc>
        <w:tc>
          <w:tcPr>
            <w:tcW w:w="144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2018-07-11</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continue"/>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基金经理</w:t>
            </w:r>
          </w:p>
        </w:tc>
        <w:tc>
          <w:tcPr>
            <w:tcW w:w="1412" w:type="pct"/>
            <w:vMerge w:val="restart"/>
            <w:vAlign w:val="center"/>
          </w:tcPr>
          <w:p>
            <w:pPr>
              <w:spacing w:line="280" w:lineRule="exact"/>
              <w:rPr>
                <w:rFonts w:cs="方正仿宋简体" w:asciiTheme="minorEastAsia" w:hAnsiTheme="minorEastAsia"/>
                <w:iCs/>
              </w:rPr>
            </w:pPr>
            <w:r>
              <w:rPr>
                <w:rFonts w:cs="方正仿宋简体" w:asciiTheme="minorEastAsia" w:hAnsiTheme="minorEastAsia"/>
                <w:iCs/>
              </w:rPr>
              <w:t>刘先宇</w:t>
            </w: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开始担任本基金基金经理的日期</w:t>
            </w:r>
          </w:p>
        </w:tc>
        <w:tc>
          <w:tcPr>
            <w:tcW w:w="1442" w:type="pct"/>
            <w:vAlign w:val="center"/>
          </w:tcPr>
          <w:p>
            <w:pPr>
              <w:spacing w:line="280" w:lineRule="exact"/>
              <w:rPr>
                <w:rFonts w:cs="方正仿宋简体" w:asciiTheme="minorEastAsia" w:hAnsiTheme="minorEastAsia"/>
                <w:iCs/>
              </w:rPr>
            </w:pPr>
            <w:r>
              <w:rPr>
                <w:rFonts w:cs="方正仿宋简体" w:asciiTheme="minorEastAsia" w:hAnsiTheme="minorEastAsia"/>
                <w:iCs/>
              </w:rPr>
              <w:t>-</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continue"/>
            <w:vAlign w:val="center"/>
          </w:tcPr>
          <w:p>
            <w:pPr>
              <w:spacing w:line="280" w:lineRule="exact"/>
              <w:rPr>
                <w:rFonts w:cs="方正仿宋简体" w:asciiTheme="minorEastAsia" w:hAnsiTheme="minorEastAsia"/>
                <w:b/>
                <w:iCs/>
              </w:rPr>
            </w:pPr>
          </w:p>
        </w:tc>
        <w:tc>
          <w:tcPr>
            <w:tcW w:w="1412" w:type="pct"/>
            <w:vMerge w:val="continue"/>
            <w:vAlign w:val="center"/>
          </w:tcPr>
          <w:p>
            <w:pPr>
              <w:spacing w:line="280" w:lineRule="exact"/>
              <w:rPr>
                <w:rFonts w:cs="方正仿宋简体" w:asciiTheme="minorEastAsia" w:hAnsiTheme="minorEastAsia"/>
                <w:b/>
                <w:iCs/>
              </w:rPr>
            </w:pPr>
          </w:p>
        </w:tc>
        <w:tc>
          <w:tcPr>
            <w:tcW w:w="999" w:type="pct"/>
            <w:vAlign w:val="center"/>
          </w:tcPr>
          <w:p>
            <w:pPr>
              <w:spacing w:line="280" w:lineRule="exact"/>
              <w:rPr>
                <w:rFonts w:cs="方正仿宋简体" w:asciiTheme="minorEastAsia" w:hAnsiTheme="minorEastAsia"/>
                <w:b/>
                <w:iCs/>
              </w:rPr>
            </w:pPr>
            <w:r>
              <w:rPr>
                <w:rFonts w:hint="eastAsia" w:cs="方正仿宋简体" w:asciiTheme="minorEastAsia" w:hAnsiTheme="minorEastAsia"/>
                <w:b/>
                <w:iCs/>
              </w:rPr>
              <w:t>证券从业日期</w:t>
            </w:r>
          </w:p>
        </w:tc>
        <w:tc>
          <w:tcPr>
            <w:tcW w:w="1442"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2020-07-01</w:t>
            </w:r>
          </w:p>
        </w:tc>
      </w:tr>
    </w:tbl>
    <w:p>
      <w:pPr>
        <w:numPr>
          <w:ilvl w:val="0"/>
          <w:numId w:val="1"/>
        </w:numPr>
        <w:spacing w:line="280" w:lineRule="exact"/>
        <w:outlineLvl w:val="0"/>
        <w:rPr>
          <w:rFonts w:cs="方正仿宋简体" w:asciiTheme="minorEastAsia" w:hAnsiTheme="minorEastAsia"/>
          <w:b/>
          <w:iCs/>
          <w:sz w:val="24"/>
          <w:szCs w:val="24"/>
        </w:rPr>
      </w:pPr>
      <w:r>
        <w:rPr>
          <w:rFonts w:hint="eastAsia" w:cs="方正仿宋简体" w:asciiTheme="minorEastAsia" w:hAnsiTheme="minorEastAsia"/>
          <w:b/>
          <w:iCs/>
          <w:sz w:val="24"/>
          <w:szCs w:val="24"/>
        </w:rPr>
        <w:t>基金投资与净值表现</w:t>
      </w:r>
    </w:p>
    <w:p>
      <w:pPr>
        <w:pStyle w:val="14"/>
        <w:numPr>
          <w:ilvl w:val="0"/>
          <w:numId w:val="2"/>
        </w:numPr>
        <w:spacing w:line="280" w:lineRule="exact"/>
        <w:ind w:firstLineChars="0"/>
        <w:outlineLvl w:val="1"/>
        <w:rPr>
          <w:rFonts w:cs="方正仿宋简体" w:asciiTheme="minorEastAsia" w:hAnsiTheme="minorEastAsia"/>
          <w:b/>
          <w:iCs/>
          <w:sz w:val="24"/>
          <w:szCs w:val="24"/>
        </w:rPr>
      </w:pPr>
      <w:r>
        <w:rPr>
          <w:rFonts w:hint="eastAsia" w:cs="方正仿宋简体" w:asciiTheme="minorEastAsia" w:hAnsiTheme="minorEastAsia"/>
          <w:b/>
          <w:iCs/>
          <w:sz w:val="24"/>
          <w:szCs w:val="24"/>
        </w:rPr>
        <w:t>投资目标与投资策略</w:t>
      </w:r>
    </w:p>
    <w:tbl>
      <w:tblPr>
        <w:tblStyle w:val="10"/>
        <w:tblW w:w="5000" w:type="pct"/>
        <w:tblInd w:w="0" w:type="dxa"/>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1952"/>
        <w:gridCol w:w="6570"/>
      </w:tblGrid>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cs="仿宋_GB2312" w:asciiTheme="minorEastAsia" w:hAnsiTheme="minorEastAsia"/>
                <w:kern w:val="0"/>
                <w:sz w:val="22"/>
                <w:szCs w:val="24"/>
              </w:rPr>
            </w:pPr>
            <w:r>
              <w:rPr>
                <w:rFonts w:hint="eastAsia" w:cs="方正仿宋简体" w:asciiTheme="minorEastAsia" w:hAnsiTheme="minorEastAsia"/>
                <w:b/>
                <w:bCs/>
                <w:iCs/>
                <w:szCs w:val="24"/>
              </w:rPr>
              <w:t>投资目标</w:t>
            </w:r>
          </w:p>
        </w:tc>
        <w:tc>
          <w:tcPr>
            <w:tcW w:w="3855" w:type="pct"/>
            <w:vAlign w:val="center"/>
          </w:tcPr>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通过大类资产的合理配置及基金精选，在控制整体风险的前提下，力争实现资产的长期稳健增值。</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cs="仿宋_GB2312" w:asciiTheme="minorEastAsia" w:hAnsiTheme="minorEastAsia"/>
                <w:kern w:val="0"/>
                <w:sz w:val="22"/>
                <w:szCs w:val="24"/>
              </w:rPr>
            </w:pPr>
            <w:r>
              <w:rPr>
                <w:rFonts w:hint="eastAsia" w:cs="方正仿宋简体" w:asciiTheme="minorEastAsia" w:hAnsiTheme="minorEastAsia"/>
                <w:b/>
                <w:bCs/>
                <w:iCs/>
                <w:szCs w:val="24"/>
              </w:rPr>
              <w:t>投资范围</w:t>
            </w:r>
          </w:p>
        </w:tc>
        <w:tc>
          <w:tcPr>
            <w:tcW w:w="3855" w:type="pct"/>
            <w:vAlign w:val="center"/>
          </w:tcPr>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如法律法规或监管机构以后允许基金投资其他品种，基金管理人在履行适当程序后，本基金可以将其纳入投资范围。</w:t>
            </w:r>
          </w:p>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基金的投资组合比例为：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p>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cs="仿宋_GB2312" w:asciiTheme="minorEastAsia" w:hAnsiTheme="minorEastAsia"/>
                <w:kern w:val="0"/>
                <w:sz w:val="22"/>
                <w:szCs w:val="24"/>
              </w:rPr>
            </w:pPr>
            <w:r>
              <w:rPr>
                <w:rFonts w:hint="eastAsia" w:cs="方正仿宋简体" w:asciiTheme="minorEastAsia" w:hAnsiTheme="minorEastAsia"/>
                <w:b/>
                <w:bCs/>
                <w:iCs/>
                <w:szCs w:val="24"/>
              </w:rPr>
              <w:t>主要投资策略</w:t>
            </w:r>
          </w:p>
        </w:tc>
        <w:tc>
          <w:tcPr>
            <w:tcW w:w="3855" w:type="pct"/>
            <w:vAlign w:val="center"/>
          </w:tcPr>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本基金将秉承稳健的投资风格，严格控制投资组合风险，力争为投资者获得长期投资回报。本基金的主要投资策略包括资产配置策略、基金筛选策略、基金配置策略。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基金筛选策略是基金配置策略的基础，本基金所投资的全部基金都应是通过基金筛选策略选择出的标的基金。对被动型基金和主动型基金将使用不同的筛选方法。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cs="仿宋_GB2312" w:asciiTheme="minorEastAsia" w:hAnsiTheme="minorEastAsia"/>
                <w:kern w:val="0"/>
                <w:sz w:val="22"/>
                <w:szCs w:val="24"/>
              </w:rPr>
            </w:pPr>
            <w:r>
              <w:rPr>
                <w:rFonts w:hint="eastAsia" w:cs="方正仿宋简体" w:asciiTheme="minorEastAsia" w:hAnsiTheme="minorEastAsia"/>
                <w:b/>
                <w:bCs/>
                <w:iCs/>
                <w:szCs w:val="24"/>
              </w:rPr>
              <w:t>业绩比较基准</w:t>
            </w:r>
          </w:p>
        </w:tc>
        <w:tc>
          <w:tcPr>
            <w:tcW w:w="3855" w:type="pct"/>
            <w:vAlign w:val="center"/>
          </w:tcPr>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中证债券型基金指数收益率×80%+沪深300指数收益率×9%+标普500指数（S&amp;P 500 Index）（美元）收益率×3%+上海黄金交易所Au99.99现货实盘合约价格收益率×3%+活期存款基准利率×5%</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cs="仿宋_GB2312" w:asciiTheme="minorEastAsia" w:hAnsiTheme="minorEastAsia"/>
                <w:kern w:val="0"/>
                <w:sz w:val="22"/>
                <w:szCs w:val="24"/>
              </w:rPr>
            </w:pPr>
            <w:bookmarkStart w:id="0" w:name="_GoBack" w:colFirst="1" w:colLast="1"/>
            <w:r>
              <w:rPr>
                <w:rFonts w:hint="eastAsia" w:cs="方正仿宋简体" w:asciiTheme="minorEastAsia" w:hAnsiTheme="minorEastAsia"/>
                <w:b/>
                <w:bCs/>
                <w:iCs/>
                <w:szCs w:val="24"/>
              </w:rPr>
              <w:t>风险收益特征</w:t>
            </w:r>
          </w:p>
        </w:tc>
        <w:tc>
          <w:tcPr>
            <w:tcW w:w="3855" w:type="pct"/>
            <w:vAlign w:val="center"/>
          </w:tcPr>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本基金为混合型基金中基金（FOF），理论上其预期风险与预期收益水平低于股票型基金、股票型基金中基金（FOF），高于债券型基金、债券型基金中基金（FOF）、货币市场基金和货币型基金中基金（FOF）。</w:t>
            </w:r>
          </w:p>
          <w:p>
            <w:pPr>
              <w:autoSpaceDE w:val="0"/>
              <w:autoSpaceDN w:val="0"/>
              <w:adjustRightInd w:val="0"/>
              <w:spacing w:line="280" w:lineRule="exact"/>
              <w:rPr>
                <w:rFonts w:cs="仿宋_GB2312" w:asciiTheme="minorEastAsia" w:hAnsiTheme="minorEastAsia"/>
                <w:kern w:val="0"/>
                <w:szCs w:val="24"/>
              </w:rPr>
            </w:pPr>
            <w:r>
              <w:rPr>
                <w:rFonts w:hint="eastAsia" w:cs="仿宋_GB2312" w:asciiTheme="minorEastAsia" w:hAnsiTheme="minorEastAsia"/>
                <w:kern w:val="0"/>
                <w:szCs w:val="24"/>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bookmarkEnd w:id="0"/>
    </w:tbl>
    <w:p>
      <w:pPr>
        <w:spacing w:line="280" w:lineRule="exact"/>
        <w:rPr>
          <w:rFonts w:cs="方正仿宋简体" w:asciiTheme="minorEastAsia" w:hAnsiTheme="minorEastAsia"/>
          <w:iCs/>
          <w:szCs w:val="24"/>
        </w:rPr>
      </w:pPr>
      <w:r>
        <w:rPr>
          <w:rFonts w:hint="eastAsia" w:cs="方正仿宋简体" w:asciiTheme="minorEastAsia" w:hAnsiTheme="minorEastAsia"/>
          <w:iCs/>
          <w:szCs w:val="24"/>
        </w:rPr>
        <w:t>注：投资者可阅读《招募说明书》基金的投资章节了解详细情况。</w:t>
      </w:r>
    </w:p>
    <w:p>
      <w:pPr>
        <w:pStyle w:val="14"/>
        <w:numPr>
          <w:ilvl w:val="0"/>
          <w:numId w:val="2"/>
        </w:numPr>
        <w:spacing w:line="280" w:lineRule="exact"/>
        <w:ind w:firstLineChars="0"/>
        <w:outlineLvl w:val="1"/>
        <w:rPr>
          <w:rFonts w:cs="方正仿宋简体" w:asciiTheme="minorEastAsia" w:hAnsiTheme="minorEastAsia"/>
          <w:b/>
          <w:iCs/>
          <w:sz w:val="24"/>
          <w:szCs w:val="24"/>
        </w:rPr>
      </w:pPr>
      <w:r>
        <w:rPr>
          <w:rFonts w:hint="eastAsia" w:cs="方正仿宋简体" w:asciiTheme="minorEastAsia" w:hAnsiTheme="minorEastAsia"/>
          <w:b/>
          <w:iCs/>
          <w:sz w:val="24"/>
          <w:szCs w:val="24"/>
        </w:rPr>
        <w:t>投资组合资产配置图表/区域配置图表</w:t>
      </w:r>
    </w:p>
    <w:p>
      <w:pPr>
        <w:rPr>
          <w:rFonts w:cs="方正仿宋简体" w:asciiTheme="minorEastAsia" w:hAnsiTheme="minorEastAsia"/>
          <w:b/>
          <w:iCs/>
          <w:sz w:val="24"/>
          <w:szCs w:val="24"/>
        </w:rPr>
      </w:pPr>
      <w:r>
        <w:rPr>
          <w:rFonts w:hint="eastAsia" w:cs="方正仿宋简体" w:asciiTheme="minorEastAsia" w:hAnsiTheme="minorEastAsia"/>
          <w:b/>
          <w:iCs/>
          <w:sz w:val="24"/>
          <w:szCs w:val="24"/>
        </w:rPr>
        <w:t>投资组合资产配置图表</w:t>
      </w:r>
    </w:p>
    <w:p>
      <w:pPr>
        <w:snapToGrid w:val="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无</w:t>
      </w:r>
    </w:p>
    <w:p>
      <w:pPr>
        <w:pStyle w:val="14"/>
        <w:numPr>
          <w:ilvl w:val="0"/>
          <w:numId w:val="2"/>
        </w:numPr>
        <w:spacing w:line="280" w:lineRule="exact"/>
        <w:ind w:firstLineChars="0"/>
        <w:outlineLvl w:val="1"/>
        <w:rPr>
          <w:rFonts w:cs="方正仿宋简体" w:asciiTheme="minorEastAsia" w:hAnsiTheme="minorEastAsia"/>
          <w:b/>
          <w:iCs/>
          <w:sz w:val="24"/>
          <w:szCs w:val="24"/>
        </w:rPr>
      </w:pPr>
      <w:r>
        <w:rPr>
          <w:rFonts w:hint="eastAsia" w:cs="方正仿宋简体" w:asciiTheme="minorEastAsia" w:hAnsiTheme="minorEastAsia"/>
          <w:b/>
          <w:iCs/>
          <w:sz w:val="24"/>
          <w:szCs w:val="24"/>
        </w:rPr>
        <w:t>自基金合同生效以来基金每年的净值增长率及与同期业绩比较基准的比较图</w:t>
      </w:r>
    </w:p>
    <w:p>
      <w:pPr>
        <w:autoSpaceDE w:val="0"/>
        <w:autoSpaceDN w:val="0"/>
        <w:adjustRightInd w:val="0"/>
        <w:spacing w:line="280" w:lineRule="exact"/>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无</w:t>
      </w:r>
    </w:p>
    <w:p>
      <w:pPr>
        <w:numPr>
          <w:ilvl w:val="0"/>
          <w:numId w:val="1"/>
        </w:numPr>
        <w:spacing w:line="280" w:lineRule="exact"/>
        <w:outlineLvl w:val="0"/>
        <w:rPr>
          <w:rFonts w:cs="方正仿宋简体" w:asciiTheme="minorEastAsia" w:hAnsiTheme="minorEastAsia"/>
          <w:b/>
          <w:iCs/>
          <w:sz w:val="24"/>
          <w:szCs w:val="24"/>
        </w:rPr>
      </w:pPr>
      <w:r>
        <w:rPr>
          <w:rFonts w:hint="eastAsia" w:cs="方正仿宋简体" w:asciiTheme="minorEastAsia" w:hAnsiTheme="minorEastAsia"/>
          <w:b/>
          <w:iCs/>
          <w:sz w:val="24"/>
          <w:szCs w:val="24"/>
        </w:rPr>
        <w:t>投资本基金涉及的费用</w:t>
      </w:r>
    </w:p>
    <w:p>
      <w:pPr>
        <w:pStyle w:val="14"/>
        <w:numPr>
          <w:ilvl w:val="0"/>
          <w:numId w:val="3"/>
        </w:numPr>
        <w:spacing w:line="340" w:lineRule="exact"/>
        <w:ind w:firstLineChars="0"/>
        <w:outlineLvl w:val="1"/>
        <w:rPr>
          <w:rFonts w:cs="方正仿宋简体" w:asciiTheme="minorEastAsia" w:hAnsiTheme="minorEastAsia"/>
          <w:b/>
          <w:iCs/>
          <w:sz w:val="24"/>
          <w:szCs w:val="24"/>
        </w:rPr>
      </w:pPr>
      <w:r>
        <w:rPr>
          <w:rFonts w:hint="eastAsia" w:cs="方正仿宋简体" w:asciiTheme="minorEastAsia" w:hAnsiTheme="minorEastAsia"/>
          <w:b/>
          <w:iCs/>
          <w:sz w:val="24"/>
          <w:szCs w:val="24"/>
        </w:rPr>
        <w:t>基金销售相关费用</w:t>
      </w:r>
    </w:p>
    <w:p>
      <w:pPr>
        <w:autoSpaceDE w:val="0"/>
        <w:autoSpaceDN w:val="0"/>
        <w:adjustRightInd w:val="0"/>
        <w:spacing w:line="280" w:lineRule="exact"/>
        <w:jc w:val="left"/>
        <w:rPr>
          <w:rFonts w:asciiTheme="minorEastAsia" w:hAnsiTheme="minorEastAsia"/>
          <w:color w:val="000000" w:themeColor="text1"/>
          <w14:textFill>
            <w14:solidFill>
              <w14:schemeClr w14:val="tx1"/>
            </w14:solidFill>
          </w14:textFill>
        </w:rPr>
      </w:pPr>
      <w:r>
        <w:rPr>
          <w:rFonts w:hint="eastAsia" w:cs="方正仿宋简体" w:asciiTheme="minorEastAsia" w:hAnsiTheme="minorEastAsia"/>
          <w:iCs/>
          <w:color w:val="000000" w:themeColor="text1"/>
          <w14:textFill>
            <w14:solidFill>
              <w14:schemeClr w14:val="tx1"/>
            </w14:solidFill>
          </w14:textFill>
        </w:rPr>
        <w:t>以下费用在认购/申购/赎回基金过程中收取：</w:t>
      </w:r>
    </w:p>
    <w:tbl>
      <w:tblPr>
        <w:tblStyle w:val="9"/>
        <w:tblW w:w="5000" w:type="pct"/>
        <w:tblInd w:w="0" w:type="dxa"/>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1243"/>
        <w:gridCol w:w="3828"/>
        <w:gridCol w:w="1133"/>
        <w:gridCol w:w="2318"/>
      </w:tblGrid>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费用类型</w:t>
            </w:r>
          </w:p>
        </w:tc>
        <w:tc>
          <w:tcPr>
            <w:tcW w:w="2246" w:type="pc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份额（S）或金额（M）</w:t>
            </w:r>
          </w:p>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/持有期限（N）</w:t>
            </w:r>
          </w:p>
        </w:tc>
        <w:tc>
          <w:tcPr>
            <w:tcW w:w="665" w:type="pc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收费方式/费率</w:t>
            </w:r>
          </w:p>
        </w:tc>
        <w:tc>
          <w:tcPr>
            <w:tcW w:w="1360" w:type="pc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备注</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PrEx>
        <w:trPr>
          <w:trHeight w:val="454" w:hRule="atLeast"/>
        </w:trPr>
        <w:tc>
          <w:tcPr>
            <w:tcW w:w="729" w:type="pct"/>
            <w:vMerge w:val="restar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认购费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  M &lt; 500万元</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0.50%  </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Merge w:val="continue"/>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认购费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M ≥ 500万元</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  按笔收取，1000元/笔</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Merge w:val="restar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申购费（前收费）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  M &lt; 500万元</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0.50%  </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Merge w:val="continue"/>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申购费（前收费）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M ≥ 500万元</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  按笔收取，1000元/笔</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Merge w:val="restart"/>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赎回费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90天 ≤ N ≤ 179天 </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0.50%  </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729" w:type="pct"/>
            <w:vMerge w:val="continue"/>
            <w:vAlign w:val="center"/>
          </w:tcPr>
          <w:p>
            <w:pPr>
              <w:spacing w:line="280" w:lineRule="exact"/>
              <w:jc w:val="center"/>
              <w:rPr>
                <w:rFonts w:cs="方正仿宋简体" w:asciiTheme="minorEastAsia" w:hAnsiTheme="minorEastAsia"/>
                <w:b/>
                <w:bCs/>
                <w:iCs/>
                <w:color w:val="000000" w:themeColor="text1"/>
                <w14:textFill>
                  <w14:solidFill>
                    <w14:schemeClr w14:val="tx1"/>
                  </w14:solidFill>
                </w14:textFill>
              </w:rPr>
            </w:pPr>
            <w:r>
              <w:rPr>
                <w:rFonts w:hint="eastAsia" w:cs="方正仿宋简体" w:asciiTheme="minorEastAsia" w:hAnsiTheme="minorEastAsia"/>
                <w:b/>
                <w:bCs/>
                <w:iCs/>
                <w:color w:val="000000" w:themeColor="text1"/>
                <w14:textFill>
                  <w14:solidFill>
                    <w14:schemeClr w14:val="tx1"/>
                  </w14:solidFill>
                </w14:textFill>
              </w:rPr>
              <w:t>赎回费</w:t>
            </w:r>
          </w:p>
        </w:tc>
        <w:tc>
          <w:tcPr>
            <w:tcW w:w="2246"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　 　 N ≥ 180天 </w:t>
            </w:r>
          </w:p>
        </w:tc>
        <w:tc>
          <w:tcPr>
            <w:tcW w:w="665"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r>
              <w:rPr>
                <w:rFonts w:hint="eastAsia" w:cs="方正仿宋简体" w:asciiTheme="minorEastAsia" w:hAnsiTheme="minorEastAsia"/>
                <w:bCs/>
                <w:iCs/>
                <w:color w:val="000000" w:themeColor="text1"/>
                <w14:textFill>
                  <w14:solidFill>
                    <w14:schemeClr w14:val="tx1"/>
                  </w14:solidFill>
                </w14:textFill>
              </w:rPr>
              <w:t xml:space="preserve">0.00%  </w:t>
            </w:r>
          </w:p>
        </w:tc>
        <w:tc>
          <w:tcPr>
            <w:tcW w:w="1360" w:type="pct"/>
            <w:vAlign w:val="center"/>
          </w:tcPr>
          <w:p>
            <w:pPr>
              <w:spacing w:line="280" w:lineRule="exact"/>
              <w:jc w:val="center"/>
              <w:rPr>
                <w:rFonts w:cs="方正仿宋简体" w:asciiTheme="minorEastAsia" w:hAnsiTheme="minorEastAsia"/>
                <w:bCs/>
                <w:iCs/>
                <w:color w:val="000000" w:themeColor="text1"/>
                <w14:textFill>
                  <w14:solidFill>
                    <w14:schemeClr w14:val="tx1"/>
                  </w14:solidFill>
                </w14:textFill>
              </w:rPr>
            </w:pPr>
          </w:p>
        </w:tc>
      </w:tr>
    </w:tbl>
    <w:p>
      <w:pPr>
        <w:autoSpaceDE w:val="0"/>
        <w:autoSpaceDN w:val="0"/>
        <w:adjustRightInd w:val="0"/>
        <w:spacing w:line="280" w:lineRule="exact"/>
        <w:jc w:val="left"/>
        <w:rPr>
          <w:rFonts w:cs="方正仿宋简体" w:asciiTheme="minorEastAsia" w:hAnsiTheme="minorEastAsia"/>
          <w:iCs/>
          <w:color w:val="000000" w:themeColor="text1"/>
          <w14:textFill>
            <w14:solidFill>
              <w14:schemeClr w14:val="tx1"/>
            </w14:solidFill>
          </w14:textFill>
        </w:rPr>
      </w:pPr>
      <w:r>
        <w:rPr>
          <w:rFonts w:hint="eastAsia" w:cs="方正仿宋简体" w:asciiTheme="minorEastAsia" w:hAnsiTheme="minorEastAsia"/>
          <w:iCs/>
          <w:color w:val="000000" w:themeColor="text1"/>
          <w14:textFill>
            <w14:solidFill>
              <w14:schemeClr w14:val="tx1"/>
            </w14:solidFill>
          </w14:textFill>
        </w:rPr>
        <w:t>注：1、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2、本基金对投资者认购或申购的每份基金份额设定3个月（一个月按30天计算）最短持有期限，基金份额持有人在满足最短持有期限的情况下方可赎回。</w:t>
      </w:r>
    </w:p>
    <w:p>
      <w:pPr>
        <w:pStyle w:val="14"/>
        <w:numPr>
          <w:ilvl w:val="0"/>
          <w:numId w:val="3"/>
        </w:numPr>
        <w:spacing w:line="340" w:lineRule="exact"/>
        <w:ind w:firstLineChars="0"/>
        <w:outlineLvl w:val="1"/>
        <w:rPr>
          <w:rFonts w:cs="方正仿宋简体" w:asciiTheme="minorEastAsia" w:hAnsiTheme="minorEastAsia"/>
          <w:b/>
          <w:iCs/>
          <w:sz w:val="24"/>
          <w:szCs w:val="24"/>
        </w:rPr>
      </w:pPr>
      <w:r>
        <w:rPr>
          <w:rFonts w:hint="eastAsia" w:cs="方正仿宋简体" w:asciiTheme="minorEastAsia" w:hAnsiTheme="minorEastAsia"/>
          <w:b/>
          <w:iCs/>
          <w:sz w:val="24"/>
          <w:szCs w:val="24"/>
        </w:rPr>
        <w:t>基金运作相关费用</w:t>
      </w:r>
    </w:p>
    <w:p>
      <w:pPr>
        <w:autoSpaceDE w:val="0"/>
        <w:autoSpaceDN w:val="0"/>
        <w:adjustRightInd w:val="0"/>
        <w:spacing w:line="280" w:lineRule="exact"/>
        <w:jc w:val="left"/>
        <w:rPr>
          <w:rFonts w:cs="方正仿宋简体" w:asciiTheme="minorEastAsia" w:hAnsiTheme="minorEastAsia"/>
          <w:iCs/>
        </w:rPr>
      </w:pPr>
      <w:r>
        <w:rPr>
          <w:rFonts w:hint="eastAsia" w:asciiTheme="minorEastAsia" w:hAnsiTheme="minorEastAsia"/>
        </w:rPr>
        <w:t>以下</w:t>
      </w:r>
      <w:r>
        <w:rPr>
          <w:rFonts w:hint="eastAsia" w:cs="方正仿宋简体" w:asciiTheme="minorEastAsia" w:hAnsiTheme="minorEastAsia"/>
          <w:iCs/>
        </w:rPr>
        <w:t>费用将从基金资产中扣除：</w:t>
      </w:r>
    </w:p>
    <w:tbl>
      <w:tblPr>
        <w:tblStyle w:val="9"/>
        <w:tblW w:w="5001" w:type="pct"/>
        <w:tblInd w:w="0" w:type="dxa"/>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1476"/>
        <w:gridCol w:w="3527"/>
        <w:gridCol w:w="3521"/>
      </w:tblGrid>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66" w:type="pct"/>
            <w:vAlign w:val="center"/>
          </w:tcPr>
          <w:p>
            <w:pPr>
              <w:spacing w:line="280" w:lineRule="exact"/>
              <w:rPr>
                <w:rFonts w:cs="方正仿宋简体" w:asciiTheme="minorEastAsia" w:hAnsiTheme="minorEastAsia"/>
                <w:b/>
                <w:bCs/>
              </w:rPr>
            </w:pPr>
            <w:r>
              <w:rPr>
                <w:rFonts w:hint="eastAsia" w:cs="方正仿宋简体" w:asciiTheme="minorEastAsia" w:hAnsiTheme="minorEastAsia"/>
                <w:b/>
                <w:bCs/>
                <w:iCs/>
              </w:rPr>
              <w:t>费用类别</w:t>
            </w:r>
          </w:p>
        </w:tc>
        <w:tc>
          <w:tcPr>
            <w:tcW w:w="2069" w:type="pct"/>
            <w:vAlign w:val="center"/>
          </w:tcPr>
          <w:p>
            <w:pPr>
              <w:spacing w:line="280" w:lineRule="exact"/>
              <w:jc w:val="center"/>
              <w:rPr>
                <w:rFonts w:cs="方正仿宋简体" w:asciiTheme="minorEastAsia" w:hAnsiTheme="minorEastAsia"/>
                <w:b/>
                <w:bCs/>
                <w:iCs/>
              </w:rPr>
            </w:pPr>
            <w:r>
              <w:rPr>
                <w:rFonts w:hint="eastAsia" w:cs="方正仿宋简体" w:asciiTheme="minorEastAsia" w:hAnsiTheme="minorEastAsia"/>
                <w:b/>
                <w:bCs/>
                <w:iCs/>
              </w:rPr>
              <w:t>收费方式/年费率或金额</w:t>
            </w:r>
          </w:p>
        </w:tc>
        <w:tc>
          <w:tcPr>
            <w:tcW w:w="2065" w:type="pct"/>
            <w:tcBorders>
              <w:bottom w:val="dashSmallGap" w:color="7F7F7F" w:themeColor="background1" w:themeShade="80" w:sz="4" w:space="0"/>
            </w:tcBorders>
            <w:vAlign w:val="center"/>
          </w:tcPr>
          <w:p>
            <w:pPr>
              <w:spacing w:line="280" w:lineRule="exact"/>
              <w:jc w:val="center"/>
              <w:rPr>
                <w:rFonts w:cs="方正仿宋简体" w:asciiTheme="minorEastAsia" w:hAnsiTheme="minorEastAsia"/>
                <w:b/>
                <w:bCs/>
                <w:iCs/>
              </w:rPr>
            </w:pPr>
            <w:r>
              <w:rPr>
                <w:rFonts w:hint="eastAsia" w:cs="方正仿宋简体" w:asciiTheme="minorEastAsia" w:hAnsiTheme="minorEastAsia"/>
                <w:b/>
                <w:bCs/>
                <w:iCs/>
              </w:rPr>
              <w:t>收取方</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66" w:type="pct"/>
            <w:vAlign w:val="center"/>
          </w:tcPr>
          <w:p>
            <w:pPr>
              <w:spacing w:line="280" w:lineRule="exact"/>
              <w:rPr>
                <w:rFonts w:cs="方正仿宋简体" w:asciiTheme="minorEastAsia" w:hAnsiTheme="minorEastAsia"/>
                <w:bCs/>
                <w:iCs/>
              </w:rPr>
            </w:pPr>
            <w:r>
              <w:rPr>
                <w:rFonts w:hint="eastAsia" w:cs="方正仿宋简体" w:asciiTheme="minorEastAsia" w:hAnsiTheme="minorEastAsia"/>
                <w:bCs/>
                <w:iCs/>
              </w:rPr>
              <w:t>管理费</w:t>
            </w:r>
          </w:p>
        </w:tc>
        <w:tc>
          <w:tcPr>
            <w:tcW w:w="2069" w:type="pct"/>
            <w:vAlign w:val="center"/>
          </w:tcPr>
          <w:p>
            <w:pPr>
              <w:spacing w:line="280" w:lineRule="exact"/>
              <w:jc w:val="center"/>
              <w:rPr>
                <w:rFonts w:cs="方正仿宋简体" w:asciiTheme="minorEastAsia" w:hAnsiTheme="minorEastAsia"/>
                <w:bCs/>
                <w:iCs/>
              </w:rPr>
            </w:pPr>
            <w:r>
              <w:rPr>
                <w:rFonts w:hint="eastAsia" w:cs="方正仿宋简体" w:asciiTheme="minorEastAsia" w:hAnsiTheme="minorEastAsia"/>
                <w:bCs/>
                <w:iCs/>
              </w:rPr>
              <w:t xml:space="preserve">年费率0.60% </w:t>
            </w:r>
          </w:p>
        </w:tc>
        <w:tc>
          <w:tcPr>
            <w:tcW w:w="2065" w:type="pct"/>
            <w:tcBorders>
              <w:top w:val="dashSmallGap" w:color="7F7F7F" w:themeColor="background1" w:themeShade="80" w:sz="4" w:space="0"/>
            </w:tcBorders>
            <w:vAlign w:val="center"/>
          </w:tcPr>
          <w:p>
            <w:pPr>
              <w:spacing w:line="280" w:lineRule="exact"/>
              <w:jc w:val="center"/>
              <w:rPr>
                <w:rFonts w:cs="方正仿宋简体" w:asciiTheme="minorEastAsia" w:hAnsiTheme="minorEastAsia"/>
                <w:bCs/>
                <w:iCs/>
              </w:rPr>
            </w:pPr>
            <w:r>
              <w:rPr>
                <w:rFonts w:hint="eastAsia" w:cs="方正仿宋简体" w:asciiTheme="minorEastAsia" w:hAnsiTheme="minorEastAsia"/>
                <w:bCs/>
                <w:iCs/>
              </w:rPr>
              <w:t>基金管理人、销售机构</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66" w:type="pct"/>
            <w:vAlign w:val="center"/>
          </w:tcPr>
          <w:p>
            <w:pPr>
              <w:spacing w:line="280" w:lineRule="exact"/>
              <w:rPr>
                <w:rFonts w:cs="方正仿宋简体" w:asciiTheme="minorEastAsia" w:hAnsiTheme="minorEastAsia"/>
                <w:bCs/>
                <w:iCs/>
              </w:rPr>
            </w:pPr>
            <w:r>
              <w:rPr>
                <w:rFonts w:hint="eastAsia" w:cs="方正仿宋简体" w:asciiTheme="minorEastAsia" w:hAnsiTheme="minorEastAsia"/>
                <w:bCs/>
                <w:iCs/>
              </w:rPr>
              <w:t>托管费</w:t>
            </w:r>
          </w:p>
        </w:tc>
        <w:tc>
          <w:tcPr>
            <w:tcW w:w="2069" w:type="pct"/>
            <w:vAlign w:val="center"/>
          </w:tcPr>
          <w:p>
            <w:pPr>
              <w:spacing w:line="280" w:lineRule="exact"/>
              <w:jc w:val="center"/>
              <w:rPr>
                <w:rFonts w:cs="方正仿宋简体" w:asciiTheme="minorEastAsia" w:hAnsiTheme="minorEastAsia"/>
                <w:bCs/>
                <w:iCs/>
              </w:rPr>
            </w:pPr>
            <w:r>
              <w:rPr>
                <w:rFonts w:hint="eastAsia" w:cs="方正仿宋简体" w:asciiTheme="minorEastAsia" w:hAnsiTheme="minorEastAsia"/>
                <w:bCs/>
                <w:iCs/>
              </w:rPr>
              <w:t xml:space="preserve">年费率0.10% </w:t>
            </w:r>
          </w:p>
        </w:tc>
        <w:tc>
          <w:tcPr>
            <w:tcW w:w="2065" w:type="pct"/>
            <w:vAlign w:val="center"/>
          </w:tcPr>
          <w:p>
            <w:pPr>
              <w:spacing w:line="280" w:lineRule="exact"/>
              <w:jc w:val="center"/>
              <w:rPr>
                <w:rFonts w:cs="方正仿宋简体" w:asciiTheme="minorEastAsia" w:hAnsiTheme="minorEastAsia"/>
                <w:bCs/>
                <w:iCs/>
              </w:rPr>
            </w:pPr>
            <w:r>
              <w:rPr>
                <w:rFonts w:hint="eastAsia" w:cs="方正仿宋简体" w:asciiTheme="minorEastAsia" w:hAnsiTheme="minorEastAsia"/>
                <w:bCs/>
                <w:iCs/>
              </w:rPr>
              <w:t>基金托管人</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66" w:type="pct"/>
            <w:vAlign w:val="center"/>
          </w:tcPr>
          <w:p>
            <w:pPr>
              <w:spacing w:line="280" w:lineRule="exact"/>
              <w:rPr>
                <w:rFonts w:cs="方正仿宋简体" w:asciiTheme="minorEastAsia" w:hAnsiTheme="minorEastAsia"/>
                <w:iCs/>
              </w:rPr>
            </w:pPr>
            <w:r>
              <w:rPr>
                <w:rFonts w:hint="eastAsia" w:cs="方正仿宋简体" w:asciiTheme="minorEastAsia" w:hAnsiTheme="minorEastAsia"/>
                <w:iCs/>
              </w:rPr>
              <w:t>其他费用</w:t>
            </w:r>
          </w:p>
        </w:tc>
        <w:tc>
          <w:tcPr>
            <w:tcW w:w="2069" w:type="pct"/>
            <w:vAlign w:val="center"/>
          </w:tcPr>
          <w:p>
            <w:pPr>
              <w:spacing w:line="280" w:lineRule="exact"/>
              <w:jc w:val="center"/>
              <w:rPr>
                <w:rFonts w:cs="方正仿宋简体" w:asciiTheme="minorEastAsia" w:hAnsiTheme="minorEastAsia"/>
                <w:bCs/>
                <w:iCs/>
              </w:rPr>
            </w:pPr>
            <w:r>
              <w:rPr>
                <w:rFonts w:hint="eastAsia" w:cs="方正仿宋简体" w:asciiTheme="minorEastAsia" w:hAnsiTheme="minorEastAsia"/>
                <w:bCs/>
                <w:iCs/>
              </w:rPr>
              <w:t xml:space="preserve">详见招募说明书的基金费用与税收章节。  </w:t>
            </w:r>
          </w:p>
        </w:tc>
        <w:tc>
          <w:tcPr>
            <w:tcW w:w="2065" w:type="pct"/>
            <w:vAlign w:val="center"/>
          </w:tcPr>
          <w:p>
            <w:pPr>
              <w:spacing w:line="280" w:lineRule="exact"/>
              <w:jc w:val="center"/>
              <w:rPr>
                <w:rFonts w:cs="方正仿宋简体" w:asciiTheme="minorEastAsia" w:hAnsiTheme="minorEastAsia"/>
                <w:bCs/>
                <w:iCs/>
              </w:rPr>
            </w:pPr>
          </w:p>
        </w:tc>
      </w:tr>
    </w:tbl>
    <w:p>
      <w:pPr>
        <w:autoSpaceDE w:val="0"/>
        <w:autoSpaceDN w:val="0"/>
        <w:adjustRightInd w:val="0"/>
        <w:spacing w:line="280" w:lineRule="exact"/>
        <w:jc w:val="left"/>
        <w:rPr>
          <w:rFonts w:cs="方正仿宋简体" w:asciiTheme="minorEastAsia" w:hAnsiTheme="minorEastAsia"/>
          <w:bCs/>
          <w:iCs/>
        </w:rPr>
      </w:pPr>
      <w:r>
        <w:rPr>
          <w:rFonts w:hint="eastAsia" w:cs="方正仿宋简体" w:asciiTheme="minorEastAsia" w:hAnsiTheme="minorEastAsia"/>
          <w:bCs/>
          <w:iCs/>
        </w:rPr>
        <w:t>注：1、本基金投资于本基金管理人所管理的基金的部分不收取管理费。本基金管理费按前一日基金资产净值扣除前一日所持有本基金管理人管理的其他基金公允价值后的余额（若为负数，则取0）的0.60%年费率计提。</w:t>
      </w:r>
    </w:p>
    <w:p>
      <w:pPr>
        <w:autoSpaceDE w:val="0"/>
        <w:autoSpaceDN w:val="0"/>
        <w:adjustRightInd w:val="0"/>
        <w:spacing w:line="280" w:lineRule="exact"/>
        <w:jc w:val="left"/>
        <w:rPr>
          <w:rFonts w:cs="方正仿宋简体" w:asciiTheme="minorEastAsia" w:hAnsiTheme="minorEastAsia"/>
          <w:bCs/>
          <w:iCs/>
        </w:rPr>
      </w:pPr>
      <w:r>
        <w:rPr>
          <w:rFonts w:hint="eastAsia" w:cs="方正仿宋简体" w:asciiTheme="minorEastAsia" w:hAnsiTheme="minorEastAsia"/>
          <w:bCs/>
          <w:iCs/>
        </w:rPr>
        <w:t>本基金投资于本基金托管人所托管的基金的部分不收取托管费。本基金托管费按前一日基金资产净值扣除前一日所持有本基金托管人托管的其他基金公允价值后的余额（若为负数，则取0）的0.10%年费率计提。</w:t>
      </w:r>
    </w:p>
    <w:p>
      <w:pPr>
        <w:autoSpaceDE w:val="0"/>
        <w:autoSpaceDN w:val="0"/>
        <w:adjustRightInd w:val="0"/>
        <w:spacing w:line="280" w:lineRule="exact"/>
        <w:jc w:val="left"/>
        <w:rPr>
          <w:rFonts w:cs="方正仿宋简体" w:asciiTheme="minorEastAsia" w:hAnsiTheme="minorEastAsia"/>
          <w:bCs/>
          <w:iCs/>
        </w:rPr>
      </w:pPr>
      <w:r>
        <w:rPr>
          <w:rFonts w:hint="eastAsia" w:cs="方正仿宋简体" w:asciiTheme="minorEastAsia" w:hAnsiTheme="minorEastAsia"/>
          <w:bCs/>
          <w:iCs/>
        </w:rPr>
        <w:t>2、本基金交易证券、基金等产生的费用和税负，按实际发生额从基金资产扣除。</w:t>
      </w:r>
    </w:p>
    <w:p>
      <w:pPr>
        <w:numPr>
          <w:ilvl w:val="0"/>
          <w:numId w:val="1"/>
        </w:numPr>
        <w:spacing w:line="280" w:lineRule="exact"/>
        <w:outlineLvl w:val="0"/>
        <w:rPr>
          <w:rFonts w:cs="方正仿宋简体" w:asciiTheme="minorEastAsia" w:hAnsiTheme="minorEastAsia"/>
          <w:b/>
          <w:iCs/>
          <w:sz w:val="24"/>
          <w:szCs w:val="24"/>
        </w:rPr>
      </w:pPr>
      <w:r>
        <w:rPr>
          <w:rFonts w:hint="eastAsia" w:cs="方正仿宋简体" w:asciiTheme="minorEastAsia" w:hAnsiTheme="minorEastAsia"/>
          <w:b/>
          <w:iCs/>
          <w:sz w:val="24"/>
          <w:szCs w:val="24"/>
        </w:rPr>
        <w:t>风险揭示与重要提示</w:t>
      </w:r>
    </w:p>
    <w:p>
      <w:pPr>
        <w:spacing w:line="280" w:lineRule="exact"/>
        <w:outlineLvl w:val="1"/>
        <w:rPr>
          <w:rFonts w:asciiTheme="minorEastAsia" w:hAnsiTheme="minorEastAsia"/>
          <w:color w:val="0000FF"/>
          <w:kern w:val="0"/>
          <w:sz w:val="18"/>
        </w:rPr>
      </w:pPr>
      <w:r>
        <w:rPr>
          <w:rFonts w:hint="eastAsia" w:cs="方正仿宋简体" w:asciiTheme="minorEastAsia" w:hAnsiTheme="minorEastAsia"/>
          <w:b/>
          <w:bCs/>
          <w:iCs/>
          <w:sz w:val="24"/>
          <w:szCs w:val="24"/>
        </w:rPr>
        <w:t>（一）风险揭示</w:t>
      </w:r>
    </w:p>
    <w:p>
      <w:pPr>
        <w:spacing w:line="280" w:lineRule="exact"/>
        <w:ind w:firstLine="420"/>
        <w:rPr>
          <w:rFonts w:cs="方正仿宋简体" w:asciiTheme="minorEastAsia" w:hAnsiTheme="minorEastAsia"/>
          <w:iCs/>
        </w:rPr>
      </w:pPr>
      <w:r>
        <w:rPr>
          <w:rFonts w:hint="eastAsia" w:cs="方正仿宋简体" w:asciiTheme="minorEastAsia" w:hAnsiTheme="minorEastAsia"/>
          <w:b/>
          <w:bCs/>
          <w:iCs/>
        </w:rPr>
        <w:t>本基金不提供任何保证。投资者可能损失投资本金。</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投资有风险，投资者购买基金时应认真阅读本基金的《招募说明书》等销售文件。</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投资者投资本基金每份基金份额需要持有至少3个月以上且不上市交易，面临在3个月最短持有期内赎回无法确认的流动性风险以及基金净值可能发生较大波动的风险。除了前述本基金对每份基金份额设定3个月最短持有期带来的特有风险外，投资本基金可能遇到的特有风险包括但不限于：（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本基金的具体运作特点详见基金合同和招募说明书的约定，投资本基金可能面临的风险详见招募说明书的“风险揭示”部分。</w:t>
      </w:r>
    </w:p>
    <w:p>
      <w:pPr>
        <w:spacing w:line="280" w:lineRule="exact"/>
        <w:outlineLvl w:val="1"/>
        <w:rPr>
          <w:rFonts w:cs="方正仿宋简体" w:asciiTheme="minorEastAsia" w:hAnsiTheme="minorEastAsia"/>
          <w:b/>
          <w:iCs/>
          <w:sz w:val="22"/>
          <w:szCs w:val="24"/>
        </w:rPr>
      </w:pPr>
      <w:r>
        <w:rPr>
          <w:rFonts w:hint="eastAsia" w:cs="方正仿宋简体" w:asciiTheme="minorEastAsia" w:hAnsiTheme="minorEastAsia"/>
          <w:b/>
          <w:iCs/>
          <w:sz w:val="24"/>
          <w:szCs w:val="24"/>
        </w:rPr>
        <w:t>（二）重要提示</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hint="eastAsia" w:cs="方正仿宋简体" w:asciiTheme="minorEastAsia" w:hAnsiTheme="minorEastAsia"/>
          <w:b/>
          <w:bCs/>
          <w:iCs/>
        </w:rPr>
        <w:t>各方当事人因《基金合同》而产生的或与《基金合同》有关的一切争议应尽量通过协商、调解途径解决，如经友好协商未能解决的最终将通过仲裁方式处理，详见《基金合同》</w:t>
      </w:r>
      <w:r>
        <w:rPr>
          <w:rFonts w:hint="eastAsia" w:cs="方正仿宋简体" w:asciiTheme="minorEastAsia" w:hAnsiTheme="minorEastAsia"/>
          <w:iCs/>
        </w:rPr>
        <w:t>。</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numPr>
          <w:ilvl w:val="0"/>
          <w:numId w:val="1"/>
        </w:numPr>
        <w:spacing w:line="280" w:lineRule="exact"/>
        <w:outlineLvl w:val="0"/>
        <w:rPr>
          <w:rFonts w:cs="方正仿宋简体" w:asciiTheme="minorEastAsia" w:hAnsiTheme="minorEastAsia"/>
          <w:b/>
          <w:iCs/>
          <w:sz w:val="24"/>
          <w:szCs w:val="24"/>
        </w:rPr>
      </w:pPr>
      <w:r>
        <w:rPr>
          <w:rFonts w:hint="eastAsia" w:cs="方正仿宋简体" w:asciiTheme="minorEastAsia" w:hAnsiTheme="minorEastAsia"/>
          <w:b/>
          <w:iCs/>
          <w:sz w:val="24"/>
          <w:szCs w:val="24"/>
        </w:rPr>
        <w:t>其他资料查询方式</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以下资料详见基金管理人网站[www.efunds.com.cn][客服电话:4008818088]</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1、基金合同、托管协议、招募说明书</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2、定期报告，包括基金季度报告、中期报告和年度报告</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3、基金份额净值</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4、基金销售机构及联系方式</w:t>
      </w:r>
    </w:p>
    <w:p>
      <w:pPr>
        <w:spacing w:line="280" w:lineRule="exact"/>
        <w:ind w:firstLine="420"/>
        <w:rPr>
          <w:rFonts w:cs="方正仿宋简体" w:asciiTheme="minorEastAsia" w:hAnsiTheme="minorEastAsia"/>
          <w:iCs/>
        </w:rPr>
      </w:pPr>
      <w:r>
        <w:rPr>
          <w:rFonts w:hint="eastAsia" w:cs="方正仿宋简体" w:asciiTheme="minorEastAsia" w:hAnsiTheme="minorEastAsia"/>
          <w:iCs/>
        </w:rPr>
        <w:t>5、其他重要资料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751033"/>
      <w:docPartObj>
        <w:docPartGallery w:val="AutoText"/>
      </w:docPartObj>
    </w:sdtPr>
    <w:sdtContent>
      <w:sdt>
        <w:sdtPr>
          <w:id w:val="98381352"/>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E6770"/>
    <w:multiLevelType w:val="multilevel"/>
    <w:tmpl w:val="478E6770"/>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C33CF0"/>
    <w:multiLevelType w:val="singleLevel"/>
    <w:tmpl w:val="5AC33CF0"/>
    <w:lvl w:ilvl="0" w:tentative="0">
      <w:start w:val="1"/>
      <w:numFmt w:val="chineseCounting"/>
      <w:suff w:val="nothing"/>
      <w:lvlText w:val="%1、"/>
      <w:lvlJc w:val="left"/>
      <w:rPr>
        <w:rFonts w:asciiTheme="minorEastAsia" w:hAnsiTheme="minorEastAsia" w:eastAsiaTheme="minorEastAsia"/>
      </w:rPr>
    </w:lvl>
  </w:abstractNum>
  <w:abstractNum w:abstractNumId="2">
    <w:nsid w:val="7D0D3582"/>
    <w:multiLevelType w:val="multilevel"/>
    <w:tmpl w:val="7D0D3582"/>
    <w:lvl w:ilvl="0" w:tentative="0">
      <w:start w:val="1"/>
      <w:numFmt w:val="chineseCountingThousand"/>
      <w:suff w:val="space"/>
      <w:lvlText w:val="(%1)"/>
      <w:lvlJc w:val="left"/>
      <w:pPr>
        <w:ind w:left="284" w:hanging="284"/>
      </w:pPr>
      <w:rPr>
        <w:rFonts w:hint="eastAsia" w:eastAsia="宋体" w:asciiTheme="minorEastAsia" w:hAnsiTheme="minorEastAsia"/>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639"/>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05686"/>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4C51"/>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3C04"/>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C749E"/>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4D3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 w:val="3D4D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unhideWhenUsed/>
    <w:qFormat/>
    <w:uiPriority w:val="0"/>
    <w:pPr>
      <w:snapToGrid w:val="0"/>
      <w:jc w:val="left"/>
    </w:pPr>
    <w:rPr>
      <w:rFonts w:ascii="Calibri" w:hAnsi="Calibri" w:eastAsia="宋体" w:cs="Times New Roman"/>
      <w:sz w:val="18"/>
      <w:szCs w:val="24"/>
    </w:rPr>
  </w:style>
  <w:style w:type="paragraph" w:styleId="8">
    <w:name w:val="annotation subject"/>
    <w:basedOn w:val="3"/>
    <w:next w:val="3"/>
    <w:link w:val="22"/>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styleId="13">
    <w:name w:val="footnote reference"/>
    <w:unhideWhenUsed/>
    <w:qFormat/>
    <w:uiPriority w:val="0"/>
    <w:rPr>
      <w:rFonts w:ascii="Times New Roman" w:hAnsi="Times New Roman" w:eastAsia="宋体" w:cs="Times New Roman"/>
      <w:vertAlign w:val="superscript"/>
    </w:rPr>
  </w:style>
  <w:style w:type="paragraph" w:styleId="14">
    <w:name w:val="List Paragraph"/>
    <w:basedOn w:val="1"/>
    <w:qFormat/>
    <w:uiPriority w:val="34"/>
    <w:pPr>
      <w:ind w:firstLine="420" w:firstLineChars="200"/>
    </w:p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styleId="18">
    <w:name w:val="Placeholder Text"/>
    <w:basedOn w:val="11"/>
    <w:semiHidden/>
    <w:qFormat/>
    <w:uiPriority w:val="99"/>
    <w:rPr>
      <w:color w:val="808080"/>
    </w:rPr>
  </w:style>
  <w:style w:type="character" w:customStyle="1" w:styleId="19">
    <w:name w:val="脚注文本 Char"/>
    <w:basedOn w:val="11"/>
    <w:link w:val="7"/>
    <w:qFormat/>
    <w:uiPriority w:val="0"/>
    <w:rPr>
      <w:rFonts w:ascii="Calibri" w:hAnsi="Calibri" w:eastAsia="宋体" w:cs="Times New Roman"/>
      <w:sz w:val="18"/>
      <w:szCs w:val="24"/>
    </w:rPr>
  </w:style>
  <w:style w:type="character" w:customStyle="1" w:styleId="20">
    <w:name w:val="标题 1 Char"/>
    <w:basedOn w:val="11"/>
    <w:link w:val="2"/>
    <w:qFormat/>
    <w:uiPriority w:val="9"/>
    <w:rPr>
      <w:b/>
      <w:bCs/>
      <w:kern w:val="44"/>
      <w:sz w:val="44"/>
      <w:szCs w:val="44"/>
    </w:rPr>
  </w:style>
  <w:style w:type="character" w:customStyle="1" w:styleId="21">
    <w:name w:val="批注文字 Char"/>
    <w:basedOn w:val="11"/>
    <w:link w:val="3"/>
    <w:semiHidden/>
    <w:qFormat/>
    <w:uiPriority w:val="99"/>
  </w:style>
  <w:style w:type="character" w:customStyle="1" w:styleId="22">
    <w:name w:val="批注主题 Char"/>
    <w:basedOn w:val="21"/>
    <w:link w:val="8"/>
    <w:semiHidden/>
    <w:qFormat/>
    <w:uiPriority w:val="99"/>
    <w:rPr>
      <w:b/>
      <w:bCs/>
    </w:rPr>
  </w:style>
  <w:style w:type="paragraph" w:customStyle="1" w:styleId="23">
    <w:name w:val="Revision"/>
    <w:hidden/>
    <w:semiHidden/>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EE98-15D7-4C7F-B895-F8A5CAA866BC}">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2026-03-30T02:45:53Z</dcterms:created>
  <dc:creator>xiah</dc:creator>
  <cp:lastModifiedBy>xiah</cp:lastModifiedBy>
  <dcterms:modified xsi:type="dcterms:W3CDTF">2026-03-30T03:10:25Z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FB5DDF6BA3A140E093514D181071EE3D</vt:lpwstr>
  </property>
</Properties>
</file>