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B6CFD">
      <w:pPr>
        <w:rPr>
          <w:rFonts w:ascii="宋体" w:hAnsi="宋体"/>
          <w:sz w:val="52"/>
          <w:szCs w:val="52"/>
        </w:rPr>
      </w:pPr>
    </w:p>
    <w:p w:rsidR="001B6CFD">
      <w:pPr>
        <w:tabs>
          <w:tab w:val="left" w:pos="3495"/>
        </w:tabs>
        <w:rPr>
          <w:rFonts w:ascii="宋体" w:hAnsi="宋体"/>
          <w:sz w:val="52"/>
          <w:szCs w:val="52"/>
        </w:rPr>
      </w:pPr>
    </w:p>
    <w:p w:rsidR="001B6CFD">
      <w:pPr>
        <w:tabs>
          <w:tab w:val="center" w:pos="4164"/>
          <w:tab w:val="left" w:pos="5455"/>
        </w:tabs>
        <w:ind w:right="-17"/>
        <w:jc w:val="center"/>
        <w:rPr>
          <w:rFonts w:ascii="宋体" w:hAnsi="宋体"/>
          <w:sz w:val="52"/>
          <w:szCs w:val="52"/>
        </w:rPr>
      </w:pPr>
    </w:p>
    <w:p w:rsidR="001B6CFD">
      <w:pPr>
        <w:tabs>
          <w:tab w:val="center" w:pos="4164"/>
          <w:tab w:val="left" w:pos="5455"/>
        </w:tabs>
        <w:ind w:right="-17"/>
        <w:jc w:val="center"/>
        <w:rPr>
          <w:rFonts w:ascii="宋体" w:hAnsi="宋体"/>
          <w:sz w:val="52"/>
          <w:szCs w:val="52"/>
        </w:rPr>
      </w:pPr>
    </w:p>
    <w:p w:rsidR="001B6CFD">
      <w:pPr>
        <w:jc w:val="center"/>
        <w:rPr>
          <w:rFonts w:ascii="宋体" w:hAnsi="宋体"/>
          <w:b/>
          <w:sz w:val="32"/>
          <w:szCs w:val="32"/>
        </w:rPr>
      </w:pPr>
    </w:p>
    <w:p w:rsidR="001B6CFD">
      <w:pPr>
        <w:jc w:val="center"/>
        <w:rPr>
          <w:rFonts w:ascii="宋体" w:hAnsi="宋体"/>
          <w:b/>
          <w:sz w:val="44"/>
          <w:szCs w:val="44"/>
          <w:lang w:eastAsia="zh-CN"/>
        </w:rPr>
      </w:pPr>
      <w:r>
        <w:rPr>
          <w:rFonts w:ascii="宋体" w:hAnsi="宋体" w:hint="eastAsia"/>
          <w:b/>
          <w:sz w:val="44"/>
          <w:szCs w:val="44"/>
          <w:lang w:eastAsia="zh-CN"/>
        </w:rPr>
        <w:t>易方达如意安瑞3个月持有期混合型基金中基金（FOF）</w:t>
      </w:r>
      <w:r>
        <w:rPr>
          <w:rFonts w:ascii="宋体" w:hAnsi="宋体" w:hint="eastAsia"/>
          <w:b/>
          <w:sz w:val="44"/>
          <w:szCs w:val="44"/>
          <w:highlight w:val="white"/>
          <w:lang w:eastAsia="zh-CN"/>
        </w:rPr>
        <w:t>托管协议</w:t>
      </w:r>
    </w:p>
    <w:p w:rsidR="001B6CFD">
      <w:pPr>
        <w:jc w:val="center"/>
        <w:rPr>
          <w:rFonts w:ascii="宋体" w:hAnsi="宋体"/>
          <w:b/>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jc w:val="center"/>
        <w:rPr>
          <w:rFonts w:ascii="宋体" w:hAnsi="宋体"/>
          <w:sz w:val="44"/>
          <w:szCs w:val="44"/>
          <w:lang w:eastAsia="zh-CN"/>
        </w:rPr>
      </w:pPr>
    </w:p>
    <w:p w:rsidR="001B6CFD">
      <w:pPr>
        <w:rPr>
          <w:rFonts w:ascii="宋体" w:hAnsi="宋体"/>
          <w:sz w:val="30"/>
          <w:lang w:eastAsia="zh-CN"/>
        </w:rPr>
      </w:pPr>
    </w:p>
    <w:p w:rsidR="001B6CFD">
      <w:pPr>
        <w:spacing w:line="360" w:lineRule="auto"/>
        <w:ind w:right="26" w:firstLine="1280"/>
        <w:outlineLvl w:val="0"/>
        <w:rPr>
          <w:rFonts w:ascii="宋体" w:hAnsi="宋体"/>
          <w:sz w:val="32"/>
          <w:szCs w:val="32"/>
          <w:lang w:eastAsia="zh-CN"/>
        </w:rPr>
      </w:pPr>
      <w:bookmarkStart w:id="0" w:name="_Toc382819065"/>
      <w:bookmarkStart w:id="1" w:name="_Toc382818591"/>
      <w:bookmarkStart w:id="2" w:name="_Toc69134051"/>
      <w:r>
        <w:rPr>
          <w:rFonts w:ascii="宋体" w:hAnsi="宋体" w:hint="eastAsia"/>
          <w:sz w:val="32"/>
          <w:szCs w:val="32"/>
          <w:highlight w:val="white"/>
          <w:lang w:eastAsia="zh-CN"/>
        </w:rPr>
        <w:t>基金管理人：</w:t>
      </w:r>
      <w:bookmarkEnd w:id="0"/>
      <w:bookmarkEnd w:id="1"/>
      <w:r>
        <w:rPr>
          <w:rFonts w:ascii="宋体" w:hAnsi="宋体" w:hint="eastAsia"/>
          <w:sz w:val="32"/>
          <w:szCs w:val="32"/>
          <w:highlight w:val="white"/>
          <w:lang w:eastAsia="zh-CN"/>
        </w:rPr>
        <w:t>易方达基金管理有限公司</w:t>
      </w:r>
      <w:bookmarkEnd w:id="2"/>
    </w:p>
    <w:p w:rsidR="001B6CFD">
      <w:pPr>
        <w:spacing w:line="360" w:lineRule="auto"/>
        <w:ind w:right="26" w:firstLine="1280"/>
        <w:outlineLvl w:val="0"/>
        <w:rPr>
          <w:rFonts w:ascii="宋体" w:hAnsi="宋体"/>
          <w:sz w:val="32"/>
          <w:szCs w:val="32"/>
          <w:lang w:eastAsia="zh-CN"/>
        </w:rPr>
      </w:pPr>
      <w:bookmarkStart w:id="3" w:name="_Toc69134052"/>
      <w:bookmarkStart w:id="4" w:name="_Toc382818592"/>
      <w:bookmarkStart w:id="5" w:name="_Toc382819066"/>
      <w:r>
        <w:rPr>
          <w:rFonts w:ascii="宋体" w:hAnsi="宋体" w:hint="eastAsia"/>
          <w:sz w:val="32"/>
          <w:szCs w:val="32"/>
          <w:highlight w:val="white"/>
          <w:lang w:eastAsia="zh-CN"/>
        </w:rPr>
        <w:t>基金托管人：上海浦东发展银行股份有限公司</w:t>
      </w:r>
      <w:bookmarkEnd w:id="3"/>
      <w:bookmarkEnd w:id="4"/>
      <w:bookmarkEnd w:id="5"/>
    </w:p>
    <w:p w:rsidR="001B6CFD">
      <w:pPr>
        <w:spacing w:line="500" w:lineRule="atLeast"/>
        <w:ind w:left="2698" w:hanging="2698"/>
        <w:jc w:val="center"/>
        <w:outlineLvl w:val="0"/>
        <w:rPr>
          <w:rFonts w:ascii="宋体" w:hAnsi="宋体"/>
          <w:b/>
          <w:sz w:val="30"/>
          <w:szCs w:val="30"/>
          <w:lang w:eastAsia="zh-CN"/>
        </w:rPr>
      </w:pPr>
    </w:p>
    <w:p w:rsidR="001B6CFD">
      <w:pPr>
        <w:jc w:val="center"/>
      </w:pPr>
      <w:r>
        <w:rPr>
          <w:rFonts w:ascii="宋体" w:hAnsi="宋体" w:cs="宋体"/>
          <w:color w:val="000000"/>
          <w:sz w:val="28"/>
          <w:highlight w:val="white"/>
        </w:rPr>
        <w:t>二〇二</w:t>
      </w:r>
      <w:r>
        <w:rPr>
          <w:rFonts w:ascii="宋体" w:hAnsi="宋体" w:cs="宋体" w:hint="eastAsia"/>
          <w:color w:val="000000"/>
          <w:sz w:val="28"/>
          <w:highlight w:val="white"/>
          <w:lang w:eastAsia="zh-CN"/>
        </w:rPr>
        <w:t>六</w:t>
      </w:r>
      <w:r>
        <w:rPr>
          <w:rFonts w:ascii="宋体" w:hAnsi="宋体" w:cs="宋体"/>
          <w:color w:val="000000"/>
          <w:sz w:val="28"/>
          <w:highlight w:val="white"/>
        </w:rPr>
        <w:t>年</w:t>
      </w:r>
      <w:r>
        <w:rPr>
          <w:rFonts w:ascii="宋体" w:hAnsi="宋体" w:cs="宋体"/>
          <w:color w:val="000000"/>
          <w:sz w:val="28"/>
          <w:highlight w:val="white"/>
        </w:rPr>
        <w:t>三</w:t>
      </w:r>
      <w:r>
        <w:rPr>
          <w:rFonts w:ascii="宋体" w:hAnsi="宋体" w:cs="宋体"/>
          <w:color w:val="000000"/>
          <w:sz w:val="28"/>
          <w:highlight w:val="white"/>
        </w:rPr>
        <w:t>月</w:t>
      </w:r>
    </w:p>
    <w:p w:rsidR="001B6CFD">
      <w:pPr>
        <w:jc w:val="center"/>
        <w:rPr>
          <w:rFonts w:ascii="宋体" w:hAnsi="宋体"/>
          <w:bCs/>
          <w:sz w:val="28"/>
        </w:rPr>
      </w:pPr>
    </w:p>
    <w:p w:rsidR="001B6CFD">
      <w:pPr>
        <w:spacing w:line="500" w:lineRule="atLeast"/>
        <w:jc w:val="center"/>
        <w:outlineLvl w:val="0"/>
        <w:rPr>
          <w:rFonts w:ascii="宋体" w:hAnsi="宋体"/>
          <w:b/>
          <w:sz w:val="36"/>
          <w:szCs w:val="28"/>
        </w:rPr>
      </w:pPr>
      <w:bookmarkStart w:id="6" w:name="_Toc69134053"/>
      <w:r>
        <w:rPr>
          <w:rFonts w:ascii="宋体" w:hAnsi="宋体" w:hint="eastAsia"/>
          <w:b/>
          <w:sz w:val="32"/>
          <w:szCs w:val="28"/>
          <w:highlight w:val="white"/>
        </w:rPr>
        <w:t>目 录</w:t>
      </w:r>
      <w:bookmarkEnd w:id="6"/>
    </w:p>
    <w:p w:rsidR="001B6CFD">
      <w:pPr>
        <w:pStyle w:val="TOC1"/>
        <w:tabs>
          <w:tab w:val="right" w:leader="dot" w:pos="8296"/>
        </w:tabs>
        <w:spacing w:line="360" w:lineRule="auto"/>
        <w:rPr>
          <w:rFonts w:ascii="宋体" w:hAnsi="宋体"/>
          <w:noProof/>
        </w:rPr>
      </w:pPr>
      <w:r>
        <w:rPr>
          <w:rFonts w:ascii="宋体" w:hAnsi="宋体" w:hint="eastAsia"/>
          <w:sz w:val="20"/>
          <w:szCs w:val="21"/>
        </w:rPr>
        <w:fldChar w:fldCharType="begin"/>
      </w:r>
      <w:r>
        <w:rPr>
          <w:rFonts w:ascii="宋体" w:hAnsi="宋体" w:hint="eastAsia"/>
          <w:sz w:val="20"/>
          <w:szCs w:val="21"/>
          <w:highlight w:val="white"/>
        </w:rPr>
        <w:instrText xml:space="preserve"> TOC \o "1-3" \h \z \u </w:instrText>
      </w:r>
      <w:r>
        <w:rPr>
          <w:rFonts w:ascii="宋体" w:hAnsi="宋体" w:hint="eastAsia"/>
          <w:sz w:val="20"/>
          <w:szCs w:val="21"/>
        </w:rPr>
        <w:fldChar w:fldCharType="separate"/>
      </w:r>
    </w:p>
    <w:p w:rsidR="001B6CFD">
      <w:pPr>
        <w:pStyle w:val="TOC1"/>
        <w:tabs>
          <w:tab w:val="right" w:leader="dot" w:pos="8296"/>
        </w:tabs>
        <w:spacing w:line="360" w:lineRule="auto"/>
        <w:rPr>
          <w:rFonts w:ascii="宋体" w:hAnsi="宋体" w:cs="Calibri"/>
          <w:noProof/>
          <w:sz w:val="22"/>
          <w:szCs w:val="22"/>
        </w:rPr>
      </w:pPr>
      <w:hyperlink w:anchor="_Toc69134058" w:tooltip="Current Document" w:history="1">
        <w:r w:rsidR="006540C0">
          <w:rPr>
            <w:rStyle w:val="Hyperlink"/>
            <w:rFonts w:ascii="宋体" w:hAnsi="宋体" w:cs="Arial" w:hint="eastAsia"/>
            <w:noProof/>
            <w:highlight w:val="white"/>
          </w:rPr>
          <w:t>一、 基金托管协议的依据、目的、原则和解释</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_Toc69134058 \h </w:instrText>
        </w:r>
        <w:r w:rsidR="006540C0">
          <w:rPr>
            <w:rFonts w:ascii="宋体" w:hAnsi="宋体"/>
            <w:noProof/>
          </w:rPr>
          <w:fldChar w:fldCharType="separate"/>
        </w:r>
        <w:r w:rsidR="006540C0">
          <w:rPr>
            <w:rFonts w:ascii="宋体" w:hAnsi="宋体"/>
            <w:noProof/>
            <w:highlight w:val="white"/>
          </w:rPr>
          <w:t>2</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59" w:tooltip="Current Document" w:history="1">
        <w:r w:rsidR="006540C0">
          <w:rPr>
            <w:rStyle w:val="Hyperlink"/>
            <w:rFonts w:ascii="宋体" w:hAnsi="宋体" w:cs="Arial" w:hint="eastAsia"/>
            <w:noProof/>
            <w:highlight w:val="white"/>
          </w:rPr>
          <w:t>二、 基金托管人对基金管理人的业务监督和核查</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_Toc69134059 \h </w:instrText>
        </w:r>
        <w:r w:rsidR="006540C0">
          <w:rPr>
            <w:rFonts w:ascii="宋体" w:hAnsi="宋体"/>
            <w:noProof/>
          </w:rPr>
          <w:fldChar w:fldCharType="separate"/>
        </w:r>
        <w:r w:rsidR="006540C0">
          <w:rPr>
            <w:rFonts w:ascii="宋体" w:hAnsi="宋体"/>
            <w:noProof/>
            <w:highlight w:val="white"/>
          </w:rPr>
          <w:t>2</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60" w:tooltip="Current Document" w:history="1">
        <w:r w:rsidR="006540C0">
          <w:rPr>
            <w:rStyle w:val="Hyperlink"/>
            <w:rFonts w:ascii="宋体" w:hAnsi="宋体" w:cs="Arial" w:hint="eastAsia"/>
            <w:noProof/>
            <w:highlight w:val="white"/>
          </w:rPr>
          <w:t>三、 基金管理人对基金托管人的业务核查</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_Toc69134060 \h </w:instrText>
        </w:r>
        <w:r w:rsidR="006540C0">
          <w:rPr>
            <w:rFonts w:ascii="宋体" w:hAnsi="宋体"/>
            <w:noProof/>
          </w:rPr>
          <w:fldChar w:fldCharType="separate"/>
        </w:r>
        <w:r w:rsidR="006540C0">
          <w:rPr>
            <w:rFonts w:ascii="宋体" w:hAnsi="宋体"/>
            <w:noProof/>
            <w:highlight w:val="white"/>
          </w:rPr>
          <w:t>9</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61" w:tooltip="Current Document" w:history="1">
        <w:r w:rsidR="006540C0">
          <w:rPr>
            <w:rStyle w:val="Hyperlink"/>
            <w:rFonts w:ascii="宋体" w:hAnsi="宋体" w:cs="Arial" w:hint="eastAsia"/>
            <w:noProof/>
            <w:highlight w:val="white"/>
          </w:rPr>
          <w:t>四、 基金财产保管</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_Toc69134061 \h </w:instrText>
        </w:r>
        <w:r w:rsidR="006540C0">
          <w:rPr>
            <w:rFonts w:ascii="宋体" w:hAnsi="宋体"/>
            <w:noProof/>
          </w:rPr>
          <w:fldChar w:fldCharType="separate"/>
        </w:r>
        <w:r w:rsidR="006540C0">
          <w:rPr>
            <w:rFonts w:ascii="宋体" w:hAnsi="宋体"/>
            <w:noProof/>
            <w:highlight w:val="white"/>
          </w:rPr>
          <w:t>9</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72" w:tooltip="Current Document" w:history="1">
        <w:r w:rsidR="006540C0">
          <w:rPr>
            <w:rStyle w:val="Hyperlink"/>
            <w:rFonts w:ascii="宋体" w:hAnsi="宋体" w:cs="Arial" w:hint="eastAsia"/>
            <w:noProof/>
            <w:highlight w:val="white"/>
          </w:rPr>
          <w:t>五、 指令的发送、确认和执行</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_Toc69134072 \h </w:instrText>
        </w:r>
        <w:r w:rsidR="006540C0">
          <w:rPr>
            <w:rFonts w:ascii="宋体" w:hAnsi="宋体"/>
            <w:noProof/>
          </w:rPr>
          <w:fldChar w:fldCharType="separate"/>
        </w:r>
        <w:r w:rsidR="006540C0">
          <w:rPr>
            <w:rFonts w:ascii="宋体" w:hAnsi="宋体"/>
            <w:noProof/>
            <w:highlight w:val="white"/>
          </w:rPr>
          <w:t>12</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79" w:tooltip="Current Document" w:history="1">
        <w:r w:rsidR="006540C0">
          <w:rPr>
            <w:rStyle w:val="Hyperlink"/>
            <w:rFonts w:ascii="宋体" w:hAnsi="宋体" w:hint="eastAsia"/>
            <w:noProof/>
            <w:highlight w:val="white"/>
          </w:rPr>
          <w:t>六、 交易及清算交收安排</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_Toc69134079 \h </w:instrText>
        </w:r>
        <w:r w:rsidR="006540C0">
          <w:rPr>
            <w:rFonts w:ascii="宋体" w:hAnsi="宋体"/>
            <w:noProof/>
          </w:rPr>
          <w:fldChar w:fldCharType="separate"/>
        </w:r>
        <w:r w:rsidR="006540C0">
          <w:rPr>
            <w:rFonts w:ascii="宋体" w:hAnsi="宋体"/>
            <w:noProof/>
            <w:highlight w:val="white"/>
          </w:rPr>
          <w:t>15</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83" w:tooltip="Current Document" w:history="1">
        <w:r>
          <w:rPr>
            <w:rStyle w:val="Hyperlink"/>
            <w:rFonts w:ascii="宋体" w:hAnsi="宋体" w:cs="Arial" w:hint="eastAsia"/>
            <w:noProof/>
            <w:highlight w:val="white"/>
          </w:rPr>
          <w:t>七、 基金资产净值计算和会计核算</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_Toc69134083 \h </w:instrText>
        </w:r>
        <w:r>
          <w:rPr>
            <w:rFonts w:ascii="宋体" w:hAnsi="宋体"/>
            <w:noProof/>
          </w:rPr>
          <w:fldChar w:fldCharType="separate"/>
        </w:r>
        <w:r>
          <w:rPr>
            <w:rFonts w:ascii="宋体" w:hAnsi="宋体"/>
            <w:noProof/>
            <w:highlight w:val="white"/>
          </w:rPr>
          <w:t>20</w:t>
        </w:r>
        <w:r>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91" w:tooltip="Current Document" w:history="1">
        <w:r w:rsidR="006540C0">
          <w:rPr>
            <w:rStyle w:val="Hyperlink"/>
            <w:rFonts w:ascii="宋体" w:hAnsi="宋体" w:cs="Arial" w:hint="eastAsia"/>
            <w:noProof/>
            <w:highlight w:val="white"/>
          </w:rPr>
          <w:t>八、 基金收益分配</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_Toc69134091 \h </w:instrText>
        </w:r>
        <w:r w:rsidR="006540C0">
          <w:rPr>
            <w:rFonts w:ascii="宋体" w:hAnsi="宋体"/>
            <w:noProof/>
          </w:rPr>
          <w:fldChar w:fldCharType="separate"/>
        </w:r>
        <w:r w:rsidR="006540C0">
          <w:rPr>
            <w:rFonts w:ascii="宋体" w:hAnsi="宋体"/>
            <w:noProof/>
            <w:highlight w:val="white"/>
          </w:rPr>
          <w:t>24</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94" w:tooltip="Current Document" w:history="1">
        <w:r>
          <w:rPr>
            <w:rStyle w:val="Hyperlink"/>
            <w:rFonts w:ascii="宋体" w:hAnsi="宋体" w:cs="Arial" w:hint="eastAsia"/>
            <w:noProof/>
            <w:highlight w:val="white"/>
          </w:rPr>
          <w:t>九、 信息披露</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_Toc69134094 \h </w:instrText>
        </w:r>
        <w:r>
          <w:rPr>
            <w:rFonts w:ascii="宋体" w:hAnsi="宋体"/>
            <w:noProof/>
          </w:rPr>
          <w:fldChar w:fldCharType="separate"/>
        </w:r>
        <w:r>
          <w:rPr>
            <w:rFonts w:ascii="宋体" w:hAnsi="宋体"/>
            <w:noProof/>
            <w:highlight w:val="white"/>
          </w:rPr>
          <w:t>24</w:t>
        </w:r>
        <w:r>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099" w:tooltip="Current Document" w:history="1">
        <w:r>
          <w:rPr>
            <w:rStyle w:val="Hyperlink"/>
            <w:rFonts w:ascii="宋体" w:hAnsi="宋体" w:cs="Arial" w:hint="eastAsia"/>
            <w:noProof/>
            <w:highlight w:val="white"/>
          </w:rPr>
          <w:t>十、 基金费用</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_Toc69134099 \h </w:instrText>
        </w:r>
        <w:r>
          <w:rPr>
            <w:rFonts w:ascii="宋体" w:hAnsi="宋体"/>
            <w:noProof/>
          </w:rPr>
          <w:fldChar w:fldCharType="separate"/>
        </w:r>
        <w:r>
          <w:rPr>
            <w:rFonts w:ascii="宋体" w:hAnsi="宋体"/>
            <w:noProof/>
            <w:highlight w:val="white"/>
          </w:rPr>
          <w:t>26</w:t>
        </w:r>
        <w:r>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0" w:tooltip="Current Document" w:history="1">
        <w:r w:rsidR="006540C0">
          <w:rPr>
            <w:rStyle w:val="Hyperlink"/>
            <w:rFonts w:ascii="宋体" w:hAnsi="宋体" w:cs="Arial" w:hint="eastAsia"/>
            <w:noProof/>
            <w:highlight w:val="white"/>
          </w:rPr>
          <w:t>十一、 基金份额持有人名册的保管</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_Toc69134100 \h </w:instrText>
        </w:r>
        <w:r w:rsidR="006540C0">
          <w:rPr>
            <w:rFonts w:ascii="宋体" w:hAnsi="宋体"/>
            <w:noProof/>
          </w:rPr>
          <w:fldChar w:fldCharType="separate"/>
        </w:r>
        <w:r w:rsidR="006540C0">
          <w:rPr>
            <w:rFonts w:ascii="宋体" w:hAnsi="宋体"/>
            <w:noProof/>
            <w:highlight w:val="white"/>
          </w:rPr>
          <w:t>27</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1" w:tooltip="Current Document" w:history="1">
        <w:r>
          <w:rPr>
            <w:rStyle w:val="Hyperlink"/>
            <w:rFonts w:ascii="宋体" w:hAnsi="宋体" w:cs="Arial" w:hint="eastAsia"/>
            <w:noProof/>
            <w:highlight w:val="white"/>
          </w:rPr>
          <w:t>十二、 基金有关文件和档案的保存</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_Toc69134101 \h </w:instrText>
        </w:r>
        <w:r>
          <w:rPr>
            <w:rFonts w:ascii="宋体" w:hAnsi="宋体"/>
            <w:noProof/>
          </w:rPr>
          <w:fldChar w:fldCharType="separate"/>
        </w:r>
        <w:r>
          <w:rPr>
            <w:rFonts w:ascii="宋体" w:hAnsi="宋体"/>
            <w:noProof/>
            <w:highlight w:val="white"/>
          </w:rPr>
          <w:t>27</w:t>
        </w:r>
        <w:r>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2" w:tooltip="Current Document" w:history="1">
        <w:r w:rsidR="006540C0">
          <w:rPr>
            <w:rStyle w:val="Hyperlink"/>
            <w:rFonts w:ascii="宋体" w:hAnsi="宋体" w:cs="Arial" w:hint="eastAsia"/>
            <w:noProof/>
            <w:highlight w:val="white"/>
          </w:rPr>
          <w:t>十三、 基金管理人和基金托管人的更换</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_Toc69134102 \h </w:instrText>
        </w:r>
        <w:r w:rsidR="006540C0">
          <w:rPr>
            <w:rFonts w:ascii="宋体" w:hAnsi="宋体"/>
            <w:noProof/>
          </w:rPr>
          <w:fldChar w:fldCharType="separate"/>
        </w:r>
        <w:r w:rsidR="006540C0">
          <w:rPr>
            <w:rFonts w:ascii="宋体" w:hAnsi="宋体"/>
            <w:noProof/>
            <w:highlight w:val="white"/>
          </w:rPr>
          <w:t>28</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5" w:tooltip="Current Document" w:history="1">
        <w:r w:rsidR="006540C0">
          <w:rPr>
            <w:rStyle w:val="Hyperlink"/>
            <w:rFonts w:ascii="宋体" w:hAnsi="宋体" w:cs="Arial" w:hint="eastAsia"/>
            <w:noProof/>
            <w:highlight w:val="white"/>
          </w:rPr>
          <w:t>十四、 禁止行为</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_Toc69134105 \h </w:instrText>
        </w:r>
        <w:r w:rsidR="006540C0">
          <w:rPr>
            <w:rFonts w:ascii="宋体" w:hAnsi="宋体"/>
            <w:noProof/>
          </w:rPr>
          <w:fldChar w:fldCharType="separate"/>
        </w:r>
        <w:r w:rsidR="006540C0">
          <w:rPr>
            <w:rFonts w:ascii="宋体" w:hAnsi="宋体"/>
            <w:noProof/>
            <w:highlight w:val="white"/>
          </w:rPr>
          <w:t>30</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6" w:tooltip="Current Document" w:history="1">
        <w:r w:rsidR="006540C0">
          <w:rPr>
            <w:rStyle w:val="Hyperlink"/>
            <w:rFonts w:ascii="宋体" w:hAnsi="宋体" w:cs="Arial" w:hint="eastAsia"/>
            <w:noProof/>
            <w:highlight w:val="white"/>
          </w:rPr>
          <w:t>十五、 基金托管协议的变更、终止与基金财产的清算</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_Toc69134106 \h </w:instrText>
        </w:r>
        <w:r w:rsidR="006540C0">
          <w:rPr>
            <w:rFonts w:ascii="宋体" w:hAnsi="宋体"/>
            <w:noProof/>
          </w:rPr>
          <w:fldChar w:fldCharType="separate"/>
        </w:r>
        <w:r w:rsidR="006540C0">
          <w:rPr>
            <w:rFonts w:ascii="宋体" w:hAnsi="宋体"/>
            <w:noProof/>
            <w:highlight w:val="white"/>
          </w:rPr>
          <w:t>31</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7" w:tooltip="Current Document" w:history="1">
        <w:r w:rsidR="006540C0">
          <w:rPr>
            <w:rStyle w:val="Hyperlink"/>
            <w:rFonts w:ascii="宋体" w:hAnsi="宋体" w:cs="Arial" w:hint="eastAsia"/>
            <w:noProof/>
            <w:highlight w:val="white"/>
          </w:rPr>
          <w:t>十六、 违约责任</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_Toc69134107 \h </w:instrText>
        </w:r>
        <w:r w:rsidR="006540C0">
          <w:rPr>
            <w:rFonts w:ascii="宋体" w:hAnsi="宋体"/>
            <w:noProof/>
          </w:rPr>
          <w:fldChar w:fldCharType="separate"/>
        </w:r>
        <w:r w:rsidR="006540C0">
          <w:rPr>
            <w:rFonts w:ascii="宋体" w:hAnsi="宋体"/>
            <w:noProof/>
            <w:highlight w:val="white"/>
          </w:rPr>
          <w:t>33</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8" w:tooltip="Current Document" w:history="1">
        <w:r>
          <w:rPr>
            <w:rStyle w:val="Hyperlink"/>
            <w:rFonts w:ascii="宋体" w:hAnsi="宋体" w:hint="eastAsia"/>
            <w:noProof/>
            <w:highlight w:val="white"/>
          </w:rPr>
          <w:t>十七、</w:t>
        </w:r>
        <w:r>
          <w:rPr>
            <w:rStyle w:val="Hyperlink"/>
            <w:rFonts w:ascii="宋体" w:hAnsi="宋体" w:cs="Arial" w:hint="eastAsia"/>
            <w:noProof/>
            <w:highlight w:val="white"/>
          </w:rPr>
          <w:t xml:space="preserve"> 适用法律及争议解决方式</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_Toc69134108 \h </w:instrText>
        </w:r>
        <w:r>
          <w:rPr>
            <w:rFonts w:ascii="宋体" w:hAnsi="宋体"/>
            <w:noProof/>
          </w:rPr>
          <w:fldChar w:fldCharType="separate"/>
        </w:r>
        <w:r>
          <w:rPr>
            <w:rFonts w:ascii="宋体" w:hAnsi="宋体"/>
            <w:noProof/>
            <w:highlight w:val="white"/>
          </w:rPr>
          <w:t>33</w:t>
        </w:r>
        <w:r>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09" w:tooltip="Current Document" w:history="1">
        <w:r w:rsidR="006540C0">
          <w:rPr>
            <w:rStyle w:val="Hyperlink"/>
            <w:rFonts w:ascii="宋体" w:hAnsi="宋体" w:cs="Arial" w:hint="eastAsia"/>
            <w:noProof/>
            <w:highlight w:val="white"/>
          </w:rPr>
          <w:t>十八、 基金托管协议的效力和文本</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_Toc69134109 \h </w:instrText>
        </w:r>
        <w:r w:rsidR="006540C0">
          <w:rPr>
            <w:rFonts w:ascii="宋体" w:hAnsi="宋体"/>
            <w:noProof/>
          </w:rPr>
          <w:fldChar w:fldCharType="separate"/>
        </w:r>
        <w:r w:rsidR="006540C0">
          <w:rPr>
            <w:rFonts w:ascii="宋体" w:hAnsi="宋体"/>
            <w:noProof/>
            <w:highlight w:val="white"/>
          </w:rPr>
          <w:t>34</w:t>
        </w:r>
        <w:r w:rsidR="006540C0">
          <w:rPr>
            <w:rFonts w:ascii="宋体" w:hAnsi="宋体"/>
            <w:noProof/>
          </w:rPr>
          <w:fldChar w:fldCharType="end"/>
        </w:r>
      </w:hyperlink>
    </w:p>
    <w:p w:rsidR="001B6CFD">
      <w:pPr>
        <w:pStyle w:val="TOC1"/>
        <w:tabs>
          <w:tab w:val="right" w:leader="dot" w:pos="8296"/>
        </w:tabs>
        <w:spacing w:line="360" w:lineRule="auto"/>
        <w:rPr>
          <w:rFonts w:ascii="宋体" w:hAnsi="宋体" w:cs="Calibri"/>
          <w:noProof/>
          <w:sz w:val="22"/>
          <w:szCs w:val="22"/>
        </w:rPr>
      </w:pPr>
      <w:hyperlink w:anchor="_Toc69134110" w:tooltip="Current Document" w:history="1">
        <w:r w:rsidR="006540C0">
          <w:rPr>
            <w:rStyle w:val="Hyperlink"/>
            <w:rFonts w:ascii="宋体" w:hAnsi="宋体" w:cs="Arial" w:hint="eastAsia"/>
            <w:noProof/>
            <w:highlight w:val="white"/>
          </w:rPr>
          <w:t>十九、 其他事项</w:t>
        </w:r>
        <w:r w:rsidR="006540C0">
          <w:rPr>
            <w:rFonts w:ascii="宋体" w:hAnsi="宋体"/>
            <w:noProof/>
            <w:highlight w:val="white"/>
          </w:rPr>
          <w:tab/>
        </w:r>
        <w:r w:rsidR="006540C0">
          <w:rPr>
            <w:rFonts w:ascii="宋体" w:hAnsi="宋体"/>
            <w:noProof/>
          </w:rPr>
          <w:fldChar w:fldCharType="begin"/>
        </w:r>
        <w:r w:rsidR="006540C0">
          <w:rPr>
            <w:rFonts w:ascii="宋体" w:hAnsi="宋体"/>
            <w:noProof/>
            <w:highlight w:val="white"/>
          </w:rPr>
          <w:instrText xml:space="preserve"> PAGEREF _Toc69134110 \h </w:instrText>
        </w:r>
        <w:r w:rsidR="006540C0">
          <w:rPr>
            <w:rFonts w:ascii="宋体" w:hAnsi="宋体"/>
            <w:noProof/>
          </w:rPr>
          <w:fldChar w:fldCharType="separate"/>
        </w:r>
        <w:r w:rsidR="006540C0">
          <w:rPr>
            <w:rFonts w:ascii="宋体" w:hAnsi="宋体"/>
            <w:noProof/>
            <w:highlight w:val="white"/>
          </w:rPr>
          <w:t>34</w:t>
        </w:r>
        <w:r w:rsidR="006540C0">
          <w:rPr>
            <w:rFonts w:ascii="宋体" w:hAnsi="宋体"/>
            <w:noProof/>
          </w:rPr>
          <w:fldChar w:fldCharType="end"/>
        </w:r>
      </w:hyperlink>
    </w:p>
    <w:p w:rsidR="001B6CFD">
      <w:pPr>
        <w:spacing w:line="360" w:lineRule="auto"/>
        <w:rPr>
          <w:rFonts w:ascii="宋体" w:hAnsi="宋体"/>
          <w:sz w:val="24"/>
        </w:rPr>
      </w:pPr>
      <w:r>
        <w:rPr>
          <w:rFonts w:ascii="宋体" w:hAnsi="宋体" w:hint="eastAsia"/>
          <w:sz w:val="20"/>
          <w:szCs w:val="21"/>
        </w:rPr>
        <w:fldChar w:fldCharType="end"/>
      </w:r>
    </w:p>
    <w:p w:rsidR="001B6CFD">
      <w:pPr>
        <w:widowControl/>
        <w:jc w:val="left"/>
        <w:rPr>
          <w:rFonts w:ascii="宋体" w:hAnsi="宋体"/>
          <w:sz w:val="24"/>
        </w:rPr>
        <w:sectPr>
          <w:footerReference w:type="default" r:id="rId5"/>
          <w:pgSz w:w="11906" w:h="16838"/>
          <w:pgMar w:top="1440" w:right="1800" w:bottom="1440" w:left="1800" w:header="851" w:footer="992" w:gutter="0"/>
          <w:pgNumType w:start="1"/>
          <w:cols w:space="720"/>
          <w:docGrid w:type="lines" w:linePitch="312"/>
        </w:sectPr>
      </w:pPr>
    </w:p>
    <w:p w:rsidR="001B6CFD">
      <w:pPr>
        <w:pStyle w:val="11"/>
        <w:keepNext w:val="0"/>
        <w:keepLines w:val="0"/>
        <w:numPr>
          <w:ilvl w:val="0"/>
          <w:numId w:val="0"/>
        </w:numPr>
        <w:tabs>
          <w:tab w:val="left" w:pos="420"/>
        </w:tabs>
        <w:spacing w:before="360" w:after="360"/>
        <w:rPr>
          <w:rFonts w:ascii="宋体" w:eastAsia="宋体" w:hAnsi="宋体"/>
          <w:b w:val="0"/>
          <w:szCs w:val="32"/>
          <w:lang w:val="en-US" w:eastAsia="zh-CN"/>
        </w:rPr>
      </w:pPr>
      <w:bookmarkStart w:id="7" w:name="_Toc69134054"/>
      <w:bookmarkStart w:id="8" w:name="_Toc382818594"/>
      <w:bookmarkStart w:id="9" w:name="_Toc382819068"/>
      <w:r>
        <w:rPr>
          <w:rFonts w:ascii="宋体" w:eastAsia="宋体" w:hAnsi="宋体" w:hint="eastAsia"/>
          <w:b w:val="0"/>
          <w:szCs w:val="32"/>
          <w:lang w:val="en-US" w:eastAsia="zh-CN"/>
        </w:rPr>
        <w:t>易方达如意安瑞3个月持有期混合型基金中基金（FOF）</w:t>
      </w:r>
      <w:bookmarkEnd w:id="7"/>
    </w:p>
    <w:p w:rsidR="001B6CFD">
      <w:pPr>
        <w:pStyle w:val="11"/>
        <w:keepNext w:val="0"/>
        <w:keepLines w:val="0"/>
        <w:numPr>
          <w:ilvl w:val="0"/>
          <w:numId w:val="0"/>
        </w:numPr>
        <w:tabs>
          <w:tab w:val="left" w:pos="420"/>
        </w:tabs>
        <w:spacing w:before="360" w:after="360"/>
        <w:rPr>
          <w:rFonts w:ascii="宋体" w:eastAsia="宋体" w:hAnsi="宋体"/>
          <w:b w:val="0"/>
          <w:szCs w:val="32"/>
          <w:lang w:eastAsia="zh-CN"/>
        </w:rPr>
      </w:pPr>
      <w:bookmarkStart w:id="10" w:name="_Toc69134055"/>
      <w:r>
        <w:rPr>
          <w:rFonts w:ascii="宋体" w:eastAsia="宋体" w:hAnsi="宋体" w:hint="eastAsia"/>
          <w:b w:val="0"/>
          <w:szCs w:val="32"/>
          <w:highlight w:val="white"/>
          <w:lang w:eastAsia="zh-CN"/>
        </w:rPr>
        <w:t>托管协议</w:t>
      </w:r>
      <w:bookmarkEnd w:id="8"/>
      <w:bookmarkEnd w:id="9"/>
      <w:bookmarkEnd w:id="10"/>
    </w:p>
    <w:p w:rsidR="001B6CFD">
      <w:pPr>
        <w:rPr>
          <w:rFonts w:ascii="宋体" w:hAnsi="宋体"/>
          <w:lang w:val="zh-CN" w:eastAsia="zh-CN"/>
        </w:rPr>
      </w:pPr>
    </w:p>
    <w:p w:rsidR="001B6CFD">
      <w:pPr>
        <w:pStyle w:val="21"/>
        <w:keepNext w:val="0"/>
        <w:keepLines w:val="0"/>
        <w:spacing w:before="0" w:after="0" w:line="360" w:lineRule="auto"/>
        <w:ind w:firstLine="433"/>
        <w:rPr>
          <w:rFonts w:ascii="宋体" w:eastAsia="宋体" w:hAnsi="宋体"/>
          <w:sz w:val="21"/>
          <w:szCs w:val="21"/>
          <w:lang w:eastAsia="zh-CN"/>
        </w:rPr>
      </w:pPr>
      <w:bookmarkStart w:id="11" w:name="_Toc382819069"/>
      <w:bookmarkStart w:id="12" w:name="_Toc69134056"/>
      <w:r>
        <w:rPr>
          <w:rFonts w:ascii="宋体" w:eastAsia="宋体" w:hAnsi="宋体" w:hint="eastAsia"/>
          <w:sz w:val="21"/>
          <w:szCs w:val="21"/>
          <w:highlight w:val="white"/>
          <w:lang w:eastAsia="zh-CN"/>
        </w:rPr>
        <w:t>基金管理人：</w:t>
      </w:r>
      <w:bookmarkEnd w:id="11"/>
      <w:r>
        <w:rPr>
          <w:rFonts w:ascii="宋体" w:eastAsia="宋体" w:hAnsi="宋体" w:cs="Arial" w:hint="eastAsia"/>
          <w:sz w:val="21"/>
          <w:szCs w:val="21"/>
          <w:highlight w:val="white"/>
          <w:lang w:eastAsia="zh-CN"/>
        </w:rPr>
        <w:t>易方达基金管理有限公司</w:t>
      </w:r>
      <w:bookmarkEnd w:id="12"/>
      <w:r>
        <w:rPr>
          <w:rFonts w:ascii="宋体" w:eastAsia="宋体" w:hAnsi="宋体"/>
          <w:sz w:val="21"/>
          <w:szCs w:val="21"/>
          <w:highlight w:val="white"/>
          <w:lang w:eastAsia="zh-CN"/>
        </w:rPr>
        <w:t xml:space="preserve"> </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住所：广东省珠海市横琴新区荣粤道188号6层</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 xml:space="preserve">法定代表人：吴欣荣 </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设立日期：2001年4月17日</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批准设立机关及批准设立文号：中国证券监督管理委员会，证监基金字[2001]4号</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组织形式：有限责任公司</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注册资本：13,244.2万元人民币</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存续期限：持续经营</w:t>
      </w:r>
    </w:p>
    <w:p w:rsidR="001B6CFD">
      <w:pPr>
        <w:spacing w:line="360" w:lineRule="auto"/>
        <w:ind w:firstLine="480"/>
        <w:rPr>
          <w:rFonts w:ascii="宋体" w:hAnsi="宋体"/>
          <w:bCs/>
          <w:szCs w:val="21"/>
          <w:lang w:eastAsia="zh-CN"/>
        </w:rPr>
      </w:pPr>
      <w:r>
        <w:rPr>
          <w:rFonts w:ascii="宋体" w:hAnsi="宋体" w:hint="eastAsia"/>
          <w:szCs w:val="21"/>
          <w:highlight w:val="white"/>
          <w:lang w:eastAsia="zh-CN"/>
        </w:rPr>
        <w:t>联系电话：4008818088</w:t>
      </w:r>
    </w:p>
    <w:p w:rsidR="001B6CFD">
      <w:pPr>
        <w:spacing w:line="360" w:lineRule="auto"/>
        <w:ind w:firstLine="630"/>
        <w:rPr>
          <w:rFonts w:ascii="宋体" w:hAnsi="宋体"/>
          <w:szCs w:val="21"/>
          <w:lang w:eastAsia="zh-CN"/>
        </w:rPr>
      </w:pPr>
    </w:p>
    <w:p w:rsidR="001B6CFD">
      <w:pPr>
        <w:spacing w:line="360" w:lineRule="auto"/>
        <w:ind w:firstLine="442"/>
        <w:rPr>
          <w:rFonts w:ascii="宋体" w:hAnsi="宋体"/>
          <w:b/>
          <w:szCs w:val="21"/>
          <w:lang w:eastAsia="zh-CN"/>
        </w:rPr>
      </w:pPr>
    </w:p>
    <w:p w:rsidR="001B6CFD">
      <w:pPr>
        <w:pStyle w:val="21"/>
        <w:keepNext w:val="0"/>
        <w:keepLines w:val="0"/>
        <w:spacing w:before="0" w:after="0" w:line="360" w:lineRule="auto"/>
        <w:ind w:firstLine="433"/>
        <w:rPr>
          <w:rFonts w:ascii="宋体" w:eastAsia="宋体" w:hAnsi="宋体"/>
          <w:sz w:val="21"/>
          <w:szCs w:val="21"/>
          <w:lang w:eastAsia="zh-CN"/>
        </w:rPr>
      </w:pPr>
      <w:bookmarkStart w:id="13" w:name="_Toc69134057"/>
      <w:bookmarkStart w:id="14" w:name="_Toc382819070"/>
      <w:r>
        <w:rPr>
          <w:rFonts w:ascii="宋体" w:eastAsia="宋体" w:hAnsi="宋体" w:hint="eastAsia"/>
          <w:sz w:val="21"/>
          <w:szCs w:val="21"/>
          <w:highlight w:val="white"/>
          <w:lang w:eastAsia="zh-CN"/>
        </w:rPr>
        <w:t>基金托管人：上海浦东发展银行股份有限公司</w:t>
      </w:r>
      <w:bookmarkEnd w:id="13"/>
      <w:bookmarkEnd w:id="14"/>
    </w:p>
    <w:p w:rsidR="001B6CFD">
      <w:pPr>
        <w:spacing w:line="360" w:lineRule="auto"/>
        <w:ind w:firstLine="440"/>
        <w:rPr>
          <w:rFonts w:ascii="宋体" w:hAnsi="宋体"/>
          <w:szCs w:val="21"/>
          <w:lang w:eastAsia="zh-CN"/>
        </w:rPr>
      </w:pPr>
      <w:r>
        <w:rPr>
          <w:rFonts w:ascii="宋体" w:hAnsi="宋体" w:cs="宋体"/>
          <w:color w:val="000000"/>
          <w:highlight w:val="white"/>
          <w:lang w:eastAsia="zh-CN"/>
        </w:rPr>
        <w:t>住所</w:t>
      </w:r>
      <w:r>
        <w:rPr>
          <w:rFonts w:ascii="宋体" w:hAnsi="宋体"/>
          <w:szCs w:val="21"/>
          <w:highlight w:val="white"/>
          <w:lang w:eastAsia="zh-CN"/>
        </w:rPr>
        <w:t>：上海市中山东一路12号</w:t>
      </w:r>
    </w:p>
    <w:p w:rsidR="001B6CFD">
      <w:pPr>
        <w:spacing w:line="360" w:lineRule="auto"/>
        <w:ind w:firstLine="440"/>
        <w:rPr>
          <w:rFonts w:ascii="宋体" w:hAnsi="宋体"/>
          <w:szCs w:val="21"/>
          <w:lang w:eastAsia="zh-CN"/>
        </w:rPr>
      </w:pPr>
      <w:r>
        <w:rPr>
          <w:rFonts w:ascii="宋体" w:hAnsi="宋体" w:hint="eastAsia"/>
          <w:szCs w:val="21"/>
          <w:highlight w:val="white"/>
          <w:lang w:eastAsia="zh-CN"/>
        </w:rPr>
        <w:t>法定代表人：</w:t>
      </w:r>
      <w:r>
        <w:rPr>
          <w:rFonts w:ascii="宋体" w:hAnsi="宋体" w:cs="宋体"/>
          <w:color w:val="000000"/>
          <w:highlight w:val="white"/>
          <w:lang w:eastAsia="zh-CN"/>
        </w:rPr>
        <w:t>张为忠</w:t>
      </w:r>
    </w:p>
    <w:p w:rsidR="001B6CFD">
      <w:pPr>
        <w:spacing w:line="360" w:lineRule="auto"/>
        <w:ind w:firstLine="440"/>
        <w:rPr>
          <w:rFonts w:ascii="宋体" w:hAnsi="宋体"/>
          <w:szCs w:val="21"/>
          <w:lang w:eastAsia="zh-CN"/>
        </w:rPr>
      </w:pPr>
      <w:r>
        <w:rPr>
          <w:rFonts w:ascii="宋体" w:hAnsi="宋体" w:hint="eastAsia"/>
          <w:szCs w:val="21"/>
          <w:highlight w:val="white"/>
          <w:lang w:eastAsia="zh-CN"/>
        </w:rPr>
        <w:t>成立日期：</w:t>
      </w:r>
      <w:r>
        <w:rPr>
          <w:rFonts w:ascii="宋体" w:hAnsi="宋体"/>
          <w:szCs w:val="21"/>
          <w:highlight w:val="white"/>
          <w:lang w:eastAsia="zh-CN"/>
        </w:rPr>
        <w:t>1992年10月19日</w:t>
      </w:r>
    </w:p>
    <w:p w:rsidR="001B6CFD">
      <w:pPr>
        <w:spacing w:line="360" w:lineRule="auto"/>
        <w:ind w:firstLine="440"/>
        <w:rPr>
          <w:szCs w:val="21"/>
          <w:lang w:eastAsia="zh-CN"/>
        </w:rPr>
      </w:pPr>
      <w:r>
        <w:rPr>
          <w:rFonts w:ascii="宋体" w:hAnsi="宋体" w:cs="宋体"/>
          <w:color w:val="000000"/>
          <w:highlight w:val="white"/>
          <w:lang w:eastAsia="zh-CN"/>
        </w:rPr>
        <w:t>基金托管资格批文及文号：中国证监会证监基金字[2003]105号</w:t>
      </w:r>
    </w:p>
    <w:p w:rsidR="001B6CFD">
      <w:pPr>
        <w:spacing w:line="360" w:lineRule="auto"/>
        <w:ind w:firstLine="440"/>
        <w:rPr>
          <w:rFonts w:ascii="宋体" w:hAnsi="宋体"/>
          <w:szCs w:val="21"/>
          <w:lang w:eastAsia="zh-CN"/>
        </w:rPr>
      </w:pPr>
      <w:r>
        <w:rPr>
          <w:rFonts w:ascii="宋体" w:hAnsi="宋体" w:hint="eastAsia"/>
          <w:szCs w:val="21"/>
          <w:highlight w:val="white"/>
          <w:lang w:eastAsia="zh-CN"/>
        </w:rPr>
        <w:t>组织形式</w:t>
      </w:r>
      <w:r>
        <w:rPr>
          <w:rFonts w:ascii="宋体" w:hAnsi="宋体"/>
          <w:szCs w:val="21"/>
          <w:highlight w:val="white"/>
          <w:lang w:eastAsia="zh-CN"/>
        </w:rPr>
        <w:t>：</w:t>
      </w:r>
      <w:r>
        <w:rPr>
          <w:rFonts w:ascii="宋体" w:hAnsi="宋体" w:hint="eastAsia"/>
          <w:szCs w:val="21"/>
          <w:highlight w:val="white"/>
          <w:lang w:eastAsia="zh-CN"/>
        </w:rPr>
        <w:t>股份有限公司</w:t>
      </w:r>
      <w:r>
        <w:rPr>
          <w:rFonts w:ascii="宋体" w:hAnsi="宋体"/>
          <w:highlight w:val="white"/>
          <w:lang w:eastAsia="zh-CN"/>
        </w:rPr>
        <w:t>（上市）</w:t>
      </w:r>
    </w:p>
    <w:p w:rsidR="001B6CFD">
      <w:pPr>
        <w:spacing w:line="360" w:lineRule="auto"/>
        <w:ind w:firstLine="440"/>
        <w:rPr>
          <w:rFonts w:ascii="宋体" w:hAnsi="宋体"/>
          <w:szCs w:val="21"/>
          <w:lang w:eastAsia="zh-CN"/>
        </w:rPr>
      </w:pPr>
      <w:r>
        <w:rPr>
          <w:rFonts w:ascii="宋体" w:hAnsi="宋体" w:hint="eastAsia"/>
          <w:szCs w:val="21"/>
          <w:highlight w:val="white"/>
          <w:lang w:eastAsia="zh-CN"/>
        </w:rPr>
        <w:t>注册资本：</w:t>
      </w:r>
      <w:r>
        <w:rPr>
          <w:rFonts w:ascii="宋体" w:hAnsi="宋体"/>
          <w:szCs w:val="21"/>
          <w:highlight w:val="white"/>
          <w:lang w:eastAsia="zh-CN"/>
        </w:rPr>
        <w:t>293.52亿元人民币</w:t>
      </w:r>
    </w:p>
    <w:p w:rsidR="001B6CFD">
      <w:pPr>
        <w:spacing w:line="360" w:lineRule="auto"/>
        <w:ind w:firstLine="440"/>
        <w:rPr>
          <w:rFonts w:ascii="宋体" w:hAnsi="宋体"/>
          <w:szCs w:val="21"/>
          <w:lang w:eastAsia="zh-CN"/>
        </w:rPr>
      </w:pPr>
      <w:r>
        <w:rPr>
          <w:rFonts w:ascii="宋体" w:hAnsi="宋体" w:cs="宋体"/>
          <w:color w:val="000000"/>
          <w:highlight w:val="white"/>
          <w:lang w:eastAsia="zh-CN"/>
        </w:rPr>
        <w:t>存续期间</w:t>
      </w:r>
      <w:r>
        <w:rPr>
          <w:rFonts w:ascii="宋体" w:hAnsi="宋体"/>
          <w:szCs w:val="21"/>
          <w:highlight w:val="white"/>
          <w:lang w:eastAsia="zh-CN"/>
        </w:rPr>
        <w:t>：</w:t>
      </w:r>
      <w:r>
        <w:rPr>
          <w:rFonts w:ascii="宋体" w:hAnsi="宋体" w:cs="宋体"/>
          <w:color w:val="000000"/>
          <w:highlight w:val="white"/>
          <w:lang w:eastAsia="zh-CN"/>
        </w:rPr>
        <w:t>持续经营</w:t>
      </w:r>
    </w:p>
    <w:p w:rsidR="001B6CFD">
      <w:pPr>
        <w:spacing w:line="360" w:lineRule="auto"/>
        <w:ind w:firstLine="480"/>
        <w:rPr>
          <w:rFonts w:ascii="宋体" w:hAnsi="宋体"/>
          <w:szCs w:val="21"/>
          <w:lang w:eastAsia="zh-CN"/>
        </w:rPr>
      </w:pPr>
    </w:p>
    <w:p w:rsidR="001B6CFD">
      <w:pPr>
        <w:spacing w:line="360" w:lineRule="auto"/>
        <w:ind w:firstLine="480"/>
        <w:rPr>
          <w:rFonts w:ascii="宋体" w:hAnsi="宋体"/>
          <w:szCs w:val="21"/>
          <w:lang w:eastAsia="zh-CN"/>
        </w:rPr>
      </w:pPr>
    </w:p>
    <w:p w:rsidR="001B6CFD">
      <w:pPr>
        <w:spacing w:line="360" w:lineRule="auto"/>
        <w:ind w:firstLine="480"/>
        <w:rPr>
          <w:rFonts w:ascii="宋体" w:hAnsi="宋体"/>
          <w:szCs w:val="21"/>
          <w:lang w:eastAsia="zh-CN"/>
        </w:rPr>
      </w:pPr>
    </w:p>
    <w:p w:rsidR="001B6CFD">
      <w:pPr>
        <w:spacing w:line="360" w:lineRule="auto"/>
        <w:ind w:firstLine="480"/>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5" w:name="_Toc69134058"/>
      <w:r>
        <w:rPr>
          <w:rFonts w:ascii="宋体" w:eastAsia="宋体" w:hAnsi="宋体" w:cs="Arial" w:hint="eastAsia"/>
          <w:sz w:val="21"/>
          <w:szCs w:val="21"/>
          <w:highlight w:val="white"/>
          <w:lang w:eastAsia="zh-CN"/>
        </w:rPr>
        <w:t>基金托管协议的依据、目的、原则和解释</w:t>
      </w:r>
      <w:bookmarkEnd w:id="15"/>
    </w:p>
    <w:p w:rsidR="001B6CFD">
      <w:pPr>
        <w:spacing w:line="360" w:lineRule="auto"/>
        <w:ind w:firstLine="420"/>
        <w:rPr>
          <w:rFonts w:ascii="宋体" w:hAnsi="宋体"/>
          <w:szCs w:val="21"/>
          <w:lang w:eastAsia="zh-CN"/>
        </w:rPr>
      </w:pPr>
      <w:r>
        <w:rPr>
          <w:rFonts w:ascii="宋体" w:hAnsi="宋体" w:hint="eastAsia"/>
          <w:szCs w:val="21"/>
          <w:highlight w:val="white"/>
          <w:lang w:eastAsia="zh-CN"/>
        </w:rPr>
        <w:t>（一）依据</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协议依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证券投资基金托管业务管理办法》、《证券投资基金信息披露内容与格式准则第7号〈托管协议的内容与格式〉》、《</w:t>
      </w:r>
      <w:r>
        <w:rPr>
          <w:rFonts w:ascii="宋体" w:hAnsi="宋体" w:hint="eastAsia"/>
          <w:szCs w:val="21"/>
          <w:lang w:eastAsia="zh-CN"/>
        </w:rPr>
        <w:t>易方达如意安瑞3个月持有期混合型基金中基金（FOF）</w:t>
      </w:r>
      <w:r>
        <w:rPr>
          <w:rFonts w:ascii="宋体" w:hAnsi="宋体" w:hint="eastAsia"/>
          <w:szCs w:val="21"/>
          <w:highlight w:val="white"/>
          <w:lang w:eastAsia="zh-CN"/>
        </w:rPr>
        <w:t>基金合同》（以下简称《基金合同》）及其他有关法律、法规制定。</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（二）目的</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（三）原则</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基金管理人和基金托管人本着平等自愿、诚实信用、充分保护基金份额持有人合法权益的原则，经协商一致，签订本协议。</w:t>
      </w:r>
    </w:p>
    <w:p w:rsidR="001B6CFD">
      <w:pPr>
        <w:spacing w:after="120" w:line="360" w:lineRule="auto"/>
        <w:ind w:firstLine="420"/>
        <w:rPr>
          <w:rFonts w:ascii="宋体" w:hAnsi="宋体"/>
          <w:szCs w:val="21"/>
          <w:lang w:eastAsia="zh-CN"/>
        </w:rPr>
      </w:pPr>
      <w:r>
        <w:rPr>
          <w:rFonts w:ascii="宋体" w:hAnsi="宋体" w:hint="eastAsia"/>
          <w:szCs w:val="21"/>
          <w:highlight w:val="white"/>
          <w:lang w:eastAsia="zh-CN"/>
        </w:rPr>
        <w:t>（四）解释</w:t>
      </w:r>
    </w:p>
    <w:p w:rsidR="001B6CFD">
      <w:pPr>
        <w:spacing w:after="120" w:line="360" w:lineRule="auto"/>
        <w:ind w:firstLine="420"/>
        <w:rPr>
          <w:rFonts w:ascii="宋体" w:hAnsi="宋体"/>
          <w:szCs w:val="21"/>
          <w:lang w:eastAsia="zh-CN"/>
        </w:rPr>
      </w:pPr>
      <w:r>
        <w:rPr>
          <w:rFonts w:ascii="宋体" w:hAnsi="宋体" w:hint="eastAsia"/>
          <w:szCs w:val="21"/>
          <w:highlight w:val="white"/>
          <w:lang w:eastAsia="zh-CN"/>
        </w:rPr>
        <w:t>除非本协议另有约定，本协议所有术语与《基金合同》的相应术语具有相同含义。</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6" w:name="_Toc69134059"/>
      <w:r>
        <w:rPr>
          <w:rFonts w:ascii="宋体" w:eastAsia="宋体" w:hAnsi="宋体" w:cs="Arial" w:hint="eastAsia"/>
          <w:sz w:val="21"/>
          <w:szCs w:val="21"/>
          <w:highlight w:val="white"/>
          <w:lang w:eastAsia="zh-CN"/>
        </w:rPr>
        <w:t>基金托管人对基金管理人的业务监督和核查</w:t>
      </w:r>
      <w:bookmarkEnd w:id="16"/>
    </w:p>
    <w:p w:rsidR="001B6CFD">
      <w:pPr>
        <w:spacing w:before="156" w:after="156" w:line="360" w:lineRule="auto"/>
        <w:ind w:firstLine="420"/>
        <w:rPr>
          <w:rFonts w:ascii="宋体" w:hAnsi="宋体"/>
          <w:szCs w:val="21"/>
          <w:lang w:eastAsia="zh-CN"/>
        </w:rPr>
      </w:pPr>
      <w:bookmarkStart w:id="17" w:name="_Toc382819073"/>
      <w:r>
        <w:rPr>
          <w:rFonts w:ascii="宋体" w:hAnsi="宋体" w:hint="eastAsia"/>
          <w:szCs w:val="21"/>
          <w:highlight w:val="white"/>
          <w:lang w:eastAsia="zh-CN"/>
        </w:rPr>
        <w:t>（一）基金托管人对基金管理人的投资行为行使监督权</w:t>
      </w:r>
      <w:bookmarkEnd w:id="17"/>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1.基金托管人根据有关法律法规的规定和《基金合同》的约定，对下述基金投资范围、投资对象进行监督。</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本基金将投资于以下金融工具：</w:t>
      </w:r>
    </w:p>
    <w:p w:rsidR="001B6CFD">
      <w:pPr>
        <w:spacing w:line="360" w:lineRule="auto"/>
        <w:ind w:firstLine="420"/>
        <w:rPr>
          <w:rFonts w:ascii="宋体" w:hAnsi="宋体"/>
          <w:szCs w:val="21"/>
          <w:lang w:eastAsia="zh-CN"/>
        </w:rPr>
      </w:pPr>
      <w:r>
        <w:rPr>
          <w:rFonts w:ascii="宋体" w:hAnsi="宋体"/>
          <w:szCs w:val="21"/>
          <w:lang w:eastAsia="zh-CN"/>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1B6CFD">
      <w:pPr>
        <w:spacing w:line="360" w:lineRule="auto"/>
        <w:ind w:firstLine="420"/>
        <w:rPr>
          <w:rFonts w:ascii="宋体" w:hAnsi="宋体"/>
          <w:szCs w:val="21"/>
          <w:lang w:eastAsia="zh-CN"/>
        </w:rPr>
      </w:pPr>
      <w:r>
        <w:rPr>
          <w:rFonts w:ascii="宋体" w:hAnsi="宋体"/>
          <w:szCs w:val="21"/>
          <w:lang w:eastAsia="zh-CN"/>
        </w:rPr>
        <w:t>如法律法规或监管机构以后允许基金投资其他品种，基金管理人在履行适当程序后，本基金可以将其纳入投资范围。</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本基金不得投资于相关法律、法规、部门规章及《基金合同》禁止投资的投资工具。</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2.基金托管人根据有关法律法规的规定及《基金合同》的约定对下述基金投融资比例进行监督：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（1）按法律法规的规定及《基金合同》的约定，本基金的投资资产配置比例为：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基金的投资组合比例为：</w:t>
      </w:r>
      <w:r>
        <w:rPr>
          <w:rFonts w:ascii="宋体" w:hAnsi="宋体"/>
          <w:szCs w:val="21"/>
          <w:lang w:eastAsia="zh-CN"/>
        </w:rPr>
        <w:t>本基金投资于经中国证监会依法核准或注册基金的资产不低于基金资产的80%，权益类资产占基金资产的比例为5%—30%，投资于港股通股票的资产不超过股票资产的50%</w:t>
      </w:r>
      <w:r>
        <w:rPr>
          <w:rFonts w:ascii="宋体" w:hAnsi="宋体" w:hint="eastAsia"/>
          <w:szCs w:val="21"/>
          <w:lang w:eastAsia="zh-CN"/>
        </w:rPr>
        <w:t>，投资于QDII基金、香港互认基金的资产合计不超过基金资产的20%，投资于商品基金（含商品期货基金和黄金ETF等）的资产合计不超过基金资产的10%</w:t>
      </w:r>
      <w:r>
        <w:rPr>
          <w:rFonts w:ascii="宋体" w:hAnsi="宋体"/>
          <w:szCs w:val="21"/>
          <w:lang w:eastAsia="zh-CN"/>
        </w:rPr>
        <w:t>；保持不低于基金资产净值5％的现金或者到期日在一年以内的政府债券，其中现金不包括结算备付金、存出保证金和应收申购款等。</w:t>
      </w:r>
    </w:p>
    <w:p w:rsidR="001B6CFD">
      <w:pPr>
        <w:spacing w:line="360" w:lineRule="auto"/>
        <w:ind w:firstLine="420"/>
        <w:rPr>
          <w:rFonts w:ascii="宋体" w:hAnsi="宋体"/>
          <w:szCs w:val="21"/>
          <w:lang w:eastAsia="zh-CN"/>
        </w:rPr>
      </w:pPr>
      <w:r>
        <w:rPr>
          <w:rFonts w:ascii="宋体" w:hAnsi="宋体"/>
          <w:szCs w:val="21"/>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因基金规模或市场变化等因素导致投资组合不符合上述规定的，基金管理人应在合理的期限内调整基金的投资组合，以符合上述比例限定。法律法规另有规定时，从其规定。</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 xml:space="preserve">（2）根据法律法规的规定及《基金合同》的约定，本基金投资组合遵循以下投资限制： </w:t>
      </w:r>
    </w:p>
    <w:p w:rsidR="001B6CFD">
      <w:pPr>
        <w:spacing w:line="360" w:lineRule="auto"/>
        <w:ind w:firstLine="420"/>
        <w:rPr>
          <w:rFonts w:ascii="宋体" w:hAnsi="宋体" w:cs="宋体"/>
          <w:bCs/>
          <w:szCs w:val="21"/>
          <w:lang w:eastAsia="zh-CN"/>
        </w:rPr>
      </w:pPr>
      <w:r>
        <w:rPr>
          <w:rFonts w:ascii="宋体" w:hAnsi="宋体" w:cs="宋体"/>
          <w:szCs w:val="21"/>
          <w:highlight w:val="white"/>
          <w:lang w:eastAsia="zh-CN"/>
        </w:rPr>
        <w:t>1）本基金投资于经中国证监会依法核准或注册基金的资产不低于基金资产的80%，权益类资产占基金资产的比例为5%—30%，投资于港股通股票的资产不超过股票资产的50%</w:t>
      </w:r>
      <w:r>
        <w:rPr>
          <w:rFonts w:ascii="宋体" w:hAnsi="宋体" w:cs="宋体" w:hint="eastAsia"/>
          <w:szCs w:val="21"/>
          <w:lang w:eastAsia="zh-CN"/>
        </w:rPr>
        <w:t>，投资于QDII基金、香港互认基金的资产合计不超过基金资产的20%，投资于商品基金（含商品期货基金和黄金ETF等）的资产合计不超过基金资产的10%</w:t>
      </w:r>
      <w:r>
        <w:rPr>
          <w:rFonts w:ascii="宋体" w:hAnsi="宋体" w:cs="宋体"/>
          <w:szCs w:val="21"/>
          <w:highlight w:val="white"/>
          <w:lang w:eastAsia="zh-CN"/>
        </w:rPr>
        <w:t>；</w:t>
      </w:r>
    </w:p>
    <w:p w:rsidR="001B6CFD">
      <w:pPr>
        <w:spacing w:line="360" w:lineRule="auto"/>
        <w:ind w:firstLine="420"/>
        <w:rPr>
          <w:lang w:eastAsia="zh-CN"/>
        </w:rPr>
      </w:pPr>
      <w:r>
        <w:rPr>
          <w:rFonts w:ascii="宋体" w:hAnsi="宋体" w:cs="宋体"/>
          <w:szCs w:val="21"/>
          <w:highlight w:val="white"/>
          <w:lang w:eastAsia="zh-CN"/>
        </w:rPr>
        <w:t>2）本基金持有单只基金的市值，不高于本基金资产净值的20%，且不得持有其他基金中基金；</w:t>
      </w:r>
    </w:p>
    <w:p w:rsidR="001B6CFD">
      <w:pPr>
        <w:spacing w:line="360" w:lineRule="auto"/>
        <w:ind w:firstLine="420"/>
        <w:rPr>
          <w:lang w:eastAsia="zh-CN"/>
        </w:rPr>
      </w:pPr>
      <w:r>
        <w:rPr>
          <w:rFonts w:ascii="宋体" w:hAnsi="宋体" w:cs="宋体"/>
          <w:szCs w:val="21"/>
          <w:highlight w:val="white"/>
          <w:lang w:eastAsia="zh-CN"/>
        </w:rPr>
        <w:t>3）本基金管理人管理的全部基金中基金（ETF联接基金除外）持有单只基金不得超过被投资基金净资产的20%，被投资基金净资产规模以最近定期报告披露的规模为准；</w:t>
      </w:r>
    </w:p>
    <w:p w:rsidR="001B6CFD">
      <w:pPr>
        <w:spacing w:line="360" w:lineRule="auto"/>
        <w:ind w:firstLine="420"/>
        <w:rPr>
          <w:lang w:eastAsia="zh-CN"/>
        </w:rPr>
      </w:pPr>
      <w:r>
        <w:rPr>
          <w:rFonts w:ascii="宋体" w:hAnsi="宋体" w:cs="宋体"/>
          <w:szCs w:val="21"/>
          <w:highlight w:val="white"/>
          <w:lang w:eastAsia="zh-CN"/>
        </w:rPr>
        <w:t>4）本基金投资于封闭运作基金、定期开放基金等流通受限基金的资产合计不得超过基金资产净值的10%；</w:t>
      </w:r>
    </w:p>
    <w:p w:rsidR="001B6CFD">
      <w:pPr>
        <w:spacing w:line="360" w:lineRule="auto"/>
        <w:ind w:firstLine="420"/>
        <w:rPr>
          <w:lang w:eastAsia="zh-CN"/>
        </w:rPr>
      </w:pPr>
      <w:r>
        <w:rPr>
          <w:rFonts w:ascii="宋体" w:hAnsi="宋体" w:cs="宋体"/>
          <w:szCs w:val="21"/>
          <w:highlight w:val="white"/>
          <w:lang w:eastAsia="zh-CN"/>
        </w:rPr>
        <w:t>5）本基金所投资基金的运作期限不得少于1年、最近定期报告披露的基金净资产应当不低于1亿元；</w:t>
      </w:r>
    </w:p>
    <w:p w:rsidR="001B6CFD">
      <w:pPr>
        <w:spacing w:line="360" w:lineRule="auto"/>
        <w:ind w:firstLine="420"/>
        <w:rPr>
          <w:lang w:eastAsia="zh-CN"/>
        </w:rPr>
      </w:pPr>
      <w:r>
        <w:rPr>
          <w:rFonts w:ascii="宋体" w:hAnsi="宋体" w:cs="宋体"/>
          <w:szCs w:val="21"/>
          <w:highlight w:val="white"/>
          <w:lang w:eastAsia="zh-CN"/>
        </w:rPr>
        <w:t>6）本基金可投资于QDII基金及香港互认基金，不得持有具有复杂、衍生品性质的基金份额，包括分级基金和中国证监会认定的其他基金份额；</w:t>
      </w:r>
    </w:p>
    <w:p w:rsidR="001B6CFD">
      <w:pPr>
        <w:spacing w:line="360" w:lineRule="auto"/>
        <w:ind w:firstLine="420"/>
        <w:rPr>
          <w:lang w:eastAsia="zh-CN"/>
        </w:rPr>
      </w:pPr>
      <w:r>
        <w:rPr>
          <w:rFonts w:ascii="宋体" w:hAnsi="宋体" w:cs="宋体"/>
          <w:szCs w:val="21"/>
          <w:highlight w:val="white"/>
          <w:lang w:eastAsia="zh-CN"/>
        </w:rPr>
        <w:t>7）保持不低于基金资产净值5％的现金或者到期日在一年以内的政府债券，其中现金不包括结算备付金、存出保证金和应收申购款等；</w:t>
      </w:r>
    </w:p>
    <w:p w:rsidR="001B6CFD">
      <w:pPr>
        <w:spacing w:line="360" w:lineRule="auto"/>
        <w:ind w:firstLine="420"/>
        <w:rPr>
          <w:lang w:eastAsia="zh-CN"/>
        </w:rPr>
      </w:pPr>
      <w:r>
        <w:rPr>
          <w:rFonts w:ascii="宋体" w:hAnsi="宋体" w:cs="宋体"/>
          <w:szCs w:val="21"/>
          <w:highlight w:val="white"/>
          <w:lang w:eastAsia="zh-CN"/>
        </w:rPr>
        <w:t>8）本基金持有一家公司发行的证券（同一家公司在内地和香港同时上市的A+H股合计计算），其市值不超过基金资产净值的10％；</w:t>
      </w:r>
    </w:p>
    <w:p w:rsidR="001B6CFD">
      <w:pPr>
        <w:spacing w:line="360" w:lineRule="auto"/>
        <w:ind w:firstLine="420"/>
        <w:rPr>
          <w:lang w:eastAsia="zh-CN"/>
        </w:rPr>
      </w:pPr>
      <w:r>
        <w:rPr>
          <w:rFonts w:ascii="宋体" w:hAnsi="宋体" w:cs="宋体"/>
          <w:szCs w:val="21"/>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1B6CFD">
      <w:pPr>
        <w:spacing w:line="360" w:lineRule="auto"/>
        <w:ind w:firstLine="420"/>
        <w:rPr>
          <w:lang w:eastAsia="zh-CN"/>
        </w:rPr>
      </w:pPr>
      <w:r>
        <w:rPr>
          <w:rFonts w:ascii="宋体" w:hAnsi="宋体" w:cs="宋体"/>
          <w:szCs w:val="21"/>
          <w:highlight w:val="white"/>
          <w:lang w:eastAsia="zh-CN"/>
        </w:rPr>
        <w:t>10）本基金投资于同一原始权益人的各类资产支持证券的比例，不得超过基金资产净值的10％；</w:t>
      </w:r>
    </w:p>
    <w:p w:rsidR="001B6CFD">
      <w:pPr>
        <w:spacing w:line="360" w:lineRule="auto"/>
        <w:ind w:firstLine="420"/>
        <w:rPr>
          <w:lang w:eastAsia="zh-CN"/>
        </w:rPr>
      </w:pPr>
      <w:r>
        <w:rPr>
          <w:rFonts w:ascii="宋体" w:hAnsi="宋体" w:cs="宋体"/>
          <w:szCs w:val="21"/>
          <w:highlight w:val="white"/>
          <w:lang w:eastAsia="zh-CN"/>
        </w:rPr>
        <w:t>11）本基金持有的全部资产支持证券，其市值不得超过基金资产净值的20％；</w:t>
      </w:r>
    </w:p>
    <w:p w:rsidR="001B6CFD">
      <w:pPr>
        <w:spacing w:line="360" w:lineRule="auto"/>
        <w:ind w:firstLine="420"/>
        <w:rPr>
          <w:lang w:eastAsia="zh-CN"/>
        </w:rPr>
      </w:pPr>
      <w:r>
        <w:rPr>
          <w:rFonts w:ascii="宋体" w:hAnsi="宋体" w:cs="宋体"/>
          <w:szCs w:val="21"/>
          <w:highlight w:val="white"/>
          <w:lang w:eastAsia="zh-CN"/>
        </w:rPr>
        <w:t>12）本基金持有的同一(指同一信用级别)资产支持证券的比例，不得超过该资产支持证券规模的10％；</w:t>
      </w:r>
    </w:p>
    <w:p w:rsidR="001B6CFD">
      <w:pPr>
        <w:spacing w:line="360" w:lineRule="auto"/>
        <w:ind w:firstLine="420"/>
        <w:rPr>
          <w:lang w:eastAsia="zh-CN"/>
        </w:rPr>
      </w:pPr>
      <w:r>
        <w:rPr>
          <w:rFonts w:ascii="宋体" w:hAnsi="宋体" w:cs="宋体"/>
          <w:szCs w:val="21"/>
          <w:highlight w:val="white"/>
          <w:lang w:eastAsia="zh-CN"/>
        </w:rPr>
        <w:t>13）本基金管理人管理的全部基金投资于同一原始权益人的各类资产支持证券，不得超过其各类资产支持证券合计规模的10％；</w:t>
      </w:r>
    </w:p>
    <w:p w:rsidR="001B6CFD">
      <w:pPr>
        <w:spacing w:line="360" w:lineRule="auto"/>
        <w:ind w:firstLine="420"/>
        <w:rPr>
          <w:lang w:eastAsia="zh-CN"/>
        </w:rPr>
      </w:pPr>
      <w:r>
        <w:rPr>
          <w:rFonts w:ascii="宋体" w:hAnsi="宋体" w:cs="宋体"/>
          <w:szCs w:val="21"/>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1B6CFD">
      <w:pPr>
        <w:spacing w:line="360" w:lineRule="auto"/>
        <w:ind w:firstLine="420"/>
        <w:rPr>
          <w:lang w:eastAsia="zh-CN"/>
        </w:rPr>
      </w:pPr>
      <w:r>
        <w:rPr>
          <w:rFonts w:ascii="宋体" w:hAnsi="宋体" w:cs="宋体"/>
          <w:szCs w:val="21"/>
          <w:highlight w:val="white"/>
          <w:lang w:eastAsia="zh-CN"/>
        </w:rPr>
        <w:t>15）基金财产参与股票发行申购，本基金所申报的金额不超过本基金的总资产，本基金所申报的股票数量不超过拟发行股票公司本次发行股票的总量；</w:t>
      </w:r>
    </w:p>
    <w:p w:rsidR="001B6CFD">
      <w:pPr>
        <w:spacing w:line="360" w:lineRule="auto"/>
        <w:ind w:firstLine="420"/>
        <w:rPr>
          <w:lang w:eastAsia="zh-CN"/>
        </w:rPr>
      </w:pPr>
      <w:r>
        <w:rPr>
          <w:rFonts w:ascii="宋体" w:hAnsi="宋体" w:cs="宋体"/>
          <w:szCs w:val="21"/>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1B6CFD">
      <w:pPr>
        <w:spacing w:line="360" w:lineRule="auto"/>
        <w:ind w:firstLine="420"/>
        <w:rPr>
          <w:lang w:eastAsia="zh-CN"/>
        </w:rPr>
      </w:pPr>
      <w:r>
        <w:rPr>
          <w:rFonts w:ascii="宋体" w:hAnsi="宋体" w:cs="宋体"/>
          <w:szCs w:val="21"/>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B6CFD">
      <w:pPr>
        <w:spacing w:line="360" w:lineRule="auto"/>
        <w:ind w:firstLine="420"/>
        <w:rPr>
          <w:lang w:eastAsia="zh-CN"/>
        </w:rPr>
      </w:pPr>
      <w:r>
        <w:rPr>
          <w:rFonts w:ascii="宋体" w:hAnsi="宋体" w:cs="宋体"/>
          <w:szCs w:val="21"/>
          <w:highlight w:val="white"/>
          <w:lang w:eastAsia="zh-CN"/>
        </w:rPr>
        <w:t>18）本基金与私募类证券资管产品及中国证监会认定的其他主体为交易对手开展逆回购交易的，可接受质押品的资质要求应当与基金合同约定的投资范围保持一致；</w:t>
      </w:r>
    </w:p>
    <w:p w:rsidR="001B6CFD">
      <w:pPr>
        <w:spacing w:line="360" w:lineRule="auto"/>
        <w:ind w:firstLine="420"/>
        <w:rPr>
          <w:lang w:eastAsia="zh-CN"/>
        </w:rPr>
      </w:pPr>
      <w:r>
        <w:rPr>
          <w:rFonts w:ascii="宋体" w:hAnsi="宋体" w:cs="宋体"/>
          <w:szCs w:val="21"/>
          <w:highlight w:val="white"/>
          <w:lang w:eastAsia="zh-CN"/>
        </w:rPr>
        <w:t>19）本基金资产总值不超过基金资产净值的140%；</w:t>
      </w:r>
    </w:p>
    <w:p w:rsidR="001B6CFD">
      <w:pPr>
        <w:spacing w:line="360" w:lineRule="auto"/>
        <w:ind w:firstLine="420"/>
        <w:rPr>
          <w:lang w:eastAsia="zh-CN"/>
        </w:rPr>
      </w:pPr>
      <w:r>
        <w:rPr>
          <w:rFonts w:ascii="宋体" w:hAnsi="宋体" w:cs="宋体"/>
          <w:szCs w:val="21"/>
          <w:highlight w:val="white"/>
          <w:lang w:eastAsia="zh-CN"/>
        </w:rPr>
        <w:t>20）本基金投资于货币市场基金的资产不得超过基金资产的15%；</w:t>
      </w:r>
    </w:p>
    <w:p w:rsidR="001B6CFD">
      <w:pPr>
        <w:spacing w:line="360" w:lineRule="auto"/>
        <w:ind w:firstLine="420"/>
        <w:rPr>
          <w:lang w:eastAsia="zh-CN"/>
        </w:rPr>
      </w:pPr>
      <w:r>
        <w:rPr>
          <w:rFonts w:ascii="宋体" w:hAnsi="宋体" w:cs="宋体"/>
          <w:szCs w:val="21"/>
          <w:highlight w:val="white"/>
          <w:lang w:eastAsia="zh-CN"/>
        </w:rPr>
        <w:t>21）基金管理人运用基金中基金财产投资于股票、债券等金融工具的，投资品种和比例应当符合基金中基金的投资目标和投资策略；</w:t>
      </w:r>
    </w:p>
    <w:p w:rsidR="001B6CFD">
      <w:pPr>
        <w:spacing w:line="360" w:lineRule="auto"/>
        <w:ind w:firstLine="420"/>
        <w:rPr>
          <w:lang w:eastAsia="zh-CN"/>
        </w:rPr>
      </w:pPr>
      <w:r>
        <w:rPr>
          <w:rFonts w:ascii="宋体" w:hAnsi="宋体" w:cs="宋体"/>
          <w:szCs w:val="21"/>
          <w:highlight w:val="white"/>
          <w:lang w:eastAsia="zh-CN"/>
        </w:rPr>
        <w:t>22）本基金投资存托凭证的比例限制依照境内上市交易的股票执行，与境内上市交易的股票合并计算；</w:t>
      </w:r>
    </w:p>
    <w:p w:rsidR="001B6CFD">
      <w:pPr>
        <w:spacing w:line="360" w:lineRule="auto"/>
        <w:ind w:firstLine="420"/>
        <w:rPr>
          <w:lang w:eastAsia="zh-CN"/>
        </w:rPr>
      </w:pPr>
      <w:r>
        <w:rPr>
          <w:rFonts w:ascii="宋体" w:hAnsi="宋体" w:cs="宋体"/>
          <w:szCs w:val="21"/>
          <w:highlight w:val="white"/>
          <w:lang w:eastAsia="zh-CN"/>
        </w:rPr>
        <w:t>23）法律法规及中国证监会规定的和《基金合同》约定的其他投资限制。</w:t>
      </w:r>
    </w:p>
    <w:p w:rsidR="001B6CFD">
      <w:pPr>
        <w:spacing w:line="360" w:lineRule="auto"/>
        <w:ind w:firstLine="420"/>
        <w:rPr>
          <w:lang w:eastAsia="zh-CN"/>
        </w:rPr>
      </w:pPr>
      <w:r>
        <w:rPr>
          <w:rFonts w:ascii="宋体" w:hAnsi="宋体" w:cs="宋体"/>
          <w:szCs w:val="21"/>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1B6CFD">
      <w:pPr>
        <w:spacing w:line="360" w:lineRule="auto"/>
        <w:ind w:firstLine="420"/>
        <w:rPr>
          <w:lang w:eastAsia="zh-CN"/>
        </w:rPr>
      </w:pPr>
      <w:r>
        <w:rPr>
          <w:rFonts w:ascii="宋体" w:hAnsi="宋体" w:cs="宋体"/>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hAnsi="宋体" w:hint="eastAsia"/>
          <w:szCs w:val="21"/>
          <w:highlight w:val="white"/>
          <w:lang w:eastAsia="zh-CN"/>
        </w:rPr>
        <w:t>本基金可以按照国家的有关规定进行融资</w:t>
      </w:r>
      <w:r>
        <w:rPr>
          <w:rFonts w:ascii="宋体" w:hAnsi="宋体" w:hint="eastAsia"/>
          <w:bCs/>
          <w:szCs w:val="21"/>
          <w:highlight w:val="white"/>
          <w:lang w:eastAsia="zh-CN"/>
        </w:rPr>
        <w:t>。</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 xml:space="preserve">3.基金托管人根据有关法律法规的规定及《基金合同》的约定对下述基金投资禁止行为进行监督： </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根据法律法规的规定及《基金合同》的约定，本基金禁止从事下列行为：</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（1）承销证券；</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（2）违反规定向他人贷款或者提供担保；</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（3）从事承担无限责任的投资；</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（4）向其基金管理人、基金托管人出资；</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（5）从事内幕交易、操纵证券交易价格及其他不正当的证券交易活动；</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（6）法律、行政法规和中国证监会规定禁止的其他活动。</w:t>
      </w:r>
    </w:p>
    <w:p w:rsidR="001B6CFD">
      <w:pPr>
        <w:spacing w:line="360" w:lineRule="auto"/>
        <w:ind w:firstLine="420"/>
        <w:rPr>
          <w:rFonts w:ascii="宋体" w:hAnsi="宋体"/>
          <w:bCs/>
          <w:szCs w:val="21"/>
          <w:lang w:eastAsia="zh-CN"/>
        </w:rPr>
      </w:pPr>
      <w:r>
        <w:rPr>
          <w:rFonts w:ascii="宋体" w:hAnsi="宋体"/>
          <w:highlight w:val="white"/>
          <w:lang w:eastAsia="zh-CN"/>
        </w:rPr>
        <w:t>4.基金托管人依据有关法律法规的规定和《基金合同》的约定对于基金关联投资限制进行监督。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本基金投资基金管理人及基金管理人关联方管理基金的情况，不属于前述重大关联交易，但是应当按照法律法规或监管规定的要求履行信息披露义务。</w:t>
      </w:r>
    </w:p>
    <w:p w:rsidR="001B6CFD">
      <w:pPr>
        <w:spacing w:line="360" w:lineRule="auto"/>
        <w:ind w:firstLine="420"/>
        <w:rPr>
          <w:rFonts w:ascii="宋体" w:hAnsi="宋体"/>
          <w:bCs/>
          <w:szCs w:val="21"/>
          <w:lang w:eastAsia="zh-CN"/>
        </w:rPr>
      </w:pPr>
      <w:r>
        <w:rPr>
          <w:rFonts w:ascii="宋体" w:hAnsi="宋体"/>
          <w:bCs/>
          <w:szCs w:val="21"/>
          <w:highlight w:val="white"/>
          <w:lang w:eastAsia="zh-CN"/>
        </w:rPr>
        <w:t>如法律、法规或《基金合同》有关于基金从事关联交易的规定，基金管理人和基金托管人事先相互提供与本机构有控股关系的股东、与本机构有其他重大利害关系的公司名单及有关关联方发行的证券清单。名单变更后基金管理人应及时发送基金托管人。基金托管人仅按基金管理人提供的基金关联方名单为限,进行监督。如果基金托管人在运作中严格遵循了监督流程，基金管理人仍违规进行关联交易，并造成基金资产损失的，相关责任不由基金托管人承担。</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ascii="宋体" w:hAnsi="宋体" w:hint="eastAsia"/>
          <w:bCs/>
          <w:szCs w:val="21"/>
          <w:lang w:eastAsia="zh-CN"/>
        </w:rPr>
        <w:t>并履行适当程序后</w:t>
      </w:r>
      <w:r>
        <w:rPr>
          <w:rFonts w:ascii="宋体" w:hAnsi="宋体" w:hint="eastAsia"/>
          <w:bCs/>
          <w:szCs w:val="21"/>
          <w:highlight w:val="white"/>
          <w:lang w:eastAsia="zh-CN"/>
        </w:rPr>
        <w:t>，基金管理人可依据法律法规或监管部门规定直接对基金合同进行变更</w:t>
      </w:r>
      <w:r>
        <w:rPr>
          <w:rFonts w:ascii="宋体" w:hAnsi="宋体" w:hint="eastAsia"/>
          <w:bCs/>
          <w:szCs w:val="21"/>
          <w:highlight w:val="white"/>
          <w:lang w:eastAsia="zh-CN"/>
        </w:rPr>
        <w:t>。</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5.基金托管人</w:t>
      </w:r>
      <w:r>
        <w:rPr>
          <w:rFonts w:ascii="宋体" w:hAnsi="宋体" w:hint="eastAsia"/>
          <w:highlight w:val="white"/>
          <w:lang w:eastAsia="zh-CN"/>
        </w:rPr>
        <w:t>依据有关法律法规的规定和《基金合同》的约定</w:t>
      </w:r>
      <w:r>
        <w:rPr>
          <w:rFonts w:ascii="宋体" w:hAnsi="宋体" w:hint="eastAsia"/>
          <w:bCs/>
          <w:szCs w:val="21"/>
          <w:highlight w:val="white"/>
          <w:lang w:eastAsia="zh-CN"/>
        </w:rPr>
        <w:t>对基金管理人参与银行间债券市场进行监督。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基金托管人根据基金管理人提供的银行间债券市场交易对手名单进行监督。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6.基金托管人依据有关法律法规的规定和《基金合同》的约定，对基金银行存款业务进行监督。</w:t>
      </w:r>
    </w:p>
    <w:p w:rsidR="001B6CFD">
      <w:pPr>
        <w:spacing w:line="360" w:lineRule="auto"/>
        <w:ind w:firstLine="420"/>
        <w:rPr>
          <w:rFonts w:ascii="宋体" w:hAnsi="宋体"/>
          <w:lang w:eastAsia="zh-CN"/>
        </w:rPr>
      </w:pPr>
      <w:r>
        <w:rPr>
          <w:rFonts w:ascii="宋体" w:hAnsi="宋体" w:hint="eastAsia"/>
          <w:bCs/>
          <w:szCs w:val="21"/>
          <w:highlight w:val="white"/>
          <w:lang w:eastAsia="zh-CN"/>
        </w:rPr>
        <w:t>基金管理人应当加强对基金投资银行存款风险的评估与研究，严格测算与控制投资银行存款的风险敞口，针对不同类型存款银行建立相关投资限制制度。</w:t>
      </w:r>
      <w:r>
        <w:rPr>
          <w:rFonts w:ascii="宋体" w:hAnsi="宋体" w:hint="eastAsia"/>
          <w:highlight w:val="white"/>
          <w:lang w:eastAsia="zh-CN"/>
        </w:rPr>
        <w:t>如果基金托管人在运作过程中遵循有关法律法规的规定和《基金合同》的约定监督流程，则对于由于存款银行信用风险引起的损失，不承担赔偿责任。</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7.基金托管人对基金投资流通受限证券的监督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如下所指“流通受限证券”与本协议以及基金合同所指“流动性受限资产”定义存在不同。就流动性受限资产定义，请参照基金合同的“第二部分</w:t>
      </w:r>
      <w:r>
        <w:rPr>
          <w:rFonts w:ascii="宋体" w:hAnsi="宋体"/>
          <w:bCs/>
          <w:szCs w:val="21"/>
          <w:highlight w:val="white"/>
          <w:lang w:eastAsia="zh-CN"/>
        </w:rPr>
        <w:t xml:space="preserve"> </w:t>
      </w:r>
      <w:r>
        <w:rPr>
          <w:rFonts w:ascii="宋体" w:hAnsi="宋体" w:hint="eastAsia"/>
          <w:bCs/>
          <w:szCs w:val="21"/>
          <w:highlight w:val="white"/>
          <w:lang w:eastAsia="zh-CN"/>
        </w:rPr>
        <w:t>释义”部分。</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（2）基金管理人投资非公开发行股票，应制订流动性风险处置预案并经其董事会批准。基金管理人应在首次投资流通受限证券前向基金托管人提供基金投资非公开发行股票的相关流动性风险处置预案。</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（3）基金管理人应在基金投资非公开发行股票后两个交易日内，在中国证监会规定媒介披露所投资非公开发行股票的信息。法律法规有新规定的，从其规定。</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1）中国证监会批准发行非公开发行股票的批准文件。</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2）有关非公开发行股票的发行数量、发行价格、锁定期等发行资料。</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3）基金拟认购的数量、价格、总成本、账面价值。</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4）该基金投资流通受限证券的投资额度和投资比例控制。</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hAnsi="宋体" w:hint="eastAsia"/>
          <w:highlight w:val="white"/>
          <w:lang w:eastAsia="zh-CN"/>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bCs/>
          <w:szCs w:val="21"/>
          <w:highlight w:val="white"/>
          <w:lang w:eastAsia="zh-CN"/>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如基金管理人和基金托管人无法就上述问题达成一致，应及时上报中国证监会请求解决。基金托管人履行了本协议规定的监督职责后，不承担任何责任。</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（5）相关法律法规对基金投资流通受限证券有新规定的，从其规定。</w:t>
      </w:r>
    </w:p>
    <w:p w:rsidR="001B6CFD">
      <w:pPr>
        <w:spacing w:line="360" w:lineRule="auto"/>
        <w:ind w:firstLine="420"/>
        <w:rPr>
          <w:rFonts w:ascii="宋体" w:hAnsi="宋体"/>
          <w:bCs/>
          <w:szCs w:val="21"/>
          <w:lang w:eastAsia="zh-CN"/>
        </w:rPr>
      </w:pPr>
      <w:r>
        <w:rPr>
          <w:rFonts w:ascii="宋体" w:hAnsi="宋体" w:hint="eastAsia"/>
          <w:szCs w:val="21"/>
          <w:highlight w:val="white"/>
          <w:lang w:eastAsia="zh-CN"/>
        </w:rPr>
        <w:t>8.基金托管人对基金投资中期票据的监督责任仅限于依据本协议相关规定对投资比例和投资限制进行事后监督</w:t>
      </w:r>
      <w:r>
        <w:rPr>
          <w:rFonts w:ascii="宋体" w:hAnsi="宋体" w:hint="eastAsia"/>
          <w:bCs/>
          <w:szCs w:val="21"/>
          <w:highlight w:val="white"/>
          <w:lang w:eastAsia="zh-CN"/>
        </w:rPr>
        <w:t>；除此外，无其它监督责任。如发现异常情况，应及时以书面形式通知基金管理人。基金管理人应积极配合和协助基金托管人进行监督和核查。</w:t>
      </w:r>
      <w:r>
        <w:rPr>
          <w:rFonts w:ascii="宋体" w:hAnsi="宋体" w:hint="eastAsia"/>
          <w:szCs w:val="21"/>
          <w:highlight w:val="white"/>
          <w:lang w:eastAsia="zh-CN"/>
        </w:rPr>
        <w:t>基金因投资中期票据导致的信用风险</w:t>
      </w:r>
      <w:r>
        <w:rPr>
          <w:rFonts w:ascii="宋体" w:hAnsi="宋体" w:hint="eastAsia"/>
          <w:bCs/>
          <w:szCs w:val="21"/>
          <w:highlight w:val="white"/>
          <w:lang w:eastAsia="zh-CN"/>
        </w:rPr>
        <w:t>、流动性风险，基金托管人不承担任何责任。如因基金管理人原因导致基金出现损失的，基金托管人不承担任何责任。</w:t>
      </w:r>
    </w:p>
    <w:p w:rsidR="001B6CFD">
      <w:pPr>
        <w:spacing w:line="360" w:lineRule="auto"/>
        <w:ind w:firstLine="420"/>
        <w:rPr>
          <w:rFonts w:ascii="宋体" w:hAnsi="宋体"/>
          <w:b/>
          <w:lang w:eastAsia="zh-CN"/>
        </w:rPr>
      </w:pPr>
      <w:bookmarkStart w:id="18" w:name="_Toc382819074"/>
      <w:r>
        <w:rPr>
          <w:rFonts w:ascii="宋体" w:hAnsi="宋体" w:hint="eastAsia"/>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8"/>
    </w:p>
    <w:p w:rsidR="001B6CFD">
      <w:pPr>
        <w:spacing w:line="360" w:lineRule="auto"/>
        <w:ind w:firstLine="420"/>
        <w:rPr>
          <w:rFonts w:ascii="宋体" w:hAnsi="宋体"/>
          <w:b/>
          <w:lang w:eastAsia="zh-CN"/>
        </w:rPr>
      </w:pPr>
      <w:bookmarkStart w:id="19" w:name="_Toc382819075"/>
      <w:r>
        <w:rPr>
          <w:rFonts w:ascii="宋体" w:hAnsi="宋体" w:hint="eastAsia"/>
          <w:highlight w:val="white"/>
          <w:lang w:eastAsia="zh-CN"/>
        </w:rPr>
        <w:t>（三）基金托管人发现基金管理人的投资运作及其他运作违反《基金法》、《基金合同》、基金托管协议等有关规定时，应及时以书面形式通知基金管理人限期纠正，基金管理人收到通知后应及时核对，并向基金托管人回复，进行解释或举证。</w:t>
      </w:r>
      <w:bookmarkEnd w:id="19"/>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在限期内，基金托管人有权随时对通知事项进行复查，督促基金管理人改正。基金管理人对基金托管人通知的违规事项未能在限期内纠正的，基金托管人应报告中国证监会。</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对于必须于估值完成后方可获知的监控指标或依据交易程序已经成交的投资指令，基金托管人发现该投资指令违反法律法规或者违反《基金合同》约定的，应当立即通知基金管理人，并报告中国证监会。</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基金托管人发现基金管理人有重大违规行为，应立即报告中国证监会，同时通知基金管理人限期纠正。</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20" w:name="_Toc69134060"/>
      <w:r>
        <w:rPr>
          <w:rFonts w:ascii="宋体" w:eastAsia="宋体" w:hAnsi="宋体" w:cs="Arial" w:hint="eastAsia"/>
          <w:sz w:val="21"/>
          <w:szCs w:val="21"/>
          <w:highlight w:val="white"/>
          <w:lang w:eastAsia="zh-CN"/>
        </w:rPr>
        <w:t>基金管理人对基金托管人的业务核查</w:t>
      </w:r>
      <w:bookmarkEnd w:id="20"/>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rsidR="001B6CFD">
      <w:pPr>
        <w:spacing w:line="360" w:lineRule="auto"/>
        <w:ind w:firstLine="420"/>
        <w:rPr>
          <w:rFonts w:ascii="宋体" w:hAnsi="宋体"/>
          <w:szCs w:val="21"/>
          <w:lang w:eastAsia="zh-CN"/>
        </w:rPr>
      </w:pPr>
      <w:r>
        <w:rPr>
          <w:rFonts w:ascii="宋体" w:hAnsi="宋体"/>
          <w:szCs w:val="21"/>
          <w:highlight w:val="white"/>
          <w:lang w:eastAsia="zh-CN"/>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基金托管人应积极配合基金管理人的核查行为，包括但不限于：提交相关资料以供基金管理人核查托管财产的完整性和真实性，在规定时间内答复基金管理人并改正。</w:t>
      </w:r>
    </w:p>
    <w:p w:rsidR="001B6CFD">
      <w:pPr>
        <w:spacing w:line="360" w:lineRule="auto"/>
        <w:ind w:firstLine="420"/>
        <w:rPr>
          <w:rFonts w:ascii="宋体" w:hAnsi="宋体"/>
          <w:lang w:eastAsia="zh-CN"/>
        </w:rPr>
      </w:pPr>
      <w:bookmarkStart w:id="21" w:name="_Toc382818598"/>
      <w:bookmarkStart w:id="22" w:name="_Toc382819077"/>
      <w:r>
        <w:rPr>
          <w:rFonts w:ascii="宋体" w:hAnsi="宋体" w:hint="eastAsia"/>
          <w:highlight w:val="white"/>
          <w:lang w:eastAsia="zh-CN"/>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1"/>
      <w:bookmarkEnd w:id="22"/>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23" w:name="_Toc69134061"/>
      <w:r>
        <w:rPr>
          <w:rFonts w:ascii="宋体" w:eastAsia="宋体" w:hAnsi="宋体" w:cs="Arial" w:hint="eastAsia"/>
          <w:sz w:val="21"/>
          <w:szCs w:val="21"/>
          <w:highlight w:val="white"/>
        </w:rPr>
        <w:t>基金财产保管</w:t>
      </w:r>
      <w:bookmarkEnd w:id="23"/>
    </w:p>
    <w:p w:rsidR="001B6CFD">
      <w:pPr>
        <w:pStyle w:val="21"/>
        <w:keepNext w:val="0"/>
        <w:keepLines w:val="0"/>
        <w:spacing w:before="0" w:after="0" w:line="360" w:lineRule="auto"/>
        <w:ind w:firstLine="315"/>
        <w:rPr>
          <w:rFonts w:ascii="宋体" w:eastAsia="宋体" w:hAnsi="宋体"/>
          <w:b w:val="0"/>
          <w:bCs w:val="0"/>
          <w:sz w:val="21"/>
          <w:szCs w:val="21"/>
          <w:lang w:eastAsia="zh-CN"/>
        </w:rPr>
      </w:pPr>
      <w:bookmarkStart w:id="24" w:name="_Toc382819079"/>
      <w:bookmarkStart w:id="25" w:name="_Toc69134062"/>
      <w:r>
        <w:rPr>
          <w:rFonts w:ascii="宋体" w:eastAsia="宋体" w:hAnsi="宋体" w:hint="eastAsia"/>
          <w:b w:val="0"/>
          <w:bCs w:val="0"/>
          <w:sz w:val="21"/>
          <w:szCs w:val="21"/>
          <w:highlight w:val="white"/>
          <w:lang w:eastAsia="zh-CN"/>
        </w:rPr>
        <w:t>（一）基金财产保管的原则</w:t>
      </w:r>
      <w:bookmarkEnd w:id="24"/>
      <w:bookmarkEnd w:id="25"/>
    </w:p>
    <w:p w:rsidR="001B6CFD">
      <w:pPr>
        <w:spacing w:line="360" w:lineRule="auto"/>
        <w:ind w:firstLine="420"/>
        <w:rPr>
          <w:rFonts w:ascii="宋体" w:hAnsi="宋体"/>
          <w:szCs w:val="21"/>
          <w:lang w:eastAsia="zh-CN"/>
        </w:rPr>
      </w:pPr>
      <w:r>
        <w:rPr>
          <w:rFonts w:ascii="宋体" w:hAnsi="宋体" w:hint="eastAsia"/>
          <w:szCs w:val="21"/>
          <w:highlight w:val="white"/>
          <w:lang w:eastAsia="zh-CN"/>
        </w:rPr>
        <w:t>1.基金财产应独立于基金管理人、基金托管人的固有财产。</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3.基金托管人按照规定为托管的基金财产开设资金账户和证券账户及投资所需其他账户。</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4.基金托管人对所托管的不同基金财产分别设置账户，与基金托管人的其他业务和其他基金的托管业务实行严格的分账管理，确保基金财产的完整与独立。</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5.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26" w:name="_Toc382819080"/>
      <w:bookmarkStart w:id="27" w:name="_Toc69134063"/>
      <w:r>
        <w:rPr>
          <w:rFonts w:ascii="宋体" w:eastAsia="宋体" w:hAnsi="宋体" w:hint="eastAsia"/>
          <w:b w:val="0"/>
          <w:bCs w:val="0"/>
          <w:sz w:val="21"/>
          <w:szCs w:val="21"/>
          <w:highlight w:val="white"/>
          <w:lang w:eastAsia="zh-CN"/>
        </w:rPr>
        <w:t>（二）募集资金的验证</w:t>
      </w:r>
      <w:bookmarkEnd w:id="26"/>
      <w:bookmarkEnd w:id="27"/>
    </w:p>
    <w:p w:rsidR="001B6CFD">
      <w:pPr>
        <w:spacing w:line="360" w:lineRule="auto"/>
        <w:ind w:firstLine="420"/>
        <w:rPr>
          <w:rFonts w:ascii="宋体" w:hAnsi="宋体"/>
          <w:szCs w:val="21"/>
          <w:lang w:eastAsia="zh-CN"/>
        </w:rPr>
      </w:pPr>
      <w:r>
        <w:rPr>
          <w:rFonts w:ascii="宋体" w:hAnsi="宋体"/>
          <w:szCs w:val="21"/>
          <w:highlight w:val="white"/>
          <w:lang w:eastAsia="zh-CN"/>
        </w:rPr>
        <w:t>募集期内认购资金划入认购专户。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中国注册会计师签字方为有效。募集的属于本基金财产的全部资金应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rsidR="001B6CFD">
      <w:pPr>
        <w:spacing w:line="360" w:lineRule="auto"/>
        <w:ind w:firstLine="420"/>
        <w:rPr>
          <w:rFonts w:ascii="宋体" w:hAnsi="宋体" w:cs="Arial"/>
          <w:szCs w:val="21"/>
          <w:lang w:eastAsia="zh-CN"/>
        </w:rPr>
      </w:pPr>
      <w:r>
        <w:rPr>
          <w:rFonts w:ascii="宋体" w:hAnsi="宋体" w:cs="Arial" w:hint="eastAsia"/>
          <w:szCs w:val="21"/>
          <w:highlight w:val="white"/>
          <w:lang w:eastAsia="zh-CN"/>
        </w:rPr>
        <w:t>若基金募集期限届满，未能达到《基金合同》备案的条件，由基金管理人按规定办理退款事宜。</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28" w:name="_Toc69134064"/>
      <w:bookmarkStart w:id="29" w:name="_Toc382819081"/>
      <w:r>
        <w:rPr>
          <w:rFonts w:ascii="宋体" w:eastAsia="宋体" w:hAnsi="宋体" w:hint="eastAsia"/>
          <w:b w:val="0"/>
          <w:bCs w:val="0"/>
          <w:sz w:val="21"/>
          <w:szCs w:val="21"/>
          <w:highlight w:val="white"/>
          <w:lang w:eastAsia="zh-CN"/>
        </w:rPr>
        <w:t>（三）基金资产托管专户的开立和管理</w:t>
      </w:r>
      <w:bookmarkEnd w:id="28"/>
      <w:bookmarkEnd w:id="29"/>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以基金的名义在其营业机构开设资产托管专户，并根据基金管理人合法合规的有效指令办理资金收付。基金管理人应根据法律法规及托管行的相关要求，提供开户所需的资料并提供其他必要协助。本基金的资产托管专户的预留印鉴的印章由基金托管人刻制、保管和使用。</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资产托管专户的管理应符合《人民币银行结算账户管理办法》、</w:t>
      </w:r>
      <w:r>
        <w:rPr>
          <w:rFonts w:ascii="宋体" w:hAnsi="宋体" w:hint="eastAsia"/>
          <w:szCs w:val="21"/>
          <w:highlight w:val="white"/>
          <w:lang w:eastAsia="zh-CN"/>
        </w:rPr>
        <w:t>《人民币利率管理规定》、《利率管理暂行规定》、《支付结算办法》以及银行业监督管理机构的其他有关规定。</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30" w:name="_Toc69134065"/>
      <w:bookmarkStart w:id="31" w:name="_Toc382819082"/>
      <w:r>
        <w:rPr>
          <w:rFonts w:ascii="宋体" w:eastAsia="宋体" w:hAnsi="宋体" w:hint="eastAsia"/>
          <w:b w:val="0"/>
          <w:bCs w:val="0"/>
          <w:sz w:val="21"/>
          <w:szCs w:val="21"/>
          <w:highlight w:val="white"/>
          <w:lang w:eastAsia="zh-CN"/>
        </w:rPr>
        <w:t>（四）基金证券账户与证券交易资金账户的开设和管理</w:t>
      </w:r>
      <w:bookmarkEnd w:id="30"/>
      <w:bookmarkEnd w:id="31"/>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基金托管人以基金托管人和本基金联名的方式在中国证券登记结算有限公司开立专门的证券账户。</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证券账户的开立和原始开户材料的保管由基金托管人负责，账户资产的管理和运用由基金管理人负责。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32" w:name="_Toc382819083"/>
      <w:bookmarkStart w:id="33" w:name="_Toc69134066"/>
      <w:r>
        <w:rPr>
          <w:rFonts w:ascii="宋体" w:eastAsia="宋体" w:hAnsi="宋体" w:hint="eastAsia"/>
          <w:b w:val="0"/>
          <w:bCs w:val="0"/>
          <w:sz w:val="21"/>
          <w:szCs w:val="21"/>
          <w:highlight w:val="white"/>
          <w:lang w:eastAsia="zh-CN"/>
        </w:rPr>
        <w:t>（五）银行间市场债券托管和资金结算专户的开立和管理及市场准入备案</w:t>
      </w:r>
      <w:bookmarkEnd w:id="32"/>
      <w:bookmarkEnd w:id="33"/>
    </w:p>
    <w:p w:rsidR="001B6CFD">
      <w:pPr>
        <w:spacing w:line="360" w:lineRule="auto"/>
        <w:ind w:firstLine="420"/>
        <w:rPr>
          <w:rFonts w:ascii="宋体" w:hAnsi="宋体"/>
          <w:szCs w:val="21"/>
          <w:lang w:eastAsia="zh-CN"/>
        </w:rPr>
      </w:pPr>
      <w:bookmarkStart w:id="34" w:name="_Toc382819084"/>
      <w:r>
        <w:rPr>
          <w:rFonts w:ascii="宋体" w:hAnsi="宋体" w:hint="eastAsia"/>
          <w:szCs w:val="21"/>
          <w:highlight w:val="white"/>
          <w:lang w:eastAsia="zh-CN"/>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34"/>
    </w:p>
    <w:p w:rsidR="001B6CFD">
      <w:pPr>
        <w:pStyle w:val="21"/>
        <w:keepNext w:val="0"/>
        <w:keepLines w:val="0"/>
        <w:spacing w:before="0" w:after="0" w:line="360" w:lineRule="auto"/>
        <w:ind w:firstLine="420"/>
        <w:rPr>
          <w:rFonts w:ascii="宋体" w:eastAsia="宋体" w:hAnsi="宋体"/>
          <w:sz w:val="21"/>
          <w:szCs w:val="21"/>
          <w:lang w:eastAsia="zh-CN"/>
        </w:rPr>
      </w:pPr>
      <w:bookmarkStart w:id="35" w:name="_Toc69134067"/>
      <w:r>
        <w:rPr>
          <w:rFonts w:ascii="宋体" w:eastAsia="宋体" w:hAnsi="宋体" w:hint="eastAsia"/>
          <w:b w:val="0"/>
          <w:bCs w:val="0"/>
          <w:sz w:val="21"/>
          <w:szCs w:val="21"/>
          <w:highlight w:val="white"/>
          <w:lang w:eastAsia="zh-CN"/>
        </w:rPr>
        <w:t>（六）其他账户的开设和管理</w:t>
      </w:r>
      <w:bookmarkEnd w:id="35"/>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1.因业务发展而需要开立的其它账户，可以根据《基金合同》或有关法律法规的规定，经基金管理人和基金托管人协商一致后，由基金托管人负责为基金开立。新账户按有关规则使用并管理。</w:t>
      </w:r>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2.法律、法规等有关规定对相关账户的开立和管理另有规定的，从其规定办理。</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36" w:name="_Toc382819085"/>
      <w:bookmarkStart w:id="37" w:name="_Toc69134068"/>
      <w:r>
        <w:rPr>
          <w:rFonts w:ascii="宋体" w:eastAsia="宋体" w:hAnsi="宋体" w:hint="eastAsia"/>
          <w:b w:val="0"/>
          <w:bCs w:val="0"/>
          <w:sz w:val="21"/>
          <w:szCs w:val="21"/>
          <w:highlight w:val="white"/>
          <w:lang w:eastAsia="zh-CN"/>
        </w:rPr>
        <w:t>（七）基金投资银行存款账户的开立和管理</w:t>
      </w:r>
      <w:bookmarkEnd w:id="36"/>
      <w:bookmarkEnd w:id="37"/>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基金投资银行定期存款，基金管理人与基金托管人应比照相关规定，就本基金投资银行存款业务签订书面协议。</w:t>
      </w:r>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基金投资银行定期存款应由基金管理人与存款银行总行或其授权分行签订总体合作协议，并将资金存放于存款银行总行或其授权分行指定的分支机构。</w:t>
      </w:r>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存款账户必须以基金名义开立，账户名称为基金名称，存款账户开户文件上加盖预留印鉴及基金管理人公章。</w:t>
      </w:r>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本基金投资银行存款时，基金管理人应当与存款银行签订具体存款协议，明确存款的类型、期限、利率、金额、账号、对账方式、支取方式、账户管理等细则。</w:t>
      </w:r>
    </w:p>
    <w:p w:rsidR="001B6CFD">
      <w:pPr>
        <w:tabs>
          <w:tab w:val="left" w:pos="4680"/>
        </w:tabs>
        <w:spacing w:line="360" w:lineRule="auto"/>
        <w:ind w:firstLine="420"/>
        <w:rPr>
          <w:rFonts w:ascii="宋体" w:hAnsi="宋体"/>
          <w:szCs w:val="21"/>
          <w:lang w:eastAsia="zh-CN"/>
        </w:rPr>
      </w:pPr>
      <w:r>
        <w:rPr>
          <w:rFonts w:ascii="宋体" w:hAnsi="宋体" w:hint="eastAsia"/>
          <w:szCs w:val="21"/>
          <w:highlight w:val="white"/>
          <w:lang w:eastAsia="zh-CN"/>
        </w:rPr>
        <w:t>为防范特殊情况下的流动性风险，定期存款协议中应当约定提前支取条款。</w:t>
      </w:r>
    </w:p>
    <w:p w:rsidR="001B6CFD">
      <w:pPr>
        <w:tabs>
          <w:tab w:val="left" w:pos="4680"/>
        </w:tabs>
        <w:spacing w:line="360" w:lineRule="auto"/>
        <w:ind w:firstLine="420"/>
        <w:rPr>
          <w:rFonts w:ascii="宋体" w:hAnsi="宋体"/>
          <w:b/>
          <w:lang w:eastAsia="zh-CN"/>
        </w:rPr>
      </w:pPr>
      <w:bookmarkStart w:id="38" w:name="_Toc382819086"/>
      <w:r>
        <w:rPr>
          <w:rFonts w:ascii="宋体" w:hAnsi="宋体" w:hint="eastAsia"/>
          <w:highlight w:val="white"/>
          <w:lang w:eastAsia="zh-CN"/>
        </w:rPr>
        <w:t>基金所投资定期存款存续期间，基金管理人、基金托管人应当与存款银行建立定期对账机制，确保基金银行存款业务账目及核对的真实、准确。</w:t>
      </w:r>
      <w:bookmarkEnd w:id="38"/>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39" w:name="_Toc382819087"/>
      <w:bookmarkStart w:id="40" w:name="_Toc69134069"/>
      <w:r>
        <w:rPr>
          <w:rFonts w:ascii="宋体" w:eastAsia="宋体" w:hAnsi="宋体" w:hint="eastAsia"/>
          <w:b w:val="0"/>
          <w:bCs w:val="0"/>
          <w:sz w:val="21"/>
          <w:szCs w:val="21"/>
          <w:highlight w:val="white"/>
          <w:lang w:eastAsia="zh-CN"/>
        </w:rPr>
        <w:t>（八）基金财产投资的有关实物证券、银行定期存款存单等有价凭证的保管</w:t>
      </w:r>
      <w:bookmarkEnd w:id="39"/>
      <w:bookmarkEnd w:id="40"/>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财产投资的有关实物证券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41" w:name="_Toc69134070"/>
      <w:r>
        <w:rPr>
          <w:rFonts w:ascii="宋体" w:eastAsia="宋体" w:hAnsi="宋体" w:hint="eastAsia"/>
          <w:b w:val="0"/>
          <w:bCs w:val="0"/>
          <w:sz w:val="21"/>
          <w:szCs w:val="21"/>
          <w:highlight w:val="white"/>
          <w:lang w:eastAsia="zh-CN"/>
        </w:rPr>
        <w:t>（九）与基金财产有关的重大合同的保管</w:t>
      </w:r>
      <w:bookmarkEnd w:id="41"/>
    </w:p>
    <w:p w:rsidR="001B6CFD">
      <w:pPr>
        <w:spacing w:line="360" w:lineRule="auto"/>
        <w:ind w:firstLine="420"/>
        <w:rPr>
          <w:rFonts w:ascii="宋体" w:hAnsi="宋体"/>
          <w:szCs w:val="21"/>
          <w:lang w:eastAsia="zh-CN"/>
        </w:rPr>
      </w:pPr>
      <w:r>
        <w:rPr>
          <w:rFonts w:ascii="宋体" w:hAnsi="宋体" w:hint="eastAsia"/>
          <w:szCs w:val="21"/>
          <w:highlight w:val="white"/>
          <w:lang w:eastAsia="zh-CN"/>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20年以上。</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42" w:name="_Toc69134071"/>
      <w:bookmarkStart w:id="43" w:name="_Toc69134072"/>
      <w:bookmarkEnd w:id="42"/>
      <w:r>
        <w:rPr>
          <w:rFonts w:ascii="宋体" w:eastAsia="宋体" w:hAnsi="宋体" w:cs="Arial" w:hint="eastAsia"/>
          <w:sz w:val="21"/>
          <w:szCs w:val="21"/>
          <w:highlight w:val="white"/>
          <w:lang w:eastAsia="zh-CN"/>
        </w:rPr>
        <w:t>指令的发送、确认和执行</w:t>
      </w:r>
      <w:bookmarkEnd w:id="43"/>
    </w:p>
    <w:p w:rsidR="001B6CFD">
      <w:pPr>
        <w:spacing w:line="360" w:lineRule="auto"/>
        <w:ind w:firstLine="420"/>
        <w:rPr>
          <w:rFonts w:ascii="宋体" w:hAnsi="宋体"/>
          <w:b/>
          <w:lang w:eastAsia="zh-CN"/>
        </w:rPr>
      </w:pPr>
      <w:bookmarkStart w:id="44" w:name="_Toc382819089"/>
      <w:r>
        <w:rPr>
          <w:rFonts w:ascii="宋体" w:hAnsi="宋体" w:hint="eastAsia"/>
          <w:highlight w:val="white"/>
          <w:lang w:eastAsia="zh-CN"/>
        </w:rPr>
        <w:t>基金管理人在运用基金财产时向基金托管人发送资金划拨及其他款项付款指令，基金托管人执行基金管理人合法合规且符合本协议相关约定的指令、办理基金名下的资金往来等有关事项。</w:t>
      </w:r>
      <w:bookmarkEnd w:id="44"/>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45" w:name="_Toc382819090"/>
      <w:bookmarkStart w:id="46" w:name="_Toc69134073"/>
      <w:r>
        <w:rPr>
          <w:rFonts w:ascii="宋体" w:eastAsia="宋体" w:hAnsi="宋体" w:hint="eastAsia"/>
          <w:b w:val="0"/>
          <w:bCs w:val="0"/>
          <w:sz w:val="21"/>
          <w:szCs w:val="21"/>
          <w:highlight w:val="white"/>
          <w:lang w:eastAsia="zh-CN"/>
        </w:rPr>
        <w:t>（一）基金管理人对发送指令人员的书面授权</w:t>
      </w:r>
      <w:bookmarkEnd w:id="45"/>
      <w:bookmarkEnd w:id="46"/>
    </w:p>
    <w:p w:rsidR="001B6CFD">
      <w:pPr>
        <w:spacing w:line="360" w:lineRule="auto"/>
        <w:ind w:firstLine="420"/>
        <w:rPr>
          <w:rFonts w:ascii="宋体" w:hAnsi="宋体"/>
          <w:lang w:eastAsia="zh-CN"/>
        </w:rPr>
      </w:pPr>
      <w:bookmarkStart w:id="47" w:name="_Toc382819091"/>
      <w:bookmarkStart w:id="48" w:name="_Toc382818601"/>
      <w:r>
        <w:rPr>
          <w:rFonts w:ascii="宋体" w:hAnsi="宋体" w:hint="eastAsia"/>
          <w:highlight w:val="white"/>
          <w:lang w:eastAsia="zh-CN"/>
        </w:rPr>
        <w:t>基金管理人应向基金托管人提供预留印鉴和被授权人签字样本，事先书面通知（以下简称“授权通知”）基金托管人有权发</w:t>
      </w:r>
      <w:r>
        <w:rPr>
          <w:rFonts w:ascii="宋体" w:hAnsi="宋体"/>
          <w:highlight w:val="white"/>
          <w:lang w:eastAsia="zh-CN"/>
        </w:rPr>
        <w:t>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w:t>
      </w:r>
      <w:r>
        <w:rPr>
          <w:rFonts w:ascii="宋体" w:hAnsi="宋体" w:hint="eastAsia"/>
          <w:highlight w:val="white"/>
          <w:lang w:eastAsia="zh-CN"/>
        </w:rPr>
        <w:t>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47"/>
      <w:bookmarkEnd w:id="48"/>
      <w:r>
        <w:rPr>
          <w:rFonts w:ascii="宋体" w:hAnsi="宋体" w:hint="eastAsia"/>
          <w:szCs w:val="21"/>
          <w:highlight w:val="white"/>
          <w:lang w:eastAsia="zh-CN"/>
        </w:rPr>
        <w:t>，</w:t>
      </w:r>
      <w:r>
        <w:rPr>
          <w:rFonts w:ascii="宋体" w:hAnsi="宋体" w:hint="eastAsia"/>
          <w:highlight w:val="white"/>
          <w:lang w:eastAsia="zh-CN"/>
        </w:rPr>
        <w:t>但法律法规或有权机关另有要求的除外。</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49" w:name="_Toc382819092"/>
      <w:bookmarkStart w:id="50" w:name="_Toc69134074"/>
      <w:r>
        <w:rPr>
          <w:rFonts w:ascii="宋体" w:eastAsia="宋体" w:hAnsi="宋体" w:hint="eastAsia"/>
          <w:b w:val="0"/>
          <w:bCs w:val="0"/>
          <w:sz w:val="21"/>
          <w:szCs w:val="21"/>
          <w:highlight w:val="white"/>
          <w:lang w:eastAsia="zh-CN"/>
        </w:rPr>
        <w:t>（二）指令的内容</w:t>
      </w:r>
      <w:bookmarkEnd w:id="49"/>
      <w:bookmarkEnd w:id="50"/>
    </w:p>
    <w:p w:rsidR="001B6CFD">
      <w:pPr>
        <w:spacing w:line="360" w:lineRule="auto"/>
        <w:ind w:firstLine="420"/>
        <w:rPr>
          <w:rFonts w:ascii="宋体" w:hAnsi="宋体"/>
          <w:szCs w:val="21"/>
          <w:lang w:eastAsia="zh-CN"/>
        </w:rPr>
      </w:pPr>
      <w:r>
        <w:rPr>
          <w:rFonts w:ascii="宋体" w:hAnsi="宋体" w:hint="eastAsia"/>
          <w:szCs w:val="21"/>
          <w:highlight w:val="white"/>
          <w:lang w:eastAsia="zh-CN"/>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2．基金管理人发给基金托管人的指令应写明付款账号、付款户名、开户行、收款账号、收款户名、开户行、款项事由、支付时间、到账时间、金额、账户等，加盖预留印鉴并有被授权人签字。</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51" w:name="_Toc69134075"/>
      <w:bookmarkStart w:id="52" w:name="_Toc382819093"/>
      <w:r>
        <w:rPr>
          <w:rFonts w:ascii="宋体" w:eastAsia="宋体" w:hAnsi="宋体" w:hint="eastAsia"/>
          <w:b w:val="0"/>
          <w:bCs w:val="0"/>
          <w:sz w:val="21"/>
          <w:szCs w:val="21"/>
          <w:highlight w:val="white"/>
          <w:lang w:eastAsia="zh-CN"/>
        </w:rPr>
        <w:t>（三）指令的发送、确认和执行的时间和程序</w:t>
      </w:r>
      <w:bookmarkEnd w:id="51"/>
      <w:bookmarkEnd w:id="52"/>
    </w:p>
    <w:p w:rsidR="001B6CFD">
      <w:pPr>
        <w:spacing w:line="360" w:lineRule="auto"/>
        <w:ind w:firstLine="420"/>
        <w:rPr>
          <w:rFonts w:ascii="宋体" w:hAnsi="宋体"/>
          <w:szCs w:val="21"/>
          <w:lang w:eastAsia="zh-CN"/>
        </w:rPr>
      </w:pPr>
      <w:r>
        <w:rPr>
          <w:rFonts w:ascii="宋体" w:hAnsi="宋体"/>
          <w:szCs w:val="21"/>
          <w:highlight w:val="white"/>
          <w:lang w:eastAsia="zh-CN"/>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银行间指令、定期存款指令、非担保交收指令、新股、增发等申购指令）应在15点（指令截至时间）前提交基金托管人，如基金管理人要求当天某一时点到账，则指令需提前2个工作小时(工作时间9点至11点30分,13点至17点)提交基金托管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新股申购指令，基金管理人须在申购前1个工作日向基金托管人发送指令，如需在申购当日下达指令，基金管理人应为基金托管人留出执行指令所必需的时间，指令最迟不得晚于上午11：00点（指令截至时间）提交基金托管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如划款指令中给予基金托管人的划拨时间小于2个工作小时或晚于前述指令截至时间的，基金托管人应尽力在指定时间内完成资金划拨,但不承担因时间不足导致执行失败的责任。</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基金管理人原因造成的指令传输不及时、未能留出足够划款所需时间，致使资金未能及时到账所造成的损失不由基金托管人承担。</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基金管理人应将同业市场国债交易通知单加盖预留印鉴后传真给基金托管人。</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53" w:name="_Toc69134076"/>
      <w:bookmarkStart w:id="54" w:name="_Toc382819094"/>
      <w:r>
        <w:rPr>
          <w:rFonts w:ascii="宋体" w:eastAsia="宋体" w:hAnsi="宋体" w:hint="eastAsia"/>
          <w:b w:val="0"/>
          <w:bCs w:val="0"/>
          <w:sz w:val="21"/>
          <w:szCs w:val="21"/>
          <w:highlight w:val="white"/>
          <w:lang w:eastAsia="zh-CN"/>
        </w:rPr>
        <w:t>（四）基金管理人发送错误指令的情形和处理程序</w:t>
      </w:r>
      <w:bookmarkEnd w:id="53"/>
      <w:bookmarkEnd w:id="54"/>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基金管理人发送错误指令的情形包括但不限于指令发送人员无权或超越权限发送指令及交割信息错误，指令中重要信息模糊不清或不全,指令违反法律法规和《基金合同》及本协议约定等。</w:t>
      </w:r>
    </w:p>
    <w:p w:rsidR="001B6CFD">
      <w:pPr>
        <w:spacing w:line="360" w:lineRule="auto"/>
        <w:ind w:firstLine="420"/>
        <w:rPr>
          <w:rFonts w:ascii="宋体" w:hAnsi="宋体"/>
          <w:lang w:eastAsia="zh-CN"/>
        </w:rPr>
      </w:pPr>
      <w:r>
        <w:rPr>
          <w:rFonts w:ascii="宋体" w:hAnsi="宋体" w:hint="eastAsia"/>
          <w:szCs w:val="21"/>
          <w:highlight w:val="white"/>
          <w:lang w:eastAsia="zh-CN"/>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55" w:name="_Toc382819095"/>
      <w:bookmarkStart w:id="56" w:name="_Toc69134077"/>
      <w:r>
        <w:rPr>
          <w:rFonts w:ascii="宋体" w:eastAsia="宋体" w:hAnsi="宋体" w:hint="eastAsia"/>
          <w:b w:val="0"/>
          <w:bCs w:val="0"/>
          <w:sz w:val="21"/>
          <w:szCs w:val="21"/>
          <w:highlight w:val="white"/>
          <w:lang w:eastAsia="zh-CN"/>
        </w:rPr>
        <w:t>（五）基金托管人未按照基金管理人指令执行的处理方法</w:t>
      </w:r>
      <w:bookmarkEnd w:id="55"/>
      <w:bookmarkEnd w:id="56"/>
    </w:p>
    <w:p w:rsidR="001B6CFD">
      <w:pPr>
        <w:spacing w:line="360" w:lineRule="auto"/>
        <w:ind w:firstLine="420"/>
        <w:rPr>
          <w:rFonts w:ascii="宋体" w:hAnsi="宋体"/>
          <w:szCs w:val="21"/>
          <w:lang w:eastAsia="zh-CN"/>
        </w:rPr>
      </w:pPr>
      <w:r>
        <w:rPr>
          <w:rFonts w:ascii="宋体" w:hAnsi="宋体" w:hint="eastAsia"/>
          <w:szCs w:val="21"/>
          <w:highlight w:val="white"/>
          <w:lang w:eastAsia="zh-CN"/>
        </w:rPr>
        <w:t>除本协议另有约定外，基金托管人由于自身原因造成未按照或者未及时按照基金管理人发送的符合本协议约定的、按照正常交易程序已经生效的指令执行，给基金份额持有人造成损失的，应负责赔偿相应的损失。</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57" w:name="_Toc382819096"/>
      <w:bookmarkStart w:id="58" w:name="_Toc69134078"/>
      <w:r>
        <w:rPr>
          <w:rFonts w:ascii="宋体" w:eastAsia="宋体" w:hAnsi="宋体" w:hint="eastAsia"/>
          <w:b w:val="0"/>
          <w:bCs w:val="0"/>
          <w:sz w:val="21"/>
          <w:szCs w:val="21"/>
          <w:highlight w:val="white"/>
          <w:lang w:eastAsia="zh-CN"/>
        </w:rPr>
        <w:t>（六）更换被授权人的程序</w:t>
      </w:r>
      <w:bookmarkEnd w:id="57"/>
      <w:bookmarkEnd w:id="58"/>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回函书面传真基金管理人或通过电话向基金管理人确认。</w:t>
      </w:r>
      <w:r>
        <w:rPr>
          <w:rFonts w:ascii="宋体" w:hAnsi="宋体"/>
          <w:szCs w:val="21"/>
          <w:highlight w:val="white"/>
          <w:lang w:eastAsia="zh-CN"/>
        </w:rPr>
        <w:t>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受基金管理人指令的人员，应提前通过邮件、传真或录音电话等方式通知基金管理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（七）其它事项</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基金管理人承担下达违法、违规或违反《基金合同》和本协议约定的指令所导致的责任。基金托管人对执行基金管理人的按照正常交易程序已经生效的指令对基金财产造成的损失不承担赔偿责任。</w:t>
      </w:r>
    </w:p>
    <w:p w:rsidR="001B6CFD">
      <w:pPr>
        <w:pStyle w:val="11"/>
        <w:keepNext w:val="0"/>
        <w:keepLines w:val="0"/>
        <w:numPr>
          <w:ilvl w:val="0"/>
          <w:numId w:val="2"/>
        </w:numPr>
        <w:tabs>
          <w:tab w:val="left" w:pos="420"/>
        </w:tabs>
        <w:spacing w:before="360" w:after="360"/>
        <w:rPr>
          <w:rFonts w:ascii="宋体" w:eastAsia="宋体" w:hAnsi="宋体"/>
          <w:sz w:val="21"/>
          <w:szCs w:val="21"/>
        </w:rPr>
      </w:pPr>
      <w:bookmarkStart w:id="59" w:name="_Toc69134079"/>
      <w:r>
        <w:rPr>
          <w:rFonts w:ascii="宋体" w:eastAsia="宋体" w:hAnsi="宋体" w:hint="eastAsia"/>
          <w:sz w:val="21"/>
          <w:szCs w:val="21"/>
          <w:highlight w:val="white"/>
        </w:rPr>
        <w:t>交易及清算交收安排</w:t>
      </w:r>
      <w:bookmarkEnd w:id="59"/>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60" w:name="_Toc382819098"/>
      <w:bookmarkStart w:id="61" w:name="_Toc69134080"/>
      <w:r>
        <w:rPr>
          <w:rFonts w:ascii="宋体" w:eastAsia="宋体" w:hAnsi="宋体" w:hint="eastAsia"/>
          <w:b w:val="0"/>
          <w:bCs w:val="0"/>
          <w:sz w:val="21"/>
          <w:szCs w:val="21"/>
          <w:highlight w:val="white"/>
          <w:lang w:eastAsia="zh-CN"/>
        </w:rPr>
        <w:t>（一）选择代理证券买卖的证券经营机构的标准和程序</w:t>
      </w:r>
      <w:bookmarkEnd w:id="60"/>
      <w:bookmarkEnd w:id="61"/>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基金管理人负责选择代理本基金证券买卖的证券经营机构。</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负责根据相关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应在基金起始运作前将基金专用交易单元号、佣金费率等基本信息以及变更情况及时以书面形式通知基金托管人,并将被选中证券经营机构提供的《交易单元租用协议》及时送达基金托管人，确保基金托管人申请接收结算数据。</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62" w:name="_Toc382819099"/>
      <w:bookmarkStart w:id="63" w:name="_Toc69134081"/>
      <w:r>
        <w:rPr>
          <w:rFonts w:ascii="宋体" w:eastAsia="宋体" w:hAnsi="宋体" w:hint="eastAsia"/>
          <w:b w:val="0"/>
          <w:bCs w:val="0"/>
          <w:sz w:val="21"/>
          <w:szCs w:val="21"/>
          <w:highlight w:val="white"/>
          <w:lang w:eastAsia="zh-CN"/>
        </w:rPr>
        <w:t>（二）基金投资证券后的清算交收安排</w:t>
      </w:r>
      <w:bookmarkStart w:id="64" w:name="_Toc382819100"/>
      <w:bookmarkEnd w:id="62"/>
      <w:bookmarkEnd w:id="63"/>
    </w:p>
    <w:p w:rsidR="001B6CFD">
      <w:pPr>
        <w:spacing w:line="360" w:lineRule="auto"/>
        <w:ind w:firstLine="420"/>
        <w:rPr>
          <w:rFonts w:ascii="宋体" w:hAnsi="宋体"/>
          <w:b/>
          <w:lang w:eastAsia="zh-CN"/>
        </w:rPr>
      </w:pPr>
      <w:r>
        <w:rPr>
          <w:rFonts w:ascii="宋体" w:hAnsi="宋体" w:hint="eastAsia"/>
          <w:highlight w:val="white"/>
          <w:lang w:eastAsia="zh-CN"/>
        </w:rPr>
        <w:t>1．本基金投资于证券发生的所有场内、场外交易的资金清算交割，全部由基金托管人负责办理。</w:t>
      </w:r>
      <w:bookmarkStart w:id="65" w:name="_Toc382819101"/>
      <w:bookmarkEnd w:id="64"/>
    </w:p>
    <w:p w:rsidR="001B6CFD">
      <w:pPr>
        <w:spacing w:line="360" w:lineRule="auto"/>
        <w:ind w:firstLine="420"/>
        <w:rPr>
          <w:rFonts w:ascii="宋体" w:hAnsi="宋体"/>
          <w:b/>
          <w:lang w:eastAsia="zh-CN"/>
        </w:rPr>
      </w:pPr>
      <w:r>
        <w:rPr>
          <w:rFonts w:ascii="宋体" w:hAnsi="宋体"/>
          <w:highlight w:val="white"/>
          <w:lang w:eastAsia="zh-CN"/>
        </w:rPr>
        <w:t>2</w:t>
      </w:r>
      <w:r>
        <w:rPr>
          <w:rFonts w:ascii="宋体" w:hAnsi="宋体" w:hint="eastAsia"/>
          <w:highlight w:val="white"/>
          <w:lang w:eastAsia="zh-CN"/>
        </w:rPr>
        <w:t>．</w:t>
      </w:r>
      <w:r>
        <w:rPr>
          <w:rFonts w:ascii="宋体" w:hAnsi="宋体"/>
          <w:highlight w:val="white"/>
          <w:lang w:eastAsia="zh-CN"/>
        </w:rPr>
        <w:t>本基金投资于场内交易的投资品种前，基金管理人和基金托管人应当另行签署托管银行证券资金结算协议。</w:t>
      </w:r>
      <w:bookmarkEnd w:id="65"/>
    </w:p>
    <w:p w:rsidR="001B6CFD">
      <w:pPr>
        <w:spacing w:line="360" w:lineRule="auto"/>
        <w:ind w:firstLine="420"/>
        <w:rPr>
          <w:rFonts w:ascii="宋体" w:hAnsi="宋体"/>
          <w:szCs w:val="21"/>
          <w:lang w:eastAsia="zh-CN"/>
        </w:rPr>
      </w:pPr>
      <w:r>
        <w:rPr>
          <w:rFonts w:ascii="宋体" w:hAnsi="宋体" w:hint="eastAsia"/>
          <w:szCs w:val="21"/>
          <w:highlight w:val="white"/>
          <w:lang w:eastAsia="zh-CN"/>
        </w:rPr>
        <w:t>3．本基金投资于非担保交收的投资品种时，基金管理人应遵守基金托管人提前以告客户书形式提供的书面通知。</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4．银行间债券券款对付结算</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 xml:space="preserve">基金管理人应及时将银行间上清所、中债登划款指令和成交通知单按相关规定提交基金托管人，基金管理人应为基金托管人留出执行指令所必需的时间。  </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投资管理人应根据中债登、上清所提供的查询功能，实时跟踪交易结算情况、证券与资金到账与余额变动情况，便于监控结算过程，做好资金与交易匹配的前端控制。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5．定期存款投资</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基金管理人与存款行签订的存款协议条款格式应在定期存款起息日的前一个工作日发送给基金托管人，</w:t>
      </w:r>
      <w:r>
        <w:rPr>
          <w:rFonts w:ascii="宋体" w:hAnsi="宋体" w:hint="eastAsia"/>
          <w:highlight w:val="white"/>
          <w:lang w:eastAsia="zh-CN"/>
        </w:rPr>
        <w:t>基金管理人应将</w:t>
      </w:r>
      <w:r>
        <w:rPr>
          <w:rFonts w:ascii="宋体" w:hAnsi="宋体" w:hint="eastAsia"/>
          <w:szCs w:val="21"/>
          <w:highlight w:val="white"/>
          <w:lang w:eastAsia="zh-CN"/>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 xml:space="preserve">基金管理人在发送投资指令时，应为基金托管人执行投资指令留出执行指令所必需的时间。投资指令传输不及时、未能留出足够的划款时间，导致资金未能及时到账所造成的损失由基金管理人承担。 </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存款银行无法在存入当日17点前向基金托管人送达存款证实书的，投资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投资管理人与存款银行签订的存款协议，应包括：</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（1）存款银行为托管资产办理定期存款业务的存款账户开立、资金存入和支取提供必要的支持和高效的结算服务；</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定期存款到期日当日或提前支取日当日，存款银行应派授权代理人前往基金托管人处提取“证实书”。“证实书”移交给存款行授权代理人之后，因“证实书”丢失、损毁而造成的一切损失由存款银行承担。</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存款银行应至少提前一个工作日向基金托管人提供对前述授权代理人办理相关事务的书面授权书。授权代理人提供上门服务时，应出示有效身份证或工作证。</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4）存款银行应保证及时支付存款本金和利息，于支取当日将本息划付至本基金开立在基金托管人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（5）存款银行应为定期存款业务提供定期对账服务。首次对账应不晚于存款资金存入后的一个自然月。除首次对账外，对账频率不少于每半年一次。存款银行应配合基金托管人对“证实书”的书面征询。</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（6）在存款存续期内，“证实书”的预留印鉴发生变更的，存款银行应配合办理变更手续。</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6．本基金拟投资于期货交易市场前，基金管理人、期货经纪机构及基金托管人应当另行签署期货投资托管协议。</w:t>
      </w:r>
    </w:p>
    <w:p w:rsidR="001B6CFD">
      <w:pPr>
        <w:spacing w:line="360" w:lineRule="auto"/>
        <w:ind w:firstLine="420"/>
        <w:rPr>
          <w:rFonts w:ascii="宋体" w:hAnsi="宋体"/>
          <w:szCs w:val="21"/>
          <w:lang w:eastAsia="zh-CN"/>
        </w:rPr>
      </w:pPr>
      <w:r>
        <w:rPr>
          <w:rFonts w:ascii="宋体" w:hAnsi="宋体"/>
          <w:highlight w:val="white"/>
          <w:lang w:eastAsia="zh-CN"/>
        </w:rPr>
        <w:t>7</w:t>
      </w:r>
      <w:r>
        <w:rPr>
          <w:rFonts w:ascii="宋体" w:hAnsi="宋体" w:hint="eastAsia"/>
          <w:highlight w:val="white"/>
          <w:lang w:eastAsia="zh-CN"/>
        </w:rPr>
        <w:t>．</w:t>
      </w:r>
      <w:r>
        <w:rPr>
          <w:rFonts w:ascii="宋体" w:hAnsi="宋体" w:hint="eastAsia"/>
          <w:szCs w:val="21"/>
          <w:highlight w:val="white"/>
          <w:lang w:eastAsia="zh-CN"/>
        </w:rPr>
        <w:t>基金参与港股通交易的清算交收安排</w:t>
      </w:r>
    </w:p>
    <w:p w:rsidR="001B6CFD">
      <w:pPr>
        <w:spacing w:line="360" w:lineRule="auto"/>
        <w:ind w:firstLine="420"/>
        <w:rPr>
          <w:rFonts w:ascii="宋体" w:hAnsi="宋体"/>
          <w:szCs w:val="21"/>
          <w:lang w:eastAsia="zh-CN"/>
        </w:rPr>
      </w:pPr>
      <w:r>
        <w:rPr>
          <w:rFonts w:ascii="宋体" w:hAnsi="宋体"/>
          <w:szCs w:val="21"/>
          <w:highlight w:val="white"/>
          <w:lang w:eastAsia="zh-CN"/>
        </w:rPr>
        <w:t>基金参与港股通交易的，基金管理人应保证在T日日终之前在托管的托管账户或港股通备付金账户上有足够的头寸用于港股通T+1日公司行动、证券组合费和风控资金的交收，在T+1日14：00之前在托管的托管账户或港股通备付金上有足够的头寸用于港股通T+2日交易资金的交收。对于T日港股通交易清算结果为净应付的，基金托管人于T+1日14：00扣收应付资金。对于T日港股通交易清算结果为净应收的，基金托管人在与中国证券登记结算有限公司完成净应收资金交割后，于T+3日上午12:00前返还应收资金。在T+1日冻结的净买入应付清算款可使用当日到达备付金账户的净卖出应收清算款进行抵扣。如遇特殊情况，T+1日14：00前扣收的应付资金可延迟至T+2日10：00前扣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如由于基金管理人的过错导致港股通交收失败，由此给本基金造成的经济损失，由基金管理人承担。如由于非基金管理人和基金托管人的原因导致港股通交收失败，由此给基金资产组合造成的经济损失，可先由基金管理人垫付，由基金管理人向过错人追偿。</w:t>
      </w:r>
    </w:p>
    <w:p w:rsidR="001B6CFD">
      <w:pPr>
        <w:tabs>
          <w:tab w:val="left" w:pos="4680"/>
        </w:tabs>
        <w:spacing w:line="360" w:lineRule="auto"/>
        <w:ind w:firstLine="420"/>
        <w:jc w:val="left"/>
        <w:rPr>
          <w:rFonts w:ascii="宋体" w:hAnsi="宋体"/>
          <w:lang w:eastAsia="zh-CN"/>
        </w:rPr>
      </w:pPr>
      <w:bookmarkStart w:id="66" w:name="_Toc69134082"/>
      <w:bookmarkStart w:id="67" w:name="_Toc382819102"/>
      <w:r>
        <w:rPr>
          <w:rFonts w:ascii="宋体" w:hAnsi="宋体" w:hint="eastAsia"/>
          <w:highlight w:val="white"/>
          <w:lang w:eastAsia="zh-CN"/>
        </w:rPr>
        <w:t>（三）可用资金余额的确认</w:t>
      </w:r>
      <w:bookmarkEnd w:id="66"/>
      <w:bookmarkEnd w:id="67"/>
    </w:p>
    <w:p w:rsidR="001B6CFD">
      <w:pPr>
        <w:spacing w:line="360" w:lineRule="auto"/>
        <w:ind w:firstLine="420"/>
        <w:rPr>
          <w:rFonts w:ascii="宋体" w:hAnsi="宋体"/>
          <w:lang w:eastAsia="zh-CN"/>
        </w:rPr>
      </w:pPr>
      <w:r>
        <w:rPr>
          <w:rFonts w:ascii="宋体" w:hAnsi="宋体" w:hint="eastAsia"/>
          <w:szCs w:val="21"/>
          <w:highlight w:val="white"/>
          <w:lang w:eastAsia="zh-CN"/>
        </w:rPr>
        <w:t>基金托管人应于每个工作日上午9：30 前将托管账户的可用资金余额以双方认可的方式提供给基金管理人。</w:t>
      </w:r>
    </w:p>
    <w:p w:rsidR="001B6CFD">
      <w:pPr>
        <w:tabs>
          <w:tab w:val="left" w:pos="4680"/>
        </w:tabs>
        <w:spacing w:line="360" w:lineRule="auto"/>
        <w:ind w:firstLine="420"/>
        <w:jc w:val="left"/>
        <w:rPr>
          <w:rFonts w:ascii="宋体" w:hAnsi="宋体"/>
          <w:lang w:eastAsia="zh-CN"/>
        </w:rPr>
      </w:pPr>
      <w:r>
        <w:rPr>
          <w:rFonts w:ascii="宋体" w:hAnsi="宋体" w:hint="eastAsia"/>
          <w:highlight w:val="white"/>
          <w:lang w:eastAsia="zh-CN"/>
        </w:rPr>
        <w:t>（四）交易记录、资金、证券账目的核对</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1．交易记录的核对</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基金管理人和基金托管人按日进行交易记录的核对。每日对外披露净值之前，必须保证当天所有实际交易记录与基金会计账簿上的交易记录一致。</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2．资金账目的核对</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资金账目包括基金的银行存款等会计资料。资金账目由基金托管人每日进行账实核对，基金管理人复核基金托管人提供的可用头寸表核对资金余额。银行存款账户每日核对，做到账账相符、账实相符。</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3．证券账目的核对</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证券账目是指以基金名义开立的证券交易账户和实物托管账户中的证券种类、数量和金额。基金管理人和基金托管人每日核对证券账目余额。证券账目的账实核对由基金托管人负责，证券交易所证券账目每交易日结束后核对一次，银行间市场证券账目每月末核对一次，确保账实相符。</w:t>
      </w:r>
    </w:p>
    <w:p w:rsidR="001B6CFD">
      <w:pPr>
        <w:tabs>
          <w:tab w:val="left" w:pos="4680"/>
        </w:tabs>
        <w:spacing w:line="360" w:lineRule="auto"/>
        <w:ind w:firstLine="420"/>
        <w:jc w:val="left"/>
        <w:rPr>
          <w:rFonts w:ascii="宋体" w:hAnsi="宋体"/>
          <w:lang w:eastAsia="zh-CN"/>
        </w:rPr>
      </w:pPr>
      <w:r>
        <w:rPr>
          <w:rFonts w:ascii="宋体" w:hAnsi="宋体" w:hint="eastAsia"/>
          <w:highlight w:val="white"/>
          <w:lang w:eastAsia="zh-CN"/>
        </w:rPr>
        <w:t>（五）基金申购、赎回、转换业务处理的基本规定</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1．本基金具体办理申购、赎回的时间以公告为准。基金份额申购、赎回的确认、清算由基金管理人或其委托的登记机构负责。</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2．基金管理人应在每个交易日向基金托管人发送基金管理人确认的申购、赎回和转换开放式基金的有关数据，并对上述数据的真实、准确、完整性负责。基金托管人应及时查收应收资金的到账情况并根据基金管理人指令及时划付应付款项。基金管理人应保证本基金（或本基金管理人委托）的注册登记机构每个工作日15:00 前向基金托管人发送开放日的上述有关数据，并保证相关数据的准确、完整。</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4．基金管理人发送注册登记数据的接口规范与基金托管人接收注册登记数据的接口规范应保持一致。</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5．基金注册登记清算专用账户的开立和管理</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为满足申购、赎回等资金汇划的需要，基金管理人应开立用于基金申购、赎回等资金清算的基金注册登记清算专用账户。</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6．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基金托管人不承担任何责任。</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7．赎回资金的支付</w:t>
      </w:r>
    </w:p>
    <w:p w:rsidR="001B6CFD">
      <w:pPr>
        <w:tabs>
          <w:tab w:val="left" w:pos="4680"/>
        </w:tabs>
        <w:spacing w:line="360" w:lineRule="auto"/>
        <w:ind w:firstLine="420"/>
        <w:jc w:val="left"/>
        <w:rPr>
          <w:rFonts w:ascii="宋体" w:hAnsi="宋体"/>
          <w:szCs w:val="21"/>
          <w:lang w:eastAsia="zh-CN"/>
        </w:rPr>
      </w:pPr>
      <w:r>
        <w:rPr>
          <w:rFonts w:ascii="宋体" w:hAnsi="宋体"/>
          <w:szCs w:val="21"/>
          <w:highlight w:val="white"/>
          <w:lang w:eastAsia="zh-CN"/>
        </w:rPr>
        <w:t>基金托管人在根据基金管理人指令支付款项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8．资金支付执行和责任界定</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 xml:space="preserve"> 除申购款项到达基金托管人处的基金账户需双方按约定方式对账外，净额划出、赎回资金支付时，应按照本协议相关规定执行。若本协议没有规定的按双方协商一致内容执行。</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9．暂停赎回和巨额赎回处理</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基金管理人应严格按照相关法律法规以及《基金合同》的规定，对暂停赎回的情形进行相应处理。基金管理人应严格按照相关法律法规以及《基金合同》的规定，对巨额赎回的情形进行相应处理。</w:t>
      </w:r>
    </w:p>
    <w:p w:rsidR="001B6CFD">
      <w:pPr>
        <w:tabs>
          <w:tab w:val="left" w:pos="4680"/>
        </w:tabs>
        <w:spacing w:line="360" w:lineRule="auto"/>
        <w:ind w:firstLine="420"/>
        <w:jc w:val="left"/>
        <w:rPr>
          <w:rFonts w:ascii="宋体" w:hAnsi="宋体"/>
          <w:lang w:eastAsia="zh-CN"/>
        </w:rPr>
      </w:pPr>
      <w:r>
        <w:rPr>
          <w:rFonts w:ascii="宋体" w:hAnsi="宋体" w:hint="eastAsia"/>
          <w:highlight w:val="white"/>
          <w:lang w:eastAsia="zh-CN"/>
        </w:rPr>
        <w:t>（六）申购赎回资金结算</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基金管理人负责根据T日投资人申购、赎回基金的确认数据汇总传输给基金托管人。基金管理人和基金托管人据此进行申购的基金会计处理。</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交收日及时从基金清算账户划</w:t>
      </w:r>
      <w:r>
        <w:rPr>
          <w:rFonts w:ascii="宋体" w:hAnsi="宋体"/>
          <w:szCs w:val="21"/>
          <w:highlight w:val="white"/>
          <w:lang w:eastAsia="zh-CN"/>
        </w:rPr>
        <w:t>往</w:t>
      </w:r>
      <w:r>
        <w:rPr>
          <w:rFonts w:ascii="宋体" w:hAnsi="宋体" w:hint="eastAsia"/>
          <w:szCs w:val="21"/>
          <w:highlight w:val="white"/>
          <w:lang w:eastAsia="zh-CN"/>
        </w:rPr>
        <w:t>基金托管账户，基金托管人在资金到账后应立即通知基金管理人，并将有关书面凭证传真给基金管理人进行账务管理；如存在托管账户净应付额时，基金管理人应及时将划款指令发送给基金托管人，基金托管人按基金管理人的划款指令将托管账户净应付额在交收日及时划往基金清算账户，基金托管人在资金划出后立即通知基金管理人，并将有关书面凭证交给基金管理人进行账务管理。</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1B6CFD">
      <w:pPr>
        <w:tabs>
          <w:tab w:val="left" w:pos="4680"/>
        </w:tabs>
        <w:spacing w:line="360" w:lineRule="auto"/>
        <w:ind w:firstLine="420"/>
        <w:jc w:val="left"/>
        <w:rPr>
          <w:rFonts w:ascii="宋体" w:hAnsi="宋体"/>
          <w:lang w:eastAsia="zh-CN"/>
        </w:rPr>
      </w:pPr>
      <w:r>
        <w:rPr>
          <w:rFonts w:ascii="宋体" w:hAnsi="宋体" w:hint="eastAsia"/>
          <w:highlight w:val="white"/>
          <w:lang w:eastAsia="zh-CN"/>
        </w:rPr>
        <w:t>（七）基金转换</w:t>
      </w:r>
    </w:p>
    <w:p w:rsidR="001B6CFD">
      <w:pPr>
        <w:tabs>
          <w:tab w:val="left" w:pos="4680"/>
        </w:tabs>
        <w:spacing w:line="360" w:lineRule="auto"/>
        <w:ind w:firstLine="420"/>
        <w:jc w:val="left"/>
        <w:rPr>
          <w:rFonts w:ascii="宋体" w:hAnsi="宋体"/>
          <w:szCs w:val="21"/>
          <w:lang w:eastAsia="zh-CN"/>
        </w:rPr>
      </w:pPr>
      <w:r>
        <w:rPr>
          <w:rFonts w:ascii="宋体" w:hAnsi="宋体" w:hint="eastAsia"/>
          <w:szCs w:val="21"/>
          <w:highlight w:val="white"/>
          <w:lang w:eastAsia="zh-CN"/>
        </w:rPr>
        <w:t>基金管理人与基金托管人按照相关法律法规、《基金合同》、以及本协议的规定办理基金转换。</w:t>
      </w:r>
    </w:p>
    <w:p w:rsidR="001B6CFD">
      <w:pPr>
        <w:spacing w:line="360" w:lineRule="auto"/>
        <w:ind w:firstLine="420"/>
        <w:rPr>
          <w:rFonts w:ascii="宋体" w:hAnsi="宋体"/>
          <w:szCs w:val="21"/>
          <w:lang w:eastAsia="zh-CN"/>
        </w:rPr>
      </w:pPr>
      <w:r>
        <w:rPr>
          <w:rFonts w:ascii="宋体" w:hAnsi="宋体" w:hint="eastAsia"/>
          <w:bCs/>
          <w:szCs w:val="21"/>
          <w:highlight w:val="white"/>
          <w:lang w:eastAsia="zh-CN"/>
        </w:rPr>
        <w:t>（八）</w:t>
      </w:r>
      <w:r>
        <w:rPr>
          <w:rFonts w:ascii="宋体" w:hAnsi="宋体" w:hint="eastAsia"/>
          <w:szCs w:val="21"/>
          <w:highlight w:val="white"/>
          <w:lang w:eastAsia="zh-CN"/>
        </w:rPr>
        <w:t>基金出现超买或超卖的责任认定及处理程序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12时之前划拨资金，用以完成清算交收。</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68" w:name="_Toc69134083"/>
      <w:r>
        <w:rPr>
          <w:rFonts w:ascii="宋体" w:eastAsia="宋体" w:hAnsi="宋体" w:cs="Arial" w:hint="eastAsia"/>
          <w:sz w:val="21"/>
          <w:szCs w:val="21"/>
          <w:highlight w:val="white"/>
          <w:lang w:eastAsia="zh-CN"/>
        </w:rPr>
        <w:t>基金资产净值计算和会计核算</w:t>
      </w:r>
      <w:bookmarkEnd w:id="68"/>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69" w:name="_Toc382819104"/>
      <w:bookmarkStart w:id="70" w:name="_Toc69134084"/>
      <w:r>
        <w:rPr>
          <w:rFonts w:ascii="宋体" w:eastAsia="宋体" w:hAnsi="宋体" w:hint="eastAsia"/>
          <w:b w:val="0"/>
          <w:bCs w:val="0"/>
          <w:sz w:val="21"/>
          <w:szCs w:val="21"/>
          <w:highlight w:val="white"/>
          <w:lang w:eastAsia="zh-CN"/>
        </w:rPr>
        <w:t>（一）基金资产净值的计算</w:t>
      </w:r>
      <w:r>
        <w:rPr>
          <w:rFonts w:ascii="宋体" w:eastAsia="宋体" w:hAnsi="宋体" w:hint="eastAsia"/>
          <w:sz w:val="21"/>
          <w:szCs w:val="21"/>
          <w:highlight w:val="white"/>
          <w:lang w:eastAsia="zh-CN"/>
        </w:rPr>
        <w:t>、</w:t>
      </w:r>
      <w:r>
        <w:rPr>
          <w:rFonts w:ascii="宋体" w:eastAsia="宋体" w:hAnsi="宋体" w:hint="eastAsia"/>
          <w:b w:val="0"/>
          <w:bCs w:val="0"/>
          <w:sz w:val="21"/>
          <w:szCs w:val="21"/>
          <w:highlight w:val="white"/>
          <w:lang w:eastAsia="zh-CN"/>
        </w:rPr>
        <w:t>复核的时间和程序</w:t>
      </w:r>
      <w:bookmarkEnd w:id="69"/>
      <w:bookmarkEnd w:id="70"/>
    </w:p>
    <w:p w:rsidR="001B6CFD">
      <w:pPr>
        <w:spacing w:line="360" w:lineRule="auto"/>
        <w:ind w:right="28" w:firstLine="420"/>
        <w:rPr>
          <w:rFonts w:ascii="宋体" w:hAnsi="宋体"/>
          <w:szCs w:val="21"/>
          <w:lang w:eastAsia="zh-CN"/>
        </w:rPr>
      </w:pPr>
      <w:r>
        <w:rPr>
          <w:rFonts w:ascii="宋体" w:hAnsi="宋体" w:hint="eastAsia"/>
          <w:szCs w:val="21"/>
          <w:highlight w:val="white"/>
          <w:lang w:eastAsia="zh-CN"/>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1B6CFD">
      <w:pPr>
        <w:spacing w:line="360" w:lineRule="auto"/>
        <w:ind w:right="28" w:firstLine="420"/>
        <w:rPr>
          <w:rFonts w:ascii="宋体" w:hAnsi="宋体"/>
          <w:szCs w:val="21"/>
          <w:lang w:eastAsia="zh-CN"/>
        </w:rPr>
      </w:pPr>
      <w:r>
        <w:rPr>
          <w:rFonts w:ascii="宋体" w:hAnsi="宋体" w:hint="eastAsia"/>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每个估值日后的两个工作日内，基金管理人应对基金资产估值。但基金管理人根据法律法规或基金合同的规定暂停估值时除外。估值原则应符合《基金合同》、《证券投资基金会计核算业务指引》及其他法律、法规的规定</w:t>
      </w:r>
      <w:r>
        <w:rPr>
          <w:rFonts w:ascii="宋体" w:hAnsi="宋体" w:hint="eastAsia"/>
          <w:color w:val="000000"/>
          <w:szCs w:val="21"/>
          <w:highlight w:val="white"/>
          <w:lang w:eastAsia="zh-CN"/>
        </w:rPr>
        <w:t>。</w:t>
      </w:r>
      <w:r>
        <w:rPr>
          <w:rFonts w:ascii="宋体" w:hAnsi="宋体" w:cs="宋体" w:hint="eastAsia"/>
          <w:color w:val="000000"/>
          <w:szCs w:val="21"/>
          <w:highlight w:val="white"/>
          <w:lang w:eastAsia="zh-CN"/>
        </w:rPr>
        <w:t>基金管理人应于每个估值日后两个工作日内计算当日的基金份额净值和基金资产净值并以双方认可的方式发送给基金托管人。基金托管人对净值计算结果复核后以双方认可的方式发送给基金管理人，由基金管理人按规定对外公布。</w:t>
      </w:r>
    </w:p>
    <w:p w:rsidR="001B6CFD">
      <w:pPr>
        <w:tabs>
          <w:tab w:val="left" w:pos="900"/>
        </w:tabs>
        <w:spacing w:line="360" w:lineRule="auto"/>
        <w:ind w:right="28" w:firstLine="420"/>
        <w:rPr>
          <w:rFonts w:ascii="宋体" w:hAnsi="宋体"/>
          <w:szCs w:val="21"/>
          <w:lang w:eastAsia="zh-CN"/>
        </w:rPr>
      </w:pPr>
      <w:r>
        <w:rPr>
          <w:rFonts w:ascii="宋体" w:hAnsi="宋体" w:hint="eastAsia"/>
          <w:szCs w:val="21"/>
          <w:highlight w:val="white"/>
          <w:lang w:eastAsia="zh-CN"/>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71" w:name="_Toc382819105"/>
      <w:bookmarkStart w:id="72" w:name="_Toc69134085"/>
      <w:r>
        <w:rPr>
          <w:rFonts w:ascii="宋体" w:eastAsia="宋体" w:hAnsi="宋体" w:hint="eastAsia"/>
          <w:b w:val="0"/>
          <w:bCs w:val="0"/>
          <w:sz w:val="21"/>
          <w:szCs w:val="21"/>
          <w:highlight w:val="white"/>
          <w:lang w:eastAsia="zh-CN"/>
        </w:rPr>
        <w:t>（二）基金资产估值</w:t>
      </w:r>
      <w:bookmarkEnd w:id="71"/>
      <w:bookmarkEnd w:id="72"/>
    </w:p>
    <w:p w:rsidR="001B6CFD">
      <w:pPr>
        <w:spacing w:line="360" w:lineRule="auto"/>
        <w:ind w:right="28" w:firstLine="420"/>
        <w:rPr>
          <w:rFonts w:ascii="宋体" w:hAnsi="宋体"/>
          <w:szCs w:val="21"/>
          <w:lang w:eastAsia="zh-CN"/>
        </w:rPr>
      </w:pPr>
      <w:r>
        <w:rPr>
          <w:rFonts w:ascii="宋体" w:hAnsi="宋体" w:hint="eastAsia"/>
          <w:szCs w:val="21"/>
          <w:highlight w:val="white"/>
          <w:lang w:eastAsia="zh-CN"/>
        </w:rPr>
        <w:t>估值原则应符合《基金合同》、《证券投资基金会计核算业务指引》及其他法律法规的规定</w:t>
      </w:r>
      <w:bookmarkStart w:id="73" w:name="_GoBack"/>
      <w:bookmarkEnd w:id="73"/>
      <w:r>
        <w:rPr>
          <w:rFonts w:ascii="宋体" w:hAnsi="宋体" w:hint="eastAsia"/>
          <w:szCs w:val="21"/>
          <w:highlight w:val="white"/>
          <w:lang w:eastAsia="zh-CN"/>
        </w:rPr>
        <w:t>。</w:t>
      </w:r>
    </w:p>
    <w:p w:rsidR="001B6CFD">
      <w:pPr>
        <w:spacing w:line="360" w:lineRule="auto"/>
        <w:ind w:right="28" w:firstLine="420"/>
        <w:rPr>
          <w:rFonts w:ascii="宋体" w:hAnsi="宋体"/>
          <w:szCs w:val="21"/>
          <w:lang w:eastAsia="zh-CN"/>
        </w:rPr>
      </w:pPr>
      <w:r>
        <w:rPr>
          <w:rFonts w:ascii="宋体" w:hAnsi="宋体" w:hint="eastAsia"/>
          <w:szCs w:val="21"/>
          <w:highlight w:val="white"/>
          <w:lang w:eastAsia="zh-CN"/>
        </w:rPr>
        <w:t>当相关法律法规或《基金合同》规定的估值方法不能客观反映基金财产公允价值时，基金管理人可根据具体情况，并与基金托管人商定后，按最能反映公允价值的价格估值。</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74" w:name="_Toc382819106"/>
      <w:bookmarkStart w:id="75" w:name="_Toc69134086"/>
      <w:r>
        <w:rPr>
          <w:rFonts w:ascii="宋体" w:eastAsia="宋体" w:hAnsi="宋体" w:hint="eastAsia"/>
          <w:b w:val="0"/>
          <w:bCs w:val="0"/>
          <w:sz w:val="21"/>
          <w:szCs w:val="21"/>
          <w:highlight w:val="white"/>
          <w:lang w:eastAsia="zh-CN"/>
        </w:rPr>
        <w:t>（三）估值错误处理</w:t>
      </w:r>
      <w:bookmarkEnd w:id="74"/>
      <w:bookmarkEnd w:id="75"/>
    </w:p>
    <w:p w:rsidR="001B6CFD">
      <w:pPr>
        <w:spacing w:line="360" w:lineRule="auto"/>
        <w:ind w:firstLine="420"/>
        <w:rPr>
          <w:rFonts w:ascii="宋体" w:hAnsi="宋体"/>
          <w:b/>
          <w:lang w:eastAsia="zh-CN"/>
        </w:rPr>
      </w:pPr>
      <w:bookmarkStart w:id="76" w:name="_Toc382819107"/>
      <w:r>
        <w:rPr>
          <w:rFonts w:ascii="宋体" w:hAnsi="宋体" w:hint="eastAsia"/>
          <w:highlight w:val="white"/>
          <w:lang w:eastAsia="zh-CN"/>
        </w:rPr>
        <w:t>1.当基金份额净值小数点后</w:t>
      </w:r>
      <w:r>
        <w:rPr>
          <w:rFonts w:ascii="宋体" w:hAnsi="宋体"/>
          <w:highlight w:val="white"/>
          <w:lang w:eastAsia="zh-CN"/>
        </w:rPr>
        <w:t>4</w:t>
      </w:r>
      <w:r>
        <w:rPr>
          <w:rFonts w:ascii="宋体" w:hAnsi="宋体" w:hint="eastAsia"/>
          <w:highlight w:val="white"/>
          <w:lang w:eastAsia="zh-CN"/>
        </w:rPr>
        <w:t>位以内</w:t>
      </w:r>
      <w:r>
        <w:rPr>
          <w:rFonts w:ascii="宋体" w:hAnsi="宋体"/>
          <w:highlight w:val="white"/>
          <w:lang w:eastAsia="zh-CN"/>
        </w:rPr>
        <w:t>(</w:t>
      </w:r>
      <w:r>
        <w:rPr>
          <w:rFonts w:ascii="宋体" w:hAnsi="宋体" w:hint="eastAsia"/>
          <w:highlight w:val="white"/>
          <w:lang w:eastAsia="zh-CN"/>
        </w:rPr>
        <w:t>含第</w:t>
      </w:r>
      <w:r>
        <w:rPr>
          <w:rFonts w:ascii="宋体" w:hAnsi="宋体"/>
          <w:highlight w:val="white"/>
          <w:lang w:eastAsia="zh-CN"/>
        </w:rPr>
        <w:t>4</w:t>
      </w:r>
      <w:r>
        <w:rPr>
          <w:rFonts w:ascii="宋体" w:hAnsi="宋体" w:hint="eastAsia"/>
          <w:highlight w:val="white"/>
          <w:lang w:eastAsia="zh-CN"/>
        </w:rPr>
        <w:t>位</w:t>
      </w:r>
      <w:r>
        <w:rPr>
          <w:rFonts w:ascii="宋体" w:hAnsi="宋体"/>
          <w:highlight w:val="white"/>
          <w:lang w:eastAsia="zh-CN"/>
        </w:rPr>
        <w:t>)</w:t>
      </w:r>
      <w:r>
        <w:rPr>
          <w:rFonts w:ascii="宋体" w:hAnsi="宋体" w:hint="eastAsia"/>
          <w:highlight w:val="white"/>
          <w:lang w:eastAsia="zh-CN"/>
        </w:rPr>
        <w:t>发生差错时，视为基金份额净值错误；基金份额净值出现错误时，基金管理人应当立即予以纠正，通报基金托管人，并采取合理的措施防止损失进一步扩大；错误偏差达到基金份额净值的</w:t>
      </w:r>
      <w:r>
        <w:rPr>
          <w:rFonts w:ascii="宋体" w:hAnsi="宋体"/>
          <w:highlight w:val="white"/>
          <w:lang w:eastAsia="zh-CN"/>
        </w:rPr>
        <w:t>0.25%</w:t>
      </w:r>
      <w:r>
        <w:rPr>
          <w:rFonts w:ascii="宋体" w:hAnsi="宋体" w:hint="eastAsia"/>
          <w:highlight w:val="white"/>
          <w:lang w:eastAsia="zh-CN"/>
        </w:rPr>
        <w:t>时，基金管理人应当通报基金托管人并报中国证监会备案；错误偏差达到基金份额净值的</w:t>
      </w:r>
      <w:r>
        <w:rPr>
          <w:rFonts w:ascii="宋体" w:hAnsi="宋体"/>
          <w:highlight w:val="white"/>
          <w:lang w:eastAsia="zh-CN"/>
        </w:rPr>
        <w:t>0.5%</w:t>
      </w:r>
      <w:r>
        <w:rPr>
          <w:rFonts w:ascii="宋体" w:hAnsi="宋体" w:hint="eastAsia"/>
          <w:highlight w:val="white"/>
          <w:lang w:eastAsia="zh-CN"/>
        </w:rPr>
        <w:t>时，</w:t>
      </w:r>
      <w:r>
        <w:rPr>
          <w:rFonts w:ascii="宋体" w:hAnsi="宋体" w:hint="eastAsia"/>
          <w:szCs w:val="21"/>
          <w:highlight w:val="white"/>
          <w:lang w:eastAsia="zh-CN"/>
        </w:rPr>
        <w:t>基金管理人应当公告并报中国证监会备案</w:t>
      </w:r>
      <w:r>
        <w:rPr>
          <w:rFonts w:ascii="宋体" w:hAnsi="宋体" w:hint="eastAsia"/>
          <w:highlight w:val="white"/>
          <w:lang w:eastAsia="zh-CN"/>
        </w:rPr>
        <w:t>；当发生净值计算错误时，由基金管理人负责处理，由此给基金份额持有人和基金造成损失的，基金管理人按差错情形，有权向其他当事人追偿。</w:t>
      </w:r>
      <w:bookmarkEnd w:id="76"/>
    </w:p>
    <w:p w:rsidR="001B6CFD">
      <w:pPr>
        <w:spacing w:line="360" w:lineRule="auto"/>
        <w:ind w:firstLine="420"/>
        <w:rPr>
          <w:rFonts w:ascii="宋体" w:hAnsi="宋体"/>
          <w:b/>
          <w:lang w:eastAsia="zh-CN"/>
        </w:rPr>
      </w:pPr>
      <w:bookmarkStart w:id="77" w:name="_Toc382819108"/>
      <w:r>
        <w:rPr>
          <w:rFonts w:ascii="宋体" w:hAnsi="宋体"/>
          <w:highlight w:val="white"/>
          <w:lang w:eastAsia="zh-CN"/>
        </w:rPr>
        <w:t>2.</w:t>
      </w:r>
      <w:r>
        <w:rPr>
          <w:rFonts w:ascii="宋体" w:hAnsi="宋体" w:hint="eastAsia"/>
          <w:highlight w:val="white"/>
          <w:lang w:eastAsia="zh-CN"/>
        </w:rPr>
        <w:t>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77"/>
    </w:p>
    <w:p w:rsidR="001B6CFD">
      <w:pPr>
        <w:spacing w:line="360" w:lineRule="auto"/>
        <w:ind w:firstLine="420"/>
        <w:rPr>
          <w:rFonts w:ascii="宋体" w:hAnsi="宋体"/>
          <w:b/>
          <w:lang w:eastAsia="zh-CN"/>
        </w:rPr>
      </w:pPr>
      <w:bookmarkStart w:id="78" w:name="_Toc382819109"/>
      <w:r>
        <w:rPr>
          <w:rFonts w:ascii="宋体" w:hAnsi="宋体" w:hint="eastAsia"/>
          <w:highlight w:val="white"/>
          <w:lang w:eastAsia="zh-CN"/>
        </w:rPr>
        <w:t>（</w:t>
      </w:r>
      <w:r>
        <w:rPr>
          <w:rFonts w:ascii="宋体" w:hAnsi="宋体"/>
          <w:highlight w:val="white"/>
          <w:lang w:eastAsia="zh-CN"/>
        </w:rPr>
        <w:t>1</w:t>
      </w:r>
      <w:r>
        <w:rPr>
          <w:rFonts w:ascii="宋体" w:hAnsi="宋体" w:hint="eastAsia"/>
          <w:highlight w:val="white"/>
          <w:lang w:eastAsia="zh-CN"/>
        </w:rPr>
        <w:t>）本基金的基金会计责任方由基金管理人担任，与本基金有关的会计问题，如经双方在平等基础上充分讨论后，尚不能达成一致时，按基金管理人的建议执行，</w:t>
      </w:r>
      <w:r>
        <w:rPr>
          <w:rFonts w:ascii="宋体" w:hAnsi="宋体" w:hint="eastAsia"/>
          <w:szCs w:val="21"/>
          <w:highlight w:val="white"/>
          <w:lang w:eastAsia="zh-CN"/>
        </w:rPr>
        <w:t>若基金托管人已提出合理意见而基金管理人未采纳的，</w:t>
      </w:r>
      <w:r>
        <w:rPr>
          <w:rFonts w:ascii="宋体" w:hAnsi="宋体" w:hint="eastAsia"/>
          <w:highlight w:val="white"/>
          <w:lang w:eastAsia="zh-CN"/>
        </w:rPr>
        <w:t>由此给基金份额持有人和基金财产造成的直接损失，由基金管理人负责赔付。（</w:t>
      </w:r>
      <w:r>
        <w:rPr>
          <w:rFonts w:ascii="宋体" w:hAnsi="宋体"/>
          <w:highlight w:val="white"/>
          <w:lang w:eastAsia="zh-CN"/>
        </w:rPr>
        <w:t>2</w:t>
      </w:r>
      <w:r>
        <w:rPr>
          <w:rFonts w:ascii="宋体" w:hAnsi="宋体" w:hint="eastAsia"/>
          <w:highlight w:val="white"/>
          <w:lang w:eastAsia="zh-CN"/>
        </w:rPr>
        <w:t>）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r>
        <w:rPr>
          <w:rFonts w:ascii="宋体" w:hAnsi="宋体"/>
          <w:highlight w:val="white"/>
          <w:lang w:eastAsia="zh-CN"/>
        </w:rPr>
        <w:t>3</w:t>
      </w:r>
      <w:r>
        <w:rPr>
          <w:rFonts w:ascii="宋体" w:hAnsi="宋体" w:hint="eastAsia"/>
          <w:highlight w:val="white"/>
          <w:lang w:eastAsia="zh-CN"/>
        </w:rPr>
        <w:t>）如基金管理人和基金托管人对基金份额净值的计算结果，虽然多次重新计算和核对，尚不能达成一致时，为避免不能按时公布基金份额净值的情形，以基金管理人的计算结果对外公布，</w:t>
      </w:r>
      <w:r>
        <w:rPr>
          <w:rFonts w:ascii="宋体" w:hAnsi="宋体" w:hint="eastAsia"/>
          <w:szCs w:val="21"/>
          <w:highlight w:val="white"/>
          <w:lang w:eastAsia="zh-CN"/>
        </w:rPr>
        <w:t>若基金托管人已提出合理意见而基金管理人未采纳的，</w:t>
      </w:r>
      <w:r>
        <w:rPr>
          <w:rFonts w:ascii="宋体" w:hAnsi="宋体" w:hint="eastAsia"/>
          <w:highlight w:val="white"/>
          <w:lang w:eastAsia="zh-CN"/>
        </w:rPr>
        <w:t>由此给基金份额持有人和基金造成的直接损失，由基金管理人负责赔付。（</w:t>
      </w:r>
      <w:r>
        <w:rPr>
          <w:rFonts w:ascii="宋体" w:hAnsi="宋体"/>
          <w:highlight w:val="white"/>
          <w:lang w:eastAsia="zh-CN"/>
        </w:rPr>
        <w:t>4</w:t>
      </w:r>
      <w:r>
        <w:rPr>
          <w:rFonts w:ascii="宋体" w:hAnsi="宋体" w:hint="eastAsia"/>
          <w:highlight w:val="white"/>
          <w:lang w:eastAsia="zh-CN"/>
        </w:rPr>
        <w:t>）由于基金管理人提供的信息错误（包括但不限于基金申购或赎回金额等），导致基金份额净值计算错误而引起的基金份额持有人和基金财产的损失，由基金管理人负责赔付。</w:t>
      </w:r>
      <w:bookmarkStart w:id="79" w:name="_Toc382819110"/>
      <w:bookmarkEnd w:id="78"/>
    </w:p>
    <w:p w:rsidR="001B6CFD">
      <w:pPr>
        <w:spacing w:line="360" w:lineRule="auto"/>
        <w:ind w:firstLine="420"/>
        <w:rPr>
          <w:rFonts w:ascii="宋体" w:hAnsi="宋体"/>
          <w:lang w:eastAsia="zh-CN"/>
        </w:rPr>
      </w:pPr>
      <w:r>
        <w:rPr>
          <w:rFonts w:ascii="宋体" w:hAnsi="宋体"/>
          <w:highlight w:val="white"/>
          <w:lang w:eastAsia="zh-CN"/>
        </w:rPr>
        <w:t>3.</w:t>
      </w:r>
      <w:r>
        <w:rPr>
          <w:rFonts w:ascii="宋体" w:hAnsi="宋体" w:hint="eastAsia"/>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End w:id="79"/>
    </w:p>
    <w:p w:rsidR="001B6CFD">
      <w:pPr>
        <w:spacing w:line="360" w:lineRule="auto"/>
        <w:ind w:firstLine="420"/>
        <w:rPr>
          <w:rFonts w:ascii="宋体" w:hAnsi="宋体"/>
          <w:b/>
          <w:lang w:eastAsia="zh-CN"/>
        </w:rPr>
      </w:pPr>
      <w:bookmarkStart w:id="80" w:name="_Toc382819111"/>
      <w:r>
        <w:rPr>
          <w:rFonts w:ascii="宋体" w:hAnsi="宋体"/>
          <w:highlight w:val="white"/>
          <w:lang w:eastAsia="zh-CN"/>
        </w:rPr>
        <w:t>4.基金管理人和基金托管人由于各自技术系统设置而产生的净值计算尾差，以基金管理人计算结果为准。</w:t>
      </w:r>
      <w:bookmarkStart w:id="81" w:name="_Toc382819112"/>
      <w:bookmarkEnd w:id="80"/>
    </w:p>
    <w:p w:rsidR="001B6CFD">
      <w:pPr>
        <w:spacing w:line="360" w:lineRule="auto"/>
        <w:ind w:firstLine="420"/>
        <w:rPr>
          <w:rFonts w:ascii="宋体" w:hAnsi="宋体"/>
          <w:b/>
          <w:lang w:eastAsia="zh-CN"/>
        </w:rPr>
      </w:pPr>
      <w:r>
        <w:rPr>
          <w:rFonts w:ascii="宋体" w:hAnsi="宋体"/>
          <w:highlight w:val="white"/>
          <w:lang w:eastAsia="zh-CN"/>
        </w:rPr>
        <w:t>5.</w:t>
      </w:r>
      <w:r>
        <w:rPr>
          <w:rFonts w:ascii="宋体" w:hAnsi="宋体" w:hint="eastAsia"/>
          <w:highlight w:val="white"/>
          <w:lang w:eastAsia="zh-CN"/>
        </w:rPr>
        <w:t>前述内容如法律法规或者监管部门另有规定的，从其规定。如果行业另有通行做法，双方当事人应本着平等和保护基金份额持有人利益的原则进行协商。</w:t>
      </w:r>
      <w:bookmarkStart w:id="82" w:name="_Toc382819113"/>
      <w:bookmarkEnd w:id="81"/>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83" w:name="_Toc69134087"/>
      <w:r>
        <w:rPr>
          <w:rFonts w:ascii="宋体" w:eastAsia="宋体" w:hAnsi="宋体" w:hint="eastAsia"/>
          <w:b w:val="0"/>
          <w:bCs w:val="0"/>
          <w:sz w:val="21"/>
          <w:szCs w:val="21"/>
          <w:highlight w:val="white"/>
          <w:lang w:eastAsia="zh-CN"/>
        </w:rPr>
        <w:t>（四）暂停估值与公告基金份额净值的情形</w:t>
      </w:r>
      <w:bookmarkEnd w:id="82"/>
      <w:bookmarkEnd w:id="83"/>
    </w:p>
    <w:p w:rsidR="001B6CFD">
      <w:pPr>
        <w:spacing w:line="360" w:lineRule="auto"/>
        <w:ind w:firstLine="420"/>
        <w:rPr>
          <w:rFonts w:ascii="宋体" w:hAnsi="宋体"/>
          <w:b/>
          <w:lang w:eastAsia="zh-CN"/>
        </w:rPr>
      </w:pPr>
      <w:r>
        <w:rPr>
          <w:rFonts w:ascii="宋体" w:hAnsi="宋体" w:hint="eastAsia"/>
          <w:highlight w:val="white"/>
          <w:lang w:eastAsia="zh-CN"/>
        </w:rPr>
        <w:t>1</w:t>
      </w:r>
      <w:r w:rsidR="00BC25ED">
        <w:rPr>
          <w:rFonts w:ascii="宋体" w:hAnsi="宋体"/>
          <w:highlight w:val="white"/>
          <w:lang w:eastAsia="zh-CN"/>
        </w:rPr>
        <w:t>.</w:t>
      </w:r>
      <w:r>
        <w:rPr>
          <w:rFonts w:ascii="宋体" w:hAnsi="宋体" w:hint="eastAsia"/>
          <w:highlight w:val="white"/>
          <w:lang w:eastAsia="zh-CN"/>
        </w:rPr>
        <w:t>基金投资所涉及的证券交易市场遇法定节假日或因其他原因暂停营业时；</w:t>
      </w:r>
    </w:p>
    <w:p w:rsidR="001B6CFD">
      <w:pPr>
        <w:spacing w:line="360" w:lineRule="auto"/>
        <w:ind w:firstLine="420"/>
        <w:rPr>
          <w:rFonts w:ascii="宋体" w:hAnsi="宋体"/>
          <w:b/>
          <w:lang w:eastAsia="zh-CN"/>
        </w:rPr>
      </w:pPr>
      <w:r>
        <w:rPr>
          <w:rFonts w:ascii="宋体" w:hAnsi="宋体" w:hint="eastAsia"/>
          <w:highlight w:val="white"/>
          <w:lang w:eastAsia="zh-CN"/>
        </w:rPr>
        <w:t>2</w:t>
      </w:r>
      <w:r w:rsidR="00BC25ED">
        <w:rPr>
          <w:rFonts w:ascii="宋体" w:hAnsi="宋体"/>
          <w:highlight w:val="white"/>
          <w:lang w:eastAsia="zh-CN"/>
        </w:rPr>
        <w:t>.</w:t>
      </w:r>
      <w:r>
        <w:rPr>
          <w:rFonts w:ascii="宋体" w:hAnsi="宋体" w:hint="eastAsia"/>
          <w:highlight w:val="white"/>
          <w:lang w:eastAsia="zh-CN"/>
        </w:rPr>
        <w:t>因不可抗力致使基金管理人、基金托管人无法准确评估基金资产价值时；</w:t>
      </w:r>
    </w:p>
    <w:p w:rsidR="001B6CFD">
      <w:pPr>
        <w:spacing w:line="360" w:lineRule="auto"/>
        <w:ind w:firstLine="420"/>
        <w:rPr>
          <w:rFonts w:ascii="宋体" w:hAnsi="宋体"/>
          <w:b/>
          <w:lang w:eastAsia="zh-CN"/>
        </w:rPr>
      </w:pPr>
      <w:r>
        <w:rPr>
          <w:rFonts w:ascii="宋体" w:hAnsi="宋体" w:hint="eastAsia"/>
          <w:highlight w:val="white"/>
          <w:lang w:eastAsia="zh-CN"/>
        </w:rPr>
        <w:t>3</w:t>
      </w:r>
      <w:r w:rsidR="00BC25ED">
        <w:rPr>
          <w:rFonts w:ascii="宋体" w:hAnsi="宋体"/>
          <w:highlight w:val="white"/>
          <w:lang w:eastAsia="zh-CN"/>
        </w:rPr>
        <w:t>.</w:t>
      </w:r>
      <w:r>
        <w:rPr>
          <w:rFonts w:ascii="宋体" w:hAnsi="宋体" w:hint="eastAsia"/>
          <w:highlight w:val="white"/>
          <w:lang w:eastAsia="zh-CN"/>
        </w:rPr>
        <w:t>占相当比例的被投资基金暂停估值；</w:t>
      </w:r>
    </w:p>
    <w:p w:rsidR="001B6CFD">
      <w:pPr>
        <w:spacing w:line="360" w:lineRule="auto"/>
        <w:ind w:firstLine="420"/>
        <w:rPr>
          <w:rFonts w:ascii="宋体" w:hAnsi="宋体"/>
          <w:b/>
          <w:lang w:eastAsia="zh-CN"/>
        </w:rPr>
      </w:pPr>
      <w:r>
        <w:rPr>
          <w:rFonts w:ascii="宋体" w:hAnsi="宋体" w:hint="eastAsia"/>
          <w:highlight w:val="white"/>
          <w:lang w:eastAsia="zh-CN"/>
        </w:rPr>
        <w:t>4</w:t>
      </w:r>
      <w:r w:rsidR="00BC25ED">
        <w:rPr>
          <w:rFonts w:ascii="宋体" w:hAnsi="宋体"/>
          <w:highlight w:val="white"/>
          <w:lang w:eastAsia="zh-CN"/>
        </w:rPr>
        <w:t>.</w:t>
      </w:r>
      <w:r>
        <w:rPr>
          <w:rFonts w:ascii="宋体" w:hAnsi="宋体" w:hint="eastAsia"/>
          <w:highlight w:val="white"/>
          <w:lang w:eastAsia="zh-CN"/>
        </w:rPr>
        <w:t>当特定资产占前一估值日基金资产净值50%以上的，经与基金托管人协商确认后，基金管理人应当暂停估值；</w:t>
      </w:r>
    </w:p>
    <w:p w:rsidR="001B6CFD">
      <w:pPr>
        <w:spacing w:line="360" w:lineRule="auto"/>
        <w:ind w:firstLine="420"/>
        <w:rPr>
          <w:rFonts w:ascii="宋体" w:hAnsi="宋体"/>
          <w:b/>
          <w:lang w:eastAsia="zh-CN"/>
        </w:rPr>
      </w:pPr>
      <w:r>
        <w:rPr>
          <w:rFonts w:ascii="宋体" w:hAnsi="宋体" w:hint="eastAsia"/>
          <w:highlight w:val="white"/>
          <w:lang w:eastAsia="zh-CN"/>
        </w:rPr>
        <w:t>5</w:t>
      </w:r>
      <w:r w:rsidR="00BC25ED">
        <w:rPr>
          <w:rFonts w:ascii="宋体" w:hAnsi="宋体"/>
          <w:highlight w:val="white"/>
          <w:lang w:eastAsia="zh-CN"/>
        </w:rPr>
        <w:t>.</w:t>
      </w:r>
      <w:r>
        <w:rPr>
          <w:rFonts w:ascii="宋体" w:hAnsi="宋体" w:hint="eastAsia"/>
          <w:highlight w:val="white"/>
          <w:lang w:eastAsia="zh-CN"/>
        </w:rPr>
        <w:t>中国证监会和基金合同认定的其它情形。</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84" w:name="_Toc69134088"/>
      <w:r>
        <w:rPr>
          <w:rFonts w:ascii="宋体" w:eastAsia="宋体" w:hAnsi="宋体" w:hint="eastAsia"/>
          <w:b w:val="0"/>
          <w:bCs w:val="0"/>
          <w:sz w:val="21"/>
          <w:szCs w:val="21"/>
          <w:highlight w:val="white"/>
          <w:lang w:eastAsia="zh-CN"/>
        </w:rPr>
        <w:t>（五）实施侧袋机制期间的基金资产估值</w:t>
      </w:r>
      <w:bookmarkEnd w:id="84"/>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本基金实施侧袋机制的，应根据本部分的约定对主袋账户资产进行估值并披露主袋账户的基金资产净值和份额净值，暂停披露侧袋账户份额净值。</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85" w:name="_Toc69134089"/>
      <w:r>
        <w:rPr>
          <w:rFonts w:ascii="宋体" w:eastAsia="宋体" w:hAnsi="宋体" w:hint="eastAsia"/>
          <w:b w:val="0"/>
          <w:bCs w:val="0"/>
          <w:sz w:val="21"/>
          <w:szCs w:val="21"/>
          <w:highlight w:val="white"/>
          <w:lang w:eastAsia="zh-CN"/>
        </w:rPr>
        <w:t>（六）基金账册的建立</w:t>
      </w:r>
      <w:bookmarkEnd w:id="85"/>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1B6CFD">
      <w:pPr>
        <w:pStyle w:val="21"/>
        <w:keepNext w:val="0"/>
        <w:keepLines w:val="0"/>
        <w:spacing w:before="0" w:after="0" w:line="360" w:lineRule="auto"/>
        <w:ind w:firstLine="420"/>
        <w:rPr>
          <w:rFonts w:ascii="宋体" w:eastAsia="宋体" w:hAnsi="宋体"/>
          <w:b w:val="0"/>
          <w:bCs w:val="0"/>
          <w:sz w:val="21"/>
          <w:szCs w:val="21"/>
          <w:lang w:eastAsia="zh-CN"/>
        </w:rPr>
      </w:pPr>
      <w:bookmarkStart w:id="86" w:name="_Toc382819117"/>
      <w:bookmarkStart w:id="87" w:name="_Toc69134090"/>
      <w:r>
        <w:rPr>
          <w:rFonts w:ascii="宋体" w:eastAsia="宋体" w:hAnsi="宋体" w:hint="eastAsia"/>
          <w:b w:val="0"/>
          <w:bCs w:val="0"/>
          <w:sz w:val="21"/>
          <w:szCs w:val="21"/>
          <w:highlight w:val="white"/>
          <w:lang w:eastAsia="zh-CN"/>
        </w:rPr>
        <w:t>（七）基金定期报告的编制和复核</w:t>
      </w:r>
      <w:bookmarkEnd w:id="86"/>
      <w:bookmarkEnd w:id="87"/>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基金财务报表由基金管理人和基金托管人每月分别独立编制。月度报表的编制，应于每月终了后5个工作日内完成。</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每个季度结束之日起15个工作日内完成季度报告编制并公告；在上半年结束之日起两个月内完成中期报告编制并公告；在每年结束之日起三个月内完成年度报告编制并公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基金管理人在5个工作日内完成月度报表，在月度报表完成当日，以双方约定的方式</w:t>
      </w:r>
      <w:r>
        <w:rPr>
          <w:rFonts w:ascii="宋体" w:hAnsi="宋体"/>
          <w:szCs w:val="21"/>
          <w:highlight w:val="white"/>
          <w:lang w:eastAsia="zh-CN"/>
        </w:rPr>
        <w:t>将有关报表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基金托管人在对财务会计报告、中期报告或年度报告复核完毕后，需盖章确认或出具相应的复核确认书，以备有权机构对相关文件审核时提示。</w:t>
      </w:r>
    </w:p>
    <w:p w:rsidR="001B6CFD">
      <w:pPr>
        <w:spacing w:line="360" w:lineRule="auto"/>
        <w:ind w:firstLine="420"/>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88" w:name="_Toc69134091"/>
      <w:r>
        <w:rPr>
          <w:rFonts w:ascii="宋体" w:eastAsia="宋体" w:hAnsi="宋体" w:cs="Arial" w:hint="eastAsia"/>
          <w:sz w:val="21"/>
          <w:szCs w:val="21"/>
          <w:highlight w:val="white"/>
        </w:rPr>
        <w:t>基金收益分配</w:t>
      </w:r>
      <w:bookmarkEnd w:id="88"/>
    </w:p>
    <w:p w:rsidR="001B6CFD">
      <w:pPr>
        <w:pStyle w:val="21"/>
        <w:keepNext w:val="0"/>
        <w:keepLines w:val="0"/>
        <w:spacing w:before="0" w:after="0" w:line="360" w:lineRule="auto"/>
        <w:ind w:firstLine="420"/>
        <w:rPr>
          <w:rFonts w:ascii="宋体" w:eastAsia="宋体" w:hAnsi="宋体" w:cs="Arial"/>
          <w:sz w:val="21"/>
          <w:szCs w:val="21"/>
          <w:lang w:eastAsia="zh-CN"/>
        </w:rPr>
      </w:pPr>
      <w:bookmarkStart w:id="89" w:name="_Toc382819119"/>
      <w:bookmarkStart w:id="90" w:name="_Toc69134092"/>
      <w:r>
        <w:rPr>
          <w:rFonts w:ascii="宋体" w:eastAsia="宋体" w:hAnsi="宋体" w:hint="eastAsia"/>
          <w:b w:val="0"/>
          <w:bCs w:val="0"/>
          <w:sz w:val="21"/>
          <w:szCs w:val="21"/>
          <w:highlight w:val="white"/>
          <w:lang w:eastAsia="zh-CN"/>
        </w:rPr>
        <w:t>（一）基金收益分配的原则</w:t>
      </w:r>
      <w:bookmarkEnd w:id="89"/>
      <w:bookmarkEnd w:id="90"/>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基金收益分配是指将该基金可供分配利润按收益分配方案确定的分配金额和比例根据持有该基金份额的数量按比例向该基金份额持有人进行分配。</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收益分配应该符合《基金合同》关于收益分配原则的规定。</w:t>
      </w:r>
      <w:bookmarkStart w:id="91" w:name="_Toc382819120"/>
    </w:p>
    <w:p w:rsidR="001B6CFD">
      <w:pPr>
        <w:pStyle w:val="21"/>
        <w:keepNext w:val="0"/>
        <w:keepLines w:val="0"/>
        <w:spacing w:before="0" w:after="0" w:line="360" w:lineRule="auto"/>
        <w:ind w:firstLine="420"/>
        <w:rPr>
          <w:rFonts w:ascii="宋体" w:eastAsia="宋体" w:hAnsi="宋体"/>
          <w:sz w:val="21"/>
          <w:szCs w:val="21"/>
          <w:lang w:eastAsia="zh-CN"/>
        </w:rPr>
      </w:pPr>
      <w:bookmarkStart w:id="92" w:name="_Toc69134093"/>
      <w:r>
        <w:rPr>
          <w:rFonts w:ascii="宋体" w:eastAsia="宋体" w:hAnsi="宋体" w:hint="eastAsia"/>
          <w:b w:val="0"/>
          <w:bCs w:val="0"/>
          <w:sz w:val="21"/>
          <w:szCs w:val="21"/>
          <w:highlight w:val="white"/>
          <w:lang w:eastAsia="zh-CN"/>
        </w:rPr>
        <w:t>（二）基金收益分配方案的制定和实施程序</w:t>
      </w:r>
      <w:bookmarkEnd w:id="91"/>
      <w:bookmarkEnd w:id="92"/>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基金收益分配方案由基金管理人根据《基金合同》的相关规定制定。</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收益分配方案由基金管理人拟定，并由基金托管人复核。复核通过后基金管理人在2日内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1B6CFD">
      <w:pPr>
        <w:spacing w:line="360" w:lineRule="auto"/>
        <w:ind w:right="28" w:firstLine="630"/>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93" w:name="_Toc69134094"/>
      <w:r>
        <w:rPr>
          <w:rFonts w:ascii="宋体" w:eastAsia="宋体" w:hAnsi="宋体" w:cs="Arial" w:hint="eastAsia"/>
          <w:sz w:val="21"/>
          <w:szCs w:val="21"/>
          <w:highlight w:val="white"/>
        </w:rPr>
        <w:t>信息披露</w:t>
      </w:r>
      <w:bookmarkEnd w:id="93"/>
    </w:p>
    <w:p w:rsidR="001B6CFD">
      <w:pPr>
        <w:pStyle w:val="21"/>
        <w:keepNext w:val="0"/>
        <w:keepLines w:val="0"/>
        <w:tabs>
          <w:tab w:val="left" w:pos="1080"/>
        </w:tabs>
        <w:spacing w:before="0" w:after="0" w:line="360" w:lineRule="auto"/>
        <w:ind w:firstLine="412"/>
        <w:rPr>
          <w:rFonts w:ascii="宋体" w:eastAsia="宋体" w:hAnsi="宋体" w:cs="Arial"/>
          <w:b w:val="0"/>
          <w:sz w:val="21"/>
          <w:szCs w:val="21"/>
        </w:rPr>
      </w:pPr>
      <w:bookmarkStart w:id="94" w:name="_Toc382819122"/>
      <w:bookmarkStart w:id="95" w:name="_Toc69134095"/>
      <w:r>
        <w:rPr>
          <w:rFonts w:ascii="宋体" w:eastAsia="宋体" w:hAnsi="宋体" w:hint="eastAsia"/>
          <w:b w:val="0"/>
          <w:sz w:val="21"/>
          <w:szCs w:val="21"/>
          <w:highlight w:val="white"/>
        </w:rPr>
        <w:t>（一）</w:t>
      </w:r>
      <w:r>
        <w:rPr>
          <w:rFonts w:ascii="宋体" w:eastAsia="宋体" w:hAnsi="宋体" w:cs="Arial" w:hint="eastAsia"/>
          <w:b w:val="0"/>
          <w:sz w:val="21"/>
          <w:szCs w:val="21"/>
          <w:highlight w:val="white"/>
        </w:rPr>
        <w:t>保密义务</w:t>
      </w:r>
      <w:bookmarkEnd w:id="94"/>
      <w:bookmarkEnd w:id="95"/>
    </w:p>
    <w:p w:rsidR="001B6CFD">
      <w:pPr>
        <w:spacing w:line="360" w:lineRule="auto"/>
        <w:ind w:firstLine="420"/>
        <w:rPr>
          <w:rFonts w:ascii="宋体" w:hAnsi="宋体"/>
          <w:szCs w:val="21"/>
          <w:lang w:eastAsia="zh-CN"/>
        </w:rPr>
      </w:pPr>
      <w:r>
        <w:rPr>
          <w:rFonts w:ascii="宋体" w:hAnsi="宋体" w:hint="eastAsia"/>
          <w:szCs w:val="21"/>
          <w:highlight w:val="white"/>
          <w:lang w:eastAsia="zh-CN"/>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1.非因基金管理人和基金托管人的原因导致保密信息被披露、泄露或公开；</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2.基金管理人和基金托管人为遵守和服从法院判决、仲裁裁决或中国证监会等监管机构的命令、决定所做出的信息披露或公开。</w:t>
      </w:r>
    </w:p>
    <w:p w:rsidR="001B6CFD">
      <w:pPr>
        <w:pStyle w:val="21"/>
        <w:keepNext w:val="0"/>
        <w:keepLines w:val="0"/>
        <w:tabs>
          <w:tab w:val="left" w:pos="1080"/>
        </w:tabs>
        <w:spacing w:before="0" w:after="0" w:line="360" w:lineRule="auto"/>
        <w:ind w:firstLine="412"/>
        <w:rPr>
          <w:rFonts w:ascii="宋体" w:eastAsia="宋体" w:hAnsi="宋体" w:cs="Arial"/>
          <w:sz w:val="21"/>
          <w:szCs w:val="21"/>
          <w:lang w:eastAsia="zh-CN"/>
        </w:rPr>
      </w:pPr>
      <w:bookmarkStart w:id="96" w:name="_Toc69134096"/>
      <w:r>
        <w:rPr>
          <w:rFonts w:ascii="宋体" w:eastAsia="宋体" w:hAnsi="宋体" w:cs="Arial" w:hint="eastAsia"/>
          <w:b w:val="0"/>
          <w:sz w:val="21"/>
          <w:szCs w:val="21"/>
          <w:highlight w:val="white"/>
          <w:lang w:eastAsia="zh-CN"/>
        </w:rPr>
        <w:t>（二）信息披露的内容</w:t>
      </w:r>
      <w:bookmarkEnd w:id="96"/>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的信息披露主要包括基金招募说明书、《基金合同》、基金托管协议、基金产品资料概要、基金份额发售公告、《基金合同》生效公告、定期报告、临时公告、基金净值信息、澄清公告、清算报告等其他必要的公告文件，由基金管理人拟定并负责公布。</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与基金托管人应严格遵守《基金合同》所规定的信息披露要求。基金净值信息、基金业绩表现数据、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年度报告中的财务会计报告部分，应当经符合《证券法》规定的会计师事务所审计后，方可披露。</w:t>
      </w:r>
    </w:p>
    <w:p w:rsidR="001B6CFD">
      <w:pPr>
        <w:spacing w:line="360" w:lineRule="auto"/>
        <w:ind w:firstLine="420"/>
        <w:rPr>
          <w:rFonts w:ascii="宋体" w:hAnsi="宋体"/>
          <w:szCs w:val="21"/>
          <w:lang w:eastAsia="zh-CN"/>
        </w:rPr>
      </w:pPr>
      <w:bookmarkStart w:id="97" w:name="_Toc382819123"/>
      <w:r>
        <w:rPr>
          <w:rFonts w:ascii="宋体" w:hAnsi="宋体" w:hint="eastAsia"/>
          <w:highlight w:val="white"/>
          <w:lang w:eastAsia="zh-CN"/>
        </w:rPr>
        <w:t>基金管理人应当在中国证监会规定的时间内，</w:t>
      </w:r>
      <w:r>
        <w:rPr>
          <w:rFonts w:ascii="宋体" w:hAnsi="宋体" w:hint="eastAsia"/>
          <w:szCs w:val="21"/>
          <w:highlight w:val="white"/>
          <w:lang w:eastAsia="zh-CN"/>
        </w:rPr>
        <w:t>将应予披露的基金信息通过规定媒介披露。</w:t>
      </w:r>
      <w:r>
        <w:rPr>
          <w:rFonts w:ascii="宋体" w:hAnsi="宋体" w:hint="eastAsia"/>
          <w:highlight w:val="white"/>
          <w:lang w:eastAsia="zh-CN"/>
        </w:rPr>
        <w:t>根据法律法规应由基金托管人公开披露的信息，</w:t>
      </w:r>
      <w:r>
        <w:rPr>
          <w:rFonts w:ascii="宋体" w:hAnsi="宋体" w:hint="eastAsia"/>
          <w:szCs w:val="21"/>
          <w:highlight w:val="white"/>
          <w:lang w:eastAsia="zh-CN"/>
        </w:rPr>
        <w:t>基金托管人将通过规定媒介公开披露。</w:t>
      </w:r>
      <w:bookmarkEnd w:id="97"/>
    </w:p>
    <w:p w:rsidR="001B6CFD">
      <w:pPr>
        <w:spacing w:line="360" w:lineRule="auto"/>
        <w:ind w:firstLine="420"/>
        <w:rPr>
          <w:rFonts w:ascii="宋体" w:hAnsi="宋体"/>
          <w:b/>
          <w:lang w:eastAsia="zh-CN"/>
        </w:rPr>
      </w:pPr>
      <w:r>
        <w:rPr>
          <w:rFonts w:ascii="宋体" w:hAnsi="宋体"/>
          <w:szCs w:val="21"/>
          <w:highlight w:val="white"/>
          <w:lang w:eastAsia="zh-CN"/>
        </w:rPr>
        <w:t>本基金实施侧袋机制的，相关信息披露义务人应当根据法律法规、基金合同和招募说明书的规定进行信息披露，详见招募说明书的规定</w:t>
      </w:r>
      <w:r>
        <w:rPr>
          <w:rFonts w:ascii="宋体" w:hAnsi="宋体" w:hint="eastAsia"/>
          <w:highlight w:val="white"/>
          <w:lang w:eastAsia="zh-CN"/>
        </w:rPr>
        <w:t>。</w:t>
      </w:r>
    </w:p>
    <w:p w:rsidR="001B6CFD">
      <w:pPr>
        <w:pStyle w:val="21"/>
        <w:keepNext w:val="0"/>
        <w:keepLines w:val="0"/>
        <w:tabs>
          <w:tab w:val="left" w:pos="1080"/>
        </w:tabs>
        <w:spacing w:before="0" w:after="0" w:line="360" w:lineRule="auto"/>
        <w:ind w:firstLine="412"/>
        <w:rPr>
          <w:rFonts w:ascii="宋体" w:eastAsia="宋体" w:hAnsi="宋体"/>
          <w:b w:val="0"/>
          <w:sz w:val="21"/>
          <w:szCs w:val="21"/>
          <w:lang w:eastAsia="zh-CN"/>
        </w:rPr>
      </w:pPr>
      <w:bookmarkStart w:id="98" w:name="_Toc69134097"/>
      <w:bookmarkStart w:id="99" w:name="_Toc382819124"/>
      <w:r>
        <w:rPr>
          <w:rFonts w:ascii="宋体" w:eastAsia="宋体" w:hAnsi="宋体" w:hint="eastAsia"/>
          <w:b w:val="0"/>
          <w:sz w:val="21"/>
          <w:szCs w:val="21"/>
          <w:highlight w:val="white"/>
          <w:lang w:eastAsia="zh-CN"/>
        </w:rPr>
        <w:t>（三）基金管理人和基金托管人在信息披露中的职责和信息披露程序</w:t>
      </w:r>
      <w:bookmarkEnd w:id="98"/>
      <w:bookmarkEnd w:id="99"/>
    </w:p>
    <w:p w:rsidR="001B6CFD">
      <w:pPr>
        <w:spacing w:line="360" w:lineRule="auto"/>
        <w:ind w:firstLine="420"/>
        <w:rPr>
          <w:rFonts w:ascii="宋体" w:hAnsi="宋体"/>
          <w:szCs w:val="21"/>
          <w:lang w:eastAsia="zh-CN"/>
        </w:rPr>
      </w:pPr>
      <w:r>
        <w:rPr>
          <w:rFonts w:ascii="宋体" w:hAnsi="宋体" w:hint="eastAsia"/>
          <w:szCs w:val="21"/>
          <w:highlight w:val="white"/>
          <w:lang w:eastAsia="zh-CN"/>
        </w:rPr>
        <w:t>1．职责</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进行书面或电子确认。</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2．程序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按有关规定须经基金托管人复核的信息披露文件，由基金管理人起草，并经基金托管人复核后由基金管理人公告。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发生《基金合同》中规定需要披露的事项时，按《基金合同》规定公告。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3．信息文本的存放</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予以披露的信息文本，存放在基金管理人、基金托管人的办公场所，基金份额持有人和公众投资者可以免费查阅。在支付工本费后可以获得上述文件的复制件或复印件。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基金管理人和基金托管人应保证文本的内容与所公告的内容完全一致。</w:t>
      </w:r>
    </w:p>
    <w:p w:rsidR="001B6CFD">
      <w:pPr>
        <w:spacing w:line="360" w:lineRule="auto"/>
        <w:ind w:firstLine="420"/>
        <w:rPr>
          <w:rFonts w:ascii="宋体" w:hAnsi="宋体"/>
          <w:szCs w:val="21"/>
          <w:lang w:eastAsia="zh-CN"/>
        </w:rPr>
      </w:pPr>
      <w:bookmarkStart w:id="100" w:name="_Toc69134098"/>
      <w:r>
        <w:rPr>
          <w:rFonts w:ascii="宋体" w:hAnsi="宋体" w:hint="eastAsia"/>
          <w:szCs w:val="21"/>
          <w:highlight w:val="white"/>
          <w:lang w:eastAsia="zh-CN"/>
        </w:rPr>
        <w:t>（四）暂停或延迟信息披露的情形</w:t>
      </w:r>
      <w:bookmarkEnd w:id="100"/>
    </w:p>
    <w:p w:rsidR="001B6CFD">
      <w:pPr>
        <w:spacing w:line="360" w:lineRule="auto"/>
        <w:ind w:firstLine="420"/>
        <w:rPr>
          <w:rFonts w:ascii="宋体" w:hAnsi="宋体"/>
          <w:szCs w:val="21"/>
          <w:lang w:eastAsia="zh-CN"/>
        </w:rPr>
      </w:pPr>
      <w:r>
        <w:rPr>
          <w:rFonts w:ascii="宋体" w:hAnsi="宋体" w:hint="eastAsia"/>
          <w:szCs w:val="21"/>
          <w:highlight w:val="white"/>
          <w:lang w:eastAsia="zh-CN"/>
        </w:rPr>
        <w:t>1.基金投资所涉及的证券交易所遇法定节假日或因其他原因暂停营业时；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2.因不可抗力或其他情形致使基金管理人、基金托管人无法准确评估基金资产价值时；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3.占基金相当比例的投资品种的估值出现重大转变，而基金管理人为保障基金份额持有人的利益，已决定延迟估值；</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4.出现基金管理人认为属于会导致基金管理人不能出售或评估基金资产的紧急事故的任何情况；</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5.法律法规规定、中国证监会或《基金合同》认定的其他情形。</w:t>
      </w:r>
    </w:p>
    <w:p w:rsidR="001B6CFD">
      <w:pPr>
        <w:spacing w:line="360" w:lineRule="auto"/>
        <w:ind w:firstLine="480"/>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101" w:name="_Toc69134099"/>
      <w:r>
        <w:rPr>
          <w:rFonts w:ascii="宋体" w:eastAsia="宋体" w:hAnsi="宋体" w:cs="Arial" w:hint="eastAsia"/>
          <w:sz w:val="21"/>
          <w:szCs w:val="21"/>
          <w:highlight w:val="white"/>
        </w:rPr>
        <w:t>基金费用</w:t>
      </w:r>
      <w:bookmarkEnd w:id="101"/>
    </w:p>
    <w:p w:rsidR="001B6CFD">
      <w:pPr>
        <w:spacing w:line="360" w:lineRule="auto"/>
        <w:ind w:firstLine="420"/>
        <w:rPr>
          <w:rFonts w:ascii="宋体" w:hAnsi="宋体"/>
          <w:szCs w:val="21"/>
          <w:lang w:eastAsia="zh-CN"/>
        </w:rPr>
      </w:pPr>
      <w:r>
        <w:rPr>
          <w:rFonts w:ascii="宋体" w:hAnsi="宋体" w:hint="eastAsia"/>
          <w:szCs w:val="21"/>
          <w:highlight w:val="white"/>
          <w:lang w:eastAsia="zh-CN"/>
        </w:rPr>
        <w:t>（一）基金托管人的托管费</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0.10%年费率计提。托管费的计算方法如下：</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H＝E×0.10%÷当年天数</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H为每日应计提的基金托管费</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E为前一日的基金资产净值扣除前一日所持有的基金托管人托管的其他基金公允价值后的余额，若为负数，则E取0</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托管费每日计提，按月支付，经基金管理人与基金托管人双方核对无误后，基金托管人按照与基金管理人协商一致的方式于次月前5个工作日内从基金财产中一次性支付。若遇法定节假日、休息日或不可抗力致使无法按时支付的，顺延至法定节假日、休息日结束之日起2个工作日内或不可抗力情形消除之日起2个工作日内支付。</w:t>
      </w:r>
    </w:p>
    <w:p w:rsidR="001B6CFD">
      <w:pPr>
        <w:spacing w:line="360" w:lineRule="auto"/>
        <w:ind w:firstLine="420"/>
        <w:rPr>
          <w:rFonts w:ascii="宋体" w:hAnsi="宋体"/>
          <w:lang w:eastAsia="zh-CN"/>
        </w:rPr>
      </w:pPr>
      <w:r>
        <w:rPr>
          <w:rFonts w:ascii="宋体" w:hAnsi="宋体" w:hint="eastAsia"/>
          <w:szCs w:val="21"/>
          <w:highlight w:val="white"/>
          <w:lang w:eastAsia="zh-CN"/>
        </w:rPr>
        <w:t>（二）基金其他费用按照《基金合同》的约定计提和支付。</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02" w:name="_Toc69134100"/>
      <w:r>
        <w:rPr>
          <w:rFonts w:ascii="宋体" w:eastAsia="宋体" w:hAnsi="宋体" w:cs="Arial" w:hint="eastAsia"/>
          <w:sz w:val="21"/>
          <w:szCs w:val="21"/>
          <w:highlight w:val="white"/>
          <w:lang w:eastAsia="zh-CN"/>
        </w:rPr>
        <w:t>基金份额持有人名册的保管</w:t>
      </w:r>
      <w:bookmarkEnd w:id="102"/>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份额持有人名册由基金的登记机构根据基金管理人的指令编制和保管，基金管理人应按照目前相关规则保管基金份额持有人名册。保管方式可以采用电子或文档的形式。保管期限为20年，法律法规或监管部门另有规定的除外。</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在基金托管人编制中期报告和年度报告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03" w:name="_Toc69134101"/>
      <w:r>
        <w:rPr>
          <w:rFonts w:ascii="宋体" w:eastAsia="宋体" w:hAnsi="宋体" w:cs="Arial" w:hint="eastAsia"/>
          <w:sz w:val="21"/>
          <w:szCs w:val="21"/>
          <w:highlight w:val="white"/>
          <w:lang w:eastAsia="zh-CN"/>
        </w:rPr>
        <w:t>基金有关文件和档案的保存</w:t>
      </w:r>
      <w:bookmarkEnd w:id="103"/>
    </w:p>
    <w:p w:rsidR="001B6CFD">
      <w:pPr>
        <w:spacing w:line="360" w:lineRule="auto"/>
        <w:ind w:firstLine="420"/>
        <w:rPr>
          <w:rFonts w:ascii="宋体" w:hAnsi="宋体" w:cs="Arial"/>
          <w:szCs w:val="21"/>
          <w:lang w:eastAsia="zh-CN"/>
        </w:rPr>
      </w:pPr>
      <w:r>
        <w:rPr>
          <w:rFonts w:ascii="宋体" w:hAnsi="宋体" w:cs="Arial" w:hint="eastAsia"/>
          <w:szCs w:val="21"/>
          <w:highlight w:val="white"/>
          <w:lang w:eastAsia="zh-CN"/>
        </w:rPr>
        <w:t>（一）档案保存</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不少于20年，法律法规或监管部门另有规定的除外。</w:t>
      </w:r>
    </w:p>
    <w:p w:rsidR="001B6CFD">
      <w:pPr>
        <w:spacing w:line="360" w:lineRule="auto"/>
        <w:ind w:firstLine="420"/>
        <w:rPr>
          <w:rFonts w:ascii="宋体" w:hAnsi="宋体" w:cs="Arial"/>
          <w:szCs w:val="21"/>
          <w:lang w:eastAsia="zh-CN"/>
        </w:rPr>
      </w:pPr>
      <w:r>
        <w:rPr>
          <w:rFonts w:ascii="宋体" w:hAnsi="宋体" w:cs="Arial" w:hint="eastAsia"/>
          <w:szCs w:val="21"/>
          <w:highlight w:val="white"/>
          <w:lang w:eastAsia="zh-CN"/>
        </w:rPr>
        <w:t>（二）合同档案的建立</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1．基金管理人或基金托管人在签署与本基金有关的合同文本后，应及时按相关法律法规及本协议的规定将合同正本或副本提交对方。</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2．基金管理人和基金托管人应按各自职责保管就基金资产对外签署的全部合同的正本。</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（三）变更与协助</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若基金管理人和基金托管人发生变更，未变更的一方有义务协助变更后的接任人接收相应文件。</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04" w:name="_Toc69134102"/>
      <w:r>
        <w:rPr>
          <w:rFonts w:ascii="宋体" w:eastAsia="宋体" w:hAnsi="宋体" w:cs="Arial" w:hint="eastAsia"/>
          <w:sz w:val="21"/>
          <w:szCs w:val="21"/>
          <w:highlight w:val="white"/>
          <w:lang w:eastAsia="zh-CN"/>
        </w:rPr>
        <w:t>基金管理人和基金托管人的更换</w:t>
      </w:r>
      <w:bookmarkEnd w:id="104"/>
    </w:p>
    <w:p w:rsidR="001B6CFD">
      <w:pPr>
        <w:pStyle w:val="21"/>
        <w:keepNext w:val="0"/>
        <w:keepLines w:val="0"/>
        <w:spacing w:before="0" w:after="0" w:line="360" w:lineRule="auto"/>
        <w:ind w:firstLine="309"/>
        <w:rPr>
          <w:rFonts w:ascii="宋体" w:eastAsia="宋体" w:hAnsi="宋体" w:cs="Arial"/>
          <w:b w:val="0"/>
          <w:bCs w:val="0"/>
          <w:sz w:val="21"/>
          <w:szCs w:val="21"/>
          <w:lang w:eastAsia="zh-CN"/>
        </w:rPr>
      </w:pPr>
      <w:bookmarkStart w:id="105" w:name="_Toc69134103"/>
      <w:bookmarkStart w:id="106" w:name="_Toc382819129"/>
      <w:r>
        <w:rPr>
          <w:rFonts w:ascii="宋体" w:eastAsia="宋体" w:hAnsi="宋体" w:cs="Arial" w:hint="eastAsia"/>
          <w:b w:val="0"/>
          <w:bCs w:val="0"/>
          <w:sz w:val="21"/>
          <w:szCs w:val="21"/>
          <w:highlight w:val="white"/>
          <w:lang w:eastAsia="zh-CN"/>
        </w:rPr>
        <w:t>（一）基金管理人的更换</w:t>
      </w:r>
      <w:bookmarkEnd w:id="105"/>
      <w:bookmarkEnd w:id="106"/>
    </w:p>
    <w:p w:rsidR="001B6CFD">
      <w:pPr>
        <w:spacing w:line="360" w:lineRule="auto"/>
        <w:ind w:firstLine="420"/>
        <w:rPr>
          <w:rFonts w:ascii="宋体" w:hAnsi="宋体"/>
          <w:szCs w:val="21"/>
          <w:lang w:eastAsia="zh-CN"/>
        </w:rPr>
      </w:pPr>
      <w:r>
        <w:rPr>
          <w:rFonts w:ascii="宋体" w:hAnsi="宋体" w:hint="eastAsia"/>
          <w:szCs w:val="21"/>
          <w:highlight w:val="white"/>
          <w:lang w:eastAsia="zh-CN"/>
        </w:rPr>
        <w:t>1.基金管理人的更换条件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有下列情形之一的，基金管理人职责终止：</w:t>
      </w:r>
    </w:p>
    <w:p w:rsidR="001B6CFD">
      <w:pPr>
        <w:spacing w:line="360" w:lineRule="auto"/>
        <w:ind w:firstLine="420"/>
        <w:rPr>
          <w:rFonts w:ascii="宋体" w:hAnsi="宋体"/>
          <w:szCs w:val="21"/>
          <w:lang w:eastAsia="zh-CN"/>
        </w:rPr>
      </w:pPr>
      <w:r w:rsidR="00BC25ED">
        <w:rPr>
          <w:rFonts w:ascii="宋体" w:hAnsi="宋体" w:hint="eastAsia"/>
          <w:szCs w:val="21"/>
          <w:highlight w:val="white"/>
          <w:lang w:eastAsia="zh-CN"/>
        </w:rPr>
        <w:t>（1）</w:t>
      </w:r>
      <w:r>
        <w:rPr>
          <w:rFonts w:ascii="宋体" w:hAnsi="宋体" w:hint="eastAsia"/>
          <w:szCs w:val="21"/>
          <w:highlight w:val="white"/>
          <w:lang w:eastAsia="zh-CN"/>
        </w:rPr>
        <w:t>被依法取消基金管理资格；</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2</w:t>
      </w:r>
      <w:r>
        <w:rPr>
          <w:rFonts w:ascii="宋体" w:hAnsi="宋体" w:hint="eastAsia"/>
          <w:szCs w:val="21"/>
          <w:highlight w:val="white"/>
          <w:lang w:eastAsia="zh-CN"/>
        </w:rPr>
        <w:t>）</w:t>
      </w:r>
      <w:r w:rsidR="006540C0">
        <w:rPr>
          <w:rFonts w:ascii="宋体" w:hAnsi="宋体" w:hint="eastAsia"/>
          <w:szCs w:val="21"/>
          <w:highlight w:val="white"/>
          <w:lang w:eastAsia="zh-CN"/>
        </w:rPr>
        <w:t>被基金份额持有人大会解任；</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3</w:t>
      </w:r>
      <w:r>
        <w:rPr>
          <w:rFonts w:ascii="宋体" w:hAnsi="宋体" w:hint="eastAsia"/>
          <w:szCs w:val="21"/>
          <w:highlight w:val="white"/>
          <w:lang w:eastAsia="zh-CN"/>
        </w:rPr>
        <w:t>）</w:t>
      </w:r>
      <w:r w:rsidR="006540C0">
        <w:rPr>
          <w:rFonts w:ascii="宋体" w:hAnsi="宋体" w:hint="eastAsia"/>
          <w:szCs w:val="21"/>
          <w:highlight w:val="white"/>
          <w:lang w:eastAsia="zh-CN"/>
        </w:rPr>
        <w:t>依法解散、被依法撤销或被依法宣告破产；</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4</w:t>
      </w:r>
      <w:r>
        <w:rPr>
          <w:rFonts w:ascii="宋体" w:hAnsi="宋体" w:hint="eastAsia"/>
          <w:szCs w:val="21"/>
          <w:highlight w:val="white"/>
          <w:lang w:eastAsia="zh-CN"/>
        </w:rPr>
        <w:t>）</w:t>
      </w:r>
      <w:r w:rsidR="006540C0">
        <w:rPr>
          <w:rFonts w:ascii="宋体" w:hAnsi="宋体" w:hint="eastAsia"/>
          <w:szCs w:val="21"/>
          <w:highlight w:val="white"/>
          <w:lang w:eastAsia="zh-CN"/>
        </w:rPr>
        <w:t>法律法规及中国证监会规定的和《基金合同》约定的其他情形。</w:t>
      </w:r>
    </w:p>
    <w:p w:rsidR="001B6CFD" w:rsidRPr="00BC25ED">
      <w:pPr>
        <w:spacing w:line="360" w:lineRule="auto"/>
        <w:ind w:firstLine="420"/>
        <w:rPr>
          <w:rFonts w:ascii="宋体" w:hAnsi="宋体"/>
          <w:szCs w:val="21"/>
          <w:lang w:eastAsia="zh-CN"/>
        </w:rPr>
      </w:pPr>
    </w:p>
    <w:p w:rsidR="001B6CFD">
      <w:pPr>
        <w:spacing w:line="360" w:lineRule="auto"/>
        <w:ind w:firstLine="420"/>
        <w:rPr>
          <w:rFonts w:ascii="宋体" w:hAnsi="宋体"/>
          <w:szCs w:val="21"/>
          <w:lang w:eastAsia="zh-CN"/>
        </w:rPr>
      </w:pPr>
      <w:r>
        <w:rPr>
          <w:rFonts w:ascii="宋体" w:hAnsi="宋体" w:hint="eastAsia"/>
          <w:szCs w:val="21"/>
          <w:highlight w:val="white"/>
          <w:lang w:eastAsia="zh-CN"/>
        </w:rPr>
        <w:t>2.更换基金管理人的程序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1</w:t>
      </w:r>
      <w:r>
        <w:rPr>
          <w:rFonts w:ascii="宋体" w:hAnsi="宋体" w:hint="eastAsia"/>
          <w:szCs w:val="21"/>
          <w:highlight w:val="white"/>
          <w:lang w:eastAsia="zh-CN"/>
        </w:rPr>
        <w:t>）</w:t>
      </w:r>
      <w:r w:rsidR="006540C0">
        <w:rPr>
          <w:rFonts w:ascii="宋体" w:hAnsi="宋体" w:hint="eastAsia"/>
          <w:szCs w:val="21"/>
          <w:highlight w:val="white"/>
          <w:lang w:eastAsia="zh-CN"/>
        </w:rPr>
        <w:t>提名：新任基金管理人由基金托管人或由单独或合计持有10%以上（含10%）基金份额的基金份额持有人提名；</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2</w:t>
      </w:r>
      <w:r>
        <w:rPr>
          <w:rFonts w:ascii="宋体" w:hAnsi="宋体" w:hint="eastAsia"/>
          <w:szCs w:val="21"/>
          <w:highlight w:val="white"/>
          <w:lang w:eastAsia="zh-CN"/>
        </w:rPr>
        <w:t>）</w:t>
      </w:r>
      <w:r w:rsidR="006540C0">
        <w:rPr>
          <w:rFonts w:ascii="宋体" w:hAnsi="宋体" w:hint="eastAsia"/>
          <w:szCs w:val="21"/>
          <w:highlight w:val="white"/>
          <w:lang w:eastAsia="zh-CN"/>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3</w:t>
      </w:r>
      <w:r>
        <w:rPr>
          <w:rFonts w:ascii="宋体" w:hAnsi="宋体" w:hint="eastAsia"/>
          <w:szCs w:val="21"/>
          <w:highlight w:val="white"/>
          <w:lang w:eastAsia="zh-CN"/>
        </w:rPr>
        <w:t>）</w:t>
      </w:r>
      <w:r w:rsidR="006540C0">
        <w:rPr>
          <w:rFonts w:ascii="宋体" w:hAnsi="宋体" w:hint="eastAsia"/>
          <w:szCs w:val="21"/>
          <w:highlight w:val="white"/>
          <w:lang w:eastAsia="zh-CN"/>
        </w:rPr>
        <w:t>临时基金管理人：新任基金管理人产生之前，由中国证监会指定临时基金管理人；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4</w:t>
      </w:r>
      <w:r>
        <w:rPr>
          <w:rFonts w:ascii="宋体" w:hAnsi="宋体" w:hint="eastAsia"/>
          <w:szCs w:val="21"/>
          <w:highlight w:val="white"/>
          <w:lang w:eastAsia="zh-CN"/>
        </w:rPr>
        <w:t>）</w:t>
      </w:r>
      <w:r w:rsidR="006540C0">
        <w:rPr>
          <w:rFonts w:ascii="宋体" w:hAnsi="宋体" w:hint="eastAsia"/>
          <w:szCs w:val="21"/>
          <w:highlight w:val="white"/>
          <w:lang w:eastAsia="zh-CN"/>
        </w:rPr>
        <w:t>备案：基金份额持有人大会更换基金管理人的决议须报中国证监会备案；</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5</w:t>
      </w:r>
      <w:r>
        <w:rPr>
          <w:rFonts w:ascii="宋体" w:hAnsi="宋体" w:hint="eastAsia"/>
          <w:szCs w:val="21"/>
          <w:highlight w:val="white"/>
          <w:lang w:eastAsia="zh-CN"/>
        </w:rPr>
        <w:t>）</w:t>
      </w:r>
      <w:r w:rsidR="006540C0">
        <w:rPr>
          <w:rFonts w:ascii="宋体" w:hAnsi="宋体" w:hint="eastAsia"/>
          <w:szCs w:val="21"/>
          <w:highlight w:val="white"/>
          <w:lang w:eastAsia="zh-CN"/>
        </w:rPr>
        <w:t>公告：基金管理人更换后，由基金托管人在更换基金管理人的基金份额持有人大会决议生效后2日内在规定媒介公告；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6</w:t>
      </w:r>
      <w:r>
        <w:rPr>
          <w:rFonts w:ascii="宋体" w:hAnsi="宋体" w:hint="eastAsia"/>
          <w:szCs w:val="21"/>
          <w:highlight w:val="white"/>
          <w:lang w:eastAsia="zh-CN"/>
        </w:rPr>
        <w:t>）</w:t>
      </w:r>
      <w:r w:rsidR="006540C0">
        <w:rPr>
          <w:rFonts w:ascii="宋体" w:hAnsi="宋体" w:hint="eastAsia"/>
          <w:szCs w:val="21"/>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7</w:t>
      </w:r>
      <w:r>
        <w:rPr>
          <w:rFonts w:ascii="宋体" w:hAnsi="宋体" w:hint="eastAsia"/>
          <w:szCs w:val="21"/>
          <w:highlight w:val="white"/>
          <w:lang w:eastAsia="zh-CN"/>
        </w:rPr>
        <w:t>）</w:t>
      </w:r>
      <w:r w:rsidR="006540C0">
        <w:rPr>
          <w:rFonts w:ascii="宋体" w:hAnsi="宋体" w:hint="eastAsia"/>
          <w:szCs w:val="21"/>
          <w:highlight w:val="white"/>
          <w:lang w:eastAsia="zh-CN"/>
        </w:rPr>
        <w:t>审计：基金管理人职责终止的，应当按照法律法规规定聘请会计师事务所对基金财产进行审计，并将审计结果予以公告，同时报中国证监会备案。审计费用从基金财产中列支；</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8</w:t>
      </w:r>
      <w:r>
        <w:rPr>
          <w:rFonts w:ascii="宋体" w:hAnsi="宋体" w:hint="eastAsia"/>
          <w:szCs w:val="21"/>
          <w:highlight w:val="white"/>
          <w:lang w:eastAsia="zh-CN"/>
        </w:rPr>
        <w:t>）</w:t>
      </w:r>
      <w:r w:rsidR="006540C0">
        <w:rPr>
          <w:rFonts w:ascii="宋体" w:hAnsi="宋体" w:hint="eastAsia"/>
          <w:szCs w:val="21"/>
          <w:highlight w:val="white"/>
          <w:lang w:eastAsia="zh-CN"/>
        </w:rPr>
        <w:t>基金名称变更：基金管理人更换后，如果原任或新任基金管理人要求，应按其要求替换或删除基金名称中与原基金管理人有关的名称字样。</w:t>
      </w:r>
    </w:p>
    <w:p w:rsidR="001B6CFD" w:rsidRPr="00BC25ED">
      <w:pPr>
        <w:spacing w:line="360" w:lineRule="auto"/>
        <w:ind w:firstLine="420"/>
        <w:rPr>
          <w:rFonts w:ascii="宋体" w:hAnsi="宋体"/>
          <w:szCs w:val="21"/>
          <w:lang w:eastAsia="zh-CN"/>
        </w:rPr>
      </w:pPr>
    </w:p>
    <w:p w:rsidR="001B6CFD">
      <w:pPr>
        <w:spacing w:line="360" w:lineRule="auto"/>
        <w:ind w:firstLine="420"/>
        <w:rPr>
          <w:rFonts w:ascii="宋体" w:hAnsi="宋体"/>
          <w:szCs w:val="21"/>
          <w:lang w:eastAsia="zh-CN"/>
        </w:rPr>
      </w:pPr>
      <w:r>
        <w:rPr>
          <w:rFonts w:ascii="宋体" w:hAnsi="宋体" w:hint="eastAsia"/>
          <w:szCs w:val="21"/>
          <w:highlight w:val="white"/>
          <w:lang w:eastAsia="zh-CN"/>
        </w:rPr>
        <w:t>3.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rsidR="001B6CFD">
      <w:pPr>
        <w:pStyle w:val="21"/>
        <w:keepNext w:val="0"/>
        <w:keepLines w:val="0"/>
        <w:spacing w:before="0" w:after="0" w:line="360" w:lineRule="auto"/>
        <w:ind w:firstLine="309"/>
        <w:rPr>
          <w:rFonts w:ascii="宋体" w:eastAsia="宋体" w:hAnsi="宋体" w:cs="Arial"/>
          <w:b w:val="0"/>
          <w:bCs w:val="0"/>
          <w:sz w:val="21"/>
          <w:szCs w:val="21"/>
          <w:lang w:eastAsia="zh-CN"/>
        </w:rPr>
      </w:pPr>
      <w:bookmarkStart w:id="107" w:name="_Toc69134104"/>
      <w:bookmarkStart w:id="108" w:name="_Toc382819130"/>
      <w:r>
        <w:rPr>
          <w:rFonts w:ascii="宋体" w:eastAsia="宋体" w:hAnsi="宋体" w:cs="Arial" w:hint="eastAsia"/>
          <w:b w:val="0"/>
          <w:bCs w:val="0"/>
          <w:sz w:val="21"/>
          <w:szCs w:val="21"/>
          <w:highlight w:val="white"/>
          <w:lang w:eastAsia="zh-CN"/>
        </w:rPr>
        <w:t>（二）基金托管人的更换</w:t>
      </w:r>
      <w:bookmarkEnd w:id="107"/>
      <w:bookmarkEnd w:id="108"/>
    </w:p>
    <w:p w:rsidR="001B6CFD">
      <w:pPr>
        <w:spacing w:line="360" w:lineRule="auto"/>
        <w:ind w:firstLine="420"/>
        <w:rPr>
          <w:rFonts w:ascii="宋体" w:hAnsi="宋体"/>
          <w:szCs w:val="21"/>
          <w:lang w:eastAsia="zh-CN"/>
        </w:rPr>
      </w:pPr>
      <w:r>
        <w:rPr>
          <w:rFonts w:ascii="宋体" w:hAnsi="宋体" w:hint="eastAsia"/>
          <w:szCs w:val="21"/>
          <w:highlight w:val="white"/>
          <w:lang w:eastAsia="zh-CN"/>
        </w:rPr>
        <w:t>1.基金托管人的更换条件</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有下列情形之一的，基金托管人职责终止：</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1</w:t>
      </w:r>
      <w:r>
        <w:rPr>
          <w:rFonts w:ascii="宋体" w:hAnsi="宋体" w:hint="eastAsia"/>
          <w:szCs w:val="21"/>
          <w:highlight w:val="white"/>
          <w:lang w:eastAsia="zh-CN"/>
        </w:rPr>
        <w:t>）</w:t>
      </w:r>
      <w:r w:rsidR="006540C0">
        <w:rPr>
          <w:rFonts w:ascii="宋体" w:hAnsi="宋体" w:hint="eastAsia"/>
          <w:szCs w:val="21"/>
          <w:highlight w:val="white"/>
          <w:lang w:eastAsia="zh-CN"/>
        </w:rPr>
        <w:t>被依法取消基金托管资格；</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2</w:t>
      </w:r>
      <w:r>
        <w:rPr>
          <w:rFonts w:ascii="宋体" w:hAnsi="宋体" w:hint="eastAsia"/>
          <w:szCs w:val="21"/>
          <w:highlight w:val="white"/>
          <w:lang w:eastAsia="zh-CN"/>
        </w:rPr>
        <w:t>）</w:t>
      </w:r>
      <w:r w:rsidR="006540C0">
        <w:rPr>
          <w:rFonts w:ascii="宋体" w:hAnsi="宋体" w:hint="eastAsia"/>
          <w:szCs w:val="21"/>
          <w:highlight w:val="white"/>
          <w:lang w:eastAsia="zh-CN"/>
        </w:rPr>
        <w:t>被基金份额持有人大会解任；</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3</w:t>
      </w:r>
      <w:r>
        <w:rPr>
          <w:rFonts w:ascii="宋体" w:hAnsi="宋体" w:hint="eastAsia"/>
          <w:szCs w:val="21"/>
          <w:highlight w:val="white"/>
          <w:lang w:eastAsia="zh-CN"/>
        </w:rPr>
        <w:t>）</w:t>
      </w:r>
      <w:r w:rsidR="006540C0">
        <w:rPr>
          <w:rFonts w:ascii="宋体" w:hAnsi="宋体" w:hint="eastAsia"/>
          <w:szCs w:val="21"/>
          <w:highlight w:val="white"/>
          <w:lang w:eastAsia="zh-CN"/>
        </w:rPr>
        <w:t>依法解散、被依法撤销或被依法宣告破产；</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4</w:t>
      </w:r>
      <w:r>
        <w:rPr>
          <w:rFonts w:ascii="宋体" w:hAnsi="宋体" w:hint="eastAsia"/>
          <w:szCs w:val="21"/>
          <w:highlight w:val="white"/>
          <w:lang w:eastAsia="zh-CN"/>
        </w:rPr>
        <w:t>）</w:t>
      </w:r>
      <w:r w:rsidR="006540C0">
        <w:rPr>
          <w:rFonts w:ascii="宋体" w:hAnsi="宋体" w:hint="eastAsia"/>
          <w:szCs w:val="21"/>
          <w:highlight w:val="white"/>
          <w:lang w:eastAsia="zh-CN"/>
        </w:rPr>
        <w:t>法律法规及中国证监会规定的和《基金合同》约定的其他情形。</w:t>
      </w:r>
    </w:p>
    <w:p w:rsidR="001B6CFD">
      <w:pPr>
        <w:spacing w:line="360" w:lineRule="auto"/>
        <w:ind w:firstLine="420"/>
        <w:rPr>
          <w:rFonts w:ascii="宋体" w:hAnsi="宋体"/>
          <w:szCs w:val="21"/>
          <w:lang w:eastAsia="zh-CN"/>
        </w:rPr>
      </w:pPr>
    </w:p>
    <w:p w:rsidR="001B6CFD">
      <w:pPr>
        <w:spacing w:line="360" w:lineRule="auto"/>
        <w:ind w:firstLine="420"/>
        <w:rPr>
          <w:rFonts w:ascii="宋体" w:hAnsi="宋体"/>
          <w:szCs w:val="21"/>
          <w:lang w:eastAsia="zh-CN"/>
        </w:rPr>
      </w:pPr>
      <w:r>
        <w:rPr>
          <w:rFonts w:ascii="宋体" w:hAnsi="宋体" w:hint="eastAsia"/>
          <w:szCs w:val="21"/>
          <w:highlight w:val="white"/>
          <w:lang w:eastAsia="zh-CN"/>
        </w:rPr>
        <w:t>2.更换基金托管人的程序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1</w:t>
      </w:r>
      <w:r>
        <w:rPr>
          <w:rFonts w:ascii="宋体" w:hAnsi="宋体" w:hint="eastAsia"/>
          <w:szCs w:val="21"/>
          <w:highlight w:val="white"/>
          <w:lang w:eastAsia="zh-CN"/>
        </w:rPr>
        <w:t>）</w:t>
      </w:r>
      <w:r w:rsidR="006540C0">
        <w:rPr>
          <w:rFonts w:ascii="宋体" w:hAnsi="宋体" w:hint="eastAsia"/>
          <w:szCs w:val="21"/>
          <w:highlight w:val="white"/>
          <w:lang w:eastAsia="zh-CN"/>
        </w:rPr>
        <w:t>提名：新任基金托管人由基金管理人或由单独或合计持有10%以上（含10%）基金份额的基金份额持有人提名；</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2</w:t>
      </w:r>
      <w:r>
        <w:rPr>
          <w:rFonts w:ascii="宋体" w:hAnsi="宋体" w:hint="eastAsia"/>
          <w:szCs w:val="21"/>
          <w:highlight w:val="white"/>
          <w:lang w:eastAsia="zh-CN"/>
        </w:rPr>
        <w:t>）</w:t>
      </w:r>
      <w:r w:rsidR="006540C0">
        <w:rPr>
          <w:rFonts w:ascii="宋体" w:hAnsi="宋体" w:hint="eastAsia"/>
          <w:szCs w:val="21"/>
          <w:highlight w:val="white"/>
          <w:lang w:eastAsia="zh-CN"/>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3</w:t>
      </w:r>
      <w:r>
        <w:rPr>
          <w:rFonts w:ascii="宋体" w:hAnsi="宋体" w:hint="eastAsia"/>
          <w:szCs w:val="21"/>
          <w:highlight w:val="white"/>
          <w:lang w:eastAsia="zh-CN"/>
        </w:rPr>
        <w:t>）</w:t>
      </w:r>
      <w:r w:rsidR="006540C0">
        <w:rPr>
          <w:rFonts w:ascii="宋体" w:hAnsi="宋体" w:hint="eastAsia"/>
          <w:szCs w:val="21"/>
          <w:highlight w:val="white"/>
          <w:lang w:eastAsia="zh-CN"/>
        </w:rPr>
        <w:t>临时基金托管人：新任基金托管人产生之前，由中国证监会指定临时基金托管人；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4</w:t>
      </w:r>
      <w:r>
        <w:rPr>
          <w:rFonts w:ascii="宋体" w:hAnsi="宋体" w:hint="eastAsia"/>
          <w:szCs w:val="21"/>
          <w:highlight w:val="white"/>
          <w:lang w:eastAsia="zh-CN"/>
        </w:rPr>
        <w:t>）</w:t>
      </w:r>
      <w:r w:rsidR="006540C0">
        <w:rPr>
          <w:rFonts w:ascii="宋体" w:hAnsi="宋体" w:hint="eastAsia"/>
          <w:szCs w:val="21"/>
          <w:highlight w:val="white"/>
          <w:lang w:eastAsia="zh-CN"/>
        </w:rPr>
        <w:t>备案：基金份额持有人大会更换基金托管人的决议须报中国证监会备案；</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5</w:t>
      </w:r>
      <w:r>
        <w:rPr>
          <w:rFonts w:ascii="宋体" w:hAnsi="宋体" w:hint="eastAsia"/>
          <w:szCs w:val="21"/>
          <w:highlight w:val="white"/>
          <w:lang w:eastAsia="zh-CN"/>
        </w:rPr>
        <w:t>）</w:t>
      </w:r>
      <w:r w:rsidR="006540C0">
        <w:rPr>
          <w:rFonts w:ascii="宋体" w:hAnsi="宋体" w:hint="eastAsia"/>
          <w:szCs w:val="21"/>
          <w:highlight w:val="white"/>
          <w:lang w:eastAsia="zh-CN"/>
        </w:rPr>
        <w:t>公告：基金托管人更换后，由基金管理人在更换基金托管人的基金份额持有人大会决议生效后2日内在规定媒介公告；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6</w:t>
      </w:r>
      <w:r>
        <w:rPr>
          <w:rFonts w:ascii="宋体" w:hAnsi="宋体" w:hint="eastAsia"/>
          <w:szCs w:val="21"/>
          <w:highlight w:val="white"/>
          <w:lang w:eastAsia="zh-CN"/>
        </w:rPr>
        <w:t>）</w:t>
      </w:r>
      <w:r w:rsidR="006540C0">
        <w:rPr>
          <w:rFonts w:ascii="宋体" w:hAnsi="宋体" w:hint="eastAsia"/>
          <w:szCs w:val="21"/>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w:t>
      </w:r>
      <w:r w:rsidR="006540C0">
        <w:rPr>
          <w:rFonts w:ascii="宋体" w:hAnsi="宋体" w:hint="eastAsia"/>
          <w:szCs w:val="21"/>
          <w:highlight w:val="white"/>
          <w:lang w:eastAsia="zh-CN"/>
        </w:rPr>
        <w:t>7</w:t>
      </w:r>
      <w:r>
        <w:rPr>
          <w:rFonts w:ascii="宋体" w:hAnsi="宋体" w:hint="eastAsia"/>
          <w:szCs w:val="21"/>
          <w:highlight w:val="white"/>
          <w:lang w:eastAsia="zh-CN"/>
        </w:rPr>
        <w:t>）</w:t>
      </w:r>
      <w:r w:rsidR="006540C0">
        <w:rPr>
          <w:rFonts w:ascii="宋体" w:hAnsi="宋体" w:hint="eastAsia"/>
          <w:szCs w:val="21"/>
          <w:highlight w:val="white"/>
          <w:lang w:eastAsia="zh-CN"/>
        </w:rPr>
        <w:t>审计：基金托管人职责终止的，应当按照法律法规规定聘请会计师事务所对基金财产进行审计，并将审计结果予以公告，同时报中国证监会备案。审计费用从基金财产中列支。</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rsidR="001B6CFD">
      <w:pPr>
        <w:spacing w:line="360" w:lineRule="auto"/>
        <w:ind w:firstLine="420"/>
        <w:rPr>
          <w:rFonts w:ascii="宋体" w:hAnsi="宋体"/>
          <w:bCs/>
          <w:szCs w:val="21"/>
          <w:lang w:eastAsia="zh-CN"/>
        </w:rPr>
      </w:pPr>
      <w:r>
        <w:rPr>
          <w:rFonts w:ascii="宋体" w:hAnsi="宋体" w:hint="eastAsia"/>
          <w:bCs/>
          <w:szCs w:val="21"/>
          <w:highlight w:val="white"/>
          <w:lang w:eastAsia="zh-CN"/>
        </w:rPr>
        <w:t>（三）基金管理人和基金托管人的同时更换程序</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1</w:t>
      </w:r>
      <w:r w:rsidR="00BC25ED">
        <w:rPr>
          <w:rFonts w:ascii="宋体" w:hAnsi="宋体" w:hint="eastAsia"/>
          <w:szCs w:val="21"/>
          <w:highlight w:val="white"/>
          <w:lang w:eastAsia="zh-CN"/>
        </w:rPr>
        <w:t>.</w:t>
      </w:r>
      <w:r>
        <w:rPr>
          <w:rFonts w:ascii="宋体" w:hAnsi="宋体" w:hint="eastAsia"/>
          <w:szCs w:val="21"/>
          <w:highlight w:val="white"/>
          <w:lang w:eastAsia="zh-CN"/>
        </w:rPr>
        <w:t>提名：如果基金管理人和基金托管人同时更换，由单独或合计持有基金总份额10%以上（含10%）的基金份额持有人提名新的基金管理人和基金托管人；</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w:t>
      </w:r>
      <w:r w:rsidR="00BC25ED">
        <w:rPr>
          <w:rFonts w:ascii="宋体" w:hAnsi="宋体" w:hint="eastAsia"/>
          <w:szCs w:val="21"/>
          <w:highlight w:val="white"/>
          <w:lang w:eastAsia="zh-CN"/>
        </w:rPr>
        <w:t>.</w:t>
      </w:r>
      <w:r>
        <w:rPr>
          <w:rFonts w:ascii="宋体" w:hAnsi="宋体" w:hint="eastAsia"/>
          <w:szCs w:val="21"/>
          <w:highlight w:val="white"/>
          <w:lang w:eastAsia="zh-CN"/>
        </w:rPr>
        <w:t>基金管理人和基金托管人的更换分别按上述程序进行；</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w:t>
      </w:r>
      <w:r w:rsidR="00BC25ED">
        <w:rPr>
          <w:rFonts w:ascii="宋体" w:hAnsi="宋体" w:hint="eastAsia"/>
          <w:szCs w:val="21"/>
          <w:highlight w:val="white"/>
          <w:lang w:eastAsia="zh-CN"/>
        </w:rPr>
        <w:t>.</w:t>
      </w:r>
      <w:r>
        <w:rPr>
          <w:rFonts w:ascii="宋体" w:hAnsi="宋体" w:hint="eastAsia"/>
          <w:szCs w:val="21"/>
          <w:highlight w:val="white"/>
          <w:lang w:eastAsia="zh-CN"/>
        </w:rPr>
        <w:t>公告：新任基金管理人和新任基金托管人应在更换基金管理人和基金托管人的基金份额持有人大会决议生效后2日内在规定媒介上联合公告。</w:t>
      </w:r>
    </w:p>
    <w:p w:rsidR="001B6CFD">
      <w:pPr>
        <w:spacing w:line="360" w:lineRule="auto"/>
        <w:ind w:firstLine="473"/>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109" w:name="_Toc69134105"/>
      <w:r>
        <w:rPr>
          <w:rFonts w:ascii="宋体" w:eastAsia="宋体" w:hAnsi="宋体" w:cs="Arial" w:hint="eastAsia"/>
          <w:sz w:val="21"/>
          <w:szCs w:val="21"/>
          <w:highlight w:val="white"/>
        </w:rPr>
        <w:t>禁止行为</w:t>
      </w:r>
      <w:bookmarkEnd w:id="109"/>
    </w:p>
    <w:p w:rsidR="001B6CFD">
      <w:pPr>
        <w:spacing w:line="360" w:lineRule="auto"/>
        <w:ind w:firstLine="473"/>
        <w:rPr>
          <w:rFonts w:ascii="宋体" w:hAnsi="宋体"/>
          <w:szCs w:val="21"/>
          <w:lang w:eastAsia="zh-CN"/>
        </w:rPr>
      </w:pPr>
      <w:r>
        <w:rPr>
          <w:rFonts w:ascii="宋体" w:hAnsi="宋体" w:hint="eastAsia"/>
          <w:szCs w:val="21"/>
          <w:highlight w:val="white"/>
          <w:lang w:eastAsia="zh-CN"/>
        </w:rPr>
        <w:t>托管协议当事人禁止从事的行为，包括但不限于：</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（一）基金管理人、基金托管人将其固有财产或者他人财产混同于基金财产从事证券投资。</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（二）基金管理人、基金托管人不公平地对待其管理或托管的不同基金财产。</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（三）基金管理人、基金托管人利用基金财产为基金份额持有人以外的第三人牟取利益。</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（四）基金管理人、基金托管人向基金份额持有人违规承诺收益或者承担损失。</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（五）基金管理人、基金托管人对他人泄露基金经营过程中任何尚未按法律法规规定的方式公开披露的信息。</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（六）基金管理人在没有充足资金的情况下向基金托管人发出投资指令和赎回、分红资金的划拨指令，或违规向基金托管人发出指令。</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（七）基金托管人对基金管理人的符合本协议约定的有效指令拖延或拒绝执行。</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 xml:space="preserve">（八）基金管理人、基金托管人在行政上、财务上不独立，其高级基金管理人员相互兼职。 </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 xml:space="preserve">（九）基金托管人私自动用或处分基金资产，根据基金管理人的合法指令、基金合同或托管协议的规定进行处分的除外。 </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（十）基金管理人、基金托管人不得利用基金财产用于下列投资或者活动：</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（1）承销证券；</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（2）违反规定向他人贷款或者提供担保；</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（3）从事承担无限责任的投资；</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（4）向其基金管理人、基金托管人出资；</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（5）从事内幕交易、操纵证券交易价格及其他不正当的证券交易活动；</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（6）法律、行政法规和中国证监会规定禁止的其他活动。</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十一）法律法规和基金合同禁止的其他行为，以及依照法律法规有关规定，由中国证监会规定禁止基金管理人、基金托管人从事的其他行为。法律、行政法规或监管部门取消或变更上述禁止性规定，基金管理人有权按照法律法规或监管部门调整或修改后的规定执行。</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10" w:name="_Toc69134106"/>
      <w:r>
        <w:rPr>
          <w:rFonts w:ascii="宋体" w:eastAsia="宋体" w:hAnsi="宋体" w:cs="Arial" w:hint="eastAsia"/>
          <w:sz w:val="21"/>
          <w:szCs w:val="21"/>
          <w:highlight w:val="white"/>
          <w:lang w:eastAsia="zh-CN"/>
        </w:rPr>
        <w:t>基金托管协议的变更、终止与基金财产的清算</w:t>
      </w:r>
      <w:bookmarkEnd w:id="110"/>
    </w:p>
    <w:p w:rsidR="001B6CFD">
      <w:pPr>
        <w:spacing w:line="360" w:lineRule="auto"/>
        <w:ind w:firstLine="473"/>
        <w:rPr>
          <w:rFonts w:ascii="宋体" w:hAnsi="宋体"/>
          <w:szCs w:val="21"/>
          <w:lang w:eastAsia="zh-CN"/>
        </w:rPr>
      </w:pPr>
      <w:r>
        <w:rPr>
          <w:rFonts w:ascii="宋体" w:hAnsi="宋体"/>
          <w:szCs w:val="21"/>
          <w:highlight w:val="white"/>
          <w:lang w:eastAsia="zh-CN"/>
        </w:rPr>
        <w:t>（一）托管协议的变更与终止</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1.托管协议的变更程序</w:t>
      </w:r>
    </w:p>
    <w:p w:rsidR="001B6CFD">
      <w:pPr>
        <w:spacing w:line="360" w:lineRule="auto"/>
        <w:ind w:firstLine="473"/>
        <w:rPr>
          <w:rFonts w:ascii="宋体" w:hAnsi="宋体"/>
          <w:lang w:eastAsia="zh-CN"/>
        </w:rPr>
      </w:pPr>
      <w:r>
        <w:rPr>
          <w:rFonts w:ascii="宋体" w:hAnsi="宋体" w:hint="eastAsia"/>
          <w:highlight w:val="white"/>
          <w:lang w:eastAsia="zh-CN"/>
        </w:rPr>
        <w:t>本协议双方当事人经协商一致，可以对协议的内容进行变更。变更后的托管协议，其内容不得与《基金合同》的规定有任何冲突。</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2.基金托管协议终止的情形</w:t>
      </w:r>
    </w:p>
    <w:p w:rsidR="001B6CFD">
      <w:pPr>
        <w:spacing w:line="360" w:lineRule="auto"/>
        <w:ind w:firstLine="473"/>
        <w:rPr>
          <w:rFonts w:ascii="宋体" w:hAnsi="宋体"/>
          <w:lang w:eastAsia="zh-CN"/>
        </w:rPr>
      </w:pPr>
      <w:r>
        <w:rPr>
          <w:rFonts w:ascii="宋体" w:hAnsi="宋体" w:hint="eastAsia"/>
          <w:highlight w:val="white"/>
          <w:lang w:eastAsia="zh-CN"/>
        </w:rPr>
        <w:t>发生以下情况，本托管协议终止：</w:t>
      </w:r>
    </w:p>
    <w:p w:rsidR="001B6CFD">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1）《基金合同》终止；</w:t>
      </w:r>
    </w:p>
    <w:p w:rsidR="001B6CFD">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2）基金托管人解散、依法被撤销、破产或有其他基金托管人接管基金资产；</w:t>
      </w:r>
    </w:p>
    <w:p w:rsidR="001B6CFD">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3）基金管理人解散、依法被撤销、破产或有其他基金管理人接管基金管理权；</w:t>
      </w:r>
    </w:p>
    <w:p w:rsidR="001B6CFD">
      <w:pPr>
        <w:spacing w:line="360" w:lineRule="auto"/>
        <w:ind w:firstLine="473"/>
        <w:rPr>
          <w:rFonts w:ascii="宋体" w:hAnsi="宋体"/>
          <w:lang w:eastAsia="zh-CN"/>
        </w:rPr>
      </w:pPr>
      <w:r>
        <w:rPr>
          <w:rFonts w:ascii="宋体" w:hAnsi="宋体" w:hint="eastAsia"/>
          <w:highlight w:val="white"/>
          <w:lang w:eastAsia="zh-CN"/>
        </w:rPr>
        <w:t>（</w:t>
      </w:r>
      <w:r>
        <w:rPr>
          <w:rFonts w:ascii="宋体" w:hAnsi="宋体"/>
          <w:highlight w:val="white"/>
          <w:lang w:eastAsia="zh-CN"/>
        </w:rPr>
        <w:t>4）发生法律法规或《基金合同》规定的终止事项。</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（二）基金财产的清算</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1</w:t>
      </w:r>
      <w:r w:rsidR="00BC25ED">
        <w:rPr>
          <w:rFonts w:ascii="宋体" w:hAnsi="宋体" w:hint="eastAsia"/>
          <w:szCs w:val="21"/>
          <w:highlight w:val="white"/>
          <w:lang w:eastAsia="zh-CN"/>
        </w:rPr>
        <w:t>.</w:t>
      </w:r>
      <w:r>
        <w:rPr>
          <w:rFonts w:ascii="宋体" w:hAnsi="宋体" w:hint="eastAsia"/>
          <w:szCs w:val="21"/>
          <w:highlight w:val="white"/>
          <w:lang w:eastAsia="zh-CN"/>
        </w:rPr>
        <w:t>基金财产清算小组：自出现《基金合同》终止事由之日起30个工作日内成立清算小组，基金管理人组织基金财产清算小组并在中国证监会的监督下进行基金清算。</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2</w:t>
      </w:r>
      <w:r w:rsidR="00BC25ED">
        <w:rPr>
          <w:rFonts w:ascii="宋体" w:hAnsi="宋体" w:hint="eastAsia"/>
          <w:szCs w:val="21"/>
          <w:highlight w:val="white"/>
          <w:lang w:eastAsia="zh-CN"/>
        </w:rPr>
        <w:t>.</w:t>
      </w:r>
      <w:r>
        <w:rPr>
          <w:rFonts w:ascii="宋体" w:hAnsi="宋体" w:hint="eastAsia"/>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3</w:t>
      </w:r>
      <w:r w:rsidR="00BC25ED">
        <w:rPr>
          <w:rFonts w:ascii="宋体" w:hAnsi="宋体" w:hint="eastAsia"/>
          <w:szCs w:val="21"/>
          <w:highlight w:val="white"/>
          <w:lang w:eastAsia="zh-CN"/>
        </w:rPr>
        <w:t>.</w:t>
      </w:r>
      <w:r>
        <w:rPr>
          <w:rFonts w:ascii="宋体" w:hAnsi="宋体" w:hint="eastAsia"/>
          <w:szCs w:val="21"/>
          <w:highlight w:val="white"/>
          <w:lang w:eastAsia="zh-CN"/>
        </w:rPr>
        <w:t>基金财产清算小组职责：基金财产清算小组负责基金财产的保管、清理、估价、变现和分配。基金财产清算小组可以依法进行必要的民事活动。</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4</w:t>
      </w:r>
      <w:r w:rsidR="00BC25ED">
        <w:rPr>
          <w:rFonts w:ascii="宋体" w:hAnsi="宋体" w:hint="eastAsia"/>
          <w:szCs w:val="21"/>
          <w:highlight w:val="white"/>
          <w:lang w:eastAsia="zh-CN"/>
        </w:rPr>
        <w:t>.</w:t>
      </w:r>
      <w:r>
        <w:rPr>
          <w:rFonts w:ascii="宋体" w:hAnsi="宋体" w:hint="eastAsia"/>
          <w:szCs w:val="21"/>
          <w:highlight w:val="white"/>
          <w:lang w:eastAsia="zh-CN"/>
        </w:rPr>
        <w:t>基金财产清算程序：</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（1）《基金合同》终止情形出现时，由基金财产清算小组统一接管基金；</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（2）对基金财产和债权债务进行清理和确认；</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（3）对基金财产进行估值和变现；</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（4）制作清算报告；</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（5）聘请会计师事务所对清算报告进行外部审计，聘请律师事务所对清算报告出具法律意见书；</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（6）将清算报告报中国证监会备案并公告；</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（7）对基金剩余财产进行分配。</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5</w:t>
      </w:r>
      <w:r w:rsidR="00BC25ED">
        <w:rPr>
          <w:rFonts w:ascii="宋体" w:hAnsi="宋体" w:hint="eastAsia"/>
          <w:szCs w:val="21"/>
          <w:highlight w:val="white"/>
          <w:lang w:eastAsia="zh-CN"/>
        </w:rPr>
        <w:t>.</w:t>
      </w:r>
      <w:r>
        <w:rPr>
          <w:rFonts w:ascii="宋体" w:hAnsi="宋体" w:hint="eastAsia"/>
          <w:szCs w:val="21"/>
          <w:highlight w:val="white"/>
          <w:lang w:eastAsia="zh-CN"/>
        </w:rPr>
        <w:t>基金财产清算的期限为6个月，但因本基金所持证券的流动性受到限制而不能及时变现的，清算期限相应顺延。</w:t>
      </w:r>
    </w:p>
    <w:p w:rsidR="001B6CFD">
      <w:pPr>
        <w:spacing w:line="360" w:lineRule="auto"/>
        <w:ind w:firstLine="473"/>
        <w:rPr>
          <w:rFonts w:ascii="宋体" w:hAnsi="宋体"/>
          <w:szCs w:val="21"/>
          <w:lang w:eastAsia="zh-CN"/>
        </w:rPr>
      </w:pPr>
      <w:r w:rsidR="00BC25ED">
        <w:rPr>
          <w:rFonts w:ascii="宋体" w:hAnsi="宋体" w:hint="eastAsia"/>
          <w:szCs w:val="21"/>
          <w:highlight w:val="white"/>
          <w:lang w:eastAsia="zh-CN"/>
        </w:rPr>
        <w:t>6.</w:t>
      </w:r>
      <w:r>
        <w:rPr>
          <w:rFonts w:ascii="宋体" w:hAnsi="宋体" w:hint="eastAsia"/>
          <w:szCs w:val="21"/>
          <w:highlight w:val="white"/>
          <w:lang w:eastAsia="zh-CN"/>
        </w:rPr>
        <w:t>清算费用</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清算费用是指基金财产清算小组在进行基金清算过程中发生的所有合理费用，清算费用由基金财产清算小组优先从基金财产中支付。</w:t>
      </w:r>
    </w:p>
    <w:p w:rsidR="001B6CFD">
      <w:pPr>
        <w:spacing w:line="360" w:lineRule="auto"/>
        <w:ind w:firstLine="473"/>
        <w:rPr>
          <w:rFonts w:ascii="宋体" w:hAnsi="宋体"/>
          <w:szCs w:val="21"/>
          <w:lang w:eastAsia="zh-CN"/>
        </w:rPr>
      </w:pPr>
      <w:r w:rsidR="00BC25ED">
        <w:rPr>
          <w:rFonts w:ascii="宋体" w:hAnsi="宋体" w:hint="eastAsia"/>
          <w:szCs w:val="21"/>
          <w:highlight w:val="white"/>
          <w:lang w:eastAsia="zh-CN"/>
        </w:rPr>
        <w:t>7.</w:t>
      </w:r>
      <w:r>
        <w:rPr>
          <w:rFonts w:ascii="宋体" w:hAnsi="宋体" w:hint="eastAsia"/>
          <w:szCs w:val="21"/>
          <w:highlight w:val="white"/>
          <w:lang w:eastAsia="zh-CN"/>
        </w:rPr>
        <w:t>基金财产清算剩余资产的分配</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szCs w:val="21"/>
          <w:lang w:eastAsia="zh-CN"/>
        </w:rPr>
        <w:t>分配金额需加上返还基金份额持有人的销售服务费（如有）。</w:t>
      </w:r>
    </w:p>
    <w:p w:rsidR="001B6CFD">
      <w:pPr>
        <w:spacing w:line="360" w:lineRule="auto"/>
        <w:ind w:firstLine="473"/>
        <w:rPr>
          <w:rFonts w:ascii="宋体" w:hAnsi="宋体"/>
          <w:szCs w:val="21"/>
          <w:lang w:eastAsia="zh-CN"/>
        </w:rPr>
      </w:pPr>
      <w:r w:rsidR="00BC25ED">
        <w:rPr>
          <w:rFonts w:ascii="宋体" w:hAnsi="宋体" w:hint="eastAsia"/>
          <w:szCs w:val="21"/>
          <w:highlight w:val="white"/>
          <w:lang w:eastAsia="zh-CN"/>
        </w:rPr>
        <w:t>8.</w:t>
      </w:r>
      <w:r>
        <w:rPr>
          <w:rFonts w:ascii="宋体" w:hAnsi="宋体" w:hint="eastAsia"/>
          <w:szCs w:val="21"/>
          <w:highlight w:val="white"/>
          <w:lang w:eastAsia="zh-CN"/>
        </w:rPr>
        <w:t>基金财产清算的公告</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1B6CFD">
      <w:pPr>
        <w:spacing w:line="360" w:lineRule="auto"/>
        <w:ind w:firstLine="473"/>
        <w:rPr>
          <w:rFonts w:ascii="宋体" w:hAnsi="宋体"/>
          <w:szCs w:val="21"/>
          <w:lang w:eastAsia="zh-CN"/>
        </w:rPr>
      </w:pPr>
      <w:r w:rsidR="00BC25ED">
        <w:rPr>
          <w:rFonts w:ascii="宋体" w:hAnsi="宋体" w:hint="eastAsia"/>
          <w:szCs w:val="21"/>
          <w:highlight w:val="white"/>
          <w:lang w:eastAsia="zh-CN"/>
        </w:rPr>
        <w:t>9.</w:t>
      </w:r>
      <w:r>
        <w:rPr>
          <w:rFonts w:ascii="宋体" w:hAnsi="宋体" w:hint="eastAsia"/>
          <w:szCs w:val="21"/>
          <w:highlight w:val="white"/>
          <w:lang w:eastAsia="zh-CN"/>
        </w:rPr>
        <w:t>基金财产清算账册及文件的保存</w:t>
      </w:r>
    </w:p>
    <w:p w:rsidR="001B6CFD">
      <w:pPr>
        <w:spacing w:line="360" w:lineRule="auto"/>
        <w:ind w:firstLine="473"/>
        <w:rPr>
          <w:rFonts w:ascii="宋体" w:hAnsi="宋体"/>
          <w:szCs w:val="21"/>
          <w:lang w:eastAsia="zh-CN"/>
        </w:rPr>
      </w:pPr>
      <w:r>
        <w:rPr>
          <w:rFonts w:ascii="宋体" w:hAnsi="宋体" w:hint="eastAsia"/>
          <w:szCs w:val="21"/>
          <w:highlight w:val="white"/>
          <w:lang w:eastAsia="zh-CN"/>
        </w:rPr>
        <w:t>基金财产清算账册及有关文件由基金托管人保存20年以上。</w:t>
      </w:r>
    </w:p>
    <w:p w:rsidR="001B6CFD">
      <w:pPr>
        <w:spacing w:line="360" w:lineRule="auto"/>
        <w:ind w:firstLine="473"/>
        <w:rPr>
          <w:rFonts w:ascii="宋体" w:hAnsi="宋体"/>
          <w:szCs w:val="21"/>
          <w:lang w:eastAsia="zh-CN"/>
        </w:rPr>
      </w:pPr>
      <w:r>
        <w:rPr>
          <w:rFonts w:ascii="宋体" w:hAnsi="宋体"/>
          <w:highlight w:val="white"/>
          <w:lang w:eastAsia="zh-CN"/>
        </w:rPr>
        <w:tab/>
      </w:r>
      <w:r>
        <w:rPr>
          <w:rFonts w:ascii="宋体" w:hAnsi="宋体"/>
          <w:highlight w:val="white"/>
          <w:lang w:eastAsia="zh-CN"/>
        </w:rPr>
        <w:tab/>
      </w: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111" w:name="_Toc69134107"/>
      <w:r>
        <w:rPr>
          <w:rFonts w:ascii="宋体" w:eastAsia="宋体" w:hAnsi="宋体" w:cs="Arial" w:hint="eastAsia"/>
          <w:sz w:val="21"/>
          <w:szCs w:val="21"/>
          <w:highlight w:val="white"/>
        </w:rPr>
        <w:t>违约责任</w:t>
      </w:r>
      <w:bookmarkEnd w:id="111"/>
    </w:p>
    <w:p w:rsidR="001B6CFD">
      <w:pPr>
        <w:spacing w:line="360" w:lineRule="auto"/>
        <w:ind w:firstLine="473"/>
        <w:rPr>
          <w:rFonts w:ascii="宋体" w:hAnsi="宋体"/>
          <w:lang w:eastAsia="zh-CN"/>
        </w:rPr>
      </w:pPr>
      <w:r>
        <w:rPr>
          <w:rFonts w:ascii="宋体" w:hAnsi="宋体" w:hint="eastAsia"/>
          <w:szCs w:val="21"/>
          <w:highlight w:val="white"/>
          <w:lang w:eastAsia="zh-CN"/>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ascii="宋体" w:hAnsi="宋体" w:hint="eastAsia"/>
          <w:highlight w:val="white"/>
          <w:lang w:eastAsia="zh-CN"/>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highlight w:val="white"/>
          <w:lang w:eastAsia="zh-CN"/>
        </w:rPr>
        <w:t>但是发生下列情况，当事人免责：</w:t>
      </w:r>
    </w:p>
    <w:p w:rsidR="001B6CFD">
      <w:pPr>
        <w:spacing w:line="360" w:lineRule="auto"/>
        <w:ind w:firstLine="473"/>
        <w:rPr>
          <w:rFonts w:ascii="宋体" w:hAnsi="宋体"/>
          <w:lang w:eastAsia="zh-CN"/>
        </w:rPr>
      </w:pPr>
      <w:r>
        <w:rPr>
          <w:rFonts w:ascii="宋体" w:hAnsi="宋体"/>
          <w:highlight w:val="white"/>
          <w:lang w:eastAsia="zh-CN"/>
        </w:rPr>
        <w:t>1</w:t>
      </w:r>
      <w:r w:rsidR="00BC25ED">
        <w:rPr>
          <w:rFonts w:ascii="宋体" w:hAnsi="宋体" w:hint="eastAsia"/>
          <w:szCs w:val="21"/>
          <w:highlight w:val="white"/>
          <w:lang w:eastAsia="zh-CN"/>
        </w:rPr>
        <w:t>.</w:t>
      </w:r>
      <w:r>
        <w:rPr>
          <w:rFonts w:ascii="宋体" w:hAnsi="宋体"/>
          <w:highlight w:val="white"/>
          <w:lang w:eastAsia="zh-CN"/>
        </w:rPr>
        <w:t>不可抗力；</w:t>
      </w:r>
    </w:p>
    <w:p w:rsidR="001B6CFD">
      <w:pPr>
        <w:spacing w:line="360" w:lineRule="auto"/>
        <w:ind w:firstLine="473"/>
        <w:rPr>
          <w:rFonts w:ascii="宋体" w:hAnsi="宋体"/>
          <w:lang w:eastAsia="zh-CN"/>
        </w:rPr>
      </w:pPr>
      <w:r>
        <w:rPr>
          <w:rFonts w:ascii="宋体" w:hAnsi="宋体"/>
          <w:highlight w:val="white"/>
          <w:lang w:eastAsia="zh-CN"/>
        </w:rPr>
        <w:t>2</w:t>
      </w:r>
      <w:r w:rsidR="00BC25ED">
        <w:rPr>
          <w:rFonts w:ascii="宋体" w:hAnsi="宋体" w:hint="eastAsia"/>
          <w:szCs w:val="21"/>
          <w:highlight w:val="white"/>
          <w:lang w:eastAsia="zh-CN"/>
        </w:rPr>
        <w:t>.</w:t>
      </w:r>
      <w:r>
        <w:rPr>
          <w:rFonts w:ascii="宋体" w:hAnsi="宋体"/>
          <w:highlight w:val="white"/>
          <w:lang w:eastAsia="zh-CN"/>
        </w:rPr>
        <w:t>基金管理人和/或基金托管人按照当时有效的法律法规或中国证监会的规定作为或不作为而造成的损失等；</w:t>
      </w:r>
    </w:p>
    <w:p w:rsidR="001B6CFD">
      <w:pPr>
        <w:spacing w:line="360" w:lineRule="auto"/>
        <w:ind w:firstLine="473"/>
        <w:rPr>
          <w:rFonts w:ascii="宋体" w:hAnsi="宋体"/>
          <w:lang w:eastAsia="zh-CN"/>
        </w:rPr>
      </w:pPr>
      <w:r>
        <w:rPr>
          <w:rFonts w:ascii="宋体" w:hAnsi="宋体"/>
          <w:highlight w:val="white"/>
          <w:lang w:eastAsia="zh-CN"/>
        </w:rPr>
        <w:t>3</w:t>
      </w:r>
      <w:r w:rsidR="00BC25ED">
        <w:rPr>
          <w:rFonts w:ascii="宋体" w:hAnsi="宋体" w:hint="eastAsia"/>
          <w:szCs w:val="21"/>
          <w:highlight w:val="white"/>
          <w:lang w:eastAsia="zh-CN"/>
        </w:rPr>
        <w:t>.</w:t>
      </w:r>
      <w:r>
        <w:rPr>
          <w:rFonts w:ascii="宋体" w:hAnsi="宋体"/>
          <w:highlight w:val="white"/>
          <w:lang w:eastAsia="zh-CN"/>
        </w:rPr>
        <w:t>基金管理人由于按照基金合同规定的投资原则投资或不投资造成的损失等。</w:t>
      </w:r>
    </w:p>
    <w:p w:rsidR="001B6CFD">
      <w:pPr>
        <w:spacing w:line="360" w:lineRule="auto"/>
        <w:ind w:firstLine="473"/>
        <w:rPr>
          <w:rFonts w:ascii="宋体" w:hAnsi="宋体"/>
          <w:lang w:eastAsia="zh-CN"/>
        </w:rPr>
      </w:pPr>
      <w:r>
        <w:rPr>
          <w:rFonts w:ascii="宋体" w:hAnsi="宋体" w:hint="eastAsia"/>
          <w:szCs w:val="21"/>
          <w:highlight w:val="white"/>
          <w:lang w:eastAsia="zh-CN"/>
        </w:rPr>
        <w:t>（二）</w:t>
      </w:r>
      <w:r>
        <w:rPr>
          <w:rFonts w:ascii="宋体" w:hAnsi="宋体" w:hint="eastAsia"/>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B6CFD">
      <w:pPr>
        <w:spacing w:line="360" w:lineRule="auto"/>
        <w:ind w:firstLine="473"/>
        <w:rPr>
          <w:rFonts w:ascii="宋体" w:hAnsi="宋体"/>
          <w:lang w:eastAsia="zh-CN"/>
        </w:rPr>
      </w:pPr>
      <w:r>
        <w:rPr>
          <w:rFonts w:ascii="宋体" w:hAnsi="宋体" w:hint="eastAsia"/>
          <w:highlight w:val="white"/>
          <w:lang w:eastAsia="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B6CFD">
      <w:pPr>
        <w:spacing w:line="360" w:lineRule="auto"/>
        <w:ind w:firstLine="473"/>
        <w:rPr>
          <w:rFonts w:ascii="宋体" w:hAnsi="宋体"/>
          <w:szCs w:val="21"/>
          <w:lang w:eastAsia="zh-CN"/>
        </w:rPr>
      </w:pPr>
    </w:p>
    <w:p w:rsidR="001B6CFD">
      <w:pPr>
        <w:spacing w:line="360" w:lineRule="auto"/>
        <w:ind w:firstLine="473"/>
        <w:rPr>
          <w:rFonts w:ascii="宋体" w:hAnsi="宋体"/>
          <w:szCs w:val="21"/>
          <w:lang w:eastAsia="zh-CN"/>
        </w:rPr>
      </w:pPr>
    </w:p>
    <w:p w:rsidR="001B6CFD">
      <w:pPr>
        <w:pStyle w:val="11"/>
        <w:keepNext w:val="0"/>
        <w:keepLines w:val="0"/>
        <w:numPr>
          <w:ilvl w:val="0"/>
          <w:numId w:val="2"/>
        </w:numPr>
        <w:tabs>
          <w:tab w:val="left" w:pos="420"/>
        </w:tabs>
        <w:spacing w:before="360" w:after="360"/>
        <w:rPr>
          <w:rFonts w:ascii="宋体" w:eastAsia="宋体" w:hAnsi="宋体"/>
          <w:b w:val="0"/>
          <w:sz w:val="21"/>
          <w:lang w:eastAsia="zh-CN"/>
        </w:rPr>
      </w:pPr>
      <w:bookmarkStart w:id="112" w:name="_Toc69134108"/>
      <w:r>
        <w:rPr>
          <w:rFonts w:ascii="宋体" w:eastAsia="宋体" w:hAnsi="宋体" w:cs="Arial" w:hint="eastAsia"/>
          <w:sz w:val="21"/>
          <w:szCs w:val="21"/>
          <w:highlight w:val="white"/>
          <w:lang w:eastAsia="zh-CN"/>
        </w:rPr>
        <w:t>适用法律及争议解决方式</w:t>
      </w:r>
      <w:bookmarkEnd w:id="112"/>
    </w:p>
    <w:p w:rsidR="001B6CFD">
      <w:pPr>
        <w:spacing w:line="360" w:lineRule="auto"/>
        <w:ind w:firstLine="420"/>
        <w:rPr>
          <w:rFonts w:ascii="宋体" w:hAnsi="宋体"/>
          <w:lang w:val="zh-CN" w:eastAsia="zh-CN"/>
        </w:rPr>
      </w:pPr>
      <w:r>
        <w:rPr>
          <w:rFonts w:ascii="宋体" w:hAnsi="宋体" w:hint="eastAsia"/>
          <w:highlight w:val="white"/>
          <w:lang w:val="zh-CN" w:eastAsia="zh-CN"/>
        </w:rPr>
        <w:t>（一）</w:t>
      </w:r>
      <w:r>
        <w:rPr>
          <w:rFonts w:ascii="宋体" w:hAnsi="宋体" w:hint="eastAsia"/>
          <w:szCs w:val="21"/>
          <w:highlight w:val="white"/>
          <w:lang w:eastAsia="zh-CN"/>
        </w:rPr>
        <w:t>本协议适用中华人民共和国法律（为本协议之目的，在此不包括香港、澳门特别行政区和台湾地区法律），并从其解释。</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二）相关各方当事人同意，因本协议而产生的或与本协议有关的一切争议，除经友好协商可以解决的，应提交上海国际经济贸易仲裁委员会，根据该会届时有效的仲裁规则进行仲裁，仲裁的地点在上海，仲裁裁决是终局性的并对相关各方均有约束力。除非仲裁裁决另有决定，仲裁费用由败诉方承担。</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争议处理期间，相关各方当事人应恪守基金管理人和基金托管人职责，继续忠实、勤勉、尽责地履行《基金合同》和本托管协议规定的义务，维护基金份额持有人的合法权益。</w:t>
      </w:r>
    </w:p>
    <w:p w:rsidR="001B6CFD">
      <w:pPr>
        <w:pStyle w:val="11"/>
        <w:keepNext w:val="0"/>
        <w:keepLines w:val="0"/>
        <w:numPr>
          <w:ilvl w:val="0"/>
          <w:numId w:val="2"/>
        </w:numPr>
        <w:tabs>
          <w:tab w:val="left" w:pos="420"/>
        </w:tabs>
        <w:spacing w:before="360" w:after="360"/>
        <w:rPr>
          <w:rFonts w:ascii="宋体" w:eastAsia="宋体" w:hAnsi="宋体" w:cs="Arial"/>
          <w:sz w:val="21"/>
          <w:szCs w:val="21"/>
          <w:lang w:eastAsia="zh-CN"/>
        </w:rPr>
      </w:pPr>
      <w:bookmarkStart w:id="113" w:name="_Toc69134109"/>
      <w:r>
        <w:rPr>
          <w:rFonts w:ascii="宋体" w:eastAsia="宋体" w:hAnsi="宋体" w:cs="Arial" w:hint="eastAsia"/>
          <w:sz w:val="21"/>
          <w:szCs w:val="21"/>
          <w:highlight w:val="white"/>
          <w:lang w:eastAsia="zh-CN"/>
        </w:rPr>
        <w:t>基金托管协议的效力和文本</w:t>
      </w:r>
      <w:bookmarkEnd w:id="113"/>
    </w:p>
    <w:p w:rsidR="001B6CFD">
      <w:pPr>
        <w:pStyle w:val="BodyTextIndent"/>
        <w:rPr>
          <w:rFonts w:ascii="宋体" w:hAnsi="宋体"/>
          <w:szCs w:val="21"/>
          <w:lang w:eastAsia="zh-CN"/>
        </w:rPr>
      </w:pPr>
      <w:r>
        <w:rPr>
          <w:rFonts w:ascii="宋体" w:hAnsi="宋体" w:hint="eastAsia"/>
          <w:szCs w:val="21"/>
          <w:highlight w:val="white"/>
          <w:lang w:eastAsia="zh-CN"/>
        </w:rPr>
        <w:t>（一）</w:t>
      </w:r>
      <w:r>
        <w:rPr>
          <w:rFonts w:ascii="宋体" w:hAnsi="宋体" w:cs="Arial" w:hint="eastAsia"/>
          <w:szCs w:val="21"/>
          <w:highlight w:val="white"/>
          <w:lang w:eastAsia="zh-CN"/>
        </w:rPr>
        <w:t>本协议经基金管理人、基金托管人双方法定代表人或授权代理人签字（或盖章）并加盖公章（或合同专用章）后成立</w:t>
      </w:r>
      <w:r>
        <w:rPr>
          <w:rFonts w:ascii="宋体" w:hAnsi="宋体" w:hint="eastAsia"/>
          <w:szCs w:val="21"/>
          <w:highlight w:val="white"/>
          <w:lang w:eastAsia="zh-CN"/>
        </w:rPr>
        <w:t>。本协议以中国证监会注册的文本为正式文本。</w:t>
      </w:r>
    </w:p>
    <w:p w:rsidR="001B6CFD">
      <w:pPr>
        <w:pStyle w:val="BodyTextIndent"/>
        <w:rPr>
          <w:rFonts w:ascii="宋体" w:hAnsi="宋体"/>
          <w:szCs w:val="21"/>
          <w:lang w:eastAsia="zh-CN"/>
        </w:rPr>
      </w:pPr>
      <w:r>
        <w:rPr>
          <w:rFonts w:ascii="宋体" w:hAnsi="宋体" w:hint="eastAsia"/>
          <w:szCs w:val="21"/>
          <w:highlight w:val="white"/>
          <w:lang w:eastAsia="zh-CN"/>
        </w:rPr>
        <w:t>（二）本协议自《基金合同》生效之日起生效，有效期自其生效之日起至该基金财产清算结果报中国证监会备案并公告之日止。</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（三）本协议自生效之日起对各当事人具有同等的法律约束力。</w:t>
      </w:r>
    </w:p>
    <w:p w:rsidR="001B6CFD">
      <w:pPr>
        <w:spacing w:line="360" w:lineRule="auto"/>
        <w:ind w:firstLine="420"/>
        <w:rPr>
          <w:rFonts w:ascii="宋体" w:hAnsi="宋体"/>
          <w:szCs w:val="21"/>
          <w:lang w:eastAsia="zh-CN"/>
        </w:rPr>
      </w:pPr>
      <w:r>
        <w:rPr>
          <w:rFonts w:ascii="宋体" w:hAnsi="宋体" w:hint="eastAsia"/>
          <w:szCs w:val="21"/>
          <w:highlight w:val="white"/>
          <w:lang w:eastAsia="zh-CN"/>
        </w:rPr>
        <w:t>（四）本协议一式三份，除上报有关监管机构一份外，基金管理人和基金托管人分别持一份，每份具有同等的法律效力。</w:t>
      </w:r>
    </w:p>
    <w:p w:rsidR="001B6CFD">
      <w:pPr>
        <w:pStyle w:val="11"/>
        <w:keepNext w:val="0"/>
        <w:keepLines w:val="0"/>
        <w:numPr>
          <w:ilvl w:val="0"/>
          <w:numId w:val="2"/>
        </w:numPr>
        <w:tabs>
          <w:tab w:val="left" w:pos="420"/>
        </w:tabs>
        <w:spacing w:before="360" w:after="360"/>
        <w:rPr>
          <w:rFonts w:ascii="宋体" w:eastAsia="宋体" w:hAnsi="宋体" w:cs="Arial"/>
          <w:sz w:val="21"/>
          <w:szCs w:val="21"/>
        </w:rPr>
      </w:pPr>
      <w:bookmarkStart w:id="114" w:name="_Toc69134110"/>
      <w:r>
        <w:rPr>
          <w:rFonts w:ascii="宋体" w:eastAsia="宋体" w:hAnsi="宋体" w:cs="Arial" w:hint="eastAsia"/>
          <w:sz w:val="21"/>
          <w:szCs w:val="21"/>
          <w:highlight w:val="white"/>
        </w:rPr>
        <w:t>其他事项</w:t>
      </w:r>
      <w:bookmarkEnd w:id="114"/>
    </w:p>
    <w:p w:rsidR="001B6CFD">
      <w:pPr>
        <w:pStyle w:val="BodyTextIndent"/>
        <w:rPr>
          <w:rFonts w:ascii="宋体" w:hAnsi="宋体"/>
          <w:szCs w:val="21"/>
          <w:lang w:eastAsia="zh-CN"/>
        </w:rPr>
      </w:pPr>
      <w:r>
        <w:rPr>
          <w:rFonts w:ascii="宋体" w:hAnsi="宋体" w:hint="eastAsia"/>
          <w:szCs w:val="21"/>
          <w:highlight w:val="white"/>
          <w:lang w:eastAsia="zh-CN"/>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1B6CFD">
      <w:pPr>
        <w:pStyle w:val="BodyTextIndent"/>
        <w:rPr>
          <w:rFonts w:ascii="宋体" w:hAnsi="宋体"/>
          <w:szCs w:val="21"/>
          <w:lang w:eastAsia="zh-CN"/>
        </w:rPr>
      </w:pPr>
      <w:r>
        <w:rPr>
          <w:rFonts w:ascii="宋体" w:hAnsi="宋体" w:hint="eastAsia"/>
          <w:szCs w:val="21"/>
          <w:highlight w:val="white"/>
          <w:lang w:eastAsia="zh-CN"/>
        </w:rPr>
        <w:t>（二）反洗钱义务</w:t>
      </w:r>
    </w:p>
    <w:p w:rsidR="001B6CFD">
      <w:pPr>
        <w:pStyle w:val="BodyTextIndent"/>
        <w:rPr>
          <w:lang w:eastAsia="zh-CN"/>
        </w:rPr>
      </w:pPr>
      <w:r>
        <w:rPr>
          <w:rFonts w:ascii="宋体" w:hAnsi="宋体" w:hint="eastAsia"/>
          <w:szCs w:val="21"/>
          <w:highlight w:val="white"/>
          <w:lang w:eastAsia="zh-CN"/>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rsidR="001B6CFD">
      <w:pPr>
        <w:pStyle w:val="BodyTextIndent"/>
        <w:rPr>
          <w:lang w:eastAsia="zh-CN"/>
        </w:rPr>
      </w:pPr>
      <w:r>
        <w:rPr>
          <w:rFonts w:ascii="宋体" w:hAnsi="宋体" w:hint="eastAsia"/>
          <w:szCs w:val="21"/>
          <w:highlight w:val="white"/>
          <w:lang w:eastAsia="zh-CN"/>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或得到中国承认的域外需适用法律、法规及规则的洗钱、 制裁、恐怖融资或大规模杀伤性武器扩散融资活动、出口管制、或逃税等违法违规行为的，基金托管人有权按照中国人民银行反洗钱监管规定等规定及内部管理规定等采取必要的管控措施。同时，基金托管人经与基金管理人协商一致，在符合法规的前提下，有权直接限制、暂停本协议项下全部或部分业务，有权终止本协议，并有权要求基金管理人承担因此给基金托管人造成的相应直接损失。</w:t>
      </w:r>
    </w:p>
    <w:p w:rsidR="001B6CFD">
      <w:pPr>
        <w:pStyle w:val="BodyTextIndent"/>
        <w:rPr>
          <w:rFonts w:ascii="宋体" w:hAnsi="宋体"/>
          <w:szCs w:val="21"/>
          <w:lang w:eastAsia="zh-CN"/>
        </w:rPr>
      </w:pPr>
      <w:r>
        <w:rPr>
          <w:rFonts w:ascii="宋体" w:hAnsi="宋体" w:hint="eastAsia"/>
          <w:szCs w:val="21"/>
          <w:highlight w:val="white"/>
          <w:lang w:eastAsia="zh-CN"/>
        </w:rPr>
        <w:t>（三）本协议未尽事宜，当事人依据《基金合同》以及有关法律、法规和规定协商办理。</w:t>
      </w:r>
    </w:p>
    <w:p w:rsidR="001B6CFD">
      <w:pPr>
        <w:pStyle w:val="BodyTextIndent"/>
        <w:ind w:firstLine="0"/>
        <w:rPr>
          <w:rFonts w:ascii="宋体" w:hAnsi="宋体"/>
          <w:szCs w:val="21"/>
          <w:lang w:eastAsia="zh-CN"/>
        </w:rPr>
      </w:pPr>
      <w:r>
        <w:rPr>
          <w:rFonts w:ascii="宋体" w:hAnsi="宋体" w:hint="eastAsia"/>
          <w:szCs w:val="21"/>
          <w:highlight w:val="white"/>
          <w:lang w:eastAsia="zh-CN"/>
        </w:rPr>
        <w:t>（以下无正文）</w:t>
      </w:r>
    </w:p>
    <w:p w:rsidR="001B6CFD">
      <w:pPr>
        <w:widowControl/>
        <w:spacing w:beforeAutospacing="1" w:line="360" w:lineRule="auto"/>
        <w:jc w:val="left"/>
        <w:rPr>
          <w:rFonts w:ascii="宋体" w:hAnsi="宋体"/>
          <w:szCs w:val="21"/>
          <w:lang w:val="zh-CN" w:eastAsia="zh-CN"/>
        </w:rPr>
        <w:sectPr>
          <w:footerReference w:type="default" r:id="rId6"/>
          <w:pgSz w:w="11906" w:h="16838"/>
          <w:pgMar w:top="1440" w:right="1800" w:bottom="1440" w:left="1800" w:header="851" w:footer="992" w:gutter="0"/>
          <w:pgNumType w:start="1"/>
          <w:cols w:space="720"/>
          <w:docGrid w:type="lines" w:linePitch="312"/>
        </w:sectPr>
      </w:pPr>
    </w:p>
    <w:p w:rsidR="001B6CFD">
      <w:pPr>
        <w:spacing w:after="120" w:line="360" w:lineRule="auto"/>
        <w:ind w:firstLine="422"/>
        <w:rPr>
          <w:rFonts w:ascii="宋体" w:hAnsi="宋体"/>
          <w:b/>
          <w:lang w:eastAsia="zh-CN"/>
        </w:rPr>
      </w:pPr>
      <w:r>
        <w:rPr>
          <w:rFonts w:ascii="宋体" w:hAnsi="宋体" w:hint="eastAsia"/>
          <w:b/>
          <w:szCs w:val="21"/>
          <w:highlight w:val="white"/>
          <w:lang w:eastAsia="zh-CN"/>
        </w:rPr>
        <w:t>（本页为</w:t>
      </w:r>
      <w:r>
        <w:rPr>
          <w:rFonts w:ascii="宋体" w:hAnsi="宋体" w:hint="eastAsia"/>
          <w:b/>
          <w:szCs w:val="21"/>
          <w:lang w:eastAsia="zh-CN"/>
        </w:rPr>
        <w:t>易方达如意安瑞3个月持有期混合型基金中基金（FOF）</w:t>
      </w:r>
      <w:r>
        <w:rPr>
          <w:rFonts w:ascii="宋体" w:hAnsi="宋体" w:hint="eastAsia"/>
          <w:b/>
          <w:szCs w:val="21"/>
          <w:highlight w:val="white"/>
          <w:lang w:eastAsia="zh-CN"/>
        </w:rPr>
        <w:t>托管协议签署页</w:t>
      </w:r>
      <w:r>
        <w:rPr>
          <w:rFonts w:ascii="宋体" w:hAnsi="宋体" w:hint="eastAsia"/>
          <w:b/>
          <w:highlight w:val="white"/>
          <w:lang w:eastAsia="zh-CN"/>
        </w:rPr>
        <w:t>，无正文）</w:t>
      </w:r>
    </w:p>
    <w:p w:rsidR="001B6CFD">
      <w:pPr>
        <w:spacing w:line="360" w:lineRule="auto"/>
        <w:ind w:right="26"/>
        <w:rPr>
          <w:rFonts w:ascii="宋体" w:hAnsi="宋体"/>
          <w:b/>
          <w:bCs/>
          <w:szCs w:val="21"/>
          <w:lang w:eastAsia="zh-CN"/>
        </w:rPr>
      </w:pPr>
    </w:p>
    <w:p w:rsidR="001B6CFD">
      <w:pPr>
        <w:spacing w:line="360" w:lineRule="auto"/>
        <w:ind w:right="26"/>
        <w:rPr>
          <w:rFonts w:ascii="宋体" w:hAnsi="宋体"/>
          <w:b/>
          <w:szCs w:val="21"/>
          <w:lang w:eastAsia="zh-CN"/>
        </w:rPr>
      </w:pPr>
      <w:r>
        <w:rPr>
          <w:rFonts w:ascii="宋体" w:hAnsi="宋体" w:hint="eastAsia"/>
          <w:b/>
          <w:bCs/>
          <w:szCs w:val="21"/>
          <w:highlight w:val="white"/>
          <w:lang w:eastAsia="zh-CN"/>
        </w:rPr>
        <w:t xml:space="preserve">    </w:t>
      </w:r>
      <w:r>
        <w:rPr>
          <w:rFonts w:ascii="宋体" w:hAnsi="宋体" w:hint="eastAsia"/>
          <w:b/>
          <w:szCs w:val="21"/>
          <w:highlight w:val="white"/>
          <w:lang w:eastAsia="zh-CN"/>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rsidR="001B6CFD">
      <w:pPr>
        <w:spacing w:line="360" w:lineRule="auto"/>
        <w:ind w:right="26"/>
        <w:rPr>
          <w:rFonts w:ascii="宋体" w:hAnsi="宋体"/>
          <w:szCs w:val="21"/>
          <w:lang w:eastAsia="zh-CN"/>
        </w:rPr>
      </w:pPr>
    </w:p>
    <w:p w:rsidR="001B6CFD">
      <w:pPr>
        <w:spacing w:line="360" w:lineRule="auto"/>
        <w:ind w:right="26"/>
        <w:rPr>
          <w:rFonts w:ascii="宋体" w:hAnsi="宋体"/>
          <w:szCs w:val="21"/>
          <w:lang w:eastAsia="zh-CN"/>
        </w:rPr>
      </w:pPr>
    </w:p>
    <w:p w:rsidR="001B6CFD">
      <w:pPr>
        <w:spacing w:line="360" w:lineRule="auto"/>
        <w:ind w:right="26"/>
        <w:rPr>
          <w:rFonts w:ascii="宋体" w:hAnsi="宋体"/>
          <w:szCs w:val="21"/>
          <w:lang w:eastAsia="zh-CN"/>
        </w:rPr>
      </w:pPr>
    </w:p>
    <w:p w:rsidR="001B6CFD">
      <w:pPr>
        <w:spacing w:line="360" w:lineRule="auto"/>
        <w:ind w:right="26"/>
        <w:rPr>
          <w:rFonts w:ascii="宋体" w:hAnsi="宋体"/>
          <w:szCs w:val="21"/>
          <w:lang w:eastAsia="zh-CN"/>
        </w:rPr>
      </w:pPr>
    </w:p>
    <w:p w:rsidR="001B6CFD">
      <w:pPr>
        <w:spacing w:line="360" w:lineRule="auto"/>
        <w:ind w:right="26"/>
        <w:rPr>
          <w:rFonts w:ascii="宋体" w:hAnsi="宋体"/>
          <w:szCs w:val="21"/>
          <w:lang w:eastAsia="zh-CN"/>
        </w:rPr>
      </w:pPr>
      <w:r>
        <w:rPr>
          <w:rFonts w:ascii="宋体" w:hAnsi="宋体" w:hint="eastAsia"/>
          <w:b/>
          <w:bCs/>
          <w:szCs w:val="21"/>
          <w:highlight w:val="white"/>
          <w:lang w:eastAsia="zh-CN"/>
        </w:rPr>
        <w:t>基金管理人（公章或合同专用章）             基金托管人（公章或合同专用章）</w:t>
      </w:r>
    </w:p>
    <w:p w:rsidR="001B6CFD">
      <w:pPr>
        <w:spacing w:line="360" w:lineRule="auto"/>
        <w:ind w:right="26"/>
        <w:rPr>
          <w:rFonts w:ascii="宋体" w:hAnsi="宋体"/>
          <w:szCs w:val="21"/>
          <w:lang w:eastAsia="zh-CN"/>
        </w:rPr>
      </w:pPr>
    </w:p>
    <w:p w:rsidR="001B6CFD">
      <w:pPr>
        <w:spacing w:line="360" w:lineRule="auto"/>
        <w:ind w:right="-17"/>
        <w:rPr>
          <w:rFonts w:ascii="宋体" w:hAnsi="宋体"/>
          <w:b/>
          <w:bCs/>
          <w:szCs w:val="21"/>
          <w:lang w:eastAsia="zh-CN"/>
        </w:rPr>
      </w:pPr>
      <w:r>
        <w:rPr>
          <w:rFonts w:ascii="宋体" w:hAnsi="宋体" w:hint="eastAsia"/>
          <w:b/>
          <w:bCs/>
          <w:szCs w:val="21"/>
          <w:highlight w:val="white"/>
          <w:lang w:eastAsia="zh-CN"/>
        </w:rPr>
        <w:t>法定代表人或授权代理人                     法定代表人或授权代理人</w:t>
      </w:r>
    </w:p>
    <w:p w:rsidR="001B6CFD">
      <w:pPr>
        <w:spacing w:line="360" w:lineRule="auto"/>
        <w:ind w:right="-17"/>
        <w:rPr>
          <w:rFonts w:ascii="宋体" w:hAnsi="宋体"/>
          <w:b/>
          <w:bCs/>
          <w:szCs w:val="21"/>
          <w:lang w:eastAsia="zh-CN"/>
        </w:rPr>
      </w:pPr>
      <w:r>
        <w:rPr>
          <w:rFonts w:ascii="宋体" w:hAnsi="宋体" w:hint="eastAsia"/>
          <w:b/>
          <w:bCs/>
          <w:szCs w:val="21"/>
          <w:highlight w:val="white"/>
          <w:lang w:eastAsia="zh-CN"/>
        </w:rPr>
        <w:t>（签字或盖章）                           （签字或盖章）</w:t>
      </w:r>
    </w:p>
    <w:p w:rsidR="001B6CFD">
      <w:pPr>
        <w:rPr>
          <w:rFonts w:ascii="宋体" w:hAnsi="宋体"/>
          <w:lang w:eastAsia="zh-CN"/>
        </w:rPr>
      </w:pPr>
    </w:p>
    <w:p w:rsidR="001B6CFD">
      <w:pPr>
        <w:rPr>
          <w:rFonts w:ascii="宋体" w:hAnsi="宋体"/>
          <w:lang w:eastAsia="zh-CN"/>
        </w:rPr>
      </w:pPr>
    </w:p>
    <w:sectPr>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CFD">
    <w:pPr>
      <w:pStyle w:val="1"/>
      <w:snapToGrid/>
      <w:jc w:val="center"/>
    </w:pPr>
  </w:p>
  <w:p w:rsidR="001B6CFD">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9799649"/>
      <w:placeholder>
        <w:docPart w:val="d8343e63257d4fa1afa108ed5d270192"/>
      </w:placeholder>
      <w:richText/>
    </w:sdtPr>
    <w:sdtContent>
      <w:p w:rsidR="001B6CFD">
        <w:pPr>
          <w:pStyle w:val="1"/>
          <w:snapToGrid/>
          <w:jc w:val="center"/>
        </w:pPr>
        <w:r>
          <w:fldChar w:fldCharType="begin"/>
        </w:r>
        <w:r>
          <w:rPr>
            <w:highlight w:val="white"/>
          </w:rPr>
          <w:instrText>PAGE   \* MERGEFORMAT</w:instrText>
        </w:r>
        <w:r>
          <w:fldChar w:fldCharType="separate"/>
        </w:r>
        <w:r w:rsidRPr="00272650" w:rsidR="00272650">
          <w:rPr>
            <w:noProof/>
            <w:highlight w:val="white"/>
            <w:lang w:val="zh-CN"/>
          </w:rPr>
          <w:t>35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CFD">
    <w:pPr>
      <w:pStyle w:val="1"/>
      <w:snapToGrid/>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BA97F3"/>
    <w:multiLevelType w:val="multilevel"/>
    <w:tmpl w:val="49BA97F3"/>
    <w:lvl w:ilvl="0">
      <w:start w:val="1"/>
      <w:numFmt w:val="chineseCountingThousand"/>
      <w:suff w:val="nothing"/>
      <w:lvlText w:val="%1、"/>
      <w:lvlJc w:val="center"/>
      <w:pPr>
        <w:ind w:left="-288" w:firstLine="288"/>
      </w:pPr>
      <w:rPr>
        <w:rFonts w:hint="eastAsia"/>
        <w:b/>
        <w:sz w:val="21"/>
        <w:szCs w:val="21"/>
        <w:lang w:val="en-US"/>
      </w:rPr>
    </w:lvl>
    <w:lvl w:ilvl="1">
      <w:start w:val="1"/>
      <w:numFmt w:val="chi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bullet"/>
      <w:lvlText w:val="o"/>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bullet"/>
      <w:lvlText w:val="·"/>
      <w:lvlJc w:val="left"/>
      <w:pPr>
        <w:tabs>
          <w:tab w:val="left" w:pos="3827"/>
        </w:tabs>
        <w:ind w:left="3827" w:hanging="1276"/>
      </w:pPr>
      <w:rPr>
        <w:rFonts w:hint="eastAsia"/>
      </w:rPr>
    </w:lvl>
    <w:lvl w:ilvl="7">
      <w:start w:val="1"/>
      <w:numFmt w:val="bullet"/>
      <w:lvlText w:val="o"/>
      <w:lvlJc w:val="left"/>
      <w:pPr>
        <w:tabs>
          <w:tab w:val="left" w:pos="4394"/>
        </w:tabs>
        <w:ind w:left="4394" w:hanging="1418"/>
      </w:pPr>
      <w:rPr>
        <w:rFonts w:hint="eastAsia"/>
      </w:rPr>
    </w:lvl>
    <w:lvl w:ilvl="8">
      <w:start w:val="1"/>
      <w:numFmt w:val="bullet"/>
      <w:lvlText w:val="§"/>
      <w:lvlJc w:val="left"/>
      <w:pPr>
        <w:tabs>
          <w:tab w:val="left" w:pos="5102"/>
        </w:tabs>
        <w:ind w:left="5102" w:hanging="1700"/>
      </w:pPr>
      <w:rPr>
        <w:rFonts w:hint="eastAsia"/>
      </w:rPr>
    </w:lvl>
  </w:abstractNum>
  <w:abstractNum w:abstractNumId="1">
    <w:nsid w:val="65526E50"/>
    <w:multiLevelType w:val="multilevel"/>
    <w:tmpl w:val="65526E50"/>
    <w:lvl w:ilvl="0">
      <w:start w:val="1"/>
      <w:numFmt w:val="chineseCountingThousand"/>
      <w:pStyle w:val="1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suff w:val="nothing"/>
      <w:lvlText w:val="%3、"/>
      <w:lvlJc w:val="left"/>
      <w:pPr>
        <w:ind w:left="0" w:firstLine="482"/>
      </w:pPr>
      <w:rPr>
        <w:rFonts w:ascii="黑体" w:eastAsia="黑体" w:hint="eastAsia"/>
        <w:b/>
        <w:i w:val="0"/>
        <w:sz w:val="24"/>
      </w:rPr>
    </w:lvl>
    <w:lvl w:ilvl="3">
      <w:start w:val="1"/>
      <w:numFmt w:val="chineseCountingThousand"/>
      <w:suff w:val="nothing"/>
      <w:lvlText w:val="(%4)"/>
      <w:lvlJc w:val="left"/>
      <w:pPr>
        <w:ind w:left="0" w:firstLine="482"/>
      </w:pPr>
      <w:rPr>
        <w:rFonts w:ascii="仿宋_GB2312" w:eastAsia="仿宋_GB2312" w:hint="eastAsia"/>
        <w:b w:val="0"/>
        <w:i w:val="0"/>
        <w:sz w:val="24"/>
      </w:rPr>
    </w:lvl>
    <w:lvl w:ilvl="4">
      <w:start w:val="1"/>
      <w:numFmt w:val="decimal"/>
      <w:suff w:val="nothing"/>
      <w:lvlText w:val="%5."/>
      <w:lvlJc w:val="left"/>
      <w:pPr>
        <w:ind w:left="0" w:firstLine="527"/>
      </w:pPr>
      <w:rPr>
        <w:rFonts w:ascii="仿宋_GB2312" w:eastAsia="仿宋_GB2312" w:hint="eastAsia"/>
        <w:b w:val="0"/>
        <w:i w:val="0"/>
        <w:sz w:val="24"/>
      </w:rPr>
    </w:lvl>
    <w:lvl w:ilvl="5">
      <w:start w:val="1"/>
      <w:numFmt w:val="decimal"/>
      <w:suff w:val="nothing"/>
      <w:lvlText w:val="(%6)"/>
      <w:lvlJc w:val="left"/>
      <w:pPr>
        <w:ind w:left="0" w:firstLine="482"/>
      </w:pPr>
      <w:rPr>
        <w:rFonts w:ascii="仿宋_GB2312" w:eastAsia="仿宋_GB2312" w:hint="eastAsia"/>
        <w:b w:val="0"/>
        <w:i w:val="0"/>
        <w:sz w:val="24"/>
      </w:rPr>
    </w:lvl>
    <w:lvl w:ilvl="6">
      <w:start w:val="1"/>
      <w:numFmt w:val="bullet"/>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姚栋梁1218">
    <w15:presenceInfo w15:providerId="None" w15:userId="姚栋梁1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94"/>
    <w:rsid w:val="B7DFAA7E"/>
    <w:rsid w:val="BFFFCE71"/>
    <w:rsid w:val="00067804"/>
    <w:rsid w:val="00116323"/>
    <w:rsid w:val="001B6CFD"/>
    <w:rsid w:val="00200444"/>
    <w:rsid w:val="00272650"/>
    <w:rsid w:val="004470C3"/>
    <w:rsid w:val="00603FE9"/>
    <w:rsid w:val="006540C0"/>
    <w:rsid w:val="00680E91"/>
    <w:rsid w:val="00786F7F"/>
    <w:rsid w:val="009F11EE"/>
    <w:rsid w:val="00A43308"/>
    <w:rsid w:val="00B2626F"/>
    <w:rsid w:val="00B92E02"/>
    <w:rsid w:val="00BC25ED"/>
    <w:rsid w:val="00BE35C9"/>
    <w:rsid w:val="00CF4394"/>
    <w:rsid w:val="00DB6AEA"/>
    <w:rsid w:val="00EB11EC"/>
    <w:rsid w:val="00F75654"/>
    <w:rsid w:val="5CDC36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A33CB097-BCE4-4B8C-A797-FE8B50B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link w:val="Char7"/>
    <w:uiPriority w:val="99"/>
    <w:qFormat/>
    <w:pPr>
      <w:ind w:firstLine="420"/>
    </w:pPr>
    <w:rPr>
      <w:rFonts w:ascii="Calibri" w:hAnsi="Calibri"/>
    </w:rPr>
  </w:style>
  <w:style w:type="paragraph" w:styleId="DocumentMap">
    <w:name w:val="Document Map"/>
    <w:basedOn w:val="Normal"/>
    <w:link w:val="Char11"/>
    <w:uiPriority w:val="99"/>
    <w:semiHidden/>
    <w:unhideWhenUsed/>
    <w:qFormat/>
    <w:rPr>
      <w:rFonts w:ascii="宋体"/>
      <w:sz w:val="18"/>
      <w:szCs w:val="18"/>
    </w:rPr>
  </w:style>
  <w:style w:type="paragraph" w:styleId="CommentText">
    <w:name w:val="annotation text"/>
    <w:basedOn w:val="Normal"/>
    <w:link w:val="Char9"/>
    <w:unhideWhenUsed/>
    <w:qFormat/>
    <w:pPr>
      <w:jc w:val="left"/>
    </w:pPr>
  </w:style>
  <w:style w:type="paragraph" w:styleId="BodyTextIndent">
    <w:name w:val="Body Text Indent"/>
    <w:basedOn w:val="Normal"/>
    <w:link w:val="Char6"/>
    <w:qFormat/>
    <w:pPr>
      <w:spacing w:line="360" w:lineRule="auto"/>
      <w:ind w:firstLine="359"/>
    </w:pPr>
    <w:rPr>
      <w:lang w:val="zh-CN"/>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unhideWhenUsed/>
    <w:qFormat/>
    <w:pPr>
      <w:spacing w:after="57"/>
      <w:ind w:left="567"/>
    </w:p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80"/>
      <w:outlineLvl w:val="0"/>
    </w:pPr>
    <w:rPr>
      <w:rFonts w:ascii="仿宋_GB2312" w:eastAsia="仿宋_GB2312" w:hAnsi="Calibri"/>
      <w:sz w:val="24"/>
      <w:szCs w:val="20"/>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8"/>
    <w:uiPriority w:val="99"/>
    <w:semiHidden/>
    <w:unhideWhenUsed/>
    <w:qFormat/>
    <w:rPr>
      <w:sz w:val="18"/>
      <w:szCs w:val="18"/>
    </w:rPr>
  </w:style>
  <w:style w:type="paragraph" w:styleId="Footer">
    <w:name w:val="footer"/>
    <w:basedOn w:val="Normal"/>
    <w:link w:val="Char13"/>
    <w:uiPriority w:val="99"/>
    <w:unhideWhenUsed/>
    <w:pPr>
      <w:tabs>
        <w:tab w:val="center" w:pos="4153"/>
        <w:tab w:val="right" w:pos="8306"/>
      </w:tabs>
      <w:snapToGrid w:val="0"/>
      <w:jc w:val="left"/>
    </w:pPr>
    <w:rPr>
      <w:sz w:val="18"/>
      <w:szCs w:val="18"/>
    </w:rPr>
  </w:style>
  <w:style w:type="paragraph" w:styleId="Header">
    <w:name w:val="header"/>
    <w:basedOn w:val="Normal"/>
    <w:link w:val="Char12"/>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4"/>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ind w:left="420"/>
    </w:pPr>
  </w:style>
  <w:style w:type="paragraph" w:styleId="TOC9">
    <w:name w:val="toc 9"/>
    <w:basedOn w:val="Normal"/>
    <w:next w:val="Normal"/>
    <w:uiPriority w:val="39"/>
    <w:unhideWhenUsed/>
    <w:qFormat/>
    <w:pPr>
      <w:spacing w:after="57"/>
      <w:ind w:left="2268"/>
    </w:p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uiPriority w:val="99"/>
    <w:unhideWhenUsed/>
    <w:qFormat/>
    <w:rPr>
      <w:vertAlign w:val="superscript"/>
    </w:rPr>
  </w:style>
  <w:style w:type="paragraph" w:customStyle="1" w:styleId="11">
    <w:name w:val="标题 11"/>
    <w:basedOn w:val="Normal"/>
    <w:next w:val="Normal"/>
    <w:link w:val="1Char"/>
    <w:qFormat/>
    <w:pPr>
      <w:keepNext/>
      <w:keepLines/>
      <w:numPr>
        <w:numId w:val="1"/>
      </w:numPr>
      <w:spacing w:before="120" w:after="120" w:line="360" w:lineRule="auto"/>
      <w:jc w:val="center"/>
      <w:outlineLvl w:val="0"/>
    </w:pPr>
    <w:rPr>
      <w:rFonts w:ascii="黑体" w:eastAsia="黑体"/>
      <w:b/>
      <w:sz w:val="32"/>
      <w:szCs w:val="20"/>
      <w:lang w:val="zh-CN"/>
    </w:rPr>
  </w:style>
  <w:style w:type="paragraph" w:customStyle="1" w:styleId="21">
    <w:name w:val="标题 21"/>
    <w:basedOn w:val="Normal"/>
    <w:next w:val="Normal"/>
    <w:link w:val="2Char"/>
    <w:qFormat/>
    <w:pPr>
      <w:keepNext/>
      <w:keepLines/>
      <w:spacing w:before="260" w:after="260" w:line="416" w:lineRule="auto"/>
      <w:outlineLvl w:val="1"/>
    </w:pPr>
    <w:rPr>
      <w:rFonts w:ascii="Arial" w:eastAsia="黑体" w:hAnsi="Arial"/>
      <w:b/>
      <w:bCs/>
      <w:sz w:val="32"/>
      <w:szCs w:val="32"/>
    </w:rPr>
  </w:style>
  <w:style w:type="paragraph" w:customStyle="1" w:styleId="1">
    <w:name w:val="页脚1"/>
    <w:basedOn w:val="Normal"/>
    <w:link w:val="Char5"/>
    <w:uiPriority w:val="99"/>
    <w:unhideWhenUsed/>
    <w:qFormat/>
    <w:pPr>
      <w:tabs>
        <w:tab w:val="center" w:pos="4153"/>
        <w:tab w:val="right" w:pos="8306"/>
      </w:tabs>
      <w:snapToGrid w:val="0"/>
      <w:jc w:val="left"/>
    </w:pPr>
    <w:rPr>
      <w:sz w:val="18"/>
      <w:szCs w:val="18"/>
    </w:rPr>
  </w:style>
  <w:style w:type="character" w:customStyle="1" w:styleId="Char">
    <w:name w:val="尾注文本 Char"/>
    <w:link w:val="EndnoteText"/>
    <w:uiPriority w:val="99"/>
    <w:qFormat/>
    <w:rPr>
      <w:sz w:val="20"/>
    </w:rPr>
  </w:style>
  <w:style w:type="paragraph" w:styleId="ListParagraph">
    <w:name w:val="List Paragraph"/>
    <w:basedOn w:val="Normal"/>
    <w:uiPriority w:val="34"/>
    <w:qFormat/>
    <w:pPr>
      <w:ind w:left="720"/>
      <w:contextualSpacing/>
    </w:pPr>
  </w:style>
  <w:style w:type="paragraph" w:styleId="NoSpacing">
    <w:name w:val="No Spacing"/>
    <w:uiPriority w:val="1"/>
    <w:qFormat/>
    <w:pPr>
      <w:shd w:val="clear" w:color="FFFFFF" w:fill="FFFFFF"/>
    </w:pPr>
    <w:rPr>
      <w:sz w:val="22"/>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1">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脚注文本 Char"/>
    <w:link w:val="FootnoteText"/>
    <w:uiPriority w:val="99"/>
    <w:qFormat/>
    <w:rPr>
      <w:sz w:val="18"/>
    </w:rPr>
  </w:style>
  <w:style w:type="character" w:customStyle="1" w:styleId="Char5">
    <w:name w:val="页脚 Char"/>
    <w:basedOn w:val="DefaultParagraphFont"/>
    <w:link w:val="1"/>
    <w:uiPriority w:val="99"/>
    <w:qFormat/>
    <w:rPr>
      <w:rFonts w:ascii="Times New Roman" w:eastAsia="宋体" w:hAnsi="Times New Roman" w:cs="Times New Roman"/>
      <w:sz w:val="18"/>
      <w:szCs w:val="18"/>
    </w:rPr>
  </w:style>
  <w:style w:type="character" w:customStyle="1" w:styleId="1Char">
    <w:name w:val="标题 1 Char"/>
    <w:basedOn w:val="DefaultParagraphFont"/>
    <w:link w:val="11"/>
    <w:qFormat/>
    <w:rPr>
      <w:rFonts w:ascii="黑体" w:eastAsia="黑体" w:hAnsi="Times New Roman" w:cs="Times New Roman"/>
      <w:b/>
      <w:sz w:val="32"/>
      <w:lang w:val="zh-CN"/>
    </w:rPr>
  </w:style>
  <w:style w:type="character" w:customStyle="1" w:styleId="2Char">
    <w:name w:val="标题 2 Char"/>
    <w:basedOn w:val="DefaultParagraphFont"/>
    <w:link w:val="21"/>
    <w:qFormat/>
    <w:rPr>
      <w:rFonts w:ascii="Arial" w:eastAsia="黑体" w:hAnsi="Arial" w:cs="Times New Roman"/>
      <w:b/>
      <w:bCs/>
      <w:sz w:val="32"/>
      <w:szCs w:val="32"/>
    </w:rPr>
  </w:style>
  <w:style w:type="character" w:customStyle="1" w:styleId="2Char0">
    <w:name w:val="正文文本缩进 2 Char"/>
    <w:basedOn w:val="DefaultParagraphFont"/>
    <w:link w:val="BodyTextIndent2"/>
    <w:qFormat/>
    <w:rPr>
      <w:rFonts w:ascii="仿宋_GB2312" w:eastAsia="仿宋_GB2312" w:hAnsi="Calibri" w:cs="Times New Roman"/>
      <w:sz w:val="24"/>
      <w:szCs w:val="20"/>
    </w:rPr>
  </w:style>
  <w:style w:type="character" w:customStyle="1" w:styleId="Char6">
    <w:name w:val="正文文本缩进 Char"/>
    <w:basedOn w:val="DefaultParagraphFont"/>
    <w:link w:val="BodyTextIndent"/>
    <w:qFormat/>
    <w:rPr>
      <w:rFonts w:ascii="Times New Roman" w:eastAsia="宋体" w:hAnsi="Times New Roman" w:cs="Times New Roman"/>
      <w:sz w:val="24"/>
      <w:szCs w:val="24"/>
      <w:lang w:val="zh-CN" w:eastAsia="zh-CN"/>
    </w:rPr>
  </w:style>
  <w:style w:type="character" w:customStyle="1" w:styleId="Char7">
    <w:name w:val="正文缩进 Char"/>
    <w:link w:val="NormalIndent"/>
    <w:uiPriority w:val="99"/>
    <w:qFormat/>
    <w:rPr>
      <w:rFonts w:ascii="Calibri" w:eastAsia="宋体" w:hAnsi="Calibri" w:cs="Times New Roman"/>
      <w:sz w:val="21"/>
      <w:szCs w:val="24"/>
    </w:rPr>
  </w:style>
  <w:style w:type="character" w:customStyle="1" w:styleId="Char8">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9">
    <w:name w:val="批注文字 Char"/>
    <w:basedOn w:val="DefaultParagraphFont"/>
    <w:link w:val="CommentText"/>
    <w:qFormat/>
    <w:rPr>
      <w:rFonts w:ascii="Times New Roman" w:eastAsia="宋体" w:hAnsi="Times New Roman" w:cs="Times New Roman"/>
      <w:sz w:val="24"/>
      <w:szCs w:val="24"/>
    </w:rPr>
  </w:style>
  <w:style w:type="character" w:customStyle="1" w:styleId="Char10">
    <w:name w:val="批注主题 Char"/>
    <w:basedOn w:val="Char9"/>
    <w:link w:val="CommentSubject"/>
    <w:uiPriority w:val="99"/>
    <w:semiHidden/>
    <w:qFormat/>
    <w:rPr>
      <w:rFonts w:ascii="Times New Roman" w:eastAsia="宋体" w:hAnsi="Times New Roman" w:cs="Times New Roman"/>
      <w:b/>
      <w:bCs/>
      <w:sz w:val="21"/>
      <w:szCs w:val="24"/>
    </w:rPr>
  </w:style>
  <w:style w:type="character" w:customStyle="1" w:styleId="Char11">
    <w:name w:val="文档结构图 Char"/>
    <w:basedOn w:val="DefaultParagraphFont"/>
    <w:link w:val="DocumentMap"/>
    <w:uiPriority w:val="99"/>
    <w:semiHidden/>
    <w:qFormat/>
    <w:rPr>
      <w:rFonts w:ascii="宋体" w:eastAsia="宋体" w:hAnsi="Times New Roman" w:cs="Times New Roman"/>
      <w:sz w:val="18"/>
      <w:szCs w:val="18"/>
    </w:rPr>
  </w:style>
  <w:style w:type="character" w:customStyle="1" w:styleId="Char12">
    <w:name w:val="页眉 Char"/>
    <w:basedOn w:val="DefaultParagraphFont"/>
    <w:link w:val="Header"/>
    <w:uiPriority w:val="99"/>
    <w:rPr>
      <w:rFonts w:ascii="Times New Roman" w:hAnsi="Times New Roman" w:cs="Times New Roman"/>
      <w:sz w:val="18"/>
      <w:szCs w:val="18"/>
      <w:shd w:val="clear" w:color="FFFFFF" w:fill="FFFFFF"/>
    </w:rPr>
  </w:style>
  <w:style w:type="character" w:customStyle="1" w:styleId="Char13">
    <w:name w:val="页脚 Char1"/>
    <w:basedOn w:val="DefaultParagraphFont"/>
    <w:link w:val="Footer"/>
    <w:uiPriority w:val="99"/>
    <w:rPr>
      <w:rFonts w:ascii="Times New Roman" w:hAnsi="Times New Roman" w:cs="Times New Roman"/>
      <w:sz w:val="18"/>
      <w:szCs w:val="18"/>
      <w:shd w:val="clear" w:color="FFFF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8343e63257d4fa1afa108ed5d270192"/>
        <w:category>
          <w:name w:val="(Empty Category)"/>
          <w:gallery w:val="any"/>
        </w:category>
        <w:behaviors>
          <w:behavior w:val="content"/>
        </w:behaviors>
        <w:guid w:val="{70E2AEC1-D85A-450C-BB62-16DBC17D8896}"/>
      </w:docPartPr>
      <w:docPartBody>
        <w:p w:rsidR="00680E91">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C9"/>
    <w:rsid w:val="00680E91"/>
    <w:rsid w:val="00757653"/>
    <w:rsid w:val="008455CE"/>
    <w:rsid w:val="00BB76E6"/>
    <w:rsid w:val="00BE35C9"/>
    <w:rsid w:val="00DC5EF0"/>
    <w:rsid w:val="00DD2850"/>
    <w:rsid w:val="00E856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rPr>
      <w:sz w:val="20"/>
    </w:rPr>
  </w:style>
  <w:style w:type="character" w:customStyle="1" w:styleId="Char6">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