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right="0"/>
        <w:jc w:val="both"/>
        <w:rPr>
          <w:rFonts w:hint="eastAsia" w:ascii="宋体" w:hAnsi="宋体" w:eastAsia="宋体" w:cs="宋体"/>
          <w:i w:val="0"/>
          <w:iCs w:val="0"/>
          <w:caps w:val="0"/>
          <w:color w:val="2B2B2B"/>
          <w:spacing w:val="0"/>
          <w:sz w:val="21"/>
          <w:szCs w:val="21"/>
          <w:shd w:val="clear" w:fill="FFFFFF"/>
        </w:rPr>
      </w:pPr>
      <w:r>
        <w:rPr>
          <w:rFonts w:hint="eastAsia" w:ascii="宋体" w:hAnsi="宋体" w:eastAsia="宋体" w:cs="宋体"/>
          <w:i w:val="0"/>
          <w:iCs w:val="0"/>
          <w:caps w:val="0"/>
          <w:color w:val="2B2B2B"/>
          <w:spacing w:val="0"/>
          <w:sz w:val="21"/>
          <w:szCs w:val="21"/>
          <w:shd w:val="clear" w:fill="FFFFFF"/>
        </w:rPr>
        <w:t>我行</w:t>
      </w:r>
      <w:r>
        <w:rPr>
          <w:rFonts w:hint="eastAsia" w:ascii="宋体" w:hAnsi="宋体" w:eastAsia="宋体" w:cs="宋体"/>
          <w:i w:val="0"/>
          <w:iCs w:val="0"/>
          <w:caps w:val="0"/>
          <w:color w:val="2B2B2B"/>
          <w:spacing w:val="0"/>
          <w:sz w:val="21"/>
          <w:szCs w:val="21"/>
          <w:shd w:val="clear" w:fill="FFFFFF"/>
          <w:lang w:val="en-US" w:eastAsia="zh-CN"/>
        </w:rPr>
        <w:t>11</w:t>
      </w:r>
      <w:r>
        <w:rPr>
          <w:rFonts w:hint="eastAsia" w:ascii="宋体" w:hAnsi="宋体" w:eastAsia="宋体" w:cs="宋体"/>
          <w:i w:val="0"/>
          <w:iCs w:val="0"/>
          <w:caps w:val="0"/>
          <w:color w:val="2B2B2B"/>
          <w:spacing w:val="0"/>
          <w:sz w:val="21"/>
          <w:szCs w:val="21"/>
          <w:shd w:val="clear" w:fill="FFFFFF"/>
        </w:rPr>
        <w:t>月</w:t>
      </w:r>
      <w:r>
        <w:rPr>
          <w:rFonts w:hint="eastAsia" w:ascii="宋体" w:hAnsi="宋体" w:eastAsia="宋体" w:cs="宋体"/>
          <w:i w:val="0"/>
          <w:iCs w:val="0"/>
          <w:caps w:val="0"/>
          <w:color w:val="2B2B2B"/>
          <w:spacing w:val="0"/>
          <w:sz w:val="21"/>
          <w:szCs w:val="21"/>
          <w:shd w:val="clear" w:fill="FFFFFF"/>
          <w:lang w:val="en-US" w:eastAsia="zh-CN"/>
        </w:rPr>
        <w:t>14</w:t>
      </w:r>
      <w:r>
        <w:rPr>
          <w:rFonts w:hint="eastAsia" w:ascii="宋体" w:hAnsi="宋体" w:eastAsia="宋体" w:cs="宋体"/>
          <w:i w:val="0"/>
          <w:iCs w:val="0"/>
          <w:caps w:val="0"/>
          <w:color w:val="2B2B2B"/>
          <w:spacing w:val="0"/>
          <w:sz w:val="21"/>
          <w:szCs w:val="21"/>
          <w:shd w:val="clear" w:fill="FFFFFF"/>
        </w:rPr>
        <w:t>日起代销</w:t>
      </w:r>
      <w:r>
        <w:rPr>
          <w:rFonts w:hint="eastAsia" w:ascii="宋体" w:hAnsi="宋体" w:eastAsia="宋体" w:cs="宋体"/>
          <w:i w:val="0"/>
          <w:iCs w:val="0"/>
          <w:caps w:val="0"/>
          <w:color w:val="2B2B2B"/>
          <w:spacing w:val="0"/>
          <w:sz w:val="22"/>
          <w:szCs w:val="22"/>
          <w:shd w:val="clear" w:fill="FFFFFF"/>
        </w:rPr>
        <w:t>南银理财有限责任公司理财</w:t>
      </w:r>
      <w:r>
        <w:rPr>
          <w:rFonts w:hint="eastAsia" w:ascii="宋体" w:hAnsi="宋体" w:eastAsia="宋体" w:cs="宋体"/>
          <w:i w:val="0"/>
          <w:iCs w:val="0"/>
          <w:caps w:val="0"/>
          <w:color w:val="2B2B2B"/>
          <w:spacing w:val="0"/>
          <w:sz w:val="21"/>
          <w:szCs w:val="21"/>
          <w:shd w:val="clear" w:fill="FFFFFF"/>
        </w:rPr>
        <w:t>产品：</w:t>
      </w:r>
    </w:p>
    <w:tbl>
      <w:tblPr>
        <w:tblW w:w="92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585"/>
        <w:gridCol w:w="5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3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产品名称</w:t>
            </w:r>
          </w:p>
        </w:tc>
        <w:tc>
          <w:tcPr>
            <w:tcW w:w="5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南银理财珠联璧合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鑫逸稳三个月58期</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封闭式公募人民币理财产品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产品代码</w:t>
            </w:r>
          </w:p>
        </w:tc>
        <w:tc>
          <w:tcPr>
            <w:tcW w:w="5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C份额：Y82058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理财登记编码</w:t>
            </w:r>
          </w:p>
        </w:tc>
        <w:tc>
          <w:tcPr>
            <w:tcW w:w="5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ZZ700322400491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发行机构</w:t>
            </w:r>
          </w:p>
        </w:tc>
        <w:tc>
          <w:tcPr>
            <w:tcW w:w="5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南银理财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认购起始日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2024/11/13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认购结束日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2024/11/19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销售地区</w:t>
            </w:r>
          </w:p>
        </w:tc>
        <w:tc>
          <w:tcPr>
            <w:tcW w:w="5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成立日/起息日</w:t>
            </w:r>
          </w:p>
        </w:tc>
        <w:tc>
          <w:tcPr>
            <w:tcW w:w="5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到期日</w:t>
            </w:r>
          </w:p>
        </w:tc>
        <w:tc>
          <w:tcPr>
            <w:tcW w:w="5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产品期限（天）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产品类型</w:t>
            </w:r>
          </w:p>
        </w:tc>
        <w:tc>
          <w:tcPr>
            <w:tcW w:w="5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封闭净值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起购金额及递增金额</w:t>
            </w:r>
          </w:p>
        </w:tc>
        <w:tc>
          <w:tcPr>
            <w:tcW w:w="5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1元起，1元递增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业绩比较基准</w:t>
            </w:r>
          </w:p>
        </w:tc>
        <w:tc>
          <w:tcPr>
            <w:tcW w:w="5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C份额：2.70%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业绩比较基准说明</w:t>
            </w:r>
          </w:p>
        </w:tc>
        <w:tc>
          <w:tcPr>
            <w:tcW w:w="5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理财产品业绩比较基准是管理人基于过往投资经验、对产品存续期拟投资标的和相应投资市场波动的预判设定的投资目标。本理财产品投资于固定收益类资产的比例为100%，投资于非标准化债权类资产的比例不高于50%。结合债券市场和拟投资的非标准化债权类资产的收益和波动水平预判，在本理财产品约定的投资策略基础上，管理人设定了本理财产品投资周期内的业绩比较基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提示：业绩比较基准不是预期收益率，不代表产品的未来表现和实际收益，不构成对产品收益的承诺。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代销手续费</w:t>
            </w:r>
          </w:p>
        </w:tc>
        <w:tc>
          <w:tcPr>
            <w:tcW w:w="5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C份额：0.10%/年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额度（万）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right="0"/>
        <w:jc w:val="both"/>
        <w:rPr>
          <w:rFonts w:hint="default" w:ascii="宋体" w:hAnsi="宋体" w:eastAsia="宋体" w:cs="宋体"/>
          <w:i w:val="0"/>
          <w:iCs w:val="0"/>
          <w:caps w:val="0"/>
          <w:color w:val="2B2B2B"/>
          <w:spacing w:val="0"/>
          <w:sz w:val="21"/>
          <w:szCs w:val="21"/>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10"/>
        <w:jc w:val="both"/>
        <w:rPr>
          <w:rFonts w:hint="default" w:ascii="Calibri" w:hAnsi="Calibri" w:cs="Calibri"/>
          <w:i w:val="0"/>
          <w:iCs w:val="0"/>
          <w:caps w:val="0"/>
          <w:color w:val="2B2B2B"/>
          <w:spacing w:val="0"/>
          <w:sz w:val="21"/>
          <w:szCs w:val="21"/>
        </w:rPr>
      </w:pPr>
      <w:r>
        <w:rPr>
          <w:rFonts w:hint="default" w:ascii="Times New Roman" w:hAnsi="Times New Roman" w:cs="Times New Roman"/>
          <w:b/>
          <w:bCs/>
          <w:i w:val="0"/>
          <w:iCs w:val="0"/>
          <w:caps w:val="0"/>
          <w:color w:val="333333"/>
          <w:spacing w:val="0"/>
          <w:sz w:val="21"/>
          <w:szCs w:val="21"/>
          <w:shd w:val="clear" w:fill="FFFFFF"/>
        </w:rPr>
        <w:t>*</w:t>
      </w:r>
      <w:r>
        <w:rPr>
          <w:rFonts w:hint="eastAsia" w:ascii="宋体" w:hAnsi="宋体" w:eastAsia="宋体" w:cs="宋体"/>
          <w:i w:val="0"/>
          <w:iCs w:val="0"/>
          <w:caps w:val="0"/>
          <w:color w:val="2B2B2B"/>
          <w:spacing w:val="0"/>
          <w:sz w:val="21"/>
          <w:szCs w:val="21"/>
          <w:shd w:val="clear" w:fill="FFFFFF"/>
        </w:rPr>
        <w:t>本产品由南银理财有限责任公司发行与管理，代销机构不承担产品的投资、兑付和风险管理责任。同类产品过往业绩不代表其未来，不等于产品实际收益。</w:t>
      </w:r>
      <w:r>
        <w:rPr>
          <w:rFonts w:hint="default" w:ascii="Times New Roman" w:hAnsi="Times New Roman" w:cs="Times New Roman"/>
          <w:b/>
          <w:bCs/>
          <w:i w:val="0"/>
          <w:iCs w:val="0"/>
          <w:caps w:val="0"/>
          <w:color w:val="333333"/>
          <w:spacing w:val="0"/>
          <w:sz w:val="21"/>
          <w:szCs w:val="2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16"/>
        <w:jc w:val="both"/>
        <w:rPr>
          <w:rFonts w:hint="default" w:ascii="Calibri" w:hAnsi="Calibri" w:cs="Calibri"/>
          <w:i w:val="0"/>
          <w:iCs w:val="0"/>
          <w:caps w:val="0"/>
          <w:color w:val="2B2B2B"/>
          <w:spacing w:val="0"/>
          <w:sz w:val="21"/>
          <w:szCs w:val="21"/>
        </w:rPr>
      </w:pPr>
      <w:r>
        <w:rPr>
          <w:rFonts w:hint="default" w:ascii="Times New Roman" w:hAnsi="Times New Roman" w:cs="Times New Roman"/>
          <w:b/>
          <w:bCs/>
          <w:i w:val="0"/>
          <w:iCs w:val="0"/>
          <w:caps w:val="0"/>
          <w:color w:val="333333"/>
          <w:spacing w:val="0"/>
          <w:sz w:val="21"/>
          <w:szCs w:val="21"/>
          <w:shd w:val="clear" w:fill="FFFFFF"/>
        </w:rPr>
        <w:t>*</w:t>
      </w:r>
      <w:r>
        <w:rPr>
          <w:rFonts w:hint="eastAsia" w:ascii="宋体" w:hAnsi="宋体" w:eastAsia="宋体" w:cs="宋体"/>
          <w:i w:val="0"/>
          <w:iCs w:val="0"/>
          <w:caps w:val="0"/>
          <w:color w:val="2B2B2B"/>
          <w:spacing w:val="0"/>
          <w:sz w:val="21"/>
          <w:szCs w:val="21"/>
          <w:shd w:val="clear" w:fill="FFFFFF"/>
        </w:rPr>
        <w:t>本产品不支持理财质押贷款</w:t>
      </w:r>
      <w:r>
        <w:rPr>
          <w:rFonts w:hint="default" w:ascii="Times New Roman" w:hAnsi="Times New Roman" w:cs="Times New Roman"/>
          <w:b/>
          <w:bCs/>
          <w:i w:val="0"/>
          <w:iCs w:val="0"/>
          <w:caps w:val="0"/>
          <w:color w:val="333333"/>
          <w:spacing w:val="0"/>
          <w:sz w:val="21"/>
          <w:szCs w:val="2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15"/>
        <w:jc w:val="both"/>
        <w:rPr>
          <w:rFonts w:hint="default" w:ascii="Calibri" w:hAnsi="Calibri" w:cs="Calibri"/>
          <w:i w:val="0"/>
          <w:iCs w:val="0"/>
          <w:caps w:val="0"/>
          <w:color w:val="2B2B2B"/>
          <w:spacing w:val="0"/>
          <w:sz w:val="21"/>
          <w:szCs w:val="21"/>
        </w:rPr>
      </w:pPr>
      <w:r>
        <w:rPr>
          <w:rFonts w:hint="eastAsia" w:ascii="宋体" w:hAnsi="宋体" w:eastAsia="宋体" w:cs="宋体"/>
          <w:i w:val="0"/>
          <w:iCs w:val="0"/>
          <w:caps w:val="0"/>
          <w:color w:val="2B2B2B"/>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15"/>
        <w:jc w:val="both"/>
        <w:rPr>
          <w:rFonts w:hint="default" w:ascii="Calibri" w:hAnsi="Calibri" w:cs="Calibri"/>
          <w:i w:val="0"/>
          <w:iCs w:val="0"/>
          <w:caps w:val="0"/>
          <w:color w:val="2B2B2B"/>
          <w:spacing w:val="0"/>
          <w:sz w:val="21"/>
          <w:szCs w:val="21"/>
        </w:rPr>
      </w:pPr>
      <w:r>
        <w:rPr>
          <w:rFonts w:hint="eastAsia" w:ascii="宋体" w:hAnsi="宋体" w:eastAsia="宋体" w:cs="宋体"/>
          <w:i w:val="0"/>
          <w:iCs w:val="0"/>
          <w:caps w:val="0"/>
          <w:color w:val="2B2B2B"/>
          <w:spacing w:val="0"/>
          <w:sz w:val="21"/>
          <w:szCs w:val="21"/>
          <w:shd w:val="clear" w:fill="FFFFFF"/>
        </w:rPr>
        <w:t>如有疑问请详询苏州银行网点或客服：0512-96067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15"/>
        <w:jc w:val="both"/>
        <w:rPr>
          <w:rFonts w:hint="default" w:ascii="Calibri" w:hAnsi="Calibri" w:cs="Calibri"/>
          <w:i w:val="0"/>
          <w:iCs w:val="0"/>
          <w:caps w:val="0"/>
          <w:color w:val="2B2B2B"/>
          <w:spacing w:val="0"/>
          <w:sz w:val="21"/>
          <w:szCs w:val="21"/>
        </w:rPr>
      </w:pPr>
      <w:r>
        <w:rPr>
          <w:rFonts w:hint="eastAsia" w:ascii="宋体" w:hAnsi="宋体" w:eastAsia="宋体" w:cs="宋体"/>
          <w:i w:val="0"/>
          <w:iCs w:val="0"/>
          <w:caps w:val="0"/>
          <w:color w:val="2B2B2B"/>
          <w:spacing w:val="0"/>
          <w:sz w:val="21"/>
          <w:szCs w:val="21"/>
          <w:shd w:val="clear" w:fill="FFFFFF"/>
        </w:rPr>
        <w:t>理财非存款、产品有风险、投资须谨慎。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15"/>
        <w:jc w:val="both"/>
        <w:rPr>
          <w:rFonts w:hint="default" w:ascii="Calibri" w:hAnsi="Calibri" w:cs="Calibri"/>
          <w:i w:val="0"/>
          <w:iCs w:val="0"/>
          <w:caps w:val="0"/>
          <w:color w:val="2B2B2B"/>
          <w:spacing w:val="0"/>
          <w:sz w:val="21"/>
          <w:szCs w:val="21"/>
        </w:rPr>
      </w:pPr>
      <w:r>
        <w:rPr>
          <w:rFonts w:hint="eastAsia" w:ascii="宋体" w:hAnsi="宋体" w:eastAsia="宋体" w:cs="宋体"/>
          <w:i w:val="0"/>
          <w:iCs w:val="0"/>
          <w:caps w:val="0"/>
          <w:color w:val="2B2B2B"/>
          <w:spacing w:val="0"/>
          <w:sz w:val="21"/>
          <w:szCs w:val="21"/>
          <w:shd w:val="clear" w:fill="FFFFFF"/>
        </w:rPr>
        <w:t>理财产品过往业绩不代表其未来表现，不等于理财产品实际收益，投资须谨慎。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393CB1"/>
    <w:rsid w:val="0B062743"/>
    <w:rsid w:val="21264B17"/>
    <w:rsid w:val="23F44AE1"/>
    <w:rsid w:val="28E87FB1"/>
    <w:rsid w:val="29121CA3"/>
    <w:rsid w:val="2B393CB1"/>
    <w:rsid w:val="2CE74C58"/>
    <w:rsid w:val="41EB60A1"/>
    <w:rsid w:val="52857810"/>
    <w:rsid w:val="569205DD"/>
    <w:rsid w:val="5AD04920"/>
    <w:rsid w:val="64122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font21"/>
    <w:basedOn w:val="4"/>
    <w:qFormat/>
    <w:uiPriority w:val="0"/>
    <w:rPr>
      <w:rFonts w:hint="eastAsia" w:ascii="宋体" w:hAnsi="宋体" w:eastAsia="宋体" w:cs="宋体"/>
      <w:color w:val="000000"/>
      <w:sz w:val="22"/>
      <w:szCs w:val="22"/>
      <w:u w:val="none"/>
    </w:rPr>
  </w:style>
  <w:style w:type="character" w:customStyle="1" w:styleId="6">
    <w:name w:val="font1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2024-05-29T05:33:00Z</dcterms:created>
  <dc:creator>luy023</dc:creator>
  <cp:lastModifiedBy>luy023</cp:lastModifiedBy>
  <dcterms:modified xsi:type="dcterms:W3CDTF">2024-11-14T02:19:32Z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9D310EF490884BB9833B988F5F5E1F14</vt:lpwstr>
  </property>
</Properties>
</file>