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14:paraId="4C958F75" w14:textId="77777777">
      <w:pPr>
        <w:autoSpaceDE w:val="0"/>
        <w:autoSpaceDN w:val="0"/>
        <w:adjustRightInd w:val="0"/>
        <w:jc w:val="center"/>
        <w:rPr>
          <w:rFonts w:ascii="方正仿宋简体" w:eastAsia="方正仿宋简体" w:hAnsiTheme="minorEastAsia" w:cs="仿宋_GB2312"/>
          <w:kern w:val="0"/>
          <w:sz w:val="36"/>
          <w:szCs w:val="36"/>
        </w:rPr>
      </w:pPr>
    </w:p>
    <w:p w:rsidR="00AD3A6F" w14:paraId="20AD4EAD" w14:textId="77777777">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易方达中证港股通综合指数量化增强型证券投资基金（易方达中证港股通综合量化增强C）基金产品资料概要</w:t>
      </w:r>
    </w:p>
    <w:p w:rsidR="00AD3A6F" w:rsidP="0086475C" w14:paraId="33B00E27" w14:textId="5C681D04">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2026年2月</w:t>
      </w:r>
      <w:r w:rsidRPr="0086475C" w:rsidR="008B67B9">
        <w:rPr>
          <w:rFonts w:ascii="方正仿宋简体" w:eastAsia="方正仿宋简体" w:hAnsi="方正仿宋简体" w:cs="方正仿宋简体" w:hint="eastAsia"/>
          <w:iCs/>
          <w:sz w:val="24"/>
          <w:szCs w:val="24"/>
        </w:rPr>
        <w:t>2</w:t>
      </w:r>
      <w:r w:rsidR="008B67B9">
        <w:rPr>
          <w:rFonts w:ascii="方正仿宋简体" w:eastAsia="方正仿宋简体" w:hAnsi="方正仿宋简体" w:cs="方正仿宋简体"/>
          <w:iCs/>
          <w:sz w:val="24"/>
          <w:szCs w:val="24"/>
        </w:rPr>
        <w:t>7</w:t>
      </w:r>
      <w:r w:rsidRPr="0086475C">
        <w:rPr>
          <w:rFonts w:ascii="方正仿宋简体" w:eastAsia="方正仿宋简体" w:hAnsi="方正仿宋简体" w:cs="方正仿宋简体" w:hint="eastAsia"/>
          <w:iCs/>
          <w:sz w:val="24"/>
          <w:szCs w:val="24"/>
        </w:rPr>
        <w:t>日</w:t>
      </w:r>
    </w:p>
    <w:p w:rsidR="00AD3A6F" w14:paraId="041BB6B4" w14:textId="0BA84018">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送出日期：2026年2月2</w:t>
      </w:r>
      <w:r w:rsidR="008B67B9">
        <w:rPr>
          <w:rFonts w:ascii="方正仿宋简体" w:eastAsia="方正仿宋简体" w:hAnsi="方正仿宋简体" w:cs="方正仿宋简体"/>
          <w:iCs/>
          <w:sz w:val="24"/>
          <w:szCs w:val="24"/>
        </w:rPr>
        <w:t>8</w:t>
      </w:r>
      <w:r>
        <w:rPr>
          <w:rFonts w:ascii="方正仿宋简体" w:eastAsia="方正仿宋简体" w:hAnsi="方正仿宋简体" w:cs="方正仿宋简体" w:hint="eastAsia"/>
          <w:iCs/>
          <w:sz w:val="24"/>
          <w:szCs w:val="24"/>
        </w:rPr>
        <w:t>日</w:t>
      </w:r>
    </w:p>
    <w:p w:rsidR="00AD3A6F" w14:paraId="363CC446" w14:textId="77777777">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14:paraId="544283B3" w14:textId="77777777">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14:paraId="16C354CE"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14:paraId="3F23E262" w14:textId="77777777"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14:paraId="5E991017"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14:paraId="310B3778"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易方达中证港股通综合量化增强</w:t>
            </w:r>
          </w:p>
        </w:tc>
        <w:tc>
          <w:tcPr>
            <w:tcW w:w="999" w:type="pct"/>
            <w:vAlign w:val="center"/>
          </w:tcPr>
          <w:p w:rsidR="00AD3A6F" w14:paraId="165BCCC4"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14:paraId="5ACB2A55"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026847</w:t>
            </w:r>
          </w:p>
        </w:tc>
      </w:tr>
      <w:tr w14:paraId="254A6E48" w14:textId="77777777" w:rsidTr="00B212F4">
        <w:tblPrEx>
          <w:tblW w:w="5000" w:type="pct"/>
          <w:tblLayout w:type="fixed"/>
          <w:tblLook w:val="04A0"/>
        </w:tblPrEx>
        <w:trPr>
          <w:trHeight w:val="150"/>
        </w:trPr>
        <w:tc>
          <w:tcPr>
            <w:tcW w:w="1145" w:type="pct"/>
            <w:vAlign w:val="center"/>
          </w:tcPr>
          <w:p w:rsidR="00AD3A6F" w14:paraId="5EB0ABD5"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14:paraId="3ABCE93D"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易方达中证港股通综合量化增强C</w:t>
            </w:r>
          </w:p>
        </w:tc>
        <w:tc>
          <w:tcPr>
            <w:tcW w:w="999" w:type="pct"/>
            <w:tcBorders>
              <w:top w:val="dashSmallGap" w:sz="4" w:space="0" w:color="A6A6A6" w:themeColor="background1" w:themeShade="A6"/>
            </w:tcBorders>
            <w:vAlign w:val="center"/>
          </w:tcPr>
          <w:p w:rsidR="00AD3A6F" w14:paraId="7C4CA159"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14:paraId="22D6CB85"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026848</w:t>
            </w:r>
          </w:p>
        </w:tc>
      </w:tr>
      <w:tr w14:paraId="3F2DB019" w14:textId="77777777" w:rsidTr="005F360D">
        <w:tblPrEx>
          <w:tblW w:w="5000" w:type="pct"/>
          <w:tblLayout w:type="fixed"/>
          <w:tblLook w:val="04A0"/>
        </w:tblPrEx>
        <w:trPr>
          <w:trHeight w:val="454"/>
        </w:trPr>
        <w:tc>
          <w:tcPr>
            <w:tcW w:w="1145" w:type="pct"/>
            <w:vAlign w:val="center"/>
          </w:tcPr>
          <w:p w:rsidR="00AD3A6F" w14:paraId="33758624"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14:paraId="3EA7DF95"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14:paraId="49391C10"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14:paraId="2EF66FD9"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中国农业银行股份有限公司 </w:t>
            </w:r>
          </w:p>
        </w:tc>
      </w:tr>
      <w:tr w14:paraId="67A84434" w14:textId="77777777" w:rsidTr="005F360D">
        <w:tblPrEx>
          <w:tblW w:w="5000" w:type="pct"/>
          <w:tblLayout w:type="fixed"/>
          <w:tblLook w:val="04A0"/>
        </w:tblPrEx>
        <w:trPr>
          <w:trHeight w:val="454"/>
        </w:trPr>
        <w:tc>
          <w:tcPr>
            <w:tcW w:w="1145" w:type="pct"/>
            <w:vAlign w:val="center"/>
          </w:tcPr>
          <w:p w:rsidR="00AD3A6F" w14:paraId="56C987DF"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14:paraId="0C6E5938"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14:paraId="00617FB5" w14:textId="77777777">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14:paraId="376CE55F"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14:paraId="5992A81A" w14:textId="77777777" w:rsidTr="005F360D">
        <w:tblPrEx>
          <w:tblW w:w="5000" w:type="pct"/>
          <w:tblLayout w:type="fixed"/>
          <w:tblLook w:val="04A0"/>
        </w:tblPrEx>
        <w:trPr>
          <w:trHeight w:val="454"/>
        </w:trPr>
        <w:tc>
          <w:tcPr>
            <w:tcW w:w="1145" w:type="pct"/>
            <w:vAlign w:val="center"/>
          </w:tcPr>
          <w:p w:rsidR="00AD3A6F" w14:paraId="3D4D6D30"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14:paraId="5E628C4C"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股票型</w:t>
            </w:r>
          </w:p>
        </w:tc>
        <w:tc>
          <w:tcPr>
            <w:tcW w:w="999" w:type="pct"/>
            <w:vAlign w:val="center"/>
          </w:tcPr>
          <w:p w:rsidR="00AD3A6F" w14:paraId="05AD32DA"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14:paraId="6084969B"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14:paraId="463FBDC5" w14:textId="77777777" w:rsidTr="005F360D">
        <w:tblPrEx>
          <w:tblW w:w="5000" w:type="pct"/>
          <w:tblLayout w:type="fixed"/>
          <w:tblLook w:val="04A0"/>
        </w:tblPrEx>
        <w:trPr>
          <w:trHeight w:val="454"/>
        </w:trPr>
        <w:tc>
          <w:tcPr>
            <w:tcW w:w="1145" w:type="pct"/>
            <w:vAlign w:val="center"/>
          </w:tcPr>
          <w:p w:rsidR="00AD3A6F" w14:paraId="6A47C795"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14:paraId="5EC08CAC"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14:paraId="1BE191C1"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14:paraId="37A168D6"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14:paraId="08D03B03" w14:textId="77777777" w:rsidTr="005F360D">
        <w:tblPrEx>
          <w:tblW w:w="5000" w:type="pct"/>
          <w:tblLayout w:type="fixed"/>
          <w:tblLook w:val="04A0"/>
        </w:tblPrEx>
        <w:trPr>
          <w:trHeight w:val="454"/>
        </w:trPr>
        <w:tc>
          <w:tcPr>
            <w:tcW w:w="1145" w:type="pct"/>
            <w:vMerge w:val="restart"/>
            <w:vAlign w:val="center"/>
          </w:tcPr>
          <w:p w:rsidR="00AD3A6F" w14:paraId="16601B37"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14:paraId="0000CEFF"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官泽帆</w:t>
            </w:r>
          </w:p>
        </w:tc>
        <w:tc>
          <w:tcPr>
            <w:tcW w:w="999" w:type="pct"/>
            <w:vAlign w:val="center"/>
          </w:tcPr>
          <w:p w:rsidR="00AD3A6F" w14:paraId="3A11C116"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14:paraId="56294887"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14:paraId="2479C192" w14:textId="77777777" w:rsidTr="005F360D">
        <w:tblPrEx>
          <w:tblW w:w="5000" w:type="pct"/>
          <w:tblLayout w:type="fixed"/>
          <w:tblLook w:val="04A0"/>
        </w:tblPrEx>
        <w:trPr>
          <w:trHeight w:val="454"/>
        </w:trPr>
        <w:tc>
          <w:tcPr>
            <w:tcW w:w="1145" w:type="pct"/>
            <w:vMerge/>
            <w:vAlign w:val="center"/>
          </w:tcPr>
          <w:p w:rsidR="00AD3A6F" w14:paraId="37749F02" w14:textId="77777777">
            <w:pPr>
              <w:spacing w:line="280" w:lineRule="exact"/>
              <w:rPr>
                <w:rFonts w:ascii="方正仿宋简体" w:eastAsia="方正仿宋简体" w:hAnsiTheme="minorEastAsia" w:cs="方正仿宋简体"/>
                <w:b/>
                <w:iCs/>
              </w:rPr>
            </w:pPr>
          </w:p>
        </w:tc>
        <w:tc>
          <w:tcPr>
            <w:tcW w:w="1413" w:type="pct"/>
            <w:vMerge/>
            <w:vAlign w:val="center"/>
          </w:tcPr>
          <w:p w:rsidR="00AD3A6F" w14:paraId="1004DD0E" w14:textId="77777777">
            <w:pPr>
              <w:spacing w:line="280" w:lineRule="exact"/>
              <w:rPr>
                <w:rFonts w:ascii="方正仿宋简体" w:eastAsia="方正仿宋简体" w:hAnsiTheme="minorEastAsia" w:cs="方正仿宋简体"/>
                <w:b/>
                <w:iCs/>
              </w:rPr>
            </w:pPr>
          </w:p>
        </w:tc>
        <w:tc>
          <w:tcPr>
            <w:tcW w:w="999" w:type="pct"/>
            <w:vAlign w:val="center"/>
          </w:tcPr>
          <w:p w:rsidR="00AD3A6F" w14:paraId="25A126F2"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14:paraId="325FE8FB"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2010-09-01</w:t>
            </w:r>
          </w:p>
        </w:tc>
      </w:tr>
      <w:tr w14:paraId="72498244" w14:textId="77777777" w:rsidTr="005F360D">
        <w:tblPrEx>
          <w:tblW w:w="5000" w:type="pct"/>
          <w:tblLayout w:type="fixed"/>
          <w:tblLook w:val="04A0"/>
        </w:tblPrEx>
        <w:trPr>
          <w:trHeight w:val="454"/>
        </w:trPr>
        <w:tc>
          <w:tcPr>
            <w:tcW w:w="1145" w:type="pct"/>
            <w:vMerge/>
            <w:vAlign w:val="center"/>
          </w:tcPr>
          <w:p w:rsidR="00AD3A6F" w14:paraId="6E03D674"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14:paraId="244706DF"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杜才鸣</w:t>
            </w:r>
          </w:p>
        </w:tc>
        <w:tc>
          <w:tcPr>
            <w:tcW w:w="999" w:type="pct"/>
            <w:vAlign w:val="center"/>
          </w:tcPr>
          <w:p w:rsidR="00AD3A6F" w14:paraId="53DF4DAF"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14:paraId="38B42703"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14:paraId="1856D56F" w14:textId="77777777" w:rsidTr="005F360D">
        <w:tblPrEx>
          <w:tblW w:w="5000" w:type="pct"/>
          <w:tblLayout w:type="fixed"/>
          <w:tblLook w:val="04A0"/>
        </w:tblPrEx>
        <w:trPr>
          <w:trHeight w:val="454"/>
        </w:trPr>
        <w:tc>
          <w:tcPr>
            <w:tcW w:w="1145" w:type="pct"/>
            <w:vMerge/>
            <w:vAlign w:val="center"/>
          </w:tcPr>
          <w:p w:rsidR="00AD3A6F" w14:paraId="0917654A" w14:textId="77777777">
            <w:pPr>
              <w:spacing w:line="280" w:lineRule="exact"/>
              <w:rPr>
                <w:rFonts w:ascii="方正仿宋简体" w:eastAsia="方正仿宋简体" w:hAnsiTheme="minorEastAsia" w:cs="方正仿宋简体"/>
                <w:b/>
                <w:iCs/>
              </w:rPr>
            </w:pPr>
          </w:p>
        </w:tc>
        <w:tc>
          <w:tcPr>
            <w:tcW w:w="1413" w:type="pct"/>
            <w:vMerge/>
            <w:vAlign w:val="center"/>
          </w:tcPr>
          <w:p w:rsidR="00AD3A6F" w14:paraId="619581A7" w14:textId="77777777">
            <w:pPr>
              <w:spacing w:line="280" w:lineRule="exact"/>
              <w:rPr>
                <w:rFonts w:ascii="方正仿宋简体" w:eastAsia="方正仿宋简体" w:hAnsiTheme="minorEastAsia" w:cs="方正仿宋简体"/>
                <w:b/>
                <w:iCs/>
              </w:rPr>
            </w:pPr>
          </w:p>
        </w:tc>
        <w:tc>
          <w:tcPr>
            <w:tcW w:w="999" w:type="pct"/>
            <w:vAlign w:val="center"/>
          </w:tcPr>
          <w:p w:rsidR="00AD3A6F" w14:paraId="3F9BBF3B" w14:textId="77777777">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14:paraId="550412EC"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2012-07-01</w:t>
            </w:r>
          </w:p>
        </w:tc>
      </w:tr>
      <w:tr w14:paraId="07696D92" w14:textId="77777777" w:rsidTr="005F360D">
        <w:tblPrEx>
          <w:tblW w:w="5000" w:type="pct"/>
          <w:tblLayout w:type="fixed"/>
          <w:tblLook w:val="04A0"/>
        </w:tblPrEx>
        <w:trPr>
          <w:trHeight w:val="454"/>
        </w:trPr>
        <w:tc>
          <w:tcPr>
            <w:tcW w:w="1145" w:type="pct"/>
            <w:vAlign w:val="center"/>
          </w:tcPr>
          <w:p w:rsidR="00AD3A6F" w14:paraId="5646B3CD"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14:paraId="716CAD51"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1、本基金场内投资采用证券公司交易和结算模式。</w:t>
            </w:r>
          </w:p>
          <w:p w:rsidR="00AD3A6F" w14:paraId="7141E134" w14:textId="77777777">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tc>
      </w:tr>
    </w:tbl>
    <w:p w:rsidR="00AD3A6F" w14:paraId="729D403E"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14:paraId="15B6924C" w14:textId="77777777">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14:paraId="3B88E5B7" w14:textId="77777777"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14:paraId="1817262F"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14:paraId="4B2091DF"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本基金为指数增强型股票基金，在控制基金净值增长率与业绩比较基准之间的日均跟踪偏离度及年化跟踪误差的基础上，追求超越业绩比较基准的投资回报。</w:t>
            </w:r>
          </w:p>
        </w:tc>
      </w:tr>
      <w:tr w14:paraId="442946A3" w14:textId="77777777" w:rsidTr="004473DA">
        <w:tblPrEx>
          <w:tblW w:w="5000" w:type="pct"/>
          <w:tblLook w:val="04A0"/>
        </w:tblPrEx>
        <w:trPr>
          <w:trHeight w:val="454"/>
        </w:trPr>
        <w:tc>
          <w:tcPr>
            <w:tcW w:w="1145" w:type="pct"/>
            <w:vAlign w:val="center"/>
          </w:tcPr>
          <w:p w:rsidR="00AD3A6F" w14:paraId="0DE15ED2"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14:paraId="19FF60C1"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AD3A6F" w14:paraId="752F8402"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如法律法规或监管机构以后允许基金投资其他品种，基金管理人在履行适当程序后，本基金可以将其纳入投资范围。</w:t>
            </w:r>
          </w:p>
          <w:p w:rsidR="00AD3A6F" w14:paraId="3AE82DE6"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本基金可参与转融通证券出借及融资业务。</w:t>
            </w:r>
          </w:p>
          <w:p w:rsidR="00AD3A6F" w14:paraId="78359D0E"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p>
          <w:p w:rsidR="00AD3A6F" w14:paraId="3BD70D62"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本基金的标的指数为中证港股通综合指数及其未来可能发生的变更。</w:t>
            </w:r>
          </w:p>
        </w:tc>
      </w:tr>
      <w:tr w14:paraId="2EB85B3D" w14:textId="77777777" w:rsidTr="004473DA">
        <w:tblPrEx>
          <w:tblW w:w="5000" w:type="pct"/>
          <w:tblLook w:val="04A0"/>
        </w:tblPrEx>
        <w:trPr>
          <w:trHeight w:val="454"/>
        </w:trPr>
        <w:tc>
          <w:tcPr>
            <w:tcW w:w="1145" w:type="pct"/>
            <w:vAlign w:val="center"/>
          </w:tcPr>
          <w:p w:rsidR="00AD3A6F" w14:paraId="7E87B37A"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14:paraId="36FD4E79"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属于指数增强型股票基金，力求控制基金净值增长率与业绩比较基准之间的日均跟踪偏离度的绝对值不超过0.5%，年化跟踪误差不超过8%；同时通过量化策略进行投资组合管理，力争实现超越业绩比较基准的投资回报。股票投资方面，本基金指数化投资以标的指数的构成为基础，通过对各成份股权重偏离的控制，实现对标的指数的跟踪。本基金利用基金管理人自主研发的定量投资模型，在控制组合风险与交易成本的基础上构建和优化投资组合，其中股票选择以指数成份股及备选成份股为主，同时适当投资于非成份股，并根据定量投资模型在全市场优选股票，对投资组合构成及权重进行优化调整。本基金通过采取多个定量投资模型，力争分散模型风险，提高投资组合表现。本基金投资存托凭证的策略依照股票投资策略执行。债券投资方面,本基金主要通过类属配置与券种选择两个层次进行债券投资管理。为更好地实现投资目标，本基金可投资股指期货、国债期货、股票期权，并可参与转融通证券出借业务、融资业务。</w:t>
            </w:r>
          </w:p>
        </w:tc>
      </w:tr>
      <w:tr w14:paraId="5A61AE35" w14:textId="77777777" w:rsidTr="004473DA">
        <w:tblPrEx>
          <w:tblW w:w="5000" w:type="pct"/>
          <w:tblLook w:val="04A0"/>
        </w:tblPrEx>
        <w:trPr>
          <w:trHeight w:val="454"/>
        </w:trPr>
        <w:tc>
          <w:tcPr>
            <w:tcW w:w="1145" w:type="pct"/>
            <w:vAlign w:val="center"/>
          </w:tcPr>
          <w:p w:rsidR="00AD3A6F" w14:paraId="7191007C"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14:paraId="62CC8044"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中证港股通综合指数收益率（使用估值汇率折算）×95%+活期存款利率（税后）×5%</w:t>
            </w:r>
          </w:p>
        </w:tc>
      </w:tr>
      <w:tr w14:paraId="1AA7AAC5" w14:textId="77777777" w:rsidTr="004473DA">
        <w:tblPrEx>
          <w:tblW w:w="5000" w:type="pct"/>
          <w:tblLook w:val="04A0"/>
        </w:tblPrEx>
        <w:trPr>
          <w:trHeight w:val="454"/>
        </w:trPr>
        <w:tc>
          <w:tcPr>
            <w:tcW w:w="1145" w:type="pct"/>
            <w:vAlign w:val="center"/>
          </w:tcPr>
          <w:p w:rsidR="00AD3A6F" w14:paraId="70650A9B" w14:textId="77777777">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14:paraId="6F54D6F7"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股票型基金，理论上其预期风险与预期收益水平高于混合型基金、债券型基金和货币市场基金。本基金在控制基金净值增长率与业绩比较基准之间的日均跟踪偏离度及年化跟踪误差的基础上，力争获得超越业绩比较基准的收益。长期来看，本基金具有与业绩比较基准相近的风险水平。</w:t>
            </w:r>
          </w:p>
          <w:p w:rsidR="00AD3A6F" w14:paraId="24C7A8E9" w14:textId="77777777">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14:paraId="2D4EFCEB" w14:textId="77777777">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14:paraId="4A49836F" w14:textId="77777777">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投资组合资产配置图表/区域配置图表</w:t>
      </w:r>
    </w:p>
    <w:p w:rsidR="00AD3A6F" w14:paraId="01441EC8" w14:textId="77777777">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14:paraId="2D5D8FE3" w14:textId="77777777">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14:paraId="7965B7E7" w14:textId="77777777">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14:paraId="4E4D065A" w14:textId="77777777">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14:paraId="7BF97C70"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14:paraId="2D27DB69" w14:textId="77777777">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14:paraId="6D191565" w14:textId="77777777">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以下费用在认购/申购/赎回基金过程中收取：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6"/>
        <w:gridCol w:w="1135"/>
        <w:gridCol w:w="2318"/>
      </w:tblGrid>
      <w:tr w14:paraId="4638AD8F" w14:textId="77777777"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14:paraId="7656C41E"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5" w:type="pct"/>
            <w:vAlign w:val="center"/>
          </w:tcPr>
          <w:p w:rsidR="00AD3A6F" w14:paraId="79AE999F"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份额（S）或金额（M）</w:t>
            </w:r>
          </w:p>
          <w:p w:rsidR="00AD3A6F" w14:paraId="3A486A2A"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/持有期限（N）</w:t>
            </w:r>
          </w:p>
        </w:tc>
        <w:tc>
          <w:tcPr>
            <w:tcW w:w="666" w:type="pct"/>
            <w:vAlign w:val="center"/>
          </w:tcPr>
          <w:p w:rsidR="00AD3A6F" w14:paraId="071D9B69"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收费方式/费率</w:t>
            </w:r>
          </w:p>
        </w:tc>
        <w:tc>
          <w:tcPr>
            <w:tcW w:w="1360" w:type="pct"/>
            <w:vAlign w:val="center"/>
          </w:tcPr>
          <w:p w:rsidR="00AD3A6F" w14:paraId="15DFCFEE"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14:paraId="65E23973" w14:textId="77777777" w:rsidTr="00575F3B">
        <w:tblPrEx>
          <w:tblW w:w="5000" w:type="pct"/>
          <w:tblLook w:val="0000"/>
        </w:tblPrEx>
        <w:trPr>
          <w:trHeight w:val="454"/>
        </w:trPr>
        <w:tc>
          <w:tcPr>
            <w:tcW w:w="729" w:type="pct"/>
            <w:vMerge w:val="restart"/>
            <w:vAlign w:val="center"/>
          </w:tcPr>
          <w:p w:rsidR="00AD3A6F" w14:paraId="07672776"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1B618B8C"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6" w:type="pct"/>
            <w:vAlign w:val="center"/>
          </w:tcPr>
          <w:p w:rsidR="00AD3A6F" w14:paraId="08333DC0"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14:paraId="30D49198"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个人投资者</w:t>
            </w:r>
          </w:p>
        </w:tc>
      </w:tr>
      <w:tr w14:paraId="788C3D7D" w14:textId="77777777" w:rsidTr="00575F3B">
        <w:tblPrEx>
          <w:tblW w:w="5000" w:type="pct"/>
          <w:tblLook w:val="0000"/>
        </w:tblPrEx>
        <w:trPr>
          <w:trHeight w:val="454"/>
        </w:trPr>
        <w:tc>
          <w:tcPr>
            <w:tcW w:w="729" w:type="pct"/>
            <w:vMerge/>
            <w:vAlign w:val="center"/>
          </w:tcPr>
          <w:p w:rsidR="00AD3A6F" w14:paraId="32C2EAB0"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7AB229B7"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7天 </w:t>
            </w:r>
          </w:p>
        </w:tc>
        <w:tc>
          <w:tcPr>
            <w:tcW w:w="666" w:type="pct"/>
            <w:vAlign w:val="center"/>
          </w:tcPr>
          <w:p w:rsidR="00AD3A6F" w14:paraId="1FF75222"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14:paraId="6E16B78B"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6AADFFA8" w14:textId="77777777" w:rsidTr="00575F3B">
        <w:tblPrEx>
          <w:tblW w:w="5000" w:type="pct"/>
          <w:tblLook w:val="0000"/>
        </w:tblPrEx>
        <w:trPr>
          <w:trHeight w:val="454"/>
        </w:trPr>
        <w:tc>
          <w:tcPr>
            <w:tcW w:w="729" w:type="pct"/>
            <w:vMerge/>
            <w:vAlign w:val="center"/>
          </w:tcPr>
          <w:p w:rsidR="00AD3A6F" w14:paraId="371FD720"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5B8CC40F"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6" w:type="pct"/>
            <w:vAlign w:val="center"/>
          </w:tcPr>
          <w:p w:rsidR="00AD3A6F" w14:paraId="424A60B2"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14:paraId="3A6C600F"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机构投资者</w:t>
            </w:r>
          </w:p>
        </w:tc>
      </w:tr>
      <w:tr w14:paraId="27BE4D90" w14:textId="77777777" w:rsidTr="00575F3B">
        <w:tblPrEx>
          <w:tblW w:w="5000" w:type="pct"/>
          <w:tblLook w:val="0000"/>
        </w:tblPrEx>
        <w:trPr>
          <w:trHeight w:val="454"/>
        </w:trPr>
        <w:tc>
          <w:tcPr>
            <w:tcW w:w="729" w:type="pct"/>
            <w:vMerge/>
            <w:vAlign w:val="center"/>
          </w:tcPr>
          <w:p w:rsidR="00AD3A6F" w14:paraId="3035B290"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171012AF"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7天 ≤ N ≤ 29天 </w:t>
            </w:r>
          </w:p>
        </w:tc>
        <w:tc>
          <w:tcPr>
            <w:tcW w:w="666" w:type="pct"/>
            <w:vAlign w:val="center"/>
          </w:tcPr>
          <w:p w:rsidR="00AD3A6F" w14:paraId="5EA98B47"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1.00%  </w:t>
            </w:r>
          </w:p>
        </w:tc>
        <w:tc>
          <w:tcPr>
            <w:tcW w:w="1360" w:type="pct"/>
            <w:vAlign w:val="center"/>
          </w:tcPr>
          <w:p w:rsidR="00AD3A6F" w14:paraId="29511C7A"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2F9C55B6" w14:textId="77777777" w:rsidTr="00575F3B">
        <w:tblPrEx>
          <w:tblW w:w="5000" w:type="pct"/>
          <w:tblLook w:val="0000"/>
        </w:tblPrEx>
        <w:trPr>
          <w:trHeight w:val="454"/>
        </w:trPr>
        <w:tc>
          <w:tcPr>
            <w:tcW w:w="729" w:type="pct"/>
            <w:vMerge/>
            <w:vAlign w:val="center"/>
          </w:tcPr>
          <w:p w:rsidR="00AD3A6F" w14:paraId="4AB24D9A"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3557E0F1"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30天 ≤ N ≤ 179天 </w:t>
            </w:r>
          </w:p>
        </w:tc>
        <w:tc>
          <w:tcPr>
            <w:tcW w:w="666" w:type="pct"/>
            <w:vAlign w:val="center"/>
          </w:tcPr>
          <w:p w:rsidR="00AD3A6F" w14:paraId="075D48C8"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14:paraId="20BDE239"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14:paraId="4B9F7C9A" w14:textId="77777777" w:rsidTr="00575F3B">
        <w:tblPrEx>
          <w:tblW w:w="5000" w:type="pct"/>
          <w:tblLook w:val="0000"/>
        </w:tblPrEx>
        <w:trPr>
          <w:trHeight w:val="454"/>
        </w:trPr>
        <w:tc>
          <w:tcPr>
            <w:tcW w:w="729" w:type="pct"/>
            <w:vMerge/>
            <w:vAlign w:val="center"/>
          </w:tcPr>
          <w:p w:rsidR="00AD3A6F" w14:paraId="1B90F904" w14:textId="77777777">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5" w:type="pct"/>
            <w:vAlign w:val="center"/>
          </w:tcPr>
          <w:p w:rsidR="00AD3A6F" w14:paraId="23ADD66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180天 </w:t>
            </w:r>
          </w:p>
        </w:tc>
        <w:tc>
          <w:tcPr>
            <w:tcW w:w="666" w:type="pct"/>
            <w:vAlign w:val="center"/>
          </w:tcPr>
          <w:p w:rsidR="00AD3A6F" w14:paraId="5F0655D3" w14:textId="77777777">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14:paraId="111772E5"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bl>
    <w:p w:rsidR="00AD3A6F" w14:paraId="407C0FBD" w14:textId="77777777">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注：本基金C类基金份额在投资者认购/申购时不收取认购/申购费用，在持有期间计提销售服务费并按规定收取或返还。</w:t>
      </w:r>
    </w:p>
    <w:p w:rsidR="00AD3A6F" w14:paraId="72749FCC" w14:textId="77777777">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14:paraId="7F2342A7" w14:textId="77777777">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14:paraId="77EDB46C" w14:textId="77777777"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14:paraId="06C0F017" w14:textId="77777777">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14:paraId="32C759BB" w14:textId="777777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收费方式/年费率或金额</w:t>
            </w:r>
          </w:p>
        </w:tc>
        <w:tc>
          <w:tcPr>
            <w:tcW w:w="2065" w:type="pct"/>
            <w:tcBorders>
              <w:bottom w:val="dashSmallGap" w:sz="4" w:space="0" w:color="808080" w:themeColor="background1" w:themeShade="80"/>
            </w:tcBorders>
            <w:vAlign w:val="center"/>
          </w:tcPr>
          <w:p w:rsidR="00AD3A6F" w14:paraId="24CA1754" w14:textId="77777777">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14:paraId="6AEA61F2" w14:textId="77777777" w:rsidTr="000D2645">
        <w:tblPrEx>
          <w:tblW w:w="5001" w:type="pct"/>
          <w:tblLook w:val="0000"/>
        </w:tblPrEx>
        <w:trPr>
          <w:trHeight w:val="454"/>
        </w:trPr>
        <w:tc>
          <w:tcPr>
            <w:tcW w:w="866" w:type="pct"/>
            <w:vAlign w:val="center"/>
          </w:tcPr>
          <w:p w:rsidR="000D2645" w14:paraId="752F9B4D" w14:textId="77777777">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14:paraId="3E65D3C8" w14:textId="77777777">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 xml:space="preserve">年费率0.80% </w:t>
            </w:r>
          </w:p>
        </w:tc>
        <w:tc>
          <w:tcPr>
            <w:tcW w:w="2065" w:type="pct"/>
            <w:tcBorders>
              <w:top w:val="dashSmallGap" w:sz="4" w:space="0" w:color="808080" w:themeColor="background1" w:themeShade="80"/>
            </w:tcBorders>
            <w:vAlign w:val="center"/>
          </w:tcPr>
          <w:p w:rsidR="000D2645" w:rsidP="000D2645" w14:paraId="637A6E67" w14:textId="7B327728">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r>
              <w:rPr>
                <w:rFonts w:ascii="方正仿宋简体" w:eastAsia="方正仿宋简体" w:hAnsi="方正仿宋简体" w:cs="方正仿宋简体" w:hint="eastAsia"/>
                <w:bCs/>
                <w:iCs/>
              </w:rPr>
              <w:t>、销售机构</w:t>
            </w:r>
          </w:p>
        </w:tc>
      </w:tr>
      <w:tr w14:paraId="4D716F51" w14:textId="77777777" w:rsidTr="000D2645">
        <w:tblPrEx>
          <w:tblW w:w="5001" w:type="pct"/>
          <w:tblLook w:val="0000"/>
        </w:tblPrEx>
        <w:trPr>
          <w:trHeight w:val="454"/>
        </w:trPr>
        <w:tc>
          <w:tcPr>
            <w:tcW w:w="866" w:type="pct"/>
            <w:vAlign w:val="center"/>
          </w:tcPr>
          <w:p w:rsidR="00AD3A6F" w14:paraId="3CBC7CC5" w14:textId="77777777">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14:paraId="260B7526"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年费率0.10% </w:t>
            </w:r>
          </w:p>
        </w:tc>
        <w:tc>
          <w:tcPr>
            <w:tcW w:w="2065" w:type="pct"/>
            <w:vAlign w:val="center"/>
          </w:tcPr>
          <w:p w:rsidR="00AD3A6F" w14:paraId="2099F5A5"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14:paraId="57C6997B" w14:textId="77777777" w:rsidTr="000D2645">
        <w:tblPrEx>
          <w:tblW w:w="5001" w:type="pct"/>
          <w:tblLook w:val="0000"/>
        </w:tblPrEx>
        <w:trPr>
          <w:trHeight w:val="454"/>
        </w:trPr>
        <w:tc>
          <w:tcPr>
            <w:tcW w:w="866" w:type="pct"/>
            <w:vAlign w:val="center"/>
          </w:tcPr>
          <w:p w:rsidR="00AD3A6F" w14:paraId="13C84EFE" w14:textId="77777777">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销售服务费</w:t>
            </w:r>
          </w:p>
        </w:tc>
        <w:tc>
          <w:tcPr>
            <w:tcW w:w="2069" w:type="pct"/>
            <w:vAlign w:val="center"/>
          </w:tcPr>
          <w:p w:rsidR="00AD3A6F" w14:paraId="068B3494"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年费率0.20% </w:t>
            </w:r>
          </w:p>
        </w:tc>
        <w:tc>
          <w:tcPr>
            <w:tcW w:w="2065" w:type="pct"/>
            <w:vAlign w:val="center"/>
          </w:tcPr>
          <w:p w:rsidR="00AD3A6F" w14:paraId="256CBE20"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销售机构</w:t>
            </w:r>
          </w:p>
        </w:tc>
      </w:tr>
      <w:tr w14:paraId="541C2329" w14:textId="77777777" w:rsidTr="000D2645">
        <w:tblPrEx>
          <w:tblW w:w="5001" w:type="pct"/>
          <w:tblLook w:val="0000"/>
        </w:tblPrEx>
        <w:trPr>
          <w:trHeight w:val="454"/>
        </w:trPr>
        <w:tc>
          <w:tcPr>
            <w:tcW w:w="866" w:type="pct"/>
            <w:vAlign w:val="center"/>
          </w:tcPr>
          <w:p w:rsidR="00AD3A6F" w14:paraId="78FAE4F0" w14:textId="77777777">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14:paraId="4C2DC28C" w14:textId="77777777">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详见招募说明书的基金费用与税收章节。  </w:t>
            </w:r>
          </w:p>
        </w:tc>
        <w:tc>
          <w:tcPr>
            <w:tcW w:w="2065" w:type="pct"/>
            <w:vAlign w:val="center"/>
          </w:tcPr>
          <w:p w:rsidR="00AD3A6F" w14:paraId="128D5C57" w14:textId="77777777">
            <w:pPr>
              <w:spacing w:line="280" w:lineRule="exact"/>
              <w:jc w:val="center"/>
              <w:rPr>
                <w:rFonts w:ascii="方正仿宋简体" w:eastAsia="方正仿宋简体" w:hAnsiTheme="minorEastAsia" w:cs="方正仿宋简体"/>
                <w:bCs/>
                <w:iCs/>
              </w:rPr>
            </w:pPr>
          </w:p>
        </w:tc>
      </w:tr>
    </w:tbl>
    <w:p w:rsidR="00AD3A6F" w:rsidRPr="0086475C" w14:paraId="567DC684" w14:textId="1A0E7759">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1、本基金交易证券、基金等产生的费用和税负，按实际发生额从基金资产扣除。2、对于通过基金管理人或其基金销售子公司投资的C类基金份额计提的销售服务费，在投资者赎回基金份额或基金合同终止时，随赎回款（或清算款）一并返还给投资者；对于转换转出业务，销售服务费将作为转换转出份额对应的款项一并划转至转换转入的基金。对于通过其他销售机构投资、持续持有期限</w:t>
      </w:r>
      <w:r w:rsidR="004D1760">
        <w:rPr>
          <w:rFonts w:ascii="方正仿宋简体" w:eastAsia="方正仿宋简体" w:hAnsi="方正仿宋简体" w:cs="方正仿宋简体" w:hint="eastAsia"/>
          <w:bCs/>
          <w:iCs/>
        </w:rPr>
        <w:t>不超过</w:t>
      </w:r>
      <w:r w:rsidRPr="003F6076">
        <w:rPr>
          <w:rFonts w:ascii="方正仿宋简体" w:eastAsia="方正仿宋简体" w:hAnsi="方正仿宋简体" w:cs="方正仿宋简体" w:hint="eastAsia"/>
          <w:bCs/>
          <w:iCs/>
        </w:rPr>
        <w:t>一年（即365天，下同）的C类基金份额计提的销售服务费，支付给销售机构；持续持有期限</w:t>
      </w:r>
      <w:r w:rsidRPr="003F6076">
        <w:rPr>
          <w:rFonts w:ascii="方正仿宋简体" w:eastAsia="方正仿宋简体" w:hAnsi="方正仿宋简体" w:cs="方正仿宋简体" w:hint="eastAsia"/>
          <w:bCs/>
          <w:iCs/>
        </w:rPr>
        <w:t>超过一年的C类基金份额继续计提的销售服务费，在投资者赎回基金份额或基金合同终止时，随赎回款（或清算款）一并返还给投资者，对于转换转出业务，销售服务费将作为转换转出份额对应的款项一并划转至转换转入的基金。详见招募说明书的基金费用与税收章节。</w:t>
      </w:r>
    </w:p>
    <w:p w:rsidR="00AD3A6F" w14:paraId="3235A200"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14:paraId="4E94B0FE" w14:textId="77777777">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14:paraId="3956D5B1"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14:paraId="5350C3D6"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14:paraId="5C75CF18"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1）与指数化投资相关的特定风险（包括标的指数波动的风险、标的指数回报与股票市场平均回报偏离的风险、基金投资组合回报与标的指数回报偏离的风险、部分成份股权重较大的风险、成份股停牌的风险、跟踪误差控制未达约定目标的风险、标的指数值计算出错的风险、标的指数编制方案带来的风险、指数编制机构停止服务的风险等）；（2）采用量化增强策略进行投资管理可能引致的特定风险（包括量化增强策略的风险、数据错误风险、模型风险）；（3）通过内地与香港股票市场交易互联互通机制投资于香港证券市场股票的风险；（4）本基金投资范围包括股指期货、国债期货、股票期权等金融衍生品以及科创板股票、北交所股票、存托凭证、资产支持证券等特殊品种而面临的其他额外风险；（5）参与转融通证券出借业务的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w:t>
      </w:r>
      <w:bookmarkStart w:id="0" w:name="_GoBack"/>
      <w:r>
        <w:rPr>
          <w:rFonts w:ascii="方正仿宋简体" w:eastAsia="方正仿宋简体" w:hAnsi="方正仿宋简体" w:cs="方正仿宋简体" w:hint="eastAsia"/>
          <w:iCs/>
        </w:rPr>
        <w:t>及其</w:t>
      </w:r>
      <w:bookmarkEnd w:id="0"/>
      <w:r>
        <w:rPr>
          <w:rFonts w:ascii="方正仿宋简体" w:eastAsia="方正仿宋简体" w:hAnsi="方正仿宋简体" w:cs="方正仿宋简体" w:hint="eastAsia"/>
          <w:iCs/>
        </w:rPr>
        <w:t>他风险等。本基金的特有风险及一般风险详见招募说明书的“风险揭示”部分。</w:t>
      </w:r>
    </w:p>
    <w:p w:rsidR="00AD3A6F" w14:paraId="2E96AA34"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AD3A6F" w14:paraId="650C689A" w14:textId="77777777">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14:paraId="2815C260"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14:paraId="65CE9BF6"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14:paraId="42422A52" w14:textId="77777777">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14:paraId="7F5E7296"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以下资料详见基金管理人网站[www.efunds.com.cn][客服电话:4008818088]</w:t>
      </w:r>
    </w:p>
    <w:p w:rsidR="00AD3A6F" w:rsidRPr="0086475C" w:rsidP="0086475C" w14:paraId="655EECC9"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1、基金合同、托管协议、招募说明书</w:t>
      </w:r>
    </w:p>
    <w:p w:rsidR="00AD3A6F" w:rsidRPr="0086475C" w:rsidP="0086475C" w14:paraId="05AEC473"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2、定期报告，包括基金季度报告、中期报告和年度报告</w:t>
      </w:r>
    </w:p>
    <w:p w:rsidR="00AD3A6F" w:rsidRPr="0086475C" w:rsidP="0086475C" w14:paraId="1CB312B2"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3、基金份额净值</w:t>
      </w:r>
    </w:p>
    <w:p w:rsidR="00AD3A6F" w:rsidRPr="0086475C" w:rsidP="0086475C" w14:paraId="1CE102DE"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4、基金销售机构及联系方式</w:t>
      </w:r>
    </w:p>
    <w:p w:rsidR="00AD3A6F" w:rsidRPr="0086475C" w:rsidP="0086475C" w14:paraId="7F37CE12" w14:textId="77777777">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等线"/>
    <w:charset w:val="86"/>
    <w:family w:val="auto"/>
    <w:pitch w:val="default"/>
    <w:sig w:usb0="00000000" w:usb1="00000000" w:usb2="00000000" w:usb3="00000000" w:csb0="00040000" w:csb1="00000000"/>
  </w:font>
  <w:font w:name="仿宋_GB2312">
    <w:altName w:val="Consolas"/>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14:paraId="29831128" w14:textId="71B61E03">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14:paraId="2435E64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46C2"/>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760"/>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0BF6"/>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5C3"/>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9B8"/>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67B9"/>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93"/>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0E8260D6-1D34-4492-8054-B147A410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92395F"/>
    <w:rPr>
      <w:sz w:val="18"/>
      <w:szCs w:val="18"/>
    </w:rPr>
  </w:style>
  <w:style w:type="paragraph" w:styleId="Footer">
    <w:name w:val="footer"/>
    <w:basedOn w:val="Normal"/>
    <w:link w:val="a0"/>
    <w:uiPriority w:val="99"/>
    <w:unhideWhenUsed/>
    <w:rsid w:val="0092395F"/>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92395F"/>
    <w:rPr>
      <w:sz w:val="18"/>
      <w:szCs w:val="18"/>
    </w:rPr>
  </w:style>
  <w:style w:type="paragraph" w:styleId="BalloonText">
    <w:name w:val="Balloon Text"/>
    <w:basedOn w:val="Normal"/>
    <w:link w:val="a1"/>
    <w:uiPriority w:val="99"/>
    <w:semiHidden/>
    <w:unhideWhenUsed/>
    <w:rsid w:val="000676AA"/>
    <w:rPr>
      <w:sz w:val="18"/>
      <w:szCs w:val="18"/>
    </w:rPr>
  </w:style>
  <w:style w:type="character" w:customStyle="1" w:styleId="a1">
    <w:name w:val="批注框文本 字符"/>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a2"/>
    <w:unhideWhenUsed/>
    <w:qFormat/>
    <w:rsid w:val="00CC22C3"/>
    <w:pPr>
      <w:snapToGrid w:val="0"/>
      <w:jc w:val="left"/>
    </w:pPr>
    <w:rPr>
      <w:rFonts w:ascii="Calibri" w:eastAsia="宋体" w:hAnsi="Calibri" w:cs="Times New Roman"/>
      <w:sz w:val="18"/>
      <w:szCs w:val="24"/>
    </w:rPr>
  </w:style>
  <w:style w:type="character" w:customStyle="1" w:styleId="a2">
    <w:name w:val="脚注文本 字符"/>
    <w:basedOn w:val="DefaultParagraphFont"/>
    <w:link w:val="FootnoteText"/>
    <w:qFormat/>
    <w:rsid w:val="00CC22C3"/>
    <w:rPr>
      <w:rFonts w:ascii="Calibri" w:eastAsia="宋体" w:hAnsi="Calibri" w:cs="Times New Roman"/>
      <w:sz w:val="18"/>
      <w:szCs w:val="24"/>
    </w:rPr>
  </w:style>
  <w:style w:type="character" w:customStyle="1" w:styleId="1">
    <w:name w:val="标题 1 字符"/>
    <w:basedOn w:val="DefaultParagraphFont"/>
    <w:link w:val="Heading1"/>
    <w:uiPriority w:val="9"/>
    <w:rsid w:val="0006758E"/>
    <w:rPr>
      <w:b/>
      <w:bCs/>
      <w:kern w:val="44"/>
      <w:sz w:val="44"/>
      <w:szCs w:val="44"/>
    </w:rPr>
  </w:style>
  <w:style w:type="character" w:styleId="CommentReference">
    <w:name w:val="annotation reference"/>
    <w:basedOn w:val="DefaultParagraphFont"/>
    <w:uiPriority w:val="99"/>
    <w:semiHidden/>
    <w:unhideWhenUsed/>
    <w:rsid w:val="006705C3"/>
    <w:rPr>
      <w:sz w:val="21"/>
      <w:szCs w:val="21"/>
    </w:rPr>
  </w:style>
  <w:style w:type="paragraph" w:styleId="CommentText">
    <w:name w:val="annotation text"/>
    <w:basedOn w:val="Normal"/>
    <w:link w:val="a3"/>
    <w:uiPriority w:val="99"/>
    <w:semiHidden/>
    <w:unhideWhenUsed/>
    <w:rsid w:val="006705C3"/>
    <w:pPr>
      <w:jc w:val="left"/>
    </w:pPr>
  </w:style>
  <w:style w:type="character" w:customStyle="1" w:styleId="a3">
    <w:name w:val="批注文字 字符"/>
    <w:basedOn w:val="DefaultParagraphFont"/>
    <w:link w:val="CommentText"/>
    <w:uiPriority w:val="99"/>
    <w:semiHidden/>
    <w:rsid w:val="006705C3"/>
  </w:style>
  <w:style w:type="paragraph" w:styleId="CommentSubject">
    <w:name w:val="annotation subject"/>
    <w:basedOn w:val="CommentText"/>
    <w:next w:val="CommentText"/>
    <w:link w:val="a4"/>
    <w:uiPriority w:val="99"/>
    <w:semiHidden/>
    <w:unhideWhenUsed/>
    <w:rsid w:val="006705C3"/>
    <w:rPr>
      <w:b/>
      <w:bCs/>
    </w:rPr>
  </w:style>
  <w:style w:type="character" w:customStyle="1" w:styleId="a4">
    <w:name w:val="批注主题 字符"/>
    <w:basedOn w:val="a3"/>
    <w:link w:val="CommentSubject"/>
    <w:uiPriority w:val="99"/>
    <w:semiHidden/>
    <w:rsid w:val="00670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2654-57DF-4AD1-A18A-8471C091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