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14:paraId="6942BA93" w14:textId="77777777">
      <w:pPr>
        <w:autoSpaceDE w:val="0"/>
        <w:autoSpaceDN w:val="0"/>
        <w:adjustRightInd w:val="0"/>
        <w:jc w:val="center"/>
        <w:rPr>
          <w:rFonts w:ascii="方正仿宋简体" w:eastAsia="方正仿宋简体" w:hAnsiTheme="minorEastAsia" w:cs="仿宋_GB2312"/>
          <w:kern w:val="0"/>
          <w:sz w:val="36"/>
          <w:szCs w:val="36"/>
        </w:rPr>
      </w:pPr>
    </w:p>
    <w:p w:rsidR="00AD3A6F" w14:paraId="3FFC805B" w14:textId="77777777">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易方达中证港股通综合指数量化增强型证券投资基金（易方达中证港股通综合量化增强A）基金产品资料概要</w:t>
      </w:r>
    </w:p>
    <w:p w:rsidR="00AD3A6F" w:rsidP="0086475C" w14:paraId="54D4EC90" w14:textId="305F44AE">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sidRPr="0086475C">
        <w:rPr>
          <w:rFonts w:ascii="方正仿宋简体" w:eastAsia="方正仿宋简体" w:hAnsi="方正仿宋简体" w:cs="方正仿宋简体" w:hint="eastAsia"/>
          <w:iCs/>
          <w:sz w:val="24"/>
          <w:szCs w:val="24"/>
        </w:rPr>
        <w:t>2026年2月2</w:t>
      </w:r>
      <w:r w:rsidR="00162613">
        <w:rPr>
          <w:rFonts w:ascii="方正仿宋简体" w:eastAsia="方正仿宋简体" w:hAnsi="方正仿宋简体" w:cs="方正仿宋简体"/>
          <w:iCs/>
          <w:sz w:val="24"/>
          <w:szCs w:val="24"/>
        </w:rPr>
        <w:t>7</w:t>
      </w:r>
      <w:r w:rsidRPr="0086475C">
        <w:rPr>
          <w:rFonts w:ascii="方正仿宋简体" w:eastAsia="方正仿宋简体" w:hAnsi="方正仿宋简体" w:cs="方正仿宋简体" w:hint="eastAsia"/>
          <w:iCs/>
          <w:sz w:val="24"/>
          <w:szCs w:val="24"/>
        </w:rPr>
        <w:t>日</w:t>
      </w:r>
    </w:p>
    <w:p w:rsidR="00AD3A6F" w14:paraId="0784316C" w14:textId="5A13147A">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送出日期：2026年2月</w:t>
      </w:r>
      <w:r w:rsidR="00162613">
        <w:rPr>
          <w:rFonts w:ascii="方正仿宋简体" w:eastAsia="方正仿宋简体" w:hAnsi="方正仿宋简体" w:cs="方正仿宋简体" w:hint="eastAsia"/>
          <w:iCs/>
          <w:sz w:val="24"/>
          <w:szCs w:val="24"/>
        </w:rPr>
        <w:t>2</w:t>
      </w:r>
      <w:r w:rsidR="00162613">
        <w:rPr>
          <w:rFonts w:ascii="方正仿宋简体" w:eastAsia="方正仿宋简体" w:hAnsi="方正仿宋简体" w:cs="方正仿宋简体"/>
          <w:iCs/>
          <w:sz w:val="24"/>
          <w:szCs w:val="24"/>
        </w:rPr>
        <w:t>8</w:t>
      </w:r>
      <w:r>
        <w:rPr>
          <w:rFonts w:ascii="方正仿宋简体" w:eastAsia="方正仿宋简体" w:hAnsi="方正仿宋简体" w:cs="方正仿宋简体" w:hint="eastAsia"/>
          <w:iCs/>
          <w:sz w:val="24"/>
          <w:szCs w:val="24"/>
        </w:rPr>
        <w:t>日</w:t>
      </w:r>
    </w:p>
    <w:p w:rsidR="00AD3A6F" w14:paraId="7568BF4B" w14:textId="77777777">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14:paraId="4E7F8FE4" w14:textId="77777777">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14:paraId="0EBFEA2F" w14:textId="77777777">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14:paraId="468F310B" w14:textId="77777777"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14:paraId="7387C412"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Align w:val="center"/>
          </w:tcPr>
          <w:p w:rsidR="00AD3A6F" w14:paraId="3A79CCD1"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易方达中证港股通综合量化增强</w:t>
            </w:r>
          </w:p>
        </w:tc>
        <w:tc>
          <w:tcPr>
            <w:tcW w:w="999" w:type="pct"/>
            <w:vAlign w:val="center"/>
          </w:tcPr>
          <w:p w:rsidR="00AD3A6F" w14:paraId="6DB34584"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14:paraId="117EBFC2"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026847</w:t>
            </w:r>
          </w:p>
        </w:tc>
      </w:tr>
      <w:tr w14:paraId="153AB2AF" w14:textId="77777777" w:rsidTr="00B212F4">
        <w:tblPrEx>
          <w:tblW w:w="5000" w:type="pct"/>
          <w:tblLayout w:type="fixed"/>
          <w:tblLook w:val="04A0"/>
        </w:tblPrEx>
        <w:trPr>
          <w:trHeight w:val="150"/>
        </w:trPr>
        <w:tc>
          <w:tcPr>
            <w:tcW w:w="1145" w:type="pct"/>
            <w:vAlign w:val="center"/>
          </w:tcPr>
          <w:p w:rsidR="00AD3A6F" w14:paraId="7E595C57"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14:paraId="453884A5"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易方达中证港股通综合量化增强A</w:t>
            </w:r>
          </w:p>
        </w:tc>
        <w:tc>
          <w:tcPr>
            <w:tcW w:w="999" w:type="pct"/>
            <w:tcBorders>
              <w:top w:val="dashSmallGap" w:sz="4" w:space="0" w:color="A6A6A6" w:themeColor="background1" w:themeShade="A6"/>
            </w:tcBorders>
            <w:vAlign w:val="center"/>
          </w:tcPr>
          <w:p w:rsidR="00AD3A6F" w14:paraId="24457E57"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14:paraId="190CA5A0"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026847</w:t>
            </w:r>
          </w:p>
        </w:tc>
      </w:tr>
      <w:tr w14:paraId="42D3EC93" w14:textId="77777777" w:rsidTr="005F360D">
        <w:tblPrEx>
          <w:tblW w:w="5000" w:type="pct"/>
          <w:tblLayout w:type="fixed"/>
          <w:tblLook w:val="04A0"/>
        </w:tblPrEx>
        <w:trPr>
          <w:trHeight w:val="454"/>
        </w:trPr>
        <w:tc>
          <w:tcPr>
            <w:tcW w:w="1145" w:type="pct"/>
            <w:vAlign w:val="center"/>
          </w:tcPr>
          <w:p w:rsidR="00AD3A6F" w14:paraId="07E5A8F6"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14:paraId="108FA07D"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易方达基金管理有限公司</w:t>
            </w:r>
          </w:p>
        </w:tc>
        <w:tc>
          <w:tcPr>
            <w:tcW w:w="999" w:type="pct"/>
            <w:vAlign w:val="center"/>
          </w:tcPr>
          <w:p w:rsidR="00AD3A6F" w14:paraId="710C9AF2"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14:paraId="0BA13752"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中国农业银行股份有限公司 </w:t>
            </w:r>
          </w:p>
        </w:tc>
      </w:tr>
      <w:tr w14:paraId="49D1F68E" w14:textId="77777777" w:rsidTr="005F360D">
        <w:tblPrEx>
          <w:tblW w:w="5000" w:type="pct"/>
          <w:tblLayout w:type="fixed"/>
          <w:tblLook w:val="04A0"/>
        </w:tblPrEx>
        <w:trPr>
          <w:trHeight w:val="454"/>
        </w:trPr>
        <w:tc>
          <w:tcPr>
            <w:tcW w:w="1145" w:type="pct"/>
            <w:vAlign w:val="center"/>
          </w:tcPr>
          <w:p w:rsidR="00AD3A6F" w14:paraId="5727AE8C"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Align w:val="center"/>
          </w:tcPr>
          <w:p w:rsidR="00AD3A6F" w14:paraId="28602753"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Align w:val="center"/>
          </w:tcPr>
          <w:p w:rsidR="00AD3A6F" w14:paraId="0BD1554D" w14:textId="77777777">
            <w:pPr>
              <w:spacing w:line="280" w:lineRule="exact"/>
              <w:rPr>
                <w:rFonts w:ascii="方正仿宋简体" w:eastAsia="方正仿宋简体" w:hAnsiTheme="minorEastAsia" w:cs="方正仿宋简体"/>
                <w:b/>
                <w:iCs/>
              </w:rPr>
            </w:pPr>
          </w:p>
        </w:tc>
        <w:tc>
          <w:tcPr>
            <w:tcW w:w="1443" w:type="pct"/>
            <w:tcBorders>
              <w:top w:val="dashSmallGap" w:sz="4" w:space="0" w:color="A6A6A6" w:themeColor="background1" w:themeShade="A6"/>
              <w:bottom w:val="nil"/>
            </w:tcBorders>
            <w:vAlign w:val="center"/>
          </w:tcPr>
          <w:p w:rsidR="00AD3A6F" w14:paraId="78C21CA6"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 </w:t>
            </w:r>
          </w:p>
        </w:tc>
      </w:tr>
      <w:tr w14:paraId="28941C82" w14:textId="77777777" w:rsidTr="005F360D">
        <w:tblPrEx>
          <w:tblW w:w="5000" w:type="pct"/>
          <w:tblLayout w:type="fixed"/>
          <w:tblLook w:val="04A0"/>
        </w:tblPrEx>
        <w:trPr>
          <w:trHeight w:val="454"/>
        </w:trPr>
        <w:tc>
          <w:tcPr>
            <w:tcW w:w="1145" w:type="pct"/>
            <w:vAlign w:val="center"/>
          </w:tcPr>
          <w:p w:rsidR="00AD3A6F" w14:paraId="16EC6EF2"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14:paraId="0768E6BA"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股票型</w:t>
            </w:r>
          </w:p>
        </w:tc>
        <w:tc>
          <w:tcPr>
            <w:tcW w:w="999" w:type="pct"/>
            <w:vAlign w:val="center"/>
          </w:tcPr>
          <w:p w:rsidR="00AD3A6F" w14:paraId="5E681282"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14:paraId="599AF41F"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人民币</w:t>
            </w:r>
          </w:p>
        </w:tc>
      </w:tr>
      <w:tr w14:paraId="4ACC8C4F" w14:textId="77777777" w:rsidTr="005F360D">
        <w:tblPrEx>
          <w:tblW w:w="5000" w:type="pct"/>
          <w:tblLayout w:type="fixed"/>
          <w:tblLook w:val="04A0"/>
        </w:tblPrEx>
        <w:trPr>
          <w:trHeight w:val="454"/>
        </w:trPr>
        <w:tc>
          <w:tcPr>
            <w:tcW w:w="1145" w:type="pct"/>
            <w:vAlign w:val="center"/>
          </w:tcPr>
          <w:p w:rsidR="00AD3A6F" w14:paraId="5516797F"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14:paraId="5A3FE7E9"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AD3A6F" w14:paraId="60B0A943"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14:paraId="745A6473"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14:paraId="1FC274B3" w14:textId="77777777" w:rsidTr="005F360D">
        <w:tblPrEx>
          <w:tblW w:w="5000" w:type="pct"/>
          <w:tblLayout w:type="fixed"/>
          <w:tblLook w:val="04A0"/>
        </w:tblPrEx>
        <w:trPr>
          <w:trHeight w:val="454"/>
        </w:trPr>
        <w:tc>
          <w:tcPr>
            <w:tcW w:w="1145" w:type="pct"/>
            <w:vMerge w:val="restart"/>
            <w:vAlign w:val="center"/>
          </w:tcPr>
          <w:p w:rsidR="00AD3A6F" w14:paraId="242F8858"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14:paraId="4E8E630C"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官泽帆</w:t>
            </w:r>
          </w:p>
        </w:tc>
        <w:tc>
          <w:tcPr>
            <w:tcW w:w="999" w:type="pct"/>
            <w:vAlign w:val="center"/>
          </w:tcPr>
          <w:p w:rsidR="00AD3A6F" w14:paraId="477A9D59"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14:paraId="45F33EF1"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14:paraId="6B93A1E1" w14:textId="77777777" w:rsidTr="005F360D">
        <w:tblPrEx>
          <w:tblW w:w="5000" w:type="pct"/>
          <w:tblLayout w:type="fixed"/>
          <w:tblLook w:val="04A0"/>
        </w:tblPrEx>
        <w:trPr>
          <w:trHeight w:val="454"/>
        </w:trPr>
        <w:tc>
          <w:tcPr>
            <w:tcW w:w="1145" w:type="pct"/>
            <w:vMerge/>
            <w:vAlign w:val="center"/>
          </w:tcPr>
          <w:p w:rsidR="00AD3A6F" w14:paraId="0203C602" w14:textId="77777777">
            <w:pPr>
              <w:spacing w:line="280" w:lineRule="exact"/>
              <w:rPr>
                <w:rFonts w:ascii="方正仿宋简体" w:eastAsia="方正仿宋简体" w:hAnsiTheme="minorEastAsia" w:cs="方正仿宋简体"/>
                <w:b/>
                <w:iCs/>
              </w:rPr>
            </w:pPr>
          </w:p>
        </w:tc>
        <w:tc>
          <w:tcPr>
            <w:tcW w:w="1413" w:type="pct"/>
            <w:vMerge/>
            <w:vAlign w:val="center"/>
          </w:tcPr>
          <w:p w:rsidR="00AD3A6F" w14:paraId="65CFD912" w14:textId="77777777">
            <w:pPr>
              <w:spacing w:line="280" w:lineRule="exact"/>
              <w:rPr>
                <w:rFonts w:ascii="方正仿宋简体" w:eastAsia="方正仿宋简体" w:hAnsiTheme="minorEastAsia" w:cs="方正仿宋简体"/>
                <w:b/>
                <w:iCs/>
              </w:rPr>
            </w:pPr>
          </w:p>
        </w:tc>
        <w:tc>
          <w:tcPr>
            <w:tcW w:w="999" w:type="pct"/>
            <w:vAlign w:val="center"/>
          </w:tcPr>
          <w:p w:rsidR="00AD3A6F" w14:paraId="71C77708"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14:paraId="0C2E698B"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2010-09-01</w:t>
            </w:r>
          </w:p>
        </w:tc>
      </w:tr>
      <w:tr w14:paraId="5DD7A584" w14:textId="77777777" w:rsidTr="005F360D">
        <w:tblPrEx>
          <w:tblW w:w="5000" w:type="pct"/>
          <w:tblLayout w:type="fixed"/>
          <w:tblLook w:val="04A0"/>
        </w:tblPrEx>
        <w:trPr>
          <w:trHeight w:val="454"/>
        </w:trPr>
        <w:tc>
          <w:tcPr>
            <w:tcW w:w="1145" w:type="pct"/>
            <w:vMerge/>
            <w:vAlign w:val="center"/>
          </w:tcPr>
          <w:p w:rsidR="00AD3A6F" w14:paraId="19B63146"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14:paraId="7D8CF9B5"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杜才鸣</w:t>
            </w:r>
          </w:p>
        </w:tc>
        <w:tc>
          <w:tcPr>
            <w:tcW w:w="999" w:type="pct"/>
            <w:vAlign w:val="center"/>
          </w:tcPr>
          <w:p w:rsidR="00AD3A6F" w14:paraId="24548633"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14:paraId="59AD064D"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14:paraId="59716EF6" w14:textId="77777777" w:rsidTr="005F360D">
        <w:tblPrEx>
          <w:tblW w:w="5000" w:type="pct"/>
          <w:tblLayout w:type="fixed"/>
          <w:tblLook w:val="04A0"/>
        </w:tblPrEx>
        <w:trPr>
          <w:trHeight w:val="454"/>
        </w:trPr>
        <w:tc>
          <w:tcPr>
            <w:tcW w:w="1145" w:type="pct"/>
            <w:vMerge/>
            <w:vAlign w:val="center"/>
          </w:tcPr>
          <w:p w:rsidR="00AD3A6F" w14:paraId="34F5A839" w14:textId="77777777">
            <w:pPr>
              <w:spacing w:line="280" w:lineRule="exact"/>
              <w:rPr>
                <w:rFonts w:ascii="方正仿宋简体" w:eastAsia="方正仿宋简体" w:hAnsiTheme="minorEastAsia" w:cs="方正仿宋简体"/>
                <w:b/>
                <w:iCs/>
              </w:rPr>
            </w:pPr>
          </w:p>
        </w:tc>
        <w:tc>
          <w:tcPr>
            <w:tcW w:w="1413" w:type="pct"/>
            <w:vMerge/>
            <w:vAlign w:val="center"/>
          </w:tcPr>
          <w:p w:rsidR="00AD3A6F" w14:paraId="4F43626E" w14:textId="77777777">
            <w:pPr>
              <w:spacing w:line="280" w:lineRule="exact"/>
              <w:rPr>
                <w:rFonts w:ascii="方正仿宋简体" w:eastAsia="方正仿宋简体" w:hAnsiTheme="minorEastAsia" w:cs="方正仿宋简体"/>
                <w:b/>
                <w:iCs/>
              </w:rPr>
            </w:pPr>
          </w:p>
        </w:tc>
        <w:tc>
          <w:tcPr>
            <w:tcW w:w="999" w:type="pct"/>
            <w:vAlign w:val="center"/>
          </w:tcPr>
          <w:p w:rsidR="00AD3A6F" w14:paraId="6723F9FD"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14:paraId="6A3A4B8E"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2012-07-01</w:t>
            </w:r>
          </w:p>
        </w:tc>
      </w:tr>
      <w:tr w14:paraId="45B5F824" w14:textId="77777777" w:rsidTr="005F360D">
        <w:tblPrEx>
          <w:tblW w:w="5000" w:type="pct"/>
          <w:tblLayout w:type="fixed"/>
          <w:tblLook w:val="04A0"/>
        </w:tblPrEx>
        <w:trPr>
          <w:trHeight w:val="454"/>
        </w:trPr>
        <w:tc>
          <w:tcPr>
            <w:tcW w:w="1145" w:type="pct"/>
            <w:vAlign w:val="center"/>
          </w:tcPr>
          <w:p w:rsidR="00AD3A6F" w14:paraId="6FBAAE2D"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14:paraId="67B8FA3E"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1、本基金场内投资采用证券公司交易和结算模式。</w:t>
            </w:r>
          </w:p>
          <w:p w:rsidR="00AD3A6F" w14:paraId="3E650D24"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自指数编制机构停止标的指数的编制及发布至解决方案确定期间，基金管理人应按照指数编制机构提供的最近一个交易日的指数信息遵循基金份额持有人利益优先原则维持基金投资运作。</w:t>
            </w:r>
          </w:p>
        </w:tc>
      </w:tr>
    </w:tbl>
    <w:p w:rsidR="00AD3A6F" w14:paraId="70FD63A7" w14:textId="77777777">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14:paraId="43E4F10F" w14:textId="77777777">
      <w:pPr>
        <w:pStyle w:val="ListParagraph"/>
        <w:numPr>
          <w:ilvl w:val="0"/>
          <w:numId w:val="2"/>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14:paraId="0ECFD649" w14:textId="77777777"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14:paraId="41009BCC" w14:textId="77777777">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14:paraId="4F65C8A9"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本基金为指数增强型股票基金，在控制基金净值增长率与业绩比较基准之间的日均跟踪偏离度及年化跟踪误差的基础上，追求超越业绩比较基准的投资回报。</w:t>
            </w:r>
          </w:p>
        </w:tc>
      </w:tr>
      <w:tr w14:paraId="08A5A441" w14:textId="77777777" w:rsidTr="004473DA">
        <w:tblPrEx>
          <w:tblW w:w="5000" w:type="pct"/>
          <w:tblLook w:val="04A0"/>
        </w:tblPrEx>
        <w:trPr>
          <w:trHeight w:val="454"/>
        </w:trPr>
        <w:tc>
          <w:tcPr>
            <w:tcW w:w="1145" w:type="pct"/>
            <w:vAlign w:val="center"/>
          </w:tcPr>
          <w:p w:rsidR="00AD3A6F" w14:paraId="565C6EA8" w14:textId="77777777">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14:paraId="330E0F74"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投资范围包括国内依法发行上市的股票（包括创业板、科创板及其他依法发行上市的股票、存托凭证）、内地与香港股票市场交易互联互通机制允许买卖的香港证券市场股票（以下简称“港股通股票”）、国内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p>
          <w:p w:rsidR="00AD3A6F" w14:paraId="3D73A89C"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如法律法规或监管机构以后允许基金投资其他品种，基金管理人在履行适当程序后，本基金可以将其纳入投资范围。</w:t>
            </w:r>
          </w:p>
          <w:p w:rsidR="00AD3A6F" w14:paraId="19184FDA"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本基金可参与转融通证券出借及融资业务。</w:t>
            </w:r>
          </w:p>
          <w:p w:rsidR="00AD3A6F" w14:paraId="54BC163E"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基金的投资组合比例为：本基金股票资产占基金资产的比例为80%-95%；投资于标的指数成份股及备选成份股的资产不低于非现金基金资产的80%；保持不低于基金资产净值5%的现金或者到期日在一年以内的政府债券，其中现金不包括结算备付金、存出保证金和应收申购款等。</w:t>
            </w:r>
          </w:p>
          <w:p w:rsidR="00AD3A6F" w14:paraId="4EAE1D44"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本基金的标的指数为中证港股通综合指数及其未来可能发生的变更。</w:t>
            </w:r>
          </w:p>
        </w:tc>
      </w:tr>
      <w:tr w14:paraId="5BB89288" w14:textId="77777777" w:rsidTr="004473DA">
        <w:tblPrEx>
          <w:tblW w:w="5000" w:type="pct"/>
          <w:tblLook w:val="04A0"/>
        </w:tblPrEx>
        <w:trPr>
          <w:trHeight w:val="454"/>
        </w:trPr>
        <w:tc>
          <w:tcPr>
            <w:tcW w:w="1145" w:type="pct"/>
            <w:vAlign w:val="center"/>
          </w:tcPr>
          <w:p w:rsidR="00AD3A6F" w14:paraId="559B1054" w14:textId="77777777">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14:paraId="38CE41A1"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属于指数增强型股票基金，力求控制基金净值增长率与业绩比较基准之间的日均跟踪偏离度的绝对值不超过0.5%，年化跟踪误差不超过8%；同时通过量化策略进行投资组合管理，力争实现超越业绩比较基准的投资回报。股票投资方面，本基金指数化投资以标的指数的构成为基础，通过对各成份股权重偏离的控制，实现对标的指数的跟踪。本基金利用基金管理人自主研发的定量投资模型，在控制组合风险与交易成本的基础上构建和优化投资组合，其中股票选择以指数成份股及备选成份股为主，同时适当投资于非成份股，并根据定量投资模型在全市场优选股票，对投资组合构成及权重进行优化调整。本基金通过采取多个定量投资模型，力争分散模型风险，提高投资组合表现。本基金投资存托凭证的策略依照股票投资策略执行。债券投资方面,本基金主要通过类属配置与券种选择两个层次进行债券投资管理。为更好地实现投资目标，本基金可投资股指期货、国债期货、股票期权，并可参与转融通证券出借业务、融资业务。</w:t>
            </w:r>
          </w:p>
        </w:tc>
      </w:tr>
      <w:tr w14:paraId="2E29C344" w14:textId="77777777" w:rsidTr="004473DA">
        <w:tblPrEx>
          <w:tblW w:w="5000" w:type="pct"/>
          <w:tblLook w:val="04A0"/>
        </w:tblPrEx>
        <w:trPr>
          <w:trHeight w:val="454"/>
        </w:trPr>
        <w:tc>
          <w:tcPr>
            <w:tcW w:w="1145" w:type="pct"/>
            <w:vAlign w:val="center"/>
          </w:tcPr>
          <w:p w:rsidR="00AD3A6F" w14:paraId="52DA4B77" w14:textId="77777777">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14:paraId="1B8DE8D4"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中证港股通综合指数收益率（使用估值汇率折算）×95%+活期存款利率（税后）×5%</w:t>
            </w:r>
          </w:p>
        </w:tc>
      </w:tr>
      <w:tr w14:paraId="30DC484B" w14:textId="77777777" w:rsidTr="004473DA">
        <w:tblPrEx>
          <w:tblW w:w="5000" w:type="pct"/>
          <w:tblLook w:val="04A0"/>
        </w:tblPrEx>
        <w:trPr>
          <w:trHeight w:val="454"/>
        </w:trPr>
        <w:tc>
          <w:tcPr>
            <w:tcW w:w="1145" w:type="pct"/>
            <w:vAlign w:val="center"/>
          </w:tcPr>
          <w:p w:rsidR="00AD3A6F" w14:paraId="1334CEAA" w14:textId="77777777">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14:paraId="6BE903C1"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股票型基金，理论上其预期风险与预期收益水平高于混合型基金、债券型基金和货币市场基金。本基金在控制基金净值增长率与业绩比较基准之间的日均跟踪偏离度及年化跟踪误差的基础上，力争获得超越业绩比较基准的收益。长期来看，本基金具有与业绩比较基准相近的风险水平。</w:t>
            </w:r>
          </w:p>
          <w:p w:rsidR="00AD3A6F" w14:paraId="65420590"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AD3A6F" w:rsidRPr="0086475C" w14:paraId="0DCE3D11" w14:textId="77777777">
      <w:pPr>
        <w:spacing w:line="280" w:lineRule="exact"/>
        <w:rPr>
          <w:rFonts w:ascii="方正仿宋简体" w:eastAsia="方正仿宋简体" w:hAnsiTheme="minorEastAsia" w:cs="方正仿宋简体"/>
          <w:iCs/>
          <w:szCs w:val="24"/>
        </w:rPr>
      </w:pPr>
      <w:r>
        <w:rPr>
          <w:rFonts w:ascii="方正仿宋简体" w:eastAsia="方正仿宋简体" w:hAnsiTheme="minorEastAsia" w:cs="方正仿宋简体" w:hint="eastAsia"/>
          <w:iCs/>
          <w:szCs w:val="24"/>
        </w:rPr>
        <w:t>注：投资者可阅读《招募说明书》基金的投资章节了解详细情况。</w:t>
      </w:r>
    </w:p>
    <w:p w:rsidR="00AD3A6F" w14:paraId="3C096428" w14:textId="77777777">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投资组合资产配置图表/区域配置图表</w:t>
      </w:r>
    </w:p>
    <w:p w:rsidR="00AD3A6F" w14:paraId="4F542819" w14:textId="77777777">
      <w:pPr>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p>
    <w:p w:rsidR="00AD3A6F" w:rsidRPr="00E27EE9" w:rsidP="00E27EE9" w14:paraId="6A93318E" w14:textId="77777777">
      <w:pPr>
        <w:snapToGrid w:val="0"/>
        <w:jc w:val="left"/>
        <w:rPr>
          <w:rFonts w:ascii="方正仿宋简体" w:eastAsia="方正仿宋简体"/>
          <w:color w:val="000000" w:themeColor="text1"/>
        </w:rPr>
      </w:pPr>
      <w:r w:rsidRPr="003F6076">
        <w:rPr>
          <w:rFonts w:ascii="方正仿宋简体" w:eastAsia="方正仿宋简体"/>
          <w:color w:val="000000" w:themeColor="text1"/>
        </w:rPr>
        <w:t>无</w:t>
      </w:r>
    </w:p>
    <w:p w:rsidR="00AD3A6F" w14:paraId="2BE0F2B3" w14:textId="77777777">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14:paraId="6FCB75E5" w14:textId="77777777">
      <w:pPr>
        <w:autoSpaceDE w:val="0"/>
        <w:autoSpaceDN w:val="0"/>
        <w:adjustRightInd w:val="0"/>
        <w:spacing w:line="280" w:lineRule="exact"/>
        <w:jc w:val="left"/>
        <w:rPr>
          <w:rFonts w:ascii="方正仿宋简体" w:eastAsia="方正仿宋简体" w:hAnsiTheme="minorEastAsia"/>
          <w:color w:val="000000" w:themeColor="text1"/>
        </w:rPr>
      </w:pPr>
      <w:r>
        <w:rPr>
          <w:rFonts w:ascii="方正仿宋简体" w:eastAsia="方正仿宋简体" w:hAnsiTheme="minorEastAsia" w:hint="eastAsia"/>
          <w:color w:val="000000" w:themeColor="text1"/>
        </w:rPr>
        <w:t>无</w:t>
      </w:r>
    </w:p>
    <w:p w:rsidR="00AD3A6F" w14:paraId="6B76CD39" w14:textId="77777777">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14:paraId="47ABE770" w14:textId="77777777">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14:paraId="28DA8489" w14:textId="77777777">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以下费用在认购/申购/赎回基金过程中收取：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8"/>
        <w:gridCol w:w="1133"/>
        <w:gridCol w:w="2318"/>
      </w:tblGrid>
      <w:tr w14:paraId="259177E5" w14:textId="77777777"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14:paraId="621B553B"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2246" w:type="pct"/>
            <w:vAlign w:val="center"/>
          </w:tcPr>
          <w:p w:rsidR="00AD3A6F" w14:paraId="4DA1B3FD"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份额（S）或金额（M）</w:t>
            </w:r>
          </w:p>
          <w:p w:rsidR="00AD3A6F" w14:paraId="4F82DEE7"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/持有期限（N）</w:t>
            </w:r>
          </w:p>
        </w:tc>
        <w:tc>
          <w:tcPr>
            <w:tcW w:w="665" w:type="pct"/>
            <w:vAlign w:val="center"/>
          </w:tcPr>
          <w:p w:rsidR="00AD3A6F" w14:paraId="6AAE36A2"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收费方式/费率</w:t>
            </w:r>
          </w:p>
        </w:tc>
        <w:tc>
          <w:tcPr>
            <w:tcW w:w="1360" w:type="pct"/>
            <w:vAlign w:val="center"/>
          </w:tcPr>
          <w:p w:rsidR="00AD3A6F" w14:paraId="3872C237"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14:paraId="20BBBECB" w14:textId="77777777" w:rsidTr="00575F3B">
        <w:tblPrEx>
          <w:tblW w:w="5000" w:type="pct"/>
          <w:tblLook w:val="0000"/>
        </w:tblPrEx>
        <w:trPr>
          <w:trHeight w:val="454"/>
        </w:trPr>
        <w:tc>
          <w:tcPr>
            <w:tcW w:w="729" w:type="pct"/>
            <w:vMerge w:val="restart"/>
            <w:vAlign w:val="center"/>
          </w:tcPr>
          <w:p w:rsidR="00AD3A6F" w14:paraId="58B163B5"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14:paraId="284AF697"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500万元</w:t>
            </w:r>
          </w:p>
        </w:tc>
        <w:tc>
          <w:tcPr>
            <w:tcW w:w="665" w:type="pct"/>
            <w:vAlign w:val="center"/>
          </w:tcPr>
          <w:p w:rsidR="00AD3A6F" w14:paraId="5EE2BE8B"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0.30%  </w:t>
            </w:r>
          </w:p>
        </w:tc>
        <w:tc>
          <w:tcPr>
            <w:tcW w:w="1360" w:type="pct"/>
            <w:vAlign w:val="center"/>
          </w:tcPr>
          <w:p w:rsidR="00AD3A6F" w14:paraId="3BB4C379" w14:textId="77777777">
            <w:pPr>
              <w:spacing w:line="280" w:lineRule="exact"/>
              <w:jc w:val="center"/>
              <w:rPr>
                <w:rFonts w:ascii="方正仿宋简体" w:eastAsia="方正仿宋简体" w:hAnsi="方正仿宋简体" w:cs="方正仿宋简体"/>
                <w:bCs/>
                <w:iCs/>
                <w:color w:val="000000" w:themeColor="text1"/>
              </w:rPr>
            </w:pPr>
          </w:p>
        </w:tc>
        <w:bookmarkStart w:id="0" w:name="_GoBack"/>
        <w:bookmarkEnd w:id="0"/>
      </w:tr>
      <w:tr w14:paraId="2A0F03B7" w14:textId="77777777" w:rsidTr="00575F3B">
        <w:tblPrEx>
          <w:tblW w:w="5000" w:type="pct"/>
          <w:tblLook w:val="0000"/>
        </w:tblPrEx>
        <w:trPr>
          <w:trHeight w:val="454"/>
        </w:trPr>
        <w:tc>
          <w:tcPr>
            <w:tcW w:w="729" w:type="pct"/>
            <w:vMerge/>
            <w:vAlign w:val="center"/>
          </w:tcPr>
          <w:p w:rsidR="00AD3A6F" w14:paraId="5D93304F"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14:paraId="72B13A3C"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M ≥ 500万元</w:t>
            </w:r>
          </w:p>
        </w:tc>
        <w:tc>
          <w:tcPr>
            <w:tcW w:w="665" w:type="pct"/>
            <w:vAlign w:val="center"/>
          </w:tcPr>
          <w:p w:rsidR="00AD3A6F" w14:paraId="14141373"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1000元/笔</w:t>
            </w:r>
          </w:p>
        </w:tc>
        <w:tc>
          <w:tcPr>
            <w:tcW w:w="1360" w:type="pct"/>
            <w:vAlign w:val="center"/>
          </w:tcPr>
          <w:p w:rsidR="00AD3A6F" w14:paraId="613ADBCC" w14:textId="77777777">
            <w:pPr>
              <w:spacing w:line="280" w:lineRule="exact"/>
              <w:jc w:val="center"/>
              <w:rPr>
                <w:rFonts w:ascii="方正仿宋简体" w:eastAsia="方正仿宋简体" w:hAnsi="方正仿宋简体" w:cs="方正仿宋简体"/>
                <w:bCs/>
                <w:iCs/>
                <w:color w:val="000000" w:themeColor="text1"/>
              </w:rPr>
            </w:pPr>
          </w:p>
        </w:tc>
      </w:tr>
      <w:tr w14:paraId="286B5006" w14:textId="77777777" w:rsidTr="00575F3B">
        <w:tblPrEx>
          <w:tblW w:w="5000" w:type="pct"/>
          <w:tblLook w:val="0000"/>
        </w:tblPrEx>
        <w:trPr>
          <w:trHeight w:val="454"/>
        </w:trPr>
        <w:tc>
          <w:tcPr>
            <w:tcW w:w="729" w:type="pct"/>
            <w:vMerge w:val="restart"/>
            <w:vAlign w:val="center"/>
          </w:tcPr>
          <w:p w:rsidR="00AD3A6F" w14:paraId="1D0E5ED2"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14:paraId="4B5861E0"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500万元</w:t>
            </w:r>
          </w:p>
        </w:tc>
        <w:tc>
          <w:tcPr>
            <w:tcW w:w="665" w:type="pct"/>
            <w:vAlign w:val="center"/>
          </w:tcPr>
          <w:p w:rsidR="00AD3A6F" w14:paraId="18AFA213"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0.30%  </w:t>
            </w:r>
          </w:p>
        </w:tc>
        <w:tc>
          <w:tcPr>
            <w:tcW w:w="1360" w:type="pct"/>
            <w:vAlign w:val="center"/>
          </w:tcPr>
          <w:p w:rsidR="00AD3A6F" w14:paraId="24E96242" w14:textId="77777777">
            <w:pPr>
              <w:spacing w:line="280" w:lineRule="exact"/>
              <w:jc w:val="center"/>
              <w:rPr>
                <w:rFonts w:ascii="方正仿宋简体" w:eastAsia="方正仿宋简体" w:hAnsi="方正仿宋简体" w:cs="方正仿宋简体"/>
                <w:bCs/>
                <w:iCs/>
                <w:color w:val="000000" w:themeColor="text1"/>
              </w:rPr>
            </w:pPr>
          </w:p>
        </w:tc>
      </w:tr>
      <w:tr w14:paraId="74BC8F38" w14:textId="77777777" w:rsidTr="00575F3B">
        <w:tblPrEx>
          <w:tblW w:w="5000" w:type="pct"/>
          <w:tblLook w:val="0000"/>
        </w:tblPrEx>
        <w:trPr>
          <w:trHeight w:val="454"/>
        </w:trPr>
        <w:tc>
          <w:tcPr>
            <w:tcW w:w="729" w:type="pct"/>
            <w:vMerge/>
            <w:vAlign w:val="center"/>
          </w:tcPr>
          <w:p w:rsidR="00AD3A6F" w14:paraId="37E9CC0C"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14:paraId="1F45C858"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M ≥ 500万元</w:t>
            </w:r>
          </w:p>
        </w:tc>
        <w:tc>
          <w:tcPr>
            <w:tcW w:w="665" w:type="pct"/>
            <w:vAlign w:val="center"/>
          </w:tcPr>
          <w:p w:rsidR="00AD3A6F" w14:paraId="5323A598"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1000元/笔</w:t>
            </w:r>
          </w:p>
        </w:tc>
        <w:tc>
          <w:tcPr>
            <w:tcW w:w="1360" w:type="pct"/>
            <w:vAlign w:val="center"/>
          </w:tcPr>
          <w:p w:rsidR="00AD3A6F" w14:paraId="199498F4" w14:textId="77777777">
            <w:pPr>
              <w:spacing w:line="280" w:lineRule="exact"/>
              <w:jc w:val="center"/>
              <w:rPr>
                <w:rFonts w:ascii="方正仿宋简体" w:eastAsia="方正仿宋简体" w:hAnsi="方正仿宋简体" w:cs="方正仿宋简体"/>
                <w:bCs/>
                <w:iCs/>
                <w:color w:val="000000" w:themeColor="text1"/>
              </w:rPr>
            </w:pPr>
          </w:p>
        </w:tc>
      </w:tr>
      <w:tr w14:paraId="7847164E" w14:textId="77777777" w:rsidTr="00575F3B">
        <w:tblPrEx>
          <w:tblW w:w="5000" w:type="pct"/>
          <w:tblLook w:val="0000"/>
        </w:tblPrEx>
        <w:trPr>
          <w:trHeight w:val="454"/>
        </w:trPr>
        <w:tc>
          <w:tcPr>
            <w:tcW w:w="729" w:type="pct"/>
            <w:vMerge w:val="restart"/>
            <w:vAlign w:val="center"/>
          </w:tcPr>
          <w:p w:rsidR="00AD3A6F" w14:paraId="00CF5B99"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14:paraId="2DF9A0A0"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0天 &lt; N ≤ 6天 </w:t>
            </w:r>
          </w:p>
        </w:tc>
        <w:tc>
          <w:tcPr>
            <w:tcW w:w="665" w:type="pct"/>
            <w:vAlign w:val="center"/>
          </w:tcPr>
          <w:p w:rsidR="00AD3A6F" w14:paraId="5C93DBC3"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1.50%  </w:t>
            </w:r>
          </w:p>
        </w:tc>
        <w:tc>
          <w:tcPr>
            <w:tcW w:w="1360" w:type="pct"/>
            <w:vAlign w:val="center"/>
          </w:tcPr>
          <w:p w:rsidR="00AD3A6F" w14:paraId="2F62B1AD"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个人投资者</w:t>
            </w:r>
          </w:p>
        </w:tc>
      </w:tr>
      <w:tr w14:paraId="6485E4DE" w14:textId="77777777" w:rsidTr="00575F3B">
        <w:tblPrEx>
          <w:tblW w:w="5000" w:type="pct"/>
          <w:tblLook w:val="0000"/>
        </w:tblPrEx>
        <w:trPr>
          <w:trHeight w:val="454"/>
        </w:trPr>
        <w:tc>
          <w:tcPr>
            <w:tcW w:w="729" w:type="pct"/>
            <w:vMerge/>
            <w:vAlign w:val="center"/>
          </w:tcPr>
          <w:p w:rsidR="00AD3A6F" w14:paraId="5A2FB415"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14:paraId="731C6C4F"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N ≥ 7天 </w:t>
            </w:r>
          </w:p>
        </w:tc>
        <w:tc>
          <w:tcPr>
            <w:tcW w:w="665" w:type="pct"/>
            <w:vAlign w:val="center"/>
          </w:tcPr>
          <w:p w:rsidR="00AD3A6F" w14:paraId="2473F502"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0.00%  </w:t>
            </w:r>
          </w:p>
        </w:tc>
        <w:tc>
          <w:tcPr>
            <w:tcW w:w="1360" w:type="pct"/>
            <w:vAlign w:val="center"/>
          </w:tcPr>
          <w:p w:rsidR="00AD3A6F" w14:paraId="0F8B0D32"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14:paraId="1E5C7F0B" w14:textId="77777777" w:rsidTr="00575F3B">
        <w:tblPrEx>
          <w:tblW w:w="5000" w:type="pct"/>
          <w:tblLook w:val="0000"/>
        </w:tblPrEx>
        <w:trPr>
          <w:trHeight w:val="454"/>
        </w:trPr>
        <w:tc>
          <w:tcPr>
            <w:tcW w:w="729" w:type="pct"/>
            <w:vMerge/>
            <w:vAlign w:val="center"/>
          </w:tcPr>
          <w:p w:rsidR="00AD3A6F" w14:paraId="7FAA1134"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14:paraId="3A63020F"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0天 &lt; N ≤ 6天 </w:t>
            </w:r>
          </w:p>
        </w:tc>
        <w:tc>
          <w:tcPr>
            <w:tcW w:w="665" w:type="pct"/>
            <w:vAlign w:val="center"/>
          </w:tcPr>
          <w:p w:rsidR="00AD3A6F" w14:paraId="0352D132"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1.50%  </w:t>
            </w:r>
          </w:p>
        </w:tc>
        <w:tc>
          <w:tcPr>
            <w:tcW w:w="1360" w:type="pct"/>
            <w:vAlign w:val="center"/>
          </w:tcPr>
          <w:p w:rsidR="00AD3A6F" w14:paraId="1B30132E"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机构投资者</w:t>
            </w:r>
          </w:p>
        </w:tc>
      </w:tr>
      <w:tr w14:paraId="6B1D94DB" w14:textId="77777777" w:rsidTr="00575F3B">
        <w:tblPrEx>
          <w:tblW w:w="5000" w:type="pct"/>
          <w:tblLook w:val="0000"/>
        </w:tblPrEx>
        <w:trPr>
          <w:trHeight w:val="454"/>
        </w:trPr>
        <w:tc>
          <w:tcPr>
            <w:tcW w:w="729" w:type="pct"/>
            <w:vMerge/>
            <w:vAlign w:val="center"/>
          </w:tcPr>
          <w:p w:rsidR="00AD3A6F" w14:paraId="5D827D5F"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14:paraId="72107E13"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7天 ≤ N ≤ 29天 </w:t>
            </w:r>
          </w:p>
        </w:tc>
        <w:tc>
          <w:tcPr>
            <w:tcW w:w="665" w:type="pct"/>
            <w:vAlign w:val="center"/>
          </w:tcPr>
          <w:p w:rsidR="00AD3A6F" w14:paraId="7DC19390"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1.00%  </w:t>
            </w:r>
          </w:p>
        </w:tc>
        <w:tc>
          <w:tcPr>
            <w:tcW w:w="1360" w:type="pct"/>
            <w:vAlign w:val="center"/>
          </w:tcPr>
          <w:p w:rsidR="00AD3A6F" w14:paraId="0646F47A"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14:paraId="67788C99" w14:textId="77777777" w:rsidTr="00575F3B">
        <w:tblPrEx>
          <w:tblW w:w="5000" w:type="pct"/>
          <w:tblLook w:val="0000"/>
        </w:tblPrEx>
        <w:trPr>
          <w:trHeight w:val="454"/>
        </w:trPr>
        <w:tc>
          <w:tcPr>
            <w:tcW w:w="729" w:type="pct"/>
            <w:vMerge/>
            <w:vAlign w:val="center"/>
          </w:tcPr>
          <w:p w:rsidR="00AD3A6F" w14:paraId="68E479A9"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14:paraId="201C3C03"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30天 ≤ N ≤ 179天 </w:t>
            </w:r>
          </w:p>
        </w:tc>
        <w:tc>
          <w:tcPr>
            <w:tcW w:w="665" w:type="pct"/>
            <w:vAlign w:val="center"/>
          </w:tcPr>
          <w:p w:rsidR="00AD3A6F" w14:paraId="7636FCFA"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0.50%  </w:t>
            </w:r>
          </w:p>
        </w:tc>
        <w:tc>
          <w:tcPr>
            <w:tcW w:w="1360" w:type="pct"/>
            <w:vAlign w:val="center"/>
          </w:tcPr>
          <w:p w:rsidR="00AD3A6F" w14:paraId="3694045F"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14:paraId="0CBBB943" w14:textId="77777777" w:rsidTr="00575F3B">
        <w:tblPrEx>
          <w:tblW w:w="5000" w:type="pct"/>
          <w:tblLook w:val="0000"/>
        </w:tblPrEx>
        <w:trPr>
          <w:trHeight w:val="454"/>
        </w:trPr>
        <w:tc>
          <w:tcPr>
            <w:tcW w:w="729" w:type="pct"/>
            <w:vMerge/>
            <w:vAlign w:val="center"/>
          </w:tcPr>
          <w:p w:rsidR="00AD3A6F" w14:paraId="16B6AC7D"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14:paraId="79040841"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N ≥ 180天 </w:t>
            </w:r>
          </w:p>
        </w:tc>
        <w:tc>
          <w:tcPr>
            <w:tcW w:w="665" w:type="pct"/>
            <w:vAlign w:val="center"/>
          </w:tcPr>
          <w:p w:rsidR="00AD3A6F" w14:paraId="2ABDA571"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0.00%  </w:t>
            </w:r>
          </w:p>
        </w:tc>
        <w:tc>
          <w:tcPr>
            <w:tcW w:w="1360" w:type="pct"/>
            <w:vAlign w:val="center"/>
          </w:tcPr>
          <w:p w:rsidR="00AD3A6F" w14:paraId="4880B565"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bl>
    <w:p w:rsidR="00AD3A6F" w14:paraId="18BF0374" w14:textId="77777777">
      <w:pPr>
        <w:autoSpaceDE w:val="0"/>
        <w:autoSpaceDN w:val="0"/>
        <w:adjustRightInd w:val="0"/>
        <w:spacing w:line="280" w:lineRule="exact"/>
        <w:jc w:val="left"/>
        <w:rPr>
          <w:rFonts w:ascii="方正仿宋简体" w:eastAsia="方正仿宋简体" w:hAnsi="方正仿宋简体" w:cs="方正仿宋简体"/>
          <w:iCs/>
          <w:color w:val="000000" w:themeColor="text1"/>
        </w:rPr>
      </w:pPr>
      <w:r>
        <w:rPr>
          <w:rFonts w:ascii="方正仿宋简体" w:eastAsia="方正仿宋简体" w:hAnsi="方正仿宋简体" w:cs="方正仿宋简体" w:hint="eastAsia"/>
          <w:iCs/>
          <w:color w:val="000000" w:themeColor="text1"/>
        </w:rPr>
        <w:t>注：投资者通过基金管理人或其基金销售子公司认购、申购本基金A类基金份额，不收取认购、申购费用；投资者通过其他销售机构认购、申购本基金A类基金份额，认购、申购费率见上表。如果投资者多次认购、申购，认购费、申购费适用单笔认购、申购金额所对应的费率。</w:t>
      </w:r>
    </w:p>
    <w:p w:rsidR="00AD3A6F" w14:paraId="72F430E2" w14:textId="77777777">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14:paraId="1D0453B3" w14:textId="77777777">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14:paraId="2DA28126" w14:textId="77777777"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14:paraId="4A0BCEC5" w14:textId="77777777">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2069" w:type="pct"/>
            <w:vAlign w:val="center"/>
          </w:tcPr>
          <w:p w:rsidR="00AD3A6F" w14:paraId="4208461D" w14:textId="77777777">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收费方式/年费率或金额</w:t>
            </w:r>
          </w:p>
        </w:tc>
        <w:tc>
          <w:tcPr>
            <w:tcW w:w="2065" w:type="pct"/>
            <w:tcBorders>
              <w:bottom w:val="dashSmallGap" w:sz="4" w:space="0" w:color="808080" w:themeColor="background1" w:themeShade="80"/>
            </w:tcBorders>
            <w:vAlign w:val="center"/>
          </w:tcPr>
          <w:p w:rsidR="00AD3A6F" w14:paraId="5276AB9D" w14:textId="77777777">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14:paraId="202021D9" w14:textId="77777777" w:rsidTr="000D2645">
        <w:tblPrEx>
          <w:tblW w:w="5001" w:type="pct"/>
          <w:tblLook w:val="0000"/>
        </w:tblPrEx>
        <w:trPr>
          <w:trHeight w:val="454"/>
        </w:trPr>
        <w:tc>
          <w:tcPr>
            <w:tcW w:w="866" w:type="pct"/>
            <w:vAlign w:val="center"/>
          </w:tcPr>
          <w:p w:rsidR="000D2645" w14:paraId="4E4163D9" w14:textId="77777777">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2069" w:type="pct"/>
            <w:vAlign w:val="center"/>
          </w:tcPr>
          <w:p w:rsidR="000D2645" w14:paraId="3DA05BE4"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年费率0.80% </w:t>
            </w:r>
          </w:p>
        </w:tc>
        <w:tc>
          <w:tcPr>
            <w:tcW w:w="2065" w:type="pct"/>
            <w:tcBorders>
              <w:top w:val="dashSmallGap" w:sz="4" w:space="0" w:color="808080" w:themeColor="background1" w:themeShade="80"/>
            </w:tcBorders>
            <w:vAlign w:val="center"/>
          </w:tcPr>
          <w:p w:rsidR="000D2645" w:rsidP="000D2645" w14:paraId="4BF20E6C" w14:textId="550F4BBD">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基金管理人</w:t>
            </w:r>
            <w:r>
              <w:rPr>
                <w:rFonts w:ascii="方正仿宋简体" w:eastAsia="方正仿宋简体" w:hAnsi="方正仿宋简体" w:cs="方正仿宋简体" w:hint="eastAsia"/>
                <w:bCs/>
                <w:iCs/>
              </w:rPr>
              <w:t>、销售机构</w:t>
            </w:r>
          </w:p>
        </w:tc>
      </w:tr>
      <w:tr w14:paraId="702D72DC" w14:textId="77777777" w:rsidTr="000D2645">
        <w:tblPrEx>
          <w:tblW w:w="5001" w:type="pct"/>
          <w:tblLook w:val="0000"/>
        </w:tblPrEx>
        <w:trPr>
          <w:trHeight w:val="454"/>
        </w:trPr>
        <w:tc>
          <w:tcPr>
            <w:tcW w:w="866" w:type="pct"/>
            <w:vAlign w:val="center"/>
          </w:tcPr>
          <w:p w:rsidR="00AD3A6F" w14:paraId="0BBF48CB" w14:textId="77777777">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2069" w:type="pct"/>
            <w:vAlign w:val="center"/>
          </w:tcPr>
          <w:p w:rsidR="00AD3A6F" w14:paraId="445847BF" w14:textId="77777777">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年费率0.10% </w:t>
            </w:r>
          </w:p>
        </w:tc>
        <w:tc>
          <w:tcPr>
            <w:tcW w:w="2065" w:type="pct"/>
            <w:vAlign w:val="center"/>
          </w:tcPr>
          <w:p w:rsidR="00AD3A6F" w14:paraId="09C5467A" w14:textId="77777777">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14:paraId="4AC4F7EF" w14:textId="77777777" w:rsidTr="000D2645">
        <w:tblPrEx>
          <w:tblW w:w="5001" w:type="pct"/>
          <w:tblLook w:val="0000"/>
        </w:tblPrEx>
        <w:trPr>
          <w:trHeight w:val="454"/>
        </w:trPr>
        <w:tc>
          <w:tcPr>
            <w:tcW w:w="866" w:type="pct"/>
            <w:vAlign w:val="center"/>
          </w:tcPr>
          <w:p w:rsidR="00AD3A6F" w14:paraId="1A9C5923" w14:textId="77777777">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2069" w:type="pct"/>
            <w:vAlign w:val="center"/>
          </w:tcPr>
          <w:p w:rsidR="00AD3A6F" w14:paraId="7B1446E3" w14:textId="77777777">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详见招募说明书的基金费用与税收章节。  </w:t>
            </w:r>
          </w:p>
        </w:tc>
        <w:tc>
          <w:tcPr>
            <w:tcW w:w="2065" w:type="pct"/>
            <w:vAlign w:val="center"/>
          </w:tcPr>
          <w:p w:rsidR="00AD3A6F" w14:paraId="53F074FD" w14:textId="77777777">
            <w:pPr>
              <w:spacing w:line="280" w:lineRule="exact"/>
              <w:jc w:val="center"/>
              <w:rPr>
                <w:rFonts w:ascii="方正仿宋简体" w:eastAsia="方正仿宋简体" w:hAnsiTheme="minorEastAsia" w:cs="方正仿宋简体"/>
                <w:bCs/>
                <w:iCs/>
              </w:rPr>
            </w:pPr>
          </w:p>
        </w:tc>
      </w:tr>
    </w:tbl>
    <w:p w:rsidR="00AD3A6F" w:rsidRPr="0086475C" w14:paraId="0168667E" w14:textId="77777777">
      <w:pPr>
        <w:autoSpaceDE w:val="0"/>
        <w:autoSpaceDN w:val="0"/>
        <w:adjustRightInd w:val="0"/>
        <w:spacing w:line="280" w:lineRule="exact"/>
        <w:jc w:val="left"/>
        <w:rPr>
          <w:rFonts w:ascii="方正仿宋简体" w:eastAsia="方正仿宋简体" w:hAnsi="方正仿宋简体" w:cs="方正仿宋简体"/>
          <w:bCs/>
          <w:iCs/>
        </w:rPr>
      </w:pPr>
      <w:r w:rsidRPr="003F6076">
        <w:rPr>
          <w:rFonts w:ascii="方正仿宋简体" w:eastAsia="方正仿宋简体" w:hAnsi="方正仿宋简体" w:cs="方正仿宋简体" w:hint="eastAsia"/>
          <w:bCs/>
          <w:iCs/>
        </w:rPr>
        <w:t>注：本基金交易证券、基金等产生的费用和税负，按实际发生额从基金资产扣除。</w:t>
      </w:r>
    </w:p>
    <w:p w:rsidR="00AD3A6F" w14:paraId="1D309B02" w14:textId="77777777">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14:paraId="6CB76E25" w14:textId="77777777">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14:paraId="540985A7"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b/>
          <w:bCs/>
          <w:iCs/>
        </w:rPr>
        <w:t>本基金不提供任何保证。投资者可能损失投资本金。</w:t>
      </w:r>
    </w:p>
    <w:p w:rsidR="00AD3A6F" w14:paraId="0C5931CF"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投资有风险，投资者购买基金时应认真阅读本基金的《招募说明书》等销售文件。</w:t>
      </w:r>
    </w:p>
    <w:p w:rsidR="00AD3A6F" w14:paraId="54D89961"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本基金可能遇到的特有风险包括但不限于：（1）与指数化投资相关的特定风险（包括标的指数波动的风险、标的指数回报与股票市场平均回报偏离的风险、基金投资组合回报与标的指数回报偏离的风险、部分成份股权重较大的风险、成份股停牌的风险、跟踪误差控制未达约定目标的风险、标的指数值计算出错的风险、标的指数编制方案带来的风险、指数编制机构停止服务的风险等）；（2）采用量化增强策略进行投资管理可能引致的特定风险（包括量化增强策略的风险、数据错误风险、模型风险）；（3）通过内地与香港股票市场交易互联互通机制投资于香港证券市场股票的风险；（4）本基金投资范围包括股指期货、国债期货、股票期权等金融衍生品以及科创板股票、北交所股票、存托凭证、资产支持证券等特殊品种而面临的其他额外风险；（5）参与转融通证券出借业务的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本基金的特有风险及一般风险详见招募说明书的“风险揭示”部分。</w:t>
      </w:r>
    </w:p>
    <w:p w:rsidR="00AD3A6F" w14:paraId="14810D83"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AD3A6F" w14:paraId="35F003F4" w14:textId="77777777">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Pr="0086475C" w:rsidP="0086475C" w14:paraId="53D4654E"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方正仿宋简体" w:eastAsia="方正仿宋简体" w:hAnsi="方正仿宋简体" w:cs="方正仿宋简体" w:hint="eastAsia"/>
          <w:b/>
          <w:bCs/>
          <w:iCs/>
        </w:rPr>
        <w:t>各方当事人因《基金合同》而产生的或与《基金合同》有关的一切争议应尽量通过协商、调解途径解决，如经友好协商未能解决的最终将通过仲裁方式处理，详见《基金合同》</w:t>
      </w:r>
      <w:r>
        <w:rPr>
          <w:rFonts w:ascii="方正仿宋简体" w:eastAsia="方正仿宋简体" w:hAnsi="方正仿宋简体" w:cs="方正仿宋简体" w:hint="eastAsia"/>
          <w:iCs/>
        </w:rPr>
        <w:t>。</w:t>
      </w:r>
    </w:p>
    <w:p w:rsidR="00AD3A6F" w:rsidRPr="0086475C" w:rsidP="0086475C" w14:paraId="163F4DFC"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14:paraId="159F7E90" w14:textId="77777777">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Pr="0086475C" w:rsidP="0086475C" w14:paraId="22C70EC4"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以下资料详见基金管理人网站[www.efunds.com.cn][客服电话:4008818088]</w:t>
      </w:r>
    </w:p>
    <w:p w:rsidR="00AD3A6F" w:rsidRPr="0086475C" w:rsidP="0086475C" w14:paraId="498E2E60"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1、基金合同、托管协议、招募说明书</w:t>
      </w:r>
    </w:p>
    <w:p w:rsidR="00AD3A6F" w:rsidRPr="0086475C" w:rsidP="0086475C" w14:paraId="6E95E30D"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2、定期报告，包括基金季度报告、中期报告和年度报告</w:t>
      </w:r>
    </w:p>
    <w:p w:rsidR="00AD3A6F" w:rsidRPr="0086475C" w:rsidP="0086475C" w14:paraId="0734632F"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3、基金份额净值</w:t>
      </w:r>
    </w:p>
    <w:p w:rsidR="00AD3A6F" w:rsidRPr="0086475C" w:rsidP="0086475C" w14:paraId="7FCDC67B"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4、基金销售机构及联系方式</w:t>
      </w:r>
    </w:p>
    <w:p w:rsidR="00AD3A6F" w:rsidRPr="0086475C" w:rsidP="0086475C" w14:paraId="144456AB"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等线"/>
    <w:charset w:val="86"/>
    <w:family w:val="auto"/>
    <w:pitch w:val="default"/>
    <w:sig w:usb0="00000000" w:usb1="00000000" w:usb2="00000000" w:usb3="00000000" w:csb0="00040000" w:csb1="00000000"/>
  </w:font>
  <w:font w:name="仿宋_GB2312">
    <w:altName w:val="Consolas"/>
    <w:charset w:val="86"/>
    <w:family w:val="modern"/>
    <w:pitch w:val="fixed"/>
    <w:sig w:usb0="00000001" w:usb1="080E0000" w:usb2="00000010" w:usb3="00000000" w:csb0="00040000" w:csb1="00000000"/>
  </w:font>
  <w:font w:name="方正黑体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14:paraId="441BB338" w14:textId="540DF779">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rsidR="00575F3B" w14:paraId="75B7457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613"/>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076"/>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B96"/>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26D3A"/>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6BE9"/>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5854"/>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5BE8"/>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7B089907-6746-4438-8EEB-C0CAC795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CB"/>
    <w:pPr>
      <w:widowControl w:val="0"/>
      <w:jc w:val="both"/>
    </w:pPr>
  </w:style>
  <w:style w:type="paragraph" w:styleId="Heading1">
    <w:name w:val="heading 1"/>
    <w:basedOn w:val="Normal"/>
    <w:next w:val="Normal"/>
    <w:link w:val="1"/>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92395F"/>
    <w:rPr>
      <w:sz w:val="18"/>
      <w:szCs w:val="18"/>
    </w:rPr>
  </w:style>
  <w:style w:type="paragraph" w:styleId="Footer">
    <w:name w:val="footer"/>
    <w:basedOn w:val="Normal"/>
    <w:link w:val="a0"/>
    <w:uiPriority w:val="99"/>
    <w:unhideWhenUsed/>
    <w:rsid w:val="0092395F"/>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92395F"/>
    <w:rPr>
      <w:sz w:val="18"/>
      <w:szCs w:val="18"/>
    </w:rPr>
  </w:style>
  <w:style w:type="paragraph" w:styleId="BalloonText">
    <w:name w:val="Balloon Text"/>
    <w:basedOn w:val="Normal"/>
    <w:link w:val="a1"/>
    <w:uiPriority w:val="99"/>
    <w:semiHidden/>
    <w:unhideWhenUsed/>
    <w:rsid w:val="000676AA"/>
    <w:rPr>
      <w:sz w:val="18"/>
      <w:szCs w:val="18"/>
    </w:rPr>
  </w:style>
  <w:style w:type="character" w:customStyle="1" w:styleId="a1">
    <w:name w:val="批注框文本 字符"/>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a2"/>
    <w:unhideWhenUsed/>
    <w:qFormat/>
    <w:rsid w:val="00CC22C3"/>
    <w:pPr>
      <w:snapToGrid w:val="0"/>
      <w:jc w:val="left"/>
    </w:pPr>
    <w:rPr>
      <w:rFonts w:ascii="Calibri" w:eastAsia="宋体" w:hAnsi="Calibri" w:cs="Times New Roman"/>
      <w:sz w:val="18"/>
      <w:szCs w:val="24"/>
    </w:rPr>
  </w:style>
  <w:style w:type="character" w:customStyle="1" w:styleId="a2">
    <w:name w:val="脚注文本 字符"/>
    <w:basedOn w:val="DefaultParagraphFont"/>
    <w:link w:val="FootnoteText"/>
    <w:qFormat/>
    <w:rsid w:val="00CC22C3"/>
    <w:rPr>
      <w:rFonts w:ascii="Calibri" w:eastAsia="宋体" w:hAnsi="Calibri" w:cs="Times New Roman"/>
      <w:sz w:val="18"/>
      <w:szCs w:val="24"/>
    </w:rPr>
  </w:style>
  <w:style w:type="character" w:customStyle="1" w:styleId="1">
    <w:name w:val="标题 1 字符"/>
    <w:basedOn w:val="DefaultParagraphFont"/>
    <w:link w:val="Heading1"/>
    <w:uiPriority w:val="9"/>
    <w:rsid w:val="0006758E"/>
    <w:rPr>
      <w:b/>
      <w:bCs/>
      <w:kern w:val="44"/>
      <w:sz w:val="44"/>
      <w:szCs w:val="44"/>
    </w:rPr>
  </w:style>
  <w:style w:type="character" w:styleId="CommentReference">
    <w:name w:val="annotation reference"/>
    <w:basedOn w:val="DefaultParagraphFont"/>
    <w:uiPriority w:val="99"/>
    <w:semiHidden/>
    <w:unhideWhenUsed/>
    <w:rsid w:val="00B65854"/>
    <w:rPr>
      <w:sz w:val="21"/>
      <w:szCs w:val="21"/>
    </w:rPr>
  </w:style>
  <w:style w:type="paragraph" w:styleId="CommentText">
    <w:name w:val="annotation text"/>
    <w:basedOn w:val="Normal"/>
    <w:link w:val="a3"/>
    <w:uiPriority w:val="99"/>
    <w:semiHidden/>
    <w:unhideWhenUsed/>
    <w:rsid w:val="00B65854"/>
    <w:pPr>
      <w:jc w:val="left"/>
    </w:pPr>
  </w:style>
  <w:style w:type="character" w:customStyle="1" w:styleId="a3">
    <w:name w:val="批注文字 字符"/>
    <w:basedOn w:val="DefaultParagraphFont"/>
    <w:link w:val="CommentText"/>
    <w:uiPriority w:val="99"/>
    <w:semiHidden/>
    <w:rsid w:val="00B65854"/>
  </w:style>
  <w:style w:type="paragraph" w:styleId="CommentSubject">
    <w:name w:val="annotation subject"/>
    <w:basedOn w:val="CommentText"/>
    <w:next w:val="CommentText"/>
    <w:link w:val="a4"/>
    <w:uiPriority w:val="99"/>
    <w:semiHidden/>
    <w:unhideWhenUsed/>
    <w:rsid w:val="00B65854"/>
    <w:rPr>
      <w:b/>
      <w:bCs/>
    </w:rPr>
  </w:style>
  <w:style w:type="character" w:customStyle="1" w:styleId="a4">
    <w:name w:val="批注主题 字符"/>
    <w:basedOn w:val="a3"/>
    <w:link w:val="CommentSubject"/>
    <w:uiPriority w:val="99"/>
    <w:semiHidden/>
    <w:rsid w:val="00B6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ACAB-764C-4A7B-867F-763BCD74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