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B963CD" w14:paraId="583DB09A" w14:textId="77777777">
      <w:pPr>
        <w:snapToGrid w:val="0"/>
        <w:spacing w:line="360" w:lineRule="auto"/>
        <w:jc w:val="center"/>
        <w:rPr>
          <w:rFonts w:ascii="宋体" w:hAnsi="宋体"/>
          <w:color w:val="000000"/>
          <w:sz w:val="28"/>
        </w:rPr>
      </w:pPr>
    </w:p>
    <w:p w:rsidR="00B963CD" w14:paraId="51ACD8D7" w14:textId="77777777">
      <w:pPr>
        <w:snapToGrid w:val="0"/>
        <w:spacing w:line="360" w:lineRule="auto"/>
        <w:jc w:val="center"/>
        <w:rPr>
          <w:rFonts w:ascii="宋体" w:hAnsi="宋体"/>
          <w:color w:val="000000"/>
          <w:sz w:val="28"/>
        </w:rPr>
      </w:pPr>
    </w:p>
    <w:p w:rsidR="00B963CD" w14:paraId="6F078239" w14:textId="77777777">
      <w:pPr>
        <w:snapToGrid w:val="0"/>
        <w:spacing w:line="360" w:lineRule="auto"/>
        <w:jc w:val="center"/>
        <w:rPr>
          <w:rFonts w:ascii="宋体" w:hAnsi="宋体"/>
          <w:color w:val="000000"/>
          <w:sz w:val="28"/>
        </w:rPr>
      </w:pPr>
    </w:p>
    <w:p w:rsidR="00B963CD" w14:paraId="0E1BC7E9" w14:textId="77777777">
      <w:pPr>
        <w:snapToGrid w:val="0"/>
        <w:spacing w:line="360" w:lineRule="auto"/>
        <w:jc w:val="center"/>
        <w:rPr>
          <w:rFonts w:ascii="宋体" w:hAnsi="宋体"/>
          <w:color w:val="000000"/>
          <w:sz w:val="28"/>
        </w:rPr>
      </w:pPr>
    </w:p>
    <w:p w:rsidR="00B963CD" w14:paraId="5AD0EB38" w14:textId="77777777">
      <w:pPr>
        <w:snapToGrid w:val="0"/>
        <w:spacing w:line="360" w:lineRule="auto"/>
        <w:jc w:val="center"/>
        <w:rPr>
          <w:rFonts w:ascii="宋体" w:hAnsi="宋体"/>
          <w:color w:val="000000"/>
          <w:sz w:val="28"/>
        </w:rPr>
      </w:pPr>
    </w:p>
    <w:p w:rsidR="00B963CD" w14:paraId="1BDC9851" w14:textId="77777777">
      <w:pPr>
        <w:snapToGrid w:val="0"/>
        <w:spacing w:line="360" w:lineRule="auto"/>
        <w:jc w:val="center"/>
        <w:rPr>
          <w:rFonts w:ascii="宋体" w:hAnsi="宋体"/>
          <w:color w:val="000000"/>
          <w:sz w:val="28"/>
        </w:rPr>
      </w:pPr>
    </w:p>
    <w:p w:rsidR="00B963CD" w14:paraId="78CC0E26" w14:textId="77777777">
      <w:pPr>
        <w:snapToGrid w:val="0"/>
        <w:spacing w:line="360" w:lineRule="auto"/>
        <w:jc w:val="center"/>
        <w:rPr>
          <w:rFonts w:ascii="宋体" w:hAnsi="宋体"/>
          <w:b/>
          <w:color w:val="000000"/>
          <w:sz w:val="44"/>
          <w:szCs w:val="44"/>
        </w:rPr>
      </w:pPr>
      <w:r>
        <w:rPr>
          <w:rFonts w:ascii="宋体" w:hAnsi="宋体" w:hint="eastAsia"/>
          <w:b/>
          <w:color w:val="000000"/>
          <w:sz w:val="44"/>
          <w:szCs w:val="44"/>
        </w:rPr>
        <w:t>易方达中证港股通综合指数量化增强型证券投资基金</w:t>
      </w:r>
      <w:r>
        <w:rPr>
          <w:rFonts w:ascii="宋体" w:hAnsi="宋体"/>
          <w:b/>
          <w:color w:val="000000"/>
          <w:sz w:val="44"/>
          <w:szCs w:val="44"/>
          <w:highlight w:val="white"/>
        </w:rPr>
        <w:t>托管协议</w:t>
      </w:r>
    </w:p>
    <w:p w:rsidR="00B963CD" w14:paraId="4747C6E2" w14:textId="77777777">
      <w:pPr>
        <w:snapToGrid w:val="0"/>
        <w:spacing w:line="360" w:lineRule="auto"/>
        <w:jc w:val="center"/>
        <w:outlineLvl w:val="0"/>
        <w:rPr>
          <w:rFonts w:ascii="宋体" w:hAnsi="宋体"/>
          <w:color w:val="000000"/>
          <w:sz w:val="28"/>
        </w:rPr>
      </w:pPr>
    </w:p>
    <w:p w:rsidR="00B963CD" w14:paraId="27A5A857" w14:textId="77777777">
      <w:pPr>
        <w:snapToGrid w:val="0"/>
        <w:spacing w:line="360" w:lineRule="auto"/>
        <w:jc w:val="center"/>
        <w:outlineLvl w:val="0"/>
        <w:rPr>
          <w:rFonts w:ascii="宋体" w:hAnsi="宋体"/>
          <w:color w:val="000000"/>
          <w:sz w:val="28"/>
        </w:rPr>
      </w:pPr>
    </w:p>
    <w:p w:rsidR="00B963CD" w14:paraId="1937DC16" w14:textId="77777777">
      <w:pPr>
        <w:snapToGrid w:val="0"/>
        <w:spacing w:line="360" w:lineRule="auto"/>
        <w:jc w:val="center"/>
        <w:outlineLvl w:val="0"/>
        <w:rPr>
          <w:rFonts w:ascii="宋体" w:hAnsi="宋体"/>
          <w:color w:val="000000"/>
          <w:sz w:val="28"/>
        </w:rPr>
      </w:pPr>
    </w:p>
    <w:p w:rsidR="00B963CD" w14:paraId="0F03009A" w14:textId="77777777">
      <w:pPr>
        <w:snapToGrid w:val="0"/>
        <w:spacing w:line="360" w:lineRule="auto"/>
        <w:jc w:val="center"/>
        <w:outlineLvl w:val="0"/>
        <w:rPr>
          <w:rFonts w:ascii="宋体" w:hAnsi="宋体"/>
          <w:color w:val="000000"/>
          <w:sz w:val="28"/>
        </w:rPr>
      </w:pPr>
    </w:p>
    <w:p w:rsidR="00B963CD" w14:paraId="013AC7CD" w14:textId="77777777">
      <w:pPr>
        <w:snapToGrid w:val="0"/>
        <w:spacing w:line="360" w:lineRule="auto"/>
        <w:jc w:val="center"/>
        <w:outlineLvl w:val="0"/>
        <w:rPr>
          <w:rFonts w:ascii="宋体" w:hAnsi="宋体"/>
          <w:color w:val="000000"/>
          <w:sz w:val="28"/>
        </w:rPr>
      </w:pPr>
    </w:p>
    <w:p w:rsidR="00B963CD" w14:paraId="470FAB42" w14:textId="77777777">
      <w:pPr>
        <w:snapToGrid w:val="0"/>
        <w:spacing w:line="360" w:lineRule="auto"/>
        <w:jc w:val="center"/>
        <w:outlineLvl w:val="0"/>
        <w:rPr>
          <w:rFonts w:ascii="宋体" w:hAnsi="宋体"/>
          <w:color w:val="000000"/>
          <w:sz w:val="28"/>
        </w:rPr>
      </w:pPr>
    </w:p>
    <w:p w:rsidR="00B963CD" w14:paraId="3F29EE20" w14:textId="77777777">
      <w:pPr>
        <w:snapToGrid w:val="0"/>
        <w:spacing w:line="360" w:lineRule="auto"/>
        <w:jc w:val="center"/>
        <w:outlineLvl w:val="0"/>
        <w:rPr>
          <w:rFonts w:ascii="宋体" w:hAnsi="宋体"/>
          <w:color w:val="000000"/>
          <w:sz w:val="28"/>
        </w:rPr>
      </w:pPr>
    </w:p>
    <w:p w:rsidR="00B963CD" w14:paraId="46A11D30" w14:textId="77777777">
      <w:pPr>
        <w:snapToGrid w:val="0"/>
        <w:spacing w:line="360" w:lineRule="auto"/>
        <w:jc w:val="center"/>
        <w:outlineLvl w:val="0"/>
        <w:rPr>
          <w:rFonts w:ascii="宋体" w:hAnsi="宋体"/>
          <w:color w:val="000000"/>
          <w:sz w:val="28"/>
        </w:rPr>
      </w:pPr>
    </w:p>
    <w:p w:rsidR="00B963CD" w14:paraId="2DE992EE" w14:textId="77777777">
      <w:pPr>
        <w:snapToGrid w:val="0"/>
        <w:spacing w:line="360" w:lineRule="auto"/>
        <w:jc w:val="center"/>
        <w:outlineLvl w:val="0"/>
        <w:rPr>
          <w:rFonts w:ascii="宋体" w:hAnsi="宋体"/>
          <w:color w:val="000000"/>
          <w:sz w:val="28"/>
        </w:rPr>
      </w:pPr>
    </w:p>
    <w:p w:rsidR="00B963CD" w14:paraId="74B67BCA" w14:textId="77777777">
      <w:pPr>
        <w:snapToGrid w:val="0"/>
        <w:spacing w:line="360" w:lineRule="auto"/>
        <w:ind w:firstLine="1574"/>
        <w:jc w:val="left"/>
        <w:outlineLvl w:val="0"/>
        <w:rPr>
          <w:rFonts w:ascii="宋体" w:hAnsi="宋体"/>
          <w:b/>
          <w:color w:val="000000"/>
          <w:sz w:val="28"/>
        </w:rPr>
      </w:pPr>
      <w:r>
        <w:rPr>
          <w:rFonts w:ascii="宋体" w:hAnsi="宋体"/>
          <w:b/>
          <w:color w:val="000000"/>
          <w:sz w:val="28"/>
          <w:highlight w:val="white"/>
        </w:rPr>
        <w:t>基金管理人：</w:t>
      </w:r>
      <w:r>
        <w:rPr>
          <w:rFonts w:ascii="宋体" w:hAnsi="宋体" w:hint="eastAsia"/>
          <w:b/>
          <w:color w:val="000000"/>
          <w:sz w:val="28"/>
          <w:highlight w:val="white"/>
        </w:rPr>
        <w:t>易方达基金管理有限公司</w:t>
      </w:r>
    </w:p>
    <w:p w:rsidR="00B963CD" w14:paraId="17B7F197" w14:textId="77777777">
      <w:pPr>
        <w:snapToGrid w:val="0"/>
        <w:spacing w:line="360" w:lineRule="auto"/>
        <w:ind w:firstLine="1580"/>
        <w:jc w:val="left"/>
        <w:outlineLvl w:val="0"/>
        <w:rPr>
          <w:rFonts w:ascii="宋体" w:hAnsi="宋体"/>
          <w:b/>
          <w:color w:val="000000"/>
          <w:sz w:val="28"/>
        </w:rPr>
      </w:pPr>
      <w:r>
        <w:rPr>
          <w:rFonts w:ascii="宋体" w:hAnsi="宋体"/>
          <w:b/>
          <w:color w:val="000000"/>
          <w:sz w:val="28"/>
          <w:highlight w:val="white"/>
        </w:rPr>
        <w:t>基金托管人：中国农业银行</w:t>
      </w:r>
      <w:r>
        <w:rPr>
          <w:rFonts w:ascii="宋体" w:hAnsi="宋体" w:hint="eastAsia"/>
          <w:b/>
          <w:color w:val="000000"/>
          <w:sz w:val="28"/>
          <w:highlight w:val="white"/>
        </w:rPr>
        <w:t>股份有限公司</w:t>
      </w:r>
    </w:p>
    <w:p w:rsidR="00B963CD" w14:paraId="06BBF56A" w14:textId="77777777">
      <w:pPr>
        <w:snapToGrid w:val="0"/>
        <w:spacing w:line="360" w:lineRule="auto"/>
        <w:jc w:val="center"/>
        <w:outlineLvl w:val="0"/>
        <w:rPr>
          <w:rFonts w:ascii="宋体" w:hAnsi="宋体"/>
          <w:color w:val="000000"/>
          <w:sz w:val="28"/>
        </w:rPr>
      </w:pPr>
    </w:p>
    <w:p w:rsidR="00B963CD" w14:paraId="73C2A8E3" w14:textId="044B7F57">
      <w:pPr>
        <w:jc w:val="center"/>
      </w:pPr>
      <w:r>
        <w:rPr>
          <w:rFonts w:ascii="宋体" w:hAnsi="宋体" w:cs="宋体"/>
          <w:color w:val="000000"/>
          <w:sz w:val="28"/>
          <w:highlight w:val="white"/>
        </w:rPr>
        <w:t>二〇二</w:t>
      </w:r>
      <w:r w:rsidR="003C4221">
        <w:rPr>
          <w:rFonts w:ascii="宋体" w:hAnsi="宋体" w:cs="宋体" w:hint="eastAsia"/>
          <w:color w:val="000000"/>
          <w:sz w:val="28"/>
          <w:highlight w:val="white"/>
        </w:rPr>
        <w:t>六</w:t>
      </w:r>
      <w:r>
        <w:rPr>
          <w:rFonts w:ascii="宋体" w:hAnsi="宋体" w:cs="宋体"/>
          <w:color w:val="000000"/>
          <w:sz w:val="28"/>
          <w:highlight w:val="white"/>
        </w:rPr>
        <w:t>年</w:t>
      </w:r>
      <w:r w:rsidR="006461A1">
        <w:rPr>
          <w:rFonts w:ascii="宋体" w:hAnsi="宋体" w:cs="宋体" w:hint="eastAsia"/>
          <w:color w:val="000000"/>
          <w:sz w:val="28"/>
          <w:highlight w:val="white"/>
        </w:rPr>
        <w:t>二</w:t>
      </w:r>
      <w:r>
        <w:rPr>
          <w:rFonts w:ascii="宋体" w:hAnsi="宋体" w:cs="宋体"/>
          <w:color w:val="000000"/>
          <w:sz w:val="28"/>
          <w:highlight w:val="white"/>
        </w:rPr>
        <w:t>月</w:t>
      </w:r>
    </w:p>
    <w:p w:rsidR="00B963CD" w14:paraId="0DD61450" w14:textId="77777777">
      <w:pPr>
        <w:snapToGrid w:val="0"/>
        <w:spacing w:line="360" w:lineRule="auto"/>
        <w:jc w:val="center"/>
        <w:outlineLvl w:val="0"/>
        <w:rPr>
          <w:rFonts w:ascii="宋体" w:hAnsi="宋体"/>
          <w:color w:val="000000"/>
          <w:sz w:val="28"/>
        </w:rPr>
      </w:pPr>
    </w:p>
    <w:p w:rsidR="00B963CD" w14:paraId="68D600AD" w14:textId="77777777">
      <w:pPr>
        <w:spacing w:line="360" w:lineRule="auto"/>
        <w:jc w:val="center"/>
        <w:outlineLvl w:val="0"/>
        <w:rPr>
          <w:rFonts w:ascii="宋体" w:hAnsi="宋体"/>
          <w:color w:val="000000"/>
          <w:sz w:val="28"/>
        </w:rPr>
      </w:pPr>
    </w:p>
    <w:p w:rsidR="00B963CD" w14:paraId="74E4CEDA" w14:textId="77777777">
      <w:pPr>
        <w:spacing w:line="360" w:lineRule="auto"/>
        <w:jc w:val="center"/>
        <w:rPr>
          <w:rFonts w:ascii="宋体" w:hAnsi="宋体"/>
          <w:b/>
          <w:sz w:val="28"/>
        </w:rPr>
      </w:pPr>
    </w:p>
    <w:p w:rsidR="00B963CD" w14:paraId="08E07184" w14:textId="77777777">
      <w:pPr>
        <w:snapToGrid w:val="0"/>
        <w:spacing w:line="360" w:lineRule="auto"/>
        <w:outlineLvl w:val="0"/>
        <w:rPr>
          <w:rFonts w:ascii="宋体" w:hAnsi="宋体"/>
          <w:color w:val="000000"/>
          <w:sz w:val="28"/>
        </w:rPr>
      </w:pPr>
    </w:p>
    <w:p w:rsidR="00B963CD" w14:paraId="256F9338" w14:textId="77777777">
      <w:pPr>
        <w:spacing w:line="360" w:lineRule="auto"/>
        <w:jc w:val="center"/>
        <w:rPr>
          <w:rFonts w:ascii="宋体" w:hAnsi="宋体"/>
          <w:b/>
          <w:color w:val="000000"/>
          <w:sz w:val="28"/>
        </w:rPr>
      </w:pPr>
      <w:r>
        <w:rPr>
          <w:rFonts w:ascii="宋体" w:hAnsi="宋体"/>
          <w:b/>
          <w:color w:val="000000"/>
          <w:sz w:val="28"/>
          <w:highlight w:val="white"/>
        </w:rPr>
        <w:t>目    录</w:t>
      </w:r>
    </w:p>
    <w:p w:rsidR="00B963CD" w14:paraId="446FA303" w14:textId="77777777">
      <w:pPr>
        <w:spacing w:line="360" w:lineRule="auto"/>
        <w:jc w:val="center"/>
        <w:rPr>
          <w:rFonts w:ascii="宋体" w:hAnsi="宋体"/>
          <w:b/>
          <w:color w:val="000000"/>
          <w:sz w:val="28"/>
        </w:rPr>
      </w:pPr>
    </w:p>
    <w:p w:rsidR="00B963CD" w14:paraId="09CD7180" w14:textId="77777777">
      <w:pPr>
        <w:pStyle w:val="TOC2"/>
        <w:tabs>
          <w:tab w:val="right" w:leader="dot" w:pos="8302"/>
        </w:tabs>
        <w:rPr>
          <w:rFonts w:ascii="宋体" w:hAnsi="宋体"/>
          <w:noProof/>
          <w:sz w:val="24"/>
        </w:rPr>
      </w:pPr>
      <w:r>
        <w:rPr>
          <w:rFonts w:ascii="宋体" w:hAnsi="宋体"/>
          <w:color w:val="000000"/>
          <w:sz w:val="24"/>
        </w:rPr>
        <w:fldChar w:fldCharType="begin"/>
      </w:r>
      <w:r>
        <w:rPr>
          <w:rFonts w:ascii="宋体" w:hAnsi="宋体"/>
          <w:color w:val="000000"/>
          <w:sz w:val="24"/>
          <w:highlight w:val="white"/>
        </w:rPr>
        <w:instrText xml:space="preserve"> TOC \o "1-2" \h \z </w:instrText>
      </w:r>
      <w:r>
        <w:rPr>
          <w:rFonts w:ascii="宋体" w:hAnsi="宋体"/>
          <w:color w:val="000000"/>
          <w:sz w:val="24"/>
        </w:rPr>
        <w:fldChar w:fldCharType="separate"/>
      </w:r>
      <w:hyperlink w:anchor="_Toc145818935" w:tooltip="Current Document" w:history="1">
        <w:r>
          <w:rPr>
            <w:rFonts w:ascii="宋体" w:hAnsi="宋体" w:hint="eastAsia"/>
            <w:noProof/>
            <w:sz w:val="24"/>
            <w:highlight w:val="white"/>
          </w:rPr>
          <w:t>一、基金托管协议当事人</w:t>
        </w:r>
        <w:r>
          <w:rPr>
            <w:rFonts w:ascii="宋体" w:hAnsi="宋体"/>
            <w:noProof/>
            <w:sz w:val="24"/>
            <w:highlight w:val="white"/>
          </w:rPr>
          <w:tab/>
        </w:r>
        <w:r>
          <w:rPr>
            <w:rFonts w:ascii="宋体" w:hAnsi="宋体"/>
            <w:noProof/>
            <w:sz w:val="24"/>
          </w:rPr>
          <w:fldChar w:fldCharType="begin"/>
        </w:r>
        <w:r>
          <w:rPr>
            <w:rFonts w:ascii="宋体" w:hAnsi="宋体"/>
            <w:noProof/>
            <w:sz w:val="24"/>
            <w:highlight w:val="white"/>
          </w:rPr>
          <w:instrText xml:space="preserve"> PAGEREF _Toc145818935 \h </w:instrText>
        </w:r>
        <w:r>
          <w:rPr>
            <w:rFonts w:ascii="宋体" w:hAnsi="宋体"/>
            <w:noProof/>
            <w:sz w:val="24"/>
          </w:rPr>
          <w:fldChar w:fldCharType="separate"/>
        </w:r>
        <w:r w:rsidR="003C4221">
          <w:rPr>
            <w:rFonts w:ascii="宋体" w:hAnsi="宋体"/>
            <w:noProof/>
            <w:sz w:val="24"/>
            <w:highlight w:val="white"/>
          </w:rPr>
          <w:t>4</w:t>
        </w:r>
        <w:r>
          <w:rPr>
            <w:rFonts w:ascii="宋体" w:hAnsi="宋体"/>
            <w:noProof/>
            <w:sz w:val="24"/>
          </w:rPr>
          <w:fldChar w:fldCharType="end"/>
        </w:r>
      </w:hyperlink>
    </w:p>
    <w:p w:rsidR="00B963CD" w14:paraId="2987F2F3" w14:textId="77777777">
      <w:pPr>
        <w:pStyle w:val="TOC2"/>
        <w:tabs>
          <w:tab w:val="right" w:leader="dot" w:pos="8302"/>
        </w:tabs>
        <w:rPr>
          <w:rFonts w:ascii="宋体" w:hAnsi="宋体"/>
          <w:noProof/>
          <w:sz w:val="24"/>
        </w:rPr>
      </w:pPr>
      <w:hyperlink w:anchor="_Toc145818936" w:tooltip="Current Document" w:history="1">
        <w:r w:rsidR="00497F22">
          <w:rPr>
            <w:rFonts w:ascii="宋体" w:hAnsi="宋体" w:hint="eastAsia"/>
            <w:noProof/>
            <w:sz w:val="24"/>
            <w:highlight w:val="white"/>
          </w:rPr>
          <w:t>二、基金托管协议的依据、目的和原则</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_Toc145818936 \h </w:instrText>
        </w:r>
        <w:r w:rsidR="00497F22">
          <w:rPr>
            <w:rFonts w:ascii="宋体" w:hAnsi="宋体"/>
            <w:noProof/>
            <w:sz w:val="24"/>
          </w:rPr>
          <w:fldChar w:fldCharType="separate"/>
        </w:r>
        <w:r w:rsidR="003C4221">
          <w:rPr>
            <w:rFonts w:ascii="宋体" w:hAnsi="宋体"/>
            <w:noProof/>
            <w:sz w:val="24"/>
            <w:highlight w:val="white"/>
          </w:rPr>
          <w:t>6</w:t>
        </w:r>
        <w:r w:rsidR="00497F22">
          <w:rPr>
            <w:rFonts w:ascii="宋体" w:hAnsi="宋体"/>
            <w:noProof/>
            <w:sz w:val="24"/>
          </w:rPr>
          <w:fldChar w:fldCharType="end"/>
        </w:r>
      </w:hyperlink>
    </w:p>
    <w:p w:rsidR="00B963CD" w14:paraId="5F8017A3" w14:textId="77777777">
      <w:pPr>
        <w:pStyle w:val="TOC2"/>
        <w:tabs>
          <w:tab w:val="right" w:leader="dot" w:pos="8302"/>
        </w:tabs>
        <w:rPr>
          <w:rFonts w:ascii="宋体" w:hAnsi="宋体"/>
          <w:noProof/>
          <w:sz w:val="24"/>
        </w:rPr>
      </w:pPr>
      <w:hyperlink w:anchor="_Toc145818937" w:tooltip="Current Document" w:history="1">
        <w:r w:rsidR="00497F22">
          <w:rPr>
            <w:rFonts w:ascii="宋体" w:hAnsi="宋体" w:hint="eastAsia"/>
            <w:noProof/>
            <w:sz w:val="24"/>
            <w:highlight w:val="white"/>
          </w:rPr>
          <w:t>三、基金托管人对基金管理</w:t>
        </w:r>
        <w:bookmarkStart w:id="0" w:name="_Hlt414265933"/>
        <w:bookmarkStart w:id="1" w:name="_Hlt414265932"/>
        <w:r w:rsidR="00497F22">
          <w:rPr>
            <w:rFonts w:ascii="宋体" w:hAnsi="宋体" w:hint="eastAsia"/>
            <w:noProof/>
            <w:sz w:val="24"/>
            <w:highlight w:val="white"/>
          </w:rPr>
          <w:t>人</w:t>
        </w:r>
        <w:bookmarkEnd w:id="0"/>
        <w:bookmarkEnd w:id="1"/>
        <w:r w:rsidR="00497F22">
          <w:rPr>
            <w:rFonts w:ascii="宋体" w:hAnsi="宋体" w:hint="eastAsia"/>
            <w:noProof/>
            <w:sz w:val="24"/>
            <w:highlight w:val="white"/>
          </w:rPr>
          <w:t>的业务监督和核查</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_Toc145818937 \h </w:instrText>
        </w:r>
        <w:r w:rsidR="00497F22">
          <w:rPr>
            <w:rFonts w:ascii="宋体" w:hAnsi="宋体"/>
            <w:noProof/>
            <w:sz w:val="24"/>
          </w:rPr>
          <w:fldChar w:fldCharType="separate"/>
        </w:r>
        <w:r w:rsidR="003C4221">
          <w:rPr>
            <w:rFonts w:ascii="宋体" w:hAnsi="宋体"/>
            <w:noProof/>
            <w:sz w:val="24"/>
            <w:highlight w:val="white"/>
          </w:rPr>
          <w:t>7</w:t>
        </w:r>
        <w:r w:rsidR="00497F22">
          <w:rPr>
            <w:rFonts w:ascii="宋体" w:hAnsi="宋体"/>
            <w:noProof/>
            <w:sz w:val="24"/>
          </w:rPr>
          <w:fldChar w:fldCharType="end"/>
        </w:r>
      </w:hyperlink>
    </w:p>
    <w:p w:rsidR="00B963CD" w14:paraId="5017AD5E" w14:textId="77777777">
      <w:pPr>
        <w:pStyle w:val="TOC2"/>
        <w:tabs>
          <w:tab w:val="right" w:leader="dot" w:pos="8302"/>
        </w:tabs>
        <w:rPr>
          <w:rFonts w:ascii="宋体" w:hAnsi="宋体"/>
          <w:noProof/>
          <w:sz w:val="24"/>
        </w:rPr>
      </w:pPr>
      <w:hyperlink w:anchor="_Toc145818938" w:tooltip="Current Document" w:history="1">
        <w:r w:rsidR="00497F22">
          <w:rPr>
            <w:rFonts w:ascii="宋体" w:hAnsi="宋体" w:hint="eastAsia"/>
            <w:noProof/>
            <w:sz w:val="24"/>
            <w:highlight w:val="white"/>
          </w:rPr>
          <w:t>四、基金管理人对基金托管人的业务核查</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_Toc145818938 \h </w:instrText>
        </w:r>
        <w:r w:rsidR="00497F22">
          <w:rPr>
            <w:rFonts w:ascii="宋体" w:hAnsi="宋体"/>
            <w:noProof/>
            <w:sz w:val="24"/>
          </w:rPr>
          <w:fldChar w:fldCharType="separate"/>
        </w:r>
        <w:r w:rsidR="003C4221">
          <w:rPr>
            <w:rFonts w:ascii="宋体" w:hAnsi="宋体"/>
            <w:noProof/>
            <w:sz w:val="24"/>
            <w:highlight w:val="white"/>
          </w:rPr>
          <w:t>17</w:t>
        </w:r>
        <w:r w:rsidR="00497F22">
          <w:rPr>
            <w:rFonts w:ascii="宋体" w:hAnsi="宋体"/>
            <w:noProof/>
            <w:sz w:val="24"/>
          </w:rPr>
          <w:fldChar w:fldCharType="end"/>
        </w:r>
      </w:hyperlink>
    </w:p>
    <w:p w:rsidR="00B963CD" w14:paraId="3762D13B" w14:textId="77777777">
      <w:pPr>
        <w:pStyle w:val="TOC2"/>
        <w:tabs>
          <w:tab w:val="right" w:leader="dot" w:pos="8302"/>
        </w:tabs>
        <w:rPr>
          <w:rFonts w:ascii="宋体" w:hAnsi="宋体"/>
          <w:noProof/>
          <w:sz w:val="24"/>
        </w:rPr>
      </w:pPr>
      <w:hyperlink w:anchor="_Toc145818939" w:tooltip="Current Document" w:history="1">
        <w:r w:rsidR="00497F22">
          <w:rPr>
            <w:rFonts w:ascii="宋体" w:hAnsi="宋体" w:hint="eastAsia"/>
            <w:noProof/>
            <w:sz w:val="24"/>
            <w:highlight w:val="white"/>
          </w:rPr>
          <w:t>五、基金财产的</w:t>
        </w:r>
        <w:bookmarkStart w:id="2" w:name="_Hlt155060668"/>
        <w:bookmarkStart w:id="3" w:name="_Hlt155060667"/>
        <w:r w:rsidR="00497F22">
          <w:rPr>
            <w:rFonts w:ascii="宋体" w:hAnsi="宋体" w:hint="eastAsia"/>
            <w:noProof/>
            <w:sz w:val="24"/>
            <w:highlight w:val="white"/>
          </w:rPr>
          <w:t>保</w:t>
        </w:r>
        <w:bookmarkEnd w:id="2"/>
        <w:bookmarkEnd w:id="3"/>
        <w:r w:rsidR="00497F22">
          <w:rPr>
            <w:rFonts w:ascii="宋体" w:hAnsi="宋体" w:hint="eastAsia"/>
            <w:noProof/>
            <w:sz w:val="24"/>
            <w:highlight w:val="white"/>
          </w:rPr>
          <w:t>管</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_Toc145818939 \h </w:instrText>
        </w:r>
        <w:r w:rsidR="00497F22">
          <w:rPr>
            <w:rFonts w:ascii="宋体" w:hAnsi="宋体"/>
            <w:noProof/>
            <w:sz w:val="24"/>
          </w:rPr>
          <w:fldChar w:fldCharType="separate"/>
        </w:r>
        <w:r w:rsidR="003C4221">
          <w:rPr>
            <w:rFonts w:ascii="宋体" w:hAnsi="宋体"/>
            <w:noProof/>
            <w:sz w:val="24"/>
            <w:highlight w:val="white"/>
          </w:rPr>
          <w:t>18</w:t>
        </w:r>
        <w:r w:rsidR="00497F22">
          <w:rPr>
            <w:rFonts w:ascii="宋体" w:hAnsi="宋体"/>
            <w:noProof/>
            <w:sz w:val="24"/>
          </w:rPr>
          <w:fldChar w:fldCharType="end"/>
        </w:r>
      </w:hyperlink>
    </w:p>
    <w:p w:rsidR="00B963CD" w14:paraId="6501955B" w14:textId="77777777">
      <w:pPr>
        <w:pStyle w:val="TOC2"/>
        <w:tabs>
          <w:tab w:val="right" w:leader="dot" w:pos="8302"/>
        </w:tabs>
        <w:rPr>
          <w:rFonts w:ascii="宋体" w:hAnsi="宋体"/>
          <w:noProof/>
          <w:sz w:val="24"/>
        </w:rPr>
      </w:pPr>
      <w:hyperlink w:anchor="_Toc145818940" w:tooltip="Current Document" w:history="1">
        <w:r w:rsidR="00497F22">
          <w:rPr>
            <w:rFonts w:ascii="宋体" w:hAnsi="宋体" w:hint="eastAsia"/>
            <w:noProof/>
            <w:sz w:val="24"/>
            <w:highlight w:val="white"/>
          </w:rPr>
          <w:t>六、指令的发送、确认及执行</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_Toc145818940 \h </w:instrText>
        </w:r>
        <w:r w:rsidR="00497F22">
          <w:rPr>
            <w:rFonts w:ascii="宋体" w:hAnsi="宋体"/>
            <w:noProof/>
            <w:sz w:val="24"/>
          </w:rPr>
          <w:fldChar w:fldCharType="separate"/>
        </w:r>
        <w:r w:rsidR="003C4221">
          <w:rPr>
            <w:rFonts w:ascii="宋体" w:hAnsi="宋体"/>
            <w:noProof/>
            <w:sz w:val="24"/>
            <w:highlight w:val="white"/>
          </w:rPr>
          <w:t>22</w:t>
        </w:r>
        <w:r w:rsidR="00497F22">
          <w:rPr>
            <w:rFonts w:ascii="宋体" w:hAnsi="宋体"/>
            <w:noProof/>
            <w:sz w:val="24"/>
          </w:rPr>
          <w:fldChar w:fldCharType="end"/>
        </w:r>
      </w:hyperlink>
    </w:p>
    <w:p w:rsidR="00B963CD" w14:paraId="08CBA47F" w14:textId="77777777">
      <w:pPr>
        <w:pStyle w:val="TOC2"/>
        <w:tabs>
          <w:tab w:val="right" w:leader="dot" w:pos="8302"/>
        </w:tabs>
        <w:rPr>
          <w:rFonts w:ascii="宋体" w:hAnsi="宋体"/>
          <w:noProof/>
          <w:sz w:val="24"/>
        </w:rPr>
      </w:pPr>
      <w:hyperlink w:anchor="_Toc145818941" w:tooltip="Current Document" w:history="1">
        <w:r w:rsidR="00497F22">
          <w:rPr>
            <w:rFonts w:ascii="宋体" w:hAnsi="宋体" w:hint="eastAsia"/>
            <w:noProof/>
            <w:sz w:val="24"/>
            <w:highlight w:val="white"/>
          </w:rPr>
          <w:t>七、交易及清算交收安排</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_Toc145818941 \h </w:instrText>
        </w:r>
        <w:r w:rsidR="00497F22">
          <w:rPr>
            <w:rFonts w:ascii="宋体" w:hAnsi="宋体"/>
            <w:noProof/>
            <w:sz w:val="24"/>
          </w:rPr>
          <w:fldChar w:fldCharType="separate"/>
        </w:r>
        <w:r w:rsidR="003C4221">
          <w:rPr>
            <w:rFonts w:ascii="宋体" w:hAnsi="宋体"/>
            <w:noProof/>
            <w:sz w:val="24"/>
            <w:highlight w:val="white"/>
          </w:rPr>
          <w:t>26</w:t>
        </w:r>
        <w:r w:rsidR="00497F22">
          <w:rPr>
            <w:rFonts w:ascii="宋体" w:hAnsi="宋体"/>
            <w:noProof/>
            <w:sz w:val="24"/>
          </w:rPr>
          <w:fldChar w:fldCharType="end"/>
        </w:r>
      </w:hyperlink>
    </w:p>
    <w:p w:rsidR="00B963CD" w14:paraId="077246DA" w14:textId="77777777">
      <w:pPr>
        <w:pStyle w:val="TOC2"/>
        <w:tabs>
          <w:tab w:val="right" w:leader="dot" w:pos="8302"/>
        </w:tabs>
        <w:rPr>
          <w:rFonts w:ascii="宋体" w:hAnsi="宋体"/>
          <w:noProof/>
          <w:sz w:val="24"/>
        </w:rPr>
      </w:pPr>
      <w:hyperlink w:anchor="_Toc145818942" w:tooltip="Current Document" w:history="1">
        <w:r w:rsidR="00497F22">
          <w:rPr>
            <w:rFonts w:ascii="宋体" w:hAnsi="宋体" w:hint="eastAsia"/>
            <w:noProof/>
            <w:sz w:val="24"/>
            <w:highlight w:val="white"/>
          </w:rPr>
          <w:t>八、基金资产净值计算和会计核算</w:t>
        </w:r>
        <w:bookmarkStart w:id="4" w:name="_GoBack"/>
        <w:bookmarkEnd w:id="4"/>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_Toc145818942 \h </w:instrText>
        </w:r>
        <w:r w:rsidR="00497F22">
          <w:rPr>
            <w:rFonts w:ascii="宋体" w:hAnsi="宋体"/>
            <w:noProof/>
            <w:sz w:val="24"/>
          </w:rPr>
          <w:fldChar w:fldCharType="separate"/>
        </w:r>
        <w:r w:rsidR="003C4221">
          <w:rPr>
            <w:rFonts w:ascii="宋体" w:hAnsi="宋体"/>
            <w:noProof/>
            <w:sz w:val="24"/>
            <w:highlight w:val="white"/>
          </w:rPr>
          <w:t>29</w:t>
        </w:r>
        <w:r w:rsidR="00497F22">
          <w:rPr>
            <w:rFonts w:ascii="宋体" w:hAnsi="宋体"/>
            <w:noProof/>
            <w:sz w:val="24"/>
          </w:rPr>
          <w:fldChar w:fldCharType="end"/>
        </w:r>
      </w:hyperlink>
    </w:p>
    <w:p w:rsidR="00B963CD" w14:paraId="4614BAD7" w14:textId="77777777">
      <w:pPr>
        <w:pStyle w:val="TOC2"/>
        <w:tabs>
          <w:tab w:val="right" w:leader="dot" w:pos="8302"/>
        </w:tabs>
        <w:rPr>
          <w:rFonts w:ascii="宋体" w:hAnsi="宋体"/>
          <w:noProof/>
          <w:sz w:val="24"/>
        </w:rPr>
      </w:pPr>
      <w:hyperlink w:anchor="_Toc145818943" w:tooltip="Current Document" w:history="1">
        <w:r w:rsidR="00497F22">
          <w:rPr>
            <w:rFonts w:ascii="宋体" w:hAnsi="宋体" w:hint="eastAsia"/>
            <w:noProof/>
            <w:sz w:val="24"/>
            <w:highlight w:val="white"/>
          </w:rPr>
          <w:t>九、基金收益分配</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_Toc145818943 \h </w:instrText>
        </w:r>
        <w:r w:rsidR="00497F22">
          <w:rPr>
            <w:rFonts w:ascii="宋体" w:hAnsi="宋体"/>
            <w:noProof/>
            <w:sz w:val="24"/>
          </w:rPr>
          <w:fldChar w:fldCharType="separate"/>
        </w:r>
        <w:r w:rsidR="003C4221">
          <w:rPr>
            <w:rFonts w:ascii="宋体" w:hAnsi="宋体"/>
            <w:noProof/>
            <w:sz w:val="24"/>
            <w:highlight w:val="white"/>
          </w:rPr>
          <w:t>37</w:t>
        </w:r>
        <w:r w:rsidR="00497F22">
          <w:rPr>
            <w:rFonts w:ascii="宋体" w:hAnsi="宋体"/>
            <w:noProof/>
            <w:sz w:val="24"/>
          </w:rPr>
          <w:fldChar w:fldCharType="end"/>
        </w:r>
      </w:hyperlink>
    </w:p>
    <w:p w:rsidR="00B963CD" w14:paraId="245092F0" w14:textId="77777777">
      <w:pPr>
        <w:pStyle w:val="TOC2"/>
        <w:tabs>
          <w:tab w:val="right" w:leader="dot" w:pos="8302"/>
        </w:tabs>
        <w:rPr>
          <w:rFonts w:ascii="宋体" w:hAnsi="宋体"/>
          <w:noProof/>
          <w:sz w:val="24"/>
        </w:rPr>
      </w:pPr>
      <w:hyperlink w:anchor="_Toc145818944" w:tooltip="Current Document" w:history="1">
        <w:r w:rsidR="00497F22">
          <w:rPr>
            <w:rFonts w:ascii="宋体" w:hAnsi="宋体" w:hint="eastAsia"/>
            <w:noProof/>
            <w:sz w:val="24"/>
            <w:highlight w:val="white"/>
          </w:rPr>
          <w:t>十、基金信息披露</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_Toc145818944 \h </w:instrText>
        </w:r>
        <w:r w:rsidR="00497F22">
          <w:rPr>
            <w:rFonts w:ascii="宋体" w:hAnsi="宋体"/>
            <w:noProof/>
            <w:sz w:val="24"/>
          </w:rPr>
          <w:fldChar w:fldCharType="separate"/>
        </w:r>
        <w:r w:rsidR="003C4221">
          <w:rPr>
            <w:rFonts w:ascii="宋体" w:hAnsi="宋体"/>
            <w:noProof/>
            <w:sz w:val="24"/>
            <w:highlight w:val="white"/>
          </w:rPr>
          <w:t>38</w:t>
        </w:r>
        <w:r w:rsidR="00497F22">
          <w:rPr>
            <w:rFonts w:ascii="宋体" w:hAnsi="宋体"/>
            <w:noProof/>
            <w:sz w:val="24"/>
          </w:rPr>
          <w:fldChar w:fldCharType="end"/>
        </w:r>
      </w:hyperlink>
    </w:p>
    <w:p w:rsidR="00B963CD" w14:paraId="4221C9F1" w14:textId="77777777">
      <w:pPr>
        <w:pStyle w:val="TOC2"/>
        <w:tabs>
          <w:tab w:val="right" w:leader="dot" w:pos="8302"/>
        </w:tabs>
        <w:rPr>
          <w:rFonts w:ascii="宋体" w:hAnsi="宋体"/>
          <w:noProof/>
          <w:sz w:val="24"/>
        </w:rPr>
      </w:pPr>
      <w:hyperlink w:anchor="_Toc145818945" w:tooltip="Current Document" w:history="1">
        <w:r w:rsidR="00497F22">
          <w:rPr>
            <w:rFonts w:ascii="宋体" w:hAnsi="宋体" w:hint="eastAsia"/>
            <w:noProof/>
            <w:sz w:val="24"/>
            <w:highlight w:val="white"/>
          </w:rPr>
          <w:t>十一、基金费用</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_Toc145818945 \h </w:instrText>
        </w:r>
        <w:r w:rsidR="00497F22">
          <w:rPr>
            <w:rFonts w:ascii="宋体" w:hAnsi="宋体"/>
            <w:noProof/>
            <w:sz w:val="24"/>
          </w:rPr>
          <w:fldChar w:fldCharType="separate"/>
        </w:r>
        <w:r w:rsidR="003C4221">
          <w:rPr>
            <w:rFonts w:ascii="宋体" w:hAnsi="宋体"/>
            <w:noProof/>
            <w:sz w:val="24"/>
            <w:highlight w:val="white"/>
          </w:rPr>
          <w:t>40</w:t>
        </w:r>
        <w:r w:rsidR="00497F22">
          <w:rPr>
            <w:rFonts w:ascii="宋体" w:hAnsi="宋体"/>
            <w:noProof/>
            <w:sz w:val="24"/>
          </w:rPr>
          <w:fldChar w:fldCharType="end"/>
        </w:r>
      </w:hyperlink>
    </w:p>
    <w:p w:rsidR="00B963CD" w14:paraId="254D0AB4" w14:textId="77777777">
      <w:pPr>
        <w:pStyle w:val="TOC2"/>
        <w:tabs>
          <w:tab w:val="right" w:leader="dot" w:pos="8302"/>
        </w:tabs>
        <w:rPr>
          <w:rFonts w:ascii="宋体" w:hAnsi="宋体"/>
          <w:noProof/>
          <w:sz w:val="24"/>
        </w:rPr>
      </w:pPr>
      <w:hyperlink w:anchor="_Toc145818946" w:tooltip="Current Document" w:history="1">
        <w:r w:rsidR="00497F22">
          <w:rPr>
            <w:rFonts w:ascii="宋体" w:hAnsi="宋体" w:hint="eastAsia"/>
            <w:noProof/>
            <w:sz w:val="24"/>
            <w:highlight w:val="white"/>
          </w:rPr>
          <w:t>十二、基金份额持有人名册的登记与保管</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_Toc145818946 \h </w:instrText>
        </w:r>
        <w:r w:rsidR="00497F22">
          <w:rPr>
            <w:rFonts w:ascii="宋体" w:hAnsi="宋体"/>
            <w:noProof/>
            <w:sz w:val="24"/>
          </w:rPr>
          <w:fldChar w:fldCharType="separate"/>
        </w:r>
        <w:r w:rsidR="003C4221">
          <w:rPr>
            <w:rFonts w:ascii="宋体" w:hAnsi="宋体"/>
            <w:noProof/>
            <w:sz w:val="24"/>
            <w:highlight w:val="white"/>
          </w:rPr>
          <w:t>43</w:t>
        </w:r>
        <w:r w:rsidR="00497F22">
          <w:rPr>
            <w:rFonts w:ascii="宋体" w:hAnsi="宋体"/>
            <w:noProof/>
            <w:sz w:val="24"/>
          </w:rPr>
          <w:fldChar w:fldCharType="end"/>
        </w:r>
      </w:hyperlink>
    </w:p>
    <w:p w:rsidR="00B963CD" w14:paraId="17A0614D" w14:textId="77777777">
      <w:pPr>
        <w:pStyle w:val="TOC2"/>
        <w:tabs>
          <w:tab w:val="right" w:leader="dot" w:pos="8302"/>
        </w:tabs>
        <w:rPr>
          <w:rFonts w:ascii="宋体" w:hAnsi="宋体"/>
          <w:noProof/>
          <w:sz w:val="24"/>
        </w:rPr>
      </w:pPr>
      <w:hyperlink w:anchor="_Toc145818947" w:tooltip="Current Document" w:history="1">
        <w:r w:rsidR="00497F22">
          <w:rPr>
            <w:rFonts w:ascii="宋体" w:hAnsi="宋体" w:hint="eastAsia"/>
            <w:noProof/>
            <w:sz w:val="24"/>
            <w:highlight w:val="white"/>
          </w:rPr>
          <w:t>十三、基金有关文件档案的保存</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_Toc145818947 \h </w:instrText>
        </w:r>
        <w:r w:rsidR="00497F22">
          <w:rPr>
            <w:rFonts w:ascii="宋体" w:hAnsi="宋体"/>
            <w:noProof/>
            <w:sz w:val="24"/>
          </w:rPr>
          <w:fldChar w:fldCharType="separate"/>
        </w:r>
        <w:r w:rsidR="003C4221">
          <w:rPr>
            <w:rFonts w:ascii="宋体" w:hAnsi="宋体"/>
            <w:noProof/>
            <w:sz w:val="24"/>
            <w:highlight w:val="white"/>
          </w:rPr>
          <w:t>44</w:t>
        </w:r>
        <w:r w:rsidR="00497F22">
          <w:rPr>
            <w:rFonts w:ascii="宋体" w:hAnsi="宋体"/>
            <w:noProof/>
            <w:sz w:val="24"/>
          </w:rPr>
          <w:fldChar w:fldCharType="end"/>
        </w:r>
      </w:hyperlink>
    </w:p>
    <w:p w:rsidR="00B963CD" w14:paraId="7EC18C81" w14:textId="77777777">
      <w:pPr>
        <w:pStyle w:val="TOC2"/>
        <w:tabs>
          <w:tab w:val="right" w:leader="dot" w:pos="8302"/>
        </w:tabs>
        <w:rPr>
          <w:rFonts w:ascii="宋体" w:hAnsi="宋体"/>
          <w:noProof/>
          <w:sz w:val="24"/>
        </w:rPr>
      </w:pPr>
      <w:hyperlink w:anchor="_Toc145818948" w:tooltip="Current Document" w:history="1">
        <w:r w:rsidR="00497F22">
          <w:rPr>
            <w:rFonts w:ascii="宋体" w:hAnsi="宋体" w:hint="eastAsia"/>
            <w:noProof/>
            <w:sz w:val="24"/>
            <w:highlight w:val="white"/>
          </w:rPr>
          <w:t>十四、基金管理人和基金托管人的更换</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_Toc145818948 \h </w:instrText>
        </w:r>
        <w:r w:rsidR="00497F22">
          <w:rPr>
            <w:rFonts w:ascii="宋体" w:hAnsi="宋体"/>
            <w:noProof/>
            <w:sz w:val="24"/>
          </w:rPr>
          <w:fldChar w:fldCharType="separate"/>
        </w:r>
        <w:r w:rsidR="003C4221">
          <w:rPr>
            <w:rFonts w:ascii="宋体" w:hAnsi="宋体"/>
            <w:noProof/>
            <w:sz w:val="24"/>
            <w:highlight w:val="white"/>
          </w:rPr>
          <w:t>45</w:t>
        </w:r>
        <w:r w:rsidR="00497F22">
          <w:rPr>
            <w:rFonts w:ascii="宋体" w:hAnsi="宋体"/>
            <w:noProof/>
            <w:sz w:val="24"/>
          </w:rPr>
          <w:fldChar w:fldCharType="end"/>
        </w:r>
      </w:hyperlink>
    </w:p>
    <w:p w:rsidR="00B963CD" w14:paraId="62382048" w14:textId="77777777">
      <w:pPr>
        <w:pStyle w:val="TOC2"/>
        <w:tabs>
          <w:tab w:val="right" w:leader="dot" w:pos="8302"/>
        </w:tabs>
        <w:rPr>
          <w:rFonts w:ascii="宋体" w:hAnsi="宋体"/>
          <w:noProof/>
          <w:sz w:val="24"/>
        </w:rPr>
      </w:pPr>
      <w:hyperlink w:anchor="_Toc145818949" w:tooltip="Current Document" w:history="1">
        <w:r w:rsidR="00497F22">
          <w:rPr>
            <w:rFonts w:ascii="宋体" w:hAnsi="宋体" w:hint="eastAsia"/>
            <w:noProof/>
            <w:sz w:val="24"/>
            <w:highlight w:val="white"/>
          </w:rPr>
          <w:t>十五、禁止</w:t>
        </w:r>
        <w:bookmarkStart w:id="5" w:name="_Hlt413676603"/>
        <w:bookmarkStart w:id="6" w:name="_Hlt413676604"/>
        <w:r w:rsidR="00497F22">
          <w:rPr>
            <w:rFonts w:ascii="宋体" w:hAnsi="宋体" w:hint="eastAsia"/>
            <w:noProof/>
            <w:sz w:val="24"/>
            <w:highlight w:val="white"/>
          </w:rPr>
          <w:t>行</w:t>
        </w:r>
        <w:bookmarkEnd w:id="5"/>
        <w:bookmarkEnd w:id="6"/>
        <w:r w:rsidR="00497F22">
          <w:rPr>
            <w:rFonts w:ascii="宋体" w:hAnsi="宋体" w:hint="eastAsia"/>
            <w:noProof/>
            <w:sz w:val="24"/>
            <w:highlight w:val="white"/>
          </w:rPr>
          <w:t>为</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_Toc145818949 \h </w:instrText>
        </w:r>
        <w:r w:rsidR="00497F22">
          <w:rPr>
            <w:rFonts w:ascii="宋体" w:hAnsi="宋体"/>
            <w:noProof/>
            <w:sz w:val="24"/>
          </w:rPr>
          <w:fldChar w:fldCharType="separate"/>
        </w:r>
        <w:r w:rsidR="003C4221">
          <w:rPr>
            <w:rFonts w:ascii="宋体" w:hAnsi="宋体"/>
            <w:noProof/>
            <w:sz w:val="24"/>
            <w:highlight w:val="white"/>
          </w:rPr>
          <w:t>48</w:t>
        </w:r>
        <w:r w:rsidR="00497F22">
          <w:rPr>
            <w:rFonts w:ascii="宋体" w:hAnsi="宋体"/>
            <w:noProof/>
            <w:sz w:val="24"/>
          </w:rPr>
          <w:fldChar w:fldCharType="end"/>
        </w:r>
      </w:hyperlink>
    </w:p>
    <w:p w:rsidR="00B963CD" w14:paraId="1E3B47E5" w14:textId="77777777">
      <w:pPr>
        <w:pStyle w:val="TOC2"/>
        <w:tabs>
          <w:tab w:val="right" w:leader="dot" w:pos="8302"/>
        </w:tabs>
        <w:rPr>
          <w:rFonts w:ascii="宋体" w:hAnsi="宋体"/>
          <w:noProof/>
          <w:sz w:val="24"/>
        </w:rPr>
      </w:pPr>
      <w:hyperlink w:anchor="_Toc145818950" w:tooltip="Current Document" w:history="1">
        <w:r w:rsidR="00497F22">
          <w:rPr>
            <w:rFonts w:ascii="宋体" w:hAnsi="宋体" w:hint="eastAsia"/>
            <w:noProof/>
            <w:sz w:val="24"/>
            <w:highlight w:val="white"/>
          </w:rPr>
          <w:t>十六、托管协议的变更、终止与基金财产的清算</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_Toc145818950 \h </w:instrText>
        </w:r>
        <w:r w:rsidR="00497F22">
          <w:rPr>
            <w:rFonts w:ascii="宋体" w:hAnsi="宋体"/>
            <w:noProof/>
            <w:sz w:val="24"/>
          </w:rPr>
          <w:fldChar w:fldCharType="separate"/>
        </w:r>
        <w:r w:rsidR="003C4221">
          <w:rPr>
            <w:rFonts w:ascii="宋体" w:hAnsi="宋体"/>
            <w:noProof/>
            <w:sz w:val="24"/>
            <w:highlight w:val="white"/>
          </w:rPr>
          <w:t>50</w:t>
        </w:r>
        <w:r w:rsidR="00497F22">
          <w:rPr>
            <w:rFonts w:ascii="宋体" w:hAnsi="宋体"/>
            <w:noProof/>
            <w:sz w:val="24"/>
          </w:rPr>
          <w:fldChar w:fldCharType="end"/>
        </w:r>
      </w:hyperlink>
    </w:p>
    <w:p w:rsidR="00B963CD" w14:paraId="6341D895" w14:textId="77777777">
      <w:pPr>
        <w:pStyle w:val="TOC2"/>
        <w:tabs>
          <w:tab w:val="right" w:leader="dot" w:pos="8302"/>
        </w:tabs>
        <w:rPr>
          <w:rFonts w:ascii="宋体" w:hAnsi="宋体"/>
          <w:noProof/>
          <w:sz w:val="24"/>
        </w:rPr>
      </w:pPr>
      <w:hyperlink w:anchor="_Toc145818951" w:tooltip="Current Document" w:history="1">
        <w:r w:rsidR="00497F22">
          <w:rPr>
            <w:rFonts w:ascii="宋体" w:hAnsi="宋体" w:hint="eastAsia"/>
            <w:noProof/>
            <w:sz w:val="24"/>
            <w:highlight w:val="white"/>
          </w:rPr>
          <w:t>十七、违约责任</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_Toc145818951 \h </w:instrText>
        </w:r>
        <w:r w:rsidR="00497F22">
          <w:rPr>
            <w:rFonts w:ascii="宋体" w:hAnsi="宋体"/>
            <w:noProof/>
            <w:sz w:val="24"/>
          </w:rPr>
          <w:fldChar w:fldCharType="separate"/>
        </w:r>
        <w:r w:rsidR="003C4221">
          <w:rPr>
            <w:rFonts w:ascii="宋体" w:hAnsi="宋体"/>
            <w:noProof/>
            <w:sz w:val="24"/>
            <w:highlight w:val="white"/>
          </w:rPr>
          <w:t>52</w:t>
        </w:r>
        <w:r w:rsidR="00497F22">
          <w:rPr>
            <w:rFonts w:ascii="宋体" w:hAnsi="宋体"/>
            <w:noProof/>
            <w:sz w:val="24"/>
          </w:rPr>
          <w:fldChar w:fldCharType="end"/>
        </w:r>
      </w:hyperlink>
    </w:p>
    <w:p w:rsidR="00B963CD" w14:paraId="701EB567" w14:textId="77777777">
      <w:pPr>
        <w:pStyle w:val="TOC2"/>
        <w:tabs>
          <w:tab w:val="right" w:leader="dot" w:pos="8302"/>
        </w:tabs>
        <w:rPr>
          <w:rFonts w:ascii="宋体" w:hAnsi="宋体"/>
          <w:noProof/>
          <w:sz w:val="24"/>
        </w:rPr>
      </w:pPr>
      <w:hyperlink w:anchor="_Toc145818952" w:tooltip="Current Document" w:history="1">
        <w:r w:rsidR="00497F22">
          <w:rPr>
            <w:rFonts w:ascii="宋体" w:hAnsi="宋体" w:hint="eastAsia"/>
            <w:noProof/>
            <w:sz w:val="24"/>
            <w:highlight w:val="white"/>
          </w:rPr>
          <w:t>十八、争议解决方式</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_Toc145818952 \h </w:instrText>
        </w:r>
        <w:r w:rsidR="00497F22">
          <w:rPr>
            <w:rFonts w:ascii="宋体" w:hAnsi="宋体"/>
            <w:noProof/>
            <w:sz w:val="24"/>
          </w:rPr>
          <w:fldChar w:fldCharType="separate"/>
        </w:r>
        <w:r w:rsidR="003C4221">
          <w:rPr>
            <w:rFonts w:ascii="宋体" w:hAnsi="宋体"/>
            <w:noProof/>
            <w:sz w:val="24"/>
            <w:highlight w:val="white"/>
          </w:rPr>
          <w:t>53</w:t>
        </w:r>
        <w:r w:rsidR="00497F22">
          <w:rPr>
            <w:rFonts w:ascii="宋体" w:hAnsi="宋体"/>
            <w:noProof/>
            <w:sz w:val="24"/>
          </w:rPr>
          <w:fldChar w:fldCharType="end"/>
        </w:r>
      </w:hyperlink>
    </w:p>
    <w:p w:rsidR="00B963CD" w14:paraId="6522121F" w14:textId="77777777">
      <w:pPr>
        <w:pStyle w:val="TOC2"/>
        <w:tabs>
          <w:tab w:val="right" w:leader="dot" w:pos="8302"/>
        </w:tabs>
        <w:rPr>
          <w:rFonts w:ascii="宋体" w:hAnsi="宋体"/>
          <w:noProof/>
          <w:sz w:val="24"/>
        </w:rPr>
      </w:pPr>
      <w:hyperlink w:anchor="_Toc145818953" w:tooltip="Current Document" w:history="1">
        <w:r w:rsidR="00497F22">
          <w:rPr>
            <w:rFonts w:ascii="宋体" w:hAnsi="宋体" w:hint="eastAsia"/>
            <w:noProof/>
            <w:sz w:val="24"/>
            <w:highlight w:val="white"/>
          </w:rPr>
          <w:t>十九、托管协议的效力</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_Toc145818953 \h </w:instrText>
        </w:r>
        <w:r w:rsidR="00497F22">
          <w:rPr>
            <w:rFonts w:ascii="宋体" w:hAnsi="宋体"/>
            <w:noProof/>
            <w:sz w:val="24"/>
          </w:rPr>
          <w:fldChar w:fldCharType="separate"/>
        </w:r>
        <w:r w:rsidR="003C4221">
          <w:rPr>
            <w:rFonts w:ascii="宋体" w:hAnsi="宋体"/>
            <w:noProof/>
            <w:sz w:val="24"/>
            <w:highlight w:val="white"/>
          </w:rPr>
          <w:t>54</w:t>
        </w:r>
        <w:r w:rsidR="00497F22">
          <w:rPr>
            <w:rFonts w:ascii="宋体" w:hAnsi="宋体"/>
            <w:noProof/>
            <w:sz w:val="24"/>
          </w:rPr>
          <w:fldChar w:fldCharType="end"/>
        </w:r>
      </w:hyperlink>
    </w:p>
    <w:p w:rsidR="00B963CD" w14:paraId="671E2A11" w14:textId="77777777">
      <w:pPr>
        <w:pStyle w:val="TOC2"/>
        <w:tabs>
          <w:tab w:val="right" w:leader="dot" w:pos="8302"/>
        </w:tabs>
        <w:rPr>
          <w:rFonts w:ascii="宋体" w:hAnsi="宋体"/>
          <w:noProof/>
          <w:sz w:val="24"/>
        </w:rPr>
      </w:pPr>
      <w:hyperlink w:anchor="_Toc145818954" w:tooltip="Current Document" w:history="1">
        <w:r w:rsidR="00497F22">
          <w:rPr>
            <w:rFonts w:ascii="宋体" w:hAnsi="宋体" w:hint="eastAsia"/>
            <w:noProof/>
            <w:sz w:val="24"/>
            <w:highlight w:val="white"/>
          </w:rPr>
          <w:t>二十、其他事项</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_Toc145818954 \h </w:instrText>
        </w:r>
        <w:r w:rsidR="00497F22">
          <w:rPr>
            <w:rFonts w:ascii="宋体" w:hAnsi="宋体"/>
            <w:noProof/>
            <w:sz w:val="24"/>
          </w:rPr>
          <w:fldChar w:fldCharType="separate"/>
        </w:r>
        <w:r w:rsidR="003C4221">
          <w:rPr>
            <w:rFonts w:ascii="宋体" w:hAnsi="宋体"/>
            <w:noProof/>
            <w:sz w:val="24"/>
            <w:highlight w:val="white"/>
          </w:rPr>
          <w:t>54</w:t>
        </w:r>
        <w:r w:rsidR="00497F22">
          <w:rPr>
            <w:rFonts w:ascii="宋体" w:hAnsi="宋体"/>
            <w:noProof/>
            <w:sz w:val="24"/>
          </w:rPr>
          <w:fldChar w:fldCharType="end"/>
        </w:r>
      </w:hyperlink>
    </w:p>
    <w:p w:rsidR="00B963CD" w14:paraId="0B40C338" w14:textId="77777777">
      <w:pPr>
        <w:pStyle w:val="TOC2"/>
        <w:tabs>
          <w:tab w:val="right" w:leader="dot" w:pos="8302"/>
        </w:tabs>
        <w:rPr>
          <w:rFonts w:ascii="宋体" w:hAnsi="宋体"/>
          <w:noProof/>
          <w:sz w:val="24"/>
        </w:rPr>
      </w:pPr>
      <w:hyperlink w:anchor="_Toc145818955" w:tooltip="Current Document" w:history="1">
        <w:r w:rsidR="00497F22">
          <w:rPr>
            <w:rFonts w:ascii="宋体" w:hAnsi="宋体" w:hint="eastAsia"/>
            <w:noProof/>
            <w:sz w:val="24"/>
            <w:highlight w:val="white"/>
          </w:rPr>
          <w:t>二十一、托管协议的签订</w:t>
        </w:r>
        <w:r w:rsidR="00497F22">
          <w:rPr>
            <w:rFonts w:ascii="宋体" w:hAnsi="宋体"/>
            <w:noProof/>
            <w:sz w:val="24"/>
            <w:highlight w:val="white"/>
          </w:rPr>
          <w:tab/>
        </w:r>
        <w:r w:rsidR="00497F22">
          <w:rPr>
            <w:rFonts w:ascii="宋体" w:hAnsi="宋体"/>
            <w:noProof/>
            <w:sz w:val="24"/>
          </w:rPr>
          <w:fldChar w:fldCharType="begin"/>
        </w:r>
        <w:r w:rsidR="00497F22">
          <w:rPr>
            <w:rFonts w:ascii="宋体" w:hAnsi="宋体"/>
            <w:noProof/>
            <w:sz w:val="24"/>
            <w:highlight w:val="white"/>
          </w:rPr>
          <w:instrText xml:space="preserve"> PAGEREF _Toc145818955 \h </w:instrText>
        </w:r>
        <w:r w:rsidR="00497F22">
          <w:rPr>
            <w:rFonts w:ascii="宋体" w:hAnsi="宋体"/>
            <w:noProof/>
            <w:sz w:val="24"/>
          </w:rPr>
          <w:fldChar w:fldCharType="separate"/>
        </w:r>
        <w:r w:rsidR="003C4221">
          <w:rPr>
            <w:rFonts w:ascii="宋体" w:hAnsi="宋体"/>
            <w:noProof/>
            <w:sz w:val="24"/>
            <w:highlight w:val="white"/>
          </w:rPr>
          <w:t>54</w:t>
        </w:r>
        <w:r w:rsidR="00497F22">
          <w:rPr>
            <w:rFonts w:ascii="宋体" w:hAnsi="宋体"/>
            <w:noProof/>
            <w:sz w:val="24"/>
          </w:rPr>
          <w:fldChar w:fldCharType="end"/>
        </w:r>
      </w:hyperlink>
    </w:p>
    <w:p w:rsidR="00B963CD" w14:paraId="4E8DE42E" w14:textId="77777777">
      <w:pPr>
        <w:spacing w:line="360" w:lineRule="auto"/>
        <w:rPr>
          <w:rFonts w:ascii="宋体" w:hAnsi="宋体"/>
          <w:color w:val="000000"/>
          <w:sz w:val="28"/>
        </w:rPr>
      </w:pPr>
      <w:r>
        <w:rPr>
          <w:rFonts w:ascii="宋体" w:hAnsi="宋体"/>
          <w:color w:val="000000"/>
          <w:sz w:val="24"/>
        </w:rPr>
        <w:fldChar w:fldCharType="end"/>
      </w:r>
    </w:p>
    <w:p w:rsidR="00B963CD" w14:paraId="34779254" w14:textId="77777777">
      <w:pPr>
        <w:spacing w:line="360" w:lineRule="auto"/>
        <w:rPr>
          <w:rFonts w:ascii="宋体" w:hAnsi="宋体"/>
          <w:color w:val="000000"/>
          <w:sz w:val="28"/>
        </w:rPr>
      </w:pPr>
      <w:r>
        <w:rPr>
          <w:rFonts w:ascii="宋体" w:hAnsi="宋体"/>
          <w:color w:val="000000"/>
          <w:sz w:val="28"/>
          <w:highlight w:val="white"/>
        </w:rPr>
        <w:br w:type="page"/>
      </w:r>
    </w:p>
    <w:p w:rsidR="00B963CD" w14:paraId="6A355D48" w14:textId="77777777">
      <w:pPr>
        <w:widowControl/>
        <w:snapToGrid w:val="0"/>
        <w:spacing w:line="360" w:lineRule="auto"/>
        <w:ind w:firstLine="560"/>
        <w:rPr>
          <w:rFonts w:ascii="宋体" w:hAnsi="宋体"/>
          <w:color w:val="000000"/>
          <w:sz w:val="28"/>
          <w:szCs w:val="28"/>
        </w:rPr>
      </w:pPr>
      <w:r>
        <w:rPr>
          <w:rFonts w:ascii="宋体" w:hAnsi="宋体"/>
          <w:color w:val="000000"/>
          <w:sz w:val="28"/>
          <w:szCs w:val="28"/>
          <w:highlight w:val="white"/>
        </w:rPr>
        <w:t>鉴于</w:t>
      </w:r>
      <w:r>
        <w:rPr>
          <w:rFonts w:ascii="宋体" w:hAnsi="宋体" w:hint="eastAsia"/>
          <w:color w:val="000000"/>
          <w:sz w:val="28"/>
          <w:szCs w:val="28"/>
          <w:highlight w:val="white"/>
        </w:rPr>
        <w:t>易方达基金管理有限公司</w:t>
      </w:r>
      <w:r>
        <w:rPr>
          <w:rFonts w:ascii="宋体" w:hAnsi="宋体"/>
          <w:color w:val="000000"/>
          <w:sz w:val="28"/>
          <w:szCs w:val="28"/>
          <w:highlight w:val="white"/>
        </w:rPr>
        <w:t>系一家依照中国法律合法成立并有效存续的有限责任公司，按照相关法律法规的规定具备担任基金</w:t>
      </w:r>
      <w:r>
        <w:rPr>
          <w:rFonts w:ascii="宋体" w:hAnsi="宋体" w:hint="eastAsia"/>
          <w:color w:val="000000"/>
          <w:sz w:val="28"/>
          <w:szCs w:val="28"/>
          <w:highlight w:val="white"/>
        </w:rPr>
        <w:t>管理</w:t>
      </w:r>
      <w:r>
        <w:rPr>
          <w:rFonts w:ascii="宋体" w:hAnsi="宋体"/>
          <w:color w:val="000000"/>
          <w:sz w:val="28"/>
          <w:szCs w:val="28"/>
          <w:highlight w:val="white"/>
        </w:rPr>
        <w:t>人的资格和能力</w:t>
      </w:r>
      <w:r>
        <w:rPr>
          <w:rFonts w:ascii="宋体" w:hAnsi="宋体" w:hint="eastAsia"/>
          <w:color w:val="000000"/>
          <w:sz w:val="28"/>
          <w:szCs w:val="28"/>
          <w:highlight w:val="white"/>
        </w:rPr>
        <w:t>,</w:t>
      </w:r>
      <w:r>
        <w:rPr>
          <w:rFonts w:ascii="宋体" w:hAnsi="宋体"/>
          <w:color w:val="000000"/>
          <w:sz w:val="28"/>
          <w:szCs w:val="28"/>
          <w:highlight w:val="white"/>
        </w:rPr>
        <w:t>拟募集发行</w:t>
      </w:r>
      <w:r>
        <w:rPr>
          <w:rFonts w:ascii="宋体" w:hAnsi="宋体"/>
          <w:color w:val="000000"/>
          <w:sz w:val="28"/>
          <w:szCs w:val="28"/>
        </w:rPr>
        <w:t>易方达中证港股通综合指数量化增强型证券投资基金</w:t>
      </w:r>
      <w:r>
        <w:rPr>
          <w:rFonts w:ascii="宋体" w:hAnsi="宋体"/>
          <w:color w:val="000000"/>
          <w:sz w:val="28"/>
          <w:szCs w:val="28"/>
          <w:highlight w:val="white"/>
        </w:rPr>
        <w:t>；</w:t>
      </w:r>
    </w:p>
    <w:p w:rsidR="00B963CD" w14:paraId="1C4878E9" w14:textId="77777777">
      <w:pPr>
        <w:widowControl/>
        <w:snapToGrid w:val="0"/>
        <w:spacing w:line="360" w:lineRule="auto"/>
        <w:ind w:firstLine="560"/>
        <w:rPr>
          <w:rFonts w:ascii="宋体" w:hAnsi="宋体"/>
          <w:color w:val="000000"/>
          <w:sz w:val="28"/>
          <w:szCs w:val="28"/>
        </w:rPr>
      </w:pPr>
      <w:r>
        <w:rPr>
          <w:rFonts w:ascii="宋体" w:hAnsi="宋体"/>
          <w:color w:val="000000"/>
          <w:sz w:val="28"/>
          <w:szCs w:val="28"/>
          <w:highlight w:val="white"/>
        </w:rPr>
        <w:t>鉴于中国农业银行</w:t>
      </w:r>
      <w:r>
        <w:rPr>
          <w:rFonts w:ascii="宋体" w:hAnsi="宋体" w:hint="eastAsia"/>
          <w:color w:val="000000"/>
          <w:sz w:val="28"/>
          <w:szCs w:val="28"/>
          <w:highlight w:val="white"/>
        </w:rPr>
        <w:t>股份有限公司</w:t>
      </w:r>
      <w:r>
        <w:rPr>
          <w:rFonts w:ascii="宋体" w:hAnsi="宋体"/>
          <w:color w:val="000000"/>
          <w:sz w:val="28"/>
          <w:szCs w:val="28"/>
          <w:highlight w:val="white"/>
        </w:rPr>
        <w:t>系一家依照中国法律合法成立并有效存续的银行，按照相关法律法规的规定具备担任基金托管人的资格和能力；</w:t>
      </w:r>
    </w:p>
    <w:p w:rsidR="00B963CD" w14:paraId="23534FBF" w14:textId="77777777">
      <w:pPr>
        <w:widowControl/>
        <w:snapToGrid w:val="0"/>
        <w:spacing w:line="360" w:lineRule="auto"/>
        <w:ind w:firstLine="560"/>
        <w:rPr>
          <w:rFonts w:ascii="宋体" w:hAnsi="宋体"/>
          <w:color w:val="000000"/>
          <w:sz w:val="28"/>
          <w:szCs w:val="28"/>
        </w:rPr>
      </w:pPr>
      <w:r>
        <w:rPr>
          <w:rFonts w:ascii="宋体" w:hAnsi="宋体"/>
          <w:color w:val="000000"/>
          <w:sz w:val="28"/>
          <w:szCs w:val="28"/>
          <w:highlight w:val="white"/>
        </w:rPr>
        <w:t>鉴于</w:t>
      </w:r>
      <w:r>
        <w:rPr>
          <w:rFonts w:ascii="宋体" w:hAnsi="宋体" w:hint="eastAsia"/>
          <w:color w:val="000000"/>
          <w:sz w:val="28"/>
          <w:szCs w:val="28"/>
          <w:highlight w:val="white"/>
        </w:rPr>
        <w:t>易方达基金管理有限公司</w:t>
      </w:r>
      <w:r>
        <w:rPr>
          <w:rFonts w:ascii="宋体" w:hAnsi="宋体"/>
          <w:color w:val="000000"/>
          <w:sz w:val="28"/>
          <w:szCs w:val="28"/>
          <w:highlight w:val="white"/>
        </w:rPr>
        <w:t>拟担任</w:t>
      </w:r>
      <w:r>
        <w:rPr>
          <w:rFonts w:ascii="宋体" w:hAnsi="宋体"/>
          <w:color w:val="000000"/>
          <w:sz w:val="28"/>
          <w:szCs w:val="28"/>
        </w:rPr>
        <w:t>易方达中证港股通综合指数量化增强型证券投资基金</w:t>
      </w:r>
      <w:r>
        <w:rPr>
          <w:rFonts w:ascii="宋体" w:hAnsi="宋体"/>
          <w:color w:val="000000"/>
          <w:sz w:val="28"/>
          <w:szCs w:val="28"/>
          <w:highlight w:val="white"/>
        </w:rPr>
        <w:t>的基金管理人，中国农业银行</w:t>
      </w:r>
      <w:r>
        <w:rPr>
          <w:rFonts w:ascii="宋体" w:hAnsi="宋体" w:hint="eastAsia"/>
          <w:color w:val="000000"/>
          <w:sz w:val="28"/>
          <w:szCs w:val="28"/>
          <w:highlight w:val="white"/>
        </w:rPr>
        <w:t>股份有限公司</w:t>
      </w:r>
      <w:r>
        <w:rPr>
          <w:rFonts w:ascii="宋体" w:hAnsi="宋体"/>
          <w:color w:val="000000"/>
          <w:sz w:val="28"/>
          <w:szCs w:val="28"/>
          <w:highlight w:val="white"/>
        </w:rPr>
        <w:t>拟担任</w:t>
      </w:r>
      <w:r>
        <w:rPr>
          <w:rFonts w:ascii="宋体" w:hAnsi="宋体"/>
          <w:color w:val="000000"/>
          <w:sz w:val="28"/>
          <w:szCs w:val="28"/>
        </w:rPr>
        <w:t>易方达中证港股通综合指数量化增强型证券投资基金</w:t>
      </w:r>
      <w:r>
        <w:rPr>
          <w:rFonts w:ascii="宋体" w:hAnsi="宋体"/>
          <w:color w:val="000000"/>
          <w:sz w:val="28"/>
          <w:szCs w:val="28"/>
          <w:highlight w:val="white"/>
        </w:rPr>
        <w:t>的基金托管人；</w:t>
      </w:r>
    </w:p>
    <w:p w:rsidR="00B963CD" w14:paraId="4E2728B4" w14:textId="77777777">
      <w:pPr>
        <w:widowControl/>
        <w:snapToGrid w:val="0"/>
        <w:spacing w:line="360" w:lineRule="auto"/>
        <w:ind w:firstLine="560"/>
        <w:rPr>
          <w:rFonts w:ascii="宋体" w:hAnsi="宋体"/>
          <w:color w:val="000000"/>
          <w:sz w:val="28"/>
          <w:szCs w:val="28"/>
        </w:rPr>
      </w:pPr>
      <w:r>
        <w:rPr>
          <w:rFonts w:ascii="宋体" w:hAnsi="宋体"/>
          <w:color w:val="000000"/>
          <w:sz w:val="28"/>
          <w:szCs w:val="28"/>
          <w:highlight w:val="white"/>
        </w:rPr>
        <w:t>为明确</w:t>
      </w:r>
      <w:r>
        <w:rPr>
          <w:rFonts w:ascii="宋体" w:hAnsi="宋体"/>
          <w:color w:val="000000"/>
          <w:sz w:val="28"/>
          <w:szCs w:val="28"/>
        </w:rPr>
        <w:t>易方达中证港股通综合指数量化增强型证券投资基金</w:t>
      </w:r>
      <w:r>
        <w:rPr>
          <w:rFonts w:ascii="宋体" w:hAnsi="宋体"/>
          <w:color w:val="000000"/>
          <w:sz w:val="28"/>
          <w:szCs w:val="28"/>
          <w:highlight w:val="white"/>
        </w:rPr>
        <w:t>的基金管理人和基金托管人之间的权利义务关系，特制订本托管协议；</w:t>
      </w:r>
    </w:p>
    <w:p w:rsidR="00B963CD" w14:paraId="4F5164D2" w14:textId="77777777">
      <w:pPr>
        <w:widowControl/>
        <w:snapToGrid w:val="0"/>
        <w:spacing w:line="360" w:lineRule="auto"/>
        <w:ind w:firstLine="560"/>
        <w:rPr>
          <w:rFonts w:ascii="宋体" w:hAnsi="宋体"/>
          <w:color w:val="000000"/>
          <w:sz w:val="28"/>
          <w:lang w:val="en-GB"/>
        </w:rPr>
      </w:pPr>
      <w:r>
        <w:rPr>
          <w:rFonts w:ascii="宋体" w:hAnsi="宋体"/>
          <w:color w:val="000000"/>
          <w:sz w:val="28"/>
          <w:szCs w:val="28"/>
          <w:highlight w:val="white"/>
          <w:lang w:val="en-GB"/>
        </w:rPr>
        <w:t>除非另有约定，</w:t>
      </w:r>
      <w:r>
        <w:rPr>
          <w:rFonts w:ascii="宋体" w:hAnsi="宋体"/>
          <w:color w:val="000000"/>
          <w:sz w:val="28"/>
          <w:szCs w:val="28"/>
          <w:highlight w:val="white"/>
        </w:rPr>
        <w:t>《</w:t>
      </w:r>
      <w:r>
        <w:rPr>
          <w:rFonts w:ascii="宋体" w:hAnsi="宋体"/>
          <w:color w:val="000000"/>
          <w:sz w:val="28"/>
          <w:szCs w:val="28"/>
        </w:rPr>
        <w:t>易方达中证港股通综合指数量化增强型证券投资基金</w:t>
      </w:r>
      <w:r>
        <w:rPr>
          <w:rFonts w:ascii="宋体" w:hAnsi="宋体"/>
          <w:color w:val="000000"/>
          <w:sz w:val="28"/>
          <w:szCs w:val="28"/>
          <w:highlight w:val="white"/>
        </w:rPr>
        <w:t>基</w:t>
      </w:r>
      <w:r>
        <w:rPr>
          <w:rFonts w:ascii="宋体" w:hAnsi="宋体"/>
          <w:color w:val="000000"/>
          <w:sz w:val="28"/>
          <w:szCs w:val="28"/>
          <w:highlight w:val="white"/>
          <w:lang w:val="en-GB"/>
        </w:rPr>
        <w:t>金合同》(以下简称“基金合同”)中定义的术语在用于本托管协议时应具有相同的含义；若有抵触应以基金合同为准，并依其</w:t>
      </w:r>
      <w:r>
        <w:rPr>
          <w:rFonts w:ascii="宋体" w:hAnsi="宋体"/>
          <w:color w:val="000000"/>
          <w:sz w:val="28"/>
          <w:szCs w:val="28"/>
          <w:highlight w:val="white"/>
        </w:rPr>
        <w:t>条款</w:t>
      </w:r>
      <w:r>
        <w:rPr>
          <w:rFonts w:ascii="宋体" w:hAnsi="宋体"/>
          <w:color w:val="000000"/>
          <w:sz w:val="28"/>
          <w:szCs w:val="28"/>
          <w:highlight w:val="white"/>
          <w:lang w:val="en-GB"/>
        </w:rPr>
        <w:t>解释。</w:t>
      </w:r>
    </w:p>
    <w:p w:rsidR="00B963CD" w14:paraId="0095A78E" w14:textId="77777777">
      <w:pPr>
        <w:pStyle w:val="21"/>
        <w:spacing w:line="360" w:lineRule="auto"/>
        <w:jc w:val="center"/>
        <w:rPr>
          <w:rFonts w:ascii="宋体" w:eastAsia="宋体" w:hAnsi="宋体"/>
          <w:color w:val="000000"/>
          <w:sz w:val="28"/>
        </w:rPr>
      </w:pPr>
      <w:bookmarkStart w:id="7" w:name="_Toc145818935"/>
      <w:r>
        <w:rPr>
          <w:rFonts w:ascii="宋体" w:eastAsia="宋体" w:hAnsi="宋体"/>
          <w:color w:val="000000"/>
          <w:sz w:val="28"/>
          <w:highlight w:val="white"/>
        </w:rPr>
        <w:t>一、基金托管协议当事人</w:t>
      </w:r>
      <w:bookmarkEnd w:id="7"/>
    </w:p>
    <w:p w:rsidR="00B963CD" w14:paraId="0849AF35"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（一）基金管理人</w:t>
      </w:r>
    </w:p>
    <w:p w:rsidR="00B963CD" w14:paraId="0DD335B6"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名称：易方达基金管理有限公司</w:t>
      </w:r>
    </w:p>
    <w:p w:rsidR="00B963CD" w14:paraId="7AC04198"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住所：广东省珠海市横琴新区荣粤道188号6层</w:t>
      </w:r>
    </w:p>
    <w:p w:rsidR="00B963CD" w14:paraId="3CA16ECD"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 xml:space="preserve">法定代表人：吴欣荣 </w:t>
      </w:r>
    </w:p>
    <w:p w:rsidR="00B963CD" w14:paraId="18247309"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设立日期：2001年4月17日</w:t>
      </w:r>
    </w:p>
    <w:p w:rsidR="00B963CD" w14:paraId="495DDB76"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批准设立机关及批准设立文号：中国证券监督管理委员会，证监基金字[2001]4号</w:t>
      </w:r>
    </w:p>
    <w:p w:rsidR="00B963CD" w14:paraId="30B92ABD"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组织形式：有限责任公司</w:t>
      </w:r>
    </w:p>
    <w:p w:rsidR="00B963CD" w14:paraId="4AA96B94"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注册资本：13,244.2万元人民币</w:t>
      </w:r>
    </w:p>
    <w:p w:rsidR="00B963CD" w14:paraId="6090DB37"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存续期限：持续经营</w:t>
      </w:r>
    </w:p>
    <w:p w:rsidR="00B963CD" w14:paraId="3036ADA4"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联系电话：4008818088</w:t>
      </w:r>
    </w:p>
    <w:p w:rsidR="00B963CD" w14:paraId="3CB02C31" w14:textId="77777777">
      <w:pPr>
        <w:snapToGrid w:val="0"/>
        <w:spacing w:line="360" w:lineRule="auto"/>
        <w:ind w:firstLine="560"/>
        <w:rPr>
          <w:rFonts w:ascii="宋体" w:hAnsi="宋体"/>
          <w:color w:val="000000"/>
          <w:sz w:val="28"/>
          <w:szCs w:val="28"/>
        </w:rPr>
      </w:pPr>
    </w:p>
    <w:p w:rsidR="00B963CD" w14:paraId="4D9C35CE"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（二）基金托管人</w:t>
      </w:r>
    </w:p>
    <w:p w:rsidR="00B963CD" w14:paraId="7CC91026"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名称：中国农业银行</w:t>
      </w:r>
      <w:r>
        <w:rPr>
          <w:rFonts w:ascii="宋体" w:hAnsi="宋体" w:hint="eastAsia"/>
          <w:color w:val="000000"/>
          <w:sz w:val="28"/>
          <w:szCs w:val="28"/>
          <w:highlight w:val="white"/>
        </w:rPr>
        <w:t>股份有限公司</w:t>
      </w:r>
    </w:p>
    <w:p w:rsidR="00B963CD" w14:paraId="487D8CB9" w14:textId="77777777">
      <w:pPr>
        <w:spacing w:line="360" w:lineRule="auto"/>
        <w:ind w:firstLine="560"/>
        <w:rPr>
          <w:rFonts w:ascii="宋体" w:hAnsi="宋体"/>
          <w:color w:val="000000"/>
          <w:sz w:val="28"/>
          <w:szCs w:val="28"/>
        </w:rPr>
      </w:pPr>
      <w:r>
        <w:rPr>
          <w:rFonts w:ascii="宋体" w:hAnsi="宋体"/>
          <w:color w:val="000000"/>
          <w:sz w:val="28"/>
          <w:szCs w:val="28"/>
          <w:highlight w:val="white"/>
        </w:rPr>
        <w:t>注册地址：</w:t>
      </w:r>
      <w:r>
        <w:rPr>
          <w:rFonts w:ascii="宋体" w:hAnsi="宋体" w:hint="eastAsia"/>
          <w:color w:val="000000"/>
          <w:sz w:val="28"/>
          <w:szCs w:val="28"/>
          <w:highlight w:val="white"/>
        </w:rPr>
        <w:t>北京市东城区建国门内大街69号</w:t>
      </w:r>
    </w:p>
    <w:p w:rsidR="00B963CD" w14:paraId="138C660F" w14:textId="77777777">
      <w:pPr>
        <w:spacing w:line="360" w:lineRule="auto"/>
        <w:ind w:firstLine="560"/>
        <w:rPr>
          <w:rFonts w:ascii="宋体" w:hAnsi="宋体"/>
          <w:color w:val="000000"/>
          <w:sz w:val="28"/>
          <w:szCs w:val="28"/>
        </w:rPr>
      </w:pPr>
      <w:r>
        <w:rPr>
          <w:rFonts w:ascii="宋体" w:hAnsi="宋体"/>
          <w:color w:val="000000"/>
          <w:sz w:val="28"/>
          <w:szCs w:val="28"/>
          <w:highlight w:val="white"/>
        </w:rPr>
        <w:t>办公地址：</w:t>
      </w:r>
      <w:r>
        <w:rPr>
          <w:rFonts w:ascii="宋体" w:hAnsi="宋体" w:hint="eastAsia"/>
          <w:color w:val="000000"/>
          <w:sz w:val="28"/>
          <w:szCs w:val="28"/>
          <w:highlight w:val="white"/>
        </w:rPr>
        <w:t>北京市西城区复兴门内大街28号凯晨世贸中心东座九层</w:t>
      </w:r>
    </w:p>
    <w:p w:rsidR="00B963CD" w14:paraId="0C34008E"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邮政编码：1000</w:t>
      </w:r>
      <w:r>
        <w:rPr>
          <w:rFonts w:ascii="宋体" w:hAnsi="宋体" w:hint="eastAsia"/>
          <w:color w:val="000000"/>
          <w:sz w:val="28"/>
          <w:szCs w:val="28"/>
          <w:highlight w:val="white"/>
        </w:rPr>
        <w:t>31</w:t>
      </w:r>
    </w:p>
    <w:p w:rsidR="00B963CD" w14:paraId="4205F66B" w14:textId="77777777">
      <w:pPr>
        <w:snapToGrid w:val="0"/>
        <w:spacing w:line="360" w:lineRule="auto"/>
        <w:ind w:firstLine="560"/>
        <w:rPr>
          <w:rFonts w:ascii="宋体" w:hAnsi="宋体" w:cs="宋体"/>
          <w:color w:val="000000"/>
          <w:sz w:val="28"/>
          <w:szCs w:val="28"/>
        </w:rPr>
      </w:pPr>
      <w:r>
        <w:rPr>
          <w:rFonts w:ascii="宋体" w:hAnsi="宋体" w:cs="宋体" w:hint="eastAsia"/>
          <w:color w:val="000000"/>
          <w:sz w:val="28"/>
          <w:szCs w:val="28"/>
          <w:highlight w:val="white"/>
        </w:rPr>
        <w:t>法定代表人：</w:t>
      </w:r>
      <w:r>
        <w:rPr>
          <w:rFonts w:ascii="宋体" w:hAnsi="宋体" w:cs="宋体"/>
          <w:color w:val="000000"/>
          <w:sz w:val="28"/>
          <w:szCs w:val="28"/>
          <w:highlight w:val="white"/>
        </w:rPr>
        <w:t>谷澍</w:t>
      </w:r>
    </w:p>
    <w:p w:rsidR="00B963CD" w14:paraId="79CB2E80" w14:textId="77777777">
      <w:pPr>
        <w:spacing w:line="360" w:lineRule="auto"/>
        <w:ind w:firstLine="560"/>
        <w:rPr>
          <w:rFonts w:ascii="宋体" w:hAnsi="宋体"/>
          <w:color w:val="000000"/>
          <w:sz w:val="28"/>
          <w:szCs w:val="28"/>
        </w:rPr>
      </w:pPr>
      <w:r>
        <w:rPr>
          <w:rFonts w:ascii="宋体" w:hAnsi="宋体" w:hint="eastAsia"/>
          <w:color w:val="000000"/>
          <w:sz w:val="28"/>
          <w:szCs w:val="28"/>
          <w:highlight w:val="white"/>
        </w:rPr>
        <w:t>成立时间：2009年1月15日</w:t>
      </w:r>
    </w:p>
    <w:p w:rsidR="00B963CD" w14:paraId="02C3D738" w14:textId="77777777">
      <w:pPr>
        <w:spacing w:line="360" w:lineRule="auto"/>
        <w:ind w:firstLine="560"/>
        <w:rPr>
          <w:rFonts w:ascii="宋体" w:hAnsi="宋体"/>
          <w:color w:val="000000"/>
          <w:sz w:val="28"/>
          <w:szCs w:val="28"/>
        </w:rPr>
      </w:pPr>
      <w:r>
        <w:rPr>
          <w:rFonts w:ascii="宋体" w:hAnsi="宋体" w:cs="宋体"/>
          <w:color w:val="000000"/>
          <w:sz w:val="28"/>
          <w:highlight w:val="white"/>
        </w:rPr>
        <w:t>基金托管资格批文及文号</w:t>
      </w:r>
      <w:r>
        <w:rPr>
          <w:rFonts w:ascii="宋体" w:hAnsi="宋体"/>
          <w:color w:val="000000"/>
          <w:sz w:val="28"/>
          <w:szCs w:val="28"/>
          <w:highlight w:val="white"/>
        </w:rPr>
        <w:t>：</w:t>
      </w:r>
      <w:r>
        <w:rPr>
          <w:rFonts w:ascii="宋体" w:hAnsi="宋体" w:hint="eastAsia"/>
          <w:color w:val="000000"/>
          <w:sz w:val="28"/>
          <w:szCs w:val="28"/>
          <w:highlight w:val="white"/>
        </w:rPr>
        <w:t>中国证监会证监基字[1998]23号</w:t>
      </w:r>
    </w:p>
    <w:p w:rsidR="00B963CD" w14:paraId="2E24366B" w14:textId="77777777">
      <w:pPr>
        <w:spacing w:line="360" w:lineRule="auto"/>
        <w:ind w:firstLine="560"/>
        <w:rPr>
          <w:rFonts w:ascii="宋体" w:hAnsi="宋体"/>
          <w:color w:val="000000"/>
          <w:sz w:val="28"/>
          <w:szCs w:val="28"/>
        </w:rPr>
      </w:pPr>
      <w:r>
        <w:rPr>
          <w:rFonts w:ascii="宋体" w:hAnsi="宋体" w:hint="eastAsia"/>
          <w:color w:val="000000"/>
          <w:sz w:val="28"/>
          <w:szCs w:val="28"/>
          <w:highlight w:val="white"/>
        </w:rPr>
        <w:t>批准设立机关和批准设立文号：中国银监会银监复[2009]13号</w:t>
      </w:r>
    </w:p>
    <w:p w:rsidR="00B963CD" w14:paraId="3E486DC2" w14:textId="77777777">
      <w:pPr>
        <w:spacing w:line="360" w:lineRule="auto"/>
        <w:ind w:firstLine="560"/>
        <w:rPr>
          <w:rFonts w:ascii="宋体" w:hAnsi="宋体"/>
          <w:color w:val="000000"/>
          <w:sz w:val="28"/>
          <w:szCs w:val="28"/>
        </w:rPr>
      </w:pPr>
      <w:r>
        <w:rPr>
          <w:rFonts w:ascii="宋体" w:hAnsi="宋体" w:hint="eastAsia"/>
          <w:color w:val="000000"/>
          <w:sz w:val="28"/>
          <w:szCs w:val="28"/>
          <w:highlight w:val="white"/>
        </w:rPr>
        <w:t>注册资本：34,998,303.4万元人民币</w:t>
      </w:r>
    </w:p>
    <w:p w:rsidR="00B963CD" w14:paraId="7BA76F82" w14:textId="77777777">
      <w:pPr>
        <w:spacing w:line="360" w:lineRule="auto"/>
        <w:ind w:firstLine="560"/>
        <w:rPr>
          <w:rFonts w:ascii="宋体" w:hAnsi="宋体"/>
          <w:color w:val="000000"/>
          <w:sz w:val="28"/>
          <w:szCs w:val="28"/>
        </w:rPr>
      </w:pPr>
      <w:r>
        <w:rPr>
          <w:rFonts w:ascii="宋体" w:hAnsi="宋体" w:hint="eastAsia"/>
          <w:color w:val="000000"/>
          <w:sz w:val="28"/>
          <w:szCs w:val="28"/>
          <w:highlight w:val="white"/>
        </w:rPr>
        <w:t>组织形式：股份有限公司</w:t>
      </w:r>
    </w:p>
    <w:p w:rsidR="00B963CD" w14:paraId="616DCBBB" w14:textId="77777777">
      <w:pPr>
        <w:spacing w:line="360" w:lineRule="auto"/>
        <w:ind w:firstLine="560"/>
        <w:rPr>
          <w:rFonts w:ascii="宋体" w:hAnsi="宋体"/>
          <w:color w:val="000000"/>
          <w:sz w:val="28"/>
          <w:szCs w:val="28"/>
        </w:rPr>
      </w:pPr>
      <w:r>
        <w:rPr>
          <w:rFonts w:ascii="宋体" w:hAnsi="宋体" w:hint="eastAsia"/>
          <w:color w:val="000000"/>
          <w:sz w:val="28"/>
          <w:szCs w:val="28"/>
          <w:highlight w:val="white"/>
        </w:rPr>
        <w:t>存续期间：持续经营</w:t>
      </w:r>
    </w:p>
    <w:p w:rsidR="00B963CD" w14:paraId="4C2DA85D" w14:textId="77777777">
      <w:pPr>
        <w:tabs>
          <w:tab w:val="left" w:pos="540"/>
        </w:tabs>
        <w:snapToGrid w:val="0"/>
        <w:spacing w:line="360" w:lineRule="auto"/>
        <w:ind w:firstLine="560"/>
        <w:rPr>
          <w:rFonts w:ascii="宋体" w:hAnsi="宋体"/>
          <w:color w:val="000000"/>
          <w:sz w:val="28"/>
          <w:szCs w:val="28"/>
        </w:rPr>
      </w:pPr>
      <w:r>
        <w:rPr>
          <w:rFonts w:ascii="宋体" w:hAnsi="宋体"/>
          <w:color w:val="000000"/>
          <w:sz w:val="28"/>
          <w:szCs w:val="28"/>
          <w:highlight w:val="white"/>
        </w:rPr>
        <w:t>经营范围：</w:t>
      </w:r>
      <w:r>
        <w:rPr>
          <w:rFonts w:ascii="宋体" w:hAnsi="宋体" w:hint="eastAsia"/>
          <w:color w:val="000000"/>
          <w:sz w:val="28"/>
          <w:szCs w:val="28"/>
          <w:highlight w:val="white"/>
        </w:rPr>
        <w:t>吸收公众存款；发放短期、中期、长期贷款；办理国内外结算；办理票据承兑与贴现；发行金融债券；代理发行、代理兑</w:t>
      </w:r>
      <w:r>
        <w:rPr>
          <w:rFonts w:ascii="宋体" w:hAnsi="宋体"/>
          <w:color w:val="000000"/>
          <w:sz w:val="28"/>
          <w:szCs w:val="28"/>
          <w:highlight w:val="white"/>
        </w:rPr>
        <w:t>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r>
        <w:rPr>
          <w:rFonts w:ascii="宋体" w:hAnsi="宋体" w:cs="宋体"/>
          <w:color w:val="000000"/>
          <w:sz w:val="28"/>
          <w:highlight w:val="white"/>
        </w:rPr>
        <w:t>；保险兼业代理业务</w:t>
      </w:r>
      <w:r>
        <w:rPr>
          <w:rFonts w:ascii="宋体" w:hAnsi="宋体"/>
          <w:color w:val="000000"/>
          <w:sz w:val="28"/>
          <w:szCs w:val="28"/>
          <w:highlight w:val="white"/>
        </w:rPr>
        <w:t>。</w:t>
      </w:r>
    </w:p>
    <w:p w:rsidR="00B963CD" w14:paraId="0EA0D30D" w14:textId="77777777">
      <w:pPr>
        <w:tabs>
          <w:tab w:val="left" w:pos="540"/>
        </w:tabs>
        <w:snapToGrid w:val="0"/>
        <w:spacing w:line="360" w:lineRule="auto"/>
        <w:ind w:firstLine="420"/>
        <w:rPr>
          <w:rFonts w:ascii="宋体" w:hAnsi="宋体"/>
          <w:color w:val="000000"/>
          <w:sz w:val="28"/>
          <w:szCs w:val="28"/>
        </w:rPr>
      </w:pPr>
    </w:p>
    <w:p w:rsidR="00B963CD" w14:paraId="4ACD5657" w14:textId="77777777">
      <w:pPr>
        <w:pStyle w:val="21"/>
        <w:spacing w:line="360" w:lineRule="auto"/>
        <w:jc w:val="center"/>
        <w:rPr>
          <w:rFonts w:ascii="宋体" w:eastAsia="宋体" w:hAnsi="宋体"/>
          <w:color w:val="000000"/>
          <w:sz w:val="28"/>
        </w:rPr>
      </w:pPr>
      <w:bookmarkStart w:id="8" w:name="_Toc145818936"/>
      <w:r>
        <w:rPr>
          <w:rFonts w:ascii="宋体" w:eastAsia="宋体" w:hAnsi="宋体"/>
          <w:color w:val="000000"/>
          <w:sz w:val="28"/>
          <w:highlight w:val="white"/>
        </w:rPr>
        <w:t>二、基金托管协议的依据、目的和原则</w:t>
      </w:r>
      <w:bookmarkEnd w:id="8"/>
    </w:p>
    <w:p w:rsidR="00B963CD" w14:paraId="42761F6C"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（一）订立托管协议的依据</w:t>
      </w:r>
    </w:p>
    <w:p w:rsidR="00B963CD" w14:paraId="48A04794"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本协议依据《中华人民共和国证券投资基金法》(以下简称“《基金法》”)、</w:t>
      </w:r>
      <w:r>
        <w:rPr>
          <w:rFonts w:ascii="宋体" w:hAnsi="宋体" w:hint="eastAsia"/>
          <w:color w:val="000000"/>
          <w:sz w:val="28"/>
          <w:szCs w:val="28"/>
          <w:highlight w:val="white"/>
        </w:rPr>
        <w:t>《公开</w:t>
      </w:r>
      <w:r>
        <w:rPr>
          <w:rFonts w:ascii="宋体" w:hAnsi="宋体"/>
          <w:color w:val="000000"/>
          <w:sz w:val="28"/>
          <w:szCs w:val="28"/>
          <w:highlight w:val="white"/>
        </w:rPr>
        <w:t>募集</w:t>
      </w:r>
      <w:r>
        <w:rPr>
          <w:rFonts w:ascii="宋体" w:hAnsi="宋体" w:hint="eastAsia"/>
          <w:color w:val="000000"/>
          <w:sz w:val="28"/>
          <w:szCs w:val="28"/>
          <w:highlight w:val="white"/>
        </w:rPr>
        <w:t>证券投资基金信息披露管理办法》（以下简称“《信息披露办法》”）</w:t>
      </w:r>
      <w:r>
        <w:rPr>
          <w:rFonts w:ascii="宋体" w:hAnsi="宋体"/>
          <w:color w:val="000000"/>
          <w:sz w:val="28"/>
          <w:szCs w:val="28"/>
          <w:highlight w:val="white"/>
        </w:rPr>
        <w:t>等有关法律、法规(以下简称“法律法规”)、基金合同及其他有关规定制订。</w:t>
      </w:r>
    </w:p>
    <w:p w:rsidR="00B963CD" w14:paraId="47E6CE55"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（二）订立托管协议的目的</w:t>
      </w:r>
    </w:p>
    <w:p w:rsidR="00B963CD" w14:paraId="7C867D59"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963CD" w14:paraId="4E83C3CE"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（三）订立托管协议的原则</w:t>
      </w:r>
    </w:p>
    <w:p w:rsidR="00B963CD" w14:paraId="2FFB9512" w14:textId="77777777">
      <w:pPr>
        <w:pStyle w:val="Style6"/>
        <w:snapToGrid/>
        <w:spacing w:line="360" w:lineRule="auto"/>
        <w:ind w:firstLine="560"/>
        <w:rPr>
          <w:rFonts w:ascii="宋体" w:eastAsia="宋体"/>
          <w:sz w:val="28"/>
          <w:szCs w:val="28"/>
        </w:rPr>
      </w:pPr>
      <w:r>
        <w:rPr>
          <w:rFonts w:ascii="宋体" w:eastAsia="宋体"/>
          <w:sz w:val="28"/>
          <w:szCs w:val="28"/>
          <w:highlight w:val="white"/>
        </w:rPr>
        <w:t>基金管理人和基金托管人本着平等自愿、诚实信用、充分保护基金投资者合法权益的原则，经协商一致，签订本协议。</w:t>
      </w:r>
    </w:p>
    <w:p w:rsidR="00B963CD" w14:paraId="6192A835" w14:textId="77777777">
      <w:pPr>
        <w:pStyle w:val="21"/>
        <w:spacing w:line="360" w:lineRule="auto"/>
        <w:jc w:val="center"/>
        <w:rPr>
          <w:rFonts w:ascii="宋体" w:eastAsia="宋体" w:hAnsi="宋体"/>
          <w:color w:val="000000"/>
          <w:sz w:val="28"/>
          <w:szCs w:val="28"/>
        </w:rPr>
      </w:pPr>
      <w:bookmarkStart w:id="9" w:name="_Toc145818937"/>
      <w:r>
        <w:rPr>
          <w:rFonts w:ascii="宋体" w:eastAsia="宋体" w:hAnsi="宋体"/>
          <w:color w:val="000000"/>
          <w:sz w:val="28"/>
          <w:szCs w:val="28"/>
          <w:highlight w:val="white"/>
        </w:rPr>
        <w:t>三、基金托管人对基金管理人的业务监督和核查</w:t>
      </w:r>
      <w:bookmarkEnd w:id="9"/>
    </w:p>
    <w:p w:rsidR="00B963CD" w14:paraId="524BDCD5"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（一）基金托管人根据有关法律法规的规定及基金合同的约定，对基金投资范围、投资对象进行监督。</w:t>
      </w:r>
      <w:r>
        <w:rPr>
          <w:rFonts w:ascii="宋体" w:hAnsi="宋体" w:hint="eastAsia"/>
          <w:color w:val="000000"/>
          <w:sz w:val="28"/>
          <w:szCs w:val="28"/>
          <w:highlight w:val="white"/>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B963CD" w14:paraId="4363C094" w14:textId="77777777">
      <w:pPr>
        <w:snapToGrid w:val="0"/>
        <w:spacing w:line="360" w:lineRule="auto"/>
        <w:ind w:firstLine="560"/>
        <w:rPr>
          <w:rFonts w:ascii="宋体" w:hAnsi="宋体"/>
          <w:color w:val="000000"/>
          <w:sz w:val="28"/>
          <w:szCs w:val="28"/>
        </w:rPr>
      </w:pPr>
      <w:bookmarkStart w:id="10" w:name="_Toc359426195"/>
      <w:r>
        <w:rPr>
          <w:rFonts w:ascii="宋体" w:hAnsi="宋体"/>
          <w:color w:val="000000"/>
          <w:sz w:val="28"/>
          <w:szCs w:val="28"/>
        </w:rPr>
        <w:t>本基金的投资范围包括国内依法发行上市的股票（包括创业板、科创板及其他依法发行上市的股票、存托凭证）、内地与香港股票市场交易互联互通机制允许买卖的香港证券市场股票（以下简称“港股通股票”）、国内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p>
    <w:p w:rsidR="00B963CD" w14:paraId="64DFC880" w14:textId="77777777">
      <w:pPr>
        <w:snapToGrid w:val="0"/>
        <w:spacing w:line="360" w:lineRule="auto"/>
        <w:ind w:firstLine="560"/>
        <w:rPr>
          <w:rFonts w:ascii="宋体" w:hAnsi="宋体"/>
          <w:color w:val="000000"/>
          <w:sz w:val="28"/>
          <w:szCs w:val="28"/>
        </w:rPr>
      </w:pPr>
      <w:r>
        <w:rPr>
          <w:rFonts w:ascii="宋体" w:hAnsi="宋体"/>
          <w:color w:val="000000"/>
          <w:sz w:val="28"/>
          <w:szCs w:val="28"/>
        </w:rPr>
        <w:t>如法律法规或监管机构以后允许基金投资其他品种，基金管理人在履行适当程序后，本基金可以将其纳入投资范围。</w:t>
      </w:r>
    </w:p>
    <w:p w:rsidR="00B963CD" w14:paraId="781BD56D" w14:textId="77777777">
      <w:pPr>
        <w:snapToGrid w:val="0"/>
        <w:spacing w:line="360" w:lineRule="auto"/>
        <w:ind w:firstLine="560"/>
        <w:rPr>
          <w:rFonts w:ascii="宋体" w:hAnsi="宋体"/>
          <w:color w:val="000000"/>
          <w:sz w:val="28"/>
          <w:szCs w:val="28"/>
        </w:rPr>
      </w:pPr>
      <w:r>
        <w:rPr>
          <w:rFonts w:ascii="宋体" w:hAnsi="宋体"/>
          <w:color w:val="000000"/>
          <w:sz w:val="28"/>
          <w:szCs w:val="28"/>
        </w:rPr>
        <w:t>本基金可参与转融通证券出借及融资业务。</w:t>
      </w:r>
    </w:p>
    <w:p w:rsidR="00B963CD" w14:paraId="5ED7AB42"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基金的投资组合比例为：</w:t>
      </w:r>
      <w:r>
        <w:rPr>
          <w:rFonts w:ascii="宋体" w:hAnsi="宋体"/>
          <w:color w:val="000000"/>
          <w:sz w:val="28"/>
          <w:szCs w:val="28"/>
        </w:rPr>
        <w:t>本基金股票资产占基金资产的比例为80%-95%；投资于标的指数成份股及备选成份股的资产不低于非现金基金资产的80%；保持不低于基金资产净值5%的现金或者到期日在一年以内的政府债券，其中现金不包括结算备付金、存出保证金和应收申购款等。</w:t>
      </w:r>
      <w:bookmarkEnd w:id="10"/>
    </w:p>
    <w:p w:rsidR="00B963CD" w14:paraId="12D1FC24"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（二）基金托管人根据有关法律法规的规定及基金合同的约定，对基金投资、融资比例进行监督。基金托管人按下述比例和调整期限进行监督：</w:t>
      </w:r>
    </w:p>
    <w:p w:rsidR="00B963CD" w14:paraId="1CC2998B" w14:textId="77777777">
      <w:pPr>
        <w:spacing w:line="360" w:lineRule="auto"/>
        <w:ind w:firstLine="560"/>
      </w:pPr>
      <w:r>
        <w:rPr>
          <w:rFonts w:ascii="宋体" w:hAnsi="宋体" w:hint="eastAsia"/>
          <w:color w:val="000000"/>
          <w:sz w:val="28"/>
          <w:szCs w:val="28"/>
          <w:highlight w:val="white"/>
        </w:rPr>
        <w:t>（1）本基金股票资产占基金资产的比例为80%-95%；投资于标的指数成份股及备选成份股的资产不低于非现金基金资产的80%；</w:t>
      </w:r>
    </w:p>
    <w:p w:rsidR="00B963CD" w14:paraId="70892044" w14:textId="77777777">
      <w:pPr>
        <w:spacing w:line="360" w:lineRule="auto"/>
        <w:ind w:firstLine="560"/>
      </w:pPr>
      <w:r>
        <w:rPr>
          <w:rFonts w:ascii="宋体" w:hAnsi="宋体" w:hint="eastAsia"/>
          <w:color w:val="000000"/>
          <w:sz w:val="28"/>
          <w:szCs w:val="28"/>
          <w:highlight w:val="white"/>
        </w:rPr>
        <w:t>（2）保持不低于基金资产净值5％的现金或者到期日在一年以内的政府债券，其中现金不包括结算备付金、存出保证金和应收申购款等；</w:t>
      </w:r>
    </w:p>
    <w:p w:rsidR="00B963CD" w14:paraId="57A7C870" w14:textId="77777777">
      <w:pPr>
        <w:spacing w:line="360" w:lineRule="auto"/>
        <w:ind w:firstLine="560"/>
      </w:pPr>
      <w:r>
        <w:rPr>
          <w:rFonts w:ascii="宋体" w:hAnsi="宋体" w:hint="eastAsia"/>
          <w:color w:val="000000"/>
          <w:sz w:val="28"/>
          <w:szCs w:val="28"/>
          <w:highlight w:val="white"/>
        </w:rPr>
        <w:t>（3）本基金持有一家公司发行的证券（同一家公司在内地和香港同时上市的A+H股合计计算），其市值不超过基金资产净值的10％，完全按照有关指数的构成比例进行证券投资的部分不受此限制；</w:t>
      </w:r>
    </w:p>
    <w:p w:rsidR="00B963CD" w14:paraId="5AC154B7" w14:textId="77777777">
      <w:pPr>
        <w:spacing w:line="360" w:lineRule="auto"/>
        <w:ind w:firstLine="560"/>
      </w:pPr>
      <w:r>
        <w:rPr>
          <w:rFonts w:ascii="宋体" w:hAnsi="宋体" w:hint="eastAsia"/>
          <w:color w:val="000000"/>
          <w:sz w:val="28"/>
          <w:szCs w:val="28"/>
          <w:highlight w:val="white"/>
        </w:rPr>
        <w:t>（4）本基金管理人管理且由本基金托管人托管的全部基金持有一家公司发行的证券（同一家公司在内地和香港同时上市的A+H股合计计算），不超过该证券的10％，完全按照有关指数的构成比例进行证券投资的部分不受此限制；</w:t>
      </w:r>
    </w:p>
    <w:p w:rsidR="00B963CD" w14:paraId="45DBDD20" w14:textId="77777777">
      <w:pPr>
        <w:spacing w:line="360" w:lineRule="auto"/>
        <w:ind w:firstLine="560"/>
      </w:pPr>
      <w:r>
        <w:rPr>
          <w:rFonts w:ascii="宋体" w:hAnsi="宋体" w:hint="eastAsia"/>
          <w:color w:val="000000"/>
          <w:sz w:val="28"/>
          <w:szCs w:val="28"/>
          <w:highlight w:val="white"/>
        </w:rPr>
        <w:t>（5）本基金投资于同一原始权益人的各类资产支持证券的比例，不得超过基金资产净值的10％；</w:t>
      </w:r>
    </w:p>
    <w:p w:rsidR="00B963CD" w14:paraId="1EBEFD01" w14:textId="77777777">
      <w:pPr>
        <w:spacing w:line="360" w:lineRule="auto"/>
        <w:ind w:firstLine="560"/>
      </w:pPr>
      <w:r>
        <w:rPr>
          <w:rFonts w:ascii="宋体" w:hAnsi="宋体" w:hint="eastAsia"/>
          <w:color w:val="000000"/>
          <w:sz w:val="28"/>
          <w:szCs w:val="28"/>
          <w:highlight w:val="white"/>
        </w:rPr>
        <w:t>（6）本基金持有的全部资产支持证券，其市值不得超过基金资产净值的20％；</w:t>
      </w:r>
    </w:p>
    <w:p w:rsidR="00B963CD" w14:paraId="1FFCC3D1" w14:textId="77777777">
      <w:pPr>
        <w:spacing w:line="360" w:lineRule="auto"/>
        <w:ind w:firstLine="560"/>
      </w:pPr>
      <w:r>
        <w:rPr>
          <w:rFonts w:ascii="宋体" w:hAnsi="宋体" w:hint="eastAsia"/>
          <w:color w:val="000000"/>
          <w:sz w:val="28"/>
          <w:szCs w:val="28"/>
          <w:highlight w:val="white"/>
        </w:rPr>
        <w:t>（7）本基金持有的同一(指同一信用级别)资产支持证券的比例，不得超过该资产支持证券规模的10％；</w:t>
      </w:r>
    </w:p>
    <w:p w:rsidR="00B963CD" w14:paraId="3EF0E219" w14:textId="77777777">
      <w:pPr>
        <w:spacing w:line="360" w:lineRule="auto"/>
        <w:ind w:firstLine="560"/>
      </w:pPr>
      <w:r>
        <w:rPr>
          <w:rFonts w:ascii="宋体" w:hAnsi="宋体" w:hint="eastAsia"/>
          <w:color w:val="000000"/>
          <w:sz w:val="28"/>
          <w:szCs w:val="28"/>
          <w:highlight w:val="white"/>
        </w:rPr>
        <w:t>（8）本基金管理人管理且由本基金托管人托管的全部基金投资于同一原始权益人的各类资产支持证券，不得超过其各类资产支持证券合计规模的10％；</w:t>
      </w:r>
    </w:p>
    <w:p w:rsidR="00B963CD" w14:paraId="3A1EA343" w14:textId="77777777">
      <w:pPr>
        <w:spacing w:line="360" w:lineRule="auto"/>
        <w:ind w:firstLine="560"/>
      </w:pPr>
      <w:r>
        <w:rPr>
          <w:rFonts w:ascii="宋体" w:hAnsi="宋体" w:hint="eastAsia"/>
          <w:color w:val="000000"/>
          <w:sz w:val="28"/>
          <w:szCs w:val="28"/>
          <w:highlight w:val="white"/>
        </w:rPr>
        <w:t>（9）本基金应投资于信用级别评级为BBB以上(含BBB)的资产支持证券。基金持有资产支持证券期间，如果其信用等级下降、不再符合投资标准，应在评级报告发布之日起3个月内予以全部卖出；</w:t>
      </w:r>
    </w:p>
    <w:p w:rsidR="00B963CD" w14:paraId="446A146F" w14:textId="77777777">
      <w:pPr>
        <w:spacing w:line="360" w:lineRule="auto"/>
        <w:ind w:firstLine="560"/>
      </w:pPr>
      <w:r>
        <w:rPr>
          <w:rFonts w:ascii="宋体" w:hAnsi="宋体" w:hint="eastAsia"/>
          <w:color w:val="000000"/>
          <w:sz w:val="28"/>
          <w:szCs w:val="28"/>
          <w:highlight w:val="white"/>
        </w:rPr>
        <w:t>（10）基金财产参与股票发行申购，本基金所申报的金额不超过本基金的总资产，本基金所申报的股票数量不超过拟发行股票公司本次发行股票的总量；</w:t>
      </w:r>
    </w:p>
    <w:p w:rsidR="00B963CD" w14:paraId="349ED106" w14:textId="77777777">
      <w:pPr>
        <w:spacing w:line="360" w:lineRule="auto"/>
        <w:ind w:firstLine="560"/>
      </w:pPr>
      <w:r>
        <w:rPr>
          <w:rFonts w:ascii="宋体" w:hAnsi="宋体" w:hint="eastAsia"/>
          <w:color w:val="000000"/>
          <w:sz w:val="28"/>
          <w:szCs w:val="28"/>
          <w:highlight w:val="white"/>
        </w:rPr>
        <w:t>（11）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部分以及中国证监会认定的特殊投资组合不受此限制；</w:t>
      </w:r>
    </w:p>
    <w:p w:rsidR="00B963CD" w14:paraId="4BC59FD5" w14:textId="77777777">
      <w:pPr>
        <w:spacing w:line="360" w:lineRule="auto"/>
        <w:ind w:firstLine="560"/>
      </w:pPr>
      <w:r>
        <w:rPr>
          <w:rFonts w:ascii="宋体" w:hAnsi="宋体" w:hint="eastAsia"/>
          <w:color w:val="000000"/>
          <w:sz w:val="28"/>
          <w:szCs w:val="28"/>
          <w:highlight w:val="white"/>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963CD" w14:paraId="7791813F" w14:textId="77777777">
      <w:pPr>
        <w:spacing w:line="360" w:lineRule="auto"/>
        <w:ind w:firstLine="560"/>
      </w:pPr>
      <w:r>
        <w:rPr>
          <w:rFonts w:ascii="宋体" w:hAnsi="宋体" w:hint="eastAsia"/>
          <w:color w:val="000000"/>
          <w:sz w:val="28"/>
          <w:szCs w:val="28"/>
          <w:highlight w:val="white"/>
        </w:rPr>
        <w:t>（13）本基金与私募类证券资管产品及中国证监会认定的其他主体为交易对手开展逆回购交易的，可接受质押品的资质要求应当与基金合同约定的投资范围保持一致；</w:t>
      </w:r>
    </w:p>
    <w:p w:rsidR="00B963CD" w14:paraId="24184A0C" w14:textId="77777777">
      <w:pPr>
        <w:spacing w:line="360" w:lineRule="auto"/>
        <w:ind w:firstLine="560"/>
      </w:pPr>
      <w:r>
        <w:rPr>
          <w:rFonts w:ascii="宋体" w:hAnsi="宋体" w:hint="eastAsia"/>
          <w:color w:val="000000"/>
          <w:sz w:val="28"/>
          <w:szCs w:val="28"/>
          <w:highlight w:val="white"/>
        </w:rPr>
        <w:t>（14）本基金资产总值不超过基金资产净值的140%；</w:t>
      </w:r>
    </w:p>
    <w:p w:rsidR="00B963CD" w14:paraId="52DD6116" w14:textId="77777777">
      <w:pPr>
        <w:spacing w:line="360" w:lineRule="auto"/>
        <w:ind w:firstLine="560"/>
      </w:pPr>
      <w:r>
        <w:rPr>
          <w:rFonts w:ascii="宋体" w:hAnsi="宋体" w:hint="eastAsia"/>
          <w:color w:val="000000"/>
          <w:sz w:val="28"/>
          <w:szCs w:val="28"/>
          <w:highlight w:val="white"/>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B963CD" w14:paraId="11E261B6" w14:textId="77777777">
      <w:pPr>
        <w:spacing w:line="360" w:lineRule="auto"/>
        <w:ind w:firstLine="560"/>
      </w:pPr>
      <w:r>
        <w:rPr>
          <w:rFonts w:ascii="宋体" w:hAnsi="宋体" w:hint="eastAsia"/>
          <w:color w:val="000000"/>
          <w:sz w:val="28"/>
          <w:szCs w:val="28"/>
          <w:highlight w:val="white"/>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B963CD" w14:paraId="34CB38FE" w14:textId="77777777">
      <w:pPr>
        <w:spacing w:line="360" w:lineRule="auto"/>
        <w:ind w:firstLine="560"/>
      </w:pPr>
      <w:r>
        <w:rPr>
          <w:rFonts w:ascii="宋体" w:hAnsi="宋体" w:hint="eastAsia"/>
          <w:color w:val="000000"/>
          <w:sz w:val="28"/>
          <w:szCs w:val="28"/>
          <w:highlight w:val="white"/>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B963CD" w14:paraId="735632C0" w14:textId="77777777">
      <w:pPr>
        <w:spacing w:line="360" w:lineRule="auto"/>
        <w:ind w:firstLine="560"/>
      </w:pPr>
      <w:r>
        <w:rPr>
          <w:rFonts w:ascii="宋体" w:hAnsi="宋体" w:hint="eastAsia"/>
          <w:color w:val="000000"/>
          <w:sz w:val="28"/>
          <w:szCs w:val="28"/>
          <w:highlight w:val="white"/>
        </w:rPr>
        <w:t>（18）基金参与融资业务后，在任何交易日日终，持有的融资买入股票与其他有价证券市值之和，不得超过基金资产净值的95%；</w:t>
      </w:r>
    </w:p>
    <w:p w:rsidR="00B963CD" w14:paraId="4CE5DEB8" w14:textId="77777777">
      <w:pPr>
        <w:spacing w:line="360" w:lineRule="auto"/>
        <w:ind w:firstLine="560"/>
      </w:pPr>
      <w:r>
        <w:rPr>
          <w:rFonts w:ascii="宋体" w:hAnsi="宋体" w:hint="eastAsia"/>
          <w:color w:val="000000"/>
          <w:sz w:val="28"/>
          <w:szCs w:val="28"/>
          <w:highlight w:val="white"/>
        </w:rPr>
        <w:t>（19）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B963CD" w14:paraId="299E1322" w14:textId="77777777">
      <w:pPr>
        <w:spacing w:line="360" w:lineRule="auto"/>
        <w:ind w:firstLine="560"/>
      </w:pPr>
      <w:r>
        <w:rPr>
          <w:rFonts w:ascii="宋体" w:hAnsi="宋体" w:hint="eastAsia"/>
          <w:color w:val="000000"/>
          <w:sz w:val="28"/>
          <w:szCs w:val="28"/>
          <w:highlight w:val="white"/>
        </w:rPr>
        <w:t>（20）本基金投资存托凭证的比例限制依照境内上市交易的股票执行，与境内上市交易的股票合并计算；</w:t>
      </w:r>
    </w:p>
    <w:p w:rsidR="00B963CD" w14:paraId="3050D479" w14:textId="77777777">
      <w:pPr>
        <w:spacing w:line="360" w:lineRule="auto"/>
        <w:ind w:firstLine="560"/>
      </w:pPr>
      <w:r>
        <w:rPr>
          <w:rFonts w:ascii="宋体" w:hAnsi="宋体" w:hint="eastAsia"/>
          <w:color w:val="000000"/>
          <w:sz w:val="28"/>
          <w:szCs w:val="28"/>
          <w:highlight w:val="white"/>
        </w:rPr>
        <w:t>（21）法律法规及中国证监会规定的和《基金合同》约定的其他投资限制。</w:t>
      </w:r>
    </w:p>
    <w:p w:rsidR="00B963CD" w14:paraId="27F3E69F" w14:textId="77777777">
      <w:pPr>
        <w:spacing w:line="360" w:lineRule="auto"/>
        <w:ind w:firstLine="560"/>
      </w:pPr>
      <w:r>
        <w:rPr>
          <w:rFonts w:ascii="宋体" w:hAnsi="宋体" w:hint="eastAsia"/>
          <w:color w:val="000000"/>
          <w:sz w:val="28"/>
          <w:szCs w:val="28"/>
          <w:highlight w:val="white"/>
        </w:rPr>
        <w:t>除上述（2）、（9）、（10）、（12）、（13）、（19）情形之外，因证券/期货市场波动、证券发行人合并、基金规模变动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19）项规定的，基金管理人不得新增出借业务。法律法规或监管部门另有规定的，届时按最新规定执行。</w:t>
      </w:r>
    </w:p>
    <w:p w:rsidR="00B963CD" w14:paraId="52E3323C" w14:textId="77777777">
      <w:pPr>
        <w:spacing w:line="360" w:lineRule="auto"/>
        <w:ind w:firstLine="560"/>
      </w:pPr>
      <w:r>
        <w:rPr>
          <w:rFonts w:ascii="宋体" w:hAnsi="宋体" w:hint="eastAsia"/>
          <w:color w:val="000000"/>
          <w:sz w:val="28"/>
          <w:szCs w:val="28"/>
          <w:highlight w:val="white"/>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bookmarkStart w:id="11" w:name="OLE_LINK3"/>
      <w:bookmarkEnd w:id="11"/>
    </w:p>
    <w:p w:rsidR="00B963CD" w14:paraId="710B04C8"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（三）基金托管人</w:t>
      </w:r>
      <w:bookmarkStart w:id="12" w:name="OLE_LINK1"/>
      <w:r>
        <w:rPr>
          <w:rFonts w:ascii="宋体" w:hAnsi="宋体"/>
          <w:color w:val="000000"/>
          <w:sz w:val="28"/>
          <w:szCs w:val="28"/>
          <w:highlight w:val="white"/>
        </w:rPr>
        <w:t>根据有关法律法规的规定及基金合同的约定，</w:t>
      </w:r>
      <w:bookmarkEnd w:id="12"/>
      <w:r>
        <w:rPr>
          <w:rFonts w:ascii="宋体" w:hAnsi="宋体"/>
          <w:color w:val="000000"/>
          <w:sz w:val="28"/>
          <w:szCs w:val="28"/>
          <w:highlight w:val="white"/>
        </w:rPr>
        <w:t>对本协议第十五条第</w:t>
      </w:r>
      <w:r>
        <w:rPr>
          <w:rFonts w:ascii="宋体" w:hAnsi="宋体" w:hint="eastAsia"/>
          <w:color w:val="000000"/>
          <w:sz w:val="28"/>
          <w:szCs w:val="28"/>
          <w:highlight w:val="white"/>
        </w:rPr>
        <w:t>(十一)</w:t>
      </w:r>
      <w:r>
        <w:rPr>
          <w:rFonts w:ascii="宋体" w:hAnsi="宋体"/>
          <w:color w:val="000000"/>
          <w:sz w:val="28"/>
          <w:szCs w:val="28"/>
          <w:highlight w:val="white"/>
        </w:rPr>
        <w:t>项基金投资禁止行为进行监督。</w:t>
      </w:r>
    </w:p>
    <w:p w:rsidR="00B963CD" w14:paraId="4EC35674" w14:textId="77777777">
      <w:pPr>
        <w:spacing w:line="360" w:lineRule="auto"/>
        <w:ind w:firstLine="560"/>
        <w:rPr>
          <w:rFonts w:ascii="宋体" w:hAnsi="宋体"/>
          <w:color w:val="000000"/>
          <w:sz w:val="28"/>
          <w:szCs w:val="28"/>
        </w:rPr>
      </w:pPr>
      <w:r>
        <w:rPr>
          <w:rFonts w:ascii="宋体" w:hAnsi="宋体"/>
          <w:color w:val="000000"/>
          <w:sz w:val="28"/>
          <w:szCs w:val="28"/>
          <w:highlight w:val="white"/>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rsidR="00B963CD" w14:paraId="36D88C43"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963CD" w14:paraId="2C89C44D"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B963CD" w14:paraId="3C3C8F45" w14:textId="77777777">
      <w:pPr>
        <w:spacing w:line="360" w:lineRule="auto"/>
        <w:ind w:firstLine="480"/>
        <w:rPr>
          <w:rFonts w:ascii="宋体" w:hAnsi="宋体"/>
          <w:color w:val="000000"/>
          <w:sz w:val="28"/>
          <w:szCs w:val="28"/>
        </w:rPr>
      </w:pPr>
      <w:r>
        <w:rPr>
          <w:rFonts w:ascii="宋体" w:hAnsi="宋体"/>
          <w:color w:val="000000"/>
          <w:sz w:val="28"/>
          <w:szCs w:val="28"/>
          <w:highlight w:val="white"/>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w:t>
      </w:r>
      <w:r>
        <w:rPr>
          <w:rFonts w:ascii="宋体" w:hAnsi="宋体" w:hint="eastAsia"/>
          <w:color w:val="000000"/>
          <w:sz w:val="28"/>
          <w:szCs w:val="28"/>
          <w:highlight w:val="white"/>
        </w:rPr>
        <w:t>，并约定各交易对手所适用的交易结算方式</w:t>
      </w:r>
      <w:r>
        <w:rPr>
          <w:rFonts w:ascii="宋体" w:hAnsi="宋体"/>
          <w:color w:val="000000"/>
          <w:sz w:val="28"/>
          <w:szCs w:val="28"/>
          <w:highlight w:val="white"/>
        </w:rPr>
        <w:t>。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w:t>
      </w:r>
      <w:r>
        <w:rPr>
          <w:rFonts w:ascii="宋体" w:hAnsi="宋体" w:hint="eastAsia"/>
          <w:color w:val="000000"/>
          <w:sz w:val="28"/>
          <w:szCs w:val="28"/>
          <w:highlight w:val="white"/>
        </w:rPr>
        <w:t>基金管理人收到基金托管人书面确认后，被确认调整的名单开始生效，新名单生效前已与本次剔除的交易对手所进行但尚未结算的交易，仍应按照协议进行结算。</w:t>
      </w:r>
      <w:r>
        <w:rPr>
          <w:rFonts w:ascii="宋体" w:hAnsi="宋体"/>
          <w:color w:val="000000"/>
          <w:sz w:val="28"/>
          <w:szCs w:val="28"/>
          <w:highlight w:val="white"/>
        </w:rPr>
        <w:t>基金管理人负责对交易对手的资信控制，按银行间债券市场的交易规则进行交易，基金托管人则根据银行间债券市场成交单对合同履行情况进行监督</w:t>
      </w:r>
      <w:r>
        <w:rPr>
          <w:rFonts w:ascii="宋体" w:hAnsi="宋体" w:hint="eastAsia"/>
          <w:color w:val="000000"/>
          <w:sz w:val="28"/>
          <w:szCs w:val="28"/>
          <w:highlight w:val="white"/>
        </w:rPr>
        <w:t>，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r>
        <w:rPr>
          <w:rFonts w:ascii="宋体" w:hAnsi="宋体"/>
          <w:color w:val="000000"/>
          <w:sz w:val="28"/>
          <w:szCs w:val="28"/>
          <w:highlight w:val="white"/>
        </w:rPr>
        <w:t>。如基金管理人在基金投资运作之前未向基金托管人提供银行间债券市场交易对手名单的，视为基金管理人认可全市场交易对手。</w:t>
      </w:r>
    </w:p>
    <w:p w:rsidR="00B963CD" w14:paraId="7A5126F9"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（五）基金托管人根据有关法律法规的规定及基金合同的约定，对基金管理人投资银行存款进行监督。</w:t>
      </w:r>
    </w:p>
    <w:p w:rsidR="00B963CD" w14:paraId="165127A7"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基金投资银行存款的，基金管理人应根据法律法规的规定及基金合同的约定，建立投资制度、审慎选择存款银行，做好风险控制；并按照基金托管人的要求配合基金托管人完成相关业务办理。</w:t>
      </w:r>
    </w:p>
    <w:p w:rsidR="00B963CD" w14:paraId="426AFB9F"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w:t>
      </w:r>
      <w:r>
        <w:rPr>
          <w:rFonts w:ascii="宋体" w:hAnsi="宋体" w:hint="eastAsia"/>
          <w:color w:val="000000"/>
          <w:sz w:val="28"/>
          <w:szCs w:val="28"/>
          <w:highlight w:val="white"/>
        </w:rPr>
        <w:t>六</w:t>
      </w:r>
      <w:r>
        <w:rPr>
          <w:rFonts w:ascii="宋体" w:hAnsi="宋体"/>
          <w:color w:val="000000"/>
          <w:sz w:val="28"/>
          <w:szCs w:val="28"/>
          <w:highlight w:val="white"/>
        </w:rPr>
        <w:t>）基金托管人根据有关法律法规的规定</w:t>
      </w:r>
      <w:r>
        <w:rPr>
          <w:rFonts w:ascii="宋体" w:hAnsi="宋体" w:hint="eastAsia"/>
          <w:color w:val="000000"/>
          <w:sz w:val="28"/>
          <w:szCs w:val="28"/>
          <w:highlight w:val="white"/>
        </w:rPr>
        <w:t>、中国证监会的规定</w:t>
      </w:r>
      <w:r>
        <w:rPr>
          <w:rFonts w:ascii="宋体" w:hAnsi="宋体"/>
          <w:color w:val="000000"/>
          <w:sz w:val="28"/>
          <w:szCs w:val="28"/>
          <w:highlight w:val="white"/>
        </w:rPr>
        <w:t>及基金合同的约定，对基金净值信息计算、</w:t>
      </w:r>
      <w:r>
        <w:rPr>
          <w:rFonts w:ascii="宋体" w:hAnsi="宋体" w:hint="eastAsia"/>
          <w:color w:val="000000"/>
          <w:sz w:val="28"/>
          <w:szCs w:val="28"/>
          <w:highlight w:val="white"/>
        </w:rPr>
        <w:t>基金份额申购赎回价格、</w:t>
      </w:r>
      <w:r>
        <w:rPr>
          <w:rFonts w:ascii="宋体" w:hAnsi="宋体"/>
          <w:color w:val="000000"/>
          <w:sz w:val="28"/>
          <w:szCs w:val="28"/>
          <w:highlight w:val="white"/>
        </w:rPr>
        <w:t>应收资金到账、基金费用开支及收入确定、基金收益分配、相关信息披露、基金宣传推介材料中登载基金业绩表现数据等进行监督和核查。</w:t>
      </w:r>
    </w:p>
    <w:p w:rsidR="00B963CD" w14:paraId="1D43E751"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如果基金管理人未经基金托管人的审核擅自将不实的业绩表现数据印制在宣传推介材料上，则基金托管人对此不承担任何责任，并将在发现后立即报告中国证监会。</w:t>
      </w:r>
    </w:p>
    <w:p w:rsidR="00B963CD" w14:paraId="510DDF1F" w14:textId="77777777">
      <w:pPr>
        <w:pStyle w:val="CharCharChar1"/>
        <w:spacing w:line="360" w:lineRule="auto"/>
        <w:ind w:firstLine="560"/>
        <w:rPr>
          <w:rFonts w:ascii="宋体" w:hAnsi="宋体"/>
          <w:sz w:val="28"/>
          <w:szCs w:val="28"/>
        </w:rPr>
      </w:pPr>
      <w:r>
        <w:rPr>
          <w:rFonts w:ascii="宋体" w:hAnsi="宋体" w:hint="eastAsia"/>
          <w:sz w:val="28"/>
          <w:szCs w:val="28"/>
          <w:highlight w:val="white"/>
        </w:rPr>
        <w:t>（七）基金托管人</w:t>
      </w:r>
      <w:r>
        <w:rPr>
          <w:rFonts w:ascii="宋体" w:hAnsi="宋体"/>
          <w:sz w:val="28"/>
          <w:szCs w:val="28"/>
          <w:highlight w:val="white"/>
        </w:rPr>
        <w:t>根据有关法律法规的规定及基金合同的约定</w:t>
      </w:r>
      <w:r>
        <w:rPr>
          <w:rFonts w:ascii="宋体" w:hAnsi="宋体" w:hint="eastAsia"/>
          <w:sz w:val="28"/>
          <w:szCs w:val="28"/>
          <w:highlight w:val="white"/>
        </w:rPr>
        <w:t>，对基金投资流通受限证券进行监督。</w:t>
      </w:r>
    </w:p>
    <w:p w:rsidR="00B963CD" w14:paraId="1C359A28" w14:textId="77777777">
      <w:pPr>
        <w:pStyle w:val="CharCharChar1"/>
        <w:spacing w:line="360" w:lineRule="auto"/>
        <w:ind w:firstLine="560"/>
        <w:rPr>
          <w:rFonts w:ascii="宋体" w:hAnsi="宋体"/>
          <w:sz w:val="28"/>
          <w:szCs w:val="28"/>
        </w:rPr>
      </w:pPr>
      <w:r>
        <w:rPr>
          <w:rFonts w:ascii="宋体" w:hAnsi="宋体" w:hint="eastAsia"/>
          <w:sz w:val="28"/>
          <w:szCs w:val="28"/>
          <w:highlight w:val="white"/>
        </w:rPr>
        <w:t>1、基金投资流通受限证券，应遵守《关于基金投资非公开发行股票等流通受限证券有关问题的通知》等有关法律法规规定。</w:t>
      </w:r>
    </w:p>
    <w:p w:rsidR="00B963CD" w14:paraId="4F67A79A" w14:textId="77777777">
      <w:pPr>
        <w:pStyle w:val="CharCharChar1"/>
        <w:spacing w:line="360" w:lineRule="auto"/>
        <w:ind w:firstLine="560"/>
        <w:rPr>
          <w:rFonts w:ascii="宋体" w:hAnsi="宋体"/>
          <w:sz w:val="28"/>
          <w:szCs w:val="28"/>
        </w:rPr>
      </w:pPr>
      <w:r>
        <w:rPr>
          <w:rFonts w:ascii="宋体" w:hAnsi="宋体" w:hint="eastAsia"/>
          <w:sz w:val="28"/>
          <w:szCs w:val="28"/>
          <w:highlight w:val="white"/>
        </w:rPr>
        <w:t xml:space="preserve">2、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                                                    </w:t>
      </w:r>
    </w:p>
    <w:p w:rsidR="00B963CD" w14:paraId="5695AC31" w14:textId="77777777">
      <w:pPr>
        <w:pStyle w:val="CharCharChar1"/>
        <w:spacing w:line="360" w:lineRule="auto"/>
        <w:ind w:firstLine="560"/>
        <w:rPr>
          <w:rFonts w:ascii="宋体" w:hAnsi="宋体"/>
          <w:sz w:val="28"/>
          <w:szCs w:val="28"/>
        </w:rPr>
      </w:pPr>
      <w:r>
        <w:rPr>
          <w:rFonts w:ascii="宋体" w:hAnsi="宋体" w:hint="eastAsia"/>
          <w:sz w:val="28"/>
          <w:szCs w:val="28"/>
          <w:highlight w:val="white"/>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B963CD" w14:paraId="46FBA732" w14:textId="77777777">
      <w:pPr>
        <w:pStyle w:val="CharCharChar1"/>
        <w:spacing w:line="360" w:lineRule="auto"/>
        <w:ind w:firstLine="560"/>
        <w:rPr>
          <w:rFonts w:ascii="宋体" w:hAnsi="宋体"/>
          <w:sz w:val="28"/>
          <w:szCs w:val="28"/>
        </w:rPr>
      </w:pPr>
      <w:r>
        <w:rPr>
          <w:rFonts w:ascii="宋体" w:hAnsi="宋体" w:hint="eastAsia"/>
          <w:sz w:val="28"/>
          <w:szCs w:val="28"/>
          <w:highlight w:val="white"/>
        </w:rPr>
        <w:t>4、在投资流通受限证券之前，基金管理人应提前向基金托管人提供有关流通受限证券的相关信息，具体应当包括但不限于如下文件（如有）：</w:t>
      </w:r>
    </w:p>
    <w:p w:rsidR="00B963CD" w14:paraId="3F4A095F" w14:textId="77777777">
      <w:pPr>
        <w:pStyle w:val="CharCharChar1"/>
        <w:spacing w:line="360" w:lineRule="auto"/>
        <w:ind w:firstLine="560"/>
        <w:rPr>
          <w:rFonts w:ascii="宋体" w:hAnsi="宋体"/>
          <w:sz w:val="28"/>
          <w:szCs w:val="28"/>
        </w:rPr>
      </w:pPr>
      <w:r>
        <w:rPr>
          <w:rFonts w:ascii="宋体" w:hAnsi="宋体" w:hint="eastAsia"/>
          <w:sz w:val="28"/>
          <w:szCs w:val="28"/>
          <w:highlight w:val="white"/>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B963CD" w14:paraId="1656640C" w14:textId="77777777">
      <w:pPr>
        <w:pStyle w:val="Char0"/>
        <w:spacing w:line="360" w:lineRule="auto"/>
        <w:ind w:firstLine="560"/>
        <w:rPr>
          <w:rFonts w:ascii="宋体" w:hAnsi="宋体"/>
          <w:sz w:val="28"/>
          <w:szCs w:val="28"/>
        </w:rPr>
      </w:pPr>
      <w:r>
        <w:rPr>
          <w:rFonts w:ascii="宋体" w:hAnsi="宋体" w:hint="eastAsia"/>
          <w:sz w:val="28"/>
          <w:szCs w:val="28"/>
          <w:highlight w:val="white"/>
        </w:rPr>
        <w:t>5、</w:t>
      </w:r>
      <w:r>
        <w:rPr>
          <w:rFonts w:ascii="宋体" w:hAnsi="宋体"/>
          <w:sz w:val="28"/>
          <w:szCs w:val="28"/>
          <w:highlight w:val="white"/>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B963CD" w14:paraId="0B48CE5E" w14:textId="77777777">
      <w:pPr>
        <w:pStyle w:val="CharCharChar1"/>
        <w:spacing w:line="360" w:lineRule="auto"/>
        <w:ind w:firstLine="560"/>
        <w:rPr>
          <w:rFonts w:ascii="宋体" w:hAnsi="宋体"/>
          <w:sz w:val="28"/>
          <w:szCs w:val="28"/>
        </w:rPr>
      </w:pPr>
      <w:r>
        <w:rPr>
          <w:rFonts w:ascii="宋体" w:hAnsi="宋体" w:hint="eastAsia"/>
          <w:sz w:val="28"/>
          <w:szCs w:val="28"/>
          <w:highlight w:val="white"/>
        </w:rPr>
        <w:t>6、基金管理人应保证基金投资的受限证券登记存管在本基金名下，并确保基金托管人能够正常查询。因基金管理人原因产生的受限证券登记存管问题，造成基金财产的损失或基金托管人无法安全保管基金财产的责任与损失，由基金管理人承担。</w:t>
      </w:r>
    </w:p>
    <w:p w:rsidR="00B963CD" w14:paraId="0321B3DC" w14:textId="77777777">
      <w:pPr>
        <w:pStyle w:val="CharCharChar1"/>
        <w:spacing w:line="360" w:lineRule="auto"/>
        <w:ind w:firstLine="560"/>
        <w:rPr>
          <w:rFonts w:ascii="宋体" w:hAnsi="宋体"/>
          <w:sz w:val="28"/>
          <w:szCs w:val="28"/>
        </w:rPr>
      </w:pPr>
      <w:r>
        <w:rPr>
          <w:rFonts w:ascii="宋体" w:hAnsi="宋体" w:hint="eastAsia"/>
          <w:sz w:val="28"/>
          <w:szCs w:val="28"/>
          <w:highlight w:val="white"/>
        </w:rPr>
        <w:t>7、如果基金管理人未按照本协议的约定向基金托管人报送相关数据或者报送了虚假的数据，导致基金托管人不能履行托管人职责的，基金管理人应依法承担相应法律后果。除基金托管人未能依据基金合同及本协议履行职责外，因投资流通受限证券产生的损失，基金托管人按照本协议履行监督职责后不承担上述损失。</w:t>
      </w:r>
    </w:p>
    <w:p w:rsidR="00B963CD" w14:paraId="3EFDABE1" w14:textId="77777777">
      <w:pPr>
        <w:snapToGrid w:val="0"/>
        <w:spacing w:line="360" w:lineRule="auto"/>
        <w:ind w:firstLine="420"/>
        <w:rPr>
          <w:rFonts w:ascii="宋体" w:hAnsi="宋体"/>
          <w:color w:val="000000"/>
          <w:sz w:val="28"/>
          <w:szCs w:val="28"/>
        </w:rPr>
      </w:pPr>
      <w:r>
        <w:rPr>
          <w:rFonts w:ascii="宋体" w:hAnsi="宋体" w:hint="eastAsia"/>
          <w:color w:val="000000"/>
          <w:sz w:val="28"/>
          <w:szCs w:val="28"/>
          <w:highlight w:val="white"/>
        </w:rPr>
        <w:t>（八</w:t>
      </w:r>
      <w:r>
        <w:rPr>
          <w:rFonts w:ascii="宋体" w:hAnsi="宋体"/>
          <w:color w:val="000000"/>
          <w:sz w:val="28"/>
          <w:szCs w:val="28"/>
          <w:highlight w:val="white"/>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w:t>
      </w:r>
      <w:r>
        <w:rPr>
          <w:rFonts w:ascii="宋体" w:hAnsi="宋体" w:hint="eastAsia"/>
          <w:color w:val="000000"/>
          <w:sz w:val="28"/>
          <w:szCs w:val="28"/>
          <w:highlight w:val="white"/>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B963CD" w14:paraId="24B7AFFB"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w:t>
      </w:r>
      <w:r>
        <w:rPr>
          <w:rFonts w:ascii="宋体" w:hAnsi="宋体" w:hint="eastAsia"/>
          <w:color w:val="000000"/>
          <w:sz w:val="28"/>
          <w:szCs w:val="28"/>
          <w:highlight w:val="white"/>
        </w:rPr>
        <w:t>九</w:t>
      </w:r>
      <w:r>
        <w:rPr>
          <w:rFonts w:ascii="宋体" w:hAnsi="宋体"/>
          <w:color w:val="000000"/>
          <w:sz w:val="28"/>
          <w:szCs w:val="28"/>
          <w:highlight w:val="white"/>
        </w:rPr>
        <w:t>）</w:t>
      </w:r>
      <w:r>
        <w:rPr>
          <w:rFonts w:ascii="宋体" w:hAnsi="宋体" w:hint="eastAsia"/>
          <w:color w:val="000000"/>
          <w:sz w:val="28"/>
          <w:szCs w:val="28"/>
          <w:highlight w:val="white"/>
        </w:rPr>
        <w:t>基金管理人有义务配合和协助基金托管人依照法律法规、基金合同和本托管协议对基金业务执行核查。对基金托管人发出的书面提示，基金管理人应在规定时间内答复并改正，或就基金托管人的疑义进行解释或举证；</w:t>
      </w:r>
      <w:r>
        <w:rPr>
          <w:rFonts w:ascii="宋体" w:hAnsi="宋体"/>
          <w:color w:val="000000"/>
          <w:sz w:val="28"/>
          <w:szCs w:val="28"/>
          <w:highlight w:val="white"/>
        </w:rPr>
        <w:t>对基金托管人按照法规要求需向中国证监会报送基金监督报告的事项，基金管理人应积极配合提供相关数据资料和制度等。</w:t>
      </w:r>
    </w:p>
    <w:p w:rsidR="00B963CD" w14:paraId="35E7077A" w14:textId="77777777">
      <w:pPr>
        <w:snapToGrid w:val="0"/>
        <w:spacing w:line="360" w:lineRule="auto"/>
        <w:ind w:firstLine="480"/>
        <w:rPr>
          <w:rFonts w:ascii="宋体" w:hAnsi="宋体"/>
          <w:sz w:val="28"/>
        </w:rPr>
      </w:pPr>
      <w:r>
        <w:rPr>
          <w:rFonts w:ascii="宋体" w:hAnsi="宋体"/>
          <w:color w:val="000000"/>
          <w:sz w:val="28"/>
          <w:szCs w:val="28"/>
          <w:highlight w:val="white"/>
        </w:rPr>
        <w:t>（</w:t>
      </w:r>
      <w:r>
        <w:rPr>
          <w:rFonts w:ascii="宋体" w:hAnsi="宋体" w:hint="eastAsia"/>
          <w:color w:val="000000"/>
          <w:sz w:val="28"/>
          <w:szCs w:val="28"/>
          <w:highlight w:val="white"/>
        </w:rPr>
        <w:t>十</w:t>
      </w:r>
      <w:r>
        <w:rPr>
          <w:rFonts w:ascii="宋体" w:hAnsi="宋体"/>
          <w:color w:val="000000"/>
          <w:sz w:val="28"/>
          <w:szCs w:val="28"/>
          <w:highlight w:val="white"/>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B963CD" w14:paraId="7B169E3F" w14:textId="77777777">
      <w:pPr>
        <w:pStyle w:val="21"/>
        <w:spacing w:line="360" w:lineRule="auto"/>
        <w:jc w:val="center"/>
        <w:rPr>
          <w:rFonts w:ascii="宋体" w:eastAsia="宋体" w:hAnsi="宋体"/>
          <w:color w:val="000000"/>
          <w:sz w:val="28"/>
        </w:rPr>
      </w:pPr>
      <w:bookmarkStart w:id="13" w:name="_Toc86727355"/>
      <w:bookmarkStart w:id="14" w:name="_Toc110761796"/>
      <w:bookmarkStart w:id="15" w:name="_Toc108512358"/>
      <w:bookmarkStart w:id="16" w:name="_Toc86223242"/>
      <w:bookmarkStart w:id="17" w:name="_Toc120435783"/>
      <w:bookmarkStart w:id="18" w:name="_Toc119402710"/>
      <w:bookmarkStart w:id="19" w:name="_Toc145818938"/>
      <w:bookmarkStart w:id="20" w:name="_Toc86225291"/>
      <w:bookmarkStart w:id="21" w:name="_Toc86737929"/>
      <w:bookmarkStart w:id="22" w:name="_Toc89163368"/>
      <w:bookmarkStart w:id="23" w:name="_Toc86726439"/>
      <w:bookmarkStart w:id="24" w:name="_Toc118972648"/>
      <w:bookmarkStart w:id="25" w:name="_Toc118212950"/>
      <w:bookmarkStart w:id="26" w:name="_Toc110765660"/>
      <w:bookmarkStart w:id="27" w:name="_Toc118774803"/>
      <w:bookmarkStart w:id="28" w:name="_Toc86649722"/>
      <w:bookmarkStart w:id="29" w:name="_Toc110830492"/>
      <w:r>
        <w:rPr>
          <w:rFonts w:ascii="宋体" w:eastAsia="宋体" w:hAnsi="宋体"/>
          <w:color w:val="000000"/>
          <w:sz w:val="28"/>
          <w:highlight w:val="white"/>
        </w:rPr>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B963CD" w14:paraId="2DC1C94E" w14:textId="77777777">
      <w:pPr>
        <w:snapToGrid w:val="0"/>
        <w:spacing w:line="360" w:lineRule="auto"/>
        <w:ind w:firstLine="482"/>
        <w:rPr>
          <w:rFonts w:ascii="宋体" w:hAnsi="宋体"/>
          <w:color w:val="000000"/>
          <w:sz w:val="28"/>
          <w:szCs w:val="28"/>
        </w:rPr>
      </w:pPr>
      <w:r>
        <w:rPr>
          <w:rFonts w:ascii="宋体" w:hAnsi="宋体"/>
          <w:color w:val="000000"/>
          <w:sz w:val="28"/>
          <w:szCs w:val="28"/>
          <w:highlight w:val="white"/>
        </w:rPr>
        <w:t>（一）基金管理人对基金托管人履行托管职责情况进行核查，核查事项包括基金托管人安全保管基金财产、开设基金财产的资金账户和证券账户、复核基金管理人计算的基金净值信息、根据基金管理人指令办理清算交收、相关信息披露和监督基金投资运作等行为。</w:t>
      </w:r>
    </w:p>
    <w:p w:rsidR="00B963CD" w14:paraId="7E5476E5" w14:textId="77777777">
      <w:pPr>
        <w:snapToGrid w:val="0"/>
        <w:spacing w:line="360" w:lineRule="auto"/>
        <w:ind w:firstLine="482"/>
        <w:rPr>
          <w:rFonts w:ascii="宋体" w:hAnsi="宋体"/>
          <w:color w:val="000000"/>
          <w:sz w:val="28"/>
          <w:szCs w:val="28"/>
        </w:rPr>
      </w:pPr>
      <w:r>
        <w:rPr>
          <w:rFonts w:ascii="宋体" w:hAnsi="宋体"/>
          <w:color w:val="000000"/>
          <w:sz w:val="28"/>
          <w:szCs w:val="28"/>
          <w:highlight w:val="white"/>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B963CD" w14:paraId="09622CED" w14:textId="77777777">
      <w:pPr>
        <w:snapToGrid w:val="0"/>
        <w:spacing w:line="360" w:lineRule="auto"/>
        <w:ind w:firstLine="482"/>
        <w:rPr>
          <w:rFonts w:ascii="宋体" w:hAnsi="宋体"/>
          <w:color w:val="000000"/>
          <w:sz w:val="28"/>
          <w:szCs w:val="28"/>
        </w:rPr>
      </w:pPr>
      <w:r>
        <w:rPr>
          <w:rFonts w:ascii="宋体" w:hAnsi="宋体"/>
          <w:color w:val="000000"/>
          <w:sz w:val="28"/>
          <w:szCs w:val="28"/>
          <w:highlight w:val="white"/>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963CD" w14:paraId="16622BC9" w14:textId="77777777">
      <w:pPr>
        <w:pStyle w:val="21"/>
        <w:spacing w:line="360" w:lineRule="auto"/>
        <w:jc w:val="center"/>
        <w:rPr>
          <w:rFonts w:ascii="宋体" w:eastAsia="宋体" w:hAnsi="宋体"/>
          <w:color w:val="000000"/>
          <w:sz w:val="28"/>
        </w:rPr>
      </w:pPr>
      <w:bookmarkStart w:id="30" w:name="_Toc86737930"/>
      <w:bookmarkStart w:id="31" w:name="_Toc86649723"/>
      <w:bookmarkStart w:id="32" w:name="_Toc110830493"/>
      <w:bookmarkStart w:id="33" w:name="_Toc84133786"/>
      <w:bookmarkStart w:id="34" w:name="_Toc86726440"/>
      <w:bookmarkStart w:id="35" w:name="_Toc110765661"/>
      <w:bookmarkStart w:id="36" w:name="_Toc84234388"/>
      <w:bookmarkStart w:id="37" w:name="_Toc110761797"/>
      <w:bookmarkStart w:id="38" w:name="_Toc118212951"/>
      <w:bookmarkStart w:id="39" w:name="_Toc120435784"/>
      <w:bookmarkStart w:id="40" w:name="_Toc118972649"/>
      <w:bookmarkStart w:id="41" w:name="_Toc118774804"/>
      <w:bookmarkStart w:id="42" w:name="_Toc84234435"/>
      <w:bookmarkStart w:id="43" w:name="_Toc89163369"/>
      <w:bookmarkStart w:id="44" w:name="_Toc86223243"/>
      <w:bookmarkStart w:id="45" w:name="_Toc86225292"/>
      <w:bookmarkStart w:id="46" w:name="_Toc86204789"/>
      <w:bookmarkStart w:id="47" w:name="_Toc108512359"/>
      <w:bookmarkStart w:id="48" w:name="_Toc119402711"/>
      <w:bookmarkStart w:id="49" w:name="_Toc145818939"/>
      <w:bookmarkStart w:id="50" w:name="_Toc86727356"/>
      <w:r>
        <w:rPr>
          <w:rFonts w:ascii="宋体" w:eastAsia="宋体" w:hAnsi="宋体"/>
          <w:color w:val="000000"/>
          <w:sz w:val="28"/>
          <w:highlight w:val="white"/>
        </w:rPr>
        <w:t>五、基金财产的保管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B963CD" w14:paraId="4F366D86"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（一）基金财产保管的原则</w:t>
      </w:r>
    </w:p>
    <w:p w:rsidR="00B963CD" w14:paraId="76148DA9"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1、基金财产应独立于基金管理人、基金托管人、证券/期货经纪机构的固有财产。</w:t>
      </w:r>
    </w:p>
    <w:p w:rsidR="00B963CD" w14:paraId="0D8B8063"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w:t>
      </w:r>
      <w:r>
        <w:rPr>
          <w:rFonts w:ascii="宋体" w:hAnsi="宋体"/>
          <w:color w:val="000000"/>
          <w:sz w:val="28"/>
          <w:szCs w:val="28"/>
          <w:highlight w:val="white"/>
        </w:rPr>
        <w:t>基金托管人应安全保管基金财产。</w:t>
      </w:r>
      <w:r>
        <w:rPr>
          <w:rFonts w:ascii="宋体" w:hAnsi="宋体" w:hint="eastAsia"/>
          <w:color w:val="000000"/>
          <w:sz w:val="28"/>
          <w:szCs w:val="28"/>
          <w:highlight w:val="white"/>
        </w:rPr>
        <w:t>未经基金管理人依据合法程序作出的合法合规指令，基金托管人不得自行运用、处分、分配基金的任何财产。</w:t>
      </w:r>
    </w:p>
    <w:p w:rsidR="00B963CD" w14:paraId="3BC91056"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3</w:t>
      </w:r>
      <w:r>
        <w:rPr>
          <w:rFonts w:ascii="宋体" w:hAnsi="宋体" w:hint="eastAsia"/>
          <w:color w:val="000000"/>
          <w:sz w:val="28"/>
          <w:szCs w:val="28"/>
          <w:highlight w:val="white"/>
        </w:rPr>
        <w:t>、</w:t>
      </w:r>
      <w:r>
        <w:rPr>
          <w:rFonts w:ascii="宋体" w:hAnsi="宋体"/>
          <w:color w:val="000000"/>
          <w:sz w:val="28"/>
          <w:szCs w:val="28"/>
          <w:highlight w:val="white"/>
        </w:rPr>
        <w:t>基金托管人按照规定开设基金财产的资金账户和证券账户。</w:t>
      </w:r>
    </w:p>
    <w:p w:rsidR="00B963CD" w14:paraId="2B8479D4"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4</w:t>
      </w:r>
      <w:r>
        <w:rPr>
          <w:rFonts w:ascii="宋体" w:hAnsi="宋体" w:hint="eastAsia"/>
          <w:color w:val="000000"/>
          <w:sz w:val="28"/>
          <w:szCs w:val="28"/>
          <w:highlight w:val="white"/>
        </w:rPr>
        <w:t>、</w:t>
      </w:r>
      <w:r>
        <w:rPr>
          <w:rFonts w:ascii="宋体" w:hAnsi="宋体"/>
          <w:color w:val="000000"/>
          <w:sz w:val="28"/>
          <w:szCs w:val="28"/>
          <w:highlight w:val="white"/>
        </w:rPr>
        <w:t>基金托管人对所托管的不同基金财产分别设置账户，确保基金财产的完整与独立。</w:t>
      </w:r>
    </w:p>
    <w:p w:rsidR="00B963CD" w14:paraId="1442718A"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5</w:t>
      </w:r>
      <w:r>
        <w:rPr>
          <w:rFonts w:ascii="宋体" w:hAnsi="宋体" w:hint="eastAsia"/>
          <w:color w:val="000000"/>
          <w:sz w:val="28"/>
          <w:szCs w:val="28"/>
          <w:highlight w:val="white"/>
        </w:rPr>
        <w:t>、</w:t>
      </w:r>
      <w:r>
        <w:rPr>
          <w:rFonts w:ascii="宋体" w:hAnsi="宋体"/>
          <w:color w:val="000000"/>
          <w:sz w:val="28"/>
          <w:szCs w:val="28"/>
          <w:highlight w:val="white"/>
        </w:rPr>
        <w:t>基金托管人根据基金管理人的指令，按照基金合同和本协议的约定保管基金财产，如有特殊情况双方可另行协商解决。</w:t>
      </w:r>
    </w:p>
    <w:p w:rsidR="00B963CD" w14:paraId="540A8576"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6</w:t>
      </w:r>
      <w:r>
        <w:rPr>
          <w:rFonts w:ascii="宋体" w:hAnsi="宋体" w:hint="eastAsia"/>
          <w:color w:val="000000"/>
          <w:sz w:val="28"/>
          <w:szCs w:val="28"/>
          <w:highlight w:val="white"/>
        </w:rPr>
        <w:t>、</w:t>
      </w:r>
      <w:r>
        <w:rPr>
          <w:rFonts w:ascii="宋体" w:hAnsi="宋体"/>
          <w:color w:val="000000"/>
          <w:sz w:val="28"/>
          <w:szCs w:val="28"/>
          <w:highlight w:val="white"/>
        </w:rPr>
        <w:t>对于因为基金投资产生的应收资产，</w:t>
      </w:r>
      <w:r>
        <w:rPr>
          <w:rFonts w:ascii="宋体" w:hAnsi="宋体" w:hint="eastAsia"/>
          <w:color w:val="000000"/>
          <w:sz w:val="28"/>
          <w:szCs w:val="28"/>
          <w:highlight w:val="white"/>
        </w:rPr>
        <w:t>如基金托管人无法从公开信息或基金管理人提供的书面资料中获取到账日期信息的，</w:t>
      </w:r>
      <w:r>
        <w:rPr>
          <w:rFonts w:ascii="宋体" w:hAnsi="宋体"/>
          <w:color w:val="000000"/>
          <w:sz w:val="28"/>
          <w:szCs w:val="28"/>
          <w:highlight w:val="white"/>
        </w:rPr>
        <w:t>应由基金管理人负责与有关当事人确定到账日期并通知基金托管人，到账日基金财产没有到达基金账户的，基金托管人应及时通知基金管理人采取措施进行催收。由此给基金</w:t>
      </w:r>
      <w:r>
        <w:rPr>
          <w:rFonts w:ascii="宋体" w:hAnsi="宋体" w:hint="eastAsia"/>
          <w:color w:val="000000"/>
          <w:sz w:val="28"/>
          <w:szCs w:val="28"/>
          <w:highlight w:val="white"/>
        </w:rPr>
        <w:t>财产</w:t>
      </w:r>
      <w:r>
        <w:rPr>
          <w:rFonts w:ascii="宋体" w:hAnsi="宋体"/>
          <w:color w:val="000000"/>
          <w:sz w:val="28"/>
          <w:szCs w:val="28"/>
          <w:highlight w:val="white"/>
        </w:rPr>
        <w:t>造成损失的，基金托管人对此不承担任何责任。</w:t>
      </w:r>
    </w:p>
    <w:p w:rsidR="00B963CD" w14:paraId="32AEE0E7"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7</w:t>
      </w:r>
      <w:r>
        <w:rPr>
          <w:rFonts w:ascii="宋体" w:hAnsi="宋体" w:hint="eastAsia"/>
          <w:color w:val="000000"/>
          <w:sz w:val="28"/>
          <w:szCs w:val="28"/>
          <w:highlight w:val="white"/>
        </w:rPr>
        <w:t>、</w:t>
      </w:r>
      <w:r>
        <w:rPr>
          <w:rFonts w:ascii="宋体" w:hAnsi="宋体"/>
          <w:color w:val="000000"/>
          <w:sz w:val="28"/>
          <w:szCs w:val="28"/>
          <w:highlight w:val="white"/>
        </w:rPr>
        <w:t>除依据法律法规和基金合同的规定外，基金托管人不得委托第三人托管基金财产。</w:t>
      </w:r>
    </w:p>
    <w:p w:rsidR="00B963CD" w14:paraId="79F6BA02"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（二）基金募集期间及募集资金的验资</w:t>
      </w:r>
    </w:p>
    <w:p w:rsidR="00B963CD" w14:paraId="094AD27F" w14:textId="77777777">
      <w:pPr>
        <w:spacing w:line="360" w:lineRule="auto"/>
        <w:ind w:firstLine="480"/>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w:t>
      </w:r>
      <w:r>
        <w:rPr>
          <w:rFonts w:ascii="宋体" w:hAnsi="宋体"/>
          <w:color w:val="000000"/>
          <w:sz w:val="28"/>
          <w:szCs w:val="28"/>
          <w:highlight w:val="white"/>
        </w:rPr>
        <w:t>基金募集期间的资金应存于基金</w:t>
      </w:r>
      <w:r>
        <w:rPr>
          <w:rFonts w:ascii="宋体" w:hAnsi="宋体" w:hint="eastAsia"/>
          <w:color w:val="000000"/>
          <w:sz w:val="28"/>
          <w:szCs w:val="28"/>
          <w:highlight w:val="white"/>
        </w:rPr>
        <w:t>认购专户。</w:t>
      </w:r>
    </w:p>
    <w:p w:rsidR="00B963CD" w14:paraId="1679F7AE"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w:t>
      </w:r>
      <w:r>
        <w:rPr>
          <w:rFonts w:ascii="宋体" w:hAnsi="宋体"/>
          <w:sz w:val="28"/>
          <w:szCs w:val="28"/>
          <w:highlight w:val="white"/>
        </w:rPr>
        <w:t>基金募集期满或基金停止募集时，募集的基金份额总额、基金募集金额、基金份额持有人人数符合《基金法》、《运作办法》等有关规定后，属于基金财产的全部资金应划入基金托管人开立的基金</w:t>
      </w:r>
      <w:r>
        <w:rPr>
          <w:rFonts w:ascii="宋体" w:hAnsi="宋体" w:hint="eastAsia"/>
          <w:sz w:val="28"/>
          <w:szCs w:val="28"/>
          <w:highlight w:val="white"/>
        </w:rPr>
        <w:t>托管资金账户</w:t>
      </w:r>
      <w:r>
        <w:rPr>
          <w:rFonts w:ascii="宋体" w:hAnsi="宋体"/>
          <w:sz w:val="28"/>
          <w:szCs w:val="28"/>
          <w:highlight w:val="white"/>
        </w:rPr>
        <w:t>，同时在规定时间内，聘请</w:t>
      </w:r>
      <w:r>
        <w:rPr>
          <w:rFonts w:ascii="宋体" w:hAnsi="宋体" w:hint="eastAsia"/>
          <w:sz w:val="28"/>
          <w:szCs w:val="28"/>
          <w:highlight w:val="white"/>
        </w:rPr>
        <w:t>符合《证券法》规定的</w:t>
      </w:r>
      <w:r>
        <w:rPr>
          <w:rFonts w:ascii="宋体" w:hAnsi="宋体"/>
          <w:sz w:val="28"/>
          <w:szCs w:val="28"/>
          <w:highlight w:val="white"/>
        </w:rPr>
        <w:t>会计师事务所进行验资，出具验资报告。出具的验资报告由参加验资的2名或2名以上中国注册会计师签字方为有效。</w:t>
      </w:r>
    </w:p>
    <w:p w:rsidR="00B963CD" w14:paraId="601F81C3"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3</w:t>
      </w:r>
      <w:r>
        <w:rPr>
          <w:rFonts w:ascii="宋体" w:hAnsi="宋体" w:hint="eastAsia"/>
          <w:color w:val="000000"/>
          <w:sz w:val="28"/>
          <w:szCs w:val="28"/>
          <w:highlight w:val="white"/>
        </w:rPr>
        <w:t>、</w:t>
      </w:r>
      <w:r>
        <w:rPr>
          <w:rFonts w:ascii="宋体" w:hAnsi="宋体"/>
          <w:color w:val="000000"/>
          <w:sz w:val="28"/>
          <w:szCs w:val="28"/>
          <w:highlight w:val="white"/>
        </w:rPr>
        <w:t>若基金募集期限届满，未能达到基金合同生效的条件，由基金管理人按规定办理退款等事宜</w:t>
      </w:r>
      <w:r>
        <w:rPr>
          <w:rFonts w:ascii="宋体" w:hAnsi="宋体" w:hint="eastAsia"/>
          <w:color w:val="000000"/>
          <w:sz w:val="28"/>
          <w:szCs w:val="28"/>
          <w:highlight w:val="white"/>
        </w:rPr>
        <w:t>，基金托管人应提供充分协助</w:t>
      </w:r>
      <w:r>
        <w:rPr>
          <w:rFonts w:ascii="宋体" w:hAnsi="宋体"/>
          <w:color w:val="000000"/>
          <w:sz w:val="28"/>
          <w:szCs w:val="28"/>
          <w:highlight w:val="white"/>
        </w:rPr>
        <w:t>。</w:t>
      </w:r>
    </w:p>
    <w:p w:rsidR="00B963CD" w14:paraId="33C1EE7B"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（三）基金资金账户的开立和管理</w:t>
      </w:r>
    </w:p>
    <w:p w:rsidR="00B963CD" w14:paraId="31E6B9F4"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1、基金托管人</w:t>
      </w:r>
      <w:r>
        <w:rPr>
          <w:rFonts w:ascii="宋体" w:hAnsi="宋体" w:hint="eastAsia"/>
          <w:sz w:val="28"/>
          <w:szCs w:val="28"/>
          <w:highlight w:val="white"/>
        </w:rPr>
        <w:t>应负责本基金的资金账户的开设和管理</w:t>
      </w:r>
      <w:r>
        <w:rPr>
          <w:rFonts w:ascii="宋体" w:hAnsi="宋体"/>
          <w:color w:val="000000"/>
          <w:sz w:val="28"/>
          <w:szCs w:val="28"/>
          <w:highlight w:val="white"/>
        </w:rPr>
        <w:t>。</w:t>
      </w:r>
    </w:p>
    <w:p w:rsidR="00B963CD" w14:paraId="7B78943D" w14:textId="77777777">
      <w:pPr>
        <w:snapToGrid w:val="0"/>
        <w:spacing w:line="360" w:lineRule="auto"/>
        <w:ind w:firstLine="480"/>
        <w:rPr>
          <w:rFonts w:ascii="宋体" w:hAnsi="宋体"/>
          <w:sz w:val="28"/>
          <w:szCs w:val="28"/>
        </w:rPr>
      </w:pPr>
      <w:r>
        <w:rPr>
          <w:rFonts w:ascii="宋体" w:hAnsi="宋体"/>
          <w:color w:val="000000"/>
          <w:sz w:val="28"/>
          <w:szCs w:val="28"/>
          <w:highlight w:val="white"/>
        </w:rPr>
        <w:t>2、</w:t>
      </w:r>
      <w:r>
        <w:rPr>
          <w:rFonts w:ascii="宋体" w:hAnsi="宋体" w:hint="eastAsia"/>
          <w:sz w:val="28"/>
          <w:szCs w:val="28"/>
          <w:highlight w:val="white"/>
        </w:rPr>
        <w:t>基金托管人可以本基金的名义在其营业机构开设本基金的资金账户</w:t>
      </w:r>
      <w:r>
        <w:rPr>
          <w:rFonts w:ascii="宋体" w:hAnsi="宋体"/>
          <w:color w:val="000000"/>
          <w:sz w:val="28"/>
          <w:szCs w:val="28"/>
          <w:highlight w:val="white"/>
        </w:rPr>
        <w:t>，并根据基金管理人合法合规的指令办理资金收付</w:t>
      </w:r>
      <w:r>
        <w:rPr>
          <w:rFonts w:ascii="宋体" w:hAnsi="宋体" w:hint="eastAsia"/>
          <w:sz w:val="28"/>
          <w:szCs w:val="28"/>
          <w:highlight w:val="white"/>
        </w:rPr>
        <w:t>。本基金的银行预留印鉴由基金托管人保管和使用。本基金的一切货币收支活动，包括但不限于投资、支付赎回金额、支付基金收益、收取申购款，均需通过本基金的资金账户进行。</w:t>
      </w:r>
    </w:p>
    <w:p w:rsidR="00B963CD" w14:paraId="5BDBD6C1" w14:textId="77777777">
      <w:pPr>
        <w:snapToGrid w:val="0"/>
        <w:spacing w:line="360" w:lineRule="auto"/>
        <w:ind w:firstLine="560"/>
        <w:rPr>
          <w:rFonts w:ascii="宋体" w:hAnsi="宋体"/>
          <w:color w:val="000000"/>
          <w:sz w:val="28"/>
          <w:szCs w:val="28"/>
        </w:rPr>
      </w:pPr>
      <w:r>
        <w:rPr>
          <w:rFonts w:ascii="宋体" w:hAnsi="宋体" w:hint="eastAsia"/>
          <w:sz w:val="28"/>
          <w:szCs w:val="28"/>
          <w:highlight w:val="white"/>
        </w:rPr>
        <w:t>3、</w:t>
      </w:r>
      <w:r>
        <w:rPr>
          <w:rFonts w:ascii="宋体" w:hAnsi="宋体"/>
          <w:color w:val="000000"/>
          <w:sz w:val="28"/>
          <w:szCs w:val="28"/>
          <w:highlight w:val="white"/>
        </w:rPr>
        <w:t>基金</w:t>
      </w:r>
      <w:r>
        <w:rPr>
          <w:rFonts w:ascii="宋体" w:hAnsi="宋体" w:hint="eastAsia"/>
          <w:color w:val="000000"/>
          <w:sz w:val="28"/>
          <w:szCs w:val="28"/>
          <w:highlight w:val="white"/>
        </w:rPr>
        <w:t>托管资金账户</w:t>
      </w:r>
      <w:r>
        <w:rPr>
          <w:rFonts w:ascii="宋体" w:hAnsi="宋体"/>
          <w:color w:val="000000"/>
          <w:sz w:val="28"/>
          <w:szCs w:val="28"/>
          <w:highlight w:val="white"/>
        </w:rPr>
        <w:t>的开立和使用，限于满足开展本基金业务的需要。基金托管人和基金管理人不得假借本基金的名义开立任何其他银行账户；亦不得使用基金的任何账户进行本基金业务以外的活动。</w:t>
      </w:r>
    </w:p>
    <w:p w:rsidR="00B963CD" w14:paraId="1BCA87DA"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4、</w:t>
      </w:r>
      <w:r>
        <w:rPr>
          <w:rFonts w:ascii="宋体" w:hAnsi="宋体"/>
          <w:color w:val="000000"/>
          <w:sz w:val="28"/>
          <w:szCs w:val="28"/>
          <w:highlight w:val="white"/>
        </w:rPr>
        <w:t>基金</w:t>
      </w:r>
      <w:r>
        <w:rPr>
          <w:rFonts w:ascii="宋体" w:hAnsi="宋体" w:hint="eastAsia"/>
          <w:color w:val="000000"/>
          <w:sz w:val="28"/>
          <w:szCs w:val="28"/>
          <w:highlight w:val="white"/>
        </w:rPr>
        <w:t>托管</w:t>
      </w:r>
      <w:r>
        <w:rPr>
          <w:rFonts w:ascii="宋体" w:hAnsi="宋体"/>
          <w:color w:val="000000"/>
          <w:sz w:val="28"/>
          <w:szCs w:val="28"/>
          <w:highlight w:val="white"/>
        </w:rPr>
        <w:t>资金账户的开立和管理应符合</w:t>
      </w:r>
      <w:r>
        <w:rPr>
          <w:rFonts w:ascii="宋体" w:hAnsi="宋体" w:hint="eastAsia"/>
          <w:color w:val="000000"/>
          <w:sz w:val="28"/>
          <w:szCs w:val="28"/>
          <w:highlight w:val="white"/>
        </w:rPr>
        <w:t>相关法律法规的有关</w:t>
      </w:r>
      <w:r>
        <w:rPr>
          <w:rFonts w:ascii="宋体" w:hAnsi="宋体"/>
          <w:color w:val="000000"/>
          <w:sz w:val="28"/>
          <w:szCs w:val="28"/>
          <w:highlight w:val="white"/>
        </w:rPr>
        <w:t>规定。</w:t>
      </w:r>
    </w:p>
    <w:p w:rsidR="00B963CD" w14:paraId="43CA7296"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5、</w:t>
      </w:r>
      <w:r>
        <w:rPr>
          <w:rFonts w:ascii="宋体" w:hAnsi="宋体"/>
          <w:color w:val="000000"/>
          <w:sz w:val="28"/>
          <w:szCs w:val="28"/>
          <w:highlight w:val="white"/>
        </w:rPr>
        <w:t>在符合法律法规规定的条件下，基金托管人可以通过基金托管人专用账户办理基金资产的支付。</w:t>
      </w:r>
    </w:p>
    <w:p w:rsidR="00B963CD" w14:paraId="489ACDC4"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（四）基金证券账户与证券交易资金账户的开立和管理</w:t>
      </w:r>
    </w:p>
    <w:p w:rsidR="00B963CD" w14:paraId="75D4B9E8"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1、基金托管人在中国证券登记结算有限责任公司为基金开立基金托管人与基金联名的证券账户。</w:t>
      </w:r>
    </w:p>
    <w:p w:rsidR="00B963CD" w14:paraId="7CECF416"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2、基金证券账户的开立和使用，限于满足开展本基金业务的需要。</w:t>
      </w:r>
    </w:p>
    <w:p w:rsidR="00B963CD" w14:paraId="295CE51B"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3、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rsidR="00B963CD" w14:paraId="6BCE130C"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4、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rsidR="00B963CD" w14:paraId="5BBDB62F"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5、基金管理人承诺证券交易资金账户为证券交易主资金账户，不开立任何辅助资金账户；不为证券交易资金账户另行开立银行托管账户以外的其他银行账户。</w:t>
      </w:r>
    </w:p>
    <w:p w:rsidR="00B963CD" w14:paraId="1803089C"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6、基金证券账户的开立和开户回执的保管由基金托管人负责，账户资产的管理和运用由基金管理人负责。</w:t>
      </w:r>
    </w:p>
    <w:p w:rsidR="00B963CD" w14:paraId="476E12DA"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7、在本托管协议生效日之后，本基金被允许从事其他投资品种的投资业务，涉及相关账户的开设、使用的，按有关规定开设、使用并管理；若无相关规定，则基金托管人应当比照并遵守上述关于账户开设、使用的规定。</w:t>
      </w:r>
    </w:p>
    <w:p w:rsidR="00B963CD" w14:paraId="64D6084A"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（五）债券托管专户的开设和管理</w:t>
      </w:r>
    </w:p>
    <w:p w:rsidR="00B963CD" w14:paraId="0208E996"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基金合同生效后，基金托管人根据中国人民银行、中央国债登记结算有限责任公司</w:t>
      </w:r>
      <w:r>
        <w:rPr>
          <w:rFonts w:ascii="宋体" w:hAnsi="宋体" w:hint="eastAsia"/>
          <w:color w:val="000000"/>
          <w:sz w:val="28"/>
          <w:szCs w:val="28"/>
          <w:highlight w:val="white"/>
        </w:rPr>
        <w:t>、银行间市场清算所股份有限公司</w:t>
      </w:r>
      <w:r>
        <w:rPr>
          <w:rFonts w:ascii="宋体" w:hAnsi="宋体"/>
          <w:color w:val="000000"/>
          <w:sz w:val="28"/>
          <w:szCs w:val="28"/>
          <w:highlight w:val="white"/>
        </w:rPr>
        <w:t>的有关规定，</w:t>
      </w:r>
      <w:r>
        <w:rPr>
          <w:rFonts w:ascii="宋体" w:hAnsi="宋体" w:hint="eastAsia"/>
          <w:color w:val="000000"/>
          <w:sz w:val="28"/>
          <w:szCs w:val="28"/>
          <w:highlight w:val="white"/>
        </w:rPr>
        <w:t>以基金的名义</w:t>
      </w:r>
      <w:r>
        <w:rPr>
          <w:rFonts w:ascii="宋体" w:hAnsi="宋体"/>
          <w:color w:val="000000"/>
          <w:sz w:val="28"/>
          <w:szCs w:val="28"/>
          <w:highlight w:val="white"/>
        </w:rPr>
        <w:t>在中央国债登记结算有限责任公司</w:t>
      </w:r>
      <w:r>
        <w:rPr>
          <w:rFonts w:ascii="宋体" w:hAnsi="宋体" w:hint="eastAsia"/>
          <w:color w:val="000000"/>
          <w:sz w:val="28"/>
          <w:szCs w:val="28"/>
          <w:highlight w:val="white"/>
        </w:rPr>
        <w:t>、银行间市场清算所股份有限公司</w:t>
      </w:r>
      <w:r>
        <w:rPr>
          <w:rFonts w:ascii="宋体" w:hAnsi="宋体"/>
          <w:color w:val="000000"/>
          <w:sz w:val="28"/>
          <w:szCs w:val="28"/>
          <w:highlight w:val="white"/>
        </w:rPr>
        <w:t>开立债券托管与结算账户，并代表基金进行银行间市场债券的结算。基金管理人代表基金签订全国银行间债券市场债券回购主协议。</w:t>
      </w:r>
    </w:p>
    <w:p w:rsidR="00B963CD" w14:paraId="2AF5C5C8"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（六）其他账户的开立和管理</w:t>
      </w:r>
    </w:p>
    <w:p w:rsidR="00B963CD" w14:paraId="31B15C88"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w:t>
      </w:r>
      <w:r>
        <w:rPr>
          <w:rFonts w:ascii="宋体" w:hAnsi="宋体"/>
          <w:color w:val="000000"/>
          <w:sz w:val="28"/>
          <w:szCs w:val="28"/>
          <w:highlight w:val="white"/>
        </w:rPr>
        <w:t>因业务发展需要而开立的其他账户，可以根据法律法规和基金合同的规定，</w:t>
      </w:r>
      <w:r>
        <w:rPr>
          <w:rFonts w:ascii="宋体" w:hAnsi="宋体" w:hint="eastAsia"/>
          <w:sz w:val="28"/>
          <w:szCs w:val="28"/>
          <w:highlight w:val="white"/>
        </w:rPr>
        <w:t>在</w:t>
      </w:r>
      <w:r>
        <w:rPr>
          <w:rFonts w:ascii="宋体" w:hAnsi="宋体"/>
          <w:sz w:val="28"/>
          <w:szCs w:val="28"/>
          <w:highlight w:val="white"/>
        </w:rPr>
        <w:t>基金</w:t>
      </w:r>
      <w:r>
        <w:rPr>
          <w:rFonts w:ascii="宋体" w:hAnsi="宋体" w:hint="eastAsia"/>
          <w:sz w:val="28"/>
          <w:szCs w:val="28"/>
          <w:highlight w:val="white"/>
        </w:rPr>
        <w:t>管理人和基金</w:t>
      </w:r>
      <w:r>
        <w:rPr>
          <w:rFonts w:ascii="宋体" w:hAnsi="宋体"/>
          <w:sz w:val="28"/>
          <w:szCs w:val="28"/>
          <w:highlight w:val="white"/>
        </w:rPr>
        <w:t>托管人</w:t>
      </w:r>
      <w:r>
        <w:rPr>
          <w:rFonts w:ascii="宋体" w:hAnsi="宋体" w:hint="eastAsia"/>
          <w:sz w:val="28"/>
          <w:szCs w:val="28"/>
          <w:highlight w:val="white"/>
        </w:rPr>
        <w:t>商议后</w:t>
      </w:r>
      <w:r>
        <w:rPr>
          <w:rFonts w:ascii="宋体" w:hAnsi="宋体"/>
          <w:sz w:val="28"/>
          <w:szCs w:val="28"/>
          <w:highlight w:val="white"/>
        </w:rPr>
        <w:t>开立</w:t>
      </w:r>
      <w:r>
        <w:rPr>
          <w:rFonts w:ascii="宋体" w:hAnsi="宋体"/>
          <w:color w:val="000000"/>
          <w:sz w:val="28"/>
          <w:szCs w:val="28"/>
          <w:highlight w:val="white"/>
        </w:rPr>
        <w:t>。新账户按有关规则使用并管理。</w:t>
      </w:r>
    </w:p>
    <w:p w:rsidR="00B963CD" w14:paraId="7C3793D6"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w:t>
      </w:r>
      <w:r>
        <w:rPr>
          <w:rFonts w:ascii="宋体" w:hAnsi="宋体"/>
          <w:color w:val="000000"/>
          <w:sz w:val="28"/>
          <w:szCs w:val="28"/>
          <w:highlight w:val="white"/>
        </w:rPr>
        <w:t>法律法规等有关规定对相关账户的开立和管理另有规定的，从其规定办理。</w:t>
      </w:r>
    </w:p>
    <w:p w:rsidR="00B963CD" w14:paraId="7B2F6F0D"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（七）基金财产投资的有关有价凭证等的保管</w:t>
      </w:r>
    </w:p>
    <w:p w:rsidR="00B963CD" w14:paraId="65C43EBB"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基金财产投资的有关实物证券</w:t>
      </w:r>
      <w:r>
        <w:rPr>
          <w:rFonts w:ascii="宋体" w:hAnsi="宋体" w:hint="eastAsia"/>
          <w:color w:val="000000"/>
          <w:sz w:val="28"/>
          <w:szCs w:val="28"/>
          <w:highlight w:val="white"/>
        </w:rPr>
        <w:t>、</w:t>
      </w:r>
      <w:r>
        <w:rPr>
          <w:rFonts w:ascii="宋体" w:hAnsi="宋体" w:hint="eastAsia"/>
          <w:sz w:val="28"/>
          <w:szCs w:val="28"/>
          <w:highlight w:val="white"/>
        </w:rPr>
        <w:t>银行定期存款存单等有价凭证</w:t>
      </w:r>
      <w:r>
        <w:rPr>
          <w:rFonts w:ascii="宋体" w:hAnsi="宋体"/>
          <w:color w:val="000000"/>
          <w:sz w:val="28"/>
          <w:szCs w:val="28"/>
          <w:highlight w:val="white"/>
        </w:rPr>
        <w:t>由基金托管人</w:t>
      </w:r>
      <w:r>
        <w:rPr>
          <w:rFonts w:ascii="宋体" w:hAnsi="宋体" w:hint="eastAsia"/>
          <w:color w:val="000000"/>
          <w:sz w:val="28"/>
          <w:szCs w:val="28"/>
          <w:highlight w:val="white"/>
        </w:rPr>
        <w:t>负责妥善保管</w:t>
      </w:r>
      <w:r>
        <w:rPr>
          <w:rFonts w:ascii="宋体" w:hAnsi="宋体" w:hint="eastAsia"/>
          <w:sz w:val="28"/>
          <w:szCs w:val="28"/>
          <w:highlight w:val="white"/>
        </w:rPr>
        <w:t>，保管凭证由基金托管人持有</w:t>
      </w:r>
      <w:r>
        <w:rPr>
          <w:rFonts w:ascii="宋体" w:hAnsi="宋体"/>
          <w:color w:val="000000"/>
          <w:sz w:val="28"/>
          <w:szCs w:val="28"/>
          <w:highlight w:val="white"/>
        </w:rPr>
        <w:t>。实物证券的购买和转让，由基金托管人根据基金管理人的指令办理。属于基金托管人实际有效控制下的实物证券在基金托管人保管期间的损坏、灭失，由此产生的责任应由基金托管人承担。</w:t>
      </w:r>
      <w:r>
        <w:rPr>
          <w:rFonts w:ascii="宋体" w:hAnsi="宋体" w:hint="eastAsia"/>
          <w:color w:val="000000"/>
          <w:sz w:val="28"/>
          <w:szCs w:val="28"/>
          <w:highlight w:val="white"/>
        </w:rPr>
        <w:t>托管人对托管人以外机构实际有效控制的证券不承担保管责任。</w:t>
      </w:r>
    </w:p>
    <w:p w:rsidR="00B963CD" w14:paraId="34A77343"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（八）与基金财产有关的重大合同的保管</w:t>
      </w:r>
    </w:p>
    <w:p w:rsidR="00B963CD" w14:paraId="16FD9753" w14:textId="77777777">
      <w:pPr>
        <w:snapToGrid w:val="0"/>
        <w:spacing w:line="360" w:lineRule="auto"/>
        <w:ind w:firstLine="480"/>
        <w:rPr>
          <w:rFonts w:ascii="宋体" w:hAnsi="宋体"/>
          <w:color w:val="000000"/>
          <w:sz w:val="28"/>
        </w:rPr>
      </w:pPr>
      <w:r>
        <w:rPr>
          <w:rFonts w:ascii="宋体" w:hAnsi="宋体" w:hint="eastAsia"/>
          <w:color w:val="000000"/>
          <w:sz w:val="28"/>
          <w:szCs w:val="28"/>
          <w:highlight w:val="white"/>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w:t>
      </w:r>
      <w:r>
        <w:rPr>
          <w:rFonts w:ascii="宋体" w:hAnsi="宋体" w:cs="宋体"/>
          <w:color w:val="000000"/>
          <w:sz w:val="28"/>
          <w:szCs w:val="28"/>
          <w:highlight w:val="white"/>
        </w:rPr>
        <w:t>不少于法律法规规定的最低期限</w:t>
      </w:r>
      <w:r>
        <w:rPr>
          <w:rFonts w:ascii="宋体" w:hAnsi="宋体"/>
          <w:color w:val="000000"/>
          <w:sz w:val="28"/>
          <w:szCs w:val="28"/>
          <w:highlight w:val="white"/>
        </w:rPr>
        <w:t>。</w:t>
      </w:r>
    </w:p>
    <w:p w:rsidR="00B963CD" w14:paraId="19A317A8" w14:textId="77777777">
      <w:pPr>
        <w:pStyle w:val="21"/>
        <w:spacing w:line="360" w:lineRule="auto"/>
        <w:jc w:val="center"/>
        <w:rPr>
          <w:rFonts w:ascii="宋体" w:eastAsia="宋体" w:hAnsi="宋体"/>
          <w:color w:val="000000"/>
          <w:sz w:val="28"/>
        </w:rPr>
      </w:pPr>
      <w:bookmarkStart w:id="51" w:name="_Toc86726441"/>
      <w:bookmarkStart w:id="52" w:name="_Toc84234389"/>
      <w:bookmarkStart w:id="53" w:name="_Toc110761798"/>
      <w:bookmarkStart w:id="54" w:name="_Toc86225293"/>
      <w:bookmarkStart w:id="55" w:name="_Toc145818940"/>
      <w:bookmarkStart w:id="56" w:name="_Toc110830494"/>
      <w:bookmarkStart w:id="57" w:name="_Toc89163370"/>
      <w:bookmarkStart w:id="58" w:name="_Toc118774805"/>
      <w:bookmarkStart w:id="59" w:name="_Toc86223244"/>
      <w:bookmarkStart w:id="60" w:name="_Toc86737931"/>
      <w:bookmarkStart w:id="61" w:name="_Toc86727357"/>
      <w:bookmarkStart w:id="62" w:name="_Toc119402712"/>
      <w:bookmarkStart w:id="63" w:name="_Toc118212952"/>
      <w:bookmarkStart w:id="64" w:name="_Toc84133787"/>
      <w:bookmarkStart w:id="65" w:name="_Toc84234436"/>
      <w:bookmarkStart w:id="66" w:name="_Toc86649724"/>
      <w:bookmarkStart w:id="67" w:name="_Toc118972650"/>
      <w:bookmarkStart w:id="68" w:name="_Toc120435785"/>
      <w:bookmarkStart w:id="69" w:name="_Toc108512360"/>
      <w:bookmarkStart w:id="70" w:name="_Toc86204790"/>
      <w:bookmarkStart w:id="71" w:name="_Toc110765662"/>
      <w:r>
        <w:rPr>
          <w:rFonts w:ascii="宋体" w:eastAsia="宋体" w:hAnsi="宋体"/>
          <w:color w:val="000000"/>
          <w:sz w:val="28"/>
          <w:highlight w:val="white"/>
        </w:rPr>
        <w:t>六、指令的发送、确认及执行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B963CD" w14:paraId="20CF4CF8" w14:textId="77777777">
      <w:pPr>
        <w:snapToGrid w:val="0"/>
        <w:spacing w:line="360" w:lineRule="auto"/>
        <w:ind w:firstLine="480"/>
        <w:rPr>
          <w:rFonts w:ascii="宋体" w:hAnsi="宋体"/>
          <w:sz w:val="28"/>
        </w:rPr>
      </w:pPr>
      <w:r>
        <w:rPr>
          <w:rFonts w:ascii="宋体" w:hAnsi="宋体" w:hint="eastAsia"/>
          <w:sz w:val="28"/>
          <w:highlight w:val="white"/>
        </w:rPr>
        <w:t>基金管理人在运用基金财产时，开展场内证券交易前，基金管理人通过基金托管账户与证券资金账户已建立的第三方存管系统在基金托管账户与证券资金账户之间划款，即银证互转；或由基金托管人根据基金管理人的划款指令执行银证互转。</w:t>
      </w:r>
    </w:p>
    <w:p w:rsidR="00B963CD" w14:paraId="4BC87DC4" w14:textId="77777777">
      <w:pPr>
        <w:snapToGrid w:val="0"/>
        <w:spacing w:line="360" w:lineRule="auto"/>
        <w:ind w:firstLine="480"/>
        <w:rPr>
          <w:rFonts w:ascii="宋体" w:hAnsi="宋体"/>
          <w:sz w:val="28"/>
        </w:rPr>
      </w:pPr>
      <w:r>
        <w:rPr>
          <w:rFonts w:ascii="宋体" w:hAnsi="宋体" w:hint="eastAsia"/>
          <w:sz w:val="28"/>
          <w:highlight w:val="white"/>
        </w:rPr>
        <w:t>基金管理人在运用基金财产时向基金托管人发送场外资金划拨及其他款项收付指令，基金托管人执行基金管理人的指令、办理基金名下的资金往来等有关事项。基金管理人发送指令应采用电子指令或传真或双方共同确认的方式。</w:t>
      </w:r>
    </w:p>
    <w:p w:rsidR="00B963CD" w14:paraId="658DA077" w14:textId="77777777">
      <w:pPr>
        <w:snapToGrid w:val="0"/>
        <w:spacing w:line="360" w:lineRule="auto"/>
        <w:ind w:firstLine="480"/>
        <w:rPr>
          <w:rFonts w:ascii="宋体" w:hAnsi="宋体"/>
          <w:sz w:val="28"/>
        </w:rPr>
      </w:pPr>
      <w:r>
        <w:rPr>
          <w:rFonts w:ascii="宋体" w:hAnsi="宋体" w:hint="eastAsia"/>
          <w:sz w:val="28"/>
          <w:highlight w:val="white"/>
        </w:rPr>
        <w:t>（一）电子指令方式总体约定</w:t>
      </w:r>
    </w:p>
    <w:p w:rsidR="00B963CD" w14:paraId="0551F463" w14:textId="77777777">
      <w:pPr>
        <w:snapToGrid w:val="0"/>
        <w:spacing w:line="360" w:lineRule="auto"/>
        <w:ind w:firstLine="480"/>
        <w:rPr>
          <w:rFonts w:ascii="宋体" w:hAnsi="宋体"/>
          <w:sz w:val="28"/>
        </w:rPr>
      </w:pPr>
      <w:r>
        <w:rPr>
          <w:rFonts w:ascii="宋体" w:hAnsi="宋体" w:hint="eastAsia"/>
          <w:sz w:val="28"/>
          <w:highlight w:val="white"/>
        </w:rPr>
        <w:t>1、基金管理人通过基金托管人提供的清算管理系统客户端发送电子指令，或基金管理人通过调用基金托管人提供的数据接口发送电子指令。</w:t>
      </w:r>
    </w:p>
    <w:p w:rsidR="00B963CD" w14:paraId="341936CF" w14:textId="77777777">
      <w:pPr>
        <w:snapToGrid w:val="0"/>
        <w:spacing w:line="360" w:lineRule="auto"/>
        <w:ind w:firstLine="480"/>
        <w:rPr>
          <w:rFonts w:ascii="宋体" w:hAnsi="宋体"/>
          <w:sz w:val="28"/>
        </w:rPr>
      </w:pPr>
      <w:r>
        <w:rPr>
          <w:rFonts w:ascii="宋体" w:hAnsi="宋体" w:hint="eastAsia"/>
          <w:sz w:val="28"/>
          <w:highlight w:val="white"/>
        </w:rPr>
        <w:t>2、基金托管人向基金管理人提供客户证书，基金管理人认可使用客户证书及相应密码办理相关业务，不会否认其向基金托管人发出的电子指令的效力。凡同时通过客户证书和密码认证的电子指令，均视作基金管理人所为，由此导致的一切后果不由基金托管人承担。</w:t>
      </w:r>
    </w:p>
    <w:p w:rsidR="00B963CD" w14:paraId="4658698F" w14:textId="77777777">
      <w:pPr>
        <w:snapToGrid w:val="0"/>
        <w:spacing w:line="360" w:lineRule="auto"/>
        <w:ind w:firstLine="480"/>
        <w:rPr>
          <w:rFonts w:ascii="宋体" w:hAnsi="宋体"/>
          <w:sz w:val="28"/>
        </w:rPr>
      </w:pPr>
      <w:r>
        <w:rPr>
          <w:rFonts w:ascii="宋体" w:hAnsi="宋体" w:hint="eastAsia"/>
          <w:sz w:val="28"/>
          <w:highlight w:val="white"/>
        </w:rPr>
        <w:t>3、基金管理人应尽到合理注意义务，在安全的环境中使用客户端，采取及时更新防病毒软件、安装系统安全补丁等合理措施；设置安全性较高的密码，避免使用简单密码或容易被他人猜到的密码等；妥善保管客户证书及相应密码。如发生客户证书被盗用、密码泄露等情况，应及时通知基金托管人进行证书变更和密码重置，在证书变更和密码重置之前造成的一切后果，不由基金托管人承担。</w:t>
      </w:r>
    </w:p>
    <w:p w:rsidR="00B963CD" w14:paraId="48D65BEE" w14:textId="77777777">
      <w:pPr>
        <w:snapToGrid w:val="0"/>
        <w:spacing w:line="360" w:lineRule="auto"/>
        <w:ind w:firstLine="480"/>
        <w:rPr>
          <w:rFonts w:ascii="宋体" w:hAnsi="宋体"/>
          <w:sz w:val="28"/>
        </w:rPr>
      </w:pPr>
      <w:r>
        <w:rPr>
          <w:rFonts w:ascii="宋体" w:hAnsi="宋体" w:hint="eastAsia"/>
          <w:sz w:val="28"/>
          <w:highlight w:val="white"/>
        </w:rPr>
        <w:t>当电子指令无法正常发送时，双方按传真或双方共同确认的方式办理相关业务。</w:t>
      </w:r>
    </w:p>
    <w:p w:rsidR="00B963CD" w14:paraId="62919027" w14:textId="77777777">
      <w:pPr>
        <w:spacing w:line="360" w:lineRule="auto"/>
        <w:ind w:firstLine="480"/>
      </w:pPr>
      <w:r>
        <w:rPr>
          <w:rFonts w:ascii="宋体" w:hAnsi="宋体" w:cs="宋体"/>
          <w:color w:val="000000"/>
          <w:sz w:val="28"/>
          <w:highlight w:val="white"/>
        </w:rPr>
        <w:t>（二）基金管理人对发送指令人员的书面授权</w:t>
      </w:r>
    </w:p>
    <w:p w:rsidR="00B963CD" w14:paraId="05540815" w14:textId="77777777">
      <w:pPr>
        <w:spacing w:line="360" w:lineRule="auto"/>
        <w:ind w:firstLine="480"/>
      </w:pPr>
      <w:r>
        <w:rPr>
          <w:rFonts w:ascii="宋体" w:hAnsi="宋体" w:cs="宋体"/>
          <w:color w:val="000000"/>
          <w:sz w:val="28"/>
          <w:highlight w:val="white"/>
        </w:rPr>
        <w:t>1、基金管理人应向基金托管人提供书面授权文件，该文件中应含有基金管理人预留印鉴，该预留印鉴为托管人确定管理人所发送指令表面一致性的唯一依据。基金管理人向托管人发送授权文件后，应及时电话确认，以保证托管人及时查收。</w:t>
      </w:r>
    </w:p>
    <w:p w:rsidR="00B963CD" w14:paraId="03C6ADED" w14:textId="77777777">
      <w:pPr>
        <w:spacing w:line="360" w:lineRule="auto"/>
        <w:ind w:firstLine="480"/>
      </w:pPr>
      <w:r>
        <w:rPr>
          <w:rFonts w:ascii="宋体" w:hAnsi="宋体" w:cs="宋体"/>
          <w:color w:val="000000"/>
          <w:sz w:val="28"/>
          <w:highlight w:val="white"/>
        </w:rPr>
        <w:t>2、基金托管人收到授权文件并经基金管理人电话确认后，授权文件即生效。基金管理人应于以后十个工作日内将授权文件原件送达基金托管人。</w:t>
      </w:r>
    </w:p>
    <w:p w:rsidR="00B963CD" w14:paraId="780B1B96" w14:textId="77777777">
      <w:pPr>
        <w:spacing w:line="360" w:lineRule="auto"/>
        <w:ind w:firstLine="480"/>
      </w:pPr>
      <w:r>
        <w:rPr>
          <w:rFonts w:ascii="宋体" w:hAnsi="宋体" w:cs="宋体"/>
          <w:color w:val="000000"/>
          <w:sz w:val="28"/>
          <w:highlight w:val="white"/>
        </w:rPr>
        <w:t>3、基金管理人和基金托管人对授权文件负有保密义务，其内容不得向被授权人及相关操作人员以外的任何人泄漏。</w:t>
      </w:r>
    </w:p>
    <w:p w:rsidR="00B963CD" w14:paraId="5D2E3610" w14:textId="77777777">
      <w:pPr>
        <w:snapToGrid w:val="0"/>
        <w:spacing w:line="360" w:lineRule="auto"/>
        <w:ind w:firstLine="480"/>
        <w:rPr>
          <w:rFonts w:ascii="宋体" w:hAnsi="宋体"/>
          <w:sz w:val="28"/>
        </w:rPr>
      </w:pPr>
      <w:r>
        <w:rPr>
          <w:rFonts w:ascii="宋体" w:hAnsi="宋体"/>
          <w:sz w:val="28"/>
          <w:highlight w:val="white"/>
        </w:rPr>
        <w:t>（</w:t>
      </w:r>
      <w:r>
        <w:rPr>
          <w:rFonts w:ascii="宋体" w:hAnsi="宋体" w:hint="eastAsia"/>
          <w:sz w:val="28"/>
          <w:highlight w:val="white"/>
        </w:rPr>
        <w:t>三</w:t>
      </w:r>
      <w:r>
        <w:rPr>
          <w:rFonts w:ascii="宋体" w:hAnsi="宋体"/>
          <w:sz w:val="28"/>
          <w:highlight w:val="white"/>
        </w:rPr>
        <w:t>）指令的内容</w:t>
      </w:r>
    </w:p>
    <w:p w:rsidR="00B963CD" w14:paraId="50DCE54B" w14:textId="77777777">
      <w:pPr>
        <w:snapToGrid w:val="0"/>
        <w:spacing w:line="360" w:lineRule="auto"/>
        <w:ind w:firstLine="480"/>
        <w:rPr>
          <w:rFonts w:ascii="宋体" w:hAnsi="宋体"/>
          <w:sz w:val="28"/>
        </w:rPr>
      </w:pPr>
      <w:r>
        <w:rPr>
          <w:rFonts w:ascii="宋体" w:hAnsi="宋体"/>
          <w:sz w:val="28"/>
          <w:highlight w:val="white"/>
        </w:rPr>
        <w:t>1</w:t>
      </w:r>
      <w:r>
        <w:rPr>
          <w:rFonts w:ascii="宋体" w:hAnsi="宋体" w:hint="eastAsia"/>
          <w:sz w:val="28"/>
          <w:highlight w:val="white"/>
        </w:rPr>
        <w:t>、</w:t>
      </w:r>
      <w:r>
        <w:rPr>
          <w:rFonts w:ascii="宋体" w:hAnsi="宋体"/>
          <w:sz w:val="28"/>
          <w:highlight w:val="white"/>
        </w:rPr>
        <w:t>指令包括付款指令(含赎回、分红付款指令</w:t>
      </w:r>
      <w:r>
        <w:rPr>
          <w:rFonts w:ascii="宋体" w:hAnsi="宋体" w:hint="eastAsia"/>
          <w:sz w:val="28"/>
          <w:highlight w:val="white"/>
        </w:rPr>
        <w:t>、银行间业务划款指令）</w:t>
      </w:r>
      <w:r>
        <w:rPr>
          <w:rFonts w:ascii="宋体" w:hAnsi="宋体"/>
          <w:sz w:val="28"/>
          <w:highlight w:val="white"/>
        </w:rPr>
        <w:t>以及其他资金划拨指令等。</w:t>
      </w:r>
    </w:p>
    <w:p w:rsidR="00B963CD" w14:paraId="45555426" w14:textId="77777777">
      <w:pPr>
        <w:snapToGrid w:val="0"/>
        <w:spacing w:line="360" w:lineRule="auto"/>
        <w:ind w:firstLine="480"/>
        <w:rPr>
          <w:rFonts w:ascii="宋体" w:hAnsi="宋体"/>
          <w:sz w:val="28"/>
        </w:rPr>
      </w:pPr>
      <w:r>
        <w:rPr>
          <w:rFonts w:ascii="宋体" w:hAnsi="宋体"/>
          <w:sz w:val="28"/>
          <w:highlight w:val="white"/>
        </w:rPr>
        <w:t>2</w:t>
      </w:r>
      <w:r>
        <w:rPr>
          <w:rFonts w:ascii="宋体" w:hAnsi="宋体" w:hint="eastAsia"/>
          <w:sz w:val="28"/>
          <w:highlight w:val="white"/>
        </w:rPr>
        <w:t>、</w:t>
      </w:r>
      <w:r>
        <w:rPr>
          <w:rFonts w:ascii="宋体" w:hAnsi="宋体"/>
          <w:sz w:val="28"/>
          <w:highlight w:val="white"/>
        </w:rPr>
        <w:t>基金管理人发给基金托管人的指令应写明款项事由、支付时间、到账时间、金额、账户</w:t>
      </w:r>
      <w:r>
        <w:rPr>
          <w:rFonts w:ascii="宋体" w:hAnsi="宋体" w:hint="eastAsia"/>
          <w:sz w:val="28"/>
          <w:highlight w:val="white"/>
        </w:rPr>
        <w:t>资料</w:t>
      </w:r>
      <w:r>
        <w:rPr>
          <w:rFonts w:ascii="宋体" w:hAnsi="宋体"/>
          <w:sz w:val="28"/>
          <w:highlight w:val="white"/>
        </w:rPr>
        <w:t>等，</w:t>
      </w:r>
      <w:r>
        <w:rPr>
          <w:rFonts w:ascii="宋体" w:hAnsi="宋体" w:hint="eastAsia"/>
          <w:sz w:val="28"/>
          <w:highlight w:val="white"/>
        </w:rPr>
        <w:t>并</w:t>
      </w:r>
      <w:r>
        <w:rPr>
          <w:rFonts w:ascii="宋体" w:hAnsi="宋体"/>
          <w:sz w:val="28"/>
          <w:highlight w:val="white"/>
        </w:rPr>
        <w:t>加盖预留印鉴。</w:t>
      </w:r>
    </w:p>
    <w:p w:rsidR="00B963CD" w14:paraId="758A10D7" w14:textId="77777777">
      <w:pPr>
        <w:snapToGrid w:val="0"/>
        <w:spacing w:line="360" w:lineRule="auto"/>
        <w:ind w:firstLine="480"/>
        <w:rPr>
          <w:rFonts w:ascii="宋体" w:hAnsi="宋体"/>
          <w:sz w:val="28"/>
        </w:rPr>
      </w:pPr>
      <w:r>
        <w:rPr>
          <w:rFonts w:ascii="宋体" w:hAnsi="宋体"/>
          <w:sz w:val="28"/>
          <w:highlight w:val="white"/>
        </w:rPr>
        <w:t>（</w:t>
      </w:r>
      <w:r>
        <w:rPr>
          <w:rFonts w:ascii="宋体" w:hAnsi="宋体" w:hint="eastAsia"/>
          <w:sz w:val="28"/>
          <w:highlight w:val="white"/>
        </w:rPr>
        <w:t>四</w:t>
      </w:r>
      <w:r>
        <w:rPr>
          <w:rFonts w:ascii="宋体" w:hAnsi="宋体"/>
          <w:sz w:val="28"/>
          <w:highlight w:val="white"/>
        </w:rPr>
        <w:t>）指令的发送、确认及执行的时间和程序</w:t>
      </w:r>
    </w:p>
    <w:p w:rsidR="00B963CD" w14:paraId="4CB4FC8B" w14:textId="77777777">
      <w:pPr>
        <w:snapToGrid w:val="0"/>
        <w:spacing w:line="360" w:lineRule="auto"/>
        <w:ind w:firstLine="480"/>
        <w:rPr>
          <w:rFonts w:ascii="宋体" w:hAnsi="宋体"/>
          <w:sz w:val="28"/>
        </w:rPr>
      </w:pPr>
      <w:r>
        <w:rPr>
          <w:rFonts w:ascii="宋体" w:hAnsi="宋体"/>
          <w:sz w:val="28"/>
          <w:highlight w:val="white"/>
        </w:rPr>
        <w:t>1</w:t>
      </w:r>
      <w:r>
        <w:rPr>
          <w:rFonts w:ascii="宋体" w:hAnsi="宋体" w:hint="eastAsia"/>
          <w:sz w:val="28"/>
          <w:highlight w:val="white"/>
        </w:rPr>
        <w:t>、</w:t>
      </w:r>
      <w:r>
        <w:rPr>
          <w:rFonts w:ascii="宋体" w:hAnsi="宋体"/>
          <w:sz w:val="28"/>
          <w:highlight w:val="white"/>
        </w:rPr>
        <w:t>指令的发送</w:t>
      </w:r>
      <w:r>
        <w:rPr>
          <w:rFonts w:ascii="宋体" w:hAnsi="宋体" w:hint="eastAsia"/>
          <w:sz w:val="28"/>
          <w:highlight w:val="white"/>
        </w:rPr>
        <w:t>与确认</w:t>
      </w:r>
    </w:p>
    <w:p w:rsidR="00B963CD" w14:paraId="564944D3" w14:textId="77777777">
      <w:pPr>
        <w:snapToGrid w:val="0"/>
        <w:spacing w:line="360" w:lineRule="auto"/>
        <w:ind w:firstLine="480"/>
        <w:rPr>
          <w:rFonts w:ascii="宋体" w:hAnsi="宋体"/>
          <w:sz w:val="28"/>
        </w:rPr>
      </w:pPr>
      <w:r>
        <w:rPr>
          <w:rFonts w:ascii="宋体" w:hAnsi="宋体"/>
          <w:sz w:val="28"/>
          <w:highlight w:val="white"/>
        </w:rPr>
        <w:t>基金管理人应按照法律法规和基金合同的规定，在其合法的经营权限和交易权限内发送指令。</w:t>
      </w:r>
    </w:p>
    <w:p w:rsidR="00B963CD" w14:paraId="53E234CF" w14:textId="77777777">
      <w:pPr>
        <w:snapToGrid w:val="0"/>
        <w:spacing w:line="360" w:lineRule="auto"/>
        <w:ind w:firstLine="480"/>
        <w:rPr>
          <w:rFonts w:ascii="宋体" w:hAnsi="宋体"/>
          <w:sz w:val="28"/>
        </w:rPr>
      </w:pPr>
      <w:r>
        <w:rPr>
          <w:rFonts w:ascii="宋体" w:hAnsi="宋体" w:hint="eastAsia"/>
          <w:sz w:val="28"/>
          <w:highlight w:val="white"/>
        </w:rPr>
        <w:t>基金管理人通过电子指令方式发送指令后，指令状态将变成“托管行已接收”或“托管行处理中”。上述指令状态改变时间视为指令到达基金托管人时间。基金管理人在发送指令后，应及时查询指令状态，发现未发送成功或指令状态有误，应立即与基金托管人联系共同解决。</w:t>
      </w:r>
    </w:p>
    <w:p w:rsidR="00B963CD" w14:paraId="2810C118" w14:textId="77777777">
      <w:pPr>
        <w:snapToGrid w:val="0"/>
        <w:spacing w:line="360" w:lineRule="auto"/>
        <w:ind w:firstLine="480"/>
        <w:rPr>
          <w:rFonts w:ascii="宋体" w:hAnsi="宋体"/>
          <w:sz w:val="28"/>
        </w:rPr>
      </w:pPr>
      <w:r>
        <w:rPr>
          <w:rFonts w:ascii="宋体" w:hAnsi="宋体" w:hint="eastAsia"/>
          <w:sz w:val="28"/>
          <w:highlight w:val="white"/>
        </w:rPr>
        <w:t>基金管理人通过</w:t>
      </w:r>
      <w:r>
        <w:rPr>
          <w:rFonts w:ascii="宋体" w:hAnsi="宋体"/>
          <w:sz w:val="28"/>
          <w:highlight w:val="white"/>
        </w:rPr>
        <w:t>传真方式或双方共同确认的方式发送加盖预留印鉴的指令后，应及时以电话方式向基金托管人确认。基金托管人指定专人接收基金管理人的指令，</w:t>
      </w:r>
      <w:r>
        <w:rPr>
          <w:rFonts w:ascii="宋体" w:hAnsi="宋体" w:hint="eastAsia"/>
          <w:sz w:val="28"/>
          <w:highlight w:val="white"/>
        </w:rPr>
        <w:t>答复基金管理人的确认电话。</w:t>
      </w:r>
      <w:r>
        <w:rPr>
          <w:rFonts w:ascii="宋体" w:hAnsi="宋体"/>
          <w:sz w:val="28"/>
          <w:highlight w:val="white"/>
        </w:rPr>
        <w:t>指令到达基金托管人后，</w:t>
      </w:r>
      <w:r>
        <w:rPr>
          <w:rFonts w:ascii="宋体" w:hAnsi="宋体" w:hint="eastAsia"/>
          <w:sz w:val="28"/>
          <w:highlight w:val="white"/>
        </w:rPr>
        <w:t>基金托管人应指定专人根据基金管理人提供的授权文件进行表面一致性审查，及时审慎验证有关内容及印鉴，基金托管人对指令的真实性不承担责任。</w:t>
      </w:r>
      <w:r>
        <w:rPr>
          <w:rFonts w:ascii="宋体" w:hAnsi="宋体"/>
          <w:sz w:val="28"/>
          <w:highlight w:val="white"/>
        </w:rPr>
        <w:t>如有疑问必须及时通知基金管理人</w:t>
      </w:r>
      <w:r>
        <w:rPr>
          <w:rFonts w:ascii="宋体" w:hAnsi="宋体" w:hint="eastAsia"/>
          <w:sz w:val="28"/>
          <w:highlight w:val="white"/>
        </w:rPr>
        <w:t>。</w:t>
      </w:r>
    </w:p>
    <w:p w:rsidR="00B963CD" w14:paraId="25CC6BAB" w14:textId="77777777">
      <w:pPr>
        <w:snapToGrid w:val="0"/>
        <w:spacing w:line="360" w:lineRule="auto"/>
        <w:ind w:firstLine="480"/>
        <w:rPr>
          <w:rFonts w:ascii="宋体" w:hAnsi="宋体"/>
          <w:sz w:val="28"/>
        </w:rPr>
      </w:pPr>
      <w:r>
        <w:rPr>
          <w:rFonts w:ascii="宋体" w:hAnsi="宋体"/>
          <w:sz w:val="28"/>
          <w:highlight w:val="white"/>
        </w:rPr>
        <w:t>基金管理人在发送指令时，应为基金托管人执行指令</w:t>
      </w:r>
      <w:r>
        <w:rPr>
          <w:rFonts w:ascii="宋体" w:hAnsi="宋体" w:hint="eastAsia"/>
          <w:sz w:val="28"/>
          <w:highlight w:val="white"/>
        </w:rPr>
        <w:t>留出至少2个工作小时</w:t>
      </w:r>
      <w:r>
        <w:rPr>
          <w:rFonts w:ascii="宋体" w:hAnsi="宋体"/>
          <w:sz w:val="28"/>
          <w:highlight w:val="white"/>
        </w:rPr>
        <w:t>。</w:t>
      </w:r>
      <w:r>
        <w:rPr>
          <w:rFonts w:ascii="宋体" w:hAnsi="宋体" w:hint="eastAsia"/>
          <w:sz w:val="28"/>
          <w:highlight w:val="white"/>
        </w:rPr>
        <w:t>由基金管理人的原因造成的</w:t>
      </w:r>
      <w:r>
        <w:rPr>
          <w:rFonts w:ascii="宋体" w:hAnsi="宋体"/>
          <w:sz w:val="28"/>
          <w:highlight w:val="white"/>
        </w:rPr>
        <w:t>指令传输不及时、未能留出足够的划款时间</w:t>
      </w:r>
      <w:r>
        <w:rPr>
          <w:rFonts w:ascii="宋体" w:hAnsi="宋体" w:hint="eastAsia"/>
          <w:sz w:val="28"/>
          <w:highlight w:val="white"/>
        </w:rPr>
        <w:t>，未准备足够资金</w:t>
      </w:r>
      <w:r>
        <w:rPr>
          <w:rFonts w:ascii="宋体" w:hAnsi="宋体"/>
          <w:sz w:val="28"/>
          <w:highlight w:val="white"/>
        </w:rPr>
        <w:t>，致使资金未能及时到账所造成的损失</w:t>
      </w:r>
      <w:r>
        <w:rPr>
          <w:rFonts w:ascii="宋体" w:hAnsi="宋体" w:hint="eastAsia"/>
          <w:sz w:val="28"/>
          <w:highlight w:val="white"/>
        </w:rPr>
        <w:t>不由基金托管人</w:t>
      </w:r>
      <w:r>
        <w:rPr>
          <w:rFonts w:ascii="宋体" w:hAnsi="宋体"/>
          <w:sz w:val="28"/>
          <w:highlight w:val="white"/>
        </w:rPr>
        <w:t>承担。</w:t>
      </w:r>
    </w:p>
    <w:p w:rsidR="00B963CD" w14:paraId="2E4B5092" w14:textId="77777777">
      <w:pPr>
        <w:snapToGrid w:val="0"/>
        <w:spacing w:line="360" w:lineRule="auto"/>
        <w:ind w:firstLine="480"/>
        <w:rPr>
          <w:rFonts w:ascii="宋体" w:hAnsi="宋体"/>
          <w:sz w:val="28"/>
        </w:rPr>
      </w:pPr>
      <w:r>
        <w:rPr>
          <w:rFonts w:ascii="宋体" w:hAnsi="宋体" w:hint="eastAsia"/>
          <w:sz w:val="28"/>
          <w:highlight w:val="white"/>
        </w:rPr>
        <w:t>2、</w:t>
      </w:r>
      <w:r>
        <w:rPr>
          <w:rFonts w:ascii="宋体" w:hAnsi="宋体"/>
          <w:sz w:val="28"/>
          <w:highlight w:val="white"/>
        </w:rPr>
        <w:t>指令的执行</w:t>
      </w:r>
    </w:p>
    <w:p w:rsidR="00B963CD" w14:paraId="1A5EB587" w14:textId="77777777">
      <w:pPr>
        <w:snapToGrid w:val="0"/>
        <w:spacing w:line="360" w:lineRule="auto"/>
        <w:ind w:firstLine="480"/>
        <w:rPr>
          <w:rFonts w:ascii="宋体" w:hAnsi="宋体"/>
          <w:sz w:val="28"/>
        </w:rPr>
      </w:pPr>
      <w:r>
        <w:rPr>
          <w:rFonts w:ascii="宋体" w:hAnsi="宋体"/>
          <w:sz w:val="28"/>
          <w:highlight w:val="white"/>
        </w:rPr>
        <w:t>基金托管人对指令验证后，应及</w:t>
      </w:r>
      <w:r>
        <w:rPr>
          <w:rFonts w:ascii="宋体" w:hAnsi="宋体" w:hint="eastAsia"/>
          <w:sz w:val="28"/>
          <w:highlight w:val="white"/>
        </w:rPr>
        <w:t>时执行</w:t>
      </w:r>
      <w:r>
        <w:rPr>
          <w:rFonts w:ascii="宋体" w:hAnsi="宋体"/>
          <w:sz w:val="28"/>
          <w:highlight w:val="white"/>
        </w:rPr>
        <w:t>。</w:t>
      </w:r>
    </w:p>
    <w:p w:rsidR="00B963CD" w14:paraId="3E66B045" w14:textId="77777777">
      <w:pPr>
        <w:snapToGrid w:val="0"/>
        <w:spacing w:line="360" w:lineRule="auto"/>
        <w:ind w:firstLine="480"/>
        <w:rPr>
          <w:rFonts w:ascii="宋体" w:hAnsi="宋体"/>
          <w:sz w:val="28"/>
        </w:rPr>
      </w:pPr>
      <w:r>
        <w:rPr>
          <w:rFonts w:ascii="宋体" w:hAnsi="宋体"/>
          <w:sz w:val="28"/>
          <w:highlight w:val="white"/>
        </w:rPr>
        <w:t>基金管理人应确保</w:t>
      </w:r>
      <w:r>
        <w:rPr>
          <w:rFonts w:ascii="宋体" w:hAnsi="宋体" w:hint="eastAsia"/>
          <w:sz w:val="28"/>
          <w:highlight w:val="white"/>
        </w:rPr>
        <w:t>基金托管人在执行指令时，</w:t>
      </w:r>
      <w:r>
        <w:rPr>
          <w:rFonts w:ascii="宋体" w:hAnsi="宋体"/>
          <w:sz w:val="28"/>
          <w:highlight w:val="white"/>
        </w:rPr>
        <w:t>基金托管资金账户有足够的资金余额，</w:t>
      </w:r>
      <w:r>
        <w:rPr>
          <w:rFonts w:ascii="宋体" w:hAnsi="宋体" w:hint="eastAsia"/>
          <w:sz w:val="28"/>
          <w:highlight w:val="white"/>
        </w:rPr>
        <w:t>否则</w:t>
      </w:r>
      <w:r>
        <w:rPr>
          <w:rFonts w:ascii="宋体" w:hAnsi="宋体"/>
          <w:sz w:val="28"/>
          <w:highlight w:val="white"/>
        </w:rPr>
        <w:t>基金托管人可不予</w:t>
      </w:r>
      <w:r>
        <w:rPr>
          <w:rFonts w:ascii="宋体" w:hAnsi="宋体" w:cs="宋体" w:hint="eastAsia"/>
          <w:sz w:val="28"/>
          <w:highlight w:val="white"/>
        </w:rPr>
        <w:t>执行，但应</w:t>
      </w:r>
      <w:r>
        <w:rPr>
          <w:rFonts w:ascii="宋体" w:hAnsi="宋体" w:cs="宋体" w:hint="eastAsia"/>
          <w:bCs/>
          <w:sz w:val="28"/>
          <w:highlight w:val="white"/>
        </w:rPr>
        <w:t>及时</w:t>
      </w:r>
      <w:r>
        <w:rPr>
          <w:rFonts w:ascii="宋体" w:hAnsi="宋体" w:cs="宋体" w:hint="eastAsia"/>
          <w:sz w:val="28"/>
          <w:highlight w:val="white"/>
        </w:rPr>
        <w:t>通</w:t>
      </w:r>
      <w:r>
        <w:rPr>
          <w:rFonts w:ascii="宋体" w:hAnsi="宋体"/>
          <w:sz w:val="28"/>
          <w:highlight w:val="white"/>
        </w:rPr>
        <w:t>知基金管理人，由基金管理人审核、查明原因，确认此交易指令无效</w:t>
      </w:r>
      <w:r>
        <w:rPr>
          <w:rFonts w:ascii="宋体" w:hAnsi="宋体" w:hint="eastAsia"/>
          <w:sz w:val="28"/>
          <w:highlight w:val="white"/>
        </w:rPr>
        <w:t>，在及时通知后，</w:t>
      </w:r>
      <w:r>
        <w:rPr>
          <w:rFonts w:ascii="宋体" w:hAnsi="宋体"/>
          <w:sz w:val="28"/>
          <w:highlight w:val="white"/>
        </w:rPr>
        <w:t>基金托管人不承担因未执行该指令造成损失的责任。</w:t>
      </w:r>
    </w:p>
    <w:p w:rsidR="00B963CD" w14:paraId="048511B3" w14:textId="77777777">
      <w:pPr>
        <w:snapToGrid w:val="0"/>
        <w:spacing w:line="360" w:lineRule="auto"/>
        <w:ind w:firstLine="480"/>
        <w:rPr>
          <w:rFonts w:ascii="宋体" w:hAnsi="宋体"/>
          <w:sz w:val="28"/>
        </w:rPr>
      </w:pPr>
      <w:r>
        <w:rPr>
          <w:rFonts w:ascii="宋体" w:hAnsi="宋体" w:hint="eastAsia"/>
          <w:sz w:val="28"/>
          <w:highlight w:val="white"/>
        </w:rPr>
        <w:t>对于申购新股等时效性要求高的指令，基金管理人必须及时将指令发送至托管人，为托管人预留充足的指令处理时间。</w:t>
      </w:r>
    </w:p>
    <w:p w:rsidR="00B963CD" w14:paraId="0004B036" w14:textId="77777777">
      <w:pPr>
        <w:snapToGrid w:val="0"/>
        <w:spacing w:line="360" w:lineRule="auto"/>
        <w:ind w:firstLine="480"/>
        <w:rPr>
          <w:rFonts w:ascii="宋体" w:hAnsi="宋体"/>
          <w:sz w:val="28"/>
        </w:rPr>
      </w:pPr>
      <w:r>
        <w:rPr>
          <w:rFonts w:ascii="宋体" w:hAnsi="宋体" w:hint="eastAsia"/>
          <w:sz w:val="28"/>
          <w:highlight w:val="white"/>
        </w:rPr>
        <w:t>对于执行时资金不足的指令，托管人有权不予执行，基金管理人确认该指令不予取消的，以资金备足并通知托管人的时间视为指令收到时间，因账户资金余额不足导致的投资损失不由托管人承担。</w:t>
      </w:r>
    </w:p>
    <w:p w:rsidR="00B963CD" w14:paraId="4EE8B33A" w14:textId="77777777">
      <w:pPr>
        <w:snapToGrid w:val="0"/>
        <w:spacing w:line="360" w:lineRule="auto"/>
        <w:ind w:firstLine="480"/>
        <w:rPr>
          <w:rFonts w:ascii="宋体" w:hAnsi="宋体"/>
          <w:sz w:val="28"/>
        </w:rPr>
      </w:pPr>
      <w:r>
        <w:rPr>
          <w:rFonts w:ascii="宋体" w:hAnsi="宋体"/>
          <w:sz w:val="28"/>
          <w:highlight w:val="white"/>
        </w:rPr>
        <w:t>（</w:t>
      </w:r>
      <w:r>
        <w:rPr>
          <w:rFonts w:ascii="宋体" w:hAnsi="宋体" w:hint="eastAsia"/>
          <w:sz w:val="28"/>
          <w:highlight w:val="white"/>
        </w:rPr>
        <w:t>五</w:t>
      </w:r>
      <w:r>
        <w:rPr>
          <w:rFonts w:ascii="宋体" w:hAnsi="宋体"/>
          <w:sz w:val="28"/>
          <w:highlight w:val="white"/>
        </w:rPr>
        <w:t>）基金管理人发送错误指令的情形和处理程序</w:t>
      </w:r>
    </w:p>
    <w:p w:rsidR="00B963CD" w14:paraId="503086F8" w14:textId="77777777">
      <w:pPr>
        <w:snapToGrid w:val="0"/>
        <w:spacing w:line="360" w:lineRule="auto"/>
        <w:ind w:firstLine="480"/>
        <w:rPr>
          <w:rFonts w:ascii="宋体" w:hAnsi="宋体"/>
          <w:sz w:val="28"/>
        </w:rPr>
      </w:pPr>
      <w:r>
        <w:rPr>
          <w:rFonts w:ascii="宋体" w:hAnsi="宋体"/>
          <w:sz w:val="28"/>
          <w:highlight w:val="white"/>
        </w:rPr>
        <w:t>基金托管人发现指令错误，提示基金管理人改正后再予以执行</w:t>
      </w:r>
      <w:r>
        <w:rPr>
          <w:rFonts w:ascii="宋体" w:hAnsi="宋体" w:hint="eastAsia"/>
          <w:sz w:val="28"/>
          <w:highlight w:val="white"/>
        </w:rPr>
        <w:t>，若由此造成的延误损失由基金管理人承担</w:t>
      </w:r>
      <w:r>
        <w:rPr>
          <w:rFonts w:ascii="宋体" w:hAnsi="宋体"/>
          <w:sz w:val="28"/>
          <w:highlight w:val="white"/>
        </w:rPr>
        <w:t>。</w:t>
      </w:r>
    </w:p>
    <w:p w:rsidR="00B963CD" w14:paraId="70B6CA0F" w14:textId="77777777">
      <w:pPr>
        <w:snapToGrid w:val="0"/>
        <w:spacing w:line="360" w:lineRule="auto"/>
        <w:ind w:firstLine="480"/>
        <w:rPr>
          <w:rFonts w:ascii="宋体" w:hAnsi="宋体"/>
          <w:sz w:val="28"/>
        </w:rPr>
      </w:pPr>
      <w:r>
        <w:rPr>
          <w:rFonts w:ascii="宋体" w:hAnsi="宋体"/>
          <w:sz w:val="28"/>
          <w:highlight w:val="white"/>
        </w:rPr>
        <w:t>（</w:t>
      </w:r>
      <w:r>
        <w:rPr>
          <w:rFonts w:ascii="宋体" w:hAnsi="宋体" w:hint="eastAsia"/>
          <w:sz w:val="28"/>
          <w:highlight w:val="white"/>
        </w:rPr>
        <w:t>六</w:t>
      </w:r>
      <w:r>
        <w:rPr>
          <w:rFonts w:ascii="宋体" w:hAnsi="宋体"/>
          <w:sz w:val="28"/>
          <w:highlight w:val="white"/>
        </w:rPr>
        <w:t>）基金托管人依照法律法规暂缓、拒绝执行指令的情形和处理程序</w:t>
      </w:r>
    </w:p>
    <w:p w:rsidR="00B963CD" w14:paraId="2F7285DB" w14:textId="77777777">
      <w:pPr>
        <w:snapToGrid w:val="0"/>
        <w:spacing w:line="360" w:lineRule="auto"/>
        <w:ind w:firstLine="480"/>
        <w:rPr>
          <w:rFonts w:ascii="宋体" w:hAnsi="宋体"/>
          <w:sz w:val="28"/>
        </w:rPr>
      </w:pPr>
      <w:r>
        <w:rPr>
          <w:rFonts w:ascii="宋体" w:hAnsi="宋体"/>
          <w:sz w:val="28"/>
          <w:highlight w:val="white"/>
        </w:rPr>
        <w:t>若基金托管人发现基金管理人的指令违反法律、行政法规和其他有关规定，或者违反基金合同约定的，应当拒绝执行，</w:t>
      </w:r>
      <w:r>
        <w:rPr>
          <w:rFonts w:ascii="宋体" w:hAnsi="宋体" w:hint="eastAsia"/>
          <w:sz w:val="28"/>
          <w:highlight w:val="white"/>
        </w:rPr>
        <w:t>及时</w:t>
      </w:r>
      <w:r>
        <w:rPr>
          <w:rFonts w:ascii="宋体" w:hAnsi="宋体"/>
          <w:sz w:val="28"/>
          <w:highlight w:val="white"/>
        </w:rPr>
        <w:t>通知基金管理人。</w:t>
      </w:r>
    </w:p>
    <w:p w:rsidR="00B963CD" w14:paraId="5785E552" w14:textId="77777777">
      <w:pPr>
        <w:snapToGrid w:val="0"/>
        <w:spacing w:line="360" w:lineRule="auto"/>
        <w:ind w:firstLine="480"/>
        <w:rPr>
          <w:rFonts w:ascii="宋体" w:hAnsi="宋体"/>
          <w:sz w:val="28"/>
        </w:rPr>
      </w:pPr>
      <w:r>
        <w:rPr>
          <w:rFonts w:ascii="宋体" w:hAnsi="宋体"/>
          <w:sz w:val="28"/>
          <w:highlight w:val="white"/>
        </w:rPr>
        <w:t>若基金托管人发现基金管理人依据交易程序已经生效的指令违反法律、行政法规和其他有关规定，或者违反基金合同约定的，应当</w:t>
      </w:r>
      <w:r>
        <w:rPr>
          <w:rFonts w:ascii="宋体" w:hAnsi="宋体" w:hint="eastAsia"/>
          <w:sz w:val="28"/>
          <w:highlight w:val="white"/>
        </w:rPr>
        <w:t>及时</w:t>
      </w:r>
      <w:r>
        <w:rPr>
          <w:rFonts w:ascii="宋体" w:hAnsi="宋体"/>
          <w:sz w:val="28"/>
          <w:highlight w:val="white"/>
        </w:rPr>
        <w:t>通知基金管理人，由此造成的损失由基金管理人承担。</w:t>
      </w:r>
    </w:p>
    <w:p w:rsidR="00B963CD" w14:paraId="46BB4E8F" w14:textId="77777777">
      <w:pPr>
        <w:snapToGrid w:val="0"/>
        <w:spacing w:line="360" w:lineRule="auto"/>
        <w:ind w:firstLine="480"/>
        <w:rPr>
          <w:rFonts w:ascii="宋体" w:hAnsi="宋体"/>
          <w:sz w:val="28"/>
        </w:rPr>
      </w:pPr>
      <w:r>
        <w:rPr>
          <w:rFonts w:ascii="宋体" w:hAnsi="宋体"/>
          <w:sz w:val="28"/>
          <w:highlight w:val="white"/>
        </w:rPr>
        <w:t>（</w:t>
      </w:r>
      <w:r>
        <w:rPr>
          <w:rFonts w:ascii="宋体" w:hAnsi="宋体" w:hint="eastAsia"/>
          <w:sz w:val="28"/>
          <w:highlight w:val="white"/>
        </w:rPr>
        <w:t>七</w:t>
      </w:r>
      <w:r>
        <w:rPr>
          <w:rFonts w:ascii="宋体" w:hAnsi="宋体"/>
          <w:sz w:val="28"/>
          <w:highlight w:val="white"/>
        </w:rPr>
        <w:t>）基金托管人未按照基金管理人指令执行的处理方法</w:t>
      </w:r>
    </w:p>
    <w:p w:rsidR="00B963CD" w14:paraId="1AC1A0A3" w14:textId="77777777">
      <w:pPr>
        <w:snapToGrid w:val="0"/>
        <w:spacing w:line="360" w:lineRule="auto"/>
        <w:ind w:firstLine="480"/>
        <w:rPr>
          <w:rFonts w:ascii="宋体" w:hAnsi="宋体"/>
          <w:sz w:val="28"/>
        </w:rPr>
      </w:pPr>
      <w:r>
        <w:rPr>
          <w:rFonts w:ascii="宋体" w:hAnsi="宋体" w:hint="eastAsia"/>
          <w:sz w:val="28"/>
          <w:highlight w:val="white"/>
        </w:rPr>
        <w:t>基金托管人由于其自身原因未能执行或错误执行基金管理人指令致使本基金的利益受到损害，应在发现后，及时采取措施予以弥补，给基金份额持有人造成损失的，对由此造成的直接经济损失负赔偿责任。</w:t>
      </w:r>
    </w:p>
    <w:p w:rsidR="00B963CD" w14:paraId="113C5B25" w14:textId="77777777">
      <w:pPr>
        <w:snapToGrid w:val="0"/>
        <w:spacing w:line="360" w:lineRule="auto"/>
        <w:ind w:firstLine="480"/>
        <w:rPr>
          <w:rFonts w:ascii="宋体" w:hAnsi="宋体"/>
          <w:sz w:val="28"/>
        </w:rPr>
      </w:pPr>
      <w:r>
        <w:rPr>
          <w:rFonts w:ascii="宋体" w:hAnsi="宋体"/>
          <w:sz w:val="28"/>
          <w:highlight w:val="white"/>
        </w:rPr>
        <w:t>（</w:t>
      </w:r>
      <w:r>
        <w:rPr>
          <w:rFonts w:ascii="宋体" w:hAnsi="宋体" w:hint="eastAsia"/>
          <w:sz w:val="28"/>
          <w:highlight w:val="white"/>
        </w:rPr>
        <w:t>八</w:t>
      </w:r>
      <w:r>
        <w:rPr>
          <w:rFonts w:ascii="宋体" w:hAnsi="宋体"/>
          <w:sz w:val="28"/>
          <w:highlight w:val="white"/>
        </w:rPr>
        <w:t>）</w:t>
      </w:r>
      <w:r>
        <w:rPr>
          <w:rFonts w:ascii="宋体" w:hAnsi="宋体" w:hint="eastAsia"/>
          <w:sz w:val="28"/>
          <w:highlight w:val="white"/>
        </w:rPr>
        <w:t>授权通知的变更</w:t>
      </w:r>
    </w:p>
    <w:p w:rsidR="00B963CD" w14:paraId="53814A52" w14:textId="77777777">
      <w:pPr>
        <w:spacing w:line="360" w:lineRule="auto"/>
        <w:ind w:firstLine="480"/>
      </w:pPr>
      <w:r>
        <w:rPr>
          <w:rFonts w:ascii="宋体" w:hAnsi="宋体" w:cs="宋体"/>
          <w:color w:val="000000"/>
          <w:sz w:val="28"/>
          <w:highlight w:val="white"/>
        </w:rPr>
        <w:t>1、基金管理人若对授权通知的内容进行修改，应当提前至少三个工作日电话通知基金托管人。基金管理人需提供书面的变更授权通知文件，在加盖公章后以双方约定的方式发送给基金托管人，同时以电话形式向基金托管人确认。变更授权通知文件在基金托管人收到相关文件和基金管理人的电话确认时生效。基金管理人在此后十个工作日内将变更授权通知文件原件送交基金托管人。</w:t>
      </w:r>
    </w:p>
    <w:p w:rsidR="00B963CD" w14:paraId="220D0841" w14:textId="77777777">
      <w:pPr>
        <w:spacing w:line="360" w:lineRule="auto"/>
        <w:ind w:firstLine="480"/>
      </w:pPr>
      <w:r>
        <w:rPr>
          <w:rFonts w:ascii="宋体" w:hAnsi="宋体" w:cs="宋体"/>
          <w:color w:val="000000"/>
          <w:sz w:val="28"/>
          <w:highlight w:val="white"/>
        </w:rPr>
        <w:t>2、基金托管人更改接受基金管理人指令的人员及联系方式，应至少提前1个工作日以双方约定的方式发送基金管理人。基金托管人更改接受基金管理人指令的人员及联系方式自基金管理人电话确认后生效。</w:t>
      </w:r>
    </w:p>
    <w:p w:rsidR="00B963CD" w14:paraId="69025EA2" w14:textId="77777777">
      <w:pPr>
        <w:snapToGrid w:val="0"/>
        <w:spacing w:line="360" w:lineRule="auto"/>
        <w:ind w:firstLine="480"/>
        <w:rPr>
          <w:rFonts w:ascii="宋体" w:hAnsi="宋体"/>
          <w:sz w:val="28"/>
        </w:rPr>
      </w:pPr>
      <w:r>
        <w:rPr>
          <w:rFonts w:ascii="宋体" w:hAnsi="宋体"/>
          <w:sz w:val="28"/>
          <w:highlight w:val="white"/>
        </w:rPr>
        <w:t>（</w:t>
      </w:r>
      <w:r>
        <w:rPr>
          <w:rFonts w:ascii="宋体" w:hAnsi="宋体" w:hint="eastAsia"/>
          <w:sz w:val="28"/>
          <w:highlight w:val="white"/>
        </w:rPr>
        <w:t>九</w:t>
      </w:r>
      <w:r>
        <w:rPr>
          <w:rFonts w:ascii="宋体" w:hAnsi="宋体"/>
          <w:sz w:val="28"/>
          <w:highlight w:val="white"/>
        </w:rPr>
        <w:t>）其他事项</w:t>
      </w:r>
    </w:p>
    <w:p w:rsidR="00B963CD" w14:paraId="1AF54F76" w14:textId="77777777">
      <w:pPr>
        <w:snapToGrid w:val="0"/>
        <w:spacing w:line="360" w:lineRule="auto"/>
        <w:ind w:firstLine="480"/>
        <w:rPr>
          <w:rFonts w:ascii="宋体" w:hAnsi="宋体"/>
          <w:sz w:val="28"/>
        </w:rPr>
      </w:pPr>
      <w:r>
        <w:rPr>
          <w:rFonts w:ascii="宋体" w:hAnsi="宋体"/>
          <w:sz w:val="28"/>
          <w:highlight w:val="white"/>
        </w:rPr>
        <w:t>1</w:t>
      </w:r>
      <w:r>
        <w:rPr>
          <w:rFonts w:ascii="宋体" w:hAnsi="宋体" w:hint="eastAsia"/>
          <w:sz w:val="28"/>
          <w:highlight w:val="white"/>
        </w:rPr>
        <w:t>、</w:t>
      </w:r>
      <w:r>
        <w:rPr>
          <w:rFonts w:ascii="宋体" w:hAnsi="宋体"/>
          <w:sz w:val="28"/>
          <w:highlight w:val="white"/>
        </w:rPr>
        <w:t>基金托管人在接收指令时，应对指令的要素是否齐全、印鉴是否与预留的授权文件内容相符进行</w:t>
      </w:r>
      <w:r>
        <w:rPr>
          <w:rFonts w:ascii="宋体" w:hAnsi="宋体" w:hint="eastAsia"/>
          <w:bCs/>
          <w:sz w:val="28"/>
          <w:highlight w:val="white"/>
        </w:rPr>
        <w:t>表面一致性</w:t>
      </w:r>
      <w:r>
        <w:rPr>
          <w:rFonts w:ascii="宋体" w:hAnsi="宋体"/>
          <w:sz w:val="28"/>
          <w:highlight w:val="white"/>
        </w:rPr>
        <w:t>检查，如发现问题，应及时</w:t>
      </w:r>
      <w:r>
        <w:rPr>
          <w:rFonts w:ascii="宋体" w:hAnsi="宋体" w:hint="eastAsia"/>
          <w:sz w:val="28"/>
          <w:highlight w:val="white"/>
        </w:rPr>
        <w:t>通知</w:t>
      </w:r>
      <w:r>
        <w:rPr>
          <w:rFonts w:ascii="宋体" w:hAnsi="宋体"/>
          <w:sz w:val="28"/>
          <w:highlight w:val="white"/>
        </w:rPr>
        <w:t>基金管理人。</w:t>
      </w:r>
    </w:p>
    <w:p w:rsidR="00B963CD" w14:paraId="4FF616D7" w14:textId="77777777">
      <w:pPr>
        <w:snapToGrid w:val="0"/>
        <w:spacing w:line="360" w:lineRule="auto"/>
        <w:ind w:firstLine="480"/>
        <w:rPr>
          <w:rFonts w:ascii="宋体" w:hAnsi="宋体"/>
          <w:sz w:val="28"/>
        </w:rPr>
      </w:pPr>
      <w:r>
        <w:rPr>
          <w:rFonts w:ascii="宋体" w:hAnsi="宋体"/>
          <w:sz w:val="28"/>
          <w:highlight w:val="white"/>
        </w:rPr>
        <w:t>2</w:t>
      </w:r>
      <w:r>
        <w:rPr>
          <w:rFonts w:ascii="宋体" w:hAnsi="宋体" w:hint="eastAsia"/>
          <w:sz w:val="28"/>
          <w:highlight w:val="white"/>
        </w:rPr>
        <w:t>、</w:t>
      </w:r>
      <w:r>
        <w:rPr>
          <w:rFonts w:ascii="宋体" w:hAnsi="宋体"/>
          <w:sz w:val="28"/>
          <w:highlight w:val="white"/>
        </w:rPr>
        <w:t>除因</w:t>
      </w:r>
      <w:r>
        <w:rPr>
          <w:rFonts w:ascii="宋体" w:hAnsi="宋体" w:hint="eastAsia"/>
          <w:sz w:val="28"/>
          <w:highlight w:val="white"/>
        </w:rPr>
        <w:t>其自身原因</w:t>
      </w:r>
      <w:r>
        <w:rPr>
          <w:rFonts w:ascii="宋体" w:hAnsi="宋体"/>
          <w:sz w:val="28"/>
          <w:highlight w:val="white"/>
        </w:rPr>
        <w:t>致使基金的利益受到损害而负赔偿责任外，基金托管人</w:t>
      </w:r>
      <w:r>
        <w:rPr>
          <w:rFonts w:ascii="宋体" w:hAnsi="宋体" w:hint="eastAsia"/>
          <w:sz w:val="28"/>
          <w:highlight w:val="white"/>
        </w:rPr>
        <w:t>按照法律法规、本协议的规定执行基金管理人指令而引起的任何可能发生的损失，基金托管人不承担责任。</w:t>
      </w:r>
    </w:p>
    <w:p w:rsidR="00B963CD" w14:paraId="2ED7200E" w14:textId="77777777">
      <w:pPr>
        <w:pStyle w:val="21"/>
        <w:spacing w:line="360" w:lineRule="auto"/>
        <w:jc w:val="center"/>
        <w:rPr>
          <w:rFonts w:ascii="宋体" w:eastAsia="宋体" w:hAnsi="宋体"/>
          <w:color w:val="000000"/>
          <w:sz w:val="28"/>
        </w:rPr>
      </w:pPr>
      <w:bookmarkStart w:id="72" w:name="_Toc86223245"/>
      <w:bookmarkStart w:id="73" w:name="_Toc120435786"/>
      <w:bookmarkStart w:id="74" w:name="_Toc110830495"/>
      <w:bookmarkStart w:id="75" w:name="_Toc118212953"/>
      <w:bookmarkStart w:id="76" w:name="_Toc86726442"/>
      <w:bookmarkStart w:id="77" w:name="_Toc86649725"/>
      <w:bookmarkStart w:id="78" w:name="_Toc118972651"/>
      <w:bookmarkStart w:id="79" w:name="_Toc89163371"/>
      <w:bookmarkStart w:id="80" w:name="_Toc86225294"/>
      <w:bookmarkStart w:id="81" w:name="_Toc86727358"/>
      <w:bookmarkStart w:id="82" w:name="_Toc145818941"/>
      <w:bookmarkStart w:id="83" w:name="_Toc86737932"/>
      <w:bookmarkStart w:id="84" w:name="_Toc108512361"/>
      <w:bookmarkStart w:id="85" w:name="_Toc118774806"/>
      <w:bookmarkStart w:id="86" w:name="_Toc110765663"/>
      <w:bookmarkStart w:id="87" w:name="_Toc86204791"/>
      <w:bookmarkStart w:id="88" w:name="_Toc119402713"/>
      <w:bookmarkStart w:id="89" w:name="_Toc110761799"/>
      <w:bookmarkStart w:id="90" w:name="_Toc84133788"/>
      <w:bookmarkStart w:id="91" w:name="_Toc84234390"/>
      <w:bookmarkStart w:id="92" w:name="_Toc84234437"/>
      <w:r>
        <w:rPr>
          <w:rFonts w:ascii="宋体" w:eastAsia="宋体" w:hAnsi="宋体"/>
          <w:color w:val="000000"/>
          <w:sz w:val="28"/>
          <w:highlight w:val="white"/>
        </w:rPr>
        <w:t>七、交易及清算交收安排</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B963CD" w14:paraId="0DF58CC9"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（一）选择代理证券买卖的证券经纪机构</w:t>
      </w:r>
    </w:p>
    <w:p w:rsidR="00B963CD" w14:paraId="2026AA60"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基金管理人应设计选择代理证券买卖的证券经纪机构的标准和程序。基金管理人负责选择代理本基金证券买卖的证券经纪机构，使用其交易单元作为基金的交易单元。基金管理人、基金托管人和证券经纪机构签订本基金的证券经纪服务协议。</w:t>
      </w:r>
    </w:p>
    <w:p w:rsidR="00B963CD" w14:paraId="0662F6ED"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（二）基金投资证券后的清算交收安排</w:t>
      </w:r>
    </w:p>
    <w:p w:rsidR="00B963CD" w14:paraId="1DA7919B"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1、清算与交割</w:t>
      </w:r>
    </w:p>
    <w:p w:rsidR="00B963CD" w14:paraId="4089A0EE"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w:t>
      </w:r>
    </w:p>
    <w:p w:rsidR="00B963CD" w14:paraId="7AEF9815"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对基金管理人的资金划拨指令，基金托管人在复核无误后应在规定期限内执行不得延误。</w:t>
      </w:r>
    </w:p>
    <w:p w:rsidR="00B963CD" w14:paraId="54AA64B9"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本基金投资于证券发生的所有场外交易的资金汇划，由基金托管人负责办理。</w:t>
      </w:r>
    </w:p>
    <w:p w:rsidR="00B963CD" w14:paraId="27E6FA3B"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证券经纪机构代理本基金财产与中国证券登记结算有限责任公司完成证券交易及非交易涉及的证券资金结算业务，并承担由证券经纪机构原因造成的正常结算、交收业务无法完成的责任。</w:t>
      </w:r>
    </w:p>
    <w:p w:rsidR="00B963CD" w14:paraId="631A67EC"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、交易记录、</w:t>
      </w:r>
      <w:r>
        <w:rPr>
          <w:rFonts w:ascii="宋体" w:hAnsi="宋体"/>
          <w:color w:val="000000"/>
          <w:sz w:val="28"/>
          <w:szCs w:val="28"/>
          <w:highlight w:val="white"/>
        </w:rPr>
        <w:t>资金和证券账目核对的时间和方式</w:t>
      </w:r>
    </w:p>
    <w:p w:rsidR="00B963CD" w14:paraId="0711B54F"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（1）交易记录的核对</w:t>
      </w:r>
    </w:p>
    <w:p w:rsidR="00B963CD" w14:paraId="4D6552BE"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基金管理人</w:t>
      </w:r>
      <w:r>
        <w:rPr>
          <w:rFonts w:ascii="宋体" w:hAnsi="宋体" w:hint="eastAsia"/>
          <w:color w:val="000000"/>
          <w:sz w:val="28"/>
          <w:szCs w:val="28"/>
          <w:highlight w:val="white"/>
        </w:rPr>
        <w:t>和基金托管人</w:t>
      </w:r>
      <w:r>
        <w:rPr>
          <w:rFonts w:ascii="宋体" w:hAnsi="宋体"/>
          <w:color w:val="000000"/>
          <w:sz w:val="28"/>
          <w:szCs w:val="28"/>
          <w:highlight w:val="white"/>
        </w:rPr>
        <w:t>按日进行交易记录的核对。每日对外披露净值之前，必须保证当天所有实际交易记录与基金会计账簿上的交易记录完全一致。如果实际交易记录与会计账簿记录不一致，造成基金会计核算不完整或不真实，</w:t>
      </w:r>
      <w:r>
        <w:rPr>
          <w:rFonts w:ascii="宋体" w:hAnsi="宋体" w:hint="eastAsia"/>
          <w:color w:val="000000"/>
          <w:sz w:val="28"/>
          <w:szCs w:val="28"/>
          <w:highlight w:val="white"/>
        </w:rPr>
        <w:t xml:space="preserve">由此给基金造成的损失由责任人承担。 </w:t>
      </w:r>
      <w:r>
        <w:rPr>
          <w:rFonts w:ascii="宋体" w:hAnsi="宋体"/>
          <w:color w:val="000000"/>
          <w:sz w:val="28"/>
          <w:szCs w:val="28"/>
          <w:highlight w:val="white"/>
        </w:rPr>
        <w:t xml:space="preserve"> </w:t>
      </w:r>
    </w:p>
    <w:p w:rsidR="00B963CD" w14:paraId="432421F5"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（2）资金账目的核对</w:t>
      </w:r>
    </w:p>
    <w:p w:rsidR="00B963CD" w14:paraId="5C379329"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资金账目按日核实，账实相符。</w:t>
      </w:r>
    </w:p>
    <w:p w:rsidR="00B963CD" w14:paraId="5B157FF5"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（3）证券账目的核对</w:t>
      </w:r>
    </w:p>
    <w:p w:rsidR="00B963CD" w14:paraId="62DAC1B4"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基金托管人应按时核对证券账户中的种类和数量</w:t>
      </w:r>
      <w:r>
        <w:rPr>
          <w:rFonts w:ascii="宋体" w:hAnsi="宋体" w:hint="eastAsia"/>
          <w:color w:val="000000"/>
          <w:sz w:val="28"/>
          <w:szCs w:val="28"/>
          <w:highlight w:val="white"/>
        </w:rPr>
        <w:t>，确保每日交易结束后证券账户中证券的种类和数量与基金会计账簿中的记载一致。</w:t>
      </w:r>
    </w:p>
    <w:p w:rsidR="00B963CD" w14:paraId="7D45FF36"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（4）实物券账目</w:t>
      </w:r>
    </w:p>
    <w:p w:rsidR="00B963CD" w14:paraId="015CBF3F" w14:textId="77777777">
      <w:pPr>
        <w:snapToGrid w:val="0"/>
        <w:spacing w:line="360" w:lineRule="auto"/>
        <w:ind w:firstLine="480"/>
        <w:rPr>
          <w:rFonts w:ascii="宋体" w:hAnsi="宋体"/>
          <w:color w:val="000000"/>
          <w:sz w:val="28"/>
          <w:szCs w:val="28"/>
        </w:rPr>
      </w:pPr>
      <w:r>
        <w:rPr>
          <w:rFonts w:ascii="宋体" w:hAnsi="宋体" w:hint="eastAsia"/>
          <w:color w:val="000000"/>
          <w:sz w:val="28"/>
          <w:szCs w:val="28"/>
          <w:highlight w:val="white"/>
        </w:rPr>
        <w:t>实物券账目，每月月末相关各方进行账实核对。</w:t>
      </w:r>
    </w:p>
    <w:p w:rsidR="00B963CD" w14:paraId="5E21747B" w14:textId="77777777">
      <w:pPr>
        <w:snapToGrid w:val="0"/>
        <w:spacing w:line="360" w:lineRule="auto"/>
        <w:ind w:firstLine="480"/>
        <w:outlineLvl w:val="0"/>
        <w:rPr>
          <w:rFonts w:ascii="宋体" w:hAnsi="宋体"/>
          <w:color w:val="000000"/>
          <w:sz w:val="28"/>
          <w:szCs w:val="28"/>
        </w:rPr>
      </w:pPr>
      <w:r>
        <w:rPr>
          <w:rFonts w:ascii="宋体" w:hAnsi="宋体"/>
          <w:color w:val="000000"/>
          <w:sz w:val="28"/>
          <w:szCs w:val="28"/>
          <w:highlight w:val="white"/>
        </w:rPr>
        <w:t>（三）基金申购</w:t>
      </w:r>
      <w:r>
        <w:rPr>
          <w:rFonts w:ascii="宋体" w:hAnsi="宋体" w:hint="eastAsia"/>
          <w:color w:val="000000"/>
          <w:sz w:val="28"/>
          <w:szCs w:val="28"/>
          <w:highlight w:val="white"/>
        </w:rPr>
        <w:t>、</w:t>
      </w:r>
      <w:r>
        <w:rPr>
          <w:rFonts w:ascii="宋体" w:hAnsi="宋体"/>
          <w:color w:val="000000"/>
          <w:sz w:val="28"/>
          <w:szCs w:val="28"/>
          <w:highlight w:val="white"/>
        </w:rPr>
        <w:t>赎回</w:t>
      </w:r>
      <w:r>
        <w:rPr>
          <w:rFonts w:ascii="宋体" w:hAnsi="宋体" w:hint="eastAsia"/>
          <w:color w:val="000000"/>
          <w:sz w:val="28"/>
          <w:szCs w:val="28"/>
          <w:highlight w:val="white"/>
        </w:rPr>
        <w:t>及转换</w:t>
      </w:r>
      <w:r>
        <w:rPr>
          <w:rFonts w:ascii="宋体" w:hAnsi="宋体"/>
          <w:color w:val="000000"/>
          <w:sz w:val="28"/>
          <w:szCs w:val="28"/>
          <w:highlight w:val="white"/>
        </w:rPr>
        <w:t>业务处理的基本规定</w:t>
      </w:r>
    </w:p>
    <w:p w:rsidR="00B963CD" w14:paraId="447E6D0C"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w:t>
      </w:r>
      <w:r>
        <w:rPr>
          <w:rFonts w:ascii="宋体" w:hAnsi="宋体"/>
          <w:color w:val="000000"/>
          <w:sz w:val="28"/>
          <w:szCs w:val="28"/>
          <w:highlight w:val="white"/>
        </w:rPr>
        <w:t>基金份额申购、赎回</w:t>
      </w:r>
      <w:r>
        <w:rPr>
          <w:rFonts w:ascii="宋体" w:hAnsi="宋体" w:hint="eastAsia"/>
          <w:color w:val="000000"/>
          <w:sz w:val="28"/>
          <w:szCs w:val="28"/>
          <w:highlight w:val="white"/>
        </w:rPr>
        <w:t>及转换</w:t>
      </w:r>
      <w:r>
        <w:rPr>
          <w:rFonts w:ascii="宋体" w:hAnsi="宋体"/>
          <w:color w:val="000000"/>
          <w:sz w:val="28"/>
          <w:szCs w:val="28"/>
          <w:highlight w:val="white"/>
        </w:rPr>
        <w:t>的确认、清算由基金管理人指定的注册登记机构负责。</w:t>
      </w:r>
    </w:p>
    <w:p w:rsidR="00B963CD" w14:paraId="412A4CE9"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w:t>
      </w:r>
      <w:r>
        <w:rPr>
          <w:rFonts w:ascii="宋体" w:hAnsi="宋体"/>
          <w:color w:val="000000"/>
          <w:sz w:val="28"/>
          <w:szCs w:val="28"/>
          <w:highlight w:val="white"/>
        </w:rPr>
        <w:t>基金管理人应将每个开放日的申购、赎回、转换开放式基金的数据传送给基金托管人。基金管理人应对传递的申购、赎回、转换开放式基金的数据真实性负责。</w:t>
      </w:r>
    </w:p>
    <w:p w:rsidR="00B963CD" w14:paraId="0ED56189"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3</w:t>
      </w:r>
      <w:r>
        <w:rPr>
          <w:rFonts w:ascii="宋体" w:hAnsi="宋体" w:hint="eastAsia"/>
          <w:color w:val="000000"/>
          <w:sz w:val="28"/>
          <w:szCs w:val="28"/>
          <w:highlight w:val="white"/>
        </w:rPr>
        <w:t>、</w:t>
      </w:r>
      <w:r>
        <w:rPr>
          <w:rFonts w:ascii="宋体" w:hAnsi="宋体"/>
          <w:color w:val="000000"/>
          <w:sz w:val="28"/>
          <w:szCs w:val="28"/>
          <w:highlight w:val="white"/>
        </w:rPr>
        <w:t>基金管理人应保证其委托的注册登记机构必须于每个工作日15:00前向基金托管人发送开放日上述有关数据，并保证相关数据的准确、完整。</w:t>
      </w:r>
    </w:p>
    <w:p w:rsidR="00B963CD" w14:paraId="2B0B84E9"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4</w:t>
      </w:r>
      <w:r>
        <w:rPr>
          <w:rFonts w:ascii="宋体" w:hAnsi="宋体" w:hint="eastAsia"/>
          <w:color w:val="000000"/>
          <w:sz w:val="28"/>
          <w:szCs w:val="28"/>
          <w:highlight w:val="white"/>
        </w:rPr>
        <w:t>、</w:t>
      </w:r>
      <w:r>
        <w:rPr>
          <w:rFonts w:ascii="宋体" w:hAnsi="宋体"/>
          <w:color w:val="000000"/>
          <w:sz w:val="28"/>
          <w:szCs w:val="28"/>
          <w:highlight w:val="white"/>
        </w:rPr>
        <w:t>注册登记机构应通过与基金托管人建立的系统发送有关数据，如因各种原因，该系统无法正常发送，双方可协商解决处理方式。基金管理人向基金托管人发送的数据，双方各自按有关规定保存。</w:t>
      </w:r>
    </w:p>
    <w:p w:rsidR="00B963CD" w14:paraId="73F6A4B3"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5</w:t>
      </w:r>
      <w:r>
        <w:rPr>
          <w:rFonts w:ascii="宋体" w:hAnsi="宋体" w:hint="eastAsia"/>
          <w:color w:val="000000"/>
          <w:sz w:val="28"/>
          <w:szCs w:val="28"/>
          <w:highlight w:val="white"/>
        </w:rPr>
        <w:t>、</w:t>
      </w:r>
      <w:r>
        <w:rPr>
          <w:rFonts w:ascii="宋体" w:hAnsi="宋体"/>
          <w:color w:val="000000"/>
          <w:sz w:val="28"/>
          <w:szCs w:val="28"/>
          <w:highlight w:val="white"/>
        </w:rPr>
        <w:t>如基金管理人委托其他机构办理本基金的注册登记业务，上述事宜由基金管理人负责。</w:t>
      </w:r>
    </w:p>
    <w:p w:rsidR="00B963CD" w14:paraId="581960DC"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6</w:t>
      </w:r>
      <w:r>
        <w:rPr>
          <w:rFonts w:ascii="宋体" w:hAnsi="宋体" w:hint="eastAsia"/>
          <w:color w:val="000000"/>
          <w:sz w:val="28"/>
          <w:szCs w:val="28"/>
          <w:highlight w:val="white"/>
        </w:rPr>
        <w:t>、</w:t>
      </w:r>
      <w:r>
        <w:rPr>
          <w:rFonts w:ascii="宋体" w:hAnsi="宋体"/>
          <w:color w:val="000000"/>
          <w:sz w:val="28"/>
          <w:szCs w:val="28"/>
          <w:highlight w:val="white"/>
        </w:rPr>
        <w:t>关于清算专用账户的设立和管理</w:t>
      </w:r>
    </w:p>
    <w:p w:rsidR="00B963CD" w14:paraId="60A5BF3F" w14:textId="77777777">
      <w:pPr>
        <w:snapToGrid w:val="0"/>
        <w:spacing w:line="360" w:lineRule="auto"/>
        <w:ind w:firstLine="480"/>
        <w:rPr>
          <w:rFonts w:ascii="宋体" w:hAnsi="宋体"/>
          <w:color w:val="000000"/>
          <w:sz w:val="28"/>
          <w:szCs w:val="28"/>
        </w:rPr>
      </w:pPr>
      <w:r>
        <w:rPr>
          <w:rFonts w:ascii="宋体" w:hAnsi="宋体"/>
          <w:color w:val="000000"/>
          <w:sz w:val="28"/>
          <w:szCs w:val="28"/>
          <w:highlight w:val="white"/>
        </w:rPr>
        <w:t>为满足申购、赎回及分红资金汇划的需要，由基金管理人开立资金清算的专用账户，该账户由注册登记机构管理。</w:t>
      </w:r>
    </w:p>
    <w:p w:rsidR="00B963CD" w14:paraId="51A6C03B" w14:textId="77777777">
      <w:pPr>
        <w:snapToGrid w:val="0"/>
        <w:spacing w:line="360" w:lineRule="auto"/>
        <w:ind w:firstLine="480"/>
        <w:outlineLvl w:val="0"/>
        <w:rPr>
          <w:rFonts w:ascii="宋体" w:hAnsi="宋体"/>
          <w:color w:val="000000"/>
          <w:sz w:val="28"/>
          <w:szCs w:val="28"/>
        </w:rPr>
      </w:pPr>
      <w:r>
        <w:rPr>
          <w:rFonts w:ascii="宋体" w:hAnsi="宋体"/>
          <w:color w:val="000000"/>
          <w:sz w:val="28"/>
          <w:szCs w:val="28"/>
          <w:highlight w:val="white"/>
        </w:rPr>
        <w:t>（四）</w:t>
      </w:r>
      <w:r>
        <w:rPr>
          <w:rFonts w:ascii="宋体" w:hAnsi="宋体" w:hint="eastAsia"/>
          <w:sz w:val="28"/>
          <w:szCs w:val="28"/>
          <w:highlight w:val="white"/>
        </w:rPr>
        <w:t>开放式基金申购、赎回和基金转换的资金清算</w:t>
      </w:r>
    </w:p>
    <w:p w:rsidR="00B963CD" w14:paraId="05298A4D" w14:textId="77777777">
      <w:pPr>
        <w:spacing w:line="360" w:lineRule="auto"/>
        <w:ind w:right="28" w:firstLine="560"/>
        <w:rPr>
          <w:rFonts w:ascii="宋体" w:hAnsi="宋体"/>
          <w:sz w:val="28"/>
          <w:szCs w:val="28"/>
        </w:rPr>
      </w:pPr>
      <w:r>
        <w:rPr>
          <w:rFonts w:ascii="宋体" w:hAnsi="宋体" w:hint="eastAsia"/>
          <w:sz w:val="28"/>
          <w:szCs w:val="28"/>
          <w:highlight w:val="white"/>
        </w:rPr>
        <w:t>基金托管账户与“基金清算账户”间的资金结算遵循“全额清算、净额交收”的原则，每日按照托管账户应收资金与应付资金的差额来确定托管账户净应收额或净应付额，以此确定资金交收额。</w:t>
      </w:r>
    </w:p>
    <w:p w:rsidR="00B963CD" w14:paraId="25AB70E9" w14:textId="77777777">
      <w:pPr>
        <w:spacing w:line="360" w:lineRule="auto"/>
        <w:ind w:right="28" w:firstLine="560"/>
        <w:rPr>
          <w:rFonts w:ascii="宋体" w:hAnsi="宋体"/>
          <w:sz w:val="28"/>
          <w:szCs w:val="28"/>
        </w:rPr>
      </w:pPr>
      <w:r>
        <w:rPr>
          <w:rFonts w:ascii="宋体" w:hAnsi="宋体" w:hint="eastAsia"/>
          <w:sz w:val="28"/>
          <w:szCs w:val="28"/>
          <w:highlight w:val="white"/>
        </w:rPr>
        <w:t>如果当日基金为净应收款，基金管理人将资金划往资产托管专户。</w:t>
      </w:r>
    </w:p>
    <w:p w:rsidR="00B963CD" w14:paraId="3D175251" w14:textId="77777777">
      <w:pPr>
        <w:spacing w:line="360" w:lineRule="auto"/>
        <w:ind w:right="28" w:firstLine="560"/>
        <w:rPr>
          <w:rFonts w:ascii="宋体" w:hAnsi="宋体"/>
          <w:sz w:val="28"/>
          <w:szCs w:val="28"/>
        </w:rPr>
      </w:pPr>
      <w:r>
        <w:rPr>
          <w:rFonts w:ascii="宋体" w:hAnsi="宋体" w:hint="eastAsia"/>
          <w:sz w:val="28"/>
          <w:szCs w:val="28"/>
          <w:highlight w:val="white"/>
        </w:rPr>
        <w:t>基金托管人应及时查收资金是否到账，对于未准时到账的资金，应及时通知基金管理人划付，因基金管理人过错产生的责任应由基金管理人承担。</w:t>
      </w:r>
    </w:p>
    <w:p w:rsidR="00B963CD" w14:paraId="42BDC5B1" w14:textId="77777777">
      <w:pPr>
        <w:spacing w:line="360" w:lineRule="auto"/>
        <w:ind w:firstLine="480"/>
        <w:rPr>
          <w:rFonts w:ascii="宋体" w:hAnsi="宋体"/>
          <w:color w:val="000000"/>
          <w:sz w:val="28"/>
          <w:szCs w:val="28"/>
        </w:rPr>
      </w:pPr>
      <w:r>
        <w:rPr>
          <w:rFonts w:ascii="宋体" w:hAnsi="宋体" w:hint="eastAsia"/>
          <w:sz w:val="28"/>
          <w:szCs w:val="28"/>
          <w:highlight w:val="white"/>
        </w:rPr>
        <w:t>如果当日基金为净应付款，基金托管人应根据基金管理人的指令及时进行划付。如果指令接收时，账户余额不足支付，以账户足额时间为指令接收时间。</w:t>
      </w:r>
      <w:r>
        <w:rPr>
          <w:rFonts w:ascii="宋体" w:hAnsi="宋体"/>
          <w:color w:val="000000"/>
          <w:sz w:val="28"/>
          <w:szCs w:val="28"/>
          <w:highlight w:val="white"/>
        </w:rPr>
        <w:t>因基金托管资金账户没有足够的资金，导致基金托管人不能按时拨付，如系基金管理人的原因造成，责任由基金管理人承担，基金托管人不承担垫款义务。</w:t>
      </w:r>
    </w:p>
    <w:p w:rsidR="00B963CD" w14:paraId="0555F018" w14:textId="77777777">
      <w:pPr>
        <w:spacing w:line="360" w:lineRule="auto"/>
        <w:ind w:firstLine="480"/>
        <w:rPr>
          <w:rFonts w:ascii="宋体" w:hAnsi="宋体"/>
          <w:color w:val="000000"/>
          <w:sz w:val="28"/>
          <w:szCs w:val="28"/>
        </w:rPr>
      </w:pPr>
      <w:r>
        <w:rPr>
          <w:rFonts w:ascii="宋体" w:hAnsi="宋体" w:hint="eastAsia"/>
          <w:color w:val="000000"/>
          <w:sz w:val="28"/>
          <w:szCs w:val="28"/>
          <w:highlight w:val="white"/>
        </w:rPr>
        <w:t>在发生巨额赎回或《基金合同》载明的其他暂停赎回或延缓支付赎回款项的情形时，款项的支付办法参照《基金合同》有关条款处理。</w:t>
      </w:r>
    </w:p>
    <w:p w:rsidR="00B963CD" w14:paraId="4CE8858F" w14:textId="77777777">
      <w:pPr>
        <w:spacing w:line="360" w:lineRule="auto"/>
        <w:ind w:firstLine="480"/>
        <w:rPr>
          <w:rFonts w:ascii="宋体" w:hAnsi="宋体"/>
          <w:color w:val="000000"/>
          <w:sz w:val="28"/>
          <w:szCs w:val="28"/>
        </w:rPr>
      </w:pPr>
      <w:r>
        <w:rPr>
          <w:rFonts w:ascii="宋体" w:hAnsi="宋体"/>
          <w:color w:val="000000"/>
          <w:sz w:val="28"/>
          <w:szCs w:val="28"/>
          <w:highlight w:val="white"/>
        </w:rPr>
        <w:t>（五）</w:t>
      </w:r>
      <w:r>
        <w:rPr>
          <w:rFonts w:ascii="宋体" w:hAnsi="宋体" w:hint="eastAsia"/>
          <w:color w:val="000000"/>
          <w:sz w:val="28"/>
          <w:szCs w:val="28"/>
          <w:highlight w:val="white"/>
        </w:rPr>
        <w:t>基金融资</w:t>
      </w:r>
    </w:p>
    <w:p w:rsidR="00B963CD" w14:paraId="0F58ABAC" w14:textId="77777777">
      <w:pPr>
        <w:spacing w:line="360" w:lineRule="auto"/>
        <w:ind w:firstLine="480"/>
        <w:rPr>
          <w:rFonts w:ascii="宋体" w:hAnsi="宋体"/>
          <w:color w:val="000000"/>
          <w:sz w:val="28"/>
        </w:rPr>
      </w:pPr>
      <w:r>
        <w:rPr>
          <w:rFonts w:ascii="宋体" w:hAnsi="宋体" w:hint="eastAsia"/>
          <w:color w:val="000000"/>
          <w:sz w:val="28"/>
          <w:szCs w:val="28"/>
          <w:highlight w:val="white"/>
        </w:rPr>
        <w:t>如本基金按国家有关规定进行融资时，基金托管人应为基金融资提供必要的协助。</w:t>
      </w:r>
    </w:p>
    <w:p w:rsidR="00B963CD" w14:paraId="57BEAE77" w14:textId="77777777">
      <w:pPr>
        <w:pStyle w:val="21"/>
        <w:spacing w:line="360" w:lineRule="auto"/>
        <w:jc w:val="center"/>
        <w:rPr>
          <w:rFonts w:ascii="宋体" w:eastAsia="宋体" w:hAnsi="宋体"/>
          <w:color w:val="000000"/>
          <w:sz w:val="28"/>
        </w:rPr>
      </w:pPr>
      <w:bookmarkStart w:id="93" w:name="_Toc145818942"/>
      <w:r>
        <w:rPr>
          <w:rFonts w:ascii="宋体" w:eastAsia="宋体" w:hAnsi="宋体"/>
          <w:color w:val="000000"/>
          <w:sz w:val="28"/>
          <w:highlight w:val="white"/>
        </w:rPr>
        <w:t>八、基金资产净值计算和会计核算</w:t>
      </w:r>
      <w:bookmarkEnd w:id="93"/>
    </w:p>
    <w:p w:rsidR="00B963CD" w14:paraId="4937E1EC"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（一）基金资产净值的计算及</w:t>
      </w:r>
      <w:r>
        <w:rPr>
          <w:rFonts w:ascii="宋体" w:hAnsi="宋体" w:hint="eastAsia"/>
          <w:color w:val="000000"/>
          <w:sz w:val="28"/>
          <w:szCs w:val="28"/>
          <w:highlight w:val="white"/>
        </w:rPr>
        <w:t>复核</w:t>
      </w:r>
      <w:r>
        <w:rPr>
          <w:rFonts w:ascii="宋体" w:hAnsi="宋体"/>
          <w:color w:val="000000"/>
          <w:sz w:val="28"/>
          <w:szCs w:val="28"/>
          <w:highlight w:val="white"/>
        </w:rPr>
        <w:t>程序</w:t>
      </w:r>
    </w:p>
    <w:p w:rsidR="00B963CD" w14:paraId="7FE2FAA4"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w:t>
      </w:r>
      <w:r>
        <w:rPr>
          <w:rFonts w:ascii="宋体" w:hAnsi="宋体"/>
          <w:color w:val="000000"/>
          <w:sz w:val="28"/>
          <w:szCs w:val="28"/>
          <w:highlight w:val="white"/>
        </w:rPr>
        <w:t>基金资产净值</w:t>
      </w:r>
    </w:p>
    <w:p w:rsidR="00B963CD" w14:paraId="41B65299"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基金资产净值是指基金资产总值减去负债后的</w:t>
      </w:r>
      <w:r>
        <w:rPr>
          <w:rFonts w:ascii="宋体" w:hAnsi="宋体" w:hint="eastAsia"/>
          <w:color w:val="000000"/>
          <w:sz w:val="28"/>
          <w:szCs w:val="28"/>
          <w:highlight w:val="white"/>
        </w:rPr>
        <w:t>净资产值</w:t>
      </w:r>
      <w:r>
        <w:rPr>
          <w:rFonts w:ascii="宋体" w:hAnsi="宋体"/>
          <w:color w:val="000000"/>
          <w:sz w:val="28"/>
          <w:szCs w:val="28"/>
          <w:highlight w:val="white"/>
        </w:rPr>
        <w:t>。</w:t>
      </w:r>
    </w:p>
    <w:p w:rsidR="00B963CD" w14:paraId="0A8B9C84"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基金份额净值是指基金资产净值除以基金份额总数</w:t>
      </w:r>
      <w:r>
        <w:rPr>
          <w:rFonts w:ascii="宋体" w:hAnsi="宋体" w:hint="eastAsia"/>
          <w:color w:val="000000"/>
          <w:sz w:val="28"/>
          <w:szCs w:val="28"/>
          <w:highlight w:val="white"/>
        </w:rPr>
        <w:t>后得到的基金份额的资产净值。</w:t>
      </w:r>
      <w:r>
        <w:rPr>
          <w:rFonts w:ascii="宋体" w:hAnsi="宋体"/>
          <w:color w:val="000000"/>
          <w:sz w:val="28"/>
          <w:szCs w:val="28"/>
          <w:highlight w:val="white"/>
        </w:rPr>
        <w:t>基金份额净值的计算，精确到0.0001元，小数点后第</w:t>
      </w:r>
      <w:r>
        <w:rPr>
          <w:rFonts w:ascii="宋体" w:hAnsi="宋体" w:hint="eastAsia"/>
          <w:color w:val="000000"/>
          <w:sz w:val="28"/>
          <w:szCs w:val="28"/>
          <w:highlight w:val="white"/>
        </w:rPr>
        <w:t>五</w:t>
      </w:r>
      <w:r>
        <w:rPr>
          <w:rFonts w:ascii="宋体" w:hAnsi="宋体"/>
          <w:color w:val="000000"/>
          <w:sz w:val="28"/>
          <w:szCs w:val="28"/>
          <w:highlight w:val="white"/>
        </w:rPr>
        <w:t>位四舍五入，</w:t>
      </w:r>
      <w:r>
        <w:rPr>
          <w:rFonts w:ascii="宋体" w:hAnsi="宋体" w:hint="eastAsia"/>
          <w:color w:val="000000"/>
          <w:sz w:val="28"/>
          <w:szCs w:val="28"/>
          <w:highlight w:val="white"/>
        </w:rPr>
        <w:t>由此产生的误差计入基金财产。</w:t>
      </w:r>
      <w:r>
        <w:rPr>
          <w:rFonts w:ascii="宋体" w:hAnsi="宋体"/>
          <w:color w:val="000000"/>
          <w:sz w:val="28"/>
          <w:szCs w:val="28"/>
          <w:highlight w:val="white"/>
        </w:rPr>
        <w:t>国家另有规定的，从其规定。</w:t>
      </w:r>
    </w:p>
    <w:p w:rsidR="00B963CD" w14:paraId="29001AC5"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每个估值日计算基金资产净值及基金份额净值，并按规定公告。</w:t>
      </w:r>
    </w:p>
    <w:p w:rsidR="00B963CD" w14:paraId="040FAE7E"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w:t>
      </w:r>
      <w:r>
        <w:rPr>
          <w:rFonts w:ascii="宋体" w:hAnsi="宋体"/>
          <w:color w:val="000000"/>
          <w:sz w:val="28"/>
          <w:szCs w:val="28"/>
          <w:highlight w:val="white"/>
        </w:rPr>
        <w:t>复核程序</w:t>
      </w:r>
    </w:p>
    <w:p w:rsidR="00B963CD" w14:paraId="68A5D0B7"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基金管理人</w:t>
      </w:r>
      <w:r>
        <w:rPr>
          <w:rFonts w:ascii="宋体" w:hAnsi="宋体" w:hint="eastAsia"/>
          <w:color w:val="000000"/>
          <w:sz w:val="28"/>
          <w:szCs w:val="28"/>
          <w:highlight w:val="white"/>
        </w:rPr>
        <w:t>每个估值日</w:t>
      </w:r>
      <w:r>
        <w:rPr>
          <w:rFonts w:ascii="宋体" w:hAnsi="宋体"/>
          <w:color w:val="000000"/>
          <w:sz w:val="28"/>
          <w:szCs w:val="28"/>
          <w:highlight w:val="white"/>
        </w:rPr>
        <w:t>对基金资产进行估值后，将基金份额净值结果发送基金托管人，经基金托管人复核无误后，由基金管理人</w:t>
      </w:r>
      <w:r>
        <w:rPr>
          <w:rFonts w:ascii="宋体" w:hAnsi="宋体" w:hint="eastAsia"/>
          <w:color w:val="000000"/>
          <w:sz w:val="28"/>
          <w:szCs w:val="28"/>
          <w:highlight w:val="white"/>
        </w:rPr>
        <w:t>依据基金合同和相关法律法规的规定</w:t>
      </w:r>
      <w:r>
        <w:rPr>
          <w:rFonts w:ascii="宋体" w:hAnsi="宋体"/>
          <w:color w:val="000000"/>
          <w:sz w:val="28"/>
          <w:szCs w:val="28"/>
          <w:highlight w:val="white"/>
        </w:rPr>
        <w:t>对外公布。</w:t>
      </w:r>
    </w:p>
    <w:p w:rsidR="00B963CD" w14:paraId="3C44FE7B"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（二）基金资产估值方法和特殊情形的处理</w:t>
      </w:r>
    </w:p>
    <w:p w:rsidR="00B963CD" w14:paraId="3DE39425"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w:t>
      </w:r>
      <w:r>
        <w:rPr>
          <w:rFonts w:ascii="宋体" w:hAnsi="宋体"/>
          <w:color w:val="000000"/>
          <w:sz w:val="28"/>
          <w:szCs w:val="28"/>
          <w:highlight w:val="white"/>
        </w:rPr>
        <w:t>估值对象</w:t>
      </w:r>
    </w:p>
    <w:p w:rsidR="00B963CD" w14:paraId="5EB712A7"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基金所拥有的股票、债券和银行存款本息、应收款项、其它投资等资产及负债。</w:t>
      </w:r>
    </w:p>
    <w:p w:rsidR="00B963CD" w14:paraId="305367E3" w14:textId="77777777">
      <w:pPr>
        <w:snapToGrid w:val="0"/>
        <w:spacing w:line="360" w:lineRule="auto"/>
        <w:ind w:firstLine="560"/>
        <w:rPr>
          <w:rFonts w:ascii="宋体" w:hAnsi="宋体"/>
          <w:sz w:val="28"/>
          <w:szCs w:val="28"/>
        </w:rPr>
      </w:pPr>
      <w:r>
        <w:rPr>
          <w:rFonts w:ascii="宋体" w:hAnsi="宋体"/>
          <w:sz w:val="28"/>
          <w:szCs w:val="28"/>
          <w:highlight w:val="white"/>
        </w:rPr>
        <w:t>2</w:t>
      </w:r>
      <w:r>
        <w:rPr>
          <w:rFonts w:ascii="宋体" w:hAnsi="宋体" w:hint="eastAsia"/>
          <w:sz w:val="28"/>
          <w:szCs w:val="28"/>
          <w:highlight w:val="white"/>
        </w:rPr>
        <w:t>、</w:t>
      </w:r>
      <w:r>
        <w:rPr>
          <w:rFonts w:ascii="宋体" w:hAnsi="宋体"/>
          <w:sz w:val="28"/>
          <w:szCs w:val="28"/>
          <w:highlight w:val="white"/>
        </w:rPr>
        <w:t>估值方法</w:t>
      </w:r>
    </w:p>
    <w:p w:rsidR="00B963CD" w14:paraId="0AC5336E"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（1）</w:t>
      </w:r>
      <w:r>
        <w:rPr>
          <w:rStyle w:val="read"/>
          <w:rFonts w:ascii="宋体" w:hAnsi="宋体" w:hint="eastAsia"/>
          <w:color w:val="000000"/>
          <w:sz w:val="28"/>
          <w:szCs w:val="28"/>
          <w:highlight w:val="white"/>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963CD" w14:paraId="4A52ACC5"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（2）</w:t>
      </w:r>
      <w:r>
        <w:rPr>
          <w:rStyle w:val="read"/>
          <w:rFonts w:ascii="宋体" w:hAnsi="宋体" w:hint="eastAsia"/>
          <w:color w:val="000000"/>
          <w:sz w:val="28"/>
          <w:szCs w:val="28"/>
          <w:highlight w:val="white"/>
        </w:rPr>
        <w:t>处于未上市期间的有价证券应区分如下情况处理：</w:t>
      </w:r>
    </w:p>
    <w:p w:rsidR="00B963CD" w14:paraId="60BAE90A" w14:textId="77777777">
      <w:pPr>
        <w:snapToGrid w:val="0"/>
        <w:spacing w:line="360" w:lineRule="auto"/>
        <w:ind w:firstLine="560"/>
        <w:rPr>
          <w:rStyle w:val="read"/>
          <w:rFonts w:ascii="宋体" w:hAnsi="宋体"/>
          <w:color w:val="000000"/>
          <w:sz w:val="28"/>
          <w:szCs w:val="28"/>
        </w:rPr>
      </w:pPr>
      <w:r>
        <w:rPr>
          <w:rStyle w:val="read"/>
          <w:rFonts w:ascii="宋体" w:hAnsi="宋体" w:hint="eastAsia"/>
          <w:color w:val="000000"/>
          <w:sz w:val="28"/>
          <w:szCs w:val="28"/>
          <w:highlight w:val="white"/>
        </w:rPr>
        <w:t>1）送股、转增股、配股和公开增发的新股，按估值日在证券交易所挂牌的同一股票的估值方法估值；该日无交易的，以最近一日的市价（收盘价）估值；</w:t>
      </w:r>
    </w:p>
    <w:p w:rsidR="00B963CD" w14:paraId="7D8B1EEA" w14:textId="77777777">
      <w:pPr>
        <w:snapToGrid w:val="0"/>
        <w:spacing w:line="360" w:lineRule="auto"/>
        <w:ind w:firstLine="560"/>
        <w:rPr>
          <w:rStyle w:val="read"/>
          <w:rFonts w:ascii="宋体" w:hAnsi="宋体"/>
          <w:color w:val="000000"/>
          <w:sz w:val="28"/>
          <w:szCs w:val="28"/>
        </w:rPr>
      </w:pPr>
      <w:r>
        <w:rPr>
          <w:rStyle w:val="read"/>
          <w:rFonts w:ascii="宋体" w:hAnsi="宋体" w:hint="eastAsia"/>
          <w:color w:val="000000"/>
          <w:sz w:val="28"/>
          <w:szCs w:val="28"/>
          <w:highlight w:val="white"/>
        </w:rPr>
        <w:t>2）首次公开发行未上市的股票，采用估值技术确定公允价值；</w:t>
      </w:r>
    </w:p>
    <w:p w:rsidR="00B963CD" w14:paraId="5D2DE1A1" w14:textId="77777777">
      <w:pPr>
        <w:snapToGrid w:val="0"/>
        <w:spacing w:line="360" w:lineRule="auto"/>
        <w:ind w:firstLine="560"/>
        <w:rPr>
          <w:rStyle w:val="read"/>
          <w:rFonts w:ascii="宋体" w:hAnsi="宋体"/>
          <w:color w:val="000000"/>
          <w:sz w:val="28"/>
          <w:szCs w:val="28"/>
        </w:rPr>
      </w:pPr>
      <w:r>
        <w:rPr>
          <w:rStyle w:val="read"/>
          <w:rFonts w:ascii="宋体" w:hAnsi="宋体" w:hint="eastAsia"/>
          <w:color w:val="000000"/>
          <w:sz w:val="28"/>
          <w:szCs w:val="28"/>
          <w:highlight w:val="white"/>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B963CD" w14:paraId="4435C99C"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（3）</w:t>
      </w:r>
      <w:r>
        <w:rPr>
          <w:rStyle w:val="read"/>
          <w:rFonts w:ascii="宋体" w:hAnsi="宋体" w:hint="eastAsia"/>
          <w:color w:val="000000"/>
          <w:sz w:val="28"/>
          <w:szCs w:val="28"/>
          <w:highlight w:val="white"/>
        </w:rPr>
        <w:t>对于已上市或已挂牌转让的不含权固定收益品种，选取估值日第三方估值基准服务机构提供的相应品种当日的估值全价进行估值。</w:t>
      </w:r>
    </w:p>
    <w:p w:rsidR="00B963CD" w14:paraId="5E8443A1"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（4）</w:t>
      </w:r>
      <w:r>
        <w:rPr>
          <w:rStyle w:val="read"/>
          <w:rFonts w:ascii="宋体" w:hAnsi="宋体" w:hint="eastAsia"/>
          <w:color w:val="000000"/>
          <w:sz w:val="28"/>
          <w:szCs w:val="28"/>
          <w:highlight w:val="white"/>
        </w:rPr>
        <w:t>对于已上市或已挂牌转让的含权固定收益品种，选取估值日第三方估值基准服务机构提供的相应品种当日的唯一估值全价或推荐估值全价进行估值。</w:t>
      </w:r>
    </w:p>
    <w:p w:rsidR="00B963CD" w14:paraId="13236F27" w14:textId="77777777">
      <w:pPr>
        <w:snapToGrid w:val="0"/>
        <w:spacing w:line="360" w:lineRule="auto"/>
        <w:ind w:firstLine="560"/>
        <w:rPr>
          <w:rStyle w:val="read"/>
          <w:rFonts w:ascii="宋体" w:hAnsi="宋体"/>
          <w:color w:val="000000"/>
          <w:sz w:val="28"/>
          <w:szCs w:val="28"/>
        </w:rPr>
      </w:pPr>
      <w:r>
        <w:rPr>
          <w:rStyle w:val="read"/>
          <w:rFonts w:ascii="宋体" w:hAnsi="宋体" w:hint="eastAsia"/>
          <w:color w:val="000000"/>
          <w:sz w:val="28"/>
          <w:szCs w:val="28"/>
          <w:highlight w:val="white"/>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B963CD" w14:paraId="516BE1B7"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（5）</w:t>
      </w:r>
      <w:r>
        <w:rPr>
          <w:rStyle w:val="read"/>
          <w:rFonts w:ascii="宋体" w:hAnsi="宋体" w:hint="eastAsia"/>
          <w:color w:val="000000"/>
          <w:sz w:val="28"/>
          <w:szCs w:val="28"/>
          <w:highlight w:val="white"/>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B963CD" w14:paraId="32BF0C50"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（6）</w:t>
      </w:r>
      <w:r>
        <w:rPr>
          <w:rStyle w:val="read"/>
          <w:rFonts w:ascii="宋体" w:hAnsi="宋体" w:hint="eastAsia"/>
          <w:color w:val="000000"/>
          <w:sz w:val="28"/>
          <w:szCs w:val="28"/>
          <w:highlight w:val="white"/>
        </w:rPr>
        <w:t>对于未上市或未挂牌转让且不存在活跃市场的固定收益品种，采用在当前情况下适用并且有足够可利用数据和其他信息支持的估值技术确定其公允价值。</w:t>
      </w:r>
    </w:p>
    <w:p w:rsidR="00B963CD" w14:paraId="664822F1"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（7）</w:t>
      </w:r>
      <w:r>
        <w:rPr>
          <w:rStyle w:val="read"/>
          <w:rFonts w:ascii="宋体" w:hAnsi="宋体" w:hint="eastAsia"/>
          <w:color w:val="000000"/>
          <w:sz w:val="28"/>
          <w:szCs w:val="28"/>
          <w:highlight w:val="white"/>
        </w:rPr>
        <w:t>期货合约以估值当日结算价进行估值，估值当日无结算价的，且最近交易日后经济环境未发生重大变化的，采用最近交易日结算价估值。</w:t>
      </w:r>
    </w:p>
    <w:p w:rsidR="00B963CD" w14:paraId="78715522"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（8）</w:t>
      </w:r>
      <w:r>
        <w:rPr>
          <w:rStyle w:val="read"/>
          <w:rFonts w:ascii="宋体" w:hAnsi="宋体" w:hint="eastAsia"/>
          <w:color w:val="000000"/>
          <w:sz w:val="28"/>
          <w:szCs w:val="28"/>
          <w:highlight w:val="white"/>
        </w:rPr>
        <w:t>本基金投资期权，根据相关法律法规以及监管部门的规定估值。</w:t>
      </w:r>
    </w:p>
    <w:p w:rsidR="00B963CD" w14:paraId="2EDBF489"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（9）</w:t>
      </w:r>
      <w:r>
        <w:rPr>
          <w:rStyle w:val="read"/>
          <w:rFonts w:ascii="宋体" w:hAnsi="宋体" w:hint="eastAsia"/>
          <w:color w:val="000000"/>
          <w:sz w:val="28"/>
          <w:szCs w:val="28"/>
          <w:highlight w:val="white"/>
        </w:rPr>
        <w:t>本基金参与融资业务的，按照相关法律法规、监管部门和行业协会的相关规定进行估值。</w:t>
      </w:r>
    </w:p>
    <w:p w:rsidR="00B963CD" w14:paraId="4740F6EC"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（10）</w:t>
      </w:r>
      <w:r>
        <w:rPr>
          <w:rStyle w:val="read"/>
          <w:rFonts w:ascii="宋体" w:hAnsi="宋体" w:hint="eastAsia"/>
          <w:color w:val="000000"/>
          <w:sz w:val="28"/>
          <w:szCs w:val="28"/>
          <w:highlight w:val="white"/>
        </w:rPr>
        <w:t>本基金投资存托凭证的估值核算，依照境内上市交易的股票执行。</w:t>
      </w:r>
    </w:p>
    <w:p w:rsidR="00B963CD" w14:paraId="224D9CB2"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（11）</w:t>
      </w:r>
      <w:r>
        <w:rPr>
          <w:rStyle w:val="read"/>
          <w:rFonts w:ascii="宋体" w:hAnsi="宋体" w:hint="eastAsia"/>
          <w:color w:val="000000"/>
          <w:sz w:val="28"/>
          <w:szCs w:val="28"/>
          <w:highlight w:val="white"/>
        </w:rPr>
        <w:t>汇率</w:t>
      </w:r>
    </w:p>
    <w:p w:rsidR="00B963CD" w14:paraId="16810DCB" w14:textId="77777777">
      <w:pPr>
        <w:snapToGrid w:val="0"/>
        <w:spacing w:line="360" w:lineRule="auto"/>
        <w:ind w:firstLine="560"/>
        <w:rPr>
          <w:rStyle w:val="read"/>
          <w:rFonts w:ascii="宋体" w:hAnsi="宋体"/>
          <w:color w:val="000000"/>
          <w:sz w:val="28"/>
          <w:szCs w:val="28"/>
        </w:rPr>
      </w:pPr>
      <w:r>
        <w:rPr>
          <w:rStyle w:val="read"/>
          <w:rFonts w:ascii="宋体" w:hAnsi="宋体" w:hint="eastAsia"/>
          <w:color w:val="000000"/>
          <w:sz w:val="28"/>
          <w:szCs w:val="28"/>
          <w:highlight w:val="white"/>
        </w:rPr>
        <w:t>如本基金投资股票市场交易互联互通机制允许买卖的境外证券市场上市的股票，涉及相关货币对人民币汇率的，汇率来源详见招募说明书。</w:t>
      </w:r>
    </w:p>
    <w:p w:rsidR="00B963CD" w14:paraId="6FFACFE7"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（12）</w:t>
      </w:r>
      <w:r>
        <w:rPr>
          <w:rStyle w:val="read"/>
          <w:rFonts w:ascii="宋体" w:hAnsi="宋体" w:hint="eastAsia"/>
          <w:color w:val="000000"/>
          <w:sz w:val="28"/>
          <w:szCs w:val="28"/>
          <w:highlight w:val="white"/>
        </w:rPr>
        <w:t>税收</w:t>
      </w:r>
    </w:p>
    <w:p w:rsidR="00B963CD" w14:paraId="0406C2BD" w14:textId="77777777">
      <w:pPr>
        <w:snapToGrid w:val="0"/>
        <w:spacing w:line="360" w:lineRule="auto"/>
        <w:ind w:firstLine="560"/>
        <w:rPr>
          <w:rStyle w:val="read"/>
          <w:rFonts w:ascii="宋体" w:hAnsi="宋体"/>
          <w:color w:val="000000"/>
          <w:sz w:val="28"/>
          <w:szCs w:val="28"/>
        </w:rPr>
      </w:pPr>
      <w:r>
        <w:rPr>
          <w:rStyle w:val="read"/>
          <w:rFonts w:ascii="宋体" w:hAnsi="宋体" w:hint="eastAsia"/>
          <w:color w:val="000000"/>
          <w:sz w:val="28"/>
          <w:szCs w:val="28"/>
          <w:highlight w:val="white"/>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B963CD" w14:paraId="12697CD8"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（13）</w:t>
      </w:r>
      <w:r>
        <w:rPr>
          <w:rStyle w:val="read"/>
          <w:rFonts w:ascii="宋体" w:hAnsi="宋体" w:hint="eastAsia"/>
          <w:color w:val="000000"/>
          <w:sz w:val="28"/>
          <w:szCs w:val="28"/>
          <w:highlight w:val="white"/>
        </w:rPr>
        <w:t>如有充分理由表明按上述方法进行估值不能客观反映其公允价值的，基金管理人可根据具体情况与基金托管人商定后，按最能反映公允价值的价格估值。</w:t>
      </w:r>
    </w:p>
    <w:p w:rsidR="00B963CD" w14:paraId="73E71613"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（14）</w:t>
      </w:r>
      <w:r>
        <w:rPr>
          <w:rStyle w:val="read"/>
          <w:rFonts w:ascii="宋体" w:hAnsi="宋体" w:hint="eastAsia"/>
          <w:color w:val="000000"/>
          <w:sz w:val="28"/>
          <w:szCs w:val="28"/>
          <w:highlight w:val="white"/>
        </w:rPr>
        <w:t>当发生大额申购或赎回情形时，基金管理人可以采用摆动定价机制，以确保基金估值的公平性。</w:t>
      </w:r>
    </w:p>
    <w:p w:rsidR="00B963CD" w14:paraId="0346CC2B"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（15）</w:t>
      </w:r>
      <w:r>
        <w:rPr>
          <w:rStyle w:val="read"/>
          <w:rFonts w:ascii="宋体" w:hAnsi="宋体" w:hint="eastAsia"/>
          <w:color w:val="000000"/>
          <w:sz w:val="28"/>
          <w:szCs w:val="28"/>
          <w:highlight w:val="white"/>
        </w:rPr>
        <w:t>相关法律法规以及监管部门有强制规定的，从其规定。如有新增事项，按国家最新规定估值。</w:t>
      </w:r>
    </w:p>
    <w:p w:rsidR="00B963CD" w14:paraId="4E134B70" w14:textId="77777777">
      <w:pPr>
        <w:snapToGrid w:val="0"/>
        <w:spacing w:line="360" w:lineRule="auto"/>
        <w:ind w:firstLine="560"/>
        <w:rPr>
          <w:rStyle w:val="read"/>
          <w:rFonts w:ascii="宋体" w:hAnsi="宋体"/>
          <w:color w:val="000000"/>
          <w:sz w:val="28"/>
          <w:szCs w:val="28"/>
        </w:rPr>
      </w:pPr>
      <w:r>
        <w:rPr>
          <w:rStyle w:val="read"/>
          <w:rFonts w:ascii="宋体" w:hAnsi="宋体" w:hint="eastAsia"/>
          <w:color w:val="000000"/>
          <w:sz w:val="28"/>
          <w:szCs w:val="28"/>
          <w:highlight w:val="white"/>
        </w:rPr>
        <w:t>如基金管理人或基金托管人发现基金估值违反基金合同订明的估值方法、程序及相关法律法规的规定或者未能充分维护基金份额持有人利益时，应立即通知对方，共同查明原因，双方协商解决。</w:t>
      </w:r>
    </w:p>
    <w:p w:rsidR="00B963CD" w14:paraId="5541DBE9" w14:textId="77777777">
      <w:pPr>
        <w:snapToGrid w:val="0"/>
        <w:spacing w:line="360" w:lineRule="auto"/>
        <w:ind w:firstLine="560"/>
        <w:rPr>
          <w:rStyle w:val="read"/>
          <w:rFonts w:ascii="宋体" w:hAnsi="宋体"/>
          <w:color w:val="000000"/>
          <w:sz w:val="28"/>
          <w:szCs w:val="28"/>
        </w:rPr>
      </w:pPr>
      <w:r>
        <w:rPr>
          <w:rStyle w:val="read"/>
          <w:rFonts w:ascii="宋体" w:hAnsi="宋体" w:hint="eastAsia"/>
          <w:color w:val="000000"/>
          <w:sz w:val="28"/>
          <w:szCs w:val="28"/>
          <w:highlight w:val="white"/>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963CD" w14:paraId="5A9E4A6A" w14:textId="77777777">
      <w:pPr>
        <w:snapToGrid w:val="0"/>
        <w:spacing w:line="360" w:lineRule="auto"/>
        <w:ind w:firstLine="560"/>
        <w:rPr>
          <w:rStyle w:val="read"/>
          <w:rFonts w:ascii="宋体" w:hAnsi="宋体"/>
          <w:color w:val="000000"/>
          <w:sz w:val="28"/>
          <w:szCs w:val="28"/>
        </w:rPr>
      </w:pPr>
    </w:p>
    <w:p w:rsidR="00B963CD" w14:paraId="0599BD5F" w14:textId="77777777">
      <w:pPr>
        <w:snapToGrid w:val="0"/>
        <w:spacing w:line="360" w:lineRule="auto"/>
        <w:ind w:firstLine="560"/>
        <w:rPr>
          <w:rStyle w:val="read"/>
          <w:rFonts w:ascii="宋体" w:hAnsi="宋体"/>
          <w:color w:val="000000"/>
          <w:sz w:val="28"/>
          <w:szCs w:val="28"/>
        </w:rPr>
      </w:pPr>
      <w:r>
        <w:rPr>
          <w:rStyle w:val="read"/>
          <w:rFonts w:ascii="宋体" w:hAnsi="宋体"/>
          <w:color w:val="000000"/>
          <w:sz w:val="28"/>
          <w:szCs w:val="28"/>
          <w:highlight w:val="white"/>
        </w:rPr>
        <w:t>（三）基金份额净值错误的处理方式</w:t>
      </w:r>
    </w:p>
    <w:p w:rsidR="00B963CD" w14:paraId="76029876" w14:textId="77777777">
      <w:pPr>
        <w:snapToGrid w:val="0"/>
        <w:spacing w:line="360" w:lineRule="auto"/>
        <w:ind w:firstLine="560"/>
        <w:rPr>
          <w:rStyle w:val="read"/>
          <w:rFonts w:ascii="宋体" w:hAnsi="宋体"/>
          <w:color w:val="000000"/>
          <w:sz w:val="28"/>
          <w:szCs w:val="28"/>
        </w:rPr>
      </w:pPr>
      <w:r>
        <w:rPr>
          <w:rFonts w:ascii="宋体" w:hAnsi="宋体" w:hint="eastAsia"/>
          <w:sz w:val="28"/>
          <w:szCs w:val="28"/>
          <w:highlight w:val="white"/>
        </w:rPr>
        <w:t>1、</w:t>
      </w:r>
      <w:r>
        <w:rPr>
          <w:rStyle w:val="read"/>
          <w:rFonts w:ascii="宋体" w:hAnsi="宋体"/>
          <w:color w:val="000000"/>
          <w:sz w:val="28"/>
          <w:szCs w:val="28"/>
          <w:highlight w:val="white"/>
        </w:rPr>
        <w:t>当基金份额净值小数点后</w:t>
      </w:r>
      <w:r>
        <w:rPr>
          <w:rStyle w:val="read"/>
          <w:rFonts w:ascii="宋体" w:hAnsi="宋体" w:hint="eastAsia"/>
          <w:color w:val="000000"/>
          <w:sz w:val="28"/>
          <w:szCs w:val="28"/>
          <w:highlight w:val="white"/>
        </w:rPr>
        <w:t>4</w:t>
      </w:r>
      <w:r>
        <w:rPr>
          <w:rStyle w:val="read"/>
          <w:rFonts w:ascii="宋体" w:hAnsi="宋体"/>
          <w:color w:val="000000"/>
          <w:sz w:val="28"/>
          <w:szCs w:val="28"/>
          <w:highlight w:val="white"/>
        </w:rPr>
        <w:t>位以内(含第</w:t>
      </w:r>
      <w:r>
        <w:rPr>
          <w:rStyle w:val="read"/>
          <w:rFonts w:ascii="宋体" w:hAnsi="宋体" w:hint="eastAsia"/>
          <w:color w:val="000000"/>
          <w:sz w:val="28"/>
          <w:szCs w:val="28"/>
          <w:highlight w:val="white"/>
        </w:rPr>
        <w:t>4</w:t>
      </w:r>
      <w:r>
        <w:rPr>
          <w:rStyle w:val="read"/>
          <w:rFonts w:ascii="宋体" w:hAnsi="宋体"/>
          <w:color w:val="000000"/>
          <w:sz w:val="28"/>
          <w:szCs w:val="28"/>
          <w:highlight w:val="white"/>
        </w:rPr>
        <w:t>位)发生差错时，视为基金份额净值错误；基金份额净值出现错误时，基金管理人应当立即予以纠正，通报基金托管人，并采取合理的措施防止损失进一步扩大；</w:t>
      </w:r>
      <w:r>
        <w:rPr>
          <w:rStyle w:val="read"/>
          <w:rFonts w:ascii="宋体" w:hAnsi="宋体" w:hint="eastAsia"/>
          <w:color w:val="000000"/>
          <w:sz w:val="28"/>
          <w:szCs w:val="28"/>
          <w:highlight w:val="white"/>
        </w:rPr>
        <w:t>错误偏差达到基金份额净值的0.25%时，基金管理人应当通报基金托管人并报中国证监会备案；错误偏差达到基金份额净值的0.5%时，基金管理人应当公告，并报中国证监会备案</w:t>
      </w:r>
      <w:r>
        <w:rPr>
          <w:rStyle w:val="read"/>
          <w:rFonts w:ascii="宋体" w:hAnsi="宋体"/>
          <w:color w:val="000000"/>
          <w:sz w:val="28"/>
          <w:szCs w:val="28"/>
          <w:highlight w:val="white"/>
        </w:rPr>
        <w:t>；当发生净值计算错误时，由此给基金份额持有人和基金造成损失的，应按差错情形由相关当事人赔偿。</w:t>
      </w:r>
    </w:p>
    <w:p w:rsidR="00B963CD" w14:paraId="5C9FD47C" w14:textId="77777777">
      <w:pPr>
        <w:snapToGrid w:val="0"/>
        <w:spacing w:line="360" w:lineRule="auto"/>
        <w:ind w:firstLine="560"/>
        <w:rPr>
          <w:rStyle w:val="read"/>
          <w:rFonts w:ascii="宋体" w:hAnsi="宋体"/>
          <w:color w:val="000000"/>
          <w:sz w:val="28"/>
          <w:szCs w:val="28"/>
        </w:rPr>
      </w:pPr>
      <w:r>
        <w:rPr>
          <w:rFonts w:ascii="宋体" w:hAnsi="宋体" w:hint="eastAsia"/>
          <w:sz w:val="28"/>
          <w:szCs w:val="28"/>
          <w:highlight w:val="white"/>
        </w:rPr>
        <w:t>2、</w:t>
      </w:r>
      <w:r>
        <w:rPr>
          <w:rStyle w:val="read"/>
          <w:rFonts w:ascii="宋体" w:hAnsi="宋体"/>
          <w:color w:val="000000"/>
          <w:sz w:val="28"/>
          <w:szCs w:val="28"/>
          <w:highlight w:val="white"/>
        </w:rPr>
        <w:t>当基金份额净值计算差错给基金和基金份额持有人造成损失需要进行赔偿时，基金管理人和基金托管人应根据实际情况界定双方承担的责任，经确认后按以下条款进行赔偿：</w:t>
      </w:r>
    </w:p>
    <w:p w:rsidR="00B963CD" w14:paraId="7AA78F5B" w14:textId="77777777">
      <w:pPr>
        <w:snapToGrid w:val="0"/>
        <w:spacing w:line="360" w:lineRule="auto"/>
        <w:ind w:firstLine="700"/>
        <w:rPr>
          <w:rStyle w:val="read"/>
          <w:rFonts w:ascii="宋体" w:hAnsi="宋体"/>
          <w:color w:val="000000"/>
          <w:sz w:val="28"/>
          <w:szCs w:val="28"/>
        </w:rPr>
      </w:pPr>
      <w:r>
        <w:rPr>
          <w:rStyle w:val="read"/>
          <w:rFonts w:ascii="宋体" w:hAnsi="宋体"/>
          <w:color w:val="000000"/>
          <w:sz w:val="28"/>
          <w:szCs w:val="28"/>
          <w:highlight w:val="white"/>
        </w:rPr>
        <w:t>（1）</w:t>
      </w:r>
      <w:r>
        <w:rPr>
          <w:rFonts w:ascii="宋体" w:hAnsi="宋体"/>
          <w:color w:val="000000"/>
          <w:sz w:val="28"/>
          <w:szCs w:val="28"/>
          <w:highlight w:val="white"/>
        </w:rPr>
        <w:t>若基金管理人计算的基金份额净值已由基金托管人复核确认后公告，而且基金托管人未对计算过程提出疑义或要求基金管理人书面说明，</w:t>
      </w:r>
      <w:r>
        <w:rPr>
          <w:rFonts w:ascii="宋体" w:hAnsi="宋体" w:hint="eastAsia"/>
          <w:color w:val="000000"/>
          <w:sz w:val="28"/>
          <w:szCs w:val="28"/>
          <w:highlight w:val="white"/>
        </w:rPr>
        <w:t>基金</w:t>
      </w:r>
      <w:r>
        <w:rPr>
          <w:rFonts w:ascii="宋体" w:hAnsi="宋体"/>
          <w:color w:val="000000"/>
          <w:sz w:val="28"/>
          <w:szCs w:val="28"/>
          <w:highlight w:val="white"/>
        </w:rPr>
        <w:t>份额净值出错且造成基金份额持有人损失的，应根据法律法规的规定对</w:t>
      </w:r>
      <w:r>
        <w:rPr>
          <w:rFonts w:ascii="宋体" w:hAnsi="宋体" w:hint="eastAsia"/>
          <w:color w:val="000000"/>
          <w:sz w:val="28"/>
          <w:szCs w:val="28"/>
          <w:highlight w:val="white"/>
        </w:rPr>
        <w:t>基金份额持有人</w:t>
      </w:r>
      <w:r>
        <w:rPr>
          <w:rFonts w:ascii="宋体" w:hAnsi="宋体"/>
          <w:color w:val="000000"/>
          <w:sz w:val="28"/>
          <w:szCs w:val="28"/>
          <w:highlight w:val="white"/>
        </w:rPr>
        <w:t>或基金支付赔偿金，就实际向</w:t>
      </w:r>
      <w:r>
        <w:rPr>
          <w:rFonts w:ascii="宋体" w:hAnsi="宋体" w:hint="eastAsia"/>
          <w:color w:val="000000"/>
          <w:sz w:val="28"/>
          <w:szCs w:val="28"/>
          <w:highlight w:val="white"/>
        </w:rPr>
        <w:t>基金份额持有人</w:t>
      </w:r>
      <w:r>
        <w:rPr>
          <w:rFonts w:ascii="宋体" w:hAnsi="宋体"/>
          <w:color w:val="000000"/>
          <w:sz w:val="28"/>
          <w:szCs w:val="28"/>
          <w:highlight w:val="white"/>
        </w:rPr>
        <w:t>或基金支付的赔偿金额，基金管理人与基金托管人按照过错程度各自承担相应的责任</w:t>
      </w:r>
      <w:r>
        <w:rPr>
          <w:rStyle w:val="read"/>
          <w:rFonts w:ascii="宋体" w:hAnsi="宋体"/>
          <w:color w:val="000000"/>
          <w:sz w:val="28"/>
          <w:szCs w:val="28"/>
          <w:highlight w:val="white"/>
        </w:rPr>
        <w:t>。</w:t>
      </w:r>
    </w:p>
    <w:p w:rsidR="00B963CD" w14:paraId="09338EFF" w14:textId="77777777">
      <w:pPr>
        <w:snapToGrid w:val="0"/>
        <w:spacing w:line="360" w:lineRule="auto"/>
        <w:ind w:firstLine="700"/>
        <w:rPr>
          <w:rFonts w:ascii="宋体" w:hAnsi="宋体"/>
          <w:color w:val="000000"/>
          <w:sz w:val="28"/>
          <w:szCs w:val="28"/>
        </w:rPr>
      </w:pPr>
      <w:r>
        <w:rPr>
          <w:rFonts w:ascii="宋体" w:hAnsi="宋体"/>
          <w:color w:val="000000"/>
          <w:sz w:val="28"/>
          <w:szCs w:val="28"/>
          <w:highlight w:val="white"/>
        </w:rPr>
        <w:t>（2）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963CD" w14:paraId="1A0186B5" w14:textId="77777777">
      <w:pPr>
        <w:snapToGrid w:val="0"/>
        <w:spacing w:line="360" w:lineRule="auto"/>
        <w:ind w:firstLine="700"/>
        <w:rPr>
          <w:rFonts w:ascii="宋体" w:hAnsi="宋体"/>
          <w:color w:val="000000"/>
          <w:sz w:val="28"/>
          <w:szCs w:val="28"/>
        </w:rPr>
      </w:pPr>
      <w:r>
        <w:rPr>
          <w:rFonts w:ascii="宋体" w:hAnsi="宋体"/>
          <w:color w:val="000000"/>
          <w:sz w:val="28"/>
          <w:szCs w:val="28"/>
          <w:highlight w:val="white"/>
        </w:rPr>
        <w:t>（3）由于基金管理人提供的信息错误（包括但不限于基金申购或赎回金额等），</w:t>
      </w:r>
      <w:r>
        <w:rPr>
          <w:rFonts w:ascii="宋体" w:hAnsi="宋体" w:hint="eastAsia"/>
          <w:color w:val="000000"/>
          <w:sz w:val="28"/>
          <w:szCs w:val="28"/>
          <w:highlight w:val="white"/>
        </w:rPr>
        <w:t>基金托管人在履行正常复核程序后仍不能发现该错误，</w:t>
      </w:r>
      <w:r>
        <w:rPr>
          <w:rFonts w:ascii="宋体" w:hAnsi="宋体"/>
          <w:color w:val="000000"/>
          <w:sz w:val="28"/>
          <w:szCs w:val="28"/>
          <w:highlight w:val="white"/>
        </w:rPr>
        <w:t>进而导致基金份额净值计算错误而引起的基金份额持有人和基金</w:t>
      </w:r>
      <w:r>
        <w:rPr>
          <w:rFonts w:ascii="宋体" w:hAnsi="宋体" w:hint="eastAsia"/>
          <w:color w:val="000000"/>
          <w:sz w:val="28"/>
          <w:szCs w:val="28"/>
          <w:highlight w:val="white"/>
        </w:rPr>
        <w:t>财产</w:t>
      </w:r>
      <w:r>
        <w:rPr>
          <w:rFonts w:ascii="宋体" w:hAnsi="宋体"/>
          <w:color w:val="000000"/>
          <w:sz w:val="28"/>
          <w:szCs w:val="28"/>
          <w:highlight w:val="white"/>
        </w:rPr>
        <w:t>的损失，由基金管理人负责赔付</w:t>
      </w:r>
      <w:r>
        <w:rPr>
          <w:rFonts w:ascii="宋体" w:hAnsi="宋体" w:hint="eastAsia"/>
          <w:color w:val="000000"/>
          <w:sz w:val="28"/>
          <w:szCs w:val="28"/>
          <w:highlight w:val="white"/>
        </w:rPr>
        <w:t>。</w:t>
      </w:r>
    </w:p>
    <w:p w:rsidR="00B963CD" w14:paraId="47999ED4" w14:textId="77777777">
      <w:pPr>
        <w:snapToGrid w:val="0"/>
        <w:spacing w:line="360" w:lineRule="auto"/>
        <w:ind w:firstLine="700"/>
        <w:rPr>
          <w:rFonts w:ascii="宋体" w:hAnsi="宋体"/>
          <w:color w:val="000000"/>
          <w:sz w:val="28"/>
          <w:szCs w:val="28"/>
        </w:rPr>
      </w:pPr>
      <w:r>
        <w:rPr>
          <w:rFonts w:ascii="宋体" w:hAnsi="宋体"/>
          <w:color w:val="000000"/>
          <w:sz w:val="28"/>
          <w:highlight w:val="white"/>
        </w:rPr>
        <w:t>3、</w:t>
      </w:r>
      <w:r>
        <w:rPr>
          <w:rFonts w:ascii="宋体" w:hAnsi="宋体" w:hint="eastAsia"/>
          <w:color w:val="000000"/>
          <w:sz w:val="28"/>
          <w:szCs w:val="28"/>
          <w:highlight w:val="white"/>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B963CD" w14:paraId="6B6EF305" w14:textId="77777777">
      <w:pPr>
        <w:spacing w:line="360" w:lineRule="auto"/>
        <w:ind w:firstLine="560"/>
        <w:rPr>
          <w:rFonts w:ascii="宋体" w:hAnsi="宋体"/>
          <w:color w:val="000000"/>
          <w:sz w:val="28"/>
          <w:szCs w:val="28"/>
        </w:rPr>
      </w:pPr>
      <w:r>
        <w:rPr>
          <w:rFonts w:ascii="宋体" w:hAnsi="宋体"/>
          <w:color w:val="000000"/>
          <w:sz w:val="28"/>
          <w:szCs w:val="28"/>
          <w:highlight w:val="white"/>
        </w:rPr>
        <w:t>4、基金管理人和基金托管人由于各自技术系统设置而产生的净值计算尾差，以基金管理人计算结果为准。</w:t>
      </w:r>
    </w:p>
    <w:p w:rsidR="00B963CD" w14:paraId="1A6DF603"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5</w:t>
      </w:r>
      <w:r>
        <w:rPr>
          <w:rFonts w:ascii="宋体" w:hAnsi="宋体"/>
          <w:color w:val="000000"/>
          <w:sz w:val="28"/>
          <w:szCs w:val="28"/>
          <w:highlight w:val="white"/>
        </w:rPr>
        <w:t>、前述内容如法律法规或监管机关另有规定的，从其规定处理。如果行业有通行做法，双方当事人应本着平等和保护基金份额持有人利益的原则进行协商。</w:t>
      </w:r>
    </w:p>
    <w:p w:rsidR="00B963CD" w14:paraId="078399D9"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（四）暂停估值与公告基金份额净值的情形</w:t>
      </w:r>
    </w:p>
    <w:p w:rsidR="00B963CD" w14:paraId="5EB1DB9E"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1、基金投资所涉及的证券交易市场遇法定节假日或因其他原因暂停营业时；</w:t>
      </w:r>
    </w:p>
    <w:p w:rsidR="00B963CD" w14:paraId="684328AB"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2、因不可抗力致使基金管理人、基金托管人无法准确评估基金资产价值时；</w:t>
      </w:r>
    </w:p>
    <w:p w:rsidR="00B963CD" w14:paraId="737C1404"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3、当特定资产占前一估值日基金资产净值50%以上的，经与基金托管人协商确认后，基金管理人应当暂停估值；</w:t>
      </w:r>
    </w:p>
    <w:p w:rsidR="00B963CD" w14:paraId="7A18CCDE"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4、中国证监会和基金合同认定的其它情形。</w:t>
      </w:r>
    </w:p>
    <w:p w:rsidR="00B963CD" w14:paraId="247864C0"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（五）基金会计制度</w:t>
      </w:r>
    </w:p>
    <w:p w:rsidR="00B963CD" w14:paraId="39BDD638"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按国家有关部门规定的会计制度执行。</w:t>
      </w:r>
    </w:p>
    <w:p w:rsidR="00B963CD" w14:paraId="42CFEC39"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（六）基金账册的建立</w:t>
      </w:r>
    </w:p>
    <w:p w:rsidR="00B963CD" w14:paraId="3DA6244B" w14:textId="77777777">
      <w:pPr>
        <w:snapToGrid w:val="0"/>
        <w:spacing w:line="360" w:lineRule="auto"/>
        <w:ind w:firstLine="560"/>
        <w:outlineLvl w:val="0"/>
        <w:rPr>
          <w:rFonts w:ascii="宋体" w:hAnsi="宋体"/>
          <w:color w:val="000000"/>
          <w:sz w:val="28"/>
          <w:szCs w:val="28"/>
        </w:rPr>
      </w:pPr>
      <w:r>
        <w:rPr>
          <w:rFonts w:ascii="宋体" w:hAnsi="宋体" w:hint="eastAsia"/>
          <w:sz w:val="28"/>
          <w:szCs w:val="28"/>
          <w:highlight w:val="white"/>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B963CD" w14:paraId="29CB2611"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（七）基金财务报表与报告的编制和复核</w:t>
      </w:r>
    </w:p>
    <w:p w:rsidR="00B963CD" w14:paraId="71802553"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w:t>
      </w:r>
      <w:r>
        <w:rPr>
          <w:rFonts w:ascii="宋体" w:hAnsi="宋体"/>
          <w:color w:val="000000"/>
          <w:sz w:val="28"/>
          <w:szCs w:val="28"/>
          <w:highlight w:val="white"/>
        </w:rPr>
        <w:t>财务报表的编制</w:t>
      </w:r>
    </w:p>
    <w:p w:rsidR="00B963CD" w14:paraId="5C24E879"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基金管理人应当及时编制并对外提供真实、完整的基金财务会计报告。</w:t>
      </w:r>
      <w:r>
        <w:rPr>
          <w:rFonts w:ascii="宋体" w:hAnsi="宋体"/>
          <w:color w:val="000000"/>
          <w:sz w:val="28"/>
          <w:szCs w:val="28"/>
          <w:highlight w:val="white"/>
        </w:rPr>
        <w:t>月度报表的编制，基金管理人应于每月终了后5个</w:t>
      </w:r>
      <w:r>
        <w:rPr>
          <w:rFonts w:ascii="宋体" w:hAnsi="宋体" w:hint="eastAsia"/>
          <w:color w:val="000000"/>
          <w:sz w:val="28"/>
          <w:szCs w:val="28"/>
          <w:highlight w:val="white"/>
        </w:rPr>
        <w:t>工作</w:t>
      </w:r>
      <w:r>
        <w:rPr>
          <w:rFonts w:ascii="宋体" w:hAnsi="宋体"/>
          <w:color w:val="000000"/>
          <w:sz w:val="28"/>
          <w:szCs w:val="28"/>
          <w:highlight w:val="white"/>
        </w:rPr>
        <w:t>日内完成；</w:t>
      </w:r>
      <w:r>
        <w:rPr>
          <w:rFonts w:ascii="宋体" w:hAnsi="宋体" w:hint="eastAsia"/>
          <w:color w:val="000000"/>
          <w:sz w:val="28"/>
          <w:szCs w:val="28"/>
          <w:highlight w:val="white"/>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rFonts w:ascii="宋体" w:hAnsi="宋体"/>
          <w:color w:val="000000"/>
          <w:sz w:val="28"/>
          <w:szCs w:val="28"/>
          <w:highlight w:val="white"/>
        </w:rPr>
        <w:t>季度报告应在每个季度结束之日起15个工作日内</w:t>
      </w:r>
      <w:r>
        <w:rPr>
          <w:rFonts w:ascii="宋体" w:hAnsi="宋体" w:hint="eastAsia"/>
          <w:color w:val="000000"/>
          <w:sz w:val="28"/>
          <w:szCs w:val="28"/>
          <w:highlight w:val="white"/>
        </w:rPr>
        <w:t>编制完毕并</w:t>
      </w:r>
      <w:r>
        <w:rPr>
          <w:rFonts w:ascii="宋体" w:hAnsi="宋体"/>
          <w:color w:val="000000"/>
          <w:sz w:val="28"/>
          <w:szCs w:val="28"/>
          <w:highlight w:val="white"/>
        </w:rPr>
        <w:t>予以公告；中期报告应在</w:t>
      </w:r>
      <w:r>
        <w:rPr>
          <w:rFonts w:ascii="宋体" w:hAnsi="宋体" w:hint="eastAsia"/>
          <w:color w:val="000000"/>
          <w:sz w:val="28"/>
          <w:szCs w:val="28"/>
          <w:highlight w:val="white"/>
        </w:rPr>
        <w:t>上半年结束之日起两个月</w:t>
      </w:r>
      <w:r>
        <w:rPr>
          <w:rFonts w:ascii="宋体" w:hAnsi="宋体"/>
          <w:color w:val="000000"/>
          <w:sz w:val="28"/>
          <w:szCs w:val="28"/>
          <w:highlight w:val="white"/>
        </w:rPr>
        <w:t>内</w:t>
      </w:r>
      <w:r>
        <w:rPr>
          <w:rFonts w:ascii="宋体" w:hAnsi="宋体" w:hint="eastAsia"/>
          <w:color w:val="000000"/>
          <w:sz w:val="28"/>
          <w:szCs w:val="28"/>
          <w:highlight w:val="white"/>
        </w:rPr>
        <w:t>编制完毕并</w:t>
      </w:r>
      <w:r>
        <w:rPr>
          <w:rFonts w:ascii="宋体" w:hAnsi="宋体"/>
          <w:color w:val="000000"/>
          <w:sz w:val="28"/>
          <w:szCs w:val="28"/>
          <w:highlight w:val="white"/>
        </w:rPr>
        <w:t>予以公告；年度报告应在</w:t>
      </w:r>
      <w:r>
        <w:rPr>
          <w:rFonts w:ascii="宋体" w:hAnsi="宋体" w:hint="eastAsia"/>
          <w:color w:val="000000"/>
          <w:sz w:val="28"/>
          <w:szCs w:val="28"/>
          <w:highlight w:val="white"/>
        </w:rPr>
        <w:t>每年结束之日起三个月内编制完毕并</w:t>
      </w:r>
      <w:r>
        <w:rPr>
          <w:rFonts w:ascii="宋体" w:hAnsi="宋体"/>
          <w:color w:val="000000"/>
          <w:sz w:val="28"/>
          <w:szCs w:val="28"/>
          <w:highlight w:val="white"/>
        </w:rPr>
        <w:t>予以公告。基金合同生效不足</w:t>
      </w:r>
      <w:r>
        <w:rPr>
          <w:rFonts w:ascii="宋体" w:hAnsi="宋体" w:hint="eastAsia"/>
          <w:color w:val="000000"/>
          <w:sz w:val="28"/>
          <w:szCs w:val="28"/>
          <w:highlight w:val="white"/>
        </w:rPr>
        <w:t>2</w:t>
      </w:r>
      <w:r>
        <w:rPr>
          <w:rFonts w:ascii="宋体" w:hAnsi="宋体"/>
          <w:color w:val="000000"/>
          <w:sz w:val="28"/>
          <w:szCs w:val="28"/>
          <w:highlight w:val="white"/>
        </w:rPr>
        <w:t>个月的，基金管理人可以不编制当期季度报告、中期报告或者年度报告。</w:t>
      </w:r>
    </w:p>
    <w:p w:rsidR="00B963CD" w14:paraId="0EF74599"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w:t>
      </w:r>
      <w:r>
        <w:rPr>
          <w:rFonts w:ascii="宋体" w:hAnsi="宋体"/>
          <w:color w:val="000000"/>
          <w:sz w:val="28"/>
          <w:szCs w:val="28"/>
          <w:highlight w:val="white"/>
        </w:rPr>
        <w:t>报表复核</w:t>
      </w:r>
    </w:p>
    <w:p w:rsidR="00B963CD" w14:paraId="3F35B7AE"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基金管理人在月度报表完成当日，将报表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rsidR="00B963CD" w14:paraId="0AD4516D"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w:t>
      </w:r>
      <w:r>
        <w:rPr>
          <w:rFonts w:ascii="宋体" w:hAnsi="宋体" w:hint="eastAsia"/>
          <w:color w:val="000000"/>
          <w:sz w:val="28"/>
          <w:szCs w:val="28"/>
          <w:highlight w:val="white"/>
        </w:rPr>
        <w:t>专用</w:t>
      </w:r>
      <w:r>
        <w:rPr>
          <w:rFonts w:ascii="宋体" w:hAnsi="宋体"/>
          <w:color w:val="000000"/>
          <w:sz w:val="28"/>
          <w:szCs w:val="28"/>
          <w:highlight w:val="white"/>
        </w:rPr>
        <w:t>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rsidR="00B963CD" w14:paraId="0E447374" w14:textId="77777777">
      <w:pPr>
        <w:snapToGrid w:val="0"/>
        <w:spacing w:line="360" w:lineRule="auto"/>
        <w:ind w:firstLine="560"/>
        <w:outlineLvl w:val="0"/>
        <w:rPr>
          <w:rFonts w:ascii="宋体" w:hAnsi="宋体"/>
          <w:sz w:val="28"/>
          <w:szCs w:val="28"/>
        </w:rPr>
      </w:pPr>
      <w:r>
        <w:rPr>
          <w:rFonts w:ascii="宋体" w:hAnsi="宋体"/>
          <w:sz w:val="28"/>
          <w:szCs w:val="28"/>
          <w:highlight w:val="white"/>
        </w:rPr>
        <w:t>（八）基金管理人应每</w:t>
      </w:r>
      <w:r>
        <w:rPr>
          <w:rFonts w:ascii="宋体" w:hAnsi="宋体" w:hint="eastAsia"/>
          <w:sz w:val="28"/>
          <w:szCs w:val="28"/>
          <w:highlight w:val="white"/>
        </w:rPr>
        <w:t>季</w:t>
      </w:r>
      <w:r>
        <w:rPr>
          <w:rFonts w:ascii="宋体" w:hAnsi="宋体"/>
          <w:sz w:val="28"/>
          <w:szCs w:val="28"/>
          <w:highlight w:val="white"/>
        </w:rPr>
        <w:t>向基金托管人提供基金业绩比较基准的基础数据和编制结果。</w:t>
      </w:r>
    </w:p>
    <w:p w:rsidR="00B963CD" w14:paraId="730DED19" w14:textId="77777777">
      <w:pPr>
        <w:snapToGrid w:val="0"/>
        <w:spacing w:line="360" w:lineRule="auto"/>
        <w:ind w:firstLine="560"/>
        <w:outlineLvl w:val="0"/>
        <w:rPr>
          <w:rFonts w:ascii="宋体" w:hAnsi="宋体"/>
          <w:sz w:val="28"/>
          <w:szCs w:val="28"/>
        </w:rPr>
      </w:pPr>
      <w:r>
        <w:rPr>
          <w:rFonts w:ascii="宋体" w:hAnsi="宋体" w:hint="eastAsia"/>
          <w:sz w:val="28"/>
          <w:szCs w:val="28"/>
          <w:highlight w:val="white"/>
        </w:rPr>
        <w:t>（九）实施侧袋机制期间的基金资产估值</w:t>
      </w:r>
    </w:p>
    <w:p w:rsidR="00B963CD" w14:paraId="784DCE9E" w14:textId="77777777">
      <w:pPr>
        <w:snapToGrid w:val="0"/>
        <w:spacing w:line="360" w:lineRule="auto"/>
        <w:ind w:firstLine="560"/>
        <w:outlineLvl w:val="0"/>
        <w:rPr>
          <w:rFonts w:ascii="宋体" w:hAnsi="宋体"/>
          <w:sz w:val="28"/>
          <w:szCs w:val="28"/>
        </w:rPr>
      </w:pPr>
      <w:r>
        <w:rPr>
          <w:rFonts w:ascii="宋体" w:hAnsi="宋体" w:hint="eastAsia"/>
          <w:sz w:val="28"/>
          <w:szCs w:val="28"/>
          <w:highlight w:val="white"/>
        </w:rPr>
        <w:t>本基金实施侧袋机制的，应根据本部分的约定对主袋账户资产进行估值并披露主袋账户的基金资产净值和份额净值，暂停披露侧袋账户份额净值。</w:t>
      </w:r>
    </w:p>
    <w:p w:rsidR="00B963CD" w14:paraId="5BFC6B06" w14:textId="77777777">
      <w:pPr>
        <w:snapToGrid w:val="0"/>
        <w:spacing w:line="360" w:lineRule="auto"/>
        <w:ind w:firstLine="560"/>
        <w:outlineLvl w:val="0"/>
        <w:rPr>
          <w:rFonts w:ascii="宋体" w:hAnsi="宋体"/>
          <w:sz w:val="28"/>
        </w:rPr>
      </w:pPr>
      <w:r>
        <w:rPr>
          <w:rFonts w:ascii="宋体" w:hAnsi="宋体"/>
          <w:sz w:val="28"/>
          <w:highlight w:val="white"/>
        </w:rPr>
        <w:tab/>
      </w:r>
    </w:p>
    <w:p w:rsidR="00B963CD" w14:paraId="7DA2A71C" w14:textId="77777777">
      <w:pPr>
        <w:pStyle w:val="21"/>
        <w:spacing w:line="360" w:lineRule="auto"/>
        <w:jc w:val="center"/>
        <w:rPr>
          <w:rFonts w:ascii="宋体" w:eastAsia="宋体" w:hAnsi="宋体"/>
          <w:color w:val="000000"/>
          <w:sz w:val="28"/>
        </w:rPr>
      </w:pPr>
      <w:bookmarkStart w:id="94" w:name="_Toc145818943"/>
      <w:r>
        <w:rPr>
          <w:rFonts w:ascii="宋体" w:eastAsia="宋体" w:hAnsi="宋体"/>
          <w:color w:val="000000"/>
          <w:sz w:val="28"/>
          <w:highlight w:val="white"/>
        </w:rPr>
        <w:t>九、基金收益分配</w:t>
      </w:r>
      <w:bookmarkEnd w:id="94"/>
    </w:p>
    <w:p w:rsidR="00B963CD" w14:paraId="63F1C685"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基金收益分配是指按规定将基金的可</w:t>
      </w:r>
      <w:r>
        <w:rPr>
          <w:rFonts w:ascii="宋体" w:hAnsi="宋体" w:hint="eastAsia"/>
          <w:color w:val="000000"/>
          <w:sz w:val="28"/>
          <w:szCs w:val="28"/>
          <w:highlight w:val="white"/>
        </w:rPr>
        <w:t>供</w:t>
      </w:r>
      <w:r>
        <w:rPr>
          <w:rFonts w:ascii="宋体" w:hAnsi="宋体"/>
          <w:color w:val="000000"/>
          <w:sz w:val="28"/>
          <w:szCs w:val="28"/>
          <w:highlight w:val="white"/>
        </w:rPr>
        <w:t>分配</w:t>
      </w:r>
      <w:r>
        <w:rPr>
          <w:rFonts w:ascii="宋体" w:hAnsi="宋体" w:hint="eastAsia"/>
          <w:color w:val="000000"/>
          <w:sz w:val="28"/>
          <w:szCs w:val="28"/>
          <w:highlight w:val="white"/>
        </w:rPr>
        <w:t>利润</w:t>
      </w:r>
      <w:r>
        <w:rPr>
          <w:rFonts w:ascii="宋体" w:hAnsi="宋体"/>
          <w:color w:val="000000"/>
          <w:sz w:val="28"/>
          <w:szCs w:val="28"/>
          <w:highlight w:val="white"/>
        </w:rPr>
        <w:t>按基金份额进行比例分配。</w:t>
      </w:r>
    </w:p>
    <w:p w:rsidR="00B963CD" w14:paraId="4D59C524" w14:textId="77777777">
      <w:pPr>
        <w:snapToGrid w:val="0"/>
        <w:spacing w:line="360" w:lineRule="auto"/>
        <w:ind w:firstLine="561"/>
        <w:outlineLvl w:val="0"/>
        <w:rPr>
          <w:rFonts w:ascii="宋体" w:hAnsi="宋体"/>
          <w:color w:val="000000"/>
          <w:sz w:val="28"/>
          <w:szCs w:val="28"/>
        </w:rPr>
      </w:pPr>
      <w:r>
        <w:rPr>
          <w:rFonts w:ascii="宋体" w:hAnsi="宋体"/>
          <w:color w:val="000000"/>
          <w:sz w:val="28"/>
          <w:szCs w:val="28"/>
          <w:highlight w:val="white"/>
        </w:rPr>
        <w:t>（一）基金收益分配的原则</w:t>
      </w:r>
    </w:p>
    <w:p w:rsidR="00B963CD" w14:paraId="07ECD457"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基金收益分配应遵循下列原则：</w:t>
      </w:r>
    </w:p>
    <w:p w:rsidR="00B963CD" w14:paraId="239AD46A"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1、在符合有关基金分红条件的前提下，基金管理人可以根据实际情况进行收益分配，具体分配方案以公告为准，若《基金合同》生效不满3个月可不进行收益分配；</w:t>
      </w:r>
    </w:p>
    <w:p w:rsidR="00B963CD" w14:paraId="05D3B2F0"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2、本基金收益分配方式分两种：现金分红与红利再投资，投资者可选择现金红利或将现金红利自动转为对应类别的基金份额进行再投资；若投资者不选择，本基金默认的收益分配方式是现金分红；</w:t>
      </w:r>
    </w:p>
    <w:p w:rsidR="00B963CD" w14:paraId="25845F28"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3、基金收益分配后基金份额净值不能低于面值；即基金收益分配基准日的基金份额净值减去每单位基金份额收益分配金额后不能低于面值；</w:t>
      </w:r>
    </w:p>
    <w:p w:rsidR="00B963CD" w14:paraId="62433D52"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4、本基金各基金份额类别在费用收取上不同，其对应的可分配收益可能有所不同。同一类别的每一基金份额享有同等分配权；</w:t>
      </w:r>
    </w:p>
    <w:p w:rsidR="00B963CD" w14:paraId="4894710B"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5、在对基金份额持有人利益无实质不利影响的前提下，基金管理人可调整基金收益的分配原则和支付方式，不需召开基金份额持有人大会审议；</w:t>
      </w:r>
    </w:p>
    <w:p w:rsidR="00B963CD" w14:paraId="01C18F50"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6、法律法规或监管机关另有规定的，从其规定。</w:t>
      </w:r>
    </w:p>
    <w:p w:rsidR="00B963CD" w14:paraId="79A39B25" w14:textId="77777777">
      <w:pPr>
        <w:snapToGrid w:val="0"/>
        <w:spacing w:line="360" w:lineRule="auto"/>
        <w:ind w:firstLine="561"/>
        <w:rPr>
          <w:rFonts w:ascii="宋体" w:hAnsi="宋体"/>
          <w:color w:val="000000"/>
          <w:sz w:val="28"/>
          <w:szCs w:val="28"/>
        </w:rPr>
      </w:pPr>
    </w:p>
    <w:p w:rsidR="00B963CD" w14:paraId="1483C54B" w14:textId="77777777">
      <w:pPr>
        <w:snapToGrid w:val="0"/>
        <w:spacing w:line="360" w:lineRule="auto"/>
        <w:ind w:firstLine="561"/>
        <w:outlineLvl w:val="0"/>
        <w:rPr>
          <w:rFonts w:ascii="宋体" w:hAnsi="宋体"/>
          <w:color w:val="000000"/>
          <w:sz w:val="28"/>
          <w:szCs w:val="28"/>
        </w:rPr>
      </w:pPr>
      <w:r>
        <w:rPr>
          <w:rFonts w:ascii="宋体" w:hAnsi="宋体"/>
          <w:color w:val="000000"/>
          <w:sz w:val="28"/>
          <w:szCs w:val="28"/>
          <w:highlight w:val="white"/>
        </w:rPr>
        <w:t>（二）基金收益分配</w:t>
      </w:r>
      <w:r>
        <w:rPr>
          <w:rFonts w:ascii="宋体" w:hAnsi="宋体" w:hint="eastAsia"/>
          <w:color w:val="000000"/>
          <w:sz w:val="28"/>
          <w:szCs w:val="28"/>
          <w:highlight w:val="white"/>
        </w:rPr>
        <w:t>方案</w:t>
      </w:r>
      <w:r>
        <w:rPr>
          <w:rFonts w:ascii="宋体" w:hAnsi="宋体"/>
          <w:color w:val="000000"/>
          <w:sz w:val="28"/>
          <w:szCs w:val="28"/>
          <w:highlight w:val="white"/>
        </w:rPr>
        <w:t>的</w:t>
      </w:r>
      <w:r>
        <w:rPr>
          <w:rFonts w:ascii="宋体" w:hAnsi="宋体" w:hint="eastAsia"/>
          <w:sz w:val="28"/>
          <w:szCs w:val="28"/>
          <w:highlight w:val="white"/>
        </w:rPr>
        <w:t>确定、公告与实施</w:t>
      </w:r>
    </w:p>
    <w:p w:rsidR="00B963CD" w14:paraId="1E34998D" w14:textId="77777777">
      <w:pPr>
        <w:snapToGrid w:val="0"/>
        <w:spacing w:line="360" w:lineRule="auto"/>
        <w:ind w:firstLine="561"/>
        <w:rPr>
          <w:rFonts w:ascii="宋体" w:hAnsi="宋体"/>
          <w:sz w:val="28"/>
          <w:szCs w:val="28"/>
        </w:rPr>
      </w:pPr>
      <w:r>
        <w:rPr>
          <w:rFonts w:ascii="宋体" w:hAnsi="宋体"/>
          <w:sz w:val="28"/>
          <w:szCs w:val="28"/>
          <w:highlight w:val="white"/>
        </w:rPr>
        <w:t>1</w:t>
      </w:r>
      <w:r>
        <w:rPr>
          <w:rFonts w:ascii="宋体" w:hAnsi="宋体" w:hint="eastAsia"/>
          <w:sz w:val="28"/>
          <w:szCs w:val="28"/>
          <w:highlight w:val="white"/>
        </w:rPr>
        <w:t>、本基金收益分配方案由基金管理人拟定，并由基金托管人复核，在2日内在规定媒介公告</w:t>
      </w:r>
      <w:r>
        <w:rPr>
          <w:rFonts w:ascii="宋体" w:hAnsi="宋体"/>
          <w:sz w:val="28"/>
          <w:szCs w:val="28"/>
          <w:highlight w:val="white"/>
        </w:rPr>
        <w:t>。</w:t>
      </w:r>
    </w:p>
    <w:p w:rsidR="00B963CD" w14:paraId="62F37EC0" w14:textId="77777777">
      <w:pPr>
        <w:snapToGrid w:val="0"/>
        <w:spacing w:line="360" w:lineRule="auto"/>
        <w:ind w:firstLine="561"/>
        <w:outlineLvl w:val="0"/>
        <w:rPr>
          <w:rFonts w:ascii="宋体" w:hAnsi="宋体"/>
          <w:sz w:val="28"/>
          <w:szCs w:val="28"/>
        </w:rPr>
      </w:pPr>
      <w:r>
        <w:rPr>
          <w:rFonts w:ascii="宋体" w:hAnsi="宋体"/>
          <w:sz w:val="28"/>
          <w:szCs w:val="28"/>
          <w:highlight w:val="white"/>
        </w:rPr>
        <w:t>2</w:t>
      </w:r>
      <w:r>
        <w:rPr>
          <w:rFonts w:ascii="宋体" w:hAnsi="宋体" w:hint="eastAsia"/>
          <w:sz w:val="28"/>
          <w:szCs w:val="28"/>
          <w:highlight w:val="white"/>
        </w:rPr>
        <w:t>、</w:t>
      </w:r>
      <w:r>
        <w:rPr>
          <w:rFonts w:ascii="宋体" w:hAnsi="宋体"/>
          <w:sz w:val="28"/>
          <w:szCs w:val="28"/>
          <w:highlight w:val="white"/>
        </w:rPr>
        <w:t>在分配方案公布后(依据具体方案的规定)，基金管理人就支付的现金红利向基金托管人发送划款指令，基金托管人按照基金管理人的指令及时进行分红资金的划付。</w:t>
      </w:r>
    </w:p>
    <w:p w:rsidR="00B963CD" w14:paraId="3252855C" w14:textId="77777777">
      <w:pPr>
        <w:spacing w:line="360" w:lineRule="auto"/>
        <w:ind w:firstLine="561"/>
        <w:rPr>
          <w:rFonts w:ascii="宋体" w:hAnsi="宋体"/>
          <w:sz w:val="28"/>
          <w:szCs w:val="28"/>
        </w:rPr>
      </w:pPr>
      <w:r>
        <w:rPr>
          <w:rFonts w:ascii="宋体" w:hAnsi="宋体" w:hint="eastAsia"/>
          <w:sz w:val="28"/>
          <w:szCs w:val="28"/>
          <w:highlight w:val="white"/>
        </w:rPr>
        <w:t>3、法律法规或监管机关另有规定的，从其规定。</w:t>
      </w:r>
    </w:p>
    <w:p w:rsidR="00B963CD" w14:paraId="22D2ECB2" w14:textId="77777777">
      <w:pPr>
        <w:spacing w:line="360" w:lineRule="auto"/>
        <w:ind w:firstLine="561"/>
        <w:rPr>
          <w:rFonts w:ascii="宋体" w:hAnsi="宋体"/>
          <w:sz w:val="28"/>
          <w:szCs w:val="28"/>
        </w:rPr>
      </w:pPr>
      <w:r>
        <w:rPr>
          <w:rFonts w:ascii="宋体" w:hAnsi="宋体" w:hint="eastAsia"/>
          <w:sz w:val="28"/>
          <w:szCs w:val="28"/>
          <w:highlight w:val="white"/>
        </w:rPr>
        <w:t>（三）实施侧袋机制期间的收益分配</w:t>
      </w:r>
    </w:p>
    <w:p w:rsidR="00B963CD" w14:paraId="10CF2D14" w14:textId="77777777">
      <w:pPr>
        <w:spacing w:line="360" w:lineRule="auto"/>
        <w:ind w:firstLine="561"/>
        <w:rPr>
          <w:rFonts w:ascii="宋体" w:hAnsi="宋体"/>
          <w:sz w:val="28"/>
        </w:rPr>
      </w:pPr>
      <w:r>
        <w:rPr>
          <w:rFonts w:ascii="宋体" w:hAnsi="宋体"/>
          <w:sz w:val="28"/>
          <w:szCs w:val="28"/>
          <w:highlight w:val="white"/>
        </w:rPr>
        <w:t>本基金实施侧袋机制的，侧袋账户不进行收益分配，详见招募说明书的规定。</w:t>
      </w:r>
    </w:p>
    <w:p w:rsidR="00B963CD" w14:paraId="77010585" w14:textId="77777777">
      <w:pPr>
        <w:snapToGrid w:val="0"/>
        <w:spacing w:line="460" w:lineRule="exact"/>
        <w:rPr>
          <w:rFonts w:ascii="宋体" w:hAnsi="宋体"/>
          <w:color w:val="000000"/>
          <w:sz w:val="28"/>
        </w:rPr>
      </w:pPr>
    </w:p>
    <w:p w:rsidR="00B963CD" w14:paraId="7D3DB46D" w14:textId="77777777">
      <w:pPr>
        <w:pStyle w:val="21"/>
        <w:spacing w:line="360" w:lineRule="auto"/>
        <w:ind w:firstLine="2659"/>
        <w:rPr>
          <w:rFonts w:ascii="宋体" w:eastAsia="宋体" w:hAnsi="宋体"/>
          <w:color w:val="000000"/>
          <w:sz w:val="28"/>
        </w:rPr>
      </w:pPr>
      <w:bookmarkStart w:id="95" w:name="_Toc145818944"/>
      <w:r>
        <w:rPr>
          <w:rFonts w:ascii="宋体" w:eastAsia="宋体" w:hAnsi="宋体"/>
          <w:color w:val="000000"/>
          <w:sz w:val="28"/>
          <w:highlight w:val="white"/>
        </w:rPr>
        <w:t>十、基金信息披露</w:t>
      </w:r>
      <w:bookmarkEnd w:id="95"/>
    </w:p>
    <w:p w:rsidR="00B963CD" w14:paraId="433FB634"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（一）保密义务</w:t>
      </w:r>
    </w:p>
    <w:p w:rsidR="00B963CD" w14:paraId="7E3DC56C"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基金托管人和基金管理人应按法律法规、基金合同的有关规定进行信息披露，拟公开披露的信息在公开披露之前应予保密。除按《基金法》、《信息披露办法》</w:t>
      </w:r>
      <w:r>
        <w:rPr>
          <w:rFonts w:ascii="宋体" w:hAnsi="宋体" w:hint="eastAsia"/>
          <w:color w:val="000000"/>
          <w:sz w:val="28"/>
          <w:szCs w:val="28"/>
          <w:highlight w:val="white"/>
        </w:rPr>
        <w:t>、</w:t>
      </w:r>
      <w:r>
        <w:rPr>
          <w:rFonts w:ascii="宋体" w:hAnsi="宋体"/>
          <w:color w:val="000000"/>
          <w:sz w:val="28"/>
          <w:szCs w:val="28"/>
          <w:highlight w:val="white"/>
        </w:rPr>
        <w:t>基金合同、及其他有关规定进行信息披露外，基金管理人和基金托管人对基金运作中产生的信息以及从对方获得的业务信息应予保密。</w:t>
      </w:r>
    </w:p>
    <w:p w:rsidR="00B963CD" w14:paraId="22CBCCF4"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基金管理人和基金托管人除了为合法履行法律法规、基金合同及本协议规定的义务所必要之外，不得为其他目的使用、利用其所知悉的基金的保密信息，并且应当将保密信息限制在为履行前述义务而需要了解该保密信息的职员范围之内。</w:t>
      </w:r>
      <w:r>
        <w:rPr>
          <w:rFonts w:ascii="宋体" w:hAnsi="宋体"/>
          <w:color w:val="000000"/>
          <w:sz w:val="28"/>
          <w:szCs w:val="28"/>
          <w:highlight w:val="white"/>
        </w:rPr>
        <w:t>但是，如下情况不应视为基金管理人或基金托管人违反保密义务：</w:t>
      </w:r>
    </w:p>
    <w:p w:rsidR="00B963CD" w14:paraId="7F8264E9"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1、非因基金管理人和基金托管人的原因导致保密信息被披露、泄露或公开；</w:t>
      </w:r>
    </w:p>
    <w:p w:rsidR="00B963CD" w14:paraId="4866284B"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2、基金管理人和基金托管人为遵守和服从法院判决或裁定、仲裁裁决或中国证监会等监管机构的命令、决定所做出的信息披露或公开。</w:t>
      </w:r>
    </w:p>
    <w:p w:rsidR="00B963CD" w14:paraId="1224A395"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（二）信息披露的内容</w:t>
      </w:r>
    </w:p>
    <w:p w:rsidR="00B963CD" w14:paraId="22A458E8"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基金的信息披露主要包括基金招募说明书、基金合同、托管协议、</w:t>
      </w:r>
      <w:r>
        <w:rPr>
          <w:rFonts w:ascii="宋体" w:hAnsi="宋体" w:hint="eastAsia"/>
          <w:color w:val="000000"/>
          <w:sz w:val="28"/>
          <w:szCs w:val="28"/>
          <w:highlight w:val="white"/>
        </w:rPr>
        <w:t>基金产品资料概要、</w:t>
      </w:r>
      <w:r>
        <w:rPr>
          <w:rFonts w:ascii="宋体" w:hAnsi="宋体"/>
          <w:color w:val="000000"/>
          <w:sz w:val="28"/>
          <w:szCs w:val="28"/>
          <w:highlight w:val="white"/>
        </w:rPr>
        <w:t>基金份额发售公告、基金合同生效公告、基金净值信息、基金份额申购、赎回价格、基金定期报告</w:t>
      </w:r>
      <w:r>
        <w:rPr>
          <w:rFonts w:ascii="宋体" w:hAnsi="宋体" w:hint="eastAsia"/>
          <w:color w:val="000000"/>
          <w:sz w:val="28"/>
          <w:szCs w:val="28"/>
          <w:highlight w:val="white"/>
        </w:rPr>
        <w:t>：</w:t>
      </w:r>
      <w:r>
        <w:rPr>
          <w:rFonts w:ascii="宋体" w:hAnsi="宋体"/>
          <w:color w:val="000000"/>
          <w:sz w:val="28"/>
          <w:szCs w:val="28"/>
          <w:highlight w:val="white"/>
        </w:rPr>
        <w:t>包括基金年度报告、基金中期报告和基金季度报告</w:t>
      </w:r>
      <w:r>
        <w:rPr>
          <w:rFonts w:ascii="宋体" w:hAnsi="宋体" w:hint="eastAsia"/>
          <w:color w:val="000000"/>
          <w:sz w:val="28"/>
          <w:szCs w:val="28"/>
          <w:highlight w:val="white"/>
        </w:rPr>
        <w:t>，以及</w:t>
      </w:r>
      <w:r>
        <w:rPr>
          <w:rFonts w:ascii="宋体" w:hAnsi="宋体"/>
          <w:color w:val="000000"/>
          <w:sz w:val="28"/>
          <w:szCs w:val="28"/>
          <w:highlight w:val="white"/>
        </w:rPr>
        <w:t>临时报告、澄清</w:t>
      </w:r>
      <w:r>
        <w:rPr>
          <w:rFonts w:ascii="宋体" w:hAnsi="宋体" w:hint="eastAsia"/>
          <w:color w:val="000000"/>
          <w:sz w:val="28"/>
          <w:szCs w:val="28"/>
          <w:highlight w:val="white"/>
        </w:rPr>
        <w:t>公</w:t>
      </w:r>
      <w:r>
        <w:rPr>
          <w:rFonts w:ascii="宋体" w:hAnsi="宋体"/>
          <w:color w:val="000000"/>
          <w:sz w:val="28"/>
          <w:szCs w:val="28"/>
          <w:highlight w:val="white"/>
        </w:rPr>
        <w:t>告、清算报告、基金份额持有人大会决议、中国证监会规定的其他信息。</w:t>
      </w:r>
      <w:r>
        <w:rPr>
          <w:rFonts w:ascii="宋体" w:hAnsi="宋体" w:hint="eastAsia"/>
          <w:color w:val="000000"/>
          <w:sz w:val="28"/>
          <w:szCs w:val="28"/>
          <w:highlight w:val="white"/>
        </w:rPr>
        <w:t>基金年度报告中的财务会计报告应当经过符合《证券法》规定的会计师事务所审计后</w:t>
      </w:r>
      <w:r>
        <w:rPr>
          <w:rFonts w:ascii="宋体" w:hAnsi="宋体"/>
          <w:color w:val="000000"/>
          <w:sz w:val="28"/>
          <w:szCs w:val="28"/>
          <w:highlight w:val="white"/>
        </w:rPr>
        <w:t>，方可披露。</w:t>
      </w:r>
    </w:p>
    <w:p w:rsidR="00B963CD" w14:paraId="15F38497"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（三）基金托管人和基金管理人在信息披露中的职责和信息披露程序</w:t>
      </w:r>
    </w:p>
    <w:p w:rsidR="00B963CD" w14:paraId="3A325332"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w:t>
      </w:r>
      <w:r>
        <w:rPr>
          <w:rFonts w:ascii="宋体" w:hAnsi="宋体"/>
          <w:color w:val="000000"/>
          <w:sz w:val="28"/>
          <w:szCs w:val="28"/>
          <w:highlight w:val="white"/>
        </w:rPr>
        <w:t>职责</w:t>
      </w:r>
    </w:p>
    <w:p w:rsidR="00B963CD" w14:paraId="37AE83CD" w14:textId="77777777">
      <w:pPr>
        <w:snapToGrid w:val="0"/>
        <w:spacing w:line="360" w:lineRule="auto"/>
        <w:ind w:firstLine="420"/>
        <w:rPr>
          <w:rFonts w:ascii="宋体" w:hAnsi="宋体"/>
          <w:color w:val="000000"/>
          <w:sz w:val="28"/>
          <w:szCs w:val="28"/>
        </w:rPr>
      </w:pPr>
      <w:r>
        <w:rPr>
          <w:rFonts w:ascii="宋体" w:hAnsi="宋体"/>
          <w:color w:val="000000"/>
          <w:sz w:val="28"/>
          <w:szCs w:val="28"/>
          <w:highlight w:val="white"/>
        </w:rPr>
        <w:t>基金托管人和基金管理人在信息披露过程中应以保护基金份额持有人利益为宗旨，诚实信用，严守秘密。基金管理人负责办理与基金有关的信息披露事宜，对于本章第（二）条规定的应由基金托管人复核的事项，应经基金托管人复核无误后，由基金管理人予以公布。</w:t>
      </w:r>
    </w:p>
    <w:p w:rsidR="00B963CD" w14:paraId="3D0312C2"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基金管理人应当在中国证监会规定的时间内，将应予披露的基金信息通过中国证监会规定媒介披露。根据法律法规应由基金托管人公开披露的信息，基金托管人将通过中国证监会规定媒介公开披露。</w:t>
      </w:r>
    </w:p>
    <w:p w:rsidR="00B963CD" w14:paraId="39F37AAA"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当出现下述情况时，基金管理人和基金托管人可暂停或延迟披露基金信息：</w:t>
      </w:r>
    </w:p>
    <w:p w:rsidR="00B963CD" w14:paraId="4CB58B99"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(1)不可抗力；</w:t>
      </w:r>
    </w:p>
    <w:p w:rsidR="00B963CD" w14:paraId="6BB93D21"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(2)法律法规、基金合同或中国证监会规定的情况。</w:t>
      </w:r>
    </w:p>
    <w:p w:rsidR="00B963CD" w14:paraId="3C6AFEF1"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w:t>
      </w:r>
      <w:r>
        <w:rPr>
          <w:rFonts w:ascii="宋体" w:hAnsi="宋体"/>
          <w:color w:val="000000"/>
          <w:sz w:val="28"/>
          <w:szCs w:val="28"/>
          <w:highlight w:val="white"/>
        </w:rPr>
        <w:t>程序</w:t>
      </w:r>
    </w:p>
    <w:p w:rsidR="00B963CD" w14:paraId="6FC34960"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按有关规定须经基金托管人复核的信息披露文件，由基金管理人起草、并经基金托管人复核后由基金管理人公告。发生基金合同中规定需要披露的事项时，按基金合同规定公布。</w:t>
      </w:r>
    </w:p>
    <w:p w:rsidR="00B963CD" w14:paraId="31E2E24F"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3</w:t>
      </w:r>
      <w:r>
        <w:rPr>
          <w:rFonts w:ascii="宋体" w:hAnsi="宋体" w:hint="eastAsia"/>
          <w:color w:val="000000"/>
          <w:sz w:val="28"/>
          <w:szCs w:val="28"/>
          <w:highlight w:val="white"/>
        </w:rPr>
        <w:t>、</w:t>
      </w:r>
      <w:r>
        <w:rPr>
          <w:rFonts w:ascii="宋体" w:hAnsi="宋体"/>
          <w:color w:val="000000"/>
          <w:sz w:val="28"/>
          <w:szCs w:val="28"/>
          <w:highlight w:val="white"/>
        </w:rPr>
        <w:t>信息文本的存放</w:t>
      </w:r>
    </w:p>
    <w:p w:rsidR="00B963CD" w14:paraId="6810C30B" w14:textId="77777777">
      <w:pPr>
        <w:spacing w:line="360" w:lineRule="auto"/>
        <w:ind w:firstLine="560"/>
        <w:rPr>
          <w:rFonts w:ascii="宋体" w:hAnsi="宋体"/>
          <w:sz w:val="28"/>
          <w:szCs w:val="28"/>
        </w:rPr>
      </w:pPr>
      <w:r>
        <w:rPr>
          <w:rFonts w:ascii="宋体" w:hAnsi="宋体" w:hint="eastAsia"/>
          <w:sz w:val="28"/>
          <w:szCs w:val="28"/>
          <w:highlight w:val="white"/>
        </w:rPr>
        <w:t>依法必须披露的信息发布后，基金管理人、基金托管人应当按照相关法律法规规定将信息置备于公司办公场所，供社会公众查阅、复制</w:t>
      </w:r>
      <w:r>
        <w:rPr>
          <w:rFonts w:ascii="宋体" w:hAnsi="宋体"/>
          <w:sz w:val="28"/>
          <w:szCs w:val="28"/>
          <w:highlight w:val="white"/>
        </w:rPr>
        <w:t>。</w:t>
      </w:r>
    </w:p>
    <w:p w:rsidR="00B963CD" w14:paraId="66176EBC" w14:textId="77777777">
      <w:pPr>
        <w:pStyle w:val="NormalIndent"/>
        <w:spacing w:line="360" w:lineRule="auto"/>
        <w:ind w:firstLine="560"/>
        <w:rPr>
          <w:rFonts w:ascii="宋体" w:hAnsi="宋体"/>
          <w:color w:val="000000"/>
          <w:sz w:val="28"/>
          <w:szCs w:val="28"/>
        </w:rPr>
      </w:pPr>
      <w:r>
        <w:rPr>
          <w:rFonts w:ascii="宋体" w:hAnsi="宋体"/>
          <w:color w:val="000000"/>
          <w:sz w:val="28"/>
          <w:szCs w:val="28"/>
          <w:highlight w:val="white"/>
        </w:rPr>
        <w:t>投资者可以免费查阅</w:t>
      </w:r>
      <w:r>
        <w:rPr>
          <w:rFonts w:ascii="宋体" w:hAnsi="宋体" w:hint="eastAsia"/>
          <w:color w:val="000000"/>
          <w:sz w:val="28"/>
          <w:szCs w:val="28"/>
          <w:highlight w:val="white"/>
        </w:rPr>
        <w:t>上述文件</w:t>
      </w:r>
      <w:r>
        <w:rPr>
          <w:rFonts w:ascii="宋体" w:hAnsi="宋体"/>
          <w:color w:val="000000"/>
          <w:sz w:val="28"/>
          <w:szCs w:val="28"/>
          <w:highlight w:val="white"/>
        </w:rPr>
        <w:t>。在支付工本费后可在合理时间获得上述文件的复制件或复印件。基金管理人和基金托管人应保证文本的内容与所公告的内容完全一致。</w:t>
      </w:r>
    </w:p>
    <w:p w:rsidR="00B963CD" w14:paraId="2C001829" w14:textId="77777777">
      <w:pPr>
        <w:pStyle w:val="NormalIndent"/>
        <w:spacing w:line="360" w:lineRule="auto"/>
        <w:ind w:firstLine="560"/>
        <w:rPr>
          <w:rFonts w:ascii="宋体" w:hAnsi="宋体"/>
          <w:color w:val="000000"/>
          <w:sz w:val="28"/>
          <w:szCs w:val="28"/>
        </w:rPr>
      </w:pPr>
      <w:r>
        <w:rPr>
          <w:rFonts w:ascii="宋体" w:hAnsi="宋体" w:hint="eastAsia"/>
          <w:color w:val="000000"/>
          <w:sz w:val="28"/>
          <w:szCs w:val="28"/>
          <w:highlight w:val="white"/>
        </w:rPr>
        <w:t>（四）实施侧袋机制期间的信息披露</w:t>
      </w:r>
    </w:p>
    <w:p w:rsidR="00B963CD" w14:paraId="1AABAC05" w14:textId="77777777">
      <w:pPr>
        <w:pStyle w:val="NormalIndent"/>
        <w:spacing w:line="360" w:lineRule="auto"/>
        <w:ind w:firstLine="560"/>
        <w:rPr>
          <w:rFonts w:ascii="宋体" w:hAnsi="宋体"/>
          <w:color w:val="000000"/>
          <w:sz w:val="28"/>
        </w:rPr>
      </w:pPr>
      <w:r>
        <w:rPr>
          <w:rFonts w:ascii="宋体" w:hAnsi="宋体"/>
          <w:color w:val="000000"/>
          <w:sz w:val="28"/>
          <w:szCs w:val="28"/>
          <w:highlight w:val="white"/>
        </w:rPr>
        <w:t>本基金实施侧袋机制的，相关信息披露义务人应当根据法律法规、基金合同和招募说明书的规定进行信息披露，详见招募说明书的规定。</w:t>
      </w:r>
    </w:p>
    <w:p w:rsidR="00B963CD" w14:paraId="46F30E76" w14:textId="77777777">
      <w:pPr>
        <w:pStyle w:val="21"/>
        <w:spacing w:line="360" w:lineRule="auto"/>
        <w:jc w:val="center"/>
        <w:rPr>
          <w:rFonts w:ascii="宋体" w:eastAsia="宋体" w:hAnsi="宋体"/>
          <w:color w:val="000000"/>
          <w:sz w:val="28"/>
        </w:rPr>
      </w:pPr>
      <w:bookmarkStart w:id="96" w:name="_Toc145818945"/>
      <w:r>
        <w:rPr>
          <w:rFonts w:ascii="宋体" w:eastAsia="宋体" w:hAnsi="宋体"/>
          <w:color w:val="000000"/>
          <w:sz w:val="28"/>
          <w:highlight w:val="white"/>
        </w:rPr>
        <w:t>十一、基金费用</w:t>
      </w:r>
      <w:bookmarkEnd w:id="96"/>
    </w:p>
    <w:p w:rsidR="00B963CD" w14:paraId="757EAC1E"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（一）基金管理费的计提比例和计提方法</w:t>
      </w:r>
    </w:p>
    <w:p w:rsidR="00B963CD" w14:paraId="179DE047"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本基金的管理费按前一日基金资产净值的0.80%年费率计提。管理费的计算方法如下：</w:t>
      </w:r>
    </w:p>
    <w:p w:rsidR="00B963CD" w14:paraId="1EB1D47E"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H＝E×0.80%÷当年天数</w:t>
      </w:r>
    </w:p>
    <w:p w:rsidR="00B963CD" w14:paraId="2731B14E"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H为每日应计提的基金管理费</w:t>
      </w:r>
    </w:p>
    <w:p w:rsidR="00B963CD" w14:paraId="386BB469"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E为前一日的基金资产净值</w:t>
      </w:r>
    </w:p>
    <w:p w:rsidR="00B963CD" w14:paraId="16F4E708" w14:textId="77777777">
      <w:pPr>
        <w:snapToGrid w:val="0"/>
        <w:spacing w:line="360" w:lineRule="auto"/>
        <w:ind w:firstLine="560"/>
        <w:rPr>
          <w:rFonts w:ascii="宋体" w:hAnsi="宋体"/>
          <w:color w:val="000000"/>
          <w:sz w:val="28"/>
          <w:szCs w:val="28"/>
        </w:rPr>
      </w:pPr>
    </w:p>
    <w:p w:rsidR="00B963CD" w14:paraId="4C4FCAF0"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（二）基金托管费的计提比例和计提方法</w:t>
      </w:r>
    </w:p>
    <w:p w:rsidR="00B963CD" w14:paraId="2C293966"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本基金的托管费按前一日基金资产净值的0.10%年费率计提。托管费的计算方法如下：</w:t>
      </w:r>
    </w:p>
    <w:p w:rsidR="00B963CD" w14:paraId="448BBA39"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H＝E×0.10%÷当年天数</w:t>
      </w:r>
    </w:p>
    <w:p w:rsidR="00B963CD" w14:paraId="3F73F114"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H为每日应计提的基金托管费</w:t>
      </w:r>
    </w:p>
    <w:p w:rsidR="00B963CD" w14:paraId="5DF453F8"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E为前一日的基金资产净值</w:t>
      </w:r>
    </w:p>
    <w:p w:rsidR="00B963CD" w14:paraId="01464AC8" w14:textId="77777777">
      <w:pPr>
        <w:snapToGrid w:val="0"/>
        <w:spacing w:line="360" w:lineRule="auto"/>
        <w:ind w:firstLine="560"/>
        <w:rPr>
          <w:rFonts w:ascii="宋体" w:hAnsi="宋体"/>
          <w:color w:val="000000"/>
          <w:sz w:val="28"/>
          <w:szCs w:val="28"/>
        </w:rPr>
      </w:pPr>
    </w:p>
    <w:p w:rsidR="00B963CD" w14:paraId="00AF8D89"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（三）销售服务费</w:t>
      </w:r>
    </w:p>
    <w:p w:rsidR="00B963CD" w14:paraId="69D5810F"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本基金A类基金份额不收取销售服务费，C类基金份额的销售服务费年费率为0.</w:t>
      </w:r>
      <w:r>
        <w:rPr>
          <w:rFonts w:ascii="宋体" w:hAnsi="宋体"/>
          <w:color w:val="000000"/>
          <w:sz w:val="28"/>
          <w:szCs w:val="28"/>
          <w:highlight w:val="white"/>
        </w:rPr>
        <w:t>2</w:t>
      </w:r>
      <w:r>
        <w:rPr>
          <w:rFonts w:ascii="宋体" w:hAnsi="宋体" w:hint="eastAsia"/>
          <w:color w:val="000000"/>
          <w:sz w:val="28"/>
          <w:szCs w:val="28"/>
          <w:highlight w:val="white"/>
        </w:rPr>
        <w:t>0</w:t>
      </w:r>
      <w:r>
        <w:rPr>
          <w:rFonts w:ascii="宋体" w:hAnsi="宋体" w:hint="eastAsia"/>
          <w:color w:val="000000"/>
          <w:sz w:val="28"/>
          <w:szCs w:val="28"/>
          <w:highlight w:val="white"/>
        </w:rPr>
        <w:t>%，按前一日C类基金资产净值的0.</w:t>
      </w:r>
      <w:r>
        <w:rPr>
          <w:rFonts w:ascii="宋体" w:hAnsi="宋体"/>
          <w:color w:val="000000"/>
          <w:sz w:val="28"/>
          <w:szCs w:val="28"/>
          <w:highlight w:val="white"/>
        </w:rPr>
        <w:t>2</w:t>
      </w:r>
      <w:r>
        <w:rPr>
          <w:rFonts w:ascii="宋体" w:hAnsi="宋体" w:hint="eastAsia"/>
          <w:color w:val="000000"/>
          <w:sz w:val="28"/>
          <w:szCs w:val="28"/>
          <w:highlight w:val="white"/>
        </w:rPr>
        <w:t>0</w:t>
      </w:r>
      <w:r>
        <w:rPr>
          <w:rFonts w:ascii="宋体" w:hAnsi="宋体" w:hint="eastAsia"/>
          <w:color w:val="000000"/>
          <w:sz w:val="28"/>
          <w:szCs w:val="28"/>
          <w:highlight w:val="white"/>
        </w:rPr>
        <w:t>%年费率计提。</w:t>
      </w:r>
    </w:p>
    <w:p w:rsidR="00B963CD" w14:paraId="3EC4FBF2"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销售服务费的计算方法如下：</w:t>
      </w:r>
    </w:p>
    <w:p w:rsidR="00B963CD" w14:paraId="260235D4"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H＝E×0.</w:t>
      </w:r>
      <w:r>
        <w:rPr>
          <w:rFonts w:ascii="宋体" w:hAnsi="宋体"/>
          <w:color w:val="000000"/>
          <w:sz w:val="28"/>
          <w:szCs w:val="28"/>
          <w:highlight w:val="white"/>
        </w:rPr>
        <w:t>2</w:t>
      </w:r>
      <w:r>
        <w:rPr>
          <w:rFonts w:ascii="宋体" w:hAnsi="宋体" w:hint="eastAsia"/>
          <w:color w:val="000000"/>
          <w:sz w:val="28"/>
          <w:szCs w:val="28"/>
          <w:highlight w:val="white"/>
        </w:rPr>
        <w:t>0</w:t>
      </w:r>
      <w:r>
        <w:rPr>
          <w:rFonts w:ascii="宋体" w:hAnsi="宋体" w:hint="eastAsia"/>
          <w:color w:val="000000"/>
          <w:sz w:val="28"/>
          <w:szCs w:val="28"/>
          <w:highlight w:val="white"/>
        </w:rPr>
        <w:t>%÷当年天数</w:t>
      </w:r>
    </w:p>
    <w:p w:rsidR="00B963CD" w14:paraId="3DD7C15C"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H 为C类基金份额每日应计提的销售服务费</w:t>
      </w:r>
    </w:p>
    <w:p w:rsidR="00B963CD" w14:paraId="1921BADE" w14:textId="77777777">
      <w:pPr>
        <w:snapToGrid w:val="0"/>
        <w:spacing w:line="360" w:lineRule="auto"/>
        <w:ind w:firstLine="560"/>
        <w:outlineLvl w:val="0"/>
        <w:rPr>
          <w:rFonts w:ascii="宋体" w:hAnsi="宋体"/>
          <w:color w:val="000000"/>
          <w:sz w:val="28"/>
          <w:szCs w:val="28"/>
        </w:rPr>
      </w:pPr>
      <w:r>
        <w:rPr>
          <w:rFonts w:ascii="宋体" w:hAnsi="宋体" w:hint="eastAsia"/>
          <w:color w:val="000000"/>
          <w:sz w:val="28"/>
          <w:szCs w:val="28"/>
          <w:highlight w:val="white"/>
        </w:rPr>
        <w:t>E 为C类基金份额前一日基金资产净值</w:t>
      </w:r>
    </w:p>
    <w:p w:rsidR="00B963CD" w14:paraId="3E0AA553" w14:textId="77777777">
      <w:pPr>
        <w:snapToGrid w:val="0"/>
        <w:spacing w:line="360" w:lineRule="auto"/>
        <w:ind w:firstLine="560"/>
        <w:outlineLvl w:val="0"/>
        <w:rPr>
          <w:rFonts w:ascii="宋体" w:hAnsi="宋体"/>
          <w:color w:val="000000"/>
          <w:sz w:val="28"/>
          <w:szCs w:val="28"/>
        </w:rPr>
      </w:pPr>
    </w:p>
    <w:p w:rsidR="00B963CD" w14:paraId="3975305A"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（四）基金的</w:t>
      </w:r>
      <w:r>
        <w:rPr>
          <w:rFonts w:ascii="宋体" w:hAnsi="宋体" w:hint="eastAsia"/>
          <w:color w:val="000000"/>
          <w:sz w:val="28"/>
          <w:szCs w:val="28"/>
          <w:highlight w:val="white"/>
        </w:rPr>
        <w:t>银行汇划费用、基金的证券交易费用、证券账户开户费用和银行账户维护费、基金合同生效后与基金相关的</w:t>
      </w:r>
      <w:r>
        <w:rPr>
          <w:rFonts w:ascii="宋体" w:hAnsi="宋体"/>
          <w:color w:val="000000"/>
          <w:sz w:val="28"/>
          <w:szCs w:val="28"/>
          <w:highlight w:val="white"/>
        </w:rPr>
        <w:t>信息披露费用、基金份额持有人大会费用、</w:t>
      </w:r>
      <w:r>
        <w:rPr>
          <w:rFonts w:ascii="宋体" w:hAnsi="宋体" w:hint="eastAsia"/>
          <w:color w:val="000000"/>
          <w:sz w:val="28"/>
          <w:szCs w:val="28"/>
          <w:highlight w:val="white"/>
        </w:rPr>
        <w:t>基金合同生效后与基金相关的</w:t>
      </w:r>
      <w:r>
        <w:rPr>
          <w:rFonts w:ascii="宋体" w:hAnsi="宋体"/>
          <w:color w:val="000000"/>
          <w:sz w:val="28"/>
          <w:szCs w:val="28"/>
          <w:highlight w:val="white"/>
        </w:rPr>
        <w:t>会计师费、律师费</w:t>
      </w:r>
      <w:r>
        <w:rPr>
          <w:rFonts w:ascii="宋体" w:hAnsi="宋体" w:hint="eastAsia"/>
          <w:color w:val="000000"/>
          <w:sz w:val="28"/>
          <w:szCs w:val="28"/>
          <w:highlight w:val="white"/>
        </w:rPr>
        <w:t>、诉讼费和仲裁费</w:t>
      </w:r>
      <w:r>
        <w:rPr>
          <w:rFonts w:ascii="宋体" w:hAnsi="宋体"/>
          <w:color w:val="000000"/>
          <w:sz w:val="28"/>
          <w:szCs w:val="28"/>
          <w:highlight w:val="white"/>
        </w:rPr>
        <w:t>、因投资内地与香港股票市场交易互联互通机制允许买卖的香港证券市场股票而产生的各项合理费用等根据有关法律法规、基金合同及相应协议的规定，</w:t>
      </w:r>
      <w:r>
        <w:rPr>
          <w:rFonts w:ascii="宋体" w:hAnsi="宋体" w:hint="eastAsia"/>
          <w:color w:val="000000"/>
          <w:sz w:val="28"/>
          <w:szCs w:val="28"/>
          <w:highlight w:val="white"/>
        </w:rPr>
        <w:t>可以</w:t>
      </w:r>
      <w:r>
        <w:rPr>
          <w:rFonts w:ascii="宋体" w:hAnsi="宋体"/>
          <w:color w:val="000000"/>
          <w:sz w:val="28"/>
          <w:szCs w:val="28"/>
          <w:highlight w:val="white"/>
        </w:rPr>
        <w:t>列入当期基金费用。</w:t>
      </w:r>
    </w:p>
    <w:p w:rsidR="00B963CD" w14:paraId="5FCCC64F"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（五）不列入基金费用的项目</w:t>
      </w:r>
    </w:p>
    <w:p w:rsidR="00B963CD" w14:paraId="4DE0A7D4" w14:textId="77777777">
      <w:pPr>
        <w:snapToGrid w:val="0"/>
        <w:spacing w:line="360" w:lineRule="auto"/>
        <w:ind w:firstLine="560"/>
        <w:rPr>
          <w:rFonts w:ascii="宋体" w:hAnsi="宋体"/>
          <w:color w:val="000000"/>
          <w:sz w:val="28"/>
          <w:szCs w:val="28"/>
        </w:rPr>
      </w:pPr>
      <w:bookmarkStart w:id="97" w:name="_Hlt88827255"/>
      <w:bookmarkEnd w:id="97"/>
      <w:r>
        <w:rPr>
          <w:rFonts w:ascii="宋体" w:hAnsi="宋体"/>
          <w:color w:val="000000"/>
          <w:sz w:val="28"/>
          <w:szCs w:val="28"/>
          <w:highlight w:val="white"/>
        </w:rPr>
        <w:t>基金管理人与基金托管人因未履行或未完全履行义务导致的费用支出或基金资产的损失，以及处理与基金运作无关的事项发生的费用等不列入基金费用。</w:t>
      </w:r>
      <w:r>
        <w:rPr>
          <w:rFonts w:ascii="宋体" w:hAnsi="宋体" w:hint="eastAsia"/>
          <w:color w:val="000000"/>
          <w:sz w:val="28"/>
          <w:szCs w:val="28"/>
          <w:highlight w:val="white"/>
        </w:rPr>
        <w:t>基金合同生效前的相关费用，包括但不限于验资费、会计师和律师费、信息披露费等费用不列入基金费用。</w:t>
      </w:r>
    </w:p>
    <w:p w:rsidR="00B963CD" w14:paraId="3E9355C5"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（六）</w:t>
      </w:r>
      <w:r>
        <w:rPr>
          <w:rFonts w:ascii="宋体" w:hAnsi="宋体" w:hint="eastAsia"/>
          <w:color w:val="000000"/>
          <w:sz w:val="28"/>
          <w:szCs w:val="28"/>
          <w:highlight w:val="white"/>
        </w:rPr>
        <w:t>本基金运作前产生的相关费用由管理人垫付，运作后</w:t>
      </w:r>
      <w:r>
        <w:rPr>
          <w:rFonts w:ascii="宋体" w:hAnsi="宋体"/>
          <w:color w:val="000000"/>
          <w:sz w:val="28"/>
          <w:szCs w:val="28"/>
          <w:highlight w:val="white"/>
        </w:rPr>
        <w:t>由基金管理人向基金托管人发送划付指令,经基金托管人复核后于次日起3个工作日内从基金资产中一次性支付给基金管理人</w:t>
      </w:r>
      <w:r>
        <w:rPr>
          <w:rFonts w:ascii="宋体" w:hAnsi="宋体" w:hint="eastAsia"/>
          <w:color w:val="000000"/>
          <w:sz w:val="28"/>
          <w:szCs w:val="28"/>
          <w:highlight w:val="white"/>
        </w:rPr>
        <w:t>。</w:t>
      </w:r>
    </w:p>
    <w:p w:rsidR="00B963CD" w14:paraId="354E33AB"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（七）基金管理费、基金托管费和销售服务费的复核程序、支付方式和时间</w:t>
      </w:r>
    </w:p>
    <w:p w:rsidR="00B963CD" w14:paraId="1420FD71"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w:t>
      </w:r>
      <w:r>
        <w:rPr>
          <w:rFonts w:ascii="宋体" w:hAnsi="宋体"/>
          <w:color w:val="000000"/>
          <w:sz w:val="28"/>
          <w:szCs w:val="28"/>
          <w:highlight w:val="white"/>
        </w:rPr>
        <w:t>复核程序</w:t>
      </w:r>
    </w:p>
    <w:p w:rsidR="00B963CD" w14:paraId="50A7951E"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基金托管人对基金管理人计提的基金管理费、基金托管费和</w:t>
      </w:r>
      <w:r>
        <w:rPr>
          <w:rFonts w:ascii="宋体" w:hAnsi="宋体" w:hint="eastAsia"/>
          <w:color w:val="000000"/>
          <w:sz w:val="28"/>
          <w:szCs w:val="28"/>
          <w:highlight w:val="white"/>
        </w:rPr>
        <w:t>销售服务费</w:t>
      </w:r>
      <w:r>
        <w:rPr>
          <w:rFonts w:ascii="宋体" w:hAnsi="宋体"/>
          <w:color w:val="000000"/>
          <w:sz w:val="28"/>
          <w:szCs w:val="28"/>
          <w:highlight w:val="white"/>
        </w:rPr>
        <w:t>等，根据本托管协议和基金合同的有关规定进行复核。</w:t>
      </w:r>
    </w:p>
    <w:p w:rsidR="00B963CD" w14:paraId="48107B29"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w:t>
      </w:r>
      <w:r>
        <w:rPr>
          <w:rFonts w:ascii="宋体" w:hAnsi="宋体"/>
          <w:color w:val="000000"/>
          <w:sz w:val="28"/>
          <w:szCs w:val="28"/>
          <w:highlight w:val="white"/>
        </w:rPr>
        <w:t>支付方式和时间</w:t>
      </w:r>
    </w:p>
    <w:p w:rsidR="00B963CD" w14:paraId="3B51B6E0"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基金管理费、基金托管费</w:t>
      </w:r>
      <w:r>
        <w:rPr>
          <w:rFonts w:ascii="宋体" w:hAnsi="宋体" w:hint="eastAsia"/>
          <w:color w:val="000000"/>
          <w:sz w:val="28"/>
          <w:szCs w:val="28"/>
          <w:highlight w:val="white"/>
        </w:rPr>
        <w:t>每日计提，逐日累计至每月月末，按月支付，由基金托管人根据与基金管理人核对一致的财务数据，在月初</w:t>
      </w:r>
      <w:r>
        <w:rPr>
          <w:rFonts w:ascii="宋体" w:hAnsi="宋体"/>
          <w:color w:val="000000"/>
          <w:sz w:val="28"/>
          <w:szCs w:val="28"/>
          <w:highlight w:val="white"/>
        </w:rPr>
        <w:t>3</w:t>
      </w:r>
      <w:r>
        <w:rPr>
          <w:rFonts w:ascii="宋体" w:hAnsi="宋体" w:hint="eastAsia"/>
          <w:color w:val="000000"/>
          <w:sz w:val="28"/>
          <w:szCs w:val="28"/>
          <w:highlight w:val="white"/>
        </w:rPr>
        <w:t>个工作日内按照与基金管理人协商一致的方式进行资金支付。若遇法定节假日、公休日或不可抗力致使无法按时支付等，支付日期顺延。</w:t>
      </w:r>
    </w:p>
    <w:p w:rsidR="0092118A" w:rsidRPr="0092118A" w:rsidP="0092118A" w14:paraId="48E18731" w14:textId="77777777">
      <w:pPr>
        <w:snapToGrid w:val="0"/>
        <w:spacing w:line="360" w:lineRule="auto"/>
        <w:ind w:firstLine="560"/>
        <w:rPr>
          <w:rFonts w:ascii="宋体" w:hAnsi="宋体"/>
          <w:color w:val="000000"/>
          <w:sz w:val="28"/>
          <w:szCs w:val="28"/>
        </w:rPr>
      </w:pPr>
      <w:r w:rsidRPr="0092118A">
        <w:rPr>
          <w:rFonts w:ascii="宋体" w:hAnsi="宋体" w:hint="eastAsia"/>
          <w:color w:val="000000"/>
          <w:sz w:val="28"/>
          <w:szCs w:val="28"/>
        </w:rPr>
        <w:t>销售服务费每日计提。</w:t>
      </w:r>
    </w:p>
    <w:p w:rsidR="0092118A" w:rsidRPr="0092118A" w:rsidP="0092118A" w14:paraId="0F0C3826" w14:textId="77777777">
      <w:pPr>
        <w:snapToGrid w:val="0"/>
        <w:spacing w:line="360" w:lineRule="auto"/>
        <w:ind w:firstLine="560"/>
        <w:rPr>
          <w:rFonts w:ascii="宋体" w:hAnsi="宋体"/>
          <w:color w:val="000000"/>
          <w:sz w:val="28"/>
          <w:szCs w:val="28"/>
        </w:rPr>
      </w:pPr>
      <w:r w:rsidRPr="0092118A">
        <w:rPr>
          <w:rFonts w:ascii="宋体" w:hAnsi="宋体" w:hint="eastAsia"/>
          <w:color w:val="000000"/>
          <w:sz w:val="28"/>
          <w:szCs w:val="28"/>
        </w:rPr>
        <w:t>（1）通过基金管理人或其基金销售子公司投资的C类基金份额</w:t>
      </w:r>
    </w:p>
    <w:p w:rsidR="0092118A" w:rsidRPr="0092118A" w:rsidP="0092118A" w14:paraId="62D2B902" w14:textId="77777777">
      <w:pPr>
        <w:snapToGrid w:val="0"/>
        <w:spacing w:line="360" w:lineRule="auto"/>
        <w:ind w:firstLine="560"/>
        <w:rPr>
          <w:rFonts w:ascii="宋体" w:hAnsi="宋体"/>
          <w:color w:val="000000"/>
          <w:sz w:val="28"/>
          <w:szCs w:val="28"/>
        </w:rPr>
      </w:pPr>
      <w:r w:rsidRPr="0092118A">
        <w:rPr>
          <w:rFonts w:ascii="宋体" w:hAnsi="宋体" w:hint="eastAsia"/>
          <w:color w:val="000000"/>
          <w:sz w:val="28"/>
          <w:szCs w:val="28"/>
        </w:rPr>
        <w:t>对于基金份额计提的销售服务费，在投资者赎回基金份额或基金合同终止时，随赎回款（或清算款）一并返还给投资者。</w:t>
      </w:r>
    </w:p>
    <w:p w:rsidR="0092118A" w:rsidRPr="0092118A" w:rsidP="0092118A" w14:paraId="49106C33" w14:textId="77777777">
      <w:pPr>
        <w:snapToGrid w:val="0"/>
        <w:spacing w:line="360" w:lineRule="auto"/>
        <w:ind w:firstLine="560"/>
        <w:rPr>
          <w:rFonts w:ascii="宋体" w:hAnsi="宋体"/>
          <w:color w:val="000000"/>
          <w:sz w:val="28"/>
          <w:szCs w:val="28"/>
        </w:rPr>
      </w:pPr>
      <w:r w:rsidRPr="0092118A">
        <w:rPr>
          <w:rFonts w:ascii="宋体" w:hAnsi="宋体" w:hint="eastAsia"/>
          <w:color w:val="000000"/>
          <w:sz w:val="28"/>
          <w:szCs w:val="28"/>
        </w:rPr>
        <w:t>（2）通过其他销售机构投资的C类基金份额</w:t>
      </w:r>
    </w:p>
    <w:p w:rsidR="0092118A" w:rsidRPr="0092118A" w:rsidP="0092118A" w14:paraId="1613BEA4" w14:textId="6714F6C2">
      <w:pPr>
        <w:snapToGrid w:val="0"/>
        <w:spacing w:line="360" w:lineRule="auto"/>
        <w:ind w:firstLine="560"/>
        <w:rPr>
          <w:rFonts w:ascii="宋体" w:hAnsi="宋体"/>
          <w:color w:val="000000"/>
          <w:sz w:val="28"/>
          <w:szCs w:val="28"/>
        </w:rPr>
      </w:pPr>
      <w:r w:rsidRPr="0092118A">
        <w:rPr>
          <w:rFonts w:ascii="宋体" w:hAnsi="宋体" w:hint="eastAsia"/>
          <w:color w:val="000000"/>
          <w:sz w:val="28"/>
          <w:szCs w:val="28"/>
        </w:rPr>
        <w:t>对于投资者持续持有期限</w:t>
      </w:r>
      <w:r w:rsidRPr="006B4E5C">
        <w:rPr>
          <w:rFonts w:ascii="宋体" w:hAnsi="宋体" w:hint="eastAsia"/>
          <w:color w:val="000000"/>
          <w:sz w:val="28"/>
          <w:szCs w:val="28"/>
        </w:rPr>
        <w:t>不超过一年</w:t>
      </w:r>
      <w:r w:rsidRPr="0092118A">
        <w:rPr>
          <w:rFonts w:ascii="宋体" w:hAnsi="宋体" w:hint="eastAsia"/>
          <w:color w:val="000000"/>
          <w:sz w:val="28"/>
          <w:szCs w:val="28"/>
        </w:rPr>
        <w:t>（即365天，下同）的基金份额计提的销售服务费，逐日累计至每月月末，按月支付，由基金托管人根据与基金管理人核对一致的财务数据，在月初3个工作日内按照与基金管理人协商一致的方式进行资金支付。若遇法定节假日、公休日或不可抗力致使无法按时支付等，支付日期顺延。</w:t>
      </w:r>
    </w:p>
    <w:p w:rsidR="0092118A" w:rsidRPr="0092118A" w:rsidP="0092118A" w14:paraId="0E855274" w14:textId="2477712E">
      <w:pPr>
        <w:snapToGrid w:val="0"/>
        <w:spacing w:line="360" w:lineRule="auto"/>
        <w:ind w:firstLine="560"/>
        <w:rPr>
          <w:rFonts w:ascii="宋体" w:hAnsi="宋体"/>
          <w:color w:val="000000"/>
          <w:sz w:val="28"/>
          <w:szCs w:val="28"/>
        </w:rPr>
      </w:pPr>
      <w:r w:rsidRPr="0092118A">
        <w:rPr>
          <w:rFonts w:ascii="宋体" w:hAnsi="宋体" w:hint="eastAsia"/>
          <w:color w:val="000000"/>
          <w:sz w:val="28"/>
          <w:szCs w:val="28"/>
        </w:rPr>
        <w:t>对于持续持有期限</w:t>
      </w:r>
      <w:r w:rsidRPr="0092118A">
        <w:rPr>
          <w:rFonts w:ascii="宋体" w:hAnsi="宋体" w:hint="eastAsia"/>
          <w:color w:val="000000"/>
          <w:sz w:val="28"/>
          <w:szCs w:val="28"/>
        </w:rPr>
        <w:t>超过一年的基金份额继续计提的销售服务费，在投资者赎回基金份额或基金合同终止时，随赎回款（或清算款）一并返还给投资者。</w:t>
      </w:r>
    </w:p>
    <w:p w:rsidR="00497F22" w:rsidP="0092118A" w14:paraId="2BB8DA73" w14:textId="77777777">
      <w:pPr>
        <w:snapToGrid w:val="0"/>
        <w:spacing w:line="360" w:lineRule="auto"/>
        <w:ind w:firstLine="560"/>
        <w:rPr>
          <w:rFonts w:ascii="宋体" w:hAnsi="宋体"/>
          <w:color w:val="000000"/>
          <w:sz w:val="28"/>
          <w:szCs w:val="28"/>
        </w:rPr>
      </w:pPr>
      <w:r w:rsidRPr="0092118A">
        <w:rPr>
          <w:rFonts w:ascii="宋体" w:hAnsi="宋体" w:hint="eastAsia"/>
          <w:color w:val="000000"/>
          <w:sz w:val="28"/>
          <w:szCs w:val="28"/>
        </w:rPr>
        <w:t>销售服务费计提后按规定收取或返还投资者的金额以登记机构的计算结果为准。</w:t>
      </w:r>
    </w:p>
    <w:p w:rsidR="00B963CD" w14:paraId="6DA12AFE"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（八）</w:t>
      </w:r>
      <w:r>
        <w:rPr>
          <w:rFonts w:ascii="宋体" w:hAnsi="宋体"/>
          <w:color w:val="000000"/>
          <w:sz w:val="28"/>
          <w:szCs w:val="28"/>
          <w:highlight w:val="white"/>
        </w:rPr>
        <w:t>违规处理方式</w:t>
      </w:r>
    </w:p>
    <w:p w:rsidR="00B963CD" w14:paraId="5AFB3B79"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基金托管人发现基金管理人违反《基金法》、基金合同、《运作办法》及其他有关规定从基金财产中列支费用时，基金托管人可要求基金管理人予以说明解释，如基金管理人无正当理由，基金托管人可拒绝支付。</w:t>
      </w:r>
    </w:p>
    <w:p w:rsidR="00B963CD" w14:paraId="73256BB1"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（九）实施侧袋机制期间的基金费用</w:t>
      </w:r>
    </w:p>
    <w:p w:rsidR="00B963CD" w14:paraId="7DA1643A"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本基金实施侧袋机制的，与侧袋账户有关的费用可以从侧袋账户中列支，但应待侧袋账户资产变现后方可列支，有关费用可酌情收取或减免，但不得收取管理费，详见招募说明书的规定。</w:t>
      </w:r>
    </w:p>
    <w:p w:rsidR="00B963CD" w14:paraId="338EF9E2" w14:textId="77777777">
      <w:pPr>
        <w:snapToGrid w:val="0"/>
        <w:spacing w:line="360" w:lineRule="auto"/>
        <w:rPr>
          <w:rFonts w:ascii="宋体" w:hAnsi="宋体"/>
          <w:color w:val="000000"/>
          <w:sz w:val="28"/>
          <w:szCs w:val="28"/>
        </w:rPr>
      </w:pPr>
    </w:p>
    <w:p w:rsidR="00B963CD" w14:paraId="0F1533D6" w14:textId="77777777">
      <w:pPr>
        <w:pStyle w:val="21"/>
        <w:spacing w:line="360" w:lineRule="auto"/>
        <w:jc w:val="center"/>
        <w:rPr>
          <w:rFonts w:ascii="宋体" w:eastAsia="宋体" w:hAnsi="宋体"/>
          <w:color w:val="000000"/>
          <w:sz w:val="28"/>
        </w:rPr>
      </w:pPr>
      <w:bookmarkStart w:id="98" w:name="_Toc145818946"/>
      <w:r>
        <w:rPr>
          <w:rFonts w:ascii="宋体" w:eastAsia="宋体" w:hAnsi="宋体"/>
          <w:color w:val="000000"/>
          <w:sz w:val="28"/>
          <w:highlight w:val="white"/>
        </w:rPr>
        <w:t>十二、基金份额持有人名册</w:t>
      </w:r>
      <w:r>
        <w:rPr>
          <w:rFonts w:ascii="宋体" w:eastAsia="宋体" w:hAnsi="宋体" w:hint="eastAsia"/>
          <w:color w:val="000000"/>
          <w:sz w:val="28"/>
          <w:highlight w:val="white"/>
        </w:rPr>
        <w:t>的登记与</w:t>
      </w:r>
      <w:r>
        <w:rPr>
          <w:rFonts w:ascii="宋体" w:eastAsia="宋体" w:hAnsi="宋体"/>
          <w:color w:val="000000"/>
          <w:sz w:val="28"/>
          <w:highlight w:val="white"/>
        </w:rPr>
        <w:t>保管</w:t>
      </w:r>
      <w:bookmarkEnd w:id="98"/>
    </w:p>
    <w:p w:rsidR="00B963CD" w14:paraId="3B725F53"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本基金的基金管理人和基金托管人须分别妥善保管的基金份额持有人名册，包括基金合同生效日、基金合同终止日、基金权益登记日、</w:t>
      </w:r>
      <w:r>
        <w:rPr>
          <w:rFonts w:ascii="宋体" w:hAnsi="宋体" w:hint="eastAsia"/>
          <w:color w:val="000000"/>
          <w:sz w:val="28"/>
          <w:szCs w:val="28"/>
          <w:highlight w:val="white"/>
        </w:rPr>
        <w:t>基金份额持有人大会权益登记日、每年6月30日、12月31日的基金份额持有人名册。基金份额持有人名册的内容至少应包括持有人的名称和持有的基金份额。</w:t>
      </w:r>
    </w:p>
    <w:p w:rsidR="00B963CD" w14:paraId="2DBFD10A"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rsidR="00B963CD" w14:paraId="32C336F6"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B963CD" w14:paraId="06205C67" w14:textId="77777777">
      <w:pPr>
        <w:snapToGrid w:val="0"/>
        <w:spacing w:line="360" w:lineRule="auto"/>
        <w:ind w:firstLine="560"/>
        <w:rPr>
          <w:rFonts w:ascii="宋体" w:hAnsi="宋体"/>
          <w:color w:val="000000"/>
          <w:sz w:val="28"/>
          <w:szCs w:val="28"/>
        </w:rPr>
      </w:pPr>
      <w:r>
        <w:rPr>
          <w:rFonts w:ascii="宋体" w:hAnsi="宋体" w:hint="eastAsia"/>
          <w:color w:val="000000"/>
          <w:sz w:val="28"/>
          <w:szCs w:val="28"/>
          <w:highlight w:val="white"/>
        </w:rPr>
        <w:t>基金管理人和基金托管人应妥善保管基金份额持有人名册，保存期限</w:t>
      </w:r>
      <w:r>
        <w:rPr>
          <w:rFonts w:ascii="宋体" w:hAnsi="宋体" w:cs="宋体"/>
          <w:color w:val="000000"/>
          <w:sz w:val="28"/>
          <w:szCs w:val="28"/>
          <w:highlight w:val="white"/>
        </w:rPr>
        <w:t>不少于法律法规规定的最低期限</w:t>
      </w:r>
      <w:r>
        <w:rPr>
          <w:rFonts w:ascii="宋体" w:hAnsi="宋体"/>
          <w:color w:val="000000"/>
          <w:sz w:val="28"/>
          <w:szCs w:val="28"/>
          <w:highlight w:val="white"/>
        </w:rPr>
        <w:t>。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B963CD" w14:paraId="22859783" w14:textId="77777777">
      <w:pPr>
        <w:snapToGrid w:val="0"/>
        <w:spacing w:line="360" w:lineRule="auto"/>
        <w:rPr>
          <w:rFonts w:ascii="宋体" w:hAnsi="宋体"/>
          <w:color w:val="000000"/>
          <w:sz w:val="28"/>
          <w:szCs w:val="28"/>
        </w:rPr>
      </w:pPr>
    </w:p>
    <w:p w:rsidR="00B963CD" w14:paraId="7A1249FD" w14:textId="77777777">
      <w:pPr>
        <w:pStyle w:val="21"/>
        <w:spacing w:line="360" w:lineRule="auto"/>
        <w:jc w:val="center"/>
        <w:rPr>
          <w:rFonts w:ascii="宋体" w:eastAsia="宋体" w:hAnsi="宋体"/>
          <w:color w:val="000000"/>
          <w:sz w:val="28"/>
        </w:rPr>
      </w:pPr>
      <w:bookmarkStart w:id="99" w:name="_Toc145818947"/>
      <w:r>
        <w:rPr>
          <w:rFonts w:ascii="宋体" w:eastAsia="宋体" w:hAnsi="宋体"/>
          <w:color w:val="000000"/>
          <w:sz w:val="28"/>
          <w:highlight w:val="white"/>
        </w:rPr>
        <w:t>十三、基金有关文件档案的保存</w:t>
      </w:r>
      <w:bookmarkEnd w:id="99"/>
    </w:p>
    <w:p w:rsidR="00B963CD" w14:paraId="2AAD611A" w14:textId="77777777">
      <w:pPr>
        <w:snapToGrid w:val="0"/>
        <w:spacing w:line="360" w:lineRule="auto"/>
        <w:ind w:firstLine="560"/>
        <w:outlineLvl w:val="0"/>
        <w:rPr>
          <w:rFonts w:ascii="宋体" w:hAnsi="宋体"/>
          <w:color w:val="000000"/>
          <w:sz w:val="28"/>
        </w:rPr>
      </w:pPr>
      <w:r>
        <w:rPr>
          <w:rFonts w:ascii="宋体" w:hAnsi="宋体"/>
          <w:color w:val="000000"/>
          <w:sz w:val="28"/>
          <w:highlight w:val="white"/>
        </w:rPr>
        <w:t>（一）档案保存</w:t>
      </w:r>
    </w:p>
    <w:p w:rsidR="00B963CD" w14:paraId="5872F564" w14:textId="77777777">
      <w:pPr>
        <w:snapToGrid w:val="0"/>
        <w:spacing w:line="360" w:lineRule="auto"/>
        <w:ind w:firstLine="560"/>
        <w:rPr>
          <w:rFonts w:ascii="宋体" w:hAnsi="宋体"/>
          <w:color w:val="000000"/>
          <w:sz w:val="28"/>
        </w:rPr>
      </w:pPr>
      <w:r>
        <w:rPr>
          <w:rFonts w:ascii="宋体" w:hAnsi="宋体"/>
          <w:color w:val="000000"/>
          <w:sz w:val="28"/>
          <w:highlight w:val="white"/>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Pr>
          <w:rFonts w:ascii="宋体" w:hAnsi="宋体" w:cs="宋体"/>
          <w:color w:val="000000"/>
          <w:sz w:val="28"/>
          <w:highlight w:val="white"/>
        </w:rPr>
        <w:t>不少于法律法规规定的最低期限</w:t>
      </w:r>
      <w:r>
        <w:rPr>
          <w:rFonts w:ascii="宋体" w:hAnsi="宋体"/>
          <w:color w:val="000000"/>
          <w:sz w:val="28"/>
          <w:highlight w:val="white"/>
        </w:rPr>
        <w:t>。</w:t>
      </w:r>
    </w:p>
    <w:p w:rsidR="00B963CD" w14:paraId="4D3CDA17" w14:textId="77777777">
      <w:pPr>
        <w:snapToGrid w:val="0"/>
        <w:spacing w:line="360" w:lineRule="auto"/>
        <w:ind w:firstLine="560"/>
        <w:outlineLvl w:val="0"/>
        <w:rPr>
          <w:rFonts w:ascii="宋体" w:hAnsi="宋体"/>
          <w:color w:val="000000"/>
          <w:sz w:val="28"/>
        </w:rPr>
      </w:pPr>
      <w:r>
        <w:rPr>
          <w:rFonts w:ascii="宋体" w:hAnsi="宋体"/>
          <w:color w:val="000000"/>
          <w:sz w:val="28"/>
          <w:highlight w:val="white"/>
        </w:rPr>
        <w:t>（二）合同档案的建立</w:t>
      </w:r>
    </w:p>
    <w:p w:rsidR="00B963CD" w14:paraId="32877940" w14:textId="77777777">
      <w:pPr>
        <w:snapToGrid w:val="0"/>
        <w:spacing w:line="360" w:lineRule="auto"/>
        <w:ind w:firstLine="560"/>
        <w:rPr>
          <w:rFonts w:ascii="宋体" w:hAnsi="宋体"/>
          <w:color w:val="000000"/>
          <w:sz w:val="28"/>
        </w:rPr>
      </w:pPr>
      <w:r>
        <w:rPr>
          <w:rFonts w:ascii="宋体" w:hAnsi="宋体"/>
          <w:color w:val="000000"/>
          <w:sz w:val="28"/>
          <w:highlight w:val="white"/>
        </w:rPr>
        <w:t>基金管理人</w:t>
      </w:r>
      <w:r>
        <w:rPr>
          <w:rFonts w:ascii="宋体" w:hAnsi="宋体" w:hint="eastAsia"/>
          <w:color w:val="000000"/>
          <w:sz w:val="28"/>
          <w:highlight w:val="white"/>
        </w:rPr>
        <w:t>代表基金</w:t>
      </w:r>
      <w:r>
        <w:rPr>
          <w:rFonts w:ascii="宋体" w:hAnsi="宋体"/>
          <w:color w:val="000000"/>
          <w:sz w:val="28"/>
          <w:highlight w:val="white"/>
        </w:rPr>
        <w:t>签署</w:t>
      </w:r>
      <w:r>
        <w:rPr>
          <w:rFonts w:ascii="宋体" w:hAnsi="宋体" w:hint="eastAsia"/>
          <w:color w:val="000000"/>
          <w:sz w:val="28"/>
          <w:highlight w:val="white"/>
        </w:rPr>
        <w:t>与基金相关的</w:t>
      </w:r>
      <w:r>
        <w:rPr>
          <w:rFonts w:ascii="宋体" w:hAnsi="宋体"/>
          <w:color w:val="000000"/>
          <w:sz w:val="28"/>
          <w:highlight w:val="white"/>
        </w:rPr>
        <w:t>重大合同文本后，应</w:t>
      </w:r>
      <w:r>
        <w:rPr>
          <w:rFonts w:ascii="宋体" w:hAnsi="宋体" w:hint="eastAsia"/>
          <w:color w:val="000000"/>
          <w:sz w:val="28"/>
          <w:highlight w:val="white"/>
        </w:rPr>
        <w:t>及时以加密方式将重大合同传真给基金托管人，并在十个工作日内</w:t>
      </w:r>
      <w:r>
        <w:rPr>
          <w:rFonts w:ascii="宋体" w:hAnsi="宋体"/>
          <w:color w:val="000000"/>
          <w:sz w:val="28"/>
          <w:highlight w:val="white"/>
        </w:rPr>
        <w:t>将合同文本正本送达基金托管人处。</w:t>
      </w:r>
    </w:p>
    <w:p w:rsidR="00B963CD" w14:paraId="12435E60" w14:textId="77777777">
      <w:pPr>
        <w:snapToGrid w:val="0"/>
        <w:spacing w:line="360" w:lineRule="auto"/>
        <w:ind w:firstLine="560"/>
        <w:outlineLvl w:val="0"/>
        <w:rPr>
          <w:rFonts w:ascii="宋体" w:hAnsi="宋体"/>
          <w:color w:val="000000"/>
          <w:sz w:val="28"/>
        </w:rPr>
      </w:pPr>
      <w:r>
        <w:rPr>
          <w:rFonts w:ascii="宋体" w:hAnsi="宋体"/>
          <w:color w:val="000000"/>
          <w:sz w:val="28"/>
          <w:highlight w:val="white"/>
        </w:rPr>
        <w:t>（三）变更与协助</w:t>
      </w:r>
    </w:p>
    <w:p w:rsidR="00B963CD" w14:paraId="3D883F59" w14:textId="77777777">
      <w:pPr>
        <w:snapToGrid w:val="0"/>
        <w:spacing w:line="360" w:lineRule="auto"/>
        <w:ind w:firstLine="560"/>
        <w:rPr>
          <w:rFonts w:ascii="宋体" w:hAnsi="宋体"/>
          <w:b/>
          <w:color w:val="000000"/>
          <w:sz w:val="28"/>
        </w:rPr>
      </w:pPr>
      <w:r>
        <w:rPr>
          <w:rFonts w:ascii="宋体" w:hAnsi="宋体"/>
          <w:color w:val="000000"/>
          <w:sz w:val="28"/>
          <w:highlight w:val="white"/>
        </w:rPr>
        <w:t>若基金管理人/基金托管人发生变更，未变更的一方有义务协助变更后的接任人接收相应文件。</w:t>
      </w:r>
    </w:p>
    <w:p w:rsidR="00B963CD" w14:paraId="2EF31532" w14:textId="77777777">
      <w:pPr>
        <w:snapToGrid w:val="0"/>
        <w:spacing w:line="360" w:lineRule="auto"/>
        <w:ind w:firstLine="560"/>
        <w:rPr>
          <w:rFonts w:ascii="宋体" w:hAnsi="宋体"/>
          <w:color w:val="000000"/>
          <w:sz w:val="28"/>
        </w:rPr>
      </w:pPr>
      <w:r>
        <w:rPr>
          <w:rFonts w:ascii="宋体" w:hAnsi="宋体"/>
          <w:color w:val="000000"/>
          <w:sz w:val="28"/>
          <w:highlight w:val="white"/>
        </w:rPr>
        <w:t>（四）基金管理人和基金托管人应按各自职责完整保存原始凭证、记账凭证、基金账册、交易记录和重要合同等，承担保密义务并保存</w:t>
      </w:r>
      <w:r>
        <w:rPr>
          <w:rFonts w:ascii="宋体" w:hAnsi="宋体" w:cs="宋体"/>
          <w:color w:val="000000"/>
          <w:sz w:val="28"/>
          <w:highlight w:val="white"/>
        </w:rPr>
        <w:t>不少于法律法规规定的最低期限</w:t>
      </w:r>
      <w:r>
        <w:rPr>
          <w:rFonts w:ascii="宋体" w:hAnsi="宋体"/>
          <w:color w:val="000000"/>
          <w:sz w:val="28"/>
          <w:highlight w:val="white"/>
        </w:rPr>
        <w:t>。</w:t>
      </w:r>
    </w:p>
    <w:p w:rsidR="00B963CD" w14:paraId="3E80ED2A" w14:textId="77777777">
      <w:pPr>
        <w:snapToGrid w:val="0"/>
        <w:spacing w:line="360" w:lineRule="auto"/>
        <w:rPr>
          <w:rFonts w:ascii="宋体" w:hAnsi="宋体"/>
          <w:color w:val="000000"/>
          <w:sz w:val="28"/>
        </w:rPr>
      </w:pPr>
    </w:p>
    <w:p w:rsidR="00B963CD" w14:paraId="73174177" w14:textId="77777777">
      <w:pPr>
        <w:pStyle w:val="21"/>
        <w:spacing w:line="360" w:lineRule="auto"/>
        <w:jc w:val="center"/>
        <w:rPr>
          <w:rFonts w:ascii="宋体" w:eastAsia="宋体" w:hAnsi="宋体"/>
          <w:color w:val="000000"/>
          <w:sz w:val="28"/>
        </w:rPr>
      </w:pPr>
      <w:bookmarkStart w:id="100" w:name="_Toc145818948"/>
      <w:r>
        <w:rPr>
          <w:rFonts w:ascii="宋体" w:eastAsia="宋体" w:hAnsi="宋体"/>
          <w:color w:val="000000"/>
          <w:sz w:val="28"/>
          <w:highlight w:val="white"/>
        </w:rPr>
        <w:t>十四、基金管理人和基金托管人的更换</w:t>
      </w:r>
      <w:bookmarkEnd w:id="100"/>
    </w:p>
    <w:p w:rsidR="00B963CD" w14:paraId="5E3770EF"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（一）基金管理人的更换</w:t>
      </w:r>
    </w:p>
    <w:p w:rsidR="00B963CD" w14:paraId="0FF460A9"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1、基金管理人的更换条件</w:t>
      </w:r>
    </w:p>
    <w:p w:rsidR="00B963CD" w14:paraId="2D2CF316"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有下列情形之一的，基金管理人职责终止：</w:t>
      </w:r>
    </w:p>
    <w:p w:rsidR="00B963CD" w14:paraId="3076559B"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被依法取消基金管理资格；</w:t>
      </w:r>
    </w:p>
    <w:p w:rsidR="00B963CD" w14:paraId="46BEE124"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被基金份额持有人大会解任；</w:t>
      </w:r>
    </w:p>
    <w:p w:rsidR="00B963CD" w14:paraId="23D00702"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（3）</w:t>
      </w:r>
      <w:r>
        <w:rPr>
          <w:rFonts w:ascii="宋体" w:hAnsi="宋体" w:hint="eastAsia"/>
          <w:color w:val="000000"/>
          <w:sz w:val="28"/>
          <w:szCs w:val="28"/>
          <w:highlight w:val="white"/>
        </w:rPr>
        <w:t>依法解散、被依法撤销或被依法宣告破产；</w:t>
      </w:r>
    </w:p>
    <w:p w:rsidR="00B963CD" w14:paraId="7EA9A4E6"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（4）</w:t>
      </w:r>
      <w:r>
        <w:rPr>
          <w:rFonts w:ascii="宋体" w:hAnsi="宋体" w:hint="eastAsia"/>
          <w:color w:val="000000"/>
          <w:sz w:val="28"/>
          <w:szCs w:val="28"/>
          <w:highlight w:val="white"/>
        </w:rPr>
        <w:t>法律法规及中国证监会规定的和《基金合同》约定的其他情形。</w:t>
      </w:r>
    </w:p>
    <w:p w:rsidR="00B963CD" w14:paraId="4D280F34" w14:textId="77777777">
      <w:pPr>
        <w:snapToGrid w:val="0"/>
        <w:spacing w:line="360" w:lineRule="auto"/>
        <w:ind w:firstLine="561"/>
        <w:rPr>
          <w:rFonts w:ascii="宋体" w:hAnsi="宋体"/>
          <w:color w:val="000000"/>
          <w:sz w:val="28"/>
          <w:szCs w:val="28"/>
        </w:rPr>
      </w:pPr>
    </w:p>
    <w:p w:rsidR="00B963CD" w14:paraId="14DC1D47"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2、基金管理人的更换程序</w:t>
      </w:r>
    </w:p>
    <w:p w:rsidR="00B963CD" w14:paraId="5B5BE909"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更换基金管理人必须依照如下程序进行：</w:t>
      </w:r>
    </w:p>
    <w:p w:rsidR="00B963CD" w14:paraId="7007D99B"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提名：新任基金管理人由基金托管人或由单独或合计持有10%以上（含10%）基金份额的基金份额持有人提名；</w:t>
      </w:r>
    </w:p>
    <w:p w:rsidR="00B963CD" w14:paraId="7833F941"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B963CD" w14:paraId="7CEE2CD1"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（3）</w:t>
      </w:r>
      <w:r>
        <w:rPr>
          <w:rFonts w:ascii="宋体" w:hAnsi="宋体" w:hint="eastAsia"/>
          <w:color w:val="000000"/>
          <w:sz w:val="28"/>
          <w:szCs w:val="28"/>
          <w:highlight w:val="white"/>
        </w:rPr>
        <w:t>临时基金管理人：新任基金管理人产生之前，由中国证监会指定临时基金管理人；</w:t>
      </w:r>
    </w:p>
    <w:p w:rsidR="00B963CD" w14:paraId="583A5804"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（4）</w:t>
      </w:r>
      <w:r>
        <w:rPr>
          <w:rFonts w:ascii="宋体" w:hAnsi="宋体" w:hint="eastAsia"/>
          <w:color w:val="000000"/>
          <w:sz w:val="28"/>
          <w:szCs w:val="28"/>
          <w:highlight w:val="white"/>
        </w:rPr>
        <w:t>备案：基金份额持有人大会更换基金管理人的决议须报中国证监会备案；</w:t>
      </w:r>
    </w:p>
    <w:p w:rsidR="00B963CD" w14:paraId="514F88AA"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（5）</w:t>
      </w:r>
      <w:r>
        <w:rPr>
          <w:rFonts w:ascii="宋体" w:hAnsi="宋体" w:hint="eastAsia"/>
          <w:color w:val="000000"/>
          <w:sz w:val="28"/>
          <w:szCs w:val="28"/>
          <w:highlight w:val="white"/>
        </w:rPr>
        <w:t>公告：基金管理人更换后，由基金托管人在更换基金管理人的基金份额持有人大会决议生效后2日内在规定媒介公告；</w:t>
      </w:r>
    </w:p>
    <w:p w:rsidR="00B963CD" w14:paraId="733ABB38"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（6）</w:t>
      </w:r>
      <w:r>
        <w:rPr>
          <w:rFonts w:ascii="宋体" w:hAnsi="宋体" w:hint="eastAsia"/>
          <w:color w:val="000000"/>
          <w:sz w:val="28"/>
          <w:szCs w:val="28"/>
          <w:highlight w:val="white"/>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B963CD" w14:paraId="2F2D4EE7"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（7）</w:t>
      </w:r>
      <w:r>
        <w:rPr>
          <w:rFonts w:ascii="宋体" w:hAnsi="宋体" w:hint="eastAsia"/>
          <w:color w:val="000000"/>
          <w:sz w:val="28"/>
          <w:szCs w:val="28"/>
          <w:highlight w:val="white"/>
        </w:rPr>
        <w:t>审计：基金管理人职责终止的，应当按照法律法规规定聘请符合《中华人民共和国证券法》规定的会计师事务所对基金财产进行审计，并将审计结果予以公告，同时报中国证监会备案。审计费用从基金财产中列支；</w:t>
      </w:r>
    </w:p>
    <w:p w:rsidR="00B963CD" w14:paraId="7838BB9F"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（8）</w:t>
      </w:r>
      <w:r>
        <w:rPr>
          <w:rFonts w:ascii="宋体" w:hAnsi="宋体" w:hint="eastAsia"/>
          <w:color w:val="000000"/>
          <w:sz w:val="28"/>
          <w:szCs w:val="28"/>
          <w:highlight w:val="white"/>
        </w:rPr>
        <w:t>基金名称变更：基金管理人更换后，如果原任或新任基金管理人要求，应按其要求替换或删除基金名称中与原基金管理人有关的名称字样。</w:t>
      </w:r>
    </w:p>
    <w:p w:rsidR="00B963CD" w14:paraId="3382BC72" w14:textId="77777777">
      <w:pPr>
        <w:snapToGrid w:val="0"/>
        <w:spacing w:line="360" w:lineRule="auto"/>
        <w:ind w:firstLine="561"/>
        <w:rPr>
          <w:rFonts w:ascii="宋体" w:hAnsi="宋体"/>
          <w:color w:val="000000"/>
          <w:sz w:val="28"/>
          <w:szCs w:val="28"/>
        </w:rPr>
      </w:pPr>
    </w:p>
    <w:p w:rsidR="00B963CD" w14:paraId="39843AA8"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（二）基金托管人的更换</w:t>
      </w:r>
    </w:p>
    <w:p w:rsidR="00B963CD" w14:paraId="20CAFF52"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1、基金托管人的更换条件</w:t>
      </w:r>
    </w:p>
    <w:p w:rsidR="00B963CD" w14:paraId="26B1C0C9"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有下列情形之一的，基金托管人职责终止：</w:t>
      </w:r>
    </w:p>
    <w:p w:rsidR="00B963CD" w14:paraId="0C3DAA40"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被依法取消基金托管资格；</w:t>
      </w:r>
    </w:p>
    <w:p w:rsidR="00B963CD" w14:paraId="34B91AD0"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被基金份额持有人大会解任；</w:t>
      </w:r>
    </w:p>
    <w:p w:rsidR="00B963CD" w14:paraId="3C4674EE"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（3）</w:t>
      </w:r>
      <w:r>
        <w:rPr>
          <w:rFonts w:ascii="宋体" w:hAnsi="宋体" w:hint="eastAsia"/>
          <w:color w:val="000000"/>
          <w:sz w:val="28"/>
          <w:szCs w:val="28"/>
          <w:highlight w:val="white"/>
        </w:rPr>
        <w:t>依法解散、被依法撤销或被依法宣告破产；</w:t>
      </w:r>
    </w:p>
    <w:p w:rsidR="00B963CD" w14:paraId="7600A05B"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（4）</w:t>
      </w:r>
      <w:r>
        <w:rPr>
          <w:rFonts w:ascii="宋体" w:hAnsi="宋体" w:hint="eastAsia"/>
          <w:color w:val="000000"/>
          <w:sz w:val="28"/>
          <w:szCs w:val="28"/>
          <w:highlight w:val="white"/>
        </w:rPr>
        <w:t>法律法规及中国证监会规定的和《基金合同》约定的其他情形。</w:t>
      </w:r>
    </w:p>
    <w:p w:rsidR="00B963CD" w14:paraId="1114B15B" w14:textId="77777777">
      <w:pPr>
        <w:snapToGrid w:val="0"/>
        <w:spacing w:line="360" w:lineRule="auto"/>
        <w:ind w:firstLine="561"/>
        <w:rPr>
          <w:rFonts w:ascii="宋体" w:hAnsi="宋体"/>
          <w:color w:val="000000"/>
          <w:sz w:val="28"/>
          <w:szCs w:val="28"/>
        </w:rPr>
      </w:pPr>
    </w:p>
    <w:p w:rsidR="00B963CD" w14:paraId="61E4B1EB"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2、基金托管人的更换程序</w:t>
      </w:r>
    </w:p>
    <w:p w:rsidR="00B963CD" w14:paraId="1D8A779D"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提名：新任基金托管人由基金管理人或由单独或合计持有10%以上（含10%）基金份额的基金份额持有人提名；</w:t>
      </w:r>
    </w:p>
    <w:p w:rsidR="00B963CD" w14:paraId="641B8372"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B963CD" w14:paraId="0E8E9C36"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（3）</w:t>
      </w:r>
      <w:r>
        <w:rPr>
          <w:rFonts w:ascii="宋体" w:hAnsi="宋体" w:hint="eastAsia"/>
          <w:color w:val="000000"/>
          <w:sz w:val="28"/>
          <w:szCs w:val="28"/>
          <w:highlight w:val="white"/>
        </w:rPr>
        <w:t>临时基金托管人：新任基金托管人产生之前，由中国证监会指定临时基金托管人；</w:t>
      </w:r>
    </w:p>
    <w:p w:rsidR="00B963CD" w14:paraId="100B7765"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（4）</w:t>
      </w:r>
      <w:r>
        <w:rPr>
          <w:rFonts w:ascii="宋体" w:hAnsi="宋体" w:hint="eastAsia"/>
          <w:color w:val="000000"/>
          <w:sz w:val="28"/>
          <w:szCs w:val="28"/>
          <w:highlight w:val="white"/>
        </w:rPr>
        <w:t>备案：基金份额持有人大会更换基金托管人的决议须报中国证监会备案；</w:t>
      </w:r>
    </w:p>
    <w:p w:rsidR="00B963CD" w14:paraId="22F024E0"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（5）</w:t>
      </w:r>
      <w:r>
        <w:rPr>
          <w:rFonts w:ascii="宋体" w:hAnsi="宋体" w:hint="eastAsia"/>
          <w:color w:val="000000"/>
          <w:sz w:val="28"/>
          <w:szCs w:val="28"/>
          <w:highlight w:val="white"/>
        </w:rPr>
        <w:t>公告：基金托管人更换后，由基金管理人在更换基金托管人的基金份额持有人大会决议生效后2日内在规定媒介公告；</w:t>
      </w:r>
    </w:p>
    <w:p w:rsidR="00B963CD" w14:paraId="71C36E47"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（6）</w:t>
      </w:r>
      <w:r>
        <w:rPr>
          <w:rFonts w:ascii="宋体" w:hAnsi="宋体" w:hint="eastAsia"/>
          <w:color w:val="000000"/>
          <w:sz w:val="28"/>
          <w:szCs w:val="28"/>
          <w:highlight w:val="white"/>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B963CD" w14:paraId="716A8FE1"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（7）</w:t>
      </w:r>
      <w:r>
        <w:rPr>
          <w:rFonts w:ascii="宋体" w:hAnsi="宋体" w:hint="eastAsia"/>
          <w:color w:val="000000"/>
          <w:sz w:val="28"/>
          <w:szCs w:val="28"/>
          <w:highlight w:val="white"/>
        </w:rPr>
        <w:t>审计：基金托管人职责终止的，应当按照法律法规规定聘请符合《中华人民共和国证券法》规定的会计师事务所对基金财产进行审计，并将审计结果予以公告，同时报中国证监会备案。审计费用从基金财产中列支。</w:t>
      </w:r>
    </w:p>
    <w:p w:rsidR="00B963CD" w14:paraId="201E8EC5" w14:textId="77777777">
      <w:pPr>
        <w:snapToGrid w:val="0"/>
        <w:spacing w:line="360" w:lineRule="auto"/>
        <w:ind w:firstLine="561"/>
        <w:rPr>
          <w:rFonts w:ascii="宋体" w:hAnsi="宋体"/>
          <w:color w:val="000000"/>
          <w:sz w:val="28"/>
          <w:szCs w:val="28"/>
        </w:rPr>
      </w:pPr>
      <w:r>
        <w:rPr>
          <w:rFonts w:ascii="宋体" w:hAnsi="宋体" w:hint="eastAsia"/>
          <w:color w:val="000000"/>
          <w:sz w:val="28"/>
          <w:szCs w:val="28"/>
          <w:highlight w:val="white"/>
        </w:rPr>
        <w:t>3、基金管理人与基金托管人同时更换</w:t>
      </w:r>
    </w:p>
    <w:p w:rsidR="00B963CD" w14:paraId="4F57E1EC"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（1）</w:t>
      </w:r>
      <w:r>
        <w:rPr>
          <w:rFonts w:ascii="宋体" w:hAnsi="宋体" w:hint="eastAsia"/>
          <w:color w:val="000000"/>
          <w:sz w:val="28"/>
          <w:szCs w:val="28"/>
          <w:highlight w:val="white"/>
        </w:rPr>
        <w:t>提名：如果基金管理人和基金托管人同时更换，由单独或合计持有基金总份额10%以上（含10%）的基金份额持有人提名新的基金管理人和基金托管人；</w:t>
      </w:r>
    </w:p>
    <w:p w:rsidR="00B963CD" w14:paraId="79830A13"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（2）</w:t>
      </w:r>
      <w:r>
        <w:rPr>
          <w:rFonts w:ascii="宋体" w:hAnsi="宋体" w:hint="eastAsia"/>
          <w:color w:val="000000"/>
          <w:sz w:val="28"/>
          <w:szCs w:val="28"/>
          <w:highlight w:val="white"/>
        </w:rPr>
        <w:t>基金管理人和基金托管人的更换分别按上述程序进行；</w:t>
      </w:r>
    </w:p>
    <w:p w:rsidR="00B963CD" w14:paraId="332677F5" w14:textId="77777777">
      <w:pPr>
        <w:snapToGrid w:val="0"/>
        <w:spacing w:line="360" w:lineRule="auto"/>
        <w:ind w:firstLine="561"/>
        <w:rPr>
          <w:rFonts w:ascii="宋体" w:hAnsi="宋体"/>
          <w:color w:val="000000"/>
          <w:sz w:val="28"/>
          <w:szCs w:val="28"/>
        </w:rPr>
      </w:pPr>
      <w:r>
        <w:rPr>
          <w:rFonts w:ascii="宋体" w:hAnsi="宋体"/>
          <w:color w:val="000000"/>
          <w:sz w:val="28"/>
          <w:szCs w:val="28"/>
          <w:highlight w:val="white"/>
        </w:rPr>
        <w:t>（3）</w:t>
      </w:r>
      <w:r>
        <w:rPr>
          <w:rFonts w:ascii="宋体" w:hAnsi="宋体" w:hint="eastAsia"/>
          <w:color w:val="000000"/>
          <w:sz w:val="28"/>
          <w:szCs w:val="28"/>
          <w:highlight w:val="white"/>
        </w:rPr>
        <w:t>公告：新任基金管理人和新任基金托管人应在更换基金管理人和基金托管人的基金份额持有人大会决议生效后2日内在规定媒介上联合公告。</w:t>
      </w:r>
    </w:p>
    <w:p w:rsidR="00B963CD" w14:paraId="65D4D1FC" w14:textId="77777777">
      <w:pPr>
        <w:snapToGrid w:val="0"/>
        <w:spacing w:line="360" w:lineRule="auto"/>
        <w:ind w:firstLine="561"/>
        <w:rPr>
          <w:rFonts w:ascii="宋体" w:hAnsi="宋体"/>
          <w:color w:val="000000"/>
          <w:sz w:val="28"/>
          <w:szCs w:val="28"/>
        </w:rPr>
      </w:pPr>
    </w:p>
    <w:p w:rsidR="00B963CD" w14:paraId="3088A48A" w14:textId="77777777">
      <w:pPr>
        <w:spacing w:line="360" w:lineRule="auto"/>
        <w:ind w:firstLine="561"/>
        <w:rPr>
          <w:rFonts w:ascii="宋体" w:hAnsi="宋体"/>
          <w:color w:val="000000"/>
          <w:sz w:val="28"/>
          <w:szCs w:val="28"/>
        </w:rPr>
      </w:pPr>
      <w:r>
        <w:rPr>
          <w:rFonts w:ascii="宋体" w:hAnsi="宋体" w:hint="eastAsia"/>
          <w:color w:val="000000"/>
          <w:sz w:val="28"/>
          <w:szCs w:val="28"/>
          <w:highlight w:val="white"/>
        </w:rPr>
        <w:t>（三）</w:t>
      </w:r>
      <w:r>
        <w:rPr>
          <w:rFonts w:ascii="宋体" w:hAnsi="宋体"/>
          <w:color w:val="000000"/>
          <w:sz w:val="28"/>
          <w:szCs w:val="28"/>
          <w:highlight w:val="white"/>
        </w:rPr>
        <w:t>新任或临时基金管理人接收基金管理业务或新任或临时基金托管人接收基金财产和基金托管业务前，原基金管理人或原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或基金托管费。</w:t>
      </w:r>
    </w:p>
    <w:p w:rsidR="00B963CD" w14:paraId="051CFC82" w14:textId="77777777">
      <w:pPr>
        <w:spacing w:line="360" w:lineRule="auto"/>
        <w:ind w:firstLine="561"/>
        <w:rPr>
          <w:rFonts w:ascii="宋体" w:hAnsi="宋体"/>
          <w:color w:val="000000"/>
          <w:sz w:val="28"/>
          <w:szCs w:val="28"/>
        </w:rPr>
      </w:pPr>
    </w:p>
    <w:p w:rsidR="00B963CD" w14:paraId="440FA772" w14:textId="77777777">
      <w:pPr>
        <w:pStyle w:val="21"/>
        <w:spacing w:line="360" w:lineRule="auto"/>
        <w:jc w:val="center"/>
        <w:rPr>
          <w:rFonts w:ascii="宋体" w:eastAsia="宋体" w:hAnsi="宋体"/>
          <w:color w:val="000000"/>
          <w:sz w:val="28"/>
        </w:rPr>
      </w:pPr>
      <w:bookmarkStart w:id="101" w:name="_Toc145818949"/>
      <w:r>
        <w:rPr>
          <w:rFonts w:ascii="宋体" w:eastAsia="宋体" w:hAnsi="宋体"/>
          <w:color w:val="000000"/>
          <w:sz w:val="28"/>
          <w:highlight w:val="white"/>
        </w:rPr>
        <w:t>十五、禁止行为</w:t>
      </w:r>
      <w:bookmarkEnd w:id="101"/>
    </w:p>
    <w:p w:rsidR="00B963CD" w14:paraId="27979E4D"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托管协议当事人禁止从事的行为，包括但不限于：</w:t>
      </w:r>
    </w:p>
    <w:p w:rsidR="00B963CD" w14:paraId="7EA0BA4C" w14:textId="77777777">
      <w:pPr>
        <w:spacing w:line="360" w:lineRule="auto"/>
        <w:ind w:firstLine="560"/>
        <w:rPr>
          <w:rFonts w:ascii="宋体" w:hAnsi="宋体"/>
          <w:color w:val="000000"/>
          <w:sz w:val="28"/>
          <w:szCs w:val="28"/>
        </w:rPr>
      </w:pPr>
      <w:r>
        <w:rPr>
          <w:rFonts w:ascii="宋体" w:hAnsi="宋体"/>
          <w:color w:val="000000"/>
          <w:sz w:val="28"/>
          <w:szCs w:val="28"/>
          <w:highlight w:val="white"/>
        </w:rPr>
        <w:t>（一）基金管理人、基金托管人将其固有财产或者他人财产混同于基金财产从事证券投资。</w:t>
      </w:r>
    </w:p>
    <w:p w:rsidR="00B963CD" w14:paraId="7717FD00" w14:textId="77777777">
      <w:pPr>
        <w:spacing w:line="360" w:lineRule="auto"/>
        <w:ind w:firstLine="560"/>
        <w:rPr>
          <w:rFonts w:ascii="宋体" w:hAnsi="宋体"/>
          <w:color w:val="000000"/>
          <w:sz w:val="28"/>
          <w:szCs w:val="28"/>
        </w:rPr>
      </w:pPr>
      <w:r>
        <w:rPr>
          <w:rFonts w:ascii="宋体" w:hAnsi="宋体"/>
          <w:color w:val="000000"/>
          <w:sz w:val="28"/>
          <w:szCs w:val="28"/>
          <w:highlight w:val="white"/>
        </w:rPr>
        <w:t>（二）基金管理人不公平地对待其管理的不同基金财产</w:t>
      </w:r>
      <w:r>
        <w:rPr>
          <w:rFonts w:ascii="宋体" w:hAnsi="宋体" w:hint="eastAsia"/>
          <w:color w:val="000000"/>
          <w:sz w:val="28"/>
          <w:szCs w:val="28"/>
          <w:highlight w:val="white"/>
        </w:rPr>
        <w:t>。基金托管人不公平地对待其托管的不同基金财产。</w:t>
      </w:r>
    </w:p>
    <w:p w:rsidR="00B963CD" w14:paraId="6E51F1E4" w14:textId="77777777">
      <w:pPr>
        <w:spacing w:line="360" w:lineRule="auto"/>
        <w:ind w:firstLine="560"/>
        <w:rPr>
          <w:rFonts w:ascii="宋体" w:hAnsi="宋体"/>
          <w:color w:val="000000"/>
          <w:sz w:val="28"/>
          <w:szCs w:val="28"/>
        </w:rPr>
      </w:pPr>
      <w:r>
        <w:rPr>
          <w:rFonts w:ascii="宋体" w:hAnsi="宋体"/>
          <w:color w:val="000000"/>
          <w:sz w:val="28"/>
          <w:szCs w:val="28"/>
          <w:highlight w:val="white"/>
        </w:rPr>
        <w:t>（三）基金管理人、基金托管人利用基金财产为基金份额持有人以外的第三人牟取利益。</w:t>
      </w:r>
    </w:p>
    <w:p w:rsidR="00B963CD" w14:paraId="58B9B2A2" w14:textId="77777777">
      <w:pPr>
        <w:spacing w:line="360" w:lineRule="auto"/>
        <w:ind w:firstLine="560"/>
        <w:rPr>
          <w:rFonts w:ascii="宋体" w:hAnsi="宋体"/>
          <w:color w:val="000000"/>
          <w:sz w:val="28"/>
          <w:szCs w:val="28"/>
        </w:rPr>
      </w:pPr>
      <w:r>
        <w:rPr>
          <w:rFonts w:ascii="宋体" w:hAnsi="宋体"/>
          <w:color w:val="000000"/>
          <w:sz w:val="28"/>
          <w:szCs w:val="28"/>
          <w:highlight w:val="white"/>
        </w:rPr>
        <w:t>（四）基金管理人、基金托管人向基金份额持有人违规承诺收益或者承担损失。</w:t>
      </w:r>
    </w:p>
    <w:p w:rsidR="00B963CD" w14:paraId="6706E5F6"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（五）</w:t>
      </w:r>
      <w:r>
        <w:rPr>
          <w:rFonts w:ascii="宋体" w:hAnsi="宋体" w:hint="eastAsia"/>
          <w:color w:val="000000"/>
          <w:sz w:val="28"/>
          <w:szCs w:val="28"/>
          <w:highlight w:val="white"/>
        </w:rPr>
        <w:t>基金管理人、基金托管人侵占、挪用基金财产。</w:t>
      </w:r>
    </w:p>
    <w:p w:rsidR="00B963CD" w14:paraId="0EB10AE7" w14:textId="77777777">
      <w:pPr>
        <w:snapToGrid w:val="0"/>
        <w:spacing w:line="360" w:lineRule="auto"/>
        <w:ind w:firstLine="560"/>
        <w:outlineLvl w:val="0"/>
        <w:rPr>
          <w:rFonts w:ascii="宋体" w:hAnsi="宋体"/>
          <w:color w:val="000000"/>
          <w:sz w:val="28"/>
          <w:szCs w:val="28"/>
        </w:rPr>
      </w:pPr>
      <w:r>
        <w:rPr>
          <w:rFonts w:ascii="宋体" w:hAnsi="宋体"/>
          <w:sz w:val="28"/>
          <w:szCs w:val="28"/>
          <w:highlight w:val="white"/>
        </w:rPr>
        <w:t>（六）</w:t>
      </w:r>
      <w:r>
        <w:rPr>
          <w:rFonts w:ascii="宋体" w:hAnsi="宋体"/>
          <w:color w:val="000000"/>
          <w:sz w:val="28"/>
          <w:szCs w:val="28"/>
          <w:highlight w:val="white"/>
        </w:rPr>
        <w:t>基金管理人、基金托管人对泄漏</w:t>
      </w:r>
      <w:r>
        <w:rPr>
          <w:rFonts w:ascii="宋体" w:hAnsi="宋体" w:hint="eastAsia"/>
          <w:color w:val="000000"/>
          <w:sz w:val="28"/>
          <w:szCs w:val="28"/>
          <w:highlight w:val="white"/>
        </w:rPr>
        <w:t>因职务便利获取的未公开信息、利用该信息从事或者明示、暗示他人从事相关的交易活动。</w:t>
      </w:r>
    </w:p>
    <w:p w:rsidR="00B963CD" w14:paraId="38FBEF0C" w14:textId="77777777">
      <w:pPr>
        <w:pStyle w:val="Style6"/>
        <w:snapToGrid/>
        <w:spacing w:line="360" w:lineRule="auto"/>
        <w:ind w:firstLine="560"/>
        <w:outlineLvl w:val="0"/>
        <w:rPr>
          <w:rFonts w:ascii="宋体" w:eastAsia="宋体"/>
          <w:sz w:val="28"/>
          <w:szCs w:val="28"/>
        </w:rPr>
      </w:pPr>
      <w:r>
        <w:rPr>
          <w:rFonts w:ascii="宋体" w:eastAsia="宋体"/>
          <w:sz w:val="28"/>
          <w:szCs w:val="28"/>
          <w:highlight w:val="white"/>
        </w:rPr>
        <w:t>（七）</w:t>
      </w:r>
      <w:r>
        <w:rPr>
          <w:rFonts w:ascii="宋体" w:eastAsia="宋体" w:hint="eastAsia"/>
          <w:sz w:val="28"/>
          <w:szCs w:val="28"/>
          <w:highlight w:val="white"/>
        </w:rPr>
        <w:t>基金管理人、基金托管人玩忽职守，不按照规定履行职责。</w:t>
      </w:r>
    </w:p>
    <w:p w:rsidR="00B963CD" w14:paraId="340E82DD" w14:textId="77777777">
      <w:pPr>
        <w:pStyle w:val="Style6"/>
        <w:snapToGrid/>
        <w:spacing w:line="360" w:lineRule="auto"/>
        <w:ind w:firstLine="560"/>
        <w:outlineLvl w:val="0"/>
        <w:rPr>
          <w:rFonts w:ascii="宋体" w:eastAsia="宋体"/>
          <w:sz w:val="28"/>
          <w:szCs w:val="28"/>
        </w:rPr>
      </w:pPr>
      <w:r>
        <w:rPr>
          <w:rFonts w:ascii="宋体" w:eastAsia="宋体"/>
          <w:sz w:val="28"/>
          <w:szCs w:val="28"/>
          <w:highlight w:val="white"/>
        </w:rPr>
        <w:t>（八）基金管理人在没有充足资金的情况下向基金托管人发出投资指令和</w:t>
      </w:r>
      <w:r>
        <w:rPr>
          <w:rFonts w:ascii="宋体" w:eastAsia="宋体" w:hint="eastAsia"/>
          <w:sz w:val="28"/>
          <w:szCs w:val="28"/>
          <w:highlight w:val="white"/>
        </w:rPr>
        <w:t>付款指令</w:t>
      </w:r>
      <w:r>
        <w:rPr>
          <w:rFonts w:ascii="宋体" w:eastAsia="宋体"/>
          <w:sz w:val="28"/>
          <w:szCs w:val="28"/>
          <w:highlight w:val="white"/>
        </w:rPr>
        <w:t>，或违规向基金托管人发出指令。</w:t>
      </w:r>
    </w:p>
    <w:p w:rsidR="00B963CD" w14:paraId="2BBF3A85"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（九）基金管理人、基金托管人在行政上、财务上不独立, 其高级管理人员和</w:t>
      </w:r>
      <w:r>
        <w:rPr>
          <w:rFonts w:ascii="宋体" w:hAnsi="宋体"/>
          <w:sz w:val="28"/>
          <w:szCs w:val="28"/>
          <w:highlight w:val="white"/>
        </w:rPr>
        <w:t>其他从业人员相互</w:t>
      </w:r>
      <w:r>
        <w:rPr>
          <w:rFonts w:ascii="宋体" w:hAnsi="宋体"/>
          <w:color w:val="000000"/>
          <w:sz w:val="28"/>
          <w:szCs w:val="28"/>
          <w:highlight w:val="white"/>
        </w:rPr>
        <w:t>兼职。</w:t>
      </w:r>
    </w:p>
    <w:p w:rsidR="00B963CD" w14:paraId="6234B8D0" w14:textId="77777777">
      <w:pPr>
        <w:spacing w:line="360" w:lineRule="auto"/>
        <w:ind w:firstLine="560"/>
        <w:rPr>
          <w:rFonts w:ascii="宋体" w:hAnsi="宋体"/>
          <w:color w:val="000000"/>
          <w:sz w:val="28"/>
          <w:szCs w:val="28"/>
        </w:rPr>
      </w:pPr>
      <w:r>
        <w:rPr>
          <w:rFonts w:ascii="宋体" w:hAnsi="宋体"/>
          <w:color w:val="000000"/>
          <w:sz w:val="28"/>
          <w:szCs w:val="28"/>
          <w:highlight w:val="white"/>
        </w:rPr>
        <w:t>（</w:t>
      </w:r>
      <w:r>
        <w:rPr>
          <w:rFonts w:ascii="宋体" w:hAnsi="宋体" w:hint="eastAsia"/>
          <w:color w:val="000000"/>
          <w:sz w:val="28"/>
          <w:szCs w:val="28"/>
          <w:highlight w:val="white"/>
        </w:rPr>
        <w:t>十</w:t>
      </w:r>
      <w:r>
        <w:rPr>
          <w:rFonts w:ascii="宋体" w:hAnsi="宋体"/>
          <w:color w:val="000000"/>
          <w:sz w:val="28"/>
          <w:szCs w:val="28"/>
          <w:highlight w:val="white"/>
        </w:rPr>
        <w:t>）基金托管人私自动用或处分基金资产，根据基金管理人的合法指令、基金合同或托管协议的规定进行处分的除外。</w:t>
      </w:r>
    </w:p>
    <w:p w:rsidR="00B963CD" w14:paraId="1BA2DBC1" w14:textId="77777777">
      <w:pPr>
        <w:spacing w:line="360" w:lineRule="auto"/>
        <w:ind w:firstLine="560"/>
        <w:rPr>
          <w:rFonts w:ascii="宋体" w:hAnsi="宋体"/>
          <w:color w:val="000000"/>
          <w:sz w:val="28"/>
          <w:szCs w:val="28"/>
        </w:rPr>
      </w:pPr>
      <w:r>
        <w:rPr>
          <w:rFonts w:ascii="宋体" w:hAnsi="宋体"/>
          <w:color w:val="000000"/>
          <w:sz w:val="28"/>
          <w:szCs w:val="28"/>
          <w:highlight w:val="white"/>
        </w:rPr>
        <w:t>（</w:t>
      </w:r>
      <w:r>
        <w:rPr>
          <w:rFonts w:ascii="宋体" w:hAnsi="宋体" w:hint="eastAsia"/>
          <w:color w:val="000000"/>
          <w:sz w:val="28"/>
          <w:szCs w:val="28"/>
          <w:highlight w:val="white"/>
        </w:rPr>
        <w:t>十一</w:t>
      </w:r>
      <w:r>
        <w:rPr>
          <w:rFonts w:ascii="宋体" w:hAnsi="宋体"/>
          <w:color w:val="000000"/>
          <w:sz w:val="28"/>
          <w:szCs w:val="28"/>
          <w:highlight w:val="white"/>
        </w:rPr>
        <w:t>）基金财产用于下列投资或者活动：</w:t>
      </w:r>
    </w:p>
    <w:p w:rsidR="00B963CD" w14:paraId="51D54CEF" w14:textId="77777777">
      <w:pPr>
        <w:spacing w:line="360" w:lineRule="auto"/>
        <w:ind w:firstLine="560"/>
        <w:rPr>
          <w:rFonts w:ascii="宋体" w:hAnsi="宋体"/>
          <w:color w:val="000000"/>
          <w:sz w:val="28"/>
          <w:szCs w:val="28"/>
        </w:rPr>
      </w:pPr>
      <w:r>
        <w:rPr>
          <w:rFonts w:ascii="宋体" w:hAnsi="宋体"/>
          <w:color w:val="000000"/>
          <w:sz w:val="28"/>
          <w:szCs w:val="28"/>
          <w:highlight w:val="white"/>
        </w:rPr>
        <w:t>（1）承销证券；</w:t>
      </w:r>
    </w:p>
    <w:p w:rsidR="00B963CD" w14:paraId="7EF55426" w14:textId="77777777">
      <w:pPr>
        <w:spacing w:line="360" w:lineRule="auto"/>
        <w:ind w:firstLine="560"/>
        <w:rPr>
          <w:rFonts w:ascii="宋体" w:hAnsi="宋体"/>
          <w:color w:val="000000"/>
          <w:sz w:val="28"/>
          <w:szCs w:val="28"/>
        </w:rPr>
      </w:pPr>
      <w:r>
        <w:rPr>
          <w:rFonts w:ascii="宋体" w:hAnsi="宋体"/>
          <w:color w:val="000000"/>
          <w:sz w:val="28"/>
          <w:szCs w:val="28"/>
          <w:highlight w:val="white"/>
        </w:rPr>
        <w:t>（2）违反规定向他人贷款或者提供担保；</w:t>
      </w:r>
    </w:p>
    <w:p w:rsidR="00B963CD" w14:paraId="24AA2227" w14:textId="77777777">
      <w:pPr>
        <w:spacing w:line="360" w:lineRule="auto"/>
        <w:ind w:firstLine="560"/>
        <w:rPr>
          <w:rFonts w:ascii="宋体" w:hAnsi="宋体"/>
          <w:color w:val="000000"/>
          <w:sz w:val="28"/>
          <w:szCs w:val="28"/>
        </w:rPr>
      </w:pPr>
      <w:r>
        <w:rPr>
          <w:rFonts w:ascii="宋体" w:hAnsi="宋体"/>
          <w:color w:val="000000"/>
          <w:sz w:val="28"/>
          <w:szCs w:val="28"/>
          <w:highlight w:val="white"/>
        </w:rPr>
        <w:t>（3）从事承担无限责任的投资；</w:t>
      </w:r>
    </w:p>
    <w:p w:rsidR="00B963CD" w14:paraId="2DECFED2" w14:textId="77777777">
      <w:pPr>
        <w:spacing w:line="360" w:lineRule="auto"/>
        <w:ind w:firstLine="560"/>
        <w:rPr>
          <w:rFonts w:ascii="宋体" w:hAnsi="宋体"/>
          <w:color w:val="000000"/>
          <w:sz w:val="28"/>
          <w:szCs w:val="28"/>
        </w:rPr>
      </w:pPr>
      <w:r>
        <w:rPr>
          <w:rFonts w:ascii="宋体" w:hAnsi="宋体"/>
          <w:color w:val="000000"/>
          <w:sz w:val="28"/>
          <w:szCs w:val="28"/>
          <w:highlight w:val="white"/>
        </w:rPr>
        <w:t>（4）向其基金管理人、基金托管人出资；</w:t>
      </w:r>
    </w:p>
    <w:p w:rsidR="00B963CD" w14:paraId="77F89128" w14:textId="77777777">
      <w:pPr>
        <w:spacing w:line="360" w:lineRule="auto"/>
        <w:ind w:firstLine="560"/>
        <w:rPr>
          <w:rFonts w:ascii="宋体" w:hAnsi="宋体"/>
          <w:color w:val="000000"/>
          <w:sz w:val="28"/>
          <w:szCs w:val="28"/>
        </w:rPr>
      </w:pPr>
      <w:r>
        <w:rPr>
          <w:rFonts w:ascii="宋体" w:hAnsi="宋体"/>
          <w:color w:val="000000"/>
          <w:sz w:val="28"/>
          <w:szCs w:val="28"/>
          <w:highlight w:val="white"/>
        </w:rPr>
        <w:t>（5）从事内幕交易、操纵证券交易价格及其他不正当的证券交易活动；</w:t>
      </w:r>
    </w:p>
    <w:p w:rsidR="00B963CD" w14:paraId="15E5A7B1" w14:textId="77777777">
      <w:pPr>
        <w:spacing w:line="360" w:lineRule="auto"/>
        <w:ind w:firstLine="560"/>
        <w:rPr>
          <w:rFonts w:ascii="宋体" w:hAnsi="宋体"/>
          <w:color w:val="000000"/>
          <w:sz w:val="28"/>
          <w:szCs w:val="28"/>
        </w:rPr>
      </w:pPr>
      <w:r>
        <w:rPr>
          <w:rFonts w:ascii="宋体" w:hAnsi="宋体"/>
          <w:color w:val="000000"/>
          <w:sz w:val="28"/>
          <w:szCs w:val="28"/>
          <w:highlight w:val="white"/>
        </w:rPr>
        <w:t>（6）法律、行政法规和中国证监会规定禁止的其他活动。</w:t>
      </w:r>
    </w:p>
    <w:p w:rsidR="00B963CD" w14:paraId="265EE407" w14:textId="77777777">
      <w:pPr>
        <w:spacing w:line="360" w:lineRule="auto"/>
        <w:ind w:firstLine="560"/>
        <w:rPr>
          <w:rFonts w:ascii="宋体" w:hAnsi="宋体"/>
          <w:color w:val="000000"/>
          <w:sz w:val="28"/>
          <w:szCs w:val="28"/>
        </w:rPr>
      </w:pPr>
      <w:r>
        <w:rPr>
          <w:rFonts w:ascii="宋体" w:hAnsi="宋体"/>
          <w:color w:val="000000"/>
          <w:sz w:val="28"/>
          <w:szCs w:val="28"/>
          <w:highlight w:val="white"/>
        </w:rPr>
        <w:t>（十</w:t>
      </w:r>
      <w:r>
        <w:rPr>
          <w:rFonts w:ascii="宋体" w:hAnsi="宋体" w:hint="eastAsia"/>
          <w:color w:val="000000"/>
          <w:sz w:val="28"/>
          <w:szCs w:val="28"/>
          <w:highlight w:val="white"/>
        </w:rPr>
        <w:t>二</w:t>
      </w:r>
      <w:r>
        <w:rPr>
          <w:rFonts w:ascii="宋体" w:hAnsi="宋体"/>
          <w:color w:val="000000"/>
          <w:sz w:val="28"/>
          <w:szCs w:val="28"/>
          <w:highlight w:val="white"/>
        </w:rPr>
        <w:t>）法律法规和基金合同禁止的其他行为，以及依照法律、行政法规有关规定，由中国证监会规定禁止基金管理人、基金托管人从事的其他行为。</w:t>
      </w:r>
    </w:p>
    <w:p w:rsidR="00B963CD" w14:paraId="215EB943" w14:textId="77777777">
      <w:pPr>
        <w:snapToGrid w:val="0"/>
        <w:spacing w:line="360" w:lineRule="auto"/>
        <w:rPr>
          <w:rFonts w:ascii="宋体" w:hAnsi="宋体"/>
          <w:color w:val="000000"/>
          <w:sz w:val="28"/>
          <w:szCs w:val="28"/>
        </w:rPr>
      </w:pPr>
    </w:p>
    <w:p w:rsidR="00B963CD" w14:paraId="49F5F537" w14:textId="77777777">
      <w:pPr>
        <w:pStyle w:val="21"/>
        <w:spacing w:line="360" w:lineRule="auto"/>
        <w:jc w:val="center"/>
        <w:rPr>
          <w:rFonts w:ascii="宋体" w:eastAsia="宋体" w:hAnsi="宋体"/>
          <w:color w:val="000000"/>
          <w:sz w:val="28"/>
        </w:rPr>
      </w:pPr>
      <w:bookmarkStart w:id="102" w:name="_Toc145818950"/>
      <w:r>
        <w:rPr>
          <w:rFonts w:ascii="宋体" w:eastAsia="宋体" w:hAnsi="宋体"/>
          <w:color w:val="000000"/>
          <w:sz w:val="28"/>
          <w:highlight w:val="white"/>
        </w:rPr>
        <w:t>十六、托管协议的变更、终止与基金财产的清算</w:t>
      </w:r>
      <w:bookmarkEnd w:id="102"/>
    </w:p>
    <w:p w:rsidR="00B963CD" w14:paraId="7BCD0975" w14:textId="77777777">
      <w:pPr>
        <w:snapToGrid w:val="0"/>
        <w:spacing w:line="360" w:lineRule="auto"/>
        <w:ind w:firstLine="560"/>
        <w:rPr>
          <w:rFonts w:ascii="宋体" w:hAnsi="宋体"/>
          <w:color w:val="000000"/>
          <w:sz w:val="28"/>
        </w:rPr>
      </w:pPr>
      <w:r>
        <w:rPr>
          <w:rFonts w:ascii="宋体" w:hAnsi="宋体"/>
          <w:color w:val="000000"/>
          <w:sz w:val="28"/>
          <w:highlight w:val="white"/>
        </w:rPr>
        <w:t>（一）托管协议的变更程序</w:t>
      </w:r>
    </w:p>
    <w:p w:rsidR="00B963CD" w14:paraId="03F0BC7A" w14:textId="77777777">
      <w:pPr>
        <w:snapToGrid w:val="0"/>
        <w:spacing w:line="360" w:lineRule="auto"/>
        <w:ind w:firstLine="560"/>
        <w:rPr>
          <w:rFonts w:ascii="宋体" w:hAnsi="宋体"/>
          <w:color w:val="000000"/>
          <w:sz w:val="28"/>
        </w:rPr>
      </w:pPr>
      <w:r>
        <w:rPr>
          <w:rFonts w:ascii="宋体" w:hAnsi="宋体"/>
          <w:color w:val="000000"/>
          <w:sz w:val="28"/>
          <w:highlight w:val="white"/>
        </w:rPr>
        <w:t>本协议双方当事人经协商一致，可以对协议进行修改。修改后的新协议，其内容不得与基金合同的规定有任何冲突。</w:t>
      </w:r>
    </w:p>
    <w:p w:rsidR="00B963CD" w14:paraId="457B483F" w14:textId="77777777">
      <w:pPr>
        <w:snapToGrid w:val="0"/>
        <w:spacing w:line="360" w:lineRule="auto"/>
        <w:ind w:firstLine="560"/>
        <w:rPr>
          <w:rFonts w:ascii="宋体" w:hAnsi="宋体"/>
          <w:color w:val="000000"/>
          <w:sz w:val="28"/>
        </w:rPr>
      </w:pPr>
      <w:r>
        <w:rPr>
          <w:rFonts w:ascii="宋体" w:hAnsi="宋体"/>
          <w:color w:val="000000"/>
          <w:sz w:val="28"/>
          <w:highlight w:val="white"/>
        </w:rPr>
        <w:t>（二）基金托管协议终止的情形</w:t>
      </w:r>
    </w:p>
    <w:p w:rsidR="00B963CD" w14:paraId="258F6E02" w14:textId="77777777">
      <w:pPr>
        <w:snapToGrid w:val="0"/>
        <w:spacing w:line="360" w:lineRule="auto"/>
        <w:ind w:firstLine="560"/>
        <w:rPr>
          <w:rFonts w:ascii="宋体" w:hAnsi="宋体"/>
          <w:color w:val="000000"/>
          <w:sz w:val="28"/>
        </w:rPr>
      </w:pPr>
      <w:r>
        <w:rPr>
          <w:rFonts w:ascii="宋体" w:hAnsi="宋体"/>
          <w:color w:val="000000"/>
          <w:sz w:val="28"/>
          <w:highlight w:val="white"/>
        </w:rPr>
        <w:t>1</w:t>
      </w:r>
      <w:r>
        <w:rPr>
          <w:rFonts w:ascii="宋体" w:hAnsi="宋体" w:hint="eastAsia"/>
          <w:color w:val="000000"/>
          <w:sz w:val="28"/>
          <w:highlight w:val="white"/>
        </w:rPr>
        <w:t>、</w:t>
      </w:r>
      <w:r>
        <w:rPr>
          <w:rFonts w:ascii="宋体" w:hAnsi="宋体"/>
          <w:color w:val="000000"/>
          <w:sz w:val="28"/>
          <w:highlight w:val="white"/>
        </w:rPr>
        <w:t>基金合同终止；</w:t>
      </w:r>
    </w:p>
    <w:p w:rsidR="00B963CD" w14:paraId="0A7C0365" w14:textId="77777777">
      <w:pPr>
        <w:snapToGrid w:val="0"/>
        <w:spacing w:line="360" w:lineRule="auto"/>
        <w:ind w:firstLine="560"/>
        <w:rPr>
          <w:rFonts w:ascii="宋体" w:hAnsi="宋体"/>
          <w:color w:val="000000"/>
          <w:sz w:val="28"/>
        </w:rPr>
      </w:pPr>
      <w:r>
        <w:rPr>
          <w:rFonts w:ascii="宋体" w:hAnsi="宋体"/>
          <w:color w:val="000000"/>
          <w:sz w:val="28"/>
          <w:highlight w:val="white"/>
        </w:rPr>
        <w:t>2</w:t>
      </w:r>
      <w:r>
        <w:rPr>
          <w:rFonts w:ascii="宋体" w:hAnsi="宋体" w:hint="eastAsia"/>
          <w:color w:val="000000"/>
          <w:sz w:val="28"/>
          <w:highlight w:val="white"/>
        </w:rPr>
        <w:t>、</w:t>
      </w:r>
      <w:r>
        <w:rPr>
          <w:rFonts w:ascii="宋体" w:hAnsi="宋体"/>
          <w:color w:val="000000"/>
          <w:sz w:val="28"/>
          <w:highlight w:val="white"/>
        </w:rPr>
        <w:t>基金托管人解散、依法被撤销、破产或由其他基金托管人接管基金资产；</w:t>
      </w:r>
    </w:p>
    <w:p w:rsidR="00B963CD" w14:paraId="529AE3CD" w14:textId="77777777">
      <w:pPr>
        <w:snapToGrid w:val="0"/>
        <w:spacing w:line="360" w:lineRule="auto"/>
        <w:ind w:firstLine="560"/>
        <w:rPr>
          <w:rFonts w:ascii="宋体" w:hAnsi="宋体"/>
          <w:color w:val="000000"/>
          <w:sz w:val="28"/>
        </w:rPr>
      </w:pPr>
      <w:r>
        <w:rPr>
          <w:rFonts w:ascii="宋体" w:hAnsi="宋体"/>
          <w:color w:val="000000"/>
          <w:sz w:val="28"/>
          <w:highlight w:val="white"/>
        </w:rPr>
        <w:t>3</w:t>
      </w:r>
      <w:r>
        <w:rPr>
          <w:rFonts w:ascii="宋体" w:hAnsi="宋体" w:hint="eastAsia"/>
          <w:color w:val="000000"/>
          <w:sz w:val="28"/>
          <w:highlight w:val="white"/>
        </w:rPr>
        <w:t>、</w:t>
      </w:r>
      <w:r>
        <w:rPr>
          <w:rFonts w:ascii="宋体" w:hAnsi="宋体"/>
          <w:color w:val="000000"/>
          <w:sz w:val="28"/>
          <w:highlight w:val="white"/>
        </w:rPr>
        <w:t>基金管理人解散、依法被撤销、破产或由其他基金管理人接管基金管理权；</w:t>
      </w:r>
    </w:p>
    <w:p w:rsidR="00B963CD" w14:paraId="1B220C76" w14:textId="77777777">
      <w:pPr>
        <w:snapToGrid w:val="0"/>
        <w:spacing w:line="360" w:lineRule="auto"/>
        <w:ind w:firstLine="560"/>
        <w:rPr>
          <w:rFonts w:ascii="宋体" w:hAnsi="宋体"/>
          <w:color w:val="000000"/>
          <w:sz w:val="28"/>
        </w:rPr>
      </w:pPr>
      <w:r>
        <w:rPr>
          <w:rFonts w:ascii="宋体" w:hAnsi="宋体"/>
          <w:color w:val="000000"/>
          <w:sz w:val="28"/>
          <w:highlight w:val="white"/>
        </w:rPr>
        <w:t>4</w:t>
      </w:r>
      <w:r>
        <w:rPr>
          <w:rFonts w:ascii="宋体" w:hAnsi="宋体" w:hint="eastAsia"/>
          <w:color w:val="000000"/>
          <w:sz w:val="28"/>
          <w:highlight w:val="white"/>
        </w:rPr>
        <w:t>、</w:t>
      </w:r>
      <w:r>
        <w:rPr>
          <w:rFonts w:ascii="宋体" w:hAnsi="宋体"/>
          <w:color w:val="000000"/>
          <w:sz w:val="28"/>
          <w:highlight w:val="white"/>
        </w:rPr>
        <w:t>发生法律法规</w:t>
      </w:r>
      <w:r>
        <w:rPr>
          <w:rFonts w:ascii="宋体" w:hAnsi="宋体" w:hint="eastAsia"/>
          <w:color w:val="000000"/>
          <w:sz w:val="28"/>
          <w:highlight w:val="white"/>
        </w:rPr>
        <w:t>、中国证监会</w:t>
      </w:r>
      <w:r>
        <w:rPr>
          <w:rFonts w:ascii="宋体" w:hAnsi="宋体"/>
          <w:color w:val="000000"/>
          <w:sz w:val="28"/>
          <w:highlight w:val="white"/>
        </w:rPr>
        <w:t>或基金合同规定的终止事项。</w:t>
      </w:r>
    </w:p>
    <w:p w:rsidR="00B963CD" w14:paraId="0444CE4E" w14:textId="77777777">
      <w:pPr>
        <w:snapToGrid w:val="0"/>
        <w:spacing w:line="360" w:lineRule="auto"/>
        <w:ind w:firstLine="560"/>
        <w:rPr>
          <w:rFonts w:ascii="宋体" w:hAnsi="宋体"/>
          <w:color w:val="000000"/>
          <w:sz w:val="28"/>
        </w:rPr>
      </w:pPr>
      <w:r>
        <w:rPr>
          <w:rFonts w:ascii="宋体" w:hAnsi="宋体"/>
          <w:color w:val="000000"/>
          <w:sz w:val="28"/>
          <w:highlight w:val="white"/>
        </w:rPr>
        <w:t>（三）基金财产的清算</w:t>
      </w:r>
    </w:p>
    <w:p w:rsidR="00B963CD" w14:paraId="5EAB4C18" w14:textId="77777777">
      <w:pPr>
        <w:snapToGrid w:val="0"/>
        <w:spacing w:line="360" w:lineRule="auto"/>
        <w:ind w:firstLine="560"/>
        <w:rPr>
          <w:rFonts w:ascii="宋体" w:hAnsi="宋体"/>
          <w:color w:val="000000"/>
          <w:sz w:val="28"/>
        </w:rPr>
      </w:pPr>
      <w:r>
        <w:rPr>
          <w:rFonts w:ascii="宋体" w:hAnsi="宋体"/>
          <w:color w:val="000000"/>
          <w:sz w:val="28"/>
          <w:highlight w:val="white"/>
        </w:rPr>
        <w:t>1、基金财产清算小组：自出现《基金合同》终止事由之日起30个工作日内成立清算小组，基金管理人组织基金财产清算小组并在中国证监会的监督下进行基金清算。</w:t>
      </w:r>
    </w:p>
    <w:p w:rsidR="00B963CD" w14:paraId="6C9312AD" w14:textId="77777777">
      <w:pPr>
        <w:snapToGrid w:val="0"/>
        <w:spacing w:line="360" w:lineRule="auto"/>
        <w:ind w:firstLine="560"/>
        <w:rPr>
          <w:rFonts w:ascii="宋体" w:hAnsi="宋体"/>
          <w:color w:val="000000"/>
          <w:sz w:val="28"/>
        </w:rPr>
      </w:pPr>
      <w:r>
        <w:rPr>
          <w:rFonts w:ascii="宋体" w:hAnsi="宋体"/>
          <w:color w:val="000000"/>
          <w:sz w:val="28"/>
          <w:highlight w:val="white"/>
        </w:rPr>
        <w:t>2、基金财产清算小组组成：基金财产清算小组成员由基金管理人、基金托管人、注册会计师、律师以及中国证监会指定的人员组成。基金财产清算小组可以聘用必要的工作人员。</w:t>
      </w:r>
    </w:p>
    <w:p w:rsidR="00B963CD" w14:paraId="61406E82" w14:textId="77777777">
      <w:pPr>
        <w:snapToGrid w:val="0"/>
        <w:spacing w:line="360" w:lineRule="auto"/>
        <w:ind w:firstLine="560"/>
        <w:rPr>
          <w:rFonts w:ascii="宋体" w:hAnsi="宋体"/>
          <w:color w:val="000000"/>
          <w:sz w:val="28"/>
        </w:rPr>
      </w:pPr>
      <w:r>
        <w:rPr>
          <w:rFonts w:ascii="宋体" w:hAnsi="宋体"/>
          <w:color w:val="000000"/>
          <w:sz w:val="28"/>
          <w:highlight w:val="white"/>
        </w:rPr>
        <w:t>3、基金财产清算小组职责：基金财产清算小组负责基金财产的保管、清理、估价、变现和分配。基金财产清算小组可以依法进行必要的民事活动。</w:t>
      </w:r>
    </w:p>
    <w:p w:rsidR="00B963CD" w14:paraId="7FDC4E36" w14:textId="77777777">
      <w:pPr>
        <w:snapToGrid w:val="0"/>
        <w:spacing w:line="360" w:lineRule="auto"/>
        <w:ind w:firstLine="560"/>
        <w:rPr>
          <w:rFonts w:ascii="宋体" w:hAnsi="宋体"/>
          <w:color w:val="000000"/>
          <w:sz w:val="28"/>
        </w:rPr>
      </w:pPr>
      <w:r>
        <w:rPr>
          <w:rFonts w:ascii="宋体" w:hAnsi="宋体"/>
          <w:color w:val="000000"/>
          <w:sz w:val="28"/>
          <w:highlight w:val="white"/>
        </w:rPr>
        <w:t>4、基金财产清算程序：</w:t>
      </w:r>
    </w:p>
    <w:p w:rsidR="00B963CD" w14:paraId="41B1576B" w14:textId="77777777">
      <w:pPr>
        <w:snapToGrid w:val="0"/>
        <w:spacing w:line="360" w:lineRule="auto"/>
        <w:ind w:firstLine="560"/>
        <w:rPr>
          <w:rFonts w:ascii="宋体" w:hAnsi="宋体"/>
          <w:color w:val="000000"/>
          <w:sz w:val="28"/>
        </w:rPr>
      </w:pPr>
      <w:r>
        <w:rPr>
          <w:rFonts w:ascii="宋体" w:hAnsi="宋体"/>
          <w:color w:val="000000"/>
          <w:sz w:val="28"/>
          <w:highlight w:val="white"/>
        </w:rPr>
        <w:t>（1）《基金合同》终止情形出现时，由基金财产清算小组统一接管基金；</w:t>
      </w:r>
    </w:p>
    <w:p w:rsidR="00B963CD" w14:paraId="4B7369A1" w14:textId="77777777">
      <w:pPr>
        <w:snapToGrid w:val="0"/>
        <w:spacing w:line="360" w:lineRule="auto"/>
        <w:ind w:firstLine="560"/>
        <w:rPr>
          <w:rFonts w:ascii="宋体" w:hAnsi="宋体"/>
          <w:color w:val="000000"/>
          <w:sz w:val="28"/>
        </w:rPr>
      </w:pPr>
      <w:r>
        <w:rPr>
          <w:rFonts w:ascii="宋体" w:hAnsi="宋体"/>
          <w:color w:val="000000"/>
          <w:sz w:val="28"/>
          <w:highlight w:val="white"/>
        </w:rPr>
        <w:t>（2）对基金财产和债权债务进行清理和确认；</w:t>
      </w:r>
    </w:p>
    <w:p w:rsidR="00B963CD" w14:paraId="25A82373" w14:textId="77777777">
      <w:pPr>
        <w:snapToGrid w:val="0"/>
        <w:spacing w:line="360" w:lineRule="auto"/>
        <w:ind w:firstLine="560"/>
        <w:rPr>
          <w:rFonts w:ascii="宋体" w:hAnsi="宋体"/>
          <w:color w:val="000000"/>
          <w:sz w:val="28"/>
        </w:rPr>
      </w:pPr>
      <w:r>
        <w:rPr>
          <w:rFonts w:ascii="宋体" w:hAnsi="宋体"/>
          <w:color w:val="000000"/>
          <w:sz w:val="28"/>
          <w:highlight w:val="white"/>
        </w:rPr>
        <w:t>（3）对基金财产进行估值和变现；</w:t>
      </w:r>
    </w:p>
    <w:p w:rsidR="00B963CD" w14:paraId="3E64C413" w14:textId="77777777">
      <w:pPr>
        <w:snapToGrid w:val="0"/>
        <w:spacing w:line="360" w:lineRule="auto"/>
        <w:ind w:firstLine="560"/>
        <w:rPr>
          <w:rFonts w:ascii="宋体" w:hAnsi="宋体"/>
          <w:color w:val="000000"/>
          <w:sz w:val="28"/>
        </w:rPr>
      </w:pPr>
      <w:r>
        <w:rPr>
          <w:rFonts w:ascii="宋体" w:hAnsi="宋体"/>
          <w:color w:val="000000"/>
          <w:sz w:val="28"/>
          <w:highlight w:val="white"/>
        </w:rPr>
        <w:t>（4）制作清算报告；</w:t>
      </w:r>
    </w:p>
    <w:p w:rsidR="00B963CD" w14:paraId="3AC2E9D0" w14:textId="77777777">
      <w:pPr>
        <w:snapToGrid w:val="0"/>
        <w:spacing w:line="360" w:lineRule="auto"/>
        <w:ind w:firstLine="560"/>
        <w:rPr>
          <w:rFonts w:ascii="宋体" w:hAnsi="宋体"/>
          <w:color w:val="000000"/>
          <w:sz w:val="28"/>
        </w:rPr>
      </w:pPr>
      <w:r>
        <w:rPr>
          <w:rFonts w:ascii="宋体" w:hAnsi="宋体"/>
          <w:color w:val="000000"/>
          <w:sz w:val="28"/>
          <w:highlight w:val="white"/>
        </w:rPr>
        <w:t>（5）聘请会计师事务所对清算报告进行外部审计，聘请律师事务所对清算报告出具法律意见书；</w:t>
      </w:r>
    </w:p>
    <w:p w:rsidR="00B963CD" w14:paraId="6290B364" w14:textId="77777777">
      <w:pPr>
        <w:snapToGrid w:val="0"/>
        <w:spacing w:line="360" w:lineRule="auto"/>
        <w:ind w:firstLine="560"/>
        <w:rPr>
          <w:rFonts w:ascii="宋体" w:hAnsi="宋体"/>
          <w:color w:val="000000"/>
          <w:sz w:val="28"/>
        </w:rPr>
      </w:pPr>
      <w:r>
        <w:rPr>
          <w:rFonts w:ascii="宋体" w:hAnsi="宋体"/>
          <w:color w:val="000000"/>
          <w:sz w:val="28"/>
          <w:highlight w:val="white"/>
        </w:rPr>
        <w:t>（6）将清算报告报中国证监会备案并公告；</w:t>
      </w:r>
    </w:p>
    <w:p w:rsidR="00B963CD" w14:paraId="643EF392" w14:textId="77777777">
      <w:pPr>
        <w:snapToGrid w:val="0"/>
        <w:spacing w:line="360" w:lineRule="auto"/>
        <w:ind w:firstLine="560"/>
        <w:rPr>
          <w:rFonts w:ascii="宋体" w:hAnsi="宋体"/>
          <w:color w:val="000000"/>
          <w:sz w:val="28"/>
        </w:rPr>
      </w:pPr>
      <w:r>
        <w:rPr>
          <w:rFonts w:ascii="宋体" w:hAnsi="宋体"/>
          <w:color w:val="000000"/>
          <w:sz w:val="28"/>
          <w:highlight w:val="white"/>
        </w:rPr>
        <w:t>（7）对基金剩余财产进行分配。</w:t>
      </w:r>
    </w:p>
    <w:p w:rsidR="00B963CD" w14:paraId="5E13059F" w14:textId="77777777">
      <w:pPr>
        <w:snapToGrid w:val="0"/>
        <w:spacing w:line="360" w:lineRule="auto"/>
        <w:ind w:firstLine="560"/>
        <w:rPr>
          <w:rFonts w:ascii="宋体" w:hAnsi="宋体"/>
          <w:color w:val="000000"/>
          <w:sz w:val="28"/>
        </w:rPr>
      </w:pPr>
      <w:r>
        <w:rPr>
          <w:rFonts w:ascii="宋体" w:hAnsi="宋体"/>
          <w:color w:val="000000"/>
          <w:sz w:val="28"/>
          <w:highlight w:val="white"/>
        </w:rPr>
        <w:t>5、基金财产清算的期限为6个月，但因本基金所持证券的流动性受到限制而不能及时变现的，清算期限相应顺延。</w:t>
      </w:r>
    </w:p>
    <w:p w:rsidR="00B963CD" w14:paraId="1ACB9FF2" w14:textId="77777777">
      <w:pPr>
        <w:snapToGrid w:val="0"/>
        <w:spacing w:line="360" w:lineRule="auto"/>
        <w:ind w:firstLine="560"/>
        <w:rPr>
          <w:rFonts w:ascii="宋体" w:hAnsi="宋体"/>
          <w:color w:val="000000"/>
          <w:sz w:val="28"/>
        </w:rPr>
      </w:pPr>
      <w:r>
        <w:rPr>
          <w:rFonts w:ascii="宋体" w:hAnsi="宋体"/>
          <w:color w:val="000000"/>
          <w:sz w:val="28"/>
          <w:highlight w:val="white"/>
        </w:rPr>
        <w:t>（四）清算费用</w:t>
      </w:r>
    </w:p>
    <w:p w:rsidR="00B963CD" w14:paraId="10C3D212" w14:textId="77777777">
      <w:pPr>
        <w:snapToGrid w:val="0"/>
        <w:spacing w:line="360" w:lineRule="auto"/>
        <w:ind w:firstLine="560"/>
        <w:rPr>
          <w:rFonts w:ascii="宋体" w:hAnsi="宋体"/>
          <w:color w:val="000000"/>
          <w:sz w:val="28"/>
        </w:rPr>
      </w:pPr>
      <w:r>
        <w:rPr>
          <w:rFonts w:ascii="宋体" w:hAnsi="宋体"/>
          <w:color w:val="000000"/>
          <w:sz w:val="28"/>
          <w:highlight w:val="white"/>
        </w:rPr>
        <w:t>清算费用是指基金财产清算小组在进行基金清算过程中发生的所有合理费用，清算费用由基金财产清算小组优先从基金财产中支付。</w:t>
      </w:r>
    </w:p>
    <w:p w:rsidR="00B963CD" w14:paraId="435EB722" w14:textId="77777777">
      <w:pPr>
        <w:snapToGrid w:val="0"/>
        <w:spacing w:line="360" w:lineRule="auto"/>
        <w:ind w:firstLine="560"/>
        <w:rPr>
          <w:rFonts w:ascii="宋体" w:hAnsi="宋体"/>
          <w:color w:val="000000"/>
          <w:sz w:val="28"/>
        </w:rPr>
      </w:pPr>
      <w:r>
        <w:rPr>
          <w:rFonts w:ascii="宋体" w:hAnsi="宋体"/>
          <w:color w:val="000000"/>
          <w:sz w:val="28"/>
          <w:highlight w:val="white"/>
        </w:rPr>
        <w:t>（五）基金财产清算剩余资产的分配</w:t>
      </w:r>
    </w:p>
    <w:p w:rsidR="00B963CD" w14:paraId="23A46ED7" w14:textId="77777777">
      <w:pPr>
        <w:snapToGrid w:val="0"/>
        <w:spacing w:line="360" w:lineRule="auto"/>
        <w:ind w:firstLine="560"/>
        <w:rPr>
          <w:rFonts w:ascii="宋体" w:hAnsi="宋体"/>
          <w:color w:val="000000"/>
          <w:sz w:val="28"/>
        </w:rPr>
      </w:pPr>
      <w:r>
        <w:rPr>
          <w:rFonts w:ascii="宋体" w:hAnsi="宋体"/>
          <w:color w:val="000000"/>
          <w:sz w:val="28"/>
          <w:highlight w:val="white"/>
        </w:rPr>
        <w:t>依据基金财产清算的分配方案，将基金财产清算后的全部剩余资产扣除基金财产清算费用、交纳所欠税款并清偿基金债务后，按基金份额持有人持有的基金份额比例进行分配。</w:t>
      </w:r>
      <w:r w:rsidRPr="0092118A" w:rsidR="0092118A">
        <w:rPr>
          <w:rFonts w:ascii="宋体" w:hAnsi="宋体" w:hint="eastAsia"/>
          <w:color w:val="000000"/>
          <w:sz w:val="28"/>
        </w:rPr>
        <w:t>分配金额需加上返还基金份额持有人的销售服务费（如有）。</w:t>
      </w:r>
    </w:p>
    <w:p w:rsidR="00B963CD" w14:paraId="763CFFA0" w14:textId="77777777">
      <w:pPr>
        <w:snapToGrid w:val="0"/>
        <w:spacing w:line="360" w:lineRule="auto"/>
        <w:ind w:firstLine="560"/>
        <w:rPr>
          <w:rFonts w:ascii="宋体" w:hAnsi="宋体"/>
          <w:color w:val="000000"/>
          <w:sz w:val="28"/>
        </w:rPr>
      </w:pPr>
      <w:r>
        <w:rPr>
          <w:rFonts w:ascii="宋体" w:hAnsi="宋体"/>
          <w:color w:val="000000"/>
          <w:sz w:val="28"/>
          <w:highlight w:val="white"/>
        </w:rPr>
        <w:t>（六）基金财产清算的公告</w:t>
      </w:r>
    </w:p>
    <w:p w:rsidR="00B963CD" w14:paraId="1D278EF2" w14:textId="77777777">
      <w:pPr>
        <w:snapToGrid w:val="0"/>
        <w:spacing w:line="360" w:lineRule="auto"/>
        <w:ind w:firstLine="560"/>
        <w:rPr>
          <w:rFonts w:ascii="宋体" w:hAnsi="宋体"/>
          <w:color w:val="000000"/>
          <w:sz w:val="28"/>
        </w:rPr>
      </w:pPr>
      <w:r>
        <w:rPr>
          <w:rFonts w:ascii="宋体" w:hAnsi="宋体"/>
          <w:color w:val="000000"/>
          <w:sz w:val="28"/>
          <w:highlight w:val="white"/>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B963CD" w14:paraId="11A38A19" w14:textId="77777777">
      <w:pPr>
        <w:snapToGrid w:val="0"/>
        <w:spacing w:line="360" w:lineRule="auto"/>
        <w:ind w:firstLine="560"/>
        <w:rPr>
          <w:rFonts w:ascii="宋体" w:hAnsi="宋体"/>
          <w:color w:val="000000"/>
          <w:sz w:val="28"/>
        </w:rPr>
      </w:pPr>
      <w:r>
        <w:rPr>
          <w:rFonts w:ascii="宋体" w:hAnsi="宋体"/>
          <w:color w:val="000000"/>
          <w:sz w:val="28"/>
          <w:highlight w:val="white"/>
        </w:rPr>
        <w:t>（七）基金财产清算账册及文件的保存</w:t>
      </w:r>
    </w:p>
    <w:p w:rsidR="00B963CD" w14:paraId="49F58CB1" w14:textId="77777777">
      <w:pPr>
        <w:snapToGrid w:val="0"/>
        <w:spacing w:line="360" w:lineRule="auto"/>
        <w:ind w:firstLine="560"/>
        <w:rPr>
          <w:rFonts w:ascii="宋体" w:hAnsi="宋体"/>
          <w:color w:val="000000"/>
          <w:sz w:val="28"/>
        </w:rPr>
      </w:pPr>
      <w:r>
        <w:rPr>
          <w:rFonts w:ascii="宋体" w:hAnsi="宋体"/>
          <w:color w:val="000000"/>
          <w:sz w:val="28"/>
          <w:highlight w:val="white"/>
        </w:rPr>
        <w:t>基金财产清算账册及有关文件由基金托管人保存20年以上。</w:t>
      </w:r>
    </w:p>
    <w:p w:rsidR="00B963CD" w14:paraId="6C233133" w14:textId="77777777">
      <w:pPr>
        <w:snapToGrid w:val="0"/>
        <w:spacing w:line="360" w:lineRule="auto"/>
        <w:ind w:firstLine="560"/>
        <w:rPr>
          <w:rFonts w:ascii="宋体" w:hAnsi="宋体"/>
          <w:color w:val="000000"/>
          <w:sz w:val="28"/>
        </w:rPr>
      </w:pPr>
      <w:r>
        <w:rPr>
          <w:rFonts w:ascii="宋体" w:hAnsi="宋体"/>
          <w:color w:val="000000"/>
          <w:sz w:val="28"/>
          <w:highlight w:val="white"/>
        </w:rPr>
        <w:tab/>
      </w:r>
      <w:r>
        <w:rPr>
          <w:rFonts w:ascii="宋体" w:hAnsi="宋体"/>
          <w:color w:val="000000"/>
          <w:sz w:val="28"/>
          <w:highlight w:val="white"/>
        </w:rPr>
        <w:tab/>
      </w:r>
    </w:p>
    <w:p w:rsidR="00B963CD" w14:paraId="1D2355A2" w14:textId="77777777">
      <w:pPr>
        <w:pStyle w:val="21"/>
        <w:spacing w:line="360" w:lineRule="auto"/>
        <w:jc w:val="center"/>
        <w:rPr>
          <w:rFonts w:ascii="宋体" w:eastAsia="宋体" w:hAnsi="宋体"/>
          <w:color w:val="000000"/>
          <w:sz w:val="28"/>
          <w:szCs w:val="24"/>
        </w:rPr>
      </w:pPr>
      <w:bookmarkStart w:id="103" w:name="_Toc145818951"/>
      <w:r>
        <w:rPr>
          <w:rFonts w:ascii="宋体" w:eastAsia="宋体" w:hAnsi="宋体"/>
          <w:color w:val="000000"/>
          <w:sz w:val="28"/>
          <w:highlight w:val="white"/>
        </w:rPr>
        <w:t>十七、违约责任</w:t>
      </w:r>
      <w:bookmarkEnd w:id="103"/>
    </w:p>
    <w:p w:rsidR="00B963CD" w14:paraId="6F98F51A"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（一）基金管理人、基金托管人不履行本协议或履行本协议不符合约定的，应当承担违约责任。</w:t>
      </w:r>
    </w:p>
    <w:p w:rsidR="00B963CD" w14:paraId="59FFCAB3"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Pr>
          <w:rFonts w:ascii="宋体" w:hAnsi="宋体" w:hint="eastAsia"/>
          <w:color w:val="000000"/>
          <w:sz w:val="28"/>
          <w:szCs w:val="28"/>
          <w:highlight w:val="white"/>
        </w:rPr>
        <w:t>对损失的赔偿，仅限于直接损失。</w:t>
      </w:r>
    </w:p>
    <w:p w:rsidR="00B963CD" w14:paraId="4510105D"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（三）当事人违约，给另一方当事人造成损失的，应就直接损失进行赔偿；给基金资产造成损失的，应就直接损失进行赔偿，另一方当事人有权利及义务代表基金向违约方追偿。如发生下列情况，当事人免责：</w:t>
      </w:r>
    </w:p>
    <w:p w:rsidR="00B963CD" w14:paraId="1450A9BD"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1、不可抗力；</w:t>
      </w:r>
    </w:p>
    <w:p w:rsidR="00B963CD" w14:paraId="758C64FD"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2、基金管理人和/或基金托管人按照当时有效的法律法规或中国证监会的规定作为或不作为而造成的损失等；</w:t>
      </w:r>
    </w:p>
    <w:p w:rsidR="00B963CD" w14:paraId="260B39FE"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3、基金管理人由于按照基金合同规定的投资原则投资或不投资造成的损失等。</w:t>
      </w:r>
    </w:p>
    <w:p w:rsidR="00B963CD" w14:paraId="17BC9753" w14:textId="77777777">
      <w:pPr>
        <w:snapToGrid w:val="0"/>
        <w:spacing w:line="360" w:lineRule="auto"/>
        <w:ind w:firstLine="560"/>
        <w:rPr>
          <w:rFonts w:ascii="宋体" w:hAnsi="宋体"/>
          <w:color w:val="000000"/>
          <w:sz w:val="28"/>
          <w:szCs w:val="28"/>
        </w:rPr>
      </w:pPr>
    </w:p>
    <w:p w:rsidR="00B963CD" w14:paraId="3905FAA8"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（四）当事人违约，另一方当事人在职责范围内有义务及时采取必要的措施，尽力防止损失的扩大。</w:t>
      </w:r>
      <w:r>
        <w:rPr>
          <w:rFonts w:ascii="宋体" w:hAnsi="宋体" w:hint="eastAsia"/>
          <w:color w:val="000000"/>
          <w:sz w:val="28"/>
          <w:szCs w:val="28"/>
          <w:highlight w:val="white"/>
        </w:rPr>
        <w:t>没有采取适当措施致使损失进一步扩大的，不得就扩大的损失要求赔偿。非违约方因防止损失扩大而支出的合理费用由违约方承担。</w:t>
      </w:r>
    </w:p>
    <w:p w:rsidR="00B963CD" w14:paraId="356DDF04"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rsidR="00B963CD" w14:paraId="53116A14" w14:textId="77777777">
      <w:pPr>
        <w:snapToGrid w:val="0"/>
        <w:spacing w:line="360" w:lineRule="auto"/>
        <w:ind w:firstLine="560"/>
        <w:outlineLvl w:val="0"/>
        <w:rPr>
          <w:rFonts w:ascii="宋体" w:hAnsi="宋体"/>
          <w:color w:val="000000"/>
          <w:sz w:val="28"/>
          <w:szCs w:val="28"/>
        </w:rPr>
      </w:pPr>
      <w:r>
        <w:rPr>
          <w:rFonts w:ascii="宋体" w:hAnsi="宋体"/>
          <w:color w:val="000000"/>
          <w:sz w:val="28"/>
          <w:szCs w:val="28"/>
          <w:highlight w:val="white"/>
        </w:rPr>
        <w:t>（六）</w:t>
      </w:r>
      <w:r>
        <w:rPr>
          <w:rFonts w:ascii="宋体" w:hAnsi="宋体" w:hint="eastAsia"/>
          <w:color w:val="000000"/>
          <w:sz w:val="28"/>
          <w:szCs w:val="28"/>
          <w:highlight w:val="white"/>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B963CD" w14:paraId="5E1F61FF" w14:textId="77777777">
      <w:pPr>
        <w:snapToGrid w:val="0"/>
        <w:spacing w:line="360" w:lineRule="auto"/>
        <w:outlineLvl w:val="0"/>
        <w:rPr>
          <w:rFonts w:ascii="宋体" w:hAnsi="宋体"/>
          <w:color w:val="000000"/>
          <w:sz w:val="28"/>
          <w:szCs w:val="28"/>
        </w:rPr>
      </w:pPr>
    </w:p>
    <w:p w:rsidR="00B963CD" w14:paraId="74FF6094" w14:textId="77777777">
      <w:pPr>
        <w:pStyle w:val="21"/>
        <w:spacing w:line="360" w:lineRule="auto"/>
        <w:jc w:val="center"/>
        <w:rPr>
          <w:rFonts w:ascii="宋体" w:eastAsia="宋体" w:hAnsi="宋体"/>
          <w:color w:val="000000"/>
          <w:sz w:val="28"/>
        </w:rPr>
      </w:pPr>
      <w:bookmarkStart w:id="104" w:name="_Toc145818952"/>
      <w:r>
        <w:rPr>
          <w:rFonts w:ascii="宋体" w:eastAsia="宋体" w:hAnsi="宋体"/>
          <w:color w:val="000000"/>
          <w:sz w:val="28"/>
          <w:highlight w:val="white"/>
        </w:rPr>
        <w:t>十八、争议解决方式</w:t>
      </w:r>
      <w:bookmarkEnd w:id="104"/>
    </w:p>
    <w:p w:rsidR="00B963CD" w14:paraId="04291205"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Pr>
          <w:rFonts w:ascii="宋体" w:hAnsi="宋体" w:hint="eastAsia"/>
          <w:color w:val="000000"/>
          <w:sz w:val="28"/>
          <w:szCs w:val="28"/>
          <w:highlight w:val="white"/>
        </w:rPr>
        <w:t>除非仲裁裁决另有规定，仲裁费由败诉方承担。</w:t>
      </w:r>
    </w:p>
    <w:p w:rsidR="00B963CD" w14:paraId="36A4EDDC"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争议处理期间，双方当事人应恪守基金管理人和基金托管人职责，各自继续忠实、勤勉、尽责地履行基金合同和本托管协议规定的义务，维护基金份额持有人的合法权益。</w:t>
      </w:r>
    </w:p>
    <w:p w:rsidR="00B963CD" w14:paraId="7045D28E" w14:textId="77777777">
      <w:pPr>
        <w:snapToGrid w:val="0"/>
        <w:spacing w:line="360" w:lineRule="auto"/>
        <w:ind w:firstLine="630"/>
        <w:rPr>
          <w:rFonts w:ascii="宋体" w:hAnsi="宋体"/>
          <w:color w:val="000000"/>
          <w:sz w:val="28"/>
          <w:szCs w:val="28"/>
        </w:rPr>
      </w:pPr>
      <w:r>
        <w:rPr>
          <w:rFonts w:ascii="宋体" w:hAnsi="宋体" w:hint="eastAsia"/>
          <w:sz w:val="28"/>
          <w:szCs w:val="28"/>
          <w:highlight w:val="white"/>
        </w:rPr>
        <w:t>本协议适用中华人民共和国法律（为本托管协议目的，不包括香港特别行政区、澳门特别行政区法律和台湾地区有关规定）并从其解释。</w:t>
      </w:r>
    </w:p>
    <w:p w:rsidR="00B963CD" w14:paraId="41AB9649" w14:textId="77777777">
      <w:pPr>
        <w:pStyle w:val="21"/>
        <w:spacing w:line="360" w:lineRule="auto"/>
        <w:jc w:val="center"/>
        <w:rPr>
          <w:rFonts w:ascii="宋体" w:eastAsia="宋体" w:hAnsi="宋体"/>
          <w:color w:val="000000"/>
          <w:sz w:val="28"/>
        </w:rPr>
      </w:pPr>
      <w:bookmarkStart w:id="105" w:name="_Toc145818953"/>
      <w:r>
        <w:rPr>
          <w:rFonts w:ascii="宋体" w:eastAsia="宋体" w:hAnsi="宋体"/>
          <w:color w:val="000000"/>
          <w:sz w:val="28"/>
          <w:highlight w:val="white"/>
        </w:rPr>
        <w:t>十九、托管协议的效力</w:t>
      </w:r>
      <w:bookmarkEnd w:id="105"/>
    </w:p>
    <w:p w:rsidR="00B963CD" w14:paraId="6EB13C5E"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双方对托管协议的效力约定如下：</w:t>
      </w:r>
    </w:p>
    <w:p w:rsidR="00B963CD" w14:paraId="2065D7CA"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一）基金管理人在向中国证监会申请发售基金份额时提交的托管协议草案，应经托管协议当事人双方盖章以及双方法定代表人或授权代表签字，协议当事人双方根据中国证监会的意见修改托管协议草案。托管协议以中国证监会</w:t>
      </w:r>
      <w:r>
        <w:rPr>
          <w:rFonts w:ascii="宋体" w:hAnsi="宋体" w:hint="eastAsia"/>
          <w:color w:val="000000"/>
          <w:sz w:val="28"/>
          <w:szCs w:val="28"/>
          <w:highlight w:val="white"/>
        </w:rPr>
        <w:t>注册</w:t>
      </w:r>
      <w:r>
        <w:rPr>
          <w:rFonts w:ascii="宋体" w:hAnsi="宋体"/>
          <w:color w:val="000000"/>
          <w:sz w:val="28"/>
          <w:szCs w:val="28"/>
          <w:highlight w:val="white"/>
        </w:rPr>
        <w:t>的文本为正式文本。</w:t>
      </w:r>
    </w:p>
    <w:p w:rsidR="00B963CD" w14:paraId="7E141AC0"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（二）托管协议自基金合同成立之日起成立，自基金合同生效之日起生效。托管协议的有效期自其生效之日起至该基金财产清算</w:t>
      </w:r>
      <w:r>
        <w:rPr>
          <w:rFonts w:ascii="宋体" w:hAnsi="宋体" w:hint="eastAsia"/>
          <w:color w:val="000000"/>
          <w:sz w:val="28"/>
          <w:szCs w:val="28"/>
          <w:highlight w:val="white"/>
        </w:rPr>
        <w:t>报告</w:t>
      </w:r>
      <w:r>
        <w:rPr>
          <w:rFonts w:ascii="宋体" w:hAnsi="宋体"/>
          <w:color w:val="000000"/>
          <w:sz w:val="28"/>
          <w:szCs w:val="28"/>
          <w:highlight w:val="white"/>
        </w:rPr>
        <w:t>报中国证监会</w:t>
      </w:r>
      <w:r>
        <w:rPr>
          <w:rFonts w:ascii="宋体" w:hAnsi="宋体" w:hint="eastAsia"/>
          <w:color w:val="000000"/>
          <w:sz w:val="28"/>
          <w:szCs w:val="28"/>
          <w:highlight w:val="white"/>
        </w:rPr>
        <w:t>备案</w:t>
      </w:r>
      <w:r>
        <w:rPr>
          <w:rFonts w:ascii="宋体" w:hAnsi="宋体"/>
          <w:color w:val="000000"/>
          <w:sz w:val="28"/>
          <w:szCs w:val="28"/>
          <w:highlight w:val="white"/>
        </w:rPr>
        <w:t>并公告之日止。</w:t>
      </w:r>
    </w:p>
    <w:p w:rsidR="00B963CD" w14:paraId="645324B2"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（三）托管协议自生效之日对托管协议当事人具有同等的法律约束力。</w:t>
      </w:r>
    </w:p>
    <w:p w:rsidR="00B963CD" w14:paraId="64B39EB2" w14:textId="77777777">
      <w:pPr>
        <w:snapToGrid w:val="0"/>
        <w:spacing w:line="360" w:lineRule="auto"/>
        <w:ind w:firstLine="560"/>
        <w:rPr>
          <w:rFonts w:ascii="宋体" w:hAnsi="宋体"/>
          <w:color w:val="000000"/>
          <w:sz w:val="28"/>
          <w:szCs w:val="28"/>
        </w:rPr>
      </w:pPr>
      <w:r>
        <w:rPr>
          <w:rFonts w:ascii="宋体" w:hAnsi="宋体"/>
          <w:color w:val="000000"/>
          <w:sz w:val="28"/>
          <w:szCs w:val="28"/>
          <w:highlight w:val="white"/>
        </w:rPr>
        <w:t>（四）本协议一式三份，除上报有关监管机构一份外，基金管理人、基金托管人各持有一份，每份具有同等法律效力。</w:t>
      </w:r>
    </w:p>
    <w:p w:rsidR="00B963CD" w14:paraId="59DC114B" w14:textId="77777777">
      <w:pPr>
        <w:snapToGrid w:val="0"/>
        <w:spacing w:line="360" w:lineRule="auto"/>
        <w:rPr>
          <w:rFonts w:ascii="宋体" w:hAnsi="宋体"/>
          <w:color w:val="000000"/>
          <w:sz w:val="28"/>
          <w:szCs w:val="28"/>
        </w:rPr>
      </w:pPr>
    </w:p>
    <w:p w:rsidR="00B963CD" w14:paraId="6A904309" w14:textId="77777777">
      <w:pPr>
        <w:pStyle w:val="21"/>
        <w:spacing w:line="360" w:lineRule="auto"/>
        <w:jc w:val="center"/>
        <w:rPr>
          <w:rFonts w:ascii="宋体" w:eastAsia="宋体" w:hAnsi="宋体"/>
          <w:color w:val="000000"/>
          <w:sz w:val="28"/>
        </w:rPr>
      </w:pPr>
      <w:bookmarkStart w:id="106" w:name="_Toc145818954"/>
      <w:r>
        <w:rPr>
          <w:rFonts w:ascii="宋体" w:eastAsia="宋体" w:hAnsi="宋体"/>
          <w:color w:val="000000"/>
          <w:sz w:val="28"/>
          <w:highlight w:val="white"/>
        </w:rPr>
        <w:t>二十、其他事项</w:t>
      </w:r>
      <w:bookmarkEnd w:id="106"/>
    </w:p>
    <w:p w:rsidR="00B963CD" w14:paraId="3B68937A" w14:textId="77777777">
      <w:pPr>
        <w:snapToGrid w:val="0"/>
        <w:spacing w:line="360" w:lineRule="auto"/>
        <w:ind w:firstLine="560"/>
        <w:rPr>
          <w:rFonts w:ascii="宋体" w:hAnsi="宋体"/>
          <w:color w:val="000000"/>
          <w:sz w:val="28"/>
        </w:rPr>
      </w:pPr>
      <w:r>
        <w:rPr>
          <w:rFonts w:ascii="宋体" w:hAnsi="宋体"/>
          <w:color w:val="000000"/>
          <w:sz w:val="28"/>
          <w:highlight w:val="white"/>
        </w:rPr>
        <w:t>除本协议有明确定义外，本协议的用语定义适用基金合同的约定。本协议未尽事宜，当事人依据基金合同、有关法律法规等规定协商办理。</w:t>
      </w:r>
    </w:p>
    <w:p w:rsidR="00B963CD" w14:paraId="35EE75AE" w14:textId="77777777">
      <w:pPr>
        <w:snapToGrid w:val="0"/>
        <w:spacing w:line="360" w:lineRule="auto"/>
        <w:ind w:firstLine="560"/>
        <w:rPr>
          <w:rFonts w:ascii="宋体" w:hAnsi="宋体"/>
          <w:color w:val="000000"/>
          <w:sz w:val="28"/>
        </w:rPr>
      </w:pPr>
    </w:p>
    <w:p w:rsidR="00B963CD" w14:paraId="18255D32" w14:textId="77777777">
      <w:pPr>
        <w:snapToGrid w:val="0"/>
        <w:spacing w:line="360" w:lineRule="auto"/>
        <w:rPr>
          <w:rFonts w:ascii="宋体" w:hAnsi="宋体"/>
          <w:b/>
          <w:color w:val="000000"/>
          <w:sz w:val="28"/>
        </w:rPr>
      </w:pPr>
    </w:p>
    <w:p w:rsidR="00B963CD" w14:paraId="6C74F77E" w14:textId="77777777">
      <w:pPr>
        <w:pStyle w:val="21"/>
        <w:spacing w:line="360" w:lineRule="auto"/>
        <w:jc w:val="center"/>
        <w:rPr>
          <w:rFonts w:ascii="宋体" w:eastAsia="宋体" w:hAnsi="宋体"/>
          <w:color w:val="000000"/>
          <w:sz w:val="28"/>
        </w:rPr>
      </w:pPr>
      <w:bookmarkStart w:id="107" w:name="_Toc145818955"/>
      <w:r>
        <w:rPr>
          <w:rFonts w:ascii="宋体" w:eastAsia="宋体" w:hAnsi="宋体"/>
          <w:color w:val="000000"/>
          <w:sz w:val="28"/>
          <w:highlight w:val="white"/>
        </w:rPr>
        <w:t>二十一、托管协议的签订</w:t>
      </w:r>
      <w:bookmarkEnd w:id="107"/>
    </w:p>
    <w:p w:rsidR="00B963CD" w14:paraId="5E477CAE" w14:textId="77777777">
      <w:pPr>
        <w:snapToGrid w:val="0"/>
        <w:spacing w:line="360" w:lineRule="auto"/>
        <w:ind w:firstLine="560"/>
        <w:rPr>
          <w:rFonts w:ascii="宋体" w:hAnsi="宋体"/>
          <w:color w:val="000000"/>
          <w:sz w:val="28"/>
          <w:szCs w:val="28"/>
        </w:rPr>
        <w:sectPr>
          <w:footerReference w:type="default" r:id="rId5"/>
          <w:pgSz w:w="11906" w:h="16838"/>
          <w:pgMar w:top="1440" w:right="1797" w:bottom="1440" w:left="1797" w:header="851" w:footer="992" w:gutter="0"/>
          <w:pgNumType w:start="2"/>
          <w:cols w:space="720"/>
          <w:titlePg/>
          <w:docGrid w:type="lines" w:linePitch="312"/>
        </w:sectPr>
      </w:pPr>
      <w:r>
        <w:rPr>
          <w:rFonts w:ascii="宋体" w:hAnsi="宋体"/>
          <w:color w:val="000000"/>
          <w:sz w:val="28"/>
          <w:szCs w:val="28"/>
          <w:highlight w:val="white"/>
        </w:rPr>
        <w:t>本协议双方法定代表人或授权代表人签章、签订地、签订日</w:t>
      </w:r>
    </w:p>
    <w:p w:rsidR="00B963CD" w14:paraId="77870C3B" w14:textId="77777777">
      <w:pPr>
        <w:pStyle w:val="Style6"/>
        <w:snapToGrid/>
        <w:spacing w:line="360" w:lineRule="auto"/>
        <w:ind w:firstLine="0"/>
        <w:rPr>
          <w:rFonts w:ascii="宋体" w:eastAsia="宋体"/>
          <w:sz w:val="28"/>
          <w:szCs w:val="28"/>
        </w:rPr>
      </w:pPr>
      <w:r>
        <w:rPr>
          <w:rFonts w:ascii="宋体" w:eastAsia="宋体"/>
          <w:sz w:val="28"/>
          <w:szCs w:val="28"/>
          <w:highlight w:val="white"/>
        </w:rPr>
        <w:t>本页无正文，</w:t>
      </w:r>
      <w:r>
        <w:rPr>
          <w:rFonts w:ascii="宋体" w:eastAsia="宋体" w:hint="eastAsia"/>
          <w:sz w:val="28"/>
          <w:szCs w:val="28"/>
          <w:highlight w:val="white"/>
        </w:rPr>
        <w:t>为《</w:t>
      </w:r>
      <w:r>
        <w:rPr>
          <w:rFonts w:ascii="宋体" w:eastAsia="宋体"/>
          <w:sz w:val="28"/>
          <w:szCs w:val="28"/>
        </w:rPr>
        <w:t>易方达中证港股通综合指数量化增强型证券投资基金</w:t>
      </w:r>
      <w:r>
        <w:rPr>
          <w:rFonts w:ascii="宋体" w:eastAsia="宋体" w:hint="eastAsia"/>
          <w:sz w:val="28"/>
          <w:szCs w:val="28"/>
          <w:highlight w:val="white"/>
        </w:rPr>
        <w:t>托管协议</w:t>
      </w:r>
      <w:r>
        <w:rPr>
          <w:rFonts w:ascii="宋体" w:eastAsia="宋体" w:hint="eastAsia"/>
          <w:sz w:val="28"/>
          <w:szCs w:val="28"/>
          <w:highlight w:val="white"/>
        </w:rPr>
        <w:t>》的签字盖章页。</w:t>
      </w:r>
    </w:p>
    <w:p w:rsidR="00B963CD" w14:paraId="12ED184A" w14:textId="77777777">
      <w:pPr>
        <w:pStyle w:val="Style6"/>
        <w:snapToGrid/>
        <w:spacing w:line="360" w:lineRule="auto"/>
        <w:ind w:firstLine="0"/>
        <w:rPr>
          <w:rFonts w:ascii="宋体" w:eastAsia="宋体"/>
          <w:sz w:val="28"/>
          <w:szCs w:val="28"/>
        </w:rPr>
      </w:pPr>
    </w:p>
    <w:p w:rsidR="00B963CD" w14:paraId="2CC9953E" w14:textId="77777777">
      <w:pPr>
        <w:spacing w:line="360" w:lineRule="auto"/>
        <w:ind w:right="26"/>
        <w:rPr>
          <w:rFonts w:ascii="宋体" w:hAnsi="宋体"/>
          <w:b/>
          <w:bCs/>
          <w:sz w:val="28"/>
          <w:szCs w:val="28"/>
        </w:rPr>
      </w:pPr>
      <w:r>
        <w:rPr>
          <w:rFonts w:ascii="宋体" w:hAnsi="宋体" w:hint="eastAsia"/>
          <w:b/>
          <w:bCs/>
          <w:sz w:val="28"/>
          <w:szCs w:val="28"/>
          <w:highlight w:val="white"/>
        </w:rPr>
        <w:t>《托管协议》当事人盖章及法定代表人或授权代表</w:t>
      </w:r>
      <w:r>
        <w:rPr>
          <w:rFonts w:ascii="宋体" w:hAnsi="宋体"/>
          <w:b/>
          <w:bCs/>
          <w:sz w:val="28"/>
          <w:szCs w:val="28"/>
          <w:highlight w:val="white"/>
        </w:rPr>
        <w:t>签字</w:t>
      </w:r>
      <w:r>
        <w:rPr>
          <w:rFonts w:ascii="宋体" w:hAnsi="宋体"/>
          <w:b/>
          <w:sz w:val="28"/>
          <w:highlight w:val="white"/>
        </w:rPr>
        <w:t>/签章</w:t>
      </w:r>
      <w:r>
        <w:rPr>
          <w:rFonts w:ascii="宋体" w:hAnsi="宋体"/>
          <w:b/>
          <w:bCs/>
          <w:sz w:val="28"/>
          <w:szCs w:val="28"/>
          <w:highlight w:val="white"/>
        </w:rPr>
        <w:t>、签订地、签订日</w:t>
      </w:r>
    </w:p>
    <w:p w:rsidR="00B963CD" w14:paraId="4C6F3481" w14:textId="77777777">
      <w:pPr>
        <w:spacing w:line="360" w:lineRule="auto"/>
        <w:ind w:right="26"/>
        <w:rPr>
          <w:rFonts w:ascii="宋体" w:hAnsi="宋体"/>
          <w:b/>
          <w:bCs/>
          <w:sz w:val="28"/>
          <w:szCs w:val="28"/>
        </w:rPr>
      </w:pPr>
    </w:p>
    <w:p w:rsidR="00B963CD" w14:paraId="613E0F8E" w14:textId="77777777">
      <w:pPr>
        <w:spacing w:line="360" w:lineRule="auto"/>
        <w:ind w:right="26"/>
        <w:rPr>
          <w:rFonts w:ascii="宋体" w:hAnsi="宋体"/>
          <w:b/>
          <w:bCs/>
          <w:sz w:val="28"/>
          <w:szCs w:val="28"/>
        </w:rPr>
      </w:pPr>
      <w:r>
        <w:rPr>
          <w:rFonts w:ascii="宋体" w:hAnsi="宋体" w:hint="eastAsia"/>
          <w:b/>
          <w:bCs/>
          <w:sz w:val="28"/>
          <w:szCs w:val="28"/>
          <w:highlight w:val="white"/>
        </w:rPr>
        <w:t>基金管理人：易方达基金管理有限公司（章）</w:t>
      </w:r>
    </w:p>
    <w:p w:rsidR="00B963CD" w14:paraId="24E79A7F" w14:textId="77777777">
      <w:pPr>
        <w:spacing w:line="360" w:lineRule="auto"/>
        <w:ind w:right="26"/>
        <w:rPr>
          <w:rFonts w:ascii="宋体" w:hAnsi="宋体"/>
          <w:b/>
          <w:bCs/>
          <w:sz w:val="28"/>
          <w:szCs w:val="28"/>
        </w:rPr>
      </w:pPr>
    </w:p>
    <w:p w:rsidR="00B963CD" w14:paraId="641EC0CB" w14:textId="77777777">
      <w:pPr>
        <w:spacing w:line="360" w:lineRule="auto"/>
        <w:ind w:right="26"/>
        <w:rPr>
          <w:rFonts w:ascii="宋体" w:hAnsi="宋体"/>
          <w:b/>
          <w:bCs/>
          <w:sz w:val="28"/>
          <w:szCs w:val="28"/>
        </w:rPr>
      </w:pPr>
    </w:p>
    <w:p w:rsidR="00B963CD" w14:paraId="0AD7109A" w14:textId="77777777">
      <w:pPr>
        <w:spacing w:line="360" w:lineRule="auto"/>
        <w:ind w:right="26"/>
        <w:rPr>
          <w:rFonts w:ascii="宋体" w:hAnsi="宋体"/>
          <w:b/>
          <w:bCs/>
          <w:sz w:val="28"/>
          <w:szCs w:val="28"/>
        </w:rPr>
      </w:pPr>
    </w:p>
    <w:p w:rsidR="00B963CD" w14:paraId="77A4AA26" w14:textId="77777777">
      <w:pPr>
        <w:spacing w:line="360" w:lineRule="auto"/>
        <w:ind w:right="26"/>
        <w:rPr>
          <w:rFonts w:ascii="宋体" w:hAnsi="宋体"/>
          <w:b/>
          <w:bCs/>
          <w:sz w:val="28"/>
          <w:szCs w:val="28"/>
        </w:rPr>
      </w:pPr>
      <w:r>
        <w:rPr>
          <w:rFonts w:ascii="宋体" w:hAnsi="宋体" w:hint="eastAsia"/>
          <w:b/>
          <w:bCs/>
          <w:sz w:val="28"/>
          <w:szCs w:val="28"/>
          <w:highlight w:val="white"/>
        </w:rPr>
        <w:t>法定代表人或授权代表（签字</w:t>
      </w:r>
      <w:r>
        <w:rPr>
          <w:rFonts w:ascii="宋体" w:hAnsi="宋体"/>
          <w:b/>
          <w:bCs/>
          <w:sz w:val="28"/>
          <w:szCs w:val="28"/>
          <w:highlight w:val="white"/>
        </w:rPr>
        <w:t>/</w:t>
      </w:r>
      <w:r>
        <w:rPr>
          <w:rFonts w:ascii="宋体" w:hAnsi="宋体" w:hint="eastAsia"/>
          <w:b/>
          <w:bCs/>
          <w:sz w:val="28"/>
          <w:szCs w:val="28"/>
          <w:highlight w:val="white"/>
        </w:rPr>
        <w:t>签章）：</w:t>
      </w:r>
    </w:p>
    <w:p w:rsidR="00B963CD" w14:paraId="03207B94" w14:textId="77777777">
      <w:pPr>
        <w:spacing w:line="360" w:lineRule="auto"/>
        <w:ind w:right="26"/>
        <w:rPr>
          <w:rFonts w:ascii="宋体" w:hAnsi="宋体"/>
          <w:b/>
          <w:bCs/>
          <w:sz w:val="28"/>
          <w:szCs w:val="28"/>
        </w:rPr>
      </w:pPr>
    </w:p>
    <w:p w:rsidR="00B963CD" w14:paraId="10319557" w14:textId="77777777">
      <w:pPr>
        <w:spacing w:line="360" w:lineRule="auto"/>
        <w:ind w:right="26"/>
        <w:rPr>
          <w:rFonts w:ascii="宋体" w:hAnsi="宋体"/>
          <w:b/>
          <w:bCs/>
          <w:sz w:val="28"/>
          <w:szCs w:val="28"/>
        </w:rPr>
      </w:pPr>
    </w:p>
    <w:p w:rsidR="00B963CD" w14:paraId="593AE367" w14:textId="77777777">
      <w:pPr>
        <w:spacing w:line="360" w:lineRule="auto"/>
        <w:ind w:right="26"/>
        <w:rPr>
          <w:rFonts w:ascii="宋体" w:hAnsi="宋体"/>
          <w:b/>
          <w:bCs/>
          <w:sz w:val="28"/>
          <w:szCs w:val="28"/>
        </w:rPr>
      </w:pPr>
      <w:r>
        <w:rPr>
          <w:rFonts w:ascii="宋体" w:hAnsi="宋体" w:hint="eastAsia"/>
          <w:b/>
          <w:bCs/>
          <w:sz w:val="28"/>
          <w:szCs w:val="28"/>
          <w:highlight w:val="white"/>
        </w:rPr>
        <w:t>基金托管人：中国农业银行股份有限公司（章）</w:t>
      </w:r>
    </w:p>
    <w:p w:rsidR="00B963CD" w14:paraId="4332CB1F" w14:textId="77777777">
      <w:pPr>
        <w:spacing w:line="360" w:lineRule="auto"/>
        <w:ind w:right="26"/>
        <w:rPr>
          <w:rFonts w:ascii="宋体" w:hAnsi="宋体"/>
          <w:b/>
          <w:bCs/>
          <w:sz w:val="28"/>
          <w:szCs w:val="28"/>
        </w:rPr>
      </w:pPr>
    </w:p>
    <w:p w:rsidR="00B963CD" w14:paraId="0EA742E6" w14:textId="77777777">
      <w:pPr>
        <w:spacing w:line="360" w:lineRule="auto"/>
        <w:ind w:right="26"/>
        <w:rPr>
          <w:rFonts w:ascii="宋体" w:hAnsi="宋体"/>
          <w:b/>
          <w:bCs/>
          <w:sz w:val="28"/>
          <w:szCs w:val="28"/>
        </w:rPr>
      </w:pPr>
    </w:p>
    <w:p w:rsidR="00B963CD" w14:paraId="41BE34D7" w14:textId="77777777">
      <w:pPr>
        <w:spacing w:line="360" w:lineRule="auto"/>
        <w:ind w:right="26"/>
        <w:rPr>
          <w:rFonts w:ascii="宋体" w:hAnsi="宋体"/>
          <w:b/>
          <w:bCs/>
          <w:sz w:val="28"/>
          <w:szCs w:val="28"/>
        </w:rPr>
      </w:pPr>
    </w:p>
    <w:p w:rsidR="00B963CD" w14:paraId="38FDFA4B" w14:textId="77777777">
      <w:pPr>
        <w:spacing w:line="360" w:lineRule="auto"/>
        <w:ind w:right="26"/>
        <w:rPr>
          <w:rFonts w:ascii="宋体" w:hAnsi="宋体"/>
          <w:b/>
          <w:bCs/>
          <w:sz w:val="28"/>
          <w:szCs w:val="28"/>
        </w:rPr>
      </w:pPr>
      <w:r>
        <w:rPr>
          <w:rFonts w:ascii="宋体" w:hAnsi="宋体" w:hint="eastAsia"/>
          <w:b/>
          <w:bCs/>
          <w:sz w:val="28"/>
          <w:szCs w:val="28"/>
          <w:highlight w:val="white"/>
        </w:rPr>
        <w:t>法定代表人或授权代表（签字</w:t>
      </w:r>
      <w:r>
        <w:rPr>
          <w:rFonts w:ascii="宋体" w:hAnsi="宋体"/>
          <w:b/>
          <w:bCs/>
          <w:sz w:val="28"/>
          <w:szCs w:val="28"/>
          <w:highlight w:val="white"/>
        </w:rPr>
        <w:t>/</w:t>
      </w:r>
      <w:r>
        <w:rPr>
          <w:rFonts w:ascii="宋体" w:hAnsi="宋体" w:hint="eastAsia"/>
          <w:b/>
          <w:bCs/>
          <w:sz w:val="28"/>
          <w:szCs w:val="28"/>
          <w:highlight w:val="white"/>
        </w:rPr>
        <w:t>签章）：</w:t>
      </w:r>
    </w:p>
    <w:p w:rsidR="00B963CD" w14:paraId="0277CF17" w14:textId="77777777">
      <w:pPr>
        <w:spacing w:line="360" w:lineRule="auto"/>
        <w:ind w:right="26"/>
        <w:rPr>
          <w:rFonts w:ascii="宋体" w:hAnsi="宋体"/>
          <w:b/>
          <w:bCs/>
          <w:sz w:val="28"/>
          <w:szCs w:val="28"/>
        </w:rPr>
      </w:pPr>
    </w:p>
    <w:p w:rsidR="00B963CD" w14:paraId="49504F8A" w14:textId="77777777">
      <w:pPr>
        <w:spacing w:line="360" w:lineRule="auto"/>
        <w:ind w:right="26"/>
        <w:rPr>
          <w:rFonts w:ascii="宋体" w:hAnsi="宋体"/>
          <w:b/>
          <w:bCs/>
          <w:sz w:val="28"/>
          <w:szCs w:val="28"/>
        </w:rPr>
      </w:pPr>
    </w:p>
    <w:p w:rsidR="00B963CD" w14:paraId="29084517" w14:textId="77777777">
      <w:pPr>
        <w:spacing w:line="360" w:lineRule="auto"/>
        <w:ind w:right="26"/>
        <w:rPr>
          <w:rFonts w:ascii="宋体" w:hAnsi="宋体"/>
          <w:b/>
          <w:bCs/>
          <w:sz w:val="28"/>
          <w:szCs w:val="28"/>
        </w:rPr>
      </w:pPr>
      <w:r>
        <w:rPr>
          <w:rFonts w:ascii="宋体" w:hAnsi="宋体" w:hint="eastAsia"/>
          <w:b/>
          <w:bCs/>
          <w:sz w:val="28"/>
          <w:szCs w:val="28"/>
          <w:highlight w:val="white"/>
        </w:rPr>
        <w:t>签订地点：</w:t>
      </w:r>
    </w:p>
    <w:p w:rsidR="00B963CD" w14:paraId="3D4F59AC" w14:textId="77777777">
      <w:pPr>
        <w:spacing w:line="360" w:lineRule="auto"/>
        <w:ind w:right="26"/>
        <w:rPr>
          <w:rFonts w:ascii="宋体" w:hAnsi="宋体"/>
          <w:b/>
          <w:bCs/>
          <w:sz w:val="28"/>
          <w:szCs w:val="28"/>
        </w:rPr>
      </w:pPr>
      <w:r>
        <w:rPr>
          <w:rFonts w:ascii="宋体" w:hAnsi="宋体" w:hint="eastAsia"/>
          <w:b/>
          <w:bCs/>
          <w:sz w:val="28"/>
          <w:szCs w:val="28"/>
          <w:highlight w:val="white"/>
        </w:rPr>
        <w:t>签订日：</w:t>
      </w:r>
      <w:r>
        <w:rPr>
          <w:rFonts w:ascii="宋体" w:hAnsi="宋体"/>
          <w:b/>
          <w:bCs/>
          <w:sz w:val="28"/>
          <w:szCs w:val="28"/>
          <w:highlight w:val="white"/>
        </w:rPr>
        <w:t xml:space="preserve">    </w:t>
      </w:r>
      <w:r>
        <w:rPr>
          <w:rFonts w:ascii="宋体" w:hAnsi="宋体" w:hint="eastAsia"/>
          <w:b/>
          <w:bCs/>
          <w:sz w:val="28"/>
          <w:szCs w:val="28"/>
          <w:highlight w:val="white"/>
        </w:rPr>
        <w:t>年</w:t>
      </w:r>
      <w:r>
        <w:rPr>
          <w:rFonts w:ascii="宋体" w:hAnsi="宋体"/>
          <w:b/>
          <w:bCs/>
          <w:sz w:val="28"/>
          <w:szCs w:val="28"/>
          <w:highlight w:val="white"/>
        </w:rPr>
        <w:t xml:space="preserve">   </w:t>
      </w:r>
      <w:r>
        <w:rPr>
          <w:rFonts w:ascii="宋体" w:hAnsi="宋体" w:hint="eastAsia"/>
          <w:b/>
          <w:bCs/>
          <w:sz w:val="28"/>
          <w:szCs w:val="28"/>
          <w:highlight w:val="white"/>
        </w:rPr>
        <w:t>月</w:t>
      </w:r>
      <w:r>
        <w:rPr>
          <w:rFonts w:ascii="宋体" w:hAnsi="宋体"/>
          <w:b/>
          <w:bCs/>
          <w:sz w:val="28"/>
          <w:szCs w:val="28"/>
          <w:highlight w:val="white"/>
        </w:rPr>
        <w:t xml:space="preserve">   </w:t>
      </w:r>
      <w:r>
        <w:rPr>
          <w:rFonts w:ascii="宋体" w:hAnsi="宋体" w:hint="eastAsia"/>
          <w:b/>
          <w:bCs/>
          <w:sz w:val="28"/>
          <w:szCs w:val="28"/>
          <w:highlight w:val="white"/>
        </w:rPr>
        <w:t>日</w:t>
      </w:r>
      <w:bookmarkStart w:id="108" w:name="_Hlt89590562"/>
      <w:bookmarkEnd w:id="108"/>
    </w:p>
    <w:sectPr>
      <w:pgSz w:w="11906" w:h="16838"/>
      <w:pgMar w:top="1440" w:right="1797" w:bottom="1440" w:left="1797" w:header="851" w:footer="992" w:gutter="0"/>
      <w:pgNumType w:start="2"/>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7F22" w14:paraId="53314E34" w14:textId="058333F4">
    <w:pPr>
      <w:pStyle w:val="10"/>
      <w:snapToGrid/>
      <w:jc w:val="center"/>
      <w:rPr>
        <w:rStyle w:val="PageNumber"/>
      </w:rPr>
    </w:pPr>
    <w:r>
      <w:fldChar w:fldCharType="begin"/>
    </w:r>
    <w:r>
      <w:rPr>
        <w:rStyle w:val="PageNumber"/>
        <w:highlight w:val="white"/>
      </w:rPr>
      <w:instrText xml:space="preserve">PAGE  </w:instrText>
    </w:r>
    <w:r>
      <w:fldChar w:fldCharType="separate"/>
    </w:r>
    <w:r>
      <w:rPr>
        <w:rStyle w:val="PageNumber"/>
        <w:highlight w:val="white"/>
      </w:rPr>
      <w:t>55</w:t>
    </w:r>
    <w:r>
      <w:fldChar w:fldCharType="end"/>
    </w:r>
  </w:p>
  <w:p w:rsidR="00497F22" w14:paraId="25920D2A" w14:textId="77777777">
    <w:pPr>
      <w:pStyle w:val="10"/>
      <w:snapToGrid/>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销售新规">
    <w15:presenceInfo w15:providerId="None" w15:userId="销售新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85"/>
    <w:rsid w:val="AFFF6E6D"/>
    <w:rsid w:val="DD9F4030"/>
    <w:rsid w:val="FFEF6A95"/>
    <w:rsid w:val="003C4221"/>
    <w:rsid w:val="00497F22"/>
    <w:rsid w:val="004A7632"/>
    <w:rsid w:val="006461A1"/>
    <w:rsid w:val="006B4E5C"/>
    <w:rsid w:val="00767385"/>
    <w:rsid w:val="0092118A"/>
    <w:rsid w:val="00A84F06"/>
    <w:rsid w:val="00A96C2F"/>
    <w:rsid w:val="00B963CD"/>
    <w:rsid w:val="00D85C66"/>
    <w:rsid w:val="00F35C45"/>
    <w:rsid w:val="4DFFBE26"/>
    <w:rsid w:val="5F7B8CB1"/>
    <w:rsid w:val="5FFF6F32"/>
    <w:rsid w:val="6BFFD8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A6CBB5AC-1E5A-4424-8DC4-07F69A82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Light"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0"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ascii="Times New Roman" w:hAnsi="Times New Roman" w:cs="Times New Roman"/>
      <w:sz w:val="21"/>
      <w:szCs w:val="22"/>
    </w:rPr>
  </w:style>
  <w:style w:type="paragraph" w:styleId="Heading1">
    <w:name w:val="heading 1"/>
    <w:basedOn w:val="Normal"/>
    <w:next w:val="Normal"/>
    <w:link w:val="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qFormat/>
    <w:pPr>
      <w:shd w:val="clear" w:color="000080" w:fill="000080"/>
    </w:pPr>
  </w:style>
  <w:style w:type="paragraph" w:styleId="CommentText">
    <w:name w:val="annotation text"/>
    <w:basedOn w:val="Normal"/>
    <w:link w:val="a7"/>
    <w:qFormat/>
    <w:pPr>
      <w:jc w:val="left"/>
    </w:pPr>
  </w:style>
  <w:style w:type="paragraph" w:styleId="BodyText">
    <w:name w:val="Body Text"/>
    <w:basedOn w:val="Normal"/>
    <w:qFormat/>
    <w:pPr>
      <w:spacing w:after="120"/>
    </w:pPr>
  </w:style>
  <w:style w:type="paragraph" w:styleId="BodyTextIndent">
    <w:name w:val="Body Text Indent"/>
    <w:basedOn w:val="Normal"/>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unhideWhenUsed/>
    <w:qFormat/>
    <w:pPr>
      <w:spacing w:after="57"/>
      <w:ind w:left="567"/>
    </w:pPr>
  </w:style>
  <w:style w:type="paragraph" w:styleId="PlainText">
    <w:name w:val="Plain Text"/>
    <w:basedOn w:val="Normal"/>
    <w:uiPriority w:val="99"/>
    <w:unhideWhenUsed/>
    <w:qFormat/>
    <w:pPr>
      <w:spacing w:line="360" w:lineRule="auto"/>
      <w:ind w:left="482" w:firstLine="482"/>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qFormat/>
    <w:pPr>
      <w:spacing w:after="120" w:line="480" w:lineRule="auto"/>
      <w:ind w:left="420"/>
    </w:pPr>
  </w:style>
  <w:style w:type="paragraph" w:styleId="EndnoteText">
    <w:name w:val="endnote text"/>
    <w:basedOn w:val="Normal"/>
    <w:link w:val="a0"/>
    <w:uiPriority w:val="99"/>
    <w:semiHidden/>
    <w:unhideWhenUsed/>
    <w:rPr>
      <w:sz w:val="20"/>
    </w:rPr>
  </w:style>
  <w:style w:type="paragraph" w:styleId="BalloonText">
    <w:name w:val="Balloon Text"/>
    <w:basedOn w:val="Normal"/>
    <w:qFormat/>
    <w:rPr>
      <w:sz w:val="18"/>
    </w:rPr>
  </w:style>
  <w:style w:type="paragraph" w:styleId="Footer">
    <w:name w:val="footer"/>
    <w:basedOn w:val="Normal"/>
    <w:link w:val="a"/>
    <w:uiPriority w:val="99"/>
    <w:unhideWhenUsed/>
    <w:pPr>
      <w:tabs>
        <w:tab w:val="center" w:pos="7143"/>
        <w:tab w:val="right" w:pos="14287"/>
      </w:tabs>
    </w:pPr>
  </w:style>
  <w:style w:type="paragraph" w:styleId="Header">
    <w:name w:val="header"/>
    <w:basedOn w:val="Normal"/>
    <w:link w:val="a5"/>
    <w:uiPriority w:val="99"/>
    <w:unhideWhenUsed/>
    <w:pPr>
      <w:tabs>
        <w:tab w:val="center" w:pos="7143"/>
        <w:tab w:val="right" w:pos="14287"/>
      </w:tabs>
    </w:pPr>
  </w:style>
  <w:style w:type="paragraph" w:styleId="TOC1">
    <w:name w:val="toc 1"/>
    <w:basedOn w:val="Normal"/>
    <w:next w:val="Normal"/>
    <w:uiPriority w:val="39"/>
    <w:unhideWhenUsed/>
    <w:qFormat/>
    <w:pPr>
      <w:spacing w:after="57"/>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2"/>
    <w:uiPriority w:val="11"/>
    <w:qFormat/>
    <w:pPr>
      <w:spacing w:before="200" w:after="200"/>
    </w:pPr>
    <w:rPr>
      <w:sz w:val="24"/>
      <w:szCs w:val="24"/>
    </w:rPr>
  </w:style>
  <w:style w:type="paragraph" w:styleId="FootnoteText">
    <w:name w:val="footnote text"/>
    <w:basedOn w:val="Normal"/>
    <w:link w:val="a6"/>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qFormat/>
    <w:pPr>
      <w:spacing w:after="120"/>
      <w:ind w:left="420"/>
    </w:pPr>
    <w:rPr>
      <w:sz w:val="16"/>
    </w:rPr>
  </w:style>
  <w:style w:type="paragraph" w:styleId="TableofFigures">
    <w:name w:val="table of figures"/>
    <w:basedOn w:val="Normal"/>
    <w:next w:val="Normal"/>
    <w:uiPriority w:val="99"/>
    <w:unhideWhenUsed/>
    <w:qFormat/>
  </w:style>
  <w:style w:type="paragraph" w:styleId="TOC2">
    <w:name w:val="toc 2"/>
    <w:basedOn w:val="Normal"/>
    <w:next w:val="Normal"/>
    <w:qFormat/>
    <w:pPr>
      <w:ind w:left="420"/>
    </w:pPr>
  </w:style>
  <w:style w:type="paragraph" w:styleId="TOC9">
    <w:name w:val="toc 9"/>
    <w:basedOn w:val="Normal"/>
    <w:next w:val="Normal"/>
    <w:uiPriority w:val="39"/>
    <w:unhideWhenUsed/>
    <w:qFormat/>
    <w:pPr>
      <w:spacing w:after="57"/>
      <w:ind w:left="2268"/>
    </w:pPr>
  </w:style>
  <w:style w:type="paragraph" w:styleId="NormalWeb">
    <w:name w:val="Normal (Web)"/>
    <w:basedOn w:val="Normal"/>
    <w:uiPriority w:val="99"/>
    <w:qFormat/>
    <w:rPr>
      <w:sz w:val="24"/>
    </w:rPr>
  </w:style>
  <w:style w:type="paragraph" w:styleId="Title">
    <w:name w:val="Title"/>
    <w:basedOn w:val="Normal"/>
    <w:next w:val="Normal"/>
    <w:link w:val="a1"/>
    <w:uiPriority w:val="10"/>
    <w:qFormat/>
    <w:pPr>
      <w:spacing w:before="300" w:after="200"/>
      <w:contextualSpacing/>
    </w:pPr>
    <w:rPr>
      <w:sz w:val="48"/>
      <w:szCs w:val="48"/>
    </w:rPr>
  </w:style>
  <w:style w:type="paragraph" w:styleId="CommentSubject">
    <w:name w:val="annotation subject"/>
    <w:basedOn w:val="CommentText"/>
    <w:next w:val="CommentText"/>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Strong">
    <w:name w:val="Strong"/>
    <w:qFormat/>
    <w:rPr>
      <w:b/>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21"/>
    </w:rPr>
  </w:style>
  <w:style w:type="character" w:styleId="FootnoteReference">
    <w:name w:val="footnote reference"/>
    <w:basedOn w:val="DefaultParagraphFont"/>
    <w:uiPriority w:val="99"/>
    <w:unhideWhenUsed/>
    <w:qFormat/>
    <w:rPr>
      <w:vertAlign w:val="superscript"/>
    </w:rPr>
  </w:style>
  <w:style w:type="paragraph" w:customStyle="1" w:styleId="21">
    <w:name w:val="标题 21"/>
    <w:basedOn w:val="Normal"/>
    <w:next w:val="NormalIndent"/>
    <w:qFormat/>
    <w:pPr>
      <w:keepNext/>
      <w:keepLines/>
      <w:spacing w:before="260" w:after="260" w:line="413" w:lineRule="auto"/>
      <w:outlineLvl w:val="1"/>
    </w:pPr>
    <w:rPr>
      <w:rFonts w:ascii="Arial" w:eastAsia="黑体" w:hAnsi="Arial"/>
      <w:b/>
      <w:sz w:val="32"/>
    </w:rPr>
  </w:style>
  <w:style w:type="character" w:customStyle="1" w:styleId="1">
    <w:name w:val="标题 1 字符"/>
    <w:basedOn w:val="DefaultParagraphFont"/>
    <w:link w:val="Heading1"/>
    <w:uiPriority w:val="9"/>
    <w:rPr>
      <w:rFonts w:ascii="Arial" w:hAnsi="Arial" w:cs="Arial"/>
      <w:sz w:val="40"/>
      <w:szCs w:val="40"/>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rPr>
      <w:rFonts w:ascii="Arial" w:hAnsi="Arial" w:cs="Arial"/>
      <w:i/>
      <w:iCs/>
      <w:sz w:val="21"/>
      <w:szCs w:val="21"/>
    </w:rPr>
  </w:style>
  <w:style w:type="character" w:customStyle="1" w:styleId="a">
    <w:name w:val="页脚 字符"/>
    <w:link w:val="Footer"/>
    <w:uiPriority w:val="99"/>
  </w:style>
  <w:style w:type="character" w:customStyle="1" w:styleId="Char">
    <w:name w:val="页脚 Char"/>
    <w:link w:val="10"/>
    <w:uiPriority w:val="99"/>
  </w:style>
  <w:style w:type="paragraph" w:customStyle="1" w:styleId="10">
    <w:name w:val="页脚1"/>
    <w:basedOn w:val="Normal"/>
    <w:link w:val="Char"/>
    <w:qFormat/>
    <w:pPr>
      <w:tabs>
        <w:tab w:val="center" w:pos="4153"/>
        <w:tab w:val="right" w:pos="8306"/>
      </w:tabs>
      <w:snapToGrid w:val="0"/>
      <w:jc w:val="left"/>
    </w:pPr>
    <w:rPr>
      <w:sz w:val="18"/>
    </w:rPr>
  </w:style>
  <w:style w:type="character" w:customStyle="1" w:styleId="a0">
    <w:name w:val="尾注文本 字符"/>
    <w:link w:val="EndnoteText"/>
    <w:uiPriority w:val="99"/>
    <w:rPr>
      <w:sz w:val="20"/>
    </w:rPr>
  </w:style>
  <w:style w:type="character" w:customStyle="1" w:styleId="2">
    <w:name w:val="标题 2 字符"/>
    <w:basedOn w:val="DefaultParagraphFont"/>
    <w:link w:val="Heading2"/>
    <w:uiPriority w:val="9"/>
    <w:qFormat/>
    <w:rPr>
      <w:rFonts w:ascii="Arial" w:hAnsi="Arial" w:cs="Arial"/>
      <w:sz w:val="34"/>
    </w:rPr>
  </w:style>
  <w:style w:type="paragraph" w:styleId="ListParagraph">
    <w:name w:val="List Paragraph"/>
    <w:basedOn w:val="Normal"/>
    <w:uiPriority w:val="34"/>
    <w:qFormat/>
    <w:pPr>
      <w:ind w:left="720"/>
      <w:contextualSpacing/>
    </w:pPr>
  </w:style>
  <w:style w:type="paragraph" w:styleId="NoSpacing">
    <w:name w:val="No Spacing"/>
    <w:uiPriority w:val="1"/>
    <w:qFormat/>
    <w:pPr>
      <w:shd w:val="clear" w:color="FFFFFF" w:fill="FFFFFF"/>
    </w:pPr>
    <w:rPr>
      <w:rFonts w:ascii="Times New Roman" w:hAnsi="Times New Roman" w:cs="Times New Roman"/>
      <w:szCs w:val="22"/>
    </w:rPr>
  </w:style>
  <w:style w:type="character" w:customStyle="1" w:styleId="a1">
    <w:name w:val="标题 字符"/>
    <w:basedOn w:val="DefaultParagraphFont"/>
    <w:link w:val="Title"/>
    <w:uiPriority w:val="10"/>
    <w:qFormat/>
    <w:rPr>
      <w:sz w:val="48"/>
      <w:szCs w:val="48"/>
    </w:rPr>
  </w:style>
  <w:style w:type="character" w:customStyle="1" w:styleId="a2">
    <w:name w:val="副标题 字符"/>
    <w:basedOn w:val="DefaultParagraphFont"/>
    <w:link w:val="Subtitle"/>
    <w:uiPriority w:val="11"/>
    <w:qFormat/>
    <w:rPr>
      <w:sz w:val="24"/>
      <w:szCs w:val="24"/>
    </w:rPr>
  </w:style>
  <w:style w:type="paragraph" w:styleId="Quote">
    <w:name w:val="Quote"/>
    <w:basedOn w:val="Normal"/>
    <w:next w:val="Normal"/>
    <w:link w:val="a3"/>
    <w:uiPriority w:val="29"/>
    <w:qFormat/>
    <w:pPr>
      <w:ind w:left="720" w:right="720"/>
    </w:pPr>
    <w:rPr>
      <w:i/>
    </w:rPr>
  </w:style>
  <w:style w:type="character" w:customStyle="1" w:styleId="a3">
    <w:name w:val="引用 字符"/>
    <w:link w:val="Quote"/>
    <w:uiPriority w:val="29"/>
    <w:qFormat/>
    <w:rPr>
      <w:i/>
    </w:rPr>
  </w:style>
  <w:style w:type="paragraph" w:styleId="IntenseQuote">
    <w:name w:val="Intense Quote"/>
    <w:basedOn w:val="Normal"/>
    <w:next w:val="Normal"/>
    <w:link w:val="a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4">
    <w:name w:val="明显引用 字符"/>
    <w:link w:val="IntenseQuote"/>
    <w:uiPriority w:val="30"/>
    <w:qFormat/>
    <w:rPr>
      <w:i/>
    </w:rPr>
  </w:style>
  <w:style w:type="character" w:customStyle="1" w:styleId="a5">
    <w:name w:val="页眉 字符"/>
    <w:basedOn w:val="DefaultParagraphFont"/>
    <w:link w:val="Header"/>
    <w:uiPriority w:val="99"/>
    <w:qFormat/>
  </w:style>
  <w:style w:type="character" w:customStyle="1" w:styleId="a6">
    <w:name w:val="脚注文本 字符"/>
    <w:link w:val="FootnoteText"/>
    <w:uiPriority w:val="99"/>
    <w:qFormat/>
    <w:rPr>
      <w:sz w:val="18"/>
    </w:rPr>
  </w:style>
  <w:style w:type="character" w:customStyle="1" w:styleId="a7">
    <w:name w:val="批注文字 字符"/>
    <w:link w:val="CommentText"/>
    <w:qFormat/>
    <w:rPr>
      <w:sz w:val="21"/>
    </w:rPr>
  </w:style>
  <w:style w:type="character" w:customStyle="1" w:styleId="read">
    <w:name w:val="read"/>
    <w:basedOn w:val="DefaultParagraphFont"/>
    <w:qFormat/>
  </w:style>
  <w:style w:type="paragraph" w:customStyle="1" w:styleId="Style6">
    <w:name w:val="_Style 6"/>
    <w:basedOn w:val="Normal"/>
    <w:next w:val="Normal"/>
    <w:qFormat/>
    <w:pPr>
      <w:snapToGrid w:val="0"/>
      <w:ind w:firstLine="480"/>
    </w:pPr>
    <w:rPr>
      <w:rFonts w:ascii="仿宋_GB2312" w:eastAsia="仿宋_GB2312" w:hAnsi="宋体"/>
      <w:color w:val="000000"/>
      <w:sz w:val="24"/>
    </w:rPr>
  </w:style>
  <w:style w:type="paragraph" w:customStyle="1" w:styleId="CharCharChar1">
    <w:name w:val="Char Char Char1"/>
    <w:basedOn w:val="Normal"/>
    <w:qFormat/>
  </w:style>
  <w:style w:type="paragraph" w:customStyle="1" w:styleId="Char0">
    <w:name w:val="Char"/>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55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