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299D" w:rsidRDefault="00AD3A6F">
      <w:pPr>
        <w:autoSpaceDE w:val="0"/>
        <w:autoSpaceDN w:val="0"/>
        <w:adjustRightInd w:val="0"/>
        <w:jc w:val="center"/>
        <w:rPr>
          <w:rFonts w:asciiTheme="minorEastAsia" w:hAnsiTheme="minorEastAsia" w:cs="仿宋_GB2312" w:hint="eastAsia"/>
          <w:kern w:val="0"/>
          <w:sz w:val="36"/>
          <w:szCs w:val="36"/>
        </w:rPr>
      </w:pPr>
    </w:p>
    <w:p w:rsidR="00AD3A6F" w:rsidRPr="0089044D" w:rsidRDefault="00A73782" gbicc:emptyAbove="1">
      <w:pPr>
        <w:autoSpaceDE w:val="0"/>
        <w:autoSpaceDN w:val="0"/>
        <w:adjustRightInd w:val="0"/>
        <w:jc w:val="center"/>
        <w:rPr>
          <w:rFonts w:asciiTheme="minorEastAsia" w:hAnsiTheme="minorEastAsia" w:cs="仿宋_GB2312"/>
          <w:kern w:val="0"/>
          <w:sz w:val="30"/>
          <w:szCs w:val="30"/>
        </w:rPr>
      </w:pPr>
      <w:r w:rsidRPr="0089044D">
        <w:rPr>
          <w:rFonts w:asciiTheme="minorEastAsia" w:hAnsiTheme="minorEastAsia" w:cs="仿宋_GB2312" w:hint="eastAsia"/>
          <w:kern w:val="0"/>
          <w:sz w:val="30"/>
          <w:szCs w:val="30"/>
        </w:rPr>
        <w:t>华夏中证A500增强策略交易型开放式指数证券投资基金联接基金（华夏中证A500增强策略ETF联接C）基金产品资料概要</w:t>
      </w:r>
    </w:p>
    <w:p w:rsidR="00AD3A6F" w:rsidRPr="0089044D" w:rsidRDefault="00A73782">
      <w:pPr>
        <w:autoSpaceDE w:val="0"/>
        <w:autoSpaceDN w:val="0"/>
        <w:adjustRightInd w:val="0"/>
        <w:jc w:val="right"/>
        <w:rPr>
          <w:rFonts w:asciiTheme="minorEastAsia" w:hAnsiTheme="minorEastAsia" w:cs="方正仿宋简体"/>
          <w:iCs/>
          <w:sz w:val="24"/>
          <w:szCs w:val="24"/>
        </w:rPr>
      </w:pPr>
      <w:r w:rsidRPr="0089044D">
        <w:rPr>
          <w:rFonts w:asciiTheme="minorEastAsia" w:hAnsiTheme="minorEastAsia" w:cs="方正仿宋简体" w:hint="eastAsia"/>
          <w:iCs/>
          <w:sz w:val="24"/>
          <w:szCs w:val="24"/>
        </w:rPr>
        <w:t>编制日期：</w:t>
      </w:r>
      <w:r w:rsidRPr="0089044D">
        <w:rPr>
          <w:rFonts w:asciiTheme="minorEastAsia" w:hAnsiTheme="minorEastAsia" w:cs="方正仿宋简体" w:hint="eastAsia"/>
          <w:iCs/>
          <w:sz w:val="24"/>
          <w:szCs w:val="24"/>
        </w:rPr>
        <w:t>2026年2月27日</w:t>
      </w:r>
    </w:p>
    <w:p w:rsidR="00AD3A6F" w:rsidRPr="002302AE" w:rsidRDefault="00A73782">
      <w:pPr>
        <w:autoSpaceDE w:val="0"/>
        <w:autoSpaceDN w:val="0"/>
        <w:adjustRightInd w:val="0"/>
        <w:jc w:val="center"/>
        <w:rPr>
          <w:rFonts w:asciiTheme="minorEastAsia" w:hAnsiTheme="minorEastAsia" w:cs="方正仿宋简体"/>
          <w:iCs/>
          <w:sz w:val="24"/>
          <w:szCs w:val="24"/>
        </w:rPr>
      </w:pPr>
      <w:r w:rsidRPr="002302AE">
        <w:rPr>
          <w:rFonts w:asciiTheme="minorEastAsia" w:hAnsiTheme="minorEastAsia" w:cs="方正仿宋简体" w:hint="eastAsia"/>
          <w:iCs/>
          <w:sz w:val="24"/>
          <w:szCs w:val="24"/>
        </w:rPr>
        <w:t>送出日期：</w:t>
      </w:r>
      <w:r w:rsidRPr="002302AE">
        <w:rPr>
          <w:rFonts w:asciiTheme="minorEastAsia" w:hAnsiTheme="minorEastAsia" w:cs="方正仿宋简体" w:hint="eastAsia"/>
          <w:iCs/>
          <w:sz w:val="24"/>
          <w:szCs w:val="24"/>
        </w:rPr>
        <w:t>2026年2月28日</w:t>
      </w:r>
    </w:p>
    <w:p w:rsidR="00AD3A6F" w:rsidRPr="0089044D" w:rsidRDefault="00A73782" w:rsidP="00E240C1">
      <w:pPr>
        <w:autoSpaceDE w:val="0"/>
        <w:autoSpaceDN w:val="0"/>
        <w:adjustRightInd w:val="0"/>
        <w:spacing w:line="380" w:lineRule="exact"/>
        <w:jc w:val="center"/>
        <w:rPr>
          <w:rFonts w:asciiTheme="minorEastAsia" w:hAnsiTheme="minorEastAsia" w:cs="黑体"/>
          <w:b/>
          <w:kern w:val="0"/>
          <w:sz w:val="24"/>
          <w:szCs w:val="24"/>
        </w:rPr>
      </w:pPr>
      <w:r w:rsidRPr="0089044D">
        <w:rPr>
          <w:rFonts w:asciiTheme="minorEastAsia" w:hAnsiTheme="minorEastAsia" w:cs="黑体" w:hint="eastAsia"/>
          <w:b/>
          <w:kern w:val="0"/>
          <w:sz w:val="24"/>
          <w:szCs w:val="24"/>
        </w:rPr>
        <w:t>本概要提供本基金的重要信息，是招募说明书的一部分。</w:t>
      </w:r>
    </w:p>
    <w:p w:rsidR="00AD3A6F" w:rsidRPr="0089044D" w:rsidRDefault="00A73782" w:rsidP="00E240C1">
      <w:pPr>
        <w:autoSpaceDE w:val="0"/>
        <w:autoSpaceDN w:val="0"/>
        <w:adjustRightInd w:val="0"/>
        <w:spacing w:line="380" w:lineRule="exact"/>
        <w:jc w:val="center"/>
        <w:rPr>
          <w:rFonts w:asciiTheme="minorEastAsia" w:hAnsiTheme="minorEastAsia" w:cs="黑体"/>
          <w:b/>
          <w:kern w:val="0"/>
          <w:sz w:val="24"/>
          <w:szCs w:val="24"/>
        </w:rPr>
      </w:pPr>
      <w:r w:rsidRPr="0089044D">
        <w:rPr>
          <w:rFonts w:asciiTheme="minorEastAsia" w:hAnsiTheme="minorEastAsia" w:cs="黑体" w:hint="eastAsia"/>
          <w:b/>
          <w:kern w:val="0"/>
          <w:sz w:val="24"/>
          <w:szCs w:val="24"/>
        </w:rPr>
        <w:t>作出投资决定前，请阅读完整的招募说明书等销售文件。</w:t>
      </w:r>
    </w:p>
    <w:p w:rsidR="00AD3A6F" w:rsidRPr="00E240C1" w:rsidRDefault="00A73782" gbicc:outlineLvl="0" gbicc:pid="14">
      <w:pPr gbicc:listString="一、" gbicc:numText="%1、" gbicc:numFmt="C" gbicc:numVal="1" gbicc:numId="10">
        <w:numPr>
          <w:ilvl w:val="0"/>
          <w:numId w:val="10"/>
        </w:numPr>
        <w:spacing w:line="280" w:lineRule="exact"/>
        <w:outlineLvl w:val="0"/>
        <w:rPr>
          <w:rFonts w:asciiTheme="minorEastAsia" w:hAnsiTheme="minorEastAsia" w:cs="方正仿宋简体"/>
          <w:b/>
          <w:iCs/>
          <w:sz w:val="24"/>
          <w:szCs w:val="24"/>
        </w:rPr>
      </w:pPr>
      <w:r w:rsidRPr="00E240C1">
        <w:rPr>
          <w:rFonts w:asciiTheme="minorEastAsia" w:hAnsiTheme="minorEastAsia"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FF3938" w:rsidTr="00584DC5">
        <w:trPr>
          <w:trHeight w:val="454"/>
        </w:trPr>
        <w:tc>
          <w:tcPr>
            <w:tcW w:w="1145" w:type="pct"/>
            <w:vMerge w:val="restart"/>
            <w:vAlign w:val="center"/>
          </w:tcPr>
          <w:p w:rsidR="00AD3A6F" w:rsidRPr="00FF3938" w:rsidRDefault="00A73782">
            <w:pPr>
              <w:spacing w:line="280" w:lineRule="exact"/>
              <w:rPr>
                <w:rFonts w:asciiTheme="minorEastAsia" w:hAnsiTheme="minorEastAsia" w:cs="方正仿宋简体"/>
                <w:b/>
                <w:iCs/>
              </w:rPr>
            </w:pPr>
            <w:r w:rsidRPr="00FF3938">
              <w:rPr>
                <w:rFonts w:asciiTheme="minorEastAsia" w:hAnsiTheme="minorEastAsia" w:cs="方正仿宋简体" w:hint="eastAsia"/>
                <w:iCs/>
              </w:rPr>
              <w:t>基金简称</w:t>
            </w:r>
          </w:p>
        </w:tc>
        <w:tc>
          <w:tcPr>
            <w:tcW w:w="1413"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华夏中证A500增强策略ETF联接</w:t>
            </w:r>
          </w:p>
        </w:tc>
        <w:tc>
          <w:tcPr>
            <w:tcW w:w="999" w:type="pct"/>
            <w:vMerge w:val="restart"/>
            <w:vAlign w:val="center"/>
          </w:tcPr>
          <w:p w:rsidR="00AD3A6F" w:rsidRPr="00FF3938" w:rsidRDefault="00A73782">
            <w:pPr>
              <w:spacing w:line="280" w:lineRule="exact"/>
              <w:rPr>
                <w:rFonts w:asciiTheme="minorEastAsia" w:hAnsiTheme="minorEastAsia" w:cs="方正仿宋简体"/>
                <w:b/>
                <w:iCs/>
              </w:rPr>
            </w:pPr>
            <w:r w:rsidRPr="00FF3938">
              <w:rPr>
                <w:rFonts w:asciiTheme="minorEastAsia" w:hAnsiTheme="minorEastAsia" w:cs="方正仿宋简体" w:hint="eastAsia"/>
                <w:iCs/>
              </w:rPr>
              <w:t>基金代码</w:t>
            </w:r>
          </w:p>
        </w:tc>
        <w:tc>
          <w:tcPr>
            <w:tcW w:w="1443" w:type="pct"/>
            <w:tcBorders>
              <w:bottom w:val="dashSmallGap" w:sz="4" w:space="0" w:color="A6A6A6" w:themeColor="background1" w:themeShade="A6"/>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cs="方正仿宋简体" w:hint="eastAsia"/>
                <w:iCs/>
              </w:rPr>
              <w:t>026860</w:t>
            </w:r>
          </w:p>
        </w:tc>
      </w:tr>
      <w:tr w:rsidR="00AD3A6F" w:rsidRPr="00FF3938" w:rsidTr="00B212F4">
        <w:trPr>
          <w:trHeight w:val="150"/>
        </w:trPr>
        <w:tc>
          <w:tcPr>
            <w:tcW w:w="1145"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iCs/>
              </w:rPr>
              <w:t>华夏中证A500增强策略ETF联接C</w:t>
            </w:r>
          </w:p>
        </w:tc>
        <w:tc>
          <w:tcPr>
            <w:tcW w:w="999" w:type="pct"/>
            <w:vMerge w:val="restart"/>
            <w:tcBorders>
              <w:top w:val="dashSmallGap" w:sz="4" w:space="0" w:color="A6A6A6" w:themeColor="background1" w:themeShade="A6"/>
            </w:tcBorders>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cs="方正仿宋简体" w:hint="eastAsia"/>
                <w:iCs/>
              </w:rPr>
              <w:t>026861</w:t>
            </w:r>
          </w:p>
        </w:tc>
      </w:tr>
      <w:tr w:rsidR="00AD3A6F" w:rsidRPr="00FF3938" w:rsidTr="005F360D">
        <w:trPr>
          <w:trHeight w:val="454"/>
        </w:trPr>
        <w:tc>
          <w:tcPr>
            <w:tcW w:w="1145"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基金管理人</w:t>
            </w:r>
          </w:p>
        </w:tc>
        <w:tc>
          <w:tcPr>
            <w:tcW w:w="1413" w:type="pct"/>
            <w:tcBorders>
              <w:top w:val="dashSmallGap" w:sz="4" w:space="0" w:color="A6A6A6" w:themeColor="background1" w:themeShade="A6"/>
            </w:tcBorders>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华夏基金管理有限公司</w:t>
            </w: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基金托管人</w:t>
            </w:r>
          </w:p>
        </w:tc>
        <w:tc>
          <w:tcPr>
            <w:tcW w:w="1443" w:type="pct"/>
            <w:tcBorders>
              <w:top w:val="dashSmallGap" w:sz="4" w:space="0" w:color="A6A6A6" w:themeColor="background1" w:themeShade="A6"/>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cs="方正仿宋简体" w:hint="eastAsia"/>
                <w:iCs/>
              </w:rPr>
              <w:t>中国建设银行股份有限公司</w:t>
            </w:r>
            <w:r w:rsidR="00A73782" w:rsidRPr="00FF3938">
              <w:rPr>
                <w:rFonts w:asciiTheme="minorEastAsia" w:hAnsiTheme="minorEastAsia" w:cs="方正仿宋简体" w:hint="eastAsia"/>
                <w:iCs/>
              </w:rPr>
              <w:t xml:space="preserve"> </w:t>
            </w:r>
          </w:p>
        </w:tc>
      </w:tr>
      <w:tr w:rsidR="00AD3A6F" w:rsidRPr="00FF3938" w:rsidTr="005F360D">
        <w:trPr>
          <w:trHeight w:val="454"/>
        </w:trPr>
        <w:tc>
          <w:tcPr>
            <w:tcW w:w="1145"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基金合同生效日</w:t>
            </w:r>
          </w:p>
        </w:tc>
        <w:tc>
          <w:tcPr>
            <w:tcW w:w="1413"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w:t>
            </w:r>
          </w:p>
        </w:tc>
        <w:tc>
          <w:tcPr>
            <w:tcW w:w="999"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
            </w:r>
          </w:p>
        </w:tc>
        <w:tc>
          <w:tcPr>
            <w:tcW w:w="1443" w:type="pct"/>
            <w:tcBorders>
              <w:top w:val="dashSmallGap" w:sz="4" w:space="0" w:color="A6A6A6" w:themeColor="background1" w:themeShade="A6"/>
              <w:bottom w:val="nil"/>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hint="eastAsia"/>
                <w:color w:val="333399"/>
              </w:rPr>
              <w:t/>
            </w:r>
            <w:r w:rsidR="00A73782" w:rsidRPr="00FF3938">
              <w:rPr>
                <w:rFonts w:asciiTheme="minorEastAsia" w:hAnsiTheme="minorEastAsia" w:cs="方正仿宋简体" w:hint="eastAsia"/>
                <w:iCs/>
              </w:rPr>
              <w:t xml:space="preserve"> </w:t>
            </w:r>
            <w:r w:rsidR="00A73782" w:rsidRPr="00FF3938">
              <w:rPr>
                <w:rFonts w:asciiTheme="minorEastAsia" w:hAnsiTheme="minorEastAsia" w:hint="eastAsia"/>
                <w:color w:val="333399"/>
              </w:rPr>
              <w:t/>
            </w:r>
          </w:p>
        </w:tc>
      </w:tr>
      <w:tr w:rsidR="00AD3A6F" w:rsidRPr="00FF3938" w:rsidTr="005F360D">
        <w:trPr>
          <w:trHeight w:val="454"/>
        </w:trPr>
        <w:tc>
          <w:tcPr>
            <w:tcW w:w="1145"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基金类型</w:t>
            </w:r>
          </w:p>
        </w:tc>
        <w:tc>
          <w:tcPr>
            <w:tcW w:w="141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基金中基金</w:t>
            </w: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交易币种</w:t>
            </w:r>
          </w:p>
        </w:tc>
        <w:tc>
          <w:tcPr>
            <w:tcW w:w="1443" w:type="pct"/>
            <w:tcBorders>
              <w:top w:val="dashSmallGap" w:sz="4" w:space="0" w:color="A6A6A6" w:themeColor="background1" w:themeShade="A6"/>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cs="方正仿宋简体" w:hint="eastAsia"/>
                <w:iCs/>
              </w:rPr>
              <w:t>人民币</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p>
        </w:tc>
      </w:tr>
      <w:tr w:rsidR="00AD3A6F" w:rsidRPr="00FF3938" w:rsidTr="005F360D">
        <w:trPr>
          <w:trHeight w:val="454"/>
        </w:trPr>
        <w:tc>
          <w:tcPr>
            <w:tcW w:w="1145"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运作方式</w:t>
            </w:r>
          </w:p>
        </w:tc>
        <w:tc>
          <w:tcPr>
            <w:tcW w:w="141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普通开放式</w:t>
            </w: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开放频率</w:t>
            </w:r>
          </w:p>
        </w:tc>
        <w:tc>
          <w:tcPr>
            <w:tcW w:w="144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每个开放日</w:t>
            </w:r>
          </w:p>
        </w:tc>
      </w:tr>
      <w:tr w:rsidR="00AD3A6F" w:rsidRPr="00FF3938" w:rsidTr="005F360D">
        <w:trPr>
          <w:trHeight w:val="454"/>
        </w:trPr>
        <w:tc>
          <w:tcPr>
            <w:tcW w:w="1145"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w:t>
            </w:r>
            <w:r w:rsidRPr="00FF3938">
              <w:rPr>
                <w:rFonts w:asciiTheme="minorEastAsia" w:hAnsiTheme="minorEastAsia" w:cs="方正仿宋简体" w:hint="eastAsia"/>
                <w:bCs/>
                <w:iCs/>
                <w:szCs w:val="24"/>
              </w:rPr>
              <w:t>经理</w:t>
            </w:r>
          </w:p>
        </w:tc>
        <w:tc>
          <w:tcPr>
            <w:tcW w:w="1413"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iCs/>
              </w:rPr>
              <w:t>陈国峰</w:t>
            </w: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开始担任本基金基金经理的日期</w:t>
            </w:r>
          </w:p>
        </w:tc>
        <w:tc>
          <w:tcPr>
            <w:tcW w:w="144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iCs/>
              </w:rPr>
              <w:t>-</w:t>
            </w:r>
          </w:p>
        </w:tc>
      </w:tr>
      <w:tr w:rsidR="00AD3A6F" w:rsidRPr="00FF3938" w:rsidTr="005F360D">
        <w:trPr>
          <w:trHeight w:val="454"/>
        </w:trPr>
        <w:tc>
          <w:tcPr>
            <w:tcW w:w="1145" w:type="pct"/>
            <w:vMerge/>
            <w:vAlign w:val="center"/>
          </w:tcPr>
          <w:p w:rsidR="00AD3A6F" w:rsidRPr="00FF3938" w:rsidRDefault="00AD3A6F">
            <w:pPr>
              <w:spacing w:line="280" w:lineRule="exact"/>
              <w:rPr>
                <w:rFonts w:asciiTheme="minorEastAsia" w:hAnsiTheme="minorEastAsia" w:cs="方正仿宋简体"/>
                <w:b/>
                <w:iCs/>
              </w:rPr>
            </w:pPr>
          </w:p>
        </w:tc>
        <w:tc>
          <w:tcPr>
            <w:tcW w:w="1413" w:type="pct"/>
            <w:vMerge/>
            <w:vAlign w:val="center"/>
          </w:tcPr>
          <w:p w:rsidR="00AD3A6F" w:rsidRPr="00FF3938" w:rsidRDefault="00AD3A6F">
            <w:pPr>
              <w:spacing w:line="280" w:lineRule="exact"/>
              <w:rPr>
                <w:rFonts w:asciiTheme="minorEastAsia" w:hAnsiTheme="minorEastAsia" w:cs="方正仿宋简体"/>
                <w:b/>
                <w:iCs/>
              </w:rPr>
            </w:pP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证券从业日期</w:t>
            </w:r>
          </w:p>
        </w:tc>
        <w:tc>
          <w:tcPr>
            <w:tcW w:w="144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2015-07-13</w:t>
            </w:r>
          </w:p>
        </w:tc>
      </w:tr>
    </w:tbl>
    <w:p w:rsidR="00AD3A6F" w:rsidRPr="003E45BE" w:rsidRDefault="00AD3A6F">
      <w:pPr>
        <w:spacing w:line="280" w:lineRule="exact"/>
        <w:rPr>
          <w:rFonts w:asciiTheme="minorEastAsia" w:hAnsiTheme="minorEastAsia" w:cs="仿宋_GB2312"/>
          <w:b/>
          <w:kern w:val="0"/>
          <w:szCs w:val="24"/>
        </w:rPr>
      </w:pPr>
    </w:p>
    <w:p w:rsidR="00AD3A6F" w:rsidRPr="003075F8" w:rsidRDefault="00A73782" gbicc:emptyAbove="1" gbicc:outlineLvl="0" gbicc:pid="15">
      <w:pPr gbicc:listString="二、" gbicc:numText="%1、" gbicc:numFmt="C" gbicc:numVal="2" gbicc:numId="10">
        <w:numPr>
          <w:ilvl w:val="0"/>
          <w:numId w:val="10"/>
        </w:numPr>
        <w:spacing w:line="280" w:lineRule="exact"/>
        <w:outlineLvl w:val="0"/>
        <w:rPr>
          <w:rFonts w:asciiTheme="minorEastAsia" w:hAnsiTheme="minorEastAsia" w:cs="方正仿宋简体"/>
          <w:b/>
          <w:iCs/>
          <w:sz w:val="24"/>
          <w:szCs w:val="24"/>
        </w:rPr>
      </w:pPr>
      <w:r w:rsidRPr="003075F8">
        <w:rPr>
          <w:rFonts w:asciiTheme="minorEastAsia" w:hAnsiTheme="minorEastAsia" w:cs="方正仿宋简体" w:hint="eastAsia"/>
          <w:b/>
          <w:iCs/>
          <w:sz w:val="24"/>
          <w:szCs w:val="24"/>
        </w:rPr>
        <w:t>基金投资与净值表现</w:t>
      </w:r>
    </w:p>
    <w:p w:rsidR="00AD3A6F" w:rsidRPr="003075F8" w:rsidRDefault="00A73782" gbicc:outlineLvl="1" gbicc:pid="16">
      <w:pPr gbicc:listString="(一)" gbicc:numText="(%1)" gbicc:numFmt="C" gbicc:numVal="1" gbicc:numId="15">
        <w:pStyle w:val="a8"/>
        <w:numPr>
          <w:ilvl w:val="0"/>
          <w:numId w:val="15"/>
        </w:numPr>
        <w:spacing w:line="280" w:lineRule="exact"/>
        <w:ind w:firstLineChars="0"/>
        <w:outlineLvl w:val="1"/>
        <w:rPr>
          <w:rFonts w:asciiTheme="minorEastAsia" w:hAnsiTheme="minorEastAsia" w:cs="方正仿宋简体"/>
          <w:b/>
          <w:iCs/>
          <w:sz w:val="24"/>
          <w:szCs w:val="24"/>
        </w:rPr>
      </w:pPr>
      <w:r w:rsidRPr="003075F8">
        <w:rPr>
          <w:rFonts w:asciiTheme="minorEastAsia" w:hAnsiTheme="minorEastAsia"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Theme="minorEastAsia" w:hAnsiTheme="minorEastAsia" w:cs="方正仿宋简体"/>
                <w:bCs/>
                <w:iCs/>
                <w:szCs w:val="24"/>
              </w:rPr>
            </w:pPr>
            <w:r w:rsidRPr="00E240C1">
              <w:rPr>
                <w:rFonts w:asciiTheme="minorEastAsia" w:hAnsiTheme="minorEastAsia" w:cs="方正仿宋简体" w:hint="eastAsia"/>
                <w:bCs/>
                <w:iCs/>
                <w:szCs w:val="24"/>
              </w:rPr>
              <w:t>投资目标</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本基金通过主要投资于目标ETF，在对标的指数进行有效跟踪的基础上，力争获取超越业绩比较基准的超额收益，实现基金资产的长期增值。</w:t>
            </w:r>
          </w:p>
        </w:tc>
      </w:tr>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Theme="minorEastAsia" w:hAnsiTheme="minorEastAsia" w:cs="方正仿宋简体"/>
                <w:bCs/>
                <w:iCs/>
                <w:szCs w:val="24"/>
              </w:rPr>
            </w:pPr>
            <w:r w:rsidRPr="00E240C1">
              <w:rPr>
                <w:rFonts w:asciiTheme="minorEastAsia" w:hAnsiTheme="minorEastAsia" w:cs="方正仿宋简体" w:hint="eastAsia"/>
                <w:bCs/>
                <w:iCs/>
                <w:szCs w:val="24"/>
              </w:rPr>
              <w:t>投资范围</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 xml:space="preserve">本基金的标的指数为中证A500指数。本基金主要投资于目标ETF基金份额、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 xml:space="preserve">基金的投资组合比例为：基金投资于目标ETF的比例不低于基金资产净值的90%，且不低于非现金基金资产的80%；每个交易日日终在扣除股指期货、国债期货、股票期权合约需缴纳的交易保证金后，保持不低于基金资产净值5%的现金或者到期日在1年以内的政府债券。其中，现金不包括结算备付金、存出保证金、应收申购款等。</w:t>
            </w:r>
          </w:p>
        </w:tc>
      </w:tr>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Theme="minorEastAsia" w:hAnsiTheme="minorEastAsia" w:cs="方正仿宋简体"/>
                <w:bCs/>
                <w:iCs/>
                <w:szCs w:val="24"/>
              </w:rPr>
            </w:pPr>
            <w:r w:rsidRPr="00E240C1">
              <w:rPr>
                <w:rFonts w:asciiTheme="minorEastAsia" w:hAnsiTheme="minorEastAsia" w:cs="方正仿宋简体" w:hint="eastAsia"/>
                <w:bCs/>
                <w:iCs/>
                <w:szCs w:val="24"/>
              </w:rPr>
              <w:t>主要投资策略</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主要投资策略包括目标ETF投资策略，股票投资策略，存托凭证投资策略，债券投资策略，衍生品投资策略，资产支持证券投资策略，可转换债券、可交换债券投资策略，参与转融通证券出借业务策略等。</w:t>
            </w:r>
          </w:p>
        </w:tc>
      </w:tr>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Theme="minorEastAsia" w:hAnsiTheme="minorEastAsia" w:cs="方正仿宋简体"/>
                <w:bCs/>
                <w:iCs/>
                <w:szCs w:val="24"/>
              </w:rPr>
            </w:pPr>
            <w:r w:rsidRPr="00E240C1">
              <w:rPr>
                <w:rFonts w:asciiTheme="minorEastAsia" w:hAnsiTheme="minorEastAsia" w:cs="方正仿宋简体" w:hint="eastAsia"/>
                <w:bCs/>
                <w:iCs/>
                <w:szCs w:val="24"/>
              </w:rPr>
              <w:t>业绩比较基准</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中证A500指数收益率×95%＋人民币活期存款税后利率×5%</w:t>
            </w:r>
          </w:p>
        </w:tc>
      </w:tr>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sidRPr="00E240C1">
              <w:rPr>
                <w:rFonts w:asciiTheme="minorEastAsia" w:hAnsiTheme="minorEastAsia" w:cs="方正仿宋简体" w:hint="eastAsia"/>
                <w:bCs/>
                <w:iCs/>
                <w:szCs w:val="24"/>
              </w:rPr>
              <w:t>风险收益特征</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本基金为目标ETF的联接基金，目标ETF为股票基金，因此本基金的风险与收益高于混合基金、债券基金与货币市场基金。</w:t>
            </w:r>
          </w:p>
        </w:tc>
      </w:tr>
    </w:tbl>
    <w:p w:rsidR="00AD3A6F" w:rsidRPr="009665EF" w:rsidRDefault="00D348A5" w:rsidP="00BB3B2B">
      <w:pPr>
        <w:spacing w:line="360" w:lineRule="auto"/>
        <w:ind w:leftChars="200" w:left="420"/>
        <w:rPr>
          <w:rFonts w:asciiTheme="minorEastAsia" w:hAnsiTheme="minorEastAsia" w:cs="方正仿宋简体"/>
          <w:iCs/>
          <w:szCs w:val="24"/>
        </w:rPr>
      </w:pPr>
      <w:r>
        <w:rPr>
          <w:rFonts w:asciiTheme="minorEastAsia" w:hAnsiTheme="minorEastAsia" w:cs="方正仿宋简体" w:hint="eastAsia"/>
          <w:iCs/>
          <w:szCs w:val="24"/>
        </w:rPr>
        <w:t xml:space="preserve">注：①投资者请认真阅读《招募说明书》“基金的投资”章节了解详细情况。</w:t>
      </w:r>
    </w:p>
    <w:p w:rsidR="00AD3A6F" w:rsidRPr="009665EF" w:rsidRDefault="00D348A5" w:rsidP="00BB3B2B">
      <w:pPr>
        <w:spacing w:line="360" w:lineRule="auto"/>
        <w:ind w:leftChars="200" w:left="420"/>
        <w:rPr>
          <w:rFonts w:asciiTheme="minorEastAsia" w:hAnsiTheme="minorEastAsia" w:cs="方正仿宋简体"/>
          <w:iCs/>
          <w:szCs w:val="24"/>
        </w:rPr>
      </w:pPr>
      <w:r>
        <w:rPr>
          <w:rFonts w:asciiTheme="minorEastAsia" w:hAnsiTheme="minorEastAsia" w:cs="方正仿宋简体" w:hint="eastAsia"/>
          <w:iCs/>
          <w:szCs w:val="24"/>
        </w:rPr>
        <w:t xml:space="preserve">②根据2017年施行的《证券期货投资者适当性管理办法》，基金管理人和销售机构已对本基金重新进行风险评级，基金的风险收益特征不代表基金的风险评级，具体风险评级结果参见基金管理人、销售机构提供的评级结果。</w:t>
      </w:r>
    </w:p>
    <w:p w:rsidR="00AD3A6F" w:rsidRPr="003E45BE" w:rsidRDefault="00D348A5">
      <w:pPr>
        <w:spacing w:line="280" w:lineRule="exact"/>
        <w:rPr>
          <w:rFonts w:asciiTheme="minorEastAsia" w:hAnsiTheme="minorEastAsia" w:cs="仿宋_GB2312"/>
          <w:kern w:val="0"/>
          <w:szCs w:val="24"/>
        </w:rPr>
      </w:pPr>
    </w:p>
    <w:p w:rsidR="00AD3A6F" w:rsidRPr="00DA3AF7"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Theme="minorEastAsia" w:hAnsiTheme="minorEastAsia" w:cs="方正仿宋简体"/>
          <w:b/>
          <w:iCs/>
          <w:sz w:val="24"/>
          <w:szCs w:val="24"/>
        </w:rPr>
      </w:pPr>
      <w:r w:rsidRPr="00DA3AF7">
        <w:rPr>
          <w:rFonts w:asciiTheme="minorEastAsia" w:hAnsiTheme="minorEastAsia" w:cs="方正仿宋简体" w:hint="eastAsia"/>
          <w:b/>
          <w:iCs/>
          <w:sz w:val="24"/>
          <w:szCs w:val="24"/>
        </w:rPr>
        <w:t>投资组合资产配置图表/区域配置图表</w:t>
      </w:r>
    </w:p>
    <w:p w:rsidR="00AD3A6F" w:rsidRPr="00AD1CF3" w:rsidRDefault="00A73782">
      <w:pPr>
        <w:rPr>
          <w:rFonts w:asciiTheme="minorEastAsia" w:hAnsiTheme="minorEastAsia" w:cs="方正仿宋简体"/>
          <w:b/>
          <w:iCs/>
          <w:sz w:val="24"/>
          <w:szCs w:val="24"/>
        </w:rPr>
      </w:pPr>
      <w:r w:rsidRPr="00AD1CF3">
        <w:rPr>
          <w:rFonts w:asciiTheme="minorEastAsia" w:hAnsiTheme="minorEastAsia" w:cs="方正仿宋简体" w:hint="eastAsia"/>
          <w:b/>
          <w:iCs/>
          <w:sz w:val="24"/>
          <w:szCs w:val="24"/>
        </w:rPr>
        <w:t>投资组合资产配置图表</w:t>
      </w:r>
    </w:p>
    <w:p w:rsidR="000707F5" w:rsidRPr="00CB555D" w:rsidRDefault="00D348A5" w:rsidP="005A6DF3">
      <w:pPr>
        <w:spacing w:line="360" w:lineRule="auto"/>
        <w:ind w:firstLineChars="200" w:firstLine="482"/>
        <w:rPr>
          <w:rFonts w:asciiTheme="minorEastAsia" w:hAnsiTheme="minorEastAsia" w:cs="方正仿宋简体"/>
          <w:b/>
          <w:iCs/>
          <w:sz w:val="24"/>
          <w:szCs w:val="24"/>
        </w:rPr>
      </w:pPr>
      <w:r w:rsidR="00A73782" w:rsidRPr="005A6DF3">
        <w:rPr>
          <w:rFonts w:asciiTheme="minorEastAsia" w:hAnsiTheme="minorEastAsia"/>
          <w:color w:val="000000" w:themeColor="text1"/>
        </w:rPr>
        <w:t>暂无</w:t>
      </w:r>
    </w:p>
    <w:p w:rsidR="00AD3A6F" w:rsidRPr="00AE4E3B" w:rsidRDefault="00A73782" gbicc:outlineLvl="1" gbicc:pid="18">
      <w:pPr gbicc:listString="(三)" gbicc:numText="(%1)" gbicc:numFmt="C" gbicc:numVal="3" gbicc:numId="15">
        <w:pStyle w:val="a8"/>
        <w:numPr>
          <w:ilvl w:val="0"/>
          <w:numId w:val="15"/>
        </w:numPr>
        <w:spacing w:line="280" w:lineRule="exact"/>
        <w:ind w:firstLineChars="0"/>
        <w:outlineLvl w:val="1"/>
        <w:rPr>
          <w:rFonts w:asciiTheme="minorEastAsia" w:hAnsiTheme="minorEastAsia" w:cs="方正仿宋简体"/>
          <w:b/>
          <w:iCs/>
          <w:sz w:val="24"/>
          <w:szCs w:val="24"/>
        </w:rPr>
      </w:pPr>
      <w:r w:rsidRPr="00AE4E3B">
        <w:rPr>
          <w:rFonts w:asciiTheme="minorEastAsia" w:hAnsiTheme="minorEastAsia" w:cs="方正仿宋简体" w:hint="eastAsia"/>
          <w:b/>
          <w:iCs/>
          <w:sz w:val="24"/>
          <w:szCs w:val="24"/>
        </w:rPr>
        <w:t>自基金合同生效以来基金每年的净值增长率及与同期业绩比较基准的比较图</w:t>
      </w:r>
    </w:p>
    <w:p w:rsidR="00AD3A6F" w:rsidRPr="006A5214" w:rsidRDefault="00A73782" w:rsidP="007C553E" gbicc:emptyAbove="2">
      <w:pPr>
        <w:autoSpaceDE w:val="0"/>
        <w:autoSpaceDN w:val="0"/>
        <w:adjustRightInd w:val="0"/>
        <w:spacing w:line="360" w:lineRule="auto"/>
        <w:ind w:leftChars="200" w:left="420"/>
        <w:jc w:val="left"/>
        <w:rPr>
          <w:rFonts w:asciiTheme="minorEastAsia" w:hAnsiTheme="minorEastAsia"/>
          <w:color w:val="000000" w:themeColor="text1"/>
        </w:rPr>
      </w:pPr>
      <w:r w:rsidRPr="006A5214">
        <w:rPr>
          <w:rFonts w:asciiTheme="minorEastAsia" w:hAnsiTheme="minorEastAsia" w:hint="eastAsia"/>
          <w:color w:val="000000" w:themeColor="text1"/>
        </w:rPr>
        <w:t xml:space="preserve">暂无</w:t>
      </w:r>
    </w:p>
    <w:p w:rsidR="00AD3A6F" w:rsidRDefault="00AD3A6F">
      <w:pPr>
        <w:spacing w:line="280" w:lineRule="exact"/>
        <w:ind w:firstLine="420"/>
        <w:rPr>
          <w:rFonts w:ascii="方正仿宋简体" w:eastAsia="方正仿宋简体" w:hAnsi="方正仿宋简体" w:cs="方正仿宋简体"/>
          <w:iCs/>
        </w:rPr>
      </w:pPr>
    </w:p>
    <w:p w:rsidR="00AD3A6F" w:rsidRPr="00602422" w:rsidRDefault="00A73782" gbicc:emptyAbove="1" gbicc:outlineLvl="0" gbicc:pid="19">
      <w:pPr gbicc:listString="三、" gbicc:numText="%1、" gbicc:numFmt="C" gbicc:numVal="3" gbicc:numId="10">
        <w:numPr>
          <w:ilvl w:val="0"/>
          <w:numId w:val="10"/>
        </w:numPr>
        <w:spacing w:line="280" w:lineRule="exact"/>
        <w:outlineLvl w:val="0"/>
        <w:rPr>
          <w:rFonts w:asciiTheme="minorEastAsia" w:hAnsiTheme="minorEastAsia" w:cs="方正仿宋简体"/>
          <w:b/>
          <w:iCs/>
          <w:sz w:val="24"/>
          <w:szCs w:val="24"/>
        </w:rPr>
      </w:pPr>
      <w:r w:rsidRPr="00602422">
        <w:rPr>
          <w:rFonts w:asciiTheme="minorEastAsia" w:hAnsiTheme="minorEastAsia" w:cs="方正仿宋简体" w:hint="eastAsia"/>
          <w:b/>
          <w:iCs/>
          <w:sz w:val="24"/>
          <w:szCs w:val="24"/>
        </w:rPr>
        <w:t>投资本基金涉及的费用</w:t>
      </w:r>
    </w:p>
    <w:p w:rsidR="00AD3A6F" w:rsidRPr="00602422" w:rsidRDefault="00A73782" gbicc:outlineLvl="1" gbicc:pid="20">
      <w:pPr gbicc:listString="（一）" gbicc:numText="（%1）" gbicc:numFmt="J" gbicc:numVal="1" gbicc:numId="25">
        <w:pStyle w:val="a8"/>
        <w:numPr>
          <w:ilvl w:val="0"/>
          <w:numId w:val="25"/>
        </w:numPr>
        <w:spacing w:line="340" w:lineRule="exact"/>
        <w:ind w:firstLineChars="0"/>
        <w:outlineLvl w:val="1"/>
        <w:rPr>
          <w:rFonts w:asciiTheme="minorEastAsia" w:hAnsiTheme="minorEastAsia" w:cs="方正仿宋简体"/>
          <w:b/>
          <w:iCs/>
          <w:sz w:val="24"/>
          <w:szCs w:val="24"/>
        </w:rPr>
      </w:pPr>
      <w:r w:rsidRPr="00602422">
        <w:rPr>
          <w:rFonts w:asciiTheme="minorEastAsia" w:hAnsiTheme="minorEastAsia" w:cs="方正仿宋简体" w:hint="eastAsia"/>
          <w:b/>
          <w:iCs/>
          <w:sz w:val="24"/>
          <w:szCs w:val="24"/>
        </w:rPr>
        <w:t>基金销售相关费用</w:t>
      </w:r>
    </w:p>
    <w:p w:rsidR="00AD3A6F" w:rsidRPr="00602422" w:rsidRDefault="00A73782">
      <w:pPr>
        <w:autoSpaceDE w:val="0"/>
        <w:autoSpaceDN w:val="0"/>
        <w:adjustRightInd w:val="0"/>
        <w:spacing w:line="280" w:lineRule="exact"/>
        <w:jc w:val="left"/>
        <w:rPr>
          <w:rFonts w:asciiTheme="minorEastAsia" w:hAnsiTheme="minorEastAsia"/>
          <w:color w:val="000000" w:themeColor="text1"/>
        </w:rPr>
      </w:pPr>
      <w:r w:rsidRPr="00602422">
        <w:rPr>
          <w:rFonts w:asciiTheme="minorEastAsia" w:hAnsiTheme="minorEastAsia" w:cs="方正仿宋简体" w:hint="eastAsia"/>
          <w:iCs/>
          <w:color w:val="000000" w:themeColor="text1"/>
        </w:rPr>
        <w:t>以下费用在认购/申购/赎回基金过程中收取：</w:t>
      </w:r>
    </w:p>
    <!--PH-->
    <w:tbl init-cell-address="true">
      <w:tblPr>
        <w:tblW w:w="5000"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6"/>
        <w:gridCol w:w="3262"/>
        <w:gridCol w:w="1982"/>
        <w:gridCol w:w="902"/>
      </w:tblGrid>
      <w:tr w:rsidR="00AD3A6F" w:rsidRPr="00602422" w:rsidTr="00584DC5">
        <w:trPr>
          <w:trHeight w:val="454"/>
        </w:trPr>
        <w:tc>
          <w:tcPr>
            <w:tcW w:w="1394"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费用类型</w:t>
            </w:r>
          </w:p>
        </w:tc>
        <w:tc>
          <w:tcPr>
            <w:tcW w:w="1914"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份额（S）或金额（M）</w:t>
            </w:r>
          </w:p>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/持有期限（N）</w:t>
            </w:r>
          </w:p>
        </w:tc>
        <w:tc>
          <w:tcPr>
            <w:tcW w:w="1163"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收费方式/费率</w:t>
            </w:r>
          </w:p>
        </w:tc>
        <w:tc>
          <w:tcPr>
            <w:tcW w:w="529"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备注</w:t>
            </w:r>
          </w:p>
        </w:tc>
        <w:bookmarkStart w:id="0" w:name="_GoBack"/>
        <w:bookmarkEnd w:id="0"/>
      </w:tr>
      <w:tr w:rsidR="00AD3A6F" w:rsidRPr="00602422" w:rsidTr="00584DC5">
        <w:trPr>
          <w:trHeight w:val="454"/>
        </w:trPr>
        <w:tc>
          <w:tcPr>
            <w:tcW w:w="1394" w:type="pct"/>
            <w:vAlign w:val="center"/>
            <w:vMerge w:val="restart"/>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4"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hint="eastAsia"/>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7天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w:r>
          </w:p>
        </w:tc>
        <w:tc>
          <w:tcPr>
            <w:tcW w:w="116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1.50%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机构投资者</w:t>
            </w:r>
          </w:p>
        </w:tc>
      </w:tr>
      <w:tr w:rsidR="00AD3A6F" w:rsidRPr="00602422" w:rsidTr="00584DC5">
        <w:trPr>
          <w:trHeight w:val="454"/>
        </w:trPr>
        <w:tc>
          <w:tcPr>
            <w:tcW w:w="1394"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4"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7天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30天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1.00%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机构投资者</w:t>
            </w:r>
          </w:p>
        </w:tc>
      </w:tr>
      <w:tr w:rsidR="00AD3A6F" w:rsidRPr="00602422" w:rsidTr="00584DC5">
        <w:trPr>
          <w:trHeight w:val="454"/>
        </w:trPr>
        <w:tc>
          <w:tcPr>
            <w:tcW w:w="1394"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4"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30天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180天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0.50%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机构投资者</w:t>
            </w:r>
          </w:p>
        </w:tc>
      </w:tr>
      <w:tr w:rsidR="00AD3A6F" w:rsidRPr="00602422" w:rsidTr="00584DC5">
        <w:trPr>
          <w:trHeight w:val="454"/>
        </w:trPr>
        <w:tc>
          <w:tcPr>
            <w:tcW w:w="1394"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4"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&gt;=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180天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0.00%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机构投资者</w:t>
            </w:r>
          </w:p>
        </w:tc>
      </w:tr>
      <w:tr w:rsidR="00AD3A6F" w:rsidRPr="00602422" w:rsidTr="00584DC5">
        <w:trPr>
          <w:trHeight w:val="454"/>
        </w:trPr>
        <w:tc>
          <w:tcPr>
            <w:tcW w:w="1394"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4"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7天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1.50%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个人投资者</w:t>
            </w:r>
          </w:p>
        </w:tc>
      </w:tr>
      <w:tr w:rsidR="00AD3A6F" w:rsidRPr="00602422" w:rsidTr="00584DC5">
        <w:trPr>
          <w:trHeight w:val="454"/>
        </w:trPr>
        <w:tc>
          <w:tcPr>
            <w:tcW w:w="1394"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4"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&gt;=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7天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0.00%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个人投资者</w:t>
            </w:r>
          </w:p>
        </w:tc>
      </w:tr>
    </w:tbl>
    <w:p w:rsidR="00AD3A6F" w:rsidRPr="00602422" w:rsidRDefault="00D348A5" w:rsidP="00853770">
      <w:pPr>
        <w:autoSpaceDE w:val="0"/>
        <w:autoSpaceDN w:val="0"/>
        <w:adjustRightInd w:val="0"/>
        <w:spacing w:line="360" w:lineRule="auto"/>
        <w:ind w:leftChars="200" w:left="420"/>
        <w:jc w:val="left"/>
        <w:rPr>
          <w:rFonts w:asciiTheme="minorEastAsia" w:hAnsiTheme="minorEastAsia" w:cs="方正仿宋简体"/>
          <w:iCs/>
          <w:color w:val="000000" w:themeColor="text1"/>
        </w:rPr>
      </w:pPr>
      <w:r w:rsidR="00A73782" w:rsidRPr="00602422">
        <w:rPr>
          <w:rFonts w:asciiTheme="minorEastAsia" w:hAnsiTheme="minorEastAsia" w:cs="方正仿宋简体" w:hint="eastAsia"/>
          <w:iCs/>
          <w:color w:val="000000" w:themeColor="text1"/>
        </w:rPr>
        <w:t>注：</w:t>
      </w:r>
      <w:r w:rsidR="00A73782" w:rsidRPr="00602422">
        <w:rPr>
          <w:rFonts w:asciiTheme="minorEastAsia" w:hAnsiTheme="minorEastAsia" w:cs="方正仿宋简体" w:hint="eastAsia"/>
          <w:iCs/>
          <w:color w:val="000000" w:themeColor="text1"/>
        </w:rPr>
        <w:t>投资者选择认购/申购C类基金份额的，不收取认购费/申购费。</w:t>
      </w:r>
    </w:p>
    <w:p w:rsidR="00AD3A6F" w:rsidRDefault="00AD3A6F">
      <w:pPr>
        <w:spacing w:line="280" w:lineRule="exact"/>
        <w:rPr>
          <w:rFonts w:ascii="方正仿宋简体" w:eastAsia="方正仿宋简体" w:hAnsiTheme="minorEastAsia" w:cs="方正仿宋简体"/>
          <w:b/>
          <w:iCs/>
          <w:sz w:val="24"/>
          <w:szCs w:val="24"/>
        </w:rPr>
      </w:pPr>
    </w:p>
    <w:p w:rsidR="00AD3A6F" w:rsidRPr="00FF3938"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Theme="minorEastAsia" w:hAnsiTheme="minorEastAsia" w:cs="方正仿宋简体"/>
          <w:b/>
          <w:iCs/>
          <w:sz w:val="24"/>
          <w:szCs w:val="24"/>
        </w:rPr>
      </w:pPr>
      <w:r w:rsidRPr="00FF3938">
        <w:rPr>
          <w:rFonts w:asciiTheme="minorEastAsia" w:hAnsiTheme="minorEastAsia" w:cs="方正仿宋简体" w:hint="eastAsia"/>
          <w:b/>
          <w:iCs/>
          <w:sz w:val="24"/>
          <w:szCs w:val="24"/>
        </w:rPr>
        <w:t>基金运作相关费用</w:t>
      </w:r>
    </w:p>
    <w:p w:rsidR="00AD3A6F" w:rsidRPr="00FF3938" w:rsidRDefault="00A73782">
      <w:pPr>
        <w:autoSpaceDE w:val="0"/>
        <w:autoSpaceDN w:val="0"/>
        <w:adjustRightInd w:val="0"/>
        <w:spacing w:line="280" w:lineRule="exact"/>
        <w:jc w:val="left"/>
        <w:rPr>
          <w:rFonts w:asciiTheme="minorEastAsia" w:hAnsiTheme="minorEastAsia" w:cs="方正仿宋简体"/>
          <w:iCs/>
        </w:rPr>
      </w:pPr>
      <w:r w:rsidRPr="00FF3938">
        <w:rPr>
          <w:rFonts w:asciiTheme="minorEastAsia" w:hAnsiTheme="minorEastAsia" w:hint="eastAsia"/>
        </w:rPr>
        <w:t>以下</w:t>
      </w:r>
      <w:r w:rsidRPr="00FF3938">
        <w:rPr>
          <w:rFonts w:asciiTheme="minorEastAsia" w:hAnsiTheme="minorEastAsia" w:cs="方正仿宋简体" w:hint="eastAsia"/>
          <w:iCs/>
        </w:rPr>
        <w:t>费用将从基金资产中扣除：</w:t>
      </w:r>
    </w:p>
    <w:tbl init-cell-address="true">
      <w:tblPr>
        <w:tblW w:w="5001"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7"/>
        <w:gridCol w:w="3527"/>
        <w:gridCol w:w="3520"/>
      </w:tblGrid>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b/>
                <w:bCs/>
              </w:rPr>
            </w:pPr>
            <w:r w:rsidRPr="00FF3938">
              <w:rPr>
                <w:rFonts w:asciiTheme="minorEastAsia" w:hAnsiTheme="minorEastAsia" w:cs="方正仿宋简体" w:hint="eastAsia"/>
                <w:bCs/>
                <w:iCs/>
              </w:rPr>
              <w:t>费用类别</w:t>
            </w:r>
          </w:p>
        </w:tc>
        <w:tc>
          <w:tcPr>
            <w:tcW w:w="2069" w:type="pct"/>
            <w:vAlign w:val="center"/>
          </w:tcPr>
          <w:p w:rsidR="00AD3A6F" w:rsidRPr="00FF3938" w:rsidRDefault="00A73782">
            <w:pPr>
              <w:spacing w:line="280" w:lineRule="exact"/>
              <w:jc w:val="center"/>
              <w:rPr>
                <w:rFonts w:asciiTheme="minorEastAsia" w:hAnsiTheme="minorEastAsia" w:cs="方正仿宋简体"/>
                <w:b/>
                <w:bCs/>
                <w:iCs/>
              </w:rPr>
            </w:pPr>
            <w:r w:rsidRPr="00FF3938">
              <w:rPr>
                <w:rFonts w:asciiTheme="minorEastAsia" w:hAnsiTheme="minorEastAsia" w:cs="方正仿宋简体" w:hint="eastAsia"/>
                <w:bCs/>
                <w:iCs/>
              </w:rPr>
              <w:t>收费方式/年费率或金额</w:t>
            </w:r>
          </w:p>
        </w:tc>
        <w:tc>
          <w:tcPr>
            <w:tcW w:w="2065" w:type="pct"/>
            <w:tcBorders>
              <w:bottom w:val="dashSmallGap" w:sz="4" w:space="0" w:color="808080" w:themeColor="background1" w:themeShade="80"/>
            </w:tcBorders>
            <w:vAlign w:val="center"/>
          </w:tcPr>
          <w:p w:rsidR="00AD3A6F" w:rsidRPr="00FF3938" w:rsidRDefault="00A73782">
            <w:pPr>
              <w:spacing w:line="280" w:lineRule="exact"/>
              <w:jc w:val="center"/>
              <w:rPr>
                <w:rFonts w:asciiTheme="minorEastAsia" w:hAnsiTheme="minorEastAsia" w:cs="方正仿宋简体"/>
                <w:b/>
                <w:bCs/>
                <w:iCs/>
              </w:rPr>
            </w:pPr>
            <w:r w:rsidRPr="00FF3938">
              <w:rPr>
                <w:rFonts w:asciiTheme="minorEastAsia" w:hAnsiTheme="minorEastAsia" w:cs="方正仿宋简体" w:hint="eastAsia"/>
                <w:bCs/>
                <w:iCs/>
              </w:rPr>
              <w:t>收费方</w:t>
            </w:r>
          </w:p>
        </w:tc>
      </w:tr>
      <w:tr w:rsidR="000D2645" w:rsidRPr="00FF3938" w:rsidTr="000D2645">
        <w:trPr>
          <w:trHeight w:val="454"/>
        </w:trPr>
        <w:tc>
          <w:tcPr>
            <w:tcW w:w="866" w:type="pct"/>
            <w:vAlign w:val="center"/>
          </w:tcPr>
          <w:p w:rsidR="000D2645" w:rsidRPr="00FF3938" w:rsidRDefault="000D2645">
            <w:pPr>
              <w:spacing w:line="280" w:lineRule="exact"/>
              <w:rPr>
                <w:rFonts w:asciiTheme="minorEastAsia" w:hAnsiTheme="minorEastAsia" w:cs="方正仿宋简体"/>
                <w:bCs/>
                <w:iCs/>
              </w:rPr>
            </w:pPr>
            <w:r w:rsidRPr="00FF3938">
              <w:rPr>
                <w:rFonts w:asciiTheme="minorEastAsia" w:hAnsiTheme="minorEastAsia" w:cs="方正仿宋简体" w:hint="eastAsia"/>
                <w:bCs/>
                <w:iCs/>
              </w:rPr>
              <w:t>管理费</w:t>
            </w:r>
          </w:p>
        </w:tc>
        <w:tc>
          <w:tcPr>
            <w:tcW w:w="2069" w:type="pct"/>
            <w:vAlign w:val="center"/>
          </w:tcPr>
          <w:p w:rsidR="000D2645" w:rsidRPr="00FF3938" w:rsidRDefault="00D348A5">
            <w:pPr>
              <w:spacing w:line="280" w:lineRule="exact"/>
              <w:jc w:val="center"/>
              <w:rPr>
                <w:rFonts w:asciiTheme="minorEastAsia" w:hAnsiTheme="minorEastAsia" w:cs="方正仿宋简体"/>
                <w:bCs/>
                <w:iCs/>
              </w:rPr>
            </w:pPr>
            <w:r w:rsidR="000D2645" w:rsidRPr="00FF3938">
              <w:rPr>
                <w:rFonts w:asciiTheme="minorEastAsia" w:hAnsiTheme="minorEastAsia" w:cs="方正仿宋简体" w:hint="eastAsia"/>
                <w:bCs/>
                <w:iCs/>
              </w:rPr>
              <w:t>按前一日基金资产净值扣除基金资产中目标ETF份额所对应资产净值后剩余部分的年费率计提。0.50%</w:t>
            </w:r>
            <w:r w:rsidR="000D2645" w:rsidRPr="00FF3938">
              <w:rPr>
                <w:rFonts w:asciiTheme="minorEastAsia" w:hAnsiTheme="minorEastAsia" w:cs="方正仿宋简体" w:hint="eastAsia"/>
                <w:bCs/>
                <w:iCs/>
              </w:rPr>
              <w:t xml:space="preserve"> </w:t>
            </w:r>
            <w:r w:rsidR="000D2645" w:rsidRPr="00FF3938">
              <w:rPr>
                <w:rFonts w:asciiTheme="minorEastAsia" w:hAnsiTheme="minorEastAsia" w:hint="eastAsia"/>
                <w:color w:val="333399"/>
              </w:rPr>
              <w:t/>
            </w:r>
          </w:p>
        </w:tc>
        <w:tc>
          <w:tcPr>
            <w:tcW w:w="2065" w:type="pct"/>
            <w:tcBorders>
              <w:top w:val="dashSmallGap" w:sz="4" w:space="0" w:color="808080" w:themeColor="background1" w:themeShade="80"/>
            </w:tcBorders>
            <w:vAlign w:val="center"/>
          </w:tcPr>
          <w:p w:rsidR="000D2645" w:rsidRPr="00FF3938" w:rsidRDefault="00D348A5" w:rsidP="000D2645">
            <w:pPr>
              <w:spacing w:line="280" w:lineRule="exact"/>
              <w:jc w:val="center"/>
              <w:rPr>
                <w:rFonts w:asciiTheme="minorEastAsia" w:hAnsiTheme="minorEastAsia" w:cs="方正仿宋简体"/>
                <w:bCs/>
                <w:iCs/>
              </w:rPr>
            </w:pPr>
            <w:r w:rsidR="000D2645" w:rsidRPr="00FF3938">
              <w:rPr>
                <w:rFonts w:asciiTheme="minorEastAsia" w:hAnsiTheme="minorEastAsia" w:cs="方正仿宋简体" w:hint="eastAsia"/>
                <w:bCs/>
                <w:iCs/>
              </w:rPr>
              <w:t>基金管理人、销售机构</w:t>
            </w:r>
          </w:p>
        </w:tc>
      </w:tr>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bCs/>
                <w:iCs/>
              </w:rPr>
            </w:pPr>
            <w:r w:rsidRPr="00FF3938">
              <w:rPr>
                <w:rFonts w:asciiTheme="minorEastAsia" w:hAnsiTheme="minorEastAsia" w:cs="方正仿宋简体" w:hint="eastAsia"/>
                <w:bCs/>
                <w:iCs/>
              </w:rPr>
              <w:t>托管费</w:t>
            </w:r>
          </w:p>
        </w:tc>
        <w:tc>
          <w:tcPr>
            <w:tcW w:w="2069" w:type="pct"/>
            <w:vAlign w:val="center"/>
          </w:tcPr>
          <w:p w:rsidR="00AD3A6F" w:rsidRPr="00FF3938" w:rsidRDefault="00D348A5">
            <w:pPr>
              <w:spacing w:line="280" w:lineRule="exact"/>
              <w:jc w:val="center"/>
              <w:rPr>
                <w:rFonts w:asciiTheme="minorEastAsia" w:hAnsiTheme="minorEastAsia" w:cs="方正仿宋简体"/>
                <w:bCs/>
                <w:iCs/>
              </w:rPr>
            </w:pPr>
            <w:r w:rsidR="00A73782" w:rsidRPr="00FF3938">
              <w:rPr>
                <w:rFonts w:asciiTheme="minorEastAsia" w:hAnsiTheme="minorEastAsia" w:cs="方正仿宋简体" w:hint="eastAsia"/>
                <w:bCs/>
                <w:iCs/>
              </w:rPr>
              <w:t>按前一日基金资产净值扣除基金资产中目标ETF份额所对应资产净值后剩余部分的年费率计提。0.10%</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p>
        </w:tc>
        <w:tc>
          <w:tcPr>
            <w:tcW w:w="2065" w:type="pct"/>
            <w:vAlign w:val="center"/>
          </w:tcPr>
          <w:p w:rsidR="00AD3A6F" w:rsidRPr="00FF3938" w:rsidRDefault="00A73782">
            <w:pPr>
              <w:spacing w:line="280" w:lineRule="exact"/>
              <w:jc w:val="center"/>
              <w:rPr>
                <w:rFonts w:asciiTheme="minorEastAsia" w:hAnsiTheme="minorEastAsia" w:cs="方正仿宋简体"/>
                <w:bCs/>
                <w:iCs/>
              </w:rPr>
            </w:pPr>
            <w:r w:rsidRPr="00FF3938">
              <w:rPr>
                <w:rFonts w:asciiTheme="minorEastAsia" w:hAnsiTheme="minorEastAsia" w:cs="方正仿宋简体" w:hint="eastAsia"/>
                <w:bCs/>
                <w:iCs/>
              </w:rPr>
              <w:t>基金托管人</w:t>
            </w:r>
          </w:p>
        </w:tc>
      </w:tr>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bCs/>
                <w:iCs/>
              </w:rPr>
              <w:t>销售服务费</w:t>
            </w:r>
            <w:r w:rsidRPr="00FF3938">
              <w:rPr>
                <w:rFonts w:asciiTheme="minorEastAsia" w:hAnsiTheme="minorEastAsia" w:cs="方正仿宋简体" w:hint="eastAsia"/>
                <w:iCs/>
              </w:rPr>
              <w:t/>
            </w:r>
            <w:r w:rsidRPr="00FF3938">
              <w:rPr>
                <w:rFonts w:asciiTheme="minorEastAsia" w:hAnsiTheme="minorEastAsia" w:cs="方正仿宋简体" w:hint="eastAsia"/>
                <w:iCs/>
              </w:rPr>
              <w:t/>
            </w:r>
            <w:r w:rsidRPr="00FF3938">
              <w:rPr>
                <w:rFonts w:asciiTheme="minorEastAsia" w:hAnsiTheme="minorEastAsia" w:cs="方正仿宋简体" w:hint="eastAsia"/>
                <w:iCs/>
              </w:rPr>
              <w:t/>
            </w:r>
          </w:p>
        </w:tc>
        <w:tc>
          <w:tcPr>
            <w:tcW w:w="2069" w:type="pct"/>
            <w:vAlign w:val="center"/>
          </w:tcPr>
          <w:p w:rsidR="00AD3A6F" w:rsidRPr="00FF3938" w:rsidRDefault="00D348A5">
            <w:pPr>
              <w:spacing w:line="280" w:lineRule="exact"/>
              <w:jc w:val="center"/>
              <w:rPr>
                <w:rFonts w:asciiTheme="minorEastAsia" w:hAnsiTheme="minorEastAsia" w:cs="方正仿宋简体"/>
                <w:bCs/>
                <w:iCs/>
              </w:rPr>
            </w:pPr>
            <w:r w:rsidR="00A73782" w:rsidRPr="00FF3938">
              <w:rPr>
                <w:rFonts w:asciiTheme="minorEastAsia" w:hAnsiTheme="minorEastAsia" w:cs="方正仿宋简体" w:hint="eastAsia"/>
                <w:bCs/>
                <w:iCs/>
              </w:rPr>
              <w:t>固定费率0.20%</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p>
        </w:tc>
        <w:tc>
          <w:tcPr>
            <w:tcW w:w="2065" w:type="pct"/>
            <w:vAlign w:val="center"/>
          </w:tcPr>
          <w:p w:rsidR="00AD3A6F" w:rsidRPr="00FF3938" w:rsidRDefault="00A73782">
            <w:pPr>
              <w:spacing w:line="280" w:lineRule="exact"/>
              <w:jc w:val="center"/>
              <w:rPr>
                <w:rFonts w:asciiTheme="minorEastAsia" w:hAnsiTheme="minorEastAsia" w:cs="方正仿宋简体"/>
                <w:bCs/>
                <w:iCs/>
              </w:rPr>
            </w:pPr>
            <w:r w:rsidRPr="00FF3938">
              <w:rPr>
                <w:rFonts w:asciiTheme="minorEastAsia" w:hAnsiTheme="minorEastAsia" w:cs="方正仿宋简体" w:hint="eastAsia"/>
                <w:bCs/>
                <w:iCs/>
              </w:rPr>
              <w:t>销售机构</w:t>
            </w:r>
          </w:p>
        </w:tc>
      </w:tr>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bCs/>
                <w:iCs/>
              </w:rPr>
              <w:t>审计费用</w:t>
            </w:r>
          </w:p>
        </w:tc>
        <w:tc>
          <w:tcPr>
            <w:tcW w:w="2069" w:type="pct"/>
            <w:vAlign w:val="center"/>
          </w:tcPr>
          <w:p w:rsidR="00AD3A6F" w:rsidRPr="00FF3938" w:rsidRDefault="00D348A5">
            <w:pPr>
              <w:spacing w:line="280" w:lineRule="exact"/>
              <w:jc w:val="center"/>
              <w:rPr>
                <w:rFonts w:asciiTheme="minorEastAsia" w:hAnsiTheme="minorEastAsia" w:cs="方正仿宋简体"/>
                <w:bCs/>
                <w:iCs/>
              </w:rPr>
            </w:pPr>
            <w:r w:rsidR="00A73782" w:rsidRPr="00FF3938">
              <w:rPr>
                <w:rFonts w:asciiTheme="minorEastAsia" w:hAnsiTheme="minorEastAsia" w:cs="方正仿宋简体" w:hint="eastAsia"/>
                <w:bCs/>
                <w:iCs/>
              </w:rPr>
              <w:t>暂无</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p>
        </w:tc>
        <w:tc>
          <w:tcPr>
            <w:tcW w:w="2065" w:type="pct"/>
            <w:vAlign w:val="center"/>
          </w:tcPr>
          <w:p w:rsidR="00AD3A6F" w:rsidRPr="00FF3938" w:rsidRDefault="00A73782">
            <w:pPr>
              <w:spacing w:line="280" w:lineRule="exact"/>
              <w:jc w:val="center"/>
              <w:rPr>
                <w:rFonts w:asciiTheme="minorEastAsia" w:hAnsiTheme="minorEastAsia" w:cs="方正仿宋简体"/>
                <w:bCs/>
                <w:iCs/>
              </w:rPr>
            </w:pPr>
            <w:r w:rsidRPr="00FF3938">
              <w:rPr>
                <w:rFonts w:asciiTheme="minorEastAsia" w:hAnsiTheme="minorEastAsia" w:cs="方正仿宋简体" w:hint="eastAsia"/>
                <w:bCs/>
                <w:iCs/>
              </w:rPr>
              <w:t>会计师事务所</w:t>
            </w:r>
          </w:p>
        </w:tc>
      </w:tr>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bCs/>
                <w:iCs/>
              </w:rPr>
              <w:t>信息披露费</w:t>
            </w:r>
          </w:p>
        </w:tc>
        <w:tc>
          <w:tcPr>
            <w:tcW w:w="2069" w:type="pct"/>
            <w:vAlign w:val="center"/>
          </w:tcPr>
          <w:p w:rsidR="00AD3A6F" w:rsidRPr="00FF3938" w:rsidRDefault="00D348A5">
            <w:pPr>
              <w:spacing w:line="280" w:lineRule="exact"/>
              <w:jc w:val="center"/>
              <w:rPr>
                <w:rFonts w:asciiTheme="minorEastAsia" w:hAnsiTheme="minorEastAsia" w:cs="方正仿宋简体"/>
                <w:bCs/>
                <w:iCs/>
              </w:rPr>
            </w:pPr>
            <w:r w:rsidR="00A73782" w:rsidRPr="00FF3938">
              <w:rPr>
                <w:rFonts w:asciiTheme="minorEastAsia" w:hAnsiTheme="minorEastAsia" w:cs="方正仿宋简体" w:hint="eastAsia"/>
                <w:bCs/>
                <w:iCs/>
              </w:rPr>
              <w:t>暂无</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p>
        </w:tc>
        <w:tc>
          <w:tcPr>
            <w:tcW w:w="2065" w:type="pct"/>
            <w:vAlign w:val="center"/>
          </w:tcPr>
          <w:p w:rsidR="00AD3A6F" w:rsidRPr="00FF3938" w:rsidRDefault="00A73782">
            <w:pPr>
              <w:spacing w:line="280" w:lineRule="exact"/>
              <w:jc w:val="center"/>
              <w:rPr>
                <w:rFonts w:asciiTheme="minorEastAsia" w:hAnsiTheme="minorEastAsia" w:cs="方正仿宋简体"/>
                <w:bCs/>
                <w:iCs/>
              </w:rPr>
            </w:pPr>
            <w:r w:rsidRPr="00FF3938">
              <w:rPr>
                <w:rFonts w:asciiTheme="minorEastAsia" w:hAnsiTheme="minorEastAsia" w:cs="方正仿宋简体" w:hint="eastAsia"/>
                <w:bCs/>
                <w:iCs/>
              </w:rPr>
              <w:t>规定披露报刊</w:t>
            </w:r>
          </w:p>
        </w:tc>
      </w:tr>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其他费用</w:t>
            </w:r>
          </w:p>
        </w:tc>
        <w:tc>
          <w:tcPr>
            <w:tcW w:w="2069" w:type="pct"/>
            <w:vAlign w:val="center"/>
          </w:tcPr>
          <w:p w:rsidR="00AD3A6F" w:rsidRPr="00FF3938" w:rsidRDefault="00D348A5">
            <w:pPr>
              <w:spacing w:line="280" w:lineRule="exact"/>
              <w:jc w:val="center"/>
              <w:rPr>
                <w:rFonts w:asciiTheme="minorEastAsia" w:hAnsiTheme="minorEastAsia" w:cs="方正仿宋简体"/>
                <w:bCs/>
                <w:iCs/>
              </w:rPr>
            </w:pPr>
            <w:r w:rsidR="00A73782" w:rsidRPr="00FF3938">
              <w:rPr>
                <w:rFonts w:asciiTheme="minorEastAsia" w:hAnsiTheme="minorEastAsia" w:cs="方正仿宋简体" w:hint="eastAsia"/>
                <w:bCs/>
                <w:iCs/>
              </w:rPr>
              <w:t>基金合同生效后与本基金相关的律师费、基金份额持有人大会费用等可以在基金财产中列支的其他费用按照国家有关规定和《基金合同》约定在基金财产中列支。费用类别详见本基金基金合同及招募说明书或其更新。</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p>
        </w:tc>
        <w:tc>
          <w:tcPr>
            <w:tcW w:w="2065" w:type="pct"/>
            <w:vAlign w:val="center"/>
          </w:tcPr>
          <w:p w:rsidR="00AD3A6F" w:rsidRPr="00FF3938" w:rsidRDefault="00A73782">
            <w:pPr>
              <w:spacing w:line="280" w:lineRule="exact"/>
              <w:jc w:val="center"/>
              <w:rPr>
                <w:rFonts w:asciiTheme="minorEastAsia" w:hAnsiTheme="minorEastAsia" w:cs="方正仿宋简体"/>
                <w:bCs/>
                <w:iCs/>
              </w:rPr>
            </w:pPr>
            <w:r w:rsidRPr="00FF3938">
              <w:rPr>
                <w:rFonts w:asciiTheme="minorEastAsia" w:hAnsiTheme="minorEastAsia" w:cs="方正仿宋简体" w:hint="eastAsia"/>
                <w:bCs/>
                <w:iCs/>
              </w:rPr>
              <w:t>相关服务机构</w:t>
            </w:r>
          </w:p>
        </w:tc>
      </w:tr>
    </w:tbl>
    <w:p w:rsidR="00AD3A6F" w:rsidRPr="00FF3938" w:rsidRDefault="00D348A5" w:rsidP="00853770">
      <w:pPr>
        <w:autoSpaceDE w:val="0"/>
        <w:autoSpaceDN w:val="0"/>
        <w:adjustRightInd w:val="0"/>
        <w:spacing w:line="360" w:lineRule="auto"/>
        <w:ind w:leftChars="200" w:left="420"/>
        <w:jc w:val="left"/>
        <w:rPr>
          <w:rFonts w:asciiTheme="minorEastAsia" w:hAnsiTheme="minorEastAsia" w:cs="方正仿宋简体"/>
          <w:bCs/>
          <w:iCs/>
        </w:rPr>
      </w:pPr>
      <w:r w:rsidR="00A73782" w:rsidRPr="00FF3938">
        <w:rPr>
          <w:rFonts w:asciiTheme="minorEastAsia" w:hAnsiTheme="minorEastAsia" w:cs="方正仿宋简体" w:hint="eastAsia"/>
          <w:bCs/>
          <w:iCs/>
        </w:rPr>
        <w:t>注：</w:t>
      </w:r>
      <w:r w:rsidR="00A73782" w:rsidRPr="00FF3938">
        <w:rPr>
          <w:rFonts w:asciiTheme="minorEastAsia" w:hAnsiTheme="minorEastAsia" w:cs="方正仿宋简体" w:hint="eastAsia"/>
          <w:bCs/>
          <w:iCs/>
        </w:rPr>
        <w:t>①本基金交易证券、基金等产生的费用和税负，按实际发生额从基金资产扣除。</w:t>
        <w:br/>
        <w:t>②管理费、托管费为最新合同费率。</w:t>
        <w:br/>
        <w:t>③基金管理人销售其管理的基金，不得收取销售服务费。华夏财富按照本条要求执行。④对于投资者在其他代销机构持续持有期限超过一年的C类基金份额，不继续收取销售 服务费。详见招募说明书的规定。</w:t>
        <w:br/>
        <w:t>⑤审计费用、信息披露费用为由基金整体承担的年费用金额，非单个份额类别费用。上表年费用金额为产品资料概要更新编制日所在年度的当年度初始预估年费用金额，非实际产生费用金额，实际由基金资产承担的审计费和信息披露费可能与预估值存在差异，最终实际金额以基金定期报告披露为准。</w:t>
        <w:br/>
        <w:t>⑥销售服务费为最新合同费率，不含费率优惠。</w:t>
      </w:r>
    </w:p>
    <w:p w:rsidR="00AD3A6F" w:rsidRPr="00FF3938" w:rsidRDefault="00AD3A6F">
      <w:pPr>
        <w:autoSpaceDE w:val="0"/>
        <w:autoSpaceDN w:val="0"/>
        <w:adjustRightInd w:val="0"/>
        <w:spacing w:line="280" w:lineRule="exact"/>
        <w:jc w:val="left"/>
        <w:rPr>
          <w:rFonts w:asciiTheme="minorEastAsia" w:hAnsiTheme="minorEastAsia" w:cs="仿宋_GB2312"/>
          <w:kern w:val="0"/>
          <w:szCs w:val="24"/>
        </w:rPr>
      </w:pPr>
    </w:p>
    <w:p w:rsidR="00AD3A6F" w:rsidRPr="00FF3938" w:rsidRDefault="00A73782" gbicc:emptyAbove="1" gbicc:outlineLvl="1" gbicc:pid="22">
      <w:pPr gbicc:listString="（三）" gbicc:numText="（%1）" gbicc:numFmt="J" gbicc:numVal="3" gbicc:numId="25">
        <w:pStyle w:val="a8"/>
        <w:numPr>
          <w:ilvl w:val="0"/>
          <w:numId w:val="25"/>
        </w:numPr>
        <w:spacing w:line="340" w:lineRule="exact"/>
        <w:ind w:firstLineChars="0"/>
        <w:outlineLvl w:val="1"/>
        <w:rPr>
          <w:rFonts w:asciiTheme="minorEastAsia" w:hAnsiTheme="minorEastAsia" w:cs="方正仿宋简体"/>
          <w:b/>
          <w:iCs/>
          <w:sz w:val="24"/>
          <w:szCs w:val="24"/>
        </w:rPr>
      </w:pPr>
      <w:r w:rsidRPr="00FF3938">
        <w:rPr>
          <w:rFonts w:asciiTheme="minorEastAsia" w:hAnsiTheme="minorEastAsia" w:cs="方正仿宋简体"/>
          <w:b/>
          <w:iCs/>
          <w:sz w:val="24"/>
          <w:szCs w:val="24"/>
        </w:rPr>
        <w:t>基金运作综合费用测算</w:t>
      </w:r>
    </w:p>
    <!--PH-->
    <w:p w:rsidR="00AD3A6F" w:rsidRPr="00FF3938" w:rsidRDefault="00D348A5" w:rsidP="001A606F">
      <w:pPr>
        <w:autoSpaceDE w:val="0"/>
        <w:autoSpaceDN w:val="0"/>
        <w:adjustRightInd w:val="0"/>
        <w:spacing w:line="360" w:lineRule="auto"/>
        <w:ind w:leftChars="200" w:left="420"/>
        <w:jc w:val="left"/>
        <w:rPr>
          <w:rFonts w:asciiTheme="minorEastAsia" w:hAnsiTheme="minorEastAsia" w:cs="仿宋_GB2312"/>
          <w:kern w:val="0"/>
          <w:szCs w:val="24"/>
        </w:rPr>
      </w:pPr>
      <w:r w:rsidR="00A73782" w:rsidRPr="00FF3938">
        <w:rPr>
          <w:rFonts w:asciiTheme="minorEastAsia" w:hAnsiTheme="minorEastAsia" w:cs="仿宋_GB2312" w:hint="eastAsia"/>
          <w:kern w:val="0"/>
          <w:szCs w:val="24"/>
        </w:rPr>
        <w:t>暂无。</w:t>
      </w:r>
    </w:p>
    <w:p w:rsidR="00AD3A6F" w:rsidRPr="00956462" w:rsidRDefault="00AD3A6F">
      <w:pPr>
        <w:autoSpaceDE w:val="0"/>
        <w:autoSpaceDN w:val="0"/>
        <w:adjustRightInd w:val="0"/>
        <w:spacing w:line="280" w:lineRule="exact"/>
        <w:jc w:val="left"/>
        <w:rPr>
          <w:rFonts w:asciiTheme="minorEastAsia" w:hAnsiTheme="minorEastAsia" w:cs="仿宋_GB2312"/>
          <w:kern w:val="0"/>
          <w:szCs w:val="24"/>
        </w:rPr>
      </w:pPr>
    </w:p>
    <w:p w:rsidR="00AD3A6F" w:rsidRPr="006C055A" w:rsidRDefault="00A73782" gbicc:emptyAbove="1" gbicc:outlineLvl="0" gbicc:pid="23">
      <w:pPr gbicc:listString="四、" gbicc:numText="%1、" gbicc:numFmt="C" gbicc:numVal="4" gbicc:numId="10">
        <w:numPr>
          <w:ilvl w:val="0"/>
          <w:numId w:val="10"/>
        </w:numPr>
        <w:spacing w:line="280" w:lineRule="exact"/>
        <w:outlineLvl w:val="0"/>
        <w:rPr>
          <w:rFonts w:asciiTheme="minorEastAsia" w:hAnsiTheme="minorEastAsia" w:cs="方正仿宋简体"/>
          <w:b/>
          <w:iCs/>
          <w:sz w:val="24"/>
          <w:szCs w:val="24"/>
        </w:rPr>
      </w:pPr>
      <w:r w:rsidRPr="006C055A">
        <w:rPr>
          <w:rFonts w:asciiTheme="minorEastAsia" w:hAnsiTheme="minorEastAsia" w:cs="方正仿宋简体" w:hint="eastAsia"/>
          <w:b/>
          <w:iCs/>
          <w:sz w:val="24"/>
          <w:szCs w:val="24"/>
        </w:rPr>
        <w:t>风险揭示与重要提示</w:t>
      </w:r>
    </w:p>
    <w:p w:rsidR="00AD3A6F" w:rsidRPr="006C055A" w:rsidRDefault="00A73782" gbicc:outlineLvl="1" gbicc:pid="24">
      <w:pPr>
        <w:spacing w:line="280" w:lineRule="exact"/>
        <w:outlineLvl w:val="1"/>
        <w:rPr>
          <w:rFonts w:asciiTheme="minorEastAsia" w:hAnsiTheme="minorEastAsia"/>
          <w:color w:val="0000FF"/>
          <w:kern w:val="0"/>
          <w:sz w:val="18"/>
        </w:rPr>
      </w:pPr>
      <w:r w:rsidRPr="006C055A">
        <w:rPr>
          <w:rFonts w:asciiTheme="minorEastAsia" w:hAnsiTheme="minorEastAsia" w:cs="方正仿宋简体" w:hint="eastAsia"/>
          <w:b/>
          <w:bCs/>
          <w:iCs/>
          <w:sz w:val="24"/>
          <w:szCs w:val="24"/>
        </w:rPr>
        <w:t>（一）风险揭示</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本基金不提供任何保证。投资者可能损失投资本金。</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投资有风险，投资者购买基金时应认真阅读本基金的《招募说明书》等销售文件。</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投资于证券市场，基金净值会因为证券市场波动等因素产生波动，投资者根据所持有的基金份额享受基金收益，同时承担相应的投资风险。本基金投资中的风险包括：联接基金风险，跟踪偏离风险，与目标ETF业绩差异的风险，指数编制机构停止服务的风险，标的指数变更的风险，成份股停牌或退市的风险，市场风险，流动性风险，管理风险，衍生品投资风险，资产支持证券投资风险，流通受限证券投资风险，参与转融通证券出借业务的风险，操作或技术风险，政策变更风险，实施侧袋机制对投资者的影响，存托凭证投资风险，其他风险等。</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本基金为ETF联接基金，基金资产主要投资于目标ETF，在多数情况下将维持较高的目标ETF投资比例，基金净值可能会随目标ETF的净值波动而波动，目标ETF的相关风险可能直接或间接成为本基金的风险。</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本基金可投资存托凭证，基金净值可能受到存托凭证的境外基础证券价格波动影响，存托凭证的境外基础证券的相关风险可能直接或间接成为本基金的风险。</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当基金持有特定资产且存在或潜在大额赎回申请时，基金管理人可能依照法律法规及基金合同的约定启用侧袋机制。侧袋机制实施期间，基金管理人将对基金简称进行特殊标识，暂停披露侧袋账户份额净值，不办理侧袋账户的申购赎回。侧袋账户对应特定资产的变现时间和最终变现价格都具有不确定性，并且有可能变现价格大幅低于启用侧袋机制时的特定资产的估值，基金份额持有人可能因此面临损失。</w:t>
      </w:r>
    </w:p>
    <w:p w:rsidR="00AD3A6F" w:rsidRPr="006C055A" w:rsidRDefault="00A73782" gbicc:outlineLvl="1" gbicc:pid="25">
      <w:pPr>
        <w:spacing w:line="280" w:lineRule="exact"/>
        <w:outlineLvl w:val="1"/>
        <w:rPr>
          <w:rFonts w:asciiTheme="minorEastAsia" w:hAnsiTheme="minorEastAsia" w:cs="方正仿宋简体"/>
          <w:b/>
          <w:iCs/>
          <w:sz w:val="22"/>
          <w:szCs w:val="24"/>
        </w:rPr>
      </w:pPr>
      <w:r w:rsidRPr="006C055A">
        <w:rPr>
          <w:rFonts w:asciiTheme="minorEastAsia" w:hAnsiTheme="minorEastAsia" w:cs="方正仿宋简体" w:hint="eastAsia"/>
          <w:b/>
          <w:iCs/>
          <w:sz w:val="24"/>
          <w:szCs w:val="24"/>
        </w:rPr>
        <w:t>（二）重要提示</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中国证监会对本基金募集的注册或核准，并不表明其对本基金的价值和收益作出实质性判断或保证，也不表明投资于本基金没有风险。</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基金管理人依照恪尽职守、诚实信用、谨慎勤勉的原则管理和运用基金财产，但不保证基金一定盈利，也不保证最低收益。</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基金的过往业绩不代表未来表现。</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基金销售相关费用中的认购/申购金额含认购/申购费。</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基金投资者自依基金合同取得基金份额，即成为基金份额持有人和基金合同的当事人。</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基金投资人请认真阅读基金合同的争议处理相关章节，充分了解本基金争议处理的相关事项。</w:t>
      </w:r>
    </w:p>
    <w:p w:rsidR="00AD3A6F" w:rsidRDefault="00AD3A6F">
      <w:pPr>
        <w:autoSpaceDE w:val="0"/>
        <w:autoSpaceDN w:val="0"/>
        <w:adjustRightInd w:val="0"/>
        <w:spacing w:line="280" w:lineRule="exact"/>
        <w:jc w:val="left"/>
        <w:rPr>
          <w:rFonts w:ascii="方正仿宋简体" w:eastAsia="方正仿宋简体"/>
        </w:rPr>
      </w:pPr>
    </w:p>
    <w:p w:rsidR="00AD3A6F" w:rsidRPr="006C055A" w:rsidRDefault="00A73782" gbicc:emptyAbove="1" gbicc:outlineLvl="0" gbicc:pid="26">
      <w:pPr gbicc:listString="五、" gbicc:numText="%1、" gbicc:numFmt="C" gbicc:numVal="5" gbicc:numId="10">
        <w:numPr>
          <w:ilvl w:val="0"/>
          <w:numId w:val="10"/>
        </w:numPr>
        <w:spacing w:line="280" w:lineRule="exact"/>
        <w:outlineLvl w:val="0"/>
        <w:rPr>
          <w:rFonts w:asciiTheme="minorEastAsia" w:hAnsiTheme="minorEastAsia" w:cs="方正仿宋简体"/>
          <w:b/>
          <w:iCs/>
          <w:sz w:val="24"/>
          <w:szCs w:val="24"/>
        </w:rPr>
      </w:pPr>
      <w:r w:rsidRPr="006C055A">
        <w:rPr>
          <w:rFonts w:asciiTheme="minorEastAsia" w:hAnsiTheme="minorEastAsia" w:cs="方正仿宋简体" w:hint="eastAsia"/>
          <w:b/>
          <w:iCs/>
          <w:sz w:val="24"/>
          <w:szCs w:val="24"/>
        </w:rPr>
        <w:t>其他资料查询方式</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以下资料详见基金管理人网站[www.ChinaAMC.com][ 400-818-6666]：</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1、基金合同、托管协议、招募说明书</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2、定期报告，包括基金季度报告、中期报告和年度报告</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3、基金份额净值</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4、基金销售机构及联系方式</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5、其他重要资料</w:t>
      </w:r>
    </w:p>
    <w:p w:rsidR="00AD3A6F" w:rsidRDefault="00AD3A6F">
      <w:pPr>
        <w:autoSpaceDE w:val="0"/>
        <w:autoSpaceDN w:val="0"/>
        <w:adjustRightInd w:val="0"/>
        <w:spacing w:line="280" w:lineRule="exact"/>
        <w:jc w:val="left"/>
        <w:rPr>
          <w:rFonts w:ascii="方正仿宋简体" w:eastAsia="方正仿宋简体"/>
        </w:rPr>
      </w:pPr>
    </w:p>
    <w:sectPr w:rsidR="00AD3A6F">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8A5" w:rsidRDefault="00D348A5" w:rsidP="0092395F">
      <w:r>
        <w:separator/>
      </w:r>
    </w:p>
  </w:endnote>
  <w:endnote w:type="continuationSeparator" w:id="0">
    <w:p w:rsidR="00D348A5" w:rsidRDefault="00D348A5"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7C553E" w:rsidRDefault="007C553E"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355EA">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355EA">
              <w:rPr>
                <w:b/>
                <w:bCs/>
                <w:noProof/>
              </w:rPr>
              <w:t>23</w:t>
            </w:r>
            <w:r>
              <w:rPr>
                <w:b/>
                <w:bCs/>
                <w:sz w:val="24"/>
                <w:szCs w:val="24"/>
              </w:rPr>
              <w:fldChar w:fldCharType="end"/>
            </w:r>
          </w:p>
        </w:sdtContent>
      </w:sdt>
    </w:sdtContent>
  </w:sdt>
  <w:p w:rsidR="007C553E" w:rsidRDefault="007C553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8A5" w:rsidRDefault="00D348A5" w:rsidP="0092395F">
      <w:r>
        <w:separator/>
      </w:r>
    </w:p>
  </w:footnote>
  <w:footnote w:type="continuationSeparator" w:id="0">
    <w:p w:rsidR="00D348A5" w:rsidRDefault="00D348A5" w:rsidP="009239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3F84"/>
    <w:rsid w:val="00064C2C"/>
    <w:rsid w:val="0006546B"/>
    <w:rsid w:val="00065CA6"/>
    <w:rsid w:val="0006758E"/>
    <w:rsid w:val="000676AA"/>
    <w:rsid w:val="00070564"/>
    <w:rsid w:val="000707F5"/>
    <w:rsid w:val="00071412"/>
    <w:rsid w:val="000732D3"/>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0BA4"/>
    <w:rsid w:val="000B4934"/>
    <w:rsid w:val="000B672F"/>
    <w:rsid w:val="000C0D50"/>
    <w:rsid w:val="000C0D79"/>
    <w:rsid w:val="000C3D2A"/>
    <w:rsid w:val="000C3D96"/>
    <w:rsid w:val="000C4A85"/>
    <w:rsid w:val="000C4BCD"/>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632"/>
    <w:rsid w:val="0016394B"/>
    <w:rsid w:val="00163A1B"/>
    <w:rsid w:val="00165561"/>
    <w:rsid w:val="001664CE"/>
    <w:rsid w:val="00166CB3"/>
    <w:rsid w:val="00171A01"/>
    <w:rsid w:val="00172DE2"/>
    <w:rsid w:val="001735C4"/>
    <w:rsid w:val="00173ADD"/>
    <w:rsid w:val="00174334"/>
    <w:rsid w:val="001752EA"/>
    <w:rsid w:val="00175D2C"/>
    <w:rsid w:val="00176B87"/>
    <w:rsid w:val="00177627"/>
    <w:rsid w:val="001777C9"/>
    <w:rsid w:val="00177C56"/>
    <w:rsid w:val="00177DFE"/>
    <w:rsid w:val="00183372"/>
    <w:rsid w:val="00184B5C"/>
    <w:rsid w:val="00186980"/>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606F"/>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4DC"/>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C4A"/>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2AE"/>
    <w:rsid w:val="0023065E"/>
    <w:rsid w:val="00231814"/>
    <w:rsid w:val="00233FB5"/>
    <w:rsid w:val="002340C5"/>
    <w:rsid w:val="002343A0"/>
    <w:rsid w:val="002343D4"/>
    <w:rsid w:val="002349DA"/>
    <w:rsid w:val="00234B78"/>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11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075F8"/>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3D02"/>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2D7F"/>
    <w:rsid w:val="003E45BE"/>
    <w:rsid w:val="003E4F18"/>
    <w:rsid w:val="003E66A5"/>
    <w:rsid w:val="003E6956"/>
    <w:rsid w:val="003E78BD"/>
    <w:rsid w:val="003E7F21"/>
    <w:rsid w:val="003F1DE3"/>
    <w:rsid w:val="003F324E"/>
    <w:rsid w:val="003F42E1"/>
    <w:rsid w:val="003F56C3"/>
    <w:rsid w:val="003F6EF3"/>
    <w:rsid w:val="00401E99"/>
    <w:rsid w:val="00402B28"/>
    <w:rsid w:val="00402BB8"/>
    <w:rsid w:val="00403885"/>
    <w:rsid w:val="004038C4"/>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0ECE"/>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B35A1"/>
    <w:rsid w:val="004B3925"/>
    <w:rsid w:val="004B5C77"/>
    <w:rsid w:val="004B5D91"/>
    <w:rsid w:val="004C1178"/>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0C8"/>
    <w:rsid w:val="00555C70"/>
    <w:rsid w:val="00555F7D"/>
    <w:rsid w:val="005610BB"/>
    <w:rsid w:val="005622C8"/>
    <w:rsid w:val="005626F8"/>
    <w:rsid w:val="00562E85"/>
    <w:rsid w:val="00563BCF"/>
    <w:rsid w:val="00563EC0"/>
    <w:rsid w:val="0056468E"/>
    <w:rsid w:val="00565C2C"/>
    <w:rsid w:val="00571BD4"/>
    <w:rsid w:val="00571F09"/>
    <w:rsid w:val="00572E76"/>
    <w:rsid w:val="00573C77"/>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A6DF3"/>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2422"/>
    <w:rsid w:val="0060316A"/>
    <w:rsid w:val="00605BCB"/>
    <w:rsid w:val="00605F01"/>
    <w:rsid w:val="006069E6"/>
    <w:rsid w:val="006112A2"/>
    <w:rsid w:val="00611FAF"/>
    <w:rsid w:val="0061345D"/>
    <w:rsid w:val="00614CA3"/>
    <w:rsid w:val="00617AA0"/>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2D5"/>
    <w:rsid w:val="006613FB"/>
    <w:rsid w:val="0066183D"/>
    <w:rsid w:val="00661D67"/>
    <w:rsid w:val="006633F2"/>
    <w:rsid w:val="006646B8"/>
    <w:rsid w:val="00665726"/>
    <w:rsid w:val="006658F5"/>
    <w:rsid w:val="00666C3D"/>
    <w:rsid w:val="00667E4B"/>
    <w:rsid w:val="00670B3A"/>
    <w:rsid w:val="006710A4"/>
    <w:rsid w:val="006714C9"/>
    <w:rsid w:val="00673295"/>
    <w:rsid w:val="0067358F"/>
    <w:rsid w:val="00675942"/>
    <w:rsid w:val="00676029"/>
    <w:rsid w:val="006762E2"/>
    <w:rsid w:val="00677271"/>
    <w:rsid w:val="00680E28"/>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5214"/>
    <w:rsid w:val="006A6105"/>
    <w:rsid w:val="006A6462"/>
    <w:rsid w:val="006A668D"/>
    <w:rsid w:val="006A71AF"/>
    <w:rsid w:val="006A7AFE"/>
    <w:rsid w:val="006B1B03"/>
    <w:rsid w:val="006B26D3"/>
    <w:rsid w:val="006B2E95"/>
    <w:rsid w:val="006B3403"/>
    <w:rsid w:val="006B697B"/>
    <w:rsid w:val="006C055A"/>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65F"/>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5E1"/>
    <w:rsid w:val="007B0632"/>
    <w:rsid w:val="007B1E0F"/>
    <w:rsid w:val="007B23C7"/>
    <w:rsid w:val="007B3B56"/>
    <w:rsid w:val="007B3EC6"/>
    <w:rsid w:val="007B487D"/>
    <w:rsid w:val="007B4E50"/>
    <w:rsid w:val="007B693B"/>
    <w:rsid w:val="007B6F65"/>
    <w:rsid w:val="007C0C2E"/>
    <w:rsid w:val="007C0E0D"/>
    <w:rsid w:val="007C553E"/>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4B2B"/>
    <w:rsid w:val="008473B0"/>
    <w:rsid w:val="00847637"/>
    <w:rsid w:val="008503E1"/>
    <w:rsid w:val="00850420"/>
    <w:rsid w:val="00850654"/>
    <w:rsid w:val="00852E5B"/>
    <w:rsid w:val="00853770"/>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903F8"/>
    <w:rsid w:val="0089044D"/>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56462"/>
    <w:rsid w:val="00960CF6"/>
    <w:rsid w:val="0096346C"/>
    <w:rsid w:val="00963CB7"/>
    <w:rsid w:val="0096418D"/>
    <w:rsid w:val="00964431"/>
    <w:rsid w:val="009647A6"/>
    <w:rsid w:val="009659C5"/>
    <w:rsid w:val="009665EF"/>
    <w:rsid w:val="00970185"/>
    <w:rsid w:val="0097091A"/>
    <w:rsid w:val="009716F7"/>
    <w:rsid w:val="00971B86"/>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B6E4D"/>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4ED"/>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1CF3"/>
    <w:rsid w:val="00AD2391"/>
    <w:rsid w:val="00AD3A6F"/>
    <w:rsid w:val="00AD52F3"/>
    <w:rsid w:val="00AE05B8"/>
    <w:rsid w:val="00AE0640"/>
    <w:rsid w:val="00AE10CD"/>
    <w:rsid w:val="00AE1B02"/>
    <w:rsid w:val="00AE2207"/>
    <w:rsid w:val="00AE30F3"/>
    <w:rsid w:val="00AE4E3B"/>
    <w:rsid w:val="00AE5660"/>
    <w:rsid w:val="00AE567E"/>
    <w:rsid w:val="00AE6387"/>
    <w:rsid w:val="00AE6430"/>
    <w:rsid w:val="00AE6EA9"/>
    <w:rsid w:val="00AF3F04"/>
    <w:rsid w:val="00AF4EE3"/>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AC6"/>
    <w:rsid w:val="00B7277C"/>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3B2B"/>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5CF"/>
    <w:rsid w:val="00BF0B0B"/>
    <w:rsid w:val="00BF1A8D"/>
    <w:rsid w:val="00BF3A83"/>
    <w:rsid w:val="00BF55AA"/>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55EA"/>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5110"/>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55D"/>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48A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225"/>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3AF7"/>
    <w:rsid w:val="00DA5F04"/>
    <w:rsid w:val="00DA63EB"/>
    <w:rsid w:val="00DA6BC6"/>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B5D"/>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0C1"/>
    <w:rsid w:val="00E24727"/>
    <w:rsid w:val="00E24912"/>
    <w:rsid w:val="00E25CFA"/>
    <w:rsid w:val="00E27123"/>
    <w:rsid w:val="00E31443"/>
    <w:rsid w:val="00E324E7"/>
    <w:rsid w:val="00E3381B"/>
    <w:rsid w:val="00E34663"/>
    <w:rsid w:val="00E348D9"/>
    <w:rsid w:val="00E3495E"/>
    <w:rsid w:val="00E35BD3"/>
    <w:rsid w:val="00E37BFF"/>
    <w:rsid w:val="00E4113C"/>
    <w:rsid w:val="00E41CE8"/>
    <w:rsid w:val="00E41EB9"/>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299D"/>
    <w:rsid w:val="00E83176"/>
    <w:rsid w:val="00E833FE"/>
    <w:rsid w:val="00E860A2"/>
    <w:rsid w:val="00E878A0"/>
    <w:rsid w:val="00E9054F"/>
    <w:rsid w:val="00E9184E"/>
    <w:rsid w:val="00E924CD"/>
    <w:rsid w:val="00E97954"/>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49F7"/>
    <w:rsid w:val="00EE54E7"/>
    <w:rsid w:val="00EE6279"/>
    <w:rsid w:val="00EE7B8D"/>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674E"/>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2DB5"/>
    <w:rsid w:val="00F74093"/>
    <w:rsid w:val="00F754EF"/>
    <w:rsid w:val="00F75AF2"/>
    <w:rsid w:val="00F77328"/>
    <w:rsid w:val="00F80D34"/>
    <w:rsid w:val="00F8111E"/>
    <w:rsid w:val="00F82191"/>
    <w:rsid w:val="00F827BC"/>
    <w:rsid w:val="00F8394A"/>
    <w:rsid w:val="00F83B60"/>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0F0F"/>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3C0B"/>
    <w:rsid w:val="00FE681A"/>
    <w:rsid w:val="00FF13E8"/>
    <w:rsid w:val="00FF1656"/>
    <w:rsid w:val="00FF25D4"/>
    <w:rsid w:val="00FF3938"/>
    <w:rsid w:val="00FF4D13"/>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C6C2"/>
  <w15:docId w15:val="{64E693D4-4E99-40A1-B1D7-8D22359D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qFormat/>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LPH/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00831"/>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147F"/>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017FD"/>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3CCA"/>
    <w:rsid w:val="003E567A"/>
    <w:rsid w:val="003F7CE7"/>
    <w:rsid w:val="0043068A"/>
    <w:rsid w:val="00442B78"/>
    <w:rsid w:val="0044386C"/>
    <w:rsid w:val="00450008"/>
    <w:rsid w:val="00451B6C"/>
    <w:rsid w:val="00454930"/>
    <w:rsid w:val="00454F21"/>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0367"/>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E381D"/>
    <w:rsid w:val="006F084B"/>
    <w:rsid w:val="006F6C75"/>
    <w:rsid w:val="00702727"/>
    <w:rsid w:val="00706135"/>
    <w:rsid w:val="0071246B"/>
    <w:rsid w:val="00725A42"/>
    <w:rsid w:val="00754982"/>
    <w:rsid w:val="007612BB"/>
    <w:rsid w:val="00783217"/>
    <w:rsid w:val="00784909"/>
    <w:rsid w:val="007A7321"/>
    <w:rsid w:val="007B250C"/>
    <w:rsid w:val="007B2945"/>
    <w:rsid w:val="007B519F"/>
    <w:rsid w:val="007C1EAF"/>
    <w:rsid w:val="007C6613"/>
    <w:rsid w:val="007D01E7"/>
    <w:rsid w:val="007D3D18"/>
    <w:rsid w:val="007E0269"/>
    <w:rsid w:val="007E6942"/>
    <w:rsid w:val="007F7D90"/>
    <w:rsid w:val="00801DA5"/>
    <w:rsid w:val="00805628"/>
    <w:rsid w:val="0081476F"/>
    <w:rsid w:val="0081559D"/>
    <w:rsid w:val="00823337"/>
    <w:rsid w:val="0082630F"/>
    <w:rsid w:val="00826E9C"/>
    <w:rsid w:val="0084214F"/>
    <w:rsid w:val="0084724A"/>
    <w:rsid w:val="008509BD"/>
    <w:rsid w:val="00851C27"/>
    <w:rsid w:val="008538C1"/>
    <w:rsid w:val="00854210"/>
    <w:rsid w:val="00860954"/>
    <w:rsid w:val="008648F5"/>
    <w:rsid w:val="00866A53"/>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9F53B3"/>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076EE"/>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0FF4"/>
    <w:rsid w:val="00CE6AB0"/>
    <w:rsid w:val="00CF0507"/>
    <w:rsid w:val="00CF5CDA"/>
    <w:rsid w:val="00D0728A"/>
    <w:rsid w:val="00D15474"/>
    <w:rsid w:val="00D23E5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7262"/>
    <w:rsid w:val="00DE743A"/>
    <w:rsid w:val="00DF02A4"/>
    <w:rsid w:val="00DF2F30"/>
    <w:rsid w:val="00DF7943"/>
    <w:rsid w:val="00E051D8"/>
    <w:rsid w:val="00E22F55"/>
    <w:rsid w:val="00E23412"/>
    <w:rsid w:val="00E62A28"/>
    <w:rsid w:val="00E77FC7"/>
    <w:rsid w:val="00E80993"/>
    <w:rsid w:val="00E87D66"/>
    <w:rsid w:val="00E933BE"/>
    <w:rsid w:val="00EA022C"/>
    <w:rsid w:val="00EA551D"/>
    <w:rsid w:val="00EB4AFA"/>
    <w:rsid w:val="00EC052D"/>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B1559"/>
    <w:rsid w:val="00FC68AE"/>
    <w:rsid w:val="00FD3E89"/>
    <w:rsid w:val="00FE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60954"/>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BA517B74C9C439CBA7FB834E74CA5D6">
    <w:name w:val="2BA517B74C9C439CBA7FB834E74CA5D6"/>
    <w:rsid w:val="00860954"/>
    <w:pPr>
      <w:widowControl w:val="0"/>
      <w:jc w:val="both"/>
    </w:pPr>
  </w:style>
  <w:style w:type="paragraph" w:customStyle="1" w:styleId="ABAE6889736546569BA658E30653F045">
    <w:name w:val="ABAE6889736546569BA658E30653F045"/>
    <w:rsid w:val="0086095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BB33C3F3-99AD-4DB1-B256-DED88683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23</Pages>
  <Words>944</Words>
  <Characters>5387</Characters>
  <Application>Microsoft Office Word</Application>
  <DocSecurity>0</DocSecurity>
  <Lines>44</Lines>
  <Paragraphs>12</Paragraphs>
  <ScaleCrop>false</ScaleCrop>
  <Company>shenduxitong</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刘佩涵</cp:lastModifiedBy>
  <dcterms:modified xsi:type="dcterms:W3CDTF">2024-05-24T07:37:00Z</dcterms:modified>
  <cp:revision>18</cp:revision>
</cp:coreProperties>
</file>