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0B68D">
      <w:pPr>
        <w:pStyle w:val="2"/>
        <w:spacing w:before="0" w:beforeAutospacing="0" w:after="0" w:afterAutospacing="0" w:line="420" w:lineRule="atLeast"/>
        <w:jc w:val="center"/>
      </w:pPr>
      <w:bookmarkStart w:id="0" w:name="_GoBack"/>
      <w:bookmarkEnd w:id="0"/>
      <w:r>
        <w:rPr>
          <w:rFonts w:hint="eastAsia"/>
          <w:sz w:val="24"/>
          <w:szCs w:val="24"/>
        </w:rPr>
        <w:t>苏州银行个人人民币银行结算账户管理协议</w:t>
      </w:r>
    </w:p>
    <w:p w14:paraId="681C0B46">
      <w:pPr>
        <w:pStyle w:val="7"/>
        <w:spacing w:before="0" w:beforeAutospacing="0" w:after="0" w:afterAutospacing="0" w:line="640" w:lineRule="atLeast"/>
        <w:ind w:firstLine="480" w:firstLineChars="200"/>
      </w:pPr>
      <w:r>
        <w:rPr>
          <w:rFonts w:hint="eastAsia"/>
        </w:rPr>
        <w:t>根据《人民币银行结算账户管理办法》、《关于改进个人银行账户服务加强账户管理的通知》（银发【2015】392号）、《关于加强支付结算管理防范电信网络新型违法犯罪有关事项的通知》（银发【2016】261号）、《关于落实个人银行账户分类管理制度的通知》（银发【2016】302号）、《关于改进个人银行账户分类管理有关事项的通知》（银发【2018】16号）、《关于进一步加强支付结算管理</w:t>
      </w:r>
      <w:r>
        <w:t>防范电信网络新型违法犯罪有关事项的通知》（银发【2019】85号）</w:t>
      </w:r>
      <w:r>
        <w:rPr>
          <w:rFonts w:hint="eastAsia" w:ascii="宋体" w:hAnsi="宋体" w:eastAsia="宋体" w:cs="宋体"/>
          <w:sz w:val="24"/>
          <w:szCs w:val="24"/>
          <w:lang w:val="en-US" w:eastAsia="zh-CN" w:bidi="ar"/>
        </w:rPr>
        <w:t>、《中华人民共和国反电信网络诈骗法》、《电信网络诈骗及其关联违法犯罪联合惩戒办法》</w:t>
      </w:r>
      <w:r>
        <w:rPr>
          <w:rFonts w:hint="eastAsia"/>
        </w:rPr>
        <w:t>及相关法律法规的规定，甲方（苏州银行股份有限公司）、乙方（客户）双方经充分协商一致，在平等自愿的基础上，订立如下协议，共同遵守。</w:t>
      </w:r>
    </w:p>
    <w:p w14:paraId="6EA74807">
      <w:pPr>
        <w:pStyle w:val="7"/>
        <w:spacing w:before="0" w:beforeAutospacing="0" w:after="0" w:afterAutospacing="0" w:line="640" w:lineRule="atLeast"/>
        <w:ind w:firstLine="480" w:firstLineChars="200"/>
      </w:pPr>
      <w:r>
        <w:rPr>
          <w:rFonts w:hint="eastAsia"/>
        </w:rPr>
        <w:t>第一条 乙方自愿在甲方开立个人银行结算账户。</w:t>
      </w:r>
    </w:p>
    <w:p w14:paraId="2D425131">
      <w:pPr>
        <w:pStyle w:val="7"/>
        <w:spacing w:before="0" w:beforeAutospacing="0" w:after="0" w:afterAutospacing="0" w:line="640" w:lineRule="atLeast"/>
        <w:ind w:firstLine="480" w:firstLineChars="200"/>
      </w:pPr>
      <w:r>
        <w:rPr>
          <w:rFonts w:hint="eastAsia"/>
        </w:rPr>
        <w:t>本协议所称个人银行结算账户包含I类银行账户、Ⅱ类银行账户和Ⅲ类银行账户，不包含信用卡账户。</w:t>
      </w:r>
    </w:p>
    <w:p w14:paraId="5473D8FF">
      <w:pPr>
        <w:pStyle w:val="7"/>
        <w:spacing w:before="0" w:beforeAutospacing="0" w:after="0" w:afterAutospacing="0" w:line="640" w:lineRule="atLeast"/>
        <w:ind w:firstLine="480" w:firstLineChars="200"/>
      </w:pPr>
      <w:r>
        <w:rPr>
          <w:rFonts w:hint="eastAsia"/>
        </w:rPr>
        <w:t>I类银行账户：甲方通过I类银行账户为乙方提供存款、购买投资理财产品等金融产品、转账、消费和缴费、支取现金等服务。</w:t>
      </w:r>
    </w:p>
    <w:p w14:paraId="092CFA3D">
      <w:pPr>
        <w:pStyle w:val="7"/>
        <w:spacing w:before="0" w:beforeAutospacing="0" w:after="0" w:afterAutospacing="0" w:line="640" w:lineRule="atLeast"/>
        <w:ind w:firstLine="480" w:firstLineChars="200"/>
      </w:pPr>
      <w:r>
        <w:rPr>
          <w:rFonts w:hint="eastAsia"/>
        </w:rPr>
        <w:t>Ⅱ类银行账户：甲方通过Ⅱ类银行账户为乙方提供存款、购买投资理财产品等金融产品、限额消费和缴费、限额向非绑定账户转出资金等服务。</w:t>
      </w:r>
    </w:p>
    <w:p w14:paraId="18E48B0A">
      <w:pPr>
        <w:pStyle w:val="7"/>
        <w:spacing w:before="0" w:beforeAutospacing="0" w:after="0" w:afterAutospacing="0" w:line="640" w:lineRule="atLeast"/>
        <w:ind w:firstLine="480" w:firstLineChars="200"/>
      </w:pPr>
      <w:r>
        <w:rPr>
          <w:rFonts w:hint="eastAsia"/>
        </w:rPr>
        <w:t>Ⅲ类银行账户：甲方通过Ⅲ类银行账户</w:t>
      </w:r>
      <w:r>
        <w:rPr>
          <w:rFonts w:hint="default"/>
        </w:rPr>
        <w:t>为乙方</w:t>
      </w:r>
      <w:r>
        <w:rPr>
          <w:rFonts w:hint="eastAsia"/>
        </w:rPr>
        <w:t>提供限额消费和缴费、限额向非绑定账户转出资金等服务。</w:t>
      </w:r>
    </w:p>
    <w:p w14:paraId="6307E2B2">
      <w:pPr>
        <w:pStyle w:val="7"/>
        <w:spacing w:before="0" w:beforeAutospacing="0" w:after="0" w:afterAutospacing="0" w:line="640" w:lineRule="atLeast"/>
        <w:ind w:firstLine="480" w:firstLineChars="200"/>
      </w:pPr>
      <w:r>
        <w:rPr>
          <w:rFonts w:hint="eastAsia"/>
        </w:rPr>
        <w:t>第二条 自2016年12月1日起，乙方在甲方只能开立一个I类银行账户，已开立I类银行账户的，再新开户，可开立Ⅱ、Ⅲ类银行账户。乙方于2016年11月30日前在甲方已经开立多个I类银行账户的，乙方同意按照要求向甲方说明开户的合理性，对于无法核实开户合理性的，乙方同意撤销或归并个人银行结算账户，或者采取降低账户类别等措施。</w:t>
      </w:r>
      <w:r>
        <w:rPr>
          <w:rFonts w:hint="eastAsia" w:ascii="宋体" w:hAnsi="宋体" w:eastAsia="宋体" w:cs="宋体"/>
          <w:sz w:val="24"/>
          <w:szCs w:val="24"/>
          <w:lang w:val="en-US" w:eastAsia="zh-CN" w:bidi="ar"/>
        </w:rPr>
        <w:t>若乙方未提供合理理由保留多个I类银行账户，且未采取撤销、归并、降低账户类别等措施的，甲方有权对符合清理条件的账户暂停非柜面业务。</w:t>
      </w:r>
    </w:p>
    <w:p w14:paraId="4C2009D5">
      <w:pPr>
        <w:pStyle w:val="7"/>
        <w:spacing w:before="0" w:beforeAutospacing="0" w:after="0" w:afterAutospacing="0" w:line="640" w:lineRule="atLeast"/>
        <w:ind w:firstLine="480" w:firstLineChars="200"/>
      </w:pPr>
      <w:r>
        <w:rPr>
          <w:rFonts w:hint="eastAsia"/>
        </w:rPr>
        <w:t>第三条 乙方在甲方开立的Ⅱ、Ⅲ类银行账户的数量分别不得超过5个。</w:t>
      </w:r>
    </w:p>
    <w:p w14:paraId="2740F33C">
      <w:pPr>
        <w:pStyle w:val="7"/>
        <w:spacing w:before="0" w:beforeAutospacing="0" w:after="0" w:afterAutospacing="0" w:line="640" w:lineRule="atLeast"/>
        <w:ind w:firstLine="480" w:firstLineChars="200"/>
      </w:pPr>
      <w:r>
        <w:rPr>
          <w:rFonts w:hint="eastAsia"/>
        </w:rPr>
        <w:t>第四条 甲、乙双方共同承诺：</w:t>
      </w:r>
    </w:p>
    <w:p w14:paraId="7A2C8227">
      <w:pPr>
        <w:pStyle w:val="7"/>
        <w:spacing w:before="0" w:beforeAutospacing="0" w:after="0" w:afterAutospacing="0" w:line="640" w:lineRule="atLeast"/>
        <w:ind w:firstLine="480" w:firstLineChars="200"/>
      </w:pPr>
      <w:r>
        <w:rPr>
          <w:rFonts w:hint="eastAsia"/>
        </w:rPr>
        <w:t>（一）双方按照《人民币银行结算账户管理办法》及相关法律、法规，办理银行结算账户的开立、使用、变更、销户等业务；</w:t>
      </w:r>
    </w:p>
    <w:p w14:paraId="47E8D7CC">
      <w:pPr>
        <w:pStyle w:val="7"/>
        <w:spacing w:before="0" w:beforeAutospacing="0" w:after="0" w:afterAutospacing="0" w:line="640" w:lineRule="atLeast"/>
        <w:ind w:firstLine="480" w:firstLineChars="200"/>
      </w:pPr>
      <w:r>
        <w:rPr>
          <w:rFonts w:hint="eastAsia"/>
        </w:rPr>
        <w:t>（二）双方均不得利用银行结算账户从事任何违法犯罪活动。</w:t>
      </w:r>
    </w:p>
    <w:p w14:paraId="66BE4502">
      <w:pPr>
        <w:pStyle w:val="7"/>
        <w:spacing w:before="0" w:beforeAutospacing="0" w:after="0" w:afterAutospacing="0" w:line="640" w:lineRule="atLeast"/>
        <w:ind w:firstLine="480" w:firstLineChars="200"/>
      </w:pPr>
      <w:r>
        <w:rPr>
          <w:rFonts w:hint="eastAsia"/>
        </w:rPr>
        <w:t>第五条 甲方承诺：</w:t>
      </w:r>
    </w:p>
    <w:p w14:paraId="3E98BA6A">
      <w:pPr>
        <w:pStyle w:val="7"/>
        <w:spacing w:before="0" w:beforeAutospacing="0" w:after="0" w:afterAutospacing="0" w:line="640" w:lineRule="atLeast"/>
        <w:ind w:firstLine="480" w:firstLineChars="200"/>
      </w:pPr>
      <w:r>
        <w:rPr>
          <w:rFonts w:hint="eastAsia"/>
        </w:rPr>
        <w:t>（一）甲方与乙方结算关系存续期间，甲方为乙方提供优质、快捷的结算服务，为乙方准确、及时办理人民币结算业务，向乙方及时推介新的结算产品和服务方式，为乙方提供良好的结算条件；</w:t>
      </w:r>
    </w:p>
    <w:p w14:paraId="1C9E63D1">
      <w:pPr>
        <w:pStyle w:val="7"/>
        <w:spacing w:before="0" w:beforeAutospacing="0" w:after="0" w:afterAutospacing="0" w:line="640" w:lineRule="atLeast"/>
        <w:ind w:firstLine="480" w:firstLineChars="200"/>
      </w:pPr>
      <w:r>
        <w:rPr>
          <w:rFonts w:hint="eastAsia"/>
        </w:rPr>
        <w:t>（二）甲方依法为乙方银行结算账户信息保密。除国家法律、行政法规另有规定外，甲方拒绝任何单位或个人查询、冻结、扣划乙方账户资金的要求，依法保障乙方客户信息和账户资金的安全。</w:t>
      </w:r>
    </w:p>
    <w:p w14:paraId="1F4CF454">
      <w:pPr>
        <w:pStyle w:val="7"/>
        <w:spacing w:before="0" w:beforeAutospacing="0" w:after="0" w:afterAutospacing="0" w:line="640" w:lineRule="atLeast"/>
        <w:ind w:firstLine="482" w:firstLineChars="200"/>
        <w:rPr>
          <w:b/>
        </w:rPr>
      </w:pPr>
      <w:r>
        <w:rPr>
          <w:rFonts w:hint="eastAsia"/>
          <w:b/>
        </w:rPr>
        <w:t>第六条 乙方承诺：</w:t>
      </w:r>
    </w:p>
    <w:p w14:paraId="74F4B535">
      <w:pPr>
        <w:pStyle w:val="7"/>
        <w:spacing w:before="0" w:beforeAutospacing="0" w:after="0" w:afterAutospacing="0" w:line="640" w:lineRule="atLeast"/>
        <w:ind w:firstLine="480" w:firstLineChars="200"/>
      </w:pPr>
      <w:r>
        <w:rPr>
          <w:rFonts w:hint="eastAsia"/>
        </w:rPr>
        <w:t>（一）乙方在甲方开立个人银行结算账户应向甲方提供有关客户身份信息、个人税收居民身份声明文件，并应按照《人民币银行结算账户管理办法》的规定提供有效个人身份证件，乙方应对提供的开户资料、个人身份信息的真实性、完整性、合规性负责</w:t>
      </w:r>
      <w:r>
        <w:rPr>
          <w:rFonts w:hint="default"/>
        </w:rPr>
        <w:t>。</w:t>
      </w:r>
    </w:p>
    <w:p w14:paraId="49F42D6E">
      <w:pPr>
        <w:pStyle w:val="7"/>
        <w:spacing w:before="0" w:beforeAutospacing="0" w:after="0" w:afterAutospacing="0" w:line="640" w:lineRule="atLeast"/>
        <w:ind w:firstLine="480" w:firstLineChars="200"/>
      </w:pPr>
      <w:r>
        <w:rPr>
          <w:rFonts w:hint="eastAsia"/>
        </w:rPr>
        <w:t>（二）代理开立个人银行结算账户时，应根据甲方要求出示双方的身份证件原件、合法的委托书，同时正确提供乙方的联系电话、地址等关键信息，如甲方认为有必要的，代理人还应出具证明代理关系的公证书。</w:t>
      </w:r>
      <w:r>
        <w:rPr>
          <w:rFonts w:hint="eastAsia"/>
          <w:b/>
        </w:rPr>
        <w:t>乙方应妥善保管自己的身份证件，不得随意出借，真实有效的身份证件原件即视做是乙方真实的意思表示，如因身份证件保管不善而导致损失或纠纷，由乙方自行承担。</w:t>
      </w:r>
    </w:p>
    <w:p w14:paraId="211A337F">
      <w:pPr>
        <w:pStyle w:val="7"/>
        <w:spacing w:before="0" w:beforeAutospacing="0" w:after="0" w:afterAutospacing="0" w:line="640" w:lineRule="atLeast"/>
        <w:ind w:firstLine="480" w:firstLineChars="200"/>
      </w:pPr>
      <w:r>
        <w:rPr>
          <w:rFonts w:hint="eastAsia"/>
        </w:rPr>
        <w:t>（三）乙方住址、电话、职业等开户信息资料发生变更时，应于5个工作日内向甲方提出变更申请。变更内容的生效日期，以甲乙双方约定的日期为准。</w:t>
      </w:r>
    </w:p>
    <w:p w14:paraId="0F7A0580">
      <w:pPr>
        <w:pStyle w:val="7"/>
        <w:spacing w:before="0" w:beforeAutospacing="0" w:after="0" w:afterAutospacing="0" w:line="640" w:lineRule="atLeast"/>
        <w:ind w:firstLine="482" w:firstLineChars="200"/>
        <w:rPr>
          <w:b/>
        </w:rPr>
      </w:pPr>
      <w:r>
        <w:rPr>
          <w:rFonts w:hint="eastAsia"/>
          <w:b/>
        </w:rPr>
        <w:t>（四） 乙方的有效身份证件及身份证明文件的有效期届满的应及时至甲方柜面办理更新，如过期未办理更新的，甲方有权中止乙方账户业务。</w:t>
      </w:r>
    </w:p>
    <w:p w14:paraId="2D3B7B07">
      <w:pPr>
        <w:pStyle w:val="7"/>
        <w:spacing w:before="0" w:beforeAutospacing="0" w:after="0" w:afterAutospacing="0" w:line="640" w:lineRule="atLeast"/>
        <w:ind w:firstLine="482" w:firstLineChars="200"/>
        <w:rPr>
          <w:b/>
        </w:rPr>
      </w:pPr>
      <w:r>
        <w:rPr>
          <w:rFonts w:hint="eastAsia"/>
          <w:b/>
        </w:rPr>
        <w:t>（五）对于预留密码的账户，乙方应定期更换密码，凡使用正确密码进行的交易均视为乙方本人行为。乙方应妥善保管账户介质和密码，不得将在甲方开立的个人银行结算账户出租、出借给他人。</w:t>
      </w:r>
    </w:p>
    <w:p w14:paraId="6C785B40">
      <w:pPr>
        <w:pStyle w:val="7"/>
        <w:spacing w:before="0" w:beforeAutospacing="0" w:after="0" w:afterAutospacing="0" w:line="640" w:lineRule="atLeast"/>
        <w:ind w:firstLine="482" w:firstLineChars="200"/>
        <w:rPr>
          <w:b/>
        </w:rPr>
      </w:pPr>
      <w:r>
        <w:rPr>
          <w:rFonts w:hint="eastAsia"/>
          <w:b/>
        </w:rPr>
        <w:t>（六）乙方不得冒用他人身份在甲方开立个人银行结算账户，如甲方发现乙方个人银行结算账户为假名或冒名开户的，甲方有权立即中止该账户的使用，并可经被冒用人同意后予以销户。</w:t>
      </w:r>
    </w:p>
    <w:p w14:paraId="1DCFC32E">
      <w:pPr>
        <w:pStyle w:val="7"/>
        <w:spacing w:before="0" w:beforeAutospacing="0" w:after="0" w:afterAutospacing="0" w:line="640" w:lineRule="atLeast"/>
        <w:ind w:firstLine="482" w:firstLineChars="200"/>
        <w:rPr>
          <w:rFonts w:hint="eastAsia"/>
          <w:b/>
        </w:rPr>
      </w:pPr>
      <w:r>
        <w:rPr>
          <w:rFonts w:hint="eastAsia"/>
          <w:b/>
        </w:rPr>
        <w:t>（七）</w:t>
      </w:r>
      <w:r>
        <w:rPr>
          <w:rFonts w:hint="eastAsia" w:ascii="宋体" w:hAnsi="宋体" w:eastAsia="宋体" w:cs="宋体"/>
          <w:b/>
          <w:bCs w:val="0"/>
          <w:sz w:val="24"/>
          <w:szCs w:val="24"/>
          <w:lang w:val="en-US" w:eastAsia="zh-CN" w:bidi="ar"/>
        </w:rPr>
        <w:t>如乙方因买卖、出租、出借银行账户或假冒他人身份或者虚构代理关系开立银行账户被公安机关列入《电信网络诈骗及其关联违法犯罪联合惩戒办法》规定的惩戒对象的，甲方有权限制乙方名下银行账户功能。</w:t>
      </w:r>
    </w:p>
    <w:p w14:paraId="7F019DCF">
      <w:pPr>
        <w:pStyle w:val="7"/>
        <w:spacing w:before="0" w:beforeAutospacing="0" w:after="0" w:afterAutospacing="0" w:line="640" w:lineRule="atLeast"/>
        <w:ind w:firstLine="482" w:firstLineChars="200"/>
        <w:rPr>
          <w:rFonts w:hint="eastAsia" w:ascii="宋体" w:hAnsi="宋体" w:eastAsia="宋体" w:cs="宋体"/>
          <w:b/>
          <w:bCs w:val="0"/>
          <w:sz w:val="24"/>
          <w:szCs w:val="24"/>
          <w:lang w:val="en-US" w:eastAsia="zh-CN" w:bidi="ar"/>
        </w:rPr>
      </w:pPr>
      <w:r>
        <w:rPr>
          <w:rFonts w:hint="eastAsia"/>
          <w:b/>
        </w:rPr>
        <w:t>（八）</w:t>
      </w:r>
      <w:r>
        <w:rPr>
          <w:rFonts w:hint="eastAsia" w:ascii="宋体" w:hAnsi="宋体" w:eastAsia="宋体" w:cs="宋体"/>
          <w:b/>
          <w:bCs w:val="0"/>
          <w:sz w:val="24"/>
          <w:szCs w:val="24"/>
          <w:lang w:val="en-US" w:eastAsia="zh-CN" w:bidi="ar"/>
        </w:rPr>
        <w:t>如乙方账户经设区的市级及以上公安机关认定并纳入“涉案账户”名单的，甲方有权对乙方名下账户采取中止账务服务、暂停非柜面业务等措施。</w:t>
      </w:r>
    </w:p>
    <w:p w14:paraId="41C72F47">
      <w:pPr>
        <w:pStyle w:val="7"/>
        <w:spacing w:before="0" w:beforeAutospacing="0" w:after="0" w:afterAutospacing="0" w:line="640" w:lineRule="atLeast"/>
        <w:ind w:firstLine="482" w:firstLineChars="200"/>
        <w:rPr>
          <w:b/>
        </w:rPr>
      </w:pPr>
      <w:r>
        <w:rPr>
          <w:rFonts w:hint="eastAsia"/>
          <w:b/>
        </w:rPr>
        <w:t>（九）乙方账户自在甲方开户之日起6个月内无交易记录的，甲方有权暂停乙方账户的非柜面业务。</w:t>
      </w:r>
      <w:r>
        <w:rPr>
          <w:rFonts w:hint="eastAsia" w:ascii="宋体" w:hAnsi="宋体" w:eastAsia="宋体" w:cs="宋体"/>
          <w:b/>
          <w:bCs w:val="0"/>
          <w:sz w:val="24"/>
          <w:szCs w:val="24"/>
          <w:lang w:val="en-US" w:eastAsia="zh-CN" w:bidi="ar"/>
        </w:rPr>
        <w:t>甲方重新核实乙方身份后，可以恢复其业务。</w:t>
      </w:r>
      <w:r>
        <w:rPr>
          <w:rFonts w:ascii="宋体" w:hAnsi="宋体" w:eastAsia="宋体" w:cs="宋体"/>
          <w:sz w:val="24"/>
          <w:szCs w:val="24"/>
          <w:lang w:eastAsia="zh-CN"/>
        </w:rPr>
        <w:t xml:space="preserve"> </w:t>
      </w:r>
    </w:p>
    <w:p w14:paraId="7A0B364E">
      <w:pPr>
        <w:pStyle w:val="7"/>
        <w:spacing w:before="0" w:beforeAutospacing="0" w:after="0" w:afterAutospacing="0" w:line="640" w:lineRule="atLeast"/>
        <w:ind w:firstLine="482" w:firstLineChars="200"/>
        <w:rPr>
          <w:b/>
        </w:rPr>
      </w:pPr>
      <w:r>
        <w:rPr>
          <w:rFonts w:hint="eastAsia"/>
          <w:b/>
        </w:rPr>
        <w:t>（十）乙方留存在甲方的联系电话号码应为其本人实名开立号码。如乙方无法证明使用他人联系电话号码</w:t>
      </w:r>
      <w:r>
        <w:rPr>
          <w:rFonts w:hint="eastAsia" w:ascii="宋体" w:hAnsi="宋体" w:eastAsia="宋体" w:cs="宋体"/>
          <w:b/>
          <w:bCs w:val="0"/>
          <w:sz w:val="24"/>
          <w:szCs w:val="24"/>
          <w:lang w:val="en-US" w:eastAsia="zh-CN" w:bidi="ar"/>
        </w:rPr>
        <w:t>或与他人留存相同联系电话号码</w:t>
      </w:r>
      <w:r>
        <w:rPr>
          <w:rFonts w:hint="eastAsia"/>
          <w:b/>
        </w:rPr>
        <w:t>的合理性，或者通过乙方留存的联系电话号码无法联系乙方核实相关情况的，甲方有权暂停乙方账户的支付业务。如后续他人证实</w:t>
      </w:r>
      <w:r>
        <w:rPr>
          <w:rFonts w:hint="default"/>
          <w:b/>
        </w:rPr>
        <w:t>该号码</w:t>
      </w:r>
      <w:r>
        <w:rPr>
          <w:rFonts w:hint="eastAsia"/>
          <w:b/>
        </w:rPr>
        <w:t>为</w:t>
      </w:r>
      <w:r>
        <w:rPr>
          <w:rFonts w:hint="eastAsia"/>
          <w:b/>
          <w:lang w:val="en-US" w:eastAsia="zh-CN"/>
        </w:rPr>
        <w:t>该他人</w:t>
      </w:r>
      <w:r>
        <w:rPr>
          <w:rFonts w:hint="eastAsia"/>
          <w:b/>
        </w:rPr>
        <w:t>所有，甲方有权根据</w:t>
      </w:r>
      <w:r>
        <w:rPr>
          <w:rFonts w:hint="default"/>
          <w:b/>
        </w:rPr>
        <w:t>号码实际持有人</w:t>
      </w:r>
      <w:r>
        <w:rPr>
          <w:rFonts w:hint="eastAsia"/>
          <w:b/>
        </w:rPr>
        <w:t>要求删除乙方留存的联系电话号码，如删除联系电话号码后乙方留存信息不完整，甲方有权暂停乙方账户的支付业务。</w:t>
      </w:r>
    </w:p>
    <w:p w14:paraId="5A8D5622">
      <w:pPr>
        <w:pStyle w:val="7"/>
        <w:spacing w:before="0" w:beforeAutospacing="0" w:after="0" w:afterAutospacing="0" w:line="640" w:lineRule="atLeast"/>
        <w:ind w:firstLine="482" w:firstLineChars="200"/>
        <w:rPr>
          <w:b/>
        </w:rPr>
      </w:pPr>
      <w:r>
        <w:rPr>
          <w:rFonts w:hint="eastAsia"/>
          <w:b/>
        </w:rPr>
        <w:t>（十一）如甲方认定乙方个人银行结算账户及其资金往来具有洗钱</w:t>
      </w:r>
      <w:r>
        <w:rPr>
          <w:rFonts w:hint="default"/>
          <w:b/>
        </w:rPr>
        <w:t>、电信诈骗</w:t>
      </w:r>
      <w:r>
        <w:rPr>
          <w:rFonts w:hint="eastAsia"/>
          <w:b/>
        </w:rPr>
        <w:t>等可疑交易特征的，甲方可与乙方核实交易情况，经核实后仍然认定乙方可疑、乙方账户使用可疑或无法联系乙方的，甲方有权中止乙方账户业务或暂停乙方账户支付业务。</w:t>
      </w:r>
    </w:p>
    <w:p w14:paraId="6E45D267">
      <w:pPr>
        <w:pStyle w:val="7"/>
        <w:spacing w:before="0" w:beforeAutospacing="0" w:after="0" w:afterAutospacing="0" w:line="640" w:lineRule="atLeast"/>
        <w:ind w:firstLine="482" w:firstLineChars="200"/>
        <w:rPr>
          <w:rFonts w:hint="eastAsia"/>
          <w:b/>
        </w:rPr>
      </w:pPr>
      <w:r>
        <w:rPr>
          <w:rFonts w:hint="eastAsia"/>
          <w:b/>
        </w:rPr>
        <w:t>（十二）乙方承诺遵守甲方对小额账户或长期不动户、零余额账户的有关规定。对于符合个人长期不动户的账户，</w:t>
      </w:r>
      <w:r>
        <w:rPr>
          <w:rFonts w:hint="eastAsia" w:ascii="宋体" w:hAnsi="宋体" w:eastAsia="宋体" w:cs="宋体"/>
          <w:b/>
          <w:bCs w:val="0"/>
          <w:sz w:val="24"/>
          <w:szCs w:val="24"/>
          <w:lang w:val="en-US" w:eastAsia="zh-CN" w:bidi="ar"/>
        </w:rPr>
        <w:t>甲方有权中止该账户所有业务</w:t>
      </w:r>
      <w:r>
        <w:rPr>
          <w:rFonts w:hint="eastAsia"/>
          <w:b/>
        </w:rPr>
        <w:t>。对于符合个人长期不动户且余额为零的账户，甲方有权将其销户。</w:t>
      </w:r>
    </w:p>
    <w:p w14:paraId="4EA753A6">
      <w:pPr>
        <w:pStyle w:val="7"/>
        <w:spacing w:before="0" w:beforeAutospacing="0" w:after="0" w:afterAutospacing="0" w:line="640" w:lineRule="atLeast"/>
        <w:ind w:firstLine="482" w:firstLineChars="200"/>
        <w:rPr>
          <w:b/>
        </w:rPr>
      </w:pPr>
      <w:r>
        <w:rPr>
          <w:rFonts w:hint="eastAsia"/>
          <w:b/>
        </w:rPr>
        <w:t>（十三）乙方授权甲方可基于业务办理、履行合同、拓展服务及开展风险管理等需要，自本协议签署之日起至账户正式销户之日止，通过辅助手段验证乙方留存信息及账户交易的合理性。</w:t>
      </w:r>
    </w:p>
    <w:p w14:paraId="38E60CDF">
      <w:pPr>
        <w:pStyle w:val="7"/>
        <w:spacing w:before="0" w:beforeAutospacing="0" w:after="0" w:afterAutospacing="0" w:line="640" w:lineRule="atLeast"/>
        <w:ind w:firstLine="482" w:firstLineChars="200"/>
        <w:rPr>
          <w:rFonts w:hint="eastAsia"/>
          <w:b/>
        </w:rPr>
      </w:pPr>
      <w:r>
        <w:rPr>
          <w:rFonts w:hint="eastAsia"/>
          <w:b/>
        </w:rPr>
        <w:t>（十四）乙方授权甲方及其子公司为乙方办理日常业务时，共享使用乙方相关信息，包括身份证件信息、账户信息、通讯信息</w:t>
      </w:r>
      <w:r>
        <w:rPr>
          <w:rFonts w:hint="default"/>
          <w:b/>
        </w:rPr>
        <w:t>等</w:t>
      </w:r>
      <w:r>
        <w:rPr>
          <w:rFonts w:hint="eastAsia"/>
          <w:b/>
        </w:rPr>
        <w:t>。子公司包括苏州银行股份有限公司所设全资子公司以及控股子公司。</w:t>
      </w:r>
    </w:p>
    <w:p w14:paraId="6F5AEDA9">
      <w:pPr>
        <w:pStyle w:val="7"/>
        <w:spacing w:before="0" w:beforeAutospacing="0" w:after="0" w:afterAutospacing="0" w:line="640" w:lineRule="atLeast"/>
        <w:ind w:firstLine="482" w:firstLineChars="200"/>
        <w:rPr>
          <w:rFonts w:hint="eastAsia"/>
          <w:b/>
        </w:rPr>
      </w:pPr>
      <w:r>
        <w:rPr>
          <w:rFonts w:hint="eastAsia" w:ascii="宋体" w:hAnsi="宋体" w:eastAsia="宋体" w:cs="宋体"/>
          <w:b/>
          <w:bCs w:val="0"/>
          <w:sz w:val="24"/>
          <w:szCs w:val="24"/>
          <w:lang w:val="en-US" w:eastAsia="zh-CN" w:bidi="ar"/>
        </w:rPr>
        <w:t>（十五）在乙方贷款约定还款账户内资金余额不足或无法偿还的情况下，甲方有权从乙方在甲方开立的其他账户中扣收相应的逾期欠款。</w:t>
      </w:r>
    </w:p>
    <w:p w14:paraId="369FF289">
      <w:pPr>
        <w:pStyle w:val="7"/>
        <w:spacing w:before="0" w:beforeAutospacing="0" w:after="0" w:afterAutospacing="0" w:line="640" w:lineRule="atLeast"/>
        <w:ind w:firstLine="482" w:firstLineChars="200"/>
        <w:rPr>
          <w:b/>
          <w:bCs/>
        </w:rPr>
      </w:pPr>
      <w:r>
        <w:rPr>
          <w:rFonts w:hint="eastAsia"/>
          <w:b/>
        </w:rPr>
        <w:t>第七条 乙方有义务在接受甲方服务时，向甲方支付服务费用。对于国家价格管理部门认定，实行政府指导价的服务，其收费执行国家价格管理部门所确定的标准；对于实行市场调节价的服务，其收费价格以甲方公示为准，乙方选择该服务项目即视为认可甲方收费标准，应如期向甲方交纳各项费用，乙方同意甲方定期从乙方账户直接扣收约定的费用，如年费、手续费等</w:t>
      </w:r>
      <w:r>
        <w:rPr>
          <w:rFonts w:hint="eastAsia"/>
          <w:b/>
          <w:bCs/>
        </w:rPr>
        <w:t>。</w:t>
      </w:r>
      <w:r>
        <w:rPr>
          <w:rFonts w:hint="eastAsia"/>
          <w:b/>
          <w:bCs/>
          <w:lang w:val="en-US" w:eastAsia="zh-CN"/>
        </w:rPr>
        <w:t>如遇收费价格调整，甲方根据监管规定通过银行网站、手机银行等途径对外公告一定时期后执行，网站和手机银行公告发布后视为通知到达乙方。</w:t>
      </w:r>
      <w:r>
        <w:rPr>
          <w:rFonts w:hint="eastAsia" w:ascii="宋体" w:hAnsi="宋体" w:eastAsia="宋体" w:cs="宋体"/>
          <w:b/>
          <w:bCs/>
          <w:sz w:val="24"/>
          <w:szCs w:val="24"/>
          <w:lang w:val="en-US" w:eastAsia="zh-CN" w:bidi="ar"/>
        </w:rPr>
        <w:t>如乙方对调整后的收费标准存在异议，可咨询营业网点工作人员或致电客服电话（</w:t>
      </w:r>
      <w:r>
        <w:rPr>
          <w:rFonts w:hint="eastAsia" w:cs="宋体"/>
          <w:b/>
          <w:bCs/>
          <w:sz w:val="24"/>
          <w:szCs w:val="24"/>
          <w:lang w:val="en-US" w:eastAsia="zh" w:bidi="ar"/>
        </w:rPr>
        <w:t>0512-</w:t>
      </w:r>
      <w:r>
        <w:rPr>
          <w:rFonts w:hint="eastAsia" w:ascii="宋体" w:hAnsi="宋体" w:eastAsia="宋体" w:cs="宋体"/>
          <w:b/>
          <w:bCs/>
          <w:sz w:val="24"/>
          <w:szCs w:val="24"/>
          <w:lang w:val="en-US" w:eastAsia="zh-CN" w:bidi="ar"/>
        </w:rPr>
        <w:t>96067）</w:t>
      </w:r>
      <w:r>
        <w:rPr>
          <w:rFonts w:hint="default" w:cs="宋体"/>
          <w:b/>
          <w:bCs/>
          <w:sz w:val="24"/>
          <w:szCs w:val="24"/>
          <w:lang w:eastAsia="zh-CN" w:bidi="ar"/>
        </w:rPr>
        <w:t>,乙方</w:t>
      </w:r>
      <w:r>
        <w:rPr>
          <w:rFonts w:hint="eastAsia" w:ascii="宋体" w:hAnsi="宋体" w:eastAsia="宋体" w:cs="宋体"/>
          <w:b/>
          <w:bCs/>
          <w:sz w:val="24"/>
          <w:szCs w:val="24"/>
          <w:lang w:val="en-US" w:eastAsia="zh-CN" w:bidi="ar"/>
        </w:rPr>
        <w:t>有权向甲方申请终止账户服务；如在上述公示生效后乙方继续使用相关服务，视为乙方接受收费标准的调整。</w:t>
      </w:r>
    </w:p>
    <w:p w14:paraId="1BB27C17">
      <w:pPr>
        <w:pStyle w:val="7"/>
        <w:spacing w:before="0" w:beforeAutospacing="0" w:after="0" w:afterAutospacing="0" w:line="640" w:lineRule="atLeast"/>
        <w:ind w:firstLine="480" w:firstLineChars="200"/>
      </w:pPr>
      <w:r>
        <w:rPr>
          <w:rFonts w:hint="eastAsia"/>
        </w:rPr>
        <w:t>第八条 甲方应按照《人民币银行结算账户管理办法》和中国人民银行现金管理有关规定，对乙方转账、现金支取进行监督和管理，并对Ⅱ、Ⅲ类银行账户设置业务限额。</w:t>
      </w:r>
    </w:p>
    <w:p w14:paraId="70964C34">
      <w:pPr>
        <w:pStyle w:val="7"/>
        <w:spacing w:before="0" w:beforeAutospacing="0" w:after="0" w:afterAutospacing="0" w:line="640" w:lineRule="atLeast"/>
        <w:ind w:firstLine="480" w:firstLineChars="200"/>
      </w:pPr>
      <w:r>
        <w:rPr>
          <w:rFonts w:hint="eastAsia"/>
        </w:rPr>
        <w:t>Ⅱ类银行账户非绑定账户转入资金、存入现金日累计限额合计为1万元，年累计限额合计为20万元；消费和缴费、向非绑定账户转出资金、取出现金日累计限额合计为1万元，年累计限额合计为20万元。发放贷款和贷款资金归还，不受转账限额规定。</w:t>
      </w:r>
    </w:p>
    <w:p w14:paraId="028F1285">
      <w:pPr>
        <w:pStyle w:val="7"/>
        <w:spacing w:before="0" w:beforeAutospacing="0" w:after="0" w:afterAutospacing="0" w:line="640" w:lineRule="atLeast"/>
        <w:ind w:firstLine="480" w:firstLineChars="200"/>
      </w:pPr>
      <w:r>
        <w:rPr>
          <w:rFonts w:hint="eastAsia"/>
        </w:rPr>
        <w:t>Ⅲ类银行账户任一时点账户余额不超过2000元，非绑定账户资金转入日累计限额为5000元，年累计限额为10万元；消费和缴费支付、向非绑定账户转出资金日累计限额合计为2000元，年累计限额合计为5万元。</w:t>
      </w:r>
    </w:p>
    <w:p w14:paraId="59F1E73A">
      <w:pPr>
        <w:pStyle w:val="7"/>
        <w:spacing w:before="0" w:beforeAutospacing="0" w:after="0" w:afterAutospacing="0" w:line="640" w:lineRule="atLeast"/>
        <w:ind w:firstLine="480" w:firstLineChars="200"/>
      </w:pPr>
      <w:r>
        <w:rPr>
          <w:rFonts w:hint="eastAsia"/>
        </w:rPr>
        <w:t>绑定账户是指乙方通过电子渠道非面对面申请开立Ⅱ、Ⅲ类银行账户时，应通过绑定乙方同名I类银行账户或信用卡账户作为核验乙方身份信息的手段之一，确定所绑定的账户所有人为乙方本人，该同名账户即为绑定账户。</w:t>
      </w:r>
    </w:p>
    <w:p w14:paraId="4D8B1E2E">
      <w:pPr>
        <w:pStyle w:val="7"/>
        <w:spacing w:before="0" w:beforeAutospacing="0" w:after="0" w:afterAutospacing="0" w:line="640" w:lineRule="atLeast"/>
        <w:ind w:firstLine="480" w:firstLineChars="200"/>
      </w:pPr>
      <w:r>
        <w:rPr>
          <w:rFonts w:hint="eastAsia"/>
        </w:rPr>
        <w:t>第九条 乙方通过非面对面方式只能开立一个允许非绑定账户资金入金的Ⅲ类银行账户。</w:t>
      </w:r>
    </w:p>
    <w:p w14:paraId="393D5C1E">
      <w:pPr>
        <w:pStyle w:val="7"/>
        <w:spacing w:before="0" w:beforeAutospacing="0" w:after="0" w:afterAutospacing="0" w:line="640" w:lineRule="atLeast"/>
        <w:ind w:firstLine="482" w:firstLineChars="200"/>
        <w:rPr>
          <w:b/>
        </w:rPr>
      </w:pPr>
      <w:r>
        <w:rPr>
          <w:rFonts w:hint="eastAsia"/>
          <w:b/>
        </w:rPr>
        <w:t>第十条 乙方在甲方开立的所有Ⅲ类银行账户资金双边收付金额累计达到5万元（含）以上时，应当在7日内向甲方提供有效身份证件并登记身份信息。7日内乙方未按要求提供有效身份证件、登记身份信息的，甲方有权中止乙方在甲方开立的所有Ⅲ类银行账户业务。</w:t>
      </w:r>
    </w:p>
    <w:p w14:paraId="6FE49278">
      <w:pPr>
        <w:pStyle w:val="7"/>
        <w:spacing w:before="0" w:beforeAutospacing="0" w:after="0" w:afterAutospacing="0" w:line="640" w:lineRule="atLeast"/>
        <w:ind w:firstLine="480" w:firstLineChars="200"/>
      </w:pPr>
      <w:r>
        <w:rPr>
          <w:rFonts w:hint="eastAsia"/>
        </w:rPr>
        <w:t>第十一条 乙方可以将在支付机构开立的支付账户绑定本人同名Ⅱ、Ⅲ类账户使用。乙方在甲方非面对面开立的Ⅱ、Ⅲ类账户向乙方同名支付账户充值的，乙方可将充值资金提回Ⅱ、Ⅲ类账户，但提现金额不得超过该Ⅱ、Ⅲ类账户向支付账户的原充值金额。除充值资金提回外，支付账户不得向Ⅱ、Ⅲ类账户入金，但允许非绑定账户入金的Ⅱ、Ⅲ类账户除外。</w:t>
      </w:r>
    </w:p>
    <w:p w14:paraId="2F483365">
      <w:pPr>
        <w:pStyle w:val="7"/>
        <w:spacing w:before="0" w:beforeAutospacing="0" w:after="0" w:afterAutospacing="0" w:line="640" w:lineRule="atLeast"/>
        <w:ind w:firstLine="482" w:firstLineChars="200"/>
        <w:rPr>
          <w:rFonts w:hint="eastAsia"/>
          <w:b/>
        </w:rPr>
      </w:pPr>
      <w:r>
        <w:rPr>
          <w:rFonts w:hint="eastAsia"/>
          <w:b/>
        </w:rPr>
        <w:t xml:space="preserve">第十二条 </w:t>
      </w:r>
      <w:r>
        <w:rPr>
          <w:rFonts w:hint="eastAsia"/>
          <w:b/>
          <w:bCs w:val="0"/>
          <w:lang w:eastAsia="zh-CN"/>
        </w:rPr>
        <w:t>甲方可根据国家政策、监管规定以及内部风险管理规定等，结合乙方身份信息特征、账户使用情况等信息，为乙方账户设置非柜面渠道出账限额，并与乙方约定非柜面渠道出账的日累计限额、笔数和年累计限额等。甲方有权根据乙方账户风险评估最新情况对非柜面渠道出账限额进行动态调整。</w:t>
      </w:r>
    </w:p>
    <w:p w14:paraId="4F2F20E9">
      <w:pPr>
        <w:pStyle w:val="7"/>
        <w:spacing w:before="0" w:beforeAutospacing="0" w:after="0" w:afterAutospacing="0" w:line="640" w:lineRule="atLeast"/>
        <w:ind w:firstLine="480" w:firstLineChars="200"/>
      </w:pPr>
      <w:r>
        <w:rPr>
          <w:rFonts w:hint="eastAsia"/>
        </w:rPr>
        <w:t>第十三条 乙方通过电子渠道非面对面办理Ⅱ、Ⅲ类银行账户</w:t>
      </w:r>
      <w:r>
        <w:rPr>
          <w:rFonts w:hint="default"/>
        </w:rPr>
        <w:t>户名</w:t>
      </w:r>
      <w:r>
        <w:rPr>
          <w:rFonts w:hint="eastAsia"/>
        </w:rPr>
        <w:t>、</w:t>
      </w:r>
      <w:r>
        <w:rPr>
          <w:rFonts w:hint="default"/>
        </w:rPr>
        <w:t>居民</w:t>
      </w:r>
      <w:r>
        <w:rPr>
          <w:rFonts w:hint="eastAsia"/>
        </w:rPr>
        <w:t>身份证号码、手机号码、绑定账户变更业务时，应根据甲方要求重新验证身份信息，并配合甲方核实个人变更信息的真实意愿。</w:t>
      </w:r>
    </w:p>
    <w:p w14:paraId="5319F547">
      <w:pPr>
        <w:pStyle w:val="7"/>
        <w:spacing w:before="0" w:beforeAutospacing="0" w:after="0" w:afterAutospacing="0" w:line="640" w:lineRule="atLeast"/>
        <w:ind w:firstLine="480" w:firstLineChars="200"/>
      </w:pPr>
      <w:r>
        <w:rPr>
          <w:rFonts w:hint="eastAsia"/>
        </w:rPr>
        <w:t>乙方通过电子渠道非面对面办理Ⅱ、Ⅲ类银行账户户名、居民</w:t>
      </w:r>
      <w:r>
        <w:rPr>
          <w:rFonts w:hint="default"/>
        </w:rPr>
        <w:t>身份</w:t>
      </w:r>
      <w:r>
        <w:rPr>
          <w:rFonts w:hint="eastAsia"/>
        </w:rPr>
        <w:t>证号码变更，且绑定账户为他行账户的，乙方应先将Ⅱ类账户所有的投资理财等金融产品赎回、提前支取定期存款，将Ⅱ、Ⅲ类银行账户资金全部转回绑定账户后再予以变更。</w:t>
      </w:r>
    </w:p>
    <w:p w14:paraId="2CEB837C">
      <w:pPr>
        <w:pStyle w:val="7"/>
        <w:spacing w:before="0" w:beforeAutospacing="0" w:after="0" w:afterAutospacing="0" w:line="640" w:lineRule="atLeast"/>
        <w:ind w:firstLine="480" w:firstLineChars="200"/>
      </w:pPr>
      <w:r>
        <w:rPr>
          <w:rFonts w:hint="eastAsia"/>
        </w:rPr>
        <w:t>第十四条 账户核对</w:t>
      </w:r>
    </w:p>
    <w:p w14:paraId="43268820">
      <w:pPr>
        <w:pStyle w:val="7"/>
        <w:spacing w:before="0" w:beforeAutospacing="0" w:after="0" w:afterAutospacing="0" w:line="640" w:lineRule="atLeast"/>
        <w:ind w:firstLine="480" w:firstLineChars="200"/>
      </w:pPr>
      <w:r>
        <w:rPr>
          <w:rFonts w:hint="eastAsia"/>
        </w:rPr>
        <w:t>（一）乙方可采取如下账务核对方式：</w:t>
      </w:r>
    </w:p>
    <w:p w14:paraId="33C827B8">
      <w:pPr>
        <w:pStyle w:val="7"/>
        <w:spacing w:before="0" w:beforeAutospacing="0" w:after="0" w:afterAutospacing="0" w:line="640" w:lineRule="atLeast"/>
        <w:ind w:firstLine="480" w:firstLineChars="200"/>
      </w:pPr>
      <w:r>
        <w:t>1、乙方在甲方开立存折户时凭折核对，打印存折视同对账信息送达并核对。</w:t>
      </w:r>
    </w:p>
    <w:p w14:paraId="21C66E73">
      <w:pPr>
        <w:pStyle w:val="7"/>
        <w:spacing w:before="0" w:beforeAutospacing="0" w:after="0" w:afterAutospacing="0" w:line="640" w:lineRule="atLeast"/>
        <w:ind w:firstLine="480" w:firstLineChars="200"/>
      </w:pPr>
      <w:r>
        <w:t>2</w:t>
      </w:r>
      <w:r>
        <w:rPr>
          <w:rFonts w:hint="eastAsia"/>
        </w:rPr>
        <w:t>、甲方可通过柜面、网上银行、电话银行、手机银行、自助设备等方式为乙方提供查询或打印分户账、明细账等服务，以乙方查询或打印时视同对账信息已送达。</w:t>
      </w:r>
    </w:p>
    <w:p w14:paraId="27B2F076">
      <w:pPr>
        <w:pStyle w:val="7"/>
        <w:spacing w:before="0" w:beforeAutospacing="0" w:after="0" w:afterAutospacing="0" w:line="640" w:lineRule="atLeast"/>
        <w:ind w:firstLine="480" w:firstLineChars="200"/>
      </w:pPr>
      <w:r>
        <w:t>3、其他方式。</w:t>
      </w:r>
    </w:p>
    <w:p w14:paraId="3E9A23C9">
      <w:pPr>
        <w:pStyle w:val="7"/>
        <w:spacing w:before="0" w:beforeAutospacing="0" w:after="0" w:afterAutospacing="0" w:line="640" w:lineRule="atLeast"/>
        <w:ind w:firstLine="480" w:firstLineChars="200"/>
      </w:pPr>
      <w:r>
        <w:rPr>
          <w:rFonts w:hint="eastAsia"/>
        </w:rPr>
        <w:t>（二）甲方为乙方提供真实、准确、完整对账数据，并对数据的真实性负责。</w:t>
      </w:r>
    </w:p>
    <w:p w14:paraId="14AC6C26">
      <w:pPr>
        <w:pStyle w:val="7"/>
        <w:spacing w:before="0" w:beforeAutospacing="0" w:after="0" w:afterAutospacing="0" w:line="640" w:lineRule="atLeast"/>
        <w:ind w:firstLine="480" w:firstLineChars="200"/>
      </w:pPr>
      <w:r>
        <w:rPr>
          <w:rFonts w:hint="eastAsia"/>
        </w:rPr>
        <w:t>（三）乙方在账务核对中发现账务不符，应及时向甲方反映，甲方应与乙方配合，及时处理有关差错，确保账务记载准确无误。</w:t>
      </w:r>
    </w:p>
    <w:p w14:paraId="29979D24">
      <w:pPr>
        <w:pStyle w:val="7"/>
        <w:spacing w:before="0" w:beforeAutospacing="0" w:after="0" w:afterAutospacing="0" w:line="640" w:lineRule="atLeast"/>
        <w:ind w:firstLine="482" w:firstLineChars="200"/>
        <w:rPr>
          <w:b/>
        </w:rPr>
      </w:pPr>
      <w:r>
        <w:rPr>
          <w:rFonts w:hint="eastAsia"/>
          <w:b/>
        </w:rPr>
        <w:t>第十五条 乙方如遗失卡片、遗忘个人密码，必须立即携带本人有效身份证件到甲方办理书面挂失或通过客服电话（</w:t>
      </w:r>
      <w:r>
        <w:rPr>
          <w:rFonts w:hint="eastAsia" w:ascii="宋体" w:hAnsi="宋体" w:eastAsia="宋体" w:cs="宋体"/>
          <w:b/>
          <w:bCs w:val="0"/>
          <w:sz w:val="24"/>
          <w:szCs w:val="24"/>
          <w:lang w:val="en-US" w:eastAsia="zh-CN" w:bidi="ar"/>
        </w:rPr>
        <w:t>0512-96067</w:t>
      </w:r>
      <w:r>
        <w:rPr>
          <w:rFonts w:hint="eastAsia"/>
          <w:b/>
        </w:rPr>
        <w:t>）、手机银行、网上银行等电子渠道办理口头挂失，口头挂失期满前应及时办理书面挂失手续，挂失前以及挂失失效后而导致的一切损失由乙方承担。</w:t>
      </w:r>
    </w:p>
    <w:p w14:paraId="7A125E3D">
      <w:pPr>
        <w:pStyle w:val="7"/>
        <w:spacing w:before="0" w:beforeAutospacing="0" w:after="0" w:afterAutospacing="0" w:line="640" w:lineRule="atLeast"/>
        <w:ind w:firstLine="480" w:firstLineChars="200"/>
      </w:pPr>
      <w:r>
        <w:rPr>
          <w:rFonts w:hint="eastAsia"/>
        </w:rPr>
        <w:t>第十六条 乙方撤销银行结算账户，必须与甲方核对银行结算账户存款余额，</w:t>
      </w:r>
      <w:r>
        <w:rPr>
          <w:rFonts w:hint="default"/>
        </w:rPr>
        <w:t>出示</w:t>
      </w:r>
      <w:r>
        <w:rPr>
          <w:rFonts w:hint="eastAsia"/>
        </w:rPr>
        <w:t>卡、存折等，甲方核对无误后方可为其办理销户手续。</w:t>
      </w:r>
    </w:p>
    <w:p w14:paraId="49407F06">
      <w:pPr>
        <w:pStyle w:val="7"/>
        <w:spacing w:before="0" w:beforeAutospacing="0" w:after="0" w:afterAutospacing="0" w:line="640" w:lineRule="atLeast"/>
        <w:ind w:firstLine="480" w:firstLineChars="200"/>
      </w:pPr>
      <w:r>
        <w:rPr>
          <w:rFonts w:hint="eastAsia"/>
        </w:rPr>
        <w:t>乙方通过甲方电子渠道开立的Ⅱ、Ⅲ类银行账户，</w:t>
      </w:r>
      <w:r>
        <w:rPr>
          <w:rFonts w:hint="eastAsia" w:ascii="宋体" w:hAnsi="宋体" w:eastAsia="宋体" w:cs="宋体"/>
          <w:sz w:val="24"/>
          <w:szCs w:val="24"/>
          <w:lang w:val="en-US" w:eastAsia="zh-CN" w:bidi="ar"/>
        </w:rPr>
        <w:t>可以通过电子渠道办理销户业务</w:t>
      </w:r>
      <w:r>
        <w:rPr>
          <w:rFonts w:hint="eastAsia"/>
        </w:rPr>
        <w:t>。通过电子渠道办理Ⅱ、Ⅲ类银行账户销户时，绑定账户已销户的，乙方应按新开户要求重新验证个人身份信息后绑定新的I类</w:t>
      </w:r>
      <w:r>
        <w:rPr>
          <w:rFonts w:hint="default"/>
        </w:rPr>
        <w:t>银行</w:t>
      </w:r>
      <w:r>
        <w:rPr>
          <w:rFonts w:hint="eastAsia"/>
        </w:rPr>
        <w:t>账户，将Ⅱ、Ⅲ类账户资金转回绑定账户后再办理销户。</w:t>
      </w:r>
    </w:p>
    <w:p w14:paraId="0D09EB5C">
      <w:pPr>
        <w:pStyle w:val="7"/>
        <w:spacing w:before="0" w:beforeAutospacing="0" w:after="0" w:afterAutospacing="0" w:line="640" w:lineRule="atLeast"/>
        <w:ind w:firstLine="480" w:firstLineChars="200"/>
      </w:pPr>
      <w:r>
        <w:rPr>
          <w:rFonts w:hint="eastAsia"/>
        </w:rPr>
        <w:t>第十七条 违约责任</w:t>
      </w:r>
    </w:p>
    <w:p w14:paraId="70702851">
      <w:pPr>
        <w:pStyle w:val="7"/>
        <w:spacing w:before="0" w:beforeAutospacing="0" w:after="0" w:afterAutospacing="0" w:line="640" w:lineRule="atLeast"/>
        <w:ind w:firstLine="480" w:firstLineChars="200"/>
      </w:pPr>
      <w:r>
        <w:rPr>
          <w:rFonts w:hint="eastAsia"/>
        </w:rPr>
        <w:t>（一）除法律法规规定外，甲方未对乙方银行结算账户信息进行保密，因此造成乙方资金损失，甲方根据相关规定承担相应责任（因乙方过失的除外）；</w:t>
      </w:r>
    </w:p>
    <w:p w14:paraId="2FCB4A35">
      <w:pPr>
        <w:pStyle w:val="7"/>
        <w:spacing w:before="0" w:beforeAutospacing="0" w:after="0" w:afterAutospacing="0" w:line="640" w:lineRule="atLeast"/>
        <w:ind w:firstLine="480" w:firstLineChars="200"/>
      </w:pPr>
      <w:r>
        <w:rPr>
          <w:rFonts w:hint="eastAsia"/>
        </w:rPr>
        <w:t>（二）甲方未能为乙方及时、准确地办理资金收付业务，对乙方造成重大资金损失，甲方应按有关规定承担相应责任（因乙方过失的除外）；</w:t>
      </w:r>
    </w:p>
    <w:p w14:paraId="7C293BE9">
      <w:pPr>
        <w:pStyle w:val="7"/>
        <w:spacing w:before="0" w:beforeAutospacing="0" w:after="0" w:afterAutospacing="0" w:line="640" w:lineRule="atLeast"/>
        <w:ind w:firstLine="482" w:firstLineChars="200"/>
        <w:rPr>
          <w:b/>
        </w:rPr>
      </w:pPr>
      <w:r>
        <w:rPr>
          <w:rFonts w:hint="eastAsia"/>
          <w:b/>
        </w:rPr>
        <w:t>（三）乙方在银行结算账户的使用中不执行有关规定，构成犯罪的，由司法机关依法追究相应法律责任；造成甲方损失的，乙方应以甲方实际损失额承担赔偿责任。</w:t>
      </w:r>
    </w:p>
    <w:p w14:paraId="59EB0C7B">
      <w:pPr>
        <w:pStyle w:val="7"/>
        <w:spacing w:before="0" w:beforeAutospacing="0" w:after="0" w:afterAutospacing="0" w:line="640" w:lineRule="atLeast"/>
        <w:ind w:firstLine="482" w:firstLineChars="200"/>
        <w:rPr>
          <w:b/>
        </w:rPr>
      </w:pPr>
      <w:r>
        <w:rPr>
          <w:rFonts w:hint="eastAsia"/>
          <w:b/>
        </w:rPr>
        <w:t>（四）乙方开户资料的变更未在规定时间通知甲方，造成甲方无法准确、及时地为其处理有关业务时，甲方不承担任何责任。</w:t>
      </w:r>
    </w:p>
    <w:p w14:paraId="6F4A120E">
      <w:pPr>
        <w:pStyle w:val="7"/>
        <w:spacing w:before="0" w:beforeAutospacing="0" w:after="0" w:afterAutospacing="0" w:line="640" w:lineRule="atLeast"/>
        <w:ind w:firstLine="482" w:firstLineChars="200"/>
        <w:rPr>
          <w:b/>
        </w:rPr>
      </w:pPr>
      <w:r>
        <w:rPr>
          <w:rFonts w:hint="eastAsia"/>
          <w:b/>
        </w:rPr>
        <w:t>（五）乙方不按规定使用支付结算工具及不按规定支付服务费用，甲方有权停止其结算账户的支付</w:t>
      </w:r>
      <w:r>
        <w:rPr>
          <w:rFonts w:hint="default"/>
          <w:b/>
        </w:rPr>
        <w:t>业务</w:t>
      </w:r>
      <w:r>
        <w:rPr>
          <w:rFonts w:hint="eastAsia"/>
          <w:b/>
        </w:rPr>
        <w:t>，乙方应承担相应的违约责任。</w:t>
      </w:r>
    </w:p>
    <w:p w14:paraId="6E5179D2">
      <w:pPr>
        <w:pStyle w:val="7"/>
        <w:spacing w:before="0" w:beforeAutospacing="0" w:after="0" w:afterAutospacing="0" w:line="640" w:lineRule="atLeast"/>
        <w:ind w:firstLine="482" w:firstLineChars="200"/>
        <w:rPr>
          <w:b/>
        </w:rPr>
      </w:pPr>
      <w:r>
        <w:rPr>
          <w:rFonts w:hint="eastAsia"/>
          <w:b/>
        </w:rPr>
        <w:t>（六）乙方未按规定与甲方核对账务，未及时向甲方提出账务不符而造成损失的，甲方不负任何责任。</w:t>
      </w:r>
    </w:p>
    <w:p w14:paraId="10261834">
      <w:pPr>
        <w:pStyle w:val="7"/>
        <w:spacing w:before="0" w:beforeAutospacing="0" w:after="0" w:afterAutospacing="0" w:line="640" w:lineRule="atLeast"/>
        <w:ind w:firstLine="482" w:firstLineChars="200"/>
        <w:rPr>
          <w:rFonts w:hint="eastAsia"/>
          <w:b/>
        </w:rPr>
      </w:pPr>
      <w:r>
        <w:rPr>
          <w:rFonts w:hint="eastAsia"/>
          <w:b/>
        </w:rPr>
        <w:t>（七）协议存续期间，乙方无正当、合理理由或向甲方做出说明，擅自终止协议，给甲方造成损失的，乙方以甲方实际的损失额承担相应赔偿责任。</w:t>
      </w:r>
    </w:p>
    <w:p w14:paraId="61133AD3">
      <w:pPr>
        <w:pStyle w:val="7"/>
        <w:spacing w:before="0" w:beforeAutospacing="0" w:after="0" w:afterAutospacing="0" w:line="560" w:lineRule="exact"/>
        <w:ind w:firstLine="482" w:firstLineChars="200"/>
        <w:jc w:val="both"/>
        <w:rPr>
          <w:rFonts w:hint="eastAsia"/>
          <w:b/>
        </w:rPr>
      </w:pPr>
      <w:r>
        <w:rPr>
          <w:b/>
          <w:bCs w:val="0"/>
          <w:lang w:eastAsia="zh-CN"/>
        </w:rPr>
        <w:t>（八）乙方对个人账户资料等信息保管不当所造成的风险和损失，由乙方承担。</w:t>
      </w:r>
    </w:p>
    <w:p w14:paraId="49CB306F">
      <w:pPr>
        <w:pStyle w:val="7"/>
        <w:spacing w:before="0" w:beforeAutospacing="0" w:after="0" w:afterAutospacing="0" w:line="640" w:lineRule="atLeast"/>
        <w:ind w:firstLine="482" w:firstLineChars="200"/>
        <w:rPr>
          <w:b/>
        </w:rPr>
      </w:pPr>
      <w:r>
        <w:rPr>
          <w:rFonts w:hint="eastAsia"/>
          <w:b/>
        </w:rPr>
        <w:t>第十八条 争议的解决</w:t>
      </w:r>
    </w:p>
    <w:p w14:paraId="2B13C54F">
      <w:pPr>
        <w:pStyle w:val="7"/>
        <w:spacing w:before="0" w:beforeAutospacing="0" w:after="0" w:afterAutospacing="0" w:line="640" w:lineRule="atLeast"/>
        <w:ind w:firstLine="482" w:firstLineChars="200"/>
        <w:rPr>
          <w:b/>
        </w:rPr>
      </w:pPr>
      <w:r>
        <w:rPr>
          <w:rFonts w:hint="eastAsia"/>
          <w:b/>
        </w:rPr>
        <w:t>本协议履行中发生争议，先由双方协商解决；若协商不成须通过诉讼解决的，由甲方所在地人民法院管辖。</w:t>
      </w:r>
    </w:p>
    <w:p w14:paraId="485DD2AB">
      <w:pPr>
        <w:pStyle w:val="7"/>
        <w:spacing w:before="0" w:beforeAutospacing="0" w:after="0" w:afterAutospacing="0" w:line="640" w:lineRule="atLeast"/>
        <w:ind w:firstLine="482" w:firstLineChars="200"/>
        <w:rPr>
          <w:b/>
        </w:rPr>
      </w:pPr>
      <w:r>
        <w:rPr>
          <w:rFonts w:hint="eastAsia"/>
          <w:b/>
        </w:rPr>
        <w:t>第十九条 如法律法规或监管部门对个人银行结算账户有新的规定的，甲方将对协议内容依法作出调整。</w:t>
      </w:r>
      <w:r>
        <w:rPr>
          <w:rFonts w:hint="eastAsia"/>
          <w:b/>
          <w:bCs/>
          <w:lang w:val="en-US" w:eastAsia="zh-CN"/>
        </w:rPr>
        <w:t>变更后的协议将在甲方官方网站进行公告，公告发布后视为通知到达乙方。</w:t>
      </w:r>
      <w:r>
        <w:rPr>
          <w:rFonts w:hint="eastAsia"/>
          <w:b/>
        </w:rPr>
        <w:t>公告期内，乙方可以选择是否继续使用个人银行结算账户，乙方如不同意变更的，可按规定销户，继续使用个人银行结算账户的，视同乙方同意有关变更，公告期满即为生效。</w:t>
      </w:r>
    </w:p>
    <w:p w14:paraId="49B25065">
      <w:pPr>
        <w:pStyle w:val="7"/>
        <w:spacing w:before="0" w:beforeAutospacing="0" w:after="0" w:afterAutospacing="0" w:line="640" w:lineRule="atLeast"/>
        <w:ind w:firstLine="480" w:firstLineChars="200"/>
      </w:pPr>
      <w:r>
        <w:rPr>
          <w:rFonts w:hint="eastAsia"/>
        </w:rPr>
        <w:t>第二十条 本协议于乙方在甲方开立的银行结算账户存续期间有效，如乙方撤销在甲方开立的银行结算账户，自办理完毕销户手续之日起自动终止。</w:t>
      </w:r>
    </w:p>
    <w:p w14:paraId="2FD6A16A">
      <w:pPr>
        <w:pStyle w:val="7"/>
        <w:spacing w:before="0" w:beforeAutospacing="0" w:after="0" w:afterAutospacing="0" w:line="640" w:lineRule="atLeast"/>
        <w:ind w:firstLine="480" w:firstLineChars="200"/>
      </w:pPr>
      <w:r>
        <w:rPr>
          <w:rFonts w:hint="eastAsia"/>
        </w:rPr>
        <w:t>第二十一条 本协议生效后实施的法律法规和监管规章的有关规定与本协议内容冲突的，以有关法律法规和监管规章规定为准。本协议未尽事宜，按照有关法律、法规执行。</w:t>
      </w:r>
    </w:p>
    <w:p w14:paraId="14C5C0D7">
      <w:pPr>
        <w:pStyle w:val="7"/>
        <w:spacing w:before="0" w:beforeAutospacing="0" w:after="0" w:afterAutospacing="0" w:line="640" w:lineRule="atLeast"/>
        <w:ind w:firstLine="482" w:firstLineChars="200"/>
        <w:rPr>
          <w:b/>
        </w:rPr>
      </w:pPr>
      <w:r>
        <w:rPr>
          <w:rFonts w:hint="eastAsia"/>
          <w:b/>
        </w:rPr>
        <w:t>第二十二条 乙方在此确认：甲方已采取合理方式提请乙方注意本合同项下免除或限制甲方责任的条款，并按乙方要求对有关条款予以充分说明；甲乙双方对本合同所有条款内容的理解不存在异议。</w:t>
      </w:r>
    </w:p>
    <w:p w14:paraId="14FD2D96">
      <w:pPr>
        <w:ind w:firstLine="48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54AE">
    <w:pPr>
      <w:pStyle w:val="6"/>
    </w:pPr>
    <w:r>
      <w:rPr>
        <w:rFonts w:hint="eastAsia"/>
      </w:rPr>
      <w:t xml:space="preserve">                                                                            V.</w:t>
    </w:r>
    <w:r>
      <w:rPr>
        <w:rFonts w:hint="default"/>
      </w:rPr>
      <w:t>202</w:t>
    </w:r>
    <w:r>
      <w:rPr>
        <w:rFonts w:hint="eastAsia"/>
        <w:lang w:eastAsia="zh"/>
      </w:rPr>
      <w:t>603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forms" w:enforcement="1" w:cryptProviderType="rsaFull" w:cryptAlgorithmClass="hash" w:cryptAlgorithmType="typeAny" w:cryptAlgorithmSid="4" w:cryptSpinCount="0" w:hash="Qzd4SlhHRn6mWsYTEPo3VG6FE9A=" w:salt="cKJ7fRZ+vQoNHfdS/EQGE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B5"/>
    <w:rsid w:val="000036B2"/>
    <w:rsid w:val="0002284F"/>
    <w:rsid w:val="00026A77"/>
    <w:rsid w:val="000275E6"/>
    <w:rsid w:val="00035007"/>
    <w:rsid w:val="000450DB"/>
    <w:rsid w:val="00052669"/>
    <w:rsid w:val="00062002"/>
    <w:rsid w:val="000647DC"/>
    <w:rsid w:val="00067838"/>
    <w:rsid w:val="00083ADE"/>
    <w:rsid w:val="000B423F"/>
    <w:rsid w:val="000C1D65"/>
    <w:rsid w:val="000D67F1"/>
    <w:rsid w:val="000E191F"/>
    <w:rsid w:val="000E2406"/>
    <w:rsid w:val="000E331B"/>
    <w:rsid w:val="000F51B8"/>
    <w:rsid w:val="001109C4"/>
    <w:rsid w:val="001132BB"/>
    <w:rsid w:val="00113420"/>
    <w:rsid w:val="00120476"/>
    <w:rsid w:val="001247F1"/>
    <w:rsid w:val="00144F99"/>
    <w:rsid w:val="0014580E"/>
    <w:rsid w:val="00145F91"/>
    <w:rsid w:val="00146633"/>
    <w:rsid w:val="00146E72"/>
    <w:rsid w:val="001513DB"/>
    <w:rsid w:val="00153968"/>
    <w:rsid w:val="00157301"/>
    <w:rsid w:val="001716B0"/>
    <w:rsid w:val="0017407B"/>
    <w:rsid w:val="00194120"/>
    <w:rsid w:val="00195FC7"/>
    <w:rsid w:val="00197C00"/>
    <w:rsid w:val="001A4BAE"/>
    <w:rsid w:val="001A61F5"/>
    <w:rsid w:val="001C0C36"/>
    <w:rsid w:val="001C33A1"/>
    <w:rsid w:val="001D5C33"/>
    <w:rsid w:val="001D7565"/>
    <w:rsid w:val="001E3A48"/>
    <w:rsid w:val="00200D7D"/>
    <w:rsid w:val="0020620E"/>
    <w:rsid w:val="00210ED4"/>
    <w:rsid w:val="00211BDE"/>
    <w:rsid w:val="00212690"/>
    <w:rsid w:val="00257949"/>
    <w:rsid w:val="00260AA7"/>
    <w:rsid w:val="00275714"/>
    <w:rsid w:val="00280BDE"/>
    <w:rsid w:val="00282350"/>
    <w:rsid w:val="00292508"/>
    <w:rsid w:val="0029516F"/>
    <w:rsid w:val="002A1644"/>
    <w:rsid w:val="002A330F"/>
    <w:rsid w:val="002B59F2"/>
    <w:rsid w:val="002B64E7"/>
    <w:rsid w:val="002C14A0"/>
    <w:rsid w:val="002C6B94"/>
    <w:rsid w:val="002D1342"/>
    <w:rsid w:val="002D20C9"/>
    <w:rsid w:val="002D2AD6"/>
    <w:rsid w:val="002D5B41"/>
    <w:rsid w:val="002D7F82"/>
    <w:rsid w:val="002E0590"/>
    <w:rsid w:val="002E0EDA"/>
    <w:rsid w:val="002F0712"/>
    <w:rsid w:val="002F5C6A"/>
    <w:rsid w:val="00300F07"/>
    <w:rsid w:val="00301F15"/>
    <w:rsid w:val="003140B6"/>
    <w:rsid w:val="00317780"/>
    <w:rsid w:val="00321E3B"/>
    <w:rsid w:val="00322855"/>
    <w:rsid w:val="0032353E"/>
    <w:rsid w:val="003243DC"/>
    <w:rsid w:val="0033511D"/>
    <w:rsid w:val="003365FA"/>
    <w:rsid w:val="00346B37"/>
    <w:rsid w:val="00351DDC"/>
    <w:rsid w:val="003603A4"/>
    <w:rsid w:val="00367F12"/>
    <w:rsid w:val="0037044E"/>
    <w:rsid w:val="003715F4"/>
    <w:rsid w:val="00372136"/>
    <w:rsid w:val="0038173C"/>
    <w:rsid w:val="00383B46"/>
    <w:rsid w:val="00392669"/>
    <w:rsid w:val="003A6A4C"/>
    <w:rsid w:val="003D0BDB"/>
    <w:rsid w:val="003D233E"/>
    <w:rsid w:val="003D30B6"/>
    <w:rsid w:val="003D6A1F"/>
    <w:rsid w:val="003E08BA"/>
    <w:rsid w:val="003F0E02"/>
    <w:rsid w:val="00403F9F"/>
    <w:rsid w:val="00411648"/>
    <w:rsid w:val="00415CA3"/>
    <w:rsid w:val="0042643C"/>
    <w:rsid w:val="00431B36"/>
    <w:rsid w:val="00450EB9"/>
    <w:rsid w:val="0046137A"/>
    <w:rsid w:val="00462A4E"/>
    <w:rsid w:val="00463B12"/>
    <w:rsid w:val="004679E7"/>
    <w:rsid w:val="00470655"/>
    <w:rsid w:val="00471940"/>
    <w:rsid w:val="00481441"/>
    <w:rsid w:val="004874D0"/>
    <w:rsid w:val="004907A2"/>
    <w:rsid w:val="004935D8"/>
    <w:rsid w:val="00497578"/>
    <w:rsid w:val="004B7F9F"/>
    <w:rsid w:val="004C12F2"/>
    <w:rsid w:val="004C13BC"/>
    <w:rsid w:val="004C42DE"/>
    <w:rsid w:val="004C64E7"/>
    <w:rsid w:val="004D145A"/>
    <w:rsid w:val="004D2A77"/>
    <w:rsid w:val="004D75B5"/>
    <w:rsid w:val="004F56DC"/>
    <w:rsid w:val="004F7C31"/>
    <w:rsid w:val="00500D24"/>
    <w:rsid w:val="00503937"/>
    <w:rsid w:val="00505734"/>
    <w:rsid w:val="0050638C"/>
    <w:rsid w:val="00506FC0"/>
    <w:rsid w:val="00514002"/>
    <w:rsid w:val="0051581A"/>
    <w:rsid w:val="00515B01"/>
    <w:rsid w:val="00521D02"/>
    <w:rsid w:val="0052246E"/>
    <w:rsid w:val="0052380C"/>
    <w:rsid w:val="005247CE"/>
    <w:rsid w:val="00525183"/>
    <w:rsid w:val="00525380"/>
    <w:rsid w:val="00540662"/>
    <w:rsid w:val="00541CBB"/>
    <w:rsid w:val="0055299C"/>
    <w:rsid w:val="00565008"/>
    <w:rsid w:val="00567483"/>
    <w:rsid w:val="00567EB6"/>
    <w:rsid w:val="005728DE"/>
    <w:rsid w:val="00575933"/>
    <w:rsid w:val="00587B07"/>
    <w:rsid w:val="005A3466"/>
    <w:rsid w:val="005B26EE"/>
    <w:rsid w:val="005C1EC7"/>
    <w:rsid w:val="005C2597"/>
    <w:rsid w:val="005C470C"/>
    <w:rsid w:val="005E036A"/>
    <w:rsid w:val="005E5AE6"/>
    <w:rsid w:val="005F027C"/>
    <w:rsid w:val="005F3D9F"/>
    <w:rsid w:val="00607C0D"/>
    <w:rsid w:val="00610C44"/>
    <w:rsid w:val="00616A86"/>
    <w:rsid w:val="00635E5F"/>
    <w:rsid w:val="00635F8A"/>
    <w:rsid w:val="00643D3D"/>
    <w:rsid w:val="00644A5F"/>
    <w:rsid w:val="0065262D"/>
    <w:rsid w:val="00653248"/>
    <w:rsid w:val="00654C59"/>
    <w:rsid w:val="00661412"/>
    <w:rsid w:val="00671BFC"/>
    <w:rsid w:val="00675F63"/>
    <w:rsid w:val="00681D7D"/>
    <w:rsid w:val="006A0EE5"/>
    <w:rsid w:val="006A5EDF"/>
    <w:rsid w:val="006A739F"/>
    <w:rsid w:val="006B5E93"/>
    <w:rsid w:val="006B64F8"/>
    <w:rsid w:val="006B77CE"/>
    <w:rsid w:val="006C4CAB"/>
    <w:rsid w:val="006F5E2F"/>
    <w:rsid w:val="006F76C3"/>
    <w:rsid w:val="006F772D"/>
    <w:rsid w:val="00705051"/>
    <w:rsid w:val="007062C6"/>
    <w:rsid w:val="00710480"/>
    <w:rsid w:val="0071508C"/>
    <w:rsid w:val="00716B15"/>
    <w:rsid w:val="007205F5"/>
    <w:rsid w:val="00723A14"/>
    <w:rsid w:val="007247C7"/>
    <w:rsid w:val="00742721"/>
    <w:rsid w:val="00760482"/>
    <w:rsid w:val="00761C1E"/>
    <w:rsid w:val="0077224A"/>
    <w:rsid w:val="00780D9D"/>
    <w:rsid w:val="0078129F"/>
    <w:rsid w:val="00784F55"/>
    <w:rsid w:val="00785AD2"/>
    <w:rsid w:val="0078628B"/>
    <w:rsid w:val="007A1AFB"/>
    <w:rsid w:val="007A4073"/>
    <w:rsid w:val="007A5343"/>
    <w:rsid w:val="007B3A5E"/>
    <w:rsid w:val="007C6A29"/>
    <w:rsid w:val="007D2E31"/>
    <w:rsid w:val="007D462B"/>
    <w:rsid w:val="007E7B29"/>
    <w:rsid w:val="00802510"/>
    <w:rsid w:val="008107F2"/>
    <w:rsid w:val="00811654"/>
    <w:rsid w:val="0081623D"/>
    <w:rsid w:val="00817D5F"/>
    <w:rsid w:val="00825617"/>
    <w:rsid w:val="008264BC"/>
    <w:rsid w:val="00834044"/>
    <w:rsid w:val="00844A4B"/>
    <w:rsid w:val="00851AAE"/>
    <w:rsid w:val="00853FEA"/>
    <w:rsid w:val="008548BD"/>
    <w:rsid w:val="00857062"/>
    <w:rsid w:val="008607C4"/>
    <w:rsid w:val="00883426"/>
    <w:rsid w:val="00892355"/>
    <w:rsid w:val="00894655"/>
    <w:rsid w:val="008A56B0"/>
    <w:rsid w:val="008B4A5D"/>
    <w:rsid w:val="008C2D5F"/>
    <w:rsid w:val="008C46BD"/>
    <w:rsid w:val="008D09CA"/>
    <w:rsid w:val="008D4B33"/>
    <w:rsid w:val="008D791A"/>
    <w:rsid w:val="008F2F8F"/>
    <w:rsid w:val="00906B5D"/>
    <w:rsid w:val="00910AE5"/>
    <w:rsid w:val="00912A0E"/>
    <w:rsid w:val="00913031"/>
    <w:rsid w:val="00914674"/>
    <w:rsid w:val="00933142"/>
    <w:rsid w:val="009370EC"/>
    <w:rsid w:val="0093788D"/>
    <w:rsid w:val="00955562"/>
    <w:rsid w:val="009577DF"/>
    <w:rsid w:val="00964918"/>
    <w:rsid w:val="00970A03"/>
    <w:rsid w:val="00973B92"/>
    <w:rsid w:val="00980001"/>
    <w:rsid w:val="009803CE"/>
    <w:rsid w:val="00990521"/>
    <w:rsid w:val="0099741F"/>
    <w:rsid w:val="009A3DDD"/>
    <w:rsid w:val="009B3879"/>
    <w:rsid w:val="009C1FD1"/>
    <w:rsid w:val="009D0EBF"/>
    <w:rsid w:val="009D5206"/>
    <w:rsid w:val="009E1F85"/>
    <w:rsid w:val="009E2308"/>
    <w:rsid w:val="009E6DA6"/>
    <w:rsid w:val="009F2625"/>
    <w:rsid w:val="00A13AEB"/>
    <w:rsid w:val="00A15D6D"/>
    <w:rsid w:val="00A222A9"/>
    <w:rsid w:val="00A31679"/>
    <w:rsid w:val="00A34A11"/>
    <w:rsid w:val="00A3550A"/>
    <w:rsid w:val="00A37417"/>
    <w:rsid w:val="00A46E51"/>
    <w:rsid w:val="00A53D93"/>
    <w:rsid w:val="00A6482A"/>
    <w:rsid w:val="00A84E68"/>
    <w:rsid w:val="00A90393"/>
    <w:rsid w:val="00A9368A"/>
    <w:rsid w:val="00AA5524"/>
    <w:rsid w:val="00AC1EB4"/>
    <w:rsid w:val="00AC48C1"/>
    <w:rsid w:val="00AC4E0C"/>
    <w:rsid w:val="00AD0DEE"/>
    <w:rsid w:val="00AD6926"/>
    <w:rsid w:val="00AD6CBD"/>
    <w:rsid w:val="00AD6FC4"/>
    <w:rsid w:val="00AE3DF7"/>
    <w:rsid w:val="00AE3F2D"/>
    <w:rsid w:val="00AF1832"/>
    <w:rsid w:val="00AF33FE"/>
    <w:rsid w:val="00AF4089"/>
    <w:rsid w:val="00AF4D48"/>
    <w:rsid w:val="00AF5793"/>
    <w:rsid w:val="00B04CD9"/>
    <w:rsid w:val="00B11258"/>
    <w:rsid w:val="00B165D9"/>
    <w:rsid w:val="00B17662"/>
    <w:rsid w:val="00B2202E"/>
    <w:rsid w:val="00B2434C"/>
    <w:rsid w:val="00B30584"/>
    <w:rsid w:val="00B33B6A"/>
    <w:rsid w:val="00B34E46"/>
    <w:rsid w:val="00B363AF"/>
    <w:rsid w:val="00B401DC"/>
    <w:rsid w:val="00B46F47"/>
    <w:rsid w:val="00B56167"/>
    <w:rsid w:val="00B606BB"/>
    <w:rsid w:val="00B61B45"/>
    <w:rsid w:val="00B64703"/>
    <w:rsid w:val="00B8413A"/>
    <w:rsid w:val="00B86841"/>
    <w:rsid w:val="00B95407"/>
    <w:rsid w:val="00BA2492"/>
    <w:rsid w:val="00BA6861"/>
    <w:rsid w:val="00BB1AF5"/>
    <w:rsid w:val="00BB363A"/>
    <w:rsid w:val="00BB5B5B"/>
    <w:rsid w:val="00BB603D"/>
    <w:rsid w:val="00BC039B"/>
    <w:rsid w:val="00BD52D0"/>
    <w:rsid w:val="00BD607E"/>
    <w:rsid w:val="00BF64E6"/>
    <w:rsid w:val="00BF7FF0"/>
    <w:rsid w:val="00C06E63"/>
    <w:rsid w:val="00C15A6F"/>
    <w:rsid w:val="00C253BB"/>
    <w:rsid w:val="00C303B6"/>
    <w:rsid w:val="00C31051"/>
    <w:rsid w:val="00C51FFF"/>
    <w:rsid w:val="00C73F66"/>
    <w:rsid w:val="00C74070"/>
    <w:rsid w:val="00C80DBE"/>
    <w:rsid w:val="00C8343D"/>
    <w:rsid w:val="00C8753A"/>
    <w:rsid w:val="00C87E11"/>
    <w:rsid w:val="00C91916"/>
    <w:rsid w:val="00C944C1"/>
    <w:rsid w:val="00C94867"/>
    <w:rsid w:val="00C9524C"/>
    <w:rsid w:val="00C959B1"/>
    <w:rsid w:val="00C970B7"/>
    <w:rsid w:val="00CA3A10"/>
    <w:rsid w:val="00CA755C"/>
    <w:rsid w:val="00CB2C66"/>
    <w:rsid w:val="00CB663F"/>
    <w:rsid w:val="00CC017F"/>
    <w:rsid w:val="00CC53A3"/>
    <w:rsid w:val="00CE1AF0"/>
    <w:rsid w:val="00CF5E04"/>
    <w:rsid w:val="00CF6721"/>
    <w:rsid w:val="00D03AE2"/>
    <w:rsid w:val="00D07DD0"/>
    <w:rsid w:val="00D12091"/>
    <w:rsid w:val="00D16ED3"/>
    <w:rsid w:val="00D2798E"/>
    <w:rsid w:val="00D3429F"/>
    <w:rsid w:val="00D3745A"/>
    <w:rsid w:val="00D40F35"/>
    <w:rsid w:val="00D43765"/>
    <w:rsid w:val="00D43AD9"/>
    <w:rsid w:val="00D70828"/>
    <w:rsid w:val="00D73C71"/>
    <w:rsid w:val="00D75D42"/>
    <w:rsid w:val="00D767E1"/>
    <w:rsid w:val="00D90EF4"/>
    <w:rsid w:val="00D91225"/>
    <w:rsid w:val="00D96F47"/>
    <w:rsid w:val="00DA0364"/>
    <w:rsid w:val="00DB443B"/>
    <w:rsid w:val="00DB6EF2"/>
    <w:rsid w:val="00DC44BD"/>
    <w:rsid w:val="00DD32B0"/>
    <w:rsid w:val="00DD55C0"/>
    <w:rsid w:val="00DF0E68"/>
    <w:rsid w:val="00E0600F"/>
    <w:rsid w:val="00E11578"/>
    <w:rsid w:val="00E11A4F"/>
    <w:rsid w:val="00E130B5"/>
    <w:rsid w:val="00E13D4D"/>
    <w:rsid w:val="00E13EE1"/>
    <w:rsid w:val="00E2013A"/>
    <w:rsid w:val="00E20924"/>
    <w:rsid w:val="00E31930"/>
    <w:rsid w:val="00E3311E"/>
    <w:rsid w:val="00E4140D"/>
    <w:rsid w:val="00E4466D"/>
    <w:rsid w:val="00E54B41"/>
    <w:rsid w:val="00E57D3F"/>
    <w:rsid w:val="00E60807"/>
    <w:rsid w:val="00E6205B"/>
    <w:rsid w:val="00E65BC4"/>
    <w:rsid w:val="00E70FED"/>
    <w:rsid w:val="00E84335"/>
    <w:rsid w:val="00EA5333"/>
    <w:rsid w:val="00EB3702"/>
    <w:rsid w:val="00ED0060"/>
    <w:rsid w:val="00ED4E6B"/>
    <w:rsid w:val="00ED5C73"/>
    <w:rsid w:val="00EE41CD"/>
    <w:rsid w:val="00EF620F"/>
    <w:rsid w:val="00F0541C"/>
    <w:rsid w:val="00F13A6A"/>
    <w:rsid w:val="00F16F95"/>
    <w:rsid w:val="00F258EF"/>
    <w:rsid w:val="00F310C6"/>
    <w:rsid w:val="00F326FE"/>
    <w:rsid w:val="00F32889"/>
    <w:rsid w:val="00F41534"/>
    <w:rsid w:val="00F42EDF"/>
    <w:rsid w:val="00F44F19"/>
    <w:rsid w:val="00F4557E"/>
    <w:rsid w:val="00F62DB4"/>
    <w:rsid w:val="00F66F53"/>
    <w:rsid w:val="00F7765F"/>
    <w:rsid w:val="00F8074C"/>
    <w:rsid w:val="00F8653F"/>
    <w:rsid w:val="00F87286"/>
    <w:rsid w:val="00F924FE"/>
    <w:rsid w:val="00FA29EC"/>
    <w:rsid w:val="00FA3992"/>
    <w:rsid w:val="00FB020D"/>
    <w:rsid w:val="00FB7504"/>
    <w:rsid w:val="00FC21B5"/>
    <w:rsid w:val="00FC2CC0"/>
    <w:rsid w:val="00FD003F"/>
    <w:rsid w:val="00FE3CB5"/>
    <w:rsid w:val="00FF08B8"/>
    <w:rsid w:val="00FF1A0E"/>
    <w:rsid w:val="00FF74F9"/>
    <w:rsid w:val="1BFA68CC"/>
    <w:rsid w:val="1EE9C966"/>
    <w:rsid w:val="1FFBE251"/>
    <w:rsid w:val="2BEDBCF9"/>
    <w:rsid w:val="2FD4B79A"/>
    <w:rsid w:val="2FE7C7B7"/>
    <w:rsid w:val="2FEF1CBD"/>
    <w:rsid w:val="37FB6021"/>
    <w:rsid w:val="37FFDD03"/>
    <w:rsid w:val="3AFE2324"/>
    <w:rsid w:val="3F66A254"/>
    <w:rsid w:val="3FBFB260"/>
    <w:rsid w:val="3FDF4377"/>
    <w:rsid w:val="3FED8D46"/>
    <w:rsid w:val="4B7BCC8C"/>
    <w:rsid w:val="50BFC417"/>
    <w:rsid w:val="56FF7B8C"/>
    <w:rsid w:val="57FF604B"/>
    <w:rsid w:val="5BFCB57E"/>
    <w:rsid w:val="5D7368AF"/>
    <w:rsid w:val="5FBFF75C"/>
    <w:rsid w:val="5FBFFE0A"/>
    <w:rsid w:val="5FCF99F4"/>
    <w:rsid w:val="5FED8C1D"/>
    <w:rsid w:val="5FEF45EF"/>
    <w:rsid w:val="69BFBD85"/>
    <w:rsid w:val="6BD757BD"/>
    <w:rsid w:val="6F37B8DD"/>
    <w:rsid w:val="6F5D7AE0"/>
    <w:rsid w:val="73F7933A"/>
    <w:rsid w:val="73FF9323"/>
    <w:rsid w:val="74BFDF1A"/>
    <w:rsid w:val="74EF7935"/>
    <w:rsid w:val="7641481F"/>
    <w:rsid w:val="774F8E34"/>
    <w:rsid w:val="77BB3770"/>
    <w:rsid w:val="7B3A289A"/>
    <w:rsid w:val="7EDF8D34"/>
    <w:rsid w:val="7EFF7C24"/>
    <w:rsid w:val="7FFE2048"/>
    <w:rsid w:val="7FFF5F8A"/>
    <w:rsid w:val="7FFF99D8"/>
    <w:rsid w:val="A73F412F"/>
    <w:rsid w:val="AFBB04F6"/>
    <w:rsid w:val="AFFB6245"/>
    <w:rsid w:val="BDF78580"/>
    <w:rsid w:val="BFA759B9"/>
    <w:rsid w:val="BFBFD751"/>
    <w:rsid w:val="CEFE9A24"/>
    <w:rsid w:val="CFD3FF19"/>
    <w:rsid w:val="CFDD4CFB"/>
    <w:rsid w:val="D39F7E97"/>
    <w:rsid w:val="DFCFD224"/>
    <w:rsid w:val="EA7EC14E"/>
    <w:rsid w:val="EBD9E709"/>
    <w:rsid w:val="EDF33F24"/>
    <w:rsid w:val="EDFC4E54"/>
    <w:rsid w:val="EFF2A907"/>
    <w:rsid w:val="EFF3761C"/>
    <w:rsid w:val="F6BF76E4"/>
    <w:rsid w:val="F7D7E3FF"/>
    <w:rsid w:val="F7FF366D"/>
    <w:rsid w:val="F9BF01C0"/>
    <w:rsid w:val="FB37F683"/>
    <w:rsid w:val="FCB1DEB2"/>
    <w:rsid w:val="FEB70034"/>
    <w:rsid w:val="FED6A3B2"/>
    <w:rsid w:val="FEDB4C85"/>
    <w:rsid w:val="FEDBC603"/>
    <w:rsid w:val="FEED355C"/>
    <w:rsid w:val="FF7DB25E"/>
    <w:rsid w:val="FF7E1010"/>
    <w:rsid w:val="FFCFE5AD"/>
    <w:rsid w:val="FFD99369"/>
    <w:rsid w:val="FFEF40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3"/>
    <w:basedOn w:val="1"/>
    <w:next w:val="1"/>
    <w:link w:val="13"/>
    <w:unhideWhenUsed/>
    <w:qFormat/>
    <w:uiPriority w:val="9"/>
    <w:pPr>
      <w:spacing w:before="100" w:beforeAutospacing="1" w:after="100" w:afterAutospacing="1"/>
      <w:outlineLvl w:val="2"/>
    </w:pPr>
    <w:rPr>
      <w:b/>
      <w:bCs/>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link w:val="18"/>
    <w:unhideWhenUsed/>
    <w:qFormat/>
    <w:uiPriority w:val="99"/>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pPr>
  </w:style>
  <w:style w:type="paragraph" w:styleId="8">
    <w:name w:val="annotation subject"/>
    <w:basedOn w:val="3"/>
    <w:next w:val="3"/>
    <w:link w:val="19"/>
    <w:unhideWhenUsed/>
    <w:qFormat/>
    <w:uiPriority w:val="99"/>
    <w:rPr>
      <w:b/>
      <w:bCs/>
    </w:rPr>
  </w:style>
  <w:style w:type="character" w:styleId="11">
    <w:name w:val="Strong"/>
    <w:basedOn w:val="10"/>
    <w:qFormat/>
    <w:uiPriority w:val="22"/>
    <w:rPr>
      <w:b/>
    </w:rPr>
  </w:style>
  <w:style w:type="character" w:styleId="12">
    <w:name w:val="annotation reference"/>
    <w:basedOn w:val="10"/>
    <w:unhideWhenUsed/>
    <w:qFormat/>
    <w:uiPriority w:val="99"/>
    <w:rPr>
      <w:sz w:val="21"/>
      <w:szCs w:val="21"/>
    </w:rPr>
  </w:style>
  <w:style w:type="character" w:customStyle="1" w:styleId="13">
    <w:name w:val="标题 3 字符"/>
    <w:basedOn w:val="10"/>
    <w:link w:val="2"/>
    <w:semiHidden/>
    <w:qFormat/>
    <w:uiPriority w:val="9"/>
    <w:rPr>
      <w:rFonts w:ascii="宋体" w:hAnsi="宋体" w:eastAsia="宋体" w:cs="宋体"/>
      <w:b/>
      <w:bCs/>
      <w:kern w:val="0"/>
      <w:sz w:val="27"/>
      <w:szCs w:val="27"/>
    </w:rPr>
  </w:style>
  <w:style w:type="character" w:customStyle="1" w:styleId="14">
    <w:name w:val="dzyh_main_fgx"/>
    <w:basedOn w:val="10"/>
    <w:qFormat/>
    <w:uiPriority w:val="0"/>
  </w:style>
  <w:style w:type="character" w:customStyle="1" w:styleId="15">
    <w:name w:val="批注框文本 字符"/>
    <w:basedOn w:val="10"/>
    <w:link w:val="4"/>
    <w:semiHidden/>
    <w:qFormat/>
    <w:uiPriority w:val="99"/>
    <w:rPr>
      <w:rFonts w:ascii="宋体" w:hAnsi="宋体" w:eastAsia="宋体" w:cs="宋体"/>
      <w:kern w:val="0"/>
      <w:sz w:val="18"/>
      <w:szCs w:val="18"/>
    </w:rPr>
  </w:style>
  <w:style w:type="character" w:customStyle="1" w:styleId="16">
    <w:name w:val="页眉 字符"/>
    <w:basedOn w:val="10"/>
    <w:link w:val="6"/>
    <w:qFormat/>
    <w:uiPriority w:val="99"/>
    <w:rPr>
      <w:rFonts w:ascii="宋体" w:hAnsi="宋体" w:eastAsia="宋体" w:cs="宋体"/>
      <w:kern w:val="0"/>
      <w:sz w:val="18"/>
      <w:szCs w:val="18"/>
    </w:rPr>
  </w:style>
  <w:style w:type="character" w:customStyle="1" w:styleId="17">
    <w:name w:val="页脚 字符"/>
    <w:basedOn w:val="10"/>
    <w:link w:val="5"/>
    <w:qFormat/>
    <w:uiPriority w:val="99"/>
    <w:rPr>
      <w:rFonts w:ascii="宋体" w:hAnsi="宋体" w:eastAsia="宋体" w:cs="宋体"/>
      <w:kern w:val="0"/>
      <w:sz w:val="18"/>
      <w:szCs w:val="18"/>
    </w:rPr>
  </w:style>
  <w:style w:type="character" w:customStyle="1" w:styleId="18">
    <w:name w:val="批注文字 字符"/>
    <w:basedOn w:val="10"/>
    <w:link w:val="3"/>
    <w:semiHidden/>
    <w:qFormat/>
    <w:uiPriority w:val="99"/>
    <w:rPr>
      <w:rFonts w:ascii="宋体" w:hAnsi="宋体" w:eastAsia="宋体" w:cs="宋体"/>
      <w:kern w:val="0"/>
      <w:sz w:val="24"/>
      <w:szCs w:val="24"/>
    </w:rPr>
  </w:style>
  <w:style w:type="character" w:customStyle="1" w:styleId="19">
    <w:name w:val="批注主题 字符"/>
    <w:basedOn w:val="18"/>
    <w:link w:val="8"/>
    <w:semiHidden/>
    <w:qFormat/>
    <w:uiPriority w:val="99"/>
    <w:rPr>
      <w:rFonts w:ascii="宋体" w:hAnsi="宋体" w:eastAsia="宋体" w:cs="宋体"/>
      <w:b/>
      <w:bCs/>
      <w:kern w:val="0"/>
      <w:sz w:val="24"/>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2341DD7-9F32-4EE7-AA8B-836056FF4830}">
  <ds:schemaRefs/>
</ds:datastoreItem>
</file>

<file path=docProps/app.xml><?xml version="1.0" encoding="utf-8"?>
<Properties xmlns="http://schemas.openxmlformats.org/officeDocument/2006/extended-properties" xmlns:vt="http://schemas.openxmlformats.org/officeDocument/2006/docPropsVTypes">
  <Company>USER</Company>
  <Pages>9</Pages>
  <Words>802</Words>
  <Characters>4576</Characters>
  <Lines>38</Lines>
  <Paragraphs>10</Paragraphs>
  <TotalTime>52</TotalTime>
  <ScaleCrop>false</ScaleCrop>
  <LinksUpToDate>false</LinksUpToDate>
  <CharactersWithSpaces>5368</CharactersWithSpaces>
  <Application>WPS Office WWO_wpscloud_20251021145006-a76f7e5ab8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2021-10-25T01:03:00Z</dcterms:created>
  <dc:creator>袁卫华</dc:creator>
  <cp:lastModifiedBy>庄成周</cp:lastModifiedBy>
  <cp:lastPrinted>2021-10-25T01:04:00Z</cp:lastPrinted>
  <dcterms:modified xsi:type="dcterms:W3CDTF">2026-03-23T09:44:49Z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2052-12.9.0.23262</vt:lpwstr>
  </property>
  <property fmtid="{D5CDD505-2E9C-101B-9397-08002B2CF9AE}" pid="3" name="ICV">
    <vt:lpwstr>BA81D83DF7A29CE2119BC0692930778E_43</vt:lpwstr>
  </property>
</Properties>
</file>